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2206B7" w14:textId="6D6FBCD0" w:rsidR="009D2FBF" w:rsidRDefault="009F1121" w:rsidP="009F1121">
      <w:pPr>
        <w:pStyle w:val="Pagedecouverture"/>
        <w:rPr>
          <w:noProof/>
        </w:rPr>
      </w:pPr>
      <w:bookmarkStart w:id="0" w:name="LW_BM_COVERPAGE"/>
      <w:r>
        <w:rPr>
          <w:noProof/>
        </w:rPr>
        <w:pict w14:anchorId="797E2A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78BAB19-5AC5-48F0-9CEF-A0841C45FAFF" style="width:455.25pt;height:336.75pt">
            <v:imagedata r:id="rId8" o:title=""/>
          </v:shape>
        </w:pict>
      </w:r>
    </w:p>
    <w:bookmarkEnd w:id="0"/>
    <w:p w14:paraId="1FF81C25" w14:textId="77777777" w:rsidR="008827A6" w:rsidRDefault="008827A6" w:rsidP="008827A6">
      <w:pPr>
        <w:rPr>
          <w:noProof/>
          <w:lang w:eastAsia="en-US"/>
        </w:rPr>
        <w:sectPr w:rsidR="008827A6" w:rsidSect="009F1121">
          <w:headerReference w:type="even" r:id="rId9"/>
          <w:headerReference w:type="default" r:id="rId10"/>
          <w:footerReference w:type="even" r:id="rId11"/>
          <w:footerReference w:type="default" r:id="rId12"/>
          <w:headerReference w:type="first" r:id="rId13"/>
          <w:footerReference w:type="first" r:id="rId14"/>
          <w:endnotePr>
            <w:numFmt w:val="lowerLetter"/>
          </w:endnotePr>
          <w:pgSz w:w="11906" w:h="16838"/>
          <w:pgMar w:top="1134" w:right="1417" w:bottom="1134" w:left="1417" w:header="709" w:footer="709" w:gutter="0"/>
          <w:pgNumType w:start="0"/>
          <w:cols w:space="720"/>
          <w:docGrid w:linePitch="326"/>
        </w:sectPr>
      </w:pPr>
    </w:p>
    <w:p w14:paraId="6B495753" w14:textId="7098B9C5" w:rsidR="00231E87" w:rsidRDefault="406B7B99">
      <w:pPr>
        <w:pStyle w:val="Heading1"/>
        <w:numPr>
          <w:ilvl w:val="0"/>
          <w:numId w:val="0"/>
        </w:numPr>
        <w:rPr>
          <w:noProof/>
        </w:rPr>
      </w:pPr>
      <w:bookmarkStart w:id="1" w:name="_GoBack"/>
      <w:bookmarkEnd w:id="1"/>
      <w:r>
        <w:rPr>
          <w:noProof/>
        </w:rPr>
        <w:lastRenderedPageBreak/>
        <w:t>Introduction</w:t>
      </w:r>
    </w:p>
    <w:p w14:paraId="233A3A39" w14:textId="7D78E09F" w:rsidR="1C2902A8" w:rsidRDefault="2DF02C2F" w:rsidP="3500A2C8">
      <w:pPr>
        <w:pStyle w:val="Text1"/>
        <w:ind w:left="0"/>
        <w:rPr>
          <w:noProof/>
          <w:color w:val="000000" w:themeColor="text1"/>
        </w:rPr>
      </w:pPr>
      <w:r>
        <w:rPr>
          <w:noProof/>
          <w:color w:val="000000" w:themeColor="text1"/>
        </w:rPr>
        <w:t xml:space="preserve">Pendant des décennies, l’Union européenne a bénéficié d’un approvisionnement suffisant en biens essentiels. L’ampleur sans précédent des crises auxquelles elle a été confrontée récemment a toutefois montré qu’elle ne pouvait plus tenir ce fait pour acquis. La pandémie de COVID-19 a mis en évidence les vulnérabilités des chaînes d’approvisionnement de l’UE en produits médicaux, en énergie, en produits agroalimentaires et en matières premières critiques. La guerre d’agression illégale menée par la Russie contre l’Ukraine a mis en lumière l’importance stratégique d’un accès fiable à une énergie abordable et à des technologies et infrastructures critiques, et a eu des répercussions sur l’approvisionnement agricole dans le monde entier. </w:t>
      </w:r>
    </w:p>
    <w:p w14:paraId="218EE5D1" w14:textId="6ADA0A33" w:rsidR="1C2902A8" w:rsidRDefault="04E56A23" w:rsidP="0F000EAD">
      <w:pPr>
        <w:pStyle w:val="Text1"/>
        <w:ind w:left="0"/>
        <w:rPr>
          <w:noProof/>
          <w:color w:val="000000" w:themeColor="text1"/>
        </w:rPr>
      </w:pPr>
      <w:r>
        <w:rPr>
          <w:noProof/>
          <w:color w:val="000000" w:themeColor="text1"/>
        </w:rPr>
        <w:t xml:space="preserve">Aujourd’hui, le paysage des risques auquel l’UE est confrontée est de plus en plus hostile et complexe, marqué par des tensions géopolitiques croissantes, des conflits, une augmentation des effets du changement climatique et la dégradation de l’environnement, ainsi que par les cybermenaces et les menaces hybrides résultant de l’activité accrue des hacktivistes, des cybercriminels et des groupes instrumentalisés par des États. En outre, les défis géopolitiques sont souvent liés entre eux et ont une incidence sur les relations de l’UE avec différentes parties du monde, y compris pour ce qui est des chaînes d’approvisionnement. Les répercussions potentielles des risques augmentent constamment et ont, au fil du temps, des conséquences et des effets indirects de plus en plus importants, ce qui se traduit à terme par une menace globale plus élevée pour la sécurité et la disponibilité des approvisionnements essentiels. </w:t>
      </w:r>
    </w:p>
    <w:p w14:paraId="585533FA" w14:textId="76932BB8" w:rsidR="02DEC816" w:rsidRPr="00932F3C" w:rsidRDefault="7BBB2A58" w:rsidP="0F000EAD">
      <w:pPr>
        <w:pStyle w:val="Text1"/>
        <w:ind w:left="0"/>
        <w:rPr>
          <w:noProof/>
          <w:color w:val="000000" w:themeColor="text1"/>
        </w:rPr>
      </w:pPr>
      <w:r>
        <w:rPr>
          <w:noProof/>
          <w:color w:val="000000" w:themeColor="text1"/>
        </w:rPr>
        <w:t xml:space="preserve">À la suite des recommandations formulées dans le rapport Niinistö, la </w:t>
      </w:r>
      <w:r>
        <w:rPr>
          <w:b/>
          <w:noProof/>
          <w:color w:val="000000" w:themeColor="text1"/>
        </w:rPr>
        <w:t>stratégie pour une union de la préparation</w:t>
      </w:r>
      <w:r w:rsidR="006814BD" w:rsidRPr="009C1B57">
        <w:rPr>
          <w:rStyle w:val="FootnoteReference"/>
          <w:noProof/>
          <w:color w:val="000000" w:themeColor="text1"/>
        </w:rPr>
        <w:footnoteReference w:id="2"/>
      </w:r>
      <w:r>
        <w:rPr>
          <w:noProof/>
          <w:color w:val="000000" w:themeColor="text1"/>
        </w:rPr>
        <w:t xml:space="preserve"> prévoit une stratégie de constitution de stocks à l’échelle de l’UE qui 1) intégrera tous les efforts de constitution de stocks existants dans les différents secteurs, 2) renforcera l’accès aux ressources critiques dans l’ensemble de l’UE et 3) combinera les réserves centralisées au niveau de l’UE et les contributions des États membres, avec le soutien de partenariats public-privé afin de garantir l’efficacité, l’évolutivité et le rapport coût-efficacité. </w:t>
      </w:r>
    </w:p>
    <w:p w14:paraId="672CCCC9" w14:textId="04D1C3B7" w:rsidR="00363AFA" w:rsidRDefault="29DCEBA3" w:rsidP="00363AFA">
      <w:pPr>
        <w:pStyle w:val="Text1"/>
        <w:ind w:left="0"/>
        <w:rPr>
          <w:noProof/>
          <w:color w:val="000000" w:themeColor="text1"/>
        </w:rPr>
      </w:pPr>
      <w:r>
        <w:rPr>
          <w:noProof/>
        </w:rPr>
        <w:t xml:space="preserve">Cette stratégie de constitution de stocks à l’échelle de l’UE adopte une </w:t>
      </w:r>
      <w:r>
        <w:rPr>
          <w:b/>
          <w:noProof/>
        </w:rPr>
        <w:t xml:space="preserve">approche globale de la constitution de stocks et porte sur l’ensemble du cycle, </w:t>
      </w:r>
      <w:r>
        <w:rPr>
          <w:noProof/>
        </w:rPr>
        <w:t>de l’anticipation au suivi des chaînes d’approvisionnement, en passant par des mesures visant à renforcer la sécurité de l’approvisionnement, la gestion de la constitution de stocks et le déploiement.</w:t>
      </w:r>
      <w:r>
        <w:rPr>
          <w:noProof/>
          <w:color w:val="000000" w:themeColor="text1"/>
        </w:rPr>
        <w:t xml:space="preserve"> Elle s’applique aux </w:t>
      </w:r>
      <w:r>
        <w:rPr>
          <w:b/>
          <w:noProof/>
          <w:color w:val="000000" w:themeColor="text1"/>
        </w:rPr>
        <w:t>biens essentiels</w:t>
      </w:r>
      <w:r w:rsidR="00D555A4" w:rsidRPr="00932F3C">
        <w:rPr>
          <w:rStyle w:val="FootnoteReference"/>
          <w:noProof/>
          <w:color w:val="000000" w:themeColor="text1"/>
        </w:rPr>
        <w:footnoteReference w:id="3"/>
      </w:r>
      <w:r>
        <w:rPr>
          <w:noProof/>
          <w:color w:val="000000" w:themeColor="text1"/>
        </w:rPr>
        <w:t>, lesquels, à ces fins, s’entendent comme étant tout objet physique nécessaire au maintien des fonctions vitales de la société</w:t>
      </w:r>
      <w:r w:rsidR="006814BD" w:rsidRPr="00932F3C">
        <w:rPr>
          <w:rStyle w:val="FootnoteReference"/>
          <w:noProof/>
          <w:color w:val="000000" w:themeColor="text1"/>
        </w:rPr>
        <w:footnoteReference w:id="4"/>
      </w:r>
      <w:r>
        <w:rPr>
          <w:noProof/>
          <w:color w:val="000000" w:themeColor="text1"/>
        </w:rPr>
        <w:t>. La stratégie de constitution de stocks à l’échelle de l’UE favorisera la coordination des réserves publiques et privées d’intrants critiques et garantira leur disponibilité en toutes circonstances.</w:t>
      </w:r>
    </w:p>
    <w:p w14:paraId="45B1F170" w14:textId="6CCC148B" w:rsidR="00610854" w:rsidRPr="009734C5" w:rsidRDefault="00610854" w:rsidP="00610854">
      <w:pPr>
        <w:rPr>
          <w:noProof/>
        </w:rPr>
      </w:pPr>
      <w:r>
        <w:rPr>
          <w:noProof/>
        </w:rPr>
        <w:t xml:space="preserve">La stratégie s’inspirera des </w:t>
      </w:r>
      <w:r>
        <w:rPr>
          <w:b/>
          <w:noProof/>
        </w:rPr>
        <w:t>principes sous-jacents de solidarité, de transparence, de responsabilité et d’accès équitable aux ressources</w:t>
      </w:r>
      <w:r>
        <w:rPr>
          <w:noProof/>
        </w:rPr>
        <w:t xml:space="preserve"> dans l’ensemble de l’UE, qui sont essentiels pour garantir l’égalité de tous, en particulier dans les situations de crise. Conformément au cadre de l’Union de l’égalité</w:t>
      </w:r>
      <w:r>
        <w:rPr>
          <w:rStyle w:val="FootnoteReference"/>
          <w:noProof/>
        </w:rPr>
        <w:footnoteReference w:id="5"/>
      </w:r>
      <w:r>
        <w:rPr>
          <w:noProof/>
        </w:rPr>
        <w:t>, la mise en œuvre de la stratégie tiendra compte des besoins spécifiques de différents groupes, notamment liés au genre, au handicap, à l’âge et à l’origine raciale ou ethnique.  </w:t>
      </w:r>
    </w:p>
    <w:p w14:paraId="57326561" w14:textId="52486A29" w:rsidR="00B86103" w:rsidRDefault="00126F51" w:rsidP="0F000EAD">
      <w:pPr>
        <w:rPr>
          <w:noProof/>
        </w:rPr>
      </w:pPr>
      <w:r>
        <w:rPr>
          <w:noProof/>
        </w:rPr>
        <w:t xml:space="preserve">Dans le sillage de la stratégie pour une union de la préparation, la stratégie de constitution de stocks reflète un changement d’état d’esprit se traduisant par l’abandon d’une approche réactive et sectorielle de la gestion des crises au profit d’une </w:t>
      </w:r>
      <w:r>
        <w:rPr>
          <w:b/>
          <w:noProof/>
        </w:rPr>
        <w:t>approche proactive, souple et mieux intégrée en matière de préparation</w:t>
      </w:r>
      <w:r>
        <w:rPr>
          <w:noProof/>
        </w:rPr>
        <w:t xml:space="preserve">. </w:t>
      </w:r>
    </w:p>
    <w:p w14:paraId="0C3FD4A6" w14:textId="325BD3CF" w:rsidR="00231E87" w:rsidRPr="00EF4761" w:rsidRDefault="2CA57C65" w:rsidP="007B30A2">
      <w:pPr>
        <w:pStyle w:val="Heading2"/>
        <w:rPr>
          <w:noProof/>
        </w:rPr>
      </w:pPr>
      <w:r>
        <w:rPr>
          <w:noProof/>
        </w:rPr>
        <w:t xml:space="preserve">Pourquoi nous avons besoin d’une stratégie de constitution de stocks à l’échelle de l’UE </w:t>
      </w:r>
    </w:p>
    <w:p w14:paraId="2DD3E99D" w14:textId="402D503E" w:rsidR="002F1554" w:rsidRPr="00EF4761" w:rsidRDefault="002F1554" w:rsidP="002F1554">
      <w:pPr>
        <w:rPr>
          <w:noProof/>
        </w:rPr>
      </w:pPr>
      <w:r>
        <w:rPr>
          <w:noProof/>
        </w:rPr>
        <w:t xml:space="preserve">Ces derniers temps, </w:t>
      </w:r>
      <w:r>
        <w:rPr>
          <w:b/>
          <w:noProof/>
        </w:rPr>
        <w:t>les États membres de l’UE ont été confrontés à des défis similaires</w:t>
      </w:r>
      <w:r>
        <w:rPr>
          <w:noProof/>
        </w:rPr>
        <w:t>.</w:t>
      </w:r>
      <w:r>
        <w:rPr>
          <w:b/>
          <w:noProof/>
        </w:rPr>
        <w:t xml:space="preserve"> </w:t>
      </w:r>
      <w:r>
        <w:rPr>
          <w:noProof/>
        </w:rPr>
        <w:t xml:space="preserve">Il est possible de dégager des synergies en matière de préparation collective au niveau de l’UE en partageant les expériences et en travaillant ensemble afin de trouver la meilleure façon de garantir, de manière inclusive, un accès en temps utile aux biens essentiels pour les autorités, les entreprises et le public. Par conséquent, une approche à l’échelle de l’UE est nécessaire pour compléter et soutenir les efforts des États membres. </w:t>
      </w:r>
    </w:p>
    <w:p w14:paraId="0835F0BB" w14:textId="03A59B6B" w:rsidR="009770D8" w:rsidRDefault="7608E915" w:rsidP="00185797">
      <w:pPr>
        <w:spacing w:line="259" w:lineRule="auto"/>
        <w:rPr>
          <w:noProof/>
        </w:rPr>
      </w:pPr>
      <w:r>
        <w:rPr>
          <w:noProof/>
        </w:rPr>
        <w:t>La constitution de stocks est un élément essentiel de la préparation de l’UE aux crises et fait partie intégrante de la dissuasion globale et de la préparation aux scénarios de conflit. Une préparation adéquate au niveau de l’UE est d’autant plus pertinente que les crises et les menaces peuvent ne pas se limiter à un seul État membre. En tant que marché unique, doté de chaînes de valeur et d’approvisionnement hautement intégrées, les perturbations dans la disponibilité des matières ou technologies critiques nécessitent une capacité de réaction au niveau de l’UE.</w:t>
      </w:r>
    </w:p>
    <w:p w14:paraId="0E7C3D5B" w14:textId="32DE2276" w:rsidR="0022640F" w:rsidRPr="00EF4761" w:rsidDel="005827AE" w:rsidRDefault="00363AFA" w:rsidP="00185797">
      <w:pPr>
        <w:spacing w:line="259" w:lineRule="auto"/>
        <w:rPr>
          <w:noProof/>
        </w:rPr>
      </w:pPr>
      <w:r>
        <w:rPr>
          <w:noProof/>
        </w:rPr>
        <w:t>Ces dernières années, l’UE a adopté plusieurs initiatives, stratégies et actes législatifs pertinents</w:t>
      </w:r>
      <w:r w:rsidRPr="00293393">
        <w:rPr>
          <w:rStyle w:val="FootnoteReference"/>
          <w:noProof/>
        </w:rPr>
        <w:footnoteReference w:id="6"/>
      </w:r>
      <w:r>
        <w:rPr>
          <w:noProof/>
        </w:rPr>
        <w:t xml:space="preserve"> pour renforcer l’autonomie stratégique, la sécurité intérieure et économique, la compétitivité, la défense et la résilience, ainsi que pour remédier aux vulnérabilités et aux dépendances de la chaîne d’approvisionnement. Parmi ces initiatives figurent des mesures visant spécifiquement à améliorer l’accès aux biens essentiels, telles que l’obligation pour les États membres de détenir des stocks pétroliers; l’agrégation de la demande et les achats communs de gaz; des mesures destinées à favoriser l’accès aux matières premières critiques ainsi que leur transformation et leur recyclage; l’acquisition conjointe de vaccins contre la COVID-19 ou la constitution de la réserve stratégique rescEU (voir l’annexe 1 pour une vue d’ensemble des cadres juridiques et stratégiques pertinents de l’UE). </w:t>
      </w:r>
    </w:p>
    <w:p w14:paraId="73944D1E" w14:textId="32B3A636" w:rsidR="00AE0929" w:rsidRPr="00EF4761" w:rsidRDefault="00722F31" w:rsidP="1557142A">
      <w:pPr>
        <w:rPr>
          <w:noProof/>
        </w:rPr>
      </w:pPr>
      <w:r>
        <w:rPr>
          <w:noProof/>
        </w:rPr>
        <w:t xml:space="preserve">Toutefois, l’approche globale reste fragmentée et l’expérience a montré que le cadre de l’UE comporte un certain nombre de lacunes importantes et étroitement liées.  </w:t>
      </w:r>
    </w:p>
    <w:p w14:paraId="13C73A00" w14:textId="6CFAB486" w:rsidR="00060F9D" w:rsidRPr="00927335" w:rsidRDefault="00422204" w:rsidP="00422204">
      <w:pPr>
        <w:pStyle w:val="ListParagraph"/>
        <w:numPr>
          <w:ilvl w:val="0"/>
          <w:numId w:val="48"/>
        </w:numPr>
        <w:rPr>
          <w:i/>
          <w:iCs/>
          <w:noProof/>
        </w:rPr>
      </w:pPr>
      <w:r>
        <w:rPr>
          <w:b/>
          <w:noProof/>
        </w:rPr>
        <w:t>Une compréhension commune limitée des biens essentiels nécessaires à la préparation aux crises dans un contexte d’évolution rapide du paysage des risques,</w:t>
      </w:r>
      <w:r>
        <w:rPr>
          <w:noProof/>
        </w:rPr>
        <w:t xml:space="preserve"> qui entrave la coopération intersectorielle et transfrontière. Bien comprendre quels biens sont essentiels pour faire face aux crises potentielles permet aux gouvernements comme aux entreprises de prendre des décisions éclairées et coordonnées sur la meilleure manière de se préparer à d’éventuelles pénuries. </w:t>
      </w:r>
    </w:p>
    <w:p w14:paraId="5AF9EED0" w14:textId="5153D928" w:rsidR="00F74037" w:rsidRPr="00EF4761" w:rsidRDefault="00531A15" w:rsidP="00060F9D">
      <w:pPr>
        <w:pStyle w:val="ListParagraph"/>
        <w:numPr>
          <w:ilvl w:val="0"/>
          <w:numId w:val="48"/>
        </w:numPr>
        <w:rPr>
          <w:noProof/>
        </w:rPr>
      </w:pPr>
      <w:r>
        <w:rPr>
          <w:b/>
          <w:noProof/>
        </w:rPr>
        <w:t>Un partage d’informations et une coordination limités entre l’UE et les États membres, ainsi qu’entre les secteurs civil et militaire.</w:t>
      </w:r>
      <w:r>
        <w:rPr>
          <w:noProof/>
        </w:rPr>
        <w:t xml:space="preserve"> En conséquence, il manque une réelle vue d’ensemble des efforts de constitution de stocks déployés par les États membres dans l’UE, ce qui se traduit par une utilisation non optimale des ressources, des capacités et de l’expertise disponibles. En outre, les obstacles administratifs, structurels et logistiques qui persistent dans l’ensemble de l’UE peuvent entraver le déploiement transfrontière, le transport et l’accès dans les scénarios de crise. </w:t>
      </w:r>
    </w:p>
    <w:p w14:paraId="2C7F5C03" w14:textId="48732244" w:rsidR="00B64B64" w:rsidRPr="00EF4761" w:rsidRDefault="00F74037" w:rsidP="00060F9D">
      <w:pPr>
        <w:pStyle w:val="ListParagraph"/>
        <w:numPr>
          <w:ilvl w:val="0"/>
          <w:numId w:val="48"/>
        </w:numPr>
        <w:rPr>
          <w:noProof/>
        </w:rPr>
      </w:pPr>
      <w:r>
        <w:rPr>
          <w:b/>
          <w:noProof/>
        </w:rPr>
        <w:t xml:space="preserve">Un potentiel sous-exploité de coopération avec le secteur privé par-delà les secteurs et les frontières. </w:t>
      </w:r>
      <w:r>
        <w:rPr>
          <w:noProof/>
        </w:rPr>
        <w:t>Le secteur privé dispose d’une expertise importante en matière de gestion des stocks, de logistique et de déploiement. Le renforcement de la coopération structurelle entre les secteurs public et privé en matière de constitution de stocks d’urgence peut être encouragé, les bonnes pratiques peuvent être partagées et les enseignements tirés entre les secteurs et par-delà les frontières.</w:t>
      </w:r>
    </w:p>
    <w:p w14:paraId="43A668D6" w14:textId="69C2098C" w:rsidR="00060F9D" w:rsidRPr="00EF4761" w:rsidRDefault="00B64B64" w:rsidP="00060F9D">
      <w:pPr>
        <w:pStyle w:val="ListParagraph"/>
        <w:numPr>
          <w:ilvl w:val="0"/>
          <w:numId w:val="48"/>
        </w:numPr>
        <w:rPr>
          <w:noProof/>
        </w:rPr>
      </w:pPr>
      <w:r>
        <w:rPr>
          <w:b/>
          <w:noProof/>
        </w:rPr>
        <w:t>Des cadres nationaux ou sectoriels qui ne reflètent pas suffisamment le rôle que les outils d’action extérieure et de coopération peuvent jouer dans le renforcement de la préparation matérielle au niveau national et de l’UE</w:t>
      </w:r>
      <w:r>
        <w:rPr>
          <w:noProof/>
        </w:rPr>
        <w:t>, par exemple en ce qui concerne la sécurité des chaînes d’approvisionnement. Les partenariats avec des pays tiers et des organisations internationales peuvent contribuer à renforcer la résilience mutuelle et à sécuriser les biens essentiels.</w:t>
      </w:r>
    </w:p>
    <w:p w14:paraId="318EBC01" w14:textId="425EF816" w:rsidR="0DAAAADA" w:rsidRPr="00EF4761" w:rsidRDefault="00363AFA" w:rsidP="3500A2C8">
      <w:pPr>
        <w:rPr>
          <w:noProof/>
          <w:color w:val="000000" w:themeColor="text1"/>
        </w:rPr>
      </w:pPr>
      <w:r>
        <w:rPr>
          <w:noProof/>
        </w:rPr>
        <w:t xml:space="preserve">Pour la préparation de l’UE, il est primordial de remédier à cette </w:t>
      </w:r>
      <w:r>
        <w:rPr>
          <w:b/>
          <w:noProof/>
        </w:rPr>
        <w:t>absence d’analyse globale commune à toutes les parties prenantes concernées, dans les différents secteurs et par-delà les frontières</w:t>
      </w:r>
      <w:r>
        <w:rPr>
          <w:noProof/>
        </w:rPr>
        <w:t xml:space="preserve">, et de coordonner les efforts déployés en vue de se préparer et de réagir rapidement et efficacement. </w:t>
      </w:r>
      <w:r>
        <w:rPr>
          <w:noProof/>
          <w:color w:val="000000" w:themeColor="text1"/>
        </w:rPr>
        <w:t xml:space="preserve">La présente stratégie s’inscrit donc dans une perspective </w:t>
      </w:r>
      <w:r>
        <w:rPr>
          <w:b/>
          <w:noProof/>
          <w:color w:val="000000" w:themeColor="text1"/>
        </w:rPr>
        <w:t>transsectorielle et transfrontière</w:t>
      </w:r>
      <w:r>
        <w:rPr>
          <w:noProof/>
          <w:color w:val="000000" w:themeColor="text1"/>
        </w:rPr>
        <w:t>, à laquelle l’UE peut apporter la plus grande valeur ajoutée.</w:t>
      </w:r>
    </w:p>
    <w:p w14:paraId="36F08E7A" w14:textId="42D25C1D" w:rsidR="590826A2" w:rsidRPr="00EF4761" w:rsidRDefault="590826A2" w:rsidP="0F000EAD">
      <w:pPr>
        <w:spacing w:line="259" w:lineRule="auto"/>
        <w:rPr>
          <w:noProof/>
        </w:rPr>
      </w:pPr>
      <w:r>
        <w:rPr>
          <w:noProof/>
        </w:rPr>
        <w:t xml:space="preserve">La présente stratégie a pour </w:t>
      </w:r>
      <w:r>
        <w:rPr>
          <w:b/>
          <w:noProof/>
        </w:rPr>
        <w:t>objectif</w:t>
      </w:r>
      <w:r>
        <w:rPr>
          <w:noProof/>
        </w:rPr>
        <w:t xml:space="preserve"> général d’</w:t>
      </w:r>
      <w:r>
        <w:rPr>
          <w:b/>
          <w:noProof/>
        </w:rPr>
        <w:t>améliorer l’accès aux biens essentiels</w:t>
      </w:r>
      <w:r>
        <w:rPr>
          <w:noProof/>
        </w:rPr>
        <w:t xml:space="preserve"> en toutes circonstances. Elle permettra d’améliorer l’</w:t>
      </w:r>
      <w:r>
        <w:rPr>
          <w:b/>
          <w:noProof/>
        </w:rPr>
        <w:t>interopérabilité</w:t>
      </w:r>
      <w:r>
        <w:rPr>
          <w:noProof/>
        </w:rPr>
        <w:t xml:space="preserve"> des systèmes de constitution de stocks tant au niveau national qu’au niveau de l’UE tout au long du cycle de constitution des stocks (planification, achat, gestion et déploiement des stocks). Elle vise à garantir la </w:t>
      </w:r>
      <w:r>
        <w:rPr>
          <w:b/>
          <w:noProof/>
        </w:rPr>
        <w:t>préparation matérielle</w:t>
      </w:r>
      <w:r>
        <w:rPr>
          <w:noProof/>
        </w:rPr>
        <w:t>, c’est-à-dire l’état de préparation, la disponibilité et l’accessibilité des biens essentiels dans le cadre d’une réaction efficace aux crises et aux conflits. Dans le même temps, elle soutient aussi l’</w:t>
      </w:r>
      <w:r>
        <w:rPr>
          <w:b/>
          <w:noProof/>
        </w:rPr>
        <w:t>autonomie stratégique de l’UE</w:t>
      </w:r>
      <w:r>
        <w:rPr>
          <w:noProof/>
        </w:rPr>
        <w:t>, en réduisant les dépendances et les vulnérabilités et en renforçant la production de biens essentiels dans l’UE.</w:t>
      </w:r>
    </w:p>
    <w:p w14:paraId="642384CC" w14:textId="21774341" w:rsidR="00FA7167" w:rsidRPr="00EF4761" w:rsidRDefault="0024306A" w:rsidP="318A07AD">
      <w:pPr>
        <w:spacing w:line="259" w:lineRule="auto"/>
        <w:rPr>
          <w:rFonts w:eastAsiaTheme="minorEastAsia"/>
          <w:noProof/>
          <w:kern w:val="2"/>
          <w14:ligatures w14:val="standardContextual"/>
        </w:rPr>
      </w:pPr>
      <w:r>
        <w:rPr>
          <w:b/>
          <w:noProof/>
        </w:rPr>
        <w:t xml:space="preserve">Mettre en place une stratégie de constitution de stocks à l’échelle de l’UE  </w:t>
      </w:r>
    </w:p>
    <w:p w14:paraId="04DB4170" w14:textId="71C35071" w:rsidR="00301769" w:rsidRPr="00EF4761" w:rsidRDefault="00C77F92" w:rsidP="00301769">
      <w:pPr>
        <w:rPr>
          <w:noProof/>
        </w:rPr>
      </w:pPr>
      <w:r>
        <w:rPr>
          <w:noProof/>
        </w:rPr>
        <w:t>La présente stratégie s’appuie sur les cadres sectoriels existants de l’UE et suit les principes de la stratégie pour une union de la préparation, exposés ci-après.</w:t>
      </w:r>
    </w:p>
    <w:p w14:paraId="6A6A22C0" w14:textId="19D75C8A" w:rsidR="00301769" w:rsidRPr="00EF4761" w:rsidRDefault="00301769" w:rsidP="00481A0D">
      <w:pPr>
        <w:numPr>
          <w:ilvl w:val="0"/>
          <w:numId w:val="42"/>
        </w:numPr>
        <w:rPr>
          <w:noProof/>
        </w:rPr>
      </w:pPr>
      <w:r>
        <w:rPr>
          <w:noProof/>
        </w:rPr>
        <w:t xml:space="preserve">Une </w:t>
      </w:r>
      <w:r>
        <w:rPr>
          <w:b/>
          <w:noProof/>
        </w:rPr>
        <w:t>approche «tous risques»</w:t>
      </w:r>
      <w:r>
        <w:rPr>
          <w:noProof/>
        </w:rPr>
        <w:t>, qui couvre tout l’éventail des risques et des menaces naturels ou d’origine humaine qui pourraient nuire à la préparation matérielle. Elle vise à faire face de manière globale à l’augmentation des risques et des menaces qui pèsent sur la sécurité de l’approvisionnement, y compris un scénario de conflit, ainsi qu’à l’interaction des risques et à leurs effets en cascade.</w:t>
      </w:r>
    </w:p>
    <w:p w14:paraId="04C42161" w14:textId="3B84EC62" w:rsidR="00301769" w:rsidRPr="00EF4761" w:rsidRDefault="00301769" w:rsidP="00481A0D">
      <w:pPr>
        <w:numPr>
          <w:ilvl w:val="0"/>
          <w:numId w:val="42"/>
        </w:numPr>
        <w:rPr>
          <w:noProof/>
        </w:rPr>
      </w:pPr>
      <w:r>
        <w:rPr>
          <w:noProof/>
        </w:rPr>
        <w:t xml:space="preserve">Une </w:t>
      </w:r>
      <w:r>
        <w:rPr>
          <w:b/>
          <w:noProof/>
        </w:rPr>
        <w:t>approche pangouvernementale</w:t>
      </w:r>
      <w:r>
        <w:rPr>
          <w:noProof/>
        </w:rPr>
        <w:t>, qui rassemble toutes les parties prenantes concernées, à tous les niveaux de gouvernance (local, régional, national et européen), et qui encourage la collaboration, la cohérence des politiques et le partage des ressources. Elle prévoit une coopération efficace entre les autorités civiles et de défense, ainsi que l’intégration cohérente des dimensions intérieure et extérieure.</w:t>
      </w:r>
    </w:p>
    <w:p w14:paraId="3ECA8DC1" w14:textId="12D989DF" w:rsidR="052B8EC4" w:rsidRPr="00F843B4" w:rsidRDefault="052B8EC4" w:rsidP="0F000EAD">
      <w:pPr>
        <w:numPr>
          <w:ilvl w:val="0"/>
          <w:numId w:val="42"/>
        </w:numPr>
        <w:rPr>
          <w:noProof/>
        </w:rPr>
      </w:pPr>
      <w:r>
        <w:rPr>
          <w:noProof/>
        </w:rPr>
        <w:t xml:space="preserve">Une </w:t>
      </w:r>
      <w:r>
        <w:rPr>
          <w:b/>
          <w:noProof/>
        </w:rPr>
        <w:t>approche englobant l’ensemble de la société</w:t>
      </w:r>
      <w:r>
        <w:rPr>
          <w:noProof/>
        </w:rPr>
        <w:t xml:space="preserve">, qui favorise une culture inclusive de la préparation matérielle associant tous les acteurs concernés à la sécurité de l’approvisionnement, en particulier le secteur privé. Il s’agit également d’aider les citoyens à devenir des acteurs de leur propre résilience, en se procurant de quoi être autosuffisants pendant 72 heures au moins compte tenu de leurs besoins spécifiques, comme le souligne la stratégie pour une union de la préparation. </w:t>
      </w:r>
    </w:p>
    <w:p w14:paraId="58E994D9" w14:textId="3F214ECD" w:rsidR="00C917B2" w:rsidRPr="00EF4761" w:rsidRDefault="1B7B1FC2" w:rsidP="03FC6BAB">
      <w:pPr>
        <w:spacing w:after="160"/>
        <w:rPr>
          <w:rFonts w:eastAsiaTheme="minorEastAsia"/>
          <w:noProof/>
          <w:kern w:val="2"/>
          <w14:ligatures w14:val="standardContextual"/>
        </w:rPr>
      </w:pPr>
      <w:r>
        <w:rPr>
          <w:noProof/>
        </w:rPr>
        <w:t xml:space="preserve">Sur la base des constatations ci-dessus, la présente stratégie recense sept domaines prioritaires pour l’action de l’UE: </w:t>
      </w:r>
    </w:p>
    <w:p w14:paraId="132EB2E1" w14:textId="5F440D67" w:rsidR="00180532" w:rsidRPr="00EF4761" w:rsidRDefault="00180532" w:rsidP="7E17D33C">
      <w:pPr>
        <w:numPr>
          <w:ilvl w:val="0"/>
          <w:numId w:val="43"/>
        </w:numPr>
        <w:spacing w:after="160"/>
        <w:contextualSpacing/>
        <w:jc w:val="left"/>
        <w:rPr>
          <w:rFonts w:eastAsiaTheme="minorEastAsia"/>
          <w:noProof/>
          <w:kern w:val="2"/>
          <w14:ligatures w14:val="standardContextual"/>
        </w:rPr>
      </w:pPr>
      <w:r>
        <w:rPr>
          <w:noProof/>
        </w:rPr>
        <w:t xml:space="preserve">améliorer la coordination entre les États membres et avec l’UE; </w:t>
      </w:r>
    </w:p>
    <w:p w14:paraId="7CCF3E28" w14:textId="3373CD42" w:rsidR="00C917B2" w:rsidRPr="00EF4761" w:rsidDel="00554D92" w:rsidRDefault="00736F98" w:rsidP="7E17D33C">
      <w:pPr>
        <w:numPr>
          <w:ilvl w:val="0"/>
          <w:numId w:val="43"/>
        </w:numPr>
        <w:spacing w:after="0" w:line="259" w:lineRule="auto"/>
        <w:jc w:val="left"/>
        <w:rPr>
          <w:rFonts w:eastAsiaTheme="minorEastAsia"/>
          <w:noProof/>
        </w:rPr>
      </w:pPr>
      <w:r>
        <w:rPr>
          <w:noProof/>
        </w:rPr>
        <w:t xml:space="preserve">encourager la prospective, l’anticipation et la planification stratégique; </w:t>
      </w:r>
    </w:p>
    <w:p w14:paraId="40A00C07" w14:textId="018323A4" w:rsidR="09BEE5E1" w:rsidRPr="00EF4761" w:rsidRDefault="00736F98" w:rsidP="7E17D33C">
      <w:pPr>
        <w:numPr>
          <w:ilvl w:val="0"/>
          <w:numId w:val="43"/>
        </w:numPr>
        <w:spacing w:after="0" w:line="259" w:lineRule="auto"/>
        <w:jc w:val="left"/>
        <w:rPr>
          <w:rFonts w:eastAsiaTheme="minorEastAsia"/>
          <w:noProof/>
        </w:rPr>
      </w:pPr>
      <w:r>
        <w:rPr>
          <w:noProof/>
        </w:rPr>
        <w:t>combler les lacunes grâce à la constitution de stocks stratégiques à l’échelle de l’UE;</w:t>
      </w:r>
    </w:p>
    <w:p w14:paraId="44297084" w14:textId="6A3285DE" w:rsidR="09BEE5E1" w:rsidRPr="00EF4761" w:rsidRDefault="00736F98" w:rsidP="7E17D33C">
      <w:pPr>
        <w:numPr>
          <w:ilvl w:val="0"/>
          <w:numId w:val="43"/>
        </w:numPr>
        <w:spacing w:after="160"/>
        <w:contextualSpacing/>
        <w:jc w:val="left"/>
        <w:rPr>
          <w:rFonts w:eastAsiaTheme="minorEastAsia"/>
          <w:noProof/>
        </w:rPr>
      </w:pPr>
      <w:r>
        <w:rPr>
          <w:noProof/>
        </w:rPr>
        <w:t xml:space="preserve">renforcer une infrastructure de transport et de logistique solide et interopérable;     </w:t>
      </w:r>
    </w:p>
    <w:p w14:paraId="6B7CBE8E" w14:textId="07769407" w:rsidR="00C917B2" w:rsidRPr="00EF4761" w:rsidRDefault="00736F98" w:rsidP="7E17D33C">
      <w:pPr>
        <w:numPr>
          <w:ilvl w:val="0"/>
          <w:numId w:val="43"/>
        </w:numPr>
        <w:spacing w:after="160"/>
        <w:contextualSpacing/>
        <w:jc w:val="left"/>
        <w:rPr>
          <w:rFonts w:eastAsiaTheme="minorEastAsia"/>
          <w:noProof/>
          <w:kern w:val="2"/>
          <w14:ligatures w14:val="standardContextual"/>
        </w:rPr>
      </w:pPr>
      <w:r>
        <w:rPr>
          <w:noProof/>
        </w:rPr>
        <w:t>améliorer la coopération civile-militaire;</w:t>
      </w:r>
    </w:p>
    <w:p w14:paraId="4B94907D" w14:textId="6D69022A" w:rsidR="3E5E116A" w:rsidRPr="00EF4761" w:rsidRDefault="00736F98" w:rsidP="7E17D33C">
      <w:pPr>
        <w:numPr>
          <w:ilvl w:val="0"/>
          <w:numId w:val="43"/>
        </w:numPr>
        <w:spacing w:after="160"/>
        <w:contextualSpacing/>
        <w:jc w:val="left"/>
        <w:rPr>
          <w:rFonts w:eastAsiaTheme="minorEastAsia"/>
          <w:noProof/>
        </w:rPr>
      </w:pPr>
      <w:r>
        <w:rPr>
          <w:noProof/>
        </w:rPr>
        <w:t>promouvoir la coopération public-privé;</w:t>
      </w:r>
    </w:p>
    <w:p w14:paraId="33547397" w14:textId="5AC302A1" w:rsidR="00351BA1" w:rsidRPr="00EF4761" w:rsidRDefault="5B58A7BC" w:rsidP="00B5A9F7">
      <w:pPr>
        <w:numPr>
          <w:ilvl w:val="0"/>
          <w:numId w:val="43"/>
        </w:numPr>
        <w:spacing w:after="160"/>
        <w:contextualSpacing/>
        <w:jc w:val="left"/>
        <w:rPr>
          <w:rFonts w:eastAsiaTheme="minorEastAsia"/>
          <w:noProof/>
          <w:kern w:val="2"/>
          <w14:ligatures w14:val="standardContextual"/>
        </w:rPr>
      </w:pPr>
      <w:r>
        <w:rPr>
          <w:noProof/>
        </w:rPr>
        <w:t>favoriser la coopération dans le cadre de l’action extérieure et des partenariats internationaux.</w:t>
      </w:r>
    </w:p>
    <w:p w14:paraId="7E14DBBA" w14:textId="3E106CE1" w:rsidR="1557142A" w:rsidRPr="004E369A" w:rsidRDefault="1557142A" w:rsidP="01D82F8C">
      <w:pPr>
        <w:spacing w:after="160"/>
        <w:contextualSpacing/>
        <w:jc w:val="left"/>
        <w:rPr>
          <w:rFonts w:eastAsiaTheme="minorEastAsia"/>
          <w:noProof/>
          <w:lang w:val="fr-BE" w:eastAsia="en-US"/>
        </w:rPr>
      </w:pPr>
    </w:p>
    <w:p w14:paraId="5F09FD13" w14:textId="0EDCE3C2" w:rsidR="3463A1DF" w:rsidRPr="00EF4761" w:rsidRDefault="008E35B6">
      <w:pPr>
        <w:spacing w:after="160" w:line="259" w:lineRule="auto"/>
        <w:rPr>
          <w:rFonts w:eastAsia="Yu Mincho"/>
          <w:noProof/>
        </w:rPr>
      </w:pPr>
      <w:r>
        <w:rPr>
          <w:noProof/>
        </w:rPr>
        <w:t>La stratégie met l’accent sur les défis intersectoriels, tout en recherchant une parfaite complémentarité avec des mesures sectorielles spécifiques</w:t>
      </w:r>
      <w:r w:rsidR="00D36544" w:rsidRPr="001E4D9F">
        <w:rPr>
          <w:rStyle w:val="FootnoteReference"/>
          <w:rFonts w:eastAsia="Yu Mincho"/>
          <w:noProof/>
        </w:rPr>
        <w:footnoteReference w:id="7"/>
      </w:r>
      <w:r>
        <w:rPr>
          <w:noProof/>
        </w:rPr>
        <w:t>. Elle sera mise en œuvre en étroite concertation avec les États membres et les parties prenantes concernées, en respectant pleinement la subsidiarité, les compétences nationales et les spécificités des États membres.</w:t>
      </w:r>
    </w:p>
    <w:p w14:paraId="57AC69FA" w14:textId="77777777" w:rsidR="00180532" w:rsidRPr="00EF4761" w:rsidRDefault="00180532" w:rsidP="00180532">
      <w:pPr>
        <w:pStyle w:val="Heading1"/>
        <w:rPr>
          <w:rFonts w:eastAsiaTheme="minorEastAsia"/>
          <w:bCs/>
          <w:noProof/>
          <w:szCs w:val="24"/>
        </w:rPr>
      </w:pPr>
      <w:r>
        <w:rPr>
          <w:noProof/>
        </w:rPr>
        <w:t>Améliorer la coordination entre les États membres et avec l’UE</w:t>
      </w:r>
    </w:p>
    <w:p w14:paraId="0C6A8E64" w14:textId="77777777" w:rsidR="00180532" w:rsidRPr="00EF4761" w:rsidRDefault="00180532" w:rsidP="00180532">
      <w:pPr>
        <w:pStyle w:val="NoSpacing"/>
        <w:jc w:val="both"/>
        <w:rPr>
          <w:noProof/>
        </w:rPr>
      </w:pPr>
      <w:r>
        <w:rPr>
          <w:noProof/>
        </w:rPr>
        <w:t xml:space="preserve">Chaque État membre est responsable de sa propre préparation matérielle. Cependant, en cas de crises graves, de longue durée, complexes et transfrontières, il est essentiel de coordonner les mesures nationales afin de garantir un approvisionnement régulier en biens essentiels et le maintien des fonctions vitales de la société. Non seulement la coordination </w:t>
      </w:r>
      <w:r>
        <w:rPr>
          <w:b/>
          <w:noProof/>
        </w:rPr>
        <w:t>favorise la solidarité, mais elle empêche les perturbations du marché unique</w:t>
      </w:r>
      <w:r>
        <w:rPr>
          <w:noProof/>
        </w:rPr>
        <w:t>. En l’absence de coordination, les États membres pourraient entrer en concurrence pour les biens, les capacités de production et les capacités de stockage et de déploiement, et perturber le bon fonctionnement des marchés, ce qui entraînerait des doubles emplois inutiles, des coûts et des réactions inefficaces aux crises, et exercerait une pression supplémentaire sur des chaînes d’approvisionnement déjà fragiles.</w:t>
      </w:r>
    </w:p>
    <w:p w14:paraId="6EE53B63" w14:textId="77777777" w:rsidR="00180532" w:rsidRPr="004E369A" w:rsidRDefault="00180532" w:rsidP="00180532">
      <w:pPr>
        <w:pStyle w:val="NoSpacing"/>
        <w:jc w:val="both"/>
        <w:rPr>
          <w:noProof/>
          <w:lang w:val="fr-BE"/>
        </w:rPr>
      </w:pPr>
    </w:p>
    <w:p w14:paraId="6B24337B" w14:textId="7D317C75" w:rsidR="00180532" w:rsidRPr="00EF4761" w:rsidRDefault="00180532" w:rsidP="00180532">
      <w:pPr>
        <w:pStyle w:val="NoSpacing"/>
        <w:spacing w:line="259" w:lineRule="auto"/>
        <w:jc w:val="both"/>
        <w:rPr>
          <w:noProof/>
        </w:rPr>
      </w:pPr>
      <w:r>
        <w:rPr>
          <w:noProof/>
        </w:rPr>
        <w:t xml:space="preserve">Dans un premier temps, </w:t>
      </w:r>
      <w:r>
        <w:rPr>
          <w:b/>
          <w:noProof/>
        </w:rPr>
        <w:t>la confiance et la compréhension mutuelles</w:t>
      </w:r>
      <w:r>
        <w:rPr>
          <w:noProof/>
        </w:rPr>
        <w:t xml:space="preserve"> doivent être renforcées, en prenant en considération les préoccupations en matière de sécurité nationale. L’UE continuera de développer des </w:t>
      </w:r>
      <w:r>
        <w:rPr>
          <w:b/>
          <w:noProof/>
        </w:rPr>
        <w:t>outils de partage d’informations sécurisés</w:t>
      </w:r>
      <w:r w:rsidRPr="00EF4761">
        <w:rPr>
          <w:rStyle w:val="FootnoteReference"/>
          <w:noProof/>
        </w:rPr>
        <w:footnoteReference w:id="8"/>
      </w:r>
      <w:r>
        <w:rPr>
          <w:noProof/>
        </w:rPr>
        <w:t>, afin de permettre aux États membres, à la Commission, ainsi qu’aux agences de l’UE et aux parties prenantes concernées de mettre en commun des informations sur les chaînes d’approvisionnement, les dispositifs de constitution de stocks et les plans de déploiement. Ces outils doivent être bien protégés et respecter les exigences de l’UE en matière de sécurité. Le partage d’informations, y compris avec l’Organisation du traité de l’Atlantique Nord (OTAN), s’il y a lieu, devrait renforcer l’interopérabilité et, partant, améliorer l’efficacité de la réaction conjointe aux crises.</w:t>
      </w:r>
    </w:p>
    <w:p w14:paraId="66D7F2E3" w14:textId="77777777" w:rsidR="00180532" w:rsidRPr="004E369A" w:rsidRDefault="00180532" w:rsidP="00180532">
      <w:pPr>
        <w:pStyle w:val="NoSpacing"/>
        <w:jc w:val="both"/>
        <w:rPr>
          <w:noProof/>
          <w:lang w:val="fr-BE"/>
        </w:rPr>
      </w:pPr>
    </w:p>
    <w:p w14:paraId="058DDC63" w14:textId="77777777" w:rsidR="00180532" w:rsidRPr="00EF4761" w:rsidRDefault="00180532" w:rsidP="00180532">
      <w:pPr>
        <w:pStyle w:val="NoSpacing"/>
        <w:jc w:val="both"/>
        <w:rPr>
          <w:noProof/>
        </w:rPr>
      </w:pPr>
      <w:r>
        <w:rPr>
          <w:noProof/>
        </w:rPr>
        <w:t xml:space="preserve">En outre, le </w:t>
      </w:r>
      <w:r>
        <w:rPr>
          <w:b/>
          <w:noProof/>
        </w:rPr>
        <w:t>renforcement des synergies et de l’interopérabilité</w:t>
      </w:r>
      <w:r>
        <w:rPr>
          <w:noProof/>
        </w:rPr>
        <w:t xml:space="preserve"> en ce qui concerne les biens stockés, les dispositifs de constitution des stocks et les plans de déploiement dans l’ensemble de l’UE permettra de réaliser des gains d’efficacité.</w:t>
      </w:r>
      <w:r>
        <w:rPr>
          <w:b/>
          <w:noProof/>
        </w:rPr>
        <w:t xml:space="preserve"> La coordination devrait être améliorée à plusieurs stades du cycle de constitution des stocks</w:t>
      </w:r>
      <w:r>
        <w:rPr>
          <w:noProof/>
        </w:rPr>
        <w:t>, à savoir la planification, l’achat, la gestion et le déploiement des stocks. Il s’agit entre autres de veiller à une meilleure coopération dans le recensement des dépendances critiques de la chaîne d’approvisionnement, à l’alignement des plans de diversification et à la coopération avec les services douaniers afin de faciliter l’entrée de biens essentiels dans l’UE ou de garantir l’application d’éventuelles restrictions à l’exportation. Les acquisitions conjointes et centralisées</w:t>
      </w:r>
      <w:r w:rsidRPr="00EF4761">
        <w:rPr>
          <w:rStyle w:val="FootnoteReference"/>
          <w:noProof/>
          <w:lang w:val="en-US"/>
        </w:rPr>
        <w:footnoteReference w:id="9"/>
      </w:r>
      <w:r>
        <w:rPr>
          <w:noProof/>
        </w:rPr>
        <w:t xml:space="preserve"> peuvent optimiser efficacement l’acquisition de ressources et la coopération en matière de biens essentiels entre les États membres et devraient être encore améliorées. La coopération</w:t>
      </w:r>
      <w:bookmarkStart w:id="2" w:name="_Int_dVi3f2Ot"/>
      <w:r>
        <w:rPr>
          <w:noProof/>
        </w:rPr>
        <w:t>concernant</w:t>
      </w:r>
      <w:bookmarkEnd w:id="2"/>
      <w:r>
        <w:rPr>
          <w:noProof/>
        </w:rPr>
        <w:t xml:space="preserve"> le choix de lieux sûrs et stratégiques pour le stockage des biens essentiels dans l’ensemble de l’UE, compte tenu des besoins régionaux, favorisera la résilience et l’efficacité globales. Les bonnes pratiques et les enseignements tirés en ce qui concerne la gestion, le suivi en temps réel, le contrôle de l’état, les alertes d’expiration, la rotation des et la durée de conservation des stocks, ainsi que la gestion des déchets peuvent être partagés.</w:t>
      </w:r>
    </w:p>
    <w:p w14:paraId="2E4C875A" w14:textId="77777777" w:rsidR="00180532" w:rsidRPr="004E369A" w:rsidRDefault="00180532" w:rsidP="00180532">
      <w:pPr>
        <w:pStyle w:val="NoSpacing"/>
        <w:jc w:val="both"/>
        <w:rPr>
          <w:noProof/>
          <w:lang w:val="fr-BE"/>
        </w:rPr>
      </w:pPr>
    </w:p>
    <w:p w14:paraId="48F142D0" w14:textId="77777777" w:rsidR="00180532" w:rsidRPr="00EF4761" w:rsidRDefault="00180532" w:rsidP="00180532">
      <w:pPr>
        <w:pStyle w:val="NoSpacing"/>
        <w:jc w:val="both"/>
        <w:rPr>
          <w:noProof/>
        </w:rPr>
      </w:pPr>
      <w:r>
        <w:rPr>
          <w:noProof/>
        </w:rPr>
        <w:t xml:space="preserve">Parmi les bons exemples d’initiatives sectorielles coordonnant et </w:t>
      </w:r>
      <w:r>
        <w:rPr>
          <w:b/>
          <w:noProof/>
        </w:rPr>
        <w:t>renforçant les approches des États membres en matière de constitution de stocks</w:t>
      </w:r>
      <w:r>
        <w:rPr>
          <w:noProof/>
        </w:rPr>
        <w:t xml:space="preserve"> figurent les mécanismes pour les produits agroalimentaires, les intrants agricoles essentiels et les contre-mesures médicales. Le renforcement des stocks des États membres peut également être envisagé pour le combustible nucléaire dans le cadre de la mise en œuvre de la feuille de route visant à mettre un terme aux importations d’énergie russe. Dans le secteur des produits agroalimentaires, le mécanisme européen de préparation et de réaction aux crises de sécurité alimentaire devrait être approfondi et rendu opérationnel afin de renforcer l’échange d’informations, la transparence et la solidarité dans le cadre de la constitution de stocks</w:t>
      </w:r>
      <w:r>
        <w:rPr>
          <w:rStyle w:val="FootnoteReference"/>
          <w:noProof/>
          <w:lang w:val="en-US"/>
        </w:rPr>
        <w:footnoteReference w:id="10"/>
      </w:r>
      <w:r>
        <w:rPr>
          <w:noProof/>
        </w:rPr>
        <w:t xml:space="preserve"> entre les États membres, les parties prenantes et les institutions de l’UE, en coordination avec les instruments relevant de l’organisation commune des marchés (OCM). Conformément au pacte pour une industrie propre, la plateforme pour l’agrégation de la demande et l’achat commun de matières premières constitue une première étape vers la mise en place d’un centre de l’UE dédié aux matières premières critiques qui devrait fournir une assistance pour ce qui est d’acheter conjointement des matières premières, de coordonner les stocks stratégiques, de superviser le suivi de la chaîne d’approvisionnement et d’encourager les investissements. Il convient de veiller à l’apprentissage et à la coordination intersectoriels.</w:t>
      </w:r>
    </w:p>
    <w:p w14:paraId="6A9D0B76" w14:textId="77777777" w:rsidR="00180532" w:rsidRPr="004E369A" w:rsidRDefault="00180532" w:rsidP="00180532">
      <w:pPr>
        <w:pStyle w:val="NoSpacing"/>
        <w:jc w:val="both"/>
        <w:rPr>
          <w:noProof/>
          <w:lang w:val="fr-BE"/>
        </w:rPr>
      </w:pPr>
    </w:p>
    <w:p w14:paraId="62343982" w14:textId="44392932" w:rsidR="009770D8" w:rsidRDefault="00180532" w:rsidP="00180532">
      <w:pPr>
        <w:pStyle w:val="NoSpacing"/>
        <w:jc w:val="both"/>
        <w:rPr>
          <w:noProof/>
        </w:rPr>
      </w:pPr>
      <w:r>
        <w:rPr>
          <w:noProof/>
        </w:rPr>
        <w:t xml:space="preserve">Il y a lieu, en s’inspirant de la réserve européenne de protection civile relevant du mécanisme de protection civile de l’Union (MPCU), d’étudier les possibilités de mettre en place un système d’échange d’informations permettant aux États membres de notifier à l’UE </w:t>
      </w:r>
      <w:r>
        <w:rPr>
          <w:b/>
          <w:noProof/>
        </w:rPr>
        <w:t>tout bien essentiel disponible en vue d’un transfert volontaire vers un autre État membre en cas de crise</w:t>
      </w:r>
      <w:r>
        <w:rPr>
          <w:noProof/>
        </w:rPr>
        <w:t xml:space="preserve">. Un tel système pourrait prévoir la coordination des coûts de transport et de déploiement par l’intermédiaire de la Commission au sein du MPCU. Enfin, il est essentiel d’établir des critères communs pour la libération coordonnée des stocks en cas d’urgence  </w:t>
      </w:r>
    </w:p>
    <w:p w14:paraId="29051B82" w14:textId="77777777" w:rsidR="009770D8" w:rsidRPr="00EF4761" w:rsidRDefault="009770D8" w:rsidP="00180532">
      <w:pPr>
        <w:pStyle w:val="NoSpacing"/>
        <w:jc w:val="both"/>
        <w:rPr>
          <w:noProof/>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180532" w:rsidRPr="00EF4761" w14:paraId="7754CA82" w14:textId="77777777" w:rsidTr="009770D8">
        <w:trPr>
          <w:trHeight w:val="300"/>
        </w:trPr>
        <w:tc>
          <w:tcPr>
            <w:tcW w:w="8610" w:type="dxa"/>
            <w:shd w:val="clear" w:color="auto" w:fill="F2F2F2" w:themeFill="background1" w:themeFillShade="F2"/>
          </w:tcPr>
          <w:p w14:paraId="7BAA2141" w14:textId="77777777" w:rsidR="00180532" w:rsidRPr="00EF4761" w:rsidRDefault="00180532">
            <w:pPr>
              <w:spacing w:after="0"/>
              <w:rPr>
                <w:b/>
                <w:noProof/>
                <w:color w:val="000000" w:themeColor="text1"/>
              </w:rPr>
            </w:pPr>
            <w:bookmarkStart w:id="3" w:name="_Hlk200647807"/>
            <w:r>
              <w:rPr>
                <w:b/>
                <w:noProof/>
                <w:color w:val="000000" w:themeColor="text1"/>
              </w:rPr>
              <w:t xml:space="preserve">Actions clés: </w:t>
            </w:r>
          </w:p>
          <w:p w14:paraId="48CAB532" w14:textId="77777777" w:rsidR="00180532" w:rsidRPr="00EF4761" w:rsidRDefault="00180532">
            <w:pPr>
              <w:spacing w:after="0"/>
              <w:rPr>
                <w:b/>
                <w:bCs/>
                <w:noProof/>
                <w:color w:val="000000" w:themeColor="text1"/>
                <w:lang w:val="en-IE"/>
              </w:rPr>
            </w:pPr>
          </w:p>
          <w:p w14:paraId="20A4BAE5" w14:textId="4A86F875" w:rsidR="00FE680A" w:rsidRPr="004466CE" w:rsidRDefault="4B344C55" w:rsidP="00FE680A">
            <w:pPr>
              <w:pStyle w:val="ListParagraph"/>
              <w:numPr>
                <w:ilvl w:val="0"/>
                <w:numId w:val="38"/>
              </w:numPr>
              <w:spacing w:after="0"/>
              <w:rPr>
                <w:noProof/>
                <w:color w:val="000000" w:themeColor="text1"/>
              </w:rPr>
            </w:pPr>
            <w:r>
              <w:rPr>
                <w:noProof/>
                <w:color w:val="000000" w:themeColor="text1"/>
              </w:rPr>
              <w:t xml:space="preserve">La Commission mettra en place un </w:t>
            </w:r>
            <w:r>
              <w:rPr>
                <w:b/>
                <w:noProof/>
                <w:color w:val="000000" w:themeColor="text1"/>
              </w:rPr>
              <w:t>réseau européen de constitution de stocks</w:t>
            </w:r>
            <w:r>
              <w:rPr>
                <w:noProof/>
                <w:color w:val="000000" w:themeColor="text1"/>
              </w:rPr>
              <w:t xml:space="preserve"> avec les États membres. Ce réseau servira d’enceinte de discussion et aura un rôle consultatif. Sans préjuger du rôle du Conseil en la matière, il devrait examiner les bonnes pratiques en matière de prospective, d’anticipation, de planification stratégique et d’évaluation du rapport coût-efficacité et élaborer des listes non exhaustives, dynamiques et régulièrement mises à jour de biens essentiels, adaptées aux différents scénarios de crise et aux différentes régions, en tenant compte des listes sectorielles existantes</w:t>
            </w:r>
            <w:r w:rsidR="00FE680A" w:rsidRPr="004466CE">
              <w:rPr>
                <w:rStyle w:val="FootnoteReference"/>
                <w:noProof/>
                <w:color w:val="000000" w:themeColor="text1"/>
              </w:rPr>
              <w:footnoteReference w:id="11"/>
            </w:r>
            <w:r>
              <w:rPr>
                <w:noProof/>
                <w:color w:val="000000" w:themeColor="text1"/>
              </w:rPr>
              <w:t>. Le réseau devrait formuler des recommandations sur des questions telles que les exigences en matière de volume, les systèmes de supervision connexes et la coordination des exigences minimales.</w:t>
            </w:r>
          </w:p>
          <w:p w14:paraId="23961F4D" w14:textId="19597739" w:rsidR="00180532" w:rsidRPr="00EF4761" w:rsidRDefault="197D61E8" w:rsidP="0043708A">
            <w:pPr>
              <w:pStyle w:val="ListParagraph"/>
              <w:numPr>
                <w:ilvl w:val="0"/>
                <w:numId w:val="38"/>
              </w:numPr>
              <w:spacing w:after="0" w:line="259" w:lineRule="auto"/>
              <w:rPr>
                <w:noProof/>
              </w:rPr>
            </w:pPr>
            <w:r>
              <w:rPr>
                <w:noProof/>
              </w:rPr>
              <w:t xml:space="preserve">Dans le cadre de ce nouveau réseau européen de constitution de stocks, la Commission renforcera </w:t>
            </w:r>
            <w:r>
              <w:rPr>
                <w:b/>
                <w:noProof/>
              </w:rPr>
              <w:t>l’interopérabilité des stocks et les dispositifs en matière de constitution de stocks, encouragera les échanges de bonnes pratiques</w:t>
            </w:r>
            <w:r>
              <w:rPr>
                <w:noProof/>
              </w:rPr>
              <w:t xml:space="preserve"> et collaborera avec les États membres afin d’établir des </w:t>
            </w:r>
            <w:r>
              <w:rPr>
                <w:b/>
                <w:noProof/>
              </w:rPr>
              <w:t>critères et des procédures intersectoriels</w:t>
            </w:r>
            <w:r>
              <w:rPr>
                <w:noProof/>
              </w:rPr>
              <w:t xml:space="preserve"> à l’échelle de l’UE pour les éléments opérationnels du cycle de constitution des stocks.</w:t>
            </w:r>
          </w:p>
          <w:p w14:paraId="513B822C" w14:textId="0D7379D9" w:rsidR="00180532" w:rsidRPr="00EF4761" w:rsidRDefault="197D61E8" w:rsidP="0043708A">
            <w:pPr>
              <w:pStyle w:val="ListParagraph"/>
              <w:numPr>
                <w:ilvl w:val="0"/>
                <w:numId w:val="38"/>
              </w:numPr>
              <w:spacing w:after="0" w:line="259" w:lineRule="auto"/>
              <w:rPr>
                <w:noProof/>
              </w:rPr>
            </w:pPr>
            <w:r>
              <w:rPr>
                <w:noProof/>
              </w:rPr>
              <w:t xml:space="preserve">Compte tenu des systèmes sectoriels existants, la Commission étudiera la faisabilité de la mise en place d’une </w:t>
            </w:r>
            <w:r>
              <w:rPr>
                <w:b/>
                <w:noProof/>
              </w:rPr>
              <w:t>plateforme pour des échanges de données sécurisés et détaillés</w:t>
            </w:r>
            <w:r>
              <w:rPr>
                <w:noProof/>
              </w:rPr>
              <w:t xml:space="preserve"> entre l’UE et les États membres sur les stocks d’urgence, en s’appuyant sur les capacités du centre de coordination de la réaction d’urgence. </w:t>
            </w:r>
          </w:p>
          <w:p w14:paraId="72FDAA79" w14:textId="60FA16BF" w:rsidR="00180532" w:rsidRPr="00EF4761" w:rsidRDefault="197D61E8" w:rsidP="0043708A">
            <w:pPr>
              <w:pStyle w:val="ListParagraph"/>
              <w:numPr>
                <w:ilvl w:val="0"/>
                <w:numId w:val="38"/>
              </w:numPr>
              <w:spacing w:after="0" w:line="259" w:lineRule="auto"/>
              <w:rPr>
                <w:noProof/>
              </w:rPr>
            </w:pPr>
            <w:r>
              <w:rPr>
                <w:noProof/>
              </w:rPr>
              <w:t xml:space="preserve">La Commission continuera à </w:t>
            </w:r>
            <w:r>
              <w:rPr>
                <w:b/>
                <w:noProof/>
              </w:rPr>
              <w:t xml:space="preserve">promouvoir des mécanismes d’acquisitions centralisées et/ou conjointes </w:t>
            </w:r>
            <w:r>
              <w:rPr>
                <w:noProof/>
              </w:rPr>
              <w:t>dans tous les secteurs, en s’appuyant sur des modèles tels que l’accord de passation de marchés pour les contre-mesures médicales ou les procédures d’achat de biens nécessaires en cas de crise au titre du règlement sur les situations d’urgence dans le marché intérieur et la résilience du marché intérieur (SURMI), rescEU ou la plateforme pour l’agrégation de la demande et l’achat commun de matières premières afin d’optimiser l’acquisition de ressources. En outre, elle révisera le cadre applicable aux marchés publics, comme annoncé dans la stratégie pour une union de la préparation.</w:t>
            </w:r>
          </w:p>
          <w:p w14:paraId="0881D1A8" w14:textId="77777777" w:rsidR="00180532" w:rsidRPr="004E369A" w:rsidRDefault="00180532">
            <w:pPr>
              <w:spacing w:after="0"/>
              <w:rPr>
                <w:noProof/>
                <w:color w:val="000000" w:themeColor="text1"/>
                <w:lang w:val="fr-BE"/>
              </w:rPr>
            </w:pPr>
          </w:p>
        </w:tc>
      </w:tr>
      <w:bookmarkEnd w:id="3"/>
    </w:tbl>
    <w:p w14:paraId="4D1EB019" w14:textId="77777777" w:rsidR="00180532" w:rsidRDefault="00180532" w:rsidP="000D5EB3">
      <w:pPr>
        <w:pStyle w:val="Heading1"/>
        <w:numPr>
          <w:ilvl w:val="0"/>
          <w:numId w:val="0"/>
        </w:numPr>
        <w:spacing w:after="160"/>
        <w:ind w:left="964"/>
        <w:contextualSpacing/>
        <w:rPr>
          <w:noProof/>
        </w:rPr>
      </w:pPr>
    </w:p>
    <w:p w14:paraId="1D456942" w14:textId="650D5FBD" w:rsidR="0601CCB6" w:rsidRPr="00EF4761" w:rsidRDefault="00F75BCC" w:rsidP="03FC6BAB">
      <w:pPr>
        <w:pStyle w:val="Heading1"/>
        <w:spacing w:after="160"/>
        <w:contextualSpacing/>
        <w:rPr>
          <w:noProof/>
        </w:rPr>
      </w:pPr>
      <w:r>
        <w:rPr>
          <w:noProof/>
        </w:rPr>
        <w:t xml:space="preserve">Prospective, anticipation et planification stratégique </w:t>
      </w:r>
    </w:p>
    <w:p w14:paraId="4A74A438" w14:textId="70588988" w:rsidR="2A683F2E" w:rsidRPr="00EF4761" w:rsidRDefault="0253D233" w:rsidP="0F000EAD">
      <w:pPr>
        <w:rPr>
          <w:noProof/>
          <w:color w:val="000000" w:themeColor="text1"/>
        </w:rPr>
      </w:pPr>
      <w:r>
        <w:rPr>
          <w:noProof/>
          <w:color w:val="000000" w:themeColor="text1"/>
        </w:rPr>
        <w:t>La prospective et l’anticipation, l’identification des menaces en temps utile (et les possibilités de constitution de stocks) sont essentielles pour une planification efficace des besoins en matière d’approvisionnement et de constitution de stocks pour les biens essentiels. Par ailleurs, une planification stratégique est nécessaire pour définir les mesures les plus appropriées, y compris d’un point de vue temporel, et les plus efficaces au regard des coûts afin de garantir que les biens essentiels sont disponibles et prêts en cas de crise ou de conflit. Les cadres juridiques de l’UE restent fragmentés à cet égard</w:t>
      </w:r>
      <w:r w:rsidR="00655F9A" w:rsidRPr="00A70170">
        <w:rPr>
          <w:rStyle w:val="FootnoteReference"/>
          <w:noProof/>
          <w:color w:val="000000" w:themeColor="text1"/>
        </w:rPr>
        <w:footnoteReference w:id="12"/>
      </w:r>
      <w:r>
        <w:rPr>
          <w:noProof/>
          <w:color w:val="000000" w:themeColor="text1"/>
        </w:rPr>
        <w:t xml:space="preserve"> et les pratiques varient d’un État membre à l’autre. Dans certains domaines, tels que la sécurité des câbles sous-marins et du réseau énergétique terrestre, l’espace, la défense, les produits agroalimentaires et les intrants agricoles essentiels, les soins de santé et les produits chimiques destinés au traitement de l’eau, il convient de remédier à l’absence, au niveau de l’UE, de dispositifs visant à garantir l’approvisionnement et la résilience.</w:t>
      </w:r>
    </w:p>
    <w:p w14:paraId="1C898CB4" w14:textId="6E61BF28" w:rsidR="00EF4761" w:rsidRDefault="00A60EBB" w:rsidP="0F000EAD">
      <w:pPr>
        <w:spacing w:after="200" w:line="259" w:lineRule="auto"/>
        <w:rPr>
          <w:noProof/>
        </w:rPr>
      </w:pPr>
      <w:r>
        <w:rPr>
          <w:noProof/>
          <w:color w:val="000000" w:themeColor="text1"/>
        </w:rPr>
        <w:t xml:space="preserve">Dans le cadre de la stratégie pour une union de la préparation, l’UE procédera à une </w:t>
      </w:r>
      <w:r>
        <w:rPr>
          <w:b/>
          <w:noProof/>
          <w:color w:val="000000" w:themeColor="text1"/>
        </w:rPr>
        <w:t>évaluation globale des risques et des menaces</w:t>
      </w:r>
      <w:r>
        <w:rPr>
          <w:noProof/>
          <w:color w:val="000000" w:themeColor="text1"/>
        </w:rPr>
        <w:t xml:space="preserve">. Cette évaluation permettra de se faire une meilleure idée des situations de crise et de conflit possibles et renforcera la sensibilisation aux risques transsectoriels et transfrontières pour les fonctions vitales de la société. </w:t>
      </w:r>
      <w:r>
        <w:rPr>
          <w:noProof/>
        </w:rPr>
        <w:t xml:space="preserve">Ce faisant, elle devrait soutenir les </w:t>
      </w:r>
      <w:r>
        <w:rPr>
          <w:b/>
          <w:noProof/>
        </w:rPr>
        <w:t>échanges avec les États membres sur les évaluations des risques, la planification, le recensement des biens essentiels manquants et les possibilités d’approvisionnement</w:t>
      </w:r>
      <w:r>
        <w:rPr>
          <w:noProof/>
        </w:rPr>
        <w:t xml:space="preserve"> et, à terme, faciliter la compréhension commune des besoins critiques. Parmi les bonnes pratiques en vigueur à cet égard figurent, par exemple, le comité mis en place au titre du règlement SURMI et le mécanisme européen de préparation et de réaction aux crises de sécurité alimentaire. </w:t>
      </w:r>
    </w:p>
    <w:p w14:paraId="429EFEFB" w14:textId="22163361" w:rsidR="00A20D1F" w:rsidRDefault="137DE789" w:rsidP="0F000EAD">
      <w:pPr>
        <w:spacing w:after="200" w:line="259" w:lineRule="auto"/>
        <w:rPr>
          <w:noProof/>
          <w:color w:val="000000" w:themeColor="text1"/>
        </w:rPr>
      </w:pPr>
      <w:r>
        <w:rPr>
          <w:noProof/>
          <w:color w:val="000000" w:themeColor="text1"/>
        </w:rPr>
        <w:t xml:space="preserve">En outre, au niveau de l’UE, les informations tirées des </w:t>
      </w:r>
      <w:r>
        <w:rPr>
          <w:b/>
          <w:noProof/>
          <w:color w:val="000000" w:themeColor="text1"/>
        </w:rPr>
        <w:t>évaluations des risques et des menaces</w:t>
      </w:r>
      <w:r w:rsidR="001C518F" w:rsidRPr="00EF4761">
        <w:rPr>
          <w:rStyle w:val="FootnoteReference"/>
          <w:noProof/>
          <w:color w:val="000000" w:themeColor="text1"/>
        </w:rPr>
        <w:footnoteReference w:id="13"/>
      </w:r>
      <w:r>
        <w:rPr>
          <w:noProof/>
          <w:color w:val="000000" w:themeColor="text1"/>
        </w:rPr>
        <w:t xml:space="preserve"> et des </w:t>
      </w:r>
      <w:r>
        <w:rPr>
          <w:b/>
          <w:noProof/>
          <w:color w:val="000000" w:themeColor="text1"/>
        </w:rPr>
        <w:t>systèmes de suivi des chaînes d’approvisionnement</w:t>
      </w:r>
      <w:r w:rsidR="00C04421" w:rsidRPr="00EF4761">
        <w:rPr>
          <w:rStyle w:val="FootnoteReference"/>
          <w:noProof/>
          <w:color w:val="000000" w:themeColor="text1"/>
        </w:rPr>
        <w:footnoteReference w:id="14"/>
      </w:r>
      <w:r>
        <w:rPr>
          <w:noProof/>
          <w:color w:val="000000" w:themeColor="text1"/>
        </w:rPr>
        <w:t xml:space="preserve"> devraient être rassemblées et mises à jour régulièrement, en intégrant les études prospectives sur la sécurité à long terme de l’approvisionnement</w:t>
      </w:r>
      <w:r w:rsidR="00C04421" w:rsidRPr="00EF4761">
        <w:rPr>
          <w:rStyle w:val="FootnoteReference"/>
          <w:noProof/>
          <w:color w:val="000000" w:themeColor="text1"/>
        </w:rPr>
        <w:footnoteReference w:id="15"/>
      </w:r>
      <w:r>
        <w:rPr>
          <w:noProof/>
          <w:color w:val="000000" w:themeColor="text1"/>
        </w:rPr>
        <w:t>. Des systèmes de suivi automatisés en temps réel, reposant éventuellement sur l’intelligence artificielle, lorsqu’il y a lieu, pourraient permettre d’anticiper et de suivre plus efficacement les perturbations du marché</w:t>
      </w:r>
      <w:r w:rsidR="5F36CE46" w:rsidRPr="00EF4761">
        <w:rPr>
          <w:rStyle w:val="FootnoteReference"/>
          <w:noProof/>
          <w:color w:val="000000" w:themeColor="text1"/>
        </w:rPr>
        <w:footnoteReference w:id="16"/>
      </w:r>
      <w:r>
        <w:rPr>
          <w:noProof/>
          <w:color w:val="000000" w:themeColor="text1"/>
        </w:rPr>
        <w:t xml:space="preserve">. Une meilleure coordination des différents instruments </w:t>
      </w:r>
      <w:r>
        <w:rPr>
          <w:b/>
          <w:noProof/>
          <w:color w:val="000000" w:themeColor="text1"/>
        </w:rPr>
        <w:t>améliorera la sensibilisation transfrontière et transectorielle aux risques et à la raréfaction de biens essentiels</w:t>
      </w:r>
      <w:r>
        <w:rPr>
          <w:noProof/>
          <w:color w:val="000000" w:themeColor="text1"/>
        </w:rPr>
        <w:t xml:space="preserve"> et permettra d’éviter les doubles emplois. </w:t>
      </w:r>
    </w:p>
    <w:p w14:paraId="5D12651C" w14:textId="36EF5526" w:rsidR="0601CCB6" w:rsidRPr="00AB4C1D" w:rsidRDefault="2405F476" w:rsidP="0F000EAD">
      <w:pPr>
        <w:spacing w:after="200" w:line="259" w:lineRule="auto"/>
        <w:rPr>
          <w:noProof/>
          <w:color w:val="000000" w:themeColor="text1"/>
        </w:rPr>
      </w:pPr>
      <w:r>
        <w:rPr>
          <w:noProof/>
          <w:color w:val="000000" w:themeColor="text1"/>
        </w:rPr>
        <w:t xml:space="preserve">Cette coordination améliorée passe notamment par la prise en compte du principe de </w:t>
      </w:r>
      <w:r>
        <w:rPr>
          <w:b/>
          <w:noProof/>
          <w:color w:val="000000" w:themeColor="text1"/>
        </w:rPr>
        <w:t>solidarité européenne au niveau des dispositifs de planification</w:t>
      </w:r>
      <w:r>
        <w:rPr>
          <w:noProof/>
          <w:color w:val="000000" w:themeColor="text1"/>
        </w:rPr>
        <w:t xml:space="preserve"> (soutien d’un État membre à un autre ou soutien provenant des stocks stratégiques de l’UE, par exemple), pour éviter ou surmonter les pénuries d’approvisionnement ou les perturbations de la chaîne d’approvisionnement qui entraînent des coûts élevés et ont des conséquences lourdes et pour faciliter les mouvements potentiels de stocks d’un pays de l’Union à l’autre.</w:t>
      </w:r>
    </w:p>
    <w:p w14:paraId="06E24A99" w14:textId="480430C0" w:rsidR="00FB231A" w:rsidRPr="00EF4761" w:rsidRDefault="00FB231A" w:rsidP="00FB231A">
      <w:pPr>
        <w:spacing w:line="259" w:lineRule="auto"/>
        <w:rPr>
          <w:noProof/>
          <w:color w:val="000000" w:themeColor="text1"/>
        </w:rPr>
      </w:pPr>
      <w:r>
        <w:rPr>
          <w:noProof/>
          <w:color w:val="000000" w:themeColor="text1"/>
        </w:rPr>
        <w:t xml:space="preserve">Les États membres devraient discuter du </w:t>
      </w:r>
      <w:r>
        <w:rPr>
          <w:b/>
          <w:noProof/>
          <w:color w:val="000000" w:themeColor="text1"/>
        </w:rPr>
        <w:t>champ d’application</w:t>
      </w:r>
      <w:r>
        <w:rPr>
          <w:noProof/>
          <w:color w:val="000000" w:themeColor="text1"/>
        </w:rPr>
        <w:t xml:space="preserve"> </w:t>
      </w:r>
      <w:r>
        <w:rPr>
          <w:b/>
          <w:noProof/>
          <w:color w:val="000000" w:themeColor="text1"/>
        </w:rPr>
        <w:t>cible</w:t>
      </w:r>
      <w:r>
        <w:rPr>
          <w:noProof/>
          <w:color w:val="000000" w:themeColor="text1"/>
        </w:rPr>
        <w:t xml:space="preserve"> des stocks (fondé sur les évaluations des risques décrites ci-dessus, afin de déterminer les domaines prioritaires) et des </w:t>
      </w:r>
      <w:r>
        <w:rPr>
          <w:b/>
          <w:noProof/>
          <w:color w:val="000000" w:themeColor="text1"/>
        </w:rPr>
        <w:t>niveaux de stocks minimaux appropriés</w:t>
      </w:r>
      <w:r>
        <w:rPr>
          <w:noProof/>
          <w:color w:val="000000" w:themeColor="text1"/>
        </w:rPr>
        <w:t xml:space="preserve"> dans des circonstances spécifiques dans les différents secteurs, afin également d’éviter le gaspillage lié au surstockage. Une approche commune pour ce qui est de déterminer les besoins et les volumes de biens essentiels permettra d’atteindre des niveaux comparables de préparation matérielle dans l’ensemble de l’UE, renforçant ainsi la préparation et la résilience globales, la solidarité et l’efficacité de la coopération, et évitant les distorsions du fonctionnement normal et de la viabilité du marché intérieur. </w:t>
      </w:r>
    </w:p>
    <w:p w14:paraId="1A7C39EF" w14:textId="5538E509" w:rsidR="00E31DA6" w:rsidRDefault="1A8B0D05" w:rsidP="0F000EAD">
      <w:pPr>
        <w:spacing w:line="259" w:lineRule="auto"/>
        <w:rPr>
          <w:noProof/>
        </w:rPr>
      </w:pPr>
      <w:r>
        <w:rPr>
          <w:noProof/>
          <w:color w:val="000000" w:themeColor="text1"/>
        </w:rPr>
        <w:t xml:space="preserve">Étant donné que la constitution de stocks est coûteuse et peut créer des déséquilibres du marché, les États membres et l’UE </w:t>
      </w:r>
      <w:r>
        <w:rPr>
          <w:b/>
          <w:noProof/>
          <w:color w:val="000000" w:themeColor="text1"/>
        </w:rPr>
        <w:t>devraient examiner différentes manières de garantir la disponibilité des biens essentiels</w:t>
      </w:r>
      <w:r>
        <w:rPr>
          <w:noProof/>
          <w:color w:val="000000" w:themeColor="text1"/>
        </w:rPr>
        <w:t xml:space="preserve"> dans leur processus de planification et évaluer la méthode de constitution de stocks à utiliser. </w:t>
      </w:r>
      <w:r>
        <w:rPr>
          <w:noProof/>
        </w:rPr>
        <w:t xml:space="preserve">Cette évaluation devrait notamment porter sur: l’incidence potentielle d’un risque sur une fonction vitale de la société; les contraintes de temps liées à une réaction; le chevauchement entre les différents outils et la redondance. En outre, il convient de tenir compte des défaillances du marché, de la disponibilité de capacités de production et de recyclage ainsi que des dépendances de l’UE à l’égard d’autres pays, dans un contexte de tensions géopolitiques croissantes.  </w:t>
      </w:r>
    </w:p>
    <w:p w14:paraId="39716B5E" w14:textId="2241AA21" w:rsidR="009770D8" w:rsidRDefault="7D3F2278" w:rsidP="0F000EAD">
      <w:pPr>
        <w:spacing w:line="259" w:lineRule="auto"/>
        <w:rPr>
          <w:noProof/>
          <w:color w:val="000000" w:themeColor="text1"/>
        </w:rPr>
      </w:pPr>
      <w:r>
        <w:rPr>
          <w:noProof/>
        </w:rPr>
        <w:t>La constitution de stocks et les autres mesures de préparation matérielle devraient être conçues de manière à réduire le plus possible les distorsions du marché et à éviter les effets indésirables d’une dynamique normale de l’offre et de la demande.</w:t>
      </w:r>
      <w:r>
        <w:rPr>
          <w:noProof/>
          <w:color w:val="000000" w:themeColor="text1"/>
        </w:rPr>
        <w:t xml:space="preserve"> Il existe plusieurs manières de rendre les chaînes d’approvisionnement plus souples et plus résilientes: en tirant des enseignements des bonnes pratiques des États membres et des pays tiers, en investissant dans la recherche et l’innovation, en renforçant l’autosuffisance de l’UE et de ses États membres, en améliorant l’efficacité et la circularité des matières à risque et en trouvant des solutions de remplacement. Il convient également d’envisager la conclusion d’accords avec le secteur privé</w:t>
      </w:r>
      <w:r w:rsidR="00E77C38">
        <w:rPr>
          <w:rStyle w:val="FootnoteReference"/>
          <w:noProof/>
          <w:color w:val="000000" w:themeColor="text1"/>
        </w:rPr>
        <w:footnoteReference w:id="17"/>
      </w:r>
      <w:r>
        <w:rPr>
          <w:noProof/>
          <w:color w:val="000000" w:themeColor="text1"/>
        </w:rPr>
        <w:t xml:space="preserve"> pour la fourniture de biens essentiels à brève échéance dans les situations d’urgence.</w:t>
      </w: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475"/>
      </w:tblGrid>
      <w:tr w:rsidR="001707B2" w:rsidRPr="00EF4761" w14:paraId="094F7C87" w14:textId="77777777" w:rsidTr="009770D8">
        <w:trPr>
          <w:trHeight w:val="300"/>
        </w:trPr>
        <w:tc>
          <w:tcPr>
            <w:tcW w:w="8475" w:type="dxa"/>
            <w:shd w:val="clear" w:color="auto" w:fill="F2F2F2" w:themeFill="background1" w:themeFillShade="F2"/>
          </w:tcPr>
          <w:p w14:paraId="58B617DF" w14:textId="3056E134" w:rsidR="001707B2" w:rsidRPr="00EF4761" w:rsidRDefault="42EBF693" w:rsidP="00EF4761">
            <w:pPr>
              <w:spacing w:after="0"/>
              <w:rPr>
                <w:b/>
                <w:noProof/>
                <w:color w:val="000000" w:themeColor="text1"/>
              </w:rPr>
            </w:pPr>
            <w:bookmarkStart w:id="4" w:name="_Hlk200647552"/>
            <w:r>
              <w:rPr>
                <w:b/>
                <w:noProof/>
                <w:color w:val="000000" w:themeColor="text1"/>
              </w:rPr>
              <w:t>Actions clés:</w:t>
            </w:r>
          </w:p>
          <w:p w14:paraId="74E90F0B" w14:textId="654C8885" w:rsidR="7D671C3D" w:rsidRPr="00EF4761" w:rsidRDefault="7D671C3D" w:rsidP="7D671C3D">
            <w:pPr>
              <w:pStyle w:val="ListParagraph"/>
              <w:spacing w:after="0"/>
              <w:ind w:left="360"/>
              <w:rPr>
                <w:noProof/>
                <w:color w:val="000000" w:themeColor="text1"/>
                <w:lang w:val="en-IE"/>
              </w:rPr>
            </w:pPr>
          </w:p>
          <w:p w14:paraId="686FA871" w14:textId="25F59A44" w:rsidR="001707B2" w:rsidRPr="00EF4761" w:rsidRDefault="15EDF35C" w:rsidP="09362A44">
            <w:pPr>
              <w:pStyle w:val="ListParagraph"/>
              <w:numPr>
                <w:ilvl w:val="0"/>
                <w:numId w:val="13"/>
              </w:numPr>
              <w:spacing w:after="0"/>
              <w:ind w:left="360"/>
              <w:rPr>
                <w:noProof/>
                <w:color w:val="000000" w:themeColor="text1"/>
              </w:rPr>
            </w:pPr>
            <w:r>
              <w:rPr>
                <w:noProof/>
                <w:color w:val="000000" w:themeColor="text1"/>
              </w:rPr>
              <w:t xml:space="preserve">La Commission </w:t>
            </w:r>
            <w:r>
              <w:rPr>
                <w:b/>
                <w:noProof/>
                <w:color w:val="000000" w:themeColor="text1"/>
              </w:rPr>
              <w:t>recensera les mécanismes sectoriels de suivi des chaînes d’approvisionnement</w:t>
            </w:r>
            <w:r>
              <w:rPr>
                <w:noProof/>
                <w:color w:val="000000" w:themeColor="text1"/>
              </w:rPr>
              <w:t xml:space="preserve"> et intégrera les </w:t>
            </w:r>
            <w:r>
              <w:rPr>
                <w:b/>
                <w:noProof/>
                <w:color w:val="000000" w:themeColor="text1"/>
              </w:rPr>
              <w:t>évaluations des risques pour la sécurité de l’approvisionnement et des vulnérabilités de la chaîne d’approvisionnement</w:t>
            </w:r>
            <w:r>
              <w:rPr>
                <w:noProof/>
                <w:color w:val="000000" w:themeColor="text1"/>
              </w:rPr>
              <w:t xml:space="preserve"> dans l’évaluation globale des risques et des menaces au niveau de l’UE (action clé dans le cadre de la stratégie pour une union de la préparation). Le futur pôle européen de coordination des crises anticipera et surveillera les risques liés aux crises transsectorielles.</w:t>
            </w:r>
          </w:p>
          <w:p w14:paraId="2F9885BD" w14:textId="3C77B489" w:rsidR="001707B2" w:rsidRPr="004E369A" w:rsidRDefault="001707B2" w:rsidP="001707B2">
            <w:pPr>
              <w:spacing w:after="0"/>
              <w:rPr>
                <w:noProof/>
                <w:color w:val="000000" w:themeColor="text1"/>
                <w:lang w:val="fr-BE"/>
              </w:rPr>
            </w:pPr>
          </w:p>
        </w:tc>
      </w:tr>
      <w:bookmarkEnd w:id="4"/>
    </w:tbl>
    <w:p w14:paraId="190D841B" w14:textId="5755B652" w:rsidR="01D82F8C" w:rsidRPr="004E369A" w:rsidRDefault="01D82F8C" w:rsidP="001707B2">
      <w:pPr>
        <w:spacing w:after="0"/>
        <w:rPr>
          <w:i/>
          <w:iCs/>
          <w:noProof/>
          <w:color w:val="000000" w:themeColor="text1"/>
          <w:lang w:val="fr-BE"/>
        </w:rPr>
      </w:pPr>
    </w:p>
    <w:p w14:paraId="4ACDB926" w14:textId="1CA99446" w:rsidR="00136264" w:rsidRPr="00EF4761" w:rsidRDefault="6471A379" w:rsidP="3500A2C8">
      <w:pPr>
        <w:pStyle w:val="Heading1"/>
        <w:rPr>
          <w:noProof/>
        </w:rPr>
      </w:pPr>
      <w:r>
        <w:rPr>
          <w:noProof/>
        </w:rPr>
        <w:t>Combler les lacunes grâce à la constitution de stocks stratégiques à l’échelle de l’UE</w:t>
      </w:r>
    </w:p>
    <w:p w14:paraId="31534088" w14:textId="16A250C6" w:rsidR="00485C4E" w:rsidRPr="00EF4761" w:rsidRDefault="71A5A917" w:rsidP="65F0571B">
      <w:pPr>
        <w:pStyle w:val="NoSpacing"/>
        <w:spacing w:line="259" w:lineRule="auto"/>
        <w:jc w:val="both"/>
        <w:rPr>
          <w:noProof/>
          <w:color w:val="000000" w:themeColor="text1"/>
        </w:rPr>
      </w:pPr>
      <w:r>
        <w:rPr>
          <w:noProof/>
          <w:color w:val="000000" w:themeColor="text1"/>
        </w:rPr>
        <w:t xml:space="preserve">La pandémie de COVID-19 a prouvé que les systèmes nationaux, même lorsqu’ils sont bien coordonnés, peuvent rapidement ne plus être en mesure de fournir des biens essentiels. Une action supplémentaire au niveau de l’UE était nécessaire pour faire face à une pénurie généralisée et simultanée dans tous les États membres, notamment dans les régions ultrapériphériques. Des crises complexes similaires, au cours desquelles tous les pays sont confrontés simultanément aux mêmes pénuries, risquent de se produire de plus en plus fréquemment à l’avenir; il est par conséquent essentiel de </w:t>
      </w:r>
      <w:r>
        <w:rPr>
          <w:b/>
          <w:noProof/>
          <w:color w:val="000000" w:themeColor="text1"/>
        </w:rPr>
        <w:t>développer</w:t>
      </w:r>
      <w:r>
        <w:rPr>
          <w:noProof/>
          <w:color w:val="000000" w:themeColor="text1"/>
        </w:rPr>
        <w:t xml:space="preserve"> davantage </w:t>
      </w:r>
      <w:r>
        <w:rPr>
          <w:b/>
          <w:noProof/>
          <w:color w:val="000000" w:themeColor="text1"/>
        </w:rPr>
        <w:t>la constitution de stocks stratégiques à l’échelle de l’UE</w:t>
      </w:r>
      <w:r>
        <w:rPr>
          <w:noProof/>
          <w:color w:val="000000" w:themeColor="text1"/>
        </w:rPr>
        <w:t>. Jusqu’à présent, l’approche adoptée au niveau de l’UE a été sectorielle et limitée.</w:t>
      </w:r>
    </w:p>
    <w:p w14:paraId="3BDA390C" w14:textId="6135ECB6" w:rsidR="0C09006D" w:rsidRPr="00EF4761" w:rsidRDefault="0C09006D" w:rsidP="0C09006D">
      <w:pPr>
        <w:pStyle w:val="NoSpacing"/>
        <w:spacing w:line="259" w:lineRule="auto"/>
        <w:jc w:val="both"/>
        <w:rPr>
          <w:noProof/>
          <w:color w:val="000000" w:themeColor="text1"/>
        </w:rPr>
      </w:pPr>
    </w:p>
    <w:p w14:paraId="2D45AEF6" w14:textId="70457053" w:rsidR="42DC9170" w:rsidRPr="00EF4761" w:rsidRDefault="00DE00B5" w:rsidP="0C09006D">
      <w:pPr>
        <w:pStyle w:val="NoSpacing"/>
        <w:spacing w:line="259" w:lineRule="auto"/>
        <w:jc w:val="both"/>
        <w:rPr>
          <w:noProof/>
          <w:color w:val="000000" w:themeColor="text1"/>
        </w:rPr>
      </w:pPr>
      <w:r>
        <w:rPr>
          <w:noProof/>
          <w:color w:val="000000" w:themeColor="text1"/>
        </w:rPr>
        <w:t>Par exemple, dans le cadre de l’initiative rescEU, le MPCU maintient, au niveau de l’UE, des réserves stratégiques pouvant être déployées rapidement en cas d’urgence notamment pour faire face à des catastrophes et pour fournir des contre</w:t>
      </w:r>
      <w:r>
        <w:rPr>
          <w:noProof/>
          <w:color w:val="000000" w:themeColor="text1"/>
        </w:rPr>
        <w:noBreakHyphen/>
        <w:t>mesures médicales. ReliefEU, la capacité d’intervention humanitaire européenne, détient des stocks de biens humanitaires dans le monde entier. Dans le domaine de la santé animale, la Commission gère des banques d’antigènes et de vaccins d’urgence pour les maladies transfrontières. L’Agence européenne pour la sécurité maritime dispose de navires de réserve pour intervenir en cas de marée noire. La Banque centrale européenne gère une réserve stratégique de billets de banque. La feuille de route REPowerEU, qui prévoit l’élimination coordonnée, sûre et progressive des importations de gaz, de pétrole et d’énergie nucléaire russes, de même que la constitution de stocks de composants essentiels afin de garantir une reprise rapide du transport et de la distribution d’énergie en cas d’interruption constituent d’autres exemples d’une approche de constitution de stocks à l’échelle de l’UE dans le domaine de l’énergie.</w:t>
      </w:r>
    </w:p>
    <w:p w14:paraId="045165CB" w14:textId="0F9F8FF9" w:rsidR="00485C4E" w:rsidRPr="00EF4761" w:rsidRDefault="00485C4E" w:rsidP="65F0571B">
      <w:pPr>
        <w:pStyle w:val="NoSpacing"/>
        <w:spacing w:line="259" w:lineRule="auto"/>
        <w:jc w:val="both"/>
        <w:rPr>
          <w:noProof/>
          <w:color w:val="000000" w:themeColor="text1"/>
        </w:rPr>
      </w:pPr>
    </w:p>
    <w:p w14:paraId="693423D0" w14:textId="0F5ACC1A" w:rsidR="03112C6A" w:rsidRPr="00EF4761" w:rsidRDefault="00DC16C1" w:rsidP="3331BF18">
      <w:pPr>
        <w:pStyle w:val="NoSpacing"/>
        <w:spacing w:line="259" w:lineRule="auto"/>
        <w:jc w:val="both"/>
        <w:rPr>
          <w:noProof/>
          <w:color w:val="000000" w:themeColor="text1"/>
        </w:rPr>
      </w:pPr>
      <w:r>
        <w:rPr>
          <w:noProof/>
          <w:color w:val="000000" w:themeColor="text1"/>
        </w:rPr>
        <w:t xml:space="preserve">Parmi ces mécanismes de constitution de stocks au niveau de l’UE figure </w:t>
      </w:r>
      <w:r>
        <w:rPr>
          <w:b/>
          <w:noProof/>
          <w:color w:val="000000" w:themeColor="text1"/>
        </w:rPr>
        <w:t>rescEU</w:t>
      </w:r>
      <w:r>
        <w:rPr>
          <w:noProof/>
          <w:color w:val="000000" w:themeColor="text1"/>
        </w:rPr>
        <w:t>, l’un des mécanismes transsectoriels les plus vastes et les plus polyvalents. Il constitue la pierre angulaire des dispositifs de constitution de stocks d’urgence à l’échelle de l’UE, dans un contexte où de tels dispositifs n’existent que dans un nombre limité de secteurs.</w:t>
      </w:r>
    </w:p>
    <w:p w14:paraId="116E17F9" w14:textId="1279910C" w:rsidR="03112C6A" w:rsidRPr="00EF4761" w:rsidRDefault="03112C6A" w:rsidP="677F3547">
      <w:pPr>
        <w:pStyle w:val="NoSpacing"/>
        <w:spacing w:line="259" w:lineRule="auto"/>
        <w:jc w:val="both"/>
        <w:rPr>
          <w:noProof/>
          <w:color w:val="000000" w:themeColor="text1"/>
        </w:rPr>
      </w:pPr>
    </w:p>
    <w:p w14:paraId="7164DEA1" w14:textId="364B9284" w:rsidR="00291D2B" w:rsidRPr="00EF4761" w:rsidRDefault="6A6198E6" w:rsidP="00291D2B">
      <w:pPr>
        <w:pStyle w:val="NoSpacing"/>
        <w:spacing w:after="240" w:line="259" w:lineRule="auto"/>
        <w:jc w:val="both"/>
        <w:rPr>
          <w:noProof/>
          <w:color w:val="000000" w:themeColor="text1"/>
        </w:rPr>
      </w:pPr>
      <w:r>
        <w:rPr>
          <w:noProof/>
          <w:color w:val="000000" w:themeColor="text1"/>
        </w:rPr>
        <w:t xml:space="preserve">À l’avenir, l’UE devrait </w:t>
      </w:r>
      <w:r>
        <w:rPr>
          <w:b/>
          <w:noProof/>
          <w:color w:val="000000" w:themeColor="text1"/>
        </w:rPr>
        <w:t>maintenir et renforcer ses réserves stratégiques,</w:t>
      </w:r>
      <w:r>
        <w:rPr>
          <w:noProof/>
          <w:color w:val="000000" w:themeColor="text1"/>
        </w:rPr>
        <w:t xml:space="preserve"> en s’appuyant sur le modèle rescEU (voir l’annexe 2 pour davantage de détails sur la consolidation de la réserve rescEU existante et les pistes possibles pour le futur). La Commission évaluera s’il est approprié ou non d’étendre les réserves stratégiques à d’autres types de capacités pour lesquelles des lacunes sont constatées. </w:t>
      </w:r>
    </w:p>
    <w:p w14:paraId="0508AEA8" w14:textId="244B7D5F" w:rsidR="03112C6A" w:rsidRPr="00EF4761" w:rsidRDefault="2A3AA2F9" w:rsidP="3500A2C8">
      <w:pPr>
        <w:pStyle w:val="NoSpacing"/>
        <w:spacing w:line="259" w:lineRule="auto"/>
        <w:jc w:val="both"/>
        <w:rPr>
          <w:noProof/>
          <w:color w:val="000000" w:themeColor="text1"/>
        </w:rPr>
      </w:pPr>
      <w:r>
        <w:rPr>
          <w:noProof/>
          <w:color w:val="000000" w:themeColor="text1"/>
        </w:rPr>
        <w:t xml:space="preserve">Il faudrait faire la synthèse entre cette évaluation et d’autres </w:t>
      </w:r>
      <w:r>
        <w:rPr>
          <w:b/>
          <w:noProof/>
          <w:color w:val="000000" w:themeColor="text1"/>
        </w:rPr>
        <w:t>analyses et recensements des lacunes dans des secteurs qui ne sont pas traditionnellement liés à la protection civile</w:t>
      </w:r>
      <w:r>
        <w:rPr>
          <w:noProof/>
          <w:color w:val="000000" w:themeColor="text1"/>
        </w:rPr>
        <w:t xml:space="preserve">, tels ceux mentionnés dans la récente stratégie pour la résilience dans le domaine de l’eau et dans le plan d’action de l’UE sur la sécurité des câbles. Par exemple, la stratégie de constitution de stocks de l’UE pourrait s’appliquer aux modules fonctionnels destinés à la réparation des câbles afin de garantir une remise en service rapide en cas de perturbations affectant les câbles de transport d’énergie ou les câbles en fibre optique. Pour certains biens, tels que les terres rares et les aimants permanents, les stocks d’urgence peuvent également servir de tampon, le temps que les chaînes d’approvisionnement touchées s’adaptent à une nouvelle réalité. </w:t>
      </w:r>
    </w:p>
    <w:p w14:paraId="6A21F7D7" w14:textId="7ACFDB1A" w:rsidR="03112C6A" w:rsidRPr="00EF4761" w:rsidRDefault="03112C6A" w:rsidP="3500A2C8">
      <w:pPr>
        <w:pStyle w:val="NoSpacing"/>
        <w:spacing w:line="259" w:lineRule="auto"/>
        <w:jc w:val="both"/>
        <w:rPr>
          <w:noProof/>
          <w:color w:val="000000" w:themeColor="text1"/>
          <w:szCs w:val="24"/>
        </w:rPr>
      </w:pPr>
    </w:p>
    <w:p w14:paraId="5922A0D5" w14:textId="62E7F6CB" w:rsidR="03112C6A" w:rsidRPr="00EF4761" w:rsidRDefault="6A6198E6" w:rsidP="0AAB7045">
      <w:pPr>
        <w:pStyle w:val="NoSpacing"/>
        <w:spacing w:after="240" w:line="259" w:lineRule="auto"/>
        <w:jc w:val="both"/>
        <w:rPr>
          <w:noProof/>
          <w:color w:val="000000" w:themeColor="text1"/>
        </w:rPr>
      </w:pPr>
      <w:r>
        <w:rPr>
          <w:b/>
          <w:noProof/>
          <w:color w:val="000000" w:themeColor="text1"/>
        </w:rPr>
        <w:t>Une coopération renforcée entre les secteurs public et privé</w:t>
      </w:r>
      <w:r>
        <w:rPr>
          <w:noProof/>
          <w:color w:val="000000" w:themeColor="text1"/>
        </w:rPr>
        <w:t xml:space="preserve"> et des solutions plus innovantes, telles que les stocks virtuels et les inventaires gérés par les fournisseurs, seront également envisagées. Par exemple, la Commission mettra en place un</w:t>
      </w:r>
      <w:r>
        <w:rPr>
          <w:noProof/>
        </w:rPr>
        <w:t xml:space="preserve"> </w:t>
      </w:r>
      <w:r>
        <w:rPr>
          <w:b/>
          <w:noProof/>
        </w:rPr>
        <w:t>centre de l’UE dédié aux matières premières critiques</w:t>
      </w:r>
      <w:r>
        <w:rPr>
          <w:noProof/>
        </w:rPr>
        <w:t xml:space="preserve"> en 2026 en vue d’effectuer des achats conjoints de matières premières pour le compte des entreprises intéressées et en coopération avec les États membres. Parmi les autres interventions possibles figurent le suivi de la chaîne d’approvisionnement et la coordination des stocks stratégiques</w:t>
      </w:r>
      <w:r w:rsidR="00DC7FBD" w:rsidRPr="00EF4761">
        <w:rPr>
          <w:rStyle w:val="FootnoteReference"/>
          <w:noProof/>
        </w:rPr>
        <w:footnoteReference w:id="18"/>
      </w:r>
      <w:r>
        <w:rPr>
          <w:noProof/>
        </w:rPr>
        <w:t>.</w:t>
      </w:r>
    </w:p>
    <w:p w14:paraId="514EA0D8" w14:textId="5133C8C2" w:rsidR="00E230EC" w:rsidRDefault="03112C6A" w:rsidP="00E230EC">
      <w:pPr>
        <w:pStyle w:val="NoSpacing"/>
        <w:spacing w:line="259" w:lineRule="auto"/>
        <w:jc w:val="both"/>
        <w:rPr>
          <w:noProof/>
          <w:color w:val="000000" w:themeColor="text1"/>
        </w:rPr>
      </w:pPr>
      <w:r>
        <w:rPr>
          <w:noProof/>
          <w:color w:val="000000" w:themeColor="text1"/>
        </w:rPr>
        <w:t xml:space="preserve">La Commission continuera également à veiller à l’application de </w:t>
      </w:r>
      <w:r>
        <w:rPr>
          <w:b/>
          <w:noProof/>
          <w:color w:val="000000" w:themeColor="text1"/>
        </w:rPr>
        <w:t>pratiques efficaces de gestion des stocks</w:t>
      </w:r>
      <w:r>
        <w:rPr>
          <w:noProof/>
          <w:color w:val="000000" w:themeColor="text1"/>
        </w:rPr>
        <w:t xml:space="preserve"> spécifiquement adaptées au type et à la nature de la réserve concernée. Pour que les pratiques de gestion des stocks soient efficaces, il ne suffit pas de mettre en place des technologies ou des systèmes avancés. Il faut aussi disposer de professionnels qualifiés pour la conception et la gestion des stocks, notamment pour faire face aux catastrophes naturelles et aux situations d’urgence. Faciliter la formation et la constitution d’une main</w:t>
      </w:r>
      <w:r>
        <w:rPr>
          <w:noProof/>
          <w:color w:val="000000" w:themeColor="text1"/>
        </w:rPr>
        <w:noBreakHyphen/>
        <w:t>d’œuvre dans ce domaine est une composante fondamentale de l’amélioration constante et de l’efficacité.</w:t>
      </w:r>
    </w:p>
    <w:p w14:paraId="24271A45" w14:textId="77777777" w:rsidR="00D524DE" w:rsidRPr="004E369A" w:rsidRDefault="00D524DE" w:rsidP="00E230EC">
      <w:pPr>
        <w:pStyle w:val="NoSpacing"/>
        <w:spacing w:line="259" w:lineRule="auto"/>
        <w:jc w:val="both"/>
        <w:rPr>
          <w:noProof/>
          <w:color w:val="000000" w:themeColor="text1"/>
          <w:lang w:val="fr-BE"/>
        </w:rPr>
      </w:pPr>
    </w:p>
    <w:p w14:paraId="4DAFDBAB" w14:textId="2954B778" w:rsidR="03112C6A" w:rsidRDefault="00E230EC" w:rsidP="1A490145">
      <w:pPr>
        <w:pStyle w:val="NoSpacing"/>
        <w:spacing w:line="259" w:lineRule="auto"/>
        <w:jc w:val="both"/>
        <w:rPr>
          <w:noProof/>
          <w:color w:val="000000" w:themeColor="text1"/>
        </w:rPr>
      </w:pPr>
      <w:r>
        <w:rPr>
          <w:noProof/>
          <w:color w:val="000000" w:themeColor="text1"/>
        </w:rPr>
        <w:t>Une gestion efficace des stocks englobe les pratiques de rotation et de reconstitution des stocks de biens, ainsi que le recours aux dons d’articles proches de leur date d’expiration. Elle suppose également d’évaluer la possibilité de constituer des stocks virtuels et de conclure des accords avec des opérateurs du secteur privé pour la fourniture de biens spécifiques, en temps de crise. À ce sujet, la Commission envisagera également le retour des biens qui peuvent être réutilisés après un premier déploiement, afin de maximiser la valeur ajoutée des moyens de rescEU.</w:t>
      </w:r>
    </w:p>
    <w:p w14:paraId="17579294" w14:textId="77777777" w:rsidR="00D524DE" w:rsidRDefault="00D524DE" w:rsidP="1A490145">
      <w:pPr>
        <w:pStyle w:val="NoSpacing"/>
        <w:spacing w:line="259" w:lineRule="auto"/>
        <w:jc w:val="both"/>
        <w:rPr>
          <w:noProof/>
          <w:color w:val="000000" w:themeColor="text1"/>
        </w:rPr>
      </w:pPr>
    </w:p>
    <w:p w14:paraId="65C89A58" w14:textId="2D64952B" w:rsidR="00D524DE" w:rsidRPr="00EF4761" w:rsidRDefault="00D524DE" w:rsidP="1A490145">
      <w:pPr>
        <w:pStyle w:val="NoSpacing"/>
        <w:spacing w:line="259" w:lineRule="auto"/>
        <w:jc w:val="both"/>
        <w:rPr>
          <w:noProof/>
          <w:color w:val="000000" w:themeColor="text1"/>
        </w:rPr>
      </w:pPr>
      <w:r>
        <w:rPr>
          <w:noProof/>
          <w:color w:val="000000" w:themeColor="text1"/>
        </w:rPr>
        <w:t>La mise en œuvre de cette stratégie devrait également tenir compte des défis spécifiques que représentent le stockage et l’approvisionnement dans les cas où les biens ne peuvent être entreposés que pendant une courte période, tels les radio-isotopes à usage médical et les matières brutes nécessaires à leur production.</w:t>
      </w:r>
    </w:p>
    <w:p w14:paraId="1C239183" w14:textId="77777777" w:rsidR="00DC7FBD" w:rsidRPr="00EF4761" w:rsidRDefault="00DC7FBD" w:rsidP="1A490145">
      <w:pPr>
        <w:pStyle w:val="NoSpacing"/>
        <w:spacing w:line="259" w:lineRule="auto"/>
        <w:jc w:val="both"/>
        <w:rPr>
          <w:noProof/>
          <w:color w:val="000000" w:themeColor="text1"/>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1707B2" w:rsidRPr="00EF4761" w14:paraId="5251D65E" w14:textId="77777777" w:rsidTr="00B5A9F7">
        <w:trPr>
          <w:cantSplit/>
        </w:trPr>
        <w:tc>
          <w:tcPr>
            <w:tcW w:w="8580" w:type="dxa"/>
            <w:shd w:val="clear" w:color="auto" w:fill="F2F2F2" w:themeFill="background1" w:themeFillShade="F2"/>
          </w:tcPr>
          <w:p w14:paraId="459960DF" w14:textId="33FC2FA1" w:rsidR="001707B2" w:rsidRPr="00EF4761" w:rsidRDefault="7FBB3608" w:rsidP="00EF4761">
            <w:pPr>
              <w:spacing w:after="0"/>
              <w:rPr>
                <w:b/>
                <w:noProof/>
                <w:color w:val="000000" w:themeColor="text1"/>
              </w:rPr>
            </w:pPr>
            <w:bookmarkStart w:id="5" w:name="_Hlk200647931"/>
            <w:r>
              <w:rPr>
                <w:b/>
                <w:noProof/>
                <w:color w:val="000000" w:themeColor="text1"/>
              </w:rPr>
              <w:t>Actions clés:</w:t>
            </w:r>
          </w:p>
          <w:p w14:paraId="15DAF5D1" w14:textId="29088C5E" w:rsidR="001707B2" w:rsidRPr="00EF4761" w:rsidRDefault="41A50C38" w:rsidP="001707B2">
            <w:pPr>
              <w:pStyle w:val="ListParagraph"/>
              <w:numPr>
                <w:ilvl w:val="1"/>
                <w:numId w:val="38"/>
              </w:numPr>
              <w:ind w:left="360"/>
              <w:rPr>
                <w:noProof/>
              </w:rPr>
            </w:pPr>
            <w:r>
              <w:rPr>
                <w:noProof/>
              </w:rPr>
              <w:t xml:space="preserve">La Commission </w:t>
            </w:r>
            <w:r>
              <w:rPr>
                <w:b/>
                <w:noProof/>
              </w:rPr>
              <w:t>renforcera rescEU</w:t>
            </w:r>
            <w:r>
              <w:rPr>
                <w:noProof/>
              </w:rPr>
              <w:t xml:space="preserve"> en tant que réserve de capacités de réaction à l’échelle de l’UE. RescEU sera élargi pour couvrir davantage de capacités, après consultation des États membres et sur la base d’une évaluation des lacunes, laquelle tiendra également compte des possibilités de réduire la vulnérabilité par l’optimisation de l’utilisation des ressources et un remplacement éventuel de celles-ci (voir l’annexe 2).</w:t>
            </w:r>
          </w:p>
          <w:p w14:paraId="6022EF18" w14:textId="12B1638C" w:rsidR="001707B2" w:rsidRPr="00EF4761" w:rsidRDefault="001707B2" w:rsidP="51C3B71B">
            <w:pPr>
              <w:pStyle w:val="ListParagraph"/>
              <w:numPr>
                <w:ilvl w:val="1"/>
                <w:numId w:val="38"/>
              </w:numPr>
              <w:ind w:left="360"/>
              <w:rPr>
                <w:i/>
                <w:iCs/>
                <w:noProof/>
              </w:rPr>
            </w:pPr>
            <w:r>
              <w:rPr>
                <w:noProof/>
              </w:rPr>
              <w:t xml:space="preserve">La Commission </w:t>
            </w:r>
            <w:r>
              <w:rPr>
                <w:b/>
                <w:noProof/>
              </w:rPr>
              <w:t>veillera à la reconstitution des stocks rescEU après déploiement</w:t>
            </w:r>
            <w:r>
              <w:rPr>
                <w:noProof/>
              </w:rPr>
              <w:t>, en adoptant une approche proactive du développement des capacités de rescEU</w:t>
            </w:r>
            <w:r>
              <w:rPr>
                <w:i/>
                <w:noProof/>
              </w:rPr>
              <w:t>.</w:t>
            </w:r>
          </w:p>
          <w:p w14:paraId="0D1DFBCE" w14:textId="6AC179D4" w:rsidR="001707B2" w:rsidRPr="00EF4761" w:rsidRDefault="0072430B" w:rsidP="0072430B">
            <w:pPr>
              <w:pStyle w:val="ListParagraph"/>
              <w:numPr>
                <w:ilvl w:val="1"/>
                <w:numId w:val="38"/>
              </w:numPr>
              <w:ind w:left="360"/>
              <w:rPr>
                <w:i/>
                <w:iCs/>
                <w:noProof/>
              </w:rPr>
            </w:pPr>
            <w:r>
              <w:rPr>
                <w:noProof/>
              </w:rPr>
              <w:t xml:space="preserve">La Commission s’emploiera à consolider les outils existants pour </w:t>
            </w:r>
            <w:r>
              <w:rPr>
                <w:b/>
                <w:noProof/>
              </w:rPr>
              <w:t>acheminer l’aide en nature du secteur privé dans le cadre de rescEU</w:t>
            </w:r>
            <w:r>
              <w:rPr>
                <w:noProof/>
              </w:rPr>
              <w:t>, tant pour la préparation que pour la réaction, laquelle viendra compléter les stocks stratégiques de l’UE.</w:t>
            </w:r>
          </w:p>
        </w:tc>
      </w:tr>
    </w:tbl>
    <w:bookmarkEnd w:id="5"/>
    <w:p w14:paraId="0338DD8B" w14:textId="757A6A92" w:rsidR="00F52C07" w:rsidRPr="00EF4761" w:rsidRDefault="571EEC54" w:rsidP="00F52C07">
      <w:pPr>
        <w:pStyle w:val="Heading1"/>
        <w:rPr>
          <w:noProof/>
        </w:rPr>
      </w:pPr>
      <w:r>
        <w:rPr>
          <w:noProof/>
        </w:rPr>
        <w:t xml:space="preserve">Renforcer une infrastructure de transport et de logistique solide et interopérable </w:t>
      </w:r>
    </w:p>
    <w:p w14:paraId="5B5F8831" w14:textId="21507447" w:rsidR="0A1878AF" w:rsidRPr="00EF4761" w:rsidRDefault="607C8BD0">
      <w:pPr>
        <w:rPr>
          <w:noProof/>
        </w:rPr>
      </w:pPr>
      <w:r>
        <w:rPr>
          <w:noProof/>
        </w:rPr>
        <w:t xml:space="preserve">Pour garantir la disponibilité intersectorielle et transfrontière des biens essentiels en temps de crise, il faut des infrastructures de transport, de logistique et de constitution de stocks solides et interopérables. Cela vaut pour l’ensemble du cycle de constitution de stocks, de la gestion des chaînes d’approvisionnement au déploiement, et nécessite l’implication de toutes les parties (États membres, Commission, secteur militaire et secteur privé). Les perturbations des chaînes logistiques peuvent avoir de graves répercussions sur la réaction aux crises, tant au niveau national qu’au niveau de l’UE. </w:t>
      </w:r>
    </w:p>
    <w:p w14:paraId="55D4754F" w14:textId="6FA674F2" w:rsidR="7FC9E13D" w:rsidRPr="00EF4761" w:rsidRDefault="57E5FDB9" w:rsidP="0F000EAD">
      <w:pPr>
        <w:rPr>
          <w:noProof/>
        </w:rPr>
      </w:pPr>
      <w:r>
        <w:rPr>
          <w:noProof/>
        </w:rPr>
        <w:t xml:space="preserve">L’UE devrait renforcer la coopération et la coordination afin de définir des </w:t>
      </w:r>
      <w:r>
        <w:rPr>
          <w:b/>
          <w:noProof/>
        </w:rPr>
        <w:t>politiques et des cadres réglementaires adaptables pour les mouvements transfrontières en temps de crise</w:t>
      </w:r>
      <w:r>
        <w:rPr>
          <w:noProof/>
        </w:rPr>
        <w:t xml:space="preserve"> et de perturbation. Il s’agit notamment de simplifier les procédures de déplacement et d’affectation des ressources par-delà les frontières et de prévoir une flexibilité ciblée dans la réglementation en matière de transport</w:t>
      </w:r>
      <w:r w:rsidR="00EE44E2" w:rsidRPr="00EF4761">
        <w:rPr>
          <w:rStyle w:val="FootnoteReference"/>
          <w:rFonts w:eastAsia="Aptos"/>
          <w:noProof/>
        </w:rPr>
        <w:footnoteReference w:id="19"/>
      </w:r>
      <w:r>
        <w:rPr>
          <w:noProof/>
        </w:rPr>
        <w:t xml:space="preserve">. Cette approche devrait être envisagée dans le contexte des travaux en cours et à venir sur la mobilité militaire, pour laquelle il est essentiel de fluidifier le transport transfrontière d’équipements et de personnel militaires à l’échelle de l’UE, notamment en temps de crise et de perturbations, pour renforcer la préparation, la réactivité et la crédibilité de la position dissuasive de l’UE. </w:t>
      </w:r>
    </w:p>
    <w:p w14:paraId="56F1BEA4" w14:textId="320F4F03" w:rsidR="085B9E19" w:rsidRPr="00EF4761" w:rsidRDefault="2468480F" w:rsidP="0F000EAD">
      <w:pPr>
        <w:rPr>
          <w:noProof/>
        </w:rPr>
      </w:pPr>
      <w:r>
        <w:rPr>
          <w:noProof/>
        </w:rPr>
        <w:t xml:space="preserve">En outre, l’UE devrait veiller à ce que ses </w:t>
      </w:r>
      <w:r>
        <w:rPr>
          <w:b/>
          <w:noProof/>
        </w:rPr>
        <w:t>infrastructures de constitution de stocks</w:t>
      </w:r>
      <w:r>
        <w:rPr>
          <w:noProof/>
        </w:rPr>
        <w:t xml:space="preserve"> soient résilientes, sûres et </w:t>
      </w:r>
      <w:r>
        <w:rPr>
          <w:b/>
          <w:noProof/>
        </w:rPr>
        <w:t>accessibles</w:t>
      </w:r>
      <w:r>
        <w:rPr>
          <w:noProof/>
        </w:rPr>
        <w:t xml:space="preserve">. </w:t>
      </w:r>
      <w:r>
        <w:rPr>
          <w:b/>
          <w:noProof/>
        </w:rPr>
        <w:t>Le partage d’informations sur les besoins et,</w:t>
      </w:r>
      <w:r>
        <w:rPr>
          <w:noProof/>
        </w:rPr>
        <w:t xml:space="preserve"> dans la mesure du possible, sur les </w:t>
      </w:r>
      <w:r>
        <w:rPr>
          <w:b/>
          <w:noProof/>
        </w:rPr>
        <w:t>sites de stockage</w:t>
      </w:r>
      <w:r>
        <w:rPr>
          <w:noProof/>
        </w:rPr>
        <w:t xml:space="preserve"> est essentiel pour développer correctement le réseau de transport. La constitution de stocks peut également contribuer à garantir la </w:t>
      </w:r>
      <w:r>
        <w:rPr>
          <w:b/>
          <w:noProof/>
        </w:rPr>
        <w:t>disponibilité des biens nécessaires pour préserver la résilience des entités de transport critiques</w:t>
      </w:r>
      <w:r>
        <w:rPr>
          <w:noProof/>
        </w:rPr>
        <w:t xml:space="preserve">, la continuité des activités et les fonctions essentielles de transport et de logistique. </w:t>
      </w:r>
    </w:p>
    <w:p w14:paraId="44DA9DAD" w14:textId="03C1B214" w:rsidR="0024710C" w:rsidRDefault="2DA5FDAB" w:rsidP="0F000EAD">
      <w:pPr>
        <w:rPr>
          <w:noProof/>
        </w:rPr>
      </w:pPr>
      <w:r>
        <w:rPr>
          <w:b/>
          <w:noProof/>
        </w:rPr>
        <w:t>Enfin, des systèmes de transport et de logistique civils et militaires interopérables</w:t>
      </w:r>
      <w:r>
        <w:rPr>
          <w:noProof/>
        </w:rPr>
        <w:t xml:space="preserve"> sont indispensables pour garantir la circulation rapide du personnel, des équipements et des stocks dans l’ensemble de l’UE pendant les crises et les conflits. Les investissements dans les infrastructures et autres actifs de transport critiques devraient exploiter les</w:t>
      </w:r>
      <w:r>
        <w:rPr>
          <w:b/>
          <w:noProof/>
        </w:rPr>
        <w:t xml:space="preserve"> possibilités d’un double usage. </w:t>
      </w:r>
      <w:r>
        <w:rPr>
          <w:noProof/>
        </w:rPr>
        <w:t xml:space="preserve">La planification des sites de stockage civils devrait être mieux coordonnée avec les travaux sur la </w:t>
      </w:r>
      <w:r>
        <w:rPr>
          <w:b/>
          <w:noProof/>
        </w:rPr>
        <w:t>mobilité militaire</w:t>
      </w:r>
      <w:r>
        <w:rPr>
          <w:noProof/>
        </w:rPr>
        <w:t xml:space="preserve"> en cours au niveau de l’UE, notamment avec le prochain train de mesures en la matière. Toute évaluation des risques liés à la constitution de stocks devrait </w:t>
      </w:r>
      <w:r>
        <w:rPr>
          <w:b/>
          <w:noProof/>
        </w:rPr>
        <w:t>recenser et éviter les goulets d’étranglement sur les itinéraires et nœuds de transport stratégiques.</w:t>
      </w:r>
      <w:r>
        <w:rPr>
          <w:noProof/>
        </w:rPr>
        <w:t xml:space="preserve"> </w:t>
      </w: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914917" w:rsidRPr="00EF4761" w14:paraId="31306C59" w14:textId="77777777" w:rsidTr="0024710C">
        <w:tc>
          <w:tcPr>
            <w:tcW w:w="8580" w:type="dxa"/>
            <w:shd w:val="clear" w:color="auto" w:fill="F2F2F2" w:themeFill="background1" w:themeFillShade="F2"/>
          </w:tcPr>
          <w:p w14:paraId="05742F76" w14:textId="0E62F546" w:rsidR="00914917" w:rsidRPr="00EF4761" w:rsidRDefault="4C31F8F3" w:rsidP="00EF4761">
            <w:pPr>
              <w:spacing w:after="0"/>
              <w:rPr>
                <w:b/>
                <w:noProof/>
                <w:color w:val="000000" w:themeColor="text1"/>
              </w:rPr>
            </w:pPr>
            <w:bookmarkStart w:id="6" w:name="_Hlk200648071"/>
            <w:r>
              <w:rPr>
                <w:b/>
                <w:noProof/>
                <w:color w:val="000000" w:themeColor="text1"/>
              </w:rPr>
              <w:t>Actions clés:</w:t>
            </w:r>
          </w:p>
          <w:p w14:paraId="3A6BC7AE" w14:textId="0E40D759" w:rsidR="7932FBB3" w:rsidRPr="00EF4761" w:rsidRDefault="7932FBB3" w:rsidP="7932FBB3">
            <w:pPr>
              <w:spacing w:after="0"/>
              <w:rPr>
                <w:noProof/>
                <w:color w:val="000000" w:themeColor="text1"/>
                <w:lang w:val="en-IE"/>
              </w:rPr>
            </w:pPr>
          </w:p>
          <w:p w14:paraId="7BD1959A" w14:textId="31E856DA" w:rsidR="00914917" w:rsidRPr="00EF4761" w:rsidRDefault="00914917" w:rsidP="00914917">
            <w:pPr>
              <w:pStyle w:val="ListParagraph"/>
              <w:numPr>
                <w:ilvl w:val="1"/>
                <w:numId w:val="38"/>
              </w:numPr>
              <w:spacing w:after="0" w:line="259" w:lineRule="auto"/>
              <w:ind w:left="360"/>
              <w:rPr>
                <w:noProof/>
              </w:rPr>
            </w:pPr>
            <w:r>
              <w:rPr>
                <w:noProof/>
              </w:rPr>
              <w:t xml:space="preserve">La Commission facilitera la </w:t>
            </w:r>
            <w:r>
              <w:rPr>
                <w:b/>
                <w:noProof/>
              </w:rPr>
              <w:t>coopération entre le réseau des points de contact nationaux pour les transports</w:t>
            </w:r>
            <w:r>
              <w:rPr>
                <w:noProof/>
              </w:rPr>
              <w:t xml:space="preserve">, qui a vocation à améliorer la coordination dans le secteur des transports, </w:t>
            </w:r>
            <w:r>
              <w:rPr>
                <w:b/>
                <w:noProof/>
              </w:rPr>
              <w:t>et le réseau de constitution de stocks de l’UE</w:t>
            </w:r>
            <w:r>
              <w:rPr>
                <w:noProof/>
              </w:rPr>
              <w:t>.</w:t>
            </w:r>
          </w:p>
          <w:p w14:paraId="32652A49" w14:textId="2E9FAB11" w:rsidR="00914917" w:rsidRPr="00EF4761" w:rsidRDefault="00A53D9A" w:rsidP="00914917">
            <w:pPr>
              <w:pStyle w:val="ListParagraph"/>
              <w:numPr>
                <w:ilvl w:val="1"/>
                <w:numId w:val="38"/>
              </w:numPr>
              <w:spacing w:after="0" w:line="259" w:lineRule="auto"/>
              <w:ind w:left="360"/>
              <w:rPr>
                <w:noProof/>
              </w:rPr>
            </w:pPr>
            <w:r>
              <w:rPr>
                <w:noProof/>
              </w:rPr>
              <w:t xml:space="preserve">S’appuyant sur les processus existants, la Commission, en collaboration avec les agences compétentes et d’autres parties prenantes, s’emploiera à promouvoir la </w:t>
            </w:r>
            <w:r>
              <w:rPr>
                <w:b/>
                <w:noProof/>
              </w:rPr>
              <w:t>préparation aux crises</w:t>
            </w:r>
            <w:r>
              <w:rPr>
                <w:noProof/>
              </w:rPr>
              <w:t xml:space="preserve"> conformément au plan d’urgence de l’UE pour les transports</w:t>
            </w:r>
            <w:r w:rsidR="00FB398B" w:rsidRPr="00EF4761">
              <w:rPr>
                <w:rStyle w:val="FootnoteReference"/>
                <w:noProof/>
                <w:lang w:val="en-US"/>
              </w:rPr>
              <w:footnoteReference w:id="20"/>
            </w:r>
            <w:r>
              <w:rPr>
                <w:noProof/>
              </w:rPr>
              <w:t>.</w:t>
            </w:r>
          </w:p>
          <w:p w14:paraId="1900079A" w14:textId="70D3CB1A" w:rsidR="00914917" w:rsidRPr="00EF4761" w:rsidRDefault="00024974" w:rsidP="00C931E2">
            <w:pPr>
              <w:pStyle w:val="ListParagraph"/>
              <w:numPr>
                <w:ilvl w:val="1"/>
                <w:numId w:val="38"/>
              </w:numPr>
              <w:spacing w:after="0" w:line="259" w:lineRule="auto"/>
              <w:ind w:left="360"/>
              <w:rPr>
                <w:noProof/>
              </w:rPr>
            </w:pPr>
            <w:r>
              <w:rPr>
                <w:noProof/>
              </w:rPr>
              <w:t xml:space="preserve">Tout en tenant dûment compte des préoccupations pertinentes en matière de sécurité, la Commission et le Service européen pour l’action extérieure (SEAE), ainsi que les États membres, s’efforceront d’améliorer l’alignement des </w:t>
            </w:r>
            <w:r>
              <w:rPr>
                <w:b/>
                <w:noProof/>
              </w:rPr>
              <w:t>sites de stockage sur la mobilité militaire de l’UE</w:t>
            </w:r>
            <w:r>
              <w:rPr>
                <w:noProof/>
              </w:rPr>
              <w:t>. Ils encourageront également les investissements dans les infrastructures et autres actifs de transport présentant des possibilités de double usage.</w:t>
            </w:r>
          </w:p>
        </w:tc>
      </w:tr>
      <w:tr w:rsidR="00C931E2" w:rsidRPr="00EF4761" w14:paraId="22A0D879" w14:textId="77777777" w:rsidTr="0024710C">
        <w:tc>
          <w:tcPr>
            <w:tcW w:w="8580" w:type="dxa"/>
            <w:shd w:val="clear" w:color="auto" w:fill="F2F2F2" w:themeFill="background1" w:themeFillShade="F2"/>
          </w:tcPr>
          <w:p w14:paraId="6819034F" w14:textId="77777777" w:rsidR="00C931E2" w:rsidRPr="004E369A" w:rsidRDefault="00C931E2" w:rsidP="00C931E2">
            <w:pPr>
              <w:spacing w:after="0"/>
              <w:rPr>
                <w:noProof/>
                <w:color w:val="000000" w:themeColor="text1"/>
                <w:szCs w:val="24"/>
                <w:lang w:val="fr-BE"/>
              </w:rPr>
            </w:pPr>
          </w:p>
        </w:tc>
      </w:tr>
    </w:tbl>
    <w:bookmarkEnd w:id="6"/>
    <w:p w14:paraId="4E44D976" w14:textId="5E728686" w:rsidR="00D742C4" w:rsidRPr="00EF4761" w:rsidRDefault="7C5EA901" w:rsidP="568176D8">
      <w:pPr>
        <w:pStyle w:val="Heading1"/>
        <w:spacing w:after="160"/>
        <w:rPr>
          <w:noProof/>
        </w:rPr>
      </w:pPr>
      <w:r>
        <w:rPr>
          <w:noProof/>
        </w:rPr>
        <w:t>Améliorer la coopération civile</w:t>
      </w:r>
      <w:r>
        <w:rPr>
          <w:noProof/>
        </w:rPr>
        <w:noBreakHyphen/>
        <w:t>militaire</w:t>
      </w:r>
    </w:p>
    <w:p w14:paraId="74F140F0" w14:textId="4CD561DE" w:rsidR="00D742C4" w:rsidRPr="00EF4761" w:rsidRDefault="6F1F8A6F" w:rsidP="0F000EAD">
      <w:pPr>
        <w:spacing w:line="259" w:lineRule="auto"/>
        <w:rPr>
          <w:noProof/>
        </w:rPr>
      </w:pPr>
      <w:r>
        <w:rPr>
          <w:noProof/>
        </w:rPr>
        <w:t>Dans de nombreux scénarios de crise, tels que les phénomènes météorologiques extrêmes, les autorités civiles ont besoin d’un soutien militaire. À l’inverse, une approche «tous risques» de la préparation matérielle de l’UE implique de se préparer aux crises et aux conflits de grande ampleur, où la coopération civile</w:t>
      </w:r>
      <w:r>
        <w:rPr>
          <w:noProof/>
        </w:rPr>
        <w:noBreakHyphen/>
        <w:t xml:space="preserve">militaire est indispensable. L’efficacité de la lutte contre les conséquences de toutes les formes d’attaques, y compris les menaces hybrides et les agressions armées, et de leur gestion dépend dans une large mesure des capacités et des ressources civiles. Pour améliorer et conserver sa préparation matérielle, sa capacité logistique et sa résilience, l’armée dépend du fonctionnement de systèmes sociétaux plus larges. </w:t>
      </w:r>
    </w:p>
    <w:p w14:paraId="4F19249F" w14:textId="71D3A31B" w:rsidR="45E1648C" w:rsidRPr="00EF4761" w:rsidRDefault="45E1648C" w:rsidP="09362A44">
      <w:pPr>
        <w:spacing w:after="160" w:line="257" w:lineRule="auto"/>
        <w:rPr>
          <w:noProof/>
        </w:rPr>
      </w:pPr>
      <w:r>
        <w:rPr>
          <w:noProof/>
        </w:rPr>
        <w:t>Par exemple, il est souligné dans la stratégie sur les contre</w:t>
      </w:r>
      <w:r>
        <w:rPr>
          <w:noProof/>
        </w:rPr>
        <w:noBreakHyphen/>
        <w:t xml:space="preserve">mesures médicales que les contre-mesures médicales nécessaires à un usage civil dans les hôpitaux ou à un usage militaire sur le front sont souvent les mêmes. </w:t>
      </w:r>
      <w:r>
        <w:rPr>
          <w:b/>
          <w:noProof/>
        </w:rPr>
        <w:t>Le renforcement de la coopération civile</w:t>
      </w:r>
      <w:r>
        <w:rPr>
          <w:b/>
          <w:noProof/>
        </w:rPr>
        <w:noBreakHyphen/>
        <w:t>militaire en matière de contre</w:t>
      </w:r>
      <w:r>
        <w:rPr>
          <w:b/>
          <w:noProof/>
        </w:rPr>
        <w:noBreakHyphen/>
        <w:t>mesures médicales</w:t>
      </w:r>
      <w:r>
        <w:rPr>
          <w:noProof/>
        </w:rPr>
        <w:t xml:space="preserve"> améliore la préparation sociétale et militaire aux situations d’urgence et stimule les capacités de production et de déploiement. </w:t>
      </w:r>
    </w:p>
    <w:p w14:paraId="0FE6BC65" w14:textId="709C3B50" w:rsidR="00D742C4" w:rsidRPr="00EF4761" w:rsidRDefault="3A554719" w:rsidP="0F000EAD">
      <w:pPr>
        <w:spacing w:line="259" w:lineRule="auto"/>
        <w:rPr>
          <w:noProof/>
        </w:rPr>
      </w:pPr>
      <w:r>
        <w:rPr>
          <w:noProof/>
        </w:rPr>
        <w:t xml:space="preserve">La proposition actuelle de la Commission relative au programme pour l’industrie européenne de la défense (EDIP) contient des propositions importantes concernant les activités de constitution de stocks militaires, ainsi que de nouveaux éléments pertinents pour la </w:t>
      </w:r>
      <w:r>
        <w:rPr>
          <w:b/>
          <w:noProof/>
        </w:rPr>
        <w:t>coopération civile</w:t>
      </w:r>
      <w:r>
        <w:rPr>
          <w:b/>
          <w:noProof/>
        </w:rPr>
        <w:noBreakHyphen/>
        <w:t>militaire en matière de préparation matérielle.</w:t>
      </w:r>
      <w:r>
        <w:rPr>
          <w:noProof/>
        </w:rPr>
        <w:t xml:space="preserve"> Elle souligne la nécessité d’un régime de l’UE pour la sécurité de l’approvisionnement de l’industrie de la défense, qui devrait permettre à l’UE et aux États membres d’anticiper les crises d’approvisionnement et de faire face à leurs conséquences en prenant diverses mesures, par exemple en adaptant des produits civils et en constituant des stocks stratégiques.</w:t>
      </w:r>
      <w:r>
        <w:rPr>
          <w:i/>
          <w:noProof/>
        </w:rPr>
        <w:t xml:space="preserve"> </w:t>
      </w:r>
      <w:r>
        <w:rPr>
          <w:noProof/>
        </w:rPr>
        <w:t xml:space="preserve">Une fois entré en vigueur, l’EDIP fournirait un cadre permettant d’encore renforcer la coopération en matière de constitution de stocks militaires, par exemple en soutenant financièrement les activités de constitution de stocks de défense des États membres. Il existe des possibilités évidentes d’amélioration de </w:t>
      </w:r>
      <w:r>
        <w:rPr>
          <w:b/>
          <w:noProof/>
        </w:rPr>
        <w:t>l’interopérabilité, de l’interchangeabilité et de la complémentarité des moyens civils et des moyens du secteur de la défense, des biens à double usage et/ou des stocks partagés</w:t>
      </w:r>
      <w:r>
        <w:rPr>
          <w:noProof/>
        </w:rPr>
        <w:t>, lorsque cela est pertinent pour les deux secteurs, en ce compris les infrastructures à double usage pour les communications, la navigation et l’observation spatiales.</w:t>
      </w:r>
    </w:p>
    <w:p w14:paraId="6FA2610F" w14:textId="4D0F409D" w:rsidR="00D742C4" w:rsidRPr="00EF4761" w:rsidRDefault="64A42C97" w:rsidP="404D0C96">
      <w:pPr>
        <w:pStyle w:val="NoSpacing"/>
        <w:spacing w:line="259" w:lineRule="auto"/>
        <w:jc w:val="both"/>
        <w:rPr>
          <w:b/>
          <w:bCs/>
          <w:noProof/>
        </w:rPr>
      </w:pPr>
      <w:r>
        <w:rPr>
          <w:noProof/>
        </w:rPr>
        <w:t xml:space="preserve">Dans le même temps, il est possible de </w:t>
      </w:r>
      <w:r>
        <w:rPr>
          <w:b/>
          <w:noProof/>
        </w:rPr>
        <w:t>renforcer la coopération et la coordination entre les parties prenantes civiles et militaires en matière de préparation matérielle,</w:t>
      </w:r>
      <w:r>
        <w:rPr>
          <w:noProof/>
        </w:rPr>
        <w:t xml:space="preserve"> notamment avec les partenaires partageant les mêmes valeurs, l’OTAN en particulier. </w:t>
      </w:r>
      <w:r>
        <w:rPr>
          <w:b/>
          <w:noProof/>
        </w:rPr>
        <w:t>La sécurité de l’approvisionnement et des stocks, la sécurité énergétique et hydrique, les contre</w:t>
      </w:r>
      <w:r>
        <w:rPr>
          <w:b/>
          <w:noProof/>
        </w:rPr>
        <w:noBreakHyphen/>
        <w:t>mesures médicales et la gestion stratégique des ressources</w:t>
      </w:r>
      <w:r>
        <w:rPr>
          <w:noProof/>
        </w:rPr>
        <w:t xml:space="preserve"> sont autant de domaines se prêtant à une coopération et à une coordination renforcées.</w:t>
      </w:r>
    </w:p>
    <w:p w14:paraId="07E1E956" w14:textId="77777777" w:rsidR="00306DE4" w:rsidRPr="00EF4761" w:rsidRDefault="00306DE4" w:rsidP="404D0C96">
      <w:pPr>
        <w:pStyle w:val="NoSpacing"/>
        <w:spacing w:line="259" w:lineRule="auto"/>
        <w:jc w:val="both"/>
        <w:rPr>
          <w:b/>
          <w:bCs/>
          <w:noProof/>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306DE4" w:rsidRPr="00EF4761" w14:paraId="29D5B97C" w14:textId="77777777" w:rsidTr="60DD02AF">
        <w:trPr>
          <w:cantSplit/>
        </w:trPr>
        <w:tc>
          <w:tcPr>
            <w:tcW w:w="9056" w:type="dxa"/>
            <w:shd w:val="clear" w:color="auto" w:fill="F2F2F2" w:themeFill="background1" w:themeFillShade="F2"/>
          </w:tcPr>
          <w:p w14:paraId="7B93338C" w14:textId="35F2FE94" w:rsidR="00306DE4" w:rsidRPr="00EF4761" w:rsidRDefault="2123314A" w:rsidP="00EF4761">
            <w:pPr>
              <w:spacing w:after="0"/>
              <w:rPr>
                <w:noProof/>
                <w:color w:val="000000" w:themeColor="text1"/>
              </w:rPr>
            </w:pPr>
            <w:bookmarkStart w:id="7" w:name="_Hlk200648172"/>
            <w:r>
              <w:rPr>
                <w:b/>
                <w:noProof/>
                <w:color w:val="000000" w:themeColor="text1"/>
              </w:rPr>
              <w:t>Actions clés:</w:t>
            </w:r>
            <w:r>
              <w:rPr>
                <w:noProof/>
                <w:color w:val="000000" w:themeColor="text1"/>
              </w:rPr>
              <w:t xml:space="preserve"> </w:t>
            </w:r>
          </w:p>
          <w:p w14:paraId="52D9A813" w14:textId="63237D43" w:rsidR="7932FBB3" w:rsidRPr="00EF4761" w:rsidRDefault="7932FBB3" w:rsidP="7932FBB3">
            <w:pPr>
              <w:spacing w:after="0"/>
              <w:rPr>
                <w:noProof/>
                <w:color w:val="000000" w:themeColor="text1"/>
                <w:lang w:val="en-IE"/>
              </w:rPr>
            </w:pPr>
          </w:p>
          <w:p w14:paraId="73BE1605" w14:textId="2806AFC1" w:rsidR="00306DE4" w:rsidRPr="00EF4761" w:rsidRDefault="00484357" w:rsidP="00306DE4">
            <w:pPr>
              <w:pStyle w:val="ListParagraph"/>
              <w:numPr>
                <w:ilvl w:val="1"/>
                <w:numId w:val="38"/>
              </w:numPr>
              <w:spacing w:line="259" w:lineRule="auto"/>
              <w:ind w:left="360"/>
              <w:rPr>
                <w:noProof/>
              </w:rPr>
            </w:pPr>
            <w:r>
              <w:rPr>
                <w:noProof/>
              </w:rPr>
              <w:t xml:space="preserve">En collaboration avec le SEAE, la Commission facilitera les </w:t>
            </w:r>
            <w:r>
              <w:rPr>
                <w:b/>
                <w:noProof/>
              </w:rPr>
              <w:t>discussions au sein du réseau de constitution de stocks de l’UE pour échanger les bonnes pratiques en matière de coopération civile</w:t>
            </w:r>
            <w:r>
              <w:rPr>
                <w:b/>
                <w:noProof/>
              </w:rPr>
              <w:noBreakHyphen/>
              <w:t>militaire,</w:t>
            </w:r>
            <w:r>
              <w:rPr>
                <w:noProof/>
              </w:rPr>
              <w:t xml:space="preserve"> en particulier pour examiner la manière dont les stocks civils pourraient tenir compte des besoins et des exigences militaires. </w:t>
            </w:r>
          </w:p>
          <w:p w14:paraId="5E5FB9BF" w14:textId="191FDF8B" w:rsidR="00306DE4" w:rsidRPr="00EF4761" w:rsidRDefault="0085234E" w:rsidP="60DD02AF">
            <w:pPr>
              <w:pStyle w:val="ListParagraph"/>
              <w:numPr>
                <w:ilvl w:val="1"/>
                <w:numId w:val="38"/>
              </w:numPr>
              <w:spacing w:line="259" w:lineRule="auto"/>
              <w:ind w:left="360"/>
              <w:rPr>
                <w:i/>
                <w:iCs/>
                <w:noProof/>
              </w:rPr>
            </w:pPr>
            <w:r>
              <w:rPr>
                <w:noProof/>
              </w:rPr>
              <w:t xml:space="preserve">En collaboration avec le SEAE, la Commission </w:t>
            </w:r>
            <w:r>
              <w:rPr>
                <w:b/>
                <w:noProof/>
              </w:rPr>
              <w:t>étendra la coopération en matière de personnel qui existe avec l’OTAN,</w:t>
            </w:r>
            <w:r>
              <w:rPr>
                <w:noProof/>
              </w:rPr>
              <w:t xml:space="preserve"> en particulier dans le cadre du dialogue structuré sur la résilience, aux fins de la préparation matérielle et de la constitution de stocks</w:t>
            </w:r>
            <w:r>
              <w:rPr>
                <w:i/>
                <w:noProof/>
              </w:rPr>
              <w:t>.</w:t>
            </w:r>
          </w:p>
          <w:p w14:paraId="23EF2E73" w14:textId="1965BF03" w:rsidR="00306DE4" w:rsidRPr="00EF4761" w:rsidRDefault="00306DE4" w:rsidP="00306DE4">
            <w:pPr>
              <w:pStyle w:val="ListParagraph"/>
              <w:spacing w:after="0" w:line="259" w:lineRule="auto"/>
              <w:ind w:left="360"/>
              <w:rPr>
                <w:i/>
                <w:iCs/>
                <w:noProof/>
              </w:rPr>
            </w:pPr>
          </w:p>
        </w:tc>
      </w:tr>
    </w:tbl>
    <w:bookmarkEnd w:id="7"/>
    <w:p w14:paraId="2E0D1EA9" w14:textId="23272752" w:rsidR="006C4A39" w:rsidRPr="00EF4761" w:rsidRDefault="61D2A87B" w:rsidP="005A2429">
      <w:pPr>
        <w:pStyle w:val="Heading1"/>
        <w:rPr>
          <w:noProof/>
        </w:rPr>
      </w:pPr>
      <w:r>
        <w:rPr>
          <w:noProof/>
        </w:rPr>
        <w:t>Promouvoir la coopération public</w:t>
      </w:r>
      <w:r>
        <w:rPr>
          <w:noProof/>
        </w:rPr>
        <w:noBreakHyphen/>
        <w:t>privé </w:t>
      </w:r>
    </w:p>
    <w:p w14:paraId="4AFF976C" w14:textId="6BF972E6" w:rsidR="00F25ED7" w:rsidRPr="00EF4761" w:rsidRDefault="09E6211D" w:rsidP="3500A2C8">
      <w:pPr>
        <w:spacing w:after="0" w:line="259" w:lineRule="auto"/>
        <w:rPr>
          <w:rFonts w:eastAsiaTheme="minorEastAsia"/>
          <w:noProof/>
        </w:rPr>
      </w:pPr>
      <w:r>
        <w:rPr>
          <w:noProof/>
        </w:rPr>
        <w:t>Chaque jour, les entreprises acquièrent, produisent, stockent et distribuent des biens essentiels et gèrent des infrastructures critiques. Elles sont toutefois de plus en plus exposées à des risques et à des menaces susceptibles d’avoir une incidence sur leurs chaînes d’approvisionnement et sur leurs activités normales. En cas de crise, ces perturbations pourraient constituer des risques graves pour la société. En outre, ainsi qu’il est reconnu dans la stratégie européenne en matière de sécurité économique, le secteur privé possède une grande expertise en matière de préparation matérielle. La participation des entreprises à toutes les phases de constitution des stocks (anticipation, gestion des chaînes d’approvisionnement, capacités de production, achats, gestion des stocks et déploiement) est essentielle pour renforcer l’efficacité. Bien qu’il existe déjà, au niveau de l’UE, différents cadres facilitant la coopération public</w:t>
      </w:r>
      <w:r>
        <w:rPr>
          <w:noProof/>
        </w:rPr>
        <w:noBreakHyphen/>
        <w:t>privé à cet égard</w:t>
      </w:r>
      <w:r w:rsidR="339D2E11" w:rsidRPr="00EF4761">
        <w:rPr>
          <w:rStyle w:val="FootnoteReference"/>
          <w:rFonts w:eastAsiaTheme="minorEastAsia"/>
          <w:noProof/>
          <w:lang w:val="en-IE"/>
        </w:rPr>
        <w:footnoteReference w:id="21"/>
      </w:r>
      <w:r>
        <w:rPr>
          <w:noProof/>
        </w:rPr>
        <w:t xml:space="preserve">, </w:t>
      </w:r>
      <w:r>
        <w:rPr>
          <w:b/>
          <w:noProof/>
        </w:rPr>
        <w:t>une approche intersectorielle plus complète, à l’échelle de l’UE,</w:t>
      </w:r>
      <w:r>
        <w:rPr>
          <w:noProof/>
        </w:rPr>
        <w:t xml:space="preserve"> contribuera à coordonner et à compléter les initiatives existantes.</w:t>
      </w:r>
    </w:p>
    <w:p w14:paraId="5B3D6B4A" w14:textId="77777777" w:rsidR="00180532" w:rsidRDefault="00180532" w:rsidP="3500A2C8">
      <w:pPr>
        <w:spacing w:after="0"/>
        <w:rPr>
          <w:rFonts w:eastAsiaTheme="minorEastAsia"/>
          <w:noProof/>
        </w:rPr>
      </w:pPr>
    </w:p>
    <w:p w14:paraId="040615E2" w14:textId="08C3D134" w:rsidR="00D058C5" w:rsidRPr="00EF4761" w:rsidRDefault="06601C3F" w:rsidP="3500A2C8">
      <w:pPr>
        <w:spacing w:after="0"/>
        <w:rPr>
          <w:rFonts w:eastAsiaTheme="minorEastAsia"/>
          <w:noProof/>
        </w:rPr>
      </w:pPr>
      <w:r>
        <w:rPr>
          <w:noProof/>
        </w:rPr>
        <w:t xml:space="preserve">La </w:t>
      </w:r>
      <w:r>
        <w:rPr>
          <w:b/>
          <w:noProof/>
        </w:rPr>
        <w:t>task</w:t>
      </w:r>
      <w:r>
        <w:rPr>
          <w:b/>
          <w:noProof/>
        </w:rPr>
        <w:noBreakHyphen/>
        <w:t>force public-privé en matière de préparation</w:t>
      </w:r>
      <w:r>
        <w:rPr>
          <w:noProof/>
        </w:rPr>
        <w:t>, qui sera mise en place dans le cadre de la stratégie pour une union de la préparation, entretiendra un dialogue effectif avec les représentants des entreprises concernées afin d’instaurer une forme de préparation plus souple permettant d’éliminer ou d’anticiper les goulets d’étranglement ou les risques dans la chaîne d’approvisionnement et de soutenir la constitution de stocks et la production d’urgence, en cas de besoin. La task</w:t>
      </w:r>
      <w:r>
        <w:rPr>
          <w:noProof/>
        </w:rPr>
        <w:noBreakHyphen/>
        <w:t>force public</w:t>
      </w:r>
      <w:r>
        <w:rPr>
          <w:noProof/>
        </w:rPr>
        <w:noBreakHyphen/>
        <w:t xml:space="preserve">privé en matière de préparation devrait apporter une contribution utile au réseau de </w:t>
      </w:r>
      <w:r>
        <w:rPr>
          <w:noProof/>
          <w:color w:val="000000" w:themeColor="text1"/>
        </w:rPr>
        <w:t>constitution de stocks de l’UE</w:t>
      </w:r>
      <w:r>
        <w:rPr>
          <w:noProof/>
        </w:rPr>
        <w:t xml:space="preserve">. </w:t>
      </w:r>
    </w:p>
    <w:p w14:paraId="3A295EBF" w14:textId="77777777" w:rsidR="00DA7983" w:rsidRPr="00EF4761" w:rsidRDefault="00DA7983" w:rsidP="0F000EAD">
      <w:pPr>
        <w:spacing w:after="0"/>
        <w:rPr>
          <w:rFonts w:eastAsiaTheme="minorEastAsia"/>
          <w:noProof/>
        </w:rPr>
      </w:pPr>
    </w:p>
    <w:p w14:paraId="2F803A70" w14:textId="477D2C5F" w:rsidR="254FA478" w:rsidRPr="00EF4761" w:rsidRDefault="00E83949" w:rsidP="0F000EAD">
      <w:pPr>
        <w:spacing w:after="0"/>
        <w:rPr>
          <w:rFonts w:eastAsiaTheme="minorEastAsia"/>
          <w:noProof/>
        </w:rPr>
      </w:pPr>
      <w:r>
        <w:rPr>
          <w:noProof/>
        </w:rPr>
        <w:t>La coopération au sein de cette task</w:t>
      </w:r>
      <w:r>
        <w:rPr>
          <w:noProof/>
        </w:rPr>
        <w:noBreakHyphen/>
        <w:t xml:space="preserve">force peut faciliter l’établissement, sur la base de critères clairs, d’une </w:t>
      </w:r>
      <w:r>
        <w:rPr>
          <w:b/>
          <w:noProof/>
        </w:rPr>
        <w:t>cartographie des principales entreprises européennes participant à la préparation matérielle</w:t>
      </w:r>
      <w:r>
        <w:rPr>
          <w:noProof/>
        </w:rPr>
        <w:t xml:space="preserve">. La coopération devrait également promouvoir l’échange de bonnes pratiques afin de soutenir les </w:t>
      </w:r>
      <w:r>
        <w:rPr>
          <w:b/>
          <w:noProof/>
        </w:rPr>
        <w:t>efforts déployés par les États membres et les entreprises pour améliorer leur résilience</w:t>
      </w:r>
      <w:r>
        <w:rPr>
          <w:noProof/>
        </w:rPr>
        <w:t xml:space="preserve"> face aux chocs internes et externes touchant les dispositifs de constitution de stocks, dans le respect des règles et des principes de concurrence et du marché unique ainsi que des exigences minimales en matière de préparation qui pourraient être adoptées à l’avenir comme le prévoit la stratégie pour une union de la préparation.</w:t>
      </w:r>
    </w:p>
    <w:p w14:paraId="12CDD366" w14:textId="3D77F92F" w:rsidR="0F000EAD" w:rsidRPr="00EF4761" w:rsidRDefault="0F000EAD" w:rsidP="0F000EAD">
      <w:pPr>
        <w:spacing w:after="0"/>
        <w:rPr>
          <w:rFonts w:eastAsiaTheme="minorEastAsia"/>
          <w:noProof/>
        </w:rPr>
      </w:pPr>
    </w:p>
    <w:p w14:paraId="3A700398" w14:textId="3CCA4D4A" w:rsidR="254FA478" w:rsidRPr="009D035C" w:rsidRDefault="254FA478" w:rsidP="0F000EAD">
      <w:pPr>
        <w:spacing w:after="0"/>
        <w:rPr>
          <w:noProof/>
          <w:color w:val="498205"/>
          <w:u w:val="single"/>
        </w:rPr>
      </w:pPr>
      <w:r>
        <w:rPr>
          <w:noProof/>
        </w:rPr>
        <w:t>De plus, l’UE devrait faciliter la coopération entre l’Union, les États membres et l’industrie pour la mise au point d’</w:t>
      </w:r>
      <w:r>
        <w:rPr>
          <w:b/>
          <w:noProof/>
        </w:rPr>
        <w:t>outils de partage d’informations</w:t>
      </w:r>
      <w:r>
        <w:rPr>
          <w:noProof/>
        </w:rPr>
        <w:t xml:space="preserve"> sur les chaînes d’approvisionnement critiques et la constitution de stocks, fondés sur les cadres sectoriels existants et respectant pleinement le droit de la concurrence de l’UE. </w:t>
      </w:r>
    </w:p>
    <w:p w14:paraId="59769291" w14:textId="68E02984" w:rsidR="0F000EAD" w:rsidRPr="009D035C" w:rsidRDefault="0F000EAD" w:rsidP="0F000EAD">
      <w:pPr>
        <w:spacing w:after="0"/>
        <w:rPr>
          <w:rFonts w:eastAsiaTheme="minorEastAsia"/>
          <w:noProof/>
        </w:rPr>
      </w:pPr>
    </w:p>
    <w:p w14:paraId="3A8F6322" w14:textId="3803DDE2" w:rsidR="00617589" w:rsidRPr="009D035C" w:rsidRDefault="00617589" w:rsidP="00617589">
      <w:pPr>
        <w:spacing w:after="0"/>
        <w:rPr>
          <w:noProof/>
          <w:color w:val="CA5010"/>
          <w:szCs w:val="24"/>
          <w:u w:val="single"/>
        </w:rPr>
      </w:pPr>
      <w:r>
        <w:rPr>
          <w:noProof/>
        </w:rPr>
        <w:t xml:space="preserve">Un modèle européen de dialogue proactif entre les secteurs public et privé est en outre nécessaire pour </w:t>
      </w:r>
      <w:r>
        <w:rPr>
          <w:b/>
          <w:noProof/>
        </w:rPr>
        <w:t>garantir la continuité des activités en cas de crise.</w:t>
      </w:r>
      <w:r>
        <w:rPr>
          <w:noProof/>
        </w:rPr>
        <w:t xml:space="preserve"> Il pourrait être utile de définir des procédures pour la fourniture de biens essentiels en cas d’urgence, pour les opérations de constitution de stocks communs et pour l’établissement de partenariats de crise avec des entreprises de logistique. L’expertise du secteur privé devrait être utilisée pour promouvoir la </w:t>
      </w:r>
      <w:r>
        <w:rPr>
          <w:b/>
          <w:noProof/>
        </w:rPr>
        <w:t>mise en place d’une gestion innovante des stocks</w:t>
      </w:r>
      <w:r>
        <w:rPr>
          <w:noProof/>
        </w:rPr>
        <w:t xml:space="preserve">, y compris des stocks virtuels. </w:t>
      </w:r>
    </w:p>
    <w:p w14:paraId="29DAE6CB" w14:textId="77777777" w:rsidR="00617589" w:rsidRPr="009D035C" w:rsidRDefault="00617589" w:rsidP="00617589">
      <w:pPr>
        <w:spacing w:after="0"/>
        <w:rPr>
          <w:rFonts w:eastAsiaTheme="minorEastAsia"/>
          <w:noProof/>
        </w:rPr>
      </w:pPr>
    </w:p>
    <w:p w14:paraId="251FBE4C" w14:textId="003AFBD2" w:rsidR="009770D8" w:rsidRPr="009770D8" w:rsidRDefault="00617589" w:rsidP="005A2429">
      <w:pPr>
        <w:spacing w:after="0"/>
        <w:rPr>
          <w:rFonts w:eastAsiaTheme="minorEastAsia"/>
          <w:noProof/>
        </w:rPr>
      </w:pPr>
      <w:r>
        <w:rPr>
          <w:noProof/>
        </w:rPr>
        <w:t xml:space="preserve">Les États membres ont mis en œuvre des </w:t>
      </w:r>
      <w:r>
        <w:rPr>
          <w:b/>
          <w:noProof/>
        </w:rPr>
        <w:t>modèles d’incitation</w:t>
      </w:r>
      <w:r>
        <w:rPr>
          <w:noProof/>
        </w:rPr>
        <w:t xml:space="preserve"> efficaces, tels que des incitations fiscales et des régimes de garantie, visant à compenser les surcoûts liés à la constitution de stocks, </w:t>
      </w:r>
      <w:r>
        <w:rPr>
          <w:b/>
          <w:noProof/>
        </w:rPr>
        <w:t>pour encourager la coopération du secteur privé</w:t>
      </w:r>
      <w:r>
        <w:rPr>
          <w:noProof/>
        </w:rPr>
        <w:t xml:space="preserve"> à la constitution de stocks stratégiques. Ces modèles devraient être examinés plus avant avec le secteur privé et partagés entre les États membres. </w:t>
      </w:r>
    </w:p>
    <w:p w14:paraId="61AB35C7" w14:textId="77777777" w:rsidR="009770D8" w:rsidRPr="00EF4761" w:rsidRDefault="009770D8" w:rsidP="005A2429">
      <w:pPr>
        <w:spacing w:after="0"/>
        <w:rPr>
          <w:rFonts w:eastAsiaTheme="minorEastAsia"/>
          <w:noProof/>
          <w:szCs w:val="24"/>
        </w:rPr>
      </w:pP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E139DE" w:rsidRPr="00EF4761" w14:paraId="01229140" w14:textId="77777777" w:rsidTr="009770D8">
        <w:tc>
          <w:tcPr>
            <w:tcW w:w="9056" w:type="dxa"/>
            <w:shd w:val="clear" w:color="auto" w:fill="F2F2F2" w:themeFill="background1" w:themeFillShade="F2"/>
          </w:tcPr>
          <w:p w14:paraId="0B2F330E" w14:textId="51498754" w:rsidR="00E139DE" w:rsidRPr="00EF4761" w:rsidRDefault="4312B99B" w:rsidP="00EF4761">
            <w:pPr>
              <w:spacing w:after="0"/>
              <w:rPr>
                <w:b/>
                <w:noProof/>
                <w:color w:val="000000" w:themeColor="text1"/>
              </w:rPr>
            </w:pPr>
            <w:r>
              <w:rPr>
                <w:b/>
                <w:noProof/>
                <w:color w:val="000000" w:themeColor="text1"/>
              </w:rPr>
              <w:t>Actions clés:</w:t>
            </w:r>
          </w:p>
          <w:p w14:paraId="767BA34B" w14:textId="7B705FD4" w:rsidR="7932FBB3" w:rsidRPr="00EF4761" w:rsidRDefault="7932FBB3" w:rsidP="7932FBB3">
            <w:pPr>
              <w:spacing w:after="0"/>
              <w:rPr>
                <w:noProof/>
                <w:color w:val="000000" w:themeColor="text1"/>
                <w:lang w:val="en-IE"/>
              </w:rPr>
            </w:pPr>
          </w:p>
          <w:p w14:paraId="00554CEC" w14:textId="77777777" w:rsidR="00451ACD" w:rsidRPr="00EF4761" w:rsidRDefault="00451ACD" w:rsidP="00451ACD">
            <w:pPr>
              <w:pStyle w:val="ListParagraph"/>
              <w:numPr>
                <w:ilvl w:val="1"/>
                <w:numId w:val="38"/>
              </w:numPr>
              <w:spacing w:line="259" w:lineRule="auto"/>
              <w:ind w:left="360"/>
              <w:rPr>
                <w:noProof/>
              </w:rPr>
            </w:pPr>
            <w:r>
              <w:rPr>
                <w:noProof/>
              </w:rPr>
              <w:t xml:space="preserve">Le </w:t>
            </w:r>
            <w:r>
              <w:rPr>
                <w:b/>
                <w:noProof/>
              </w:rPr>
              <w:t>réseau de constitution de stocks de l’UE recensera et cartographiera les bonnes pratiques, les solutions innovantes et les mesures d’incitation</w:t>
            </w:r>
            <w:r>
              <w:rPr>
                <w:noProof/>
              </w:rPr>
              <w:t xml:space="preserve"> qui encourageront les entreprises à contribuer au renforcement de la résilience et à l’approvisionnement en biens essentiels. Un lien sera établi entre cet exercice et les réflexions sur l’autonomie stratégique.</w:t>
            </w:r>
          </w:p>
          <w:p w14:paraId="392CA77F" w14:textId="3260D13C" w:rsidR="00E139DE" w:rsidRPr="00B34BA4" w:rsidRDefault="02FB5FD1" w:rsidP="00B34BA4">
            <w:pPr>
              <w:pStyle w:val="ListParagraph"/>
              <w:numPr>
                <w:ilvl w:val="1"/>
                <w:numId w:val="38"/>
              </w:numPr>
              <w:ind w:left="360"/>
              <w:rPr>
                <w:noProof/>
              </w:rPr>
            </w:pPr>
            <w:r>
              <w:rPr>
                <w:noProof/>
              </w:rPr>
              <w:t xml:space="preserve">Un </w:t>
            </w:r>
            <w:r>
              <w:rPr>
                <w:b/>
                <w:noProof/>
              </w:rPr>
              <w:t>volet de travail spécifique de la task</w:t>
            </w:r>
            <w:r>
              <w:rPr>
                <w:b/>
                <w:noProof/>
              </w:rPr>
              <w:noBreakHyphen/>
              <w:t>force public</w:t>
            </w:r>
            <w:r>
              <w:rPr>
                <w:b/>
                <w:noProof/>
              </w:rPr>
              <w:noBreakHyphen/>
              <w:t>privé en matière de préparation</w:t>
            </w:r>
            <w:r>
              <w:rPr>
                <w:noProof/>
              </w:rPr>
              <w:t xml:space="preserve"> prévue dans le cadre de la stratégie pour une union de la préparation consistera à discuter des critères à utiliser pour cartographier les principales entreprises européennes participant à la production de biens essentiels et à faciliter le partage des bonnes pratiques en matière de sécurisation des biens essentiels en cas de crise, et englobera la sécurité de la chaîne d’approvisionnement, l’utilisation efficace des ressources et la circularité, l’interopérabilité, les modèles innovants de constitution de stocks et la gestion, la rotation et le déploiement des stocks.</w:t>
            </w:r>
          </w:p>
        </w:tc>
      </w:tr>
    </w:tbl>
    <w:p w14:paraId="482EE8AD" w14:textId="77777777" w:rsidR="00E139DE" w:rsidRPr="00EF4761" w:rsidRDefault="00E139DE" w:rsidP="005A2429">
      <w:pPr>
        <w:spacing w:after="0"/>
        <w:rPr>
          <w:rFonts w:eastAsiaTheme="minorEastAsia"/>
          <w:noProof/>
          <w:szCs w:val="24"/>
        </w:rPr>
      </w:pPr>
    </w:p>
    <w:p w14:paraId="66C7B6B0" w14:textId="4065CFE2" w:rsidR="006C4A39" w:rsidRPr="007068D5" w:rsidRDefault="61D2A87B" w:rsidP="005A2429">
      <w:pPr>
        <w:pStyle w:val="Heading1"/>
        <w:rPr>
          <w:noProof/>
        </w:rPr>
      </w:pPr>
      <w:r>
        <w:rPr>
          <w:noProof/>
        </w:rPr>
        <w:t>Favoriser la coopération dans le cadre de l’action extérieure et des partenariats internationaux</w:t>
      </w:r>
    </w:p>
    <w:p w14:paraId="6B0B4126" w14:textId="39DD1267" w:rsidR="344EA410" w:rsidRPr="00EF4761" w:rsidRDefault="344EA410" w:rsidP="0F000EAD">
      <w:pPr>
        <w:pStyle w:val="Text1"/>
        <w:ind w:left="0"/>
        <w:rPr>
          <w:noProof/>
        </w:rPr>
      </w:pPr>
      <w:r>
        <w:rPr>
          <w:noProof/>
        </w:rPr>
        <w:t xml:space="preserve">Dans le monde interconnecté d’aujourd’hui, l’accès aux biens essentiels pendant les crises repose sur les chaînes d’approvisionnement mondiales. La sécurité et la résilience de l’UE et de son voisinage sont étroitement liées et constituent un facteur de stabilité. En favorisant les partenariats internationaux, en échangeant des bonnes pratiques et en utilisant ses instruments de politique extérieure, l’UE peut améliorer sa préparation matérielle. </w:t>
      </w:r>
    </w:p>
    <w:p w14:paraId="034052C6" w14:textId="783CA699" w:rsidR="5000D905" w:rsidRPr="00EF4761" w:rsidRDefault="33C765FF" w:rsidP="0F000EAD">
      <w:pPr>
        <w:pStyle w:val="Text1"/>
        <w:ind w:left="0"/>
        <w:rPr>
          <w:noProof/>
        </w:rPr>
      </w:pPr>
      <w:r>
        <w:rPr>
          <w:noProof/>
        </w:rPr>
        <w:t xml:space="preserve">L’UE devrait encore renforcer la </w:t>
      </w:r>
      <w:r>
        <w:rPr>
          <w:b/>
          <w:noProof/>
        </w:rPr>
        <w:t>coopération en matière de préparation matérielle avec les pays voisins,</w:t>
      </w:r>
      <w:r>
        <w:rPr>
          <w:noProof/>
        </w:rPr>
        <w:t xml:space="preserve"> en s’appuyant sur la coopération existante, par exemple avec les États participant au MPCU</w:t>
      </w:r>
      <w:r w:rsidR="5000D905" w:rsidRPr="00EF4761">
        <w:rPr>
          <w:rStyle w:val="FootnoteReference"/>
          <w:noProof/>
        </w:rPr>
        <w:footnoteReference w:id="22"/>
      </w:r>
      <w:r>
        <w:rPr>
          <w:noProof/>
        </w:rPr>
        <w:t xml:space="preserve"> ou avec les pays partenaires du système européen d’échange d’informations en cas d'urgence radiologique («ECURIE»)</w:t>
      </w:r>
      <w:r w:rsidR="000A358A" w:rsidRPr="00EF4761">
        <w:rPr>
          <w:rStyle w:val="FootnoteReference"/>
          <w:noProof/>
        </w:rPr>
        <w:footnoteReference w:id="23"/>
      </w:r>
      <w:r>
        <w:rPr>
          <w:noProof/>
        </w:rPr>
        <w:t>. Le futur nouveau pacte pour la Méditerranée offrira d’autres possibilités avec les pays du bassin méditerranéen et du Moyen</w:t>
      </w:r>
      <w:r>
        <w:rPr>
          <w:noProof/>
        </w:rPr>
        <w:noBreakHyphen/>
        <w:t>Orient, et la stratégie de l’UE pour la région de la mer Noire</w:t>
      </w:r>
      <w:r w:rsidR="00615EBD">
        <w:rPr>
          <w:rStyle w:val="FootnoteReference"/>
          <w:noProof/>
        </w:rPr>
        <w:footnoteReference w:id="24"/>
      </w:r>
      <w:r>
        <w:rPr>
          <w:noProof/>
        </w:rPr>
        <w:t xml:space="preserve">, lancée récemment, renforcera la préparation de l’Europe en améliorant les liaisons dans les domaines des transports, de l’énergie et du numérique. Les financements provenant d’instruments tels que l’instrument de voisinage, de coopération au développement et de coopération internationale (IVCDCI - Europe dans le monde) ou l’instrument d’aide de préadhésion (IAP III) sont essentiels pour bâtir une résilience mutuelle. L’UE devrait par ailleurs tirer des enseignements spécifiques de l’expérience de l’Ukraine concernant la garantie de l’approvisionnement en biens essentiels pendant un conflit armé. De plus, compte tenu de ce que vit l’Ukraine, elle devrait l’inclure plus systématiquement dans ses efforts de constitution de stocks, y compris dans les chaînes d’approvisionnement européennes. </w:t>
      </w:r>
    </w:p>
    <w:p w14:paraId="6C8D48F3" w14:textId="497AA4C9" w:rsidR="00954259" w:rsidRPr="00EF4761" w:rsidRDefault="763B7E07" w:rsidP="0F000EAD">
      <w:pPr>
        <w:pStyle w:val="Text1"/>
        <w:spacing w:line="259" w:lineRule="auto"/>
        <w:ind w:left="0"/>
        <w:rPr>
          <w:noProof/>
          <w:color w:val="000000" w:themeColor="text1"/>
        </w:rPr>
      </w:pPr>
      <w:r>
        <w:rPr>
          <w:noProof/>
        </w:rPr>
        <w:t xml:space="preserve">Afin d’atténuer les vulnérabilités de la chaîne d’approvisionnement et de renforcer son autonomie stratégique, l’UE devrait renforcer les alliances et accords stratégiques existants au niveau bilatéral et international et, au besoin, continuer à développer ou établir des </w:t>
      </w:r>
      <w:r>
        <w:rPr>
          <w:b/>
          <w:noProof/>
        </w:rPr>
        <w:t>partenariats</w:t>
      </w:r>
      <w:r>
        <w:rPr>
          <w:noProof/>
        </w:rPr>
        <w:t xml:space="preserve"> sur mesure et mutuellement avantageux </w:t>
      </w:r>
      <w:r>
        <w:rPr>
          <w:b/>
          <w:noProof/>
        </w:rPr>
        <w:t>avec des pays tiers</w:t>
      </w:r>
      <w:r>
        <w:rPr>
          <w:noProof/>
        </w:rPr>
        <w:t xml:space="preserve"> dans des secteurs tels que l’énergie, la santé, l’eau, la défense et les matières premières, tout en contribuant au développement durable.</w:t>
      </w:r>
      <w:r>
        <w:rPr>
          <w:noProof/>
          <w:color w:val="000000" w:themeColor="text1"/>
        </w:rPr>
        <w:t xml:space="preserve"> </w:t>
      </w:r>
      <w:r>
        <w:rPr>
          <w:noProof/>
        </w:rPr>
        <w:t xml:space="preserve">Les partenariats mutuellement avantageux établis dans le cadre de la </w:t>
      </w:r>
      <w:r>
        <w:rPr>
          <w:b/>
          <w:noProof/>
        </w:rPr>
        <w:t>stratégie «Global Gateway»</w:t>
      </w:r>
      <w:r>
        <w:rPr>
          <w:noProof/>
        </w:rPr>
        <w:t xml:space="preserve"> devraient être mis à profit, si nécessaire.</w:t>
      </w:r>
      <w:r>
        <w:rPr>
          <w:noProof/>
          <w:color w:val="000000" w:themeColor="text1"/>
        </w:rPr>
        <w:t xml:space="preserve"> En outre, il convient de recourir à des outils tels que</w:t>
      </w:r>
      <w:r>
        <w:rPr>
          <w:noProof/>
        </w:rPr>
        <w:t xml:space="preserve"> les accords de libre</w:t>
      </w:r>
      <w:r>
        <w:rPr>
          <w:noProof/>
        </w:rPr>
        <w:noBreakHyphen/>
        <w:t xml:space="preserve">échange, les partenariats pour des échanges et des investissements propres, les partenariats stratégiques sur les matières premières ou, à l’avenir, les partenariats stratégiques sur les médicaments critiques et les partenariats numériques. </w:t>
      </w:r>
    </w:p>
    <w:p w14:paraId="6BC5779B" w14:textId="135DBC78" w:rsidR="00954259" w:rsidRPr="00EF4761" w:rsidRDefault="253E2D51" w:rsidP="0F000EAD">
      <w:pPr>
        <w:pStyle w:val="Text1"/>
        <w:spacing w:line="259" w:lineRule="auto"/>
        <w:ind w:left="0"/>
        <w:rPr>
          <w:noProof/>
        </w:rPr>
      </w:pPr>
      <w:r>
        <w:rPr>
          <w:noProof/>
        </w:rPr>
        <w:t xml:space="preserve">L’UE devrait renforcer encore la </w:t>
      </w:r>
      <w:r>
        <w:rPr>
          <w:b/>
          <w:noProof/>
        </w:rPr>
        <w:t>coopération avec les organisations internationales et dans les enceintes multilatérales.</w:t>
      </w:r>
      <w:r>
        <w:rPr>
          <w:noProof/>
        </w:rPr>
        <w:t xml:space="preserve"> Par exemple, la participation de l’UE à l’Agence internationale de l’énergie (AIE), en particulier au programme de sécurité des minéraux critiques, et son partenariat avec l’Organisation japonaise pour la sécurité des approvisionnements en métaux et en énergie (JOGMEC) pour le suivi des matières premières critiques méritent d’être soulignés, tout comme son engagement auprès de Gavi, l’Alliance du vaccin, dans le secteur de la santé, pour la constitution de stocks de vaccins dans le monde.</w:t>
      </w:r>
    </w:p>
    <w:p w14:paraId="58171C86" w14:textId="7117D8F3" w:rsidR="62E96EE6" w:rsidRPr="00EF4761" w:rsidRDefault="4797BE6E" w:rsidP="318A07AD">
      <w:pPr>
        <w:pStyle w:val="Text1"/>
        <w:ind w:left="0"/>
        <w:rPr>
          <w:noProof/>
        </w:rPr>
      </w:pPr>
      <w:r>
        <w:rPr>
          <w:noProof/>
        </w:rPr>
        <w:t xml:space="preserve">L’UE devrait également recourir à des </w:t>
      </w:r>
      <w:r>
        <w:rPr>
          <w:b/>
          <w:noProof/>
        </w:rPr>
        <w:t>politiques économiques et de coopération extérieures</w:t>
      </w:r>
      <w:r>
        <w:rPr>
          <w:noProof/>
        </w:rPr>
        <w:t xml:space="preserve"> </w:t>
      </w:r>
      <w:r>
        <w:rPr>
          <w:b/>
          <w:noProof/>
        </w:rPr>
        <w:t>pour soutenir les infrastructures de transport, logistiques et numériques pertinentes.</w:t>
      </w:r>
      <w:r>
        <w:rPr>
          <w:noProof/>
        </w:rPr>
        <w:t xml:space="preserve"> Un accès ouvert et sûr aux biens communs mondiaux et aux domaines stratégiques, tels que les voies d’approvisionnement maritimes et les câbles sous</w:t>
      </w:r>
      <w:r>
        <w:rPr>
          <w:noProof/>
        </w:rPr>
        <w:noBreakHyphen/>
        <w:t xml:space="preserve">marins, est également essentiel pour garantir la sécurité de l’approvisionnement. Le câble sous-marin MEDUSA, soutenu par la Commission européenne et BEI Monde, fournira une connectivité à haut débit entre les rives nord et sud de la mer Méditerranée et sera élargi à l’Afrique de l’Ouest. Le corridor de transport transcaspien et les douze corridors prioritaires «Global Gateway» en Afrique sont eux aussi des exemples par excellence de l’attention accordée par l’UE à la création d’itinéraires de substitution durables pour le transport. Le corridor économique Inde – Moyen-Orient – Europe (IMEC) proposé sera susceptible de renforcer la connectivité entre les continents. </w:t>
      </w:r>
    </w:p>
    <w:p w14:paraId="48D84D58" w14:textId="22751FC7" w:rsidR="00E60E6C" w:rsidRPr="00EF4761" w:rsidRDefault="0042202D" w:rsidP="318A07AD">
      <w:pPr>
        <w:pStyle w:val="Text1"/>
        <w:ind w:left="0"/>
        <w:rPr>
          <w:noProof/>
        </w:rPr>
      </w:pPr>
      <w:r>
        <w:rPr>
          <w:noProof/>
        </w:rPr>
        <w:t>Lors de l’élaboration de ses stratégies de constitution de stocks, l’UE devrait veiller à ce que de telles mesures ne portent pas atteinte à la sécurité alimentaire mondiale. Dans ce contexte, elle continuera à s’impliquer dans les cadres de coopération internationale, tels que l’initiative du G20 relative à un système d’information sur les marchés agricoles (AMIS) qui promeut la transparence et la coordination sur les marchés agroalimentaires mondiaux.</w:t>
      </w:r>
    </w:p>
    <w:p w14:paraId="0D7E7EED" w14:textId="44A6A053" w:rsidR="62E96EE6" w:rsidRPr="00EF4761" w:rsidRDefault="1287CECC" w:rsidP="318A07AD">
      <w:pPr>
        <w:pStyle w:val="Text1"/>
        <w:ind w:left="0"/>
        <w:rPr>
          <w:noProof/>
        </w:rPr>
      </w:pPr>
      <w:r>
        <w:rPr>
          <w:noProof/>
        </w:rPr>
        <w:t xml:space="preserve">Enfin, l’UE devrait renforcer les synergies entre ses efforts de constitution de stocks internes et externes, </w:t>
      </w:r>
      <w:r>
        <w:rPr>
          <w:b/>
          <w:noProof/>
        </w:rPr>
        <w:t xml:space="preserve">l’aide humanitaire et les partenariats internationaux. </w:t>
      </w:r>
      <w:r>
        <w:rPr>
          <w:noProof/>
        </w:rPr>
        <w:t xml:space="preserve">Les réflexions actuelles sur les chaînes d’approvisionnement stratégiques pourraient déboucher sur d’importants gains d’efficacité eu égard aux graves déficits de financement dans le secteur humanitaire et pourraient servir d’exemple pour la réalisation de gains d’efficacité au sein de l’UE. </w:t>
      </w:r>
      <w:r>
        <w:rPr>
          <w:b/>
          <w:noProof/>
        </w:rPr>
        <w:t>ReliefEU</w:t>
      </w:r>
      <w:r>
        <w:rPr>
          <w:noProof/>
        </w:rPr>
        <w:t xml:space="preserve"> comble l’écart entre les besoins urgents dans les zones touchées par des crises et les ressources disponibles auprès des partenaires européens et, en veillant à ce que les ressources soient fournies de manière efficace et efficiente là où elles sont les plus nécessaires, contribue à un système souple et réactif qui s’adapte à la fois aux catastrophes immédiates et aux défis humanitaires actuels. </w:t>
      </w:r>
    </w:p>
    <w:tbl>
      <w:tblPr>
        <w:tblStyle w:val="EurolookClassicGrey1"/>
        <w:tblW w:w="0" w:type="auto"/>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600" w:firstRow="0" w:lastRow="0" w:firstColumn="0" w:lastColumn="0" w:noHBand="1" w:noVBand="1"/>
      </w:tblPr>
      <w:tblGrid>
        <w:gridCol w:w="8580"/>
      </w:tblGrid>
      <w:tr w:rsidR="00E139DE" w:rsidRPr="00EF4761" w14:paraId="6BE93167" w14:textId="77777777" w:rsidTr="2F87050F">
        <w:trPr>
          <w:cantSplit/>
        </w:trPr>
        <w:tc>
          <w:tcPr>
            <w:tcW w:w="9056" w:type="dxa"/>
            <w:shd w:val="clear" w:color="auto" w:fill="F2F2F2" w:themeFill="background1" w:themeFillShade="F2"/>
          </w:tcPr>
          <w:p w14:paraId="3B9D87E5" w14:textId="258C9BC3" w:rsidR="00E139DE" w:rsidRPr="00EF4761" w:rsidRDefault="3BB0D0BA" w:rsidP="00EF4761">
            <w:pPr>
              <w:spacing w:after="0"/>
              <w:rPr>
                <w:b/>
                <w:noProof/>
                <w:color w:val="000000" w:themeColor="text1"/>
              </w:rPr>
            </w:pPr>
            <w:r>
              <w:rPr>
                <w:b/>
                <w:noProof/>
                <w:color w:val="000000" w:themeColor="text1"/>
              </w:rPr>
              <w:t>Actions clés:</w:t>
            </w:r>
          </w:p>
          <w:p w14:paraId="707427D4" w14:textId="175F877B" w:rsidR="00E139DE" w:rsidRPr="00EF4761" w:rsidRDefault="3E8F116E" w:rsidP="00E139DE">
            <w:pPr>
              <w:pStyle w:val="ListParagraph"/>
              <w:numPr>
                <w:ilvl w:val="1"/>
                <w:numId w:val="38"/>
              </w:numPr>
              <w:ind w:left="360"/>
              <w:rPr>
                <w:noProof/>
              </w:rPr>
            </w:pPr>
            <w:r>
              <w:rPr>
                <w:noProof/>
              </w:rPr>
              <w:t xml:space="preserve">L’Union européenne et ses États membres devraient </w:t>
            </w:r>
            <w:r>
              <w:rPr>
                <w:b/>
                <w:noProof/>
              </w:rPr>
              <w:t>renforcer la collaboration</w:t>
            </w:r>
            <w:r>
              <w:rPr>
                <w:noProof/>
              </w:rPr>
              <w:t xml:space="preserve"> en matière de préparation aux crises, par exemple dans le domaine des urgences sanitaires, </w:t>
            </w:r>
            <w:r>
              <w:rPr>
                <w:b/>
                <w:noProof/>
              </w:rPr>
              <w:t>avec les pays voisins, les pays partenaires qui partagent les mêmes valeurs et les organisations internationales</w:t>
            </w:r>
            <w:r>
              <w:rPr>
                <w:noProof/>
              </w:rPr>
              <w:t xml:space="preserve">. </w:t>
            </w:r>
          </w:p>
          <w:p w14:paraId="3328F67A" w14:textId="47409942" w:rsidR="00E139DE" w:rsidRPr="00EF4761" w:rsidRDefault="00E139DE" w:rsidP="00E139DE">
            <w:pPr>
              <w:pStyle w:val="ListParagraph"/>
              <w:numPr>
                <w:ilvl w:val="1"/>
                <w:numId w:val="38"/>
              </w:numPr>
              <w:ind w:left="360"/>
              <w:rPr>
                <w:noProof/>
              </w:rPr>
            </w:pPr>
            <w:r>
              <w:rPr>
                <w:noProof/>
              </w:rPr>
              <w:t xml:space="preserve">La Commission collaborera avec les États membres en vue d’une coordination plus étroite des </w:t>
            </w:r>
            <w:r>
              <w:rPr>
                <w:b/>
                <w:noProof/>
              </w:rPr>
              <w:t>stocks et étudiera les possibilités d’acquisitions conjointes et d’entreposage partagé</w:t>
            </w:r>
            <w:r>
              <w:rPr>
                <w:noProof/>
              </w:rPr>
              <w:t xml:space="preserve"> dans le monde entier, en coopération et concertation avec les autorités régionales chargées de la réaction aux catastrophes afin de faciliter l’acheminement rapide et optimal de produits humanitaires essentiels. </w:t>
            </w:r>
          </w:p>
          <w:p w14:paraId="0B6990EB" w14:textId="570B60CF" w:rsidR="00E139DE" w:rsidRPr="00EF4761" w:rsidRDefault="3E8F116E" w:rsidP="03A6121A">
            <w:pPr>
              <w:pStyle w:val="ListParagraph"/>
              <w:numPr>
                <w:ilvl w:val="1"/>
                <w:numId w:val="38"/>
              </w:numPr>
              <w:ind w:left="360"/>
              <w:rPr>
                <w:noProof/>
              </w:rPr>
            </w:pPr>
            <w:r>
              <w:rPr>
                <w:noProof/>
              </w:rPr>
              <w:t xml:space="preserve">La Commission améliorera les </w:t>
            </w:r>
            <w:r>
              <w:rPr>
                <w:b/>
                <w:noProof/>
              </w:rPr>
              <w:t>synergies entre les efforts de constitution de stocks internes et externes de l’UE</w:t>
            </w:r>
            <w:r>
              <w:rPr>
                <w:noProof/>
              </w:rPr>
              <w:t>.</w:t>
            </w:r>
          </w:p>
        </w:tc>
      </w:tr>
    </w:tbl>
    <w:p w14:paraId="2DBF50CA" w14:textId="77777777" w:rsidR="00EF0355" w:rsidRPr="00EF4761" w:rsidRDefault="00EF0355" w:rsidP="3243E093">
      <w:pPr>
        <w:pStyle w:val="NoSpacing"/>
        <w:rPr>
          <w:noProof/>
        </w:rPr>
      </w:pPr>
    </w:p>
    <w:p w14:paraId="4EFEAA1E" w14:textId="0046B6CB" w:rsidR="006C4A39" w:rsidRPr="00EF4761" w:rsidRDefault="61D2A87B" w:rsidP="005A2429">
      <w:pPr>
        <w:pStyle w:val="Heading1"/>
        <w:ind w:left="0" w:firstLine="0"/>
        <w:rPr>
          <w:noProof/>
        </w:rPr>
      </w:pPr>
      <w:r>
        <w:rPr>
          <w:noProof/>
        </w:rPr>
        <w:t>Conclusions et étapes suivantes</w:t>
      </w:r>
    </w:p>
    <w:p w14:paraId="1AEEC65D" w14:textId="723EC2F5" w:rsidR="14B11CDD" w:rsidRPr="00EF4761" w:rsidRDefault="207994B5" w:rsidP="005A2429">
      <w:pPr>
        <w:spacing w:after="200"/>
        <w:rPr>
          <w:rFonts w:eastAsia="Calibri"/>
          <w:noProof/>
        </w:rPr>
      </w:pPr>
      <w:r>
        <w:rPr>
          <w:noProof/>
        </w:rPr>
        <w:t xml:space="preserve">Le renforcement de la préparation matérielle et des stocks stratégiques de l’UE est indispensable pour améliorer la préparation des sociétés européennes face à l’accroissement des risques et des menaces de crise. La stratégie de constitution de stocks de l’UE constitue une première étape vers une approche globale et coordonnée, soutenant, en cas de besoin, les États membres par des actions conjointes au niveau de l’Union. </w:t>
      </w:r>
    </w:p>
    <w:p w14:paraId="2DE53015" w14:textId="1FBDEC60" w:rsidR="14B11CDD" w:rsidRPr="00EF4761" w:rsidRDefault="6C63E607" w:rsidP="005A2429">
      <w:pPr>
        <w:spacing w:after="200"/>
        <w:rPr>
          <w:rFonts w:eastAsia="Calibri"/>
          <w:noProof/>
        </w:rPr>
      </w:pPr>
      <w:r>
        <w:rPr>
          <w:noProof/>
        </w:rPr>
        <w:t>La préparation matérielle nécessite des investissements. Ces coûts sont compensés par des gains de résilience, une réduction des perturbations, une baisse des dépenses de relance, une compétitivité accrue sur le long terme et des coûts probablement moins élevés en vies humaines et en moyens de subsistance. Le respect du principe de «préparation et de sécurité dès la conception», une action clé de la stratégie pour une union de la préparation, contribuera de manière importante à garantir un soutien financier durable et à long terme pour l’amélioration de la préparation matérielle et le maintien de réserves stratégiques. La Commission tiendra compte de l’importance de la préparation matérielle et du maintien des stocks stratégiques de l’UE dans les propositions relatives au prochain cadre financier pluriannuel.</w:t>
      </w:r>
    </w:p>
    <w:p w14:paraId="0E0EF4F3" w14:textId="5B48EE5E" w:rsidR="00446FA3" w:rsidRPr="00B5046F" w:rsidRDefault="35DACF74" w:rsidP="03A6121A">
      <w:pPr>
        <w:spacing w:after="200" w:line="259" w:lineRule="auto"/>
        <w:rPr>
          <w:rFonts w:eastAsia="Calibri"/>
          <w:noProof/>
        </w:rPr>
      </w:pPr>
      <w:r>
        <w:rPr>
          <w:noProof/>
        </w:rPr>
        <w:t>À l’avenir, la Commission entamera avec les États membres, le SEAE, le Parlement européen et les parties prenantes un dialogue aux fins de l’examen et de la mise en œuvre des actions initiales prévues dans la présente stratégie. Le réseau de constitution de stocks de l’UE et les axes de travail de la task</w:t>
      </w:r>
      <w:r>
        <w:rPr>
          <w:noProof/>
        </w:rPr>
        <w:noBreakHyphen/>
        <w:t xml:space="preserve">force en matière de préparation permettront d’approfondir l’analyse des lacunes et des besoins, d’orienter la mise en œuvre des mesures et de recenser les nouveaux besoins d’action. En parallèle, la stratégie de constitution de stocks de l’UE viendra compléter les initiatives sectorielles en matière de préparation. En 2026, la Commission fera le point sur la mise en œuvre de la présente stratégie. </w:t>
      </w:r>
    </w:p>
    <w:p w14:paraId="7EC8FD54" w14:textId="77777777" w:rsidR="00927335" w:rsidRDefault="58DA2894" w:rsidP="03A6121A">
      <w:pPr>
        <w:spacing w:after="200" w:line="259" w:lineRule="auto"/>
        <w:rPr>
          <w:rFonts w:eastAsia="Calibri"/>
          <w:noProof/>
        </w:rPr>
      </w:pPr>
      <w:r>
        <w:rPr>
          <w:noProof/>
        </w:rPr>
        <w:t xml:space="preserve">L’apprentissage continu, le partage des bonnes pratiques et l’innovation permettront de définir une politique solide de préparation matérielle et de constitution de stocks à l’échelle de l’UE. </w:t>
      </w:r>
    </w:p>
    <w:p w14:paraId="032CF563" w14:textId="408DB945" w:rsidR="00446FA3" w:rsidRDefault="48E7246C" w:rsidP="03A6121A">
      <w:pPr>
        <w:spacing w:after="200" w:line="259" w:lineRule="auto"/>
        <w:rPr>
          <w:rFonts w:eastAsia="Calibri"/>
          <w:noProof/>
        </w:rPr>
      </w:pPr>
      <w:r>
        <w:rPr>
          <w:noProof/>
        </w:rPr>
        <w:t>En renforçant sa préparation matérielle, l’UE pourra garantir la disponibilité et l’accessibilité des biens essentiels, évitant ainsi l’interruption des chaînes d’approvisionnement et des fonctions sociétales vitales et améliorant le bien</w:t>
      </w:r>
      <w:r>
        <w:rPr>
          <w:noProof/>
        </w:rPr>
        <w:noBreakHyphen/>
        <w:t xml:space="preserve">être et la sécurité des citoyens européens. </w:t>
      </w:r>
    </w:p>
    <w:sectPr w:rsidR="00446FA3" w:rsidSect="003633FA">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6920F5" w14:textId="77777777" w:rsidR="001D308E" w:rsidRDefault="001D308E">
      <w:pPr>
        <w:spacing w:after="0"/>
      </w:pPr>
      <w:r>
        <w:separator/>
      </w:r>
    </w:p>
  </w:endnote>
  <w:endnote w:type="continuationSeparator" w:id="0">
    <w:p w14:paraId="0A22FB5C" w14:textId="77777777" w:rsidR="001D308E" w:rsidRDefault="001D308E">
      <w:pPr>
        <w:spacing w:after="0"/>
      </w:pPr>
      <w:r>
        <w:continuationSeparator/>
      </w:r>
    </w:p>
  </w:endnote>
  <w:endnote w:type="continuationNotice" w:id="1">
    <w:p w14:paraId="70108752" w14:textId="77777777" w:rsidR="001D308E" w:rsidRDefault="001D308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0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399AE" w14:textId="7C3AB764" w:rsidR="009F1121" w:rsidRPr="009F1121" w:rsidRDefault="009F1121" w:rsidP="009F1121">
    <w:pPr>
      <w:pStyle w:val="FooterCoverPage"/>
      <w:rPr>
        <w:rFonts w:ascii="Arial" w:hAnsi="Arial" w:cs="Arial"/>
        <w:b/>
        <w:sz w:val="48"/>
      </w:rPr>
    </w:pPr>
    <w:r w:rsidRPr="009F1121">
      <w:rPr>
        <w:rFonts w:ascii="Arial" w:hAnsi="Arial" w:cs="Arial"/>
        <w:b/>
        <w:sz w:val="48"/>
      </w:rPr>
      <w:t>FR</w:t>
    </w:r>
    <w:r w:rsidRPr="009F1121">
      <w:rPr>
        <w:rFonts w:ascii="Arial" w:hAnsi="Arial" w:cs="Arial"/>
        <w:b/>
        <w:sz w:val="48"/>
      </w:rPr>
      <w:tab/>
    </w:r>
    <w:r w:rsidRPr="009F1121">
      <w:rPr>
        <w:rFonts w:ascii="Arial" w:hAnsi="Arial" w:cs="Arial"/>
        <w:b/>
        <w:sz w:val="48"/>
      </w:rPr>
      <w:tab/>
    </w:r>
    <w:r w:rsidRPr="009F1121">
      <w:tab/>
    </w:r>
    <w:r w:rsidRPr="009F112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6353B" w14:textId="35E458E1" w:rsidR="009F1121" w:rsidRPr="009F1121" w:rsidRDefault="009F1121" w:rsidP="009F1121">
    <w:pPr>
      <w:pStyle w:val="FooterCoverPage"/>
      <w:rPr>
        <w:rFonts w:ascii="Arial" w:hAnsi="Arial" w:cs="Arial"/>
        <w:b/>
        <w:sz w:val="48"/>
      </w:rPr>
    </w:pPr>
    <w:r w:rsidRPr="009F1121">
      <w:rPr>
        <w:rFonts w:ascii="Arial" w:hAnsi="Arial" w:cs="Arial"/>
        <w:b/>
        <w:sz w:val="48"/>
      </w:rPr>
      <w:t>FR</w:t>
    </w:r>
    <w:r w:rsidRPr="009F1121">
      <w:rPr>
        <w:rFonts w:ascii="Arial" w:hAnsi="Arial" w:cs="Arial"/>
        <w:b/>
        <w:sz w:val="48"/>
      </w:rPr>
      <w:tab/>
    </w:r>
    <w:r w:rsidRPr="009F1121">
      <w:rPr>
        <w:rFonts w:ascii="Arial" w:hAnsi="Arial" w:cs="Arial"/>
        <w:b/>
        <w:sz w:val="48"/>
      </w:rPr>
      <w:tab/>
    </w:r>
    <w:r w:rsidRPr="009F1121">
      <w:tab/>
    </w:r>
    <w:r w:rsidRPr="009F112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C16B6" w14:textId="77777777" w:rsidR="009F1121" w:rsidRPr="009F1121" w:rsidRDefault="009F1121" w:rsidP="009F112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97AE3" w14:textId="77777777" w:rsidR="008827A6" w:rsidRPr="006B2E61" w:rsidRDefault="008827A6" w:rsidP="006B2E61">
    <w:pPr>
      <w:pStyle w:val="FooterCoverPage"/>
      <w:rPr>
        <w:rFonts w:ascii="Arial" w:hAnsi="Arial" w:cs="Arial"/>
        <w:b/>
        <w:sz w:val="48"/>
      </w:rPr>
    </w:pPr>
    <w:r>
      <w:rPr>
        <w:rFonts w:ascii="Arial" w:hAnsi="Arial"/>
        <w:b/>
        <w:sz w:val="48"/>
      </w:rPr>
      <w:t>FR</w:t>
    </w:r>
    <w:r>
      <w:rPr>
        <w:rFonts w:ascii="Arial" w:hAnsi="Arial"/>
        <w:b/>
        <w:sz w:val="48"/>
      </w:rPr>
      <w:tab/>
    </w:r>
    <w:r>
      <w:rPr>
        <w:rFonts w:ascii="Arial" w:hAnsi="Arial"/>
        <w:b/>
        <w:sz w:val="48"/>
      </w:rPr>
      <w:tab/>
    </w:r>
    <w:r>
      <w:tab/>
    </w:r>
    <w:r>
      <w:rPr>
        <w:rFonts w:ascii="Arial" w:hAnsi="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346383"/>
      <w:docPartObj>
        <w:docPartGallery w:val="Page Numbers (Bottom of Page)"/>
        <w:docPartUnique/>
      </w:docPartObj>
    </w:sdtPr>
    <w:sdtEndPr>
      <w:rPr>
        <w:noProof/>
      </w:rPr>
    </w:sdtEndPr>
    <w:sdtContent>
      <w:p w14:paraId="6AB297CC" w14:textId="4D7183DB" w:rsidR="006E3C15" w:rsidRDefault="006E3C15">
        <w:pPr>
          <w:pStyle w:val="Footer"/>
          <w:jc w:val="center"/>
        </w:pPr>
        <w:r>
          <w:fldChar w:fldCharType="begin"/>
        </w:r>
        <w:r>
          <w:instrText xml:space="preserve"> PAGE   \* MERGEFORMAT </w:instrText>
        </w:r>
        <w:r>
          <w:fldChar w:fldCharType="separate"/>
        </w:r>
        <w:r w:rsidR="009F1121">
          <w:rPr>
            <w:noProof/>
          </w:rPr>
          <w:t>1</w:t>
        </w:r>
        <w:r>
          <w:fldChar w:fldCharType="end"/>
        </w:r>
      </w:p>
    </w:sdtContent>
  </w:sdt>
  <w:p w14:paraId="67EBC882" w14:textId="3BD809E4" w:rsidR="008827A6" w:rsidRPr="00DE2730" w:rsidRDefault="008827A6" w:rsidP="006B2E61">
    <w:pPr>
      <w:pStyle w:val="FooterCoverPage"/>
      <w:rPr>
        <w:rFonts w:ascii="Arial" w:hAnsi="Arial" w:cs="Arial"/>
        <w:b/>
        <w:sz w:val="48"/>
        <w:lang w:val="en-I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7B203" w14:textId="77777777" w:rsidR="008827A6" w:rsidRDefault="008827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C4B2B6" w14:textId="77777777" w:rsidR="001D308E" w:rsidRDefault="001D308E">
      <w:pPr>
        <w:spacing w:after="0"/>
      </w:pPr>
      <w:r>
        <w:separator/>
      </w:r>
    </w:p>
  </w:footnote>
  <w:footnote w:type="continuationSeparator" w:id="0">
    <w:p w14:paraId="25B990D7" w14:textId="77777777" w:rsidR="001D308E" w:rsidRDefault="001D308E">
      <w:pPr>
        <w:spacing w:after="0"/>
      </w:pPr>
      <w:r>
        <w:continuationSeparator/>
      </w:r>
    </w:p>
  </w:footnote>
  <w:footnote w:type="continuationNotice" w:id="1">
    <w:p w14:paraId="3389729A" w14:textId="77777777" w:rsidR="001D308E" w:rsidRDefault="001D308E">
      <w:pPr>
        <w:spacing w:after="0"/>
      </w:pPr>
    </w:p>
  </w:footnote>
  <w:footnote w:id="2">
    <w:p w14:paraId="687BE358" w14:textId="5918C9E3" w:rsidR="006814BD" w:rsidRPr="00CD4FCD" w:rsidRDefault="006814BD">
      <w:pPr>
        <w:pStyle w:val="FootnoteText"/>
      </w:pPr>
      <w:r>
        <w:t>(</w:t>
      </w:r>
      <w:r>
        <w:rPr>
          <w:rStyle w:val="FootnoteReference"/>
        </w:rPr>
        <w:footnoteRef/>
      </w:r>
      <w:r>
        <w:t>)   JOIN(2025) 130 final – Stratégie européenne pour une union de la préparation.</w:t>
      </w:r>
    </w:p>
  </w:footnote>
  <w:footnote w:id="3">
    <w:p w14:paraId="777E682F" w14:textId="2AD0C4DF" w:rsidR="00D555A4" w:rsidRPr="00CD4FCD" w:rsidRDefault="3500A2C8" w:rsidP="00D555A4">
      <w:pPr>
        <w:pStyle w:val="FootnoteText"/>
      </w:pPr>
      <w:r>
        <w:t>(</w:t>
      </w:r>
      <w:r>
        <w:rPr>
          <w:rStyle w:val="FootnoteReference"/>
        </w:rPr>
        <w:footnoteRef/>
      </w:r>
      <w:r>
        <w:t>)</w:t>
      </w:r>
      <w:r>
        <w:tab/>
        <w:t>Aux fins de cette stratégie, le terme «biens» désigne les matériaux primaires et secondaires, les produits de base, les ressources naturelles, les produits, les équipements, etc. Le terme est utilisé dans un sens large, sans préjudice des définitions et termes spécifiques utilisés dans les cadres sectoriels</w:t>
      </w:r>
    </w:p>
  </w:footnote>
  <w:footnote w:id="4">
    <w:p w14:paraId="1CF74088" w14:textId="00EDEC64" w:rsidR="006814BD" w:rsidRPr="00CD4FCD" w:rsidRDefault="006814BD">
      <w:pPr>
        <w:pStyle w:val="FootnoteText"/>
      </w:pPr>
      <w:r>
        <w:t>(</w:t>
      </w:r>
      <w:r>
        <w:rPr>
          <w:rStyle w:val="FootnoteReference"/>
        </w:rPr>
        <w:footnoteRef/>
      </w:r>
      <w:r>
        <w:t>)</w:t>
      </w:r>
      <w:r>
        <w:tab/>
        <w:t>Les fonctions vitales de la société sont les systèmes et structures fondamentaux qui permettent à une société de fonctionner tout en préservant en toutes circonstances nos sociétés, nos économies, nos cultures et nos institutions démocratiques. Ces fonctions concernent avant tout la sécurité de la population de l’UE et incluent notamment la protection contre les catastrophes naturelles, la continuité et la prise de décision des gouvernements, les processus démocratiques, la cohésion sociale et la stabilité économique, ainsi que la sécurité intérieure et extérieure. Ces éléments constituent le fondement d’une société stable et sûre.</w:t>
      </w:r>
    </w:p>
  </w:footnote>
  <w:footnote w:id="5">
    <w:p w14:paraId="568832DC" w14:textId="77777777" w:rsidR="00610854" w:rsidRPr="0072507B" w:rsidRDefault="00610854" w:rsidP="00610854">
      <w:pPr>
        <w:pStyle w:val="FootnoteText"/>
        <w:rPr>
          <w:i/>
          <w:iCs/>
        </w:rPr>
      </w:pPr>
      <w:r>
        <w:t>(</w:t>
      </w:r>
      <w:r>
        <w:rPr>
          <w:rStyle w:val="FootnoteReference"/>
        </w:rPr>
        <w:footnoteRef/>
      </w:r>
      <w:r>
        <w:t>)</w:t>
      </w:r>
      <w:r>
        <w:tab/>
        <w:t xml:space="preserve">Les </w:t>
      </w:r>
      <w:hyperlink r:id="rId1" w:tgtFrame="_blank" w:history="1">
        <w:r>
          <w:t>stratégies relevant de l’Union de l’égalité</w:t>
        </w:r>
      </w:hyperlink>
      <w:r>
        <w:t xml:space="preserve"> défendent l’égalité d’accès à la santé pour tous.</w:t>
      </w:r>
    </w:p>
  </w:footnote>
  <w:footnote w:id="6">
    <w:p w14:paraId="29DF7EB8" w14:textId="0E83D778" w:rsidR="00363AFA" w:rsidRPr="000821DA" w:rsidRDefault="00363AFA" w:rsidP="00363AFA">
      <w:pPr>
        <w:pStyle w:val="FootnoteText"/>
      </w:pPr>
      <w:r>
        <w:t>(</w:t>
      </w:r>
      <w:r>
        <w:rPr>
          <w:rStyle w:val="FootnoteReference"/>
        </w:rPr>
        <w:footnoteRef/>
      </w:r>
      <w:r>
        <w:t>)</w:t>
      </w:r>
      <w:r>
        <w:tab/>
        <w:t>Tels que la stratégie européenne de sécurité intérieure (ProtectEU), la stratégie en matière de sécurité économique, le livre blanc sur l’avenir de la défense européenne, la boussole pour la compétitivité de l’UE, la stratégie européenne pour la résilience dans le domaine de l’eau, le plan d’action pour une économie circulaire, le règlement sur les situations d’urgence dans le marché intérieur et la résilience du marché intérieur (SURMI), le règlement sur les matières premières critiques, le mécanisme de protection civile de l’Union (MPCU), la directive sur les stocks de pétrole (qui fait actuellement l’objet d’une révision), le règlement sur le stockage de gaz, le futur acte législatif sur les médicaments critiques et la stratégie sur les contre-mesures médicales.</w:t>
      </w:r>
    </w:p>
  </w:footnote>
  <w:footnote w:id="7">
    <w:p w14:paraId="201233B1" w14:textId="0789BBDE" w:rsidR="00D36544" w:rsidRPr="00EF4761" w:rsidRDefault="2F87050F" w:rsidP="000033B7">
      <w:pPr>
        <w:pStyle w:val="FootnoteText"/>
        <w:rPr>
          <w:rFonts w:eastAsia="Yu Mincho"/>
        </w:rPr>
      </w:pPr>
      <w:r>
        <w:t>(</w:t>
      </w:r>
      <w:r>
        <w:rPr>
          <w:rStyle w:val="FootnoteReference"/>
        </w:rPr>
        <w:footnoteRef/>
      </w:r>
      <w:r>
        <w:t>)</w:t>
      </w:r>
      <w:r>
        <w:tab/>
        <w:t xml:space="preserve">Par exemple, la nouvelle stratégie sur les contre-mesures médicales et son plan stratégique pour la constitution de stocks de contre-mesures médicales [COM(2025) 529 final]. </w:t>
      </w:r>
    </w:p>
  </w:footnote>
  <w:footnote w:id="8">
    <w:p w14:paraId="1FEA90DB" w14:textId="77777777" w:rsidR="00180532" w:rsidRPr="00C04421" w:rsidRDefault="00180532" w:rsidP="00180532">
      <w:pPr>
        <w:pStyle w:val="FootnoteText"/>
      </w:pPr>
      <w:r>
        <w:t>(</w:t>
      </w:r>
      <w:r>
        <w:rPr>
          <w:rStyle w:val="FootnoteReference"/>
        </w:rPr>
        <w:footnoteRef/>
      </w:r>
      <w:r>
        <w:t>)</w:t>
      </w:r>
      <w:r>
        <w:tab/>
        <w:t>Parmi les systèmes d’échange d’informations sectorielles existants figurent, par exemple, le système européen d’échange d’informations en cas d’urgence radiologique (ECURIE) pour les urgences radiologiques et nucléaires; le système d’alerte précoce et de réaction (SAPR) pour les menaces transfrontières graves pour la santé d’origine biologique, chimique et inconnue [en vertu du règlement 2022/2372];</w:t>
      </w:r>
      <w:r>
        <w:rPr>
          <w:color w:val="333333"/>
        </w:rPr>
        <w:t xml:space="preserve"> </w:t>
      </w:r>
      <w:r>
        <w:t xml:space="preserve">le système commun de communication et d’information d’urgence (CECIS) (au titre de la décision nº 1313/2013/UE relative au mécanisme de protection civile de l’Union). </w:t>
      </w:r>
    </w:p>
  </w:footnote>
  <w:footnote w:id="9">
    <w:p w14:paraId="04C3DA82" w14:textId="77777777" w:rsidR="00180532" w:rsidRPr="00BA27AF" w:rsidRDefault="00180532" w:rsidP="00180532">
      <w:pPr>
        <w:pStyle w:val="FootnoteText"/>
      </w:pPr>
      <w:r>
        <w:t>(</w:t>
      </w:r>
      <w:r>
        <w:rPr>
          <w:rStyle w:val="FootnoteReference"/>
        </w:rPr>
        <w:footnoteRef/>
      </w:r>
      <w:r>
        <w:t>)</w:t>
      </w:r>
      <w:r>
        <w:tab/>
        <w:t>AggregateEU, les mécanismes à venir sur l’hydrogène et le centre de l’UE pour les matières premières critiques sont autant de bons exemples de nouvelles initiatives en matière d’agrégation de la demande et d’achats communs. Le premier achat commun de contre-mesures médicales remonte à 2014.</w:t>
      </w:r>
    </w:p>
  </w:footnote>
  <w:footnote w:id="10">
    <w:p w14:paraId="68A26280" w14:textId="77777777" w:rsidR="00180532" w:rsidRPr="00BD0553" w:rsidRDefault="00180532" w:rsidP="00180532">
      <w:pPr>
        <w:pStyle w:val="FootnoteText"/>
      </w:pPr>
      <w:r>
        <w:t>(</w:t>
      </w:r>
      <w:r>
        <w:rPr>
          <w:rStyle w:val="FootnoteReference"/>
        </w:rPr>
        <w:footnoteRef/>
      </w:r>
      <w:r>
        <w:t>)</w:t>
      </w:r>
      <w:r>
        <w:tab/>
        <w:t>Dans le respect des exigences de l’UE en matière de sécurité alimentaire et du droit de la concurrence.</w:t>
      </w:r>
    </w:p>
  </w:footnote>
  <w:footnote w:id="11">
    <w:p w14:paraId="5E79839A" w14:textId="03C6A2D0" w:rsidR="00FE680A" w:rsidRPr="00EF4761" w:rsidRDefault="00FE680A" w:rsidP="00FE680A">
      <w:pPr>
        <w:pStyle w:val="FootnoteText"/>
      </w:pPr>
      <w:r>
        <w:t>(</w:t>
      </w:r>
      <w:r>
        <w:rPr>
          <w:rStyle w:val="FootnoteReference"/>
        </w:rPr>
        <w:footnoteRef/>
      </w:r>
      <w:r>
        <w:t>)</w:t>
      </w:r>
      <w:r>
        <w:tab/>
        <w:t>Ou s’appuyer sur les listes susceptibles d’être élaborées dans le cadre de mécanismes pertinents tels que le règlement sur les situations d’urgence dans le marché intérieur et la résilience du marché intérieur, et les compléter.</w:t>
      </w:r>
    </w:p>
  </w:footnote>
  <w:footnote w:id="12">
    <w:p w14:paraId="33ADDEC9" w14:textId="7F03DDBA" w:rsidR="00655F9A" w:rsidRPr="00655F9A" w:rsidRDefault="00655F9A" w:rsidP="00655F9A">
      <w:pPr>
        <w:pStyle w:val="FootnoteText"/>
        <w:rPr>
          <w:highlight w:val="yellow"/>
        </w:rPr>
      </w:pPr>
      <w:r>
        <w:t>(</w:t>
      </w:r>
      <w:r>
        <w:rPr>
          <w:rStyle w:val="FootnoteReference"/>
        </w:rPr>
        <w:footnoteRef/>
      </w:r>
      <w:r>
        <w:t>)</w:t>
      </w:r>
      <w:r>
        <w:tab/>
        <w:t xml:space="preserve">Certains cadres juridiques de l’UE existants ou proposés comprennent des mesures visant à garantir la disponibilité de biens essentiels spécifiques tels que le gaz et le pétrole, les contre-mesures médicales, les médicaments critiques, les matières premières, les capacités de protection civile, les semi-conducteurs, les vaccins pour animaux et les billets en euros. Toutefois, ces mesures ont souvent une portée limitée. Le règlement SURMI a une portée plus large et permet de déterminer les biens nécessaires en cas de crise si le mode d’alerte ou d’urgence est activé. </w:t>
      </w:r>
    </w:p>
  </w:footnote>
  <w:footnote w:id="13">
    <w:p w14:paraId="3ECC8BD5" w14:textId="7FFDE7D0" w:rsidR="001C518F" w:rsidRPr="001C518F" w:rsidRDefault="001C518F" w:rsidP="00C04421">
      <w:pPr>
        <w:pStyle w:val="FootnoteText"/>
      </w:pPr>
      <w:r>
        <w:t>(</w:t>
      </w:r>
      <w:r>
        <w:rPr>
          <w:rStyle w:val="FootnoteReference"/>
        </w:rPr>
        <w:footnoteRef/>
      </w:r>
      <w:r>
        <w:t>)</w:t>
      </w:r>
      <w:r>
        <w:tab/>
        <w:t>Évaluations périodiques obligatoires des risques: directive (UE) 2022/2557 sur la résilience des entités critiques et directive (UE) 2020/2184 relative à l’eau potable; rapports concernant le panorama des menaces: rapport annuel de l’</w:t>
      </w:r>
      <w:hyperlink r:id="rId2" w:history="1">
        <w:r>
          <w:rPr>
            <w:rStyle w:val="Hyperlink"/>
          </w:rPr>
          <w:t>ENISA</w:t>
        </w:r>
      </w:hyperlink>
      <w:r>
        <w:t xml:space="preserve"> sur le panorama des cybermenaces et rapports bisannuels sur l’état de la cybersécurité; évaluation des vulnérabilités de la chaîne d’approvisionnement en médicaments critiques dans la proposition de la Commission visant à réviser la législation pharmaceutique [COM(2023) 193 final]; études ciblées sur les vulnérabilités de la chaîne d’approvisionnement: </w:t>
      </w:r>
      <w:hyperlink r:id="rId3" w:history="1">
        <w:r>
          <w:rPr>
            <w:rStyle w:val="Hyperlink"/>
            <w:i/>
          </w:rPr>
          <w:t>Assessment on supply chain vulnerabilities on the first tranche of critical medicines</w:t>
        </w:r>
      </w:hyperlink>
      <w:r>
        <w:t xml:space="preserve"> (Évaluation des vulnérabilités pour un premier groupe de médicaments critiques), HERA 2024; </w:t>
      </w:r>
      <w:hyperlink r:id="rId4" w:history="1">
        <w:r>
          <w:rPr>
            <w:rStyle w:val="Hyperlink"/>
            <w:i/>
          </w:rPr>
          <w:t>Risks and vulnerabilities in the EU food supply chain</w:t>
        </w:r>
      </w:hyperlink>
      <w:r>
        <w:t xml:space="preserve"> (Risques et vulnérabilités de la chaîne d’approvisionnement alimentaire de l’Union), JRC 2023; plateformes d’évaluation et d’analyse régulières: </w:t>
      </w:r>
      <w:hyperlink r:id="rId5" w:history="1">
        <w:r>
          <w:rPr>
            <w:rStyle w:val="Hyperlink"/>
          </w:rPr>
          <w:t>observatoire européen des technologies critiques</w:t>
        </w:r>
      </w:hyperlink>
      <w:r>
        <w:t xml:space="preserve">; études ad hoc sur le marché de l’offre et de la demande: </w:t>
      </w:r>
      <w:hyperlink r:id="rId6" w:history="1">
        <w:r>
          <w:rPr>
            <w:rStyle w:val="Hyperlink"/>
            <w:i/>
          </w:rPr>
          <w:t>EU security market study</w:t>
        </w:r>
      </w:hyperlink>
      <w:r>
        <w:t xml:space="preserve"> (étude sur le marché de la sécurité de l’UE), 2022; autres évaluations des risques pertinentes: </w:t>
      </w:r>
      <w:hyperlink r:id="rId7" w:history="1">
        <w:r>
          <w:rPr>
            <w:rStyle w:val="Hyperlink"/>
            <w:i/>
          </w:rPr>
          <w:t>European Climate Risk Assessment</w:t>
        </w:r>
      </w:hyperlink>
      <w:r>
        <w:t xml:space="preserve"> (Évaluation européenne des risques climatiques), Agence européenne pour l’environnement, 2024; </w:t>
      </w:r>
      <w:hyperlink r:id="rId8" w:history="1">
        <w:r>
          <w:rPr>
            <w:rStyle w:val="Hyperlink"/>
            <w:i/>
          </w:rPr>
          <w:t>Risk assessments for critical technology areas</w:t>
        </w:r>
      </w:hyperlink>
      <w:r>
        <w:t xml:space="preserve"> (Évaluations des risques dans les domaines technologiques critiques) dans le cadre de la stratégie en matière de sécurité économique.</w:t>
      </w:r>
    </w:p>
  </w:footnote>
  <w:footnote w:id="14">
    <w:p w14:paraId="5FA0B7EF" w14:textId="30AFC6CB" w:rsidR="00C04421" w:rsidRPr="00C04421" w:rsidRDefault="00C04421" w:rsidP="002F134A">
      <w:pPr>
        <w:pStyle w:val="FootnoteText"/>
      </w:pPr>
      <w:r>
        <w:t>(</w:t>
      </w:r>
      <w:r>
        <w:rPr>
          <w:rStyle w:val="FootnoteReference"/>
        </w:rPr>
        <w:footnoteRef/>
      </w:r>
      <w:r>
        <w:t>)</w:t>
      </w:r>
      <w:r>
        <w:tab/>
        <w:t xml:space="preserve">Parmi les exemples de ce suivi figurent le </w:t>
      </w:r>
      <w:hyperlink r:id="rId9" w:history="1">
        <w:r>
          <w:rPr>
            <w:rStyle w:val="Hyperlink"/>
          </w:rPr>
          <w:t xml:space="preserve">système SCAN de notification d’alerte de la chaîne d’approvisionnement </w:t>
        </w:r>
      </w:hyperlink>
      <w:r>
        <w:t xml:space="preserve">, un outil de suivi en temps quasi réel, utilisé pour les matières premières essentielles dans le secteur des technologies vertes et certaines chaînes d’approvisionnement des semi-conducteurs, les </w:t>
      </w:r>
      <w:hyperlink r:id="rId10" w:history="1">
        <w:r>
          <w:rPr>
            <w:rStyle w:val="Hyperlink"/>
          </w:rPr>
          <w:t>tableaux de bord de l’approvisionnement et de la sécurité alimentaires de l’UE</w:t>
        </w:r>
      </w:hyperlink>
      <w:r>
        <w:t>, les relevés des stocks de pétrole brut et/ou de produits pétroliers au titre de la directive de l’UE sur les stocks pétroliers, la surveillance par l’</w:t>
      </w:r>
      <w:hyperlink r:id="rId11" w:history="1">
        <w:r>
          <w:rPr>
            <w:rStyle w:val="Hyperlink"/>
          </w:rPr>
          <w:t>Agence d’approvisionnement d’Euratom</w:t>
        </w:r>
      </w:hyperlink>
      <w:r>
        <w:t xml:space="preserve"> de l’uranium faiblement enrichi à haut dosage et des radio-isotopes médicaux, la </w:t>
      </w:r>
      <w:hyperlink r:id="rId12" w:history="1">
        <w:r>
          <w:rPr>
            <w:rStyle w:val="Hyperlink"/>
          </w:rPr>
          <w:t>plateforme européenne de surveillance des pénuries</w:t>
        </w:r>
      </w:hyperlink>
      <w:r>
        <w:t xml:space="preserve"> sur la disponibilité ainsi que l’offre et la demande de médicaments à usage humain dans certaines situations et le </w:t>
      </w:r>
      <w:hyperlink r:id="rId13" w:history="1">
        <w:r>
          <w:rPr>
            <w:rStyle w:val="Hyperlink"/>
          </w:rPr>
          <w:t>système de surveillance douanière de l’UE</w:t>
        </w:r>
      </w:hyperlink>
      <w:r>
        <w:t>, qui surveille les mouvements à destination et en provenance de l’UE et assure une protection contre la fraude et le commerce illicite de biens essentiels.</w:t>
      </w:r>
    </w:p>
  </w:footnote>
  <w:footnote w:id="15">
    <w:p w14:paraId="5231C3F2" w14:textId="7F96338F" w:rsidR="00C04421" w:rsidRPr="004E369A" w:rsidRDefault="00C04421" w:rsidP="00C04421">
      <w:pPr>
        <w:pStyle w:val="FootnoteText"/>
        <w:rPr>
          <w:lang w:val="en-IE"/>
        </w:rPr>
      </w:pPr>
      <w:r w:rsidRPr="004E369A">
        <w:rPr>
          <w:lang w:val="en-IE"/>
        </w:rPr>
        <w:t>(</w:t>
      </w:r>
      <w:r>
        <w:rPr>
          <w:rStyle w:val="FootnoteReference"/>
        </w:rPr>
        <w:footnoteRef/>
      </w:r>
      <w:r w:rsidRPr="004E369A">
        <w:rPr>
          <w:lang w:val="en-IE"/>
        </w:rPr>
        <w:t>)</w:t>
      </w:r>
      <w:r w:rsidRPr="004E369A">
        <w:rPr>
          <w:lang w:val="en-IE"/>
        </w:rPr>
        <w:tab/>
      </w:r>
      <w:hyperlink r:id="rId14" w:history="1">
        <w:r w:rsidRPr="004E369A">
          <w:rPr>
            <w:rStyle w:val="Hyperlink"/>
            <w:i/>
            <w:lang w:val="en-IE"/>
          </w:rPr>
          <w:t>Supply chain analysis and material demand forecast in strategic technologies and sectors in the EU</w:t>
        </w:r>
      </w:hyperlink>
      <w:r w:rsidRPr="004E369A">
        <w:rPr>
          <w:lang w:val="en-IE"/>
        </w:rPr>
        <w:t xml:space="preserve"> – étude de prospective, Commission européenne, 2023.</w:t>
      </w:r>
    </w:p>
  </w:footnote>
  <w:footnote w:id="16">
    <w:p w14:paraId="54FED98B" w14:textId="47819986" w:rsidR="2DFF4E61" w:rsidRDefault="008940EB" w:rsidP="00EF4761">
      <w:pPr>
        <w:pStyle w:val="FootnoteText"/>
        <w:rPr>
          <w:color w:val="000000" w:themeColor="text1"/>
        </w:rPr>
      </w:pPr>
      <w:r>
        <w:t>(</w:t>
      </w:r>
      <w:r>
        <w:rPr>
          <w:rStyle w:val="FootnoteReference"/>
        </w:rPr>
        <w:footnoteRef/>
      </w:r>
      <w:r>
        <w:t xml:space="preserve">) </w:t>
      </w:r>
      <w:r>
        <w:tab/>
        <w:t xml:space="preserve">La proposition de </w:t>
      </w:r>
      <w:hyperlink r:id="rId15">
        <w:r>
          <w:rPr>
            <w:rStyle w:val="Hyperlink"/>
          </w:rPr>
          <w:t>réforme douanière de l’UE</w:t>
        </w:r>
      </w:hyperlink>
      <w:r>
        <w:t>, en particulier pour ce qui est de la plateforme des données douanières de l’UE, est pertinente et vise à améliorer la gestion des risques par le partage et l’analyse de données en temps réel dans l’ensemble des États membres afin d’assurer une meilleure protection contre la fraude et le commerce illicite, ainsi que par la collecte et l’analyse d’informations utiles sur les biens essentiels.</w:t>
      </w:r>
    </w:p>
  </w:footnote>
  <w:footnote w:id="17">
    <w:p w14:paraId="15A993F2" w14:textId="69D755C5" w:rsidR="00E77C38" w:rsidRPr="00E77C38" w:rsidRDefault="00E77C38">
      <w:pPr>
        <w:pStyle w:val="FootnoteText"/>
      </w:pPr>
      <w:r>
        <w:t>(</w:t>
      </w:r>
      <w:r>
        <w:rPr>
          <w:rStyle w:val="FootnoteReference"/>
        </w:rPr>
        <w:footnoteRef/>
      </w:r>
      <w:r>
        <w:t>)</w:t>
      </w:r>
      <w:r>
        <w:tab/>
        <w:t>Voir également le point 6 «Promouvoir la coopération public-privé».</w:t>
      </w:r>
    </w:p>
  </w:footnote>
  <w:footnote w:id="18">
    <w:p w14:paraId="5E0493A6" w14:textId="260682D8" w:rsidR="00DC7FBD" w:rsidRPr="00DC7FBD" w:rsidRDefault="00DC7FBD">
      <w:pPr>
        <w:pStyle w:val="FootnoteText"/>
      </w:pPr>
      <w:r>
        <w:rPr>
          <w:rStyle w:val="FootnoteReference"/>
        </w:rPr>
        <w:footnoteRef/>
      </w:r>
      <w:r>
        <w:tab/>
        <w:t xml:space="preserve">Le </w:t>
      </w:r>
      <w:hyperlink r:id="rId16">
        <w:r>
          <w:rPr>
            <w:rStyle w:val="Hyperlink"/>
          </w:rPr>
          <w:t>pacte pour une industrie propre</w:t>
        </w:r>
      </w:hyperlink>
      <w:r>
        <w:t xml:space="preserve">: une feuille de route commune pour la compétitivité et la décarbonation», COM(2025) 85 final. Tout achat commun de ce type respectera les règles de concurrence de l’UE. </w:t>
      </w:r>
    </w:p>
  </w:footnote>
  <w:footnote w:id="19">
    <w:p w14:paraId="0EECCAF5" w14:textId="1FFA3B05" w:rsidR="001B6B56" w:rsidRPr="001B6B56" w:rsidRDefault="00EE44E2" w:rsidP="001B6B56">
      <w:pPr>
        <w:pStyle w:val="FootnoteText"/>
        <w:rPr>
          <w:rFonts w:eastAsia="Aptos"/>
        </w:rPr>
      </w:pPr>
      <w:r>
        <w:rPr>
          <w:rStyle w:val="FootnoteReference"/>
        </w:rPr>
        <w:footnoteRef/>
      </w:r>
      <w:r>
        <w:tab/>
        <w:t>Par exemple, pendant la crise de la COVID-19, l’initiative «Voies réservées» visait à faire en sorte que le passage des frontières, notamment les contrôles et les vérifications concernant les travailleurs du secteur des transports, ne prenne pas plus de 15 minutes. En réponse au blocus des ports ukrainiens de la mer Noire par la Russie, la Commission a introduit le plan d’action sur les corridors de solidarité, aidant ainsi l’Ukraine à exporter et à importer des marchandises en empruntant d’autres itinéraires logistiques par chemin de fer, route et voies navigables intérieures. Lors des crises susmentionnées, les échanges d’informations dans le cadre du système de gestion des risques en matière douanière (CRMS2) ont permis de procéder à des évaluations des risques plus rapides et plus précises grâce à l’automatisation et au partage de renseignements. Les autorités douanières ont ainsi été en mesure d’identifier rapidement les expéditions à haut risque tout en accélérant le dédouanement des biens critiques.</w:t>
      </w:r>
    </w:p>
    <w:p w14:paraId="7C0D610F" w14:textId="2D32D82C" w:rsidR="00EE44E2" w:rsidRPr="00EF4761" w:rsidRDefault="00D77764">
      <w:pPr>
        <w:pStyle w:val="FootnoteText"/>
      </w:pPr>
      <w:r>
        <w:t xml:space="preserve"> </w:t>
      </w:r>
    </w:p>
  </w:footnote>
  <w:footnote w:id="20">
    <w:p w14:paraId="16A7D11B" w14:textId="49F8E9BF" w:rsidR="00FB398B" w:rsidRPr="00EF4761" w:rsidRDefault="00FB398B">
      <w:pPr>
        <w:pStyle w:val="FootnoteText"/>
      </w:pPr>
      <w:r>
        <w:rPr>
          <w:rStyle w:val="FootnoteReference"/>
        </w:rPr>
        <w:footnoteRef/>
      </w:r>
      <w:r>
        <w:tab/>
        <w:t>Un plan d’urgence pour les transports [COM(2022) 211 final].</w:t>
      </w:r>
    </w:p>
  </w:footnote>
  <w:footnote w:id="21">
    <w:p w14:paraId="3DC3B358" w14:textId="6D2C23C5" w:rsidR="0F000EAD" w:rsidRDefault="00B4532F" w:rsidP="0F000EAD">
      <w:pPr>
        <w:pStyle w:val="FootnoteText"/>
        <w:rPr>
          <w:rFonts w:eastAsiaTheme="minorEastAsia"/>
        </w:rPr>
      </w:pPr>
      <w:r>
        <w:rPr>
          <w:rStyle w:val="FootnoteReference"/>
        </w:rPr>
        <w:footnoteRef/>
      </w:r>
      <w:r>
        <w:t xml:space="preserve"> Le </w:t>
      </w:r>
      <w:bookmarkStart w:id="8" w:name="_Hlk200644439"/>
      <w:r>
        <w:t>mécanisme européen de préparation et de réaction aux crises de sécurité alimentaire, la directive SRI 2 et la directive sur la résilience des entités critiques (CER) [directives (UE) 2022/2555 et (UE) 2022/2557 respectivement], le MPCU, le règlement sur les matières premières critiques, la directive relative au traitement des eaux urbaines résiduaires, l’acte législatif sur les médicaments critiques, la stratégie européenne pour la résilience dans le domaine de l’eau et la stratégie sur les contre</w:t>
      </w:r>
      <w:r>
        <w:noBreakHyphen/>
        <w:t>mesures médicales. Dans certains domaines, des demandes d’informations obligatoires peuvent être adressées aux opérateurs privés en cas d’urgence (voir, par exemple, le règlement sur les puces, l’EDIP, le SURMI et le règlement concernant le cadre d’urgence pour les contre</w:t>
      </w:r>
      <w:r>
        <w:noBreakHyphen/>
        <w:t>mesures médicales).</w:t>
      </w:r>
      <w:bookmarkEnd w:id="8"/>
    </w:p>
  </w:footnote>
  <w:footnote w:id="22">
    <w:p w14:paraId="7AE73572" w14:textId="63A94C4A" w:rsidR="0F000EAD" w:rsidRDefault="0F000EAD" w:rsidP="0F000EAD">
      <w:pPr>
        <w:pStyle w:val="FootnoteText"/>
      </w:pPr>
      <w:r>
        <w:rPr>
          <w:rStyle w:val="FootnoteReference"/>
        </w:rPr>
        <w:footnoteRef/>
      </w:r>
      <w:r>
        <w:t xml:space="preserve"> </w:t>
      </w:r>
      <w:bookmarkStart w:id="9" w:name="_Hlk200644465"/>
      <w:bookmarkStart w:id="10" w:name="_Hlk200644466"/>
      <w:bookmarkStart w:id="11" w:name="_Hlk200644467"/>
      <w:bookmarkStart w:id="12" w:name="_Hlk200644468"/>
      <w:r>
        <w:t>L’Albanie, la Bosnie-Herzégovine, l’Islande, la Macédoine du Nord, la Moldavie, le Monténégro, la Norvège, la Serbie, la Turquie et l’Ukraine.</w:t>
      </w:r>
      <w:bookmarkEnd w:id="9"/>
      <w:bookmarkEnd w:id="10"/>
      <w:bookmarkEnd w:id="11"/>
      <w:bookmarkEnd w:id="12"/>
    </w:p>
  </w:footnote>
  <w:footnote w:id="23">
    <w:p w14:paraId="1808415A" w14:textId="77B69277" w:rsidR="000A358A" w:rsidRPr="000A358A" w:rsidRDefault="000A358A" w:rsidP="000A358A">
      <w:pPr>
        <w:pStyle w:val="FootnoteText"/>
      </w:pPr>
      <w:r>
        <w:rPr>
          <w:rStyle w:val="FootnoteReference"/>
        </w:rPr>
        <w:footnoteRef/>
      </w:r>
      <w:r>
        <w:tab/>
        <w:t>Décision du Conseil du 14 décembre 1987 concernant des modalités communautaires en vue de l’échange rapide d’informations dans le cas d’une situation d’urgence radiologique et recommandation 2000/473/Euratom. Tous les États membres de l’UE en font partie, ainsi que le Monténégro, la Macédoine du Nord, la Norvège, la Serbie et la Suisse.</w:t>
      </w:r>
    </w:p>
    <w:p w14:paraId="63898CBE" w14:textId="0FBFE261" w:rsidR="000A358A" w:rsidRPr="000A358A" w:rsidRDefault="000A358A" w:rsidP="000A358A">
      <w:pPr>
        <w:pStyle w:val="FootnoteText"/>
        <w:ind w:left="0" w:firstLine="0"/>
      </w:pPr>
    </w:p>
  </w:footnote>
  <w:footnote w:id="24">
    <w:p w14:paraId="153D153B" w14:textId="51651F2C" w:rsidR="00615EBD" w:rsidRPr="009C5EC2" w:rsidRDefault="00615EBD">
      <w:pPr>
        <w:pStyle w:val="FootnoteText"/>
      </w:pPr>
      <w:r>
        <w:rPr>
          <w:rStyle w:val="FootnoteReference"/>
        </w:rPr>
        <w:footnoteRef/>
      </w:r>
      <w:r>
        <w:tab/>
        <w:t>JOIN(2025) 135 final – L’approche stratégique de l’Union européenne à l’égard de la région de la mer Noire.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EB8A5" w14:textId="77777777" w:rsidR="009F1121" w:rsidRPr="009F1121" w:rsidRDefault="009F1121" w:rsidP="009F112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B5020" w14:textId="77777777" w:rsidR="009F1121" w:rsidRPr="009F1121" w:rsidRDefault="009F1121" w:rsidP="009F112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F317E2" w14:textId="77777777" w:rsidR="009F1121" w:rsidRPr="009F1121" w:rsidRDefault="009F1121" w:rsidP="009F112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4313C" w14:textId="77777777" w:rsidR="008827A6" w:rsidRDefault="008827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6AB559" w14:textId="77777777" w:rsidR="008827A6" w:rsidRDefault="008827A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AAF0E" w14:textId="77777777" w:rsidR="008827A6" w:rsidRDefault="008827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99B1"/>
    <w:multiLevelType w:val="hybridMultilevel"/>
    <w:tmpl w:val="FFFFFFFF"/>
    <w:lvl w:ilvl="0" w:tplc="2FCC2736">
      <w:start w:val="1"/>
      <w:numFmt w:val="bullet"/>
      <w:lvlText w:val="·"/>
      <w:lvlJc w:val="left"/>
      <w:pPr>
        <w:ind w:left="720" w:hanging="360"/>
      </w:pPr>
      <w:rPr>
        <w:rFonts w:ascii="Symbol" w:hAnsi="Symbol" w:hint="default"/>
      </w:rPr>
    </w:lvl>
    <w:lvl w:ilvl="1" w:tplc="C25CBAA2">
      <w:start w:val="1"/>
      <w:numFmt w:val="bullet"/>
      <w:lvlText w:val="o"/>
      <w:lvlJc w:val="left"/>
      <w:pPr>
        <w:ind w:left="1440" w:hanging="360"/>
      </w:pPr>
      <w:rPr>
        <w:rFonts w:ascii="Courier New" w:hAnsi="Courier New" w:hint="default"/>
      </w:rPr>
    </w:lvl>
    <w:lvl w:ilvl="2" w:tplc="7B9A3A28">
      <w:start w:val="1"/>
      <w:numFmt w:val="bullet"/>
      <w:lvlText w:val=""/>
      <w:lvlJc w:val="left"/>
      <w:pPr>
        <w:ind w:left="2160" w:hanging="360"/>
      </w:pPr>
      <w:rPr>
        <w:rFonts w:ascii="Wingdings" w:hAnsi="Wingdings" w:hint="default"/>
      </w:rPr>
    </w:lvl>
    <w:lvl w:ilvl="3" w:tplc="91E80EEA">
      <w:start w:val="1"/>
      <w:numFmt w:val="bullet"/>
      <w:lvlText w:val=""/>
      <w:lvlJc w:val="left"/>
      <w:pPr>
        <w:ind w:left="2880" w:hanging="360"/>
      </w:pPr>
      <w:rPr>
        <w:rFonts w:ascii="Symbol" w:hAnsi="Symbol" w:hint="default"/>
      </w:rPr>
    </w:lvl>
    <w:lvl w:ilvl="4" w:tplc="7594220C">
      <w:start w:val="1"/>
      <w:numFmt w:val="bullet"/>
      <w:lvlText w:val="o"/>
      <w:lvlJc w:val="left"/>
      <w:pPr>
        <w:ind w:left="3600" w:hanging="360"/>
      </w:pPr>
      <w:rPr>
        <w:rFonts w:ascii="Courier New" w:hAnsi="Courier New" w:hint="default"/>
      </w:rPr>
    </w:lvl>
    <w:lvl w:ilvl="5" w:tplc="6972913A">
      <w:start w:val="1"/>
      <w:numFmt w:val="bullet"/>
      <w:lvlText w:val=""/>
      <w:lvlJc w:val="left"/>
      <w:pPr>
        <w:ind w:left="4320" w:hanging="360"/>
      </w:pPr>
      <w:rPr>
        <w:rFonts w:ascii="Wingdings" w:hAnsi="Wingdings" w:hint="default"/>
      </w:rPr>
    </w:lvl>
    <w:lvl w:ilvl="6" w:tplc="CF72FE02">
      <w:start w:val="1"/>
      <w:numFmt w:val="bullet"/>
      <w:lvlText w:val=""/>
      <w:lvlJc w:val="left"/>
      <w:pPr>
        <w:ind w:left="5040" w:hanging="360"/>
      </w:pPr>
      <w:rPr>
        <w:rFonts w:ascii="Symbol" w:hAnsi="Symbol" w:hint="default"/>
      </w:rPr>
    </w:lvl>
    <w:lvl w:ilvl="7" w:tplc="582865DC">
      <w:start w:val="1"/>
      <w:numFmt w:val="bullet"/>
      <w:lvlText w:val="o"/>
      <w:lvlJc w:val="left"/>
      <w:pPr>
        <w:ind w:left="5760" w:hanging="360"/>
      </w:pPr>
      <w:rPr>
        <w:rFonts w:ascii="Courier New" w:hAnsi="Courier New" w:hint="default"/>
      </w:rPr>
    </w:lvl>
    <w:lvl w:ilvl="8" w:tplc="3C482096">
      <w:start w:val="1"/>
      <w:numFmt w:val="bullet"/>
      <w:lvlText w:val=""/>
      <w:lvlJc w:val="left"/>
      <w:pPr>
        <w:ind w:left="6480" w:hanging="360"/>
      </w:pPr>
      <w:rPr>
        <w:rFonts w:ascii="Wingdings" w:hAnsi="Wingdings" w:hint="default"/>
      </w:rPr>
    </w:lvl>
  </w:abstractNum>
  <w:abstractNum w:abstractNumId="1" w15:restartNumberingAfterBreak="0">
    <w:nsid w:val="0934ACD4"/>
    <w:multiLevelType w:val="hybridMultilevel"/>
    <w:tmpl w:val="FFFFFFFF"/>
    <w:lvl w:ilvl="0" w:tplc="CE6C96E6">
      <w:start w:val="1"/>
      <w:numFmt w:val="bullet"/>
      <w:lvlText w:val="·"/>
      <w:lvlJc w:val="left"/>
      <w:pPr>
        <w:ind w:left="720" w:hanging="360"/>
      </w:pPr>
      <w:rPr>
        <w:rFonts w:ascii="Symbol" w:hAnsi="Symbol" w:hint="default"/>
      </w:rPr>
    </w:lvl>
    <w:lvl w:ilvl="1" w:tplc="6A745678">
      <w:start w:val="1"/>
      <w:numFmt w:val="bullet"/>
      <w:lvlText w:val="o"/>
      <w:lvlJc w:val="left"/>
      <w:pPr>
        <w:ind w:left="1440" w:hanging="360"/>
      </w:pPr>
      <w:rPr>
        <w:rFonts w:ascii="Courier New" w:hAnsi="Courier New" w:hint="default"/>
      </w:rPr>
    </w:lvl>
    <w:lvl w:ilvl="2" w:tplc="9C642434">
      <w:start w:val="1"/>
      <w:numFmt w:val="bullet"/>
      <w:lvlText w:val=""/>
      <w:lvlJc w:val="left"/>
      <w:pPr>
        <w:ind w:left="2160" w:hanging="360"/>
      </w:pPr>
      <w:rPr>
        <w:rFonts w:ascii="Wingdings" w:hAnsi="Wingdings" w:hint="default"/>
      </w:rPr>
    </w:lvl>
    <w:lvl w:ilvl="3" w:tplc="2818A8D2">
      <w:start w:val="1"/>
      <w:numFmt w:val="bullet"/>
      <w:lvlText w:val=""/>
      <w:lvlJc w:val="left"/>
      <w:pPr>
        <w:ind w:left="2880" w:hanging="360"/>
      </w:pPr>
      <w:rPr>
        <w:rFonts w:ascii="Symbol" w:hAnsi="Symbol" w:hint="default"/>
      </w:rPr>
    </w:lvl>
    <w:lvl w:ilvl="4" w:tplc="099A9DF0">
      <w:start w:val="1"/>
      <w:numFmt w:val="bullet"/>
      <w:lvlText w:val="o"/>
      <w:lvlJc w:val="left"/>
      <w:pPr>
        <w:ind w:left="3600" w:hanging="360"/>
      </w:pPr>
      <w:rPr>
        <w:rFonts w:ascii="Courier New" w:hAnsi="Courier New" w:hint="default"/>
      </w:rPr>
    </w:lvl>
    <w:lvl w:ilvl="5" w:tplc="75B63214">
      <w:start w:val="1"/>
      <w:numFmt w:val="bullet"/>
      <w:lvlText w:val=""/>
      <w:lvlJc w:val="left"/>
      <w:pPr>
        <w:ind w:left="4320" w:hanging="360"/>
      </w:pPr>
      <w:rPr>
        <w:rFonts w:ascii="Wingdings" w:hAnsi="Wingdings" w:hint="default"/>
      </w:rPr>
    </w:lvl>
    <w:lvl w:ilvl="6" w:tplc="92AA234E">
      <w:start w:val="1"/>
      <w:numFmt w:val="bullet"/>
      <w:lvlText w:val=""/>
      <w:lvlJc w:val="left"/>
      <w:pPr>
        <w:ind w:left="5040" w:hanging="360"/>
      </w:pPr>
      <w:rPr>
        <w:rFonts w:ascii="Symbol" w:hAnsi="Symbol" w:hint="default"/>
      </w:rPr>
    </w:lvl>
    <w:lvl w:ilvl="7" w:tplc="E8A8F116">
      <w:start w:val="1"/>
      <w:numFmt w:val="bullet"/>
      <w:lvlText w:val="o"/>
      <w:lvlJc w:val="left"/>
      <w:pPr>
        <w:ind w:left="5760" w:hanging="360"/>
      </w:pPr>
      <w:rPr>
        <w:rFonts w:ascii="Courier New" w:hAnsi="Courier New" w:hint="default"/>
      </w:rPr>
    </w:lvl>
    <w:lvl w:ilvl="8" w:tplc="8490041C">
      <w:start w:val="1"/>
      <w:numFmt w:val="bullet"/>
      <w:lvlText w:val=""/>
      <w:lvlJc w:val="left"/>
      <w:pPr>
        <w:ind w:left="6480" w:hanging="360"/>
      </w:pPr>
      <w:rPr>
        <w:rFonts w:ascii="Wingdings" w:hAnsi="Wingdings" w:hint="default"/>
      </w:rPr>
    </w:lvl>
  </w:abstractNum>
  <w:abstractNum w:abstractNumId="2" w15:restartNumberingAfterBreak="0">
    <w:nsid w:val="0A2900F7"/>
    <w:multiLevelType w:val="multilevel"/>
    <w:tmpl w:val="927AFD46"/>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CA3014CC"/>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B06C8EFE"/>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F95CE8E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4B487F6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30DDDF5"/>
    <w:multiLevelType w:val="hybridMultilevel"/>
    <w:tmpl w:val="B2DA0720"/>
    <w:lvl w:ilvl="0" w:tplc="9EB04D34">
      <w:start w:val="1"/>
      <w:numFmt w:val="bullet"/>
      <w:lvlText w:val="·"/>
      <w:lvlJc w:val="left"/>
      <w:pPr>
        <w:ind w:left="720" w:hanging="360"/>
      </w:pPr>
      <w:rPr>
        <w:rFonts w:ascii="Symbol" w:hAnsi="Symbol" w:hint="default"/>
      </w:rPr>
    </w:lvl>
    <w:lvl w:ilvl="1" w:tplc="3184FAE0">
      <w:start w:val="1"/>
      <w:numFmt w:val="bullet"/>
      <w:lvlText w:val="o"/>
      <w:lvlJc w:val="left"/>
      <w:pPr>
        <w:ind w:left="1440" w:hanging="360"/>
      </w:pPr>
      <w:rPr>
        <w:rFonts w:ascii="Courier New" w:hAnsi="Courier New" w:hint="default"/>
      </w:rPr>
    </w:lvl>
    <w:lvl w:ilvl="2" w:tplc="172AF6AC">
      <w:start w:val="1"/>
      <w:numFmt w:val="bullet"/>
      <w:lvlText w:val=""/>
      <w:lvlJc w:val="left"/>
      <w:pPr>
        <w:ind w:left="2160" w:hanging="360"/>
      </w:pPr>
      <w:rPr>
        <w:rFonts w:ascii="Wingdings" w:hAnsi="Wingdings" w:hint="default"/>
      </w:rPr>
    </w:lvl>
    <w:lvl w:ilvl="3" w:tplc="DDA6D36A">
      <w:start w:val="1"/>
      <w:numFmt w:val="bullet"/>
      <w:lvlText w:val=""/>
      <w:lvlJc w:val="left"/>
      <w:pPr>
        <w:ind w:left="2880" w:hanging="360"/>
      </w:pPr>
      <w:rPr>
        <w:rFonts w:ascii="Symbol" w:hAnsi="Symbol" w:hint="default"/>
      </w:rPr>
    </w:lvl>
    <w:lvl w:ilvl="4" w:tplc="25BE4756">
      <w:start w:val="1"/>
      <w:numFmt w:val="bullet"/>
      <w:lvlText w:val="o"/>
      <w:lvlJc w:val="left"/>
      <w:pPr>
        <w:ind w:left="3600" w:hanging="360"/>
      </w:pPr>
      <w:rPr>
        <w:rFonts w:ascii="Courier New" w:hAnsi="Courier New" w:hint="default"/>
      </w:rPr>
    </w:lvl>
    <w:lvl w:ilvl="5" w:tplc="21401E86">
      <w:start w:val="1"/>
      <w:numFmt w:val="bullet"/>
      <w:lvlText w:val=""/>
      <w:lvlJc w:val="left"/>
      <w:pPr>
        <w:ind w:left="4320" w:hanging="360"/>
      </w:pPr>
      <w:rPr>
        <w:rFonts w:ascii="Wingdings" w:hAnsi="Wingdings" w:hint="default"/>
      </w:rPr>
    </w:lvl>
    <w:lvl w:ilvl="6" w:tplc="5F909EE0">
      <w:start w:val="1"/>
      <w:numFmt w:val="bullet"/>
      <w:lvlText w:val=""/>
      <w:lvlJc w:val="left"/>
      <w:pPr>
        <w:ind w:left="5040" w:hanging="360"/>
      </w:pPr>
      <w:rPr>
        <w:rFonts w:ascii="Symbol" w:hAnsi="Symbol" w:hint="default"/>
      </w:rPr>
    </w:lvl>
    <w:lvl w:ilvl="7" w:tplc="7BC0F964">
      <w:start w:val="1"/>
      <w:numFmt w:val="bullet"/>
      <w:lvlText w:val="o"/>
      <w:lvlJc w:val="left"/>
      <w:pPr>
        <w:ind w:left="5760" w:hanging="360"/>
      </w:pPr>
      <w:rPr>
        <w:rFonts w:ascii="Courier New" w:hAnsi="Courier New" w:hint="default"/>
      </w:rPr>
    </w:lvl>
    <w:lvl w:ilvl="8" w:tplc="0EEA9508">
      <w:start w:val="1"/>
      <w:numFmt w:val="bullet"/>
      <w:lvlText w:val=""/>
      <w:lvlJc w:val="left"/>
      <w:pPr>
        <w:ind w:left="6480" w:hanging="360"/>
      </w:pPr>
      <w:rPr>
        <w:rFonts w:ascii="Wingdings" w:hAnsi="Wingdings" w:hint="default"/>
      </w:rPr>
    </w:lvl>
  </w:abstractNum>
  <w:abstractNum w:abstractNumId="8" w15:restartNumberingAfterBreak="0">
    <w:nsid w:val="143D0A16"/>
    <w:multiLevelType w:val="multilevel"/>
    <w:tmpl w:val="5656A194"/>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4931F28"/>
    <w:multiLevelType w:val="hybridMultilevel"/>
    <w:tmpl w:val="FFFFFFFF"/>
    <w:lvl w:ilvl="0" w:tplc="162AC432">
      <w:start w:val="1"/>
      <w:numFmt w:val="bullet"/>
      <w:lvlText w:val=""/>
      <w:lvlJc w:val="left"/>
      <w:pPr>
        <w:ind w:left="720" w:hanging="360"/>
      </w:pPr>
      <w:rPr>
        <w:rFonts w:ascii="Symbol" w:hAnsi="Symbol" w:hint="default"/>
      </w:rPr>
    </w:lvl>
    <w:lvl w:ilvl="1" w:tplc="4A761FE4">
      <w:start w:val="1"/>
      <w:numFmt w:val="bullet"/>
      <w:lvlText w:val="o"/>
      <w:lvlJc w:val="left"/>
      <w:pPr>
        <w:ind w:left="1440" w:hanging="360"/>
      </w:pPr>
      <w:rPr>
        <w:rFonts w:ascii="Courier New" w:hAnsi="Courier New" w:hint="default"/>
      </w:rPr>
    </w:lvl>
    <w:lvl w:ilvl="2" w:tplc="D9CE5334">
      <w:start w:val="1"/>
      <w:numFmt w:val="bullet"/>
      <w:lvlText w:val=""/>
      <w:lvlJc w:val="left"/>
      <w:pPr>
        <w:ind w:left="2160" w:hanging="360"/>
      </w:pPr>
      <w:rPr>
        <w:rFonts w:ascii="Wingdings" w:hAnsi="Wingdings" w:hint="default"/>
      </w:rPr>
    </w:lvl>
    <w:lvl w:ilvl="3" w:tplc="5A549ED4">
      <w:start w:val="1"/>
      <w:numFmt w:val="bullet"/>
      <w:lvlText w:val=""/>
      <w:lvlJc w:val="left"/>
      <w:pPr>
        <w:ind w:left="2880" w:hanging="360"/>
      </w:pPr>
      <w:rPr>
        <w:rFonts w:ascii="Symbol" w:hAnsi="Symbol" w:hint="default"/>
      </w:rPr>
    </w:lvl>
    <w:lvl w:ilvl="4" w:tplc="9E84B6BE">
      <w:start w:val="1"/>
      <w:numFmt w:val="bullet"/>
      <w:lvlText w:val="o"/>
      <w:lvlJc w:val="left"/>
      <w:pPr>
        <w:ind w:left="3600" w:hanging="360"/>
      </w:pPr>
      <w:rPr>
        <w:rFonts w:ascii="Courier New" w:hAnsi="Courier New" w:hint="default"/>
      </w:rPr>
    </w:lvl>
    <w:lvl w:ilvl="5" w:tplc="38F2288C">
      <w:start w:val="1"/>
      <w:numFmt w:val="bullet"/>
      <w:lvlText w:val=""/>
      <w:lvlJc w:val="left"/>
      <w:pPr>
        <w:ind w:left="4320" w:hanging="360"/>
      </w:pPr>
      <w:rPr>
        <w:rFonts w:ascii="Wingdings" w:hAnsi="Wingdings" w:hint="default"/>
      </w:rPr>
    </w:lvl>
    <w:lvl w:ilvl="6" w:tplc="C8AC2BA0">
      <w:start w:val="1"/>
      <w:numFmt w:val="bullet"/>
      <w:lvlText w:val=""/>
      <w:lvlJc w:val="left"/>
      <w:pPr>
        <w:ind w:left="5040" w:hanging="360"/>
      </w:pPr>
      <w:rPr>
        <w:rFonts w:ascii="Symbol" w:hAnsi="Symbol" w:hint="default"/>
      </w:rPr>
    </w:lvl>
    <w:lvl w:ilvl="7" w:tplc="E9F4E338">
      <w:start w:val="1"/>
      <w:numFmt w:val="bullet"/>
      <w:lvlText w:val="o"/>
      <w:lvlJc w:val="left"/>
      <w:pPr>
        <w:ind w:left="5760" w:hanging="360"/>
      </w:pPr>
      <w:rPr>
        <w:rFonts w:ascii="Courier New" w:hAnsi="Courier New" w:hint="default"/>
      </w:rPr>
    </w:lvl>
    <w:lvl w:ilvl="8" w:tplc="9B28CFE4">
      <w:start w:val="1"/>
      <w:numFmt w:val="bullet"/>
      <w:lvlText w:val=""/>
      <w:lvlJc w:val="left"/>
      <w:pPr>
        <w:ind w:left="6480" w:hanging="360"/>
      </w:pPr>
      <w:rPr>
        <w:rFonts w:ascii="Wingdings" w:hAnsi="Wingdings" w:hint="default"/>
      </w:rPr>
    </w:lvl>
  </w:abstractNum>
  <w:abstractNum w:abstractNumId="10" w15:restartNumberingAfterBreak="0">
    <w:nsid w:val="168E7FAF"/>
    <w:multiLevelType w:val="hybridMultilevel"/>
    <w:tmpl w:val="8174CF7C"/>
    <w:lvl w:ilvl="0" w:tplc="777A08F2">
      <w:start w:val="1"/>
      <w:numFmt w:val="decimal"/>
      <w:lvlText w:val="%1."/>
      <w:lvlJc w:val="left"/>
      <w:pPr>
        <w:ind w:left="360" w:hanging="360"/>
      </w:pPr>
      <w:rPr>
        <w:rFonts w:hint="default"/>
        <w:i w:val="0"/>
        <w:iCs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72F0AC5"/>
    <w:multiLevelType w:val="multilevel"/>
    <w:tmpl w:val="2D3A72C6"/>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1C7B624F"/>
    <w:multiLevelType w:val="multilevel"/>
    <w:tmpl w:val="D290834A"/>
    <w:name w:val="ListDash2Numbering"/>
    <w:lvl w:ilvl="0">
      <w:start w:val="1"/>
      <w:numFmt w:val="bullet"/>
      <w:pStyle w:val="ListDash2"/>
      <w:lvlText w:val="–"/>
      <w:lvlJc w:val="left"/>
      <w:pPr>
        <w:tabs>
          <w:tab w:val="num" w:pos="1485"/>
        </w:tabs>
        <w:ind w:left="1485" w:hanging="283"/>
      </w:pPr>
      <w:rPr>
        <w:rFonts w:ascii="Times New Roman" w:hAnsi="Times New Roman"/>
      </w:rPr>
    </w:lvl>
    <w:lvl w:ilvl="1">
      <w:start w:val="1"/>
      <w:numFmt w:val="bullet"/>
      <w:pStyle w:val="ListDash2Level2"/>
      <w:lvlText w:val="–"/>
      <w:lvlJc w:val="left"/>
      <w:pPr>
        <w:tabs>
          <w:tab w:val="num" w:pos="1769"/>
        </w:tabs>
        <w:ind w:left="1769" w:hanging="284"/>
      </w:pPr>
      <w:rPr>
        <w:rFonts w:ascii="Times New Roman" w:hAnsi="Times New Roman"/>
      </w:rPr>
    </w:lvl>
    <w:lvl w:ilvl="2">
      <w:start w:val="1"/>
      <w:numFmt w:val="bullet"/>
      <w:pStyle w:val="ListDash2Level3"/>
      <w:lvlText w:val="–"/>
      <w:lvlJc w:val="left"/>
      <w:pPr>
        <w:tabs>
          <w:tab w:val="num" w:pos="2052"/>
        </w:tabs>
        <w:ind w:left="2052" w:hanging="283"/>
      </w:pPr>
      <w:rPr>
        <w:rFonts w:ascii="Times New Roman" w:hAnsi="Times New Roman"/>
      </w:rPr>
    </w:lvl>
    <w:lvl w:ilvl="3">
      <w:start w:val="1"/>
      <w:numFmt w:val="bullet"/>
      <w:pStyle w:val="ListDash2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02B55EB"/>
    <w:multiLevelType w:val="hybridMultilevel"/>
    <w:tmpl w:val="0B66CB0C"/>
    <w:lvl w:ilvl="0" w:tplc="1809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0FAA403"/>
    <w:multiLevelType w:val="hybridMultilevel"/>
    <w:tmpl w:val="FFFFFFFF"/>
    <w:lvl w:ilvl="0" w:tplc="9A6A4A68">
      <w:start w:val="1"/>
      <w:numFmt w:val="bullet"/>
      <w:lvlText w:val=""/>
      <w:lvlJc w:val="left"/>
      <w:pPr>
        <w:ind w:left="720" w:hanging="360"/>
      </w:pPr>
      <w:rPr>
        <w:rFonts w:ascii="Symbol" w:hAnsi="Symbol" w:hint="default"/>
      </w:rPr>
    </w:lvl>
    <w:lvl w:ilvl="1" w:tplc="E3B43086">
      <w:start w:val="1"/>
      <w:numFmt w:val="bullet"/>
      <w:lvlText w:val="o"/>
      <w:lvlJc w:val="left"/>
      <w:pPr>
        <w:ind w:left="1440" w:hanging="360"/>
      </w:pPr>
      <w:rPr>
        <w:rFonts w:ascii="Courier New" w:hAnsi="Courier New" w:hint="default"/>
      </w:rPr>
    </w:lvl>
    <w:lvl w:ilvl="2" w:tplc="112ACDCE">
      <w:start w:val="1"/>
      <w:numFmt w:val="bullet"/>
      <w:lvlText w:val=""/>
      <w:lvlJc w:val="left"/>
      <w:pPr>
        <w:ind w:left="2160" w:hanging="360"/>
      </w:pPr>
      <w:rPr>
        <w:rFonts w:ascii="Wingdings" w:hAnsi="Wingdings" w:hint="default"/>
      </w:rPr>
    </w:lvl>
    <w:lvl w:ilvl="3" w:tplc="E06AFEF4">
      <w:start w:val="1"/>
      <w:numFmt w:val="bullet"/>
      <w:lvlText w:val=""/>
      <w:lvlJc w:val="left"/>
      <w:pPr>
        <w:ind w:left="2880" w:hanging="360"/>
      </w:pPr>
      <w:rPr>
        <w:rFonts w:ascii="Symbol" w:hAnsi="Symbol" w:hint="default"/>
      </w:rPr>
    </w:lvl>
    <w:lvl w:ilvl="4" w:tplc="8070B22A">
      <w:start w:val="1"/>
      <w:numFmt w:val="bullet"/>
      <w:lvlText w:val="o"/>
      <w:lvlJc w:val="left"/>
      <w:pPr>
        <w:ind w:left="3600" w:hanging="360"/>
      </w:pPr>
      <w:rPr>
        <w:rFonts w:ascii="Courier New" w:hAnsi="Courier New" w:hint="default"/>
      </w:rPr>
    </w:lvl>
    <w:lvl w:ilvl="5" w:tplc="86DC21C8">
      <w:start w:val="1"/>
      <w:numFmt w:val="bullet"/>
      <w:lvlText w:val=""/>
      <w:lvlJc w:val="left"/>
      <w:pPr>
        <w:ind w:left="4320" w:hanging="360"/>
      </w:pPr>
      <w:rPr>
        <w:rFonts w:ascii="Wingdings" w:hAnsi="Wingdings" w:hint="default"/>
      </w:rPr>
    </w:lvl>
    <w:lvl w:ilvl="6" w:tplc="43A6B376">
      <w:start w:val="1"/>
      <w:numFmt w:val="bullet"/>
      <w:lvlText w:val=""/>
      <w:lvlJc w:val="left"/>
      <w:pPr>
        <w:ind w:left="5040" w:hanging="360"/>
      </w:pPr>
      <w:rPr>
        <w:rFonts w:ascii="Symbol" w:hAnsi="Symbol" w:hint="default"/>
      </w:rPr>
    </w:lvl>
    <w:lvl w:ilvl="7" w:tplc="2ABE0086">
      <w:start w:val="1"/>
      <w:numFmt w:val="bullet"/>
      <w:lvlText w:val="o"/>
      <w:lvlJc w:val="left"/>
      <w:pPr>
        <w:ind w:left="5760" w:hanging="360"/>
      </w:pPr>
      <w:rPr>
        <w:rFonts w:ascii="Courier New" w:hAnsi="Courier New" w:hint="default"/>
      </w:rPr>
    </w:lvl>
    <w:lvl w:ilvl="8" w:tplc="729ADCB8">
      <w:start w:val="1"/>
      <w:numFmt w:val="bullet"/>
      <w:lvlText w:val=""/>
      <w:lvlJc w:val="left"/>
      <w:pPr>
        <w:ind w:left="6480" w:hanging="360"/>
      </w:pPr>
      <w:rPr>
        <w:rFonts w:ascii="Wingdings" w:hAnsi="Wingdings" w:hint="default"/>
      </w:rPr>
    </w:lvl>
  </w:abstractNum>
  <w:abstractNum w:abstractNumId="15" w15:restartNumberingAfterBreak="0">
    <w:nsid w:val="2B8E6CEF"/>
    <w:multiLevelType w:val="multilevel"/>
    <w:tmpl w:val="4FB8DA8A"/>
    <w:lvl w:ilvl="0">
      <w:start w:val="1"/>
      <w:numFmt w:val="decimal"/>
      <w:pStyle w:val="Heading1"/>
      <w:lvlText w:val="%1."/>
      <w:lvlJc w:val="left"/>
      <w:pPr>
        <w:ind w:left="964" w:hanging="482"/>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BE1A982"/>
    <w:multiLevelType w:val="hybridMultilevel"/>
    <w:tmpl w:val="FFFFFFFF"/>
    <w:lvl w:ilvl="0" w:tplc="A154BEB8">
      <w:start w:val="1"/>
      <w:numFmt w:val="bullet"/>
      <w:lvlText w:val="·"/>
      <w:lvlJc w:val="left"/>
      <w:pPr>
        <w:ind w:left="720" w:hanging="360"/>
      </w:pPr>
      <w:rPr>
        <w:rFonts w:ascii="Symbol" w:hAnsi="Symbol" w:hint="default"/>
      </w:rPr>
    </w:lvl>
    <w:lvl w:ilvl="1" w:tplc="46300E0C">
      <w:start w:val="1"/>
      <w:numFmt w:val="bullet"/>
      <w:lvlText w:val="o"/>
      <w:lvlJc w:val="left"/>
      <w:pPr>
        <w:ind w:left="1440" w:hanging="360"/>
      </w:pPr>
      <w:rPr>
        <w:rFonts w:ascii="Courier New" w:hAnsi="Courier New" w:hint="default"/>
      </w:rPr>
    </w:lvl>
    <w:lvl w:ilvl="2" w:tplc="59AEC652">
      <w:start w:val="1"/>
      <w:numFmt w:val="bullet"/>
      <w:lvlText w:val=""/>
      <w:lvlJc w:val="left"/>
      <w:pPr>
        <w:ind w:left="2160" w:hanging="360"/>
      </w:pPr>
      <w:rPr>
        <w:rFonts w:ascii="Wingdings" w:hAnsi="Wingdings" w:hint="default"/>
      </w:rPr>
    </w:lvl>
    <w:lvl w:ilvl="3" w:tplc="CC2AE3F0">
      <w:start w:val="1"/>
      <w:numFmt w:val="bullet"/>
      <w:lvlText w:val=""/>
      <w:lvlJc w:val="left"/>
      <w:pPr>
        <w:ind w:left="2880" w:hanging="360"/>
      </w:pPr>
      <w:rPr>
        <w:rFonts w:ascii="Symbol" w:hAnsi="Symbol" w:hint="default"/>
      </w:rPr>
    </w:lvl>
    <w:lvl w:ilvl="4" w:tplc="09241612">
      <w:start w:val="1"/>
      <w:numFmt w:val="bullet"/>
      <w:lvlText w:val="o"/>
      <w:lvlJc w:val="left"/>
      <w:pPr>
        <w:ind w:left="3600" w:hanging="360"/>
      </w:pPr>
      <w:rPr>
        <w:rFonts w:ascii="Courier New" w:hAnsi="Courier New" w:hint="default"/>
      </w:rPr>
    </w:lvl>
    <w:lvl w:ilvl="5" w:tplc="F25697B4">
      <w:start w:val="1"/>
      <w:numFmt w:val="bullet"/>
      <w:lvlText w:val=""/>
      <w:lvlJc w:val="left"/>
      <w:pPr>
        <w:ind w:left="4320" w:hanging="360"/>
      </w:pPr>
      <w:rPr>
        <w:rFonts w:ascii="Wingdings" w:hAnsi="Wingdings" w:hint="default"/>
      </w:rPr>
    </w:lvl>
    <w:lvl w:ilvl="6" w:tplc="841CCD84">
      <w:start w:val="1"/>
      <w:numFmt w:val="bullet"/>
      <w:lvlText w:val=""/>
      <w:lvlJc w:val="left"/>
      <w:pPr>
        <w:ind w:left="5040" w:hanging="360"/>
      </w:pPr>
      <w:rPr>
        <w:rFonts w:ascii="Symbol" w:hAnsi="Symbol" w:hint="default"/>
      </w:rPr>
    </w:lvl>
    <w:lvl w:ilvl="7" w:tplc="D6A896E4">
      <w:start w:val="1"/>
      <w:numFmt w:val="bullet"/>
      <w:lvlText w:val="o"/>
      <w:lvlJc w:val="left"/>
      <w:pPr>
        <w:ind w:left="5760" w:hanging="360"/>
      </w:pPr>
      <w:rPr>
        <w:rFonts w:ascii="Courier New" w:hAnsi="Courier New" w:hint="default"/>
      </w:rPr>
    </w:lvl>
    <w:lvl w:ilvl="8" w:tplc="4EDCE738">
      <w:start w:val="1"/>
      <w:numFmt w:val="bullet"/>
      <w:lvlText w:val=""/>
      <w:lvlJc w:val="left"/>
      <w:pPr>
        <w:ind w:left="6480" w:hanging="360"/>
      </w:pPr>
      <w:rPr>
        <w:rFonts w:ascii="Wingdings" w:hAnsi="Wingdings" w:hint="default"/>
      </w:rPr>
    </w:lvl>
  </w:abstractNum>
  <w:abstractNum w:abstractNumId="17" w15:restartNumberingAfterBreak="0">
    <w:nsid w:val="2C8DFDF8"/>
    <w:multiLevelType w:val="multilevel"/>
    <w:tmpl w:val="3B92AC3E"/>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2CFA2E1B"/>
    <w:multiLevelType w:val="hybridMultilevel"/>
    <w:tmpl w:val="FFFFFFFF"/>
    <w:lvl w:ilvl="0" w:tplc="D5D2805E">
      <w:start w:val="1"/>
      <w:numFmt w:val="bullet"/>
      <w:lvlText w:val=""/>
      <w:lvlJc w:val="left"/>
      <w:pPr>
        <w:ind w:left="720" w:hanging="360"/>
      </w:pPr>
      <w:rPr>
        <w:rFonts w:ascii="Symbol" w:hAnsi="Symbol" w:hint="default"/>
      </w:rPr>
    </w:lvl>
    <w:lvl w:ilvl="1" w:tplc="0ED45D9C">
      <w:start w:val="1"/>
      <w:numFmt w:val="bullet"/>
      <w:lvlText w:val="o"/>
      <w:lvlJc w:val="left"/>
      <w:pPr>
        <w:ind w:left="1440" w:hanging="360"/>
      </w:pPr>
      <w:rPr>
        <w:rFonts w:ascii="Courier New" w:hAnsi="Courier New" w:hint="default"/>
      </w:rPr>
    </w:lvl>
    <w:lvl w:ilvl="2" w:tplc="A96AE604">
      <w:start w:val="1"/>
      <w:numFmt w:val="bullet"/>
      <w:lvlText w:val=""/>
      <w:lvlJc w:val="left"/>
      <w:pPr>
        <w:ind w:left="2160" w:hanging="360"/>
      </w:pPr>
      <w:rPr>
        <w:rFonts w:ascii="Wingdings" w:hAnsi="Wingdings" w:hint="default"/>
      </w:rPr>
    </w:lvl>
    <w:lvl w:ilvl="3" w:tplc="E646C4C6">
      <w:start w:val="1"/>
      <w:numFmt w:val="bullet"/>
      <w:lvlText w:val=""/>
      <w:lvlJc w:val="left"/>
      <w:pPr>
        <w:ind w:left="2880" w:hanging="360"/>
      </w:pPr>
      <w:rPr>
        <w:rFonts w:ascii="Symbol" w:hAnsi="Symbol" w:hint="default"/>
      </w:rPr>
    </w:lvl>
    <w:lvl w:ilvl="4" w:tplc="755EF18C">
      <w:start w:val="1"/>
      <w:numFmt w:val="bullet"/>
      <w:lvlText w:val="o"/>
      <w:lvlJc w:val="left"/>
      <w:pPr>
        <w:ind w:left="3600" w:hanging="360"/>
      </w:pPr>
      <w:rPr>
        <w:rFonts w:ascii="Courier New" w:hAnsi="Courier New" w:hint="default"/>
      </w:rPr>
    </w:lvl>
    <w:lvl w:ilvl="5" w:tplc="08CCB65A">
      <w:start w:val="1"/>
      <w:numFmt w:val="bullet"/>
      <w:lvlText w:val=""/>
      <w:lvlJc w:val="left"/>
      <w:pPr>
        <w:ind w:left="4320" w:hanging="360"/>
      </w:pPr>
      <w:rPr>
        <w:rFonts w:ascii="Wingdings" w:hAnsi="Wingdings" w:hint="default"/>
      </w:rPr>
    </w:lvl>
    <w:lvl w:ilvl="6" w:tplc="3D6A57A2">
      <w:start w:val="1"/>
      <w:numFmt w:val="bullet"/>
      <w:lvlText w:val=""/>
      <w:lvlJc w:val="left"/>
      <w:pPr>
        <w:ind w:left="5040" w:hanging="360"/>
      </w:pPr>
      <w:rPr>
        <w:rFonts w:ascii="Symbol" w:hAnsi="Symbol" w:hint="default"/>
      </w:rPr>
    </w:lvl>
    <w:lvl w:ilvl="7" w:tplc="63180664">
      <w:start w:val="1"/>
      <w:numFmt w:val="bullet"/>
      <w:lvlText w:val="o"/>
      <w:lvlJc w:val="left"/>
      <w:pPr>
        <w:ind w:left="5760" w:hanging="360"/>
      </w:pPr>
      <w:rPr>
        <w:rFonts w:ascii="Courier New" w:hAnsi="Courier New" w:hint="default"/>
      </w:rPr>
    </w:lvl>
    <w:lvl w:ilvl="8" w:tplc="933C03E4">
      <w:start w:val="1"/>
      <w:numFmt w:val="bullet"/>
      <w:lvlText w:val=""/>
      <w:lvlJc w:val="left"/>
      <w:pPr>
        <w:ind w:left="6480" w:hanging="360"/>
      </w:pPr>
      <w:rPr>
        <w:rFonts w:ascii="Wingdings" w:hAnsi="Wingdings" w:hint="default"/>
      </w:rPr>
    </w:lvl>
  </w:abstractNum>
  <w:abstractNum w:abstractNumId="19" w15:restartNumberingAfterBreak="0">
    <w:nsid w:val="2D293CE3"/>
    <w:multiLevelType w:val="multilevel"/>
    <w:tmpl w:val="4B86CA8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2D293CF4"/>
    <w:multiLevelType w:val="multilevel"/>
    <w:tmpl w:val="9302292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0E21840"/>
    <w:multiLevelType w:val="hybridMultilevel"/>
    <w:tmpl w:val="11DEC72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33475DC1"/>
    <w:multiLevelType w:val="hybridMultilevel"/>
    <w:tmpl w:val="B2969CEC"/>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97E0F390">
      <w:numFmt w:val="bullet"/>
      <w:lvlText w:val="-"/>
      <w:lvlJc w:val="left"/>
      <w:pPr>
        <w:ind w:left="2160" w:hanging="360"/>
      </w:pPr>
      <w:rPr>
        <w:rFonts w:ascii="Times New Roman" w:eastAsia="Times New Roman" w:hAnsi="Times New Roman" w:cs="Times New Roman"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6324F1E"/>
    <w:multiLevelType w:val="multilevel"/>
    <w:tmpl w:val="A508B16A"/>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37CB1E1C"/>
    <w:multiLevelType w:val="multilevel"/>
    <w:tmpl w:val="4DD668A8"/>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39313A57"/>
    <w:multiLevelType w:val="hybridMultilevel"/>
    <w:tmpl w:val="9490EBEC"/>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A7730C4"/>
    <w:multiLevelType w:val="multilevel"/>
    <w:tmpl w:val="0EC265B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3C65361F"/>
    <w:multiLevelType w:val="hybridMultilevel"/>
    <w:tmpl w:val="E18ECA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4270D2E5"/>
    <w:multiLevelType w:val="hybridMultilevel"/>
    <w:tmpl w:val="FFFFFFFF"/>
    <w:lvl w:ilvl="0" w:tplc="4C98B516">
      <w:start w:val="1"/>
      <w:numFmt w:val="bullet"/>
      <w:lvlText w:val="·"/>
      <w:lvlJc w:val="left"/>
      <w:pPr>
        <w:ind w:left="720" w:hanging="360"/>
      </w:pPr>
      <w:rPr>
        <w:rFonts w:ascii="Symbol" w:hAnsi="Symbol" w:hint="default"/>
      </w:rPr>
    </w:lvl>
    <w:lvl w:ilvl="1" w:tplc="834465E6">
      <w:start w:val="1"/>
      <w:numFmt w:val="bullet"/>
      <w:lvlText w:val="o"/>
      <w:lvlJc w:val="left"/>
      <w:pPr>
        <w:ind w:left="1440" w:hanging="360"/>
      </w:pPr>
      <w:rPr>
        <w:rFonts w:ascii="Courier New" w:hAnsi="Courier New" w:hint="default"/>
      </w:rPr>
    </w:lvl>
    <w:lvl w:ilvl="2" w:tplc="80D8527E">
      <w:start w:val="1"/>
      <w:numFmt w:val="bullet"/>
      <w:lvlText w:val=""/>
      <w:lvlJc w:val="left"/>
      <w:pPr>
        <w:ind w:left="2160" w:hanging="360"/>
      </w:pPr>
      <w:rPr>
        <w:rFonts w:ascii="Wingdings" w:hAnsi="Wingdings" w:hint="default"/>
      </w:rPr>
    </w:lvl>
    <w:lvl w:ilvl="3" w:tplc="09567A0E">
      <w:start w:val="1"/>
      <w:numFmt w:val="bullet"/>
      <w:lvlText w:val=""/>
      <w:lvlJc w:val="left"/>
      <w:pPr>
        <w:ind w:left="2880" w:hanging="360"/>
      </w:pPr>
      <w:rPr>
        <w:rFonts w:ascii="Symbol" w:hAnsi="Symbol" w:hint="default"/>
      </w:rPr>
    </w:lvl>
    <w:lvl w:ilvl="4" w:tplc="ECE82404">
      <w:start w:val="1"/>
      <w:numFmt w:val="bullet"/>
      <w:lvlText w:val="o"/>
      <w:lvlJc w:val="left"/>
      <w:pPr>
        <w:ind w:left="3600" w:hanging="360"/>
      </w:pPr>
      <w:rPr>
        <w:rFonts w:ascii="Courier New" w:hAnsi="Courier New" w:hint="default"/>
      </w:rPr>
    </w:lvl>
    <w:lvl w:ilvl="5" w:tplc="0DC0C014">
      <w:start w:val="1"/>
      <w:numFmt w:val="bullet"/>
      <w:lvlText w:val=""/>
      <w:lvlJc w:val="left"/>
      <w:pPr>
        <w:ind w:left="4320" w:hanging="360"/>
      </w:pPr>
      <w:rPr>
        <w:rFonts w:ascii="Wingdings" w:hAnsi="Wingdings" w:hint="default"/>
      </w:rPr>
    </w:lvl>
    <w:lvl w:ilvl="6" w:tplc="2FA2E9D8">
      <w:start w:val="1"/>
      <w:numFmt w:val="bullet"/>
      <w:lvlText w:val=""/>
      <w:lvlJc w:val="left"/>
      <w:pPr>
        <w:ind w:left="5040" w:hanging="360"/>
      </w:pPr>
      <w:rPr>
        <w:rFonts w:ascii="Symbol" w:hAnsi="Symbol" w:hint="default"/>
      </w:rPr>
    </w:lvl>
    <w:lvl w:ilvl="7" w:tplc="A27CE47A">
      <w:start w:val="1"/>
      <w:numFmt w:val="bullet"/>
      <w:lvlText w:val="o"/>
      <w:lvlJc w:val="left"/>
      <w:pPr>
        <w:ind w:left="5760" w:hanging="360"/>
      </w:pPr>
      <w:rPr>
        <w:rFonts w:ascii="Courier New" w:hAnsi="Courier New" w:hint="default"/>
      </w:rPr>
    </w:lvl>
    <w:lvl w:ilvl="8" w:tplc="DC4E264A">
      <w:start w:val="1"/>
      <w:numFmt w:val="bullet"/>
      <w:lvlText w:val=""/>
      <w:lvlJc w:val="left"/>
      <w:pPr>
        <w:ind w:left="6480" w:hanging="360"/>
      </w:pPr>
      <w:rPr>
        <w:rFonts w:ascii="Wingdings" w:hAnsi="Wingdings" w:hint="default"/>
      </w:rPr>
    </w:lvl>
  </w:abstractNum>
  <w:abstractNum w:abstractNumId="29" w15:restartNumberingAfterBreak="0">
    <w:nsid w:val="429E662A"/>
    <w:multiLevelType w:val="multilevel"/>
    <w:tmpl w:val="86A28922"/>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4E1A63DF"/>
    <w:multiLevelType w:val="multilevel"/>
    <w:tmpl w:val="2BD28528"/>
    <w:name w:val="TableListBulletNumbering"/>
    <w:lvl w:ilvl="0">
      <w:start w:val="1"/>
      <w:numFmt w:val="bullet"/>
      <w:pStyle w:val="TableListBullet"/>
      <w:lvlText w:val=""/>
      <w:lvlJc w:val="left"/>
      <w:pPr>
        <w:tabs>
          <w:tab w:val="num" w:pos="283"/>
        </w:tabs>
        <w:ind w:left="283" w:hanging="283"/>
      </w:pPr>
      <w:rPr>
        <w:rFonts w:ascii="Symbol" w:hAnsi="Symbol"/>
        <w:color w:val="auto"/>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EB56D51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4F806274"/>
    <w:multiLevelType w:val="hybridMultilevel"/>
    <w:tmpl w:val="FFFFFFFF"/>
    <w:lvl w:ilvl="0" w:tplc="6144ED04">
      <w:start w:val="1"/>
      <w:numFmt w:val="bullet"/>
      <w:lvlText w:val=""/>
      <w:lvlJc w:val="left"/>
      <w:pPr>
        <w:ind w:left="720" w:hanging="360"/>
      </w:pPr>
      <w:rPr>
        <w:rFonts w:ascii="Symbol" w:hAnsi="Symbol" w:hint="default"/>
      </w:rPr>
    </w:lvl>
    <w:lvl w:ilvl="1" w:tplc="6AE2E336">
      <w:start w:val="1"/>
      <w:numFmt w:val="bullet"/>
      <w:lvlText w:val="o"/>
      <w:lvlJc w:val="left"/>
      <w:pPr>
        <w:ind w:left="1440" w:hanging="360"/>
      </w:pPr>
      <w:rPr>
        <w:rFonts w:ascii="Courier New" w:hAnsi="Courier New" w:hint="default"/>
      </w:rPr>
    </w:lvl>
    <w:lvl w:ilvl="2" w:tplc="3DB00C32">
      <w:start w:val="1"/>
      <w:numFmt w:val="bullet"/>
      <w:lvlText w:val=""/>
      <w:lvlJc w:val="left"/>
      <w:pPr>
        <w:ind w:left="2160" w:hanging="360"/>
      </w:pPr>
      <w:rPr>
        <w:rFonts w:ascii="Wingdings" w:hAnsi="Wingdings" w:hint="default"/>
      </w:rPr>
    </w:lvl>
    <w:lvl w:ilvl="3" w:tplc="3212596A">
      <w:start w:val="1"/>
      <w:numFmt w:val="bullet"/>
      <w:lvlText w:val=""/>
      <w:lvlJc w:val="left"/>
      <w:pPr>
        <w:ind w:left="2880" w:hanging="360"/>
      </w:pPr>
      <w:rPr>
        <w:rFonts w:ascii="Symbol" w:hAnsi="Symbol" w:hint="default"/>
      </w:rPr>
    </w:lvl>
    <w:lvl w:ilvl="4" w:tplc="CE9257C6">
      <w:start w:val="1"/>
      <w:numFmt w:val="bullet"/>
      <w:lvlText w:val="o"/>
      <w:lvlJc w:val="left"/>
      <w:pPr>
        <w:ind w:left="3600" w:hanging="360"/>
      </w:pPr>
      <w:rPr>
        <w:rFonts w:ascii="Courier New" w:hAnsi="Courier New" w:hint="default"/>
      </w:rPr>
    </w:lvl>
    <w:lvl w:ilvl="5" w:tplc="DDC6B724">
      <w:start w:val="1"/>
      <w:numFmt w:val="bullet"/>
      <w:lvlText w:val=""/>
      <w:lvlJc w:val="left"/>
      <w:pPr>
        <w:ind w:left="4320" w:hanging="360"/>
      </w:pPr>
      <w:rPr>
        <w:rFonts w:ascii="Wingdings" w:hAnsi="Wingdings" w:hint="default"/>
      </w:rPr>
    </w:lvl>
    <w:lvl w:ilvl="6" w:tplc="8FD8DDF6">
      <w:start w:val="1"/>
      <w:numFmt w:val="bullet"/>
      <w:lvlText w:val=""/>
      <w:lvlJc w:val="left"/>
      <w:pPr>
        <w:ind w:left="5040" w:hanging="360"/>
      </w:pPr>
      <w:rPr>
        <w:rFonts w:ascii="Symbol" w:hAnsi="Symbol" w:hint="default"/>
      </w:rPr>
    </w:lvl>
    <w:lvl w:ilvl="7" w:tplc="CF1AB654">
      <w:start w:val="1"/>
      <w:numFmt w:val="bullet"/>
      <w:lvlText w:val="o"/>
      <w:lvlJc w:val="left"/>
      <w:pPr>
        <w:ind w:left="5760" w:hanging="360"/>
      </w:pPr>
      <w:rPr>
        <w:rFonts w:ascii="Courier New" w:hAnsi="Courier New" w:hint="default"/>
      </w:rPr>
    </w:lvl>
    <w:lvl w:ilvl="8" w:tplc="4A7493F4">
      <w:start w:val="1"/>
      <w:numFmt w:val="bullet"/>
      <w:lvlText w:val=""/>
      <w:lvlJc w:val="left"/>
      <w:pPr>
        <w:ind w:left="6480" w:hanging="360"/>
      </w:pPr>
      <w:rPr>
        <w:rFonts w:ascii="Wingdings" w:hAnsi="Wingdings" w:hint="default"/>
      </w:rPr>
    </w:lvl>
  </w:abstractNum>
  <w:abstractNum w:abstractNumId="33" w15:restartNumberingAfterBreak="0">
    <w:nsid w:val="5072619B"/>
    <w:multiLevelType w:val="multilevel"/>
    <w:tmpl w:val="218AF414"/>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0729B52"/>
    <w:multiLevelType w:val="multilevel"/>
    <w:tmpl w:val="9DB6C3D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5" w15:restartNumberingAfterBreak="0">
    <w:nsid w:val="584641E5"/>
    <w:multiLevelType w:val="hybridMultilevel"/>
    <w:tmpl w:val="85E4EF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5C631017"/>
    <w:multiLevelType w:val="hybridMultilevel"/>
    <w:tmpl w:val="F80C6E94"/>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C7F5BDE"/>
    <w:multiLevelType w:val="hybridMultilevel"/>
    <w:tmpl w:val="FFFFFFFF"/>
    <w:lvl w:ilvl="0" w:tplc="33BC14F8">
      <w:start w:val="1"/>
      <w:numFmt w:val="bullet"/>
      <w:lvlText w:val="Ø"/>
      <w:lvlJc w:val="left"/>
      <w:pPr>
        <w:ind w:left="720" w:hanging="360"/>
      </w:pPr>
      <w:rPr>
        <w:rFonts w:ascii="Wingdings" w:hAnsi="Wingdings" w:hint="default"/>
      </w:rPr>
    </w:lvl>
    <w:lvl w:ilvl="1" w:tplc="D19ABAA6">
      <w:start w:val="1"/>
      <w:numFmt w:val="bullet"/>
      <w:lvlText w:val="o"/>
      <w:lvlJc w:val="left"/>
      <w:pPr>
        <w:ind w:left="1440" w:hanging="360"/>
      </w:pPr>
      <w:rPr>
        <w:rFonts w:ascii="Courier New" w:hAnsi="Courier New" w:hint="default"/>
      </w:rPr>
    </w:lvl>
    <w:lvl w:ilvl="2" w:tplc="E534AD0A">
      <w:start w:val="1"/>
      <w:numFmt w:val="bullet"/>
      <w:lvlText w:val=""/>
      <w:lvlJc w:val="left"/>
      <w:pPr>
        <w:ind w:left="2160" w:hanging="360"/>
      </w:pPr>
      <w:rPr>
        <w:rFonts w:ascii="Wingdings" w:hAnsi="Wingdings" w:hint="default"/>
      </w:rPr>
    </w:lvl>
    <w:lvl w:ilvl="3" w:tplc="03AC17E8">
      <w:start w:val="1"/>
      <w:numFmt w:val="bullet"/>
      <w:lvlText w:val=""/>
      <w:lvlJc w:val="left"/>
      <w:pPr>
        <w:ind w:left="2880" w:hanging="360"/>
      </w:pPr>
      <w:rPr>
        <w:rFonts w:ascii="Symbol" w:hAnsi="Symbol" w:hint="default"/>
      </w:rPr>
    </w:lvl>
    <w:lvl w:ilvl="4" w:tplc="941C93F0">
      <w:start w:val="1"/>
      <w:numFmt w:val="bullet"/>
      <w:lvlText w:val="o"/>
      <w:lvlJc w:val="left"/>
      <w:pPr>
        <w:ind w:left="3600" w:hanging="360"/>
      </w:pPr>
      <w:rPr>
        <w:rFonts w:ascii="Courier New" w:hAnsi="Courier New" w:hint="default"/>
      </w:rPr>
    </w:lvl>
    <w:lvl w:ilvl="5" w:tplc="E90030B4">
      <w:start w:val="1"/>
      <w:numFmt w:val="bullet"/>
      <w:lvlText w:val=""/>
      <w:lvlJc w:val="left"/>
      <w:pPr>
        <w:ind w:left="4320" w:hanging="360"/>
      </w:pPr>
      <w:rPr>
        <w:rFonts w:ascii="Wingdings" w:hAnsi="Wingdings" w:hint="default"/>
      </w:rPr>
    </w:lvl>
    <w:lvl w:ilvl="6" w:tplc="E04EC6E2">
      <w:start w:val="1"/>
      <w:numFmt w:val="bullet"/>
      <w:lvlText w:val=""/>
      <w:lvlJc w:val="left"/>
      <w:pPr>
        <w:ind w:left="5040" w:hanging="360"/>
      </w:pPr>
      <w:rPr>
        <w:rFonts w:ascii="Symbol" w:hAnsi="Symbol" w:hint="default"/>
      </w:rPr>
    </w:lvl>
    <w:lvl w:ilvl="7" w:tplc="7E3082AC">
      <w:start w:val="1"/>
      <w:numFmt w:val="bullet"/>
      <w:lvlText w:val="o"/>
      <w:lvlJc w:val="left"/>
      <w:pPr>
        <w:ind w:left="5760" w:hanging="360"/>
      </w:pPr>
      <w:rPr>
        <w:rFonts w:ascii="Courier New" w:hAnsi="Courier New" w:hint="default"/>
      </w:rPr>
    </w:lvl>
    <w:lvl w:ilvl="8" w:tplc="689C80A6">
      <w:start w:val="1"/>
      <w:numFmt w:val="bullet"/>
      <w:lvlText w:val=""/>
      <w:lvlJc w:val="left"/>
      <w:pPr>
        <w:ind w:left="6480" w:hanging="360"/>
      </w:pPr>
      <w:rPr>
        <w:rFonts w:ascii="Wingdings" w:hAnsi="Wingdings" w:hint="default"/>
      </w:rPr>
    </w:lvl>
  </w:abstractNum>
  <w:abstractNum w:abstractNumId="38" w15:restartNumberingAfterBreak="0">
    <w:nsid w:val="6240C5F2"/>
    <w:multiLevelType w:val="hybridMultilevel"/>
    <w:tmpl w:val="FFFFFFFF"/>
    <w:lvl w:ilvl="0" w:tplc="0A92F8C6">
      <w:start w:val="1"/>
      <w:numFmt w:val="bullet"/>
      <w:lvlText w:val=""/>
      <w:lvlJc w:val="left"/>
      <w:pPr>
        <w:ind w:left="720" w:hanging="360"/>
      </w:pPr>
      <w:rPr>
        <w:rFonts w:ascii="Symbol" w:hAnsi="Symbol" w:hint="default"/>
      </w:rPr>
    </w:lvl>
    <w:lvl w:ilvl="1" w:tplc="52FE70A2">
      <w:start w:val="1"/>
      <w:numFmt w:val="bullet"/>
      <w:lvlText w:val="o"/>
      <w:lvlJc w:val="left"/>
      <w:pPr>
        <w:ind w:left="1440" w:hanging="360"/>
      </w:pPr>
      <w:rPr>
        <w:rFonts w:ascii="Courier New" w:hAnsi="Courier New" w:hint="default"/>
      </w:rPr>
    </w:lvl>
    <w:lvl w:ilvl="2" w:tplc="564E800E">
      <w:start w:val="1"/>
      <w:numFmt w:val="bullet"/>
      <w:lvlText w:val=""/>
      <w:lvlJc w:val="left"/>
      <w:pPr>
        <w:ind w:left="2160" w:hanging="360"/>
      </w:pPr>
      <w:rPr>
        <w:rFonts w:ascii="Wingdings" w:hAnsi="Wingdings" w:hint="default"/>
      </w:rPr>
    </w:lvl>
    <w:lvl w:ilvl="3" w:tplc="1AA6A87C">
      <w:start w:val="1"/>
      <w:numFmt w:val="bullet"/>
      <w:lvlText w:val=""/>
      <w:lvlJc w:val="left"/>
      <w:pPr>
        <w:ind w:left="2880" w:hanging="360"/>
      </w:pPr>
      <w:rPr>
        <w:rFonts w:ascii="Symbol" w:hAnsi="Symbol" w:hint="default"/>
      </w:rPr>
    </w:lvl>
    <w:lvl w:ilvl="4" w:tplc="3CD29152">
      <w:start w:val="1"/>
      <w:numFmt w:val="bullet"/>
      <w:lvlText w:val="o"/>
      <w:lvlJc w:val="left"/>
      <w:pPr>
        <w:ind w:left="3600" w:hanging="360"/>
      </w:pPr>
      <w:rPr>
        <w:rFonts w:ascii="Courier New" w:hAnsi="Courier New" w:hint="default"/>
      </w:rPr>
    </w:lvl>
    <w:lvl w:ilvl="5" w:tplc="72A6CCEA">
      <w:start w:val="1"/>
      <w:numFmt w:val="bullet"/>
      <w:lvlText w:val=""/>
      <w:lvlJc w:val="left"/>
      <w:pPr>
        <w:ind w:left="4320" w:hanging="360"/>
      </w:pPr>
      <w:rPr>
        <w:rFonts w:ascii="Wingdings" w:hAnsi="Wingdings" w:hint="default"/>
      </w:rPr>
    </w:lvl>
    <w:lvl w:ilvl="6" w:tplc="A4AA8DF6">
      <w:start w:val="1"/>
      <w:numFmt w:val="bullet"/>
      <w:lvlText w:val=""/>
      <w:lvlJc w:val="left"/>
      <w:pPr>
        <w:ind w:left="5040" w:hanging="360"/>
      </w:pPr>
      <w:rPr>
        <w:rFonts w:ascii="Symbol" w:hAnsi="Symbol" w:hint="default"/>
      </w:rPr>
    </w:lvl>
    <w:lvl w:ilvl="7" w:tplc="ABE897FC">
      <w:start w:val="1"/>
      <w:numFmt w:val="bullet"/>
      <w:lvlText w:val="o"/>
      <w:lvlJc w:val="left"/>
      <w:pPr>
        <w:ind w:left="5760" w:hanging="360"/>
      </w:pPr>
      <w:rPr>
        <w:rFonts w:ascii="Courier New" w:hAnsi="Courier New" w:hint="default"/>
      </w:rPr>
    </w:lvl>
    <w:lvl w:ilvl="8" w:tplc="183E5292">
      <w:start w:val="1"/>
      <w:numFmt w:val="bullet"/>
      <w:lvlText w:val=""/>
      <w:lvlJc w:val="left"/>
      <w:pPr>
        <w:ind w:left="6480" w:hanging="360"/>
      </w:pPr>
      <w:rPr>
        <w:rFonts w:ascii="Wingdings" w:hAnsi="Wingdings" w:hint="default"/>
      </w:rPr>
    </w:lvl>
  </w:abstractNum>
  <w:abstractNum w:abstractNumId="39" w15:restartNumberingAfterBreak="0">
    <w:nsid w:val="648B8080"/>
    <w:multiLevelType w:val="hybridMultilevel"/>
    <w:tmpl w:val="FFFFFFFF"/>
    <w:lvl w:ilvl="0" w:tplc="462C667E">
      <w:start w:val="1"/>
      <w:numFmt w:val="bullet"/>
      <w:lvlText w:val=""/>
      <w:lvlJc w:val="left"/>
      <w:pPr>
        <w:ind w:left="720" w:hanging="360"/>
      </w:pPr>
      <w:rPr>
        <w:rFonts w:ascii="Symbol" w:hAnsi="Symbol" w:hint="default"/>
      </w:rPr>
    </w:lvl>
    <w:lvl w:ilvl="1" w:tplc="5324069C">
      <w:start w:val="1"/>
      <w:numFmt w:val="bullet"/>
      <w:lvlText w:val="o"/>
      <w:lvlJc w:val="left"/>
      <w:pPr>
        <w:ind w:left="1440" w:hanging="360"/>
      </w:pPr>
      <w:rPr>
        <w:rFonts w:ascii="Courier New" w:hAnsi="Courier New" w:hint="default"/>
      </w:rPr>
    </w:lvl>
    <w:lvl w:ilvl="2" w:tplc="DA600ECA">
      <w:start w:val="1"/>
      <w:numFmt w:val="bullet"/>
      <w:lvlText w:val=""/>
      <w:lvlJc w:val="left"/>
      <w:pPr>
        <w:ind w:left="2160" w:hanging="360"/>
      </w:pPr>
      <w:rPr>
        <w:rFonts w:ascii="Wingdings" w:hAnsi="Wingdings" w:hint="default"/>
      </w:rPr>
    </w:lvl>
    <w:lvl w:ilvl="3" w:tplc="9806C0EC">
      <w:start w:val="1"/>
      <w:numFmt w:val="bullet"/>
      <w:lvlText w:val=""/>
      <w:lvlJc w:val="left"/>
      <w:pPr>
        <w:ind w:left="2880" w:hanging="360"/>
      </w:pPr>
      <w:rPr>
        <w:rFonts w:ascii="Symbol" w:hAnsi="Symbol" w:hint="default"/>
      </w:rPr>
    </w:lvl>
    <w:lvl w:ilvl="4" w:tplc="B48E37B4">
      <w:start w:val="1"/>
      <w:numFmt w:val="bullet"/>
      <w:lvlText w:val="o"/>
      <w:lvlJc w:val="left"/>
      <w:pPr>
        <w:ind w:left="3600" w:hanging="360"/>
      </w:pPr>
      <w:rPr>
        <w:rFonts w:ascii="Courier New" w:hAnsi="Courier New" w:hint="default"/>
      </w:rPr>
    </w:lvl>
    <w:lvl w:ilvl="5" w:tplc="45CAD2B2">
      <w:start w:val="1"/>
      <w:numFmt w:val="bullet"/>
      <w:lvlText w:val=""/>
      <w:lvlJc w:val="left"/>
      <w:pPr>
        <w:ind w:left="4320" w:hanging="360"/>
      </w:pPr>
      <w:rPr>
        <w:rFonts w:ascii="Wingdings" w:hAnsi="Wingdings" w:hint="default"/>
      </w:rPr>
    </w:lvl>
    <w:lvl w:ilvl="6" w:tplc="ABC8A2F4">
      <w:start w:val="1"/>
      <w:numFmt w:val="bullet"/>
      <w:lvlText w:val=""/>
      <w:lvlJc w:val="left"/>
      <w:pPr>
        <w:ind w:left="5040" w:hanging="360"/>
      </w:pPr>
      <w:rPr>
        <w:rFonts w:ascii="Symbol" w:hAnsi="Symbol" w:hint="default"/>
      </w:rPr>
    </w:lvl>
    <w:lvl w:ilvl="7" w:tplc="1116E738">
      <w:start w:val="1"/>
      <w:numFmt w:val="bullet"/>
      <w:lvlText w:val="o"/>
      <w:lvlJc w:val="left"/>
      <w:pPr>
        <w:ind w:left="5760" w:hanging="360"/>
      </w:pPr>
      <w:rPr>
        <w:rFonts w:ascii="Courier New" w:hAnsi="Courier New" w:hint="default"/>
      </w:rPr>
    </w:lvl>
    <w:lvl w:ilvl="8" w:tplc="E8383FB2">
      <w:start w:val="1"/>
      <w:numFmt w:val="bullet"/>
      <w:lvlText w:val=""/>
      <w:lvlJc w:val="left"/>
      <w:pPr>
        <w:ind w:left="6480" w:hanging="360"/>
      </w:pPr>
      <w:rPr>
        <w:rFonts w:ascii="Wingdings" w:hAnsi="Wingdings" w:hint="default"/>
      </w:rPr>
    </w:lvl>
  </w:abstractNum>
  <w:abstractNum w:abstractNumId="40" w15:restartNumberingAfterBreak="0">
    <w:nsid w:val="6977472E"/>
    <w:multiLevelType w:val="multilevel"/>
    <w:tmpl w:val="6B4CDA24"/>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69BCE017"/>
    <w:multiLevelType w:val="hybridMultilevel"/>
    <w:tmpl w:val="7256ED4C"/>
    <w:lvl w:ilvl="0" w:tplc="45C60E5A">
      <w:start w:val="1"/>
      <w:numFmt w:val="bullet"/>
      <w:lvlText w:val=""/>
      <w:lvlJc w:val="left"/>
      <w:pPr>
        <w:ind w:left="720" w:hanging="360"/>
      </w:pPr>
      <w:rPr>
        <w:rFonts w:ascii="Symbol" w:hAnsi="Symbol" w:hint="default"/>
      </w:rPr>
    </w:lvl>
    <w:lvl w:ilvl="1" w:tplc="EE3ACD92">
      <w:start w:val="1"/>
      <w:numFmt w:val="bullet"/>
      <w:lvlText w:val="o"/>
      <w:lvlJc w:val="left"/>
      <w:pPr>
        <w:ind w:left="1440" w:hanging="360"/>
      </w:pPr>
      <w:rPr>
        <w:rFonts w:ascii="Courier New" w:hAnsi="Courier New" w:hint="default"/>
      </w:rPr>
    </w:lvl>
    <w:lvl w:ilvl="2" w:tplc="DA3A7D0C">
      <w:start w:val="1"/>
      <w:numFmt w:val="bullet"/>
      <w:lvlText w:val=""/>
      <w:lvlJc w:val="left"/>
      <w:pPr>
        <w:ind w:left="2160" w:hanging="360"/>
      </w:pPr>
      <w:rPr>
        <w:rFonts w:ascii="Wingdings" w:hAnsi="Wingdings" w:hint="default"/>
      </w:rPr>
    </w:lvl>
    <w:lvl w:ilvl="3" w:tplc="9202D946">
      <w:start w:val="1"/>
      <w:numFmt w:val="bullet"/>
      <w:lvlText w:val=""/>
      <w:lvlJc w:val="left"/>
      <w:pPr>
        <w:ind w:left="2880" w:hanging="360"/>
      </w:pPr>
      <w:rPr>
        <w:rFonts w:ascii="Symbol" w:hAnsi="Symbol" w:hint="default"/>
      </w:rPr>
    </w:lvl>
    <w:lvl w:ilvl="4" w:tplc="EEBA047A">
      <w:start w:val="1"/>
      <w:numFmt w:val="bullet"/>
      <w:lvlText w:val="o"/>
      <w:lvlJc w:val="left"/>
      <w:pPr>
        <w:ind w:left="3600" w:hanging="360"/>
      </w:pPr>
      <w:rPr>
        <w:rFonts w:ascii="Courier New" w:hAnsi="Courier New" w:hint="default"/>
      </w:rPr>
    </w:lvl>
    <w:lvl w:ilvl="5" w:tplc="112C2990">
      <w:start w:val="1"/>
      <w:numFmt w:val="bullet"/>
      <w:lvlText w:val=""/>
      <w:lvlJc w:val="left"/>
      <w:pPr>
        <w:ind w:left="4320" w:hanging="360"/>
      </w:pPr>
      <w:rPr>
        <w:rFonts w:ascii="Wingdings" w:hAnsi="Wingdings" w:hint="default"/>
      </w:rPr>
    </w:lvl>
    <w:lvl w:ilvl="6" w:tplc="C6680F5E">
      <w:start w:val="1"/>
      <w:numFmt w:val="bullet"/>
      <w:lvlText w:val=""/>
      <w:lvlJc w:val="left"/>
      <w:pPr>
        <w:ind w:left="5040" w:hanging="360"/>
      </w:pPr>
      <w:rPr>
        <w:rFonts w:ascii="Symbol" w:hAnsi="Symbol" w:hint="default"/>
      </w:rPr>
    </w:lvl>
    <w:lvl w:ilvl="7" w:tplc="DA3227BA">
      <w:start w:val="1"/>
      <w:numFmt w:val="bullet"/>
      <w:lvlText w:val="o"/>
      <w:lvlJc w:val="left"/>
      <w:pPr>
        <w:ind w:left="5760" w:hanging="360"/>
      </w:pPr>
      <w:rPr>
        <w:rFonts w:ascii="Courier New" w:hAnsi="Courier New" w:hint="default"/>
      </w:rPr>
    </w:lvl>
    <w:lvl w:ilvl="8" w:tplc="584022CA">
      <w:start w:val="1"/>
      <w:numFmt w:val="bullet"/>
      <w:lvlText w:val=""/>
      <w:lvlJc w:val="left"/>
      <w:pPr>
        <w:ind w:left="6480" w:hanging="360"/>
      </w:pPr>
      <w:rPr>
        <w:rFonts w:ascii="Wingdings" w:hAnsi="Wingdings" w:hint="default"/>
      </w:rPr>
    </w:lvl>
  </w:abstractNum>
  <w:abstractNum w:abstractNumId="42" w15:restartNumberingAfterBreak="0">
    <w:nsid w:val="6CA66BE9"/>
    <w:multiLevelType w:val="multilevel"/>
    <w:tmpl w:val="978ED056"/>
    <w:lvl w:ilvl="0">
      <w:start w:val="1"/>
      <w:numFmt w:val="decimal"/>
      <w:lvlText w:val="%1."/>
      <w:lvlJc w:val="left"/>
      <w:pPr>
        <w:ind w:left="964" w:hanging="48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D9742B8"/>
    <w:multiLevelType w:val="hybridMultilevel"/>
    <w:tmpl w:val="C218A404"/>
    <w:lvl w:ilvl="0" w:tplc="D4A8C8F4">
      <w:start w:val="1"/>
      <w:numFmt w:val="bullet"/>
      <w:lvlText w:val=""/>
      <w:lvlJc w:val="left"/>
      <w:pPr>
        <w:ind w:left="360" w:hanging="360"/>
      </w:pPr>
      <w:rPr>
        <w:rFonts w:ascii="Symbol" w:hAnsi="Symbol" w:hint="default"/>
      </w:rPr>
    </w:lvl>
    <w:lvl w:ilvl="1" w:tplc="E5E2A4BC">
      <w:start w:val="1"/>
      <w:numFmt w:val="bullet"/>
      <w:lvlText w:val="o"/>
      <w:lvlJc w:val="left"/>
      <w:pPr>
        <w:ind w:left="1080" w:hanging="360"/>
      </w:pPr>
      <w:rPr>
        <w:rFonts w:ascii="Courier New" w:hAnsi="Courier New" w:hint="default"/>
      </w:rPr>
    </w:lvl>
    <w:lvl w:ilvl="2" w:tplc="4F689CCE">
      <w:start w:val="1"/>
      <w:numFmt w:val="bullet"/>
      <w:lvlText w:val=""/>
      <w:lvlJc w:val="left"/>
      <w:pPr>
        <w:ind w:left="1800" w:hanging="360"/>
      </w:pPr>
      <w:rPr>
        <w:rFonts w:ascii="Wingdings" w:hAnsi="Wingdings" w:hint="default"/>
      </w:rPr>
    </w:lvl>
    <w:lvl w:ilvl="3" w:tplc="2E421A3A">
      <w:start w:val="1"/>
      <w:numFmt w:val="bullet"/>
      <w:lvlText w:val=""/>
      <w:lvlJc w:val="left"/>
      <w:pPr>
        <w:ind w:left="2520" w:hanging="360"/>
      </w:pPr>
      <w:rPr>
        <w:rFonts w:ascii="Symbol" w:hAnsi="Symbol" w:hint="default"/>
      </w:rPr>
    </w:lvl>
    <w:lvl w:ilvl="4" w:tplc="869CA80C">
      <w:start w:val="1"/>
      <w:numFmt w:val="bullet"/>
      <w:lvlText w:val="o"/>
      <w:lvlJc w:val="left"/>
      <w:pPr>
        <w:ind w:left="3240" w:hanging="360"/>
      </w:pPr>
      <w:rPr>
        <w:rFonts w:ascii="Courier New" w:hAnsi="Courier New" w:hint="default"/>
      </w:rPr>
    </w:lvl>
    <w:lvl w:ilvl="5" w:tplc="69A691A2">
      <w:start w:val="1"/>
      <w:numFmt w:val="bullet"/>
      <w:lvlText w:val=""/>
      <w:lvlJc w:val="left"/>
      <w:pPr>
        <w:ind w:left="3960" w:hanging="360"/>
      </w:pPr>
      <w:rPr>
        <w:rFonts w:ascii="Wingdings" w:hAnsi="Wingdings" w:hint="default"/>
      </w:rPr>
    </w:lvl>
    <w:lvl w:ilvl="6" w:tplc="81E013B0">
      <w:start w:val="1"/>
      <w:numFmt w:val="bullet"/>
      <w:lvlText w:val=""/>
      <w:lvlJc w:val="left"/>
      <w:pPr>
        <w:ind w:left="4680" w:hanging="360"/>
      </w:pPr>
      <w:rPr>
        <w:rFonts w:ascii="Symbol" w:hAnsi="Symbol" w:hint="default"/>
      </w:rPr>
    </w:lvl>
    <w:lvl w:ilvl="7" w:tplc="A424A73A">
      <w:start w:val="1"/>
      <w:numFmt w:val="bullet"/>
      <w:lvlText w:val="o"/>
      <w:lvlJc w:val="left"/>
      <w:pPr>
        <w:ind w:left="5400" w:hanging="360"/>
      </w:pPr>
      <w:rPr>
        <w:rFonts w:ascii="Courier New" w:hAnsi="Courier New" w:hint="default"/>
      </w:rPr>
    </w:lvl>
    <w:lvl w:ilvl="8" w:tplc="CFFA629A">
      <w:start w:val="1"/>
      <w:numFmt w:val="bullet"/>
      <w:lvlText w:val=""/>
      <w:lvlJc w:val="left"/>
      <w:pPr>
        <w:ind w:left="6120" w:hanging="360"/>
      </w:pPr>
      <w:rPr>
        <w:rFonts w:ascii="Wingdings" w:hAnsi="Wingdings" w:hint="default"/>
      </w:rPr>
    </w:lvl>
  </w:abstractNum>
  <w:abstractNum w:abstractNumId="44" w15:restartNumberingAfterBreak="0">
    <w:nsid w:val="70949D59"/>
    <w:multiLevelType w:val="hybridMultilevel"/>
    <w:tmpl w:val="FFFFFFFF"/>
    <w:lvl w:ilvl="0" w:tplc="43F2E9E8">
      <w:start w:val="1"/>
      <w:numFmt w:val="bullet"/>
      <w:lvlText w:val=""/>
      <w:lvlJc w:val="left"/>
      <w:pPr>
        <w:ind w:left="720" w:hanging="360"/>
      </w:pPr>
      <w:rPr>
        <w:rFonts w:ascii="Symbol" w:hAnsi="Symbol" w:hint="default"/>
      </w:rPr>
    </w:lvl>
    <w:lvl w:ilvl="1" w:tplc="2932C890">
      <w:start w:val="1"/>
      <w:numFmt w:val="bullet"/>
      <w:lvlText w:val="o"/>
      <w:lvlJc w:val="left"/>
      <w:pPr>
        <w:ind w:left="1440" w:hanging="360"/>
      </w:pPr>
      <w:rPr>
        <w:rFonts w:ascii="Courier New" w:hAnsi="Courier New" w:hint="default"/>
      </w:rPr>
    </w:lvl>
    <w:lvl w:ilvl="2" w:tplc="D1AC39B2">
      <w:start w:val="1"/>
      <w:numFmt w:val="bullet"/>
      <w:lvlText w:val=""/>
      <w:lvlJc w:val="left"/>
      <w:pPr>
        <w:ind w:left="2160" w:hanging="360"/>
      </w:pPr>
      <w:rPr>
        <w:rFonts w:ascii="Wingdings" w:hAnsi="Wingdings" w:hint="default"/>
      </w:rPr>
    </w:lvl>
    <w:lvl w:ilvl="3" w:tplc="EE0C03C4">
      <w:start w:val="1"/>
      <w:numFmt w:val="bullet"/>
      <w:lvlText w:val=""/>
      <w:lvlJc w:val="left"/>
      <w:pPr>
        <w:ind w:left="2880" w:hanging="360"/>
      </w:pPr>
      <w:rPr>
        <w:rFonts w:ascii="Symbol" w:hAnsi="Symbol" w:hint="default"/>
      </w:rPr>
    </w:lvl>
    <w:lvl w:ilvl="4" w:tplc="E2E880BA">
      <w:start w:val="1"/>
      <w:numFmt w:val="bullet"/>
      <w:lvlText w:val="o"/>
      <w:lvlJc w:val="left"/>
      <w:pPr>
        <w:ind w:left="3600" w:hanging="360"/>
      </w:pPr>
      <w:rPr>
        <w:rFonts w:ascii="Courier New" w:hAnsi="Courier New" w:hint="default"/>
      </w:rPr>
    </w:lvl>
    <w:lvl w:ilvl="5" w:tplc="DE1C757C">
      <w:start w:val="1"/>
      <w:numFmt w:val="bullet"/>
      <w:lvlText w:val=""/>
      <w:lvlJc w:val="left"/>
      <w:pPr>
        <w:ind w:left="4320" w:hanging="360"/>
      </w:pPr>
      <w:rPr>
        <w:rFonts w:ascii="Wingdings" w:hAnsi="Wingdings" w:hint="default"/>
      </w:rPr>
    </w:lvl>
    <w:lvl w:ilvl="6" w:tplc="8E50F92C">
      <w:start w:val="1"/>
      <w:numFmt w:val="bullet"/>
      <w:lvlText w:val=""/>
      <w:lvlJc w:val="left"/>
      <w:pPr>
        <w:ind w:left="5040" w:hanging="360"/>
      </w:pPr>
      <w:rPr>
        <w:rFonts w:ascii="Symbol" w:hAnsi="Symbol" w:hint="default"/>
      </w:rPr>
    </w:lvl>
    <w:lvl w:ilvl="7" w:tplc="BC2EA212">
      <w:start w:val="1"/>
      <w:numFmt w:val="bullet"/>
      <w:lvlText w:val="o"/>
      <w:lvlJc w:val="left"/>
      <w:pPr>
        <w:ind w:left="5760" w:hanging="360"/>
      </w:pPr>
      <w:rPr>
        <w:rFonts w:ascii="Courier New" w:hAnsi="Courier New" w:hint="default"/>
      </w:rPr>
    </w:lvl>
    <w:lvl w:ilvl="8" w:tplc="3D962060">
      <w:start w:val="1"/>
      <w:numFmt w:val="bullet"/>
      <w:lvlText w:val=""/>
      <w:lvlJc w:val="left"/>
      <w:pPr>
        <w:ind w:left="6480" w:hanging="360"/>
      </w:pPr>
      <w:rPr>
        <w:rFonts w:ascii="Wingdings" w:hAnsi="Wingdings" w:hint="default"/>
      </w:rPr>
    </w:lvl>
  </w:abstractNum>
  <w:abstractNum w:abstractNumId="45" w15:restartNumberingAfterBreak="0">
    <w:nsid w:val="7349CBC5"/>
    <w:multiLevelType w:val="hybridMultilevel"/>
    <w:tmpl w:val="FFFFFFFF"/>
    <w:lvl w:ilvl="0" w:tplc="1F9603FE">
      <w:start w:val="1"/>
      <w:numFmt w:val="bullet"/>
      <w:lvlText w:val="·"/>
      <w:lvlJc w:val="left"/>
      <w:pPr>
        <w:ind w:left="360" w:hanging="360"/>
      </w:pPr>
      <w:rPr>
        <w:rFonts w:ascii="Symbol" w:hAnsi="Symbol" w:hint="default"/>
      </w:rPr>
    </w:lvl>
    <w:lvl w:ilvl="1" w:tplc="8B14086A">
      <w:start w:val="1"/>
      <w:numFmt w:val="bullet"/>
      <w:lvlText w:val="o"/>
      <w:lvlJc w:val="left"/>
      <w:pPr>
        <w:ind w:left="1080" w:hanging="360"/>
      </w:pPr>
      <w:rPr>
        <w:rFonts w:ascii="Courier New" w:hAnsi="Courier New" w:hint="default"/>
      </w:rPr>
    </w:lvl>
    <w:lvl w:ilvl="2" w:tplc="0C16F604">
      <w:start w:val="1"/>
      <w:numFmt w:val="bullet"/>
      <w:lvlText w:val=""/>
      <w:lvlJc w:val="left"/>
      <w:pPr>
        <w:ind w:left="1800" w:hanging="360"/>
      </w:pPr>
      <w:rPr>
        <w:rFonts w:ascii="Wingdings" w:hAnsi="Wingdings" w:hint="default"/>
      </w:rPr>
    </w:lvl>
    <w:lvl w:ilvl="3" w:tplc="9DC05890">
      <w:start w:val="1"/>
      <w:numFmt w:val="bullet"/>
      <w:lvlText w:val=""/>
      <w:lvlJc w:val="left"/>
      <w:pPr>
        <w:ind w:left="2520" w:hanging="360"/>
      </w:pPr>
      <w:rPr>
        <w:rFonts w:ascii="Symbol" w:hAnsi="Symbol" w:hint="default"/>
      </w:rPr>
    </w:lvl>
    <w:lvl w:ilvl="4" w:tplc="28F23CD2">
      <w:start w:val="1"/>
      <w:numFmt w:val="bullet"/>
      <w:lvlText w:val="o"/>
      <w:lvlJc w:val="left"/>
      <w:pPr>
        <w:ind w:left="3240" w:hanging="360"/>
      </w:pPr>
      <w:rPr>
        <w:rFonts w:ascii="Courier New" w:hAnsi="Courier New" w:hint="default"/>
      </w:rPr>
    </w:lvl>
    <w:lvl w:ilvl="5" w:tplc="9D184C12">
      <w:start w:val="1"/>
      <w:numFmt w:val="bullet"/>
      <w:lvlText w:val=""/>
      <w:lvlJc w:val="left"/>
      <w:pPr>
        <w:ind w:left="3960" w:hanging="360"/>
      </w:pPr>
      <w:rPr>
        <w:rFonts w:ascii="Wingdings" w:hAnsi="Wingdings" w:hint="default"/>
      </w:rPr>
    </w:lvl>
    <w:lvl w:ilvl="6" w:tplc="D178711A">
      <w:start w:val="1"/>
      <w:numFmt w:val="bullet"/>
      <w:lvlText w:val=""/>
      <w:lvlJc w:val="left"/>
      <w:pPr>
        <w:ind w:left="4680" w:hanging="360"/>
      </w:pPr>
      <w:rPr>
        <w:rFonts w:ascii="Symbol" w:hAnsi="Symbol" w:hint="default"/>
      </w:rPr>
    </w:lvl>
    <w:lvl w:ilvl="7" w:tplc="71205630">
      <w:start w:val="1"/>
      <w:numFmt w:val="bullet"/>
      <w:lvlText w:val="o"/>
      <w:lvlJc w:val="left"/>
      <w:pPr>
        <w:ind w:left="5400" w:hanging="360"/>
      </w:pPr>
      <w:rPr>
        <w:rFonts w:ascii="Courier New" w:hAnsi="Courier New" w:hint="default"/>
      </w:rPr>
    </w:lvl>
    <w:lvl w:ilvl="8" w:tplc="E954040A">
      <w:start w:val="1"/>
      <w:numFmt w:val="bullet"/>
      <w:lvlText w:val=""/>
      <w:lvlJc w:val="left"/>
      <w:pPr>
        <w:ind w:left="6120" w:hanging="360"/>
      </w:pPr>
      <w:rPr>
        <w:rFonts w:ascii="Wingdings" w:hAnsi="Wingdings" w:hint="default"/>
      </w:rPr>
    </w:lvl>
  </w:abstractNum>
  <w:abstractNum w:abstractNumId="46" w15:restartNumberingAfterBreak="0">
    <w:nsid w:val="7C65145E"/>
    <w:multiLevelType w:val="multilevel"/>
    <w:tmpl w:val="774AEEDA"/>
    <w:lvl w:ilvl="0">
      <w:start w:val="2"/>
      <w:numFmt w:val="decimal"/>
      <w:lvlText w:val="%1."/>
      <w:lvlJc w:val="left"/>
      <w:pPr>
        <w:tabs>
          <w:tab w:val="num" w:pos="964"/>
        </w:tabs>
        <w:ind w:left="964" w:hanging="482"/>
      </w:pPr>
      <w:rPr>
        <w:rFonts w:hint="default"/>
      </w:rPr>
    </w:lvl>
    <w:lvl w:ilvl="1">
      <w:start w:val="1"/>
      <w:numFmt w:val="decimal"/>
      <w:lvlText w:val="%1.%2."/>
      <w:lvlJc w:val="left"/>
      <w:pPr>
        <w:tabs>
          <w:tab w:val="num" w:pos="1684"/>
        </w:tabs>
        <w:ind w:left="1684" w:hanging="720"/>
      </w:pPr>
      <w:rPr>
        <w:rFonts w:hint="default"/>
      </w:rPr>
    </w:lvl>
    <w:lvl w:ilvl="2">
      <w:start w:val="1"/>
      <w:numFmt w:val="decimal"/>
      <w:pStyle w:val="Heading3"/>
      <w:lvlText w:val="%1.%2.%3."/>
      <w:lvlJc w:val="left"/>
      <w:pPr>
        <w:tabs>
          <w:tab w:val="num" w:pos="2920"/>
        </w:tabs>
        <w:ind w:left="2693" w:hanging="1009"/>
      </w:pPr>
      <w:rPr>
        <w:rFonts w:hint="default"/>
      </w:rPr>
    </w:lvl>
    <w:lvl w:ilvl="3">
      <w:start w:val="1"/>
      <w:numFmt w:val="decimal"/>
      <w:pStyle w:val="Heading4"/>
      <w:lvlText w:val="%1.%2.%3.%4."/>
      <w:lvlJc w:val="left"/>
      <w:pPr>
        <w:tabs>
          <w:tab w:val="num" w:pos="2920"/>
        </w:tabs>
        <w:ind w:left="2693" w:hanging="1009"/>
      </w:pPr>
      <w:rPr>
        <w:rFonts w:hint="default"/>
      </w:rPr>
    </w:lvl>
    <w:lvl w:ilvl="4">
      <w:start w:val="1"/>
      <w:numFmt w:val="decimal"/>
      <w:pStyle w:val="Heading5"/>
      <w:lvlText w:val="%1.%2.%3.%4.%5."/>
      <w:lvlJc w:val="left"/>
      <w:pPr>
        <w:tabs>
          <w:tab w:val="num" w:pos="3362"/>
        </w:tabs>
        <w:ind w:left="4320" w:hanging="958"/>
      </w:pPr>
      <w:rPr>
        <w:rFonts w:hint="default"/>
      </w:rPr>
    </w:lvl>
    <w:lvl w:ilvl="5">
      <w:start w:val="1"/>
      <w:numFmt w:val="decimal"/>
      <w:pStyle w:val="Heading6"/>
      <w:lvlText w:val="%1.%2.%3.%4.%5.%6."/>
      <w:lvlJc w:val="left"/>
      <w:pPr>
        <w:tabs>
          <w:tab w:val="num" w:pos="3362"/>
        </w:tabs>
        <w:ind w:left="4320" w:hanging="958"/>
      </w:pPr>
      <w:rPr>
        <w:rFonts w:hint="default"/>
      </w:rPr>
    </w:lvl>
    <w:lvl w:ilvl="6">
      <w:start w:val="1"/>
      <w:numFmt w:val="decimal"/>
      <w:pStyle w:val="Heading7"/>
      <w:lvlText w:val="%1.%2.%3.%4.%5.%6.%7."/>
      <w:lvlJc w:val="left"/>
      <w:pPr>
        <w:tabs>
          <w:tab w:val="num" w:pos="3362"/>
        </w:tabs>
        <w:ind w:left="4320" w:hanging="958"/>
      </w:pPr>
      <w:rPr>
        <w:rFonts w:hint="default"/>
      </w:rPr>
    </w:lvl>
    <w:lvl w:ilvl="7">
      <w:start w:val="1"/>
      <w:numFmt w:val="decimal"/>
      <w:pStyle w:val="Heading8"/>
      <w:lvlText w:val="%1.%2.%3.%4.%5.%6.%7.%8."/>
      <w:lvlJc w:val="left"/>
      <w:pPr>
        <w:tabs>
          <w:tab w:val="num" w:pos="3362"/>
        </w:tabs>
        <w:ind w:left="4320" w:hanging="958"/>
      </w:pPr>
      <w:rPr>
        <w:rFonts w:hint="default"/>
      </w:rPr>
    </w:lvl>
    <w:lvl w:ilvl="8">
      <w:start w:val="1"/>
      <w:numFmt w:val="decimal"/>
      <w:pStyle w:val="Heading9"/>
      <w:lvlText w:val="%1.%2.%3.%4.%5.%6.%7.%8.%9."/>
      <w:lvlJc w:val="left"/>
      <w:pPr>
        <w:tabs>
          <w:tab w:val="num" w:pos="3362"/>
        </w:tabs>
        <w:ind w:left="4320" w:hanging="958"/>
      </w:pPr>
      <w:rPr>
        <w:rFonts w:hint="default"/>
      </w:rPr>
    </w:lvl>
  </w:abstractNum>
  <w:abstractNum w:abstractNumId="47"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7"/>
  </w:num>
  <w:num w:numId="2">
    <w:abstractNumId w:val="41"/>
  </w:num>
  <w:num w:numId="3">
    <w:abstractNumId w:val="37"/>
  </w:num>
  <w:num w:numId="4">
    <w:abstractNumId w:val="0"/>
  </w:num>
  <w:num w:numId="5">
    <w:abstractNumId w:val="16"/>
  </w:num>
  <w:num w:numId="6">
    <w:abstractNumId w:val="28"/>
  </w:num>
  <w:num w:numId="7">
    <w:abstractNumId w:val="14"/>
  </w:num>
  <w:num w:numId="8">
    <w:abstractNumId w:val="18"/>
  </w:num>
  <w:num w:numId="9">
    <w:abstractNumId w:val="9"/>
  </w:num>
  <w:num w:numId="10">
    <w:abstractNumId w:val="39"/>
  </w:num>
  <w:num w:numId="11">
    <w:abstractNumId w:val="32"/>
  </w:num>
  <w:num w:numId="12">
    <w:abstractNumId w:val="42"/>
  </w:num>
  <w:num w:numId="13">
    <w:abstractNumId w:val="38"/>
  </w:num>
  <w:num w:numId="14">
    <w:abstractNumId w:val="1"/>
  </w:num>
  <w:num w:numId="15">
    <w:abstractNumId w:val="44"/>
  </w:num>
  <w:num w:numId="16">
    <w:abstractNumId w:val="2"/>
  </w:num>
  <w:num w:numId="17">
    <w:abstractNumId w:val="23"/>
  </w:num>
  <w:num w:numId="18">
    <w:abstractNumId w:val="12"/>
  </w:num>
  <w:num w:numId="19">
    <w:abstractNumId w:val="24"/>
  </w:num>
  <w:num w:numId="20">
    <w:abstractNumId w:val="33"/>
  </w:num>
  <w:num w:numId="21">
    <w:abstractNumId w:val="40"/>
  </w:num>
  <w:num w:numId="22">
    <w:abstractNumId w:val="3"/>
  </w:num>
  <w:num w:numId="23">
    <w:abstractNumId w:val="11"/>
  </w:num>
  <w:num w:numId="24">
    <w:abstractNumId w:val="29"/>
  </w:num>
  <w:num w:numId="25">
    <w:abstractNumId w:val="4"/>
  </w:num>
  <w:num w:numId="26">
    <w:abstractNumId w:val="6"/>
  </w:num>
  <w:num w:numId="27">
    <w:abstractNumId w:val="8"/>
  </w:num>
  <w:num w:numId="28">
    <w:abstractNumId w:val="17"/>
  </w:num>
  <w:num w:numId="29">
    <w:abstractNumId w:val="26"/>
  </w:num>
  <w:num w:numId="30">
    <w:abstractNumId w:val="31"/>
  </w:num>
  <w:num w:numId="31">
    <w:abstractNumId w:val="46"/>
  </w:num>
  <w:num w:numId="32">
    <w:abstractNumId w:val="19"/>
  </w:num>
  <w:num w:numId="33">
    <w:abstractNumId w:val="20"/>
  </w:num>
  <w:num w:numId="34">
    <w:abstractNumId w:val="47"/>
  </w:num>
  <w:num w:numId="35">
    <w:abstractNumId w:val="30"/>
  </w:num>
  <w:num w:numId="36">
    <w:abstractNumId w:val="34"/>
  </w:num>
  <w:num w:numId="37">
    <w:abstractNumId w:val="5"/>
  </w:num>
  <w:num w:numId="38">
    <w:abstractNumId w:val="22"/>
  </w:num>
  <w:num w:numId="39">
    <w:abstractNumId w:val="43"/>
  </w:num>
  <w:num w:numId="40">
    <w:abstractNumId w:val="35"/>
  </w:num>
  <w:num w:numId="41">
    <w:abstractNumId w:val="36"/>
  </w:num>
  <w:num w:numId="42">
    <w:abstractNumId w:val="27"/>
  </w:num>
  <w:num w:numId="43">
    <w:abstractNumId w:val="13"/>
  </w:num>
  <w:num w:numId="44">
    <w:abstractNumId w:val="15"/>
  </w:num>
  <w:num w:numId="45">
    <w:abstractNumId w:val="25"/>
  </w:num>
  <w:num w:numId="46">
    <w:abstractNumId w:val="21"/>
  </w:num>
  <w:num w:numId="47">
    <w:abstractNumId w:val="45"/>
  </w:num>
  <w:num w:numId="48">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78BAB19-5AC5-48F0-9CEF-A0841C45FAFF"/>
    <w:docVar w:name="LW_COVERPAGE_TYPE" w:val="1"/>
    <w:docVar w:name="LW_CROSSREFERENCE" w:val="&lt;UNUSED&gt;"/>
    <w:docVar w:name="LW_DocType" w:val="EA8523D555A340C6BF15ADB24A92C37F"/>
    <w:docVar w:name="LW_EMISSION" w:val="9.7.2025"/>
    <w:docVar w:name="LW_EMISSION_ISODATE" w:val="2025-07-0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52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de constitution de stocks à l\u8217?échelle de l\u8217?UE: renforcer la préparation matérielle de l\u8217?Union aux crises"/>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5419E6"/>
    <w:rsid w:val="00000073"/>
    <w:rsid w:val="000005EA"/>
    <w:rsid w:val="000008F4"/>
    <w:rsid w:val="000009A6"/>
    <w:rsid w:val="00000D80"/>
    <w:rsid w:val="00000D98"/>
    <w:rsid w:val="00000DFF"/>
    <w:rsid w:val="00000E45"/>
    <w:rsid w:val="00000E7F"/>
    <w:rsid w:val="00000ED1"/>
    <w:rsid w:val="00001311"/>
    <w:rsid w:val="00001313"/>
    <w:rsid w:val="00001367"/>
    <w:rsid w:val="0000185C"/>
    <w:rsid w:val="000018ED"/>
    <w:rsid w:val="00001F60"/>
    <w:rsid w:val="00001F89"/>
    <w:rsid w:val="000023DB"/>
    <w:rsid w:val="000026B0"/>
    <w:rsid w:val="000029DA"/>
    <w:rsid w:val="00002A37"/>
    <w:rsid w:val="00002A9A"/>
    <w:rsid w:val="00002C29"/>
    <w:rsid w:val="00002DD8"/>
    <w:rsid w:val="00002FFE"/>
    <w:rsid w:val="00003169"/>
    <w:rsid w:val="000033B7"/>
    <w:rsid w:val="000034C2"/>
    <w:rsid w:val="00003883"/>
    <w:rsid w:val="0000389D"/>
    <w:rsid w:val="0000389F"/>
    <w:rsid w:val="00003A9D"/>
    <w:rsid w:val="00003E88"/>
    <w:rsid w:val="00003F37"/>
    <w:rsid w:val="00004117"/>
    <w:rsid w:val="000041DC"/>
    <w:rsid w:val="0000424A"/>
    <w:rsid w:val="00004599"/>
    <w:rsid w:val="00004739"/>
    <w:rsid w:val="000048CC"/>
    <w:rsid w:val="00004B09"/>
    <w:rsid w:val="00004F0D"/>
    <w:rsid w:val="0000503C"/>
    <w:rsid w:val="000053CD"/>
    <w:rsid w:val="00005443"/>
    <w:rsid w:val="0000546B"/>
    <w:rsid w:val="00005522"/>
    <w:rsid w:val="0000579F"/>
    <w:rsid w:val="00005A01"/>
    <w:rsid w:val="00005ACE"/>
    <w:rsid w:val="00006324"/>
    <w:rsid w:val="000063C1"/>
    <w:rsid w:val="000063F9"/>
    <w:rsid w:val="000067FA"/>
    <w:rsid w:val="00006EC8"/>
    <w:rsid w:val="00006FAA"/>
    <w:rsid w:val="000070DB"/>
    <w:rsid w:val="00007332"/>
    <w:rsid w:val="000074FE"/>
    <w:rsid w:val="00007681"/>
    <w:rsid w:val="000078F7"/>
    <w:rsid w:val="00007924"/>
    <w:rsid w:val="0000799A"/>
    <w:rsid w:val="00007BDC"/>
    <w:rsid w:val="00007CF3"/>
    <w:rsid w:val="00010115"/>
    <w:rsid w:val="000102E0"/>
    <w:rsid w:val="000105AB"/>
    <w:rsid w:val="0001062D"/>
    <w:rsid w:val="00010FEA"/>
    <w:rsid w:val="0001145B"/>
    <w:rsid w:val="0001157A"/>
    <w:rsid w:val="000115EB"/>
    <w:rsid w:val="00011C32"/>
    <w:rsid w:val="00011F21"/>
    <w:rsid w:val="00011F93"/>
    <w:rsid w:val="0001210A"/>
    <w:rsid w:val="000121CC"/>
    <w:rsid w:val="00012AAE"/>
    <w:rsid w:val="00012D33"/>
    <w:rsid w:val="00013103"/>
    <w:rsid w:val="00013756"/>
    <w:rsid w:val="00013BAE"/>
    <w:rsid w:val="00013D7D"/>
    <w:rsid w:val="0001492A"/>
    <w:rsid w:val="00014A8A"/>
    <w:rsid w:val="00014D69"/>
    <w:rsid w:val="0001520D"/>
    <w:rsid w:val="000157BD"/>
    <w:rsid w:val="00015803"/>
    <w:rsid w:val="00015CB7"/>
    <w:rsid w:val="00015D0C"/>
    <w:rsid w:val="0001631B"/>
    <w:rsid w:val="000163AD"/>
    <w:rsid w:val="000163B3"/>
    <w:rsid w:val="000163E7"/>
    <w:rsid w:val="000165A1"/>
    <w:rsid w:val="000165E9"/>
    <w:rsid w:val="00016888"/>
    <w:rsid w:val="000169D5"/>
    <w:rsid w:val="00016DBA"/>
    <w:rsid w:val="00016E75"/>
    <w:rsid w:val="00016F95"/>
    <w:rsid w:val="00017020"/>
    <w:rsid w:val="00017026"/>
    <w:rsid w:val="0001707A"/>
    <w:rsid w:val="00017499"/>
    <w:rsid w:val="00017519"/>
    <w:rsid w:val="0001753B"/>
    <w:rsid w:val="0001771D"/>
    <w:rsid w:val="000177B0"/>
    <w:rsid w:val="000177D3"/>
    <w:rsid w:val="0001790F"/>
    <w:rsid w:val="00017FF6"/>
    <w:rsid w:val="00020231"/>
    <w:rsid w:val="000209FA"/>
    <w:rsid w:val="00020B08"/>
    <w:rsid w:val="00020C17"/>
    <w:rsid w:val="00020D94"/>
    <w:rsid w:val="0002111F"/>
    <w:rsid w:val="000214A1"/>
    <w:rsid w:val="000215B5"/>
    <w:rsid w:val="000215F5"/>
    <w:rsid w:val="0002176C"/>
    <w:rsid w:val="00021795"/>
    <w:rsid w:val="000219F8"/>
    <w:rsid w:val="00021BCD"/>
    <w:rsid w:val="000220D0"/>
    <w:rsid w:val="0002239B"/>
    <w:rsid w:val="00022449"/>
    <w:rsid w:val="000228DC"/>
    <w:rsid w:val="00022A45"/>
    <w:rsid w:val="00022C2F"/>
    <w:rsid w:val="00022D9E"/>
    <w:rsid w:val="00023031"/>
    <w:rsid w:val="00023055"/>
    <w:rsid w:val="000230ED"/>
    <w:rsid w:val="0002315B"/>
    <w:rsid w:val="0002327B"/>
    <w:rsid w:val="000233B7"/>
    <w:rsid w:val="0002350D"/>
    <w:rsid w:val="00023AA1"/>
    <w:rsid w:val="0002419F"/>
    <w:rsid w:val="00024453"/>
    <w:rsid w:val="000244A3"/>
    <w:rsid w:val="000245AD"/>
    <w:rsid w:val="000245AE"/>
    <w:rsid w:val="000245BD"/>
    <w:rsid w:val="000246AB"/>
    <w:rsid w:val="0002471B"/>
    <w:rsid w:val="000247E2"/>
    <w:rsid w:val="0002488E"/>
    <w:rsid w:val="00024974"/>
    <w:rsid w:val="00024B94"/>
    <w:rsid w:val="00024D6B"/>
    <w:rsid w:val="00024E9E"/>
    <w:rsid w:val="00025010"/>
    <w:rsid w:val="000250EF"/>
    <w:rsid w:val="000251C5"/>
    <w:rsid w:val="0002563A"/>
    <w:rsid w:val="000257E5"/>
    <w:rsid w:val="0002591A"/>
    <w:rsid w:val="00025B3A"/>
    <w:rsid w:val="00025D57"/>
    <w:rsid w:val="00025E58"/>
    <w:rsid w:val="0002615F"/>
    <w:rsid w:val="000262F8"/>
    <w:rsid w:val="0002668D"/>
    <w:rsid w:val="00026719"/>
    <w:rsid w:val="00026A39"/>
    <w:rsid w:val="00026FCE"/>
    <w:rsid w:val="000270F4"/>
    <w:rsid w:val="00027361"/>
    <w:rsid w:val="0002762E"/>
    <w:rsid w:val="0002772C"/>
    <w:rsid w:val="000279DF"/>
    <w:rsid w:val="00027A9C"/>
    <w:rsid w:val="00027B5A"/>
    <w:rsid w:val="00027B5D"/>
    <w:rsid w:val="00030062"/>
    <w:rsid w:val="000300E9"/>
    <w:rsid w:val="0003016F"/>
    <w:rsid w:val="0003025A"/>
    <w:rsid w:val="0003032B"/>
    <w:rsid w:val="00030442"/>
    <w:rsid w:val="000307F4"/>
    <w:rsid w:val="00030B0C"/>
    <w:rsid w:val="00030CA2"/>
    <w:rsid w:val="00030D4B"/>
    <w:rsid w:val="00030DD0"/>
    <w:rsid w:val="00030DDE"/>
    <w:rsid w:val="00030E8C"/>
    <w:rsid w:val="000310AD"/>
    <w:rsid w:val="0003115E"/>
    <w:rsid w:val="0003151E"/>
    <w:rsid w:val="00031561"/>
    <w:rsid w:val="00031759"/>
    <w:rsid w:val="00031772"/>
    <w:rsid w:val="00031C53"/>
    <w:rsid w:val="00031C61"/>
    <w:rsid w:val="00031D91"/>
    <w:rsid w:val="00032049"/>
    <w:rsid w:val="000324AF"/>
    <w:rsid w:val="00032C4B"/>
    <w:rsid w:val="00032FB0"/>
    <w:rsid w:val="0003302E"/>
    <w:rsid w:val="000330AA"/>
    <w:rsid w:val="000332AA"/>
    <w:rsid w:val="0003331D"/>
    <w:rsid w:val="000333FE"/>
    <w:rsid w:val="0003351B"/>
    <w:rsid w:val="00033CE2"/>
    <w:rsid w:val="00033EA0"/>
    <w:rsid w:val="00034029"/>
    <w:rsid w:val="00034187"/>
    <w:rsid w:val="00034189"/>
    <w:rsid w:val="00034368"/>
    <w:rsid w:val="000346B4"/>
    <w:rsid w:val="00034A28"/>
    <w:rsid w:val="00034D71"/>
    <w:rsid w:val="00034ED0"/>
    <w:rsid w:val="00034F90"/>
    <w:rsid w:val="0003515B"/>
    <w:rsid w:val="0003521A"/>
    <w:rsid w:val="000353B7"/>
    <w:rsid w:val="000354EF"/>
    <w:rsid w:val="0003557E"/>
    <w:rsid w:val="00035672"/>
    <w:rsid w:val="000357EB"/>
    <w:rsid w:val="00035821"/>
    <w:rsid w:val="0003599B"/>
    <w:rsid w:val="00035CB3"/>
    <w:rsid w:val="00035D13"/>
    <w:rsid w:val="00035DA0"/>
    <w:rsid w:val="00035E11"/>
    <w:rsid w:val="0003622E"/>
    <w:rsid w:val="000364D3"/>
    <w:rsid w:val="0003654F"/>
    <w:rsid w:val="00036875"/>
    <w:rsid w:val="00036C83"/>
    <w:rsid w:val="00037124"/>
    <w:rsid w:val="000371D6"/>
    <w:rsid w:val="0003722A"/>
    <w:rsid w:val="000374CD"/>
    <w:rsid w:val="00037844"/>
    <w:rsid w:val="000378D3"/>
    <w:rsid w:val="00037A63"/>
    <w:rsid w:val="00037DC5"/>
    <w:rsid w:val="00040286"/>
    <w:rsid w:val="00040353"/>
    <w:rsid w:val="00040B24"/>
    <w:rsid w:val="00040C3E"/>
    <w:rsid w:val="00040CDF"/>
    <w:rsid w:val="00040D9A"/>
    <w:rsid w:val="000410C4"/>
    <w:rsid w:val="00041236"/>
    <w:rsid w:val="0004131E"/>
    <w:rsid w:val="000414AF"/>
    <w:rsid w:val="000415FE"/>
    <w:rsid w:val="000416CE"/>
    <w:rsid w:val="000417D6"/>
    <w:rsid w:val="00041B47"/>
    <w:rsid w:val="00041D07"/>
    <w:rsid w:val="00042058"/>
    <w:rsid w:val="00042283"/>
    <w:rsid w:val="00042424"/>
    <w:rsid w:val="00042596"/>
    <w:rsid w:val="000426E9"/>
    <w:rsid w:val="00042812"/>
    <w:rsid w:val="000428DE"/>
    <w:rsid w:val="00042B28"/>
    <w:rsid w:val="00042B62"/>
    <w:rsid w:val="00042BCD"/>
    <w:rsid w:val="00042C3F"/>
    <w:rsid w:val="00042C59"/>
    <w:rsid w:val="00042E0E"/>
    <w:rsid w:val="00043247"/>
    <w:rsid w:val="00043322"/>
    <w:rsid w:val="00043392"/>
    <w:rsid w:val="0004365E"/>
    <w:rsid w:val="0004375E"/>
    <w:rsid w:val="000437A3"/>
    <w:rsid w:val="0004390A"/>
    <w:rsid w:val="00043A0F"/>
    <w:rsid w:val="00043F1F"/>
    <w:rsid w:val="00043F4A"/>
    <w:rsid w:val="00043FF3"/>
    <w:rsid w:val="00044092"/>
    <w:rsid w:val="00044149"/>
    <w:rsid w:val="00044256"/>
    <w:rsid w:val="0004428F"/>
    <w:rsid w:val="00044311"/>
    <w:rsid w:val="0004445B"/>
    <w:rsid w:val="000446B5"/>
    <w:rsid w:val="00044773"/>
    <w:rsid w:val="00044818"/>
    <w:rsid w:val="00044B61"/>
    <w:rsid w:val="00044C52"/>
    <w:rsid w:val="00044DBB"/>
    <w:rsid w:val="00044E9F"/>
    <w:rsid w:val="0004537C"/>
    <w:rsid w:val="00045574"/>
    <w:rsid w:val="000457CC"/>
    <w:rsid w:val="000457DA"/>
    <w:rsid w:val="000458A0"/>
    <w:rsid w:val="000458DB"/>
    <w:rsid w:val="00045D23"/>
    <w:rsid w:val="00045D6D"/>
    <w:rsid w:val="00045FA8"/>
    <w:rsid w:val="0004636A"/>
    <w:rsid w:val="0004641B"/>
    <w:rsid w:val="00046449"/>
    <w:rsid w:val="0004657B"/>
    <w:rsid w:val="000466F5"/>
    <w:rsid w:val="00046866"/>
    <w:rsid w:val="00046A73"/>
    <w:rsid w:val="00046C6B"/>
    <w:rsid w:val="00046DDF"/>
    <w:rsid w:val="00046E2C"/>
    <w:rsid w:val="00046F26"/>
    <w:rsid w:val="00046F3C"/>
    <w:rsid w:val="00047147"/>
    <w:rsid w:val="000473CB"/>
    <w:rsid w:val="000477B9"/>
    <w:rsid w:val="0004780A"/>
    <w:rsid w:val="000478D4"/>
    <w:rsid w:val="00047B9A"/>
    <w:rsid w:val="00047CA0"/>
    <w:rsid w:val="00047DD3"/>
    <w:rsid w:val="0005002A"/>
    <w:rsid w:val="00050179"/>
    <w:rsid w:val="000503C3"/>
    <w:rsid w:val="000505B5"/>
    <w:rsid w:val="000505D4"/>
    <w:rsid w:val="000505EC"/>
    <w:rsid w:val="0005076C"/>
    <w:rsid w:val="000507E6"/>
    <w:rsid w:val="00050806"/>
    <w:rsid w:val="0005087A"/>
    <w:rsid w:val="00050944"/>
    <w:rsid w:val="000509C0"/>
    <w:rsid w:val="00050BB6"/>
    <w:rsid w:val="00050E67"/>
    <w:rsid w:val="00050EFE"/>
    <w:rsid w:val="0005105B"/>
    <w:rsid w:val="000510DD"/>
    <w:rsid w:val="0005155F"/>
    <w:rsid w:val="0005161D"/>
    <w:rsid w:val="000516B2"/>
    <w:rsid w:val="00051915"/>
    <w:rsid w:val="00051960"/>
    <w:rsid w:val="00051C0D"/>
    <w:rsid w:val="00051C4B"/>
    <w:rsid w:val="00052373"/>
    <w:rsid w:val="00052401"/>
    <w:rsid w:val="00052512"/>
    <w:rsid w:val="00052779"/>
    <w:rsid w:val="0005279F"/>
    <w:rsid w:val="0005285F"/>
    <w:rsid w:val="000529B7"/>
    <w:rsid w:val="00052A84"/>
    <w:rsid w:val="00052BB9"/>
    <w:rsid w:val="00052DCB"/>
    <w:rsid w:val="00052EDE"/>
    <w:rsid w:val="00052F19"/>
    <w:rsid w:val="00052FAD"/>
    <w:rsid w:val="0005311C"/>
    <w:rsid w:val="000535E6"/>
    <w:rsid w:val="00053990"/>
    <w:rsid w:val="000539A1"/>
    <w:rsid w:val="000539ED"/>
    <w:rsid w:val="00053DF4"/>
    <w:rsid w:val="00053EE8"/>
    <w:rsid w:val="000541C6"/>
    <w:rsid w:val="000545AA"/>
    <w:rsid w:val="00054B20"/>
    <w:rsid w:val="0005513C"/>
    <w:rsid w:val="000554F6"/>
    <w:rsid w:val="0005561A"/>
    <w:rsid w:val="000557DB"/>
    <w:rsid w:val="0005580B"/>
    <w:rsid w:val="000558C0"/>
    <w:rsid w:val="00055B29"/>
    <w:rsid w:val="00055C1F"/>
    <w:rsid w:val="00055C80"/>
    <w:rsid w:val="00055DC7"/>
    <w:rsid w:val="000562DE"/>
    <w:rsid w:val="00056848"/>
    <w:rsid w:val="000569F7"/>
    <w:rsid w:val="00056B5C"/>
    <w:rsid w:val="00056D7E"/>
    <w:rsid w:val="00056FE9"/>
    <w:rsid w:val="00057218"/>
    <w:rsid w:val="000572A2"/>
    <w:rsid w:val="0005759F"/>
    <w:rsid w:val="0005774D"/>
    <w:rsid w:val="000578D4"/>
    <w:rsid w:val="00057A7D"/>
    <w:rsid w:val="00057D92"/>
    <w:rsid w:val="000600CD"/>
    <w:rsid w:val="00060205"/>
    <w:rsid w:val="00060557"/>
    <w:rsid w:val="000607C9"/>
    <w:rsid w:val="000607CD"/>
    <w:rsid w:val="000607F2"/>
    <w:rsid w:val="00060F9A"/>
    <w:rsid w:val="00060F9D"/>
    <w:rsid w:val="000611D9"/>
    <w:rsid w:val="0006153A"/>
    <w:rsid w:val="000616E7"/>
    <w:rsid w:val="00061849"/>
    <w:rsid w:val="00061A1F"/>
    <w:rsid w:val="00061B61"/>
    <w:rsid w:val="00061EB2"/>
    <w:rsid w:val="00062108"/>
    <w:rsid w:val="000622E1"/>
    <w:rsid w:val="00062408"/>
    <w:rsid w:val="000626CE"/>
    <w:rsid w:val="00062710"/>
    <w:rsid w:val="0006283F"/>
    <w:rsid w:val="000628AD"/>
    <w:rsid w:val="000628C4"/>
    <w:rsid w:val="0006296E"/>
    <w:rsid w:val="00062B49"/>
    <w:rsid w:val="00062B5E"/>
    <w:rsid w:val="00062C21"/>
    <w:rsid w:val="00062D80"/>
    <w:rsid w:val="00062F16"/>
    <w:rsid w:val="00063746"/>
    <w:rsid w:val="00063829"/>
    <w:rsid w:val="00063A75"/>
    <w:rsid w:val="00063AC4"/>
    <w:rsid w:val="00063C27"/>
    <w:rsid w:val="00064584"/>
    <w:rsid w:val="000646D2"/>
    <w:rsid w:val="0006488A"/>
    <w:rsid w:val="00064BB3"/>
    <w:rsid w:val="00064D0B"/>
    <w:rsid w:val="00064E25"/>
    <w:rsid w:val="00064EBD"/>
    <w:rsid w:val="00065150"/>
    <w:rsid w:val="000653BE"/>
    <w:rsid w:val="000654B6"/>
    <w:rsid w:val="000654E8"/>
    <w:rsid w:val="0006565D"/>
    <w:rsid w:val="00065817"/>
    <w:rsid w:val="00065C9E"/>
    <w:rsid w:val="00065D30"/>
    <w:rsid w:val="00065D60"/>
    <w:rsid w:val="00065DE8"/>
    <w:rsid w:val="00066062"/>
    <w:rsid w:val="0006610B"/>
    <w:rsid w:val="0006623A"/>
    <w:rsid w:val="00066259"/>
    <w:rsid w:val="0006655F"/>
    <w:rsid w:val="00066969"/>
    <w:rsid w:val="00066B7D"/>
    <w:rsid w:val="00066D71"/>
    <w:rsid w:val="00066F64"/>
    <w:rsid w:val="0006743C"/>
    <w:rsid w:val="00067489"/>
    <w:rsid w:val="0006760C"/>
    <w:rsid w:val="0006760E"/>
    <w:rsid w:val="0006778D"/>
    <w:rsid w:val="00067B27"/>
    <w:rsid w:val="00067DFC"/>
    <w:rsid w:val="00067EEC"/>
    <w:rsid w:val="0007000E"/>
    <w:rsid w:val="00070188"/>
    <w:rsid w:val="000701F3"/>
    <w:rsid w:val="0007032F"/>
    <w:rsid w:val="00070394"/>
    <w:rsid w:val="00070786"/>
    <w:rsid w:val="0007095A"/>
    <w:rsid w:val="00070A97"/>
    <w:rsid w:val="00070AE0"/>
    <w:rsid w:val="00070F70"/>
    <w:rsid w:val="00070FCF"/>
    <w:rsid w:val="00071081"/>
    <w:rsid w:val="00071606"/>
    <w:rsid w:val="00071808"/>
    <w:rsid w:val="00071942"/>
    <w:rsid w:val="00071BE5"/>
    <w:rsid w:val="00071CC5"/>
    <w:rsid w:val="00071D73"/>
    <w:rsid w:val="00071EB7"/>
    <w:rsid w:val="00072668"/>
    <w:rsid w:val="00072741"/>
    <w:rsid w:val="00072854"/>
    <w:rsid w:val="00072CAB"/>
    <w:rsid w:val="00072E14"/>
    <w:rsid w:val="00072E7D"/>
    <w:rsid w:val="00072F62"/>
    <w:rsid w:val="0007319D"/>
    <w:rsid w:val="00073233"/>
    <w:rsid w:val="0007333F"/>
    <w:rsid w:val="0007361B"/>
    <w:rsid w:val="00073972"/>
    <w:rsid w:val="000739FC"/>
    <w:rsid w:val="00073BC0"/>
    <w:rsid w:val="00073D2B"/>
    <w:rsid w:val="0007409F"/>
    <w:rsid w:val="000742C7"/>
    <w:rsid w:val="0007435B"/>
    <w:rsid w:val="00074646"/>
    <w:rsid w:val="0007468A"/>
    <w:rsid w:val="00074797"/>
    <w:rsid w:val="000749E1"/>
    <w:rsid w:val="000749FF"/>
    <w:rsid w:val="00074A02"/>
    <w:rsid w:val="00074BC8"/>
    <w:rsid w:val="00074C1F"/>
    <w:rsid w:val="00074C35"/>
    <w:rsid w:val="00074CA7"/>
    <w:rsid w:val="00074E5F"/>
    <w:rsid w:val="00074F13"/>
    <w:rsid w:val="000750A7"/>
    <w:rsid w:val="0007511F"/>
    <w:rsid w:val="000753E0"/>
    <w:rsid w:val="00075411"/>
    <w:rsid w:val="00075451"/>
    <w:rsid w:val="00075723"/>
    <w:rsid w:val="000759C6"/>
    <w:rsid w:val="00075EF3"/>
    <w:rsid w:val="00075F2F"/>
    <w:rsid w:val="000762A7"/>
    <w:rsid w:val="000767C4"/>
    <w:rsid w:val="00076873"/>
    <w:rsid w:val="00076CC1"/>
    <w:rsid w:val="00076D5A"/>
    <w:rsid w:val="0007702F"/>
    <w:rsid w:val="00077132"/>
    <w:rsid w:val="0007716D"/>
    <w:rsid w:val="00077482"/>
    <w:rsid w:val="000775F4"/>
    <w:rsid w:val="000778CD"/>
    <w:rsid w:val="00077B39"/>
    <w:rsid w:val="0007FEBE"/>
    <w:rsid w:val="00080028"/>
    <w:rsid w:val="0008023F"/>
    <w:rsid w:val="00080599"/>
    <w:rsid w:val="000808C9"/>
    <w:rsid w:val="00080945"/>
    <w:rsid w:val="00080A4A"/>
    <w:rsid w:val="00080A69"/>
    <w:rsid w:val="00080AD4"/>
    <w:rsid w:val="00080B38"/>
    <w:rsid w:val="00080C02"/>
    <w:rsid w:val="00080C25"/>
    <w:rsid w:val="00080E9D"/>
    <w:rsid w:val="000810D3"/>
    <w:rsid w:val="00081526"/>
    <w:rsid w:val="0008164C"/>
    <w:rsid w:val="00081701"/>
    <w:rsid w:val="000817D3"/>
    <w:rsid w:val="00081D1F"/>
    <w:rsid w:val="00081EE4"/>
    <w:rsid w:val="000821DA"/>
    <w:rsid w:val="000824F8"/>
    <w:rsid w:val="00082590"/>
    <w:rsid w:val="000825B3"/>
    <w:rsid w:val="00082841"/>
    <w:rsid w:val="00082AE8"/>
    <w:rsid w:val="00082D2F"/>
    <w:rsid w:val="00082F0D"/>
    <w:rsid w:val="00083495"/>
    <w:rsid w:val="0008362C"/>
    <w:rsid w:val="000837B6"/>
    <w:rsid w:val="0008401B"/>
    <w:rsid w:val="00084189"/>
    <w:rsid w:val="0008462E"/>
    <w:rsid w:val="00084665"/>
    <w:rsid w:val="0008469B"/>
    <w:rsid w:val="000846AD"/>
    <w:rsid w:val="000848E2"/>
    <w:rsid w:val="000849FC"/>
    <w:rsid w:val="00084AB8"/>
    <w:rsid w:val="00084BDA"/>
    <w:rsid w:val="00084D2A"/>
    <w:rsid w:val="00084DB3"/>
    <w:rsid w:val="00084FC4"/>
    <w:rsid w:val="000851E7"/>
    <w:rsid w:val="0008533E"/>
    <w:rsid w:val="000853BC"/>
    <w:rsid w:val="00085570"/>
    <w:rsid w:val="00085629"/>
    <w:rsid w:val="00085685"/>
    <w:rsid w:val="00085A51"/>
    <w:rsid w:val="00085DA6"/>
    <w:rsid w:val="00085E08"/>
    <w:rsid w:val="00085F45"/>
    <w:rsid w:val="000860B3"/>
    <w:rsid w:val="00086134"/>
    <w:rsid w:val="00086198"/>
    <w:rsid w:val="000861AC"/>
    <w:rsid w:val="000861AD"/>
    <w:rsid w:val="0008636F"/>
    <w:rsid w:val="0008639C"/>
    <w:rsid w:val="000867C6"/>
    <w:rsid w:val="000868F3"/>
    <w:rsid w:val="000869ED"/>
    <w:rsid w:val="00086AC8"/>
    <w:rsid w:val="00086AD9"/>
    <w:rsid w:val="00086EF1"/>
    <w:rsid w:val="00086F9E"/>
    <w:rsid w:val="00087081"/>
    <w:rsid w:val="000870CB"/>
    <w:rsid w:val="00087510"/>
    <w:rsid w:val="00087A52"/>
    <w:rsid w:val="00087C24"/>
    <w:rsid w:val="00087DF6"/>
    <w:rsid w:val="00087E93"/>
    <w:rsid w:val="0008B1E4"/>
    <w:rsid w:val="0009009C"/>
    <w:rsid w:val="000905D2"/>
    <w:rsid w:val="00090CFD"/>
    <w:rsid w:val="00090D8D"/>
    <w:rsid w:val="00090E49"/>
    <w:rsid w:val="00090E7C"/>
    <w:rsid w:val="00091572"/>
    <w:rsid w:val="000915A8"/>
    <w:rsid w:val="000915CF"/>
    <w:rsid w:val="00091606"/>
    <w:rsid w:val="00091782"/>
    <w:rsid w:val="00091A61"/>
    <w:rsid w:val="00091B70"/>
    <w:rsid w:val="00091DF7"/>
    <w:rsid w:val="000921B0"/>
    <w:rsid w:val="000921CB"/>
    <w:rsid w:val="0009272F"/>
    <w:rsid w:val="0009281B"/>
    <w:rsid w:val="0009291D"/>
    <w:rsid w:val="000929B3"/>
    <w:rsid w:val="00092B35"/>
    <w:rsid w:val="00092EB3"/>
    <w:rsid w:val="00093005"/>
    <w:rsid w:val="0009305D"/>
    <w:rsid w:val="0009309C"/>
    <w:rsid w:val="0009319F"/>
    <w:rsid w:val="0009339A"/>
    <w:rsid w:val="000933E4"/>
    <w:rsid w:val="0009353A"/>
    <w:rsid w:val="0009364D"/>
    <w:rsid w:val="000938FA"/>
    <w:rsid w:val="00093BDF"/>
    <w:rsid w:val="00093D33"/>
    <w:rsid w:val="00093DC5"/>
    <w:rsid w:val="00093F50"/>
    <w:rsid w:val="000941CF"/>
    <w:rsid w:val="00094249"/>
    <w:rsid w:val="00094431"/>
    <w:rsid w:val="00094573"/>
    <w:rsid w:val="000946C7"/>
    <w:rsid w:val="00094762"/>
    <w:rsid w:val="00094857"/>
    <w:rsid w:val="0009489A"/>
    <w:rsid w:val="00094AB6"/>
    <w:rsid w:val="00094DB7"/>
    <w:rsid w:val="0009538E"/>
    <w:rsid w:val="0009569D"/>
    <w:rsid w:val="000958C8"/>
    <w:rsid w:val="000958F7"/>
    <w:rsid w:val="00095A8B"/>
    <w:rsid w:val="00095D10"/>
    <w:rsid w:val="00095D6F"/>
    <w:rsid w:val="00095DF0"/>
    <w:rsid w:val="00095E29"/>
    <w:rsid w:val="00096280"/>
    <w:rsid w:val="0009659C"/>
    <w:rsid w:val="0009668B"/>
    <w:rsid w:val="0009677D"/>
    <w:rsid w:val="000968BB"/>
    <w:rsid w:val="000968EE"/>
    <w:rsid w:val="00096946"/>
    <w:rsid w:val="00096A02"/>
    <w:rsid w:val="00096D75"/>
    <w:rsid w:val="00096E9A"/>
    <w:rsid w:val="00097191"/>
    <w:rsid w:val="000972B5"/>
    <w:rsid w:val="000974D1"/>
    <w:rsid w:val="000974D8"/>
    <w:rsid w:val="000975EA"/>
    <w:rsid w:val="000976B7"/>
    <w:rsid w:val="000977F5"/>
    <w:rsid w:val="000978ED"/>
    <w:rsid w:val="00097903"/>
    <w:rsid w:val="000A012E"/>
    <w:rsid w:val="000A0157"/>
    <w:rsid w:val="000A018B"/>
    <w:rsid w:val="000A03F7"/>
    <w:rsid w:val="000A0431"/>
    <w:rsid w:val="000A047A"/>
    <w:rsid w:val="000A06CC"/>
    <w:rsid w:val="000A0782"/>
    <w:rsid w:val="000A0852"/>
    <w:rsid w:val="000A0874"/>
    <w:rsid w:val="000A090A"/>
    <w:rsid w:val="000A091D"/>
    <w:rsid w:val="000A09FD"/>
    <w:rsid w:val="000A0A4A"/>
    <w:rsid w:val="000A16FC"/>
    <w:rsid w:val="000A1787"/>
    <w:rsid w:val="000A1989"/>
    <w:rsid w:val="000A1ACD"/>
    <w:rsid w:val="000A1C6C"/>
    <w:rsid w:val="000A1CEB"/>
    <w:rsid w:val="000A2756"/>
    <w:rsid w:val="000A27EF"/>
    <w:rsid w:val="000A2890"/>
    <w:rsid w:val="000A28F7"/>
    <w:rsid w:val="000A2A6F"/>
    <w:rsid w:val="000A2A8D"/>
    <w:rsid w:val="000A2BDC"/>
    <w:rsid w:val="000A2C33"/>
    <w:rsid w:val="000A2D0D"/>
    <w:rsid w:val="000A2D23"/>
    <w:rsid w:val="000A2DCA"/>
    <w:rsid w:val="000A2F72"/>
    <w:rsid w:val="000A2FE7"/>
    <w:rsid w:val="000A32F6"/>
    <w:rsid w:val="000A3589"/>
    <w:rsid w:val="000A358A"/>
    <w:rsid w:val="000A3672"/>
    <w:rsid w:val="000A3776"/>
    <w:rsid w:val="000A3859"/>
    <w:rsid w:val="000A389D"/>
    <w:rsid w:val="000A3C3C"/>
    <w:rsid w:val="000A3F36"/>
    <w:rsid w:val="000A40D0"/>
    <w:rsid w:val="000A40FF"/>
    <w:rsid w:val="000A41F7"/>
    <w:rsid w:val="000A44E5"/>
    <w:rsid w:val="000A4724"/>
    <w:rsid w:val="000A472B"/>
    <w:rsid w:val="000A4AA7"/>
    <w:rsid w:val="000A4C80"/>
    <w:rsid w:val="000A4D5F"/>
    <w:rsid w:val="000A4EA4"/>
    <w:rsid w:val="000A4EF2"/>
    <w:rsid w:val="000A4F73"/>
    <w:rsid w:val="000A5048"/>
    <w:rsid w:val="000A549A"/>
    <w:rsid w:val="000A54A2"/>
    <w:rsid w:val="000A54D4"/>
    <w:rsid w:val="000A5771"/>
    <w:rsid w:val="000A598C"/>
    <w:rsid w:val="000A5A94"/>
    <w:rsid w:val="000A5DA1"/>
    <w:rsid w:val="000A5DFB"/>
    <w:rsid w:val="000A6048"/>
    <w:rsid w:val="000A6065"/>
    <w:rsid w:val="000A60A1"/>
    <w:rsid w:val="000A60FE"/>
    <w:rsid w:val="000A63DC"/>
    <w:rsid w:val="000A6622"/>
    <w:rsid w:val="000A6EA3"/>
    <w:rsid w:val="000A6F16"/>
    <w:rsid w:val="000A70BC"/>
    <w:rsid w:val="000A7261"/>
    <w:rsid w:val="000A73B9"/>
    <w:rsid w:val="000A73FA"/>
    <w:rsid w:val="000A745C"/>
    <w:rsid w:val="000A79CF"/>
    <w:rsid w:val="000A7C53"/>
    <w:rsid w:val="000B023B"/>
    <w:rsid w:val="000B0439"/>
    <w:rsid w:val="000B05B1"/>
    <w:rsid w:val="000B10D3"/>
    <w:rsid w:val="000B1248"/>
    <w:rsid w:val="000B13CB"/>
    <w:rsid w:val="000B199F"/>
    <w:rsid w:val="000B1B78"/>
    <w:rsid w:val="000B1C1C"/>
    <w:rsid w:val="000B1D72"/>
    <w:rsid w:val="000B1FD1"/>
    <w:rsid w:val="000B2253"/>
    <w:rsid w:val="000B233F"/>
    <w:rsid w:val="000B29DD"/>
    <w:rsid w:val="000B2C7B"/>
    <w:rsid w:val="000B3023"/>
    <w:rsid w:val="000B3071"/>
    <w:rsid w:val="000B30E7"/>
    <w:rsid w:val="000B3192"/>
    <w:rsid w:val="000B3371"/>
    <w:rsid w:val="000B3F14"/>
    <w:rsid w:val="000B435A"/>
    <w:rsid w:val="000B4452"/>
    <w:rsid w:val="000B4508"/>
    <w:rsid w:val="000B46D9"/>
    <w:rsid w:val="000B4927"/>
    <w:rsid w:val="000B496E"/>
    <w:rsid w:val="000B4A27"/>
    <w:rsid w:val="000B4B3A"/>
    <w:rsid w:val="000B4D15"/>
    <w:rsid w:val="000B4FE4"/>
    <w:rsid w:val="000B5237"/>
    <w:rsid w:val="000B52B3"/>
    <w:rsid w:val="000B54AC"/>
    <w:rsid w:val="000B554A"/>
    <w:rsid w:val="000B56BF"/>
    <w:rsid w:val="000B595D"/>
    <w:rsid w:val="000B5D06"/>
    <w:rsid w:val="000B5F46"/>
    <w:rsid w:val="000B5F69"/>
    <w:rsid w:val="000B5F9E"/>
    <w:rsid w:val="000B609A"/>
    <w:rsid w:val="000B60C9"/>
    <w:rsid w:val="000B6565"/>
    <w:rsid w:val="000B660D"/>
    <w:rsid w:val="000B67E3"/>
    <w:rsid w:val="000B72BC"/>
    <w:rsid w:val="000B752C"/>
    <w:rsid w:val="000B7669"/>
    <w:rsid w:val="000B7881"/>
    <w:rsid w:val="000B7887"/>
    <w:rsid w:val="000B7BC5"/>
    <w:rsid w:val="000B7F94"/>
    <w:rsid w:val="000C04EA"/>
    <w:rsid w:val="000C071C"/>
    <w:rsid w:val="000C0890"/>
    <w:rsid w:val="000C0AD7"/>
    <w:rsid w:val="000C0D37"/>
    <w:rsid w:val="000C0EA8"/>
    <w:rsid w:val="000C0ED2"/>
    <w:rsid w:val="000C1161"/>
    <w:rsid w:val="000C130F"/>
    <w:rsid w:val="000C156F"/>
    <w:rsid w:val="000C15C0"/>
    <w:rsid w:val="000C171E"/>
    <w:rsid w:val="000C1733"/>
    <w:rsid w:val="000C1741"/>
    <w:rsid w:val="000C1953"/>
    <w:rsid w:val="000C1C42"/>
    <w:rsid w:val="000C1CF6"/>
    <w:rsid w:val="000C1E53"/>
    <w:rsid w:val="000C2253"/>
    <w:rsid w:val="000C229D"/>
    <w:rsid w:val="000C230C"/>
    <w:rsid w:val="000C23C2"/>
    <w:rsid w:val="000C295C"/>
    <w:rsid w:val="000C2B12"/>
    <w:rsid w:val="000C2CF0"/>
    <w:rsid w:val="000C2D1F"/>
    <w:rsid w:val="000C372B"/>
    <w:rsid w:val="000C3746"/>
    <w:rsid w:val="000C3751"/>
    <w:rsid w:val="000C39CC"/>
    <w:rsid w:val="000C3C11"/>
    <w:rsid w:val="000C3E97"/>
    <w:rsid w:val="000C41A0"/>
    <w:rsid w:val="000C4471"/>
    <w:rsid w:val="000C4545"/>
    <w:rsid w:val="000C458C"/>
    <w:rsid w:val="000C48E7"/>
    <w:rsid w:val="000C49D1"/>
    <w:rsid w:val="000C4A4F"/>
    <w:rsid w:val="000C4D16"/>
    <w:rsid w:val="000C5267"/>
    <w:rsid w:val="000C55D1"/>
    <w:rsid w:val="000C58AC"/>
    <w:rsid w:val="000C5974"/>
    <w:rsid w:val="000C5A70"/>
    <w:rsid w:val="000C5A98"/>
    <w:rsid w:val="000C5BA9"/>
    <w:rsid w:val="000C6144"/>
    <w:rsid w:val="000C61C8"/>
    <w:rsid w:val="000C626E"/>
    <w:rsid w:val="000C6A10"/>
    <w:rsid w:val="000C6D42"/>
    <w:rsid w:val="000C7058"/>
    <w:rsid w:val="000C7064"/>
    <w:rsid w:val="000C706D"/>
    <w:rsid w:val="000C73FD"/>
    <w:rsid w:val="000C75FB"/>
    <w:rsid w:val="000C7610"/>
    <w:rsid w:val="000C768A"/>
    <w:rsid w:val="000C7857"/>
    <w:rsid w:val="000C7F7A"/>
    <w:rsid w:val="000D017B"/>
    <w:rsid w:val="000D0AA8"/>
    <w:rsid w:val="000D0EFB"/>
    <w:rsid w:val="000D1006"/>
    <w:rsid w:val="000D11E4"/>
    <w:rsid w:val="000D14E7"/>
    <w:rsid w:val="000D1513"/>
    <w:rsid w:val="000D167A"/>
    <w:rsid w:val="000D18B3"/>
    <w:rsid w:val="000D1948"/>
    <w:rsid w:val="000D1CB3"/>
    <w:rsid w:val="000D21EF"/>
    <w:rsid w:val="000D22C5"/>
    <w:rsid w:val="000D2580"/>
    <w:rsid w:val="000D2701"/>
    <w:rsid w:val="000D2AFA"/>
    <w:rsid w:val="000D2C97"/>
    <w:rsid w:val="000D2F65"/>
    <w:rsid w:val="000D3321"/>
    <w:rsid w:val="000D3334"/>
    <w:rsid w:val="000D339D"/>
    <w:rsid w:val="000D3425"/>
    <w:rsid w:val="000D34ED"/>
    <w:rsid w:val="000D3963"/>
    <w:rsid w:val="000D3E4D"/>
    <w:rsid w:val="000D3F3E"/>
    <w:rsid w:val="000D3FBA"/>
    <w:rsid w:val="000D3FF7"/>
    <w:rsid w:val="000D420B"/>
    <w:rsid w:val="000D43D6"/>
    <w:rsid w:val="000D4540"/>
    <w:rsid w:val="000D4A24"/>
    <w:rsid w:val="000D4A5D"/>
    <w:rsid w:val="000D4C1B"/>
    <w:rsid w:val="000D4D23"/>
    <w:rsid w:val="000D5088"/>
    <w:rsid w:val="000D50A7"/>
    <w:rsid w:val="000D559A"/>
    <w:rsid w:val="000D5959"/>
    <w:rsid w:val="000D5A46"/>
    <w:rsid w:val="000D5A84"/>
    <w:rsid w:val="000D5B9A"/>
    <w:rsid w:val="000D5BB4"/>
    <w:rsid w:val="000D5BF9"/>
    <w:rsid w:val="000D5D64"/>
    <w:rsid w:val="000D5E21"/>
    <w:rsid w:val="000D5EB3"/>
    <w:rsid w:val="000D5F37"/>
    <w:rsid w:val="000D624D"/>
    <w:rsid w:val="000D63CD"/>
    <w:rsid w:val="000D64A1"/>
    <w:rsid w:val="000D6545"/>
    <w:rsid w:val="000D6870"/>
    <w:rsid w:val="000D6D78"/>
    <w:rsid w:val="000D6EEA"/>
    <w:rsid w:val="000D7365"/>
    <w:rsid w:val="000D737A"/>
    <w:rsid w:val="000D7429"/>
    <w:rsid w:val="000D748A"/>
    <w:rsid w:val="000E012D"/>
    <w:rsid w:val="000E045D"/>
    <w:rsid w:val="000E0820"/>
    <w:rsid w:val="000E091E"/>
    <w:rsid w:val="000E0B58"/>
    <w:rsid w:val="000E0C12"/>
    <w:rsid w:val="000E0DFA"/>
    <w:rsid w:val="000E0E77"/>
    <w:rsid w:val="000E0F6D"/>
    <w:rsid w:val="000E0F70"/>
    <w:rsid w:val="000E0F9A"/>
    <w:rsid w:val="000E1163"/>
    <w:rsid w:val="000E15A1"/>
    <w:rsid w:val="000E17C4"/>
    <w:rsid w:val="000E1890"/>
    <w:rsid w:val="000E1ACA"/>
    <w:rsid w:val="000E1D35"/>
    <w:rsid w:val="000E1D81"/>
    <w:rsid w:val="000E2634"/>
    <w:rsid w:val="000E2A62"/>
    <w:rsid w:val="000E2BC2"/>
    <w:rsid w:val="000E2D74"/>
    <w:rsid w:val="000E2E16"/>
    <w:rsid w:val="000E2FCB"/>
    <w:rsid w:val="000E3179"/>
    <w:rsid w:val="000E3368"/>
    <w:rsid w:val="000E3371"/>
    <w:rsid w:val="000E34DA"/>
    <w:rsid w:val="000E3636"/>
    <w:rsid w:val="000E38DD"/>
    <w:rsid w:val="000E3F56"/>
    <w:rsid w:val="000E3F82"/>
    <w:rsid w:val="000E409C"/>
    <w:rsid w:val="000E4159"/>
    <w:rsid w:val="000E41AF"/>
    <w:rsid w:val="000E427F"/>
    <w:rsid w:val="000E42E3"/>
    <w:rsid w:val="000E432F"/>
    <w:rsid w:val="000E4A22"/>
    <w:rsid w:val="000E4B5D"/>
    <w:rsid w:val="000E4D52"/>
    <w:rsid w:val="000E4DDC"/>
    <w:rsid w:val="000E4EF3"/>
    <w:rsid w:val="000E5231"/>
    <w:rsid w:val="000E52BE"/>
    <w:rsid w:val="000E5339"/>
    <w:rsid w:val="000E5398"/>
    <w:rsid w:val="000E5476"/>
    <w:rsid w:val="000E5537"/>
    <w:rsid w:val="000E5618"/>
    <w:rsid w:val="000E5854"/>
    <w:rsid w:val="000E58C2"/>
    <w:rsid w:val="000E5F06"/>
    <w:rsid w:val="000E5F3C"/>
    <w:rsid w:val="000E5FA6"/>
    <w:rsid w:val="000E6182"/>
    <w:rsid w:val="000E6300"/>
    <w:rsid w:val="000E631C"/>
    <w:rsid w:val="000E6858"/>
    <w:rsid w:val="000E6A53"/>
    <w:rsid w:val="000E6F7E"/>
    <w:rsid w:val="000E7051"/>
    <w:rsid w:val="000E7363"/>
    <w:rsid w:val="000E7450"/>
    <w:rsid w:val="000E75C7"/>
    <w:rsid w:val="000E79E4"/>
    <w:rsid w:val="000E7B67"/>
    <w:rsid w:val="000E7F87"/>
    <w:rsid w:val="000E7FE3"/>
    <w:rsid w:val="000F00F3"/>
    <w:rsid w:val="000F0284"/>
    <w:rsid w:val="000F039F"/>
    <w:rsid w:val="000F03F1"/>
    <w:rsid w:val="000F0AA2"/>
    <w:rsid w:val="000F0BA4"/>
    <w:rsid w:val="000F0C3D"/>
    <w:rsid w:val="000F10BE"/>
    <w:rsid w:val="000F1124"/>
    <w:rsid w:val="000F1398"/>
    <w:rsid w:val="000F1430"/>
    <w:rsid w:val="000F176B"/>
    <w:rsid w:val="000F1883"/>
    <w:rsid w:val="000F199C"/>
    <w:rsid w:val="000F1B28"/>
    <w:rsid w:val="000F1CD1"/>
    <w:rsid w:val="000F1E29"/>
    <w:rsid w:val="000F2003"/>
    <w:rsid w:val="000F206D"/>
    <w:rsid w:val="000F25A6"/>
    <w:rsid w:val="000F299F"/>
    <w:rsid w:val="000F2A67"/>
    <w:rsid w:val="000F2B7F"/>
    <w:rsid w:val="000F2C9B"/>
    <w:rsid w:val="000F2DAA"/>
    <w:rsid w:val="000F2FB1"/>
    <w:rsid w:val="000F31BC"/>
    <w:rsid w:val="000F35C9"/>
    <w:rsid w:val="000F3701"/>
    <w:rsid w:val="000F3704"/>
    <w:rsid w:val="000F370B"/>
    <w:rsid w:val="000F38F6"/>
    <w:rsid w:val="000F3BDA"/>
    <w:rsid w:val="000F3CD5"/>
    <w:rsid w:val="000F3D27"/>
    <w:rsid w:val="000F434E"/>
    <w:rsid w:val="000F464E"/>
    <w:rsid w:val="000F47D0"/>
    <w:rsid w:val="000F481C"/>
    <w:rsid w:val="000F4842"/>
    <w:rsid w:val="000F4960"/>
    <w:rsid w:val="000F4D06"/>
    <w:rsid w:val="000F5445"/>
    <w:rsid w:val="000F54CA"/>
    <w:rsid w:val="000F556C"/>
    <w:rsid w:val="000F575B"/>
    <w:rsid w:val="000F57C2"/>
    <w:rsid w:val="000F5BB1"/>
    <w:rsid w:val="000F601F"/>
    <w:rsid w:val="000F611F"/>
    <w:rsid w:val="000F6703"/>
    <w:rsid w:val="000F6790"/>
    <w:rsid w:val="000F685F"/>
    <w:rsid w:val="000F699F"/>
    <w:rsid w:val="000F69BC"/>
    <w:rsid w:val="000F6A5C"/>
    <w:rsid w:val="000F6CD0"/>
    <w:rsid w:val="000F6F24"/>
    <w:rsid w:val="000F7253"/>
    <w:rsid w:val="000F7465"/>
    <w:rsid w:val="000F7EF3"/>
    <w:rsid w:val="000F7F61"/>
    <w:rsid w:val="000FD8F4"/>
    <w:rsid w:val="001000C7"/>
    <w:rsid w:val="00100739"/>
    <w:rsid w:val="001007C7"/>
    <w:rsid w:val="00100815"/>
    <w:rsid w:val="00100871"/>
    <w:rsid w:val="00100CE4"/>
    <w:rsid w:val="00100F29"/>
    <w:rsid w:val="001012E9"/>
    <w:rsid w:val="0010136C"/>
    <w:rsid w:val="001016A4"/>
    <w:rsid w:val="0010187D"/>
    <w:rsid w:val="00101B7C"/>
    <w:rsid w:val="00101CFE"/>
    <w:rsid w:val="00101D4C"/>
    <w:rsid w:val="00101F76"/>
    <w:rsid w:val="00102185"/>
    <w:rsid w:val="00102222"/>
    <w:rsid w:val="00102308"/>
    <w:rsid w:val="00102358"/>
    <w:rsid w:val="0010292F"/>
    <w:rsid w:val="00103056"/>
    <w:rsid w:val="00103165"/>
    <w:rsid w:val="001031AF"/>
    <w:rsid w:val="00103378"/>
    <w:rsid w:val="001033B5"/>
    <w:rsid w:val="001033C1"/>
    <w:rsid w:val="00103586"/>
    <w:rsid w:val="001036FF"/>
    <w:rsid w:val="00103BE1"/>
    <w:rsid w:val="00103D3E"/>
    <w:rsid w:val="00104175"/>
    <w:rsid w:val="00104182"/>
    <w:rsid w:val="001042D4"/>
    <w:rsid w:val="0010432E"/>
    <w:rsid w:val="0010434A"/>
    <w:rsid w:val="0010435F"/>
    <w:rsid w:val="001043E4"/>
    <w:rsid w:val="0010443F"/>
    <w:rsid w:val="00104544"/>
    <w:rsid w:val="00104625"/>
    <w:rsid w:val="0010466B"/>
    <w:rsid w:val="00104717"/>
    <w:rsid w:val="00104D01"/>
    <w:rsid w:val="00104EA7"/>
    <w:rsid w:val="00104F5F"/>
    <w:rsid w:val="00105289"/>
    <w:rsid w:val="001053DA"/>
    <w:rsid w:val="00105474"/>
    <w:rsid w:val="001054D7"/>
    <w:rsid w:val="00105A6A"/>
    <w:rsid w:val="00105ACC"/>
    <w:rsid w:val="00105B4F"/>
    <w:rsid w:val="00105BFD"/>
    <w:rsid w:val="00105CF4"/>
    <w:rsid w:val="00105DE9"/>
    <w:rsid w:val="00105F40"/>
    <w:rsid w:val="0010623E"/>
    <w:rsid w:val="00106370"/>
    <w:rsid w:val="0010654F"/>
    <w:rsid w:val="00106E93"/>
    <w:rsid w:val="0010749F"/>
    <w:rsid w:val="00107607"/>
    <w:rsid w:val="00107C97"/>
    <w:rsid w:val="00107CD0"/>
    <w:rsid w:val="00107D8D"/>
    <w:rsid w:val="00107FAF"/>
    <w:rsid w:val="0011002B"/>
    <w:rsid w:val="0011003C"/>
    <w:rsid w:val="00110583"/>
    <w:rsid w:val="001105D9"/>
    <w:rsid w:val="001107C2"/>
    <w:rsid w:val="00110989"/>
    <w:rsid w:val="00110B68"/>
    <w:rsid w:val="00110DBC"/>
    <w:rsid w:val="00110FB1"/>
    <w:rsid w:val="001110BE"/>
    <w:rsid w:val="00111276"/>
    <w:rsid w:val="00111418"/>
    <w:rsid w:val="00111488"/>
    <w:rsid w:val="001114AE"/>
    <w:rsid w:val="00111648"/>
    <w:rsid w:val="00111654"/>
    <w:rsid w:val="00111893"/>
    <w:rsid w:val="00111A06"/>
    <w:rsid w:val="00111EC7"/>
    <w:rsid w:val="00111F17"/>
    <w:rsid w:val="00111FD2"/>
    <w:rsid w:val="0011204C"/>
    <w:rsid w:val="00112255"/>
    <w:rsid w:val="00112279"/>
    <w:rsid w:val="00112379"/>
    <w:rsid w:val="001123A6"/>
    <w:rsid w:val="001123CD"/>
    <w:rsid w:val="00112461"/>
    <w:rsid w:val="0011247E"/>
    <w:rsid w:val="0011294D"/>
    <w:rsid w:val="00112A6A"/>
    <w:rsid w:val="00112F9E"/>
    <w:rsid w:val="001130E0"/>
    <w:rsid w:val="00113203"/>
    <w:rsid w:val="001132F0"/>
    <w:rsid w:val="001133DF"/>
    <w:rsid w:val="001139F2"/>
    <w:rsid w:val="00113A73"/>
    <w:rsid w:val="00113FFC"/>
    <w:rsid w:val="00114277"/>
    <w:rsid w:val="001142EA"/>
    <w:rsid w:val="0011477B"/>
    <w:rsid w:val="00114996"/>
    <w:rsid w:val="0011499A"/>
    <w:rsid w:val="00114C8D"/>
    <w:rsid w:val="0011518C"/>
    <w:rsid w:val="001152E5"/>
    <w:rsid w:val="00115490"/>
    <w:rsid w:val="001155D0"/>
    <w:rsid w:val="0011580B"/>
    <w:rsid w:val="00115857"/>
    <w:rsid w:val="001159E2"/>
    <w:rsid w:val="00115D8F"/>
    <w:rsid w:val="00115DA6"/>
    <w:rsid w:val="00115E10"/>
    <w:rsid w:val="00115E93"/>
    <w:rsid w:val="00115F56"/>
    <w:rsid w:val="001160F5"/>
    <w:rsid w:val="001163BC"/>
    <w:rsid w:val="0011660B"/>
    <w:rsid w:val="00116799"/>
    <w:rsid w:val="001167E3"/>
    <w:rsid w:val="00116C25"/>
    <w:rsid w:val="001173AF"/>
    <w:rsid w:val="0011785E"/>
    <w:rsid w:val="001179F6"/>
    <w:rsid w:val="00117AC8"/>
    <w:rsid w:val="00117B12"/>
    <w:rsid w:val="00117B57"/>
    <w:rsid w:val="00117D76"/>
    <w:rsid w:val="00117E24"/>
    <w:rsid w:val="00117F4C"/>
    <w:rsid w:val="00117F98"/>
    <w:rsid w:val="00120483"/>
    <w:rsid w:val="001206F7"/>
    <w:rsid w:val="0012072A"/>
    <w:rsid w:val="001208CC"/>
    <w:rsid w:val="00120A21"/>
    <w:rsid w:val="00120BC8"/>
    <w:rsid w:val="00120BEA"/>
    <w:rsid w:val="00120C8C"/>
    <w:rsid w:val="00120F7D"/>
    <w:rsid w:val="0012105F"/>
    <w:rsid w:val="0012114B"/>
    <w:rsid w:val="00121321"/>
    <w:rsid w:val="001213C9"/>
    <w:rsid w:val="00121640"/>
    <w:rsid w:val="0012181C"/>
    <w:rsid w:val="00121FFE"/>
    <w:rsid w:val="001228B4"/>
    <w:rsid w:val="00122D59"/>
    <w:rsid w:val="00122E9B"/>
    <w:rsid w:val="00123014"/>
    <w:rsid w:val="0012308A"/>
    <w:rsid w:val="001231FC"/>
    <w:rsid w:val="001233A6"/>
    <w:rsid w:val="00123476"/>
    <w:rsid w:val="001234ED"/>
    <w:rsid w:val="00123930"/>
    <w:rsid w:val="00123A20"/>
    <w:rsid w:val="00123D02"/>
    <w:rsid w:val="00123EB6"/>
    <w:rsid w:val="001245EA"/>
    <w:rsid w:val="00124BDD"/>
    <w:rsid w:val="00124C99"/>
    <w:rsid w:val="00124CEC"/>
    <w:rsid w:val="00124D16"/>
    <w:rsid w:val="00124DEC"/>
    <w:rsid w:val="00124F24"/>
    <w:rsid w:val="00124F9F"/>
    <w:rsid w:val="00125434"/>
    <w:rsid w:val="00125549"/>
    <w:rsid w:val="0012559B"/>
    <w:rsid w:val="001258D4"/>
    <w:rsid w:val="00126047"/>
    <w:rsid w:val="00126049"/>
    <w:rsid w:val="0012619B"/>
    <w:rsid w:val="001262B4"/>
    <w:rsid w:val="00126312"/>
    <w:rsid w:val="0012668E"/>
    <w:rsid w:val="00126768"/>
    <w:rsid w:val="001269AA"/>
    <w:rsid w:val="00126CA8"/>
    <w:rsid w:val="00126DCB"/>
    <w:rsid w:val="00126F51"/>
    <w:rsid w:val="00127022"/>
    <w:rsid w:val="00127270"/>
    <w:rsid w:val="0012743F"/>
    <w:rsid w:val="0012776E"/>
    <w:rsid w:val="00127799"/>
    <w:rsid w:val="001277BE"/>
    <w:rsid w:val="00127848"/>
    <w:rsid w:val="0012793F"/>
    <w:rsid w:val="00127B56"/>
    <w:rsid w:val="00127E0A"/>
    <w:rsid w:val="00127E7E"/>
    <w:rsid w:val="00127F66"/>
    <w:rsid w:val="001304AD"/>
    <w:rsid w:val="00130723"/>
    <w:rsid w:val="00130757"/>
    <w:rsid w:val="00130765"/>
    <w:rsid w:val="00130A34"/>
    <w:rsid w:val="00130B60"/>
    <w:rsid w:val="00130DA9"/>
    <w:rsid w:val="00130E31"/>
    <w:rsid w:val="00130E79"/>
    <w:rsid w:val="00130EDB"/>
    <w:rsid w:val="00130EFD"/>
    <w:rsid w:val="00130F4C"/>
    <w:rsid w:val="0013151D"/>
    <w:rsid w:val="001316A7"/>
    <w:rsid w:val="00131A1A"/>
    <w:rsid w:val="00131ABD"/>
    <w:rsid w:val="00131D88"/>
    <w:rsid w:val="00131DD2"/>
    <w:rsid w:val="00131E1F"/>
    <w:rsid w:val="001322F3"/>
    <w:rsid w:val="001323E8"/>
    <w:rsid w:val="00132567"/>
    <w:rsid w:val="00132629"/>
    <w:rsid w:val="00132A0F"/>
    <w:rsid w:val="00132A7D"/>
    <w:rsid w:val="00132B1C"/>
    <w:rsid w:val="00132DC1"/>
    <w:rsid w:val="00132E53"/>
    <w:rsid w:val="00132F38"/>
    <w:rsid w:val="00133010"/>
    <w:rsid w:val="0013309E"/>
    <w:rsid w:val="0013323A"/>
    <w:rsid w:val="0013335D"/>
    <w:rsid w:val="0013398F"/>
    <w:rsid w:val="00133C15"/>
    <w:rsid w:val="00133E5A"/>
    <w:rsid w:val="00133EED"/>
    <w:rsid w:val="0013404F"/>
    <w:rsid w:val="001340F9"/>
    <w:rsid w:val="0013437A"/>
    <w:rsid w:val="00134437"/>
    <w:rsid w:val="001346FD"/>
    <w:rsid w:val="00134BE1"/>
    <w:rsid w:val="00134C1A"/>
    <w:rsid w:val="00134E50"/>
    <w:rsid w:val="001350BC"/>
    <w:rsid w:val="001350D7"/>
    <w:rsid w:val="001358E8"/>
    <w:rsid w:val="00135A56"/>
    <w:rsid w:val="00135BD7"/>
    <w:rsid w:val="00135D43"/>
    <w:rsid w:val="00135E07"/>
    <w:rsid w:val="00135E67"/>
    <w:rsid w:val="0013622A"/>
    <w:rsid w:val="00136264"/>
    <w:rsid w:val="00136438"/>
    <w:rsid w:val="001364A4"/>
    <w:rsid w:val="00136583"/>
    <w:rsid w:val="00136682"/>
    <w:rsid w:val="001368A6"/>
    <w:rsid w:val="00136957"/>
    <w:rsid w:val="00136B54"/>
    <w:rsid w:val="00136DF1"/>
    <w:rsid w:val="00136F68"/>
    <w:rsid w:val="001370AB"/>
    <w:rsid w:val="00137252"/>
    <w:rsid w:val="001372AC"/>
    <w:rsid w:val="00137332"/>
    <w:rsid w:val="001375CD"/>
    <w:rsid w:val="00137759"/>
    <w:rsid w:val="00137774"/>
    <w:rsid w:val="001378CE"/>
    <w:rsid w:val="00137A30"/>
    <w:rsid w:val="00137CAD"/>
    <w:rsid w:val="00140043"/>
    <w:rsid w:val="00140276"/>
    <w:rsid w:val="00140514"/>
    <w:rsid w:val="00140560"/>
    <w:rsid w:val="001405F9"/>
    <w:rsid w:val="001407FB"/>
    <w:rsid w:val="00140DE5"/>
    <w:rsid w:val="00140E9A"/>
    <w:rsid w:val="00140EA1"/>
    <w:rsid w:val="0014104A"/>
    <w:rsid w:val="0014119C"/>
    <w:rsid w:val="001411E6"/>
    <w:rsid w:val="001412ED"/>
    <w:rsid w:val="0014133E"/>
    <w:rsid w:val="0014165F"/>
    <w:rsid w:val="00141753"/>
    <w:rsid w:val="00141AA5"/>
    <w:rsid w:val="00141BC6"/>
    <w:rsid w:val="00141F83"/>
    <w:rsid w:val="001423FF"/>
    <w:rsid w:val="001424AF"/>
    <w:rsid w:val="001424F5"/>
    <w:rsid w:val="001424FC"/>
    <w:rsid w:val="00142925"/>
    <w:rsid w:val="001429D2"/>
    <w:rsid w:val="00142CD4"/>
    <w:rsid w:val="00142DA8"/>
    <w:rsid w:val="00142E00"/>
    <w:rsid w:val="00142F3D"/>
    <w:rsid w:val="00143285"/>
    <w:rsid w:val="00143333"/>
    <w:rsid w:val="001433AF"/>
    <w:rsid w:val="00143B4F"/>
    <w:rsid w:val="00143C09"/>
    <w:rsid w:val="00143C74"/>
    <w:rsid w:val="00143F3D"/>
    <w:rsid w:val="00143F72"/>
    <w:rsid w:val="00144078"/>
    <w:rsid w:val="001441B1"/>
    <w:rsid w:val="001441E8"/>
    <w:rsid w:val="00144401"/>
    <w:rsid w:val="0014490E"/>
    <w:rsid w:val="00144AD2"/>
    <w:rsid w:val="00144F6F"/>
    <w:rsid w:val="00145101"/>
    <w:rsid w:val="001452F5"/>
    <w:rsid w:val="00145690"/>
    <w:rsid w:val="00145B36"/>
    <w:rsid w:val="00145C89"/>
    <w:rsid w:val="00145D0A"/>
    <w:rsid w:val="00145E15"/>
    <w:rsid w:val="00145EB4"/>
    <w:rsid w:val="0014606C"/>
    <w:rsid w:val="0014619E"/>
    <w:rsid w:val="00146343"/>
    <w:rsid w:val="001464E6"/>
    <w:rsid w:val="00146536"/>
    <w:rsid w:val="001465A4"/>
    <w:rsid w:val="001467AF"/>
    <w:rsid w:val="001467B4"/>
    <w:rsid w:val="001468BB"/>
    <w:rsid w:val="00146C06"/>
    <w:rsid w:val="00146C21"/>
    <w:rsid w:val="00146E90"/>
    <w:rsid w:val="0014765A"/>
    <w:rsid w:val="001476F2"/>
    <w:rsid w:val="001478C0"/>
    <w:rsid w:val="001479E7"/>
    <w:rsid w:val="00147AAB"/>
    <w:rsid w:val="00147D8F"/>
    <w:rsid w:val="00147E6B"/>
    <w:rsid w:val="00147F3C"/>
    <w:rsid w:val="00150010"/>
    <w:rsid w:val="001500A8"/>
    <w:rsid w:val="001502D6"/>
    <w:rsid w:val="001503C7"/>
    <w:rsid w:val="0015047D"/>
    <w:rsid w:val="00150974"/>
    <w:rsid w:val="001509AD"/>
    <w:rsid w:val="00150B2E"/>
    <w:rsid w:val="00151058"/>
    <w:rsid w:val="0015111C"/>
    <w:rsid w:val="00151C4A"/>
    <w:rsid w:val="00151FE9"/>
    <w:rsid w:val="001520EA"/>
    <w:rsid w:val="001521D4"/>
    <w:rsid w:val="001522A3"/>
    <w:rsid w:val="00152511"/>
    <w:rsid w:val="001526D1"/>
    <w:rsid w:val="0015271A"/>
    <w:rsid w:val="00152CDC"/>
    <w:rsid w:val="00153116"/>
    <w:rsid w:val="00153251"/>
    <w:rsid w:val="001532D1"/>
    <w:rsid w:val="0015376A"/>
    <w:rsid w:val="00153924"/>
    <w:rsid w:val="00153A0E"/>
    <w:rsid w:val="00153A4D"/>
    <w:rsid w:val="00153B3E"/>
    <w:rsid w:val="00153C1B"/>
    <w:rsid w:val="00153EF5"/>
    <w:rsid w:val="00154015"/>
    <w:rsid w:val="0015439C"/>
    <w:rsid w:val="00154982"/>
    <w:rsid w:val="00154C25"/>
    <w:rsid w:val="00154CE1"/>
    <w:rsid w:val="00154D2F"/>
    <w:rsid w:val="00154F14"/>
    <w:rsid w:val="00155209"/>
    <w:rsid w:val="001554F1"/>
    <w:rsid w:val="00155898"/>
    <w:rsid w:val="00155B70"/>
    <w:rsid w:val="00155EF6"/>
    <w:rsid w:val="00155F0B"/>
    <w:rsid w:val="00156054"/>
    <w:rsid w:val="001562F9"/>
    <w:rsid w:val="0015657A"/>
    <w:rsid w:val="001567B2"/>
    <w:rsid w:val="001568E2"/>
    <w:rsid w:val="001569D7"/>
    <w:rsid w:val="001569DA"/>
    <w:rsid w:val="00156AD3"/>
    <w:rsid w:val="00156B9D"/>
    <w:rsid w:val="001570F0"/>
    <w:rsid w:val="0015726D"/>
    <w:rsid w:val="00157326"/>
    <w:rsid w:val="00157719"/>
    <w:rsid w:val="001577B7"/>
    <w:rsid w:val="00157914"/>
    <w:rsid w:val="00157C25"/>
    <w:rsid w:val="0016015C"/>
    <w:rsid w:val="00160395"/>
    <w:rsid w:val="001603DB"/>
    <w:rsid w:val="001606AE"/>
    <w:rsid w:val="001606E2"/>
    <w:rsid w:val="001607B9"/>
    <w:rsid w:val="001607F6"/>
    <w:rsid w:val="00160836"/>
    <w:rsid w:val="00160858"/>
    <w:rsid w:val="00160CAC"/>
    <w:rsid w:val="0016101E"/>
    <w:rsid w:val="001613AB"/>
    <w:rsid w:val="001613ED"/>
    <w:rsid w:val="00161449"/>
    <w:rsid w:val="001614E3"/>
    <w:rsid w:val="00161577"/>
    <w:rsid w:val="00161593"/>
    <w:rsid w:val="00161665"/>
    <w:rsid w:val="00161CB0"/>
    <w:rsid w:val="00161EE6"/>
    <w:rsid w:val="00162047"/>
    <w:rsid w:val="0016204B"/>
    <w:rsid w:val="001621B6"/>
    <w:rsid w:val="00162519"/>
    <w:rsid w:val="00162547"/>
    <w:rsid w:val="00162574"/>
    <w:rsid w:val="001626C2"/>
    <w:rsid w:val="001627C7"/>
    <w:rsid w:val="001627EF"/>
    <w:rsid w:val="00162E24"/>
    <w:rsid w:val="00162ED2"/>
    <w:rsid w:val="00163117"/>
    <w:rsid w:val="001633E6"/>
    <w:rsid w:val="00163631"/>
    <w:rsid w:val="00163A15"/>
    <w:rsid w:val="00163A51"/>
    <w:rsid w:val="00163B77"/>
    <w:rsid w:val="00163CEA"/>
    <w:rsid w:val="00163EE2"/>
    <w:rsid w:val="0016403E"/>
    <w:rsid w:val="001640D6"/>
    <w:rsid w:val="00164A13"/>
    <w:rsid w:val="00164C91"/>
    <w:rsid w:val="00164D2B"/>
    <w:rsid w:val="00164F3B"/>
    <w:rsid w:val="001650C2"/>
    <w:rsid w:val="001651FD"/>
    <w:rsid w:val="0016539F"/>
    <w:rsid w:val="001655B3"/>
    <w:rsid w:val="00165821"/>
    <w:rsid w:val="001658E7"/>
    <w:rsid w:val="00165993"/>
    <w:rsid w:val="00165C44"/>
    <w:rsid w:val="00165E1B"/>
    <w:rsid w:val="00165ED9"/>
    <w:rsid w:val="00165F4E"/>
    <w:rsid w:val="00165F8E"/>
    <w:rsid w:val="0016606E"/>
    <w:rsid w:val="0016630D"/>
    <w:rsid w:val="0016651C"/>
    <w:rsid w:val="00166652"/>
    <w:rsid w:val="0016674D"/>
    <w:rsid w:val="00166AAB"/>
    <w:rsid w:val="00166D35"/>
    <w:rsid w:val="0016700F"/>
    <w:rsid w:val="001670AF"/>
    <w:rsid w:val="0016710D"/>
    <w:rsid w:val="0016728D"/>
    <w:rsid w:val="0016787A"/>
    <w:rsid w:val="001700FD"/>
    <w:rsid w:val="00170210"/>
    <w:rsid w:val="0017025F"/>
    <w:rsid w:val="001703BE"/>
    <w:rsid w:val="001707B2"/>
    <w:rsid w:val="00170802"/>
    <w:rsid w:val="00170AC5"/>
    <w:rsid w:val="00170B7F"/>
    <w:rsid w:val="00170C09"/>
    <w:rsid w:val="00170D12"/>
    <w:rsid w:val="00171167"/>
    <w:rsid w:val="0017142A"/>
    <w:rsid w:val="00171451"/>
    <w:rsid w:val="001715B5"/>
    <w:rsid w:val="001715DB"/>
    <w:rsid w:val="0017177E"/>
    <w:rsid w:val="001718C0"/>
    <w:rsid w:val="00171B34"/>
    <w:rsid w:val="00171B84"/>
    <w:rsid w:val="00171B98"/>
    <w:rsid w:val="00171F94"/>
    <w:rsid w:val="001721CE"/>
    <w:rsid w:val="001729E9"/>
    <w:rsid w:val="00172A69"/>
    <w:rsid w:val="00172BC9"/>
    <w:rsid w:val="00172D54"/>
    <w:rsid w:val="00172D81"/>
    <w:rsid w:val="00172EC5"/>
    <w:rsid w:val="001731F0"/>
    <w:rsid w:val="00173512"/>
    <w:rsid w:val="001735E4"/>
    <w:rsid w:val="001735EB"/>
    <w:rsid w:val="0017378C"/>
    <w:rsid w:val="00173894"/>
    <w:rsid w:val="001738ED"/>
    <w:rsid w:val="001739C7"/>
    <w:rsid w:val="001739E3"/>
    <w:rsid w:val="001741C4"/>
    <w:rsid w:val="00174361"/>
    <w:rsid w:val="0017494B"/>
    <w:rsid w:val="00174A63"/>
    <w:rsid w:val="00174B63"/>
    <w:rsid w:val="00174C08"/>
    <w:rsid w:val="00174E17"/>
    <w:rsid w:val="00175363"/>
    <w:rsid w:val="0017540A"/>
    <w:rsid w:val="00175692"/>
    <w:rsid w:val="001758BE"/>
    <w:rsid w:val="00175ADB"/>
    <w:rsid w:val="00175F87"/>
    <w:rsid w:val="00176109"/>
    <w:rsid w:val="001761BE"/>
    <w:rsid w:val="00176B9E"/>
    <w:rsid w:val="00176CEA"/>
    <w:rsid w:val="00176CF9"/>
    <w:rsid w:val="00176D6F"/>
    <w:rsid w:val="00176F38"/>
    <w:rsid w:val="001772E1"/>
    <w:rsid w:val="001773C6"/>
    <w:rsid w:val="001775B7"/>
    <w:rsid w:val="0017793A"/>
    <w:rsid w:val="001779EF"/>
    <w:rsid w:val="00177A9D"/>
    <w:rsid w:val="00177E29"/>
    <w:rsid w:val="001800F5"/>
    <w:rsid w:val="00180198"/>
    <w:rsid w:val="001802F9"/>
    <w:rsid w:val="001804E9"/>
    <w:rsid w:val="00180532"/>
    <w:rsid w:val="001805DA"/>
    <w:rsid w:val="0018064A"/>
    <w:rsid w:val="001809E0"/>
    <w:rsid w:val="00180E1A"/>
    <w:rsid w:val="00180ED4"/>
    <w:rsid w:val="00180F2B"/>
    <w:rsid w:val="00181066"/>
    <w:rsid w:val="001811D2"/>
    <w:rsid w:val="001811E2"/>
    <w:rsid w:val="00181392"/>
    <w:rsid w:val="00181565"/>
    <w:rsid w:val="00181B18"/>
    <w:rsid w:val="00181E94"/>
    <w:rsid w:val="00181F60"/>
    <w:rsid w:val="00182392"/>
    <w:rsid w:val="001823BC"/>
    <w:rsid w:val="001826EC"/>
    <w:rsid w:val="00182809"/>
    <w:rsid w:val="0018289B"/>
    <w:rsid w:val="00182A4C"/>
    <w:rsid w:val="00182FC1"/>
    <w:rsid w:val="001839C7"/>
    <w:rsid w:val="00183C7F"/>
    <w:rsid w:val="00183DB0"/>
    <w:rsid w:val="0018403D"/>
    <w:rsid w:val="001840EF"/>
    <w:rsid w:val="001846DC"/>
    <w:rsid w:val="001846EA"/>
    <w:rsid w:val="00184717"/>
    <w:rsid w:val="0018475F"/>
    <w:rsid w:val="00184BDB"/>
    <w:rsid w:val="00184C5A"/>
    <w:rsid w:val="001854B1"/>
    <w:rsid w:val="00185797"/>
    <w:rsid w:val="00185875"/>
    <w:rsid w:val="001858CB"/>
    <w:rsid w:val="001859B0"/>
    <w:rsid w:val="00185D78"/>
    <w:rsid w:val="00185DAC"/>
    <w:rsid w:val="00185F29"/>
    <w:rsid w:val="001861B0"/>
    <w:rsid w:val="001865E3"/>
    <w:rsid w:val="0018669F"/>
    <w:rsid w:val="00186AA6"/>
    <w:rsid w:val="00186E72"/>
    <w:rsid w:val="001872B5"/>
    <w:rsid w:val="00187617"/>
    <w:rsid w:val="001876D3"/>
    <w:rsid w:val="00187A04"/>
    <w:rsid w:val="00187A05"/>
    <w:rsid w:val="00187ABA"/>
    <w:rsid w:val="00187BBC"/>
    <w:rsid w:val="00187C88"/>
    <w:rsid w:val="0018CD39"/>
    <w:rsid w:val="0018EB56"/>
    <w:rsid w:val="0019000D"/>
    <w:rsid w:val="00190139"/>
    <w:rsid w:val="001901BF"/>
    <w:rsid w:val="001902D6"/>
    <w:rsid w:val="001907B0"/>
    <w:rsid w:val="00190A5F"/>
    <w:rsid w:val="00190AB6"/>
    <w:rsid w:val="00190BBB"/>
    <w:rsid w:val="00190D13"/>
    <w:rsid w:val="00190D89"/>
    <w:rsid w:val="00190DB9"/>
    <w:rsid w:val="00190E65"/>
    <w:rsid w:val="00190F4D"/>
    <w:rsid w:val="00190F69"/>
    <w:rsid w:val="00190FAD"/>
    <w:rsid w:val="0019104B"/>
    <w:rsid w:val="0019112B"/>
    <w:rsid w:val="0019117C"/>
    <w:rsid w:val="0019148F"/>
    <w:rsid w:val="001916F5"/>
    <w:rsid w:val="001918F5"/>
    <w:rsid w:val="00191BA0"/>
    <w:rsid w:val="0019214D"/>
    <w:rsid w:val="001923C3"/>
    <w:rsid w:val="00192586"/>
    <w:rsid w:val="00192B17"/>
    <w:rsid w:val="00192CAC"/>
    <w:rsid w:val="00192DC8"/>
    <w:rsid w:val="001931CD"/>
    <w:rsid w:val="00193256"/>
    <w:rsid w:val="001932D3"/>
    <w:rsid w:val="0019357F"/>
    <w:rsid w:val="001938E8"/>
    <w:rsid w:val="00193CF2"/>
    <w:rsid w:val="00193D11"/>
    <w:rsid w:val="00193D73"/>
    <w:rsid w:val="00193D7B"/>
    <w:rsid w:val="00193E2D"/>
    <w:rsid w:val="00193F88"/>
    <w:rsid w:val="0019410B"/>
    <w:rsid w:val="001942CA"/>
    <w:rsid w:val="00194465"/>
    <w:rsid w:val="0019448C"/>
    <w:rsid w:val="0019473B"/>
    <w:rsid w:val="0019474E"/>
    <w:rsid w:val="001947CA"/>
    <w:rsid w:val="00194804"/>
    <w:rsid w:val="00194839"/>
    <w:rsid w:val="0019495C"/>
    <w:rsid w:val="001949B9"/>
    <w:rsid w:val="00194C92"/>
    <w:rsid w:val="00194CA9"/>
    <w:rsid w:val="00194F45"/>
    <w:rsid w:val="00195052"/>
    <w:rsid w:val="00195347"/>
    <w:rsid w:val="001953AB"/>
    <w:rsid w:val="001956C8"/>
    <w:rsid w:val="00195BEF"/>
    <w:rsid w:val="0019601F"/>
    <w:rsid w:val="0019623F"/>
    <w:rsid w:val="001962DF"/>
    <w:rsid w:val="001964FE"/>
    <w:rsid w:val="0019650A"/>
    <w:rsid w:val="00196521"/>
    <w:rsid w:val="0019697E"/>
    <w:rsid w:val="001969C5"/>
    <w:rsid w:val="00196B99"/>
    <w:rsid w:val="00196DEB"/>
    <w:rsid w:val="00196FCF"/>
    <w:rsid w:val="00197003"/>
    <w:rsid w:val="00197241"/>
    <w:rsid w:val="00197267"/>
    <w:rsid w:val="0019737D"/>
    <w:rsid w:val="001977D1"/>
    <w:rsid w:val="001977D9"/>
    <w:rsid w:val="0019795F"/>
    <w:rsid w:val="00197A2F"/>
    <w:rsid w:val="00197D0F"/>
    <w:rsid w:val="00197D52"/>
    <w:rsid w:val="00197D78"/>
    <w:rsid w:val="00197EA7"/>
    <w:rsid w:val="001A00B5"/>
    <w:rsid w:val="001A00F4"/>
    <w:rsid w:val="001A0246"/>
    <w:rsid w:val="001A0657"/>
    <w:rsid w:val="001A0677"/>
    <w:rsid w:val="001A06DB"/>
    <w:rsid w:val="001A0708"/>
    <w:rsid w:val="001A096F"/>
    <w:rsid w:val="001A0A2E"/>
    <w:rsid w:val="001A0A59"/>
    <w:rsid w:val="001A0B46"/>
    <w:rsid w:val="001A0EE3"/>
    <w:rsid w:val="001A1168"/>
    <w:rsid w:val="001A11A6"/>
    <w:rsid w:val="001A12A0"/>
    <w:rsid w:val="001A148F"/>
    <w:rsid w:val="001A1598"/>
    <w:rsid w:val="001A1723"/>
    <w:rsid w:val="001A1795"/>
    <w:rsid w:val="001A18B9"/>
    <w:rsid w:val="001A1EB1"/>
    <w:rsid w:val="001A1FBB"/>
    <w:rsid w:val="001A1FBE"/>
    <w:rsid w:val="001A201A"/>
    <w:rsid w:val="001A213D"/>
    <w:rsid w:val="001A2245"/>
    <w:rsid w:val="001A2760"/>
    <w:rsid w:val="001A27BE"/>
    <w:rsid w:val="001A28AE"/>
    <w:rsid w:val="001A2B02"/>
    <w:rsid w:val="001A2E0B"/>
    <w:rsid w:val="001A2FFF"/>
    <w:rsid w:val="001A31E1"/>
    <w:rsid w:val="001A3304"/>
    <w:rsid w:val="001A36CA"/>
    <w:rsid w:val="001A3781"/>
    <w:rsid w:val="001A38C3"/>
    <w:rsid w:val="001A3CEB"/>
    <w:rsid w:val="001A3F71"/>
    <w:rsid w:val="001A41F0"/>
    <w:rsid w:val="001A42B4"/>
    <w:rsid w:val="001A4400"/>
    <w:rsid w:val="001A4418"/>
    <w:rsid w:val="001A44DF"/>
    <w:rsid w:val="001A469D"/>
    <w:rsid w:val="001A4903"/>
    <w:rsid w:val="001A4BA5"/>
    <w:rsid w:val="001A4ECE"/>
    <w:rsid w:val="001A5096"/>
    <w:rsid w:val="001A52E3"/>
    <w:rsid w:val="001A5394"/>
    <w:rsid w:val="001A53BF"/>
    <w:rsid w:val="001A53F4"/>
    <w:rsid w:val="001A5448"/>
    <w:rsid w:val="001A545A"/>
    <w:rsid w:val="001A5694"/>
    <w:rsid w:val="001A5A6B"/>
    <w:rsid w:val="001A5A77"/>
    <w:rsid w:val="001A5DE1"/>
    <w:rsid w:val="001A60B7"/>
    <w:rsid w:val="001A62C3"/>
    <w:rsid w:val="001A65B4"/>
    <w:rsid w:val="001A6682"/>
    <w:rsid w:val="001A669A"/>
    <w:rsid w:val="001A66D3"/>
    <w:rsid w:val="001A6A3F"/>
    <w:rsid w:val="001A6D98"/>
    <w:rsid w:val="001A6DCB"/>
    <w:rsid w:val="001A6E81"/>
    <w:rsid w:val="001A6ED6"/>
    <w:rsid w:val="001A7508"/>
    <w:rsid w:val="001A7552"/>
    <w:rsid w:val="001A7795"/>
    <w:rsid w:val="001A78FE"/>
    <w:rsid w:val="001A7962"/>
    <w:rsid w:val="001A7DAF"/>
    <w:rsid w:val="001B0537"/>
    <w:rsid w:val="001B05A9"/>
    <w:rsid w:val="001B08A8"/>
    <w:rsid w:val="001B0BE3"/>
    <w:rsid w:val="001B0C26"/>
    <w:rsid w:val="001B0C77"/>
    <w:rsid w:val="001B0E17"/>
    <w:rsid w:val="001B0FFD"/>
    <w:rsid w:val="001B1006"/>
    <w:rsid w:val="001B10B8"/>
    <w:rsid w:val="001B1208"/>
    <w:rsid w:val="001B1584"/>
    <w:rsid w:val="001B1588"/>
    <w:rsid w:val="001B15EB"/>
    <w:rsid w:val="001B1749"/>
    <w:rsid w:val="001B18A4"/>
    <w:rsid w:val="001B197F"/>
    <w:rsid w:val="001B1E74"/>
    <w:rsid w:val="001B2141"/>
    <w:rsid w:val="001B2846"/>
    <w:rsid w:val="001B2C16"/>
    <w:rsid w:val="001B3159"/>
    <w:rsid w:val="001B329E"/>
    <w:rsid w:val="001B335D"/>
    <w:rsid w:val="001B34F1"/>
    <w:rsid w:val="001B3668"/>
    <w:rsid w:val="001B383A"/>
    <w:rsid w:val="001B3B72"/>
    <w:rsid w:val="001B3BF6"/>
    <w:rsid w:val="001B3CBD"/>
    <w:rsid w:val="001B3D7B"/>
    <w:rsid w:val="001B3E60"/>
    <w:rsid w:val="001B443E"/>
    <w:rsid w:val="001B45CD"/>
    <w:rsid w:val="001B4B5E"/>
    <w:rsid w:val="001B4BD7"/>
    <w:rsid w:val="001B4D85"/>
    <w:rsid w:val="001B4F01"/>
    <w:rsid w:val="001B529C"/>
    <w:rsid w:val="001B5342"/>
    <w:rsid w:val="001B54E1"/>
    <w:rsid w:val="001B5527"/>
    <w:rsid w:val="001B5671"/>
    <w:rsid w:val="001B57D4"/>
    <w:rsid w:val="001B588B"/>
    <w:rsid w:val="001B5955"/>
    <w:rsid w:val="001B59BA"/>
    <w:rsid w:val="001B60A9"/>
    <w:rsid w:val="001B60DE"/>
    <w:rsid w:val="001B63D8"/>
    <w:rsid w:val="001B63FA"/>
    <w:rsid w:val="001B69A8"/>
    <w:rsid w:val="001B6B56"/>
    <w:rsid w:val="001B6BDB"/>
    <w:rsid w:val="001B6E74"/>
    <w:rsid w:val="001B6FA1"/>
    <w:rsid w:val="001B730E"/>
    <w:rsid w:val="001B7314"/>
    <w:rsid w:val="001B739C"/>
    <w:rsid w:val="001B74C9"/>
    <w:rsid w:val="001B76F6"/>
    <w:rsid w:val="001B7D17"/>
    <w:rsid w:val="001B7EC4"/>
    <w:rsid w:val="001B7FF6"/>
    <w:rsid w:val="001BBE57"/>
    <w:rsid w:val="001C0444"/>
    <w:rsid w:val="001C0612"/>
    <w:rsid w:val="001C086C"/>
    <w:rsid w:val="001C0BF4"/>
    <w:rsid w:val="001C0C2F"/>
    <w:rsid w:val="001C0CD9"/>
    <w:rsid w:val="001C0FDB"/>
    <w:rsid w:val="001C158B"/>
    <w:rsid w:val="001C15CA"/>
    <w:rsid w:val="001C17E2"/>
    <w:rsid w:val="001C1C59"/>
    <w:rsid w:val="001C1CFA"/>
    <w:rsid w:val="001C1F55"/>
    <w:rsid w:val="001C1F80"/>
    <w:rsid w:val="001C2022"/>
    <w:rsid w:val="001C205F"/>
    <w:rsid w:val="001C20B7"/>
    <w:rsid w:val="001C2188"/>
    <w:rsid w:val="001C22B1"/>
    <w:rsid w:val="001C22B7"/>
    <w:rsid w:val="001C24CD"/>
    <w:rsid w:val="001C2780"/>
    <w:rsid w:val="001C2906"/>
    <w:rsid w:val="001C2919"/>
    <w:rsid w:val="001C2D1C"/>
    <w:rsid w:val="001C35A9"/>
    <w:rsid w:val="001C3735"/>
    <w:rsid w:val="001C376A"/>
    <w:rsid w:val="001C3A57"/>
    <w:rsid w:val="001C3BA4"/>
    <w:rsid w:val="001C3E46"/>
    <w:rsid w:val="001C411E"/>
    <w:rsid w:val="001C443F"/>
    <w:rsid w:val="001C4569"/>
    <w:rsid w:val="001C481E"/>
    <w:rsid w:val="001C4821"/>
    <w:rsid w:val="001C4937"/>
    <w:rsid w:val="001C493C"/>
    <w:rsid w:val="001C4B98"/>
    <w:rsid w:val="001C4DB0"/>
    <w:rsid w:val="001C4FAB"/>
    <w:rsid w:val="001C512C"/>
    <w:rsid w:val="001C518F"/>
    <w:rsid w:val="001C5D90"/>
    <w:rsid w:val="001C5DA0"/>
    <w:rsid w:val="001C5EB0"/>
    <w:rsid w:val="001C6063"/>
    <w:rsid w:val="001C6069"/>
    <w:rsid w:val="001C6342"/>
    <w:rsid w:val="001C66BD"/>
    <w:rsid w:val="001C66EB"/>
    <w:rsid w:val="001C67A2"/>
    <w:rsid w:val="001C6A5D"/>
    <w:rsid w:val="001C6C03"/>
    <w:rsid w:val="001C6EF9"/>
    <w:rsid w:val="001C6F0E"/>
    <w:rsid w:val="001C7542"/>
    <w:rsid w:val="001C76B1"/>
    <w:rsid w:val="001C77A8"/>
    <w:rsid w:val="001C78D3"/>
    <w:rsid w:val="001C7CB9"/>
    <w:rsid w:val="001C7EC0"/>
    <w:rsid w:val="001D0024"/>
    <w:rsid w:val="001D00DD"/>
    <w:rsid w:val="001D0232"/>
    <w:rsid w:val="001D0385"/>
    <w:rsid w:val="001D07FF"/>
    <w:rsid w:val="001D080E"/>
    <w:rsid w:val="001D0840"/>
    <w:rsid w:val="001D0B6C"/>
    <w:rsid w:val="001D0B6F"/>
    <w:rsid w:val="001D0BB0"/>
    <w:rsid w:val="001D0F68"/>
    <w:rsid w:val="001D0F9A"/>
    <w:rsid w:val="001D1143"/>
    <w:rsid w:val="001D15B8"/>
    <w:rsid w:val="001D1A54"/>
    <w:rsid w:val="001D1A6B"/>
    <w:rsid w:val="001D1B71"/>
    <w:rsid w:val="001D1BFF"/>
    <w:rsid w:val="001D1C84"/>
    <w:rsid w:val="001D1DD1"/>
    <w:rsid w:val="001D1EA8"/>
    <w:rsid w:val="001D20F7"/>
    <w:rsid w:val="001D2420"/>
    <w:rsid w:val="001D2470"/>
    <w:rsid w:val="001D2620"/>
    <w:rsid w:val="001D26B1"/>
    <w:rsid w:val="001D26D2"/>
    <w:rsid w:val="001D2D8A"/>
    <w:rsid w:val="001D2E8C"/>
    <w:rsid w:val="001D308E"/>
    <w:rsid w:val="001D309B"/>
    <w:rsid w:val="001D314B"/>
    <w:rsid w:val="001D32EB"/>
    <w:rsid w:val="001D3437"/>
    <w:rsid w:val="001D3753"/>
    <w:rsid w:val="001D38F8"/>
    <w:rsid w:val="001D3AD9"/>
    <w:rsid w:val="001D3E76"/>
    <w:rsid w:val="001D3F27"/>
    <w:rsid w:val="001D3F7C"/>
    <w:rsid w:val="001D43B1"/>
    <w:rsid w:val="001D45D4"/>
    <w:rsid w:val="001D46A8"/>
    <w:rsid w:val="001D4766"/>
    <w:rsid w:val="001D493E"/>
    <w:rsid w:val="001D4A32"/>
    <w:rsid w:val="001D4D72"/>
    <w:rsid w:val="001D4D7C"/>
    <w:rsid w:val="001D4D9B"/>
    <w:rsid w:val="001D513C"/>
    <w:rsid w:val="001D5239"/>
    <w:rsid w:val="001D57B7"/>
    <w:rsid w:val="001D5853"/>
    <w:rsid w:val="001D5AB1"/>
    <w:rsid w:val="001D5CAA"/>
    <w:rsid w:val="001D5CF1"/>
    <w:rsid w:val="001D617B"/>
    <w:rsid w:val="001D65C2"/>
    <w:rsid w:val="001D6877"/>
    <w:rsid w:val="001D695F"/>
    <w:rsid w:val="001D6B0B"/>
    <w:rsid w:val="001D6C44"/>
    <w:rsid w:val="001D6C9A"/>
    <w:rsid w:val="001D6F8D"/>
    <w:rsid w:val="001D70C3"/>
    <w:rsid w:val="001D71E1"/>
    <w:rsid w:val="001D731D"/>
    <w:rsid w:val="001D7468"/>
    <w:rsid w:val="001D75F7"/>
    <w:rsid w:val="001D76BD"/>
    <w:rsid w:val="001D7955"/>
    <w:rsid w:val="001D7B50"/>
    <w:rsid w:val="001E0360"/>
    <w:rsid w:val="001E048F"/>
    <w:rsid w:val="001E059E"/>
    <w:rsid w:val="001E0619"/>
    <w:rsid w:val="001E09D4"/>
    <w:rsid w:val="001E0ABC"/>
    <w:rsid w:val="001E0ABF"/>
    <w:rsid w:val="001E0BE8"/>
    <w:rsid w:val="001E0D87"/>
    <w:rsid w:val="001E0DC0"/>
    <w:rsid w:val="001E0F78"/>
    <w:rsid w:val="001E1094"/>
    <w:rsid w:val="001E14DA"/>
    <w:rsid w:val="001E153F"/>
    <w:rsid w:val="001E17D2"/>
    <w:rsid w:val="001E1935"/>
    <w:rsid w:val="001E1A60"/>
    <w:rsid w:val="001E1AE0"/>
    <w:rsid w:val="001E1C6E"/>
    <w:rsid w:val="001E1EB9"/>
    <w:rsid w:val="001E1FB3"/>
    <w:rsid w:val="001E1FC8"/>
    <w:rsid w:val="001E2097"/>
    <w:rsid w:val="001E21AD"/>
    <w:rsid w:val="001E227E"/>
    <w:rsid w:val="001E2373"/>
    <w:rsid w:val="001E2686"/>
    <w:rsid w:val="001E26B3"/>
    <w:rsid w:val="001E2A6A"/>
    <w:rsid w:val="001E2DC4"/>
    <w:rsid w:val="001E2F7C"/>
    <w:rsid w:val="001E3422"/>
    <w:rsid w:val="001E369D"/>
    <w:rsid w:val="001E36D5"/>
    <w:rsid w:val="001E3817"/>
    <w:rsid w:val="001E3BB1"/>
    <w:rsid w:val="001E3C86"/>
    <w:rsid w:val="001E3E16"/>
    <w:rsid w:val="001E3E68"/>
    <w:rsid w:val="001E3FF5"/>
    <w:rsid w:val="001E4041"/>
    <w:rsid w:val="001E4990"/>
    <w:rsid w:val="001E4BC9"/>
    <w:rsid w:val="001E4BD4"/>
    <w:rsid w:val="001E4CE3"/>
    <w:rsid w:val="001E4D9F"/>
    <w:rsid w:val="001E4DAC"/>
    <w:rsid w:val="001E4EEF"/>
    <w:rsid w:val="001E5005"/>
    <w:rsid w:val="001E50CF"/>
    <w:rsid w:val="001E515D"/>
    <w:rsid w:val="001E51EE"/>
    <w:rsid w:val="001E52BA"/>
    <w:rsid w:val="001E5669"/>
    <w:rsid w:val="001E56AF"/>
    <w:rsid w:val="001E5BA4"/>
    <w:rsid w:val="001E5BA6"/>
    <w:rsid w:val="001E5CAD"/>
    <w:rsid w:val="001E5DF0"/>
    <w:rsid w:val="001E5F3F"/>
    <w:rsid w:val="001E6043"/>
    <w:rsid w:val="001E6435"/>
    <w:rsid w:val="001E6564"/>
    <w:rsid w:val="001E65AB"/>
    <w:rsid w:val="001E6805"/>
    <w:rsid w:val="001E6968"/>
    <w:rsid w:val="001E6983"/>
    <w:rsid w:val="001E6B87"/>
    <w:rsid w:val="001E6BC4"/>
    <w:rsid w:val="001E6C2E"/>
    <w:rsid w:val="001E6DC0"/>
    <w:rsid w:val="001E6F29"/>
    <w:rsid w:val="001E7108"/>
    <w:rsid w:val="001E724D"/>
    <w:rsid w:val="001E74FA"/>
    <w:rsid w:val="001E75A7"/>
    <w:rsid w:val="001E7C11"/>
    <w:rsid w:val="001E7E28"/>
    <w:rsid w:val="001E7FA8"/>
    <w:rsid w:val="001F005E"/>
    <w:rsid w:val="001F00B4"/>
    <w:rsid w:val="001F06E6"/>
    <w:rsid w:val="001F0747"/>
    <w:rsid w:val="001F0978"/>
    <w:rsid w:val="001F0D7B"/>
    <w:rsid w:val="001F0E09"/>
    <w:rsid w:val="001F1298"/>
    <w:rsid w:val="001F13AF"/>
    <w:rsid w:val="001F13D8"/>
    <w:rsid w:val="001F17E2"/>
    <w:rsid w:val="001F1B26"/>
    <w:rsid w:val="001F1B43"/>
    <w:rsid w:val="001F1C97"/>
    <w:rsid w:val="001F1CDA"/>
    <w:rsid w:val="001F1D88"/>
    <w:rsid w:val="001F1DAF"/>
    <w:rsid w:val="001F1DD3"/>
    <w:rsid w:val="001F1F4F"/>
    <w:rsid w:val="001F1F9A"/>
    <w:rsid w:val="001F21AA"/>
    <w:rsid w:val="001F2345"/>
    <w:rsid w:val="001F2441"/>
    <w:rsid w:val="001F2C28"/>
    <w:rsid w:val="001F2C6C"/>
    <w:rsid w:val="001F2DD2"/>
    <w:rsid w:val="001F2E4E"/>
    <w:rsid w:val="001F2EAC"/>
    <w:rsid w:val="001F2FD6"/>
    <w:rsid w:val="001F301D"/>
    <w:rsid w:val="001F3095"/>
    <w:rsid w:val="001F326C"/>
    <w:rsid w:val="001F347B"/>
    <w:rsid w:val="001F3571"/>
    <w:rsid w:val="001F362C"/>
    <w:rsid w:val="001F37F5"/>
    <w:rsid w:val="001F38E0"/>
    <w:rsid w:val="001F38E9"/>
    <w:rsid w:val="001F3EC3"/>
    <w:rsid w:val="001F3F24"/>
    <w:rsid w:val="001F4115"/>
    <w:rsid w:val="001F41D2"/>
    <w:rsid w:val="001F433B"/>
    <w:rsid w:val="001F4529"/>
    <w:rsid w:val="001F457D"/>
    <w:rsid w:val="001F47B9"/>
    <w:rsid w:val="001F4B89"/>
    <w:rsid w:val="001F4C55"/>
    <w:rsid w:val="001F4D04"/>
    <w:rsid w:val="001F5255"/>
    <w:rsid w:val="001F535E"/>
    <w:rsid w:val="001F544E"/>
    <w:rsid w:val="001F5594"/>
    <w:rsid w:val="001F5679"/>
    <w:rsid w:val="001F5831"/>
    <w:rsid w:val="001F5AFF"/>
    <w:rsid w:val="001F5D68"/>
    <w:rsid w:val="001F60D6"/>
    <w:rsid w:val="001F61D4"/>
    <w:rsid w:val="001F6208"/>
    <w:rsid w:val="001F6268"/>
    <w:rsid w:val="001F634A"/>
    <w:rsid w:val="001F63EA"/>
    <w:rsid w:val="001F64D9"/>
    <w:rsid w:val="001F64F2"/>
    <w:rsid w:val="001F657B"/>
    <w:rsid w:val="001F682D"/>
    <w:rsid w:val="001F6B75"/>
    <w:rsid w:val="001F6F9C"/>
    <w:rsid w:val="001F7088"/>
    <w:rsid w:val="001F70DB"/>
    <w:rsid w:val="001F7121"/>
    <w:rsid w:val="001F7161"/>
    <w:rsid w:val="001F71A0"/>
    <w:rsid w:val="001F71F1"/>
    <w:rsid w:val="001F7540"/>
    <w:rsid w:val="001F7544"/>
    <w:rsid w:val="001F769B"/>
    <w:rsid w:val="001F77FF"/>
    <w:rsid w:val="001F78C9"/>
    <w:rsid w:val="001F7AC0"/>
    <w:rsid w:val="001F7C07"/>
    <w:rsid w:val="001F7DA5"/>
    <w:rsid w:val="001F7EC0"/>
    <w:rsid w:val="001F7EC9"/>
    <w:rsid w:val="001F7F14"/>
    <w:rsid w:val="001F7FCA"/>
    <w:rsid w:val="001F9236"/>
    <w:rsid w:val="001FC05B"/>
    <w:rsid w:val="002000A2"/>
    <w:rsid w:val="00200172"/>
    <w:rsid w:val="0020024C"/>
    <w:rsid w:val="002007F2"/>
    <w:rsid w:val="00200810"/>
    <w:rsid w:val="00200AB8"/>
    <w:rsid w:val="00201093"/>
    <w:rsid w:val="002012D3"/>
    <w:rsid w:val="002017DB"/>
    <w:rsid w:val="002018F4"/>
    <w:rsid w:val="0020190D"/>
    <w:rsid w:val="00201942"/>
    <w:rsid w:val="00201987"/>
    <w:rsid w:val="00201D20"/>
    <w:rsid w:val="0020208D"/>
    <w:rsid w:val="002023FB"/>
    <w:rsid w:val="00202403"/>
    <w:rsid w:val="002029F8"/>
    <w:rsid w:val="00202DD1"/>
    <w:rsid w:val="002030DD"/>
    <w:rsid w:val="0020320C"/>
    <w:rsid w:val="00203297"/>
    <w:rsid w:val="00203380"/>
    <w:rsid w:val="002033ED"/>
    <w:rsid w:val="00203643"/>
    <w:rsid w:val="00203667"/>
    <w:rsid w:val="002036F6"/>
    <w:rsid w:val="0020371B"/>
    <w:rsid w:val="0020385E"/>
    <w:rsid w:val="00203B94"/>
    <w:rsid w:val="00203D27"/>
    <w:rsid w:val="00203DF0"/>
    <w:rsid w:val="00203E4C"/>
    <w:rsid w:val="00203FD4"/>
    <w:rsid w:val="00203FE7"/>
    <w:rsid w:val="00204178"/>
    <w:rsid w:val="002042BB"/>
    <w:rsid w:val="00204464"/>
    <w:rsid w:val="0020451E"/>
    <w:rsid w:val="002045A7"/>
    <w:rsid w:val="0020461B"/>
    <w:rsid w:val="0020468E"/>
    <w:rsid w:val="002046F2"/>
    <w:rsid w:val="00204822"/>
    <w:rsid w:val="00204DFF"/>
    <w:rsid w:val="002051D5"/>
    <w:rsid w:val="0020542F"/>
    <w:rsid w:val="00205499"/>
    <w:rsid w:val="002055A6"/>
    <w:rsid w:val="002056B1"/>
    <w:rsid w:val="00205749"/>
    <w:rsid w:val="00205A6A"/>
    <w:rsid w:val="00205D06"/>
    <w:rsid w:val="002060C8"/>
    <w:rsid w:val="0020616C"/>
    <w:rsid w:val="002061F3"/>
    <w:rsid w:val="00206216"/>
    <w:rsid w:val="00206502"/>
    <w:rsid w:val="00206766"/>
    <w:rsid w:val="00206904"/>
    <w:rsid w:val="00206A0E"/>
    <w:rsid w:val="00206CDC"/>
    <w:rsid w:val="00206D3D"/>
    <w:rsid w:val="00207005"/>
    <w:rsid w:val="00207178"/>
    <w:rsid w:val="00207287"/>
    <w:rsid w:val="002072F3"/>
    <w:rsid w:val="002072FF"/>
    <w:rsid w:val="0021023D"/>
    <w:rsid w:val="00210325"/>
    <w:rsid w:val="002106A9"/>
    <w:rsid w:val="0021076B"/>
    <w:rsid w:val="00210943"/>
    <w:rsid w:val="00210B78"/>
    <w:rsid w:val="00210C02"/>
    <w:rsid w:val="00210C3C"/>
    <w:rsid w:val="00210DEC"/>
    <w:rsid w:val="00210E4A"/>
    <w:rsid w:val="00211106"/>
    <w:rsid w:val="0021116A"/>
    <w:rsid w:val="0021120A"/>
    <w:rsid w:val="0021143D"/>
    <w:rsid w:val="00211797"/>
    <w:rsid w:val="002118A9"/>
    <w:rsid w:val="00211BA6"/>
    <w:rsid w:val="002121E8"/>
    <w:rsid w:val="00212783"/>
    <w:rsid w:val="00212BEF"/>
    <w:rsid w:val="00212C75"/>
    <w:rsid w:val="0021300C"/>
    <w:rsid w:val="00213082"/>
    <w:rsid w:val="002131E0"/>
    <w:rsid w:val="0021321B"/>
    <w:rsid w:val="00213406"/>
    <w:rsid w:val="00213444"/>
    <w:rsid w:val="00213690"/>
    <w:rsid w:val="00213954"/>
    <w:rsid w:val="00213A44"/>
    <w:rsid w:val="00213A46"/>
    <w:rsid w:val="00213B89"/>
    <w:rsid w:val="00213BEE"/>
    <w:rsid w:val="002142EB"/>
    <w:rsid w:val="00214331"/>
    <w:rsid w:val="002143EA"/>
    <w:rsid w:val="002145F3"/>
    <w:rsid w:val="002146BD"/>
    <w:rsid w:val="0021474E"/>
    <w:rsid w:val="00214D83"/>
    <w:rsid w:val="00214DAD"/>
    <w:rsid w:val="00214E22"/>
    <w:rsid w:val="002150E4"/>
    <w:rsid w:val="00215370"/>
    <w:rsid w:val="002154EF"/>
    <w:rsid w:val="0021579E"/>
    <w:rsid w:val="00215984"/>
    <w:rsid w:val="002159C7"/>
    <w:rsid w:val="00215C24"/>
    <w:rsid w:val="00215C85"/>
    <w:rsid w:val="00215CBC"/>
    <w:rsid w:val="00215F4B"/>
    <w:rsid w:val="0021623F"/>
    <w:rsid w:val="00216317"/>
    <w:rsid w:val="002164E1"/>
    <w:rsid w:val="002165F4"/>
    <w:rsid w:val="002169A2"/>
    <w:rsid w:val="00216F46"/>
    <w:rsid w:val="00217020"/>
    <w:rsid w:val="00217125"/>
    <w:rsid w:val="002171D3"/>
    <w:rsid w:val="002175B8"/>
    <w:rsid w:val="0021798E"/>
    <w:rsid w:val="00217B03"/>
    <w:rsid w:val="00217DC2"/>
    <w:rsid w:val="00220065"/>
    <w:rsid w:val="00220436"/>
    <w:rsid w:val="002204A1"/>
    <w:rsid w:val="002204E5"/>
    <w:rsid w:val="002206D1"/>
    <w:rsid w:val="00220987"/>
    <w:rsid w:val="00220F11"/>
    <w:rsid w:val="00220FFD"/>
    <w:rsid w:val="00221112"/>
    <w:rsid w:val="002211BF"/>
    <w:rsid w:val="002217E9"/>
    <w:rsid w:val="00221822"/>
    <w:rsid w:val="00221875"/>
    <w:rsid w:val="002219F1"/>
    <w:rsid w:val="00221ACF"/>
    <w:rsid w:val="00221B18"/>
    <w:rsid w:val="00221D24"/>
    <w:rsid w:val="00221E3F"/>
    <w:rsid w:val="00221FA0"/>
    <w:rsid w:val="00222110"/>
    <w:rsid w:val="0022221A"/>
    <w:rsid w:val="002222D2"/>
    <w:rsid w:val="00222381"/>
    <w:rsid w:val="00222818"/>
    <w:rsid w:val="0022286A"/>
    <w:rsid w:val="00222BBC"/>
    <w:rsid w:val="00222C07"/>
    <w:rsid w:val="00222E6C"/>
    <w:rsid w:val="00222FB1"/>
    <w:rsid w:val="002231B1"/>
    <w:rsid w:val="002232A9"/>
    <w:rsid w:val="00223414"/>
    <w:rsid w:val="0022397C"/>
    <w:rsid w:val="00223DDB"/>
    <w:rsid w:val="00223E23"/>
    <w:rsid w:val="00224044"/>
    <w:rsid w:val="0022411D"/>
    <w:rsid w:val="00224307"/>
    <w:rsid w:val="0022434F"/>
    <w:rsid w:val="00224548"/>
    <w:rsid w:val="002246F2"/>
    <w:rsid w:val="00224B40"/>
    <w:rsid w:val="00224B64"/>
    <w:rsid w:val="00224E35"/>
    <w:rsid w:val="0022507C"/>
    <w:rsid w:val="00225143"/>
    <w:rsid w:val="00225385"/>
    <w:rsid w:val="00225423"/>
    <w:rsid w:val="00225906"/>
    <w:rsid w:val="00225930"/>
    <w:rsid w:val="0022596B"/>
    <w:rsid w:val="00225B53"/>
    <w:rsid w:val="00225F07"/>
    <w:rsid w:val="00226096"/>
    <w:rsid w:val="0022615D"/>
    <w:rsid w:val="002261FD"/>
    <w:rsid w:val="0022633B"/>
    <w:rsid w:val="0022640F"/>
    <w:rsid w:val="002268E7"/>
    <w:rsid w:val="00226972"/>
    <w:rsid w:val="00226AF9"/>
    <w:rsid w:val="00226CDD"/>
    <w:rsid w:val="00226D14"/>
    <w:rsid w:val="00227264"/>
    <w:rsid w:val="0022728B"/>
    <w:rsid w:val="002274AA"/>
    <w:rsid w:val="002274B7"/>
    <w:rsid w:val="002276CC"/>
    <w:rsid w:val="00227788"/>
    <w:rsid w:val="002278FA"/>
    <w:rsid w:val="00227B10"/>
    <w:rsid w:val="00227C0C"/>
    <w:rsid w:val="00227C5B"/>
    <w:rsid w:val="00227DA6"/>
    <w:rsid w:val="00227DF1"/>
    <w:rsid w:val="002304AA"/>
    <w:rsid w:val="002305B1"/>
    <w:rsid w:val="0023063F"/>
    <w:rsid w:val="00230AD1"/>
    <w:rsid w:val="00230E86"/>
    <w:rsid w:val="00231241"/>
    <w:rsid w:val="00231338"/>
    <w:rsid w:val="002313AE"/>
    <w:rsid w:val="0023171A"/>
    <w:rsid w:val="00231933"/>
    <w:rsid w:val="00231D8F"/>
    <w:rsid w:val="00231E0C"/>
    <w:rsid w:val="00231E49"/>
    <w:rsid w:val="00231E87"/>
    <w:rsid w:val="00232420"/>
    <w:rsid w:val="0023282D"/>
    <w:rsid w:val="00232A09"/>
    <w:rsid w:val="00232BFD"/>
    <w:rsid w:val="00232C65"/>
    <w:rsid w:val="00233315"/>
    <w:rsid w:val="00233756"/>
    <w:rsid w:val="00233782"/>
    <w:rsid w:val="002337B5"/>
    <w:rsid w:val="002338FE"/>
    <w:rsid w:val="002339CB"/>
    <w:rsid w:val="00233DE4"/>
    <w:rsid w:val="00233DEE"/>
    <w:rsid w:val="00233EA3"/>
    <w:rsid w:val="00233F3C"/>
    <w:rsid w:val="002341DB"/>
    <w:rsid w:val="002341F0"/>
    <w:rsid w:val="00234345"/>
    <w:rsid w:val="0023470D"/>
    <w:rsid w:val="00234A83"/>
    <w:rsid w:val="00234C00"/>
    <w:rsid w:val="00234DE4"/>
    <w:rsid w:val="00234F4E"/>
    <w:rsid w:val="00234FA4"/>
    <w:rsid w:val="002351A6"/>
    <w:rsid w:val="00235309"/>
    <w:rsid w:val="00235595"/>
    <w:rsid w:val="002355BA"/>
    <w:rsid w:val="002355FD"/>
    <w:rsid w:val="00235722"/>
    <w:rsid w:val="0023573C"/>
    <w:rsid w:val="002357A5"/>
    <w:rsid w:val="00235998"/>
    <w:rsid w:val="00235A05"/>
    <w:rsid w:val="00235B17"/>
    <w:rsid w:val="00235BB1"/>
    <w:rsid w:val="00235E12"/>
    <w:rsid w:val="00235ED9"/>
    <w:rsid w:val="0023611A"/>
    <w:rsid w:val="0023622D"/>
    <w:rsid w:val="00236283"/>
    <w:rsid w:val="002362BF"/>
    <w:rsid w:val="0023638C"/>
    <w:rsid w:val="00236492"/>
    <w:rsid w:val="002364EF"/>
    <w:rsid w:val="00236527"/>
    <w:rsid w:val="00236559"/>
    <w:rsid w:val="00236589"/>
    <w:rsid w:val="00236734"/>
    <w:rsid w:val="00236A08"/>
    <w:rsid w:val="00236E2D"/>
    <w:rsid w:val="002371D0"/>
    <w:rsid w:val="00237322"/>
    <w:rsid w:val="0023739E"/>
    <w:rsid w:val="00237BCB"/>
    <w:rsid w:val="00237BDF"/>
    <w:rsid w:val="00237C30"/>
    <w:rsid w:val="00237C55"/>
    <w:rsid w:val="00237E75"/>
    <w:rsid w:val="00237E87"/>
    <w:rsid w:val="002400F4"/>
    <w:rsid w:val="0024027F"/>
    <w:rsid w:val="002406F5"/>
    <w:rsid w:val="00240758"/>
    <w:rsid w:val="00240BE6"/>
    <w:rsid w:val="00240EBD"/>
    <w:rsid w:val="0024123E"/>
    <w:rsid w:val="00241288"/>
    <w:rsid w:val="0024140F"/>
    <w:rsid w:val="00241C05"/>
    <w:rsid w:val="00241DD2"/>
    <w:rsid w:val="00241EF0"/>
    <w:rsid w:val="00242095"/>
    <w:rsid w:val="002425FE"/>
    <w:rsid w:val="002426E5"/>
    <w:rsid w:val="002427BB"/>
    <w:rsid w:val="00242AB4"/>
    <w:rsid w:val="00242BCB"/>
    <w:rsid w:val="00242DF5"/>
    <w:rsid w:val="0024306A"/>
    <w:rsid w:val="002430CD"/>
    <w:rsid w:val="00243238"/>
    <w:rsid w:val="00243578"/>
    <w:rsid w:val="0024397F"/>
    <w:rsid w:val="00243983"/>
    <w:rsid w:val="00243BE6"/>
    <w:rsid w:val="00244060"/>
    <w:rsid w:val="0024428A"/>
    <w:rsid w:val="002442AD"/>
    <w:rsid w:val="0024435F"/>
    <w:rsid w:val="002443B2"/>
    <w:rsid w:val="002444B4"/>
    <w:rsid w:val="002446E6"/>
    <w:rsid w:val="0024499A"/>
    <w:rsid w:val="0024501F"/>
    <w:rsid w:val="002458BA"/>
    <w:rsid w:val="00245BD5"/>
    <w:rsid w:val="00245C03"/>
    <w:rsid w:val="00245C7A"/>
    <w:rsid w:val="00245C96"/>
    <w:rsid w:val="00245D24"/>
    <w:rsid w:val="00245D77"/>
    <w:rsid w:val="00245F03"/>
    <w:rsid w:val="002460CA"/>
    <w:rsid w:val="00246249"/>
    <w:rsid w:val="00246713"/>
    <w:rsid w:val="00246ED1"/>
    <w:rsid w:val="00246F6F"/>
    <w:rsid w:val="00246FF6"/>
    <w:rsid w:val="0024710C"/>
    <w:rsid w:val="00247156"/>
    <w:rsid w:val="00247400"/>
    <w:rsid w:val="00247538"/>
    <w:rsid w:val="00247B25"/>
    <w:rsid w:val="00247B40"/>
    <w:rsid w:val="00247BF5"/>
    <w:rsid w:val="00247C8E"/>
    <w:rsid w:val="00247F64"/>
    <w:rsid w:val="00247FA9"/>
    <w:rsid w:val="0025011F"/>
    <w:rsid w:val="00250164"/>
    <w:rsid w:val="00250174"/>
    <w:rsid w:val="002503F1"/>
    <w:rsid w:val="002506AB"/>
    <w:rsid w:val="00250C93"/>
    <w:rsid w:val="00250DB0"/>
    <w:rsid w:val="00250E39"/>
    <w:rsid w:val="0025102C"/>
    <w:rsid w:val="00251080"/>
    <w:rsid w:val="0025114B"/>
    <w:rsid w:val="002511C4"/>
    <w:rsid w:val="002512A5"/>
    <w:rsid w:val="002517B3"/>
    <w:rsid w:val="00251A28"/>
    <w:rsid w:val="00251CE0"/>
    <w:rsid w:val="00251D95"/>
    <w:rsid w:val="00251DC6"/>
    <w:rsid w:val="00251E36"/>
    <w:rsid w:val="002520A5"/>
    <w:rsid w:val="002520C2"/>
    <w:rsid w:val="002523D6"/>
    <w:rsid w:val="002526A2"/>
    <w:rsid w:val="0025289F"/>
    <w:rsid w:val="0025306C"/>
    <w:rsid w:val="00253544"/>
    <w:rsid w:val="0025355F"/>
    <w:rsid w:val="002537D5"/>
    <w:rsid w:val="0025386C"/>
    <w:rsid w:val="002538EF"/>
    <w:rsid w:val="00253B08"/>
    <w:rsid w:val="00253FD4"/>
    <w:rsid w:val="0025401A"/>
    <w:rsid w:val="00254148"/>
    <w:rsid w:val="002541BF"/>
    <w:rsid w:val="00254564"/>
    <w:rsid w:val="0025476B"/>
    <w:rsid w:val="0025480F"/>
    <w:rsid w:val="002548FE"/>
    <w:rsid w:val="00255071"/>
    <w:rsid w:val="002551AF"/>
    <w:rsid w:val="002551C6"/>
    <w:rsid w:val="00255303"/>
    <w:rsid w:val="0025540D"/>
    <w:rsid w:val="0025568B"/>
    <w:rsid w:val="0025585F"/>
    <w:rsid w:val="00255A1D"/>
    <w:rsid w:val="00255DD2"/>
    <w:rsid w:val="00256030"/>
    <w:rsid w:val="00256618"/>
    <w:rsid w:val="0025666C"/>
    <w:rsid w:val="00256E3B"/>
    <w:rsid w:val="00257021"/>
    <w:rsid w:val="0025737B"/>
    <w:rsid w:val="002573A1"/>
    <w:rsid w:val="0025766B"/>
    <w:rsid w:val="0025783B"/>
    <w:rsid w:val="002578C6"/>
    <w:rsid w:val="00257A09"/>
    <w:rsid w:val="00257BC5"/>
    <w:rsid w:val="00257BCA"/>
    <w:rsid w:val="00257BFB"/>
    <w:rsid w:val="00257CF6"/>
    <w:rsid w:val="00257EB6"/>
    <w:rsid w:val="002600BD"/>
    <w:rsid w:val="0026023D"/>
    <w:rsid w:val="002602EE"/>
    <w:rsid w:val="0026041B"/>
    <w:rsid w:val="0026044A"/>
    <w:rsid w:val="0026099A"/>
    <w:rsid w:val="00260BB1"/>
    <w:rsid w:val="00260C2B"/>
    <w:rsid w:val="00260D07"/>
    <w:rsid w:val="00260D6C"/>
    <w:rsid w:val="002612FC"/>
    <w:rsid w:val="002618FE"/>
    <w:rsid w:val="00261D3F"/>
    <w:rsid w:val="00261DE2"/>
    <w:rsid w:val="00261E3B"/>
    <w:rsid w:val="00261E9E"/>
    <w:rsid w:val="00261F13"/>
    <w:rsid w:val="0026237B"/>
    <w:rsid w:val="002623FE"/>
    <w:rsid w:val="0026275F"/>
    <w:rsid w:val="00262916"/>
    <w:rsid w:val="00262A73"/>
    <w:rsid w:val="00262FE0"/>
    <w:rsid w:val="002631F7"/>
    <w:rsid w:val="0026352B"/>
    <w:rsid w:val="00263665"/>
    <w:rsid w:val="0026371C"/>
    <w:rsid w:val="002637F3"/>
    <w:rsid w:val="00263855"/>
    <w:rsid w:val="002638AA"/>
    <w:rsid w:val="0026398F"/>
    <w:rsid w:val="00263A1E"/>
    <w:rsid w:val="00263DDB"/>
    <w:rsid w:val="00263F5E"/>
    <w:rsid w:val="00264244"/>
    <w:rsid w:val="002644A9"/>
    <w:rsid w:val="002644EA"/>
    <w:rsid w:val="00264565"/>
    <w:rsid w:val="002645B5"/>
    <w:rsid w:val="002647FA"/>
    <w:rsid w:val="00264852"/>
    <w:rsid w:val="0026498E"/>
    <w:rsid w:val="00264B7C"/>
    <w:rsid w:val="00264C8B"/>
    <w:rsid w:val="00264CE4"/>
    <w:rsid w:val="00264E9B"/>
    <w:rsid w:val="00264F5D"/>
    <w:rsid w:val="00264FF7"/>
    <w:rsid w:val="002651B9"/>
    <w:rsid w:val="00265508"/>
    <w:rsid w:val="002656CC"/>
    <w:rsid w:val="002658BF"/>
    <w:rsid w:val="00265C76"/>
    <w:rsid w:val="00265DF1"/>
    <w:rsid w:val="0026618C"/>
    <w:rsid w:val="00266210"/>
    <w:rsid w:val="00266336"/>
    <w:rsid w:val="00266579"/>
    <w:rsid w:val="00266600"/>
    <w:rsid w:val="002666CF"/>
    <w:rsid w:val="00266FBC"/>
    <w:rsid w:val="00267176"/>
    <w:rsid w:val="00267272"/>
    <w:rsid w:val="0026733E"/>
    <w:rsid w:val="002673DF"/>
    <w:rsid w:val="0026762F"/>
    <w:rsid w:val="0026764F"/>
    <w:rsid w:val="00267982"/>
    <w:rsid w:val="00267CEE"/>
    <w:rsid w:val="00267CF7"/>
    <w:rsid w:val="00267E3C"/>
    <w:rsid w:val="00270060"/>
    <w:rsid w:val="0027029F"/>
    <w:rsid w:val="00270468"/>
    <w:rsid w:val="002704BB"/>
    <w:rsid w:val="0027061D"/>
    <w:rsid w:val="002706F7"/>
    <w:rsid w:val="0027076C"/>
    <w:rsid w:val="00270961"/>
    <w:rsid w:val="00270979"/>
    <w:rsid w:val="002709D5"/>
    <w:rsid w:val="00270BA3"/>
    <w:rsid w:val="002714C9"/>
    <w:rsid w:val="0027153B"/>
    <w:rsid w:val="00271B8A"/>
    <w:rsid w:val="00271BF5"/>
    <w:rsid w:val="0027208C"/>
    <w:rsid w:val="0027224A"/>
    <w:rsid w:val="00272351"/>
    <w:rsid w:val="00272378"/>
    <w:rsid w:val="0027263B"/>
    <w:rsid w:val="00272757"/>
    <w:rsid w:val="00272ADF"/>
    <w:rsid w:val="00272B90"/>
    <w:rsid w:val="00272C01"/>
    <w:rsid w:val="00272C24"/>
    <w:rsid w:val="00272C68"/>
    <w:rsid w:val="00272CD7"/>
    <w:rsid w:val="00272D97"/>
    <w:rsid w:val="00272EBC"/>
    <w:rsid w:val="00272F51"/>
    <w:rsid w:val="002734A8"/>
    <w:rsid w:val="002734FA"/>
    <w:rsid w:val="00273D6B"/>
    <w:rsid w:val="0027433B"/>
    <w:rsid w:val="00274767"/>
    <w:rsid w:val="00274A8B"/>
    <w:rsid w:val="00274B07"/>
    <w:rsid w:val="00274C19"/>
    <w:rsid w:val="00274D7F"/>
    <w:rsid w:val="00275073"/>
    <w:rsid w:val="002753C2"/>
    <w:rsid w:val="002754ED"/>
    <w:rsid w:val="0027559B"/>
    <w:rsid w:val="00275825"/>
    <w:rsid w:val="00275893"/>
    <w:rsid w:val="00275F1C"/>
    <w:rsid w:val="00275F88"/>
    <w:rsid w:val="002766C4"/>
    <w:rsid w:val="0027690B"/>
    <w:rsid w:val="00276948"/>
    <w:rsid w:val="00276AFF"/>
    <w:rsid w:val="00277284"/>
    <w:rsid w:val="00277395"/>
    <w:rsid w:val="002773DA"/>
    <w:rsid w:val="00277473"/>
    <w:rsid w:val="0027753A"/>
    <w:rsid w:val="002778AF"/>
    <w:rsid w:val="00277C3F"/>
    <w:rsid w:val="00277CAB"/>
    <w:rsid w:val="00277EDA"/>
    <w:rsid w:val="00277F94"/>
    <w:rsid w:val="002802CF"/>
    <w:rsid w:val="002807D5"/>
    <w:rsid w:val="00280C1C"/>
    <w:rsid w:val="00280C90"/>
    <w:rsid w:val="00280EFC"/>
    <w:rsid w:val="00280FC3"/>
    <w:rsid w:val="00281274"/>
    <w:rsid w:val="002812D0"/>
    <w:rsid w:val="002815CA"/>
    <w:rsid w:val="002816D9"/>
    <w:rsid w:val="0028191C"/>
    <w:rsid w:val="00281BAC"/>
    <w:rsid w:val="00281F28"/>
    <w:rsid w:val="00281F97"/>
    <w:rsid w:val="00281FA9"/>
    <w:rsid w:val="0028225A"/>
    <w:rsid w:val="002827E9"/>
    <w:rsid w:val="00282832"/>
    <w:rsid w:val="00282CD3"/>
    <w:rsid w:val="00282D85"/>
    <w:rsid w:val="00282E68"/>
    <w:rsid w:val="00282F42"/>
    <w:rsid w:val="00283141"/>
    <w:rsid w:val="0028369B"/>
    <w:rsid w:val="00283822"/>
    <w:rsid w:val="00283AE8"/>
    <w:rsid w:val="00283C0B"/>
    <w:rsid w:val="00283DDB"/>
    <w:rsid w:val="002843F1"/>
    <w:rsid w:val="00284578"/>
    <w:rsid w:val="002846F1"/>
    <w:rsid w:val="0028479D"/>
    <w:rsid w:val="0028485E"/>
    <w:rsid w:val="00284D99"/>
    <w:rsid w:val="00285009"/>
    <w:rsid w:val="0028558D"/>
    <w:rsid w:val="002856DB"/>
    <w:rsid w:val="00285713"/>
    <w:rsid w:val="00285732"/>
    <w:rsid w:val="00285739"/>
    <w:rsid w:val="0028579D"/>
    <w:rsid w:val="00285C0D"/>
    <w:rsid w:val="0028647E"/>
    <w:rsid w:val="002864E4"/>
    <w:rsid w:val="002869B3"/>
    <w:rsid w:val="00286ADD"/>
    <w:rsid w:val="00286E4A"/>
    <w:rsid w:val="0028719F"/>
    <w:rsid w:val="002871A3"/>
    <w:rsid w:val="002872D2"/>
    <w:rsid w:val="0028749A"/>
    <w:rsid w:val="002875D8"/>
    <w:rsid w:val="00287609"/>
    <w:rsid w:val="0028768E"/>
    <w:rsid w:val="002879BE"/>
    <w:rsid w:val="00287ABD"/>
    <w:rsid w:val="00287D00"/>
    <w:rsid w:val="00287F00"/>
    <w:rsid w:val="00290019"/>
    <w:rsid w:val="002900F6"/>
    <w:rsid w:val="002904E0"/>
    <w:rsid w:val="00290B4D"/>
    <w:rsid w:val="00290C45"/>
    <w:rsid w:val="002913FD"/>
    <w:rsid w:val="00291685"/>
    <w:rsid w:val="00291A8A"/>
    <w:rsid w:val="00291D2B"/>
    <w:rsid w:val="00291E28"/>
    <w:rsid w:val="00291F06"/>
    <w:rsid w:val="00291F2A"/>
    <w:rsid w:val="002920DF"/>
    <w:rsid w:val="00292108"/>
    <w:rsid w:val="002925B3"/>
    <w:rsid w:val="002926B1"/>
    <w:rsid w:val="00292855"/>
    <w:rsid w:val="00292BD0"/>
    <w:rsid w:val="00292E26"/>
    <w:rsid w:val="00292E6A"/>
    <w:rsid w:val="00292E7D"/>
    <w:rsid w:val="00292F4D"/>
    <w:rsid w:val="00292FD0"/>
    <w:rsid w:val="00293393"/>
    <w:rsid w:val="002933DD"/>
    <w:rsid w:val="00293970"/>
    <w:rsid w:val="00293C6D"/>
    <w:rsid w:val="00293D3B"/>
    <w:rsid w:val="00293DE1"/>
    <w:rsid w:val="00294458"/>
    <w:rsid w:val="002947FD"/>
    <w:rsid w:val="00294D27"/>
    <w:rsid w:val="0029513C"/>
    <w:rsid w:val="002952D5"/>
    <w:rsid w:val="00295409"/>
    <w:rsid w:val="00295CC4"/>
    <w:rsid w:val="00295CC6"/>
    <w:rsid w:val="00295E39"/>
    <w:rsid w:val="00296003"/>
    <w:rsid w:val="00296188"/>
    <w:rsid w:val="0029630A"/>
    <w:rsid w:val="00296366"/>
    <w:rsid w:val="002964E4"/>
    <w:rsid w:val="00296580"/>
    <w:rsid w:val="002966C5"/>
    <w:rsid w:val="0029679A"/>
    <w:rsid w:val="00296917"/>
    <w:rsid w:val="0029698B"/>
    <w:rsid w:val="002969C4"/>
    <w:rsid w:val="002971F0"/>
    <w:rsid w:val="0029735C"/>
    <w:rsid w:val="00297415"/>
    <w:rsid w:val="00297910"/>
    <w:rsid w:val="00297ECA"/>
    <w:rsid w:val="00297F22"/>
    <w:rsid w:val="002A0120"/>
    <w:rsid w:val="002A045D"/>
    <w:rsid w:val="002A048F"/>
    <w:rsid w:val="002A07BB"/>
    <w:rsid w:val="002A0A1D"/>
    <w:rsid w:val="002A0AB6"/>
    <w:rsid w:val="002A11CB"/>
    <w:rsid w:val="002A14BB"/>
    <w:rsid w:val="002A156F"/>
    <w:rsid w:val="002A15DE"/>
    <w:rsid w:val="002A17B2"/>
    <w:rsid w:val="002A17FA"/>
    <w:rsid w:val="002A19DF"/>
    <w:rsid w:val="002A1E62"/>
    <w:rsid w:val="002A227A"/>
    <w:rsid w:val="002A25D9"/>
    <w:rsid w:val="002A2629"/>
    <w:rsid w:val="002A279F"/>
    <w:rsid w:val="002A27C5"/>
    <w:rsid w:val="002A2894"/>
    <w:rsid w:val="002A28E7"/>
    <w:rsid w:val="002A2BA4"/>
    <w:rsid w:val="002A2CCD"/>
    <w:rsid w:val="002A309E"/>
    <w:rsid w:val="002A30D1"/>
    <w:rsid w:val="002A3313"/>
    <w:rsid w:val="002A34CE"/>
    <w:rsid w:val="002A35BC"/>
    <w:rsid w:val="002A35D4"/>
    <w:rsid w:val="002A3641"/>
    <w:rsid w:val="002A37FD"/>
    <w:rsid w:val="002A3C61"/>
    <w:rsid w:val="002A3DDA"/>
    <w:rsid w:val="002A3FFA"/>
    <w:rsid w:val="002A4088"/>
    <w:rsid w:val="002A41D4"/>
    <w:rsid w:val="002A429E"/>
    <w:rsid w:val="002A4639"/>
    <w:rsid w:val="002A4992"/>
    <w:rsid w:val="002A4CA5"/>
    <w:rsid w:val="002A4CDF"/>
    <w:rsid w:val="002A4D87"/>
    <w:rsid w:val="002A4FC3"/>
    <w:rsid w:val="002A50D1"/>
    <w:rsid w:val="002A5389"/>
    <w:rsid w:val="002A5436"/>
    <w:rsid w:val="002A5514"/>
    <w:rsid w:val="002A58D5"/>
    <w:rsid w:val="002A5CE8"/>
    <w:rsid w:val="002A5DEA"/>
    <w:rsid w:val="002A6214"/>
    <w:rsid w:val="002A6390"/>
    <w:rsid w:val="002A6706"/>
    <w:rsid w:val="002A6750"/>
    <w:rsid w:val="002A6767"/>
    <w:rsid w:val="002A687C"/>
    <w:rsid w:val="002A6889"/>
    <w:rsid w:val="002A692E"/>
    <w:rsid w:val="002A6C15"/>
    <w:rsid w:val="002A700F"/>
    <w:rsid w:val="002A7337"/>
    <w:rsid w:val="002A7357"/>
    <w:rsid w:val="002A7652"/>
    <w:rsid w:val="002A76F0"/>
    <w:rsid w:val="002A78B7"/>
    <w:rsid w:val="002A7A1C"/>
    <w:rsid w:val="002A7BAC"/>
    <w:rsid w:val="002A7CDF"/>
    <w:rsid w:val="002A7F04"/>
    <w:rsid w:val="002B01A9"/>
    <w:rsid w:val="002B01F9"/>
    <w:rsid w:val="002B034C"/>
    <w:rsid w:val="002B04B4"/>
    <w:rsid w:val="002B0634"/>
    <w:rsid w:val="002B08EE"/>
    <w:rsid w:val="002B091F"/>
    <w:rsid w:val="002B098A"/>
    <w:rsid w:val="002B0A11"/>
    <w:rsid w:val="002B0A61"/>
    <w:rsid w:val="002B0B19"/>
    <w:rsid w:val="002B0D8F"/>
    <w:rsid w:val="002B0E5B"/>
    <w:rsid w:val="002B0E82"/>
    <w:rsid w:val="002B0E89"/>
    <w:rsid w:val="002B1125"/>
    <w:rsid w:val="002B1860"/>
    <w:rsid w:val="002B1896"/>
    <w:rsid w:val="002B1952"/>
    <w:rsid w:val="002B198A"/>
    <w:rsid w:val="002B1CA0"/>
    <w:rsid w:val="002B1EAD"/>
    <w:rsid w:val="002B278C"/>
    <w:rsid w:val="002B2D2A"/>
    <w:rsid w:val="002B2D3A"/>
    <w:rsid w:val="002B2E0A"/>
    <w:rsid w:val="002B3478"/>
    <w:rsid w:val="002B3501"/>
    <w:rsid w:val="002B383F"/>
    <w:rsid w:val="002B3C9A"/>
    <w:rsid w:val="002B3FBA"/>
    <w:rsid w:val="002B463A"/>
    <w:rsid w:val="002B487B"/>
    <w:rsid w:val="002B4A52"/>
    <w:rsid w:val="002B4A8B"/>
    <w:rsid w:val="002B4F28"/>
    <w:rsid w:val="002B4F48"/>
    <w:rsid w:val="002B4F7F"/>
    <w:rsid w:val="002B512D"/>
    <w:rsid w:val="002B5131"/>
    <w:rsid w:val="002B52AD"/>
    <w:rsid w:val="002B5315"/>
    <w:rsid w:val="002B5625"/>
    <w:rsid w:val="002B56A2"/>
    <w:rsid w:val="002B56F9"/>
    <w:rsid w:val="002B5710"/>
    <w:rsid w:val="002B5D72"/>
    <w:rsid w:val="002B5D8E"/>
    <w:rsid w:val="002B602A"/>
    <w:rsid w:val="002B61F2"/>
    <w:rsid w:val="002B6252"/>
    <w:rsid w:val="002B62BE"/>
    <w:rsid w:val="002B6397"/>
    <w:rsid w:val="002B6789"/>
    <w:rsid w:val="002B67C6"/>
    <w:rsid w:val="002B6BB9"/>
    <w:rsid w:val="002B70E6"/>
    <w:rsid w:val="002B74C8"/>
    <w:rsid w:val="002B7705"/>
    <w:rsid w:val="002B775A"/>
    <w:rsid w:val="002B77C5"/>
    <w:rsid w:val="002B7DC7"/>
    <w:rsid w:val="002B7F38"/>
    <w:rsid w:val="002C0377"/>
    <w:rsid w:val="002C04B3"/>
    <w:rsid w:val="002C076D"/>
    <w:rsid w:val="002C0AB5"/>
    <w:rsid w:val="002C0E63"/>
    <w:rsid w:val="002C1073"/>
    <w:rsid w:val="002C11FA"/>
    <w:rsid w:val="002C12C5"/>
    <w:rsid w:val="002C138F"/>
    <w:rsid w:val="002C14D3"/>
    <w:rsid w:val="002C14EF"/>
    <w:rsid w:val="002C1AE9"/>
    <w:rsid w:val="002C1EC1"/>
    <w:rsid w:val="002C1FDF"/>
    <w:rsid w:val="002C21A9"/>
    <w:rsid w:val="002C2306"/>
    <w:rsid w:val="002C2755"/>
    <w:rsid w:val="002C2B55"/>
    <w:rsid w:val="002C2DE4"/>
    <w:rsid w:val="002C30FF"/>
    <w:rsid w:val="002C3476"/>
    <w:rsid w:val="002C3849"/>
    <w:rsid w:val="002C3BF6"/>
    <w:rsid w:val="002C41D0"/>
    <w:rsid w:val="002C4257"/>
    <w:rsid w:val="002C43E6"/>
    <w:rsid w:val="002C4590"/>
    <w:rsid w:val="002C4796"/>
    <w:rsid w:val="002C4861"/>
    <w:rsid w:val="002C4B7C"/>
    <w:rsid w:val="002C4CDE"/>
    <w:rsid w:val="002C53EC"/>
    <w:rsid w:val="002C548F"/>
    <w:rsid w:val="002C5521"/>
    <w:rsid w:val="002C599B"/>
    <w:rsid w:val="002C5B7B"/>
    <w:rsid w:val="002C5C50"/>
    <w:rsid w:val="002C5CE7"/>
    <w:rsid w:val="002C5E8B"/>
    <w:rsid w:val="002C6633"/>
    <w:rsid w:val="002C663F"/>
    <w:rsid w:val="002C6742"/>
    <w:rsid w:val="002C687B"/>
    <w:rsid w:val="002C6B29"/>
    <w:rsid w:val="002C6CC3"/>
    <w:rsid w:val="002C6D69"/>
    <w:rsid w:val="002C6E81"/>
    <w:rsid w:val="002C6F2A"/>
    <w:rsid w:val="002C6F80"/>
    <w:rsid w:val="002C6FA9"/>
    <w:rsid w:val="002C7181"/>
    <w:rsid w:val="002C71D1"/>
    <w:rsid w:val="002C730D"/>
    <w:rsid w:val="002C7A30"/>
    <w:rsid w:val="002C7D6D"/>
    <w:rsid w:val="002C7DC2"/>
    <w:rsid w:val="002C7FFB"/>
    <w:rsid w:val="002D045E"/>
    <w:rsid w:val="002D05B8"/>
    <w:rsid w:val="002D08FA"/>
    <w:rsid w:val="002D0CCA"/>
    <w:rsid w:val="002D0D22"/>
    <w:rsid w:val="002D0EA2"/>
    <w:rsid w:val="002D0FF1"/>
    <w:rsid w:val="002D1901"/>
    <w:rsid w:val="002D1A42"/>
    <w:rsid w:val="002D1B61"/>
    <w:rsid w:val="002D1C09"/>
    <w:rsid w:val="002D1DE5"/>
    <w:rsid w:val="002D1E0D"/>
    <w:rsid w:val="002D1EC1"/>
    <w:rsid w:val="002D1F37"/>
    <w:rsid w:val="002D2379"/>
    <w:rsid w:val="002D2423"/>
    <w:rsid w:val="002D242B"/>
    <w:rsid w:val="002D251B"/>
    <w:rsid w:val="002D2674"/>
    <w:rsid w:val="002D28BC"/>
    <w:rsid w:val="002D2CD1"/>
    <w:rsid w:val="002D2CF7"/>
    <w:rsid w:val="002D2EF6"/>
    <w:rsid w:val="002D2F12"/>
    <w:rsid w:val="002D2F2B"/>
    <w:rsid w:val="002D3358"/>
    <w:rsid w:val="002D34EE"/>
    <w:rsid w:val="002D3A06"/>
    <w:rsid w:val="002D4C04"/>
    <w:rsid w:val="002D4DAE"/>
    <w:rsid w:val="002D52EA"/>
    <w:rsid w:val="002D5DA7"/>
    <w:rsid w:val="002D5DF7"/>
    <w:rsid w:val="002D6337"/>
    <w:rsid w:val="002D6560"/>
    <w:rsid w:val="002D6698"/>
    <w:rsid w:val="002D6A0C"/>
    <w:rsid w:val="002D6B75"/>
    <w:rsid w:val="002D6D61"/>
    <w:rsid w:val="002D7407"/>
    <w:rsid w:val="002D7491"/>
    <w:rsid w:val="002D755A"/>
    <w:rsid w:val="002D7651"/>
    <w:rsid w:val="002D7799"/>
    <w:rsid w:val="002D7802"/>
    <w:rsid w:val="002D7864"/>
    <w:rsid w:val="002D7912"/>
    <w:rsid w:val="002D7D0B"/>
    <w:rsid w:val="002D8471"/>
    <w:rsid w:val="002E00DB"/>
    <w:rsid w:val="002E011C"/>
    <w:rsid w:val="002E0432"/>
    <w:rsid w:val="002E07B1"/>
    <w:rsid w:val="002E0809"/>
    <w:rsid w:val="002E1148"/>
    <w:rsid w:val="002E12F8"/>
    <w:rsid w:val="002E14A2"/>
    <w:rsid w:val="002E19D3"/>
    <w:rsid w:val="002E1C72"/>
    <w:rsid w:val="002E1EA9"/>
    <w:rsid w:val="002E2038"/>
    <w:rsid w:val="002E221C"/>
    <w:rsid w:val="002E27D8"/>
    <w:rsid w:val="002E280B"/>
    <w:rsid w:val="002E2A2A"/>
    <w:rsid w:val="002E2A3D"/>
    <w:rsid w:val="002E2AD3"/>
    <w:rsid w:val="002E2AD5"/>
    <w:rsid w:val="002E2AF0"/>
    <w:rsid w:val="002E32CA"/>
    <w:rsid w:val="002E345C"/>
    <w:rsid w:val="002E35B8"/>
    <w:rsid w:val="002E3891"/>
    <w:rsid w:val="002E39B6"/>
    <w:rsid w:val="002E39B7"/>
    <w:rsid w:val="002E3B27"/>
    <w:rsid w:val="002E3D66"/>
    <w:rsid w:val="002E3DFB"/>
    <w:rsid w:val="002E3E2C"/>
    <w:rsid w:val="002E418E"/>
    <w:rsid w:val="002E48C3"/>
    <w:rsid w:val="002E4AD4"/>
    <w:rsid w:val="002E4AF3"/>
    <w:rsid w:val="002E4B10"/>
    <w:rsid w:val="002E4DF2"/>
    <w:rsid w:val="002E5803"/>
    <w:rsid w:val="002E5821"/>
    <w:rsid w:val="002E5999"/>
    <w:rsid w:val="002E5A8F"/>
    <w:rsid w:val="002E5BD6"/>
    <w:rsid w:val="002E5F89"/>
    <w:rsid w:val="002E6255"/>
    <w:rsid w:val="002E6397"/>
    <w:rsid w:val="002E6561"/>
    <w:rsid w:val="002E6656"/>
    <w:rsid w:val="002E6ADA"/>
    <w:rsid w:val="002E6BF9"/>
    <w:rsid w:val="002E6FB6"/>
    <w:rsid w:val="002E7094"/>
    <w:rsid w:val="002E7278"/>
    <w:rsid w:val="002E738E"/>
    <w:rsid w:val="002E73DB"/>
    <w:rsid w:val="002E740C"/>
    <w:rsid w:val="002E7509"/>
    <w:rsid w:val="002E760C"/>
    <w:rsid w:val="002E78BA"/>
    <w:rsid w:val="002E7A59"/>
    <w:rsid w:val="002E7B40"/>
    <w:rsid w:val="002E7ED2"/>
    <w:rsid w:val="002F013C"/>
    <w:rsid w:val="002F038D"/>
    <w:rsid w:val="002F03B7"/>
    <w:rsid w:val="002F062B"/>
    <w:rsid w:val="002F089D"/>
    <w:rsid w:val="002F09D9"/>
    <w:rsid w:val="002F1219"/>
    <w:rsid w:val="002F134A"/>
    <w:rsid w:val="002F1554"/>
    <w:rsid w:val="002F15BF"/>
    <w:rsid w:val="002F1F0D"/>
    <w:rsid w:val="002F20A3"/>
    <w:rsid w:val="002F253E"/>
    <w:rsid w:val="002F2580"/>
    <w:rsid w:val="002F26EE"/>
    <w:rsid w:val="002F29BE"/>
    <w:rsid w:val="002F2B35"/>
    <w:rsid w:val="002F2D25"/>
    <w:rsid w:val="002F3006"/>
    <w:rsid w:val="002F3111"/>
    <w:rsid w:val="002F3297"/>
    <w:rsid w:val="002F333D"/>
    <w:rsid w:val="002F375A"/>
    <w:rsid w:val="002F388F"/>
    <w:rsid w:val="002F3A77"/>
    <w:rsid w:val="002F3D89"/>
    <w:rsid w:val="002F3E56"/>
    <w:rsid w:val="002F3E6E"/>
    <w:rsid w:val="002F4225"/>
    <w:rsid w:val="002F4656"/>
    <w:rsid w:val="002F46A8"/>
    <w:rsid w:val="002F4778"/>
    <w:rsid w:val="002F4C41"/>
    <w:rsid w:val="002F502F"/>
    <w:rsid w:val="002F52DD"/>
    <w:rsid w:val="002F52F3"/>
    <w:rsid w:val="002F53B7"/>
    <w:rsid w:val="002F55DE"/>
    <w:rsid w:val="002F571C"/>
    <w:rsid w:val="002F57AB"/>
    <w:rsid w:val="002F593B"/>
    <w:rsid w:val="002F5D9D"/>
    <w:rsid w:val="002F5DEB"/>
    <w:rsid w:val="002F5F21"/>
    <w:rsid w:val="002F60E5"/>
    <w:rsid w:val="002F628D"/>
    <w:rsid w:val="002F6378"/>
    <w:rsid w:val="002F661A"/>
    <w:rsid w:val="002F6AFF"/>
    <w:rsid w:val="002F742A"/>
    <w:rsid w:val="002F74B6"/>
    <w:rsid w:val="002F77EF"/>
    <w:rsid w:val="002F7AAE"/>
    <w:rsid w:val="002F7EFA"/>
    <w:rsid w:val="002F7EFE"/>
    <w:rsid w:val="002F7FFD"/>
    <w:rsid w:val="003004A1"/>
    <w:rsid w:val="003005A2"/>
    <w:rsid w:val="00300890"/>
    <w:rsid w:val="00300935"/>
    <w:rsid w:val="00300FDE"/>
    <w:rsid w:val="003011CD"/>
    <w:rsid w:val="00301331"/>
    <w:rsid w:val="00301552"/>
    <w:rsid w:val="003015F9"/>
    <w:rsid w:val="00301769"/>
    <w:rsid w:val="00301A55"/>
    <w:rsid w:val="00301C2F"/>
    <w:rsid w:val="00301C36"/>
    <w:rsid w:val="00301CB0"/>
    <w:rsid w:val="00301E7B"/>
    <w:rsid w:val="00301ED3"/>
    <w:rsid w:val="00302174"/>
    <w:rsid w:val="00302524"/>
    <w:rsid w:val="003025FD"/>
    <w:rsid w:val="0030286D"/>
    <w:rsid w:val="00302AE5"/>
    <w:rsid w:val="00302D4F"/>
    <w:rsid w:val="00303495"/>
    <w:rsid w:val="00303B2B"/>
    <w:rsid w:val="00303EF9"/>
    <w:rsid w:val="00304100"/>
    <w:rsid w:val="00304156"/>
    <w:rsid w:val="003041F7"/>
    <w:rsid w:val="0030442D"/>
    <w:rsid w:val="0030445A"/>
    <w:rsid w:val="0030455D"/>
    <w:rsid w:val="00304580"/>
    <w:rsid w:val="003046B4"/>
    <w:rsid w:val="00304705"/>
    <w:rsid w:val="00304913"/>
    <w:rsid w:val="00304E2B"/>
    <w:rsid w:val="003050BE"/>
    <w:rsid w:val="00305184"/>
    <w:rsid w:val="003054A0"/>
    <w:rsid w:val="003058C7"/>
    <w:rsid w:val="00305929"/>
    <w:rsid w:val="00305E06"/>
    <w:rsid w:val="003066AB"/>
    <w:rsid w:val="00306708"/>
    <w:rsid w:val="0030678D"/>
    <w:rsid w:val="0030696F"/>
    <w:rsid w:val="00306BEB"/>
    <w:rsid w:val="00306DE4"/>
    <w:rsid w:val="00306E06"/>
    <w:rsid w:val="00306E14"/>
    <w:rsid w:val="00306FC8"/>
    <w:rsid w:val="00306FF1"/>
    <w:rsid w:val="003071C0"/>
    <w:rsid w:val="003073DB"/>
    <w:rsid w:val="00307603"/>
    <w:rsid w:val="00307625"/>
    <w:rsid w:val="00307678"/>
    <w:rsid w:val="00307891"/>
    <w:rsid w:val="00307948"/>
    <w:rsid w:val="00307A83"/>
    <w:rsid w:val="00307B32"/>
    <w:rsid w:val="00307DD1"/>
    <w:rsid w:val="0030DF3F"/>
    <w:rsid w:val="00310032"/>
    <w:rsid w:val="00310232"/>
    <w:rsid w:val="003102C0"/>
    <w:rsid w:val="003102C2"/>
    <w:rsid w:val="003103D5"/>
    <w:rsid w:val="003103E4"/>
    <w:rsid w:val="00310416"/>
    <w:rsid w:val="0031041D"/>
    <w:rsid w:val="003105F3"/>
    <w:rsid w:val="003107E4"/>
    <w:rsid w:val="003108C6"/>
    <w:rsid w:val="003109FA"/>
    <w:rsid w:val="00310B9F"/>
    <w:rsid w:val="00310C6D"/>
    <w:rsid w:val="00310C79"/>
    <w:rsid w:val="00310F59"/>
    <w:rsid w:val="0031120C"/>
    <w:rsid w:val="003113A2"/>
    <w:rsid w:val="003114B5"/>
    <w:rsid w:val="00311776"/>
    <w:rsid w:val="00311C10"/>
    <w:rsid w:val="00311C12"/>
    <w:rsid w:val="003123A6"/>
    <w:rsid w:val="003125B3"/>
    <w:rsid w:val="003128D3"/>
    <w:rsid w:val="003128DD"/>
    <w:rsid w:val="00312AFB"/>
    <w:rsid w:val="00312B1C"/>
    <w:rsid w:val="00312D2B"/>
    <w:rsid w:val="00313133"/>
    <w:rsid w:val="003139C8"/>
    <w:rsid w:val="003139E8"/>
    <w:rsid w:val="00313F09"/>
    <w:rsid w:val="00313FA7"/>
    <w:rsid w:val="0031417F"/>
    <w:rsid w:val="003142C0"/>
    <w:rsid w:val="00314373"/>
    <w:rsid w:val="00314690"/>
    <w:rsid w:val="00314960"/>
    <w:rsid w:val="00314AD2"/>
    <w:rsid w:val="00314B0F"/>
    <w:rsid w:val="00314B30"/>
    <w:rsid w:val="00314BF1"/>
    <w:rsid w:val="00314D09"/>
    <w:rsid w:val="00314D7E"/>
    <w:rsid w:val="00314DCB"/>
    <w:rsid w:val="00314DF3"/>
    <w:rsid w:val="0031517A"/>
    <w:rsid w:val="003154F2"/>
    <w:rsid w:val="00315553"/>
    <w:rsid w:val="003158BD"/>
    <w:rsid w:val="00315D6A"/>
    <w:rsid w:val="0031615A"/>
    <w:rsid w:val="003161DB"/>
    <w:rsid w:val="0031638C"/>
    <w:rsid w:val="003165F6"/>
    <w:rsid w:val="00316B84"/>
    <w:rsid w:val="003171EF"/>
    <w:rsid w:val="003174C3"/>
    <w:rsid w:val="003174E2"/>
    <w:rsid w:val="003177C7"/>
    <w:rsid w:val="00317AED"/>
    <w:rsid w:val="00320218"/>
    <w:rsid w:val="0032068D"/>
    <w:rsid w:val="003206C4"/>
    <w:rsid w:val="00320716"/>
    <w:rsid w:val="00320891"/>
    <w:rsid w:val="003208E0"/>
    <w:rsid w:val="00320C62"/>
    <w:rsid w:val="00320DE0"/>
    <w:rsid w:val="00320EC3"/>
    <w:rsid w:val="00321132"/>
    <w:rsid w:val="00321986"/>
    <w:rsid w:val="00321A8B"/>
    <w:rsid w:val="00321E5E"/>
    <w:rsid w:val="00321FA6"/>
    <w:rsid w:val="00322079"/>
    <w:rsid w:val="00322106"/>
    <w:rsid w:val="00322203"/>
    <w:rsid w:val="0032231D"/>
    <w:rsid w:val="0032239A"/>
    <w:rsid w:val="00322610"/>
    <w:rsid w:val="003227AD"/>
    <w:rsid w:val="00322A1B"/>
    <w:rsid w:val="00322BF6"/>
    <w:rsid w:val="00322D6F"/>
    <w:rsid w:val="00322E4E"/>
    <w:rsid w:val="0032333E"/>
    <w:rsid w:val="0032340B"/>
    <w:rsid w:val="003236C2"/>
    <w:rsid w:val="0032370B"/>
    <w:rsid w:val="003238BA"/>
    <w:rsid w:val="00323B3E"/>
    <w:rsid w:val="00323BA6"/>
    <w:rsid w:val="00323D6E"/>
    <w:rsid w:val="00323E89"/>
    <w:rsid w:val="003241AE"/>
    <w:rsid w:val="00324270"/>
    <w:rsid w:val="003242AB"/>
    <w:rsid w:val="00324477"/>
    <w:rsid w:val="003244B9"/>
    <w:rsid w:val="0032487F"/>
    <w:rsid w:val="00324ABE"/>
    <w:rsid w:val="00324CBB"/>
    <w:rsid w:val="00324CF3"/>
    <w:rsid w:val="003252DC"/>
    <w:rsid w:val="00325C26"/>
    <w:rsid w:val="00325C85"/>
    <w:rsid w:val="00325EFF"/>
    <w:rsid w:val="0032641F"/>
    <w:rsid w:val="003264C2"/>
    <w:rsid w:val="003265E1"/>
    <w:rsid w:val="0032668D"/>
    <w:rsid w:val="003266FE"/>
    <w:rsid w:val="0032679F"/>
    <w:rsid w:val="00326908"/>
    <w:rsid w:val="00326BDC"/>
    <w:rsid w:val="00326EBB"/>
    <w:rsid w:val="00326F05"/>
    <w:rsid w:val="00327555"/>
    <w:rsid w:val="003277F7"/>
    <w:rsid w:val="00327B2F"/>
    <w:rsid w:val="00327C1F"/>
    <w:rsid w:val="00327C9C"/>
    <w:rsid w:val="00327F81"/>
    <w:rsid w:val="00330049"/>
    <w:rsid w:val="003304DB"/>
    <w:rsid w:val="0033055B"/>
    <w:rsid w:val="00330A6D"/>
    <w:rsid w:val="00330B2D"/>
    <w:rsid w:val="00330BCF"/>
    <w:rsid w:val="00331128"/>
    <w:rsid w:val="00331187"/>
    <w:rsid w:val="00331434"/>
    <w:rsid w:val="003318C4"/>
    <w:rsid w:val="00331B35"/>
    <w:rsid w:val="00331C87"/>
    <w:rsid w:val="00331DD3"/>
    <w:rsid w:val="00331F60"/>
    <w:rsid w:val="00332182"/>
    <w:rsid w:val="00332427"/>
    <w:rsid w:val="0033242D"/>
    <w:rsid w:val="0033245E"/>
    <w:rsid w:val="00332632"/>
    <w:rsid w:val="0033298E"/>
    <w:rsid w:val="00332E80"/>
    <w:rsid w:val="00332F86"/>
    <w:rsid w:val="00333076"/>
    <w:rsid w:val="003331A3"/>
    <w:rsid w:val="0033331F"/>
    <w:rsid w:val="003333B0"/>
    <w:rsid w:val="0033368F"/>
    <w:rsid w:val="003337C0"/>
    <w:rsid w:val="003339E2"/>
    <w:rsid w:val="00333C82"/>
    <w:rsid w:val="00333C93"/>
    <w:rsid w:val="00333E86"/>
    <w:rsid w:val="00333F31"/>
    <w:rsid w:val="003340C4"/>
    <w:rsid w:val="0033419B"/>
    <w:rsid w:val="00334219"/>
    <w:rsid w:val="003342B4"/>
    <w:rsid w:val="003344C8"/>
    <w:rsid w:val="003345D5"/>
    <w:rsid w:val="00334824"/>
    <w:rsid w:val="00334C6A"/>
    <w:rsid w:val="00334CBE"/>
    <w:rsid w:val="0033518A"/>
    <w:rsid w:val="0033525B"/>
    <w:rsid w:val="003355A7"/>
    <w:rsid w:val="0033570F"/>
    <w:rsid w:val="003357FB"/>
    <w:rsid w:val="00335F38"/>
    <w:rsid w:val="00335F9C"/>
    <w:rsid w:val="00336332"/>
    <w:rsid w:val="003366F4"/>
    <w:rsid w:val="0033692C"/>
    <w:rsid w:val="00336B0B"/>
    <w:rsid w:val="00336B77"/>
    <w:rsid w:val="00336D01"/>
    <w:rsid w:val="00336FC6"/>
    <w:rsid w:val="003375B3"/>
    <w:rsid w:val="00337B50"/>
    <w:rsid w:val="00337FC7"/>
    <w:rsid w:val="00339CB6"/>
    <w:rsid w:val="00340031"/>
    <w:rsid w:val="003400B1"/>
    <w:rsid w:val="0034013D"/>
    <w:rsid w:val="0034036C"/>
    <w:rsid w:val="00340438"/>
    <w:rsid w:val="003405A0"/>
    <w:rsid w:val="00340652"/>
    <w:rsid w:val="00340749"/>
    <w:rsid w:val="00340927"/>
    <w:rsid w:val="00340CD9"/>
    <w:rsid w:val="00340E96"/>
    <w:rsid w:val="00340FF9"/>
    <w:rsid w:val="003412C5"/>
    <w:rsid w:val="00341421"/>
    <w:rsid w:val="0034161E"/>
    <w:rsid w:val="0034180F"/>
    <w:rsid w:val="00341ACB"/>
    <w:rsid w:val="00341EBF"/>
    <w:rsid w:val="00341FCB"/>
    <w:rsid w:val="00342009"/>
    <w:rsid w:val="00342100"/>
    <w:rsid w:val="00342506"/>
    <w:rsid w:val="003425D9"/>
    <w:rsid w:val="0034271A"/>
    <w:rsid w:val="00342755"/>
    <w:rsid w:val="003427B1"/>
    <w:rsid w:val="003427E0"/>
    <w:rsid w:val="003428CC"/>
    <w:rsid w:val="003429BE"/>
    <w:rsid w:val="00342D82"/>
    <w:rsid w:val="00342E98"/>
    <w:rsid w:val="00342F02"/>
    <w:rsid w:val="0034304F"/>
    <w:rsid w:val="003430E1"/>
    <w:rsid w:val="003431DD"/>
    <w:rsid w:val="003432C2"/>
    <w:rsid w:val="00343303"/>
    <w:rsid w:val="003433CE"/>
    <w:rsid w:val="0034348E"/>
    <w:rsid w:val="00343FBD"/>
    <w:rsid w:val="00344027"/>
    <w:rsid w:val="003440DF"/>
    <w:rsid w:val="003441A4"/>
    <w:rsid w:val="00344227"/>
    <w:rsid w:val="00344492"/>
    <w:rsid w:val="003447B7"/>
    <w:rsid w:val="003447FB"/>
    <w:rsid w:val="00344876"/>
    <w:rsid w:val="003448FD"/>
    <w:rsid w:val="00344EBE"/>
    <w:rsid w:val="00345191"/>
    <w:rsid w:val="003452D6"/>
    <w:rsid w:val="00345572"/>
    <w:rsid w:val="00345608"/>
    <w:rsid w:val="00345621"/>
    <w:rsid w:val="003456D5"/>
    <w:rsid w:val="00345AB3"/>
    <w:rsid w:val="00345ABF"/>
    <w:rsid w:val="00345B87"/>
    <w:rsid w:val="00345BBB"/>
    <w:rsid w:val="00345C43"/>
    <w:rsid w:val="00345DBD"/>
    <w:rsid w:val="0034689A"/>
    <w:rsid w:val="0034691A"/>
    <w:rsid w:val="00346B52"/>
    <w:rsid w:val="0034708D"/>
    <w:rsid w:val="00347115"/>
    <w:rsid w:val="0034760E"/>
    <w:rsid w:val="0034768A"/>
    <w:rsid w:val="003476B5"/>
    <w:rsid w:val="00347769"/>
    <w:rsid w:val="003479B0"/>
    <w:rsid w:val="00347EB6"/>
    <w:rsid w:val="00347FA6"/>
    <w:rsid w:val="0034E25B"/>
    <w:rsid w:val="00350186"/>
    <w:rsid w:val="00350268"/>
    <w:rsid w:val="003502EB"/>
    <w:rsid w:val="0035037E"/>
    <w:rsid w:val="00350502"/>
    <w:rsid w:val="0035067E"/>
    <w:rsid w:val="003506FE"/>
    <w:rsid w:val="00350713"/>
    <w:rsid w:val="00350AAB"/>
    <w:rsid w:val="00350BE9"/>
    <w:rsid w:val="0035143A"/>
    <w:rsid w:val="0035167C"/>
    <w:rsid w:val="0035169D"/>
    <w:rsid w:val="003516BB"/>
    <w:rsid w:val="00351BA1"/>
    <w:rsid w:val="00351D44"/>
    <w:rsid w:val="00352082"/>
    <w:rsid w:val="003520B9"/>
    <w:rsid w:val="003524C6"/>
    <w:rsid w:val="00352877"/>
    <w:rsid w:val="00352A01"/>
    <w:rsid w:val="00352BD8"/>
    <w:rsid w:val="003530EA"/>
    <w:rsid w:val="00353416"/>
    <w:rsid w:val="003534ED"/>
    <w:rsid w:val="00353522"/>
    <w:rsid w:val="00353538"/>
    <w:rsid w:val="00353683"/>
    <w:rsid w:val="00353E03"/>
    <w:rsid w:val="00353ECF"/>
    <w:rsid w:val="00354182"/>
    <w:rsid w:val="00354194"/>
    <w:rsid w:val="003546E5"/>
    <w:rsid w:val="003547BF"/>
    <w:rsid w:val="003547DB"/>
    <w:rsid w:val="0035481B"/>
    <w:rsid w:val="003548D6"/>
    <w:rsid w:val="00354965"/>
    <w:rsid w:val="00354A1B"/>
    <w:rsid w:val="00354ACA"/>
    <w:rsid w:val="00354AE7"/>
    <w:rsid w:val="00354DD9"/>
    <w:rsid w:val="00354F54"/>
    <w:rsid w:val="003551E8"/>
    <w:rsid w:val="00355347"/>
    <w:rsid w:val="003553B6"/>
    <w:rsid w:val="00355741"/>
    <w:rsid w:val="00355A8E"/>
    <w:rsid w:val="00355A8F"/>
    <w:rsid w:val="00355B92"/>
    <w:rsid w:val="00355EA5"/>
    <w:rsid w:val="00355F5F"/>
    <w:rsid w:val="0035603F"/>
    <w:rsid w:val="003560F4"/>
    <w:rsid w:val="00356137"/>
    <w:rsid w:val="00356298"/>
    <w:rsid w:val="003562D7"/>
    <w:rsid w:val="00356A06"/>
    <w:rsid w:val="00356B13"/>
    <w:rsid w:val="00356C7B"/>
    <w:rsid w:val="00356D10"/>
    <w:rsid w:val="00356EBE"/>
    <w:rsid w:val="00356FA5"/>
    <w:rsid w:val="00356FE4"/>
    <w:rsid w:val="003571B9"/>
    <w:rsid w:val="00357211"/>
    <w:rsid w:val="00357359"/>
    <w:rsid w:val="003576C7"/>
    <w:rsid w:val="003578BC"/>
    <w:rsid w:val="003578CE"/>
    <w:rsid w:val="0035796C"/>
    <w:rsid w:val="003579FF"/>
    <w:rsid w:val="00357E21"/>
    <w:rsid w:val="00360466"/>
    <w:rsid w:val="00360507"/>
    <w:rsid w:val="003606D9"/>
    <w:rsid w:val="00360C96"/>
    <w:rsid w:val="00360DAC"/>
    <w:rsid w:val="00361040"/>
    <w:rsid w:val="00361061"/>
    <w:rsid w:val="003611EE"/>
    <w:rsid w:val="00361314"/>
    <w:rsid w:val="003613E9"/>
    <w:rsid w:val="0036161C"/>
    <w:rsid w:val="00361894"/>
    <w:rsid w:val="00361E10"/>
    <w:rsid w:val="00361E57"/>
    <w:rsid w:val="00361F32"/>
    <w:rsid w:val="00362041"/>
    <w:rsid w:val="00362406"/>
    <w:rsid w:val="00362449"/>
    <w:rsid w:val="003624C7"/>
    <w:rsid w:val="003627BD"/>
    <w:rsid w:val="00362B1F"/>
    <w:rsid w:val="00362C0C"/>
    <w:rsid w:val="00362E53"/>
    <w:rsid w:val="00362E88"/>
    <w:rsid w:val="00362F5F"/>
    <w:rsid w:val="00362F83"/>
    <w:rsid w:val="00362FCC"/>
    <w:rsid w:val="003631A8"/>
    <w:rsid w:val="0036328B"/>
    <w:rsid w:val="00363319"/>
    <w:rsid w:val="003633FA"/>
    <w:rsid w:val="00363558"/>
    <w:rsid w:val="003638FD"/>
    <w:rsid w:val="00363AFA"/>
    <w:rsid w:val="00363B95"/>
    <w:rsid w:val="00363C8A"/>
    <w:rsid w:val="00363E2E"/>
    <w:rsid w:val="00363F24"/>
    <w:rsid w:val="00363FAB"/>
    <w:rsid w:val="0036424B"/>
    <w:rsid w:val="00364267"/>
    <w:rsid w:val="0036467B"/>
    <w:rsid w:val="0036469D"/>
    <w:rsid w:val="00364A26"/>
    <w:rsid w:val="003653BB"/>
    <w:rsid w:val="003653F7"/>
    <w:rsid w:val="00365430"/>
    <w:rsid w:val="00365564"/>
    <w:rsid w:val="003659C2"/>
    <w:rsid w:val="00365E29"/>
    <w:rsid w:val="0036620B"/>
    <w:rsid w:val="00366282"/>
    <w:rsid w:val="00366470"/>
    <w:rsid w:val="00366636"/>
    <w:rsid w:val="00366688"/>
    <w:rsid w:val="00366928"/>
    <w:rsid w:val="00366CF7"/>
    <w:rsid w:val="00367129"/>
    <w:rsid w:val="00367291"/>
    <w:rsid w:val="003672B0"/>
    <w:rsid w:val="0036735A"/>
    <w:rsid w:val="00367558"/>
    <w:rsid w:val="00367881"/>
    <w:rsid w:val="003678BF"/>
    <w:rsid w:val="003678DA"/>
    <w:rsid w:val="00367A82"/>
    <w:rsid w:val="00367D12"/>
    <w:rsid w:val="00367DEE"/>
    <w:rsid w:val="0037005B"/>
    <w:rsid w:val="00370072"/>
    <w:rsid w:val="003701B7"/>
    <w:rsid w:val="00370219"/>
    <w:rsid w:val="003704B4"/>
    <w:rsid w:val="0037089E"/>
    <w:rsid w:val="003708B6"/>
    <w:rsid w:val="00370ED6"/>
    <w:rsid w:val="0037157F"/>
    <w:rsid w:val="003716FF"/>
    <w:rsid w:val="0037176A"/>
    <w:rsid w:val="00371CAC"/>
    <w:rsid w:val="00371F58"/>
    <w:rsid w:val="00372630"/>
    <w:rsid w:val="0037265B"/>
    <w:rsid w:val="00372671"/>
    <w:rsid w:val="003726EB"/>
    <w:rsid w:val="003729CB"/>
    <w:rsid w:val="00372CD3"/>
    <w:rsid w:val="00372FB9"/>
    <w:rsid w:val="00372FF5"/>
    <w:rsid w:val="003732B9"/>
    <w:rsid w:val="003732E2"/>
    <w:rsid w:val="0037342A"/>
    <w:rsid w:val="003737E0"/>
    <w:rsid w:val="0037389A"/>
    <w:rsid w:val="00373C1D"/>
    <w:rsid w:val="00373C8A"/>
    <w:rsid w:val="00373D5A"/>
    <w:rsid w:val="003746F2"/>
    <w:rsid w:val="00374BAD"/>
    <w:rsid w:val="00374D2E"/>
    <w:rsid w:val="00374DEF"/>
    <w:rsid w:val="00374E18"/>
    <w:rsid w:val="0037535E"/>
    <w:rsid w:val="00375543"/>
    <w:rsid w:val="003755BD"/>
    <w:rsid w:val="003756DF"/>
    <w:rsid w:val="00375757"/>
    <w:rsid w:val="00375C41"/>
    <w:rsid w:val="00376106"/>
    <w:rsid w:val="00376167"/>
    <w:rsid w:val="003765FF"/>
    <w:rsid w:val="003766BB"/>
    <w:rsid w:val="00376799"/>
    <w:rsid w:val="00376978"/>
    <w:rsid w:val="00376B76"/>
    <w:rsid w:val="00376BA8"/>
    <w:rsid w:val="003770EF"/>
    <w:rsid w:val="003772CA"/>
    <w:rsid w:val="00377342"/>
    <w:rsid w:val="00377372"/>
    <w:rsid w:val="0037737B"/>
    <w:rsid w:val="0037783D"/>
    <w:rsid w:val="00377A18"/>
    <w:rsid w:val="00377A43"/>
    <w:rsid w:val="00377CD8"/>
    <w:rsid w:val="0037B3C7"/>
    <w:rsid w:val="00380071"/>
    <w:rsid w:val="0038019F"/>
    <w:rsid w:val="00380244"/>
    <w:rsid w:val="003802BD"/>
    <w:rsid w:val="0038040F"/>
    <w:rsid w:val="00380640"/>
    <w:rsid w:val="00380E96"/>
    <w:rsid w:val="00380FAF"/>
    <w:rsid w:val="00381421"/>
    <w:rsid w:val="0038145F"/>
    <w:rsid w:val="00381489"/>
    <w:rsid w:val="00381883"/>
    <w:rsid w:val="00381CE8"/>
    <w:rsid w:val="00381EC5"/>
    <w:rsid w:val="0038219C"/>
    <w:rsid w:val="003821EB"/>
    <w:rsid w:val="00382246"/>
    <w:rsid w:val="00382304"/>
    <w:rsid w:val="003823DE"/>
    <w:rsid w:val="00382417"/>
    <w:rsid w:val="00382B87"/>
    <w:rsid w:val="00382C27"/>
    <w:rsid w:val="003832F4"/>
    <w:rsid w:val="003834F5"/>
    <w:rsid w:val="003836B9"/>
    <w:rsid w:val="003837DC"/>
    <w:rsid w:val="00383800"/>
    <w:rsid w:val="003839F7"/>
    <w:rsid w:val="00383B57"/>
    <w:rsid w:val="00383B6F"/>
    <w:rsid w:val="00383BD4"/>
    <w:rsid w:val="00383D02"/>
    <w:rsid w:val="00384491"/>
    <w:rsid w:val="00384668"/>
    <w:rsid w:val="00384747"/>
    <w:rsid w:val="0038481E"/>
    <w:rsid w:val="0038485E"/>
    <w:rsid w:val="00384AA5"/>
    <w:rsid w:val="00384ADC"/>
    <w:rsid w:val="00384BFD"/>
    <w:rsid w:val="00384DF6"/>
    <w:rsid w:val="00384F70"/>
    <w:rsid w:val="003850C6"/>
    <w:rsid w:val="00385335"/>
    <w:rsid w:val="00385445"/>
    <w:rsid w:val="00385521"/>
    <w:rsid w:val="003855FE"/>
    <w:rsid w:val="0038577A"/>
    <w:rsid w:val="00385B0F"/>
    <w:rsid w:val="00385BDC"/>
    <w:rsid w:val="00385D15"/>
    <w:rsid w:val="00385ED4"/>
    <w:rsid w:val="003860E8"/>
    <w:rsid w:val="0038612E"/>
    <w:rsid w:val="003861B7"/>
    <w:rsid w:val="003864F2"/>
    <w:rsid w:val="00386B58"/>
    <w:rsid w:val="00386C5D"/>
    <w:rsid w:val="00386D42"/>
    <w:rsid w:val="00386E2E"/>
    <w:rsid w:val="00386EF6"/>
    <w:rsid w:val="00387082"/>
    <w:rsid w:val="00387231"/>
    <w:rsid w:val="003876BC"/>
    <w:rsid w:val="003876C5"/>
    <w:rsid w:val="0038781D"/>
    <w:rsid w:val="0038785F"/>
    <w:rsid w:val="00387A4A"/>
    <w:rsid w:val="00387A56"/>
    <w:rsid w:val="00387AC3"/>
    <w:rsid w:val="00387B7A"/>
    <w:rsid w:val="00387EB7"/>
    <w:rsid w:val="00387FE3"/>
    <w:rsid w:val="003902FE"/>
    <w:rsid w:val="0039034C"/>
    <w:rsid w:val="0039049B"/>
    <w:rsid w:val="00390AA0"/>
    <w:rsid w:val="00390C0E"/>
    <w:rsid w:val="00390F9F"/>
    <w:rsid w:val="00390FE7"/>
    <w:rsid w:val="00391343"/>
    <w:rsid w:val="0039134A"/>
    <w:rsid w:val="0039167B"/>
    <w:rsid w:val="0039170E"/>
    <w:rsid w:val="00391799"/>
    <w:rsid w:val="00391855"/>
    <w:rsid w:val="00391FBF"/>
    <w:rsid w:val="003921F3"/>
    <w:rsid w:val="00392212"/>
    <w:rsid w:val="0039228E"/>
    <w:rsid w:val="003922E3"/>
    <w:rsid w:val="003926D6"/>
    <w:rsid w:val="003928AC"/>
    <w:rsid w:val="0039290C"/>
    <w:rsid w:val="003929CA"/>
    <w:rsid w:val="003929D5"/>
    <w:rsid w:val="00392B36"/>
    <w:rsid w:val="00392D61"/>
    <w:rsid w:val="003930B0"/>
    <w:rsid w:val="0039312F"/>
    <w:rsid w:val="00393522"/>
    <w:rsid w:val="00393692"/>
    <w:rsid w:val="003937C1"/>
    <w:rsid w:val="00393951"/>
    <w:rsid w:val="00393BFB"/>
    <w:rsid w:val="00393CB4"/>
    <w:rsid w:val="00393CCF"/>
    <w:rsid w:val="00393D81"/>
    <w:rsid w:val="00393F64"/>
    <w:rsid w:val="003940EC"/>
    <w:rsid w:val="003941FC"/>
    <w:rsid w:val="00394338"/>
    <w:rsid w:val="00394764"/>
    <w:rsid w:val="00394859"/>
    <w:rsid w:val="00394894"/>
    <w:rsid w:val="00394962"/>
    <w:rsid w:val="00394B25"/>
    <w:rsid w:val="00394F86"/>
    <w:rsid w:val="00395380"/>
    <w:rsid w:val="003954D0"/>
    <w:rsid w:val="003957DD"/>
    <w:rsid w:val="003958F8"/>
    <w:rsid w:val="0039596C"/>
    <w:rsid w:val="00395A2D"/>
    <w:rsid w:val="00395B29"/>
    <w:rsid w:val="00395B84"/>
    <w:rsid w:val="00395C8C"/>
    <w:rsid w:val="00395D64"/>
    <w:rsid w:val="00396004"/>
    <w:rsid w:val="00396304"/>
    <w:rsid w:val="003967F3"/>
    <w:rsid w:val="003968A7"/>
    <w:rsid w:val="00396B77"/>
    <w:rsid w:val="00396EA7"/>
    <w:rsid w:val="00396EAF"/>
    <w:rsid w:val="00396EE1"/>
    <w:rsid w:val="00397163"/>
    <w:rsid w:val="0039720F"/>
    <w:rsid w:val="003974B1"/>
    <w:rsid w:val="003975BF"/>
    <w:rsid w:val="0039763A"/>
    <w:rsid w:val="00397698"/>
    <w:rsid w:val="003976FA"/>
    <w:rsid w:val="00397CB0"/>
    <w:rsid w:val="00397E3C"/>
    <w:rsid w:val="00397EB3"/>
    <w:rsid w:val="00397EC4"/>
    <w:rsid w:val="003A0002"/>
    <w:rsid w:val="003A050A"/>
    <w:rsid w:val="003A053F"/>
    <w:rsid w:val="003A0569"/>
    <w:rsid w:val="003A08A8"/>
    <w:rsid w:val="003A0A47"/>
    <w:rsid w:val="003A0A72"/>
    <w:rsid w:val="003A14B6"/>
    <w:rsid w:val="003A15E9"/>
    <w:rsid w:val="003A16A8"/>
    <w:rsid w:val="003A1B50"/>
    <w:rsid w:val="003A1B95"/>
    <w:rsid w:val="003A2010"/>
    <w:rsid w:val="003A211B"/>
    <w:rsid w:val="003A22F4"/>
    <w:rsid w:val="003A237D"/>
    <w:rsid w:val="003A2554"/>
    <w:rsid w:val="003A260B"/>
    <w:rsid w:val="003A27D1"/>
    <w:rsid w:val="003A296D"/>
    <w:rsid w:val="003A2DF5"/>
    <w:rsid w:val="003A333E"/>
    <w:rsid w:val="003A3412"/>
    <w:rsid w:val="003A38DD"/>
    <w:rsid w:val="003A3AAA"/>
    <w:rsid w:val="003A3DF6"/>
    <w:rsid w:val="003A3DF8"/>
    <w:rsid w:val="003A3FCA"/>
    <w:rsid w:val="003A4043"/>
    <w:rsid w:val="003A417A"/>
    <w:rsid w:val="003A422A"/>
    <w:rsid w:val="003A459F"/>
    <w:rsid w:val="003A47B3"/>
    <w:rsid w:val="003A4846"/>
    <w:rsid w:val="003A4977"/>
    <w:rsid w:val="003A4F54"/>
    <w:rsid w:val="003A5232"/>
    <w:rsid w:val="003A545A"/>
    <w:rsid w:val="003A5AE4"/>
    <w:rsid w:val="003A5BCA"/>
    <w:rsid w:val="003A5BF3"/>
    <w:rsid w:val="003A5C62"/>
    <w:rsid w:val="003A5CA7"/>
    <w:rsid w:val="003A60F4"/>
    <w:rsid w:val="003A6174"/>
    <w:rsid w:val="003A63A6"/>
    <w:rsid w:val="003A63D3"/>
    <w:rsid w:val="003A646D"/>
    <w:rsid w:val="003A6AD2"/>
    <w:rsid w:val="003A6D65"/>
    <w:rsid w:val="003A6DA3"/>
    <w:rsid w:val="003A6DB6"/>
    <w:rsid w:val="003A7665"/>
    <w:rsid w:val="003A7769"/>
    <w:rsid w:val="003A79F7"/>
    <w:rsid w:val="003A7BAA"/>
    <w:rsid w:val="003A7E03"/>
    <w:rsid w:val="003A7EA2"/>
    <w:rsid w:val="003A7F0E"/>
    <w:rsid w:val="003A7F2F"/>
    <w:rsid w:val="003B02C8"/>
    <w:rsid w:val="003B0310"/>
    <w:rsid w:val="003B05A6"/>
    <w:rsid w:val="003B0CC8"/>
    <w:rsid w:val="003B0E80"/>
    <w:rsid w:val="003B102C"/>
    <w:rsid w:val="003B10C0"/>
    <w:rsid w:val="003B12DC"/>
    <w:rsid w:val="003B13A6"/>
    <w:rsid w:val="003B13E4"/>
    <w:rsid w:val="003B183B"/>
    <w:rsid w:val="003B1956"/>
    <w:rsid w:val="003B1A80"/>
    <w:rsid w:val="003B1DE7"/>
    <w:rsid w:val="003B1F5D"/>
    <w:rsid w:val="003B221A"/>
    <w:rsid w:val="003B2261"/>
    <w:rsid w:val="003B232F"/>
    <w:rsid w:val="003B235F"/>
    <w:rsid w:val="003B28EF"/>
    <w:rsid w:val="003B2A15"/>
    <w:rsid w:val="003B2AC8"/>
    <w:rsid w:val="003B2AD7"/>
    <w:rsid w:val="003B2E38"/>
    <w:rsid w:val="003B3344"/>
    <w:rsid w:val="003B347C"/>
    <w:rsid w:val="003B3A73"/>
    <w:rsid w:val="003B3BA5"/>
    <w:rsid w:val="003B3C1F"/>
    <w:rsid w:val="003B3E31"/>
    <w:rsid w:val="003B3EA1"/>
    <w:rsid w:val="003B3F28"/>
    <w:rsid w:val="003B4105"/>
    <w:rsid w:val="003B43B2"/>
    <w:rsid w:val="003B48D1"/>
    <w:rsid w:val="003B48F0"/>
    <w:rsid w:val="003B4B7F"/>
    <w:rsid w:val="003B4D9F"/>
    <w:rsid w:val="003B4F46"/>
    <w:rsid w:val="003B51B7"/>
    <w:rsid w:val="003B52C4"/>
    <w:rsid w:val="003B53B0"/>
    <w:rsid w:val="003B53F6"/>
    <w:rsid w:val="003B54F6"/>
    <w:rsid w:val="003B5610"/>
    <w:rsid w:val="003B56C0"/>
    <w:rsid w:val="003B573B"/>
    <w:rsid w:val="003B581E"/>
    <w:rsid w:val="003B5B54"/>
    <w:rsid w:val="003B5CAD"/>
    <w:rsid w:val="003B5CF2"/>
    <w:rsid w:val="003B5DE3"/>
    <w:rsid w:val="003B5E76"/>
    <w:rsid w:val="003B5EB5"/>
    <w:rsid w:val="003B6077"/>
    <w:rsid w:val="003B60E0"/>
    <w:rsid w:val="003B63E3"/>
    <w:rsid w:val="003B663C"/>
    <w:rsid w:val="003B6658"/>
    <w:rsid w:val="003B6703"/>
    <w:rsid w:val="003B6875"/>
    <w:rsid w:val="003B6AB4"/>
    <w:rsid w:val="003B6EEB"/>
    <w:rsid w:val="003B7094"/>
    <w:rsid w:val="003B748A"/>
    <w:rsid w:val="003B75BC"/>
    <w:rsid w:val="003B7736"/>
    <w:rsid w:val="003B775C"/>
    <w:rsid w:val="003B79A8"/>
    <w:rsid w:val="003B7AEB"/>
    <w:rsid w:val="003B7B0E"/>
    <w:rsid w:val="003B7B25"/>
    <w:rsid w:val="003B7C00"/>
    <w:rsid w:val="003B7C64"/>
    <w:rsid w:val="003C00B6"/>
    <w:rsid w:val="003C01B3"/>
    <w:rsid w:val="003C0290"/>
    <w:rsid w:val="003C0A36"/>
    <w:rsid w:val="003C0D6D"/>
    <w:rsid w:val="003C0F29"/>
    <w:rsid w:val="003C0F36"/>
    <w:rsid w:val="003C0FCF"/>
    <w:rsid w:val="003C10F9"/>
    <w:rsid w:val="003C118B"/>
    <w:rsid w:val="003C1495"/>
    <w:rsid w:val="003C167A"/>
    <w:rsid w:val="003C1684"/>
    <w:rsid w:val="003C1832"/>
    <w:rsid w:val="003C1885"/>
    <w:rsid w:val="003C1955"/>
    <w:rsid w:val="003C1AB5"/>
    <w:rsid w:val="003C1ACC"/>
    <w:rsid w:val="003C1B0C"/>
    <w:rsid w:val="003C1B32"/>
    <w:rsid w:val="003C1BBF"/>
    <w:rsid w:val="003C1D84"/>
    <w:rsid w:val="003C1DB3"/>
    <w:rsid w:val="003C1DF8"/>
    <w:rsid w:val="003C1EB2"/>
    <w:rsid w:val="003C2179"/>
    <w:rsid w:val="003C219D"/>
    <w:rsid w:val="003C2290"/>
    <w:rsid w:val="003C22BB"/>
    <w:rsid w:val="003C2620"/>
    <w:rsid w:val="003C28E9"/>
    <w:rsid w:val="003C2940"/>
    <w:rsid w:val="003C2A07"/>
    <w:rsid w:val="003C2B5B"/>
    <w:rsid w:val="003C3149"/>
    <w:rsid w:val="003C31C8"/>
    <w:rsid w:val="003C385E"/>
    <w:rsid w:val="003C3CBD"/>
    <w:rsid w:val="003C3E4F"/>
    <w:rsid w:val="003C3E74"/>
    <w:rsid w:val="003C3E84"/>
    <w:rsid w:val="003C3E93"/>
    <w:rsid w:val="003C3FDC"/>
    <w:rsid w:val="003C400B"/>
    <w:rsid w:val="003C412D"/>
    <w:rsid w:val="003C4529"/>
    <w:rsid w:val="003C48DE"/>
    <w:rsid w:val="003C4BDF"/>
    <w:rsid w:val="003C4E69"/>
    <w:rsid w:val="003C5261"/>
    <w:rsid w:val="003C53AE"/>
    <w:rsid w:val="003C5436"/>
    <w:rsid w:val="003C5926"/>
    <w:rsid w:val="003C59F3"/>
    <w:rsid w:val="003C5A5E"/>
    <w:rsid w:val="003C5A91"/>
    <w:rsid w:val="003C61E7"/>
    <w:rsid w:val="003C62CE"/>
    <w:rsid w:val="003C6359"/>
    <w:rsid w:val="003C6776"/>
    <w:rsid w:val="003C67F1"/>
    <w:rsid w:val="003C68B9"/>
    <w:rsid w:val="003C69A6"/>
    <w:rsid w:val="003C6B7A"/>
    <w:rsid w:val="003C6C86"/>
    <w:rsid w:val="003C6F88"/>
    <w:rsid w:val="003C76D7"/>
    <w:rsid w:val="003C7B04"/>
    <w:rsid w:val="003C7B69"/>
    <w:rsid w:val="003C7EAB"/>
    <w:rsid w:val="003C7FAB"/>
    <w:rsid w:val="003D048A"/>
    <w:rsid w:val="003D0A8B"/>
    <w:rsid w:val="003D0BF7"/>
    <w:rsid w:val="003D0C1F"/>
    <w:rsid w:val="003D0CB8"/>
    <w:rsid w:val="003D0E7B"/>
    <w:rsid w:val="003D132E"/>
    <w:rsid w:val="003D1500"/>
    <w:rsid w:val="003D1679"/>
    <w:rsid w:val="003D1A2B"/>
    <w:rsid w:val="003D1B2D"/>
    <w:rsid w:val="003D1D4C"/>
    <w:rsid w:val="003D1DE1"/>
    <w:rsid w:val="003D1E1C"/>
    <w:rsid w:val="003D2268"/>
    <w:rsid w:val="003D24FD"/>
    <w:rsid w:val="003D2524"/>
    <w:rsid w:val="003D25F6"/>
    <w:rsid w:val="003D2863"/>
    <w:rsid w:val="003D2D19"/>
    <w:rsid w:val="003D2F65"/>
    <w:rsid w:val="003D3143"/>
    <w:rsid w:val="003D314F"/>
    <w:rsid w:val="003D33BA"/>
    <w:rsid w:val="003D33CE"/>
    <w:rsid w:val="003D34C0"/>
    <w:rsid w:val="003D3C59"/>
    <w:rsid w:val="003D3C96"/>
    <w:rsid w:val="003D40A9"/>
    <w:rsid w:val="003D41A1"/>
    <w:rsid w:val="003D41F2"/>
    <w:rsid w:val="003D430B"/>
    <w:rsid w:val="003D44AF"/>
    <w:rsid w:val="003D453B"/>
    <w:rsid w:val="003D4678"/>
    <w:rsid w:val="003D47BC"/>
    <w:rsid w:val="003D495E"/>
    <w:rsid w:val="003D4BA2"/>
    <w:rsid w:val="003D4DFD"/>
    <w:rsid w:val="003D5103"/>
    <w:rsid w:val="003D52FC"/>
    <w:rsid w:val="003D5401"/>
    <w:rsid w:val="003D5982"/>
    <w:rsid w:val="003D5ACF"/>
    <w:rsid w:val="003D5B52"/>
    <w:rsid w:val="003D5C1A"/>
    <w:rsid w:val="003D5EA0"/>
    <w:rsid w:val="003D5F52"/>
    <w:rsid w:val="003D6877"/>
    <w:rsid w:val="003D7026"/>
    <w:rsid w:val="003D72B9"/>
    <w:rsid w:val="003D759F"/>
    <w:rsid w:val="003D7915"/>
    <w:rsid w:val="003D7C53"/>
    <w:rsid w:val="003D7EE1"/>
    <w:rsid w:val="003DA675"/>
    <w:rsid w:val="003E0388"/>
    <w:rsid w:val="003E03D6"/>
    <w:rsid w:val="003E0906"/>
    <w:rsid w:val="003E0A09"/>
    <w:rsid w:val="003E0A13"/>
    <w:rsid w:val="003E0A48"/>
    <w:rsid w:val="003E0B8A"/>
    <w:rsid w:val="003E0C8A"/>
    <w:rsid w:val="003E0DCB"/>
    <w:rsid w:val="003E0FD0"/>
    <w:rsid w:val="003E103A"/>
    <w:rsid w:val="003E11BD"/>
    <w:rsid w:val="003E1231"/>
    <w:rsid w:val="003E14AC"/>
    <w:rsid w:val="003E14E4"/>
    <w:rsid w:val="003E1755"/>
    <w:rsid w:val="003E1BC8"/>
    <w:rsid w:val="003E1E02"/>
    <w:rsid w:val="003E2240"/>
    <w:rsid w:val="003E2640"/>
    <w:rsid w:val="003E287B"/>
    <w:rsid w:val="003E2BC3"/>
    <w:rsid w:val="003E2D32"/>
    <w:rsid w:val="003E3021"/>
    <w:rsid w:val="003E32D9"/>
    <w:rsid w:val="003E33C4"/>
    <w:rsid w:val="003E3CF5"/>
    <w:rsid w:val="003E3F11"/>
    <w:rsid w:val="003E4211"/>
    <w:rsid w:val="003E4447"/>
    <w:rsid w:val="003E44E9"/>
    <w:rsid w:val="003E452C"/>
    <w:rsid w:val="003E46BC"/>
    <w:rsid w:val="003E477F"/>
    <w:rsid w:val="003E4855"/>
    <w:rsid w:val="003E496C"/>
    <w:rsid w:val="003E4A34"/>
    <w:rsid w:val="003E4C80"/>
    <w:rsid w:val="003E4C99"/>
    <w:rsid w:val="003E4E0E"/>
    <w:rsid w:val="003E4F37"/>
    <w:rsid w:val="003E4FE8"/>
    <w:rsid w:val="003E505E"/>
    <w:rsid w:val="003E509B"/>
    <w:rsid w:val="003E528C"/>
    <w:rsid w:val="003E53B0"/>
    <w:rsid w:val="003E55E5"/>
    <w:rsid w:val="003E5709"/>
    <w:rsid w:val="003E5846"/>
    <w:rsid w:val="003E5BE6"/>
    <w:rsid w:val="003E5DA6"/>
    <w:rsid w:val="003E63DC"/>
    <w:rsid w:val="003E6577"/>
    <w:rsid w:val="003E65A4"/>
    <w:rsid w:val="003E671C"/>
    <w:rsid w:val="003E673A"/>
    <w:rsid w:val="003E6866"/>
    <w:rsid w:val="003E6A89"/>
    <w:rsid w:val="003E6C1F"/>
    <w:rsid w:val="003E6CCE"/>
    <w:rsid w:val="003E6FA6"/>
    <w:rsid w:val="003E6FCA"/>
    <w:rsid w:val="003E7385"/>
    <w:rsid w:val="003E751A"/>
    <w:rsid w:val="003E7535"/>
    <w:rsid w:val="003E76B8"/>
    <w:rsid w:val="003E76F4"/>
    <w:rsid w:val="003E7C44"/>
    <w:rsid w:val="003E7CF2"/>
    <w:rsid w:val="003F04D2"/>
    <w:rsid w:val="003F0D6A"/>
    <w:rsid w:val="003F0FD9"/>
    <w:rsid w:val="003F123A"/>
    <w:rsid w:val="003F1270"/>
    <w:rsid w:val="003F128C"/>
    <w:rsid w:val="003F14D5"/>
    <w:rsid w:val="003F1693"/>
    <w:rsid w:val="003F176D"/>
    <w:rsid w:val="003F188E"/>
    <w:rsid w:val="003F1D7A"/>
    <w:rsid w:val="003F1FD4"/>
    <w:rsid w:val="003F218D"/>
    <w:rsid w:val="003F21BA"/>
    <w:rsid w:val="003F252C"/>
    <w:rsid w:val="003F28BD"/>
    <w:rsid w:val="003F2C79"/>
    <w:rsid w:val="003F30EA"/>
    <w:rsid w:val="003F316B"/>
    <w:rsid w:val="003F337C"/>
    <w:rsid w:val="003F33DC"/>
    <w:rsid w:val="003F34CE"/>
    <w:rsid w:val="003F3514"/>
    <w:rsid w:val="003F35F9"/>
    <w:rsid w:val="003F3764"/>
    <w:rsid w:val="003F37B7"/>
    <w:rsid w:val="003F38D3"/>
    <w:rsid w:val="003F3C05"/>
    <w:rsid w:val="003F3CE3"/>
    <w:rsid w:val="003F3F5D"/>
    <w:rsid w:val="003F3F6D"/>
    <w:rsid w:val="003F41ED"/>
    <w:rsid w:val="003F4297"/>
    <w:rsid w:val="003F4592"/>
    <w:rsid w:val="003F4905"/>
    <w:rsid w:val="003F4A14"/>
    <w:rsid w:val="003F4BE5"/>
    <w:rsid w:val="003F507C"/>
    <w:rsid w:val="003F50F5"/>
    <w:rsid w:val="003F524B"/>
    <w:rsid w:val="003F587A"/>
    <w:rsid w:val="003F5A7F"/>
    <w:rsid w:val="003F5B01"/>
    <w:rsid w:val="003F6041"/>
    <w:rsid w:val="003F6106"/>
    <w:rsid w:val="003F6136"/>
    <w:rsid w:val="003F634F"/>
    <w:rsid w:val="003F6381"/>
    <w:rsid w:val="003F655D"/>
    <w:rsid w:val="003F6656"/>
    <w:rsid w:val="003F66D2"/>
    <w:rsid w:val="003F6975"/>
    <w:rsid w:val="003F6B45"/>
    <w:rsid w:val="003F707B"/>
    <w:rsid w:val="003F72CE"/>
    <w:rsid w:val="003F744C"/>
    <w:rsid w:val="003F760D"/>
    <w:rsid w:val="003F77FF"/>
    <w:rsid w:val="003F78A5"/>
    <w:rsid w:val="003F7A0E"/>
    <w:rsid w:val="003F7A29"/>
    <w:rsid w:val="003F7B4B"/>
    <w:rsid w:val="003F7F75"/>
    <w:rsid w:val="004001A9"/>
    <w:rsid w:val="0040029A"/>
    <w:rsid w:val="00400E51"/>
    <w:rsid w:val="00401197"/>
    <w:rsid w:val="00401218"/>
    <w:rsid w:val="004012A0"/>
    <w:rsid w:val="00401378"/>
    <w:rsid w:val="00401666"/>
    <w:rsid w:val="0040173C"/>
    <w:rsid w:val="004017C9"/>
    <w:rsid w:val="00401906"/>
    <w:rsid w:val="00401913"/>
    <w:rsid w:val="004019AF"/>
    <w:rsid w:val="00401C6C"/>
    <w:rsid w:val="00401E15"/>
    <w:rsid w:val="00401EAF"/>
    <w:rsid w:val="0040200B"/>
    <w:rsid w:val="0040219A"/>
    <w:rsid w:val="004022C7"/>
    <w:rsid w:val="00402496"/>
    <w:rsid w:val="00402568"/>
    <w:rsid w:val="00402947"/>
    <w:rsid w:val="00402D25"/>
    <w:rsid w:val="00402F68"/>
    <w:rsid w:val="00402FBA"/>
    <w:rsid w:val="00403065"/>
    <w:rsid w:val="00403599"/>
    <w:rsid w:val="00403D7C"/>
    <w:rsid w:val="00403E07"/>
    <w:rsid w:val="00403E9A"/>
    <w:rsid w:val="00403FDD"/>
    <w:rsid w:val="00403FF7"/>
    <w:rsid w:val="004041C0"/>
    <w:rsid w:val="004043C0"/>
    <w:rsid w:val="00404631"/>
    <w:rsid w:val="004046BA"/>
    <w:rsid w:val="004046CD"/>
    <w:rsid w:val="004049A5"/>
    <w:rsid w:val="00404A98"/>
    <w:rsid w:val="00404AC7"/>
    <w:rsid w:val="00404BF1"/>
    <w:rsid w:val="00404DD0"/>
    <w:rsid w:val="00404E02"/>
    <w:rsid w:val="00404EAD"/>
    <w:rsid w:val="00404F05"/>
    <w:rsid w:val="00404F61"/>
    <w:rsid w:val="004050E2"/>
    <w:rsid w:val="0040512C"/>
    <w:rsid w:val="0040527C"/>
    <w:rsid w:val="004054BB"/>
    <w:rsid w:val="00405592"/>
    <w:rsid w:val="00405767"/>
    <w:rsid w:val="004057CB"/>
    <w:rsid w:val="00405AC8"/>
    <w:rsid w:val="00405BED"/>
    <w:rsid w:val="00405D2A"/>
    <w:rsid w:val="00405D55"/>
    <w:rsid w:val="0040602E"/>
    <w:rsid w:val="00406076"/>
    <w:rsid w:val="004061D0"/>
    <w:rsid w:val="004061DA"/>
    <w:rsid w:val="00406F03"/>
    <w:rsid w:val="0040707F"/>
    <w:rsid w:val="0040718B"/>
    <w:rsid w:val="0040726B"/>
    <w:rsid w:val="004073DB"/>
    <w:rsid w:val="004073F5"/>
    <w:rsid w:val="0040787B"/>
    <w:rsid w:val="00407A52"/>
    <w:rsid w:val="00407AD4"/>
    <w:rsid w:val="00407C59"/>
    <w:rsid w:val="00407CCB"/>
    <w:rsid w:val="00407D2C"/>
    <w:rsid w:val="00407DB3"/>
    <w:rsid w:val="00410186"/>
    <w:rsid w:val="004101D8"/>
    <w:rsid w:val="004103AD"/>
    <w:rsid w:val="00410BD7"/>
    <w:rsid w:val="00410D2F"/>
    <w:rsid w:val="00410D6C"/>
    <w:rsid w:val="004110A8"/>
    <w:rsid w:val="004110D4"/>
    <w:rsid w:val="004112A5"/>
    <w:rsid w:val="00412006"/>
    <w:rsid w:val="0041208F"/>
    <w:rsid w:val="00412090"/>
    <w:rsid w:val="00412308"/>
    <w:rsid w:val="00412985"/>
    <w:rsid w:val="00412ACE"/>
    <w:rsid w:val="00412D9F"/>
    <w:rsid w:val="00412DD1"/>
    <w:rsid w:val="00412F17"/>
    <w:rsid w:val="0041326C"/>
    <w:rsid w:val="004135F3"/>
    <w:rsid w:val="0041365D"/>
    <w:rsid w:val="00413732"/>
    <w:rsid w:val="0041388A"/>
    <w:rsid w:val="004139B2"/>
    <w:rsid w:val="00413A3E"/>
    <w:rsid w:val="00413E85"/>
    <w:rsid w:val="0041420F"/>
    <w:rsid w:val="0041446E"/>
    <w:rsid w:val="004145DC"/>
    <w:rsid w:val="00414797"/>
    <w:rsid w:val="00414BB7"/>
    <w:rsid w:val="00414F00"/>
    <w:rsid w:val="00415085"/>
    <w:rsid w:val="00415306"/>
    <w:rsid w:val="0041532F"/>
    <w:rsid w:val="00415447"/>
    <w:rsid w:val="00415585"/>
    <w:rsid w:val="00415677"/>
    <w:rsid w:val="004157BC"/>
    <w:rsid w:val="00415A09"/>
    <w:rsid w:val="00415B90"/>
    <w:rsid w:val="00415BC4"/>
    <w:rsid w:val="00415D60"/>
    <w:rsid w:val="00415E8D"/>
    <w:rsid w:val="00415F2D"/>
    <w:rsid w:val="00416867"/>
    <w:rsid w:val="00416899"/>
    <w:rsid w:val="004168F5"/>
    <w:rsid w:val="00416A13"/>
    <w:rsid w:val="00416AD2"/>
    <w:rsid w:val="00416BD5"/>
    <w:rsid w:val="00417091"/>
    <w:rsid w:val="0041709B"/>
    <w:rsid w:val="004174E4"/>
    <w:rsid w:val="0041786B"/>
    <w:rsid w:val="004178A8"/>
    <w:rsid w:val="00417D49"/>
    <w:rsid w:val="00417DC0"/>
    <w:rsid w:val="00417E93"/>
    <w:rsid w:val="00417F3C"/>
    <w:rsid w:val="00420812"/>
    <w:rsid w:val="00420DD5"/>
    <w:rsid w:val="00420EEC"/>
    <w:rsid w:val="00420F03"/>
    <w:rsid w:val="00420FB6"/>
    <w:rsid w:val="00420FB9"/>
    <w:rsid w:val="00421140"/>
    <w:rsid w:val="00421461"/>
    <w:rsid w:val="004216FB"/>
    <w:rsid w:val="0042185C"/>
    <w:rsid w:val="00421909"/>
    <w:rsid w:val="0042198D"/>
    <w:rsid w:val="004219F7"/>
    <w:rsid w:val="00421BCE"/>
    <w:rsid w:val="00421BD6"/>
    <w:rsid w:val="00421CBF"/>
    <w:rsid w:val="00421F74"/>
    <w:rsid w:val="0042202D"/>
    <w:rsid w:val="004220AA"/>
    <w:rsid w:val="00422204"/>
    <w:rsid w:val="00422372"/>
    <w:rsid w:val="004225BC"/>
    <w:rsid w:val="004228F1"/>
    <w:rsid w:val="00422A01"/>
    <w:rsid w:val="0042305A"/>
    <w:rsid w:val="004232E3"/>
    <w:rsid w:val="004233C8"/>
    <w:rsid w:val="0042349C"/>
    <w:rsid w:val="00423533"/>
    <w:rsid w:val="0042360D"/>
    <w:rsid w:val="00423B39"/>
    <w:rsid w:val="00423D0A"/>
    <w:rsid w:val="00424100"/>
    <w:rsid w:val="004241B3"/>
    <w:rsid w:val="00424229"/>
    <w:rsid w:val="0042428C"/>
    <w:rsid w:val="00424430"/>
    <w:rsid w:val="00424BDF"/>
    <w:rsid w:val="00424BE4"/>
    <w:rsid w:val="00424D51"/>
    <w:rsid w:val="00424E74"/>
    <w:rsid w:val="00424F7D"/>
    <w:rsid w:val="00425460"/>
    <w:rsid w:val="004254AD"/>
    <w:rsid w:val="004255E9"/>
    <w:rsid w:val="0042560D"/>
    <w:rsid w:val="004257AB"/>
    <w:rsid w:val="00425866"/>
    <w:rsid w:val="00425CE8"/>
    <w:rsid w:val="00425F01"/>
    <w:rsid w:val="00426081"/>
    <w:rsid w:val="0042610E"/>
    <w:rsid w:val="0042663E"/>
    <w:rsid w:val="00426739"/>
    <w:rsid w:val="0042676F"/>
    <w:rsid w:val="00426E7B"/>
    <w:rsid w:val="00427039"/>
    <w:rsid w:val="0042707A"/>
    <w:rsid w:val="004272DC"/>
    <w:rsid w:val="00427333"/>
    <w:rsid w:val="0042768C"/>
    <w:rsid w:val="004279E7"/>
    <w:rsid w:val="00427A32"/>
    <w:rsid w:val="00430011"/>
    <w:rsid w:val="00430023"/>
    <w:rsid w:val="004303C9"/>
    <w:rsid w:val="0043047D"/>
    <w:rsid w:val="00430497"/>
    <w:rsid w:val="004304AF"/>
    <w:rsid w:val="004304DF"/>
    <w:rsid w:val="00430597"/>
    <w:rsid w:val="004306B6"/>
    <w:rsid w:val="004306DA"/>
    <w:rsid w:val="0043083B"/>
    <w:rsid w:val="00430963"/>
    <w:rsid w:val="00430BE8"/>
    <w:rsid w:val="00430F74"/>
    <w:rsid w:val="00430F95"/>
    <w:rsid w:val="00430FA0"/>
    <w:rsid w:val="00431039"/>
    <w:rsid w:val="0043121E"/>
    <w:rsid w:val="0043126F"/>
    <w:rsid w:val="004312C4"/>
    <w:rsid w:val="004314D5"/>
    <w:rsid w:val="00431648"/>
    <w:rsid w:val="00431666"/>
    <w:rsid w:val="00431672"/>
    <w:rsid w:val="0043172E"/>
    <w:rsid w:val="00431890"/>
    <w:rsid w:val="00431E5B"/>
    <w:rsid w:val="00432358"/>
    <w:rsid w:val="0043252D"/>
    <w:rsid w:val="00432556"/>
    <w:rsid w:val="004326B3"/>
    <w:rsid w:val="004327BC"/>
    <w:rsid w:val="004328B7"/>
    <w:rsid w:val="00433133"/>
    <w:rsid w:val="00433191"/>
    <w:rsid w:val="00433307"/>
    <w:rsid w:val="004334E1"/>
    <w:rsid w:val="004335E7"/>
    <w:rsid w:val="00433A5E"/>
    <w:rsid w:val="00433B73"/>
    <w:rsid w:val="00433BB4"/>
    <w:rsid w:val="00433C0D"/>
    <w:rsid w:val="00433C7A"/>
    <w:rsid w:val="00433CCF"/>
    <w:rsid w:val="004340C1"/>
    <w:rsid w:val="004341E5"/>
    <w:rsid w:val="00434340"/>
    <w:rsid w:val="004348E1"/>
    <w:rsid w:val="004348E5"/>
    <w:rsid w:val="00434A98"/>
    <w:rsid w:val="00434B65"/>
    <w:rsid w:val="00434DB3"/>
    <w:rsid w:val="004352B0"/>
    <w:rsid w:val="004352B7"/>
    <w:rsid w:val="004353AB"/>
    <w:rsid w:val="0043552B"/>
    <w:rsid w:val="0043597C"/>
    <w:rsid w:val="00435A7C"/>
    <w:rsid w:val="00435C16"/>
    <w:rsid w:val="00435DA6"/>
    <w:rsid w:val="00435E27"/>
    <w:rsid w:val="00436058"/>
    <w:rsid w:val="0043653C"/>
    <w:rsid w:val="0043675D"/>
    <w:rsid w:val="00436777"/>
    <w:rsid w:val="00436B71"/>
    <w:rsid w:val="00436BA1"/>
    <w:rsid w:val="00436E0E"/>
    <w:rsid w:val="00436E17"/>
    <w:rsid w:val="00436E92"/>
    <w:rsid w:val="0043708A"/>
    <w:rsid w:val="00437277"/>
    <w:rsid w:val="00437345"/>
    <w:rsid w:val="0043734C"/>
    <w:rsid w:val="004374E6"/>
    <w:rsid w:val="00437877"/>
    <w:rsid w:val="00437922"/>
    <w:rsid w:val="00437AF3"/>
    <w:rsid w:val="00437E31"/>
    <w:rsid w:val="00437E45"/>
    <w:rsid w:val="00437F4B"/>
    <w:rsid w:val="00440541"/>
    <w:rsid w:val="00440B73"/>
    <w:rsid w:val="0044123A"/>
    <w:rsid w:val="00441349"/>
    <w:rsid w:val="004418F5"/>
    <w:rsid w:val="00441B99"/>
    <w:rsid w:val="00441FFE"/>
    <w:rsid w:val="00442033"/>
    <w:rsid w:val="004420DD"/>
    <w:rsid w:val="004422E9"/>
    <w:rsid w:val="00442357"/>
    <w:rsid w:val="00442607"/>
    <w:rsid w:val="0044298A"/>
    <w:rsid w:val="00442C6B"/>
    <w:rsid w:val="00442E3B"/>
    <w:rsid w:val="00442EF2"/>
    <w:rsid w:val="0044308E"/>
    <w:rsid w:val="004430E4"/>
    <w:rsid w:val="004430FF"/>
    <w:rsid w:val="0044392E"/>
    <w:rsid w:val="00443F5B"/>
    <w:rsid w:val="0044411E"/>
    <w:rsid w:val="0044433E"/>
    <w:rsid w:val="004444EF"/>
    <w:rsid w:val="00444545"/>
    <w:rsid w:val="004445C1"/>
    <w:rsid w:val="004448F0"/>
    <w:rsid w:val="00444989"/>
    <w:rsid w:val="00444A54"/>
    <w:rsid w:val="00444C93"/>
    <w:rsid w:val="00444EF3"/>
    <w:rsid w:val="00444F07"/>
    <w:rsid w:val="00445157"/>
    <w:rsid w:val="00445685"/>
    <w:rsid w:val="004456B4"/>
    <w:rsid w:val="00445723"/>
    <w:rsid w:val="004457A8"/>
    <w:rsid w:val="004459B8"/>
    <w:rsid w:val="00445F24"/>
    <w:rsid w:val="0044645F"/>
    <w:rsid w:val="004466BC"/>
    <w:rsid w:val="004466CE"/>
    <w:rsid w:val="004467C9"/>
    <w:rsid w:val="00446B2D"/>
    <w:rsid w:val="00446B8A"/>
    <w:rsid w:val="00446D18"/>
    <w:rsid w:val="00446FA3"/>
    <w:rsid w:val="0044717D"/>
    <w:rsid w:val="00447288"/>
    <w:rsid w:val="004472FF"/>
    <w:rsid w:val="004473B0"/>
    <w:rsid w:val="004476BE"/>
    <w:rsid w:val="00447A88"/>
    <w:rsid w:val="00447B52"/>
    <w:rsid w:val="00447EEE"/>
    <w:rsid w:val="00447FEA"/>
    <w:rsid w:val="0045019A"/>
    <w:rsid w:val="004501F1"/>
    <w:rsid w:val="00450270"/>
    <w:rsid w:val="00450582"/>
    <w:rsid w:val="004506BA"/>
    <w:rsid w:val="00450CAA"/>
    <w:rsid w:val="00451005"/>
    <w:rsid w:val="00451073"/>
    <w:rsid w:val="00451436"/>
    <w:rsid w:val="004515FC"/>
    <w:rsid w:val="00451828"/>
    <w:rsid w:val="00451872"/>
    <w:rsid w:val="004518E7"/>
    <w:rsid w:val="00451ACD"/>
    <w:rsid w:val="00451C30"/>
    <w:rsid w:val="00451F1F"/>
    <w:rsid w:val="00452367"/>
    <w:rsid w:val="004529B0"/>
    <w:rsid w:val="00452B72"/>
    <w:rsid w:val="00452C9B"/>
    <w:rsid w:val="00452EC2"/>
    <w:rsid w:val="0045305C"/>
    <w:rsid w:val="004535C9"/>
    <w:rsid w:val="004538B5"/>
    <w:rsid w:val="00453953"/>
    <w:rsid w:val="004539C5"/>
    <w:rsid w:val="00453BE2"/>
    <w:rsid w:val="00453E87"/>
    <w:rsid w:val="00453EF3"/>
    <w:rsid w:val="00454376"/>
    <w:rsid w:val="004543B9"/>
    <w:rsid w:val="00454439"/>
    <w:rsid w:val="004545CA"/>
    <w:rsid w:val="004546C9"/>
    <w:rsid w:val="00454884"/>
    <w:rsid w:val="00454890"/>
    <w:rsid w:val="00454FC7"/>
    <w:rsid w:val="00454FCB"/>
    <w:rsid w:val="00455192"/>
    <w:rsid w:val="004551E1"/>
    <w:rsid w:val="004551FB"/>
    <w:rsid w:val="004553AE"/>
    <w:rsid w:val="004555D2"/>
    <w:rsid w:val="0045591C"/>
    <w:rsid w:val="00455B0C"/>
    <w:rsid w:val="00455DFE"/>
    <w:rsid w:val="00455E3A"/>
    <w:rsid w:val="004563FF"/>
    <w:rsid w:val="004565EA"/>
    <w:rsid w:val="0045662A"/>
    <w:rsid w:val="004567D7"/>
    <w:rsid w:val="00456882"/>
    <w:rsid w:val="004568C8"/>
    <w:rsid w:val="00456CF1"/>
    <w:rsid w:val="00456DC1"/>
    <w:rsid w:val="00457022"/>
    <w:rsid w:val="0045714D"/>
    <w:rsid w:val="0045761A"/>
    <w:rsid w:val="0045767D"/>
    <w:rsid w:val="004578EC"/>
    <w:rsid w:val="00457A65"/>
    <w:rsid w:val="00457CB9"/>
    <w:rsid w:val="00457D02"/>
    <w:rsid w:val="00457F03"/>
    <w:rsid w:val="00458497"/>
    <w:rsid w:val="00460201"/>
    <w:rsid w:val="0046021B"/>
    <w:rsid w:val="0046069C"/>
    <w:rsid w:val="0046136C"/>
    <w:rsid w:val="0046143F"/>
    <w:rsid w:val="00461783"/>
    <w:rsid w:val="0046199B"/>
    <w:rsid w:val="00461C2C"/>
    <w:rsid w:val="00461EA7"/>
    <w:rsid w:val="0046208E"/>
    <w:rsid w:val="0046229B"/>
    <w:rsid w:val="0046252D"/>
    <w:rsid w:val="004629B9"/>
    <w:rsid w:val="00462CD5"/>
    <w:rsid w:val="00462E18"/>
    <w:rsid w:val="00463151"/>
    <w:rsid w:val="00463D26"/>
    <w:rsid w:val="00463F22"/>
    <w:rsid w:val="00463F9E"/>
    <w:rsid w:val="00464151"/>
    <w:rsid w:val="0046436D"/>
    <w:rsid w:val="00464393"/>
    <w:rsid w:val="00464414"/>
    <w:rsid w:val="00464466"/>
    <w:rsid w:val="0046477A"/>
    <w:rsid w:val="00464F5A"/>
    <w:rsid w:val="004650B1"/>
    <w:rsid w:val="004651B5"/>
    <w:rsid w:val="0046522E"/>
    <w:rsid w:val="0046525A"/>
    <w:rsid w:val="004655DA"/>
    <w:rsid w:val="004656BD"/>
    <w:rsid w:val="00465825"/>
    <w:rsid w:val="0046588E"/>
    <w:rsid w:val="004658C6"/>
    <w:rsid w:val="0046591B"/>
    <w:rsid w:val="004659E1"/>
    <w:rsid w:val="00465B69"/>
    <w:rsid w:val="00465B9B"/>
    <w:rsid w:val="00465C1A"/>
    <w:rsid w:val="00465CBF"/>
    <w:rsid w:val="00465D3D"/>
    <w:rsid w:val="00465F2C"/>
    <w:rsid w:val="004660A9"/>
    <w:rsid w:val="00466392"/>
    <w:rsid w:val="004665F0"/>
    <w:rsid w:val="0046683E"/>
    <w:rsid w:val="00466928"/>
    <w:rsid w:val="00466A1C"/>
    <w:rsid w:val="00466CC1"/>
    <w:rsid w:val="00466D6A"/>
    <w:rsid w:val="00467112"/>
    <w:rsid w:val="0046713F"/>
    <w:rsid w:val="00467159"/>
    <w:rsid w:val="00467294"/>
    <w:rsid w:val="004674A0"/>
    <w:rsid w:val="004675FA"/>
    <w:rsid w:val="00467670"/>
    <w:rsid w:val="004679EA"/>
    <w:rsid w:val="00467A9D"/>
    <w:rsid w:val="00467C01"/>
    <w:rsid w:val="00467C3F"/>
    <w:rsid w:val="00467D50"/>
    <w:rsid w:val="00467DD6"/>
    <w:rsid w:val="004700B4"/>
    <w:rsid w:val="0047024C"/>
    <w:rsid w:val="00470285"/>
    <w:rsid w:val="00470329"/>
    <w:rsid w:val="004705BA"/>
    <w:rsid w:val="00470A1A"/>
    <w:rsid w:val="00470CFC"/>
    <w:rsid w:val="00470E6B"/>
    <w:rsid w:val="00470EFF"/>
    <w:rsid w:val="004711C3"/>
    <w:rsid w:val="00471434"/>
    <w:rsid w:val="00471487"/>
    <w:rsid w:val="004714CA"/>
    <w:rsid w:val="004716AE"/>
    <w:rsid w:val="004716FB"/>
    <w:rsid w:val="00471B8F"/>
    <w:rsid w:val="00471D9C"/>
    <w:rsid w:val="00471E7C"/>
    <w:rsid w:val="004720A3"/>
    <w:rsid w:val="004721AC"/>
    <w:rsid w:val="00472293"/>
    <w:rsid w:val="004727F7"/>
    <w:rsid w:val="00472D7C"/>
    <w:rsid w:val="004731AD"/>
    <w:rsid w:val="00473219"/>
    <w:rsid w:val="0047371C"/>
    <w:rsid w:val="00473C23"/>
    <w:rsid w:val="00473C30"/>
    <w:rsid w:val="00473EDE"/>
    <w:rsid w:val="00473F64"/>
    <w:rsid w:val="004740B5"/>
    <w:rsid w:val="00474379"/>
    <w:rsid w:val="00474A7B"/>
    <w:rsid w:val="00474B92"/>
    <w:rsid w:val="00474BC1"/>
    <w:rsid w:val="00474E8C"/>
    <w:rsid w:val="00474ED3"/>
    <w:rsid w:val="00475318"/>
    <w:rsid w:val="0047572D"/>
    <w:rsid w:val="004758FC"/>
    <w:rsid w:val="00475B0E"/>
    <w:rsid w:val="00476262"/>
    <w:rsid w:val="0047690B"/>
    <w:rsid w:val="00476AE1"/>
    <w:rsid w:val="00476BB6"/>
    <w:rsid w:val="00476E47"/>
    <w:rsid w:val="00476FA9"/>
    <w:rsid w:val="0047701A"/>
    <w:rsid w:val="00477254"/>
    <w:rsid w:val="004772C5"/>
    <w:rsid w:val="0047762A"/>
    <w:rsid w:val="004779D4"/>
    <w:rsid w:val="00477A9C"/>
    <w:rsid w:val="00477E4C"/>
    <w:rsid w:val="004800AE"/>
    <w:rsid w:val="0048059F"/>
    <w:rsid w:val="004807B6"/>
    <w:rsid w:val="00480B46"/>
    <w:rsid w:val="00480D27"/>
    <w:rsid w:val="00480FD2"/>
    <w:rsid w:val="004812D4"/>
    <w:rsid w:val="004815F9"/>
    <w:rsid w:val="00481979"/>
    <w:rsid w:val="00481A0D"/>
    <w:rsid w:val="00482ACA"/>
    <w:rsid w:val="00482B2A"/>
    <w:rsid w:val="00482B99"/>
    <w:rsid w:val="00482CB3"/>
    <w:rsid w:val="00482CE8"/>
    <w:rsid w:val="00482D1C"/>
    <w:rsid w:val="00483636"/>
    <w:rsid w:val="0048370A"/>
    <w:rsid w:val="00483AF4"/>
    <w:rsid w:val="00483B5D"/>
    <w:rsid w:val="00483C3D"/>
    <w:rsid w:val="00483C8D"/>
    <w:rsid w:val="00483D8A"/>
    <w:rsid w:val="00483E3E"/>
    <w:rsid w:val="00484002"/>
    <w:rsid w:val="00484110"/>
    <w:rsid w:val="00484357"/>
    <w:rsid w:val="004845AA"/>
    <w:rsid w:val="00484974"/>
    <w:rsid w:val="00484A1B"/>
    <w:rsid w:val="00484B05"/>
    <w:rsid w:val="00484C31"/>
    <w:rsid w:val="00484D86"/>
    <w:rsid w:val="00484D9D"/>
    <w:rsid w:val="00484E6E"/>
    <w:rsid w:val="00484EF4"/>
    <w:rsid w:val="00484F31"/>
    <w:rsid w:val="00484FF3"/>
    <w:rsid w:val="0048516F"/>
    <w:rsid w:val="004851AA"/>
    <w:rsid w:val="00485265"/>
    <w:rsid w:val="0048543D"/>
    <w:rsid w:val="00485503"/>
    <w:rsid w:val="0048569D"/>
    <w:rsid w:val="00485C4E"/>
    <w:rsid w:val="00485F6C"/>
    <w:rsid w:val="0048605D"/>
    <w:rsid w:val="004863F4"/>
    <w:rsid w:val="0048644F"/>
    <w:rsid w:val="004864B0"/>
    <w:rsid w:val="0048663E"/>
    <w:rsid w:val="00486760"/>
    <w:rsid w:val="0048690A"/>
    <w:rsid w:val="00486B45"/>
    <w:rsid w:val="00486BFD"/>
    <w:rsid w:val="00486CB7"/>
    <w:rsid w:val="00486CD0"/>
    <w:rsid w:val="00486EBE"/>
    <w:rsid w:val="004874A8"/>
    <w:rsid w:val="00487A38"/>
    <w:rsid w:val="00487A44"/>
    <w:rsid w:val="00487CC2"/>
    <w:rsid w:val="0048B0E7"/>
    <w:rsid w:val="00490138"/>
    <w:rsid w:val="00490941"/>
    <w:rsid w:val="00490A5A"/>
    <w:rsid w:val="00490A98"/>
    <w:rsid w:val="00490C29"/>
    <w:rsid w:val="00490C3F"/>
    <w:rsid w:val="00490DD2"/>
    <w:rsid w:val="00490FFD"/>
    <w:rsid w:val="0049143A"/>
    <w:rsid w:val="004915D1"/>
    <w:rsid w:val="00491BC6"/>
    <w:rsid w:val="00491CF7"/>
    <w:rsid w:val="00491CFA"/>
    <w:rsid w:val="004920CE"/>
    <w:rsid w:val="004920E9"/>
    <w:rsid w:val="00492235"/>
    <w:rsid w:val="004923D7"/>
    <w:rsid w:val="004927E5"/>
    <w:rsid w:val="00492908"/>
    <w:rsid w:val="0049298A"/>
    <w:rsid w:val="004929FB"/>
    <w:rsid w:val="00492A1A"/>
    <w:rsid w:val="00492B3A"/>
    <w:rsid w:val="00492DB7"/>
    <w:rsid w:val="00492E2E"/>
    <w:rsid w:val="00492E75"/>
    <w:rsid w:val="00492EF6"/>
    <w:rsid w:val="00493524"/>
    <w:rsid w:val="0049356F"/>
    <w:rsid w:val="004936AB"/>
    <w:rsid w:val="004936F9"/>
    <w:rsid w:val="00493851"/>
    <w:rsid w:val="00493A4D"/>
    <w:rsid w:val="00493B57"/>
    <w:rsid w:val="00493D0F"/>
    <w:rsid w:val="00493D6F"/>
    <w:rsid w:val="00493F03"/>
    <w:rsid w:val="00494030"/>
    <w:rsid w:val="00494338"/>
    <w:rsid w:val="0049453B"/>
    <w:rsid w:val="00494816"/>
    <w:rsid w:val="00494889"/>
    <w:rsid w:val="00494A30"/>
    <w:rsid w:val="00494B96"/>
    <w:rsid w:val="00494BD4"/>
    <w:rsid w:val="00494CAF"/>
    <w:rsid w:val="00494F78"/>
    <w:rsid w:val="00495175"/>
    <w:rsid w:val="0049524E"/>
    <w:rsid w:val="00495327"/>
    <w:rsid w:val="004954F4"/>
    <w:rsid w:val="00495542"/>
    <w:rsid w:val="004958DC"/>
    <w:rsid w:val="004959BA"/>
    <w:rsid w:val="00495A3E"/>
    <w:rsid w:val="00495A6F"/>
    <w:rsid w:val="00495B29"/>
    <w:rsid w:val="00495C30"/>
    <w:rsid w:val="00495E3F"/>
    <w:rsid w:val="0049601F"/>
    <w:rsid w:val="0049602D"/>
    <w:rsid w:val="004960EC"/>
    <w:rsid w:val="0049619D"/>
    <w:rsid w:val="0049665A"/>
    <w:rsid w:val="004967D2"/>
    <w:rsid w:val="00496A37"/>
    <w:rsid w:val="00496BC7"/>
    <w:rsid w:val="00496EF0"/>
    <w:rsid w:val="0049719C"/>
    <w:rsid w:val="004971AB"/>
    <w:rsid w:val="004975D6"/>
    <w:rsid w:val="004976A6"/>
    <w:rsid w:val="0049773C"/>
    <w:rsid w:val="00497807"/>
    <w:rsid w:val="00497AA4"/>
    <w:rsid w:val="00497E30"/>
    <w:rsid w:val="00497ED3"/>
    <w:rsid w:val="004A00A1"/>
    <w:rsid w:val="004A013B"/>
    <w:rsid w:val="004A03FC"/>
    <w:rsid w:val="004A05CF"/>
    <w:rsid w:val="004A0714"/>
    <w:rsid w:val="004A09F7"/>
    <w:rsid w:val="004A0A1E"/>
    <w:rsid w:val="004A11D5"/>
    <w:rsid w:val="004A1240"/>
    <w:rsid w:val="004A1368"/>
    <w:rsid w:val="004A13C2"/>
    <w:rsid w:val="004A14EF"/>
    <w:rsid w:val="004A1553"/>
    <w:rsid w:val="004A1627"/>
    <w:rsid w:val="004A17B1"/>
    <w:rsid w:val="004A1A37"/>
    <w:rsid w:val="004A1A48"/>
    <w:rsid w:val="004A1BA6"/>
    <w:rsid w:val="004A1CF7"/>
    <w:rsid w:val="004A1D09"/>
    <w:rsid w:val="004A2170"/>
    <w:rsid w:val="004A264E"/>
    <w:rsid w:val="004A2724"/>
    <w:rsid w:val="004A2837"/>
    <w:rsid w:val="004A296E"/>
    <w:rsid w:val="004A29E5"/>
    <w:rsid w:val="004A3176"/>
    <w:rsid w:val="004A32E2"/>
    <w:rsid w:val="004A3345"/>
    <w:rsid w:val="004A3537"/>
    <w:rsid w:val="004A3A09"/>
    <w:rsid w:val="004A4114"/>
    <w:rsid w:val="004A4203"/>
    <w:rsid w:val="004A4447"/>
    <w:rsid w:val="004A467C"/>
    <w:rsid w:val="004A4973"/>
    <w:rsid w:val="004A4A31"/>
    <w:rsid w:val="004A4D11"/>
    <w:rsid w:val="004A4FE8"/>
    <w:rsid w:val="004A5072"/>
    <w:rsid w:val="004A516E"/>
    <w:rsid w:val="004A530A"/>
    <w:rsid w:val="004A5362"/>
    <w:rsid w:val="004A57A2"/>
    <w:rsid w:val="004A5A1D"/>
    <w:rsid w:val="004A5C9C"/>
    <w:rsid w:val="004A64FF"/>
    <w:rsid w:val="004A654C"/>
    <w:rsid w:val="004A65F8"/>
    <w:rsid w:val="004A66EF"/>
    <w:rsid w:val="004A6724"/>
    <w:rsid w:val="004A6875"/>
    <w:rsid w:val="004A69DE"/>
    <w:rsid w:val="004A6AE3"/>
    <w:rsid w:val="004A6B36"/>
    <w:rsid w:val="004A6CEF"/>
    <w:rsid w:val="004A6D0D"/>
    <w:rsid w:val="004A6F14"/>
    <w:rsid w:val="004A700D"/>
    <w:rsid w:val="004A709F"/>
    <w:rsid w:val="004A71D0"/>
    <w:rsid w:val="004A772C"/>
    <w:rsid w:val="004A796D"/>
    <w:rsid w:val="004A7A2A"/>
    <w:rsid w:val="004A7A31"/>
    <w:rsid w:val="004A7D6D"/>
    <w:rsid w:val="004A7E55"/>
    <w:rsid w:val="004B0028"/>
    <w:rsid w:val="004B0128"/>
    <w:rsid w:val="004B024E"/>
    <w:rsid w:val="004B0278"/>
    <w:rsid w:val="004B0465"/>
    <w:rsid w:val="004B0561"/>
    <w:rsid w:val="004B05C5"/>
    <w:rsid w:val="004B0684"/>
    <w:rsid w:val="004B0742"/>
    <w:rsid w:val="004B07A5"/>
    <w:rsid w:val="004B0BA9"/>
    <w:rsid w:val="004B0D4F"/>
    <w:rsid w:val="004B0F53"/>
    <w:rsid w:val="004B1073"/>
    <w:rsid w:val="004B10DE"/>
    <w:rsid w:val="004B120F"/>
    <w:rsid w:val="004B1394"/>
    <w:rsid w:val="004B14C6"/>
    <w:rsid w:val="004B1640"/>
    <w:rsid w:val="004B16A3"/>
    <w:rsid w:val="004B1886"/>
    <w:rsid w:val="004B1A49"/>
    <w:rsid w:val="004B1C56"/>
    <w:rsid w:val="004B1F2A"/>
    <w:rsid w:val="004B2711"/>
    <w:rsid w:val="004B2712"/>
    <w:rsid w:val="004B2C92"/>
    <w:rsid w:val="004B32C9"/>
    <w:rsid w:val="004B34BA"/>
    <w:rsid w:val="004B36BB"/>
    <w:rsid w:val="004B38B9"/>
    <w:rsid w:val="004B3920"/>
    <w:rsid w:val="004B3FD4"/>
    <w:rsid w:val="004B45FD"/>
    <w:rsid w:val="004B4813"/>
    <w:rsid w:val="004B4A55"/>
    <w:rsid w:val="004B4C98"/>
    <w:rsid w:val="004B4CA6"/>
    <w:rsid w:val="004B5179"/>
    <w:rsid w:val="004B56CF"/>
    <w:rsid w:val="004B57BB"/>
    <w:rsid w:val="004B581C"/>
    <w:rsid w:val="004B5937"/>
    <w:rsid w:val="004B5BB8"/>
    <w:rsid w:val="004B5D7D"/>
    <w:rsid w:val="004B5E55"/>
    <w:rsid w:val="004B5E74"/>
    <w:rsid w:val="004B60EA"/>
    <w:rsid w:val="004B626C"/>
    <w:rsid w:val="004B634B"/>
    <w:rsid w:val="004B6529"/>
    <w:rsid w:val="004B695E"/>
    <w:rsid w:val="004B6AEE"/>
    <w:rsid w:val="004B6BA3"/>
    <w:rsid w:val="004B6C3A"/>
    <w:rsid w:val="004B6F0C"/>
    <w:rsid w:val="004B6FA5"/>
    <w:rsid w:val="004B7057"/>
    <w:rsid w:val="004B7069"/>
    <w:rsid w:val="004B7345"/>
    <w:rsid w:val="004B7A95"/>
    <w:rsid w:val="004B7C3C"/>
    <w:rsid w:val="004B7EED"/>
    <w:rsid w:val="004C008F"/>
    <w:rsid w:val="004C01FE"/>
    <w:rsid w:val="004C02FD"/>
    <w:rsid w:val="004C03EB"/>
    <w:rsid w:val="004C071F"/>
    <w:rsid w:val="004C085E"/>
    <w:rsid w:val="004C0A77"/>
    <w:rsid w:val="004C0F00"/>
    <w:rsid w:val="004C11E8"/>
    <w:rsid w:val="004C1399"/>
    <w:rsid w:val="004C1716"/>
    <w:rsid w:val="004C1A86"/>
    <w:rsid w:val="004C21D3"/>
    <w:rsid w:val="004C2701"/>
    <w:rsid w:val="004C2F49"/>
    <w:rsid w:val="004C3048"/>
    <w:rsid w:val="004C32DE"/>
    <w:rsid w:val="004C3430"/>
    <w:rsid w:val="004C3604"/>
    <w:rsid w:val="004C371D"/>
    <w:rsid w:val="004C38D8"/>
    <w:rsid w:val="004C3A4B"/>
    <w:rsid w:val="004C3CE0"/>
    <w:rsid w:val="004C3D02"/>
    <w:rsid w:val="004C3D6D"/>
    <w:rsid w:val="004C4144"/>
    <w:rsid w:val="004C4300"/>
    <w:rsid w:val="004C43C3"/>
    <w:rsid w:val="004C457F"/>
    <w:rsid w:val="004C45BB"/>
    <w:rsid w:val="004C47FC"/>
    <w:rsid w:val="004C4998"/>
    <w:rsid w:val="004C49FB"/>
    <w:rsid w:val="004C4BFF"/>
    <w:rsid w:val="004C4E8D"/>
    <w:rsid w:val="004C4F08"/>
    <w:rsid w:val="004C5256"/>
    <w:rsid w:val="004C5394"/>
    <w:rsid w:val="004C56A1"/>
    <w:rsid w:val="004C5830"/>
    <w:rsid w:val="004C5DA2"/>
    <w:rsid w:val="004C5E1F"/>
    <w:rsid w:val="004C60D9"/>
    <w:rsid w:val="004C613F"/>
    <w:rsid w:val="004C6639"/>
    <w:rsid w:val="004C66F7"/>
    <w:rsid w:val="004C66FC"/>
    <w:rsid w:val="004C6734"/>
    <w:rsid w:val="004C67F4"/>
    <w:rsid w:val="004C68AF"/>
    <w:rsid w:val="004C6B27"/>
    <w:rsid w:val="004C6CCC"/>
    <w:rsid w:val="004C6D68"/>
    <w:rsid w:val="004C7105"/>
    <w:rsid w:val="004C7279"/>
    <w:rsid w:val="004C750B"/>
    <w:rsid w:val="004C760A"/>
    <w:rsid w:val="004C768A"/>
    <w:rsid w:val="004C7729"/>
    <w:rsid w:val="004C7AF6"/>
    <w:rsid w:val="004C7D01"/>
    <w:rsid w:val="004D0576"/>
    <w:rsid w:val="004D0687"/>
    <w:rsid w:val="004D08F4"/>
    <w:rsid w:val="004D09C3"/>
    <w:rsid w:val="004D0C93"/>
    <w:rsid w:val="004D0F8C"/>
    <w:rsid w:val="004D108C"/>
    <w:rsid w:val="004D12E1"/>
    <w:rsid w:val="004D1981"/>
    <w:rsid w:val="004D1988"/>
    <w:rsid w:val="004D19E7"/>
    <w:rsid w:val="004D1E10"/>
    <w:rsid w:val="004D1E85"/>
    <w:rsid w:val="004D1EC5"/>
    <w:rsid w:val="004D2184"/>
    <w:rsid w:val="004D220D"/>
    <w:rsid w:val="004D24CB"/>
    <w:rsid w:val="004D24CC"/>
    <w:rsid w:val="004D2567"/>
    <w:rsid w:val="004D25EF"/>
    <w:rsid w:val="004D27C4"/>
    <w:rsid w:val="004D2886"/>
    <w:rsid w:val="004D28A1"/>
    <w:rsid w:val="004D2CF3"/>
    <w:rsid w:val="004D31BE"/>
    <w:rsid w:val="004D3580"/>
    <w:rsid w:val="004D3879"/>
    <w:rsid w:val="004D3980"/>
    <w:rsid w:val="004D3BAA"/>
    <w:rsid w:val="004D410C"/>
    <w:rsid w:val="004D41A6"/>
    <w:rsid w:val="004D42F4"/>
    <w:rsid w:val="004D44C1"/>
    <w:rsid w:val="004D45E2"/>
    <w:rsid w:val="004D4800"/>
    <w:rsid w:val="004D4D70"/>
    <w:rsid w:val="004D4F01"/>
    <w:rsid w:val="004D568E"/>
    <w:rsid w:val="004D58F7"/>
    <w:rsid w:val="004D5972"/>
    <w:rsid w:val="004D59FC"/>
    <w:rsid w:val="004D5BDA"/>
    <w:rsid w:val="004D5EB9"/>
    <w:rsid w:val="004D5FE5"/>
    <w:rsid w:val="004D63BC"/>
    <w:rsid w:val="004D65B1"/>
    <w:rsid w:val="004D6620"/>
    <w:rsid w:val="004D66EE"/>
    <w:rsid w:val="004D6814"/>
    <w:rsid w:val="004D6849"/>
    <w:rsid w:val="004D6996"/>
    <w:rsid w:val="004D6A8B"/>
    <w:rsid w:val="004D6B78"/>
    <w:rsid w:val="004D6F13"/>
    <w:rsid w:val="004D7CB7"/>
    <w:rsid w:val="004D7D29"/>
    <w:rsid w:val="004D7DC3"/>
    <w:rsid w:val="004D7E52"/>
    <w:rsid w:val="004D7FFD"/>
    <w:rsid w:val="004E0117"/>
    <w:rsid w:val="004E0144"/>
    <w:rsid w:val="004E025E"/>
    <w:rsid w:val="004E032E"/>
    <w:rsid w:val="004E033D"/>
    <w:rsid w:val="004E0387"/>
    <w:rsid w:val="004E06DC"/>
    <w:rsid w:val="004E083D"/>
    <w:rsid w:val="004E0958"/>
    <w:rsid w:val="004E0A67"/>
    <w:rsid w:val="004E0AC4"/>
    <w:rsid w:val="004E0B05"/>
    <w:rsid w:val="004E0CDD"/>
    <w:rsid w:val="004E1051"/>
    <w:rsid w:val="004E12A4"/>
    <w:rsid w:val="004E12FD"/>
    <w:rsid w:val="004E13AA"/>
    <w:rsid w:val="004E1436"/>
    <w:rsid w:val="004E16AF"/>
    <w:rsid w:val="004E1AA1"/>
    <w:rsid w:val="004E2515"/>
    <w:rsid w:val="004E26FD"/>
    <w:rsid w:val="004E274B"/>
    <w:rsid w:val="004E2BC5"/>
    <w:rsid w:val="004E2D55"/>
    <w:rsid w:val="004E2D98"/>
    <w:rsid w:val="004E2E6F"/>
    <w:rsid w:val="004E30EE"/>
    <w:rsid w:val="004E313B"/>
    <w:rsid w:val="004E31AE"/>
    <w:rsid w:val="004E32F7"/>
    <w:rsid w:val="004E33A0"/>
    <w:rsid w:val="004E369A"/>
    <w:rsid w:val="004E3751"/>
    <w:rsid w:val="004E39C7"/>
    <w:rsid w:val="004E4059"/>
    <w:rsid w:val="004E43FA"/>
    <w:rsid w:val="004E4607"/>
    <w:rsid w:val="004E48EE"/>
    <w:rsid w:val="004E4944"/>
    <w:rsid w:val="004E4ABC"/>
    <w:rsid w:val="004E4B51"/>
    <w:rsid w:val="004E4DDB"/>
    <w:rsid w:val="004E4E41"/>
    <w:rsid w:val="004E4F07"/>
    <w:rsid w:val="004E5073"/>
    <w:rsid w:val="004E5458"/>
    <w:rsid w:val="004E54EE"/>
    <w:rsid w:val="004E59A4"/>
    <w:rsid w:val="004E5D63"/>
    <w:rsid w:val="004E62AF"/>
    <w:rsid w:val="004E6321"/>
    <w:rsid w:val="004E63B6"/>
    <w:rsid w:val="004E6729"/>
    <w:rsid w:val="004E6804"/>
    <w:rsid w:val="004E68CF"/>
    <w:rsid w:val="004E6D82"/>
    <w:rsid w:val="004E6E2A"/>
    <w:rsid w:val="004E6E9A"/>
    <w:rsid w:val="004E6EDA"/>
    <w:rsid w:val="004E7048"/>
    <w:rsid w:val="004E7079"/>
    <w:rsid w:val="004E71D4"/>
    <w:rsid w:val="004E77C5"/>
    <w:rsid w:val="004E7919"/>
    <w:rsid w:val="004E7E05"/>
    <w:rsid w:val="004E7F72"/>
    <w:rsid w:val="004F0014"/>
    <w:rsid w:val="004F0687"/>
    <w:rsid w:val="004F076D"/>
    <w:rsid w:val="004F07CD"/>
    <w:rsid w:val="004F0B0E"/>
    <w:rsid w:val="004F0C34"/>
    <w:rsid w:val="004F0EF4"/>
    <w:rsid w:val="004F121C"/>
    <w:rsid w:val="004F15EF"/>
    <w:rsid w:val="004F17CD"/>
    <w:rsid w:val="004F212D"/>
    <w:rsid w:val="004F21F9"/>
    <w:rsid w:val="004F2313"/>
    <w:rsid w:val="004F263D"/>
    <w:rsid w:val="004F2650"/>
    <w:rsid w:val="004F27EE"/>
    <w:rsid w:val="004F2B55"/>
    <w:rsid w:val="004F2BD7"/>
    <w:rsid w:val="004F2CCF"/>
    <w:rsid w:val="004F2FB4"/>
    <w:rsid w:val="004F32AA"/>
    <w:rsid w:val="004F376E"/>
    <w:rsid w:val="004F3D17"/>
    <w:rsid w:val="004F3FFF"/>
    <w:rsid w:val="004F40AC"/>
    <w:rsid w:val="004F40D0"/>
    <w:rsid w:val="004F4109"/>
    <w:rsid w:val="004F4CD8"/>
    <w:rsid w:val="004F4D81"/>
    <w:rsid w:val="004F4DE4"/>
    <w:rsid w:val="004F4E89"/>
    <w:rsid w:val="004F553D"/>
    <w:rsid w:val="004F55F6"/>
    <w:rsid w:val="004F5736"/>
    <w:rsid w:val="004F58C3"/>
    <w:rsid w:val="004F58DE"/>
    <w:rsid w:val="004F58F9"/>
    <w:rsid w:val="004F5A1D"/>
    <w:rsid w:val="004F5BC3"/>
    <w:rsid w:val="004F5BFF"/>
    <w:rsid w:val="004F5DAA"/>
    <w:rsid w:val="004F5EB7"/>
    <w:rsid w:val="004F5F01"/>
    <w:rsid w:val="004F617A"/>
    <w:rsid w:val="004F619F"/>
    <w:rsid w:val="004F680C"/>
    <w:rsid w:val="004F6CC0"/>
    <w:rsid w:val="004F6DBB"/>
    <w:rsid w:val="004F6E3E"/>
    <w:rsid w:val="004F6FB8"/>
    <w:rsid w:val="004F6FC1"/>
    <w:rsid w:val="004F7081"/>
    <w:rsid w:val="004F73CA"/>
    <w:rsid w:val="004F74BC"/>
    <w:rsid w:val="004F7638"/>
    <w:rsid w:val="004F79EE"/>
    <w:rsid w:val="004F7AC7"/>
    <w:rsid w:val="004F7E8A"/>
    <w:rsid w:val="00500009"/>
    <w:rsid w:val="0050026A"/>
    <w:rsid w:val="00500325"/>
    <w:rsid w:val="0050033E"/>
    <w:rsid w:val="0050055D"/>
    <w:rsid w:val="005005F2"/>
    <w:rsid w:val="00500809"/>
    <w:rsid w:val="00500B47"/>
    <w:rsid w:val="00500E80"/>
    <w:rsid w:val="0050100F"/>
    <w:rsid w:val="00501B72"/>
    <w:rsid w:val="00501DF1"/>
    <w:rsid w:val="00501E27"/>
    <w:rsid w:val="00501FF5"/>
    <w:rsid w:val="00502065"/>
    <w:rsid w:val="00502205"/>
    <w:rsid w:val="005024A0"/>
    <w:rsid w:val="00502514"/>
    <w:rsid w:val="00502575"/>
    <w:rsid w:val="00502591"/>
    <w:rsid w:val="005026D8"/>
    <w:rsid w:val="00502744"/>
    <w:rsid w:val="00502993"/>
    <w:rsid w:val="00502BC6"/>
    <w:rsid w:val="00502DB4"/>
    <w:rsid w:val="00502EBF"/>
    <w:rsid w:val="00502F27"/>
    <w:rsid w:val="00503206"/>
    <w:rsid w:val="005033EF"/>
    <w:rsid w:val="0050343E"/>
    <w:rsid w:val="0050352C"/>
    <w:rsid w:val="0050391E"/>
    <w:rsid w:val="00503A4B"/>
    <w:rsid w:val="00503E19"/>
    <w:rsid w:val="00503E9E"/>
    <w:rsid w:val="0050469D"/>
    <w:rsid w:val="005046C4"/>
    <w:rsid w:val="00504ACA"/>
    <w:rsid w:val="00504BF7"/>
    <w:rsid w:val="00504D11"/>
    <w:rsid w:val="00504D65"/>
    <w:rsid w:val="005051FD"/>
    <w:rsid w:val="00505327"/>
    <w:rsid w:val="0050534E"/>
    <w:rsid w:val="00505356"/>
    <w:rsid w:val="005053D0"/>
    <w:rsid w:val="005054D4"/>
    <w:rsid w:val="005059D5"/>
    <w:rsid w:val="00505A54"/>
    <w:rsid w:val="00505C7C"/>
    <w:rsid w:val="00505D91"/>
    <w:rsid w:val="00505E39"/>
    <w:rsid w:val="00505E5A"/>
    <w:rsid w:val="00505EE9"/>
    <w:rsid w:val="005062A1"/>
    <w:rsid w:val="005062B7"/>
    <w:rsid w:val="005065DA"/>
    <w:rsid w:val="0050666F"/>
    <w:rsid w:val="00506713"/>
    <w:rsid w:val="005067C2"/>
    <w:rsid w:val="0050691E"/>
    <w:rsid w:val="005069EC"/>
    <w:rsid w:val="00506ACC"/>
    <w:rsid w:val="00506AE8"/>
    <w:rsid w:val="0050727E"/>
    <w:rsid w:val="0050732B"/>
    <w:rsid w:val="00507335"/>
    <w:rsid w:val="0050737D"/>
    <w:rsid w:val="00507542"/>
    <w:rsid w:val="00507769"/>
    <w:rsid w:val="00507874"/>
    <w:rsid w:val="00507951"/>
    <w:rsid w:val="00507992"/>
    <w:rsid w:val="00507A13"/>
    <w:rsid w:val="00507ADC"/>
    <w:rsid w:val="005104E1"/>
    <w:rsid w:val="0051088B"/>
    <w:rsid w:val="0051088C"/>
    <w:rsid w:val="00510A5D"/>
    <w:rsid w:val="00510A8D"/>
    <w:rsid w:val="00510AFC"/>
    <w:rsid w:val="00510B13"/>
    <w:rsid w:val="005111DD"/>
    <w:rsid w:val="005111FF"/>
    <w:rsid w:val="0051122E"/>
    <w:rsid w:val="005112E9"/>
    <w:rsid w:val="005117BA"/>
    <w:rsid w:val="005118AE"/>
    <w:rsid w:val="005122CD"/>
    <w:rsid w:val="005125B4"/>
    <w:rsid w:val="0051265D"/>
    <w:rsid w:val="00512D6A"/>
    <w:rsid w:val="00512E1B"/>
    <w:rsid w:val="00512F62"/>
    <w:rsid w:val="00512FDC"/>
    <w:rsid w:val="00513113"/>
    <w:rsid w:val="00513295"/>
    <w:rsid w:val="0051345A"/>
    <w:rsid w:val="00513747"/>
    <w:rsid w:val="00513793"/>
    <w:rsid w:val="005137AC"/>
    <w:rsid w:val="00513A68"/>
    <w:rsid w:val="00513B0C"/>
    <w:rsid w:val="00513D92"/>
    <w:rsid w:val="00513DC5"/>
    <w:rsid w:val="00513FD3"/>
    <w:rsid w:val="00514033"/>
    <w:rsid w:val="0051405A"/>
    <w:rsid w:val="00514180"/>
    <w:rsid w:val="0051440C"/>
    <w:rsid w:val="00514451"/>
    <w:rsid w:val="00514711"/>
    <w:rsid w:val="0051482C"/>
    <w:rsid w:val="00514910"/>
    <w:rsid w:val="00514915"/>
    <w:rsid w:val="00514A3A"/>
    <w:rsid w:val="00514C0B"/>
    <w:rsid w:val="00514CD6"/>
    <w:rsid w:val="00514D82"/>
    <w:rsid w:val="00514ED1"/>
    <w:rsid w:val="0051517C"/>
    <w:rsid w:val="005153F6"/>
    <w:rsid w:val="00515514"/>
    <w:rsid w:val="005157C1"/>
    <w:rsid w:val="00515903"/>
    <w:rsid w:val="00515AD9"/>
    <w:rsid w:val="00515C1B"/>
    <w:rsid w:val="00515C32"/>
    <w:rsid w:val="00515D98"/>
    <w:rsid w:val="00515FFB"/>
    <w:rsid w:val="00516003"/>
    <w:rsid w:val="005160F7"/>
    <w:rsid w:val="005162A3"/>
    <w:rsid w:val="005163D6"/>
    <w:rsid w:val="00516804"/>
    <w:rsid w:val="00516813"/>
    <w:rsid w:val="0051690D"/>
    <w:rsid w:val="00516BC8"/>
    <w:rsid w:val="00516CCF"/>
    <w:rsid w:val="00516F65"/>
    <w:rsid w:val="005172FA"/>
    <w:rsid w:val="0051771B"/>
    <w:rsid w:val="00517961"/>
    <w:rsid w:val="00517B5D"/>
    <w:rsid w:val="00517F28"/>
    <w:rsid w:val="005209D9"/>
    <w:rsid w:val="00520BC2"/>
    <w:rsid w:val="00521056"/>
    <w:rsid w:val="005210BE"/>
    <w:rsid w:val="0052125B"/>
    <w:rsid w:val="005218D2"/>
    <w:rsid w:val="00521B9D"/>
    <w:rsid w:val="00521E09"/>
    <w:rsid w:val="00521E89"/>
    <w:rsid w:val="005220FE"/>
    <w:rsid w:val="0052216B"/>
    <w:rsid w:val="00522290"/>
    <w:rsid w:val="005222F2"/>
    <w:rsid w:val="0052273C"/>
    <w:rsid w:val="00522D22"/>
    <w:rsid w:val="00522ED3"/>
    <w:rsid w:val="005232B7"/>
    <w:rsid w:val="0052332E"/>
    <w:rsid w:val="00523721"/>
    <w:rsid w:val="005238C5"/>
    <w:rsid w:val="00523B79"/>
    <w:rsid w:val="00523D52"/>
    <w:rsid w:val="00523DEE"/>
    <w:rsid w:val="00523F4C"/>
    <w:rsid w:val="00523FA9"/>
    <w:rsid w:val="00524017"/>
    <w:rsid w:val="00524289"/>
    <w:rsid w:val="00524467"/>
    <w:rsid w:val="0052483B"/>
    <w:rsid w:val="00524C3C"/>
    <w:rsid w:val="00524CF6"/>
    <w:rsid w:val="0052500C"/>
    <w:rsid w:val="0052509D"/>
    <w:rsid w:val="0052523F"/>
    <w:rsid w:val="0052527C"/>
    <w:rsid w:val="0052554A"/>
    <w:rsid w:val="005255B9"/>
    <w:rsid w:val="005258BB"/>
    <w:rsid w:val="00525B82"/>
    <w:rsid w:val="00525C30"/>
    <w:rsid w:val="0052658C"/>
    <w:rsid w:val="005265AE"/>
    <w:rsid w:val="005265D2"/>
    <w:rsid w:val="00526B61"/>
    <w:rsid w:val="00526CB4"/>
    <w:rsid w:val="00526CFE"/>
    <w:rsid w:val="00526D22"/>
    <w:rsid w:val="00526EEC"/>
    <w:rsid w:val="0052723A"/>
    <w:rsid w:val="00527303"/>
    <w:rsid w:val="00527371"/>
    <w:rsid w:val="0052739A"/>
    <w:rsid w:val="005273F0"/>
    <w:rsid w:val="00527607"/>
    <w:rsid w:val="00527626"/>
    <w:rsid w:val="005279B6"/>
    <w:rsid w:val="00527A53"/>
    <w:rsid w:val="00527B79"/>
    <w:rsid w:val="00527C60"/>
    <w:rsid w:val="00527D08"/>
    <w:rsid w:val="00527D65"/>
    <w:rsid w:val="00530016"/>
    <w:rsid w:val="00530291"/>
    <w:rsid w:val="005308A9"/>
    <w:rsid w:val="00530A3B"/>
    <w:rsid w:val="00530C33"/>
    <w:rsid w:val="00530EF6"/>
    <w:rsid w:val="00530F75"/>
    <w:rsid w:val="00531113"/>
    <w:rsid w:val="00531171"/>
    <w:rsid w:val="005314D7"/>
    <w:rsid w:val="00531605"/>
    <w:rsid w:val="0053178B"/>
    <w:rsid w:val="00531829"/>
    <w:rsid w:val="00531836"/>
    <w:rsid w:val="00531A15"/>
    <w:rsid w:val="00531B9F"/>
    <w:rsid w:val="00531C08"/>
    <w:rsid w:val="00531D1D"/>
    <w:rsid w:val="00531DC4"/>
    <w:rsid w:val="0053227C"/>
    <w:rsid w:val="0053245D"/>
    <w:rsid w:val="00532704"/>
    <w:rsid w:val="0053270F"/>
    <w:rsid w:val="00532807"/>
    <w:rsid w:val="005329F3"/>
    <w:rsid w:val="00532B98"/>
    <w:rsid w:val="00532D38"/>
    <w:rsid w:val="00532EF2"/>
    <w:rsid w:val="00532FD8"/>
    <w:rsid w:val="00532FFF"/>
    <w:rsid w:val="005331DC"/>
    <w:rsid w:val="00533213"/>
    <w:rsid w:val="00533429"/>
    <w:rsid w:val="0053351B"/>
    <w:rsid w:val="00533D8C"/>
    <w:rsid w:val="00533DA5"/>
    <w:rsid w:val="00533EEB"/>
    <w:rsid w:val="005341A7"/>
    <w:rsid w:val="005342A9"/>
    <w:rsid w:val="005343FF"/>
    <w:rsid w:val="00534667"/>
    <w:rsid w:val="00534750"/>
    <w:rsid w:val="0053475D"/>
    <w:rsid w:val="00534779"/>
    <w:rsid w:val="00534AE0"/>
    <w:rsid w:val="00534C1B"/>
    <w:rsid w:val="00534F8D"/>
    <w:rsid w:val="005350B7"/>
    <w:rsid w:val="00535221"/>
    <w:rsid w:val="005352C0"/>
    <w:rsid w:val="005352E6"/>
    <w:rsid w:val="005357C2"/>
    <w:rsid w:val="00535BD1"/>
    <w:rsid w:val="00535C09"/>
    <w:rsid w:val="00535C33"/>
    <w:rsid w:val="00536451"/>
    <w:rsid w:val="005365BE"/>
    <w:rsid w:val="005365E3"/>
    <w:rsid w:val="00536861"/>
    <w:rsid w:val="00536924"/>
    <w:rsid w:val="005369A6"/>
    <w:rsid w:val="00536B3C"/>
    <w:rsid w:val="00536B58"/>
    <w:rsid w:val="0053707A"/>
    <w:rsid w:val="00537277"/>
    <w:rsid w:val="00537304"/>
    <w:rsid w:val="005374C5"/>
    <w:rsid w:val="00537568"/>
    <w:rsid w:val="0053769B"/>
    <w:rsid w:val="00537908"/>
    <w:rsid w:val="005379C4"/>
    <w:rsid w:val="00537F32"/>
    <w:rsid w:val="00540108"/>
    <w:rsid w:val="00540165"/>
    <w:rsid w:val="005405F0"/>
    <w:rsid w:val="0054062B"/>
    <w:rsid w:val="00540915"/>
    <w:rsid w:val="00540BE3"/>
    <w:rsid w:val="00540CFF"/>
    <w:rsid w:val="00540F49"/>
    <w:rsid w:val="005411FF"/>
    <w:rsid w:val="00541716"/>
    <w:rsid w:val="00541801"/>
    <w:rsid w:val="005419AF"/>
    <w:rsid w:val="005419E6"/>
    <w:rsid w:val="00541A72"/>
    <w:rsid w:val="00541AA5"/>
    <w:rsid w:val="00541D11"/>
    <w:rsid w:val="00541E08"/>
    <w:rsid w:val="00541E88"/>
    <w:rsid w:val="0054229E"/>
    <w:rsid w:val="005424F8"/>
    <w:rsid w:val="0054257F"/>
    <w:rsid w:val="00542929"/>
    <w:rsid w:val="00542A73"/>
    <w:rsid w:val="00542A7B"/>
    <w:rsid w:val="00542ACB"/>
    <w:rsid w:val="00542D19"/>
    <w:rsid w:val="00542DB7"/>
    <w:rsid w:val="0054311B"/>
    <w:rsid w:val="005432C8"/>
    <w:rsid w:val="00543807"/>
    <w:rsid w:val="005438C0"/>
    <w:rsid w:val="00543908"/>
    <w:rsid w:val="005439CF"/>
    <w:rsid w:val="00543A42"/>
    <w:rsid w:val="00543D86"/>
    <w:rsid w:val="00543F78"/>
    <w:rsid w:val="0054401B"/>
    <w:rsid w:val="00544092"/>
    <w:rsid w:val="0054412D"/>
    <w:rsid w:val="00544161"/>
    <w:rsid w:val="005441D3"/>
    <w:rsid w:val="005441EF"/>
    <w:rsid w:val="005448FB"/>
    <w:rsid w:val="005449BC"/>
    <w:rsid w:val="00544D25"/>
    <w:rsid w:val="00544EC6"/>
    <w:rsid w:val="0054501B"/>
    <w:rsid w:val="00545176"/>
    <w:rsid w:val="00545474"/>
    <w:rsid w:val="005454BE"/>
    <w:rsid w:val="00545527"/>
    <w:rsid w:val="00545B64"/>
    <w:rsid w:val="00545CED"/>
    <w:rsid w:val="00545D09"/>
    <w:rsid w:val="00545D8D"/>
    <w:rsid w:val="00546033"/>
    <w:rsid w:val="00546364"/>
    <w:rsid w:val="00546E8A"/>
    <w:rsid w:val="00546FED"/>
    <w:rsid w:val="005473F6"/>
    <w:rsid w:val="00547666"/>
    <w:rsid w:val="00547A17"/>
    <w:rsid w:val="00547A7E"/>
    <w:rsid w:val="00547B67"/>
    <w:rsid w:val="00547CB4"/>
    <w:rsid w:val="0055002E"/>
    <w:rsid w:val="00550046"/>
    <w:rsid w:val="005507CC"/>
    <w:rsid w:val="00550883"/>
    <w:rsid w:val="00550AD2"/>
    <w:rsid w:val="00550C0E"/>
    <w:rsid w:val="00550F8F"/>
    <w:rsid w:val="00550FC7"/>
    <w:rsid w:val="0055111F"/>
    <w:rsid w:val="00551332"/>
    <w:rsid w:val="0055151D"/>
    <w:rsid w:val="00551789"/>
    <w:rsid w:val="00551982"/>
    <w:rsid w:val="00551E00"/>
    <w:rsid w:val="00552041"/>
    <w:rsid w:val="00552071"/>
    <w:rsid w:val="00552157"/>
    <w:rsid w:val="005521A9"/>
    <w:rsid w:val="0055226D"/>
    <w:rsid w:val="00552408"/>
    <w:rsid w:val="00552502"/>
    <w:rsid w:val="00552AAB"/>
    <w:rsid w:val="00552CEB"/>
    <w:rsid w:val="00552EBE"/>
    <w:rsid w:val="00552ECF"/>
    <w:rsid w:val="00553045"/>
    <w:rsid w:val="005532D0"/>
    <w:rsid w:val="005533D2"/>
    <w:rsid w:val="00553584"/>
    <w:rsid w:val="005536AA"/>
    <w:rsid w:val="00553A98"/>
    <w:rsid w:val="00553AAB"/>
    <w:rsid w:val="00553CFF"/>
    <w:rsid w:val="005541D0"/>
    <w:rsid w:val="0055438C"/>
    <w:rsid w:val="005544DE"/>
    <w:rsid w:val="00554AED"/>
    <w:rsid w:val="00554D92"/>
    <w:rsid w:val="00555761"/>
    <w:rsid w:val="005558E5"/>
    <w:rsid w:val="00555930"/>
    <w:rsid w:val="00555CE0"/>
    <w:rsid w:val="00555E72"/>
    <w:rsid w:val="00555F15"/>
    <w:rsid w:val="00556659"/>
    <w:rsid w:val="00556688"/>
    <w:rsid w:val="005567B2"/>
    <w:rsid w:val="0055682A"/>
    <w:rsid w:val="00556896"/>
    <w:rsid w:val="00556912"/>
    <w:rsid w:val="00556B25"/>
    <w:rsid w:val="00556B7B"/>
    <w:rsid w:val="00556EFE"/>
    <w:rsid w:val="00557059"/>
    <w:rsid w:val="00557A72"/>
    <w:rsid w:val="00557AAE"/>
    <w:rsid w:val="00557CE5"/>
    <w:rsid w:val="00557D69"/>
    <w:rsid w:val="00557EF1"/>
    <w:rsid w:val="00557FAB"/>
    <w:rsid w:val="00560545"/>
    <w:rsid w:val="00560584"/>
    <w:rsid w:val="00560717"/>
    <w:rsid w:val="0056080F"/>
    <w:rsid w:val="005608D6"/>
    <w:rsid w:val="00560C91"/>
    <w:rsid w:val="00560D59"/>
    <w:rsid w:val="00560DFC"/>
    <w:rsid w:val="00560F0F"/>
    <w:rsid w:val="005612C5"/>
    <w:rsid w:val="005615C3"/>
    <w:rsid w:val="00561917"/>
    <w:rsid w:val="00561A9B"/>
    <w:rsid w:val="00561DF8"/>
    <w:rsid w:val="00562082"/>
    <w:rsid w:val="005620A8"/>
    <w:rsid w:val="00562293"/>
    <w:rsid w:val="0056256F"/>
    <w:rsid w:val="005625BB"/>
    <w:rsid w:val="00562888"/>
    <w:rsid w:val="005633E0"/>
    <w:rsid w:val="005635F6"/>
    <w:rsid w:val="005636BE"/>
    <w:rsid w:val="00563863"/>
    <w:rsid w:val="00563C83"/>
    <w:rsid w:val="00563F20"/>
    <w:rsid w:val="00563F27"/>
    <w:rsid w:val="005641D3"/>
    <w:rsid w:val="005643A9"/>
    <w:rsid w:val="005645CD"/>
    <w:rsid w:val="00564715"/>
    <w:rsid w:val="00564867"/>
    <w:rsid w:val="00564EF4"/>
    <w:rsid w:val="00564F4C"/>
    <w:rsid w:val="00564FE2"/>
    <w:rsid w:val="005651B6"/>
    <w:rsid w:val="005652CF"/>
    <w:rsid w:val="005655AB"/>
    <w:rsid w:val="0056572B"/>
    <w:rsid w:val="00566040"/>
    <w:rsid w:val="005661E3"/>
    <w:rsid w:val="005662FF"/>
    <w:rsid w:val="0056647A"/>
    <w:rsid w:val="0056650A"/>
    <w:rsid w:val="00566513"/>
    <w:rsid w:val="00566566"/>
    <w:rsid w:val="0056677F"/>
    <w:rsid w:val="0056692E"/>
    <w:rsid w:val="00566D90"/>
    <w:rsid w:val="00566EC2"/>
    <w:rsid w:val="00566EC5"/>
    <w:rsid w:val="00567248"/>
    <w:rsid w:val="00567375"/>
    <w:rsid w:val="00567474"/>
    <w:rsid w:val="005674EB"/>
    <w:rsid w:val="0056764A"/>
    <w:rsid w:val="00567781"/>
    <w:rsid w:val="005677FF"/>
    <w:rsid w:val="00567883"/>
    <w:rsid w:val="005678E7"/>
    <w:rsid w:val="00570062"/>
    <w:rsid w:val="005701CA"/>
    <w:rsid w:val="005702F4"/>
    <w:rsid w:val="005706F5"/>
    <w:rsid w:val="00570839"/>
    <w:rsid w:val="00570A9D"/>
    <w:rsid w:val="00570D9C"/>
    <w:rsid w:val="00570E0A"/>
    <w:rsid w:val="00571162"/>
    <w:rsid w:val="0057117D"/>
    <w:rsid w:val="00571203"/>
    <w:rsid w:val="00571458"/>
    <w:rsid w:val="00571625"/>
    <w:rsid w:val="0057173E"/>
    <w:rsid w:val="005717BB"/>
    <w:rsid w:val="005717C0"/>
    <w:rsid w:val="00571818"/>
    <w:rsid w:val="00571835"/>
    <w:rsid w:val="00571A6F"/>
    <w:rsid w:val="00572058"/>
    <w:rsid w:val="00572379"/>
    <w:rsid w:val="00572389"/>
    <w:rsid w:val="005724F7"/>
    <w:rsid w:val="00572519"/>
    <w:rsid w:val="0057280C"/>
    <w:rsid w:val="00572D16"/>
    <w:rsid w:val="005730EE"/>
    <w:rsid w:val="00573115"/>
    <w:rsid w:val="00573240"/>
    <w:rsid w:val="00573246"/>
    <w:rsid w:val="005733E6"/>
    <w:rsid w:val="00573444"/>
    <w:rsid w:val="0057359F"/>
    <w:rsid w:val="0057363B"/>
    <w:rsid w:val="005736AE"/>
    <w:rsid w:val="00573711"/>
    <w:rsid w:val="00573741"/>
    <w:rsid w:val="005737EB"/>
    <w:rsid w:val="005737FB"/>
    <w:rsid w:val="005739F4"/>
    <w:rsid w:val="00573D76"/>
    <w:rsid w:val="005744DB"/>
    <w:rsid w:val="005745AD"/>
    <w:rsid w:val="00574631"/>
    <w:rsid w:val="005746FA"/>
    <w:rsid w:val="00574721"/>
    <w:rsid w:val="005748EA"/>
    <w:rsid w:val="00574FF4"/>
    <w:rsid w:val="0057523C"/>
    <w:rsid w:val="005753D0"/>
    <w:rsid w:val="005753D1"/>
    <w:rsid w:val="005754C5"/>
    <w:rsid w:val="0057580F"/>
    <w:rsid w:val="005758F3"/>
    <w:rsid w:val="005759CC"/>
    <w:rsid w:val="00575A87"/>
    <w:rsid w:val="00575C81"/>
    <w:rsid w:val="00575D6D"/>
    <w:rsid w:val="00575EEF"/>
    <w:rsid w:val="00576159"/>
    <w:rsid w:val="0057618D"/>
    <w:rsid w:val="00576195"/>
    <w:rsid w:val="00576203"/>
    <w:rsid w:val="00576265"/>
    <w:rsid w:val="00576329"/>
    <w:rsid w:val="005767E3"/>
    <w:rsid w:val="0057680F"/>
    <w:rsid w:val="00576D4E"/>
    <w:rsid w:val="005770F2"/>
    <w:rsid w:val="005771B0"/>
    <w:rsid w:val="005773C8"/>
    <w:rsid w:val="00577C75"/>
    <w:rsid w:val="00577DB6"/>
    <w:rsid w:val="00577E09"/>
    <w:rsid w:val="00577E4F"/>
    <w:rsid w:val="00577FFB"/>
    <w:rsid w:val="00580016"/>
    <w:rsid w:val="00580222"/>
    <w:rsid w:val="00580717"/>
    <w:rsid w:val="005807F2"/>
    <w:rsid w:val="00580980"/>
    <w:rsid w:val="005809ED"/>
    <w:rsid w:val="00580B30"/>
    <w:rsid w:val="005811E6"/>
    <w:rsid w:val="005812A5"/>
    <w:rsid w:val="0058133C"/>
    <w:rsid w:val="00581651"/>
    <w:rsid w:val="005819D5"/>
    <w:rsid w:val="00581D78"/>
    <w:rsid w:val="00581E3D"/>
    <w:rsid w:val="00581FBA"/>
    <w:rsid w:val="00582054"/>
    <w:rsid w:val="00582093"/>
    <w:rsid w:val="0058229A"/>
    <w:rsid w:val="005827AE"/>
    <w:rsid w:val="0058281B"/>
    <w:rsid w:val="00582AE4"/>
    <w:rsid w:val="00582B22"/>
    <w:rsid w:val="005831E3"/>
    <w:rsid w:val="00583554"/>
    <w:rsid w:val="005836B6"/>
    <w:rsid w:val="005837E7"/>
    <w:rsid w:val="005839EE"/>
    <w:rsid w:val="00583B15"/>
    <w:rsid w:val="00583BC8"/>
    <w:rsid w:val="00583D2B"/>
    <w:rsid w:val="00583D5B"/>
    <w:rsid w:val="00583E7F"/>
    <w:rsid w:val="00584074"/>
    <w:rsid w:val="005841FF"/>
    <w:rsid w:val="00584217"/>
    <w:rsid w:val="0058450B"/>
    <w:rsid w:val="005846A6"/>
    <w:rsid w:val="0058499F"/>
    <w:rsid w:val="005849B0"/>
    <w:rsid w:val="00584B65"/>
    <w:rsid w:val="00584EFF"/>
    <w:rsid w:val="00584F9D"/>
    <w:rsid w:val="00585298"/>
    <w:rsid w:val="005852A9"/>
    <w:rsid w:val="00585CA5"/>
    <w:rsid w:val="00585D37"/>
    <w:rsid w:val="00585D56"/>
    <w:rsid w:val="00585E9A"/>
    <w:rsid w:val="00585EF6"/>
    <w:rsid w:val="00586146"/>
    <w:rsid w:val="00586394"/>
    <w:rsid w:val="00586433"/>
    <w:rsid w:val="0058652A"/>
    <w:rsid w:val="00586605"/>
    <w:rsid w:val="00586A22"/>
    <w:rsid w:val="00586E8B"/>
    <w:rsid w:val="0058707A"/>
    <w:rsid w:val="00587184"/>
    <w:rsid w:val="00587226"/>
    <w:rsid w:val="00587448"/>
    <w:rsid w:val="0058756B"/>
    <w:rsid w:val="00587B80"/>
    <w:rsid w:val="0059001A"/>
    <w:rsid w:val="00590032"/>
    <w:rsid w:val="00590232"/>
    <w:rsid w:val="005902CE"/>
    <w:rsid w:val="0059074F"/>
    <w:rsid w:val="0059083F"/>
    <w:rsid w:val="00590938"/>
    <w:rsid w:val="005909B5"/>
    <w:rsid w:val="00590A60"/>
    <w:rsid w:val="00590A70"/>
    <w:rsid w:val="00590A97"/>
    <w:rsid w:val="00590C18"/>
    <w:rsid w:val="00590F78"/>
    <w:rsid w:val="00591608"/>
    <w:rsid w:val="0059186E"/>
    <w:rsid w:val="0059187D"/>
    <w:rsid w:val="005918E9"/>
    <w:rsid w:val="005919C5"/>
    <w:rsid w:val="00591A3B"/>
    <w:rsid w:val="00591A72"/>
    <w:rsid w:val="00591AD7"/>
    <w:rsid w:val="00591E16"/>
    <w:rsid w:val="005926AA"/>
    <w:rsid w:val="005927C2"/>
    <w:rsid w:val="005928A6"/>
    <w:rsid w:val="00592ADB"/>
    <w:rsid w:val="00592F73"/>
    <w:rsid w:val="00593030"/>
    <w:rsid w:val="00593224"/>
    <w:rsid w:val="0059340B"/>
    <w:rsid w:val="0059346B"/>
    <w:rsid w:val="0059368F"/>
    <w:rsid w:val="00593819"/>
    <w:rsid w:val="0059386E"/>
    <w:rsid w:val="005939E2"/>
    <w:rsid w:val="00593B01"/>
    <w:rsid w:val="00593C09"/>
    <w:rsid w:val="00593CD5"/>
    <w:rsid w:val="00594FC6"/>
    <w:rsid w:val="00595387"/>
    <w:rsid w:val="00595AB7"/>
    <w:rsid w:val="00595B13"/>
    <w:rsid w:val="00595BEF"/>
    <w:rsid w:val="00595CA2"/>
    <w:rsid w:val="00595CA8"/>
    <w:rsid w:val="00595E79"/>
    <w:rsid w:val="00595FDB"/>
    <w:rsid w:val="005960B2"/>
    <w:rsid w:val="005962B2"/>
    <w:rsid w:val="005962B3"/>
    <w:rsid w:val="0059697B"/>
    <w:rsid w:val="0059698B"/>
    <w:rsid w:val="00596CFC"/>
    <w:rsid w:val="00596F7B"/>
    <w:rsid w:val="005A04D3"/>
    <w:rsid w:val="005A0AFF"/>
    <w:rsid w:val="005A0BBB"/>
    <w:rsid w:val="005A0C70"/>
    <w:rsid w:val="005A0C76"/>
    <w:rsid w:val="005A0DDE"/>
    <w:rsid w:val="005A1167"/>
    <w:rsid w:val="005A12EE"/>
    <w:rsid w:val="005A12F1"/>
    <w:rsid w:val="005A15E3"/>
    <w:rsid w:val="005A15F6"/>
    <w:rsid w:val="005A192D"/>
    <w:rsid w:val="005A1D7D"/>
    <w:rsid w:val="005A1E24"/>
    <w:rsid w:val="005A2429"/>
    <w:rsid w:val="005A2735"/>
    <w:rsid w:val="005A27F5"/>
    <w:rsid w:val="005A282A"/>
    <w:rsid w:val="005A29BF"/>
    <w:rsid w:val="005A2CE9"/>
    <w:rsid w:val="005A2D72"/>
    <w:rsid w:val="005A2E5F"/>
    <w:rsid w:val="005A2EDC"/>
    <w:rsid w:val="005A2EE0"/>
    <w:rsid w:val="005A30A0"/>
    <w:rsid w:val="005A36C3"/>
    <w:rsid w:val="005A3960"/>
    <w:rsid w:val="005A3AD6"/>
    <w:rsid w:val="005A3E96"/>
    <w:rsid w:val="005A3ED5"/>
    <w:rsid w:val="005A434D"/>
    <w:rsid w:val="005A45FB"/>
    <w:rsid w:val="005A4609"/>
    <w:rsid w:val="005A489C"/>
    <w:rsid w:val="005A48DF"/>
    <w:rsid w:val="005A4E6D"/>
    <w:rsid w:val="005A4E86"/>
    <w:rsid w:val="005A4E91"/>
    <w:rsid w:val="005A534F"/>
    <w:rsid w:val="005A5391"/>
    <w:rsid w:val="005A5426"/>
    <w:rsid w:val="005A5717"/>
    <w:rsid w:val="005A57C5"/>
    <w:rsid w:val="005A5A60"/>
    <w:rsid w:val="005A5DCC"/>
    <w:rsid w:val="005A5E53"/>
    <w:rsid w:val="005A5EE5"/>
    <w:rsid w:val="005A5FAC"/>
    <w:rsid w:val="005A6211"/>
    <w:rsid w:val="005A6382"/>
    <w:rsid w:val="005A64EC"/>
    <w:rsid w:val="005A676B"/>
    <w:rsid w:val="005A6853"/>
    <w:rsid w:val="005A69E0"/>
    <w:rsid w:val="005A6BAB"/>
    <w:rsid w:val="005A6F8F"/>
    <w:rsid w:val="005A704D"/>
    <w:rsid w:val="005A713E"/>
    <w:rsid w:val="005A71F9"/>
    <w:rsid w:val="005A7268"/>
    <w:rsid w:val="005A72D3"/>
    <w:rsid w:val="005A74B5"/>
    <w:rsid w:val="005A7544"/>
    <w:rsid w:val="005A7745"/>
    <w:rsid w:val="005A7A02"/>
    <w:rsid w:val="005A7F04"/>
    <w:rsid w:val="005B0347"/>
    <w:rsid w:val="005B054B"/>
    <w:rsid w:val="005B0886"/>
    <w:rsid w:val="005B0AA8"/>
    <w:rsid w:val="005B0B7C"/>
    <w:rsid w:val="005B0C6F"/>
    <w:rsid w:val="005B0C73"/>
    <w:rsid w:val="005B0D44"/>
    <w:rsid w:val="005B0D7A"/>
    <w:rsid w:val="005B0E82"/>
    <w:rsid w:val="005B1059"/>
    <w:rsid w:val="005B1117"/>
    <w:rsid w:val="005B1466"/>
    <w:rsid w:val="005B1782"/>
    <w:rsid w:val="005B191C"/>
    <w:rsid w:val="005B1A65"/>
    <w:rsid w:val="005B1B4D"/>
    <w:rsid w:val="005B1E9D"/>
    <w:rsid w:val="005B1EB5"/>
    <w:rsid w:val="005B1F06"/>
    <w:rsid w:val="005B2160"/>
    <w:rsid w:val="005B216A"/>
    <w:rsid w:val="005B260D"/>
    <w:rsid w:val="005B26DE"/>
    <w:rsid w:val="005B276F"/>
    <w:rsid w:val="005B28F9"/>
    <w:rsid w:val="005B2A20"/>
    <w:rsid w:val="005B2AB3"/>
    <w:rsid w:val="005B2CB5"/>
    <w:rsid w:val="005B3194"/>
    <w:rsid w:val="005B31B0"/>
    <w:rsid w:val="005B366E"/>
    <w:rsid w:val="005B3FCA"/>
    <w:rsid w:val="005B4041"/>
    <w:rsid w:val="005B406A"/>
    <w:rsid w:val="005B4166"/>
    <w:rsid w:val="005B438C"/>
    <w:rsid w:val="005B466B"/>
    <w:rsid w:val="005B4949"/>
    <w:rsid w:val="005B4A30"/>
    <w:rsid w:val="005B4B94"/>
    <w:rsid w:val="005B4C0A"/>
    <w:rsid w:val="005B4CD0"/>
    <w:rsid w:val="005B4FDF"/>
    <w:rsid w:val="005B550D"/>
    <w:rsid w:val="005B55AD"/>
    <w:rsid w:val="005B569E"/>
    <w:rsid w:val="005B5721"/>
    <w:rsid w:val="005B5991"/>
    <w:rsid w:val="005B5A0E"/>
    <w:rsid w:val="005B5BD6"/>
    <w:rsid w:val="005B5D42"/>
    <w:rsid w:val="005B5DF3"/>
    <w:rsid w:val="005B602F"/>
    <w:rsid w:val="005B625D"/>
    <w:rsid w:val="005B6263"/>
    <w:rsid w:val="005B6311"/>
    <w:rsid w:val="005B6E1A"/>
    <w:rsid w:val="005B6E77"/>
    <w:rsid w:val="005B740E"/>
    <w:rsid w:val="005B7491"/>
    <w:rsid w:val="005B7590"/>
    <w:rsid w:val="005B77C7"/>
    <w:rsid w:val="005B78EB"/>
    <w:rsid w:val="005B7BA0"/>
    <w:rsid w:val="005C022C"/>
    <w:rsid w:val="005C04E9"/>
    <w:rsid w:val="005C05EE"/>
    <w:rsid w:val="005C07A4"/>
    <w:rsid w:val="005C093D"/>
    <w:rsid w:val="005C09C0"/>
    <w:rsid w:val="005C0AAE"/>
    <w:rsid w:val="005C0B93"/>
    <w:rsid w:val="005C0C83"/>
    <w:rsid w:val="005C0F0A"/>
    <w:rsid w:val="005C0F16"/>
    <w:rsid w:val="005C0FB7"/>
    <w:rsid w:val="005C1262"/>
    <w:rsid w:val="005C131F"/>
    <w:rsid w:val="005C1714"/>
    <w:rsid w:val="005C1999"/>
    <w:rsid w:val="005C1D85"/>
    <w:rsid w:val="005C1E1F"/>
    <w:rsid w:val="005C1F64"/>
    <w:rsid w:val="005C201E"/>
    <w:rsid w:val="005C20B5"/>
    <w:rsid w:val="005C213E"/>
    <w:rsid w:val="005C215A"/>
    <w:rsid w:val="005C26C1"/>
    <w:rsid w:val="005C29FE"/>
    <w:rsid w:val="005C2C3C"/>
    <w:rsid w:val="005C2E30"/>
    <w:rsid w:val="005C2F62"/>
    <w:rsid w:val="005C3267"/>
    <w:rsid w:val="005C3286"/>
    <w:rsid w:val="005C3593"/>
    <w:rsid w:val="005C35A7"/>
    <w:rsid w:val="005C3702"/>
    <w:rsid w:val="005C3B00"/>
    <w:rsid w:val="005C3D00"/>
    <w:rsid w:val="005C3DCA"/>
    <w:rsid w:val="005C3EFC"/>
    <w:rsid w:val="005C3FA3"/>
    <w:rsid w:val="005C4524"/>
    <w:rsid w:val="005C4865"/>
    <w:rsid w:val="005C5017"/>
    <w:rsid w:val="005C506E"/>
    <w:rsid w:val="005C52EC"/>
    <w:rsid w:val="005C533A"/>
    <w:rsid w:val="005C5A6C"/>
    <w:rsid w:val="005C5DD8"/>
    <w:rsid w:val="005C61DC"/>
    <w:rsid w:val="005C63B4"/>
    <w:rsid w:val="005C63BB"/>
    <w:rsid w:val="005C640B"/>
    <w:rsid w:val="005C648D"/>
    <w:rsid w:val="005C64AF"/>
    <w:rsid w:val="005C655A"/>
    <w:rsid w:val="005C66B0"/>
    <w:rsid w:val="005C6757"/>
    <w:rsid w:val="005C6903"/>
    <w:rsid w:val="005C697E"/>
    <w:rsid w:val="005C6C4D"/>
    <w:rsid w:val="005C6C4F"/>
    <w:rsid w:val="005C6C89"/>
    <w:rsid w:val="005C6F45"/>
    <w:rsid w:val="005C6F5B"/>
    <w:rsid w:val="005C6FA6"/>
    <w:rsid w:val="005C70A5"/>
    <w:rsid w:val="005C70C1"/>
    <w:rsid w:val="005C71C4"/>
    <w:rsid w:val="005C7327"/>
    <w:rsid w:val="005C7644"/>
    <w:rsid w:val="005C7645"/>
    <w:rsid w:val="005C77DD"/>
    <w:rsid w:val="005C7B1D"/>
    <w:rsid w:val="005C7B79"/>
    <w:rsid w:val="005C7C16"/>
    <w:rsid w:val="005C7E2D"/>
    <w:rsid w:val="005D0068"/>
    <w:rsid w:val="005D007C"/>
    <w:rsid w:val="005D009A"/>
    <w:rsid w:val="005D0595"/>
    <w:rsid w:val="005D0B1B"/>
    <w:rsid w:val="005D0C26"/>
    <w:rsid w:val="005D0D33"/>
    <w:rsid w:val="005D11DA"/>
    <w:rsid w:val="005D147C"/>
    <w:rsid w:val="005D1DB6"/>
    <w:rsid w:val="005D1F52"/>
    <w:rsid w:val="005D1F54"/>
    <w:rsid w:val="005D204B"/>
    <w:rsid w:val="005D2140"/>
    <w:rsid w:val="005D279B"/>
    <w:rsid w:val="005D2D30"/>
    <w:rsid w:val="005D2DB6"/>
    <w:rsid w:val="005D2E68"/>
    <w:rsid w:val="005D302A"/>
    <w:rsid w:val="005D3230"/>
    <w:rsid w:val="005D3313"/>
    <w:rsid w:val="005D3545"/>
    <w:rsid w:val="005D3594"/>
    <w:rsid w:val="005D359B"/>
    <w:rsid w:val="005D368F"/>
    <w:rsid w:val="005D388C"/>
    <w:rsid w:val="005D38C5"/>
    <w:rsid w:val="005D3906"/>
    <w:rsid w:val="005D390E"/>
    <w:rsid w:val="005D3D00"/>
    <w:rsid w:val="005D4272"/>
    <w:rsid w:val="005D4333"/>
    <w:rsid w:val="005D4362"/>
    <w:rsid w:val="005D45A9"/>
    <w:rsid w:val="005D4FB4"/>
    <w:rsid w:val="005D51B6"/>
    <w:rsid w:val="005D51C7"/>
    <w:rsid w:val="005D5313"/>
    <w:rsid w:val="005D5480"/>
    <w:rsid w:val="005D5672"/>
    <w:rsid w:val="005D58FB"/>
    <w:rsid w:val="005D5AC2"/>
    <w:rsid w:val="005D5C65"/>
    <w:rsid w:val="005D62E7"/>
    <w:rsid w:val="005D6302"/>
    <w:rsid w:val="005D6A37"/>
    <w:rsid w:val="005D70A5"/>
    <w:rsid w:val="005D7420"/>
    <w:rsid w:val="005D7644"/>
    <w:rsid w:val="005D7708"/>
    <w:rsid w:val="005D7730"/>
    <w:rsid w:val="005D7882"/>
    <w:rsid w:val="005D7B03"/>
    <w:rsid w:val="005D7B8B"/>
    <w:rsid w:val="005D7C30"/>
    <w:rsid w:val="005D7E2E"/>
    <w:rsid w:val="005D7E98"/>
    <w:rsid w:val="005E01B6"/>
    <w:rsid w:val="005E03D4"/>
    <w:rsid w:val="005E053D"/>
    <w:rsid w:val="005E07EF"/>
    <w:rsid w:val="005E0845"/>
    <w:rsid w:val="005E0894"/>
    <w:rsid w:val="005E092B"/>
    <w:rsid w:val="005E0982"/>
    <w:rsid w:val="005E0BCA"/>
    <w:rsid w:val="005E0F7A"/>
    <w:rsid w:val="005E123D"/>
    <w:rsid w:val="005E168F"/>
    <w:rsid w:val="005E17B6"/>
    <w:rsid w:val="005E18EF"/>
    <w:rsid w:val="005E1C57"/>
    <w:rsid w:val="005E230A"/>
    <w:rsid w:val="005E231B"/>
    <w:rsid w:val="005E2A22"/>
    <w:rsid w:val="005E2B47"/>
    <w:rsid w:val="005E2BF1"/>
    <w:rsid w:val="005E2D88"/>
    <w:rsid w:val="005E2E7A"/>
    <w:rsid w:val="005E2EC7"/>
    <w:rsid w:val="005E3021"/>
    <w:rsid w:val="005E30E7"/>
    <w:rsid w:val="005E3137"/>
    <w:rsid w:val="005E33CD"/>
    <w:rsid w:val="005E371F"/>
    <w:rsid w:val="005E387D"/>
    <w:rsid w:val="005E3A82"/>
    <w:rsid w:val="005E3C03"/>
    <w:rsid w:val="005E3C6F"/>
    <w:rsid w:val="005E43FD"/>
    <w:rsid w:val="005E4528"/>
    <w:rsid w:val="005E4619"/>
    <w:rsid w:val="005E46DC"/>
    <w:rsid w:val="005E4716"/>
    <w:rsid w:val="005E4961"/>
    <w:rsid w:val="005E4B2B"/>
    <w:rsid w:val="005E4F4D"/>
    <w:rsid w:val="005E505C"/>
    <w:rsid w:val="005E50BC"/>
    <w:rsid w:val="005E53C0"/>
    <w:rsid w:val="005E5754"/>
    <w:rsid w:val="005E57EE"/>
    <w:rsid w:val="005E5981"/>
    <w:rsid w:val="005E5B41"/>
    <w:rsid w:val="005E5C53"/>
    <w:rsid w:val="005E5E50"/>
    <w:rsid w:val="005E60C8"/>
    <w:rsid w:val="005E6145"/>
    <w:rsid w:val="005E63D5"/>
    <w:rsid w:val="005E65CE"/>
    <w:rsid w:val="005E6DAC"/>
    <w:rsid w:val="005E6EB0"/>
    <w:rsid w:val="005E6F81"/>
    <w:rsid w:val="005E7194"/>
    <w:rsid w:val="005E7241"/>
    <w:rsid w:val="005E7327"/>
    <w:rsid w:val="005E741E"/>
    <w:rsid w:val="005E75EE"/>
    <w:rsid w:val="005E780B"/>
    <w:rsid w:val="005E7873"/>
    <w:rsid w:val="005E78EC"/>
    <w:rsid w:val="005E7A45"/>
    <w:rsid w:val="005E7BA1"/>
    <w:rsid w:val="005E7DB1"/>
    <w:rsid w:val="005EFFC5"/>
    <w:rsid w:val="005F00E0"/>
    <w:rsid w:val="005F02AE"/>
    <w:rsid w:val="005F03AA"/>
    <w:rsid w:val="005F040F"/>
    <w:rsid w:val="005F0416"/>
    <w:rsid w:val="005F07EE"/>
    <w:rsid w:val="005F0848"/>
    <w:rsid w:val="005F0B08"/>
    <w:rsid w:val="005F0BB7"/>
    <w:rsid w:val="005F0BF0"/>
    <w:rsid w:val="005F0DCA"/>
    <w:rsid w:val="005F1413"/>
    <w:rsid w:val="005F1433"/>
    <w:rsid w:val="005F15AB"/>
    <w:rsid w:val="005F17AB"/>
    <w:rsid w:val="005F1B25"/>
    <w:rsid w:val="005F1FC2"/>
    <w:rsid w:val="005F22C3"/>
    <w:rsid w:val="005F23B3"/>
    <w:rsid w:val="005F23FF"/>
    <w:rsid w:val="005F264C"/>
    <w:rsid w:val="005F2725"/>
    <w:rsid w:val="005F2738"/>
    <w:rsid w:val="005F2DA3"/>
    <w:rsid w:val="005F2F31"/>
    <w:rsid w:val="005F2F7F"/>
    <w:rsid w:val="005F3184"/>
    <w:rsid w:val="005F37CC"/>
    <w:rsid w:val="005F381A"/>
    <w:rsid w:val="005F386F"/>
    <w:rsid w:val="005F3900"/>
    <w:rsid w:val="005F398C"/>
    <w:rsid w:val="005F3A7B"/>
    <w:rsid w:val="005F3BFD"/>
    <w:rsid w:val="005F4054"/>
    <w:rsid w:val="005F419A"/>
    <w:rsid w:val="005F431B"/>
    <w:rsid w:val="005F4404"/>
    <w:rsid w:val="005F4571"/>
    <w:rsid w:val="005F48F0"/>
    <w:rsid w:val="005F4911"/>
    <w:rsid w:val="005F4FC1"/>
    <w:rsid w:val="005F4FFE"/>
    <w:rsid w:val="005F5374"/>
    <w:rsid w:val="005F53AE"/>
    <w:rsid w:val="005F547F"/>
    <w:rsid w:val="005F571C"/>
    <w:rsid w:val="005F5A8B"/>
    <w:rsid w:val="005F5CC8"/>
    <w:rsid w:val="005F5CDC"/>
    <w:rsid w:val="005F5EB8"/>
    <w:rsid w:val="005F634C"/>
    <w:rsid w:val="005F649B"/>
    <w:rsid w:val="005F658C"/>
    <w:rsid w:val="005F6A19"/>
    <w:rsid w:val="005F6AAA"/>
    <w:rsid w:val="005F6B2F"/>
    <w:rsid w:val="005F6CA1"/>
    <w:rsid w:val="005F6FD0"/>
    <w:rsid w:val="005F720F"/>
    <w:rsid w:val="005F7242"/>
    <w:rsid w:val="005F7249"/>
    <w:rsid w:val="005F791C"/>
    <w:rsid w:val="005F7BCE"/>
    <w:rsid w:val="005F7C32"/>
    <w:rsid w:val="005F7E27"/>
    <w:rsid w:val="005F7EDC"/>
    <w:rsid w:val="005F7EE7"/>
    <w:rsid w:val="005FDC36"/>
    <w:rsid w:val="00600233"/>
    <w:rsid w:val="006002BE"/>
    <w:rsid w:val="0060031E"/>
    <w:rsid w:val="006004A7"/>
    <w:rsid w:val="0060065D"/>
    <w:rsid w:val="0060099D"/>
    <w:rsid w:val="006009AE"/>
    <w:rsid w:val="00600BD1"/>
    <w:rsid w:val="00600EE0"/>
    <w:rsid w:val="00600F11"/>
    <w:rsid w:val="0060129C"/>
    <w:rsid w:val="006013D9"/>
    <w:rsid w:val="006014CD"/>
    <w:rsid w:val="0060171D"/>
    <w:rsid w:val="006018C7"/>
    <w:rsid w:val="00601994"/>
    <w:rsid w:val="00601D43"/>
    <w:rsid w:val="00601D57"/>
    <w:rsid w:val="00601DAD"/>
    <w:rsid w:val="00601E3C"/>
    <w:rsid w:val="00602566"/>
    <w:rsid w:val="0060291E"/>
    <w:rsid w:val="00602B5F"/>
    <w:rsid w:val="00602BA1"/>
    <w:rsid w:val="00602ECE"/>
    <w:rsid w:val="00602FE4"/>
    <w:rsid w:val="006030CB"/>
    <w:rsid w:val="00603101"/>
    <w:rsid w:val="006031EE"/>
    <w:rsid w:val="0060326E"/>
    <w:rsid w:val="006035AB"/>
    <w:rsid w:val="00603690"/>
    <w:rsid w:val="00603761"/>
    <w:rsid w:val="00603796"/>
    <w:rsid w:val="006037D0"/>
    <w:rsid w:val="00603897"/>
    <w:rsid w:val="00603C0C"/>
    <w:rsid w:val="00603C9E"/>
    <w:rsid w:val="00603E17"/>
    <w:rsid w:val="00604160"/>
    <w:rsid w:val="00604215"/>
    <w:rsid w:val="006042DE"/>
    <w:rsid w:val="00604470"/>
    <w:rsid w:val="006049C2"/>
    <w:rsid w:val="00605059"/>
    <w:rsid w:val="0060512A"/>
    <w:rsid w:val="006057D4"/>
    <w:rsid w:val="00605869"/>
    <w:rsid w:val="00605B42"/>
    <w:rsid w:val="00605DFA"/>
    <w:rsid w:val="00606208"/>
    <w:rsid w:val="006064C1"/>
    <w:rsid w:val="006064EC"/>
    <w:rsid w:val="006067A0"/>
    <w:rsid w:val="00606ABC"/>
    <w:rsid w:val="006070E0"/>
    <w:rsid w:val="00607338"/>
    <w:rsid w:val="00607697"/>
    <w:rsid w:val="006076EF"/>
    <w:rsid w:val="006079CC"/>
    <w:rsid w:val="00607B89"/>
    <w:rsid w:val="00607EAE"/>
    <w:rsid w:val="00607EEA"/>
    <w:rsid w:val="00607F67"/>
    <w:rsid w:val="006102FC"/>
    <w:rsid w:val="0061050A"/>
    <w:rsid w:val="006106A5"/>
    <w:rsid w:val="006107C1"/>
    <w:rsid w:val="00610854"/>
    <w:rsid w:val="00610935"/>
    <w:rsid w:val="00610A1C"/>
    <w:rsid w:val="00610D20"/>
    <w:rsid w:val="00611064"/>
    <w:rsid w:val="00611079"/>
    <w:rsid w:val="0061150D"/>
    <w:rsid w:val="0061187B"/>
    <w:rsid w:val="00611EA8"/>
    <w:rsid w:val="006122BB"/>
    <w:rsid w:val="006125B7"/>
    <w:rsid w:val="00612600"/>
    <w:rsid w:val="00612777"/>
    <w:rsid w:val="00612886"/>
    <w:rsid w:val="00613100"/>
    <w:rsid w:val="0061313D"/>
    <w:rsid w:val="00613554"/>
    <w:rsid w:val="00613936"/>
    <w:rsid w:val="00613990"/>
    <w:rsid w:val="00613BB5"/>
    <w:rsid w:val="00613BB6"/>
    <w:rsid w:val="00613D2A"/>
    <w:rsid w:val="00614112"/>
    <w:rsid w:val="006144A7"/>
    <w:rsid w:val="00614769"/>
    <w:rsid w:val="00614800"/>
    <w:rsid w:val="00614DFA"/>
    <w:rsid w:val="006150EE"/>
    <w:rsid w:val="006156F9"/>
    <w:rsid w:val="006158B8"/>
    <w:rsid w:val="00615BE4"/>
    <w:rsid w:val="00615EBD"/>
    <w:rsid w:val="00615F6E"/>
    <w:rsid w:val="00615FBC"/>
    <w:rsid w:val="00616019"/>
    <w:rsid w:val="00616056"/>
    <w:rsid w:val="006161A9"/>
    <w:rsid w:val="00616361"/>
    <w:rsid w:val="006163F2"/>
    <w:rsid w:val="006164D8"/>
    <w:rsid w:val="006169B4"/>
    <w:rsid w:val="00616B10"/>
    <w:rsid w:val="00616CA9"/>
    <w:rsid w:val="00616F7E"/>
    <w:rsid w:val="00617261"/>
    <w:rsid w:val="006172F5"/>
    <w:rsid w:val="00617313"/>
    <w:rsid w:val="00617333"/>
    <w:rsid w:val="0061742C"/>
    <w:rsid w:val="0061751D"/>
    <w:rsid w:val="00617589"/>
    <w:rsid w:val="006175B0"/>
    <w:rsid w:val="00617750"/>
    <w:rsid w:val="006179B8"/>
    <w:rsid w:val="00617A10"/>
    <w:rsid w:val="00617A2B"/>
    <w:rsid w:val="00617E1A"/>
    <w:rsid w:val="006200F4"/>
    <w:rsid w:val="00620132"/>
    <w:rsid w:val="006203BF"/>
    <w:rsid w:val="006204AB"/>
    <w:rsid w:val="00620544"/>
    <w:rsid w:val="006207F9"/>
    <w:rsid w:val="00620B5B"/>
    <w:rsid w:val="00620CB8"/>
    <w:rsid w:val="00620ECE"/>
    <w:rsid w:val="00621203"/>
    <w:rsid w:val="0062126D"/>
    <w:rsid w:val="0062144C"/>
    <w:rsid w:val="006214AC"/>
    <w:rsid w:val="006214B0"/>
    <w:rsid w:val="006214C9"/>
    <w:rsid w:val="006215EF"/>
    <w:rsid w:val="00621671"/>
    <w:rsid w:val="0062167D"/>
    <w:rsid w:val="0062177B"/>
    <w:rsid w:val="0062210A"/>
    <w:rsid w:val="006223F8"/>
    <w:rsid w:val="00622A05"/>
    <w:rsid w:val="00622B15"/>
    <w:rsid w:val="00622EC1"/>
    <w:rsid w:val="00623247"/>
    <w:rsid w:val="00623349"/>
    <w:rsid w:val="00623457"/>
    <w:rsid w:val="00623773"/>
    <w:rsid w:val="00623AE7"/>
    <w:rsid w:val="00623C62"/>
    <w:rsid w:val="00623CD9"/>
    <w:rsid w:val="00623E63"/>
    <w:rsid w:val="00623EE5"/>
    <w:rsid w:val="00623F49"/>
    <w:rsid w:val="00623F6F"/>
    <w:rsid w:val="00624278"/>
    <w:rsid w:val="006242A6"/>
    <w:rsid w:val="006248BE"/>
    <w:rsid w:val="00624C1D"/>
    <w:rsid w:val="00624C8D"/>
    <w:rsid w:val="00624E09"/>
    <w:rsid w:val="0062541A"/>
    <w:rsid w:val="00625606"/>
    <w:rsid w:val="00625A82"/>
    <w:rsid w:val="00625B24"/>
    <w:rsid w:val="00625BD3"/>
    <w:rsid w:val="00625F4E"/>
    <w:rsid w:val="0062634A"/>
    <w:rsid w:val="00626397"/>
    <w:rsid w:val="0062665D"/>
    <w:rsid w:val="0062685E"/>
    <w:rsid w:val="00626C2A"/>
    <w:rsid w:val="00626D9B"/>
    <w:rsid w:val="00626E8F"/>
    <w:rsid w:val="00626EDE"/>
    <w:rsid w:val="00626FD4"/>
    <w:rsid w:val="00627034"/>
    <w:rsid w:val="0062776C"/>
    <w:rsid w:val="006277F9"/>
    <w:rsid w:val="00627A18"/>
    <w:rsid w:val="0063013F"/>
    <w:rsid w:val="00630307"/>
    <w:rsid w:val="0063030B"/>
    <w:rsid w:val="006305C8"/>
    <w:rsid w:val="00630908"/>
    <w:rsid w:val="00630A1C"/>
    <w:rsid w:val="00630AE0"/>
    <w:rsid w:val="00630BC4"/>
    <w:rsid w:val="00630BC8"/>
    <w:rsid w:val="00631384"/>
    <w:rsid w:val="00631671"/>
    <w:rsid w:val="00631744"/>
    <w:rsid w:val="006319C1"/>
    <w:rsid w:val="00631DD7"/>
    <w:rsid w:val="00631F3A"/>
    <w:rsid w:val="00632310"/>
    <w:rsid w:val="00632476"/>
    <w:rsid w:val="0063254B"/>
    <w:rsid w:val="00632558"/>
    <w:rsid w:val="00632595"/>
    <w:rsid w:val="00632664"/>
    <w:rsid w:val="006326E2"/>
    <w:rsid w:val="00632922"/>
    <w:rsid w:val="006329EE"/>
    <w:rsid w:val="00632AF1"/>
    <w:rsid w:val="00632BEB"/>
    <w:rsid w:val="00632C99"/>
    <w:rsid w:val="00632DB8"/>
    <w:rsid w:val="00632DE0"/>
    <w:rsid w:val="0063306E"/>
    <w:rsid w:val="006331EF"/>
    <w:rsid w:val="0063329E"/>
    <w:rsid w:val="00633563"/>
    <w:rsid w:val="0063358D"/>
    <w:rsid w:val="00633768"/>
    <w:rsid w:val="0063376B"/>
    <w:rsid w:val="00633B09"/>
    <w:rsid w:val="00633B70"/>
    <w:rsid w:val="00633EB7"/>
    <w:rsid w:val="00633FAF"/>
    <w:rsid w:val="006342CF"/>
    <w:rsid w:val="00634344"/>
    <w:rsid w:val="00634414"/>
    <w:rsid w:val="00634904"/>
    <w:rsid w:val="00634981"/>
    <w:rsid w:val="00634AA1"/>
    <w:rsid w:val="00634BA2"/>
    <w:rsid w:val="00634CED"/>
    <w:rsid w:val="00634E3D"/>
    <w:rsid w:val="00634E8F"/>
    <w:rsid w:val="0063507B"/>
    <w:rsid w:val="006350C0"/>
    <w:rsid w:val="0063533D"/>
    <w:rsid w:val="0063536B"/>
    <w:rsid w:val="0063538F"/>
    <w:rsid w:val="00635448"/>
    <w:rsid w:val="0063546C"/>
    <w:rsid w:val="00635681"/>
    <w:rsid w:val="00635B15"/>
    <w:rsid w:val="00635DBA"/>
    <w:rsid w:val="00636161"/>
    <w:rsid w:val="00636269"/>
    <w:rsid w:val="00636270"/>
    <w:rsid w:val="00636321"/>
    <w:rsid w:val="0063641C"/>
    <w:rsid w:val="00636489"/>
    <w:rsid w:val="0063675D"/>
    <w:rsid w:val="00636991"/>
    <w:rsid w:val="006369AC"/>
    <w:rsid w:val="00636A2F"/>
    <w:rsid w:val="00636CA5"/>
    <w:rsid w:val="00636D1D"/>
    <w:rsid w:val="006373B6"/>
    <w:rsid w:val="00637467"/>
    <w:rsid w:val="00637509"/>
    <w:rsid w:val="00637ABC"/>
    <w:rsid w:val="00637CCA"/>
    <w:rsid w:val="00640078"/>
    <w:rsid w:val="0064018A"/>
    <w:rsid w:val="006401BB"/>
    <w:rsid w:val="006401C1"/>
    <w:rsid w:val="0064026C"/>
    <w:rsid w:val="00640385"/>
    <w:rsid w:val="00640430"/>
    <w:rsid w:val="0064046E"/>
    <w:rsid w:val="006405D7"/>
    <w:rsid w:val="00640A2A"/>
    <w:rsid w:val="00640ADB"/>
    <w:rsid w:val="00640C25"/>
    <w:rsid w:val="00640E6E"/>
    <w:rsid w:val="00640F4A"/>
    <w:rsid w:val="00640FFE"/>
    <w:rsid w:val="0064100C"/>
    <w:rsid w:val="006410E2"/>
    <w:rsid w:val="006411E8"/>
    <w:rsid w:val="00641266"/>
    <w:rsid w:val="0064138F"/>
    <w:rsid w:val="00641B7E"/>
    <w:rsid w:val="00641CA0"/>
    <w:rsid w:val="00641CA3"/>
    <w:rsid w:val="00641E1D"/>
    <w:rsid w:val="00641E83"/>
    <w:rsid w:val="00641EF2"/>
    <w:rsid w:val="006421CA"/>
    <w:rsid w:val="00642283"/>
    <w:rsid w:val="00642393"/>
    <w:rsid w:val="00642A4B"/>
    <w:rsid w:val="00642B81"/>
    <w:rsid w:val="00642DBF"/>
    <w:rsid w:val="00642ED7"/>
    <w:rsid w:val="00643ACC"/>
    <w:rsid w:val="00643C02"/>
    <w:rsid w:val="00643DDA"/>
    <w:rsid w:val="00644351"/>
    <w:rsid w:val="0064437B"/>
    <w:rsid w:val="0064459A"/>
    <w:rsid w:val="00644721"/>
    <w:rsid w:val="00644817"/>
    <w:rsid w:val="00644F10"/>
    <w:rsid w:val="00645131"/>
    <w:rsid w:val="00645561"/>
    <w:rsid w:val="00645657"/>
    <w:rsid w:val="0064568D"/>
    <w:rsid w:val="006456BA"/>
    <w:rsid w:val="006457AE"/>
    <w:rsid w:val="00645A7B"/>
    <w:rsid w:val="00645EFB"/>
    <w:rsid w:val="00646065"/>
    <w:rsid w:val="0064621D"/>
    <w:rsid w:val="00646337"/>
    <w:rsid w:val="00646433"/>
    <w:rsid w:val="00646775"/>
    <w:rsid w:val="00646860"/>
    <w:rsid w:val="0064691A"/>
    <w:rsid w:val="00646988"/>
    <w:rsid w:val="00646BE4"/>
    <w:rsid w:val="00646FA5"/>
    <w:rsid w:val="006473C3"/>
    <w:rsid w:val="00647441"/>
    <w:rsid w:val="006474D5"/>
    <w:rsid w:val="00647F22"/>
    <w:rsid w:val="00650158"/>
    <w:rsid w:val="006502E5"/>
    <w:rsid w:val="006504B5"/>
    <w:rsid w:val="00650546"/>
    <w:rsid w:val="006505EA"/>
    <w:rsid w:val="00650716"/>
    <w:rsid w:val="006507C7"/>
    <w:rsid w:val="00650D9C"/>
    <w:rsid w:val="00651028"/>
    <w:rsid w:val="0065106E"/>
    <w:rsid w:val="00651150"/>
    <w:rsid w:val="00651212"/>
    <w:rsid w:val="00651870"/>
    <w:rsid w:val="00651B3F"/>
    <w:rsid w:val="00651E47"/>
    <w:rsid w:val="00651E62"/>
    <w:rsid w:val="006520C0"/>
    <w:rsid w:val="006522F2"/>
    <w:rsid w:val="0065232F"/>
    <w:rsid w:val="00652341"/>
    <w:rsid w:val="0065251C"/>
    <w:rsid w:val="00652544"/>
    <w:rsid w:val="006525A5"/>
    <w:rsid w:val="00652858"/>
    <w:rsid w:val="00652F9C"/>
    <w:rsid w:val="00652FD4"/>
    <w:rsid w:val="00653453"/>
    <w:rsid w:val="0065396C"/>
    <w:rsid w:val="00653B7E"/>
    <w:rsid w:val="00653E81"/>
    <w:rsid w:val="006540FE"/>
    <w:rsid w:val="00654253"/>
    <w:rsid w:val="00654523"/>
    <w:rsid w:val="0065452A"/>
    <w:rsid w:val="00654942"/>
    <w:rsid w:val="00654967"/>
    <w:rsid w:val="00654A4F"/>
    <w:rsid w:val="00654AE7"/>
    <w:rsid w:val="00654D3D"/>
    <w:rsid w:val="0065502F"/>
    <w:rsid w:val="0065524E"/>
    <w:rsid w:val="0065579F"/>
    <w:rsid w:val="006558F9"/>
    <w:rsid w:val="00655B35"/>
    <w:rsid w:val="00655C46"/>
    <w:rsid w:val="00655F23"/>
    <w:rsid w:val="00655F9A"/>
    <w:rsid w:val="006561D1"/>
    <w:rsid w:val="0065634C"/>
    <w:rsid w:val="006563B8"/>
    <w:rsid w:val="0065647A"/>
    <w:rsid w:val="006565BD"/>
    <w:rsid w:val="00656711"/>
    <w:rsid w:val="00656A29"/>
    <w:rsid w:val="00656E19"/>
    <w:rsid w:val="00656E21"/>
    <w:rsid w:val="00656E31"/>
    <w:rsid w:val="006571B2"/>
    <w:rsid w:val="00657519"/>
    <w:rsid w:val="0065757F"/>
    <w:rsid w:val="00657592"/>
    <w:rsid w:val="006576C3"/>
    <w:rsid w:val="006576D2"/>
    <w:rsid w:val="006576DF"/>
    <w:rsid w:val="006577DE"/>
    <w:rsid w:val="00657CC1"/>
    <w:rsid w:val="00657EA4"/>
    <w:rsid w:val="006600E1"/>
    <w:rsid w:val="0066051C"/>
    <w:rsid w:val="006605F3"/>
    <w:rsid w:val="00660ABD"/>
    <w:rsid w:val="00660C8B"/>
    <w:rsid w:val="00660E27"/>
    <w:rsid w:val="00661058"/>
    <w:rsid w:val="00661078"/>
    <w:rsid w:val="00661195"/>
    <w:rsid w:val="0066122E"/>
    <w:rsid w:val="0066132B"/>
    <w:rsid w:val="006614AD"/>
    <w:rsid w:val="00661627"/>
    <w:rsid w:val="00661670"/>
    <w:rsid w:val="00661775"/>
    <w:rsid w:val="00661968"/>
    <w:rsid w:val="00661CA6"/>
    <w:rsid w:val="00661D83"/>
    <w:rsid w:val="006620B1"/>
    <w:rsid w:val="00662280"/>
    <w:rsid w:val="00662339"/>
    <w:rsid w:val="006625FF"/>
    <w:rsid w:val="00662628"/>
    <w:rsid w:val="0066289C"/>
    <w:rsid w:val="006628C2"/>
    <w:rsid w:val="00662970"/>
    <w:rsid w:val="00662B87"/>
    <w:rsid w:val="00662D46"/>
    <w:rsid w:val="00662DBB"/>
    <w:rsid w:val="00662DEB"/>
    <w:rsid w:val="00662E5D"/>
    <w:rsid w:val="00662F28"/>
    <w:rsid w:val="00662F46"/>
    <w:rsid w:val="006630AA"/>
    <w:rsid w:val="00663176"/>
    <w:rsid w:val="00663413"/>
    <w:rsid w:val="00663A4C"/>
    <w:rsid w:val="00663B73"/>
    <w:rsid w:val="00663C2F"/>
    <w:rsid w:val="006640F7"/>
    <w:rsid w:val="0066421E"/>
    <w:rsid w:val="006642D4"/>
    <w:rsid w:val="00664305"/>
    <w:rsid w:val="0066488E"/>
    <w:rsid w:val="00664893"/>
    <w:rsid w:val="0066489E"/>
    <w:rsid w:val="006648A7"/>
    <w:rsid w:val="00664B1A"/>
    <w:rsid w:val="00664EC8"/>
    <w:rsid w:val="00665414"/>
    <w:rsid w:val="006659FC"/>
    <w:rsid w:val="00665D81"/>
    <w:rsid w:val="00665E0B"/>
    <w:rsid w:val="00665E3E"/>
    <w:rsid w:val="00665EE5"/>
    <w:rsid w:val="00665FA9"/>
    <w:rsid w:val="006664BC"/>
    <w:rsid w:val="006667E3"/>
    <w:rsid w:val="00666928"/>
    <w:rsid w:val="006670EE"/>
    <w:rsid w:val="00667168"/>
    <w:rsid w:val="006671EB"/>
    <w:rsid w:val="006672EC"/>
    <w:rsid w:val="006673E4"/>
    <w:rsid w:val="0066751D"/>
    <w:rsid w:val="00667539"/>
    <w:rsid w:val="00667695"/>
    <w:rsid w:val="006676C4"/>
    <w:rsid w:val="0066771A"/>
    <w:rsid w:val="006677C8"/>
    <w:rsid w:val="006678C0"/>
    <w:rsid w:val="00667990"/>
    <w:rsid w:val="00667B30"/>
    <w:rsid w:val="00667B5D"/>
    <w:rsid w:val="00667B89"/>
    <w:rsid w:val="00667BBF"/>
    <w:rsid w:val="00667D09"/>
    <w:rsid w:val="00667FC6"/>
    <w:rsid w:val="00667FC9"/>
    <w:rsid w:val="00670135"/>
    <w:rsid w:val="006701BD"/>
    <w:rsid w:val="0067026A"/>
    <w:rsid w:val="00670343"/>
    <w:rsid w:val="0067040A"/>
    <w:rsid w:val="0067067C"/>
    <w:rsid w:val="00670748"/>
    <w:rsid w:val="00670794"/>
    <w:rsid w:val="00670B31"/>
    <w:rsid w:val="00670C87"/>
    <w:rsid w:val="00670FF1"/>
    <w:rsid w:val="006710AC"/>
    <w:rsid w:val="006711E2"/>
    <w:rsid w:val="0067158F"/>
    <w:rsid w:val="00671857"/>
    <w:rsid w:val="00671A93"/>
    <w:rsid w:val="00671AA5"/>
    <w:rsid w:val="00671DC1"/>
    <w:rsid w:val="00671E24"/>
    <w:rsid w:val="0067207C"/>
    <w:rsid w:val="006721CB"/>
    <w:rsid w:val="00672343"/>
    <w:rsid w:val="006724B9"/>
    <w:rsid w:val="00672E26"/>
    <w:rsid w:val="00672EB7"/>
    <w:rsid w:val="00672F0A"/>
    <w:rsid w:val="00672F73"/>
    <w:rsid w:val="006733F6"/>
    <w:rsid w:val="00673A4F"/>
    <w:rsid w:val="00673BDF"/>
    <w:rsid w:val="00673CB5"/>
    <w:rsid w:val="00673DE3"/>
    <w:rsid w:val="00673EB6"/>
    <w:rsid w:val="006743A0"/>
    <w:rsid w:val="006745D5"/>
    <w:rsid w:val="006746D5"/>
    <w:rsid w:val="00674706"/>
    <w:rsid w:val="006748BB"/>
    <w:rsid w:val="006748D5"/>
    <w:rsid w:val="0067495F"/>
    <w:rsid w:val="00674E77"/>
    <w:rsid w:val="00675135"/>
    <w:rsid w:val="00675264"/>
    <w:rsid w:val="0067526B"/>
    <w:rsid w:val="00675316"/>
    <w:rsid w:val="0067539E"/>
    <w:rsid w:val="006754B4"/>
    <w:rsid w:val="006755D3"/>
    <w:rsid w:val="00675978"/>
    <w:rsid w:val="006759AB"/>
    <w:rsid w:val="00675C37"/>
    <w:rsid w:val="00675CF3"/>
    <w:rsid w:val="00675D4E"/>
    <w:rsid w:val="00675F0F"/>
    <w:rsid w:val="006764AE"/>
    <w:rsid w:val="006764E7"/>
    <w:rsid w:val="00676589"/>
    <w:rsid w:val="006769AB"/>
    <w:rsid w:val="00676C99"/>
    <w:rsid w:val="00676D27"/>
    <w:rsid w:val="00676DBB"/>
    <w:rsid w:val="00677376"/>
    <w:rsid w:val="00677430"/>
    <w:rsid w:val="0067757E"/>
    <w:rsid w:val="00677587"/>
    <w:rsid w:val="00677679"/>
    <w:rsid w:val="006777D4"/>
    <w:rsid w:val="006779A2"/>
    <w:rsid w:val="00677AEE"/>
    <w:rsid w:val="00677BFC"/>
    <w:rsid w:val="00677F9A"/>
    <w:rsid w:val="0068013E"/>
    <w:rsid w:val="00680717"/>
    <w:rsid w:val="006808C8"/>
    <w:rsid w:val="00680A61"/>
    <w:rsid w:val="00681153"/>
    <w:rsid w:val="00681211"/>
    <w:rsid w:val="0068124B"/>
    <w:rsid w:val="006814BD"/>
    <w:rsid w:val="006815F0"/>
    <w:rsid w:val="00681832"/>
    <w:rsid w:val="00681B8C"/>
    <w:rsid w:val="00681C2D"/>
    <w:rsid w:val="00681ECC"/>
    <w:rsid w:val="00681F5D"/>
    <w:rsid w:val="0068203E"/>
    <w:rsid w:val="0068227E"/>
    <w:rsid w:val="006824E2"/>
    <w:rsid w:val="00682522"/>
    <w:rsid w:val="006828C5"/>
    <w:rsid w:val="00682BB2"/>
    <w:rsid w:val="00682DDB"/>
    <w:rsid w:val="00682DEF"/>
    <w:rsid w:val="00682EB9"/>
    <w:rsid w:val="00682EF9"/>
    <w:rsid w:val="0068300A"/>
    <w:rsid w:val="006831CA"/>
    <w:rsid w:val="0068326F"/>
    <w:rsid w:val="006832A6"/>
    <w:rsid w:val="0068333C"/>
    <w:rsid w:val="00683349"/>
    <w:rsid w:val="00683825"/>
    <w:rsid w:val="0068395A"/>
    <w:rsid w:val="00683973"/>
    <w:rsid w:val="00683A55"/>
    <w:rsid w:val="00683A86"/>
    <w:rsid w:val="00683B1B"/>
    <w:rsid w:val="00683C15"/>
    <w:rsid w:val="00683D7C"/>
    <w:rsid w:val="00683DA3"/>
    <w:rsid w:val="00683DDA"/>
    <w:rsid w:val="00683E9A"/>
    <w:rsid w:val="006840A2"/>
    <w:rsid w:val="006840DE"/>
    <w:rsid w:val="006846AC"/>
    <w:rsid w:val="006846C8"/>
    <w:rsid w:val="00684754"/>
    <w:rsid w:val="006848C0"/>
    <w:rsid w:val="00684D92"/>
    <w:rsid w:val="00684E3E"/>
    <w:rsid w:val="006855E6"/>
    <w:rsid w:val="00685649"/>
    <w:rsid w:val="0068569A"/>
    <w:rsid w:val="00685945"/>
    <w:rsid w:val="00685FD9"/>
    <w:rsid w:val="00686025"/>
    <w:rsid w:val="006861D8"/>
    <w:rsid w:val="00686580"/>
    <w:rsid w:val="00686790"/>
    <w:rsid w:val="00686C37"/>
    <w:rsid w:val="00686C83"/>
    <w:rsid w:val="00686EE1"/>
    <w:rsid w:val="00687254"/>
    <w:rsid w:val="006872A0"/>
    <w:rsid w:val="006875D4"/>
    <w:rsid w:val="00687738"/>
    <w:rsid w:val="006877FE"/>
    <w:rsid w:val="00687960"/>
    <w:rsid w:val="00690051"/>
    <w:rsid w:val="006901B1"/>
    <w:rsid w:val="00690646"/>
    <w:rsid w:val="006909A8"/>
    <w:rsid w:val="00690BBE"/>
    <w:rsid w:val="00690EE3"/>
    <w:rsid w:val="00690F50"/>
    <w:rsid w:val="00691087"/>
    <w:rsid w:val="0069126A"/>
    <w:rsid w:val="00691594"/>
    <w:rsid w:val="00691768"/>
    <w:rsid w:val="0069184B"/>
    <w:rsid w:val="006918AC"/>
    <w:rsid w:val="006918E2"/>
    <w:rsid w:val="00691919"/>
    <w:rsid w:val="00692283"/>
    <w:rsid w:val="00692359"/>
    <w:rsid w:val="00692445"/>
    <w:rsid w:val="006925E0"/>
    <w:rsid w:val="00692648"/>
    <w:rsid w:val="00692913"/>
    <w:rsid w:val="00692BFE"/>
    <w:rsid w:val="00692DEC"/>
    <w:rsid w:val="00692E19"/>
    <w:rsid w:val="00693285"/>
    <w:rsid w:val="006934A2"/>
    <w:rsid w:val="006935E1"/>
    <w:rsid w:val="006936CE"/>
    <w:rsid w:val="006938AD"/>
    <w:rsid w:val="0069396E"/>
    <w:rsid w:val="00693C06"/>
    <w:rsid w:val="00693E9A"/>
    <w:rsid w:val="0069402B"/>
    <w:rsid w:val="0069406A"/>
    <w:rsid w:val="006943C6"/>
    <w:rsid w:val="00694453"/>
    <w:rsid w:val="00694490"/>
    <w:rsid w:val="006944F1"/>
    <w:rsid w:val="00694769"/>
    <w:rsid w:val="00694986"/>
    <w:rsid w:val="00694A1D"/>
    <w:rsid w:val="00694DDC"/>
    <w:rsid w:val="00694E55"/>
    <w:rsid w:val="00695073"/>
    <w:rsid w:val="006951CC"/>
    <w:rsid w:val="00695351"/>
    <w:rsid w:val="00695619"/>
    <w:rsid w:val="006959C0"/>
    <w:rsid w:val="00695C04"/>
    <w:rsid w:val="00695D3E"/>
    <w:rsid w:val="00695EDA"/>
    <w:rsid w:val="00695F5F"/>
    <w:rsid w:val="00695F6C"/>
    <w:rsid w:val="0069605E"/>
    <w:rsid w:val="00696251"/>
    <w:rsid w:val="00696507"/>
    <w:rsid w:val="0069654B"/>
    <w:rsid w:val="006965DD"/>
    <w:rsid w:val="00696681"/>
    <w:rsid w:val="006966DC"/>
    <w:rsid w:val="00696C22"/>
    <w:rsid w:val="006973EB"/>
    <w:rsid w:val="0069743A"/>
    <w:rsid w:val="0069786C"/>
    <w:rsid w:val="00697879"/>
    <w:rsid w:val="006978CB"/>
    <w:rsid w:val="00697A31"/>
    <w:rsid w:val="00697BBB"/>
    <w:rsid w:val="00697FEE"/>
    <w:rsid w:val="006A0370"/>
    <w:rsid w:val="006A06B6"/>
    <w:rsid w:val="006A0746"/>
    <w:rsid w:val="006A075F"/>
    <w:rsid w:val="006A080E"/>
    <w:rsid w:val="006A08EF"/>
    <w:rsid w:val="006A08FB"/>
    <w:rsid w:val="006A0913"/>
    <w:rsid w:val="006A0DA1"/>
    <w:rsid w:val="006A1297"/>
    <w:rsid w:val="006A12B6"/>
    <w:rsid w:val="006A1348"/>
    <w:rsid w:val="006A1513"/>
    <w:rsid w:val="006A15CA"/>
    <w:rsid w:val="006A165B"/>
    <w:rsid w:val="006A1667"/>
    <w:rsid w:val="006A17FD"/>
    <w:rsid w:val="006A1D30"/>
    <w:rsid w:val="006A1D72"/>
    <w:rsid w:val="006A1E46"/>
    <w:rsid w:val="006A1FCE"/>
    <w:rsid w:val="006A2075"/>
    <w:rsid w:val="006A20C8"/>
    <w:rsid w:val="006A2270"/>
    <w:rsid w:val="006A246D"/>
    <w:rsid w:val="006A24E2"/>
    <w:rsid w:val="006A257C"/>
    <w:rsid w:val="006A261F"/>
    <w:rsid w:val="006A2BF8"/>
    <w:rsid w:val="006A306D"/>
    <w:rsid w:val="006A3070"/>
    <w:rsid w:val="006A31B5"/>
    <w:rsid w:val="006A3207"/>
    <w:rsid w:val="006A3519"/>
    <w:rsid w:val="006A36C3"/>
    <w:rsid w:val="006A3BC5"/>
    <w:rsid w:val="006A4145"/>
    <w:rsid w:val="006A41F4"/>
    <w:rsid w:val="006A4314"/>
    <w:rsid w:val="006A43B6"/>
    <w:rsid w:val="006A4AA2"/>
    <w:rsid w:val="006A4C67"/>
    <w:rsid w:val="006A4D80"/>
    <w:rsid w:val="006A4E02"/>
    <w:rsid w:val="006A4FCA"/>
    <w:rsid w:val="006A5171"/>
    <w:rsid w:val="006A5240"/>
    <w:rsid w:val="006A52E7"/>
    <w:rsid w:val="006A5381"/>
    <w:rsid w:val="006A5525"/>
    <w:rsid w:val="006A56AF"/>
    <w:rsid w:val="006A58F4"/>
    <w:rsid w:val="006A5C27"/>
    <w:rsid w:val="006A5C46"/>
    <w:rsid w:val="006A5EE7"/>
    <w:rsid w:val="006A60B8"/>
    <w:rsid w:val="006A613D"/>
    <w:rsid w:val="006A61A7"/>
    <w:rsid w:val="006A6322"/>
    <w:rsid w:val="006A647A"/>
    <w:rsid w:val="006A658A"/>
    <w:rsid w:val="006A665B"/>
    <w:rsid w:val="006A6807"/>
    <w:rsid w:val="006A6FE9"/>
    <w:rsid w:val="006A741F"/>
    <w:rsid w:val="006A7646"/>
    <w:rsid w:val="006A77C9"/>
    <w:rsid w:val="006A7859"/>
    <w:rsid w:val="006A7884"/>
    <w:rsid w:val="006A7B18"/>
    <w:rsid w:val="006A7C7E"/>
    <w:rsid w:val="006A7EE5"/>
    <w:rsid w:val="006B004E"/>
    <w:rsid w:val="006B00C1"/>
    <w:rsid w:val="006B0398"/>
    <w:rsid w:val="006B057C"/>
    <w:rsid w:val="006B05A5"/>
    <w:rsid w:val="006B0848"/>
    <w:rsid w:val="006B0F6B"/>
    <w:rsid w:val="006B0FCF"/>
    <w:rsid w:val="006B1261"/>
    <w:rsid w:val="006B1290"/>
    <w:rsid w:val="006B135B"/>
    <w:rsid w:val="006B13B3"/>
    <w:rsid w:val="006B13D6"/>
    <w:rsid w:val="006B14BD"/>
    <w:rsid w:val="006B16FD"/>
    <w:rsid w:val="006B1A69"/>
    <w:rsid w:val="006B1ACF"/>
    <w:rsid w:val="006B2781"/>
    <w:rsid w:val="006B2859"/>
    <w:rsid w:val="006B28C3"/>
    <w:rsid w:val="006B28CA"/>
    <w:rsid w:val="006B297D"/>
    <w:rsid w:val="006B2AFD"/>
    <w:rsid w:val="006B2B32"/>
    <w:rsid w:val="006B2DD6"/>
    <w:rsid w:val="006B2E61"/>
    <w:rsid w:val="006B2E91"/>
    <w:rsid w:val="006B2FB7"/>
    <w:rsid w:val="006B3018"/>
    <w:rsid w:val="006B317B"/>
    <w:rsid w:val="006B31B6"/>
    <w:rsid w:val="006B330C"/>
    <w:rsid w:val="006B3448"/>
    <w:rsid w:val="006B39CA"/>
    <w:rsid w:val="006B3A09"/>
    <w:rsid w:val="006B3A87"/>
    <w:rsid w:val="006B3D4E"/>
    <w:rsid w:val="006B3D88"/>
    <w:rsid w:val="006B4073"/>
    <w:rsid w:val="006B42E6"/>
    <w:rsid w:val="006B43C5"/>
    <w:rsid w:val="006B497A"/>
    <w:rsid w:val="006B49B1"/>
    <w:rsid w:val="006B4A1B"/>
    <w:rsid w:val="006B4B86"/>
    <w:rsid w:val="006B4BA0"/>
    <w:rsid w:val="006B4F09"/>
    <w:rsid w:val="006B5178"/>
    <w:rsid w:val="006B5324"/>
    <w:rsid w:val="006B5431"/>
    <w:rsid w:val="006B5696"/>
    <w:rsid w:val="006B5760"/>
    <w:rsid w:val="006B599D"/>
    <w:rsid w:val="006B5F5B"/>
    <w:rsid w:val="006B60A4"/>
    <w:rsid w:val="006B62C7"/>
    <w:rsid w:val="006B66F1"/>
    <w:rsid w:val="006B676B"/>
    <w:rsid w:val="006B676F"/>
    <w:rsid w:val="006B67D2"/>
    <w:rsid w:val="006B6A2D"/>
    <w:rsid w:val="006B6AAD"/>
    <w:rsid w:val="006B6BC7"/>
    <w:rsid w:val="006B6E2B"/>
    <w:rsid w:val="006B6EC9"/>
    <w:rsid w:val="006B6ED3"/>
    <w:rsid w:val="006B6EF2"/>
    <w:rsid w:val="006B7147"/>
    <w:rsid w:val="006B7200"/>
    <w:rsid w:val="006B766A"/>
    <w:rsid w:val="006B7B53"/>
    <w:rsid w:val="006B7B9F"/>
    <w:rsid w:val="006B7CB8"/>
    <w:rsid w:val="006B7CFE"/>
    <w:rsid w:val="006C007F"/>
    <w:rsid w:val="006C015E"/>
    <w:rsid w:val="006C01E0"/>
    <w:rsid w:val="006C049B"/>
    <w:rsid w:val="006C04A1"/>
    <w:rsid w:val="006C0875"/>
    <w:rsid w:val="006C0DA1"/>
    <w:rsid w:val="006C129E"/>
    <w:rsid w:val="006C183E"/>
    <w:rsid w:val="006C18AC"/>
    <w:rsid w:val="006C1A7A"/>
    <w:rsid w:val="006C1E92"/>
    <w:rsid w:val="006C235B"/>
    <w:rsid w:val="006C250E"/>
    <w:rsid w:val="006C2726"/>
    <w:rsid w:val="006C2AE9"/>
    <w:rsid w:val="006C2F05"/>
    <w:rsid w:val="006C2F91"/>
    <w:rsid w:val="006C3519"/>
    <w:rsid w:val="006C35CB"/>
    <w:rsid w:val="006C37AB"/>
    <w:rsid w:val="006C3CB4"/>
    <w:rsid w:val="006C3F0F"/>
    <w:rsid w:val="006C43D6"/>
    <w:rsid w:val="006C44C9"/>
    <w:rsid w:val="006C4927"/>
    <w:rsid w:val="006C4A39"/>
    <w:rsid w:val="006C4C51"/>
    <w:rsid w:val="006C5273"/>
    <w:rsid w:val="006C54B0"/>
    <w:rsid w:val="006C54C7"/>
    <w:rsid w:val="006C5673"/>
    <w:rsid w:val="006C5D0C"/>
    <w:rsid w:val="006C5D69"/>
    <w:rsid w:val="006C65E5"/>
    <w:rsid w:val="006C669C"/>
    <w:rsid w:val="006C693A"/>
    <w:rsid w:val="006C6AE3"/>
    <w:rsid w:val="006C6B7D"/>
    <w:rsid w:val="006C6C40"/>
    <w:rsid w:val="006C6D0B"/>
    <w:rsid w:val="006C6E0D"/>
    <w:rsid w:val="006C7237"/>
    <w:rsid w:val="006C73EA"/>
    <w:rsid w:val="006C75CA"/>
    <w:rsid w:val="006C7619"/>
    <w:rsid w:val="006C7C64"/>
    <w:rsid w:val="006C7C96"/>
    <w:rsid w:val="006C7F81"/>
    <w:rsid w:val="006D0244"/>
    <w:rsid w:val="006D024C"/>
    <w:rsid w:val="006D037E"/>
    <w:rsid w:val="006D0540"/>
    <w:rsid w:val="006D0542"/>
    <w:rsid w:val="006D05D3"/>
    <w:rsid w:val="006D085E"/>
    <w:rsid w:val="006D0887"/>
    <w:rsid w:val="006D0917"/>
    <w:rsid w:val="006D0A62"/>
    <w:rsid w:val="006D0D9E"/>
    <w:rsid w:val="006D1066"/>
    <w:rsid w:val="006D1173"/>
    <w:rsid w:val="006D1193"/>
    <w:rsid w:val="006D11C6"/>
    <w:rsid w:val="006D124D"/>
    <w:rsid w:val="006D168C"/>
    <w:rsid w:val="006D180A"/>
    <w:rsid w:val="006D21A7"/>
    <w:rsid w:val="006D21DF"/>
    <w:rsid w:val="006D2418"/>
    <w:rsid w:val="006D25A3"/>
    <w:rsid w:val="006D25B5"/>
    <w:rsid w:val="006D25FA"/>
    <w:rsid w:val="006D262D"/>
    <w:rsid w:val="006D26DD"/>
    <w:rsid w:val="006D2AD0"/>
    <w:rsid w:val="006D2C8A"/>
    <w:rsid w:val="006D3159"/>
    <w:rsid w:val="006D36F3"/>
    <w:rsid w:val="006D394C"/>
    <w:rsid w:val="006D39B7"/>
    <w:rsid w:val="006D4338"/>
    <w:rsid w:val="006D4536"/>
    <w:rsid w:val="006D4686"/>
    <w:rsid w:val="006D4A96"/>
    <w:rsid w:val="006D4D60"/>
    <w:rsid w:val="006D4DFF"/>
    <w:rsid w:val="006D4F6F"/>
    <w:rsid w:val="006D5283"/>
    <w:rsid w:val="006D5329"/>
    <w:rsid w:val="006D545A"/>
    <w:rsid w:val="006D55FD"/>
    <w:rsid w:val="006D5A35"/>
    <w:rsid w:val="006D5D5A"/>
    <w:rsid w:val="006D6042"/>
    <w:rsid w:val="006D6205"/>
    <w:rsid w:val="006D6289"/>
    <w:rsid w:val="006D63AD"/>
    <w:rsid w:val="006D6471"/>
    <w:rsid w:val="006D64B5"/>
    <w:rsid w:val="006D64D4"/>
    <w:rsid w:val="006D65CC"/>
    <w:rsid w:val="006D65D6"/>
    <w:rsid w:val="006D6663"/>
    <w:rsid w:val="006D6897"/>
    <w:rsid w:val="006D6B73"/>
    <w:rsid w:val="006D6C16"/>
    <w:rsid w:val="006D6E07"/>
    <w:rsid w:val="006D6FED"/>
    <w:rsid w:val="006D71CA"/>
    <w:rsid w:val="006D7277"/>
    <w:rsid w:val="006D7520"/>
    <w:rsid w:val="006D75BC"/>
    <w:rsid w:val="006D7682"/>
    <w:rsid w:val="006D76AC"/>
    <w:rsid w:val="006D772D"/>
    <w:rsid w:val="006D7746"/>
    <w:rsid w:val="006D7B74"/>
    <w:rsid w:val="006D7D6F"/>
    <w:rsid w:val="006D7DC1"/>
    <w:rsid w:val="006D7E15"/>
    <w:rsid w:val="006D7E37"/>
    <w:rsid w:val="006D7FC6"/>
    <w:rsid w:val="006E0035"/>
    <w:rsid w:val="006E0090"/>
    <w:rsid w:val="006E0317"/>
    <w:rsid w:val="006E034C"/>
    <w:rsid w:val="006E0457"/>
    <w:rsid w:val="006E06EC"/>
    <w:rsid w:val="006E0759"/>
    <w:rsid w:val="006E077A"/>
    <w:rsid w:val="006E0854"/>
    <w:rsid w:val="006E0EB3"/>
    <w:rsid w:val="006E1446"/>
    <w:rsid w:val="006E1498"/>
    <w:rsid w:val="006E180A"/>
    <w:rsid w:val="006E1A5F"/>
    <w:rsid w:val="006E1F8B"/>
    <w:rsid w:val="006E2047"/>
    <w:rsid w:val="006E2138"/>
    <w:rsid w:val="006E2147"/>
    <w:rsid w:val="006E2309"/>
    <w:rsid w:val="006E2375"/>
    <w:rsid w:val="006E26D7"/>
    <w:rsid w:val="006E2700"/>
    <w:rsid w:val="006E27EE"/>
    <w:rsid w:val="006E2A11"/>
    <w:rsid w:val="006E2A98"/>
    <w:rsid w:val="006E2D61"/>
    <w:rsid w:val="006E2DF1"/>
    <w:rsid w:val="006E2F4C"/>
    <w:rsid w:val="006E301D"/>
    <w:rsid w:val="006E33BA"/>
    <w:rsid w:val="006E3525"/>
    <w:rsid w:val="006E3775"/>
    <w:rsid w:val="006E37BF"/>
    <w:rsid w:val="006E393F"/>
    <w:rsid w:val="006E3C15"/>
    <w:rsid w:val="006E3D0E"/>
    <w:rsid w:val="006E3D80"/>
    <w:rsid w:val="006E45B3"/>
    <w:rsid w:val="006E46D4"/>
    <w:rsid w:val="006E483F"/>
    <w:rsid w:val="006E49A0"/>
    <w:rsid w:val="006E4C2C"/>
    <w:rsid w:val="006E4C52"/>
    <w:rsid w:val="006E4CFF"/>
    <w:rsid w:val="006E4E0B"/>
    <w:rsid w:val="006E4E41"/>
    <w:rsid w:val="006E4F5E"/>
    <w:rsid w:val="006E4FFB"/>
    <w:rsid w:val="006E5272"/>
    <w:rsid w:val="006E52E9"/>
    <w:rsid w:val="006E539E"/>
    <w:rsid w:val="006E5420"/>
    <w:rsid w:val="006E56EB"/>
    <w:rsid w:val="006E5823"/>
    <w:rsid w:val="006E5919"/>
    <w:rsid w:val="006E5989"/>
    <w:rsid w:val="006E59BF"/>
    <w:rsid w:val="006E5F05"/>
    <w:rsid w:val="006E62BD"/>
    <w:rsid w:val="006E6302"/>
    <w:rsid w:val="006E67A3"/>
    <w:rsid w:val="006E67E1"/>
    <w:rsid w:val="006E6829"/>
    <w:rsid w:val="006E68B2"/>
    <w:rsid w:val="006E6CAC"/>
    <w:rsid w:val="006E71D4"/>
    <w:rsid w:val="006E746D"/>
    <w:rsid w:val="006E7785"/>
    <w:rsid w:val="006E794E"/>
    <w:rsid w:val="006E795D"/>
    <w:rsid w:val="006E7D73"/>
    <w:rsid w:val="006E7FBA"/>
    <w:rsid w:val="006F03DB"/>
    <w:rsid w:val="006F0591"/>
    <w:rsid w:val="006F0EE9"/>
    <w:rsid w:val="006F1001"/>
    <w:rsid w:val="006F11FA"/>
    <w:rsid w:val="006F152D"/>
    <w:rsid w:val="006F1730"/>
    <w:rsid w:val="006F1757"/>
    <w:rsid w:val="006F1975"/>
    <w:rsid w:val="006F1C89"/>
    <w:rsid w:val="006F1D50"/>
    <w:rsid w:val="006F2380"/>
    <w:rsid w:val="006F23B5"/>
    <w:rsid w:val="006F2592"/>
    <w:rsid w:val="006F2C34"/>
    <w:rsid w:val="006F2F0B"/>
    <w:rsid w:val="006F2F60"/>
    <w:rsid w:val="006F30AD"/>
    <w:rsid w:val="006F3212"/>
    <w:rsid w:val="006F3341"/>
    <w:rsid w:val="006F35A4"/>
    <w:rsid w:val="006F35FC"/>
    <w:rsid w:val="006F3680"/>
    <w:rsid w:val="006F384F"/>
    <w:rsid w:val="006F3A2C"/>
    <w:rsid w:val="006F3BFD"/>
    <w:rsid w:val="006F4006"/>
    <w:rsid w:val="006F411E"/>
    <w:rsid w:val="006F41D0"/>
    <w:rsid w:val="006F41E3"/>
    <w:rsid w:val="006F42C8"/>
    <w:rsid w:val="006F45CE"/>
    <w:rsid w:val="006F4719"/>
    <w:rsid w:val="006F4876"/>
    <w:rsid w:val="006F4A3C"/>
    <w:rsid w:val="006F4B1A"/>
    <w:rsid w:val="006F4B62"/>
    <w:rsid w:val="006F4D09"/>
    <w:rsid w:val="006F4F79"/>
    <w:rsid w:val="006F52DE"/>
    <w:rsid w:val="006F5470"/>
    <w:rsid w:val="006F55A5"/>
    <w:rsid w:val="006F586C"/>
    <w:rsid w:val="006F5CE8"/>
    <w:rsid w:val="006F6232"/>
    <w:rsid w:val="006F6399"/>
    <w:rsid w:val="006F693A"/>
    <w:rsid w:val="006F69DF"/>
    <w:rsid w:val="006F6FA0"/>
    <w:rsid w:val="006F70A1"/>
    <w:rsid w:val="006F71B9"/>
    <w:rsid w:val="006F71C8"/>
    <w:rsid w:val="006F7228"/>
    <w:rsid w:val="006F7374"/>
    <w:rsid w:val="006F7504"/>
    <w:rsid w:val="006F7586"/>
    <w:rsid w:val="006F759C"/>
    <w:rsid w:val="006F7683"/>
    <w:rsid w:val="006F7945"/>
    <w:rsid w:val="006F7EA6"/>
    <w:rsid w:val="006FE4C2"/>
    <w:rsid w:val="007000E1"/>
    <w:rsid w:val="00700122"/>
    <w:rsid w:val="007003D8"/>
    <w:rsid w:val="007006F6"/>
    <w:rsid w:val="00700749"/>
    <w:rsid w:val="00700849"/>
    <w:rsid w:val="007008BC"/>
    <w:rsid w:val="00700A3F"/>
    <w:rsid w:val="00700A6C"/>
    <w:rsid w:val="00700C96"/>
    <w:rsid w:val="00700E74"/>
    <w:rsid w:val="00701232"/>
    <w:rsid w:val="00701321"/>
    <w:rsid w:val="00701433"/>
    <w:rsid w:val="00701578"/>
    <w:rsid w:val="00701676"/>
    <w:rsid w:val="00701858"/>
    <w:rsid w:val="0070198C"/>
    <w:rsid w:val="00701BF0"/>
    <w:rsid w:val="00701CB0"/>
    <w:rsid w:val="0070224D"/>
    <w:rsid w:val="007022C5"/>
    <w:rsid w:val="00702C55"/>
    <w:rsid w:val="00702DAB"/>
    <w:rsid w:val="00702DD3"/>
    <w:rsid w:val="0070385D"/>
    <w:rsid w:val="00703995"/>
    <w:rsid w:val="007040C2"/>
    <w:rsid w:val="007041B9"/>
    <w:rsid w:val="00704223"/>
    <w:rsid w:val="00704AFC"/>
    <w:rsid w:val="00704B7E"/>
    <w:rsid w:val="00705046"/>
    <w:rsid w:val="007055EF"/>
    <w:rsid w:val="00705720"/>
    <w:rsid w:val="00705E2C"/>
    <w:rsid w:val="00705FFD"/>
    <w:rsid w:val="007060B6"/>
    <w:rsid w:val="00706352"/>
    <w:rsid w:val="00706423"/>
    <w:rsid w:val="0070646B"/>
    <w:rsid w:val="00706470"/>
    <w:rsid w:val="00706516"/>
    <w:rsid w:val="00706761"/>
    <w:rsid w:val="007068D5"/>
    <w:rsid w:val="00706968"/>
    <w:rsid w:val="00706A9A"/>
    <w:rsid w:val="00706ED9"/>
    <w:rsid w:val="00706F55"/>
    <w:rsid w:val="007072A2"/>
    <w:rsid w:val="00707315"/>
    <w:rsid w:val="0070733A"/>
    <w:rsid w:val="00707424"/>
    <w:rsid w:val="007075B5"/>
    <w:rsid w:val="007076D9"/>
    <w:rsid w:val="00707731"/>
    <w:rsid w:val="00707BBE"/>
    <w:rsid w:val="00707C22"/>
    <w:rsid w:val="007101D6"/>
    <w:rsid w:val="00710340"/>
    <w:rsid w:val="0071054F"/>
    <w:rsid w:val="0071072C"/>
    <w:rsid w:val="00710832"/>
    <w:rsid w:val="00710AC9"/>
    <w:rsid w:val="00710AEF"/>
    <w:rsid w:val="00710DC3"/>
    <w:rsid w:val="0071111E"/>
    <w:rsid w:val="007112AA"/>
    <w:rsid w:val="007114E8"/>
    <w:rsid w:val="00711505"/>
    <w:rsid w:val="007115F2"/>
    <w:rsid w:val="0071172D"/>
    <w:rsid w:val="00711C2C"/>
    <w:rsid w:val="00711FDC"/>
    <w:rsid w:val="00712039"/>
    <w:rsid w:val="00712084"/>
    <w:rsid w:val="007120C3"/>
    <w:rsid w:val="00712238"/>
    <w:rsid w:val="0071224E"/>
    <w:rsid w:val="00712492"/>
    <w:rsid w:val="0071253F"/>
    <w:rsid w:val="007126F6"/>
    <w:rsid w:val="007127DD"/>
    <w:rsid w:val="00712AEF"/>
    <w:rsid w:val="00712E50"/>
    <w:rsid w:val="00712E98"/>
    <w:rsid w:val="00712F13"/>
    <w:rsid w:val="007130D5"/>
    <w:rsid w:val="00713166"/>
    <w:rsid w:val="00713562"/>
    <w:rsid w:val="007137E8"/>
    <w:rsid w:val="00713EF6"/>
    <w:rsid w:val="0071419E"/>
    <w:rsid w:val="007146C6"/>
    <w:rsid w:val="0071495C"/>
    <w:rsid w:val="007149E3"/>
    <w:rsid w:val="00714AF3"/>
    <w:rsid w:val="00714B4F"/>
    <w:rsid w:val="00714EF0"/>
    <w:rsid w:val="00715024"/>
    <w:rsid w:val="00715053"/>
    <w:rsid w:val="0071510E"/>
    <w:rsid w:val="0071514F"/>
    <w:rsid w:val="007158F0"/>
    <w:rsid w:val="00715A3A"/>
    <w:rsid w:val="00715AA3"/>
    <w:rsid w:val="00715C3B"/>
    <w:rsid w:val="00715F80"/>
    <w:rsid w:val="00715F85"/>
    <w:rsid w:val="0071608D"/>
    <w:rsid w:val="00716099"/>
    <w:rsid w:val="00716406"/>
    <w:rsid w:val="00716693"/>
    <w:rsid w:val="007169CC"/>
    <w:rsid w:val="00716A33"/>
    <w:rsid w:val="00716C63"/>
    <w:rsid w:val="00716CD0"/>
    <w:rsid w:val="00716D63"/>
    <w:rsid w:val="0071713B"/>
    <w:rsid w:val="0071722E"/>
    <w:rsid w:val="007176A6"/>
    <w:rsid w:val="00717766"/>
    <w:rsid w:val="0071782E"/>
    <w:rsid w:val="007179EC"/>
    <w:rsid w:val="00717C3F"/>
    <w:rsid w:val="00717C7A"/>
    <w:rsid w:val="00717E05"/>
    <w:rsid w:val="00717ED1"/>
    <w:rsid w:val="00717F34"/>
    <w:rsid w:val="00720037"/>
    <w:rsid w:val="00720097"/>
    <w:rsid w:val="0072018F"/>
    <w:rsid w:val="00720262"/>
    <w:rsid w:val="0072026F"/>
    <w:rsid w:val="007205EC"/>
    <w:rsid w:val="00720A05"/>
    <w:rsid w:val="00720C74"/>
    <w:rsid w:val="00720CAD"/>
    <w:rsid w:val="00721873"/>
    <w:rsid w:val="007219B6"/>
    <w:rsid w:val="00721A05"/>
    <w:rsid w:val="00721B8D"/>
    <w:rsid w:val="00721B9A"/>
    <w:rsid w:val="00721CD0"/>
    <w:rsid w:val="00721E93"/>
    <w:rsid w:val="00721FA5"/>
    <w:rsid w:val="00722375"/>
    <w:rsid w:val="007223C8"/>
    <w:rsid w:val="00722437"/>
    <w:rsid w:val="00722479"/>
    <w:rsid w:val="00722773"/>
    <w:rsid w:val="0072279B"/>
    <w:rsid w:val="00722ADB"/>
    <w:rsid w:val="00722C18"/>
    <w:rsid w:val="00722D11"/>
    <w:rsid w:val="00722E2F"/>
    <w:rsid w:val="00722F31"/>
    <w:rsid w:val="0072333E"/>
    <w:rsid w:val="007234B2"/>
    <w:rsid w:val="007237B5"/>
    <w:rsid w:val="00723981"/>
    <w:rsid w:val="00723D26"/>
    <w:rsid w:val="00723D6C"/>
    <w:rsid w:val="00723EEA"/>
    <w:rsid w:val="00724182"/>
    <w:rsid w:val="00724254"/>
    <w:rsid w:val="0072425C"/>
    <w:rsid w:val="00724280"/>
    <w:rsid w:val="0072430B"/>
    <w:rsid w:val="00724481"/>
    <w:rsid w:val="007244ED"/>
    <w:rsid w:val="00724784"/>
    <w:rsid w:val="00724C50"/>
    <w:rsid w:val="0072507B"/>
    <w:rsid w:val="00725126"/>
    <w:rsid w:val="00725225"/>
    <w:rsid w:val="0072524F"/>
    <w:rsid w:val="007254F8"/>
    <w:rsid w:val="00725759"/>
    <w:rsid w:val="0072575B"/>
    <w:rsid w:val="00725779"/>
    <w:rsid w:val="007258BA"/>
    <w:rsid w:val="0072592E"/>
    <w:rsid w:val="00725A7B"/>
    <w:rsid w:val="00725D1F"/>
    <w:rsid w:val="0072609C"/>
    <w:rsid w:val="007261A4"/>
    <w:rsid w:val="00726277"/>
    <w:rsid w:val="0072627C"/>
    <w:rsid w:val="00726552"/>
    <w:rsid w:val="007266D2"/>
    <w:rsid w:val="007267AB"/>
    <w:rsid w:val="007269F5"/>
    <w:rsid w:val="00726AEE"/>
    <w:rsid w:val="00726C04"/>
    <w:rsid w:val="00726EFE"/>
    <w:rsid w:val="00727526"/>
    <w:rsid w:val="007275A8"/>
    <w:rsid w:val="007277B2"/>
    <w:rsid w:val="00727D63"/>
    <w:rsid w:val="00727E14"/>
    <w:rsid w:val="00727E9A"/>
    <w:rsid w:val="00727FF5"/>
    <w:rsid w:val="0073002B"/>
    <w:rsid w:val="007307C6"/>
    <w:rsid w:val="00730BEB"/>
    <w:rsid w:val="00730C39"/>
    <w:rsid w:val="00730C8E"/>
    <w:rsid w:val="007312E0"/>
    <w:rsid w:val="0073134D"/>
    <w:rsid w:val="007315A3"/>
    <w:rsid w:val="007315AE"/>
    <w:rsid w:val="007315E9"/>
    <w:rsid w:val="00731650"/>
    <w:rsid w:val="00731827"/>
    <w:rsid w:val="00731849"/>
    <w:rsid w:val="0073184C"/>
    <w:rsid w:val="00731951"/>
    <w:rsid w:val="00731ECF"/>
    <w:rsid w:val="00731FF1"/>
    <w:rsid w:val="00732134"/>
    <w:rsid w:val="007321E6"/>
    <w:rsid w:val="0073227A"/>
    <w:rsid w:val="007323D8"/>
    <w:rsid w:val="00732952"/>
    <w:rsid w:val="00732C6A"/>
    <w:rsid w:val="00732D71"/>
    <w:rsid w:val="00732D9C"/>
    <w:rsid w:val="007330DB"/>
    <w:rsid w:val="00733727"/>
    <w:rsid w:val="007337B5"/>
    <w:rsid w:val="00733837"/>
    <w:rsid w:val="00733D18"/>
    <w:rsid w:val="00733EAE"/>
    <w:rsid w:val="00733ED8"/>
    <w:rsid w:val="00734353"/>
    <w:rsid w:val="007347AB"/>
    <w:rsid w:val="0073486F"/>
    <w:rsid w:val="007349E5"/>
    <w:rsid w:val="00734A22"/>
    <w:rsid w:val="00734C0F"/>
    <w:rsid w:val="00734D4A"/>
    <w:rsid w:val="00734E7A"/>
    <w:rsid w:val="00734ED7"/>
    <w:rsid w:val="0073507A"/>
    <w:rsid w:val="00735122"/>
    <w:rsid w:val="007351EF"/>
    <w:rsid w:val="00735368"/>
    <w:rsid w:val="007354F7"/>
    <w:rsid w:val="007356CF"/>
    <w:rsid w:val="007359F9"/>
    <w:rsid w:val="00735C30"/>
    <w:rsid w:val="00735DCD"/>
    <w:rsid w:val="00735F0D"/>
    <w:rsid w:val="007361C3"/>
    <w:rsid w:val="0073677F"/>
    <w:rsid w:val="00736ADF"/>
    <w:rsid w:val="00736EB0"/>
    <w:rsid w:val="00736F98"/>
    <w:rsid w:val="00737006"/>
    <w:rsid w:val="007370DC"/>
    <w:rsid w:val="007373DA"/>
    <w:rsid w:val="0073765E"/>
    <w:rsid w:val="00737759"/>
    <w:rsid w:val="0073796C"/>
    <w:rsid w:val="00737BB1"/>
    <w:rsid w:val="00737F3D"/>
    <w:rsid w:val="00737FF1"/>
    <w:rsid w:val="00740036"/>
    <w:rsid w:val="00740049"/>
    <w:rsid w:val="00740113"/>
    <w:rsid w:val="007402D6"/>
    <w:rsid w:val="0074039B"/>
    <w:rsid w:val="00740553"/>
    <w:rsid w:val="00740B21"/>
    <w:rsid w:val="00740ECB"/>
    <w:rsid w:val="00740F18"/>
    <w:rsid w:val="00741215"/>
    <w:rsid w:val="007413EA"/>
    <w:rsid w:val="007416DF"/>
    <w:rsid w:val="00741874"/>
    <w:rsid w:val="007419A3"/>
    <w:rsid w:val="00741D52"/>
    <w:rsid w:val="00741E9F"/>
    <w:rsid w:val="00741EC0"/>
    <w:rsid w:val="00741F69"/>
    <w:rsid w:val="00742102"/>
    <w:rsid w:val="00742339"/>
    <w:rsid w:val="007423D4"/>
    <w:rsid w:val="00742479"/>
    <w:rsid w:val="00742999"/>
    <w:rsid w:val="00742F8A"/>
    <w:rsid w:val="00743091"/>
    <w:rsid w:val="0074330A"/>
    <w:rsid w:val="00743649"/>
    <w:rsid w:val="007438ED"/>
    <w:rsid w:val="007439BA"/>
    <w:rsid w:val="007439EF"/>
    <w:rsid w:val="00743C01"/>
    <w:rsid w:val="00743CF9"/>
    <w:rsid w:val="00743FC0"/>
    <w:rsid w:val="00744229"/>
    <w:rsid w:val="00744246"/>
    <w:rsid w:val="007446A2"/>
    <w:rsid w:val="007449C2"/>
    <w:rsid w:val="007449F6"/>
    <w:rsid w:val="007449F7"/>
    <w:rsid w:val="00744C7E"/>
    <w:rsid w:val="00744ECC"/>
    <w:rsid w:val="00745275"/>
    <w:rsid w:val="0074541B"/>
    <w:rsid w:val="007455DD"/>
    <w:rsid w:val="007456EA"/>
    <w:rsid w:val="007460E7"/>
    <w:rsid w:val="00746226"/>
    <w:rsid w:val="00746277"/>
    <w:rsid w:val="007462D9"/>
    <w:rsid w:val="00746626"/>
    <w:rsid w:val="00746714"/>
    <w:rsid w:val="00746BA6"/>
    <w:rsid w:val="00746C45"/>
    <w:rsid w:val="00746CED"/>
    <w:rsid w:val="00747237"/>
    <w:rsid w:val="0074782D"/>
    <w:rsid w:val="00747CE4"/>
    <w:rsid w:val="00747EA0"/>
    <w:rsid w:val="00747FA6"/>
    <w:rsid w:val="00750146"/>
    <w:rsid w:val="007503A2"/>
    <w:rsid w:val="007503A4"/>
    <w:rsid w:val="00750523"/>
    <w:rsid w:val="00750539"/>
    <w:rsid w:val="007505C7"/>
    <w:rsid w:val="0075097D"/>
    <w:rsid w:val="007509EB"/>
    <w:rsid w:val="00750AB5"/>
    <w:rsid w:val="0075152A"/>
    <w:rsid w:val="00751DBB"/>
    <w:rsid w:val="00751F6C"/>
    <w:rsid w:val="00751F85"/>
    <w:rsid w:val="007520BE"/>
    <w:rsid w:val="00752261"/>
    <w:rsid w:val="00752844"/>
    <w:rsid w:val="00752957"/>
    <w:rsid w:val="00752E46"/>
    <w:rsid w:val="00753285"/>
    <w:rsid w:val="00753332"/>
    <w:rsid w:val="00753366"/>
    <w:rsid w:val="00753901"/>
    <w:rsid w:val="00753BAD"/>
    <w:rsid w:val="00753BED"/>
    <w:rsid w:val="00753D03"/>
    <w:rsid w:val="00753E29"/>
    <w:rsid w:val="00754329"/>
    <w:rsid w:val="00754388"/>
    <w:rsid w:val="007544D8"/>
    <w:rsid w:val="00754525"/>
    <w:rsid w:val="007545E5"/>
    <w:rsid w:val="007547E0"/>
    <w:rsid w:val="007548AA"/>
    <w:rsid w:val="007548B5"/>
    <w:rsid w:val="007548BA"/>
    <w:rsid w:val="00755056"/>
    <w:rsid w:val="007552CA"/>
    <w:rsid w:val="007553DE"/>
    <w:rsid w:val="007555FF"/>
    <w:rsid w:val="00755CB5"/>
    <w:rsid w:val="00755D13"/>
    <w:rsid w:val="00755EF0"/>
    <w:rsid w:val="0075612F"/>
    <w:rsid w:val="00756157"/>
    <w:rsid w:val="007561E5"/>
    <w:rsid w:val="0075666E"/>
    <w:rsid w:val="0075683D"/>
    <w:rsid w:val="007569FF"/>
    <w:rsid w:val="00756B4D"/>
    <w:rsid w:val="00756D45"/>
    <w:rsid w:val="00756D6A"/>
    <w:rsid w:val="00756D71"/>
    <w:rsid w:val="00756FBD"/>
    <w:rsid w:val="0075731C"/>
    <w:rsid w:val="00757571"/>
    <w:rsid w:val="00757672"/>
    <w:rsid w:val="00760363"/>
    <w:rsid w:val="0076055B"/>
    <w:rsid w:val="00760696"/>
    <w:rsid w:val="00760781"/>
    <w:rsid w:val="007607B7"/>
    <w:rsid w:val="00760BF7"/>
    <w:rsid w:val="00760E4A"/>
    <w:rsid w:val="00760FD4"/>
    <w:rsid w:val="00761237"/>
    <w:rsid w:val="00761285"/>
    <w:rsid w:val="0076174A"/>
    <w:rsid w:val="00761856"/>
    <w:rsid w:val="00761A0D"/>
    <w:rsid w:val="00761A94"/>
    <w:rsid w:val="00761AED"/>
    <w:rsid w:val="00761C5C"/>
    <w:rsid w:val="00761D8D"/>
    <w:rsid w:val="00761F28"/>
    <w:rsid w:val="007621EC"/>
    <w:rsid w:val="00762AA8"/>
    <w:rsid w:val="00762B53"/>
    <w:rsid w:val="00763116"/>
    <w:rsid w:val="0076325B"/>
    <w:rsid w:val="007635C9"/>
    <w:rsid w:val="00763661"/>
    <w:rsid w:val="007636A6"/>
    <w:rsid w:val="00763A9B"/>
    <w:rsid w:val="00763B44"/>
    <w:rsid w:val="00763C79"/>
    <w:rsid w:val="00763DA4"/>
    <w:rsid w:val="00763F75"/>
    <w:rsid w:val="0076481D"/>
    <w:rsid w:val="007648DC"/>
    <w:rsid w:val="00764C63"/>
    <w:rsid w:val="007652C8"/>
    <w:rsid w:val="00765557"/>
    <w:rsid w:val="007659D5"/>
    <w:rsid w:val="00765BA8"/>
    <w:rsid w:val="00765BE8"/>
    <w:rsid w:val="00765C73"/>
    <w:rsid w:val="00766045"/>
    <w:rsid w:val="007660C9"/>
    <w:rsid w:val="00766591"/>
    <w:rsid w:val="007665F9"/>
    <w:rsid w:val="007666C9"/>
    <w:rsid w:val="007667E9"/>
    <w:rsid w:val="007669E1"/>
    <w:rsid w:val="00766F2E"/>
    <w:rsid w:val="007670A0"/>
    <w:rsid w:val="007672D6"/>
    <w:rsid w:val="00767335"/>
    <w:rsid w:val="00767743"/>
    <w:rsid w:val="00767B3D"/>
    <w:rsid w:val="00767B55"/>
    <w:rsid w:val="00767C5E"/>
    <w:rsid w:val="00767C70"/>
    <w:rsid w:val="00767E63"/>
    <w:rsid w:val="00767E85"/>
    <w:rsid w:val="00767F5C"/>
    <w:rsid w:val="00767F6E"/>
    <w:rsid w:val="00770056"/>
    <w:rsid w:val="00770090"/>
    <w:rsid w:val="0077018B"/>
    <w:rsid w:val="007702B1"/>
    <w:rsid w:val="00770543"/>
    <w:rsid w:val="0077066E"/>
    <w:rsid w:val="007706E4"/>
    <w:rsid w:val="007707AF"/>
    <w:rsid w:val="00770B63"/>
    <w:rsid w:val="007710C4"/>
    <w:rsid w:val="0077123F"/>
    <w:rsid w:val="00771505"/>
    <w:rsid w:val="00771655"/>
    <w:rsid w:val="0077168B"/>
    <w:rsid w:val="0077173A"/>
    <w:rsid w:val="00771899"/>
    <w:rsid w:val="00771983"/>
    <w:rsid w:val="00771AF1"/>
    <w:rsid w:val="00771C88"/>
    <w:rsid w:val="00771E7A"/>
    <w:rsid w:val="0077202E"/>
    <w:rsid w:val="0077215B"/>
    <w:rsid w:val="00772247"/>
    <w:rsid w:val="00772418"/>
    <w:rsid w:val="0077253A"/>
    <w:rsid w:val="00772712"/>
    <w:rsid w:val="00772806"/>
    <w:rsid w:val="00772858"/>
    <w:rsid w:val="00772C34"/>
    <w:rsid w:val="007730A2"/>
    <w:rsid w:val="007734EA"/>
    <w:rsid w:val="00773951"/>
    <w:rsid w:val="007739B9"/>
    <w:rsid w:val="00773CBF"/>
    <w:rsid w:val="00773DEC"/>
    <w:rsid w:val="0077419B"/>
    <w:rsid w:val="00774279"/>
    <w:rsid w:val="007743EF"/>
    <w:rsid w:val="0077461B"/>
    <w:rsid w:val="00774A2B"/>
    <w:rsid w:val="00774C9E"/>
    <w:rsid w:val="0077502F"/>
    <w:rsid w:val="00775454"/>
    <w:rsid w:val="007756C0"/>
    <w:rsid w:val="00775F4F"/>
    <w:rsid w:val="00776251"/>
    <w:rsid w:val="00776599"/>
    <w:rsid w:val="00776610"/>
    <w:rsid w:val="0077674E"/>
    <w:rsid w:val="00776DCD"/>
    <w:rsid w:val="00776F2B"/>
    <w:rsid w:val="00776F8E"/>
    <w:rsid w:val="007773A2"/>
    <w:rsid w:val="00777689"/>
    <w:rsid w:val="00777839"/>
    <w:rsid w:val="00777867"/>
    <w:rsid w:val="00777D83"/>
    <w:rsid w:val="00777FCB"/>
    <w:rsid w:val="007803AE"/>
    <w:rsid w:val="007805B9"/>
    <w:rsid w:val="0078062A"/>
    <w:rsid w:val="007806DD"/>
    <w:rsid w:val="0078096A"/>
    <w:rsid w:val="00780A90"/>
    <w:rsid w:val="00780BEE"/>
    <w:rsid w:val="00780D94"/>
    <w:rsid w:val="00780DE6"/>
    <w:rsid w:val="00780E45"/>
    <w:rsid w:val="00780FB7"/>
    <w:rsid w:val="0078112F"/>
    <w:rsid w:val="007811BF"/>
    <w:rsid w:val="007811E2"/>
    <w:rsid w:val="0078126F"/>
    <w:rsid w:val="007813CE"/>
    <w:rsid w:val="0078191C"/>
    <w:rsid w:val="00781925"/>
    <w:rsid w:val="007819B8"/>
    <w:rsid w:val="00781C60"/>
    <w:rsid w:val="00781D5E"/>
    <w:rsid w:val="00781F10"/>
    <w:rsid w:val="00782039"/>
    <w:rsid w:val="0078204D"/>
    <w:rsid w:val="00782082"/>
    <w:rsid w:val="007823F9"/>
    <w:rsid w:val="00782491"/>
    <w:rsid w:val="007825DD"/>
    <w:rsid w:val="00782697"/>
    <w:rsid w:val="00782713"/>
    <w:rsid w:val="00782CF7"/>
    <w:rsid w:val="00782E51"/>
    <w:rsid w:val="007836EF"/>
    <w:rsid w:val="007839BB"/>
    <w:rsid w:val="00783A8E"/>
    <w:rsid w:val="00783BDA"/>
    <w:rsid w:val="00784160"/>
    <w:rsid w:val="007841AF"/>
    <w:rsid w:val="007841E1"/>
    <w:rsid w:val="007843D5"/>
    <w:rsid w:val="007848C9"/>
    <w:rsid w:val="0078492A"/>
    <w:rsid w:val="00784C2B"/>
    <w:rsid w:val="00784F0E"/>
    <w:rsid w:val="00784FC2"/>
    <w:rsid w:val="00785220"/>
    <w:rsid w:val="00785402"/>
    <w:rsid w:val="0078560E"/>
    <w:rsid w:val="007856B1"/>
    <w:rsid w:val="007858B8"/>
    <w:rsid w:val="00785C21"/>
    <w:rsid w:val="00785E9B"/>
    <w:rsid w:val="00786041"/>
    <w:rsid w:val="00786107"/>
    <w:rsid w:val="00786230"/>
    <w:rsid w:val="007863FB"/>
    <w:rsid w:val="00786569"/>
    <w:rsid w:val="007865DB"/>
    <w:rsid w:val="00786A91"/>
    <w:rsid w:val="00786AE7"/>
    <w:rsid w:val="00786B96"/>
    <w:rsid w:val="00786C1A"/>
    <w:rsid w:val="00786C3B"/>
    <w:rsid w:val="00786DAE"/>
    <w:rsid w:val="00786E8C"/>
    <w:rsid w:val="00787042"/>
    <w:rsid w:val="0078759A"/>
    <w:rsid w:val="00787691"/>
    <w:rsid w:val="007878F2"/>
    <w:rsid w:val="0078790E"/>
    <w:rsid w:val="007879AD"/>
    <w:rsid w:val="00787F5D"/>
    <w:rsid w:val="00787FCC"/>
    <w:rsid w:val="00787FF3"/>
    <w:rsid w:val="00787FF7"/>
    <w:rsid w:val="007907A1"/>
    <w:rsid w:val="007907B9"/>
    <w:rsid w:val="00790912"/>
    <w:rsid w:val="00790AA1"/>
    <w:rsid w:val="00790BC1"/>
    <w:rsid w:val="00790C71"/>
    <w:rsid w:val="00790DA6"/>
    <w:rsid w:val="00790DB1"/>
    <w:rsid w:val="00790E5A"/>
    <w:rsid w:val="00791039"/>
    <w:rsid w:val="00791381"/>
    <w:rsid w:val="0079165E"/>
    <w:rsid w:val="007917FE"/>
    <w:rsid w:val="0079186F"/>
    <w:rsid w:val="00791E5C"/>
    <w:rsid w:val="00791EC1"/>
    <w:rsid w:val="00791F36"/>
    <w:rsid w:val="00791F81"/>
    <w:rsid w:val="00792072"/>
    <w:rsid w:val="007920CD"/>
    <w:rsid w:val="0079230A"/>
    <w:rsid w:val="00792636"/>
    <w:rsid w:val="00792A48"/>
    <w:rsid w:val="00792BBF"/>
    <w:rsid w:val="00792DBE"/>
    <w:rsid w:val="00792DE2"/>
    <w:rsid w:val="00793336"/>
    <w:rsid w:val="0079343B"/>
    <w:rsid w:val="0079343C"/>
    <w:rsid w:val="00793631"/>
    <w:rsid w:val="00793975"/>
    <w:rsid w:val="00793BE0"/>
    <w:rsid w:val="00793BF7"/>
    <w:rsid w:val="00793EC1"/>
    <w:rsid w:val="00793F5E"/>
    <w:rsid w:val="00794010"/>
    <w:rsid w:val="007942AF"/>
    <w:rsid w:val="00794377"/>
    <w:rsid w:val="00794757"/>
    <w:rsid w:val="007947BE"/>
    <w:rsid w:val="00794E59"/>
    <w:rsid w:val="0079519E"/>
    <w:rsid w:val="0079525B"/>
    <w:rsid w:val="007954BC"/>
    <w:rsid w:val="007956C6"/>
    <w:rsid w:val="00795710"/>
    <w:rsid w:val="007959B3"/>
    <w:rsid w:val="00795AD5"/>
    <w:rsid w:val="00795BF4"/>
    <w:rsid w:val="00795D8C"/>
    <w:rsid w:val="0079662F"/>
    <w:rsid w:val="00796689"/>
    <w:rsid w:val="00796709"/>
    <w:rsid w:val="007968CA"/>
    <w:rsid w:val="007968CC"/>
    <w:rsid w:val="00796C90"/>
    <w:rsid w:val="00796D80"/>
    <w:rsid w:val="00796FA0"/>
    <w:rsid w:val="0079708E"/>
    <w:rsid w:val="007971A1"/>
    <w:rsid w:val="0079720D"/>
    <w:rsid w:val="007973B8"/>
    <w:rsid w:val="0079765C"/>
    <w:rsid w:val="00797745"/>
    <w:rsid w:val="0079787A"/>
    <w:rsid w:val="007A0347"/>
    <w:rsid w:val="007A0474"/>
    <w:rsid w:val="007A04DF"/>
    <w:rsid w:val="007A0539"/>
    <w:rsid w:val="007A06C0"/>
    <w:rsid w:val="007A0948"/>
    <w:rsid w:val="007A0AED"/>
    <w:rsid w:val="007A0B20"/>
    <w:rsid w:val="007A0D94"/>
    <w:rsid w:val="007A0DF0"/>
    <w:rsid w:val="007A0FF0"/>
    <w:rsid w:val="007A1047"/>
    <w:rsid w:val="007A10C8"/>
    <w:rsid w:val="007A14E6"/>
    <w:rsid w:val="007A18B6"/>
    <w:rsid w:val="007A1DA0"/>
    <w:rsid w:val="007A2374"/>
    <w:rsid w:val="007A23F0"/>
    <w:rsid w:val="007A2432"/>
    <w:rsid w:val="007A28C7"/>
    <w:rsid w:val="007A2BF9"/>
    <w:rsid w:val="007A33A0"/>
    <w:rsid w:val="007A354A"/>
    <w:rsid w:val="007A354B"/>
    <w:rsid w:val="007A3672"/>
    <w:rsid w:val="007A3A53"/>
    <w:rsid w:val="007A3E41"/>
    <w:rsid w:val="007A3E42"/>
    <w:rsid w:val="007A47C2"/>
    <w:rsid w:val="007A47C7"/>
    <w:rsid w:val="007A4846"/>
    <w:rsid w:val="007A4925"/>
    <w:rsid w:val="007A492A"/>
    <w:rsid w:val="007A4AE7"/>
    <w:rsid w:val="007A4D58"/>
    <w:rsid w:val="007A4F7A"/>
    <w:rsid w:val="007A51E1"/>
    <w:rsid w:val="007A5359"/>
    <w:rsid w:val="007A556A"/>
    <w:rsid w:val="007A5B04"/>
    <w:rsid w:val="007A608D"/>
    <w:rsid w:val="007A64A4"/>
    <w:rsid w:val="007A6A54"/>
    <w:rsid w:val="007A6AB2"/>
    <w:rsid w:val="007A6BDA"/>
    <w:rsid w:val="007A6DE0"/>
    <w:rsid w:val="007A6EC5"/>
    <w:rsid w:val="007A7878"/>
    <w:rsid w:val="007A7978"/>
    <w:rsid w:val="007A7B91"/>
    <w:rsid w:val="007A7C0D"/>
    <w:rsid w:val="007B048E"/>
    <w:rsid w:val="007B0962"/>
    <w:rsid w:val="007B0AC0"/>
    <w:rsid w:val="007B15FE"/>
    <w:rsid w:val="007B1628"/>
    <w:rsid w:val="007B1728"/>
    <w:rsid w:val="007B17D6"/>
    <w:rsid w:val="007B1C5C"/>
    <w:rsid w:val="007B1E40"/>
    <w:rsid w:val="007B1E8B"/>
    <w:rsid w:val="007B20EE"/>
    <w:rsid w:val="007B20F8"/>
    <w:rsid w:val="007B2466"/>
    <w:rsid w:val="007B24B1"/>
    <w:rsid w:val="007B2647"/>
    <w:rsid w:val="007B2877"/>
    <w:rsid w:val="007B2A3C"/>
    <w:rsid w:val="007B2BF1"/>
    <w:rsid w:val="007B2BF7"/>
    <w:rsid w:val="007B2CFB"/>
    <w:rsid w:val="007B2F6B"/>
    <w:rsid w:val="007B2FAF"/>
    <w:rsid w:val="007B30A2"/>
    <w:rsid w:val="007B30E3"/>
    <w:rsid w:val="007B326B"/>
    <w:rsid w:val="007B334A"/>
    <w:rsid w:val="007B35E7"/>
    <w:rsid w:val="007B37E8"/>
    <w:rsid w:val="007B3C7F"/>
    <w:rsid w:val="007B3DED"/>
    <w:rsid w:val="007B3E6B"/>
    <w:rsid w:val="007B414E"/>
    <w:rsid w:val="007B42E1"/>
    <w:rsid w:val="007B4491"/>
    <w:rsid w:val="007B44C4"/>
    <w:rsid w:val="007B4699"/>
    <w:rsid w:val="007B487F"/>
    <w:rsid w:val="007B48F7"/>
    <w:rsid w:val="007B4E1C"/>
    <w:rsid w:val="007B4E8B"/>
    <w:rsid w:val="007B5215"/>
    <w:rsid w:val="007B5614"/>
    <w:rsid w:val="007B570F"/>
    <w:rsid w:val="007B5A09"/>
    <w:rsid w:val="007B63BC"/>
    <w:rsid w:val="007B63E5"/>
    <w:rsid w:val="007B6EB9"/>
    <w:rsid w:val="007B6F40"/>
    <w:rsid w:val="007B6FF0"/>
    <w:rsid w:val="007B72D7"/>
    <w:rsid w:val="007B749E"/>
    <w:rsid w:val="007B7A5A"/>
    <w:rsid w:val="007B7D4E"/>
    <w:rsid w:val="007B7D74"/>
    <w:rsid w:val="007B7F91"/>
    <w:rsid w:val="007BFB30"/>
    <w:rsid w:val="007C00BC"/>
    <w:rsid w:val="007C024D"/>
    <w:rsid w:val="007C04F0"/>
    <w:rsid w:val="007C0651"/>
    <w:rsid w:val="007C0B9A"/>
    <w:rsid w:val="007C0BE0"/>
    <w:rsid w:val="007C0DA0"/>
    <w:rsid w:val="007C0FE8"/>
    <w:rsid w:val="007C10FE"/>
    <w:rsid w:val="007C1250"/>
    <w:rsid w:val="007C132F"/>
    <w:rsid w:val="007C15CB"/>
    <w:rsid w:val="007C163E"/>
    <w:rsid w:val="007C164C"/>
    <w:rsid w:val="007C1716"/>
    <w:rsid w:val="007C17F8"/>
    <w:rsid w:val="007C1887"/>
    <w:rsid w:val="007C18A9"/>
    <w:rsid w:val="007C18C1"/>
    <w:rsid w:val="007C1A45"/>
    <w:rsid w:val="007C1AE7"/>
    <w:rsid w:val="007C1BC0"/>
    <w:rsid w:val="007C1D6B"/>
    <w:rsid w:val="007C1F7F"/>
    <w:rsid w:val="007C233B"/>
    <w:rsid w:val="007C258B"/>
    <w:rsid w:val="007C2890"/>
    <w:rsid w:val="007C28F7"/>
    <w:rsid w:val="007C29B3"/>
    <w:rsid w:val="007C2A5F"/>
    <w:rsid w:val="007C2B1D"/>
    <w:rsid w:val="007C2B41"/>
    <w:rsid w:val="007C2C70"/>
    <w:rsid w:val="007C2E5F"/>
    <w:rsid w:val="007C2EA2"/>
    <w:rsid w:val="007C2EA7"/>
    <w:rsid w:val="007C2F8F"/>
    <w:rsid w:val="007C3344"/>
    <w:rsid w:val="007C3431"/>
    <w:rsid w:val="007C3476"/>
    <w:rsid w:val="007C37A0"/>
    <w:rsid w:val="007C38A6"/>
    <w:rsid w:val="007C3B9D"/>
    <w:rsid w:val="007C3BD7"/>
    <w:rsid w:val="007C3D39"/>
    <w:rsid w:val="007C3F9E"/>
    <w:rsid w:val="007C3FBC"/>
    <w:rsid w:val="007C443F"/>
    <w:rsid w:val="007C4617"/>
    <w:rsid w:val="007C47E5"/>
    <w:rsid w:val="007C498E"/>
    <w:rsid w:val="007C4A50"/>
    <w:rsid w:val="007C4AA7"/>
    <w:rsid w:val="007C4F0C"/>
    <w:rsid w:val="007C4F66"/>
    <w:rsid w:val="007C4F93"/>
    <w:rsid w:val="007C515A"/>
    <w:rsid w:val="007C51B0"/>
    <w:rsid w:val="007C5738"/>
    <w:rsid w:val="007C5A04"/>
    <w:rsid w:val="007C5B5D"/>
    <w:rsid w:val="007C5DE8"/>
    <w:rsid w:val="007C5ED5"/>
    <w:rsid w:val="007C5F24"/>
    <w:rsid w:val="007C5F8C"/>
    <w:rsid w:val="007C5FCB"/>
    <w:rsid w:val="007C6080"/>
    <w:rsid w:val="007C6159"/>
    <w:rsid w:val="007C624C"/>
    <w:rsid w:val="007C63E5"/>
    <w:rsid w:val="007C6752"/>
    <w:rsid w:val="007C693A"/>
    <w:rsid w:val="007C6990"/>
    <w:rsid w:val="007C6FDA"/>
    <w:rsid w:val="007C7742"/>
    <w:rsid w:val="007C785F"/>
    <w:rsid w:val="007C78EB"/>
    <w:rsid w:val="007C7AAD"/>
    <w:rsid w:val="007C7B06"/>
    <w:rsid w:val="007C7DEC"/>
    <w:rsid w:val="007C7F53"/>
    <w:rsid w:val="007D00B5"/>
    <w:rsid w:val="007D03C0"/>
    <w:rsid w:val="007D03DD"/>
    <w:rsid w:val="007D07AA"/>
    <w:rsid w:val="007D0877"/>
    <w:rsid w:val="007D10CC"/>
    <w:rsid w:val="007D1121"/>
    <w:rsid w:val="007D11E5"/>
    <w:rsid w:val="007D120A"/>
    <w:rsid w:val="007D1234"/>
    <w:rsid w:val="007D151D"/>
    <w:rsid w:val="007D1D3A"/>
    <w:rsid w:val="007D1D46"/>
    <w:rsid w:val="007D1F69"/>
    <w:rsid w:val="007D2636"/>
    <w:rsid w:val="007D26E8"/>
    <w:rsid w:val="007D2709"/>
    <w:rsid w:val="007D27B1"/>
    <w:rsid w:val="007D2DFE"/>
    <w:rsid w:val="007D2FA1"/>
    <w:rsid w:val="007D320D"/>
    <w:rsid w:val="007D33E2"/>
    <w:rsid w:val="007D35C9"/>
    <w:rsid w:val="007D3A78"/>
    <w:rsid w:val="007D3ACD"/>
    <w:rsid w:val="007D3C04"/>
    <w:rsid w:val="007D3C3C"/>
    <w:rsid w:val="007D3F44"/>
    <w:rsid w:val="007D4058"/>
    <w:rsid w:val="007D40FC"/>
    <w:rsid w:val="007D434F"/>
    <w:rsid w:val="007D47A0"/>
    <w:rsid w:val="007D48F3"/>
    <w:rsid w:val="007D4A87"/>
    <w:rsid w:val="007D4AB7"/>
    <w:rsid w:val="007D4C2F"/>
    <w:rsid w:val="007D4D76"/>
    <w:rsid w:val="007D502C"/>
    <w:rsid w:val="007D520B"/>
    <w:rsid w:val="007D52B2"/>
    <w:rsid w:val="007D530A"/>
    <w:rsid w:val="007D54DE"/>
    <w:rsid w:val="007D56A8"/>
    <w:rsid w:val="007D57A9"/>
    <w:rsid w:val="007D5A8B"/>
    <w:rsid w:val="007D5DA3"/>
    <w:rsid w:val="007D5F8D"/>
    <w:rsid w:val="007D6083"/>
    <w:rsid w:val="007D640C"/>
    <w:rsid w:val="007D6890"/>
    <w:rsid w:val="007D693E"/>
    <w:rsid w:val="007D69DB"/>
    <w:rsid w:val="007D6C3C"/>
    <w:rsid w:val="007D74BC"/>
    <w:rsid w:val="007D750E"/>
    <w:rsid w:val="007D7596"/>
    <w:rsid w:val="007D75B9"/>
    <w:rsid w:val="007D76BC"/>
    <w:rsid w:val="007D775A"/>
    <w:rsid w:val="007D791F"/>
    <w:rsid w:val="007D79DF"/>
    <w:rsid w:val="007D7BDD"/>
    <w:rsid w:val="007D7C69"/>
    <w:rsid w:val="007D7EC0"/>
    <w:rsid w:val="007D7FAF"/>
    <w:rsid w:val="007E005D"/>
    <w:rsid w:val="007E0158"/>
    <w:rsid w:val="007E0248"/>
    <w:rsid w:val="007E059A"/>
    <w:rsid w:val="007E09C5"/>
    <w:rsid w:val="007E0ADB"/>
    <w:rsid w:val="007E0F01"/>
    <w:rsid w:val="007E103F"/>
    <w:rsid w:val="007E1516"/>
    <w:rsid w:val="007E1775"/>
    <w:rsid w:val="007E1872"/>
    <w:rsid w:val="007E1944"/>
    <w:rsid w:val="007E1AB0"/>
    <w:rsid w:val="007E1C36"/>
    <w:rsid w:val="007E1CB1"/>
    <w:rsid w:val="007E1D0E"/>
    <w:rsid w:val="007E20EE"/>
    <w:rsid w:val="007E218F"/>
    <w:rsid w:val="007E27AC"/>
    <w:rsid w:val="007E28EC"/>
    <w:rsid w:val="007E292D"/>
    <w:rsid w:val="007E2A43"/>
    <w:rsid w:val="007E2AA8"/>
    <w:rsid w:val="007E2B57"/>
    <w:rsid w:val="007E365B"/>
    <w:rsid w:val="007E39B9"/>
    <w:rsid w:val="007E39D0"/>
    <w:rsid w:val="007E3BD5"/>
    <w:rsid w:val="007E3F35"/>
    <w:rsid w:val="007E3F76"/>
    <w:rsid w:val="007E40D2"/>
    <w:rsid w:val="007E461E"/>
    <w:rsid w:val="007E467D"/>
    <w:rsid w:val="007E46A0"/>
    <w:rsid w:val="007E46D6"/>
    <w:rsid w:val="007E4730"/>
    <w:rsid w:val="007E47B3"/>
    <w:rsid w:val="007E48E3"/>
    <w:rsid w:val="007E4DC2"/>
    <w:rsid w:val="007E5011"/>
    <w:rsid w:val="007E5432"/>
    <w:rsid w:val="007E549A"/>
    <w:rsid w:val="007E6087"/>
    <w:rsid w:val="007E60ED"/>
    <w:rsid w:val="007E619E"/>
    <w:rsid w:val="007E674F"/>
    <w:rsid w:val="007E69A7"/>
    <w:rsid w:val="007E6AFB"/>
    <w:rsid w:val="007E6B6C"/>
    <w:rsid w:val="007E6C33"/>
    <w:rsid w:val="007E6C41"/>
    <w:rsid w:val="007E722D"/>
    <w:rsid w:val="007E727B"/>
    <w:rsid w:val="007E73E6"/>
    <w:rsid w:val="007E76DF"/>
    <w:rsid w:val="007E7876"/>
    <w:rsid w:val="007E7AD3"/>
    <w:rsid w:val="007E7D7F"/>
    <w:rsid w:val="007E7F4E"/>
    <w:rsid w:val="007F001B"/>
    <w:rsid w:val="007F0039"/>
    <w:rsid w:val="007F046B"/>
    <w:rsid w:val="007F04BB"/>
    <w:rsid w:val="007F0583"/>
    <w:rsid w:val="007F070D"/>
    <w:rsid w:val="007F0971"/>
    <w:rsid w:val="007F098D"/>
    <w:rsid w:val="007F0B67"/>
    <w:rsid w:val="007F0D03"/>
    <w:rsid w:val="007F0E43"/>
    <w:rsid w:val="007F0FAC"/>
    <w:rsid w:val="007F1046"/>
    <w:rsid w:val="007F10B8"/>
    <w:rsid w:val="007F1121"/>
    <w:rsid w:val="007F1132"/>
    <w:rsid w:val="007F1173"/>
    <w:rsid w:val="007F1377"/>
    <w:rsid w:val="007F15F2"/>
    <w:rsid w:val="007F1694"/>
    <w:rsid w:val="007F1932"/>
    <w:rsid w:val="007F1E80"/>
    <w:rsid w:val="007F1FDF"/>
    <w:rsid w:val="007F20DE"/>
    <w:rsid w:val="007F21FF"/>
    <w:rsid w:val="007F2506"/>
    <w:rsid w:val="007F260A"/>
    <w:rsid w:val="007F2665"/>
    <w:rsid w:val="007F2738"/>
    <w:rsid w:val="007F27B5"/>
    <w:rsid w:val="007F2992"/>
    <w:rsid w:val="007F2C0E"/>
    <w:rsid w:val="007F2C5D"/>
    <w:rsid w:val="007F2D12"/>
    <w:rsid w:val="007F2D43"/>
    <w:rsid w:val="007F2E04"/>
    <w:rsid w:val="007F300B"/>
    <w:rsid w:val="007F3183"/>
    <w:rsid w:val="007F3254"/>
    <w:rsid w:val="007F32A6"/>
    <w:rsid w:val="007F3310"/>
    <w:rsid w:val="007F33CA"/>
    <w:rsid w:val="007F3469"/>
    <w:rsid w:val="007F3505"/>
    <w:rsid w:val="007F3655"/>
    <w:rsid w:val="007F3B8B"/>
    <w:rsid w:val="007F3C8D"/>
    <w:rsid w:val="007F3E52"/>
    <w:rsid w:val="007F3EA3"/>
    <w:rsid w:val="007F41CD"/>
    <w:rsid w:val="007F48FE"/>
    <w:rsid w:val="007F4A2F"/>
    <w:rsid w:val="007F4B70"/>
    <w:rsid w:val="007F4C63"/>
    <w:rsid w:val="007F4D29"/>
    <w:rsid w:val="007F4E2C"/>
    <w:rsid w:val="007F4E90"/>
    <w:rsid w:val="007F4F7E"/>
    <w:rsid w:val="007F5390"/>
    <w:rsid w:val="007F54E9"/>
    <w:rsid w:val="007F5544"/>
    <w:rsid w:val="007F560D"/>
    <w:rsid w:val="007F574A"/>
    <w:rsid w:val="007F58A4"/>
    <w:rsid w:val="007F59C2"/>
    <w:rsid w:val="007F5B79"/>
    <w:rsid w:val="007F5B96"/>
    <w:rsid w:val="007F5F8B"/>
    <w:rsid w:val="007F6197"/>
    <w:rsid w:val="007F61B4"/>
    <w:rsid w:val="007F659D"/>
    <w:rsid w:val="007F66C7"/>
    <w:rsid w:val="007F6919"/>
    <w:rsid w:val="007F6B13"/>
    <w:rsid w:val="007F6C57"/>
    <w:rsid w:val="007F6CF8"/>
    <w:rsid w:val="007F6EDA"/>
    <w:rsid w:val="007F6FC1"/>
    <w:rsid w:val="007F702E"/>
    <w:rsid w:val="007F70A1"/>
    <w:rsid w:val="007F724E"/>
    <w:rsid w:val="007F726D"/>
    <w:rsid w:val="007F7300"/>
    <w:rsid w:val="007F73C9"/>
    <w:rsid w:val="007F73E0"/>
    <w:rsid w:val="007F7428"/>
    <w:rsid w:val="007F74B7"/>
    <w:rsid w:val="007F7593"/>
    <w:rsid w:val="007F76A6"/>
    <w:rsid w:val="007F7872"/>
    <w:rsid w:val="007F788B"/>
    <w:rsid w:val="007F7C32"/>
    <w:rsid w:val="007F7D61"/>
    <w:rsid w:val="007F7EB5"/>
    <w:rsid w:val="007F7F95"/>
    <w:rsid w:val="0080035E"/>
    <w:rsid w:val="00800670"/>
    <w:rsid w:val="00800CCC"/>
    <w:rsid w:val="00800E6A"/>
    <w:rsid w:val="00800E6B"/>
    <w:rsid w:val="00801192"/>
    <w:rsid w:val="0080128C"/>
    <w:rsid w:val="00801548"/>
    <w:rsid w:val="00801601"/>
    <w:rsid w:val="008017BF"/>
    <w:rsid w:val="008017E0"/>
    <w:rsid w:val="00801A14"/>
    <w:rsid w:val="00801BF3"/>
    <w:rsid w:val="00801F5F"/>
    <w:rsid w:val="008027D7"/>
    <w:rsid w:val="00802961"/>
    <w:rsid w:val="00802F3D"/>
    <w:rsid w:val="008031B0"/>
    <w:rsid w:val="00803343"/>
    <w:rsid w:val="00803360"/>
    <w:rsid w:val="00803511"/>
    <w:rsid w:val="008036C0"/>
    <w:rsid w:val="00803877"/>
    <w:rsid w:val="008038D0"/>
    <w:rsid w:val="00803B09"/>
    <w:rsid w:val="00803F21"/>
    <w:rsid w:val="00804205"/>
    <w:rsid w:val="0080486B"/>
    <w:rsid w:val="00804A68"/>
    <w:rsid w:val="00804D61"/>
    <w:rsid w:val="00804F1A"/>
    <w:rsid w:val="00805159"/>
    <w:rsid w:val="008051CD"/>
    <w:rsid w:val="00805218"/>
    <w:rsid w:val="0080530F"/>
    <w:rsid w:val="0080571C"/>
    <w:rsid w:val="008057A8"/>
    <w:rsid w:val="00805A5C"/>
    <w:rsid w:val="00805FAC"/>
    <w:rsid w:val="00806004"/>
    <w:rsid w:val="00806043"/>
    <w:rsid w:val="0080617D"/>
    <w:rsid w:val="0080621A"/>
    <w:rsid w:val="00806312"/>
    <w:rsid w:val="0080637B"/>
    <w:rsid w:val="00806433"/>
    <w:rsid w:val="008066BE"/>
    <w:rsid w:val="00806769"/>
    <w:rsid w:val="00806823"/>
    <w:rsid w:val="008068F5"/>
    <w:rsid w:val="00806D00"/>
    <w:rsid w:val="00806F09"/>
    <w:rsid w:val="00806FA8"/>
    <w:rsid w:val="0080744A"/>
    <w:rsid w:val="00807496"/>
    <w:rsid w:val="00807818"/>
    <w:rsid w:val="00807C16"/>
    <w:rsid w:val="00807DF5"/>
    <w:rsid w:val="00810624"/>
    <w:rsid w:val="00810921"/>
    <w:rsid w:val="00810964"/>
    <w:rsid w:val="00810A02"/>
    <w:rsid w:val="00810B0A"/>
    <w:rsid w:val="00810DAB"/>
    <w:rsid w:val="00810FCD"/>
    <w:rsid w:val="0081101B"/>
    <w:rsid w:val="00811334"/>
    <w:rsid w:val="0081137E"/>
    <w:rsid w:val="0081137F"/>
    <w:rsid w:val="008113FF"/>
    <w:rsid w:val="00811556"/>
    <w:rsid w:val="00811777"/>
    <w:rsid w:val="0081186E"/>
    <w:rsid w:val="008119F2"/>
    <w:rsid w:val="00811A87"/>
    <w:rsid w:val="00811AC3"/>
    <w:rsid w:val="00811C22"/>
    <w:rsid w:val="00811C23"/>
    <w:rsid w:val="00812234"/>
    <w:rsid w:val="0081234C"/>
    <w:rsid w:val="00812969"/>
    <w:rsid w:val="0081297A"/>
    <w:rsid w:val="00812DE2"/>
    <w:rsid w:val="00812E07"/>
    <w:rsid w:val="00813031"/>
    <w:rsid w:val="0081363C"/>
    <w:rsid w:val="00813842"/>
    <w:rsid w:val="00813A98"/>
    <w:rsid w:val="008140A2"/>
    <w:rsid w:val="008144D2"/>
    <w:rsid w:val="008146A2"/>
    <w:rsid w:val="008146A4"/>
    <w:rsid w:val="0081499F"/>
    <w:rsid w:val="00814BAA"/>
    <w:rsid w:val="00814D48"/>
    <w:rsid w:val="00815069"/>
    <w:rsid w:val="0081508A"/>
    <w:rsid w:val="008151CF"/>
    <w:rsid w:val="0081541D"/>
    <w:rsid w:val="0081559E"/>
    <w:rsid w:val="00815947"/>
    <w:rsid w:val="00815D4F"/>
    <w:rsid w:val="00815EEB"/>
    <w:rsid w:val="0081613B"/>
    <w:rsid w:val="008163E1"/>
    <w:rsid w:val="0081642B"/>
    <w:rsid w:val="00816A5A"/>
    <w:rsid w:val="00816A62"/>
    <w:rsid w:val="00816BD3"/>
    <w:rsid w:val="00816FB6"/>
    <w:rsid w:val="00817176"/>
    <w:rsid w:val="00817392"/>
    <w:rsid w:val="008178B6"/>
    <w:rsid w:val="008178C2"/>
    <w:rsid w:val="008179E9"/>
    <w:rsid w:val="00817AC6"/>
    <w:rsid w:val="00817B26"/>
    <w:rsid w:val="00817BA6"/>
    <w:rsid w:val="00817C51"/>
    <w:rsid w:val="0082045B"/>
    <w:rsid w:val="00820539"/>
    <w:rsid w:val="00820894"/>
    <w:rsid w:val="00820A23"/>
    <w:rsid w:val="00820B02"/>
    <w:rsid w:val="00820D00"/>
    <w:rsid w:val="0082101F"/>
    <w:rsid w:val="00821042"/>
    <w:rsid w:val="00821376"/>
    <w:rsid w:val="008213F3"/>
    <w:rsid w:val="00821473"/>
    <w:rsid w:val="00821679"/>
    <w:rsid w:val="00821881"/>
    <w:rsid w:val="008218D6"/>
    <w:rsid w:val="00821904"/>
    <w:rsid w:val="0082192A"/>
    <w:rsid w:val="00821A0A"/>
    <w:rsid w:val="00821A2E"/>
    <w:rsid w:val="00821D70"/>
    <w:rsid w:val="008220F6"/>
    <w:rsid w:val="008224B9"/>
    <w:rsid w:val="008226F8"/>
    <w:rsid w:val="0082283F"/>
    <w:rsid w:val="00822A82"/>
    <w:rsid w:val="00822EBE"/>
    <w:rsid w:val="008231D8"/>
    <w:rsid w:val="008234AF"/>
    <w:rsid w:val="00823615"/>
    <w:rsid w:val="008239BB"/>
    <w:rsid w:val="00823DB4"/>
    <w:rsid w:val="00824023"/>
    <w:rsid w:val="00824411"/>
    <w:rsid w:val="00824614"/>
    <w:rsid w:val="008246DE"/>
    <w:rsid w:val="00824718"/>
    <w:rsid w:val="00824B29"/>
    <w:rsid w:val="00824D5F"/>
    <w:rsid w:val="00824D88"/>
    <w:rsid w:val="008251B5"/>
    <w:rsid w:val="00825377"/>
    <w:rsid w:val="008253D2"/>
    <w:rsid w:val="00825A66"/>
    <w:rsid w:val="00825ACA"/>
    <w:rsid w:val="00825B27"/>
    <w:rsid w:val="008260FA"/>
    <w:rsid w:val="00826373"/>
    <w:rsid w:val="0082637E"/>
    <w:rsid w:val="00826532"/>
    <w:rsid w:val="0082661D"/>
    <w:rsid w:val="00826626"/>
    <w:rsid w:val="008266A9"/>
    <w:rsid w:val="0082675D"/>
    <w:rsid w:val="008267D6"/>
    <w:rsid w:val="00826879"/>
    <w:rsid w:val="00826A6B"/>
    <w:rsid w:val="00826E8A"/>
    <w:rsid w:val="00826ECA"/>
    <w:rsid w:val="00827042"/>
    <w:rsid w:val="0082739A"/>
    <w:rsid w:val="00827432"/>
    <w:rsid w:val="0082763D"/>
    <w:rsid w:val="0082794A"/>
    <w:rsid w:val="00827A7F"/>
    <w:rsid w:val="00827A90"/>
    <w:rsid w:val="00830079"/>
    <w:rsid w:val="00830168"/>
    <w:rsid w:val="00830458"/>
    <w:rsid w:val="00830B5F"/>
    <w:rsid w:val="00830CDA"/>
    <w:rsid w:val="00830E62"/>
    <w:rsid w:val="00830F0B"/>
    <w:rsid w:val="0083140F"/>
    <w:rsid w:val="008314F5"/>
    <w:rsid w:val="0083168D"/>
    <w:rsid w:val="00831739"/>
    <w:rsid w:val="00831C6A"/>
    <w:rsid w:val="00831D7F"/>
    <w:rsid w:val="0083219A"/>
    <w:rsid w:val="008321C0"/>
    <w:rsid w:val="008327A2"/>
    <w:rsid w:val="00832B4B"/>
    <w:rsid w:val="00832CEC"/>
    <w:rsid w:val="00832FCD"/>
    <w:rsid w:val="00833316"/>
    <w:rsid w:val="0083338D"/>
    <w:rsid w:val="008333BE"/>
    <w:rsid w:val="0083341F"/>
    <w:rsid w:val="00833646"/>
    <w:rsid w:val="008337B8"/>
    <w:rsid w:val="00833E02"/>
    <w:rsid w:val="00834877"/>
    <w:rsid w:val="00834955"/>
    <w:rsid w:val="008349A2"/>
    <w:rsid w:val="008352A3"/>
    <w:rsid w:val="00835631"/>
    <w:rsid w:val="00835930"/>
    <w:rsid w:val="008359DE"/>
    <w:rsid w:val="00835BC0"/>
    <w:rsid w:val="00835DD7"/>
    <w:rsid w:val="00835E0C"/>
    <w:rsid w:val="00835FDB"/>
    <w:rsid w:val="0083636D"/>
    <w:rsid w:val="008363D8"/>
    <w:rsid w:val="0083643B"/>
    <w:rsid w:val="008365F1"/>
    <w:rsid w:val="00836944"/>
    <w:rsid w:val="00836C64"/>
    <w:rsid w:val="008370CE"/>
    <w:rsid w:val="0083723C"/>
    <w:rsid w:val="008374A3"/>
    <w:rsid w:val="0083758A"/>
    <w:rsid w:val="00837631"/>
    <w:rsid w:val="00837D2E"/>
    <w:rsid w:val="00837E5F"/>
    <w:rsid w:val="00837EB1"/>
    <w:rsid w:val="00840265"/>
    <w:rsid w:val="0084052D"/>
    <w:rsid w:val="00840540"/>
    <w:rsid w:val="008405D1"/>
    <w:rsid w:val="00840771"/>
    <w:rsid w:val="008407A8"/>
    <w:rsid w:val="00840909"/>
    <w:rsid w:val="0084095B"/>
    <w:rsid w:val="00840970"/>
    <w:rsid w:val="00840A8A"/>
    <w:rsid w:val="00840ACE"/>
    <w:rsid w:val="00840CDA"/>
    <w:rsid w:val="008412D3"/>
    <w:rsid w:val="008413B6"/>
    <w:rsid w:val="00841502"/>
    <w:rsid w:val="008415F0"/>
    <w:rsid w:val="00841692"/>
    <w:rsid w:val="0084182C"/>
    <w:rsid w:val="008418B2"/>
    <w:rsid w:val="00841937"/>
    <w:rsid w:val="0084198E"/>
    <w:rsid w:val="00841C52"/>
    <w:rsid w:val="00841E8C"/>
    <w:rsid w:val="00842DA1"/>
    <w:rsid w:val="00843283"/>
    <w:rsid w:val="008433F1"/>
    <w:rsid w:val="00843857"/>
    <w:rsid w:val="00843A31"/>
    <w:rsid w:val="008440AD"/>
    <w:rsid w:val="008441B7"/>
    <w:rsid w:val="00844433"/>
    <w:rsid w:val="00844499"/>
    <w:rsid w:val="008444CA"/>
    <w:rsid w:val="0084492D"/>
    <w:rsid w:val="00844C68"/>
    <w:rsid w:val="00844D2F"/>
    <w:rsid w:val="00844DD0"/>
    <w:rsid w:val="0084524B"/>
    <w:rsid w:val="0084526C"/>
    <w:rsid w:val="0084544B"/>
    <w:rsid w:val="0084577D"/>
    <w:rsid w:val="008457E6"/>
    <w:rsid w:val="008459F3"/>
    <w:rsid w:val="00845CC2"/>
    <w:rsid w:val="00845DCA"/>
    <w:rsid w:val="00845DFA"/>
    <w:rsid w:val="00845F23"/>
    <w:rsid w:val="00846291"/>
    <w:rsid w:val="008462F8"/>
    <w:rsid w:val="008463C1"/>
    <w:rsid w:val="00846476"/>
    <w:rsid w:val="008464C7"/>
    <w:rsid w:val="00846ACA"/>
    <w:rsid w:val="00846B35"/>
    <w:rsid w:val="00847021"/>
    <w:rsid w:val="00847135"/>
    <w:rsid w:val="008473DD"/>
    <w:rsid w:val="008475D2"/>
    <w:rsid w:val="008475ED"/>
    <w:rsid w:val="0084781C"/>
    <w:rsid w:val="0084783E"/>
    <w:rsid w:val="008479E9"/>
    <w:rsid w:val="00847B30"/>
    <w:rsid w:val="00847B7B"/>
    <w:rsid w:val="00847C60"/>
    <w:rsid w:val="008500B8"/>
    <w:rsid w:val="00850292"/>
    <w:rsid w:val="00850316"/>
    <w:rsid w:val="008506F2"/>
    <w:rsid w:val="008508FD"/>
    <w:rsid w:val="00850AEA"/>
    <w:rsid w:val="00850C73"/>
    <w:rsid w:val="0085103D"/>
    <w:rsid w:val="008511E6"/>
    <w:rsid w:val="00851394"/>
    <w:rsid w:val="0085160F"/>
    <w:rsid w:val="0085187C"/>
    <w:rsid w:val="00851A39"/>
    <w:rsid w:val="00851B27"/>
    <w:rsid w:val="00851BBF"/>
    <w:rsid w:val="00851BE8"/>
    <w:rsid w:val="00851C46"/>
    <w:rsid w:val="00851E4F"/>
    <w:rsid w:val="00851EDF"/>
    <w:rsid w:val="008522E8"/>
    <w:rsid w:val="0085234E"/>
    <w:rsid w:val="008523D1"/>
    <w:rsid w:val="008525E3"/>
    <w:rsid w:val="008526E5"/>
    <w:rsid w:val="00852933"/>
    <w:rsid w:val="008529E7"/>
    <w:rsid w:val="00852ABA"/>
    <w:rsid w:val="00852BCC"/>
    <w:rsid w:val="00852D95"/>
    <w:rsid w:val="00852DCD"/>
    <w:rsid w:val="00853071"/>
    <w:rsid w:val="00853112"/>
    <w:rsid w:val="008531DD"/>
    <w:rsid w:val="008532DA"/>
    <w:rsid w:val="0085361C"/>
    <w:rsid w:val="0085393B"/>
    <w:rsid w:val="00853D55"/>
    <w:rsid w:val="00853E35"/>
    <w:rsid w:val="008541B8"/>
    <w:rsid w:val="00854337"/>
    <w:rsid w:val="008544A4"/>
    <w:rsid w:val="00854A4B"/>
    <w:rsid w:val="00854E1A"/>
    <w:rsid w:val="00854E5F"/>
    <w:rsid w:val="008550D5"/>
    <w:rsid w:val="008552D8"/>
    <w:rsid w:val="008552DE"/>
    <w:rsid w:val="00855A53"/>
    <w:rsid w:val="00855ABB"/>
    <w:rsid w:val="00855AEA"/>
    <w:rsid w:val="00855BAF"/>
    <w:rsid w:val="00855D93"/>
    <w:rsid w:val="00855E5D"/>
    <w:rsid w:val="00855E97"/>
    <w:rsid w:val="00855EAE"/>
    <w:rsid w:val="00856072"/>
    <w:rsid w:val="00856101"/>
    <w:rsid w:val="0085661A"/>
    <w:rsid w:val="00856760"/>
    <w:rsid w:val="0085686F"/>
    <w:rsid w:val="008569AB"/>
    <w:rsid w:val="00856ABC"/>
    <w:rsid w:val="00856BA9"/>
    <w:rsid w:val="00856C4E"/>
    <w:rsid w:val="00856F3B"/>
    <w:rsid w:val="00856F76"/>
    <w:rsid w:val="00857027"/>
    <w:rsid w:val="00857428"/>
    <w:rsid w:val="0085743A"/>
    <w:rsid w:val="00857919"/>
    <w:rsid w:val="00857B12"/>
    <w:rsid w:val="00857B57"/>
    <w:rsid w:val="00857D00"/>
    <w:rsid w:val="00857F69"/>
    <w:rsid w:val="00857FA0"/>
    <w:rsid w:val="00860087"/>
    <w:rsid w:val="00860261"/>
    <w:rsid w:val="008602F8"/>
    <w:rsid w:val="0086038E"/>
    <w:rsid w:val="0086041F"/>
    <w:rsid w:val="00860834"/>
    <w:rsid w:val="00860905"/>
    <w:rsid w:val="00860B52"/>
    <w:rsid w:val="00860E86"/>
    <w:rsid w:val="00861145"/>
    <w:rsid w:val="008613AB"/>
    <w:rsid w:val="00861457"/>
    <w:rsid w:val="008615D4"/>
    <w:rsid w:val="0086167C"/>
    <w:rsid w:val="008616FC"/>
    <w:rsid w:val="008618B0"/>
    <w:rsid w:val="00861A94"/>
    <w:rsid w:val="00861C27"/>
    <w:rsid w:val="0086205B"/>
    <w:rsid w:val="0086219D"/>
    <w:rsid w:val="00862718"/>
    <w:rsid w:val="00862D5C"/>
    <w:rsid w:val="00862DCF"/>
    <w:rsid w:val="00862DEA"/>
    <w:rsid w:val="00862E04"/>
    <w:rsid w:val="00862E05"/>
    <w:rsid w:val="00862FF2"/>
    <w:rsid w:val="0086313B"/>
    <w:rsid w:val="00863172"/>
    <w:rsid w:val="00863385"/>
    <w:rsid w:val="00863731"/>
    <w:rsid w:val="0086395A"/>
    <w:rsid w:val="00863AB0"/>
    <w:rsid w:val="00863C91"/>
    <w:rsid w:val="00863DD8"/>
    <w:rsid w:val="00863E2F"/>
    <w:rsid w:val="00863EDE"/>
    <w:rsid w:val="00863FBD"/>
    <w:rsid w:val="0086409F"/>
    <w:rsid w:val="008644B5"/>
    <w:rsid w:val="00864AD1"/>
    <w:rsid w:val="00864BEA"/>
    <w:rsid w:val="0086546B"/>
    <w:rsid w:val="0086550E"/>
    <w:rsid w:val="0086579A"/>
    <w:rsid w:val="008658FE"/>
    <w:rsid w:val="00865D73"/>
    <w:rsid w:val="00866380"/>
    <w:rsid w:val="008663DF"/>
    <w:rsid w:val="008665AE"/>
    <w:rsid w:val="008666F9"/>
    <w:rsid w:val="008667C8"/>
    <w:rsid w:val="00866CD9"/>
    <w:rsid w:val="00866EBA"/>
    <w:rsid w:val="00866EBC"/>
    <w:rsid w:val="0086752C"/>
    <w:rsid w:val="008676BA"/>
    <w:rsid w:val="00867972"/>
    <w:rsid w:val="00867B23"/>
    <w:rsid w:val="00867E38"/>
    <w:rsid w:val="008700A7"/>
    <w:rsid w:val="0087015F"/>
    <w:rsid w:val="008701C2"/>
    <w:rsid w:val="008702B9"/>
    <w:rsid w:val="00870941"/>
    <w:rsid w:val="00870CBD"/>
    <w:rsid w:val="00870D52"/>
    <w:rsid w:val="00871004"/>
    <w:rsid w:val="00871054"/>
    <w:rsid w:val="008710CF"/>
    <w:rsid w:val="008711E0"/>
    <w:rsid w:val="0087144D"/>
    <w:rsid w:val="00871618"/>
    <w:rsid w:val="0087165F"/>
    <w:rsid w:val="0087183F"/>
    <w:rsid w:val="00871879"/>
    <w:rsid w:val="008718BD"/>
    <w:rsid w:val="00871AD6"/>
    <w:rsid w:val="00871C4D"/>
    <w:rsid w:val="00871D5F"/>
    <w:rsid w:val="00871DC7"/>
    <w:rsid w:val="008720FD"/>
    <w:rsid w:val="00872243"/>
    <w:rsid w:val="0087233A"/>
    <w:rsid w:val="00872446"/>
    <w:rsid w:val="008724BC"/>
    <w:rsid w:val="0087253E"/>
    <w:rsid w:val="008727BF"/>
    <w:rsid w:val="00872D77"/>
    <w:rsid w:val="00872E7F"/>
    <w:rsid w:val="00872F7B"/>
    <w:rsid w:val="00872F8B"/>
    <w:rsid w:val="008730B8"/>
    <w:rsid w:val="0087338B"/>
    <w:rsid w:val="008737ED"/>
    <w:rsid w:val="00873AAD"/>
    <w:rsid w:val="00873AFC"/>
    <w:rsid w:val="00874311"/>
    <w:rsid w:val="0087439A"/>
    <w:rsid w:val="008745E7"/>
    <w:rsid w:val="008746D9"/>
    <w:rsid w:val="008749DE"/>
    <w:rsid w:val="00874B7E"/>
    <w:rsid w:val="00874C5B"/>
    <w:rsid w:val="00874D21"/>
    <w:rsid w:val="00874EE2"/>
    <w:rsid w:val="0087509F"/>
    <w:rsid w:val="008750BC"/>
    <w:rsid w:val="008751C0"/>
    <w:rsid w:val="008752B8"/>
    <w:rsid w:val="008752FE"/>
    <w:rsid w:val="008753A1"/>
    <w:rsid w:val="00875440"/>
    <w:rsid w:val="00875459"/>
    <w:rsid w:val="0087550C"/>
    <w:rsid w:val="00875892"/>
    <w:rsid w:val="00875ADF"/>
    <w:rsid w:val="00875CDF"/>
    <w:rsid w:val="00875DEE"/>
    <w:rsid w:val="00875F51"/>
    <w:rsid w:val="0087615C"/>
    <w:rsid w:val="00876287"/>
    <w:rsid w:val="008765D6"/>
    <w:rsid w:val="008768FC"/>
    <w:rsid w:val="00876A54"/>
    <w:rsid w:val="00876DB0"/>
    <w:rsid w:val="00876E61"/>
    <w:rsid w:val="00876FDE"/>
    <w:rsid w:val="0087750A"/>
    <w:rsid w:val="008775FB"/>
    <w:rsid w:val="00877954"/>
    <w:rsid w:val="00877BB5"/>
    <w:rsid w:val="00877D82"/>
    <w:rsid w:val="00877EDE"/>
    <w:rsid w:val="008801AF"/>
    <w:rsid w:val="0088029C"/>
    <w:rsid w:val="00880408"/>
    <w:rsid w:val="008804B7"/>
    <w:rsid w:val="008804E5"/>
    <w:rsid w:val="00880595"/>
    <w:rsid w:val="00880769"/>
    <w:rsid w:val="00880848"/>
    <w:rsid w:val="00880BAA"/>
    <w:rsid w:val="00880FF2"/>
    <w:rsid w:val="008810BB"/>
    <w:rsid w:val="0088115D"/>
    <w:rsid w:val="0088136E"/>
    <w:rsid w:val="008814A9"/>
    <w:rsid w:val="00881870"/>
    <w:rsid w:val="00881985"/>
    <w:rsid w:val="00881E5A"/>
    <w:rsid w:val="00881ECD"/>
    <w:rsid w:val="008820AF"/>
    <w:rsid w:val="00882162"/>
    <w:rsid w:val="0088273B"/>
    <w:rsid w:val="008827A6"/>
    <w:rsid w:val="00882CD6"/>
    <w:rsid w:val="00882EB8"/>
    <w:rsid w:val="008830D5"/>
    <w:rsid w:val="0088332A"/>
    <w:rsid w:val="008837E3"/>
    <w:rsid w:val="00883B3A"/>
    <w:rsid w:val="00883CD6"/>
    <w:rsid w:val="00883D35"/>
    <w:rsid w:val="00883DF3"/>
    <w:rsid w:val="00883E16"/>
    <w:rsid w:val="00883EDC"/>
    <w:rsid w:val="0088422F"/>
    <w:rsid w:val="00884374"/>
    <w:rsid w:val="008843F8"/>
    <w:rsid w:val="00884509"/>
    <w:rsid w:val="00884CAE"/>
    <w:rsid w:val="00884F2A"/>
    <w:rsid w:val="008851DD"/>
    <w:rsid w:val="00885779"/>
    <w:rsid w:val="008858F9"/>
    <w:rsid w:val="00885B03"/>
    <w:rsid w:val="00885C67"/>
    <w:rsid w:val="00885DA1"/>
    <w:rsid w:val="00885EF9"/>
    <w:rsid w:val="00886017"/>
    <w:rsid w:val="008860FD"/>
    <w:rsid w:val="00886243"/>
    <w:rsid w:val="008862C4"/>
    <w:rsid w:val="00886362"/>
    <w:rsid w:val="00886370"/>
    <w:rsid w:val="00886C94"/>
    <w:rsid w:val="00886DF6"/>
    <w:rsid w:val="008870E0"/>
    <w:rsid w:val="00887183"/>
    <w:rsid w:val="00887287"/>
    <w:rsid w:val="008873D2"/>
    <w:rsid w:val="008879F0"/>
    <w:rsid w:val="00887A71"/>
    <w:rsid w:val="00887C8F"/>
    <w:rsid w:val="00887DC3"/>
    <w:rsid w:val="00887F78"/>
    <w:rsid w:val="00890212"/>
    <w:rsid w:val="008905C0"/>
    <w:rsid w:val="0089080A"/>
    <w:rsid w:val="00890A17"/>
    <w:rsid w:val="00890A9E"/>
    <w:rsid w:val="00890DAE"/>
    <w:rsid w:val="00890DE9"/>
    <w:rsid w:val="00891008"/>
    <w:rsid w:val="0089144C"/>
    <w:rsid w:val="00891474"/>
    <w:rsid w:val="008914E0"/>
    <w:rsid w:val="008917CB"/>
    <w:rsid w:val="00891A51"/>
    <w:rsid w:val="00891C39"/>
    <w:rsid w:val="00891F99"/>
    <w:rsid w:val="008921D0"/>
    <w:rsid w:val="00892256"/>
    <w:rsid w:val="0089271C"/>
    <w:rsid w:val="00892738"/>
    <w:rsid w:val="008927A8"/>
    <w:rsid w:val="00892B93"/>
    <w:rsid w:val="00892D61"/>
    <w:rsid w:val="00893769"/>
    <w:rsid w:val="00893814"/>
    <w:rsid w:val="00893DEE"/>
    <w:rsid w:val="008940EB"/>
    <w:rsid w:val="008944CA"/>
    <w:rsid w:val="008944FB"/>
    <w:rsid w:val="0089458B"/>
    <w:rsid w:val="008945A3"/>
    <w:rsid w:val="00894831"/>
    <w:rsid w:val="008953B5"/>
    <w:rsid w:val="008953DC"/>
    <w:rsid w:val="0089541F"/>
    <w:rsid w:val="00895A35"/>
    <w:rsid w:val="00895B96"/>
    <w:rsid w:val="00895C0E"/>
    <w:rsid w:val="00895E70"/>
    <w:rsid w:val="008960DD"/>
    <w:rsid w:val="008961CD"/>
    <w:rsid w:val="0089638D"/>
    <w:rsid w:val="0089648F"/>
    <w:rsid w:val="008968AF"/>
    <w:rsid w:val="00896A08"/>
    <w:rsid w:val="00896A77"/>
    <w:rsid w:val="00896C42"/>
    <w:rsid w:val="008970AD"/>
    <w:rsid w:val="0089715E"/>
    <w:rsid w:val="00897241"/>
    <w:rsid w:val="0089747B"/>
    <w:rsid w:val="008977E1"/>
    <w:rsid w:val="008979C9"/>
    <w:rsid w:val="00897B69"/>
    <w:rsid w:val="00897C00"/>
    <w:rsid w:val="00897D13"/>
    <w:rsid w:val="00897F7B"/>
    <w:rsid w:val="0089CF68"/>
    <w:rsid w:val="008A00DC"/>
    <w:rsid w:val="008A0420"/>
    <w:rsid w:val="008A04A0"/>
    <w:rsid w:val="008A073C"/>
    <w:rsid w:val="008A0875"/>
    <w:rsid w:val="008A08A0"/>
    <w:rsid w:val="008A08D1"/>
    <w:rsid w:val="008A0C0F"/>
    <w:rsid w:val="008A0EA4"/>
    <w:rsid w:val="008A0F28"/>
    <w:rsid w:val="008A0F4D"/>
    <w:rsid w:val="008A0F52"/>
    <w:rsid w:val="008A1015"/>
    <w:rsid w:val="008A1159"/>
    <w:rsid w:val="008A1210"/>
    <w:rsid w:val="008A12BA"/>
    <w:rsid w:val="008A1389"/>
    <w:rsid w:val="008A1435"/>
    <w:rsid w:val="008A1824"/>
    <w:rsid w:val="008A1959"/>
    <w:rsid w:val="008A1B8B"/>
    <w:rsid w:val="008A1BE1"/>
    <w:rsid w:val="008A1D6B"/>
    <w:rsid w:val="008A1DD9"/>
    <w:rsid w:val="008A1ED2"/>
    <w:rsid w:val="008A2394"/>
    <w:rsid w:val="008A2463"/>
    <w:rsid w:val="008A2B27"/>
    <w:rsid w:val="008A308E"/>
    <w:rsid w:val="008A30DD"/>
    <w:rsid w:val="008A3397"/>
    <w:rsid w:val="008A33E4"/>
    <w:rsid w:val="008A3E1A"/>
    <w:rsid w:val="008A3E4A"/>
    <w:rsid w:val="008A3F1F"/>
    <w:rsid w:val="008A4038"/>
    <w:rsid w:val="008A4464"/>
    <w:rsid w:val="008A4486"/>
    <w:rsid w:val="008A4519"/>
    <w:rsid w:val="008A464F"/>
    <w:rsid w:val="008A46A2"/>
    <w:rsid w:val="008A4D11"/>
    <w:rsid w:val="008A4D3A"/>
    <w:rsid w:val="008A4EFD"/>
    <w:rsid w:val="008A516C"/>
    <w:rsid w:val="008A52E0"/>
    <w:rsid w:val="008A57CC"/>
    <w:rsid w:val="008A5944"/>
    <w:rsid w:val="008A5ABB"/>
    <w:rsid w:val="008A5EBC"/>
    <w:rsid w:val="008A5F6C"/>
    <w:rsid w:val="008A6049"/>
    <w:rsid w:val="008A62D1"/>
    <w:rsid w:val="008A62F6"/>
    <w:rsid w:val="008A6530"/>
    <w:rsid w:val="008A658B"/>
    <w:rsid w:val="008A6995"/>
    <w:rsid w:val="008A6D0D"/>
    <w:rsid w:val="008A6ED0"/>
    <w:rsid w:val="008A707F"/>
    <w:rsid w:val="008A70BD"/>
    <w:rsid w:val="008A7A25"/>
    <w:rsid w:val="008A7A3A"/>
    <w:rsid w:val="008A7EFD"/>
    <w:rsid w:val="008AD838"/>
    <w:rsid w:val="008B00B8"/>
    <w:rsid w:val="008B03D3"/>
    <w:rsid w:val="008B0432"/>
    <w:rsid w:val="008B0578"/>
    <w:rsid w:val="008B0669"/>
    <w:rsid w:val="008B09A5"/>
    <w:rsid w:val="008B12A2"/>
    <w:rsid w:val="008B1723"/>
    <w:rsid w:val="008B17C9"/>
    <w:rsid w:val="008B1A2F"/>
    <w:rsid w:val="008B1A9F"/>
    <w:rsid w:val="008B1C5D"/>
    <w:rsid w:val="008B1C67"/>
    <w:rsid w:val="008B1E6E"/>
    <w:rsid w:val="008B1F33"/>
    <w:rsid w:val="008B220C"/>
    <w:rsid w:val="008B2221"/>
    <w:rsid w:val="008B2309"/>
    <w:rsid w:val="008B2507"/>
    <w:rsid w:val="008B2634"/>
    <w:rsid w:val="008B2874"/>
    <w:rsid w:val="008B2897"/>
    <w:rsid w:val="008B2ACE"/>
    <w:rsid w:val="008B2B86"/>
    <w:rsid w:val="008B2CA0"/>
    <w:rsid w:val="008B3319"/>
    <w:rsid w:val="008B36C5"/>
    <w:rsid w:val="008B375A"/>
    <w:rsid w:val="008B3834"/>
    <w:rsid w:val="008B3942"/>
    <w:rsid w:val="008B3953"/>
    <w:rsid w:val="008B3BEC"/>
    <w:rsid w:val="008B3C62"/>
    <w:rsid w:val="008B3EDC"/>
    <w:rsid w:val="008B4244"/>
    <w:rsid w:val="008B4569"/>
    <w:rsid w:val="008B47BC"/>
    <w:rsid w:val="008B4B11"/>
    <w:rsid w:val="008B4CE5"/>
    <w:rsid w:val="008B4EB8"/>
    <w:rsid w:val="008B5092"/>
    <w:rsid w:val="008B5643"/>
    <w:rsid w:val="008B574D"/>
    <w:rsid w:val="008B599A"/>
    <w:rsid w:val="008B59F4"/>
    <w:rsid w:val="008B6194"/>
    <w:rsid w:val="008B6713"/>
    <w:rsid w:val="008B673C"/>
    <w:rsid w:val="008B6874"/>
    <w:rsid w:val="008B6C99"/>
    <w:rsid w:val="008B6D92"/>
    <w:rsid w:val="008B7208"/>
    <w:rsid w:val="008B7286"/>
    <w:rsid w:val="008B7629"/>
    <w:rsid w:val="008B7696"/>
    <w:rsid w:val="008B77EE"/>
    <w:rsid w:val="008B7858"/>
    <w:rsid w:val="008B78F0"/>
    <w:rsid w:val="008B7990"/>
    <w:rsid w:val="008B7BB2"/>
    <w:rsid w:val="008B7C38"/>
    <w:rsid w:val="008B7DB2"/>
    <w:rsid w:val="008B7DFD"/>
    <w:rsid w:val="008C029B"/>
    <w:rsid w:val="008C0642"/>
    <w:rsid w:val="008C0A2B"/>
    <w:rsid w:val="008C0D03"/>
    <w:rsid w:val="008C0F16"/>
    <w:rsid w:val="008C0FDC"/>
    <w:rsid w:val="008C1234"/>
    <w:rsid w:val="008C149D"/>
    <w:rsid w:val="008C166F"/>
    <w:rsid w:val="008C1C98"/>
    <w:rsid w:val="008C1D65"/>
    <w:rsid w:val="008C1EA3"/>
    <w:rsid w:val="008C20BE"/>
    <w:rsid w:val="008C2269"/>
    <w:rsid w:val="008C2657"/>
    <w:rsid w:val="008C2936"/>
    <w:rsid w:val="008C2994"/>
    <w:rsid w:val="008C2C50"/>
    <w:rsid w:val="008C2C9D"/>
    <w:rsid w:val="008C2D5C"/>
    <w:rsid w:val="008C2EB0"/>
    <w:rsid w:val="008C2EDD"/>
    <w:rsid w:val="008C2F19"/>
    <w:rsid w:val="008C30D7"/>
    <w:rsid w:val="008C3189"/>
    <w:rsid w:val="008C323C"/>
    <w:rsid w:val="008C3538"/>
    <w:rsid w:val="008C3686"/>
    <w:rsid w:val="008C3C3B"/>
    <w:rsid w:val="008C3DAF"/>
    <w:rsid w:val="008C3E3F"/>
    <w:rsid w:val="008C424F"/>
    <w:rsid w:val="008C43F9"/>
    <w:rsid w:val="008C4761"/>
    <w:rsid w:val="008C49E6"/>
    <w:rsid w:val="008C4A01"/>
    <w:rsid w:val="008C4BF0"/>
    <w:rsid w:val="008C4C18"/>
    <w:rsid w:val="008C4F87"/>
    <w:rsid w:val="008C5178"/>
    <w:rsid w:val="008C547A"/>
    <w:rsid w:val="008C5712"/>
    <w:rsid w:val="008C5954"/>
    <w:rsid w:val="008C5965"/>
    <w:rsid w:val="008C59BE"/>
    <w:rsid w:val="008C59CE"/>
    <w:rsid w:val="008C5CFE"/>
    <w:rsid w:val="008C5FE4"/>
    <w:rsid w:val="008C61D7"/>
    <w:rsid w:val="008C61FE"/>
    <w:rsid w:val="008C644D"/>
    <w:rsid w:val="008C6780"/>
    <w:rsid w:val="008C698D"/>
    <w:rsid w:val="008C6AE7"/>
    <w:rsid w:val="008C6B62"/>
    <w:rsid w:val="008C6BE4"/>
    <w:rsid w:val="008C6C56"/>
    <w:rsid w:val="008C6E59"/>
    <w:rsid w:val="008C711C"/>
    <w:rsid w:val="008C71D7"/>
    <w:rsid w:val="008C72F0"/>
    <w:rsid w:val="008C77C3"/>
    <w:rsid w:val="008C79E1"/>
    <w:rsid w:val="008D01F4"/>
    <w:rsid w:val="008D0234"/>
    <w:rsid w:val="008D0479"/>
    <w:rsid w:val="008D08A0"/>
    <w:rsid w:val="008D0A26"/>
    <w:rsid w:val="008D0B4B"/>
    <w:rsid w:val="008D0CA5"/>
    <w:rsid w:val="008D0D77"/>
    <w:rsid w:val="008D101E"/>
    <w:rsid w:val="008D106A"/>
    <w:rsid w:val="008D11F4"/>
    <w:rsid w:val="008D1262"/>
    <w:rsid w:val="008D13DF"/>
    <w:rsid w:val="008D14DE"/>
    <w:rsid w:val="008D15D2"/>
    <w:rsid w:val="008D15F0"/>
    <w:rsid w:val="008D169E"/>
    <w:rsid w:val="008D1779"/>
    <w:rsid w:val="008D17BC"/>
    <w:rsid w:val="008D1883"/>
    <w:rsid w:val="008D1A75"/>
    <w:rsid w:val="008D1C63"/>
    <w:rsid w:val="008D1DAD"/>
    <w:rsid w:val="008D1E06"/>
    <w:rsid w:val="008D1E5D"/>
    <w:rsid w:val="008D1E97"/>
    <w:rsid w:val="008D1F37"/>
    <w:rsid w:val="008D2119"/>
    <w:rsid w:val="008D22CB"/>
    <w:rsid w:val="008D2332"/>
    <w:rsid w:val="008D25F1"/>
    <w:rsid w:val="008D29D8"/>
    <w:rsid w:val="008D2B82"/>
    <w:rsid w:val="008D2D1B"/>
    <w:rsid w:val="008D34A7"/>
    <w:rsid w:val="008D3568"/>
    <w:rsid w:val="008D35E9"/>
    <w:rsid w:val="008D3721"/>
    <w:rsid w:val="008D37EB"/>
    <w:rsid w:val="008D37EE"/>
    <w:rsid w:val="008D4465"/>
    <w:rsid w:val="008D44B0"/>
    <w:rsid w:val="008D454F"/>
    <w:rsid w:val="008D46AD"/>
    <w:rsid w:val="008D47DA"/>
    <w:rsid w:val="008D4810"/>
    <w:rsid w:val="008D4885"/>
    <w:rsid w:val="008D488F"/>
    <w:rsid w:val="008D48F0"/>
    <w:rsid w:val="008D4F63"/>
    <w:rsid w:val="008D4F99"/>
    <w:rsid w:val="008D515B"/>
    <w:rsid w:val="008D5789"/>
    <w:rsid w:val="008D5A3E"/>
    <w:rsid w:val="008D6286"/>
    <w:rsid w:val="008D6546"/>
    <w:rsid w:val="008D6937"/>
    <w:rsid w:val="008D6C36"/>
    <w:rsid w:val="008D6CCA"/>
    <w:rsid w:val="008D6EBB"/>
    <w:rsid w:val="008D77FB"/>
    <w:rsid w:val="008D7A37"/>
    <w:rsid w:val="008D7C39"/>
    <w:rsid w:val="008D7E7F"/>
    <w:rsid w:val="008E03B3"/>
    <w:rsid w:val="008E03D8"/>
    <w:rsid w:val="008E0A00"/>
    <w:rsid w:val="008E0A08"/>
    <w:rsid w:val="008E0A28"/>
    <w:rsid w:val="008E0AD7"/>
    <w:rsid w:val="008E0AE9"/>
    <w:rsid w:val="008E0DB3"/>
    <w:rsid w:val="008E11A9"/>
    <w:rsid w:val="008E1390"/>
    <w:rsid w:val="008E15A1"/>
    <w:rsid w:val="008E1865"/>
    <w:rsid w:val="008E19EA"/>
    <w:rsid w:val="008E1A9A"/>
    <w:rsid w:val="008E1BA9"/>
    <w:rsid w:val="008E1C62"/>
    <w:rsid w:val="008E2054"/>
    <w:rsid w:val="008E207B"/>
    <w:rsid w:val="008E21DF"/>
    <w:rsid w:val="008E2258"/>
    <w:rsid w:val="008E233C"/>
    <w:rsid w:val="008E24AB"/>
    <w:rsid w:val="008E2698"/>
    <w:rsid w:val="008E285D"/>
    <w:rsid w:val="008E2B0B"/>
    <w:rsid w:val="008E2D7B"/>
    <w:rsid w:val="008E334D"/>
    <w:rsid w:val="008E3523"/>
    <w:rsid w:val="008E35B6"/>
    <w:rsid w:val="008E366B"/>
    <w:rsid w:val="008E3688"/>
    <w:rsid w:val="008E3895"/>
    <w:rsid w:val="008E3918"/>
    <w:rsid w:val="008E39F2"/>
    <w:rsid w:val="008E3A95"/>
    <w:rsid w:val="008E3B56"/>
    <w:rsid w:val="008E3BD7"/>
    <w:rsid w:val="008E3C0C"/>
    <w:rsid w:val="008E3EF0"/>
    <w:rsid w:val="008E3F7D"/>
    <w:rsid w:val="008E404D"/>
    <w:rsid w:val="008E4243"/>
    <w:rsid w:val="008E468A"/>
    <w:rsid w:val="008E4756"/>
    <w:rsid w:val="008E4B9A"/>
    <w:rsid w:val="008E4EEE"/>
    <w:rsid w:val="008E4F1D"/>
    <w:rsid w:val="008E5020"/>
    <w:rsid w:val="008E50BE"/>
    <w:rsid w:val="008E50D0"/>
    <w:rsid w:val="008E569B"/>
    <w:rsid w:val="008E57E9"/>
    <w:rsid w:val="008E5885"/>
    <w:rsid w:val="008E5B57"/>
    <w:rsid w:val="008E5B60"/>
    <w:rsid w:val="008E5BD8"/>
    <w:rsid w:val="008E5D4F"/>
    <w:rsid w:val="008E5E2F"/>
    <w:rsid w:val="008E621D"/>
    <w:rsid w:val="008E6724"/>
    <w:rsid w:val="008E6F08"/>
    <w:rsid w:val="008E6F43"/>
    <w:rsid w:val="008E724B"/>
    <w:rsid w:val="008E7341"/>
    <w:rsid w:val="008E749C"/>
    <w:rsid w:val="008F0155"/>
    <w:rsid w:val="008F0285"/>
    <w:rsid w:val="008F028F"/>
    <w:rsid w:val="008F063C"/>
    <w:rsid w:val="008F079C"/>
    <w:rsid w:val="008F0864"/>
    <w:rsid w:val="008F09BA"/>
    <w:rsid w:val="008F09F3"/>
    <w:rsid w:val="008F0C73"/>
    <w:rsid w:val="008F0E1D"/>
    <w:rsid w:val="008F1286"/>
    <w:rsid w:val="008F1529"/>
    <w:rsid w:val="008F15E6"/>
    <w:rsid w:val="008F1953"/>
    <w:rsid w:val="008F1AAD"/>
    <w:rsid w:val="008F1B83"/>
    <w:rsid w:val="008F1C66"/>
    <w:rsid w:val="008F1C88"/>
    <w:rsid w:val="008F202E"/>
    <w:rsid w:val="008F204C"/>
    <w:rsid w:val="008F2662"/>
    <w:rsid w:val="008F2865"/>
    <w:rsid w:val="008F28ED"/>
    <w:rsid w:val="008F2B63"/>
    <w:rsid w:val="008F2C88"/>
    <w:rsid w:val="008F2F05"/>
    <w:rsid w:val="008F35EE"/>
    <w:rsid w:val="008F36D7"/>
    <w:rsid w:val="008F3B16"/>
    <w:rsid w:val="008F3FD6"/>
    <w:rsid w:val="008F4022"/>
    <w:rsid w:val="008F40FA"/>
    <w:rsid w:val="008F4133"/>
    <w:rsid w:val="008F4251"/>
    <w:rsid w:val="008F4333"/>
    <w:rsid w:val="008F47C3"/>
    <w:rsid w:val="008F48A2"/>
    <w:rsid w:val="008F4B19"/>
    <w:rsid w:val="008F512A"/>
    <w:rsid w:val="008F555D"/>
    <w:rsid w:val="008F5628"/>
    <w:rsid w:val="008F5671"/>
    <w:rsid w:val="008F56DF"/>
    <w:rsid w:val="008F5760"/>
    <w:rsid w:val="008F5A06"/>
    <w:rsid w:val="008F5AB2"/>
    <w:rsid w:val="008F5CF1"/>
    <w:rsid w:val="008F5D47"/>
    <w:rsid w:val="008F5E2A"/>
    <w:rsid w:val="008F6033"/>
    <w:rsid w:val="008F610B"/>
    <w:rsid w:val="008F6453"/>
    <w:rsid w:val="008F6A1A"/>
    <w:rsid w:val="008F6A99"/>
    <w:rsid w:val="008F6BF6"/>
    <w:rsid w:val="008F6D6A"/>
    <w:rsid w:val="008F6FBE"/>
    <w:rsid w:val="008F7323"/>
    <w:rsid w:val="008F75C8"/>
    <w:rsid w:val="008F7946"/>
    <w:rsid w:val="008F7972"/>
    <w:rsid w:val="008F7A27"/>
    <w:rsid w:val="008F7E5F"/>
    <w:rsid w:val="008F7ED4"/>
    <w:rsid w:val="008FC290"/>
    <w:rsid w:val="00900095"/>
    <w:rsid w:val="009004CE"/>
    <w:rsid w:val="0090073A"/>
    <w:rsid w:val="00900839"/>
    <w:rsid w:val="0090086F"/>
    <w:rsid w:val="009009CF"/>
    <w:rsid w:val="00900BD8"/>
    <w:rsid w:val="00900E5B"/>
    <w:rsid w:val="00900E77"/>
    <w:rsid w:val="00900FCD"/>
    <w:rsid w:val="009010BB"/>
    <w:rsid w:val="00902117"/>
    <w:rsid w:val="009024A7"/>
    <w:rsid w:val="009025F9"/>
    <w:rsid w:val="0090264D"/>
    <w:rsid w:val="0090268F"/>
    <w:rsid w:val="00902B58"/>
    <w:rsid w:val="00902C7A"/>
    <w:rsid w:val="00902CE6"/>
    <w:rsid w:val="00902D1E"/>
    <w:rsid w:val="00902EE6"/>
    <w:rsid w:val="00903591"/>
    <w:rsid w:val="0090364C"/>
    <w:rsid w:val="00903714"/>
    <w:rsid w:val="00903A17"/>
    <w:rsid w:val="00903AA5"/>
    <w:rsid w:val="00903AD9"/>
    <w:rsid w:val="009046A5"/>
    <w:rsid w:val="00904D46"/>
    <w:rsid w:val="00904F1D"/>
    <w:rsid w:val="00905079"/>
    <w:rsid w:val="00905688"/>
    <w:rsid w:val="00905A82"/>
    <w:rsid w:val="00905D46"/>
    <w:rsid w:val="00905D7E"/>
    <w:rsid w:val="00905E7B"/>
    <w:rsid w:val="00906013"/>
    <w:rsid w:val="009060E1"/>
    <w:rsid w:val="00906325"/>
    <w:rsid w:val="00906465"/>
    <w:rsid w:val="00906814"/>
    <w:rsid w:val="009069B1"/>
    <w:rsid w:val="009069BC"/>
    <w:rsid w:val="00906BEE"/>
    <w:rsid w:val="00906D61"/>
    <w:rsid w:val="00906D7F"/>
    <w:rsid w:val="00906EBE"/>
    <w:rsid w:val="0090736F"/>
    <w:rsid w:val="0090740F"/>
    <w:rsid w:val="009075CF"/>
    <w:rsid w:val="00907671"/>
    <w:rsid w:val="0090768A"/>
    <w:rsid w:val="0090780D"/>
    <w:rsid w:val="009079C7"/>
    <w:rsid w:val="00907ADA"/>
    <w:rsid w:val="00907C0B"/>
    <w:rsid w:val="00907C68"/>
    <w:rsid w:val="00907F30"/>
    <w:rsid w:val="0091002E"/>
    <w:rsid w:val="009101B4"/>
    <w:rsid w:val="009103F7"/>
    <w:rsid w:val="00910493"/>
    <w:rsid w:val="00910507"/>
    <w:rsid w:val="00910887"/>
    <w:rsid w:val="00910AF0"/>
    <w:rsid w:val="00910B8A"/>
    <w:rsid w:val="00910CB0"/>
    <w:rsid w:val="00911035"/>
    <w:rsid w:val="009113E6"/>
    <w:rsid w:val="009116C5"/>
    <w:rsid w:val="009116E7"/>
    <w:rsid w:val="009117F0"/>
    <w:rsid w:val="0091194B"/>
    <w:rsid w:val="00911CCD"/>
    <w:rsid w:val="00911D42"/>
    <w:rsid w:val="00911ED3"/>
    <w:rsid w:val="0091205E"/>
    <w:rsid w:val="00912157"/>
    <w:rsid w:val="00912303"/>
    <w:rsid w:val="0091232C"/>
    <w:rsid w:val="00912507"/>
    <w:rsid w:val="0091262C"/>
    <w:rsid w:val="00912769"/>
    <w:rsid w:val="00912B20"/>
    <w:rsid w:val="00912F3B"/>
    <w:rsid w:val="009133E2"/>
    <w:rsid w:val="00913415"/>
    <w:rsid w:val="0091361C"/>
    <w:rsid w:val="00913638"/>
    <w:rsid w:val="0091369A"/>
    <w:rsid w:val="00913881"/>
    <w:rsid w:val="00913B77"/>
    <w:rsid w:val="00913BB2"/>
    <w:rsid w:val="00913CA8"/>
    <w:rsid w:val="00913D73"/>
    <w:rsid w:val="0091400A"/>
    <w:rsid w:val="00914131"/>
    <w:rsid w:val="00914208"/>
    <w:rsid w:val="00914755"/>
    <w:rsid w:val="009148AB"/>
    <w:rsid w:val="00914917"/>
    <w:rsid w:val="00914BDF"/>
    <w:rsid w:val="00914C4F"/>
    <w:rsid w:val="00914DE1"/>
    <w:rsid w:val="00914E6B"/>
    <w:rsid w:val="00915039"/>
    <w:rsid w:val="009153DB"/>
    <w:rsid w:val="00915501"/>
    <w:rsid w:val="00915546"/>
    <w:rsid w:val="0091559F"/>
    <w:rsid w:val="0091573C"/>
    <w:rsid w:val="00915810"/>
    <w:rsid w:val="00915A2E"/>
    <w:rsid w:val="00915AB9"/>
    <w:rsid w:val="00915CA5"/>
    <w:rsid w:val="00915D7A"/>
    <w:rsid w:val="00915F73"/>
    <w:rsid w:val="009160C2"/>
    <w:rsid w:val="009161B8"/>
    <w:rsid w:val="009162B4"/>
    <w:rsid w:val="00916475"/>
    <w:rsid w:val="009164F3"/>
    <w:rsid w:val="00916587"/>
    <w:rsid w:val="0091667B"/>
    <w:rsid w:val="00916BD9"/>
    <w:rsid w:val="00916EC5"/>
    <w:rsid w:val="00917006"/>
    <w:rsid w:val="00917357"/>
    <w:rsid w:val="00917478"/>
    <w:rsid w:val="00917997"/>
    <w:rsid w:val="00917BB1"/>
    <w:rsid w:val="00917C72"/>
    <w:rsid w:val="00917CF1"/>
    <w:rsid w:val="0092007F"/>
    <w:rsid w:val="00920566"/>
    <w:rsid w:val="00920735"/>
    <w:rsid w:val="00920A6D"/>
    <w:rsid w:val="00920DD5"/>
    <w:rsid w:val="00920E5F"/>
    <w:rsid w:val="009214D3"/>
    <w:rsid w:val="0092156A"/>
    <w:rsid w:val="00921595"/>
    <w:rsid w:val="009215C7"/>
    <w:rsid w:val="009217A9"/>
    <w:rsid w:val="0092194D"/>
    <w:rsid w:val="00921BEA"/>
    <w:rsid w:val="00921CD0"/>
    <w:rsid w:val="00921CE1"/>
    <w:rsid w:val="00921E90"/>
    <w:rsid w:val="00922127"/>
    <w:rsid w:val="0092260A"/>
    <w:rsid w:val="0092297E"/>
    <w:rsid w:val="009229AC"/>
    <w:rsid w:val="00922AA6"/>
    <w:rsid w:val="00922D6C"/>
    <w:rsid w:val="00922DCC"/>
    <w:rsid w:val="00922FA9"/>
    <w:rsid w:val="0092335C"/>
    <w:rsid w:val="009233DD"/>
    <w:rsid w:val="00923590"/>
    <w:rsid w:val="009235B1"/>
    <w:rsid w:val="0092369F"/>
    <w:rsid w:val="00923806"/>
    <w:rsid w:val="0092384F"/>
    <w:rsid w:val="009238BE"/>
    <w:rsid w:val="00923A83"/>
    <w:rsid w:val="00923AA8"/>
    <w:rsid w:val="00923B73"/>
    <w:rsid w:val="00923BE4"/>
    <w:rsid w:val="00923D24"/>
    <w:rsid w:val="00923ECD"/>
    <w:rsid w:val="0092402A"/>
    <w:rsid w:val="00924349"/>
    <w:rsid w:val="009243A9"/>
    <w:rsid w:val="00924428"/>
    <w:rsid w:val="0092448B"/>
    <w:rsid w:val="00924542"/>
    <w:rsid w:val="00924722"/>
    <w:rsid w:val="00924730"/>
    <w:rsid w:val="009249AE"/>
    <w:rsid w:val="00924B13"/>
    <w:rsid w:val="00924BDA"/>
    <w:rsid w:val="00924F5D"/>
    <w:rsid w:val="00925CDC"/>
    <w:rsid w:val="00925E20"/>
    <w:rsid w:val="00925F2B"/>
    <w:rsid w:val="00926131"/>
    <w:rsid w:val="00926137"/>
    <w:rsid w:val="00926229"/>
    <w:rsid w:val="00926301"/>
    <w:rsid w:val="009263A0"/>
    <w:rsid w:val="0092641B"/>
    <w:rsid w:val="00926638"/>
    <w:rsid w:val="0092664F"/>
    <w:rsid w:val="00926A77"/>
    <w:rsid w:val="00926EEE"/>
    <w:rsid w:val="00926FA8"/>
    <w:rsid w:val="00927292"/>
    <w:rsid w:val="00927335"/>
    <w:rsid w:val="0092740D"/>
    <w:rsid w:val="00927504"/>
    <w:rsid w:val="009275E7"/>
    <w:rsid w:val="00927641"/>
    <w:rsid w:val="009276E2"/>
    <w:rsid w:val="00927BD7"/>
    <w:rsid w:val="00927D1C"/>
    <w:rsid w:val="00927D85"/>
    <w:rsid w:val="00927FB3"/>
    <w:rsid w:val="009303FE"/>
    <w:rsid w:val="009304A4"/>
    <w:rsid w:val="009305C9"/>
    <w:rsid w:val="00930AD1"/>
    <w:rsid w:val="00930B06"/>
    <w:rsid w:val="00930FF9"/>
    <w:rsid w:val="009310BC"/>
    <w:rsid w:val="009311FE"/>
    <w:rsid w:val="00931302"/>
    <w:rsid w:val="009314AC"/>
    <w:rsid w:val="00931630"/>
    <w:rsid w:val="009316C6"/>
    <w:rsid w:val="009317CA"/>
    <w:rsid w:val="00931A1A"/>
    <w:rsid w:val="00931A7E"/>
    <w:rsid w:val="00931AB3"/>
    <w:rsid w:val="009320D9"/>
    <w:rsid w:val="0093211C"/>
    <w:rsid w:val="0093226D"/>
    <w:rsid w:val="00932297"/>
    <w:rsid w:val="009322BA"/>
    <w:rsid w:val="00932399"/>
    <w:rsid w:val="009323BB"/>
    <w:rsid w:val="00932456"/>
    <w:rsid w:val="009326B0"/>
    <w:rsid w:val="0093273F"/>
    <w:rsid w:val="00932797"/>
    <w:rsid w:val="0093286D"/>
    <w:rsid w:val="00932ACE"/>
    <w:rsid w:val="00932E1E"/>
    <w:rsid w:val="00932E71"/>
    <w:rsid w:val="00932F3C"/>
    <w:rsid w:val="00932F42"/>
    <w:rsid w:val="0093307E"/>
    <w:rsid w:val="009331A2"/>
    <w:rsid w:val="00933386"/>
    <w:rsid w:val="009333DD"/>
    <w:rsid w:val="009333E8"/>
    <w:rsid w:val="009336C5"/>
    <w:rsid w:val="00933724"/>
    <w:rsid w:val="00933C82"/>
    <w:rsid w:val="009343AD"/>
    <w:rsid w:val="00934477"/>
    <w:rsid w:val="009347DF"/>
    <w:rsid w:val="0093495A"/>
    <w:rsid w:val="00934BCB"/>
    <w:rsid w:val="00934CC4"/>
    <w:rsid w:val="00934E41"/>
    <w:rsid w:val="00935786"/>
    <w:rsid w:val="00935C0B"/>
    <w:rsid w:val="00935D9A"/>
    <w:rsid w:val="00936188"/>
    <w:rsid w:val="009361FB"/>
    <w:rsid w:val="009362C6"/>
    <w:rsid w:val="009364D5"/>
    <w:rsid w:val="00936751"/>
    <w:rsid w:val="00936AB1"/>
    <w:rsid w:val="00936BA8"/>
    <w:rsid w:val="00936BE0"/>
    <w:rsid w:val="00936CC4"/>
    <w:rsid w:val="00936F34"/>
    <w:rsid w:val="00937141"/>
    <w:rsid w:val="009372D3"/>
    <w:rsid w:val="0093773D"/>
    <w:rsid w:val="00937821"/>
    <w:rsid w:val="0093793F"/>
    <w:rsid w:val="00937C11"/>
    <w:rsid w:val="00937DD4"/>
    <w:rsid w:val="00937ECC"/>
    <w:rsid w:val="00937F61"/>
    <w:rsid w:val="00937F64"/>
    <w:rsid w:val="00937F72"/>
    <w:rsid w:val="0094065C"/>
    <w:rsid w:val="00940791"/>
    <w:rsid w:val="00940946"/>
    <w:rsid w:val="00940B27"/>
    <w:rsid w:val="00940B3A"/>
    <w:rsid w:val="00940C5F"/>
    <w:rsid w:val="00940D85"/>
    <w:rsid w:val="009412A9"/>
    <w:rsid w:val="009414A6"/>
    <w:rsid w:val="0094153A"/>
    <w:rsid w:val="00941602"/>
    <w:rsid w:val="009416C6"/>
    <w:rsid w:val="00941781"/>
    <w:rsid w:val="009419E1"/>
    <w:rsid w:val="00941AAD"/>
    <w:rsid w:val="00941C1B"/>
    <w:rsid w:val="00941F45"/>
    <w:rsid w:val="00942607"/>
    <w:rsid w:val="00942740"/>
    <w:rsid w:val="00942809"/>
    <w:rsid w:val="0094287E"/>
    <w:rsid w:val="0094297E"/>
    <w:rsid w:val="00942AAB"/>
    <w:rsid w:val="00942DAF"/>
    <w:rsid w:val="00942F18"/>
    <w:rsid w:val="00942FED"/>
    <w:rsid w:val="00943154"/>
    <w:rsid w:val="009433E1"/>
    <w:rsid w:val="0094344B"/>
    <w:rsid w:val="009434E2"/>
    <w:rsid w:val="009435C8"/>
    <w:rsid w:val="00943C63"/>
    <w:rsid w:val="00943DC4"/>
    <w:rsid w:val="00943E95"/>
    <w:rsid w:val="00943F10"/>
    <w:rsid w:val="00943F4E"/>
    <w:rsid w:val="00943F75"/>
    <w:rsid w:val="009441B1"/>
    <w:rsid w:val="009442BE"/>
    <w:rsid w:val="009442DB"/>
    <w:rsid w:val="0094446D"/>
    <w:rsid w:val="009444D1"/>
    <w:rsid w:val="0094463D"/>
    <w:rsid w:val="009447C5"/>
    <w:rsid w:val="0094483F"/>
    <w:rsid w:val="009449A0"/>
    <w:rsid w:val="009449FE"/>
    <w:rsid w:val="00944ACD"/>
    <w:rsid w:val="00944B6C"/>
    <w:rsid w:val="00944C3C"/>
    <w:rsid w:val="00944FA1"/>
    <w:rsid w:val="009453AC"/>
    <w:rsid w:val="00945464"/>
    <w:rsid w:val="00945CAD"/>
    <w:rsid w:val="00945D77"/>
    <w:rsid w:val="00945F80"/>
    <w:rsid w:val="009465F5"/>
    <w:rsid w:val="00946738"/>
    <w:rsid w:val="0094680D"/>
    <w:rsid w:val="00946BEE"/>
    <w:rsid w:val="009470BC"/>
    <w:rsid w:val="009470FF"/>
    <w:rsid w:val="00947338"/>
    <w:rsid w:val="00947403"/>
    <w:rsid w:val="00947753"/>
    <w:rsid w:val="00947776"/>
    <w:rsid w:val="009477A0"/>
    <w:rsid w:val="00947821"/>
    <w:rsid w:val="00947A0D"/>
    <w:rsid w:val="00947B33"/>
    <w:rsid w:val="00947E5D"/>
    <w:rsid w:val="00947EE5"/>
    <w:rsid w:val="0095002E"/>
    <w:rsid w:val="00950635"/>
    <w:rsid w:val="00950AE1"/>
    <w:rsid w:val="00950BC2"/>
    <w:rsid w:val="00950C02"/>
    <w:rsid w:val="00950C58"/>
    <w:rsid w:val="00950D6B"/>
    <w:rsid w:val="00950DA5"/>
    <w:rsid w:val="009511FB"/>
    <w:rsid w:val="009512C8"/>
    <w:rsid w:val="009513CC"/>
    <w:rsid w:val="00951721"/>
    <w:rsid w:val="00951727"/>
    <w:rsid w:val="0095178A"/>
    <w:rsid w:val="0095196D"/>
    <w:rsid w:val="00951A00"/>
    <w:rsid w:val="00951AB9"/>
    <w:rsid w:val="00951C1D"/>
    <w:rsid w:val="00951D47"/>
    <w:rsid w:val="00951FB8"/>
    <w:rsid w:val="00951FEE"/>
    <w:rsid w:val="00952516"/>
    <w:rsid w:val="00952706"/>
    <w:rsid w:val="0095275D"/>
    <w:rsid w:val="0095299F"/>
    <w:rsid w:val="00952D02"/>
    <w:rsid w:val="00952FAC"/>
    <w:rsid w:val="00953026"/>
    <w:rsid w:val="0095317F"/>
    <w:rsid w:val="00953197"/>
    <w:rsid w:val="00953386"/>
    <w:rsid w:val="00953522"/>
    <w:rsid w:val="009539A4"/>
    <w:rsid w:val="00953C4C"/>
    <w:rsid w:val="00953C65"/>
    <w:rsid w:val="00953D9D"/>
    <w:rsid w:val="00953E3C"/>
    <w:rsid w:val="00953E4F"/>
    <w:rsid w:val="00954215"/>
    <w:rsid w:val="00954259"/>
    <w:rsid w:val="00954592"/>
    <w:rsid w:val="009545E2"/>
    <w:rsid w:val="00954734"/>
    <w:rsid w:val="00954972"/>
    <w:rsid w:val="00954AE9"/>
    <w:rsid w:val="00954BC8"/>
    <w:rsid w:val="00955113"/>
    <w:rsid w:val="00955134"/>
    <w:rsid w:val="0095571C"/>
    <w:rsid w:val="00955899"/>
    <w:rsid w:val="00955A2D"/>
    <w:rsid w:val="00955B30"/>
    <w:rsid w:val="00955B95"/>
    <w:rsid w:val="00955E6A"/>
    <w:rsid w:val="00955F02"/>
    <w:rsid w:val="00956089"/>
    <w:rsid w:val="00956179"/>
    <w:rsid w:val="009561A2"/>
    <w:rsid w:val="009561BB"/>
    <w:rsid w:val="0095625C"/>
    <w:rsid w:val="00956578"/>
    <w:rsid w:val="0095704E"/>
    <w:rsid w:val="0095745D"/>
    <w:rsid w:val="009575E7"/>
    <w:rsid w:val="0095770F"/>
    <w:rsid w:val="00957AB4"/>
    <w:rsid w:val="00957AE3"/>
    <w:rsid w:val="00957EA4"/>
    <w:rsid w:val="00957EE6"/>
    <w:rsid w:val="0096016F"/>
    <w:rsid w:val="0096034A"/>
    <w:rsid w:val="00960675"/>
    <w:rsid w:val="0096074B"/>
    <w:rsid w:val="0096078F"/>
    <w:rsid w:val="00960986"/>
    <w:rsid w:val="00960BB7"/>
    <w:rsid w:val="00961298"/>
    <w:rsid w:val="00961618"/>
    <w:rsid w:val="00961726"/>
    <w:rsid w:val="0096188D"/>
    <w:rsid w:val="009618C6"/>
    <w:rsid w:val="009618FF"/>
    <w:rsid w:val="00961C31"/>
    <w:rsid w:val="00961F43"/>
    <w:rsid w:val="00962450"/>
    <w:rsid w:val="00962AC5"/>
    <w:rsid w:val="00962FC9"/>
    <w:rsid w:val="009631C4"/>
    <w:rsid w:val="00963263"/>
    <w:rsid w:val="00963807"/>
    <w:rsid w:val="009642FD"/>
    <w:rsid w:val="00964353"/>
    <w:rsid w:val="0096463B"/>
    <w:rsid w:val="0096472B"/>
    <w:rsid w:val="009649B2"/>
    <w:rsid w:val="00964A13"/>
    <w:rsid w:val="00964ADD"/>
    <w:rsid w:val="00964BBA"/>
    <w:rsid w:val="00965484"/>
    <w:rsid w:val="00965501"/>
    <w:rsid w:val="00965531"/>
    <w:rsid w:val="00965983"/>
    <w:rsid w:val="00965BF8"/>
    <w:rsid w:val="00965C1E"/>
    <w:rsid w:val="00965D39"/>
    <w:rsid w:val="00965E86"/>
    <w:rsid w:val="00966620"/>
    <w:rsid w:val="0096668C"/>
    <w:rsid w:val="00966735"/>
    <w:rsid w:val="00966A00"/>
    <w:rsid w:val="00966C22"/>
    <w:rsid w:val="00966F8E"/>
    <w:rsid w:val="00966F92"/>
    <w:rsid w:val="00967201"/>
    <w:rsid w:val="009676A9"/>
    <w:rsid w:val="00967ACB"/>
    <w:rsid w:val="00967B34"/>
    <w:rsid w:val="00967CFF"/>
    <w:rsid w:val="00967E13"/>
    <w:rsid w:val="00967F68"/>
    <w:rsid w:val="00967FC8"/>
    <w:rsid w:val="00970139"/>
    <w:rsid w:val="009701D3"/>
    <w:rsid w:val="00970493"/>
    <w:rsid w:val="00970655"/>
    <w:rsid w:val="009707BF"/>
    <w:rsid w:val="0097096E"/>
    <w:rsid w:val="0097098D"/>
    <w:rsid w:val="00970C1D"/>
    <w:rsid w:val="00970DF7"/>
    <w:rsid w:val="0097110D"/>
    <w:rsid w:val="009711E1"/>
    <w:rsid w:val="009713FA"/>
    <w:rsid w:val="00971460"/>
    <w:rsid w:val="0097150F"/>
    <w:rsid w:val="00971737"/>
    <w:rsid w:val="00971774"/>
    <w:rsid w:val="009719E8"/>
    <w:rsid w:val="00971ACF"/>
    <w:rsid w:val="00971EC5"/>
    <w:rsid w:val="00971F54"/>
    <w:rsid w:val="009722F1"/>
    <w:rsid w:val="00972345"/>
    <w:rsid w:val="009724CC"/>
    <w:rsid w:val="009724F0"/>
    <w:rsid w:val="0097271C"/>
    <w:rsid w:val="00973296"/>
    <w:rsid w:val="009732FA"/>
    <w:rsid w:val="009733AD"/>
    <w:rsid w:val="00973418"/>
    <w:rsid w:val="009734C5"/>
    <w:rsid w:val="009734DE"/>
    <w:rsid w:val="00973556"/>
    <w:rsid w:val="0097356E"/>
    <w:rsid w:val="00973862"/>
    <w:rsid w:val="0097388A"/>
    <w:rsid w:val="009738CF"/>
    <w:rsid w:val="00973901"/>
    <w:rsid w:val="00973907"/>
    <w:rsid w:val="00973A42"/>
    <w:rsid w:val="00973A63"/>
    <w:rsid w:val="00973B0F"/>
    <w:rsid w:val="00973DEA"/>
    <w:rsid w:val="00974251"/>
    <w:rsid w:val="00974434"/>
    <w:rsid w:val="00974655"/>
    <w:rsid w:val="009746E9"/>
    <w:rsid w:val="00974898"/>
    <w:rsid w:val="00974B22"/>
    <w:rsid w:val="00974CA5"/>
    <w:rsid w:val="00974E6D"/>
    <w:rsid w:val="00974F22"/>
    <w:rsid w:val="00974FF4"/>
    <w:rsid w:val="0097539A"/>
    <w:rsid w:val="00975A15"/>
    <w:rsid w:val="00975DF3"/>
    <w:rsid w:val="00975ED3"/>
    <w:rsid w:val="00975F79"/>
    <w:rsid w:val="00975FA0"/>
    <w:rsid w:val="009761C1"/>
    <w:rsid w:val="0097629E"/>
    <w:rsid w:val="009763DF"/>
    <w:rsid w:val="009765F9"/>
    <w:rsid w:val="00976615"/>
    <w:rsid w:val="009766F2"/>
    <w:rsid w:val="00976732"/>
    <w:rsid w:val="00976916"/>
    <w:rsid w:val="00976AAD"/>
    <w:rsid w:val="00976B3B"/>
    <w:rsid w:val="009770D8"/>
    <w:rsid w:val="0097721B"/>
    <w:rsid w:val="009773BF"/>
    <w:rsid w:val="00977485"/>
    <w:rsid w:val="0097762D"/>
    <w:rsid w:val="00977834"/>
    <w:rsid w:val="00977853"/>
    <w:rsid w:val="00977A6A"/>
    <w:rsid w:val="00977D19"/>
    <w:rsid w:val="0097BE9F"/>
    <w:rsid w:val="009800D2"/>
    <w:rsid w:val="0098016F"/>
    <w:rsid w:val="00980540"/>
    <w:rsid w:val="009805C5"/>
    <w:rsid w:val="00980753"/>
    <w:rsid w:val="0098101C"/>
    <w:rsid w:val="0098108C"/>
    <w:rsid w:val="00981247"/>
    <w:rsid w:val="00981860"/>
    <w:rsid w:val="00981881"/>
    <w:rsid w:val="009818EF"/>
    <w:rsid w:val="009819E2"/>
    <w:rsid w:val="00981BC9"/>
    <w:rsid w:val="00981EEC"/>
    <w:rsid w:val="00982060"/>
    <w:rsid w:val="00982833"/>
    <w:rsid w:val="00982B7E"/>
    <w:rsid w:val="00982C6D"/>
    <w:rsid w:val="00982E44"/>
    <w:rsid w:val="00982EB9"/>
    <w:rsid w:val="009832B7"/>
    <w:rsid w:val="00983316"/>
    <w:rsid w:val="0098354F"/>
    <w:rsid w:val="00983581"/>
    <w:rsid w:val="009838B5"/>
    <w:rsid w:val="009838EB"/>
    <w:rsid w:val="00984127"/>
    <w:rsid w:val="00984377"/>
    <w:rsid w:val="00984413"/>
    <w:rsid w:val="00984B26"/>
    <w:rsid w:val="00984D9C"/>
    <w:rsid w:val="00985239"/>
    <w:rsid w:val="0098532A"/>
    <w:rsid w:val="0098545F"/>
    <w:rsid w:val="009855C0"/>
    <w:rsid w:val="0098564E"/>
    <w:rsid w:val="0098566D"/>
    <w:rsid w:val="009856C6"/>
    <w:rsid w:val="009857DF"/>
    <w:rsid w:val="00985C54"/>
    <w:rsid w:val="00986020"/>
    <w:rsid w:val="0098607D"/>
    <w:rsid w:val="009862A7"/>
    <w:rsid w:val="00986370"/>
    <w:rsid w:val="009865E3"/>
    <w:rsid w:val="0098664A"/>
    <w:rsid w:val="0098683D"/>
    <w:rsid w:val="00986AB4"/>
    <w:rsid w:val="00986B7E"/>
    <w:rsid w:val="00986C4A"/>
    <w:rsid w:val="00986DF6"/>
    <w:rsid w:val="00986F77"/>
    <w:rsid w:val="009870C3"/>
    <w:rsid w:val="00987306"/>
    <w:rsid w:val="00987355"/>
    <w:rsid w:val="0098764A"/>
    <w:rsid w:val="009876FF"/>
    <w:rsid w:val="00987739"/>
    <w:rsid w:val="00987A3A"/>
    <w:rsid w:val="00987BA3"/>
    <w:rsid w:val="00987D54"/>
    <w:rsid w:val="009901FE"/>
    <w:rsid w:val="0099022F"/>
    <w:rsid w:val="00990269"/>
    <w:rsid w:val="0099086C"/>
    <w:rsid w:val="00990B34"/>
    <w:rsid w:val="00990C9B"/>
    <w:rsid w:val="00990D35"/>
    <w:rsid w:val="00990F0F"/>
    <w:rsid w:val="0099111B"/>
    <w:rsid w:val="009912FC"/>
    <w:rsid w:val="009915DE"/>
    <w:rsid w:val="00991C1F"/>
    <w:rsid w:val="00992407"/>
    <w:rsid w:val="00992466"/>
    <w:rsid w:val="00992534"/>
    <w:rsid w:val="009925FA"/>
    <w:rsid w:val="00992B73"/>
    <w:rsid w:val="00992BC9"/>
    <w:rsid w:val="00992C65"/>
    <w:rsid w:val="00992CB7"/>
    <w:rsid w:val="0099310E"/>
    <w:rsid w:val="00993238"/>
    <w:rsid w:val="00993314"/>
    <w:rsid w:val="009933FD"/>
    <w:rsid w:val="00993556"/>
    <w:rsid w:val="009936FF"/>
    <w:rsid w:val="009939E4"/>
    <w:rsid w:val="00993E91"/>
    <w:rsid w:val="00993F1C"/>
    <w:rsid w:val="009942E4"/>
    <w:rsid w:val="0099441E"/>
    <w:rsid w:val="0099446F"/>
    <w:rsid w:val="00994779"/>
    <w:rsid w:val="00994978"/>
    <w:rsid w:val="00994987"/>
    <w:rsid w:val="00994A96"/>
    <w:rsid w:val="00994B07"/>
    <w:rsid w:val="00994BDC"/>
    <w:rsid w:val="00994E06"/>
    <w:rsid w:val="00994E40"/>
    <w:rsid w:val="009956A9"/>
    <w:rsid w:val="00995865"/>
    <w:rsid w:val="00995C91"/>
    <w:rsid w:val="0099625D"/>
    <w:rsid w:val="00996267"/>
    <w:rsid w:val="00996276"/>
    <w:rsid w:val="009962DE"/>
    <w:rsid w:val="00996632"/>
    <w:rsid w:val="00996648"/>
    <w:rsid w:val="00996669"/>
    <w:rsid w:val="00996998"/>
    <w:rsid w:val="00996B68"/>
    <w:rsid w:val="00996BC5"/>
    <w:rsid w:val="00996C3E"/>
    <w:rsid w:val="00996EE2"/>
    <w:rsid w:val="00996FC5"/>
    <w:rsid w:val="00996FDD"/>
    <w:rsid w:val="0099721E"/>
    <w:rsid w:val="00997359"/>
    <w:rsid w:val="009974EB"/>
    <w:rsid w:val="0099754E"/>
    <w:rsid w:val="009975FE"/>
    <w:rsid w:val="009978EC"/>
    <w:rsid w:val="00997AEC"/>
    <w:rsid w:val="00997F30"/>
    <w:rsid w:val="009A00FE"/>
    <w:rsid w:val="009A01A1"/>
    <w:rsid w:val="009A02C7"/>
    <w:rsid w:val="009A0899"/>
    <w:rsid w:val="009A0C4F"/>
    <w:rsid w:val="009A0DD9"/>
    <w:rsid w:val="009A1017"/>
    <w:rsid w:val="009A12EA"/>
    <w:rsid w:val="009A14CA"/>
    <w:rsid w:val="009A161A"/>
    <w:rsid w:val="009A161C"/>
    <w:rsid w:val="009A1711"/>
    <w:rsid w:val="009A17A9"/>
    <w:rsid w:val="009A189C"/>
    <w:rsid w:val="009A1C75"/>
    <w:rsid w:val="009A1E74"/>
    <w:rsid w:val="009A24D7"/>
    <w:rsid w:val="009A25D8"/>
    <w:rsid w:val="009A261D"/>
    <w:rsid w:val="009A2AA3"/>
    <w:rsid w:val="009A2BBD"/>
    <w:rsid w:val="009A2E8C"/>
    <w:rsid w:val="009A2EDC"/>
    <w:rsid w:val="009A2EF0"/>
    <w:rsid w:val="009A33A5"/>
    <w:rsid w:val="009A33D6"/>
    <w:rsid w:val="009A343F"/>
    <w:rsid w:val="009A34B6"/>
    <w:rsid w:val="009A36A6"/>
    <w:rsid w:val="009A3730"/>
    <w:rsid w:val="009A3773"/>
    <w:rsid w:val="009A3783"/>
    <w:rsid w:val="009A3D2B"/>
    <w:rsid w:val="009A3E8A"/>
    <w:rsid w:val="009A3EB4"/>
    <w:rsid w:val="009A40D3"/>
    <w:rsid w:val="009A41AF"/>
    <w:rsid w:val="009A41DA"/>
    <w:rsid w:val="009A4522"/>
    <w:rsid w:val="009A4A67"/>
    <w:rsid w:val="009A4B1C"/>
    <w:rsid w:val="009A4EB2"/>
    <w:rsid w:val="009A5090"/>
    <w:rsid w:val="009A50B2"/>
    <w:rsid w:val="009A5131"/>
    <w:rsid w:val="009A53A8"/>
    <w:rsid w:val="009A548E"/>
    <w:rsid w:val="009A5785"/>
    <w:rsid w:val="009A597E"/>
    <w:rsid w:val="009A5C8A"/>
    <w:rsid w:val="009A5CFC"/>
    <w:rsid w:val="009A5D5D"/>
    <w:rsid w:val="009A6310"/>
    <w:rsid w:val="009A65AD"/>
    <w:rsid w:val="009A65EC"/>
    <w:rsid w:val="009A67FB"/>
    <w:rsid w:val="009A685F"/>
    <w:rsid w:val="009A6C51"/>
    <w:rsid w:val="009A6CF0"/>
    <w:rsid w:val="009A6EED"/>
    <w:rsid w:val="009A6F12"/>
    <w:rsid w:val="009A6FBC"/>
    <w:rsid w:val="009A6FD1"/>
    <w:rsid w:val="009A7088"/>
    <w:rsid w:val="009A73C9"/>
    <w:rsid w:val="009A73F5"/>
    <w:rsid w:val="009A77D8"/>
    <w:rsid w:val="009A7841"/>
    <w:rsid w:val="009A7900"/>
    <w:rsid w:val="009A79E7"/>
    <w:rsid w:val="009A7A8B"/>
    <w:rsid w:val="009A7DAE"/>
    <w:rsid w:val="009A7E03"/>
    <w:rsid w:val="009B009D"/>
    <w:rsid w:val="009B0131"/>
    <w:rsid w:val="009B01DB"/>
    <w:rsid w:val="009B036B"/>
    <w:rsid w:val="009B05C3"/>
    <w:rsid w:val="009B0680"/>
    <w:rsid w:val="009B07C9"/>
    <w:rsid w:val="009B0C51"/>
    <w:rsid w:val="009B0CA5"/>
    <w:rsid w:val="009B0D11"/>
    <w:rsid w:val="009B0D97"/>
    <w:rsid w:val="009B133C"/>
    <w:rsid w:val="009B1465"/>
    <w:rsid w:val="009B14C4"/>
    <w:rsid w:val="009B1651"/>
    <w:rsid w:val="009B16E6"/>
    <w:rsid w:val="009B17A9"/>
    <w:rsid w:val="009B1881"/>
    <w:rsid w:val="009B19A3"/>
    <w:rsid w:val="009B1B00"/>
    <w:rsid w:val="009B1B04"/>
    <w:rsid w:val="009B2051"/>
    <w:rsid w:val="009B20CF"/>
    <w:rsid w:val="009B253D"/>
    <w:rsid w:val="009B2A90"/>
    <w:rsid w:val="009B2DD7"/>
    <w:rsid w:val="009B2ED8"/>
    <w:rsid w:val="009B2EE3"/>
    <w:rsid w:val="009B30B0"/>
    <w:rsid w:val="009B3147"/>
    <w:rsid w:val="009B337D"/>
    <w:rsid w:val="009B33E3"/>
    <w:rsid w:val="009B3535"/>
    <w:rsid w:val="009B3704"/>
    <w:rsid w:val="009B37A5"/>
    <w:rsid w:val="009B3DEB"/>
    <w:rsid w:val="009B3FE6"/>
    <w:rsid w:val="009B41D7"/>
    <w:rsid w:val="009B4370"/>
    <w:rsid w:val="009B4385"/>
    <w:rsid w:val="009B44AB"/>
    <w:rsid w:val="009B4821"/>
    <w:rsid w:val="009B4A27"/>
    <w:rsid w:val="009B4AE5"/>
    <w:rsid w:val="009B4B9C"/>
    <w:rsid w:val="009B4BBA"/>
    <w:rsid w:val="009B4CC8"/>
    <w:rsid w:val="009B4D10"/>
    <w:rsid w:val="009B4F92"/>
    <w:rsid w:val="009B5014"/>
    <w:rsid w:val="009B5208"/>
    <w:rsid w:val="009B531E"/>
    <w:rsid w:val="009B5459"/>
    <w:rsid w:val="009B54AD"/>
    <w:rsid w:val="009B5549"/>
    <w:rsid w:val="009B57BD"/>
    <w:rsid w:val="009B5911"/>
    <w:rsid w:val="009B5C82"/>
    <w:rsid w:val="009B5F13"/>
    <w:rsid w:val="009B5F3A"/>
    <w:rsid w:val="009B6231"/>
    <w:rsid w:val="009B634F"/>
    <w:rsid w:val="009B67FB"/>
    <w:rsid w:val="009B6939"/>
    <w:rsid w:val="009B6AAD"/>
    <w:rsid w:val="009B6C3F"/>
    <w:rsid w:val="009B6D97"/>
    <w:rsid w:val="009B6DF8"/>
    <w:rsid w:val="009B6EF0"/>
    <w:rsid w:val="009B7087"/>
    <w:rsid w:val="009B71F2"/>
    <w:rsid w:val="009B75F5"/>
    <w:rsid w:val="009B77B4"/>
    <w:rsid w:val="009B78D0"/>
    <w:rsid w:val="009B79F8"/>
    <w:rsid w:val="009B7C13"/>
    <w:rsid w:val="009B7E19"/>
    <w:rsid w:val="009B8542"/>
    <w:rsid w:val="009BA0F9"/>
    <w:rsid w:val="009C0118"/>
    <w:rsid w:val="009C013D"/>
    <w:rsid w:val="009C0177"/>
    <w:rsid w:val="009C03DD"/>
    <w:rsid w:val="009C0438"/>
    <w:rsid w:val="009C066E"/>
    <w:rsid w:val="009C0700"/>
    <w:rsid w:val="009C0C36"/>
    <w:rsid w:val="009C0E1E"/>
    <w:rsid w:val="009C10C4"/>
    <w:rsid w:val="009C12A7"/>
    <w:rsid w:val="009C12D9"/>
    <w:rsid w:val="009C141F"/>
    <w:rsid w:val="009C1B57"/>
    <w:rsid w:val="009C1C6C"/>
    <w:rsid w:val="009C1D03"/>
    <w:rsid w:val="009C1D61"/>
    <w:rsid w:val="009C1E33"/>
    <w:rsid w:val="009C1EA5"/>
    <w:rsid w:val="009C1F00"/>
    <w:rsid w:val="009C200D"/>
    <w:rsid w:val="009C20D9"/>
    <w:rsid w:val="009C2116"/>
    <w:rsid w:val="009C22C3"/>
    <w:rsid w:val="009C2746"/>
    <w:rsid w:val="009C2904"/>
    <w:rsid w:val="009C313C"/>
    <w:rsid w:val="009C32B0"/>
    <w:rsid w:val="009C33A2"/>
    <w:rsid w:val="009C3452"/>
    <w:rsid w:val="009C351D"/>
    <w:rsid w:val="009C36F3"/>
    <w:rsid w:val="009C388B"/>
    <w:rsid w:val="009C3B94"/>
    <w:rsid w:val="009C3C17"/>
    <w:rsid w:val="009C3CC1"/>
    <w:rsid w:val="009C3D7C"/>
    <w:rsid w:val="009C3DBA"/>
    <w:rsid w:val="009C3FAA"/>
    <w:rsid w:val="009C4126"/>
    <w:rsid w:val="009C41FD"/>
    <w:rsid w:val="009C44CE"/>
    <w:rsid w:val="009C45DA"/>
    <w:rsid w:val="009C4954"/>
    <w:rsid w:val="009C4A40"/>
    <w:rsid w:val="009C4B8B"/>
    <w:rsid w:val="009C4E32"/>
    <w:rsid w:val="009C4F01"/>
    <w:rsid w:val="009C4FDC"/>
    <w:rsid w:val="009C5096"/>
    <w:rsid w:val="009C5145"/>
    <w:rsid w:val="009C5166"/>
    <w:rsid w:val="009C53B6"/>
    <w:rsid w:val="009C5458"/>
    <w:rsid w:val="009C5B10"/>
    <w:rsid w:val="009C5B1B"/>
    <w:rsid w:val="009C5C33"/>
    <w:rsid w:val="009C5E7D"/>
    <w:rsid w:val="009C5EC2"/>
    <w:rsid w:val="009C6377"/>
    <w:rsid w:val="009C6530"/>
    <w:rsid w:val="009C683A"/>
    <w:rsid w:val="009C6C19"/>
    <w:rsid w:val="009C6FA7"/>
    <w:rsid w:val="009C7183"/>
    <w:rsid w:val="009C71EC"/>
    <w:rsid w:val="009C7265"/>
    <w:rsid w:val="009C7278"/>
    <w:rsid w:val="009C7316"/>
    <w:rsid w:val="009C7457"/>
    <w:rsid w:val="009C7586"/>
    <w:rsid w:val="009C75C6"/>
    <w:rsid w:val="009C7759"/>
    <w:rsid w:val="009C777C"/>
    <w:rsid w:val="009C7D53"/>
    <w:rsid w:val="009C7E87"/>
    <w:rsid w:val="009D0006"/>
    <w:rsid w:val="009D035C"/>
    <w:rsid w:val="009D0442"/>
    <w:rsid w:val="009D05F8"/>
    <w:rsid w:val="009D0783"/>
    <w:rsid w:val="009D081F"/>
    <w:rsid w:val="009D083C"/>
    <w:rsid w:val="009D101B"/>
    <w:rsid w:val="009D1554"/>
    <w:rsid w:val="009D19D3"/>
    <w:rsid w:val="009D1B32"/>
    <w:rsid w:val="009D1CE1"/>
    <w:rsid w:val="009D1F48"/>
    <w:rsid w:val="009D21DE"/>
    <w:rsid w:val="009D21F7"/>
    <w:rsid w:val="009D271B"/>
    <w:rsid w:val="009D2A21"/>
    <w:rsid w:val="009D2F22"/>
    <w:rsid w:val="009D2FBF"/>
    <w:rsid w:val="009D30DA"/>
    <w:rsid w:val="009D3919"/>
    <w:rsid w:val="009D3992"/>
    <w:rsid w:val="009D3A47"/>
    <w:rsid w:val="009D3CB6"/>
    <w:rsid w:val="009D3D23"/>
    <w:rsid w:val="009D3DE0"/>
    <w:rsid w:val="009D42D4"/>
    <w:rsid w:val="009D4832"/>
    <w:rsid w:val="009D48C2"/>
    <w:rsid w:val="009D4EE7"/>
    <w:rsid w:val="009D5185"/>
    <w:rsid w:val="009D518F"/>
    <w:rsid w:val="009D5379"/>
    <w:rsid w:val="009D5469"/>
    <w:rsid w:val="009D59A9"/>
    <w:rsid w:val="009D5C6B"/>
    <w:rsid w:val="009D5DA5"/>
    <w:rsid w:val="009D5E4C"/>
    <w:rsid w:val="009D5F84"/>
    <w:rsid w:val="009D6068"/>
    <w:rsid w:val="009D62BE"/>
    <w:rsid w:val="009D636B"/>
    <w:rsid w:val="009D6452"/>
    <w:rsid w:val="009D64EB"/>
    <w:rsid w:val="009D668A"/>
    <w:rsid w:val="009D67A1"/>
    <w:rsid w:val="009D680A"/>
    <w:rsid w:val="009D6A25"/>
    <w:rsid w:val="009D6BA4"/>
    <w:rsid w:val="009D6E6F"/>
    <w:rsid w:val="009D70FF"/>
    <w:rsid w:val="009D74C7"/>
    <w:rsid w:val="009D77C9"/>
    <w:rsid w:val="009D77E0"/>
    <w:rsid w:val="009D7C9B"/>
    <w:rsid w:val="009D7D6C"/>
    <w:rsid w:val="009E018E"/>
    <w:rsid w:val="009E08FE"/>
    <w:rsid w:val="009E09D9"/>
    <w:rsid w:val="009E0A32"/>
    <w:rsid w:val="009E0CF4"/>
    <w:rsid w:val="009E0EC4"/>
    <w:rsid w:val="009E11C6"/>
    <w:rsid w:val="009E1247"/>
    <w:rsid w:val="009E13E8"/>
    <w:rsid w:val="009E175C"/>
    <w:rsid w:val="009E1ADB"/>
    <w:rsid w:val="009E1AE3"/>
    <w:rsid w:val="009E1B43"/>
    <w:rsid w:val="009E1E77"/>
    <w:rsid w:val="009E2024"/>
    <w:rsid w:val="009E2703"/>
    <w:rsid w:val="009E2882"/>
    <w:rsid w:val="009E2C2B"/>
    <w:rsid w:val="009E2CD1"/>
    <w:rsid w:val="009E2DBC"/>
    <w:rsid w:val="009E2F7B"/>
    <w:rsid w:val="009E2FE2"/>
    <w:rsid w:val="009E3105"/>
    <w:rsid w:val="009E3132"/>
    <w:rsid w:val="009E38C2"/>
    <w:rsid w:val="009E3B2E"/>
    <w:rsid w:val="009E3B3F"/>
    <w:rsid w:val="009E3F9E"/>
    <w:rsid w:val="009E426E"/>
    <w:rsid w:val="009E43F4"/>
    <w:rsid w:val="009E440A"/>
    <w:rsid w:val="009E499B"/>
    <w:rsid w:val="009E50B5"/>
    <w:rsid w:val="009E5316"/>
    <w:rsid w:val="009E5356"/>
    <w:rsid w:val="009E55CC"/>
    <w:rsid w:val="009E5630"/>
    <w:rsid w:val="009E5637"/>
    <w:rsid w:val="009E56B6"/>
    <w:rsid w:val="009E5717"/>
    <w:rsid w:val="009E587F"/>
    <w:rsid w:val="009E5A86"/>
    <w:rsid w:val="009E5B00"/>
    <w:rsid w:val="009E5BB4"/>
    <w:rsid w:val="009E5C27"/>
    <w:rsid w:val="009E5C2A"/>
    <w:rsid w:val="009E5CED"/>
    <w:rsid w:val="009E5E47"/>
    <w:rsid w:val="009E615F"/>
    <w:rsid w:val="009E641A"/>
    <w:rsid w:val="009E644F"/>
    <w:rsid w:val="009E65C9"/>
    <w:rsid w:val="009E665B"/>
    <w:rsid w:val="009E6913"/>
    <w:rsid w:val="009E6C75"/>
    <w:rsid w:val="009E70A3"/>
    <w:rsid w:val="009E766C"/>
    <w:rsid w:val="009E7724"/>
    <w:rsid w:val="009E77B9"/>
    <w:rsid w:val="009E7820"/>
    <w:rsid w:val="009E7A46"/>
    <w:rsid w:val="009E7D11"/>
    <w:rsid w:val="009E7E3A"/>
    <w:rsid w:val="009E7EB1"/>
    <w:rsid w:val="009E7ED3"/>
    <w:rsid w:val="009E7ED8"/>
    <w:rsid w:val="009E7EFD"/>
    <w:rsid w:val="009E7F19"/>
    <w:rsid w:val="009E7F3B"/>
    <w:rsid w:val="009E7FAB"/>
    <w:rsid w:val="009E7FB6"/>
    <w:rsid w:val="009F01AD"/>
    <w:rsid w:val="009F093B"/>
    <w:rsid w:val="009F0C2E"/>
    <w:rsid w:val="009F0D56"/>
    <w:rsid w:val="009F0E07"/>
    <w:rsid w:val="009F0E8B"/>
    <w:rsid w:val="009F0ED3"/>
    <w:rsid w:val="009F0F78"/>
    <w:rsid w:val="009F1112"/>
    <w:rsid w:val="009F1121"/>
    <w:rsid w:val="009F1148"/>
    <w:rsid w:val="009F15B0"/>
    <w:rsid w:val="009F17D2"/>
    <w:rsid w:val="009F19ED"/>
    <w:rsid w:val="009F1A28"/>
    <w:rsid w:val="009F1CA7"/>
    <w:rsid w:val="009F227D"/>
    <w:rsid w:val="009F22E0"/>
    <w:rsid w:val="009F2369"/>
    <w:rsid w:val="009F26B6"/>
    <w:rsid w:val="009F2B8E"/>
    <w:rsid w:val="009F2FAD"/>
    <w:rsid w:val="009F336D"/>
    <w:rsid w:val="009F3396"/>
    <w:rsid w:val="009F34D4"/>
    <w:rsid w:val="009F3617"/>
    <w:rsid w:val="009F3649"/>
    <w:rsid w:val="009F3737"/>
    <w:rsid w:val="009F380E"/>
    <w:rsid w:val="009F3876"/>
    <w:rsid w:val="009F39D5"/>
    <w:rsid w:val="009F3F99"/>
    <w:rsid w:val="009F41F2"/>
    <w:rsid w:val="009F44F4"/>
    <w:rsid w:val="009F4547"/>
    <w:rsid w:val="009F4702"/>
    <w:rsid w:val="009F47B1"/>
    <w:rsid w:val="009F49F7"/>
    <w:rsid w:val="009F4A08"/>
    <w:rsid w:val="009F4A5A"/>
    <w:rsid w:val="009F4D36"/>
    <w:rsid w:val="009F4FD7"/>
    <w:rsid w:val="009F5215"/>
    <w:rsid w:val="009F52AE"/>
    <w:rsid w:val="009F55C7"/>
    <w:rsid w:val="009F56DF"/>
    <w:rsid w:val="009F583D"/>
    <w:rsid w:val="009F5BBA"/>
    <w:rsid w:val="009F5F82"/>
    <w:rsid w:val="009F6090"/>
    <w:rsid w:val="009F63AE"/>
    <w:rsid w:val="009F6914"/>
    <w:rsid w:val="009F6A3D"/>
    <w:rsid w:val="009F6B14"/>
    <w:rsid w:val="009F6BC2"/>
    <w:rsid w:val="009F700A"/>
    <w:rsid w:val="009F7183"/>
    <w:rsid w:val="009F71A4"/>
    <w:rsid w:val="009F7234"/>
    <w:rsid w:val="009F73D6"/>
    <w:rsid w:val="009F76D4"/>
    <w:rsid w:val="009F7713"/>
    <w:rsid w:val="009F79B9"/>
    <w:rsid w:val="009F7AC0"/>
    <w:rsid w:val="009F7B2C"/>
    <w:rsid w:val="00A0012A"/>
    <w:rsid w:val="00A00320"/>
    <w:rsid w:val="00A0038C"/>
    <w:rsid w:val="00A004A8"/>
    <w:rsid w:val="00A00940"/>
    <w:rsid w:val="00A009E0"/>
    <w:rsid w:val="00A00A94"/>
    <w:rsid w:val="00A00B20"/>
    <w:rsid w:val="00A00DE0"/>
    <w:rsid w:val="00A01103"/>
    <w:rsid w:val="00A012A9"/>
    <w:rsid w:val="00A01363"/>
    <w:rsid w:val="00A014FB"/>
    <w:rsid w:val="00A01907"/>
    <w:rsid w:val="00A01971"/>
    <w:rsid w:val="00A01B81"/>
    <w:rsid w:val="00A01C30"/>
    <w:rsid w:val="00A01C5C"/>
    <w:rsid w:val="00A01D98"/>
    <w:rsid w:val="00A01E8B"/>
    <w:rsid w:val="00A02517"/>
    <w:rsid w:val="00A02772"/>
    <w:rsid w:val="00A02AE9"/>
    <w:rsid w:val="00A02C8C"/>
    <w:rsid w:val="00A02E2E"/>
    <w:rsid w:val="00A02E4A"/>
    <w:rsid w:val="00A030B6"/>
    <w:rsid w:val="00A035BB"/>
    <w:rsid w:val="00A0386D"/>
    <w:rsid w:val="00A038F5"/>
    <w:rsid w:val="00A03AC6"/>
    <w:rsid w:val="00A03B76"/>
    <w:rsid w:val="00A03D8D"/>
    <w:rsid w:val="00A03E28"/>
    <w:rsid w:val="00A03E6A"/>
    <w:rsid w:val="00A042D7"/>
    <w:rsid w:val="00A042EF"/>
    <w:rsid w:val="00A04843"/>
    <w:rsid w:val="00A04D2F"/>
    <w:rsid w:val="00A04EF1"/>
    <w:rsid w:val="00A04F95"/>
    <w:rsid w:val="00A04FCD"/>
    <w:rsid w:val="00A0516A"/>
    <w:rsid w:val="00A053B0"/>
    <w:rsid w:val="00A055E4"/>
    <w:rsid w:val="00A0571B"/>
    <w:rsid w:val="00A05FAA"/>
    <w:rsid w:val="00A06427"/>
    <w:rsid w:val="00A064E9"/>
    <w:rsid w:val="00A06601"/>
    <w:rsid w:val="00A06999"/>
    <w:rsid w:val="00A07251"/>
    <w:rsid w:val="00A0733C"/>
    <w:rsid w:val="00A0744E"/>
    <w:rsid w:val="00A074E5"/>
    <w:rsid w:val="00A076F4"/>
    <w:rsid w:val="00A079E8"/>
    <w:rsid w:val="00A07DF6"/>
    <w:rsid w:val="00A07E38"/>
    <w:rsid w:val="00A086B1"/>
    <w:rsid w:val="00A106C2"/>
    <w:rsid w:val="00A10B72"/>
    <w:rsid w:val="00A10C51"/>
    <w:rsid w:val="00A10C56"/>
    <w:rsid w:val="00A10F08"/>
    <w:rsid w:val="00A10FCE"/>
    <w:rsid w:val="00A11109"/>
    <w:rsid w:val="00A1126A"/>
    <w:rsid w:val="00A11701"/>
    <w:rsid w:val="00A11B0C"/>
    <w:rsid w:val="00A11B67"/>
    <w:rsid w:val="00A11D6A"/>
    <w:rsid w:val="00A11DFC"/>
    <w:rsid w:val="00A1237C"/>
    <w:rsid w:val="00A123F7"/>
    <w:rsid w:val="00A127E1"/>
    <w:rsid w:val="00A12979"/>
    <w:rsid w:val="00A12F30"/>
    <w:rsid w:val="00A12FAA"/>
    <w:rsid w:val="00A132F4"/>
    <w:rsid w:val="00A13423"/>
    <w:rsid w:val="00A1342E"/>
    <w:rsid w:val="00A13430"/>
    <w:rsid w:val="00A13469"/>
    <w:rsid w:val="00A13782"/>
    <w:rsid w:val="00A139FD"/>
    <w:rsid w:val="00A13BC2"/>
    <w:rsid w:val="00A13BC9"/>
    <w:rsid w:val="00A13C7F"/>
    <w:rsid w:val="00A13E7C"/>
    <w:rsid w:val="00A13EAC"/>
    <w:rsid w:val="00A13F7F"/>
    <w:rsid w:val="00A141FB"/>
    <w:rsid w:val="00A14499"/>
    <w:rsid w:val="00A1515E"/>
    <w:rsid w:val="00A15212"/>
    <w:rsid w:val="00A15456"/>
    <w:rsid w:val="00A156B6"/>
    <w:rsid w:val="00A1572A"/>
    <w:rsid w:val="00A1589A"/>
    <w:rsid w:val="00A15A22"/>
    <w:rsid w:val="00A15CA5"/>
    <w:rsid w:val="00A15CF8"/>
    <w:rsid w:val="00A15E8F"/>
    <w:rsid w:val="00A16006"/>
    <w:rsid w:val="00A16026"/>
    <w:rsid w:val="00A166D0"/>
    <w:rsid w:val="00A16773"/>
    <w:rsid w:val="00A167B5"/>
    <w:rsid w:val="00A16910"/>
    <w:rsid w:val="00A1699E"/>
    <w:rsid w:val="00A16BF5"/>
    <w:rsid w:val="00A16C52"/>
    <w:rsid w:val="00A16CF8"/>
    <w:rsid w:val="00A16DE9"/>
    <w:rsid w:val="00A16FE1"/>
    <w:rsid w:val="00A1739E"/>
    <w:rsid w:val="00A17474"/>
    <w:rsid w:val="00A1766C"/>
    <w:rsid w:val="00A17A2F"/>
    <w:rsid w:val="00A17B38"/>
    <w:rsid w:val="00A17BF2"/>
    <w:rsid w:val="00A17D3E"/>
    <w:rsid w:val="00A17ED2"/>
    <w:rsid w:val="00A20026"/>
    <w:rsid w:val="00A20279"/>
    <w:rsid w:val="00A2042E"/>
    <w:rsid w:val="00A20476"/>
    <w:rsid w:val="00A206A9"/>
    <w:rsid w:val="00A2072C"/>
    <w:rsid w:val="00A20975"/>
    <w:rsid w:val="00A20C08"/>
    <w:rsid w:val="00A20D1F"/>
    <w:rsid w:val="00A20FFE"/>
    <w:rsid w:val="00A21025"/>
    <w:rsid w:val="00A211AD"/>
    <w:rsid w:val="00A2141E"/>
    <w:rsid w:val="00A214D4"/>
    <w:rsid w:val="00A217C6"/>
    <w:rsid w:val="00A21829"/>
    <w:rsid w:val="00A2183E"/>
    <w:rsid w:val="00A21C88"/>
    <w:rsid w:val="00A21DFD"/>
    <w:rsid w:val="00A21E5F"/>
    <w:rsid w:val="00A21F0A"/>
    <w:rsid w:val="00A21FB1"/>
    <w:rsid w:val="00A22058"/>
    <w:rsid w:val="00A22535"/>
    <w:rsid w:val="00A22B0A"/>
    <w:rsid w:val="00A23126"/>
    <w:rsid w:val="00A23408"/>
    <w:rsid w:val="00A238B7"/>
    <w:rsid w:val="00A23E03"/>
    <w:rsid w:val="00A23ED7"/>
    <w:rsid w:val="00A23FCB"/>
    <w:rsid w:val="00A240FB"/>
    <w:rsid w:val="00A24455"/>
    <w:rsid w:val="00A249BD"/>
    <w:rsid w:val="00A24B03"/>
    <w:rsid w:val="00A24C87"/>
    <w:rsid w:val="00A2518A"/>
    <w:rsid w:val="00A25652"/>
    <w:rsid w:val="00A256C7"/>
    <w:rsid w:val="00A256C8"/>
    <w:rsid w:val="00A257FE"/>
    <w:rsid w:val="00A25A7D"/>
    <w:rsid w:val="00A25C01"/>
    <w:rsid w:val="00A25CE7"/>
    <w:rsid w:val="00A26807"/>
    <w:rsid w:val="00A26B79"/>
    <w:rsid w:val="00A26C56"/>
    <w:rsid w:val="00A27099"/>
    <w:rsid w:val="00A27272"/>
    <w:rsid w:val="00A27856"/>
    <w:rsid w:val="00A278D0"/>
    <w:rsid w:val="00A27933"/>
    <w:rsid w:val="00A3028F"/>
    <w:rsid w:val="00A30C1A"/>
    <w:rsid w:val="00A31245"/>
    <w:rsid w:val="00A3153E"/>
    <w:rsid w:val="00A3160A"/>
    <w:rsid w:val="00A31EFE"/>
    <w:rsid w:val="00A3221C"/>
    <w:rsid w:val="00A3222D"/>
    <w:rsid w:val="00A32242"/>
    <w:rsid w:val="00A325CA"/>
    <w:rsid w:val="00A326A7"/>
    <w:rsid w:val="00A32771"/>
    <w:rsid w:val="00A328F2"/>
    <w:rsid w:val="00A32B1F"/>
    <w:rsid w:val="00A32D14"/>
    <w:rsid w:val="00A32EB8"/>
    <w:rsid w:val="00A32EC8"/>
    <w:rsid w:val="00A3317F"/>
    <w:rsid w:val="00A33305"/>
    <w:rsid w:val="00A33450"/>
    <w:rsid w:val="00A334A7"/>
    <w:rsid w:val="00A33AA2"/>
    <w:rsid w:val="00A33B2B"/>
    <w:rsid w:val="00A33C02"/>
    <w:rsid w:val="00A33C67"/>
    <w:rsid w:val="00A33DA0"/>
    <w:rsid w:val="00A33F66"/>
    <w:rsid w:val="00A340D1"/>
    <w:rsid w:val="00A3428D"/>
    <w:rsid w:val="00A34492"/>
    <w:rsid w:val="00A34906"/>
    <w:rsid w:val="00A34BF5"/>
    <w:rsid w:val="00A34D77"/>
    <w:rsid w:val="00A3514A"/>
    <w:rsid w:val="00A35428"/>
    <w:rsid w:val="00A35657"/>
    <w:rsid w:val="00A35A07"/>
    <w:rsid w:val="00A35BB4"/>
    <w:rsid w:val="00A35E17"/>
    <w:rsid w:val="00A35E5B"/>
    <w:rsid w:val="00A35E9E"/>
    <w:rsid w:val="00A3623F"/>
    <w:rsid w:val="00A36829"/>
    <w:rsid w:val="00A36A6D"/>
    <w:rsid w:val="00A36A87"/>
    <w:rsid w:val="00A36AAC"/>
    <w:rsid w:val="00A36D4D"/>
    <w:rsid w:val="00A3727E"/>
    <w:rsid w:val="00A377C2"/>
    <w:rsid w:val="00A3789F"/>
    <w:rsid w:val="00A37AB1"/>
    <w:rsid w:val="00A37BAF"/>
    <w:rsid w:val="00A37CDF"/>
    <w:rsid w:val="00A37F1F"/>
    <w:rsid w:val="00A403C8"/>
    <w:rsid w:val="00A403F0"/>
    <w:rsid w:val="00A40417"/>
    <w:rsid w:val="00A40530"/>
    <w:rsid w:val="00A406C7"/>
    <w:rsid w:val="00A408AC"/>
    <w:rsid w:val="00A4090F"/>
    <w:rsid w:val="00A40A43"/>
    <w:rsid w:val="00A412EF"/>
    <w:rsid w:val="00A414ED"/>
    <w:rsid w:val="00A4150A"/>
    <w:rsid w:val="00A4161E"/>
    <w:rsid w:val="00A4173B"/>
    <w:rsid w:val="00A41761"/>
    <w:rsid w:val="00A41920"/>
    <w:rsid w:val="00A41B7D"/>
    <w:rsid w:val="00A42149"/>
    <w:rsid w:val="00A421D8"/>
    <w:rsid w:val="00A42354"/>
    <w:rsid w:val="00A4246C"/>
    <w:rsid w:val="00A424F4"/>
    <w:rsid w:val="00A4269B"/>
    <w:rsid w:val="00A4288C"/>
    <w:rsid w:val="00A42E8D"/>
    <w:rsid w:val="00A43112"/>
    <w:rsid w:val="00A434FC"/>
    <w:rsid w:val="00A435D0"/>
    <w:rsid w:val="00A4397D"/>
    <w:rsid w:val="00A4399C"/>
    <w:rsid w:val="00A43A23"/>
    <w:rsid w:val="00A4416D"/>
    <w:rsid w:val="00A4431E"/>
    <w:rsid w:val="00A447BF"/>
    <w:rsid w:val="00A449D4"/>
    <w:rsid w:val="00A449DA"/>
    <w:rsid w:val="00A449EF"/>
    <w:rsid w:val="00A44A5B"/>
    <w:rsid w:val="00A44AF8"/>
    <w:rsid w:val="00A44E1A"/>
    <w:rsid w:val="00A44EB4"/>
    <w:rsid w:val="00A450F1"/>
    <w:rsid w:val="00A45223"/>
    <w:rsid w:val="00A45289"/>
    <w:rsid w:val="00A452ED"/>
    <w:rsid w:val="00A4548D"/>
    <w:rsid w:val="00A45628"/>
    <w:rsid w:val="00A45C13"/>
    <w:rsid w:val="00A45E2C"/>
    <w:rsid w:val="00A45F89"/>
    <w:rsid w:val="00A4619E"/>
    <w:rsid w:val="00A462E4"/>
    <w:rsid w:val="00A462FD"/>
    <w:rsid w:val="00A463FC"/>
    <w:rsid w:val="00A46417"/>
    <w:rsid w:val="00A4651F"/>
    <w:rsid w:val="00A466B1"/>
    <w:rsid w:val="00A47033"/>
    <w:rsid w:val="00A47124"/>
    <w:rsid w:val="00A47145"/>
    <w:rsid w:val="00A47371"/>
    <w:rsid w:val="00A474E8"/>
    <w:rsid w:val="00A4774F"/>
    <w:rsid w:val="00A4777D"/>
    <w:rsid w:val="00A4783A"/>
    <w:rsid w:val="00A479DD"/>
    <w:rsid w:val="00A47A1A"/>
    <w:rsid w:val="00A47BB2"/>
    <w:rsid w:val="00A47C4A"/>
    <w:rsid w:val="00A47E54"/>
    <w:rsid w:val="00A47F5A"/>
    <w:rsid w:val="00A501D8"/>
    <w:rsid w:val="00A502D4"/>
    <w:rsid w:val="00A5037F"/>
    <w:rsid w:val="00A512A6"/>
    <w:rsid w:val="00A5142D"/>
    <w:rsid w:val="00A5151A"/>
    <w:rsid w:val="00A51833"/>
    <w:rsid w:val="00A518A6"/>
    <w:rsid w:val="00A51C8C"/>
    <w:rsid w:val="00A51CF8"/>
    <w:rsid w:val="00A51FC8"/>
    <w:rsid w:val="00A5218E"/>
    <w:rsid w:val="00A52315"/>
    <w:rsid w:val="00A5252A"/>
    <w:rsid w:val="00A5285F"/>
    <w:rsid w:val="00A52D26"/>
    <w:rsid w:val="00A52EE0"/>
    <w:rsid w:val="00A52EEE"/>
    <w:rsid w:val="00A536E7"/>
    <w:rsid w:val="00A53D9A"/>
    <w:rsid w:val="00A53E88"/>
    <w:rsid w:val="00A54094"/>
    <w:rsid w:val="00A5409D"/>
    <w:rsid w:val="00A54153"/>
    <w:rsid w:val="00A54258"/>
    <w:rsid w:val="00A543F8"/>
    <w:rsid w:val="00A5459E"/>
    <w:rsid w:val="00A545A7"/>
    <w:rsid w:val="00A5480C"/>
    <w:rsid w:val="00A54886"/>
    <w:rsid w:val="00A5513F"/>
    <w:rsid w:val="00A55224"/>
    <w:rsid w:val="00A554F4"/>
    <w:rsid w:val="00A555DE"/>
    <w:rsid w:val="00A55685"/>
    <w:rsid w:val="00A556EA"/>
    <w:rsid w:val="00A55DEB"/>
    <w:rsid w:val="00A56149"/>
    <w:rsid w:val="00A561AD"/>
    <w:rsid w:val="00A56692"/>
    <w:rsid w:val="00A566EF"/>
    <w:rsid w:val="00A56926"/>
    <w:rsid w:val="00A56B50"/>
    <w:rsid w:val="00A56DCB"/>
    <w:rsid w:val="00A56F8A"/>
    <w:rsid w:val="00A570AF"/>
    <w:rsid w:val="00A571A6"/>
    <w:rsid w:val="00A57302"/>
    <w:rsid w:val="00A57417"/>
    <w:rsid w:val="00A579F2"/>
    <w:rsid w:val="00A57A3E"/>
    <w:rsid w:val="00A57BAD"/>
    <w:rsid w:val="00A57BC7"/>
    <w:rsid w:val="00A57D08"/>
    <w:rsid w:val="00A57DDD"/>
    <w:rsid w:val="00A57E71"/>
    <w:rsid w:val="00A57FB0"/>
    <w:rsid w:val="00A6010A"/>
    <w:rsid w:val="00A60176"/>
    <w:rsid w:val="00A601A5"/>
    <w:rsid w:val="00A603FA"/>
    <w:rsid w:val="00A607D0"/>
    <w:rsid w:val="00A60964"/>
    <w:rsid w:val="00A60985"/>
    <w:rsid w:val="00A60AA8"/>
    <w:rsid w:val="00A60EBB"/>
    <w:rsid w:val="00A610E3"/>
    <w:rsid w:val="00A61207"/>
    <w:rsid w:val="00A61463"/>
    <w:rsid w:val="00A61621"/>
    <w:rsid w:val="00A61949"/>
    <w:rsid w:val="00A61A5D"/>
    <w:rsid w:val="00A61B20"/>
    <w:rsid w:val="00A61DCA"/>
    <w:rsid w:val="00A62001"/>
    <w:rsid w:val="00A6226B"/>
    <w:rsid w:val="00A62535"/>
    <w:rsid w:val="00A6256B"/>
    <w:rsid w:val="00A62887"/>
    <w:rsid w:val="00A62929"/>
    <w:rsid w:val="00A629F4"/>
    <w:rsid w:val="00A62C8C"/>
    <w:rsid w:val="00A62E94"/>
    <w:rsid w:val="00A635B2"/>
    <w:rsid w:val="00A636D2"/>
    <w:rsid w:val="00A63BDA"/>
    <w:rsid w:val="00A63BED"/>
    <w:rsid w:val="00A63E4E"/>
    <w:rsid w:val="00A6417E"/>
    <w:rsid w:val="00A64385"/>
    <w:rsid w:val="00A644FA"/>
    <w:rsid w:val="00A648BF"/>
    <w:rsid w:val="00A64A9E"/>
    <w:rsid w:val="00A64B4B"/>
    <w:rsid w:val="00A64C96"/>
    <w:rsid w:val="00A64CBF"/>
    <w:rsid w:val="00A64FFB"/>
    <w:rsid w:val="00A65469"/>
    <w:rsid w:val="00A658AE"/>
    <w:rsid w:val="00A658BD"/>
    <w:rsid w:val="00A658F5"/>
    <w:rsid w:val="00A65986"/>
    <w:rsid w:val="00A65B9B"/>
    <w:rsid w:val="00A65BBF"/>
    <w:rsid w:val="00A65DEE"/>
    <w:rsid w:val="00A66100"/>
    <w:rsid w:val="00A6642A"/>
    <w:rsid w:val="00A6673E"/>
    <w:rsid w:val="00A667BC"/>
    <w:rsid w:val="00A6694B"/>
    <w:rsid w:val="00A66AC3"/>
    <w:rsid w:val="00A66D57"/>
    <w:rsid w:val="00A66D7E"/>
    <w:rsid w:val="00A66F03"/>
    <w:rsid w:val="00A67042"/>
    <w:rsid w:val="00A6713B"/>
    <w:rsid w:val="00A67249"/>
    <w:rsid w:val="00A6724F"/>
    <w:rsid w:val="00A672D6"/>
    <w:rsid w:val="00A67440"/>
    <w:rsid w:val="00A674CC"/>
    <w:rsid w:val="00A67886"/>
    <w:rsid w:val="00A678E4"/>
    <w:rsid w:val="00A6798C"/>
    <w:rsid w:val="00A679C2"/>
    <w:rsid w:val="00A67C6C"/>
    <w:rsid w:val="00A67CC4"/>
    <w:rsid w:val="00A67DE1"/>
    <w:rsid w:val="00A67F52"/>
    <w:rsid w:val="00A70051"/>
    <w:rsid w:val="00A70170"/>
    <w:rsid w:val="00A70555"/>
    <w:rsid w:val="00A705EF"/>
    <w:rsid w:val="00A707D4"/>
    <w:rsid w:val="00A70C7D"/>
    <w:rsid w:val="00A70EC7"/>
    <w:rsid w:val="00A70F92"/>
    <w:rsid w:val="00A710D3"/>
    <w:rsid w:val="00A7111F"/>
    <w:rsid w:val="00A712A1"/>
    <w:rsid w:val="00A714E5"/>
    <w:rsid w:val="00A7172E"/>
    <w:rsid w:val="00A718BF"/>
    <w:rsid w:val="00A718C4"/>
    <w:rsid w:val="00A71925"/>
    <w:rsid w:val="00A71A6F"/>
    <w:rsid w:val="00A71B97"/>
    <w:rsid w:val="00A71BBD"/>
    <w:rsid w:val="00A71DCF"/>
    <w:rsid w:val="00A71E7B"/>
    <w:rsid w:val="00A72086"/>
    <w:rsid w:val="00A72105"/>
    <w:rsid w:val="00A722E7"/>
    <w:rsid w:val="00A72601"/>
    <w:rsid w:val="00A72738"/>
    <w:rsid w:val="00A7289D"/>
    <w:rsid w:val="00A72C9A"/>
    <w:rsid w:val="00A72D0D"/>
    <w:rsid w:val="00A731CA"/>
    <w:rsid w:val="00A73407"/>
    <w:rsid w:val="00A73A3A"/>
    <w:rsid w:val="00A73A4F"/>
    <w:rsid w:val="00A73AA9"/>
    <w:rsid w:val="00A7409A"/>
    <w:rsid w:val="00A7436E"/>
    <w:rsid w:val="00A74695"/>
    <w:rsid w:val="00A74C75"/>
    <w:rsid w:val="00A74CC9"/>
    <w:rsid w:val="00A74EEC"/>
    <w:rsid w:val="00A74F1F"/>
    <w:rsid w:val="00A75224"/>
    <w:rsid w:val="00A7564D"/>
    <w:rsid w:val="00A75719"/>
    <w:rsid w:val="00A75A2D"/>
    <w:rsid w:val="00A75AB5"/>
    <w:rsid w:val="00A75E34"/>
    <w:rsid w:val="00A762D8"/>
    <w:rsid w:val="00A76653"/>
    <w:rsid w:val="00A766B7"/>
    <w:rsid w:val="00A766D1"/>
    <w:rsid w:val="00A76AA5"/>
    <w:rsid w:val="00A76C7F"/>
    <w:rsid w:val="00A76D63"/>
    <w:rsid w:val="00A76E3E"/>
    <w:rsid w:val="00A770CB"/>
    <w:rsid w:val="00A77114"/>
    <w:rsid w:val="00A772B4"/>
    <w:rsid w:val="00A77575"/>
    <w:rsid w:val="00A775AB"/>
    <w:rsid w:val="00A77778"/>
    <w:rsid w:val="00A77860"/>
    <w:rsid w:val="00A7790D"/>
    <w:rsid w:val="00A779A6"/>
    <w:rsid w:val="00A77BA6"/>
    <w:rsid w:val="00A77DD6"/>
    <w:rsid w:val="00A77E61"/>
    <w:rsid w:val="00A7A3A4"/>
    <w:rsid w:val="00A80430"/>
    <w:rsid w:val="00A805FF"/>
    <w:rsid w:val="00A8068C"/>
    <w:rsid w:val="00A80737"/>
    <w:rsid w:val="00A80F76"/>
    <w:rsid w:val="00A80FE3"/>
    <w:rsid w:val="00A81171"/>
    <w:rsid w:val="00A811A2"/>
    <w:rsid w:val="00A81229"/>
    <w:rsid w:val="00A8155C"/>
    <w:rsid w:val="00A8161B"/>
    <w:rsid w:val="00A81683"/>
    <w:rsid w:val="00A81798"/>
    <w:rsid w:val="00A818D5"/>
    <w:rsid w:val="00A81B91"/>
    <w:rsid w:val="00A81C4F"/>
    <w:rsid w:val="00A821E0"/>
    <w:rsid w:val="00A8224E"/>
    <w:rsid w:val="00A823CF"/>
    <w:rsid w:val="00A82419"/>
    <w:rsid w:val="00A82432"/>
    <w:rsid w:val="00A82468"/>
    <w:rsid w:val="00A8262B"/>
    <w:rsid w:val="00A826B8"/>
    <w:rsid w:val="00A82726"/>
    <w:rsid w:val="00A82947"/>
    <w:rsid w:val="00A82D8F"/>
    <w:rsid w:val="00A82F94"/>
    <w:rsid w:val="00A831D3"/>
    <w:rsid w:val="00A83362"/>
    <w:rsid w:val="00A83820"/>
    <w:rsid w:val="00A83AC6"/>
    <w:rsid w:val="00A83D14"/>
    <w:rsid w:val="00A83DC6"/>
    <w:rsid w:val="00A83EFE"/>
    <w:rsid w:val="00A83F4F"/>
    <w:rsid w:val="00A8409A"/>
    <w:rsid w:val="00A840A5"/>
    <w:rsid w:val="00A840FB"/>
    <w:rsid w:val="00A84220"/>
    <w:rsid w:val="00A8447C"/>
    <w:rsid w:val="00A84519"/>
    <w:rsid w:val="00A84539"/>
    <w:rsid w:val="00A84703"/>
    <w:rsid w:val="00A84DD0"/>
    <w:rsid w:val="00A84F79"/>
    <w:rsid w:val="00A85023"/>
    <w:rsid w:val="00A853D1"/>
    <w:rsid w:val="00A855DE"/>
    <w:rsid w:val="00A85796"/>
    <w:rsid w:val="00A85AF8"/>
    <w:rsid w:val="00A85CB9"/>
    <w:rsid w:val="00A85D9A"/>
    <w:rsid w:val="00A86474"/>
    <w:rsid w:val="00A8647A"/>
    <w:rsid w:val="00A865E0"/>
    <w:rsid w:val="00A867D7"/>
    <w:rsid w:val="00A8681F"/>
    <w:rsid w:val="00A869B9"/>
    <w:rsid w:val="00A86AE1"/>
    <w:rsid w:val="00A86DBA"/>
    <w:rsid w:val="00A86EA9"/>
    <w:rsid w:val="00A871ED"/>
    <w:rsid w:val="00A87378"/>
    <w:rsid w:val="00A87450"/>
    <w:rsid w:val="00A87564"/>
    <w:rsid w:val="00A87CCE"/>
    <w:rsid w:val="00A87CF0"/>
    <w:rsid w:val="00A90083"/>
    <w:rsid w:val="00A901A7"/>
    <w:rsid w:val="00A901C7"/>
    <w:rsid w:val="00A902EC"/>
    <w:rsid w:val="00A903AA"/>
    <w:rsid w:val="00A903D3"/>
    <w:rsid w:val="00A90409"/>
    <w:rsid w:val="00A9060D"/>
    <w:rsid w:val="00A906D4"/>
    <w:rsid w:val="00A909B8"/>
    <w:rsid w:val="00A90CA1"/>
    <w:rsid w:val="00A90CB0"/>
    <w:rsid w:val="00A90D1E"/>
    <w:rsid w:val="00A90DBB"/>
    <w:rsid w:val="00A90EC8"/>
    <w:rsid w:val="00A910B7"/>
    <w:rsid w:val="00A91394"/>
    <w:rsid w:val="00A916E0"/>
    <w:rsid w:val="00A91B5C"/>
    <w:rsid w:val="00A91C14"/>
    <w:rsid w:val="00A91C7A"/>
    <w:rsid w:val="00A91E60"/>
    <w:rsid w:val="00A921FA"/>
    <w:rsid w:val="00A9229B"/>
    <w:rsid w:val="00A92359"/>
    <w:rsid w:val="00A9273F"/>
    <w:rsid w:val="00A92842"/>
    <w:rsid w:val="00A92B14"/>
    <w:rsid w:val="00A92CF1"/>
    <w:rsid w:val="00A92DA0"/>
    <w:rsid w:val="00A93062"/>
    <w:rsid w:val="00A9321B"/>
    <w:rsid w:val="00A93256"/>
    <w:rsid w:val="00A9348D"/>
    <w:rsid w:val="00A934F6"/>
    <w:rsid w:val="00A935D4"/>
    <w:rsid w:val="00A93731"/>
    <w:rsid w:val="00A937E3"/>
    <w:rsid w:val="00A938B6"/>
    <w:rsid w:val="00A93A53"/>
    <w:rsid w:val="00A93CCB"/>
    <w:rsid w:val="00A93EAD"/>
    <w:rsid w:val="00A93F29"/>
    <w:rsid w:val="00A93F83"/>
    <w:rsid w:val="00A944DD"/>
    <w:rsid w:val="00A945DD"/>
    <w:rsid w:val="00A9484F"/>
    <w:rsid w:val="00A94B5D"/>
    <w:rsid w:val="00A94B63"/>
    <w:rsid w:val="00A94BF6"/>
    <w:rsid w:val="00A94D68"/>
    <w:rsid w:val="00A94EB3"/>
    <w:rsid w:val="00A9514C"/>
    <w:rsid w:val="00A951B9"/>
    <w:rsid w:val="00A951FF"/>
    <w:rsid w:val="00A95219"/>
    <w:rsid w:val="00A9522A"/>
    <w:rsid w:val="00A953AC"/>
    <w:rsid w:val="00A9561C"/>
    <w:rsid w:val="00A957AD"/>
    <w:rsid w:val="00A957BC"/>
    <w:rsid w:val="00A95951"/>
    <w:rsid w:val="00A9595A"/>
    <w:rsid w:val="00A9595F"/>
    <w:rsid w:val="00A95968"/>
    <w:rsid w:val="00A95E82"/>
    <w:rsid w:val="00A9670E"/>
    <w:rsid w:val="00A96734"/>
    <w:rsid w:val="00A96FE8"/>
    <w:rsid w:val="00A9711E"/>
    <w:rsid w:val="00A97353"/>
    <w:rsid w:val="00A973BC"/>
    <w:rsid w:val="00A974B7"/>
    <w:rsid w:val="00A97770"/>
    <w:rsid w:val="00A97B00"/>
    <w:rsid w:val="00A97B75"/>
    <w:rsid w:val="00AA0049"/>
    <w:rsid w:val="00AA02BD"/>
    <w:rsid w:val="00AA0398"/>
    <w:rsid w:val="00AA0853"/>
    <w:rsid w:val="00AA091D"/>
    <w:rsid w:val="00AA0927"/>
    <w:rsid w:val="00AA0C21"/>
    <w:rsid w:val="00AA0DF8"/>
    <w:rsid w:val="00AA0FF7"/>
    <w:rsid w:val="00AA1162"/>
    <w:rsid w:val="00AA1209"/>
    <w:rsid w:val="00AA1225"/>
    <w:rsid w:val="00AA12A8"/>
    <w:rsid w:val="00AA139B"/>
    <w:rsid w:val="00AA13F0"/>
    <w:rsid w:val="00AA1420"/>
    <w:rsid w:val="00AA14B9"/>
    <w:rsid w:val="00AA16BD"/>
    <w:rsid w:val="00AA1766"/>
    <w:rsid w:val="00AA1919"/>
    <w:rsid w:val="00AA1BD7"/>
    <w:rsid w:val="00AA1E91"/>
    <w:rsid w:val="00AA1F9B"/>
    <w:rsid w:val="00AA1FD5"/>
    <w:rsid w:val="00AA2B6F"/>
    <w:rsid w:val="00AA2D20"/>
    <w:rsid w:val="00AA3251"/>
    <w:rsid w:val="00AA394B"/>
    <w:rsid w:val="00AA39EA"/>
    <w:rsid w:val="00AA3D36"/>
    <w:rsid w:val="00AA3E2B"/>
    <w:rsid w:val="00AA4015"/>
    <w:rsid w:val="00AA41E2"/>
    <w:rsid w:val="00AA4398"/>
    <w:rsid w:val="00AA451C"/>
    <w:rsid w:val="00AA47E1"/>
    <w:rsid w:val="00AA49B9"/>
    <w:rsid w:val="00AA4A75"/>
    <w:rsid w:val="00AA5070"/>
    <w:rsid w:val="00AA50D1"/>
    <w:rsid w:val="00AA50DA"/>
    <w:rsid w:val="00AA529B"/>
    <w:rsid w:val="00AA5336"/>
    <w:rsid w:val="00AA533A"/>
    <w:rsid w:val="00AA53E3"/>
    <w:rsid w:val="00AA5815"/>
    <w:rsid w:val="00AA5F3A"/>
    <w:rsid w:val="00AA5F56"/>
    <w:rsid w:val="00AA5F74"/>
    <w:rsid w:val="00AA64AA"/>
    <w:rsid w:val="00AA6F2D"/>
    <w:rsid w:val="00AA7221"/>
    <w:rsid w:val="00AA722C"/>
    <w:rsid w:val="00AA7244"/>
    <w:rsid w:val="00AA7253"/>
    <w:rsid w:val="00AA72F4"/>
    <w:rsid w:val="00AA7374"/>
    <w:rsid w:val="00AA742C"/>
    <w:rsid w:val="00AA76BE"/>
    <w:rsid w:val="00AA78A1"/>
    <w:rsid w:val="00AA7D6A"/>
    <w:rsid w:val="00AA7DBE"/>
    <w:rsid w:val="00AA7F5C"/>
    <w:rsid w:val="00AB01FB"/>
    <w:rsid w:val="00AB02E2"/>
    <w:rsid w:val="00AB038F"/>
    <w:rsid w:val="00AB05B6"/>
    <w:rsid w:val="00AB0694"/>
    <w:rsid w:val="00AB07C5"/>
    <w:rsid w:val="00AB08A9"/>
    <w:rsid w:val="00AB0D8E"/>
    <w:rsid w:val="00AB0DB8"/>
    <w:rsid w:val="00AB0E53"/>
    <w:rsid w:val="00AB10A6"/>
    <w:rsid w:val="00AB11F9"/>
    <w:rsid w:val="00AB1372"/>
    <w:rsid w:val="00AB14E6"/>
    <w:rsid w:val="00AB1991"/>
    <w:rsid w:val="00AB1C0E"/>
    <w:rsid w:val="00AB204F"/>
    <w:rsid w:val="00AB2058"/>
    <w:rsid w:val="00AB2261"/>
    <w:rsid w:val="00AB27A7"/>
    <w:rsid w:val="00AB2A3C"/>
    <w:rsid w:val="00AB2D9C"/>
    <w:rsid w:val="00AB2E11"/>
    <w:rsid w:val="00AB2F60"/>
    <w:rsid w:val="00AB3168"/>
    <w:rsid w:val="00AB31A2"/>
    <w:rsid w:val="00AB32EA"/>
    <w:rsid w:val="00AB35EB"/>
    <w:rsid w:val="00AB3760"/>
    <w:rsid w:val="00AB3B9A"/>
    <w:rsid w:val="00AB3D1C"/>
    <w:rsid w:val="00AB41E1"/>
    <w:rsid w:val="00AB43F6"/>
    <w:rsid w:val="00AB44BE"/>
    <w:rsid w:val="00AB45B7"/>
    <w:rsid w:val="00AB4734"/>
    <w:rsid w:val="00AB48E4"/>
    <w:rsid w:val="00AB496C"/>
    <w:rsid w:val="00AB4A60"/>
    <w:rsid w:val="00AB4C1D"/>
    <w:rsid w:val="00AB4D78"/>
    <w:rsid w:val="00AB5271"/>
    <w:rsid w:val="00AB53BD"/>
    <w:rsid w:val="00AB5411"/>
    <w:rsid w:val="00AB579B"/>
    <w:rsid w:val="00AB607B"/>
    <w:rsid w:val="00AB61CB"/>
    <w:rsid w:val="00AB67B3"/>
    <w:rsid w:val="00AB680A"/>
    <w:rsid w:val="00AB6A51"/>
    <w:rsid w:val="00AB6A9E"/>
    <w:rsid w:val="00AB6D65"/>
    <w:rsid w:val="00AB6ECB"/>
    <w:rsid w:val="00AB7387"/>
    <w:rsid w:val="00AB75E4"/>
    <w:rsid w:val="00AB7AE9"/>
    <w:rsid w:val="00AB7BC7"/>
    <w:rsid w:val="00AB7F1F"/>
    <w:rsid w:val="00AC00E0"/>
    <w:rsid w:val="00AC06C1"/>
    <w:rsid w:val="00AC0D07"/>
    <w:rsid w:val="00AC137C"/>
    <w:rsid w:val="00AC1455"/>
    <w:rsid w:val="00AC17BD"/>
    <w:rsid w:val="00AC17FF"/>
    <w:rsid w:val="00AC1A13"/>
    <w:rsid w:val="00AC1D26"/>
    <w:rsid w:val="00AC2365"/>
    <w:rsid w:val="00AC2470"/>
    <w:rsid w:val="00AC250D"/>
    <w:rsid w:val="00AC268C"/>
    <w:rsid w:val="00AC27A3"/>
    <w:rsid w:val="00AC28C6"/>
    <w:rsid w:val="00AC28DC"/>
    <w:rsid w:val="00AC30F8"/>
    <w:rsid w:val="00AC349A"/>
    <w:rsid w:val="00AC364C"/>
    <w:rsid w:val="00AC373B"/>
    <w:rsid w:val="00AC4148"/>
    <w:rsid w:val="00AC41AE"/>
    <w:rsid w:val="00AC4612"/>
    <w:rsid w:val="00AC4AFF"/>
    <w:rsid w:val="00AC4D48"/>
    <w:rsid w:val="00AC4DBC"/>
    <w:rsid w:val="00AC52BF"/>
    <w:rsid w:val="00AC53DD"/>
    <w:rsid w:val="00AC563D"/>
    <w:rsid w:val="00AC5903"/>
    <w:rsid w:val="00AC5945"/>
    <w:rsid w:val="00AC5BB8"/>
    <w:rsid w:val="00AC5BFD"/>
    <w:rsid w:val="00AC5C59"/>
    <w:rsid w:val="00AC5CCC"/>
    <w:rsid w:val="00AC5D40"/>
    <w:rsid w:val="00AC6040"/>
    <w:rsid w:val="00AC6192"/>
    <w:rsid w:val="00AC6338"/>
    <w:rsid w:val="00AC6DFD"/>
    <w:rsid w:val="00AC6F3A"/>
    <w:rsid w:val="00AC6F72"/>
    <w:rsid w:val="00AC70F2"/>
    <w:rsid w:val="00AC75B6"/>
    <w:rsid w:val="00AC7657"/>
    <w:rsid w:val="00AC7741"/>
    <w:rsid w:val="00AC7964"/>
    <w:rsid w:val="00AC79B5"/>
    <w:rsid w:val="00AC7B48"/>
    <w:rsid w:val="00AD0066"/>
    <w:rsid w:val="00AD0109"/>
    <w:rsid w:val="00AD01BB"/>
    <w:rsid w:val="00AD06C0"/>
    <w:rsid w:val="00AD0B29"/>
    <w:rsid w:val="00AD131E"/>
    <w:rsid w:val="00AD139E"/>
    <w:rsid w:val="00AD14A6"/>
    <w:rsid w:val="00AD1544"/>
    <w:rsid w:val="00AD154C"/>
    <w:rsid w:val="00AD16ED"/>
    <w:rsid w:val="00AD1765"/>
    <w:rsid w:val="00AD19BD"/>
    <w:rsid w:val="00AD1B15"/>
    <w:rsid w:val="00AD1C05"/>
    <w:rsid w:val="00AD1D6D"/>
    <w:rsid w:val="00AD1DF6"/>
    <w:rsid w:val="00AD1E0A"/>
    <w:rsid w:val="00AD2234"/>
    <w:rsid w:val="00AD24BA"/>
    <w:rsid w:val="00AD2644"/>
    <w:rsid w:val="00AD2699"/>
    <w:rsid w:val="00AD284B"/>
    <w:rsid w:val="00AD2861"/>
    <w:rsid w:val="00AD2E12"/>
    <w:rsid w:val="00AD2E20"/>
    <w:rsid w:val="00AD312F"/>
    <w:rsid w:val="00AD3808"/>
    <w:rsid w:val="00AD3CDE"/>
    <w:rsid w:val="00AD3E70"/>
    <w:rsid w:val="00AD3F32"/>
    <w:rsid w:val="00AD3F4B"/>
    <w:rsid w:val="00AD3FC3"/>
    <w:rsid w:val="00AD40C8"/>
    <w:rsid w:val="00AD415D"/>
    <w:rsid w:val="00AD454B"/>
    <w:rsid w:val="00AD48C3"/>
    <w:rsid w:val="00AD48FF"/>
    <w:rsid w:val="00AD4A15"/>
    <w:rsid w:val="00AD4F1E"/>
    <w:rsid w:val="00AD5488"/>
    <w:rsid w:val="00AD562A"/>
    <w:rsid w:val="00AD5B15"/>
    <w:rsid w:val="00AD5E4E"/>
    <w:rsid w:val="00AD5E8E"/>
    <w:rsid w:val="00AD5EFC"/>
    <w:rsid w:val="00AD60BF"/>
    <w:rsid w:val="00AD615D"/>
    <w:rsid w:val="00AD6928"/>
    <w:rsid w:val="00AD6C38"/>
    <w:rsid w:val="00AD6CD9"/>
    <w:rsid w:val="00AD6F7C"/>
    <w:rsid w:val="00AD71E4"/>
    <w:rsid w:val="00AD7D8A"/>
    <w:rsid w:val="00ADD5CF"/>
    <w:rsid w:val="00AE0001"/>
    <w:rsid w:val="00AE0020"/>
    <w:rsid w:val="00AE01AA"/>
    <w:rsid w:val="00AE0917"/>
    <w:rsid w:val="00AE0929"/>
    <w:rsid w:val="00AE09D5"/>
    <w:rsid w:val="00AE1099"/>
    <w:rsid w:val="00AE10B5"/>
    <w:rsid w:val="00AE11AC"/>
    <w:rsid w:val="00AE12DA"/>
    <w:rsid w:val="00AE18F8"/>
    <w:rsid w:val="00AE191D"/>
    <w:rsid w:val="00AE1AD7"/>
    <w:rsid w:val="00AE1B86"/>
    <w:rsid w:val="00AE1BA0"/>
    <w:rsid w:val="00AE205D"/>
    <w:rsid w:val="00AE220E"/>
    <w:rsid w:val="00AE2310"/>
    <w:rsid w:val="00AE24EC"/>
    <w:rsid w:val="00AE263C"/>
    <w:rsid w:val="00AE26BE"/>
    <w:rsid w:val="00AE26F9"/>
    <w:rsid w:val="00AE27DC"/>
    <w:rsid w:val="00AE2866"/>
    <w:rsid w:val="00AE28CE"/>
    <w:rsid w:val="00AE28F9"/>
    <w:rsid w:val="00AE2A70"/>
    <w:rsid w:val="00AE2E2F"/>
    <w:rsid w:val="00AE2F42"/>
    <w:rsid w:val="00AE3249"/>
    <w:rsid w:val="00AE34B3"/>
    <w:rsid w:val="00AE353D"/>
    <w:rsid w:val="00AE3552"/>
    <w:rsid w:val="00AE363D"/>
    <w:rsid w:val="00AE3AD5"/>
    <w:rsid w:val="00AE3CB9"/>
    <w:rsid w:val="00AE406C"/>
    <w:rsid w:val="00AE4116"/>
    <w:rsid w:val="00AE43CF"/>
    <w:rsid w:val="00AE47E1"/>
    <w:rsid w:val="00AE48FA"/>
    <w:rsid w:val="00AE5092"/>
    <w:rsid w:val="00AE51A0"/>
    <w:rsid w:val="00AE53DA"/>
    <w:rsid w:val="00AE56E4"/>
    <w:rsid w:val="00AE5846"/>
    <w:rsid w:val="00AE5AD3"/>
    <w:rsid w:val="00AE5AE8"/>
    <w:rsid w:val="00AE5BF6"/>
    <w:rsid w:val="00AE5C3B"/>
    <w:rsid w:val="00AE5D3B"/>
    <w:rsid w:val="00AE5E61"/>
    <w:rsid w:val="00AE5E80"/>
    <w:rsid w:val="00AE5F17"/>
    <w:rsid w:val="00AE5F6D"/>
    <w:rsid w:val="00AE5FCC"/>
    <w:rsid w:val="00AE5FD5"/>
    <w:rsid w:val="00AE6033"/>
    <w:rsid w:val="00AE6162"/>
    <w:rsid w:val="00AE61E8"/>
    <w:rsid w:val="00AE64D9"/>
    <w:rsid w:val="00AE64DC"/>
    <w:rsid w:val="00AE6ABC"/>
    <w:rsid w:val="00AE6D76"/>
    <w:rsid w:val="00AE6D9B"/>
    <w:rsid w:val="00AE6E42"/>
    <w:rsid w:val="00AE7054"/>
    <w:rsid w:val="00AE72B0"/>
    <w:rsid w:val="00AE74F8"/>
    <w:rsid w:val="00AE776A"/>
    <w:rsid w:val="00AE7BC9"/>
    <w:rsid w:val="00AEE766"/>
    <w:rsid w:val="00AF037C"/>
    <w:rsid w:val="00AF0538"/>
    <w:rsid w:val="00AF0AB5"/>
    <w:rsid w:val="00AF0B07"/>
    <w:rsid w:val="00AF1073"/>
    <w:rsid w:val="00AF1167"/>
    <w:rsid w:val="00AF13AD"/>
    <w:rsid w:val="00AF1666"/>
    <w:rsid w:val="00AF16EB"/>
    <w:rsid w:val="00AF176B"/>
    <w:rsid w:val="00AF17C0"/>
    <w:rsid w:val="00AF1875"/>
    <w:rsid w:val="00AF1991"/>
    <w:rsid w:val="00AF1B29"/>
    <w:rsid w:val="00AF1B72"/>
    <w:rsid w:val="00AF1D2E"/>
    <w:rsid w:val="00AF1D51"/>
    <w:rsid w:val="00AF1D8F"/>
    <w:rsid w:val="00AF1E43"/>
    <w:rsid w:val="00AF1F9A"/>
    <w:rsid w:val="00AF1FED"/>
    <w:rsid w:val="00AF2028"/>
    <w:rsid w:val="00AF2346"/>
    <w:rsid w:val="00AF235D"/>
    <w:rsid w:val="00AF24FE"/>
    <w:rsid w:val="00AF2A98"/>
    <w:rsid w:val="00AF2AC7"/>
    <w:rsid w:val="00AF2B18"/>
    <w:rsid w:val="00AF2B46"/>
    <w:rsid w:val="00AF2BDE"/>
    <w:rsid w:val="00AF31D1"/>
    <w:rsid w:val="00AF3991"/>
    <w:rsid w:val="00AF40F0"/>
    <w:rsid w:val="00AF4142"/>
    <w:rsid w:val="00AF431A"/>
    <w:rsid w:val="00AF450D"/>
    <w:rsid w:val="00AF4653"/>
    <w:rsid w:val="00AF47B8"/>
    <w:rsid w:val="00AF483E"/>
    <w:rsid w:val="00AF4857"/>
    <w:rsid w:val="00AF50D5"/>
    <w:rsid w:val="00AF5182"/>
    <w:rsid w:val="00AF52F9"/>
    <w:rsid w:val="00AF563A"/>
    <w:rsid w:val="00AF5724"/>
    <w:rsid w:val="00AF57D0"/>
    <w:rsid w:val="00AF5EEB"/>
    <w:rsid w:val="00AF6157"/>
    <w:rsid w:val="00AF6274"/>
    <w:rsid w:val="00AF62C2"/>
    <w:rsid w:val="00AF62CD"/>
    <w:rsid w:val="00AF691C"/>
    <w:rsid w:val="00AF6A24"/>
    <w:rsid w:val="00AF6F29"/>
    <w:rsid w:val="00AF704B"/>
    <w:rsid w:val="00AF775D"/>
    <w:rsid w:val="00AF778E"/>
    <w:rsid w:val="00AF7968"/>
    <w:rsid w:val="00AF7A89"/>
    <w:rsid w:val="00AF7C6D"/>
    <w:rsid w:val="00B0014B"/>
    <w:rsid w:val="00B001E0"/>
    <w:rsid w:val="00B003CF"/>
    <w:rsid w:val="00B00408"/>
    <w:rsid w:val="00B004D3"/>
    <w:rsid w:val="00B005FA"/>
    <w:rsid w:val="00B008B0"/>
    <w:rsid w:val="00B0093B"/>
    <w:rsid w:val="00B0095D"/>
    <w:rsid w:val="00B00984"/>
    <w:rsid w:val="00B009D6"/>
    <w:rsid w:val="00B01252"/>
    <w:rsid w:val="00B01D69"/>
    <w:rsid w:val="00B01E0D"/>
    <w:rsid w:val="00B01FA4"/>
    <w:rsid w:val="00B0218F"/>
    <w:rsid w:val="00B02266"/>
    <w:rsid w:val="00B02288"/>
    <w:rsid w:val="00B02301"/>
    <w:rsid w:val="00B023D0"/>
    <w:rsid w:val="00B025C9"/>
    <w:rsid w:val="00B025E7"/>
    <w:rsid w:val="00B02639"/>
    <w:rsid w:val="00B0297C"/>
    <w:rsid w:val="00B02A76"/>
    <w:rsid w:val="00B02C56"/>
    <w:rsid w:val="00B02CBB"/>
    <w:rsid w:val="00B02FC9"/>
    <w:rsid w:val="00B0318C"/>
    <w:rsid w:val="00B0340A"/>
    <w:rsid w:val="00B0354A"/>
    <w:rsid w:val="00B0357D"/>
    <w:rsid w:val="00B037F0"/>
    <w:rsid w:val="00B03CB9"/>
    <w:rsid w:val="00B03CE4"/>
    <w:rsid w:val="00B03D1F"/>
    <w:rsid w:val="00B03DA9"/>
    <w:rsid w:val="00B03F52"/>
    <w:rsid w:val="00B04099"/>
    <w:rsid w:val="00B0409E"/>
    <w:rsid w:val="00B04452"/>
    <w:rsid w:val="00B047DB"/>
    <w:rsid w:val="00B04A1F"/>
    <w:rsid w:val="00B04A67"/>
    <w:rsid w:val="00B04D85"/>
    <w:rsid w:val="00B04EFE"/>
    <w:rsid w:val="00B05055"/>
    <w:rsid w:val="00B05063"/>
    <w:rsid w:val="00B05255"/>
    <w:rsid w:val="00B053CD"/>
    <w:rsid w:val="00B05405"/>
    <w:rsid w:val="00B05491"/>
    <w:rsid w:val="00B0549E"/>
    <w:rsid w:val="00B0566F"/>
    <w:rsid w:val="00B05708"/>
    <w:rsid w:val="00B05B62"/>
    <w:rsid w:val="00B05DC2"/>
    <w:rsid w:val="00B05E41"/>
    <w:rsid w:val="00B0609F"/>
    <w:rsid w:val="00B062DF"/>
    <w:rsid w:val="00B066C8"/>
    <w:rsid w:val="00B06944"/>
    <w:rsid w:val="00B071AC"/>
    <w:rsid w:val="00B073DA"/>
    <w:rsid w:val="00B07856"/>
    <w:rsid w:val="00B07918"/>
    <w:rsid w:val="00B07962"/>
    <w:rsid w:val="00B07A7A"/>
    <w:rsid w:val="00B07D19"/>
    <w:rsid w:val="00B07DEA"/>
    <w:rsid w:val="00B07E4A"/>
    <w:rsid w:val="00B07FF0"/>
    <w:rsid w:val="00B101C9"/>
    <w:rsid w:val="00B10213"/>
    <w:rsid w:val="00B10243"/>
    <w:rsid w:val="00B1050B"/>
    <w:rsid w:val="00B105A6"/>
    <w:rsid w:val="00B109D3"/>
    <w:rsid w:val="00B10CE8"/>
    <w:rsid w:val="00B10EC8"/>
    <w:rsid w:val="00B1128F"/>
    <w:rsid w:val="00B11504"/>
    <w:rsid w:val="00B11553"/>
    <w:rsid w:val="00B11698"/>
    <w:rsid w:val="00B11A40"/>
    <w:rsid w:val="00B11A64"/>
    <w:rsid w:val="00B11CE3"/>
    <w:rsid w:val="00B11E66"/>
    <w:rsid w:val="00B1224F"/>
    <w:rsid w:val="00B12432"/>
    <w:rsid w:val="00B12589"/>
    <w:rsid w:val="00B1291B"/>
    <w:rsid w:val="00B12B7F"/>
    <w:rsid w:val="00B12B83"/>
    <w:rsid w:val="00B12CD7"/>
    <w:rsid w:val="00B12FF4"/>
    <w:rsid w:val="00B1335D"/>
    <w:rsid w:val="00B13471"/>
    <w:rsid w:val="00B135A0"/>
    <w:rsid w:val="00B135DA"/>
    <w:rsid w:val="00B1363B"/>
    <w:rsid w:val="00B1374C"/>
    <w:rsid w:val="00B1390C"/>
    <w:rsid w:val="00B13DFA"/>
    <w:rsid w:val="00B14042"/>
    <w:rsid w:val="00B140E7"/>
    <w:rsid w:val="00B1420E"/>
    <w:rsid w:val="00B143E5"/>
    <w:rsid w:val="00B145F0"/>
    <w:rsid w:val="00B14D22"/>
    <w:rsid w:val="00B14D36"/>
    <w:rsid w:val="00B14EAD"/>
    <w:rsid w:val="00B14F92"/>
    <w:rsid w:val="00B15056"/>
    <w:rsid w:val="00B1515A"/>
    <w:rsid w:val="00B1518E"/>
    <w:rsid w:val="00B154B6"/>
    <w:rsid w:val="00B154D3"/>
    <w:rsid w:val="00B15635"/>
    <w:rsid w:val="00B1563F"/>
    <w:rsid w:val="00B15763"/>
    <w:rsid w:val="00B15A8B"/>
    <w:rsid w:val="00B163C1"/>
    <w:rsid w:val="00B166EC"/>
    <w:rsid w:val="00B1686E"/>
    <w:rsid w:val="00B16992"/>
    <w:rsid w:val="00B169E2"/>
    <w:rsid w:val="00B16A6C"/>
    <w:rsid w:val="00B16C1D"/>
    <w:rsid w:val="00B17063"/>
    <w:rsid w:val="00B171D9"/>
    <w:rsid w:val="00B1734E"/>
    <w:rsid w:val="00B17394"/>
    <w:rsid w:val="00B173F7"/>
    <w:rsid w:val="00B174F1"/>
    <w:rsid w:val="00B17611"/>
    <w:rsid w:val="00B178AE"/>
    <w:rsid w:val="00B17A25"/>
    <w:rsid w:val="00B17A56"/>
    <w:rsid w:val="00B17AE8"/>
    <w:rsid w:val="00B17B56"/>
    <w:rsid w:val="00B17C98"/>
    <w:rsid w:val="00B17CC1"/>
    <w:rsid w:val="00B17D61"/>
    <w:rsid w:val="00B17E0B"/>
    <w:rsid w:val="00B17EFE"/>
    <w:rsid w:val="00B2018E"/>
    <w:rsid w:val="00B201EE"/>
    <w:rsid w:val="00B20202"/>
    <w:rsid w:val="00B20444"/>
    <w:rsid w:val="00B20763"/>
    <w:rsid w:val="00B207FB"/>
    <w:rsid w:val="00B20973"/>
    <w:rsid w:val="00B20B3E"/>
    <w:rsid w:val="00B20C5D"/>
    <w:rsid w:val="00B20D8B"/>
    <w:rsid w:val="00B20E64"/>
    <w:rsid w:val="00B21227"/>
    <w:rsid w:val="00B21674"/>
    <w:rsid w:val="00B216ED"/>
    <w:rsid w:val="00B21A22"/>
    <w:rsid w:val="00B21B88"/>
    <w:rsid w:val="00B21BBA"/>
    <w:rsid w:val="00B21D8C"/>
    <w:rsid w:val="00B226AC"/>
    <w:rsid w:val="00B22742"/>
    <w:rsid w:val="00B22781"/>
    <w:rsid w:val="00B2280B"/>
    <w:rsid w:val="00B22910"/>
    <w:rsid w:val="00B22ADA"/>
    <w:rsid w:val="00B22B99"/>
    <w:rsid w:val="00B22D8D"/>
    <w:rsid w:val="00B22FEB"/>
    <w:rsid w:val="00B231AE"/>
    <w:rsid w:val="00B2332C"/>
    <w:rsid w:val="00B233BD"/>
    <w:rsid w:val="00B235D1"/>
    <w:rsid w:val="00B2365A"/>
    <w:rsid w:val="00B2371C"/>
    <w:rsid w:val="00B23C3A"/>
    <w:rsid w:val="00B23F79"/>
    <w:rsid w:val="00B240EC"/>
    <w:rsid w:val="00B24294"/>
    <w:rsid w:val="00B24306"/>
    <w:rsid w:val="00B244F9"/>
    <w:rsid w:val="00B2470D"/>
    <w:rsid w:val="00B2488F"/>
    <w:rsid w:val="00B24D88"/>
    <w:rsid w:val="00B2503C"/>
    <w:rsid w:val="00B252E2"/>
    <w:rsid w:val="00B25682"/>
    <w:rsid w:val="00B25789"/>
    <w:rsid w:val="00B25F79"/>
    <w:rsid w:val="00B26010"/>
    <w:rsid w:val="00B26132"/>
    <w:rsid w:val="00B26261"/>
    <w:rsid w:val="00B26810"/>
    <w:rsid w:val="00B26A83"/>
    <w:rsid w:val="00B27069"/>
    <w:rsid w:val="00B271EE"/>
    <w:rsid w:val="00B274B8"/>
    <w:rsid w:val="00B275AD"/>
    <w:rsid w:val="00B27850"/>
    <w:rsid w:val="00B27861"/>
    <w:rsid w:val="00B278E2"/>
    <w:rsid w:val="00B2799E"/>
    <w:rsid w:val="00B27A3D"/>
    <w:rsid w:val="00B27CF2"/>
    <w:rsid w:val="00B3006B"/>
    <w:rsid w:val="00B300F3"/>
    <w:rsid w:val="00B3026A"/>
    <w:rsid w:val="00B303B9"/>
    <w:rsid w:val="00B305EA"/>
    <w:rsid w:val="00B30943"/>
    <w:rsid w:val="00B3098D"/>
    <w:rsid w:val="00B30BD7"/>
    <w:rsid w:val="00B30C30"/>
    <w:rsid w:val="00B30C62"/>
    <w:rsid w:val="00B30E35"/>
    <w:rsid w:val="00B30FB2"/>
    <w:rsid w:val="00B310D6"/>
    <w:rsid w:val="00B310ED"/>
    <w:rsid w:val="00B311BC"/>
    <w:rsid w:val="00B311F8"/>
    <w:rsid w:val="00B312AD"/>
    <w:rsid w:val="00B3137E"/>
    <w:rsid w:val="00B313C5"/>
    <w:rsid w:val="00B313D8"/>
    <w:rsid w:val="00B31583"/>
    <w:rsid w:val="00B31AF9"/>
    <w:rsid w:val="00B31BC4"/>
    <w:rsid w:val="00B31C2A"/>
    <w:rsid w:val="00B31C44"/>
    <w:rsid w:val="00B31E6A"/>
    <w:rsid w:val="00B32023"/>
    <w:rsid w:val="00B3206B"/>
    <w:rsid w:val="00B321A2"/>
    <w:rsid w:val="00B321D6"/>
    <w:rsid w:val="00B32248"/>
    <w:rsid w:val="00B3237B"/>
    <w:rsid w:val="00B324B7"/>
    <w:rsid w:val="00B324F1"/>
    <w:rsid w:val="00B32629"/>
    <w:rsid w:val="00B32712"/>
    <w:rsid w:val="00B32C09"/>
    <w:rsid w:val="00B33339"/>
    <w:rsid w:val="00B3393B"/>
    <w:rsid w:val="00B33B6F"/>
    <w:rsid w:val="00B33B87"/>
    <w:rsid w:val="00B33BC0"/>
    <w:rsid w:val="00B33DE9"/>
    <w:rsid w:val="00B33E83"/>
    <w:rsid w:val="00B34146"/>
    <w:rsid w:val="00B341D1"/>
    <w:rsid w:val="00B34244"/>
    <w:rsid w:val="00B344A1"/>
    <w:rsid w:val="00B34672"/>
    <w:rsid w:val="00B3471A"/>
    <w:rsid w:val="00B347B1"/>
    <w:rsid w:val="00B348A4"/>
    <w:rsid w:val="00B3498D"/>
    <w:rsid w:val="00B34A8A"/>
    <w:rsid w:val="00B34B68"/>
    <w:rsid w:val="00B34BA4"/>
    <w:rsid w:val="00B34F10"/>
    <w:rsid w:val="00B35041"/>
    <w:rsid w:val="00B3529C"/>
    <w:rsid w:val="00B352D4"/>
    <w:rsid w:val="00B353A4"/>
    <w:rsid w:val="00B35800"/>
    <w:rsid w:val="00B35C1D"/>
    <w:rsid w:val="00B35F62"/>
    <w:rsid w:val="00B36071"/>
    <w:rsid w:val="00B36260"/>
    <w:rsid w:val="00B364EB"/>
    <w:rsid w:val="00B3667A"/>
    <w:rsid w:val="00B3677D"/>
    <w:rsid w:val="00B36B41"/>
    <w:rsid w:val="00B36EC2"/>
    <w:rsid w:val="00B374BC"/>
    <w:rsid w:val="00B37534"/>
    <w:rsid w:val="00B37A15"/>
    <w:rsid w:val="00B37D40"/>
    <w:rsid w:val="00B37D5E"/>
    <w:rsid w:val="00B37F1A"/>
    <w:rsid w:val="00B40421"/>
    <w:rsid w:val="00B40466"/>
    <w:rsid w:val="00B40546"/>
    <w:rsid w:val="00B405E3"/>
    <w:rsid w:val="00B40A48"/>
    <w:rsid w:val="00B40D0F"/>
    <w:rsid w:val="00B411C0"/>
    <w:rsid w:val="00B4150A"/>
    <w:rsid w:val="00B4155C"/>
    <w:rsid w:val="00B4159E"/>
    <w:rsid w:val="00B416EE"/>
    <w:rsid w:val="00B41841"/>
    <w:rsid w:val="00B41897"/>
    <w:rsid w:val="00B419D8"/>
    <w:rsid w:val="00B41B02"/>
    <w:rsid w:val="00B41CD2"/>
    <w:rsid w:val="00B41D7A"/>
    <w:rsid w:val="00B41D9F"/>
    <w:rsid w:val="00B41DA5"/>
    <w:rsid w:val="00B41E37"/>
    <w:rsid w:val="00B4229A"/>
    <w:rsid w:val="00B4242E"/>
    <w:rsid w:val="00B426DB"/>
    <w:rsid w:val="00B42907"/>
    <w:rsid w:val="00B42933"/>
    <w:rsid w:val="00B42AD7"/>
    <w:rsid w:val="00B42B0A"/>
    <w:rsid w:val="00B42CB5"/>
    <w:rsid w:val="00B42E4A"/>
    <w:rsid w:val="00B42EE9"/>
    <w:rsid w:val="00B42FDC"/>
    <w:rsid w:val="00B43140"/>
    <w:rsid w:val="00B431CD"/>
    <w:rsid w:val="00B4320C"/>
    <w:rsid w:val="00B4331F"/>
    <w:rsid w:val="00B43437"/>
    <w:rsid w:val="00B436A9"/>
    <w:rsid w:val="00B436E5"/>
    <w:rsid w:val="00B4373B"/>
    <w:rsid w:val="00B43788"/>
    <w:rsid w:val="00B4379B"/>
    <w:rsid w:val="00B4397E"/>
    <w:rsid w:val="00B439A5"/>
    <w:rsid w:val="00B43C76"/>
    <w:rsid w:val="00B43F35"/>
    <w:rsid w:val="00B4416A"/>
    <w:rsid w:val="00B4430D"/>
    <w:rsid w:val="00B4456F"/>
    <w:rsid w:val="00B44627"/>
    <w:rsid w:val="00B4478A"/>
    <w:rsid w:val="00B44A4D"/>
    <w:rsid w:val="00B44B51"/>
    <w:rsid w:val="00B44BD5"/>
    <w:rsid w:val="00B44DB2"/>
    <w:rsid w:val="00B44F0D"/>
    <w:rsid w:val="00B4520D"/>
    <w:rsid w:val="00B45287"/>
    <w:rsid w:val="00B4532F"/>
    <w:rsid w:val="00B45855"/>
    <w:rsid w:val="00B45933"/>
    <w:rsid w:val="00B45997"/>
    <w:rsid w:val="00B45C34"/>
    <w:rsid w:val="00B45D1B"/>
    <w:rsid w:val="00B45F96"/>
    <w:rsid w:val="00B45FA5"/>
    <w:rsid w:val="00B46111"/>
    <w:rsid w:val="00B4655C"/>
    <w:rsid w:val="00B468F7"/>
    <w:rsid w:val="00B46A1A"/>
    <w:rsid w:val="00B46BAC"/>
    <w:rsid w:val="00B46DD4"/>
    <w:rsid w:val="00B46E43"/>
    <w:rsid w:val="00B47193"/>
    <w:rsid w:val="00B47683"/>
    <w:rsid w:val="00B4790D"/>
    <w:rsid w:val="00B479A6"/>
    <w:rsid w:val="00B47BF8"/>
    <w:rsid w:val="00B50455"/>
    <w:rsid w:val="00B5046F"/>
    <w:rsid w:val="00B50AEA"/>
    <w:rsid w:val="00B50CBE"/>
    <w:rsid w:val="00B50F75"/>
    <w:rsid w:val="00B51140"/>
    <w:rsid w:val="00B511F2"/>
    <w:rsid w:val="00B5160C"/>
    <w:rsid w:val="00B5194A"/>
    <w:rsid w:val="00B51AB5"/>
    <w:rsid w:val="00B520BF"/>
    <w:rsid w:val="00B525E9"/>
    <w:rsid w:val="00B526B2"/>
    <w:rsid w:val="00B526BD"/>
    <w:rsid w:val="00B5274F"/>
    <w:rsid w:val="00B52B4C"/>
    <w:rsid w:val="00B52F2C"/>
    <w:rsid w:val="00B52F68"/>
    <w:rsid w:val="00B5305B"/>
    <w:rsid w:val="00B53161"/>
    <w:rsid w:val="00B534BF"/>
    <w:rsid w:val="00B53680"/>
    <w:rsid w:val="00B53D86"/>
    <w:rsid w:val="00B542C5"/>
    <w:rsid w:val="00B543AF"/>
    <w:rsid w:val="00B54454"/>
    <w:rsid w:val="00B545B9"/>
    <w:rsid w:val="00B546ED"/>
    <w:rsid w:val="00B549BB"/>
    <w:rsid w:val="00B54D8A"/>
    <w:rsid w:val="00B54DED"/>
    <w:rsid w:val="00B552AB"/>
    <w:rsid w:val="00B553E4"/>
    <w:rsid w:val="00B5540D"/>
    <w:rsid w:val="00B556BD"/>
    <w:rsid w:val="00B55855"/>
    <w:rsid w:val="00B55B0E"/>
    <w:rsid w:val="00B55C1B"/>
    <w:rsid w:val="00B55DC7"/>
    <w:rsid w:val="00B55F09"/>
    <w:rsid w:val="00B55F63"/>
    <w:rsid w:val="00B56044"/>
    <w:rsid w:val="00B5606A"/>
    <w:rsid w:val="00B56612"/>
    <w:rsid w:val="00B56674"/>
    <w:rsid w:val="00B56922"/>
    <w:rsid w:val="00B56AE7"/>
    <w:rsid w:val="00B56C4D"/>
    <w:rsid w:val="00B571BC"/>
    <w:rsid w:val="00B57227"/>
    <w:rsid w:val="00B576DF"/>
    <w:rsid w:val="00B577DF"/>
    <w:rsid w:val="00B5796A"/>
    <w:rsid w:val="00B57980"/>
    <w:rsid w:val="00B57AD9"/>
    <w:rsid w:val="00B57DC7"/>
    <w:rsid w:val="00B57DD2"/>
    <w:rsid w:val="00B57F1B"/>
    <w:rsid w:val="00B5A9F7"/>
    <w:rsid w:val="00B6046E"/>
    <w:rsid w:val="00B607DE"/>
    <w:rsid w:val="00B608EE"/>
    <w:rsid w:val="00B60A2D"/>
    <w:rsid w:val="00B60ACB"/>
    <w:rsid w:val="00B60F07"/>
    <w:rsid w:val="00B60F78"/>
    <w:rsid w:val="00B611D8"/>
    <w:rsid w:val="00B61294"/>
    <w:rsid w:val="00B6129E"/>
    <w:rsid w:val="00B61497"/>
    <w:rsid w:val="00B614B3"/>
    <w:rsid w:val="00B61819"/>
    <w:rsid w:val="00B6187F"/>
    <w:rsid w:val="00B61BE6"/>
    <w:rsid w:val="00B61D7B"/>
    <w:rsid w:val="00B6217D"/>
    <w:rsid w:val="00B6234D"/>
    <w:rsid w:val="00B623D0"/>
    <w:rsid w:val="00B62519"/>
    <w:rsid w:val="00B626DF"/>
    <w:rsid w:val="00B62822"/>
    <w:rsid w:val="00B62954"/>
    <w:rsid w:val="00B62A80"/>
    <w:rsid w:val="00B62C1F"/>
    <w:rsid w:val="00B62C45"/>
    <w:rsid w:val="00B62C53"/>
    <w:rsid w:val="00B62CEF"/>
    <w:rsid w:val="00B62D46"/>
    <w:rsid w:val="00B62DF9"/>
    <w:rsid w:val="00B62E96"/>
    <w:rsid w:val="00B62EC6"/>
    <w:rsid w:val="00B6304F"/>
    <w:rsid w:val="00B6336D"/>
    <w:rsid w:val="00B6361C"/>
    <w:rsid w:val="00B638CF"/>
    <w:rsid w:val="00B63A09"/>
    <w:rsid w:val="00B63B4B"/>
    <w:rsid w:val="00B63BA4"/>
    <w:rsid w:val="00B63CC9"/>
    <w:rsid w:val="00B63D4A"/>
    <w:rsid w:val="00B64197"/>
    <w:rsid w:val="00B64216"/>
    <w:rsid w:val="00B64426"/>
    <w:rsid w:val="00B6443C"/>
    <w:rsid w:val="00B645CE"/>
    <w:rsid w:val="00B64766"/>
    <w:rsid w:val="00B64992"/>
    <w:rsid w:val="00B6499E"/>
    <w:rsid w:val="00B64B64"/>
    <w:rsid w:val="00B64E97"/>
    <w:rsid w:val="00B64E9B"/>
    <w:rsid w:val="00B650C5"/>
    <w:rsid w:val="00B651C2"/>
    <w:rsid w:val="00B6537D"/>
    <w:rsid w:val="00B65651"/>
    <w:rsid w:val="00B65929"/>
    <w:rsid w:val="00B65A5C"/>
    <w:rsid w:val="00B66034"/>
    <w:rsid w:val="00B661A9"/>
    <w:rsid w:val="00B6636D"/>
    <w:rsid w:val="00B664C1"/>
    <w:rsid w:val="00B664FD"/>
    <w:rsid w:val="00B6656A"/>
    <w:rsid w:val="00B667E0"/>
    <w:rsid w:val="00B667EB"/>
    <w:rsid w:val="00B66922"/>
    <w:rsid w:val="00B669C4"/>
    <w:rsid w:val="00B66AC5"/>
    <w:rsid w:val="00B66BE3"/>
    <w:rsid w:val="00B66CCD"/>
    <w:rsid w:val="00B67348"/>
    <w:rsid w:val="00B67818"/>
    <w:rsid w:val="00B6788A"/>
    <w:rsid w:val="00B67A78"/>
    <w:rsid w:val="00B67B28"/>
    <w:rsid w:val="00B67B36"/>
    <w:rsid w:val="00B67E95"/>
    <w:rsid w:val="00B7056F"/>
    <w:rsid w:val="00B709CF"/>
    <w:rsid w:val="00B70EDC"/>
    <w:rsid w:val="00B714D3"/>
    <w:rsid w:val="00B718AF"/>
    <w:rsid w:val="00B71A6A"/>
    <w:rsid w:val="00B71FF9"/>
    <w:rsid w:val="00B7207F"/>
    <w:rsid w:val="00B72149"/>
    <w:rsid w:val="00B72241"/>
    <w:rsid w:val="00B722D5"/>
    <w:rsid w:val="00B723CD"/>
    <w:rsid w:val="00B72423"/>
    <w:rsid w:val="00B724EF"/>
    <w:rsid w:val="00B726FF"/>
    <w:rsid w:val="00B72A75"/>
    <w:rsid w:val="00B72F9B"/>
    <w:rsid w:val="00B7303F"/>
    <w:rsid w:val="00B733C7"/>
    <w:rsid w:val="00B73675"/>
    <w:rsid w:val="00B736A3"/>
    <w:rsid w:val="00B736B3"/>
    <w:rsid w:val="00B73866"/>
    <w:rsid w:val="00B73B18"/>
    <w:rsid w:val="00B73C71"/>
    <w:rsid w:val="00B73C9F"/>
    <w:rsid w:val="00B73F47"/>
    <w:rsid w:val="00B7405A"/>
    <w:rsid w:val="00B7416A"/>
    <w:rsid w:val="00B741CD"/>
    <w:rsid w:val="00B74295"/>
    <w:rsid w:val="00B742D4"/>
    <w:rsid w:val="00B742DC"/>
    <w:rsid w:val="00B743A5"/>
    <w:rsid w:val="00B74866"/>
    <w:rsid w:val="00B74B17"/>
    <w:rsid w:val="00B74FE7"/>
    <w:rsid w:val="00B7512E"/>
    <w:rsid w:val="00B75282"/>
    <w:rsid w:val="00B754BA"/>
    <w:rsid w:val="00B756E0"/>
    <w:rsid w:val="00B757B9"/>
    <w:rsid w:val="00B7586B"/>
    <w:rsid w:val="00B76262"/>
    <w:rsid w:val="00B76413"/>
    <w:rsid w:val="00B764AE"/>
    <w:rsid w:val="00B76567"/>
    <w:rsid w:val="00B76C19"/>
    <w:rsid w:val="00B76C9E"/>
    <w:rsid w:val="00B76CC9"/>
    <w:rsid w:val="00B76D14"/>
    <w:rsid w:val="00B76D65"/>
    <w:rsid w:val="00B76DA4"/>
    <w:rsid w:val="00B76E19"/>
    <w:rsid w:val="00B770F2"/>
    <w:rsid w:val="00B771CB"/>
    <w:rsid w:val="00B77939"/>
    <w:rsid w:val="00B77A0E"/>
    <w:rsid w:val="00B77A5E"/>
    <w:rsid w:val="00B77ADB"/>
    <w:rsid w:val="00B77B9F"/>
    <w:rsid w:val="00B77BE5"/>
    <w:rsid w:val="00B77D8C"/>
    <w:rsid w:val="00B77DE3"/>
    <w:rsid w:val="00B801BB"/>
    <w:rsid w:val="00B80390"/>
    <w:rsid w:val="00B803E2"/>
    <w:rsid w:val="00B80736"/>
    <w:rsid w:val="00B807A7"/>
    <w:rsid w:val="00B80888"/>
    <w:rsid w:val="00B8091D"/>
    <w:rsid w:val="00B80AB0"/>
    <w:rsid w:val="00B80D1B"/>
    <w:rsid w:val="00B80E36"/>
    <w:rsid w:val="00B80EC5"/>
    <w:rsid w:val="00B80F97"/>
    <w:rsid w:val="00B81050"/>
    <w:rsid w:val="00B8116F"/>
    <w:rsid w:val="00B81687"/>
    <w:rsid w:val="00B81949"/>
    <w:rsid w:val="00B81FCF"/>
    <w:rsid w:val="00B821CE"/>
    <w:rsid w:val="00B8234F"/>
    <w:rsid w:val="00B823E8"/>
    <w:rsid w:val="00B8245E"/>
    <w:rsid w:val="00B82F4E"/>
    <w:rsid w:val="00B83010"/>
    <w:rsid w:val="00B83104"/>
    <w:rsid w:val="00B8322F"/>
    <w:rsid w:val="00B832C2"/>
    <w:rsid w:val="00B834A8"/>
    <w:rsid w:val="00B8376A"/>
    <w:rsid w:val="00B83A50"/>
    <w:rsid w:val="00B83B4F"/>
    <w:rsid w:val="00B83D77"/>
    <w:rsid w:val="00B83F1E"/>
    <w:rsid w:val="00B83FB4"/>
    <w:rsid w:val="00B842BC"/>
    <w:rsid w:val="00B8440B"/>
    <w:rsid w:val="00B844A5"/>
    <w:rsid w:val="00B844EA"/>
    <w:rsid w:val="00B84B03"/>
    <w:rsid w:val="00B84B5B"/>
    <w:rsid w:val="00B84BB7"/>
    <w:rsid w:val="00B84CCC"/>
    <w:rsid w:val="00B850E3"/>
    <w:rsid w:val="00B851D1"/>
    <w:rsid w:val="00B854F2"/>
    <w:rsid w:val="00B854F6"/>
    <w:rsid w:val="00B86103"/>
    <w:rsid w:val="00B8616A"/>
    <w:rsid w:val="00B86415"/>
    <w:rsid w:val="00B86439"/>
    <w:rsid w:val="00B86459"/>
    <w:rsid w:val="00B8652A"/>
    <w:rsid w:val="00B867A9"/>
    <w:rsid w:val="00B8682E"/>
    <w:rsid w:val="00B86846"/>
    <w:rsid w:val="00B86B48"/>
    <w:rsid w:val="00B879EF"/>
    <w:rsid w:val="00B87A5D"/>
    <w:rsid w:val="00B87A75"/>
    <w:rsid w:val="00B87C88"/>
    <w:rsid w:val="00B87D06"/>
    <w:rsid w:val="00B87FD9"/>
    <w:rsid w:val="00B8CF53"/>
    <w:rsid w:val="00B901D9"/>
    <w:rsid w:val="00B901E8"/>
    <w:rsid w:val="00B90258"/>
    <w:rsid w:val="00B902C2"/>
    <w:rsid w:val="00B90311"/>
    <w:rsid w:val="00B905D7"/>
    <w:rsid w:val="00B907EF"/>
    <w:rsid w:val="00B9090C"/>
    <w:rsid w:val="00B909E2"/>
    <w:rsid w:val="00B90A37"/>
    <w:rsid w:val="00B9145A"/>
    <w:rsid w:val="00B914F8"/>
    <w:rsid w:val="00B915AB"/>
    <w:rsid w:val="00B91659"/>
    <w:rsid w:val="00B916E5"/>
    <w:rsid w:val="00B91749"/>
    <w:rsid w:val="00B91B51"/>
    <w:rsid w:val="00B91CB2"/>
    <w:rsid w:val="00B91E15"/>
    <w:rsid w:val="00B924B3"/>
    <w:rsid w:val="00B924C3"/>
    <w:rsid w:val="00B928E1"/>
    <w:rsid w:val="00B9297E"/>
    <w:rsid w:val="00B92E1B"/>
    <w:rsid w:val="00B92F67"/>
    <w:rsid w:val="00B93265"/>
    <w:rsid w:val="00B93364"/>
    <w:rsid w:val="00B9343B"/>
    <w:rsid w:val="00B9365D"/>
    <w:rsid w:val="00B936EE"/>
    <w:rsid w:val="00B9370F"/>
    <w:rsid w:val="00B93852"/>
    <w:rsid w:val="00B93B37"/>
    <w:rsid w:val="00B93CAF"/>
    <w:rsid w:val="00B93E80"/>
    <w:rsid w:val="00B94030"/>
    <w:rsid w:val="00B94354"/>
    <w:rsid w:val="00B94980"/>
    <w:rsid w:val="00B949B5"/>
    <w:rsid w:val="00B94CB4"/>
    <w:rsid w:val="00B94E13"/>
    <w:rsid w:val="00B94F3D"/>
    <w:rsid w:val="00B9569E"/>
    <w:rsid w:val="00B956A6"/>
    <w:rsid w:val="00B956EC"/>
    <w:rsid w:val="00B9570C"/>
    <w:rsid w:val="00B957FA"/>
    <w:rsid w:val="00B95A05"/>
    <w:rsid w:val="00B95A4A"/>
    <w:rsid w:val="00B95A6F"/>
    <w:rsid w:val="00B95B22"/>
    <w:rsid w:val="00B95C61"/>
    <w:rsid w:val="00B95DFD"/>
    <w:rsid w:val="00B95F51"/>
    <w:rsid w:val="00B96023"/>
    <w:rsid w:val="00B961AE"/>
    <w:rsid w:val="00B962AF"/>
    <w:rsid w:val="00B963A3"/>
    <w:rsid w:val="00B965D4"/>
    <w:rsid w:val="00B96633"/>
    <w:rsid w:val="00B96DEA"/>
    <w:rsid w:val="00B96E69"/>
    <w:rsid w:val="00B96FE5"/>
    <w:rsid w:val="00B9724A"/>
    <w:rsid w:val="00B974B4"/>
    <w:rsid w:val="00B97A3C"/>
    <w:rsid w:val="00B97BA6"/>
    <w:rsid w:val="00B97C53"/>
    <w:rsid w:val="00B97CDA"/>
    <w:rsid w:val="00B9ED55"/>
    <w:rsid w:val="00BA030E"/>
    <w:rsid w:val="00BA0335"/>
    <w:rsid w:val="00BA06B2"/>
    <w:rsid w:val="00BA06C8"/>
    <w:rsid w:val="00BA077D"/>
    <w:rsid w:val="00BA08AD"/>
    <w:rsid w:val="00BA09EF"/>
    <w:rsid w:val="00BA0B67"/>
    <w:rsid w:val="00BA0CA8"/>
    <w:rsid w:val="00BA0D62"/>
    <w:rsid w:val="00BA0F28"/>
    <w:rsid w:val="00BA16C5"/>
    <w:rsid w:val="00BA17A5"/>
    <w:rsid w:val="00BA1C86"/>
    <w:rsid w:val="00BA1CFC"/>
    <w:rsid w:val="00BA1EEC"/>
    <w:rsid w:val="00BA1F77"/>
    <w:rsid w:val="00BA23E7"/>
    <w:rsid w:val="00BA2458"/>
    <w:rsid w:val="00BA267B"/>
    <w:rsid w:val="00BA27AF"/>
    <w:rsid w:val="00BA2978"/>
    <w:rsid w:val="00BA2A56"/>
    <w:rsid w:val="00BA2AB4"/>
    <w:rsid w:val="00BA2BFD"/>
    <w:rsid w:val="00BA2C12"/>
    <w:rsid w:val="00BA2C17"/>
    <w:rsid w:val="00BA2E2D"/>
    <w:rsid w:val="00BA3325"/>
    <w:rsid w:val="00BA3416"/>
    <w:rsid w:val="00BA3584"/>
    <w:rsid w:val="00BA371C"/>
    <w:rsid w:val="00BA393E"/>
    <w:rsid w:val="00BA394A"/>
    <w:rsid w:val="00BA3A83"/>
    <w:rsid w:val="00BA3BB5"/>
    <w:rsid w:val="00BA3CD1"/>
    <w:rsid w:val="00BA4173"/>
    <w:rsid w:val="00BA48F7"/>
    <w:rsid w:val="00BA4E4C"/>
    <w:rsid w:val="00BA4F21"/>
    <w:rsid w:val="00BA5022"/>
    <w:rsid w:val="00BA5063"/>
    <w:rsid w:val="00BA5607"/>
    <w:rsid w:val="00BA5863"/>
    <w:rsid w:val="00BA586E"/>
    <w:rsid w:val="00BA5AB5"/>
    <w:rsid w:val="00BA5F90"/>
    <w:rsid w:val="00BA5FE1"/>
    <w:rsid w:val="00BA60E7"/>
    <w:rsid w:val="00BA6155"/>
    <w:rsid w:val="00BA6259"/>
    <w:rsid w:val="00BA631E"/>
    <w:rsid w:val="00BA63E3"/>
    <w:rsid w:val="00BA671A"/>
    <w:rsid w:val="00BA6961"/>
    <w:rsid w:val="00BA70A6"/>
    <w:rsid w:val="00BA70A7"/>
    <w:rsid w:val="00BA71F4"/>
    <w:rsid w:val="00BA723B"/>
    <w:rsid w:val="00BA7250"/>
    <w:rsid w:val="00BA725B"/>
    <w:rsid w:val="00BA72D8"/>
    <w:rsid w:val="00BA795B"/>
    <w:rsid w:val="00BAD565"/>
    <w:rsid w:val="00BAF05C"/>
    <w:rsid w:val="00BB0249"/>
    <w:rsid w:val="00BB0269"/>
    <w:rsid w:val="00BB068B"/>
    <w:rsid w:val="00BB06D1"/>
    <w:rsid w:val="00BB0ACB"/>
    <w:rsid w:val="00BB0BBD"/>
    <w:rsid w:val="00BB0C02"/>
    <w:rsid w:val="00BB0C74"/>
    <w:rsid w:val="00BB0CC1"/>
    <w:rsid w:val="00BB0E9F"/>
    <w:rsid w:val="00BB0EE7"/>
    <w:rsid w:val="00BB123C"/>
    <w:rsid w:val="00BB1303"/>
    <w:rsid w:val="00BB144A"/>
    <w:rsid w:val="00BB14FF"/>
    <w:rsid w:val="00BB1502"/>
    <w:rsid w:val="00BB15EB"/>
    <w:rsid w:val="00BB188E"/>
    <w:rsid w:val="00BB1C8A"/>
    <w:rsid w:val="00BB1CB4"/>
    <w:rsid w:val="00BB1CEF"/>
    <w:rsid w:val="00BB1EA9"/>
    <w:rsid w:val="00BB1EF1"/>
    <w:rsid w:val="00BB2054"/>
    <w:rsid w:val="00BB2382"/>
    <w:rsid w:val="00BB27B8"/>
    <w:rsid w:val="00BB27E2"/>
    <w:rsid w:val="00BB29A4"/>
    <w:rsid w:val="00BB2B04"/>
    <w:rsid w:val="00BB2D46"/>
    <w:rsid w:val="00BB2FE7"/>
    <w:rsid w:val="00BB31C3"/>
    <w:rsid w:val="00BB32D4"/>
    <w:rsid w:val="00BB3329"/>
    <w:rsid w:val="00BB34B7"/>
    <w:rsid w:val="00BB3508"/>
    <w:rsid w:val="00BB35CA"/>
    <w:rsid w:val="00BB39C9"/>
    <w:rsid w:val="00BB3E41"/>
    <w:rsid w:val="00BB3E9F"/>
    <w:rsid w:val="00BB4289"/>
    <w:rsid w:val="00BB4290"/>
    <w:rsid w:val="00BB4645"/>
    <w:rsid w:val="00BB4832"/>
    <w:rsid w:val="00BB4B34"/>
    <w:rsid w:val="00BB53BF"/>
    <w:rsid w:val="00BB5A05"/>
    <w:rsid w:val="00BB5C5B"/>
    <w:rsid w:val="00BB5D7B"/>
    <w:rsid w:val="00BB5E07"/>
    <w:rsid w:val="00BB5E15"/>
    <w:rsid w:val="00BB5E44"/>
    <w:rsid w:val="00BB5E76"/>
    <w:rsid w:val="00BB5FE8"/>
    <w:rsid w:val="00BB6041"/>
    <w:rsid w:val="00BB60CF"/>
    <w:rsid w:val="00BB61B7"/>
    <w:rsid w:val="00BB6440"/>
    <w:rsid w:val="00BB65A8"/>
    <w:rsid w:val="00BB660B"/>
    <w:rsid w:val="00BB6622"/>
    <w:rsid w:val="00BB6743"/>
    <w:rsid w:val="00BB6822"/>
    <w:rsid w:val="00BB6925"/>
    <w:rsid w:val="00BB6B3E"/>
    <w:rsid w:val="00BB6F3B"/>
    <w:rsid w:val="00BB703B"/>
    <w:rsid w:val="00BB7148"/>
    <w:rsid w:val="00BB72D2"/>
    <w:rsid w:val="00BB72F6"/>
    <w:rsid w:val="00BB7385"/>
    <w:rsid w:val="00BB7ADE"/>
    <w:rsid w:val="00BB7C9B"/>
    <w:rsid w:val="00BB7E2B"/>
    <w:rsid w:val="00BB7E53"/>
    <w:rsid w:val="00BC0026"/>
    <w:rsid w:val="00BC0660"/>
    <w:rsid w:val="00BC0890"/>
    <w:rsid w:val="00BC0BE3"/>
    <w:rsid w:val="00BC0C1F"/>
    <w:rsid w:val="00BC0E14"/>
    <w:rsid w:val="00BC0F65"/>
    <w:rsid w:val="00BC10C2"/>
    <w:rsid w:val="00BC1248"/>
    <w:rsid w:val="00BC148C"/>
    <w:rsid w:val="00BC1588"/>
    <w:rsid w:val="00BC161E"/>
    <w:rsid w:val="00BC164E"/>
    <w:rsid w:val="00BC168D"/>
    <w:rsid w:val="00BC17CF"/>
    <w:rsid w:val="00BC1932"/>
    <w:rsid w:val="00BC193F"/>
    <w:rsid w:val="00BC1ABB"/>
    <w:rsid w:val="00BC1D5E"/>
    <w:rsid w:val="00BC1E4B"/>
    <w:rsid w:val="00BC2340"/>
    <w:rsid w:val="00BC2379"/>
    <w:rsid w:val="00BC265E"/>
    <w:rsid w:val="00BC2924"/>
    <w:rsid w:val="00BC2BDB"/>
    <w:rsid w:val="00BC2CE0"/>
    <w:rsid w:val="00BC2CF6"/>
    <w:rsid w:val="00BC2DD3"/>
    <w:rsid w:val="00BC3630"/>
    <w:rsid w:val="00BC3716"/>
    <w:rsid w:val="00BC3814"/>
    <w:rsid w:val="00BC3A9F"/>
    <w:rsid w:val="00BC3CA6"/>
    <w:rsid w:val="00BC3D6F"/>
    <w:rsid w:val="00BC3EDC"/>
    <w:rsid w:val="00BC40EB"/>
    <w:rsid w:val="00BC40ED"/>
    <w:rsid w:val="00BC4BB7"/>
    <w:rsid w:val="00BC5180"/>
    <w:rsid w:val="00BC51D6"/>
    <w:rsid w:val="00BC5312"/>
    <w:rsid w:val="00BC5486"/>
    <w:rsid w:val="00BC548B"/>
    <w:rsid w:val="00BC54DF"/>
    <w:rsid w:val="00BC589F"/>
    <w:rsid w:val="00BC5AE3"/>
    <w:rsid w:val="00BC5AFE"/>
    <w:rsid w:val="00BC5EAF"/>
    <w:rsid w:val="00BC62B7"/>
    <w:rsid w:val="00BC6533"/>
    <w:rsid w:val="00BC6601"/>
    <w:rsid w:val="00BC672C"/>
    <w:rsid w:val="00BC68CE"/>
    <w:rsid w:val="00BC6997"/>
    <w:rsid w:val="00BC6BEB"/>
    <w:rsid w:val="00BC6C44"/>
    <w:rsid w:val="00BC6D92"/>
    <w:rsid w:val="00BC6FFB"/>
    <w:rsid w:val="00BC70D4"/>
    <w:rsid w:val="00BC7421"/>
    <w:rsid w:val="00BC772B"/>
    <w:rsid w:val="00BC78D7"/>
    <w:rsid w:val="00BC7A89"/>
    <w:rsid w:val="00BC7AB5"/>
    <w:rsid w:val="00BC7B91"/>
    <w:rsid w:val="00BC7C0A"/>
    <w:rsid w:val="00BC7D5A"/>
    <w:rsid w:val="00BC7DFA"/>
    <w:rsid w:val="00BD0166"/>
    <w:rsid w:val="00BD0272"/>
    <w:rsid w:val="00BD0280"/>
    <w:rsid w:val="00BD04CE"/>
    <w:rsid w:val="00BD0553"/>
    <w:rsid w:val="00BD0645"/>
    <w:rsid w:val="00BD06B7"/>
    <w:rsid w:val="00BD0902"/>
    <w:rsid w:val="00BD094F"/>
    <w:rsid w:val="00BD0A08"/>
    <w:rsid w:val="00BD0C28"/>
    <w:rsid w:val="00BD0D48"/>
    <w:rsid w:val="00BD0ED0"/>
    <w:rsid w:val="00BD0F60"/>
    <w:rsid w:val="00BD1089"/>
    <w:rsid w:val="00BD12ED"/>
    <w:rsid w:val="00BD1469"/>
    <w:rsid w:val="00BD15E4"/>
    <w:rsid w:val="00BD16E1"/>
    <w:rsid w:val="00BD17DE"/>
    <w:rsid w:val="00BD1A11"/>
    <w:rsid w:val="00BD1A72"/>
    <w:rsid w:val="00BD1B61"/>
    <w:rsid w:val="00BD1DA5"/>
    <w:rsid w:val="00BD1F6E"/>
    <w:rsid w:val="00BD23AC"/>
    <w:rsid w:val="00BD260B"/>
    <w:rsid w:val="00BD28BD"/>
    <w:rsid w:val="00BD2ABC"/>
    <w:rsid w:val="00BD2B76"/>
    <w:rsid w:val="00BD2C20"/>
    <w:rsid w:val="00BD3896"/>
    <w:rsid w:val="00BD38DA"/>
    <w:rsid w:val="00BD3A34"/>
    <w:rsid w:val="00BD3C5C"/>
    <w:rsid w:val="00BD41FD"/>
    <w:rsid w:val="00BD436A"/>
    <w:rsid w:val="00BD4846"/>
    <w:rsid w:val="00BD4C17"/>
    <w:rsid w:val="00BD4EFE"/>
    <w:rsid w:val="00BD4F31"/>
    <w:rsid w:val="00BD5105"/>
    <w:rsid w:val="00BD5111"/>
    <w:rsid w:val="00BD525D"/>
    <w:rsid w:val="00BD5565"/>
    <w:rsid w:val="00BD5588"/>
    <w:rsid w:val="00BD585B"/>
    <w:rsid w:val="00BD589E"/>
    <w:rsid w:val="00BD5CC2"/>
    <w:rsid w:val="00BD5F55"/>
    <w:rsid w:val="00BD635A"/>
    <w:rsid w:val="00BD653F"/>
    <w:rsid w:val="00BD65F1"/>
    <w:rsid w:val="00BD6680"/>
    <w:rsid w:val="00BD677A"/>
    <w:rsid w:val="00BD67A4"/>
    <w:rsid w:val="00BD67E8"/>
    <w:rsid w:val="00BD6886"/>
    <w:rsid w:val="00BD6929"/>
    <w:rsid w:val="00BD69D8"/>
    <w:rsid w:val="00BD6D70"/>
    <w:rsid w:val="00BD6E0E"/>
    <w:rsid w:val="00BD7025"/>
    <w:rsid w:val="00BD7604"/>
    <w:rsid w:val="00BD796D"/>
    <w:rsid w:val="00BD7BD4"/>
    <w:rsid w:val="00BD7C82"/>
    <w:rsid w:val="00BD7DD7"/>
    <w:rsid w:val="00BD7E53"/>
    <w:rsid w:val="00BE0602"/>
    <w:rsid w:val="00BE081D"/>
    <w:rsid w:val="00BE087B"/>
    <w:rsid w:val="00BE08F5"/>
    <w:rsid w:val="00BE0AB7"/>
    <w:rsid w:val="00BE123E"/>
    <w:rsid w:val="00BE14A4"/>
    <w:rsid w:val="00BE17B3"/>
    <w:rsid w:val="00BE1820"/>
    <w:rsid w:val="00BE1A04"/>
    <w:rsid w:val="00BE1ABD"/>
    <w:rsid w:val="00BE1AC3"/>
    <w:rsid w:val="00BE1C98"/>
    <w:rsid w:val="00BE1CC9"/>
    <w:rsid w:val="00BE1DF9"/>
    <w:rsid w:val="00BE1ECD"/>
    <w:rsid w:val="00BE1F93"/>
    <w:rsid w:val="00BE2197"/>
    <w:rsid w:val="00BE25B7"/>
    <w:rsid w:val="00BE26B5"/>
    <w:rsid w:val="00BE290F"/>
    <w:rsid w:val="00BE2AB1"/>
    <w:rsid w:val="00BE2B4A"/>
    <w:rsid w:val="00BE2B64"/>
    <w:rsid w:val="00BE2BDA"/>
    <w:rsid w:val="00BE2D1D"/>
    <w:rsid w:val="00BE2E85"/>
    <w:rsid w:val="00BE31AC"/>
    <w:rsid w:val="00BE31AE"/>
    <w:rsid w:val="00BE32BB"/>
    <w:rsid w:val="00BE386E"/>
    <w:rsid w:val="00BE3D87"/>
    <w:rsid w:val="00BE3E29"/>
    <w:rsid w:val="00BE3F17"/>
    <w:rsid w:val="00BE4360"/>
    <w:rsid w:val="00BE4449"/>
    <w:rsid w:val="00BE4562"/>
    <w:rsid w:val="00BE4616"/>
    <w:rsid w:val="00BE477A"/>
    <w:rsid w:val="00BE48B3"/>
    <w:rsid w:val="00BE48CE"/>
    <w:rsid w:val="00BE4B0D"/>
    <w:rsid w:val="00BE50EE"/>
    <w:rsid w:val="00BE5486"/>
    <w:rsid w:val="00BE554C"/>
    <w:rsid w:val="00BE5615"/>
    <w:rsid w:val="00BE572F"/>
    <w:rsid w:val="00BE59B8"/>
    <w:rsid w:val="00BE59EE"/>
    <w:rsid w:val="00BE5A41"/>
    <w:rsid w:val="00BE5D06"/>
    <w:rsid w:val="00BE5E9F"/>
    <w:rsid w:val="00BE6141"/>
    <w:rsid w:val="00BE6552"/>
    <w:rsid w:val="00BE6900"/>
    <w:rsid w:val="00BE6928"/>
    <w:rsid w:val="00BE6A74"/>
    <w:rsid w:val="00BE6EE4"/>
    <w:rsid w:val="00BE71B1"/>
    <w:rsid w:val="00BE730F"/>
    <w:rsid w:val="00BE73EC"/>
    <w:rsid w:val="00BE74DB"/>
    <w:rsid w:val="00BE7662"/>
    <w:rsid w:val="00BE77FD"/>
    <w:rsid w:val="00BE7949"/>
    <w:rsid w:val="00BE7C8D"/>
    <w:rsid w:val="00BE7D2D"/>
    <w:rsid w:val="00BE7E70"/>
    <w:rsid w:val="00BF0056"/>
    <w:rsid w:val="00BF0100"/>
    <w:rsid w:val="00BF0325"/>
    <w:rsid w:val="00BF055A"/>
    <w:rsid w:val="00BF0563"/>
    <w:rsid w:val="00BF0812"/>
    <w:rsid w:val="00BF0893"/>
    <w:rsid w:val="00BF0974"/>
    <w:rsid w:val="00BF0D5B"/>
    <w:rsid w:val="00BF0D7D"/>
    <w:rsid w:val="00BF0E46"/>
    <w:rsid w:val="00BF0FB5"/>
    <w:rsid w:val="00BF1048"/>
    <w:rsid w:val="00BF1212"/>
    <w:rsid w:val="00BF13A2"/>
    <w:rsid w:val="00BF13AE"/>
    <w:rsid w:val="00BF15AA"/>
    <w:rsid w:val="00BF1628"/>
    <w:rsid w:val="00BF16B3"/>
    <w:rsid w:val="00BF1AE9"/>
    <w:rsid w:val="00BF201A"/>
    <w:rsid w:val="00BF26EB"/>
    <w:rsid w:val="00BF2DE8"/>
    <w:rsid w:val="00BF31BB"/>
    <w:rsid w:val="00BF34C0"/>
    <w:rsid w:val="00BF35A9"/>
    <w:rsid w:val="00BF35DB"/>
    <w:rsid w:val="00BF3BB3"/>
    <w:rsid w:val="00BF3E6E"/>
    <w:rsid w:val="00BF3FA5"/>
    <w:rsid w:val="00BF40B8"/>
    <w:rsid w:val="00BF4144"/>
    <w:rsid w:val="00BF421B"/>
    <w:rsid w:val="00BF4329"/>
    <w:rsid w:val="00BF4339"/>
    <w:rsid w:val="00BF47A2"/>
    <w:rsid w:val="00BF491F"/>
    <w:rsid w:val="00BF494D"/>
    <w:rsid w:val="00BF4C7C"/>
    <w:rsid w:val="00BF4E29"/>
    <w:rsid w:val="00BF4E43"/>
    <w:rsid w:val="00BF4E69"/>
    <w:rsid w:val="00BF4EA2"/>
    <w:rsid w:val="00BF4ECE"/>
    <w:rsid w:val="00BF5502"/>
    <w:rsid w:val="00BF57BC"/>
    <w:rsid w:val="00BF586E"/>
    <w:rsid w:val="00BF5A39"/>
    <w:rsid w:val="00BF603C"/>
    <w:rsid w:val="00BF621A"/>
    <w:rsid w:val="00BF66FB"/>
    <w:rsid w:val="00BF6739"/>
    <w:rsid w:val="00BF68CC"/>
    <w:rsid w:val="00BF6D72"/>
    <w:rsid w:val="00BF723A"/>
    <w:rsid w:val="00BF7316"/>
    <w:rsid w:val="00BF74ED"/>
    <w:rsid w:val="00BF76FD"/>
    <w:rsid w:val="00BF7740"/>
    <w:rsid w:val="00BF7ACC"/>
    <w:rsid w:val="00BF7D42"/>
    <w:rsid w:val="00BF9576"/>
    <w:rsid w:val="00C00478"/>
    <w:rsid w:val="00C0069C"/>
    <w:rsid w:val="00C0096F"/>
    <w:rsid w:val="00C00CFB"/>
    <w:rsid w:val="00C00D8C"/>
    <w:rsid w:val="00C00DEB"/>
    <w:rsid w:val="00C00ED3"/>
    <w:rsid w:val="00C0144A"/>
    <w:rsid w:val="00C01458"/>
    <w:rsid w:val="00C014C3"/>
    <w:rsid w:val="00C01547"/>
    <w:rsid w:val="00C0192F"/>
    <w:rsid w:val="00C019F9"/>
    <w:rsid w:val="00C01A3D"/>
    <w:rsid w:val="00C01B63"/>
    <w:rsid w:val="00C01C6D"/>
    <w:rsid w:val="00C01D24"/>
    <w:rsid w:val="00C0202F"/>
    <w:rsid w:val="00C0208B"/>
    <w:rsid w:val="00C02371"/>
    <w:rsid w:val="00C02A3C"/>
    <w:rsid w:val="00C02BA2"/>
    <w:rsid w:val="00C02D34"/>
    <w:rsid w:val="00C02E43"/>
    <w:rsid w:val="00C02E97"/>
    <w:rsid w:val="00C02F64"/>
    <w:rsid w:val="00C030DC"/>
    <w:rsid w:val="00C0330A"/>
    <w:rsid w:val="00C03461"/>
    <w:rsid w:val="00C03C1C"/>
    <w:rsid w:val="00C03D8A"/>
    <w:rsid w:val="00C03E25"/>
    <w:rsid w:val="00C04327"/>
    <w:rsid w:val="00C043CB"/>
    <w:rsid w:val="00C04421"/>
    <w:rsid w:val="00C044E8"/>
    <w:rsid w:val="00C04A0F"/>
    <w:rsid w:val="00C04B65"/>
    <w:rsid w:val="00C04C7B"/>
    <w:rsid w:val="00C04C99"/>
    <w:rsid w:val="00C04CD0"/>
    <w:rsid w:val="00C0506F"/>
    <w:rsid w:val="00C053C8"/>
    <w:rsid w:val="00C054B0"/>
    <w:rsid w:val="00C05530"/>
    <w:rsid w:val="00C05713"/>
    <w:rsid w:val="00C05825"/>
    <w:rsid w:val="00C05876"/>
    <w:rsid w:val="00C05C99"/>
    <w:rsid w:val="00C06350"/>
    <w:rsid w:val="00C063D8"/>
    <w:rsid w:val="00C0668A"/>
    <w:rsid w:val="00C066BA"/>
    <w:rsid w:val="00C06D8F"/>
    <w:rsid w:val="00C06E01"/>
    <w:rsid w:val="00C07117"/>
    <w:rsid w:val="00C07611"/>
    <w:rsid w:val="00C0767F"/>
    <w:rsid w:val="00C07DB0"/>
    <w:rsid w:val="00C07ED9"/>
    <w:rsid w:val="00C10466"/>
    <w:rsid w:val="00C10610"/>
    <w:rsid w:val="00C109E7"/>
    <w:rsid w:val="00C10C33"/>
    <w:rsid w:val="00C10F59"/>
    <w:rsid w:val="00C11130"/>
    <w:rsid w:val="00C112AD"/>
    <w:rsid w:val="00C112C2"/>
    <w:rsid w:val="00C11301"/>
    <w:rsid w:val="00C11336"/>
    <w:rsid w:val="00C11538"/>
    <w:rsid w:val="00C11597"/>
    <w:rsid w:val="00C1175C"/>
    <w:rsid w:val="00C117A0"/>
    <w:rsid w:val="00C119F7"/>
    <w:rsid w:val="00C120EB"/>
    <w:rsid w:val="00C122A1"/>
    <w:rsid w:val="00C125C7"/>
    <w:rsid w:val="00C12AB9"/>
    <w:rsid w:val="00C12BF9"/>
    <w:rsid w:val="00C12F83"/>
    <w:rsid w:val="00C12FEF"/>
    <w:rsid w:val="00C1329A"/>
    <w:rsid w:val="00C13472"/>
    <w:rsid w:val="00C13514"/>
    <w:rsid w:val="00C13953"/>
    <w:rsid w:val="00C13B7E"/>
    <w:rsid w:val="00C13B88"/>
    <w:rsid w:val="00C14332"/>
    <w:rsid w:val="00C1437A"/>
    <w:rsid w:val="00C14462"/>
    <w:rsid w:val="00C14496"/>
    <w:rsid w:val="00C144ED"/>
    <w:rsid w:val="00C148E5"/>
    <w:rsid w:val="00C14D32"/>
    <w:rsid w:val="00C14E73"/>
    <w:rsid w:val="00C14EAA"/>
    <w:rsid w:val="00C14EBA"/>
    <w:rsid w:val="00C14FC4"/>
    <w:rsid w:val="00C15598"/>
    <w:rsid w:val="00C155FA"/>
    <w:rsid w:val="00C157D3"/>
    <w:rsid w:val="00C15B1B"/>
    <w:rsid w:val="00C15C7B"/>
    <w:rsid w:val="00C15CC6"/>
    <w:rsid w:val="00C15DD1"/>
    <w:rsid w:val="00C15DE5"/>
    <w:rsid w:val="00C160B5"/>
    <w:rsid w:val="00C161F6"/>
    <w:rsid w:val="00C16256"/>
    <w:rsid w:val="00C16287"/>
    <w:rsid w:val="00C16479"/>
    <w:rsid w:val="00C169E7"/>
    <w:rsid w:val="00C16E11"/>
    <w:rsid w:val="00C16E95"/>
    <w:rsid w:val="00C171C4"/>
    <w:rsid w:val="00C17218"/>
    <w:rsid w:val="00C172A3"/>
    <w:rsid w:val="00C1776E"/>
    <w:rsid w:val="00C17B4A"/>
    <w:rsid w:val="00C17BD2"/>
    <w:rsid w:val="00C17BEF"/>
    <w:rsid w:val="00C17BF7"/>
    <w:rsid w:val="00C17C18"/>
    <w:rsid w:val="00C17FFB"/>
    <w:rsid w:val="00C20007"/>
    <w:rsid w:val="00C203DC"/>
    <w:rsid w:val="00C204F0"/>
    <w:rsid w:val="00C20910"/>
    <w:rsid w:val="00C20ACB"/>
    <w:rsid w:val="00C20B2A"/>
    <w:rsid w:val="00C20C44"/>
    <w:rsid w:val="00C20C50"/>
    <w:rsid w:val="00C20CF2"/>
    <w:rsid w:val="00C210EF"/>
    <w:rsid w:val="00C21374"/>
    <w:rsid w:val="00C2148D"/>
    <w:rsid w:val="00C216B3"/>
    <w:rsid w:val="00C21751"/>
    <w:rsid w:val="00C21BCD"/>
    <w:rsid w:val="00C21F14"/>
    <w:rsid w:val="00C220BE"/>
    <w:rsid w:val="00C22370"/>
    <w:rsid w:val="00C2287D"/>
    <w:rsid w:val="00C22AA4"/>
    <w:rsid w:val="00C22AC9"/>
    <w:rsid w:val="00C22E16"/>
    <w:rsid w:val="00C237AB"/>
    <w:rsid w:val="00C237C8"/>
    <w:rsid w:val="00C23A3F"/>
    <w:rsid w:val="00C23A90"/>
    <w:rsid w:val="00C23A91"/>
    <w:rsid w:val="00C23C49"/>
    <w:rsid w:val="00C23F6B"/>
    <w:rsid w:val="00C2444B"/>
    <w:rsid w:val="00C24623"/>
    <w:rsid w:val="00C24822"/>
    <w:rsid w:val="00C24A1A"/>
    <w:rsid w:val="00C24CF8"/>
    <w:rsid w:val="00C24EB3"/>
    <w:rsid w:val="00C24EB7"/>
    <w:rsid w:val="00C25027"/>
    <w:rsid w:val="00C2512A"/>
    <w:rsid w:val="00C25306"/>
    <w:rsid w:val="00C25331"/>
    <w:rsid w:val="00C25429"/>
    <w:rsid w:val="00C2548C"/>
    <w:rsid w:val="00C25624"/>
    <w:rsid w:val="00C2564D"/>
    <w:rsid w:val="00C25839"/>
    <w:rsid w:val="00C258C2"/>
    <w:rsid w:val="00C25A0D"/>
    <w:rsid w:val="00C25C49"/>
    <w:rsid w:val="00C2613E"/>
    <w:rsid w:val="00C26511"/>
    <w:rsid w:val="00C26528"/>
    <w:rsid w:val="00C2655D"/>
    <w:rsid w:val="00C2677D"/>
    <w:rsid w:val="00C268D2"/>
    <w:rsid w:val="00C26903"/>
    <w:rsid w:val="00C26B02"/>
    <w:rsid w:val="00C26C13"/>
    <w:rsid w:val="00C26CAA"/>
    <w:rsid w:val="00C26D7F"/>
    <w:rsid w:val="00C26D9C"/>
    <w:rsid w:val="00C26DED"/>
    <w:rsid w:val="00C26EBF"/>
    <w:rsid w:val="00C270CB"/>
    <w:rsid w:val="00C271BA"/>
    <w:rsid w:val="00C27246"/>
    <w:rsid w:val="00C278BB"/>
    <w:rsid w:val="00C27BF0"/>
    <w:rsid w:val="00C27C2E"/>
    <w:rsid w:val="00C27DE8"/>
    <w:rsid w:val="00C2D5DC"/>
    <w:rsid w:val="00C302BC"/>
    <w:rsid w:val="00C30533"/>
    <w:rsid w:val="00C3071C"/>
    <w:rsid w:val="00C308A2"/>
    <w:rsid w:val="00C30DC6"/>
    <w:rsid w:val="00C30FE9"/>
    <w:rsid w:val="00C31261"/>
    <w:rsid w:val="00C3192A"/>
    <w:rsid w:val="00C31A87"/>
    <w:rsid w:val="00C31E72"/>
    <w:rsid w:val="00C31FE6"/>
    <w:rsid w:val="00C327E5"/>
    <w:rsid w:val="00C3288C"/>
    <w:rsid w:val="00C32969"/>
    <w:rsid w:val="00C32B6E"/>
    <w:rsid w:val="00C32CF3"/>
    <w:rsid w:val="00C33453"/>
    <w:rsid w:val="00C33552"/>
    <w:rsid w:val="00C33704"/>
    <w:rsid w:val="00C33FDD"/>
    <w:rsid w:val="00C342D1"/>
    <w:rsid w:val="00C34B0C"/>
    <w:rsid w:val="00C34F0F"/>
    <w:rsid w:val="00C354FD"/>
    <w:rsid w:val="00C3573F"/>
    <w:rsid w:val="00C35939"/>
    <w:rsid w:val="00C361AD"/>
    <w:rsid w:val="00C36485"/>
    <w:rsid w:val="00C367C4"/>
    <w:rsid w:val="00C36857"/>
    <w:rsid w:val="00C36AFE"/>
    <w:rsid w:val="00C371DE"/>
    <w:rsid w:val="00C37283"/>
    <w:rsid w:val="00C3764D"/>
    <w:rsid w:val="00C379B1"/>
    <w:rsid w:val="00C37AA0"/>
    <w:rsid w:val="00C37BC1"/>
    <w:rsid w:val="00C37CDA"/>
    <w:rsid w:val="00C37E57"/>
    <w:rsid w:val="00C40023"/>
    <w:rsid w:val="00C402B7"/>
    <w:rsid w:val="00C40791"/>
    <w:rsid w:val="00C40A5C"/>
    <w:rsid w:val="00C40E0A"/>
    <w:rsid w:val="00C4117C"/>
    <w:rsid w:val="00C4149C"/>
    <w:rsid w:val="00C41594"/>
    <w:rsid w:val="00C4173F"/>
    <w:rsid w:val="00C41972"/>
    <w:rsid w:val="00C419C5"/>
    <w:rsid w:val="00C41A56"/>
    <w:rsid w:val="00C41C51"/>
    <w:rsid w:val="00C41DE7"/>
    <w:rsid w:val="00C41E34"/>
    <w:rsid w:val="00C41F6E"/>
    <w:rsid w:val="00C4202B"/>
    <w:rsid w:val="00C420A1"/>
    <w:rsid w:val="00C423CD"/>
    <w:rsid w:val="00C4240F"/>
    <w:rsid w:val="00C4247A"/>
    <w:rsid w:val="00C427C2"/>
    <w:rsid w:val="00C42929"/>
    <w:rsid w:val="00C42A32"/>
    <w:rsid w:val="00C42A8F"/>
    <w:rsid w:val="00C42D25"/>
    <w:rsid w:val="00C4307D"/>
    <w:rsid w:val="00C4317D"/>
    <w:rsid w:val="00C43239"/>
    <w:rsid w:val="00C433E6"/>
    <w:rsid w:val="00C43590"/>
    <w:rsid w:val="00C437FA"/>
    <w:rsid w:val="00C438FB"/>
    <w:rsid w:val="00C439A9"/>
    <w:rsid w:val="00C43A12"/>
    <w:rsid w:val="00C43BEA"/>
    <w:rsid w:val="00C43C8C"/>
    <w:rsid w:val="00C43D9B"/>
    <w:rsid w:val="00C43EFB"/>
    <w:rsid w:val="00C43FBE"/>
    <w:rsid w:val="00C442CA"/>
    <w:rsid w:val="00C44644"/>
    <w:rsid w:val="00C4471C"/>
    <w:rsid w:val="00C44C38"/>
    <w:rsid w:val="00C44E9D"/>
    <w:rsid w:val="00C45054"/>
    <w:rsid w:val="00C45364"/>
    <w:rsid w:val="00C4538C"/>
    <w:rsid w:val="00C453CB"/>
    <w:rsid w:val="00C454A3"/>
    <w:rsid w:val="00C4575B"/>
    <w:rsid w:val="00C45843"/>
    <w:rsid w:val="00C45872"/>
    <w:rsid w:val="00C45ABE"/>
    <w:rsid w:val="00C45B15"/>
    <w:rsid w:val="00C45CCE"/>
    <w:rsid w:val="00C46656"/>
    <w:rsid w:val="00C469B1"/>
    <w:rsid w:val="00C469C3"/>
    <w:rsid w:val="00C46DC9"/>
    <w:rsid w:val="00C47620"/>
    <w:rsid w:val="00C47AFA"/>
    <w:rsid w:val="00C47FE1"/>
    <w:rsid w:val="00C4C04B"/>
    <w:rsid w:val="00C4EDDA"/>
    <w:rsid w:val="00C5041B"/>
    <w:rsid w:val="00C504BF"/>
    <w:rsid w:val="00C50509"/>
    <w:rsid w:val="00C505F3"/>
    <w:rsid w:val="00C507D3"/>
    <w:rsid w:val="00C50902"/>
    <w:rsid w:val="00C50ADC"/>
    <w:rsid w:val="00C50DC8"/>
    <w:rsid w:val="00C50DFE"/>
    <w:rsid w:val="00C51247"/>
    <w:rsid w:val="00C51335"/>
    <w:rsid w:val="00C5152E"/>
    <w:rsid w:val="00C515F0"/>
    <w:rsid w:val="00C5197B"/>
    <w:rsid w:val="00C51F82"/>
    <w:rsid w:val="00C52312"/>
    <w:rsid w:val="00C52429"/>
    <w:rsid w:val="00C52476"/>
    <w:rsid w:val="00C525F9"/>
    <w:rsid w:val="00C528A9"/>
    <w:rsid w:val="00C52B02"/>
    <w:rsid w:val="00C52B46"/>
    <w:rsid w:val="00C52B8A"/>
    <w:rsid w:val="00C5348E"/>
    <w:rsid w:val="00C53690"/>
    <w:rsid w:val="00C5396A"/>
    <w:rsid w:val="00C5396B"/>
    <w:rsid w:val="00C53A41"/>
    <w:rsid w:val="00C53B7C"/>
    <w:rsid w:val="00C53C4B"/>
    <w:rsid w:val="00C53C97"/>
    <w:rsid w:val="00C53FED"/>
    <w:rsid w:val="00C54028"/>
    <w:rsid w:val="00C540B2"/>
    <w:rsid w:val="00C543D0"/>
    <w:rsid w:val="00C54492"/>
    <w:rsid w:val="00C546D8"/>
    <w:rsid w:val="00C5482D"/>
    <w:rsid w:val="00C549F0"/>
    <w:rsid w:val="00C54C6A"/>
    <w:rsid w:val="00C54C77"/>
    <w:rsid w:val="00C54DA2"/>
    <w:rsid w:val="00C5516E"/>
    <w:rsid w:val="00C55321"/>
    <w:rsid w:val="00C5542D"/>
    <w:rsid w:val="00C5549E"/>
    <w:rsid w:val="00C554F8"/>
    <w:rsid w:val="00C556DB"/>
    <w:rsid w:val="00C5580A"/>
    <w:rsid w:val="00C55FDE"/>
    <w:rsid w:val="00C56065"/>
    <w:rsid w:val="00C568A1"/>
    <w:rsid w:val="00C56B2B"/>
    <w:rsid w:val="00C56E45"/>
    <w:rsid w:val="00C57212"/>
    <w:rsid w:val="00C57670"/>
    <w:rsid w:val="00C577AB"/>
    <w:rsid w:val="00C57C37"/>
    <w:rsid w:val="00C57E74"/>
    <w:rsid w:val="00C57EF9"/>
    <w:rsid w:val="00C60314"/>
    <w:rsid w:val="00C60430"/>
    <w:rsid w:val="00C60562"/>
    <w:rsid w:val="00C6078C"/>
    <w:rsid w:val="00C60B0A"/>
    <w:rsid w:val="00C61158"/>
    <w:rsid w:val="00C61270"/>
    <w:rsid w:val="00C612D8"/>
    <w:rsid w:val="00C614F0"/>
    <w:rsid w:val="00C61723"/>
    <w:rsid w:val="00C6195D"/>
    <w:rsid w:val="00C61B66"/>
    <w:rsid w:val="00C61BC3"/>
    <w:rsid w:val="00C61C7B"/>
    <w:rsid w:val="00C61D01"/>
    <w:rsid w:val="00C62436"/>
    <w:rsid w:val="00C62467"/>
    <w:rsid w:val="00C625DA"/>
    <w:rsid w:val="00C627EB"/>
    <w:rsid w:val="00C629C4"/>
    <w:rsid w:val="00C62B8C"/>
    <w:rsid w:val="00C62D3D"/>
    <w:rsid w:val="00C6305B"/>
    <w:rsid w:val="00C632D8"/>
    <w:rsid w:val="00C634D8"/>
    <w:rsid w:val="00C6363B"/>
    <w:rsid w:val="00C636BF"/>
    <w:rsid w:val="00C636E2"/>
    <w:rsid w:val="00C63832"/>
    <w:rsid w:val="00C63E4D"/>
    <w:rsid w:val="00C63F04"/>
    <w:rsid w:val="00C63FE9"/>
    <w:rsid w:val="00C640FC"/>
    <w:rsid w:val="00C64738"/>
    <w:rsid w:val="00C6491F"/>
    <w:rsid w:val="00C649E7"/>
    <w:rsid w:val="00C64B63"/>
    <w:rsid w:val="00C64BE1"/>
    <w:rsid w:val="00C64E28"/>
    <w:rsid w:val="00C64FF8"/>
    <w:rsid w:val="00C65028"/>
    <w:rsid w:val="00C6533E"/>
    <w:rsid w:val="00C6560E"/>
    <w:rsid w:val="00C6561D"/>
    <w:rsid w:val="00C656AA"/>
    <w:rsid w:val="00C6570A"/>
    <w:rsid w:val="00C6577C"/>
    <w:rsid w:val="00C6582A"/>
    <w:rsid w:val="00C65913"/>
    <w:rsid w:val="00C6598C"/>
    <w:rsid w:val="00C65A59"/>
    <w:rsid w:val="00C65B7B"/>
    <w:rsid w:val="00C65BC8"/>
    <w:rsid w:val="00C65DCD"/>
    <w:rsid w:val="00C65DF5"/>
    <w:rsid w:val="00C65FA2"/>
    <w:rsid w:val="00C6623C"/>
    <w:rsid w:val="00C66676"/>
    <w:rsid w:val="00C6685B"/>
    <w:rsid w:val="00C668A8"/>
    <w:rsid w:val="00C66A39"/>
    <w:rsid w:val="00C66B22"/>
    <w:rsid w:val="00C67035"/>
    <w:rsid w:val="00C6709D"/>
    <w:rsid w:val="00C67447"/>
    <w:rsid w:val="00C675DB"/>
    <w:rsid w:val="00C6761E"/>
    <w:rsid w:val="00C67624"/>
    <w:rsid w:val="00C6763D"/>
    <w:rsid w:val="00C679C1"/>
    <w:rsid w:val="00C67A93"/>
    <w:rsid w:val="00C67AF7"/>
    <w:rsid w:val="00C67AFE"/>
    <w:rsid w:val="00C67EEF"/>
    <w:rsid w:val="00C67FBA"/>
    <w:rsid w:val="00C7020D"/>
    <w:rsid w:val="00C70286"/>
    <w:rsid w:val="00C703B6"/>
    <w:rsid w:val="00C703DE"/>
    <w:rsid w:val="00C70408"/>
    <w:rsid w:val="00C70732"/>
    <w:rsid w:val="00C70924"/>
    <w:rsid w:val="00C70B7E"/>
    <w:rsid w:val="00C70DC5"/>
    <w:rsid w:val="00C70EAE"/>
    <w:rsid w:val="00C70F7C"/>
    <w:rsid w:val="00C70FB4"/>
    <w:rsid w:val="00C7127E"/>
    <w:rsid w:val="00C7137D"/>
    <w:rsid w:val="00C716C6"/>
    <w:rsid w:val="00C71703"/>
    <w:rsid w:val="00C71AB5"/>
    <w:rsid w:val="00C71C21"/>
    <w:rsid w:val="00C71C75"/>
    <w:rsid w:val="00C720B7"/>
    <w:rsid w:val="00C722D0"/>
    <w:rsid w:val="00C72336"/>
    <w:rsid w:val="00C723A8"/>
    <w:rsid w:val="00C7278E"/>
    <w:rsid w:val="00C7287B"/>
    <w:rsid w:val="00C7297D"/>
    <w:rsid w:val="00C72B48"/>
    <w:rsid w:val="00C72E12"/>
    <w:rsid w:val="00C72F20"/>
    <w:rsid w:val="00C731C9"/>
    <w:rsid w:val="00C733C9"/>
    <w:rsid w:val="00C73461"/>
    <w:rsid w:val="00C73674"/>
    <w:rsid w:val="00C73B0C"/>
    <w:rsid w:val="00C73E48"/>
    <w:rsid w:val="00C73F3B"/>
    <w:rsid w:val="00C7410F"/>
    <w:rsid w:val="00C741C4"/>
    <w:rsid w:val="00C742E8"/>
    <w:rsid w:val="00C7431A"/>
    <w:rsid w:val="00C74502"/>
    <w:rsid w:val="00C745BA"/>
    <w:rsid w:val="00C74839"/>
    <w:rsid w:val="00C74939"/>
    <w:rsid w:val="00C74AB4"/>
    <w:rsid w:val="00C74B1E"/>
    <w:rsid w:val="00C74BE4"/>
    <w:rsid w:val="00C74F6A"/>
    <w:rsid w:val="00C74FD6"/>
    <w:rsid w:val="00C74FF0"/>
    <w:rsid w:val="00C7507A"/>
    <w:rsid w:val="00C750CE"/>
    <w:rsid w:val="00C7541E"/>
    <w:rsid w:val="00C755B5"/>
    <w:rsid w:val="00C75724"/>
    <w:rsid w:val="00C75C54"/>
    <w:rsid w:val="00C75D98"/>
    <w:rsid w:val="00C75D9D"/>
    <w:rsid w:val="00C7629F"/>
    <w:rsid w:val="00C76316"/>
    <w:rsid w:val="00C765C8"/>
    <w:rsid w:val="00C766AE"/>
    <w:rsid w:val="00C76739"/>
    <w:rsid w:val="00C76826"/>
    <w:rsid w:val="00C76BC6"/>
    <w:rsid w:val="00C76D31"/>
    <w:rsid w:val="00C76F74"/>
    <w:rsid w:val="00C76F92"/>
    <w:rsid w:val="00C77060"/>
    <w:rsid w:val="00C770C4"/>
    <w:rsid w:val="00C7713A"/>
    <w:rsid w:val="00C772C8"/>
    <w:rsid w:val="00C77441"/>
    <w:rsid w:val="00C7785F"/>
    <w:rsid w:val="00C7790C"/>
    <w:rsid w:val="00C779B3"/>
    <w:rsid w:val="00C77F92"/>
    <w:rsid w:val="00C79AD8"/>
    <w:rsid w:val="00C80210"/>
    <w:rsid w:val="00C80221"/>
    <w:rsid w:val="00C806DE"/>
    <w:rsid w:val="00C80A61"/>
    <w:rsid w:val="00C80B78"/>
    <w:rsid w:val="00C80D96"/>
    <w:rsid w:val="00C80F59"/>
    <w:rsid w:val="00C80F8B"/>
    <w:rsid w:val="00C8153F"/>
    <w:rsid w:val="00C815EA"/>
    <w:rsid w:val="00C8190B"/>
    <w:rsid w:val="00C81998"/>
    <w:rsid w:val="00C819C1"/>
    <w:rsid w:val="00C81DB5"/>
    <w:rsid w:val="00C81E14"/>
    <w:rsid w:val="00C820ED"/>
    <w:rsid w:val="00C8214D"/>
    <w:rsid w:val="00C822A0"/>
    <w:rsid w:val="00C822DF"/>
    <w:rsid w:val="00C823BA"/>
    <w:rsid w:val="00C824DC"/>
    <w:rsid w:val="00C8274D"/>
    <w:rsid w:val="00C827AA"/>
    <w:rsid w:val="00C8292F"/>
    <w:rsid w:val="00C82B22"/>
    <w:rsid w:val="00C82B3E"/>
    <w:rsid w:val="00C8310E"/>
    <w:rsid w:val="00C83238"/>
    <w:rsid w:val="00C83394"/>
    <w:rsid w:val="00C8341A"/>
    <w:rsid w:val="00C836C3"/>
    <w:rsid w:val="00C83A55"/>
    <w:rsid w:val="00C83BF2"/>
    <w:rsid w:val="00C83C44"/>
    <w:rsid w:val="00C83F68"/>
    <w:rsid w:val="00C844B9"/>
    <w:rsid w:val="00C84603"/>
    <w:rsid w:val="00C8480D"/>
    <w:rsid w:val="00C8502D"/>
    <w:rsid w:val="00C852DA"/>
    <w:rsid w:val="00C85396"/>
    <w:rsid w:val="00C8541E"/>
    <w:rsid w:val="00C85443"/>
    <w:rsid w:val="00C854B3"/>
    <w:rsid w:val="00C85606"/>
    <w:rsid w:val="00C857C5"/>
    <w:rsid w:val="00C85B89"/>
    <w:rsid w:val="00C85BF8"/>
    <w:rsid w:val="00C85CF6"/>
    <w:rsid w:val="00C85EA6"/>
    <w:rsid w:val="00C85FA3"/>
    <w:rsid w:val="00C85FD2"/>
    <w:rsid w:val="00C86309"/>
    <w:rsid w:val="00C863BF"/>
    <w:rsid w:val="00C864B2"/>
    <w:rsid w:val="00C86512"/>
    <w:rsid w:val="00C86762"/>
    <w:rsid w:val="00C86E31"/>
    <w:rsid w:val="00C871F1"/>
    <w:rsid w:val="00C87214"/>
    <w:rsid w:val="00C875BB"/>
    <w:rsid w:val="00C87688"/>
    <w:rsid w:val="00C87927"/>
    <w:rsid w:val="00C879CC"/>
    <w:rsid w:val="00C879D3"/>
    <w:rsid w:val="00C87A3E"/>
    <w:rsid w:val="00C87C54"/>
    <w:rsid w:val="00C87CC7"/>
    <w:rsid w:val="00C87CD6"/>
    <w:rsid w:val="00C87D82"/>
    <w:rsid w:val="00C87DC3"/>
    <w:rsid w:val="00C9005F"/>
    <w:rsid w:val="00C90198"/>
    <w:rsid w:val="00C90226"/>
    <w:rsid w:val="00C9042C"/>
    <w:rsid w:val="00C904C4"/>
    <w:rsid w:val="00C90789"/>
    <w:rsid w:val="00C90A11"/>
    <w:rsid w:val="00C90E0D"/>
    <w:rsid w:val="00C9110B"/>
    <w:rsid w:val="00C911BC"/>
    <w:rsid w:val="00C91274"/>
    <w:rsid w:val="00C91411"/>
    <w:rsid w:val="00C916D1"/>
    <w:rsid w:val="00C917B2"/>
    <w:rsid w:val="00C91A01"/>
    <w:rsid w:val="00C91F77"/>
    <w:rsid w:val="00C92050"/>
    <w:rsid w:val="00C9222C"/>
    <w:rsid w:val="00C92A3A"/>
    <w:rsid w:val="00C92EF5"/>
    <w:rsid w:val="00C93090"/>
    <w:rsid w:val="00C930AE"/>
    <w:rsid w:val="00C931E2"/>
    <w:rsid w:val="00C93366"/>
    <w:rsid w:val="00C934CE"/>
    <w:rsid w:val="00C9380A"/>
    <w:rsid w:val="00C939A4"/>
    <w:rsid w:val="00C93B8F"/>
    <w:rsid w:val="00C93CCE"/>
    <w:rsid w:val="00C93F25"/>
    <w:rsid w:val="00C93F41"/>
    <w:rsid w:val="00C947E3"/>
    <w:rsid w:val="00C94866"/>
    <w:rsid w:val="00C94941"/>
    <w:rsid w:val="00C94D0D"/>
    <w:rsid w:val="00C94D44"/>
    <w:rsid w:val="00C95117"/>
    <w:rsid w:val="00C95315"/>
    <w:rsid w:val="00C953B0"/>
    <w:rsid w:val="00C954CF"/>
    <w:rsid w:val="00C95510"/>
    <w:rsid w:val="00C9554E"/>
    <w:rsid w:val="00C95667"/>
    <w:rsid w:val="00C956DA"/>
    <w:rsid w:val="00C95747"/>
    <w:rsid w:val="00C95A1A"/>
    <w:rsid w:val="00C95A1F"/>
    <w:rsid w:val="00C95C45"/>
    <w:rsid w:val="00C95FB1"/>
    <w:rsid w:val="00C961AD"/>
    <w:rsid w:val="00C966DE"/>
    <w:rsid w:val="00C96B5A"/>
    <w:rsid w:val="00C96BBB"/>
    <w:rsid w:val="00C96C88"/>
    <w:rsid w:val="00C96DE6"/>
    <w:rsid w:val="00C96FC6"/>
    <w:rsid w:val="00C97142"/>
    <w:rsid w:val="00C97149"/>
    <w:rsid w:val="00C97216"/>
    <w:rsid w:val="00C975E3"/>
    <w:rsid w:val="00C9762A"/>
    <w:rsid w:val="00C976CA"/>
    <w:rsid w:val="00C97BC6"/>
    <w:rsid w:val="00C97DCD"/>
    <w:rsid w:val="00CA023E"/>
    <w:rsid w:val="00CA0496"/>
    <w:rsid w:val="00CA0578"/>
    <w:rsid w:val="00CA0810"/>
    <w:rsid w:val="00CA0914"/>
    <w:rsid w:val="00CA0B0F"/>
    <w:rsid w:val="00CA0BEA"/>
    <w:rsid w:val="00CA0C98"/>
    <w:rsid w:val="00CA0FDC"/>
    <w:rsid w:val="00CA13AE"/>
    <w:rsid w:val="00CA1605"/>
    <w:rsid w:val="00CA1A4C"/>
    <w:rsid w:val="00CA1A85"/>
    <w:rsid w:val="00CA1C19"/>
    <w:rsid w:val="00CA1E2B"/>
    <w:rsid w:val="00CA1F0B"/>
    <w:rsid w:val="00CA2024"/>
    <w:rsid w:val="00CA20DB"/>
    <w:rsid w:val="00CA211A"/>
    <w:rsid w:val="00CA228E"/>
    <w:rsid w:val="00CA2428"/>
    <w:rsid w:val="00CA25FD"/>
    <w:rsid w:val="00CA2720"/>
    <w:rsid w:val="00CA27B7"/>
    <w:rsid w:val="00CA2A54"/>
    <w:rsid w:val="00CA2B29"/>
    <w:rsid w:val="00CA2B50"/>
    <w:rsid w:val="00CA2DCA"/>
    <w:rsid w:val="00CA2E2B"/>
    <w:rsid w:val="00CA30D2"/>
    <w:rsid w:val="00CA313C"/>
    <w:rsid w:val="00CA32AF"/>
    <w:rsid w:val="00CA33E4"/>
    <w:rsid w:val="00CA361C"/>
    <w:rsid w:val="00CA372E"/>
    <w:rsid w:val="00CA3B86"/>
    <w:rsid w:val="00CA3C2E"/>
    <w:rsid w:val="00CA3E30"/>
    <w:rsid w:val="00CA3F35"/>
    <w:rsid w:val="00CA4014"/>
    <w:rsid w:val="00CA4026"/>
    <w:rsid w:val="00CA4048"/>
    <w:rsid w:val="00CA4086"/>
    <w:rsid w:val="00CA408E"/>
    <w:rsid w:val="00CA4362"/>
    <w:rsid w:val="00CA4729"/>
    <w:rsid w:val="00CA472B"/>
    <w:rsid w:val="00CA488C"/>
    <w:rsid w:val="00CA492E"/>
    <w:rsid w:val="00CA4954"/>
    <w:rsid w:val="00CA4B9A"/>
    <w:rsid w:val="00CA4FBB"/>
    <w:rsid w:val="00CA51C8"/>
    <w:rsid w:val="00CA560A"/>
    <w:rsid w:val="00CA5682"/>
    <w:rsid w:val="00CA5903"/>
    <w:rsid w:val="00CA59F6"/>
    <w:rsid w:val="00CA5AE0"/>
    <w:rsid w:val="00CA5B3E"/>
    <w:rsid w:val="00CA5E96"/>
    <w:rsid w:val="00CA5F65"/>
    <w:rsid w:val="00CA6264"/>
    <w:rsid w:val="00CA6679"/>
    <w:rsid w:val="00CA6681"/>
    <w:rsid w:val="00CA66B3"/>
    <w:rsid w:val="00CA676E"/>
    <w:rsid w:val="00CA68DC"/>
    <w:rsid w:val="00CA6AB6"/>
    <w:rsid w:val="00CA6B15"/>
    <w:rsid w:val="00CA6E14"/>
    <w:rsid w:val="00CA6E53"/>
    <w:rsid w:val="00CA739F"/>
    <w:rsid w:val="00CA749E"/>
    <w:rsid w:val="00CA75B2"/>
    <w:rsid w:val="00CA76C3"/>
    <w:rsid w:val="00CA76FC"/>
    <w:rsid w:val="00CA7702"/>
    <w:rsid w:val="00CA7A34"/>
    <w:rsid w:val="00CA7BA5"/>
    <w:rsid w:val="00CA7C73"/>
    <w:rsid w:val="00CA7D24"/>
    <w:rsid w:val="00CA7D98"/>
    <w:rsid w:val="00CA7F3B"/>
    <w:rsid w:val="00CA7FB9"/>
    <w:rsid w:val="00CB00C2"/>
    <w:rsid w:val="00CB0197"/>
    <w:rsid w:val="00CB0612"/>
    <w:rsid w:val="00CB088F"/>
    <w:rsid w:val="00CB0913"/>
    <w:rsid w:val="00CB0DE0"/>
    <w:rsid w:val="00CB0EBD"/>
    <w:rsid w:val="00CB1622"/>
    <w:rsid w:val="00CB1859"/>
    <w:rsid w:val="00CB1949"/>
    <w:rsid w:val="00CB1C28"/>
    <w:rsid w:val="00CB1CA2"/>
    <w:rsid w:val="00CB1D9E"/>
    <w:rsid w:val="00CB1E90"/>
    <w:rsid w:val="00CB1ECC"/>
    <w:rsid w:val="00CB1FA3"/>
    <w:rsid w:val="00CB2047"/>
    <w:rsid w:val="00CB20B1"/>
    <w:rsid w:val="00CB23B2"/>
    <w:rsid w:val="00CB23BE"/>
    <w:rsid w:val="00CB2B72"/>
    <w:rsid w:val="00CB2CB6"/>
    <w:rsid w:val="00CB3050"/>
    <w:rsid w:val="00CB3070"/>
    <w:rsid w:val="00CB345F"/>
    <w:rsid w:val="00CB3721"/>
    <w:rsid w:val="00CB3944"/>
    <w:rsid w:val="00CB3E4E"/>
    <w:rsid w:val="00CB3F28"/>
    <w:rsid w:val="00CB3FD5"/>
    <w:rsid w:val="00CB4051"/>
    <w:rsid w:val="00CB41B9"/>
    <w:rsid w:val="00CB433A"/>
    <w:rsid w:val="00CB47E9"/>
    <w:rsid w:val="00CB487F"/>
    <w:rsid w:val="00CB4903"/>
    <w:rsid w:val="00CB4BAD"/>
    <w:rsid w:val="00CB4CED"/>
    <w:rsid w:val="00CB4D65"/>
    <w:rsid w:val="00CB4E38"/>
    <w:rsid w:val="00CB4FBC"/>
    <w:rsid w:val="00CB510C"/>
    <w:rsid w:val="00CB53FF"/>
    <w:rsid w:val="00CB57E7"/>
    <w:rsid w:val="00CB5BEB"/>
    <w:rsid w:val="00CB5DC7"/>
    <w:rsid w:val="00CB6306"/>
    <w:rsid w:val="00CB6428"/>
    <w:rsid w:val="00CB64E3"/>
    <w:rsid w:val="00CB66B0"/>
    <w:rsid w:val="00CB6709"/>
    <w:rsid w:val="00CB67AD"/>
    <w:rsid w:val="00CB6844"/>
    <w:rsid w:val="00CB6912"/>
    <w:rsid w:val="00CB6B3D"/>
    <w:rsid w:val="00CB6CC9"/>
    <w:rsid w:val="00CB6FB9"/>
    <w:rsid w:val="00CB71BF"/>
    <w:rsid w:val="00CB75E6"/>
    <w:rsid w:val="00CB75E9"/>
    <w:rsid w:val="00CB79A3"/>
    <w:rsid w:val="00CB79C5"/>
    <w:rsid w:val="00CB7AA5"/>
    <w:rsid w:val="00CB7DC3"/>
    <w:rsid w:val="00CB7E62"/>
    <w:rsid w:val="00CC0205"/>
    <w:rsid w:val="00CC05B7"/>
    <w:rsid w:val="00CC06A0"/>
    <w:rsid w:val="00CC0A8B"/>
    <w:rsid w:val="00CC0AD2"/>
    <w:rsid w:val="00CC0C89"/>
    <w:rsid w:val="00CC0E09"/>
    <w:rsid w:val="00CC11FD"/>
    <w:rsid w:val="00CC13AF"/>
    <w:rsid w:val="00CC14EB"/>
    <w:rsid w:val="00CC17C5"/>
    <w:rsid w:val="00CC24F1"/>
    <w:rsid w:val="00CC265D"/>
    <w:rsid w:val="00CC2B03"/>
    <w:rsid w:val="00CC2C67"/>
    <w:rsid w:val="00CC2DD0"/>
    <w:rsid w:val="00CC2E6C"/>
    <w:rsid w:val="00CC2F57"/>
    <w:rsid w:val="00CC311E"/>
    <w:rsid w:val="00CC341C"/>
    <w:rsid w:val="00CC348E"/>
    <w:rsid w:val="00CC35A4"/>
    <w:rsid w:val="00CC35D9"/>
    <w:rsid w:val="00CC3739"/>
    <w:rsid w:val="00CC382E"/>
    <w:rsid w:val="00CC38CD"/>
    <w:rsid w:val="00CC3A13"/>
    <w:rsid w:val="00CC3B83"/>
    <w:rsid w:val="00CC3DC8"/>
    <w:rsid w:val="00CC3EBB"/>
    <w:rsid w:val="00CC429D"/>
    <w:rsid w:val="00CC4504"/>
    <w:rsid w:val="00CC490D"/>
    <w:rsid w:val="00CC49F8"/>
    <w:rsid w:val="00CC4A90"/>
    <w:rsid w:val="00CC4BA0"/>
    <w:rsid w:val="00CC4E3A"/>
    <w:rsid w:val="00CC5557"/>
    <w:rsid w:val="00CC5601"/>
    <w:rsid w:val="00CC5839"/>
    <w:rsid w:val="00CC5A23"/>
    <w:rsid w:val="00CC5DFC"/>
    <w:rsid w:val="00CC5FDA"/>
    <w:rsid w:val="00CC635C"/>
    <w:rsid w:val="00CC6597"/>
    <w:rsid w:val="00CC6A33"/>
    <w:rsid w:val="00CC6C9C"/>
    <w:rsid w:val="00CC6E8A"/>
    <w:rsid w:val="00CC6EC6"/>
    <w:rsid w:val="00CC70B2"/>
    <w:rsid w:val="00CC716B"/>
    <w:rsid w:val="00CC7550"/>
    <w:rsid w:val="00CC75E0"/>
    <w:rsid w:val="00CC7601"/>
    <w:rsid w:val="00CC7628"/>
    <w:rsid w:val="00CC785D"/>
    <w:rsid w:val="00CC78A1"/>
    <w:rsid w:val="00CD0326"/>
    <w:rsid w:val="00CD066F"/>
    <w:rsid w:val="00CD0AFD"/>
    <w:rsid w:val="00CD0EDF"/>
    <w:rsid w:val="00CD0EEC"/>
    <w:rsid w:val="00CD0F56"/>
    <w:rsid w:val="00CD1208"/>
    <w:rsid w:val="00CD1347"/>
    <w:rsid w:val="00CD1755"/>
    <w:rsid w:val="00CD1C7E"/>
    <w:rsid w:val="00CD1DCB"/>
    <w:rsid w:val="00CD270E"/>
    <w:rsid w:val="00CD27D6"/>
    <w:rsid w:val="00CD2FA0"/>
    <w:rsid w:val="00CD374F"/>
    <w:rsid w:val="00CD3E70"/>
    <w:rsid w:val="00CD3FEF"/>
    <w:rsid w:val="00CD4522"/>
    <w:rsid w:val="00CD4657"/>
    <w:rsid w:val="00CD4887"/>
    <w:rsid w:val="00CD4D40"/>
    <w:rsid w:val="00CD4D5A"/>
    <w:rsid w:val="00CD4FCD"/>
    <w:rsid w:val="00CD52A7"/>
    <w:rsid w:val="00CD52BF"/>
    <w:rsid w:val="00CD5C28"/>
    <w:rsid w:val="00CD5C8D"/>
    <w:rsid w:val="00CD5F69"/>
    <w:rsid w:val="00CD6058"/>
    <w:rsid w:val="00CD637F"/>
    <w:rsid w:val="00CD6580"/>
    <w:rsid w:val="00CD6A43"/>
    <w:rsid w:val="00CD6C22"/>
    <w:rsid w:val="00CD71B1"/>
    <w:rsid w:val="00CD752A"/>
    <w:rsid w:val="00CD76D7"/>
    <w:rsid w:val="00CD7988"/>
    <w:rsid w:val="00CD7A9A"/>
    <w:rsid w:val="00CD7BFB"/>
    <w:rsid w:val="00CD7F19"/>
    <w:rsid w:val="00CDB80D"/>
    <w:rsid w:val="00CE0276"/>
    <w:rsid w:val="00CE03A6"/>
    <w:rsid w:val="00CE06DD"/>
    <w:rsid w:val="00CE0976"/>
    <w:rsid w:val="00CE09C1"/>
    <w:rsid w:val="00CE0AC7"/>
    <w:rsid w:val="00CE0C86"/>
    <w:rsid w:val="00CE0DAC"/>
    <w:rsid w:val="00CE0EF8"/>
    <w:rsid w:val="00CE0F08"/>
    <w:rsid w:val="00CE1022"/>
    <w:rsid w:val="00CE103A"/>
    <w:rsid w:val="00CE1286"/>
    <w:rsid w:val="00CE1580"/>
    <w:rsid w:val="00CE18F0"/>
    <w:rsid w:val="00CE19B5"/>
    <w:rsid w:val="00CE1C60"/>
    <w:rsid w:val="00CE203C"/>
    <w:rsid w:val="00CE225F"/>
    <w:rsid w:val="00CE2271"/>
    <w:rsid w:val="00CE242B"/>
    <w:rsid w:val="00CE27D2"/>
    <w:rsid w:val="00CE291B"/>
    <w:rsid w:val="00CE2BC2"/>
    <w:rsid w:val="00CE2C9D"/>
    <w:rsid w:val="00CE2F69"/>
    <w:rsid w:val="00CE2FD2"/>
    <w:rsid w:val="00CE3081"/>
    <w:rsid w:val="00CE3482"/>
    <w:rsid w:val="00CE34B0"/>
    <w:rsid w:val="00CE36E1"/>
    <w:rsid w:val="00CE3900"/>
    <w:rsid w:val="00CE3988"/>
    <w:rsid w:val="00CE3BF4"/>
    <w:rsid w:val="00CE3E8B"/>
    <w:rsid w:val="00CE3ED6"/>
    <w:rsid w:val="00CE40D3"/>
    <w:rsid w:val="00CE41D9"/>
    <w:rsid w:val="00CE440E"/>
    <w:rsid w:val="00CE45F5"/>
    <w:rsid w:val="00CE4DD7"/>
    <w:rsid w:val="00CE4E22"/>
    <w:rsid w:val="00CE5747"/>
    <w:rsid w:val="00CE5963"/>
    <w:rsid w:val="00CE5D04"/>
    <w:rsid w:val="00CE631F"/>
    <w:rsid w:val="00CE68F6"/>
    <w:rsid w:val="00CE72B9"/>
    <w:rsid w:val="00CE738B"/>
    <w:rsid w:val="00CE76D2"/>
    <w:rsid w:val="00CE77F1"/>
    <w:rsid w:val="00CE7B28"/>
    <w:rsid w:val="00CE7BE5"/>
    <w:rsid w:val="00CF0112"/>
    <w:rsid w:val="00CF029C"/>
    <w:rsid w:val="00CF07B2"/>
    <w:rsid w:val="00CF07E1"/>
    <w:rsid w:val="00CF0AD3"/>
    <w:rsid w:val="00CF0B62"/>
    <w:rsid w:val="00CF0B6C"/>
    <w:rsid w:val="00CF0D27"/>
    <w:rsid w:val="00CF1232"/>
    <w:rsid w:val="00CF19BC"/>
    <w:rsid w:val="00CF1B0F"/>
    <w:rsid w:val="00CF1C61"/>
    <w:rsid w:val="00CF1CB6"/>
    <w:rsid w:val="00CF1E3C"/>
    <w:rsid w:val="00CF1EC4"/>
    <w:rsid w:val="00CF2080"/>
    <w:rsid w:val="00CF2803"/>
    <w:rsid w:val="00CF2A87"/>
    <w:rsid w:val="00CF2CF7"/>
    <w:rsid w:val="00CF3350"/>
    <w:rsid w:val="00CF3536"/>
    <w:rsid w:val="00CF3695"/>
    <w:rsid w:val="00CF3779"/>
    <w:rsid w:val="00CF38D7"/>
    <w:rsid w:val="00CF3B56"/>
    <w:rsid w:val="00CF3D5F"/>
    <w:rsid w:val="00CF4006"/>
    <w:rsid w:val="00CF40B1"/>
    <w:rsid w:val="00CF4194"/>
    <w:rsid w:val="00CF4200"/>
    <w:rsid w:val="00CF42A3"/>
    <w:rsid w:val="00CF4431"/>
    <w:rsid w:val="00CF45DC"/>
    <w:rsid w:val="00CF4D33"/>
    <w:rsid w:val="00CF5128"/>
    <w:rsid w:val="00CF51C1"/>
    <w:rsid w:val="00CF5293"/>
    <w:rsid w:val="00CF53C3"/>
    <w:rsid w:val="00CF5406"/>
    <w:rsid w:val="00CF563E"/>
    <w:rsid w:val="00CF5722"/>
    <w:rsid w:val="00CF5A7C"/>
    <w:rsid w:val="00CF5B37"/>
    <w:rsid w:val="00CF5B97"/>
    <w:rsid w:val="00CF5E97"/>
    <w:rsid w:val="00CF61BA"/>
    <w:rsid w:val="00CF64BF"/>
    <w:rsid w:val="00CF672C"/>
    <w:rsid w:val="00CF6804"/>
    <w:rsid w:val="00CF694B"/>
    <w:rsid w:val="00CF6B4C"/>
    <w:rsid w:val="00CF6C29"/>
    <w:rsid w:val="00CF7064"/>
    <w:rsid w:val="00CF73A6"/>
    <w:rsid w:val="00CF7938"/>
    <w:rsid w:val="00CF7B25"/>
    <w:rsid w:val="00CF7D85"/>
    <w:rsid w:val="00CF7E16"/>
    <w:rsid w:val="00CF7EA9"/>
    <w:rsid w:val="00D00363"/>
    <w:rsid w:val="00D00520"/>
    <w:rsid w:val="00D00574"/>
    <w:rsid w:val="00D005FE"/>
    <w:rsid w:val="00D006CA"/>
    <w:rsid w:val="00D006F4"/>
    <w:rsid w:val="00D00762"/>
    <w:rsid w:val="00D00847"/>
    <w:rsid w:val="00D00BA3"/>
    <w:rsid w:val="00D00E22"/>
    <w:rsid w:val="00D010A5"/>
    <w:rsid w:val="00D01232"/>
    <w:rsid w:val="00D01629"/>
    <w:rsid w:val="00D01633"/>
    <w:rsid w:val="00D01988"/>
    <w:rsid w:val="00D019F6"/>
    <w:rsid w:val="00D01A14"/>
    <w:rsid w:val="00D01B5E"/>
    <w:rsid w:val="00D01BFE"/>
    <w:rsid w:val="00D01DFA"/>
    <w:rsid w:val="00D01EC4"/>
    <w:rsid w:val="00D021A7"/>
    <w:rsid w:val="00D021DA"/>
    <w:rsid w:val="00D02629"/>
    <w:rsid w:val="00D029A6"/>
    <w:rsid w:val="00D02AF7"/>
    <w:rsid w:val="00D02C08"/>
    <w:rsid w:val="00D02D23"/>
    <w:rsid w:val="00D02E45"/>
    <w:rsid w:val="00D02F33"/>
    <w:rsid w:val="00D02F99"/>
    <w:rsid w:val="00D032F7"/>
    <w:rsid w:val="00D033DC"/>
    <w:rsid w:val="00D03647"/>
    <w:rsid w:val="00D037CD"/>
    <w:rsid w:val="00D03840"/>
    <w:rsid w:val="00D038AA"/>
    <w:rsid w:val="00D03C8B"/>
    <w:rsid w:val="00D03CF2"/>
    <w:rsid w:val="00D03DB3"/>
    <w:rsid w:val="00D03EAD"/>
    <w:rsid w:val="00D04013"/>
    <w:rsid w:val="00D040D9"/>
    <w:rsid w:val="00D047F7"/>
    <w:rsid w:val="00D04E02"/>
    <w:rsid w:val="00D05030"/>
    <w:rsid w:val="00D05067"/>
    <w:rsid w:val="00D0512C"/>
    <w:rsid w:val="00D055C6"/>
    <w:rsid w:val="00D0565D"/>
    <w:rsid w:val="00D058C5"/>
    <w:rsid w:val="00D058C9"/>
    <w:rsid w:val="00D058DD"/>
    <w:rsid w:val="00D05CA5"/>
    <w:rsid w:val="00D05CF2"/>
    <w:rsid w:val="00D06102"/>
    <w:rsid w:val="00D0614F"/>
    <w:rsid w:val="00D06276"/>
    <w:rsid w:val="00D0689A"/>
    <w:rsid w:val="00D0693A"/>
    <w:rsid w:val="00D069F4"/>
    <w:rsid w:val="00D06ACA"/>
    <w:rsid w:val="00D06B0E"/>
    <w:rsid w:val="00D06CBF"/>
    <w:rsid w:val="00D06CFC"/>
    <w:rsid w:val="00D06F66"/>
    <w:rsid w:val="00D073CF"/>
    <w:rsid w:val="00D07A1A"/>
    <w:rsid w:val="00D07D40"/>
    <w:rsid w:val="00D10011"/>
    <w:rsid w:val="00D102A3"/>
    <w:rsid w:val="00D10493"/>
    <w:rsid w:val="00D1070E"/>
    <w:rsid w:val="00D10809"/>
    <w:rsid w:val="00D10A58"/>
    <w:rsid w:val="00D10E32"/>
    <w:rsid w:val="00D10E5C"/>
    <w:rsid w:val="00D10EF9"/>
    <w:rsid w:val="00D10F5E"/>
    <w:rsid w:val="00D11230"/>
    <w:rsid w:val="00D1149C"/>
    <w:rsid w:val="00D11550"/>
    <w:rsid w:val="00D116CE"/>
    <w:rsid w:val="00D116D3"/>
    <w:rsid w:val="00D116D7"/>
    <w:rsid w:val="00D116E2"/>
    <w:rsid w:val="00D118C6"/>
    <w:rsid w:val="00D11E0F"/>
    <w:rsid w:val="00D11E4A"/>
    <w:rsid w:val="00D11F02"/>
    <w:rsid w:val="00D11F5C"/>
    <w:rsid w:val="00D120B4"/>
    <w:rsid w:val="00D122A3"/>
    <w:rsid w:val="00D12338"/>
    <w:rsid w:val="00D123DA"/>
    <w:rsid w:val="00D12589"/>
    <w:rsid w:val="00D125C2"/>
    <w:rsid w:val="00D127BD"/>
    <w:rsid w:val="00D12936"/>
    <w:rsid w:val="00D12954"/>
    <w:rsid w:val="00D12961"/>
    <w:rsid w:val="00D12AA2"/>
    <w:rsid w:val="00D12B19"/>
    <w:rsid w:val="00D12B56"/>
    <w:rsid w:val="00D12ED3"/>
    <w:rsid w:val="00D13207"/>
    <w:rsid w:val="00D13304"/>
    <w:rsid w:val="00D1344C"/>
    <w:rsid w:val="00D1356B"/>
    <w:rsid w:val="00D13666"/>
    <w:rsid w:val="00D1395D"/>
    <w:rsid w:val="00D13E7F"/>
    <w:rsid w:val="00D144B9"/>
    <w:rsid w:val="00D152A9"/>
    <w:rsid w:val="00D154F8"/>
    <w:rsid w:val="00D15590"/>
    <w:rsid w:val="00D15B22"/>
    <w:rsid w:val="00D15BBF"/>
    <w:rsid w:val="00D15D91"/>
    <w:rsid w:val="00D15E22"/>
    <w:rsid w:val="00D15FB0"/>
    <w:rsid w:val="00D16469"/>
    <w:rsid w:val="00D16567"/>
    <w:rsid w:val="00D169E8"/>
    <w:rsid w:val="00D16CB3"/>
    <w:rsid w:val="00D1715F"/>
    <w:rsid w:val="00D17362"/>
    <w:rsid w:val="00D1742C"/>
    <w:rsid w:val="00D17430"/>
    <w:rsid w:val="00D175CF"/>
    <w:rsid w:val="00D17764"/>
    <w:rsid w:val="00D17811"/>
    <w:rsid w:val="00D17A7E"/>
    <w:rsid w:val="00D17FE4"/>
    <w:rsid w:val="00D201FC"/>
    <w:rsid w:val="00D208DA"/>
    <w:rsid w:val="00D20B7F"/>
    <w:rsid w:val="00D20EB7"/>
    <w:rsid w:val="00D210E6"/>
    <w:rsid w:val="00D21380"/>
    <w:rsid w:val="00D21649"/>
    <w:rsid w:val="00D217EF"/>
    <w:rsid w:val="00D218DF"/>
    <w:rsid w:val="00D21C51"/>
    <w:rsid w:val="00D21CAF"/>
    <w:rsid w:val="00D21EE6"/>
    <w:rsid w:val="00D21F52"/>
    <w:rsid w:val="00D21F72"/>
    <w:rsid w:val="00D222D3"/>
    <w:rsid w:val="00D227F4"/>
    <w:rsid w:val="00D22B76"/>
    <w:rsid w:val="00D23457"/>
    <w:rsid w:val="00D2372A"/>
    <w:rsid w:val="00D23BA3"/>
    <w:rsid w:val="00D23DA0"/>
    <w:rsid w:val="00D23F36"/>
    <w:rsid w:val="00D23F50"/>
    <w:rsid w:val="00D24000"/>
    <w:rsid w:val="00D2402E"/>
    <w:rsid w:val="00D2417D"/>
    <w:rsid w:val="00D241C5"/>
    <w:rsid w:val="00D24201"/>
    <w:rsid w:val="00D24328"/>
    <w:rsid w:val="00D2462E"/>
    <w:rsid w:val="00D24894"/>
    <w:rsid w:val="00D2543D"/>
    <w:rsid w:val="00D258D6"/>
    <w:rsid w:val="00D25A2F"/>
    <w:rsid w:val="00D25CDE"/>
    <w:rsid w:val="00D25FB2"/>
    <w:rsid w:val="00D260CA"/>
    <w:rsid w:val="00D263A6"/>
    <w:rsid w:val="00D26AEF"/>
    <w:rsid w:val="00D26EA0"/>
    <w:rsid w:val="00D270A5"/>
    <w:rsid w:val="00D2727C"/>
    <w:rsid w:val="00D27311"/>
    <w:rsid w:val="00D27670"/>
    <w:rsid w:val="00D27725"/>
    <w:rsid w:val="00D2784C"/>
    <w:rsid w:val="00D27901"/>
    <w:rsid w:val="00D279B7"/>
    <w:rsid w:val="00D27ECB"/>
    <w:rsid w:val="00D3026E"/>
    <w:rsid w:val="00D302C4"/>
    <w:rsid w:val="00D30314"/>
    <w:rsid w:val="00D30441"/>
    <w:rsid w:val="00D30577"/>
    <w:rsid w:val="00D309FA"/>
    <w:rsid w:val="00D30A79"/>
    <w:rsid w:val="00D30C3B"/>
    <w:rsid w:val="00D30C87"/>
    <w:rsid w:val="00D30EE0"/>
    <w:rsid w:val="00D30F50"/>
    <w:rsid w:val="00D315B4"/>
    <w:rsid w:val="00D31835"/>
    <w:rsid w:val="00D318C4"/>
    <w:rsid w:val="00D31948"/>
    <w:rsid w:val="00D31AEF"/>
    <w:rsid w:val="00D31B22"/>
    <w:rsid w:val="00D31EE4"/>
    <w:rsid w:val="00D32003"/>
    <w:rsid w:val="00D326F4"/>
    <w:rsid w:val="00D3282E"/>
    <w:rsid w:val="00D3293A"/>
    <w:rsid w:val="00D32B10"/>
    <w:rsid w:val="00D32BEF"/>
    <w:rsid w:val="00D32D72"/>
    <w:rsid w:val="00D32DEC"/>
    <w:rsid w:val="00D3318F"/>
    <w:rsid w:val="00D331AC"/>
    <w:rsid w:val="00D33538"/>
    <w:rsid w:val="00D335C0"/>
    <w:rsid w:val="00D335E8"/>
    <w:rsid w:val="00D3364A"/>
    <w:rsid w:val="00D3384E"/>
    <w:rsid w:val="00D33B0E"/>
    <w:rsid w:val="00D33BF0"/>
    <w:rsid w:val="00D33BF9"/>
    <w:rsid w:val="00D33FFD"/>
    <w:rsid w:val="00D341B3"/>
    <w:rsid w:val="00D34277"/>
    <w:rsid w:val="00D3439B"/>
    <w:rsid w:val="00D3450A"/>
    <w:rsid w:val="00D34764"/>
    <w:rsid w:val="00D34801"/>
    <w:rsid w:val="00D3498C"/>
    <w:rsid w:val="00D349A5"/>
    <w:rsid w:val="00D34AD4"/>
    <w:rsid w:val="00D34DBF"/>
    <w:rsid w:val="00D350BF"/>
    <w:rsid w:val="00D3516D"/>
    <w:rsid w:val="00D353FE"/>
    <w:rsid w:val="00D35487"/>
    <w:rsid w:val="00D357BF"/>
    <w:rsid w:val="00D358D5"/>
    <w:rsid w:val="00D35A0A"/>
    <w:rsid w:val="00D35A2C"/>
    <w:rsid w:val="00D35EEF"/>
    <w:rsid w:val="00D361C9"/>
    <w:rsid w:val="00D362B8"/>
    <w:rsid w:val="00D363B1"/>
    <w:rsid w:val="00D36462"/>
    <w:rsid w:val="00D36544"/>
    <w:rsid w:val="00D36959"/>
    <w:rsid w:val="00D36BA1"/>
    <w:rsid w:val="00D36C1F"/>
    <w:rsid w:val="00D36DE0"/>
    <w:rsid w:val="00D370B9"/>
    <w:rsid w:val="00D373B9"/>
    <w:rsid w:val="00D37410"/>
    <w:rsid w:val="00D37640"/>
    <w:rsid w:val="00D3785B"/>
    <w:rsid w:val="00D3786F"/>
    <w:rsid w:val="00D37DEE"/>
    <w:rsid w:val="00D40753"/>
    <w:rsid w:val="00D40894"/>
    <w:rsid w:val="00D408F8"/>
    <w:rsid w:val="00D40A21"/>
    <w:rsid w:val="00D40C43"/>
    <w:rsid w:val="00D416AD"/>
    <w:rsid w:val="00D41707"/>
    <w:rsid w:val="00D41946"/>
    <w:rsid w:val="00D41BEE"/>
    <w:rsid w:val="00D41C45"/>
    <w:rsid w:val="00D41F77"/>
    <w:rsid w:val="00D41FE3"/>
    <w:rsid w:val="00D42041"/>
    <w:rsid w:val="00D42187"/>
    <w:rsid w:val="00D4221A"/>
    <w:rsid w:val="00D423D0"/>
    <w:rsid w:val="00D42488"/>
    <w:rsid w:val="00D425F1"/>
    <w:rsid w:val="00D42A2E"/>
    <w:rsid w:val="00D42C27"/>
    <w:rsid w:val="00D42D15"/>
    <w:rsid w:val="00D42F7C"/>
    <w:rsid w:val="00D433A7"/>
    <w:rsid w:val="00D43550"/>
    <w:rsid w:val="00D43599"/>
    <w:rsid w:val="00D435FA"/>
    <w:rsid w:val="00D43AEE"/>
    <w:rsid w:val="00D43BC7"/>
    <w:rsid w:val="00D43C1A"/>
    <w:rsid w:val="00D4411D"/>
    <w:rsid w:val="00D442CB"/>
    <w:rsid w:val="00D44345"/>
    <w:rsid w:val="00D44604"/>
    <w:rsid w:val="00D44829"/>
    <w:rsid w:val="00D44879"/>
    <w:rsid w:val="00D4487F"/>
    <w:rsid w:val="00D44AC5"/>
    <w:rsid w:val="00D44B51"/>
    <w:rsid w:val="00D44C6C"/>
    <w:rsid w:val="00D44E49"/>
    <w:rsid w:val="00D44F42"/>
    <w:rsid w:val="00D44FA5"/>
    <w:rsid w:val="00D453D8"/>
    <w:rsid w:val="00D453EF"/>
    <w:rsid w:val="00D453F2"/>
    <w:rsid w:val="00D4545D"/>
    <w:rsid w:val="00D456A3"/>
    <w:rsid w:val="00D4577C"/>
    <w:rsid w:val="00D457A3"/>
    <w:rsid w:val="00D457AA"/>
    <w:rsid w:val="00D45FEA"/>
    <w:rsid w:val="00D461D9"/>
    <w:rsid w:val="00D46268"/>
    <w:rsid w:val="00D46272"/>
    <w:rsid w:val="00D46443"/>
    <w:rsid w:val="00D466A3"/>
    <w:rsid w:val="00D46807"/>
    <w:rsid w:val="00D4683B"/>
    <w:rsid w:val="00D46B59"/>
    <w:rsid w:val="00D46C26"/>
    <w:rsid w:val="00D46D8A"/>
    <w:rsid w:val="00D46DBD"/>
    <w:rsid w:val="00D46DC4"/>
    <w:rsid w:val="00D47030"/>
    <w:rsid w:val="00D47035"/>
    <w:rsid w:val="00D475B6"/>
    <w:rsid w:val="00D47977"/>
    <w:rsid w:val="00D479B4"/>
    <w:rsid w:val="00D47C41"/>
    <w:rsid w:val="00D47C70"/>
    <w:rsid w:val="00D47E28"/>
    <w:rsid w:val="00D47F07"/>
    <w:rsid w:val="00D47F17"/>
    <w:rsid w:val="00D47FB3"/>
    <w:rsid w:val="00D49BBB"/>
    <w:rsid w:val="00D4EF30"/>
    <w:rsid w:val="00D50069"/>
    <w:rsid w:val="00D5027B"/>
    <w:rsid w:val="00D50649"/>
    <w:rsid w:val="00D5066A"/>
    <w:rsid w:val="00D50A91"/>
    <w:rsid w:val="00D50EE5"/>
    <w:rsid w:val="00D50FD7"/>
    <w:rsid w:val="00D5118E"/>
    <w:rsid w:val="00D51552"/>
    <w:rsid w:val="00D51724"/>
    <w:rsid w:val="00D517C2"/>
    <w:rsid w:val="00D519D9"/>
    <w:rsid w:val="00D5202A"/>
    <w:rsid w:val="00D5204F"/>
    <w:rsid w:val="00D522EE"/>
    <w:rsid w:val="00D524DE"/>
    <w:rsid w:val="00D52772"/>
    <w:rsid w:val="00D52925"/>
    <w:rsid w:val="00D52969"/>
    <w:rsid w:val="00D52AE4"/>
    <w:rsid w:val="00D52C41"/>
    <w:rsid w:val="00D52C8A"/>
    <w:rsid w:val="00D52EC3"/>
    <w:rsid w:val="00D52EC7"/>
    <w:rsid w:val="00D52FC5"/>
    <w:rsid w:val="00D53D83"/>
    <w:rsid w:val="00D53F4E"/>
    <w:rsid w:val="00D541DC"/>
    <w:rsid w:val="00D54317"/>
    <w:rsid w:val="00D545ED"/>
    <w:rsid w:val="00D54627"/>
    <w:rsid w:val="00D546B2"/>
    <w:rsid w:val="00D54721"/>
    <w:rsid w:val="00D5477B"/>
    <w:rsid w:val="00D54845"/>
    <w:rsid w:val="00D54A5F"/>
    <w:rsid w:val="00D54B12"/>
    <w:rsid w:val="00D55145"/>
    <w:rsid w:val="00D5522F"/>
    <w:rsid w:val="00D5539D"/>
    <w:rsid w:val="00D555A4"/>
    <w:rsid w:val="00D55822"/>
    <w:rsid w:val="00D55D2D"/>
    <w:rsid w:val="00D55E71"/>
    <w:rsid w:val="00D561F7"/>
    <w:rsid w:val="00D564D4"/>
    <w:rsid w:val="00D5653C"/>
    <w:rsid w:val="00D566D4"/>
    <w:rsid w:val="00D5676A"/>
    <w:rsid w:val="00D56A03"/>
    <w:rsid w:val="00D56A7C"/>
    <w:rsid w:val="00D56D55"/>
    <w:rsid w:val="00D56DF3"/>
    <w:rsid w:val="00D57686"/>
    <w:rsid w:val="00D57BF6"/>
    <w:rsid w:val="00D57C28"/>
    <w:rsid w:val="00D57C94"/>
    <w:rsid w:val="00D57D87"/>
    <w:rsid w:val="00D6004F"/>
    <w:rsid w:val="00D60068"/>
    <w:rsid w:val="00D60116"/>
    <w:rsid w:val="00D60854"/>
    <w:rsid w:val="00D60A0A"/>
    <w:rsid w:val="00D60A34"/>
    <w:rsid w:val="00D60C30"/>
    <w:rsid w:val="00D61017"/>
    <w:rsid w:val="00D610EA"/>
    <w:rsid w:val="00D6116D"/>
    <w:rsid w:val="00D61352"/>
    <w:rsid w:val="00D613DC"/>
    <w:rsid w:val="00D61506"/>
    <w:rsid w:val="00D61523"/>
    <w:rsid w:val="00D61869"/>
    <w:rsid w:val="00D61943"/>
    <w:rsid w:val="00D61A87"/>
    <w:rsid w:val="00D61B71"/>
    <w:rsid w:val="00D62186"/>
    <w:rsid w:val="00D621BA"/>
    <w:rsid w:val="00D62435"/>
    <w:rsid w:val="00D62515"/>
    <w:rsid w:val="00D6264F"/>
    <w:rsid w:val="00D62671"/>
    <w:rsid w:val="00D6269F"/>
    <w:rsid w:val="00D6280D"/>
    <w:rsid w:val="00D62CEA"/>
    <w:rsid w:val="00D62CEC"/>
    <w:rsid w:val="00D62E1F"/>
    <w:rsid w:val="00D62EF8"/>
    <w:rsid w:val="00D63159"/>
    <w:rsid w:val="00D631F2"/>
    <w:rsid w:val="00D633DA"/>
    <w:rsid w:val="00D63455"/>
    <w:rsid w:val="00D636AE"/>
    <w:rsid w:val="00D637E2"/>
    <w:rsid w:val="00D63834"/>
    <w:rsid w:val="00D63A35"/>
    <w:rsid w:val="00D63DA2"/>
    <w:rsid w:val="00D63EDC"/>
    <w:rsid w:val="00D6414B"/>
    <w:rsid w:val="00D64362"/>
    <w:rsid w:val="00D645C7"/>
    <w:rsid w:val="00D64736"/>
    <w:rsid w:val="00D64C22"/>
    <w:rsid w:val="00D64CE6"/>
    <w:rsid w:val="00D6539A"/>
    <w:rsid w:val="00D653D9"/>
    <w:rsid w:val="00D6550D"/>
    <w:rsid w:val="00D6554B"/>
    <w:rsid w:val="00D6576A"/>
    <w:rsid w:val="00D658E3"/>
    <w:rsid w:val="00D65DA0"/>
    <w:rsid w:val="00D66828"/>
    <w:rsid w:val="00D66B3D"/>
    <w:rsid w:val="00D66E50"/>
    <w:rsid w:val="00D66FB6"/>
    <w:rsid w:val="00D6726F"/>
    <w:rsid w:val="00D6763A"/>
    <w:rsid w:val="00D6767A"/>
    <w:rsid w:val="00D677BF"/>
    <w:rsid w:val="00D67DEB"/>
    <w:rsid w:val="00D70102"/>
    <w:rsid w:val="00D703E5"/>
    <w:rsid w:val="00D708FA"/>
    <w:rsid w:val="00D70B41"/>
    <w:rsid w:val="00D70D36"/>
    <w:rsid w:val="00D70F27"/>
    <w:rsid w:val="00D70F65"/>
    <w:rsid w:val="00D70FD3"/>
    <w:rsid w:val="00D7117C"/>
    <w:rsid w:val="00D71295"/>
    <w:rsid w:val="00D71387"/>
    <w:rsid w:val="00D7165F"/>
    <w:rsid w:val="00D716FF"/>
    <w:rsid w:val="00D7189E"/>
    <w:rsid w:val="00D71DD9"/>
    <w:rsid w:val="00D71FB3"/>
    <w:rsid w:val="00D71FC5"/>
    <w:rsid w:val="00D720AA"/>
    <w:rsid w:val="00D72859"/>
    <w:rsid w:val="00D72A58"/>
    <w:rsid w:val="00D72A5D"/>
    <w:rsid w:val="00D72AD0"/>
    <w:rsid w:val="00D72DD2"/>
    <w:rsid w:val="00D73013"/>
    <w:rsid w:val="00D730DF"/>
    <w:rsid w:val="00D73407"/>
    <w:rsid w:val="00D734BE"/>
    <w:rsid w:val="00D73795"/>
    <w:rsid w:val="00D73FCA"/>
    <w:rsid w:val="00D7406C"/>
    <w:rsid w:val="00D742C4"/>
    <w:rsid w:val="00D74372"/>
    <w:rsid w:val="00D744B4"/>
    <w:rsid w:val="00D74517"/>
    <w:rsid w:val="00D74763"/>
    <w:rsid w:val="00D74843"/>
    <w:rsid w:val="00D74948"/>
    <w:rsid w:val="00D74AE8"/>
    <w:rsid w:val="00D74C86"/>
    <w:rsid w:val="00D74DA4"/>
    <w:rsid w:val="00D74E0B"/>
    <w:rsid w:val="00D74EAA"/>
    <w:rsid w:val="00D74EBD"/>
    <w:rsid w:val="00D7520A"/>
    <w:rsid w:val="00D753A0"/>
    <w:rsid w:val="00D75548"/>
    <w:rsid w:val="00D75AF6"/>
    <w:rsid w:val="00D75F0F"/>
    <w:rsid w:val="00D76163"/>
    <w:rsid w:val="00D763A3"/>
    <w:rsid w:val="00D76702"/>
    <w:rsid w:val="00D7676E"/>
    <w:rsid w:val="00D76969"/>
    <w:rsid w:val="00D76A16"/>
    <w:rsid w:val="00D76A69"/>
    <w:rsid w:val="00D76E6E"/>
    <w:rsid w:val="00D76E74"/>
    <w:rsid w:val="00D76ED6"/>
    <w:rsid w:val="00D7703B"/>
    <w:rsid w:val="00D7741F"/>
    <w:rsid w:val="00D77443"/>
    <w:rsid w:val="00D7763E"/>
    <w:rsid w:val="00D77764"/>
    <w:rsid w:val="00D778FD"/>
    <w:rsid w:val="00D77C26"/>
    <w:rsid w:val="00D77D4E"/>
    <w:rsid w:val="00D77F63"/>
    <w:rsid w:val="00D80022"/>
    <w:rsid w:val="00D8033F"/>
    <w:rsid w:val="00D80521"/>
    <w:rsid w:val="00D80586"/>
    <w:rsid w:val="00D805E9"/>
    <w:rsid w:val="00D80784"/>
    <w:rsid w:val="00D80B40"/>
    <w:rsid w:val="00D80C41"/>
    <w:rsid w:val="00D8121E"/>
    <w:rsid w:val="00D8166F"/>
    <w:rsid w:val="00D8170B"/>
    <w:rsid w:val="00D81714"/>
    <w:rsid w:val="00D819E5"/>
    <w:rsid w:val="00D81B18"/>
    <w:rsid w:val="00D81B5C"/>
    <w:rsid w:val="00D81BD2"/>
    <w:rsid w:val="00D82076"/>
    <w:rsid w:val="00D8212D"/>
    <w:rsid w:val="00D822CE"/>
    <w:rsid w:val="00D824A0"/>
    <w:rsid w:val="00D8251D"/>
    <w:rsid w:val="00D82593"/>
    <w:rsid w:val="00D82639"/>
    <w:rsid w:val="00D82742"/>
    <w:rsid w:val="00D827B7"/>
    <w:rsid w:val="00D8286A"/>
    <w:rsid w:val="00D82885"/>
    <w:rsid w:val="00D82A78"/>
    <w:rsid w:val="00D82AAF"/>
    <w:rsid w:val="00D82D22"/>
    <w:rsid w:val="00D82E26"/>
    <w:rsid w:val="00D83034"/>
    <w:rsid w:val="00D83338"/>
    <w:rsid w:val="00D8344B"/>
    <w:rsid w:val="00D8345E"/>
    <w:rsid w:val="00D838FE"/>
    <w:rsid w:val="00D83C7B"/>
    <w:rsid w:val="00D83CA5"/>
    <w:rsid w:val="00D83D49"/>
    <w:rsid w:val="00D83DC0"/>
    <w:rsid w:val="00D83DCD"/>
    <w:rsid w:val="00D84212"/>
    <w:rsid w:val="00D843A1"/>
    <w:rsid w:val="00D84418"/>
    <w:rsid w:val="00D846E2"/>
    <w:rsid w:val="00D847E2"/>
    <w:rsid w:val="00D8490F"/>
    <w:rsid w:val="00D84C69"/>
    <w:rsid w:val="00D84C99"/>
    <w:rsid w:val="00D84DEA"/>
    <w:rsid w:val="00D84EB7"/>
    <w:rsid w:val="00D85119"/>
    <w:rsid w:val="00D85298"/>
    <w:rsid w:val="00D85854"/>
    <w:rsid w:val="00D85933"/>
    <w:rsid w:val="00D85A07"/>
    <w:rsid w:val="00D85B43"/>
    <w:rsid w:val="00D85C21"/>
    <w:rsid w:val="00D862D5"/>
    <w:rsid w:val="00D86375"/>
    <w:rsid w:val="00D864FC"/>
    <w:rsid w:val="00D8662D"/>
    <w:rsid w:val="00D86848"/>
    <w:rsid w:val="00D86A36"/>
    <w:rsid w:val="00D86D7B"/>
    <w:rsid w:val="00D86DFE"/>
    <w:rsid w:val="00D86F7F"/>
    <w:rsid w:val="00D87026"/>
    <w:rsid w:val="00D87214"/>
    <w:rsid w:val="00D874E1"/>
    <w:rsid w:val="00D874EC"/>
    <w:rsid w:val="00D8758F"/>
    <w:rsid w:val="00D8760A"/>
    <w:rsid w:val="00D8764A"/>
    <w:rsid w:val="00D87734"/>
    <w:rsid w:val="00D877EC"/>
    <w:rsid w:val="00D8782E"/>
    <w:rsid w:val="00D8791E"/>
    <w:rsid w:val="00D87B51"/>
    <w:rsid w:val="00D87C26"/>
    <w:rsid w:val="00D87D3D"/>
    <w:rsid w:val="00D90011"/>
    <w:rsid w:val="00D900C6"/>
    <w:rsid w:val="00D907F0"/>
    <w:rsid w:val="00D9089B"/>
    <w:rsid w:val="00D90BBC"/>
    <w:rsid w:val="00D90BEE"/>
    <w:rsid w:val="00D90DA1"/>
    <w:rsid w:val="00D90DD2"/>
    <w:rsid w:val="00D90E69"/>
    <w:rsid w:val="00D91311"/>
    <w:rsid w:val="00D913C0"/>
    <w:rsid w:val="00D91484"/>
    <w:rsid w:val="00D916C4"/>
    <w:rsid w:val="00D91A97"/>
    <w:rsid w:val="00D92085"/>
    <w:rsid w:val="00D9213C"/>
    <w:rsid w:val="00D92413"/>
    <w:rsid w:val="00D924C2"/>
    <w:rsid w:val="00D9254E"/>
    <w:rsid w:val="00D92723"/>
    <w:rsid w:val="00D92837"/>
    <w:rsid w:val="00D9295B"/>
    <w:rsid w:val="00D92976"/>
    <w:rsid w:val="00D9298D"/>
    <w:rsid w:val="00D9299D"/>
    <w:rsid w:val="00D92B17"/>
    <w:rsid w:val="00D92C35"/>
    <w:rsid w:val="00D92DAB"/>
    <w:rsid w:val="00D92FB2"/>
    <w:rsid w:val="00D937D0"/>
    <w:rsid w:val="00D938D9"/>
    <w:rsid w:val="00D93BAD"/>
    <w:rsid w:val="00D93CD5"/>
    <w:rsid w:val="00D942B8"/>
    <w:rsid w:val="00D94435"/>
    <w:rsid w:val="00D94743"/>
    <w:rsid w:val="00D9480F"/>
    <w:rsid w:val="00D94D8F"/>
    <w:rsid w:val="00D955A4"/>
    <w:rsid w:val="00D958F1"/>
    <w:rsid w:val="00D95A0D"/>
    <w:rsid w:val="00D95A74"/>
    <w:rsid w:val="00D95AD4"/>
    <w:rsid w:val="00D95DCF"/>
    <w:rsid w:val="00D964A5"/>
    <w:rsid w:val="00D964C2"/>
    <w:rsid w:val="00D964FB"/>
    <w:rsid w:val="00D9666C"/>
    <w:rsid w:val="00D96686"/>
    <w:rsid w:val="00D96CE0"/>
    <w:rsid w:val="00D96E17"/>
    <w:rsid w:val="00D96ED4"/>
    <w:rsid w:val="00D96FF0"/>
    <w:rsid w:val="00D9780C"/>
    <w:rsid w:val="00D978B0"/>
    <w:rsid w:val="00D97ABD"/>
    <w:rsid w:val="00D97ADA"/>
    <w:rsid w:val="00D97BDA"/>
    <w:rsid w:val="00D97F37"/>
    <w:rsid w:val="00D97F9F"/>
    <w:rsid w:val="00DA04C4"/>
    <w:rsid w:val="00DA056F"/>
    <w:rsid w:val="00DA05CA"/>
    <w:rsid w:val="00DA0827"/>
    <w:rsid w:val="00DA087A"/>
    <w:rsid w:val="00DA09B8"/>
    <w:rsid w:val="00DA1089"/>
    <w:rsid w:val="00DA1122"/>
    <w:rsid w:val="00DA13FC"/>
    <w:rsid w:val="00DA16D2"/>
    <w:rsid w:val="00DA1703"/>
    <w:rsid w:val="00DA1714"/>
    <w:rsid w:val="00DA171D"/>
    <w:rsid w:val="00DA18D6"/>
    <w:rsid w:val="00DA1BB9"/>
    <w:rsid w:val="00DA1D24"/>
    <w:rsid w:val="00DA1DA2"/>
    <w:rsid w:val="00DA1DD4"/>
    <w:rsid w:val="00DA203A"/>
    <w:rsid w:val="00DA2480"/>
    <w:rsid w:val="00DA28D0"/>
    <w:rsid w:val="00DA296C"/>
    <w:rsid w:val="00DA29D4"/>
    <w:rsid w:val="00DA2AC2"/>
    <w:rsid w:val="00DA2D0F"/>
    <w:rsid w:val="00DA2D82"/>
    <w:rsid w:val="00DA2D86"/>
    <w:rsid w:val="00DA2EE7"/>
    <w:rsid w:val="00DA2F7A"/>
    <w:rsid w:val="00DA3172"/>
    <w:rsid w:val="00DA31A3"/>
    <w:rsid w:val="00DA3220"/>
    <w:rsid w:val="00DA332A"/>
    <w:rsid w:val="00DA34E6"/>
    <w:rsid w:val="00DA356A"/>
    <w:rsid w:val="00DA3652"/>
    <w:rsid w:val="00DA3812"/>
    <w:rsid w:val="00DA3C30"/>
    <w:rsid w:val="00DA3E97"/>
    <w:rsid w:val="00DA4124"/>
    <w:rsid w:val="00DA444F"/>
    <w:rsid w:val="00DA445A"/>
    <w:rsid w:val="00DA473B"/>
    <w:rsid w:val="00DA4B4D"/>
    <w:rsid w:val="00DA4BC1"/>
    <w:rsid w:val="00DA4CB7"/>
    <w:rsid w:val="00DA4EA0"/>
    <w:rsid w:val="00DA50AC"/>
    <w:rsid w:val="00DA5449"/>
    <w:rsid w:val="00DA57CB"/>
    <w:rsid w:val="00DA59E2"/>
    <w:rsid w:val="00DA5C75"/>
    <w:rsid w:val="00DA5F15"/>
    <w:rsid w:val="00DA617F"/>
    <w:rsid w:val="00DA6708"/>
    <w:rsid w:val="00DA6A19"/>
    <w:rsid w:val="00DA6D54"/>
    <w:rsid w:val="00DA6F6F"/>
    <w:rsid w:val="00DA712F"/>
    <w:rsid w:val="00DA73D5"/>
    <w:rsid w:val="00DA7402"/>
    <w:rsid w:val="00DA7408"/>
    <w:rsid w:val="00DA74DB"/>
    <w:rsid w:val="00DA776D"/>
    <w:rsid w:val="00DA7983"/>
    <w:rsid w:val="00DA7BDF"/>
    <w:rsid w:val="00DA7C99"/>
    <w:rsid w:val="00DA7CFC"/>
    <w:rsid w:val="00DA7D15"/>
    <w:rsid w:val="00DB0440"/>
    <w:rsid w:val="00DB05D8"/>
    <w:rsid w:val="00DB0677"/>
    <w:rsid w:val="00DB0949"/>
    <w:rsid w:val="00DB0BD7"/>
    <w:rsid w:val="00DB0D0B"/>
    <w:rsid w:val="00DB0EA0"/>
    <w:rsid w:val="00DB1004"/>
    <w:rsid w:val="00DB134B"/>
    <w:rsid w:val="00DB1519"/>
    <w:rsid w:val="00DB17C3"/>
    <w:rsid w:val="00DB1A51"/>
    <w:rsid w:val="00DB1B79"/>
    <w:rsid w:val="00DB1CC9"/>
    <w:rsid w:val="00DB1DAC"/>
    <w:rsid w:val="00DB212B"/>
    <w:rsid w:val="00DB2141"/>
    <w:rsid w:val="00DB2483"/>
    <w:rsid w:val="00DB2764"/>
    <w:rsid w:val="00DB28D1"/>
    <w:rsid w:val="00DB29A7"/>
    <w:rsid w:val="00DB2C28"/>
    <w:rsid w:val="00DB2CCC"/>
    <w:rsid w:val="00DB2F5D"/>
    <w:rsid w:val="00DB328B"/>
    <w:rsid w:val="00DB32FF"/>
    <w:rsid w:val="00DB355D"/>
    <w:rsid w:val="00DB35F3"/>
    <w:rsid w:val="00DB3956"/>
    <w:rsid w:val="00DB3C92"/>
    <w:rsid w:val="00DB415C"/>
    <w:rsid w:val="00DB41A4"/>
    <w:rsid w:val="00DB44B8"/>
    <w:rsid w:val="00DB4AC5"/>
    <w:rsid w:val="00DB4B28"/>
    <w:rsid w:val="00DB4B44"/>
    <w:rsid w:val="00DB4C32"/>
    <w:rsid w:val="00DB4E35"/>
    <w:rsid w:val="00DB4F91"/>
    <w:rsid w:val="00DB502E"/>
    <w:rsid w:val="00DB5066"/>
    <w:rsid w:val="00DB5214"/>
    <w:rsid w:val="00DB543A"/>
    <w:rsid w:val="00DB569B"/>
    <w:rsid w:val="00DB5708"/>
    <w:rsid w:val="00DB5D0B"/>
    <w:rsid w:val="00DB5FF4"/>
    <w:rsid w:val="00DB605D"/>
    <w:rsid w:val="00DB60BB"/>
    <w:rsid w:val="00DB617D"/>
    <w:rsid w:val="00DB61C2"/>
    <w:rsid w:val="00DB643F"/>
    <w:rsid w:val="00DB6551"/>
    <w:rsid w:val="00DB657E"/>
    <w:rsid w:val="00DB6673"/>
    <w:rsid w:val="00DB6691"/>
    <w:rsid w:val="00DB6736"/>
    <w:rsid w:val="00DB68D8"/>
    <w:rsid w:val="00DB6BC1"/>
    <w:rsid w:val="00DB6CC6"/>
    <w:rsid w:val="00DB6DFD"/>
    <w:rsid w:val="00DB7066"/>
    <w:rsid w:val="00DB7564"/>
    <w:rsid w:val="00DB77E2"/>
    <w:rsid w:val="00DB77F3"/>
    <w:rsid w:val="00DB7A36"/>
    <w:rsid w:val="00DB7E1B"/>
    <w:rsid w:val="00DB7FBA"/>
    <w:rsid w:val="00DB7FE0"/>
    <w:rsid w:val="00DC0023"/>
    <w:rsid w:val="00DC04B0"/>
    <w:rsid w:val="00DC062C"/>
    <w:rsid w:val="00DC08A3"/>
    <w:rsid w:val="00DC0997"/>
    <w:rsid w:val="00DC0A43"/>
    <w:rsid w:val="00DC0A8A"/>
    <w:rsid w:val="00DC1223"/>
    <w:rsid w:val="00DC1693"/>
    <w:rsid w:val="00DC16C1"/>
    <w:rsid w:val="00DC1942"/>
    <w:rsid w:val="00DC1BA3"/>
    <w:rsid w:val="00DC1E04"/>
    <w:rsid w:val="00DC1EE3"/>
    <w:rsid w:val="00DC1EFF"/>
    <w:rsid w:val="00DC1F5B"/>
    <w:rsid w:val="00DC22A8"/>
    <w:rsid w:val="00DC24C3"/>
    <w:rsid w:val="00DC28C0"/>
    <w:rsid w:val="00DC2BAE"/>
    <w:rsid w:val="00DC2E32"/>
    <w:rsid w:val="00DC2E8C"/>
    <w:rsid w:val="00DC392A"/>
    <w:rsid w:val="00DC3A8D"/>
    <w:rsid w:val="00DC4282"/>
    <w:rsid w:val="00DC4309"/>
    <w:rsid w:val="00DC471D"/>
    <w:rsid w:val="00DC4740"/>
    <w:rsid w:val="00DC47A4"/>
    <w:rsid w:val="00DC490B"/>
    <w:rsid w:val="00DC49D2"/>
    <w:rsid w:val="00DC4A4D"/>
    <w:rsid w:val="00DC4B1E"/>
    <w:rsid w:val="00DC4F0A"/>
    <w:rsid w:val="00DC4F92"/>
    <w:rsid w:val="00DC5264"/>
    <w:rsid w:val="00DC57FF"/>
    <w:rsid w:val="00DC5BE5"/>
    <w:rsid w:val="00DC5C26"/>
    <w:rsid w:val="00DC5E66"/>
    <w:rsid w:val="00DC61C6"/>
    <w:rsid w:val="00DC63E4"/>
    <w:rsid w:val="00DC63E6"/>
    <w:rsid w:val="00DC6519"/>
    <w:rsid w:val="00DC65CD"/>
    <w:rsid w:val="00DC6682"/>
    <w:rsid w:val="00DC67B7"/>
    <w:rsid w:val="00DC6AD1"/>
    <w:rsid w:val="00DC6C87"/>
    <w:rsid w:val="00DC6D2E"/>
    <w:rsid w:val="00DC6E2E"/>
    <w:rsid w:val="00DC7175"/>
    <w:rsid w:val="00DC71A5"/>
    <w:rsid w:val="00DC72C6"/>
    <w:rsid w:val="00DC7349"/>
    <w:rsid w:val="00DC740C"/>
    <w:rsid w:val="00DC74A7"/>
    <w:rsid w:val="00DC7614"/>
    <w:rsid w:val="00DC7785"/>
    <w:rsid w:val="00DC77A9"/>
    <w:rsid w:val="00DC7806"/>
    <w:rsid w:val="00DC7954"/>
    <w:rsid w:val="00DC7E2C"/>
    <w:rsid w:val="00DC7FBD"/>
    <w:rsid w:val="00DD0117"/>
    <w:rsid w:val="00DD022A"/>
    <w:rsid w:val="00DD03BD"/>
    <w:rsid w:val="00DD03E0"/>
    <w:rsid w:val="00DD08FF"/>
    <w:rsid w:val="00DD0BB1"/>
    <w:rsid w:val="00DD0BFB"/>
    <w:rsid w:val="00DD0C07"/>
    <w:rsid w:val="00DD0E40"/>
    <w:rsid w:val="00DD0EF0"/>
    <w:rsid w:val="00DD10DF"/>
    <w:rsid w:val="00DD11CC"/>
    <w:rsid w:val="00DD146E"/>
    <w:rsid w:val="00DD1625"/>
    <w:rsid w:val="00DD16B3"/>
    <w:rsid w:val="00DD1AFE"/>
    <w:rsid w:val="00DD1B47"/>
    <w:rsid w:val="00DD1D3C"/>
    <w:rsid w:val="00DD2199"/>
    <w:rsid w:val="00DD25E0"/>
    <w:rsid w:val="00DD279D"/>
    <w:rsid w:val="00DD2BCA"/>
    <w:rsid w:val="00DD2BF5"/>
    <w:rsid w:val="00DD2C8B"/>
    <w:rsid w:val="00DD2D06"/>
    <w:rsid w:val="00DD3300"/>
    <w:rsid w:val="00DD3345"/>
    <w:rsid w:val="00DD349A"/>
    <w:rsid w:val="00DD34B2"/>
    <w:rsid w:val="00DD36D9"/>
    <w:rsid w:val="00DD3A08"/>
    <w:rsid w:val="00DD3B38"/>
    <w:rsid w:val="00DD3B96"/>
    <w:rsid w:val="00DD3BCD"/>
    <w:rsid w:val="00DD3CF9"/>
    <w:rsid w:val="00DD3D07"/>
    <w:rsid w:val="00DD3DE1"/>
    <w:rsid w:val="00DD3F47"/>
    <w:rsid w:val="00DD40DF"/>
    <w:rsid w:val="00DD41D1"/>
    <w:rsid w:val="00DD42DD"/>
    <w:rsid w:val="00DD4377"/>
    <w:rsid w:val="00DD4555"/>
    <w:rsid w:val="00DD4C51"/>
    <w:rsid w:val="00DD4EA6"/>
    <w:rsid w:val="00DD4FBE"/>
    <w:rsid w:val="00DD5097"/>
    <w:rsid w:val="00DD50B7"/>
    <w:rsid w:val="00DD52ED"/>
    <w:rsid w:val="00DD5475"/>
    <w:rsid w:val="00DD54F9"/>
    <w:rsid w:val="00DD586E"/>
    <w:rsid w:val="00DD5916"/>
    <w:rsid w:val="00DD591B"/>
    <w:rsid w:val="00DD5DE6"/>
    <w:rsid w:val="00DD6113"/>
    <w:rsid w:val="00DD6406"/>
    <w:rsid w:val="00DD65B2"/>
    <w:rsid w:val="00DD6AA6"/>
    <w:rsid w:val="00DD6D25"/>
    <w:rsid w:val="00DD6FFD"/>
    <w:rsid w:val="00DD7072"/>
    <w:rsid w:val="00DD7309"/>
    <w:rsid w:val="00DD75D1"/>
    <w:rsid w:val="00DD77FB"/>
    <w:rsid w:val="00DD79C8"/>
    <w:rsid w:val="00DD7A8D"/>
    <w:rsid w:val="00DD7AAD"/>
    <w:rsid w:val="00DD7DF5"/>
    <w:rsid w:val="00DD7FD7"/>
    <w:rsid w:val="00DE00B5"/>
    <w:rsid w:val="00DE0636"/>
    <w:rsid w:val="00DE06D0"/>
    <w:rsid w:val="00DE0A09"/>
    <w:rsid w:val="00DE0FCE"/>
    <w:rsid w:val="00DE1005"/>
    <w:rsid w:val="00DE1297"/>
    <w:rsid w:val="00DE12CD"/>
    <w:rsid w:val="00DE1352"/>
    <w:rsid w:val="00DE14E3"/>
    <w:rsid w:val="00DE1543"/>
    <w:rsid w:val="00DE15B6"/>
    <w:rsid w:val="00DE24A7"/>
    <w:rsid w:val="00DE2730"/>
    <w:rsid w:val="00DE2A28"/>
    <w:rsid w:val="00DE2AEE"/>
    <w:rsid w:val="00DE2D79"/>
    <w:rsid w:val="00DE2DB6"/>
    <w:rsid w:val="00DE2E8E"/>
    <w:rsid w:val="00DE2EF3"/>
    <w:rsid w:val="00DE2FDC"/>
    <w:rsid w:val="00DE31D2"/>
    <w:rsid w:val="00DE3319"/>
    <w:rsid w:val="00DE3667"/>
    <w:rsid w:val="00DE3741"/>
    <w:rsid w:val="00DE37B6"/>
    <w:rsid w:val="00DE391A"/>
    <w:rsid w:val="00DE3AC6"/>
    <w:rsid w:val="00DE3E9F"/>
    <w:rsid w:val="00DE424C"/>
    <w:rsid w:val="00DE4339"/>
    <w:rsid w:val="00DE4795"/>
    <w:rsid w:val="00DE47CA"/>
    <w:rsid w:val="00DE48C6"/>
    <w:rsid w:val="00DE493E"/>
    <w:rsid w:val="00DE49B7"/>
    <w:rsid w:val="00DE4A1C"/>
    <w:rsid w:val="00DE4D07"/>
    <w:rsid w:val="00DE5306"/>
    <w:rsid w:val="00DE5324"/>
    <w:rsid w:val="00DE5D7B"/>
    <w:rsid w:val="00DE5EA8"/>
    <w:rsid w:val="00DE5F86"/>
    <w:rsid w:val="00DE5F95"/>
    <w:rsid w:val="00DE64EB"/>
    <w:rsid w:val="00DE6C90"/>
    <w:rsid w:val="00DE700D"/>
    <w:rsid w:val="00DE756E"/>
    <w:rsid w:val="00DE75CC"/>
    <w:rsid w:val="00DE7663"/>
    <w:rsid w:val="00DE77D7"/>
    <w:rsid w:val="00DE788E"/>
    <w:rsid w:val="00DE79AA"/>
    <w:rsid w:val="00DE79FC"/>
    <w:rsid w:val="00DE7C5C"/>
    <w:rsid w:val="00DE7D69"/>
    <w:rsid w:val="00DF02BC"/>
    <w:rsid w:val="00DF037E"/>
    <w:rsid w:val="00DF04F6"/>
    <w:rsid w:val="00DF05CE"/>
    <w:rsid w:val="00DF0749"/>
    <w:rsid w:val="00DF089C"/>
    <w:rsid w:val="00DF0DCE"/>
    <w:rsid w:val="00DF0E51"/>
    <w:rsid w:val="00DF0E55"/>
    <w:rsid w:val="00DF0F4E"/>
    <w:rsid w:val="00DF1165"/>
    <w:rsid w:val="00DF1230"/>
    <w:rsid w:val="00DF13E7"/>
    <w:rsid w:val="00DF1456"/>
    <w:rsid w:val="00DF15ED"/>
    <w:rsid w:val="00DF1832"/>
    <w:rsid w:val="00DF18DE"/>
    <w:rsid w:val="00DF1A93"/>
    <w:rsid w:val="00DF1DEB"/>
    <w:rsid w:val="00DF1F33"/>
    <w:rsid w:val="00DF2D30"/>
    <w:rsid w:val="00DF2E1C"/>
    <w:rsid w:val="00DF2F69"/>
    <w:rsid w:val="00DF322C"/>
    <w:rsid w:val="00DF3B5F"/>
    <w:rsid w:val="00DF3BEC"/>
    <w:rsid w:val="00DF3DBA"/>
    <w:rsid w:val="00DF3E72"/>
    <w:rsid w:val="00DF3F0D"/>
    <w:rsid w:val="00DF48AE"/>
    <w:rsid w:val="00DF4D17"/>
    <w:rsid w:val="00DF5310"/>
    <w:rsid w:val="00DF536B"/>
    <w:rsid w:val="00DF569C"/>
    <w:rsid w:val="00DF57AF"/>
    <w:rsid w:val="00DF59F8"/>
    <w:rsid w:val="00DF5A9B"/>
    <w:rsid w:val="00DF5AE8"/>
    <w:rsid w:val="00DF5AF2"/>
    <w:rsid w:val="00DF5C23"/>
    <w:rsid w:val="00DF5C7B"/>
    <w:rsid w:val="00DF5D43"/>
    <w:rsid w:val="00DF5FCC"/>
    <w:rsid w:val="00DF62CB"/>
    <w:rsid w:val="00DF67AC"/>
    <w:rsid w:val="00DF67BC"/>
    <w:rsid w:val="00DF6815"/>
    <w:rsid w:val="00DF68A0"/>
    <w:rsid w:val="00DF6AEF"/>
    <w:rsid w:val="00DF6B2A"/>
    <w:rsid w:val="00DF704D"/>
    <w:rsid w:val="00DF776E"/>
    <w:rsid w:val="00DF785C"/>
    <w:rsid w:val="00DF7B2E"/>
    <w:rsid w:val="00E0010D"/>
    <w:rsid w:val="00E0010E"/>
    <w:rsid w:val="00E003BD"/>
    <w:rsid w:val="00E01269"/>
    <w:rsid w:val="00E015C6"/>
    <w:rsid w:val="00E015C8"/>
    <w:rsid w:val="00E01B06"/>
    <w:rsid w:val="00E01CA3"/>
    <w:rsid w:val="00E01DE2"/>
    <w:rsid w:val="00E021E2"/>
    <w:rsid w:val="00E02449"/>
    <w:rsid w:val="00E02463"/>
    <w:rsid w:val="00E02596"/>
    <w:rsid w:val="00E02801"/>
    <w:rsid w:val="00E02EEC"/>
    <w:rsid w:val="00E03026"/>
    <w:rsid w:val="00E0311B"/>
    <w:rsid w:val="00E03132"/>
    <w:rsid w:val="00E0319F"/>
    <w:rsid w:val="00E031CD"/>
    <w:rsid w:val="00E03634"/>
    <w:rsid w:val="00E039ED"/>
    <w:rsid w:val="00E03A37"/>
    <w:rsid w:val="00E03B5B"/>
    <w:rsid w:val="00E03E1E"/>
    <w:rsid w:val="00E03FF2"/>
    <w:rsid w:val="00E04181"/>
    <w:rsid w:val="00E042BD"/>
    <w:rsid w:val="00E04416"/>
    <w:rsid w:val="00E0463C"/>
    <w:rsid w:val="00E04824"/>
    <w:rsid w:val="00E0497C"/>
    <w:rsid w:val="00E04993"/>
    <w:rsid w:val="00E04A92"/>
    <w:rsid w:val="00E04E88"/>
    <w:rsid w:val="00E05310"/>
    <w:rsid w:val="00E053D7"/>
    <w:rsid w:val="00E05858"/>
    <w:rsid w:val="00E059A9"/>
    <w:rsid w:val="00E05DA9"/>
    <w:rsid w:val="00E05F4C"/>
    <w:rsid w:val="00E060E6"/>
    <w:rsid w:val="00E0645C"/>
    <w:rsid w:val="00E064C3"/>
    <w:rsid w:val="00E069CB"/>
    <w:rsid w:val="00E06AB8"/>
    <w:rsid w:val="00E06D0B"/>
    <w:rsid w:val="00E07019"/>
    <w:rsid w:val="00E07059"/>
    <w:rsid w:val="00E07149"/>
    <w:rsid w:val="00E071F9"/>
    <w:rsid w:val="00E072DD"/>
    <w:rsid w:val="00E07511"/>
    <w:rsid w:val="00E0760A"/>
    <w:rsid w:val="00E0776D"/>
    <w:rsid w:val="00E07936"/>
    <w:rsid w:val="00E07A7B"/>
    <w:rsid w:val="00E07BC3"/>
    <w:rsid w:val="00E07BDF"/>
    <w:rsid w:val="00E07D82"/>
    <w:rsid w:val="00E07DDF"/>
    <w:rsid w:val="00E1043C"/>
    <w:rsid w:val="00E105FE"/>
    <w:rsid w:val="00E107CE"/>
    <w:rsid w:val="00E1080E"/>
    <w:rsid w:val="00E10900"/>
    <w:rsid w:val="00E1098F"/>
    <w:rsid w:val="00E10B59"/>
    <w:rsid w:val="00E10C50"/>
    <w:rsid w:val="00E11223"/>
    <w:rsid w:val="00E1122C"/>
    <w:rsid w:val="00E11407"/>
    <w:rsid w:val="00E115BD"/>
    <w:rsid w:val="00E1184D"/>
    <w:rsid w:val="00E11E30"/>
    <w:rsid w:val="00E1200A"/>
    <w:rsid w:val="00E120FD"/>
    <w:rsid w:val="00E12127"/>
    <w:rsid w:val="00E12301"/>
    <w:rsid w:val="00E123D0"/>
    <w:rsid w:val="00E12751"/>
    <w:rsid w:val="00E127B7"/>
    <w:rsid w:val="00E12BEC"/>
    <w:rsid w:val="00E12C82"/>
    <w:rsid w:val="00E12F39"/>
    <w:rsid w:val="00E12FE7"/>
    <w:rsid w:val="00E12FFE"/>
    <w:rsid w:val="00E1304F"/>
    <w:rsid w:val="00E13079"/>
    <w:rsid w:val="00E1344B"/>
    <w:rsid w:val="00E13490"/>
    <w:rsid w:val="00E134F6"/>
    <w:rsid w:val="00E13639"/>
    <w:rsid w:val="00E138F9"/>
    <w:rsid w:val="00E139DE"/>
    <w:rsid w:val="00E13DC2"/>
    <w:rsid w:val="00E13ECD"/>
    <w:rsid w:val="00E13EFE"/>
    <w:rsid w:val="00E145ED"/>
    <w:rsid w:val="00E1469C"/>
    <w:rsid w:val="00E146D9"/>
    <w:rsid w:val="00E14905"/>
    <w:rsid w:val="00E14A9A"/>
    <w:rsid w:val="00E14C40"/>
    <w:rsid w:val="00E15247"/>
    <w:rsid w:val="00E15381"/>
    <w:rsid w:val="00E15451"/>
    <w:rsid w:val="00E15929"/>
    <w:rsid w:val="00E15B73"/>
    <w:rsid w:val="00E1615F"/>
    <w:rsid w:val="00E161E9"/>
    <w:rsid w:val="00E16231"/>
    <w:rsid w:val="00E165D3"/>
    <w:rsid w:val="00E16E0A"/>
    <w:rsid w:val="00E16E2F"/>
    <w:rsid w:val="00E16FED"/>
    <w:rsid w:val="00E17174"/>
    <w:rsid w:val="00E17243"/>
    <w:rsid w:val="00E1756F"/>
    <w:rsid w:val="00E17613"/>
    <w:rsid w:val="00E1792C"/>
    <w:rsid w:val="00E17978"/>
    <w:rsid w:val="00E17CEB"/>
    <w:rsid w:val="00E205FA"/>
    <w:rsid w:val="00E206A2"/>
    <w:rsid w:val="00E20759"/>
    <w:rsid w:val="00E20BF5"/>
    <w:rsid w:val="00E20DFE"/>
    <w:rsid w:val="00E20EC9"/>
    <w:rsid w:val="00E20FBC"/>
    <w:rsid w:val="00E20FEA"/>
    <w:rsid w:val="00E2117F"/>
    <w:rsid w:val="00E21215"/>
    <w:rsid w:val="00E215A7"/>
    <w:rsid w:val="00E21763"/>
    <w:rsid w:val="00E2182A"/>
    <w:rsid w:val="00E218BF"/>
    <w:rsid w:val="00E21B3D"/>
    <w:rsid w:val="00E21BD1"/>
    <w:rsid w:val="00E21E00"/>
    <w:rsid w:val="00E21EE8"/>
    <w:rsid w:val="00E21F01"/>
    <w:rsid w:val="00E2206C"/>
    <w:rsid w:val="00E220D4"/>
    <w:rsid w:val="00E220D8"/>
    <w:rsid w:val="00E22584"/>
    <w:rsid w:val="00E22765"/>
    <w:rsid w:val="00E22ABF"/>
    <w:rsid w:val="00E22B2E"/>
    <w:rsid w:val="00E22C22"/>
    <w:rsid w:val="00E22CF1"/>
    <w:rsid w:val="00E22DF0"/>
    <w:rsid w:val="00E2304B"/>
    <w:rsid w:val="00E230EC"/>
    <w:rsid w:val="00E23984"/>
    <w:rsid w:val="00E23CDE"/>
    <w:rsid w:val="00E23ED0"/>
    <w:rsid w:val="00E23F3D"/>
    <w:rsid w:val="00E24937"/>
    <w:rsid w:val="00E249E7"/>
    <w:rsid w:val="00E24A52"/>
    <w:rsid w:val="00E24DC3"/>
    <w:rsid w:val="00E2537C"/>
    <w:rsid w:val="00E254FD"/>
    <w:rsid w:val="00E2570E"/>
    <w:rsid w:val="00E258F0"/>
    <w:rsid w:val="00E25D8B"/>
    <w:rsid w:val="00E25F0D"/>
    <w:rsid w:val="00E25FF5"/>
    <w:rsid w:val="00E26092"/>
    <w:rsid w:val="00E2652B"/>
    <w:rsid w:val="00E2683B"/>
    <w:rsid w:val="00E2699E"/>
    <w:rsid w:val="00E26B49"/>
    <w:rsid w:val="00E27C68"/>
    <w:rsid w:val="00E27E2F"/>
    <w:rsid w:val="00E27E73"/>
    <w:rsid w:val="00E300FB"/>
    <w:rsid w:val="00E30303"/>
    <w:rsid w:val="00E3038C"/>
    <w:rsid w:val="00E3047F"/>
    <w:rsid w:val="00E304E5"/>
    <w:rsid w:val="00E305AD"/>
    <w:rsid w:val="00E31085"/>
    <w:rsid w:val="00E311BC"/>
    <w:rsid w:val="00E31255"/>
    <w:rsid w:val="00E312C3"/>
    <w:rsid w:val="00E31510"/>
    <w:rsid w:val="00E3177B"/>
    <w:rsid w:val="00E31922"/>
    <w:rsid w:val="00E31BC5"/>
    <w:rsid w:val="00E31C02"/>
    <w:rsid w:val="00E31DA6"/>
    <w:rsid w:val="00E321C8"/>
    <w:rsid w:val="00E3257B"/>
    <w:rsid w:val="00E32826"/>
    <w:rsid w:val="00E32AE1"/>
    <w:rsid w:val="00E32F8B"/>
    <w:rsid w:val="00E33122"/>
    <w:rsid w:val="00E332DF"/>
    <w:rsid w:val="00E3350E"/>
    <w:rsid w:val="00E3373A"/>
    <w:rsid w:val="00E33A5E"/>
    <w:rsid w:val="00E33B16"/>
    <w:rsid w:val="00E33B6E"/>
    <w:rsid w:val="00E343BB"/>
    <w:rsid w:val="00E34504"/>
    <w:rsid w:val="00E3458B"/>
    <w:rsid w:val="00E34695"/>
    <w:rsid w:val="00E346F4"/>
    <w:rsid w:val="00E34C29"/>
    <w:rsid w:val="00E34CDE"/>
    <w:rsid w:val="00E350FA"/>
    <w:rsid w:val="00E351FB"/>
    <w:rsid w:val="00E354C2"/>
    <w:rsid w:val="00E3553C"/>
    <w:rsid w:val="00E355D0"/>
    <w:rsid w:val="00E3569E"/>
    <w:rsid w:val="00E356DE"/>
    <w:rsid w:val="00E356E2"/>
    <w:rsid w:val="00E35761"/>
    <w:rsid w:val="00E35881"/>
    <w:rsid w:val="00E35AFD"/>
    <w:rsid w:val="00E35B5C"/>
    <w:rsid w:val="00E35DF9"/>
    <w:rsid w:val="00E35F0C"/>
    <w:rsid w:val="00E361B1"/>
    <w:rsid w:val="00E36716"/>
    <w:rsid w:val="00E36936"/>
    <w:rsid w:val="00E36A71"/>
    <w:rsid w:val="00E36A78"/>
    <w:rsid w:val="00E36B20"/>
    <w:rsid w:val="00E36D62"/>
    <w:rsid w:val="00E37107"/>
    <w:rsid w:val="00E371BF"/>
    <w:rsid w:val="00E373E4"/>
    <w:rsid w:val="00E374A4"/>
    <w:rsid w:val="00E37D68"/>
    <w:rsid w:val="00E37FD5"/>
    <w:rsid w:val="00E405DE"/>
    <w:rsid w:val="00E40B42"/>
    <w:rsid w:val="00E40BC0"/>
    <w:rsid w:val="00E40E44"/>
    <w:rsid w:val="00E40E5B"/>
    <w:rsid w:val="00E41092"/>
    <w:rsid w:val="00E4133F"/>
    <w:rsid w:val="00E4149C"/>
    <w:rsid w:val="00E41AB9"/>
    <w:rsid w:val="00E41B93"/>
    <w:rsid w:val="00E41CCE"/>
    <w:rsid w:val="00E41D47"/>
    <w:rsid w:val="00E41F07"/>
    <w:rsid w:val="00E42166"/>
    <w:rsid w:val="00E42262"/>
    <w:rsid w:val="00E424BF"/>
    <w:rsid w:val="00E424D2"/>
    <w:rsid w:val="00E426E1"/>
    <w:rsid w:val="00E426E2"/>
    <w:rsid w:val="00E42724"/>
    <w:rsid w:val="00E4277D"/>
    <w:rsid w:val="00E42A4F"/>
    <w:rsid w:val="00E42BEC"/>
    <w:rsid w:val="00E42D8A"/>
    <w:rsid w:val="00E42DE8"/>
    <w:rsid w:val="00E43124"/>
    <w:rsid w:val="00E43189"/>
    <w:rsid w:val="00E43627"/>
    <w:rsid w:val="00E43680"/>
    <w:rsid w:val="00E438CF"/>
    <w:rsid w:val="00E4393B"/>
    <w:rsid w:val="00E439DA"/>
    <w:rsid w:val="00E43B18"/>
    <w:rsid w:val="00E43C2D"/>
    <w:rsid w:val="00E43DB2"/>
    <w:rsid w:val="00E43EA8"/>
    <w:rsid w:val="00E44165"/>
    <w:rsid w:val="00E441FE"/>
    <w:rsid w:val="00E44213"/>
    <w:rsid w:val="00E4445A"/>
    <w:rsid w:val="00E44854"/>
    <w:rsid w:val="00E44942"/>
    <w:rsid w:val="00E44B19"/>
    <w:rsid w:val="00E44B70"/>
    <w:rsid w:val="00E44C9B"/>
    <w:rsid w:val="00E44F10"/>
    <w:rsid w:val="00E453DD"/>
    <w:rsid w:val="00E455F5"/>
    <w:rsid w:val="00E4560F"/>
    <w:rsid w:val="00E457D6"/>
    <w:rsid w:val="00E457F3"/>
    <w:rsid w:val="00E45ACF"/>
    <w:rsid w:val="00E45B59"/>
    <w:rsid w:val="00E4602F"/>
    <w:rsid w:val="00E46076"/>
    <w:rsid w:val="00E4611B"/>
    <w:rsid w:val="00E4693F"/>
    <w:rsid w:val="00E46D76"/>
    <w:rsid w:val="00E46EEE"/>
    <w:rsid w:val="00E46F49"/>
    <w:rsid w:val="00E47385"/>
    <w:rsid w:val="00E474A9"/>
    <w:rsid w:val="00E47598"/>
    <w:rsid w:val="00E47840"/>
    <w:rsid w:val="00E478BC"/>
    <w:rsid w:val="00E479A9"/>
    <w:rsid w:val="00E47C0B"/>
    <w:rsid w:val="00E47D54"/>
    <w:rsid w:val="00E47F38"/>
    <w:rsid w:val="00E47F50"/>
    <w:rsid w:val="00E50084"/>
    <w:rsid w:val="00E50314"/>
    <w:rsid w:val="00E50333"/>
    <w:rsid w:val="00E5068D"/>
    <w:rsid w:val="00E50764"/>
    <w:rsid w:val="00E509F0"/>
    <w:rsid w:val="00E50AAA"/>
    <w:rsid w:val="00E50BDB"/>
    <w:rsid w:val="00E50C3C"/>
    <w:rsid w:val="00E50C4B"/>
    <w:rsid w:val="00E51143"/>
    <w:rsid w:val="00E51268"/>
    <w:rsid w:val="00E5132B"/>
    <w:rsid w:val="00E518B2"/>
    <w:rsid w:val="00E51A8A"/>
    <w:rsid w:val="00E51CFA"/>
    <w:rsid w:val="00E51F0B"/>
    <w:rsid w:val="00E51F82"/>
    <w:rsid w:val="00E51FC1"/>
    <w:rsid w:val="00E51FD1"/>
    <w:rsid w:val="00E5219A"/>
    <w:rsid w:val="00E521AC"/>
    <w:rsid w:val="00E52344"/>
    <w:rsid w:val="00E5242D"/>
    <w:rsid w:val="00E52542"/>
    <w:rsid w:val="00E527BE"/>
    <w:rsid w:val="00E52890"/>
    <w:rsid w:val="00E528A1"/>
    <w:rsid w:val="00E528DD"/>
    <w:rsid w:val="00E52915"/>
    <w:rsid w:val="00E52C85"/>
    <w:rsid w:val="00E530F2"/>
    <w:rsid w:val="00E5360B"/>
    <w:rsid w:val="00E537D9"/>
    <w:rsid w:val="00E53806"/>
    <w:rsid w:val="00E53988"/>
    <w:rsid w:val="00E53A76"/>
    <w:rsid w:val="00E53ABA"/>
    <w:rsid w:val="00E53C6B"/>
    <w:rsid w:val="00E53D1E"/>
    <w:rsid w:val="00E53E15"/>
    <w:rsid w:val="00E53EAE"/>
    <w:rsid w:val="00E54014"/>
    <w:rsid w:val="00E5408D"/>
    <w:rsid w:val="00E540B6"/>
    <w:rsid w:val="00E541DC"/>
    <w:rsid w:val="00E54395"/>
    <w:rsid w:val="00E54531"/>
    <w:rsid w:val="00E5474D"/>
    <w:rsid w:val="00E54941"/>
    <w:rsid w:val="00E54B4B"/>
    <w:rsid w:val="00E54DE8"/>
    <w:rsid w:val="00E54FBC"/>
    <w:rsid w:val="00E54FCD"/>
    <w:rsid w:val="00E55036"/>
    <w:rsid w:val="00E55105"/>
    <w:rsid w:val="00E55200"/>
    <w:rsid w:val="00E55238"/>
    <w:rsid w:val="00E552F5"/>
    <w:rsid w:val="00E55547"/>
    <w:rsid w:val="00E559C0"/>
    <w:rsid w:val="00E55C09"/>
    <w:rsid w:val="00E55EC9"/>
    <w:rsid w:val="00E5667E"/>
    <w:rsid w:val="00E56F38"/>
    <w:rsid w:val="00E577B7"/>
    <w:rsid w:val="00E57A82"/>
    <w:rsid w:val="00E57DFA"/>
    <w:rsid w:val="00E57F52"/>
    <w:rsid w:val="00E5B10D"/>
    <w:rsid w:val="00E5B11A"/>
    <w:rsid w:val="00E6010A"/>
    <w:rsid w:val="00E6014F"/>
    <w:rsid w:val="00E60206"/>
    <w:rsid w:val="00E602E4"/>
    <w:rsid w:val="00E603BE"/>
    <w:rsid w:val="00E60470"/>
    <w:rsid w:val="00E60566"/>
    <w:rsid w:val="00E609FD"/>
    <w:rsid w:val="00E60A02"/>
    <w:rsid w:val="00E60B5F"/>
    <w:rsid w:val="00E60E6C"/>
    <w:rsid w:val="00E60E90"/>
    <w:rsid w:val="00E60F62"/>
    <w:rsid w:val="00E610DB"/>
    <w:rsid w:val="00E61124"/>
    <w:rsid w:val="00E61490"/>
    <w:rsid w:val="00E615E5"/>
    <w:rsid w:val="00E617DF"/>
    <w:rsid w:val="00E619F7"/>
    <w:rsid w:val="00E61A1D"/>
    <w:rsid w:val="00E61B69"/>
    <w:rsid w:val="00E61B82"/>
    <w:rsid w:val="00E61BD3"/>
    <w:rsid w:val="00E61C97"/>
    <w:rsid w:val="00E61D6C"/>
    <w:rsid w:val="00E61E59"/>
    <w:rsid w:val="00E623BE"/>
    <w:rsid w:val="00E623CA"/>
    <w:rsid w:val="00E62710"/>
    <w:rsid w:val="00E628AA"/>
    <w:rsid w:val="00E6296D"/>
    <w:rsid w:val="00E62B40"/>
    <w:rsid w:val="00E62B47"/>
    <w:rsid w:val="00E62C06"/>
    <w:rsid w:val="00E631B2"/>
    <w:rsid w:val="00E63268"/>
    <w:rsid w:val="00E63382"/>
    <w:rsid w:val="00E63387"/>
    <w:rsid w:val="00E635D1"/>
    <w:rsid w:val="00E63854"/>
    <w:rsid w:val="00E63A49"/>
    <w:rsid w:val="00E63AFA"/>
    <w:rsid w:val="00E63E0D"/>
    <w:rsid w:val="00E63EA0"/>
    <w:rsid w:val="00E64C9F"/>
    <w:rsid w:val="00E64D16"/>
    <w:rsid w:val="00E64D64"/>
    <w:rsid w:val="00E64F95"/>
    <w:rsid w:val="00E65307"/>
    <w:rsid w:val="00E65433"/>
    <w:rsid w:val="00E655C0"/>
    <w:rsid w:val="00E65817"/>
    <w:rsid w:val="00E65923"/>
    <w:rsid w:val="00E65973"/>
    <w:rsid w:val="00E659A6"/>
    <w:rsid w:val="00E65D21"/>
    <w:rsid w:val="00E65FD0"/>
    <w:rsid w:val="00E6620F"/>
    <w:rsid w:val="00E66A1F"/>
    <w:rsid w:val="00E66A73"/>
    <w:rsid w:val="00E66BD0"/>
    <w:rsid w:val="00E66EDB"/>
    <w:rsid w:val="00E66FB0"/>
    <w:rsid w:val="00E670C9"/>
    <w:rsid w:val="00E673D8"/>
    <w:rsid w:val="00E6762D"/>
    <w:rsid w:val="00E67E4C"/>
    <w:rsid w:val="00E67E6A"/>
    <w:rsid w:val="00E701CD"/>
    <w:rsid w:val="00E70282"/>
    <w:rsid w:val="00E70305"/>
    <w:rsid w:val="00E70C24"/>
    <w:rsid w:val="00E70C96"/>
    <w:rsid w:val="00E70E3C"/>
    <w:rsid w:val="00E71086"/>
    <w:rsid w:val="00E7122C"/>
    <w:rsid w:val="00E71494"/>
    <w:rsid w:val="00E71AD1"/>
    <w:rsid w:val="00E71ADA"/>
    <w:rsid w:val="00E71C7D"/>
    <w:rsid w:val="00E71C8E"/>
    <w:rsid w:val="00E71D8D"/>
    <w:rsid w:val="00E71DD5"/>
    <w:rsid w:val="00E72107"/>
    <w:rsid w:val="00E72175"/>
    <w:rsid w:val="00E72446"/>
    <w:rsid w:val="00E72460"/>
    <w:rsid w:val="00E724D4"/>
    <w:rsid w:val="00E72592"/>
    <w:rsid w:val="00E72790"/>
    <w:rsid w:val="00E72BBD"/>
    <w:rsid w:val="00E72BFE"/>
    <w:rsid w:val="00E72C1E"/>
    <w:rsid w:val="00E72C45"/>
    <w:rsid w:val="00E72CEB"/>
    <w:rsid w:val="00E73893"/>
    <w:rsid w:val="00E739C0"/>
    <w:rsid w:val="00E73A7A"/>
    <w:rsid w:val="00E73A93"/>
    <w:rsid w:val="00E73C5A"/>
    <w:rsid w:val="00E74165"/>
    <w:rsid w:val="00E741F0"/>
    <w:rsid w:val="00E74234"/>
    <w:rsid w:val="00E7433C"/>
    <w:rsid w:val="00E74415"/>
    <w:rsid w:val="00E74546"/>
    <w:rsid w:val="00E74781"/>
    <w:rsid w:val="00E751ED"/>
    <w:rsid w:val="00E7543F"/>
    <w:rsid w:val="00E754FE"/>
    <w:rsid w:val="00E755B3"/>
    <w:rsid w:val="00E75797"/>
    <w:rsid w:val="00E757FB"/>
    <w:rsid w:val="00E7596D"/>
    <w:rsid w:val="00E75B07"/>
    <w:rsid w:val="00E75D54"/>
    <w:rsid w:val="00E75E54"/>
    <w:rsid w:val="00E76128"/>
    <w:rsid w:val="00E76167"/>
    <w:rsid w:val="00E763AA"/>
    <w:rsid w:val="00E7647E"/>
    <w:rsid w:val="00E76554"/>
    <w:rsid w:val="00E765A6"/>
    <w:rsid w:val="00E765FC"/>
    <w:rsid w:val="00E7674D"/>
    <w:rsid w:val="00E76A0F"/>
    <w:rsid w:val="00E76B49"/>
    <w:rsid w:val="00E76C14"/>
    <w:rsid w:val="00E76C27"/>
    <w:rsid w:val="00E7710A"/>
    <w:rsid w:val="00E7713B"/>
    <w:rsid w:val="00E775F4"/>
    <w:rsid w:val="00E77720"/>
    <w:rsid w:val="00E7778C"/>
    <w:rsid w:val="00E77829"/>
    <w:rsid w:val="00E77866"/>
    <w:rsid w:val="00E7788F"/>
    <w:rsid w:val="00E77B4A"/>
    <w:rsid w:val="00E77BCB"/>
    <w:rsid w:val="00E77BDD"/>
    <w:rsid w:val="00E77C01"/>
    <w:rsid w:val="00E77C38"/>
    <w:rsid w:val="00E77C84"/>
    <w:rsid w:val="00E8021E"/>
    <w:rsid w:val="00E80338"/>
    <w:rsid w:val="00E80917"/>
    <w:rsid w:val="00E809F4"/>
    <w:rsid w:val="00E80A31"/>
    <w:rsid w:val="00E80A44"/>
    <w:rsid w:val="00E80A47"/>
    <w:rsid w:val="00E80B56"/>
    <w:rsid w:val="00E80C00"/>
    <w:rsid w:val="00E80C9C"/>
    <w:rsid w:val="00E80D15"/>
    <w:rsid w:val="00E81021"/>
    <w:rsid w:val="00E81099"/>
    <w:rsid w:val="00E8136E"/>
    <w:rsid w:val="00E81759"/>
    <w:rsid w:val="00E817D1"/>
    <w:rsid w:val="00E81826"/>
    <w:rsid w:val="00E818FA"/>
    <w:rsid w:val="00E8190A"/>
    <w:rsid w:val="00E81AFC"/>
    <w:rsid w:val="00E81C98"/>
    <w:rsid w:val="00E81FAA"/>
    <w:rsid w:val="00E82097"/>
    <w:rsid w:val="00E821FB"/>
    <w:rsid w:val="00E8221F"/>
    <w:rsid w:val="00E8268A"/>
    <w:rsid w:val="00E82E04"/>
    <w:rsid w:val="00E82F18"/>
    <w:rsid w:val="00E82F30"/>
    <w:rsid w:val="00E82F97"/>
    <w:rsid w:val="00E8302D"/>
    <w:rsid w:val="00E83078"/>
    <w:rsid w:val="00E83518"/>
    <w:rsid w:val="00E83929"/>
    <w:rsid w:val="00E83949"/>
    <w:rsid w:val="00E83ACB"/>
    <w:rsid w:val="00E83DD1"/>
    <w:rsid w:val="00E83E91"/>
    <w:rsid w:val="00E83EEB"/>
    <w:rsid w:val="00E83FA9"/>
    <w:rsid w:val="00E8404C"/>
    <w:rsid w:val="00E844EE"/>
    <w:rsid w:val="00E84556"/>
    <w:rsid w:val="00E84972"/>
    <w:rsid w:val="00E84B28"/>
    <w:rsid w:val="00E84C15"/>
    <w:rsid w:val="00E85087"/>
    <w:rsid w:val="00E8521C"/>
    <w:rsid w:val="00E857B1"/>
    <w:rsid w:val="00E857B6"/>
    <w:rsid w:val="00E85910"/>
    <w:rsid w:val="00E85A1A"/>
    <w:rsid w:val="00E85BCE"/>
    <w:rsid w:val="00E85DF0"/>
    <w:rsid w:val="00E85E62"/>
    <w:rsid w:val="00E85E77"/>
    <w:rsid w:val="00E86076"/>
    <w:rsid w:val="00E86276"/>
    <w:rsid w:val="00E86503"/>
    <w:rsid w:val="00E866A4"/>
    <w:rsid w:val="00E86885"/>
    <w:rsid w:val="00E86A58"/>
    <w:rsid w:val="00E86AF6"/>
    <w:rsid w:val="00E86D58"/>
    <w:rsid w:val="00E86EA3"/>
    <w:rsid w:val="00E86EBC"/>
    <w:rsid w:val="00E86F13"/>
    <w:rsid w:val="00E86F49"/>
    <w:rsid w:val="00E86FC2"/>
    <w:rsid w:val="00E8703A"/>
    <w:rsid w:val="00E87107"/>
    <w:rsid w:val="00E87231"/>
    <w:rsid w:val="00E87236"/>
    <w:rsid w:val="00E87BD7"/>
    <w:rsid w:val="00E87DC6"/>
    <w:rsid w:val="00E87EFE"/>
    <w:rsid w:val="00E90011"/>
    <w:rsid w:val="00E90900"/>
    <w:rsid w:val="00E909C2"/>
    <w:rsid w:val="00E909D3"/>
    <w:rsid w:val="00E90ABC"/>
    <w:rsid w:val="00E90BB2"/>
    <w:rsid w:val="00E90C11"/>
    <w:rsid w:val="00E90CF0"/>
    <w:rsid w:val="00E9100C"/>
    <w:rsid w:val="00E91066"/>
    <w:rsid w:val="00E912FF"/>
    <w:rsid w:val="00E9133F"/>
    <w:rsid w:val="00E9159C"/>
    <w:rsid w:val="00E91683"/>
    <w:rsid w:val="00E91893"/>
    <w:rsid w:val="00E918D4"/>
    <w:rsid w:val="00E91914"/>
    <w:rsid w:val="00E919A3"/>
    <w:rsid w:val="00E91F26"/>
    <w:rsid w:val="00E92116"/>
    <w:rsid w:val="00E92179"/>
    <w:rsid w:val="00E922C6"/>
    <w:rsid w:val="00E92471"/>
    <w:rsid w:val="00E925AF"/>
    <w:rsid w:val="00E92C72"/>
    <w:rsid w:val="00E930B2"/>
    <w:rsid w:val="00E931DE"/>
    <w:rsid w:val="00E93445"/>
    <w:rsid w:val="00E9346E"/>
    <w:rsid w:val="00E934F6"/>
    <w:rsid w:val="00E93AAC"/>
    <w:rsid w:val="00E93B02"/>
    <w:rsid w:val="00E93D15"/>
    <w:rsid w:val="00E93E4D"/>
    <w:rsid w:val="00E94166"/>
    <w:rsid w:val="00E94195"/>
    <w:rsid w:val="00E94257"/>
    <w:rsid w:val="00E944C0"/>
    <w:rsid w:val="00E945F2"/>
    <w:rsid w:val="00E94AD7"/>
    <w:rsid w:val="00E94D53"/>
    <w:rsid w:val="00E94F80"/>
    <w:rsid w:val="00E94FC8"/>
    <w:rsid w:val="00E953D5"/>
    <w:rsid w:val="00E95541"/>
    <w:rsid w:val="00E9559F"/>
    <w:rsid w:val="00E95710"/>
    <w:rsid w:val="00E95813"/>
    <w:rsid w:val="00E95D66"/>
    <w:rsid w:val="00E95EF0"/>
    <w:rsid w:val="00E95F93"/>
    <w:rsid w:val="00E96213"/>
    <w:rsid w:val="00E96319"/>
    <w:rsid w:val="00E96894"/>
    <w:rsid w:val="00E96E15"/>
    <w:rsid w:val="00E96ED2"/>
    <w:rsid w:val="00E9706A"/>
    <w:rsid w:val="00E9722A"/>
    <w:rsid w:val="00E972E0"/>
    <w:rsid w:val="00E97572"/>
    <w:rsid w:val="00E97857"/>
    <w:rsid w:val="00E979AD"/>
    <w:rsid w:val="00E97A4E"/>
    <w:rsid w:val="00E97ACE"/>
    <w:rsid w:val="00E97B2B"/>
    <w:rsid w:val="00E9CACE"/>
    <w:rsid w:val="00EA027F"/>
    <w:rsid w:val="00EA0316"/>
    <w:rsid w:val="00EA0577"/>
    <w:rsid w:val="00EA05B0"/>
    <w:rsid w:val="00EA0600"/>
    <w:rsid w:val="00EA07B9"/>
    <w:rsid w:val="00EA07E5"/>
    <w:rsid w:val="00EA0983"/>
    <w:rsid w:val="00EA0B9A"/>
    <w:rsid w:val="00EA0C4C"/>
    <w:rsid w:val="00EA0E2C"/>
    <w:rsid w:val="00EA0F53"/>
    <w:rsid w:val="00EA0FBF"/>
    <w:rsid w:val="00EA126A"/>
    <w:rsid w:val="00EA13B0"/>
    <w:rsid w:val="00EA1490"/>
    <w:rsid w:val="00EA19E7"/>
    <w:rsid w:val="00EA1B40"/>
    <w:rsid w:val="00EA1DD2"/>
    <w:rsid w:val="00EA1FF6"/>
    <w:rsid w:val="00EA20E8"/>
    <w:rsid w:val="00EA2258"/>
    <w:rsid w:val="00EA2772"/>
    <w:rsid w:val="00EA27EA"/>
    <w:rsid w:val="00EA28DA"/>
    <w:rsid w:val="00EA2968"/>
    <w:rsid w:val="00EA3110"/>
    <w:rsid w:val="00EA3136"/>
    <w:rsid w:val="00EA3213"/>
    <w:rsid w:val="00EA33B2"/>
    <w:rsid w:val="00EA365C"/>
    <w:rsid w:val="00EA3729"/>
    <w:rsid w:val="00EA37D0"/>
    <w:rsid w:val="00EA3902"/>
    <w:rsid w:val="00EA396F"/>
    <w:rsid w:val="00EA39F1"/>
    <w:rsid w:val="00EA3B82"/>
    <w:rsid w:val="00EA3E52"/>
    <w:rsid w:val="00EA3E8F"/>
    <w:rsid w:val="00EA3F41"/>
    <w:rsid w:val="00EA3F9F"/>
    <w:rsid w:val="00EA438B"/>
    <w:rsid w:val="00EA4409"/>
    <w:rsid w:val="00EA44BF"/>
    <w:rsid w:val="00EA46DB"/>
    <w:rsid w:val="00EA4935"/>
    <w:rsid w:val="00EA4A5C"/>
    <w:rsid w:val="00EA4CE5"/>
    <w:rsid w:val="00EA4ED4"/>
    <w:rsid w:val="00EA4FA8"/>
    <w:rsid w:val="00EA5251"/>
    <w:rsid w:val="00EA5429"/>
    <w:rsid w:val="00EA54B7"/>
    <w:rsid w:val="00EA5599"/>
    <w:rsid w:val="00EA565D"/>
    <w:rsid w:val="00EA5762"/>
    <w:rsid w:val="00EA5924"/>
    <w:rsid w:val="00EA5A5B"/>
    <w:rsid w:val="00EA5A5D"/>
    <w:rsid w:val="00EA5EAF"/>
    <w:rsid w:val="00EA5EEB"/>
    <w:rsid w:val="00EA5F97"/>
    <w:rsid w:val="00EA6024"/>
    <w:rsid w:val="00EA604D"/>
    <w:rsid w:val="00EA6398"/>
    <w:rsid w:val="00EA6518"/>
    <w:rsid w:val="00EA672C"/>
    <w:rsid w:val="00EA6777"/>
    <w:rsid w:val="00EA689F"/>
    <w:rsid w:val="00EA69D0"/>
    <w:rsid w:val="00EA69F8"/>
    <w:rsid w:val="00EA6C1E"/>
    <w:rsid w:val="00EA7113"/>
    <w:rsid w:val="00EA717B"/>
    <w:rsid w:val="00EA77DF"/>
    <w:rsid w:val="00EA7873"/>
    <w:rsid w:val="00EA7A3A"/>
    <w:rsid w:val="00EA7B24"/>
    <w:rsid w:val="00EA7BE5"/>
    <w:rsid w:val="00EA7F38"/>
    <w:rsid w:val="00EB0203"/>
    <w:rsid w:val="00EB0433"/>
    <w:rsid w:val="00EB0516"/>
    <w:rsid w:val="00EB0575"/>
    <w:rsid w:val="00EB0961"/>
    <w:rsid w:val="00EB0AFE"/>
    <w:rsid w:val="00EB0D30"/>
    <w:rsid w:val="00EB0D83"/>
    <w:rsid w:val="00EB186C"/>
    <w:rsid w:val="00EB1CA7"/>
    <w:rsid w:val="00EB1CAF"/>
    <w:rsid w:val="00EB1E0A"/>
    <w:rsid w:val="00EB2087"/>
    <w:rsid w:val="00EB20A0"/>
    <w:rsid w:val="00EB2419"/>
    <w:rsid w:val="00EB255A"/>
    <w:rsid w:val="00EB26F3"/>
    <w:rsid w:val="00EB2A62"/>
    <w:rsid w:val="00EB2A75"/>
    <w:rsid w:val="00EB2BDC"/>
    <w:rsid w:val="00EB2CA0"/>
    <w:rsid w:val="00EB2DF1"/>
    <w:rsid w:val="00EB2E5E"/>
    <w:rsid w:val="00EB2F2C"/>
    <w:rsid w:val="00EB3147"/>
    <w:rsid w:val="00EB3755"/>
    <w:rsid w:val="00EB391B"/>
    <w:rsid w:val="00EB3BC0"/>
    <w:rsid w:val="00EB3C58"/>
    <w:rsid w:val="00EB3CC8"/>
    <w:rsid w:val="00EB3E36"/>
    <w:rsid w:val="00EB3F84"/>
    <w:rsid w:val="00EB3F87"/>
    <w:rsid w:val="00EB43EA"/>
    <w:rsid w:val="00EB444E"/>
    <w:rsid w:val="00EB45CD"/>
    <w:rsid w:val="00EB45CF"/>
    <w:rsid w:val="00EB47AE"/>
    <w:rsid w:val="00EB48E5"/>
    <w:rsid w:val="00EB4ED4"/>
    <w:rsid w:val="00EB51C2"/>
    <w:rsid w:val="00EB52A2"/>
    <w:rsid w:val="00EB5360"/>
    <w:rsid w:val="00EB53EA"/>
    <w:rsid w:val="00EB54AF"/>
    <w:rsid w:val="00EB54E2"/>
    <w:rsid w:val="00EB55A8"/>
    <w:rsid w:val="00EB5E15"/>
    <w:rsid w:val="00EB5F5B"/>
    <w:rsid w:val="00EB645A"/>
    <w:rsid w:val="00EB663F"/>
    <w:rsid w:val="00EB6810"/>
    <w:rsid w:val="00EB6BCC"/>
    <w:rsid w:val="00EB6DE7"/>
    <w:rsid w:val="00EB6E36"/>
    <w:rsid w:val="00EB6F4A"/>
    <w:rsid w:val="00EB74F8"/>
    <w:rsid w:val="00EB7658"/>
    <w:rsid w:val="00EB76C8"/>
    <w:rsid w:val="00EB7779"/>
    <w:rsid w:val="00EB7953"/>
    <w:rsid w:val="00EB7EEE"/>
    <w:rsid w:val="00EC0213"/>
    <w:rsid w:val="00EC0505"/>
    <w:rsid w:val="00EC06C5"/>
    <w:rsid w:val="00EC071E"/>
    <w:rsid w:val="00EC0D0F"/>
    <w:rsid w:val="00EC0FC1"/>
    <w:rsid w:val="00EC1126"/>
    <w:rsid w:val="00EC13A7"/>
    <w:rsid w:val="00EC13E3"/>
    <w:rsid w:val="00EC141A"/>
    <w:rsid w:val="00EC172B"/>
    <w:rsid w:val="00EC17E8"/>
    <w:rsid w:val="00EC184A"/>
    <w:rsid w:val="00EC188D"/>
    <w:rsid w:val="00EC1E9A"/>
    <w:rsid w:val="00EC1EA4"/>
    <w:rsid w:val="00EC2045"/>
    <w:rsid w:val="00EC2300"/>
    <w:rsid w:val="00EC2337"/>
    <w:rsid w:val="00EC2452"/>
    <w:rsid w:val="00EC28F2"/>
    <w:rsid w:val="00EC2E56"/>
    <w:rsid w:val="00EC2EB1"/>
    <w:rsid w:val="00EC2FC6"/>
    <w:rsid w:val="00EC3151"/>
    <w:rsid w:val="00EC328A"/>
    <w:rsid w:val="00EC32DD"/>
    <w:rsid w:val="00EC3351"/>
    <w:rsid w:val="00EC36F9"/>
    <w:rsid w:val="00EC3762"/>
    <w:rsid w:val="00EC37BB"/>
    <w:rsid w:val="00EC37C7"/>
    <w:rsid w:val="00EC429B"/>
    <w:rsid w:val="00EC4576"/>
    <w:rsid w:val="00EC4619"/>
    <w:rsid w:val="00EC46D4"/>
    <w:rsid w:val="00EC47C9"/>
    <w:rsid w:val="00EC4820"/>
    <w:rsid w:val="00EC482E"/>
    <w:rsid w:val="00EC4887"/>
    <w:rsid w:val="00EC4986"/>
    <w:rsid w:val="00EC4B0A"/>
    <w:rsid w:val="00EC4E27"/>
    <w:rsid w:val="00EC4E4B"/>
    <w:rsid w:val="00EC52F7"/>
    <w:rsid w:val="00EC542E"/>
    <w:rsid w:val="00EC545F"/>
    <w:rsid w:val="00EC5566"/>
    <w:rsid w:val="00EC5635"/>
    <w:rsid w:val="00EC56E1"/>
    <w:rsid w:val="00EC5796"/>
    <w:rsid w:val="00EC5853"/>
    <w:rsid w:val="00EC5918"/>
    <w:rsid w:val="00EC5A10"/>
    <w:rsid w:val="00EC5D9F"/>
    <w:rsid w:val="00EC5F4F"/>
    <w:rsid w:val="00EC5FC0"/>
    <w:rsid w:val="00EC5FC3"/>
    <w:rsid w:val="00EC62A4"/>
    <w:rsid w:val="00EC68C1"/>
    <w:rsid w:val="00EC68EB"/>
    <w:rsid w:val="00EC698C"/>
    <w:rsid w:val="00EC6AEE"/>
    <w:rsid w:val="00EC6C6B"/>
    <w:rsid w:val="00EC6E1C"/>
    <w:rsid w:val="00EC6E45"/>
    <w:rsid w:val="00EC7088"/>
    <w:rsid w:val="00EC731B"/>
    <w:rsid w:val="00EC744F"/>
    <w:rsid w:val="00EC7518"/>
    <w:rsid w:val="00EC75B2"/>
    <w:rsid w:val="00EC78C4"/>
    <w:rsid w:val="00EC78F6"/>
    <w:rsid w:val="00EC7DB3"/>
    <w:rsid w:val="00EC7E5B"/>
    <w:rsid w:val="00ED007F"/>
    <w:rsid w:val="00ED010D"/>
    <w:rsid w:val="00ED0151"/>
    <w:rsid w:val="00ED01D6"/>
    <w:rsid w:val="00ED01F4"/>
    <w:rsid w:val="00ED0209"/>
    <w:rsid w:val="00ED0293"/>
    <w:rsid w:val="00ED0397"/>
    <w:rsid w:val="00ED08FB"/>
    <w:rsid w:val="00ED0BD7"/>
    <w:rsid w:val="00ED1011"/>
    <w:rsid w:val="00ED10FE"/>
    <w:rsid w:val="00ED116F"/>
    <w:rsid w:val="00ED1198"/>
    <w:rsid w:val="00ED1224"/>
    <w:rsid w:val="00ED142D"/>
    <w:rsid w:val="00ED14E5"/>
    <w:rsid w:val="00ED15BF"/>
    <w:rsid w:val="00ED179D"/>
    <w:rsid w:val="00ED1E1D"/>
    <w:rsid w:val="00ED1E8F"/>
    <w:rsid w:val="00ED1EBA"/>
    <w:rsid w:val="00ED1ED5"/>
    <w:rsid w:val="00ED2042"/>
    <w:rsid w:val="00ED2298"/>
    <w:rsid w:val="00ED2A64"/>
    <w:rsid w:val="00ED2AD3"/>
    <w:rsid w:val="00ED2E24"/>
    <w:rsid w:val="00ED3467"/>
    <w:rsid w:val="00ED37F7"/>
    <w:rsid w:val="00ED39D2"/>
    <w:rsid w:val="00ED3A3E"/>
    <w:rsid w:val="00ED3B8C"/>
    <w:rsid w:val="00ED3CEF"/>
    <w:rsid w:val="00ED418E"/>
    <w:rsid w:val="00ED4521"/>
    <w:rsid w:val="00ED4571"/>
    <w:rsid w:val="00ED4598"/>
    <w:rsid w:val="00ED45E0"/>
    <w:rsid w:val="00ED463E"/>
    <w:rsid w:val="00ED4996"/>
    <w:rsid w:val="00ED4D44"/>
    <w:rsid w:val="00ED4EF0"/>
    <w:rsid w:val="00ED4EF1"/>
    <w:rsid w:val="00ED4F14"/>
    <w:rsid w:val="00ED52E5"/>
    <w:rsid w:val="00ED530D"/>
    <w:rsid w:val="00ED5311"/>
    <w:rsid w:val="00ED5774"/>
    <w:rsid w:val="00ED57DD"/>
    <w:rsid w:val="00ED5936"/>
    <w:rsid w:val="00ED5B1A"/>
    <w:rsid w:val="00ED67D1"/>
    <w:rsid w:val="00ED6848"/>
    <w:rsid w:val="00ED69B8"/>
    <w:rsid w:val="00ED69DE"/>
    <w:rsid w:val="00ED69F5"/>
    <w:rsid w:val="00ED6C60"/>
    <w:rsid w:val="00ED6CB1"/>
    <w:rsid w:val="00ED6CC0"/>
    <w:rsid w:val="00ED7097"/>
    <w:rsid w:val="00ED7678"/>
    <w:rsid w:val="00ED769D"/>
    <w:rsid w:val="00ED777E"/>
    <w:rsid w:val="00ED77B9"/>
    <w:rsid w:val="00ED78C7"/>
    <w:rsid w:val="00ED7DC5"/>
    <w:rsid w:val="00ED7EA3"/>
    <w:rsid w:val="00EE0374"/>
    <w:rsid w:val="00EE041F"/>
    <w:rsid w:val="00EE059E"/>
    <w:rsid w:val="00EE05D8"/>
    <w:rsid w:val="00EE078E"/>
    <w:rsid w:val="00EE0A01"/>
    <w:rsid w:val="00EE0B38"/>
    <w:rsid w:val="00EE0E1F"/>
    <w:rsid w:val="00EE107C"/>
    <w:rsid w:val="00EE1189"/>
    <w:rsid w:val="00EE1202"/>
    <w:rsid w:val="00EE12EB"/>
    <w:rsid w:val="00EE1365"/>
    <w:rsid w:val="00EE146B"/>
    <w:rsid w:val="00EE1728"/>
    <w:rsid w:val="00EE1771"/>
    <w:rsid w:val="00EE18AA"/>
    <w:rsid w:val="00EE1AED"/>
    <w:rsid w:val="00EE1BB8"/>
    <w:rsid w:val="00EE1EFA"/>
    <w:rsid w:val="00EE1EFD"/>
    <w:rsid w:val="00EE2234"/>
    <w:rsid w:val="00EE2299"/>
    <w:rsid w:val="00EE231F"/>
    <w:rsid w:val="00EE2388"/>
    <w:rsid w:val="00EE2470"/>
    <w:rsid w:val="00EE2596"/>
    <w:rsid w:val="00EE2652"/>
    <w:rsid w:val="00EE26DF"/>
    <w:rsid w:val="00EE272D"/>
    <w:rsid w:val="00EE2924"/>
    <w:rsid w:val="00EE2D50"/>
    <w:rsid w:val="00EE2E3A"/>
    <w:rsid w:val="00EE2ED6"/>
    <w:rsid w:val="00EE3396"/>
    <w:rsid w:val="00EE3519"/>
    <w:rsid w:val="00EE371F"/>
    <w:rsid w:val="00EE3937"/>
    <w:rsid w:val="00EE39B9"/>
    <w:rsid w:val="00EE3BE0"/>
    <w:rsid w:val="00EE3C72"/>
    <w:rsid w:val="00EE42E0"/>
    <w:rsid w:val="00EE44E2"/>
    <w:rsid w:val="00EE47FC"/>
    <w:rsid w:val="00EE4A25"/>
    <w:rsid w:val="00EE4BF8"/>
    <w:rsid w:val="00EE4C86"/>
    <w:rsid w:val="00EE4DB8"/>
    <w:rsid w:val="00EE565C"/>
    <w:rsid w:val="00EE5B4A"/>
    <w:rsid w:val="00EE5C38"/>
    <w:rsid w:val="00EE5E0A"/>
    <w:rsid w:val="00EE5F5D"/>
    <w:rsid w:val="00EE6507"/>
    <w:rsid w:val="00EE668F"/>
    <w:rsid w:val="00EE6908"/>
    <w:rsid w:val="00EE6B27"/>
    <w:rsid w:val="00EE6B67"/>
    <w:rsid w:val="00EE6BAE"/>
    <w:rsid w:val="00EE6F37"/>
    <w:rsid w:val="00EE6FF2"/>
    <w:rsid w:val="00EE7190"/>
    <w:rsid w:val="00EE71F5"/>
    <w:rsid w:val="00EE7208"/>
    <w:rsid w:val="00EE725F"/>
    <w:rsid w:val="00EE757E"/>
    <w:rsid w:val="00EE7889"/>
    <w:rsid w:val="00EE79E0"/>
    <w:rsid w:val="00EE7A90"/>
    <w:rsid w:val="00EE7B5C"/>
    <w:rsid w:val="00EF0089"/>
    <w:rsid w:val="00EF0205"/>
    <w:rsid w:val="00EF02E3"/>
    <w:rsid w:val="00EF0355"/>
    <w:rsid w:val="00EF0483"/>
    <w:rsid w:val="00EF0582"/>
    <w:rsid w:val="00EF0689"/>
    <w:rsid w:val="00EF082A"/>
    <w:rsid w:val="00EF08D4"/>
    <w:rsid w:val="00EF0B8D"/>
    <w:rsid w:val="00EF0C71"/>
    <w:rsid w:val="00EF0F2C"/>
    <w:rsid w:val="00EF1321"/>
    <w:rsid w:val="00EF14B4"/>
    <w:rsid w:val="00EF1E98"/>
    <w:rsid w:val="00EF20B5"/>
    <w:rsid w:val="00EF2228"/>
    <w:rsid w:val="00EF235F"/>
    <w:rsid w:val="00EF23C6"/>
    <w:rsid w:val="00EF28F9"/>
    <w:rsid w:val="00EF2E33"/>
    <w:rsid w:val="00EF2FE0"/>
    <w:rsid w:val="00EF31D3"/>
    <w:rsid w:val="00EF3338"/>
    <w:rsid w:val="00EF35CD"/>
    <w:rsid w:val="00EF395B"/>
    <w:rsid w:val="00EF3C14"/>
    <w:rsid w:val="00EF3C84"/>
    <w:rsid w:val="00EF3DA3"/>
    <w:rsid w:val="00EF3E67"/>
    <w:rsid w:val="00EF3FCC"/>
    <w:rsid w:val="00EF4045"/>
    <w:rsid w:val="00EF40B7"/>
    <w:rsid w:val="00EF4150"/>
    <w:rsid w:val="00EF4253"/>
    <w:rsid w:val="00EF4761"/>
    <w:rsid w:val="00EF47C0"/>
    <w:rsid w:val="00EF4918"/>
    <w:rsid w:val="00EF4B22"/>
    <w:rsid w:val="00EF4B30"/>
    <w:rsid w:val="00EF4BEC"/>
    <w:rsid w:val="00EF4C8B"/>
    <w:rsid w:val="00EF51FB"/>
    <w:rsid w:val="00EF546C"/>
    <w:rsid w:val="00EF54A6"/>
    <w:rsid w:val="00EF57DC"/>
    <w:rsid w:val="00EF589E"/>
    <w:rsid w:val="00EF598E"/>
    <w:rsid w:val="00EF5B3A"/>
    <w:rsid w:val="00EF5C69"/>
    <w:rsid w:val="00EF5E06"/>
    <w:rsid w:val="00EF605D"/>
    <w:rsid w:val="00EF60DA"/>
    <w:rsid w:val="00EF60F6"/>
    <w:rsid w:val="00EF62E6"/>
    <w:rsid w:val="00EF6351"/>
    <w:rsid w:val="00EF639D"/>
    <w:rsid w:val="00EF640F"/>
    <w:rsid w:val="00EF6567"/>
    <w:rsid w:val="00EF65C1"/>
    <w:rsid w:val="00EF67D0"/>
    <w:rsid w:val="00EF689C"/>
    <w:rsid w:val="00EF6916"/>
    <w:rsid w:val="00EF69FD"/>
    <w:rsid w:val="00EF6C43"/>
    <w:rsid w:val="00EF6F19"/>
    <w:rsid w:val="00EF700C"/>
    <w:rsid w:val="00EF728A"/>
    <w:rsid w:val="00EF7C75"/>
    <w:rsid w:val="00EF7E71"/>
    <w:rsid w:val="00EF7F36"/>
    <w:rsid w:val="00F003F0"/>
    <w:rsid w:val="00F00421"/>
    <w:rsid w:val="00F0070F"/>
    <w:rsid w:val="00F00890"/>
    <w:rsid w:val="00F0091B"/>
    <w:rsid w:val="00F00B62"/>
    <w:rsid w:val="00F01052"/>
    <w:rsid w:val="00F0123E"/>
    <w:rsid w:val="00F01310"/>
    <w:rsid w:val="00F0164B"/>
    <w:rsid w:val="00F016F2"/>
    <w:rsid w:val="00F019CF"/>
    <w:rsid w:val="00F019FD"/>
    <w:rsid w:val="00F01A21"/>
    <w:rsid w:val="00F01E77"/>
    <w:rsid w:val="00F01F6D"/>
    <w:rsid w:val="00F020AB"/>
    <w:rsid w:val="00F0219E"/>
    <w:rsid w:val="00F021FE"/>
    <w:rsid w:val="00F02370"/>
    <w:rsid w:val="00F02645"/>
    <w:rsid w:val="00F026DD"/>
    <w:rsid w:val="00F02D77"/>
    <w:rsid w:val="00F02EF1"/>
    <w:rsid w:val="00F02F10"/>
    <w:rsid w:val="00F0323C"/>
    <w:rsid w:val="00F03CFC"/>
    <w:rsid w:val="00F03DF5"/>
    <w:rsid w:val="00F03F9D"/>
    <w:rsid w:val="00F0438E"/>
    <w:rsid w:val="00F043F3"/>
    <w:rsid w:val="00F0458F"/>
    <w:rsid w:val="00F04C02"/>
    <w:rsid w:val="00F04DA0"/>
    <w:rsid w:val="00F04E4F"/>
    <w:rsid w:val="00F052C8"/>
    <w:rsid w:val="00F052D0"/>
    <w:rsid w:val="00F057ED"/>
    <w:rsid w:val="00F05B42"/>
    <w:rsid w:val="00F05D6E"/>
    <w:rsid w:val="00F05DBE"/>
    <w:rsid w:val="00F06000"/>
    <w:rsid w:val="00F06087"/>
    <w:rsid w:val="00F060CC"/>
    <w:rsid w:val="00F065F6"/>
    <w:rsid w:val="00F067B1"/>
    <w:rsid w:val="00F06991"/>
    <w:rsid w:val="00F06A83"/>
    <w:rsid w:val="00F06B50"/>
    <w:rsid w:val="00F06BCD"/>
    <w:rsid w:val="00F06C69"/>
    <w:rsid w:val="00F07087"/>
    <w:rsid w:val="00F070C7"/>
    <w:rsid w:val="00F07132"/>
    <w:rsid w:val="00F0727E"/>
    <w:rsid w:val="00F0755C"/>
    <w:rsid w:val="00F07606"/>
    <w:rsid w:val="00F0773C"/>
    <w:rsid w:val="00F077B2"/>
    <w:rsid w:val="00F077C0"/>
    <w:rsid w:val="00F07857"/>
    <w:rsid w:val="00F07931"/>
    <w:rsid w:val="00F07A59"/>
    <w:rsid w:val="00F10376"/>
    <w:rsid w:val="00F104CA"/>
    <w:rsid w:val="00F104F8"/>
    <w:rsid w:val="00F108F6"/>
    <w:rsid w:val="00F10A2A"/>
    <w:rsid w:val="00F1108F"/>
    <w:rsid w:val="00F110A6"/>
    <w:rsid w:val="00F11890"/>
    <w:rsid w:val="00F11936"/>
    <w:rsid w:val="00F119BB"/>
    <w:rsid w:val="00F11A43"/>
    <w:rsid w:val="00F11B20"/>
    <w:rsid w:val="00F11BE6"/>
    <w:rsid w:val="00F11CF6"/>
    <w:rsid w:val="00F11DFE"/>
    <w:rsid w:val="00F11E88"/>
    <w:rsid w:val="00F11F03"/>
    <w:rsid w:val="00F12080"/>
    <w:rsid w:val="00F121E6"/>
    <w:rsid w:val="00F12693"/>
    <w:rsid w:val="00F127D8"/>
    <w:rsid w:val="00F12AD3"/>
    <w:rsid w:val="00F12CFE"/>
    <w:rsid w:val="00F12FC9"/>
    <w:rsid w:val="00F134A4"/>
    <w:rsid w:val="00F136DB"/>
    <w:rsid w:val="00F13A11"/>
    <w:rsid w:val="00F13A60"/>
    <w:rsid w:val="00F13C76"/>
    <w:rsid w:val="00F13D46"/>
    <w:rsid w:val="00F13DB6"/>
    <w:rsid w:val="00F13E6E"/>
    <w:rsid w:val="00F13EA2"/>
    <w:rsid w:val="00F142A6"/>
    <w:rsid w:val="00F14378"/>
    <w:rsid w:val="00F144AE"/>
    <w:rsid w:val="00F14503"/>
    <w:rsid w:val="00F145F0"/>
    <w:rsid w:val="00F14643"/>
    <w:rsid w:val="00F14800"/>
    <w:rsid w:val="00F14B11"/>
    <w:rsid w:val="00F14D02"/>
    <w:rsid w:val="00F14EA3"/>
    <w:rsid w:val="00F14EF1"/>
    <w:rsid w:val="00F14F75"/>
    <w:rsid w:val="00F14FF5"/>
    <w:rsid w:val="00F15050"/>
    <w:rsid w:val="00F15306"/>
    <w:rsid w:val="00F15549"/>
    <w:rsid w:val="00F155A7"/>
    <w:rsid w:val="00F15789"/>
    <w:rsid w:val="00F157B4"/>
    <w:rsid w:val="00F157F1"/>
    <w:rsid w:val="00F15968"/>
    <w:rsid w:val="00F15C61"/>
    <w:rsid w:val="00F15DC1"/>
    <w:rsid w:val="00F15E1A"/>
    <w:rsid w:val="00F15E61"/>
    <w:rsid w:val="00F16367"/>
    <w:rsid w:val="00F1680C"/>
    <w:rsid w:val="00F16AEC"/>
    <w:rsid w:val="00F16CB5"/>
    <w:rsid w:val="00F17008"/>
    <w:rsid w:val="00F170BA"/>
    <w:rsid w:val="00F171D5"/>
    <w:rsid w:val="00F1751C"/>
    <w:rsid w:val="00F17AD0"/>
    <w:rsid w:val="00F17BC2"/>
    <w:rsid w:val="00F17D44"/>
    <w:rsid w:val="00F17ED1"/>
    <w:rsid w:val="00F20155"/>
    <w:rsid w:val="00F20213"/>
    <w:rsid w:val="00F207AF"/>
    <w:rsid w:val="00F208DC"/>
    <w:rsid w:val="00F21022"/>
    <w:rsid w:val="00F2129A"/>
    <w:rsid w:val="00F2134A"/>
    <w:rsid w:val="00F21499"/>
    <w:rsid w:val="00F21BA3"/>
    <w:rsid w:val="00F22209"/>
    <w:rsid w:val="00F22569"/>
    <w:rsid w:val="00F22E70"/>
    <w:rsid w:val="00F22F34"/>
    <w:rsid w:val="00F230E8"/>
    <w:rsid w:val="00F233DB"/>
    <w:rsid w:val="00F2345D"/>
    <w:rsid w:val="00F236B7"/>
    <w:rsid w:val="00F23730"/>
    <w:rsid w:val="00F23A2D"/>
    <w:rsid w:val="00F23AB1"/>
    <w:rsid w:val="00F23BF1"/>
    <w:rsid w:val="00F23CA7"/>
    <w:rsid w:val="00F23D40"/>
    <w:rsid w:val="00F23D57"/>
    <w:rsid w:val="00F23E00"/>
    <w:rsid w:val="00F2406F"/>
    <w:rsid w:val="00F241ED"/>
    <w:rsid w:val="00F242A9"/>
    <w:rsid w:val="00F246C7"/>
    <w:rsid w:val="00F248BF"/>
    <w:rsid w:val="00F249FD"/>
    <w:rsid w:val="00F24D63"/>
    <w:rsid w:val="00F24DCC"/>
    <w:rsid w:val="00F2501E"/>
    <w:rsid w:val="00F253A7"/>
    <w:rsid w:val="00F25503"/>
    <w:rsid w:val="00F25552"/>
    <w:rsid w:val="00F25801"/>
    <w:rsid w:val="00F25888"/>
    <w:rsid w:val="00F25984"/>
    <w:rsid w:val="00F25A3D"/>
    <w:rsid w:val="00F25C1F"/>
    <w:rsid w:val="00F25CAC"/>
    <w:rsid w:val="00F25ED7"/>
    <w:rsid w:val="00F26072"/>
    <w:rsid w:val="00F26141"/>
    <w:rsid w:val="00F26528"/>
    <w:rsid w:val="00F2667F"/>
    <w:rsid w:val="00F26842"/>
    <w:rsid w:val="00F2701C"/>
    <w:rsid w:val="00F27134"/>
    <w:rsid w:val="00F2725B"/>
    <w:rsid w:val="00F272FE"/>
    <w:rsid w:val="00F27AB6"/>
    <w:rsid w:val="00F27BFD"/>
    <w:rsid w:val="00F27DE5"/>
    <w:rsid w:val="00F27EAC"/>
    <w:rsid w:val="00F30059"/>
    <w:rsid w:val="00F30164"/>
    <w:rsid w:val="00F309B3"/>
    <w:rsid w:val="00F30A51"/>
    <w:rsid w:val="00F30ED9"/>
    <w:rsid w:val="00F30EFA"/>
    <w:rsid w:val="00F30F10"/>
    <w:rsid w:val="00F30FC1"/>
    <w:rsid w:val="00F311B0"/>
    <w:rsid w:val="00F31342"/>
    <w:rsid w:val="00F31573"/>
    <w:rsid w:val="00F316EE"/>
    <w:rsid w:val="00F318B8"/>
    <w:rsid w:val="00F319E1"/>
    <w:rsid w:val="00F31D89"/>
    <w:rsid w:val="00F31FA0"/>
    <w:rsid w:val="00F31FF9"/>
    <w:rsid w:val="00F3203B"/>
    <w:rsid w:val="00F321E8"/>
    <w:rsid w:val="00F321EE"/>
    <w:rsid w:val="00F32313"/>
    <w:rsid w:val="00F3287A"/>
    <w:rsid w:val="00F32A48"/>
    <w:rsid w:val="00F32BB4"/>
    <w:rsid w:val="00F32E60"/>
    <w:rsid w:val="00F32FB6"/>
    <w:rsid w:val="00F33052"/>
    <w:rsid w:val="00F338E0"/>
    <w:rsid w:val="00F33999"/>
    <w:rsid w:val="00F33A08"/>
    <w:rsid w:val="00F33A50"/>
    <w:rsid w:val="00F33DFF"/>
    <w:rsid w:val="00F33E28"/>
    <w:rsid w:val="00F3421F"/>
    <w:rsid w:val="00F34319"/>
    <w:rsid w:val="00F34786"/>
    <w:rsid w:val="00F34F36"/>
    <w:rsid w:val="00F34F39"/>
    <w:rsid w:val="00F34FDF"/>
    <w:rsid w:val="00F35020"/>
    <w:rsid w:val="00F35325"/>
    <w:rsid w:val="00F3551D"/>
    <w:rsid w:val="00F356E7"/>
    <w:rsid w:val="00F3572B"/>
    <w:rsid w:val="00F35972"/>
    <w:rsid w:val="00F359F5"/>
    <w:rsid w:val="00F35B1C"/>
    <w:rsid w:val="00F35B4F"/>
    <w:rsid w:val="00F35C02"/>
    <w:rsid w:val="00F35C16"/>
    <w:rsid w:val="00F35CAF"/>
    <w:rsid w:val="00F35D4F"/>
    <w:rsid w:val="00F363CB"/>
    <w:rsid w:val="00F36439"/>
    <w:rsid w:val="00F36CAA"/>
    <w:rsid w:val="00F36ED3"/>
    <w:rsid w:val="00F36F0E"/>
    <w:rsid w:val="00F36FA5"/>
    <w:rsid w:val="00F3714E"/>
    <w:rsid w:val="00F3714F"/>
    <w:rsid w:val="00F377F2"/>
    <w:rsid w:val="00F3792F"/>
    <w:rsid w:val="00F37A28"/>
    <w:rsid w:val="00F37B38"/>
    <w:rsid w:val="00F37F43"/>
    <w:rsid w:val="00F37F5C"/>
    <w:rsid w:val="00F40501"/>
    <w:rsid w:val="00F40687"/>
    <w:rsid w:val="00F4079F"/>
    <w:rsid w:val="00F40A1E"/>
    <w:rsid w:val="00F40DB9"/>
    <w:rsid w:val="00F40F47"/>
    <w:rsid w:val="00F40FB7"/>
    <w:rsid w:val="00F41546"/>
    <w:rsid w:val="00F415BB"/>
    <w:rsid w:val="00F4179B"/>
    <w:rsid w:val="00F417B3"/>
    <w:rsid w:val="00F41A75"/>
    <w:rsid w:val="00F41E42"/>
    <w:rsid w:val="00F41F23"/>
    <w:rsid w:val="00F42080"/>
    <w:rsid w:val="00F421B9"/>
    <w:rsid w:val="00F42398"/>
    <w:rsid w:val="00F42478"/>
    <w:rsid w:val="00F42532"/>
    <w:rsid w:val="00F42658"/>
    <w:rsid w:val="00F42C0D"/>
    <w:rsid w:val="00F42CF7"/>
    <w:rsid w:val="00F42E43"/>
    <w:rsid w:val="00F42E5E"/>
    <w:rsid w:val="00F4345E"/>
    <w:rsid w:val="00F43595"/>
    <w:rsid w:val="00F43601"/>
    <w:rsid w:val="00F4380B"/>
    <w:rsid w:val="00F43892"/>
    <w:rsid w:val="00F43C03"/>
    <w:rsid w:val="00F43C52"/>
    <w:rsid w:val="00F43D53"/>
    <w:rsid w:val="00F43D99"/>
    <w:rsid w:val="00F43DC0"/>
    <w:rsid w:val="00F442CB"/>
    <w:rsid w:val="00F4436D"/>
    <w:rsid w:val="00F44952"/>
    <w:rsid w:val="00F44AD9"/>
    <w:rsid w:val="00F44CCD"/>
    <w:rsid w:val="00F44DB3"/>
    <w:rsid w:val="00F44FB6"/>
    <w:rsid w:val="00F45208"/>
    <w:rsid w:val="00F45314"/>
    <w:rsid w:val="00F453C5"/>
    <w:rsid w:val="00F453CB"/>
    <w:rsid w:val="00F453E7"/>
    <w:rsid w:val="00F45638"/>
    <w:rsid w:val="00F456C2"/>
    <w:rsid w:val="00F45741"/>
    <w:rsid w:val="00F45780"/>
    <w:rsid w:val="00F458C4"/>
    <w:rsid w:val="00F45B38"/>
    <w:rsid w:val="00F45BB1"/>
    <w:rsid w:val="00F45CAB"/>
    <w:rsid w:val="00F46214"/>
    <w:rsid w:val="00F46226"/>
    <w:rsid w:val="00F4643E"/>
    <w:rsid w:val="00F465A3"/>
    <w:rsid w:val="00F466E8"/>
    <w:rsid w:val="00F468C9"/>
    <w:rsid w:val="00F46BF7"/>
    <w:rsid w:val="00F46D53"/>
    <w:rsid w:val="00F47155"/>
    <w:rsid w:val="00F47411"/>
    <w:rsid w:val="00F474EF"/>
    <w:rsid w:val="00F4754C"/>
    <w:rsid w:val="00F47572"/>
    <w:rsid w:val="00F475AA"/>
    <w:rsid w:val="00F476CA"/>
    <w:rsid w:val="00F47B20"/>
    <w:rsid w:val="00F47C28"/>
    <w:rsid w:val="00F47C2C"/>
    <w:rsid w:val="00F47D2A"/>
    <w:rsid w:val="00F47F6E"/>
    <w:rsid w:val="00F4D7B8"/>
    <w:rsid w:val="00F50121"/>
    <w:rsid w:val="00F50262"/>
    <w:rsid w:val="00F508C3"/>
    <w:rsid w:val="00F50970"/>
    <w:rsid w:val="00F50E9B"/>
    <w:rsid w:val="00F50EA3"/>
    <w:rsid w:val="00F50F53"/>
    <w:rsid w:val="00F510D0"/>
    <w:rsid w:val="00F511D4"/>
    <w:rsid w:val="00F513C1"/>
    <w:rsid w:val="00F514C1"/>
    <w:rsid w:val="00F5184C"/>
    <w:rsid w:val="00F51974"/>
    <w:rsid w:val="00F51A14"/>
    <w:rsid w:val="00F51E72"/>
    <w:rsid w:val="00F51FC9"/>
    <w:rsid w:val="00F51FF0"/>
    <w:rsid w:val="00F51FF7"/>
    <w:rsid w:val="00F52042"/>
    <w:rsid w:val="00F52424"/>
    <w:rsid w:val="00F52468"/>
    <w:rsid w:val="00F5286B"/>
    <w:rsid w:val="00F5298F"/>
    <w:rsid w:val="00F52A71"/>
    <w:rsid w:val="00F52AA3"/>
    <w:rsid w:val="00F52C07"/>
    <w:rsid w:val="00F52C0B"/>
    <w:rsid w:val="00F52C85"/>
    <w:rsid w:val="00F52D8D"/>
    <w:rsid w:val="00F53062"/>
    <w:rsid w:val="00F531A8"/>
    <w:rsid w:val="00F53459"/>
    <w:rsid w:val="00F5352F"/>
    <w:rsid w:val="00F536CD"/>
    <w:rsid w:val="00F5376D"/>
    <w:rsid w:val="00F537F6"/>
    <w:rsid w:val="00F53947"/>
    <w:rsid w:val="00F539BB"/>
    <w:rsid w:val="00F53B39"/>
    <w:rsid w:val="00F53B7C"/>
    <w:rsid w:val="00F53E42"/>
    <w:rsid w:val="00F53ED0"/>
    <w:rsid w:val="00F53F81"/>
    <w:rsid w:val="00F54069"/>
    <w:rsid w:val="00F543CC"/>
    <w:rsid w:val="00F545BB"/>
    <w:rsid w:val="00F5464E"/>
    <w:rsid w:val="00F546E0"/>
    <w:rsid w:val="00F54700"/>
    <w:rsid w:val="00F547C0"/>
    <w:rsid w:val="00F547EE"/>
    <w:rsid w:val="00F5481B"/>
    <w:rsid w:val="00F548AC"/>
    <w:rsid w:val="00F54A58"/>
    <w:rsid w:val="00F54E22"/>
    <w:rsid w:val="00F55017"/>
    <w:rsid w:val="00F55146"/>
    <w:rsid w:val="00F551C5"/>
    <w:rsid w:val="00F5575A"/>
    <w:rsid w:val="00F55BCD"/>
    <w:rsid w:val="00F55C00"/>
    <w:rsid w:val="00F55D2D"/>
    <w:rsid w:val="00F55EEF"/>
    <w:rsid w:val="00F55EF8"/>
    <w:rsid w:val="00F56026"/>
    <w:rsid w:val="00F56355"/>
    <w:rsid w:val="00F56361"/>
    <w:rsid w:val="00F56442"/>
    <w:rsid w:val="00F564C9"/>
    <w:rsid w:val="00F56658"/>
    <w:rsid w:val="00F56FEC"/>
    <w:rsid w:val="00F57030"/>
    <w:rsid w:val="00F57070"/>
    <w:rsid w:val="00F57198"/>
    <w:rsid w:val="00F57237"/>
    <w:rsid w:val="00F578D6"/>
    <w:rsid w:val="00F579E2"/>
    <w:rsid w:val="00F57A08"/>
    <w:rsid w:val="00F57B20"/>
    <w:rsid w:val="00F57B2C"/>
    <w:rsid w:val="00F57ECA"/>
    <w:rsid w:val="00F57F68"/>
    <w:rsid w:val="00F60256"/>
    <w:rsid w:val="00F60537"/>
    <w:rsid w:val="00F605ED"/>
    <w:rsid w:val="00F60DE6"/>
    <w:rsid w:val="00F60F27"/>
    <w:rsid w:val="00F60FE0"/>
    <w:rsid w:val="00F6102D"/>
    <w:rsid w:val="00F611F6"/>
    <w:rsid w:val="00F6132D"/>
    <w:rsid w:val="00F616D6"/>
    <w:rsid w:val="00F61998"/>
    <w:rsid w:val="00F61C55"/>
    <w:rsid w:val="00F61CB3"/>
    <w:rsid w:val="00F61D61"/>
    <w:rsid w:val="00F61E6B"/>
    <w:rsid w:val="00F61FA3"/>
    <w:rsid w:val="00F62431"/>
    <w:rsid w:val="00F6267E"/>
    <w:rsid w:val="00F627EB"/>
    <w:rsid w:val="00F629B8"/>
    <w:rsid w:val="00F62A83"/>
    <w:rsid w:val="00F62ADE"/>
    <w:rsid w:val="00F62F03"/>
    <w:rsid w:val="00F63220"/>
    <w:rsid w:val="00F633C0"/>
    <w:rsid w:val="00F63565"/>
    <w:rsid w:val="00F636B3"/>
    <w:rsid w:val="00F637D5"/>
    <w:rsid w:val="00F63B42"/>
    <w:rsid w:val="00F63BDD"/>
    <w:rsid w:val="00F63DA6"/>
    <w:rsid w:val="00F63EF9"/>
    <w:rsid w:val="00F64105"/>
    <w:rsid w:val="00F641C0"/>
    <w:rsid w:val="00F646B4"/>
    <w:rsid w:val="00F64740"/>
    <w:rsid w:val="00F64909"/>
    <w:rsid w:val="00F64AE8"/>
    <w:rsid w:val="00F64B39"/>
    <w:rsid w:val="00F64B8F"/>
    <w:rsid w:val="00F64D27"/>
    <w:rsid w:val="00F64FEB"/>
    <w:rsid w:val="00F657B1"/>
    <w:rsid w:val="00F65808"/>
    <w:rsid w:val="00F65824"/>
    <w:rsid w:val="00F65FE5"/>
    <w:rsid w:val="00F6642D"/>
    <w:rsid w:val="00F66484"/>
    <w:rsid w:val="00F66585"/>
    <w:rsid w:val="00F66A94"/>
    <w:rsid w:val="00F66BD8"/>
    <w:rsid w:val="00F66C73"/>
    <w:rsid w:val="00F66DD3"/>
    <w:rsid w:val="00F66E83"/>
    <w:rsid w:val="00F6709E"/>
    <w:rsid w:val="00F670CD"/>
    <w:rsid w:val="00F67114"/>
    <w:rsid w:val="00F67206"/>
    <w:rsid w:val="00F6721F"/>
    <w:rsid w:val="00F6733F"/>
    <w:rsid w:val="00F67390"/>
    <w:rsid w:val="00F6760A"/>
    <w:rsid w:val="00F67868"/>
    <w:rsid w:val="00F6796F"/>
    <w:rsid w:val="00F67974"/>
    <w:rsid w:val="00F67B6D"/>
    <w:rsid w:val="00F67CED"/>
    <w:rsid w:val="00F67D69"/>
    <w:rsid w:val="00F7001E"/>
    <w:rsid w:val="00F70031"/>
    <w:rsid w:val="00F70089"/>
    <w:rsid w:val="00F70130"/>
    <w:rsid w:val="00F703F0"/>
    <w:rsid w:val="00F70460"/>
    <w:rsid w:val="00F70666"/>
    <w:rsid w:val="00F708A5"/>
    <w:rsid w:val="00F70C5E"/>
    <w:rsid w:val="00F70F32"/>
    <w:rsid w:val="00F71300"/>
    <w:rsid w:val="00F715A7"/>
    <w:rsid w:val="00F71605"/>
    <w:rsid w:val="00F71657"/>
    <w:rsid w:val="00F716A9"/>
    <w:rsid w:val="00F716FF"/>
    <w:rsid w:val="00F71BEB"/>
    <w:rsid w:val="00F71BFD"/>
    <w:rsid w:val="00F71C8F"/>
    <w:rsid w:val="00F71F4E"/>
    <w:rsid w:val="00F7220F"/>
    <w:rsid w:val="00F723FB"/>
    <w:rsid w:val="00F7254A"/>
    <w:rsid w:val="00F7265D"/>
    <w:rsid w:val="00F72759"/>
    <w:rsid w:val="00F72834"/>
    <w:rsid w:val="00F72989"/>
    <w:rsid w:val="00F72A6D"/>
    <w:rsid w:val="00F72D6C"/>
    <w:rsid w:val="00F730F2"/>
    <w:rsid w:val="00F7351B"/>
    <w:rsid w:val="00F73590"/>
    <w:rsid w:val="00F7371E"/>
    <w:rsid w:val="00F7382E"/>
    <w:rsid w:val="00F73836"/>
    <w:rsid w:val="00F739BF"/>
    <w:rsid w:val="00F73A1E"/>
    <w:rsid w:val="00F74037"/>
    <w:rsid w:val="00F740D6"/>
    <w:rsid w:val="00F7466B"/>
    <w:rsid w:val="00F74795"/>
    <w:rsid w:val="00F74E0D"/>
    <w:rsid w:val="00F74EFE"/>
    <w:rsid w:val="00F75012"/>
    <w:rsid w:val="00F75067"/>
    <w:rsid w:val="00F752BF"/>
    <w:rsid w:val="00F75756"/>
    <w:rsid w:val="00F7588C"/>
    <w:rsid w:val="00F75BCC"/>
    <w:rsid w:val="00F75CB8"/>
    <w:rsid w:val="00F75ED3"/>
    <w:rsid w:val="00F75EE7"/>
    <w:rsid w:val="00F75F70"/>
    <w:rsid w:val="00F76201"/>
    <w:rsid w:val="00F76202"/>
    <w:rsid w:val="00F7650C"/>
    <w:rsid w:val="00F768EE"/>
    <w:rsid w:val="00F76C45"/>
    <w:rsid w:val="00F76DBF"/>
    <w:rsid w:val="00F779A2"/>
    <w:rsid w:val="00F77E85"/>
    <w:rsid w:val="00F77EA3"/>
    <w:rsid w:val="00F800BC"/>
    <w:rsid w:val="00F801B7"/>
    <w:rsid w:val="00F8027B"/>
    <w:rsid w:val="00F802B6"/>
    <w:rsid w:val="00F803CC"/>
    <w:rsid w:val="00F80705"/>
    <w:rsid w:val="00F80778"/>
    <w:rsid w:val="00F80B02"/>
    <w:rsid w:val="00F80C31"/>
    <w:rsid w:val="00F80CCF"/>
    <w:rsid w:val="00F80CFC"/>
    <w:rsid w:val="00F81131"/>
    <w:rsid w:val="00F811FA"/>
    <w:rsid w:val="00F813CF"/>
    <w:rsid w:val="00F816CB"/>
    <w:rsid w:val="00F8191D"/>
    <w:rsid w:val="00F81BEA"/>
    <w:rsid w:val="00F81C1A"/>
    <w:rsid w:val="00F81E54"/>
    <w:rsid w:val="00F8205C"/>
    <w:rsid w:val="00F8214A"/>
    <w:rsid w:val="00F821F0"/>
    <w:rsid w:val="00F823B5"/>
    <w:rsid w:val="00F825FA"/>
    <w:rsid w:val="00F82622"/>
    <w:rsid w:val="00F826F4"/>
    <w:rsid w:val="00F82793"/>
    <w:rsid w:val="00F827D9"/>
    <w:rsid w:val="00F8285A"/>
    <w:rsid w:val="00F82AD0"/>
    <w:rsid w:val="00F82BD3"/>
    <w:rsid w:val="00F82C7E"/>
    <w:rsid w:val="00F82D62"/>
    <w:rsid w:val="00F82DE3"/>
    <w:rsid w:val="00F82E81"/>
    <w:rsid w:val="00F82F6A"/>
    <w:rsid w:val="00F82FF3"/>
    <w:rsid w:val="00F8364F"/>
    <w:rsid w:val="00F837EA"/>
    <w:rsid w:val="00F838E3"/>
    <w:rsid w:val="00F83A12"/>
    <w:rsid w:val="00F83CFA"/>
    <w:rsid w:val="00F8410E"/>
    <w:rsid w:val="00F84166"/>
    <w:rsid w:val="00F84206"/>
    <w:rsid w:val="00F8421D"/>
    <w:rsid w:val="00F8422A"/>
    <w:rsid w:val="00F843B4"/>
    <w:rsid w:val="00F8446A"/>
    <w:rsid w:val="00F8472C"/>
    <w:rsid w:val="00F8497E"/>
    <w:rsid w:val="00F84AAF"/>
    <w:rsid w:val="00F8519E"/>
    <w:rsid w:val="00F8530C"/>
    <w:rsid w:val="00F85B3C"/>
    <w:rsid w:val="00F85C52"/>
    <w:rsid w:val="00F85CC9"/>
    <w:rsid w:val="00F860B3"/>
    <w:rsid w:val="00F860C0"/>
    <w:rsid w:val="00F86267"/>
    <w:rsid w:val="00F86610"/>
    <w:rsid w:val="00F86C2C"/>
    <w:rsid w:val="00F86FB3"/>
    <w:rsid w:val="00F87140"/>
    <w:rsid w:val="00F87301"/>
    <w:rsid w:val="00F87449"/>
    <w:rsid w:val="00F87791"/>
    <w:rsid w:val="00F87DEA"/>
    <w:rsid w:val="00F9005E"/>
    <w:rsid w:val="00F90256"/>
    <w:rsid w:val="00F902E8"/>
    <w:rsid w:val="00F90825"/>
    <w:rsid w:val="00F90936"/>
    <w:rsid w:val="00F909E3"/>
    <w:rsid w:val="00F90B5B"/>
    <w:rsid w:val="00F90C14"/>
    <w:rsid w:val="00F91467"/>
    <w:rsid w:val="00F915B9"/>
    <w:rsid w:val="00F9173C"/>
    <w:rsid w:val="00F91900"/>
    <w:rsid w:val="00F91904"/>
    <w:rsid w:val="00F91A7D"/>
    <w:rsid w:val="00F91F78"/>
    <w:rsid w:val="00F920E3"/>
    <w:rsid w:val="00F926E3"/>
    <w:rsid w:val="00F92A2A"/>
    <w:rsid w:val="00F92B7A"/>
    <w:rsid w:val="00F92D54"/>
    <w:rsid w:val="00F92D8E"/>
    <w:rsid w:val="00F92EDE"/>
    <w:rsid w:val="00F93422"/>
    <w:rsid w:val="00F9378E"/>
    <w:rsid w:val="00F93B59"/>
    <w:rsid w:val="00F93BC4"/>
    <w:rsid w:val="00F93D8C"/>
    <w:rsid w:val="00F93DBF"/>
    <w:rsid w:val="00F94107"/>
    <w:rsid w:val="00F944F0"/>
    <w:rsid w:val="00F9483D"/>
    <w:rsid w:val="00F9492B"/>
    <w:rsid w:val="00F94C55"/>
    <w:rsid w:val="00F94FCA"/>
    <w:rsid w:val="00F95056"/>
    <w:rsid w:val="00F95261"/>
    <w:rsid w:val="00F9537B"/>
    <w:rsid w:val="00F956DF"/>
    <w:rsid w:val="00F9572F"/>
    <w:rsid w:val="00F957DB"/>
    <w:rsid w:val="00F95B78"/>
    <w:rsid w:val="00F95E7D"/>
    <w:rsid w:val="00F965AB"/>
    <w:rsid w:val="00F96B91"/>
    <w:rsid w:val="00F96C37"/>
    <w:rsid w:val="00F96D6E"/>
    <w:rsid w:val="00F970B0"/>
    <w:rsid w:val="00F9732E"/>
    <w:rsid w:val="00F975F6"/>
    <w:rsid w:val="00F97898"/>
    <w:rsid w:val="00F97AFD"/>
    <w:rsid w:val="00F97C48"/>
    <w:rsid w:val="00FA0036"/>
    <w:rsid w:val="00FA00DB"/>
    <w:rsid w:val="00FA0467"/>
    <w:rsid w:val="00FA04A9"/>
    <w:rsid w:val="00FA05C5"/>
    <w:rsid w:val="00FA086D"/>
    <w:rsid w:val="00FA0CFF"/>
    <w:rsid w:val="00FA0DBE"/>
    <w:rsid w:val="00FA133F"/>
    <w:rsid w:val="00FA13A3"/>
    <w:rsid w:val="00FA19DD"/>
    <w:rsid w:val="00FA1F01"/>
    <w:rsid w:val="00FA1F8B"/>
    <w:rsid w:val="00FA208B"/>
    <w:rsid w:val="00FA20D2"/>
    <w:rsid w:val="00FA24B4"/>
    <w:rsid w:val="00FA27AB"/>
    <w:rsid w:val="00FA2874"/>
    <w:rsid w:val="00FA2883"/>
    <w:rsid w:val="00FA2A37"/>
    <w:rsid w:val="00FA2A53"/>
    <w:rsid w:val="00FA2B4F"/>
    <w:rsid w:val="00FA2D7D"/>
    <w:rsid w:val="00FA31A2"/>
    <w:rsid w:val="00FA3375"/>
    <w:rsid w:val="00FA3502"/>
    <w:rsid w:val="00FA3554"/>
    <w:rsid w:val="00FA3953"/>
    <w:rsid w:val="00FA39B5"/>
    <w:rsid w:val="00FA3A03"/>
    <w:rsid w:val="00FA3EF5"/>
    <w:rsid w:val="00FA40CC"/>
    <w:rsid w:val="00FA4396"/>
    <w:rsid w:val="00FA449D"/>
    <w:rsid w:val="00FA4517"/>
    <w:rsid w:val="00FA467E"/>
    <w:rsid w:val="00FA4718"/>
    <w:rsid w:val="00FA47CD"/>
    <w:rsid w:val="00FA4823"/>
    <w:rsid w:val="00FA48D7"/>
    <w:rsid w:val="00FA4CC8"/>
    <w:rsid w:val="00FA4D5A"/>
    <w:rsid w:val="00FA5010"/>
    <w:rsid w:val="00FA51F5"/>
    <w:rsid w:val="00FA543A"/>
    <w:rsid w:val="00FA5712"/>
    <w:rsid w:val="00FA57D2"/>
    <w:rsid w:val="00FA5930"/>
    <w:rsid w:val="00FA596E"/>
    <w:rsid w:val="00FA5C7A"/>
    <w:rsid w:val="00FA5ECB"/>
    <w:rsid w:val="00FA6223"/>
    <w:rsid w:val="00FA6326"/>
    <w:rsid w:val="00FA6376"/>
    <w:rsid w:val="00FA6547"/>
    <w:rsid w:val="00FA6954"/>
    <w:rsid w:val="00FA6CC6"/>
    <w:rsid w:val="00FA6D65"/>
    <w:rsid w:val="00FA702F"/>
    <w:rsid w:val="00FA7167"/>
    <w:rsid w:val="00FA7D2E"/>
    <w:rsid w:val="00FA7DD4"/>
    <w:rsid w:val="00FA7E47"/>
    <w:rsid w:val="00FA7F09"/>
    <w:rsid w:val="00FB0120"/>
    <w:rsid w:val="00FB014A"/>
    <w:rsid w:val="00FB0218"/>
    <w:rsid w:val="00FB025F"/>
    <w:rsid w:val="00FB03C4"/>
    <w:rsid w:val="00FB049C"/>
    <w:rsid w:val="00FB0875"/>
    <w:rsid w:val="00FB087D"/>
    <w:rsid w:val="00FB0C55"/>
    <w:rsid w:val="00FB0DC5"/>
    <w:rsid w:val="00FB0E52"/>
    <w:rsid w:val="00FB0F36"/>
    <w:rsid w:val="00FB0F9F"/>
    <w:rsid w:val="00FB1192"/>
    <w:rsid w:val="00FB11F3"/>
    <w:rsid w:val="00FB11F5"/>
    <w:rsid w:val="00FB1290"/>
    <w:rsid w:val="00FB19A6"/>
    <w:rsid w:val="00FB19AC"/>
    <w:rsid w:val="00FB1A76"/>
    <w:rsid w:val="00FB1C52"/>
    <w:rsid w:val="00FB1C58"/>
    <w:rsid w:val="00FB1DE4"/>
    <w:rsid w:val="00FB1E32"/>
    <w:rsid w:val="00FB2296"/>
    <w:rsid w:val="00FB231A"/>
    <w:rsid w:val="00FB2360"/>
    <w:rsid w:val="00FB246D"/>
    <w:rsid w:val="00FB24B7"/>
    <w:rsid w:val="00FB2757"/>
    <w:rsid w:val="00FB2825"/>
    <w:rsid w:val="00FB28EB"/>
    <w:rsid w:val="00FB2966"/>
    <w:rsid w:val="00FB2B56"/>
    <w:rsid w:val="00FB2BF3"/>
    <w:rsid w:val="00FB2C3A"/>
    <w:rsid w:val="00FB329B"/>
    <w:rsid w:val="00FB34C4"/>
    <w:rsid w:val="00FB3552"/>
    <w:rsid w:val="00FB36A9"/>
    <w:rsid w:val="00FB3732"/>
    <w:rsid w:val="00FB398B"/>
    <w:rsid w:val="00FB3A2F"/>
    <w:rsid w:val="00FB3E6A"/>
    <w:rsid w:val="00FB415F"/>
    <w:rsid w:val="00FB4286"/>
    <w:rsid w:val="00FB46FF"/>
    <w:rsid w:val="00FB4831"/>
    <w:rsid w:val="00FB495A"/>
    <w:rsid w:val="00FB5141"/>
    <w:rsid w:val="00FB51BD"/>
    <w:rsid w:val="00FB5236"/>
    <w:rsid w:val="00FB53C5"/>
    <w:rsid w:val="00FB5599"/>
    <w:rsid w:val="00FB5684"/>
    <w:rsid w:val="00FB597A"/>
    <w:rsid w:val="00FB5A03"/>
    <w:rsid w:val="00FB5CCC"/>
    <w:rsid w:val="00FB6150"/>
    <w:rsid w:val="00FB6533"/>
    <w:rsid w:val="00FB674B"/>
    <w:rsid w:val="00FB6CAB"/>
    <w:rsid w:val="00FB6CDB"/>
    <w:rsid w:val="00FB6CFF"/>
    <w:rsid w:val="00FB7119"/>
    <w:rsid w:val="00FB7129"/>
    <w:rsid w:val="00FB723E"/>
    <w:rsid w:val="00FB72E2"/>
    <w:rsid w:val="00FB7672"/>
    <w:rsid w:val="00FB77EC"/>
    <w:rsid w:val="00FB7829"/>
    <w:rsid w:val="00FB782E"/>
    <w:rsid w:val="00FB7C04"/>
    <w:rsid w:val="00FB7C33"/>
    <w:rsid w:val="00FB7E31"/>
    <w:rsid w:val="00FB7EAB"/>
    <w:rsid w:val="00FB7EBB"/>
    <w:rsid w:val="00FB7F31"/>
    <w:rsid w:val="00FBC217"/>
    <w:rsid w:val="00FC01D0"/>
    <w:rsid w:val="00FC0466"/>
    <w:rsid w:val="00FC0722"/>
    <w:rsid w:val="00FC0883"/>
    <w:rsid w:val="00FC0ACF"/>
    <w:rsid w:val="00FC0EFE"/>
    <w:rsid w:val="00FC12C8"/>
    <w:rsid w:val="00FC1310"/>
    <w:rsid w:val="00FC135D"/>
    <w:rsid w:val="00FC15A1"/>
    <w:rsid w:val="00FC1653"/>
    <w:rsid w:val="00FC1873"/>
    <w:rsid w:val="00FC1B72"/>
    <w:rsid w:val="00FC1B7E"/>
    <w:rsid w:val="00FC1BA1"/>
    <w:rsid w:val="00FC1C64"/>
    <w:rsid w:val="00FC1CBA"/>
    <w:rsid w:val="00FC1D21"/>
    <w:rsid w:val="00FC1EFD"/>
    <w:rsid w:val="00FC1F32"/>
    <w:rsid w:val="00FC1F95"/>
    <w:rsid w:val="00FC1FC7"/>
    <w:rsid w:val="00FC2095"/>
    <w:rsid w:val="00FC2334"/>
    <w:rsid w:val="00FC24FE"/>
    <w:rsid w:val="00FC269C"/>
    <w:rsid w:val="00FC2769"/>
    <w:rsid w:val="00FC299F"/>
    <w:rsid w:val="00FC2D55"/>
    <w:rsid w:val="00FC2D71"/>
    <w:rsid w:val="00FC2E74"/>
    <w:rsid w:val="00FC2ED7"/>
    <w:rsid w:val="00FC3118"/>
    <w:rsid w:val="00FC3160"/>
    <w:rsid w:val="00FC328D"/>
    <w:rsid w:val="00FC32D4"/>
    <w:rsid w:val="00FC35E3"/>
    <w:rsid w:val="00FC3614"/>
    <w:rsid w:val="00FC37AB"/>
    <w:rsid w:val="00FC3AF5"/>
    <w:rsid w:val="00FC3B40"/>
    <w:rsid w:val="00FC3BFA"/>
    <w:rsid w:val="00FC3ED3"/>
    <w:rsid w:val="00FC4271"/>
    <w:rsid w:val="00FC451D"/>
    <w:rsid w:val="00FC4569"/>
    <w:rsid w:val="00FC45AF"/>
    <w:rsid w:val="00FC49A0"/>
    <w:rsid w:val="00FC4A65"/>
    <w:rsid w:val="00FC4C08"/>
    <w:rsid w:val="00FC4F3C"/>
    <w:rsid w:val="00FC5411"/>
    <w:rsid w:val="00FC5D49"/>
    <w:rsid w:val="00FC5D61"/>
    <w:rsid w:val="00FC6039"/>
    <w:rsid w:val="00FC6043"/>
    <w:rsid w:val="00FC6205"/>
    <w:rsid w:val="00FC7223"/>
    <w:rsid w:val="00FC727B"/>
    <w:rsid w:val="00FC72CB"/>
    <w:rsid w:val="00FC740B"/>
    <w:rsid w:val="00FC763B"/>
    <w:rsid w:val="00FC765B"/>
    <w:rsid w:val="00FC7AA1"/>
    <w:rsid w:val="00FC7C55"/>
    <w:rsid w:val="00FC7CE2"/>
    <w:rsid w:val="00FC7F22"/>
    <w:rsid w:val="00FCD392"/>
    <w:rsid w:val="00FD0085"/>
    <w:rsid w:val="00FD008F"/>
    <w:rsid w:val="00FD0509"/>
    <w:rsid w:val="00FD05A7"/>
    <w:rsid w:val="00FD0605"/>
    <w:rsid w:val="00FD0670"/>
    <w:rsid w:val="00FD084A"/>
    <w:rsid w:val="00FD0C28"/>
    <w:rsid w:val="00FD0DC2"/>
    <w:rsid w:val="00FD0DC7"/>
    <w:rsid w:val="00FD0FA4"/>
    <w:rsid w:val="00FD1202"/>
    <w:rsid w:val="00FD1364"/>
    <w:rsid w:val="00FD14CD"/>
    <w:rsid w:val="00FD1743"/>
    <w:rsid w:val="00FD1C35"/>
    <w:rsid w:val="00FD1E0C"/>
    <w:rsid w:val="00FD1F4B"/>
    <w:rsid w:val="00FD1F9A"/>
    <w:rsid w:val="00FD1FC1"/>
    <w:rsid w:val="00FD2104"/>
    <w:rsid w:val="00FD2896"/>
    <w:rsid w:val="00FD29FE"/>
    <w:rsid w:val="00FD2A76"/>
    <w:rsid w:val="00FD2A85"/>
    <w:rsid w:val="00FD2A8F"/>
    <w:rsid w:val="00FD2ADA"/>
    <w:rsid w:val="00FD2BAA"/>
    <w:rsid w:val="00FD2DBE"/>
    <w:rsid w:val="00FD2E8D"/>
    <w:rsid w:val="00FD2ED6"/>
    <w:rsid w:val="00FD2F06"/>
    <w:rsid w:val="00FD31AC"/>
    <w:rsid w:val="00FD340C"/>
    <w:rsid w:val="00FD368C"/>
    <w:rsid w:val="00FD3C61"/>
    <w:rsid w:val="00FD41C3"/>
    <w:rsid w:val="00FD41E6"/>
    <w:rsid w:val="00FD46B3"/>
    <w:rsid w:val="00FD48D3"/>
    <w:rsid w:val="00FD4B58"/>
    <w:rsid w:val="00FD4D7B"/>
    <w:rsid w:val="00FD4EA6"/>
    <w:rsid w:val="00FD51B7"/>
    <w:rsid w:val="00FD5447"/>
    <w:rsid w:val="00FD5859"/>
    <w:rsid w:val="00FD591A"/>
    <w:rsid w:val="00FD5972"/>
    <w:rsid w:val="00FD5AF9"/>
    <w:rsid w:val="00FD5B9A"/>
    <w:rsid w:val="00FD5CA2"/>
    <w:rsid w:val="00FD657A"/>
    <w:rsid w:val="00FD6937"/>
    <w:rsid w:val="00FD6B67"/>
    <w:rsid w:val="00FD6DB5"/>
    <w:rsid w:val="00FD6FCA"/>
    <w:rsid w:val="00FD7005"/>
    <w:rsid w:val="00FD70E2"/>
    <w:rsid w:val="00FD72DD"/>
    <w:rsid w:val="00FD734A"/>
    <w:rsid w:val="00FD73B2"/>
    <w:rsid w:val="00FD75B6"/>
    <w:rsid w:val="00FD7895"/>
    <w:rsid w:val="00FD798C"/>
    <w:rsid w:val="00FD7F6C"/>
    <w:rsid w:val="00FD7FA0"/>
    <w:rsid w:val="00FE0058"/>
    <w:rsid w:val="00FE015D"/>
    <w:rsid w:val="00FE0234"/>
    <w:rsid w:val="00FE024D"/>
    <w:rsid w:val="00FE026B"/>
    <w:rsid w:val="00FE02C0"/>
    <w:rsid w:val="00FE03C8"/>
    <w:rsid w:val="00FE0811"/>
    <w:rsid w:val="00FE0879"/>
    <w:rsid w:val="00FE0A43"/>
    <w:rsid w:val="00FE0AAD"/>
    <w:rsid w:val="00FE0C83"/>
    <w:rsid w:val="00FE0DA2"/>
    <w:rsid w:val="00FE115B"/>
    <w:rsid w:val="00FE117E"/>
    <w:rsid w:val="00FE1324"/>
    <w:rsid w:val="00FE14E9"/>
    <w:rsid w:val="00FE1880"/>
    <w:rsid w:val="00FE197B"/>
    <w:rsid w:val="00FE1E25"/>
    <w:rsid w:val="00FE1E6E"/>
    <w:rsid w:val="00FE1F44"/>
    <w:rsid w:val="00FE20FA"/>
    <w:rsid w:val="00FE2175"/>
    <w:rsid w:val="00FE22BB"/>
    <w:rsid w:val="00FE22E3"/>
    <w:rsid w:val="00FE23F8"/>
    <w:rsid w:val="00FE2766"/>
    <w:rsid w:val="00FE277B"/>
    <w:rsid w:val="00FE2A09"/>
    <w:rsid w:val="00FE2A32"/>
    <w:rsid w:val="00FE2BD4"/>
    <w:rsid w:val="00FE2F0C"/>
    <w:rsid w:val="00FE3092"/>
    <w:rsid w:val="00FE3353"/>
    <w:rsid w:val="00FE340B"/>
    <w:rsid w:val="00FE3446"/>
    <w:rsid w:val="00FE34FA"/>
    <w:rsid w:val="00FE3525"/>
    <w:rsid w:val="00FE3576"/>
    <w:rsid w:val="00FE3965"/>
    <w:rsid w:val="00FE3A93"/>
    <w:rsid w:val="00FE3BBC"/>
    <w:rsid w:val="00FE3F71"/>
    <w:rsid w:val="00FE40CF"/>
    <w:rsid w:val="00FE48B7"/>
    <w:rsid w:val="00FE4908"/>
    <w:rsid w:val="00FE4AB0"/>
    <w:rsid w:val="00FE4E07"/>
    <w:rsid w:val="00FE4EFF"/>
    <w:rsid w:val="00FE5495"/>
    <w:rsid w:val="00FE54E6"/>
    <w:rsid w:val="00FE5513"/>
    <w:rsid w:val="00FE5701"/>
    <w:rsid w:val="00FE5816"/>
    <w:rsid w:val="00FE5C38"/>
    <w:rsid w:val="00FE5DB3"/>
    <w:rsid w:val="00FE5DCE"/>
    <w:rsid w:val="00FE5DE9"/>
    <w:rsid w:val="00FE5E2F"/>
    <w:rsid w:val="00FE5E3D"/>
    <w:rsid w:val="00FE6012"/>
    <w:rsid w:val="00FE605C"/>
    <w:rsid w:val="00FE6096"/>
    <w:rsid w:val="00FE6272"/>
    <w:rsid w:val="00FE628B"/>
    <w:rsid w:val="00FE6370"/>
    <w:rsid w:val="00FE638E"/>
    <w:rsid w:val="00FE65B0"/>
    <w:rsid w:val="00FE680A"/>
    <w:rsid w:val="00FE6845"/>
    <w:rsid w:val="00FE6A5E"/>
    <w:rsid w:val="00FE6AD4"/>
    <w:rsid w:val="00FE6D49"/>
    <w:rsid w:val="00FE6E03"/>
    <w:rsid w:val="00FE70BB"/>
    <w:rsid w:val="00FE7165"/>
    <w:rsid w:val="00FE745E"/>
    <w:rsid w:val="00FE75E7"/>
    <w:rsid w:val="00FE79B7"/>
    <w:rsid w:val="00FE7A2A"/>
    <w:rsid w:val="00FE7ACA"/>
    <w:rsid w:val="00FE7ACB"/>
    <w:rsid w:val="00FE7AD1"/>
    <w:rsid w:val="00FE7BC6"/>
    <w:rsid w:val="00FE7C49"/>
    <w:rsid w:val="00FE7CB7"/>
    <w:rsid w:val="00FEE57D"/>
    <w:rsid w:val="00FF0095"/>
    <w:rsid w:val="00FF02C4"/>
    <w:rsid w:val="00FF0600"/>
    <w:rsid w:val="00FF072B"/>
    <w:rsid w:val="00FF088B"/>
    <w:rsid w:val="00FF0907"/>
    <w:rsid w:val="00FF13B2"/>
    <w:rsid w:val="00FF150F"/>
    <w:rsid w:val="00FF155F"/>
    <w:rsid w:val="00FF161A"/>
    <w:rsid w:val="00FF166C"/>
    <w:rsid w:val="00FF179C"/>
    <w:rsid w:val="00FF18D2"/>
    <w:rsid w:val="00FF1B1A"/>
    <w:rsid w:val="00FF1D0C"/>
    <w:rsid w:val="00FF1E63"/>
    <w:rsid w:val="00FF23CE"/>
    <w:rsid w:val="00FF23E3"/>
    <w:rsid w:val="00FF23FD"/>
    <w:rsid w:val="00FF24E6"/>
    <w:rsid w:val="00FF272A"/>
    <w:rsid w:val="00FF28CF"/>
    <w:rsid w:val="00FF2A69"/>
    <w:rsid w:val="00FF2DA9"/>
    <w:rsid w:val="00FF3AC4"/>
    <w:rsid w:val="00FF3D9B"/>
    <w:rsid w:val="00FF3E75"/>
    <w:rsid w:val="00FF4092"/>
    <w:rsid w:val="00FF42A5"/>
    <w:rsid w:val="00FF4379"/>
    <w:rsid w:val="00FF4439"/>
    <w:rsid w:val="00FF48B0"/>
    <w:rsid w:val="00FF494F"/>
    <w:rsid w:val="00FF4C29"/>
    <w:rsid w:val="00FF4DD1"/>
    <w:rsid w:val="00FF52A8"/>
    <w:rsid w:val="00FF5437"/>
    <w:rsid w:val="00FF56DC"/>
    <w:rsid w:val="00FF58B1"/>
    <w:rsid w:val="00FF59D6"/>
    <w:rsid w:val="00FF5CD6"/>
    <w:rsid w:val="00FF5D52"/>
    <w:rsid w:val="00FF5E16"/>
    <w:rsid w:val="00FF5FA2"/>
    <w:rsid w:val="00FF621D"/>
    <w:rsid w:val="00FF6474"/>
    <w:rsid w:val="00FF6603"/>
    <w:rsid w:val="00FF6A89"/>
    <w:rsid w:val="00FF6B6F"/>
    <w:rsid w:val="00FF6B7E"/>
    <w:rsid w:val="00FF6D8A"/>
    <w:rsid w:val="00FF6E4E"/>
    <w:rsid w:val="00FF6EE2"/>
    <w:rsid w:val="00FF7612"/>
    <w:rsid w:val="00FF7649"/>
    <w:rsid w:val="00FF76DF"/>
    <w:rsid w:val="00FF7A53"/>
    <w:rsid w:val="00FF7F6A"/>
    <w:rsid w:val="0103057C"/>
    <w:rsid w:val="0103EB20"/>
    <w:rsid w:val="0106967F"/>
    <w:rsid w:val="0107A58D"/>
    <w:rsid w:val="01090E49"/>
    <w:rsid w:val="010D5A26"/>
    <w:rsid w:val="010E54D3"/>
    <w:rsid w:val="011077AA"/>
    <w:rsid w:val="01111EF2"/>
    <w:rsid w:val="0114A324"/>
    <w:rsid w:val="0115E161"/>
    <w:rsid w:val="011B47F3"/>
    <w:rsid w:val="011D23B8"/>
    <w:rsid w:val="011DD005"/>
    <w:rsid w:val="012044FA"/>
    <w:rsid w:val="012050D3"/>
    <w:rsid w:val="0121E04E"/>
    <w:rsid w:val="012EF1B1"/>
    <w:rsid w:val="01302294"/>
    <w:rsid w:val="01319907"/>
    <w:rsid w:val="01349C8B"/>
    <w:rsid w:val="01395A06"/>
    <w:rsid w:val="013DB526"/>
    <w:rsid w:val="014156BD"/>
    <w:rsid w:val="0141DBB0"/>
    <w:rsid w:val="015561DA"/>
    <w:rsid w:val="015D1AA0"/>
    <w:rsid w:val="01635F81"/>
    <w:rsid w:val="016421B1"/>
    <w:rsid w:val="0167A8D8"/>
    <w:rsid w:val="016A2922"/>
    <w:rsid w:val="016AA1A7"/>
    <w:rsid w:val="016B73EE"/>
    <w:rsid w:val="016C2E50"/>
    <w:rsid w:val="0170C1B9"/>
    <w:rsid w:val="0174A4D8"/>
    <w:rsid w:val="017862C5"/>
    <w:rsid w:val="01799286"/>
    <w:rsid w:val="01840BE9"/>
    <w:rsid w:val="0189071A"/>
    <w:rsid w:val="018ADD39"/>
    <w:rsid w:val="018C1CF7"/>
    <w:rsid w:val="018F63D3"/>
    <w:rsid w:val="01915237"/>
    <w:rsid w:val="0194DC86"/>
    <w:rsid w:val="0198703E"/>
    <w:rsid w:val="01988C5D"/>
    <w:rsid w:val="019A9D7C"/>
    <w:rsid w:val="019CB527"/>
    <w:rsid w:val="019D50CD"/>
    <w:rsid w:val="019DF09B"/>
    <w:rsid w:val="01A32C0B"/>
    <w:rsid w:val="01A566DC"/>
    <w:rsid w:val="01A5C12C"/>
    <w:rsid w:val="01A86531"/>
    <w:rsid w:val="01A980BA"/>
    <w:rsid w:val="01AA7DEF"/>
    <w:rsid w:val="01AAA001"/>
    <w:rsid w:val="01AB193B"/>
    <w:rsid w:val="01ABBFB0"/>
    <w:rsid w:val="01AF31BE"/>
    <w:rsid w:val="01AF94C3"/>
    <w:rsid w:val="01B0ABDE"/>
    <w:rsid w:val="01B59D96"/>
    <w:rsid w:val="01B68509"/>
    <w:rsid w:val="01B72A72"/>
    <w:rsid w:val="01BA142C"/>
    <w:rsid w:val="01BF9BDF"/>
    <w:rsid w:val="01C266AA"/>
    <w:rsid w:val="01C44DA3"/>
    <w:rsid w:val="01C6FA63"/>
    <w:rsid w:val="01C7F39A"/>
    <w:rsid w:val="01C8AA3E"/>
    <w:rsid w:val="01C987BB"/>
    <w:rsid w:val="01CB2203"/>
    <w:rsid w:val="01CC5C3B"/>
    <w:rsid w:val="01CDC39F"/>
    <w:rsid w:val="01CE3C9F"/>
    <w:rsid w:val="01CF9D37"/>
    <w:rsid w:val="01D3B5D5"/>
    <w:rsid w:val="01D60052"/>
    <w:rsid w:val="01D62D13"/>
    <w:rsid w:val="01D7BEC9"/>
    <w:rsid w:val="01D82F8C"/>
    <w:rsid w:val="01D8E318"/>
    <w:rsid w:val="01DAF0C9"/>
    <w:rsid w:val="01DBFA26"/>
    <w:rsid w:val="01DC8CEA"/>
    <w:rsid w:val="01DCEAAD"/>
    <w:rsid w:val="01DECB12"/>
    <w:rsid w:val="01E064CB"/>
    <w:rsid w:val="01E16832"/>
    <w:rsid w:val="01E2940A"/>
    <w:rsid w:val="01E43A20"/>
    <w:rsid w:val="01E6FE79"/>
    <w:rsid w:val="01E9157F"/>
    <w:rsid w:val="01E94528"/>
    <w:rsid w:val="01E9522F"/>
    <w:rsid w:val="01EBD3AD"/>
    <w:rsid w:val="01EC03D8"/>
    <w:rsid w:val="01EEBF71"/>
    <w:rsid w:val="01F553F6"/>
    <w:rsid w:val="01F9747F"/>
    <w:rsid w:val="01FA8C1F"/>
    <w:rsid w:val="01FB0F31"/>
    <w:rsid w:val="01FC4476"/>
    <w:rsid w:val="01FE7468"/>
    <w:rsid w:val="01FF913A"/>
    <w:rsid w:val="02018591"/>
    <w:rsid w:val="0202C98E"/>
    <w:rsid w:val="02040795"/>
    <w:rsid w:val="02042AFC"/>
    <w:rsid w:val="02046F59"/>
    <w:rsid w:val="020517E4"/>
    <w:rsid w:val="0205B60A"/>
    <w:rsid w:val="020987E5"/>
    <w:rsid w:val="020A1967"/>
    <w:rsid w:val="020A380D"/>
    <w:rsid w:val="020AE384"/>
    <w:rsid w:val="020B0355"/>
    <w:rsid w:val="02128CE3"/>
    <w:rsid w:val="0213783D"/>
    <w:rsid w:val="0213E061"/>
    <w:rsid w:val="0217D055"/>
    <w:rsid w:val="021E74BF"/>
    <w:rsid w:val="021EF577"/>
    <w:rsid w:val="02265982"/>
    <w:rsid w:val="02270776"/>
    <w:rsid w:val="022747D7"/>
    <w:rsid w:val="0228105D"/>
    <w:rsid w:val="022CDEEF"/>
    <w:rsid w:val="022DA30A"/>
    <w:rsid w:val="022DE2A3"/>
    <w:rsid w:val="022E3759"/>
    <w:rsid w:val="022EFC9A"/>
    <w:rsid w:val="022F0C16"/>
    <w:rsid w:val="022F1AEB"/>
    <w:rsid w:val="022FAB6D"/>
    <w:rsid w:val="0230BE68"/>
    <w:rsid w:val="02328EA8"/>
    <w:rsid w:val="0235882A"/>
    <w:rsid w:val="023732AF"/>
    <w:rsid w:val="023A38AB"/>
    <w:rsid w:val="023C2CCB"/>
    <w:rsid w:val="023CE39C"/>
    <w:rsid w:val="0246876D"/>
    <w:rsid w:val="0246FC26"/>
    <w:rsid w:val="0249B1D5"/>
    <w:rsid w:val="024A462E"/>
    <w:rsid w:val="024D4B62"/>
    <w:rsid w:val="024FE328"/>
    <w:rsid w:val="0253D233"/>
    <w:rsid w:val="0255CDBE"/>
    <w:rsid w:val="0256ACE1"/>
    <w:rsid w:val="02575E8C"/>
    <w:rsid w:val="025A37F1"/>
    <w:rsid w:val="025C44AC"/>
    <w:rsid w:val="025DFC2B"/>
    <w:rsid w:val="026065D6"/>
    <w:rsid w:val="0262DB50"/>
    <w:rsid w:val="0263ABD3"/>
    <w:rsid w:val="02657CF9"/>
    <w:rsid w:val="02665BF8"/>
    <w:rsid w:val="026937F1"/>
    <w:rsid w:val="026B1278"/>
    <w:rsid w:val="026CABEB"/>
    <w:rsid w:val="026FE2C5"/>
    <w:rsid w:val="0272E5D2"/>
    <w:rsid w:val="027DC850"/>
    <w:rsid w:val="027E6881"/>
    <w:rsid w:val="027EC0A7"/>
    <w:rsid w:val="028001E8"/>
    <w:rsid w:val="0284A58F"/>
    <w:rsid w:val="0285AAF5"/>
    <w:rsid w:val="02867223"/>
    <w:rsid w:val="02870C34"/>
    <w:rsid w:val="028B37A4"/>
    <w:rsid w:val="028B8A46"/>
    <w:rsid w:val="028B8C98"/>
    <w:rsid w:val="02912CC4"/>
    <w:rsid w:val="0292DF2E"/>
    <w:rsid w:val="0295D537"/>
    <w:rsid w:val="0297259A"/>
    <w:rsid w:val="02974561"/>
    <w:rsid w:val="029C759B"/>
    <w:rsid w:val="029E44B3"/>
    <w:rsid w:val="02A13299"/>
    <w:rsid w:val="02A1FC36"/>
    <w:rsid w:val="02A511BD"/>
    <w:rsid w:val="02A7CE58"/>
    <w:rsid w:val="02B00A7A"/>
    <w:rsid w:val="02B05C2F"/>
    <w:rsid w:val="02B0FF39"/>
    <w:rsid w:val="02B50632"/>
    <w:rsid w:val="02B52861"/>
    <w:rsid w:val="02B59FA6"/>
    <w:rsid w:val="02B6915F"/>
    <w:rsid w:val="02BAB88F"/>
    <w:rsid w:val="02BB3874"/>
    <w:rsid w:val="02BF1A13"/>
    <w:rsid w:val="02C35EE8"/>
    <w:rsid w:val="02C40A4B"/>
    <w:rsid w:val="02C5ED9D"/>
    <w:rsid w:val="02C9FABB"/>
    <w:rsid w:val="02CA0529"/>
    <w:rsid w:val="02CDABDF"/>
    <w:rsid w:val="02CE68A9"/>
    <w:rsid w:val="02CF4A6B"/>
    <w:rsid w:val="02D20160"/>
    <w:rsid w:val="02D29794"/>
    <w:rsid w:val="02D88853"/>
    <w:rsid w:val="02DB4768"/>
    <w:rsid w:val="02DEC816"/>
    <w:rsid w:val="02DF05FB"/>
    <w:rsid w:val="02DF1611"/>
    <w:rsid w:val="02E30AB9"/>
    <w:rsid w:val="02E89BB8"/>
    <w:rsid w:val="02EB0952"/>
    <w:rsid w:val="02ED30B1"/>
    <w:rsid w:val="02EE4590"/>
    <w:rsid w:val="02EF3B9D"/>
    <w:rsid w:val="02F15233"/>
    <w:rsid w:val="02F19094"/>
    <w:rsid w:val="02F4379E"/>
    <w:rsid w:val="02F89CFC"/>
    <w:rsid w:val="02FAE9B2"/>
    <w:rsid w:val="02FB5FD1"/>
    <w:rsid w:val="02FCD911"/>
    <w:rsid w:val="02FD5C9C"/>
    <w:rsid w:val="02FE1BAF"/>
    <w:rsid w:val="02FEA156"/>
    <w:rsid w:val="03017232"/>
    <w:rsid w:val="0306E872"/>
    <w:rsid w:val="030B31BC"/>
    <w:rsid w:val="030B9BB4"/>
    <w:rsid w:val="03110643"/>
    <w:rsid w:val="03112C6A"/>
    <w:rsid w:val="03118686"/>
    <w:rsid w:val="03127748"/>
    <w:rsid w:val="0312BD78"/>
    <w:rsid w:val="03143ED6"/>
    <w:rsid w:val="0317960F"/>
    <w:rsid w:val="031921C5"/>
    <w:rsid w:val="0319495F"/>
    <w:rsid w:val="031F6E5D"/>
    <w:rsid w:val="032DE4F1"/>
    <w:rsid w:val="03318B3E"/>
    <w:rsid w:val="033FBFA0"/>
    <w:rsid w:val="0345283C"/>
    <w:rsid w:val="03461979"/>
    <w:rsid w:val="034A6C39"/>
    <w:rsid w:val="034CD0AE"/>
    <w:rsid w:val="034F0E4E"/>
    <w:rsid w:val="03516A5C"/>
    <w:rsid w:val="0355E587"/>
    <w:rsid w:val="035737C7"/>
    <w:rsid w:val="0357BF03"/>
    <w:rsid w:val="035C25E8"/>
    <w:rsid w:val="035C7F34"/>
    <w:rsid w:val="035F8471"/>
    <w:rsid w:val="03602D97"/>
    <w:rsid w:val="03611F58"/>
    <w:rsid w:val="0362F9F4"/>
    <w:rsid w:val="03631C27"/>
    <w:rsid w:val="036352E4"/>
    <w:rsid w:val="03670E42"/>
    <w:rsid w:val="036F40BA"/>
    <w:rsid w:val="0370045C"/>
    <w:rsid w:val="0374899C"/>
    <w:rsid w:val="03750141"/>
    <w:rsid w:val="0378E2EF"/>
    <w:rsid w:val="037A2F65"/>
    <w:rsid w:val="037F8802"/>
    <w:rsid w:val="038043B5"/>
    <w:rsid w:val="03816908"/>
    <w:rsid w:val="0381A10A"/>
    <w:rsid w:val="0383A957"/>
    <w:rsid w:val="0384D01C"/>
    <w:rsid w:val="0389573E"/>
    <w:rsid w:val="038B0C92"/>
    <w:rsid w:val="038BDAD6"/>
    <w:rsid w:val="038F2057"/>
    <w:rsid w:val="038FB346"/>
    <w:rsid w:val="0391C938"/>
    <w:rsid w:val="03924B55"/>
    <w:rsid w:val="039AC58D"/>
    <w:rsid w:val="039B22CE"/>
    <w:rsid w:val="039C15DC"/>
    <w:rsid w:val="039EF9FF"/>
    <w:rsid w:val="039FAE92"/>
    <w:rsid w:val="03A23217"/>
    <w:rsid w:val="03A5264F"/>
    <w:rsid w:val="03A60A9E"/>
    <w:rsid w:val="03A6121A"/>
    <w:rsid w:val="03A6EE63"/>
    <w:rsid w:val="03A87A12"/>
    <w:rsid w:val="03A942A0"/>
    <w:rsid w:val="03A9B6F4"/>
    <w:rsid w:val="03AF1DCA"/>
    <w:rsid w:val="03B2DF50"/>
    <w:rsid w:val="03B397F3"/>
    <w:rsid w:val="03B3FE8F"/>
    <w:rsid w:val="03B513D7"/>
    <w:rsid w:val="03B5571D"/>
    <w:rsid w:val="03B6CD1D"/>
    <w:rsid w:val="03BAC53E"/>
    <w:rsid w:val="03BB5EE3"/>
    <w:rsid w:val="03BC7B98"/>
    <w:rsid w:val="03BF53F7"/>
    <w:rsid w:val="03C07AAE"/>
    <w:rsid w:val="03C2A884"/>
    <w:rsid w:val="03C3579A"/>
    <w:rsid w:val="03C7DA63"/>
    <w:rsid w:val="03C94248"/>
    <w:rsid w:val="03CC2F69"/>
    <w:rsid w:val="03CDEFC9"/>
    <w:rsid w:val="03CE5734"/>
    <w:rsid w:val="03D2468A"/>
    <w:rsid w:val="03D2B0F1"/>
    <w:rsid w:val="03D31214"/>
    <w:rsid w:val="03D48A99"/>
    <w:rsid w:val="03D4A2CC"/>
    <w:rsid w:val="03DA1EB6"/>
    <w:rsid w:val="03DCA163"/>
    <w:rsid w:val="03DD36AA"/>
    <w:rsid w:val="03E124A9"/>
    <w:rsid w:val="03E2C751"/>
    <w:rsid w:val="03EF13D0"/>
    <w:rsid w:val="03F011E5"/>
    <w:rsid w:val="03F2E629"/>
    <w:rsid w:val="03F7B3A5"/>
    <w:rsid w:val="03F8BE35"/>
    <w:rsid w:val="03F9EFCE"/>
    <w:rsid w:val="03FC6BAB"/>
    <w:rsid w:val="03FF178B"/>
    <w:rsid w:val="04023B1B"/>
    <w:rsid w:val="04042289"/>
    <w:rsid w:val="040883EF"/>
    <w:rsid w:val="04089DB5"/>
    <w:rsid w:val="040C67E4"/>
    <w:rsid w:val="040E25E9"/>
    <w:rsid w:val="040F3CF3"/>
    <w:rsid w:val="041131E8"/>
    <w:rsid w:val="04122332"/>
    <w:rsid w:val="041370BC"/>
    <w:rsid w:val="0416C432"/>
    <w:rsid w:val="041891F9"/>
    <w:rsid w:val="041A5095"/>
    <w:rsid w:val="041A5BFD"/>
    <w:rsid w:val="041C4423"/>
    <w:rsid w:val="041E9A64"/>
    <w:rsid w:val="04215E41"/>
    <w:rsid w:val="0421AE23"/>
    <w:rsid w:val="0423C1B3"/>
    <w:rsid w:val="04260124"/>
    <w:rsid w:val="042741DA"/>
    <w:rsid w:val="0428297E"/>
    <w:rsid w:val="04288092"/>
    <w:rsid w:val="042BCF88"/>
    <w:rsid w:val="042C07E1"/>
    <w:rsid w:val="042C6B05"/>
    <w:rsid w:val="042C7D49"/>
    <w:rsid w:val="042D3B00"/>
    <w:rsid w:val="04308F12"/>
    <w:rsid w:val="04352950"/>
    <w:rsid w:val="043669DB"/>
    <w:rsid w:val="043698A5"/>
    <w:rsid w:val="0439ADA9"/>
    <w:rsid w:val="043B62C6"/>
    <w:rsid w:val="043DF7CC"/>
    <w:rsid w:val="04426CFA"/>
    <w:rsid w:val="0443E0EB"/>
    <w:rsid w:val="0444E2CF"/>
    <w:rsid w:val="044BE7EB"/>
    <w:rsid w:val="044E26F8"/>
    <w:rsid w:val="0455D525"/>
    <w:rsid w:val="04570E93"/>
    <w:rsid w:val="04583169"/>
    <w:rsid w:val="045F8510"/>
    <w:rsid w:val="045FCA88"/>
    <w:rsid w:val="04620E31"/>
    <w:rsid w:val="04652F9E"/>
    <w:rsid w:val="04654E35"/>
    <w:rsid w:val="04674216"/>
    <w:rsid w:val="046CD392"/>
    <w:rsid w:val="04731EF0"/>
    <w:rsid w:val="0475DB14"/>
    <w:rsid w:val="04777EEA"/>
    <w:rsid w:val="04781200"/>
    <w:rsid w:val="0478C807"/>
    <w:rsid w:val="0479D479"/>
    <w:rsid w:val="047AF254"/>
    <w:rsid w:val="047D6A3D"/>
    <w:rsid w:val="047FF34E"/>
    <w:rsid w:val="0482C284"/>
    <w:rsid w:val="04872CF6"/>
    <w:rsid w:val="04873051"/>
    <w:rsid w:val="048B8818"/>
    <w:rsid w:val="049363A4"/>
    <w:rsid w:val="0494322D"/>
    <w:rsid w:val="049663A4"/>
    <w:rsid w:val="049A1F91"/>
    <w:rsid w:val="049BCDEA"/>
    <w:rsid w:val="049BCE5A"/>
    <w:rsid w:val="049DC2D5"/>
    <w:rsid w:val="049F7F90"/>
    <w:rsid w:val="04A45F92"/>
    <w:rsid w:val="04AD79A4"/>
    <w:rsid w:val="04ADD4F5"/>
    <w:rsid w:val="04AFA432"/>
    <w:rsid w:val="04AFABA7"/>
    <w:rsid w:val="04B103E3"/>
    <w:rsid w:val="04B1C2BE"/>
    <w:rsid w:val="04B551A8"/>
    <w:rsid w:val="04B63462"/>
    <w:rsid w:val="04B9A900"/>
    <w:rsid w:val="04BFDF31"/>
    <w:rsid w:val="04C010D9"/>
    <w:rsid w:val="04C13E62"/>
    <w:rsid w:val="04C222F0"/>
    <w:rsid w:val="04C7024B"/>
    <w:rsid w:val="04C80C70"/>
    <w:rsid w:val="04C85770"/>
    <w:rsid w:val="04D00F4E"/>
    <w:rsid w:val="04D0A9EF"/>
    <w:rsid w:val="04D17701"/>
    <w:rsid w:val="04D5DFBE"/>
    <w:rsid w:val="04DC2C46"/>
    <w:rsid w:val="04DCD85E"/>
    <w:rsid w:val="04E3A3DE"/>
    <w:rsid w:val="04E56A23"/>
    <w:rsid w:val="04EDDEA0"/>
    <w:rsid w:val="04EE3CF3"/>
    <w:rsid w:val="04EF04C3"/>
    <w:rsid w:val="04F00E84"/>
    <w:rsid w:val="04F4BAD7"/>
    <w:rsid w:val="04F5FBF8"/>
    <w:rsid w:val="04F62EFD"/>
    <w:rsid w:val="04F6C437"/>
    <w:rsid w:val="04FA2F76"/>
    <w:rsid w:val="04FA7BCF"/>
    <w:rsid w:val="04FAD829"/>
    <w:rsid w:val="04FB3065"/>
    <w:rsid w:val="05021FE3"/>
    <w:rsid w:val="0503DCF4"/>
    <w:rsid w:val="0503E4BF"/>
    <w:rsid w:val="050B1252"/>
    <w:rsid w:val="050DEDA0"/>
    <w:rsid w:val="05117D30"/>
    <w:rsid w:val="0511C229"/>
    <w:rsid w:val="05132205"/>
    <w:rsid w:val="0518614F"/>
    <w:rsid w:val="051AC559"/>
    <w:rsid w:val="051E33F6"/>
    <w:rsid w:val="051F22A0"/>
    <w:rsid w:val="05219339"/>
    <w:rsid w:val="05236128"/>
    <w:rsid w:val="052472D4"/>
    <w:rsid w:val="05281DEF"/>
    <w:rsid w:val="0528C2A1"/>
    <w:rsid w:val="052ABEFC"/>
    <w:rsid w:val="052B8EC4"/>
    <w:rsid w:val="052FEFE6"/>
    <w:rsid w:val="0533E20D"/>
    <w:rsid w:val="05345653"/>
    <w:rsid w:val="05352664"/>
    <w:rsid w:val="05361D9F"/>
    <w:rsid w:val="0537D2A9"/>
    <w:rsid w:val="053B8F40"/>
    <w:rsid w:val="053E733F"/>
    <w:rsid w:val="0545F3E2"/>
    <w:rsid w:val="05460296"/>
    <w:rsid w:val="05466896"/>
    <w:rsid w:val="0546A6A5"/>
    <w:rsid w:val="0546AFB2"/>
    <w:rsid w:val="054708B8"/>
    <w:rsid w:val="054B0B61"/>
    <w:rsid w:val="054CB034"/>
    <w:rsid w:val="054CC5DB"/>
    <w:rsid w:val="054D91D6"/>
    <w:rsid w:val="054F1FB3"/>
    <w:rsid w:val="0555AE2B"/>
    <w:rsid w:val="05563937"/>
    <w:rsid w:val="0557F5AC"/>
    <w:rsid w:val="05580F67"/>
    <w:rsid w:val="05585733"/>
    <w:rsid w:val="055A452D"/>
    <w:rsid w:val="055F3670"/>
    <w:rsid w:val="0567ADB0"/>
    <w:rsid w:val="0568B941"/>
    <w:rsid w:val="056B1CFA"/>
    <w:rsid w:val="056D9B9F"/>
    <w:rsid w:val="05729DE4"/>
    <w:rsid w:val="0574598C"/>
    <w:rsid w:val="057C23E5"/>
    <w:rsid w:val="058219FD"/>
    <w:rsid w:val="05843E06"/>
    <w:rsid w:val="05879E35"/>
    <w:rsid w:val="058A85F6"/>
    <w:rsid w:val="05921C0D"/>
    <w:rsid w:val="05930622"/>
    <w:rsid w:val="05957AFA"/>
    <w:rsid w:val="0598360B"/>
    <w:rsid w:val="059BD22E"/>
    <w:rsid w:val="059DA79F"/>
    <w:rsid w:val="059FD92D"/>
    <w:rsid w:val="05A29F60"/>
    <w:rsid w:val="05A52C52"/>
    <w:rsid w:val="05A5CC42"/>
    <w:rsid w:val="05A95E8C"/>
    <w:rsid w:val="05AA7965"/>
    <w:rsid w:val="05AC3A68"/>
    <w:rsid w:val="05B4A476"/>
    <w:rsid w:val="05B645DF"/>
    <w:rsid w:val="05B8B08E"/>
    <w:rsid w:val="05BA365F"/>
    <w:rsid w:val="05BAAD8B"/>
    <w:rsid w:val="05BAB047"/>
    <w:rsid w:val="05BF472D"/>
    <w:rsid w:val="05BF5A0B"/>
    <w:rsid w:val="05C03B17"/>
    <w:rsid w:val="05CCE954"/>
    <w:rsid w:val="05CD0FBB"/>
    <w:rsid w:val="05CE2FE5"/>
    <w:rsid w:val="05CFC37E"/>
    <w:rsid w:val="05D2982B"/>
    <w:rsid w:val="05DA5752"/>
    <w:rsid w:val="05DC6FCD"/>
    <w:rsid w:val="05DDEBEC"/>
    <w:rsid w:val="05DFD3AD"/>
    <w:rsid w:val="05E23806"/>
    <w:rsid w:val="05E54568"/>
    <w:rsid w:val="05E55C0A"/>
    <w:rsid w:val="05E9350D"/>
    <w:rsid w:val="05E96EFF"/>
    <w:rsid w:val="05EC4DFA"/>
    <w:rsid w:val="05EF9E85"/>
    <w:rsid w:val="05F289C9"/>
    <w:rsid w:val="05F49E5F"/>
    <w:rsid w:val="05F81D70"/>
    <w:rsid w:val="05FA75C5"/>
    <w:rsid w:val="05FC9599"/>
    <w:rsid w:val="0600C71E"/>
    <w:rsid w:val="0601CCB6"/>
    <w:rsid w:val="06041329"/>
    <w:rsid w:val="06050B2D"/>
    <w:rsid w:val="0609054D"/>
    <w:rsid w:val="060BD5D6"/>
    <w:rsid w:val="06160A66"/>
    <w:rsid w:val="061689BC"/>
    <w:rsid w:val="0616F793"/>
    <w:rsid w:val="06170458"/>
    <w:rsid w:val="0617EDE1"/>
    <w:rsid w:val="0618CE19"/>
    <w:rsid w:val="061A0739"/>
    <w:rsid w:val="061B4E38"/>
    <w:rsid w:val="061E9DFC"/>
    <w:rsid w:val="061FDBAF"/>
    <w:rsid w:val="06239B30"/>
    <w:rsid w:val="06257553"/>
    <w:rsid w:val="0625AFE3"/>
    <w:rsid w:val="06294EF9"/>
    <w:rsid w:val="062DE1B3"/>
    <w:rsid w:val="062F2ADD"/>
    <w:rsid w:val="062F5659"/>
    <w:rsid w:val="06313D89"/>
    <w:rsid w:val="0632F89C"/>
    <w:rsid w:val="06342268"/>
    <w:rsid w:val="063634AF"/>
    <w:rsid w:val="0638777D"/>
    <w:rsid w:val="063A92CF"/>
    <w:rsid w:val="063B7970"/>
    <w:rsid w:val="063E4D95"/>
    <w:rsid w:val="06415EB5"/>
    <w:rsid w:val="0643EF98"/>
    <w:rsid w:val="0646A381"/>
    <w:rsid w:val="0648004C"/>
    <w:rsid w:val="0649AE09"/>
    <w:rsid w:val="064A92D3"/>
    <w:rsid w:val="0654FEFB"/>
    <w:rsid w:val="0656FDA9"/>
    <w:rsid w:val="06572093"/>
    <w:rsid w:val="0659D34E"/>
    <w:rsid w:val="065CC2E8"/>
    <w:rsid w:val="066008A3"/>
    <w:rsid w:val="06601C3F"/>
    <w:rsid w:val="06604994"/>
    <w:rsid w:val="06638EB0"/>
    <w:rsid w:val="0663A332"/>
    <w:rsid w:val="066841CE"/>
    <w:rsid w:val="06684714"/>
    <w:rsid w:val="0668F61D"/>
    <w:rsid w:val="066C22DC"/>
    <w:rsid w:val="066C4B99"/>
    <w:rsid w:val="066CCC7B"/>
    <w:rsid w:val="066D3B28"/>
    <w:rsid w:val="066DCD71"/>
    <w:rsid w:val="066F9F3D"/>
    <w:rsid w:val="0672C7EC"/>
    <w:rsid w:val="06751757"/>
    <w:rsid w:val="06779477"/>
    <w:rsid w:val="0678C543"/>
    <w:rsid w:val="067E67C9"/>
    <w:rsid w:val="06805B0D"/>
    <w:rsid w:val="0683C77C"/>
    <w:rsid w:val="06841AA0"/>
    <w:rsid w:val="068A1EDD"/>
    <w:rsid w:val="068D5C1A"/>
    <w:rsid w:val="068E9785"/>
    <w:rsid w:val="068FDBA4"/>
    <w:rsid w:val="06915BE8"/>
    <w:rsid w:val="069479C1"/>
    <w:rsid w:val="06968278"/>
    <w:rsid w:val="0698D2A0"/>
    <w:rsid w:val="069A2108"/>
    <w:rsid w:val="069BF7BF"/>
    <w:rsid w:val="069C8174"/>
    <w:rsid w:val="069E3469"/>
    <w:rsid w:val="06A59EF3"/>
    <w:rsid w:val="06A9B78D"/>
    <w:rsid w:val="06AAD407"/>
    <w:rsid w:val="06AFBB70"/>
    <w:rsid w:val="06B13493"/>
    <w:rsid w:val="06B18021"/>
    <w:rsid w:val="06B6CC41"/>
    <w:rsid w:val="06B6D4EC"/>
    <w:rsid w:val="06B90864"/>
    <w:rsid w:val="06B98FFD"/>
    <w:rsid w:val="06B9E70E"/>
    <w:rsid w:val="06BB5A92"/>
    <w:rsid w:val="06BC8B06"/>
    <w:rsid w:val="06BCE26B"/>
    <w:rsid w:val="06C1C590"/>
    <w:rsid w:val="06C3D3BF"/>
    <w:rsid w:val="06C4DB44"/>
    <w:rsid w:val="06C4E8F5"/>
    <w:rsid w:val="06C53D9A"/>
    <w:rsid w:val="06C7BED1"/>
    <w:rsid w:val="06C7D587"/>
    <w:rsid w:val="06CA5F4A"/>
    <w:rsid w:val="06CBE3F5"/>
    <w:rsid w:val="06CD7932"/>
    <w:rsid w:val="06D128BB"/>
    <w:rsid w:val="06D38358"/>
    <w:rsid w:val="06D4A8DF"/>
    <w:rsid w:val="06D8593D"/>
    <w:rsid w:val="06E41C93"/>
    <w:rsid w:val="06E8AA63"/>
    <w:rsid w:val="06EA74F7"/>
    <w:rsid w:val="06ED5BC0"/>
    <w:rsid w:val="06F098DA"/>
    <w:rsid w:val="06F1FDC7"/>
    <w:rsid w:val="06F4FCE2"/>
    <w:rsid w:val="06FA4CC8"/>
    <w:rsid w:val="06FB7BB9"/>
    <w:rsid w:val="06FBA98E"/>
    <w:rsid w:val="06FBE84D"/>
    <w:rsid w:val="0703FC4E"/>
    <w:rsid w:val="070412F2"/>
    <w:rsid w:val="0705A2A2"/>
    <w:rsid w:val="0708B112"/>
    <w:rsid w:val="0708C2FC"/>
    <w:rsid w:val="0708CF7F"/>
    <w:rsid w:val="070B9F14"/>
    <w:rsid w:val="070D754E"/>
    <w:rsid w:val="0713BBB0"/>
    <w:rsid w:val="07163F9A"/>
    <w:rsid w:val="0717A3DE"/>
    <w:rsid w:val="0719C1A8"/>
    <w:rsid w:val="071D52AA"/>
    <w:rsid w:val="07240AF2"/>
    <w:rsid w:val="072569D1"/>
    <w:rsid w:val="0727527E"/>
    <w:rsid w:val="07287016"/>
    <w:rsid w:val="072A096B"/>
    <w:rsid w:val="072CF470"/>
    <w:rsid w:val="072EC747"/>
    <w:rsid w:val="072FD33F"/>
    <w:rsid w:val="0731CBD2"/>
    <w:rsid w:val="07339B4B"/>
    <w:rsid w:val="07345652"/>
    <w:rsid w:val="0735781F"/>
    <w:rsid w:val="0737868F"/>
    <w:rsid w:val="0737CC80"/>
    <w:rsid w:val="073973A9"/>
    <w:rsid w:val="073BB780"/>
    <w:rsid w:val="073F27AB"/>
    <w:rsid w:val="073FBB19"/>
    <w:rsid w:val="0740F740"/>
    <w:rsid w:val="0744349D"/>
    <w:rsid w:val="07457567"/>
    <w:rsid w:val="074770B7"/>
    <w:rsid w:val="074B42C1"/>
    <w:rsid w:val="074E2633"/>
    <w:rsid w:val="074EA78D"/>
    <w:rsid w:val="074F9A9F"/>
    <w:rsid w:val="07500F1C"/>
    <w:rsid w:val="0750151D"/>
    <w:rsid w:val="075335C1"/>
    <w:rsid w:val="07557C2E"/>
    <w:rsid w:val="075581CC"/>
    <w:rsid w:val="075B101F"/>
    <w:rsid w:val="075B6D42"/>
    <w:rsid w:val="075E7E20"/>
    <w:rsid w:val="07609C10"/>
    <w:rsid w:val="0760FD34"/>
    <w:rsid w:val="076D5373"/>
    <w:rsid w:val="076EE509"/>
    <w:rsid w:val="076F564E"/>
    <w:rsid w:val="0773B2A8"/>
    <w:rsid w:val="07748CF8"/>
    <w:rsid w:val="07761095"/>
    <w:rsid w:val="0776EFD7"/>
    <w:rsid w:val="07781F19"/>
    <w:rsid w:val="077866BA"/>
    <w:rsid w:val="077C1339"/>
    <w:rsid w:val="077CF73E"/>
    <w:rsid w:val="077F599F"/>
    <w:rsid w:val="077F659F"/>
    <w:rsid w:val="0780A67B"/>
    <w:rsid w:val="0782DDAD"/>
    <w:rsid w:val="0787BA97"/>
    <w:rsid w:val="078EA48E"/>
    <w:rsid w:val="07924359"/>
    <w:rsid w:val="0797A30A"/>
    <w:rsid w:val="0799A721"/>
    <w:rsid w:val="079C314A"/>
    <w:rsid w:val="079C34DC"/>
    <w:rsid w:val="07A27B02"/>
    <w:rsid w:val="07A35E67"/>
    <w:rsid w:val="07A3F4E7"/>
    <w:rsid w:val="07A84970"/>
    <w:rsid w:val="07AB114F"/>
    <w:rsid w:val="07B04786"/>
    <w:rsid w:val="07B05BCE"/>
    <w:rsid w:val="07B21358"/>
    <w:rsid w:val="07B8E76B"/>
    <w:rsid w:val="07BA98D0"/>
    <w:rsid w:val="07BB0AF7"/>
    <w:rsid w:val="07BB109D"/>
    <w:rsid w:val="07BC789F"/>
    <w:rsid w:val="07BD191D"/>
    <w:rsid w:val="07C1B384"/>
    <w:rsid w:val="07C55797"/>
    <w:rsid w:val="07C7C6F8"/>
    <w:rsid w:val="07CADFDC"/>
    <w:rsid w:val="07D18B71"/>
    <w:rsid w:val="07D20564"/>
    <w:rsid w:val="07D21A8A"/>
    <w:rsid w:val="07D8066F"/>
    <w:rsid w:val="07DB263A"/>
    <w:rsid w:val="07DF6BE7"/>
    <w:rsid w:val="07E4B17F"/>
    <w:rsid w:val="07E6F553"/>
    <w:rsid w:val="07E7DB88"/>
    <w:rsid w:val="07E8644E"/>
    <w:rsid w:val="07E98BA0"/>
    <w:rsid w:val="07EAB998"/>
    <w:rsid w:val="07EB92FE"/>
    <w:rsid w:val="07EFCED6"/>
    <w:rsid w:val="07F167F9"/>
    <w:rsid w:val="07F18316"/>
    <w:rsid w:val="07F1E3EF"/>
    <w:rsid w:val="07F6045A"/>
    <w:rsid w:val="07F64F38"/>
    <w:rsid w:val="07F995AF"/>
    <w:rsid w:val="07FAD4BD"/>
    <w:rsid w:val="08039B1B"/>
    <w:rsid w:val="08080E86"/>
    <w:rsid w:val="080961E8"/>
    <w:rsid w:val="080ADB0F"/>
    <w:rsid w:val="080B5D5B"/>
    <w:rsid w:val="080CC152"/>
    <w:rsid w:val="080D4E5D"/>
    <w:rsid w:val="080DAE42"/>
    <w:rsid w:val="080DE15A"/>
    <w:rsid w:val="080E4D0D"/>
    <w:rsid w:val="08111CF0"/>
    <w:rsid w:val="08112953"/>
    <w:rsid w:val="08121D93"/>
    <w:rsid w:val="081448FD"/>
    <w:rsid w:val="081934EF"/>
    <w:rsid w:val="081C3021"/>
    <w:rsid w:val="081CAF5F"/>
    <w:rsid w:val="081DED21"/>
    <w:rsid w:val="081FC94E"/>
    <w:rsid w:val="08204B9A"/>
    <w:rsid w:val="08209A58"/>
    <w:rsid w:val="0821F174"/>
    <w:rsid w:val="08234EEF"/>
    <w:rsid w:val="0824B07A"/>
    <w:rsid w:val="0826999A"/>
    <w:rsid w:val="082ACEA7"/>
    <w:rsid w:val="082E1CCB"/>
    <w:rsid w:val="0832556D"/>
    <w:rsid w:val="08341EE2"/>
    <w:rsid w:val="083831B6"/>
    <w:rsid w:val="0839F454"/>
    <w:rsid w:val="08497E4F"/>
    <w:rsid w:val="084ED94A"/>
    <w:rsid w:val="084FAE3E"/>
    <w:rsid w:val="0853AAF8"/>
    <w:rsid w:val="0853B2CF"/>
    <w:rsid w:val="08550881"/>
    <w:rsid w:val="0855170E"/>
    <w:rsid w:val="0856B742"/>
    <w:rsid w:val="085730AB"/>
    <w:rsid w:val="085A2897"/>
    <w:rsid w:val="085B9E19"/>
    <w:rsid w:val="085E2FD9"/>
    <w:rsid w:val="0860E58E"/>
    <w:rsid w:val="08649E34"/>
    <w:rsid w:val="0868B989"/>
    <w:rsid w:val="0868FD39"/>
    <w:rsid w:val="086ABD21"/>
    <w:rsid w:val="08703E46"/>
    <w:rsid w:val="08709A63"/>
    <w:rsid w:val="0871D333"/>
    <w:rsid w:val="0879E6D4"/>
    <w:rsid w:val="087ED0ED"/>
    <w:rsid w:val="08836DFA"/>
    <w:rsid w:val="0886273B"/>
    <w:rsid w:val="0886FA4D"/>
    <w:rsid w:val="0887C996"/>
    <w:rsid w:val="0888A7E3"/>
    <w:rsid w:val="08915BB6"/>
    <w:rsid w:val="089BAA6E"/>
    <w:rsid w:val="089D2285"/>
    <w:rsid w:val="08A24A7D"/>
    <w:rsid w:val="08A593AD"/>
    <w:rsid w:val="08A5C25F"/>
    <w:rsid w:val="08A75B0B"/>
    <w:rsid w:val="08A83906"/>
    <w:rsid w:val="08A9B830"/>
    <w:rsid w:val="08ADF682"/>
    <w:rsid w:val="08B26FF8"/>
    <w:rsid w:val="08B851D8"/>
    <w:rsid w:val="08B9931B"/>
    <w:rsid w:val="08BF1D9E"/>
    <w:rsid w:val="08C01AF3"/>
    <w:rsid w:val="08C42B1D"/>
    <w:rsid w:val="08C71538"/>
    <w:rsid w:val="08CB4791"/>
    <w:rsid w:val="08CEA588"/>
    <w:rsid w:val="08D0E28E"/>
    <w:rsid w:val="08D1635A"/>
    <w:rsid w:val="08D20486"/>
    <w:rsid w:val="08D260BD"/>
    <w:rsid w:val="08D4F17C"/>
    <w:rsid w:val="08DAB120"/>
    <w:rsid w:val="08DB563B"/>
    <w:rsid w:val="08DD233D"/>
    <w:rsid w:val="08DDE88D"/>
    <w:rsid w:val="08DE2728"/>
    <w:rsid w:val="08DFC340"/>
    <w:rsid w:val="08DFFAD5"/>
    <w:rsid w:val="08E0D698"/>
    <w:rsid w:val="08E3C09F"/>
    <w:rsid w:val="08E4D6BB"/>
    <w:rsid w:val="08E5CDBB"/>
    <w:rsid w:val="08E91230"/>
    <w:rsid w:val="08EBE54F"/>
    <w:rsid w:val="08EC678C"/>
    <w:rsid w:val="08ECEFC6"/>
    <w:rsid w:val="08ED032E"/>
    <w:rsid w:val="08EF6EE0"/>
    <w:rsid w:val="08EFED84"/>
    <w:rsid w:val="08F19548"/>
    <w:rsid w:val="08F3E30D"/>
    <w:rsid w:val="08F4C81D"/>
    <w:rsid w:val="08F8285F"/>
    <w:rsid w:val="08F8761A"/>
    <w:rsid w:val="08F9513F"/>
    <w:rsid w:val="08FDBAB6"/>
    <w:rsid w:val="08FDD91F"/>
    <w:rsid w:val="08FEB3D7"/>
    <w:rsid w:val="09033428"/>
    <w:rsid w:val="09040433"/>
    <w:rsid w:val="0909853F"/>
    <w:rsid w:val="0909BEF1"/>
    <w:rsid w:val="090ADD6C"/>
    <w:rsid w:val="090C98D5"/>
    <w:rsid w:val="09100FD9"/>
    <w:rsid w:val="09131547"/>
    <w:rsid w:val="09154D04"/>
    <w:rsid w:val="091993DE"/>
    <w:rsid w:val="091A972E"/>
    <w:rsid w:val="091CAB0B"/>
    <w:rsid w:val="091F7F06"/>
    <w:rsid w:val="092213DF"/>
    <w:rsid w:val="092777A7"/>
    <w:rsid w:val="092A0523"/>
    <w:rsid w:val="092D4065"/>
    <w:rsid w:val="092EC866"/>
    <w:rsid w:val="0930B70A"/>
    <w:rsid w:val="0934ADFD"/>
    <w:rsid w:val="09362A44"/>
    <w:rsid w:val="0936A000"/>
    <w:rsid w:val="09391314"/>
    <w:rsid w:val="093AAED4"/>
    <w:rsid w:val="093B78BD"/>
    <w:rsid w:val="093C73A7"/>
    <w:rsid w:val="093C7F3E"/>
    <w:rsid w:val="093F82A6"/>
    <w:rsid w:val="0942AC26"/>
    <w:rsid w:val="09436E9C"/>
    <w:rsid w:val="0943C87B"/>
    <w:rsid w:val="094711A7"/>
    <w:rsid w:val="094A529E"/>
    <w:rsid w:val="094B9320"/>
    <w:rsid w:val="094D7258"/>
    <w:rsid w:val="094F86B2"/>
    <w:rsid w:val="0951240F"/>
    <w:rsid w:val="09572549"/>
    <w:rsid w:val="095845FC"/>
    <w:rsid w:val="095BE87C"/>
    <w:rsid w:val="095CD19D"/>
    <w:rsid w:val="095CE5AC"/>
    <w:rsid w:val="095DFF60"/>
    <w:rsid w:val="095F9682"/>
    <w:rsid w:val="0961FA54"/>
    <w:rsid w:val="096204CC"/>
    <w:rsid w:val="09641B82"/>
    <w:rsid w:val="09642EC8"/>
    <w:rsid w:val="09664564"/>
    <w:rsid w:val="09676AC1"/>
    <w:rsid w:val="096C41DB"/>
    <w:rsid w:val="096EB6E3"/>
    <w:rsid w:val="097035D8"/>
    <w:rsid w:val="097081D5"/>
    <w:rsid w:val="0973A821"/>
    <w:rsid w:val="0977FA28"/>
    <w:rsid w:val="0978917C"/>
    <w:rsid w:val="097DD1E2"/>
    <w:rsid w:val="0985A448"/>
    <w:rsid w:val="098684B5"/>
    <w:rsid w:val="09878A41"/>
    <w:rsid w:val="09902A3A"/>
    <w:rsid w:val="0993FB73"/>
    <w:rsid w:val="099890B2"/>
    <w:rsid w:val="09989471"/>
    <w:rsid w:val="099A0D89"/>
    <w:rsid w:val="099E5FEB"/>
    <w:rsid w:val="099F3B8C"/>
    <w:rsid w:val="09A04D20"/>
    <w:rsid w:val="09A4CEFC"/>
    <w:rsid w:val="09A52E57"/>
    <w:rsid w:val="09AA368C"/>
    <w:rsid w:val="09AB6526"/>
    <w:rsid w:val="09ABE365"/>
    <w:rsid w:val="09B33907"/>
    <w:rsid w:val="09B36A64"/>
    <w:rsid w:val="09B71F34"/>
    <w:rsid w:val="09B7E982"/>
    <w:rsid w:val="09B973AD"/>
    <w:rsid w:val="09B99488"/>
    <w:rsid w:val="09BDBDB6"/>
    <w:rsid w:val="09BEE5E1"/>
    <w:rsid w:val="09C1C369"/>
    <w:rsid w:val="09C2050D"/>
    <w:rsid w:val="09CA1665"/>
    <w:rsid w:val="09CB86B2"/>
    <w:rsid w:val="09CE22C0"/>
    <w:rsid w:val="09D55EA2"/>
    <w:rsid w:val="09D7E037"/>
    <w:rsid w:val="09DC7088"/>
    <w:rsid w:val="09DEB0B8"/>
    <w:rsid w:val="09DF61DC"/>
    <w:rsid w:val="09E00BCC"/>
    <w:rsid w:val="09E03775"/>
    <w:rsid w:val="09E04997"/>
    <w:rsid w:val="09E09E64"/>
    <w:rsid w:val="09E4D123"/>
    <w:rsid w:val="09E6211D"/>
    <w:rsid w:val="09E7F523"/>
    <w:rsid w:val="09F0D8D6"/>
    <w:rsid w:val="09F14F81"/>
    <w:rsid w:val="09F17509"/>
    <w:rsid w:val="09F547F2"/>
    <w:rsid w:val="09F62AD2"/>
    <w:rsid w:val="09FB8D54"/>
    <w:rsid w:val="09FC2EF7"/>
    <w:rsid w:val="09FE8CD7"/>
    <w:rsid w:val="0A012545"/>
    <w:rsid w:val="0A08EA53"/>
    <w:rsid w:val="0A0B06AC"/>
    <w:rsid w:val="0A0BE336"/>
    <w:rsid w:val="0A0F4947"/>
    <w:rsid w:val="0A1533CC"/>
    <w:rsid w:val="0A1645B1"/>
    <w:rsid w:val="0A1694F2"/>
    <w:rsid w:val="0A1878AF"/>
    <w:rsid w:val="0A1A3CEB"/>
    <w:rsid w:val="0A1D3A47"/>
    <w:rsid w:val="0A2013C6"/>
    <w:rsid w:val="0A23164E"/>
    <w:rsid w:val="0A2D86E4"/>
    <w:rsid w:val="0A2FD4DC"/>
    <w:rsid w:val="0A3119F7"/>
    <w:rsid w:val="0A3A001F"/>
    <w:rsid w:val="0A3CB1F3"/>
    <w:rsid w:val="0A3E9038"/>
    <w:rsid w:val="0A3FB613"/>
    <w:rsid w:val="0A416560"/>
    <w:rsid w:val="0A421B0E"/>
    <w:rsid w:val="0A421CEB"/>
    <w:rsid w:val="0A47FBA4"/>
    <w:rsid w:val="0A48860E"/>
    <w:rsid w:val="0A491F53"/>
    <w:rsid w:val="0A4BAEA8"/>
    <w:rsid w:val="0A4C68E8"/>
    <w:rsid w:val="0A4E4A6C"/>
    <w:rsid w:val="0A504D96"/>
    <w:rsid w:val="0A52599A"/>
    <w:rsid w:val="0A546896"/>
    <w:rsid w:val="0A550468"/>
    <w:rsid w:val="0A69AEF2"/>
    <w:rsid w:val="0A6F9CB5"/>
    <w:rsid w:val="0A6FFECE"/>
    <w:rsid w:val="0A77542B"/>
    <w:rsid w:val="0A77ED84"/>
    <w:rsid w:val="0A7CFFA8"/>
    <w:rsid w:val="0A7D4B00"/>
    <w:rsid w:val="0A80FC9E"/>
    <w:rsid w:val="0A8411D4"/>
    <w:rsid w:val="0A86DD28"/>
    <w:rsid w:val="0A87E441"/>
    <w:rsid w:val="0A892795"/>
    <w:rsid w:val="0A8B6FB1"/>
    <w:rsid w:val="0A8BC6A1"/>
    <w:rsid w:val="0A8C5588"/>
    <w:rsid w:val="0A8DF3DD"/>
    <w:rsid w:val="0A935251"/>
    <w:rsid w:val="0A9C2751"/>
    <w:rsid w:val="0AA0287B"/>
    <w:rsid w:val="0AA1D36F"/>
    <w:rsid w:val="0AA97FAA"/>
    <w:rsid w:val="0AA9C470"/>
    <w:rsid w:val="0AAB7045"/>
    <w:rsid w:val="0AB01D35"/>
    <w:rsid w:val="0AB2A025"/>
    <w:rsid w:val="0AB545BF"/>
    <w:rsid w:val="0AB5CB83"/>
    <w:rsid w:val="0AB8BA4C"/>
    <w:rsid w:val="0AC0D8EB"/>
    <w:rsid w:val="0AC12E95"/>
    <w:rsid w:val="0AC2299B"/>
    <w:rsid w:val="0AC29E50"/>
    <w:rsid w:val="0AC4AD59"/>
    <w:rsid w:val="0AC4B511"/>
    <w:rsid w:val="0AC5113D"/>
    <w:rsid w:val="0AC7E7B6"/>
    <w:rsid w:val="0AC7FC17"/>
    <w:rsid w:val="0AC7FF81"/>
    <w:rsid w:val="0AC85BCA"/>
    <w:rsid w:val="0ACCFEFF"/>
    <w:rsid w:val="0ACE27CF"/>
    <w:rsid w:val="0AD19290"/>
    <w:rsid w:val="0AD2444C"/>
    <w:rsid w:val="0AD876F4"/>
    <w:rsid w:val="0ADACABD"/>
    <w:rsid w:val="0ADFBAA6"/>
    <w:rsid w:val="0ADFC68C"/>
    <w:rsid w:val="0AE22D60"/>
    <w:rsid w:val="0AE288F9"/>
    <w:rsid w:val="0AE69AAB"/>
    <w:rsid w:val="0AEA0F93"/>
    <w:rsid w:val="0AEA1AB3"/>
    <w:rsid w:val="0AEAD327"/>
    <w:rsid w:val="0AECDC03"/>
    <w:rsid w:val="0AEE68A3"/>
    <w:rsid w:val="0AF2BF7D"/>
    <w:rsid w:val="0AF4C49A"/>
    <w:rsid w:val="0AF59D55"/>
    <w:rsid w:val="0AF5D516"/>
    <w:rsid w:val="0AF76309"/>
    <w:rsid w:val="0AF95A24"/>
    <w:rsid w:val="0AFAAD19"/>
    <w:rsid w:val="0AFB574B"/>
    <w:rsid w:val="0AFD9603"/>
    <w:rsid w:val="0AFFF099"/>
    <w:rsid w:val="0B008E37"/>
    <w:rsid w:val="0B037AE4"/>
    <w:rsid w:val="0B060FC7"/>
    <w:rsid w:val="0B07A511"/>
    <w:rsid w:val="0B0B4D6A"/>
    <w:rsid w:val="0B0B9593"/>
    <w:rsid w:val="0B0F55B5"/>
    <w:rsid w:val="0B115BDA"/>
    <w:rsid w:val="0B1166B3"/>
    <w:rsid w:val="0B1737A8"/>
    <w:rsid w:val="0B1AA002"/>
    <w:rsid w:val="0B1B0D74"/>
    <w:rsid w:val="0B22DA99"/>
    <w:rsid w:val="0B236995"/>
    <w:rsid w:val="0B245DF6"/>
    <w:rsid w:val="0B256DAC"/>
    <w:rsid w:val="0B2A0294"/>
    <w:rsid w:val="0B2C6AE7"/>
    <w:rsid w:val="0B2DFCCD"/>
    <w:rsid w:val="0B2F9FC6"/>
    <w:rsid w:val="0B33B13F"/>
    <w:rsid w:val="0B353B90"/>
    <w:rsid w:val="0B3ABEDB"/>
    <w:rsid w:val="0B3B234B"/>
    <w:rsid w:val="0B3CDBB3"/>
    <w:rsid w:val="0B3D151D"/>
    <w:rsid w:val="0B4000B2"/>
    <w:rsid w:val="0B41FA73"/>
    <w:rsid w:val="0B425D78"/>
    <w:rsid w:val="0B429CFB"/>
    <w:rsid w:val="0B435DB5"/>
    <w:rsid w:val="0B43FB79"/>
    <w:rsid w:val="0B448A5D"/>
    <w:rsid w:val="0B477F4B"/>
    <w:rsid w:val="0B4977E8"/>
    <w:rsid w:val="0B4C2D87"/>
    <w:rsid w:val="0B4DDD47"/>
    <w:rsid w:val="0B4FDB07"/>
    <w:rsid w:val="0B50D18A"/>
    <w:rsid w:val="0B51BAC7"/>
    <w:rsid w:val="0B57B988"/>
    <w:rsid w:val="0B57C897"/>
    <w:rsid w:val="0B5EC6F6"/>
    <w:rsid w:val="0B61CFE4"/>
    <w:rsid w:val="0B630970"/>
    <w:rsid w:val="0B65AB19"/>
    <w:rsid w:val="0B65F8D3"/>
    <w:rsid w:val="0B6E1DC8"/>
    <w:rsid w:val="0B6EBC17"/>
    <w:rsid w:val="0B6FC770"/>
    <w:rsid w:val="0B71E406"/>
    <w:rsid w:val="0B7795FF"/>
    <w:rsid w:val="0B784382"/>
    <w:rsid w:val="0B7A116A"/>
    <w:rsid w:val="0B7AE5BC"/>
    <w:rsid w:val="0B80EAB1"/>
    <w:rsid w:val="0B811DAF"/>
    <w:rsid w:val="0B8412B4"/>
    <w:rsid w:val="0B84B609"/>
    <w:rsid w:val="0B8559F5"/>
    <w:rsid w:val="0B89B624"/>
    <w:rsid w:val="0B8BEF96"/>
    <w:rsid w:val="0B8DD106"/>
    <w:rsid w:val="0B90A8A5"/>
    <w:rsid w:val="0B91C8AD"/>
    <w:rsid w:val="0B923584"/>
    <w:rsid w:val="0B92A740"/>
    <w:rsid w:val="0B954C5A"/>
    <w:rsid w:val="0B973EF8"/>
    <w:rsid w:val="0B97B57E"/>
    <w:rsid w:val="0B97E1FD"/>
    <w:rsid w:val="0B986FF6"/>
    <w:rsid w:val="0B9D40AA"/>
    <w:rsid w:val="0B9E7C4A"/>
    <w:rsid w:val="0B9F4FAB"/>
    <w:rsid w:val="0BA2542C"/>
    <w:rsid w:val="0BA297D6"/>
    <w:rsid w:val="0BA48026"/>
    <w:rsid w:val="0BA4EB3B"/>
    <w:rsid w:val="0BADDF61"/>
    <w:rsid w:val="0BAF417A"/>
    <w:rsid w:val="0BB201C4"/>
    <w:rsid w:val="0BB50750"/>
    <w:rsid w:val="0BB5D7D8"/>
    <w:rsid w:val="0BBA5316"/>
    <w:rsid w:val="0BBA6A73"/>
    <w:rsid w:val="0BBE3FC4"/>
    <w:rsid w:val="0BC0CDE3"/>
    <w:rsid w:val="0BC0D952"/>
    <w:rsid w:val="0BC37E94"/>
    <w:rsid w:val="0BC3C2FD"/>
    <w:rsid w:val="0BC66DB8"/>
    <w:rsid w:val="0BC922E2"/>
    <w:rsid w:val="0BC9B078"/>
    <w:rsid w:val="0BCA0A0E"/>
    <w:rsid w:val="0BCB739B"/>
    <w:rsid w:val="0BCDFE0C"/>
    <w:rsid w:val="0BD02CAC"/>
    <w:rsid w:val="0BD0BB85"/>
    <w:rsid w:val="0BD1C2D7"/>
    <w:rsid w:val="0BD44317"/>
    <w:rsid w:val="0BD4A854"/>
    <w:rsid w:val="0BD95C38"/>
    <w:rsid w:val="0BDB0E33"/>
    <w:rsid w:val="0BDB708F"/>
    <w:rsid w:val="0BDB9DD4"/>
    <w:rsid w:val="0BDEF6D9"/>
    <w:rsid w:val="0BE0505F"/>
    <w:rsid w:val="0BE2C170"/>
    <w:rsid w:val="0BE4C2DE"/>
    <w:rsid w:val="0BE6C957"/>
    <w:rsid w:val="0BE8B384"/>
    <w:rsid w:val="0BEC0F90"/>
    <w:rsid w:val="0BED3E51"/>
    <w:rsid w:val="0BF16515"/>
    <w:rsid w:val="0BFA30BB"/>
    <w:rsid w:val="0BFA9935"/>
    <w:rsid w:val="0BFD5074"/>
    <w:rsid w:val="0BFE93D9"/>
    <w:rsid w:val="0BFED9F9"/>
    <w:rsid w:val="0C017128"/>
    <w:rsid w:val="0C03E838"/>
    <w:rsid w:val="0C05CD6A"/>
    <w:rsid w:val="0C09006D"/>
    <w:rsid w:val="0C0A3464"/>
    <w:rsid w:val="0C0CA289"/>
    <w:rsid w:val="0C10120F"/>
    <w:rsid w:val="0C141B02"/>
    <w:rsid w:val="0C14E6E4"/>
    <w:rsid w:val="0C170B94"/>
    <w:rsid w:val="0C1E2B1C"/>
    <w:rsid w:val="0C1F1CE2"/>
    <w:rsid w:val="0C1F6951"/>
    <w:rsid w:val="0C2038E9"/>
    <w:rsid w:val="0C24941B"/>
    <w:rsid w:val="0C27D70F"/>
    <w:rsid w:val="0C2E2F9A"/>
    <w:rsid w:val="0C30D6E3"/>
    <w:rsid w:val="0C31A1EF"/>
    <w:rsid w:val="0C31FADB"/>
    <w:rsid w:val="0C32ECF3"/>
    <w:rsid w:val="0C37C11D"/>
    <w:rsid w:val="0C3BD94B"/>
    <w:rsid w:val="0C3FD3E3"/>
    <w:rsid w:val="0C4136AF"/>
    <w:rsid w:val="0C4989E7"/>
    <w:rsid w:val="0C4A7DBF"/>
    <w:rsid w:val="0C4AA0A0"/>
    <w:rsid w:val="0C4C01F5"/>
    <w:rsid w:val="0C5291F7"/>
    <w:rsid w:val="0C556EE7"/>
    <w:rsid w:val="0C58D60A"/>
    <w:rsid w:val="0C5A5C01"/>
    <w:rsid w:val="0C5A73B2"/>
    <w:rsid w:val="0C5A9967"/>
    <w:rsid w:val="0C5ACFC9"/>
    <w:rsid w:val="0C5D495A"/>
    <w:rsid w:val="0C5F6D24"/>
    <w:rsid w:val="0C613AD8"/>
    <w:rsid w:val="0C63FB1B"/>
    <w:rsid w:val="0C64BDB7"/>
    <w:rsid w:val="0C65BDC1"/>
    <w:rsid w:val="0C66CCC2"/>
    <w:rsid w:val="0C678AA8"/>
    <w:rsid w:val="0C6B9AAC"/>
    <w:rsid w:val="0C6CBC27"/>
    <w:rsid w:val="0C6EDB87"/>
    <w:rsid w:val="0C6EE262"/>
    <w:rsid w:val="0C700C02"/>
    <w:rsid w:val="0C708192"/>
    <w:rsid w:val="0C74DC27"/>
    <w:rsid w:val="0C76E036"/>
    <w:rsid w:val="0C80A070"/>
    <w:rsid w:val="0C81B06A"/>
    <w:rsid w:val="0C85B754"/>
    <w:rsid w:val="0C865A40"/>
    <w:rsid w:val="0C86D2F5"/>
    <w:rsid w:val="0C8ACE4C"/>
    <w:rsid w:val="0C8BB49A"/>
    <w:rsid w:val="0C8CD0FD"/>
    <w:rsid w:val="0C8D3387"/>
    <w:rsid w:val="0C8DAFEF"/>
    <w:rsid w:val="0C8E1A54"/>
    <w:rsid w:val="0C903AE3"/>
    <w:rsid w:val="0C917547"/>
    <w:rsid w:val="0C91E60A"/>
    <w:rsid w:val="0C922A05"/>
    <w:rsid w:val="0C9463B4"/>
    <w:rsid w:val="0C97D1D4"/>
    <w:rsid w:val="0C987906"/>
    <w:rsid w:val="0C9A7789"/>
    <w:rsid w:val="0CA04675"/>
    <w:rsid w:val="0CA14AED"/>
    <w:rsid w:val="0CA53C8B"/>
    <w:rsid w:val="0CA54E2E"/>
    <w:rsid w:val="0CA618D6"/>
    <w:rsid w:val="0CA6F439"/>
    <w:rsid w:val="0CA775AC"/>
    <w:rsid w:val="0CA929B1"/>
    <w:rsid w:val="0CAA496C"/>
    <w:rsid w:val="0CAFB2FC"/>
    <w:rsid w:val="0CB2D69B"/>
    <w:rsid w:val="0CB44EA4"/>
    <w:rsid w:val="0CB5EEEA"/>
    <w:rsid w:val="0CB60D26"/>
    <w:rsid w:val="0CB9C73E"/>
    <w:rsid w:val="0CC0C1E3"/>
    <w:rsid w:val="0CC51424"/>
    <w:rsid w:val="0CCA1EB3"/>
    <w:rsid w:val="0CCAE4C8"/>
    <w:rsid w:val="0CCB6D52"/>
    <w:rsid w:val="0CD01547"/>
    <w:rsid w:val="0CD1BF01"/>
    <w:rsid w:val="0CD37287"/>
    <w:rsid w:val="0CD74694"/>
    <w:rsid w:val="0CD83340"/>
    <w:rsid w:val="0CDA79F1"/>
    <w:rsid w:val="0CDCA2B5"/>
    <w:rsid w:val="0CDDD524"/>
    <w:rsid w:val="0CE4B23F"/>
    <w:rsid w:val="0CE8456A"/>
    <w:rsid w:val="0CEA4B1D"/>
    <w:rsid w:val="0CEE1691"/>
    <w:rsid w:val="0CF218C8"/>
    <w:rsid w:val="0CF49600"/>
    <w:rsid w:val="0CF53DC7"/>
    <w:rsid w:val="0CF78384"/>
    <w:rsid w:val="0CF79667"/>
    <w:rsid w:val="0CFA9899"/>
    <w:rsid w:val="0CFC39F3"/>
    <w:rsid w:val="0D024F8C"/>
    <w:rsid w:val="0D02C507"/>
    <w:rsid w:val="0D03B0D6"/>
    <w:rsid w:val="0D03C9EE"/>
    <w:rsid w:val="0D06F6A3"/>
    <w:rsid w:val="0D07BD72"/>
    <w:rsid w:val="0D0CF8DD"/>
    <w:rsid w:val="0D0F6163"/>
    <w:rsid w:val="0D11A253"/>
    <w:rsid w:val="0D1562A3"/>
    <w:rsid w:val="0D16EE39"/>
    <w:rsid w:val="0D175252"/>
    <w:rsid w:val="0D178466"/>
    <w:rsid w:val="0D2359EE"/>
    <w:rsid w:val="0D23AE12"/>
    <w:rsid w:val="0D28454C"/>
    <w:rsid w:val="0D2AEA15"/>
    <w:rsid w:val="0D2C56B4"/>
    <w:rsid w:val="0D3403B0"/>
    <w:rsid w:val="0D379405"/>
    <w:rsid w:val="0D37A5D3"/>
    <w:rsid w:val="0D387498"/>
    <w:rsid w:val="0D3DDAAB"/>
    <w:rsid w:val="0D402096"/>
    <w:rsid w:val="0D423088"/>
    <w:rsid w:val="0D42FBFE"/>
    <w:rsid w:val="0D43660E"/>
    <w:rsid w:val="0D4DE53E"/>
    <w:rsid w:val="0D4E0BC0"/>
    <w:rsid w:val="0D542239"/>
    <w:rsid w:val="0D552083"/>
    <w:rsid w:val="0D55EF73"/>
    <w:rsid w:val="0D5817C6"/>
    <w:rsid w:val="0D5C308B"/>
    <w:rsid w:val="0D612F73"/>
    <w:rsid w:val="0D614A0C"/>
    <w:rsid w:val="0D6A74F6"/>
    <w:rsid w:val="0D6AB758"/>
    <w:rsid w:val="0D6CDE18"/>
    <w:rsid w:val="0D6F270B"/>
    <w:rsid w:val="0D786FBF"/>
    <w:rsid w:val="0D7EB33F"/>
    <w:rsid w:val="0D851A09"/>
    <w:rsid w:val="0D8641B9"/>
    <w:rsid w:val="0D86B6B9"/>
    <w:rsid w:val="0D8AC01B"/>
    <w:rsid w:val="0D8EA653"/>
    <w:rsid w:val="0D8FB18A"/>
    <w:rsid w:val="0D923FCD"/>
    <w:rsid w:val="0D94CAF1"/>
    <w:rsid w:val="0D98E854"/>
    <w:rsid w:val="0D9B5DDF"/>
    <w:rsid w:val="0D9C2B5C"/>
    <w:rsid w:val="0D9EAE2C"/>
    <w:rsid w:val="0D9EBB25"/>
    <w:rsid w:val="0D9EC458"/>
    <w:rsid w:val="0DA29393"/>
    <w:rsid w:val="0DA6E7E7"/>
    <w:rsid w:val="0DAAAADA"/>
    <w:rsid w:val="0DB474F6"/>
    <w:rsid w:val="0DBA62ED"/>
    <w:rsid w:val="0DC0215B"/>
    <w:rsid w:val="0DC09CE5"/>
    <w:rsid w:val="0DC78FD5"/>
    <w:rsid w:val="0DCD7BCC"/>
    <w:rsid w:val="0DD10A66"/>
    <w:rsid w:val="0DD11D10"/>
    <w:rsid w:val="0DD4BE14"/>
    <w:rsid w:val="0DE2CF66"/>
    <w:rsid w:val="0DE30873"/>
    <w:rsid w:val="0DE428CC"/>
    <w:rsid w:val="0DE74334"/>
    <w:rsid w:val="0DE83597"/>
    <w:rsid w:val="0DE869E5"/>
    <w:rsid w:val="0DE9B11A"/>
    <w:rsid w:val="0DED15BF"/>
    <w:rsid w:val="0DEE3D8B"/>
    <w:rsid w:val="0DF0B381"/>
    <w:rsid w:val="0DF1CD70"/>
    <w:rsid w:val="0DF2F06E"/>
    <w:rsid w:val="0DF5427C"/>
    <w:rsid w:val="0DF55306"/>
    <w:rsid w:val="0DF5CD33"/>
    <w:rsid w:val="0DFA139B"/>
    <w:rsid w:val="0DFA9116"/>
    <w:rsid w:val="0DFDEEA7"/>
    <w:rsid w:val="0DFE3ABC"/>
    <w:rsid w:val="0E060658"/>
    <w:rsid w:val="0E06690A"/>
    <w:rsid w:val="0E07F18A"/>
    <w:rsid w:val="0E087375"/>
    <w:rsid w:val="0E08A048"/>
    <w:rsid w:val="0E08CA02"/>
    <w:rsid w:val="0E0A695D"/>
    <w:rsid w:val="0E0AB946"/>
    <w:rsid w:val="0E120A45"/>
    <w:rsid w:val="0E12236D"/>
    <w:rsid w:val="0E12D1B5"/>
    <w:rsid w:val="0E13D0E3"/>
    <w:rsid w:val="0E1406DB"/>
    <w:rsid w:val="0E169335"/>
    <w:rsid w:val="0E16CE04"/>
    <w:rsid w:val="0E16F7DD"/>
    <w:rsid w:val="0E174E0A"/>
    <w:rsid w:val="0E193D9C"/>
    <w:rsid w:val="0E19505B"/>
    <w:rsid w:val="0E1B5662"/>
    <w:rsid w:val="0E1C1C17"/>
    <w:rsid w:val="0E1C9900"/>
    <w:rsid w:val="0E20EC44"/>
    <w:rsid w:val="0E223871"/>
    <w:rsid w:val="0E236DB9"/>
    <w:rsid w:val="0E27CD0F"/>
    <w:rsid w:val="0E2A1472"/>
    <w:rsid w:val="0E2A3A6D"/>
    <w:rsid w:val="0E2BF787"/>
    <w:rsid w:val="0E2F1FFC"/>
    <w:rsid w:val="0E3210D6"/>
    <w:rsid w:val="0E335805"/>
    <w:rsid w:val="0E3BAE83"/>
    <w:rsid w:val="0E3C1C16"/>
    <w:rsid w:val="0E3CF137"/>
    <w:rsid w:val="0E3ECF43"/>
    <w:rsid w:val="0E3F5745"/>
    <w:rsid w:val="0E43149E"/>
    <w:rsid w:val="0E43CDCA"/>
    <w:rsid w:val="0E477D55"/>
    <w:rsid w:val="0E482B43"/>
    <w:rsid w:val="0E4B93D2"/>
    <w:rsid w:val="0E4EF0CA"/>
    <w:rsid w:val="0E4FDD44"/>
    <w:rsid w:val="0E500597"/>
    <w:rsid w:val="0E510230"/>
    <w:rsid w:val="0E5162E5"/>
    <w:rsid w:val="0E56C1A4"/>
    <w:rsid w:val="0E56CB65"/>
    <w:rsid w:val="0E5B11E9"/>
    <w:rsid w:val="0E5CD63B"/>
    <w:rsid w:val="0E5D2F20"/>
    <w:rsid w:val="0E5ED29F"/>
    <w:rsid w:val="0E5F4403"/>
    <w:rsid w:val="0E60EB21"/>
    <w:rsid w:val="0E62A3BD"/>
    <w:rsid w:val="0E62CCE7"/>
    <w:rsid w:val="0E631C3C"/>
    <w:rsid w:val="0E642043"/>
    <w:rsid w:val="0E651F0B"/>
    <w:rsid w:val="0E6818D1"/>
    <w:rsid w:val="0E6CEB52"/>
    <w:rsid w:val="0E6ED20D"/>
    <w:rsid w:val="0E6F2E04"/>
    <w:rsid w:val="0E74F50F"/>
    <w:rsid w:val="0E76346A"/>
    <w:rsid w:val="0E76D623"/>
    <w:rsid w:val="0E772FB1"/>
    <w:rsid w:val="0E78CA58"/>
    <w:rsid w:val="0E7A54FF"/>
    <w:rsid w:val="0E7BB88B"/>
    <w:rsid w:val="0E804599"/>
    <w:rsid w:val="0E86A33B"/>
    <w:rsid w:val="0E87B9F9"/>
    <w:rsid w:val="0E8829CD"/>
    <w:rsid w:val="0E89E5BA"/>
    <w:rsid w:val="0E8B2DCB"/>
    <w:rsid w:val="0E8EAD79"/>
    <w:rsid w:val="0E8F5D95"/>
    <w:rsid w:val="0E95CB6B"/>
    <w:rsid w:val="0E993B6F"/>
    <w:rsid w:val="0E9A6E65"/>
    <w:rsid w:val="0E9B61F2"/>
    <w:rsid w:val="0E9DD206"/>
    <w:rsid w:val="0E9FB5C2"/>
    <w:rsid w:val="0EA0400B"/>
    <w:rsid w:val="0EA15C78"/>
    <w:rsid w:val="0EA1F209"/>
    <w:rsid w:val="0EA56D84"/>
    <w:rsid w:val="0EA5A59B"/>
    <w:rsid w:val="0EA5C0CA"/>
    <w:rsid w:val="0EA9EF30"/>
    <w:rsid w:val="0EADB20E"/>
    <w:rsid w:val="0EB2C1AD"/>
    <w:rsid w:val="0EB630B9"/>
    <w:rsid w:val="0EB95382"/>
    <w:rsid w:val="0EBAF36F"/>
    <w:rsid w:val="0EBD95C4"/>
    <w:rsid w:val="0EBEBD27"/>
    <w:rsid w:val="0EBF0B39"/>
    <w:rsid w:val="0EC548CE"/>
    <w:rsid w:val="0EC58258"/>
    <w:rsid w:val="0EC63BF1"/>
    <w:rsid w:val="0EC84B4D"/>
    <w:rsid w:val="0ECAC96C"/>
    <w:rsid w:val="0ECBC00F"/>
    <w:rsid w:val="0ECE369F"/>
    <w:rsid w:val="0ECFDCD6"/>
    <w:rsid w:val="0ED097EC"/>
    <w:rsid w:val="0ED23CC7"/>
    <w:rsid w:val="0ED4DDCA"/>
    <w:rsid w:val="0ED7EB08"/>
    <w:rsid w:val="0ED845DE"/>
    <w:rsid w:val="0ED8964E"/>
    <w:rsid w:val="0ED90A7C"/>
    <w:rsid w:val="0ED93B36"/>
    <w:rsid w:val="0ED96B31"/>
    <w:rsid w:val="0EDCA2F9"/>
    <w:rsid w:val="0EE26D62"/>
    <w:rsid w:val="0EE2B7F8"/>
    <w:rsid w:val="0EE5822C"/>
    <w:rsid w:val="0EE5C30D"/>
    <w:rsid w:val="0EE85729"/>
    <w:rsid w:val="0EEA9DB0"/>
    <w:rsid w:val="0EEC416C"/>
    <w:rsid w:val="0EECA884"/>
    <w:rsid w:val="0EECEECC"/>
    <w:rsid w:val="0EF5FBBA"/>
    <w:rsid w:val="0EF75243"/>
    <w:rsid w:val="0EFC190F"/>
    <w:rsid w:val="0EFCFDEE"/>
    <w:rsid w:val="0EFD08B3"/>
    <w:rsid w:val="0EFEEADF"/>
    <w:rsid w:val="0EFF1923"/>
    <w:rsid w:val="0EFF87CD"/>
    <w:rsid w:val="0EFFFB31"/>
    <w:rsid w:val="0F000EAD"/>
    <w:rsid w:val="0F02CDE4"/>
    <w:rsid w:val="0F04F2AB"/>
    <w:rsid w:val="0F09EA2B"/>
    <w:rsid w:val="0F0B204D"/>
    <w:rsid w:val="0F0BFF20"/>
    <w:rsid w:val="0F0C6144"/>
    <w:rsid w:val="0F0CFFFB"/>
    <w:rsid w:val="0F0FAE7B"/>
    <w:rsid w:val="0F11997A"/>
    <w:rsid w:val="0F138564"/>
    <w:rsid w:val="0F176CB6"/>
    <w:rsid w:val="0F18D888"/>
    <w:rsid w:val="0F1B4E47"/>
    <w:rsid w:val="0F1CFFFC"/>
    <w:rsid w:val="0F25FD2C"/>
    <w:rsid w:val="0F27D23E"/>
    <w:rsid w:val="0F286BDB"/>
    <w:rsid w:val="0F296F76"/>
    <w:rsid w:val="0F2D9878"/>
    <w:rsid w:val="0F2E86C1"/>
    <w:rsid w:val="0F319092"/>
    <w:rsid w:val="0F326FA7"/>
    <w:rsid w:val="0F3285EE"/>
    <w:rsid w:val="0F3477D6"/>
    <w:rsid w:val="0F381547"/>
    <w:rsid w:val="0F3C0A0B"/>
    <w:rsid w:val="0F3C677B"/>
    <w:rsid w:val="0F3D705A"/>
    <w:rsid w:val="0F43B6D4"/>
    <w:rsid w:val="0F449629"/>
    <w:rsid w:val="0F453559"/>
    <w:rsid w:val="0F45D17E"/>
    <w:rsid w:val="0F47798A"/>
    <w:rsid w:val="0F4889D1"/>
    <w:rsid w:val="0F499403"/>
    <w:rsid w:val="0F49CB43"/>
    <w:rsid w:val="0F4A634F"/>
    <w:rsid w:val="0F4B5EFC"/>
    <w:rsid w:val="0F505B28"/>
    <w:rsid w:val="0F531046"/>
    <w:rsid w:val="0F54438A"/>
    <w:rsid w:val="0F561D0F"/>
    <w:rsid w:val="0F572FD6"/>
    <w:rsid w:val="0F5A5A6D"/>
    <w:rsid w:val="0F5B4DA4"/>
    <w:rsid w:val="0F5B9648"/>
    <w:rsid w:val="0F5BA9AF"/>
    <w:rsid w:val="0F5C4BB5"/>
    <w:rsid w:val="0F5DA439"/>
    <w:rsid w:val="0F5EA6FD"/>
    <w:rsid w:val="0F698889"/>
    <w:rsid w:val="0F69E8BC"/>
    <w:rsid w:val="0F6AE404"/>
    <w:rsid w:val="0F6C994B"/>
    <w:rsid w:val="0F6CEDEF"/>
    <w:rsid w:val="0F6E6375"/>
    <w:rsid w:val="0F6F31F7"/>
    <w:rsid w:val="0F7462A9"/>
    <w:rsid w:val="0F7530F7"/>
    <w:rsid w:val="0F782163"/>
    <w:rsid w:val="0F7E9191"/>
    <w:rsid w:val="0F80E114"/>
    <w:rsid w:val="0F81744A"/>
    <w:rsid w:val="0F83778F"/>
    <w:rsid w:val="0F8499F8"/>
    <w:rsid w:val="0F8646E0"/>
    <w:rsid w:val="0F870213"/>
    <w:rsid w:val="0F8824B9"/>
    <w:rsid w:val="0F908BAA"/>
    <w:rsid w:val="0F91E615"/>
    <w:rsid w:val="0F94E184"/>
    <w:rsid w:val="0F954083"/>
    <w:rsid w:val="0F9A047D"/>
    <w:rsid w:val="0F9A4B36"/>
    <w:rsid w:val="0F9E0610"/>
    <w:rsid w:val="0FA028C3"/>
    <w:rsid w:val="0FA53F8E"/>
    <w:rsid w:val="0FA551A6"/>
    <w:rsid w:val="0FA5C835"/>
    <w:rsid w:val="0FA9364C"/>
    <w:rsid w:val="0FA946DB"/>
    <w:rsid w:val="0FAA272E"/>
    <w:rsid w:val="0FAB345C"/>
    <w:rsid w:val="0FAF34E1"/>
    <w:rsid w:val="0FB156D8"/>
    <w:rsid w:val="0FB390E0"/>
    <w:rsid w:val="0FB4D570"/>
    <w:rsid w:val="0FB63230"/>
    <w:rsid w:val="0FB72885"/>
    <w:rsid w:val="0FB79FF2"/>
    <w:rsid w:val="0FB7AB51"/>
    <w:rsid w:val="0FC20157"/>
    <w:rsid w:val="0FC22EC6"/>
    <w:rsid w:val="0FC3EC15"/>
    <w:rsid w:val="0FC6382F"/>
    <w:rsid w:val="0FC685CC"/>
    <w:rsid w:val="0FC6FDD5"/>
    <w:rsid w:val="0FC8D7EB"/>
    <w:rsid w:val="0FC8F9FA"/>
    <w:rsid w:val="0FCB4442"/>
    <w:rsid w:val="0FCE3658"/>
    <w:rsid w:val="0FCF3887"/>
    <w:rsid w:val="0FD02048"/>
    <w:rsid w:val="0FD12123"/>
    <w:rsid w:val="0FD46FE2"/>
    <w:rsid w:val="0FD5F903"/>
    <w:rsid w:val="0FDAACAE"/>
    <w:rsid w:val="0FDD99A8"/>
    <w:rsid w:val="0FDDDD53"/>
    <w:rsid w:val="0FE1B278"/>
    <w:rsid w:val="0FE2D31B"/>
    <w:rsid w:val="0FEC2867"/>
    <w:rsid w:val="0FF278BA"/>
    <w:rsid w:val="0FF31855"/>
    <w:rsid w:val="0FF44818"/>
    <w:rsid w:val="0FF495FD"/>
    <w:rsid w:val="0FF7C192"/>
    <w:rsid w:val="100445AE"/>
    <w:rsid w:val="10054C7E"/>
    <w:rsid w:val="10056717"/>
    <w:rsid w:val="1005E1A4"/>
    <w:rsid w:val="1007BB6D"/>
    <w:rsid w:val="1009863A"/>
    <w:rsid w:val="100E5890"/>
    <w:rsid w:val="1012DED4"/>
    <w:rsid w:val="1016C586"/>
    <w:rsid w:val="101D89A8"/>
    <w:rsid w:val="101FC407"/>
    <w:rsid w:val="1023642E"/>
    <w:rsid w:val="10281ED1"/>
    <w:rsid w:val="102889E5"/>
    <w:rsid w:val="102CC953"/>
    <w:rsid w:val="102FF333"/>
    <w:rsid w:val="10304DD2"/>
    <w:rsid w:val="10310ACD"/>
    <w:rsid w:val="10320810"/>
    <w:rsid w:val="10359563"/>
    <w:rsid w:val="1036E862"/>
    <w:rsid w:val="1038D59F"/>
    <w:rsid w:val="103CEB89"/>
    <w:rsid w:val="103D277E"/>
    <w:rsid w:val="103ECA40"/>
    <w:rsid w:val="103FC342"/>
    <w:rsid w:val="10410C69"/>
    <w:rsid w:val="10419EC5"/>
    <w:rsid w:val="1045F31E"/>
    <w:rsid w:val="104B0B4B"/>
    <w:rsid w:val="104C8666"/>
    <w:rsid w:val="10503BBE"/>
    <w:rsid w:val="1051C9AB"/>
    <w:rsid w:val="105247C6"/>
    <w:rsid w:val="1053682B"/>
    <w:rsid w:val="105783B2"/>
    <w:rsid w:val="1059D4BE"/>
    <w:rsid w:val="105A8AA7"/>
    <w:rsid w:val="105C5FF2"/>
    <w:rsid w:val="105DC377"/>
    <w:rsid w:val="1064943C"/>
    <w:rsid w:val="1067DDC6"/>
    <w:rsid w:val="10699E5A"/>
    <w:rsid w:val="106A657D"/>
    <w:rsid w:val="106BB2E4"/>
    <w:rsid w:val="106E73DF"/>
    <w:rsid w:val="106F6888"/>
    <w:rsid w:val="10704CC8"/>
    <w:rsid w:val="10736C44"/>
    <w:rsid w:val="10760B56"/>
    <w:rsid w:val="1076BD73"/>
    <w:rsid w:val="1078BD1F"/>
    <w:rsid w:val="107ADDB1"/>
    <w:rsid w:val="107C5418"/>
    <w:rsid w:val="107CB646"/>
    <w:rsid w:val="107EDD01"/>
    <w:rsid w:val="10837E47"/>
    <w:rsid w:val="1083CEBB"/>
    <w:rsid w:val="1087C8D1"/>
    <w:rsid w:val="10889AEB"/>
    <w:rsid w:val="1088E6FC"/>
    <w:rsid w:val="108D2768"/>
    <w:rsid w:val="108F2A17"/>
    <w:rsid w:val="1090156B"/>
    <w:rsid w:val="1091C4CD"/>
    <w:rsid w:val="10921597"/>
    <w:rsid w:val="1094615E"/>
    <w:rsid w:val="109B7F4B"/>
    <w:rsid w:val="109CB88E"/>
    <w:rsid w:val="10A43F7F"/>
    <w:rsid w:val="10A4427D"/>
    <w:rsid w:val="10AB924B"/>
    <w:rsid w:val="10AC4A0B"/>
    <w:rsid w:val="10AD9882"/>
    <w:rsid w:val="10AF9D8D"/>
    <w:rsid w:val="10B01751"/>
    <w:rsid w:val="10B457DD"/>
    <w:rsid w:val="10B634A6"/>
    <w:rsid w:val="10B6BAAC"/>
    <w:rsid w:val="10BAD8AA"/>
    <w:rsid w:val="10BE023D"/>
    <w:rsid w:val="10C121C6"/>
    <w:rsid w:val="10C1620A"/>
    <w:rsid w:val="10C235FF"/>
    <w:rsid w:val="10C359DA"/>
    <w:rsid w:val="10C450A5"/>
    <w:rsid w:val="10C60A20"/>
    <w:rsid w:val="10C77E8D"/>
    <w:rsid w:val="10CBD80C"/>
    <w:rsid w:val="10CDF3F5"/>
    <w:rsid w:val="10CF77CD"/>
    <w:rsid w:val="10D25362"/>
    <w:rsid w:val="10D56F3B"/>
    <w:rsid w:val="10D8E3DD"/>
    <w:rsid w:val="10DA4B3F"/>
    <w:rsid w:val="10DB1931"/>
    <w:rsid w:val="10DB6DD5"/>
    <w:rsid w:val="10DEE70C"/>
    <w:rsid w:val="10E0505A"/>
    <w:rsid w:val="10E0854B"/>
    <w:rsid w:val="10E3B472"/>
    <w:rsid w:val="10E658DB"/>
    <w:rsid w:val="10E6E903"/>
    <w:rsid w:val="10E75243"/>
    <w:rsid w:val="10E8563A"/>
    <w:rsid w:val="10E8DA38"/>
    <w:rsid w:val="10E9D194"/>
    <w:rsid w:val="10ECB378"/>
    <w:rsid w:val="10ECC566"/>
    <w:rsid w:val="10EE3F6B"/>
    <w:rsid w:val="10EF097E"/>
    <w:rsid w:val="10F1FE0B"/>
    <w:rsid w:val="10F2CBE3"/>
    <w:rsid w:val="10F6472D"/>
    <w:rsid w:val="10F67BEE"/>
    <w:rsid w:val="10F9D795"/>
    <w:rsid w:val="10FAE705"/>
    <w:rsid w:val="10FDCAC3"/>
    <w:rsid w:val="1105B3E5"/>
    <w:rsid w:val="1106C9DD"/>
    <w:rsid w:val="1106D57E"/>
    <w:rsid w:val="1108A334"/>
    <w:rsid w:val="1109333B"/>
    <w:rsid w:val="110BCB78"/>
    <w:rsid w:val="110FC586"/>
    <w:rsid w:val="11105999"/>
    <w:rsid w:val="1111A433"/>
    <w:rsid w:val="1111FA01"/>
    <w:rsid w:val="11149742"/>
    <w:rsid w:val="1115288B"/>
    <w:rsid w:val="11190C3D"/>
    <w:rsid w:val="1119439F"/>
    <w:rsid w:val="111C2B73"/>
    <w:rsid w:val="111DAD9B"/>
    <w:rsid w:val="111EE520"/>
    <w:rsid w:val="11228F51"/>
    <w:rsid w:val="1122D312"/>
    <w:rsid w:val="1124DABB"/>
    <w:rsid w:val="112A3B98"/>
    <w:rsid w:val="112B9CEF"/>
    <w:rsid w:val="112C7AA3"/>
    <w:rsid w:val="112C8544"/>
    <w:rsid w:val="112E01C7"/>
    <w:rsid w:val="112FE283"/>
    <w:rsid w:val="1132C938"/>
    <w:rsid w:val="113353E3"/>
    <w:rsid w:val="1135FDF8"/>
    <w:rsid w:val="113A889C"/>
    <w:rsid w:val="113AB2CD"/>
    <w:rsid w:val="113BEB1F"/>
    <w:rsid w:val="113DEEF0"/>
    <w:rsid w:val="113EC1C3"/>
    <w:rsid w:val="113FB657"/>
    <w:rsid w:val="1141D8FB"/>
    <w:rsid w:val="114507F1"/>
    <w:rsid w:val="114CDD15"/>
    <w:rsid w:val="114D1368"/>
    <w:rsid w:val="11566B39"/>
    <w:rsid w:val="11586020"/>
    <w:rsid w:val="11597817"/>
    <w:rsid w:val="115B41E1"/>
    <w:rsid w:val="11613F1E"/>
    <w:rsid w:val="11631952"/>
    <w:rsid w:val="116426EE"/>
    <w:rsid w:val="116433D8"/>
    <w:rsid w:val="116BDB77"/>
    <w:rsid w:val="116C7971"/>
    <w:rsid w:val="116ECC85"/>
    <w:rsid w:val="116FFC4B"/>
    <w:rsid w:val="1170F74C"/>
    <w:rsid w:val="11710634"/>
    <w:rsid w:val="11710A5B"/>
    <w:rsid w:val="1171BCA6"/>
    <w:rsid w:val="117232D9"/>
    <w:rsid w:val="1177AA41"/>
    <w:rsid w:val="11782255"/>
    <w:rsid w:val="117C2CF9"/>
    <w:rsid w:val="11834CF1"/>
    <w:rsid w:val="1184E438"/>
    <w:rsid w:val="1185DBC9"/>
    <w:rsid w:val="11864ED5"/>
    <w:rsid w:val="11870E7F"/>
    <w:rsid w:val="11895E6C"/>
    <w:rsid w:val="1189870F"/>
    <w:rsid w:val="11898D13"/>
    <w:rsid w:val="118A7ACF"/>
    <w:rsid w:val="118D71B1"/>
    <w:rsid w:val="118F0959"/>
    <w:rsid w:val="118F50AC"/>
    <w:rsid w:val="11948C40"/>
    <w:rsid w:val="11951F96"/>
    <w:rsid w:val="119597D2"/>
    <w:rsid w:val="119B6CF9"/>
    <w:rsid w:val="119CB5AE"/>
    <w:rsid w:val="119ED3C2"/>
    <w:rsid w:val="119F1BA8"/>
    <w:rsid w:val="11A0E284"/>
    <w:rsid w:val="11A3A78B"/>
    <w:rsid w:val="11A63F4E"/>
    <w:rsid w:val="11A76131"/>
    <w:rsid w:val="11AAC102"/>
    <w:rsid w:val="11AD7FD3"/>
    <w:rsid w:val="11B04199"/>
    <w:rsid w:val="11B16491"/>
    <w:rsid w:val="11B5F13D"/>
    <w:rsid w:val="11B94CAB"/>
    <w:rsid w:val="11BA8698"/>
    <w:rsid w:val="11BB2A3E"/>
    <w:rsid w:val="11C3CD70"/>
    <w:rsid w:val="11C8235F"/>
    <w:rsid w:val="11C900F5"/>
    <w:rsid w:val="11C997A0"/>
    <w:rsid w:val="11D0CE87"/>
    <w:rsid w:val="11D2CEF9"/>
    <w:rsid w:val="11D34CCE"/>
    <w:rsid w:val="11D41CF9"/>
    <w:rsid w:val="11D42470"/>
    <w:rsid w:val="11DAE043"/>
    <w:rsid w:val="11DCC4BB"/>
    <w:rsid w:val="11DED0B8"/>
    <w:rsid w:val="11E3CAAB"/>
    <w:rsid w:val="11E66367"/>
    <w:rsid w:val="11E81429"/>
    <w:rsid w:val="11E8A050"/>
    <w:rsid w:val="11EA7FD5"/>
    <w:rsid w:val="11EAC958"/>
    <w:rsid w:val="11EAF7B3"/>
    <w:rsid w:val="11EE5016"/>
    <w:rsid w:val="11EF7B44"/>
    <w:rsid w:val="11F22C30"/>
    <w:rsid w:val="11F3193D"/>
    <w:rsid w:val="11FBA206"/>
    <w:rsid w:val="11FCB7C0"/>
    <w:rsid w:val="11FF254A"/>
    <w:rsid w:val="1201150E"/>
    <w:rsid w:val="1202F249"/>
    <w:rsid w:val="12079407"/>
    <w:rsid w:val="12086742"/>
    <w:rsid w:val="12098925"/>
    <w:rsid w:val="1209A3EF"/>
    <w:rsid w:val="120EB490"/>
    <w:rsid w:val="121140A9"/>
    <w:rsid w:val="1211BBE4"/>
    <w:rsid w:val="121256BF"/>
    <w:rsid w:val="12126244"/>
    <w:rsid w:val="1215B36D"/>
    <w:rsid w:val="1216BF07"/>
    <w:rsid w:val="1216FE82"/>
    <w:rsid w:val="12176F49"/>
    <w:rsid w:val="12195339"/>
    <w:rsid w:val="121CD0C0"/>
    <w:rsid w:val="121EB20D"/>
    <w:rsid w:val="1226CFE1"/>
    <w:rsid w:val="122BB5ED"/>
    <w:rsid w:val="122CED53"/>
    <w:rsid w:val="122E73DF"/>
    <w:rsid w:val="122EE7DD"/>
    <w:rsid w:val="122FBFE5"/>
    <w:rsid w:val="122FEFC1"/>
    <w:rsid w:val="1231D1DC"/>
    <w:rsid w:val="1234DC03"/>
    <w:rsid w:val="123AE4EA"/>
    <w:rsid w:val="123EDB56"/>
    <w:rsid w:val="1240948F"/>
    <w:rsid w:val="1241A5CF"/>
    <w:rsid w:val="1245ED6F"/>
    <w:rsid w:val="124E86F6"/>
    <w:rsid w:val="124F5031"/>
    <w:rsid w:val="124FC2E7"/>
    <w:rsid w:val="1251C833"/>
    <w:rsid w:val="125314E5"/>
    <w:rsid w:val="1256A8D1"/>
    <w:rsid w:val="125873E9"/>
    <w:rsid w:val="125943F1"/>
    <w:rsid w:val="125B5D13"/>
    <w:rsid w:val="125D25EC"/>
    <w:rsid w:val="125D6255"/>
    <w:rsid w:val="1266FB94"/>
    <w:rsid w:val="12691D43"/>
    <w:rsid w:val="126C7AC0"/>
    <w:rsid w:val="126CED13"/>
    <w:rsid w:val="126D6D78"/>
    <w:rsid w:val="12703015"/>
    <w:rsid w:val="12714515"/>
    <w:rsid w:val="1272802B"/>
    <w:rsid w:val="1273105C"/>
    <w:rsid w:val="1273A3DD"/>
    <w:rsid w:val="12741B46"/>
    <w:rsid w:val="1274A6C6"/>
    <w:rsid w:val="12762E74"/>
    <w:rsid w:val="127748CD"/>
    <w:rsid w:val="1277B5A6"/>
    <w:rsid w:val="127B6AB9"/>
    <w:rsid w:val="127C1152"/>
    <w:rsid w:val="128225F9"/>
    <w:rsid w:val="12831E7C"/>
    <w:rsid w:val="12844714"/>
    <w:rsid w:val="1287CECC"/>
    <w:rsid w:val="128D468D"/>
    <w:rsid w:val="128D8474"/>
    <w:rsid w:val="128EB5CE"/>
    <w:rsid w:val="128EFFF5"/>
    <w:rsid w:val="128FF08B"/>
    <w:rsid w:val="1291210E"/>
    <w:rsid w:val="129138D1"/>
    <w:rsid w:val="12924EA3"/>
    <w:rsid w:val="12967171"/>
    <w:rsid w:val="12977082"/>
    <w:rsid w:val="129C2929"/>
    <w:rsid w:val="129F2A69"/>
    <w:rsid w:val="12A8B89B"/>
    <w:rsid w:val="12A9C884"/>
    <w:rsid w:val="12A9DAE3"/>
    <w:rsid w:val="12AACA80"/>
    <w:rsid w:val="12ABC9CE"/>
    <w:rsid w:val="12ABE8B0"/>
    <w:rsid w:val="12AE7FB7"/>
    <w:rsid w:val="12B00551"/>
    <w:rsid w:val="12B06A2B"/>
    <w:rsid w:val="12B1219B"/>
    <w:rsid w:val="12B14967"/>
    <w:rsid w:val="12B16407"/>
    <w:rsid w:val="12B2C4AE"/>
    <w:rsid w:val="12B3609F"/>
    <w:rsid w:val="12B6495E"/>
    <w:rsid w:val="12B78A8C"/>
    <w:rsid w:val="12B7D5A9"/>
    <w:rsid w:val="12B97C3F"/>
    <w:rsid w:val="12BB5597"/>
    <w:rsid w:val="12C10C1B"/>
    <w:rsid w:val="12C1C946"/>
    <w:rsid w:val="12C33E13"/>
    <w:rsid w:val="12C34501"/>
    <w:rsid w:val="12C48BBF"/>
    <w:rsid w:val="12C90BD6"/>
    <w:rsid w:val="12CB7884"/>
    <w:rsid w:val="12CC8BEC"/>
    <w:rsid w:val="12CCE6EA"/>
    <w:rsid w:val="12CD06C6"/>
    <w:rsid w:val="12CEF84A"/>
    <w:rsid w:val="12D1FE9B"/>
    <w:rsid w:val="12D21BCC"/>
    <w:rsid w:val="12DD3D8C"/>
    <w:rsid w:val="12DD7C1C"/>
    <w:rsid w:val="12DF628B"/>
    <w:rsid w:val="12E02A82"/>
    <w:rsid w:val="12E19EB4"/>
    <w:rsid w:val="12E89E9A"/>
    <w:rsid w:val="12EB7057"/>
    <w:rsid w:val="12F0AE90"/>
    <w:rsid w:val="12F62B1E"/>
    <w:rsid w:val="12F8537B"/>
    <w:rsid w:val="12FA565C"/>
    <w:rsid w:val="12FC65C3"/>
    <w:rsid w:val="12FCA0DF"/>
    <w:rsid w:val="13059201"/>
    <w:rsid w:val="130640F8"/>
    <w:rsid w:val="130817E9"/>
    <w:rsid w:val="13085CE1"/>
    <w:rsid w:val="130B4004"/>
    <w:rsid w:val="130E3AED"/>
    <w:rsid w:val="130E727D"/>
    <w:rsid w:val="130F18AA"/>
    <w:rsid w:val="13102F7B"/>
    <w:rsid w:val="131217F0"/>
    <w:rsid w:val="13179932"/>
    <w:rsid w:val="1319C045"/>
    <w:rsid w:val="131C3D91"/>
    <w:rsid w:val="131CD205"/>
    <w:rsid w:val="131E701C"/>
    <w:rsid w:val="13229486"/>
    <w:rsid w:val="1324B407"/>
    <w:rsid w:val="1325D3D7"/>
    <w:rsid w:val="1326C7ED"/>
    <w:rsid w:val="1326E188"/>
    <w:rsid w:val="1329EE49"/>
    <w:rsid w:val="1329FDBB"/>
    <w:rsid w:val="132B0F0B"/>
    <w:rsid w:val="132CCCBB"/>
    <w:rsid w:val="132CE1C8"/>
    <w:rsid w:val="1330C21F"/>
    <w:rsid w:val="13367C55"/>
    <w:rsid w:val="13398D5A"/>
    <w:rsid w:val="134070FA"/>
    <w:rsid w:val="1343EC59"/>
    <w:rsid w:val="134586BA"/>
    <w:rsid w:val="1346624B"/>
    <w:rsid w:val="1347900C"/>
    <w:rsid w:val="13504987"/>
    <w:rsid w:val="1350BE49"/>
    <w:rsid w:val="1354597C"/>
    <w:rsid w:val="13556D2A"/>
    <w:rsid w:val="135695BB"/>
    <w:rsid w:val="13589CBD"/>
    <w:rsid w:val="1360DCBD"/>
    <w:rsid w:val="1365A44A"/>
    <w:rsid w:val="13760415"/>
    <w:rsid w:val="1378671E"/>
    <w:rsid w:val="137DE789"/>
    <w:rsid w:val="1381529B"/>
    <w:rsid w:val="13855BC5"/>
    <w:rsid w:val="13901E24"/>
    <w:rsid w:val="1391AB69"/>
    <w:rsid w:val="1391BC32"/>
    <w:rsid w:val="13930632"/>
    <w:rsid w:val="1393B638"/>
    <w:rsid w:val="13965548"/>
    <w:rsid w:val="1396A370"/>
    <w:rsid w:val="139CAABA"/>
    <w:rsid w:val="139CF090"/>
    <w:rsid w:val="139D0AB8"/>
    <w:rsid w:val="139DCB5B"/>
    <w:rsid w:val="13A008C4"/>
    <w:rsid w:val="13A4BD78"/>
    <w:rsid w:val="13A5A447"/>
    <w:rsid w:val="13AA16DF"/>
    <w:rsid w:val="13AA47AB"/>
    <w:rsid w:val="13ABA88F"/>
    <w:rsid w:val="13ABEEB5"/>
    <w:rsid w:val="13AE8565"/>
    <w:rsid w:val="13B25FB9"/>
    <w:rsid w:val="13B431C0"/>
    <w:rsid w:val="13B5DFE9"/>
    <w:rsid w:val="13B72296"/>
    <w:rsid w:val="13B97D8F"/>
    <w:rsid w:val="13B9FF9A"/>
    <w:rsid w:val="13BA328D"/>
    <w:rsid w:val="13BD7AE1"/>
    <w:rsid w:val="13BFBD59"/>
    <w:rsid w:val="13CB468E"/>
    <w:rsid w:val="13CCBE19"/>
    <w:rsid w:val="13CD63E0"/>
    <w:rsid w:val="13CDA2E2"/>
    <w:rsid w:val="13CE660B"/>
    <w:rsid w:val="13CED5B0"/>
    <w:rsid w:val="13CF1D47"/>
    <w:rsid w:val="13CFB956"/>
    <w:rsid w:val="13D4240A"/>
    <w:rsid w:val="13E14A3C"/>
    <w:rsid w:val="13E2F7E3"/>
    <w:rsid w:val="13E2FB85"/>
    <w:rsid w:val="13E354EF"/>
    <w:rsid w:val="13E52E57"/>
    <w:rsid w:val="13EC56C1"/>
    <w:rsid w:val="13F1C29E"/>
    <w:rsid w:val="13F1EB86"/>
    <w:rsid w:val="13F54A40"/>
    <w:rsid w:val="13FA8EBA"/>
    <w:rsid w:val="13FABA7C"/>
    <w:rsid w:val="13FD26E6"/>
    <w:rsid w:val="13FD99A8"/>
    <w:rsid w:val="14014A5C"/>
    <w:rsid w:val="14034BFE"/>
    <w:rsid w:val="14074E70"/>
    <w:rsid w:val="140ABA18"/>
    <w:rsid w:val="140CCDB6"/>
    <w:rsid w:val="140D30FD"/>
    <w:rsid w:val="140F84D0"/>
    <w:rsid w:val="1412737F"/>
    <w:rsid w:val="141293B3"/>
    <w:rsid w:val="141413CE"/>
    <w:rsid w:val="141793E4"/>
    <w:rsid w:val="141950E2"/>
    <w:rsid w:val="141A29A1"/>
    <w:rsid w:val="141C8079"/>
    <w:rsid w:val="142155BE"/>
    <w:rsid w:val="1423A909"/>
    <w:rsid w:val="1427CDA6"/>
    <w:rsid w:val="1427DA19"/>
    <w:rsid w:val="142816E8"/>
    <w:rsid w:val="1430ED63"/>
    <w:rsid w:val="143245C0"/>
    <w:rsid w:val="143339DB"/>
    <w:rsid w:val="14387CBF"/>
    <w:rsid w:val="1438CC16"/>
    <w:rsid w:val="143C1098"/>
    <w:rsid w:val="143C7878"/>
    <w:rsid w:val="143DDBDC"/>
    <w:rsid w:val="143E64D5"/>
    <w:rsid w:val="143F2766"/>
    <w:rsid w:val="14414077"/>
    <w:rsid w:val="14445EC3"/>
    <w:rsid w:val="1447671C"/>
    <w:rsid w:val="1447E836"/>
    <w:rsid w:val="144ABE80"/>
    <w:rsid w:val="144B0FFA"/>
    <w:rsid w:val="144B60B7"/>
    <w:rsid w:val="144BE5CF"/>
    <w:rsid w:val="144DE3CE"/>
    <w:rsid w:val="144EAA7F"/>
    <w:rsid w:val="144F4C32"/>
    <w:rsid w:val="144F6559"/>
    <w:rsid w:val="1450347B"/>
    <w:rsid w:val="14509957"/>
    <w:rsid w:val="1450EA90"/>
    <w:rsid w:val="1453A5CB"/>
    <w:rsid w:val="1456BD33"/>
    <w:rsid w:val="14576435"/>
    <w:rsid w:val="1457AF5B"/>
    <w:rsid w:val="1457B707"/>
    <w:rsid w:val="14581F40"/>
    <w:rsid w:val="1458C0B2"/>
    <w:rsid w:val="14590E12"/>
    <w:rsid w:val="145A65D0"/>
    <w:rsid w:val="145C5AA9"/>
    <w:rsid w:val="145C73B9"/>
    <w:rsid w:val="145DA8D7"/>
    <w:rsid w:val="145E235A"/>
    <w:rsid w:val="14636750"/>
    <w:rsid w:val="14691423"/>
    <w:rsid w:val="14694FD1"/>
    <w:rsid w:val="146C22E5"/>
    <w:rsid w:val="146D4E01"/>
    <w:rsid w:val="146FB938"/>
    <w:rsid w:val="1472321F"/>
    <w:rsid w:val="14732AAC"/>
    <w:rsid w:val="1475058C"/>
    <w:rsid w:val="1475EEC3"/>
    <w:rsid w:val="1478EE7C"/>
    <w:rsid w:val="147D77F8"/>
    <w:rsid w:val="147D9CCA"/>
    <w:rsid w:val="147F6546"/>
    <w:rsid w:val="147FD42E"/>
    <w:rsid w:val="1482FC66"/>
    <w:rsid w:val="148308C1"/>
    <w:rsid w:val="1485169B"/>
    <w:rsid w:val="148696C4"/>
    <w:rsid w:val="1488314D"/>
    <w:rsid w:val="1489BF06"/>
    <w:rsid w:val="148B1CAB"/>
    <w:rsid w:val="148ED17F"/>
    <w:rsid w:val="148F85B3"/>
    <w:rsid w:val="1491FFC6"/>
    <w:rsid w:val="14925CBE"/>
    <w:rsid w:val="14947FC0"/>
    <w:rsid w:val="1494B94B"/>
    <w:rsid w:val="14975035"/>
    <w:rsid w:val="149D32B1"/>
    <w:rsid w:val="14A3D22E"/>
    <w:rsid w:val="14A5EBD5"/>
    <w:rsid w:val="14A7A7EB"/>
    <w:rsid w:val="14A8063A"/>
    <w:rsid w:val="14ACCCB2"/>
    <w:rsid w:val="14AE32AD"/>
    <w:rsid w:val="14AEDDFC"/>
    <w:rsid w:val="14B11CDD"/>
    <w:rsid w:val="14B9C7CE"/>
    <w:rsid w:val="14BE3A28"/>
    <w:rsid w:val="14BE7E5B"/>
    <w:rsid w:val="14C28D37"/>
    <w:rsid w:val="14C80174"/>
    <w:rsid w:val="14CA0E83"/>
    <w:rsid w:val="14CC18B8"/>
    <w:rsid w:val="14CC4B35"/>
    <w:rsid w:val="14CD92A8"/>
    <w:rsid w:val="14D1F435"/>
    <w:rsid w:val="14D5136E"/>
    <w:rsid w:val="14D80D28"/>
    <w:rsid w:val="14DAD483"/>
    <w:rsid w:val="14DC3895"/>
    <w:rsid w:val="14DC9DA8"/>
    <w:rsid w:val="14DE37DE"/>
    <w:rsid w:val="14DE6E81"/>
    <w:rsid w:val="14E17745"/>
    <w:rsid w:val="14E4BCEA"/>
    <w:rsid w:val="14E641A3"/>
    <w:rsid w:val="14E6B845"/>
    <w:rsid w:val="14E79E06"/>
    <w:rsid w:val="14E8BF2E"/>
    <w:rsid w:val="14EA8C34"/>
    <w:rsid w:val="14EB3A92"/>
    <w:rsid w:val="14ECF471"/>
    <w:rsid w:val="14EDD70A"/>
    <w:rsid w:val="14F00E18"/>
    <w:rsid w:val="14F027C5"/>
    <w:rsid w:val="14F218E7"/>
    <w:rsid w:val="14F377E2"/>
    <w:rsid w:val="14F4AE92"/>
    <w:rsid w:val="14F7BCF2"/>
    <w:rsid w:val="14F83889"/>
    <w:rsid w:val="14FB46CC"/>
    <w:rsid w:val="14FB472F"/>
    <w:rsid w:val="14FCD735"/>
    <w:rsid w:val="15003B95"/>
    <w:rsid w:val="1500C07F"/>
    <w:rsid w:val="1500FEFF"/>
    <w:rsid w:val="15012425"/>
    <w:rsid w:val="150220BA"/>
    <w:rsid w:val="15035C34"/>
    <w:rsid w:val="1503C88D"/>
    <w:rsid w:val="1504A858"/>
    <w:rsid w:val="15087026"/>
    <w:rsid w:val="150EF9A3"/>
    <w:rsid w:val="150F33FC"/>
    <w:rsid w:val="15101236"/>
    <w:rsid w:val="1515DA36"/>
    <w:rsid w:val="1518682B"/>
    <w:rsid w:val="15199429"/>
    <w:rsid w:val="151B6B73"/>
    <w:rsid w:val="1523F4E0"/>
    <w:rsid w:val="15257711"/>
    <w:rsid w:val="152C62D9"/>
    <w:rsid w:val="152E8769"/>
    <w:rsid w:val="152F1795"/>
    <w:rsid w:val="1530E320"/>
    <w:rsid w:val="1531BBEE"/>
    <w:rsid w:val="1533AB52"/>
    <w:rsid w:val="15343637"/>
    <w:rsid w:val="1536195D"/>
    <w:rsid w:val="15365190"/>
    <w:rsid w:val="153E7CDA"/>
    <w:rsid w:val="153F1ED2"/>
    <w:rsid w:val="1540CE6F"/>
    <w:rsid w:val="1544E008"/>
    <w:rsid w:val="15470E47"/>
    <w:rsid w:val="154A50DA"/>
    <w:rsid w:val="154B5728"/>
    <w:rsid w:val="154C038D"/>
    <w:rsid w:val="1552E6AC"/>
    <w:rsid w:val="15534F76"/>
    <w:rsid w:val="15548C61"/>
    <w:rsid w:val="1555185E"/>
    <w:rsid w:val="1555F084"/>
    <w:rsid w:val="1556CB96"/>
    <w:rsid w:val="1557142A"/>
    <w:rsid w:val="1559498B"/>
    <w:rsid w:val="15595988"/>
    <w:rsid w:val="155AB75D"/>
    <w:rsid w:val="155E7F7F"/>
    <w:rsid w:val="155F67F9"/>
    <w:rsid w:val="156514FF"/>
    <w:rsid w:val="156B0BCC"/>
    <w:rsid w:val="156DAA4F"/>
    <w:rsid w:val="156DCE27"/>
    <w:rsid w:val="156E28C4"/>
    <w:rsid w:val="15717902"/>
    <w:rsid w:val="1573D3BA"/>
    <w:rsid w:val="15760FC3"/>
    <w:rsid w:val="1577273C"/>
    <w:rsid w:val="157F427D"/>
    <w:rsid w:val="157F5DFB"/>
    <w:rsid w:val="157FAAE3"/>
    <w:rsid w:val="1582AED3"/>
    <w:rsid w:val="158DD955"/>
    <w:rsid w:val="1590FDFF"/>
    <w:rsid w:val="159176CD"/>
    <w:rsid w:val="1593735C"/>
    <w:rsid w:val="15943990"/>
    <w:rsid w:val="159AC1B5"/>
    <w:rsid w:val="159AD164"/>
    <w:rsid w:val="159BB183"/>
    <w:rsid w:val="159CD6A4"/>
    <w:rsid w:val="159FFD64"/>
    <w:rsid w:val="15A036DF"/>
    <w:rsid w:val="15A11C8F"/>
    <w:rsid w:val="15AD3057"/>
    <w:rsid w:val="15B5214D"/>
    <w:rsid w:val="15B5B88B"/>
    <w:rsid w:val="15B670E2"/>
    <w:rsid w:val="15B9164C"/>
    <w:rsid w:val="15BB052D"/>
    <w:rsid w:val="15BBD1FC"/>
    <w:rsid w:val="15BC84FD"/>
    <w:rsid w:val="15BCE4CA"/>
    <w:rsid w:val="15BE616F"/>
    <w:rsid w:val="15BF36A1"/>
    <w:rsid w:val="15C24560"/>
    <w:rsid w:val="15CAEA71"/>
    <w:rsid w:val="15CBE8DA"/>
    <w:rsid w:val="15CD491B"/>
    <w:rsid w:val="15CD7013"/>
    <w:rsid w:val="15D0BD27"/>
    <w:rsid w:val="15D0DA3A"/>
    <w:rsid w:val="15D4843A"/>
    <w:rsid w:val="15D5A61B"/>
    <w:rsid w:val="15D7D733"/>
    <w:rsid w:val="15D7D8AE"/>
    <w:rsid w:val="15D99B31"/>
    <w:rsid w:val="15DAC973"/>
    <w:rsid w:val="15DC11A7"/>
    <w:rsid w:val="15DEC595"/>
    <w:rsid w:val="15E10B46"/>
    <w:rsid w:val="15E129B8"/>
    <w:rsid w:val="15E15ACA"/>
    <w:rsid w:val="15E3185F"/>
    <w:rsid w:val="15EAB5AA"/>
    <w:rsid w:val="15EDC442"/>
    <w:rsid w:val="15EDF35C"/>
    <w:rsid w:val="15EE0CA0"/>
    <w:rsid w:val="15F0C204"/>
    <w:rsid w:val="15F11793"/>
    <w:rsid w:val="15F9E76E"/>
    <w:rsid w:val="15FA2EB4"/>
    <w:rsid w:val="15FAD70A"/>
    <w:rsid w:val="15FEF294"/>
    <w:rsid w:val="15FF97F4"/>
    <w:rsid w:val="1600C971"/>
    <w:rsid w:val="16020483"/>
    <w:rsid w:val="16045B6F"/>
    <w:rsid w:val="160629C7"/>
    <w:rsid w:val="160702AF"/>
    <w:rsid w:val="16089380"/>
    <w:rsid w:val="160BAE65"/>
    <w:rsid w:val="160E5132"/>
    <w:rsid w:val="160EAF2E"/>
    <w:rsid w:val="16152FBA"/>
    <w:rsid w:val="161950D6"/>
    <w:rsid w:val="161A84A7"/>
    <w:rsid w:val="162284BA"/>
    <w:rsid w:val="1624B88C"/>
    <w:rsid w:val="16274493"/>
    <w:rsid w:val="162BA2D5"/>
    <w:rsid w:val="162C5F20"/>
    <w:rsid w:val="162FC883"/>
    <w:rsid w:val="162FFE8B"/>
    <w:rsid w:val="16306575"/>
    <w:rsid w:val="1632BCDC"/>
    <w:rsid w:val="1633625A"/>
    <w:rsid w:val="1634A22D"/>
    <w:rsid w:val="163585C5"/>
    <w:rsid w:val="1636EFD4"/>
    <w:rsid w:val="163730DC"/>
    <w:rsid w:val="16396D06"/>
    <w:rsid w:val="163AAFFB"/>
    <w:rsid w:val="163CC8EC"/>
    <w:rsid w:val="1641688B"/>
    <w:rsid w:val="16419CD8"/>
    <w:rsid w:val="1643A9B2"/>
    <w:rsid w:val="16464D33"/>
    <w:rsid w:val="1648555C"/>
    <w:rsid w:val="164894D5"/>
    <w:rsid w:val="1649631A"/>
    <w:rsid w:val="164999AD"/>
    <w:rsid w:val="164C981C"/>
    <w:rsid w:val="164FBB46"/>
    <w:rsid w:val="1650A562"/>
    <w:rsid w:val="1653CFAC"/>
    <w:rsid w:val="16554181"/>
    <w:rsid w:val="165695A0"/>
    <w:rsid w:val="1659C56D"/>
    <w:rsid w:val="165A3EFA"/>
    <w:rsid w:val="165BE66D"/>
    <w:rsid w:val="165BF8DA"/>
    <w:rsid w:val="165F7020"/>
    <w:rsid w:val="1666F332"/>
    <w:rsid w:val="166738FA"/>
    <w:rsid w:val="167050BC"/>
    <w:rsid w:val="1675A6F1"/>
    <w:rsid w:val="1675E2C9"/>
    <w:rsid w:val="167694E1"/>
    <w:rsid w:val="16796C97"/>
    <w:rsid w:val="167C2F22"/>
    <w:rsid w:val="167DFAB6"/>
    <w:rsid w:val="167E5261"/>
    <w:rsid w:val="167E5976"/>
    <w:rsid w:val="168419FE"/>
    <w:rsid w:val="16844AD1"/>
    <w:rsid w:val="168A0CD3"/>
    <w:rsid w:val="168A3F9A"/>
    <w:rsid w:val="168DACB7"/>
    <w:rsid w:val="169BA1EA"/>
    <w:rsid w:val="169DC7C3"/>
    <w:rsid w:val="169E1836"/>
    <w:rsid w:val="169F910D"/>
    <w:rsid w:val="16A04684"/>
    <w:rsid w:val="16A3DE06"/>
    <w:rsid w:val="16A6CCAD"/>
    <w:rsid w:val="16A7861F"/>
    <w:rsid w:val="16A80677"/>
    <w:rsid w:val="16A97F37"/>
    <w:rsid w:val="16AAB3D7"/>
    <w:rsid w:val="16AAD10E"/>
    <w:rsid w:val="16AAE643"/>
    <w:rsid w:val="16AC3958"/>
    <w:rsid w:val="16ADDAF4"/>
    <w:rsid w:val="16B1ABD1"/>
    <w:rsid w:val="16B2141A"/>
    <w:rsid w:val="16B3768C"/>
    <w:rsid w:val="16B3E9F5"/>
    <w:rsid w:val="16B6A033"/>
    <w:rsid w:val="16B9F4DE"/>
    <w:rsid w:val="16BE378D"/>
    <w:rsid w:val="16BE8E1C"/>
    <w:rsid w:val="16C4F98A"/>
    <w:rsid w:val="16C54749"/>
    <w:rsid w:val="16CA121F"/>
    <w:rsid w:val="16CE481D"/>
    <w:rsid w:val="16CF59CC"/>
    <w:rsid w:val="16D27847"/>
    <w:rsid w:val="16D6F191"/>
    <w:rsid w:val="16DC17BF"/>
    <w:rsid w:val="16DC2EED"/>
    <w:rsid w:val="16E46C1E"/>
    <w:rsid w:val="16E4BFB2"/>
    <w:rsid w:val="16E8EB65"/>
    <w:rsid w:val="16E9C4CC"/>
    <w:rsid w:val="16EF06A8"/>
    <w:rsid w:val="16F45F41"/>
    <w:rsid w:val="16F71F3D"/>
    <w:rsid w:val="16F7F667"/>
    <w:rsid w:val="16F8D203"/>
    <w:rsid w:val="16FA0C93"/>
    <w:rsid w:val="16FB9897"/>
    <w:rsid w:val="16FD1707"/>
    <w:rsid w:val="16FD2B6A"/>
    <w:rsid w:val="17007688"/>
    <w:rsid w:val="17019A89"/>
    <w:rsid w:val="1701BAFE"/>
    <w:rsid w:val="17026613"/>
    <w:rsid w:val="17035317"/>
    <w:rsid w:val="1708C264"/>
    <w:rsid w:val="17092D09"/>
    <w:rsid w:val="170B25FD"/>
    <w:rsid w:val="17128107"/>
    <w:rsid w:val="171295B1"/>
    <w:rsid w:val="1713EA93"/>
    <w:rsid w:val="1716DC13"/>
    <w:rsid w:val="171761C8"/>
    <w:rsid w:val="17177575"/>
    <w:rsid w:val="1717D6DF"/>
    <w:rsid w:val="171801C1"/>
    <w:rsid w:val="171BA64C"/>
    <w:rsid w:val="17200899"/>
    <w:rsid w:val="1725BD83"/>
    <w:rsid w:val="17278BF9"/>
    <w:rsid w:val="172C0302"/>
    <w:rsid w:val="172D85FD"/>
    <w:rsid w:val="172E0F50"/>
    <w:rsid w:val="172F14A6"/>
    <w:rsid w:val="173020BD"/>
    <w:rsid w:val="17342441"/>
    <w:rsid w:val="173437F6"/>
    <w:rsid w:val="173CE03F"/>
    <w:rsid w:val="173D97FE"/>
    <w:rsid w:val="173EDD64"/>
    <w:rsid w:val="173EF8F7"/>
    <w:rsid w:val="17413520"/>
    <w:rsid w:val="1741C547"/>
    <w:rsid w:val="1744A2D3"/>
    <w:rsid w:val="174731A2"/>
    <w:rsid w:val="17478412"/>
    <w:rsid w:val="1747D151"/>
    <w:rsid w:val="174B0543"/>
    <w:rsid w:val="174DDFA6"/>
    <w:rsid w:val="174E452D"/>
    <w:rsid w:val="1752FF02"/>
    <w:rsid w:val="17546DB6"/>
    <w:rsid w:val="17555348"/>
    <w:rsid w:val="17578684"/>
    <w:rsid w:val="1759E70C"/>
    <w:rsid w:val="175CFA21"/>
    <w:rsid w:val="175E8B36"/>
    <w:rsid w:val="175EA083"/>
    <w:rsid w:val="17657906"/>
    <w:rsid w:val="176747A4"/>
    <w:rsid w:val="17675B67"/>
    <w:rsid w:val="176785CE"/>
    <w:rsid w:val="176D67A1"/>
    <w:rsid w:val="17720DCA"/>
    <w:rsid w:val="1778DEA3"/>
    <w:rsid w:val="17797261"/>
    <w:rsid w:val="1779E96D"/>
    <w:rsid w:val="177A0B51"/>
    <w:rsid w:val="177DA476"/>
    <w:rsid w:val="1780B266"/>
    <w:rsid w:val="1781CF2D"/>
    <w:rsid w:val="178574C0"/>
    <w:rsid w:val="1786D7DF"/>
    <w:rsid w:val="17873212"/>
    <w:rsid w:val="178B5C5D"/>
    <w:rsid w:val="178D87B4"/>
    <w:rsid w:val="178FAFFB"/>
    <w:rsid w:val="178FD318"/>
    <w:rsid w:val="178FFDC9"/>
    <w:rsid w:val="1797B544"/>
    <w:rsid w:val="1798ED3E"/>
    <w:rsid w:val="17995DAE"/>
    <w:rsid w:val="1799C1C6"/>
    <w:rsid w:val="179BB4E0"/>
    <w:rsid w:val="179D8D67"/>
    <w:rsid w:val="179DE486"/>
    <w:rsid w:val="179EE3D4"/>
    <w:rsid w:val="17A0005E"/>
    <w:rsid w:val="17A3F3F0"/>
    <w:rsid w:val="17A5F51F"/>
    <w:rsid w:val="17AA79A5"/>
    <w:rsid w:val="17AA9E74"/>
    <w:rsid w:val="17B0B1AE"/>
    <w:rsid w:val="17B12263"/>
    <w:rsid w:val="17B2AFBD"/>
    <w:rsid w:val="17B2D613"/>
    <w:rsid w:val="17B4E7F5"/>
    <w:rsid w:val="17B8881B"/>
    <w:rsid w:val="17B8B2A0"/>
    <w:rsid w:val="17BAC9DE"/>
    <w:rsid w:val="17C0A4B8"/>
    <w:rsid w:val="17C15963"/>
    <w:rsid w:val="17C437FB"/>
    <w:rsid w:val="17C580DA"/>
    <w:rsid w:val="17C6E7A7"/>
    <w:rsid w:val="17CCB5A2"/>
    <w:rsid w:val="17CCF57E"/>
    <w:rsid w:val="17D492F7"/>
    <w:rsid w:val="17D4FEDB"/>
    <w:rsid w:val="17D6DAA4"/>
    <w:rsid w:val="17D7F36D"/>
    <w:rsid w:val="17E2AB6A"/>
    <w:rsid w:val="17E50359"/>
    <w:rsid w:val="17E68F97"/>
    <w:rsid w:val="17E709C2"/>
    <w:rsid w:val="17E9C37E"/>
    <w:rsid w:val="17F1C5D9"/>
    <w:rsid w:val="17F631AB"/>
    <w:rsid w:val="17F8AA77"/>
    <w:rsid w:val="17F9FDCA"/>
    <w:rsid w:val="17FB75F2"/>
    <w:rsid w:val="18066372"/>
    <w:rsid w:val="180755C4"/>
    <w:rsid w:val="1808B20C"/>
    <w:rsid w:val="180958A7"/>
    <w:rsid w:val="180DCBBF"/>
    <w:rsid w:val="180EBADB"/>
    <w:rsid w:val="180F47B6"/>
    <w:rsid w:val="180F6F43"/>
    <w:rsid w:val="18100840"/>
    <w:rsid w:val="18117FC3"/>
    <w:rsid w:val="1819351B"/>
    <w:rsid w:val="18231CC6"/>
    <w:rsid w:val="18235CB9"/>
    <w:rsid w:val="18260043"/>
    <w:rsid w:val="1827BA49"/>
    <w:rsid w:val="1828AFCC"/>
    <w:rsid w:val="182C587E"/>
    <w:rsid w:val="182CD5B9"/>
    <w:rsid w:val="182D9AD9"/>
    <w:rsid w:val="183396C1"/>
    <w:rsid w:val="183890CA"/>
    <w:rsid w:val="18392DC0"/>
    <w:rsid w:val="183B802D"/>
    <w:rsid w:val="183C7FA1"/>
    <w:rsid w:val="183F7580"/>
    <w:rsid w:val="183FEE3D"/>
    <w:rsid w:val="18415A1C"/>
    <w:rsid w:val="1841A813"/>
    <w:rsid w:val="1841EAE8"/>
    <w:rsid w:val="1842018E"/>
    <w:rsid w:val="184213D3"/>
    <w:rsid w:val="1844AA5B"/>
    <w:rsid w:val="1847EFD7"/>
    <w:rsid w:val="184808F5"/>
    <w:rsid w:val="184941E8"/>
    <w:rsid w:val="184AD7DF"/>
    <w:rsid w:val="1851A9B7"/>
    <w:rsid w:val="1852FB3F"/>
    <w:rsid w:val="1853822F"/>
    <w:rsid w:val="18567ABF"/>
    <w:rsid w:val="1858C848"/>
    <w:rsid w:val="185B340E"/>
    <w:rsid w:val="185CA591"/>
    <w:rsid w:val="185DA901"/>
    <w:rsid w:val="185F8ED0"/>
    <w:rsid w:val="1864DD21"/>
    <w:rsid w:val="1865595D"/>
    <w:rsid w:val="18658C79"/>
    <w:rsid w:val="1865F6CA"/>
    <w:rsid w:val="1866C830"/>
    <w:rsid w:val="1866FB2C"/>
    <w:rsid w:val="186886DB"/>
    <w:rsid w:val="1868C87A"/>
    <w:rsid w:val="186943EF"/>
    <w:rsid w:val="186A2173"/>
    <w:rsid w:val="186C64A6"/>
    <w:rsid w:val="186ECA59"/>
    <w:rsid w:val="18765F9B"/>
    <w:rsid w:val="18767D4F"/>
    <w:rsid w:val="1877E9ED"/>
    <w:rsid w:val="187B4672"/>
    <w:rsid w:val="187BB11B"/>
    <w:rsid w:val="187C4A9B"/>
    <w:rsid w:val="187EEEEF"/>
    <w:rsid w:val="1883F5E2"/>
    <w:rsid w:val="188B10FA"/>
    <w:rsid w:val="188D9B0A"/>
    <w:rsid w:val="188DF923"/>
    <w:rsid w:val="188ED2C9"/>
    <w:rsid w:val="1891B4B7"/>
    <w:rsid w:val="189234FF"/>
    <w:rsid w:val="18933192"/>
    <w:rsid w:val="18984251"/>
    <w:rsid w:val="189B1B3F"/>
    <w:rsid w:val="189DBCB6"/>
    <w:rsid w:val="189E124D"/>
    <w:rsid w:val="18A22FD4"/>
    <w:rsid w:val="18A7DFFF"/>
    <w:rsid w:val="18AE1E12"/>
    <w:rsid w:val="18AF3D34"/>
    <w:rsid w:val="18AF8027"/>
    <w:rsid w:val="18B200F4"/>
    <w:rsid w:val="18B91E01"/>
    <w:rsid w:val="18BA9F75"/>
    <w:rsid w:val="18BAAF5B"/>
    <w:rsid w:val="18BB0EB2"/>
    <w:rsid w:val="18BF25BD"/>
    <w:rsid w:val="18C195FF"/>
    <w:rsid w:val="18C3C28B"/>
    <w:rsid w:val="18C869C4"/>
    <w:rsid w:val="18C936E3"/>
    <w:rsid w:val="18CA7B78"/>
    <w:rsid w:val="18CB10B1"/>
    <w:rsid w:val="18CECA1F"/>
    <w:rsid w:val="18CF1C7B"/>
    <w:rsid w:val="18D23BE0"/>
    <w:rsid w:val="18D265B2"/>
    <w:rsid w:val="18D67F58"/>
    <w:rsid w:val="18D939A2"/>
    <w:rsid w:val="18DF1B8C"/>
    <w:rsid w:val="18E24157"/>
    <w:rsid w:val="18E58CD6"/>
    <w:rsid w:val="18E7C2EC"/>
    <w:rsid w:val="18E8AB76"/>
    <w:rsid w:val="18EB4CFE"/>
    <w:rsid w:val="18ECA730"/>
    <w:rsid w:val="18ED9D9C"/>
    <w:rsid w:val="18EDD05B"/>
    <w:rsid w:val="18EE57DC"/>
    <w:rsid w:val="18F20717"/>
    <w:rsid w:val="18F251AA"/>
    <w:rsid w:val="18F2BE1F"/>
    <w:rsid w:val="18F417B5"/>
    <w:rsid w:val="18F4A858"/>
    <w:rsid w:val="18F5F8CF"/>
    <w:rsid w:val="18F94D55"/>
    <w:rsid w:val="18FC519C"/>
    <w:rsid w:val="1900D363"/>
    <w:rsid w:val="19046334"/>
    <w:rsid w:val="190808B9"/>
    <w:rsid w:val="1908A17D"/>
    <w:rsid w:val="190CA805"/>
    <w:rsid w:val="190E11D4"/>
    <w:rsid w:val="1914CEF6"/>
    <w:rsid w:val="19156887"/>
    <w:rsid w:val="191B1D24"/>
    <w:rsid w:val="191BA435"/>
    <w:rsid w:val="191CB9E2"/>
    <w:rsid w:val="191EEE2D"/>
    <w:rsid w:val="191FB432"/>
    <w:rsid w:val="1924A015"/>
    <w:rsid w:val="1927F2BF"/>
    <w:rsid w:val="19283873"/>
    <w:rsid w:val="192BDF50"/>
    <w:rsid w:val="192C4D91"/>
    <w:rsid w:val="192CC8BD"/>
    <w:rsid w:val="1931EC97"/>
    <w:rsid w:val="1932EF13"/>
    <w:rsid w:val="19354E83"/>
    <w:rsid w:val="193CF6BC"/>
    <w:rsid w:val="1946AEAA"/>
    <w:rsid w:val="194B86D8"/>
    <w:rsid w:val="194EC501"/>
    <w:rsid w:val="194EE21B"/>
    <w:rsid w:val="1953C579"/>
    <w:rsid w:val="19577FD0"/>
    <w:rsid w:val="195EA735"/>
    <w:rsid w:val="196361E4"/>
    <w:rsid w:val="1966D0E4"/>
    <w:rsid w:val="19678829"/>
    <w:rsid w:val="1967B0AF"/>
    <w:rsid w:val="196A106E"/>
    <w:rsid w:val="196D3AA6"/>
    <w:rsid w:val="196DECB5"/>
    <w:rsid w:val="1970E082"/>
    <w:rsid w:val="19716449"/>
    <w:rsid w:val="1971AF28"/>
    <w:rsid w:val="1971DD20"/>
    <w:rsid w:val="1975733F"/>
    <w:rsid w:val="197761E5"/>
    <w:rsid w:val="197D61E8"/>
    <w:rsid w:val="197F26F5"/>
    <w:rsid w:val="19827727"/>
    <w:rsid w:val="19840FF0"/>
    <w:rsid w:val="19886A77"/>
    <w:rsid w:val="198BF2CD"/>
    <w:rsid w:val="198F3465"/>
    <w:rsid w:val="1990B9BF"/>
    <w:rsid w:val="19924558"/>
    <w:rsid w:val="1992C9C0"/>
    <w:rsid w:val="1995ACBC"/>
    <w:rsid w:val="19973513"/>
    <w:rsid w:val="1998B23A"/>
    <w:rsid w:val="199A90E9"/>
    <w:rsid w:val="199B4879"/>
    <w:rsid w:val="199DE6C6"/>
    <w:rsid w:val="199E0157"/>
    <w:rsid w:val="19A098DB"/>
    <w:rsid w:val="19A09E8F"/>
    <w:rsid w:val="19A1190D"/>
    <w:rsid w:val="19A22D02"/>
    <w:rsid w:val="19A244B4"/>
    <w:rsid w:val="19A5908B"/>
    <w:rsid w:val="19A6747C"/>
    <w:rsid w:val="19A7BF2D"/>
    <w:rsid w:val="19AB6CFF"/>
    <w:rsid w:val="19AE875D"/>
    <w:rsid w:val="19B0D44E"/>
    <w:rsid w:val="19B282CB"/>
    <w:rsid w:val="19B47CE6"/>
    <w:rsid w:val="19B4CF6E"/>
    <w:rsid w:val="19B59293"/>
    <w:rsid w:val="19B74677"/>
    <w:rsid w:val="19B7E0E2"/>
    <w:rsid w:val="19BC89FF"/>
    <w:rsid w:val="19C2A530"/>
    <w:rsid w:val="19C2AC56"/>
    <w:rsid w:val="19CAB093"/>
    <w:rsid w:val="19CFDDF5"/>
    <w:rsid w:val="19DAEB3D"/>
    <w:rsid w:val="19DC218E"/>
    <w:rsid w:val="19E15E06"/>
    <w:rsid w:val="19E861E1"/>
    <w:rsid w:val="19EF520F"/>
    <w:rsid w:val="19F80FCC"/>
    <w:rsid w:val="19F9BE17"/>
    <w:rsid w:val="19FA97DD"/>
    <w:rsid w:val="19FB6DBE"/>
    <w:rsid w:val="19FBE425"/>
    <w:rsid w:val="19FDA3A9"/>
    <w:rsid w:val="19FE33B7"/>
    <w:rsid w:val="1A0085B0"/>
    <w:rsid w:val="1A066701"/>
    <w:rsid w:val="1A067943"/>
    <w:rsid w:val="1A068920"/>
    <w:rsid w:val="1A09BF04"/>
    <w:rsid w:val="1A0FC968"/>
    <w:rsid w:val="1A12C569"/>
    <w:rsid w:val="1A153C81"/>
    <w:rsid w:val="1A170873"/>
    <w:rsid w:val="1A179833"/>
    <w:rsid w:val="1A1A28DE"/>
    <w:rsid w:val="1A1BC00F"/>
    <w:rsid w:val="1A1F15D3"/>
    <w:rsid w:val="1A248588"/>
    <w:rsid w:val="1A263C0D"/>
    <w:rsid w:val="1A263EBC"/>
    <w:rsid w:val="1A2823A2"/>
    <w:rsid w:val="1A2BD6A4"/>
    <w:rsid w:val="1A2C7433"/>
    <w:rsid w:val="1A2D1568"/>
    <w:rsid w:val="1A2FF367"/>
    <w:rsid w:val="1A321EE1"/>
    <w:rsid w:val="1A32A9B8"/>
    <w:rsid w:val="1A348310"/>
    <w:rsid w:val="1A365C29"/>
    <w:rsid w:val="1A3F58C7"/>
    <w:rsid w:val="1A42E2BE"/>
    <w:rsid w:val="1A44082D"/>
    <w:rsid w:val="1A4585E5"/>
    <w:rsid w:val="1A45D7CD"/>
    <w:rsid w:val="1A490145"/>
    <w:rsid w:val="1A4994C4"/>
    <w:rsid w:val="1A4A0819"/>
    <w:rsid w:val="1A4ADC48"/>
    <w:rsid w:val="1A4E2F2C"/>
    <w:rsid w:val="1A518346"/>
    <w:rsid w:val="1A56FB3A"/>
    <w:rsid w:val="1A5C443D"/>
    <w:rsid w:val="1A668183"/>
    <w:rsid w:val="1A6808FB"/>
    <w:rsid w:val="1A6C4131"/>
    <w:rsid w:val="1A70736C"/>
    <w:rsid w:val="1A7638CE"/>
    <w:rsid w:val="1A7983D6"/>
    <w:rsid w:val="1A7D8DB3"/>
    <w:rsid w:val="1A7EA31B"/>
    <w:rsid w:val="1A7F2F6C"/>
    <w:rsid w:val="1A803DB9"/>
    <w:rsid w:val="1A82F111"/>
    <w:rsid w:val="1A831D38"/>
    <w:rsid w:val="1A838ACD"/>
    <w:rsid w:val="1A892298"/>
    <w:rsid w:val="1A8A7FA7"/>
    <w:rsid w:val="1A8B0D05"/>
    <w:rsid w:val="1A8BF289"/>
    <w:rsid w:val="1A904F50"/>
    <w:rsid w:val="1A908F86"/>
    <w:rsid w:val="1A9242E7"/>
    <w:rsid w:val="1A92EB5A"/>
    <w:rsid w:val="1A9316DC"/>
    <w:rsid w:val="1A936D9A"/>
    <w:rsid w:val="1A9483A9"/>
    <w:rsid w:val="1A953BA8"/>
    <w:rsid w:val="1A958E61"/>
    <w:rsid w:val="1A965C53"/>
    <w:rsid w:val="1A9B4EAE"/>
    <w:rsid w:val="1A9DF8F4"/>
    <w:rsid w:val="1A9F1C56"/>
    <w:rsid w:val="1AA342DE"/>
    <w:rsid w:val="1AA5BDA8"/>
    <w:rsid w:val="1AA83F6B"/>
    <w:rsid w:val="1AA84BE8"/>
    <w:rsid w:val="1AA87FFD"/>
    <w:rsid w:val="1AAC533A"/>
    <w:rsid w:val="1AAEC1AE"/>
    <w:rsid w:val="1AAFA8FA"/>
    <w:rsid w:val="1AB04E1F"/>
    <w:rsid w:val="1AB29D0D"/>
    <w:rsid w:val="1AB2B5C9"/>
    <w:rsid w:val="1AB908A0"/>
    <w:rsid w:val="1ABA0CA8"/>
    <w:rsid w:val="1ABC9F2C"/>
    <w:rsid w:val="1ABEDDEB"/>
    <w:rsid w:val="1ABF36B1"/>
    <w:rsid w:val="1AC087CE"/>
    <w:rsid w:val="1AC561AA"/>
    <w:rsid w:val="1ACBC41A"/>
    <w:rsid w:val="1ACF970C"/>
    <w:rsid w:val="1AD07BBC"/>
    <w:rsid w:val="1AD32524"/>
    <w:rsid w:val="1AD3F5DB"/>
    <w:rsid w:val="1AD430B1"/>
    <w:rsid w:val="1AD59973"/>
    <w:rsid w:val="1AD9C89C"/>
    <w:rsid w:val="1ADAFBEB"/>
    <w:rsid w:val="1ADAFF54"/>
    <w:rsid w:val="1ADBABF9"/>
    <w:rsid w:val="1ADBC5E7"/>
    <w:rsid w:val="1ADDF1A1"/>
    <w:rsid w:val="1ADF71A8"/>
    <w:rsid w:val="1AE0FB98"/>
    <w:rsid w:val="1AE3F8D8"/>
    <w:rsid w:val="1AE40DB5"/>
    <w:rsid w:val="1AE46C84"/>
    <w:rsid w:val="1AE66ADC"/>
    <w:rsid w:val="1AE72AC9"/>
    <w:rsid w:val="1AE89C9F"/>
    <w:rsid w:val="1AEFDC4B"/>
    <w:rsid w:val="1AF56001"/>
    <w:rsid w:val="1AFA3420"/>
    <w:rsid w:val="1AFB83A9"/>
    <w:rsid w:val="1AFC1352"/>
    <w:rsid w:val="1B00EB00"/>
    <w:rsid w:val="1B033FEC"/>
    <w:rsid w:val="1B03CCC5"/>
    <w:rsid w:val="1B04FE8D"/>
    <w:rsid w:val="1B0B3CDB"/>
    <w:rsid w:val="1B0C87FF"/>
    <w:rsid w:val="1B0CBFBB"/>
    <w:rsid w:val="1B0F63A1"/>
    <w:rsid w:val="1B157EF0"/>
    <w:rsid w:val="1B193F0F"/>
    <w:rsid w:val="1B1A493E"/>
    <w:rsid w:val="1B1AB077"/>
    <w:rsid w:val="1B1ACBF2"/>
    <w:rsid w:val="1B1D50E9"/>
    <w:rsid w:val="1B1E4D85"/>
    <w:rsid w:val="1B1FF9FD"/>
    <w:rsid w:val="1B2164FD"/>
    <w:rsid w:val="1B25F5BC"/>
    <w:rsid w:val="1B2A69AF"/>
    <w:rsid w:val="1B31D98D"/>
    <w:rsid w:val="1B33481A"/>
    <w:rsid w:val="1B345761"/>
    <w:rsid w:val="1B37DE33"/>
    <w:rsid w:val="1B3925E4"/>
    <w:rsid w:val="1B3B4615"/>
    <w:rsid w:val="1B411949"/>
    <w:rsid w:val="1B436CFC"/>
    <w:rsid w:val="1B4CAF19"/>
    <w:rsid w:val="1B4CBD9F"/>
    <w:rsid w:val="1B4DC747"/>
    <w:rsid w:val="1B506D6E"/>
    <w:rsid w:val="1B528C4A"/>
    <w:rsid w:val="1B55F919"/>
    <w:rsid w:val="1B59BF33"/>
    <w:rsid w:val="1B59DA66"/>
    <w:rsid w:val="1B5D11C6"/>
    <w:rsid w:val="1B602221"/>
    <w:rsid w:val="1B651F76"/>
    <w:rsid w:val="1B67912F"/>
    <w:rsid w:val="1B684D9E"/>
    <w:rsid w:val="1B7099BE"/>
    <w:rsid w:val="1B73A804"/>
    <w:rsid w:val="1B73E12A"/>
    <w:rsid w:val="1B779DCA"/>
    <w:rsid w:val="1B7A1481"/>
    <w:rsid w:val="1B7AFC7B"/>
    <w:rsid w:val="1B7B1FC2"/>
    <w:rsid w:val="1B7DAAF9"/>
    <w:rsid w:val="1B82D79D"/>
    <w:rsid w:val="1B877CBE"/>
    <w:rsid w:val="1B88CF93"/>
    <w:rsid w:val="1B899DD9"/>
    <w:rsid w:val="1B8B249D"/>
    <w:rsid w:val="1B8CD383"/>
    <w:rsid w:val="1B92650A"/>
    <w:rsid w:val="1B952AD7"/>
    <w:rsid w:val="1B97AAFB"/>
    <w:rsid w:val="1B99618E"/>
    <w:rsid w:val="1B9CA620"/>
    <w:rsid w:val="1BA00423"/>
    <w:rsid w:val="1BA07928"/>
    <w:rsid w:val="1BA38D88"/>
    <w:rsid w:val="1BA4B5E1"/>
    <w:rsid w:val="1BAA2F92"/>
    <w:rsid w:val="1BAB1A74"/>
    <w:rsid w:val="1BAD463C"/>
    <w:rsid w:val="1BB0B927"/>
    <w:rsid w:val="1BB47BC2"/>
    <w:rsid w:val="1BB6C7B6"/>
    <w:rsid w:val="1BBBD486"/>
    <w:rsid w:val="1BBBFF6F"/>
    <w:rsid w:val="1BBE05B9"/>
    <w:rsid w:val="1BC0ADB2"/>
    <w:rsid w:val="1BC2A6A0"/>
    <w:rsid w:val="1BC374FA"/>
    <w:rsid w:val="1BC488C6"/>
    <w:rsid w:val="1BCCD703"/>
    <w:rsid w:val="1BD31B8C"/>
    <w:rsid w:val="1BD33806"/>
    <w:rsid w:val="1BD7125F"/>
    <w:rsid w:val="1BDD5297"/>
    <w:rsid w:val="1BE2B602"/>
    <w:rsid w:val="1BE4EA58"/>
    <w:rsid w:val="1BE5676A"/>
    <w:rsid w:val="1BE67BFD"/>
    <w:rsid w:val="1BE738E9"/>
    <w:rsid w:val="1BE82737"/>
    <w:rsid w:val="1BEC97B3"/>
    <w:rsid w:val="1BEE2CF2"/>
    <w:rsid w:val="1BEE6318"/>
    <w:rsid w:val="1BF165AE"/>
    <w:rsid w:val="1BF31FD4"/>
    <w:rsid w:val="1BF347B6"/>
    <w:rsid w:val="1BF62DA6"/>
    <w:rsid w:val="1BF67D07"/>
    <w:rsid w:val="1BF7A641"/>
    <w:rsid w:val="1BF7D382"/>
    <w:rsid w:val="1BF90F75"/>
    <w:rsid w:val="1BFB4FFC"/>
    <w:rsid w:val="1BFC2821"/>
    <w:rsid w:val="1C0046CA"/>
    <w:rsid w:val="1C04A4B4"/>
    <w:rsid w:val="1C07069F"/>
    <w:rsid w:val="1C07BF16"/>
    <w:rsid w:val="1C0C302B"/>
    <w:rsid w:val="1C10F8E9"/>
    <w:rsid w:val="1C115F91"/>
    <w:rsid w:val="1C15225B"/>
    <w:rsid w:val="1C15BE0E"/>
    <w:rsid w:val="1C172598"/>
    <w:rsid w:val="1C1D090E"/>
    <w:rsid w:val="1C2902A8"/>
    <w:rsid w:val="1C2A5D9C"/>
    <w:rsid w:val="1C2AAA5E"/>
    <w:rsid w:val="1C2B3FA7"/>
    <w:rsid w:val="1C2EE42F"/>
    <w:rsid w:val="1C2EF33A"/>
    <w:rsid w:val="1C311823"/>
    <w:rsid w:val="1C33E8D8"/>
    <w:rsid w:val="1C344FE5"/>
    <w:rsid w:val="1C363AB9"/>
    <w:rsid w:val="1C385D82"/>
    <w:rsid w:val="1C41B4AE"/>
    <w:rsid w:val="1C429249"/>
    <w:rsid w:val="1C459618"/>
    <w:rsid w:val="1C48BF12"/>
    <w:rsid w:val="1C4A80F4"/>
    <w:rsid w:val="1C4A9D0A"/>
    <w:rsid w:val="1C4B1D06"/>
    <w:rsid w:val="1C4B1E30"/>
    <w:rsid w:val="1C4C9922"/>
    <w:rsid w:val="1C4DB009"/>
    <w:rsid w:val="1C4F2CB0"/>
    <w:rsid w:val="1C500BB0"/>
    <w:rsid w:val="1C504660"/>
    <w:rsid w:val="1C517DBF"/>
    <w:rsid w:val="1C51A856"/>
    <w:rsid w:val="1C54345D"/>
    <w:rsid w:val="1C55BE87"/>
    <w:rsid w:val="1C5D9167"/>
    <w:rsid w:val="1C5E468F"/>
    <w:rsid w:val="1C5E7EB8"/>
    <w:rsid w:val="1C61CF91"/>
    <w:rsid w:val="1C62D0CF"/>
    <w:rsid w:val="1C630B4D"/>
    <w:rsid w:val="1C65576B"/>
    <w:rsid w:val="1C6A5EF2"/>
    <w:rsid w:val="1C6C73E5"/>
    <w:rsid w:val="1C6C8DBC"/>
    <w:rsid w:val="1C71AA6D"/>
    <w:rsid w:val="1C74A6B5"/>
    <w:rsid w:val="1C8169AA"/>
    <w:rsid w:val="1C86371C"/>
    <w:rsid w:val="1C874224"/>
    <w:rsid w:val="1C892084"/>
    <w:rsid w:val="1C8CE12D"/>
    <w:rsid w:val="1C8CEF66"/>
    <w:rsid w:val="1C9386C7"/>
    <w:rsid w:val="1C949158"/>
    <w:rsid w:val="1C94CFB1"/>
    <w:rsid w:val="1C96B49D"/>
    <w:rsid w:val="1C98A621"/>
    <w:rsid w:val="1C9F7690"/>
    <w:rsid w:val="1C9F90DF"/>
    <w:rsid w:val="1CA1BAF9"/>
    <w:rsid w:val="1CA91C18"/>
    <w:rsid w:val="1CAC55D2"/>
    <w:rsid w:val="1CACB76D"/>
    <w:rsid w:val="1CAF0666"/>
    <w:rsid w:val="1CB48A59"/>
    <w:rsid w:val="1CB4E9F2"/>
    <w:rsid w:val="1CB6B074"/>
    <w:rsid w:val="1CBAFC08"/>
    <w:rsid w:val="1CC1A11F"/>
    <w:rsid w:val="1CC89810"/>
    <w:rsid w:val="1CCA1D56"/>
    <w:rsid w:val="1CCE22BF"/>
    <w:rsid w:val="1CCF9DD5"/>
    <w:rsid w:val="1CCF9FA6"/>
    <w:rsid w:val="1CD13206"/>
    <w:rsid w:val="1CD1BF21"/>
    <w:rsid w:val="1CD42884"/>
    <w:rsid w:val="1CD69AEF"/>
    <w:rsid w:val="1CD98A1D"/>
    <w:rsid w:val="1CDC91F9"/>
    <w:rsid w:val="1CDCB7EA"/>
    <w:rsid w:val="1CE329A9"/>
    <w:rsid w:val="1CE655F0"/>
    <w:rsid w:val="1CE93AA9"/>
    <w:rsid w:val="1CECAA28"/>
    <w:rsid w:val="1CEFC5D7"/>
    <w:rsid w:val="1CF3EF42"/>
    <w:rsid w:val="1CF52FEB"/>
    <w:rsid w:val="1CF5D112"/>
    <w:rsid w:val="1CFA39E7"/>
    <w:rsid w:val="1CFB1F20"/>
    <w:rsid w:val="1D03FA6D"/>
    <w:rsid w:val="1D0699A1"/>
    <w:rsid w:val="1D06A362"/>
    <w:rsid w:val="1D092B48"/>
    <w:rsid w:val="1D0964E5"/>
    <w:rsid w:val="1D0BF518"/>
    <w:rsid w:val="1D0C0305"/>
    <w:rsid w:val="1D10611B"/>
    <w:rsid w:val="1D115783"/>
    <w:rsid w:val="1D1407A4"/>
    <w:rsid w:val="1D14EFBC"/>
    <w:rsid w:val="1D151782"/>
    <w:rsid w:val="1D1A460B"/>
    <w:rsid w:val="1D1B6489"/>
    <w:rsid w:val="1D1BA6E0"/>
    <w:rsid w:val="1D1E55C0"/>
    <w:rsid w:val="1D1FE640"/>
    <w:rsid w:val="1D21CB70"/>
    <w:rsid w:val="1D2A3DCA"/>
    <w:rsid w:val="1D2C7F67"/>
    <w:rsid w:val="1D2EE807"/>
    <w:rsid w:val="1D2F5507"/>
    <w:rsid w:val="1D30BB54"/>
    <w:rsid w:val="1D318974"/>
    <w:rsid w:val="1D34E61D"/>
    <w:rsid w:val="1D370B2A"/>
    <w:rsid w:val="1D3852DF"/>
    <w:rsid w:val="1D3B774E"/>
    <w:rsid w:val="1D3CAA3F"/>
    <w:rsid w:val="1D3CDBD4"/>
    <w:rsid w:val="1D3D14C8"/>
    <w:rsid w:val="1D487F55"/>
    <w:rsid w:val="1D497F8C"/>
    <w:rsid w:val="1D4D6FD6"/>
    <w:rsid w:val="1D53E1F8"/>
    <w:rsid w:val="1D54382A"/>
    <w:rsid w:val="1D54A696"/>
    <w:rsid w:val="1D5530DE"/>
    <w:rsid w:val="1D566F59"/>
    <w:rsid w:val="1D571F89"/>
    <w:rsid w:val="1D580AD5"/>
    <w:rsid w:val="1D5B3E08"/>
    <w:rsid w:val="1D5D8C86"/>
    <w:rsid w:val="1D5E78A9"/>
    <w:rsid w:val="1D6160F9"/>
    <w:rsid w:val="1D634FC0"/>
    <w:rsid w:val="1D6E285E"/>
    <w:rsid w:val="1D6ECDE9"/>
    <w:rsid w:val="1D6FECBC"/>
    <w:rsid w:val="1D701281"/>
    <w:rsid w:val="1D71930A"/>
    <w:rsid w:val="1D72D5E4"/>
    <w:rsid w:val="1D73E0B7"/>
    <w:rsid w:val="1D740F23"/>
    <w:rsid w:val="1D77AFDA"/>
    <w:rsid w:val="1D7B8AC5"/>
    <w:rsid w:val="1D7BC19C"/>
    <w:rsid w:val="1D803C63"/>
    <w:rsid w:val="1D83E398"/>
    <w:rsid w:val="1D847BCA"/>
    <w:rsid w:val="1D8B705A"/>
    <w:rsid w:val="1D8D7950"/>
    <w:rsid w:val="1D8E9C51"/>
    <w:rsid w:val="1D8F8BF8"/>
    <w:rsid w:val="1D9151E7"/>
    <w:rsid w:val="1D92A13C"/>
    <w:rsid w:val="1D949C0B"/>
    <w:rsid w:val="1D969886"/>
    <w:rsid w:val="1D96A211"/>
    <w:rsid w:val="1D96BD00"/>
    <w:rsid w:val="1D973247"/>
    <w:rsid w:val="1D99A7CC"/>
    <w:rsid w:val="1D9AC189"/>
    <w:rsid w:val="1D9D3918"/>
    <w:rsid w:val="1DA14C9D"/>
    <w:rsid w:val="1DA254CF"/>
    <w:rsid w:val="1DA6037B"/>
    <w:rsid w:val="1DA6465F"/>
    <w:rsid w:val="1DA8D9EF"/>
    <w:rsid w:val="1DA90860"/>
    <w:rsid w:val="1DAE4A7E"/>
    <w:rsid w:val="1DAF0DB5"/>
    <w:rsid w:val="1DAFFDF5"/>
    <w:rsid w:val="1DB160E8"/>
    <w:rsid w:val="1DB601F7"/>
    <w:rsid w:val="1DB8C2AA"/>
    <w:rsid w:val="1DB91689"/>
    <w:rsid w:val="1DB98F7F"/>
    <w:rsid w:val="1DBD010B"/>
    <w:rsid w:val="1DBDE2D4"/>
    <w:rsid w:val="1DC0C93B"/>
    <w:rsid w:val="1DC330B9"/>
    <w:rsid w:val="1DC7194C"/>
    <w:rsid w:val="1DCDC6F4"/>
    <w:rsid w:val="1DCDE0CC"/>
    <w:rsid w:val="1DCF1A9D"/>
    <w:rsid w:val="1DD068E1"/>
    <w:rsid w:val="1DD4A877"/>
    <w:rsid w:val="1DD6701C"/>
    <w:rsid w:val="1DDB932E"/>
    <w:rsid w:val="1DDCC209"/>
    <w:rsid w:val="1DDD295C"/>
    <w:rsid w:val="1DDDEB16"/>
    <w:rsid w:val="1DDECC42"/>
    <w:rsid w:val="1DE1FBB9"/>
    <w:rsid w:val="1DE2C37A"/>
    <w:rsid w:val="1DE49DA2"/>
    <w:rsid w:val="1DE6E349"/>
    <w:rsid w:val="1DE90E79"/>
    <w:rsid w:val="1DEDFD3E"/>
    <w:rsid w:val="1DEF3658"/>
    <w:rsid w:val="1DF093EA"/>
    <w:rsid w:val="1DF0CF96"/>
    <w:rsid w:val="1DF0E3A1"/>
    <w:rsid w:val="1DF14DF5"/>
    <w:rsid w:val="1DF68DDF"/>
    <w:rsid w:val="1DFA9E8A"/>
    <w:rsid w:val="1DFCC54E"/>
    <w:rsid w:val="1DFCEB2F"/>
    <w:rsid w:val="1DFD3926"/>
    <w:rsid w:val="1E0503E5"/>
    <w:rsid w:val="1E057ABB"/>
    <w:rsid w:val="1E063573"/>
    <w:rsid w:val="1E069843"/>
    <w:rsid w:val="1E078522"/>
    <w:rsid w:val="1E0A121D"/>
    <w:rsid w:val="1E0E53EA"/>
    <w:rsid w:val="1E0F5566"/>
    <w:rsid w:val="1E102B11"/>
    <w:rsid w:val="1E153C00"/>
    <w:rsid w:val="1E171DAC"/>
    <w:rsid w:val="1E175597"/>
    <w:rsid w:val="1E18735B"/>
    <w:rsid w:val="1E188AE6"/>
    <w:rsid w:val="1E212BF7"/>
    <w:rsid w:val="1E237926"/>
    <w:rsid w:val="1E24AF7C"/>
    <w:rsid w:val="1E25BD31"/>
    <w:rsid w:val="1E26C164"/>
    <w:rsid w:val="1E279920"/>
    <w:rsid w:val="1E27A6B3"/>
    <w:rsid w:val="1E282472"/>
    <w:rsid w:val="1E293992"/>
    <w:rsid w:val="1E2B3FC8"/>
    <w:rsid w:val="1E2FD1D2"/>
    <w:rsid w:val="1E317BCB"/>
    <w:rsid w:val="1E32D037"/>
    <w:rsid w:val="1E380577"/>
    <w:rsid w:val="1E38DC65"/>
    <w:rsid w:val="1E3E232A"/>
    <w:rsid w:val="1E3FD76A"/>
    <w:rsid w:val="1E41403C"/>
    <w:rsid w:val="1E4512F2"/>
    <w:rsid w:val="1E464DF7"/>
    <w:rsid w:val="1E4BDEF9"/>
    <w:rsid w:val="1E514AFD"/>
    <w:rsid w:val="1E53AF96"/>
    <w:rsid w:val="1E54005D"/>
    <w:rsid w:val="1E57121E"/>
    <w:rsid w:val="1E58EAEF"/>
    <w:rsid w:val="1E5A13FD"/>
    <w:rsid w:val="1E5B59BC"/>
    <w:rsid w:val="1E5D9011"/>
    <w:rsid w:val="1E5D9EA3"/>
    <w:rsid w:val="1E5F2FB6"/>
    <w:rsid w:val="1E6148ED"/>
    <w:rsid w:val="1E657BA4"/>
    <w:rsid w:val="1E685C1A"/>
    <w:rsid w:val="1E6FB4DF"/>
    <w:rsid w:val="1E7086B0"/>
    <w:rsid w:val="1E70ABB9"/>
    <w:rsid w:val="1E7474D8"/>
    <w:rsid w:val="1E74BC8A"/>
    <w:rsid w:val="1E7DE776"/>
    <w:rsid w:val="1E7E0874"/>
    <w:rsid w:val="1E7FCEF9"/>
    <w:rsid w:val="1E841899"/>
    <w:rsid w:val="1E861E4F"/>
    <w:rsid w:val="1E868C1D"/>
    <w:rsid w:val="1E871AEF"/>
    <w:rsid w:val="1E89C303"/>
    <w:rsid w:val="1E8A4CF7"/>
    <w:rsid w:val="1E8F3343"/>
    <w:rsid w:val="1E8F61F2"/>
    <w:rsid w:val="1E91BED3"/>
    <w:rsid w:val="1E93F5E1"/>
    <w:rsid w:val="1E94A9DF"/>
    <w:rsid w:val="1E961CA1"/>
    <w:rsid w:val="1E98EF0C"/>
    <w:rsid w:val="1E9CF9F2"/>
    <w:rsid w:val="1E9F0743"/>
    <w:rsid w:val="1EA56E5B"/>
    <w:rsid w:val="1EA6FA68"/>
    <w:rsid w:val="1EA82F6C"/>
    <w:rsid w:val="1EAA556E"/>
    <w:rsid w:val="1EAF0E56"/>
    <w:rsid w:val="1EB22C16"/>
    <w:rsid w:val="1EB53BCB"/>
    <w:rsid w:val="1EB5807F"/>
    <w:rsid w:val="1EB71254"/>
    <w:rsid w:val="1EB81A46"/>
    <w:rsid w:val="1EBA031E"/>
    <w:rsid w:val="1EBAA226"/>
    <w:rsid w:val="1EBC5D9B"/>
    <w:rsid w:val="1EBD886C"/>
    <w:rsid w:val="1EC0B8E9"/>
    <w:rsid w:val="1EC35032"/>
    <w:rsid w:val="1EC3CAAD"/>
    <w:rsid w:val="1EC84DD2"/>
    <w:rsid w:val="1EC8F05F"/>
    <w:rsid w:val="1ECAE6FE"/>
    <w:rsid w:val="1ECB9228"/>
    <w:rsid w:val="1ED258A7"/>
    <w:rsid w:val="1ED44A3F"/>
    <w:rsid w:val="1ED68EF0"/>
    <w:rsid w:val="1EDA13EB"/>
    <w:rsid w:val="1EDA1879"/>
    <w:rsid w:val="1EDB1649"/>
    <w:rsid w:val="1EE13C3A"/>
    <w:rsid w:val="1EE15D99"/>
    <w:rsid w:val="1EE1ECCA"/>
    <w:rsid w:val="1EE329CD"/>
    <w:rsid w:val="1EE35FDA"/>
    <w:rsid w:val="1EEBCDC4"/>
    <w:rsid w:val="1EEC536B"/>
    <w:rsid w:val="1EECE5C8"/>
    <w:rsid w:val="1EF16002"/>
    <w:rsid w:val="1EF1663A"/>
    <w:rsid w:val="1EF31A14"/>
    <w:rsid w:val="1EF3B32F"/>
    <w:rsid w:val="1EF58514"/>
    <w:rsid w:val="1EF5E108"/>
    <w:rsid w:val="1EF726B4"/>
    <w:rsid w:val="1F014F67"/>
    <w:rsid w:val="1F0FF498"/>
    <w:rsid w:val="1F1308CD"/>
    <w:rsid w:val="1F1589B7"/>
    <w:rsid w:val="1F161A98"/>
    <w:rsid w:val="1F16AD01"/>
    <w:rsid w:val="1F171B9E"/>
    <w:rsid w:val="1F17AF0E"/>
    <w:rsid w:val="1F17CA33"/>
    <w:rsid w:val="1F18CF41"/>
    <w:rsid w:val="1F20587F"/>
    <w:rsid w:val="1F211C56"/>
    <w:rsid w:val="1F245E2F"/>
    <w:rsid w:val="1F24B44E"/>
    <w:rsid w:val="1F27374D"/>
    <w:rsid w:val="1F287A79"/>
    <w:rsid w:val="1F2CDD71"/>
    <w:rsid w:val="1F2E7CC4"/>
    <w:rsid w:val="1F309228"/>
    <w:rsid w:val="1F341474"/>
    <w:rsid w:val="1F361DA5"/>
    <w:rsid w:val="1F367D07"/>
    <w:rsid w:val="1F39F6F2"/>
    <w:rsid w:val="1F3D1076"/>
    <w:rsid w:val="1F3D25C0"/>
    <w:rsid w:val="1F3DF6F8"/>
    <w:rsid w:val="1F3F2D46"/>
    <w:rsid w:val="1F40EBB9"/>
    <w:rsid w:val="1F445FA1"/>
    <w:rsid w:val="1F4536B0"/>
    <w:rsid w:val="1F453954"/>
    <w:rsid w:val="1F463395"/>
    <w:rsid w:val="1F484383"/>
    <w:rsid w:val="1F4A3A92"/>
    <w:rsid w:val="1F4A4771"/>
    <w:rsid w:val="1F4B8BEE"/>
    <w:rsid w:val="1F4BA728"/>
    <w:rsid w:val="1F4BF6EF"/>
    <w:rsid w:val="1F4E5A6F"/>
    <w:rsid w:val="1F4FCE37"/>
    <w:rsid w:val="1F54BD6F"/>
    <w:rsid w:val="1F5ABD01"/>
    <w:rsid w:val="1F634876"/>
    <w:rsid w:val="1F65AF63"/>
    <w:rsid w:val="1F669CE8"/>
    <w:rsid w:val="1F66FE0A"/>
    <w:rsid w:val="1F67359B"/>
    <w:rsid w:val="1F67C3E3"/>
    <w:rsid w:val="1F69271C"/>
    <w:rsid w:val="1F6D3896"/>
    <w:rsid w:val="1F6D3E80"/>
    <w:rsid w:val="1F6D533F"/>
    <w:rsid w:val="1F6FF4EF"/>
    <w:rsid w:val="1F717506"/>
    <w:rsid w:val="1F71ADBC"/>
    <w:rsid w:val="1F7436DA"/>
    <w:rsid w:val="1F749AFB"/>
    <w:rsid w:val="1F774354"/>
    <w:rsid w:val="1F7968AB"/>
    <w:rsid w:val="1F7AD46A"/>
    <w:rsid w:val="1F7E0E8B"/>
    <w:rsid w:val="1F7F81C6"/>
    <w:rsid w:val="1F7FB7AD"/>
    <w:rsid w:val="1F81B3E0"/>
    <w:rsid w:val="1F82679B"/>
    <w:rsid w:val="1F855F05"/>
    <w:rsid w:val="1F861C26"/>
    <w:rsid w:val="1F8D47C6"/>
    <w:rsid w:val="1F927524"/>
    <w:rsid w:val="1F92CE1D"/>
    <w:rsid w:val="1F9752A5"/>
    <w:rsid w:val="1F9921AD"/>
    <w:rsid w:val="1F9BA38C"/>
    <w:rsid w:val="1F9CCD55"/>
    <w:rsid w:val="1F9D9643"/>
    <w:rsid w:val="1F9F29A4"/>
    <w:rsid w:val="1FA080C6"/>
    <w:rsid w:val="1FA51C34"/>
    <w:rsid w:val="1FAA912A"/>
    <w:rsid w:val="1FABDD8F"/>
    <w:rsid w:val="1FAD23BA"/>
    <w:rsid w:val="1FAE4C3F"/>
    <w:rsid w:val="1FB2E775"/>
    <w:rsid w:val="1FB3BB5D"/>
    <w:rsid w:val="1FB4BEA9"/>
    <w:rsid w:val="1FB569FA"/>
    <w:rsid w:val="1FB5E3B2"/>
    <w:rsid w:val="1FB875C0"/>
    <w:rsid w:val="1FB8D0E2"/>
    <w:rsid w:val="1FBA7416"/>
    <w:rsid w:val="1FBF0533"/>
    <w:rsid w:val="1FBF7E77"/>
    <w:rsid w:val="1FC28C94"/>
    <w:rsid w:val="1FC58D5B"/>
    <w:rsid w:val="1FC5F6E3"/>
    <w:rsid w:val="1FC63EC5"/>
    <w:rsid w:val="1FC7B473"/>
    <w:rsid w:val="1FC7F7EF"/>
    <w:rsid w:val="1FCBEEF3"/>
    <w:rsid w:val="1FD689D1"/>
    <w:rsid w:val="1FD80952"/>
    <w:rsid w:val="1FDED3EE"/>
    <w:rsid w:val="1FE1FA45"/>
    <w:rsid w:val="1FE2732A"/>
    <w:rsid w:val="1FE2B567"/>
    <w:rsid w:val="1FE340A9"/>
    <w:rsid w:val="1FE646EA"/>
    <w:rsid w:val="1FE6F705"/>
    <w:rsid w:val="1FE75505"/>
    <w:rsid w:val="1FE8B4ED"/>
    <w:rsid w:val="1FEA3E79"/>
    <w:rsid w:val="1FEBB738"/>
    <w:rsid w:val="1FEBBCD2"/>
    <w:rsid w:val="1FEBF880"/>
    <w:rsid w:val="1FEC6DBB"/>
    <w:rsid w:val="1FF10B81"/>
    <w:rsid w:val="1FF1ADB1"/>
    <w:rsid w:val="1FF20A5E"/>
    <w:rsid w:val="1FF2307B"/>
    <w:rsid w:val="1FF3E635"/>
    <w:rsid w:val="1FF46E4C"/>
    <w:rsid w:val="1FF472C7"/>
    <w:rsid w:val="1FFA0D71"/>
    <w:rsid w:val="1FFCF6B0"/>
    <w:rsid w:val="1FFDC4A6"/>
    <w:rsid w:val="1FFE1664"/>
    <w:rsid w:val="2000BB34"/>
    <w:rsid w:val="2003D015"/>
    <w:rsid w:val="20058DE3"/>
    <w:rsid w:val="2009077A"/>
    <w:rsid w:val="200E3078"/>
    <w:rsid w:val="2017F4FE"/>
    <w:rsid w:val="2019BE9D"/>
    <w:rsid w:val="201ACD1F"/>
    <w:rsid w:val="201C5A70"/>
    <w:rsid w:val="201DA0D9"/>
    <w:rsid w:val="201FABDC"/>
    <w:rsid w:val="20226A1F"/>
    <w:rsid w:val="20274010"/>
    <w:rsid w:val="202E19F8"/>
    <w:rsid w:val="202F3C00"/>
    <w:rsid w:val="202FD98A"/>
    <w:rsid w:val="2032087D"/>
    <w:rsid w:val="20346920"/>
    <w:rsid w:val="20349CEF"/>
    <w:rsid w:val="203662C5"/>
    <w:rsid w:val="2037497B"/>
    <w:rsid w:val="203C339A"/>
    <w:rsid w:val="203D2650"/>
    <w:rsid w:val="20469A41"/>
    <w:rsid w:val="2048BC15"/>
    <w:rsid w:val="204B0570"/>
    <w:rsid w:val="204E0280"/>
    <w:rsid w:val="204F82CE"/>
    <w:rsid w:val="2055B082"/>
    <w:rsid w:val="2055F2E0"/>
    <w:rsid w:val="20560A1B"/>
    <w:rsid w:val="20580F84"/>
    <w:rsid w:val="2059ADF9"/>
    <w:rsid w:val="205B6CEC"/>
    <w:rsid w:val="2062A5F6"/>
    <w:rsid w:val="2063B973"/>
    <w:rsid w:val="2064E240"/>
    <w:rsid w:val="20689839"/>
    <w:rsid w:val="206909B7"/>
    <w:rsid w:val="206A1947"/>
    <w:rsid w:val="206FD009"/>
    <w:rsid w:val="2070A689"/>
    <w:rsid w:val="2071C796"/>
    <w:rsid w:val="20752FAA"/>
    <w:rsid w:val="2078F776"/>
    <w:rsid w:val="207994B5"/>
    <w:rsid w:val="207B3316"/>
    <w:rsid w:val="207BB98D"/>
    <w:rsid w:val="207CD73D"/>
    <w:rsid w:val="207EBC0B"/>
    <w:rsid w:val="207FAD2C"/>
    <w:rsid w:val="2081C967"/>
    <w:rsid w:val="20825C5A"/>
    <w:rsid w:val="2084C3C1"/>
    <w:rsid w:val="2085D18B"/>
    <w:rsid w:val="2088DE49"/>
    <w:rsid w:val="20892FD3"/>
    <w:rsid w:val="208E80DB"/>
    <w:rsid w:val="20924134"/>
    <w:rsid w:val="2096C8C6"/>
    <w:rsid w:val="20991015"/>
    <w:rsid w:val="20A11BBC"/>
    <w:rsid w:val="20A333A8"/>
    <w:rsid w:val="20A5AECA"/>
    <w:rsid w:val="20A69226"/>
    <w:rsid w:val="20A7AA2A"/>
    <w:rsid w:val="20ABBDF2"/>
    <w:rsid w:val="20ACBF3C"/>
    <w:rsid w:val="20B069E7"/>
    <w:rsid w:val="20B19A96"/>
    <w:rsid w:val="20B3833F"/>
    <w:rsid w:val="20B4AE8B"/>
    <w:rsid w:val="20B5CA82"/>
    <w:rsid w:val="20BC7B20"/>
    <w:rsid w:val="20C030F9"/>
    <w:rsid w:val="20C646F7"/>
    <w:rsid w:val="20D1D589"/>
    <w:rsid w:val="20D510F5"/>
    <w:rsid w:val="20D7F687"/>
    <w:rsid w:val="20DA198C"/>
    <w:rsid w:val="20DBD21D"/>
    <w:rsid w:val="20DC38CA"/>
    <w:rsid w:val="20DDAD54"/>
    <w:rsid w:val="20E0A298"/>
    <w:rsid w:val="20E6C0F5"/>
    <w:rsid w:val="20E77D22"/>
    <w:rsid w:val="20EAF02D"/>
    <w:rsid w:val="20ECCB91"/>
    <w:rsid w:val="20EF6735"/>
    <w:rsid w:val="20F4D94C"/>
    <w:rsid w:val="20F734C0"/>
    <w:rsid w:val="20F8714B"/>
    <w:rsid w:val="20F8E896"/>
    <w:rsid w:val="20F988A8"/>
    <w:rsid w:val="20FB3E13"/>
    <w:rsid w:val="20FC5E92"/>
    <w:rsid w:val="2101D76E"/>
    <w:rsid w:val="21039FBE"/>
    <w:rsid w:val="2108DEEA"/>
    <w:rsid w:val="210A3E4F"/>
    <w:rsid w:val="210C42C9"/>
    <w:rsid w:val="210F6368"/>
    <w:rsid w:val="2110C940"/>
    <w:rsid w:val="211177D8"/>
    <w:rsid w:val="211375C0"/>
    <w:rsid w:val="2116449A"/>
    <w:rsid w:val="21197B09"/>
    <w:rsid w:val="211B04A3"/>
    <w:rsid w:val="211EC56F"/>
    <w:rsid w:val="211F86A8"/>
    <w:rsid w:val="211FBADB"/>
    <w:rsid w:val="212091C5"/>
    <w:rsid w:val="21225683"/>
    <w:rsid w:val="2123314A"/>
    <w:rsid w:val="212575ED"/>
    <w:rsid w:val="2126AC0B"/>
    <w:rsid w:val="21285CFE"/>
    <w:rsid w:val="212B9242"/>
    <w:rsid w:val="212DE6D8"/>
    <w:rsid w:val="212FC3FC"/>
    <w:rsid w:val="2132C466"/>
    <w:rsid w:val="213977C6"/>
    <w:rsid w:val="213B3B0F"/>
    <w:rsid w:val="2140EF69"/>
    <w:rsid w:val="2143A768"/>
    <w:rsid w:val="2143CD6A"/>
    <w:rsid w:val="2144837B"/>
    <w:rsid w:val="21466ABE"/>
    <w:rsid w:val="21479EBD"/>
    <w:rsid w:val="21498AB4"/>
    <w:rsid w:val="2149E188"/>
    <w:rsid w:val="214AB8FF"/>
    <w:rsid w:val="214F9C22"/>
    <w:rsid w:val="21530DE2"/>
    <w:rsid w:val="215425F0"/>
    <w:rsid w:val="215604BF"/>
    <w:rsid w:val="21563B2E"/>
    <w:rsid w:val="215AA71D"/>
    <w:rsid w:val="215B03F9"/>
    <w:rsid w:val="215CDD59"/>
    <w:rsid w:val="215D99E6"/>
    <w:rsid w:val="215EE9B3"/>
    <w:rsid w:val="215F8315"/>
    <w:rsid w:val="21600C77"/>
    <w:rsid w:val="21606BA7"/>
    <w:rsid w:val="21610F96"/>
    <w:rsid w:val="2168C398"/>
    <w:rsid w:val="216B7B1B"/>
    <w:rsid w:val="216C0026"/>
    <w:rsid w:val="216C06A3"/>
    <w:rsid w:val="216C94ED"/>
    <w:rsid w:val="216F8919"/>
    <w:rsid w:val="21769AA8"/>
    <w:rsid w:val="2177E4E4"/>
    <w:rsid w:val="217C76FC"/>
    <w:rsid w:val="21825DB1"/>
    <w:rsid w:val="2183D029"/>
    <w:rsid w:val="2186C627"/>
    <w:rsid w:val="218752D0"/>
    <w:rsid w:val="21877F37"/>
    <w:rsid w:val="218B3533"/>
    <w:rsid w:val="218E60A0"/>
    <w:rsid w:val="218F2B8A"/>
    <w:rsid w:val="2193096B"/>
    <w:rsid w:val="21932A75"/>
    <w:rsid w:val="2193BAA3"/>
    <w:rsid w:val="21998D93"/>
    <w:rsid w:val="219C3029"/>
    <w:rsid w:val="219E69C5"/>
    <w:rsid w:val="219F0C8E"/>
    <w:rsid w:val="219F5888"/>
    <w:rsid w:val="21A12104"/>
    <w:rsid w:val="21A1A0E3"/>
    <w:rsid w:val="21A2A273"/>
    <w:rsid w:val="21A46130"/>
    <w:rsid w:val="21A508F8"/>
    <w:rsid w:val="21A59C0E"/>
    <w:rsid w:val="21A68411"/>
    <w:rsid w:val="21A9C0AB"/>
    <w:rsid w:val="21AA3A64"/>
    <w:rsid w:val="21AB3FF3"/>
    <w:rsid w:val="21ADA488"/>
    <w:rsid w:val="21B025AC"/>
    <w:rsid w:val="21B1F12F"/>
    <w:rsid w:val="21B4801C"/>
    <w:rsid w:val="21B61458"/>
    <w:rsid w:val="21B7248A"/>
    <w:rsid w:val="21B9497E"/>
    <w:rsid w:val="21BAEBD3"/>
    <w:rsid w:val="21BB6239"/>
    <w:rsid w:val="21C5BF83"/>
    <w:rsid w:val="21C5E31F"/>
    <w:rsid w:val="21C81451"/>
    <w:rsid w:val="21C8A918"/>
    <w:rsid w:val="21CA6B9C"/>
    <w:rsid w:val="21CF6964"/>
    <w:rsid w:val="21D52547"/>
    <w:rsid w:val="21D5BA9C"/>
    <w:rsid w:val="21D994D3"/>
    <w:rsid w:val="21DCFBEB"/>
    <w:rsid w:val="21DE37B6"/>
    <w:rsid w:val="21E083AD"/>
    <w:rsid w:val="21E8F98A"/>
    <w:rsid w:val="21E9FC7B"/>
    <w:rsid w:val="21EC6F38"/>
    <w:rsid w:val="21ECCC14"/>
    <w:rsid w:val="21F141FA"/>
    <w:rsid w:val="21F183B6"/>
    <w:rsid w:val="21FAC572"/>
    <w:rsid w:val="21FB2DBD"/>
    <w:rsid w:val="21FC8FF1"/>
    <w:rsid w:val="21FD9887"/>
    <w:rsid w:val="21FDCEF3"/>
    <w:rsid w:val="21FDE17F"/>
    <w:rsid w:val="22001563"/>
    <w:rsid w:val="22006B56"/>
    <w:rsid w:val="2201C066"/>
    <w:rsid w:val="2201E018"/>
    <w:rsid w:val="220572D9"/>
    <w:rsid w:val="22061E96"/>
    <w:rsid w:val="2206B21C"/>
    <w:rsid w:val="2209D17A"/>
    <w:rsid w:val="2209F57B"/>
    <w:rsid w:val="220C59F2"/>
    <w:rsid w:val="220CAB1C"/>
    <w:rsid w:val="220D06AB"/>
    <w:rsid w:val="2210095A"/>
    <w:rsid w:val="22140E6C"/>
    <w:rsid w:val="221832BE"/>
    <w:rsid w:val="2219B525"/>
    <w:rsid w:val="221DF2D0"/>
    <w:rsid w:val="22227189"/>
    <w:rsid w:val="222363FB"/>
    <w:rsid w:val="222599A7"/>
    <w:rsid w:val="2229D44D"/>
    <w:rsid w:val="222EA1BB"/>
    <w:rsid w:val="22342288"/>
    <w:rsid w:val="223625C7"/>
    <w:rsid w:val="2239237A"/>
    <w:rsid w:val="22393C5E"/>
    <w:rsid w:val="223CA68D"/>
    <w:rsid w:val="223CAF4F"/>
    <w:rsid w:val="223FEE13"/>
    <w:rsid w:val="2240A10F"/>
    <w:rsid w:val="2245A2BD"/>
    <w:rsid w:val="22463073"/>
    <w:rsid w:val="22544ECA"/>
    <w:rsid w:val="22574D97"/>
    <w:rsid w:val="2258E5C6"/>
    <w:rsid w:val="225B109D"/>
    <w:rsid w:val="2265D08E"/>
    <w:rsid w:val="2269D613"/>
    <w:rsid w:val="226A0D4F"/>
    <w:rsid w:val="226A1E72"/>
    <w:rsid w:val="226B13CE"/>
    <w:rsid w:val="226B38C6"/>
    <w:rsid w:val="226C7561"/>
    <w:rsid w:val="226C7A7B"/>
    <w:rsid w:val="226CD770"/>
    <w:rsid w:val="226D1BC9"/>
    <w:rsid w:val="226ED3CA"/>
    <w:rsid w:val="22709046"/>
    <w:rsid w:val="2271C3C8"/>
    <w:rsid w:val="227259C9"/>
    <w:rsid w:val="2273B3AA"/>
    <w:rsid w:val="22775435"/>
    <w:rsid w:val="2278DABC"/>
    <w:rsid w:val="227912EB"/>
    <w:rsid w:val="22861632"/>
    <w:rsid w:val="228DA7A6"/>
    <w:rsid w:val="228E5261"/>
    <w:rsid w:val="228F0FCA"/>
    <w:rsid w:val="229157F4"/>
    <w:rsid w:val="2291E4E4"/>
    <w:rsid w:val="2291F8F1"/>
    <w:rsid w:val="2292BBA7"/>
    <w:rsid w:val="22945CB2"/>
    <w:rsid w:val="22961C5B"/>
    <w:rsid w:val="2297ECFB"/>
    <w:rsid w:val="22981683"/>
    <w:rsid w:val="2298B183"/>
    <w:rsid w:val="22997836"/>
    <w:rsid w:val="2299AC1C"/>
    <w:rsid w:val="229ECEBE"/>
    <w:rsid w:val="229F998B"/>
    <w:rsid w:val="22A09B93"/>
    <w:rsid w:val="22A0F71C"/>
    <w:rsid w:val="22A66157"/>
    <w:rsid w:val="22A67C87"/>
    <w:rsid w:val="22B289B4"/>
    <w:rsid w:val="22B4AFFC"/>
    <w:rsid w:val="22B5D0AC"/>
    <w:rsid w:val="22B71A70"/>
    <w:rsid w:val="22B83A30"/>
    <w:rsid w:val="22B9FA68"/>
    <w:rsid w:val="22BB2550"/>
    <w:rsid w:val="22BC9C18"/>
    <w:rsid w:val="22BDC199"/>
    <w:rsid w:val="22BFB3AC"/>
    <w:rsid w:val="22C0842D"/>
    <w:rsid w:val="22C4EC2F"/>
    <w:rsid w:val="22C55870"/>
    <w:rsid w:val="22C5F976"/>
    <w:rsid w:val="22CD12B7"/>
    <w:rsid w:val="22CEAC86"/>
    <w:rsid w:val="22D03C5D"/>
    <w:rsid w:val="22D242C6"/>
    <w:rsid w:val="22D2CAC4"/>
    <w:rsid w:val="22D34221"/>
    <w:rsid w:val="22D3F4E8"/>
    <w:rsid w:val="22D4F17F"/>
    <w:rsid w:val="22DAACE4"/>
    <w:rsid w:val="22DAEDAB"/>
    <w:rsid w:val="22DB1753"/>
    <w:rsid w:val="22DC36AC"/>
    <w:rsid w:val="22DCFCC5"/>
    <w:rsid w:val="22DE574D"/>
    <w:rsid w:val="22DF6E01"/>
    <w:rsid w:val="22E4CC22"/>
    <w:rsid w:val="22EED87C"/>
    <w:rsid w:val="22EFD394"/>
    <w:rsid w:val="22F53571"/>
    <w:rsid w:val="22F58638"/>
    <w:rsid w:val="22F9AD5C"/>
    <w:rsid w:val="22FC7384"/>
    <w:rsid w:val="22FCB195"/>
    <w:rsid w:val="22FD59D0"/>
    <w:rsid w:val="23003185"/>
    <w:rsid w:val="23014109"/>
    <w:rsid w:val="2303D325"/>
    <w:rsid w:val="2306EC64"/>
    <w:rsid w:val="2309B6F3"/>
    <w:rsid w:val="23105C98"/>
    <w:rsid w:val="231158C9"/>
    <w:rsid w:val="23141AF5"/>
    <w:rsid w:val="2315388D"/>
    <w:rsid w:val="231561F5"/>
    <w:rsid w:val="23174EB3"/>
    <w:rsid w:val="231B6ABB"/>
    <w:rsid w:val="231B85C0"/>
    <w:rsid w:val="231EE9EB"/>
    <w:rsid w:val="23204DA9"/>
    <w:rsid w:val="23248767"/>
    <w:rsid w:val="2325C26B"/>
    <w:rsid w:val="232995CC"/>
    <w:rsid w:val="23394CD6"/>
    <w:rsid w:val="233B1E49"/>
    <w:rsid w:val="233D9C58"/>
    <w:rsid w:val="233ECF31"/>
    <w:rsid w:val="233EF1AF"/>
    <w:rsid w:val="2347EEC3"/>
    <w:rsid w:val="234A6696"/>
    <w:rsid w:val="234BC14B"/>
    <w:rsid w:val="234C6433"/>
    <w:rsid w:val="234C96FB"/>
    <w:rsid w:val="234F14F4"/>
    <w:rsid w:val="234F32E6"/>
    <w:rsid w:val="2351B31E"/>
    <w:rsid w:val="2352E2D3"/>
    <w:rsid w:val="2353EC36"/>
    <w:rsid w:val="23582E82"/>
    <w:rsid w:val="2359800B"/>
    <w:rsid w:val="235D3106"/>
    <w:rsid w:val="235FA367"/>
    <w:rsid w:val="23608A03"/>
    <w:rsid w:val="2362A22A"/>
    <w:rsid w:val="23632FDF"/>
    <w:rsid w:val="2369B62E"/>
    <w:rsid w:val="236D8899"/>
    <w:rsid w:val="2370A7B9"/>
    <w:rsid w:val="2370E90A"/>
    <w:rsid w:val="23716EDE"/>
    <w:rsid w:val="237354B9"/>
    <w:rsid w:val="2377A79A"/>
    <w:rsid w:val="2379A97E"/>
    <w:rsid w:val="237A5F68"/>
    <w:rsid w:val="237A653E"/>
    <w:rsid w:val="237B690B"/>
    <w:rsid w:val="237E57B6"/>
    <w:rsid w:val="23852DDF"/>
    <w:rsid w:val="2385C70F"/>
    <w:rsid w:val="2387409B"/>
    <w:rsid w:val="2387D182"/>
    <w:rsid w:val="2388460C"/>
    <w:rsid w:val="23893EB4"/>
    <w:rsid w:val="238A8C25"/>
    <w:rsid w:val="238F628B"/>
    <w:rsid w:val="238FB6C1"/>
    <w:rsid w:val="239120AB"/>
    <w:rsid w:val="23983619"/>
    <w:rsid w:val="239F0ADD"/>
    <w:rsid w:val="239F2325"/>
    <w:rsid w:val="23A00FFC"/>
    <w:rsid w:val="23A02D27"/>
    <w:rsid w:val="23A801A2"/>
    <w:rsid w:val="23A8ACB4"/>
    <w:rsid w:val="23A95B5E"/>
    <w:rsid w:val="23A9997D"/>
    <w:rsid w:val="23ADA2F7"/>
    <w:rsid w:val="23ADDFFD"/>
    <w:rsid w:val="23AF5CAC"/>
    <w:rsid w:val="23B39507"/>
    <w:rsid w:val="23B4013C"/>
    <w:rsid w:val="23B49BD4"/>
    <w:rsid w:val="23B67754"/>
    <w:rsid w:val="23B72228"/>
    <w:rsid w:val="23B7EA0E"/>
    <w:rsid w:val="23B8208D"/>
    <w:rsid w:val="23B8255F"/>
    <w:rsid w:val="23B867FF"/>
    <w:rsid w:val="23BA472C"/>
    <w:rsid w:val="23BB5C26"/>
    <w:rsid w:val="23BC4FFA"/>
    <w:rsid w:val="23BD2F35"/>
    <w:rsid w:val="23BF5C7C"/>
    <w:rsid w:val="23C3E746"/>
    <w:rsid w:val="23C4EDA1"/>
    <w:rsid w:val="23C87604"/>
    <w:rsid w:val="23CBC865"/>
    <w:rsid w:val="23CDAA0D"/>
    <w:rsid w:val="23CE936E"/>
    <w:rsid w:val="23CEEAE6"/>
    <w:rsid w:val="23CFF175"/>
    <w:rsid w:val="23D08DAC"/>
    <w:rsid w:val="23D560C0"/>
    <w:rsid w:val="23D7CAEE"/>
    <w:rsid w:val="23DC2CA2"/>
    <w:rsid w:val="23DC3A7A"/>
    <w:rsid w:val="23DF48AF"/>
    <w:rsid w:val="23E177C1"/>
    <w:rsid w:val="23E38A25"/>
    <w:rsid w:val="23E6D086"/>
    <w:rsid w:val="23E8905E"/>
    <w:rsid w:val="23E8EE34"/>
    <w:rsid w:val="23E95E94"/>
    <w:rsid w:val="23EADF3A"/>
    <w:rsid w:val="23F72224"/>
    <w:rsid w:val="23FA87EF"/>
    <w:rsid w:val="23FB9166"/>
    <w:rsid w:val="23FFBEE7"/>
    <w:rsid w:val="2402BB18"/>
    <w:rsid w:val="240453A0"/>
    <w:rsid w:val="2405EF13"/>
    <w:rsid w:val="2405F476"/>
    <w:rsid w:val="240BB551"/>
    <w:rsid w:val="240C6F85"/>
    <w:rsid w:val="240CF0FE"/>
    <w:rsid w:val="2413967D"/>
    <w:rsid w:val="241B304C"/>
    <w:rsid w:val="241BCCC1"/>
    <w:rsid w:val="241CAC89"/>
    <w:rsid w:val="241D4028"/>
    <w:rsid w:val="241DD1DA"/>
    <w:rsid w:val="241DEB9C"/>
    <w:rsid w:val="2421E82A"/>
    <w:rsid w:val="2422A646"/>
    <w:rsid w:val="242333D7"/>
    <w:rsid w:val="2428A9A9"/>
    <w:rsid w:val="2428CDF1"/>
    <w:rsid w:val="242A2676"/>
    <w:rsid w:val="242B83BD"/>
    <w:rsid w:val="242E390F"/>
    <w:rsid w:val="24323E5E"/>
    <w:rsid w:val="2437BCDF"/>
    <w:rsid w:val="2438EDBF"/>
    <w:rsid w:val="243B5E08"/>
    <w:rsid w:val="243C3634"/>
    <w:rsid w:val="243D2BAB"/>
    <w:rsid w:val="243DCCAA"/>
    <w:rsid w:val="24412036"/>
    <w:rsid w:val="244615AE"/>
    <w:rsid w:val="24463622"/>
    <w:rsid w:val="24465E21"/>
    <w:rsid w:val="244812B8"/>
    <w:rsid w:val="24492989"/>
    <w:rsid w:val="244AC966"/>
    <w:rsid w:val="244E5AC9"/>
    <w:rsid w:val="24503137"/>
    <w:rsid w:val="245069E7"/>
    <w:rsid w:val="24514786"/>
    <w:rsid w:val="245280B1"/>
    <w:rsid w:val="245284D1"/>
    <w:rsid w:val="2452D699"/>
    <w:rsid w:val="2457409A"/>
    <w:rsid w:val="2457BE13"/>
    <w:rsid w:val="2459F5CA"/>
    <w:rsid w:val="245C60EC"/>
    <w:rsid w:val="245F01B0"/>
    <w:rsid w:val="24622B9F"/>
    <w:rsid w:val="2465D779"/>
    <w:rsid w:val="2468480F"/>
    <w:rsid w:val="24692710"/>
    <w:rsid w:val="246BE90C"/>
    <w:rsid w:val="247929D8"/>
    <w:rsid w:val="247AA62D"/>
    <w:rsid w:val="247B8E9C"/>
    <w:rsid w:val="247D660E"/>
    <w:rsid w:val="247D97F2"/>
    <w:rsid w:val="247DD9E5"/>
    <w:rsid w:val="247EE193"/>
    <w:rsid w:val="24800D13"/>
    <w:rsid w:val="24819286"/>
    <w:rsid w:val="24827033"/>
    <w:rsid w:val="2482D088"/>
    <w:rsid w:val="2487F625"/>
    <w:rsid w:val="248B8BCD"/>
    <w:rsid w:val="248CE2B3"/>
    <w:rsid w:val="248DD81C"/>
    <w:rsid w:val="248E83C9"/>
    <w:rsid w:val="2491854D"/>
    <w:rsid w:val="24956909"/>
    <w:rsid w:val="2496A73F"/>
    <w:rsid w:val="2496F31B"/>
    <w:rsid w:val="2499829A"/>
    <w:rsid w:val="249983E2"/>
    <w:rsid w:val="249A237E"/>
    <w:rsid w:val="249DE919"/>
    <w:rsid w:val="24A09DE7"/>
    <w:rsid w:val="24A25C9A"/>
    <w:rsid w:val="24A46228"/>
    <w:rsid w:val="24A6FCC2"/>
    <w:rsid w:val="24A745D6"/>
    <w:rsid w:val="24A7AF9F"/>
    <w:rsid w:val="24A80B20"/>
    <w:rsid w:val="24A83774"/>
    <w:rsid w:val="24A83947"/>
    <w:rsid w:val="24A91AE6"/>
    <w:rsid w:val="24A9265F"/>
    <w:rsid w:val="24AA21AA"/>
    <w:rsid w:val="24AEA9BB"/>
    <w:rsid w:val="24B04DD3"/>
    <w:rsid w:val="24B6E044"/>
    <w:rsid w:val="24B77DF5"/>
    <w:rsid w:val="24B9700C"/>
    <w:rsid w:val="24B9D117"/>
    <w:rsid w:val="24BB3C4B"/>
    <w:rsid w:val="24C304DC"/>
    <w:rsid w:val="24C34235"/>
    <w:rsid w:val="24C514BB"/>
    <w:rsid w:val="24CAB20A"/>
    <w:rsid w:val="24CCE1E5"/>
    <w:rsid w:val="24CD39B6"/>
    <w:rsid w:val="24CE59C3"/>
    <w:rsid w:val="24D1F234"/>
    <w:rsid w:val="24D24AD0"/>
    <w:rsid w:val="24D8BB85"/>
    <w:rsid w:val="24D92ECC"/>
    <w:rsid w:val="24D975BD"/>
    <w:rsid w:val="24DB022B"/>
    <w:rsid w:val="24DD262C"/>
    <w:rsid w:val="24DD2DCE"/>
    <w:rsid w:val="24E0D8AF"/>
    <w:rsid w:val="24E25518"/>
    <w:rsid w:val="24E27308"/>
    <w:rsid w:val="24E87855"/>
    <w:rsid w:val="24EBEBCF"/>
    <w:rsid w:val="24EC7F18"/>
    <w:rsid w:val="24EE14A7"/>
    <w:rsid w:val="24EF06E3"/>
    <w:rsid w:val="24F292FC"/>
    <w:rsid w:val="24F3F381"/>
    <w:rsid w:val="24F58FB2"/>
    <w:rsid w:val="24F8F527"/>
    <w:rsid w:val="24F8F9EE"/>
    <w:rsid w:val="24FAB7DC"/>
    <w:rsid w:val="24FDC4C8"/>
    <w:rsid w:val="24FE8B5E"/>
    <w:rsid w:val="24FF0CDA"/>
    <w:rsid w:val="2500CBBD"/>
    <w:rsid w:val="25062A95"/>
    <w:rsid w:val="250932C5"/>
    <w:rsid w:val="250D67C9"/>
    <w:rsid w:val="2510B825"/>
    <w:rsid w:val="2512197A"/>
    <w:rsid w:val="2515E4CC"/>
    <w:rsid w:val="2517ECB2"/>
    <w:rsid w:val="2519D230"/>
    <w:rsid w:val="251A9A2D"/>
    <w:rsid w:val="251B3016"/>
    <w:rsid w:val="251F6C12"/>
    <w:rsid w:val="251FB3EB"/>
    <w:rsid w:val="252020C3"/>
    <w:rsid w:val="2522C316"/>
    <w:rsid w:val="252388FD"/>
    <w:rsid w:val="2523F0C7"/>
    <w:rsid w:val="25251128"/>
    <w:rsid w:val="2525818F"/>
    <w:rsid w:val="2527CF69"/>
    <w:rsid w:val="25292D4A"/>
    <w:rsid w:val="252FDAA7"/>
    <w:rsid w:val="25302877"/>
    <w:rsid w:val="2533CE76"/>
    <w:rsid w:val="2533E207"/>
    <w:rsid w:val="25371EF3"/>
    <w:rsid w:val="253D54EE"/>
    <w:rsid w:val="253E2D51"/>
    <w:rsid w:val="253F5C00"/>
    <w:rsid w:val="253FB213"/>
    <w:rsid w:val="2544D557"/>
    <w:rsid w:val="25489E86"/>
    <w:rsid w:val="2548F0CD"/>
    <w:rsid w:val="254BC19B"/>
    <w:rsid w:val="254BEFA4"/>
    <w:rsid w:val="254E0417"/>
    <w:rsid w:val="254FA478"/>
    <w:rsid w:val="254FECB9"/>
    <w:rsid w:val="2553D806"/>
    <w:rsid w:val="25552447"/>
    <w:rsid w:val="255533C7"/>
    <w:rsid w:val="2557F31A"/>
    <w:rsid w:val="25583CE4"/>
    <w:rsid w:val="255E2468"/>
    <w:rsid w:val="255F5BF6"/>
    <w:rsid w:val="2560AD94"/>
    <w:rsid w:val="2560B6AA"/>
    <w:rsid w:val="2560ED55"/>
    <w:rsid w:val="2568382C"/>
    <w:rsid w:val="256EDC18"/>
    <w:rsid w:val="2572F691"/>
    <w:rsid w:val="2578B5B6"/>
    <w:rsid w:val="25794279"/>
    <w:rsid w:val="257A049E"/>
    <w:rsid w:val="257C449F"/>
    <w:rsid w:val="2583011F"/>
    <w:rsid w:val="25841B0B"/>
    <w:rsid w:val="25857854"/>
    <w:rsid w:val="25864F6A"/>
    <w:rsid w:val="2586F51B"/>
    <w:rsid w:val="258BE892"/>
    <w:rsid w:val="258D60B6"/>
    <w:rsid w:val="2592C630"/>
    <w:rsid w:val="259438BF"/>
    <w:rsid w:val="2596C309"/>
    <w:rsid w:val="2596D44F"/>
    <w:rsid w:val="259D9D2E"/>
    <w:rsid w:val="259FF30B"/>
    <w:rsid w:val="25A168B5"/>
    <w:rsid w:val="25A2524C"/>
    <w:rsid w:val="25A427D8"/>
    <w:rsid w:val="25A5C6CD"/>
    <w:rsid w:val="25A6A4C2"/>
    <w:rsid w:val="25AAED7E"/>
    <w:rsid w:val="25AB2BF8"/>
    <w:rsid w:val="25ABD3E9"/>
    <w:rsid w:val="25ADAC83"/>
    <w:rsid w:val="25AEFF0F"/>
    <w:rsid w:val="25B1B8A2"/>
    <w:rsid w:val="25B3FDA1"/>
    <w:rsid w:val="25B62A16"/>
    <w:rsid w:val="25BBC9C0"/>
    <w:rsid w:val="25BC1EE7"/>
    <w:rsid w:val="25BDC38E"/>
    <w:rsid w:val="25BE2F56"/>
    <w:rsid w:val="25C6CEA4"/>
    <w:rsid w:val="25C89805"/>
    <w:rsid w:val="25C99978"/>
    <w:rsid w:val="25CF14BE"/>
    <w:rsid w:val="25D2F6C5"/>
    <w:rsid w:val="25D5AF66"/>
    <w:rsid w:val="25D86BF7"/>
    <w:rsid w:val="25DAD2A2"/>
    <w:rsid w:val="25DB62C5"/>
    <w:rsid w:val="25DF498B"/>
    <w:rsid w:val="25E01824"/>
    <w:rsid w:val="25E2A31B"/>
    <w:rsid w:val="25E4AC6D"/>
    <w:rsid w:val="25E81A3E"/>
    <w:rsid w:val="25E8F1E9"/>
    <w:rsid w:val="25ED3C48"/>
    <w:rsid w:val="25EF3D18"/>
    <w:rsid w:val="25F03212"/>
    <w:rsid w:val="25F075CD"/>
    <w:rsid w:val="25F96CCE"/>
    <w:rsid w:val="25FCF95E"/>
    <w:rsid w:val="25FCFC5B"/>
    <w:rsid w:val="25FD601B"/>
    <w:rsid w:val="26002867"/>
    <w:rsid w:val="26009F7E"/>
    <w:rsid w:val="2600C50A"/>
    <w:rsid w:val="2603896B"/>
    <w:rsid w:val="26052A46"/>
    <w:rsid w:val="260790DB"/>
    <w:rsid w:val="260A5BE0"/>
    <w:rsid w:val="260AA0B7"/>
    <w:rsid w:val="260B1FE6"/>
    <w:rsid w:val="260D46EB"/>
    <w:rsid w:val="260D714A"/>
    <w:rsid w:val="260F5059"/>
    <w:rsid w:val="260FA55D"/>
    <w:rsid w:val="260FE1D0"/>
    <w:rsid w:val="26106907"/>
    <w:rsid w:val="26106BD4"/>
    <w:rsid w:val="26128BE1"/>
    <w:rsid w:val="26131883"/>
    <w:rsid w:val="2613A5B9"/>
    <w:rsid w:val="26149664"/>
    <w:rsid w:val="2614FD5C"/>
    <w:rsid w:val="26174956"/>
    <w:rsid w:val="26194CDF"/>
    <w:rsid w:val="261E7FA7"/>
    <w:rsid w:val="26206F0F"/>
    <w:rsid w:val="2622D03C"/>
    <w:rsid w:val="26240AA9"/>
    <w:rsid w:val="26250A42"/>
    <w:rsid w:val="2625CB0D"/>
    <w:rsid w:val="2627C26D"/>
    <w:rsid w:val="26284584"/>
    <w:rsid w:val="26291854"/>
    <w:rsid w:val="2629F036"/>
    <w:rsid w:val="262AA498"/>
    <w:rsid w:val="262B0021"/>
    <w:rsid w:val="262C29E9"/>
    <w:rsid w:val="262C7064"/>
    <w:rsid w:val="262D3518"/>
    <w:rsid w:val="262F9116"/>
    <w:rsid w:val="2631773E"/>
    <w:rsid w:val="2631ACD1"/>
    <w:rsid w:val="26324ACC"/>
    <w:rsid w:val="2633CDE3"/>
    <w:rsid w:val="26354231"/>
    <w:rsid w:val="2637EE17"/>
    <w:rsid w:val="26383E5F"/>
    <w:rsid w:val="263C5BF8"/>
    <w:rsid w:val="263FA19D"/>
    <w:rsid w:val="2643A604"/>
    <w:rsid w:val="264577D6"/>
    <w:rsid w:val="2646CE7F"/>
    <w:rsid w:val="2647D9E0"/>
    <w:rsid w:val="264AC361"/>
    <w:rsid w:val="264BF1E9"/>
    <w:rsid w:val="264C3C65"/>
    <w:rsid w:val="264F6381"/>
    <w:rsid w:val="26529FE0"/>
    <w:rsid w:val="26549E85"/>
    <w:rsid w:val="265A1AAA"/>
    <w:rsid w:val="2660DE08"/>
    <w:rsid w:val="26625A69"/>
    <w:rsid w:val="2667DAC4"/>
    <w:rsid w:val="266B4FFB"/>
    <w:rsid w:val="266E8781"/>
    <w:rsid w:val="266FED29"/>
    <w:rsid w:val="2673F58E"/>
    <w:rsid w:val="267707A2"/>
    <w:rsid w:val="26771239"/>
    <w:rsid w:val="2677E517"/>
    <w:rsid w:val="2679294D"/>
    <w:rsid w:val="267961B3"/>
    <w:rsid w:val="2680FDC8"/>
    <w:rsid w:val="2681A317"/>
    <w:rsid w:val="26826861"/>
    <w:rsid w:val="26826BF7"/>
    <w:rsid w:val="268C3A41"/>
    <w:rsid w:val="268E97EB"/>
    <w:rsid w:val="2693AE49"/>
    <w:rsid w:val="2696A94D"/>
    <w:rsid w:val="269CDA49"/>
    <w:rsid w:val="269E26DA"/>
    <w:rsid w:val="26A0B8AF"/>
    <w:rsid w:val="26A2353F"/>
    <w:rsid w:val="26A9367E"/>
    <w:rsid w:val="26A9A2E8"/>
    <w:rsid w:val="26AADFC4"/>
    <w:rsid w:val="26AFE26C"/>
    <w:rsid w:val="26B1D75F"/>
    <w:rsid w:val="26B3A993"/>
    <w:rsid w:val="26B60349"/>
    <w:rsid w:val="26B91454"/>
    <w:rsid w:val="26BBB771"/>
    <w:rsid w:val="26BE7127"/>
    <w:rsid w:val="26BE7D59"/>
    <w:rsid w:val="26BE854B"/>
    <w:rsid w:val="26BEEB60"/>
    <w:rsid w:val="26BF191B"/>
    <w:rsid w:val="26C1D056"/>
    <w:rsid w:val="26C21029"/>
    <w:rsid w:val="26C2325C"/>
    <w:rsid w:val="26C341F3"/>
    <w:rsid w:val="26C92C0B"/>
    <w:rsid w:val="26CA20AB"/>
    <w:rsid w:val="26CB8AB3"/>
    <w:rsid w:val="26CCCC8A"/>
    <w:rsid w:val="26D37CE1"/>
    <w:rsid w:val="26D766E5"/>
    <w:rsid w:val="26D9A1F7"/>
    <w:rsid w:val="26DA5CB2"/>
    <w:rsid w:val="26DB6EBC"/>
    <w:rsid w:val="26DDB424"/>
    <w:rsid w:val="26DF666D"/>
    <w:rsid w:val="26DF857D"/>
    <w:rsid w:val="26DFC361"/>
    <w:rsid w:val="26E27033"/>
    <w:rsid w:val="26E27D7E"/>
    <w:rsid w:val="26E93228"/>
    <w:rsid w:val="26E94F87"/>
    <w:rsid w:val="26ED9CA5"/>
    <w:rsid w:val="26F1FB5A"/>
    <w:rsid w:val="26F7C3B9"/>
    <w:rsid w:val="26F7F028"/>
    <w:rsid w:val="26F8003D"/>
    <w:rsid w:val="26F9A3E4"/>
    <w:rsid w:val="26FADD34"/>
    <w:rsid w:val="26FBC20B"/>
    <w:rsid w:val="26FE0322"/>
    <w:rsid w:val="26FF2BB0"/>
    <w:rsid w:val="26FF5384"/>
    <w:rsid w:val="26FFC46D"/>
    <w:rsid w:val="27016D03"/>
    <w:rsid w:val="27032E7B"/>
    <w:rsid w:val="27033467"/>
    <w:rsid w:val="270353A2"/>
    <w:rsid w:val="2705CD07"/>
    <w:rsid w:val="27086148"/>
    <w:rsid w:val="2708BEB6"/>
    <w:rsid w:val="270918F3"/>
    <w:rsid w:val="27096035"/>
    <w:rsid w:val="270A00F2"/>
    <w:rsid w:val="270B08AD"/>
    <w:rsid w:val="270D6B8A"/>
    <w:rsid w:val="270DFDA5"/>
    <w:rsid w:val="270E798F"/>
    <w:rsid w:val="270EED38"/>
    <w:rsid w:val="270FAB51"/>
    <w:rsid w:val="2710949A"/>
    <w:rsid w:val="27116D22"/>
    <w:rsid w:val="271437F8"/>
    <w:rsid w:val="271B6A87"/>
    <w:rsid w:val="271FDB60"/>
    <w:rsid w:val="27228AF7"/>
    <w:rsid w:val="2722DCDF"/>
    <w:rsid w:val="2724E355"/>
    <w:rsid w:val="2726198C"/>
    <w:rsid w:val="2728997C"/>
    <w:rsid w:val="272BEE42"/>
    <w:rsid w:val="272D5F16"/>
    <w:rsid w:val="272EB97A"/>
    <w:rsid w:val="27300584"/>
    <w:rsid w:val="27329BC1"/>
    <w:rsid w:val="2733BFBE"/>
    <w:rsid w:val="2733C5BE"/>
    <w:rsid w:val="273599A0"/>
    <w:rsid w:val="2735A79F"/>
    <w:rsid w:val="27366A39"/>
    <w:rsid w:val="273A0188"/>
    <w:rsid w:val="273EE2E6"/>
    <w:rsid w:val="273F6ABD"/>
    <w:rsid w:val="27422BAC"/>
    <w:rsid w:val="27451C87"/>
    <w:rsid w:val="27453872"/>
    <w:rsid w:val="2749221A"/>
    <w:rsid w:val="274B58D0"/>
    <w:rsid w:val="274BE572"/>
    <w:rsid w:val="274C2062"/>
    <w:rsid w:val="274D55E2"/>
    <w:rsid w:val="274D78CA"/>
    <w:rsid w:val="274EC388"/>
    <w:rsid w:val="274EDF79"/>
    <w:rsid w:val="27524C66"/>
    <w:rsid w:val="2757A735"/>
    <w:rsid w:val="275BD24C"/>
    <w:rsid w:val="275CA44A"/>
    <w:rsid w:val="275CC410"/>
    <w:rsid w:val="2762E343"/>
    <w:rsid w:val="27644E09"/>
    <w:rsid w:val="2765756C"/>
    <w:rsid w:val="2765D48F"/>
    <w:rsid w:val="27666C13"/>
    <w:rsid w:val="276EB123"/>
    <w:rsid w:val="2773D94A"/>
    <w:rsid w:val="2775E763"/>
    <w:rsid w:val="2777CD85"/>
    <w:rsid w:val="277877CF"/>
    <w:rsid w:val="2779724D"/>
    <w:rsid w:val="277B2E3F"/>
    <w:rsid w:val="277B66FC"/>
    <w:rsid w:val="2781EFD7"/>
    <w:rsid w:val="2782A768"/>
    <w:rsid w:val="2783C3FB"/>
    <w:rsid w:val="2784BB58"/>
    <w:rsid w:val="2786D543"/>
    <w:rsid w:val="2787DAEF"/>
    <w:rsid w:val="2788068D"/>
    <w:rsid w:val="278A3913"/>
    <w:rsid w:val="27914DBA"/>
    <w:rsid w:val="27957907"/>
    <w:rsid w:val="279955C6"/>
    <w:rsid w:val="279A7E9F"/>
    <w:rsid w:val="279E898F"/>
    <w:rsid w:val="27A14FE1"/>
    <w:rsid w:val="27A1BD73"/>
    <w:rsid w:val="27A50708"/>
    <w:rsid w:val="27A50DE2"/>
    <w:rsid w:val="27A708C4"/>
    <w:rsid w:val="27A896C5"/>
    <w:rsid w:val="27A9B3B9"/>
    <w:rsid w:val="27AA8A4D"/>
    <w:rsid w:val="27AAE4D7"/>
    <w:rsid w:val="27AB2BEB"/>
    <w:rsid w:val="27AD6E3B"/>
    <w:rsid w:val="27AE76ED"/>
    <w:rsid w:val="27B0AE53"/>
    <w:rsid w:val="27B0D582"/>
    <w:rsid w:val="27B41FA6"/>
    <w:rsid w:val="27B5DA57"/>
    <w:rsid w:val="27B72B20"/>
    <w:rsid w:val="27B73DDF"/>
    <w:rsid w:val="27BA852C"/>
    <w:rsid w:val="27C22620"/>
    <w:rsid w:val="27C5E821"/>
    <w:rsid w:val="27C7B640"/>
    <w:rsid w:val="27C7BD5E"/>
    <w:rsid w:val="27C83050"/>
    <w:rsid w:val="27C992D2"/>
    <w:rsid w:val="27CBBFB4"/>
    <w:rsid w:val="27CD1DCB"/>
    <w:rsid w:val="27CE9F8F"/>
    <w:rsid w:val="27CFF965"/>
    <w:rsid w:val="27D0C6C8"/>
    <w:rsid w:val="27D178A9"/>
    <w:rsid w:val="27D20D79"/>
    <w:rsid w:val="27D3EDD5"/>
    <w:rsid w:val="27D6AB2C"/>
    <w:rsid w:val="27DBCEB4"/>
    <w:rsid w:val="27DDE384"/>
    <w:rsid w:val="27DE118B"/>
    <w:rsid w:val="27E36554"/>
    <w:rsid w:val="27E87EBA"/>
    <w:rsid w:val="27E93617"/>
    <w:rsid w:val="27E9998A"/>
    <w:rsid w:val="27EABB3D"/>
    <w:rsid w:val="27ECBB45"/>
    <w:rsid w:val="27EE048D"/>
    <w:rsid w:val="27EEDD41"/>
    <w:rsid w:val="27F07126"/>
    <w:rsid w:val="27F07381"/>
    <w:rsid w:val="27F33373"/>
    <w:rsid w:val="27F4B157"/>
    <w:rsid w:val="27F70863"/>
    <w:rsid w:val="27F862F4"/>
    <w:rsid w:val="27FACC48"/>
    <w:rsid w:val="27FB026E"/>
    <w:rsid w:val="27FE57BD"/>
    <w:rsid w:val="28086682"/>
    <w:rsid w:val="280BE86F"/>
    <w:rsid w:val="280E2113"/>
    <w:rsid w:val="280ED38D"/>
    <w:rsid w:val="28133E3C"/>
    <w:rsid w:val="2813BBA4"/>
    <w:rsid w:val="2817F692"/>
    <w:rsid w:val="281A1577"/>
    <w:rsid w:val="281AF87C"/>
    <w:rsid w:val="281B9068"/>
    <w:rsid w:val="281C54F9"/>
    <w:rsid w:val="281CDA1B"/>
    <w:rsid w:val="281F7B58"/>
    <w:rsid w:val="281FBC44"/>
    <w:rsid w:val="2820F1C7"/>
    <w:rsid w:val="2821BE2B"/>
    <w:rsid w:val="2822D8D3"/>
    <w:rsid w:val="2823106B"/>
    <w:rsid w:val="28238EB4"/>
    <w:rsid w:val="28245213"/>
    <w:rsid w:val="28254E52"/>
    <w:rsid w:val="282680D7"/>
    <w:rsid w:val="282E1E5A"/>
    <w:rsid w:val="282FA2CE"/>
    <w:rsid w:val="2835780F"/>
    <w:rsid w:val="28366A88"/>
    <w:rsid w:val="283A8214"/>
    <w:rsid w:val="283C44E9"/>
    <w:rsid w:val="283EC876"/>
    <w:rsid w:val="28419F13"/>
    <w:rsid w:val="2845C19B"/>
    <w:rsid w:val="2848B940"/>
    <w:rsid w:val="28496051"/>
    <w:rsid w:val="284C33C7"/>
    <w:rsid w:val="284DEDAE"/>
    <w:rsid w:val="284E72BE"/>
    <w:rsid w:val="285074B3"/>
    <w:rsid w:val="28528281"/>
    <w:rsid w:val="285371CF"/>
    <w:rsid w:val="2855E39A"/>
    <w:rsid w:val="285B69B5"/>
    <w:rsid w:val="285B876D"/>
    <w:rsid w:val="285C74F8"/>
    <w:rsid w:val="28604884"/>
    <w:rsid w:val="286108B7"/>
    <w:rsid w:val="28640D3A"/>
    <w:rsid w:val="28655AB8"/>
    <w:rsid w:val="28664135"/>
    <w:rsid w:val="2866C300"/>
    <w:rsid w:val="28675536"/>
    <w:rsid w:val="2869CC6A"/>
    <w:rsid w:val="287053F7"/>
    <w:rsid w:val="28742358"/>
    <w:rsid w:val="287785B9"/>
    <w:rsid w:val="2877BCCE"/>
    <w:rsid w:val="287A1D76"/>
    <w:rsid w:val="287AE3BF"/>
    <w:rsid w:val="287BB1BE"/>
    <w:rsid w:val="287C1CAA"/>
    <w:rsid w:val="287FC431"/>
    <w:rsid w:val="2886E3DE"/>
    <w:rsid w:val="28879293"/>
    <w:rsid w:val="288A69EA"/>
    <w:rsid w:val="288DA3F1"/>
    <w:rsid w:val="288E8314"/>
    <w:rsid w:val="288FAD69"/>
    <w:rsid w:val="28915EBC"/>
    <w:rsid w:val="2891868F"/>
    <w:rsid w:val="28955820"/>
    <w:rsid w:val="28964365"/>
    <w:rsid w:val="289A4F4C"/>
    <w:rsid w:val="28A0EF8D"/>
    <w:rsid w:val="28A20840"/>
    <w:rsid w:val="28A25F85"/>
    <w:rsid w:val="28A8B72A"/>
    <w:rsid w:val="28A8F7BA"/>
    <w:rsid w:val="28AC575D"/>
    <w:rsid w:val="28AE500D"/>
    <w:rsid w:val="28AEFFCC"/>
    <w:rsid w:val="28B0BFBD"/>
    <w:rsid w:val="28B0FC0E"/>
    <w:rsid w:val="28B3F94C"/>
    <w:rsid w:val="28B5E5C4"/>
    <w:rsid w:val="28B5F8FA"/>
    <w:rsid w:val="28B60E61"/>
    <w:rsid w:val="28B89049"/>
    <w:rsid w:val="28C22924"/>
    <w:rsid w:val="28C27210"/>
    <w:rsid w:val="28C3EF7B"/>
    <w:rsid w:val="28C69434"/>
    <w:rsid w:val="28C7E36F"/>
    <w:rsid w:val="28C925D8"/>
    <w:rsid w:val="28CCAF43"/>
    <w:rsid w:val="28CE51F3"/>
    <w:rsid w:val="28D33AE1"/>
    <w:rsid w:val="28D36F92"/>
    <w:rsid w:val="28D71CF5"/>
    <w:rsid w:val="28DAD368"/>
    <w:rsid w:val="28DC9F1D"/>
    <w:rsid w:val="28DD44E4"/>
    <w:rsid w:val="28DE7F37"/>
    <w:rsid w:val="28EA5A6F"/>
    <w:rsid w:val="28EBC368"/>
    <w:rsid w:val="28EE0275"/>
    <w:rsid w:val="28EFAB16"/>
    <w:rsid w:val="28F14F70"/>
    <w:rsid w:val="28F5EB75"/>
    <w:rsid w:val="28F62374"/>
    <w:rsid w:val="28FEBF5C"/>
    <w:rsid w:val="29023E96"/>
    <w:rsid w:val="29055D0A"/>
    <w:rsid w:val="2907C128"/>
    <w:rsid w:val="290890D9"/>
    <w:rsid w:val="290C3BD6"/>
    <w:rsid w:val="290E3BFA"/>
    <w:rsid w:val="29131FE1"/>
    <w:rsid w:val="2915593F"/>
    <w:rsid w:val="291743C3"/>
    <w:rsid w:val="291802FE"/>
    <w:rsid w:val="2918CCB5"/>
    <w:rsid w:val="291A868A"/>
    <w:rsid w:val="291AF535"/>
    <w:rsid w:val="291B63E8"/>
    <w:rsid w:val="291FD923"/>
    <w:rsid w:val="29238E5B"/>
    <w:rsid w:val="292542A6"/>
    <w:rsid w:val="292A6A60"/>
    <w:rsid w:val="292C9D65"/>
    <w:rsid w:val="292E704A"/>
    <w:rsid w:val="292EEBDE"/>
    <w:rsid w:val="2930A719"/>
    <w:rsid w:val="29324E82"/>
    <w:rsid w:val="293479B1"/>
    <w:rsid w:val="2934F9DF"/>
    <w:rsid w:val="2935049B"/>
    <w:rsid w:val="2936C421"/>
    <w:rsid w:val="29383FB2"/>
    <w:rsid w:val="293EFC18"/>
    <w:rsid w:val="29415ACD"/>
    <w:rsid w:val="29469355"/>
    <w:rsid w:val="29479964"/>
    <w:rsid w:val="29484553"/>
    <w:rsid w:val="2948C418"/>
    <w:rsid w:val="294BC8B9"/>
    <w:rsid w:val="294C28B5"/>
    <w:rsid w:val="294D1CD4"/>
    <w:rsid w:val="294E5C5B"/>
    <w:rsid w:val="2952A5B9"/>
    <w:rsid w:val="2953960D"/>
    <w:rsid w:val="29590D33"/>
    <w:rsid w:val="295BC812"/>
    <w:rsid w:val="295BF99C"/>
    <w:rsid w:val="2961627C"/>
    <w:rsid w:val="2968B367"/>
    <w:rsid w:val="296AABE6"/>
    <w:rsid w:val="296F8E04"/>
    <w:rsid w:val="29705A37"/>
    <w:rsid w:val="2970DE52"/>
    <w:rsid w:val="29713AD7"/>
    <w:rsid w:val="297596B5"/>
    <w:rsid w:val="29759E8D"/>
    <w:rsid w:val="2979407C"/>
    <w:rsid w:val="297AB66A"/>
    <w:rsid w:val="297B1D5D"/>
    <w:rsid w:val="297E2893"/>
    <w:rsid w:val="297F0D7A"/>
    <w:rsid w:val="297F42EC"/>
    <w:rsid w:val="2984931D"/>
    <w:rsid w:val="29849F4F"/>
    <w:rsid w:val="2985AECE"/>
    <w:rsid w:val="298958C2"/>
    <w:rsid w:val="2989C2A3"/>
    <w:rsid w:val="298D345C"/>
    <w:rsid w:val="298D7D2D"/>
    <w:rsid w:val="2991EDCB"/>
    <w:rsid w:val="2994340A"/>
    <w:rsid w:val="299905B9"/>
    <w:rsid w:val="299912BC"/>
    <w:rsid w:val="299A6770"/>
    <w:rsid w:val="299AD3DC"/>
    <w:rsid w:val="299B6150"/>
    <w:rsid w:val="299C42A2"/>
    <w:rsid w:val="29A4E7B1"/>
    <w:rsid w:val="29A60A67"/>
    <w:rsid w:val="29A70533"/>
    <w:rsid w:val="29A76705"/>
    <w:rsid w:val="29A7939D"/>
    <w:rsid w:val="29A7D70A"/>
    <w:rsid w:val="29A80BB7"/>
    <w:rsid w:val="29AA5BFB"/>
    <w:rsid w:val="29AA6331"/>
    <w:rsid w:val="29ABAF06"/>
    <w:rsid w:val="29ABD8FF"/>
    <w:rsid w:val="29AEC6E3"/>
    <w:rsid w:val="29B0DF0C"/>
    <w:rsid w:val="29B29891"/>
    <w:rsid w:val="29B3E830"/>
    <w:rsid w:val="29B52260"/>
    <w:rsid w:val="29B90C67"/>
    <w:rsid w:val="29BFE268"/>
    <w:rsid w:val="29C33D50"/>
    <w:rsid w:val="29C350AB"/>
    <w:rsid w:val="29C431FF"/>
    <w:rsid w:val="29C4FB83"/>
    <w:rsid w:val="29CC3578"/>
    <w:rsid w:val="29CD521F"/>
    <w:rsid w:val="29CFD7E8"/>
    <w:rsid w:val="29D071F3"/>
    <w:rsid w:val="29D079E5"/>
    <w:rsid w:val="29D13383"/>
    <w:rsid w:val="29D3570C"/>
    <w:rsid w:val="29D4BC0F"/>
    <w:rsid w:val="29D95189"/>
    <w:rsid w:val="29DB8826"/>
    <w:rsid w:val="29DC2CDC"/>
    <w:rsid w:val="29DCEBA3"/>
    <w:rsid w:val="29DDB65A"/>
    <w:rsid w:val="29E09D4B"/>
    <w:rsid w:val="29E55D9C"/>
    <w:rsid w:val="29EAB9CA"/>
    <w:rsid w:val="29ECE625"/>
    <w:rsid w:val="29F11F9A"/>
    <w:rsid w:val="29F286D1"/>
    <w:rsid w:val="29F34368"/>
    <w:rsid w:val="29F44093"/>
    <w:rsid w:val="29F700A8"/>
    <w:rsid w:val="29FA293D"/>
    <w:rsid w:val="29FAEADE"/>
    <w:rsid w:val="29FF3470"/>
    <w:rsid w:val="2A032C98"/>
    <w:rsid w:val="2A05EF14"/>
    <w:rsid w:val="2A061760"/>
    <w:rsid w:val="2A132C62"/>
    <w:rsid w:val="2A138862"/>
    <w:rsid w:val="2A13D833"/>
    <w:rsid w:val="2A149DFA"/>
    <w:rsid w:val="2A1B6427"/>
    <w:rsid w:val="2A1D23EF"/>
    <w:rsid w:val="2A1E1DD8"/>
    <w:rsid w:val="2A1EC56A"/>
    <w:rsid w:val="2A2516D3"/>
    <w:rsid w:val="2A25BA5B"/>
    <w:rsid w:val="2A27092E"/>
    <w:rsid w:val="2A29E1BA"/>
    <w:rsid w:val="2A2EA37A"/>
    <w:rsid w:val="2A2EF1B6"/>
    <w:rsid w:val="2A30FAE0"/>
    <w:rsid w:val="2A3346F6"/>
    <w:rsid w:val="2A354A42"/>
    <w:rsid w:val="2A3A69A9"/>
    <w:rsid w:val="2A3AA2F9"/>
    <w:rsid w:val="2A3AB8A3"/>
    <w:rsid w:val="2A3C3BB8"/>
    <w:rsid w:val="2A3D73FD"/>
    <w:rsid w:val="2A3FD9A4"/>
    <w:rsid w:val="2A40E2B8"/>
    <w:rsid w:val="2A43265C"/>
    <w:rsid w:val="2A432B20"/>
    <w:rsid w:val="2A436FBA"/>
    <w:rsid w:val="2A476EE4"/>
    <w:rsid w:val="2A4B6517"/>
    <w:rsid w:val="2A4D03B0"/>
    <w:rsid w:val="2A4DDFD1"/>
    <w:rsid w:val="2A4ED6CB"/>
    <w:rsid w:val="2A4FBE60"/>
    <w:rsid w:val="2A51B43B"/>
    <w:rsid w:val="2A522475"/>
    <w:rsid w:val="2A56EE7D"/>
    <w:rsid w:val="2A584116"/>
    <w:rsid w:val="2A5BB90F"/>
    <w:rsid w:val="2A5CC4C0"/>
    <w:rsid w:val="2A5F9226"/>
    <w:rsid w:val="2A66C08B"/>
    <w:rsid w:val="2A680CF5"/>
    <w:rsid w:val="2A683F2E"/>
    <w:rsid w:val="2A6D5142"/>
    <w:rsid w:val="2A711D8A"/>
    <w:rsid w:val="2A71EAED"/>
    <w:rsid w:val="2A74B8A8"/>
    <w:rsid w:val="2A763786"/>
    <w:rsid w:val="2A789E05"/>
    <w:rsid w:val="2A793870"/>
    <w:rsid w:val="2A79659C"/>
    <w:rsid w:val="2A7DD2A8"/>
    <w:rsid w:val="2A7E9505"/>
    <w:rsid w:val="2A7EB154"/>
    <w:rsid w:val="2A80EFDE"/>
    <w:rsid w:val="2A8215A5"/>
    <w:rsid w:val="2A834B9B"/>
    <w:rsid w:val="2A8AC65D"/>
    <w:rsid w:val="2A8CC2CC"/>
    <w:rsid w:val="2A8E3EA5"/>
    <w:rsid w:val="2A97F62C"/>
    <w:rsid w:val="2A9A4DFD"/>
    <w:rsid w:val="2A9C128B"/>
    <w:rsid w:val="2A9D9C97"/>
    <w:rsid w:val="2A9EF6CA"/>
    <w:rsid w:val="2AA05D77"/>
    <w:rsid w:val="2AA05D9E"/>
    <w:rsid w:val="2AA0A393"/>
    <w:rsid w:val="2AA3A39B"/>
    <w:rsid w:val="2AA40CDC"/>
    <w:rsid w:val="2AAE0A7F"/>
    <w:rsid w:val="2AAF01F2"/>
    <w:rsid w:val="2AAF166D"/>
    <w:rsid w:val="2AB00A47"/>
    <w:rsid w:val="2AB47189"/>
    <w:rsid w:val="2AB4E62E"/>
    <w:rsid w:val="2AB62524"/>
    <w:rsid w:val="2AB6CE48"/>
    <w:rsid w:val="2AB8691C"/>
    <w:rsid w:val="2AB99BAD"/>
    <w:rsid w:val="2AB9C453"/>
    <w:rsid w:val="2ABCD1C7"/>
    <w:rsid w:val="2ABCFD49"/>
    <w:rsid w:val="2ABD83C2"/>
    <w:rsid w:val="2ABFC4EA"/>
    <w:rsid w:val="2AC26C1D"/>
    <w:rsid w:val="2AC4323A"/>
    <w:rsid w:val="2AC4394C"/>
    <w:rsid w:val="2AC5E597"/>
    <w:rsid w:val="2AD1E090"/>
    <w:rsid w:val="2AD288F7"/>
    <w:rsid w:val="2AD62CFF"/>
    <w:rsid w:val="2AD65301"/>
    <w:rsid w:val="2AD6AEFE"/>
    <w:rsid w:val="2AD7EAF8"/>
    <w:rsid w:val="2ADA77A7"/>
    <w:rsid w:val="2ADA7B30"/>
    <w:rsid w:val="2ADCF644"/>
    <w:rsid w:val="2AE04B13"/>
    <w:rsid w:val="2AE109CB"/>
    <w:rsid w:val="2AE46862"/>
    <w:rsid w:val="2AE8BB61"/>
    <w:rsid w:val="2AEA585D"/>
    <w:rsid w:val="2AEBC39A"/>
    <w:rsid w:val="2AEF4B8D"/>
    <w:rsid w:val="2AEF6DA4"/>
    <w:rsid w:val="2AF19E8F"/>
    <w:rsid w:val="2AF31E62"/>
    <w:rsid w:val="2AF33A3B"/>
    <w:rsid w:val="2AF51FFA"/>
    <w:rsid w:val="2AFE6F0C"/>
    <w:rsid w:val="2AFF32BC"/>
    <w:rsid w:val="2B007C7D"/>
    <w:rsid w:val="2B0139E1"/>
    <w:rsid w:val="2B039FA0"/>
    <w:rsid w:val="2B0444F3"/>
    <w:rsid w:val="2B04F005"/>
    <w:rsid w:val="2B057D29"/>
    <w:rsid w:val="2B0822D8"/>
    <w:rsid w:val="2B0A1100"/>
    <w:rsid w:val="2B0F2999"/>
    <w:rsid w:val="2B101665"/>
    <w:rsid w:val="2B16D20F"/>
    <w:rsid w:val="2B170B71"/>
    <w:rsid w:val="2B1F381F"/>
    <w:rsid w:val="2B221997"/>
    <w:rsid w:val="2B2515AE"/>
    <w:rsid w:val="2B26D055"/>
    <w:rsid w:val="2B2B8B99"/>
    <w:rsid w:val="2B2D799A"/>
    <w:rsid w:val="2B306E7E"/>
    <w:rsid w:val="2B331688"/>
    <w:rsid w:val="2B35CFC3"/>
    <w:rsid w:val="2B367064"/>
    <w:rsid w:val="2B3D8A8C"/>
    <w:rsid w:val="2B3E30FB"/>
    <w:rsid w:val="2B4004B5"/>
    <w:rsid w:val="2B417BB3"/>
    <w:rsid w:val="2B4180FA"/>
    <w:rsid w:val="2B44D775"/>
    <w:rsid w:val="2B4D17B6"/>
    <w:rsid w:val="2B4D317C"/>
    <w:rsid w:val="2B4D57FB"/>
    <w:rsid w:val="2B4D73CF"/>
    <w:rsid w:val="2B5190D9"/>
    <w:rsid w:val="2B51E90A"/>
    <w:rsid w:val="2B522260"/>
    <w:rsid w:val="2B579276"/>
    <w:rsid w:val="2B582505"/>
    <w:rsid w:val="2B5C9EE7"/>
    <w:rsid w:val="2B5EC382"/>
    <w:rsid w:val="2B600424"/>
    <w:rsid w:val="2B6301DD"/>
    <w:rsid w:val="2B65DF20"/>
    <w:rsid w:val="2B6F1F59"/>
    <w:rsid w:val="2B6FCCAF"/>
    <w:rsid w:val="2B6FCCF7"/>
    <w:rsid w:val="2B729B38"/>
    <w:rsid w:val="2B78A43B"/>
    <w:rsid w:val="2B7A3404"/>
    <w:rsid w:val="2B7B74F9"/>
    <w:rsid w:val="2B7D8B6C"/>
    <w:rsid w:val="2B81FE57"/>
    <w:rsid w:val="2B863BC3"/>
    <w:rsid w:val="2B8B93A3"/>
    <w:rsid w:val="2B9001D4"/>
    <w:rsid w:val="2B9076C5"/>
    <w:rsid w:val="2B93D87D"/>
    <w:rsid w:val="2B967A15"/>
    <w:rsid w:val="2B978681"/>
    <w:rsid w:val="2B9A3324"/>
    <w:rsid w:val="2B9C85A4"/>
    <w:rsid w:val="2B9CBF0A"/>
    <w:rsid w:val="2BA05F9C"/>
    <w:rsid w:val="2BA0B06F"/>
    <w:rsid w:val="2BA3540E"/>
    <w:rsid w:val="2BA439E7"/>
    <w:rsid w:val="2BA6B3ED"/>
    <w:rsid w:val="2BAC6520"/>
    <w:rsid w:val="2BAF212D"/>
    <w:rsid w:val="2BB46E25"/>
    <w:rsid w:val="2BB712AF"/>
    <w:rsid w:val="2BB9AAC4"/>
    <w:rsid w:val="2BBA065B"/>
    <w:rsid w:val="2BBF9FA1"/>
    <w:rsid w:val="2BC3F533"/>
    <w:rsid w:val="2BC5B2B7"/>
    <w:rsid w:val="2BC7FB1B"/>
    <w:rsid w:val="2BC84D1C"/>
    <w:rsid w:val="2BCD4036"/>
    <w:rsid w:val="2BD54D28"/>
    <w:rsid w:val="2BD9CC3C"/>
    <w:rsid w:val="2BDAA584"/>
    <w:rsid w:val="2BDCC98A"/>
    <w:rsid w:val="2BDE4F4B"/>
    <w:rsid w:val="2BE46675"/>
    <w:rsid w:val="2BE4B52B"/>
    <w:rsid w:val="2BE4E659"/>
    <w:rsid w:val="2BE6D9EE"/>
    <w:rsid w:val="2BEC6E63"/>
    <w:rsid w:val="2BEE0648"/>
    <w:rsid w:val="2BEF7405"/>
    <w:rsid w:val="2BEF8B02"/>
    <w:rsid w:val="2BF06EC8"/>
    <w:rsid w:val="2BF33015"/>
    <w:rsid w:val="2BF4C3BF"/>
    <w:rsid w:val="2BF779E1"/>
    <w:rsid w:val="2BFB2C0B"/>
    <w:rsid w:val="2BFD3FD6"/>
    <w:rsid w:val="2C00639D"/>
    <w:rsid w:val="2C0065D2"/>
    <w:rsid w:val="2C0497F3"/>
    <w:rsid w:val="2C0E1732"/>
    <w:rsid w:val="2C0EB66E"/>
    <w:rsid w:val="2C0F23A6"/>
    <w:rsid w:val="2C109A58"/>
    <w:rsid w:val="2C16308E"/>
    <w:rsid w:val="2C16947F"/>
    <w:rsid w:val="2C193BC1"/>
    <w:rsid w:val="2C1A0F45"/>
    <w:rsid w:val="2C1BB7C2"/>
    <w:rsid w:val="2C20D550"/>
    <w:rsid w:val="2C232D7C"/>
    <w:rsid w:val="2C2466C3"/>
    <w:rsid w:val="2C24CD47"/>
    <w:rsid w:val="2C271492"/>
    <w:rsid w:val="2C2A9B5C"/>
    <w:rsid w:val="2C2AB60F"/>
    <w:rsid w:val="2C2F0A2B"/>
    <w:rsid w:val="2C3191AA"/>
    <w:rsid w:val="2C33B0A7"/>
    <w:rsid w:val="2C3A32E5"/>
    <w:rsid w:val="2C3ABD82"/>
    <w:rsid w:val="2C3DAAD5"/>
    <w:rsid w:val="2C41B601"/>
    <w:rsid w:val="2C422FC2"/>
    <w:rsid w:val="2C42EEE8"/>
    <w:rsid w:val="2C460B79"/>
    <w:rsid w:val="2C4EFBA0"/>
    <w:rsid w:val="2C4F3131"/>
    <w:rsid w:val="2C508704"/>
    <w:rsid w:val="2C50D3A8"/>
    <w:rsid w:val="2C511698"/>
    <w:rsid w:val="2C5146DC"/>
    <w:rsid w:val="2C525A21"/>
    <w:rsid w:val="2C579D9E"/>
    <w:rsid w:val="2C5FA444"/>
    <w:rsid w:val="2C60A374"/>
    <w:rsid w:val="2C634FE8"/>
    <w:rsid w:val="2C6B68C6"/>
    <w:rsid w:val="2C700AB4"/>
    <w:rsid w:val="2C754E0F"/>
    <w:rsid w:val="2C760279"/>
    <w:rsid w:val="2C77022D"/>
    <w:rsid w:val="2C774886"/>
    <w:rsid w:val="2C7778A7"/>
    <w:rsid w:val="2C7CCA0C"/>
    <w:rsid w:val="2C7DD55A"/>
    <w:rsid w:val="2C7E298C"/>
    <w:rsid w:val="2C7E4950"/>
    <w:rsid w:val="2C81FC25"/>
    <w:rsid w:val="2C87B4E2"/>
    <w:rsid w:val="2C8847FB"/>
    <w:rsid w:val="2C88E65F"/>
    <w:rsid w:val="2C8E3913"/>
    <w:rsid w:val="2C8FB4F1"/>
    <w:rsid w:val="2C92D5AD"/>
    <w:rsid w:val="2C930AF6"/>
    <w:rsid w:val="2C949C92"/>
    <w:rsid w:val="2C958145"/>
    <w:rsid w:val="2C983CE3"/>
    <w:rsid w:val="2C98792D"/>
    <w:rsid w:val="2C995F54"/>
    <w:rsid w:val="2C9A2AA2"/>
    <w:rsid w:val="2CA1D5EE"/>
    <w:rsid w:val="2CA24F6B"/>
    <w:rsid w:val="2CA37436"/>
    <w:rsid w:val="2CA5240F"/>
    <w:rsid w:val="2CA57C65"/>
    <w:rsid w:val="2CA7206E"/>
    <w:rsid w:val="2CA7D354"/>
    <w:rsid w:val="2CACBD16"/>
    <w:rsid w:val="2CAE19D9"/>
    <w:rsid w:val="2CAFD928"/>
    <w:rsid w:val="2CB153B9"/>
    <w:rsid w:val="2CB73F16"/>
    <w:rsid w:val="2CBA34DB"/>
    <w:rsid w:val="2CBEB5E7"/>
    <w:rsid w:val="2CC0323F"/>
    <w:rsid w:val="2CC0D64A"/>
    <w:rsid w:val="2CC3A2D1"/>
    <w:rsid w:val="2CC3E8D0"/>
    <w:rsid w:val="2CC477A8"/>
    <w:rsid w:val="2CC98F1F"/>
    <w:rsid w:val="2CCA75A3"/>
    <w:rsid w:val="2CCB39CB"/>
    <w:rsid w:val="2CCBCF68"/>
    <w:rsid w:val="2CCC1DA2"/>
    <w:rsid w:val="2CD0FD40"/>
    <w:rsid w:val="2CD3ECB6"/>
    <w:rsid w:val="2CD58C01"/>
    <w:rsid w:val="2CD5CD01"/>
    <w:rsid w:val="2CDB471B"/>
    <w:rsid w:val="2CDE3B37"/>
    <w:rsid w:val="2CDF4B9A"/>
    <w:rsid w:val="2CE3A857"/>
    <w:rsid w:val="2CE3B520"/>
    <w:rsid w:val="2CE4F8C5"/>
    <w:rsid w:val="2CE579D8"/>
    <w:rsid w:val="2CE69757"/>
    <w:rsid w:val="2CE84A28"/>
    <w:rsid w:val="2CE984CD"/>
    <w:rsid w:val="2CEB3AFE"/>
    <w:rsid w:val="2CECC233"/>
    <w:rsid w:val="2CF203EB"/>
    <w:rsid w:val="2CF517C9"/>
    <w:rsid w:val="2CF53A5B"/>
    <w:rsid w:val="2CF58476"/>
    <w:rsid w:val="2CF6498E"/>
    <w:rsid w:val="2CFA8A88"/>
    <w:rsid w:val="2CFBD4B0"/>
    <w:rsid w:val="2D03AC2E"/>
    <w:rsid w:val="2D04178F"/>
    <w:rsid w:val="2D050D69"/>
    <w:rsid w:val="2D059D14"/>
    <w:rsid w:val="2D068156"/>
    <w:rsid w:val="2D092221"/>
    <w:rsid w:val="2D176471"/>
    <w:rsid w:val="2D19473E"/>
    <w:rsid w:val="2D1A8E8E"/>
    <w:rsid w:val="2D2A1A21"/>
    <w:rsid w:val="2D2BDE6B"/>
    <w:rsid w:val="2D2BE186"/>
    <w:rsid w:val="2D2D0E0B"/>
    <w:rsid w:val="2D319796"/>
    <w:rsid w:val="2D31F35D"/>
    <w:rsid w:val="2D321BD8"/>
    <w:rsid w:val="2D323E1D"/>
    <w:rsid w:val="2D3941C7"/>
    <w:rsid w:val="2D419949"/>
    <w:rsid w:val="2D428486"/>
    <w:rsid w:val="2D4B488A"/>
    <w:rsid w:val="2D4DD8DF"/>
    <w:rsid w:val="2D4F5266"/>
    <w:rsid w:val="2D54658A"/>
    <w:rsid w:val="2D55C885"/>
    <w:rsid w:val="2D577C93"/>
    <w:rsid w:val="2D590FB3"/>
    <w:rsid w:val="2D62157F"/>
    <w:rsid w:val="2D624F98"/>
    <w:rsid w:val="2D62DE10"/>
    <w:rsid w:val="2D64AED1"/>
    <w:rsid w:val="2D6A6B30"/>
    <w:rsid w:val="2D6B6011"/>
    <w:rsid w:val="2D6E225C"/>
    <w:rsid w:val="2D6F51A4"/>
    <w:rsid w:val="2D702A5C"/>
    <w:rsid w:val="2D7043D1"/>
    <w:rsid w:val="2D76430C"/>
    <w:rsid w:val="2D7A620D"/>
    <w:rsid w:val="2D7AC03B"/>
    <w:rsid w:val="2D7BD036"/>
    <w:rsid w:val="2D7F8DE7"/>
    <w:rsid w:val="2D829B6C"/>
    <w:rsid w:val="2D86F7BC"/>
    <w:rsid w:val="2D881ECE"/>
    <w:rsid w:val="2D894A7A"/>
    <w:rsid w:val="2D8993E9"/>
    <w:rsid w:val="2D89B655"/>
    <w:rsid w:val="2D8B4951"/>
    <w:rsid w:val="2D8C8991"/>
    <w:rsid w:val="2D8CCA25"/>
    <w:rsid w:val="2D909769"/>
    <w:rsid w:val="2D91B351"/>
    <w:rsid w:val="2D940125"/>
    <w:rsid w:val="2D978EEC"/>
    <w:rsid w:val="2D9B9E1E"/>
    <w:rsid w:val="2D9ED7B9"/>
    <w:rsid w:val="2DA4053C"/>
    <w:rsid w:val="2DA44E22"/>
    <w:rsid w:val="2DA48C0B"/>
    <w:rsid w:val="2DA5FDAB"/>
    <w:rsid w:val="2DACD97F"/>
    <w:rsid w:val="2DADD28E"/>
    <w:rsid w:val="2DB146D4"/>
    <w:rsid w:val="2DB76956"/>
    <w:rsid w:val="2DB9BDDA"/>
    <w:rsid w:val="2DB9BF85"/>
    <w:rsid w:val="2DBEE9AC"/>
    <w:rsid w:val="2DC16C1A"/>
    <w:rsid w:val="2DC2CE5A"/>
    <w:rsid w:val="2DC43F1F"/>
    <w:rsid w:val="2DC5CE71"/>
    <w:rsid w:val="2DC66CB8"/>
    <w:rsid w:val="2DC75573"/>
    <w:rsid w:val="2DC99766"/>
    <w:rsid w:val="2DCB37DB"/>
    <w:rsid w:val="2DD03182"/>
    <w:rsid w:val="2DD27E17"/>
    <w:rsid w:val="2DD3C7AA"/>
    <w:rsid w:val="2DD87EBC"/>
    <w:rsid w:val="2DDA0437"/>
    <w:rsid w:val="2DDCD2CD"/>
    <w:rsid w:val="2DDDF42B"/>
    <w:rsid w:val="2DE032C6"/>
    <w:rsid w:val="2DE175EC"/>
    <w:rsid w:val="2DE425A4"/>
    <w:rsid w:val="2DE6F546"/>
    <w:rsid w:val="2DED066B"/>
    <w:rsid w:val="2DF02C2F"/>
    <w:rsid w:val="2DF05532"/>
    <w:rsid w:val="2DF22A4B"/>
    <w:rsid w:val="2DF3FB29"/>
    <w:rsid w:val="2DF45414"/>
    <w:rsid w:val="2DF7644E"/>
    <w:rsid w:val="2DFC2AE2"/>
    <w:rsid w:val="2DFE4CB5"/>
    <w:rsid w:val="2DFF4E61"/>
    <w:rsid w:val="2E04B9EA"/>
    <w:rsid w:val="2E0BC2F0"/>
    <w:rsid w:val="2E0DAC70"/>
    <w:rsid w:val="2E0ECE14"/>
    <w:rsid w:val="2E142629"/>
    <w:rsid w:val="2E1CF102"/>
    <w:rsid w:val="2E2444A8"/>
    <w:rsid w:val="2E264A89"/>
    <w:rsid w:val="2E279213"/>
    <w:rsid w:val="2E297383"/>
    <w:rsid w:val="2E29AA84"/>
    <w:rsid w:val="2E2A7E65"/>
    <w:rsid w:val="2E2BA315"/>
    <w:rsid w:val="2E2D15C4"/>
    <w:rsid w:val="2E319A25"/>
    <w:rsid w:val="2E3219A3"/>
    <w:rsid w:val="2E326716"/>
    <w:rsid w:val="2E3694B4"/>
    <w:rsid w:val="2E36DAED"/>
    <w:rsid w:val="2E3949BE"/>
    <w:rsid w:val="2E3B4289"/>
    <w:rsid w:val="2E3C21FE"/>
    <w:rsid w:val="2E3D4B1E"/>
    <w:rsid w:val="2E433286"/>
    <w:rsid w:val="2E43A3C7"/>
    <w:rsid w:val="2E4685BC"/>
    <w:rsid w:val="2E4A1557"/>
    <w:rsid w:val="2E4DA3E6"/>
    <w:rsid w:val="2E54A3A3"/>
    <w:rsid w:val="2E55CAD9"/>
    <w:rsid w:val="2E565926"/>
    <w:rsid w:val="2E57D85C"/>
    <w:rsid w:val="2E5DB71D"/>
    <w:rsid w:val="2E611494"/>
    <w:rsid w:val="2E633189"/>
    <w:rsid w:val="2E6A80EE"/>
    <w:rsid w:val="2E70FBC6"/>
    <w:rsid w:val="2E73F557"/>
    <w:rsid w:val="2E7A905E"/>
    <w:rsid w:val="2E7CDD4F"/>
    <w:rsid w:val="2E7E3256"/>
    <w:rsid w:val="2E83D13C"/>
    <w:rsid w:val="2E8675B3"/>
    <w:rsid w:val="2E8E607F"/>
    <w:rsid w:val="2E90D760"/>
    <w:rsid w:val="2E93D0B6"/>
    <w:rsid w:val="2E98341C"/>
    <w:rsid w:val="2E9E005D"/>
    <w:rsid w:val="2EA3A4CE"/>
    <w:rsid w:val="2EA5A06E"/>
    <w:rsid w:val="2EA90FD3"/>
    <w:rsid w:val="2EABDCBB"/>
    <w:rsid w:val="2EAD0AED"/>
    <w:rsid w:val="2EB1626C"/>
    <w:rsid w:val="2EB3BF3C"/>
    <w:rsid w:val="2EB59FC1"/>
    <w:rsid w:val="2EB9B22E"/>
    <w:rsid w:val="2EBD6111"/>
    <w:rsid w:val="2EBEBF61"/>
    <w:rsid w:val="2EBF7AB7"/>
    <w:rsid w:val="2EBFD4A8"/>
    <w:rsid w:val="2EC0CA6E"/>
    <w:rsid w:val="2EC28C69"/>
    <w:rsid w:val="2EC37019"/>
    <w:rsid w:val="2EC4236A"/>
    <w:rsid w:val="2EC5172E"/>
    <w:rsid w:val="2ECC00B7"/>
    <w:rsid w:val="2ECD1A88"/>
    <w:rsid w:val="2ECF1077"/>
    <w:rsid w:val="2ED21D9B"/>
    <w:rsid w:val="2ED23DE1"/>
    <w:rsid w:val="2ED4699E"/>
    <w:rsid w:val="2ED9A08A"/>
    <w:rsid w:val="2EDD7BB4"/>
    <w:rsid w:val="2EE29C8F"/>
    <w:rsid w:val="2EE38428"/>
    <w:rsid w:val="2EE7A3C5"/>
    <w:rsid w:val="2EED3615"/>
    <w:rsid w:val="2EEED127"/>
    <w:rsid w:val="2EF20211"/>
    <w:rsid w:val="2EF5FFA7"/>
    <w:rsid w:val="2EF8722A"/>
    <w:rsid w:val="2EFA0215"/>
    <w:rsid w:val="2EFB2A07"/>
    <w:rsid w:val="2EFCD163"/>
    <w:rsid w:val="2EFDB5C4"/>
    <w:rsid w:val="2F00C805"/>
    <w:rsid w:val="2F032A65"/>
    <w:rsid w:val="2F0496E7"/>
    <w:rsid w:val="2F0637E6"/>
    <w:rsid w:val="2F06F10F"/>
    <w:rsid w:val="2F077571"/>
    <w:rsid w:val="2F08B7E7"/>
    <w:rsid w:val="2F0CF719"/>
    <w:rsid w:val="2F145C7D"/>
    <w:rsid w:val="2F14649B"/>
    <w:rsid w:val="2F1A2659"/>
    <w:rsid w:val="2F1A6BDE"/>
    <w:rsid w:val="2F1AD15B"/>
    <w:rsid w:val="2F1F2A64"/>
    <w:rsid w:val="2F205EF4"/>
    <w:rsid w:val="2F22D464"/>
    <w:rsid w:val="2F276BF6"/>
    <w:rsid w:val="2F2798ED"/>
    <w:rsid w:val="2F280E61"/>
    <w:rsid w:val="2F2FA5FE"/>
    <w:rsid w:val="2F301AA4"/>
    <w:rsid w:val="2F317BE7"/>
    <w:rsid w:val="2F32730C"/>
    <w:rsid w:val="2F35EF8F"/>
    <w:rsid w:val="2F3797B8"/>
    <w:rsid w:val="2F3FFBE1"/>
    <w:rsid w:val="2F41533C"/>
    <w:rsid w:val="2F435C28"/>
    <w:rsid w:val="2F4E2E50"/>
    <w:rsid w:val="2F4F53B7"/>
    <w:rsid w:val="2F5243DB"/>
    <w:rsid w:val="2F5B6142"/>
    <w:rsid w:val="2F5D2D1B"/>
    <w:rsid w:val="2F5E17A1"/>
    <w:rsid w:val="2F670153"/>
    <w:rsid w:val="2F6CE41E"/>
    <w:rsid w:val="2F6DAD08"/>
    <w:rsid w:val="2F6DBE7F"/>
    <w:rsid w:val="2F6EE90F"/>
    <w:rsid w:val="2F709882"/>
    <w:rsid w:val="2F728330"/>
    <w:rsid w:val="2F7516A9"/>
    <w:rsid w:val="2F7845C3"/>
    <w:rsid w:val="2F78DD58"/>
    <w:rsid w:val="2F7DA339"/>
    <w:rsid w:val="2F828311"/>
    <w:rsid w:val="2F83EF56"/>
    <w:rsid w:val="2F85349F"/>
    <w:rsid w:val="2F87050F"/>
    <w:rsid w:val="2F8B9444"/>
    <w:rsid w:val="2F8C2C4E"/>
    <w:rsid w:val="2F8F4F3D"/>
    <w:rsid w:val="2F956182"/>
    <w:rsid w:val="2F96F01C"/>
    <w:rsid w:val="2F97352D"/>
    <w:rsid w:val="2F974C10"/>
    <w:rsid w:val="2F9E1590"/>
    <w:rsid w:val="2FA033BE"/>
    <w:rsid w:val="2FA0EAA4"/>
    <w:rsid w:val="2FACE247"/>
    <w:rsid w:val="2FB24D8A"/>
    <w:rsid w:val="2FB3BA01"/>
    <w:rsid w:val="2FB47980"/>
    <w:rsid w:val="2FB52CAE"/>
    <w:rsid w:val="2FB75EEE"/>
    <w:rsid w:val="2FB7B83E"/>
    <w:rsid w:val="2FB8D581"/>
    <w:rsid w:val="2FB93039"/>
    <w:rsid w:val="2FBA3CAF"/>
    <w:rsid w:val="2FBEB54F"/>
    <w:rsid w:val="2FC037B4"/>
    <w:rsid w:val="2FC24819"/>
    <w:rsid w:val="2FC3294A"/>
    <w:rsid w:val="2FC3FD21"/>
    <w:rsid w:val="2FC42593"/>
    <w:rsid w:val="2FC4AE20"/>
    <w:rsid w:val="2FCA33BC"/>
    <w:rsid w:val="2FCB7ED0"/>
    <w:rsid w:val="2FCBB582"/>
    <w:rsid w:val="2FD01CAE"/>
    <w:rsid w:val="2FD1E93A"/>
    <w:rsid w:val="2FD3AD6D"/>
    <w:rsid w:val="2FD46AEA"/>
    <w:rsid w:val="2FD55E7B"/>
    <w:rsid w:val="2FD9A284"/>
    <w:rsid w:val="2FE07BA9"/>
    <w:rsid w:val="2FE08316"/>
    <w:rsid w:val="2FE0B149"/>
    <w:rsid w:val="2FE2A093"/>
    <w:rsid w:val="2FE40203"/>
    <w:rsid w:val="2FE91D6E"/>
    <w:rsid w:val="2FE9F3A7"/>
    <w:rsid w:val="2FEC73C2"/>
    <w:rsid w:val="2FED1604"/>
    <w:rsid w:val="2FEE5AF1"/>
    <w:rsid w:val="2FEFFAF1"/>
    <w:rsid w:val="2FF334D6"/>
    <w:rsid w:val="2FF43A3C"/>
    <w:rsid w:val="2FF5566F"/>
    <w:rsid w:val="2FF7FFBB"/>
    <w:rsid w:val="2FF9D416"/>
    <w:rsid w:val="2FFA275F"/>
    <w:rsid w:val="2FFA5F81"/>
    <w:rsid w:val="2FFE5F66"/>
    <w:rsid w:val="2FFF7C92"/>
    <w:rsid w:val="2FFFE8E4"/>
    <w:rsid w:val="3002D05F"/>
    <w:rsid w:val="3006377F"/>
    <w:rsid w:val="3006E5C0"/>
    <w:rsid w:val="3009E44F"/>
    <w:rsid w:val="300C68CD"/>
    <w:rsid w:val="300D7FAA"/>
    <w:rsid w:val="300E6F70"/>
    <w:rsid w:val="3012874E"/>
    <w:rsid w:val="3012A6F4"/>
    <w:rsid w:val="3012C1A9"/>
    <w:rsid w:val="301311D8"/>
    <w:rsid w:val="30159940"/>
    <w:rsid w:val="3016E1D0"/>
    <w:rsid w:val="3016E1D9"/>
    <w:rsid w:val="3016E54B"/>
    <w:rsid w:val="3018EC81"/>
    <w:rsid w:val="301991BF"/>
    <w:rsid w:val="301AFAEE"/>
    <w:rsid w:val="301C11E2"/>
    <w:rsid w:val="30246D59"/>
    <w:rsid w:val="302B6431"/>
    <w:rsid w:val="302BD90E"/>
    <w:rsid w:val="30304EF1"/>
    <w:rsid w:val="303136DC"/>
    <w:rsid w:val="3033CDC5"/>
    <w:rsid w:val="3035A679"/>
    <w:rsid w:val="3038ABE1"/>
    <w:rsid w:val="303940B1"/>
    <w:rsid w:val="3040AF30"/>
    <w:rsid w:val="304129C1"/>
    <w:rsid w:val="3041587E"/>
    <w:rsid w:val="3044876B"/>
    <w:rsid w:val="30455473"/>
    <w:rsid w:val="3046F593"/>
    <w:rsid w:val="304A8E8C"/>
    <w:rsid w:val="304C27BA"/>
    <w:rsid w:val="304DA516"/>
    <w:rsid w:val="304EB32C"/>
    <w:rsid w:val="30506A98"/>
    <w:rsid w:val="3051562C"/>
    <w:rsid w:val="30545DC3"/>
    <w:rsid w:val="3054621A"/>
    <w:rsid w:val="30564FDB"/>
    <w:rsid w:val="30592156"/>
    <w:rsid w:val="30597DB2"/>
    <w:rsid w:val="305A50E6"/>
    <w:rsid w:val="305E521B"/>
    <w:rsid w:val="30601604"/>
    <w:rsid w:val="30626FCE"/>
    <w:rsid w:val="3065CF52"/>
    <w:rsid w:val="30667D4A"/>
    <w:rsid w:val="3069BE62"/>
    <w:rsid w:val="306AD233"/>
    <w:rsid w:val="306DC1EC"/>
    <w:rsid w:val="30745697"/>
    <w:rsid w:val="3076C129"/>
    <w:rsid w:val="30773EB5"/>
    <w:rsid w:val="30792462"/>
    <w:rsid w:val="307B48B1"/>
    <w:rsid w:val="307C454F"/>
    <w:rsid w:val="307E6F93"/>
    <w:rsid w:val="307F187B"/>
    <w:rsid w:val="307F28C2"/>
    <w:rsid w:val="308119D2"/>
    <w:rsid w:val="3081FCA9"/>
    <w:rsid w:val="308373BA"/>
    <w:rsid w:val="3083C343"/>
    <w:rsid w:val="30884749"/>
    <w:rsid w:val="30884CE4"/>
    <w:rsid w:val="3089FCF9"/>
    <w:rsid w:val="308A3AC3"/>
    <w:rsid w:val="308AC771"/>
    <w:rsid w:val="308D2DCA"/>
    <w:rsid w:val="308D9D8F"/>
    <w:rsid w:val="308E949C"/>
    <w:rsid w:val="309003B8"/>
    <w:rsid w:val="30925E77"/>
    <w:rsid w:val="3095F184"/>
    <w:rsid w:val="3097ED36"/>
    <w:rsid w:val="30992CFB"/>
    <w:rsid w:val="3099ADA0"/>
    <w:rsid w:val="309C4441"/>
    <w:rsid w:val="309F8EAF"/>
    <w:rsid w:val="30A2D79B"/>
    <w:rsid w:val="30A2EE26"/>
    <w:rsid w:val="30AB2B17"/>
    <w:rsid w:val="30B0765A"/>
    <w:rsid w:val="30B0852E"/>
    <w:rsid w:val="30B1164E"/>
    <w:rsid w:val="30B163A8"/>
    <w:rsid w:val="30B3AF32"/>
    <w:rsid w:val="30B53CAB"/>
    <w:rsid w:val="30B660A9"/>
    <w:rsid w:val="30B9F4B8"/>
    <w:rsid w:val="30BBB585"/>
    <w:rsid w:val="30BC7F78"/>
    <w:rsid w:val="30BCD7F9"/>
    <w:rsid w:val="30BEF3A4"/>
    <w:rsid w:val="30CA02A0"/>
    <w:rsid w:val="30CAA7CE"/>
    <w:rsid w:val="30D0CAB7"/>
    <w:rsid w:val="30D352F0"/>
    <w:rsid w:val="30D69B39"/>
    <w:rsid w:val="30DA2F93"/>
    <w:rsid w:val="30DD147A"/>
    <w:rsid w:val="30DDAFDC"/>
    <w:rsid w:val="30DFFEEE"/>
    <w:rsid w:val="30E1A92A"/>
    <w:rsid w:val="30E1C632"/>
    <w:rsid w:val="30E5B63C"/>
    <w:rsid w:val="30E60710"/>
    <w:rsid w:val="30E6624E"/>
    <w:rsid w:val="30EC1C57"/>
    <w:rsid w:val="30EECD14"/>
    <w:rsid w:val="30F08897"/>
    <w:rsid w:val="30F33D65"/>
    <w:rsid w:val="30F669C7"/>
    <w:rsid w:val="30F70633"/>
    <w:rsid w:val="30F9B854"/>
    <w:rsid w:val="31019931"/>
    <w:rsid w:val="3103B4E7"/>
    <w:rsid w:val="310D764B"/>
    <w:rsid w:val="3110A7B5"/>
    <w:rsid w:val="311990DA"/>
    <w:rsid w:val="3119D148"/>
    <w:rsid w:val="311EECE5"/>
    <w:rsid w:val="31200B38"/>
    <w:rsid w:val="3121B2DF"/>
    <w:rsid w:val="3121BBBA"/>
    <w:rsid w:val="3122EC3A"/>
    <w:rsid w:val="31292C42"/>
    <w:rsid w:val="3129A5EC"/>
    <w:rsid w:val="3134B87A"/>
    <w:rsid w:val="3134EDDD"/>
    <w:rsid w:val="31355B5C"/>
    <w:rsid w:val="3136C15C"/>
    <w:rsid w:val="3137AC2F"/>
    <w:rsid w:val="313FB9D5"/>
    <w:rsid w:val="313FC3FA"/>
    <w:rsid w:val="31419D6D"/>
    <w:rsid w:val="3142E7F7"/>
    <w:rsid w:val="314B9252"/>
    <w:rsid w:val="314F60AF"/>
    <w:rsid w:val="3152468E"/>
    <w:rsid w:val="31538017"/>
    <w:rsid w:val="31549A83"/>
    <w:rsid w:val="31550A08"/>
    <w:rsid w:val="3157FE0D"/>
    <w:rsid w:val="315B2399"/>
    <w:rsid w:val="315BC134"/>
    <w:rsid w:val="31611C03"/>
    <w:rsid w:val="31643818"/>
    <w:rsid w:val="316716BB"/>
    <w:rsid w:val="31679AB4"/>
    <w:rsid w:val="31687EA4"/>
    <w:rsid w:val="3169EBDA"/>
    <w:rsid w:val="316B0BAA"/>
    <w:rsid w:val="316EB8FF"/>
    <w:rsid w:val="316FC2A1"/>
    <w:rsid w:val="3176F202"/>
    <w:rsid w:val="31772C61"/>
    <w:rsid w:val="317BA1FA"/>
    <w:rsid w:val="317CAC4A"/>
    <w:rsid w:val="317DAC21"/>
    <w:rsid w:val="31803E3D"/>
    <w:rsid w:val="318439C8"/>
    <w:rsid w:val="3189792C"/>
    <w:rsid w:val="318A07AD"/>
    <w:rsid w:val="318E504A"/>
    <w:rsid w:val="318EE635"/>
    <w:rsid w:val="31967956"/>
    <w:rsid w:val="3196FD85"/>
    <w:rsid w:val="319A7194"/>
    <w:rsid w:val="319D3D6D"/>
    <w:rsid w:val="319E883E"/>
    <w:rsid w:val="319EB6AD"/>
    <w:rsid w:val="319F8059"/>
    <w:rsid w:val="31A0A041"/>
    <w:rsid w:val="31A13B53"/>
    <w:rsid w:val="31A1B21A"/>
    <w:rsid w:val="31A275A6"/>
    <w:rsid w:val="31A5E405"/>
    <w:rsid w:val="31A79B8B"/>
    <w:rsid w:val="31A8122D"/>
    <w:rsid w:val="31AC44D2"/>
    <w:rsid w:val="31C1E8EB"/>
    <w:rsid w:val="31C33691"/>
    <w:rsid w:val="31C3395A"/>
    <w:rsid w:val="31C4CFBA"/>
    <w:rsid w:val="31C64621"/>
    <w:rsid w:val="31C73CC8"/>
    <w:rsid w:val="31C79692"/>
    <w:rsid w:val="31CA4F10"/>
    <w:rsid w:val="31CA76D6"/>
    <w:rsid w:val="31D3B1F2"/>
    <w:rsid w:val="31DD62EB"/>
    <w:rsid w:val="31E43A20"/>
    <w:rsid w:val="31E6AD82"/>
    <w:rsid w:val="31E76CE2"/>
    <w:rsid w:val="31EC8014"/>
    <w:rsid w:val="31EE0776"/>
    <w:rsid w:val="31EEC721"/>
    <w:rsid w:val="31EF6976"/>
    <w:rsid w:val="31F0FEE3"/>
    <w:rsid w:val="31F4A135"/>
    <w:rsid w:val="31F634AD"/>
    <w:rsid w:val="31FA1C96"/>
    <w:rsid w:val="31FDF619"/>
    <w:rsid w:val="32043474"/>
    <w:rsid w:val="3204F2DE"/>
    <w:rsid w:val="3205777B"/>
    <w:rsid w:val="32075A16"/>
    <w:rsid w:val="320778DF"/>
    <w:rsid w:val="3207CD94"/>
    <w:rsid w:val="3209351E"/>
    <w:rsid w:val="320CDB8A"/>
    <w:rsid w:val="320D6B6F"/>
    <w:rsid w:val="32116C28"/>
    <w:rsid w:val="32120B54"/>
    <w:rsid w:val="32135A83"/>
    <w:rsid w:val="3218BAB6"/>
    <w:rsid w:val="321BBE58"/>
    <w:rsid w:val="321C7796"/>
    <w:rsid w:val="32231800"/>
    <w:rsid w:val="3223E9E2"/>
    <w:rsid w:val="322B8AC1"/>
    <w:rsid w:val="322F4FA4"/>
    <w:rsid w:val="322FCA20"/>
    <w:rsid w:val="3232A630"/>
    <w:rsid w:val="3238B21C"/>
    <w:rsid w:val="3238CDC4"/>
    <w:rsid w:val="323D2219"/>
    <w:rsid w:val="323F6E18"/>
    <w:rsid w:val="32414DF7"/>
    <w:rsid w:val="3243E093"/>
    <w:rsid w:val="32449831"/>
    <w:rsid w:val="3246F4A4"/>
    <w:rsid w:val="32474893"/>
    <w:rsid w:val="32487D32"/>
    <w:rsid w:val="3249494B"/>
    <w:rsid w:val="3249B366"/>
    <w:rsid w:val="324D7EB9"/>
    <w:rsid w:val="324EC0E5"/>
    <w:rsid w:val="324F1801"/>
    <w:rsid w:val="325277EE"/>
    <w:rsid w:val="3253C429"/>
    <w:rsid w:val="325531A9"/>
    <w:rsid w:val="32556140"/>
    <w:rsid w:val="32570CE8"/>
    <w:rsid w:val="3257B638"/>
    <w:rsid w:val="325A16F9"/>
    <w:rsid w:val="325CF7FD"/>
    <w:rsid w:val="32625701"/>
    <w:rsid w:val="3263463A"/>
    <w:rsid w:val="32639050"/>
    <w:rsid w:val="3264691D"/>
    <w:rsid w:val="3264ABE0"/>
    <w:rsid w:val="3267150F"/>
    <w:rsid w:val="3268F786"/>
    <w:rsid w:val="326993F5"/>
    <w:rsid w:val="32705DF7"/>
    <w:rsid w:val="32730D7A"/>
    <w:rsid w:val="32795070"/>
    <w:rsid w:val="327A49A3"/>
    <w:rsid w:val="327AA072"/>
    <w:rsid w:val="327D5B8D"/>
    <w:rsid w:val="32805C67"/>
    <w:rsid w:val="3281926B"/>
    <w:rsid w:val="328496E8"/>
    <w:rsid w:val="3284D0C4"/>
    <w:rsid w:val="32859F91"/>
    <w:rsid w:val="32879388"/>
    <w:rsid w:val="328A29EF"/>
    <w:rsid w:val="328E98D9"/>
    <w:rsid w:val="328E9F48"/>
    <w:rsid w:val="329791F2"/>
    <w:rsid w:val="32997C14"/>
    <w:rsid w:val="329E9383"/>
    <w:rsid w:val="329FD543"/>
    <w:rsid w:val="32A05448"/>
    <w:rsid w:val="32A5B726"/>
    <w:rsid w:val="32A5F6C7"/>
    <w:rsid w:val="32A7D6B3"/>
    <w:rsid w:val="32A9DF2F"/>
    <w:rsid w:val="32AC4EF5"/>
    <w:rsid w:val="32AC633F"/>
    <w:rsid w:val="32ACEDA3"/>
    <w:rsid w:val="32AE4EFB"/>
    <w:rsid w:val="32AE75A0"/>
    <w:rsid w:val="32B3FA6F"/>
    <w:rsid w:val="32B99D34"/>
    <w:rsid w:val="32BF92BC"/>
    <w:rsid w:val="32C0A05B"/>
    <w:rsid w:val="32C4919C"/>
    <w:rsid w:val="32C5BA5A"/>
    <w:rsid w:val="32CAFDCE"/>
    <w:rsid w:val="32CC2747"/>
    <w:rsid w:val="32CFE541"/>
    <w:rsid w:val="32D7F165"/>
    <w:rsid w:val="32DA27FE"/>
    <w:rsid w:val="32DAD9FA"/>
    <w:rsid w:val="32DC0F41"/>
    <w:rsid w:val="32DDACDA"/>
    <w:rsid w:val="32DF832D"/>
    <w:rsid w:val="32DFFEAF"/>
    <w:rsid w:val="32E05E51"/>
    <w:rsid w:val="32E1A04C"/>
    <w:rsid w:val="32E7ED79"/>
    <w:rsid w:val="32E9ABD2"/>
    <w:rsid w:val="32EC1C1C"/>
    <w:rsid w:val="32F0EE95"/>
    <w:rsid w:val="32F47E86"/>
    <w:rsid w:val="32F63712"/>
    <w:rsid w:val="32F6461A"/>
    <w:rsid w:val="32F81034"/>
    <w:rsid w:val="32F96FC9"/>
    <w:rsid w:val="32F9FEC3"/>
    <w:rsid w:val="32FA3DCA"/>
    <w:rsid w:val="32FC9E92"/>
    <w:rsid w:val="32FCDD22"/>
    <w:rsid w:val="32FD13BE"/>
    <w:rsid w:val="32FD32AA"/>
    <w:rsid w:val="32FE30D5"/>
    <w:rsid w:val="32FE7F8A"/>
    <w:rsid w:val="32FF4FDD"/>
    <w:rsid w:val="33003371"/>
    <w:rsid w:val="3303FAF7"/>
    <w:rsid w:val="3305A45F"/>
    <w:rsid w:val="33071060"/>
    <w:rsid w:val="33072A31"/>
    <w:rsid w:val="33072FE7"/>
    <w:rsid w:val="33094668"/>
    <w:rsid w:val="330E24C6"/>
    <w:rsid w:val="330E8CDA"/>
    <w:rsid w:val="330EDA0E"/>
    <w:rsid w:val="330F3E72"/>
    <w:rsid w:val="33110C7B"/>
    <w:rsid w:val="3311BF9D"/>
    <w:rsid w:val="331306AA"/>
    <w:rsid w:val="3314068A"/>
    <w:rsid w:val="3315E47F"/>
    <w:rsid w:val="33192DF9"/>
    <w:rsid w:val="331A25AC"/>
    <w:rsid w:val="331A8D00"/>
    <w:rsid w:val="3322E728"/>
    <w:rsid w:val="33234FF9"/>
    <w:rsid w:val="3324ABAB"/>
    <w:rsid w:val="33271236"/>
    <w:rsid w:val="332B2A2F"/>
    <w:rsid w:val="332B3057"/>
    <w:rsid w:val="332FA4D8"/>
    <w:rsid w:val="3330F164"/>
    <w:rsid w:val="3331BF18"/>
    <w:rsid w:val="33361D76"/>
    <w:rsid w:val="333A404C"/>
    <w:rsid w:val="333B77D1"/>
    <w:rsid w:val="333BF7C9"/>
    <w:rsid w:val="333DACD0"/>
    <w:rsid w:val="333F05A7"/>
    <w:rsid w:val="3341590E"/>
    <w:rsid w:val="3343C2AA"/>
    <w:rsid w:val="3349C446"/>
    <w:rsid w:val="334D4815"/>
    <w:rsid w:val="334DBB16"/>
    <w:rsid w:val="334E9C11"/>
    <w:rsid w:val="33554C9E"/>
    <w:rsid w:val="3355BB5F"/>
    <w:rsid w:val="335A73C2"/>
    <w:rsid w:val="335AFCBE"/>
    <w:rsid w:val="335BEE23"/>
    <w:rsid w:val="33622BEC"/>
    <w:rsid w:val="33663847"/>
    <w:rsid w:val="3367336D"/>
    <w:rsid w:val="33690D92"/>
    <w:rsid w:val="33699D70"/>
    <w:rsid w:val="336D3064"/>
    <w:rsid w:val="336E6107"/>
    <w:rsid w:val="336E636D"/>
    <w:rsid w:val="336F5FA6"/>
    <w:rsid w:val="337022DE"/>
    <w:rsid w:val="3370A464"/>
    <w:rsid w:val="3370FD15"/>
    <w:rsid w:val="337594F6"/>
    <w:rsid w:val="337CFAD9"/>
    <w:rsid w:val="33809B78"/>
    <w:rsid w:val="338319CB"/>
    <w:rsid w:val="33859EAF"/>
    <w:rsid w:val="338A72B4"/>
    <w:rsid w:val="3393755B"/>
    <w:rsid w:val="33941C16"/>
    <w:rsid w:val="3395F3E1"/>
    <w:rsid w:val="33964B45"/>
    <w:rsid w:val="33973AB1"/>
    <w:rsid w:val="339B898B"/>
    <w:rsid w:val="339D2E11"/>
    <w:rsid w:val="33A046C9"/>
    <w:rsid w:val="33A192FE"/>
    <w:rsid w:val="33A5B21B"/>
    <w:rsid w:val="33AA985C"/>
    <w:rsid w:val="33AABD48"/>
    <w:rsid w:val="33AD843F"/>
    <w:rsid w:val="33AE128D"/>
    <w:rsid w:val="33B6CFFD"/>
    <w:rsid w:val="33B74122"/>
    <w:rsid w:val="33BC8E33"/>
    <w:rsid w:val="33C063B9"/>
    <w:rsid w:val="33C11CCE"/>
    <w:rsid w:val="33C52E5C"/>
    <w:rsid w:val="33C765FF"/>
    <w:rsid w:val="33C820DE"/>
    <w:rsid w:val="33C88C7F"/>
    <w:rsid w:val="33CA206C"/>
    <w:rsid w:val="33CB60BC"/>
    <w:rsid w:val="33CC2649"/>
    <w:rsid w:val="33CE15F3"/>
    <w:rsid w:val="33CF6306"/>
    <w:rsid w:val="33D271F3"/>
    <w:rsid w:val="33D88E0E"/>
    <w:rsid w:val="33D998BB"/>
    <w:rsid w:val="33DBC214"/>
    <w:rsid w:val="33DCAB72"/>
    <w:rsid w:val="33DD423E"/>
    <w:rsid w:val="33E30BC7"/>
    <w:rsid w:val="33E4F4E6"/>
    <w:rsid w:val="33F07E71"/>
    <w:rsid w:val="33F3A052"/>
    <w:rsid w:val="33F41D8E"/>
    <w:rsid w:val="33F46750"/>
    <w:rsid w:val="33F46F38"/>
    <w:rsid w:val="33F66B2B"/>
    <w:rsid w:val="33F80D57"/>
    <w:rsid w:val="33FB2844"/>
    <w:rsid w:val="33FEE0F2"/>
    <w:rsid w:val="34016BAC"/>
    <w:rsid w:val="3401D251"/>
    <w:rsid w:val="34081D0C"/>
    <w:rsid w:val="340AAF1F"/>
    <w:rsid w:val="340BB34F"/>
    <w:rsid w:val="341351ED"/>
    <w:rsid w:val="3416F88B"/>
    <w:rsid w:val="341A65C7"/>
    <w:rsid w:val="341AFC69"/>
    <w:rsid w:val="341C0EE6"/>
    <w:rsid w:val="341FAE19"/>
    <w:rsid w:val="342218EB"/>
    <w:rsid w:val="3422E20A"/>
    <w:rsid w:val="3425BC42"/>
    <w:rsid w:val="34290BBB"/>
    <w:rsid w:val="342B51AA"/>
    <w:rsid w:val="342BFE2E"/>
    <w:rsid w:val="342CA39C"/>
    <w:rsid w:val="3430E4D2"/>
    <w:rsid w:val="343199E4"/>
    <w:rsid w:val="34332A6F"/>
    <w:rsid w:val="34368178"/>
    <w:rsid w:val="3436CFB7"/>
    <w:rsid w:val="343748EB"/>
    <w:rsid w:val="3439CB3F"/>
    <w:rsid w:val="343B3A66"/>
    <w:rsid w:val="343D744A"/>
    <w:rsid w:val="34456151"/>
    <w:rsid w:val="3446F871"/>
    <w:rsid w:val="3447BB6A"/>
    <w:rsid w:val="3447FA26"/>
    <w:rsid w:val="3449D241"/>
    <w:rsid w:val="344C00BF"/>
    <w:rsid w:val="344E095A"/>
    <w:rsid w:val="344EA410"/>
    <w:rsid w:val="34507DB6"/>
    <w:rsid w:val="3451DC31"/>
    <w:rsid w:val="34546770"/>
    <w:rsid w:val="3454E1F7"/>
    <w:rsid w:val="345673F0"/>
    <w:rsid w:val="345BADB7"/>
    <w:rsid w:val="345E4E21"/>
    <w:rsid w:val="346010A7"/>
    <w:rsid w:val="3463A1DF"/>
    <w:rsid w:val="3466595B"/>
    <w:rsid w:val="3469E88C"/>
    <w:rsid w:val="346B0D50"/>
    <w:rsid w:val="346CC0D2"/>
    <w:rsid w:val="346E56F5"/>
    <w:rsid w:val="34725D0E"/>
    <w:rsid w:val="347285E3"/>
    <w:rsid w:val="34748478"/>
    <w:rsid w:val="3474F03B"/>
    <w:rsid w:val="347616B7"/>
    <w:rsid w:val="34770DB8"/>
    <w:rsid w:val="3479D5BB"/>
    <w:rsid w:val="347B4923"/>
    <w:rsid w:val="347B8C3D"/>
    <w:rsid w:val="347BEB02"/>
    <w:rsid w:val="347D0653"/>
    <w:rsid w:val="347FF9EB"/>
    <w:rsid w:val="348042D2"/>
    <w:rsid w:val="348218CA"/>
    <w:rsid w:val="34856499"/>
    <w:rsid w:val="34879721"/>
    <w:rsid w:val="348C2F79"/>
    <w:rsid w:val="348FD9BF"/>
    <w:rsid w:val="34937E31"/>
    <w:rsid w:val="349701A9"/>
    <w:rsid w:val="34971F96"/>
    <w:rsid w:val="349AE8AC"/>
    <w:rsid w:val="349E8576"/>
    <w:rsid w:val="34A123A2"/>
    <w:rsid w:val="34A30662"/>
    <w:rsid w:val="34A33FDA"/>
    <w:rsid w:val="34A50D63"/>
    <w:rsid w:val="34A984E8"/>
    <w:rsid w:val="34AA5B13"/>
    <w:rsid w:val="34B1AFB6"/>
    <w:rsid w:val="34B554A4"/>
    <w:rsid w:val="34B61BEA"/>
    <w:rsid w:val="34BA03C1"/>
    <w:rsid w:val="34BC470E"/>
    <w:rsid w:val="34BC773E"/>
    <w:rsid w:val="34C010CA"/>
    <w:rsid w:val="34C11304"/>
    <w:rsid w:val="34C1562F"/>
    <w:rsid w:val="34C3AB7A"/>
    <w:rsid w:val="34C692FB"/>
    <w:rsid w:val="34C9236A"/>
    <w:rsid w:val="34CE855F"/>
    <w:rsid w:val="34CF598F"/>
    <w:rsid w:val="34CFE098"/>
    <w:rsid w:val="34D76A34"/>
    <w:rsid w:val="34D82EA8"/>
    <w:rsid w:val="34D8E9D7"/>
    <w:rsid w:val="34D9DFF5"/>
    <w:rsid w:val="34E5FEFD"/>
    <w:rsid w:val="34E72E62"/>
    <w:rsid w:val="34E775CA"/>
    <w:rsid w:val="34E8CE86"/>
    <w:rsid w:val="34EB0A14"/>
    <w:rsid w:val="34EB1CE1"/>
    <w:rsid w:val="34EB97DC"/>
    <w:rsid w:val="34ED703E"/>
    <w:rsid w:val="34EF4F39"/>
    <w:rsid w:val="34EFB395"/>
    <w:rsid w:val="34F12167"/>
    <w:rsid w:val="34F56E88"/>
    <w:rsid w:val="34F7FD61"/>
    <w:rsid w:val="34FE8B28"/>
    <w:rsid w:val="34FF2517"/>
    <w:rsid w:val="35007A1F"/>
    <w:rsid w:val="3500A2C8"/>
    <w:rsid w:val="3503AC41"/>
    <w:rsid w:val="3503B5C4"/>
    <w:rsid w:val="3505C592"/>
    <w:rsid w:val="3508F782"/>
    <w:rsid w:val="350C273C"/>
    <w:rsid w:val="351404FA"/>
    <w:rsid w:val="351A29F1"/>
    <w:rsid w:val="351A92A8"/>
    <w:rsid w:val="351CFD99"/>
    <w:rsid w:val="351D9A71"/>
    <w:rsid w:val="351EBF17"/>
    <w:rsid w:val="3520306F"/>
    <w:rsid w:val="352088D7"/>
    <w:rsid w:val="3520A9D6"/>
    <w:rsid w:val="3525476E"/>
    <w:rsid w:val="352A2AB8"/>
    <w:rsid w:val="352B7790"/>
    <w:rsid w:val="353049DB"/>
    <w:rsid w:val="3535A431"/>
    <w:rsid w:val="3535EFFC"/>
    <w:rsid w:val="353677DC"/>
    <w:rsid w:val="3536CCB1"/>
    <w:rsid w:val="353C4C34"/>
    <w:rsid w:val="353C6FED"/>
    <w:rsid w:val="353D2B43"/>
    <w:rsid w:val="353DED37"/>
    <w:rsid w:val="353E0936"/>
    <w:rsid w:val="353FA389"/>
    <w:rsid w:val="3541C9CA"/>
    <w:rsid w:val="3548F5FD"/>
    <w:rsid w:val="3549B219"/>
    <w:rsid w:val="3551894C"/>
    <w:rsid w:val="35524526"/>
    <w:rsid w:val="3554EA06"/>
    <w:rsid w:val="35568FDB"/>
    <w:rsid w:val="35575F2B"/>
    <w:rsid w:val="355A90BD"/>
    <w:rsid w:val="35610D86"/>
    <w:rsid w:val="3561589E"/>
    <w:rsid w:val="3563A377"/>
    <w:rsid w:val="356825CE"/>
    <w:rsid w:val="356D1F1E"/>
    <w:rsid w:val="356D2028"/>
    <w:rsid w:val="356F21AB"/>
    <w:rsid w:val="356FE7DE"/>
    <w:rsid w:val="3572233F"/>
    <w:rsid w:val="357417D9"/>
    <w:rsid w:val="357591B8"/>
    <w:rsid w:val="35784F93"/>
    <w:rsid w:val="3579DD34"/>
    <w:rsid w:val="357BD546"/>
    <w:rsid w:val="358439FD"/>
    <w:rsid w:val="35883BEE"/>
    <w:rsid w:val="358C8BEA"/>
    <w:rsid w:val="358FE0EE"/>
    <w:rsid w:val="35906CAD"/>
    <w:rsid w:val="359133C8"/>
    <w:rsid w:val="35937D0F"/>
    <w:rsid w:val="35965E69"/>
    <w:rsid w:val="3596C570"/>
    <w:rsid w:val="359C4473"/>
    <w:rsid w:val="359FCB40"/>
    <w:rsid w:val="35A193F8"/>
    <w:rsid w:val="35A1F656"/>
    <w:rsid w:val="35A4960A"/>
    <w:rsid w:val="35A4D33F"/>
    <w:rsid w:val="35A8D65D"/>
    <w:rsid w:val="35AB9CB6"/>
    <w:rsid w:val="35ABA490"/>
    <w:rsid w:val="35ABFDFA"/>
    <w:rsid w:val="35AE8B7E"/>
    <w:rsid w:val="35B067AF"/>
    <w:rsid w:val="35B52DEF"/>
    <w:rsid w:val="35C191C8"/>
    <w:rsid w:val="35C6DAB0"/>
    <w:rsid w:val="35C7FDFE"/>
    <w:rsid w:val="35CC1EFE"/>
    <w:rsid w:val="35CCF9EA"/>
    <w:rsid w:val="35CCFFE5"/>
    <w:rsid w:val="35CDF14B"/>
    <w:rsid w:val="35CE74CC"/>
    <w:rsid w:val="35D34447"/>
    <w:rsid w:val="35D8B013"/>
    <w:rsid w:val="35D90305"/>
    <w:rsid w:val="35DACF74"/>
    <w:rsid w:val="35DB1248"/>
    <w:rsid w:val="35DB918A"/>
    <w:rsid w:val="35DCE243"/>
    <w:rsid w:val="35DEB458"/>
    <w:rsid w:val="35DF6BF5"/>
    <w:rsid w:val="35E1D1E1"/>
    <w:rsid w:val="35E6B624"/>
    <w:rsid w:val="35EA8A71"/>
    <w:rsid w:val="35EBD636"/>
    <w:rsid w:val="35EBDC53"/>
    <w:rsid w:val="35F03071"/>
    <w:rsid w:val="35F15375"/>
    <w:rsid w:val="35F3331E"/>
    <w:rsid w:val="35F3C355"/>
    <w:rsid w:val="35FB515F"/>
    <w:rsid w:val="35FC2695"/>
    <w:rsid w:val="35FEF013"/>
    <w:rsid w:val="36041C60"/>
    <w:rsid w:val="36046801"/>
    <w:rsid w:val="36094D07"/>
    <w:rsid w:val="3609E0AA"/>
    <w:rsid w:val="360A8E22"/>
    <w:rsid w:val="360CF4C4"/>
    <w:rsid w:val="360D6BF4"/>
    <w:rsid w:val="360DE3B9"/>
    <w:rsid w:val="36109895"/>
    <w:rsid w:val="3614CAFA"/>
    <w:rsid w:val="3615B8D0"/>
    <w:rsid w:val="36169B33"/>
    <w:rsid w:val="36188743"/>
    <w:rsid w:val="3618A3D3"/>
    <w:rsid w:val="3619A8BA"/>
    <w:rsid w:val="3619D5DE"/>
    <w:rsid w:val="361A34A7"/>
    <w:rsid w:val="3620123B"/>
    <w:rsid w:val="36243807"/>
    <w:rsid w:val="3624E6BD"/>
    <w:rsid w:val="362CDF76"/>
    <w:rsid w:val="362E3B57"/>
    <w:rsid w:val="362E495E"/>
    <w:rsid w:val="362EFBDA"/>
    <w:rsid w:val="36309A0F"/>
    <w:rsid w:val="36319289"/>
    <w:rsid w:val="363223E1"/>
    <w:rsid w:val="36338F97"/>
    <w:rsid w:val="3633EBFE"/>
    <w:rsid w:val="3637EC2B"/>
    <w:rsid w:val="36393272"/>
    <w:rsid w:val="363D3D6D"/>
    <w:rsid w:val="36403560"/>
    <w:rsid w:val="3641848E"/>
    <w:rsid w:val="3646238D"/>
    <w:rsid w:val="3648F4ED"/>
    <w:rsid w:val="364B99B0"/>
    <w:rsid w:val="364BC611"/>
    <w:rsid w:val="364C02D0"/>
    <w:rsid w:val="364C7D6A"/>
    <w:rsid w:val="364E1849"/>
    <w:rsid w:val="364E378B"/>
    <w:rsid w:val="36533A92"/>
    <w:rsid w:val="36535960"/>
    <w:rsid w:val="36570CB9"/>
    <w:rsid w:val="36577E2A"/>
    <w:rsid w:val="36597738"/>
    <w:rsid w:val="365D1223"/>
    <w:rsid w:val="365F48AF"/>
    <w:rsid w:val="36603429"/>
    <w:rsid w:val="3661A75E"/>
    <w:rsid w:val="366654F5"/>
    <w:rsid w:val="3668D5A4"/>
    <w:rsid w:val="3670F233"/>
    <w:rsid w:val="3672661A"/>
    <w:rsid w:val="3672EB24"/>
    <w:rsid w:val="3675F5D0"/>
    <w:rsid w:val="3676311F"/>
    <w:rsid w:val="367A8FCB"/>
    <w:rsid w:val="367A99D9"/>
    <w:rsid w:val="36827415"/>
    <w:rsid w:val="3683D5B1"/>
    <w:rsid w:val="368440A3"/>
    <w:rsid w:val="368531A1"/>
    <w:rsid w:val="36860CD5"/>
    <w:rsid w:val="368AF592"/>
    <w:rsid w:val="368B18C3"/>
    <w:rsid w:val="368E5C5C"/>
    <w:rsid w:val="368ED5EA"/>
    <w:rsid w:val="3693FD5A"/>
    <w:rsid w:val="36955802"/>
    <w:rsid w:val="369C60FE"/>
    <w:rsid w:val="36A01E26"/>
    <w:rsid w:val="36AB6988"/>
    <w:rsid w:val="36AC68EA"/>
    <w:rsid w:val="36B582AB"/>
    <w:rsid w:val="36B63B03"/>
    <w:rsid w:val="36B8DE85"/>
    <w:rsid w:val="36BCA056"/>
    <w:rsid w:val="36BD661C"/>
    <w:rsid w:val="36BEFF2D"/>
    <w:rsid w:val="36C16994"/>
    <w:rsid w:val="36C27AB1"/>
    <w:rsid w:val="36CA3B80"/>
    <w:rsid w:val="36CC3FFE"/>
    <w:rsid w:val="36D04256"/>
    <w:rsid w:val="36D07669"/>
    <w:rsid w:val="36D2F333"/>
    <w:rsid w:val="36D3175B"/>
    <w:rsid w:val="36D37F6C"/>
    <w:rsid w:val="36D4E58E"/>
    <w:rsid w:val="36D5ABC4"/>
    <w:rsid w:val="36D6D611"/>
    <w:rsid w:val="36D7729D"/>
    <w:rsid w:val="36D94DF1"/>
    <w:rsid w:val="36DB2768"/>
    <w:rsid w:val="36DBDD49"/>
    <w:rsid w:val="36DC4DCA"/>
    <w:rsid w:val="36DE727F"/>
    <w:rsid w:val="36DF4F03"/>
    <w:rsid w:val="36E2B8C7"/>
    <w:rsid w:val="36E2E22F"/>
    <w:rsid w:val="36E2FDC0"/>
    <w:rsid w:val="36E4F403"/>
    <w:rsid w:val="36E7F1F3"/>
    <w:rsid w:val="36EC7DC8"/>
    <w:rsid w:val="36F086EF"/>
    <w:rsid w:val="36F224B9"/>
    <w:rsid w:val="36F2FBDD"/>
    <w:rsid w:val="36F7CB73"/>
    <w:rsid w:val="370162BD"/>
    <w:rsid w:val="3703244B"/>
    <w:rsid w:val="370519DB"/>
    <w:rsid w:val="370774BB"/>
    <w:rsid w:val="37081F7D"/>
    <w:rsid w:val="37089430"/>
    <w:rsid w:val="370A0EDB"/>
    <w:rsid w:val="370CD28B"/>
    <w:rsid w:val="370D41A2"/>
    <w:rsid w:val="370D7EC0"/>
    <w:rsid w:val="370ECCF3"/>
    <w:rsid w:val="370FE2E1"/>
    <w:rsid w:val="3714C67B"/>
    <w:rsid w:val="3716F514"/>
    <w:rsid w:val="3719080C"/>
    <w:rsid w:val="371BB6C2"/>
    <w:rsid w:val="371C92E8"/>
    <w:rsid w:val="371CF452"/>
    <w:rsid w:val="37200948"/>
    <w:rsid w:val="373283CF"/>
    <w:rsid w:val="37355277"/>
    <w:rsid w:val="37371A75"/>
    <w:rsid w:val="3737452B"/>
    <w:rsid w:val="37381CB3"/>
    <w:rsid w:val="37392612"/>
    <w:rsid w:val="3739D666"/>
    <w:rsid w:val="373B2064"/>
    <w:rsid w:val="373BBC58"/>
    <w:rsid w:val="373D0B18"/>
    <w:rsid w:val="373E3670"/>
    <w:rsid w:val="374AABDF"/>
    <w:rsid w:val="374B2924"/>
    <w:rsid w:val="374D25FB"/>
    <w:rsid w:val="374E9892"/>
    <w:rsid w:val="3751B384"/>
    <w:rsid w:val="376686E8"/>
    <w:rsid w:val="3766CC57"/>
    <w:rsid w:val="37672697"/>
    <w:rsid w:val="376A3F8D"/>
    <w:rsid w:val="376C8C85"/>
    <w:rsid w:val="376D6835"/>
    <w:rsid w:val="3771E597"/>
    <w:rsid w:val="37724875"/>
    <w:rsid w:val="3774973D"/>
    <w:rsid w:val="3774D5C9"/>
    <w:rsid w:val="377951F8"/>
    <w:rsid w:val="377CA3C6"/>
    <w:rsid w:val="377D6DA4"/>
    <w:rsid w:val="377E45C0"/>
    <w:rsid w:val="377F8EA2"/>
    <w:rsid w:val="3782A717"/>
    <w:rsid w:val="37856633"/>
    <w:rsid w:val="3786CB6F"/>
    <w:rsid w:val="378749AE"/>
    <w:rsid w:val="378BB4F8"/>
    <w:rsid w:val="378BB5B1"/>
    <w:rsid w:val="378CE589"/>
    <w:rsid w:val="378E67C3"/>
    <w:rsid w:val="37980CFA"/>
    <w:rsid w:val="3799C4A1"/>
    <w:rsid w:val="379E25DC"/>
    <w:rsid w:val="379FD688"/>
    <w:rsid w:val="37A00702"/>
    <w:rsid w:val="37A62BC7"/>
    <w:rsid w:val="37A652F7"/>
    <w:rsid w:val="37ADDC61"/>
    <w:rsid w:val="37AF96FB"/>
    <w:rsid w:val="37B187AB"/>
    <w:rsid w:val="37B2995F"/>
    <w:rsid w:val="37B450DD"/>
    <w:rsid w:val="37B4C55E"/>
    <w:rsid w:val="37B63172"/>
    <w:rsid w:val="37B6358C"/>
    <w:rsid w:val="37B7B312"/>
    <w:rsid w:val="37B81EDD"/>
    <w:rsid w:val="37BA6251"/>
    <w:rsid w:val="37BDB742"/>
    <w:rsid w:val="37C0D8A7"/>
    <w:rsid w:val="37C3E752"/>
    <w:rsid w:val="37C65CC5"/>
    <w:rsid w:val="37C72509"/>
    <w:rsid w:val="37C7658B"/>
    <w:rsid w:val="37C87CA2"/>
    <w:rsid w:val="37C880E5"/>
    <w:rsid w:val="37C88EE2"/>
    <w:rsid w:val="37C90FE7"/>
    <w:rsid w:val="37CC1AB8"/>
    <w:rsid w:val="37CD8A26"/>
    <w:rsid w:val="37CF7156"/>
    <w:rsid w:val="37D55AE8"/>
    <w:rsid w:val="37D78210"/>
    <w:rsid w:val="37DC73C0"/>
    <w:rsid w:val="37DE5EE9"/>
    <w:rsid w:val="37E1A924"/>
    <w:rsid w:val="37E3F3CD"/>
    <w:rsid w:val="37E597FF"/>
    <w:rsid w:val="37ED2FEC"/>
    <w:rsid w:val="37EF7D16"/>
    <w:rsid w:val="37F0608D"/>
    <w:rsid w:val="37F434B5"/>
    <w:rsid w:val="37F5D37E"/>
    <w:rsid w:val="37F6B927"/>
    <w:rsid w:val="37F8CF23"/>
    <w:rsid w:val="37FB7ED7"/>
    <w:rsid w:val="37FC8559"/>
    <w:rsid w:val="37FC9406"/>
    <w:rsid w:val="37FE0FF0"/>
    <w:rsid w:val="38005A62"/>
    <w:rsid w:val="3806940B"/>
    <w:rsid w:val="38078014"/>
    <w:rsid w:val="38094660"/>
    <w:rsid w:val="380A659A"/>
    <w:rsid w:val="381049FF"/>
    <w:rsid w:val="3813F27C"/>
    <w:rsid w:val="38153462"/>
    <w:rsid w:val="381AC3A4"/>
    <w:rsid w:val="381ADBC3"/>
    <w:rsid w:val="381CA6CE"/>
    <w:rsid w:val="381E2BF1"/>
    <w:rsid w:val="38202A33"/>
    <w:rsid w:val="382167C0"/>
    <w:rsid w:val="38247027"/>
    <w:rsid w:val="3825DCF9"/>
    <w:rsid w:val="38271B87"/>
    <w:rsid w:val="382C5266"/>
    <w:rsid w:val="3831AFA6"/>
    <w:rsid w:val="38337EAE"/>
    <w:rsid w:val="38364386"/>
    <w:rsid w:val="383BB227"/>
    <w:rsid w:val="383BFA24"/>
    <w:rsid w:val="383C8C07"/>
    <w:rsid w:val="38421C55"/>
    <w:rsid w:val="3843C88A"/>
    <w:rsid w:val="38463919"/>
    <w:rsid w:val="3849D3DD"/>
    <w:rsid w:val="384C398A"/>
    <w:rsid w:val="384D318C"/>
    <w:rsid w:val="384E1536"/>
    <w:rsid w:val="3856BB8F"/>
    <w:rsid w:val="3856C682"/>
    <w:rsid w:val="385A6487"/>
    <w:rsid w:val="385EBC06"/>
    <w:rsid w:val="385F6C70"/>
    <w:rsid w:val="386006DF"/>
    <w:rsid w:val="3860EA10"/>
    <w:rsid w:val="38621955"/>
    <w:rsid w:val="38629BC7"/>
    <w:rsid w:val="3864416D"/>
    <w:rsid w:val="386483ED"/>
    <w:rsid w:val="3869ACCA"/>
    <w:rsid w:val="386AEE13"/>
    <w:rsid w:val="386EA428"/>
    <w:rsid w:val="386ED569"/>
    <w:rsid w:val="3874DB60"/>
    <w:rsid w:val="3881B001"/>
    <w:rsid w:val="3882A670"/>
    <w:rsid w:val="3882E09B"/>
    <w:rsid w:val="3883F0FF"/>
    <w:rsid w:val="3883FB20"/>
    <w:rsid w:val="38853A3C"/>
    <w:rsid w:val="38871059"/>
    <w:rsid w:val="388836D1"/>
    <w:rsid w:val="388869ED"/>
    <w:rsid w:val="38893E9A"/>
    <w:rsid w:val="388BC356"/>
    <w:rsid w:val="388CA768"/>
    <w:rsid w:val="388D6D81"/>
    <w:rsid w:val="388E81C3"/>
    <w:rsid w:val="3892BAA2"/>
    <w:rsid w:val="38944499"/>
    <w:rsid w:val="3895246E"/>
    <w:rsid w:val="3895C324"/>
    <w:rsid w:val="3895E2CF"/>
    <w:rsid w:val="38989036"/>
    <w:rsid w:val="389AA3FB"/>
    <w:rsid w:val="389FC1AE"/>
    <w:rsid w:val="38A6047C"/>
    <w:rsid w:val="38A6B574"/>
    <w:rsid w:val="38A96082"/>
    <w:rsid w:val="38ABE38A"/>
    <w:rsid w:val="38B037E3"/>
    <w:rsid w:val="38B420FB"/>
    <w:rsid w:val="38B43E12"/>
    <w:rsid w:val="38B529D3"/>
    <w:rsid w:val="38B6D38F"/>
    <w:rsid w:val="38B76D72"/>
    <w:rsid w:val="38B7D2C1"/>
    <w:rsid w:val="38B9D79D"/>
    <w:rsid w:val="38BB4FF1"/>
    <w:rsid w:val="38BB726E"/>
    <w:rsid w:val="38BC0091"/>
    <w:rsid w:val="38BC35D0"/>
    <w:rsid w:val="38BCFF0E"/>
    <w:rsid w:val="38BDE091"/>
    <w:rsid w:val="38C1A51D"/>
    <w:rsid w:val="38C601A8"/>
    <w:rsid w:val="38C83B09"/>
    <w:rsid w:val="38CF61A4"/>
    <w:rsid w:val="38D78BC8"/>
    <w:rsid w:val="38D7CB4F"/>
    <w:rsid w:val="38D907AB"/>
    <w:rsid w:val="38D93BC9"/>
    <w:rsid w:val="38D94788"/>
    <w:rsid w:val="38DE17C7"/>
    <w:rsid w:val="38E2CE3B"/>
    <w:rsid w:val="38E39B93"/>
    <w:rsid w:val="38E3E645"/>
    <w:rsid w:val="38E528D1"/>
    <w:rsid w:val="38E5D96D"/>
    <w:rsid w:val="38E5DE14"/>
    <w:rsid w:val="38E9A8C3"/>
    <w:rsid w:val="38EE646F"/>
    <w:rsid w:val="38F1F23D"/>
    <w:rsid w:val="38F96BA7"/>
    <w:rsid w:val="38FC7665"/>
    <w:rsid w:val="38FD2938"/>
    <w:rsid w:val="38FE85D7"/>
    <w:rsid w:val="38FE8EDB"/>
    <w:rsid w:val="38FE9581"/>
    <w:rsid w:val="39025700"/>
    <w:rsid w:val="3906C11A"/>
    <w:rsid w:val="3906D802"/>
    <w:rsid w:val="39079308"/>
    <w:rsid w:val="3907A418"/>
    <w:rsid w:val="3908FD81"/>
    <w:rsid w:val="3909185C"/>
    <w:rsid w:val="390A158B"/>
    <w:rsid w:val="390CF4D9"/>
    <w:rsid w:val="390DCF29"/>
    <w:rsid w:val="390F7FB6"/>
    <w:rsid w:val="3911739F"/>
    <w:rsid w:val="3911DEC1"/>
    <w:rsid w:val="3914EFA2"/>
    <w:rsid w:val="391C9250"/>
    <w:rsid w:val="391DBAC1"/>
    <w:rsid w:val="3923BBA4"/>
    <w:rsid w:val="39241FC2"/>
    <w:rsid w:val="39249CBF"/>
    <w:rsid w:val="3926DE06"/>
    <w:rsid w:val="39285513"/>
    <w:rsid w:val="392B0B00"/>
    <w:rsid w:val="392DEF8D"/>
    <w:rsid w:val="392E2519"/>
    <w:rsid w:val="392E762C"/>
    <w:rsid w:val="393101F0"/>
    <w:rsid w:val="393165C2"/>
    <w:rsid w:val="39319DE0"/>
    <w:rsid w:val="393441BF"/>
    <w:rsid w:val="3934DF71"/>
    <w:rsid w:val="393647DD"/>
    <w:rsid w:val="3939AA37"/>
    <w:rsid w:val="393AA8DD"/>
    <w:rsid w:val="393D4AEE"/>
    <w:rsid w:val="394012D3"/>
    <w:rsid w:val="3942BF0C"/>
    <w:rsid w:val="3949C68D"/>
    <w:rsid w:val="394C7D21"/>
    <w:rsid w:val="394D5C2A"/>
    <w:rsid w:val="394E0FC2"/>
    <w:rsid w:val="394F81D0"/>
    <w:rsid w:val="39511A6A"/>
    <w:rsid w:val="3952C16D"/>
    <w:rsid w:val="39544F26"/>
    <w:rsid w:val="3957A380"/>
    <w:rsid w:val="3957ACCB"/>
    <w:rsid w:val="395A1347"/>
    <w:rsid w:val="395BA58B"/>
    <w:rsid w:val="395CC56E"/>
    <w:rsid w:val="395E3F71"/>
    <w:rsid w:val="396128D7"/>
    <w:rsid w:val="396674A6"/>
    <w:rsid w:val="3966888D"/>
    <w:rsid w:val="39681094"/>
    <w:rsid w:val="3972A482"/>
    <w:rsid w:val="397553C0"/>
    <w:rsid w:val="39759A39"/>
    <w:rsid w:val="39760C8A"/>
    <w:rsid w:val="397D006A"/>
    <w:rsid w:val="397E4AD9"/>
    <w:rsid w:val="398293CB"/>
    <w:rsid w:val="398447D5"/>
    <w:rsid w:val="398C5E70"/>
    <w:rsid w:val="398DB17E"/>
    <w:rsid w:val="398E261B"/>
    <w:rsid w:val="398F88CB"/>
    <w:rsid w:val="398F8F03"/>
    <w:rsid w:val="39912D3D"/>
    <w:rsid w:val="399E4295"/>
    <w:rsid w:val="399FDC96"/>
    <w:rsid w:val="39A31772"/>
    <w:rsid w:val="39A3A27D"/>
    <w:rsid w:val="39A8F2D8"/>
    <w:rsid w:val="39AB54EA"/>
    <w:rsid w:val="39B3B6BC"/>
    <w:rsid w:val="39B40A05"/>
    <w:rsid w:val="39B4610A"/>
    <w:rsid w:val="39B53D08"/>
    <w:rsid w:val="39B84303"/>
    <w:rsid w:val="39B8BE8C"/>
    <w:rsid w:val="39B93135"/>
    <w:rsid w:val="39B9A81A"/>
    <w:rsid w:val="39BAD647"/>
    <w:rsid w:val="39BB9247"/>
    <w:rsid w:val="39BC47B8"/>
    <w:rsid w:val="39BD7FFA"/>
    <w:rsid w:val="39BF8F8F"/>
    <w:rsid w:val="39C12FF4"/>
    <w:rsid w:val="39C221EC"/>
    <w:rsid w:val="39C256EF"/>
    <w:rsid w:val="39C378E7"/>
    <w:rsid w:val="39C4073F"/>
    <w:rsid w:val="39C612CC"/>
    <w:rsid w:val="39C784BF"/>
    <w:rsid w:val="39CC433D"/>
    <w:rsid w:val="39D245BB"/>
    <w:rsid w:val="39D656D4"/>
    <w:rsid w:val="39D9E7D2"/>
    <w:rsid w:val="39DAD11E"/>
    <w:rsid w:val="39DCFF6C"/>
    <w:rsid w:val="39E03A37"/>
    <w:rsid w:val="39E06CEE"/>
    <w:rsid w:val="39E15A52"/>
    <w:rsid w:val="39E22C98"/>
    <w:rsid w:val="39E28766"/>
    <w:rsid w:val="39E6648E"/>
    <w:rsid w:val="39E73C5D"/>
    <w:rsid w:val="39E7DBB4"/>
    <w:rsid w:val="39E9CB95"/>
    <w:rsid w:val="39F2678B"/>
    <w:rsid w:val="39F9888F"/>
    <w:rsid w:val="39FDB38C"/>
    <w:rsid w:val="3A019DBF"/>
    <w:rsid w:val="3A030643"/>
    <w:rsid w:val="3A04FF3B"/>
    <w:rsid w:val="3A0802AE"/>
    <w:rsid w:val="3A0A2EBC"/>
    <w:rsid w:val="3A0B5507"/>
    <w:rsid w:val="3A0F44F1"/>
    <w:rsid w:val="3A1138B6"/>
    <w:rsid w:val="3A139795"/>
    <w:rsid w:val="3A13A0E5"/>
    <w:rsid w:val="3A15BE77"/>
    <w:rsid w:val="3A182C0C"/>
    <w:rsid w:val="3A1B87E6"/>
    <w:rsid w:val="3A1F9392"/>
    <w:rsid w:val="3A26F6A3"/>
    <w:rsid w:val="3A29219C"/>
    <w:rsid w:val="3A29D831"/>
    <w:rsid w:val="3A2C1A0E"/>
    <w:rsid w:val="3A2EB897"/>
    <w:rsid w:val="3A2F15CB"/>
    <w:rsid w:val="3A2FB042"/>
    <w:rsid w:val="3A30C808"/>
    <w:rsid w:val="3A3522AF"/>
    <w:rsid w:val="3A36A040"/>
    <w:rsid w:val="3A36F760"/>
    <w:rsid w:val="3A3DDD23"/>
    <w:rsid w:val="3A3E7936"/>
    <w:rsid w:val="3A4079F9"/>
    <w:rsid w:val="3A43F4D9"/>
    <w:rsid w:val="3A4752CF"/>
    <w:rsid w:val="3A488127"/>
    <w:rsid w:val="3A494238"/>
    <w:rsid w:val="3A53662F"/>
    <w:rsid w:val="3A539A12"/>
    <w:rsid w:val="3A53ADD8"/>
    <w:rsid w:val="3A554719"/>
    <w:rsid w:val="3A572B74"/>
    <w:rsid w:val="3A576323"/>
    <w:rsid w:val="3A57A2DA"/>
    <w:rsid w:val="3A5AAA65"/>
    <w:rsid w:val="3A5D27F1"/>
    <w:rsid w:val="3A5D3F91"/>
    <w:rsid w:val="3A618FD7"/>
    <w:rsid w:val="3A62C02D"/>
    <w:rsid w:val="3A6337AC"/>
    <w:rsid w:val="3A6609AB"/>
    <w:rsid w:val="3A6A930E"/>
    <w:rsid w:val="3A6BF34F"/>
    <w:rsid w:val="3A6CFC45"/>
    <w:rsid w:val="3A714EA8"/>
    <w:rsid w:val="3A71BBEE"/>
    <w:rsid w:val="3A770521"/>
    <w:rsid w:val="3A77EC79"/>
    <w:rsid w:val="3A77F4B9"/>
    <w:rsid w:val="3A78F5DE"/>
    <w:rsid w:val="3A7E360E"/>
    <w:rsid w:val="3A7F642A"/>
    <w:rsid w:val="3A8006A7"/>
    <w:rsid w:val="3A829B0B"/>
    <w:rsid w:val="3A89CD4B"/>
    <w:rsid w:val="3A8B4FA3"/>
    <w:rsid w:val="3A8C5E70"/>
    <w:rsid w:val="3A8C84A8"/>
    <w:rsid w:val="3A8D2EA8"/>
    <w:rsid w:val="3A8E8348"/>
    <w:rsid w:val="3A8ED0FB"/>
    <w:rsid w:val="3A8FD2C2"/>
    <w:rsid w:val="3A90BE93"/>
    <w:rsid w:val="3A92AA65"/>
    <w:rsid w:val="3A956492"/>
    <w:rsid w:val="3AA00226"/>
    <w:rsid w:val="3AA2AAA0"/>
    <w:rsid w:val="3AA532CE"/>
    <w:rsid w:val="3AAA8B90"/>
    <w:rsid w:val="3AAFDF19"/>
    <w:rsid w:val="3AB0BF5D"/>
    <w:rsid w:val="3AB4290E"/>
    <w:rsid w:val="3AB4871B"/>
    <w:rsid w:val="3AB4B09D"/>
    <w:rsid w:val="3AB4BC81"/>
    <w:rsid w:val="3AB5FD10"/>
    <w:rsid w:val="3AB6B328"/>
    <w:rsid w:val="3AB70C97"/>
    <w:rsid w:val="3ABC5627"/>
    <w:rsid w:val="3ABC5866"/>
    <w:rsid w:val="3ABE579F"/>
    <w:rsid w:val="3ABFFB56"/>
    <w:rsid w:val="3AC0A78C"/>
    <w:rsid w:val="3AC2DA25"/>
    <w:rsid w:val="3AC339CD"/>
    <w:rsid w:val="3AC348A6"/>
    <w:rsid w:val="3AC420BF"/>
    <w:rsid w:val="3AC9478E"/>
    <w:rsid w:val="3AC94F62"/>
    <w:rsid w:val="3ACC64E8"/>
    <w:rsid w:val="3AD07355"/>
    <w:rsid w:val="3AD5717D"/>
    <w:rsid w:val="3AD5E860"/>
    <w:rsid w:val="3ADAC0D9"/>
    <w:rsid w:val="3ADCEB6A"/>
    <w:rsid w:val="3ADE2ECE"/>
    <w:rsid w:val="3ADE481E"/>
    <w:rsid w:val="3ADED450"/>
    <w:rsid w:val="3AE0E9FD"/>
    <w:rsid w:val="3AE5905D"/>
    <w:rsid w:val="3AE776A5"/>
    <w:rsid w:val="3AE9AE2F"/>
    <w:rsid w:val="3AED48C3"/>
    <w:rsid w:val="3AF0C9B7"/>
    <w:rsid w:val="3AF14752"/>
    <w:rsid w:val="3AF16C75"/>
    <w:rsid w:val="3AF484FC"/>
    <w:rsid w:val="3AF4EDD7"/>
    <w:rsid w:val="3AF6FF0A"/>
    <w:rsid w:val="3AF73716"/>
    <w:rsid w:val="3AFA2B24"/>
    <w:rsid w:val="3AFEA6D8"/>
    <w:rsid w:val="3AFF24FC"/>
    <w:rsid w:val="3B029563"/>
    <w:rsid w:val="3B02FE3E"/>
    <w:rsid w:val="3B0391E6"/>
    <w:rsid w:val="3B0478C5"/>
    <w:rsid w:val="3B080EE6"/>
    <w:rsid w:val="3B0998D4"/>
    <w:rsid w:val="3B0C75FB"/>
    <w:rsid w:val="3B0CC577"/>
    <w:rsid w:val="3B0FCCA4"/>
    <w:rsid w:val="3B127BDC"/>
    <w:rsid w:val="3B19E29C"/>
    <w:rsid w:val="3B1D3246"/>
    <w:rsid w:val="3B25DCAA"/>
    <w:rsid w:val="3B269328"/>
    <w:rsid w:val="3B27F43E"/>
    <w:rsid w:val="3B2A455A"/>
    <w:rsid w:val="3B2BA897"/>
    <w:rsid w:val="3B304B12"/>
    <w:rsid w:val="3B33FE83"/>
    <w:rsid w:val="3B34118C"/>
    <w:rsid w:val="3B366ECC"/>
    <w:rsid w:val="3B376FE5"/>
    <w:rsid w:val="3B3C40D7"/>
    <w:rsid w:val="3B3E328D"/>
    <w:rsid w:val="3B3E419E"/>
    <w:rsid w:val="3B42D709"/>
    <w:rsid w:val="3B45B9E6"/>
    <w:rsid w:val="3B485D95"/>
    <w:rsid w:val="3B4D7FD2"/>
    <w:rsid w:val="3B4E001C"/>
    <w:rsid w:val="3B5069BE"/>
    <w:rsid w:val="3B56C391"/>
    <w:rsid w:val="3B56F185"/>
    <w:rsid w:val="3B580085"/>
    <w:rsid w:val="3B58AE12"/>
    <w:rsid w:val="3B5D2D9E"/>
    <w:rsid w:val="3B5EB72B"/>
    <w:rsid w:val="3B6696AB"/>
    <w:rsid w:val="3B687A14"/>
    <w:rsid w:val="3B6B08A3"/>
    <w:rsid w:val="3B6B56D4"/>
    <w:rsid w:val="3B6D6F0D"/>
    <w:rsid w:val="3B6EB472"/>
    <w:rsid w:val="3B737E90"/>
    <w:rsid w:val="3B7F32B6"/>
    <w:rsid w:val="3B800F89"/>
    <w:rsid w:val="3B82488D"/>
    <w:rsid w:val="3B831027"/>
    <w:rsid w:val="3B83B957"/>
    <w:rsid w:val="3B87FEE3"/>
    <w:rsid w:val="3B883D5B"/>
    <w:rsid w:val="3B89C526"/>
    <w:rsid w:val="3B8D0D33"/>
    <w:rsid w:val="3B8F089C"/>
    <w:rsid w:val="3B9175EF"/>
    <w:rsid w:val="3B92E770"/>
    <w:rsid w:val="3B958EDC"/>
    <w:rsid w:val="3B97330F"/>
    <w:rsid w:val="3B98B9D8"/>
    <w:rsid w:val="3B993C65"/>
    <w:rsid w:val="3B99FD2B"/>
    <w:rsid w:val="3B9E7DA2"/>
    <w:rsid w:val="3BA24D05"/>
    <w:rsid w:val="3BAB0D4B"/>
    <w:rsid w:val="3BAC3AF2"/>
    <w:rsid w:val="3BB0D0BA"/>
    <w:rsid w:val="3BB1181B"/>
    <w:rsid w:val="3BB3009A"/>
    <w:rsid w:val="3BB4346E"/>
    <w:rsid w:val="3BBAEFC4"/>
    <w:rsid w:val="3BBC85A6"/>
    <w:rsid w:val="3BBD24F0"/>
    <w:rsid w:val="3BC1CFF9"/>
    <w:rsid w:val="3BC23DD8"/>
    <w:rsid w:val="3BC3837D"/>
    <w:rsid w:val="3BC3F5D8"/>
    <w:rsid w:val="3BC75421"/>
    <w:rsid w:val="3BC7E825"/>
    <w:rsid w:val="3BC861DD"/>
    <w:rsid w:val="3BCA3A9F"/>
    <w:rsid w:val="3BCBD461"/>
    <w:rsid w:val="3BCC8803"/>
    <w:rsid w:val="3BCC9E17"/>
    <w:rsid w:val="3BCF89DD"/>
    <w:rsid w:val="3BD3E375"/>
    <w:rsid w:val="3BD53047"/>
    <w:rsid w:val="3BD64713"/>
    <w:rsid w:val="3BD65B40"/>
    <w:rsid w:val="3BD9578B"/>
    <w:rsid w:val="3BDB533E"/>
    <w:rsid w:val="3BDBFFB1"/>
    <w:rsid w:val="3BE1CB1D"/>
    <w:rsid w:val="3BE32559"/>
    <w:rsid w:val="3BE5544E"/>
    <w:rsid w:val="3BE8F789"/>
    <w:rsid w:val="3BEA2FED"/>
    <w:rsid w:val="3BEF766A"/>
    <w:rsid w:val="3BF127A9"/>
    <w:rsid w:val="3BF1F1D1"/>
    <w:rsid w:val="3BF2B514"/>
    <w:rsid w:val="3BF331BB"/>
    <w:rsid w:val="3BF6AE56"/>
    <w:rsid w:val="3BF71553"/>
    <w:rsid w:val="3BF7B3A0"/>
    <w:rsid w:val="3BF8737B"/>
    <w:rsid w:val="3BFB088D"/>
    <w:rsid w:val="3BFCD63A"/>
    <w:rsid w:val="3BFD0FDF"/>
    <w:rsid w:val="3BFD52DB"/>
    <w:rsid w:val="3BFDA32B"/>
    <w:rsid w:val="3C028CB4"/>
    <w:rsid w:val="3C0AB9C0"/>
    <w:rsid w:val="3C0DBB10"/>
    <w:rsid w:val="3C0E21EA"/>
    <w:rsid w:val="3C14265F"/>
    <w:rsid w:val="3C14F080"/>
    <w:rsid w:val="3C16CCAF"/>
    <w:rsid w:val="3C188810"/>
    <w:rsid w:val="3C191048"/>
    <w:rsid w:val="3C1C892F"/>
    <w:rsid w:val="3C21539B"/>
    <w:rsid w:val="3C21E775"/>
    <w:rsid w:val="3C22D5D0"/>
    <w:rsid w:val="3C2303E1"/>
    <w:rsid w:val="3C2DC0BB"/>
    <w:rsid w:val="3C2E5DF9"/>
    <w:rsid w:val="3C32F4E5"/>
    <w:rsid w:val="3C3709C4"/>
    <w:rsid w:val="3C371871"/>
    <w:rsid w:val="3C386860"/>
    <w:rsid w:val="3C3BD859"/>
    <w:rsid w:val="3C3C104A"/>
    <w:rsid w:val="3C3E0FEF"/>
    <w:rsid w:val="3C3E39BE"/>
    <w:rsid w:val="3C3F652C"/>
    <w:rsid w:val="3C4135A5"/>
    <w:rsid w:val="3C42A56F"/>
    <w:rsid w:val="3C451803"/>
    <w:rsid w:val="3C46B980"/>
    <w:rsid w:val="3C48319A"/>
    <w:rsid w:val="3C4C6648"/>
    <w:rsid w:val="3C4E4411"/>
    <w:rsid w:val="3C4ED07B"/>
    <w:rsid w:val="3C505C60"/>
    <w:rsid w:val="3C509744"/>
    <w:rsid w:val="3C544ED2"/>
    <w:rsid w:val="3C579792"/>
    <w:rsid w:val="3C594422"/>
    <w:rsid w:val="3C599AAC"/>
    <w:rsid w:val="3C59F8EA"/>
    <w:rsid w:val="3C5A2D44"/>
    <w:rsid w:val="3C5AA4AD"/>
    <w:rsid w:val="3C5E81A0"/>
    <w:rsid w:val="3C5E99FD"/>
    <w:rsid w:val="3C5EA752"/>
    <w:rsid w:val="3C5F535F"/>
    <w:rsid w:val="3C605C15"/>
    <w:rsid w:val="3C608F4D"/>
    <w:rsid w:val="3C61A931"/>
    <w:rsid w:val="3C61BFE2"/>
    <w:rsid w:val="3C637CB8"/>
    <w:rsid w:val="3C6381F8"/>
    <w:rsid w:val="3C68056A"/>
    <w:rsid w:val="3C6EECE3"/>
    <w:rsid w:val="3C748F60"/>
    <w:rsid w:val="3C76190F"/>
    <w:rsid w:val="3C7652AC"/>
    <w:rsid w:val="3C766475"/>
    <w:rsid w:val="3C7A7154"/>
    <w:rsid w:val="3C7FB8C8"/>
    <w:rsid w:val="3C80E749"/>
    <w:rsid w:val="3C81D4E6"/>
    <w:rsid w:val="3C838DB3"/>
    <w:rsid w:val="3C841D31"/>
    <w:rsid w:val="3C89F6A7"/>
    <w:rsid w:val="3C8A1468"/>
    <w:rsid w:val="3C91AD45"/>
    <w:rsid w:val="3C96C248"/>
    <w:rsid w:val="3C975A59"/>
    <w:rsid w:val="3C988BD8"/>
    <w:rsid w:val="3C98E23E"/>
    <w:rsid w:val="3CA0C4D2"/>
    <w:rsid w:val="3CA14BB6"/>
    <w:rsid w:val="3CA481F5"/>
    <w:rsid w:val="3CA4DAA4"/>
    <w:rsid w:val="3CA8D93D"/>
    <w:rsid w:val="3CAB2B64"/>
    <w:rsid w:val="3CABC342"/>
    <w:rsid w:val="3CAD7C6A"/>
    <w:rsid w:val="3CB15F72"/>
    <w:rsid w:val="3CB24AFD"/>
    <w:rsid w:val="3CB29B92"/>
    <w:rsid w:val="3CB29F20"/>
    <w:rsid w:val="3CB51E72"/>
    <w:rsid w:val="3CB52A28"/>
    <w:rsid w:val="3CB81D15"/>
    <w:rsid w:val="3CB9FFAD"/>
    <w:rsid w:val="3CBAD577"/>
    <w:rsid w:val="3CBD077A"/>
    <w:rsid w:val="3CBED3AB"/>
    <w:rsid w:val="3CC023B0"/>
    <w:rsid w:val="3CC2E8CE"/>
    <w:rsid w:val="3CC7425E"/>
    <w:rsid w:val="3CC9250F"/>
    <w:rsid w:val="3CC99A23"/>
    <w:rsid w:val="3CCC8C52"/>
    <w:rsid w:val="3CCDD82D"/>
    <w:rsid w:val="3CCF68D2"/>
    <w:rsid w:val="3CD2365C"/>
    <w:rsid w:val="3CD2C037"/>
    <w:rsid w:val="3CD49FC9"/>
    <w:rsid w:val="3CDB90B3"/>
    <w:rsid w:val="3CDC045B"/>
    <w:rsid w:val="3CDCEAB3"/>
    <w:rsid w:val="3CDD9D09"/>
    <w:rsid w:val="3CE1235A"/>
    <w:rsid w:val="3CE510CD"/>
    <w:rsid w:val="3CE66C7B"/>
    <w:rsid w:val="3CE93E49"/>
    <w:rsid w:val="3CEA9611"/>
    <w:rsid w:val="3CEBA710"/>
    <w:rsid w:val="3CED15CA"/>
    <w:rsid w:val="3CF02453"/>
    <w:rsid w:val="3CF030F7"/>
    <w:rsid w:val="3CF1A322"/>
    <w:rsid w:val="3CF55184"/>
    <w:rsid w:val="3CF6E987"/>
    <w:rsid w:val="3CF9061F"/>
    <w:rsid w:val="3CFBAB91"/>
    <w:rsid w:val="3D0174EB"/>
    <w:rsid w:val="3D04173E"/>
    <w:rsid w:val="3D06E8BD"/>
    <w:rsid w:val="3D0959E8"/>
    <w:rsid w:val="3D11D34B"/>
    <w:rsid w:val="3D13AAF4"/>
    <w:rsid w:val="3D1542AB"/>
    <w:rsid w:val="3D160C1E"/>
    <w:rsid w:val="3D17A919"/>
    <w:rsid w:val="3D17F019"/>
    <w:rsid w:val="3D18E162"/>
    <w:rsid w:val="3D1ACDAF"/>
    <w:rsid w:val="3D1BBC8A"/>
    <w:rsid w:val="3D1BE3EE"/>
    <w:rsid w:val="3D1F56D8"/>
    <w:rsid w:val="3D229FA4"/>
    <w:rsid w:val="3D23C18B"/>
    <w:rsid w:val="3D2452A0"/>
    <w:rsid w:val="3D265A92"/>
    <w:rsid w:val="3D28C0F9"/>
    <w:rsid w:val="3D290F8E"/>
    <w:rsid w:val="3D29B17D"/>
    <w:rsid w:val="3D2BD045"/>
    <w:rsid w:val="3D2C8689"/>
    <w:rsid w:val="3D31131A"/>
    <w:rsid w:val="3D33F774"/>
    <w:rsid w:val="3D346B71"/>
    <w:rsid w:val="3D354556"/>
    <w:rsid w:val="3D35AF0B"/>
    <w:rsid w:val="3D392BAF"/>
    <w:rsid w:val="3D3BD588"/>
    <w:rsid w:val="3D3C0548"/>
    <w:rsid w:val="3D3E2815"/>
    <w:rsid w:val="3D470F2D"/>
    <w:rsid w:val="3D483849"/>
    <w:rsid w:val="3D4B3D6E"/>
    <w:rsid w:val="3D4BCB05"/>
    <w:rsid w:val="3D5245C0"/>
    <w:rsid w:val="3D524D8B"/>
    <w:rsid w:val="3D56A698"/>
    <w:rsid w:val="3D59C67A"/>
    <w:rsid w:val="3D5B81FB"/>
    <w:rsid w:val="3D5DA4CA"/>
    <w:rsid w:val="3D5E2470"/>
    <w:rsid w:val="3D5FAC10"/>
    <w:rsid w:val="3D6070E5"/>
    <w:rsid w:val="3D60C859"/>
    <w:rsid w:val="3D62B720"/>
    <w:rsid w:val="3D62DCBE"/>
    <w:rsid w:val="3D691674"/>
    <w:rsid w:val="3D692715"/>
    <w:rsid w:val="3D6FE343"/>
    <w:rsid w:val="3D705179"/>
    <w:rsid w:val="3D70F0D1"/>
    <w:rsid w:val="3D73BDEF"/>
    <w:rsid w:val="3D74441A"/>
    <w:rsid w:val="3D74C680"/>
    <w:rsid w:val="3D7618BD"/>
    <w:rsid w:val="3D77A3F9"/>
    <w:rsid w:val="3D77BC41"/>
    <w:rsid w:val="3D796F7B"/>
    <w:rsid w:val="3D79A2A4"/>
    <w:rsid w:val="3D7EE631"/>
    <w:rsid w:val="3D7F6941"/>
    <w:rsid w:val="3D820D0D"/>
    <w:rsid w:val="3D84F2EA"/>
    <w:rsid w:val="3D865B4B"/>
    <w:rsid w:val="3D894844"/>
    <w:rsid w:val="3D8B7459"/>
    <w:rsid w:val="3D8C5027"/>
    <w:rsid w:val="3D8DCC53"/>
    <w:rsid w:val="3D8F163E"/>
    <w:rsid w:val="3D959618"/>
    <w:rsid w:val="3D9602AF"/>
    <w:rsid w:val="3D96B01C"/>
    <w:rsid w:val="3D96C4E2"/>
    <w:rsid w:val="3D9996F4"/>
    <w:rsid w:val="3D9BBD29"/>
    <w:rsid w:val="3D9C56E4"/>
    <w:rsid w:val="3D9D72A3"/>
    <w:rsid w:val="3DA20058"/>
    <w:rsid w:val="3DA29C4C"/>
    <w:rsid w:val="3DA3C774"/>
    <w:rsid w:val="3DA625ED"/>
    <w:rsid w:val="3DAC718C"/>
    <w:rsid w:val="3DAC8043"/>
    <w:rsid w:val="3DB048BF"/>
    <w:rsid w:val="3DB060E1"/>
    <w:rsid w:val="3DB154DF"/>
    <w:rsid w:val="3DB53142"/>
    <w:rsid w:val="3DB7AECC"/>
    <w:rsid w:val="3DB9C53D"/>
    <w:rsid w:val="3DBC5DE3"/>
    <w:rsid w:val="3DBEDC94"/>
    <w:rsid w:val="3DC06115"/>
    <w:rsid w:val="3DC1F676"/>
    <w:rsid w:val="3DC2512F"/>
    <w:rsid w:val="3DC3CD4A"/>
    <w:rsid w:val="3DC5D8E5"/>
    <w:rsid w:val="3DC730F4"/>
    <w:rsid w:val="3DC7F76E"/>
    <w:rsid w:val="3DC912F5"/>
    <w:rsid w:val="3DC9CB1C"/>
    <w:rsid w:val="3DC9E851"/>
    <w:rsid w:val="3DCA20BC"/>
    <w:rsid w:val="3DCBAD4B"/>
    <w:rsid w:val="3DCC56B5"/>
    <w:rsid w:val="3DCD486A"/>
    <w:rsid w:val="3DD0B50C"/>
    <w:rsid w:val="3DD43D6D"/>
    <w:rsid w:val="3DD6D5B4"/>
    <w:rsid w:val="3DD6E140"/>
    <w:rsid w:val="3DD90A86"/>
    <w:rsid w:val="3DD938FA"/>
    <w:rsid w:val="3DDD083B"/>
    <w:rsid w:val="3DDD0F80"/>
    <w:rsid w:val="3DDEDD47"/>
    <w:rsid w:val="3DE1B441"/>
    <w:rsid w:val="3DE24197"/>
    <w:rsid w:val="3DE27FA8"/>
    <w:rsid w:val="3DE47FD1"/>
    <w:rsid w:val="3DE5CAC6"/>
    <w:rsid w:val="3DE5DFCB"/>
    <w:rsid w:val="3DE5E713"/>
    <w:rsid w:val="3DE89E22"/>
    <w:rsid w:val="3DE94F70"/>
    <w:rsid w:val="3DE9AAAF"/>
    <w:rsid w:val="3DEA063A"/>
    <w:rsid w:val="3DEA8574"/>
    <w:rsid w:val="3DEABD7B"/>
    <w:rsid w:val="3DF0373B"/>
    <w:rsid w:val="3DF17C84"/>
    <w:rsid w:val="3DF2272F"/>
    <w:rsid w:val="3DF2B676"/>
    <w:rsid w:val="3DF2BE93"/>
    <w:rsid w:val="3DF7494E"/>
    <w:rsid w:val="3DFC66F0"/>
    <w:rsid w:val="3DFE1804"/>
    <w:rsid w:val="3E037053"/>
    <w:rsid w:val="3E03EFD7"/>
    <w:rsid w:val="3E06895D"/>
    <w:rsid w:val="3E0850AB"/>
    <w:rsid w:val="3E086AA1"/>
    <w:rsid w:val="3E0CB39F"/>
    <w:rsid w:val="3E0D5941"/>
    <w:rsid w:val="3E0D5E43"/>
    <w:rsid w:val="3E0DA42A"/>
    <w:rsid w:val="3E107F13"/>
    <w:rsid w:val="3E118550"/>
    <w:rsid w:val="3E175B66"/>
    <w:rsid w:val="3E17ABBC"/>
    <w:rsid w:val="3E1AFD54"/>
    <w:rsid w:val="3E24699F"/>
    <w:rsid w:val="3E297065"/>
    <w:rsid w:val="3E29FE4B"/>
    <w:rsid w:val="3E2B27ED"/>
    <w:rsid w:val="3E2BDF1D"/>
    <w:rsid w:val="3E31FAC2"/>
    <w:rsid w:val="3E321D8D"/>
    <w:rsid w:val="3E34E5CD"/>
    <w:rsid w:val="3E34EBD5"/>
    <w:rsid w:val="3E3564A0"/>
    <w:rsid w:val="3E37F2A8"/>
    <w:rsid w:val="3E3AA95C"/>
    <w:rsid w:val="3E3C2880"/>
    <w:rsid w:val="3E3FF0DE"/>
    <w:rsid w:val="3E41A89B"/>
    <w:rsid w:val="3E430099"/>
    <w:rsid w:val="3E4413EB"/>
    <w:rsid w:val="3E46C912"/>
    <w:rsid w:val="3E472264"/>
    <w:rsid w:val="3E47DB8A"/>
    <w:rsid w:val="3E482A97"/>
    <w:rsid w:val="3E483B6E"/>
    <w:rsid w:val="3E4A3210"/>
    <w:rsid w:val="3E4CA97D"/>
    <w:rsid w:val="3E4D898F"/>
    <w:rsid w:val="3E4DA668"/>
    <w:rsid w:val="3E501748"/>
    <w:rsid w:val="3E5026CC"/>
    <w:rsid w:val="3E520102"/>
    <w:rsid w:val="3E52E6B5"/>
    <w:rsid w:val="3E5AB4F0"/>
    <w:rsid w:val="3E5D4072"/>
    <w:rsid w:val="3E5D7209"/>
    <w:rsid w:val="3E5E116A"/>
    <w:rsid w:val="3E5E4F7C"/>
    <w:rsid w:val="3E5EB55E"/>
    <w:rsid w:val="3E64F580"/>
    <w:rsid w:val="3E650E1D"/>
    <w:rsid w:val="3E6A1FF2"/>
    <w:rsid w:val="3E6AA9E0"/>
    <w:rsid w:val="3E6AFB5B"/>
    <w:rsid w:val="3E6D88FD"/>
    <w:rsid w:val="3E7093E8"/>
    <w:rsid w:val="3E72F8E8"/>
    <w:rsid w:val="3E7707E4"/>
    <w:rsid w:val="3E7848EA"/>
    <w:rsid w:val="3E7FEDB0"/>
    <w:rsid w:val="3E81FEB2"/>
    <w:rsid w:val="3E85FCE4"/>
    <w:rsid w:val="3E89CD7C"/>
    <w:rsid w:val="3E8F116E"/>
    <w:rsid w:val="3E95FABF"/>
    <w:rsid w:val="3E9663E4"/>
    <w:rsid w:val="3E99B0BD"/>
    <w:rsid w:val="3E9CE8A3"/>
    <w:rsid w:val="3EA0BE86"/>
    <w:rsid w:val="3EA14BBE"/>
    <w:rsid w:val="3EA85B98"/>
    <w:rsid w:val="3EAEBC4D"/>
    <w:rsid w:val="3EAFD9D4"/>
    <w:rsid w:val="3EB4281C"/>
    <w:rsid w:val="3EB4DA0D"/>
    <w:rsid w:val="3EB6B468"/>
    <w:rsid w:val="3EB95247"/>
    <w:rsid w:val="3EC09F43"/>
    <w:rsid w:val="3EC3184F"/>
    <w:rsid w:val="3EC6046A"/>
    <w:rsid w:val="3EC64BEB"/>
    <w:rsid w:val="3EC8C8DB"/>
    <w:rsid w:val="3ECAD761"/>
    <w:rsid w:val="3ECE9ACA"/>
    <w:rsid w:val="3ECF0235"/>
    <w:rsid w:val="3ECFFE9C"/>
    <w:rsid w:val="3ED074EA"/>
    <w:rsid w:val="3ED1BC41"/>
    <w:rsid w:val="3ED1F748"/>
    <w:rsid w:val="3ED9EF8C"/>
    <w:rsid w:val="3EDB17D4"/>
    <w:rsid w:val="3EDBD68C"/>
    <w:rsid w:val="3EDC53A0"/>
    <w:rsid w:val="3EDD9F8C"/>
    <w:rsid w:val="3EDDC4CA"/>
    <w:rsid w:val="3EDDC7EF"/>
    <w:rsid w:val="3EE2646D"/>
    <w:rsid w:val="3EE2F58C"/>
    <w:rsid w:val="3EE5C554"/>
    <w:rsid w:val="3EE6C546"/>
    <w:rsid w:val="3EE7EB8F"/>
    <w:rsid w:val="3EEB42EA"/>
    <w:rsid w:val="3EEDA293"/>
    <w:rsid w:val="3EEE52E1"/>
    <w:rsid w:val="3EEF9BE4"/>
    <w:rsid w:val="3EF164CC"/>
    <w:rsid w:val="3EF7326A"/>
    <w:rsid w:val="3EFAD01C"/>
    <w:rsid w:val="3EFD8B63"/>
    <w:rsid w:val="3EFDDC1E"/>
    <w:rsid w:val="3EFEAD3B"/>
    <w:rsid w:val="3F00CA21"/>
    <w:rsid w:val="3F050ACF"/>
    <w:rsid w:val="3F054211"/>
    <w:rsid w:val="3F059769"/>
    <w:rsid w:val="3F0730DB"/>
    <w:rsid w:val="3F08EE77"/>
    <w:rsid w:val="3F0D59C2"/>
    <w:rsid w:val="3F0D7C55"/>
    <w:rsid w:val="3F1164D8"/>
    <w:rsid w:val="3F11864A"/>
    <w:rsid w:val="3F135504"/>
    <w:rsid w:val="3F16E567"/>
    <w:rsid w:val="3F198212"/>
    <w:rsid w:val="3F1B3DC8"/>
    <w:rsid w:val="3F1BE7AA"/>
    <w:rsid w:val="3F1CB591"/>
    <w:rsid w:val="3F1D4557"/>
    <w:rsid w:val="3F23F4DE"/>
    <w:rsid w:val="3F254515"/>
    <w:rsid w:val="3F259A27"/>
    <w:rsid w:val="3F271430"/>
    <w:rsid w:val="3F275109"/>
    <w:rsid w:val="3F300936"/>
    <w:rsid w:val="3F3297C7"/>
    <w:rsid w:val="3F35DA4E"/>
    <w:rsid w:val="3F37C9FD"/>
    <w:rsid w:val="3F38A6E1"/>
    <w:rsid w:val="3F395E3F"/>
    <w:rsid w:val="3F3A7422"/>
    <w:rsid w:val="3F3C1651"/>
    <w:rsid w:val="3F3E72ED"/>
    <w:rsid w:val="3F43CD79"/>
    <w:rsid w:val="3F44951A"/>
    <w:rsid w:val="3F44BDD2"/>
    <w:rsid w:val="3F461925"/>
    <w:rsid w:val="3F46391D"/>
    <w:rsid w:val="3F498CB0"/>
    <w:rsid w:val="3F4A5E46"/>
    <w:rsid w:val="3F4A93BB"/>
    <w:rsid w:val="3F4FE0C8"/>
    <w:rsid w:val="3F557B1D"/>
    <w:rsid w:val="3F55A60D"/>
    <w:rsid w:val="3F55E189"/>
    <w:rsid w:val="3F55F49F"/>
    <w:rsid w:val="3F567D51"/>
    <w:rsid w:val="3F56CD0E"/>
    <w:rsid w:val="3F59E452"/>
    <w:rsid w:val="3F5DDA71"/>
    <w:rsid w:val="3F5E4408"/>
    <w:rsid w:val="3F61E96E"/>
    <w:rsid w:val="3F64005B"/>
    <w:rsid w:val="3F664750"/>
    <w:rsid w:val="3F6A9D82"/>
    <w:rsid w:val="3F6B0427"/>
    <w:rsid w:val="3F6BB519"/>
    <w:rsid w:val="3F6BFC2E"/>
    <w:rsid w:val="3F6D8358"/>
    <w:rsid w:val="3F6F46B9"/>
    <w:rsid w:val="3F6FDD11"/>
    <w:rsid w:val="3F6FE7B2"/>
    <w:rsid w:val="3F715C04"/>
    <w:rsid w:val="3F76A8FF"/>
    <w:rsid w:val="3F79DE8B"/>
    <w:rsid w:val="3F7F4BC4"/>
    <w:rsid w:val="3F820D73"/>
    <w:rsid w:val="3F839E1F"/>
    <w:rsid w:val="3F85FCC7"/>
    <w:rsid w:val="3F87A217"/>
    <w:rsid w:val="3F8C558E"/>
    <w:rsid w:val="3F91C7B1"/>
    <w:rsid w:val="3F92FFE6"/>
    <w:rsid w:val="3F9FEE3A"/>
    <w:rsid w:val="3FA1EC9D"/>
    <w:rsid w:val="3FA5ECFF"/>
    <w:rsid w:val="3FA75332"/>
    <w:rsid w:val="3FA778CA"/>
    <w:rsid w:val="3FA82152"/>
    <w:rsid w:val="3FA852AE"/>
    <w:rsid w:val="3FA867BA"/>
    <w:rsid w:val="3FA8E9B0"/>
    <w:rsid w:val="3FA945E0"/>
    <w:rsid w:val="3FAAF01D"/>
    <w:rsid w:val="3FAC90E4"/>
    <w:rsid w:val="3FACC782"/>
    <w:rsid w:val="3FAE133C"/>
    <w:rsid w:val="3FAECC4E"/>
    <w:rsid w:val="3FAEEA65"/>
    <w:rsid w:val="3FB02030"/>
    <w:rsid w:val="3FB0A51B"/>
    <w:rsid w:val="3FB1778C"/>
    <w:rsid w:val="3FB19DCE"/>
    <w:rsid w:val="3FB3189F"/>
    <w:rsid w:val="3FB43000"/>
    <w:rsid w:val="3FB58D1D"/>
    <w:rsid w:val="3FB72183"/>
    <w:rsid w:val="3FB91AEA"/>
    <w:rsid w:val="3FBC9242"/>
    <w:rsid w:val="3FBDD82A"/>
    <w:rsid w:val="3FBF3594"/>
    <w:rsid w:val="3FCA1CDF"/>
    <w:rsid w:val="3FCA26A9"/>
    <w:rsid w:val="3FCC9324"/>
    <w:rsid w:val="3FCEA48C"/>
    <w:rsid w:val="3FCFCB7E"/>
    <w:rsid w:val="3FD0BDE0"/>
    <w:rsid w:val="3FD99E87"/>
    <w:rsid w:val="3FDA842D"/>
    <w:rsid w:val="3FDAA5EF"/>
    <w:rsid w:val="3FDCEDDC"/>
    <w:rsid w:val="3FE113CF"/>
    <w:rsid w:val="3FE2CE40"/>
    <w:rsid w:val="3FE2DA52"/>
    <w:rsid w:val="3FE848A8"/>
    <w:rsid w:val="3FEB0116"/>
    <w:rsid w:val="3FEC4E15"/>
    <w:rsid w:val="3FEC8E38"/>
    <w:rsid w:val="3FEE1ED9"/>
    <w:rsid w:val="3FEEE4A6"/>
    <w:rsid w:val="3FF0EBB7"/>
    <w:rsid w:val="3FF2E2F6"/>
    <w:rsid w:val="3FF4142B"/>
    <w:rsid w:val="3FF462FB"/>
    <w:rsid w:val="3FF52072"/>
    <w:rsid w:val="3FF6AB94"/>
    <w:rsid w:val="3FF6B502"/>
    <w:rsid w:val="3FF7781C"/>
    <w:rsid w:val="3FF786B2"/>
    <w:rsid w:val="3FF7B99C"/>
    <w:rsid w:val="3FFE7DFD"/>
    <w:rsid w:val="40006C58"/>
    <w:rsid w:val="40068250"/>
    <w:rsid w:val="4008CB0B"/>
    <w:rsid w:val="400E2AEA"/>
    <w:rsid w:val="400E5D61"/>
    <w:rsid w:val="400EF331"/>
    <w:rsid w:val="401252AE"/>
    <w:rsid w:val="40127B58"/>
    <w:rsid w:val="40172B84"/>
    <w:rsid w:val="4017387F"/>
    <w:rsid w:val="401C2E49"/>
    <w:rsid w:val="40205EA6"/>
    <w:rsid w:val="40217CA8"/>
    <w:rsid w:val="40236BBC"/>
    <w:rsid w:val="4026D294"/>
    <w:rsid w:val="402BC0C8"/>
    <w:rsid w:val="402D4194"/>
    <w:rsid w:val="4032C777"/>
    <w:rsid w:val="40350BFC"/>
    <w:rsid w:val="40359EB0"/>
    <w:rsid w:val="40398602"/>
    <w:rsid w:val="403B2F45"/>
    <w:rsid w:val="403ED260"/>
    <w:rsid w:val="4040B2AA"/>
    <w:rsid w:val="404634C0"/>
    <w:rsid w:val="404A42B8"/>
    <w:rsid w:val="404A4A7A"/>
    <w:rsid w:val="404A519B"/>
    <w:rsid w:val="404C588E"/>
    <w:rsid w:val="404C68E4"/>
    <w:rsid w:val="404D0C96"/>
    <w:rsid w:val="4050BD9B"/>
    <w:rsid w:val="4050E435"/>
    <w:rsid w:val="405336F6"/>
    <w:rsid w:val="40549EE6"/>
    <w:rsid w:val="4056E7DF"/>
    <w:rsid w:val="405A3077"/>
    <w:rsid w:val="40676FAF"/>
    <w:rsid w:val="4067AD16"/>
    <w:rsid w:val="406B16AA"/>
    <w:rsid w:val="406B7B99"/>
    <w:rsid w:val="406E45EC"/>
    <w:rsid w:val="406EF20F"/>
    <w:rsid w:val="40739826"/>
    <w:rsid w:val="40782B0C"/>
    <w:rsid w:val="4078CA07"/>
    <w:rsid w:val="4079E8CE"/>
    <w:rsid w:val="407B0077"/>
    <w:rsid w:val="407D5CD7"/>
    <w:rsid w:val="40816731"/>
    <w:rsid w:val="4081D4A9"/>
    <w:rsid w:val="408511F1"/>
    <w:rsid w:val="4086F4CC"/>
    <w:rsid w:val="4088857B"/>
    <w:rsid w:val="408A5006"/>
    <w:rsid w:val="408AAE25"/>
    <w:rsid w:val="408F3F74"/>
    <w:rsid w:val="40948C53"/>
    <w:rsid w:val="40976410"/>
    <w:rsid w:val="4099FB5A"/>
    <w:rsid w:val="409A03FD"/>
    <w:rsid w:val="40A02FC4"/>
    <w:rsid w:val="40A13540"/>
    <w:rsid w:val="40A4724E"/>
    <w:rsid w:val="40A897CE"/>
    <w:rsid w:val="40AAE8F7"/>
    <w:rsid w:val="40B1C377"/>
    <w:rsid w:val="40B92FA0"/>
    <w:rsid w:val="40BAE56A"/>
    <w:rsid w:val="40C348CC"/>
    <w:rsid w:val="40C5DC03"/>
    <w:rsid w:val="40CAC3DF"/>
    <w:rsid w:val="40CCAFE5"/>
    <w:rsid w:val="40CDB350"/>
    <w:rsid w:val="40D4ECCF"/>
    <w:rsid w:val="40D6D1A0"/>
    <w:rsid w:val="40D8793B"/>
    <w:rsid w:val="40D899C3"/>
    <w:rsid w:val="40D8BD7E"/>
    <w:rsid w:val="40DA795C"/>
    <w:rsid w:val="40E08ACB"/>
    <w:rsid w:val="40E0C411"/>
    <w:rsid w:val="40E4974B"/>
    <w:rsid w:val="40E98C0D"/>
    <w:rsid w:val="40EA339A"/>
    <w:rsid w:val="40F0C32E"/>
    <w:rsid w:val="40F10B14"/>
    <w:rsid w:val="40F417DE"/>
    <w:rsid w:val="40F744EA"/>
    <w:rsid w:val="40F8C237"/>
    <w:rsid w:val="40FC1762"/>
    <w:rsid w:val="40FCD314"/>
    <w:rsid w:val="4103D559"/>
    <w:rsid w:val="4103D8A0"/>
    <w:rsid w:val="4104CE26"/>
    <w:rsid w:val="4107890F"/>
    <w:rsid w:val="4109BC5D"/>
    <w:rsid w:val="410DE1EB"/>
    <w:rsid w:val="410F01AB"/>
    <w:rsid w:val="4115B0CB"/>
    <w:rsid w:val="4117B140"/>
    <w:rsid w:val="411850D9"/>
    <w:rsid w:val="411B7D41"/>
    <w:rsid w:val="411CA558"/>
    <w:rsid w:val="411F1BA5"/>
    <w:rsid w:val="41202B62"/>
    <w:rsid w:val="41214356"/>
    <w:rsid w:val="4124E04E"/>
    <w:rsid w:val="41255F1B"/>
    <w:rsid w:val="412604C0"/>
    <w:rsid w:val="4126F305"/>
    <w:rsid w:val="412A7336"/>
    <w:rsid w:val="412BF474"/>
    <w:rsid w:val="412CB52D"/>
    <w:rsid w:val="412E6B5F"/>
    <w:rsid w:val="413144E2"/>
    <w:rsid w:val="4131655B"/>
    <w:rsid w:val="4131CA2B"/>
    <w:rsid w:val="4133516F"/>
    <w:rsid w:val="41357983"/>
    <w:rsid w:val="41367183"/>
    <w:rsid w:val="413B0F6D"/>
    <w:rsid w:val="4141BFEF"/>
    <w:rsid w:val="4143BA23"/>
    <w:rsid w:val="41445F50"/>
    <w:rsid w:val="4144F704"/>
    <w:rsid w:val="4145D90E"/>
    <w:rsid w:val="414B61B3"/>
    <w:rsid w:val="414BC118"/>
    <w:rsid w:val="414F3B77"/>
    <w:rsid w:val="415542A0"/>
    <w:rsid w:val="415A1118"/>
    <w:rsid w:val="415A3538"/>
    <w:rsid w:val="4162CD9F"/>
    <w:rsid w:val="416362E0"/>
    <w:rsid w:val="416637F8"/>
    <w:rsid w:val="416643CF"/>
    <w:rsid w:val="41686CE6"/>
    <w:rsid w:val="4169281A"/>
    <w:rsid w:val="416D3DB0"/>
    <w:rsid w:val="417A1DEF"/>
    <w:rsid w:val="417B2715"/>
    <w:rsid w:val="417DAFB1"/>
    <w:rsid w:val="41824AFA"/>
    <w:rsid w:val="4189DD26"/>
    <w:rsid w:val="418DA48A"/>
    <w:rsid w:val="418DAB94"/>
    <w:rsid w:val="418DEDBC"/>
    <w:rsid w:val="41900A8A"/>
    <w:rsid w:val="4190D913"/>
    <w:rsid w:val="41955DCD"/>
    <w:rsid w:val="4196F727"/>
    <w:rsid w:val="419738F6"/>
    <w:rsid w:val="41974E4F"/>
    <w:rsid w:val="4198F194"/>
    <w:rsid w:val="419B098D"/>
    <w:rsid w:val="419C5C4A"/>
    <w:rsid w:val="419C7E91"/>
    <w:rsid w:val="419D2B8E"/>
    <w:rsid w:val="419F6454"/>
    <w:rsid w:val="41A0BF11"/>
    <w:rsid w:val="41A2C431"/>
    <w:rsid w:val="41A358FF"/>
    <w:rsid w:val="41A50C38"/>
    <w:rsid w:val="41A86587"/>
    <w:rsid w:val="41A8ABBB"/>
    <w:rsid w:val="41AA4122"/>
    <w:rsid w:val="41AAF8B0"/>
    <w:rsid w:val="41AE0068"/>
    <w:rsid w:val="41AE0CE1"/>
    <w:rsid w:val="41B1C827"/>
    <w:rsid w:val="41B43E1E"/>
    <w:rsid w:val="41B5CBAE"/>
    <w:rsid w:val="41BE00B2"/>
    <w:rsid w:val="41BE2339"/>
    <w:rsid w:val="41BF722B"/>
    <w:rsid w:val="41C1BF7D"/>
    <w:rsid w:val="41C958AF"/>
    <w:rsid w:val="41D628D8"/>
    <w:rsid w:val="41DB2A09"/>
    <w:rsid w:val="41DB3FC4"/>
    <w:rsid w:val="41DFA9F9"/>
    <w:rsid w:val="41E519B5"/>
    <w:rsid w:val="41EFA200"/>
    <w:rsid w:val="41F0075F"/>
    <w:rsid w:val="41F0A2FA"/>
    <w:rsid w:val="41F0E1B1"/>
    <w:rsid w:val="41F3A6AF"/>
    <w:rsid w:val="41F4BF9A"/>
    <w:rsid w:val="41F7FF40"/>
    <w:rsid w:val="41F82459"/>
    <w:rsid w:val="41FAC866"/>
    <w:rsid w:val="41FAD748"/>
    <w:rsid w:val="4200CC6F"/>
    <w:rsid w:val="4201B51F"/>
    <w:rsid w:val="42084187"/>
    <w:rsid w:val="4215BCA8"/>
    <w:rsid w:val="42187038"/>
    <w:rsid w:val="421B623E"/>
    <w:rsid w:val="421C2599"/>
    <w:rsid w:val="422051BE"/>
    <w:rsid w:val="4227B6E8"/>
    <w:rsid w:val="422AE010"/>
    <w:rsid w:val="422D6178"/>
    <w:rsid w:val="42302B0B"/>
    <w:rsid w:val="4230A0A9"/>
    <w:rsid w:val="4234AE16"/>
    <w:rsid w:val="423A98B3"/>
    <w:rsid w:val="423D3540"/>
    <w:rsid w:val="423D6521"/>
    <w:rsid w:val="4244BAA8"/>
    <w:rsid w:val="4245E372"/>
    <w:rsid w:val="424D0C25"/>
    <w:rsid w:val="424DB4A0"/>
    <w:rsid w:val="4251256B"/>
    <w:rsid w:val="42522D46"/>
    <w:rsid w:val="4252718B"/>
    <w:rsid w:val="42529CC0"/>
    <w:rsid w:val="4252DE6C"/>
    <w:rsid w:val="425366AF"/>
    <w:rsid w:val="42544585"/>
    <w:rsid w:val="425609FD"/>
    <w:rsid w:val="42562B62"/>
    <w:rsid w:val="425916C2"/>
    <w:rsid w:val="425AFF37"/>
    <w:rsid w:val="425C0F60"/>
    <w:rsid w:val="425D7C83"/>
    <w:rsid w:val="425E3FB1"/>
    <w:rsid w:val="4265A8CB"/>
    <w:rsid w:val="42663703"/>
    <w:rsid w:val="426AC186"/>
    <w:rsid w:val="426D5F1A"/>
    <w:rsid w:val="426D9736"/>
    <w:rsid w:val="427181E0"/>
    <w:rsid w:val="427367DA"/>
    <w:rsid w:val="427A9604"/>
    <w:rsid w:val="427D505F"/>
    <w:rsid w:val="427DED30"/>
    <w:rsid w:val="42803637"/>
    <w:rsid w:val="42823BDA"/>
    <w:rsid w:val="42848297"/>
    <w:rsid w:val="4287541E"/>
    <w:rsid w:val="4288F57D"/>
    <w:rsid w:val="4288FF21"/>
    <w:rsid w:val="428966ED"/>
    <w:rsid w:val="42915BF3"/>
    <w:rsid w:val="4291FC0A"/>
    <w:rsid w:val="42930EA2"/>
    <w:rsid w:val="429341B2"/>
    <w:rsid w:val="42938694"/>
    <w:rsid w:val="4298EF23"/>
    <w:rsid w:val="42A326E1"/>
    <w:rsid w:val="42A3B0FB"/>
    <w:rsid w:val="42A54F59"/>
    <w:rsid w:val="42A9F731"/>
    <w:rsid w:val="42ADDB87"/>
    <w:rsid w:val="42ADEA94"/>
    <w:rsid w:val="42AE4357"/>
    <w:rsid w:val="42B03BF2"/>
    <w:rsid w:val="42B06B64"/>
    <w:rsid w:val="42B1AEA7"/>
    <w:rsid w:val="42B3FD04"/>
    <w:rsid w:val="42B5EFB6"/>
    <w:rsid w:val="42B84FD5"/>
    <w:rsid w:val="42B8B324"/>
    <w:rsid w:val="42BB5AA9"/>
    <w:rsid w:val="42BDAC1F"/>
    <w:rsid w:val="42C003B8"/>
    <w:rsid w:val="42C264C0"/>
    <w:rsid w:val="42C56271"/>
    <w:rsid w:val="42C5B200"/>
    <w:rsid w:val="42C5F8A3"/>
    <w:rsid w:val="42C63A78"/>
    <w:rsid w:val="42C6C44E"/>
    <w:rsid w:val="42CB8EC4"/>
    <w:rsid w:val="42CF175F"/>
    <w:rsid w:val="42CFE156"/>
    <w:rsid w:val="42D21ED9"/>
    <w:rsid w:val="42D4ACC6"/>
    <w:rsid w:val="42D5D71C"/>
    <w:rsid w:val="42D79B6F"/>
    <w:rsid w:val="42D7CFA0"/>
    <w:rsid w:val="42DC9170"/>
    <w:rsid w:val="42DD139C"/>
    <w:rsid w:val="42DE07C5"/>
    <w:rsid w:val="42E028E6"/>
    <w:rsid w:val="42E1FCB8"/>
    <w:rsid w:val="42E44B7E"/>
    <w:rsid w:val="42E44E6F"/>
    <w:rsid w:val="42E541E5"/>
    <w:rsid w:val="42E7D684"/>
    <w:rsid w:val="42E93D1A"/>
    <w:rsid w:val="42EB65DC"/>
    <w:rsid w:val="42EBC23A"/>
    <w:rsid w:val="42EBF693"/>
    <w:rsid w:val="42EFD444"/>
    <w:rsid w:val="42EFF616"/>
    <w:rsid w:val="42F2A8BF"/>
    <w:rsid w:val="42F2F85F"/>
    <w:rsid w:val="42F63CB9"/>
    <w:rsid w:val="42F94DC2"/>
    <w:rsid w:val="42FA43AD"/>
    <w:rsid w:val="42FAE19F"/>
    <w:rsid w:val="42FDA679"/>
    <w:rsid w:val="42FDD05B"/>
    <w:rsid w:val="42FF4E58"/>
    <w:rsid w:val="42FF8C22"/>
    <w:rsid w:val="42FFF7ED"/>
    <w:rsid w:val="43017D08"/>
    <w:rsid w:val="4301C873"/>
    <w:rsid w:val="4303E076"/>
    <w:rsid w:val="4304BE28"/>
    <w:rsid w:val="4308EBB4"/>
    <w:rsid w:val="430E68B2"/>
    <w:rsid w:val="430E9D34"/>
    <w:rsid w:val="431217E6"/>
    <w:rsid w:val="4312AF64"/>
    <w:rsid w:val="4312B99B"/>
    <w:rsid w:val="4314069E"/>
    <w:rsid w:val="4314DDD2"/>
    <w:rsid w:val="43184934"/>
    <w:rsid w:val="4318BE25"/>
    <w:rsid w:val="431921B9"/>
    <w:rsid w:val="431DEC00"/>
    <w:rsid w:val="431E0CC1"/>
    <w:rsid w:val="431F119B"/>
    <w:rsid w:val="431FACC9"/>
    <w:rsid w:val="432030C4"/>
    <w:rsid w:val="43214A2C"/>
    <w:rsid w:val="43224284"/>
    <w:rsid w:val="43246C23"/>
    <w:rsid w:val="4325391B"/>
    <w:rsid w:val="4328D7D8"/>
    <w:rsid w:val="4329240A"/>
    <w:rsid w:val="432955E6"/>
    <w:rsid w:val="432A11B2"/>
    <w:rsid w:val="432B16BB"/>
    <w:rsid w:val="432C5871"/>
    <w:rsid w:val="432FAAF0"/>
    <w:rsid w:val="432FC73E"/>
    <w:rsid w:val="43318E98"/>
    <w:rsid w:val="4334508D"/>
    <w:rsid w:val="433AEA3B"/>
    <w:rsid w:val="433AFA1B"/>
    <w:rsid w:val="433C61DC"/>
    <w:rsid w:val="433C7559"/>
    <w:rsid w:val="433CB33B"/>
    <w:rsid w:val="434281A4"/>
    <w:rsid w:val="43474789"/>
    <w:rsid w:val="434987F0"/>
    <w:rsid w:val="434EE7B6"/>
    <w:rsid w:val="4351F3B2"/>
    <w:rsid w:val="4353E881"/>
    <w:rsid w:val="43548190"/>
    <w:rsid w:val="435704B5"/>
    <w:rsid w:val="43577234"/>
    <w:rsid w:val="435ACBB8"/>
    <w:rsid w:val="435EADC4"/>
    <w:rsid w:val="435FE537"/>
    <w:rsid w:val="4361449C"/>
    <w:rsid w:val="4361C316"/>
    <w:rsid w:val="4362A254"/>
    <w:rsid w:val="4362D9DC"/>
    <w:rsid w:val="43679C1C"/>
    <w:rsid w:val="4368E815"/>
    <w:rsid w:val="43694F96"/>
    <w:rsid w:val="436CE05C"/>
    <w:rsid w:val="436E4B90"/>
    <w:rsid w:val="43722079"/>
    <w:rsid w:val="43746646"/>
    <w:rsid w:val="437594D0"/>
    <w:rsid w:val="4379E4B3"/>
    <w:rsid w:val="437AA0D2"/>
    <w:rsid w:val="437B3128"/>
    <w:rsid w:val="437C5CB8"/>
    <w:rsid w:val="43831011"/>
    <w:rsid w:val="438540B5"/>
    <w:rsid w:val="4387E144"/>
    <w:rsid w:val="438D601D"/>
    <w:rsid w:val="43922A6A"/>
    <w:rsid w:val="43931E0C"/>
    <w:rsid w:val="4393FAD5"/>
    <w:rsid w:val="43940A9E"/>
    <w:rsid w:val="43952235"/>
    <w:rsid w:val="4395C83E"/>
    <w:rsid w:val="43967CBC"/>
    <w:rsid w:val="439774FC"/>
    <w:rsid w:val="4397D47D"/>
    <w:rsid w:val="43995E69"/>
    <w:rsid w:val="439FB6DA"/>
    <w:rsid w:val="43A132E6"/>
    <w:rsid w:val="43A25CAB"/>
    <w:rsid w:val="43A61492"/>
    <w:rsid w:val="43A620F8"/>
    <w:rsid w:val="43A78E8E"/>
    <w:rsid w:val="43A7A519"/>
    <w:rsid w:val="43A9C2DA"/>
    <w:rsid w:val="43AB7807"/>
    <w:rsid w:val="43AE82E1"/>
    <w:rsid w:val="43AEE36C"/>
    <w:rsid w:val="43AEF476"/>
    <w:rsid w:val="43AF954C"/>
    <w:rsid w:val="43B0CC09"/>
    <w:rsid w:val="43B25688"/>
    <w:rsid w:val="43B36AAC"/>
    <w:rsid w:val="43B40CEA"/>
    <w:rsid w:val="43B4BD9A"/>
    <w:rsid w:val="43B9850D"/>
    <w:rsid w:val="43BA7F56"/>
    <w:rsid w:val="43BD321D"/>
    <w:rsid w:val="43BF39C6"/>
    <w:rsid w:val="43C06F74"/>
    <w:rsid w:val="43C0D869"/>
    <w:rsid w:val="43C9DF13"/>
    <w:rsid w:val="43CAABFD"/>
    <w:rsid w:val="43CB232B"/>
    <w:rsid w:val="43CE7685"/>
    <w:rsid w:val="43CF25AA"/>
    <w:rsid w:val="43D1039A"/>
    <w:rsid w:val="43D171E9"/>
    <w:rsid w:val="43D2B060"/>
    <w:rsid w:val="43D39620"/>
    <w:rsid w:val="43D4AB30"/>
    <w:rsid w:val="43DC4F4C"/>
    <w:rsid w:val="43DCD48C"/>
    <w:rsid w:val="43DD2CB3"/>
    <w:rsid w:val="43DF9C24"/>
    <w:rsid w:val="43E04131"/>
    <w:rsid w:val="43E0F5A6"/>
    <w:rsid w:val="43E2C18D"/>
    <w:rsid w:val="43E4F925"/>
    <w:rsid w:val="43EC33C0"/>
    <w:rsid w:val="43EC6227"/>
    <w:rsid w:val="43EF0C81"/>
    <w:rsid w:val="43EFA821"/>
    <w:rsid w:val="43F2369D"/>
    <w:rsid w:val="43F3DD7A"/>
    <w:rsid w:val="43F4B618"/>
    <w:rsid w:val="43FD3BD8"/>
    <w:rsid w:val="43FDDA54"/>
    <w:rsid w:val="44002A7E"/>
    <w:rsid w:val="4407B2E4"/>
    <w:rsid w:val="440EB696"/>
    <w:rsid w:val="440EF02A"/>
    <w:rsid w:val="4412D413"/>
    <w:rsid w:val="4415DE08"/>
    <w:rsid w:val="441B4B89"/>
    <w:rsid w:val="441F3039"/>
    <w:rsid w:val="44201F48"/>
    <w:rsid w:val="4422C432"/>
    <w:rsid w:val="44269E7F"/>
    <w:rsid w:val="4428BF4F"/>
    <w:rsid w:val="442A2528"/>
    <w:rsid w:val="442B8281"/>
    <w:rsid w:val="442CF8E7"/>
    <w:rsid w:val="443291C1"/>
    <w:rsid w:val="4433BBA4"/>
    <w:rsid w:val="4433CE85"/>
    <w:rsid w:val="443BA17E"/>
    <w:rsid w:val="443DE1AC"/>
    <w:rsid w:val="443E4138"/>
    <w:rsid w:val="443E77D5"/>
    <w:rsid w:val="44410204"/>
    <w:rsid w:val="4445A5D4"/>
    <w:rsid w:val="4446F99C"/>
    <w:rsid w:val="44497CE6"/>
    <w:rsid w:val="444A9340"/>
    <w:rsid w:val="444D768D"/>
    <w:rsid w:val="444EE919"/>
    <w:rsid w:val="44507D40"/>
    <w:rsid w:val="44567CDB"/>
    <w:rsid w:val="4457A934"/>
    <w:rsid w:val="445D2B90"/>
    <w:rsid w:val="445DA93B"/>
    <w:rsid w:val="445DF92E"/>
    <w:rsid w:val="445F2E6A"/>
    <w:rsid w:val="445FA0E5"/>
    <w:rsid w:val="44643295"/>
    <w:rsid w:val="446831AB"/>
    <w:rsid w:val="44695AE4"/>
    <w:rsid w:val="446A119C"/>
    <w:rsid w:val="446E72CA"/>
    <w:rsid w:val="446FD712"/>
    <w:rsid w:val="4476D187"/>
    <w:rsid w:val="4477AA51"/>
    <w:rsid w:val="4479B705"/>
    <w:rsid w:val="447C201E"/>
    <w:rsid w:val="447D2B11"/>
    <w:rsid w:val="447DA4C3"/>
    <w:rsid w:val="44814489"/>
    <w:rsid w:val="44846CAA"/>
    <w:rsid w:val="44856124"/>
    <w:rsid w:val="4487AF5D"/>
    <w:rsid w:val="4487C962"/>
    <w:rsid w:val="448818D0"/>
    <w:rsid w:val="448B81F7"/>
    <w:rsid w:val="448DC05E"/>
    <w:rsid w:val="448DF9A0"/>
    <w:rsid w:val="449075DB"/>
    <w:rsid w:val="449C2146"/>
    <w:rsid w:val="449CB78A"/>
    <w:rsid w:val="449E2B1C"/>
    <w:rsid w:val="44A1B6A0"/>
    <w:rsid w:val="44A1BEBC"/>
    <w:rsid w:val="44A6609D"/>
    <w:rsid w:val="44A78F79"/>
    <w:rsid w:val="44ACD94D"/>
    <w:rsid w:val="44AEEE4E"/>
    <w:rsid w:val="44AEF8AE"/>
    <w:rsid w:val="44B3A789"/>
    <w:rsid w:val="44B421BA"/>
    <w:rsid w:val="44B4754B"/>
    <w:rsid w:val="44B5C3B2"/>
    <w:rsid w:val="44B8EE54"/>
    <w:rsid w:val="44BB936F"/>
    <w:rsid w:val="44C1077B"/>
    <w:rsid w:val="44C40B17"/>
    <w:rsid w:val="44C7C60E"/>
    <w:rsid w:val="44CE91EC"/>
    <w:rsid w:val="44CE9C8F"/>
    <w:rsid w:val="44CF9C43"/>
    <w:rsid w:val="44D098D4"/>
    <w:rsid w:val="44D169CC"/>
    <w:rsid w:val="44D3091D"/>
    <w:rsid w:val="44D3B3C6"/>
    <w:rsid w:val="44D46F11"/>
    <w:rsid w:val="44D47E0E"/>
    <w:rsid w:val="44D6136A"/>
    <w:rsid w:val="44D6A48E"/>
    <w:rsid w:val="44D7409D"/>
    <w:rsid w:val="44D8DDCF"/>
    <w:rsid w:val="44DA71A3"/>
    <w:rsid w:val="44DF6C5D"/>
    <w:rsid w:val="44E10721"/>
    <w:rsid w:val="44E187F2"/>
    <w:rsid w:val="44E23F0E"/>
    <w:rsid w:val="44E385C5"/>
    <w:rsid w:val="44E6350B"/>
    <w:rsid w:val="44EB8876"/>
    <w:rsid w:val="44ED2B1C"/>
    <w:rsid w:val="44EE287D"/>
    <w:rsid w:val="44F10F61"/>
    <w:rsid w:val="44F2B9A0"/>
    <w:rsid w:val="44F31808"/>
    <w:rsid w:val="44F7F017"/>
    <w:rsid w:val="45003BAD"/>
    <w:rsid w:val="4500967F"/>
    <w:rsid w:val="4500B28E"/>
    <w:rsid w:val="4503A9EC"/>
    <w:rsid w:val="4504740D"/>
    <w:rsid w:val="45065D3D"/>
    <w:rsid w:val="45094753"/>
    <w:rsid w:val="4509C9B9"/>
    <w:rsid w:val="4509F1C3"/>
    <w:rsid w:val="450C13FE"/>
    <w:rsid w:val="45138FEA"/>
    <w:rsid w:val="4513A86D"/>
    <w:rsid w:val="4517FB88"/>
    <w:rsid w:val="45199872"/>
    <w:rsid w:val="4519D21B"/>
    <w:rsid w:val="451AD12B"/>
    <w:rsid w:val="451FA32A"/>
    <w:rsid w:val="45228B3C"/>
    <w:rsid w:val="45269E3D"/>
    <w:rsid w:val="452B8320"/>
    <w:rsid w:val="452CE010"/>
    <w:rsid w:val="4534E185"/>
    <w:rsid w:val="453680B0"/>
    <w:rsid w:val="45387A8F"/>
    <w:rsid w:val="454280E9"/>
    <w:rsid w:val="454BD24E"/>
    <w:rsid w:val="45521949"/>
    <w:rsid w:val="45544F1C"/>
    <w:rsid w:val="4557380A"/>
    <w:rsid w:val="455B412F"/>
    <w:rsid w:val="455BD771"/>
    <w:rsid w:val="455C6B00"/>
    <w:rsid w:val="455DD125"/>
    <w:rsid w:val="4562549A"/>
    <w:rsid w:val="45647A10"/>
    <w:rsid w:val="4566B95C"/>
    <w:rsid w:val="4568A6F3"/>
    <w:rsid w:val="456B6922"/>
    <w:rsid w:val="456D332B"/>
    <w:rsid w:val="45740EED"/>
    <w:rsid w:val="457427DC"/>
    <w:rsid w:val="4574894E"/>
    <w:rsid w:val="4574F48D"/>
    <w:rsid w:val="45750F73"/>
    <w:rsid w:val="4577E1FA"/>
    <w:rsid w:val="457A43F6"/>
    <w:rsid w:val="458256CF"/>
    <w:rsid w:val="45830986"/>
    <w:rsid w:val="45837253"/>
    <w:rsid w:val="4586F777"/>
    <w:rsid w:val="45897C95"/>
    <w:rsid w:val="458EFB4E"/>
    <w:rsid w:val="4591F97E"/>
    <w:rsid w:val="4596D320"/>
    <w:rsid w:val="45970383"/>
    <w:rsid w:val="4598F080"/>
    <w:rsid w:val="45995910"/>
    <w:rsid w:val="459DDA3D"/>
    <w:rsid w:val="45A5D5CE"/>
    <w:rsid w:val="45A644D0"/>
    <w:rsid w:val="45A8FF84"/>
    <w:rsid w:val="45B6D950"/>
    <w:rsid w:val="45B95C11"/>
    <w:rsid w:val="45C012C0"/>
    <w:rsid w:val="45C1DC4C"/>
    <w:rsid w:val="45C2BA23"/>
    <w:rsid w:val="45C3C20A"/>
    <w:rsid w:val="45C4696B"/>
    <w:rsid w:val="45C66F9A"/>
    <w:rsid w:val="45CB470E"/>
    <w:rsid w:val="45CD7F34"/>
    <w:rsid w:val="45CEBE96"/>
    <w:rsid w:val="45D0B4C3"/>
    <w:rsid w:val="45D1F93C"/>
    <w:rsid w:val="45D371E8"/>
    <w:rsid w:val="45D50B57"/>
    <w:rsid w:val="45D5A84D"/>
    <w:rsid w:val="45D900C4"/>
    <w:rsid w:val="45DA7C29"/>
    <w:rsid w:val="45DBC02B"/>
    <w:rsid w:val="45DCBB1D"/>
    <w:rsid w:val="45E1648C"/>
    <w:rsid w:val="45E17FF2"/>
    <w:rsid w:val="45E5792D"/>
    <w:rsid w:val="45E5E8EA"/>
    <w:rsid w:val="45E90FB2"/>
    <w:rsid w:val="45EC07C5"/>
    <w:rsid w:val="45ECC301"/>
    <w:rsid w:val="45EEC6C9"/>
    <w:rsid w:val="45F0FC97"/>
    <w:rsid w:val="45F19A1C"/>
    <w:rsid w:val="45F585FF"/>
    <w:rsid w:val="45F6BCF1"/>
    <w:rsid w:val="45FAC4D7"/>
    <w:rsid w:val="45FD2706"/>
    <w:rsid w:val="45FE7F62"/>
    <w:rsid w:val="45FFDC50"/>
    <w:rsid w:val="46030BB9"/>
    <w:rsid w:val="46091E28"/>
    <w:rsid w:val="460A5972"/>
    <w:rsid w:val="460BDE27"/>
    <w:rsid w:val="460CC618"/>
    <w:rsid w:val="460DA802"/>
    <w:rsid w:val="4610AC13"/>
    <w:rsid w:val="4612131F"/>
    <w:rsid w:val="4613C936"/>
    <w:rsid w:val="46140BAE"/>
    <w:rsid w:val="46149DEE"/>
    <w:rsid w:val="461517CF"/>
    <w:rsid w:val="4618CAC4"/>
    <w:rsid w:val="461B18C1"/>
    <w:rsid w:val="461B3D63"/>
    <w:rsid w:val="461B5E5E"/>
    <w:rsid w:val="461CE31C"/>
    <w:rsid w:val="461E7C2D"/>
    <w:rsid w:val="4629745F"/>
    <w:rsid w:val="462AB945"/>
    <w:rsid w:val="462C11BD"/>
    <w:rsid w:val="462E7F64"/>
    <w:rsid w:val="46302A53"/>
    <w:rsid w:val="46330F46"/>
    <w:rsid w:val="463343ED"/>
    <w:rsid w:val="46397395"/>
    <w:rsid w:val="463CC692"/>
    <w:rsid w:val="4640256B"/>
    <w:rsid w:val="464481E7"/>
    <w:rsid w:val="464B1858"/>
    <w:rsid w:val="464D3686"/>
    <w:rsid w:val="46523327"/>
    <w:rsid w:val="4652B7D1"/>
    <w:rsid w:val="465577B1"/>
    <w:rsid w:val="4659190D"/>
    <w:rsid w:val="465F9AD6"/>
    <w:rsid w:val="466033C7"/>
    <w:rsid w:val="4660891E"/>
    <w:rsid w:val="466514DF"/>
    <w:rsid w:val="46653864"/>
    <w:rsid w:val="466560B9"/>
    <w:rsid w:val="46661E6A"/>
    <w:rsid w:val="4666C699"/>
    <w:rsid w:val="46680226"/>
    <w:rsid w:val="46682307"/>
    <w:rsid w:val="4668D7C2"/>
    <w:rsid w:val="466CB0E6"/>
    <w:rsid w:val="466D31EC"/>
    <w:rsid w:val="466EFF75"/>
    <w:rsid w:val="467025FD"/>
    <w:rsid w:val="4675F57C"/>
    <w:rsid w:val="467F28FF"/>
    <w:rsid w:val="46825A8C"/>
    <w:rsid w:val="46860470"/>
    <w:rsid w:val="46888CB6"/>
    <w:rsid w:val="4689DBAA"/>
    <w:rsid w:val="468CAF33"/>
    <w:rsid w:val="468F8D3B"/>
    <w:rsid w:val="469265F9"/>
    <w:rsid w:val="4696990B"/>
    <w:rsid w:val="46991384"/>
    <w:rsid w:val="469BCA4D"/>
    <w:rsid w:val="469BD0B2"/>
    <w:rsid w:val="469F7A9F"/>
    <w:rsid w:val="46A710B6"/>
    <w:rsid w:val="46AD80EC"/>
    <w:rsid w:val="46B1AE39"/>
    <w:rsid w:val="46B2ECD1"/>
    <w:rsid w:val="46B6081C"/>
    <w:rsid w:val="46B6B3A5"/>
    <w:rsid w:val="46B7D9EB"/>
    <w:rsid w:val="46B9CC6A"/>
    <w:rsid w:val="46BA4590"/>
    <w:rsid w:val="46C21C21"/>
    <w:rsid w:val="46C5B070"/>
    <w:rsid w:val="46C6B326"/>
    <w:rsid w:val="46C807AC"/>
    <w:rsid w:val="46D06317"/>
    <w:rsid w:val="46D06991"/>
    <w:rsid w:val="46D756D6"/>
    <w:rsid w:val="46D9AD5C"/>
    <w:rsid w:val="46DA48E6"/>
    <w:rsid w:val="46DA4FFC"/>
    <w:rsid w:val="46DC2C29"/>
    <w:rsid w:val="46DDCE1C"/>
    <w:rsid w:val="46DE37CF"/>
    <w:rsid w:val="46DE9D83"/>
    <w:rsid w:val="46DEA5D8"/>
    <w:rsid w:val="46E00D38"/>
    <w:rsid w:val="46E30CEB"/>
    <w:rsid w:val="46E40D7A"/>
    <w:rsid w:val="46E4ADD4"/>
    <w:rsid w:val="46E5065E"/>
    <w:rsid w:val="46E54E3E"/>
    <w:rsid w:val="46E69678"/>
    <w:rsid w:val="46E6EECE"/>
    <w:rsid w:val="46EA40F7"/>
    <w:rsid w:val="46F15C94"/>
    <w:rsid w:val="46F2A306"/>
    <w:rsid w:val="46F341A2"/>
    <w:rsid w:val="46F56908"/>
    <w:rsid w:val="46F784B0"/>
    <w:rsid w:val="46F831B4"/>
    <w:rsid w:val="46F9E151"/>
    <w:rsid w:val="46FBB71E"/>
    <w:rsid w:val="46FC09DF"/>
    <w:rsid w:val="46FD6A67"/>
    <w:rsid w:val="46FF0528"/>
    <w:rsid w:val="4702A421"/>
    <w:rsid w:val="47053D7A"/>
    <w:rsid w:val="4706DC38"/>
    <w:rsid w:val="470722EE"/>
    <w:rsid w:val="47074702"/>
    <w:rsid w:val="4708560C"/>
    <w:rsid w:val="470A5891"/>
    <w:rsid w:val="470AE7DF"/>
    <w:rsid w:val="470AFAE0"/>
    <w:rsid w:val="470C7CC4"/>
    <w:rsid w:val="47113595"/>
    <w:rsid w:val="4718FB07"/>
    <w:rsid w:val="47193CD9"/>
    <w:rsid w:val="471C4FD7"/>
    <w:rsid w:val="4722DAE0"/>
    <w:rsid w:val="472553E7"/>
    <w:rsid w:val="47274898"/>
    <w:rsid w:val="4729F67E"/>
    <w:rsid w:val="472C1990"/>
    <w:rsid w:val="472F4102"/>
    <w:rsid w:val="472F6969"/>
    <w:rsid w:val="473037AB"/>
    <w:rsid w:val="47310B6C"/>
    <w:rsid w:val="4732CF32"/>
    <w:rsid w:val="47358208"/>
    <w:rsid w:val="47363026"/>
    <w:rsid w:val="47369871"/>
    <w:rsid w:val="473AADC7"/>
    <w:rsid w:val="47444A1A"/>
    <w:rsid w:val="47473984"/>
    <w:rsid w:val="4749E71F"/>
    <w:rsid w:val="474B1782"/>
    <w:rsid w:val="474B69A7"/>
    <w:rsid w:val="474C21C6"/>
    <w:rsid w:val="4752DA22"/>
    <w:rsid w:val="475558D5"/>
    <w:rsid w:val="4755DF88"/>
    <w:rsid w:val="4756F35E"/>
    <w:rsid w:val="47577C9F"/>
    <w:rsid w:val="475824C8"/>
    <w:rsid w:val="4759FFA8"/>
    <w:rsid w:val="475B4193"/>
    <w:rsid w:val="475CD21D"/>
    <w:rsid w:val="475ED000"/>
    <w:rsid w:val="476084F0"/>
    <w:rsid w:val="476150D6"/>
    <w:rsid w:val="476239BC"/>
    <w:rsid w:val="476690B5"/>
    <w:rsid w:val="4766EC49"/>
    <w:rsid w:val="4768E73E"/>
    <w:rsid w:val="47691C61"/>
    <w:rsid w:val="476B4B45"/>
    <w:rsid w:val="476C69EB"/>
    <w:rsid w:val="476D855B"/>
    <w:rsid w:val="47753D35"/>
    <w:rsid w:val="477C51F6"/>
    <w:rsid w:val="477D8E3F"/>
    <w:rsid w:val="477DE1E3"/>
    <w:rsid w:val="477E5D00"/>
    <w:rsid w:val="477EF662"/>
    <w:rsid w:val="4780C008"/>
    <w:rsid w:val="4781526F"/>
    <w:rsid w:val="47832019"/>
    <w:rsid w:val="4783C458"/>
    <w:rsid w:val="4785C590"/>
    <w:rsid w:val="4789DFF4"/>
    <w:rsid w:val="478BFA18"/>
    <w:rsid w:val="47926C72"/>
    <w:rsid w:val="4792FEE4"/>
    <w:rsid w:val="4795DCB1"/>
    <w:rsid w:val="47977AF9"/>
    <w:rsid w:val="4797BE6E"/>
    <w:rsid w:val="47994BD6"/>
    <w:rsid w:val="479AB03D"/>
    <w:rsid w:val="479B1454"/>
    <w:rsid w:val="479B3FF8"/>
    <w:rsid w:val="479BE1E0"/>
    <w:rsid w:val="479E8031"/>
    <w:rsid w:val="479FCFFB"/>
    <w:rsid w:val="479FD1FB"/>
    <w:rsid w:val="47A5794F"/>
    <w:rsid w:val="47A5A7CF"/>
    <w:rsid w:val="47A5AB45"/>
    <w:rsid w:val="47AEA593"/>
    <w:rsid w:val="47AF8E97"/>
    <w:rsid w:val="47B209BB"/>
    <w:rsid w:val="47B8C648"/>
    <w:rsid w:val="47BD4060"/>
    <w:rsid w:val="47C4208B"/>
    <w:rsid w:val="47C42EAF"/>
    <w:rsid w:val="47C76764"/>
    <w:rsid w:val="47C7B795"/>
    <w:rsid w:val="47C8FD16"/>
    <w:rsid w:val="47C9CC82"/>
    <w:rsid w:val="47CA813B"/>
    <w:rsid w:val="47CAC4AF"/>
    <w:rsid w:val="47CB6B0A"/>
    <w:rsid w:val="47D092F5"/>
    <w:rsid w:val="47D095BF"/>
    <w:rsid w:val="47D2E7C0"/>
    <w:rsid w:val="47D6CBBF"/>
    <w:rsid w:val="47D78C9C"/>
    <w:rsid w:val="47D79375"/>
    <w:rsid w:val="47D9D3AA"/>
    <w:rsid w:val="47D9DA0C"/>
    <w:rsid w:val="47DD91ED"/>
    <w:rsid w:val="47DF4B39"/>
    <w:rsid w:val="47DF5D0C"/>
    <w:rsid w:val="47E1AD9B"/>
    <w:rsid w:val="47E3322D"/>
    <w:rsid w:val="47E5CA17"/>
    <w:rsid w:val="47E82AC3"/>
    <w:rsid w:val="47F3E235"/>
    <w:rsid w:val="47F803F1"/>
    <w:rsid w:val="47F85385"/>
    <w:rsid w:val="47FD55E2"/>
    <w:rsid w:val="480254A8"/>
    <w:rsid w:val="48032F0A"/>
    <w:rsid w:val="4805A884"/>
    <w:rsid w:val="480A514E"/>
    <w:rsid w:val="480FC83B"/>
    <w:rsid w:val="4811A007"/>
    <w:rsid w:val="48175E26"/>
    <w:rsid w:val="4817743C"/>
    <w:rsid w:val="48189F81"/>
    <w:rsid w:val="4819C6BD"/>
    <w:rsid w:val="481C8C10"/>
    <w:rsid w:val="481E172B"/>
    <w:rsid w:val="481E8E15"/>
    <w:rsid w:val="48206B75"/>
    <w:rsid w:val="48226BB4"/>
    <w:rsid w:val="4823A95E"/>
    <w:rsid w:val="4823FAD5"/>
    <w:rsid w:val="48241E01"/>
    <w:rsid w:val="48248225"/>
    <w:rsid w:val="48262040"/>
    <w:rsid w:val="482707B6"/>
    <w:rsid w:val="482F45DE"/>
    <w:rsid w:val="4839C85A"/>
    <w:rsid w:val="483C7ADD"/>
    <w:rsid w:val="483DC139"/>
    <w:rsid w:val="4843439A"/>
    <w:rsid w:val="4843608D"/>
    <w:rsid w:val="4845B267"/>
    <w:rsid w:val="48471E5B"/>
    <w:rsid w:val="484831AF"/>
    <w:rsid w:val="4848D86A"/>
    <w:rsid w:val="484918FA"/>
    <w:rsid w:val="484CCE62"/>
    <w:rsid w:val="484EAE53"/>
    <w:rsid w:val="48506E97"/>
    <w:rsid w:val="485475E3"/>
    <w:rsid w:val="4859644A"/>
    <w:rsid w:val="4861751E"/>
    <w:rsid w:val="4862FCB9"/>
    <w:rsid w:val="486623F9"/>
    <w:rsid w:val="486766DD"/>
    <w:rsid w:val="486F70A0"/>
    <w:rsid w:val="4870C6FA"/>
    <w:rsid w:val="4871A570"/>
    <w:rsid w:val="487267B9"/>
    <w:rsid w:val="4872BC98"/>
    <w:rsid w:val="4874760C"/>
    <w:rsid w:val="4874BD1E"/>
    <w:rsid w:val="48774B4D"/>
    <w:rsid w:val="487C880A"/>
    <w:rsid w:val="4881592E"/>
    <w:rsid w:val="48831F80"/>
    <w:rsid w:val="488D77FF"/>
    <w:rsid w:val="489A4974"/>
    <w:rsid w:val="489EFE06"/>
    <w:rsid w:val="48A01EF7"/>
    <w:rsid w:val="48A55493"/>
    <w:rsid w:val="48A8966A"/>
    <w:rsid w:val="48A8A035"/>
    <w:rsid w:val="48A90BE5"/>
    <w:rsid w:val="48AAAC11"/>
    <w:rsid w:val="48AEF592"/>
    <w:rsid w:val="48B5F13D"/>
    <w:rsid w:val="48B96AC9"/>
    <w:rsid w:val="48BBD36C"/>
    <w:rsid w:val="48C0F3FB"/>
    <w:rsid w:val="48C26135"/>
    <w:rsid w:val="48C53B97"/>
    <w:rsid w:val="48C684DB"/>
    <w:rsid w:val="48C72974"/>
    <w:rsid w:val="48C853D1"/>
    <w:rsid w:val="48CBE065"/>
    <w:rsid w:val="48CE4027"/>
    <w:rsid w:val="48D46B5E"/>
    <w:rsid w:val="48D4EA63"/>
    <w:rsid w:val="48D7B84E"/>
    <w:rsid w:val="48DB691D"/>
    <w:rsid w:val="48DCA495"/>
    <w:rsid w:val="48DEB4CD"/>
    <w:rsid w:val="48DF5CCB"/>
    <w:rsid w:val="48DF9795"/>
    <w:rsid w:val="48E15537"/>
    <w:rsid w:val="48E29BB5"/>
    <w:rsid w:val="48E42EDC"/>
    <w:rsid w:val="48E6DAE6"/>
    <w:rsid w:val="48E7246C"/>
    <w:rsid w:val="48E853A6"/>
    <w:rsid w:val="48E8F2A4"/>
    <w:rsid w:val="48E90AD7"/>
    <w:rsid w:val="48ECDC12"/>
    <w:rsid w:val="48EE2306"/>
    <w:rsid w:val="48F0539B"/>
    <w:rsid w:val="48F54A13"/>
    <w:rsid w:val="48F722C3"/>
    <w:rsid w:val="48F73B60"/>
    <w:rsid w:val="48FB2973"/>
    <w:rsid w:val="48FBD27F"/>
    <w:rsid w:val="48FEAD5E"/>
    <w:rsid w:val="48FF7AC6"/>
    <w:rsid w:val="49026A30"/>
    <w:rsid w:val="4907BE3C"/>
    <w:rsid w:val="490BDF2B"/>
    <w:rsid w:val="4910BA8E"/>
    <w:rsid w:val="4914E89E"/>
    <w:rsid w:val="4915E39A"/>
    <w:rsid w:val="49168B77"/>
    <w:rsid w:val="491AC886"/>
    <w:rsid w:val="4923CC49"/>
    <w:rsid w:val="4927DCEE"/>
    <w:rsid w:val="492A4EEF"/>
    <w:rsid w:val="492B5256"/>
    <w:rsid w:val="492BCA40"/>
    <w:rsid w:val="492DE544"/>
    <w:rsid w:val="493052AB"/>
    <w:rsid w:val="4935394A"/>
    <w:rsid w:val="4936C4B3"/>
    <w:rsid w:val="4936CB72"/>
    <w:rsid w:val="4938A9E7"/>
    <w:rsid w:val="4938C59B"/>
    <w:rsid w:val="493A8DF0"/>
    <w:rsid w:val="493D0C5D"/>
    <w:rsid w:val="493D598B"/>
    <w:rsid w:val="493EA393"/>
    <w:rsid w:val="4942835A"/>
    <w:rsid w:val="49435984"/>
    <w:rsid w:val="4948100F"/>
    <w:rsid w:val="494A1EDF"/>
    <w:rsid w:val="494BB50C"/>
    <w:rsid w:val="494DB85E"/>
    <w:rsid w:val="4953BECE"/>
    <w:rsid w:val="49547423"/>
    <w:rsid w:val="4954DEA3"/>
    <w:rsid w:val="4954EAAB"/>
    <w:rsid w:val="4959F8C1"/>
    <w:rsid w:val="4961529F"/>
    <w:rsid w:val="49619A02"/>
    <w:rsid w:val="4963E5CF"/>
    <w:rsid w:val="4964747D"/>
    <w:rsid w:val="49656142"/>
    <w:rsid w:val="4965E099"/>
    <w:rsid w:val="496821D6"/>
    <w:rsid w:val="496829E4"/>
    <w:rsid w:val="4968BA81"/>
    <w:rsid w:val="4969A06A"/>
    <w:rsid w:val="496BC71B"/>
    <w:rsid w:val="496D878A"/>
    <w:rsid w:val="496F08A8"/>
    <w:rsid w:val="4972A713"/>
    <w:rsid w:val="4972B324"/>
    <w:rsid w:val="4975ACBE"/>
    <w:rsid w:val="4976CA6E"/>
    <w:rsid w:val="497A8586"/>
    <w:rsid w:val="497BC986"/>
    <w:rsid w:val="497BC9DC"/>
    <w:rsid w:val="497C9136"/>
    <w:rsid w:val="498030DB"/>
    <w:rsid w:val="498210F2"/>
    <w:rsid w:val="49824F47"/>
    <w:rsid w:val="498545B7"/>
    <w:rsid w:val="498821D6"/>
    <w:rsid w:val="498A066D"/>
    <w:rsid w:val="498DE3CA"/>
    <w:rsid w:val="49975A95"/>
    <w:rsid w:val="499854F3"/>
    <w:rsid w:val="499E2AF4"/>
    <w:rsid w:val="499F47AB"/>
    <w:rsid w:val="49A3FCCD"/>
    <w:rsid w:val="49A4844F"/>
    <w:rsid w:val="49A484B2"/>
    <w:rsid w:val="49A92469"/>
    <w:rsid w:val="49AA5BDF"/>
    <w:rsid w:val="49ADB281"/>
    <w:rsid w:val="49AE89C4"/>
    <w:rsid w:val="49AE939B"/>
    <w:rsid w:val="49AF3C93"/>
    <w:rsid w:val="49B348A3"/>
    <w:rsid w:val="49B37AAA"/>
    <w:rsid w:val="49B39460"/>
    <w:rsid w:val="49B3DF78"/>
    <w:rsid w:val="49B41371"/>
    <w:rsid w:val="49B5B8EF"/>
    <w:rsid w:val="49B93C4C"/>
    <w:rsid w:val="49B981B2"/>
    <w:rsid w:val="49BA3D83"/>
    <w:rsid w:val="49BC726E"/>
    <w:rsid w:val="49BFD4AB"/>
    <w:rsid w:val="49C0A39D"/>
    <w:rsid w:val="49C390B3"/>
    <w:rsid w:val="49C5FD82"/>
    <w:rsid w:val="49C76E61"/>
    <w:rsid w:val="49C90D04"/>
    <w:rsid w:val="49C927A1"/>
    <w:rsid w:val="49CB0CEA"/>
    <w:rsid w:val="49CCADA8"/>
    <w:rsid w:val="49CD1348"/>
    <w:rsid w:val="49D07481"/>
    <w:rsid w:val="49D5C3CB"/>
    <w:rsid w:val="49D64801"/>
    <w:rsid w:val="49D9ACDB"/>
    <w:rsid w:val="49D9C6E0"/>
    <w:rsid w:val="49DA72AF"/>
    <w:rsid w:val="49DC26B5"/>
    <w:rsid w:val="49DC9F93"/>
    <w:rsid w:val="49DD2CED"/>
    <w:rsid w:val="49DD6010"/>
    <w:rsid w:val="49DDB684"/>
    <w:rsid w:val="49E0BC9E"/>
    <w:rsid w:val="49E26D3C"/>
    <w:rsid w:val="49E6A71D"/>
    <w:rsid w:val="49EDBE99"/>
    <w:rsid w:val="49EE9D50"/>
    <w:rsid w:val="49F1AB0A"/>
    <w:rsid w:val="49F4DE4A"/>
    <w:rsid w:val="49F56AD7"/>
    <w:rsid w:val="49F8931D"/>
    <w:rsid w:val="49FA457B"/>
    <w:rsid w:val="4A021DD2"/>
    <w:rsid w:val="4A031FF5"/>
    <w:rsid w:val="4A03CB75"/>
    <w:rsid w:val="4A0459D4"/>
    <w:rsid w:val="4A080378"/>
    <w:rsid w:val="4A0A5C7E"/>
    <w:rsid w:val="4A0B0779"/>
    <w:rsid w:val="4A0D198F"/>
    <w:rsid w:val="4A13B5E6"/>
    <w:rsid w:val="4A1610B8"/>
    <w:rsid w:val="4A179DDB"/>
    <w:rsid w:val="4A18E209"/>
    <w:rsid w:val="4A1E5B7E"/>
    <w:rsid w:val="4A2012DD"/>
    <w:rsid w:val="4A2317C5"/>
    <w:rsid w:val="4A26CCAE"/>
    <w:rsid w:val="4A286C01"/>
    <w:rsid w:val="4A299221"/>
    <w:rsid w:val="4A2DE1BC"/>
    <w:rsid w:val="4A2F2E20"/>
    <w:rsid w:val="4A2FF728"/>
    <w:rsid w:val="4A300B47"/>
    <w:rsid w:val="4A33B4D4"/>
    <w:rsid w:val="4A34FB4C"/>
    <w:rsid w:val="4A3A3271"/>
    <w:rsid w:val="4A3C064E"/>
    <w:rsid w:val="4A41B29E"/>
    <w:rsid w:val="4A43F587"/>
    <w:rsid w:val="4A45FD13"/>
    <w:rsid w:val="4A460A42"/>
    <w:rsid w:val="4A46C752"/>
    <w:rsid w:val="4A48EC40"/>
    <w:rsid w:val="4A4970A3"/>
    <w:rsid w:val="4A49B1B3"/>
    <w:rsid w:val="4A4ED63B"/>
    <w:rsid w:val="4A501233"/>
    <w:rsid w:val="4A52EF11"/>
    <w:rsid w:val="4A545AD8"/>
    <w:rsid w:val="4A56A02A"/>
    <w:rsid w:val="4A5EBC05"/>
    <w:rsid w:val="4A645F9D"/>
    <w:rsid w:val="4A65C540"/>
    <w:rsid w:val="4A66123F"/>
    <w:rsid w:val="4A6633B1"/>
    <w:rsid w:val="4A68667D"/>
    <w:rsid w:val="4A69CA0B"/>
    <w:rsid w:val="4A6AF1A5"/>
    <w:rsid w:val="4A6B30B6"/>
    <w:rsid w:val="4A6EA63F"/>
    <w:rsid w:val="4A71A711"/>
    <w:rsid w:val="4A728749"/>
    <w:rsid w:val="4A72AD10"/>
    <w:rsid w:val="4A750A88"/>
    <w:rsid w:val="4A772668"/>
    <w:rsid w:val="4A78146F"/>
    <w:rsid w:val="4A7B0F22"/>
    <w:rsid w:val="4A7F0712"/>
    <w:rsid w:val="4A81766C"/>
    <w:rsid w:val="4A83F3D1"/>
    <w:rsid w:val="4A83FF71"/>
    <w:rsid w:val="4A85E57B"/>
    <w:rsid w:val="4A876F24"/>
    <w:rsid w:val="4A922619"/>
    <w:rsid w:val="4A929D9C"/>
    <w:rsid w:val="4A92A36C"/>
    <w:rsid w:val="4A92E991"/>
    <w:rsid w:val="4A948646"/>
    <w:rsid w:val="4A960F3C"/>
    <w:rsid w:val="4A9659A0"/>
    <w:rsid w:val="4A9853C9"/>
    <w:rsid w:val="4A9A1115"/>
    <w:rsid w:val="4A9AC3F2"/>
    <w:rsid w:val="4A9B68E3"/>
    <w:rsid w:val="4A9C7EE9"/>
    <w:rsid w:val="4A9F0B33"/>
    <w:rsid w:val="4A9F1A5B"/>
    <w:rsid w:val="4AA16AF2"/>
    <w:rsid w:val="4AA39AEE"/>
    <w:rsid w:val="4AA4B7E4"/>
    <w:rsid w:val="4AA56588"/>
    <w:rsid w:val="4AA97AD0"/>
    <w:rsid w:val="4AAA7E14"/>
    <w:rsid w:val="4AABA379"/>
    <w:rsid w:val="4AABF76D"/>
    <w:rsid w:val="4AAC4641"/>
    <w:rsid w:val="4AAE23B5"/>
    <w:rsid w:val="4AAF159F"/>
    <w:rsid w:val="4AB0FE05"/>
    <w:rsid w:val="4AB49E35"/>
    <w:rsid w:val="4AB6629E"/>
    <w:rsid w:val="4ABCD4CF"/>
    <w:rsid w:val="4ABD1990"/>
    <w:rsid w:val="4AC14DE5"/>
    <w:rsid w:val="4AC6E7AD"/>
    <w:rsid w:val="4ACB1BB2"/>
    <w:rsid w:val="4ACB847A"/>
    <w:rsid w:val="4ACBED0B"/>
    <w:rsid w:val="4ACC35FC"/>
    <w:rsid w:val="4ACEA700"/>
    <w:rsid w:val="4AD01CA4"/>
    <w:rsid w:val="4AD11C30"/>
    <w:rsid w:val="4AD1AF35"/>
    <w:rsid w:val="4AD208B9"/>
    <w:rsid w:val="4AD2EC73"/>
    <w:rsid w:val="4AD4F753"/>
    <w:rsid w:val="4AD50E9D"/>
    <w:rsid w:val="4AD6C3DC"/>
    <w:rsid w:val="4AD7E6E2"/>
    <w:rsid w:val="4ADA1FE9"/>
    <w:rsid w:val="4ADBC85E"/>
    <w:rsid w:val="4ADC230B"/>
    <w:rsid w:val="4ADC6DF1"/>
    <w:rsid w:val="4ADF43E1"/>
    <w:rsid w:val="4AE04C2F"/>
    <w:rsid w:val="4AE20F33"/>
    <w:rsid w:val="4AE27C7D"/>
    <w:rsid w:val="4AE40BFE"/>
    <w:rsid w:val="4AE86AC6"/>
    <w:rsid w:val="4AEB4760"/>
    <w:rsid w:val="4AEC3498"/>
    <w:rsid w:val="4AF695CF"/>
    <w:rsid w:val="4AFD82A9"/>
    <w:rsid w:val="4AFE2744"/>
    <w:rsid w:val="4AFE35C7"/>
    <w:rsid w:val="4B02630D"/>
    <w:rsid w:val="4B02F57F"/>
    <w:rsid w:val="4B036A66"/>
    <w:rsid w:val="4B04476B"/>
    <w:rsid w:val="4B059316"/>
    <w:rsid w:val="4B05D4AB"/>
    <w:rsid w:val="4B083941"/>
    <w:rsid w:val="4B091B87"/>
    <w:rsid w:val="4B0A6AE5"/>
    <w:rsid w:val="4B0CB141"/>
    <w:rsid w:val="4B0D6214"/>
    <w:rsid w:val="4B13381A"/>
    <w:rsid w:val="4B139173"/>
    <w:rsid w:val="4B13B8FF"/>
    <w:rsid w:val="4B13BD0B"/>
    <w:rsid w:val="4B17DAA3"/>
    <w:rsid w:val="4B1871A1"/>
    <w:rsid w:val="4B18856D"/>
    <w:rsid w:val="4B1A02DF"/>
    <w:rsid w:val="4B1CD791"/>
    <w:rsid w:val="4B1F6CF3"/>
    <w:rsid w:val="4B2328E6"/>
    <w:rsid w:val="4B25F9F1"/>
    <w:rsid w:val="4B298734"/>
    <w:rsid w:val="4B29DB4F"/>
    <w:rsid w:val="4B29FCFE"/>
    <w:rsid w:val="4B2AB06A"/>
    <w:rsid w:val="4B2BEFC6"/>
    <w:rsid w:val="4B2C00E2"/>
    <w:rsid w:val="4B2C6C7D"/>
    <w:rsid w:val="4B2E8A19"/>
    <w:rsid w:val="4B32F48A"/>
    <w:rsid w:val="4B334577"/>
    <w:rsid w:val="4B344C55"/>
    <w:rsid w:val="4B36CE33"/>
    <w:rsid w:val="4B375132"/>
    <w:rsid w:val="4B3B2158"/>
    <w:rsid w:val="4B3D1522"/>
    <w:rsid w:val="4B40E1B4"/>
    <w:rsid w:val="4B423EBE"/>
    <w:rsid w:val="4B42C19E"/>
    <w:rsid w:val="4B437A09"/>
    <w:rsid w:val="4B45F08C"/>
    <w:rsid w:val="4B47E51A"/>
    <w:rsid w:val="4B493540"/>
    <w:rsid w:val="4B4CE374"/>
    <w:rsid w:val="4B4E92E1"/>
    <w:rsid w:val="4B4F1DDB"/>
    <w:rsid w:val="4B506640"/>
    <w:rsid w:val="4B509D43"/>
    <w:rsid w:val="4B523975"/>
    <w:rsid w:val="4B5426DF"/>
    <w:rsid w:val="4B5548AD"/>
    <w:rsid w:val="4B56EAB0"/>
    <w:rsid w:val="4B586653"/>
    <w:rsid w:val="4B5C888B"/>
    <w:rsid w:val="4B5CEC55"/>
    <w:rsid w:val="4B5EBB62"/>
    <w:rsid w:val="4B64FB65"/>
    <w:rsid w:val="4B6CAF88"/>
    <w:rsid w:val="4B6F035D"/>
    <w:rsid w:val="4B72CA1B"/>
    <w:rsid w:val="4B743747"/>
    <w:rsid w:val="4B763DF1"/>
    <w:rsid w:val="4B7C4581"/>
    <w:rsid w:val="4B7C96F1"/>
    <w:rsid w:val="4B7D7488"/>
    <w:rsid w:val="4B82438C"/>
    <w:rsid w:val="4B837254"/>
    <w:rsid w:val="4B8C7BEB"/>
    <w:rsid w:val="4B8D327E"/>
    <w:rsid w:val="4B90560D"/>
    <w:rsid w:val="4B9569FE"/>
    <w:rsid w:val="4B96D0AD"/>
    <w:rsid w:val="4B96ECAF"/>
    <w:rsid w:val="4B975359"/>
    <w:rsid w:val="4B9BBAD9"/>
    <w:rsid w:val="4B9C9D14"/>
    <w:rsid w:val="4B9D29E2"/>
    <w:rsid w:val="4B9D704F"/>
    <w:rsid w:val="4B9F04DE"/>
    <w:rsid w:val="4BA48EA0"/>
    <w:rsid w:val="4BA9150F"/>
    <w:rsid w:val="4BABD677"/>
    <w:rsid w:val="4BAD45CC"/>
    <w:rsid w:val="4BB27FEF"/>
    <w:rsid w:val="4BB2A463"/>
    <w:rsid w:val="4BB2FB51"/>
    <w:rsid w:val="4BB6909D"/>
    <w:rsid w:val="4BB69DA3"/>
    <w:rsid w:val="4BB78AA3"/>
    <w:rsid w:val="4BB80E22"/>
    <w:rsid w:val="4BB99F01"/>
    <w:rsid w:val="4BBCA811"/>
    <w:rsid w:val="4BBFB6BD"/>
    <w:rsid w:val="4BC078CE"/>
    <w:rsid w:val="4BC0BC24"/>
    <w:rsid w:val="4BC726A1"/>
    <w:rsid w:val="4BC76F89"/>
    <w:rsid w:val="4BCC9544"/>
    <w:rsid w:val="4BCEBD8B"/>
    <w:rsid w:val="4BD672C9"/>
    <w:rsid w:val="4BD9907E"/>
    <w:rsid w:val="4BD9A7C2"/>
    <w:rsid w:val="4BDA95A3"/>
    <w:rsid w:val="4BDAAA39"/>
    <w:rsid w:val="4BDAC434"/>
    <w:rsid w:val="4BDDA455"/>
    <w:rsid w:val="4BE2F11B"/>
    <w:rsid w:val="4BE3780B"/>
    <w:rsid w:val="4BE396AD"/>
    <w:rsid w:val="4BE4BB40"/>
    <w:rsid w:val="4BEDC04D"/>
    <w:rsid w:val="4BF0318F"/>
    <w:rsid w:val="4BF40909"/>
    <w:rsid w:val="4BF4A482"/>
    <w:rsid w:val="4BFA0DD8"/>
    <w:rsid w:val="4BFD86BF"/>
    <w:rsid w:val="4BFFB7F4"/>
    <w:rsid w:val="4C010C95"/>
    <w:rsid w:val="4C05D6F7"/>
    <w:rsid w:val="4C06EE61"/>
    <w:rsid w:val="4C0990DE"/>
    <w:rsid w:val="4C09AE82"/>
    <w:rsid w:val="4C0C959D"/>
    <w:rsid w:val="4C0CC6ED"/>
    <w:rsid w:val="4C1011CD"/>
    <w:rsid w:val="4C10CB60"/>
    <w:rsid w:val="4C14E81B"/>
    <w:rsid w:val="4C151284"/>
    <w:rsid w:val="4C17AC4A"/>
    <w:rsid w:val="4C18D972"/>
    <w:rsid w:val="4C1A84F1"/>
    <w:rsid w:val="4C1B35A1"/>
    <w:rsid w:val="4C1C47A8"/>
    <w:rsid w:val="4C22C1EF"/>
    <w:rsid w:val="4C2420C1"/>
    <w:rsid w:val="4C2657AD"/>
    <w:rsid w:val="4C27F259"/>
    <w:rsid w:val="4C2CC3D2"/>
    <w:rsid w:val="4C2D5371"/>
    <w:rsid w:val="4C30BC66"/>
    <w:rsid w:val="4C31F8F3"/>
    <w:rsid w:val="4C3500C5"/>
    <w:rsid w:val="4C376CF2"/>
    <w:rsid w:val="4C37B5FF"/>
    <w:rsid w:val="4C383734"/>
    <w:rsid w:val="4C3A85FB"/>
    <w:rsid w:val="4C3E61CC"/>
    <w:rsid w:val="4C434242"/>
    <w:rsid w:val="4C43FE11"/>
    <w:rsid w:val="4C47D39B"/>
    <w:rsid w:val="4C4934C0"/>
    <w:rsid w:val="4C4A6E2F"/>
    <w:rsid w:val="4C4C322A"/>
    <w:rsid w:val="4C4CE12E"/>
    <w:rsid w:val="4C4D8E40"/>
    <w:rsid w:val="4C4E48C7"/>
    <w:rsid w:val="4C4FAE71"/>
    <w:rsid w:val="4C50D3EF"/>
    <w:rsid w:val="4C52AB37"/>
    <w:rsid w:val="4C5453CE"/>
    <w:rsid w:val="4C55660B"/>
    <w:rsid w:val="4C57D6B2"/>
    <w:rsid w:val="4C5A37E9"/>
    <w:rsid w:val="4C5C73DF"/>
    <w:rsid w:val="4C624901"/>
    <w:rsid w:val="4C646578"/>
    <w:rsid w:val="4C650461"/>
    <w:rsid w:val="4C69F046"/>
    <w:rsid w:val="4C69F09D"/>
    <w:rsid w:val="4C6CEAB6"/>
    <w:rsid w:val="4C6D5762"/>
    <w:rsid w:val="4C6EAC21"/>
    <w:rsid w:val="4C736AA3"/>
    <w:rsid w:val="4C74C45D"/>
    <w:rsid w:val="4C76E176"/>
    <w:rsid w:val="4C7A6C9B"/>
    <w:rsid w:val="4C7AF955"/>
    <w:rsid w:val="4C7C2A59"/>
    <w:rsid w:val="4C7CB027"/>
    <w:rsid w:val="4C7D8C82"/>
    <w:rsid w:val="4C7DCAE8"/>
    <w:rsid w:val="4C81368A"/>
    <w:rsid w:val="4C81BC36"/>
    <w:rsid w:val="4C82BEC7"/>
    <w:rsid w:val="4C840EF3"/>
    <w:rsid w:val="4C84394D"/>
    <w:rsid w:val="4C84973B"/>
    <w:rsid w:val="4C85033D"/>
    <w:rsid w:val="4C873EC0"/>
    <w:rsid w:val="4C89404F"/>
    <w:rsid w:val="4C8BD52B"/>
    <w:rsid w:val="4C8C73E3"/>
    <w:rsid w:val="4C8D5513"/>
    <w:rsid w:val="4C9248F3"/>
    <w:rsid w:val="4C94CC71"/>
    <w:rsid w:val="4C9799B0"/>
    <w:rsid w:val="4C9B0C2D"/>
    <w:rsid w:val="4C9BF2B1"/>
    <w:rsid w:val="4CA0D1C2"/>
    <w:rsid w:val="4CA7425F"/>
    <w:rsid w:val="4CAB5DF7"/>
    <w:rsid w:val="4CABF49D"/>
    <w:rsid w:val="4CAC2436"/>
    <w:rsid w:val="4CAE7148"/>
    <w:rsid w:val="4CB19EF8"/>
    <w:rsid w:val="4CB1F18E"/>
    <w:rsid w:val="4CB2E97F"/>
    <w:rsid w:val="4CB3F43A"/>
    <w:rsid w:val="4CB450EE"/>
    <w:rsid w:val="4CB4A1C5"/>
    <w:rsid w:val="4CB66C62"/>
    <w:rsid w:val="4CB6BF2D"/>
    <w:rsid w:val="4CB6FC6A"/>
    <w:rsid w:val="4CBAD10C"/>
    <w:rsid w:val="4CBC1606"/>
    <w:rsid w:val="4CBC3861"/>
    <w:rsid w:val="4CBED668"/>
    <w:rsid w:val="4CC0D667"/>
    <w:rsid w:val="4CC1E4A1"/>
    <w:rsid w:val="4CC28122"/>
    <w:rsid w:val="4CC56C44"/>
    <w:rsid w:val="4CC7DBA3"/>
    <w:rsid w:val="4CCF293C"/>
    <w:rsid w:val="4CD1A71A"/>
    <w:rsid w:val="4CD457C0"/>
    <w:rsid w:val="4CD48BFA"/>
    <w:rsid w:val="4CD505C2"/>
    <w:rsid w:val="4CD53682"/>
    <w:rsid w:val="4CD7B28E"/>
    <w:rsid w:val="4CDAFC3B"/>
    <w:rsid w:val="4CDDFCF2"/>
    <w:rsid w:val="4CE2FF40"/>
    <w:rsid w:val="4CE4E3D6"/>
    <w:rsid w:val="4CE511EA"/>
    <w:rsid w:val="4CE58816"/>
    <w:rsid w:val="4CE6E399"/>
    <w:rsid w:val="4CE762C3"/>
    <w:rsid w:val="4CE9520C"/>
    <w:rsid w:val="4CEEA5C9"/>
    <w:rsid w:val="4CEEF488"/>
    <w:rsid w:val="4CF20064"/>
    <w:rsid w:val="4CF330F8"/>
    <w:rsid w:val="4CF47C67"/>
    <w:rsid w:val="4CF5788A"/>
    <w:rsid w:val="4CF6D415"/>
    <w:rsid w:val="4CF7D7F0"/>
    <w:rsid w:val="4CF7E387"/>
    <w:rsid w:val="4CF947BD"/>
    <w:rsid w:val="4CFD6AC8"/>
    <w:rsid w:val="4CFED7CE"/>
    <w:rsid w:val="4D01329B"/>
    <w:rsid w:val="4D0224C0"/>
    <w:rsid w:val="4D0308F0"/>
    <w:rsid w:val="4D066C13"/>
    <w:rsid w:val="4D0762F1"/>
    <w:rsid w:val="4D09238C"/>
    <w:rsid w:val="4D0B37D4"/>
    <w:rsid w:val="4D12F5F0"/>
    <w:rsid w:val="4D135172"/>
    <w:rsid w:val="4D1BD588"/>
    <w:rsid w:val="4D1E9945"/>
    <w:rsid w:val="4D1F121C"/>
    <w:rsid w:val="4D1F12A9"/>
    <w:rsid w:val="4D20E1AE"/>
    <w:rsid w:val="4D22615D"/>
    <w:rsid w:val="4D26AB71"/>
    <w:rsid w:val="4D27904C"/>
    <w:rsid w:val="4D28EEBF"/>
    <w:rsid w:val="4D2B59E9"/>
    <w:rsid w:val="4D30DC2D"/>
    <w:rsid w:val="4D32A5E7"/>
    <w:rsid w:val="4D359C42"/>
    <w:rsid w:val="4D363213"/>
    <w:rsid w:val="4D3C2263"/>
    <w:rsid w:val="4D401730"/>
    <w:rsid w:val="4D403504"/>
    <w:rsid w:val="4D4A3A04"/>
    <w:rsid w:val="4D4B137C"/>
    <w:rsid w:val="4D4C29B5"/>
    <w:rsid w:val="4D4DE3E6"/>
    <w:rsid w:val="4D4DE75D"/>
    <w:rsid w:val="4D52EFF4"/>
    <w:rsid w:val="4D55DB47"/>
    <w:rsid w:val="4D56C23C"/>
    <w:rsid w:val="4D589522"/>
    <w:rsid w:val="4D5B6B42"/>
    <w:rsid w:val="4D5DF965"/>
    <w:rsid w:val="4D60DB43"/>
    <w:rsid w:val="4D6527A9"/>
    <w:rsid w:val="4D669F3C"/>
    <w:rsid w:val="4D6C8FD1"/>
    <w:rsid w:val="4D6FD962"/>
    <w:rsid w:val="4D71FF08"/>
    <w:rsid w:val="4D76D390"/>
    <w:rsid w:val="4D77B3A2"/>
    <w:rsid w:val="4D7824D3"/>
    <w:rsid w:val="4D7AC9FE"/>
    <w:rsid w:val="4D7E85E0"/>
    <w:rsid w:val="4D7EF308"/>
    <w:rsid w:val="4D7FC3E9"/>
    <w:rsid w:val="4D7FD346"/>
    <w:rsid w:val="4D810184"/>
    <w:rsid w:val="4D84FF03"/>
    <w:rsid w:val="4D86054C"/>
    <w:rsid w:val="4D8A1698"/>
    <w:rsid w:val="4D8A46D6"/>
    <w:rsid w:val="4D9035A2"/>
    <w:rsid w:val="4D904CD5"/>
    <w:rsid w:val="4D96A00D"/>
    <w:rsid w:val="4D9701CC"/>
    <w:rsid w:val="4D9B9185"/>
    <w:rsid w:val="4DA37EB2"/>
    <w:rsid w:val="4DB075E7"/>
    <w:rsid w:val="4DB26999"/>
    <w:rsid w:val="4DB7D3A1"/>
    <w:rsid w:val="4DBA4CD2"/>
    <w:rsid w:val="4DBC92C1"/>
    <w:rsid w:val="4DBCD480"/>
    <w:rsid w:val="4DC0A06B"/>
    <w:rsid w:val="4DC292B1"/>
    <w:rsid w:val="4DC2D911"/>
    <w:rsid w:val="4DC31779"/>
    <w:rsid w:val="4DC59B65"/>
    <w:rsid w:val="4DC5BA23"/>
    <w:rsid w:val="4DC5DA9E"/>
    <w:rsid w:val="4DCD166D"/>
    <w:rsid w:val="4DCEB46B"/>
    <w:rsid w:val="4DD38B54"/>
    <w:rsid w:val="4DD3E034"/>
    <w:rsid w:val="4DD4270E"/>
    <w:rsid w:val="4DD593C8"/>
    <w:rsid w:val="4DD8DF43"/>
    <w:rsid w:val="4DDB9C1A"/>
    <w:rsid w:val="4DDDC646"/>
    <w:rsid w:val="4DE1CE46"/>
    <w:rsid w:val="4DE2334C"/>
    <w:rsid w:val="4DE2D016"/>
    <w:rsid w:val="4DE30741"/>
    <w:rsid w:val="4DE3287E"/>
    <w:rsid w:val="4DE41D27"/>
    <w:rsid w:val="4DE61D6B"/>
    <w:rsid w:val="4DEB5CD8"/>
    <w:rsid w:val="4DEE3474"/>
    <w:rsid w:val="4DEEE93A"/>
    <w:rsid w:val="4DF0585D"/>
    <w:rsid w:val="4DF1D3E7"/>
    <w:rsid w:val="4DF1F80F"/>
    <w:rsid w:val="4DF2C192"/>
    <w:rsid w:val="4DF38EC7"/>
    <w:rsid w:val="4DF53D3D"/>
    <w:rsid w:val="4DF5BC6D"/>
    <w:rsid w:val="4DF65353"/>
    <w:rsid w:val="4DF6944F"/>
    <w:rsid w:val="4DF6EADE"/>
    <w:rsid w:val="4DF8FA8A"/>
    <w:rsid w:val="4DF90FE2"/>
    <w:rsid w:val="4DF97035"/>
    <w:rsid w:val="4DFC649C"/>
    <w:rsid w:val="4DFC9BC4"/>
    <w:rsid w:val="4DFFDCF8"/>
    <w:rsid w:val="4DFFE6FC"/>
    <w:rsid w:val="4E00C12F"/>
    <w:rsid w:val="4E09545E"/>
    <w:rsid w:val="4E14EB9A"/>
    <w:rsid w:val="4E16B7D0"/>
    <w:rsid w:val="4E242D38"/>
    <w:rsid w:val="4E25D899"/>
    <w:rsid w:val="4E2783C0"/>
    <w:rsid w:val="4E32F445"/>
    <w:rsid w:val="4E34DFF6"/>
    <w:rsid w:val="4E396825"/>
    <w:rsid w:val="4E39EEB4"/>
    <w:rsid w:val="4E3AA6E0"/>
    <w:rsid w:val="4E40A507"/>
    <w:rsid w:val="4E430042"/>
    <w:rsid w:val="4E438D40"/>
    <w:rsid w:val="4E4460D7"/>
    <w:rsid w:val="4E44D372"/>
    <w:rsid w:val="4E45AEB3"/>
    <w:rsid w:val="4E474CD0"/>
    <w:rsid w:val="4E4E35DD"/>
    <w:rsid w:val="4E4EC2A7"/>
    <w:rsid w:val="4E5075B3"/>
    <w:rsid w:val="4E518C1A"/>
    <w:rsid w:val="4E5363A3"/>
    <w:rsid w:val="4E53CABF"/>
    <w:rsid w:val="4E5ACC5E"/>
    <w:rsid w:val="4E60C429"/>
    <w:rsid w:val="4E6158AA"/>
    <w:rsid w:val="4E6448CA"/>
    <w:rsid w:val="4E65CCBD"/>
    <w:rsid w:val="4E67A6F1"/>
    <w:rsid w:val="4E6A520A"/>
    <w:rsid w:val="4E6F6699"/>
    <w:rsid w:val="4E71D707"/>
    <w:rsid w:val="4E7210FB"/>
    <w:rsid w:val="4E788A83"/>
    <w:rsid w:val="4E790EC7"/>
    <w:rsid w:val="4E79F81E"/>
    <w:rsid w:val="4E7D790C"/>
    <w:rsid w:val="4E7E3AA5"/>
    <w:rsid w:val="4E8004B8"/>
    <w:rsid w:val="4E8257C2"/>
    <w:rsid w:val="4E82C67F"/>
    <w:rsid w:val="4E831BB7"/>
    <w:rsid w:val="4E83321A"/>
    <w:rsid w:val="4E84A521"/>
    <w:rsid w:val="4E88301A"/>
    <w:rsid w:val="4E8C90BF"/>
    <w:rsid w:val="4E8EC810"/>
    <w:rsid w:val="4E8F0F4B"/>
    <w:rsid w:val="4E8F4CDF"/>
    <w:rsid w:val="4E8FC4FF"/>
    <w:rsid w:val="4E9137B2"/>
    <w:rsid w:val="4E93142E"/>
    <w:rsid w:val="4E933C0B"/>
    <w:rsid w:val="4E93B9BF"/>
    <w:rsid w:val="4E98DBFB"/>
    <w:rsid w:val="4E9E356D"/>
    <w:rsid w:val="4EA27AD2"/>
    <w:rsid w:val="4EA678C7"/>
    <w:rsid w:val="4EA7377E"/>
    <w:rsid w:val="4EA87F17"/>
    <w:rsid w:val="4EAFA3CB"/>
    <w:rsid w:val="4EB0C13C"/>
    <w:rsid w:val="4EB50340"/>
    <w:rsid w:val="4EB9E540"/>
    <w:rsid w:val="4EBC552A"/>
    <w:rsid w:val="4EBD90ED"/>
    <w:rsid w:val="4EC441E6"/>
    <w:rsid w:val="4ECB400E"/>
    <w:rsid w:val="4ECCB413"/>
    <w:rsid w:val="4ED4B2A7"/>
    <w:rsid w:val="4ED520C9"/>
    <w:rsid w:val="4ED5F495"/>
    <w:rsid w:val="4ED76467"/>
    <w:rsid w:val="4ED8825E"/>
    <w:rsid w:val="4EDD0D2F"/>
    <w:rsid w:val="4EDF35E3"/>
    <w:rsid w:val="4EDF62EA"/>
    <w:rsid w:val="4EE19896"/>
    <w:rsid w:val="4EE1B159"/>
    <w:rsid w:val="4EE265A2"/>
    <w:rsid w:val="4EE345D9"/>
    <w:rsid w:val="4EE61D7E"/>
    <w:rsid w:val="4EE8963D"/>
    <w:rsid w:val="4EEA517D"/>
    <w:rsid w:val="4EEAAD46"/>
    <w:rsid w:val="4EEBD0DE"/>
    <w:rsid w:val="4EEC4569"/>
    <w:rsid w:val="4EF112D5"/>
    <w:rsid w:val="4EF2472E"/>
    <w:rsid w:val="4EF361A6"/>
    <w:rsid w:val="4EF46236"/>
    <w:rsid w:val="4EF83302"/>
    <w:rsid w:val="4EF8FB50"/>
    <w:rsid w:val="4EFA7D4D"/>
    <w:rsid w:val="4EFDCBAA"/>
    <w:rsid w:val="4F0005C2"/>
    <w:rsid w:val="4F007447"/>
    <w:rsid w:val="4F040436"/>
    <w:rsid w:val="4F0704A7"/>
    <w:rsid w:val="4F0A0E65"/>
    <w:rsid w:val="4F0C55B6"/>
    <w:rsid w:val="4F0C91C5"/>
    <w:rsid w:val="4F0D0F5A"/>
    <w:rsid w:val="4F0E2F34"/>
    <w:rsid w:val="4F0EDC16"/>
    <w:rsid w:val="4F0FED6B"/>
    <w:rsid w:val="4F10AA41"/>
    <w:rsid w:val="4F142B8D"/>
    <w:rsid w:val="4F1C02F4"/>
    <w:rsid w:val="4F1E6D9A"/>
    <w:rsid w:val="4F1F6840"/>
    <w:rsid w:val="4F206AE6"/>
    <w:rsid w:val="4F217D41"/>
    <w:rsid w:val="4F23A980"/>
    <w:rsid w:val="4F264DE1"/>
    <w:rsid w:val="4F282133"/>
    <w:rsid w:val="4F28B520"/>
    <w:rsid w:val="4F29E666"/>
    <w:rsid w:val="4F2C1E6D"/>
    <w:rsid w:val="4F2DA5AB"/>
    <w:rsid w:val="4F2DB607"/>
    <w:rsid w:val="4F335A01"/>
    <w:rsid w:val="4F33CF27"/>
    <w:rsid w:val="4F35268F"/>
    <w:rsid w:val="4F370839"/>
    <w:rsid w:val="4F3887A9"/>
    <w:rsid w:val="4F3C284C"/>
    <w:rsid w:val="4F3D172E"/>
    <w:rsid w:val="4F3DD98B"/>
    <w:rsid w:val="4F3EA4B7"/>
    <w:rsid w:val="4F3F159F"/>
    <w:rsid w:val="4F40B278"/>
    <w:rsid w:val="4F4152BA"/>
    <w:rsid w:val="4F42C21E"/>
    <w:rsid w:val="4F43125C"/>
    <w:rsid w:val="4F459FD8"/>
    <w:rsid w:val="4F49E6A3"/>
    <w:rsid w:val="4F49F63E"/>
    <w:rsid w:val="4F4B6B68"/>
    <w:rsid w:val="4F4D0E65"/>
    <w:rsid w:val="4F4E7FF0"/>
    <w:rsid w:val="4F528F4E"/>
    <w:rsid w:val="4F537967"/>
    <w:rsid w:val="4F545412"/>
    <w:rsid w:val="4F5560D9"/>
    <w:rsid w:val="4F57CE7A"/>
    <w:rsid w:val="4F62C41A"/>
    <w:rsid w:val="4F63D465"/>
    <w:rsid w:val="4F64EF5E"/>
    <w:rsid w:val="4F6A721C"/>
    <w:rsid w:val="4F6B6841"/>
    <w:rsid w:val="4F6C96A4"/>
    <w:rsid w:val="4F73AE48"/>
    <w:rsid w:val="4F762B0B"/>
    <w:rsid w:val="4F780019"/>
    <w:rsid w:val="4F78FD50"/>
    <w:rsid w:val="4F7A068C"/>
    <w:rsid w:val="4F7B7EDE"/>
    <w:rsid w:val="4F7B9CDD"/>
    <w:rsid w:val="4F7BABA9"/>
    <w:rsid w:val="4F7CC65E"/>
    <w:rsid w:val="4F7E5CA5"/>
    <w:rsid w:val="4F7EE3D8"/>
    <w:rsid w:val="4F7F7C4E"/>
    <w:rsid w:val="4F8A71E6"/>
    <w:rsid w:val="4F8C7507"/>
    <w:rsid w:val="4F903867"/>
    <w:rsid w:val="4F9065BC"/>
    <w:rsid w:val="4F93BBC8"/>
    <w:rsid w:val="4F9406EF"/>
    <w:rsid w:val="4F98231F"/>
    <w:rsid w:val="4F98290D"/>
    <w:rsid w:val="4F9B38BA"/>
    <w:rsid w:val="4F9BFB2B"/>
    <w:rsid w:val="4F9E6AAF"/>
    <w:rsid w:val="4F9F2503"/>
    <w:rsid w:val="4FA2C0C4"/>
    <w:rsid w:val="4FA31028"/>
    <w:rsid w:val="4FA46B32"/>
    <w:rsid w:val="4FA52843"/>
    <w:rsid w:val="4FA61BE6"/>
    <w:rsid w:val="4FA681F8"/>
    <w:rsid w:val="4FA6FB8E"/>
    <w:rsid w:val="4FA94626"/>
    <w:rsid w:val="4FAC5C96"/>
    <w:rsid w:val="4FAE3862"/>
    <w:rsid w:val="4FAE431A"/>
    <w:rsid w:val="4FAECD88"/>
    <w:rsid w:val="4FB7CA11"/>
    <w:rsid w:val="4FB83C08"/>
    <w:rsid w:val="4FB887C6"/>
    <w:rsid w:val="4FB90747"/>
    <w:rsid w:val="4FB99219"/>
    <w:rsid w:val="4FC25EB9"/>
    <w:rsid w:val="4FC2BB0A"/>
    <w:rsid w:val="4FC5F014"/>
    <w:rsid w:val="4FC658B2"/>
    <w:rsid w:val="4FC6F1AE"/>
    <w:rsid w:val="4FC72F15"/>
    <w:rsid w:val="4FCA558B"/>
    <w:rsid w:val="4FCB3C2B"/>
    <w:rsid w:val="4FCBC7BB"/>
    <w:rsid w:val="4FCC15FC"/>
    <w:rsid w:val="4FD186DD"/>
    <w:rsid w:val="4FD28E40"/>
    <w:rsid w:val="4FD32B64"/>
    <w:rsid w:val="4FD38B65"/>
    <w:rsid w:val="4FD6A865"/>
    <w:rsid w:val="4FD711A8"/>
    <w:rsid w:val="4FD88EC6"/>
    <w:rsid w:val="4FD94FB0"/>
    <w:rsid w:val="4FDB4DAF"/>
    <w:rsid w:val="4FDBE544"/>
    <w:rsid w:val="4FDDD0D4"/>
    <w:rsid w:val="4FE031AA"/>
    <w:rsid w:val="4FE1A48D"/>
    <w:rsid w:val="4FE359D7"/>
    <w:rsid w:val="4FE3AF91"/>
    <w:rsid w:val="4FE6A243"/>
    <w:rsid w:val="4FE72B51"/>
    <w:rsid w:val="4FEA4145"/>
    <w:rsid w:val="4FEAB5D7"/>
    <w:rsid w:val="4FEAFA5A"/>
    <w:rsid w:val="4FECAD4A"/>
    <w:rsid w:val="4FF0CC3E"/>
    <w:rsid w:val="4FF3F5CD"/>
    <w:rsid w:val="4FF4CEDA"/>
    <w:rsid w:val="4FF86E60"/>
    <w:rsid w:val="4FFBF636"/>
    <w:rsid w:val="4FFC07F8"/>
    <w:rsid w:val="5000D905"/>
    <w:rsid w:val="50032078"/>
    <w:rsid w:val="5007580A"/>
    <w:rsid w:val="5007752A"/>
    <w:rsid w:val="500776C7"/>
    <w:rsid w:val="50082B32"/>
    <w:rsid w:val="500941FC"/>
    <w:rsid w:val="500C6247"/>
    <w:rsid w:val="500EFCC0"/>
    <w:rsid w:val="500F83FD"/>
    <w:rsid w:val="5012067C"/>
    <w:rsid w:val="501455D4"/>
    <w:rsid w:val="5015508B"/>
    <w:rsid w:val="5015BFA0"/>
    <w:rsid w:val="50174221"/>
    <w:rsid w:val="5017D0FB"/>
    <w:rsid w:val="50188085"/>
    <w:rsid w:val="501920D3"/>
    <w:rsid w:val="501AEB3A"/>
    <w:rsid w:val="501B205E"/>
    <w:rsid w:val="501BF537"/>
    <w:rsid w:val="501FFDFE"/>
    <w:rsid w:val="5021AD58"/>
    <w:rsid w:val="50273FE1"/>
    <w:rsid w:val="5028BE5C"/>
    <w:rsid w:val="502A7E9B"/>
    <w:rsid w:val="502DBEE5"/>
    <w:rsid w:val="50303D3E"/>
    <w:rsid w:val="5032826E"/>
    <w:rsid w:val="5033A322"/>
    <w:rsid w:val="5034FC02"/>
    <w:rsid w:val="50382B14"/>
    <w:rsid w:val="50384E2A"/>
    <w:rsid w:val="503A96F7"/>
    <w:rsid w:val="5041436D"/>
    <w:rsid w:val="504448BA"/>
    <w:rsid w:val="5045FADF"/>
    <w:rsid w:val="5046025A"/>
    <w:rsid w:val="5047B0CB"/>
    <w:rsid w:val="50503B14"/>
    <w:rsid w:val="5053061E"/>
    <w:rsid w:val="5053BB72"/>
    <w:rsid w:val="50554502"/>
    <w:rsid w:val="5059A8A2"/>
    <w:rsid w:val="5059F850"/>
    <w:rsid w:val="505C56A9"/>
    <w:rsid w:val="505D23AD"/>
    <w:rsid w:val="505D2FA2"/>
    <w:rsid w:val="505FB860"/>
    <w:rsid w:val="50639826"/>
    <w:rsid w:val="5064F9F0"/>
    <w:rsid w:val="5068503C"/>
    <w:rsid w:val="5068D8AA"/>
    <w:rsid w:val="506B90DF"/>
    <w:rsid w:val="506E36EA"/>
    <w:rsid w:val="506E811B"/>
    <w:rsid w:val="507439FA"/>
    <w:rsid w:val="507566FB"/>
    <w:rsid w:val="5075F5AC"/>
    <w:rsid w:val="50790701"/>
    <w:rsid w:val="507A6481"/>
    <w:rsid w:val="507AAF67"/>
    <w:rsid w:val="507E040D"/>
    <w:rsid w:val="50808F61"/>
    <w:rsid w:val="50826A69"/>
    <w:rsid w:val="50835BF3"/>
    <w:rsid w:val="5086294B"/>
    <w:rsid w:val="5086617A"/>
    <w:rsid w:val="508683B9"/>
    <w:rsid w:val="5087E58C"/>
    <w:rsid w:val="5088417A"/>
    <w:rsid w:val="508A15D9"/>
    <w:rsid w:val="508C3E4D"/>
    <w:rsid w:val="50964359"/>
    <w:rsid w:val="5097931C"/>
    <w:rsid w:val="509E456A"/>
    <w:rsid w:val="509F5D1B"/>
    <w:rsid w:val="509FB453"/>
    <w:rsid w:val="50A2D2B2"/>
    <w:rsid w:val="50A3D4B0"/>
    <w:rsid w:val="50A427B9"/>
    <w:rsid w:val="50A9C0A8"/>
    <w:rsid w:val="50A9D83C"/>
    <w:rsid w:val="50AA6A40"/>
    <w:rsid w:val="50AEE716"/>
    <w:rsid w:val="50AFC34E"/>
    <w:rsid w:val="50AFE51B"/>
    <w:rsid w:val="50B5D960"/>
    <w:rsid w:val="50BCC2E0"/>
    <w:rsid w:val="50C04966"/>
    <w:rsid w:val="50C5E50D"/>
    <w:rsid w:val="50C7C50C"/>
    <w:rsid w:val="50C859B4"/>
    <w:rsid w:val="50CA9421"/>
    <w:rsid w:val="50CC8387"/>
    <w:rsid w:val="50CE5204"/>
    <w:rsid w:val="50CEE98C"/>
    <w:rsid w:val="50D3DF26"/>
    <w:rsid w:val="50D3FE54"/>
    <w:rsid w:val="50D4ECD0"/>
    <w:rsid w:val="50D50416"/>
    <w:rsid w:val="50D89B4C"/>
    <w:rsid w:val="50DCA2D4"/>
    <w:rsid w:val="50DCF0B8"/>
    <w:rsid w:val="50DD3553"/>
    <w:rsid w:val="50E0712F"/>
    <w:rsid w:val="50E2E423"/>
    <w:rsid w:val="50E3359D"/>
    <w:rsid w:val="50E35251"/>
    <w:rsid w:val="50E5A184"/>
    <w:rsid w:val="50E79F3B"/>
    <w:rsid w:val="50E85424"/>
    <w:rsid w:val="50E8FA53"/>
    <w:rsid w:val="50E9AFE9"/>
    <w:rsid w:val="50ED2A83"/>
    <w:rsid w:val="50F08F1A"/>
    <w:rsid w:val="50F2EDA6"/>
    <w:rsid w:val="50F628E4"/>
    <w:rsid w:val="50F74094"/>
    <w:rsid w:val="50F93586"/>
    <w:rsid w:val="50F94345"/>
    <w:rsid w:val="50F9C8E2"/>
    <w:rsid w:val="50FA9DBC"/>
    <w:rsid w:val="50FBC2EA"/>
    <w:rsid w:val="50FD722C"/>
    <w:rsid w:val="5101F75C"/>
    <w:rsid w:val="51020971"/>
    <w:rsid w:val="51034C82"/>
    <w:rsid w:val="51051957"/>
    <w:rsid w:val="5107A296"/>
    <w:rsid w:val="510A0F53"/>
    <w:rsid w:val="510BA8AB"/>
    <w:rsid w:val="510CB098"/>
    <w:rsid w:val="5115BCFD"/>
    <w:rsid w:val="5116CC43"/>
    <w:rsid w:val="5119A198"/>
    <w:rsid w:val="51221FF9"/>
    <w:rsid w:val="5122AE4A"/>
    <w:rsid w:val="512B22B3"/>
    <w:rsid w:val="512C511B"/>
    <w:rsid w:val="512CBA53"/>
    <w:rsid w:val="512E4278"/>
    <w:rsid w:val="5137DA61"/>
    <w:rsid w:val="513AAA7C"/>
    <w:rsid w:val="513DC3A4"/>
    <w:rsid w:val="51441798"/>
    <w:rsid w:val="51448E04"/>
    <w:rsid w:val="514581BE"/>
    <w:rsid w:val="514F39EE"/>
    <w:rsid w:val="5156A53E"/>
    <w:rsid w:val="515717D5"/>
    <w:rsid w:val="515C606C"/>
    <w:rsid w:val="515D6F42"/>
    <w:rsid w:val="515E8645"/>
    <w:rsid w:val="515F1686"/>
    <w:rsid w:val="5168174A"/>
    <w:rsid w:val="5168D088"/>
    <w:rsid w:val="516D7E57"/>
    <w:rsid w:val="516E477F"/>
    <w:rsid w:val="5171F186"/>
    <w:rsid w:val="517376A6"/>
    <w:rsid w:val="5173FB63"/>
    <w:rsid w:val="51744A5F"/>
    <w:rsid w:val="517520B8"/>
    <w:rsid w:val="5175CB1D"/>
    <w:rsid w:val="517C507B"/>
    <w:rsid w:val="517F0CAE"/>
    <w:rsid w:val="51823406"/>
    <w:rsid w:val="5184AFB4"/>
    <w:rsid w:val="51860E12"/>
    <w:rsid w:val="518693AB"/>
    <w:rsid w:val="518989B2"/>
    <w:rsid w:val="518AD320"/>
    <w:rsid w:val="518DBC02"/>
    <w:rsid w:val="518DD9BF"/>
    <w:rsid w:val="5193B320"/>
    <w:rsid w:val="519529A7"/>
    <w:rsid w:val="5196812E"/>
    <w:rsid w:val="5197270A"/>
    <w:rsid w:val="51972E6C"/>
    <w:rsid w:val="51976D8C"/>
    <w:rsid w:val="519AB531"/>
    <w:rsid w:val="519F44E1"/>
    <w:rsid w:val="51A659BF"/>
    <w:rsid w:val="51A694A7"/>
    <w:rsid w:val="51A6E1A9"/>
    <w:rsid w:val="51A8D426"/>
    <w:rsid w:val="51B01505"/>
    <w:rsid w:val="51B56BDE"/>
    <w:rsid w:val="51B78D6D"/>
    <w:rsid w:val="51BA0A49"/>
    <w:rsid w:val="51BBB05E"/>
    <w:rsid w:val="51C1E364"/>
    <w:rsid w:val="51C3076B"/>
    <w:rsid w:val="51C36436"/>
    <w:rsid w:val="51C3B71B"/>
    <w:rsid w:val="51C431E1"/>
    <w:rsid w:val="51C60EB1"/>
    <w:rsid w:val="51C63412"/>
    <w:rsid w:val="51CA92D2"/>
    <w:rsid w:val="51CC34C4"/>
    <w:rsid w:val="51D00577"/>
    <w:rsid w:val="51D2F727"/>
    <w:rsid w:val="51D5FB88"/>
    <w:rsid w:val="51D81EE0"/>
    <w:rsid w:val="51DA44B2"/>
    <w:rsid w:val="51DAD8DF"/>
    <w:rsid w:val="51DD78CD"/>
    <w:rsid w:val="51E01605"/>
    <w:rsid w:val="51E102AB"/>
    <w:rsid w:val="51E3AB86"/>
    <w:rsid w:val="51E430AB"/>
    <w:rsid w:val="51E5B620"/>
    <w:rsid w:val="51E5E4D3"/>
    <w:rsid w:val="51E8C577"/>
    <w:rsid w:val="51E9DC6A"/>
    <w:rsid w:val="51EBCE52"/>
    <w:rsid w:val="51EC4BD3"/>
    <w:rsid w:val="51F07E01"/>
    <w:rsid w:val="51F3CA94"/>
    <w:rsid w:val="51FB78A1"/>
    <w:rsid w:val="51FFE6DF"/>
    <w:rsid w:val="5200A902"/>
    <w:rsid w:val="52058E5D"/>
    <w:rsid w:val="520865F5"/>
    <w:rsid w:val="520997A2"/>
    <w:rsid w:val="520EF98A"/>
    <w:rsid w:val="521078DD"/>
    <w:rsid w:val="52134033"/>
    <w:rsid w:val="5215BCCC"/>
    <w:rsid w:val="52183C2C"/>
    <w:rsid w:val="521D62E8"/>
    <w:rsid w:val="521E6DE9"/>
    <w:rsid w:val="521EDD57"/>
    <w:rsid w:val="521EFFF0"/>
    <w:rsid w:val="5224149B"/>
    <w:rsid w:val="52274CB7"/>
    <w:rsid w:val="522A6EB7"/>
    <w:rsid w:val="522CD940"/>
    <w:rsid w:val="522F552F"/>
    <w:rsid w:val="522FFD05"/>
    <w:rsid w:val="5241DA6C"/>
    <w:rsid w:val="5242C6B6"/>
    <w:rsid w:val="5242FCB1"/>
    <w:rsid w:val="52444E1E"/>
    <w:rsid w:val="5246323B"/>
    <w:rsid w:val="5248A7F2"/>
    <w:rsid w:val="524B3E21"/>
    <w:rsid w:val="524D2886"/>
    <w:rsid w:val="524E40B7"/>
    <w:rsid w:val="524F4FF9"/>
    <w:rsid w:val="5252484B"/>
    <w:rsid w:val="5252DA47"/>
    <w:rsid w:val="5259E2DB"/>
    <w:rsid w:val="5262535F"/>
    <w:rsid w:val="52646310"/>
    <w:rsid w:val="5266D3FB"/>
    <w:rsid w:val="526C393E"/>
    <w:rsid w:val="526C5528"/>
    <w:rsid w:val="526D2E65"/>
    <w:rsid w:val="526FA5F7"/>
    <w:rsid w:val="52700AE7"/>
    <w:rsid w:val="527045A3"/>
    <w:rsid w:val="52724BBB"/>
    <w:rsid w:val="527558D3"/>
    <w:rsid w:val="5276B571"/>
    <w:rsid w:val="5279BCF5"/>
    <w:rsid w:val="527E6475"/>
    <w:rsid w:val="527FA8AB"/>
    <w:rsid w:val="52815041"/>
    <w:rsid w:val="5282726C"/>
    <w:rsid w:val="528299A4"/>
    <w:rsid w:val="52881305"/>
    <w:rsid w:val="5288D7F7"/>
    <w:rsid w:val="528D607C"/>
    <w:rsid w:val="528E56FC"/>
    <w:rsid w:val="528ECD7E"/>
    <w:rsid w:val="528ECDA3"/>
    <w:rsid w:val="528F25E8"/>
    <w:rsid w:val="5294182A"/>
    <w:rsid w:val="529502D4"/>
    <w:rsid w:val="5299F679"/>
    <w:rsid w:val="529DA471"/>
    <w:rsid w:val="529E2DBC"/>
    <w:rsid w:val="52A12EBC"/>
    <w:rsid w:val="52A48794"/>
    <w:rsid w:val="52A56B5A"/>
    <w:rsid w:val="52A6DB84"/>
    <w:rsid w:val="52A8A5B7"/>
    <w:rsid w:val="52A95ABF"/>
    <w:rsid w:val="52A964D3"/>
    <w:rsid w:val="52AC18E6"/>
    <w:rsid w:val="52B357EE"/>
    <w:rsid w:val="52B43957"/>
    <w:rsid w:val="52B80516"/>
    <w:rsid w:val="52B8144A"/>
    <w:rsid w:val="52BB3059"/>
    <w:rsid w:val="52BE6722"/>
    <w:rsid w:val="52C03549"/>
    <w:rsid w:val="52C10C59"/>
    <w:rsid w:val="52C1DCC1"/>
    <w:rsid w:val="52C22DEB"/>
    <w:rsid w:val="52C90984"/>
    <w:rsid w:val="52CBE4B2"/>
    <w:rsid w:val="52CD19CF"/>
    <w:rsid w:val="52CE29AC"/>
    <w:rsid w:val="52CF59F5"/>
    <w:rsid w:val="52D1FF52"/>
    <w:rsid w:val="52D25664"/>
    <w:rsid w:val="52D416AE"/>
    <w:rsid w:val="52D6067F"/>
    <w:rsid w:val="52D73494"/>
    <w:rsid w:val="52D865CE"/>
    <w:rsid w:val="52D8A974"/>
    <w:rsid w:val="52DDCF6C"/>
    <w:rsid w:val="52DE657C"/>
    <w:rsid w:val="52DEBDC0"/>
    <w:rsid w:val="52E26DD7"/>
    <w:rsid w:val="52EA557F"/>
    <w:rsid w:val="52ED8979"/>
    <w:rsid w:val="52EF01BD"/>
    <w:rsid w:val="52F15707"/>
    <w:rsid w:val="52F1969C"/>
    <w:rsid w:val="52F43F41"/>
    <w:rsid w:val="52FA3C76"/>
    <w:rsid w:val="52FF0899"/>
    <w:rsid w:val="5302EDB0"/>
    <w:rsid w:val="53033931"/>
    <w:rsid w:val="5308D736"/>
    <w:rsid w:val="530E0081"/>
    <w:rsid w:val="530F6BD1"/>
    <w:rsid w:val="53149890"/>
    <w:rsid w:val="531577CB"/>
    <w:rsid w:val="5317E66C"/>
    <w:rsid w:val="53188770"/>
    <w:rsid w:val="531A417A"/>
    <w:rsid w:val="531ABAA1"/>
    <w:rsid w:val="53213D9B"/>
    <w:rsid w:val="53222310"/>
    <w:rsid w:val="53255480"/>
    <w:rsid w:val="5325921E"/>
    <w:rsid w:val="532AE633"/>
    <w:rsid w:val="532BBA12"/>
    <w:rsid w:val="5331C9C6"/>
    <w:rsid w:val="53328391"/>
    <w:rsid w:val="5332862C"/>
    <w:rsid w:val="5334250F"/>
    <w:rsid w:val="533800BF"/>
    <w:rsid w:val="53392F2E"/>
    <w:rsid w:val="533C56D9"/>
    <w:rsid w:val="533E790D"/>
    <w:rsid w:val="534111EE"/>
    <w:rsid w:val="534350C6"/>
    <w:rsid w:val="53450083"/>
    <w:rsid w:val="534F99A0"/>
    <w:rsid w:val="5356130F"/>
    <w:rsid w:val="5358569B"/>
    <w:rsid w:val="535B0CDD"/>
    <w:rsid w:val="53629F71"/>
    <w:rsid w:val="536425D7"/>
    <w:rsid w:val="536A691E"/>
    <w:rsid w:val="536D53C7"/>
    <w:rsid w:val="536EB8CE"/>
    <w:rsid w:val="5371DDB0"/>
    <w:rsid w:val="5372EAA5"/>
    <w:rsid w:val="537439F3"/>
    <w:rsid w:val="537665E6"/>
    <w:rsid w:val="53771A70"/>
    <w:rsid w:val="53788B33"/>
    <w:rsid w:val="537F11E6"/>
    <w:rsid w:val="537F77D5"/>
    <w:rsid w:val="5382B937"/>
    <w:rsid w:val="5383B0ED"/>
    <w:rsid w:val="538E60C4"/>
    <w:rsid w:val="5394778B"/>
    <w:rsid w:val="5395F363"/>
    <w:rsid w:val="539AD1C1"/>
    <w:rsid w:val="53A0E2F0"/>
    <w:rsid w:val="53A75712"/>
    <w:rsid w:val="53A7A31E"/>
    <w:rsid w:val="53A876D5"/>
    <w:rsid w:val="53AD98CC"/>
    <w:rsid w:val="53B33973"/>
    <w:rsid w:val="53B503D6"/>
    <w:rsid w:val="53B694D5"/>
    <w:rsid w:val="53B9CDA4"/>
    <w:rsid w:val="53BC3C3D"/>
    <w:rsid w:val="53BC4D9F"/>
    <w:rsid w:val="53BEB27E"/>
    <w:rsid w:val="53C1A332"/>
    <w:rsid w:val="53C396A1"/>
    <w:rsid w:val="53C5D853"/>
    <w:rsid w:val="53CBADB7"/>
    <w:rsid w:val="53CEEF98"/>
    <w:rsid w:val="53D0E198"/>
    <w:rsid w:val="53D5BC82"/>
    <w:rsid w:val="53D89444"/>
    <w:rsid w:val="53D9223D"/>
    <w:rsid w:val="53DB55C8"/>
    <w:rsid w:val="53DBCB1B"/>
    <w:rsid w:val="53DD3602"/>
    <w:rsid w:val="53DF7B0C"/>
    <w:rsid w:val="53DF9AC4"/>
    <w:rsid w:val="53E00EC8"/>
    <w:rsid w:val="53E39607"/>
    <w:rsid w:val="53E3D1F5"/>
    <w:rsid w:val="53E50DA9"/>
    <w:rsid w:val="53E7B00C"/>
    <w:rsid w:val="53E82C3B"/>
    <w:rsid w:val="53E89AFF"/>
    <w:rsid w:val="53E8F078"/>
    <w:rsid w:val="53EC5367"/>
    <w:rsid w:val="53EF1EEA"/>
    <w:rsid w:val="53F76EE3"/>
    <w:rsid w:val="53FA8D74"/>
    <w:rsid w:val="53FBAEC9"/>
    <w:rsid w:val="53FCE352"/>
    <w:rsid w:val="53FE9ED2"/>
    <w:rsid w:val="5403A0A2"/>
    <w:rsid w:val="54056A26"/>
    <w:rsid w:val="5406D50C"/>
    <w:rsid w:val="540864AB"/>
    <w:rsid w:val="5409187A"/>
    <w:rsid w:val="540A517D"/>
    <w:rsid w:val="540B1FBC"/>
    <w:rsid w:val="540DDE06"/>
    <w:rsid w:val="540EEC31"/>
    <w:rsid w:val="541442D9"/>
    <w:rsid w:val="5415E0DB"/>
    <w:rsid w:val="54163980"/>
    <w:rsid w:val="54193FD2"/>
    <w:rsid w:val="541A2A78"/>
    <w:rsid w:val="541A4685"/>
    <w:rsid w:val="542267D7"/>
    <w:rsid w:val="542425DF"/>
    <w:rsid w:val="5425E493"/>
    <w:rsid w:val="54267A5D"/>
    <w:rsid w:val="542A7210"/>
    <w:rsid w:val="542C8204"/>
    <w:rsid w:val="542D78D9"/>
    <w:rsid w:val="542DD8FC"/>
    <w:rsid w:val="542E922F"/>
    <w:rsid w:val="542F3759"/>
    <w:rsid w:val="5435FEFF"/>
    <w:rsid w:val="543717BC"/>
    <w:rsid w:val="5439F3B3"/>
    <w:rsid w:val="543CC7D3"/>
    <w:rsid w:val="54412E59"/>
    <w:rsid w:val="544131AA"/>
    <w:rsid w:val="54431E5A"/>
    <w:rsid w:val="544530F2"/>
    <w:rsid w:val="544D2DA4"/>
    <w:rsid w:val="544DBF05"/>
    <w:rsid w:val="544F9519"/>
    <w:rsid w:val="545316EE"/>
    <w:rsid w:val="545365CC"/>
    <w:rsid w:val="545365FA"/>
    <w:rsid w:val="545B4575"/>
    <w:rsid w:val="54664AEB"/>
    <w:rsid w:val="5467EDB1"/>
    <w:rsid w:val="5469FAC6"/>
    <w:rsid w:val="546DE449"/>
    <w:rsid w:val="5472AEED"/>
    <w:rsid w:val="54736210"/>
    <w:rsid w:val="54748681"/>
    <w:rsid w:val="547CF3F3"/>
    <w:rsid w:val="547D7F17"/>
    <w:rsid w:val="548807E1"/>
    <w:rsid w:val="54882485"/>
    <w:rsid w:val="548B4CE5"/>
    <w:rsid w:val="548C26AE"/>
    <w:rsid w:val="548D1AA8"/>
    <w:rsid w:val="548E447A"/>
    <w:rsid w:val="548F26B8"/>
    <w:rsid w:val="54906FD2"/>
    <w:rsid w:val="549240A0"/>
    <w:rsid w:val="54929BA5"/>
    <w:rsid w:val="5496F839"/>
    <w:rsid w:val="54982FC7"/>
    <w:rsid w:val="54983EDD"/>
    <w:rsid w:val="54985887"/>
    <w:rsid w:val="549B0124"/>
    <w:rsid w:val="549EA154"/>
    <w:rsid w:val="54A0E7C0"/>
    <w:rsid w:val="54A14227"/>
    <w:rsid w:val="54A513F3"/>
    <w:rsid w:val="54A590E5"/>
    <w:rsid w:val="54A6A0DE"/>
    <w:rsid w:val="54A71C42"/>
    <w:rsid w:val="54A7A6E5"/>
    <w:rsid w:val="54A7EAD3"/>
    <w:rsid w:val="54A80F66"/>
    <w:rsid w:val="54AE2988"/>
    <w:rsid w:val="54AE99E1"/>
    <w:rsid w:val="54AF26E1"/>
    <w:rsid w:val="54AF91C6"/>
    <w:rsid w:val="54B4FB81"/>
    <w:rsid w:val="54B6B784"/>
    <w:rsid w:val="54B78C14"/>
    <w:rsid w:val="54BE5895"/>
    <w:rsid w:val="54C62A0E"/>
    <w:rsid w:val="54CC0267"/>
    <w:rsid w:val="54CDA4B8"/>
    <w:rsid w:val="54CEF353"/>
    <w:rsid w:val="54CFD989"/>
    <w:rsid w:val="54D10933"/>
    <w:rsid w:val="54D27092"/>
    <w:rsid w:val="54D51A06"/>
    <w:rsid w:val="54D5D766"/>
    <w:rsid w:val="54D6E91E"/>
    <w:rsid w:val="54D82FEB"/>
    <w:rsid w:val="54DB6E14"/>
    <w:rsid w:val="54DBB48D"/>
    <w:rsid w:val="54E06B75"/>
    <w:rsid w:val="54F0CFDE"/>
    <w:rsid w:val="54F18D64"/>
    <w:rsid w:val="54F39259"/>
    <w:rsid w:val="54F4CD4F"/>
    <w:rsid w:val="54F4E2F6"/>
    <w:rsid w:val="54F55C11"/>
    <w:rsid w:val="54F70EF4"/>
    <w:rsid w:val="54FE2F8B"/>
    <w:rsid w:val="5502AE49"/>
    <w:rsid w:val="55034281"/>
    <w:rsid w:val="5508D84C"/>
    <w:rsid w:val="550D7F8E"/>
    <w:rsid w:val="550F8804"/>
    <w:rsid w:val="551057A7"/>
    <w:rsid w:val="55125F9A"/>
    <w:rsid w:val="5513034F"/>
    <w:rsid w:val="5516FEEB"/>
    <w:rsid w:val="5517DCEA"/>
    <w:rsid w:val="551F26AC"/>
    <w:rsid w:val="551FD24E"/>
    <w:rsid w:val="5520F416"/>
    <w:rsid w:val="5524FBCC"/>
    <w:rsid w:val="552508C4"/>
    <w:rsid w:val="5526EE0B"/>
    <w:rsid w:val="552CE0BD"/>
    <w:rsid w:val="5534F7ED"/>
    <w:rsid w:val="55387DBC"/>
    <w:rsid w:val="5538AFFC"/>
    <w:rsid w:val="55399F31"/>
    <w:rsid w:val="553A3F38"/>
    <w:rsid w:val="55487934"/>
    <w:rsid w:val="554A4524"/>
    <w:rsid w:val="554BD79C"/>
    <w:rsid w:val="554F91B6"/>
    <w:rsid w:val="554FCDD7"/>
    <w:rsid w:val="555623B9"/>
    <w:rsid w:val="55574637"/>
    <w:rsid w:val="5557A3AF"/>
    <w:rsid w:val="555AAD3C"/>
    <w:rsid w:val="555AF3C9"/>
    <w:rsid w:val="555DA3BD"/>
    <w:rsid w:val="555DDFE9"/>
    <w:rsid w:val="55665114"/>
    <w:rsid w:val="556E3122"/>
    <w:rsid w:val="556EFF02"/>
    <w:rsid w:val="5571ED7B"/>
    <w:rsid w:val="557543BE"/>
    <w:rsid w:val="55759E16"/>
    <w:rsid w:val="5578C9BE"/>
    <w:rsid w:val="5578D629"/>
    <w:rsid w:val="557D3846"/>
    <w:rsid w:val="557DA303"/>
    <w:rsid w:val="557F1AF3"/>
    <w:rsid w:val="557F4CCE"/>
    <w:rsid w:val="557FFE9C"/>
    <w:rsid w:val="5580D308"/>
    <w:rsid w:val="5581451D"/>
    <w:rsid w:val="5584C186"/>
    <w:rsid w:val="55850444"/>
    <w:rsid w:val="558635E4"/>
    <w:rsid w:val="55877EBA"/>
    <w:rsid w:val="55881B86"/>
    <w:rsid w:val="5588DD97"/>
    <w:rsid w:val="558B17D5"/>
    <w:rsid w:val="5590FA56"/>
    <w:rsid w:val="5592BAFB"/>
    <w:rsid w:val="5592F742"/>
    <w:rsid w:val="55988FF5"/>
    <w:rsid w:val="55997AA6"/>
    <w:rsid w:val="559A2819"/>
    <w:rsid w:val="559A7CEE"/>
    <w:rsid w:val="559B6DEC"/>
    <w:rsid w:val="55A43499"/>
    <w:rsid w:val="55A729E4"/>
    <w:rsid w:val="55AB1A50"/>
    <w:rsid w:val="55AB4A6C"/>
    <w:rsid w:val="55AC931B"/>
    <w:rsid w:val="55B0849C"/>
    <w:rsid w:val="55B919FD"/>
    <w:rsid w:val="55BA5F00"/>
    <w:rsid w:val="55BD196F"/>
    <w:rsid w:val="55BE6773"/>
    <w:rsid w:val="55BF732B"/>
    <w:rsid w:val="55C4466F"/>
    <w:rsid w:val="55C73891"/>
    <w:rsid w:val="55CA23B1"/>
    <w:rsid w:val="55CA4F5D"/>
    <w:rsid w:val="55CE6700"/>
    <w:rsid w:val="55CED8B6"/>
    <w:rsid w:val="55CF4877"/>
    <w:rsid w:val="55D0225F"/>
    <w:rsid w:val="55D040D5"/>
    <w:rsid w:val="55D0EC5E"/>
    <w:rsid w:val="55D55954"/>
    <w:rsid w:val="55D77F44"/>
    <w:rsid w:val="55DABE91"/>
    <w:rsid w:val="55DAC9C5"/>
    <w:rsid w:val="55DBE473"/>
    <w:rsid w:val="55DE9B6E"/>
    <w:rsid w:val="55DED33A"/>
    <w:rsid w:val="55E0E48A"/>
    <w:rsid w:val="55E33EDB"/>
    <w:rsid w:val="55E540CB"/>
    <w:rsid w:val="55E68978"/>
    <w:rsid w:val="55E8E4C1"/>
    <w:rsid w:val="55EA13BC"/>
    <w:rsid w:val="55EA37AB"/>
    <w:rsid w:val="55EAFD75"/>
    <w:rsid w:val="55EE1537"/>
    <w:rsid w:val="55EF05C8"/>
    <w:rsid w:val="55F05ADE"/>
    <w:rsid w:val="55F08794"/>
    <w:rsid w:val="55F329B5"/>
    <w:rsid w:val="55F3E639"/>
    <w:rsid w:val="55F4517F"/>
    <w:rsid w:val="55F4C47A"/>
    <w:rsid w:val="55F4C79A"/>
    <w:rsid w:val="55F96618"/>
    <w:rsid w:val="56034921"/>
    <w:rsid w:val="560561F4"/>
    <w:rsid w:val="5609714D"/>
    <w:rsid w:val="560AF254"/>
    <w:rsid w:val="560C4EB4"/>
    <w:rsid w:val="561017D1"/>
    <w:rsid w:val="56110D3F"/>
    <w:rsid w:val="56124DFD"/>
    <w:rsid w:val="56155256"/>
    <w:rsid w:val="5615FC96"/>
    <w:rsid w:val="5616768A"/>
    <w:rsid w:val="5619029C"/>
    <w:rsid w:val="561B3846"/>
    <w:rsid w:val="561B40D7"/>
    <w:rsid w:val="561E05B9"/>
    <w:rsid w:val="561E3AD2"/>
    <w:rsid w:val="562349F3"/>
    <w:rsid w:val="56235511"/>
    <w:rsid w:val="56261601"/>
    <w:rsid w:val="562937CB"/>
    <w:rsid w:val="5629E6CD"/>
    <w:rsid w:val="562A90F5"/>
    <w:rsid w:val="56311E1D"/>
    <w:rsid w:val="56362205"/>
    <w:rsid w:val="56383D03"/>
    <w:rsid w:val="5638C47D"/>
    <w:rsid w:val="5638F2F2"/>
    <w:rsid w:val="5639C68C"/>
    <w:rsid w:val="563A6F26"/>
    <w:rsid w:val="563B2EDA"/>
    <w:rsid w:val="563BA6A5"/>
    <w:rsid w:val="563F8C05"/>
    <w:rsid w:val="564128D9"/>
    <w:rsid w:val="5643C8F3"/>
    <w:rsid w:val="56442077"/>
    <w:rsid w:val="5647EF5B"/>
    <w:rsid w:val="5648CF01"/>
    <w:rsid w:val="56498D69"/>
    <w:rsid w:val="564A0614"/>
    <w:rsid w:val="564A1946"/>
    <w:rsid w:val="564BBD5D"/>
    <w:rsid w:val="564BC64C"/>
    <w:rsid w:val="564EB1F9"/>
    <w:rsid w:val="565218D7"/>
    <w:rsid w:val="5652E379"/>
    <w:rsid w:val="5653D32C"/>
    <w:rsid w:val="56541D44"/>
    <w:rsid w:val="5656D520"/>
    <w:rsid w:val="56598742"/>
    <w:rsid w:val="56598F54"/>
    <w:rsid w:val="56663CBE"/>
    <w:rsid w:val="56680C92"/>
    <w:rsid w:val="56691FBC"/>
    <w:rsid w:val="5669FEEC"/>
    <w:rsid w:val="566A041E"/>
    <w:rsid w:val="566A83B9"/>
    <w:rsid w:val="566CF12C"/>
    <w:rsid w:val="566F1C0F"/>
    <w:rsid w:val="566F6DBB"/>
    <w:rsid w:val="567020EC"/>
    <w:rsid w:val="567080BB"/>
    <w:rsid w:val="56738EB2"/>
    <w:rsid w:val="567421BF"/>
    <w:rsid w:val="5675F9BD"/>
    <w:rsid w:val="5678B518"/>
    <w:rsid w:val="5679824E"/>
    <w:rsid w:val="567A048B"/>
    <w:rsid w:val="567AF629"/>
    <w:rsid w:val="567AFCE9"/>
    <w:rsid w:val="567E0796"/>
    <w:rsid w:val="567E204C"/>
    <w:rsid w:val="568176D8"/>
    <w:rsid w:val="5686018F"/>
    <w:rsid w:val="568C8581"/>
    <w:rsid w:val="568CE989"/>
    <w:rsid w:val="568E445E"/>
    <w:rsid w:val="568FE403"/>
    <w:rsid w:val="56941391"/>
    <w:rsid w:val="5694C8A5"/>
    <w:rsid w:val="56993503"/>
    <w:rsid w:val="569A25F3"/>
    <w:rsid w:val="569D9ECE"/>
    <w:rsid w:val="569F9DCA"/>
    <w:rsid w:val="56A6A75F"/>
    <w:rsid w:val="56A6B100"/>
    <w:rsid w:val="56ACD48D"/>
    <w:rsid w:val="56AD85AD"/>
    <w:rsid w:val="56B949EF"/>
    <w:rsid w:val="56BD3999"/>
    <w:rsid w:val="56BD8627"/>
    <w:rsid w:val="56C0DF27"/>
    <w:rsid w:val="56C395D3"/>
    <w:rsid w:val="56C3D516"/>
    <w:rsid w:val="56C40889"/>
    <w:rsid w:val="56C427D5"/>
    <w:rsid w:val="56C74CE4"/>
    <w:rsid w:val="56C97663"/>
    <w:rsid w:val="56CBC080"/>
    <w:rsid w:val="56CECFDE"/>
    <w:rsid w:val="56CF63C6"/>
    <w:rsid w:val="56D32486"/>
    <w:rsid w:val="56D5EBB7"/>
    <w:rsid w:val="56D6593B"/>
    <w:rsid w:val="56D7E8DF"/>
    <w:rsid w:val="56D88B2E"/>
    <w:rsid w:val="56DA3FC4"/>
    <w:rsid w:val="56DC25C8"/>
    <w:rsid w:val="56E0CB3B"/>
    <w:rsid w:val="56E33EAB"/>
    <w:rsid w:val="56E409A5"/>
    <w:rsid w:val="56E6F190"/>
    <w:rsid w:val="56E7ED4C"/>
    <w:rsid w:val="56EAA1FB"/>
    <w:rsid w:val="56EABF16"/>
    <w:rsid w:val="56EBE71E"/>
    <w:rsid w:val="56ECF905"/>
    <w:rsid w:val="56EEED6B"/>
    <w:rsid w:val="56F286E3"/>
    <w:rsid w:val="56F4303B"/>
    <w:rsid w:val="56F5F051"/>
    <w:rsid w:val="56F775A4"/>
    <w:rsid w:val="56F9EDE9"/>
    <w:rsid w:val="56FD5961"/>
    <w:rsid w:val="56FD8D31"/>
    <w:rsid w:val="5700A763"/>
    <w:rsid w:val="57031AC2"/>
    <w:rsid w:val="5703AE7A"/>
    <w:rsid w:val="570517D4"/>
    <w:rsid w:val="5706441F"/>
    <w:rsid w:val="5706E77B"/>
    <w:rsid w:val="570F38EA"/>
    <w:rsid w:val="57126999"/>
    <w:rsid w:val="5719DFE1"/>
    <w:rsid w:val="571D4D0D"/>
    <w:rsid w:val="571EEC54"/>
    <w:rsid w:val="57231C2B"/>
    <w:rsid w:val="57266EFA"/>
    <w:rsid w:val="572B7992"/>
    <w:rsid w:val="572EE30C"/>
    <w:rsid w:val="572F462B"/>
    <w:rsid w:val="57305AEE"/>
    <w:rsid w:val="573427EB"/>
    <w:rsid w:val="5734BAE7"/>
    <w:rsid w:val="5735CF39"/>
    <w:rsid w:val="57376218"/>
    <w:rsid w:val="573A055E"/>
    <w:rsid w:val="573C195A"/>
    <w:rsid w:val="573EA50B"/>
    <w:rsid w:val="57451414"/>
    <w:rsid w:val="57465B5C"/>
    <w:rsid w:val="5749BBFD"/>
    <w:rsid w:val="574A826E"/>
    <w:rsid w:val="574CB01E"/>
    <w:rsid w:val="574E81B7"/>
    <w:rsid w:val="5754C823"/>
    <w:rsid w:val="5758576A"/>
    <w:rsid w:val="575A852E"/>
    <w:rsid w:val="576049EE"/>
    <w:rsid w:val="5763DE77"/>
    <w:rsid w:val="5764DD27"/>
    <w:rsid w:val="576BFB1A"/>
    <w:rsid w:val="576F7D88"/>
    <w:rsid w:val="5771A27F"/>
    <w:rsid w:val="5772DD48"/>
    <w:rsid w:val="5774FA8A"/>
    <w:rsid w:val="57752C68"/>
    <w:rsid w:val="5778D71D"/>
    <w:rsid w:val="577C4CC2"/>
    <w:rsid w:val="577FF5CF"/>
    <w:rsid w:val="57802A4B"/>
    <w:rsid w:val="57817DDA"/>
    <w:rsid w:val="57824A63"/>
    <w:rsid w:val="57830644"/>
    <w:rsid w:val="5785FE45"/>
    <w:rsid w:val="57884617"/>
    <w:rsid w:val="578E2C7B"/>
    <w:rsid w:val="5793D20A"/>
    <w:rsid w:val="57959DE5"/>
    <w:rsid w:val="579634C8"/>
    <w:rsid w:val="579B7133"/>
    <w:rsid w:val="57A78C81"/>
    <w:rsid w:val="57B677F1"/>
    <w:rsid w:val="57B83108"/>
    <w:rsid w:val="57BDE079"/>
    <w:rsid w:val="57BF7687"/>
    <w:rsid w:val="57C53C67"/>
    <w:rsid w:val="57C56476"/>
    <w:rsid w:val="57C5BB8D"/>
    <w:rsid w:val="57C7A808"/>
    <w:rsid w:val="57C8A979"/>
    <w:rsid w:val="57C9C535"/>
    <w:rsid w:val="57CB0D41"/>
    <w:rsid w:val="57D0F372"/>
    <w:rsid w:val="57D17C2A"/>
    <w:rsid w:val="57D36848"/>
    <w:rsid w:val="57D51DC7"/>
    <w:rsid w:val="57D65719"/>
    <w:rsid w:val="57D79DB1"/>
    <w:rsid w:val="57D8CB98"/>
    <w:rsid w:val="57DCD04D"/>
    <w:rsid w:val="57DD4054"/>
    <w:rsid w:val="57DE551E"/>
    <w:rsid w:val="57E1C0A9"/>
    <w:rsid w:val="57E48A87"/>
    <w:rsid w:val="57E5FDB9"/>
    <w:rsid w:val="57E8E6A8"/>
    <w:rsid w:val="57E959DF"/>
    <w:rsid w:val="57EEC7B6"/>
    <w:rsid w:val="57EEE6EF"/>
    <w:rsid w:val="57F4F4D6"/>
    <w:rsid w:val="57F86500"/>
    <w:rsid w:val="57F98D0A"/>
    <w:rsid w:val="57FA5D35"/>
    <w:rsid w:val="580067E5"/>
    <w:rsid w:val="580106CC"/>
    <w:rsid w:val="58027CAB"/>
    <w:rsid w:val="5806879D"/>
    <w:rsid w:val="580BAEB7"/>
    <w:rsid w:val="580C5012"/>
    <w:rsid w:val="580E56ED"/>
    <w:rsid w:val="580FC6F4"/>
    <w:rsid w:val="58110356"/>
    <w:rsid w:val="5812EA1B"/>
    <w:rsid w:val="5813BA97"/>
    <w:rsid w:val="58162F52"/>
    <w:rsid w:val="58181006"/>
    <w:rsid w:val="5819726C"/>
    <w:rsid w:val="581E1AB1"/>
    <w:rsid w:val="58296EA3"/>
    <w:rsid w:val="5829F2AB"/>
    <w:rsid w:val="58332812"/>
    <w:rsid w:val="5835D9E3"/>
    <w:rsid w:val="5838F7C7"/>
    <w:rsid w:val="583993EF"/>
    <w:rsid w:val="583BEEE7"/>
    <w:rsid w:val="58431B1B"/>
    <w:rsid w:val="58470798"/>
    <w:rsid w:val="584752CF"/>
    <w:rsid w:val="584BEFEE"/>
    <w:rsid w:val="584D18BB"/>
    <w:rsid w:val="584DBAD3"/>
    <w:rsid w:val="58521DD3"/>
    <w:rsid w:val="58524564"/>
    <w:rsid w:val="5854079A"/>
    <w:rsid w:val="585CA7DD"/>
    <w:rsid w:val="5861E596"/>
    <w:rsid w:val="5863210F"/>
    <w:rsid w:val="58667829"/>
    <w:rsid w:val="5866C396"/>
    <w:rsid w:val="58688ABD"/>
    <w:rsid w:val="586E9CC4"/>
    <w:rsid w:val="58722306"/>
    <w:rsid w:val="5872B044"/>
    <w:rsid w:val="5875FC9D"/>
    <w:rsid w:val="58769C0F"/>
    <w:rsid w:val="58780133"/>
    <w:rsid w:val="58798BF9"/>
    <w:rsid w:val="587DF6A6"/>
    <w:rsid w:val="587F0A39"/>
    <w:rsid w:val="58820B74"/>
    <w:rsid w:val="58838C2F"/>
    <w:rsid w:val="5883BC13"/>
    <w:rsid w:val="5883FA75"/>
    <w:rsid w:val="58842A0C"/>
    <w:rsid w:val="58852D2B"/>
    <w:rsid w:val="58857F56"/>
    <w:rsid w:val="5887B469"/>
    <w:rsid w:val="5888DD44"/>
    <w:rsid w:val="588AB00A"/>
    <w:rsid w:val="588B769D"/>
    <w:rsid w:val="588B88C7"/>
    <w:rsid w:val="588CD641"/>
    <w:rsid w:val="588ED2CE"/>
    <w:rsid w:val="589193CE"/>
    <w:rsid w:val="58963BEE"/>
    <w:rsid w:val="5897700D"/>
    <w:rsid w:val="58A5AEF4"/>
    <w:rsid w:val="58A937D7"/>
    <w:rsid w:val="58AC6B65"/>
    <w:rsid w:val="58AD905F"/>
    <w:rsid w:val="58AE8CEA"/>
    <w:rsid w:val="58AEF348"/>
    <w:rsid w:val="58B0A7D8"/>
    <w:rsid w:val="58B15805"/>
    <w:rsid w:val="58B17247"/>
    <w:rsid w:val="58B2EEE4"/>
    <w:rsid w:val="58B31307"/>
    <w:rsid w:val="58B739F1"/>
    <w:rsid w:val="58B9DF33"/>
    <w:rsid w:val="58BD1D71"/>
    <w:rsid w:val="58BD3083"/>
    <w:rsid w:val="58C7A134"/>
    <w:rsid w:val="58CE597F"/>
    <w:rsid w:val="58CF6DD1"/>
    <w:rsid w:val="58CFC854"/>
    <w:rsid w:val="58D14E94"/>
    <w:rsid w:val="58D23337"/>
    <w:rsid w:val="58D7E0E2"/>
    <w:rsid w:val="58DA2894"/>
    <w:rsid w:val="58DAC376"/>
    <w:rsid w:val="58DD8D01"/>
    <w:rsid w:val="58DE190D"/>
    <w:rsid w:val="58E3DFAC"/>
    <w:rsid w:val="58E4C6F3"/>
    <w:rsid w:val="58E66A91"/>
    <w:rsid w:val="58E68777"/>
    <w:rsid w:val="58E77B72"/>
    <w:rsid w:val="58E7D7F5"/>
    <w:rsid w:val="58ECD47F"/>
    <w:rsid w:val="58EE76E0"/>
    <w:rsid w:val="58F04B91"/>
    <w:rsid w:val="58F2503D"/>
    <w:rsid w:val="58F252A2"/>
    <w:rsid w:val="58F4679C"/>
    <w:rsid w:val="58F8C091"/>
    <w:rsid w:val="58FD0F24"/>
    <w:rsid w:val="58FD40B1"/>
    <w:rsid w:val="58FE81C2"/>
    <w:rsid w:val="5900F14E"/>
    <w:rsid w:val="59016548"/>
    <w:rsid w:val="59033A0D"/>
    <w:rsid w:val="5906C9BE"/>
    <w:rsid w:val="590710F2"/>
    <w:rsid w:val="5907950B"/>
    <w:rsid w:val="590826A2"/>
    <w:rsid w:val="5908CA8D"/>
    <w:rsid w:val="590C7DB1"/>
    <w:rsid w:val="591085D8"/>
    <w:rsid w:val="59165219"/>
    <w:rsid w:val="5916D50F"/>
    <w:rsid w:val="59175E39"/>
    <w:rsid w:val="59197CA2"/>
    <w:rsid w:val="5919B96B"/>
    <w:rsid w:val="5919E506"/>
    <w:rsid w:val="591F22EE"/>
    <w:rsid w:val="591FDFE9"/>
    <w:rsid w:val="5922DB52"/>
    <w:rsid w:val="59234E3B"/>
    <w:rsid w:val="5927F2F7"/>
    <w:rsid w:val="5937F506"/>
    <w:rsid w:val="59388202"/>
    <w:rsid w:val="59389B2C"/>
    <w:rsid w:val="593B5743"/>
    <w:rsid w:val="593E2227"/>
    <w:rsid w:val="593F0FAE"/>
    <w:rsid w:val="5948B66D"/>
    <w:rsid w:val="594932AC"/>
    <w:rsid w:val="594A14BC"/>
    <w:rsid w:val="594B86B4"/>
    <w:rsid w:val="594E9C24"/>
    <w:rsid w:val="5952144A"/>
    <w:rsid w:val="595655ED"/>
    <w:rsid w:val="59595170"/>
    <w:rsid w:val="595A5FBE"/>
    <w:rsid w:val="595D513F"/>
    <w:rsid w:val="59600C12"/>
    <w:rsid w:val="5967FC74"/>
    <w:rsid w:val="596D83D6"/>
    <w:rsid w:val="596D84B2"/>
    <w:rsid w:val="596EC5C7"/>
    <w:rsid w:val="59740EA2"/>
    <w:rsid w:val="59781C05"/>
    <w:rsid w:val="597A75C4"/>
    <w:rsid w:val="597B96DF"/>
    <w:rsid w:val="597E75C8"/>
    <w:rsid w:val="5982E318"/>
    <w:rsid w:val="59830981"/>
    <w:rsid w:val="59871567"/>
    <w:rsid w:val="59903B97"/>
    <w:rsid w:val="5992E9EF"/>
    <w:rsid w:val="59938034"/>
    <w:rsid w:val="599489EA"/>
    <w:rsid w:val="5996F90F"/>
    <w:rsid w:val="599B2F9E"/>
    <w:rsid w:val="599FBF6C"/>
    <w:rsid w:val="59A32A5C"/>
    <w:rsid w:val="59A34350"/>
    <w:rsid w:val="59A34C27"/>
    <w:rsid w:val="59A484D8"/>
    <w:rsid w:val="59A63AF8"/>
    <w:rsid w:val="59A9B6FE"/>
    <w:rsid w:val="59AB985E"/>
    <w:rsid w:val="59AD2E2E"/>
    <w:rsid w:val="59B0F2EB"/>
    <w:rsid w:val="59B2FCAD"/>
    <w:rsid w:val="59B3D7E3"/>
    <w:rsid w:val="59BA1A1E"/>
    <w:rsid w:val="59BB61F2"/>
    <w:rsid w:val="59BD8C3E"/>
    <w:rsid w:val="59C6A022"/>
    <w:rsid w:val="59C6D634"/>
    <w:rsid w:val="59CA58D4"/>
    <w:rsid w:val="59CB2545"/>
    <w:rsid w:val="59CD9A6C"/>
    <w:rsid w:val="59D1492D"/>
    <w:rsid w:val="59D151F4"/>
    <w:rsid w:val="59D2AFA2"/>
    <w:rsid w:val="59D2D3AD"/>
    <w:rsid w:val="59D3BDD5"/>
    <w:rsid w:val="59D65783"/>
    <w:rsid w:val="59DAB584"/>
    <w:rsid w:val="59DF6955"/>
    <w:rsid w:val="59E15867"/>
    <w:rsid w:val="59E211FE"/>
    <w:rsid w:val="59E22822"/>
    <w:rsid w:val="59E407E6"/>
    <w:rsid w:val="59E464D8"/>
    <w:rsid w:val="59EA5F09"/>
    <w:rsid w:val="59F19439"/>
    <w:rsid w:val="59F2255D"/>
    <w:rsid w:val="59F92A49"/>
    <w:rsid w:val="59F953FD"/>
    <w:rsid w:val="59FB1AE9"/>
    <w:rsid w:val="59FC8684"/>
    <w:rsid w:val="59FCC6DF"/>
    <w:rsid w:val="59FF0167"/>
    <w:rsid w:val="5A0264D0"/>
    <w:rsid w:val="5A038D30"/>
    <w:rsid w:val="5A04D202"/>
    <w:rsid w:val="5A06F0EA"/>
    <w:rsid w:val="5A07931A"/>
    <w:rsid w:val="5A0CB974"/>
    <w:rsid w:val="5A10550C"/>
    <w:rsid w:val="5A106C72"/>
    <w:rsid w:val="5A14013B"/>
    <w:rsid w:val="5A148C5E"/>
    <w:rsid w:val="5A15247A"/>
    <w:rsid w:val="5A180010"/>
    <w:rsid w:val="5A1C06B2"/>
    <w:rsid w:val="5A1CA8D7"/>
    <w:rsid w:val="5A2426C9"/>
    <w:rsid w:val="5A25FEE7"/>
    <w:rsid w:val="5A26AD40"/>
    <w:rsid w:val="5A2C019E"/>
    <w:rsid w:val="5A2F43F1"/>
    <w:rsid w:val="5A30B14E"/>
    <w:rsid w:val="5A35898D"/>
    <w:rsid w:val="5A38ADAC"/>
    <w:rsid w:val="5A38F4DC"/>
    <w:rsid w:val="5A39C25C"/>
    <w:rsid w:val="5A39C636"/>
    <w:rsid w:val="5A3D3B41"/>
    <w:rsid w:val="5A430396"/>
    <w:rsid w:val="5A44B34A"/>
    <w:rsid w:val="5A4553B9"/>
    <w:rsid w:val="5A46B686"/>
    <w:rsid w:val="5A47DAEA"/>
    <w:rsid w:val="5A485229"/>
    <w:rsid w:val="5A49AB9E"/>
    <w:rsid w:val="5A4C1916"/>
    <w:rsid w:val="5A4F3409"/>
    <w:rsid w:val="5A527658"/>
    <w:rsid w:val="5A55DBA6"/>
    <w:rsid w:val="5A57C5D4"/>
    <w:rsid w:val="5A5B688A"/>
    <w:rsid w:val="5A5F873B"/>
    <w:rsid w:val="5A602D83"/>
    <w:rsid w:val="5A6473FB"/>
    <w:rsid w:val="5A67CE3D"/>
    <w:rsid w:val="5A686115"/>
    <w:rsid w:val="5A69C3F8"/>
    <w:rsid w:val="5A6C94BF"/>
    <w:rsid w:val="5A6ECD2A"/>
    <w:rsid w:val="5A759176"/>
    <w:rsid w:val="5A76BB99"/>
    <w:rsid w:val="5A7BD679"/>
    <w:rsid w:val="5A7CA2BC"/>
    <w:rsid w:val="5A7DCBDB"/>
    <w:rsid w:val="5A7E3EA4"/>
    <w:rsid w:val="5A804A94"/>
    <w:rsid w:val="5A811A46"/>
    <w:rsid w:val="5A83978C"/>
    <w:rsid w:val="5A861AC9"/>
    <w:rsid w:val="5A86DCCD"/>
    <w:rsid w:val="5A8B19EF"/>
    <w:rsid w:val="5A8ECBB0"/>
    <w:rsid w:val="5A92B9BC"/>
    <w:rsid w:val="5A92D6DC"/>
    <w:rsid w:val="5A93CCF5"/>
    <w:rsid w:val="5A94F277"/>
    <w:rsid w:val="5A95951E"/>
    <w:rsid w:val="5A966713"/>
    <w:rsid w:val="5A974F1B"/>
    <w:rsid w:val="5A9BA197"/>
    <w:rsid w:val="5A9C9174"/>
    <w:rsid w:val="5A9D489D"/>
    <w:rsid w:val="5AA0A082"/>
    <w:rsid w:val="5AA45688"/>
    <w:rsid w:val="5AA49FB8"/>
    <w:rsid w:val="5AA60C35"/>
    <w:rsid w:val="5AA69DAD"/>
    <w:rsid w:val="5AA8A87D"/>
    <w:rsid w:val="5AAA5FFB"/>
    <w:rsid w:val="5AAB6A3E"/>
    <w:rsid w:val="5AADA417"/>
    <w:rsid w:val="5AAED923"/>
    <w:rsid w:val="5AB24993"/>
    <w:rsid w:val="5AB3DBFF"/>
    <w:rsid w:val="5AB62796"/>
    <w:rsid w:val="5ABCA427"/>
    <w:rsid w:val="5ABF1976"/>
    <w:rsid w:val="5AC235EF"/>
    <w:rsid w:val="5AC99088"/>
    <w:rsid w:val="5ACDB120"/>
    <w:rsid w:val="5ACE4F23"/>
    <w:rsid w:val="5ACE8E57"/>
    <w:rsid w:val="5AD0E917"/>
    <w:rsid w:val="5AD0F2B3"/>
    <w:rsid w:val="5AD1A7EA"/>
    <w:rsid w:val="5AD1B7E2"/>
    <w:rsid w:val="5AD27C60"/>
    <w:rsid w:val="5ADD8A12"/>
    <w:rsid w:val="5ADF0217"/>
    <w:rsid w:val="5ADF1A29"/>
    <w:rsid w:val="5AE598FE"/>
    <w:rsid w:val="5AE6602F"/>
    <w:rsid w:val="5AE9A6C6"/>
    <w:rsid w:val="5AEEFCB8"/>
    <w:rsid w:val="5AEF323E"/>
    <w:rsid w:val="5AEFF1AE"/>
    <w:rsid w:val="5AF184A1"/>
    <w:rsid w:val="5AFEC855"/>
    <w:rsid w:val="5B00FFED"/>
    <w:rsid w:val="5B029C48"/>
    <w:rsid w:val="5B05C533"/>
    <w:rsid w:val="5B06CE41"/>
    <w:rsid w:val="5B0715A0"/>
    <w:rsid w:val="5B0A3191"/>
    <w:rsid w:val="5B0AFA2D"/>
    <w:rsid w:val="5B0CF3B2"/>
    <w:rsid w:val="5B0F2768"/>
    <w:rsid w:val="5B0FAD1B"/>
    <w:rsid w:val="5B108C6E"/>
    <w:rsid w:val="5B138145"/>
    <w:rsid w:val="5B153DE7"/>
    <w:rsid w:val="5B163CE1"/>
    <w:rsid w:val="5B19D8C8"/>
    <w:rsid w:val="5B1BAABC"/>
    <w:rsid w:val="5B1DCED5"/>
    <w:rsid w:val="5B2B0EB9"/>
    <w:rsid w:val="5B2BA161"/>
    <w:rsid w:val="5B2FD851"/>
    <w:rsid w:val="5B343C0B"/>
    <w:rsid w:val="5B378E53"/>
    <w:rsid w:val="5B3A9B68"/>
    <w:rsid w:val="5B3C737A"/>
    <w:rsid w:val="5B3FD367"/>
    <w:rsid w:val="5B40745F"/>
    <w:rsid w:val="5B42D522"/>
    <w:rsid w:val="5B4318A3"/>
    <w:rsid w:val="5B4E96AA"/>
    <w:rsid w:val="5B4F636E"/>
    <w:rsid w:val="5B5357C7"/>
    <w:rsid w:val="5B53FB1B"/>
    <w:rsid w:val="5B55A28E"/>
    <w:rsid w:val="5B567D7B"/>
    <w:rsid w:val="5B56BECF"/>
    <w:rsid w:val="5B58A7BC"/>
    <w:rsid w:val="5B5A24D3"/>
    <w:rsid w:val="5B5AB764"/>
    <w:rsid w:val="5B603569"/>
    <w:rsid w:val="5B62A69D"/>
    <w:rsid w:val="5B64816A"/>
    <w:rsid w:val="5B660AB4"/>
    <w:rsid w:val="5B6A85B2"/>
    <w:rsid w:val="5B6E5529"/>
    <w:rsid w:val="5B6EE022"/>
    <w:rsid w:val="5B743E53"/>
    <w:rsid w:val="5B78E462"/>
    <w:rsid w:val="5B7A82F7"/>
    <w:rsid w:val="5B7C2EC0"/>
    <w:rsid w:val="5B7F4A0C"/>
    <w:rsid w:val="5B819E01"/>
    <w:rsid w:val="5B856DE8"/>
    <w:rsid w:val="5B9274A2"/>
    <w:rsid w:val="5B953679"/>
    <w:rsid w:val="5B9743D4"/>
    <w:rsid w:val="5B98E09B"/>
    <w:rsid w:val="5B999AF0"/>
    <w:rsid w:val="5B9E6D0F"/>
    <w:rsid w:val="5BA0B417"/>
    <w:rsid w:val="5BA12607"/>
    <w:rsid w:val="5BA57FD6"/>
    <w:rsid w:val="5BA6CF17"/>
    <w:rsid w:val="5BA8A857"/>
    <w:rsid w:val="5BA8F9AD"/>
    <w:rsid w:val="5BAB8EDB"/>
    <w:rsid w:val="5BAC16F8"/>
    <w:rsid w:val="5BB15168"/>
    <w:rsid w:val="5BB45C70"/>
    <w:rsid w:val="5BB4893B"/>
    <w:rsid w:val="5BB4C9A9"/>
    <w:rsid w:val="5BB648A5"/>
    <w:rsid w:val="5BB79772"/>
    <w:rsid w:val="5BBBA910"/>
    <w:rsid w:val="5BBC5052"/>
    <w:rsid w:val="5BC06B79"/>
    <w:rsid w:val="5BC1DEB9"/>
    <w:rsid w:val="5BC22A63"/>
    <w:rsid w:val="5BC45289"/>
    <w:rsid w:val="5BC8996C"/>
    <w:rsid w:val="5BCACE75"/>
    <w:rsid w:val="5BCBB1D2"/>
    <w:rsid w:val="5BD05F8F"/>
    <w:rsid w:val="5BD29A5D"/>
    <w:rsid w:val="5BD2E253"/>
    <w:rsid w:val="5BD35088"/>
    <w:rsid w:val="5BD58BCD"/>
    <w:rsid w:val="5BD5C15C"/>
    <w:rsid w:val="5BD7E716"/>
    <w:rsid w:val="5BDAA405"/>
    <w:rsid w:val="5BDAAB0A"/>
    <w:rsid w:val="5BDB1BFF"/>
    <w:rsid w:val="5BE06667"/>
    <w:rsid w:val="5BE41A42"/>
    <w:rsid w:val="5BE479A2"/>
    <w:rsid w:val="5BE4D03B"/>
    <w:rsid w:val="5BEC3D08"/>
    <w:rsid w:val="5BED21D4"/>
    <w:rsid w:val="5BEFA475"/>
    <w:rsid w:val="5BF0817B"/>
    <w:rsid w:val="5BF1A142"/>
    <w:rsid w:val="5BF813EE"/>
    <w:rsid w:val="5BF90A24"/>
    <w:rsid w:val="5BF98520"/>
    <w:rsid w:val="5BFC46BF"/>
    <w:rsid w:val="5C039EFF"/>
    <w:rsid w:val="5C03CA74"/>
    <w:rsid w:val="5C045954"/>
    <w:rsid w:val="5C04A0C1"/>
    <w:rsid w:val="5C06673E"/>
    <w:rsid w:val="5C0731DF"/>
    <w:rsid w:val="5C07F6B7"/>
    <w:rsid w:val="5C0C9900"/>
    <w:rsid w:val="5C0D00E7"/>
    <w:rsid w:val="5C109834"/>
    <w:rsid w:val="5C116694"/>
    <w:rsid w:val="5C11AD1B"/>
    <w:rsid w:val="5C11B77C"/>
    <w:rsid w:val="5C1700D6"/>
    <w:rsid w:val="5C176582"/>
    <w:rsid w:val="5C19654E"/>
    <w:rsid w:val="5C19C3A0"/>
    <w:rsid w:val="5C1A11F6"/>
    <w:rsid w:val="5C1A5F6E"/>
    <w:rsid w:val="5C1B2080"/>
    <w:rsid w:val="5C1B4094"/>
    <w:rsid w:val="5C1D7DEA"/>
    <w:rsid w:val="5C1DAC09"/>
    <w:rsid w:val="5C2348DE"/>
    <w:rsid w:val="5C2617A4"/>
    <w:rsid w:val="5C295EB7"/>
    <w:rsid w:val="5C2A8B06"/>
    <w:rsid w:val="5C2A8E9C"/>
    <w:rsid w:val="5C30CEE0"/>
    <w:rsid w:val="5C30F3B8"/>
    <w:rsid w:val="5C34DCD5"/>
    <w:rsid w:val="5C3737E0"/>
    <w:rsid w:val="5C37FDCD"/>
    <w:rsid w:val="5C39640C"/>
    <w:rsid w:val="5C3A1517"/>
    <w:rsid w:val="5C3A4F9E"/>
    <w:rsid w:val="5C3BD665"/>
    <w:rsid w:val="5C405088"/>
    <w:rsid w:val="5C42748F"/>
    <w:rsid w:val="5C4280DA"/>
    <w:rsid w:val="5C428D7C"/>
    <w:rsid w:val="5C440407"/>
    <w:rsid w:val="5C46C821"/>
    <w:rsid w:val="5C470888"/>
    <w:rsid w:val="5C4A8FD3"/>
    <w:rsid w:val="5C4B4989"/>
    <w:rsid w:val="5C4E1C6F"/>
    <w:rsid w:val="5C4EB4EC"/>
    <w:rsid w:val="5C4FC258"/>
    <w:rsid w:val="5C572A09"/>
    <w:rsid w:val="5C57D7D5"/>
    <w:rsid w:val="5C5B0780"/>
    <w:rsid w:val="5C5C2490"/>
    <w:rsid w:val="5C5E0D82"/>
    <w:rsid w:val="5C5FE9FB"/>
    <w:rsid w:val="5C61E2E9"/>
    <w:rsid w:val="5C627258"/>
    <w:rsid w:val="5C634342"/>
    <w:rsid w:val="5C68B009"/>
    <w:rsid w:val="5C6EDE25"/>
    <w:rsid w:val="5C6EF3AF"/>
    <w:rsid w:val="5C6F850D"/>
    <w:rsid w:val="5C71A4AB"/>
    <w:rsid w:val="5C720F50"/>
    <w:rsid w:val="5C77AE7D"/>
    <w:rsid w:val="5C791D85"/>
    <w:rsid w:val="5C7A218B"/>
    <w:rsid w:val="5C7C971B"/>
    <w:rsid w:val="5C83C711"/>
    <w:rsid w:val="5C85BBFE"/>
    <w:rsid w:val="5C8624EC"/>
    <w:rsid w:val="5C871574"/>
    <w:rsid w:val="5C889718"/>
    <w:rsid w:val="5C8B61D2"/>
    <w:rsid w:val="5C8BA91C"/>
    <w:rsid w:val="5C8D469D"/>
    <w:rsid w:val="5C8E67FB"/>
    <w:rsid w:val="5C8F85EB"/>
    <w:rsid w:val="5C953CE3"/>
    <w:rsid w:val="5C965F4C"/>
    <w:rsid w:val="5C9753D9"/>
    <w:rsid w:val="5C97FBC8"/>
    <w:rsid w:val="5C98AC30"/>
    <w:rsid w:val="5C98AC64"/>
    <w:rsid w:val="5C9FA7A7"/>
    <w:rsid w:val="5CA1512D"/>
    <w:rsid w:val="5CA1F573"/>
    <w:rsid w:val="5CA2421F"/>
    <w:rsid w:val="5CA46FEE"/>
    <w:rsid w:val="5CA52C5E"/>
    <w:rsid w:val="5CA641DE"/>
    <w:rsid w:val="5CA6FB70"/>
    <w:rsid w:val="5CAA5CBC"/>
    <w:rsid w:val="5CAA91F8"/>
    <w:rsid w:val="5CAF8405"/>
    <w:rsid w:val="5CB7AC72"/>
    <w:rsid w:val="5CB7DEAB"/>
    <w:rsid w:val="5CBBA8E6"/>
    <w:rsid w:val="5CBBD360"/>
    <w:rsid w:val="5CBEB304"/>
    <w:rsid w:val="5CC0B08C"/>
    <w:rsid w:val="5CC0BC4F"/>
    <w:rsid w:val="5CC1C8E3"/>
    <w:rsid w:val="5CC2CD4C"/>
    <w:rsid w:val="5CC6E872"/>
    <w:rsid w:val="5CCAA236"/>
    <w:rsid w:val="5CCB1A4A"/>
    <w:rsid w:val="5CCBB93E"/>
    <w:rsid w:val="5CCE9C48"/>
    <w:rsid w:val="5CCF537E"/>
    <w:rsid w:val="5CCF91E1"/>
    <w:rsid w:val="5CD09359"/>
    <w:rsid w:val="5CD22BE8"/>
    <w:rsid w:val="5CD4BADB"/>
    <w:rsid w:val="5CD4D5A2"/>
    <w:rsid w:val="5CD5F53E"/>
    <w:rsid w:val="5CD8BD25"/>
    <w:rsid w:val="5CDDE32D"/>
    <w:rsid w:val="5CE13374"/>
    <w:rsid w:val="5CE24598"/>
    <w:rsid w:val="5CE5AA57"/>
    <w:rsid w:val="5CEB6CEF"/>
    <w:rsid w:val="5CF10C85"/>
    <w:rsid w:val="5CF41D6A"/>
    <w:rsid w:val="5CF5F42D"/>
    <w:rsid w:val="5CF72782"/>
    <w:rsid w:val="5CFC18FE"/>
    <w:rsid w:val="5CFC6C06"/>
    <w:rsid w:val="5CFDAC80"/>
    <w:rsid w:val="5CFE0684"/>
    <w:rsid w:val="5D00C2E2"/>
    <w:rsid w:val="5D02514F"/>
    <w:rsid w:val="5D061A30"/>
    <w:rsid w:val="5D06C7C3"/>
    <w:rsid w:val="5D071BAB"/>
    <w:rsid w:val="5D083D9A"/>
    <w:rsid w:val="5D08554D"/>
    <w:rsid w:val="5D086469"/>
    <w:rsid w:val="5D086A1B"/>
    <w:rsid w:val="5D0AADC1"/>
    <w:rsid w:val="5D0AAF66"/>
    <w:rsid w:val="5D0CA451"/>
    <w:rsid w:val="5D0EFB22"/>
    <w:rsid w:val="5D16D352"/>
    <w:rsid w:val="5D18545F"/>
    <w:rsid w:val="5D1AE085"/>
    <w:rsid w:val="5D1BFB21"/>
    <w:rsid w:val="5D1C84A9"/>
    <w:rsid w:val="5D1EB1D5"/>
    <w:rsid w:val="5D227C9E"/>
    <w:rsid w:val="5D29F293"/>
    <w:rsid w:val="5D330236"/>
    <w:rsid w:val="5D339859"/>
    <w:rsid w:val="5D387653"/>
    <w:rsid w:val="5D3A0C5E"/>
    <w:rsid w:val="5D3BB60D"/>
    <w:rsid w:val="5D3BB95E"/>
    <w:rsid w:val="5D3E9240"/>
    <w:rsid w:val="5D412362"/>
    <w:rsid w:val="5D43A309"/>
    <w:rsid w:val="5D44E441"/>
    <w:rsid w:val="5D455940"/>
    <w:rsid w:val="5D4805F1"/>
    <w:rsid w:val="5D4BBE0F"/>
    <w:rsid w:val="5D4E7546"/>
    <w:rsid w:val="5D51F875"/>
    <w:rsid w:val="5D53F164"/>
    <w:rsid w:val="5D592176"/>
    <w:rsid w:val="5D5984FB"/>
    <w:rsid w:val="5D63F76B"/>
    <w:rsid w:val="5D69F768"/>
    <w:rsid w:val="5D6C939D"/>
    <w:rsid w:val="5D71A410"/>
    <w:rsid w:val="5D727582"/>
    <w:rsid w:val="5D72BA9D"/>
    <w:rsid w:val="5D744D70"/>
    <w:rsid w:val="5D7ACFC2"/>
    <w:rsid w:val="5D7C4DE5"/>
    <w:rsid w:val="5D7D854D"/>
    <w:rsid w:val="5D84043D"/>
    <w:rsid w:val="5D86F2F2"/>
    <w:rsid w:val="5D8C1205"/>
    <w:rsid w:val="5D8C7013"/>
    <w:rsid w:val="5D8DCB16"/>
    <w:rsid w:val="5D907270"/>
    <w:rsid w:val="5D92F57C"/>
    <w:rsid w:val="5D95473A"/>
    <w:rsid w:val="5D9819DE"/>
    <w:rsid w:val="5D991892"/>
    <w:rsid w:val="5D9A02DC"/>
    <w:rsid w:val="5D9ABCE0"/>
    <w:rsid w:val="5D9C6774"/>
    <w:rsid w:val="5D9CC1A3"/>
    <w:rsid w:val="5D9D4EC6"/>
    <w:rsid w:val="5D9F1495"/>
    <w:rsid w:val="5DA033B9"/>
    <w:rsid w:val="5DA0A08A"/>
    <w:rsid w:val="5DA40D27"/>
    <w:rsid w:val="5DA59FC7"/>
    <w:rsid w:val="5DA716C4"/>
    <w:rsid w:val="5DA7724A"/>
    <w:rsid w:val="5DAA490D"/>
    <w:rsid w:val="5DB01DE7"/>
    <w:rsid w:val="5DB3A4FF"/>
    <w:rsid w:val="5DB4CA7B"/>
    <w:rsid w:val="5DB71728"/>
    <w:rsid w:val="5DB8B62E"/>
    <w:rsid w:val="5DBAEF45"/>
    <w:rsid w:val="5DBB9263"/>
    <w:rsid w:val="5DBC2B7F"/>
    <w:rsid w:val="5DBEFDDE"/>
    <w:rsid w:val="5DC2D85E"/>
    <w:rsid w:val="5DC3DA7C"/>
    <w:rsid w:val="5DCA642C"/>
    <w:rsid w:val="5DD0F13D"/>
    <w:rsid w:val="5DD7C7D2"/>
    <w:rsid w:val="5DD96A5C"/>
    <w:rsid w:val="5DDE954D"/>
    <w:rsid w:val="5DE4D9E2"/>
    <w:rsid w:val="5DE50922"/>
    <w:rsid w:val="5DE553D6"/>
    <w:rsid w:val="5DE5D97C"/>
    <w:rsid w:val="5DE6CD2C"/>
    <w:rsid w:val="5DEA52A0"/>
    <w:rsid w:val="5DEC8A09"/>
    <w:rsid w:val="5DED7334"/>
    <w:rsid w:val="5DF003BD"/>
    <w:rsid w:val="5DF2A966"/>
    <w:rsid w:val="5DF3EEB7"/>
    <w:rsid w:val="5DF5F496"/>
    <w:rsid w:val="5DF72C0E"/>
    <w:rsid w:val="5DFAA73D"/>
    <w:rsid w:val="5DFABC12"/>
    <w:rsid w:val="5DFC491E"/>
    <w:rsid w:val="5E00DC07"/>
    <w:rsid w:val="5E048865"/>
    <w:rsid w:val="5E080A6B"/>
    <w:rsid w:val="5E0D38FD"/>
    <w:rsid w:val="5E101EC0"/>
    <w:rsid w:val="5E10B023"/>
    <w:rsid w:val="5E11359A"/>
    <w:rsid w:val="5E12D0CD"/>
    <w:rsid w:val="5E16CDCD"/>
    <w:rsid w:val="5E1D0796"/>
    <w:rsid w:val="5E21B79A"/>
    <w:rsid w:val="5E2267D0"/>
    <w:rsid w:val="5E237E24"/>
    <w:rsid w:val="5E24E7C9"/>
    <w:rsid w:val="5E264DC3"/>
    <w:rsid w:val="5E27540D"/>
    <w:rsid w:val="5E2792EE"/>
    <w:rsid w:val="5E27C041"/>
    <w:rsid w:val="5E2E2E13"/>
    <w:rsid w:val="5E317A8F"/>
    <w:rsid w:val="5E319D46"/>
    <w:rsid w:val="5E31E468"/>
    <w:rsid w:val="5E321770"/>
    <w:rsid w:val="5E37D137"/>
    <w:rsid w:val="5E39002C"/>
    <w:rsid w:val="5E3B77FF"/>
    <w:rsid w:val="5E40D356"/>
    <w:rsid w:val="5E4591D6"/>
    <w:rsid w:val="5E4B7802"/>
    <w:rsid w:val="5E4C0E86"/>
    <w:rsid w:val="5E4CFA55"/>
    <w:rsid w:val="5E51376D"/>
    <w:rsid w:val="5E53E1E2"/>
    <w:rsid w:val="5E550E5F"/>
    <w:rsid w:val="5E58AC93"/>
    <w:rsid w:val="5E5DB511"/>
    <w:rsid w:val="5E5F1B6C"/>
    <w:rsid w:val="5E5FD6EA"/>
    <w:rsid w:val="5E60AC19"/>
    <w:rsid w:val="5E6A174A"/>
    <w:rsid w:val="5E6B851C"/>
    <w:rsid w:val="5E6D0CE9"/>
    <w:rsid w:val="5E6E8F5E"/>
    <w:rsid w:val="5E70AD19"/>
    <w:rsid w:val="5E727F77"/>
    <w:rsid w:val="5E731A8A"/>
    <w:rsid w:val="5E75478F"/>
    <w:rsid w:val="5E77C7CF"/>
    <w:rsid w:val="5E78C7C7"/>
    <w:rsid w:val="5E78E556"/>
    <w:rsid w:val="5E7CA4BD"/>
    <w:rsid w:val="5E81D9BB"/>
    <w:rsid w:val="5E82E88B"/>
    <w:rsid w:val="5E8334DE"/>
    <w:rsid w:val="5E83A973"/>
    <w:rsid w:val="5E85D0E1"/>
    <w:rsid w:val="5E8A3255"/>
    <w:rsid w:val="5E8A87EE"/>
    <w:rsid w:val="5E8AF2DB"/>
    <w:rsid w:val="5E8B1178"/>
    <w:rsid w:val="5E8F94F7"/>
    <w:rsid w:val="5E923016"/>
    <w:rsid w:val="5E9284D9"/>
    <w:rsid w:val="5E938400"/>
    <w:rsid w:val="5E9828A9"/>
    <w:rsid w:val="5E9A8FF4"/>
    <w:rsid w:val="5E9B1FB1"/>
    <w:rsid w:val="5E9C4C06"/>
    <w:rsid w:val="5E9DBF0F"/>
    <w:rsid w:val="5E9E5F05"/>
    <w:rsid w:val="5EA1E15A"/>
    <w:rsid w:val="5EA31999"/>
    <w:rsid w:val="5EA4A332"/>
    <w:rsid w:val="5EA707F2"/>
    <w:rsid w:val="5EA850E7"/>
    <w:rsid w:val="5EA90C10"/>
    <w:rsid w:val="5EAB8CAC"/>
    <w:rsid w:val="5EAC1463"/>
    <w:rsid w:val="5EAD60CA"/>
    <w:rsid w:val="5EB029FB"/>
    <w:rsid w:val="5EB42662"/>
    <w:rsid w:val="5EB45EFD"/>
    <w:rsid w:val="5EB5A425"/>
    <w:rsid w:val="5EBA579D"/>
    <w:rsid w:val="5EBD096A"/>
    <w:rsid w:val="5EBD3605"/>
    <w:rsid w:val="5EC52538"/>
    <w:rsid w:val="5EC78452"/>
    <w:rsid w:val="5ED596E2"/>
    <w:rsid w:val="5ED69ECC"/>
    <w:rsid w:val="5ED78965"/>
    <w:rsid w:val="5EDC9DB2"/>
    <w:rsid w:val="5EDD4C73"/>
    <w:rsid w:val="5EE198C9"/>
    <w:rsid w:val="5EEEDF0A"/>
    <w:rsid w:val="5EEF9301"/>
    <w:rsid w:val="5EEFD3D3"/>
    <w:rsid w:val="5EF25263"/>
    <w:rsid w:val="5EF593D9"/>
    <w:rsid w:val="5EF628C7"/>
    <w:rsid w:val="5EF69F8E"/>
    <w:rsid w:val="5EFB7F88"/>
    <w:rsid w:val="5EFBAA7C"/>
    <w:rsid w:val="5EFD03DB"/>
    <w:rsid w:val="5F001B16"/>
    <w:rsid w:val="5F002593"/>
    <w:rsid w:val="5F0AB0DB"/>
    <w:rsid w:val="5F0E3F30"/>
    <w:rsid w:val="5F0EE2FF"/>
    <w:rsid w:val="5F103D15"/>
    <w:rsid w:val="5F11467B"/>
    <w:rsid w:val="5F137775"/>
    <w:rsid w:val="5F1697D5"/>
    <w:rsid w:val="5F1B5AAF"/>
    <w:rsid w:val="5F1CFAC1"/>
    <w:rsid w:val="5F1E7CFE"/>
    <w:rsid w:val="5F25182A"/>
    <w:rsid w:val="5F277D2A"/>
    <w:rsid w:val="5F2B0377"/>
    <w:rsid w:val="5F2C2D15"/>
    <w:rsid w:val="5F2F6A1E"/>
    <w:rsid w:val="5F32179E"/>
    <w:rsid w:val="5F36A034"/>
    <w:rsid w:val="5F36CE46"/>
    <w:rsid w:val="5F37A7B7"/>
    <w:rsid w:val="5F38A528"/>
    <w:rsid w:val="5F399A57"/>
    <w:rsid w:val="5F39B4A3"/>
    <w:rsid w:val="5F3CA579"/>
    <w:rsid w:val="5F3E2552"/>
    <w:rsid w:val="5F414AD4"/>
    <w:rsid w:val="5F433BAF"/>
    <w:rsid w:val="5F44B380"/>
    <w:rsid w:val="5F4A1414"/>
    <w:rsid w:val="5F4C67A4"/>
    <w:rsid w:val="5F4ED983"/>
    <w:rsid w:val="5F509D4A"/>
    <w:rsid w:val="5F50B6F2"/>
    <w:rsid w:val="5F52DDAD"/>
    <w:rsid w:val="5F569762"/>
    <w:rsid w:val="5F5E8F6B"/>
    <w:rsid w:val="5F5F50D4"/>
    <w:rsid w:val="5F65D23D"/>
    <w:rsid w:val="5F6D1976"/>
    <w:rsid w:val="5F6EC971"/>
    <w:rsid w:val="5F70B09C"/>
    <w:rsid w:val="5F726333"/>
    <w:rsid w:val="5F72AB20"/>
    <w:rsid w:val="5F75A404"/>
    <w:rsid w:val="5F76519E"/>
    <w:rsid w:val="5F790250"/>
    <w:rsid w:val="5F7AA085"/>
    <w:rsid w:val="5F7AEF1F"/>
    <w:rsid w:val="5F7D8120"/>
    <w:rsid w:val="5F7EA1E0"/>
    <w:rsid w:val="5F7FA1CD"/>
    <w:rsid w:val="5F835BD8"/>
    <w:rsid w:val="5F845D2F"/>
    <w:rsid w:val="5F853A46"/>
    <w:rsid w:val="5F8E62BE"/>
    <w:rsid w:val="5F926D5F"/>
    <w:rsid w:val="5F9362DB"/>
    <w:rsid w:val="5F95C4B5"/>
    <w:rsid w:val="5F98377A"/>
    <w:rsid w:val="5F983C4A"/>
    <w:rsid w:val="5F99659F"/>
    <w:rsid w:val="5F9CED89"/>
    <w:rsid w:val="5F9D39DF"/>
    <w:rsid w:val="5F9F6E6E"/>
    <w:rsid w:val="5FA9320D"/>
    <w:rsid w:val="5FABEFC5"/>
    <w:rsid w:val="5FAD81E3"/>
    <w:rsid w:val="5FB231FB"/>
    <w:rsid w:val="5FB3CDEF"/>
    <w:rsid w:val="5FB45704"/>
    <w:rsid w:val="5FB794C1"/>
    <w:rsid w:val="5FBB5899"/>
    <w:rsid w:val="5FBC4F26"/>
    <w:rsid w:val="5FBEFB15"/>
    <w:rsid w:val="5FC20236"/>
    <w:rsid w:val="5FC24C3C"/>
    <w:rsid w:val="5FC3187A"/>
    <w:rsid w:val="5FC6F8CE"/>
    <w:rsid w:val="5FC72A81"/>
    <w:rsid w:val="5FC7B5E8"/>
    <w:rsid w:val="5FC9CA11"/>
    <w:rsid w:val="5FCB91FB"/>
    <w:rsid w:val="5FCC93ED"/>
    <w:rsid w:val="5FCFA41F"/>
    <w:rsid w:val="5FCFE0C0"/>
    <w:rsid w:val="5FD8E179"/>
    <w:rsid w:val="5FE05E51"/>
    <w:rsid w:val="5FE13E10"/>
    <w:rsid w:val="5FE178FA"/>
    <w:rsid w:val="5FE3CC81"/>
    <w:rsid w:val="5FE4557B"/>
    <w:rsid w:val="5FE7BA14"/>
    <w:rsid w:val="5FE8A24E"/>
    <w:rsid w:val="5FE9EF32"/>
    <w:rsid w:val="5FEC2F41"/>
    <w:rsid w:val="5FECF9DB"/>
    <w:rsid w:val="5FF07B5C"/>
    <w:rsid w:val="5FF0B9BC"/>
    <w:rsid w:val="5FF4B429"/>
    <w:rsid w:val="5FF50828"/>
    <w:rsid w:val="5FF609B5"/>
    <w:rsid w:val="5FF6D804"/>
    <w:rsid w:val="5FF6E1DA"/>
    <w:rsid w:val="5FF6E644"/>
    <w:rsid w:val="5FF712C0"/>
    <w:rsid w:val="5FFC6ACC"/>
    <w:rsid w:val="5FFDCB8D"/>
    <w:rsid w:val="6002AA0D"/>
    <w:rsid w:val="6004DAC0"/>
    <w:rsid w:val="6005001C"/>
    <w:rsid w:val="6005D81A"/>
    <w:rsid w:val="600D9EC6"/>
    <w:rsid w:val="600FE518"/>
    <w:rsid w:val="6010855E"/>
    <w:rsid w:val="6010AC10"/>
    <w:rsid w:val="6014F375"/>
    <w:rsid w:val="60171328"/>
    <w:rsid w:val="60172CE7"/>
    <w:rsid w:val="60176A62"/>
    <w:rsid w:val="6017D79F"/>
    <w:rsid w:val="601A56BC"/>
    <w:rsid w:val="601AA112"/>
    <w:rsid w:val="601B26C9"/>
    <w:rsid w:val="601B5591"/>
    <w:rsid w:val="601BFAF2"/>
    <w:rsid w:val="601EBD86"/>
    <w:rsid w:val="601FCE0D"/>
    <w:rsid w:val="60200D65"/>
    <w:rsid w:val="60223529"/>
    <w:rsid w:val="60231CB6"/>
    <w:rsid w:val="602529AA"/>
    <w:rsid w:val="60271498"/>
    <w:rsid w:val="602CFF38"/>
    <w:rsid w:val="60315201"/>
    <w:rsid w:val="603A2670"/>
    <w:rsid w:val="603BAC2B"/>
    <w:rsid w:val="603EE5CB"/>
    <w:rsid w:val="6047C246"/>
    <w:rsid w:val="604E2C0F"/>
    <w:rsid w:val="604EBA2A"/>
    <w:rsid w:val="60502CE5"/>
    <w:rsid w:val="6055D775"/>
    <w:rsid w:val="6055D975"/>
    <w:rsid w:val="6059A91D"/>
    <w:rsid w:val="605CC3B1"/>
    <w:rsid w:val="60605BF5"/>
    <w:rsid w:val="60607B7B"/>
    <w:rsid w:val="60628989"/>
    <w:rsid w:val="6063CA5C"/>
    <w:rsid w:val="6063D3BC"/>
    <w:rsid w:val="6068E3CE"/>
    <w:rsid w:val="60692761"/>
    <w:rsid w:val="6069C110"/>
    <w:rsid w:val="606E6B0D"/>
    <w:rsid w:val="60709CEC"/>
    <w:rsid w:val="60740755"/>
    <w:rsid w:val="6074AD42"/>
    <w:rsid w:val="60760C1B"/>
    <w:rsid w:val="607C8BD0"/>
    <w:rsid w:val="6080BBAB"/>
    <w:rsid w:val="6080D8EE"/>
    <w:rsid w:val="60824E98"/>
    <w:rsid w:val="60834E20"/>
    <w:rsid w:val="60870A49"/>
    <w:rsid w:val="6087FFA1"/>
    <w:rsid w:val="608A522F"/>
    <w:rsid w:val="608A9291"/>
    <w:rsid w:val="608F2782"/>
    <w:rsid w:val="609426DD"/>
    <w:rsid w:val="60954CE9"/>
    <w:rsid w:val="609701D9"/>
    <w:rsid w:val="609834F6"/>
    <w:rsid w:val="609D6AED"/>
    <w:rsid w:val="60A0E025"/>
    <w:rsid w:val="60A1FEBD"/>
    <w:rsid w:val="60A3E0D9"/>
    <w:rsid w:val="60A62BE6"/>
    <w:rsid w:val="60A84137"/>
    <w:rsid w:val="60A89C7B"/>
    <w:rsid w:val="60AB8CFD"/>
    <w:rsid w:val="60AD304E"/>
    <w:rsid w:val="60AE597C"/>
    <w:rsid w:val="60AEA4CE"/>
    <w:rsid w:val="60AEC32C"/>
    <w:rsid w:val="60B1A9EA"/>
    <w:rsid w:val="60B4DB4A"/>
    <w:rsid w:val="60B707FA"/>
    <w:rsid w:val="60B84625"/>
    <w:rsid w:val="60BA7350"/>
    <w:rsid w:val="60BA9254"/>
    <w:rsid w:val="60BB06EF"/>
    <w:rsid w:val="60BB1684"/>
    <w:rsid w:val="60BBACF0"/>
    <w:rsid w:val="60BF7744"/>
    <w:rsid w:val="60BF8D0B"/>
    <w:rsid w:val="60BFD19B"/>
    <w:rsid w:val="60C03953"/>
    <w:rsid w:val="60C96CCB"/>
    <w:rsid w:val="60C9B697"/>
    <w:rsid w:val="60CC449E"/>
    <w:rsid w:val="60CFE3C7"/>
    <w:rsid w:val="60CFF7AB"/>
    <w:rsid w:val="60D3C55F"/>
    <w:rsid w:val="60D68730"/>
    <w:rsid w:val="60D91C03"/>
    <w:rsid w:val="60DB125E"/>
    <w:rsid w:val="60DBD76F"/>
    <w:rsid w:val="60DD02AF"/>
    <w:rsid w:val="60DE504D"/>
    <w:rsid w:val="60E2C6A7"/>
    <w:rsid w:val="60EE3A94"/>
    <w:rsid w:val="60EED02B"/>
    <w:rsid w:val="60EEF54A"/>
    <w:rsid w:val="60F0F00E"/>
    <w:rsid w:val="60F38F93"/>
    <w:rsid w:val="60F4F048"/>
    <w:rsid w:val="60F50AF3"/>
    <w:rsid w:val="60F7CE88"/>
    <w:rsid w:val="60F9B26D"/>
    <w:rsid w:val="60FA1737"/>
    <w:rsid w:val="60FBD9DD"/>
    <w:rsid w:val="60FD64F9"/>
    <w:rsid w:val="60FDE1C2"/>
    <w:rsid w:val="6100DD41"/>
    <w:rsid w:val="61025DB2"/>
    <w:rsid w:val="61051811"/>
    <w:rsid w:val="61052341"/>
    <w:rsid w:val="6106EDC5"/>
    <w:rsid w:val="610785BC"/>
    <w:rsid w:val="61083D1C"/>
    <w:rsid w:val="61091BCA"/>
    <w:rsid w:val="610A6951"/>
    <w:rsid w:val="610FC6E1"/>
    <w:rsid w:val="61109327"/>
    <w:rsid w:val="6112F2D3"/>
    <w:rsid w:val="611337B3"/>
    <w:rsid w:val="6113438A"/>
    <w:rsid w:val="6113D539"/>
    <w:rsid w:val="6117DD99"/>
    <w:rsid w:val="611A1CA6"/>
    <w:rsid w:val="6121978F"/>
    <w:rsid w:val="61245853"/>
    <w:rsid w:val="61247690"/>
    <w:rsid w:val="612ADFDE"/>
    <w:rsid w:val="612F7A4D"/>
    <w:rsid w:val="61307542"/>
    <w:rsid w:val="613358B9"/>
    <w:rsid w:val="6137BDFE"/>
    <w:rsid w:val="61384BC9"/>
    <w:rsid w:val="6138572E"/>
    <w:rsid w:val="61396817"/>
    <w:rsid w:val="6139B37C"/>
    <w:rsid w:val="613E68FD"/>
    <w:rsid w:val="613E80CA"/>
    <w:rsid w:val="6141A3A5"/>
    <w:rsid w:val="61421D9C"/>
    <w:rsid w:val="61425BD3"/>
    <w:rsid w:val="6144F73E"/>
    <w:rsid w:val="61479624"/>
    <w:rsid w:val="6149EC8A"/>
    <w:rsid w:val="614B9D6E"/>
    <w:rsid w:val="614DDD9E"/>
    <w:rsid w:val="614DDDB3"/>
    <w:rsid w:val="614E2B28"/>
    <w:rsid w:val="6150E20D"/>
    <w:rsid w:val="61554574"/>
    <w:rsid w:val="615775BF"/>
    <w:rsid w:val="61577AA6"/>
    <w:rsid w:val="6159D8B5"/>
    <w:rsid w:val="6159FC59"/>
    <w:rsid w:val="615C7219"/>
    <w:rsid w:val="615D936E"/>
    <w:rsid w:val="615EC8B3"/>
    <w:rsid w:val="616128F4"/>
    <w:rsid w:val="616235D2"/>
    <w:rsid w:val="61670B99"/>
    <w:rsid w:val="61677449"/>
    <w:rsid w:val="61697F84"/>
    <w:rsid w:val="616F1FA1"/>
    <w:rsid w:val="61716631"/>
    <w:rsid w:val="6171B02B"/>
    <w:rsid w:val="6172BE5D"/>
    <w:rsid w:val="61738702"/>
    <w:rsid w:val="61741695"/>
    <w:rsid w:val="61749C50"/>
    <w:rsid w:val="61783B54"/>
    <w:rsid w:val="61788AAE"/>
    <w:rsid w:val="617B4E6C"/>
    <w:rsid w:val="617F8F43"/>
    <w:rsid w:val="6183BBF2"/>
    <w:rsid w:val="618531B5"/>
    <w:rsid w:val="618565D1"/>
    <w:rsid w:val="6188244E"/>
    <w:rsid w:val="618A719F"/>
    <w:rsid w:val="618A83FD"/>
    <w:rsid w:val="618C19CE"/>
    <w:rsid w:val="618E6485"/>
    <w:rsid w:val="6193481D"/>
    <w:rsid w:val="619498BD"/>
    <w:rsid w:val="61957B53"/>
    <w:rsid w:val="6197BE9E"/>
    <w:rsid w:val="6199F8EC"/>
    <w:rsid w:val="619A4A0F"/>
    <w:rsid w:val="619AEF50"/>
    <w:rsid w:val="619CBA7E"/>
    <w:rsid w:val="61A6CC3B"/>
    <w:rsid w:val="61A6E379"/>
    <w:rsid w:val="61A6E59F"/>
    <w:rsid w:val="61AA7E5A"/>
    <w:rsid w:val="61AC39F4"/>
    <w:rsid w:val="61B1146A"/>
    <w:rsid w:val="61B48920"/>
    <w:rsid w:val="61B979A0"/>
    <w:rsid w:val="61BA3CF8"/>
    <w:rsid w:val="61BA4993"/>
    <w:rsid w:val="61BE6E6D"/>
    <w:rsid w:val="61C0B8B3"/>
    <w:rsid w:val="61C28227"/>
    <w:rsid w:val="61C389A4"/>
    <w:rsid w:val="61C3B0DB"/>
    <w:rsid w:val="61C4FD92"/>
    <w:rsid w:val="61CDBDD2"/>
    <w:rsid w:val="61CFDE61"/>
    <w:rsid w:val="61D076C5"/>
    <w:rsid w:val="61D2A87B"/>
    <w:rsid w:val="61D48C2C"/>
    <w:rsid w:val="61D50C97"/>
    <w:rsid w:val="61D59A8B"/>
    <w:rsid w:val="61D778A0"/>
    <w:rsid w:val="61DB9E21"/>
    <w:rsid w:val="61DDCDC9"/>
    <w:rsid w:val="61DF0ACD"/>
    <w:rsid w:val="61E38427"/>
    <w:rsid w:val="61E3B6AA"/>
    <w:rsid w:val="61E5D171"/>
    <w:rsid w:val="61E71991"/>
    <w:rsid w:val="61E72F8D"/>
    <w:rsid w:val="61E7D44F"/>
    <w:rsid w:val="61E840BC"/>
    <w:rsid w:val="61EA8917"/>
    <w:rsid w:val="61EB5B79"/>
    <w:rsid w:val="61EB9B4E"/>
    <w:rsid w:val="61EC0AA2"/>
    <w:rsid w:val="61EF9145"/>
    <w:rsid w:val="61F555B0"/>
    <w:rsid w:val="61FC5E70"/>
    <w:rsid w:val="61FD7BEE"/>
    <w:rsid w:val="61FE0204"/>
    <w:rsid w:val="61FFDD90"/>
    <w:rsid w:val="62043932"/>
    <w:rsid w:val="62087809"/>
    <w:rsid w:val="6208EDAE"/>
    <w:rsid w:val="620C5DF7"/>
    <w:rsid w:val="620DC72E"/>
    <w:rsid w:val="6211D379"/>
    <w:rsid w:val="6212DE20"/>
    <w:rsid w:val="621682C9"/>
    <w:rsid w:val="621A1F90"/>
    <w:rsid w:val="621E810C"/>
    <w:rsid w:val="621EA927"/>
    <w:rsid w:val="621F635E"/>
    <w:rsid w:val="622BA3BA"/>
    <w:rsid w:val="622DAF06"/>
    <w:rsid w:val="622DF1BC"/>
    <w:rsid w:val="622E1831"/>
    <w:rsid w:val="622F1A7C"/>
    <w:rsid w:val="62301490"/>
    <w:rsid w:val="6231AAE1"/>
    <w:rsid w:val="62349C6F"/>
    <w:rsid w:val="62368D56"/>
    <w:rsid w:val="62371F48"/>
    <w:rsid w:val="6238AA77"/>
    <w:rsid w:val="62401708"/>
    <w:rsid w:val="6245E7F4"/>
    <w:rsid w:val="6246B396"/>
    <w:rsid w:val="62494E18"/>
    <w:rsid w:val="624B299E"/>
    <w:rsid w:val="624CAA39"/>
    <w:rsid w:val="624FE184"/>
    <w:rsid w:val="62502AC6"/>
    <w:rsid w:val="6251558D"/>
    <w:rsid w:val="62517E28"/>
    <w:rsid w:val="6251DBDE"/>
    <w:rsid w:val="625527C1"/>
    <w:rsid w:val="62572DD8"/>
    <w:rsid w:val="6258739E"/>
    <w:rsid w:val="625D5627"/>
    <w:rsid w:val="625EB246"/>
    <w:rsid w:val="625F385F"/>
    <w:rsid w:val="625FB8F9"/>
    <w:rsid w:val="62629B13"/>
    <w:rsid w:val="62663AB2"/>
    <w:rsid w:val="62668CA4"/>
    <w:rsid w:val="62674C69"/>
    <w:rsid w:val="6267B00B"/>
    <w:rsid w:val="6267F922"/>
    <w:rsid w:val="626AAEA0"/>
    <w:rsid w:val="626BB432"/>
    <w:rsid w:val="626C63C5"/>
    <w:rsid w:val="626E5557"/>
    <w:rsid w:val="626F1AE4"/>
    <w:rsid w:val="6270C14E"/>
    <w:rsid w:val="62723513"/>
    <w:rsid w:val="6276BBF3"/>
    <w:rsid w:val="62782FAA"/>
    <w:rsid w:val="62794391"/>
    <w:rsid w:val="627AB979"/>
    <w:rsid w:val="627D756F"/>
    <w:rsid w:val="628023CC"/>
    <w:rsid w:val="62821AB8"/>
    <w:rsid w:val="6282472F"/>
    <w:rsid w:val="6283FC84"/>
    <w:rsid w:val="628548DD"/>
    <w:rsid w:val="6286CDCE"/>
    <w:rsid w:val="62884BAE"/>
    <w:rsid w:val="628DEE7F"/>
    <w:rsid w:val="6290BC78"/>
    <w:rsid w:val="629352BD"/>
    <w:rsid w:val="62954381"/>
    <w:rsid w:val="62954514"/>
    <w:rsid w:val="629E6617"/>
    <w:rsid w:val="62A5564A"/>
    <w:rsid w:val="62AA6A0D"/>
    <w:rsid w:val="62AA9362"/>
    <w:rsid w:val="62AAB6B9"/>
    <w:rsid w:val="62AEB84E"/>
    <w:rsid w:val="62AEF187"/>
    <w:rsid w:val="62AF5117"/>
    <w:rsid w:val="62B36DD4"/>
    <w:rsid w:val="62B8DFB7"/>
    <w:rsid w:val="62BA169A"/>
    <w:rsid w:val="62BB65A3"/>
    <w:rsid w:val="62BC4B38"/>
    <w:rsid w:val="62C35961"/>
    <w:rsid w:val="62C8604C"/>
    <w:rsid w:val="62DB1E36"/>
    <w:rsid w:val="62DD2276"/>
    <w:rsid w:val="62DEAED2"/>
    <w:rsid w:val="62E26903"/>
    <w:rsid w:val="62E307E7"/>
    <w:rsid w:val="62E4413C"/>
    <w:rsid w:val="62E8F3C6"/>
    <w:rsid w:val="62E96EE6"/>
    <w:rsid w:val="62ECD800"/>
    <w:rsid w:val="62ECFBA2"/>
    <w:rsid w:val="62EF750A"/>
    <w:rsid w:val="62F1A947"/>
    <w:rsid w:val="62F1D03C"/>
    <w:rsid w:val="62F5FE62"/>
    <w:rsid w:val="62F79A48"/>
    <w:rsid w:val="62F99859"/>
    <w:rsid w:val="62FB6C1D"/>
    <w:rsid w:val="6303ACA2"/>
    <w:rsid w:val="630F4E6A"/>
    <w:rsid w:val="63134806"/>
    <w:rsid w:val="63141281"/>
    <w:rsid w:val="6314B510"/>
    <w:rsid w:val="6316DEE7"/>
    <w:rsid w:val="6317393D"/>
    <w:rsid w:val="631CEBF9"/>
    <w:rsid w:val="631CFDD1"/>
    <w:rsid w:val="631FF096"/>
    <w:rsid w:val="6327DE05"/>
    <w:rsid w:val="632A3B6E"/>
    <w:rsid w:val="632D987A"/>
    <w:rsid w:val="632E7FEC"/>
    <w:rsid w:val="63348D7C"/>
    <w:rsid w:val="6337511C"/>
    <w:rsid w:val="633860AB"/>
    <w:rsid w:val="633B93A0"/>
    <w:rsid w:val="633CB937"/>
    <w:rsid w:val="634038B2"/>
    <w:rsid w:val="6340511E"/>
    <w:rsid w:val="6341CFDC"/>
    <w:rsid w:val="6344BF2E"/>
    <w:rsid w:val="63457C12"/>
    <w:rsid w:val="634D0685"/>
    <w:rsid w:val="634EC207"/>
    <w:rsid w:val="63521C28"/>
    <w:rsid w:val="63531002"/>
    <w:rsid w:val="63543A3A"/>
    <w:rsid w:val="63567794"/>
    <w:rsid w:val="63579F36"/>
    <w:rsid w:val="635F226A"/>
    <w:rsid w:val="635F8469"/>
    <w:rsid w:val="6362CB28"/>
    <w:rsid w:val="63679A7B"/>
    <w:rsid w:val="636B509B"/>
    <w:rsid w:val="636B537D"/>
    <w:rsid w:val="636C3DBD"/>
    <w:rsid w:val="636D0074"/>
    <w:rsid w:val="636DB448"/>
    <w:rsid w:val="6372BC59"/>
    <w:rsid w:val="6376F66B"/>
    <w:rsid w:val="637D2631"/>
    <w:rsid w:val="638B0C8D"/>
    <w:rsid w:val="638E1006"/>
    <w:rsid w:val="6392E49C"/>
    <w:rsid w:val="63934517"/>
    <w:rsid w:val="639799A0"/>
    <w:rsid w:val="6398EBA8"/>
    <w:rsid w:val="63995F8C"/>
    <w:rsid w:val="639DF6F5"/>
    <w:rsid w:val="639F21C1"/>
    <w:rsid w:val="63A34AC6"/>
    <w:rsid w:val="63A75EE2"/>
    <w:rsid w:val="63ABBD78"/>
    <w:rsid w:val="63AD85B4"/>
    <w:rsid w:val="63AFE211"/>
    <w:rsid w:val="63B0E42A"/>
    <w:rsid w:val="63B11888"/>
    <w:rsid w:val="63B168CF"/>
    <w:rsid w:val="63B5D4D2"/>
    <w:rsid w:val="63B81707"/>
    <w:rsid w:val="63BCC9FE"/>
    <w:rsid w:val="63BD0836"/>
    <w:rsid w:val="63BD3858"/>
    <w:rsid w:val="63C5B479"/>
    <w:rsid w:val="63C8C3BD"/>
    <w:rsid w:val="63C90579"/>
    <w:rsid w:val="63CA625C"/>
    <w:rsid w:val="63CAC6DD"/>
    <w:rsid w:val="63CB19B8"/>
    <w:rsid w:val="63CC9C9A"/>
    <w:rsid w:val="63CFA6D9"/>
    <w:rsid w:val="63D0CF95"/>
    <w:rsid w:val="63D1B24C"/>
    <w:rsid w:val="63D40F9B"/>
    <w:rsid w:val="63DDA7AF"/>
    <w:rsid w:val="63DE3507"/>
    <w:rsid w:val="63DEDCBF"/>
    <w:rsid w:val="63E229D3"/>
    <w:rsid w:val="63E819AC"/>
    <w:rsid w:val="63EBDCC7"/>
    <w:rsid w:val="63EC5D88"/>
    <w:rsid w:val="63F5B368"/>
    <w:rsid w:val="63F6EE14"/>
    <w:rsid w:val="63F79824"/>
    <w:rsid w:val="63FF85B7"/>
    <w:rsid w:val="640058E6"/>
    <w:rsid w:val="64010D62"/>
    <w:rsid w:val="6401D7D8"/>
    <w:rsid w:val="640A4C5A"/>
    <w:rsid w:val="640BEF56"/>
    <w:rsid w:val="640F17DF"/>
    <w:rsid w:val="640FDD41"/>
    <w:rsid w:val="641185B4"/>
    <w:rsid w:val="6417C060"/>
    <w:rsid w:val="6418853E"/>
    <w:rsid w:val="6419EF6B"/>
    <w:rsid w:val="641C8479"/>
    <w:rsid w:val="641D66ED"/>
    <w:rsid w:val="641D911F"/>
    <w:rsid w:val="641E6428"/>
    <w:rsid w:val="641F071F"/>
    <w:rsid w:val="641F3DA7"/>
    <w:rsid w:val="64289135"/>
    <w:rsid w:val="6429B379"/>
    <w:rsid w:val="6429E219"/>
    <w:rsid w:val="642AEE55"/>
    <w:rsid w:val="642C4D58"/>
    <w:rsid w:val="643018A5"/>
    <w:rsid w:val="64323A34"/>
    <w:rsid w:val="64333236"/>
    <w:rsid w:val="64341F30"/>
    <w:rsid w:val="643505AD"/>
    <w:rsid w:val="64366305"/>
    <w:rsid w:val="6436F995"/>
    <w:rsid w:val="64399D63"/>
    <w:rsid w:val="643A4ACB"/>
    <w:rsid w:val="643B84D4"/>
    <w:rsid w:val="643CD0FC"/>
    <w:rsid w:val="643D47B9"/>
    <w:rsid w:val="6441EFB8"/>
    <w:rsid w:val="6443EEE3"/>
    <w:rsid w:val="6443FB5C"/>
    <w:rsid w:val="645021CC"/>
    <w:rsid w:val="64528037"/>
    <w:rsid w:val="645310C2"/>
    <w:rsid w:val="645365D4"/>
    <w:rsid w:val="6455E8D1"/>
    <w:rsid w:val="6456C7AC"/>
    <w:rsid w:val="645AB581"/>
    <w:rsid w:val="645AE639"/>
    <w:rsid w:val="645B5321"/>
    <w:rsid w:val="645F08BC"/>
    <w:rsid w:val="646742B7"/>
    <w:rsid w:val="64695F11"/>
    <w:rsid w:val="646A3F2A"/>
    <w:rsid w:val="646AD487"/>
    <w:rsid w:val="646D4D6D"/>
    <w:rsid w:val="646E51CF"/>
    <w:rsid w:val="646EDB71"/>
    <w:rsid w:val="647100A0"/>
    <w:rsid w:val="64711EF1"/>
    <w:rsid w:val="6471A379"/>
    <w:rsid w:val="64773D4B"/>
    <w:rsid w:val="647A91A1"/>
    <w:rsid w:val="6481E478"/>
    <w:rsid w:val="64862248"/>
    <w:rsid w:val="64872745"/>
    <w:rsid w:val="648A47BF"/>
    <w:rsid w:val="648B68C5"/>
    <w:rsid w:val="648D1FC3"/>
    <w:rsid w:val="6490781A"/>
    <w:rsid w:val="6490A419"/>
    <w:rsid w:val="6491F8C4"/>
    <w:rsid w:val="6497E58A"/>
    <w:rsid w:val="649871F6"/>
    <w:rsid w:val="649DC27B"/>
    <w:rsid w:val="64A42C97"/>
    <w:rsid w:val="64A5365F"/>
    <w:rsid w:val="64A5C3EF"/>
    <w:rsid w:val="64A619A9"/>
    <w:rsid w:val="64A6B64C"/>
    <w:rsid w:val="64A85F95"/>
    <w:rsid w:val="64A9DEE3"/>
    <w:rsid w:val="64A9F29D"/>
    <w:rsid w:val="64AA4A58"/>
    <w:rsid w:val="64AF3DAF"/>
    <w:rsid w:val="64AFE0F0"/>
    <w:rsid w:val="64B14409"/>
    <w:rsid w:val="64B3A924"/>
    <w:rsid w:val="64B43824"/>
    <w:rsid w:val="64B47C9D"/>
    <w:rsid w:val="64B5C697"/>
    <w:rsid w:val="64B6C306"/>
    <w:rsid w:val="64BB94F9"/>
    <w:rsid w:val="64BCC25E"/>
    <w:rsid w:val="64BE35C7"/>
    <w:rsid w:val="64BE51F8"/>
    <w:rsid w:val="64C0156E"/>
    <w:rsid w:val="64CA0D4D"/>
    <w:rsid w:val="64CEC054"/>
    <w:rsid w:val="64D011F8"/>
    <w:rsid w:val="64D0BF64"/>
    <w:rsid w:val="64D2C6F8"/>
    <w:rsid w:val="64D2DBCC"/>
    <w:rsid w:val="64D3DEF4"/>
    <w:rsid w:val="64D71E9D"/>
    <w:rsid w:val="64D81D84"/>
    <w:rsid w:val="64DAC79F"/>
    <w:rsid w:val="64DDF466"/>
    <w:rsid w:val="64DEA276"/>
    <w:rsid w:val="64E439C9"/>
    <w:rsid w:val="64E56E78"/>
    <w:rsid w:val="64E6C931"/>
    <w:rsid w:val="64E73B42"/>
    <w:rsid w:val="64E80981"/>
    <w:rsid w:val="64E98D24"/>
    <w:rsid w:val="64EE2EC4"/>
    <w:rsid w:val="64F13767"/>
    <w:rsid w:val="64F3DF4B"/>
    <w:rsid w:val="64FA9D35"/>
    <w:rsid w:val="64FC38A8"/>
    <w:rsid w:val="64FC7CEE"/>
    <w:rsid w:val="64FE5D84"/>
    <w:rsid w:val="64FE61F3"/>
    <w:rsid w:val="64FF7476"/>
    <w:rsid w:val="6501D931"/>
    <w:rsid w:val="65086264"/>
    <w:rsid w:val="6508AAFB"/>
    <w:rsid w:val="650C8FF1"/>
    <w:rsid w:val="6512E7E4"/>
    <w:rsid w:val="6513A759"/>
    <w:rsid w:val="6513B3BE"/>
    <w:rsid w:val="6517FD29"/>
    <w:rsid w:val="651990F0"/>
    <w:rsid w:val="651C36AF"/>
    <w:rsid w:val="65226EE3"/>
    <w:rsid w:val="65262905"/>
    <w:rsid w:val="6526C088"/>
    <w:rsid w:val="6527ED4F"/>
    <w:rsid w:val="65284739"/>
    <w:rsid w:val="652880F6"/>
    <w:rsid w:val="652B9E09"/>
    <w:rsid w:val="653CFB53"/>
    <w:rsid w:val="653E9449"/>
    <w:rsid w:val="6540967D"/>
    <w:rsid w:val="6542C631"/>
    <w:rsid w:val="654654C3"/>
    <w:rsid w:val="6547F6F8"/>
    <w:rsid w:val="654D14E6"/>
    <w:rsid w:val="654EDDDE"/>
    <w:rsid w:val="6550C113"/>
    <w:rsid w:val="6555570A"/>
    <w:rsid w:val="6555E388"/>
    <w:rsid w:val="655ABC48"/>
    <w:rsid w:val="655C3F4B"/>
    <w:rsid w:val="655F99C1"/>
    <w:rsid w:val="65600B62"/>
    <w:rsid w:val="6560405D"/>
    <w:rsid w:val="6562FC8C"/>
    <w:rsid w:val="6568EAF7"/>
    <w:rsid w:val="65698E74"/>
    <w:rsid w:val="656D3EAC"/>
    <w:rsid w:val="656DDB1E"/>
    <w:rsid w:val="657001E6"/>
    <w:rsid w:val="65715812"/>
    <w:rsid w:val="65720081"/>
    <w:rsid w:val="6572CE5D"/>
    <w:rsid w:val="6573B537"/>
    <w:rsid w:val="6576C268"/>
    <w:rsid w:val="6578736E"/>
    <w:rsid w:val="65799B84"/>
    <w:rsid w:val="657E5B13"/>
    <w:rsid w:val="657EFD8E"/>
    <w:rsid w:val="657FA837"/>
    <w:rsid w:val="65802404"/>
    <w:rsid w:val="65819902"/>
    <w:rsid w:val="6581F183"/>
    <w:rsid w:val="65825820"/>
    <w:rsid w:val="65898013"/>
    <w:rsid w:val="6589BC0C"/>
    <w:rsid w:val="658ACBB4"/>
    <w:rsid w:val="658BEDC7"/>
    <w:rsid w:val="658C9F42"/>
    <w:rsid w:val="658D9B0D"/>
    <w:rsid w:val="658DA8DD"/>
    <w:rsid w:val="659664EA"/>
    <w:rsid w:val="6596DA95"/>
    <w:rsid w:val="659BF0CD"/>
    <w:rsid w:val="659DB013"/>
    <w:rsid w:val="65A1D931"/>
    <w:rsid w:val="65A3F438"/>
    <w:rsid w:val="65A469EB"/>
    <w:rsid w:val="65A61341"/>
    <w:rsid w:val="65A6B20A"/>
    <w:rsid w:val="65A6C706"/>
    <w:rsid w:val="65ACA09D"/>
    <w:rsid w:val="65ACC6B8"/>
    <w:rsid w:val="65AD0048"/>
    <w:rsid w:val="65B0A529"/>
    <w:rsid w:val="65B0C1BA"/>
    <w:rsid w:val="65B4221A"/>
    <w:rsid w:val="65B5558B"/>
    <w:rsid w:val="65B84D63"/>
    <w:rsid w:val="65BA064C"/>
    <w:rsid w:val="65BC6440"/>
    <w:rsid w:val="65BD3BE3"/>
    <w:rsid w:val="65C3AE92"/>
    <w:rsid w:val="65C4259E"/>
    <w:rsid w:val="65C4E9E0"/>
    <w:rsid w:val="65C95994"/>
    <w:rsid w:val="65CAE03F"/>
    <w:rsid w:val="65CC696E"/>
    <w:rsid w:val="65CFE71D"/>
    <w:rsid w:val="65D2D132"/>
    <w:rsid w:val="65D30CD9"/>
    <w:rsid w:val="65D3C6F2"/>
    <w:rsid w:val="65D808EA"/>
    <w:rsid w:val="65DE5377"/>
    <w:rsid w:val="65E15D7A"/>
    <w:rsid w:val="65E1ABFF"/>
    <w:rsid w:val="65E2C7B3"/>
    <w:rsid w:val="65E4672C"/>
    <w:rsid w:val="65E751CE"/>
    <w:rsid w:val="65EDAB07"/>
    <w:rsid w:val="65EF7F38"/>
    <w:rsid w:val="65EFF4C5"/>
    <w:rsid w:val="65F0571B"/>
    <w:rsid w:val="65F0EDB4"/>
    <w:rsid w:val="65F5968A"/>
    <w:rsid w:val="65F9C6E2"/>
    <w:rsid w:val="65F9D60F"/>
    <w:rsid w:val="65FB60B0"/>
    <w:rsid w:val="660000B3"/>
    <w:rsid w:val="66008761"/>
    <w:rsid w:val="66071B45"/>
    <w:rsid w:val="66072299"/>
    <w:rsid w:val="66096363"/>
    <w:rsid w:val="6609FA2D"/>
    <w:rsid w:val="660BA96B"/>
    <w:rsid w:val="660D1126"/>
    <w:rsid w:val="6611FF3C"/>
    <w:rsid w:val="66129224"/>
    <w:rsid w:val="661A4B53"/>
    <w:rsid w:val="661A5E76"/>
    <w:rsid w:val="661ACDCB"/>
    <w:rsid w:val="661B039D"/>
    <w:rsid w:val="661D161E"/>
    <w:rsid w:val="6620889F"/>
    <w:rsid w:val="6620AF2E"/>
    <w:rsid w:val="66218F2C"/>
    <w:rsid w:val="6622D69F"/>
    <w:rsid w:val="66235034"/>
    <w:rsid w:val="6623E5B8"/>
    <w:rsid w:val="66244ECD"/>
    <w:rsid w:val="66271881"/>
    <w:rsid w:val="662925EA"/>
    <w:rsid w:val="6629A438"/>
    <w:rsid w:val="662C9D31"/>
    <w:rsid w:val="662D5E70"/>
    <w:rsid w:val="662DF68B"/>
    <w:rsid w:val="662E4BDF"/>
    <w:rsid w:val="662E79DD"/>
    <w:rsid w:val="662EFEF6"/>
    <w:rsid w:val="663205FE"/>
    <w:rsid w:val="66327754"/>
    <w:rsid w:val="66328166"/>
    <w:rsid w:val="6638E55A"/>
    <w:rsid w:val="663C8D0C"/>
    <w:rsid w:val="66405045"/>
    <w:rsid w:val="6641458E"/>
    <w:rsid w:val="6645662C"/>
    <w:rsid w:val="6646A115"/>
    <w:rsid w:val="6648EF70"/>
    <w:rsid w:val="6649AF4D"/>
    <w:rsid w:val="664C65EC"/>
    <w:rsid w:val="664FE5C4"/>
    <w:rsid w:val="6650C2A1"/>
    <w:rsid w:val="66562DA2"/>
    <w:rsid w:val="6656848D"/>
    <w:rsid w:val="6656A00F"/>
    <w:rsid w:val="6658AE41"/>
    <w:rsid w:val="665A93C7"/>
    <w:rsid w:val="665B397D"/>
    <w:rsid w:val="66608046"/>
    <w:rsid w:val="6660A16A"/>
    <w:rsid w:val="66647AD8"/>
    <w:rsid w:val="666598FE"/>
    <w:rsid w:val="66669104"/>
    <w:rsid w:val="6669845D"/>
    <w:rsid w:val="6669FEB6"/>
    <w:rsid w:val="666C25E6"/>
    <w:rsid w:val="6675E654"/>
    <w:rsid w:val="667631A7"/>
    <w:rsid w:val="6679B8E5"/>
    <w:rsid w:val="667BD7E3"/>
    <w:rsid w:val="667F2462"/>
    <w:rsid w:val="667FFBA3"/>
    <w:rsid w:val="6685F491"/>
    <w:rsid w:val="668A3518"/>
    <w:rsid w:val="668E66CA"/>
    <w:rsid w:val="668F5F18"/>
    <w:rsid w:val="6696DC78"/>
    <w:rsid w:val="669ACEF4"/>
    <w:rsid w:val="669B45FA"/>
    <w:rsid w:val="669C6C68"/>
    <w:rsid w:val="669DD4BC"/>
    <w:rsid w:val="669EC25E"/>
    <w:rsid w:val="66A607EC"/>
    <w:rsid w:val="66B0E4D2"/>
    <w:rsid w:val="66B10C7A"/>
    <w:rsid w:val="66B1A4F1"/>
    <w:rsid w:val="66B519A0"/>
    <w:rsid w:val="66B5883E"/>
    <w:rsid w:val="66B598B1"/>
    <w:rsid w:val="66B63CF5"/>
    <w:rsid w:val="66B6B5E1"/>
    <w:rsid w:val="66B90EF9"/>
    <w:rsid w:val="66BA7ED2"/>
    <w:rsid w:val="66C5FE93"/>
    <w:rsid w:val="66C6522B"/>
    <w:rsid w:val="66C6B5D7"/>
    <w:rsid w:val="66CA2998"/>
    <w:rsid w:val="66CDC1DC"/>
    <w:rsid w:val="66CEFF04"/>
    <w:rsid w:val="66D4E286"/>
    <w:rsid w:val="66D716F0"/>
    <w:rsid w:val="66D82D13"/>
    <w:rsid w:val="66D9B36D"/>
    <w:rsid w:val="66DA4590"/>
    <w:rsid w:val="66DB0034"/>
    <w:rsid w:val="66DD2C1F"/>
    <w:rsid w:val="66E51E7F"/>
    <w:rsid w:val="66E57BE6"/>
    <w:rsid w:val="66E5D178"/>
    <w:rsid w:val="66E5F764"/>
    <w:rsid w:val="66EA95EF"/>
    <w:rsid w:val="66EB09B4"/>
    <w:rsid w:val="66EC5D67"/>
    <w:rsid w:val="66EDCAC5"/>
    <w:rsid w:val="66F1A253"/>
    <w:rsid w:val="66F33060"/>
    <w:rsid w:val="66F495BC"/>
    <w:rsid w:val="66F5FAD1"/>
    <w:rsid w:val="66F70920"/>
    <w:rsid w:val="66F7F07E"/>
    <w:rsid w:val="66F954FD"/>
    <w:rsid w:val="66FB440A"/>
    <w:rsid w:val="6701EFC0"/>
    <w:rsid w:val="6702AE46"/>
    <w:rsid w:val="6702B14D"/>
    <w:rsid w:val="6702C0F7"/>
    <w:rsid w:val="67054D1D"/>
    <w:rsid w:val="67069968"/>
    <w:rsid w:val="67072D58"/>
    <w:rsid w:val="670E2DDE"/>
    <w:rsid w:val="670E4BB7"/>
    <w:rsid w:val="670E8CC9"/>
    <w:rsid w:val="670EB5D2"/>
    <w:rsid w:val="670EEEB2"/>
    <w:rsid w:val="67103345"/>
    <w:rsid w:val="6712A9D1"/>
    <w:rsid w:val="67149CFF"/>
    <w:rsid w:val="671A372A"/>
    <w:rsid w:val="671AAD70"/>
    <w:rsid w:val="671C168F"/>
    <w:rsid w:val="671C366B"/>
    <w:rsid w:val="671C7937"/>
    <w:rsid w:val="671EDC04"/>
    <w:rsid w:val="67234284"/>
    <w:rsid w:val="672FE69F"/>
    <w:rsid w:val="67324E9F"/>
    <w:rsid w:val="6734007B"/>
    <w:rsid w:val="673738DB"/>
    <w:rsid w:val="674122BB"/>
    <w:rsid w:val="674579D8"/>
    <w:rsid w:val="6746C4D8"/>
    <w:rsid w:val="6746DDD1"/>
    <w:rsid w:val="674ADA8C"/>
    <w:rsid w:val="674BED64"/>
    <w:rsid w:val="674FFA6B"/>
    <w:rsid w:val="6750ED62"/>
    <w:rsid w:val="67524AD0"/>
    <w:rsid w:val="6752CCEE"/>
    <w:rsid w:val="6754DF20"/>
    <w:rsid w:val="67591ACA"/>
    <w:rsid w:val="67599D17"/>
    <w:rsid w:val="6759F0DA"/>
    <w:rsid w:val="675C2CCC"/>
    <w:rsid w:val="675E282F"/>
    <w:rsid w:val="675EE2CE"/>
    <w:rsid w:val="675F5B50"/>
    <w:rsid w:val="6760D07E"/>
    <w:rsid w:val="676306C4"/>
    <w:rsid w:val="67632828"/>
    <w:rsid w:val="6763A41B"/>
    <w:rsid w:val="67684997"/>
    <w:rsid w:val="676B9ACB"/>
    <w:rsid w:val="676CF218"/>
    <w:rsid w:val="676D64D1"/>
    <w:rsid w:val="676FA65A"/>
    <w:rsid w:val="67716897"/>
    <w:rsid w:val="677402F1"/>
    <w:rsid w:val="67762C77"/>
    <w:rsid w:val="6776963D"/>
    <w:rsid w:val="6776D8A1"/>
    <w:rsid w:val="677F3547"/>
    <w:rsid w:val="6786796F"/>
    <w:rsid w:val="678BC18B"/>
    <w:rsid w:val="678EEF21"/>
    <w:rsid w:val="6791C46F"/>
    <w:rsid w:val="6792288E"/>
    <w:rsid w:val="67923827"/>
    <w:rsid w:val="6795CD03"/>
    <w:rsid w:val="67994571"/>
    <w:rsid w:val="679A34F3"/>
    <w:rsid w:val="679C4A02"/>
    <w:rsid w:val="679D6867"/>
    <w:rsid w:val="67A44654"/>
    <w:rsid w:val="67A670CA"/>
    <w:rsid w:val="67A6B2F8"/>
    <w:rsid w:val="67A72721"/>
    <w:rsid w:val="67A911B2"/>
    <w:rsid w:val="67AAB94E"/>
    <w:rsid w:val="67AC07E9"/>
    <w:rsid w:val="67ADFD4B"/>
    <w:rsid w:val="67AF31EF"/>
    <w:rsid w:val="67B00EE3"/>
    <w:rsid w:val="67B2B784"/>
    <w:rsid w:val="67B2C381"/>
    <w:rsid w:val="67B2D76E"/>
    <w:rsid w:val="67B480AE"/>
    <w:rsid w:val="67B5BCAA"/>
    <w:rsid w:val="67B63828"/>
    <w:rsid w:val="67B80EA3"/>
    <w:rsid w:val="67B819C7"/>
    <w:rsid w:val="67B8551D"/>
    <w:rsid w:val="67B9B196"/>
    <w:rsid w:val="67BEDCE6"/>
    <w:rsid w:val="67BFFB60"/>
    <w:rsid w:val="67C0FE42"/>
    <w:rsid w:val="67C3BDE3"/>
    <w:rsid w:val="67CA95BA"/>
    <w:rsid w:val="67CEAABC"/>
    <w:rsid w:val="67D417E1"/>
    <w:rsid w:val="67D44E23"/>
    <w:rsid w:val="67D523ED"/>
    <w:rsid w:val="67D52F2A"/>
    <w:rsid w:val="67D6F960"/>
    <w:rsid w:val="67E0A8EE"/>
    <w:rsid w:val="67E11E58"/>
    <w:rsid w:val="67E8C5C5"/>
    <w:rsid w:val="67EAC820"/>
    <w:rsid w:val="67EB0D92"/>
    <w:rsid w:val="67F30490"/>
    <w:rsid w:val="67F53DF1"/>
    <w:rsid w:val="67F64F41"/>
    <w:rsid w:val="67F89B11"/>
    <w:rsid w:val="67FBA11A"/>
    <w:rsid w:val="6800A958"/>
    <w:rsid w:val="6801B99D"/>
    <w:rsid w:val="680369EA"/>
    <w:rsid w:val="6805E71E"/>
    <w:rsid w:val="6806039B"/>
    <w:rsid w:val="680AAA41"/>
    <w:rsid w:val="680CC2B8"/>
    <w:rsid w:val="680CD891"/>
    <w:rsid w:val="680E3E1D"/>
    <w:rsid w:val="6814FF8F"/>
    <w:rsid w:val="6815324E"/>
    <w:rsid w:val="681669D4"/>
    <w:rsid w:val="681796A6"/>
    <w:rsid w:val="681E7BFB"/>
    <w:rsid w:val="6820CB8D"/>
    <w:rsid w:val="6820DEDE"/>
    <w:rsid w:val="68211079"/>
    <w:rsid w:val="68241155"/>
    <w:rsid w:val="682548AD"/>
    <w:rsid w:val="68279A5B"/>
    <w:rsid w:val="6828E19F"/>
    <w:rsid w:val="682AD434"/>
    <w:rsid w:val="682AE875"/>
    <w:rsid w:val="682F115B"/>
    <w:rsid w:val="68339583"/>
    <w:rsid w:val="683417F7"/>
    <w:rsid w:val="6834E3C3"/>
    <w:rsid w:val="68350E58"/>
    <w:rsid w:val="6838B431"/>
    <w:rsid w:val="683B3283"/>
    <w:rsid w:val="683BB21B"/>
    <w:rsid w:val="683EFF51"/>
    <w:rsid w:val="6840A2A7"/>
    <w:rsid w:val="68462FEB"/>
    <w:rsid w:val="6846D615"/>
    <w:rsid w:val="68472013"/>
    <w:rsid w:val="684732CB"/>
    <w:rsid w:val="6847AA35"/>
    <w:rsid w:val="68489442"/>
    <w:rsid w:val="684CF910"/>
    <w:rsid w:val="684E3A82"/>
    <w:rsid w:val="6850872F"/>
    <w:rsid w:val="68538776"/>
    <w:rsid w:val="68578EED"/>
    <w:rsid w:val="685A7FFB"/>
    <w:rsid w:val="685B57C7"/>
    <w:rsid w:val="685C834E"/>
    <w:rsid w:val="685D39B9"/>
    <w:rsid w:val="685ED5EE"/>
    <w:rsid w:val="6862245E"/>
    <w:rsid w:val="68647AA1"/>
    <w:rsid w:val="68658D1B"/>
    <w:rsid w:val="686668BA"/>
    <w:rsid w:val="68674917"/>
    <w:rsid w:val="6868A2E6"/>
    <w:rsid w:val="686D86C4"/>
    <w:rsid w:val="6871184B"/>
    <w:rsid w:val="68768648"/>
    <w:rsid w:val="687A10BC"/>
    <w:rsid w:val="687C2AEC"/>
    <w:rsid w:val="687E8AA3"/>
    <w:rsid w:val="688047F0"/>
    <w:rsid w:val="68838411"/>
    <w:rsid w:val="68882CA5"/>
    <w:rsid w:val="688BB690"/>
    <w:rsid w:val="688D95DC"/>
    <w:rsid w:val="688E89E3"/>
    <w:rsid w:val="688F98D6"/>
    <w:rsid w:val="689162D8"/>
    <w:rsid w:val="6892CAFC"/>
    <w:rsid w:val="6893B230"/>
    <w:rsid w:val="68943A04"/>
    <w:rsid w:val="68974A1A"/>
    <w:rsid w:val="689EC338"/>
    <w:rsid w:val="68A027B4"/>
    <w:rsid w:val="68A0864C"/>
    <w:rsid w:val="68A1A028"/>
    <w:rsid w:val="68A4DCB0"/>
    <w:rsid w:val="68AA05C9"/>
    <w:rsid w:val="68AA4C90"/>
    <w:rsid w:val="68AB01DE"/>
    <w:rsid w:val="68AE0F12"/>
    <w:rsid w:val="68AE8E81"/>
    <w:rsid w:val="68B0F107"/>
    <w:rsid w:val="68B30F0B"/>
    <w:rsid w:val="68B46D41"/>
    <w:rsid w:val="68B5D893"/>
    <w:rsid w:val="68B871B3"/>
    <w:rsid w:val="68BA027A"/>
    <w:rsid w:val="68BC341A"/>
    <w:rsid w:val="68BCA3B6"/>
    <w:rsid w:val="68C4EF4B"/>
    <w:rsid w:val="68C64090"/>
    <w:rsid w:val="68C73A46"/>
    <w:rsid w:val="68C82589"/>
    <w:rsid w:val="68CB7541"/>
    <w:rsid w:val="68CD2D43"/>
    <w:rsid w:val="68CFCA37"/>
    <w:rsid w:val="68D3C4D9"/>
    <w:rsid w:val="68D7013B"/>
    <w:rsid w:val="68DB43F0"/>
    <w:rsid w:val="68DBC2C1"/>
    <w:rsid w:val="68DCAC9F"/>
    <w:rsid w:val="68DD5655"/>
    <w:rsid w:val="68DF9A8C"/>
    <w:rsid w:val="68E4EDE2"/>
    <w:rsid w:val="68E5AC26"/>
    <w:rsid w:val="68E6860D"/>
    <w:rsid w:val="68E8A0C5"/>
    <w:rsid w:val="68EF41FD"/>
    <w:rsid w:val="68F0D412"/>
    <w:rsid w:val="68F40056"/>
    <w:rsid w:val="68F7C855"/>
    <w:rsid w:val="68FA86F8"/>
    <w:rsid w:val="69046208"/>
    <w:rsid w:val="69097ADE"/>
    <w:rsid w:val="690B5F6D"/>
    <w:rsid w:val="690CBD28"/>
    <w:rsid w:val="690E1C11"/>
    <w:rsid w:val="690F3F73"/>
    <w:rsid w:val="690FB8DA"/>
    <w:rsid w:val="691125B0"/>
    <w:rsid w:val="691180D3"/>
    <w:rsid w:val="691188DE"/>
    <w:rsid w:val="6911F280"/>
    <w:rsid w:val="691357B7"/>
    <w:rsid w:val="69168CA2"/>
    <w:rsid w:val="6919489C"/>
    <w:rsid w:val="691AC4E1"/>
    <w:rsid w:val="691BCE46"/>
    <w:rsid w:val="691E6495"/>
    <w:rsid w:val="69209D5A"/>
    <w:rsid w:val="6921FD2C"/>
    <w:rsid w:val="69254074"/>
    <w:rsid w:val="69258777"/>
    <w:rsid w:val="6925F40B"/>
    <w:rsid w:val="69286394"/>
    <w:rsid w:val="692ABD11"/>
    <w:rsid w:val="692B1728"/>
    <w:rsid w:val="69319704"/>
    <w:rsid w:val="693315C3"/>
    <w:rsid w:val="69335322"/>
    <w:rsid w:val="693937F4"/>
    <w:rsid w:val="693CEB80"/>
    <w:rsid w:val="69419C8C"/>
    <w:rsid w:val="69423B10"/>
    <w:rsid w:val="69434A3B"/>
    <w:rsid w:val="694A872F"/>
    <w:rsid w:val="694BD754"/>
    <w:rsid w:val="694BE80B"/>
    <w:rsid w:val="694E089B"/>
    <w:rsid w:val="695017D2"/>
    <w:rsid w:val="6952B52B"/>
    <w:rsid w:val="69547E30"/>
    <w:rsid w:val="695495F2"/>
    <w:rsid w:val="6958370F"/>
    <w:rsid w:val="695A1C90"/>
    <w:rsid w:val="695F73E7"/>
    <w:rsid w:val="69636354"/>
    <w:rsid w:val="6964B956"/>
    <w:rsid w:val="696889FE"/>
    <w:rsid w:val="6969243A"/>
    <w:rsid w:val="69694C35"/>
    <w:rsid w:val="6969EEE3"/>
    <w:rsid w:val="696A82E6"/>
    <w:rsid w:val="69702367"/>
    <w:rsid w:val="6971207F"/>
    <w:rsid w:val="6971D52A"/>
    <w:rsid w:val="69727A5E"/>
    <w:rsid w:val="6973B3B8"/>
    <w:rsid w:val="6973C8DE"/>
    <w:rsid w:val="6976C304"/>
    <w:rsid w:val="697B9ECE"/>
    <w:rsid w:val="697BC7B5"/>
    <w:rsid w:val="697C4AC1"/>
    <w:rsid w:val="697CA94A"/>
    <w:rsid w:val="697E36CF"/>
    <w:rsid w:val="697EED00"/>
    <w:rsid w:val="698151C2"/>
    <w:rsid w:val="6982D55C"/>
    <w:rsid w:val="6983EE26"/>
    <w:rsid w:val="69846BBF"/>
    <w:rsid w:val="6984CEC1"/>
    <w:rsid w:val="69854CF2"/>
    <w:rsid w:val="6985D885"/>
    <w:rsid w:val="6985D972"/>
    <w:rsid w:val="698792FA"/>
    <w:rsid w:val="69879EA4"/>
    <w:rsid w:val="6989FBC8"/>
    <w:rsid w:val="69930D23"/>
    <w:rsid w:val="69939442"/>
    <w:rsid w:val="699762E2"/>
    <w:rsid w:val="699843B2"/>
    <w:rsid w:val="699D7E73"/>
    <w:rsid w:val="699E0157"/>
    <w:rsid w:val="69A0910B"/>
    <w:rsid w:val="69A19047"/>
    <w:rsid w:val="69A7AB1C"/>
    <w:rsid w:val="69A95F1C"/>
    <w:rsid w:val="69A9C6B0"/>
    <w:rsid w:val="69AD1DF8"/>
    <w:rsid w:val="69B10E9F"/>
    <w:rsid w:val="69B28280"/>
    <w:rsid w:val="69B83196"/>
    <w:rsid w:val="69B944B6"/>
    <w:rsid w:val="69BAB32E"/>
    <w:rsid w:val="69BE5BAD"/>
    <w:rsid w:val="69C4BF98"/>
    <w:rsid w:val="69C58A1F"/>
    <w:rsid w:val="69CDFEAE"/>
    <w:rsid w:val="69CE6333"/>
    <w:rsid w:val="69D4E7F8"/>
    <w:rsid w:val="69D8051A"/>
    <w:rsid w:val="69DB58C4"/>
    <w:rsid w:val="69DCB27A"/>
    <w:rsid w:val="69DCD7AE"/>
    <w:rsid w:val="69DFE805"/>
    <w:rsid w:val="69E1AFCB"/>
    <w:rsid w:val="69E3C686"/>
    <w:rsid w:val="69EBD964"/>
    <w:rsid w:val="69EBE5BF"/>
    <w:rsid w:val="69EE8334"/>
    <w:rsid w:val="69F4F0A2"/>
    <w:rsid w:val="69F7FE23"/>
    <w:rsid w:val="69FB18BC"/>
    <w:rsid w:val="69FEDD95"/>
    <w:rsid w:val="69FF431D"/>
    <w:rsid w:val="6A018E80"/>
    <w:rsid w:val="6A0672E7"/>
    <w:rsid w:val="6A0A07A4"/>
    <w:rsid w:val="6A0C2D55"/>
    <w:rsid w:val="6A13A1C3"/>
    <w:rsid w:val="6A1405F6"/>
    <w:rsid w:val="6A166A30"/>
    <w:rsid w:val="6A1E0377"/>
    <w:rsid w:val="6A1ECB67"/>
    <w:rsid w:val="6A211BB4"/>
    <w:rsid w:val="6A21E95F"/>
    <w:rsid w:val="6A22E32F"/>
    <w:rsid w:val="6A2560D0"/>
    <w:rsid w:val="6A2A1E46"/>
    <w:rsid w:val="6A2A8260"/>
    <w:rsid w:val="6A2BFC9B"/>
    <w:rsid w:val="6A2CF6F7"/>
    <w:rsid w:val="6A2D0BC8"/>
    <w:rsid w:val="6A30988F"/>
    <w:rsid w:val="6A325D48"/>
    <w:rsid w:val="6A32EC2E"/>
    <w:rsid w:val="6A3368CF"/>
    <w:rsid w:val="6A345FBE"/>
    <w:rsid w:val="6A34E0E2"/>
    <w:rsid w:val="6A3927F6"/>
    <w:rsid w:val="6A3949F6"/>
    <w:rsid w:val="6A3C38A9"/>
    <w:rsid w:val="6A3CA6C2"/>
    <w:rsid w:val="6A3CAF8E"/>
    <w:rsid w:val="6A3CF469"/>
    <w:rsid w:val="6A3F6332"/>
    <w:rsid w:val="6A422AFE"/>
    <w:rsid w:val="6A42CD06"/>
    <w:rsid w:val="6A4318EE"/>
    <w:rsid w:val="6A431EA9"/>
    <w:rsid w:val="6A4490CB"/>
    <w:rsid w:val="6A4802C2"/>
    <w:rsid w:val="6A484FE4"/>
    <w:rsid w:val="6A4BE48C"/>
    <w:rsid w:val="6A4E1A0F"/>
    <w:rsid w:val="6A4E4328"/>
    <w:rsid w:val="6A510D39"/>
    <w:rsid w:val="6A51DC34"/>
    <w:rsid w:val="6A53A05F"/>
    <w:rsid w:val="6A54FFAB"/>
    <w:rsid w:val="6A5AB861"/>
    <w:rsid w:val="6A6198E6"/>
    <w:rsid w:val="6A65409E"/>
    <w:rsid w:val="6A6C0E38"/>
    <w:rsid w:val="6A724F10"/>
    <w:rsid w:val="6A72CDC2"/>
    <w:rsid w:val="6A7771E2"/>
    <w:rsid w:val="6A7BF789"/>
    <w:rsid w:val="6A7FDF38"/>
    <w:rsid w:val="6A851521"/>
    <w:rsid w:val="6A852DC6"/>
    <w:rsid w:val="6A859B8B"/>
    <w:rsid w:val="6A85F959"/>
    <w:rsid w:val="6A888445"/>
    <w:rsid w:val="6A89F005"/>
    <w:rsid w:val="6A8B3C68"/>
    <w:rsid w:val="6A8B7381"/>
    <w:rsid w:val="6A8C1261"/>
    <w:rsid w:val="6A8CC87F"/>
    <w:rsid w:val="6A90680E"/>
    <w:rsid w:val="6A929A40"/>
    <w:rsid w:val="6A9845F3"/>
    <w:rsid w:val="6A98F5C7"/>
    <w:rsid w:val="6A9CFE5E"/>
    <w:rsid w:val="6A9DA85F"/>
    <w:rsid w:val="6A9DF70D"/>
    <w:rsid w:val="6A9F2794"/>
    <w:rsid w:val="6AA09D6C"/>
    <w:rsid w:val="6AA1CA2C"/>
    <w:rsid w:val="6AA1E9FF"/>
    <w:rsid w:val="6AA24532"/>
    <w:rsid w:val="6AA9C4D9"/>
    <w:rsid w:val="6AAA63CA"/>
    <w:rsid w:val="6AB1074C"/>
    <w:rsid w:val="6AB2FB4D"/>
    <w:rsid w:val="6AB6BF33"/>
    <w:rsid w:val="6AB6D94B"/>
    <w:rsid w:val="6ABC655E"/>
    <w:rsid w:val="6ABD3B32"/>
    <w:rsid w:val="6ABF2BBC"/>
    <w:rsid w:val="6AC1201F"/>
    <w:rsid w:val="6AC1D8F8"/>
    <w:rsid w:val="6AC4E490"/>
    <w:rsid w:val="6AC5913D"/>
    <w:rsid w:val="6AC79D2E"/>
    <w:rsid w:val="6AC84B79"/>
    <w:rsid w:val="6AC98AD9"/>
    <w:rsid w:val="6AC99DB0"/>
    <w:rsid w:val="6ACABE88"/>
    <w:rsid w:val="6ACCB5FE"/>
    <w:rsid w:val="6ACDB28E"/>
    <w:rsid w:val="6ACF0687"/>
    <w:rsid w:val="6ACFF8F7"/>
    <w:rsid w:val="6AD09A27"/>
    <w:rsid w:val="6AD45640"/>
    <w:rsid w:val="6AD4C148"/>
    <w:rsid w:val="6AD75F90"/>
    <w:rsid w:val="6ADAE86C"/>
    <w:rsid w:val="6ADCAB1B"/>
    <w:rsid w:val="6AE0199C"/>
    <w:rsid w:val="6AE11162"/>
    <w:rsid w:val="6AE45EB4"/>
    <w:rsid w:val="6AE53657"/>
    <w:rsid w:val="6AE56D3E"/>
    <w:rsid w:val="6AE6D783"/>
    <w:rsid w:val="6AE70117"/>
    <w:rsid w:val="6AEAAF43"/>
    <w:rsid w:val="6AEC419C"/>
    <w:rsid w:val="6AF1B66F"/>
    <w:rsid w:val="6AFCF98E"/>
    <w:rsid w:val="6B036382"/>
    <w:rsid w:val="6B0FC023"/>
    <w:rsid w:val="6B13D399"/>
    <w:rsid w:val="6B178600"/>
    <w:rsid w:val="6B190A91"/>
    <w:rsid w:val="6B19641F"/>
    <w:rsid w:val="6B1A782F"/>
    <w:rsid w:val="6B1AB218"/>
    <w:rsid w:val="6B1E8B19"/>
    <w:rsid w:val="6B1F6EC6"/>
    <w:rsid w:val="6B27A0A2"/>
    <w:rsid w:val="6B27DFE7"/>
    <w:rsid w:val="6B2E5F73"/>
    <w:rsid w:val="6B2E8165"/>
    <w:rsid w:val="6B37FC55"/>
    <w:rsid w:val="6B3B8593"/>
    <w:rsid w:val="6B3E1190"/>
    <w:rsid w:val="6B3E2307"/>
    <w:rsid w:val="6B3F674E"/>
    <w:rsid w:val="6B457319"/>
    <w:rsid w:val="6B48F6A8"/>
    <w:rsid w:val="6B4A1F10"/>
    <w:rsid w:val="6B4E53BD"/>
    <w:rsid w:val="6B5202AB"/>
    <w:rsid w:val="6B53FD6F"/>
    <w:rsid w:val="6B5684F8"/>
    <w:rsid w:val="6B58B9E1"/>
    <w:rsid w:val="6B615CFD"/>
    <w:rsid w:val="6B65DE13"/>
    <w:rsid w:val="6B67ADC3"/>
    <w:rsid w:val="6B6A1132"/>
    <w:rsid w:val="6B6B1316"/>
    <w:rsid w:val="6B6C7A57"/>
    <w:rsid w:val="6B6DF107"/>
    <w:rsid w:val="6B6E3782"/>
    <w:rsid w:val="6B6EA701"/>
    <w:rsid w:val="6B733D87"/>
    <w:rsid w:val="6B77CD8F"/>
    <w:rsid w:val="6B78E414"/>
    <w:rsid w:val="6B7A782F"/>
    <w:rsid w:val="6B7BA165"/>
    <w:rsid w:val="6B7D436F"/>
    <w:rsid w:val="6B8225A8"/>
    <w:rsid w:val="6B83DBD2"/>
    <w:rsid w:val="6B83DD03"/>
    <w:rsid w:val="6B845A16"/>
    <w:rsid w:val="6B896278"/>
    <w:rsid w:val="6B89B1C8"/>
    <w:rsid w:val="6B8CBD9A"/>
    <w:rsid w:val="6B8E864C"/>
    <w:rsid w:val="6B8EEDF0"/>
    <w:rsid w:val="6B8FF806"/>
    <w:rsid w:val="6B90E599"/>
    <w:rsid w:val="6B932E9C"/>
    <w:rsid w:val="6B9392DD"/>
    <w:rsid w:val="6B945373"/>
    <w:rsid w:val="6B951898"/>
    <w:rsid w:val="6B95A343"/>
    <w:rsid w:val="6B964857"/>
    <w:rsid w:val="6B9877FC"/>
    <w:rsid w:val="6B98F1C0"/>
    <w:rsid w:val="6B9A245F"/>
    <w:rsid w:val="6B9ABF96"/>
    <w:rsid w:val="6BA1C1EC"/>
    <w:rsid w:val="6BA3797A"/>
    <w:rsid w:val="6BA53BCA"/>
    <w:rsid w:val="6BA61F2E"/>
    <w:rsid w:val="6BA74F76"/>
    <w:rsid w:val="6BA7E7E4"/>
    <w:rsid w:val="6BA8328F"/>
    <w:rsid w:val="6BAC17B4"/>
    <w:rsid w:val="6BAC1F3F"/>
    <w:rsid w:val="6BB1E234"/>
    <w:rsid w:val="6BB378DC"/>
    <w:rsid w:val="6BB47D23"/>
    <w:rsid w:val="6BB96FB3"/>
    <w:rsid w:val="6BB9E824"/>
    <w:rsid w:val="6BBB9A3B"/>
    <w:rsid w:val="6BBBB70B"/>
    <w:rsid w:val="6BBD3025"/>
    <w:rsid w:val="6BBE8C84"/>
    <w:rsid w:val="6BBF1601"/>
    <w:rsid w:val="6BC1664B"/>
    <w:rsid w:val="6BC4BC44"/>
    <w:rsid w:val="6BC99054"/>
    <w:rsid w:val="6BC9C832"/>
    <w:rsid w:val="6BC9E3CB"/>
    <w:rsid w:val="6BCFA4CA"/>
    <w:rsid w:val="6BD258A5"/>
    <w:rsid w:val="6BDCCB25"/>
    <w:rsid w:val="6BDCE649"/>
    <w:rsid w:val="6BDE629F"/>
    <w:rsid w:val="6BE14658"/>
    <w:rsid w:val="6BE18391"/>
    <w:rsid w:val="6BE19323"/>
    <w:rsid w:val="6BE22269"/>
    <w:rsid w:val="6BE56CE9"/>
    <w:rsid w:val="6BEBBBC4"/>
    <w:rsid w:val="6BEDB374"/>
    <w:rsid w:val="6BF0B674"/>
    <w:rsid w:val="6BF56187"/>
    <w:rsid w:val="6BF866DC"/>
    <w:rsid w:val="6BFAA980"/>
    <w:rsid w:val="6BFD5D11"/>
    <w:rsid w:val="6BFDD75C"/>
    <w:rsid w:val="6C037826"/>
    <w:rsid w:val="6C03E5F5"/>
    <w:rsid w:val="6C0AF1C6"/>
    <w:rsid w:val="6C0D392A"/>
    <w:rsid w:val="6C140283"/>
    <w:rsid w:val="6C156F4A"/>
    <w:rsid w:val="6C1E0E31"/>
    <w:rsid w:val="6C2099D6"/>
    <w:rsid w:val="6C22AC0B"/>
    <w:rsid w:val="6C232415"/>
    <w:rsid w:val="6C261660"/>
    <w:rsid w:val="6C263069"/>
    <w:rsid w:val="6C26F541"/>
    <w:rsid w:val="6C2758AB"/>
    <w:rsid w:val="6C275FF6"/>
    <w:rsid w:val="6C2789CD"/>
    <w:rsid w:val="6C2ED3F8"/>
    <w:rsid w:val="6C2F53ED"/>
    <w:rsid w:val="6C2FEB48"/>
    <w:rsid w:val="6C355EC8"/>
    <w:rsid w:val="6C35A118"/>
    <w:rsid w:val="6C369339"/>
    <w:rsid w:val="6C38946E"/>
    <w:rsid w:val="6C38F7C1"/>
    <w:rsid w:val="6C3BBCA4"/>
    <w:rsid w:val="6C3E6EED"/>
    <w:rsid w:val="6C4124C1"/>
    <w:rsid w:val="6C42EBB0"/>
    <w:rsid w:val="6C433428"/>
    <w:rsid w:val="6C44B3B0"/>
    <w:rsid w:val="6C49EB22"/>
    <w:rsid w:val="6C4CE71A"/>
    <w:rsid w:val="6C4E8212"/>
    <w:rsid w:val="6C52D5B3"/>
    <w:rsid w:val="6C575218"/>
    <w:rsid w:val="6C58430D"/>
    <w:rsid w:val="6C5A62F7"/>
    <w:rsid w:val="6C5AC5B9"/>
    <w:rsid w:val="6C5BA4DB"/>
    <w:rsid w:val="6C60595E"/>
    <w:rsid w:val="6C62534E"/>
    <w:rsid w:val="6C63E607"/>
    <w:rsid w:val="6C655AE4"/>
    <w:rsid w:val="6C67B159"/>
    <w:rsid w:val="6C67EF4B"/>
    <w:rsid w:val="6C682777"/>
    <w:rsid w:val="6C6C231B"/>
    <w:rsid w:val="6C6DBF9F"/>
    <w:rsid w:val="6C6E2488"/>
    <w:rsid w:val="6C6F96C0"/>
    <w:rsid w:val="6C6FEFD1"/>
    <w:rsid w:val="6C70F4E9"/>
    <w:rsid w:val="6C7BECC1"/>
    <w:rsid w:val="6C7E50FC"/>
    <w:rsid w:val="6C827F75"/>
    <w:rsid w:val="6C84124F"/>
    <w:rsid w:val="6C85B962"/>
    <w:rsid w:val="6C8696FF"/>
    <w:rsid w:val="6C871FB3"/>
    <w:rsid w:val="6C8A81FC"/>
    <w:rsid w:val="6C8ABA37"/>
    <w:rsid w:val="6C8C2C70"/>
    <w:rsid w:val="6C8F6FAD"/>
    <w:rsid w:val="6C8FC27B"/>
    <w:rsid w:val="6C9062B6"/>
    <w:rsid w:val="6C92C2BE"/>
    <w:rsid w:val="6C94484D"/>
    <w:rsid w:val="6C9563A5"/>
    <w:rsid w:val="6C964EFB"/>
    <w:rsid w:val="6C9B2F9A"/>
    <w:rsid w:val="6C9DE65D"/>
    <w:rsid w:val="6C9F5663"/>
    <w:rsid w:val="6CA0D17C"/>
    <w:rsid w:val="6CA1B7CC"/>
    <w:rsid w:val="6CA27D88"/>
    <w:rsid w:val="6CA4B0DE"/>
    <w:rsid w:val="6CA5D4AE"/>
    <w:rsid w:val="6CA764FD"/>
    <w:rsid w:val="6CA7C2E1"/>
    <w:rsid w:val="6CA8D833"/>
    <w:rsid w:val="6CABA26F"/>
    <w:rsid w:val="6CAD40CC"/>
    <w:rsid w:val="6CAD4FD3"/>
    <w:rsid w:val="6CB65A3C"/>
    <w:rsid w:val="6CB6834E"/>
    <w:rsid w:val="6CBA1292"/>
    <w:rsid w:val="6CBA54C8"/>
    <w:rsid w:val="6CBB92A3"/>
    <w:rsid w:val="6CBBD29F"/>
    <w:rsid w:val="6CBD7766"/>
    <w:rsid w:val="6CC0C7F3"/>
    <w:rsid w:val="6CC83D44"/>
    <w:rsid w:val="6CC83FE2"/>
    <w:rsid w:val="6CCF8934"/>
    <w:rsid w:val="6CD0231E"/>
    <w:rsid w:val="6CD253E4"/>
    <w:rsid w:val="6CD4BAE2"/>
    <w:rsid w:val="6CD51913"/>
    <w:rsid w:val="6CD92DE1"/>
    <w:rsid w:val="6CDAEF27"/>
    <w:rsid w:val="6CDB1931"/>
    <w:rsid w:val="6CDB3242"/>
    <w:rsid w:val="6CDB6A89"/>
    <w:rsid w:val="6CDD0F73"/>
    <w:rsid w:val="6CDE9899"/>
    <w:rsid w:val="6CDEA38B"/>
    <w:rsid w:val="6CE043DB"/>
    <w:rsid w:val="6CE0A4A6"/>
    <w:rsid w:val="6CE0DD19"/>
    <w:rsid w:val="6CE29742"/>
    <w:rsid w:val="6CE4C218"/>
    <w:rsid w:val="6CE5620A"/>
    <w:rsid w:val="6CE8536C"/>
    <w:rsid w:val="6CE8C144"/>
    <w:rsid w:val="6CEC9483"/>
    <w:rsid w:val="6CECA167"/>
    <w:rsid w:val="6CEE1D70"/>
    <w:rsid w:val="6CF0EB72"/>
    <w:rsid w:val="6CF68AF9"/>
    <w:rsid w:val="6CF97E86"/>
    <w:rsid w:val="6CFDDF24"/>
    <w:rsid w:val="6CFF1E61"/>
    <w:rsid w:val="6CFFDC3D"/>
    <w:rsid w:val="6D01C78C"/>
    <w:rsid w:val="6D02661D"/>
    <w:rsid w:val="6D029BA8"/>
    <w:rsid w:val="6D044212"/>
    <w:rsid w:val="6D053FEC"/>
    <w:rsid w:val="6D0A70F9"/>
    <w:rsid w:val="6D0D213D"/>
    <w:rsid w:val="6D0F92C8"/>
    <w:rsid w:val="6D10B043"/>
    <w:rsid w:val="6D12BC08"/>
    <w:rsid w:val="6D203DFA"/>
    <w:rsid w:val="6D22F691"/>
    <w:rsid w:val="6D257A37"/>
    <w:rsid w:val="6D276D9D"/>
    <w:rsid w:val="6D28193D"/>
    <w:rsid w:val="6D2BBEDF"/>
    <w:rsid w:val="6D2CBA25"/>
    <w:rsid w:val="6D3043A1"/>
    <w:rsid w:val="6D306906"/>
    <w:rsid w:val="6D32A4F7"/>
    <w:rsid w:val="6D3447C8"/>
    <w:rsid w:val="6D3A3851"/>
    <w:rsid w:val="6D3CCC5E"/>
    <w:rsid w:val="6D42834A"/>
    <w:rsid w:val="6D4471AC"/>
    <w:rsid w:val="6D467DBB"/>
    <w:rsid w:val="6D483229"/>
    <w:rsid w:val="6D48B2D8"/>
    <w:rsid w:val="6D4D609E"/>
    <w:rsid w:val="6D4DDEA8"/>
    <w:rsid w:val="6D4EAE4A"/>
    <w:rsid w:val="6D51F465"/>
    <w:rsid w:val="6D538106"/>
    <w:rsid w:val="6D5423F9"/>
    <w:rsid w:val="6D548597"/>
    <w:rsid w:val="6D55F525"/>
    <w:rsid w:val="6D5B57D1"/>
    <w:rsid w:val="6D616DF1"/>
    <w:rsid w:val="6D62DB21"/>
    <w:rsid w:val="6D652BF7"/>
    <w:rsid w:val="6D68C27B"/>
    <w:rsid w:val="6D6D60D4"/>
    <w:rsid w:val="6D6FEA2D"/>
    <w:rsid w:val="6D75A5E0"/>
    <w:rsid w:val="6D78874D"/>
    <w:rsid w:val="6D7BA837"/>
    <w:rsid w:val="6D7D0C85"/>
    <w:rsid w:val="6D7DC1BC"/>
    <w:rsid w:val="6D85BDBD"/>
    <w:rsid w:val="6D8733BF"/>
    <w:rsid w:val="6D87C4CA"/>
    <w:rsid w:val="6D89902B"/>
    <w:rsid w:val="6D8C2545"/>
    <w:rsid w:val="6D8D32C2"/>
    <w:rsid w:val="6D9A6321"/>
    <w:rsid w:val="6D9C7C05"/>
    <w:rsid w:val="6D9CE41F"/>
    <w:rsid w:val="6D9DF789"/>
    <w:rsid w:val="6D9E5ECD"/>
    <w:rsid w:val="6DA64E22"/>
    <w:rsid w:val="6DA7EA3C"/>
    <w:rsid w:val="6DA9A906"/>
    <w:rsid w:val="6DADD6EA"/>
    <w:rsid w:val="6DAE23E4"/>
    <w:rsid w:val="6DAE5296"/>
    <w:rsid w:val="6DAEF4F3"/>
    <w:rsid w:val="6DB53951"/>
    <w:rsid w:val="6DB80BB4"/>
    <w:rsid w:val="6DC03204"/>
    <w:rsid w:val="6DC3966F"/>
    <w:rsid w:val="6DC816BA"/>
    <w:rsid w:val="6DCA0F38"/>
    <w:rsid w:val="6DCCFEB1"/>
    <w:rsid w:val="6DCD2E29"/>
    <w:rsid w:val="6DD23005"/>
    <w:rsid w:val="6DD240CC"/>
    <w:rsid w:val="6DD2BD3F"/>
    <w:rsid w:val="6DD4E08F"/>
    <w:rsid w:val="6DD55A98"/>
    <w:rsid w:val="6DD792EA"/>
    <w:rsid w:val="6DD9374C"/>
    <w:rsid w:val="6DDDCF99"/>
    <w:rsid w:val="6DDDF8FA"/>
    <w:rsid w:val="6DE0CD0E"/>
    <w:rsid w:val="6DE1E27D"/>
    <w:rsid w:val="6DE28EA2"/>
    <w:rsid w:val="6DE2C4CD"/>
    <w:rsid w:val="6DE49E01"/>
    <w:rsid w:val="6DE54D64"/>
    <w:rsid w:val="6DE56250"/>
    <w:rsid w:val="6DE947D6"/>
    <w:rsid w:val="6DEC7C02"/>
    <w:rsid w:val="6DECF81D"/>
    <w:rsid w:val="6DF122E6"/>
    <w:rsid w:val="6DF40A2C"/>
    <w:rsid w:val="6DFA932F"/>
    <w:rsid w:val="6DFB52AD"/>
    <w:rsid w:val="6DFE5F1D"/>
    <w:rsid w:val="6E003EDA"/>
    <w:rsid w:val="6E02A69B"/>
    <w:rsid w:val="6E03F3CD"/>
    <w:rsid w:val="6E1336F0"/>
    <w:rsid w:val="6E13DDF8"/>
    <w:rsid w:val="6E144D7F"/>
    <w:rsid w:val="6E15B081"/>
    <w:rsid w:val="6E190350"/>
    <w:rsid w:val="6E1CB0FC"/>
    <w:rsid w:val="6E21D885"/>
    <w:rsid w:val="6E231920"/>
    <w:rsid w:val="6E23A99C"/>
    <w:rsid w:val="6E24BB43"/>
    <w:rsid w:val="6E26414E"/>
    <w:rsid w:val="6E27FB67"/>
    <w:rsid w:val="6E2992B3"/>
    <w:rsid w:val="6E33A7AB"/>
    <w:rsid w:val="6E35686A"/>
    <w:rsid w:val="6E35F980"/>
    <w:rsid w:val="6E36CAFB"/>
    <w:rsid w:val="6E36E6EE"/>
    <w:rsid w:val="6E3910EB"/>
    <w:rsid w:val="6E3C6872"/>
    <w:rsid w:val="6E3EA826"/>
    <w:rsid w:val="6E3EA8E6"/>
    <w:rsid w:val="6E411D6A"/>
    <w:rsid w:val="6E41A0F6"/>
    <w:rsid w:val="6E42CD8F"/>
    <w:rsid w:val="6E43AC6E"/>
    <w:rsid w:val="6E449FDB"/>
    <w:rsid w:val="6E456078"/>
    <w:rsid w:val="6E4CB29F"/>
    <w:rsid w:val="6E4F6263"/>
    <w:rsid w:val="6E518F0E"/>
    <w:rsid w:val="6E54952E"/>
    <w:rsid w:val="6E54DB67"/>
    <w:rsid w:val="6E576FAD"/>
    <w:rsid w:val="6E57AFAE"/>
    <w:rsid w:val="6E583C08"/>
    <w:rsid w:val="6E5BD121"/>
    <w:rsid w:val="6E5EB26B"/>
    <w:rsid w:val="6E603919"/>
    <w:rsid w:val="6E614AFA"/>
    <w:rsid w:val="6E656096"/>
    <w:rsid w:val="6E6D5EFF"/>
    <w:rsid w:val="6E6E28F9"/>
    <w:rsid w:val="6E6E6D43"/>
    <w:rsid w:val="6E6EF52B"/>
    <w:rsid w:val="6E70B105"/>
    <w:rsid w:val="6E72EE53"/>
    <w:rsid w:val="6E7444E6"/>
    <w:rsid w:val="6E7C0D2C"/>
    <w:rsid w:val="6E7C2601"/>
    <w:rsid w:val="6E7C6513"/>
    <w:rsid w:val="6E8051F8"/>
    <w:rsid w:val="6E83548B"/>
    <w:rsid w:val="6E863DA4"/>
    <w:rsid w:val="6E8B007E"/>
    <w:rsid w:val="6E8E380C"/>
    <w:rsid w:val="6E917589"/>
    <w:rsid w:val="6E9320DF"/>
    <w:rsid w:val="6E98E38B"/>
    <w:rsid w:val="6E9B9338"/>
    <w:rsid w:val="6E9CD7F7"/>
    <w:rsid w:val="6E9E9A88"/>
    <w:rsid w:val="6E9EF989"/>
    <w:rsid w:val="6E9F4553"/>
    <w:rsid w:val="6E9F8D2D"/>
    <w:rsid w:val="6E9FA6E9"/>
    <w:rsid w:val="6EA3677B"/>
    <w:rsid w:val="6EA82F06"/>
    <w:rsid w:val="6EAAF519"/>
    <w:rsid w:val="6EAD76E8"/>
    <w:rsid w:val="6EAEA61D"/>
    <w:rsid w:val="6EAEDF3C"/>
    <w:rsid w:val="6EB09359"/>
    <w:rsid w:val="6EB2B4A0"/>
    <w:rsid w:val="6EB2D557"/>
    <w:rsid w:val="6EB99321"/>
    <w:rsid w:val="6EB9FEF6"/>
    <w:rsid w:val="6EBB578C"/>
    <w:rsid w:val="6EBDEFCE"/>
    <w:rsid w:val="6EBE3C0C"/>
    <w:rsid w:val="6EC1D192"/>
    <w:rsid w:val="6EC45D45"/>
    <w:rsid w:val="6EC58588"/>
    <w:rsid w:val="6ECA20FB"/>
    <w:rsid w:val="6ECC9F8D"/>
    <w:rsid w:val="6ECCF0AE"/>
    <w:rsid w:val="6ED0A0AD"/>
    <w:rsid w:val="6ED163BC"/>
    <w:rsid w:val="6ED53E1A"/>
    <w:rsid w:val="6ED93E2E"/>
    <w:rsid w:val="6EDAE31B"/>
    <w:rsid w:val="6EDC6856"/>
    <w:rsid w:val="6EDF035B"/>
    <w:rsid w:val="6EE03283"/>
    <w:rsid w:val="6EE094F4"/>
    <w:rsid w:val="6EE436E6"/>
    <w:rsid w:val="6EE48FD7"/>
    <w:rsid w:val="6EE5E250"/>
    <w:rsid w:val="6EED2083"/>
    <w:rsid w:val="6EEF1740"/>
    <w:rsid w:val="6EF18B13"/>
    <w:rsid w:val="6EF6FFDF"/>
    <w:rsid w:val="6EF71DC8"/>
    <w:rsid w:val="6EF791D5"/>
    <w:rsid w:val="6EF99F74"/>
    <w:rsid w:val="6EFAC80D"/>
    <w:rsid w:val="6EFBCC38"/>
    <w:rsid w:val="6F02B486"/>
    <w:rsid w:val="6F067CC5"/>
    <w:rsid w:val="6F076741"/>
    <w:rsid w:val="6F078A41"/>
    <w:rsid w:val="6F0AFF94"/>
    <w:rsid w:val="6F0B98E3"/>
    <w:rsid w:val="6F0CEF96"/>
    <w:rsid w:val="6F153A45"/>
    <w:rsid w:val="6F164A9E"/>
    <w:rsid w:val="6F165DB6"/>
    <w:rsid w:val="6F17D9F0"/>
    <w:rsid w:val="6F1A2A63"/>
    <w:rsid w:val="6F1F8A6F"/>
    <w:rsid w:val="6F1FABD2"/>
    <w:rsid w:val="6F2509BE"/>
    <w:rsid w:val="6F294F72"/>
    <w:rsid w:val="6F2CB212"/>
    <w:rsid w:val="6F3216E6"/>
    <w:rsid w:val="6F32DA80"/>
    <w:rsid w:val="6F368BEE"/>
    <w:rsid w:val="6F38A2A2"/>
    <w:rsid w:val="6F3A3D31"/>
    <w:rsid w:val="6F3BA3E1"/>
    <w:rsid w:val="6F3C11D6"/>
    <w:rsid w:val="6F3CE7DC"/>
    <w:rsid w:val="6F3DAC42"/>
    <w:rsid w:val="6F400EB1"/>
    <w:rsid w:val="6F4167BD"/>
    <w:rsid w:val="6F43DA89"/>
    <w:rsid w:val="6F46FDD8"/>
    <w:rsid w:val="6F47B169"/>
    <w:rsid w:val="6F495B53"/>
    <w:rsid w:val="6F4B2D40"/>
    <w:rsid w:val="6F4FEC82"/>
    <w:rsid w:val="6F51A7D1"/>
    <w:rsid w:val="6F530FEB"/>
    <w:rsid w:val="6F553297"/>
    <w:rsid w:val="6F56372B"/>
    <w:rsid w:val="6F57FFDA"/>
    <w:rsid w:val="6F596957"/>
    <w:rsid w:val="6F5DCFE4"/>
    <w:rsid w:val="6F5F4828"/>
    <w:rsid w:val="6F60BB73"/>
    <w:rsid w:val="6F6296BE"/>
    <w:rsid w:val="6F65E4CC"/>
    <w:rsid w:val="6F6A1865"/>
    <w:rsid w:val="6F742348"/>
    <w:rsid w:val="6F744915"/>
    <w:rsid w:val="6F747567"/>
    <w:rsid w:val="6F750E7B"/>
    <w:rsid w:val="6F76A128"/>
    <w:rsid w:val="6F776923"/>
    <w:rsid w:val="6F77EF30"/>
    <w:rsid w:val="6F7ADBC9"/>
    <w:rsid w:val="6F7D3959"/>
    <w:rsid w:val="6F80E5D9"/>
    <w:rsid w:val="6F8159E2"/>
    <w:rsid w:val="6F817572"/>
    <w:rsid w:val="6F85A4FF"/>
    <w:rsid w:val="6F8688ED"/>
    <w:rsid w:val="6F87CCA3"/>
    <w:rsid w:val="6F87F745"/>
    <w:rsid w:val="6F888F0C"/>
    <w:rsid w:val="6F896B27"/>
    <w:rsid w:val="6F8A68A9"/>
    <w:rsid w:val="6F8CE584"/>
    <w:rsid w:val="6F8D46F5"/>
    <w:rsid w:val="6F8F51EA"/>
    <w:rsid w:val="6F900518"/>
    <w:rsid w:val="6F946CEB"/>
    <w:rsid w:val="6F94E154"/>
    <w:rsid w:val="6F961459"/>
    <w:rsid w:val="6F98495D"/>
    <w:rsid w:val="6F9A20AE"/>
    <w:rsid w:val="6F9A7A51"/>
    <w:rsid w:val="6F9B1485"/>
    <w:rsid w:val="6F9C7406"/>
    <w:rsid w:val="6F9EBB14"/>
    <w:rsid w:val="6F9FD216"/>
    <w:rsid w:val="6F9FFC6B"/>
    <w:rsid w:val="6FA4ACE5"/>
    <w:rsid w:val="6FA53289"/>
    <w:rsid w:val="6FA6C906"/>
    <w:rsid w:val="6FABB70F"/>
    <w:rsid w:val="6FAD4CC9"/>
    <w:rsid w:val="6FAE2B15"/>
    <w:rsid w:val="6FAE7B04"/>
    <w:rsid w:val="6FB2CDDC"/>
    <w:rsid w:val="6FB2FBDB"/>
    <w:rsid w:val="6FB88708"/>
    <w:rsid w:val="6FB96EBA"/>
    <w:rsid w:val="6FBB9434"/>
    <w:rsid w:val="6FBCEEA7"/>
    <w:rsid w:val="6FBD4FE4"/>
    <w:rsid w:val="6FBF8344"/>
    <w:rsid w:val="6FC2D078"/>
    <w:rsid w:val="6FC4075C"/>
    <w:rsid w:val="6FC40896"/>
    <w:rsid w:val="6FC989EC"/>
    <w:rsid w:val="6FC99C97"/>
    <w:rsid w:val="6FCA8279"/>
    <w:rsid w:val="6FCB0AE3"/>
    <w:rsid w:val="6FCDEE11"/>
    <w:rsid w:val="6FD0144F"/>
    <w:rsid w:val="6FD150BA"/>
    <w:rsid w:val="6FD2E2EC"/>
    <w:rsid w:val="6FD691EE"/>
    <w:rsid w:val="6FD73F0C"/>
    <w:rsid w:val="6FD94DA7"/>
    <w:rsid w:val="6FDA277B"/>
    <w:rsid w:val="6FDD46F8"/>
    <w:rsid w:val="6FE01831"/>
    <w:rsid w:val="6FE19284"/>
    <w:rsid w:val="6FE5B508"/>
    <w:rsid w:val="6FE66F1E"/>
    <w:rsid w:val="6FE7ECF6"/>
    <w:rsid w:val="6FEC1B2E"/>
    <w:rsid w:val="6FEC77AD"/>
    <w:rsid w:val="6FECDB66"/>
    <w:rsid w:val="6FED4443"/>
    <w:rsid w:val="6FEE1357"/>
    <w:rsid w:val="6FF155E4"/>
    <w:rsid w:val="6FF21A0A"/>
    <w:rsid w:val="6FF2204D"/>
    <w:rsid w:val="6FF559A0"/>
    <w:rsid w:val="6FF73F6B"/>
    <w:rsid w:val="6FF837A1"/>
    <w:rsid w:val="6FFA4AD3"/>
    <w:rsid w:val="6FFBAB5F"/>
    <w:rsid w:val="700155F7"/>
    <w:rsid w:val="70018B68"/>
    <w:rsid w:val="7002720A"/>
    <w:rsid w:val="70030BA0"/>
    <w:rsid w:val="7003460F"/>
    <w:rsid w:val="70041101"/>
    <w:rsid w:val="7007C2E0"/>
    <w:rsid w:val="700B9962"/>
    <w:rsid w:val="700EAF09"/>
    <w:rsid w:val="7010496E"/>
    <w:rsid w:val="70131055"/>
    <w:rsid w:val="7015C262"/>
    <w:rsid w:val="70180F0C"/>
    <w:rsid w:val="70197F1C"/>
    <w:rsid w:val="701A31B3"/>
    <w:rsid w:val="701CBA80"/>
    <w:rsid w:val="701E6A61"/>
    <w:rsid w:val="70212656"/>
    <w:rsid w:val="7021FAFD"/>
    <w:rsid w:val="7024A215"/>
    <w:rsid w:val="7025F8B5"/>
    <w:rsid w:val="70271C31"/>
    <w:rsid w:val="702A1563"/>
    <w:rsid w:val="702D9F37"/>
    <w:rsid w:val="702F0209"/>
    <w:rsid w:val="702F4A95"/>
    <w:rsid w:val="703672D3"/>
    <w:rsid w:val="70376E71"/>
    <w:rsid w:val="7039DFD6"/>
    <w:rsid w:val="703BB406"/>
    <w:rsid w:val="703D3A5C"/>
    <w:rsid w:val="703E52BD"/>
    <w:rsid w:val="70404A96"/>
    <w:rsid w:val="70412102"/>
    <w:rsid w:val="704122BC"/>
    <w:rsid w:val="70453E0B"/>
    <w:rsid w:val="7047E385"/>
    <w:rsid w:val="70499828"/>
    <w:rsid w:val="704B8DF9"/>
    <w:rsid w:val="704EF652"/>
    <w:rsid w:val="7052466A"/>
    <w:rsid w:val="7052EB47"/>
    <w:rsid w:val="7052F315"/>
    <w:rsid w:val="70590B55"/>
    <w:rsid w:val="705ABAA3"/>
    <w:rsid w:val="705B2B1A"/>
    <w:rsid w:val="705C88BE"/>
    <w:rsid w:val="705D4F7E"/>
    <w:rsid w:val="705DE58D"/>
    <w:rsid w:val="7061A67F"/>
    <w:rsid w:val="7061A7F6"/>
    <w:rsid w:val="70647404"/>
    <w:rsid w:val="70653190"/>
    <w:rsid w:val="70689A97"/>
    <w:rsid w:val="70690FBE"/>
    <w:rsid w:val="706C2B8F"/>
    <w:rsid w:val="706DAD11"/>
    <w:rsid w:val="706E456E"/>
    <w:rsid w:val="706F8417"/>
    <w:rsid w:val="70700252"/>
    <w:rsid w:val="70705BB4"/>
    <w:rsid w:val="70712D28"/>
    <w:rsid w:val="707303A3"/>
    <w:rsid w:val="70746EFA"/>
    <w:rsid w:val="7075561E"/>
    <w:rsid w:val="70767D33"/>
    <w:rsid w:val="70783CD1"/>
    <w:rsid w:val="7078C931"/>
    <w:rsid w:val="707B5BC5"/>
    <w:rsid w:val="707FB2F2"/>
    <w:rsid w:val="70819D79"/>
    <w:rsid w:val="7081CC12"/>
    <w:rsid w:val="7083233F"/>
    <w:rsid w:val="708651D3"/>
    <w:rsid w:val="70868052"/>
    <w:rsid w:val="7088F60E"/>
    <w:rsid w:val="708E1009"/>
    <w:rsid w:val="708E6EAA"/>
    <w:rsid w:val="7095C3F4"/>
    <w:rsid w:val="7097F768"/>
    <w:rsid w:val="70995C05"/>
    <w:rsid w:val="709A1300"/>
    <w:rsid w:val="709E9698"/>
    <w:rsid w:val="709FF605"/>
    <w:rsid w:val="70A328CC"/>
    <w:rsid w:val="70A4BDCA"/>
    <w:rsid w:val="70A8804C"/>
    <w:rsid w:val="70AAEA55"/>
    <w:rsid w:val="70AEC45F"/>
    <w:rsid w:val="70AEE0D4"/>
    <w:rsid w:val="70B1175D"/>
    <w:rsid w:val="70B118F4"/>
    <w:rsid w:val="70B544B1"/>
    <w:rsid w:val="70B58064"/>
    <w:rsid w:val="70B5FB91"/>
    <w:rsid w:val="70B79A9E"/>
    <w:rsid w:val="70BBA58F"/>
    <w:rsid w:val="70BE7A95"/>
    <w:rsid w:val="70BEEB86"/>
    <w:rsid w:val="70C02703"/>
    <w:rsid w:val="70C0FFD7"/>
    <w:rsid w:val="70C4D74B"/>
    <w:rsid w:val="70CB4904"/>
    <w:rsid w:val="70CBD1A5"/>
    <w:rsid w:val="70CEAADC"/>
    <w:rsid w:val="70D03710"/>
    <w:rsid w:val="70D05CAC"/>
    <w:rsid w:val="70D25D3F"/>
    <w:rsid w:val="70D2C672"/>
    <w:rsid w:val="70D3E0C0"/>
    <w:rsid w:val="70D44876"/>
    <w:rsid w:val="70D7D0FD"/>
    <w:rsid w:val="70D7EF15"/>
    <w:rsid w:val="70D99734"/>
    <w:rsid w:val="70DC35E4"/>
    <w:rsid w:val="70E8D382"/>
    <w:rsid w:val="70E9503A"/>
    <w:rsid w:val="70EB9041"/>
    <w:rsid w:val="70F1D680"/>
    <w:rsid w:val="70F2BBF0"/>
    <w:rsid w:val="70F485B9"/>
    <w:rsid w:val="70F5E95E"/>
    <w:rsid w:val="70F60A71"/>
    <w:rsid w:val="70F81952"/>
    <w:rsid w:val="70F9C6ED"/>
    <w:rsid w:val="70FEA633"/>
    <w:rsid w:val="70FED8D0"/>
    <w:rsid w:val="7102C1A3"/>
    <w:rsid w:val="7107CF02"/>
    <w:rsid w:val="710B3D6B"/>
    <w:rsid w:val="710D96BA"/>
    <w:rsid w:val="71102B88"/>
    <w:rsid w:val="7112BF72"/>
    <w:rsid w:val="7113AF5E"/>
    <w:rsid w:val="71147757"/>
    <w:rsid w:val="7116EC99"/>
    <w:rsid w:val="711754AE"/>
    <w:rsid w:val="711A85D2"/>
    <w:rsid w:val="711C74DC"/>
    <w:rsid w:val="711D2E43"/>
    <w:rsid w:val="7126F172"/>
    <w:rsid w:val="712D3CFB"/>
    <w:rsid w:val="712E151C"/>
    <w:rsid w:val="7131B991"/>
    <w:rsid w:val="7136DF84"/>
    <w:rsid w:val="71375CC6"/>
    <w:rsid w:val="7139AC5F"/>
    <w:rsid w:val="713B11B7"/>
    <w:rsid w:val="713BF1CD"/>
    <w:rsid w:val="713C5538"/>
    <w:rsid w:val="71411D5B"/>
    <w:rsid w:val="7142AC56"/>
    <w:rsid w:val="7142ECBC"/>
    <w:rsid w:val="7146A980"/>
    <w:rsid w:val="71480489"/>
    <w:rsid w:val="714890AE"/>
    <w:rsid w:val="714A7979"/>
    <w:rsid w:val="714AAB01"/>
    <w:rsid w:val="714D8073"/>
    <w:rsid w:val="7151608D"/>
    <w:rsid w:val="7152185B"/>
    <w:rsid w:val="7152DAE2"/>
    <w:rsid w:val="71555231"/>
    <w:rsid w:val="7156F308"/>
    <w:rsid w:val="715E9034"/>
    <w:rsid w:val="7169E1CF"/>
    <w:rsid w:val="716A0E3A"/>
    <w:rsid w:val="716D1300"/>
    <w:rsid w:val="716D6DB0"/>
    <w:rsid w:val="716DE26D"/>
    <w:rsid w:val="716DF4F7"/>
    <w:rsid w:val="716F18E9"/>
    <w:rsid w:val="7170003B"/>
    <w:rsid w:val="71719C0E"/>
    <w:rsid w:val="71784FA9"/>
    <w:rsid w:val="71791E33"/>
    <w:rsid w:val="717BC136"/>
    <w:rsid w:val="71833AE5"/>
    <w:rsid w:val="7186082E"/>
    <w:rsid w:val="71882869"/>
    <w:rsid w:val="718B81C8"/>
    <w:rsid w:val="718FBEE8"/>
    <w:rsid w:val="7191BDBF"/>
    <w:rsid w:val="71928CE7"/>
    <w:rsid w:val="7193782A"/>
    <w:rsid w:val="71971103"/>
    <w:rsid w:val="71992403"/>
    <w:rsid w:val="719A8B81"/>
    <w:rsid w:val="719B289E"/>
    <w:rsid w:val="719F8EA4"/>
    <w:rsid w:val="71A5A917"/>
    <w:rsid w:val="71A6A12B"/>
    <w:rsid w:val="71A99E13"/>
    <w:rsid w:val="71AE47AC"/>
    <w:rsid w:val="71B14093"/>
    <w:rsid w:val="71B23233"/>
    <w:rsid w:val="71B614E4"/>
    <w:rsid w:val="71B6AFB6"/>
    <w:rsid w:val="71B734FB"/>
    <w:rsid w:val="71BA2C9D"/>
    <w:rsid w:val="71C078EB"/>
    <w:rsid w:val="71C20B69"/>
    <w:rsid w:val="71C32326"/>
    <w:rsid w:val="71C4D9AC"/>
    <w:rsid w:val="71C59E15"/>
    <w:rsid w:val="71C5EFB8"/>
    <w:rsid w:val="71C63410"/>
    <w:rsid w:val="71C6F8D1"/>
    <w:rsid w:val="71C84332"/>
    <w:rsid w:val="71CA4EC7"/>
    <w:rsid w:val="71D5AEF4"/>
    <w:rsid w:val="71DBAB29"/>
    <w:rsid w:val="71DE1625"/>
    <w:rsid w:val="71F03C6E"/>
    <w:rsid w:val="71F39CEE"/>
    <w:rsid w:val="71F43630"/>
    <w:rsid w:val="71F4D031"/>
    <w:rsid w:val="71F750D2"/>
    <w:rsid w:val="71F7F8F7"/>
    <w:rsid w:val="71FA8467"/>
    <w:rsid w:val="71FDBFBC"/>
    <w:rsid w:val="71FED176"/>
    <w:rsid w:val="71FEF14C"/>
    <w:rsid w:val="72038926"/>
    <w:rsid w:val="72058EB0"/>
    <w:rsid w:val="7209F06F"/>
    <w:rsid w:val="720F6FFF"/>
    <w:rsid w:val="72102AA7"/>
    <w:rsid w:val="7214AA3E"/>
    <w:rsid w:val="7215632F"/>
    <w:rsid w:val="72159FED"/>
    <w:rsid w:val="7216EEBC"/>
    <w:rsid w:val="72175FEC"/>
    <w:rsid w:val="7218512A"/>
    <w:rsid w:val="72210F2E"/>
    <w:rsid w:val="722517DE"/>
    <w:rsid w:val="7229CF17"/>
    <w:rsid w:val="7229F46E"/>
    <w:rsid w:val="722D447D"/>
    <w:rsid w:val="722F2173"/>
    <w:rsid w:val="72300156"/>
    <w:rsid w:val="72319DB4"/>
    <w:rsid w:val="7233691B"/>
    <w:rsid w:val="72340B9E"/>
    <w:rsid w:val="723E7BC4"/>
    <w:rsid w:val="723E86DD"/>
    <w:rsid w:val="72412AEE"/>
    <w:rsid w:val="7241E13C"/>
    <w:rsid w:val="7243EA91"/>
    <w:rsid w:val="72471470"/>
    <w:rsid w:val="724783BE"/>
    <w:rsid w:val="724C584C"/>
    <w:rsid w:val="724EE26D"/>
    <w:rsid w:val="724EF62A"/>
    <w:rsid w:val="724FC152"/>
    <w:rsid w:val="7255C3D0"/>
    <w:rsid w:val="7259DBB2"/>
    <w:rsid w:val="725AF5FA"/>
    <w:rsid w:val="725C4B23"/>
    <w:rsid w:val="725E4EED"/>
    <w:rsid w:val="725FF1DE"/>
    <w:rsid w:val="725FF5FC"/>
    <w:rsid w:val="7260F833"/>
    <w:rsid w:val="7262B085"/>
    <w:rsid w:val="72642D4E"/>
    <w:rsid w:val="72661E0A"/>
    <w:rsid w:val="72696BD2"/>
    <w:rsid w:val="726ADE9A"/>
    <w:rsid w:val="7271E5E7"/>
    <w:rsid w:val="72728AA6"/>
    <w:rsid w:val="7272E946"/>
    <w:rsid w:val="72747BA9"/>
    <w:rsid w:val="7275F650"/>
    <w:rsid w:val="727BD614"/>
    <w:rsid w:val="727E77F0"/>
    <w:rsid w:val="727F5F5F"/>
    <w:rsid w:val="7281DA75"/>
    <w:rsid w:val="72829ADA"/>
    <w:rsid w:val="72875E20"/>
    <w:rsid w:val="72878155"/>
    <w:rsid w:val="728816B6"/>
    <w:rsid w:val="728940C1"/>
    <w:rsid w:val="728AC4CA"/>
    <w:rsid w:val="728CAFF6"/>
    <w:rsid w:val="728DC8A3"/>
    <w:rsid w:val="728DE692"/>
    <w:rsid w:val="728F5E60"/>
    <w:rsid w:val="72915631"/>
    <w:rsid w:val="7291838A"/>
    <w:rsid w:val="72976D96"/>
    <w:rsid w:val="729B57F1"/>
    <w:rsid w:val="729B7D95"/>
    <w:rsid w:val="729C260D"/>
    <w:rsid w:val="729C5EFE"/>
    <w:rsid w:val="72A00D33"/>
    <w:rsid w:val="72A7A152"/>
    <w:rsid w:val="72A8B64A"/>
    <w:rsid w:val="72A8E86B"/>
    <w:rsid w:val="72A902B2"/>
    <w:rsid w:val="72AC5D50"/>
    <w:rsid w:val="72AC5D62"/>
    <w:rsid w:val="72AED51A"/>
    <w:rsid w:val="72B08DE9"/>
    <w:rsid w:val="72B2B7B7"/>
    <w:rsid w:val="72B3888F"/>
    <w:rsid w:val="72BBB329"/>
    <w:rsid w:val="72BD2C0F"/>
    <w:rsid w:val="72BDC79F"/>
    <w:rsid w:val="72C05A5E"/>
    <w:rsid w:val="72C19588"/>
    <w:rsid w:val="72CB86D3"/>
    <w:rsid w:val="72CBCE6F"/>
    <w:rsid w:val="72CC4AF5"/>
    <w:rsid w:val="72CD1036"/>
    <w:rsid w:val="72D22165"/>
    <w:rsid w:val="72D3CDB9"/>
    <w:rsid w:val="72D439DA"/>
    <w:rsid w:val="72D6301F"/>
    <w:rsid w:val="72D82896"/>
    <w:rsid w:val="72DAAEF2"/>
    <w:rsid w:val="72DBE962"/>
    <w:rsid w:val="72DDC975"/>
    <w:rsid w:val="72DF9F86"/>
    <w:rsid w:val="72E1A687"/>
    <w:rsid w:val="72E32915"/>
    <w:rsid w:val="72E5FEFC"/>
    <w:rsid w:val="72E6F66B"/>
    <w:rsid w:val="72E7A83B"/>
    <w:rsid w:val="72E97E86"/>
    <w:rsid w:val="72EA15C7"/>
    <w:rsid w:val="72EB6F25"/>
    <w:rsid w:val="72EC00AF"/>
    <w:rsid w:val="72ED1BC2"/>
    <w:rsid w:val="72EDDDB5"/>
    <w:rsid w:val="72EE22ED"/>
    <w:rsid w:val="72EEC502"/>
    <w:rsid w:val="72F01921"/>
    <w:rsid w:val="72F2F2EE"/>
    <w:rsid w:val="72F48061"/>
    <w:rsid w:val="72F6375E"/>
    <w:rsid w:val="72F8B835"/>
    <w:rsid w:val="72F92BBD"/>
    <w:rsid w:val="72FCE61D"/>
    <w:rsid w:val="72FEF2BD"/>
    <w:rsid w:val="7302B493"/>
    <w:rsid w:val="730D03A2"/>
    <w:rsid w:val="730F72CE"/>
    <w:rsid w:val="7311AAC1"/>
    <w:rsid w:val="73125AF7"/>
    <w:rsid w:val="7314DBED"/>
    <w:rsid w:val="73160252"/>
    <w:rsid w:val="73188EB3"/>
    <w:rsid w:val="731C395A"/>
    <w:rsid w:val="7320EB5E"/>
    <w:rsid w:val="7322C486"/>
    <w:rsid w:val="7324E1F5"/>
    <w:rsid w:val="73288A1F"/>
    <w:rsid w:val="7328C933"/>
    <w:rsid w:val="732C3D13"/>
    <w:rsid w:val="732E35A7"/>
    <w:rsid w:val="732E834F"/>
    <w:rsid w:val="732EFB33"/>
    <w:rsid w:val="732F31E5"/>
    <w:rsid w:val="73327914"/>
    <w:rsid w:val="7336FF90"/>
    <w:rsid w:val="7338D88C"/>
    <w:rsid w:val="733BB4C3"/>
    <w:rsid w:val="733C8CD8"/>
    <w:rsid w:val="733E87B9"/>
    <w:rsid w:val="733F9DE1"/>
    <w:rsid w:val="733FDC04"/>
    <w:rsid w:val="73420020"/>
    <w:rsid w:val="7345B2E5"/>
    <w:rsid w:val="73498FD7"/>
    <w:rsid w:val="7349ADFA"/>
    <w:rsid w:val="734E119B"/>
    <w:rsid w:val="734F946C"/>
    <w:rsid w:val="73537554"/>
    <w:rsid w:val="7358222C"/>
    <w:rsid w:val="735B3CF1"/>
    <w:rsid w:val="735B6921"/>
    <w:rsid w:val="735D0628"/>
    <w:rsid w:val="73628EB6"/>
    <w:rsid w:val="73642A0C"/>
    <w:rsid w:val="73659AF8"/>
    <w:rsid w:val="7369DC07"/>
    <w:rsid w:val="736A9363"/>
    <w:rsid w:val="736D0622"/>
    <w:rsid w:val="736D1898"/>
    <w:rsid w:val="736DB6D5"/>
    <w:rsid w:val="73743151"/>
    <w:rsid w:val="73770BEA"/>
    <w:rsid w:val="737B9500"/>
    <w:rsid w:val="737C9EDD"/>
    <w:rsid w:val="737E79FE"/>
    <w:rsid w:val="737EAC6E"/>
    <w:rsid w:val="7384033B"/>
    <w:rsid w:val="7388205B"/>
    <w:rsid w:val="73885382"/>
    <w:rsid w:val="7388AEB5"/>
    <w:rsid w:val="7389EBD5"/>
    <w:rsid w:val="738A170E"/>
    <w:rsid w:val="738BB50E"/>
    <w:rsid w:val="738C9CD3"/>
    <w:rsid w:val="738D604A"/>
    <w:rsid w:val="73911832"/>
    <w:rsid w:val="7392F478"/>
    <w:rsid w:val="7393AFBD"/>
    <w:rsid w:val="7394A3C5"/>
    <w:rsid w:val="739A62AC"/>
    <w:rsid w:val="739A6FB4"/>
    <w:rsid w:val="739C382E"/>
    <w:rsid w:val="739C9199"/>
    <w:rsid w:val="73A1CA4C"/>
    <w:rsid w:val="73AA0317"/>
    <w:rsid w:val="73ADEE98"/>
    <w:rsid w:val="73B0D8F6"/>
    <w:rsid w:val="73B5FD4C"/>
    <w:rsid w:val="73BD9C03"/>
    <w:rsid w:val="73BE3324"/>
    <w:rsid w:val="73BED52C"/>
    <w:rsid w:val="73C23F26"/>
    <w:rsid w:val="73C244A8"/>
    <w:rsid w:val="73C4A2F7"/>
    <w:rsid w:val="73C4D88D"/>
    <w:rsid w:val="73C81828"/>
    <w:rsid w:val="73C956D4"/>
    <w:rsid w:val="73CA455A"/>
    <w:rsid w:val="73CA6938"/>
    <w:rsid w:val="73CD37E4"/>
    <w:rsid w:val="73CDA74C"/>
    <w:rsid w:val="73D3C577"/>
    <w:rsid w:val="73D985CC"/>
    <w:rsid w:val="73DAF832"/>
    <w:rsid w:val="73E10D05"/>
    <w:rsid w:val="73E30D80"/>
    <w:rsid w:val="73E459DD"/>
    <w:rsid w:val="73E46964"/>
    <w:rsid w:val="73E59E95"/>
    <w:rsid w:val="73E65B40"/>
    <w:rsid w:val="73ECAEDD"/>
    <w:rsid w:val="73ECDD7A"/>
    <w:rsid w:val="73EDACC0"/>
    <w:rsid w:val="73F09BB4"/>
    <w:rsid w:val="73F1D5C9"/>
    <w:rsid w:val="73F75D98"/>
    <w:rsid w:val="73F98C89"/>
    <w:rsid w:val="73FB7660"/>
    <w:rsid w:val="74008657"/>
    <w:rsid w:val="74025D92"/>
    <w:rsid w:val="74048591"/>
    <w:rsid w:val="74049975"/>
    <w:rsid w:val="7404C845"/>
    <w:rsid w:val="7407FB79"/>
    <w:rsid w:val="74109441"/>
    <w:rsid w:val="74116B3E"/>
    <w:rsid w:val="74150C9C"/>
    <w:rsid w:val="74176710"/>
    <w:rsid w:val="741824DF"/>
    <w:rsid w:val="74199E4F"/>
    <w:rsid w:val="7419CE90"/>
    <w:rsid w:val="741B9EE3"/>
    <w:rsid w:val="741F3D62"/>
    <w:rsid w:val="741F8096"/>
    <w:rsid w:val="742157FC"/>
    <w:rsid w:val="74296AD7"/>
    <w:rsid w:val="7429F380"/>
    <w:rsid w:val="742B2586"/>
    <w:rsid w:val="742C1645"/>
    <w:rsid w:val="742C8624"/>
    <w:rsid w:val="743277AB"/>
    <w:rsid w:val="7433C4A8"/>
    <w:rsid w:val="743499D3"/>
    <w:rsid w:val="7434D7AF"/>
    <w:rsid w:val="7436B6A1"/>
    <w:rsid w:val="7436E81E"/>
    <w:rsid w:val="743AD0C5"/>
    <w:rsid w:val="743B76F8"/>
    <w:rsid w:val="743BC301"/>
    <w:rsid w:val="743E24CB"/>
    <w:rsid w:val="743FBCD4"/>
    <w:rsid w:val="744085F7"/>
    <w:rsid w:val="7440AE4B"/>
    <w:rsid w:val="744186F9"/>
    <w:rsid w:val="74424C42"/>
    <w:rsid w:val="7443A18D"/>
    <w:rsid w:val="7448F4E8"/>
    <w:rsid w:val="7449557A"/>
    <w:rsid w:val="744FD32A"/>
    <w:rsid w:val="74518469"/>
    <w:rsid w:val="74545592"/>
    <w:rsid w:val="7454B54E"/>
    <w:rsid w:val="7456092D"/>
    <w:rsid w:val="745810A0"/>
    <w:rsid w:val="745896DE"/>
    <w:rsid w:val="7458B9AF"/>
    <w:rsid w:val="745FB9A5"/>
    <w:rsid w:val="74626EB0"/>
    <w:rsid w:val="7468830E"/>
    <w:rsid w:val="746899C1"/>
    <w:rsid w:val="746C0E93"/>
    <w:rsid w:val="746E0770"/>
    <w:rsid w:val="746EE81D"/>
    <w:rsid w:val="74706EFA"/>
    <w:rsid w:val="74767689"/>
    <w:rsid w:val="74782E1A"/>
    <w:rsid w:val="747838A4"/>
    <w:rsid w:val="747A75D4"/>
    <w:rsid w:val="747B2693"/>
    <w:rsid w:val="747B7C95"/>
    <w:rsid w:val="747DC7B6"/>
    <w:rsid w:val="747F56EF"/>
    <w:rsid w:val="748251A1"/>
    <w:rsid w:val="74830381"/>
    <w:rsid w:val="7487A995"/>
    <w:rsid w:val="748B3053"/>
    <w:rsid w:val="748BF051"/>
    <w:rsid w:val="748ED3F1"/>
    <w:rsid w:val="74918288"/>
    <w:rsid w:val="7491A1D2"/>
    <w:rsid w:val="749292D1"/>
    <w:rsid w:val="749361D1"/>
    <w:rsid w:val="749842E1"/>
    <w:rsid w:val="74992EAF"/>
    <w:rsid w:val="749AA74B"/>
    <w:rsid w:val="74A027D6"/>
    <w:rsid w:val="74A06443"/>
    <w:rsid w:val="74A9BDF9"/>
    <w:rsid w:val="74AEF51D"/>
    <w:rsid w:val="74B148B2"/>
    <w:rsid w:val="74B27EFB"/>
    <w:rsid w:val="74B4EB87"/>
    <w:rsid w:val="74B5DE2D"/>
    <w:rsid w:val="74B97C14"/>
    <w:rsid w:val="74C0A56F"/>
    <w:rsid w:val="74C0C7E5"/>
    <w:rsid w:val="74C17440"/>
    <w:rsid w:val="74C2A554"/>
    <w:rsid w:val="74C3C093"/>
    <w:rsid w:val="74C3E5CD"/>
    <w:rsid w:val="74C61880"/>
    <w:rsid w:val="74C7E239"/>
    <w:rsid w:val="74CEA9B4"/>
    <w:rsid w:val="74CF1C61"/>
    <w:rsid w:val="74D1B946"/>
    <w:rsid w:val="74D1F79C"/>
    <w:rsid w:val="74D42843"/>
    <w:rsid w:val="74D95CF8"/>
    <w:rsid w:val="74DC7BCE"/>
    <w:rsid w:val="74DC9D33"/>
    <w:rsid w:val="74DD27C1"/>
    <w:rsid w:val="74DE1060"/>
    <w:rsid w:val="74E0A0C9"/>
    <w:rsid w:val="74E5DAC3"/>
    <w:rsid w:val="74E61130"/>
    <w:rsid w:val="74E7C8D5"/>
    <w:rsid w:val="74E94816"/>
    <w:rsid w:val="74F1FF3A"/>
    <w:rsid w:val="74F35A44"/>
    <w:rsid w:val="74F69EDC"/>
    <w:rsid w:val="74F80DE3"/>
    <w:rsid w:val="74FB4658"/>
    <w:rsid w:val="74FD0F81"/>
    <w:rsid w:val="74FE9C44"/>
    <w:rsid w:val="74FF7EA2"/>
    <w:rsid w:val="75021106"/>
    <w:rsid w:val="75042E11"/>
    <w:rsid w:val="75053BC3"/>
    <w:rsid w:val="7505847E"/>
    <w:rsid w:val="7505E428"/>
    <w:rsid w:val="7508A32E"/>
    <w:rsid w:val="7508B8B5"/>
    <w:rsid w:val="750A5E91"/>
    <w:rsid w:val="750BEA9B"/>
    <w:rsid w:val="750E3390"/>
    <w:rsid w:val="750E4186"/>
    <w:rsid w:val="751179B4"/>
    <w:rsid w:val="75175BF1"/>
    <w:rsid w:val="7518AB21"/>
    <w:rsid w:val="75196A1D"/>
    <w:rsid w:val="751A3E42"/>
    <w:rsid w:val="751BCEC3"/>
    <w:rsid w:val="752A2AA1"/>
    <w:rsid w:val="752A4F64"/>
    <w:rsid w:val="752BB96C"/>
    <w:rsid w:val="752C9AE3"/>
    <w:rsid w:val="752E6E3A"/>
    <w:rsid w:val="752E86AF"/>
    <w:rsid w:val="75309C9E"/>
    <w:rsid w:val="75324A4A"/>
    <w:rsid w:val="7532777E"/>
    <w:rsid w:val="75350F1D"/>
    <w:rsid w:val="75354BE3"/>
    <w:rsid w:val="7535B836"/>
    <w:rsid w:val="753612A1"/>
    <w:rsid w:val="7537FF34"/>
    <w:rsid w:val="753BC9C3"/>
    <w:rsid w:val="753C7D02"/>
    <w:rsid w:val="75406992"/>
    <w:rsid w:val="754513F3"/>
    <w:rsid w:val="75451574"/>
    <w:rsid w:val="7546F48A"/>
    <w:rsid w:val="75473982"/>
    <w:rsid w:val="754C40B9"/>
    <w:rsid w:val="754CBCEC"/>
    <w:rsid w:val="754E3B09"/>
    <w:rsid w:val="7550B6CC"/>
    <w:rsid w:val="7550F910"/>
    <w:rsid w:val="75518965"/>
    <w:rsid w:val="755305DF"/>
    <w:rsid w:val="75553799"/>
    <w:rsid w:val="7555997E"/>
    <w:rsid w:val="755A0D29"/>
    <w:rsid w:val="755AC04B"/>
    <w:rsid w:val="755E70DC"/>
    <w:rsid w:val="756371BC"/>
    <w:rsid w:val="7564D7B7"/>
    <w:rsid w:val="756EF6BC"/>
    <w:rsid w:val="7570D328"/>
    <w:rsid w:val="75720DD1"/>
    <w:rsid w:val="757A528C"/>
    <w:rsid w:val="757B3B63"/>
    <w:rsid w:val="75802E24"/>
    <w:rsid w:val="758084ED"/>
    <w:rsid w:val="7580AF50"/>
    <w:rsid w:val="75811CDB"/>
    <w:rsid w:val="7581E106"/>
    <w:rsid w:val="75866213"/>
    <w:rsid w:val="7586B25F"/>
    <w:rsid w:val="758A4594"/>
    <w:rsid w:val="758E531C"/>
    <w:rsid w:val="758F3EF7"/>
    <w:rsid w:val="75964A53"/>
    <w:rsid w:val="759A38D0"/>
    <w:rsid w:val="759BD694"/>
    <w:rsid w:val="759CBE46"/>
    <w:rsid w:val="759E25D2"/>
    <w:rsid w:val="759F324C"/>
    <w:rsid w:val="75A09381"/>
    <w:rsid w:val="75A31D62"/>
    <w:rsid w:val="75A5C081"/>
    <w:rsid w:val="75A9FD9C"/>
    <w:rsid w:val="75AB7937"/>
    <w:rsid w:val="75ACE707"/>
    <w:rsid w:val="75B21900"/>
    <w:rsid w:val="75B3A210"/>
    <w:rsid w:val="75B68209"/>
    <w:rsid w:val="75B85337"/>
    <w:rsid w:val="75B94A80"/>
    <w:rsid w:val="75BB76EF"/>
    <w:rsid w:val="75BDCF95"/>
    <w:rsid w:val="75BFE7C4"/>
    <w:rsid w:val="75C1DAA8"/>
    <w:rsid w:val="75C3CF01"/>
    <w:rsid w:val="75C449C0"/>
    <w:rsid w:val="75C465F5"/>
    <w:rsid w:val="75C61BF0"/>
    <w:rsid w:val="75C81734"/>
    <w:rsid w:val="75CB2512"/>
    <w:rsid w:val="75CB723D"/>
    <w:rsid w:val="75CDD89B"/>
    <w:rsid w:val="75CF9E74"/>
    <w:rsid w:val="75D09FF7"/>
    <w:rsid w:val="75D42121"/>
    <w:rsid w:val="75D68247"/>
    <w:rsid w:val="75D8A370"/>
    <w:rsid w:val="75DAE8AE"/>
    <w:rsid w:val="75DCEEAE"/>
    <w:rsid w:val="75DF6193"/>
    <w:rsid w:val="75E163E1"/>
    <w:rsid w:val="75E34F12"/>
    <w:rsid w:val="75E6DA03"/>
    <w:rsid w:val="75E6F025"/>
    <w:rsid w:val="75E74375"/>
    <w:rsid w:val="75E763D3"/>
    <w:rsid w:val="75E9A3B5"/>
    <w:rsid w:val="75ED53F5"/>
    <w:rsid w:val="75EDF54A"/>
    <w:rsid w:val="75F169F0"/>
    <w:rsid w:val="75F5D510"/>
    <w:rsid w:val="75FA774E"/>
    <w:rsid w:val="75FB9F0D"/>
    <w:rsid w:val="75FED6E4"/>
    <w:rsid w:val="7603AD46"/>
    <w:rsid w:val="7608481D"/>
    <w:rsid w:val="7608E756"/>
    <w:rsid w:val="7608E915"/>
    <w:rsid w:val="7609AEC8"/>
    <w:rsid w:val="760A38EC"/>
    <w:rsid w:val="760AF844"/>
    <w:rsid w:val="760DEAF4"/>
    <w:rsid w:val="7612A69A"/>
    <w:rsid w:val="76134D10"/>
    <w:rsid w:val="76155622"/>
    <w:rsid w:val="761931E5"/>
    <w:rsid w:val="761A046B"/>
    <w:rsid w:val="761EF443"/>
    <w:rsid w:val="76243809"/>
    <w:rsid w:val="76251758"/>
    <w:rsid w:val="76256F4F"/>
    <w:rsid w:val="7625708A"/>
    <w:rsid w:val="7626A40A"/>
    <w:rsid w:val="7631238B"/>
    <w:rsid w:val="7631EE55"/>
    <w:rsid w:val="76329E90"/>
    <w:rsid w:val="763507AA"/>
    <w:rsid w:val="763600B3"/>
    <w:rsid w:val="763613AB"/>
    <w:rsid w:val="76368593"/>
    <w:rsid w:val="76369B31"/>
    <w:rsid w:val="76380DE4"/>
    <w:rsid w:val="763B7E07"/>
    <w:rsid w:val="763BD29D"/>
    <w:rsid w:val="763EE58A"/>
    <w:rsid w:val="7640FF11"/>
    <w:rsid w:val="7642771E"/>
    <w:rsid w:val="7642B6ED"/>
    <w:rsid w:val="76449476"/>
    <w:rsid w:val="7645C3EC"/>
    <w:rsid w:val="76481DA3"/>
    <w:rsid w:val="764CD9B0"/>
    <w:rsid w:val="764D6F27"/>
    <w:rsid w:val="764E6CB1"/>
    <w:rsid w:val="765277D4"/>
    <w:rsid w:val="7652E4B2"/>
    <w:rsid w:val="7655671B"/>
    <w:rsid w:val="7656598C"/>
    <w:rsid w:val="76599A40"/>
    <w:rsid w:val="765A8F10"/>
    <w:rsid w:val="765B3446"/>
    <w:rsid w:val="765B6CA6"/>
    <w:rsid w:val="765C6561"/>
    <w:rsid w:val="765D91D6"/>
    <w:rsid w:val="765FEC31"/>
    <w:rsid w:val="7661B532"/>
    <w:rsid w:val="7661D095"/>
    <w:rsid w:val="7666EAF9"/>
    <w:rsid w:val="766C7E86"/>
    <w:rsid w:val="766C995A"/>
    <w:rsid w:val="766D0FAB"/>
    <w:rsid w:val="766D1ACA"/>
    <w:rsid w:val="766E0982"/>
    <w:rsid w:val="766E9651"/>
    <w:rsid w:val="76704979"/>
    <w:rsid w:val="7673B062"/>
    <w:rsid w:val="76776D86"/>
    <w:rsid w:val="767C9E5B"/>
    <w:rsid w:val="767EA973"/>
    <w:rsid w:val="7682E0B3"/>
    <w:rsid w:val="768310A6"/>
    <w:rsid w:val="768461D2"/>
    <w:rsid w:val="76857B97"/>
    <w:rsid w:val="768644C9"/>
    <w:rsid w:val="76882247"/>
    <w:rsid w:val="768F9443"/>
    <w:rsid w:val="768FD00A"/>
    <w:rsid w:val="7690BEEF"/>
    <w:rsid w:val="7697CAE3"/>
    <w:rsid w:val="76986DC0"/>
    <w:rsid w:val="76995712"/>
    <w:rsid w:val="7699D777"/>
    <w:rsid w:val="769CC83F"/>
    <w:rsid w:val="76A38BE3"/>
    <w:rsid w:val="76A915AA"/>
    <w:rsid w:val="76AAA717"/>
    <w:rsid w:val="76AECFF9"/>
    <w:rsid w:val="76B5E6F9"/>
    <w:rsid w:val="76B9297B"/>
    <w:rsid w:val="76BC4BDF"/>
    <w:rsid w:val="76BCF49F"/>
    <w:rsid w:val="76BF8C67"/>
    <w:rsid w:val="76C189F8"/>
    <w:rsid w:val="76C1CFCB"/>
    <w:rsid w:val="76C4F21D"/>
    <w:rsid w:val="76C4F4C4"/>
    <w:rsid w:val="76C4FEEB"/>
    <w:rsid w:val="76C63C95"/>
    <w:rsid w:val="76CB8412"/>
    <w:rsid w:val="76CC8873"/>
    <w:rsid w:val="76D78769"/>
    <w:rsid w:val="76D88092"/>
    <w:rsid w:val="76D94D3D"/>
    <w:rsid w:val="76DB2CE9"/>
    <w:rsid w:val="76DB3866"/>
    <w:rsid w:val="76DB761B"/>
    <w:rsid w:val="76DCE54D"/>
    <w:rsid w:val="76DD4A06"/>
    <w:rsid w:val="76DEA6E8"/>
    <w:rsid w:val="76E00998"/>
    <w:rsid w:val="76E1D0BD"/>
    <w:rsid w:val="76E6740D"/>
    <w:rsid w:val="76E700C7"/>
    <w:rsid w:val="76E7AA18"/>
    <w:rsid w:val="76E86428"/>
    <w:rsid w:val="76EC4F7A"/>
    <w:rsid w:val="76EDC60B"/>
    <w:rsid w:val="76F2727B"/>
    <w:rsid w:val="76F632A1"/>
    <w:rsid w:val="76FBA5A4"/>
    <w:rsid w:val="76FC4400"/>
    <w:rsid w:val="77002157"/>
    <w:rsid w:val="77053ECA"/>
    <w:rsid w:val="770954E8"/>
    <w:rsid w:val="770C0C55"/>
    <w:rsid w:val="770D3B93"/>
    <w:rsid w:val="770D6AED"/>
    <w:rsid w:val="770FC12E"/>
    <w:rsid w:val="77181CD9"/>
    <w:rsid w:val="7719AE03"/>
    <w:rsid w:val="771CC17D"/>
    <w:rsid w:val="7726BB8E"/>
    <w:rsid w:val="772B06BA"/>
    <w:rsid w:val="772CDBF9"/>
    <w:rsid w:val="77345A0F"/>
    <w:rsid w:val="7735BBB3"/>
    <w:rsid w:val="7736A269"/>
    <w:rsid w:val="773A3FF2"/>
    <w:rsid w:val="773FB4F0"/>
    <w:rsid w:val="7746F54C"/>
    <w:rsid w:val="7749EA63"/>
    <w:rsid w:val="774C5047"/>
    <w:rsid w:val="774DC7B2"/>
    <w:rsid w:val="7752E750"/>
    <w:rsid w:val="77532DF9"/>
    <w:rsid w:val="7753B833"/>
    <w:rsid w:val="77554B8D"/>
    <w:rsid w:val="7758305A"/>
    <w:rsid w:val="77584CAB"/>
    <w:rsid w:val="775868B8"/>
    <w:rsid w:val="775F10EE"/>
    <w:rsid w:val="776245F3"/>
    <w:rsid w:val="776344AC"/>
    <w:rsid w:val="77665E1A"/>
    <w:rsid w:val="7766C9F8"/>
    <w:rsid w:val="776FE105"/>
    <w:rsid w:val="777039AF"/>
    <w:rsid w:val="77731D5C"/>
    <w:rsid w:val="777C61AC"/>
    <w:rsid w:val="777EE9B6"/>
    <w:rsid w:val="7781CB99"/>
    <w:rsid w:val="77828D57"/>
    <w:rsid w:val="77829DB7"/>
    <w:rsid w:val="7788A694"/>
    <w:rsid w:val="778EE345"/>
    <w:rsid w:val="778F49DD"/>
    <w:rsid w:val="7792784D"/>
    <w:rsid w:val="77932703"/>
    <w:rsid w:val="77963F1A"/>
    <w:rsid w:val="77966D31"/>
    <w:rsid w:val="7798BF10"/>
    <w:rsid w:val="7799C010"/>
    <w:rsid w:val="779F4BFA"/>
    <w:rsid w:val="77A16CA6"/>
    <w:rsid w:val="77A2CD19"/>
    <w:rsid w:val="77A60528"/>
    <w:rsid w:val="77A77177"/>
    <w:rsid w:val="77A82128"/>
    <w:rsid w:val="77A8CBAC"/>
    <w:rsid w:val="77A9F5F8"/>
    <w:rsid w:val="77AA7150"/>
    <w:rsid w:val="77AB2849"/>
    <w:rsid w:val="77AF2B0A"/>
    <w:rsid w:val="77B06E80"/>
    <w:rsid w:val="77B2B1DA"/>
    <w:rsid w:val="77B396F5"/>
    <w:rsid w:val="77B71415"/>
    <w:rsid w:val="77B966CD"/>
    <w:rsid w:val="77BB2E79"/>
    <w:rsid w:val="77BC0A57"/>
    <w:rsid w:val="77BD0F6B"/>
    <w:rsid w:val="77BDBED5"/>
    <w:rsid w:val="77BECC1B"/>
    <w:rsid w:val="77BF6DA3"/>
    <w:rsid w:val="77C0997E"/>
    <w:rsid w:val="77D0DF68"/>
    <w:rsid w:val="77D2895F"/>
    <w:rsid w:val="77D39236"/>
    <w:rsid w:val="77D3B28D"/>
    <w:rsid w:val="77D613B9"/>
    <w:rsid w:val="77D62E13"/>
    <w:rsid w:val="77D74628"/>
    <w:rsid w:val="77D9D99B"/>
    <w:rsid w:val="77DCDDE2"/>
    <w:rsid w:val="77DEB023"/>
    <w:rsid w:val="77DF9226"/>
    <w:rsid w:val="77E064FC"/>
    <w:rsid w:val="77E34ECA"/>
    <w:rsid w:val="77E3800C"/>
    <w:rsid w:val="77EA725C"/>
    <w:rsid w:val="77EA9E6E"/>
    <w:rsid w:val="77EE3ED8"/>
    <w:rsid w:val="77F51B3A"/>
    <w:rsid w:val="77F7AE12"/>
    <w:rsid w:val="77FBE0DD"/>
    <w:rsid w:val="77FD683C"/>
    <w:rsid w:val="77FDA162"/>
    <w:rsid w:val="7806B629"/>
    <w:rsid w:val="780C554B"/>
    <w:rsid w:val="780F0335"/>
    <w:rsid w:val="78130E99"/>
    <w:rsid w:val="781450D1"/>
    <w:rsid w:val="7816E4D6"/>
    <w:rsid w:val="7817180C"/>
    <w:rsid w:val="7818252B"/>
    <w:rsid w:val="781B4661"/>
    <w:rsid w:val="781C2D7A"/>
    <w:rsid w:val="782C4427"/>
    <w:rsid w:val="782C6CE6"/>
    <w:rsid w:val="782C835B"/>
    <w:rsid w:val="7830AD3B"/>
    <w:rsid w:val="78324EDC"/>
    <w:rsid w:val="783747B0"/>
    <w:rsid w:val="78384FB3"/>
    <w:rsid w:val="783B98EB"/>
    <w:rsid w:val="784450E8"/>
    <w:rsid w:val="7847A19A"/>
    <w:rsid w:val="7848E768"/>
    <w:rsid w:val="78495ECA"/>
    <w:rsid w:val="784A32DA"/>
    <w:rsid w:val="784B688F"/>
    <w:rsid w:val="784EBCE9"/>
    <w:rsid w:val="7854EA75"/>
    <w:rsid w:val="7857EB1A"/>
    <w:rsid w:val="78587E45"/>
    <w:rsid w:val="7859D525"/>
    <w:rsid w:val="785D3EAE"/>
    <w:rsid w:val="786112CB"/>
    <w:rsid w:val="7861D185"/>
    <w:rsid w:val="78646C21"/>
    <w:rsid w:val="7864C19A"/>
    <w:rsid w:val="786791C6"/>
    <w:rsid w:val="7867C83A"/>
    <w:rsid w:val="786935CD"/>
    <w:rsid w:val="786B77C5"/>
    <w:rsid w:val="786C9836"/>
    <w:rsid w:val="786CA187"/>
    <w:rsid w:val="786FAF75"/>
    <w:rsid w:val="7870273B"/>
    <w:rsid w:val="78707932"/>
    <w:rsid w:val="7871A9F2"/>
    <w:rsid w:val="7871BFB9"/>
    <w:rsid w:val="7873A091"/>
    <w:rsid w:val="7873CC97"/>
    <w:rsid w:val="7873DD80"/>
    <w:rsid w:val="7874CB81"/>
    <w:rsid w:val="78760C0D"/>
    <w:rsid w:val="78761230"/>
    <w:rsid w:val="7879FF3B"/>
    <w:rsid w:val="787DF4FB"/>
    <w:rsid w:val="787E1A0E"/>
    <w:rsid w:val="787F76D3"/>
    <w:rsid w:val="787FE56B"/>
    <w:rsid w:val="788060D7"/>
    <w:rsid w:val="78839BCF"/>
    <w:rsid w:val="788649A8"/>
    <w:rsid w:val="7886FF37"/>
    <w:rsid w:val="7888B792"/>
    <w:rsid w:val="78892368"/>
    <w:rsid w:val="7889504B"/>
    <w:rsid w:val="78897592"/>
    <w:rsid w:val="788B4BF7"/>
    <w:rsid w:val="788D1FFA"/>
    <w:rsid w:val="78933554"/>
    <w:rsid w:val="7894D140"/>
    <w:rsid w:val="78951248"/>
    <w:rsid w:val="789BBF18"/>
    <w:rsid w:val="789F8B2E"/>
    <w:rsid w:val="789FB8CC"/>
    <w:rsid w:val="78A08489"/>
    <w:rsid w:val="78A11AAD"/>
    <w:rsid w:val="78A3F60A"/>
    <w:rsid w:val="78A796D8"/>
    <w:rsid w:val="78A97A1E"/>
    <w:rsid w:val="78AA603F"/>
    <w:rsid w:val="78ADF3D4"/>
    <w:rsid w:val="78B0C538"/>
    <w:rsid w:val="78B43582"/>
    <w:rsid w:val="78B49C8F"/>
    <w:rsid w:val="78B503AD"/>
    <w:rsid w:val="78B6D877"/>
    <w:rsid w:val="78B72F20"/>
    <w:rsid w:val="78BACD18"/>
    <w:rsid w:val="78BC4645"/>
    <w:rsid w:val="78BDD729"/>
    <w:rsid w:val="78C02453"/>
    <w:rsid w:val="78C247A4"/>
    <w:rsid w:val="78C7B274"/>
    <w:rsid w:val="78CB62EC"/>
    <w:rsid w:val="78CC8D62"/>
    <w:rsid w:val="78CF6C98"/>
    <w:rsid w:val="78D0748E"/>
    <w:rsid w:val="78D129AD"/>
    <w:rsid w:val="78D84743"/>
    <w:rsid w:val="78DFDE86"/>
    <w:rsid w:val="78E38F8C"/>
    <w:rsid w:val="78E3D2F5"/>
    <w:rsid w:val="78E3EA9D"/>
    <w:rsid w:val="78E43818"/>
    <w:rsid w:val="78E921CB"/>
    <w:rsid w:val="78EEE0C1"/>
    <w:rsid w:val="78F048E8"/>
    <w:rsid w:val="78F75857"/>
    <w:rsid w:val="78F7A7F7"/>
    <w:rsid w:val="78FB39B9"/>
    <w:rsid w:val="78FDB5EC"/>
    <w:rsid w:val="790131DB"/>
    <w:rsid w:val="79016679"/>
    <w:rsid w:val="7902389F"/>
    <w:rsid w:val="7904A298"/>
    <w:rsid w:val="7904EA23"/>
    <w:rsid w:val="790B9A19"/>
    <w:rsid w:val="790FCB99"/>
    <w:rsid w:val="79117DED"/>
    <w:rsid w:val="79123EFF"/>
    <w:rsid w:val="791242C8"/>
    <w:rsid w:val="791301BD"/>
    <w:rsid w:val="7913F058"/>
    <w:rsid w:val="7914900A"/>
    <w:rsid w:val="79149C6A"/>
    <w:rsid w:val="7914C98D"/>
    <w:rsid w:val="7918310C"/>
    <w:rsid w:val="7919398E"/>
    <w:rsid w:val="791A9CBB"/>
    <w:rsid w:val="791BA20D"/>
    <w:rsid w:val="791C3094"/>
    <w:rsid w:val="7922ECF2"/>
    <w:rsid w:val="7923BBE3"/>
    <w:rsid w:val="79257051"/>
    <w:rsid w:val="79266BE0"/>
    <w:rsid w:val="792787DF"/>
    <w:rsid w:val="79285577"/>
    <w:rsid w:val="79289AFD"/>
    <w:rsid w:val="792BDD87"/>
    <w:rsid w:val="792FCFE5"/>
    <w:rsid w:val="79313A52"/>
    <w:rsid w:val="7931FAB1"/>
    <w:rsid w:val="7932D1CD"/>
    <w:rsid w:val="7932FBB3"/>
    <w:rsid w:val="7936B501"/>
    <w:rsid w:val="793A5D57"/>
    <w:rsid w:val="793AF95E"/>
    <w:rsid w:val="793BB5AF"/>
    <w:rsid w:val="793F95D8"/>
    <w:rsid w:val="7944E655"/>
    <w:rsid w:val="794B22AC"/>
    <w:rsid w:val="794D2FBD"/>
    <w:rsid w:val="794D3546"/>
    <w:rsid w:val="794E24F7"/>
    <w:rsid w:val="794EE83D"/>
    <w:rsid w:val="794FBAF7"/>
    <w:rsid w:val="7950691F"/>
    <w:rsid w:val="79518DA2"/>
    <w:rsid w:val="795646EE"/>
    <w:rsid w:val="7958964F"/>
    <w:rsid w:val="795FAD99"/>
    <w:rsid w:val="795FCD2E"/>
    <w:rsid w:val="7960548D"/>
    <w:rsid w:val="7961B251"/>
    <w:rsid w:val="79661500"/>
    <w:rsid w:val="7967D5F3"/>
    <w:rsid w:val="796AA553"/>
    <w:rsid w:val="796D8D02"/>
    <w:rsid w:val="796FAC07"/>
    <w:rsid w:val="797027A1"/>
    <w:rsid w:val="7973532E"/>
    <w:rsid w:val="79746120"/>
    <w:rsid w:val="7975009E"/>
    <w:rsid w:val="79751954"/>
    <w:rsid w:val="797774DD"/>
    <w:rsid w:val="79779411"/>
    <w:rsid w:val="7978F2F6"/>
    <w:rsid w:val="798438F3"/>
    <w:rsid w:val="7987B4A2"/>
    <w:rsid w:val="798BA0CC"/>
    <w:rsid w:val="7991867F"/>
    <w:rsid w:val="7992EB5F"/>
    <w:rsid w:val="7993C34E"/>
    <w:rsid w:val="7997A9C9"/>
    <w:rsid w:val="7999111E"/>
    <w:rsid w:val="79996A1F"/>
    <w:rsid w:val="7999EF8B"/>
    <w:rsid w:val="799A0C72"/>
    <w:rsid w:val="799AA0E7"/>
    <w:rsid w:val="799BDB1C"/>
    <w:rsid w:val="799C0D84"/>
    <w:rsid w:val="799D8E21"/>
    <w:rsid w:val="79A04B4C"/>
    <w:rsid w:val="79A0A4B9"/>
    <w:rsid w:val="79A38786"/>
    <w:rsid w:val="79A5FD2F"/>
    <w:rsid w:val="79A6AFD5"/>
    <w:rsid w:val="79A8708F"/>
    <w:rsid w:val="79A95007"/>
    <w:rsid w:val="79A99CD1"/>
    <w:rsid w:val="79A9E174"/>
    <w:rsid w:val="79AA2DB8"/>
    <w:rsid w:val="79AFB880"/>
    <w:rsid w:val="79B1D13C"/>
    <w:rsid w:val="79B5E183"/>
    <w:rsid w:val="79B8FFB8"/>
    <w:rsid w:val="79B9C4D3"/>
    <w:rsid w:val="79BB12D5"/>
    <w:rsid w:val="79BB9A99"/>
    <w:rsid w:val="79BD96E0"/>
    <w:rsid w:val="79BEAE37"/>
    <w:rsid w:val="79C3C00C"/>
    <w:rsid w:val="79C47261"/>
    <w:rsid w:val="79C64CDF"/>
    <w:rsid w:val="79C82FA6"/>
    <w:rsid w:val="79C85884"/>
    <w:rsid w:val="79C99AFF"/>
    <w:rsid w:val="79CB3098"/>
    <w:rsid w:val="79CC4F56"/>
    <w:rsid w:val="79CD8691"/>
    <w:rsid w:val="79D34F4A"/>
    <w:rsid w:val="79D52020"/>
    <w:rsid w:val="79D68865"/>
    <w:rsid w:val="79D7B810"/>
    <w:rsid w:val="79D8BF2D"/>
    <w:rsid w:val="79DB1A4C"/>
    <w:rsid w:val="79DE63DF"/>
    <w:rsid w:val="79DEB2FC"/>
    <w:rsid w:val="79E258B6"/>
    <w:rsid w:val="79E435D5"/>
    <w:rsid w:val="79E5CF83"/>
    <w:rsid w:val="79E8E248"/>
    <w:rsid w:val="79EA01B7"/>
    <w:rsid w:val="79EAC769"/>
    <w:rsid w:val="79EB4770"/>
    <w:rsid w:val="79ECE0B8"/>
    <w:rsid w:val="79ED53E6"/>
    <w:rsid w:val="79EEDDFE"/>
    <w:rsid w:val="79F25F34"/>
    <w:rsid w:val="79F563D6"/>
    <w:rsid w:val="79FA3A52"/>
    <w:rsid w:val="79FA9172"/>
    <w:rsid w:val="7A01EA59"/>
    <w:rsid w:val="7A07E17E"/>
    <w:rsid w:val="7A0A2C88"/>
    <w:rsid w:val="7A0EA49E"/>
    <w:rsid w:val="7A106E13"/>
    <w:rsid w:val="7A10890D"/>
    <w:rsid w:val="7A128122"/>
    <w:rsid w:val="7A12D62E"/>
    <w:rsid w:val="7A15B56C"/>
    <w:rsid w:val="7A16577E"/>
    <w:rsid w:val="7A16C357"/>
    <w:rsid w:val="7A1C7D86"/>
    <w:rsid w:val="7A1F87C1"/>
    <w:rsid w:val="7A2326AD"/>
    <w:rsid w:val="7A23E9F7"/>
    <w:rsid w:val="7A3436EB"/>
    <w:rsid w:val="7A35CA66"/>
    <w:rsid w:val="7A37F958"/>
    <w:rsid w:val="7A3E7029"/>
    <w:rsid w:val="7A422E3C"/>
    <w:rsid w:val="7A446579"/>
    <w:rsid w:val="7A469039"/>
    <w:rsid w:val="7A4A4481"/>
    <w:rsid w:val="7A4A5FE4"/>
    <w:rsid w:val="7A4C1742"/>
    <w:rsid w:val="7A4C2C65"/>
    <w:rsid w:val="7A50D5A0"/>
    <w:rsid w:val="7A5727DE"/>
    <w:rsid w:val="7A58F718"/>
    <w:rsid w:val="7A5C3DD0"/>
    <w:rsid w:val="7A5E31B4"/>
    <w:rsid w:val="7A62F2B3"/>
    <w:rsid w:val="7A6DC2EE"/>
    <w:rsid w:val="7A706E55"/>
    <w:rsid w:val="7A70ABB9"/>
    <w:rsid w:val="7A734579"/>
    <w:rsid w:val="7A74D3AE"/>
    <w:rsid w:val="7A74F2F9"/>
    <w:rsid w:val="7A75BBB4"/>
    <w:rsid w:val="7A7794E6"/>
    <w:rsid w:val="7A77DC34"/>
    <w:rsid w:val="7A7DE6DD"/>
    <w:rsid w:val="7A819EF2"/>
    <w:rsid w:val="7A830A96"/>
    <w:rsid w:val="7A8500DB"/>
    <w:rsid w:val="7A89F4D8"/>
    <w:rsid w:val="7A93D33B"/>
    <w:rsid w:val="7A992494"/>
    <w:rsid w:val="7A9D68BC"/>
    <w:rsid w:val="7A9F9DB3"/>
    <w:rsid w:val="7AA298BD"/>
    <w:rsid w:val="7AA60C7C"/>
    <w:rsid w:val="7AB2DEDC"/>
    <w:rsid w:val="7ABDC341"/>
    <w:rsid w:val="7ABDC4B5"/>
    <w:rsid w:val="7AC224B3"/>
    <w:rsid w:val="7AC60628"/>
    <w:rsid w:val="7AC69773"/>
    <w:rsid w:val="7ACA7EFB"/>
    <w:rsid w:val="7ACB10AA"/>
    <w:rsid w:val="7AD03FE7"/>
    <w:rsid w:val="7AD15F74"/>
    <w:rsid w:val="7AD2676C"/>
    <w:rsid w:val="7ADA589C"/>
    <w:rsid w:val="7ADEF140"/>
    <w:rsid w:val="7AE0E5F5"/>
    <w:rsid w:val="7AE12DA0"/>
    <w:rsid w:val="7AE175F2"/>
    <w:rsid w:val="7AE1E81F"/>
    <w:rsid w:val="7AE5037F"/>
    <w:rsid w:val="7AE50BB4"/>
    <w:rsid w:val="7AE5377D"/>
    <w:rsid w:val="7AE95800"/>
    <w:rsid w:val="7AEA69A4"/>
    <w:rsid w:val="7AED882C"/>
    <w:rsid w:val="7AEF487C"/>
    <w:rsid w:val="7AF0B253"/>
    <w:rsid w:val="7AF38810"/>
    <w:rsid w:val="7AF4CD63"/>
    <w:rsid w:val="7AF7B012"/>
    <w:rsid w:val="7AFEBFF0"/>
    <w:rsid w:val="7B009210"/>
    <w:rsid w:val="7B017451"/>
    <w:rsid w:val="7B15CA84"/>
    <w:rsid w:val="7B169522"/>
    <w:rsid w:val="7B16CBE5"/>
    <w:rsid w:val="7B1D13F8"/>
    <w:rsid w:val="7B1D3985"/>
    <w:rsid w:val="7B1D90F8"/>
    <w:rsid w:val="7B1E2448"/>
    <w:rsid w:val="7B25089B"/>
    <w:rsid w:val="7B253D6C"/>
    <w:rsid w:val="7B26BCE1"/>
    <w:rsid w:val="7B2B3FC1"/>
    <w:rsid w:val="7B2F171E"/>
    <w:rsid w:val="7B2F588F"/>
    <w:rsid w:val="7B32ABBB"/>
    <w:rsid w:val="7B34758D"/>
    <w:rsid w:val="7B35577B"/>
    <w:rsid w:val="7B3A5139"/>
    <w:rsid w:val="7B3C901C"/>
    <w:rsid w:val="7B3DFB70"/>
    <w:rsid w:val="7B3E6B9B"/>
    <w:rsid w:val="7B3EC2EA"/>
    <w:rsid w:val="7B41DA5A"/>
    <w:rsid w:val="7B43AC72"/>
    <w:rsid w:val="7B44D1F8"/>
    <w:rsid w:val="7B44EEB1"/>
    <w:rsid w:val="7B4611AB"/>
    <w:rsid w:val="7B48E5BC"/>
    <w:rsid w:val="7B4A14D3"/>
    <w:rsid w:val="7B4CCCD8"/>
    <w:rsid w:val="7B4D3CC5"/>
    <w:rsid w:val="7B52EDED"/>
    <w:rsid w:val="7B5B78FA"/>
    <w:rsid w:val="7B5E5037"/>
    <w:rsid w:val="7B62FEFE"/>
    <w:rsid w:val="7B682178"/>
    <w:rsid w:val="7B69D32C"/>
    <w:rsid w:val="7B6A388A"/>
    <w:rsid w:val="7B6C0C9B"/>
    <w:rsid w:val="7B6CFF0C"/>
    <w:rsid w:val="7B727732"/>
    <w:rsid w:val="7B737E65"/>
    <w:rsid w:val="7B747C6B"/>
    <w:rsid w:val="7B76BF6A"/>
    <w:rsid w:val="7B7731B8"/>
    <w:rsid w:val="7B779255"/>
    <w:rsid w:val="7B7BDE3F"/>
    <w:rsid w:val="7B7C5E1F"/>
    <w:rsid w:val="7B87ED37"/>
    <w:rsid w:val="7B898750"/>
    <w:rsid w:val="7B8BE24C"/>
    <w:rsid w:val="7B8D57B1"/>
    <w:rsid w:val="7B8FFE62"/>
    <w:rsid w:val="7B924A9F"/>
    <w:rsid w:val="7B94716E"/>
    <w:rsid w:val="7B976C1E"/>
    <w:rsid w:val="7B977B28"/>
    <w:rsid w:val="7B980AE2"/>
    <w:rsid w:val="7B987A4B"/>
    <w:rsid w:val="7B9A5642"/>
    <w:rsid w:val="7B9BF53A"/>
    <w:rsid w:val="7B9DA930"/>
    <w:rsid w:val="7B9DE99C"/>
    <w:rsid w:val="7B9E3E28"/>
    <w:rsid w:val="7B9F1F1D"/>
    <w:rsid w:val="7B9F36B2"/>
    <w:rsid w:val="7BA4B6BE"/>
    <w:rsid w:val="7BA69DD6"/>
    <w:rsid w:val="7BA75371"/>
    <w:rsid w:val="7BA9AFCB"/>
    <w:rsid w:val="7BAA4A6B"/>
    <w:rsid w:val="7BAB4311"/>
    <w:rsid w:val="7BAB95EE"/>
    <w:rsid w:val="7BAF1EC4"/>
    <w:rsid w:val="7BAF4393"/>
    <w:rsid w:val="7BB11518"/>
    <w:rsid w:val="7BB32210"/>
    <w:rsid w:val="7BB40A07"/>
    <w:rsid w:val="7BB74055"/>
    <w:rsid w:val="7BB7D942"/>
    <w:rsid w:val="7BBA24CC"/>
    <w:rsid w:val="7BBB2A58"/>
    <w:rsid w:val="7BC1461F"/>
    <w:rsid w:val="7BC2EF27"/>
    <w:rsid w:val="7BC2FAD6"/>
    <w:rsid w:val="7BC5F289"/>
    <w:rsid w:val="7BC67F3D"/>
    <w:rsid w:val="7BC69A3E"/>
    <w:rsid w:val="7BCB045E"/>
    <w:rsid w:val="7BCC4D62"/>
    <w:rsid w:val="7BCC511A"/>
    <w:rsid w:val="7BCD9287"/>
    <w:rsid w:val="7BCD92B2"/>
    <w:rsid w:val="7BD9A5DE"/>
    <w:rsid w:val="7BDA2F04"/>
    <w:rsid w:val="7BDAE4B2"/>
    <w:rsid w:val="7BDF7FE3"/>
    <w:rsid w:val="7BDFB4C3"/>
    <w:rsid w:val="7BE28001"/>
    <w:rsid w:val="7BE4036A"/>
    <w:rsid w:val="7BE4D28E"/>
    <w:rsid w:val="7BE74423"/>
    <w:rsid w:val="7BEBEE5A"/>
    <w:rsid w:val="7BEC582B"/>
    <w:rsid w:val="7BF4E544"/>
    <w:rsid w:val="7BF4FD88"/>
    <w:rsid w:val="7BF71090"/>
    <w:rsid w:val="7BF8B115"/>
    <w:rsid w:val="7BF99B12"/>
    <w:rsid w:val="7BFC7639"/>
    <w:rsid w:val="7BFF20AA"/>
    <w:rsid w:val="7BFFAA50"/>
    <w:rsid w:val="7BFFF072"/>
    <w:rsid w:val="7C036A70"/>
    <w:rsid w:val="7C046E14"/>
    <w:rsid w:val="7C04A825"/>
    <w:rsid w:val="7C0A11FE"/>
    <w:rsid w:val="7C0BEC52"/>
    <w:rsid w:val="7C10D055"/>
    <w:rsid w:val="7C113A35"/>
    <w:rsid w:val="7C127A67"/>
    <w:rsid w:val="7C1DCD28"/>
    <w:rsid w:val="7C1FD650"/>
    <w:rsid w:val="7C20D649"/>
    <w:rsid w:val="7C236CB3"/>
    <w:rsid w:val="7C263371"/>
    <w:rsid w:val="7C29508A"/>
    <w:rsid w:val="7C29A644"/>
    <w:rsid w:val="7C2ABCBA"/>
    <w:rsid w:val="7C2B06C7"/>
    <w:rsid w:val="7C2C25F0"/>
    <w:rsid w:val="7C2CA262"/>
    <w:rsid w:val="7C2FEB66"/>
    <w:rsid w:val="7C33E6B9"/>
    <w:rsid w:val="7C3C48D5"/>
    <w:rsid w:val="7C3C69EA"/>
    <w:rsid w:val="7C3CB10A"/>
    <w:rsid w:val="7C3D06B6"/>
    <w:rsid w:val="7C3DE309"/>
    <w:rsid w:val="7C3EB1F4"/>
    <w:rsid w:val="7C3F59A6"/>
    <w:rsid w:val="7C43EA56"/>
    <w:rsid w:val="7C46652B"/>
    <w:rsid w:val="7C486A48"/>
    <w:rsid w:val="7C49158C"/>
    <w:rsid w:val="7C4D9B53"/>
    <w:rsid w:val="7C50D1BE"/>
    <w:rsid w:val="7C51359F"/>
    <w:rsid w:val="7C52D3B6"/>
    <w:rsid w:val="7C55ACF6"/>
    <w:rsid w:val="7C5D365B"/>
    <w:rsid w:val="7C5EA901"/>
    <w:rsid w:val="7C5EE899"/>
    <w:rsid w:val="7C5F70C4"/>
    <w:rsid w:val="7C6928C2"/>
    <w:rsid w:val="7C696515"/>
    <w:rsid w:val="7C6AA547"/>
    <w:rsid w:val="7C6AB29D"/>
    <w:rsid w:val="7C6B1031"/>
    <w:rsid w:val="7C6BC0D0"/>
    <w:rsid w:val="7C6E4A69"/>
    <w:rsid w:val="7C6EB94E"/>
    <w:rsid w:val="7C6F839D"/>
    <w:rsid w:val="7C76B068"/>
    <w:rsid w:val="7C78332F"/>
    <w:rsid w:val="7C7CFF62"/>
    <w:rsid w:val="7C7F3261"/>
    <w:rsid w:val="7C7F4A95"/>
    <w:rsid w:val="7C875E74"/>
    <w:rsid w:val="7C88E286"/>
    <w:rsid w:val="7C8B07AE"/>
    <w:rsid w:val="7C8F2415"/>
    <w:rsid w:val="7C9471BC"/>
    <w:rsid w:val="7C953C67"/>
    <w:rsid w:val="7C95B38D"/>
    <w:rsid w:val="7C95B9D3"/>
    <w:rsid w:val="7C9A3775"/>
    <w:rsid w:val="7C9B33FB"/>
    <w:rsid w:val="7C9D9331"/>
    <w:rsid w:val="7C9E9927"/>
    <w:rsid w:val="7C9F3683"/>
    <w:rsid w:val="7CA058AF"/>
    <w:rsid w:val="7CA8B16D"/>
    <w:rsid w:val="7CA98527"/>
    <w:rsid w:val="7CABCCB7"/>
    <w:rsid w:val="7CAC01C9"/>
    <w:rsid w:val="7CACB42D"/>
    <w:rsid w:val="7CAD74BE"/>
    <w:rsid w:val="7CAE9A69"/>
    <w:rsid w:val="7CAFCD00"/>
    <w:rsid w:val="7CB19426"/>
    <w:rsid w:val="7CB2B027"/>
    <w:rsid w:val="7CB4CF20"/>
    <w:rsid w:val="7CB526D6"/>
    <w:rsid w:val="7CB5755D"/>
    <w:rsid w:val="7CB5B8FA"/>
    <w:rsid w:val="7CBACE17"/>
    <w:rsid w:val="7CBC836D"/>
    <w:rsid w:val="7CBD396D"/>
    <w:rsid w:val="7CC04441"/>
    <w:rsid w:val="7CC1D24F"/>
    <w:rsid w:val="7CC23A27"/>
    <w:rsid w:val="7CC28752"/>
    <w:rsid w:val="7CC3532C"/>
    <w:rsid w:val="7CC46BC7"/>
    <w:rsid w:val="7CC528D0"/>
    <w:rsid w:val="7CCC522C"/>
    <w:rsid w:val="7CD06BE9"/>
    <w:rsid w:val="7CD09502"/>
    <w:rsid w:val="7CD23318"/>
    <w:rsid w:val="7CD38039"/>
    <w:rsid w:val="7CD3E77C"/>
    <w:rsid w:val="7CD40207"/>
    <w:rsid w:val="7CD43CC5"/>
    <w:rsid w:val="7CDF9AFB"/>
    <w:rsid w:val="7CE0382B"/>
    <w:rsid w:val="7CE31EE0"/>
    <w:rsid w:val="7CE3635B"/>
    <w:rsid w:val="7CE6E8E6"/>
    <w:rsid w:val="7CE7239E"/>
    <w:rsid w:val="7CE7FE76"/>
    <w:rsid w:val="7CE8EA74"/>
    <w:rsid w:val="7CEA2E98"/>
    <w:rsid w:val="7CEB3019"/>
    <w:rsid w:val="7CED5C2C"/>
    <w:rsid w:val="7CEF4FCD"/>
    <w:rsid w:val="7CEFEF27"/>
    <w:rsid w:val="7CF0754E"/>
    <w:rsid w:val="7CF25FE0"/>
    <w:rsid w:val="7CF27937"/>
    <w:rsid w:val="7CFDBE3D"/>
    <w:rsid w:val="7CFE5C7E"/>
    <w:rsid w:val="7D02599F"/>
    <w:rsid w:val="7D03CBD2"/>
    <w:rsid w:val="7D0586B9"/>
    <w:rsid w:val="7D06D0D3"/>
    <w:rsid w:val="7D08D8E3"/>
    <w:rsid w:val="7D0967BA"/>
    <w:rsid w:val="7D0BD67D"/>
    <w:rsid w:val="7D15CE66"/>
    <w:rsid w:val="7D1632EF"/>
    <w:rsid w:val="7D194B14"/>
    <w:rsid w:val="7D1A717E"/>
    <w:rsid w:val="7D1B639A"/>
    <w:rsid w:val="7D1BCB67"/>
    <w:rsid w:val="7D1C3216"/>
    <w:rsid w:val="7D1FC6FE"/>
    <w:rsid w:val="7D2288A0"/>
    <w:rsid w:val="7D25257D"/>
    <w:rsid w:val="7D26B03D"/>
    <w:rsid w:val="7D29FA75"/>
    <w:rsid w:val="7D2C2D36"/>
    <w:rsid w:val="7D2DDF97"/>
    <w:rsid w:val="7D302050"/>
    <w:rsid w:val="7D33AECF"/>
    <w:rsid w:val="7D35453B"/>
    <w:rsid w:val="7D35FC3A"/>
    <w:rsid w:val="7D38C312"/>
    <w:rsid w:val="7D390156"/>
    <w:rsid w:val="7D3B4901"/>
    <w:rsid w:val="7D3F2278"/>
    <w:rsid w:val="7D3FCEB5"/>
    <w:rsid w:val="7D407B0C"/>
    <w:rsid w:val="7D41303A"/>
    <w:rsid w:val="7D42623C"/>
    <w:rsid w:val="7D4537D7"/>
    <w:rsid w:val="7D483530"/>
    <w:rsid w:val="7D4F969C"/>
    <w:rsid w:val="7D516417"/>
    <w:rsid w:val="7D51B9D1"/>
    <w:rsid w:val="7D53251C"/>
    <w:rsid w:val="7D56C0F2"/>
    <w:rsid w:val="7D580D50"/>
    <w:rsid w:val="7D5877BE"/>
    <w:rsid w:val="7D5BEB15"/>
    <w:rsid w:val="7D5F7E25"/>
    <w:rsid w:val="7D6215DC"/>
    <w:rsid w:val="7D634A4D"/>
    <w:rsid w:val="7D64FF92"/>
    <w:rsid w:val="7D65A64D"/>
    <w:rsid w:val="7D671C3D"/>
    <w:rsid w:val="7D6CA713"/>
    <w:rsid w:val="7D6D0824"/>
    <w:rsid w:val="7D6E1AF1"/>
    <w:rsid w:val="7D6FFF14"/>
    <w:rsid w:val="7D72B67A"/>
    <w:rsid w:val="7D745A64"/>
    <w:rsid w:val="7D7493C7"/>
    <w:rsid w:val="7D759451"/>
    <w:rsid w:val="7D75B6B6"/>
    <w:rsid w:val="7D7C158A"/>
    <w:rsid w:val="7D7CBD6F"/>
    <w:rsid w:val="7D7DED74"/>
    <w:rsid w:val="7D803928"/>
    <w:rsid w:val="7D84CBF0"/>
    <w:rsid w:val="7D866239"/>
    <w:rsid w:val="7D86C381"/>
    <w:rsid w:val="7D870B03"/>
    <w:rsid w:val="7D88D49E"/>
    <w:rsid w:val="7D898113"/>
    <w:rsid w:val="7D89B4AA"/>
    <w:rsid w:val="7D8DB86F"/>
    <w:rsid w:val="7D8ED132"/>
    <w:rsid w:val="7D91FD9E"/>
    <w:rsid w:val="7D920E4D"/>
    <w:rsid w:val="7D9331CC"/>
    <w:rsid w:val="7D94063F"/>
    <w:rsid w:val="7D948152"/>
    <w:rsid w:val="7D95DCAC"/>
    <w:rsid w:val="7D993CAA"/>
    <w:rsid w:val="7DA27FA6"/>
    <w:rsid w:val="7DA323A7"/>
    <w:rsid w:val="7DA46571"/>
    <w:rsid w:val="7DA572FD"/>
    <w:rsid w:val="7DA6E8AD"/>
    <w:rsid w:val="7DA708ED"/>
    <w:rsid w:val="7DA7F6CB"/>
    <w:rsid w:val="7DA85DD8"/>
    <w:rsid w:val="7DA8BC45"/>
    <w:rsid w:val="7DA9C898"/>
    <w:rsid w:val="7DAA4E68"/>
    <w:rsid w:val="7DAC8509"/>
    <w:rsid w:val="7DACBF74"/>
    <w:rsid w:val="7DAEBB99"/>
    <w:rsid w:val="7DB15CCC"/>
    <w:rsid w:val="7DB2C744"/>
    <w:rsid w:val="7DB35AAA"/>
    <w:rsid w:val="7DB3ABFD"/>
    <w:rsid w:val="7DB53157"/>
    <w:rsid w:val="7DBA8ACA"/>
    <w:rsid w:val="7DBF877E"/>
    <w:rsid w:val="7DC51641"/>
    <w:rsid w:val="7DC913B4"/>
    <w:rsid w:val="7DCA961B"/>
    <w:rsid w:val="7DCB0945"/>
    <w:rsid w:val="7DCDD2CB"/>
    <w:rsid w:val="7DCF8710"/>
    <w:rsid w:val="7DD3E8FF"/>
    <w:rsid w:val="7DD7D657"/>
    <w:rsid w:val="7DD8AC80"/>
    <w:rsid w:val="7DD9DEF2"/>
    <w:rsid w:val="7DD9FF67"/>
    <w:rsid w:val="7DDC2410"/>
    <w:rsid w:val="7DDC5E54"/>
    <w:rsid w:val="7DDC60F1"/>
    <w:rsid w:val="7DDE7FC9"/>
    <w:rsid w:val="7DE5B52B"/>
    <w:rsid w:val="7DE73BA8"/>
    <w:rsid w:val="7DEA12D8"/>
    <w:rsid w:val="7DEACBFC"/>
    <w:rsid w:val="7DEBAA16"/>
    <w:rsid w:val="7DEE25A7"/>
    <w:rsid w:val="7DEF51D8"/>
    <w:rsid w:val="7DF6999C"/>
    <w:rsid w:val="7DF8255A"/>
    <w:rsid w:val="7DF9EF17"/>
    <w:rsid w:val="7DFAE555"/>
    <w:rsid w:val="7DFC05C7"/>
    <w:rsid w:val="7DFDF1B7"/>
    <w:rsid w:val="7DFED1F8"/>
    <w:rsid w:val="7DFF5554"/>
    <w:rsid w:val="7DFF5D8E"/>
    <w:rsid w:val="7E0372A8"/>
    <w:rsid w:val="7E0C8E3B"/>
    <w:rsid w:val="7E0DE808"/>
    <w:rsid w:val="7E10172A"/>
    <w:rsid w:val="7E123870"/>
    <w:rsid w:val="7E1399B3"/>
    <w:rsid w:val="7E1409D6"/>
    <w:rsid w:val="7E15A176"/>
    <w:rsid w:val="7E17D33C"/>
    <w:rsid w:val="7E1ADD52"/>
    <w:rsid w:val="7E1DE7D8"/>
    <w:rsid w:val="7E230F4E"/>
    <w:rsid w:val="7E23787A"/>
    <w:rsid w:val="7E243902"/>
    <w:rsid w:val="7E249304"/>
    <w:rsid w:val="7E266B53"/>
    <w:rsid w:val="7E27AECA"/>
    <w:rsid w:val="7E27BF73"/>
    <w:rsid w:val="7E28FB9D"/>
    <w:rsid w:val="7E2A1188"/>
    <w:rsid w:val="7E2D1B09"/>
    <w:rsid w:val="7E32AE09"/>
    <w:rsid w:val="7E33AB2B"/>
    <w:rsid w:val="7E3467FC"/>
    <w:rsid w:val="7E34C9E5"/>
    <w:rsid w:val="7E3BF7F3"/>
    <w:rsid w:val="7E3C1C4F"/>
    <w:rsid w:val="7E3CDF6A"/>
    <w:rsid w:val="7E49E0F4"/>
    <w:rsid w:val="7E4C3626"/>
    <w:rsid w:val="7E4CA498"/>
    <w:rsid w:val="7E57D5E4"/>
    <w:rsid w:val="7E5A15C1"/>
    <w:rsid w:val="7E65C0BC"/>
    <w:rsid w:val="7E678BCD"/>
    <w:rsid w:val="7E6B0C1F"/>
    <w:rsid w:val="7E6B3D70"/>
    <w:rsid w:val="7E6BEED3"/>
    <w:rsid w:val="7E6D04C2"/>
    <w:rsid w:val="7E71976E"/>
    <w:rsid w:val="7E7206FC"/>
    <w:rsid w:val="7E725C96"/>
    <w:rsid w:val="7E72F91F"/>
    <w:rsid w:val="7E7D9063"/>
    <w:rsid w:val="7E7E6F50"/>
    <w:rsid w:val="7E8499AF"/>
    <w:rsid w:val="7E86359A"/>
    <w:rsid w:val="7E885F3F"/>
    <w:rsid w:val="7E891684"/>
    <w:rsid w:val="7E89DE9E"/>
    <w:rsid w:val="7E92737E"/>
    <w:rsid w:val="7E961346"/>
    <w:rsid w:val="7E96D395"/>
    <w:rsid w:val="7E991CFC"/>
    <w:rsid w:val="7E99E55B"/>
    <w:rsid w:val="7E9A72BE"/>
    <w:rsid w:val="7E9C8EEA"/>
    <w:rsid w:val="7E9CDA11"/>
    <w:rsid w:val="7E9E662A"/>
    <w:rsid w:val="7E9ECC56"/>
    <w:rsid w:val="7EA1F840"/>
    <w:rsid w:val="7EA2CBE0"/>
    <w:rsid w:val="7EA3677A"/>
    <w:rsid w:val="7EA39100"/>
    <w:rsid w:val="7EA57F90"/>
    <w:rsid w:val="7EA6A58F"/>
    <w:rsid w:val="7EA6FE08"/>
    <w:rsid w:val="7EAB138B"/>
    <w:rsid w:val="7EAB53B9"/>
    <w:rsid w:val="7EAFD0F6"/>
    <w:rsid w:val="7EB00275"/>
    <w:rsid w:val="7EB754AB"/>
    <w:rsid w:val="7EB7D4DD"/>
    <w:rsid w:val="7EBB046A"/>
    <w:rsid w:val="7EBCC903"/>
    <w:rsid w:val="7EBE3556"/>
    <w:rsid w:val="7EBF09C8"/>
    <w:rsid w:val="7EBF3B12"/>
    <w:rsid w:val="7EC186C7"/>
    <w:rsid w:val="7EC3C2EF"/>
    <w:rsid w:val="7EC809B6"/>
    <w:rsid w:val="7EC86C1B"/>
    <w:rsid w:val="7EC95289"/>
    <w:rsid w:val="7ECAF9DE"/>
    <w:rsid w:val="7ECDF307"/>
    <w:rsid w:val="7ECF635D"/>
    <w:rsid w:val="7ED302B9"/>
    <w:rsid w:val="7ED3116E"/>
    <w:rsid w:val="7ED40209"/>
    <w:rsid w:val="7ED9F2FC"/>
    <w:rsid w:val="7EDAE96F"/>
    <w:rsid w:val="7EDAEE7C"/>
    <w:rsid w:val="7EE31DA6"/>
    <w:rsid w:val="7EE7E9F1"/>
    <w:rsid w:val="7EEBDC50"/>
    <w:rsid w:val="7EF4FD73"/>
    <w:rsid w:val="7EF6C158"/>
    <w:rsid w:val="7EF81921"/>
    <w:rsid w:val="7EF9394A"/>
    <w:rsid w:val="7EFC13F6"/>
    <w:rsid w:val="7F02042B"/>
    <w:rsid w:val="7F06515A"/>
    <w:rsid w:val="7F0AE38A"/>
    <w:rsid w:val="7F0B1893"/>
    <w:rsid w:val="7F0F5608"/>
    <w:rsid w:val="7F117352"/>
    <w:rsid w:val="7F11DF56"/>
    <w:rsid w:val="7F1449FA"/>
    <w:rsid w:val="7F149A96"/>
    <w:rsid w:val="7F149E4A"/>
    <w:rsid w:val="7F15459E"/>
    <w:rsid w:val="7F155787"/>
    <w:rsid w:val="7F158920"/>
    <w:rsid w:val="7F162B9B"/>
    <w:rsid w:val="7F169A84"/>
    <w:rsid w:val="7F17A0B6"/>
    <w:rsid w:val="7F17A0CF"/>
    <w:rsid w:val="7F17A7AB"/>
    <w:rsid w:val="7F18A434"/>
    <w:rsid w:val="7F1A05FB"/>
    <w:rsid w:val="7F1A2D34"/>
    <w:rsid w:val="7F1C54E5"/>
    <w:rsid w:val="7F1CBD89"/>
    <w:rsid w:val="7F1E6D54"/>
    <w:rsid w:val="7F22876D"/>
    <w:rsid w:val="7F258BFC"/>
    <w:rsid w:val="7F2741E1"/>
    <w:rsid w:val="7F27EC2A"/>
    <w:rsid w:val="7F296911"/>
    <w:rsid w:val="7F2A4ABA"/>
    <w:rsid w:val="7F2A66AB"/>
    <w:rsid w:val="7F2D4741"/>
    <w:rsid w:val="7F317E95"/>
    <w:rsid w:val="7F347230"/>
    <w:rsid w:val="7F389CD9"/>
    <w:rsid w:val="7F3A5C89"/>
    <w:rsid w:val="7F3C5796"/>
    <w:rsid w:val="7F3E86CB"/>
    <w:rsid w:val="7F3F618A"/>
    <w:rsid w:val="7F410D44"/>
    <w:rsid w:val="7F43BD01"/>
    <w:rsid w:val="7F43FA5A"/>
    <w:rsid w:val="7F44E0FA"/>
    <w:rsid w:val="7F4700C3"/>
    <w:rsid w:val="7F4983C6"/>
    <w:rsid w:val="7F4F73D8"/>
    <w:rsid w:val="7F500985"/>
    <w:rsid w:val="7F50A082"/>
    <w:rsid w:val="7F558EEC"/>
    <w:rsid w:val="7F57F5DA"/>
    <w:rsid w:val="7F5BB698"/>
    <w:rsid w:val="7F5C0C61"/>
    <w:rsid w:val="7F635560"/>
    <w:rsid w:val="7F6402F4"/>
    <w:rsid w:val="7F66150D"/>
    <w:rsid w:val="7F6A36F7"/>
    <w:rsid w:val="7F6C510C"/>
    <w:rsid w:val="7F6D7576"/>
    <w:rsid w:val="7F798730"/>
    <w:rsid w:val="7F7E6B1D"/>
    <w:rsid w:val="7F7EFFB8"/>
    <w:rsid w:val="7F81502E"/>
    <w:rsid w:val="7F85D454"/>
    <w:rsid w:val="7F85DAD5"/>
    <w:rsid w:val="7F87E95E"/>
    <w:rsid w:val="7F8F5653"/>
    <w:rsid w:val="7F94202A"/>
    <w:rsid w:val="7F9BE899"/>
    <w:rsid w:val="7FA10DDE"/>
    <w:rsid w:val="7FA430ED"/>
    <w:rsid w:val="7FA5A5AD"/>
    <w:rsid w:val="7FA724BA"/>
    <w:rsid w:val="7FAEB390"/>
    <w:rsid w:val="7FB36724"/>
    <w:rsid w:val="7FB56C38"/>
    <w:rsid w:val="7FB65BCC"/>
    <w:rsid w:val="7FB96809"/>
    <w:rsid w:val="7FB9ECCD"/>
    <w:rsid w:val="7FBA02F7"/>
    <w:rsid w:val="7FBA7D8D"/>
    <w:rsid w:val="7FBA9E8C"/>
    <w:rsid w:val="7FBAEAF3"/>
    <w:rsid w:val="7FBB3608"/>
    <w:rsid w:val="7FC0643E"/>
    <w:rsid w:val="7FC34F13"/>
    <w:rsid w:val="7FC56227"/>
    <w:rsid w:val="7FC66401"/>
    <w:rsid w:val="7FC673D5"/>
    <w:rsid w:val="7FC90515"/>
    <w:rsid w:val="7FC9457C"/>
    <w:rsid w:val="7FC9E13D"/>
    <w:rsid w:val="7FCBB6D6"/>
    <w:rsid w:val="7FCBD6DB"/>
    <w:rsid w:val="7FCCDCEB"/>
    <w:rsid w:val="7FCEF763"/>
    <w:rsid w:val="7FCF4897"/>
    <w:rsid w:val="7FCF5591"/>
    <w:rsid w:val="7FD262A6"/>
    <w:rsid w:val="7FD2676D"/>
    <w:rsid w:val="7FD2CC5E"/>
    <w:rsid w:val="7FD49A25"/>
    <w:rsid w:val="7FD6352A"/>
    <w:rsid w:val="7FD8F253"/>
    <w:rsid w:val="7FD9088C"/>
    <w:rsid w:val="7FDE1E82"/>
    <w:rsid w:val="7FE4733C"/>
    <w:rsid w:val="7FE4738A"/>
    <w:rsid w:val="7FE501DC"/>
    <w:rsid w:val="7FE7CCE4"/>
    <w:rsid w:val="7FEAB988"/>
    <w:rsid w:val="7FF05720"/>
    <w:rsid w:val="7FF1B8B2"/>
    <w:rsid w:val="7FFA89CE"/>
    <w:rsid w:val="7FFEC00B"/>
    <w:rsid w:val="7FFEEB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0ED6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DE"/>
    <w:pPr>
      <w:spacing w:after="240"/>
      <w:jc w:val="both"/>
    </w:pPr>
  </w:style>
  <w:style w:type="paragraph" w:styleId="Heading1">
    <w:name w:val="heading 1"/>
    <w:basedOn w:val="Normal"/>
    <w:next w:val="Text1"/>
    <w:uiPriority w:val="10"/>
    <w:qFormat/>
    <w:pPr>
      <w:keepNext/>
      <w:numPr>
        <w:numId w:val="44"/>
      </w:numPr>
      <w:spacing w:before="240"/>
      <w:outlineLvl w:val="0"/>
    </w:pPr>
    <w:rPr>
      <w:b/>
      <w:smallCaps/>
    </w:rPr>
  </w:style>
  <w:style w:type="paragraph" w:styleId="Heading2">
    <w:name w:val="heading 2"/>
    <w:basedOn w:val="Normal"/>
    <w:next w:val="Text2"/>
    <w:uiPriority w:val="10"/>
    <w:qFormat/>
    <w:pPr>
      <w:keepNext/>
      <w:tabs>
        <w:tab w:val="num" w:pos="360"/>
      </w:tabs>
      <w:outlineLvl w:val="1"/>
    </w:pPr>
    <w:rPr>
      <w:b/>
    </w:rPr>
  </w:style>
  <w:style w:type="paragraph" w:styleId="Heading3">
    <w:name w:val="heading 3"/>
    <w:basedOn w:val="Normal"/>
    <w:next w:val="Text3"/>
    <w:uiPriority w:val="10"/>
    <w:qFormat/>
    <w:pPr>
      <w:keepNext/>
      <w:numPr>
        <w:ilvl w:val="2"/>
        <w:numId w:val="31"/>
      </w:numPr>
      <w:outlineLvl w:val="2"/>
    </w:pPr>
    <w:rPr>
      <w:i/>
    </w:rPr>
  </w:style>
  <w:style w:type="paragraph" w:styleId="Heading4">
    <w:name w:val="heading 4"/>
    <w:basedOn w:val="Normal"/>
    <w:next w:val="Text4"/>
    <w:uiPriority w:val="10"/>
    <w:qFormat/>
    <w:pPr>
      <w:keepNext/>
      <w:numPr>
        <w:ilvl w:val="3"/>
        <w:numId w:val="31"/>
      </w:numPr>
      <w:outlineLvl w:val="3"/>
    </w:pPr>
  </w:style>
  <w:style w:type="paragraph" w:styleId="Heading5">
    <w:name w:val="heading 5"/>
    <w:basedOn w:val="Normal"/>
    <w:next w:val="Normal"/>
    <w:semiHidden/>
    <w:pPr>
      <w:keepNext/>
      <w:numPr>
        <w:ilvl w:val="4"/>
        <w:numId w:val="31"/>
      </w:numPr>
      <w:outlineLvl w:val="4"/>
    </w:pPr>
  </w:style>
  <w:style w:type="paragraph" w:styleId="Heading6">
    <w:name w:val="heading 6"/>
    <w:basedOn w:val="Normal"/>
    <w:next w:val="Normal"/>
    <w:semiHidden/>
    <w:pPr>
      <w:keepNext/>
      <w:numPr>
        <w:ilvl w:val="5"/>
        <w:numId w:val="31"/>
      </w:numPr>
      <w:outlineLvl w:val="5"/>
    </w:pPr>
  </w:style>
  <w:style w:type="paragraph" w:styleId="Heading7">
    <w:name w:val="heading 7"/>
    <w:basedOn w:val="Normal"/>
    <w:next w:val="Normal"/>
    <w:semiHidden/>
    <w:pPr>
      <w:keepNext/>
      <w:numPr>
        <w:ilvl w:val="6"/>
        <w:numId w:val="31"/>
      </w:numPr>
      <w:outlineLvl w:val="6"/>
    </w:pPr>
  </w:style>
  <w:style w:type="paragraph" w:styleId="Heading8">
    <w:name w:val="heading 8"/>
    <w:basedOn w:val="Normal"/>
    <w:next w:val="Normal"/>
    <w:semiHidden/>
    <w:pPr>
      <w:keepNext/>
      <w:numPr>
        <w:ilvl w:val="7"/>
        <w:numId w:val="31"/>
      </w:numPr>
      <w:outlineLvl w:val="7"/>
    </w:pPr>
  </w:style>
  <w:style w:type="paragraph" w:styleId="Heading9">
    <w:name w:val="heading 9"/>
    <w:basedOn w:val="Normal"/>
    <w:next w:val="Normal"/>
    <w:semiHidden/>
    <w:pPr>
      <w:keepNext/>
      <w:numPr>
        <w:ilvl w:val="8"/>
        <w:numId w:val="31"/>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uiPriority w:val="99"/>
    <w:semiHidden/>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34"/>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33"/>
      </w:numPr>
    </w:pPr>
  </w:style>
  <w:style w:type="paragraph" w:customStyle="1" w:styleId="ContNumLevel2">
    <w:name w:val="ContNum (Level 2)"/>
    <w:basedOn w:val="Normal"/>
    <w:uiPriority w:val="20"/>
    <w:pPr>
      <w:numPr>
        <w:ilvl w:val="1"/>
        <w:numId w:val="33"/>
      </w:numPr>
    </w:pPr>
  </w:style>
  <w:style w:type="paragraph" w:customStyle="1" w:styleId="ContNumLevel3">
    <w:name w:val="ContNum (Level 3)"/>
    <w:basedOn w:val="Normal"/>
    <w:uiPriority w:val="20"/>
    <w:pPr>
      <w:numPr>
        <w:ilvl w:val="2"/>
        <w:numId w:val="33"/>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basedOn w:val="Normal"/>
    <w:link w:val="FootnoteTextChar"/>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32"/>
      </w:numPr>
      <w:spacing w:line="360" w:lineRule="auto"/>
    </w:pPr>
  </w:style>
  <w:style w:type="paragraph" w:customStyle="1" w:styleId="LegalNumPar2">
    <w:name w:val="LegalNumPar2"/>
    <w:basedOn w:val="Normal"/>
    <w:uiPriority w:val="20"/>
    <w:pPr>
      <w:numPr>
        <w:ilvl w:val="1"/>
        <w:numId w:val="32"/>
      </w:numPr>
      <w:spacing w:line="360" w:lineRule="auto"/>
    </w:pPr>
  </w:style>
  <w:style w:type="paragraph" w:customStyle="1" w:styleId="LegalNumPar3">
    <w:name w:val="LegalNumPar3"/>
    <w:basedOn w:val="Normal"/>
    <w:uiPriority w:val="20"/>
    <w:pPr>
      <w:numPr>
        <w:ilvl w:val="2"/>
        <w:numId w:val="32"/>
      </w:numPr>
      <w:spacing w:line="360" w:lineRule="auto"/>
    </w:pPr>
  </w:style>
  <w:style w:type="paragraph" w:styleId="ListBullet">
    <w:name w:val="List Bullet"/>
    <w:basedOn w:val="Normal"/>
    <w:uiPriority w:val="35"/>
    <w:pPr>
      <w:numPr>
        <w:numId w:val="30"/>
      </w:numPr>
    </w:pPr>
  </w:style>
  <w:style w:type="paragraph" w:customStyle="1" w:styleId="ListBulletLevel2">
    <w:name w:val="List Bullet (Level 2)"/>
    <w:basedOn w:val="Normal"/>
    <w:uiPriority w:val="35"/>
    <w:semiHidden/>
    <w:unhideWhenUsed/>
    <w:pPr>
      <w:numPr>
        <w:ilvl w:val="1"/>
        <w:numId w:val="30"/>
      </w:numPr>
    </w:pPr>
  </w:style>
  <w:style w:type="paragraph" w:customStyle="1" w:styleId="ListBulletLevel3">
    <w:name w:val="List Bullet (Level 3)"/>
    <w:basedOn w:val="Normal"/>
    <w:uiPriority w:val="35"/>
    <w:semiHidden/>
    <w:unhideWhenUsed/>
    <w:pPr>
      <w:numPr>
        <w:ilvl w:val="2"/>
        <w:numId w:val="30"/>
      </w:numPr>
    </w:pPr>
  </w:style>
  <w:style w:type="paragraph" w:customStyle="1" w:styleId="ListBulletLevel4">
    <w:name w:val="List Bullet (Level 4)"/>
    <w:basedOn w:val="Normal"/>
    <w:uiPriority w:val="35"/>
    <w:semiHidden/>
    <w:unhideWhenUsed/>
    <w:pPr>
      <w:numPr>
        <w:ilvl w:val="3"/>
        <w:numId w:val="30"/>
      </w:numPr>
    </w:pPr>
  </w:style>
  <w:style w:type="paragraph" w:customStyle="1" w:styleId="ListBullet1">
    <w:name w:val="List Bullet 1"/>
    <w:basedOn w:val="Text1"/>
    <w:uiPriority w:val="35"/>
    <w:pPr>
      <w:numPr>
        <w:numId w:val="29"/>
      </w:numPr>
    </w:pPr>
  </w:style>
  <w:style w:type="paragraph" w:customStyle="1" w:styleId="ListBullet1Level2">
    <w:name w:val="List Bullet 1 (Level 2)"/>
    <w:basedOn w:val="Text1"/>
    <w:uiPriority w:val="35"/>
    <w:semiHidden/>
    <w:unhideWhenUsed/>
    <w:pPr>
      <w:numPr>
        <w:ilvl w:val="1"/>
        <w:numId w:val="29"/>
      </w:numPr>
    </w:pPr>
  </w:style>
  <w:style w:type="paragraph" w:customStyle="1" w:styleId="ListBullet1Level3">
    <w:name w:val="List Bullet 1 (Level 3)"/>
    <w:basedOn w:val="Text1"/>
    <w:uiPriority w:val="35"/>
    <w:semiHidden/>
    <w:unhideWhenUsed/>
    <w:pPr>
      <w:numPr>
        <w:ilvl w:val="2"/>
        <w:numId w:val="29"/>
      </w:numPr>
    </w:pPr>
  </w:style>
  <w:style w:type="paragraph" w:customStyle="1" w:styleId="ListBullet1Level4">
    <w:name w:val="List Bullet 1 (Level 4)"/>
    <w:basedOn w:val="Text1"/>
    <w:uiPriority w:val="35"/>
    <w:semiHidden/>
    <w:unhideWhenUsed/>
    <w:pPr>
      <w:numPr>
        <w:ilvl w:val="3"/>
        <w:numId w:val="29"/>
      </w:numPr>
    </w:pPr>
  </w:style>
  <w:style w:type="paragraph" w:styleId="ListBullet2">
    <w:name w:val="List Bullet 2"/>
    <w:basedOn w:val="Text2"/>
    <w:uiPriority w:val="35"/>
    <w:pPr>
      <w:numPr>
        <w:numId w:val="28"/>
      </w:numPr>
    </w:pPr>
  </w:style>
  <w:style w:type="paragraph" w:customStyle="1" w:styleId="ListBullet2Level2">
    <w:name w:val="List Bullet 2 (Level 2)"/>
    <w:basedOn w:val="Text2"/>
    <w:uiPriority w:val="35"/>
    <w:semiHidden/>
    <w:unhideWhenUsed/>
    <w:pPr>
      <w:numPr>
        <w:ilvl w:val="1"/>
        <w:numId w:val="28"/>
      </w:numPr>
    </w:pPr>
  </w:style>
  <w:style w:type="paragraph" w:customStyle="1" w:styleId="ListBullet2Level3">
    <w:name w:val="List Bullet 2 (Level 3)"/>
    <w:basedOn w:val="Text2"/>
    <w:uiPriority w:val="35"/>
    <w:semiHidden/>
    <w:unhideWhenUsed/>
    <w:pPr>
      <w:numPr>
        <w:ilvl w:val="2"/>
        <w:numId w:val="28"/>
      </w:numPr>
    </w:pPr>
  </w:style>
  <w:style w:type="paragraph" w:customStyle="1" w:styleId="ListBullet2Level4">
    <w:name w:val="List Bullet 2 (Level 4)"/>
    <w:basedOn w:val="Text2"/>
    <w:uiPriority w:val="35"/>
    <w:semiHidden/>
    <w:unhideWhenUsed/>
    <w:pPr>
      <w:numPr>
        <w:ilvl w:val="3"/>
        <w:numId w:val="28"/>
      </w:numPr>
    </w:pPr>
  </w:style>
  <w:style w:type="paragraph" w:styleId="ListBullet3">
    <w:name w:val="List Bullet 3"/>
    <w:basedOn w:val="Text3"/>
    <w:uiPriority w:val="35"/>
    <w:pPr>
      <w:numPr>
        <w:numId w:val="27"/>
      </w:numPr>
    </w:pPr>
  </w:style>
  <w:style w:type="paragraph" w:customStyle="1" w:styleId="ListBullet3Level2">
    <w:name w:val="List Bullet 3 (Level 2)"/>
    <w:basedOn w:val="Text3"/>
    <w:uiPriority w:val="35"/>
    <w:semiHidden/>
    <w:unhideWhenUsed/>
    <w:pPr>
      <w:numPr>
        <w:ilvl w:val="1"/>
        <w:numId w:val="27"/>
      </w:numPr>
    </w:pPr>
  </w:style>
  <w:style w:type="paragraph" w:customStyle="1" w:styleId="ListBullet3Level3">
    <w:name w:val="List Bullet 3 (Level 3)"/>
    <w:basedOn w:val="Text3"/>
    <w:uiPriority w:val="35"/>
    <w:semiHidden/>
    <w:unhideWhenUsed/>
    <w:pPr>
      <w:numPr>
        <w:ilvl w:val="2"/>
        <w:numId w:val="27"/>
      </w:numPr>
    </w:pPr>
  </w:style>
  <w:style w:type="paragraph" w:customStyle="1" w:styleId="ListBullet3Level4">
    <w:name w:val="List Bullet 3 (Level 4)"/>
    <w:basedOn w:val="Text3"/>
    <w:uiPriority w:val="35"/>
    <w:semiHidden/>
    <w:unhideWhenUsed/>
    <w:pPr>
      <w:numPr>
        <w:ilvl w:val="3"/>
        <w:numId w:val="27"/>
      </w:numPr>
    </w:pPr>
  </w:style>
  <w:style w:type="paragraph" w:styleId="ListBullet4">
    <w:name w:val="List Bullet 4"/>
    <w:basedOn w:val="Text4"/>
    <w:uiPriority w:val="35"/>
    <w:pPr>
      <w:numPr>
        <w:numId w:val="26"/>
      </w:numPr>
    </w:pPr>
  </w:style>
  <w:style w:type="paragraph" w:customStyle="1" w:styleId="ListBullet4Level2">
    <w:name w:val="List Bullet 4 (Level 2)"/>
    <w:basedOn w:val="Text4"/>
    <w:uiPriority w:val="35"/>
    <w:semiHidden/>
    <w:unhideWhenUsed/>
    <w:pPr>
      <w:numPr>
        <w:ilvl w:val="1"/>
        <w:numId w:val="26"/>
      </w:numPr>
    </w:pPr>
  </w:style>
  <w:style w:type="paragraph" w:customStyle="1" w:styleId="ListBullet4Level3">
    <w:name w:val="List Bullet 4 (Level 3)"/>
    <w:basedOn w:val="Text4"/>
    <w:uiPriority w:val="35"/>
    <w:semiHidden/>
    <w:unhideWhenUsed/>
    <w:pPr>
      <w:numPr>
        <w:ilvl w:val="2"/>
        <w:numId w:val="26"/>
      </w:numPr>
    </w:pPr>
  </w:style>
  <w:style w:type="paragraph" w:customStyle="1" w:styleId="ListBullet4Level4">
    <w:name w:val="List Bullet 4 (Level 4)"/>
    <w:basedOn w:val="Text4"/>
    <w:uiPriority w:val="35"/>
    <w:semiHidden/>
    <w:unhideWhenUsed/>
    <w:pPr>
      <w:numPr>
        <w:ilvl w:val="3"/>
        <w:numId w:val="26"/>
      </w:numPr>
    </w:pPr>
  </w:style>
  <w:style w:type="paragraph" w:customStyle="1" w:styleId="ListDash">
    <w:name w:val="List Dash"/>
    <w:basedOn w:val="Normal"/>
    <w:uiPriority w:val="35"/>
    <w:pPr>
      <w:numPr>
        <w:numId w:val="20"/>
      </w:numPr>
    </w:pPr>
  </w:style>
  <w:style w:type="paragraph" w:customStyle="1" w:styleId="ListDashLevel2">
    <w:name w:val="List Dash (Level 2)"/>
    <w:basedOn w:val="Normal"/>
    <w:semiHidden/>
    <w:unhideWhenUsed/>
    <w:pPr>
      <w:numPr>
        <w:ilvl w:val="1"/>
        <w:numId w:val="20"/>
      </w:numPr>
    </w:pPr>
  </w:style>
  <w:style w:type="paragraph" w:customStyle="1" w:styleId="ListDashLevel3">
    <w:name w:val="List Dash (Level 3)"/>
    <w:basedOn w:val="Normal"/>
    <w:semiHidden/>
    <w:unhideWhenUsed/>
    <w:pPr>
      <w:numPr>
        <w:ilvl w:val="2"/>
        <w:numId w:val="20"/>
      </w:numPr>
    </w:pPr>
  </w:style>
  <w:style w:type="paragraph" w:customStyle="1" w:styleId="ListDashLevel4">
    <w:name w:val="List Dash (Level 4)"/>
    <w:basedOn w:val="Normal"/>
    <w:semiHidden/>
    <w:unhideWhenUsed/>
    <w:pPr>
      <w:numPr>
        <w:ilvl w:val="3"/>
        <w:numId w:val="20"/>
      </w:numPr>
    </w:pPr>
  </w:style>
  <w:style w:type="paragraph" w:customStyle="1" w:styleId="ListDash1">
    <w:name w:val="List Dash 1"/>
    <w:basedOn w:val="Text1"/>
    <w:uiPriority w:val="35"/>
    <w:pPr>
      <w:numPr>
        <w:numId w:val="19"/>
      </w:numPr>
    </w:pPr>
  </w:style>
  <w:style w:type="paragraph" w:customStyle="1" w:styleId="ListDash1Level2">
    <w:name w:val="List Dash 1 (Level 2)"/>
    <w:basedOn w:val="Text1"/>
    <w:uiPriority w:val="35"/>
    <w:semiHidden/>
    <w:unhideWhenUsed/>
    <w:pPr>
      <w:numPr>
        <w:ilvl w:val="1"/>
        <w:numId w:val="19"/>
      </w:numPr>
    </w:pPr>
  </w:style>
  <w:style w:type="paragraph" w:customStyle="1" w:styleId="ListDash1Level3">
    <w:name w:val="List Dash 1 (Level 3)"/>
    <w:basedOn w:val="Text1"/>
    <w:uiPriority w:val="35"/>
    <w:semiHidden/>
    <w:unhideWhenUsed/>
    <w:pPr>
      <w:numPr>
        <w:ilvl w:val="2"/>
        <w:numId w:val="19"/>
      </w:numPr>
    </w:pPr>
  </w:style>
  <w:style w:type="paragraph" w:customStyle="1" w:styleId="ListDash1Level4">
    <w:name w:val="List Dash 1 (Level 4)"/>
    <w:basedOn w:val="Text1"/>
    <w:uiPriority w:val="35"/>
    <w:semiHidden/>
    <w:unhideWhenUsed/>
    <w:pPr>
      <w:numPr>
        <w:ilvl w:val="3"/>
        <w:numId w:val="19"/>
      </w:numPr>
    </w:pPr>
  </w:style>
  <w:style w:type="paragraph" w:customStyle="1" w:styleId="ListDash2">
    <w:name w:val="List Dash 2"/>
    <w:basedOn w:val="Text2"/>
    <w:uiPriority w:val="35"/>
    <w:pPr>
      <w:numPr>
        <w:numId w:val="18"/>
      </w:numPr>
    </w:pPr>
  </w:style>
  <w:style w:type="paragraph" w:customStyle="1" w:styleId="ListDash2Level2">
    <w:name w:val="List Dash 2 (Level 2)"/>
    <w:basedOn w:val="Text2"/>
    <w:uiPriority w:val="35"/>
    <w:semiHidden/>
    <w:unhideWhenUsed/>
    <w:pPr>
      <w:numPr>
        <w:ilvl w:val="1"/>
        <w:numId w:val="18"/>
      </w:numPr>
    </w:pPr>
  </w:style>
  <w:style w:type="paragraph" w:customStyle="1" w:styleId="ListDash2Level3">
    <w:name w:val="List Dash 2 (Level 3)"/>
    <w:basedOn w:val="Text2"/>
    <w:uiPriority w:val="35"/>
    <w:semiHidden/>
    <w:unhideWhenUsed/>
    <w:pPr>
      <w:numPr>
        <w:ilvl w:val="2"/>
        <w:numId w:val="18"/>
      </w:numPr>
    </w:pPr>
  </w:style>
  <w:style w:type="paragraph" w:customStyle="1" w:styleId="ListDash2Level4">
    <w:name w:val="List Dash 2 (Level 4)"/>
    <w:basedOn w:val="Text2"/>
    <w:uiPriority w:val="35"/>
    <w:semiHidden/>
    <w:unhideWhenUsed/>
    <w:pPr>
      <w:numPr>
        <w:ilvl w:val="3"/>
        <w:numId w:val="18"/>
      </w:numPr>
    </w:pPr>
  </w:style>
  <w:style w:type="paragraph" w:customStyle="1" w:styleId="ListDash3">
    <w:name w:val="List Dash 3"/>
    <w:basedOn w:val="Text3"/>
    <w:uiPriority w:val="35"/>
    <w:pPr>
      <w:numPr>
        <w:numId w:val="17"/>
      </w:numPr>
    </w:pPr>
  </w:style>
  <w:style w:type="paragraph" w:customStyle="1" w:styleId="ListDash3Level2">
    <w:name w:val="List Dash 3 (Level 2)"/>
    <w:basedOn w:val="Text3"/>
    <w:uiPriority w:val="35"/>
    <w:semiHidden/>
    <w:unhideWhenUsed/>
    <w:pPr>
      <w:numPr>
        <w:ilvl w:val="1"/>
        <w:numId w:val="17"/>
      </w:numPr>
    </w:pPr>
  </w:style>
  <w:style w:type="paragraph" w:customStyle="1" w:styleId="ListDash3Level3">
    <w:name w:val="List Dash 3 (Level 3)"/>
    <w:basedOn w:val="Text3"/>
    <w:uiPriority w:val="35"/>
    <w:semiHidden/>
    <w:unhideWhenUsed/>
    <w:pPr>
      <w:numPr>
        <w:ilvl w:val="2"/>
        <w:numId w:val="17"/>
      </w:numPr>
    </w:pPr>
  </w:style>
  <w:style w:type="paragraph" w:customStyle="1" w:styleId="ListDash3Level4">
    <w:name w:val="List Dash 3 (Level 4)"/>
    <w:basedOn w:val="Text3"/>
    <w:uiPriority w:val="35"/>
    <w:semiHidden/>
    <w:unhideWhenUsed/>
    <w:pPr>
      <w:numPr>
        <w:ilvl w:val="3"/>
        <w:numId w:val="17"/>
      </w:numPr>
    </w:pPr>
  </w:style>
  <w:style w:type="paragraph" w:customStyle="1" w:styleId="ListDash4">
    <w:name w:val="List Dash 4"/>
    <w:basedOn w:val="Text4"/>
    <w:uiPriority w:val="35"/>
    <w:pPr>
      <w:numPr>
        <w:numId w:val="16"/>
      </w:numPr>
    </w:pPr>
  </w:style>
  <w:style w:type="paragraph" w:customStyle="1" w:styleId="ListDash4Level2">
    <w:name w:val="List Dash 4 (Level 2)"/>
    <w:basedOn w:val="Text4"/>
    <w:uiPriority w:val="35"/>
    <w:semiHidden/>
    <w:unhideWhenUsed/>
    <w:pPr>
      <w:numPr>
        <w:ilvl w:val="1"/>
        <w:numId w:val="16"/>
      </w:numPr>
    </w:pPr>
  </w:style>
  <w:style w:type="paragraph" w:customStyle="1" w:styleId="ListDash4Level3">
    <w:name w:val="List Dash 4 (Level 3)"/>
    <w:basedOn w:val="Text4"/>
    <w:uiPriority w:val="35"/>
    <w:semiHidden/>
    <w:unhideWhenUsed/>
    <w:pPr>
      <w:numPr>
        <w:ilvl w:val="2"/>
        <w:numId w:val="16"/>
      </w:numPr>
    </w:pPr>
  </w:style>
  <w:style w:type="paragraph" w:customStyle="1" w:styleId="ListDash4Level4">
    <w:name w:val="List Dash 4 (Level 4)"/>
    <w:basedOn w:val="Text4"/>
    <w:uiPriority w:val="35"/>
    <w:semiHidden/>
    <w:unhideWhenUsed/>
    <w:pPr>
      <w:numPr>
        <w:ilvl w:val="3"/>
        <w:numId w:val="16"/>
      </w:numPr>
    </w:pPr>
  </w:style>
  <w:style w:type="paragraph" w:styleId="ListNumber">
    <w:name w:val="List Number"/>
    <w:basedOn w:val="Normal"/>
    <w:uiPriority w:val="30"/>
    <w:pPr>
      <w:numPr>
        <w:numId w:val="25"/>
      </w:numPr>
    </w:pPr>
  </w:style>
  <w:style w:type="paragraph" w:customStyle="1" w:styleId="ListNumberLevel2">
    <w:name w:val="List Number (Level 2)"/>
    <w:basedOn w:val="Normal"/>
    <w:uiPriority w:val="30"/>
    <w:pPr>
      <w:numPr>
        <w:ilvl w:val="1"/>
        <w:numId w:val="25"/>
      </w:numPr>
    </w:pPr>
  </w:style>
  <w:style w:type="paragraph" w:customStyle="1" w:styleId="ListNumberLevel3">
    <w:name w:val="List Number (Level 3)"/>
    <w:basedOn w:val="Normal"/>
    <w:uiPriority w:val="30"/>
    <w:pPr>
      <w:numPr>
        <w:ilvl w:val="2"/>
        <w:numId w:val="25"/>
      </w:numPr>
    </w:pPr>
  </w:style>
  <w:style w:type="paragraph" w:customStyle="1" w:styleId="ListNumberLevel4">
    <w:name w:val="List Number (Level 4)"/>
    <w:basedOn w:val="Normal"/>
    <w:uiPriority w:val="30"/>
    <w:pPr>
      <w:numPr>
        <w:ilvl w:val="3"/>
        <w:numId w:val="25"/>
      </w:numPr>
    </w:pPr>
  </w:style>
  <w:style w:type="paragraph" w:customStyle="1" w:styleId="ListNumber1">
    <w:name w:val="List Number 1"/>
    <w:basedOn w:val="Text1"/>
    <w:uiPriority w:val="30"/>
    <w:pPr>
      <w:numPr>
        <w:numId w:val="24"/>
      </w:numPr>
    </w:pPr>
  </w:style>
  <w:style w:type="paragraph" w:customStyle="1" w:styleId="ListNumber1Level2">
    <w:name w:val="List Number 1 (Level 2)"/>
    <w:basedOn w:val="Text1"/>
    <w:uiPriority w:val="30"/>
    <w:semiHidden/>
    <w:unhideWhenUsed/>
    <w:pPr>
      <w:numPr>
        <w:ilvl w:val="1"/>
        <w:numId w:val="24"/>
      </w:numPr>
    </w:pPr>
  </w:style>
  <w:style w:type="paragraph" w:customStyle="1" w:styleId="ListNumber1Level3">
    <w:name w:val="List Number 1 (Level 3)"/>
    <w:basedOn w:val="Text1"/>
    <w:uiPriority w:val="30"/>
    <w:semiHidden/>
    <w:unhideWhenUsed/>
    <w:pPr>
      <w:numPr>
        <w:ilvl w:val="2"/>
        <w:numId w:val="24"/>
      </w:numPr>
    </w:pPr>
  </w:style>
  <w:style w:type="paragraph" w:customStyle="1" w:styleId="ListNumber1Level4">
    <w:name w:val="List Number 1 (Level 4)"/>
    <w:basedOn w:val="Text1"/>
    <w:uiPriority w:val="30"/>
    <w:semiHidden/>
    <w:unhideWhenUsed/>
    <w:pPr>
      <w:numPr>
        <w:ilvl w:val="3"/>
        <w:numId w:val="24"/>
      </w:numPr>
    </w:pPr>
  </w:style>
  <w:style w:type="paragraph" w:styleId="ListNumber2">
    <w:name w:val="List Number 2"/>
    <w:basedOn w:val="Text2"/>
    <w:uiPriority w:val="30"/>
    <w:pPr>
      <w:numPr>
        <w:numId w:val="23"/>
      </w:numPr>
    </w:pPr>
  </w:style>
  <w:style w:type="paragraph" w:customStyle="1" w:styleId="ListNumber2Level2">
    <w:name w:val="List Number 2 (Level 2)"/>
    <w:basedOn w:val="Text2"/>
    <w:uiPriority w:val="30"/>
    <w:semiHidden/>
    <w:unhideWhenUsed/>
    <w:pPr>
      <w:numPr>
        <w:ilvl w:val="1"/>
        <w:numId w:val="23"/>
      </w:numPr>
    </w:pPr>
  </w:style>
  <w:style w:type="paragraph" w:customStyle="1" w:styleId="ListNumber2Level3">
    <w:name w:val="List Number 2 (Level 3)"/>
    <w:basedOn w:val="Text2"/>
    <w:uiPriority w:val="30"/>
    <w:semiHidden/>
    <w:unhideWhenUsed/>
    <w:pPr>
      <w:numPr>
        <w:ilvl w:val="2"/>
        <w:numId w:val="23"/>
      </w:numPr>
    </w:pPr>
  </w:style>
  <w:style w:type="paragraph" w:customStyle="1" w:styleId="ListNumber2Level4">
    <w:name w:val="List Number 2 (Level 4)"/>
    <w:basedOn w:val="Text2"/>
    <w:uiPriority w:val="30"/>
    <w:semiHidden/>
    <w:unhideWhenUsed/>
    <w:pPr>
      <w:numPr>
        <w:ilvl w:val="3"/>
        <w:numId w:val="23"/>
      </w:numPr>
    </w:pPr>
  </w:style>
  <w:style w:type="paragraph" w:styleId="ListNumber3">
    <w:name w:val="List Number 3"/>
    <w:basedOn w:val="Text3"/>
    <w:uiPriority w:val="30"/>
    <w:pPr>
      <w:numPr>
        <w:numId w:val="22"/>
      </w:numPr>
    </w:pPr>
  </w:style>
  <w:style w:type="paragraph" w:customStyle="1" w:styleId="ListNumber3Level2">
    <w:name w:val="List Number 3 (Level 2)"/>
    <w:basedOn w:val="Text3"/>
    <w:uiPriority w:val="30"/>
    <w:semiHidden/>
    <w:unhideWhenUsed/>
    <w:pPr>
      <w:numPr>
        <w:ilvl w:val="1"/>
        <w:numId w:val="22"/>
      </w:numPr>
    </w:pPr>
  </w:style>
  <w:style w:type="paragraph" w:customStyle="1" w:styleId="ListNumber3Level3">
    <w:name w:val="List Number 3 (Level 3)"/>
    <w:basedOn w:val="Text3"/>
    <w:uiPriority w:val="30"/>
    <w:semiHidden/>
    <w:unhideWhenUsed/>
    <w:pPr>
      <w:numPr>
        <w:ilvl w:val="2"/>
        <w:numId w:val="22"/>
      </w:numPr>
    </w:pPr>
  </w:style>
  <w:style w:type="paragraph" w:customStyle="1" w:styleId="ListNumber3Level4">
    <w:name w:val="List Number 3 (Level 4)"/>
    <w:basedOn w:val="Text3"/>
    <w:uiPriority w:val="30"/>
    <w:semiHidden/>
    <w:unhideWhenUsed/>
    <w:pPr>
      <w:numPr>
        <w:ilvl w:val="3"/>
        <w:numId w:val="22"/>
      </w:numPr>
    </w:pPr>
  </w:style>
  <w:style w:type="paragraph" w:styleId="ListNumber4">
    <w:name w:val="List Number 4"/>
    <w:basedOn w:val="Text4"/>
    <w:uiPriority w:val="30"/>
    <w:pPr>
      <w:numPr>
        <w:numId w:val="21"/>
      </w:numPr>
    </w:pPr>
  </w:style>
  <w:style w:type="paragraph" w:customStyle="1" w:styleId="ListNumber4Level2">
    <w:name w:val="List Number 4 (Level 2)"/>
    <w:basedOn w:val="Text4"/>
    <w:uiPriority w:val="30"/>
    <w:semiHidden/>
    <w:unhideWhenUsed/>
    <w:pPr>
      <w:numPr>
        <w:ilvl w:val="1"/>
        <w:numId w:val="21"/>
      </w:numPr>
    </w:pPr>
  </w:style>
  <w:style w:type="paragraph" w:customStyle="1" w:styleId="ListNumber4Level3">
    <w:name w:val="List Number 4 (Level 3)"/>
    <w:basedOn w:val="Text4"/>
    <w:uiPriority w:val="30"/>
    <w:semiHidden/>
    <w:unhideWhenUsed/>
    <w:pPr>
      <w:numPr>
        <w:ilvl w:val="2"/>
        <w:numId w:val="21"/>
      </w:numPr>
    </w:pPr>
  </w:style>
  <w:style w:type="paragraph" w:customStyle="1" w:styleId="ListNumber4Level4">
    <w:name w:val="List Number 4 (Level 4)"/>
    <w:basedOn w:val="Text4"/>
    <w:uiPriority w:val="30"/>
    <w:semiHidden/>
    <w:unhideWhenUsed/>
    <w:pPr>
      <w:numPr>
        <w:ilvl w:val="3"/>
        <w:numId w:val="21"/>
      </w:numPr>
    </w:pPr>
  </w:style>
  <w:style w:type="paragraph" w:customStyle="1" w:styleId="Marking">
    <w:name w:val="Marking"/>
    <w:basedOn w:val="Normal"/>
    <w:semiHidden/>
    <w:rsid w:val="005419E6"/>
    <w:pPr>
      <w:ind w:left="5102" w:right="-680"/>
      <w:contextualSpacing/>
      <w:jc w:val="left"/>
    </w:pPr>
    <w:rPr>
      <w:sz w:val="28"/>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35"/>
      </w:numPr>
    </w:pPr>
  </w:style>
  <w:style w:type="paragraph" w:customStyle="1" w:styleId="TableListBulletLevel2">
    <w:name w:val="Table List Bullet (Level 2)"/>
    <w:basedOn w:val="TableText"/>
    <w:uiPriority w:val="55"/>
    <w:unhideWhenUsed/>
    <w:pPr>
      <w:numPr>
        <w:ilvl w:val="1"/>
        <w:numId w:val="35"/>
      </w:numPr>
    </w:pPr>
  </w:style>
  <w:style w:type="paragraph" w:customStyle="1" w:styleId="TableListBulletLevel3">
    <w:name w:val="Table List Bullet (Level 3)"/>
    <w:basedOn w:val="TableText"/>
    <w:uiPriority w:val="55"/>
    <w:unhideWhenUsed/>
    <w:pPr>
      <w:numPr>
        <w:ilvl w:val="2"/>
        <w:numId w:val="35"/>
      </w:numPr>
    </w:pPr>
  </w:style>
  <w:style w:type="paragraph" w:customStyle="1" w:styleId="TableListBulletLevel4">
    <w:name w:val="Table List Bullet (Level 4)"/>
    <w:basedOn w:val="TableText"/>
    <w:uiPriority w:val="55"/>
    <w:semiHidden/>
    <w:unhideWhenUsed/>
    <w:pPr>
      <w:numPr>
        <w:ilvl w:val="3"/>
        <w:numId w:val="35"/>
      </w:numPr>
    </w:pPr>
  </w:style>
  <w:style w:type="paragraph" w:customStyle="1" w:styleId="TableListDash">
    <w:name w:val="Table List Dash"/>
    <w:basedOn w:val="TableText"/>
    <w:uiPriority w:val="55"/>
    <w:pPr>
      <w:numPr>
        <w:numId w:val="36"/>
      </w:numPr>
    </w:pPr>
  </w:style>
  <w:style w:type="paragraph" w:customStyle="1" w:styleId="TableListDashLevel2">
    <w:name w:val="Table List Dash (Level 2)"/>
    <w:basedOn w:val="TableText"/>
    <w:uiPriority w:val="55"/>
    <w:semiHidden/>
    <w:unhideWhenUsed/>
    <w:pPr>
      <w:numPr>
        <w:ilvl w:val="1"/>
        <w:numId w:val="36"/>
      </w:numPr>
    </w:pPr>
  </w:style>
  <w:style w:type="paragraph" w:customStyle="1" w:styleId="TableListDashLevel3">
    <w:name w:val="Table List Dash (Level 3)"/>
    <w:basedOn w:val="TableText"/>
    <w:uiPriority w:val="55"/>
    <w:semiHidden/>
    <w:unhideWhenUsed/>
    <w:pPr>
      <w:numPr>
        <w:ilvl w:val="2"/>
        <w:numId w:val="36"/>
      </w:numPr>
    </w:pPr>
  </w:style>
  <w:style w:type="paragraph" w:customStyle="1" w:styleId="TableListDashLevel4">
    <w:name w:val="Table List Dash (Level 4)"/>
    <w:basedOn w:val="TableText"/>
    <w:uiPriority w:val="55"/>
    <w:semiHidden/>
    <w:unhideWhenUsed/>
    <w:pPr>
      <w:numPr>
        <w:ilvl w:val="3"/>
        <w:numId w:val="36"/>
      </w:numPr>
    </w:pPr>
  </w:style>
  <w:style w:type="paragraph" w:customStyle="1" w:styleId="TableListNumber">
    <w:name w:val="Table List Number"/>
    <w:basedOn w:val="TableText"/>
    <w:uiPriority w:val="55"/>
    <w:pPr>
      <w:numPr>
        <w:numId w:val="37"/>
      </w:numPr>
    </w:pPr>
  </w:style>
  <w:style w:type="paragraph" w:customStyle="1" w:styleId="TableListNumberLevel2">
    <w:name w:val="Table List Number (Level 2)"/>
    <w:basedOn w:val="TableText"/>
    <w:uiPriority w:val="55"/>
    <w:semiHidden/>
    <w:unhideWhenUsed/>
    <w:pPr>
      <w:numPr>
        <w:ilvl w:val="1"/>
        <w:numId w:val="37"/>
      </w:numPr>
    </w:pPr>
  </w:style>
  <w:style w:type="paragraph" w:customStyle="1" w:styleId="TableListNumberLevel3">
    <w:name w:val="Table List Number (Level 3)"/>
    <w:basedOn w:val="TableText"/>
    <w:uiPriority w:val="55"/>
    <w:semiHidden/>
    <w:unhideWhenUsed/>
    <w:pPr>
      <w:numPr>
        <w:ilvl w:val="2"/>
        <w:numId w:val="37"/>
      </w:numPr>
    </w:pPr>
  </w:style>
  <w:style w:type="paragraph" w:customStyle="1" w:styleId="TableListNumberLevel4">
    <w:name w:val="Table List Number (Level 4)"/>
    <w:basedOn w:val="TableText"/>
    <w:uiPriority w:val="55"/>
    <w:semiHidden/>
    <w:unhideWhenUsed/>
    <w:pPr>
      <w:numPr>
        <w:ilvl w:val="3"/>
        <w:numId w:val="37"/>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Marker">
    <w:name w:val="Marker"/>
    <w:basedOn w:val="DefaultParagraphFont"/>
    <w:rsid w:val="006B2E61"/>
    <w:rPr>
      <w:color w:val="0000FF"/>
      <w:shd w:val="clear" w:color="auto" w:fill="auto"/>
    </w:rPr>
  </w:style>
  <w:style w:type="paragraph" w:customStyle="1" w:styleId="Pagedecouverture">
    <w:name w:val="Page de couverture"/>
    <w:basedOn w:val="Normal"/>
    <w:next w:val="Normal"/>
    <w:link w:val="PagedecouvertureChar"/>
    <w:rsid w:val="006B2E61"/>
    <w:pPr>
      <w:spacing w:after="0"/>
    </w:pPr>
    <w:rPr>
      <w:rFonts w:eastAsiaTheme="minorHAnsi"/>
      <w:szCs w:val="22"/>
      <w:lang w:eastAsia="en-US"/>
    </w:rPr>
  </w:style>
  <w:style w:type="paragraph" w:customStyle="1" w:styleId="FooterCoverPage">
    <w:name w:val="Footer Cover Page"/>
    <w:basedOn w:val="Normal"/>
    <w:link w:val="FooterCoverPageChar"/>
    <w:rsid w:val="006B2E61"/>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6B2E61"/>
    <w:rPr>
      <w:rFonts w:eastAsiaTheme="minorHAnsi"/>
      <w:szCs w:val="22"/>
      <w:lang w:eastAsia="en-US"/>
    </w:rPr>
  </w:style>
  <w:style w:type="character" w:customStyle="1" w:styleId="FooterCoverPageChar">
    <w:name w:val="Footer Cover Page Char"/>
    <w:basedOn w:val="PagedecouvertureChar"/>
    <w:link w:val="FooterCoverPage"/>
    <w:rsid w:val="006B2E61"/>
    <w:rPr>
      <w:rFonts w:eastAsiaTheme="minorHAnsi"/>
      <w:szCs w:val="22"/>
      <w:lang w:eastAsia="en-US"/>
    </w:rPr>
  </w:style>
  <w:style w:type="paragraph" w:customStyle="1" w:styleId="FooterSensitivity">
    <w:name w:val="Footer Sensitivity"/>
    <w:basedOn w:val="Normal"/>
    <w:link w:val="FooterSensitivityChar"/>
    <w:rsid w:val="006B2E6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6B2E61"/>
    <w:rPr>
      <w:rFonts w:eastAsiaTheme="minorHAnsi"/>
      <w:b/>
      <w:sz w:val="32"/>
      <w:szCs w:val="22"/>
      <w:lang w:eastAsia="en-US"/>
    </w:rPr>
  </w:style>
  <w:style w:type="paragraph" w:customStyle="1" w:styleId="HeaderCoverPage">
    <w:name w:val="Header Cover Page"/>
    <w:basedOn w:val="Normal"/>
    <w:link w:val="HeaderCoverPageChar"/>
    <w:rsid w:val="006B2E61"/>
    <w:pPr>
      <w:tabs>
        <w:tab w:val="center" w:pos="4535"/>
        <w:tab w:val="right" w:pos="9071"/>
      </w:tabs>
      <w:spacing w:after="120"/>
    </w:pPr>
  </w:style>
  <w:style w:type="character" w:customStyle="1" w:styleId="HeaderCoverPageChar">
    <w:name w:val="Header Cover Page Char"/>
    <w:basedOn w:val="PagedecouvertureChar"/>
    <w:link w:val="HeaderCoverPage"/>
    <w:rsid w:val="006B2E61"/>
    <w:rPr>
      <w:rFonts w:eastAsiaTheme="minorHAnsi"/>
      <w:szCs w:val="22"/>
      <w:lang w:eastAsia="en-US"/>
    </w:rPr>
  </w:style>
  <w:style w:type="paragraph" w:customStyle="1" w:styleId="HeaderSensitivity">
    <w:name w:val="Header Sensitivity"/>
    <w:basedOn w:val="Normal"/>
    <w:link w:val="HeaderSensitivityChar"/>
    <w:rsid w:val="006B2E61"/>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6B2E61"/>
    <w:rPr>
      <w:rFonts w:eastAsiaTheme="minorHAnsi"/>
      <w:b/>
      <w:sz w:val="32"/>
      <w:szCs w:val="22"/>
      <w:lang w:eastAsia="en-US"/>
    </w:rPr>
  </w:style>
  <w:style w:type="paragraph" w:customStyle="1" w:styleId="HeaderSensitivityRight">
    <w:name w:val="Header Sensitivity Right"/>
    <w:basedOn w:val="Normal"/>
    <w:link w:val="HeaderSensitivityRightChar"/>
    <w:rsid w:val="006B2E61"/>
    <w:pPr>
      <w:spacing w:after="120"/>
      <w:jc w:val="right"/>
    </w:pPr>
    <w:rPr>
      <w:sz w:val="28"/>
    </w:rPr>
  </w:style>
  <w:style w:type="character" w:customStyle="1" w:styleId="HeaderSensitivityRightChar">
    <w:name w:val="Header Sensitivity Right Char"/>
    <w:basedOn w:val="PagedecouvertureChar"/>
    <w:link w:val="HeaderSensitivityRight"/>
    <w:rsid w:val="006B2E61"/>
    <w:rPr>
      <w:rFonts w:eastAsiaTheme="minorHAnsi"/>
      <w:sz w:val="28"/>
      <w:szCs w:val="22"/>
      <w:lang w:eastAsia="en-US"/>
    </w:rPr>
  </w:style>
  <w:style w:type="paragraph" w:styleId="NoSpacing">
    <w:name w:val="No Spacing"/>
    <w:uiPriority w:val="1"/>
    <w:qFormat/>
    <w:rsid w:val="6A1405F6"/>
  </w:style>
  <w:style w:type="paragraph" w:styleId="ListParagraph">
    <w:name w:val="List Paragraph"/>
    <w:basedOn w:val="Normal"/>
    <w:uiPriority w:val="34"/>
    <w:qFormat/>
    <w:rsid w:val="6A1405F6"/>
    <w:pPr>
      <w:ind w:left="720"/>
      <w:contextualSpacing/>
    </w:pPr>
  </w:style>
  <w:style w:type="character" w:customStyle="1" w:styleId="FootnoteTextChar">
    <w:name w:val="Footnote Text Char"/>
    <w:basedOn w:val="DefaultParagraphFont"/>
    <w:link w:val="FootnoteText"/>
    <w:uiPriority w:val="99"/>
    <w:semiHidden/>
    <w:rsid w:val="00A4269B"/>
    <w:rPr>
      <w:sz w:val="20"/>
    </w:rPr>
  </w:style>
  <w:style w:type="character" w:styleId="Hyperlink">
    <w:name w:val="Hyperlink"/>
    <w:basedOn w:val="DefaultParagraphFont"/>
    <w:uiPriority w:val="99"/>
    <w:unhideWhenUsed/>
    <w:rsid w:val="00A4269B"/>
    <w:rPr>
      <w:color w:val="467886" w:themeColor="hyperlink"/>
      <w:u w:val="single"/>
    </w:rPr>
  </w:style>
  <w:style w:type="character" w:styleId="FollowedHyperlink">
    <w:name w:val="FollowedHyperlink"/>
    <w:basedOn w:val="DefaultParagraphFont"/>
    <w:uiPriority w:val="99"/>
    <w:semiHidden/>
    <w:rsid w:val="00555761"/>
    <w:rPr>
      <w:color w:val="96607D" w:themeColor="followedHyperlink"/>
      <w:u w:val="single"/>
    </w:rPr>
  </w:style>
  <w:style w:type="character" w:styleId="CommentReference">
    <w:name w:val="annotation reference"/>
    <w:basedOn w:val="DefaultParagraphFont"/>
    <w:uiPriority w:val="99"/>
    <w:semiHidden/>
    <w:rsid w:val="00AE26F9"/>
    <w:rPr>
      <w:sz w:val="16"/>
      <w:szCs w:val="16"/>
    </w:rPr>
  </w:style>
  <w:style w:type="paragraph" w:styleId="CommentText">
    <w:name w:val="annotation text"/>
    <w:basedOn w:val="Normal"/>
    <w:link w:val="CommentTextChar"/>
    <w:uiPriority w:val="99"/>
    <w:semiHidden/>
    <w:rsid w:val="00AE26F9"/>
    <w:rPr>
      <w:sz w:val="20"/>
    </w:rPr>
  </w:style>
  <w:style w:type="character" w:customStyle="1" w:styleId="CommentTextChar">
    <w:name w:val="Comment Text Char"/>
    <w:basedOn w:val="DefaultParagraphFont"/>
    <w:link w:val="CommentText"/>
    <w:uiPriority w:val="99"/>
    <w:semiHidden/>
    <w:rsid w:val="00AE26F9"/>
    <w:rPr>
      <w:sz w:val="20"/>
    </w:rPr>
  </w:style>
  <w:style w:type="paragraph" w:styleId="CommentSubject">
    <w:name w:val="annotation subject"/>
    <w:basedOn w:val="CommentText"/>
    <w:next w:val="CommentText"/>
    <w:link w:val="CommentSubjectChar"/>
    <w:uiPriority w:val="99"/>
    <w:semiHidden/>
    <w:rsid w:val="00AE26F9"/>
    <w:rPr>
      <w:b/>
      <w:bCs/>
    </w:rPr>
  </w:style>
  <w:style w:type="character" w:customStyle="1" w:styleId="CommentSubjectChar">
    <w:name w:val="Comment Subject Char"/>
    <w:basedOn w:val="CommentTextChar"/>
    <w:link w:val="CommentSubject"/>
    <w:uiPriority w:val="99"/>
    <w:semiHidden/>
    <w:rsid w:val="00AE26F9"/>
    <w:rPr>
      <w:b/>
      <w:bCs/>
      <w:sz w:val="20"/>
    </w:rPr>
  </w:style>
  <w:style w:type="character" w:customStyle="1" w:styleId="Mention1">
    <w:name w:val="Mention1"/>
    <w:basedOn w:val="DefaultParagraphFont"/>
    <w:uiPriority w:val="99"/>
    <w:unhideWhenUsed/>
    <w:rsid w:val="00AE26F9"/>
    <w:rPr>
      <w:color w:val="2B579A"/>
      <w:shd w:val="clear" w:color="auto" w:fill="E1DFDD"/>
    </w:rPr>
  </w:style>
  <w:style w:type="paragraph" w:styleId="Revision">
    <w:name w:val="Revision"/>
    <w:hidden/>
    <w:uiPriority w:val="99"/>
    <w:semiHidden/>
    <w:rsid w:val="00F32FB6"/>
  </w:style>
  <w:style w:type="paragraph" w:customStyle="1" w:styleId="Default">
    <w:name w:val="Default"/>
    <w:rsid w:val="00704223"/>
    <w:pPr>
      <w:autoSpaceDE w:val="0"/>
      <w:autoSpaceDN w:val="0"/>
      <w:adjustRightInd w:val="0"/>
    </w:pPr>
    <w:rPr>
      <w:color w:val="000000"/>
      <w:szCs w:val="24"/>
    </w:rPr>
  </w:style>
  <w:style w:type="character" w:customStyle="1" w:styleId="UnresolvedMention1">
    <w:name w:val="Unresolved Mention1"/>
    <w:basedOn w:val="DefaultParagraphFont"/>
    <w:uiPriority w:val="99"/>
    <w:semiHidden/>
    <w:unhideWhenUsed/>
    <w:rsid w:val="003F744C"/>
    <w:rPr>
      <w:color w:val="605E5C"/>
      <w:shd w:val="clear" w:color="auto" w:fill="E1DFDD"/>
    </w:rPr>
  </w:style>
  <w:style w:type="character" w:customStyle="1" w:styleId="FooterChar">
    <w:name w:val="Footer Char"/>
    <w:basedOn w:val="DefaultParagraphFont"/>
    <w:link w:val="Footer"/>
    <w:uiPriority w:val="99"/>
    <w:rsid w:val="00E07DDF"/>
    <w:rPr>
      <w:sz w:val="16"/>
    </w:rPr>
  </w:style>
  <w:style w:type="paragraph" w:styleId="NormalWeb">
    <w:name w:val="Normal (Web)"/>
    <w:basedOn w:val="Normal"/>
    <w:uiPriority w:val="99"/>
    <w:semiHidden/>
    <w:rsid w:val="00F45B3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14932">
      <w:bodyDiv w:val="1"/>
      <w:marLeft w:val="0"/>
      <w:marRight w:val="0"/>
      <w:marTop w:val="0"/>
      <w:marBottom w:val="0"/>
      <w:divBdr>
        <w:top w:val="none" w:sz="0" w:space="0" w:color="auto"/>
        <w:left w:val="none" w:sz="0" w:space="0" w:color="auto"/>
        <w:bottom w:val="none" w:sz="0" w:space="0" w:color="auto"/>
        <w:right w:val="none" w:sz="0" w:space="0" w:color="auto"/>
      </w:divBdr>
      <w:divsChild>
        <w:div w:id="23406825">
          <w:marLeft w:val="0"/>
          <w:marRight w:val="0"/>
          <w:marTop w:val="0"/>
          <w:marBottom w:val="0"/>
          <w:divBdr>
            <w:top w:val="none" w:sz="0" w:space="0" w:color="auto"/>
            <w:left w:val="none" w:sz="0" w:space="0" w:color="auto"/>
            <w:bottom w:val="none" w:sz="0" w:space="0" w:color="auto"/>
            <w:right w:val="none" w:sz="0" w:space="0" w:color="auto"/>
          </w:divBdr>
          <w:divsChild>
            <w:div w:id="374352552">
              <w:marLeft w:val="0"/>
              <w:marRight w:val="0"/>
              <w:marTop w:val="0"/>
              <w:marBottom w:val="0"/>
              <w:divBdr>
                <w:top w:val="none" w:sz="0" w:space="0" w:color="auto"/>
                <w:left w:val="none" w:sz="0" w:space="0" w:color="auto"/>
                <w:bottom w:val="none" w:sz="0" w:space="0" w:color="auto"/>
                <w:right w:val="none" w:sz="0" w:space="0" w:color="auto"/>
              </w:divBdr>
            </w:div>
          </w:divsChild>
        </w:div>
        <w:div w:id="35325642">
          <w:marLeft w:val="0"/>
          <w:marRight w:val="0"/>
          <w:marTop w:val="0"/>
          <w:marBottom w:val="0"/>
          <w:divBdr>
            <w:top w:val="none" w:sz="0" w:space="0" w:color="auto"/>
            <w:left w:val="none" w:sz="0" w:space="0" w:color="auto"/>
            <w:bottom w:val="none" w:sz="0" w:space="0" w:color="auto"/>
            <w:right w:val="none" w:sz="0" w:space="0" w:color="auto"/>
          </w:divBdr>
          <w:divsChild>
            <w:div w:id="1260023842">
              <w:marLeft w:val="0"/>
              <w:marRight w:val="0"/>
              <w:marTop w:val="0"/>
              <w:marBottom w:val="0"/>
              <w:divBdr>
                <w:top w:val="none" w:sz="0" w:space="0" w:color="auto"/>
                <w:left w:val="none" w:sz="0" w:space="0" w:color="auto"/>
                <w:bottom w:val="none" w:sz="0" w:space="0" w:color="auto"/>
                <w:right w:val="none" w:sz="0" w:space="0" w:color="auto"/>
              </w:divBdr>
            </w:div>
          </w:divsChild>
        </w:div>
        <w:div w:id="44109851">
          <w:marLeft w:val="0"/>
          <w:marRight w:val="0"/>
          <w:marTop w:val="0"/>
          <w:marBottom w:val="0"/>
          <w:divBdr>
            <w:top w:val="none" w:sz="0" w:space="0" w:color="auto"/>
            <w:left w:val="none" w:sz="0" w:space="0" w:color="auto"/>
            <w:bottom w:val="none" w:sz="0" w:space="0" w:color="auto"/>
            <w:right w:val="none" w:sz="0" w:space="0" w:color="auto"/>
          </w:divBdr>
          <w:divsChild>
            <w:div w:id="287050122">
              <w:marLeft w:val="0"/>
              <w:marRight w:val="0"/>
              <w:marTop w:val="0"/>
              <w:marBottom w:val="0"/>
              <w:divBdr>
                <w:top w:val="none" w:sz="0" w:space="0" w:color="auto"/>
                <w:left w:val="none" w:sz="0" w:space="0" w:color="auto"/>
                <w:bottom w:val="none" w:sz="0" w:space="0" w:color="auto"/>
                <w:right w:val="none" w:sz="0" w:space="0" w:color="auto"/>
              </w:divBdr>
            </w:div>
          </w:divsChild>
        </w:div>
        <w:div w:id="76948171">
          <w:marLeft w:val="0"/>
          <w:marRight w:val="0"/>
          <w:marTop w:val="0"/>
          <w:marBottom w:val="0"/>
          <w:divBdr>
            <w:top w:val="none" w:sz="0" w:space="0" w:color="auto"/>
            <w:left w:val="none" w:sz="0" w:space="0" w:color="auto"/>
            <w:bottom w:val="none" w:sz="0" w:space="0" w:color="auto"/>
            <w:right w:val="none" w:sz="0" w:space="0" w:color="auto"/>
          </w:divBdr>
          <w:divsChild>
            <w:div w:id="1638224905">
              <w:marLeft w:val="0"/>
              <w:marRight w:val="0"/>
              <w:marTop w:val="0"/>
              <w:marBottom w:val="0"/>
              <w:divBdr>
                <w:top w:val="none" w:sz="0" w:space="0" w:color="auto"/>
                <w:left w:val="none" w:sz="0" w:space="0" w:color="auto"/>
                <w:bottom w:val="none" w:sz="0" w:space="0" w:color="auto"/>
                <w:right w:val="none" w:sz="0" w:space="0" w:color="auto"/>
              </w:divBdr>
            </w:div>
          </w:divsChild>
        </w:div>
        <w:div w:id="90472168">
          <w:marLeft w:val="0"/>
          <w:marRight w:val="0"/>
          <w:marTop w:val="0"/>
          <w:marBottom w:val="0"/>
          <w:divBdr>
            <w:top w:val="none" w:sz="0" w:space="0" w:color="auto"/>
            <w:left w:val="none" w:sz="0" w:space="0" w:color="auto"/>
            <w:bottom w:val="none" w:sz="0" w:space="0" w:color="auto"/>
            <w:right w:val="none" w:sz="0" w:space="0" w:color="auto"/>
          </w:divBdr>
          <w:divsChild>
            <w:div w:id="2783154">
              <w:marLeft w:val="0"/>
              <w:marRight w:val="0"/>
              <w:marTop w:val="0"/>
              <w:marBottom w:val="0"/>
              <w:divBdr>
                <w:top w:val="none" w:sz="0" w:space="0" w:color="auto"/>
                <w:left w:val="none" w:sz="0" w:space="0" w:color="auto"/>
                <w:bottom w:val="none" w:sz="0" w:space="0" w:color="auto"/>
                <w:right w:val="none" w:sz="0" w:space="0" w:color="auto"/>
              </w:divBdr>
            </w:div>
          </w:divsChild>
        </w:div>
        <w:div w:id="133331685">
          <w:marLeft w:val="0"/>
          <w:marRight w:val="0"/>
          <w:marTop w:val="0"/>
          <w:marBottom w:val="0"/>
          <w:divBdr>
            <w:top w:val="none" w:sz="0" w:space="0" w:color="auto"/>
            <w:left w:val="none" w:sz="0" w:space="0" w:color="auto"/>
            <w:bottom w:val="none" w:sz="0" w:space="0" w:color="auto"/>
            <w:right w:val="none" w:sz="0" w:space="0" w:color="auto"/>
          </w:divBdr>
          <w:divsChild>
            <w:div w:id="545601500">
              <w:marLeft w:val="0"/>
              <w:marRight w:val="0"/>
              <w:marTop w:val="0"/>
              <w:marBottom w:val="0"/>
              <w:divBdr>
                <w:top w:val="none" w:sz="0" w:space="0" w:color="auto"/>
                <w:left w:val="none" w:sz="0" w:space="0" w:color="auto"/>
                <w:bottom w:val="none" w:sz="0" w:space="0" w:color="auto"/>
                <w:right w:val="none" w:sz="0" w:space="0" w:color="auto"/>
              </w:divBdr>
            </w:div>
          </w:divsChild>
        </w:div>
        <w:div w:id="139350732">
          <w:marLeft w:val="0"/>
          <w:marRight w:val="0"/>
          <w:marTop w:val="0"/>
          <w:marBottom w:val="0"/>
          <w:divBdr>
            <w:top w:val="none" w:sz="0" w:space="0" w:color="auto"/>
            <w:left w:val="none" w:sz="0" w:space="0" w:color="auto"/>
            <w:bottom w:val="none" w:sz="0" w:space="0" w:color="auto"/>
            <w:right w:val="none" w:sz="0" w:space="0" w:color="auto"/>
          </w:divBdr>
          <w:divsChild>
            <w:div w:id="426508922">
              <w:marLeft w:val="0"/>
              <w:marRight w:val="0"/>
              <w:marTop w:val="0"/>
              <w:marBottom w:val="0"/>
              <w:divBdr>
                <w:top w:val="none" w:sz="0" w:space="0" w:color="auto"/>
                <w:left w:val="none" w:sz="0" w:space="0" w:color="auto"/>
                <w:bottom w:val="none" w:sz="0" w:space="0" w:color="auto"/>
                <w:right w:val="none" w:sz="0" w:space="0" w:color="auto"/>
              </w:divBdr>
            </w:div>
          </w:divsChild>
        </w:div>
        <w:div w:id="155220980">
          <w:marLeft w:val="0"/>
          <w:marRight w:val="0"/>
          <w:marTop w:val="0"/>
          <w:marBottom w:val="0"/>
          <w:divBdr>
            <w:top w:val="none" w:sz="0" w:space="0" w:color="auto"/>
            <w:left w:val="none" w:sz="0" w:space="0" w:color="auto"/>
            <w:bottom w:val="none" w:sz="0" w:space="0" w:color="auto"/>
            <w:right w:val="none" w:sz="0" w:space="0" w:color="auto"/>
          </w:divBdr>
          <w:divsChild>
            <w:div w:id="2132094532">
              <w:marLeft w:val="0"/>
              <w:marRight w:val="0"/>
              <w:marTop w:val="0"/>
              <w:marBottom w:val="0"/>
              <w:divBdr>
                <w:top w:val="none" w:sz="0" w:space="0" w:color="auto"/>
                <w:left w:val="none" w:sz="0" w:space="0" w:color="auto"/>
                <w:bottom w:val="none" w:sz="0" w:space="0" w:color="auto"/>
                <w:right w:val="none" w:sz="0" w:space="0" w:color="auto"/>
              </w:divBdr>
            </w:div>
          </w:divsChild>
        </w:div>
        <w:div w:id="169955902">
          <w:marLeft w:val="0"/>
          <w:marRight w:val="0"/>
          <w:marTop w:val="0"/>
          <w:marBottom w:val="0"/>
          <w:divBdr>
            <w:top w:val="none" w:sz="0" w:space="0" w:color="auto"/>
            <w:left w:val="none" w:sz="0" w:space="0" w:color="auto"/>
            <w:bottom w:val="none" w:sz="0" w:space="0" w:color="auto"/>
            <w:right w:val="none" w:sz="0" w:space="0" w:color="auto"/>
          </w:divBdr>
          <w:divsChild>
            <w:div w:id="1984847825">
              <w:marLeft w:val="0"/>
              <w:marRight w:val="0"/>
              <w:marTop w:val="0"/>
              <w:marBottom w:val="0"/>
              <w:divBdr>
                <w:top w:val="none" w:sz="0" w:space="0" w:color="auto"/>
                <w:left w:val="none" w:sz="0" w:space="0" w:color="auto"/>
                <w:bottom w:val="none" w:sz="0" w:space="0" w:color="auto"/>
                <w:right w:val="none" w:sz="0" w:space="0" w:color="auto"/>
              </w:divBdr>
            </w:div>
          </w:divsChild>
        </w:div>
        <w:div w:id="205341288">
          <w:marLeft w:val="0"/>
          <w:marRight w:val="0"/>
          <w:marTop w:val="0"/>
          <w:marBottom w:val="0"/>
          <w:divBdr>
            <w:top w:val="none" w:sz="0" w:space="0" w:color="auto"/>
            <w:left w:val="none" w:sz="0" w:space="0" w:color="auto"/>
            <w:bottom w:val="none" w:sz="0" w:space="0" w:color="auto"/>
            <w:right w:val="none" w:sz="0" w:space="0" w:color="auto"/>
          </w:divBdr>
          <w:divsChild>
            <w:div w:id="404038842">
              <w:marLeft w:val="0"/>
              <w:marRight w:val="0"/>
              <w:marTop w:val="0"/>
              <w:marBottom w:val="0"/>
              <w:divBdr>
                <w:top w:val="none" w:sz="0" w:space="0" w:color="auto"/>
                <w:left w:val="none" w:sz="0" w:space="0" w:color="auto"/>
                <w:bottom w:val="none" w:sz="0" w:space="0" w:color="auto"/>
                <w:right w:val="none" w:sz="0" w:space="0" w:color="auto"/>
              </w:divBdr>
            </w:div>
          </w:divsChild>
        </w:div>
        <w:div w:id="248271016">
          <w:marLeft w:val="0"/>
          <w:marRight w:val="0"/>
          <w:marTop w:val="0"/>
          <w:marBottom w:val="0"/>
          <w:divBdr>
            <w:top w:val="none" w:sz="0" w:space="0" w:color="auto"/>
            <w:left w:val="none" w:sz="0" w:space="0" w:color="auto"/>
            <w:bottom w:val="none" w:sz="0" w:space="0" w:color="auto"/>
            <w:right w:val="none" w:sz="0" w:space="0" w:color="auto"/>
          </w:divBdr>
          <w:divsChild>
            <w:div w:id="1711566819">
              <w:marLeft w:val="0"/>
              <w:marRight w:val="0"/>
              <w:marTop w:val="0"/>
              <w:marBottom w:val="0"/>
              <w:divBdr>
                <w:top w:val="none" w:sz="0" w:space="0" w:color="auto"/>
                <w:left w:val="none" w:sz="0" w:space="0" w:color="auto"/>
                <w:bottom w:val="none" w:sz="0" w:space="0" w:color="auto"/>
                <w:right w:val="none" w:sz="0" w:space="0" w:color="auto"/>
              </w:divBdr>
            </w:div>
          </w:divsChild>
        </w:div>
        <w:div w:id="273170347">
          <w:marLeft w:val="0"/>
          <w:marRight w:val="0"/>
          <w:marTop w:val="0"/>
          <w:marBottom w:val="0"/>
          <w:divBdr>
            <w:top w:val="none" w:sz="0" w:space="0" w:color="auto"/>
            <w:left w:val="none" w:sz="0" w:space="0" w:color="auto"/>
            <w:bottom w:val="none" w:sz="0" w:space="0" w:color="auto"/>
            <w:right w:val="none" w:sz="0" w:space="0" w:color="auto"/>
          </w:divBdr>
          <w:divsChild>
            <w:div w:id="2101753406">
              <w:marLeft w:val="0"/>
              <w:marRight w:val="0"/>
              <w:marTop w:val="0"/>
              <w:marBottom w:val="0"/>
              <w:divBdr>
                <w:top w:val="none" w:sz="0" w:space="0" w:color="auto"/>
                <w:left w:val="none" w:sz="0" w:space="0" w:color="auto"/>
                <w:bottom w:val="none" w:sz="0" w:space="0" w:color="auto"/>
                <w:right w:val="none" w:sz="0" w:space="0" w:color="auto"/>
              </w:divBdr>
            </w:div>
          </w:divsChild>
        </w:div>
        <w:div w:id="278143832">
          <w:marLeft w:val="0"/>
          <w:marRight w:val="0"/>
          <w:marTop w:val="0"/>
          <w:marBottom w:val="0"/>
          <w:divBdr>
            <w:top w:val="none" w:sz="0" w:space="0" w:color="auto"/>
            <w:left w:val="none" w:sz="0" w:space="0" w:color="auto"/>
            <w:bottom w:val="none" w:sz="0" w:space="0" w:color="auto"/>
            <w:right w:val="none" w:sz="0" w:space="0" w:color="auto"/>
          </w:divBdr>
          <w:divsChild>
            <w:div w:id="1736199908">
              <w:marLeft w:val="0"/>
              <w:marRight w:val="0"/>
              <w:marTop w:val="0"/>
              <w:marBottom w:val="0"/>
              <w:divBdr>
                <w:top w:val="none" w:sz="0" w:space="0" w:color="auto"/>
                <w:left w:val="none" w:sz="0" w:space="0" w:color="auto"/>
                <w:bottom w:val="none" w:sz="0" w:space="0" w:color="auto"/>
                <w:right w:val="none" w:sz="0" w:space="0" w:color="auto"/>
              </w:divBdr>
            </w:div>
          </w:divsChild>
        </w:div>
        <w:div w:id="299387390">
          <w:marLeft w:val="0"/>
          <w:marRight w:val="0"/>
          <w:marTop w:val="0"/>
          <w:marBottom w:val="0"/>
          <w:divBdr>
            <w:top w:val="none" w:sz="0" w:space="0" w:color="auto"/>
            <w:left w:val="none" w:sz="0" w:space="0" w:color="auto"/>
            <w:bottom w:val="none" w:sz="0" w:space="0" w:color="auto"/>
            <w:right w:val="none" w:sz="0" w:space="0" w:color="auto"/>
          </w:divBdr>
          <w:divsChild>
            <w:div w:id="712467090">
              <w:marLeft w:val="0"/>
              <w:marRight w:val="0"/>
              <w:marTop w:val="0"/>
              <w:marBottom w:val="0"/>
              <w:divBdr>
                <w:top w:val="none" w:sz="0" w:space="0" w:color="auto"/>
                <w:left w:val="none" w:sz="0" w:space="0" w:color="auto"/>
                <w:bottom w:val="none" w:sz="0" w:space="0" w:color="auto"/>
                <w:right w:val="none" w:sz="0" w:space="0" w:color="auto"/>
              </w:divBdr>
            </w:div>
          </w:divsChild>
        </w:div>
        <w:div w:id="320693426">
          <w:marLeft w:val="0"/>
          <w:marRight w:val="0"/>
          <w:marTop w:val="0"/>
          <w:marBottom w:val="0"/>
          <w:divBdr>
            <w:top w:val="none" w:sz="0" w:space="0" w:color="auto"/>
            <w:left w:val="none" w:sz="0" w:space="0" w:color="auto"/>
            <w:bottom w:val="none" w:sz="0" w:space="0" w:color="auto"/>
            <w:right w:val="none" w:sz="0" w:space="0" w:color="auto"/>
          </w:divBdr>
          <w:divsChild>
            <w:div w:id="93670202">
              <w:marLeft w:val="0"/>
              <w:marRight w:val="0"/>
              <w:marTop w:val="0"/>
              <w:marBottom w:val="0"/>
              <w:divBdr>
                <w:top w:val="none" w:sz="0" w:space="0" w:color="auto"/>
                <w:left w:val="none" w:sz="0" w:space="0" w:color="auto"/>
                <w:bottom w:val="none" w:sz="0" w:space="0" w:color="auto"/>
                <w:right w:val="none" w:sz="0" w:space="0" w:color="auto"/>
              </w:divBdr>
            </w:div>
          </w:divsChild>
        </w:div>
        <w:div w:id="367529479">
          <w:marLeft w:val="0"/>
          <w:marRight w:val="0"/>
          <w:marTop w:val="0"/>
          <w:marBottom w:val="0"/>
          <w:divBdr>
            <w:top w:val="none" w:sz="0" w:space="0" w:color="auto"/>
            <w:left w:val="none" w:sz="0" w:space="0" w:color="auto"/>
            <w:bottom w:val="none" w:sz="0" w:space="0" w:color="auto"/>
            <w:right w:val="none" w:sz="0" w:space="0" w:color="auto"/>
          </w:divBdr>
          <w:divsChild>
            <w:div w:id="1113743447">
              <w:marLeft w:val="0"/>
              <w:marRight w:val="0"/>
              <w:marTop w:val="0"/>
              <w:marBottom w:val="0"/>
              <w:divBdr>
                <w:top w:val="none" w:sz="0" w:space="0" w:color="auto"/>
                <w:left w:val="none" w:sz="0" w:space="0" w:color="auto"/>
                <w:bottom w:val="none" w:sz="0" w:space="0" w:color="auto"/>
                <w:right w:val="none" w:sz="0" w:space="0" w:color="auto"/>
              </w:divBdr>
            </w:div>
          </w:divsChild>
        </w:div>
        <w:div w:id="375392381">
          <w:marLeft w:val="0"/>
          <w:marRight w:val="0"/>
          <w:marTop w:val="0"/>
          <w:marBottom w:val="0"/>
          <w:divBdr>
            <w:top w:val="none" w:sz="0" w:space="0" w:color="auto"/>
            <w:left w:val="none" w:sz="0" w:space="0" w:color="auto"/>
            <w:bottom w:val="none" w:sz="0" w:space="0" w:color="auto"/>
            <w:right w:val="none" w:sz="0" w:space="0" w:color="auto"/>
          </w:divBdr>
          <w:divsChild>
            <w:div w:id="1790200551">
              <w:marLeft w:val="0"/>
              <w:marRight w:val="0"/>
              <w:marTop w:val="0"/>
              <w:marBottom w:val="0"/>
              <w:divBdr>
                <w:top w:val="none" w:sz="0" w:space="0" w:color="auto"/>
                <w:left w:val="none" w:sz="0" w:space="0" w:color="auto"/>
                <w:bottom w:val="none" w:sz="0" w:space="0" w:color="auto"/>
                <w:right w:val="none" w:sz="0" w:space="0" w:color="auto"/>
              </w:divBdr>
            </w:div>
          </w:divsChild>
        </w:div>
        <w:div w:id="434983919">
          <w:marLeft w:val="0"/>
          <w:marRight w:val="0"/>
          <w:marTop w:val="0"/>
          <w:marBottom w:val="0"/>
          <w:divBdr>
            <w:top w:val="none" w:sz="0" w:space="0" w:color="auto"/>
            <w:left w:val="none" w:sz="0" w:space="0" w:color="auto"/>
            <w:bottom w:val="none" w:sz="0" w:space="0" w:color="auto"/>
            <w:right w:val="none" w:sz="0" w:space="0" w:color="auto"/>
          </w:divBdr>
          <w:divsChild>
            <w:div w:id="1087118819">
              <w:marLeft w:val="0"/>
              <w:marRight w:val="0"/>
              <w:marTop w:val="0"/>
              <w:marBottom w:val="0"/>
              <w:divBdr>
                <w:top w:val="none" w:sz="0" w:space="0" w:color="auto"/>
                <w:left w:val="none" w:sz="0" w:space="0" w:color="auto"/>
                <w:bottom w:val="none" w:sz="0" w:space="0" w:color="auto"/>
                <w:right w:val="none" w:sz="0" w:space="0" w:color="auto"/>
              </w:divBdr>
            </w:div>
          </w:divsChild>
        </w:div>
        <w:div w:id="453133961">
          <w:marLeft w:val="0"/>
          <w:marRight w:val="0"/>
          <w:marTop w:val="0"/>
          <w:marBottom w:val="0"/>
          <w:divBdr>
            <w:top w:val="none" w:sz="0" w:space="0" w:color="auto"/>
            <w:left w:val="none" w:sz="0" w:space="0" w:color="auto"/>
            <w:bottom w:val="none" w:sz="0" w:space="0" w:color="auto"/>
            <w:right w:val="none" w:sz="0" w:space="0" w:color="auto"/>
          </w:divBdr>
          <w:divsChild>
            <w:div w:id="1137182961">
              <w:marLeft w:val="0"/>
              <w:marRight w:val="0"/>
              <w:marTop w:val="0"/>
              <w:marBottom w:val="0"/>
              <w:divBdr>
                <w:top w:val="none" w:sz="0" w:space="0" w:color="auto"/>
                <w:left w:val="none" w:sz="0" w:space="0" w:color="auto"/>
                <w:bottom w:val="none" w:sz="0" w:space="0" w:color="auto"/>
                <w:right w:val="none" w:sz="0" w:space="0" w:color="auto"/>
              </w:divBdr>
            </w:div>
          </w:divsChild>
        </w:div>
        <w:div w:id="463352272">
          <w:marLeft w:val="0"/>
          <w:marRight w:val="0"/>
          <w:marTop w:val="0"/>
          <w:marBottom w:val="0"/>
          <w:divBdr>
            <w:top w:val="none" w:sz="0" w:space="0" w:color="auto"/>
            <w:left w:val="none" w:sz="0" w:space="0" w:color="auto"/>
            <w:bottom w:val="none" w:sz="0" w:space="0" w:color="auto"/>
            <w:right w:val="none" w:sz="0" w:space="0" w:color="auto"/>
          </w:divBdr>
          <w:divsChild>
            <w:div w:id="1404991867">
              <w:marLeft w:val="0"/>
              <w:marRight w:val="0"/>
              <w:marTop w:val="0"/>
              <w:marBottom w:val="0"/>
              <w:divBdr>
                <w:top w:val="none" w:sz="0" w:space="0" w:color="auto"/>
                <w:left w:val="none" w:sz="0" w:space="0" w:color="auto"/>
                <w:bottom w:val="none" w:sz="0" w:space="0" w:color="auto"/>
                <w:right w:val="none" w:sz="0" w:space="0" w:color="auto"/>
              </w:divBdr>
            </w:div>
          </w:divsChild>
        </w:div>
        <w:div w:id="497499013">
          <w:marLeft w:val="0"/>
          <w:marRight w:val="0"/>
          <w:marTop w:val="0"/>
          <w:marBottom w:val="0"/>
          <w:divBdr>
            <w:top w:val="none" w:sz="0" w:space="0" w:color="auto"/>
            <w:left w:val="none" w:sz="0" w:space="0" w:color="auto"/>
            <w:bottom w:val="none" w:sz="0" w:space="0" w:color="auto"/>
            <w:right w:val="none" w:sz="0" w:space="0" w:color="auto"/>
          </w:divBdr>
          <w:divsChild>
            <w:div w:id="1861551065">
              <w:marLeft w:val="0"/>
              <w:marRight w:val="0"/>
              <w:marTop w:val="0"/>
              <w:marBottom w:val="0"/>
              <w:divBdr>
                <w:top w:val="none" w:sz="0" w:space="0" w:color="auto"/>
                <w:left w:val="none" w:sz="0" w:space="0" w:color="auto"/>
                <w:bottom w:val="none" w:sz="0" w:space="0" w:color="auto"/>
                <w:right w:val="none" w:sz="0" w:space="0" w:color="auto"/>
              </w:divBdr>
            </w:div>
          </w:divsChild>
        </w:div>
        <w:div w:id="513347149">
          <w:marLeft w:val="0"/>
          <w:marRight w:val="0"/>
          <w:marTop w:val="0"/>
          <w:marBottom w:val="0"/>
          <w:divBdr>
            <w:top w:val="none" w:sz="0" w:space="0" w:color="auto"/>
            <w:left w:val="none" w:sz="0" w:space="0" w:color="auto"/>
            <w:bottom w:val="none" w:sz="0" w:space="0" w:color="auto"/>
            <w:right w:val="none" w:sz="0" w:space="0" w:color="auto"/>
          </w:divBdr>
          <w:divsChild>
            <w:div w:id="931165119">
              <w:marLeft w:val="0"/>
              <w:marRight w:val="0"/>
              <w:marTop w:val="0"/>
              <w:marBottom w:val="0"/>
              <w:divBdr>
                <w:top w:val="none" w:sz="0" w:space="0" w:color="auto"/>
                <w:left w:val="none" w:sz="0" w:space="0" w:color="auto"/>
                <w:bottom w:val="none" w:sz="0" w:space="0" w:color="auto"/>
                <w:right w:val="none" w:sz="0" w:space="0" w:color="auto"/>
              </w:divBdr>
            </w:div>
          </w:divsChild>
        </w:div>
        <w:div w:id="593441146">
          <w:marLeft w:val="0"/>
          <w:marRight w:val="0"/>
          <w:marTop w:val="0"/>
          <w:marBottom w:val="0"/>
          <w:divBdr>
            <w:top w:val="none" w:sz="0" w:space="0" w:color="auto"/>
            <w:left w:val="none" w:sz="0" w:space="0" w:color="auto"/>
            <w:bottom w:val="none" w:sz="0" w:space="0" w:color="auto"/>
            <w:right w:val="none" w:sz="0" w:space="0" w:color="auto"/>
          </w:divBdr>
          <w:divsChild>
            <w:div w:id="1790321667">
              <w:marLeft w:val="0"/>
              <w:marRight w:val="0"/>
              <w:marTop w:val="0"/>
              <w:marBottom w:val="0"/>
              <w:divBdr>
                <w:top w:val="none" w:sz="0" w:space="0" w:color="auto"/>
                <w:left w:val="none" w:sz="0" w:space="0" w:color="auto"/>
                <w:bottom w:val="none" w:sz="0" w:space="0" w:color="auto"/>
                <w:right w:val="none" w:sz="0" w:space="0" w:color="auto"/>
              </w:divBdr>
            </w:div>
          </w:divsChild>
        </w:div>
        <w:div w:id="606356215">
          <w:marLeft w:val="0"/>
          <w:marRight w:val="0"/>
          <w:marTop w:val="0"/>
          <w:marBottom w:val="0"/>
          <w:divBdr>
            <w:top w:val="none" w:sz="0" w:space="0" w:color="auto"/>
            <w:left w:val="none" w:sz="0" w:space="0" w:color="auto"/>
            <w:bottom w:val="none" w:sz="0" w:space="0" w:color="auto"/>
            <w:right w:val="none" w:sz="0" w:space="0" w:color="auto"/>
          </w:divBdr>
          <w:divsChild>
            <w:div w:id="478884248">
              <w:marLeft w:val="0"/>
              <w:marRight w:val="0"/>
              <w:marTop w:val="0"/>
              <w:marBottom w:val="0"/>
              <w:divBdr>
                <w:top w:val="none" w:sz="0" w:space="0" w:color="auto"/>
                <w:left w:val="none" w:sz="0" w:space="0" w:color="auto"/>
                <w:bottom w:val="none" w:sz="0" w:space="0" w:color="auto"/>
                <w:right w:val="none" w:sz="0" w:space="0" w:color="auto"/>
              </w:divBdr>
            </w:div>
          </w:divsChild>
        </w:div>
        <w:div w:id="713115585">
          <w:marLeft w:val="0"/>
          <w:marRight w:val="0"/>
          <w:marTop w:val="0"/>
          <w:marBottom w:val="0"/>
          <w:divBdr>
            <w:top w:val="none" w:sz="0" w:space="0" w:color="auto"/>
            <w:left w:val="none" w:sz="0" w:space="0" w:color="auto"/>
            <w:bottom w:val="none" w:sz="0" w:space="0" w:color="auto"/>
            <w:right w:val="none" w:sz="0" w:space="0" w:color="auto"/>
          </w:divBdr>
          <w:divsChild>
            <w:div w:id="2058432967">
              <w:marLeft w:val="0"/>
              <w:marRight w:val="0"/>
              <w:marTop w:val="0"/>
              <w:marBottom w:val="0"/>
              <w:divBdr>
                <w:top w:val="none" w:sz="0" w:space="0" w:color="auto"/>
                <w:left w:val="none" w:sz="0" w:space="0" w:color="auto"/>
                <w:bottom w:val="none" w:sz="0" w:space="0" w:color="auto"/>
                <w:right w:val="none" w:sz="0" w:space="0" w:color="auto"/>
              </w:divBdr>
            </w:div>
          </w:divsChild>
        </w:div>
        <w:div w:id="731083024">
          <w:marLeft w:val="0"/>
          <w:marRight w:val="0"/>
          <w:marTop w:val="0"/>
          <w:marBottom w:val="0"/>
          <w:divBdr>
            <w:top w:val="none" w:sz="0" w:space="0" w:color="auto"/>
            <w:left w:val="none" w:sz="0" w:space="0" w:color="auto"/>
            <w:bottom w:val="none" w:sz="0" w:space="0" w:color="auto"/>
            <w:right w:val="none" w:sz="0" w:space="0" w:color="auto"/>
          </w:divBdr>
          <w:divsChild>
            <w:div w:id="1212182530">
              <w:marLeft w:val="0"/>
              <w:marRight w:val="0"/>
              <w:marTop w:val="0"/>
              <w:marBottom w:val="0"/>
              <w:divBdr>
                <w:top w:val="none" w:sz="0" w:space="0" w:color="auto"/>
                <w:left w:val="none" w:sz="0" w:space="0" w:color="auto"/>
                <w:bottom w:val="none" w:sz="0" w:space="0" w:color="auto"/>
                <w:right w:val="none" w:sz="0" w:space="0" w:color="auto"/>
              </w:divBdr>
            </w:div>
          </w:divsChild>
        </w:div>
        <w:div w:id="745689290">
          <w:marLeft w:val="0"/>
          <w:marRight w:val="0"/>
          <w:marTop w:val="0"/>
          <w:marBottom w:val="0"/>
          <w:divBdr>
            <w:top w:val="none" w:sz="0" w:space="0" w:color="auto"/>
            <w:left w:val="none" w:sz="0" w:space="0" w:color="auto"/>
            <w:bottom w:val="none" w:sz="0" w:space="0" w:color="auto"/>
            <w:right w:val="none" w:sz="0" w:space="0" w:color="auto"/>
          </w:divBdr>
          <w:divsChild>
            <w:div w:id="548228850">
              <w:marLeft w:val="0"/>
              <w:marRight w:val="0"/>
              <w:marTop w:val="0"/>
              <w:marBottom w:val="0"/>
              <w:divBdr>
                <w:top w:val="none" w:sz="0" w:space="0" w:color="auto"/>
                <w:left w:val="none" w:sz="0" w:space="0" w:color="auto"/>
                <w:bottom w:val="none" w:sz="0" w:space="0" w:color="auto"/>
                <w:right w:val="none" w:sz="0" w:space="0" w:color="auto"/>
              </w:divBdr>
            </w:div>
          </w:divsChild>
        </w:div>
        <w:div w:id="754517974">
          <w:marLeft w:val="0"/>
          <w:marRight w:val="0"/>
          <w:marTop w:val="0"/>
          <w:marBottom w:val="0"/>
          <w:divBdr>
            <w:top w:val="none" w:sz="0" w:space="0" w:color="auto"/>
            <w:left w:val="none" w:sz="0" w:space="0" w:color="auto"/>
            <w:bottom w:val="none" w:sz="0" w:space="0" w:color="auto"/>
            <w:right w:val="none" w:sz="0" w:space="0" w:color="auto"/>
          </w:divBdr>
          <w:divsChild>
            <w:div w:id="98108097">
              <w:marLeft w:val="0"/>
              <w:marRight w:val="0"/>
              <w:marTop w:val="0"/>
              <w:marBottom w:val="0"/>
              <w:divBdr>
                <w:top w:val="none" w:sz="0" w:space="0" w:color="auto"/>
                <w:left w:val="none" w:sz="0" w:space="0" w:color="auto"/>
                <w:bottom w:val="none" w:sz="0" w:space="0" w:color="auto"/>
                <w:right w:val="none" w:sz="0" w:space="0" w:color="auto"/>
              </w:divBdr>
            </w:div>
          </w:divsChild>
        </w:div>
        <w:div w:id="785544149">
          <w:marLeft w:val="0"/>
          <w:marRight w:val="0"/>
          <w:marTop w:val="0"/>
          <w:marBottom w:val="0"/>
          <w:divBdr>
            <w:top w:val="none" w:sz="0" w:space="0" w:color="auto"/>
            <w:left w:val="none" w:sz="0" w:space="0" w:color="auto"/>
            <w:bottom w:val="none" w:sz="0" w:space="0" w:color="auto"/>
            <w:right w:val="none" w:sz="0" w:space="0" w:color="auto"/>
          </w:divBdr>
          <w:divsChild>
            <w:div w:id="1655373845">
              <w:marLeft w:val="0"/>
              <w:marRight w:val="0"/>
              <w:marTop w:val="0"/>
              <w:marBottom w:val="0"/>
              <w:divBdr>
                <w:top w:val="none" w:sz="0" w:space="0" w:color="auto"/>
                <w:left w:val="none" w:sz="0" w:space="0" w:color="auto"/>
                <w:bottom w:val="none" w:sz="0" w:space="0" w:color="auto"/>
                <w:right w:val="none" w:sz="0" w:space="0" w:color="auto"/>
              </w:divBdr>
            </w:div>
          </w:divsChild>
        </w:div>
        <w:div w:id="799342662">
          <w:marLeft w:val="0"/>
          <w:marRight w:val="0"/>
          <w:marTop w:val="0"/>
          <w:marBottom w:val="0"/>
          <w:divBdr>
            <w:top w:val="none" w:sz="0" w:space="0" w:color="auto"/>
            <w:left w:val="none" w:sz="0" w:space="0" w:color="auto"/>
            <w:bottom w:val="none" w:sz="0" w:space="0" w:color="auto"/>
            <w:right w:val="none" w:sz="0" w:space="0" w:color="auto"/>
          </w:divBdr>
          <w:divsChild>
            <w:div w:id="73628752">
              <w:marLeft w:val="0"/>
              <w:marRight w:val="0"/>
              <w:marTop w:val="0"/>
              <w:marBottom w:val="0"/>
              <w:divBdr>
                <w:top w:val="none" w:sz="0" w:space="0" w:color="auto"/>
                <w:left w:val="none" w:sz="0" w:space="0" w:color="auto"/>
                <w:bottom w:val="none" w:sz="0" w:space="0" w:color="auto"/>
                <w:right w:val="none" w:sz="0" w:space="0" w:color="auto"/>
              </w:divBdr>
            </w:div>
          </w:divsChild>
        </w:div>
        <w:div w:id="801077795">
          <w:marLeft w:val="0"/>
          <w:marRight w:val="0"/>
          <w:marTop w:val="0"/>
          <w:marBottom w:val="0"/>
          <w:divBdr>
            <w:top w:val="none" w:sz="0" w:space="0" w:color="auto"/>
            <w:left w:val="none" w:sz="0" w:space="0" w:color="auto"/>
            <w:bottom w:val="none" w:sz="0" w:space="0" w:color="auto"/>
            <w:right w:val="none" w:sz="0" w:space="0" w:color="auto"/>
          </w:divBdr>
          <w:divsChild>
            <w:div w:id="1509250575">
              <w:marLeft w:val="0"/>
              <w:marRight w:val="0"/>
              <w:marTop w:val="0"/>
              <w:marBottom w:val="0"/>
              <w:divBdr>
                <w:top w:val="none" w:sz="0" w:space="0" w:color="auto"/>
                <w:left w:val="none" w:sz="0" w:space="0" w:color="auto"/>
                <w:bottom w:val="none" w:sz="0" w:space="0" w:color="auto"/>
                <w:right w:val="none" w:sz="0" w:space="0" w:color="auto"/>
              </w:divBdr>
            </w:div>
          </w:divsChild>
        </w:div>
        <w:div w:id="829323699">
          <w:marLeft w:val="0"/>
          <w:marRight w:val="0"/>
          <w:marTop w:val="0"/>
          <w:marBottom w:val="0"/>
          <w:divBdr>
            <w:top w:val="none" w:sz="0" w:space="0" w:color="auto"/>
            <w:left w:val="none" w:sz="0" w:space="0" w:color="auto"/>
            <w:bottom w:val="none" w:sz="0" w:space="0" w:color="auto"/>
            <w:right w:val="none" w:sz="0" w:space="0" w:color="auto"/>
          </w:divBdr>
          <w:divsChild>
            <w:div w:id="1012411550">
              <w:marLeft w:val="0"/>
              <w:marRight w:val="0"/>
              <w:marTop w:val="0"/>
              <w:marBottom w:val="0"/>
              <w:divBdr>
                <w:top w:val="none" w:sz="0" w:space="0" w:color="auto"/>
                <w:left w:val="none" w:sz="0" w:space="0" w:color="auto"/>
                <w:bottom w:val="none" w:sz="0" w:space="0" w:color="auto"/>
                <w:right w:val="none" w:sz="0" w:space="0" w:color="auto"/>
              </w:divBdr>
            </w:div>
          </w:divsChild>
        </w:div>
        <w:div w:id="838544651">
          <w:marLeft w:val="0"/>
          <w:marRight w:val="0"/>
          <w:marTop w:val="0"/>
          <w:marBottom w:val="0"/>
          <w:divBdr>
            <w:top w:val="none" w:sz="0" w:space="0" w:color="auto"/>
            <w:left w:val="none" w:sz="0" w:space="0" w:color="auto"/>
            <w:bottom w:val="none" w:sz="0" w:space="0" w:color="auto"/>
            <w:right w:val="none" w:sz="0" w:space="0" w:color="auto"/>
          </w:divBdr>
          <w:divsChild>
            <w:div w:id="86855617">
              <w:marLeft w:val="0"/>
              <w:marRight w:val="0"/>
              <w:marTop w:val="0"/>
              <w:marBottom w:val="0"/>
              <w:divBdr>
                <w:top w:val="none" w:sz="0" w:space="0" w:color="auto"/>
                <w:left w:val="none" w:sz="0" w:space="0" w:color="auto"/>
                <w:bottom w:val="none" w:sz="0" w:space="0" w:color="auto"/>
                <w:right w:val="none" w:sz="0" w:space="0" w:color="auto"/>
              </w:divBdr>
            </w:div>
          </w:divsChild>
        </w:div>
        <w:div w:id="850295336">
          <w:marLeft w:val="0"/>
          <w:marRight w:val="0"/>
          <w:marTop w:val="0"/>
          <w:marBottom w:val="0"/>
          <w:divBdr>
            <w:top w:val="none" w:sz="0" w:space="0" w:color="auto"/>
            <w:left w:val="none" w:sz="0" w:space="0" w:color="auto"/>
            <w:bottom w:val="none" w:sz="0" w:space="0" w:color="auto"/>
            <w:right w:val="none" w:sz="0" w:space="0" w:color="auto"/>
          </w:divBdr>
          <w:divsChild>
            <w:div w:id="1375039290">
              <w:marLeft w:val="0"/>
              <w:marRight w:val="0"/>
              <w:marTop w:val="0"/>
              <w:marBottom w:val="0"/>
              <w:divBdr>
                <w:top w:val="none" w:sz="0" w:space="0" w:color="auto"/>
                <w:left w:val="none" w:sz="0" w:space="0" w:color="auto"/>
                <w:bottom w:val="none" w:sz="0" w:space="0" w:color="auto"/>
                <w:right w:val="none" w:sz="0" w:space="0" w:color="auto"/>
              </w:divBdr>
            </w:div>
          </w:divsChild>
        </w:div>
        <w:div w:id="850677903">
          <w:marLeft w:val="0"/>
          <w:marRight w:val="0"/>
          <w:marTop w:val="0"/>
          <w:marBottom w:val="0"/>
          <w:divBdr>
            <w:top w:val="none" w:sz="0" w:space="0" w:color="auto"/>
            <w:left w:val="none" w:sz="0" w:space="0" w:color="auto"/>
            <w:bottom w:val="none" w:sz="0" w:space="0" w:color="auto"/>
            <w:right w:val="none" w:sz="0" w:space="0" w:color="auto"/>
          </w:divBdr>
          <w:divsChild>
            <w:div w:id="18090183">
              <w:marLeft w:val="0"/>
              <w:marRight w:val="0"/>
              <w:marTop w:val="0"/>
              <w:marBottom w:val="0"/>
              <w:divBdr>
                <w:top w:val="none" w:sz="0" w:space="0" w:color="auto"/>
                <w:left w:val="none" w:sz="0" w:space="0" w:color="auto"/>
                <w:bottom w:val="none" w:sz="0" w:space="0" w:color="auto"/>
                <w:right w:val="none" w:sz="0" w:space="0" w:color="auto"/>
              </w:divBdr>
            </w:div>
          </w:divsChild>
        </w:div>
        <w:div w:id="911815673">
          <w:marLeft w:val="0"/>
          <w:marRight w:val="0"/>
          <w:marTop w:val="0"/>
          <w:marBottom w:val="0"/>
          <w:divBdr>
            <w:top w:val="none" w:sz="0" w:space="0" w:color="auto"/>
            <w:left w:val="none" w:sz="0" w:space="0" w:color="auto"/>
            <w:bottom w:val="none" w:sz="0" w:space="0" w:color="auto"/>
            <w:right w:val="none" w:sz="0" w:space="0" w:color="auto"/>
          </w:divBdr>
          <w:divsChild>
            <w:div w:id="423301303">
              <w:marLeft w:val="0"/>
              <w:marRight w:val="0"/>
              <w:marTop w:val="0"/>
              <w:marBottom w:val="0"/>
              <w:divBdr>
                <w:top w:val="none" w:sz="0" w:space="0" w:color="auto"/>
                <w:left w:val="none" w:sz="0" w:space="0" w:color="auto"/>
                <w:bottom w:val="none" w:sz="0" w:space="0" w:color="auto"/>
                <w:right w:val="none" w:sz="0" w:space="0" w:color="auto"/>
              </w:divBdr>
            </w:div>
          </w:divsChild>
        </w:div>
        <w:div w:id="941838257">
          <w:marLeft w:val="0"/>
          <w:marRight w:val="0"/>
          <w:marTop w:val="0"/>
          <w:marBottom w:val="0"/>
          <w:divBdr>
            <w:top w:val="none" w:sz="0" w:space="0" w:color="auto"/>
            <w:left w:val="none" w:sz="0" w:space="0" w:color="auto"/>
            <w:bottom w:val="none" w:sz="0" w:space="0" w:color="auto"/>
            <w:right w:val="none" w:sz="0" w:space="0" w:color="auto"/>
          </w:divBdr>
          <w:divsChild>
            <w:div w:id="513153087">
              <w:marLeft w:val="0"/>
              <w:marRight w:val="0"/>
              <w:marTop w:val="0"/>
              <w:marBottom w:val="0"/>
              <w:divBdr>
                <w:top w:val="none" w:sz="0" w:space="0" w:color="auto"/>
                <w:left w:val="none" w:sz="0" w:space="0" w:color="auto"/>
                <w:bottom w:val="none" w:sz="0" w:space="0" w:color="auto"/>
                <w:right w:val="none" w:sz="0" w:space="0" w:color="auto"/>
              </w:divBdr>
            </w:div>
          </w:divsChild>
        </w:div>
        <w:div w:id="943074118">
          <w:marLeft w:val="0"/>
          <w:marRight w:val="0"/>
          <w:marTop w:val="0"/>
          <w:marBottom w:val="0"/>
          <w:divBdr>
            <w:top w:val="none" w:sz="0" w:space="0" w:color="auto"/>
            <w:left w:val="none" w:sz="0" w:space="0" w:color="auto"/>
            <w:bottom w:val="none" w:sz="0" w:space="0" w:color="auto"/>
            <w:right w:val="none" w:sz="0" w:space="0" w:color="auto"/>
          </w:divBdr>
          <w:divsChild>
            <w:div w:id="1075783330">
              <w:marLeft w:val="0"/>
              <w:marRight w:val="0"/>
              <w:marTop w:val="0"/>
              <w:marBottom w:val="0"/>
              <w:divBdr>
                <w:top w:val="none" w:sz="0" w:space="0" w:color="auto"/>
                <w:left w:val="none" w:sz="0" w:space="0" w:color="auto"/>
                <w:bottom w:val="none" w:sz="0" w:space="0" w:color="auto"/>
                <w:right w:val="none" w:sz="0" w:space="0" w:color="auto"/>
              </w:divBdr>
            </w:div>
          </w:divsChild>
        </w:div>
        <w:div w:id="948203982">
          <w:marLeft w:val="0"/>
          <w:marRight w:val="0"/>
          <w:marTop w:val="0"/>
          <w:marBottom w:val="0"/>
          <w:divBdr>
            <w:top w:val="none" w:sz="0" w:space="0" w:color="auto"/>
            <w:left w:val="none" w:sz="0" w:space="0" w:color="auto"/>
            <w:bottom w:val="none" w:sz="0" w:space="0" w:color="auto"/>
            <w:right w:val="none" w:sz="0" w:space="0" w:color="auto"/>
          </w:divBdr>
          <w:divsChild>
            <w:div w:id="1913813229">
              <w:marLeft w:val="0"/>
              <w:marRight w:val="0"/>
              <w:marTop w:val="0"/>
              <w:marBottom w:val="0"/>
              <w:divBdr>
                <w:top w:val="none" w:sz="0" w:space="0" w:color="auto"/>
                <w:left w:val="none" w:sz="0" w:space="0" w:color="auto"/>
                <w:bottom w:val="none" w:sz="0" w:space="0" w:color="auto"/>
                <w:right w:val="none" w:sz="0" w:space="0" w:color="auto"/>
              </w:divBdr>
            </w:div>
          </w:divsChild>
        </w:div>
        <w:div w:id="996762396">
          <w:marLeft w:val="0"/>
          <w:marRight w:val="0"/>
          <w:marTop w:val="0"/>
          <w:marBottom w:val="0"/>
          <w:divBdr>
            <w:top w:val="none" w:sz="0" w:space="0" w:color="auto"/>
            <w:left w:val="none" w:sz="0" w:space="0" w:color="auto"/>
            <w:bottom w:val="none" w:sz="0" w:space="0" w:color="auto"/>
            <w:right w:val="none" w:sz="0" w:space="0" w:color="auto"/>
          </w:divBdr>
          <w:divsChild>
            <w:div w:id="1486311241">
              <w:marLeft w:val="0"/>
              <w:marRight w:val="0"/>
              <w:marTop w:val="0"/>
              <w:marBottom w:val="0"/>
              <w:divBdr>
                <w:top w:val="none" w:sz="0" w:space="0" w:color="auto"/>
                <w:left w:val="none" w:sz="0" w:space="0" w:color="auto"/>
                <w:bottom w:val="none" w:sz="0" w:space="0" w:color="auto"/>
                <w:right w:val="none" w:sz="0" w:space="0" w:color="auto"/>
              </w:divBdr>
            </w:div>
          </w:divsChild>
        </w:div>
        <w:div w:id="1012757148">
          <w:marLeft w:val="0"/>
          <w:marRight w:val="0"/>
          <w:marTop w:val="0"/>
          <w:marBottom w:val="0"/>
          <w:divBdr>
            <w:top w:val="none" w:sz="0" w:space="0" w:color="auto"/>
            <w:left w:val="none" w:sz="0" w:space="0" w:color="auto"/>
            <w:bottom w:val="none" w:sz="0" w:space="0" w:color="auto"/>
            <w:right w:val="none" w:sz="0" w:space="0" w:color="auto"/>
          </w:divBdr>
          <w:divsChild>
            <w:div w:id="922570756">
              <w:marLeft w:val="0"/>
              <w:marRight w:val="0"/>
              <w:marTop w:val="0"/>
              <w:marBottom w:val="0"/>
              <w:divBdr>
                <w:top w:val="none" w:sz="0" w:space="0" w:color="auto"/>
                <w:left w:val="none" w:sz="0" w:space="0" w:color="auto"/>
                <w:bottom w:val="none" w:sz="0" w:space="0" w:color="auto"/>
                <w:right w:val="none" w:sz="0" w:space="0" w:color="auto"/>
              </w:divBdr>
            </w:div>
          </w:divsChild>
        </w:div>
        <w:div w:id="1030255656">
          <w:marLeft w:val="0"/>
          <w:marRight w:val="0"/>
          <w:marTop w:val="0"/>
          <w:marBottom w:val="0"/>
          <w:divBdr>
            <w:top w:val="none" w:sz="0" w:space="0" w:color="auto"/>
            <w:left w:val="none" w:sz="0" w:space="0" w:color="auto"/>
            <w:bottom w:val="none" w:sz="0" w:space="0" w:color="auto"/>
            <w:right w:val="none" w:sz="0" w:space="0" w:color="auto"/>
          </w:divBdr>
          <w:divsChild>
            <w:div w:id="532693388">
              <w:marLeft w:val="0"/>
              <w:marRight w:val="0"/>
              <w:marTop w:val="0"/>
              <w:marBottom w:val="0"/>
              <w:divBdr>
                <w:top w:val="none" w:sz="0" w:space="0" w:color="auto"/>
                <w:left w:val="none" w:sz="0" w:space="0" w:color="auto"/>
                <w:bottom w:val="none" w:sz="0" w:space="0" w:color="auto"/>
                <w:right w:val="none" w:sz="0" w:space="0" w:color="auto"/>
              </w:divBdr>
            </w:div>
            <w:div w:id="1632204769">
              <w:marLeft w:val="0"/>
              <w:marRight w:val="0"/>
              <w:marTop w:val="0"/>
              <w:marBottom w:val="0"/>
              <w:divBdr>
                <w:top w:val="none" w:sz="0" w:space="0" w:color="auto"/>
                <w:left w:val="none" w:sz="0" w:space="0" w:color="auto"/>
                <w:bottom w:val="none" w:sz="0" w:space="0" w:color="auto"/>
                <w:right w:val="none" w:sz="0" w:space="0" w:color="auto"/>
              </w:divBdr>
            </w:div>
          </w:divsChild>
        </w:div>
        <w:div w:id="1061252173">
          <w:marLeft w:val="0"/>
          <w:marRight w:val="0"/>
          <w:marTop w:val="0"/>
          <w:marBottom w:val="0"/>
          <w:divBdr>
            <w:top w:val="none" w:sz="0" w:space="0" w:color="auto"/>
            <w:left w:val="none" w:sz="0" w:space="0" w:color="auto"/>
            <w:bottom w:val="none" w:sz="0" w:space="0" w:color="auto"/>
            <w:right w:val="none" w:sz="0" w:space="0" w:color="auto"/>
          </w:divBdr>
          <w:divsChild>
            <w:div w:id="240725487">
              <w:marLeft w:val="0"/>
              <w:marRight w:val="0"/>
              <w:marTop w:val="0"/>
              <w:marBottom w:val="0"/>
              <w:divBdr>
                <w:top w:val="none" w:sz="0" w:space="0" w:color="auto"/>
                <w:left w:val="none" w:sz="0" w:space="0" w:color="auto"/>
                <w:bottom w:val="none" w:sz="0" w:space="0" w:color="auto"/>
                <w:right w:val="none" w:sz="0" w:space="0" w:color="auto"/>
              </w:divBdr>
            </w:div>
          </w:divsChild>
        </w:div>
        <w:div w:id="1124927495">
          <w:marLeft w:val="0"/>
          <w:marRight w:val="0"/>
          <w:marTop w:val="0"/>
          <w:marBottom w:val="0"/>
          <w:divBdr>
            <w:top w:val="none" w:sz="0" w:space="0" w:color="auto"/>
            <w:left w:val="none" w:sz="0" w:space="0" w:color="auto"/>
            <w:bottom w:val="none" w:sz="0" w:space="0" w:color="auto"/>
            <w:right w:val="none" w:sz="0" w:space="0" w:color="auto"/>
          </w:divBdr>
          <w:divsChild>
            <w:div w:id="220559106">
              <w:marLeft w:val="0"/>
              <w:marRight w:val="0"/>
              <w:marTop w:val="0"/>
              <w:marBottom w:val="0"/>
              <w:divBdr>
                <w:top w:val="none" w:sz="0" w:space="0" w:color="auto"/>
                <w:left w:val="none" w:sz="0" w:space="0" w:color="auto"/>
                <w:bottom w:val="none" w:sz="0" w:space="0" w:color="auto"/>
                <w:right w:val="none" w:sz="0" w:space="0" w:color="auto"/>
              </w:divBdr>
            </w:div>
          </w:divsChild>
        </w:div>
        <w:div w:id="1140729879">
          <w:marLeft w:val="0"/>
          <w:marRight w:val="0"/>
          <w:marTop w:val="0"/>
          <w:marBottom w:val="0"/>
          <w:divBdr>
            <w:top w:val="none" w:sz="0" w:space="0" w:color="auto"/>
            <w:left w:val="none" w:sz="0" w:space="0" w:color="auto"/>
            <w:bottom w:val="none" w:sz="0" w:space="0" w:color="auto"/>
            <w:right w:val="none" w:sz="0" w:space="0" w:color="auto"/>
          </w:divBdr>
          <w:divsChild>
            <w:div w:id="1228807829">
              <w:marLeft w:val="0"/>
              <w:marRight w:val="0"/>
              <w:marTop w:val="0"/>
              <w:marBottom w:val="0"/>
              <w:divBdr>
                <w:top w:val="none" w:sz="0" w:space="0" w:color="auto"/>
                <w:left w:val="none" w:sz="0" w:space="0" w:color="auto"/>
                <w:bottom w:val="none" w:sz="0" w:space="0" w:color="auto"/>
                <w:right w:val="none" w:sz="0" w:space="0" w:color="auto"/>
              </w:divBdr>
            </w:div>
          </w:divsChild>
        </w:div>
        <w:div w:id="1143501453">
          <w:marLeft w:val="0"/>
          <w:marRight w:val="0"/>
          <w:marTop w:val="0"/>
          <w:marBottom w:val="0"/>
          <w:divBdr>
            <w:top w:val="none" w:sz="0" w:space="0" w:color="auto"/>
            <w:left w:val="none" w:sz="0" w:space="0" w:color="auto"/>
            <w:bottom w:val="none" w:sz="0" w:space="0" w:color="auto"/>
            <w:right w:val="none" w:sz="0" w:space="0" w:color="auto"/>
          </w:divBdr>
          <w:divsChild>
            <w:div w:id="335116792">
              <w:marLeft w:val="0"/>
              <w:marRight w:val="0"/>
              <w:marTop w:val="0"/>
              <w:marBottom w:val="0"/>
              <w:divBdr>
                <w:top w:val="none" w:sz="0" w:space="0" w:color="auto"/>
                <w:left w:val="none" w:sz="0" w:space="0" w:color="auto"/>
                <w:bottom w:val="none" w:sz="0" w:space="0" w:color="auto"/>
                <w:right w:val="none" w:sz="0" w:space="0" w:color="auto"/>
              </w:divBdr>
            </w:div>
          </w:divsChild>
        </w:div>
        <w:div w:id="1156606003">
          <w:marLeft w:val="0"/>
          <w:marRight w:val="0"/>
          <w:marTop w:val="0"/>
          <w:marBottom w:val="0"/>
          <w:divBdr>
            <w:top w:val="none" w:sz="0" w:space="0" w:color="auto"/>
            <w:left w:val="none" w:sz="0" w:space="0" w:color="auto"/>
            <w:bottom w:val="none" w:sz="0" w:space="0" w:color="auto"/>
            <w:right w:val="none" w:sz="0" w:space="0" w:color="auto"/>
          </w:divBdr>
          <w:divsChild>
            <w:div w:id="346519369">
              <w:marLeft w:val="0"/>
              <w:marRight w:val="0"/>
              <w:marTop w:val="0"/>
              <w:marBottom w:val="0"/>
              <w:divBdr>
                <w:top w:val="none" w:sz="0" w:space="0" w:color="auto"/>
                <w:left w:val="none" w:sz="0" w:space="0" w:color="auto"/>
                <w:bottom w:val="none" w:sz="0" w:space="0" w:color="auto"/>
                <w:right w:val="none" w:sz="0" w:space="0" w:color="auto"/>
              </w:divBdr>
            </w:div>
          </w:divsChild>
        </w:div>
        <w:div w:id="1175731807">
          <w:marLeft w:val="0"/>
          <w:marRight w:val="0"/>
          <w:marTop w:val="0"/>
          <w:marBottom w:val="0"/>
          <w:divBdr>
            <w:top w:val="none" w:sz="0" w:space="0" w:color="auto"/>
            <w:left w:val="none" w:sz="0" w:space="0" w:color="auto"/>
            <w:bottom w:val="none" w:sz="0" w:space="0" w:color="auto"/>
            <w:right w:val="none" w:sz="0" w:space="0" w:color="auto"/>
          </w:divBdr>
          <w:divsChild>
            <w:div w:id="2112965519">
              <w:marLeft w:val="0"/>
              <w:marRight w:val="0"/>
              <w:marTop w:val="0"/>
              <w:marBottom w:val="0"/>
              <w:divBdr>
                <w:top w:val="none" w:sz="0" w:space="0" w:color="auto"/>
                <w:left w:val="none" w:sz="0" w:space="0" w:color="auto"/>
                <w:bottom w:val="none" w:sz="0" w:space="0" w:color="auto"/>
                <w:right w:val="none" w:sz="0" w:space="0" w:color="auto"/>
              </w:divBdr>
            </w:div>
          </w:divsChild>
        </w:div>
        <w:div w:id="1216161821">
          <w:marLeft w:val="0"/>
          <w:marRight w:val="0"/>
          <w:marTop w:val="0"/>
          <w:marBottom w:val="0"/>
          <w:divBdr>
            <w:top w:val="none" w:sz="0" w:space="0" w:color="auto"/>
            <w:left w:val="none" w:sz="0" w:space="0" w:color="auto"/>
            <w:bottom w:val="none" w:sz="0" w:space="0" w:color="auto"/>
            <w:right w:val="none" w:sz="0" w:space="0" w:color="auto"/>
          </w:divBdr>
          <w:divsChild>
            <w:div w:id="653871091">
              <w:marLeft w:val="0"/>
              <w:marRight w:val="0"/>
              <w:marTop w:val="0"/>
              <w:marBottom w:val="0"/>
              <w:divBdr>
                <w:top w:val="none" w:sz="0" w:space="0" w:color="auto"/>
                <w:left w:val="none" w:sz="0" w:space="0" w:color="auto"/>
                <w:bottom w:val="none" w:sz="0" w:space="0" w:color="auto"/>
                <w:right w:val="none" w:sz="0" w:space="0" w:color="auto"/>
              </w:divBdr>
            </w:div>
          </w:divsChild>
        </w:div>
        <w:div w:id="1216820706">
          <w:marLeft w:val="0"/>
          <w:marRight w:val="0"/>
          <w:marTop w:val="0"/>
          <w:marBottom w:val="0"/>
          <w:divBdr>
            <w:top w:val="none" w:sz="0" w:space="0" w:color="auto"/>
            <w:left w:val="none" w:sz="0" w:space="0" w:color="auto"/>
            <w:bottom w:val="none" w:sz="0" w:space="0" w:color="auto"/>
            <w:right w:val="none" w:sz="0" w:space="0" w:color="auto"/>
          </w:divBdr>
          <w:divsChild>
            <w:div w:id="108550455">
              <w:marLeft w:val="0"/>
              <w:marRight w:val="0"/>
              <w:marTop w:val="0"/>
              <w:marBottom w:val="0"/>
              <w:divBdr>
                <w:top w:val="none" w:sz="0" w:space="0" w:color="auto"/>
                <w:left w:val="none" w:sz="0" w:space="0" w:color="auto"/>
                <w:bottom w:val="none" w:sz="0" w:space="0" w:color="auto"/>
                <w:right w:val="none" w:sz="0" w:space="0" w:color="auto"/>
              </w:divBdr>
            </w:div>
          </w:divsChild>
        </w:div>
        <w:div w:id="1240749211">
          <w:marLeft w:val="0"/>
          <w:marRight w:val="0"/>
          <w:marTop w:val="0"/>
          <w:marBottom w:val="0"/>
          <w:divBdr>
            <w:top w:val="none" w:sz="0" w:space="0" w:color="auto"/>
            <w:left w:val="none" w:sz="0" w:space="0" w:color="auto"/>
            <w:bottom w:val="none" w:sz="0" w:space="0" w:color="auto"/>
            <w:right w:val="none" w:sz="0" w:space="0" w:color="auto"/>
          </w:divBdr>
          <w:divsChild>
            <w:div w:id="1831559951">
              <w:marLeft w:val="0"/>
              <w:marRight w:val="0"/>
              <w:marTop w:val="0"/>
              <w:marBottom w:val="0"/>
              <w:divBdr>
                <w:top w:val="none" w:sz="0" w:space="0" w:color="auto"/>
                <w:left w:val="none" w:sz="0" w:space="0" w:color="auto"/>
                <w:bottom w:val="none" w:sz="0" w:space="0" w:color="auto"/>
                <w:right w:val="none" w:sz="0" w:space="0" w:color="auto"/>
              </w:divBdr>
            </w:div>
          </w:divsChild>
        </w:div>
        <w:div w:id="1280144599">
          <w:marLeft w:val="0"/>
          <w:marRight w:val="0"/>
          <w:marTop w:val="0"/>
          <w:marBottom w:val="0"/>
          <w:divBdr>
            <w:top w:val="none" w:sz="0" w:space="0" w:color="auto"/>
            <w:left w:val="none" w:sz="0" w:space="0" w:color="auto"/>
            <w:bottom w:val="none" w:sz="0" w:space="0" w:color="auto"/>
            <w:right w:val="none" w:sz="0" w:space="0" w:color="auto"/>
          </w:divBdr>
          <w:divsChild>
            <w:div w:id="338389895">
              <w:marLeft w:val="0"/>
              <w:marRight w:val="0"/>
              <w:marTop w:val="0"/>
              <w:marBottom w:val="0"/>
              <w:divBdr>
                <w:top w:val="none" w:sz="0" w:space="0" w:color="auto"/>
                <w:left w:val="none" w:sz="0" w:space="0" w:color="auto"/>
                <w:bottom w:val="none" w:sz="0" w:space="0" w:color="auto"/>
                <w:right w:val="none" w:sz="0" w:space="0" w:color="auto"/>
              </w:divBdr>
            </w:div>
          </w:divsChild>
        </w:div>
        <w:div w:id="1327172158">
          <w:marLeft w:val="0"/>
          <w:marRight w:val="0"/>
          <w:marTop w:val="0"/>
          <w:marBottom w:val="0"/>
          <w:divBdr>
            <w:top w:val="none" w:sz="0" w:space="0" w:color="auto"/>
            <w:left w:val="none" w:sz="0" w:space="0" w:color="auto"/>
            <w:bottom w:val="none" w:sz="0" w:space="0" w:color="auto"/>
            <w:right w:val="none" w:sz="0" w:space="0" w:color="auto"/>
          </w:divBdr>
          <w:divsChild>
            <w:div w:id="1486362908">
              <w:marLeft w:val="0"/>
              <w:marRight w:val="0"/>
              <w:marTop w:val="0"/>
              <w:marBottom w:val="0"/>
              <w:divBdr>
                <w:top w:val="none" w:sz="0" w:space="0" w:color="auto"/>
                <w:left w:val="none" w:sz="0" w:space="0" w:color="auto"/>
                <w:bottom w:val="none" w:sz="0" w:space="0" w:color="auto"/>
                <w:right w:val="none" w:sz="0" w:space="0" w:color="auto"/>
              </w:divBdr>
            </w:div>
          </w:divsChild>
        </w:div>
        <w:div w:id="1328559323">
          <w:marLeft w:val="0"/>
          <w:marRight w:val="0"/>
          <w:marTop w:val="0"/>
          <w:marBottom w:val="0"/>
          <w:divBdr>
            <w:top w:val="none" w:sz="0" w:space="0" w:color="auto"/>
            <w:left w:val="none" w:sz="0" w:space="0" w:color="auto"/>
            <w:bottom w:val="none" w:sz="0" w:space="0" w:color="auto"/>
            <w:right w:val="none" w:sz="0" w:space="0" w:color="auto"/>
          </w:divBdr>
          <w:divsChild>
            <w:div w:id="1984192954">
              <w:marLeft w:val="0"/>
              <w:marRight w:val="0"/>
              <w:marTop w:val="0"/>
              <w:marBottom w:val="0"/>
              <w:divBdr>
                <w:top w:val="none" w:sz="0" w:space="0" w:color="auto"/>
                <w:left w:val="none" w:sz="0" w:space="0" w:color="auto"/>
                <w:bottom w:val="none" w:sz="0" w:space="0" w:color="auto"/>
                <w:right w:val="none" w:sz="0" w:space="0" w:color="auto"/>
              </w:divBdr>
            </w:div>
          </w:divsChild>
        </w:div>
        <w:div w:id="1359889895">
          <w:marLeft w:val="0"/>
          <w:marRight w:val="0"/>
          <w:marTop w:val="0"/>
          <w:marBottom w:val="0"/>
          <w:divBdr>
            <w:top w:val="none" w:sz="0" w:space="0" w:color="auto"/>
            <w:left w:val="none" w:sz="0" w:space="0" w:color="auto"/>
            <w:bottom w:val="none" w:sz="0" w:space="0" w:color="auto"/>
            <w:right w:val="none" w:sz="0" w:space="0" w:color="auto"/>
          </w:divBdr>
          <w:divsChild>
            <w:div w:id="152765219">
              <w:marLeft w:val="0"/>
              <w:marRight w:val="0"/>
              <w:marTop w:val="0"/>
              <w:marBottom w:val="0"/>
              <w:divBdr>
                <w:top w:val="none" w:sz="0" w:space="0" w:color="auto"/>
                <w:left w:val="none" w:sz="0" w:space="0" w:color="auto"/>
                <w:bottom w:val="none" w:sz="0" w:space="0" w:color="auto"/>
                <w:right w:val="none" w:sz="0" w:space="0" w:color="auto"/>
              </w:divBdr>
            </w:div>
          </w:divsChild>
        </w:div>
        <w:div w:id="1364285825">
          <w:marLeft w:val="0"/>
          <w:marRight w:val="0"/>
          <w:marTop w:val="0"/>
          <w:marBottom w:val="0"/>
          <w:divBdr>
            <w:top w:val="none" w:sz="0" w:space="0" w:color="auto"/>
            <w:left w:val="none" w:sz="0" w:space="0" w:color="auto"/>
            <w:bottom w:val="none" w:sz="0" w:space="0" w:color="auto"/>
            <w:right w:val="none" w:sz="0" w:space="0" w:color="auto"/>
          </w:divBdr>
          <w:divsChild>
            <w:div w:id="770009344">
              <w:marLeft w:val="0"/>
              <w:marRight w:val="0"/>
              <w:marTop w:val="0"/>
              <w:marBottom w:val="0"/>
              <w:divBdr>
                <w:top w:val="none" w:sz="0" w:space="0" w:color="auto"/>
                <w:left w:val="none" w:sz="0" w:space="0" w:color="auto"/>
                <w:bottom w:val="none" w:sz="0" w:space="0" w:color="auto"/>
                <w:right w:val="none" w:sz="0" w:space="0" w:color="auto"/>
              </w:divBdr>
            </w:div>
          </w:divsChild>
        </w:div>
        <w:div w:id="1365403664">
          <w:marLeft w:val="0"/>
          <w:marRight w:val="0"/>
          <w:marTop w:val="0"/>
          <w:marBottom w:val="0"/>
          <w:divBdr>
            <w:top w:val="none" w:sz="0" w:space="0" w:color="auto"/>
            <w:left w:val="none" w:sz="0" w:space="0" w:color="auto"/>
            <w:bottom w:val="none" w:sz="0" w:space="0" w:color="auto"/>
            <w:right w:val="none" w:sz="0" w:space="0" w:color="auto"/>
          </w:divBdr>
          <w:divsChild>
            <w:div w:id="638387139">
              <w:marLeft w:val="0"/>
              <w:marRight w:val="0"/>
              <w:marTop w:val="0"/>
              <w:marBottom w:val="0"/>
              <w:divBdr>
                <w:top w:val="none" w:sz="0" w:space="0" w:color="auto"/>
                <w:left w:val="none" w:sz="0" w:space="0" w:color="auto"/>
                <w:bottom w:val="none" w:sz="0" w:space="0" w:color="auto"/>
                <w:right w:val="none" w:sz="0" w:space="0" w:color="auto"/>
              </w:divBdr>
            </w:div>
            <w:div w:id="1516307702">
              <w:marLeft w:val="0"/>
              <w:marRight w:val="0"/>
              <w:marTop w:val="0"/>
              <w:marBottom w:val="0"/>
              <w:divBdr>
                <w:top w:val="none" w:sz="0" w:space="0" w:color="auto"/>
                <w:left w:val="none" w:sz="0" w:space="0" w:color="auto"/>
                <w:bottom w:val="none" w:sz="0" w:space="0" w:color="auto"/>
                <w:right w:val="none" w:sz="0" w:space="0" w:color="auto"/>
              </w:divBdr>
            </w:div>
          </w:divsChild>
        </w:div>
        <w:div w:id="1398817690">
          <w:marLeft w:val="0"/>
          <w:marRight w:val="0"/>
          <w:marTop w:val="0"/>
          <w:marBottom w:val="0"/>
          <w:divBdr>
            <w:top w:val="none" w:sz="0" w:space="0" w:color="auto"/>
            <w:left w:val="none" w:sz="0" w:space="0" w:color="auto"/>
            <w:bottom w:val="none" w:sz="0" w:space="0" w:color="auto"/>
            <w:right w:val="none" w:sz="0" w:space="0" w:color="auto"/>
          </w:divBdr>
          <w:divsChild>
            <w:div w:id="1757627949">
              <w:marLeft w:val="0"/>
              <w:marRight w:val="0"/>
              <w:marTop w:val="0"/>
              <w:marBottom w:val="0"/>
              <w:divBdr>
                <w:top w:val="none" w:sz="0" w:space="0" w:color="auto"/>
                <w:left w:val="none" w:sz="0" w:space="0" w:color="auto"/>
                <w:bottom w:val="none" w:sz="0" w:space="0" w:color="auto"/>
                <w:right w:val="none" w:sz="0" w:space="0" w:color="auto"/>
              </w:divBdr>
            </w:div>
          </w:divsChild>
        </w:div>
        <w:div w:id="1428774702">
          <w:marLeft w:val="0"/>
          <w:marRight w:val="0"/>
          <w:marTop w:val="0"/>
          <w:marBottom w:val="0"/>
          <w:divBdr>
            <w:top w:val="none" w:sz="0" w:space="0" w:color="auto"/>
            <w:left w:val="none" w:sz="0" w:space="0" w:color="auto"/>
            <w:bottom w:val="none" w:sz="0" w:space="0" w:color="auto"/>
            <w:right w:val="none" w:sz="0" w:space="0" w:color="auto"/>
          </w:divBdr>
          <w:divsChild>
            <w:div w:id="1576361322">
              <w:marLeft w:val="0"/>
              <w:marRight w:val="0"/>
              <w:marTop w:val="0"/>
              <w:marBottom w:val="0"/>
              <w:divBdr>
                <w:top w:val="none" w:sz="0" w:space="0" w:color="auto"/>
                <w:left w:val="none" w:sz="0" w:space="0" w:color="auto"/>
                <w:bottom w:val="none" w:sz="0" w:space="0" w:color="auto"/>
                <w:right w:val="none" w:sz="0" w:space="0" w:color="auto"/>
              </w:divBdr>
            </w:div>
          </w:divsChild>
        </w:div>
        <w:div w:id="1542283481">
          <w:marLeft w:val="0"/>
          <w:marRight w:val="0"/>
          <w:marTop w:val="0"/>
          <w:marBottom w:val="0"/>
          <w:divBdr>
            <w:top w:val="none" w:sz="0" w:space="0" w:color="auto"/>
            <w:left w:val="none" w:sz="0" w:space="0" w:color="auto"/>
            <w:bottom w:val="none" w:sz="0" w:space="0" w:color="auto"/>
            <w:right w:val="none" w:sz="0" w:space="0" w:color="auto"/>
          </w:divBdr>
          <w:divsChild>
            <w:div w:id="1145901883">
              <w:marLeft w:val="0"/>
              <w:marRight w:val="0"/>
              <w:marTop w:val="0"/>
              <w:marBottom w:val="0"/>
              <w:divBdr>
                <w:top w:val="none" w:sz="0" w:space="0" w:color="auto"/>
                <w:left w:val="none" w:sz="0" w:space="0" w:color="auto"/>
                <w:bottom w:val="none" w:sz="0" w:space="0" w:color="auto"/>
                <w:right w:val="none" w:sz="0" w:space="0" w:color="auto"/>
              </w:divBdr>
            </w:div>
          </w:divsChild>
        </w:div>
        <w:div w:id="1544099618">
          <w:marLeft w:val="0"/>
          <w:marRight w:val="0"/>
          <w:marTop w:val="0"/>
          <w:marBottom w:val="0"/>
          <w:divBdr>
            <w:top w:val="none" w:sz="0" w:space="0" w:color="auto"/>
            <w:left w:val="none" w:sz="0" w:space="0" w:color="auto"/>
            <w:bottom w:val="none" w:sz="0" w:space="0" w:color="auto"/>
            <w:right w:val="none" w:sz="0" w:space="0" w:color="auto"/>
          </w:divBdr>
          <w:divsChild>
            <w:div w:id="147216092">
              <w:marLeft w:val="0"/>
              <w:marRight w:val="0"/>
              <w:marTop w:val="0"/>
              <w:marBottom w:val="0"/>
              <w:divBdr>
                <w:top w:val="none" w:sz="0" w:space="0" w:color="auto"/>
                <w:left w:val="none" w:sz="0" w:space="0" w:color="auto"/>
                <w:bottom w:val="none" w:sz="0" w:space="0" w:color="auto"/>
                <w:right w:val="none" w:sz="0" w:space="0" w:color="auto"/>
              </w:divBdr>
            </w:div>
          </w:divsChild>
        </w:div>
        <w:div w:id="1554000312">
          <w:marLeft w:val="0"/>
          <w:marRight w:val="0"/>
          <w:marTop w:val="0"/>
          <w:marBottom w:val="0"/>
          <w:divBdr>
            <w:top w:val="none" w:sz="0" w:space="0" w:color="auto"/>
            <w:left w:val="none" w:sz="0" w:space="0" w:color="auto"/>
            <w:bottom w:val="none" w:sz="0" w:space="0" w:color="auto"/>
            <w:right w:val="none" w:sz="0" w:space="0" w:color="auto"/>
          </w:divBdr>
          <w:divsChild>
            <w:div w:id="1287084668">
              <w:marLeft w:val="0"/>
              <w:marRight w:val="0"/>
              <w:marTop w:val="0"/>
              <w:marBottom w:val="0"/>
              <w:divBdr>
                <w:top w:val="none" w:sz="0" w:space="0" w:color="auto"/>
                <w:left w:val="none" w:sz="0" w:space="0" w:color="auto"/>
                <w:bottom w:val="none" w:sz="0" w:space="0" w:color="auto"/>
                <w:right w:val="none" w:sz="0" w:space="0" w:color="auto"/>
              </w:divBdr>
            </w:div>
          </w:divsChild>
        </w:div>
        <w:div w:id="1615408646">
          <w:marLeft w:val="0"/>
          <w:marRight w:val="0"/>
          <w:marTop w:val="0"/>
          <w:marBottom w:val="0"/>
          <w:divBdr>
            <w:top w:val="none" w:sz="0" w:space="0" w:color="auto"/>
            <w:left w:val="none" w:sz="0" w:space="0" w:color="auto"/>
            <w:bottom w:val="none" w:sz="0" w:space="0" w:color="auto"/>
            <w:right w:val="none" w:sz="0" w:space="0" w:color="auto"/>
          </w:divBdr>
          <w:divsChild>
            <w:div w:id="1039009962">
              <w:marLeft w:val="0"/>
              <w:marRight w:val="0"/>
              <w:marTop w:val="0"/>
              <w:marBottom w:val="0"/>
              <w:divBdr>
                <w:top w:val="none" w:sz="0" w:space="0" w:color="auto"/>
                <w:left w:val="none" w:sz="0" w:space="0" w:color="auto"/>
                <w:bottom w:val="none" w:sz="0" w:space="0" w:color="auto"/>
                <w:right w:val="none" w:sz="0" w:space="0" w:color="auto"/>
              </w:divBdr>
            </w:div>
          </w:divsChild>
        </w:div>
        <w:div w:id="1651472593">
          <w:marLeft w:val="0"/>
          <w:marRight w:val="0"/>
          <w:marTop w:val="0"/>
          <w:marBottom w:val="0"/>
          <w:divBdr>
            <w:top w:val="none" w:sz="0" w:space="0" w:color="auto"/>
            <w:left w:val="none" w:sz="0" w:space="0" w:color="auto"/>
            <w:bottom w:val="none" w:sz="0" w:space="0" w:color="auto"/>
            <w:right w:val="none" w:sz="0" w:space="0" w:color="auto"/>
          </w:divBdr>
          <w:divsChild>
            <w:div w:id="82727270">
              <w:marLeft w:val="0"/>
              <w:marRight w:val="0"/>
              <w:marTop w:val="0"/>
              <w:marBottom w:val="0"/>
              <w:divBdr>
                <w:top w:val="none" w:sz="0" w:space="0" w:color="auto"/>
                <w:left w:val="none" w:sz="0" w:space="0" w:color="auto"/>
                <w:bottom w:val="none" w:sz="0" w:space="0" w:color="auto"/>
                <w:right w:val="none" w:sz="0" w:space="0" w:color="auto"/>
              </w:divBdr>
            </w:div>
          </w:divsChild>
        </w:div>
        <w:div w:id="1662150217">
          <w:marLeft w:val="0"/>
          <w:marRight w:val="0"/>
          <w:marTop w:val="0"/>
          <w:marBottom w:val="0"/>
          <w:divBdr>
            <w:top w:val="none" w:sz="0" w:space="0" w:color="auto"/>
            <w:left w:val="none" w:sz="0" w:space="0" w:color="auto"/>
            <w:bottom w:val="none" w:sz="0" w:space="0" w:color="auto"/>
            <w:right w:val="none" w:sz="0" w:space="0" w:color="auto"/>
          </w:divBdr>
          <w:divsChild>
            <w:div w:id="1885869053">
              <w:marLeft w:val="0"/>
              <w:marRight w:val="0"/>
              <w:marTop w:val="0"/>
              <w:marBottom w:val="0"/>
              <w:divBdr>
                <w:top w:val="none" w:sz="0" w:space="0" w:color="auto"/>
                <w:left w:val="none" w:sz="0" w:space="0" w:color="auto"/>
                <w:bottom w:val="none" w:sz="0" w:space="0" w:color="auto"/>
                <w:right w:val="none" w:sz="0" w:space="0" w:color="auto"/>
              </w:divBdr>
            </w:div>
          </w:divsChild>
        </w:div>
        <w:div w:id="1704161891">
          <w:marLeft w:val="0"/>
          <w:marRight w:val="0"/>
          <w:marTop w:val="0"/>
          <w:marBottom w:val="0"/>
          <w:divBdr>
            <w:top w:val="none" w:sz="0" w:space="0" w:color="auto"/>
            <w:left w:val="none" w:sz="0" w:space="0" w:color="auto"/>
            <w:bottom w:val="none" w:sz="0" w:space="0" w:color="auto"/>
            <w:right w:val="none" w:sz="0" w:space="0" w:color="auto"/>
          </w:divBdr>
          <w:divsChild>
            <w:div w:id="538015274">
              <w:marLeft w:val="0"/>
              <w:marRight w:val="0"/>
              <w:marTop w:val="0"/>
              <w:marBottom w:val="0"/>
              <w:divBdr>
                <w:top w:val="none" w:sz="0" w:space="0" w:color="auto"/>
                <w:left w:val="none" w:sz="0" w:space="0" w:color="auto"/>
                <w:bottom w:val="none" w:sz="0" w:space="0" w:color="auto"/>
                <w:right w:val="none" w:sz="0" w:space="0" w:color="auto"/>
              </w:divBdr>
            </w:div>
          </w:divsChild>
        </w:div>
        <w:div w:id="1760953435">
          <w:marLeft w:val="0"/>
          <w:marRight w:val="0"/>
          <w:marTop w:val="0"/>
          <w:marBottom w:val="0"/>
          <w:divBdr>
            <w:top w:val="none" w:sz="0" w:space="0" w:color="auto"/>
            <w:left w:val="none" w:sz="0" w:space="0" w:color="auto"/>
            <w:bottom w:val="none" w:sz="0" w:space="0" w:color="auto"/>
            <w:right w:val="none" w:sz="0" w:space="0" w:color="auto"/>
          </w:divBdr>
          <w:divsChild>
            <w:div w:id="740250609">
              <w:marLeft w:val="0"/>
              <w:marRight w:val="0"/>
              <w:marTop w:val="0"/>
              <w:marBottom w:val="0"/>
              <w:divBdr>
                <w:top w:val="none" w:sz="0" w:space="0" w:color="auto"/>
                <w:left w:val="none" w:sz="0" w:space="0" w:color="auto"/>
                <w:bottom w:val="none" w:sz="0" w:space="0" w:color="auto"/>
                <w:right w:val="none" w:sz="0" w:space="0" w:color="auto"/>
              </w:divBdr>
            </w:div>
          </w:divsChild>
        </w:div>
        <w:div w:id="1778063064">
          <w:marLeft w:val="0"/>
          <w:marRight w:val="0"/>
          <w:marTop w:val="0"/>
          <w:marBottom w:val="0"/>
          <w:divBdr>
            <w:top w:val="none" w:sz="0" w:space="0" w:color="auto"/>
            <w:left w:val="none" w:sz="0" w:space="0" w:color="auto"/>
            <w:bottom w:val="none" w:sz="0" w:space="0" w:color="auto"/>
            <w:right w:val="none" w:sz="0" w:space="0" w:color="auto"/>
          </w:divBdr>
          <w:divsChild>
            <w:div w:id="168839149">
              <w:marLeft w:val="0"/>
              <w:marRight w:val="0"/>
              <w:marTop w:val="0"/>
              <w:marBottom w:val="0"/>
              <w:divBdr>
                <w:top w:val="none" w:sz="0" w:space="0" w:color="auto"/>
                <w:left w:val="none" w:sz="0" w:space="0" w:color="auto"/>
                <w:bottom w:val="none" w:sz="0" w:space="0" w:color="auto"/>
                <w:right w:val="none" w:sz="0" w:space="0" w:color="auto"/>
              </w:divBdr>
            </w:div>
          </w:divsChild>
        </w:div>
        <w:div w:id="1821339503">
          <w:marLeft w:val="0"/>
          <w:marRight w:val="0"/>
          <w:marTop w:val="0"/>
          <w:marBottom w:val="0"/>
          <w:divBdr>
            <w:top w:val="none" w:sz="0" w:space="0" w:color="auto"/>
            <w:left w:val="none" w:sz="0" w:space="0" w:color="auto"/>
            <w:bottom w:val="none" w:sz="0" w:space="0" w:color="auto"/>
            <w:right w:val="none" w:sz="0" w:space="0" w:color="auto"/>
          </w:divBdr>
          <w:divsChild>
            <w:div w:id="1578591936">
              <w:marLeft w:val="0"/>
              <w:marRight w:val="0"/>
              <w:marTop w:val="0"/>
              <w:marBottom w:val="0"/>
              <w:divBdr>
                <w:top w:val="none" w:sz="0" w:space="0" w:color="auto"/>
                <w:left w:val="none" w:sz="0" w:space="0" w:color="auto"/>
                <w:bottom w:val="none" w:sz="0" w:space="0" w:color="auto"/>
                <w:right w:val="none" w:sz="0" w:space="0" w:color="auto"/>
              </w:divBdr>
            </w:div>
          </w:divsChild>
        </w:div>
        <w:div w:id="1836609121">
          <w:marLeft w:val="0"/>
          <w:marRight w:val="0"/>
          <w:marTop w:val="0"/>
          <w:marBottom w:val="0"/>
          <w:divBdr>
            <w:top w:val="none" w:sz="0" w:space="0" w:color="auto"/>
            <w:left w:val="none" w:sz="0" w:space="0" w:color="auto"/>
            <w:bottom w:val="none" w:sz="0" w:space="0" w:color="auto"/>
            <w:right w:val="none" w:sz="0" w:space="0" w:color="auto"/>
          </w:divBdr>
          <w:divsChild>
            <w:div w:id="314260670">
              <w:marLeft w:val="0"/>
              <w:marRight w:val="0"/>
              <w:marTop w:val="0"/>
              <w:marBottom w:val="0"/>
              <w:divBdr>
                <w:top w:val="none" w:sz="0" w:space="0" w:color="auto"/>
                <w:left w:val="none" w:sz="0" w:space="0" w:color="auto"/>
                <w:bottom w:val="none" w:sz="0" w:space="0" w:color="auto"/>
                <w:right w:val="none" w:sz="0" w:space="0" w:color="auto"/>
              </w:divBdr>
            </w:div>
          </w:divsChild>
        </w:div>
        <w:div w:id="1911040418">
          <w:marLeft w:val="0"/>
          <w:marRight w:val="0"/>
          <w:marTop w:val="0"/>
          <w:marBottom w:val="0"/>
          <w:divBdr>
            <w:top w:val="none" w:sz="0" w:space="0" w:color="auto"/>
            <w:left w:val="none" w:sz="0" w:space="0" w:color="auto"/>
            <w:bottom w:val="none" w:sz="0" w:space="0" w:color="auto"/>
            <w:right w:val="none" w:sz="0" w:space="0" w:color="auto"/>
          </w:divBdr>
          <w:divsChild>
            <w:div w:id="480004147">
              <w:marLeft w:val="0"/>
              <w:marRight w:val="0"/>
              <w:marTop w:val="0"/>
              <w:marBottom w:val="0"/>
              <w:divBdr>
                <w:top w:val="none" w:sz="0" w:space="0" w:color="auto"/>
                <w:left w:val="none" w:sz="0" w:space="0" w:color="auto"/>
                <w:bottom w:val="none" w:sz="0" w:space="0" w:color="auto"/>
                <w:right w:val="none" w:sz="0" w:space="0" w:color="auto"/>
              </w:divBdr>
            </w:div>
          </w:divsChild>
        </w:div>
        <w:div w:id="1911232593">
          <w:marLeft w:val="0"/>
          <w:marRight w:val="0"/>
          <w:marTop w:val="0"/>
          <w:marBottom w:val="0"/>
          <w:divBdr>
            <w:top w:val="none" w:sz="0" w:space="0" w:color="auto"/>
            <w:left w:val="none" w:sz="0" w:space="0" w:color="auto"/>
            <w:bottom w:val="none" w:sz="0" w:space="0" w:color="auto"/>
            <w:right w:val="none" w:sz="0" w:space="0" w:color="auto"/>
          </w:divBdr>
          <w:divsChild>
            <w:div w:id="945769373">
              <w:marLeft w:val="0"/>
              <w:marRight w:val="0"/>
              <w:marTop w:val="0"/>
              <w:marBottom w:val="0"/>
              <w:divBdr>
                <w:top w:val="none" w:sz="0" w:space="0" w:color="auto"/>
                <w:left w:val="none" w:sz="0" w:space="0" w:color="auto"/>
                <w:bottom w:val="none" w:sz="0" w:space="0" w:color="auto"/>
                <w:right w:val="none" w:sz="0" w:space="0" w:color="auto"/>
              </w:divBdr>
            </w:div>
          </w:divsChild>
        </w:div>
        <w:div w:id="1931349796">
          <w:marLeft w:val="0"/>
          <w:marRight w:val="0"/>
          <w:marTop w:val="0"/>
          <w:marBottom w:val="0"/>
          <w:divBdr>
            <w:top w:val="none" w:sz="0" w:space="0" w:color="auto"/>
            <w:left w:val="none" w:sz="0" w:space="0" w:color="auto"/>
            <w:bottom w:val="none" w:sz="0" w:space="0" w:color="auto"/>
            <w:right w:val="none" w:sz="0" w:space="0" w:color="auto"/>
          </w:divBdr>
          <w:divsChild>
            <w:div w:id="654722419">
              <w:marLeft w:val="0"/>
              <w:marRight w:val="0"/>
              <w:marTop w:val="0"/>
              <w:marBottom w:val="0"/>
              <w:divBdr>
                <w:top w:val="none" w:sz="0" w:space="0" w:color="auto"/>
                <w:left w:val="none" w:sz="0" w:space="0" w:color="auto"/>
                <w:bottom w:val="none" w:sz="0" w:space="0" w:color="auto"/>
                <w:right w:val="none" w:sz="0" w:space="0" w:color="auto"/>
              </w:divBdr>
            </w:div>
          </w:divsChild>
        </w:div>
        <w:div w:id="1956600547">
          <w:marLeft w:val="0"/>
          <w:marRight w:val="0"/>
          <w:marTop w:val="0"/>
          <w:marBottom w:val="0"/>
          <w:divBdr>
            <w:top w:val="none" w:sz="0" w:space="0" w:color="auto"/>
            <w:left w:val="none" w:sz="0" w:space="0" w:color="auto"/>
            <w:bottom w:val="none" w:sz="0" w:space="0" w:color="auto"/>
            <w:right w:val="none" w:sz="0" w:space="0" w:color="auto"/>
          </w:divBdr>
          <w:divsChild>
            <w:div w:id="1983852654">
              <w:marLeft w:val="0"/>
              <w:marRight w:val="0"/>
              <w:marTop w:val="0"/>
              <w:marBottom w:val="0"/>
              <w:divBdr>
                <w:top w:val="none" w:sz="0" w:space="0" w:color="auto"/>
                <w:left w:val="none" w:sz="0" w:space="0" w:color="auto"/>
                <w:bottom w:val="none" w:sz="0" w:space="0" w:color="auto"/>
                <w:right w:val="none" w:sz="0" w:space="0" w:color="auto"/>
              </w:divBdr>
            </w:div>
          </w:divsChild>
        </w:div>
        <w:div w:id="1979066333">
          <w:marLeft w:val="0"/>
          <w:marRight w:val="0"/>
          <w:marTop w:val="0"/>
          <w:marBottom w:val="0"/>
          <w:divBdr>
            <w:top w:val="none" w:sz="0" w:space="0" w:color="auto"/>
            <w:left w:val="none" w:sz="0" w:space="0" w:color="auto"/>
            <w:bottom w:val="none" w:sz="0" w:space="0" w:color="auto"/>
            <w:right w:val="none" w:sz="0" w:space="0" w:color="auto"/>
          </w:divBdr>
          <w:divsChild>
            <w:div w:id="726418483">
              <w:marLeft w:val="0"/>
              <w:marRight w:val="0"/>
              <w:marTop w:val="0"/>
              <w:marBottom w:val="0"/>
              <w:divBdr>
                <w:top w:val="none" w:sz="0" w:space="0" w:color="auto"/>
                <w:left w:val="none" w:sz="0" w:space="0" w:color="auto"/>
                <w:bottom w:val="none" w:sz="0" w:space="0" w:color="auto"/>
                <w:right w:val="none" w:sz="0" w:space="0" w:color="auto"/>
              </w:divBdr>
            </w:div>
          </w:divsChild>
        </w:div>
        <w:div w:id="2049522370">
          <w:marLeft w:val="0"/>
          <w:marRight w:val="0"/>
          <w:marTop w:val="0"/>
          <w:marBottom w:val="0"/>
          <w:divBdr>
            <w:top w:val="none" w:sz="0" w:space="0" w:color="auto"/>
            <w:left w:val="none" w:sz="0" w:space="0" w:color="auto"/>
            <w:bottom w:val="none" w:sz="0" w:space="0" w:color="auto"/>
            <w:right w:val="none" w:sz="0" w:space="0" w:color="auto"/>
          </w:divBdr>
          <w:divsChild>
            <w:div w:id="928390583">
              <w:marLeft w:val="0"/>
              <w:marRight w:val="0"/>
              <w:marTop w:val="0"/>
              <w:marBottom w:val="0"/>
              <w:divBdr>
                <w:top w:val="none" w:sz="0" w:space="0" w:color="auto"/>
                <w:left w:val="none" w:sz="0" w:space="0" w:color="auto"/>
                <w:bottom w:val="none" w:sz="0" w:space="0" w:color="auto"/>
                <w:right w:val="none" w:sz="0" w:space="0" w:color="auto"/>
              </w:divBdr>
            </w:div>
          </w:divsChild>
        </w:div>
        <w:div w:id="2109428844">
          <w:marLeft w:val="0"/>
          <w:marRight w:val="0"/>
          <w:marTop w:val="0"/>
          <w:marBottom w:val="0"/>
          <w:divBdr>
            <w:top w:val="none" w:sz="0" w:space="0" w:color="auto"/>
            <w:left w:val="none" w:sz="0" w:space="0" w:color="auto"/>
            <w:bottom w:val="none" w:sz="0" w:space="0" w:color="auto"/>
            <w:right w:val="none" w:sz="0" w:space="0" w:color="auto"/>
          </w:divBdr>
          <w:divsChild>
            <w:div w:id="1676151732">
              <w:marLeft w:val="0"/>
              <w:marRight w:val="0"/>
              <w:marTop w:val="0"/>
              <w:marBottom w:val="0"/>
              <w:divBdr>
                <w:top w:val="none" w:sz="0" w:space="0" w:color="auto"/>
                <w:left w:val="none" w:sz="0" w:space="0" w:color="auto"/>
                <w:bottom w:val="none" w:sz="0" w:space="0" w:color="auto"/>
                <w:right w:val="none" w:sz="0" w:space="0" w:color="auto"/>
              </w:divBdr>
            </w:div>
          </w:divsChild>
        </w:div>
        <w:div w:id="2120484534">
          <w:marLeft w:val="0"/>
          <w:marRight w:val="0"/>
          <w:marTop w:val="0"/>
          <w:marBottom w:val="0"/>
          <w:divBdr>
            <w:top w:val="none" w:sz="0" w:space="0" w:color="auto"/>
            <w:left w:val="none" w:sz="0" w:space="0" w:color="auto"/>
            <w:bottom w:val="none" w:sz="0" w:space="0" w:color="auto"/>
            <w:right w:val="none" w:sz="0" w:space="0" w:color="auto"/>
          </w:divBdr>
          <w:divsChild>
            <w:div w:id="1925214473">
              <w:marLeft w:val="0"/>
              <w:marRight w:val="0"/>
              <w:marTop w:val="0"/>
              <w:marBottom w:val="0"/>
              <w:divBdr>
                <w:top w:val="none" w:sz="0" w:space="0" w:color="auto"/>
                <w:left w:val="none" w:sz="0" w:space="0" w:color="auto"/>
                <w:bottom w:val="none" w:sz="0" w:space="0" w:color="auto"/>
                <w:right w:val="none" w:sz="0" w:space="0" w:color="auto"/>
              </w:divBdr>
            </w:div>
          </w:divsChild>
        </w:div>
        <w:div w:id="2139953602">
          <w:marLeft w:val="0"/>
          <w:marRight w:val="0"/>
          <w:marTop w:val="0"/>
          <w:marBottom w:val="0"/>
          <w:divBdr>
            <w:top w:val="none" w:sz="0" w:space="0" w:color="auto"/>
            <w:left w:val="none" w:sz="0" w:space="0" w:color="auto"/>
            <w:bottom w:val="none" w:sz="0" w:space="0" w:color="auto"/>
            <w:right w:val="none" w:sz="0" w:space="0" w:color="auto"/>
          </w:divBdr>
          <w:divsChild>
            <w:div w:id="1208496238">
              <w:marLeft w:val="0"/>
              <w:marRight w:val="0"/>
              <w:marTop w:val="0"/>
              <w:marBottom w:val="0"/>
              <w:divBdr>
                <w:top w:val="none" w:sz="0" w:space="0" w:color="auto"/>
                <w:left w:val="none" w:sz="0" w:space="0" w:color="auto"/>
                <w:bottom w:val="none" w:sz="0" w:space="0" w:color="auto"/>
                <w:right w:val="none" w:sz="0" w:space="0" w:color="auto"/>
              </w:divBdr>
            </w:div>
          </w:divsChild>
        </w:div>
        <w:div w:id="2141342925">
          <w:marLeft w:val="0"/>
          <w:marRight w:val="0"/>
          <w:marTop w:val="0"/>
          <w:marBottom w:val="0"/>
          <w:divBdr>
            <w:top w:val="none" w:sz="0" w:space="0" w:color="auto"/>
            <w:left w:val="none" w:sz="0" w:space="0" w:color="auto"/>
            <w:bottom w:val="none" w:sz="0" w:space="0" w:color="auto"/>
            <w:right w:val="none" w:sz="0" w:space="0" w:color="auto"/>
          </w:divBdr>
          <w:divsChild>
            <w:div w:id="197749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20929">
      <w:bodyDiv w:val="1"/>
      <w:marLeft w:val="0"/>
      <w:marRight w:val="0"/>
      <w:marTop w:val="0"/>
      <w:marBottom w:val="0"/>
      <w:divBdr>
        <w:top w:val="none" w:sz="0" w:space="0" w:color="auto"/>
        <w:left w:val="none" w:sz="0" w:space="0" w:color="auto"/>
        <w:bottom w:val="none" w:sz="0" w:space="0" w:color="auto"/>
        <w:right w:val="none" w:sz="0" w:space="0" w:color="auto"/>
      </w:divBdr>
    </w:div>
    <w:div w:id="65882756">
      <w:bodyDiv w:val="1"/>
      <w:marLeft w:val="0"/>
      <w:marRight w:val="0"/>
      <w:marTop w:val="0"/>
      <w:marBottom w:val="0"/>
      <w:divBdr>
        <w:top w:val="none" w:sz="0" w:space="0" w:color="auto"/>
        <w:left w:val="none" w:sz="0" w:space="0" w:color="auto"/>
        <w:bottom w:val="none" w:sz="0" w:space="0" w:color="auto"/>
        <w:right w:val="none" w:sz="0" w:space="0" w:color="auto"/>
      </w:divBdr>
    </w:div>
    <w:div w:id="358240941">
      <w:bodyDiv w:val="1"/>
      <w:marLeft w:val="0"/>
      <w:marRight w:val="0"/>
      <w:marTop w:val="0"/>
      <w:marBottom w:val="0"/>
      <w:divBdr>
        <w:top w:val="none" w:sz="0" w:space="0" w:color="auto"/>
        <w:left w:val="none" w:sz="0" w:space="0" w:color="auto"/>
        <w:bottom w:val="none" w:sz="0" w:space="0" w:color="auto"/>
        <w:right w:val="none" w:sz="0" w:space="0" w:color="auto"/>
      </w:divBdr>
    </w:div>
    <w:div w:id="425033026">
      <w:bodyDiv w:val="1"/>
      <w:marLeft w:val="0"/>
      <w:marRight w:val="0"/>
      <w:marTop w:val="0"/>
      <w:marBottom w:val="0"/>
      <w:divBdr>
        <w:top w:val="none" w:sz="0" w:space="0" w:color="auto"/>
        <w:left w:val="none" w:sz="0" w:space="0" w:color="auto"/>
        <w:bottom w:val="none" w:sz="0" w:space="0" w:color="auto"/>
        <w:right w:val="none" w:sz="0" w:space="0" w:color="auto"/>
      </w:divBdr>
      <w:divsChild>
        <w:div w:id="11036594">
          <w:marLeft w:val="0"/>
          <w:marRight w:val="0"/>
          <w:marTop w:val="0"/>
          <w:marBottom w:val="0"/>
          <w:divBdr>
            <w:top w:val="none" w:sz="0" w:space="0" w:color="auto"/>
            <w:left w:val="none" w:sz="0" w:space="0" w:color="auto"/>
            <w:bottom w:val="none" w:sz="0" w:space="0" w:color="auto"/>
            <w:right w:val="none" w:sz="0" w:space="0" w:color="auto"/>
          </w:divBdr>
          <w:divsChild>
            <w:div w:id="391151395">
              <w:marLeft w:val="0"/>
              <w:marRight w:val="0"/>
              <w:marTop w:val="0"/>
              <w:marBottom w:val="0"/>
              <w:divBdr>
                <w:top w:val="none" w:sz="0" w:space="0" w:color="auto"/>
                <w:left w:val="none" w:sz="0" w:space="0" w:color="auto"/>
                <w:bottom w:val="none" w:sz="0" w:space="0" w:color="auto"/>
                <w:right w:val="none" w:sz="0" w:space="0" w:color="auto"/>
              </w:divBdr>
            </w:div>
          </w:divsChild>
        </w:div>
        <w:div w:id="104733442">
          <w:marLeft w:val="0"/>
          <w:marRight w:val="0"/>
          <w:marTop w:val="0"/>
          <w:marBottom w:val="0"/>
          <w:divBdr>
            <w:top w:val="none" w:sz="0" w:space="0" w:color="auto"/>
            <w:left w:val="none" w:sz="0" w:space="0" w:color="auto"/>
            <w:bottom w:val="none" w:sz="0" w:space="0" w:color="auto"/>
            <w:right w:val="none" w:sz="0" w:space="0" w:color="auto"/>
          </w:divBdr>
          <w:divsChild>
            <w:div w:id="843784882">
              <w:marLeft w:val="0"/>
              <w:marRight w:val="0"/>
              <w:marTop w:val="0"/>
              <w:marBottom w:val="0"/>
              <w:divBdr>
                <w:top w:val="none" w:sz="0" w:space="0" w:color="auto"/>
                <w:left w:val="none" w:sz="0" w:space="0" w:color="auto"/>
                <w:bottom w:val="none" w:sz="0" w:space="0" w:color="auto"/>
                <w:right w:val="none" w:sz="0" w:space="0" w:color="auto"/>
              </w:divBdr>
            </w:div>
          </w:divsChild>
        </w:div>
        <w:div w:id="128668637">
          <w:marLeft w:val="0"/>
          <w:marRight w:val="0"/>
          <w:marTop w:val="0"/>
          <w:marBottom w:val="0"/>
          <w:divBdr>
            <w:top w:val="none" w:sz="0" w:space="0" w:color="auto"/>
            <w:left w:val="none" w:sz="0" w:space="0" w:color="auto"/>
            <w:bottom w:val="none" w:sz="0" w:space="0" w:color="auto"/>
            <w:right w:val="none" w:sz="0" w:space="0" w:color="auto"/>
          </w:divBdr>
          <w:divsChild>
            <w:div w:id="1208878007">
              <w:marLeft w:val="0"/>
              <w:marRight w:val="0"/>
              <w:marTop w:val="0"/>
              <w:marBottom w:val="0"/>
              <w:divBdr>
                <w:top w:val="none" w:sz="0" w:space="0" w:color="auto"/>
                <w:left w:val="none" w:sz="0" w:space="0" w:color="auto"/>
                <w:bottom w:val="none" w:sz="0" w:space="0" w:color="auto"/>
                <w:right w:val="none" w:sz="0" w:space="0" w:color="auto"/>
              </w:divBdr>
            </w:div>
          </w:divsChild>
        </w:div>
        <w:div w:id="151025593">
          <w:marLeft w:val="0"/>
          <w:marRight w:val="0"/>
          <w:marTop w:val="0"/>
          <w:marBottom w:val="0"/>
          <w:divBdr>
            <w:top w:val="none" w:sz="0" w:space="0" w:color="auto"/>
            <w:left w:val="none" w:sz="0" w:space="0" w:color="auto"/>
            <w:bottom w:val="none" w:sz="0" w:space="0" w:color="auto"/>
            <w:right w:val="none" w:sz="0" w:space="0" w:color="auto"/>
          </w:divBdr>
          <w:divsChild>
            <w:div w:id="447507727">
              <w:marLeft w:val="0"/>
              <w:marRight w:val="0"/>
              <w:marTop w:val="0"/>
              <w:marBottom w:val="0"/>
              <w:divBdr>
                <w:top w:val="none" w:sz="0" w:space="0" w:color="auto"/>
                <w:left w:val="none" w:sz="0" w:space="0" w:color="auto"/>
                <w:bottom w:val="none" w:sz="0" w:space="0" w:color="auto"/>
                <w:right w:val="none" w:sz="0" w:space="0" w:color="auto"/>
              </w:divBdr>
            </w:div>
          </w:divsChild>
        </w:div>
        <w:div w:id="163479261">
          <w:marLeft w:val="0"/>
          <w:marRight w:val="0"/>
          <w:marTop w:val="0"/>
          <w:marBottom w:val="0"/>
          <w:divBdr>
            <w:top w:val="none" w:sz="0" w:space="0" w:color="auto"/>
            <w:left w:val="none" w:sz="0" w:space="0" w:color="auto"/>
            <w:bottom w:val="none" w:sz="0" w:space="0" w:color="auto"/>
            <w:right w:val="none" w:sz="0" w:space="0" w:color="auto"/>
          </w:divBdr>
          <w:divsChild>
            <w:div w:id="1079906976">
              <w:marLeft w:val="0"/>
              <w:marRight w:val="0"/>
              <w:marTop w:val="0"/>
              <w:marBottom w:val="0"/>
              <w:divBdr>
                <w:top w:val="none" w:sz="0" w:space="0" w:color="auto"/>
                <w:left w:val="none" w:sz="0" w:space="0" w:color="auto"/>
                <w:bottom w:val="none" w:sz="0" w:space="0" w:color="auto"/>
                <w:right w:val="none" w:sz="0" w:space="0" w:color="auto"/>
              </w:divBdr>
            </w:div>
          </w:divsChild>
        </w:div>
        <w:div w:id="168714244">
          <w:marLeft w:val="0"/>
          <w:marRight w:val="0"/>
          <w:marTop w:val="0"/>
          <w:marBottom w:val="0"/>
          <w:divBdr>
            <w:top w:val="none" w:sz="0" w:space="0" w:color="auto"/>
            <w:left w:val="none" w:sz="0" w:space="0" w:color="auto"/>
            <w:bottom w:val="none" w:sz="0" w:space="0" w:color="auto"/>
            <w:right w:val="none" w:sz="0" w:space="0" w:color="auto"/>
          </w:divBdr>
          <w:divsChild>
            <w:div w:id="42024427">
              <w:marLeft w:val="0"/>
              <w:marRight w:val="0"/>
              <w:marTop w:val="0"/>
              <w:marBottom w:val="0"/>
              <w:divBdr>
                <w:top w:val="none" w:sz="0" w:space="0" w:color="auto"/>
                <w:left w:val="none" w:sz="0" w:space="0" w:color="auto"/>
                <w:bottom w:val="none" w:sz="0" w:space="0" w:color="auto"/>
                <w:right w:val="none" w:sz="0" w:space="0" w:color="auto"/>
              </w:divBdr>
            </w:div>
          </w:divsChild>
        </w:div>
        <w:div w:id="178593134">
          <w:marLeft w:val="0"/>
          <w:marRight w:val="0"/>
          <w:marTop w:val="0"/>
          <w:marBottom w:val="0"/>
          <w:divBdr>
            <w:top w:val="none" w:sz="0" w:space="0" w:color="auto"/>
            <w:left w:val="none" w:sz="0" w:space="0" w:color="auto"/>
            <w:bottom w:val="none" w:sz="0" w:space="0" w:color="auto"/>
            <w:right w:val="none" w:sz="0" w:space="0" w:color="auto"/>
          </w:divBdr>
          <w:divsChild>
            <w:div w:id="1403914394">
              <w:marLeft w:val="0"/>
              <w:marRight w:val="0"/>
              <w:marTop w:val="0"/>
              <w:marBottom w:val="0"/>
              <w:divBdr>
                <w:top w:val="none" w:sz="0" w:space="0" w:color="auto"/>
                <w:left w:val="none" w:sz="0" w:space="0" w:color="auto"/>
                <w:bottom w:val="none" w:sz="0" w:space="0" w:color="auto"/>
                <w:right w:val="none" w:sz="0" w:space="0" w:color="auto"/>
              </w:divBdr>
            </w:div>
          </w:divsChild>
        </w:div>
        <w:div w:id="183133463">
          <w:marLeft w:val="0"/>
          <w:marRight w:val="0"/>
          <w:marTop w:val="0"/>
          <w:marBottom w:val="0"/>
          <w:divBdr>
            <w:top w:val="none" w:sz="0" w:space="0" w:color="auto"/>
            <w:left w:val="none" w:sz="0" w:space="0" w:color="auto"/>
            <w:bottom w:val="none" w:sz="0" w:space="0" w:color="auto"/>
            <w:right w:val="none" w:sz="0" w:space="0" w:color="auto"/>
          </w:divBdr>
          <w:divsChild>
            <w:div w:id="3676759">
              <w:marLeft w:val="0"/>
              <w:marRight w:val="0"/>
              <w:marTop w:val="0"/>
              <w:marBottom w:val="0"/>
              <w:divBdr>
                <w:top w:val="none" w:sz="0" w:space="0" w:color="auto"/>
                <w:left w:val="none" w:sz="0" w:space="0" w:color="auto"/>
                <w:bottom w:val="none" w:sz="0" w:space="0" w:color="auto"/>
                <w:right w:val="none" w:sz="0" w:space="0" w:color="auto"/>
              </w:divBdr>
            </w:div>
          </w:divsChild>
        </w:div>
        <w:div w:id="199514227">
          <w:marLeft w:val="0"/>
          <w:marRight w:val="0"/>
          <w:marTop w:val="0"/>
          <w:marBottom w:val="0"/>
          <w:divBdr>
            <w:top w:val="none" w:sz="0" w:space="0" w:color="auto"/>
            <w:left w:val="none" w:sz="0" w:space="0" w:color="auto"/>
            <w:bottom w:val="none" w:sz="0" w:space="0" w:color="auto"/>
            <w:right w:val="none" w:sz="0" w:space="0" w:color="auto"/>
          </w:divBdr>
          <w:divsChild>
            <w:div w:id="1398431157">
              <w:marLeft w:val="0"/>
              <w:marRight w:val="0"/>
              <w:marTop w:val="0"/>
              <w:marBottom w:val="0"/>
              <w:divBdr>
                <w:top w:val="none" w:sz="0" w:space="0" w:color="auto"/>
                <w:left w:val="none" w:sz="0" w:space="0" w:color="auto"/>
                <w:bottom w:val="none" w:sz="0" w:space="0" w:color="auto"/>
                <w:right w:val="none" w:sz="0" w:space="0" w:color="auto"/>
              </w:divBdr>
            </w:div>
          </w:divsChild>
        </w:div>
        <w:div w:id="200023510">
          <w:marLeft w:val="0"/>
          <w:marRight w:val="0"/>
          <w:marTop w:val="0"/>
          <w:marBottom w:val="0"/>
          <w:divBdr>
            <w:top w:val="none" w:sz="0" w:space="0" w:color="auto"/>
            <w:left w:val="none" w:sz="0" w:space="0" w:color="auto"/>
            <w:bottom w:val="none" w:sz="0" w:space="0" w:color="auto"/>
            <w:right w:val="none" w:sz="0" w:space="0" w:color="auto"/>
          </w:divBdr>
          <w:divsChild>
            <w:div w:id="2032680151">
              <w:marLeft w:val="0"/>
              <w:marRight w:val="0"/>
              <w:marTop w:val="0"/>
              <w:marBottom w:val="0"/>
              <w:divBdr>
                <w:top w:val="none" w:sz="0" w:space="0" w:color="auto"/>
                <w:left w:val="none" w:sz="0" w:space="0" w:color="auto"/>
                <w:bottom w:val="none" w:sz="0" w:space="0" w:color="auto"/>
                <w:right w:val="none" w:sz="0" w:space="0" w:color="auto"/>
              </w:divBdr>
            </w:div>
          </w:divsChild>
        </w:div>
        <w:div w:id="206994240">
          <w:marLeft w:val="0"/>
          <w:marRight w:val="0"/>
          <w:marTop w:val="0"/>
          <w:marBottom w:val="0"/>
          <w:divBdr>
            <w:top w:val="none" w:sz="0" w:space="0" w:color="auto"/>
            <w:left w:val="none" w:sz="0" w:space="0" w:color="auto"/>
            <w:bottom w:val="none" w:sz="0" w:space="0" w:color="auto"/>
            <w:right w:val="none" w:sz="0" w:space="0" w:color="auto"/>
          </w:divBdr>
          <w:divsChild>
            <w:div w:id="458308079">
              <w:marLeft w:val="0"/>
              <w:marRight w:val="0"/>
              <w:marTop w:val="0"/>
              <w:marBottom w:val="0"/>
              <w:divBdr>
                <w:top w:val="none" w:sz="0" w:space="0" w:color="auto"/>
                <w:left w:val="none" w:sz="0" w:space="0" w:color="auto"/>
                <w:bottom w:val="none" w:sz="0" w:space="0" w:color="auto"/>
                <w:right w:val="none" w:sz="0" w:space="0" w:color="auto"/>
              </w:divBdr>
            </w:div>
            <w:div w:id="1317226408">
              <w:marLeft w:val="0"/>
              <w:marRight w:val="0"/>
              <w:marTop w:val="0"/>
              <w:marBottom w:val="0"/>
              <w:divBdr>
                <w:top w:val="none" w:sz="0" w:space="0" w:color="auto"/>
                <w:left w:val="none" w:sz="0" w:space="0" w:color="auto"/>
                <w:bottom w:val="none" w:sz="0" w:space="0" w:color="auto"/>
                <w:right w:val="none" w:sz="0" w:space="0" w:color="auto"/>
              </w:divBdr>
            </w:div>
          </w:divsChild>
        </w:div>
        <w:div w:id="229660596">
          <w:marLeft w:val="0"/>
          <w:marRight w:val="0"/>
          <w:marTop w:val="0"/>
          <w:marBottom w:val="0"/>
          <w:divBdr>
            <w:top w:val="none" w:sz="0" w:space="0" w:color="auto"/>
            <w:left w:val="none" w:sz="0" w:space="0" w:color="auto"/>
            <w:bottom w:val="none" w:sz="0" w:space="0" w:color="auto"/>
            <w:right w:val="none" w:sz="0" w:space="0" w:color="auto"/>
          </w:divBdr>
          <w:divsChild>
            <w:div w:id="57752620">
              <w:marLeft w:val="0"/>
              <w:marRight w:val="0"/>
              <w:marTop w:val="0"/>
              <w:marBottom w:val="0"/>
              <w:divBdr>
                <w:top w:val="none" w:sz="0" w:space="0" w:color="auto"/>
                <w:left w:val="none" w:sz="0" w:space="0" w:color="auto"/>
                <w:bottom w:val="none" w:sz="0" w:space="0" w:color="auto"/>
                <w:right w:val="none" w:sz="0" w:space="0" w:color="auto"/>
              </w:divBdr>
            </w:div>
          </w:divsChild>
        </w:div>
        <w:div w:id="234125802">
          <w:marLeft w:val="0"/>
          <w:marRight w:val="0"/>
          <w:marTop w:val="0"/>
          <w:marBottom w:val="0"/>
          <w:divBdr>
            <w:top w:val="none" w:sz="0" w:space="0" w:color="auto"/>
            <w:left w:val="none" w:sz="0" w:space="0" w:color="auto"/>
            <w:bottom w:val="none" w:sz="0" w:space="0" w:color="auto"/>
            <w:right w:val="none" w:sz="0" w:space="0" w:color="auto"/>
          </w:divBdr>
          <w:divsChild>
            <w:div w:id="1706175158">
              <w:marLeft w:val="0"/>
              <w:marRight w:val="0"/>
              <w:marTop w:val="0"/>
              <w:marBottom w:val="0"/>
              <w:divBdr>
                <w:top w:val="none" w:sz="0" w:space="0" w:color="auto"/>
                <w:left w:val="none" w:sz="0" w:space="0" w:color="auto"/>
                <w:bottom w:val="none" w:sz="0" w:space="0" w:color="auto"/>
                <w:right w:val="none" w:sz="0" w:space="0" w:color="auto"/>
              </w:divBdr>
            </w:div>
          </w:divsChild>
        </w:div>
        <w:div w:id="263147050">
          <w:marLeft w:val="0"/>
          <w:marRight w:val="0"/>
          <w:marTop w:val="0"/>
          <w:marBottom w:val="0"/>
          <w:divBdr>
            <w:top w:val="none" w:sz="0" w:space="0" w:color="auto"/>
            <w:left w:val="none" w:sz="0" w:space="0" w:color="auto"/>
            <w:bottom w:val="none" w:sz="0" w:space="0" w:color="auto"/>
            <w:right w:val="none" w:sz="0" w:space="0" w:color="auto"/>
          </w:divBdr>
          <w:divsChild>
            <w:div w:id="287007144">
              <w:marLeft w:val="0"/>
              <w:marRight w:val="0"/>
              <w:marTop w:val="0"/>
              <w:marBottom w:val="0"/>
              <w:divBdr>
                <w:top w:val="none" w:sz="0" w:space="0" w:color="auto"/>
                <w:left w:val="none" w:sz="0" w:space="0" w:color="auto"/>
                <w:bottom w:val="none" w:sz="0" w:space="0" w:color="auto"/>
                <w:right w:val="none" w:sz="0" w:space="0" w:color="auto"/>
              </w:divBdr>
            </w:div>
          </w:divsChild>
        </w:div>
        <w:div w:id="347412651">
          <w:marLeft w:val="0"/>
          <w:marRight w:val="0"/>
          <w:marTop w:val="0"/>
          <w:marBottom w:val="0"/>
          <w:divBdr>
            <w:top w:val="none" w:sz="0" w:space="0" w:color="auto"/>
            <w:left w:val="none" w:sz="0" w:space="0" w:color="auto"/>
            <w:bottom w:val="none" w:sz="0" w:space="0" w:color="auto"/>
            <w:right w:val="none" w:sz="0" w:space="0" w:color="auto"/>
          </w:divBdr>
          <w:divsChild>
            <w:div w:id="178550876">
              <w:marLeft w:val="0"/>
              <w:marRight w:val="0"/>
              <w:marTop w:val="0"/>
              <w:marBottom w:val="0"/>
              <w:divBdr>
                <w:top w:val="none" w:sz="0" w:space="0" w:color="auto"/>
                <w:left w:val="none" w:sz="0" w:space="0" w:color="auto"/>
                <w:bottom w:val="none" w:sz="0" w:space="0" w:color="auto"/>
                <w:right w:val="none" w:sz="0" w:space="0" w:color="auto"/>
              </w:divBdr>
            </w:div>
          </w:divsChild>
        </w:div>
        <w:div w:id="372266127">
          <w:marLeft w:val="0"/>
          <w:marRight w:val="0"/>
          <w:marTop w:val="0"/>
          <w:marBottom w:val="0"/>
          <w:divBdr>
            <w:top w:val="none" w:sz="0" w:space="0" w:color="auto"/>
            <w:left w:val="none" w:sz="0" w:space="0" w:color="auto"/>
            <w:bottom w:val="none" w:sz="0" w:space="0" w:color="auto"/>
            <w:right w:val="none" w:sz="0" w:space="0" w:color="auto"/>
          </w:divBdr>
          <w:divsChild>
            <w:div w:id="1773895476">
              <w:marLeft w:val="0"/>
              <w:marRight w:val="0"/>
              <w:marTop w:val="0"/>
              <w:marBottom w:val="0"/>
              <w:divBdr>
                <w:top w:val="none" w:sz="0" w:space="0" w:color="auto"/>
                <w:left w:val="none" w:sz="0" w:space="0" w:color="auto"/>
                <w:bottom w:val="none" w:sz="0" w:space="0" w:color="auto"/>
                <w:right w:val="none" w:sz="0" w:space="0" w:color="auto"/>
              </w:divBdr>
            </w:div>
          </w:divsChild>
        </w:div>
        <w:div w:id="380371600">
          <w:marLeft w:val="0"/>
          <w:marRight w:val="0"/>
          <w:marTop w:val="0"/>
          <w:marBottom w:val="0"/>
          <w:divBdr>
            <w:top w:val="none" w:sz="0" w:space="0" w:color="auto"/>
            <w:left w:val="none" w:sz="0" w:space="0" w:color="auto"/>
            <w:bottom w:val="none" w:sz="0" w:space="0" w:color="auto"/>
            <w:right w:val="none" w:sz="0" w:space="0" w:color="auto"/>
          </w:divBdr>
          <w:divsChild>
            <w:div w:id="1277759820">
              <w:marLeft w:val="0"/>
              <w:marRight w:val="0"/>
              <w:marTop w:val="0"/>
              <w:marBottom w:val="0"/>
              <w:divBdr>
                <w:top w:val="none" w:sz="0" w:space="0" w:color="auto"/>
                <w:left w:val="none" w:sz="0" w:space="0" w:color="auto"/>
                <w:bottom w:val="none" w:sz="0" w:space="0" w:color="auto"/>
                <w:right w:val="none" w:sz="0" w:space="0" w:color="auto"/>
              </w:divBdr>
            </w:div>
          </w:divsChild>
        </w:div>
        <w:div w:id="437602351">
          <w:marLeft w:val="0"/>
          <w:marRight w:val="0"/>
          <w:marTop w:val="0"/>
          <w:marBottom w:val="0"/>
          <w:divBdr>
            <w:top w:val="none" w:sz="0" w:space="0" w:color="auto"/>
            <w:left w:val="none" w:sz="0" w:space="0" w:color="auto"/>
            <w:bottom w:val="none" w:sz="0" w:space="0" w:color="auto"/>
            <w:right w:val="none" w:sz="0" w:space="0" w:color="auto"/>
          </w:divBdr>
          <w:divsChild>
            <w:div w:id="264920381">
              <w:marLeft w:val="0"/>
              <w:marRight w:val="0"/>
              <w:marTop w:val="0"/>
              <w:marBottom w:val="0"/>
              <w:divBdr>
                <w:top w:val="none" w:sz="0" w:space="0" w:color="auto"/>
                <w:left w:val="none" w:sz="0" w:space="0" w:color="auto"/>
                <w:bottom w:val="none" w:sz="0" w:space="0" w:color="auto"/>
                <w:right w:val="none" w:sz="0" w:space="0" w:color="auto"/>
              </w:divBdr>
            </w:div>
          </w:divsChild>
        </w:div>
        <w:div w:id="467015358">
          <w:marLeft w:val="0"/>
          <w:marRight w:val="0"/>
          <w:marTop w:val="0"/>
          <w:marBottom w:val="0"/>
          <w:divBdr>
            <w:top w:val="none" w:sz="0" w:space="0" w:color="auto"/>
            <w:left w:val="none" w:sz="0" w:space="0" w:color="auto"/>
            <w:bottom w:val="none" w:sz="0" w:space="0" w:color="auto"/>
            <w:right w:val="none" w:sz="0" w:space="0" w:color="auto"/>
          </w:divBdr>
          <w:divsChild>
            <w:div w:id="158009355">
              <w:marLeft w:val="0"/>
              <w:marRight w:val="0"/>
              <w:marTop w:val="0"/>
              <w:marBottom w:val="0"/>
              <w:divBdr>
                <w:top w:val="none" w:sz="0" w:space="0" w:color="auto"/>
                <w:left w:val="none" w:sz="0" w:space="0" w:color="auto"/>
                <w:bottom w:val="none" w:sz="0" w:space="0" w:color="auto"/>
                <w:right w:val="none" w:sz="0" w:space="0" w:color="auto"/>
              </w:divBdr>
            </w:div>
          </w:divsChild>
        </w:div>
        <w:div w:id="509680520">
          <w:marLeft w:val="0"/>
          <w:marRight w:val="0"/>
          <w:marTop w:val="0"/>
          <w:marBottom w:val="0"/>
          <w:divBdr>
            <w:top w:val="none" w:sz="0" w:space="0" w:color="auto"/>
            <w:left w:val="none" w:sz="0" w:space="0" w:color="auto"/>
            <w:bottom w:val="none" w:sz="0" w:space="0" w:color="auto"/>
            <w:right w:val="none" w:sz="0" w:space="0" w:color="auto"/>
          </w:divBdr>
          <w:divsChild>
            <w:div w:id="1300767433">
              <w:marLeft w:val="0"/>
              <w:marRight w:val="0"/>
              <w:marTop w:val="0"/>
              <w:marBottom w:val="0"/>
              <w:divBdr>
                <w:top w:val="none" w:sz="0" w:space="0" w:color="auto"/>
                <w:left w:val="none" w:sz="0" w:space="0" w:color="auto"/>
                <w:bottom w:val="none" w:sz="0" w:space="0" w:color="auto"/>
                <w:right w:val="none" w:sz="0" w:space="0" w:color="auto"/>
              </w:divBdr>
            </w:div>
          </w:divsChild>
        </w:div>
        <w:div w:id="515577164">
          <w:marLeft w:val="0"/>
          <w:marRight w:val="0"/>
          <w:marTop w:val="0"/>
          <w:marBottom w:val="0"/>
          <w:divBdr>
            <w:top w:val="none" w:sz="0" w:space="0" w:color="auto"/>
            <w:left w:val="none" w:sz="0" w:space="0" w:color="auto"/>
            <w:bottom w:val="none" w:sz="0" w:space="0" w:color="auto"/>
            <w:right w:val="none" w:sz="0" w:space="0" w:color="auto"/>
          </w:divBdr>
          <w:divsChild>
            <w:div w:id="1352486438">
              <w:marLeft w:val="0"/>
              <w:marRight w:val="0"/>
              <w:marTop w:val="0"/>
              <w:marBottom w:val="0"/>
              <w:divBdr>
                <w:top w:val="none" w:sz="0" w:space="0" w:color="auto"/>
                <w:left w:val="none" w:sz="0" w:space="0" w:color="auto"/>
                <w:bottom w:val="none" w:sz="0" w:space="0" w:color="auto"/>
                <w:right w:val="none" w:sz="0" w:space="0" w:color="auto"/>
              </w:divBdr>
            </w:div>
          </w:divsChild>
        </w:div>
        <w:div w:id="530071397">
          <w:marLeft w:val="0"/>
          <w:marRight w:val="0"/>
          <w:marTop w:val="0"/>
          <w:marBottom w:val="0"/>
          <w:divBdr>
            <w:top w:val="none" w:sz="0" w:space="0" w:color="auto"/>
            <w:left w:val="none" w:sz="0" w:space="0" w:color="auto"/>
            <w:bottom w:val="none" w:sz="0" w:space="0" w:color="auto"/>
            <w:right w:val="none" w:sz="0" w:space="0" w:color="auto"/>
          </w:divBdr>
          <w:divsChild>
            <w:div w:id="1449158110">
              <w:marLeft w:val="0"/>
              <w:marRight w:val="0"/>
              <w:marTop w:val="0"/>
              <w:marBottom w:val="0"/>
              <w:divBdr>
                <w:top w:val="none" w:sz="0" w:space="0" w:color="auto"/>
                <w:left w:val="none" w:sz="0" w:space="0" w:color="auto"/>
                <w:bottom w:val="none" w:sz="0" w:space="0" w:color="auto"/>
                <w:right w:val="none" w:sz="0" w:space="0" w:color="auto"/>
              </w:divBdr>
            </w:div>
          </w:divsChild>
        </w:div>
        <w:div w:id="555093391">
          <w:marLeft w:val="0"/>
          <w:marRight w:val="0"/>
          <w:marTop w:val="0"/>
          <w:marBottom w:val="0"/>
          <w:divBdr>
            <w:top w:val="none" w:sz="0" w:space="0" w:color="auto"/>
            <w:left w:val="none" w:sz="0" w:space="0" w:color="auto"/>
            <w:bottom w:val="none" w:sz="0" w:space="0" w:color="auto"/>
            <w:right w:val="none" w:sz="0" w:space="0" w:color="auto"/>
          </w:divBdr>
          <w:divsChild>
            <w:div w:id="1212762812">
              <w:marLeft w:val="0"/>
              <w:marRight w:val="0"/>
              <w:marTop w:val="0"/>
              <w:marBottom w:val="0"/>
              <w:divBdr>
                <w:top w:val="none" w:sz="0" w:space="0" w:color="auto"/>
                <w:left w:val="none" w:sz="0" w:space="0" w:color="auto"/>
                <w:bottom w:val="none" w:sz="0" w:space="0" w:color="auto"/>
                <w:right w:val="none" w:sz="0" w:space="0" w:color="auto"/>
              </w:divBdr>
            </w:div>
          </w:divsChild>
        </w:div>
        <w:div w:id="555943611">
          <w:marLeft w:val="0"/>
          <w:marRight w:val="0"/>
          <w:marTop w:val="0"/>
          <w:marBottom w:val="0"/>
          <w:divBdr>
            <w:top w:val="none" w:sz="0" w:space="0" w:color="auto"/>
            <w:left w:val="none" w:sz="0" w:space="0" w:color="auto"/>
            <w:bottom w:val="none" w:sz="0" w:space="0" w:color="auto"/>
            <w:right w:val="none" w:sz="0" w:space="0" w:color="auto"/>
          </w:divBdr>
          <w:divsChild>
            <w:div w:id="1090348827">
              <w:marLeft w:val="0"/>
              <w:marRight w:val="0"/>
              <w:marTop w:val="0"/>
              <w:marBottom w:val="0"/>
              <w:divBdr>
                <w:top w:val="none" w:sz="0" w:space="0" w:color="auto"/>
                <w:left w:val="none" w:sz="0" w:space="0" w:color="auto"/>
                <w:bottom w:val="none" w:sz="0" w:space="0" w:color="auto"/>
                <w:right w:val="none" w:sz="0" w:space="0" w:color="auto"/>
              </w:divBdr>
            </w:div>
          </w:divsChild>
        </w:div>
        <w:div w:id="607199207">
          <w:marLeft w:val="0"/>
          <w:marRight w:val="0"/>
          <w:marTop w:val="0"/>
          <w:marBottom w:val="0"/>
          <w:divBdr>
            <w:top w:val="none" w:sz="0" w:space="0" w:color="auto"/>
            <w:left w:val="none" w:sz="0" w:space="0" w:color="auto"/>
            <w:bottom w:val="none" w:sz="0" w:space="0" w:color="auto"/>
            <w:right w:val="none" w:sz="0" w:space="0" w:color="auto"/>
          </w:divBdr>
          <w:divsChild>
            <w:div w:id="1045258538">
              <w:marLeft w:val="0"/>
              <w:marRight w:val="0"/>
              <w:marTop w:val="0"/>
              <w:marBottom w:val="0"/>
              <w:divBdr>
                <w:top w:val="none" w:sz="0" w:space="0" w:color="auto"/>
                <w:left w:val="none" w:sz="0" w:space="0" w:color="auto"/>
                <w:bottom w:val="none" w:sz="0" w:space="0" w:color="auto"/>
                <w:right w:val="none" w:sz="0" w:space="0" w:color="auto"/>
              </w:divBdr>
            </w:div>
          </w:divsChild>
        </w:div>
        <w:div w:id="609708247">
          <w:marLeft w:val="0"/>
          <w:marRight w:val="0"/>
          <w:marTop w:val="0"/>
          <w:marBottom w:val="0"/>
          <w:divBdr>
            <w:top w:val="none" w:sz="0" w:space="0" w:color="auto"/>
            <w:left w:val="none" w:sz="0" w:space="0" w:color="auto"/>
            <w:bottom w:val="none" w:sz="0" w:space="0" w:color="auto"/>
            <w:right w:val="none" w:sz="0" w:space="0" w:color="auto"/>
          </w:divBdr>
          <w:divsChild>
            <w:div w:id="656112523">
              <w:marLeft w:val="0"/>
              <w:marRight w:val="0"/>
              <w:marTop w:val="0"/>
              <w:marBottom w:val="0"/>
              <w:divBdr>
                <w:top w:val="none" w:sz="0" w:space="0" w:color="auto"/>
                <w:left w:val="none" w:sz="0" w:space="0" w:color="auto"/>
                <w:bottom w:val="none" w:sz="0" w:space="0" w:color="auto"/>
                <w:right w:val="none" w:sz="0" w:space="0" w:color="auto"/>
              </w:divBdr>
            </w:div>
          </w:divsChild>
        </w:div>
        <w:div w:id="689919685">
          <w:marLeft w:val="0"/>
          <w:marRight w:val="0"/>
          <w:marTop w:val="0"/>
          <w:marBottom w:val="0"/>
          <w:divBdr>
            <w:top w:val="none" w:sz="0" w:space="0" w:color="auto"/>
            <w:left w:val="none" w:sz="0" w:space="0" w:color="auto"/>
            <w:bottom w:val="none" w:sz="0" w:space="0" w:color="auto"/>
            <w:right w:val="none" w:sz="0" w:space="0" w:color="auto"/>
          </w:divBdr>
          <w:divsChild>
            <w:div w:id="1277834825">
              <w:marLeft w:val="0"/>
              <w:marRight w:val="0"/>
              <w:marTop w:val="0"/>
              <w:marBottom w:val="0"/>
              <w:divBdr>
                <w:top w:val="none" w:sz="0" w:space="0" w:color="auto"/>
                <w:left w:val="none" w:sz="0" w:space="0" w:color="auto"/>
                <w:bottom w:val="none" w:sz="0" w:space="0" w:color="auto"/>
                <w:right w:val="none" w:sz="0" w:space="0" w:color="auto"/>
              </w:divBdr>
            </w:div>
          </w:divsChild>
        </w:div>
        <w:div w:id="715273279">
          <w:marLeft w:val="0"/>
          <w:marRight w:val="0"/>
          <w:marTop w:val="0"/>
          <w:marBottom w:val="0"/>
          <w:divBdr>
            <w:top w:val="none" w:sz="0" w:space="0" w:color="auto"/>
            <w:left w:val="none" w:sz="0" w:space="0" w:color="auto"/>
            <w:bottom w:val="none" w:sz="0" w:space="0" w:color="auto"/>
            <w:right w:val="none" w:sz="0" w:space="0" w:color="auto"/>
          </w:divBdr>
          <w:divsChild>
            <w:div w:id="501823116">
              <w:marLeft w:val="0"/>
              <w:marRight w:val="0"/>
              <w:marTop w:val="0"/>
              <w:marBottom w:val="0"/>
              <w:divBdr>
                <w:top w:val="none" w:sz="0" w:space="0" w:color="auto"/>
                <w:left w:val="none" w:sz="0" w:space="0" w:color="auto"/>
                <w:bottom w:val="none" w:sz="0" w:space="0" w:color="auto"/>
                <w:right w:val="none" w:sz="0" w:space="0" w:color="auto"/>
              </w:divBdr>
            </w:div>
          </w:divsChild>
        </w:div>
        <w:div w:id="734474482">
          <w:marLeft w:val="0"/>
          <w:marRight w:val="0"/>
          <w:marTop w:val="0"/>
          <w:marBottom w:val="0"/>
          <w:divBdr>
            <w:top w:val="none" w:sz="0" w:space="0" w:color="auto"/>
            <w:left w:val="none" w:sz="0" w:space="0" w:color="auto"/>
            <w:bottom w:val="none" w:sz="0" w:space="0" w:color="auto"/>
            <w:right w:val="none" w:sz="0" w:space="0" w:color="auto"/>
          </w:divBdr>
          <w:divsChild>
            <w:div w:id="1090540247">
              <w:marLeft w:val="0"/>
              <w:marRight w:val="0"/>
              <w:marTop w:val="0"/>
              <w:marBottom w:val="0"/>
              <w:divBdr>
                <w:top w:val="none" w:sz="0" w:space="0" w:color="auto"/>
                <w:left w:val="none" w:sz="0" w:space="0" w:color="auto"/>
                <w:bottom w:val="none" w:sz="0" w:space="0" w:color="auto"/>
                <w:right w:val="none" w:sz="0" w:space="0" w:color="auto"/>
              </w:divBdr>
            </w:div>
          </w:divsChild>
        </w:div>
        <w:div w:id="735326292">
          <w:marLeft w:val="0"/>
          <w:marRight w:val="0"/>
          <w:marTop w:val="0"/>
          <w:marBottom w:val="0"/>
          <w:divBdr>
            <w:top w:val="none" w:sz="0" w:space="0" w:color="auto"/>
            <w:left w:val="none" w:sz="0" w:space="0" w:color="auto"/>
            <w:bottom w:val="none" w:sz="0" w:space="0" w:color="auto"/>
            <w:right w:val="none" w:sz="0" w:space="0" w:color="auto"/>
          </w:divBdr>
          <w:divsChild>
            <w:div w:id="280233138">
              <w:marLeft w:val="0"/>
              <w:marRight w:val="0"/>
              <w:marTop w:val="0"/>
              <w:marBottom w:val="0"/>
              <w:divBdr>
                <w:top w:val="none" w:sz="0" w:space="0" w:color="auto"/>
                <w:left w:val="none" w:sz="0" w:space="0" w:color="auto"/>
                <w:bottom w:val="none" w:sz="0" w:space="0" w:color="auto"/>
                <w:right w:val="none" w:sz="0" w:space="0" w:color="auto"/>
              </w:divBdr>
            </w:div>
          </w:divsChild>
        </w:div>
        <w:div w:id="753822290">
          <w:marLeft w:val="0"/>
          <w:marRight w:val="0"/>
          <w:marTop w:val="0"/>
          <w:marBottom w:val="0"/>
          <w:divBdr>
            <w:top w:val="none" w:sz="0" w:space="0" w:color="auto"/>
            <w:left w:val="none" w:sz="0" w:space="0" w:color="auto"/>
            <w:bottom w:val="none" w:sz="0" w:space="0" w:color="auto"/>
            <w:right w:val="none" w:sz="0" w:space="0" w:color="auto"/>
          </w:divBdr>
          <w:divsChild>
            <w:div w:id="135608545">
              <w:marLeft w:val="0"/>
              <w:marRight w:val="0"/>
              <w:marTop w:val="0"/>
              <w:marBottom w:val="0"/>
              <w:divBdr>
                <w:top w:val="none" w:sz="0" w:space="0" w:color="auto"/>
                <w:left w:val="none" w:sz="0" w:space="0" w:color="auto"/>
                <w:bottom w:val="none" w:sz="0" w:space="0" w:color="auto"/>
                <w:right w:val="none" w:sz="0" w:space="0" w:color="auto"/>
              </w:divBdr>
            </w:div>
          </w:divsChild>
        </w:div>
        <w:div w:id="763840167">
          <w:marLeft w:val="0"/>
          <w:marRight w:val="0"/>
          <w:marTop w:val="0"/>
          <w:marBottom w:val="0"/>
          <w:divBdr>
            <w:top w:val="none" w:sz="0" w:space="0" w:color="auto"/>
            <w:left w:val="none" w:sz="0" w:space="0" w:color="auto"/>
            <w:bottom w:val="none" w:sz="0" w:space="0" w:color="auto"/>
            <w:right w:val="none" w:sz="0" w:space="0" w:color="auto"/>
          </w:divBdr>
          <w:divsChild>
            <w:div w:id="1018390283">
              <w:marLeft w:val="0"/>
              <w:marRight w:val="0"/>
              <w:marTop w:val="0"/>
              <w:marBottom w:val="0"/>
              <w:divBdr>
                <w:top w:val="none" w:sz="0" w:space="0" w:color="auto"/>
                <w:left w:val="none" w:sz="0" w:space="0" w:color="auto"/>
                <w:bottom w:val="none" w:sz="0" w:space="0" w:color="auto"/>
                <w:right w:val="none" w:sz="0" w:space="0" w:color="auto"/>
              </w:divBdr>
            </w:div>
          </w:divsChild>
        </w:div>
        <w:div w:id="774403794">
          <w:marLeft w:val="0"/>
          <w:marRight w:val="0"/>
          <w:marTop w:val="0"/>
          <w:marBottom w:val="0"/>
          <w:divBdr>
            <w:top w:val="none" w:sz="0" w:space="0" w:color="auto"/>
            <w:left w:val="none" w:sz="0" w:space="0" w:color="auto"/>
            <w:bottom w:val="none" w:sz="0" w:space="0" w:color="auto"/>
            <w:right w:val="none" w:sz="0" w:space="0" w:color="auto"/>
          </w:divBdr>
          <w:divsChild>
            <w:div w:id="47804388">
              <w:marLeft w:val="0"/>
              <w:marRight w:val="0"/>
              <w:marTop w:val="0"/>
              <w:marBottom w:val="0"/>
              <w:divBdr>
                <w:top w:val="none" w:sz="0" w:space="0" w:color="auto"/>
                <w:left w:val="none" w:sz="0" w:space="0" w:color="auto"/>
                <w:bottom w:val="none" w:sz="0" w:space="0" w:color="auto"/>
                <w:right w:val="none" w:sz="0" w:space="0" w:color="auto"/>
              </w:divBdr>
            </w:div>
          </w:divsChild>
        </w:div>
        <w:div w:id="778451201">
          <w:marLeft w:val="0"/>
          <w:marRight w:val="0"/>
          <w:marTop w:val="0"/>
          <w:marBottom w:val="0"/>
          <w:divBdr>
            <w:top w:val="none" w:sz="0" w:space="0" w:color="auto"/>
            <w:left w:val="none" w:sz="0" w:space="0" w:color="auto"/>
            <w:bottom w:val="none" w:sz="0" w:space="0" w:color="auto"/>
            <w:right w:val="none" w:sz="0" w:space="0" w:color="auto"/>
          </w:divBdr>
          <w:divsChild>
            <w:div w:id="1210187857">
              <w:marLeft w:val="0"/>
              <w:marRight w:val="0"/>
              <w:marTop w:val="0"/>
              <w:marBottom w:val="0"/>
              <w:divBdr>
                <w:top w:val="none" w:sz="0" w:space="0" w:color="auto"/>
                <w:left w:val="none" w:sz="0" w:space="0" w:color="auto"/>
                <w:bottom w:val="none" w:sz="0" w:space="0" w:color="auto"/>
                <w:right w:val="none" w:sz="0" w:space="0" w:color="auto"/>
              </w:divBdr>
            </w:div>
          </w:divsChild>
        </w:div>
        <w:div w:id="785809274">
          <w:marLeft w:val="0"/>
          <w:marRight w:val="0"/>
          <w:marTop w:val="0"/>
          <w:marBottom w:val="0"/>
          <w:divBdr>
            <w:top w:val="none" w:sz="0" w:space="0" w:color="auto"/>
            <w:left w:val="none" w:sz="0" w:space="0" w:color="auto"/>
            <w:bottom w:val="none" w:sz="0" w:space="0" w:color="auto"/>
            <w:right w:val="none" w:sz="0" w:space="0" w:color="auto"/>
          </w:divBdr>
          <w:divsChild>
            <w:div w:id="298875640">
              <w:marLeft w:val="0"/>
              <w:marRight w:val="0"/>
              <w:marTop w:val="0"/>
              <w:marBottom w:val="0"/>
              <w:divBdr>
                <w:top w:val="none" w:sz="0" w:space="0" w:color="auto"/>
                <w:left w:val="none" w:sz="0" w:space="0" w:color="auto"/>
                <w:bottom w:val="none" w:sz="0" w:space="0" w:color="auto"/>
                <w:right w:val="none" w:sz="0" w:space="0" w:color="auto"/>
              </w:divBdr>
            </w:div>
          </w:divsChild>
        </w:div>
        <w:div w:id="796682277">
          <w:marLeft w:val="0"/>
          <w:marRight w:val="0"/>
          <w:marTop w:val="0"/>
          <w:marBottom w:val="0"/>
          <w:divBdr>
            <w:top w:val="none" w:sz="0" w:space="0" w:color="auto"/>
            <w:left w:val="none" w:sz="0" w:space="0" w:color="auto"/>
            <w:bottom w:val="none" w:sz="0" w:space="0" w:color="auto"/>
            <w:right w:val="none" w:sz="0" w:space="0" w:color="auto"/>
          </w:divBdr>
          <w:divsChild>
            <w:div w:id="216163940">
              <w:marLeft w:val="0"/>
              <w:marRight w:val="0"/>
              <w:marTop w:val="0"/>
              <w:marBottom w:val="0"/>
              <w:divBdr>
                <w:top w:val="none" w:sz="0" w:space="0" w:color="auto"/>
                <w:left w:val="none" w:sz="0" w:space="0" w:color="auto"/>
                <w:bottom w:val="none" w:sz="0" w:space="0" w:color="auto"/>
                <w:right w:val="none" w:sz="0" w:space="0" w:color="auto"/>
              </w:divBdr>
            </w:div>
          </w:divsChild>
        </w:div>
        <w:div w:id="800617385">
          <w:marLeft w:val="0"/>
          <w:marRight w:val="0"/>
          <w:marTop w:val="0"/>
          <w:marBottom w:val="0"/>
          <w:divBdr>
            <w:top w:val="none" w:sz="0" w:space="0" w:color="auto"/>
            <w:left w:val="none" w:sz="0" w:space="0" w:color="auto"/>
            <w:bottom w:val="none" w:sz="0" w:space="0" w:color="auto"/>
            <w:right w:val="none" w:sz="0" w:space="0" w:color="auto"/>
          </w:divBdr>
          <w:divsChild>
            <w:div w:id="1747529222">
              <w:marLeft w:val="0"/>
              <w:marRight w:val="0"/>
              <w:marTop w:val="0"/>
              <w:marBottom w:val="0"/>
              <w:divBdr>
                <w:top w:val="none" w:sz="0" w:space="0" w:color="auto"/>
                <w:left w:val="none" w:sz="0" w:space="0" w:color="auto"/>
                <w:bottom w:val="none" w:sz="0" w:space="0" w:color="auto"/>
                <w:right w:val="none" w:sz="0" w:space="0" w:color="auto"/>
              </w:divBdr>
            </w:div>
          </w:divsChild>
        </w:div>
        <w:div w:id="814300799">
          <w:marLeft w:val="0"/>
          <w:marRight w:val="0"/>
          <w:marTop w:val="0"/>
          <w:marBottom w:val="0"/>
          <w:divBdr>
            <w:top w:val="none" w:sz="0" w:space="0" w:color="auto"/>
            <w:left w:val="none" w:sz="0" w:space="0" w:color="auto"/>
            <w:bottom w:val="none" w:sz="0" w:space="0" w:color="auto"/>
            <w:right w:val="none" w:sz="0" w:space="0" w:color="auto"/>
          </w:divBdr>
          <w:divsChild>
            <w:div w:id="1250231804">
              <w:marLeft w:val="0"/>
              <w:marRight w:val="0"/>
              <w:marTop w:val="0"/>
              <w:marBottom w:val="0"/>
              <w:divBdr>
                <w:top w:val="none" w:sz="0" w:space="0" w:color="auto"/>
                <w:left w:val="none" w:sz="0" w:space="0" w:color="auto"/>
                <w:bottom w:val="none" w:sz="0" w:space="0" w:color="auto"/>
                <w:right w:val="none" w:sz="0" w:space="0" w:color="auto"/>
              </w:divBdr>
            </w:div>
          </w:divsChild>
        </w:div>
        <w:div w:id="860431741">
          <w:marLeft w:val="0"/>
          <w:marRight w:val="0"/>
          <w:marTop w:val="0"/>
          <w:marBottom w:val="0"/>
          <w:divBdr>
            <w:top w:val="none" w:sz="0" w:space="0" w:color="auto"/>
            <w:left w:val="none" w:sz="0" w:space="0" w:color="auto"/>
            <w:bottom w:val="none" w:sz="0" w:space="0" w:color="auto"/>
            <w:right w:val="none" w:sz="0" w:space="0" w:color="auto"/>
          </w:divBdr>
          <w:divsChild>
            <w:div w:id="1898469510">
              <w:marLeft w:val="0"/>
              <w:marRight w:val="0"/>
              <w:marTop w:val="0"/>
              <w:marBottom w:val="0"/>
              <w:divBdr>
                <w:top w:val="none" w:sz="0" w:space="0" w:color="auto"/>
                <w:left w:val="none" w:sz="0" w:space="0" w:color="auto"/>
                <w:bottom w:val="none" w:sz="0" w:space="0" w:color="auto"/>
                <w:right w:val="none" w:sz="0" w:space="0" w:color="auto"/>
              </w:divBdr>
            </w:div>
          </w:divsChild>
        </w:div>
        <w:div w:id="864290853">
          <w:marLeft w:val="0"/>
          <w:marRight w:val="0"/>
          <w:marTop w:val="0"/>
          <w:marBottom w:val="0"/>
          <w:divBdr>
            <w:top w:val="none" w:sz="0" w:space="0" w:color="auto"/>
            <w:left w:val="none" w:sz="0" w:space="0" w:color="auto"/>
            <w:bottom w:val="none" w:sz="0" w:space="0" w:color="auto"/>
            <w:right w:val="none" w:sz="0" w:space="0" w:color="auto"/>
          </w:divBdr>
          <w:divsChild>
            <w:div w:id="519122538">
              <w:marLeft w:val="0"/>
              <w:marRight w:val="0"/>
              <w:marTop w:val="0"/>
              <w:marBottom w:val="0"/>
              <w:divBdr>
                <w:top w:val="none" w:sz="0" w:space="0" w:color="auto"/>
                <w:left w:val="none" w:sz="0" w:space="0" w:color="auto"/>
                <w:bottom w:val="none" w:sz="0" w:space="0" w:color="auto"/>
                <w:right w:val="none" w:sz="0" w:space="0" w:color="auto"/>
              </w:divBdr>
            </w:div>
          </w:divsChild>
        </w:div>
        <w:div w:id="949314677">
          <w:marLeft w:val="0"/>
          <w:marRight w:val="0"/>
          <w:marTop w:val="0"/>
          <w:marBottom w:val="0"/>
          <w:divBdr>
            <w:top w:val="none" w:sz="0" w:space="0" w:color="auto"/>
            <w:left w:val="none" w:sz="0" w:space="0" w:color="auto"/>
            <w:bottom w:val="none" w:sz="0" w:space="0" w:color="auto"/>
            <w:right w:val="none" w:sz="0" w:space="0" w:color="auto"/>
          </w:divBdr>
          <w:divsChild>
            <w:div w:id="1855880212">
              <w:marLeft w:val="0"/>
              <w:marRight w:val="0"/>
              <w:marTop w:val="0"/>
              <w:marBottom w:val="0"/>
              <w:divBdr>
                <w:top w:val="none" w:sz="0" w:space="0" w:color="auto"/>
                <w:left w:val="none" w:sz="0" w:space="0" w:color="auto"/>
                <w:bottom w:val="none" w:sz="0" w:space="0" w:color="auto"/>
                <w:right w:val="none" w:sz="0" w:space="0" w:color="auto"/>
              </w:divBdr>
            </w:div>
          </w:divsChild>
        </w:div>
        <w:div w:id="951325201">
          <w:marLeft w:val="0"/>
          <w:marRight w:val="0"/>
          <w:marTop w:val="0"/>
          <w:marBottom w:val="0"/>
          <w:divBdr>
            <w:top w:val="none" w:sz="0" w:space="0" w:color="auto"/>
            <w:left w:val="none" w:sz="0" w:space="0" w:color="auto"/>
            <w:bottom w:val="none" w:sz="0" w:space="0" w:color="auto"/>
            <w:right w:val="none" w:sz="0" w:space="0" w:color="auto"/>
          </w:divBdr>
          <w:divsChild>
            <w:div w:id="725572192">
              <w:marLeft w:val="0"/>
              <w:marRight w:val="0"/>
              <w:marTop w:val="0"/>
              <w:marBottom w:val="0"/>
              <w:divBdr>
                <w:top w:val="none" w:sz="0" w:space="0" w:color="auto"/>
                <w:left w:val="none" w:sz="0" w:space="0" w:color="auto"/>
                <w:bottom w:val="none" w:sz="0" w:space="0" w:color="auto"/>
                <w:right w:val="none" w:sz="0" w:space="0" w:color="auto"/>
              </w:divBdr>
            </w:div>
          </w:divsChild>
        </w:div>
        <w:div w:id="962660456">
          <w:marLeft w:val="0"/>
          <w:marRight w:val="0"/>
          <w:marTop w:val="0"/>
          <w:marBottom w:val="0"/>
          <w:divBdr>
            <w:top w:val="none" w:sz="0" w:space="0" w:color="auto"/>
            <w:left w:val="none" w:sz="0" w:space="0" w:color="auto"/>
            <w:bottom w:val="none" w:sz="0" w:space="0" w:color="auto"/>
            <w:right w:val="none" w:sz="0" w:space="0" w:color="auto"/>
          </w:divBdr>
          <w:divsChild>
            <w:div w:id="1423331475">
              <w:marLeft w:val="0"/>
              <w:marRight w:val="0"/>
              <w:marTop w:val="0"/>
              <w:marBottom w:val="0"/>
              <w:divBdr>
                <w:top w:val="none" w:sz="0" w:space="0" w:color="auto"/>
                <w:left w:val="none" w:sz="0" w:space="0" w:color="auto"/>
                <w:bottom w:val="none" w:sz="0" w:space="0" w:color="auto"/>
                <w:right w:val="none" w:sz="0" w:space="0" w:color="auto"/>
              </w:divBdr>
            </w:div>
          </w:divsChild>
        </w:div>
        <w:div w:id="964119047">
          <w:marLeft w:val="0"/>
          <w:marRight w:val="0"/>
          <w:marTop w:val="0"/>
          <w:marBottom w:val="0"/>
          <w:divBdr>
            <w:top w:val="none" w:sz="0" w:space="0" w:color="auto"/>
            <w:left w:val="none" w:sz="0" w:space="0" w:color="auto"/>
            <w:bottom w:val="none" w:sz="0" w:space="0" w:color="auto"/>
            <w:right w:val="none" w:sz="0" w:space="0" w:color="auto"/>
          </w:divBdr>
          <w:divsChild>
            <w:div w:id="1809863000">
              <w:marLeft w:val="0"/>
              <w:marRight w:val="0"/>
              <w:marTop w:val="0"/>
              <w:marBottom w:val="0"/>
              <w:divBdr>
                <w:top w:val="none" w:sz="0" w:space="0" w:color="auto"/>
                <w:left w:val="none" w:sz="0" w:space="0" w:color="auto"/>
                <w:bottom w:val="none" w:sz="0" w:space="0" w:color="auto"/>
                <w:right w:val="none" w:sz="0" w:space="0" w:color="auto"/>
              </w:divBdr>
            </w:div>
          </w:divsChild>
        </w:div>
        <w:div w:id="979846344">
          <w:marLeft w:val="0"/>
          <w:marRight w:val="0"/>
          <w:marTop w:val="0"/>
          <w:marBottom w:val="0"/>
          <w:divBdr>
            <w:top w:val="none" w:sz="0" w:space="0" w:color="auto"/>
            <w:left w:val="none" w:sz="0" w:space="0" w:color="auto"/>
            <w:bottom w:val="none" w:sz="0" w:space="0" w:color="auto"/>
            <w:right w:val="none" w:sz="0" w:space="0" w:color="auto"/>
          </w:divBdr>
          <w:divsChild>
            <w:div w:id="871530219">
              <w:marLeft w:val="0"/>
              <w:marRight w:val="0"/>
              <w:marTop w:val="0"/>
              <w:marBottom w:val="0"/>
              <w:divBdr>
                <w:top w:val="none" w:sz="0" w:space="0" w:color="auto"/>
                <w:left w:val="none" w:sz="0" w:space="0" w:color="auto"/>
                <w:bottom w:val="none" w:sz="0" w:space="0" w:color="auto"/>
                <w:right w:val="none" w:sz="0" w:space="0" w:color="auto"/>
              </w:divBdr>
            </w:div>
          </w:divsChild>
        </w:div>
        <w:div w:id="993144843">
          <w:marLeft w:val="0"/>
          <w:marRight w:val="0"/>
          <w:marTop w:val="0"/>
          <w:marBottom w:val="0"/>
          <w:divBdr>
            <w:top w:val="none" w:sz="0" w:space="0" w:color="auto"/>
            <w:left w:val="none" w:sz="0" w:space="0" w:color="auto"/>
            <w:bottom w:val="none" w:sz="0" w:space="0" w:color="auto"/>
            <w:right w:val="none" w:sz="0" w:space="0" w:color="auto"/>
          </w:divBdr>
          <w:divsChild>
            <w:div w:id="826552562">
              <w:marLeft w:val="0"/>
              <w:marRight w:val="0"/>
              <w:marTop w:val="0"/>
              <w:marBottom w:val="0"/>
              <w:divBdr>
                <w:top w:val="none" w:sz="0" w:space="0" w:color="auto"/>
                <w:left w:val="none" w:sz="0" w:space="0" w:color="auto"/>
                <w:bottom w:val="none" w:sz="0" w:space="0" w:color="auto"/>
                <w:right w:val="none" w:sz="0" w:space="0" w:color="auto"/>
              </w:divBdr>
            </w:div>
          </w:divsChild>
        </w:div>
        <w:div w:id="1000960416">
          <w:marLeft w:val="0"/>
          <w:marRight w:val="0"/>
          <w:marTop w:val="0"/>
          <w:marBottom w:val="0"/>
          <w:divBdr>
            <w:top w:val="none" w:sz="0" w:space="0" w:color="auto"/>
            <w:left w:val="none" w:sz="0" w:space="0" w:color="auto"/>
            <w:bottom w:val="none" w:sz="0" w:space="0" w:color="auto"/>
            <w:right w:val="none" w:sz="0" w:space="0" w:color="auto"/>
          </w:divBdr>
          <w:divsChild>
            <w:div w:id="450904704">
              <w:marLeft w:val="0"/>
              <w:marRight w:val="0"/>
              <w:marTop w:val="0"/>
              <w:marBottom w:val="0"/>
              <w:divBdr>
                <w:top w:val="none" w:sz="0" w:space="0" w:color="auto"/>
                <w:left w:val="none" w:sz="0" w:space="0" w:color="auto"/>
                <w:bottom w:val="none" w:sz="0" w:space="0" w:color="auto"/>
                <w:right w:val="none" w:sz="0" w:space="0" w:color="auto"/>
              </w:divBdr>
            </w:div>
          </w:divsChild>
        </w:div>
        <w:div w:id="1010252942">
          <w:marLeft w:val="0"/>
          <w:marRight w:val="0"/>
          <w:marTop w:val="0"/>
          <w:marBottom w:val="0"/>
          <w:divBdr>
            <w:top w:val="none" w:sz="0" w:space="0" w:color="auto"/>
            <w:left w:val="none" w:sz="0" w:space="0" w:color="auto"/>
            <w:bottom w:val="none" w:sz="0" w:space="0" w:color="auto"/>
            <w:right w:val="none" w:sz="0" w:space="0" w:color="auto"/>
          </w:divBdr>
          <w:divsChild>
            <w:div w:id="1941596903">
              <w:marLeft w:val="0"/>
              <w:marRight w:val="0"/>
              <w:marTop w:val="0"/>
              <w:marBottom w:val="0"/>
              <w:divBdr>
                <w:top w:val="none" w:sz="0" w:space="0" w:color="auto"/>
                <w:left w:val="none" w:sz="0" w:space="0" w:color="auto"/>
                <w:bottom w:val="none" w:sz="0" w:space="0" w:color="auto"/>
                <w:right w:val="none" w:sz="0" w:space="0" w:color="auto"/>
              </w:divBdr>
            </w:div>
          </w:divsChild>
        </w:div>
        <w:div w:id="1033264193">
          <w:marLeft w:val="0"/>
          <w:marRight w:val="0"/>
          <w:marTop w:val="0"/>
          <w:marBottom w:val="0"/>
          <w:divBdr>
            <w:top w:val="none" w:sz="0" w:space="0" w:color="auto"/>
            <w:left w:val="none" w:sz="0" w:space="0" w:color="auto"/>
            <w:bottom w:val="none" w:sz="0" w:space="0" w:color="auto"/>
            <w:right w:val="none" w:sz="0" w:space="0" w:color="auto"/>
          </w:divBdr>
          <w:divsChild>
            <w:div w:id="1711567424">
              <w:marLeft w:val="0"/>
              <w:marRight w:val="0"/>
              <w:marTop w:val="0"/>
              <w:marBottom w:val="0"/>
              <w:divBdr>
                <w:top w:val="none" w:sz="0" w:space="0" w:color="auto"/>
                <w:left w:val="none" w:sz="0" w:space="0" w:color="auto"/>
                <w:bottom w:val="none" w:sz="0" w:space="0" w:color="auto"/>
                <w:right w:val="none" w:sz="0" w:space="0" w:color="auto"/>
              </w:divBdr>
            </w:div>
          </w:divsChild>
        </w:div>
        <w:div w:id="1068383696">
          <w:marLeft w:val="0"/>
          <w:marRight w:val="0"/>
          <w:marTop w:val="0"/>
          <w:marBottom w:val="0"/>
          <w:divBdr>
            <w:top w:val="none" w:sz="0" w:space="0" w:color="auto"/>
            <w:left w:val="none" w:sz="0" w:space="0" w:color="auto"/>
            <w:bottom w:val="none" w:sz="0" w:space="0" w:color="auto"/>
            <w:right w:val="none" w:sz="0" w:space="0" w:color="auto"/>
          </w:divBdr>
          <w:divsChild>
            <w:div w:id="1335567714">
              <w:marLeft w:val="0"/>
              <w:marRight w:val="0"/>
              <w:marTop w:val="0"/>
              <w:marBottom w:val="0"/>
              <w:divBdr>
                <w:top w:val="none" w:sz="0" w:space="0" w:color="auto"/>
                <w:left w:val="none" w:sz="0" w:space="0" w:color="auto"/>
                <w:bottom w:val="none" w:sz="0" w:space="0" w:color="auto"/>
                <w:right w:val="none" w:sz="0" w:space="0" w:color="auto"/>
              </w:divBdr>
            </w:div>
          </w:divsChild>
        </w:div>
        <w:div w:id="1130441289">
          <w:marLeft w:val="0"/>
          <w:marRight w:val="0"/>
          <w:marTop w:val="0"/>
          <w:marBottom w:val="0"/>
          <w:divBdr>
            <w:top w:val="none" w:sz="0" w:space="0" w:color="auto"/>
            <w:left w:val="none" w:sz="0" w:space="0" w:color="auto"/>
            <w:bottom w:val="none" w:sz="0" w:space="0" w:color="auto"/>
            <w:right w:val="none" w:sz="0" w:space="0" w:color="auto"/>
          </w:divBdr>
          <w:divsChild>
            <w:div w:id="872888666">
              <w:marLeft w:val="0"/>
              <w:marRight w:val="0"/>
              <w:marTop w:val="0"/>
              <w:marBottom w:val="0"/>
              <w:divBdr>
                <w:top w:val="none" w:sz="0" w:space="0" w:color="auto"/>
                <w:left w:val="none" w:sz="0" w:space="0" w:color="auto"/>
                <w:bottom w:val="none" w:sz="0" w:space="0" w:color="auto"/>
                <w:right w:val="none" w:sz="0" w:space="0" w:color="auto"/>
              </w:divBdr>
            </w:div>
          </w:divsChild>
        </w:div>
        <w:div w:id="1190338162">
          <w:marLeft w:val="0"/>
          <w:marRight w:val="0"/>
          <w:marTop w:val="0"/>
          <w:marBottom w:val="0"/>
          <w:divBdr>
            <w:top w:val="none" w:sz="0" w:space="0" w:color="auto"/>
            <w:left w:val="none" w:sz="0" w:space="0" w:color="auto"/>
            <w:bottom w:val="none" w:sz="0" w:space="0" w:color="auto"/>
            <w:right w:val="none" w:sz="0" w:space="0" w:color="auto"/>
          </w:divBdr>
          <w:divsChild>
            <w:div w:id="268707417">
              <w:marLeft w:val="0"/>
              <w:marRight w:val="0"/>
              <w:marTop w:val="0"/>
              <w:marBottom w:val="0"/>
              <w:divBdr>
                <w:top w:val="none" w:sz="0" w:space="0" w:color="auto"/>
                <w:left w:val="none" w:sz="0" w:space="0" w:color="auto"/>
                <w:bottom w:val="none" w:sz="0" w:space="0" w:color="auto"/>
                <w:right w:val="none" w:sz="0" w:space="0" w:color="auto"/>
              </w:divBdr>
            </w:div>
          </w:divsChild>
        </w:div>
        <w:div w:id="1190949098">
          <w:marLeft w:val="0"/>
          <w:marRight w:val="0"/>
          <w:marTop w:val="0"/>
          <w:marBottom w:val="0"/>
          <w:divBdr>
            <w:top w:val="none" w:sz="0" w:space="0" w:color="auto"/>
            <w:left w:val="none" w:sz="0" w:space="0" w:color="auto"/>
            <w:bottom w:val="none" w:sz="0" w:space="0" w:color="auto"/>
            <w:right w:val="none" w:sz="0" w:space="0" w:color="auto"/>
          </w:divBdr>
          <w:divsChild>
            <w:div w:id="1057321357">
              <w:marLeft w:val="0"/>
              <w:marRight w:val="0"/>
              <w:marTop w:val="0"/>
              <w:marBottom w:val="0"/>
              <w:divBdr>
                <w:top w:val="none" w:sz="0" w:space="0" w:color="auto"/>
                <w:left w:val="none" w:sz="0" w:space="0" w:color="auto"/>
                <w:bottom w:val="none" w:sz="0" w:space="0" w:color="auto"/>
                <w:right w:val="none" w:sz="0" w:space="0" w:color="auto"/>
              </w:divBdr>
            </w:div>
          </w:divsChild>
        </w:div>
        <w:div w:id="1197695443">
          <w:marLeft w:val="0"/>
          <w:marRight w:val="0"/>
          <w:marTop w:val="0"/>
          <w:marBottom w:val="0"/>
          <w:divBdr>
            <w:top w:val="none" w:sz="0" w:space="0" w:color="auto"/>
            <w:left w:val="none" w:sz="0" w:space="0" w:color="auto"/>
            <w:bottom w:val="none" w:sz="0" w:space="0" w:color="auto"/>
            <w:right w:val="none" w:sz="0" w:space="0" w:color="auto"/>
          </w:divBdr>
          <w:divsChild>
            <w:div w:id="1171749301">
              <w:marLeft w:val="0"/>
              <w:marRight w:val="0"/>
              <w:marTop w:val="0"/>
              <w:marBottom w:val="0"/>
              <w:divBdr>
                <w:top w:val="none" w:sz="0" w:space="0" w:color="auto"/>
                <w:left w:val="none" w:sz="0" w:space="0" w:color="auto"/>
                <w:bottom w:val="none" w:sz="0" w:space="0" w:color="auto"/>
                <w:right w:val="none" w:sz="0" w:space="0" w:color="auto"/>
              </w:divBdr>
            </w:div>
          </w:divsChild>
        </w:div>
        <w:div w:id="1236934040">
          <w:marLeft w:val="0"/>
          <w:marRight w:val="0"/>
          <w:marTop w:val="0"/>
          <w:marBottom w:val="0"/>
          <w:divBdr>
            <w:top w:val="none" w:sz="0" w:space="0" w:color="auto"/>
            <w:left w:val="none" w:sz="0" w:space="0" w:color="auto"/>
            <w:bottom w:val="none" w:sz="0" w:space="0" w:color="auto"/>
            <w:right w:val="none" w:sz="0" w:space="0" w:color="auto"/>
          </w:divBdr>
          <w:divsChild>
            <w:div w:id="2022463356">
              <w:marLeft w:val="0"/>
              <w:marRight w:val="0"/>
              <w:marTop w:val="0"/>
              <w:marBottom w:val="0"/>
              <w:divBdr>
                <w:top w:val="none" w:sz="0" w:space="0" w:color="auto"/>
                <w:left w:val="none" w:sz="0" w:space="0" w:color="auto"/>
                <w:bottom w:val="none" w:sz="0" w:space="0" w:color="auto"/>
                <w:right w:val="none" w:sz="0" w:space="0" w:color="auto"/>
              </w:divBdr>
            </w:div>
          </w:divsChild>
        </w:div>
        <w:div w:id="1257252385">
          <w:marLeft w:val="0"/>
          <w:marRight w:val="0"/>
          <w:marTop w:val="0"/>
          <w:marBottom w:val="0"/>
          <w:divBdr>
            <w:top w:val="none" w:sz="0" w:space="0" w:color="auto"/>
            <w:left w:val="none" w:sz="0" w:space="0" w:color="auto"/>
            <w:bottom w:val="none" w:sz="0" w:space="0" w:color="auto"/>
            <w:right w:val="none" w:sz="0" w:space="0" w:color="auto"/>
          </w:divBdr>
          <w:divsChild>
            <w:div w:id="1336959091">
              <w:marLeft w:val="0"/>
              <w:marRight w:val="0"/>
              <w:marTop w:val="0"/>
              <w:marBottom w:val="0"/>
              <w:divBdr>
                <w:top w:val="none" w:sz="0" w:space="0" w:color="auto"/>
                <w:left w:val="none" w:sz="0" w:space="0" w:color="auto"/>
                <w:bottom w:val="none" w:sz="0" w:space="0" w:color="auto"/>
                <w:right w:val="none" w:sz="0" w:space="0" w:color="auto"/>
              </w:divBdr>
            </w:div>
          </w:divsChild>
        </w:div>
        <w:div w:id="1279605791">
          <w:marLeft w:val="0"/>
          <w:marRight w:val="0"/>
          <w:marTop w:val="0"/>
          <w:marBottom w:val="0"/>
          <w:divBdr>
            <w:top w:val="none" w:sz="0" w:space="0" w:color="auto"/>
            <w:left w:val="none" w:sz="0" w:space="0" w:color="auto"/>
            <w:bottom w:val="none" w:sz="0" w:space="0" w:color="auto"/>
            <w:right w:val="none" w:sz="0" w:space="0" w:color="auto"/>
          </w:divBdr>
          <w:divsChild>
            <w:div w:id="1302422483">
              <w:marLeft w:val="0"/>
              <w:marRight w:val="0"/>
              <w:marTop w:val="0"/>
              <w:marBottom w:val="0"/>
              <w:divBdr>
                <w:top w:val="none" w:sz="0" w:space="0" w:color="auto"/>
                <w:left w:val="none" w:sz="0" w:space="0" w:color="auto"/>
                <w:bottom w:val="none" w:sz="0" w:space="0" w:color="auto"/>
                <w:right w:val="none" w:sz="0" w:space="0" w:color="auto"/>
              </w:divBdr>
            </w:div>
          </w:divsChild>
        </w:div>
        <w:div w:id="1317344389">
          <w:marLeft w:val="0"/>
          <w:marRight w:val="0"/>
          <w:marTop w:val="0"/>
          <w:marBottom w:val="0"/>
          <w:divBdr>
            <w:top w:val="none" w:sz="0" w:space="0" w:color="auto"/>
            <w:left w:val="none" w:sz="0" w:space="0" w:color="auto"/>
            <w:bottom w:val="none" w:sz="0" w:space="0" w:color="auto"/>
            <w:right w:val="none" w:sz="0" w:space="0" w:color="auto"/>
          </w:divBdr>
          <w:divsChild>
            <w:div w:id="659890080">
              <w:marLeft w:val="0"/>
              <w:marRight w:val="0"/>
              <w:marTop w:val="0"/>
              <w:marBottom w:val="0"/>
              <w:divBdr>
                <w:top w:val="none" w:sz="0" w:space="0" w:color="auto"/>
                <w:left w:val="none" w:sz="0" w:space="0" w:color="auto"/>
                <w:bottom w:val="none" w:sz="0" w:space="0" w:color="auto"/>
                <w:right w:val="none" w:sz="0" w:space="0" w:color="auto"/>
              </w:divBdr>
            </w:div>
          </w:divsChild>
        </w:div>
        <w:div w:id="1346900034">
          <w:marLeft w:val="0"/>
          <w:marRight w:val="0"/>
          <w:marTop w:val="0"/>
          <w:marBottom w:val="0"/>
          <w:divBdr>
            <w:top w:val="none" w:sz="0" w:space="0" w:color="auto"/>
            <w:left w:val="none" w:sz="0" w:space="0" w:color="auto"/>
            <w:bottom w:val="none" w:sz="0" w:space="0" w:color="auto"/>
            <w:right w:val="none" w:sz="0" w:space="0" w:color="auto"/>
          </w:divBdr>
          <w:divsChild>
            <w:div w:id="90203909">
              <w:marLeft w:val="0"/>
              <w:marRight w:val="0"/>
              <w:marTop w:val="0"/>
              <w:marBottom w:val="0"/>
              <w:divBdr>
                <w:top w:val="none" w:sz="0" w:space="0" w:color="auto"/>
                <w:left w:val="none" w:sz="0" w:space="0" w:color="auto"/>
                <w:bottom w:val="none" w:sz="0" w:space="0" w:color="auto"/>
                <w:right w:val="none" w:sz="0" w:space="0" w:color="auto"/>
              </w:divBdr>
            </w:div>
          </w:divsChild>
        </w:div>
        <w:div w:id="1356617172">
          <w:marLeft w:val="0"/>
          <w:marRight w:val="0"/>
          <w:marTop w:val="0"/>
          <w:marBottom w:val="0"/>
          <w:divBdr>
            <w:top w:val="none" w:sz="0" w:space="0" w:color="auto"/>
            <w:left w:val="none" w:sz="0" w:space="0" w:color="auto"/>
            <w:bottom w:val="none" w:sz="0" w:space="0" w:color="auto"/>
            <w:right w:val="none" w:sz="0" w:space="0" w:color="auto"/>
          </w:divBdr>
          <w:divsChild>
            <w:div w:id="256712071">
              <w:marLeft w:val="0"/>
              <w:marRight w:val="0"/>
              <w:marTop w:val="0"/>
              <w:marBottom w:val="0"/>
              <w:divBdr>
                <w:top w:val="none" w:sz="0" w:space="0" w:color="auto"/>
                <w:left w:val="none" w:sz="0" w:space="0" w:color="auto"/>
                <w:bottom w:val="none" w:sz="0" w:space="0" w:color="auto"/>
                <w:right w:val="none" w:sz="0" w:space="0" w:color="auto"/>
              </w:divBdr>
            </w:div>
          </w:divsChild>
        </w:div>
        <w:div w:id="1373965993">
          <w:marLeft w:val="0"/>
          <w:marRight w:val="0"/>
          <w:marTop w:val="0"/>
          <w:marBottom w:val="0"/>
          <w:divBdr>
            <w:top w:val="none" w:sz="0" w:space="0" w:color="auto"/>
            <w:left w:val="none" w:sz="0" w:space="0" w:color="auto"/>
            <w:bottom w:val="none" w:sz="0" w:space="0" w:color="auto"/>
            <w:right w:val="none" w:sz="0" w:space="0" w:color="auto"/>
          </w:divBdr>
          <w:divsChild>
            <w:div w:id="849368926">
              <w:marLeft w:val="0"/>
              <w:marRight w:val="0"/>
              <w:marTop w:val="0"/>
              <w:marBottom w:val="0"/>
              <w:divBdr>
                <w:top w:val="none" w:sz="0" w:space="0" w:color="auto"/>
                <w:left w:val="none" w:sz="0" w:space="0" w:color="auto"/>
                <w:bottom w:val="none" w:sz="0" w:space="0" w:color="auto"/>
                <w:right w:val="none" w:sz="0" w:space="0" w:color="auto"/>
              </w:divBdr>
            </w:div>
          </w:divsChild>
        </w:div>
        <w:div w:id="1393384248">
          <w:marLeft w:val="0"/>
          <w:marRight w:val="0"/>
          <w:marTop w:val="0"/>
          <w:marBottom w:val="0"/>
          <w:divBdr>
            <w:top w:val="none" w:sz="0" w:space="0" w:color="auto"/>
            <w:left w:val="none" w:sz="0" w:space="0" w:color="auto"/>
            <w:bottom w:val="none" w:sz="0" w:space="0" w:color="auto"/>
            <w:right w:val="none" w:sz="0" w:space="0" w:color="auto"/>
          </w:divBdr>
          <w:divsChild>
            <w:div w:id="493570158">
              <w:marLeft w:val="0"/>
              <w:marRight w:val="0"/>
              <w:marTop w:val="0"/>
              <w:marBottom w:val="0"/>
              <w:divBdr>
                <w:top w:val="none" w:sz="0" w:space="0" w:color="auto"/>
                <w:left w:val="none" w:sz="0" w:space="0" w:color="auto"/>
                <w:bottom w:val="none" w:sz="0" w:space="0" w:color="auto"/>
                <w:right w:val="none" w:sz="0" w:space="0" w:color="auto"/>
              </w:divBdr>
            </w:div>
          </w:divsChild>
        </w:div>
        <w:div w:id="1636565982">
          <w:marLeft w:val="0"/>
          <w:marRight w:val="0"/>
          <w:marTop w:val="0"/>
          <w:marBottom w:val="0"/>
          <w:divBdr>
            <w:top w:val="none" w:sz="0" w:space="0" w:color="auto"/>
            <w:left w:val="none" w:sz="0" w:space="0" w:color="auto"/>
            <w:bottom w:val="none" w:sz="0" w:space="0" w:color="auto"/>
            <w:right w:val="none" w:sz="0" w:space="0" w:color="auto"/>
          </w:divBdr>
          <w:divsChild>
            <w:div w:id="58868553">
              <w:marLeft w:val="0"/>
              <w:marRight w:val="0"/>
              <w:marTop w:val="0"/>
              <w:marBottom w:val="0"/>
              <w:divBdr>
                <w:top w:val="none" w:sz="0" w:space="0" w:color="auto"/>
                <w:left w:val="none" w:sz="0" w:space="0" w:color="auto"/>
                <w:bottom w:val="none" w:sz="0" w:space="0" w:color="auto"/>
                <w:right w:val="none" w:sz="0" w:space="0" w:color="auto"/>
              </w:divBdr>
            </w:div>
          </w:divsChild>
        </w:div>
        <w:div w:id="1647512176">
          <w:marLeft w:val="0"/>
          <w:marRight w:val="0"/>
          <w:marTop w:val="0"/>
          <w:marBottom w:val="0"/>
          <w:divBdr>
            <w:top w:val="none" w:sz="0" w:space="0" w:color="auto"/>
            <w:left w:val="none" w:sz="0" w:space="0" w:color="auto"/>
            <w:bottom w:val="none" w:sz="0" w:space="0" w:color="auto"/>
            <w:right w:val="none" w:sz="0" w:space="0" w:color="auto"/>
          </w:divBdr>
          <w:divsChild>
            <w:div w:id="715547844">
              <w:marLeft w:val="0"/>
              <w:marRight w:val="0"/>
              <w:marTop w:val="0"/>
              <w:marBottom w:val="0"/>
              <w:divBdr>
                <w:top w:val="none" w:sz="0" w:space="0" w:color="auto"/>
                <w:left w:val="none" w:sz="0" w:space="0" w:color="auto"/>
                <w:bottom w:val="none" w:sz="0" w:space="0" w:color="auto"/>
                <w:right w:val="none" w:sz="0" w:space="0" w:color="auto"/>
              </w:divBdr>
            </w:div>
          </w:divsChild>
        </w:div>
        <w:div w:id="1694919735">
          <w:marLeft w:val="0"/>
          <w:marRight w:val="0"/>
          <w:marTop w:val="0"/>
          <w:marBottom w:val="0"/>
          <w:divBdr>
            <w:top w:val="none" w:sz="0" w:space="0" w:color="auto"/>
            <w:left w:val="none" w:sz="0" w:space="0" w:color="auto"/>
            <w:bottom w:val="none" w:sz="0" w:space="0" w:color="auto"/>
            <w:right w:val="none" w:sz="0" w:space="0" w:color="auto"/>
          </w:divBdr>
          <w:divsChild>
            <w:div w:id="910383413">
              <w:marLeft w:val="0"/>
              <w:marRight w:val="0"/>
              <w:marTop w:val="0"/>
              <w:marBottom w:val="0"/>
              <w:divBdr>
                <w:top w:val="none" w:sz="0" w:space="0" w:color="auto"/>
                <w:left w:val="none" w:sz="0" w:space="0" w:color="auto"/>
                <w:bottom w:val="none" w:sz="0" w:space="0" w:color="auto"/>
                <w:right w:val="none" w:sz="0" w:space="0" w:color="auto"/>
              </w:divBdr>
            </w:div>
          </w:divsChild>
        </w:div>
        <w:div w:id="1720124568">
          <w:marLeft w:val="0"/>
          <w:marRight w:val="0"/>
          <w:marTop w:val="0"/>
          <w:marBottom w:val="0"/>
          <w:divBdr>
            <w:top w:val="none" w:sz="0" w:space="0" w:color="auto"/>
            <w:left w:val="none" w:sz="0" w:space="0" w:color="auto"/>
            <w:bottom w:val="none" w:sz="0" w:space="0" w:color="auto"/>
            <w:right w:val="none" w:sz="0" w:space="0" w:color="auto"/>
          </w:divBdr>
          <w:divsChild>
            <w:div w:id="2071609448">
              <w:marLeft w:val="0"/>
              <w:marRight w:val="0"/>
              <w:marTop w:val="0"/>
              <w:marBottom w:val="0"/>
              <w:divBdr>
                <w:top w:val="none" w:sz="0" w:space="0" w:color="auto"/>
                <w:left w:val="none" w:sz="0" w:space="0" w:color="auto"/>
                <w:bottom w:val="none" w:sz="0" w:space="0" w:color="auto"/>
                <w:right w:val="none" w:sz="0" w:space="0" w:color="auto"/>
              </w:divBdr>
            </w:div>
          </w:divsChild>
        </w:div>
        <w:div w:id="1749114234">
          <w:marLeft w:val="0"/>
          <w:marRight w:val="0"/>
          <w:marTop w:val="0"/>
          <w:marBottom w:val="0"/>
          <w:divBdr>
            <w:top w:val="none" w:sz="0" w:space="0" w:color="auto"/>
            <w:left w:val="none" w:sz="0" w:space="0" w:color="auto"/>
            <w:bottom w:val="none" w:sz="0" w:space="0" w:color="auto"/>
            <w:right w:val="none" w:sz="0" w:space="0" w:color="auto"/>
          </w:divBdr>
          <w:divsChild>
            <w:div w:id="96800338">
              <w:marLeft w:val="0"/>
              <w:marRight w:val="0"/>
              <w:marTop w:val="0"/>
              <w:marBottom w:val="0"/>
              <w:divBdr>
                <w:top w:val="none" w:sz="0" w:space="0" w:color="auto"/>
                <w:left w:val="none" w:sz="0" w:space="0" w:color="auto"/>
                <w:bottom w:val="none" w:sz="0" w:space="0" w:color="auto"/>
                <w:right w:val="none" w:sz="0" w:space="0" w:color="auto"/>
              </w:divBdr>
            </w:div>
          </w:divsChild>
        </w:div>
        <w:div w:id="1830053176">
          <w:marLeft w:val="0"/>
          <w:marRight w:val="0"/>
          <w:marTop w:val="0"/>
          <w:marBottom w:val="0"/>
          <w:divBdr>
            <w:top w:val="none" w:sz="0" w:space="0" w:color="auto"/>
            <w:left w:val="none" w:sz="0" w:space="0" w:color="auto"/>
            <w:bottom w:val="none" w:sz="0" w:space="0" w:color="auto"/>
            <w:right w:val="none" w:sz="0" w:space="0" w:color="auto"/>
          </w:divBdr>
          <w:divsChild>
            <w:div w:id="2024284105">
              <w:marLeft w:val="0"/>
              <w:marRight w:val="0"/>
              <w:marTop w:val="0"/>
              <w:marBottom w:val="0"/>
              <w:divBdr>
                <w:top w:val="none" w:sz="0" w:space="0" w:color="auto"/>
                <w:left w:val="none" w:sz="0" w:space="0" w:color="auto"/>
                <w:bottom w:val="none" w:sz="0" w:space="0" w:color="auto"/>
                <w:right w:val="none" w:sz="0" w:space="0" w:color="auto"/>
              </w:divBdr>
            </w:div>
          </w:divsChild>
        </w:div>
        <w:div w:id="1848670168">
          <w:marLeft w:val="0"/>
          <w:marRight w:val="0"/>
          <w:marTop w:val="0"/>
          <w:marBottom w:val="0"/>
          <w:divBdr>
            <w:top w:val="none" w:sz="0" w:space="0" w:color="auto"/>
            <w:left w:val="none" w:sz="0" w:space="0" w:color="auto"/>
            <w:bottom w:val="none" w:sz="0" w:space="0" w:color="auto"/>
            <w:right w:val="none" w:sz="0" w:space="0" w:color="auto"/>
          </w:divBdr>
          <w:divsChild>
            <w:div w:id="129905881">
              <w:marLeft w:val="0"/>
              <w:marRight w:val="0"/>
              <w:marTop w:val="0"/>
              <w:marBottom w:val="0"/>
              <w:divBdr>
                <w:top w:val="none" w:sz="0" w:space="0" w:color="auto"/>
                <w:left w:val="none" w:sz="0" w:space="0" w:color="auto"/>
                <w:bottom w:val="none" w:sz="0" w:space="0" w:color="auto"/>
                <w:right w:val="none" w:sz="0" w:space="0" w:color="auto"/>
              </w:divBdr>
            </w:div>
          </w:divsChild>
        </w:div>
        <w:div w:id="1865358815">
          <w:marLeft w:val="0"/>
          <w:marRight w:val="0"/>
          <w:marTop w:val="0"/>
          <w:marBottom w:val="0"/>
          <w:divBdr>
            <w:top w:val="none" w:sz="0" w:space="0" w:color="auto"/>
            <w:left w:val="none" w:sz="0" w:space="0" w:color="auto"/>
            <w:bottom w:val="none" w:sz="0" w:space="0" w:color="auto"/>
            <w:right w:val="none" w:sz="0" w:space="0" w:color="auto"/>
          </w:divBdr>
          <w:divsChild>
            <w:div w:id="1322660393">
              <w:marLeft w:val="0"/>
              <w:marRight w:val="0"/>
              <w:marTop w:val="0"/>
              <w:marBottom w:val="0"/>
              <w:divBdr>
                <w:top w:val="none" w:sz="0" w:space="0" w:color="auto"/>
                <w:left w:val="none" w:sz="0" w:space="0" w:color="auto"/>
                <w:bottom w:val="none" w:sz="0" w:space="0" w:color="auto"/>
                <w:right w:val="none" w:sz="0" w:space="0" w:color="auto"/>
              </w:divBdr>
            </w:div>
          </w:divsChild>
        </w:div>
        <w:div w:id="1884050353">
          <w:marLeft w:val="0"/>
          <w:marRight w:val="0"/>
          <w:marTop w:val="0"/>
          <w:marBottom w:val="0"/>
          <w:divBdr>
            <w:top w:val="none" w:sz="0" w:space="0" w:color="auto"/>
            <w:left w:val="none" w:sz="0" w:space="0" w:color="auto"/>
            <w:bottom w:val="none" w:sz="0" w:space="0" w:color="auto"/>
            <w:right w:val="none" w:sz="0" w:space="0" w:color="auto"/>
          </w:divBdr>
          <w:divsChild>
            <w:div w:id="201286569">
              <w:marLeft w:val="0"/>
              <w:marRight w:val="0"/>
              <w:marTop w:val="0"/>
              <w:marBottom w:val="0"/>
              <w:divBdr>
                <w:top w:val="none" w:sz="0" w:space="0" w:color="auto"/>
                <w:left w:val="none" w:sz="0" w:space="0" w:color="auto"/>
                <w:bottom w:val="none" w:sz="0" w:space="0" w:color="auto"/>
                <w:right w:val="none" w:sz="0" w:space="0" w:color="auto"/>
              </w:divBdr>
            </w:div>
          </w:divsChild>
        </w:div>
        <w:div w:id="1895503955">
          <w:marLeft w:val="0"/>
          <w:marRight w:val="0"/>
          <w:marTop w:val="0"/>
          <w:marBottom w:val="0"/>
          <w:divBdr>
            <w:top w:val="none" w:sz="0" w:space="0" w:color="auto"/>
            <w:left w:val="none" w:sz="0" w:space="0" w:color="auto"/>
            <w:bottom w:val="none" w:sz="0" w:space="0" w:color="auto"/>
            <w:right w:val="none" w:sz="0" w:space="0" w:color="auto"/>
          </w:divBdr>
          <w:divsChild>
            <w:div w:id="647713824">
              <w:marLeft w:val="0"/>
              <w:marRight w:val="0"/>
              <w:marTop w:val="0"/>
              <w:marBottom w:val="0"/>
              <w:divBdr>
                <w:top w:val="none" w:sz="0" w:space="0" w:color="auto"/>
                <w:left w:val="none" w:sz="0" w:space="0" w:color="auto"/>
                <w:bottom w:val="none" w:sz="0" w:space="0" w:color="auto"/>
                <w:right w:val="none" w:sz="0" w:space="0" w:color="auto"/>
              </w:divBdr>
            </w:div>
          </w:divsChild>
        </w:div>
        <w:div w:id="1947737402">
          <w:marLeft w:val="0"/>
          <w:marRight w:val="0"/>
          <w:marTop w:val="0"/>
          <w:marBottom w:val="0"/>
          <w:divBdr>
            <w:top w:val="none" w:sz="0" w:space="0" w:color="auto"/>
            <w:left w:val="none" w:sz="0" w:space="0" w:color="auto"/>
            <w:bottom w:val="none" w:sz="0" w:space="0" w:color="auto"/>
            <w:right w:val="none" w:sz="0" w:space="0" w:color="auto"/>
          </w:divBdr>
          <w:divsChild>
            <w:div w:id="1956863492">
              <w:marLeft w:val="0"/>
              <w:marRight w:val="0"/>
              <w:marTop w:val="0"/>
              <w:marBottom w:val="0"/>
              <w:divBdr>
                <w:top w:val="none" w:sz="0" w:space="0" w:color="auto"/>
                <w:left w:val="none" w:sz="0" w:space="0" w:color="auto"/>
                <w:bottom w:val="none" w:sz="0" w:space="0" w:color="auto"/>
                <w:right w:val="none" w:sz="0" w:space="0" w:color="auto"/>
              </w:divBdr>
            </w:div>
          </w:divsChild>
        </w:div>
        <w:div w:id="1964534722">
          <w:marLeft w:val="0"/>
          <w:marRight w:val="0"/>
          <w:marTop w:val="0"/>
          <w:marBottom w:val="0"/>
          <w:divBdr>
            <w:top w:val="none" w:sz="0" w:space="0" w:color="auto"/>
            <w:left w:val="none" w:sz="0" w:space="0" w:color="auto"/>
            <w:bottom w:val="none" w:sz="0" w:space="0" w:color="auto"/>
            <w:right w:val="none" w:sz="0" w:space="0" w:color="auto"/>
          </w:divBdr>
          <w:divsChild>
            <w:div w:id="1869022918">
              <w:marLeft w:val="0"/>
              <w:marRight w:val="0"/>
              <w:marTop w:val="0"/>
              <w:marBottom w:val="0"/>
              <w:divBdr>
                <w:top w:val="none" w:sz="0" w:space="0" w:color="auto"/>
                <w:left w:val="none" w:sz="0" w:space="0" w:color="auto"/>
                <w:bottom w:val="none" w:sz="0" w:space="0" w:color="auto"/>
                <w:right w:val="none" w:sz="0" w:space="0" w:color="auto"/>
              </w:divBdr>
            </w:div>
          </w:divsChild>
        </w:div>
        <w:div w:id="2015256039">
          <w:marLeft w:val="0"/>
          <w:marRight w:val="0"/>
          <w:marTop w:val="0"/>
          <w:marBottom w:val="0"/>
          <w:divBdr>
            <w:top w:val="none" w:sz="0" w:space="0" w:color="auto"/>
            <w:left w:val="none" w:sz="0" w:space="0" w:color="auto"/>
            <w:bottom w:val="none" w:sz="0" w:space="0" w:color="auto"/>
            <w:right w:val="none" w:sz="0" w:space="0" w:color="auto"/>
          </w:divBdr>
          <w:divsChild>
            <w:div w:id="822235625">
              <w:marLeft w:val="0"/>
              <w:marRight w:val="0"/>
              <w:marTop w:val="0"/>
              <w:marBottom w:val="0"/>
              <w:divBdr>
                <w:top w:val="none" w:sz="0" w:space="0" w:color="auto"/>
                <w:left w:val="none" w:sz="0" w:space="0" w:color="auto"/>
                <w:bottom w:val="none" w:sz="0" w:space="0" w:color="auto"/>
                <w:right w:val="none" w:sz="0" w:space="0" w:color="auto"/>
              </w:divBdr>
            </w:div>
          </w:divsChild>
        </w:div>
        <w:div w:id="2031714058">
          <w:marLeft w:val="0"/>
          <w:marRight w:val="0"/>
          <w:marTop w:val="0"/>
          <w:marBottom w:val="0"/>
          <w:divBdr>
            <w:top w:val="none" w:sz="0" w:space="0" w:color="auto"/>
            <w:left w:val="none" w:sz="0" w:space="0" w:color="auto"/>
            <w:bottom w:val="none" w:sz="0" w:space="0" w:color="auto"/>
            <w:right w:val="none" w:sz="0" w:space="0" w:color="auto"/>
          </w:divBdr>
          <w:divsChild>
            <w:div w:id="1856727958">
              <w:marLeft w:val="0"/>
              <w:marRight w:val="0"/>
              <w:marTop w:val="0"/>
              <w:marBottom w:val="0"/>
              <w:divBdr>
                <w:top w:val="none" w:sz="0" w:space="0" w:color="auto"/>
                <w:left w:val="none" w:sz="0" w:space="0" w:color="auto"/>
                <w:bottom w:val="none" w:sz="0" w:space="0" w:color="auto"/>
                <w:right w:val="none" w:sz="0" w:space="0" w:color="auto"/>
              </w:divBdr>
            </w:div>
          </w:divsChild>
        </w:div>
        <w:div w:id="2044742786">
          <w:marLeft w:val="0"/>
          <w:marRight w:val="0"/>
          <w:marTop w:val="0"/>
          <w:marBottom w:val="0"/>
          <w:divBdr>
            <w:top w:val="none" w:sz="0" w:space="0" w:color="auto"/>
            <w:left w:val="none" w:sz="0" w:space="0" w:color="auto"/>
            <w:bottom w:val="none" w:sz="0" w:space="0" w:color="auto"/>
            <w:right w:val="none" w:sz="0" w:space="0" w:color="auto"/>
          </w:divBdr>
          <w:divsChild>
            <w:div w:id="1352730321">
              <w:marLeft w:val="0"/>
              <w:marRight w:val="0"/>
              <w:marTop w:val="0"/>
              <w:marBottom w:val="0"/>
              <w:divBdr>
                <w:top w:val="none" w:sz="0" w:space="0" w:color="auto"/>
                <w:left w:val="none" w:sz="0" w:space="0" w:color="auto"/>
                <w:bottom w:val="none" w:sz="0" w:space="0" w:color="auto"/>
                <w:right w:val="none" w:sz="0" w:space="0" w:color="auto"/>
              </w:divBdr>
            </w:div>
          </w:divsChild>
        </w:div>
        <w:div w:id="2059084766">
          <w:marLeft w:val="0"/>
          <w:marRight w:val="0"/>
          <w:marTop w:val="0"/>
          <w:marBottom w:val="0"/>
          <w:divBdr>
            <w:top w:val="none" w:sz="0" w:space="0" w:color="auto"/>
            <w:left w:val="none" w:sz="0" w:space="0" w:color="auto"/>
            <w:bottom w:val="none" w:sz="0" w:space="0" w:color="auto"/>
            <w:right w:val="none" w:sz="0" w:space="0" w:color="auto"/>
          </w:divBdr>
          <w:divsChild>
            <w:div w:id="526214427">
              <w:marLeft w:val="0"/>
              <w:marRight w:val="0"/>
              <w:marTop w:val="0"/>
              <w:marBottom w:val="0"/>
              <w:divBdr>
                <w:top w:val="none" w:sz="0" w:space="0" w:color="auto"/>
                <w:left w:val="none" w:sz="0" w:space="0" w:color="auto"/>
                <w:bottom w:val="none" w:sz="0" w:space="0" w:color="auto"/>
                <w:right w:val="none" w:sz="0" w:space="0" w:color="auto"/>
              </w:divBdr>
            </w:div>
            <w:div w:id="1578400993">
              <w:marLeft w:val="0"/>
              <w:marRight w:val="0"/>
              <w:marTop w:val="0"/>
              <w:marBottom w:val="0"/>
              <w:divBdr>
                <w:top w:val="none" w:sz="0" w:space="0" w:color="auto"/>
                <w:left w:val="none" w:sz="0" w:space="0" w:color="auto"/>
                <w:bottom w:val="none" w:sz="0" w:space="0" w:color="auto"/>
                <w:right w:val="none" w:sz="0" w:space="0" w:color="auto"/>
              </w:divBdr>
            </w:div>
          </w:divsChild>
        </w:div>
        <w:div w:id="2094543415">
          <w:marLeft w:val="0"/>
          <w:marRight w:val="0"/>
          <w:marTop w:val="0"/>
          <w:marBottom w:val="0"/>
          <w:divBdr>
            <w:top w:val="none" w:sz="0" w:space="0" w:color="auto"/>
            <w:left w:val="none" w:sz="0" w:space="0" w:color="auto"/>
            <w:bottom w:val="none" w:sz="0" w:space="0" w:color="auto"/>
            <w:right w:val="none" w:sz="0" w:space="0" w:color="auto"/>
          </w:divBdr>
          <w:divsChild>
            <w:div w:id="1193222993">
              <w:marLeft w:val="0"/>
              <w:marRight w:val="0"/>
              <w:marTop w:val="0"/>
              <w:marBottom w:val="0"/>
              <w:divBdr>
                <w:top w:val="none" w:sz="0" w:space="0" w:color="auto"/>
                <w:left w:val="none" w:sz="0" w:space="0" w:color="auto"/>
                <w:bottom w:val="none" w:sz="0" w:space="0" w:color="auto"/>
                <w:right w:val="none" w:sz="0" w:space="0" w:color="auto"/>
              </w:divBdr>
            </w:div>
          </w:divsChild>
        </w:div>
        <w:div w:id="2101639603">
          <w:marLeft w:val="0"/>
          <w:marRight w:val="0"/>
          <w:marTop w:val="0"/>
          <w:marBottom w:val="0"/>
          <w:divBdr>
            <w:top w:val="none" w:sz="0" w:space="0" w:color="auto"/>
            <w:left w:val="none" w:sz="0" w:space="0" w:color="auto"/>
            <w:bottom w:val="none" w:sz="0" w:space="0" w:color="auto"/>
            <w:right w:val="none" w:sz="0" w:space="0" w:color="auto"/>
          </w:divBdr>
          <w:divsChild>
            <w:div w:id="207037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86429">
      <w:bodyDiv w:val="1"/>
      <w:marLeft w:val="0"/>
      <w:marRight w:val="0"/>
      <w:marTop w:val="0"/>
      <w:marBottom w:val="0"/>
      <w:divBdr>
        <w:top w:val="none" w:sz="0" w:space="0" w:color="auto"/>
        <w:left w:val="none" w:sz="0" w:space="0" w:color="auto"/>
        <w:bottom w:val="none" w:sz="0" w:space="0" w:color="auto"/>
        <w:right w:val="none" w:sz="0" w:space="0" w:color="auto"/>
      </w:divBdr>
    </w:div>
    <w:div w:id="822115902">
      <w:bodyDiv w:val="1"/>
      <w:marLeft w:val="0"/>
      <w:marRight w:val="0"/>
      <w:marTop w:val="0"/>
      <w:marBottom w:val="0"/>
      <w:divBdr>
        <w:top w:val="none" w:sz="0" w:space="0" w:color="auto"/>
        <w:left w:val="none" w:sz="0" w:space="0" w:color="auto"/>
        <w:bottom w:val="none" w:sz="0" w:space="0" w:color="auto"/>
        <w:right w:val="none" w:sz="0" w:space="0" w:color="auto"/>
      </w:divBdr>
    </w:div>
    <w:div w:id="999430011">
      <w:bodyDiv w:val="1"/>
      <w:marLeft w:val="0"/>
      <w:marRight w:val="0"/>
      <w:marTop w:val="0"/>
      <w:marBottom w:val="0"/>
      <w:divBdr>
        <w:top w:val="none" w:sz="0" w:space="0" w:color="auto"/>
        <w:left w:val="none" w:sz="0" w:space="0" w:color="auto"/>
        <w:bottom w:val="none" w:sz="0" w:space="0" w:color="auto"/>
        <w:right w:val="none" w:sz="0" w:space="0" w:color="auto"/>
      </w:divBdr>
    </w:div>
    <w:div w:id="1057171688">
      <w:bodyDiv w:val="1"/>
      <w:marLeft w:val="0"/>
      <w:marRight w:val="0"/>
      <w:marTop w:val="0"/>
      <w:marBottom w:val="0"/>
      <w:divBdr>
        <w:top w:val="none" w:sz="0" w:space="0" w:color="auto"/>
        <w:left w:val="none" w:sz="0" w:space="0" w:color="auto"/>
        <w:bottom w:val="none" w:sz="0" w:space="0" w:color="auto"/>
        <w:right w:val="none" w:sz="0" w:space="0" w:color="auto"/>
      </w:divBdr>
      <w:divsChild>
        <w:div w:id="100953121">
          <w:marLeft w:val="0"/>
          <w:marRight w:val="0"/>
          <w:marTop w:val="0"/>
          <w:marBottom w:val="0"/>
          <w:divBdr>
            <w:top w:val="none" w:sz="0" w:space="0" w:color="auto"/>
            <w:left w:val="none" w:sz="0" w:space="0" w:color="auto"/>
            <w:bottom w:val="none" w:sz="0" w:space="0" w:color="auto"/>
            <w:right w:val="none" w:sz="0" w:space="0" w:color="auto"/>
          </w:divBdr>
          <w:divsChild>
            <w:div w:id="127748945">
              <w:marLeft w:val="0"/>
              <w:marRight w:val="0"/>
              <w:marTop w:val="0"/>
              <w:marBottom w:val="0"/>
              <w:divBdr>
                <w:top w:val="none" w:sz="0" w:space="0" w:color="auto"/>
                <w:left w:val="none" w:sz="0" w:space="0" w:color="auto"/>
                <w:bottom w:val="none" w:sz="0" w:space="0" w:color="auto"/>
                <w:right w:val="none" w:sz="0" w:space="0" w:color="auto"/>
              </w:divBdr>
            </w:div>
          </w:divsChild>
        </w:div>
        <w:div w:id="122114635">
          <w:marLeft w:val="0"/>
          <w:marRight w:val="0"/>
          <w:marTop w:val="0"/>
          <w:marBottom w:val="0"/>
          <w:divBdr>
            <w:top w:val="none" w:sz="0" w:space="0" w:color="auto"/>
            <w:left w:val="none" w:sz="0" w:space="0" w:color="auto"/>
            <w:bottom w:val="none" w:sz="0" w:space="0" w:color="auto"/>
            <w:right w:val="none" w:sz="0" w:space="0" w:color="auto"/>
          </w:divBdr>
          <w:divsChild>
            <w:div w:id="661588836">
              <w:marLeft w:val="0"/>
              <w:marRight w:val="0"/>
              <w:marTop w:val="0"/>
              <w:marBottom w:val="0"/>
              <w:divBdr>
                <w:top w:val="none" w:sz="0" w:space="0" w:color="auto"/>
                <w:left w:val="none" w:sz="0" w:space="0" w:color="auto"/>
                <w:bottom w:val="none" w:sz="0" w:space="0" w:color="auto"/>
                <w:right w:val="none" w:sz="0" w:space="0" w:color="auto"/>
              </w:divBdr>
            </w:div>
          </w:divsChild>
        </w:div>
        <w:div w:id="158808919">
          <w:marLeft w:val="0"/>
          <w:marRight w:val="0"/>
          <w:marTop w:val="0"/>
          <w:marBottom w:val="0"/>
          <w:divBdr>
            <w:top w:val="none" w:sz="0" w:space="0" w:color="auto"/>
            <w:left w:val="none" w:sz="0" w:space="0" w:color="auto"/>
            <w:bottom w:val="none" w:sz="0" w:space="0" w:color="auto"/>
            <w:right w:val="none" w:sz="0" w:space="0" w:color="auto"/>
          </w:divBdr>
          <w:divsChild>
            <w:div w:id="1319186986">
              <w:marLeft w:val="0"/>
              <w:marRight w:val="0"/>
              <w:marTop w:val="0"/>
              <w:marBottom w:val="0"/>
              <w:divBdr>
                <w:top w:val="none" w:sz="0" w:space="0" w:color="auto"/>
                <w:left w:val="none" w:sz="0" w:space="0" w:color="auto"/>
                <w:bottom w:val="none" w:sz="0" w:space="0" w:color="auto"/>
                <w:right w:val="none" w:sz="0" w:space="0" w:color="auto"/>
              </w:divBdr>
            </w:div>
          </w:divsChild>
        </w:div>
        <w:div w:id="186601093">
          <w:marLeft w:val="0"/>
          <w:marRight w:val="0"/>
          <w:marTop w:val="0"/>
          <w:marBottom w:val="0"/>
          <w:divBdr>
            <w:top w:val="none" w:sz="0" w:space="0" w:color="auto"/>
            <w:left w:val="none" w:sz="0" w:space="0" w:color="auto"/>
            <w:bottom w:val="none" w:sz="0" w:space="0" w:color="auto"/>
            <w:right w:val="none" w:sz="0" w:space="0" w:color="auto"/>
          </w:divBdr>
          <w:divsChild>
            <w:div w:id="1319921708">
              <w:marLeft w:val="0"/>
              <w:marRight w:val="0"/>
              <w:marTop w:val="0"/>
              <w:marBottom w:val="0"/>
              <w:divBdr>
                <w:top w:val="none" w:sz="0" w:space="0" w:color="auto"/>
                <w:left w:val="none" w:sz="0" w:space="0" w:color="auto"/>
                <w:bottom w:val="none" w:sz="0" w:space="0" w:color="auto"/>
                <w:right w:val="none" w:sz="0" w:space="0" w:color="auto"/>
              </w:divBdr>
            </w:div>
          </w:divsChild>
        </w:div>
        <w:div w:id="187840528">
          <w:marLeft w:val="0"/>
          <w:marRight w:val="0"/>
          <w:marTop w:val="0"/>
          <w:marBottom w:val="0"/>
          <w:divBdr>
            <w:top w:val="none" w:sz="0" w:space="0" w:color="auto"/>
            <w:left w:val="none" w:sz="0" w:space="0" w:color="auto"/>
            <w:bottom w:val="none" w:sz="0" w:space="0" w:color="auto"/>
            <w:right w:val="none" w:sz="0" w:space="0" w:color="auto"/>
          </w:divBdr>
          <w:divsChild>
            <w:div w:id="114762191">
              <w:marLeft w:val="0"/>
              <w:marRight w:val="0"/>
              <w:marTop w:val="0"/>
              <w:marBottom w:val="0"/>
              <w:divBdr>
                <w:top w:val="none" w:sz="0" w:space="0" w:color="auto"/>
                <w:left w:val="none" w:sz="0" w:space="0" w:color="auto"/>
                <w:bottom w:val="none" w:sz="0" w:space="0" w:color="auto"/>
                <w:right w:val="none" w:sz="0" w:space="0" w:color="auto"/>
              </w:divBdr>
            </w:div>
          </w:divsChild>
        </w:div>
        <w:div w:id="215095130">
          <w:marLeft w:val="0"/>
          <w:marRight w:val="0"/>
          <w:marTop w:val="0"/>
          <w:marBottom w:val="0"/>
          <w:divBdr>
            <w:top w:val="none" w:sz="0" w:space="0" w:color="auto"/>
            <w:left w:val="none" w:sz="0" w:space="0" w:color="auto"/>
            <w:bottom w:val="none" w:sz="0" w:space="0" w:color="auto"/>
            <w:right w:val="none" w:sz="0" w:space="0" w:color="auto"/>
          </w:divBdr>
          <w:divsChild>
            <w:div w:id="839589483">
              <w:marLeft w:val="0"/>
              <w:marRight w:val="0"/>
              <w:marTop w:val="0"/>
              <w:marBottom w:val="0"/>
              <w:divBdr>
                <w:top w:val="none" w:sz="0" w:space="0" w:color="auto"/>
                <w:left w:val="none" w:sz="0" w:space="0" w:color="auto"/>
                <w:bottom w:val="none" w:sz="0" w:space="0" w:color="auto"/>
                <w:right w:val="none" w:sz="0" w:space="0" w:color="auto"/>
              </w:divBdr>
            </w:div>
          </w:divsChild>
        </w:div>
        <w:div w:id="273178524">
          <w:marLeft w:val="0"/>
          <w:marRight w:val="0"/>
          <w:marTop w:val="0"/>
          <w:marBottom w:val="0"/>
          <w:divBdr>
            <w:top w:val="none" w:sz="0" w:space="0" w:color="auto"/>
            <w:left w:val="none" w:sz="0" w:space="0" w:color="auto"/>
            <w:bottom w:val="none" w:sz="0" w:space="0" w:color="auto"/>
            <w:right w:val="none" w:sz="0" w:space="0" w:color="auto"/>
          </w:divBdr>
          <w:divsChild>
            <w:div w:id="1962228494">
              <w:marLeft w:val="0"/>
              <w:marRight w:val="0"/>
              <w:marTop w:val="0"/>
              <w:marBottom w:val="0"/>
              <w:divBdr>
                <w:top w:val="none" w:sz="0" w:space="0" w:color="auto"/>
                <w:left w:val="none" w:sz="0" w:space="0" w:color="auto"/>
                <w:bottom w:val="none" w:sz="0" w:space="0" w:color="auto"/>
                <w:right w:val="none" w:sz="0" w:space="0" w:color="auto"/>
              </w:divBdr>
            </w:div>
          </w:divsChild>
        </w:div>
        <w:div w:id="346373722">
          <w:marLeft w:val="0"/>
          <w:marRight w:val="0"/>
          <w:marTop w:val="0"/>
          <w:marBottom w:val="0"/>
          <w:divBdr>
            <w:top w:val="none" w:sz="0" w:space="0" w:color="auto"/>
            <w:left w:val="none" w:sz="0" w:space="0" w:color="auto"/>
            <w:bottom w:val="none" w:sz="0" w:space="0" w:color="auto"/>
            <w:right w:val="none" w:sz="0" w:space="0" w:color="auto"/>
          </w:divBdr>
          <w:divsChild>
            <w:div w:id="367491715">
              <w:marLeft w:val="0"/>
              <w:marRight w:val="0"/>
              <w:marTop w:val="0"/>
              <w:marBottom w:val="0"/>
              <w:divBdr>
                <w:top w:val="none" w:sz="0" w:space="0" w:color="auto"/>
                <w:left w:val="none" w:sz="0" w:space="0" w:color="auto"/>
                <w:bottom w:val="none" w:sz="0" w:space="0" w:color="auto"/>
                <w:right w:val="none" w:sz="0" w:space="0" w:color="auto"/>
              </w:divBdr>
            </w:div>
            <w:div w:id="694573093">
              <w:marLeft w:val="0"/>
              <w:marRight w:val="0"/>
              <w:marTop w:val="0"/>
              <w:marBottom w:val="0"/>
              <w:divBdr>
                <w:top w:val="none" w:sz="0" w:space="0" w:color="auto"/>
                <w:left w:val="none" w:sz="0" w:space="0" w:color="auto"/>
                <w:bottom w:val="none" w:sz="0" w:space="0" w:color="auto"/>
                <w:right w:val="none" w:sz="0" w:space="0" w:color="auto"/>
              </w:divBdr>
            </w:div>
          </w:divsChild>
        </w:div>
        <w:div w:id="362369014">
          <w:marLeft w:val="0"/>
          <w:marRight w:val="0"/>
          <w:marTop w:val="0"/>
          <w:marBottom w:val="0"/>
          <w:divBdr>
            <w:top w:val="none" w:sz="0" w:space="0" w:color="auto"/>
            <w:left w:val="none" w:sz="0" w:space="0" w:color="auto"/>
            <w:bottom w:val="none" w:sz="0" w:space="0" w:color="auto"/>
            <w:right w:val="none" w:sz="0" w:space="0" w:color="auto"/>
          </w:divBdr>
          <w:divsChild>
            <w:div w:id="1265916618">
              <w:marLeft w:val="0"/>
              <w:marRight w:val="0"/>
              <w:marTop w:val="0"/>
              <w:marBottom w:val="0"/>
              <w:divBdr>
                <w:top w:val="none" w:sz="0" w:space="0" w:color="auto"/>
                <w:left w:val="none" w:sz="0" w:space="0" w:color="auto"/>
                <w:bottom w:val="none" w:sz="0" w:space="0" w:color="auto"/>
                <w:right w:val="none" w:sz="0" w:space="0" w:color="auto"/>
              </w:divBdr>
            </w:div>
          </w:divsChild>
        </w:div>
        <w:div w:id="367678432">
          <w:marLeft w:val="0"/>
          <w:marRight w:val="0"/>
          <w:marTop w:val="0"/>
          <w:marBottom w:val="0"/>
          <w:divBdr>
            <w:top w:val="none" w:sz="0" w:space="0" w:color="auto"/>
            <w:left w:val="none" w:sz="0" w:space="0" w:color="auto"/>
            <w:bottom w:val="none" w:sz="0" w:space="0" w:color="auto"/>
            <w:right w:val="none" w:sz="0" w:space="0" w:color="auto"/>
          </w:divBdr>
          <w:divsChild>
            <w:div w:id="853029769">
              <w:marLeft w:val="0"/>
              <w:marRight w:val="0"/>
              <w:marTop w:val="0"/>
              <w:marBottom w:val="0"/>
              <w:divBdr>
                <w:top w:val="none" w:sz="0" w:space="0" w:color="auto"/>
                <w:left w:val="none" w:sz="0" w:space="0" w:color="auto"/>
                <w:bottom w:val="none" w:sz="0" w:space="0" w:color="auto"/>
                <w:right w:val="none" w:sz="0" w:space="0" w:color="auto"/>
              </w:divBdr>
            </w:div>
          </w:divsChild>
        </w:div>
        <w:div w:id="375398629">
          <w:marLeft w:val="0"/>
          <w:marRight w:val="0"/>
          <w:marTop w:val="0"/>
          <w:marBottom w:val="0"/>
          <w:divBdr>
            <w:top w:val="none" w:sz="0" w:space="0" w:color="auto"/>
            <w:left w:val="none" w:sz="0" w:space="0" w:color="auto"/>
            <w:bottom w:val="none" w:sz="0" w:space="0" w:color="auto"/>
            <w:right w:val="none" w:sz="0" w:space="0" w:color="auto"/>
          </w:divBdr>
          <w:divsChild>
            <w:div w:id="1927300855">
              <w:marLeft w:val="0"/>
              <w:marRight w:val="0"/>
              <w:marTop w:val="0"/>
              <w:marBottom w:val="0"/>
              <w:divBdr>
                <w:top w:val="none" w:sz="0" w:space="0" w:color="auto"/>
                <w:left w:val="none" w:sz="0" w:space="0" w:color="auto"/>
                <w:bottom w:val="none" w:sz="0" w:space="0" w:color="auto"/>
                <w:right w:val="none" w:sz="0" w:space="0" w:color="auto"/>
              </w:divBdr>
            </w:div>
          </w:divsChild>
        </w:div>
        <w:div w:id="401566158">
          <w:marLeft w:val="0"/>
          <w:marRight w:val="0"/>
          <w:marTop w:val="0"/>
          <w:marBottom w:val="0"/>
          <w:divBdr>
            <w:top w:val="none" w:sz="0" w:space="0" w:color="auto"/>
            <w:left w:val="none" w:sz="0" w:space="0" w:color="auto"/>
            <w:bottom w:val="none" w:sz="0" w:space="0" w:color="auto"/>
            <w:right w:val="none" w:sz="0" w:space="0" w:color="auto"/>
          </w:divBdr>
          <w:divsChild>
            <w:div w:id="1029375200">
              <w:marLeft w:val="0"/>
              <w:marRight w:val="0"/>
              <w:marTop w:val="0"/>
              <w:marBottom w:val="0"/>
              <w:divBdr>
                <w:top w:val="none" w:sz="0" w:space="0" w:color="auto"/>
                <w:left w:val="none" w:sz="0" w:space="0" w:color="auto"/>
                <w:bottom w:val="none" w:sz="0" w:space="0" w:color="auto"/>
                <w:right w:val="none" w:sz="0" w:space="0" w:color="auto"/>
              </w:divBdr>
            </w:div>
          </w:divsChild>
        </w:div>
        <w:div w:id="406465374">
          <w:marLeft w:val="0"/>
          <w:marRight w:val="0"/>
          <w:marTop w:val="0"/>
          <w:marBottom w:val="0"/>
          <w:divBdr>
            <w:top w:val="none" w:sz="0" w:space="0" w:color="auto"/>
            <w:left w:val="none" w:sz="0" w:space="0" w:color="auto"/>
            <w:bottom w:val="none" w:sz="0" w:space="0" w:color="auto"/>
            <w:right w:val="none" w:sz="0" w:space="0" w:color="auto"/>
          </w:divBdr>
          <w:divsChild>
            <w:div w:id="1383484552">
              <w:marLeft w:val="0"/>
              <w:marRight w:val="0"/>
              <w:marTop w:val="0"/>
              <w:marBottom w:val="0"/>
              <w:divBdr>
                <w:top w:val="none" w:sz="0" w:space="0" w:color="auto"/>
                <w:left w:val="none" w:sz="0" w:space="0" w:color="auto"/>
                <w:bottom w:val="none" w:sz="0" w:space="0" w:color="auto"/>
                <w:right w:val="none" w:sz="0" w:space="0" w:color="auto"/>
              </w:divBdr>
            </w:div>
          </w:divsChild>
        </w:div>
        <w:div w:id="414211584">
          <w:marLeft w:val="0"/>
          <w:marRight w:val="0"/>
          <w:marTop w:val="0"/>
          <w:marBottom w:val="0"/>
          <w:divBdr>
            <w:top w:val="none" w:sz="0" w:space="0" w:color="auto"/>
            <w:left w:val="none" w:sz="0" w:space="0" w:color="auto"/>
            <w:bottom w:val="none" w:sz="0" w:space="0" w:color="auto"/>
            <w:right w:val="none" w:sz="0" w:space="0" w:color="auto"/>
          </w:divBdr>
          <w:divsChild>
            <w:div w:id="1012027695">
              <w:marLeft w:val="0"/>
              <w:marRight w:val="0"/>
              <w:marTop w:val="0"/>
              <w:marBottom w:val="0"/>
              <w:divBdr>
                <w:top w:val="none" w:sz="0" w:space="0" w:color="auto"/>
                <w:left w:val="none" w:sz="0" w:space="0" w:color="auto"/>
                <w:bottom w:val="none" w:sz="0" w:space="0" w:color="auto"/>
                <w:right w:val="none" w:sz="0" w:space="0" w:color="auto"/>
              </w:divBdr>
            </w:div>
          </w:divsChild>
        </w:div>
        <w:div w:id="452213722">
          <w:marLeft w:val="0"/>
          <w:marRight w:val="0"/>
          <w:marTop w:val="0"/>
          <w:marBottom w:val="0"/>
          <w:divBdr>
            <w:top w:val="none" w:sz="0" w:space="0" w:color="auto"/>
            <w:left w:val="none" w:sz="0" w:space="0" w:color="auto"/>
            <w:bottom w:val="none" w:sz="0" w:space="0" w:color="auto"/>
            <w:right w:val="none" w:sz="0" w:space="0" w:color="auto"/>
          </w:divBdr>
          <w:divsChild>
            <w:div w:id="556816204">
              <w:marLeft w:val="0"/>
              <w:marRight w:val="0"/>
              <w:marTop w:val="0"/>
              <w:marBottom w:val="0"/>
              <w:divBdr>
                <w:top w:val="none" w:sz="0" w:space="0" w:color="auto"/>
                <w:left w:val="none" w:sz="0" w:space="0" w:color="auto"/>
                <w:bottom w:val="none" w:sz="0" w:space="0" w:color="auto"/>
                <w:right w:val="none" w:sz="0" w:space="0" w:color="auto"/>
              </w:divBdr>
            </w:div>
          </w:divsChild>
        </w:div>
        <w:div w:id="479734383">
          <w:marLeft w:val="0"/>
          <w:marRight w:val="0"/>
          <w:marTop w:val="0"/>
          <w:marBottom w:val="0"/>
          <w:divBdr>
            <w:top w:val="none" w:sz="0" w:space="0" w:color="auto"/>
            <w:left w:val="none" w:sz="0" w:space="0" w:color="auto"/>
            <w:bottom w:val="none" w:sz="0" w:space="0" w:color="auto"/>
            <w:right w:val="none" w:sz="0" w:space="0" w:color="auto"/>
          </w:divBdr>
          <w:divsChild>
            <w:div w:id="505438632">
              <w:marLeft w:val="0"/>
              <w:marRight w:val="0"/>
              <w:marTop w:val="0"/>
              <w:marBottom w:val="0"/>
              <w:divBdr>
                <w:top w:val="none" w:sz="0" w:space="0" w:color="auto"/>
                <w:left w:val="none" w:sz="0" w:space="0" w:color="auto"/>
                <w:bottom w:val="none" w:sz="0" w:space="0" w:color="auto"/>
                <w:right w:val="none" w:sz="0" w:space="0" w:color="auto"/>
              </w:divBdr>
            </w:div>
          </w:divsChild>
        </w:div>
        <w:div w:id="488788725">
          <w:marLeft w:val="0"/>
          <w:marRight w:val="0"/>
          <w:marTop w:val="0"/>
          <w:marBottom w:val="0"/>
          <w:divBdr>
            <w:top w:val="none" w:sz="0" w:space="0" w:color="auto"/>
            <w:left w:val="none" w:sz="0" w:space="0" w:color="auto"/>
            <w:bottom w:val="none" w:sz="0" w:space="0" w:color="auto"/>
            <w:right w:val="none" w:sz="0" w:space="0" w:color="auto"/>
          </w:divBdr>
          <w:divsChild>
            <w:div w:id="76099328">
              <w:marLeft w:val="0"/>
              <w:marRight w:val="0"/>
              <w:marTop w:val="0"/>
              <w:marBottom w:val="0"/>
              <w:divBdr>
                <w:top w:val="none" w:sz="0" w:space="0" w:color="auto"/>
                <w:left w:val="none" w:sz="0" w:space="0" w:color="auto"/>
                <w:bottom w:val="none" w:sz="0" w:space="0" w:color="auto"/>
                <w:right w:val="none" w:sz="0" w:space="0" w:color="auto"/>
              </w:divBdr>
            </w:div>
          </w:divsChild>
        </w:div>
        <w:div w:id="588464214">
          <w:marLeft w:val="0"/>
          <w:marRight w:val="0"/>
          <w:marTop w:val="0"/>
          <w:marBottom w:val="0"/>
          <w:divBdr>
            <w:top w:val="none" w:sz="0" w:space="0" w:color="auto"/>
            <w:left w:val="none" w:sz="0" w:space="0" w:color="auto"/>
            <w:bottom w:val="none" w:sz="0" w:space="0" w:color="auto"/>
            <w:right w:val="none" w:sz="0" w:space="0" w:color="auto"/>
          </w:divBdr>
          <w:divsChild>
            <w:div w:id="1780103760">
              <w:marLeft w:val="0"/>
              <w:marRight w:val="0"/>
              <w:marTop w:val="0"/>
              <w:marBottom w:val="0"/>
              <w:divBdr>
                <w:top w:val="none" w:sz="0" w:space="0" w:color="auto"/>
                <w:left w:val="none" w:sz="0" w:space="0" w:color="auto"/>
                <w:bottom w:val="none" w:sz="0" w:space="0" w:color="auto"/>
                <w:right w:val="none" w:sz="0" w:space="0" w:color="auto"/>
              </w:divBdr>
            </w:div>
          </w:divsChild>
        </w:div>
        <w:div w:id="596137441">
          <w:marLeft w:val="0"/>
          <w:marRight w:val="0"/>
          <w:marTop w:val="0"/>
          <w:marBottom w:val="0"/>
          <w:divBdr>
            <w:top w:val="none" w:sz="0" w:space="0" w:color="auto"/>
            <w:left w:val="none" w:sz="0" w:space="0" w:color="auto"/>
            <w:bottom w:val="none" w:sz="0" w:space="0" w:color="auto"/>
            <w:right w:val="none" w:sz="0" w:space="0" w:color="auto"/>
          </w:divBdr>
          <w:divsChild>
            <w:div w:id="600727426">
              <w:marLeft w:val="0"/>
              <w:marRight w:val="0"/>
              <w:marTop w:val="0"/>
              <w:marBottom w:val="0"/>
              <w:divBdr>
                <w:top w:val="none" w:sz="0" w:space="0" w:color="auto"/>
                <w:left w:val="none" w:sz="0" w:space="0" w:color="auto"/>
                <w:bottom w:val="none" w:sz="0" w:space="0" w:color="auto"/>
                <w:right w:val="none" w:sz="0" w:space="0" w:color="auto"/>
              </w:divBdr>
            </w:div>
          </w:divsChild>
        </w:div>
        <w:div w:id="617761428">
          <w:marLeft w:val="0"/>
          <w:marRight w:val="0"/>
          <w:marTop w:val="0"/>
          <w:marBottom w:val="0"/>
          <w:divBdr>
            <w:top w:val="none" w:sz="0" w:space="0" w:color="auto"/>
            <w:left w:val="none" w:sz="0" w:space="0" w:color="auto"/>
            <w:bottom w:val="none" w:sz="0" w:space="0" w:color="auto"/>
            <w:right w:val="none" w:sz="0" w:space="0" w:color="auto"/>
          </w:divBdr>
          <w:divsChild>
            <w:div w:id="1404915548">
              <w:marLeft w:val="0"/>
              <w:marRight w:val="0"/>
              <w:marTop w:val="0"/>
              <w:marBottom w:val="0"/>
              <w:divBdr>
                <w:top w:val="none" w:sz="0" w:space="0" w:color="auto"/>
                <w:left w:val="none" w:sz="0" w:space="0" w:color="auto"/>
                <w:bottom w:val="none" w:sz="0" w:space="0" w:color="auto"/>
                <w:right w:val="none" w:sz="0" w:space="0" w:color="auto"/>
              </w:divBdr>
            </w:div>
          </w:divsChild>
        </w:div>
        <w:div w:id="629283585">
          <w:marLeft w:val="0"/>
          <w:marRight w:val="0"/>
          <w:marTop w:val="0"/>
          <w:marBottom w:val="0"/>
          <w:divBdr>
            <w:top w:val="none" w:sz="0" w:space="0" w:color="auto"/>
            <w:left w:val="none" w:sz="0" w:space="0" w:color="auto"/>
            <w:bottom w:val="none" w:sz="0" w:space="0" w:color="auto"/>
            <w:right w:val="none" w:sz="0" w:space="0" w:color="auto"/>
          </w:divBdr>
          <w:divsChild>
            <w:div w:id="1157067211">
              <w:marLeft w:val="0"/>
              <w:marRight w:val="0"/>
              <w:marTop w:val="0"/>
              <w:marBottom w:val="0"/>
              <w:divBdr>
                <w:top w:val="none" w:sz="0" w:space="0" w:color="auto"/>
                <w:left w:val="none" w:sz="0" w:space="0" w:color="auto"/>
                <w:bottom w:val="none" w:sz="0" w:space="0" w:color="auto"/>
                <w:right w:val="none" w:sz="0" w:space="0" w:color="auto"/>
              </w:divBdr>
            </w:div>
          </w:divsChild>
        </w:div>
        <w:div w:id="650329536">
          <w:marLeft w:val="0"/>
          <w:marRight w:val="0"/>
          <w:marTop w:val="0"/>
          <w:marBottom w:val="0"/>
          <w:divBdr>
            <w:top w:val="none" w:sz="0" w:space="0" w:color="auto"/>
            <w:left w:val="none" w:sz="0" w:space="0" w:color="auto"/>
            <w:bottom w:val="none" w:sz="0" w:space="0" w:color="auto"/>
            <w:right w:val="none" w:sz="0" w:space="0" w:color="auto"/>
          </w:divBdr>
          <w:divsChild>
            <w:div w:id="973409162">
              <w:marLeft w:val="0"/>
              <w:marRight w:val="0"/>
              <w:marTop w:val="0"/>
              <w:marBottom w:val="0"/>
              <w:divBdr>
                <w:top w:val="none" w:sz="0" w:space="0" w:color="auto"/>
                <w:left w:val="none" w:sz="0" w:space="0" w:color="auto"/>
                <w:bottom w:val="none" w:sz="0" w:space="0" w:color="auto"/>
                <w:right w:val="none" w:sz="0" w:space="0" w:color="auto"/>
              </w:divBdr>
            </w:div>
          </w:divsChild>
        </w:div>
        <w:div w:id="661005857">
          <w:marLeft w:val="0"/>
          <w:marRight w:val="0"/>
          <w:marTop w:val="0"/>
          <w:marBottom w:val="0"/>
          <w:divBdr>
            <w:top w:val="none" w:sz="0" w:space="0" w:color="auto"/>
            <w:left w:val="none" w:sz="0" w:space="0" w:color="auto"/>
            <w:bottom w:val="none" w:sz="0" w:space="0" w:color="auto"/>
            <w:right w:val="none" w:sz="0" w:space="0" w:color="auto"/>
          </w:divBdr>
          <w:divsChild>
            <w:div w:id="620723336">
              <w:marLeft w:val="0"/>
              <w:marRight w:val="0"/>
              <w:marTop w:val="0"/>
              <w:marBottom w:val="0"/>
              <w:divBdr>
                <w:top w:val="none" w:sz="0" w:space="0" w:color="auto"/>
                <w:left w:val="none" w:sz="0" w:space="0" w:color="auto"/>
                <w:bottom w:val="none" w:sz="0" w:space="0" w:color="auto"/>
                <w:right w:val="none" w:sz="0" w:space="0" w:color="auto"/>
              </w:divBdr>
            </w:div>
          </w:divsChild>
        </w:div>
        <w:div w:id="670067648">
          <w:marLeft w:val="0"/>
          <w:marRight w:val="0"/>
          <w:marTop w:val="0"/>
          <w:marBottom w:val="0"/>
          <w:divBdr>
            <w:top w:val="none" w:sz="0" w:space="0" w:color="auto"/>
            <w:left w:val="none" w:sz="0" w:space="0" w:color="auto"/>
            <w:bottom w:val="none" w:sz="0" w:space="0" w:color="auto"/>
            <w:right w:val="none" w:sz="0" w:space="0" w:color="auto"/>
          </w:divBdr>
          <w:divsChild>
            <w:div w:id="540018049">
              <w:marLeft w:val="0"/>
              <w:marRight w:val="0"/>
              <w:marTop w:val="0"/>
              <w:marBottom w:val="0"/>
              <w:divBdr>
                <w:top w:val="none" w:sz="0" w:space="0" w:color="auto"/>
                <w:left w:val="none" w:sz="0" w:space="0" w:color="auto"/>
                <w:bottom w:val="none" w:sz="0" w:space="0" w:color="auto"/>
                <w:right w:val="none" w:sz="0" w:space="0" w:color="auto"/>
              </w:divBdr>
            </w:div>
          </w:divsChild>
        </w:div>
        <w:div w:id="688916682">
          <w:marLeft w:val="0"/>
          <w:marRight w:val="0"/>
          <w:marTop w:val="0"/>
          <w:marBottom w:val="0"/>
          <w:divBdr>
            <w:top w:val="none" w:sz="0" w:space="0" w:color="auto"/>
            <w:left w:val="none" w:sz="0" w:space="0" w:color="auto"/>
            <w:bottom w:val="none" w:sz="0" w:space="0" w:color="auto"/>
            <w:right w:val="none" w:sz="0" w:space="0" w:color="auto"/>
          </w:divBdr>
          <w:divsChild>
            <w:div w:id="110366976">
              <w:marLeft w:val="0"/>
              <w:marRight w:val="0"/>
              <w:marTop w:val="0"/>
              <w:marBottom w:val="0"/>
              <w:divBdr>
                <w:top w:val="none" w:sz="0" w:space="0" w:color="auto"/>
                <w:left w:val="none" w:sz="0" w:space="0" w:color="auto"/>
                <w:bottom w:val="none" w:sz="0" w:space="0" w:color="auto"/>
                <w:right w:val="none" w:sz="0" w:space="0" w:color="auto"/>
              </w:divBdr>
            </w:div>
          </w:divsChild>
        </w:div>
        <w:div w:id="692419894">
          <w:marLeft w:val="0"/>
          <w:marRight w:val="0"/>
          <w:marTop w:val="0"/>
          <w:marBottom w:val="0"/>
          <w:divBdr>
            <w:top w:val="none" w:sz="0" w:space="0" w:color="auto"/>
            <w:left w:val="none" w:sz="0" w:space="0" w:color="auto"/>
            <w:bottom w:val="none" w:sz="0" w:space="0" w:color="auto"/>
            <w:right w:val="none" w:sz="0" w:space="0" w:color="auto"/>
          </w:divBdr>
          <w:divsChild>
            <w:div w:id="944119548">
              <w:marLeft w:val="0"/>
              <w:marRight w:val="0"/>
              <w:marTop w:val="0"/>
              <w:marBottom w:val="0"/>
              <w:divBdr>
                <w:top w:val="none" w:sz="0" w:space="0" w:color="auto"/>
                <w:left w:val="none" w:sz="0" w:space="0" w:color="auto"/>
                <w:bottom w:val="none" w:sz="0" w:space="0" w:color="auto"/>
                <w:right w:val="none" w:sz="0" w:space="0" w:color="auto"/>
              </w:divBdr>
            </w:div>
          </w:divsChild>
        </w:div>
        <w:div w:id="715659563">
          <w:marLeft w:val="0"/>
          <w:marRight w:val="0"/>
          <w:marTop w:val="0"/>
          <w:marBottom w:val="0"/>
          <w:divBdr>
            <w:top w:val="none" w:sz="0" w:space="0" w:color="auto"/>
            <w:left w:val="none" w:sz="0" w:space="0" w:color="auto"/>
            <w:bottom w:val="none" w:sz="0" w:space="0" w:color="auto"/>
            <w:right w:val="none" w:sz="0" w:space="0" w:color="auto"/>
          </w:divBdr>
          <w:divsChild>
            <w:div w:id="724450723">
              <w:marLeft w:val="0"/>
              <w:marRight w:val="0"/>
              <w:marTop w:val="0"/>
              <w:marBottom w:val="0"/>
              <w:divBdr>
                <w:top w:val="none" w:sz="0" w:space="0" w:color="auto"/>
                <w:left w:val="none" w:sz="0" w:space="0" w:color="auto"/>
                <w:bottom w:val="none" w:sz="0" w:space="0" w:color="auto"/>
                <w:right w:val="none" w:sz="0" w:space="0" w:color="auto"/>
              </w:divBdr>
            </w:div>
          </w:divsChild>
        </w:div>
        <w:div w:id="756443551">
          <w:marLeft w:val="0"/>
          <w:marRight w:val="0"/>
          <w:marTop w:val="0"/>
          <w:marBottom w:val="0"/>
          <w:divBdr>
            <w:top w:val="none" w:sz="0" w:space="0" w:color="auto"/>
            <w:left w:val="none" w:sz="0" w:space="0" w:color="auto"/>
            <w:bottom w:val="none" w:sz="0" w:space="0" w:color="auto"/>
            <w:right w:val="none" w:sz="0" w:space="0" w:color="auto"/>
          </w:divBdr>
          <w:divsChild>
            <w:div w:id="480464752">
              <w:marLeft w:val="0"/>
              <w:marRight w:val="0"/>
              <w:marTop w:val="0"/>
              <w:marBottom w:val="0"/>
              <w:divBdr>
                <w:top w:val="none" w:sz="0" w:space="0" w:color="auto"/>
                <w:left w:val="none" w:sz="0" w:space="0" w:color="auto"/>
                <w:bottom w:val="none" w:sz="0" w:space="0" w:color="auto"/>
                <w:right w:val="none" w:sz="0" w:space="0" w:color="auto"/>
              </w:divBdr>
            </w:div>
          </w:divsChild>
        </w:div>
        <w:div w:id="773398324">
          <w:marLeft w:val="0"/>
          <w:marRight w:val="0"/>
          <w:marTop w:val="0"/>
          <w:marBottom w:val="0"/>
          <w:divBdr>
            <w:top w:val="none" w:sz="0" w:space="0" w:color="auto"/>
            <w:left w:val="none" w:sz="0" w:space="0" w:color="auto"/>
            <w:bottom w:val="none" w:sz="0" w:space="0" w:color="auto"/>
            <w:right w:val="none" w:sz="0" w:space="0" w:color="auto"/>
          </w:divBdr>
          <w:divsChild>
            <w:div w:id="804542665">
              <w:marLeft w:val="0"/>
              <w:marRight w:val="0"/>
              <w:marTop w:val="0"/>
              <w:marBottom w:val="0"/>
              <w:divBdr>
                <w:top w:val="none" w:sz="0" w:space="0" w:color="auto"/>
                <w:left w:val="none" w:sz="0" w:space="0" w:color="auto"/>
                <w:bottom w:val="none" w:sz="0" w:space="0" w:color="auto"/>
                <w:right w:val="none" w:sz="0" w:space="0" w:color="auto"/>
              </w:divBdr>
            </w:div>
          </w:divsChild>
        </w:div>
        <w:div w:id="830101713">
          <w:marLeft w:val="0"/>
          <w:marRight w:val="0"/>
          <w:marTop w:val="0"/>
          <w:marBottom w:val="0"/>
          <w:divBdr>
            <w:top w:val="none" w:sz="0" w:space="0" w:color="auto"/>
            <w:left w:val="none" w:sz="0" w:space="0" w:color="auto"/>
            <w:bottom w:val="none" w:sz="0" w:space="0" w:color="auto"/>
            <w:right w:val="none" w:sz="0" w:space="0" w:color="auto"/>
          </w:divBdr>
          <w:divsChild>
            <w:div w:id="1251280794">
              <w:marLeft w:val="0"/>
              <w:marRight w:val="0"/>
              <w:marTop w:val="0"/>
              <w:marBottom w:val="0"/>
              <w:divBdr>
                <w:top w:val="none" w:sz="0" w:space="0" w:color="auto"/>
                <w:left w:val="none" w:sz="0" w:space="0" w:color="auto"/>
                <w:bottom w:val="none" w:sz="0" w:space="0" w:color="auto"/>
                <w:right w:val="none" w:sz="0" w:space="0" w:color="auto"/>
              </w:divBdr>
            </w:div>
          </w:divsChild>
        </w:div>
        <w:div w:id="863832195">
          <w:marLeft w:val="0"/>
          <w:marRight w:val="0"/>
          <w:marTop w:val="0"/>
          <w:marBottom w:val="0"/>
          <w:divBdr>
            <w:top w:val="none" w:sz="0" w:space="0" w:color="auto"/>
            <w:left w:val="none" w:sz="0" w:space="0" w:color="auto"/>
            <w:bottom w:val="none" w:sz="0" w:space="0" w:color="auto"/>
            <w:right w:val="none" w:sz="0" w:space="0" w:color="auto"/>
          </w:divBdr>
          <w:divsChild>
            <w:div w:id="1272972333">
              <w:marLeft w:val="0"/>
              <w:marRight w:val="0"/>
              <w:marTop w:val="0"/>
              <w:marBottom w:val="0"/>
              <w:divBdr>
                <w:top w:val="none" w:sz="0" w:space="0" w:color="auto"/>
                <w:left w:val="none" w:sz="0" w:space="0" w:color="auto"/>
                <w:bottom w:val="none" w:sz="0" w:space="0" w:color="auto"/>
                <w:right w:val="none" w:sz="0" w:space="0" w:color="auto"/>
              </w:divBdr>
            </w:div>
          </w:divsChild>
        </w:div>
        <w:div w:id="865365721">
          <w:marLeft w:val="0"/>
          <w:marRight w:val="0"/>
          <w:marTop w:val="0"/>
          <w:marBottom w:val="0"/>
          <w:divBdr>
            <w:top w:val="none" w:sz="0" w:space="0" w:color="auto"/>
            <w:left w:val="none" w:sz="0" w:space="0" w:color="auto"/>
            <w:bottom w:val="none" w:sz="0" w:space="0" w:color="auto"/>
            <w:right w:val="none" w:sz="0" w:space="0" w:color="auto"/>
          </w:divBdr>
          <w:divsChild>
            <w:div w:id="54283627">
              <w:marLeft w:val="0"/>
              <w:marRight w:val="0"/>
              <w:marTop w:val="0"/>
              <w:marBottom w:val="0"/>
              <w:divBdr>
                <w:top w:val="none" w:sz="0" w:space="0" w:color="auto"/>
                <w:left w:val="none" w:sz="0" w:space="0" w:color="auto"/>
                <w:bottom w:val="none" w:sz="0" w:space="0" w:color="auto"/>
                <w:right w:val="none" w:sz="0" w:space="0" w:color="auto"/>
              </w:divBdr>
            </w:div>
          </w:divsChild>
        </w:div>
        <w:div w:id="880438334">
          <w:marLeft w:val="0"/>
          <w:marRight w:val="0"/>
          <w:marTop w:val="0"/>
          <w:marBottom w:val="0"/>
          <w:divBdr>
            <w:top w:val="none" w:sz="0" w:space="0" w:color="auto"/>
            <w:left w:val="none" w:sz="0" w:space="0" w:color="auto"/>
            <w:bottom w:val="none" w:sz="0" w:space="0" w:color="auto"/>
            <w:right w:val="none" w:sz="0" w:space="0" w:color="auto"/>
          </w:divBdr>
          <w:divsChild>
            <w:div w:id="1159417696">
              <w:marLeft w:val="0"/>
              <w:marRight w:val="0"/>
              <w:marTop w:val="0"/>
              <w:marBottom w:val="0"/>
              <w:divBdr>
                <w:top w:val="none" w:sz="0" w:space="0" w:color="auto"/>
                <w:left w:val="none" w:sz="0" w:space="0" w:color="auto"/>
                <w:bottom w:val="none" w:sz="0" w:space="0" w:color="auto"/>
                <w:right w:val="none" w:sz="0" w:space="0" w:color="auto"/>
              </w:divBdr>
            </w:div>
          </w:divsChild>
        </w:div>
        <w:div w:id="907350034">
          <w:marLeft w:val="0"/>
          <w:marRight w:val="0"/>
          <w:marTop w:val="0"/>
          <w:marBottom w:val="0"/>
          <w:divBdr>
            <w:top w:val="none" w:sz="0" w:space="0" w:color="auto"/>
            <w:left w:val="none" w:sz="0" w:space="0" w:color="auto"/>
            <w:bottom w:val="none" w:sz="0" w:space="0" w:color="auto"/>
            <w:right w:val="none" w:sz="0" w:space="0" w:color="auto"/>
          </w:divBdr>
          <w:divsChild>
            <w:div w:id="517935170">
              <w:marLeft w:val="0"/>
              <w:marRight w:val="0"/>
              <w:marTop w:val="0"/>
              <w:marBottom w:val="0"/>
              <w:divBdr>
                <w:top w:val="none" w:sz="0" w:space="0" w:color="auto"/>
                <w:left w:val="none" w:sz="0" w:space="0" w:color="auto"/>
                <w:bottom w:val="none" w:sz="0" w:space="0" w:color="auto"/>
                <w:right w:val="none" w:sz="0" w:space="0" w:color="auto"/>
              </w:divBdr>
            </w:div>
          </w:divsChild>
        </w:div>
        <w:div w:id="925841737">
          <w:marLeft w:val="0"/>
          <w:marRight w:val="0"/>
          <w:marTop w:val="0"/>
          <w:marBottom w:val="0"/>
          <w:divBdr>
            <w:top w:val="none" w:sz="0" w:space="0" w:color="auto"/>
            <w:left w:val="none" w:sz="0" w:space="0" w:color="auto"/>
            <w:bottom w:val="none" w:sz="0" w:space="0" w:color="auto"/>
            <w:right w:val="none" w:sz="0" w:space="0" w:color="auto"/>
          </w:divBdr>
          <w:divsChild>
            <w:div w:id="1654794124">
              <w:marLeft w:val="0"/>
              <w:marRight w:val="0"/>
              <w:marTop w:val="0"/>
              <w:marBottom w:val="0"/>
              <w:divBdr>
                <w:top w:val="none" w:sz="0" w:space="0" w:color="auto"/>
                <w:left w:val="none" w:sz="0" w:space="0" w:color="auto"/>
                <w:bottom w:val="none" w:sz="0" w:space="0" w:color="auto"/>
                <w:right w:val="none" w:sz="0" w:space="0" w:color="auto"/>
              </w:divBdr>
            </w:div>
          </w:divsChild>
        </w:div>
        <w:div w:id="937056301">
          <w:marLeft w:val="0"/>
          <w:marRight w:val="0"/>
          <w:marTop w:val="0"/>
          <w:marBottom w:val="0"/>
          <w:divBdr>
            <w:top w:val="none" w:sz="0" w:space="0" w:color="auto"/>
            <w:left w:val="none" w:sz="0" w:space="0" w:color="auto"/>
            <w:bottom w:val="none" w:sz="0" w:space="0" w:color="auto"/>
            <w:right w:val="none" w:sz="0" w:space="0" w:color="auto"/>
          </w:divBdr>
          <w:divsChild>
            <w:div w:id="55713082">
              <w:marLeft w:val="0"/>
              <w:marRight w:val="0"/>
              <w:marTop w:val="0"/>
              <w:marBottom w:val="0"/>
              <w:divBdr>
                <w:top w:val="none" w:sz="0" w:space="0" w:color="auto"/>
                <w:left w:val="none" w:sz="0" w:space="0" w:color="auto"/>
                <w:bottom w:val="none" w:sz="0" w:space="0" w:color="auto"/>
                <w:right w:val="none" w:sz="0" w:space="0" w:color="auto"/>
              </w:divBdr>
            </w:div>
          </w:divsChild>
        </w:div>
        <w:div w:id="951474157">
          <w:marLeft w:val="0"/>
          <w:marRight w:val="0"/>
          <w:marTop w:val="0"/>
          <w:marBottom w:val="0"/>
          <w:divBdr>
            <w:top w:val="none" w:sz="0" w:space="0" w:color="auto"/>
            <w:left w:val="none" w:sz="0" w:space="0" w:color="auto"/>
            <w:bottom w:val="none" w:sz="0" w:space="0" w:color="auto"/>
            <w:right w:val="none" w:sz="0" w:space="0" w:color="auto"/>
          </w:divBdr>
          <w:divsChild>
            <w:div w:id="469322272">
              <w:marLeft w:val="0"/>
              <w:marRight w:val="0"/>
              <w:marTop w:val="0"/>
              <w:marBottom w:val="0"/>
              <w:divBdr>
                <w:top w:val="none" w:sz="0" w:space="0" w:color="auto"/>
                <w:left w:val="none" w:sz="0" w:space="0" w:color="auto"/>
                <w:bottom w:val="none" w:sz="0" w:space="0" w:color="auto"/>
                <w:right w:val="none" w:sz="0" w:space="0" w:color="auto"/>
              </w:divBdr>
            </w:div>
          </w:divsChild>
        </w:div>
        <w:div w:id="1003556602">
          <w:marLeft w:val="0"/>
          <w:marRight w:val="0"/>
          <w:marTop w:val="0"/>
          <w:marBottom w:val="0"/>
          <w:divBdr>
            <w:top w:val="none" w:sz="0" w:space="0" w:color="auto"/>
            <w:left w:val="none" w:sz="0" w:space="0" w:color="auto"/>
            <w:bottom w:val="none" w:sz="0" w:space="0" w:color="auto"/>
            <w:right w:val="none" w:sz="0" w:space="0" w:color="auto"/>
          </w:divBdr>
          <w:divsChild>
            <w:div w:id="1565872709">
              <w:marLeft w:val="0"/>
              <w:marRight w:val="0"/>
              <w:marTop w:val="0"/>
              <w:marBottom w:val="0"/>
              <w:divBdr>
                <w:top w:val="none" w:sz="0" w:space="0" w:color="auto"/>
                <w:left w:val="none" w:sz="0" w:space="0" w:color="auto"/>
                <w:bottom w:val="none" w:sz="0" w:space="0" w:color="auto"/>
                <w:right w:val="none" w:sz="0" w:space="0" w:color="auto"/>
              </w:divBdr>
            </w:div>
          </w:divsChild>
        </w:div>
        <w:div w:id="1009213354">
          <w:marLeft w:val="0"/>
          <w:marRight w:val="0"/>
          <w:marTop w:val="0"/>
          <w:marBottom w:val="0"/>
          <w:divBdr>
            <w:top w:val="none" w:sz="0" w:space="0" w:color="auto"/>
            <w:left w:val="none" w:sz="0" w:space="0" w:color="auto"/>
            <w:bottom w:val="none" w:sz="0" w:space="0" w:color="auto"/>
            <w:right w:val="none" w:sz="0" w:space="0" w:color="auto"/>
          </w:divBdr>
          <w:divsChild>
            <w:div w:id="1970040711">
              <w:marLeft w:val="0"/>
              <w:marRight w:val="0"/>
              <w:marTop w:val="0"/>
              <w:marBottom w:val="0"/>
              <w:divBdr>
                <w:top w:val="none" w:sz="0" w:space="0" w:color="auto"/>
                <w:left w:val="none" w:sz="0" w:space="0" w:color="auto"/>
                <w:bottom w:val="none" w:sz="0" w:space="0" w:color="auto"/>
                <w:right w:val="none" w:sz="0" w:space="0" w:color="auto"/>
              </w:divBdr>
            </w:div>
          </w:divsChild>
        </w:div>
        <w:div w:id="1066419593">
          <w:marLeft w:val="0"/>
          <w:marRight w:val="0"/>
          <w:marTop w:val="0"/>
          <w:marBottom w:val="0"/>
          <w:divBdr>
            <w:top w:val="none" w:sz="0" w:space="0" w:color="auto"/>
            <w:left w:val="none" w:sz="0" w:space="0" w:color="auto"/>
            <w:bottom w:val="none" w:sz="0" w:space="0" w:color="auto"/>
            <w:right w:val="none" w:sz="0" w:space="0" w:color="auto"/>
          </w:divBdr>
          <w:divsChild>
            <w:div w:id="1077557857">
              <w:marLeft w:val="0"/>
              <w:marRight w:val="0"/>
              <w:marTop w:val="0"/>
              <w:marBottom w:val="0"/>
              <w:divBdr>
                <w:top w:val="none" w:sz="0" w:space="0" w:color="auto"/>
                <w:left w:val="none" w:sz="0" w:space="0" w:color="auto"/>
                <w:bottom w:val="none" w:sz="0" w:space="0" w:color="auto"/>
                <w:right w:val="none" w:sz="0" w:space="0" w:color="auto"/>
              </w:divBdr>
            </w:div>
          </w:divsChild>
        </w:div>
        <w:div w:id="1073356607">
          <w:marLeft w:val="0"/>
          <w:marRight w:val="0"/>
          <w:marTop w:val="0"/>
          <w:marBottom w:val="0"/>
          <w:divBdr>
            <w:top w:val="none" w:sz="0" w:space="0" w:color="auto"/>
            <w:left w:val="none" w:sz="0" w:space="0" w:color="auto"/>
            <w:bottom w:val="none" w:sz="0" w:space="0" w:color="auto"/>
            <w:right w:val="none" w:sz="0" w:space="0" w:color="auto"/>
          </w:divBdr>
          <w:divsChild>
            <w:div w:id="1403680981">
              <w:marLeft w:val="0"/>
              <w:marRight w:val="0"/>
              <w:marTop w:val="0"/>
              <w:marBottom w:val="0"/>
              <w:divBdr>
                <w:top w:val="none" w:sz="0" w:space="0" w:color="auto"/>
                <w:left w:val="none" w:sz="0" w:space="0" w:color="auto"/>
                <w:bottom w:val="none" w:sz="0" w:space="0" w:color="auto"/>
                <w:right w:val="none" w:sz="0" w:space="0" w:color="auto"/>
              </w:divBdr>
            </w:div>
          </w:divsChild>
        </w:div>
        <w:div w:id="1075594378">
          <w:marLeft w:val="0"/>
          <w:marRight w:val="0"/>
          <w:marTop w:val="0"/>
          <w:marBottom w:val="0"/>
          <w:divBdr>
            <w:top w:val="none" w:sz="0" w:space="0" w:color="auto"/>
            <w:left w:val="none" w:sz="0" w:space="0" w:color="auto"/>
            <w:bottom w:val="none" w:sz="0" w:space="0" w:color="auto"/>
            <w:right w:val="none" w:sz="0" w:space="0" w:color="auto"/>
          </w:divBdr>
          <w:divsChild>
            <w:div w:id="364714591">
              <w:marLeft w:val="0"/>
              <w:marRight w:val="0"/>
              <w:marTop w:val="0"/>
              <w:marBottom w:val="0"/>
              <w:divBdr>
                <w:top w:val="none" w:sz="0" w:space="0" w:color="auto"/>
                <w:left w:val="none" w:sz="0" w:space="0" w:color="auto"/>
                <w:bottom w:val="none" w:sz="0" w:space="0" w:color="auto"/>
                <w:right w:val="none" w:sz="0" w:space="0" w:color="auto"/>
              </w:divBdr>
            </w:div>
          </w:divsChild>
        </w:div>
        <w:div w:id="1088774412">
          <w:marLeft w:val="0"/>
          <w:marRight w:val="0"/>
          <w:marTop w:val="0"/>
          <w:marBottom w:val="0"/>
          <w:divBdr>
            <w:top w:val="none" w:sz="0" w:space="0" w:color="auto"/>
            <w:left w:val="none" w:sz="0" w:space="0" w:color="auto"/>
            <w:bottom w:val="none" w:sz="0" w:space="0" w:color="auto"/>
            <w:right w:val="none" w:sz="0" w:space="0" w:color="auto"/>
          </w:divBdr>
          <w:divsChild>
            <w:div w:id="408305310">
              <w:marLeft w:val="0"/>
              <w:marRight w:val="0"/>
              <w:marTop w:val="0"/>
              <w:marBottom w:val="0"/>
              <w:divBdr>
                <w:top w:val="none" w:sz="0" w:space="0" w:color="auto"/>
                <w:left w:val="none" w:sz="0" w:space="0" w:color="auto"/>
                <w:bottom w:val="none" w:sz="0" w:space="0" w:color="auto"/>
                <w:right w:val="none" w:sz="0" w:space="0" w:color="auto"/>
              </w:divBdr>
            </w:div>
          </w:divsChild>
        </w:div>
        <w:div w:id="1101216965">
          <w:marLeft w:val="0"/>
          <w:marRight w:val="0"/>
          <w:marTop w:val="0"/>
          <w:marBottom w:val="0"/>
          <w:divBdr>
            <w:top w:val="none" w:sz="0" w:space="0" w:color="auto"/>
            <w:left w:val="none" w:sz="0" w:space="0" w:color="auto"/>
            <w:bottom w:val="none" w:sz="0" w:space="0" w:color="auto"/>
            <w:right w:val="none" w:sz="0" w:space="0" w:color="auto"/>
          </w:divBdr>
          <w:divsChild>
            <w:div w:id="199173558">
              <w:marLeft w:val="0"/>
              <w:marRight w:val="0"/>
              <w:marTop w:val="0"/>
              <w:marBottom w:val="0"/>
              <w:divBdr>
                <w:top w:val="none" w:sz="0" w:space="0" w:color="auto"/>
                <w:left w:val="none" w:sz="0" w:space="0" w:color="auto"/>
                <w:bottom w:val="none" w:sz="0" w:space="0" w:color="auto"/>
                <w:right w:val="none" w:sz="0" w:space="0" w:color="auto"/>
              </w:divBdr>
            </w:div>
          </w:divsChild>
        </w:div>
        <w:div w:id="1119684369">
          <w:marLeft w:val="0"/>
          <w:marRight w:val="0"/>
          <w:marTop w:val="0"/>
          <w:marBottom w:val="0"/>
          <w:divBdr>
            <w:top w:val="none" w:sz="0" w:space="0" w:color="auto"/>
            <w:left w:val="none" w:sz="0" w:space="0" w:color="auto"/>
            <w:bottom w:val="none" w:sz="0" w:space="0" w:color="auto"/>
            <w:right w:val="none" w:sz="0" w:space="0" w:color="auto"/>
          </w:divBdr>
          <w:divsChild>
            <w:div w:id="772020928">
              <w:marLeft w:val="0"/>
              <w:marRight w:val="0"/>
              <w:marTop w:val="0"/>
              <w:marBottom w:val="0"/>
              <w:divBdr>
                <w:top w:val="none" w:sz="0" w:space="0" w:color="auto"/>
                <w:left w:val="none" w:sz="0" w:space="0" w:color="auto"/>
                <w:bottom w:val="none" w:sz="0" w:space="0" w:color="auto"/>
                <w:right w:val="none" w:sz="0" w:space="0" w:color="auto"/>
              </w:divBdr>
            </w:div>
          </w:divsChild>
        </w:div>
        <w:div w:id="1129738508">
          <w:marLeft w:val="0"/>
          <w:marRight w:val="0"/>
          <w:marTop w:val="0"/>
          <w:marBottom w:val="0"/>
          <w:divBdr>
            <w:top w:val="none" w:sz="0" w:space="0" w:color="auto"/>
            <w:left w:val="none" w:sz="0" w:space="0" w:color="auto"/>
            <w:bottom w:val="none" w:sz="0" w:space="0" w:color="auto"/>
            <w:right w:val="none" w:sz="0" w:space="0" w:color="auto"/>
          </w:divBdr>
          <w:divsChild>
            <w:div w:id="123232104">
              <w:marLeft w:val="0"/>
              <w:marRight w:val="0"/>
              <w:marTop w:val="0"/>
              <w:marBottom w:val="0"/>
              <w:divBdr>
                <w:top w:val="none" w:sz="0" w:space="0" w:color="auto"/>
                <w:left w:val="none" w:sz="0" w:space="0" w:color="auto"/>
                <w:bottom w:val="none" w:sz="0" w:space="0" w:color="auto"/>
                <w:right w:val="none" w:sz="0" w:space="0" w:color="auto"/>
              </w:divBdr>
            </w:div>
          </w:divsChild>
        </w:div>
        <w:div w:id="1141775243">
          <w:marLeft w:val="0"/>
          <w:marRight w:val="0"/>
          <w:marTop w:val="0"/>
          <w:marBottom w:val="0"/>
          <w:divBdr>
            <w:top w:val="none" w:sz="0" w:space="0" w:color="auto"/>
            <w:left w:val="none" w:sz="0" w:space="0" w:color="auto"/>
            <w:bottom w:val="none" w:sz="0" w:space="0" w:color="auto"/>
            <w:right w:val="none" w:sz="0" w:space="0" w:color="auto"/>
          </w:divBdr>
          <w:divsChild>
            <w:div w:id="437146038">
              <w:marLeft w:val="0"/>
              <w:marRight w:val="0"/>
              <w:marTop w:val="0"/>
              <w:marBottom w:val="0"/>
              <w:divBdr>
                <w:top w:val="none" w:sz="0" w:space="0" w:color="auto"/>
                <w:left w:val="none" w:sz="0" w:space="0" w:color="auto"/>
                <w:bottom w:val="none" w:sz="0" w:space="0" w:color="auto"/>
                <w:right w:val="none" w:sz="0" w:space="0" w:color="auto"/>
              </w:divBdr>
            </w:div>
          </w:divsChild>
        </w:div>
        <w:div w:id="1144467878">
          <w:marLeft w:val="0"/>
          <w:marRight w:val="0"/>
          <w:marTop w:val="0"/>
          <w:marBottom w:val="0"/>
          <w:divBdr>
            <w:top w:val="none" w:sz="0" w:space="0" w:color="auto"/>
            <w:left w:val="none" w:sz="0" w:space="0" w:color="auto"/>
            <w:bottom w:val="none" w:sz="0" w:space="0" w:color="auto"/>
            <w:right w:val="none" w:sz="0" w:space="0" w:color="auto"/>
          </w:divBdr>
          <w:divsChild>
            <w:div w:id="584002221">
              <w:marLeft w:val="0"/>
              <w:marRight w:val="0"/>
              <w:marTop w:val="0"/>
              <w:marBottom w:val="0"/>
              <w:divBdr>
                <w:top w:val="none" w:sz="0" w:space="0" w:color="auto"/>
                <w:left w:val="none" w:sz="0" w:space="0" w:color="auto"/>
                <w:bottom w:val="none" w:sz="0" w:space="0" w:color="auto"/>
                <w:right w:val="none" w:sz="0" w:space="0" w:color="auto"/>
              </w:divBdr>
            </w:div>
          </w:divsChild>
        </w:div>
        <w:div w:id="1161384951">
          <w:marLeft w:val="0"/>
          <w:marRight w:val="0"/>
          <w:marTop w:val="0"/>
          <w:marBottom w:val="0"/>
          <w:divBdr>
            <w:top w:val="none" w:sz="0" w:space="0" w:color="auto"/>
            <w:left w:val="none" w:sz="0" w:space="0" w:color="auto"/>
            <w:bottom w:val="none" w:sz="0" w:space="0" w:color="auto"/>
            <w:right w:val="none" w:sz="0" w:space="0" w:color="auto"/>
          </w:divBdr>
          <w:divsChild>
            <w:div w:id="543254770">
              <w:marLeft w:val="0"/>
              <w:marRight w:val="0"/>
              <w:marTop w:val="0"/>
              <w:marBottom w:val="0"/>
              <w:divBdr>
                <w:top w:val="none" w:sz="0" w:space="0" w:color="auto"/>
                <w:left w:val="none" w:sz="0" w:space="0" w:color="auto"/>
                <w:bottom w:val="none" w:sz="0" w:space="0" w:color="auto"/>
                <w:right w:val="none" w:sz="0" w:space="0" w:color="auto"/>
              </w:divBdr>
            </w:div>
          </w:divsChild>
        </w:div>
        <w:div w:id="1183546489">
          <w:marLeft w:val="0"/>
          <w:marRight w:val="0"/>
          <w:marTop w:val="0"/>
          <w:marBottom w:val="0"/>
          <w:divBdr>
            <w:top w:val="none" w:sz="0" w:space="0" w:color="auto"/>
            <w:left w:val="none" w:sz="0" w:space="0" w:color="auto"/>
            <w:bottom w:val="none" w:sz="0" w:space="0" w:color="auto"/>
            <w:right w:val="none" w:sz="0" w:space="0" w:color="auto"/>
          </w:divBdr>
          <w:divsChild>
            <w:div w:id="764231176">
              <w:marLeft w:val="0"/>
              <w:marRight w:val="0"/>
              <w:marTop w:val="0"/>
              <w:marBottom w:val="0"/>
              <w:divBdr>
                <w:top w:val="none" w:sz="0" w:space="0" w:color="auto"/>
                <w:left w:val="none" w:sz="0" w:space="0" w:color="auto"/>
                <w:bottom w:val="none" w:sz="0" w:space="0" w:color="auto"/>
                <w:right w:val="none" w:sz="0" w:space="0" w:color="auto"/>
              </w:divBdr>
            </w:div>
          </w:divsChild>
        </w:div>
        <w:div w:id="1239945238">
          <w:marLeft w:val="0"/>
          <w:marRight w:val="0"/>
          <w:marTop w:val="0"/>
          <w:marBottom w:val="0"/>
          <w:divBdr>
            <w:top w:val="none" w:sz="0" w:space="0" w:color="auto"/>
            <w:left w:val="none" w:sz="0" w:space="0" w:color="auto"/>
            <w:bottom w:val="none" w:sz="0" w:space="0" w:color="auto"/>
            <w:right w:val="none" w:sz="0" w:space="0" w:color="auto"/>
          </w:divBdr>
          <w:divsChild>
            <w:div w:id="1812946132">
              <w:marLeft w:val="0"/>
              <w:marRight w:val="0"/>
              <w:marTop w:val="0"/>
              <w:marBottom w:val="0"/>
              <w:divBdr>
                <w:top w:val="none" w:sz="0" w:space="0" w:color="auto"/>
                <w:left w:val="none" w:sz="0" w:space="0" w:color="auto"/>
                <w:bottom w:val="none" w:sz="0" w:space="0" w:color="auto"/>
                <w:right w:val="none" w:sz="0" w:space="0" w:color="auto"/>
              </w:divBdr>
            </w:div>
          </w:divsChild>
        </w:div>
        <w:div w:id="1255898275">
          <w:marLeft w:val="0"/>
          <w:marRight w:val="0"/>
          <w:marTop w:val="0"/>
          <w:marBottom w:val="0"/>
          <w:divBdr>
            <w:top w:val="none" w:sz="0" w:space="0" w:color="auto"/>
            <w:left w:val="none" w:sz="0" w:space="0" w:color="auto"/>
            <w:bottom w:val="none" w:sz="0" w:space="0" w:color="auto"/>
            <w:right w:val="none" w:sz="0" w:space="0" w:color="auto"/>
          </w:divBdr>
          <w:divsChild>
            <w:div w:id="1217206849">
              <w:marLeft w:val="0"/>
              <w:marRight w:val="0"/>
              <w:marTop w:val="0"/>
              <w:marBottom w:val="0"/>
              <w:divBdr>
                <w:top w:val="none" w:sz="0" w:space="0" w:color="auto"/>
                <w:left w:val="none" w:sz="0" w:space="0" w:color="auto"/>
                <w:bottom w:val="none" w:sz="0" w:space="0" w:color="auto"/>
                <w:right w:val="none" w:sz="0" w:space="0" w:color="auto"/>
              </w:divBdr>
            </w:div>
          </w:divsChild>
        </w:div>
        <w:div w:id="1265841064">
          <w:marLeft w:val="0"/>
          <w:marRight w:val="0"/>
          <w:marTop w:val="0"/>
          <w:marBottom w:val="0"/>
          <w:divBdr>
            <w:top w:val="none" w:sz="0" w:space="0" w:color="auto"/>
            <w:left w:val="none" w:sz="0" w:space="0" w:color="auto"/>
            <w:bottom w:val="none" w:sz="0" w:space="0" w:color="auto"/>
            <w:right w:val="none" w:sz="0" w:space="0" w:color="auto"/>
          </w:divBdr>
          <w:divsChild>
            <w:div w:id="354699624">
              <w:marLeft w:val="0"/>
              <w:marRight w:val="0"/>
              <w:marTop w:val="0"/>
              <w:marBottom w:val="0"/>
              <w:divBdr>
                <w:top w:val="none" w:sz="0" w:space="0" w:color="auto"/>
                <w:left w:val="none" w:sz="0" w:space="0" w:color="auto"/>
                <w:bottom w:val="none" w:sz="0" w:space="0" w:color="auto"/>
                <w:right w:val="none" w:sz="0" w:space="0" w:color="auto"/>
              </w:divBdr>
            </w:div>
          </w:divsChild>
        </w:div>
        <w:div w:id="1270120059">
          <w:marLeft w:val="0"/>
          <w:marRight w:val="0"/>
          <w:marTop w:val="0"/>
          <w:marBottom w:val="0"/>
          <w:divBdr>
            <w:top w:val="none" w:sz="0" w:space="0" w:color="auto"/>
            <w:left w:val="none" w:sz="0" w:space="0" w:color="auto"/>
            <w:bottom w:val="none" w:sz="0" w:space="0" w:color="auto"/>
            <w:right w:val="none" w:sz="0" w:space="0" w:color="auto"/>
          </w:divBdr>
          <w:divsChild>
            <w:div w:id="973560677">
              <w:marLeft w:val="0"/>
              <w:marRight w:val="0"/>
              <w:marTop w:val="0"/>
              <w:marBottom w:val="0"/>
              <w:divBdr>
                <w:top w:val="none" w:sz="0" w:space="0" w:color="auto"/>
                <w:left w:val="none" w:sz="0" w:space="0" w:color="auto"/>
                <w:bottom w:val="none" w:sz="0" w:space="0" w:color="auto"/>
                <w:right w:val="none" w:sz="0" w:space="0" w:color="auto"/>
              </w:divBdr>
            </w:div>
          </w:divsChild>
        </w:div>
        <w:div w:id="1302926172">
          <w:marLeft w:val="0"/>
          <w:marRight w:val="0"/>
          <w:marTop w:val="0"/>
          <w:marBottom w:val="0"/>
          <w:divBdr>
            <w:top w:val="none" w:sz="0" w:space="0" w:color="auto"/>
            <w:left w:val="none" w:sz="0" w:space="0" w:color="auto"/>
            <w:bottom w:val="none" w:sz="0" w:space="0" w:color="auto"/>
            <w:right w:val="none" w:sz="0" w:space="0" w:color="auto"/>
          </w:divBdr>
          <w:divsChild>
            <w:div w:id="2091657247">
              <w:marLeft w:val="0"/>
              <w:marRight w:val="0"/>
              <w:marTop w:val="0"/>
              <w:marBottom w:val="0"/>
              <w:divBdr>
                <w:top w:val="none" w:sz="0" w:space="0" w:color="auto"/>
                <w:left w:val="none" w:sz="0" w:space="0" w:color="auto"/>
                <w:bottom w:val="none" w:sz="0" w:space="0" w:color="auto"/>
                <w:right w:val="none" w:sz="0" w:space="0" w:color="auto"/>
              </w:divBdr>
            </w:div>
          </w:divsChild>
        </w:div>
        <w:div w:id="1312293796">
          <w:marLeft w:val="0"/>
          <w:marRight w:val="0"/>
          <w:marTop w:val="0"/>
          <w:marBottom w:val="0"/>
          <w:divBdr>
            <w:top w:val="none" w:sz="0" w:space="0" w:color="auto"/>
            <w:left w:val="none" w:sz="0" w:space="0" w:color="auto"/>
            <w:bottom w:val="none" w:sz="0" w:space="0" w:color="auto"/>
            <w:right w:val="none" w:sz="0" w:space="0" w:color="auto"/>
          </w:divBdr>
          <w:divsChild>
            <w:div w:id="1947106411">
              <w:marLeft w:val="0"/>
              <w:marRight w:val="0"/>
              <w:marTop w:val="0"/>
              <w:marBottom w:val="0"/>
              <w:divBdr>
                <w:top w:val="none" w:sz="0" w:space="0" w:color="auto"/>
                <w:left w:val="none" w:sz="0" w:space="0" w:color="auto"/>
                <w:bottom w:val="none" w:sz="0" w:space="0" w:color="auto"/>
                <w:right w:val="none" w:sz="0" w:space="0" w:color="auto"/>
              </w:divBdr>
            </w:div>
          </w:divsChild>
        </w:div>
        <w:div w:id="1342783164">
          <w:marLeft w:val="0"/>
          <w:marRight w:val="0"/>
          <w:marTop w:val="0"/>
          <w:marBottom w:val="0"/>
          <w:divBdr>
            <w:top w:val="none" w:sz="0" w:space="0" w:color="auto"/>
            <w:left w:val="none" w:sz="0" w:space="0" w:color="auto"/>
            <w:bottom w:val="none" w:sz="0" w:space="0" w:color="auto"/>
            <w:right w:val="none" w:sz="0" w:space="0" w:color="auto"/>
          </w:divBdr>
          <w:divsChild>
            <w:div w:id="1314140052">
              <w:marLeft w:val="0"/>
              <w:marRight w:val="0"/>
              <w:marTop w:val="0"/>
              <w:marBottom w:val="0"/>
              <w:divBdr>
                <w:top w:val="none" w:sz="0" w:space="0" w:color="auto"/>
                <w:left w:val="none" w:sz="0" w:space="0" w:color="auto"/>
                <w:bottom w:val="none" w:sz="0" w:space="0" w:color="auto"/>
                <w:right w:val="none" w:sz="0" w:space="0" w:color="auto"/>
              </w:divBdr>
            </w:div>
          </w:divsChild>
        </w:div>
        <w:div w:id="1356080691">
          <w:marLeft w:val="0"/>
          <w:marRight w:val="0"/>
          <w:marTop w:val="0"/>
          <w:marBottom w:val="0"/>
          <w:divBdr>
            <w:top w:val="none" w:sz="0" w:space="0" w:color="auto"/>
            <w:left w:val="none" w:sz="0" w:space="0" w:color="auto"/>
            <w:bottom w:val="none" w:sz="0" w:space="0" w:color="auto"/>
            <w:right w:val="none" w:sz="0" w:space="0" w:color="auto"/>
          </w:divBdr>
          <w:divsChild>
            <w:div w:id="852064146">
              <w:marLeft w:val="0"/>
              <w:marRight w:val="0"/>
              <w:marTop w:val="0"/>
              <w:marBottom w:val="0"/>
              <w:divBdr>
                <w:top w:val="none" w:sz="0" w:space="0" w:color="auto"/>
                <w:left w:val="none" w:sz="0" w:space="0" w:color="auto"/>
                <w:bottom w:val="none" w:sz="0" w:space="0" w:color="auto"/>
                <w:right w:val="none" w:sz="0" w:space="0" w:color="auto"/>
              </w:divBdr>
            </w:div>
          </w:divsChild>
        </w:div>
        <w:div w:id="1375471198">
          <w:marLeft w:val="0"/>
          <w:marRight w:val="0"/>
          <w:marTop w:val="0"/>
          <w:marBottom w:val="0"/>
          <w:divBdr>
            <w:top w:val="none" w:sz="0" w:space="0" w:color="auto"/>
            <w:left w:val="none" w:sz="0" w:space="0" w:color="auto"/>
            <w:bottom w:val="none" w:sz="0" w:space="0" w:color="auto"/>
            <w:right w:val="none" w:sz="0" w:space="0" w:color="auto"/>
          </w:divBdr>
          <w:divsChild>
            <w:div w:id="1123883906">
              <w:marLeft w:val="0"/>
              <w:marRight w:val="0"/>
              <w:marTop w:val="0"/>
              <w:marBottom w:val="0"/>
              <w:divBdr>
                <w:top w:val="none" w:sz="0" w:space="0" w:color="auto"/>
                <w:left w:val="none" w:sz="0" w:space="0" w:color="auto"/>
                <w:bottom w:val="none" w:sz="0" w:space="0" w:color="auto"/>
                <w:right w:val="none" w:sz="0" w:space="0" w:color="auto"/>
              </w:divBdr>
            </w:div>
          </w:divsChild>
        </w:div>
        <w:div w:id="1378889913">
          <w:marLeft w:val="0"/>
          <w:marRight w:val="0"/>
          <w:marTop w:val="0"/>
          <w:marBottom w:val="0"/>
          <w:divBdr>
            <w:top w:val="none" w:sz="0" w:space="0" w:color="auto"/>
            <w:left w:val="none" w:sz="0" w:space="0" w:color="auto"/>
            <w:bottom w:val="none" w:sz="0" w:space="0" w:color="auto"/>
            <w:right w:val="none" w:sz="0" w:space="0" w:color="auto"/>
          </w:divBdr>
          <w:divsChild>
            <w:div w:id="2141528535">
              <w:marLeft w:val="0"/>
              <w:marRight w:val="0"/>
              <w:marTop w:val="0"/>
              <w:marBottom w:val="0"/>
              <w:divBdr>
                <w:top w:val="none" w:sz="0" w:space="0" w:color="auto"/>
                <w:left w:val="none" w:sz="0" w:space="0" w:color="auto"/>
                <w:bottom w:val="none" w:sz="0" w:space="0" w:color="auto"/>
                <w:right w:val="none" w:sz="0" w:space="0" w:color="auto"/>
              </w:divBdr>
            </w:div>
          </w:divsChild>
        </w:div>
        <w:div w:id="1388451242">
          <w:marLeft w:val="0"/>
          <w:marRight w:val="0"/>
          <w:marTop w:val="0"/>
          <w:marBottom w:val="0"/>
          <w:divBdr>
            <w:top w:val="none" w:sz="0" w:space="0" w:color="auto"/>
            <w:left w:val="none" w:sz="0" w:space="0" w:color="auto"/>
            <w:bottom w:val="none" w:sz="0" w:space="0" w:color="auto"/>
            <w:right w:val="none" w:sz="0" w:space="0" w:color="auto"/>
          </w:divBdr>
          <w:divsChild>
            <w:div w:id="1060977794">
              <w:marLeft w:val="0"/>
              <w:marRight w:val="0"/>
              <w:marTop w:val="0"/>
              <w:marBottom w:val="0"/>
              <w:divBdr>
                <w:top w:val="none" w:sz="0" w:space="0" w:color="auto"/>
                <w:left w:val="none" w:sz="0" w:space="0" w:color="auto"/>
                <w:bottom w:val="none" w:sz="0" w:space="0" w:color="auto"/>
                <w:right w:val="none" w:sz="0" w:space="0" w:color="auto"/>
              </w:divBdr>
            </w:div>
          </w:divsChild>
        </w:div>
        <w:div w:id="1441602627">
          <w:marLeft w:val="0"/>
          <w:marRight w:val="0"/>
          <w:marTop w:val="0"/>
          <w:marBottom w:val="0"/>
          <w:divBdr>
            <w:top w:val="none" w:sz="0" w:space="0" w:color="auto"/>
            <w:left w:val="none" w:sz="0" w:space="0" w:color="auto"/>
            <w:bottom w:val="none" w:sz="0" w:space="0" w:color="auto"/>
            <w:right w:val="none" w:sz="0" w:space="0" w:color="auto"/>
          </w:divBdr>
          <w:divsChild>
            <w:div w:id="21329370">
              <w:marLeft w:val="0"/>
              <w:marRight w:val="0"/>
              <w:marTop w:val="0"/>
              <w:marBottom w:val="0"/>
              <w:divBdr>
                <w:top w:val="none" w:sz="0" w:space="0" w:color="auto"/>
                <w:left w:val="none" w:sz="0" w:space="0" w:color="auto"/>
                <w:bottom w:val="none" w:sz="0" w:space="0" w:color="auto"/>
                <w:right w:val="none" w:sz="0" w:space="0" w:color="auto"/>
              </w:divBdr>
            </w:div>
          </w:divsChild>
        </w:div>
        <w:div w:id="1474449265">
          <w:marLeft w:val="0"/>
          <w:marRight w:val="0"/>
          <w:marTop w:val="0"/>
          <w:marBottom w:val="0"/>
          <w:divBdr>
            <w:top w:val="none" w:sz="0" w:space="0" w:color="auto"/>
            <w:left w:val="none" w:sz="0" w:space="0" w:color="auto"/>
            <w:bottom w:val="none" w:sz="0" w:space="0" w:color="auto"/>
            <w:right w:val="none" w:sz="0" w:space="0" w:color="auto"/>
          </w:divBdr>
          <w:divsChild>
            <w:div w:id="781530925">
              <w:marLeft w:val="0"/>
              <w:marRight w:val="0"/>
              <w:marTop w:val="0"/>
              <w:marBottom w:val="0"/>
              <w:divBdr>
                <w:top w:val="none" w:sz="0" w:space="0" w:color="auto"/>
                <w:left w:val="none" w:sz="0" w:space="0" w:color="auto"/>
                <w:bottom w:val="none" w:sz="0" w:space="0" w:color="auto"/>
                <w:right w:val="none" w:sz="0" w:space="0" w:color="auto"/>
              </w:divBdr>
            </w:div>
          </w:divsChild>
        </w:div>
        <w:div w:id="1511404967">
          <w:marLeft w:val="0"/>
          <w:marRight w:val="0"/>
          <w:marTop w:val="0"/>
          <w:marBottom w:val="0"/>
          <w:divBdr>
            <w:top w:val="none" w:sz="0" w:space="0" w:color="auto"/>
            <w:left w:val="none" w:sz="0" w:space="0" w:color="auto"/>
            <w:bottom w:val="none" w:sz="0" w:space="0" w:color="auto"/>
            <w:right w:val="none" w:sz="0" w:space="0" w:color="auto"/>
          </w:divBdr>
          <w:divsChild>
            <w:div w:id="1059673340">
              <w:marLeft w:val="0"/>
              <w:marRight w:val="0"/>
              <w:marTop w:val="0"/>
              <w:marBottom w:val="0"/>
              <w:divBdr>
                <w:top w:val="none" w:sz="0" w:space="0" w:color="auto"/>
                <w:left w:val="none" w:sz="0" w:space="0" w:color="auto"/>
                <w:bottom w:val="none" w:sz="0" w:space="0" w:color="auto"/>
                <w:right w:val="none" w:sz="0" w:space="0" w:color="auto"/>
              </w:divBdr>
            </w:div>
          </w:divsChild>
        </w:div>
        <w:div w:id="1549344241">
          <w:marLeft w:val="0"/>
          <w:marRight w:val="0"/>
          <w:marTop w:val="0"/>
          <w:marBottom w:val="0"/>
          <w:divBdr>
            <w:top w:val="none" w:sz="0" w:space="0" w:color="auto"/>
            <w:left w:val="none" w:sz="0" w:space="0" w:color="auto"/>
            <w:bottom w:val="none" w:sz="0" w:space="0" w:color="auto"/>
            <w:right w:val="none" w:sz="0" w:space="0" w:color="auto"/>
          </w:divBdr>
          <w:divsChild>
            <w:div w:id="668753178">
              <w:marLeft w:val="0"/>
              <w:marRight w:val="0"/>
              <w:marTop w:val="0"/>
              <w:marBottom w:val="0"/>
              <w:divBdr>
                <w:top w:val="none" w:sz="0" w:space="0" w:color="auto"/>
                <w:left w:val="none" w:sz="0" w:space="0" w:color="auto"/>
                <w:bottom w:val="none" w:sz="0" w:space="0" w:color="auto"/>
                <w:right w:val="none" w:sz="0" w:space="0" w:color="auto"/>
              </w:divBdr>
            </w:div>
          </w:divsChild>
        </w:div>
        <w:div w:id="1572159047">
          <w:marLeft w:val="0"/>
          <w:marRight w:val="0"/>
          <w:marTop w:val="0"/>
          <w:marBottom w:val="0"/>
          <w:divBdr>
            <w:top w:val="none" w:sz="0" w:space="0" w:color="auto"/>
            <w:left w:val="none" w:sz="0" w:space="0" w:color="auto"/>
            <w:bottom w:val="none" w:sz="0" w:space="0" w:color="auto"/>
            <w:right w:val="none" w:sz="0" w:space="0" w:color="auto"/>
          </w:divBdr>
          <w:divsChild>
            <w:div w:id="1298874805">
              <w:marLeft w:val="0"/>
              <w:marRight w:val="0"/>
              <w:marTop w:val="0"/>
              <w:marBottom w:val="0"/>
              <w:divBdr>
                <w:top w:val="none" w:sz="0" w:space="0" w:color="auto"/>
                <w:left w:val="none" w:sz="0" w:space="0" w:color="auto"/>
                <w:bottom w:val="none" w:sz="0" w:space="0" w:color="auto"/>
                <w:right w:val="none" w:sz="0" w:space="0" w:color="auto"/>
              </w:divBdr>
            </w:div>
          </w:divsChild>
        </w:div>
        <w:div w:id="1605305939">
          <w:marLeft w:val="0"/>
          <w:marRight w:val="0"/>
          <w:marTop w:val="0"/>
          <w:marBottom w:val="0"/>
          <w:divBdr>
            <w:top w:val="none" w:sz="0" w:space="0" w:color="auto"/>
            <w:left w:val="none" w:sz="0" w:space="0" w:color="auto"/>
            <w:bottom w:val="none" w:sz="0" w:space="0" w:color="auto"/>
            <w:right w:val="none" w:sz="0" w:space="0" w:color="auto"/>
          </w:divBdr>
          <w:divsChild>
            <w:div w:id="814181309">
              <w:marLeft w:val="0"/>
              <w:marRight w:val="0"/>
              <w:marTop w:val="0"/>
              <w:marBottom w:val="0"/>
              <w:divBdr>
                <w:top w:val="none" w:sz="0" w:space="0" w:color="auto"/>
                <w:left w:val="none" w:sz="0" w:space="0" w:color="auto"/>
                <w:bottom w:val="none" w:sz="0" w:space="0" w:color="auto"/>
                <w:right w:val="none" w:sz="0" w:space="0" w:color="auto"/>
              </w:divBdr>
            </w:div>
          </w:divsChild>
        </w:div>
        <w:div w:id="1622688794">
          <w:marLeft w:val="0"/>
          <w:marRight w:val="0"/>
          <w:marTop w:val="0"/>
          <w:marBottom w:val="0"/>
          <w:divBdr>
            <w:top w:val="none" w:sz="0" w:space="0" w:color="auto"/>
            <w:left w:val="none" w:sz="0" w:space="0" w:color="auto"/>
            <w:bottom w:val="none" w:sz="0" w:space="0" w:color="auto"/>
            <w:right w:val="none" w:sz="0" w:space="0" w:color="auto"/>
          </w:divBdr>
          <w:divsChild>
            <w:div w:id="1250194332">
              <w:marLeft w:val="0"/>
              <w:marRight w:val="0"/>
              <w:marTop w:val="0"/>
              <w:marBottom w:val="0"/>
              <w:divBdr>
                <w:top w:val="none" w:sz="0" w:space="0" w:color="auto"/>
                <w:left w:val="none" w:sz="0" w:space="0" w:color="auto"/>
                <w:bottom w:val="none" w:sz="0" w:space="0" w:color="auto"/>
                <w:right w:val="none" w:sz="0" w:space="0" w:color="auto"/>
              </w:divBdr>
            </w:div>
          </w:divsChild>
        </w:div>
        <w:div w:id="1650406292">
          <w:marLeft w:val="0"/>
          <w:marRight w:val="0"/>
          <w:marTop w:val="0"/>
          <w:marBottom w:val="0"/>
          <w:divBdr>
            <w:top w:val="none" w:sz="0" w:space="0" w:color="auto"/>
            <w:left w:val="none" w:sz="0" w:space="0" w:color="auto"/>
            <w:bottom w:val="none" w:sz="0" w:space="0" w:color="auto"/>
            <w:right w:val="none" w:sz="0" w:space="0" w:color="auto"/>
          </w:divBdr>
          <w:divsChild>
            <w:div w:id="701175228">
              <w:marLeft w:val="0"/>
              <w:marRight w:val="0"/>
              <w:marTop w:val="0"/>
              <w:marBottom w:val="0"/>
              <w:divBdr>
                <w:top w:val="none" w:sz="0" w:space="0" w:color="auto"/>
                <w:left w:val="none" w:sz="0" w:space="0" w:color="auto"/>
                <w:bottom w:val="none" w:sz="0" w:space="0" w:color="auto"/>
                <w:right w:val="none" w:sz="0" w:space="0" w:color="auto"/>
              </w:divBdr>
            </w:div>
          </w:divsChild>
        </w:div>
        <w:div w:id="1673217315">
          <w:marLeft w:val="0"/>
          <w:marRight w:val="0"/>
          <w:marTop w:val="0"/>
          <w:marBottom w:val="0"/>
          <w:divBdr>
            <w:top w:val="none" w:sz="0" w:space="0" w:color="auto"/>
            <w:left w:val="none" w:sz="0" w:space="0" w:color="auto"/>
            <w:bottom w:val="none" w:sz="0" w:space="0" w:color="auto"/>
            <w:right w:val="none" w:sz="0" w:space="0" w:color="auto"/>
          </w:divBdr>
          <w:divsChild>
            <w:div w:id="1305234607">
              <w:marLeft w:val="0"/>
              <w:marRight w:val="0"/>
              <w:marTop w:val="0"/>
              <w:marBottom w:val="0"/>
              <w:divBdr>
                <w:top w:val="none" w:sz="0" w:space="0" w:color="auto"/>
                <w:left w:val="none" w:sz="0" w:space="0" w:color="auto"/>
                <w:bottom w:val="none" w:sz="0" w:space="0" w:color="auto"/>
                <w:right w:val="none" w:sz="0" w:space="0" w:color="auto"/>
              </w:divBdr>
            </w:div>
          </w:divsChild>
        </w:div>
        <w:div w:id="1705211105">
          <w:marLeft w:val="0"/>
          <w:marRight w:val="0"/>
          <w:marTop w:val="0"/>
          <w:marBottom w:val="0"/>
          <w:divBdr>
            <w:top w:val="none" w:sz="0" w:space="0" w:color="auto"/>
            <w:left w:val="none" w:sz="0" w:space="0" w:color="auto"/>
            <w:bottom w:val="none" w:sz="0" w:space="0" w:color="auto"/>
            <w:right w:val="none" w:sz="0" w:space="0" w:color="auto"/>
          </w:divBdr>
          <w:divsChild>
            <w:div w:id="117259281">
              <w:marLeft w:val="0"/>
              <w:marRight w:val="0"/>
              <w:marTop w:val="0"/>
              <w:marBottom w:val="0"/>
              <w:divBdr>
                <w:top w:val="none" w:sz="0" w:space="0" w:color="auto"/>
                <w:left w:val="none" w:sz="0" w:space="0" w:color="auto"/>
                <w:bottom w:val="none" w:sz="0" w:space="0" w:color="auto"/>
                <w:right w:val="none" w:sz="0" w:space="0" w:color="auto"/>
              </w:divBdr>
            </w:div>
          </w:divsChild>
        </w:div>
        <w:div w:id="1713648107">
          <w:marLeft w:val="0"/>
          <w:marRight w:val="0"/>
          <w:marTop w:val="0"/>
          <w:marBottom w:val="0"/>
          <w:divBdr>
            <w:top w:val="none" w:sz="0" w:space="0" w:color="auto"/>
            <w:left w:val="none" w:sz="0" w:space="0" w:color="auto"/>
            <w:bottom w:val="none" w:sz="0" w:space="0" w:color="auto"/>
            <w:right w:val="none" w:sz="0" w:space="0" w:color="auto"/>
          </w:divBdr>
          <w:divsChild>
            <w:div w:id="204484560">
              <w:marLeft w:val="0"/>
              <w:marRight w:val="0"/>
              <w:marTop w:val="0"/>
              <w:marBottom w:val="0"/>
              <w:divBdr>
                <w:top w:val="none" w:sz="0" w:space="0" w:color="auto"/>
                <w:left w:val="none" w:sz="0" w:space="0" w:color="auto"/>
                <w:bottom w:val="none" w:sz="0" w:space="0" w:color="auto"/>
                <w:right w:val="none" w:sz="0" w:space="0" w:color="auto"/>
              </w:divBdr>
            </w:div>
          </w:divsChild>
        </w:div>
        <w:div w:id="1747343983">
          <w:marLeft w:val="0"/>
          <w:marRight w:val="0"/>
          <w:marTop w:val="0"/>
          <w:marBottom w:val="0"/>
          <w:divBdr>
            <w:top w:val="none" w:sz="0" w:space="0" w:color="auto"/>
            <w:left w:val="none" w:sz="0" w:space="0" w:color="auto"/>
            <w:bottom w:val="none" w:sz="0" w:space="0" w:color="auto"/>
            <w:right w:val="none" w:sz="0" w:space="0" w:color="auto"/>
          </w:divBdr>
          <w:divsChild>
            <w:div w:id="814106755">
              <w:marLeft w:val="0"/>
              <w:marRight w:val="0"/>
              <w:marTop w:val="0"/>
              <w:marBottom w:val="0"/>
              <w:divBdr>
                <w:top w:val="none" w:sz="0" w:space="0" w:color="auto"/>
                <w:left w:val="none" w:sz="0" w:space="0" w:color="auto"/>
                <w:bottom w:val="none" w:sz="0" w:space="0" w:color="auto"/>
                <w:right w:val="none" w:sz="0" w:space="0" w:color="auto"/>
              </w:divBdr>
            </w:div>
          </w:divsChild>
        </w:div>
        <w:div w:id="1796366610">
          <w:marLeft w:val="0"/>
          <w:marRight w:val="0"/>
          <w:marTop w:val="0"/>
          <w:marBottom w:val="0"/>
          <w:divBdr>
            <w:top w:val="none" w:sz="0" w:space="0" w:color="auto"/>
            <w:left w:val="none" w:sz="0" w:space="0" w:color="auto"/>
            <w:bottom w:val="none" w:sz="0" w:space="0" w:color="auto"/>
            <w:right w:val="none" w:sz="0" w:space="0" w:color="auto"/>
          </w:divBdr>
          <w:divsChild>
            <w:div w:id="413748012">
              <w:marLeft w:val="0"/>
              <w:marRight w:val="0"/>
              <w:marTop w:val="0"/>
              <w:marBottom w:val="0"/>
              <w:divBdr>
                <w:top w:val="none" w:sz="0" w:space="0" w:color="auto"/>
                <w:left w:val="none" w:sz="0" w:space="0" w:color="auto"/>
                <w:bottom w:val="none" w:sz="0" w:space="0" w:color="auto"/>
                <w:right w:val="none" w:sz="0" w:space="0" w:color="auto"/>
              </w:divBdr>
            </w:div>
          </w:divsChild>
        </w:div>
        <w:div w:id="1820460796">
          <w:marLeft w:val="0"/>
          <w:marRight w:val="0"/>
          <w:marTop w:val="0"/>
          <w:marBottom w:val="0"/>
          <w:divBdr>
            <w:top w:val="none" w:sz="0" w:space="0" w:color="auto"/>
            <w:left w:val="none" w:sz="0" w:space="0" w:color="auto"/>
            <w:bottom w:val="none" w:sz="0" w:space="0" w:color="auto"/>
            <w:right w:val="none" w:sz="0" w:space="0" w:color="auto"/>
          </w:divBdr>
          <w:divsChild>
            <w:div w:id="670959529">
              <w:marLeft w:val="0"/>
              <w:marRight w:val="0"/>
              <w:marTop w:val="0"/>
              <w:marBottom w:val="0"/>
              <w:divBdr>
                <w:top w:val="none" w:sz="0" w:space="0" w:color="auto"/>
                <w:left w:val="none" w:sz="0" w:space="0" w:color="auto"/>
                <w:bottom w:val="none" w:sz="0" w:space="0" w:color="auto"/>
                <w:right w:val="none" w:sz="0" w:space="0" w:color="auto"/>
              </w:divBdr>
            </w:div>
          </w:divsChild>
        </w:div>
        <w:div w:id="1877615659">
          <w:marLeft w:val="0"/>
          <w:marRight w:val="0"/>
          <w:marTop w:val="0"/>
          <w:marBottom w:val="0"/>
          <w:divBdr>
            <w:top w:val="none" w:sz="0" w:space="0" w:color="auto"/>
            <w:left w:val="none" w:sz="0" w:space="0" w:color="auto"/>
            <w:bottom w:val="none" w:sz="0" w:space="0" w:color="auto"/>
            <w:right w:val="none" w:sz="0" w:space="0" w:color="auto"/>
          </w:divBdr>
          <w:divsChild>
            <w:div w:id="25298273">
              <w:marLeft w:val="0"/>
              <w:marRight w:val="0"/>
              <w:marTop w:val="0"/>
              <w:marBottom w:val="0"/>
              <w:divBdr>
                <w:top w:val="none" w:sz="0" w:space="0" w:color="auto"/>
                <w:left w:val="none" w:sz="0" w:space="0" w:color="auto"/>
                <w:bottom w:val="none" w:sz="0" w:space="0" w:color="auto"/>
                <w:right w:val="none" w:sz="0" w:space="0" w:color="auto"/>
              </w:divBdr>
            </w:div>
            <w:div w:id="309478908">
              <w:marLeft w:val="0"/>
              <w:marRight w:val="0"/>
              <w:marTop w:val="0"/>
              <w:marBottom w:val="0"/>
              <w:divBdr>
                <w:top w:val="none" w:sz="0" w:space="0" w:color="auto"/>
                <w:left w:val="none" w:sz="0" w:space="0" w:color="auto"/>
                <w:bottom w:val="none" w:sz="0" w:space="0" w:color="auto"/>
                <w:right w:val="none" w:sz="0" w:space="0" w:color="auto"/>
              </w:divBdr>
            </w:div>
          </w:divsChild>
        </w:div>
        <w:div w:id="1932930151">
          <w:marLeft w:val="0"/>
          <w:marRight w:val="0"/>
          <w:marTop w:val="0"/>
          <w:marBottom w:val="0"/>
          <w:divBdr>
            <w:top w:val="none" w:sz="0" w:space="0" w:color="auto"/>
            <w:left w:val="none" w:sz="0" w:space="0" w:color="auto"/>
            <w:bottom w:val="none" w:sz="0" w:space="0" w:color="auto"/>
            <w:right w:val="none" w:sz="0" w:space="0" w:color="auto"/>
          </w:divBdr>
          <w:divsChild>
            <w:div w:id="548538662">
              <w:marLeft w:val="0"/>
              <w:marRight w:val="0"/>
              <w:marTop w:val="0"/>
              <w:marBottom w:val="0"/>
              <w:divBdr>
                <w:top w:val="none" w:sz="0" w:space="0" w:color="auto"/>
                <w:left w:val="none" w:sz="0" w:space="0" w:color="auto"/>
                <w:bottom w:val="none" w:sz="0" w:space="0" w:color="auto"/>
                <w:right w:val="none" w:sz="0" w:space="0" w:color="auto"/>
              </w:divBdr>
            </w:div>
          </w:divsChild>
        </w:div>
        <w:div w:id="1942373459">
          <w:marLeft w:val="0"/>
          <w:marRight w:val="0"/>
          <w:marTop w:val="0"/>
          <w:marBottom w:val="0"/>
          <w:divBdr>
            <w:top w:val="none" w:sz="0" w:space="0" w:color="auto"/>
            <w:left w:val="none" w:sz="0" w:space="0" w:color="auto"/>
            <w:bottom w:val="none" w:sz="0" w:space="0" w:color="auto"/>
            <w:right w:val="none" w:sz="0" w:space="0" w:color="auto"/>
          </w:divBdr>
          <w:divsChild>
            <w:div w:id="1427387972">
              <w:marLeft w:val="0"/>
              <w:marRight w:val="0"/>
              <w:marTop w:val="0"/>
              <w:marBottom w:val="0"/>
              <w:divBdr>
                <w:top w:val="none" w:sz="0" w:space="0" w:color="auto"/>
                <w:left w:val="none" w:sz="0" w:space="0" w:color="auto"/>
                <w:bottom w:val="none" w:sz="0" w:space="0" w:color="auto"/>
                <w:right w:val="none" w:sz="0" w:space="0" w:color="auto"/>
              </w:divBdr>
            </w:div>
          </w:divsChild>
        </w:div>
        <w:div w:id="2032104161">
          <w:marLeft w:val="0"/>
          <w:marRight w:val="0"/>
          <w:marTop w:val="0"/>
          <w:marBottom w:val="0"/>
          <w:divBdr>
            <w:top w:val="none" w:sz="0" w:space="0" w:color="auto"/>
            <w:left w:val="none" w:sz="0" w:space="0" w:color="auto"/>
            <w:bottom w:val="none" w:sz="0" w:space="0" w:color="auto"/>
            <w:right w:val="none" w:sz="0" w:space="0" w:color="auto"/>
          </w:divBdr>
          <w:divsChild>
            <w:div w:id="1719477774">
              <w:marLeft w:val="0"/>
              <w:marRight w:val="0"/>
              <w:marTop w:val="0"/>
              <w:marBottom w:val="0"/>
              <w:divBdr>
                <w:top w:val="none" w:sz="0" w:space="0" w:color="auto"/>
                <w:left w:val="none" w:sz="0" w:space="0" w:color="auto"/>
                <w:bottom w:val="none" w:sz="0" w:space="0" w:color="auto"/>
                <w:right w:val="none" w:sz="0" w:space="0" w:color="auto"/>
              </w:divBdr>
            </w:div>
          </w:divsChild>
        </w:div>
        <w:div w:id="2065446046">
          <w:marLeft w:val="0"/>
          <w:marRight w:val="0"/>
          <w:marTop w:val="0"/>
          <w:marBottom w:val="0"/>
          <w:divBdr>
            <w:top w:val="none" w:sz="0" w:space="0" w:color="auto"/>
            <w:left w:val="none" w:sz="0" w:space="0" w:color="auto"/>
            <w:bottom w:val="none" w:sz="0" w:space="0" w:color="auto"/>
            <w:right w:val="none" w:sz="0" w:space="0" w:color="auto"/>
          </w:divBdr>
          <w:divsChild>
            <w:div w:id="15223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670189">
      <w:bodyDiv w:val="1"/>
      <w:marLeft w:val="0"/>
      <w:marRight w:val="0"/>
      <w:marTop w:val="0"/>
      <w:marBottom w:val="0"/>
      <w:divBdr>
        <w:top w:val="none" w:sz="0" w:space="0" w:color="auto"/>
        <w:left w:val="none" w:sz="0" w:space="0" w:color="auto"/>
        <w:bottom w:val="none" w:sz="0" w:space="0" w:color="auto"/>
        <w:right w:val="none" w:sz="0" w:space="0" w:color="auto"/>
      </w:divBdr>
    </w:div>
    <w:div w:id="1292133814">
      <w:bodyDiv w:val="1"/>
      <w:marLeft w:val="0"/>
      <w:marRight w:val="0"/>
      <w:marTop w:val="0"/>
      <w:marBottom w:val="0"/>
      <w:divBdr>
        <w:top w:val="none" w:sz="0" w:space="0" w:color="auto"/>
        <w:left w:val="none" w:sz="0" w:space="0" w:color="auto"/>
        <w:bottom w:val="none" w:sz="0" w:space="0" w:color="auto"/>
        <w:right w:val="none" w:sz="0" w:space="0" w:color="auto"/>
      </w:divBdr>
    </w:div>
    <w:div w:id="1394428769">
      <w:bodyDiv w:val="1"/>
      <w:marLeft w:val="0"/>
      <w:marRight w:val="0"/>
      <w:marTop w:val="0"/>
      <w:marBottom w:val="0"/>
      <w:divBdr>
        <w:top w:val="none" w:sz="0" w:space="0" w:color="auto"/>
        <w:left w:val="none" w:sz="0" w:space="0" w:color="auto"/>
        <w:bottom w:val="none" w:sz="0" w:space="0" w:color="auto"/>
        <w:right w:val="none" w:sz="0" w:space="0" w:color="auto"/>
      </w:divBdr>
    </w:div>
    <w:div w:id="1494950808">
      <w:bodyDiv w:val="1"/>
      <w:marLeft w:val="0"/>
      <w:marRight w:val="0"/>
      <w:marTop w:val="0"/>
      <w:marBottom w:val="0"/>
      <w:divBdr>
        <w:top w:val="none" w:sz="0" w:space="0" w:color="auto"/>
        <w:left w:val="none" w:sz="0" w:space="0" w:color="auto"/>
        <w:bottom w:val="none" w:sz="0" w:space="0" w:color="auto"/>
        <w:right w:val="none" w:sz="0" w:space="0" w:color="auto"/>
      </w:divBdr>
    </w:div>
    <w:div w:id="1498809353">
      <w:bodyDiv w:val="1"/>
      <w:marLeft w:val="0"/>
      <w:marRight w:val="0"/>
      <w:marTop w:val="0"/>
      <w:marBottom w:val="0"/>
      <w:divBdr>
        <w:top w:val="none" w:sz="0" w:space="0" w:color="auto"/>
        <w:left w:val="none" w:sz="0" w:space="0" w:color="auto"/>
        <w:bottom w:val="none" w:sz="0" w:space="0" w:color="auto"/>
        <w:right w:val="none" w:sz="0" w:space="0" w:color="auto"/>
      </w:divBdr>
    </w:div>
    <w:div w:id="1720130526">
      <w:bodyDiv w:val="1"/>
      <w:marLeft w:val="0"/>
      <w:marRight w:val="0"/>
      <w:marTop w:val="0"/>
      <w:marBottom w:val="0"/>
      <w:divBdr>
        <w:top w:val="none" w:sz="0" w:space="0" w:color="auto"/>
        <w:left w:val="none" w:sz="0" w:space="0" w:color="auto"/>
        <w:bottom w:val="none" w:sz="0" w:space="0" w:color="auto"/>
        <w:right w:val="none" w:sz="0" w:space="0" w:color="auto"/>
      </w:divBdr>
    </w:div>
    <w:div w:id="19199453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co/2023/2113/oj/eng" TargetMode="External"/><Relationship Id="rId13" Type="http://schemas.openxmlformats.org/officeDocument/2006/relationships/hyperlink" Target="https://taxation-customs.ec.europa.eu/online-services/online-services-and-databases-customs/surveillance-system_fr" TargetMode="External"/><Relationship Id="rId3" Type="http://schemas.openxmlformats.org/officeDocument/2006/relationships/hyperlink" Target="https://health.ec.europa.eu/publications/assessment-supply-chain-vulnerabilities-first-tranche-union-list-critical-medicines-technical-report_en" TargetMode="External"/><Relationship Id="rId7" Type="http://schemas.openxmlformats.org/officeDocument/2006/relationships/hyperlink" Target="https://www.eea.europa.eu/en/about/who-we-are/projects-and-cooperation-agreements/european-climate-risk-assessm" TargetMode="External"/><Relationship Id="rId12" Type="http://schemas.openxmlformats.org/officeDocument/2006/relationships/hyperlink" Target="https://www.ema.europa.eu/en/human-regulatory-overview/post-authorisation/medicine-shortages-availability-issues/european-shortages-monitoring-platform-esmp" TargetMode="External"/><Relationship Id="rId2" Type="http://schemas.openxmlformats.org/officeDocument/2006/relationships/hyperlink" Target="https://www.enisa.europa.eu/publications/2024-report-on-the-state-of-the-cybersecurity-in-the-union" TargetMode="External"/><Relationship Id="rId16" Type="http://schemas.openxmlformats.org/officeDocument/2006/relationships/hyperlink" Target="https://eur-lex.europa.eu/legal-content/FR/TXT/?uri=CELEX%3A52025DC0085" TargetMode="External"/><Relationship Id="rId1" Type="http://schemas.openxmlformats.org/officeDocument/2006/relationships/hyperlink" Target="https://commission.europa.eu/topics/justice-and-fundamental-rights/equality-and-inclusion_en%22%20/l%20%22:~:text=Building%20a%20union%20of%20equality,disability%2C%20age%20or%20sexual%20orientation" TargetMode="External"/><Relationship Id="rId6" Type="http://schemas.openxmlformats.org/officeDocument/2006/relationships/hyperlink" Target="https://home-affairs.ec.europa.eu/networks/ceris-community-european-research-and-innovation-security/eu-security-market-study_en" TargetMode="External"/><Relationship Id="rId11" Type="http://schemas.openxmlformats.org/officeDocument/2006/relationships/hyperlink" Target="https://euratom-supply.ec.europa.eu/index_en" TargetMode="External"/><Relationship Id="rId5" Type="http://schemas.openxmlformats.org/officeDocument/2006/relationships/hyperlink" Target="https://defence-industry-space.ec.europa.eu/eu-space/eu-observatory-critical-technologies_en" TargetMode="External"/><Relationship Id="rId15" Type="http://schemas.openxmlformats.org/officeDocument/2006/relationships/hyperlink" Target="https://taxation-customs.ec.europa.eu/customs/eu-customs-reform_en" TargetMode="External"/><Relationship Id="rId10" Type="http://schemas.openxmlformats.org/officeDocument/2006/relationships/hyperlink" Target="https://agridata.ec.europa.eu/extensions/DataPortal/food-supply-security.html" TargetMode="External"/><Relationship Id="rId4" Type="http://schemas.openxmlformats.org/officeDocument/2006/relationships/hyperlink" Target="https://publications.jrc.ec.europa.eu/repository/handle/JRC135290" TargetMode="External"/><Relationship Id="rId9" Type="http://schemas.openxmlformats.org/officeDocument/2006/relationships/hyperlink" Target="https://op.europa.eu/s/z5Dg" TargetMode="External"/><Relationship Id="rId14" Type="http://schemas.openxmlformats.org/officeDocument/2006/relationships/hyperlink" Target="https://single-market-economy.ec.europa.eu/publications/supply-chain-analysis-and-material-demand-forecast-strategic-technologies-and-sectors-eu-foresigh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E12A4-7869-453D-BFB8-46A6AB21B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7961</Words>
  <Characters>45378</Characters>
  <Application>Microsoft Office Word</Application>
  <DocSecurity>0</DocSecurity>
  <PresentationFormat>Microsoft Word 14.0</PresentationFormat>
  <Lines>378</Lines>
  <Paragraphs>106</Paragraphs>
  <ScaleCrop>true</ScaleCrop>
  <Manager/>
  <Company/>
  <LinksUpToDate>false</LinksUpToDate>
  <CharactersWithSpaces>53233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2025-07-04T11:58:00Z</dcterms:created>
  <dcterms:modified xsi:type="dcterms:W3CDTF">2025-08-05T07:09:00Z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2025-07-04T11:58:57Z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dc4bea88-1b3a-4503-aafc-193b17c283ea</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