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FA7CE7" w14:textId="2F2EE3EA" w:rsidR="00294D13" w:rsidRDefault="00DC2BA3" w:rsidP="00DC2BA3">
      <w:pPr>
        <w:pStyle w:val="Pagedecouverture"/>
        <w:rPr>
          <w:noProof/>
        </w:rPr>
      </w:pPr>
      <w:bookmarkStart w:id="0" w:name="LW_BM_COVERPAGE"/>
      <w:r>
        <w:rPr>
          <w:noProof/>
        </w:rPr>
        <w:pict w14:anchorId="57EC46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FD63CF7-1CA9-4F58-9F40-8204A113C2D6" style="width:455.25pt;height:336.75pt">
            <v:imagedata r:id="rId8" o:title=""/>
          </v:shape>
        </w:pict>
      </w:r>
    </w:p>
    <w:bookmarkEnd w:id="0"/>
    <w:p w14:paraId="0091142C" w14:textId="77777777" w:rsidR="00294D13" w:rsidRDefault="00294D13" w:rsidP="00294D13">
      <w:pPr>
        <w:rPr>
          <w:noProof/>
        </w:rPr>
        <w:sectPr w:rsidR="00294D13" w:rsidSect="00DC2BA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FE2F4D9" w14:textId="7A842568" w:rsidR="00434AA4" w:rsidRPr="00434AA4" w:rsidRDefault="00434AA4" w:rsidP="00B44F30">
      <w:pPr>
        <w:pStyle w:val="Heading1"/>
        <w:numPr>
          <w:ilvl w:val="0"/>
          <w:numId w:val="0"/>
        </w:numPr>
        <w:ind w:left="360" w:hanging="360"/>
        <w:rPr>
          <w:noProof/>
          <w:u w:val="single"/>
        </w:rPr>
      </w:pPr>
      <w:bookmarkStart w:id="1" w:name="_GoBack"/>
      <w:bookmarkEnd w:id="1"/>
      <w:r>
        <w:rPr>
          <w:noProof/>
          <w:u w:val="single"/>
        </w:rPr>
        <w:lastRenderedPageBreak/>
        <w:t>INTRODUCTION</w:t>
      </w:r>
    </w:p>
    <w:p w14:paraId="366374F3" w14:textId="39B94090" w:rsidR="00511B6D" w:rsidRPr="006427B4" w:rsidRDefault="00511B6D" w:rsidP="00511B6D">
      <w:pPr>
        <w:jc w:val="both"/>
        <w:rPr>
          <w:rFonts w:ascii="Times New Roman" w:hAnsi="Times New Roman" w:cs="Times New Roman"/>
          <w:b/>
          <w:bCs/>
          <w:noProof/>
          <w:sz w:val="24"/>
          <w:szCs w:val="24"/>
        </w:rPr>
      </w:pPr>
      <w:r>
        <w:rPr>
          <w:rFonts w:ascii="Times New Roman" w:hAnsi="Times New Roman"/>
          <w:noProof/>
          <w:sz w:val="24"/>
        </w:rPr>
        <w:t xml:space="preserve">Les vaccins, les traitements, les diagnostics et autres dispositifs médicaux ainsi que les équipements de protection individuelle (EPI) sont des produits géostratégiques essentiels pour préserver la santé et la sécurité des personnes, des sociétés et des économies. </w:t>
      </w:r>
      <w:r>
        <w:rPr>
          <w:rFonts w:ascii="Times New Roman" w:hAnsi="Times New Roman"/>
          <w:b/>
          <w:noProof/>
          <w:sz w:val="24"/>
        </w:rPr>
        <w:t xml:space="preserve">La nécessité de telles contre-mesures médicales n’a jamais été plus pressante, à une époque où les menaces pour la santé sont de plus en plus nombreuses, qu’elles soient d’origine naturelle ou humaine. </w:t>
      </w:r>
    </w:p>
    <w:p w14:paraId="208A5A2F" w14:textId="65B7492A" w:rsidR="00511B6D" w:rsidRPr="006427B4" w:rsidRDefault="00511B6D" w:rsidP="00511B6D">
      <w:pPr>
        <w:jc w:val="both"/>
        <w:rPr>
          <w:rFonts w:ascii="Times New Roman" w:hAnsi="Times New Roman" w:cs="Times New Roman"/>
          <w:noProof/>
          <w:sz w:val="24"/>
          <w:szCs w:val="24"/>
        </w:rPr>
      </w:pPr>
      <w:r>
        <w:rPr>
          <w:rFonts w:ascii="Times New Roman" w:hAnsi="Times New Roman"/>
          <w:b/>
          <w:noProof/>
          <w:sz w:val="24"/>
        </w:rPr>
        <w:t xml:space="preserve">La pandémie de COVID-19 a montré que les contre-mesures médicales constituent l’un des piliers de la préparation et de la réaction de l’UE aux menaces pour la santé. </w:t>
      </w:r>
      <w:r>
        <w:rPr>
          <w:rFonts w:ascii="Times New Roman" w:hAnsi="Times New Roman"/>
          <w:noProof/>
          <w:sz w:val="24"/>
        </w:rPr>
        <w:t xml:space="preserve">La rapidité de leur mise au point et de leur fourniture a été cruciale pour sauver des millions de vies et soutenir les intervenants de première ligne dans le monde entier. Dans le même temps, leur mise au point, leur production à grande échelle et leur déploiement rapide ont contribué à atténuer les effets dévastateurs sur nos sociétés et nos économies, tout en mettant en évidence la nécessité d’être mieux préparés à réagir à la prochaine crise sanitaire lorsque celle-ci surviendra. </w:t>
      </w:r>
    </w:p>
    <w:p w14:paraId="76B2709F" w14:textId="451E301A" w:rsidR="00511B6D" w:rsidRPr="006427B4" w:rsidRDefault="00511B6D" w:rsidP="00511B6D">
      <w:pPr>
        <w:jc w:val="both"/>
        <w:rPr>
          <w:rFonts w:ascii="Times New Roman" w:hAnsi="Times New Roman" w:cs="Times New Roman"/>
          <w:noProof/>
          <w:sz w:val="24"/>
          <w:szCs w:val="24"/>
        </w:rPr>
      </w:pPr>
      <w:r>
        <w:rPr>
          <w:rFonts w:ascii="Times New Roman" w:hAnsi="Times New Roman"/>
          <w:b/>
          <w:noProof/>
          <w:sz w:val="24"/>
        </w:rPr>
        <w:t>Des actions communes et coordonnées, concertées à l’échelle de l’UE, et une coopération mondiale renforcée sont essentielles pour garantir la disponibilité de contre-mesures médicales et l’accès à celles-ci</w:t>
      </w:r>
      <w:r>
        <w:rPr>
          <w:rFonts w:ascii="Times New Roman" w:hAnsi="Times New Roman"/>
          <w:noProof/>
          <w:sz w:val="24"/>
        </w:rPr>
        <w:t>. Sur la base de ces enseignements, l’Union européenne a renforcé son cadre de sécurité sanitaire en consolidant la législation sur les menaces transfrontières graves pour la santé avec l’adoption d’un nouveau règlement</w:t>
      </w:r>
      <w:r>
        <w:rPr>
          <w:rStyle w:val="FootnoteReference"/>
          <w:rFonts w:ascii="Times New Roman" w:hAnsi="Times New Roman" w:cs="Times New Roman"/>
          <w:noProof/>
          <w:sz w:val="24"/>
          <w:szCs w:val="24"/>
        </w:rPr>
        <w:footnoteReference w:id="2"/>
      </w:r>
      <w:r>
        <w:rPr>
          <w:rFonts w:ascii="Times New Roman" w:hAnsi="Times New Roman"/>
          <w:noProof/>
          <w:sz w:val="24"/>
        </w:rPr>
        <w:t>, et la Commission européenne a créé l’Autorité de préparation et de réaction en cas d’urgence sanitaire (HERA), qui joue un rôle de sentinelle pour la préparation et la réaction dans le domaine des contre-mesures médicales, en étroite collaboration avec les autres services de la Commission, le Centre européen de prévention et de contrôle des maladies (ECDC) renforcé et l’Agence européenne des médicaments (EMA). Dans ce cadre solide en matière de sécurité sanitaire, qui sera encore renforcé par le plan de prévention, de préparation et de réaction de l’Union contre les crises sanitaires</w:t>
      </w:r>
      <w:r>
        <w:rPr>
          <w:rStyle w:val="FootnoteReference"/>
          <w:rFonts w:ascii="Times New Roman" w:hAnsi="Times New Roman" w:cs="Times New Roman"/>
          <w:noProof/>
          <w:sz w:val="24"/>
          <w:szCs w:val="24"/>
          <w:lang w:val="en-IE"/>
        </w:rPr>
        <w:footnoteReference w:id="3"/>
      </w:r>
      <w:r>
        <w:rPr>
          <w:rFonts w:ascii="Times New Roman" w:hAnsi="Times New Roman"/>
          <w:noProof/>
          <w:sz w:val="24"/>
        </w:rPr>
        <w:t xml:space="preserve">, les institutions de l’UE et les États membres collaborent étroitement pour faire face aux menaces sanitaires qui dépassent les frontières nationales. </w:t>
      </w:r>
    </w:p>
    <w:p w14:paraId="369782C4" w14:textId="12077D97" w:rsidR="00511B6D" w:rsidRPr="006427B4" w:rsidRDefault="00511B6D" w:rsidP="00511B6D">
      <w:pPr>
        <w:jc w:val="both"/>
        <w:rPr>
          <w:rFonts w:ascii="Times New Roman" w:hAnsi="Times New Roman" w:cs="Times New Roman"/>
          <w:noProof/>
          <w:sz w:val="24"/>
          <w:szCs w:val="24"/>
        </w:rPr>
      </w:pPr>
      <w:r>
        <w:rPr>
          <w:rFonts w:ascii="Times New Roman" w:hAnsi="Times New Roman"/>
          <w:b/>
          <w:noProof/>
          <w:sz w:val="24"/>
        </w:rPr>
        <w:t>Aujourd’hui, l’UE est mieux préparée qu’il y a cinq ans,</w:t>
      </w:r>
      <w:r>
        <w:rPr>
          <w:rFonts w:ascii="Times New Roman" w:hAnsi="Times New Roman"/>
          <w:noProof/>
          <w:sz w:val="24"/>
        </w:rPr>
        <w:t xml:space="preserve"> </w:t>
      </w:r>
      <w:r>
        <w:rPr>
          <w:rFonts w:ascii="Times New Roman" w:hAnsi="Times New Roman"/>
          <w:b/>
          <w:noProof/>
          <w:sz w:val="24"/>
        </w:rPr>
        <w:t>mais l’Europe et le monde restent exposés à un large éventail de menaces croissantes pour la santé,</w:t>
      </w:r>
      <w:r>
        <w:rPr>
          <w:rFonts w:ascii="Times New Roman" w:hAnsi="Times New Roman"/>
          <w:noProof/>
          <w:sz w:val="24"/>
        </w:rPr>
        <w:t xml:space="preserve"> </w:t>
      </w:r>
      <w:r>
        <w:rPr>
          <w:rFonts w:ascii="Times New Roman" w:hAnsi="Times New Roman"/>
          <w:b/>
          <w:noProof/>
          <w:sz w:val="24"/>
        </w:rPr>
        <w:t>pour lesquelles il n’existe souvent que peu, voire pas du tout, de contre-mesures médicales.</w:t>
      </w:r>
      <w:r>
        <w:rPr>
          <w:rFonts w:ascii="Times New Roman" w:hAnsi="Times New Roman"/>
          <w:noProof/>
          <w:sz w:val="24"/>
        </w:rPr>
        <w:t xml:space="preserve"> Les défis dynamiques posés par les menaces émergentes et les obstacles structurels, notamment la fragmentation et l’insuffisance des investissements dans l’innovation, la charge réglementaire, la viabilité commerciale limitée, les vulnérabilités de la chaîne d’approvisionnement ainsi que le manque de capacités de fabrication et l’insuffisance de la collaboration internationale, entraînent des lacunes importantes dans la disponibilité de contre-mesures médicales pour faire face aux menaces auxquelles nous sommes confrontés. </w:t>
      </w:r>
    </w:p>
    <w:p w14:paraId="6D806E8B" w14:textId="78DB721B" w:rsidR="00511B6D" w:rsidRPr="006427B4" w:rsidRDefault="00511B6D" w:rsidP="00511B6D">
      <w:pPr>
        <w:jc w:val="both"/>
        <w:rPr>
          <w:rFonts w:ascii="Times New Roman" w:hAnsi="Times New Roman" w:cs="Times New Roman"/>
          <w:noProof/>
          <w:sz w:val="24"/>
          <w:szCs w:val="24"/>
        </w:rPr>
      </w:pPr>
      <w:r>
        <w:rPr>
          <w:rFonts w:ascii="Times New Roman" w:hAnsi="Times New Roman"/>
          <w:b/>
          <w:noProof/>
          <w:sz w:val="24"/>
        </w:rPr>
        <w:t xml:space="preserve">Il est essentiel de disposer, à l’appui de notre préparation aux menaces pour la santé, d’un secteur des contre-mesures médicales innovant et compétitif. </w:t>
      </w:r>
      <w:r>
        <w:rPr>
          <w:rFonts w:ascii="Times New Roman" w:hAnsi="Times New Roman"/>
          <w:noProof/>
          <w:sz w:val="24"/>
        </w:rPr>
        <w:t xml:space="preserve">Le soutien à l’innovation et à la mise au point de technologies et de contre-mesures médicales prometteuses et de pointe permettra non seulement de garantir la disponibilité des produits lors de la prochaine crise, mais aussi d’apporter des avantages plus larges sur le plan de la santé publique et sur le plan social et économique, au-delà de la préparation aux situations d’urgence sanitaire. Les progrès rapides des plateformes d’ARNm observés pendant la pandémie de COVID-19 et leur application ultérieure dans les traitements anticancéreux illustrent le mieux ce potentiel. Le renforcement du secteur des contre-mesures médicales améliorera encore l’innovation et la compétitivité d’un secteur stratégique de l’économie de l’UE et créera des emplois de qualité. </w:t>
      </w:r>
    </w:p>
    <w:p w14:paraId="731DC66D" w14:textId="185ABCD3" w:rsidR="00511B6D" w:rsidRPr="006427B4" w:rsidRDefault="00511B6D" w:rsidP="00511B6D">
      <w:pPr>
        <w:jc w:val="both"/>
        <w:rPr>
          <w:rFonts w:ascii="Times New Roman" w:hAnsi="Times New Roman" w:cs="Times New Roman"/>
          <w:noProof/>
          <w:sz w:val="24"/>
          <w:szCs w:val="24"/>
        </w:rPr>
      </w:pPr>
      <w:r>
        <w:rPr>
          <w:rFonts w:ascii="Times New Roman" w:hAnsi="Times New Roman"/>
          <w:b/>
          <w:noProof/>
          <w:sz w:val="24"/>
        </w:rPr>
        <w:t xml:space="preserve">La préparation et la réaction sauvent des vies lorsqu’il s’agit de maladies à potentiel épidémique ou pandémique qui se propagent en quelques heures ou en quelques jours. </w:t>
      </w:r>
      <w:r>
        <w:rPr>
          <w:rFonts w:ascii="Times New Roman" w:hAnsi="Times New Roman"/>
          <w:noProof/>
          <w:sz w:val="24"/>
        </w:rPr>
        <w:t xml:space="preserve">Afin de nous préparer à la prochaine crise, </w:t>
      </w:r>
      <w:r>
        <w:rPr>
          <w:rFonts w:ascii="Times New Roman" w:hAnsi="Times New Roman"/>
          <w:b/>
          <w:noProof/>
          <w:sz w:val="24"/>
        </w:rPr>
        <w:t>nous devons donc veiller à ce que des contre-mesures médicales soient rapidement, suffisamment et équitablement disponibles pour protéger les personnes en cas d’urgences sanitaires</w:t>
      </w:r>
      <w:r>
        <w:rPr>
          <w:rFonts w:ascii="Times New Roman" w:hAnsi="Times New Roman"/>
          <w:noProof/>
          <w:sz w:val="24"/>
        </w:rPr>
        <w:t>. Cet objectif implique de disposer d’une capacité de fabrication rapidement modulable, de systèmes de distribution solides et d’une main-d’œuvre résiliente permettant de fournir et d’administrer des contre-mesures médicales aux personnes qui en ont besoin, en tenant compte des besoins spécifiques des femmes et des divers groupes</w:t>
      </w:r>
      <w:r>
        <w:rPr>
          <w:rStyle w:val="FootnoteReference"/>
          <w:rFonts w:ascii="Times New Roman" w:hAnsi="Times New Roman" w:cs="Times New Roman"/>
          <w:noProof/>
          <w:sz w:val="24"/>
          <w:szCs w:val="24"/>
          <w:lang w:val="en-IE"/>
        </w:rPr>
        <w:footnoteReference w:id="4"/>
      </w:r>
      <w:r>
        <w:rPr>
          <w:rFonts w:ascii="Times New Roman" w:hAnsi="Times New Roman"/>
          <w:noProof/>
          <w:sz w:val="24"/>
        </w:rPr>
        <w:t>.  Un changement d’état d’esprit est également nécessaire, dans le droit-fil de l’approche tous risques, pangouvernementale et pansociétale de la stratégie pour une union de la préparation, et compte tenu du fait que la préparation n’est pas gratuite: les coûts supportés aujourd’hui sont des investissements à long terme dans la résilience aux crises.</w:t>
      </w:r>
    </w:p>
    <w:p w14:paraId="58522E38" w14:textId="49AA2580" w:rsidR="00511B6D" w:rsidRPr="006427B4" w:rsidRDefault="00511B6D" w:rsidP="00511B6D">
      <w:pPr>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stratégie en matière de contre-mesures médicales</w:t>
      </w:r>
      <w:r>
        <w:rPr>
          <w:rFonts w:ascii="Times New Roman" w:hAnsi="Times New Roman"/>
          <w:noProof/>
          <w:sz w:val="24"/>
        </w:rPr>
        <w:t xml:space="preserve"> intègre ce changement d’état d’esprit afin de préparer les personnes et de les protéger contre les menaces pour la santé de manière proactive, en reconnaissant que les contre-mesures médicales sont des atouts stratégiques pour rendre l’UE plus forte, plus saine et mieux préparée. Avec cette stratégie, l’UE vise à </w:t>
      </w:r>
      <w:r>
        <w:rPr>
          <w:rFonts w:ascii="Times New Roman" w:hAnsi="Times New Roman"/>
          <w:b/>
          <w:noProof/>
          <w:sz w:val="24"/>
        </w:rPr>
        <w:t>renforcer sa préparation à la prochaine urgence sanitaire, quelle que soit son origine, allant des pandémies aux menaces de biosécurité ou conflits d’origine humaine, en garantissant l’accès à des contre-mesures médicales et leur disponibilité à tout moment.</w:t>
      </w:r>
      <w:r>
        <w:rPr>
          <w:rFonts w:ascii="Times New Roman" w:hAnsi="Times New Roman"/>
          <w:noProof/>
          <w:sz w:val="24"/>
        </w:rPr>
        <w:t xml:space="preserve"> Ce but sera atteint avec la réalisation des objectifs suivants: </w:t>
      </w:r>
    </w:p>
    <w:p w14:paraId="63C40677" w14:textId="0A7B38C9" w:rsidR="00511B6D" w:rsidRPr="006427B4" w:rsidRDefault="00511B6D" w:rsidP="00511B6D">
      <w:pPr>
        <w:numPr>
          <w:ilvl w:val="0"/>
          <w:numId w:val="8"/>
        </w:numPr>
        <w:jc w:val="both"/>
        <w:rPr>
          <w:rFonts w:ascii="Times New Roman" w:hAnsi="Times New Roman" w:cs="Times New Roman"/>
          <w:noProof/>
          <w:sz w:val="24"/>
          <w:szCs w:val="24"/>
        </w:rPr>
      </w:pPr>
      <w:r>
        <w:rPr>
          <w:rFonts w:ascii="Times New Roman" w:hAnsi="Times New Roman"/>
          <w:noProof/>
          <w:sz w:val="24"/>
        </w:rPr>
        <w:t>stimuler et encourager l’innovation dans le domaine des contre-mesures médicales, ainsi que la mise au point, la production et la disponibilité de telles contre-mesures, en suivant une approche fondée sur le principe «Une seule santé» et couvrant toute la chaîne de valeur,</w:t>
      </w:r>
      <w:r>
        <w:rPr>
          <w:rFonts w:ascii="Times New Roman" w:hAnsi="Times New Roman"/>
          <w:b/>
          <w:noProof/>
          <w:sz w:val="24"/>
        </w:rPr>
        <w:t xml:space="preserve"> </w:t>
      </w:r>
      <w:r>
        <w:rPr>
          <w:rFonts w:ascii="Times New Roman" w:hAnsi="Times New Roman"/>
          <w:noProof/>
          <w:sz w:val="24"/>
        </w:rPr>
        <w:t xml:space="preserve">afin de garantir une approche globale et complète de bout en bout, depuis l’identification, la hiérarchisation et l’évaluation des menaces jusqu’à la fabrication et au déploiement de contre-mesures, en passant par le stock de recherche et développement; </w:t>
      </w:r>
    </w:p>
    <w:p w14:paraId="7238E130" w14:textId="3EC75171" w:rsidR="00511B6D" w:rsidRPr="006427B4" w:rsidRDefault="00511B6D" w:rsidP="00511B6D">
      <w:pPr>
        <w:numPr>
          <w:ilvl w:val="0"/>
          <w:numId w:val="8"/>
        </w:numPr>
        <w:jc w:val="both"/>
        <w:rPr>
          <w:rFonts w:ascii="Times New Roman" w:hAnsi="Times New Roman" w:cs="Times New Roman"/>
          <w:noProof/>
          <w:sz w:val="24"/>
          <w:szCs w:val="24"/>
        </w:rPr>
      </w:pPr>
      <w:r>
        <w:rPr>
          <w:rFonts w:ascii="Times New Roman" w:hAnsi="Times New Roman"/>
          <w:noProof/>
          <w:sz w:val="24"/>
        </w:rPr>
        <w:t xml:space="preserve">favoriser une </w:t>
      </w:r>
      <w:r>
        <w:rPr>
          <w:rFonts w:ascii="Times New Roman" w:hAnsi="Times New Roman"/>
          <w:b/>
          <w:noProof/>
          <w:sz w:val="24"/>
        </w:rPr>
        <w:t>définition commune</w:t>
      </w:r>
      <w:r>
        <w:rPr>
          <w:rFonts w:ascii="Times New Roman" w:hAnsi="Times New Roman"/>
          <w:noProof/>
          <w:sz w:val="24"/>
        </w:rPr>
        <w:t xml:space="preserve"> </w:t>
      </w:r>
      <w:r>
        <w:rPr>
          <w:rFonts w:ascii="Times New Roman" w:hAnsi="Times New Roman"/>
          <w:b/>
          <w:noProof/>
          <w:sz w:val="24"/>
        </w:rPr>
        <w:t>des priorités, une coopération étroite avec les États membres</w:t>
      </w:r>
      <w:r>
        <w:rPr>
          <w:rFonts w:ascii="Times New Roman" w:hAnsi="Times New Roman"/>
          <w:noProof/>
          <w:sz w:val="24"/>
        </w:rPr>
        <w:t xml:space="preserve"> ainsi qu’une collaboration avec les pays candidats à l’adhésion à l’UE et les partenaires mondiaux; </w:t>
      </w:r>
    </w:p>
    <w:p w14:paraId="0B23E61A" w14:textId="77777777" w:rsidR="00511B6D" w:rsidRPr="006427B4" w:rsidRDefault="00511B6D" w:rsidP="00511B6D">
      <w:pPr>
        <w:numPr>
          <w:ilvl w:val="0"/>
          <w:numId w:val="8"/>
        </w:numPr>
        <w:jc w:val="both"/>
        <w:rPr>
          <w:rFonts w:ascii="Times New Roman" w:hAnsi="Times New Roman" w:cs="Times New Roman"/>
          <w:noProof/>
          <w:sz w:val="24"/>
          <w:szCs w:val="24"/>
        </w:rPr>
      </w:pPr>
      <w:r>
        <w:rPr>
          <w:rFonts w:ascii="Times New Roman" w:hAnsi="Times New Roman"/>
          <w:noProof/>
          <w:sz w:val="24"/>
        </w:rPr>
        <w:t xml:space="preserve">intensifier les </w:t>
      </w:r>
      <w:r>
        <w:rPr>
          <w:rFonts w:ascii="Times New Roman" w:hAnsi="Times New Roman"/>
          <w:b/>
          <w:noProof/>
          <w:sz w:val="24"/>
        </w:rPr>
        <w:t>partenariats public-privé</w:t>
      </w:r>
      <w:r>
        <w:rPr>
          <w:rFonts w:ascii="Times New Roman" w:hAnsi="Times New Roman"/>
          <w:noProof/>
          <w:sz w:val="24"/>
        </w:rPr>
        <w:t xml:space="preserve"> et renforcer la collaboration intersectorielle, y compris la </w:t>
      </w:r>
      <w:r>
        <w:rPr>
          <w:rFonts w:ascii="Times New Roman" w:hAnsi="Times New Roman"/>
          <w:b/>
          <w:noProof/>
          <w:sz w:val="24"/>
        </w:rPr>
        <w:t>coopération civilo-militaire</w:t>
      </w:r>
      <w:r>
        <w:rPr>
          <w:rFonts w:ascii="Times New Roman" w:hAnsi="Times New Roman"/>
          <w:noProof/>
          <w:sz w:val="24"/>
        </w:rPr>
        <w:t>.</w:t>
      </w:r>
    </w:p>
    <w:p w14:paraId="7B3F2A11" w14:textId="4044B58C" w:rsidR="00511B6D" w:rsidRPr="006427B4" w:rsidRDefault="00511B6D" w:rsidP="00511B6D">
      <w:pPr>
        <w:jc w:val="both"/>
        <w:rPr>
          <w:rFonts w:ascii="Times New Roman" w:hAnsi="Times New Roman" w:cs="Times New Roman"/>
          <w:noProof/>
          <w:sz w:val="24"/>
          <w:szCs w:val="24"/>
        </w:rPr>
      </w:pPr>
      <w:r>
        <w:rPr>
          <w:rFonts w:ascii="Times New Roman" w:hAnsi="Times New Roman"/>
          <w:noProof/>
          <w:sz w:val="24"/>
        </w:rPr>
        <w:t xml:space="preserve">Une telle stratégie sera non seulement utile pour lutter contre les menaces pesant sur la santé publique, mais devrait également renforcer notre préparation à d’autres types de crises nécessitant des contre-mesures médicales, tout en contribuant à renforcer la primauté technologique et la compétitivité de l’UE dans le secteur de la santé. À ce titre, cette stratégie est construite à l’interface entre les </w:t>
      </w:r>
      <w:r>
        <w:rPr>
          <w:rFonts w:ascii="Times New Roman" w:hAnsi="Times New Roman"/>
          <w:b/>
          <w:noProof/>
          <w:sz w:val="24"/>
        </w:rPr>
        <w:t>rapports Niinistö</w:t>
      </w:r>
      <w:r>
        <w:rPr>
          <w:rFonts w:ascii="Times New Roman" w:hAnsi="Times New Roman" w:cs="Times New Roman"/>
          <w:b/>
          <w:bCs/>
          <w:noProof/>
          <w:sz w:val="24"/>
          <w:szCs w:val="24"/>
          <w:vertAlign w:val="superscript"/>
          <w:lang w:val="en-IE"/>
        </w:rPr>
        <w:footnoteReference w:id="5"/>
      </w:r>
      <w:r>
        <w:rPr>
          <w:rFonts w:ascii="Times New Roman" w:hAnsi="Times New Roman"/>
          <w:b/>
          <w:noProof/>
          <w:sz w:val="24"/>
        </w:rPr>
        <w:t xml:space="preserve"> et Draghi</w:t>
      </w:r>
      <w:r>
        <w:rPr>
          <w:rFonts w:ascii="Times New Roman" w:hAnsi="Times New Roman" w:cs="Times New Roman"/>
          <w:b/>
          <w:bCs/>
          <w:noProof/>
          <w:sz w:val="24"/>
          <w:szCs w:val="24"/>
          <w:vertAlign w:val="superscript"/>
          <w:lang w:val="en-IE"/>
        </w:rPr>
        <w:footnoteReference w:id="6"/>
      </w:r>
      <w:r>
        <w:rPr>
          <w:rFonts w:ascii="Times New Roman" w:hAnsi="Times New Roman"/>
          <w:noProof/>
          <w:sz w:val="24"/>
        </w:rPr>
        <w:t xml:space="preserve"> et s’inscrit dans le cadre global fourni par la </w:t>
      </w:r>
      <w:r>
        <w:rPr>
          <w:rFonts w:ascii="Times New Roman" w:hAnsi="Times New Roman"/>
          <w:b/>
          <w:noProof/>
          <w:sz w:val="24"/>
        </w:rPr>
        <w:t>stratégie pour une union de la préparation</w:t>
      </w:r>
      <w:r>
        <w:rPr>
          <w:rFonts w:ascii="Times New Roman" w:hAnsi="Times New Roman" w:cs="Times New Roman"/>
          <w:b/>
          <w:bCs/>
          <w:noProof/>
          <w:sz w:val="24"/>
          <w:szCs w:val="24"/>
          <w:vertAlign w:val="superscript"/>
          <w:lang w:val="en-IE"/>
        </w:rPr>
        <w:footnoteReference w:id="7"/>
      </w:r>
      <w:r>
        <w:rPr>
          <w:rFonts w:ascii="Times New Roman" w:hAnsi="Times New Roman"/>
          <w:b/>
          <w:noProof/>
          <w:sz w:val="24"/>
        </w:rPr>
        <w:t xml:space="preserve"> et la boussole pour la compétitivité</w:t>
      </w:r>
      <w:r>
        <w:rPr>
          <w:rStyle w:val="FootnoteReference"/>
          <w:rFonts w:ascii="Times New Roman" w:hAnsi="Times New Roman" w:cs="Times New Roman"/>
          <w:b/>
          <w:bCs/>
          <w:noProof/>
          <w:sz w:val="24"/>
          <w:szCs w:val="24"/>
          <w:lang w:val="en-IE"/>
        </w:rPr>
        <w:footnoteReference w:id="8"/>
      </w:r>
      <w:r>
        <w:rPr>
          <w:rFonts w:ascii="Times New Roman" w:hAnsi="Times New Roman"/>
          <w:noProof/>
          <w:sz w:val="24"/>
        </w:rPr>
        <w:t>.</w:t>
      </w:r>
    </w:p>
    <w:p w14:paraId="4A3BB80F" w14:textId="60D57BDE" w:rsidR="00434AA4" w:rsidRPr="00C03001" w:rsidRDefault="00511B6D" w:rsidP="00434AA4">
      <w:pPr>
        <w:jc w:val="both"/>
        <w:rPr>
          <w:rFonts w:ascii="Times New Roman" w:hAnsi="Times New Roman" w:cs="Times New Roman"/>
          <w:noProof/>
          <w:sz w:val="24"/>
          <w:szCs w:val="24"/>
        </w:rPr>
      </w:pPr>
      <w:r>
        <w:rPr>
          <w:rFonts w:ascii="Times New Roman" w:hAnsi="Times New Roman"/>
          <w:noProof/>
          <w:sz w:val="24"/>
        </w:rPr>
        <w:t>La stratégie est accompagnée de deux annexes, l’une présentant une liste des menaces sanitaires prioritaires qui nécessitent des contre-mesures médicales, et l’autre concernant un plan stratégique de l’UE pour la constitution de stocks de contre-mesures médicales, qui est le premier résultat sectoriel de la stratégie de l’UE en matière de constitution de stocks</w:t>
      </w:r>
      <w:r>
        <w:rPr>
          <w:rStyle w:val="FootnoteReference"/>
          <w:rFonts w:ascii="Times New Roman" w:hAnsi="Times New Roman" w:cs="Times New Roman"/>
          <w:noProof/>
          <w:sz w:val="24"/>
          <w:szCs w:val="24"/>
          <w:lang w:val="en-IE"/>
        </w:rPr>
        <w:footnoteReference w:id="9"/>
      </w:r>
      <w:r>
        <w:rPr>
          <w:rFonts w:ascii="Times New Roman" w:hAnsi="Times New Roman"/>
          <w:noProof/>
          <w:sz w:val="24"/>
        </w:rPr>
        <w:t>.</w:t>
      </w:r>
    </w:p>
    <w:p w14:paraId="5B4D2FA1" w14:textId="76838610" w:rsidR="00777FC4" w:rsidRPr="00434AA4" w:rsidRDefault="004345FE" w:rsidP="00B44F30">
      <w:pPr>
        <w:pStyle w:val="Heading1"/>
        <w:numPr>
          <w:ilvl w:val="0"/>
          <w:numId w:val="30"/>
        </w:numPr>
        <w:rPr>
          <w:noProof/>
          <w:u w:val="single"/>
        </w:rPr>
      </w:pPr>
      <w:r>
        <w:rPr>
          <w:noProof/>
          <w:u w:val="single"/>
        </w:rPr>
        <w:t>MENACES SANITAIRES PRIORITAIRES NÉCESSITANT DES CONTRE-MESURES MÉDICALES</w:t>
      </w:r>
    </w:p>
    <w:p w14:paraId="578904AA" w14:textId="3522998B" w:rsidR="004173A4" w:rsidRDefault="00EE75A2" w:rsidP="7F944611">
      <w:pPr>
        <w:jc w:val="both"/>
        <w:rPr>
          <w:rFonts w:ascii="Times New Roman" w:hAnsi="Times New Roman" w:cs="Times New Roman"/>
          <w:noProof/>
          <w:sz w:val="24"/>
          <w:szCs w:val="24"/>
        </w:rPr>
      </w:pPr>
      <w:r>
        <w:rPr>
          <w:rFonts w:ascii="Times New Roman" w:hAnsi="Times New Roman"/>
          <w:noProof/>
          <w:sz w:val="24"/>
        </w:rPr>
        <w:t xml:space="preserve">Le changement climatique, la mondialisation, </w:t>
      </w:r>
      <w:bookmarkStart w:id="2" w:name="_Hlk201779569"/>
      <w:r>
        <w:rPr>
          <w:rFonts w:ascii="Times New Roman" w:hAnsi="Times New Roman"/>
          <w:noProof/>
          <w:sz w:val="24"/>
        </w:rPr>
        <w:t>les conflits et les crises humanitaires augmentent la complexité, la fréquence et la probabilité des urgences sanitaires, ce qui rend l’Europe et le monde plus vulnérables aux menaces sanitaires à évolution rapide pour lesquelles des contre-mesures médicales sont nécessaires</w:t>
      </w:r>
      <w:bookmarkEnd w:id="2"/>
      <w:r>
        <w:rPr>
          <w:rFonts w:ascii="Times New Roman" w:hAnsi="Times New Roman"/>
          <w:noProof/>
          <w:sz w:val="24"/>
        </w:rPr>
        <w:t>. Afin de garantir la souplesse et des actions solides à l’échelle de l’UE, en complément des interventions des États membres, la Commission, en collaboration avec les États membres</w:t>
      </w:r>
      <w:r>
        <w:rPr>
          <w:rStyle w:val="FootnoteReference"/>
          <w:rFonts w:ascii="Times New Roman" w:hAnsi="Times New Roman" w:cs="Times New Roman"/>
          <w:noProof/>
          <w:sz w:val="24"/>
          <w:szCs w:val="24"/>
        </w:rPr>
        <w:footnoteReference w:id="10"/>
      </w:r>
      <w:r>
        <w:rPr>
          <w:rFonts w:ascii="Times New Roman" w:hAnsi="Times New Roman"/>
          <w:noProof/>
          <w:sz w:val="24"/>
        </w:rPr>
        <w:t xml:space="preserve">, donne actuellement la priorité à quatre catégories de menaces graves et sérieuses pour la santé qui présentent le plus grand risque et nécessitent des interventions coordonnées de l’UE dans le domaine des contre-mesures médicales (voir annexe 1). </w:t>
      </w:r>
    </w:p>
    <w:p w14:paraId="14959112" w14:textId="3D2A9E7D" w:rsidR="00C90D11" w:rsidRPr="00C90D11" w:rsidRDefault="02A7CC64" w:rsidP="00C90D11">
      <w:pPr>
        <w:jc w:val="both"/>
        <w:rPr>
          <w:rFonts w:ascii="Times New Roman" w:hAnsi="Times New Roman" w:cs="Times New Roman"/>
          <w:noProof/>
          <w:sz w:val="24"/>
          <w:szCs w:val="24"/>
        </w:rPr>
      </w:pPr>
      <w:r>
        <w:rPr>
          <w:rFonts w:ascii="Times New Roman" w:hAnsi="Times New Roman"/>
          <w:noProof/>
          <w:sz w:val="24"/>
        </w:rPr>
        <w:t xml:space="preserve">La Commission, en collaboration avec les États membres, examinera et mettra à jour en permanence cette hiérarchisation des priorités et les contre-mesures médicales correspondantes. Comme pour toute analyse des menaces, il s’agit d’un processus dynamique qui sera continuellement alimenté par des données scientifiques et des sources d’information pluridisciplinaires. </w:t>
      </w:r>
    </w:p>
    <w:p w14:paraId="71B9DA1C" w14:textId="17B70F45" w:rsidR="00206A52" w:rsidRPr="00206A52" w:rsidRDefault="0019533D" w:rsidP="00734400">
      <w:pPr>
        <w:jc w:val="both"/>
        <w:rPr>
          <w:rFonts w:ascii="Times New Roman" w:eastAsia="Aptos" w:hAnsi="Times New Roman" w:cs="Arial"/>
          <w:b/>
          <w:bCs/>
          <w:noProof/>
          <w:sz w:val="24"/>
          <w:szCs w:val="24"/>
        </w:rPr>
      </w:pPr>
      <w:r>
        <w:rPr>
          <w:rFonts w:ascii="Times New Roman" w:hAnsi="Times New Roman"/>
          <w:b/>
          <w:noProof/>
          <w:sz w:val="24"/>
        </w:rPr>
        <w:t xml:space="preserve">Virus respiratoires ou de contact à potentiel pandémique </w:t>
      </w:r>
    </w:p>
    <w:p w14:paraId="53B93AEA" w14:textId="21DE6EEB" w:rsidR="00173ADC" w:rsidRDefault="429525D5" w:rsidP="00734400">
      <w:pPr>
        <w:jc w:val="both"/>
        <w:rPr>
          <w:rFonts w:ascii="Times New Roman" w:hAnsi="Times New Roman" w:cs="Times New Roman"/>
          <w:noProof/>
          <w:sz w:val="24"/>
          <w:szCs w:val="24"/>
        </w:rPr>
      </w:pPr>
      <w:r>
        <w:rPr>
          <w:rFonts w:ascii="Times New Roman" w:hAnsi="Times New Roman"/>
          <w:noProof/>
          <w:sz w:val="24"/>
        </w:rPr>
        <w:t>Les épidémies de</w:t>
      </w:r>
      <w:r>
        <w:rPr>
          <w:noProof/>
        </w:rPr>
        <w:t xml:space="preserve"> </w:t>
      </w:r>
      <w:r>
        <w:rPr>
          <w:rFonts w:ascii="Times New Roman" w:hAnsi="Times New Roman"/>
          <w:noProof/>
          <w:sz w:val="24"/>
        </w:rPr>
        <w:t xml:space="preserve">maladies infectieuses susceptibles d’entraîner une transmission généralisée et durable deviennent de plus en plus fréquentes, complexes et graves. Parmi les facteurs aggravants figurent, entre autres, les effets du changement climatique qui s’accélèrent, la dégradation de l’environnement ainsi que la perte de biodiversité, la mondialisation, l’instabilité géopolitique et les conflits. </w:t>
      </w:r>
    </w:p>
    <w:p w14:paraId="1BC51728" w14:textId="5AA1AF40" w:rsidR="00A240BA" w:rsidRPr="00173ADC" w:rsidRDefault="009642F3" w:rsidP="771A0F27">
      <w:pPr>
        <w:jc w:val="both"/>
        <w:rPr>
          <w:rFonts w:ascii="Times New Roman" w:hAnsi="Times New Roman"/>
          <w:noProof/>
          <w:sz w:val="24"/>
          <w:szCs w:val="24"/>
        </w:rPr>
      </w:pPr>
      <w:r>
        <w:rPr>
          <w:rFonts w:ascii="Times New Roman" w:hAnsi="Times New Roman"/>
          <w:noProof/>
          <w:sz w:val="24"/>
        </w:rPr>
        <w:t xml:space="preserve">Récemment, le monde a fait l’expérience des conséquences planétaires des virus </w:t>
      </w:r>
      <w:r>
        <w:rPr>
          <w:rFonts w:ascii="Times New Roman" w:hAnsi="Times New Roman"/>
          <w:i/>
          <w:noProof/>
          <w:sz w:val="24"/>
        </w:rPr>
        <w:t xml:space="preserve">Coronaviridae </w:t>
      </w:r>
      <w:r>
        <w:rPr>
          <w:rFonts w:ascii="Times New Roman" w:hAnsi="Times New Roman"/>
          <w:noProof/>
          <w:sz w:val="24"/>
        </w:rPr>
        <w:t xml:space="preserve">tels que la COVID-19 et des foyers récurrents de </w:t>
      </w:r>
      <w:r>
        <w:rPr>
          <w:rFonts w:ascii="Times New Roman" w:hAnsi="Times New Roman"/>
          <w:i/>
          <w:noProof/>
          <w:sz w:val="24"/>
        </w:rPr>
        <w:t>Filoviridae</w:t>
      </w:r>
      <w:r>
        <w:rPr>
          <w:rFonts w:ascii="Times New Roman" w:hAnsi="Times New Roman"/>
          <w:noProof/>
          <w:sz w:val="24"/>
        </w:rPr>
        <w:t xml:space="preserve"> comme Ebola, et est</w:t>
      </w:r>
      <w:bookmarkStart w:id="3" w:name="_Hlk198652833"/>
      <w:r>
        <w:rPr>
          <w:rFonts w:ascii="Times New Roman" w:hAnsi="Times New Roman"/>
          <w:noProof/>
          <w:sz w:val="24"/>
        </w:rPr>
        <w:t xml:space="preserve"> aujourd’hui confronté à la propagation rapide de la grippe aviaire parmi les oiseaux et les mammifères, avec une transmission occasionnelle</w:t>
      </w:r>
      <w:bookmarkEnd w:id="3"/>
      <w:r>
        <w:rPr>
          <w:rFonts w:ascii="Times New Roman" w:hAnsi="Times New Roman"/>
          <w:noProof/>
          <w:sz w:val="24"/>
        </w:rPr>
        <w:t xml:space="preserve"> à l’homme. Ces menaces comprennent également le «pathogène X», qui fait référence à des agents pathogènes encore inconnus qui pourraient devenir responsables de l’hypothétique «maladie X» à l’avenir. Afin de faire face à ces menaces pour la santé, il est nécessaire d’adopter une approche solide et intégrée fondée sur le principe «Une seule santé» tout au long du continuum de la santé humaine, animale et végétale, ainsi que de prendre des contre-mesures médicales spécifiques. </w:t>
      </w:r>
    </w:p>
    <w:p w14:paraId="278009CB" w14:textId="77777777" w:rsidR="00835032" w:rsidRDefault="00835032" w:rsidP="5293FE23">
      <w:pPr>
        <w:jc w:val="both"/>
        <w:rPr>
          <w:rFonts w:ascii="Times New Roman" w:eastAsia="Aptos" w:hAnsi="Times New Roman" w:cs="Arial"/>
          <w:b/>
          <w:bCs/>
          <w:noProof/>
          <w:sz w:val="24"/>
          <w:szCs w:val="24"/>
        </w:rPr>
      </w:pPr>
      <w:r>
        <w:rPr>
          <w:rFonts w:ascii="Times New Roman" w:hAnsi="Times New Roman"/>
          <w:b/>
          <w:noProof/>
          <w:sz w:val="24"/>
        </w:rPr>
        <w:t>Virus vectoriels ou à réservoir animal à potentiel épidémique</w:t>
      </w:r>
    </w:p>
    <w:p w14:paraId="682F6974" w14:textId="60A7F4B6" w:rsidR="00351D4F" w:rsidRPr="00834DAE" w:rsidRDefault="004E5F75" w:rsidP="5293FE23">
      <w:pPr>
        <w:jc w:val="both"/>
        <w:rPr>
          <w:rFonts w:ascii="Times New Roman" w:hAnsi="Times New Roman" w:cs="Times New Roman"/>
          <w:noProof/>
          <w:sz w:val="24"/>
          <w:szCs w:val="24"/>
        </w:rPr>
      </w:pPr>
      <w:r>
        <w:rPr>
          <w:rFonts w:ascii="Times New Roman" w:hAnsi="Times New Roman"/>
          <w:noProof/>
          <w:sz w:val="24"/>
        </w:rPr>
        <w:t>Le changement climatique, la hausse des températures et l’évolution des régimes de précipitations permettent l’émergence et l’expansion de maladies vectorielles</w:t>
      </w:r>
      <w:r>
        <w:rPr>
          <w:rStyle w:val="FootnoteReference"/>
          <w:rFonts w:ascii="Times New Roman" w:hAnsi="Times New Roman" w:cs="Times New Roman"/>
          <w:noProof/>
          <w:sz w:val="24"/>
          <w:szCs w:val="24"/>
          <w:lang w:val="en-IE"/>
        </w:rPr>
        <w:footnoteReference w:id="11"/>
      </w:r>
      <w:r>
        <w:rPr>
          <w:rFonts w:ascii="Times New Roman" w:hAnsi="Times New Roman"/>
          <w:noProof/>
          <w:sz w:val="24"/>
        </w:rPr>
        <w:t xml:space="preserve"> dans des régions auparavant considérées comme à faible risque, y compris dans l’UE</w:t>
      </w:r>
      <w:r>
        <w:rPr>
          <w:rStyle w:val="FootnoteReference"/>
          <w:rFonts w:ascii="Times New Roman" w:hAnsi="Times New Roman" w:cs="Times New Roman"/>
          <w:noProof/>
          <w:lang w:val="en-IE"/>
        </w:rPr>
        <w:footnoteReference w:id="12"/>
      </w:r>
      <w:r>
        <w:rPr>
          <w:rFonts w:ascii="Times New Roman" w:hAnsi="Times New Roman"/>
          <w:noProof/>
        </w:rPr>
        <w:t xml:space="preserve">. </w:t>
      </w:r>
      <w:r>
        <w:rPr>
          <w:rFonts w:ascii="Times New Roman" w:hAnsi="Times New Roman"/>
          <w:noProof/>
          <w:sz w:val="24"/>
        </w:rPr>
        <w:t>L’établissement et la propagation de moustiques et de tiques dans l’ensemble de l’UE facilitent la transmission de maladies tropicales telles que la dengue, le virus du Nil occidental et le chikungunya. Des changements environnementaux similaires influencent la propagation des rongeurs qui agissent comme des réservoirs pour des virus tels que les virus Hantaan ou Lassa. Ces menaces croissantes dans l’UE nécessitent une préparation et des investissements dans des contre-mesures médicales spécifiques, y compris des mesures de lutte antivectorielle, afin de protéger les populations.</w:t>
      </w:r>
    </w:p>
    <w:p w14:paraId="38AEB8E8" w14:textId="42F3EC53" w:rsidR="00351D4F" w:rsidRPr="00834DAE" w:rsidRDefault="00F765A9" w:rsidP="771A0F27">
      <w:pPr>
        <w:jc w:val="both"/>
        <w:rPr>
          <w:rFonts w:ascii="Times New Roman" w:hAnsi="Times New Roman" w:cs="Times New Roman"/>
          <w:noProof/>
          <w:sz w:val="24"/>
          <w:szCs w:val="24"/>
        </w:rPr>
      </w:pPr>
      <w:r>
        <w:rPr>
          <w:rFonts w:ascii="Times New Roman" w:hAnsi="Times New Roman"/>
          <w:noProof/>
          <w:sz w:val="24"/>
        </w:rPr>
        <w:t>Dans le même temps, la fréquence et la gravité des phénomènes météorologiques extrêmes, en particulier les vagues de chaleur, les sécheresses, les incendies de forêt et les inondations, se sont intensifiées</w:t>
      </w:r>
      <w:r>
        <w:rPr>
          <w:rStyle w:val="FootnoteReference"/>
          <w:rFonts w:ascii="Times New Roman" w:hAnsi="Times New Roman" w:cs="Times New Roman"/>
          <w:noProof/>
          <w:sz w:val="24"/>
          <w:szCs w:val="24"/>
          <w:lang w:val="en-IE"/>
        </w:rPr>
        <w:footnoteReference w:id="13"/>
      </w:r>
      <w:r>
        <w:rPr>
          <w:rFonts w:ascii="Times New Roman" w:hAnsi="Times New Roman"/>
          <w:noProof/>
          <w:sz w:val="24"/>
        </w:rPr>
        <w:t>, ce qui présente des risques directs et indirects pour la santé. Ces événements sont également susceptibles d’avoir une incidence sur le fonctionnement des établissements de soins de santé et des services de santé publique, avec des risques de perturbation de la production, du transport ou de la distribution de produits essentiels, y compris de contre-mesures médicales. C’est pourquoi les contre-mesures médicales devraient être pleinement prises en considération dans le prochain plan européen d’adaptation au changement climatique.</w:t>
      </w:r>
    </w:p>
    <w:p w14:paraId="443992EB" w14:textId="3F1B01F5" w:rsidR="00091374" w:rsidRPr="00091374" w:rsidRDefault="00091374" w:rsidP="00091374">
      <w:pPr>
        <w:jc w:val="both"/>
        <w:rPr>
          <w:rFonts w:ascii="Times New Roman" w:eastAsia="Aptos" w:hAnsi="Times New Roman" w:cs="Arial"/>
          <w:b/>
          <w:noProof/>
          <w:sz w:val="24"/>
          <w:szCs w:val="24"/>
        </w:rPr>
      </w:pPr>
      <w:r>
        <w:rPr>
          <w:rFonts w:ascii="Times New Roman" w:hAnsi="Times New Roman"/>
          <w:b/>
          <w:noProof/>
          <w:sz w:val="24"/>
        </w:rPr>
        <w:t>Résistance aux antimicrobiens</w:t>
      </w:r>
    </w:p>
    <w:p w14:paraId="7BF628D1" w14:textId="5E2757DC" w:rsidR="00705DE9" w:rsidRDefault="578C5329" w:rsidP="19259EDF">
      <w:pPr>
        <w:jc w:val="both"/>
        <w:rPr>
          <w:rFonts w:ascii="Times New Roman" w:hAnsi="Times New Roman"/>
          <w:noProof/>
          <w:sz w:val="24"/>
          <w:szCs w:val="24"/>
        </w:rPr>
      </w:pPr>
      <w:bookmarkStart w:id="4" w:name="_Hlk199163523"/>
      <w:r>
        <w:rPr>
          <w:rFonts w:ascii="Times New Roman" w:hAnsi="Times New Roman"/>
          <w:noProof/>
          <w:sz w:val="24"/>
        </w:rPr>
        <w:t>La résistance aux antimicrobiens se propage à l’échelle mondiale comme l’une des menaces sanitaires les plus pressantes, intensifiée par l’utilisation abusive et excessive des antibiotiques, la pollution, le changement climatique ainsi que les conflits. Bien que de nombreuses actions aient été menées pour renforcer les mesures préventives, encourager l’accès aux diagnostics et aux antimicrobiens, ainsi que leur disponibilité, et stimuler le processus de développement de nouveaux produits, y compris une nouvelle incitation réglementaire proposée dans la réforme de la législation pharmaceutique de l’UE et les dispositions promouvant l’utilisation prudente des antimicrobiens, la résistance aux antimicrobiens continue d’augmenter. Cette intensification de la menace met en péril un grand nombre des bénéfices obtenus dans le domaine de la médecine moderne et compromet l’efficacité des traitements existants, en particulier des médicaments de «dernier recours», ce qui accroît les risques liés aux procédures médicales de routine et aux infections qui étaient par le passé facilement traitées</w:t>
      </w:r>
      <w:r>
        <w:rPr>
          <w:rFonts w:ascii="Times New Roman" w:hAnsi="Times New Roman" w:cs="Times New Roman"/>
          <w:noProof/>
          <w:vertAlign w:val="superscript"/>
        </w:rPr>
        <w:footnoteReference w:id="14"/>
      </w:r>
      <w:r>
        <w:rPr>
          <w:rFonts w:ascii="Times New Roman" w:hAnsi="Times New Roman"/>
          <w:noProof/>
          <w:sz w:val="24"/>
        </w:rPr>
        <w:t>. La disponibilité de diagnostics sensibles et spécifiques sur le lieu de soin dans les services d’urgence est cruciale pour l’utilisation en première ligne d’antimicrobiens ciblés à spectre étroit.</w:t>
      </w:r>
      <w:r>
        <w:rPr>
          <w:noProof/>
        </w:rPr>
        <w:t xml:space="preserve"> </w:t>
      </w:r>
      <w:r>
        <w:rPr>
          <w:rFonts w:ascii="Times New Roman" w:hAnsi="Times New Roman"/>
          <w:noProof/>
          <w:sz w:val="24"/>
        </w:rPr>
        <w:t xml:space="preserve">En ce qui concerne la plupart des menaces pour la santé, la résistance aux antimicrobiens a une incidence disproportionnée sur les populations vulnérables, notamment les enfants, les personnes âgées, les femmes enceintes et les personnes atteintes de maladies chroniques. </w:t>
      </w:r>
    </w:p>
    <w:bookmarkEnd w:id="4"/>
    <w:p w14:paraId="4753B0C4" w14:textId="41B33A9D" w:rsidR="00093D83" w:rsidRDefault="308DD7E4" w:rsidP="00103A20">
      <w:pPr>
        <w:jc w:val="both"/>
        <w:rPr>
          <w:rFonts w:ascii="Times New Roman" w:hAnsi="Times New Roman" w:cs="Times New Roman"/>
          <w:b/>
          <w:bCs/>
          <w:noProof/>
          <w:sz w:val="24"/>
          <w:szCs w:val="24"/>
        </w:rPr>
      </w:pPr>
      <w:r>
        <w:rPr>
          <w:rFonts w:ascii="Times New Roman" w:hAnsi="Times New Roman"/>
          <w:b/>
          <w:noProof/>
          <w:sz w:val="24"/>
        </w:rPr>
        <w:t>Menaces liées aux conflits armés et menaces chimiques, biologiques, radiologiques et nucléaires (CBRN)</w:t>
      </w:r>
    </w:p>
    <w:p w14:paraId="5A971329" w14:textId="3DD858D4" w:rsidR="00093D83" w:rsidRDefault="00EC3EF0" w:rsidP="00093D83">
      <w:pPr>
        <w:jc w:val="both"/>
        <w:rPr>
          <w:rFonts w:ascii="Times New Roman" w:hAnsi="Times New Roman" w:cs="Times New Roman"/>
          <w:noProof/>
          <w:sz w:val="24"/>
          <w:szCs w:val="24"/>
        </w:rPr>
      </w:pPr>
      <w:r>
        <w:rPr>
          <w:rFonts w:ascii="Times New Roman" w:hAnsi="Times New Roman"/>
          <w:noProof/>
          <w:sz w:val="24"/>
        </w:rPr>
        <w:t xml:space="preserve">L’environnement géopolitique et de sécurité de plus en plus instable accroît les risques de menaces pour la sécurité qui nécessiteraient une réaction sous la forme de contre-mesures médicales. Il s’agit notamment des incidents CBRN, des risques que des acteurs étatiques et non étatiques utilisent des capacités biologiques ou fondées sur l’IA pour concevoir de nouvelles molécules et armes biologiques, des catastrophes entraînant un grand nombre de victimes ou des conflits armés. Dans ces cas, une série de contre-mesures médicales, telles que des antibiotiques ou des antidotes, du matériel de décontamination et d’autres équipements de protection, pourraient être nécessaires en grandes quantités. </w:t>
      </w:r>
    </w:p>
    <w:p w14:paraId="7C88FA9B" w14:textId="71F593C6" w:rsidR="00452895" w:rsidRDefault="00EC3EF0" w:rsidP="00452895">
      <w:pPr>
        <w:jc w:val="both"/>
        <w:rPr>
          <w:rFonts w:ascii="Times New Roman" w:hAnsi="Times New Roman" w:cs="Times New Roman"/>
          <w:noProof/>
          <w:sz w:val="24"/>
          <w:szCs w:val="24"/>
        </w:rPr>
      </w:pPr>
      <w:r>
        <w:rPr>
          <w:rFonts w:ascii="Times New Roman" w:hAnsi="Times New Roman"/>
          <w:noProof/>
          <w:sz w:val="24"/>
        </w:rPr>
        <w:t>Si plusieurs incidents impliquant des biotoxines se sont déjà produits en Allemagne, en Norvège et au Royaume-Uni, ces risques ont été exacerbés par la guerre d’agression menée par la Russie contre l’Ukraine, la centrale nucléaire de Zaporijjia devenant en particulier un point focal des préoccupations en matière de sécurité nucléaire, ainsi que par l’évolution récente de la situation au Moyen-Orient. Cette situation exige que l’UE et ses États membres redoublent d’efforts et renforcent la collaboration civilo-militaire afin de se préparer aux scénarios les plus pessimistes et de veiller à ce que des contre-mesures médicales appropriées soient disponibles et puissent être déployées rapidement.</w:t>
      </w:r>
    </w:p>
    <w:p w14:paraId="5C963FEC" w14:textId="3FC3DD7E" w:rsidR="004742D8" w:rsidRPr="00452895" w:rsidRDefault="00452895" w:rsidP="00452895">
      <w:pPr>
        <w:jc w:val="both"/>
        <w:rPr>
          <w:rFonts w:ascii="Times New Roman" w:hAnsi="Times New Roman" w:cs="Times New Roman"/>
          <w:noProof/>
          <w:sz w:val="24"/>
          <w:szCs w:val="24"/>
        </w:rPr>
      </w:pPr>
      <w:r>
        <w:rPr>
          <w:rFonts w:ascii="Times New Roman" w:hAnsi="Times New Roman"/>
          <w:b/>
          <w:noProof/>
          <w:sz w:val="24"/>
          <w:lang w:val="en-GB" w:eastAsia="en-GB"/>
        </w:rPr>
        <mc:AlternateContent>
          <mc:Choice Requires="wps">
            <w:drawing>
              <wp:inline distT="0" distB="0" distL="0" distR="0" wp14:anchorId="04864533" wp14:editId="646DF7CC">
                <wp:extent cx="6154310" cy="2584174"/>
                <wp:effectExtent l="0" t="0" r="18415" b="26035"/>
                <wp:docPr id="5305169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54310" cy="2584174"/>
                        </a:xfrm>
                        <a:prstGeom prst="rect">
                          <a:avLst/>
                        </a:prstGeom>
                        <a:solidFill>
                          <a:srgbClr val="FFFFFF"/>
                        </a:solidFill>
                        <a:ln w="9525">
                          <a:solidFill>
                            <a:srgbClr val="000000"/>
                          </a:solidFill>
                          <a:miter lim="800000"/>
                          <a:headEnd/>
                          <a:tailEnd/>
                        </a:ln>
                      </wps:spPr>
                      <wps:txbx>
                        <w:txbxContent>
                          <w:p w14:paraId="14986C9F" w14:textId="49936C1E" w:rsidR="00452895" w:rsidRPr="0005475D" w:rsidRDefault="00EC3EF0" w:rsidP="00452895">
                            <w:pPr>
                              <w:jc w:val="both"/>
                              <w:rPr>
                                <w:rFonts w:ascii="Times New Roman" w:hAnsi="Times New Roman" w:cs="Times New Roman"/>
                                <w:b/>
                                <w:bCs/>
                                <w:i/>
                                <w:iCs/>
                                <w:sz w:val="24"/>
                                <w:szCs w:val="24"/>
                              </w:rPr>
                            </w:pPr>
                            <w:r>
                              <w:rPr>
                                <w:rFonts w:ascii="Times New Roman" w:hAnsi="Times New Roman"/>
                                <w:b/>
                                <w:i/>
                                <w:sz w:val="24"/>
                              </w:rPr>
                              <w:t xml:space="preserve">Exemples d’actions de préparation de l’UE aux incidents CBRN </w:t>
                            </w:r>
                          </w:p>
                          <w:p w14:paraId="368BC09E" w14:textId="0E4314D3" w:rsidR="00452895" w:rsidRDefault="00452895" w:rsidP="00452895">
                            <w:pPr>
                              <w:jc w:val="both"/>
                              <w:rPr>
                                <w:rFonts w:ascii="Times New Roman" w:hAnsi="Times New Roman" w:cs="Times New Roman"/>
                                <w:b/>
                                <w:sz w:val="24"/>
                                <w:szCs w:val="24"/>
                              </w:rPr>
                            </w:pPr>
                            <w:r>
                              <w:rPr>
                                <w:rFonts w:ascii="Times New Roman" w:hAnsi="Times New Roman"/>
                                <w:sz w:val="24"/>
                              </w:rPr>
                              <w:t xml:space="preserve">En juin 2018, la police allemande a déjoué un </w:t>
                            </w:r>
                            <w:r>
                              <w:rPr>
                                <w:rFonts w:ascii="Times New Roman" w:hAnsi="Times New Roman"/>
                                <w:b/>
                                <w:sz w:val="24"/>
                              </w:rPr>
                              <w:t>attentat à la ricine à Cologne</w:t>
                            </w:r>
                            <w:r>
                              <w:rPr>
                                <w:rFonts w:ascii="Times New Roman" w:hAnsi="Times New Roman"/>
                                <w:sz w:val="24"/>
                              </w:rPr>
                              <w:t xml:space="preserve">. À l’époque, aucun antidote </w:t>
                            </w:r>
                            <w:r w:rsidR="00E02331">
                              <w:rPr>
                                <w:rFonts w:ascii="Times New Roman" w:hAnsi="Times New Roman"/>
                                <w:sz w:val="24"/>
                              </w:rPr>
                              <w:t xml:space="preserve">à </w:t>
                            </w:r>
                            <w:r>
                              <w:rPr>
                                <w:rFonts w:ascii="Times New Roman" w:hAnsi="Times New Roman"/>
                                <w:sz w:val="24"/>
                              </w:rPr>
                              <w:t>la toxicité de la ricine</w:t>
                            </w:r>
                            <w:r w:rsidR="00E02331">
                              <w:rPr>
                                <w:rFonts w:ascii="Times New Roman" w:hAnsi="Times New Roman"/>
                                <w:sz w:val="24"/>
                              </w:rPr>
                              <w:t xml:space="preserve"> n’était disponible</w:t>
                            </w:r>
                            <w:r>
                              <w:rPr>
                                <w:rFonts w:ascii="Times New Roman" w:hAnsi="Times New Roman"/>
                                <w:sz w:val="24"/>
                              </w:rPr>
                              <w:t>, laissant les potentielles victimes sans traitement efficace. Par l’intermédiaire d’HERA Invest et de COUNTERACT, la Commission a soutenu un antidote candidat, qui est désormais stocké via rescEU pour garantir une protection contre cette menace dans l’ensemble de l’UE</w:t>
                            </w:r>
                            <w:r>
                              <w:rPr>
                                <w:rFonts w:ascii="Times New Roman" w:hAnsi="Times New Roman"/>
                                <w:b/>
                                <w:sz w:val="24"/>
                              </w:rPr>
                              <w:t xml:space="preserve">. </w:t>
                            </w:r>
                          </w:p>
                          <w:p w14:paraId="7B354C03" w14:textId="1B537774" w:rsidR="00022D5D" w:rsidRPr="00240098" w:rsidRDefault="004F1CAE" w:rsidP="00452895">
                            <w:pPr>
                              <w:jc w:val="both"/>
                              <w:rPr>
                                <w:rFonts w:ascii="Times New Roman" w:hAnsi="Times New Roman" w:cs="Times New Roman"/>
                                <w:sz w:val="24"/>
                                <w:szCs w:val="24"/>
                              </w:rPr>
                            </w:pPr>
                            <w:r>
                              <w:rPr>
                                <w:rFonts w:ascii="Times New Roman" w:hAnsi="Times New Roman"/>
                                <w:sz w:val="24"/>
                              </w:rPr>
                              <w:t xml:space="preserve">En préparation des </w:t>
                            </w:r>
                            <w:r>
                              <w:rPr>
                                <w:rFonts w:ascii="Times New Roman" w:hAnsi="Times New Roman"/>
                                <w:b/>
                                <w:sz w:val="24"/>
                              </w:rPr>
                              <w:t>Jeux olympiques de Paris de 2024</w:t>
                            </w:r>
                            <w:r>
                              <w:rPr>
                                <w:rFonts w:ascii="Times New Roman" w:hAnsi="Times New Roman"/>
                                <w:sz w:val="24"/>
                              </w:rPr>
                              <w:t>, la Commission a autorisé le prépositionnement de kits d’intervention médicale d’urgence, ainsi que d’EPI et de détecteurs portables provenant des stocks de rescEU. Ces stocks peuvent donner une impulsion temporaire aux capacités nationales permanentes pour faire face aux défis exceptionnels posés par de tels événements.</w:t>
                            </w:r>
                          </w:p>
                          <w:p w14:paraId="1E129A0E" w14:textId="77777777" w:rsidR="00022D5D" w:rsidRPr="00225F32" w:rsidRDefault="00022D5D" w:rsidP="00452895">
                            <w:pPr>
                              <w:jc w:val="both"/>
                              <w:rPr>
                                <w:rFonts w:ascii="Times New Roman" w:hAnsi="Times New Roman" w:cs="Times New Roman"/>
                                <w:sz w:val="24"/>
                                <w:szCs w:val="24"/>
                                <w:lang w:val="fr-BE"/>
                              </w:rPr>
                            </w:pPr>
                          </w:p>
                          <w:p w14:paraId="2A693FBA" w14:textId="77777777" w:rsidR="00452895" w:rsidRDefault="00452895" w:rsidP="00452895"/>
                        </w:txbxContent>
                      </wps:txbx>
                      <wps:bodyPr rot="0" vert="horz" wrap="square" lIns="91440" tIns="45720" rIns="91440" bIns="45720" anchor="t" anchorCtr="0">
                        <a:noAutofit/>
                      </wps:bodyPr>
                    </wps:wsp>
                  </a:graphicData>
                </a:graphic>
              </wp:inline>
            </w:drawing>
          </mc:Choice>
          <mc:Fallback>
            <w:pict>
              <v:shapetype w14:anchorId="04864533" id="_x0000_t202" coordsize="21600,21600" o:spt="202" path="m,l,21600r21600,l21600,xe">
                <v:stroke joinstyle="miter"/>
                <v:path gradientshapeok="t" o:connecttype="rect"/>
              </v:shapetype>
              <v:shape id="Text Box 2" o:spid="_x0000_s1026" type="#_x0000_t202" style="width:484.6pt;height:20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">
                <v:textbox>
                  <w:txbxContent>
                    <w:p w14:paraId="14986C9F" w14:textId="49936C1E" w:rsidR="00452895" w:rsidRPr="0005475D" w:rsidRDefault="00EC3EF0" w:rsidP="00452895">
                      <w:pPr>
                        <w:jc w:val="both"/>
                        <w:rPr>
                          <w:rFonts w:ascii="Times New Roman" w:hAnsi="Times New Roman" w:cs="Times New Roman"/>
                          <w:b/>
                          <w:bCs/>
                          <w:i/>
                          <w:iCs/>
                          <w:sz w:val="24"/>
                          <w:szCs w:val="24"/>
                        </w:rPr>
                      </w:pPr>
                      <w:r>
                        <w:rPr>
                          <w:rFonts w:ascii="Times New Roman" w:hAnsi="Times New Roman"/>
                          <w:b/>
                          <w:i/>
                          <w:sz w:val="24"/>
                        </w:rPr>
                        <w:t xml:space="preserve">Exemples d’actions de préparation de l’UE aux incidents CBRN </w:t>
                      </w:r>
                    </w:p>
                    <w:p w14:paraId="368BC09E" w14:textId="0E4314D3" w:rsidR="00452895" w:rsidRDefault="00452895" w:rsidP="00452895">
                      <w:pPr>
                        <w:jc w:val="both"/>
                        <w:rPr>
                          <w:rFonts w:ascii="Times New Roman" w:hAnsi="Times New Roman" w:cs="Times New Roman"/>
                          <w:b/>
                          <w:sz w:val="24"/>
                          <w:szCs w:val="24"/>
                        </w:rPr>
                      </w:pPr>
                      <w:r>
                        <w:rPr>
                          <w:rFonts w:ascii="Times New Roman" w:hAnsi="Times New Roman"/>
                          <w:sz w:val="24"/>
                        </w:rPr>
                        <w:t xml:space="preserve">En juin 2018, la police allemande a déjoué un </w:t>
                      </w:r>
                      <w:r>
                        <w:rPr>
                          <w:rFonts w:ascii="Times New Roman" w:hAnsi="Times New Roman"/>
                          <w:b/>
                          <w:sz w:val="24"/>
                        </w:rPr>
                        <w:t>attentat à la ricine à Cologne</w:t>
                      </w:r>
                      <w:r>
                        <w:rPr>
                          <w:rFonts w:ascii="Times New Roman" w:hAnsi="Times New Roman"/>
                          <w:sz w:val="24"/>
                        </w:rPr>
                        <w:t xml:space="preserve">. À l’époque, aucun antidote </w:t>
                      </w:r>
                      <w:r w:rsidR="00E02331">
                        <w:rPr>
                          <w:rFonts w:ascii="Times New Roman" w:hAnsi="Times New Roman"/>
                          <w:sz w:val="24"/>
                        </w:rPr>
                        <w:t xml:space="preserve">à </w:t>
                      </w:r>
                      <w:r>
                        <w:rPr>
                          <w:rFonts w:ascii="Times New Roman" w:hAnsi="Times New Roman"/>
                          <w:sz w:val="24"/>
                        </w:rPr>
                        <w:t>la toxicité de la ricine</w:t>
                      </w:r>
                      <w:r w:rsidR="00E02331">
                        <w:rPr>
                          <w:rFonts w:ascii="Times New Roman" w:hAnsi="Times New Roman"/>
                          <w:sz w:val="24"/>
                        </w:rPr>
                        <w:t xml:space="preserve"> n’était disponible</w:t>
                      </w:r>
                      <w:r>
                        <w:rPr>
                          <w:rFonts w:ascii="Times New Roman" w:hAnsi="Times New Roman"/>
                          <w:sz w:val="24"/>
                        </w:rPr>
                        <w:t>, laissant les potentielles victimes sans traitement efficace. Par l’intermédiaire d’HERA Invest et de COUNTERACT, la Commission a soutenu un antidote candidat, qui est désormais stocké via rescEU pour garantir une protection contre cette menace dans l’ensemble de l’UE</w:t>
                      </w:r>
                      <w:r>
                        <w:rPr>
                          <w:rFonts w:ascii="Times New Roman" w:hAnsi="Times New Roman"/>
                          <w:b/>
                          <w:sz w:val="24"/>
                        </w:rPr>
                        <w:t xml:space="preserve">. </w:t>
                      </w:r>
                    </w:p>
                    <w:p w14:paraId="7B354C03" w14:textId="1B537774" w:rsidR="00022D5D" w:rsidRPr="00240098" w:rsidRDefault="004F1CAE" w:rsidP="00452895">
                      <w:pPr>
                        <w:jc w:val="both"/>
                        <w:rPr>
                          <w:rFonts w:ascii="Times New Roman" w:hAnsi="Times New Roman" w:cs="Times New Roman"/>
                          <w:sz w:val="24"/>
                          <w:szCs w:val="24"/>
                        </w:rPr>
                      </w:pPr>
                      <w:r>
                        <w:rPr>
                          <w:rFonts w:ascii="Times New Roman" w:hAnsi="Times New Roman"/>
                          <w:sz w:val="24"/>
                        </w:rPr>
                        <w:t xml:space="preserve">En préparation des </w:t>
                      </w:r>
                      <w:r>
                        <w:rPr>
                          <w:rFonts w:ascii="Times New Roman" w:hAnsi="Times New Roman"/>
                          <w:b/>
                          <w:sz w:val="24"/>
                        </w:rPr>
                        <w:t>Jeux olympiques de Paris de 2024</w:t>
                      </w:r>
                      <w:r>
                        <w:rPr>
                          <w:rFonts w:ascii="Times New Roman" w:hAnsi="Times New Roman"/>
                          <w:sz w:val="24"/>
                        </w:rPr>
                        <w:t>, la Commission a autorisé le prépositionnement de kits d’intervention médicale d’urgence, ainsi que d’EPI et de détecteurs portables provenant des stocks de rescEU. Ces stocks peuvent donner une impulsion temporaire aux capacités nationales permanentes pour faire face aux défis exceptionnels posés par de tels événements.</w:t>
                      </w:r>
                    </w:p>
                    <w:p w14:paraId="1E129A0E" w14:textId="77777777" w:rsidR="00022D5D" w:rsidRPr="00225F32" w:rsidRDefault="00022D5D" w:rsidP="00452895">
                      <w:pPr>
                        <w:jc w:val="both"/>
                        <w:rPr>
                          <w:rFonts w:ascii="Times New Roman" w:hAnsi="Times New Roman" w:cs="Times New Roman"/>
                          <w:sz w:val="24"/>
                          <w:szCs w:val="24"/>
                          <w:lang w:val="fr-BE"/>
                        </w:rPr>
                      </w:pPr>
                    </w:p>
                    <w:p w14:paraId="2A693FBA" w14:textId="77777777" w:rsidR="00452895" w:rsidRDefault="00452895" w:rsidP="00452895"/>
                  </w:txbxContent>
                </v:textbox>
                <w10:anchorlock/>
              </v:shape>
            </w:pict>
          </mc:Fallback>
        </mc:AlternateContent>
      </w:r>
    </w:p>
    <w:p w14:paraId="2072BD2C" w14:textId="5F539A4D" w:rsidR="00550B8E" w:rsidRPr="00F7485E" w:rsidRDefault="00575787" w:rsidP="00B44F30">
      <w:pPr>
        <w:pStyle w:val="Heading1"/>
        <w:numPr>
          <w:ilvl w:val="0"/>
          <w:numId w:val="30"/>
        </w:numPr>
        <w:spacing w:before="120"/>
        <w:contextualSpacing w:val="0"/>
        <w:rPr>
          <w:rFonts w:ascii="Times New Roman Bold" w:hAnsi="Times New Roman Bold"/>
          <w:noProof/>
          <w:u w:val="single"/>
        </w:rPr>
      </w:pPr>
      <w:r>
        <w:rPr>
          <w:rFonts w:ascii="Times New Roman Bold" w:hAnsi="Times New Roman Bold"/>
          <w:noProof/>
          <w:u w:val="single"/>
        </w:rPr>
        <w:t xml:space="preserve">UN SYSTÈME DE RENSEIGNEMENT SOLIDE POUR LA RÉACTION ET L’INNOVATION EN MATIÈRE DE CONTRE-MESURES MÉDICALES </w:t>
      </w:r>
    </w:p>
    <w:p w14:paraId="169AC15F" w14:textId="73A0EEB4" w:rsidR="003A5529" w:rsidRDefault="00423206" w:rsidP="002500A1">
      <w:pPr>
        <w:jc w:val="both"/>
        <w:rPr>
          <w:rFonts w:ascii="Times New Roman" w:hAnsi="Times New Roman" w:cs="Times New Roman"/>
          <w:noProof/>
          <w:sz w:val="24"/>
          <w:szCs w:val="24"/>
        </w:rPr>
      </w:pPr>
      <w:r>
        <w:rPr>
          <w:rFonts w:ascii="Times New Roman" w:hAnsi="Times New Roman"/>
          <w:noProof/>
          <w:sz w:val="24"/>
        </w:rPr>
        <w:t xml:space="preserve">Face à l’évolution rapide des menaces pour la santé, la rapidité est essentielle et tout retard peut coûter des vies. Afin de permettre une réaction rapide, des systèmes de surveillance et d’alerte précoce solides, associés à des systèmes complets de renseignement sur les menaces en vue de mettre en place les contre-mesures médicales, sont cruciaux pour détecter les menaces sanitaires, définir les contre-mesures médicales appropriées, les mettre au point et les déployer rapidement. </w:t>
      </w:r>
    </w:p>
    <w:p w14:paraId="2B742F6E" w14:textId="0BFB9A7D" w:rsidR="00141FEE" w:rsidRPr="00434AA4" w:rsidDel="00D110D0" w:rsidRDefault="00B44F30" w:rsidP="00434AA4">
      <w:pPr>
        <w:pStyle w:val="Heading2"/>
        <w:numPr>
          <w:ilvl w:val="0"/>
          <w:numId w:val="0"/>
        </w:numPr>
        <w:ind w:left="1068" w:hanging="360"/>
        <w:rPr>
          <w:noProof/>
        </w:rPr>
      </w:pPr>
      <w:r>
        <w:rPr>
          <w:noProof/>
        </w:rPr>
        <w:t>2.1 Prospective et anticipation: améliorer le renseignement collectif sur les menaces sanitaires pour mettre en place les contre-mesures médicales</w:t>
      </w:r>
    </w:p>
    <w:p w14:paraId="6AD33B42" w14:textId="22C6FC6C" w:rsidR="00C90D11" w:rsidRPr="00C90D11" w:rsidRDefault="00C90D11" w:rsidP="002500A1">
      <w:pPr>
        <w:jc w:val="both"/>
        <w:rPr>
          <w:rFonts w:ascii="Times New Roman" w:hAnsi="Times New Roman" w:cs="Times New Roman"/>
          <w:b/>
          <w:bCs/>
          <w:noProof/>
          <w:sz w:val="24"/>
          <w:szCs w:val="24"/>
        </w:rPr>
      </w:pPr>
      <w:r>
        <w:rPr>
          <w:rFonts w:ascii="Times New Roman" w:hAnsi="Times New Roman"/>
          <w:b/>
          <w:noProof/>
          <w:sz w:val="24"/>
        </w:rPr>
        <w:t xml:space="preserve">Un système solide de prospective et d’anticipation, qui examine les menaces nécessitant des contre-mesures médicales dans le cadre d’une approche tous risques, permettra à l’UE de mettre au point et de déployer rapidement des contre-mesures médicales pour répondre aux urgences sanitaires. </w:t>
      </w:r>
    </w:p>
    <w:p w14:paraId="5BB192CB" w14:textId="2EB2B871" w:rsidR="00C90D11" w:rsidRPr="001523C1" w:rsidRDefault="09105AA7" w:rsidP="002500A1">
      <w:pPr>
        <w:jc w:val="both"/>
        <w:rPr>
          <w:rFonts w:ascii="Times New Roman" w:hAnsi="Times New Roman" w:cs="Times New Roman"/>
          <w:noProof/>
          <w:sz w:val="24"/>
          <w:szCs w:val="24"/>
        </w:rPr>
      </w:pPr>
      <w:r>
        <w:rPr>
          <w:rFonts w:ascii="Times New Roman" w:hAnsi="Times New Roman"/>
          <w:noProof/>
          <w:sz w:val="24"/>
        </w:rPr>
        <w:t xml:space="preserve">Afin de moderniser le système existant, la Commission continuera à développer et à mettre en œuvre son système de renseignement sur les contre-mesures médicales, à savoir le système informatique </w:t>
      </w:r>
      <w:r>
        <w:rPr>
          <w:rFonts w:ascii="Times New Roman" w:hAnsi="Times New Roman"/>
          <w:b/>
          <w:noProof/>
          <w:sz w:val="24"/>
        </w:rPr>
        <w:t>ATHINA</w:t>
      </w:r>
      <w:r>
        <w:rPr>
          <w:rFonts w:ascii="Times New Roman" w:hAnsi="Times New Roman"/>
          <w:noProof/>
          <w:sz w:val="24"/>
        </w:rPr>
        <w:t xml:space="preserve"> (Advanced Technology for Health Intelligence and Action: technologie avancée pour le renseignement et l’action sanitaires). Les premiers modules ont été</w:t>
      </w:r>
      <w:r>
        <w:rPr>
          <w:rFonts w:ascii="Times New Roman" w:hAnsi="Times New Roman"/>
          <w:b/>
          <w:noProof/>
          <w:sz w:val="24"/>
        </w:rPr>
        <w:t xml:space="preserve"> </w:t>
      </w:r>
      <w:r>
        <w:rPr>
          <w:rFonts w:ascii="Times New Roman" w:hAnsi="Times New Roman"/>
          <w:noProof/>
          <w:sz w:val="24"/>
        </w:rPr>
        <w:t>mis en service en 2025 et sont complémentaires d’autres systèmes de renseignement, par exemple ceux relatifs au renseignement sur les épidémies gérés par l’ECDC. ATHINA intégrera les données existantes sur la santé publique et la chaîne d’approvisionnement collectées et analysées au moyen de systèmes exploités entre autres par l’EMA, l’ECDC, le Centre commun de recherche de la Commission ou encore le pôle de l’Organisation mondiale de la santé pour le renseignement sur les pandémies et les épidémies</w:t>
      </w:r>
      <w:r>
        <w:rPr>
          <w:rStyle w:val="FootnoteReference"/>
          <w:rFonts w:ascii="Times New Roman" w:eastAsia="Times New Roman" w:hAnsi="Times New Roman" w:cs="Times New Roman"/>
          <w:noProof/>
          <w:sz w:val="24"/>
          <w:szCs w:val="24"/>
        </w:rPr>
        <w:footnoteReference w:id="15"/>
      </w:r>
      <w:r>
        <w:rPr>
          <w:rFonts w:ascii="Times New Roman" w:hAnsi="Times New Roman"/>
          <w:noProof/>
          <w:sz w:val="24"/>
        </w:rPr>
        <w:t>. En tirant parti de la prospective et de l’analyse prospective, des fonctionnalités futures d’intelligence artificielle (IA), des possibilités d’enquête et de modélisation, le système ATHINA générera des renseignements sur les contre-mesures médicales, renforçant ainsi les capacités analytiques et les options de réaction de la Commission face à des menaces spécifiques pour la santé</w:t>
      </w:r>
      <w:r>
        <w:rPr>
          <w:rStyle w:val="FootnoteReference"/>
          <w:rFonts w:ascii="Times New Roman" w:hAnsi="Times New Roman" w:cs="Times New Roman"/>
          <w:noProof/>
          <w:sz w:val="24"/>
          <w:szCs w:val="24"/>
        </w:rPr>
        <w:footnoteReference w:id="16"/>
      </w:r>
      <w:r>
        <w:rPr>
          <w:rFonts w:ascii="Times New Roman" w:hAnsi="Times New Roman"/>
          <w:noProof/>
          <w:sz w:val="24"/>
        </w:rPr>
        <w:t xml:space="preserve">. Il fonctionnera en synergie avec la future plateforme européenne de gestion des crises (ECMP). </w:t>
      </w:r>
    </w:p>
    <w:p w14:paraId="04529484" w14:textId="4B2233D6" w:rsidR="0070330B" w:rsidRPr="00415C47" w:rsidRDefault="0000728D" w:rsidP="00FF0686">
      <w:pPr>
        <w:jc w:val="both"/>
        <w:rPr>
          <w:rFonts w:ascii="Times New Roman" w:hAnsi="Times New Roman" w:cs="Times New Roman"/>
          <w:noProof/>
          <w:sz w:val="24"/>
          <w:szCs w:val="24"/>
        </w:rPr>
      </w:pPr>
      <w:r>
        <w:rPr>
          <w:rFonts w:ascii="Times New Roman" w:hAnsi="Times New Roman"/>
          <w:noProof/>
          <w:sz w:val="24"/>
        </w:rPr>
        <w:t xml:space="preserve">La Commission, en coopération avec les États membres, élaborera d’ici à 2026 des </w:t>
      </w:r>
      <w:r>
        <w:rPr>
          <w:rFonts w:ascii="Times New Roman" w:hAnsi="Times New Roman"/>
          <w:b/>
          <w:noProof/>
          <w:sz w:val="24"/>
        </w:rPr>
        <w:t>feuilles de route</w:t>
      </w:r>
      <w:r>
        <w:rPr>
          <w:rFonts w:ascii="Times New Roman" w:hAnsi="Times New Roman"/>
          <w:noProof/>
          <w:sz w:val="24"/>
        </w:rPr>
        <w:t xml:space="preserve"> spécifiques </w:t>
      </w:r>
      <w:r>
        <w:rPr>
          <w:rFonts w:ascii="Times New Roman" w:hAnsi="Times New Roman"/>
          <w:b/>
          <w:bCs/>
          <w:noProof/>
          <w:sz w:val="24"/>
        </w:rPr>
        <w:t>de préparation en matière de contre-mesures médicales</w:t>
      </w:r>
      <w:r>
        <w:rPr>
          <w:rFonts w:ascii="Times New Roman" w:hAnsi="Times New Roman"/>
          <w:noProof/>
          <w:sz w:val="24"/>
        </w:rPr>
        <w:t>. Sur la base des données scientifiques existantes, ces feuilles de route exposeront les principales contre-mesures médicales nécessaires pour renforcer la préparation de l’UE à différents scénarios d’urgence sanitaire</w:t>
      </w:r>
      <w:bookmarkStart w:id="5" w:name="_Hlk195718535"/>
      <w:r>
        <w:rPr>
          <w:rFonts w:ascii="Times New Roman" w:hAnsi="Times New Roman"/>
          <w:noProof/>
          <w:sz w:val="24"/>
        </w:rPr>
        <w:t xml:space="preserve">. </w:t>
      </w:r>
    </w:p>
    <w:p w14:paraId="55A3DA4F" w14:textId="68553629" w:rsidR="00256C24" w:rsidRPr="00C637B3" w:rsidRDefault="0000728D" w:rsidP="00FF0686">
      <w:pPr>
        <w:jc w:val="both"/>
        <w:rPr>
          <w:rFonts w:ascii="Times New Roman" w:hAnsi="Times New Roman" w:cs="Times New Roman"/>
          <w:noProof/>
          <w:sz w:val="24"/>
          <w:szCs w:val="24"/>
        </w:rPr>
      </w:pPr>
      <w:r>
        <w:rPr>
          <w:rFonts w:ascii="Times New Roman" w:hAnsi="Times New Roman"/>
          <w:noProof/>
          <w:sz w:val="24"/>
        </w:rPr>
        <w:t xml:space="preserve">En outre, la Commission, en coopération avec les États membres, élaborera et publiera en 2026 une </w:t>
      </w:r>
      <w:r>
        <w:rPr>
          <w:rFonts w:ascii="Times New Roman" w:hAnsi="Times New Roman"/>
          <w:b/>
          <w:noProof/>
          <w:sz w:val="24"/>
        </w:rPr>
        <w:t>liste de l’UE des contre-mesures médicales pour les menaces prioritaires</w:t>
      </w:r>
      <w:r>
        <w:rPr>
          <w:rFonts w:ascii="Times New Roman" w:hAnsi="Times New Roman"/>
          <w:noProof/>
          <w:sz w:val="24"/>
        </w:rPr>
        <w:t>.</w:t>
      </w:r>
      <w:r>
        <w:rPr>
          <w:rFonts w:ascii="Times New Roman" w:hAnsi="Times New Roman"/>
          <w:b/>
          <w:noProof/>
          <w:sz w:val="24"/>
        </w:rPr>
        <w:t xml:space="preserve"> </w:t>
      </w:r>
      <w:r>
        <w:rPr>
          <w:rFonts w:ascii="Times New Roman" w:hAnsi="Times New Roman"/>
          <w:noProof/>
          <w:sz w:val="24"/>
        </w:rPr>
        <w:t>Cette liste servira de base à la liste des contre-mesures médicales nécessaires en cas de crise que la Commission doit établir lors de l’activation du cadre d’urgence au titre du règlement concernant le cadre d’urgence</w:t>
      </w:r>
      <w:r>
        <w:rPr>
          <w:rStyle w:val="FootnoteReference"/>
          <w:rFonts w:ascii="Times New Roman" w:hAnsi="Times New Roman" w:cs="Times New Roman"/>
          <w:noProof/>
          <w:sz w:val="24"/>
          <w:szCs w:val="24"/>
          <w:lang w:val="en-IE"/>
        </w:rPr>
        <w:footnoteReference w:id="17"/>
      </w:r>
      <w:r>
        <w:rPr>
          <w:rFonts w:ascii="Times New Roman" w:hAnsi="Times New Roman"/>
          <w:noProof/>
          <w:sz w:val="24"/>
        </w:rPr>
        <w:t>. Elle recensera aussi les contre-mesures médicales qui peuvent être prioritaires pour différentes actions telles que celles qui favorisent l’innovation, la passation conjointe de marchés ou la constitution de stocks</w:t>
      </w:r>
      <w:r>
        <w:rPr>
          <w:rStyle w:val="FootnoteReference"/>
          <w:rFonts w:ascii="Times New Roman" w:hAnsi="Times New Roman" w:cs="Times New Roman"/>
          <w:noProof/>
          <w:sz w:val="24"/>
          <w:szCs w:val="24"/>
          <w:lang w:val="en-IE"/>
        </w:rPr>
        <w:footnoteReference w:id="18"/>
      </w:r>
      <w:r>
        <w:rPr>
          <w:noProof/>
        </w:rPr>
        <w:t>.</w:t>
      </w:r>
    </w:p>
    <w:p w14:paraId="74FFA926" w14:textId="604832CD" w:rsidR="00141FEE" w:rsidRPr="00434AA4" w:rsidRDefault="00B44F30" w:rsidP="00434AA4">
      <w:pPr>
        <w:pStyle w:val="Heading2"/>
        <w:numPr>
          <w:ilvl w:val="0"/>
          <w:numId w:val="0"/>
        </w:numPr>
        <w:ind w:left="1068" w:hanging="360"/>
        <w:rPr>
          <w:noProof/>
        </w:rPr>
      </w:pPr>
      <w:r>
        <w:rPr>
          <w:noProof/>
        </w:rPr>
        <w:t>2.2 Renforcer la détection et l’identification des menaces pour la santé nécessitant des contre-mesures médicales</w:t>
      </w:r>
    </w:p>
    <w:p w14:paraId="2E7F20B4" w14:textId="4EE08BAF" w:rsidR="004861EA" w:rsidRPr="00F26E23" w:rsidRDefault="00F26E23" w:rsidP="00C90D11">
      <w:pPr>
        <w:jc w:val="both"/>
        <w:rPr>
          <w:rFonts w:ascii="Times New Roman" w:hAnsi="Times New Roman" w:cs="Times New Roman"/>
          <w:noProof/>
          <w:sz w:val="24"/>
          <w:szCs w:val="24"/>
        </w:rPr>
      </w:pPr>
      <w:r>
        <w:rPr>
          <w:rFonts w:ascii="Times New Roman" w:hAnsi="Times New Roman"/>
          <w:b/>
          <w:noProof/>
          <w:sz w:val="24"/>
        </w:rPr>
        <w:t xml:space="preserve">Une surveillance solide, un repérage rapide des menaces pour la santé et des alertes à leur sujet sont essentiels pour garantir la mise au point et le déploiement précoces de contre-mesures médicales appropriées, en réduisant au minimum l’incidence des crises de santé publique sur la population. </w:t>
      </w:r>
      <w:r>
        <w:rPr>
          <w:rFonts w:ascii="Times New Roman" w:hAnsi="Times New Roman"/>
          <w:noProof/>
          <w:sz w:val="24"/>
        </w:rPr>
        <w:t>C’est ce que les citoyens attendent, et c’est capital, en particulier pour les plus vulnérables et les intervenants de première ligne.</w:t>
      </w:r>
    </w:p>
    <w:p w14:paraId="7C07AAF7" w14:textId="358DD918" w:rsidR="11F25C27" w:rsidRPr="00AF0368" w:rsidRDefault="0056670F" w:rsidP="340AE79E">
      <w:pPr>
        <w:jc w:val="both"/>
        <w:rPr>
          <w:rFonts w:ascii="Times New Roman" w:hAnsi="Times New Roman" w:cs="Times New Roman"/>
          <w:noProof/>
          <w:sz w:val="24"/>
          <w:szCs w:val="24"/>
        </w:rPr>
      </w:pPr>
      <w:r>
        <w:rPr>
          <w:rFonts w:ascii="Times New Roman" w:hAnsi="Times New Roman"/>
          <w:noProof/>
          <w:sz w:val="24"/>
        </w:rPr>
        <w:t>En s’appuyant sur les compétences et sur le mandat de l’ECDC, et conformément à l’ambition énoncée dans la stratégie pour une union de la préparation, l’UE consolidera sa capacité à détecter et à évaluer les menaces en adoptant une approche «Une seule santé», tous risques et pansociétale, couvrant les menaces sanitaires traditionnelles telles que les flambées épidémiques, les conséquences des incidents CBRN</w:t>
      </w:r>
      <w:r>
        <w:rPr>
          <w:rStyle w:val="FootnoteReference"/>
          <w:rFonts w:ascii="Times New Roman" w:hAnsi="Times New Roman" w:cs="Times New Roman"/>
          <w:noProof/>
          <w:sz w:val="24"/>
          <w:szCs w:val="24"/>
        </w:rPr>
        <w:footnoteReference w:id="19"/>
      </w:r>
      <w:r>
        <w:rPr>
          <w:rFonts w:ascii="Times New Roman" w:hAnsi="Times New Roman"/>
          <w:noProof/>
          <w:sz w:val="24"/>
        </w:rPr>
        <w:t xml:space="preserve">, des conflits armés et des catastrophes entraînant un grand nombre de victimes dans l’UE ou dans son voisinage. </w:t>
      </w:r>
    </w:p>
    <w:p w14:paraId="288AA0A3" w14:textId="04E1C2C4" w:rsidR="00092699" w:rsidRDefault="5E517C05" w:rsidP="00F7485E">
      <w:pPr>
        <w:jc w:val="both"/>
        <w:rPr>
          <w:rFonts w:ascii="Times New Roman" w:hAnsi="Times New Roman" w:cs="Times New Roman"/>
          <w:noProof/>
          <w:sz w:val="24"/>
          <w:szCs w:val="24"/>
        </w:rPr>
      </w:pPr>
      <w:r>
        <w:rPr>
          <w:rFonts w:ascii="Times New Roman" w:hAnsi="Times New Roman"/>
          <w:noProof/>
          <w:sz w:val="24"/>
        </w:rPr>
        <w:t xml:space="preserve">La Commission, avec le soutien de l’ECDC, continuera également d’aider les États membres </w:t>
      </w:r>
      <w:r>
        <w:rPr>
          <w:rFonts w:ascii="Times New Roman" w:hAnsi="Times New Roman"/>
          <w:b/>
          <w:noProof/>
          <w:sz w:val="24"/>
        </w:rPr>
        <w:t>à renforcer leurs capacités de surveillance des eaux usées et de l’environnement</w:t>
      </w:r>
      <w:r>
        <w:rPr>
          <w:rFonts w:ascii="Times New Roman" w:hAnsi="Times New Roman"/>
          <w:noProof/>
          <w:sz w:val="24"/>
        </w:rPr>
        <w:t>, conformément à la refonte de la directive relative au traitement des eaux résiduaires urbaines</w:t>
      </w:r>
      <w:r>
        <w:rPr>
          <w:rStyle w:val="FootnoteReference"/>
          <w:rFonts w:ascii="Times New Roman" w:hAnsi="Times New Roman" w:cs="Times New Roman"/>
          <w:noProof/>
          <w:sz w:val="24"/>
          <w:szCs w:val="24"/>
          <w:lang w:val="en-IE"/>
        </w:rPr>
        <w:footnoteReference w:id="20"/>
      </w:r>
      <w:r>
        <w:rPr>
          <w:rFonts w:ascii="Times New Roman" w:hAnsi="Times New Roman"/>
          <w:noProof/>
          <w:sz w:val="24"/>
        </w:rPr>
        <w:t xml:space="preserve">. </w:t>
      </w:r>
    </w:p>
    <w:p w14:paraId="26B864A4" w14:textId="4CAF5C80" w:rsidR="00F7485E" w:rsidRPr="004838D9" w:rsidRDefault="0000728D" w:rsidP="00F7485E">
      <w:pPr>
        <w:jc w:val="both"/>
        <w:rPr>
          <w:rFonts w:ascii="Times New Roman" w:hAnsi="Times New Roman" w:cs="Times New Roman"/>
          <w:noProof/>
          <w:sz w:val="24"/>
          <w:szCs w:val="24"/>
        </w:rPr>
      </w:pPr>
      <w:r>
        <w:rPr>
          <w:rFonts w:ascii="Times New Roman" w:hAnsi="Times New Roman"/>
          <w:noProof/>
          <w:sz w:val="24"/>
        </w:rPr>
        <w:t xml:space="preserve">Ces travaux permettront à la Commission, en étroite coopération avec l’ECDC, de mettre en œuvre un </w:t>
      </w:r>
      <w:r>
        <w:rPr>
          <w:rFonts w:ascii="Times New Roman" w:hAnsi="Times New Roman"/>
          <w:b/>
          <w:noProof/>
          <w:sz w:val="24"/>
        </w:rPr>
        <w:t>système sentinelle pour les eaux usées au niveau de l’UE</w:t>
      </w:r>
      <w:r>
        <w:rPr>
          <w:rFonts w:ascii="Times New Roman" w:hAnsi="Times New Roman"/>
          <w:noProof/>
          <w:sz w:val="24"/>
        </w:rPr>
        <w:t xml:space="preserve">, collectant des données sur la circulation des agents pathogènes à partir de sites stratégiques tels que les aéroports. En 2026, la Commission et ses partenaires lanceront également un </w:t>
      </w:r>
      <w:r>
        <w:rPr>
          <w:rFonts w:ascii="Times New Roman" w:hAnsi="Times New Roman"/>
          <w:b/>
          <w:noProof/>
          <w:sz w:val="24"/>
        </w:rPr>
        <w:t>système sentinelle mondial pour les eaux usées</w:t>
      </w:r>
      <w:r>
        <w:rPr>
          <w:rFonts w:ascii="Times New Roman" w:hAnsi="Times New Roman"/>
          <w:noProof/>
          <w:sz w:val="24"/>
        </w:rPr>
        <w:t xml:space="preserve"> dans le cadre du </w:t>
      </w:r>
      <w:r>
        <w:rPr>
          <w:rFonts w:ascii="Times New Roman" w:hAnsi="Times New Roman"/>
          <w:b/>
          <w:noProof/>
          <w:sz w:val="24"/>
        </w:rPr>
        <w:t>consortium mondial pour la surveillance des eaux usées et de l’environnement (GLOWACON)</w:t>
      </w:r>
      <w:r>
        <w:rPr>
          <w:rFonts w:ascii="Times New Roman" w:hAnsi="Times New Roman"/>
          <w:noProof/>
          <w:sz w:val="24"/>
        </w:rPr>
        <w:t xml:space="preserve">, qui couvrira les aéroports internationaux et les sites stratégiques à l’échelle mondiale, afin de détecter et de suivre les épidémies potentielles dans le monde entier. Ces systèmes sentinelles volontaires utiliseront la surveillance des eaux usées pour la détection précoce et le suivi des épidémies, favorisant ainsi le déploiement de contre-mesures médicales en temps voulu. </w:t>
      </w:r>
    </w:p>
    <w:p w14:paraId="6571ED2A" w14:textId="1DCE4A1C" w:rsidR="00AC13DE" w:rsidRPr="00434AA4" w:rsidRDefault="00732A1E" w:rsidP="00434AA4">
      <w:pPr>
        <w:spacing w:before="120"/>
        <w:jc w:val="both"/>
        <w:rPr>
          <w:rFonts w:ascii="Times New Roman" w:hAnsi="Times New Roman" w:cs="Times New Roman"/>
          <w:noProof/>
          <w:sz w:val="24"/>
          <w:szCs w:val="24"/>
        </w:rPr>
      </w:pPr>
      <w:r>
        <w:rPr>
          <w:rFonts w:ascii="Times New Roman" w:hAnsi="Times New Roman"/>
          <w:noProof/>
          <w:sz w:val="24"/>
        </w:rPr>
        <w:t>Le règlement (UE) 2022/2371 concernant les menaces transfrontières graves pour la santé impose à la Commission de mettre en place un réseau de laboratoires de référence de l’UE pour la santé publique</w:t>
      </w:r>
      <w:r>
        <w:rPr>
          <w:rStyle w:val="FootnoteReference"/>
          <w:rFonts w:ascii="Times New Roman" w:hAnsi="Times New Roman" w:cs="Times New Roman"/>
          <w:noProof/>
          <w:sz w:val="24"/>
          <w:szCs w:val="24"/>
          <w:lang w:val="en-IE"/>
        </w:rPr>
        <w:footnoteReference w:id="21"/>
      </w:r>
      <w:r>
        <w:rPr>
          <w:rFonts w:ascii="Times New Roman" w:hAnsi="Times New Roman"/>
          <w:noProof/>
          <w:sz w:val="24"/>
        </w:rPr>
        <w:t>. Cette tâche est bien avancée: neuf laboratoires de référence de l’UE ont déjà été désignés et jouent un rôle essentiel dans le renforcement de l’architecture de sécurité sanitaire de l’UE, y compris, le cas échéant, pour la mise au point des contre-mesures médicales. La Commission a également mis en place le projet DURABLE, composé de 19 partenaires issus du monde universitaire et d’instituts de santé publique qui soutiennent la Commission dans le domaine du renseignement biologique et de la recherche critique de qualité sur les différentes catégories de contre-mesures médicales (vaccins, traitements, diagnostics, EPI et biocides, par exemple)</w:t>
      </w:r>
      <w:r>
        <w:rPr>
          <w:rStyle w:val="FootnoteReference"/>
          <w:rFonts w:ascii="Times New Roman" w:hAnsi="Times New Roman" w:cs="Times New Roman"/>
          <w:noProof/>
          <w:sz w:val="24"/>
          <w:szCs w:val="24"/>
          <w:lang w:val="en-IE"/>
        </w:rPr>
        <w:footnoteReference w:id="22"/>
      </w:r>
      <w:r>
        <w:rPr>
          <w:rFonts w:ascii="Times New Roman" w:hAnsi="Times New Roman"/>
          <w:noProof/>
          <w:sz w:val="24"/>
        </w:rPr>
        <w:t xml:space="preserve">. La Commission envisage d’en étendre la couverture géographique afin de consolider la capacité de l’UE à définir, caractériser et mettre au point des contre-mesures médicales et à caractériser les agents pathogènes présentant un intérêt et préoccupants, en garantissant les synergies et la complémentarité et en évitant toute redondance avec les travaux des laboratoires de référence de l’UE. Dans l’ensemble, la Commission continuera d’aider les États membres à renforcer leurs capacités de laboratoire de pointe, en exploitant des outils innovants tels que la métagénomique, la bio-informatique et l’IA, afin d’accélérer la détection des menaces et de permettre la caractérisation et le renseignement biologiques ainsi que l’élaboration de diagnostics. </w:t>
      </w:r>
    </w:p>
    <w:p w14:paraId="4F08DD2D" w14:textId="70934527" w:rsidR="004861EA" w:rsidRPr="00F23F86" w:rsidRDefault="002953CF" w:rsidP="00B227F1">
      <w:pPr>
        <w:jc w:val="both"/>
        <w:rPr>
          <w:rFonts w:ascii="Times New Roman" w:hAnsi="Times New Roman" w:cs="Times New Roman"/>
          <w:noProof/>
          <w:sz w:val="24"/>
          <w:szCs w:val="24"/>
        </w:rPr>
      </w:pPr>
      <w:r>
        <w:rPr>
          <w:rFonts w:ascii="Times New Roman" w:hAnsi="Times New Roman"/>
          <w:noProof/>
          <w:sz w:val="24"/>
          <w:lang w:val="en-GB" w:eastAsia="en-GB"/>
        </w:rPr>
        <mc:AlternateContent>
          <mc:Choice Requires="wps">
            <w:drawing>
              <wp:inline distT="0" distB="0" distL="0" distR="0" wp14:anchorId="245E694E" wp14:editId="5BE403EC">
                <wp:extent cx="5961888" cy="2752344"/>
                <wp:effectExtent l="0" t="0" r="20320" b="10160"/>
                <wp:docPr id="131393372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1888" cy="2752344"/>
                        </a:xfrm>
                        <a:prstGeom prst="rect">
                          <a:avLst/>
                        </a:prstGeom>
                        <a:solidFill>
                          <a:sysClr val="window" lastClr="FFFFFF">
                            <a:lumMod val="85000"/>
                          </a:sysClr>
                        </a:solidFill>
                        <a:ln w="9525">
                          <a:solidFill>
                            <a:srgbClr val="000000"/>
                          </a:solidFill>
                          <a:miter lim="800000"/>
                          <a:headEnd/>
                          <a:tailEnd/>
                        </a:ln>
                      </wps:spPr>
                      <wps:txbx>
                        <w:txbxContent>
                          <w:p w14:paraId="3917CAB7" w14:textId="69F0646F" w:rsidR="002953CF" w:rsidRPr="00B1092E" w:rsidRDefault="002953CF" w:rsidP="002953CF">
                            <w:pPr>
                              <w:pStyle w:val="L1"/>
                              <w:ind w:left="0"/>
                              <w:rPr>
                                <w:rFonts w:ascii="Times New Roman" w:hAnsi="Times New Roman"/>
                                <w:b/>
                                <w:bCs/>
                                <w:i/>
                                <w:iCs/>
                                <w:sz w:val="24"/>
                                <w:szCs w:val="24"/>
                              </w:rPr>
                            </w:pPr>
                            <w:r>
                              <w:rPr>
                                <w:rFonts w:ascii="Times New Roman" w:hAnsi="Times New Roman"/>
                                <w:b/>
                                <w:i/>
                                <w:sz w:val="24"/>
                              </w:rPr>
                              <w:t xml:space="preserve">Actions clés: </w:t>
                            </w:r>
                          </w:p>
                          <w:p w14:paraId="60C8AB8A" w14:textId="3175DC30" w:rsidR="002953CF" w:rsidRPr="00BD3BE7" w:rsidRDefault="002953CF" w:rsidP="002953CF">
                            <w:pPr>
                              <w:rPr>
                                <w:rFonts w:ascii="Times New Roman" w:hAnsi="Times New Roman" w:cs="Times New Roman"/>
                                <w:b/>
                                <w:bCs/>
                                <w:sz w:val="24"/>
                                <w:szCs w:val="24"/>
                              </w:rPr>
                            </w:pPr>
                            <w:r>
                              <w:rPr>
                                <w:rFonts w:ascii="Times New Roman" w:hAnsi="Times New Roman"/>
                                <w:b/>
                                <w:sz w:val="24"/>
                              </w:rPr>
                              <w:t xml:space="preserve">La Commission: </w:t>
                            </w:r>
                          </w:p>
                          <w:p w14:paraId="0D69BDE7" w14:textId="1235B055" w:rsidR="002953CF" w:rsidRPr="009350D7" w:rsidRDefault="0001172D" w:rsidP="00F961A8">
                            <w:pPr>
                              <w:pStyle w:val="ListParagraph"/>
                              <w:numPr>
                                <w:ilvl w:val="0"/>
                                <w:numId w:val="4"/>
                              </w:numPr>
                              <w:ind w:left="284" w:hanging="207"/>
                              <w:rPr>
                                <w:rFonts w:ascii="Times New Roman" w:hAnsi="Times New Roman" w:cs="Times New Roman"/>
                                <w:b/>
                                <w:bCs/>
                                <w:sz w:val="24"/>
                                <w:szCs w:val="24"/>
                              </w:rPr>
                            </w:pPr>
                            <w:r>
                              <w:rPr>
                                <w:rFonts w:ascii="Times New Roman" w:hAnsi="Times New Roman"/>
                                <w:sz w:val="24"/>
                              </w:rPr>
                              <w:t xml:space="preserve">mettra en œuvre et développera, en collaboration avec l’ECDC, un </w:t>
                            </w:r>
                            <w:r>
                              <w:rPr>
                                <w:rFonts w:ascii="Times New Roman" w:hAnsi="Times New Roman"/>
                                <w:b/>
                                <w:sz w:val="24"/>
                              </w:rPr>
                              <w:t>système sentinelle de l’UE pour les eaux usées</w:t>
                            </w:r>
                            <w:r>
                              <w:rPr>
                                <w:rFonts w:ascii="Times New Roman" w:hAnsi="Times New Roman"/>
                                <w:sz w:val="24"/>
                              </w:rPr>
                              <w:t xml:space="preserve"> et un </w:t>
                            </w:r>
                            <w:r>
                              <w:rPr>
                                <w:rFonts w:ascii="Times New Roman" w:hAnsi="Times New Roman"/>
                                <w:b/>
                                <w:sz w:val="24"/>
                              </w:rPr>
                              <w:t>système sentinelle mondial pour les eaux usées</w:t>
                            </w:r>
                            <w:r>
                              <w:rPr>
                                <w:rFonts w:ascii="Times New Roman" w:hAnsi="Times New Roman"/>
                                <w:sz w:val="24"/>
                              </w:rPr>
                              <w:t xml:space="preserve"> [2026]</w:t>
                            </w:r>
                          </w:p>
                          <w:p w14:paraId="2CA7088F" w14:textId="30BA68BF" w:rsidR="002953CF" w:rsidRPr="009350D7" w:rsidRDefault="004E2865" w:rsidP="00F961A8">
                            <w:pPr>
                              <w:pStyle w:val="ListParagraph"/>
                              <w:numPr>
                                <w:ilvl w:val="0"/>
                                <w:numId w:val="4"/>
                              </w:numPr>
                              <w:ind w:left="284" w:hanging="207"/>
                              <w:rPr>
                                <w:rFonts w:ascii="Times New Roman" w:hAnsi="Times New Roman" w:cs="Times New Roman"/>
                                <w:b/>
                                <w:bCs/>
                                <w:sz w:val="24"/>
                                <w:szCs w:val="24"/>
                              </w:rPr>
                            </w:pPr>
                            <w:r>
                              <w:rPr>
                                <w:rFonts w:ascii="Times New Roman" w:hAnsi="Times New Roman"/>
                                <w:b/>
                                <w:sz w:val="24"/>
                              </w:rPr>
                              <w:t>envisagera l’extension de la couverture géographique du réseau DURABLE</w:t>
                            </w:r>
                            <w:r>
                              <w:rPr>
                                <w:rFonts w:ascii="Times New Roman" w:hAnsi="Times New Roman"/>
                                <w:sz w:val="24"/>
                              </w:rPr>
                              <w:t xml:space="preserve"> à des partenaires dans d’autres régions du monde [2027]</w:t>
                            </w:r>
                          </w:p>
                          <w:p w14:paraId="1F000DEC" w14:textId="6EC20084" w:rsidR="002953CF" w:rsidRPr="00B1092E" w:rsidRDefault="002953CF" w:rsidP="002953CF">
                            <w:pPr>
                              <w:rPr>
                                <w:rFonts w:ascii="Times New Roman" w:hAnsi="Times New Roman" w:cs="Times New Roman"/>
                                <w:b/>
                                <w:bCs/>
                                <w:sz w:val="24"/>
                                <w:szCs w:val="24"/>
                              </w:rPr>
                            </w:pPr>
                            <w:r>
                              <w:rPr>
                                <w:rFonts w:ascii="Times New Roman" w:hAnsi="Times New Roman"/>
                                <w:b/>
                                <w:sz w:val="24"/>
                              </w:rPr>
                              <w:t>En coopération avec les États membres, la Commission entend:</w:t>
                            </w:r>
                          </w:p>
                          <w:p w14:paraId="2674E730" w14:textId="7A51463E" w:rsidR="009350D7" w:rsidRDefault="002953CF" w:rsidP="009350D7">
                            <w:pPr>
                              <w:pStyle w:val="ListParagraph"/>
                              <w:numPr>
                                <w:ilvl w:val="0"/>
                                <w:numId w:val="5"/>
                              </w:numPr>
                              <w:ind w:left="284" w:hanging="218"/>
                              <w:rPr>
                                <w:rFonts w:ascii="Times New Roman" w:hAnsi="Times New Roman" w:cs="Times New Roman"/>
                                <w:sz w:val="24"/>
                                <w:szCs w:val="24"/>
                              </w:rPr>
                            </w:pPr>
                            <w:r>
                              <w:rPr>
                                <w:rFonts w:ascii="Times New Roman" w:hAnsi="Times New Roman"/>
                                <w:sz w:val="24"/>
                              </w:rPr>
                              <w:t xml:space="preserve">élaborer des </w:t>
                            </w:r>
                            <w:r>
                              <w:rPr>
                                <w:rFonts w:ascii="Times New Roman" w:hAnsi="Times New Roman"/>
                                <w:b/>
                                <w:sz w:val="24"/>
                              </w:rPr>
                              <w:t>feuilles de route de préparation en matière de contre-mesures médicales</w:t>
                            </w:r>
                            <w:r>
                              <w:rPr>
                                <w:rFonts w:ascii="Times New Roman" w:hAnsi="Times New Roman"/>
                                <w:sz w:val="24"/>
                              </w:rPr>
                              <w:t xml:space="preserve"> pour des scénarios spécifiques d’urgence sanitaire [2026]</w:t>
                            </w:r>
                          </w:p>
                          <w:p w14:paraId="35A53DE6" w14:textId="1B00B714" w:rsidR="002953CF" w:rsidRPr="009350D7" w:rsidRDefault="00092699" w:rsidP="009350D7">
                            <w:pPr>
                              <w:pStyle w:val="ListParagraph"/>
                              <w:numPr>
                                <w:ilvl w:val="0"/>
                                <w:numId w:val="5"/>
                              </w:numPr>
                              <w:ind w:left="284" w:hanging="218"/>
                              <w:rPr>
                                <w:rFonts w:ascii="Times New Roman" w:hAnsi="Times New Roman" w:cs="Times New Roman"/>
                                <w:sz w:val="24"/>
                                <w:szCs w:val="24"/>
                              </w:rPr>
                            </w:pPr>
                            <w:r>
                              <w:rPr>
                                <w:rFonts w:ascii="Times New Roman" w:hAnsi="Times New Roman"/>
                                <w:sz w:val="24"/>
                              </w:rPr>
                              <w:t xml:space="preserve">établir une </w:t>
                            </w:r>
                            <w:r>
                              <w:rPr>
                                <w:rFonts w:ascii="Times New Roman" w:hAnsi="Times New Roman"/>
                                <w:b/>
                                <w:sz w:val="24"/>
                              </w:rPr>
                              <w:t>liste de l’UE des contre-mesures médicales pour les menaces prioritaires</w:t>
                            </w:r>
                            <w:r>
                              <w:rPr>
                                <w:rFonts w:ascii="Times New Roman" w:hAnsi="Times New Roman"/>
                                <w:sz w:val="24"/>
                              </w:rPr>
                              <w:t xml:space="preserve"> [2026]</w:t>
                            </w:r>
                          </w:p>
                        </w:txbxContent>
                      </wps:txbx>
                      <wps:bodyPr rot="0" vert="horz" wrap="square" lIns="91440" tIns="45720" rIns="91440" bIns="45720" anchor="t" anchorCtr="0">
                        <a:noAutofit/>
                      </wps:bodyPr>
                    </wps:wsp>
                  </a:graphicData>
                </a:graphic>
              </wp:inline>
            </w:drawing>
          </mc:Choice>
          <mc:Fallback>
            <w:pict>
              <v:shape w14:anchorId="245E694E" id="Text Box 4" o:spid="_x0000_s1027" type="#_x0000_t202" style="width:469.45pt;height:21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" fillcolor="#d9d9d9">
                <v:textbox>
                  <w:txbxContent>
                    <w:p w14:paraId="3917CAB7" w14:textId="69F0646F" w:rsidR="002953CF" w:rsidRPr="00B1092E" w:rsidRDefault="002953CF" w:rsidP="002953CF">
                      <w:pPr>
                        <w:pStyle w:val="L1"/>
                        <w:ind w:left="0"/>
                        <w:rPr>
                          <w:rFonts w:ascii="Times New Roman" w:hAnsi="Times New Roman"/>
                          <w:b/>
                          <w:bCs/>
                          <w:i/>
                          <w:iCs/>
                          <w:sz w:val="24"/>
                          <w:szCs w:val="24"/>
                        </w:rPr>
                      </w:pPr>
                      <w:r>
                        <w:rPr>
                          <w:rFonts w:ascii="Times New Roman" w:hAnsi="Times New Roman"/>
                          <w:b/>
                          <w:i/>
                          <w:sz w:val="24"/>
                        </w:rPr>
                        <w:t xml:space="preserve">Actions clés: </w:t>
                      </w:r>
                    </w:p>
                    <w:p w14:paraId="60C8AB8A" w14:textId="3175DC30" w:rsidR="002953CF" w:rsidRPr="00BD3BE7" w:rsidRDefault="002953CF" w:rsidP="002953CF">
                      <w:pPr>
                        <w:rPr>
                          <w:rFonts w:ascii="Times New Roman" w:hAnsi="Times New Roman" w:cs="Times New Roman"/>
                          <w:b/>
                          <w:bCs/>
                          <w:sz w:val="24"/>
                          <w:szCs w:val="24"/>
                        </w:rPr>
                      </w:pPr>
                      <w:r>
                        <w:rPr>
                          <w:rFonts w:ascii="Times New Roman" w:hAnsi="Times New Roman"/>
                          <w:b/>
                          <w:sz w:val="24"/>
                        </w:rPr>
                        <w:t xml:space="preserve">La Commission: </w:t>
                      </w:r>
                    </w:p>
                    <w:p w14:paraId="0D69BDE7" w14:textId="1235B055" w:rsidR="002953CF" w:rsidRPr="009350D7" w:rsidRDefault="0001172D" w:rsidP="00F961A8">
                      <w:pPr>
                        <w:pStyle w:val="ListParagraph"/>
                        <w:numPr>
                          <w:ilvl w:val="0"/>
                          <w:numId w:val="4"/>
                        </w:numPr>
                        <w:ind w:left="284" w:hanging="207"/>
                        <w:rPr>
                          <w:rFonts w:ascii="Times New Roman" w:hAnsi="Times New Roman" w:cs="Times New Roman"/>
                          <w:b/>
                          <w:bCs/>
                          <w:sz w:val="24"/>
                          <w:szCs w:val="24"/>
                        </w:rPr>
                      </w:pPr>
                      <w:r>
                        <w:rPr>
                          <w:rFonts w:ascii="Times New Roman" w:hAnsi="Times New Roman"/>
                          <w:sz w:val="24"/>
                        </w:rPr>
                        <w:t xml:space="preserve">mettra en œuvre et développera, en collaboration avec l’ECDC, un </w:t>
                      </w:r>
                      <w:r>
                        <w:rPr>
                          <w:rFonts w:ascii="Times New Roman" w:hAnsi="Times New Roman"/>
                          <w:b/>
                          <w:sz w:val="24"/>
                        </w:rPr>
                        <w:t>système sentinelle de l’UE pour les eaux usées</w:t>
                      </w:r>
                      <w:r>
                        <w:rPr>
                          <w:rFonts w:ascii="Times New Roman" w:hAnsi="Times New Roman"/>
                          <w:sz w:val="24"/>
                        </w:rPr>
                        <w:t xml:space="preserve"> et un </w:t>
                      </w:r>
                      <w:r>
                        <w:rPr>
                          <w:rFonts w:ascii="Times New Roman" w:hAnsi="Times New Roman"/>
                          <w:b/>
                          <w:sz w:val="24"/>
                        </w:rPr>
                        <w:t>système sentinelle mondial pour les eaux usées</w:t>
                      </w:r>
                      <w:r>
                        <w:rPr>
                          <w:rFonts w:ascii="Times New Roman" w:hAnsi="Times New Roman"/>
                          <w:sz w:val="24"/>
                        </w:rPr>
                        <w:t xml:space="preserve"> [2026]</w:t>
                      </w:r>
                    </w:p>
                    <w:p w14:paraId="2CA7088F" w14:textId="30BA68BF" w:rsidR="002953CF" w:rsidRPr="009350D7" w:rsidRDefault="004E2865" w:rsidP="00F961A8">
                      <w:pPr>
                        <w:pStyle w:val="ListParagraph"/>
                        <w:numPr>
                          <w:ilvl w:val="0"/>
                          <w:numId w:val="4"/>
                        </w:numPr>
                        <w:ind w:left="284" w:hanging="207"/>
                        <w:rPr>
                          <w:rFonts w:ascii="Times New Roman" w:hAnsi="Times New Roman" w:cs="Times New Roman"/>
                          <w:b/>
                          <w:bCs/>
                          <w:sz w:val="24"/>
                          <w:szCs w:val="24"/>
                        </w:rPr>
                      </w:pPr>
                      <w:r>
                        <w:rPr>
                          <w:rFonts w:ascii="Times New Roman" w:hAnsi="Times New Roman"/>
                          <w:b/>
                          <w:sz w:val="24"/>
                        </w:rPr>
                        <w:t>envisagera l’extension de la couverture géographique du réseau DURABLE</w:t>
                      </w:r>
                      <w:r>
                        <w:rPr>
                          <w:rFonts w:ascii="Times New Roman" w:hAnsi="Times New Roman"/>
                          <w:sz w:val="24"/>
                        </w:rPr>
                        <w:t xml:space="preserve"> à des partenaires dans d’autres régions du monde [2027]</w:t>
                      </w:r>
                    </w:p>
                    <w:p w14:paraId="1F000DEC" w14:textId="6EC20084" w:rsidR="002953CF" w:rsidRPr="00B1092E" w:rsidRDefault="002953CF" w:rsidP="002953CF">
                      <w:pPr>
                        <w:rPr>
                          <w:rFonts w:ascii="Times New Roman" w:hAnsi="Times New Roman" w:cs="Times New Roman"/>
                          <w:b/>
                          <w:bCs/>
                          <w:sz w:val="24"/>
                          <w:szCs w:val="24"/>
                        </w:rPr>
                      </w:pPr>
                      <w:r>
                        <w:rPr>
                          <w:rFonts w:ascii="Times New Roman" w:hAnsi="Times New Roman"/>
                          <w:b/>
                          <w:sz w:val="24"/>
                        </w:rPr>
                        <w:t>En coopération avec les États membres, la Commission entend:</w:t>
                      </w:r>
                    </w:p>
                    <w:p w14:paraId="2674E730" w14:textId="7A51463E" w:rsidR="009350D7" w:rsidRDefault="002953CF" w:rsidP="009350D7">
                      <w:pPr>
                        <w:pStyle w:val="ListParagraph"/>
                        <w:numPr>
                          <w:ilvl w:val="0"/>
                          <w:numId w:val="5"/>
                        </w:numPr>
                        <w:ind w:left="284" w:hanging="218"/>
                        <w:rPr>
                          <w:rFonts w:ascii="Times New Roman" w:hAnsi="Times New Roman" w:cs="Times New Roman"/>
                          <w:sz w:val="24"/>
                          <w:szCs w:val="24"/>
                        </w:rPr>
                      </w:pPr>
                      <w:r>
                        <w:rPr>
                          <w:rFonts w:ascii="Times New Roman" w:hAnsi="Times New Roman"/>
                          <w:sz w:val="24"/>
                        </w:rPr>
                        <w:t xml:space="preserve">élaborer des </w:t>
                      </w:r>
                      <w:r>
                        <w:rPr>
                          <w:rFonts w:ascii="Times New Roman" w:hAnsi="Times New Roman"/>
                          <w:b/>
                          <w:sz w:val="24"/>
                        </w:rPr>
                        <w:t>feuilles de route de préparation en matière de contre-mesures médicales</w:t>
                      </w:r>
                      <w:r>
                        <w:rPr>
                          <w:rFonts w:ascii="Times New Roman" w:hAnsi="Times New Roman"/>
                          <w:sz w:val="24"/>
                        </w:rPr>
                        <w:t xml:space="preserve"> pour des scénarios spécifiques d’urgence sanitaire [2026]</w:t>
                      </w:r>
                    </w:p>
                    <w:p w14:paraId="35A53DE6" w14:textId="1B00B714" w:rsidR="002953CF" w:rsidRPr="009350D7" w:rsidRDefault="00092699" w:rsidP="009350D7">
                      <w:pPr>
                        <w:pStyle w:val="ListParagraph"/>
                        <w:numPr>
                          <w:ilvl w:val="0"/>
                          <w:numId w:val="5"/>
                        </w:numPr>
                        <w:ind w:left="284" w:hanging="218"/>
                        <w:rPr>
                          <w:rFonts w:ascii="Times New Roman" w:hAnsi="Times New Roman" w:cs="Times New Roman"/>
                          <w:sz w:val="24"/>
                          <w:szCs w:val="24"/>
                        </w:rPr>
                      </w:pPr>
                      <w:r>
                        <w:rPr>
                          <w:rFonts w:ascii="Times New Roman" w:hAnsi="Times New Roman"/>
                          <w:sz w:val="24"/>
                        </w:rPr>
                        <w:t xml:space="preserve">établir une </w:t>
                      </w:r>
                      <w:r>
                        <w:rPr>
                          <w:rFonts w:ascii="Times New Roman" w:hAnsi="Times New Roman"/>
                          <w:b/>
                          <w:sz w:val="24"/>
                        </w:rPr>
                        <w:t>liste de l’UE des contre-mesures médicales pour les menaces prioritaires</w:t>
                      </w:r>
                      <w:r>
                        <w:rPr>
                          <w:rFonts w:ascii="Times New Roman" w:hAnsi="Times New Roman"/>
                          <w:sz w:val="24"/>
                        </w:rPr>
                        <w:t xml:space="preserve"> [2026]</w:t>
                      </w:r>
                    </w:p>
                  </w:txbxContent>
                </v:textbox>
                <w10:anchorlock/>
              </v:shape>
            </w:pict>
          </mc:Fallback>
        </mc:AlternateContent>
      </w:r>
      <w:bookmarkEnd w:id="5"/>
    </w:p>
    <w:p w14:paraId="7C9DF513" w14:textId="1EBC289A" w:rsidR="003D3F50" w:rsidRPr="00CA2FDC" w:rsidRDefault="00395021" w:rsidP="00B44F30">
      <w:pPr>
        <w:pStyle w:val="Heading1"/>
        <w:numPr>
          <w:ilvl w:val="0"/>
          <w:numId w:val="30"/>
        </w:numPr>
        <w:rPr>
          <w:rFonts w:ascii="Times New Roman Bold" w:hAnsi="Times New Roman Bold"/>
          <w:b w:val="0"/>
          <w:bCs w:val="0"/>
          <w:noProof/>
          <w:u w:val="single"/>
        </w:rPr>
      </w:pPr>
      <w:r>
        <w:rPr>
          <w:rFonts w:ascii="Times New Roman Bold" w:hAnsi="Times New Roman Bold"/>
          <w:b w:val="0"/>
          <w:noProof/>
          <w:u w:val="single"/>
        </w:rPr>
        <w:t>RENFORCER LA RÉSERVE DE CONTRE-MESURES MÉDICALES: DE L’INNOVATION À LA FABRICATION</w:t>
      </w:r>
    </w:p>
    <w:p w14:paraId="726AC441" w14:textId="289C2C8A" w:rsidR="008C7D33" w:rsidRDefault="004C2566" w:rsidP="0E7CCEBE">
      <w:pPr>
        <w:jc w:val="both"/>
        <w:rPr>
          <w:rFonts w:ascii="Times New Roman" w:hAnsi="Times New Roman" w:cs="Times New Roman"/>
          <w:noProof/>
          <w:sz w:val="24"/>
          <w:szCs w:val="24"/>
        </w:rPr>
      </w:pPr>
      <w:r>
        <w:rPr>
          <w:rFonts w:ascii="Times New Roman" w:hAnsi="Times New Roman"/>
          <w:b/>
          <w:noProof/>
          <w:sz w:val="24"/>
        </w:rPr>
        <w:t>L’UE est un pôle d’innovation en matière de contre-mesures médicales, ainsi qu’un pôle de mise au point et de production de telles contre-mesures.</w:t>
      </w:r>
      <w:r>
        <w:rPr>
          <w:rFonts w:ascii="Times New Roman" w:hAnsi="Times New Roman"/>
          <w:noProof/>
          <w:sz w:val="24"/>
        </w:rPr>
        <w:t xml:space="preserve"> Pendant la pandémie de COVID-19, près de la moitié des demandes mondiales de brevets vaccinaux provenaient de l’UE, et la solide base manufacturière de l’UE s’est rapidement développée pour faire de l’Union la «pharmacie du monde»</w:t>
      </w:r>
      <w:r>
        <w:rPr>
          <w:rStyle w:val="FootnoteReference"/>
          <w:rFonts w:ascii="Times New Roman" w:hAnsi="Times New Roman" w:cs="Times New Roman"/>
          <w:noProof/>
          <w:sz w:val="24"/>
          <w:szCs w:val="24"/>
        </w:rPr>
        <w:footnoteReference w:id="23"/>
      </w:r>
      <w:r>
        <w:rPr>
          <w:rFonts w:ascii="Times New Roman" w:hAnsi="Times New Roman"/>
          <w:noProof/>
          <w:sz w:val="24"/>
        </w:rPr>
        <w:t>.</w:t>
      </w:r>
    </w:p>
    <w:p w14:paraId="4A7F45C6" w14:textId="72DAD278" w:rsidR="00A3124F" w:rsidRDefault="00DE1047" w:rsidP="00190763">
      <w:pPr>
        <w:jc w:val="both"/>
        <w:rPr>
          <w:rFonts w:ascii="Times New Roman" w:hAnsi="Times New Roman" w:cs="Times New Roman"/>
          <w:noProof/>
          <w:sz w:val="24"/>
          <w:szCs w:val="24"/>
        </w:rPr>
      </w:pPr>
      <w:r>
        <w:rPr>
          <w:rFonts w:ascii="Times New Roman" w:hAnsi="Times New Roman"/>
          <w:noProof/>
          <w:sz w:val="24"/>
        </w:rPr>
        <w:t>En s’appuyant sur sa solide base de recherche, sa puissante industrie pharmaceutique et son personnel de santé talentueux, l’UE doit continuer à renforcer son rôle moteur dans la mise au point et la production de contre-mesures médicales, en collaborant étroitement avec des partenaires mondiaux et en complétant les mesures prévues dans le cadre de la réforme de la législation pharmaceutique générale, de la stratégie de l’UE pour les sciences du vivant</w:t>
      </w:r>
      <w:r>
        <w:rPr>
          <w:rStyle w:val="FootnoteReference"/>
          <w:rFonts w:ascii="Times New Roman" w:hAnsi="Times New Roman" w:cs="Times New Roman"/>
          <w:noProof/>
          <w:sz w:val="24"/>
          <w:szCs w:val="24"/>
          <w:lang w:val="en-IE"/>
        </w:rPr>
        <w:footnoteReference w:id="24"/>
      </w:r>
      <w:r>
        <w:rPr>
          <w:rFonts w:ascii="Times New Roman" w:hAnsi="Times New Roman"/>
          <w:noProof/>
          <w:sz w:val="24"/>
        </w:rPr>
        <w:t>, de la stratégie en faveur des start-up et des scale-up</w:t>
      </w:r>
      <w:r>
        <w:rPr>
          <w:rStyle w:val="FootnoteReference"/>
          <w:rFonts w:ascii="Times New Roman" w:hAnsi="Times New Roman" w:cs="Times New Roman"/>
          <w:noProof/>
          <w:sz w:val="24"/>
          <w:szCs w:val="24"/>
          <w:lang w:val="en-IE"/>
        </w:rPr>
        <w:footnoteReference w:id="25"/>
      </w:r>
      <w:r>
        <w:rPr>
          <w:rFonts w:ascii="Times New Roman" w:hAnsi="Times New Roman"/>
          <w:noProof/>
          <w:sz w:val="24"/>
        </w:rPr>
        <w:t>, de la proposition d’acte législatif sur les médicaments critiques</w:t>
      </w:r>
      <w:r>
        <w:rPr>
          <w:rStyle w:val="FootnoteReference"/>
          <w:rFonts w:ascii="Times New Roman" w:hAnsi="Times New Roman" w:cs="Times New Roman"/>
          <w:noProof/>
          <w:sz w:val="24"/>
          <w:szCs w:val="24"/>
          <w:lang w:val="en-IE"/>
        </w:rPr>
        <w:footnoteReference w:id="26"/>
      </w:r>
      <w:r>
        <w:rPr>
          <w:rFonts w:ascii="Times New Roman" w:hAnsi="Times New Roman"/>
          <w:noProof/>
          <w:sz w:val="24"/>
        </w:rPr>
        <w:t xml:space="preserve"> et du projet de loi européenne sur l’innovation et la biotechnologie. </w:t>
      </w:r>
    </w:p>
    <w:p w14:paraId="6269D500" w14:textId="4C3E217C" w:rsidR="004407F9" w:rsidRDefault="00B44F30" w:rsidP="004407F9">
      <w:pPr>
        <w:pStyle w:val="Heading2"/>
        <w:numPr>
          <w:ilvl w:val="0"/>
          <w:numId w:val="0"/>
        </w:numPr>
        <w:ind w:left="1068" w:hanging="360"/>
        <w:rPr>
          <w:noProof/>
        </w:rPr>
      </w:pPr>
      <w:r>
        <w:rPr>
          <w:noProof/>
        </w:rPr>
        <w:t xml:space="preserve">3.1 Faire avancer l’innovation en matière de contre-mesures médicales </w:t>
      </w:r>
    </w:p>
    <w:p w14:paraId="0104AFF2" w14:textId="50D48BC9" w:rsidR="00CB3CA2" w:rsidRDefault="57AA875D" w:rsidP="003D3F50">
      <w:pPr>
        <w:jc w:val="both"/>
        <w:rPr>
          <w:rFonts w:ascii="Times New Roman" w:hAnsi="Times New Roman" w:cs="Times New Roman"/>
          <w:noProof/>
          <w:sz w:val="24"/>
          <w:szCs w:val="24"/>
        </w:rPr>
      </w:pPr>
      <w:r>
        <w:rPr>
          <w:rFonts w:ascii="Times New Roman" w:hAnsi="Times New Roman"/>
          <w:noProof/>
          <w:sz w:val="24"/>
        </w:rPr>
        <w:t>À l’heure actuelle, les instruments de financement de l’UE visant à faire avancer la recherche et le développement de contre-mesures médicales sont fragmentés entre des programmes tels qu’Horizon Europe, «L’UE pour la santé», le Fonds européen de la défense et les fonds de la politique de cohésion, ce qui entrave la progression efficace et cohérente des efforts de recherche et de développement.</w:t>
      </w:r>
    </w:p>
    <w:p w14:paraId="7C6785E0" w14:textId="1F6D3F94" w:rsidR="00256C24" w:rsidRPr="00DF5B1C" w:rsidRDefault="00CB3CA2" w:rsidP="003D3F50">
      <w:pPr>
        <w:jc w:val="both"/>
        <w:rPr>
          <w:rFonts w:ascii="Times New Roman" w:hAnsi="Times New Roman" w:cs="Times New Roman"/>
          <w:noProof/>
          <w:sz w:val="24"/>
          <w:szCs w:val="24"/>
        </w:rPr>
      </w:pPr>
      <w:r>
        <w:rPr>
          <w:rFonts w:ascii="Times New Roman" w:hAnsi="Times New Roman"/>
          <w:noProof/>
          <w:sz w:val="24"/>
        </w:rPr>
        <w:t xml:space="preserve">Afin d’obtenir un impact maximal du financement de l’UE et de tirer le meilleur parti du potentiel du budget de l’UE pour accélérer la mise au point de contre-mesures médicales, la Commission élaborera d’ici à 2025 un </w:t>
      </w:r>
      <w:r>
        <w:rPr>
          <w:rFonts w:ascii="Times New Roman" w:hAnsi="Times New Roman"/>
          <w:b/>
          <w:noProof/>
          <w:sz w:val="24"/>
        </w:rPr>
        <w:t>accélérateur de contre-mesures médicales</w:t>
      </w:r>
      <w:r>
        <w:rPr>
          <w:rFonts w:ascii="Times New Roman" w:hAnsi="Times New Roman"/>
          <w:noProof/>
          <w:sz w:val="24"/>
        </w:rPr>
        <w:t>, c’est-à-dire un cadre intégré et simplifié visant à accélérer la mise au point de contre-mesures médicales et conçu pour soutenir les innovateurs tout au long du cycle de développement, de la recherche à l’entrée sur le marché. Fonctionnant comme un guichet unique, cet accélérateur assurera un processus équitable, transparent et concurrentiel grâce à des mesures favorisantes et au soutien apporté aux catalyseurs de l’innovation. L’accélérateur s’appuiera sur l’éventail des instruments financiers disponibles dans les programmes de l’UE</w:t>
      </w:r>
      <w:r>
        <w:rPr>
          <w:rStyle w:val="FootnoteReference"/>
          <w:rFonts w:ascii="Times New Roman" w:hAnsi="Times New Roman" w:cs="Times New Roman"/>
          <w:noProof/>
          <w:sz w:val="24"/>
          <w:szCs w:val="24"/>
          <w:lang w:val="en-IE"/>
        </w:rPr>
        <w:footnoteReference w:id="27"/>
      </w:r>
      <w:r>
        <w:rPr>
          <w:rFonts w:ascii="Times New Roman" w:hAnsi="Times New Roman"/>
          <w:noProof/>
          <w:sz w:val="24"/>
        </w:rPr>
        <w:t xml:space="preserve">, conformément à leurs dispositions spécifiques en matière de programmation et de gouvernance, en garantissant des synergies et en évitant les redondances. Ces instruments financiers comprendront des subventions, des marchés publics de solutions innovantes, des contrats d’achat anticipé, des prêts, des fonds propres et du capital-risque. </w:t>
      </w:r>
    </w:p>
    <w:p w14:paraId="35C3F623" w14:textId="480349DC" w:rsidR="006F2C8D" w:rsidRDefault="001F1FA8" w:rsidP="00715B5E">
      <w:pPr>
        <w:jc w:val="both"/>
        <w:rPr>
          <w:rFonts w:ascii="Times New Roman" w:hAnsi="Times New Roman" w:cs="Times New Roman"/>
          <w:noProof/>
          <w:sz w:val="24"/>
          <w:szCs w:val="24"/>
        </w:rPr>
      </w:pPr>
      <w:r>
        <w:rPr>
          <w:rFonts w:ascii="Times New Roman" w:hAnsi="Times New Roman"/>
          <w:noProof/>
          <w:sz w:val="24"/>
        </w:rPr>
        <w:t xml:space="preserve">L’accélérateur se concentrera sur les contre-mesures médicales les plus nécessaires (vaccins, traitements, diagnostics, EPI et technologies) dans les quatre catégories de menaces. Sur la base de l’appel lancé par la Commission pour accélérer la mise au point de </w:t>
      </w:r>
      <w:r>
        <w:rPr>
          <w:rFonts w:ascii="Times New Roman" w:hAnsi="Times New Roman"/>
          <w:b/>
          <w:noProof/>
          <w:sz w:val="24"/>
        </w:rPr>
        <w:t>vaccins candidats de nouvelle génération contre la grippe</w:t>
      </w:r>
      <w:r>
        <w:rPr>
          <w:rStyle w:val="FootnoteReference"/>
          <w:rFonts w:ascii="Times New Roman" w:hAnsi="Times New Roman" w:cs="Times New Roman"/>
          <w:noProof/>
          <w:sz w:val="24"/>
          <w:szCs w:val="24"/>
          <w:lang w:val="en-IE"/>
        </w:rPr>
        <w:footnoteReference w:id="28"/>
      </w:r>
      <w:r>
        <w:rPr>
          <w:rFonts w:ascii="Times New Roman" w:hAnsi="Times New Roman"/>
          <w:noProof/>
          <w:sz w:val="24"/>
        </w:rPr>
        <w:t>, les actions futures envisageront de soutenir de nouveaux vaccins ou antiviraux contre les maladies vectorielles, de nouveaux antimicrobiens auxquels une résistance n’est pas apparue, les vaccins contre les virus Ebola et/ou Marburg ou de nouveaux diagnostics sur le lieu de soin pour les virus respiratoires.</w:t>
      </w:r>
    </w:p>
    <w:p w14:paraId="72976AE9" w14:textId="6638DFB0" w:rsidR="00DF5B1C" w:rsidRDefault="00DF5B1C" w:rsidP="003D3F50">
      <w:pPr>
        <w:jc w:val="both"/>
        <w:rPr>
          <w:rFonts w:ascii="Times New Roman" w:hAnsi="Times New Roman" w:cs="Times New Roman"/>
          <w:noProof/>
          <w:sz w:val="24"/>
          <w:szCs w:val="24"/>
        </w:rPr>
      </w:pPr>
      <w:r>
        <w:rPr>
          <w:rFonts w:ascii="Times New Roman" w:hAnsi="Times New Roman"/>
          <w:noProof/>
          <w:sz w:val="24"/>
        </w:rPr>
        <w:t>La Commission et la Banque européenne d’investissement (BEI) ont mis en place avec succès un instrument unique de financement en quasi-fonds propres et capital-risque, qui stimule l’innovation dans le domaine des contre-mesures médicales dans toute l’Europe, en mettant l’accent sur le soutien aux PME établies dans l’UE. Afin de continuer à promouvoir l’innovation de pointe, de combler le déficit d’investissement dans ce secteur crucial et de maintenir un environnement très attrayant pour les entreprises pharmaceutiques et les jeunes pousses au sein de l’UE, la Commission, en collaboration avec la BEI, étendra son soutien aux jeunes pousses et aux PME européennes prometteuses qui mettent au point des contre-mesures médicales et des technologies connexes en doublant la taille d’HERA Invest pour la faire passer à 200 millions d’euros d’ici à 2027.</w:t>
      </w:r>
    </w:p>
    <w:p w14:paraId="4C75C951" w14:textId="08D18C0A" w:rsidR="007333F6" w:rsidRDefault="00DF5B1C" w:rsidP="003D3F50">
      <w:pPr>
        <w:jc w:val="both"/>
        <w:rPr>
          <w:rFonts w:ascii="Times New Roman" w:hAnsi="Times New Roman" w:cs="Times New Roman"/>
          <w:noProof/>
          <w:sz w:val="24"/>
          <w:szCs w:val="24"/>
        </w:rPr>
      </w:pPr>
      <w:r>
        <w:rPr>
          <w:rFonts w:ascii="Times New Roman" w:hAnsi="Times New Roman"/>
          <w:noProof/>
          <w:sz w:val="24"/>
        </w:rPr>
        <w:t>En outre, en collaboration avec les États membres, la Commission entend renforcer les mécanismes de partage d’informations entre les priorités et les programmes de financement de l’UE et nationaux dans le domaine des contre-mesures médicales. Cela favorisera une coordination plus étroite et garantira la complémentarité des actions.</w:t>
      </w:r>
    </w:p>
    <w:tbl>
      <w:tblPr>
        <w:tblStyle w:val="TableGrid"/>
        <w:tblW w:w="9368" w:type="dxa"/>
        <w:tblInd w:w="-5" w:type="dxa"/>
        <w:tblLayout w:type="fixed"/>
        <w:tblLook w:val="06A0" w:firstRow="1" w:lastRow="0" w:firstColumn="1" w:lastColumn="0" w:noHBand="1" w:noVBand="1"/>
      </w:tblPr>
      <w:tblGrid>
        <w:gridCol w:w="9368"/>
      </w:tblGrid>
      <w:tr w:rsidR="00E51A4B" w:rsidRPr="00413FCC" w14:paraId="5325940A" w14:textId="77777777" w:rsidTr="004E63B5">
        <w:trPr>
          <w:trHeight w:val="1124"/>
        </w:trPr>
        <w:tc>
          <w:tcPr>
            <w:tcW w:w="9368" w:type="dxa"/>
            <w:shd w:val="clear" w:color="auto" w:fill="auto"/>
          </w:tcPr>
          <w:p w14:paraId="4FD0CA21" w14:textId="77777777" w:rsidR="00E51A4B" w:rsidRPr="00413FCC" w:rsidRDefault="00E51A4B" w:rsidP="004E63B5">
            <w:pPr>
              <w:spacing w:after="120"/>
              <w:jc w:val="both"/>
              <w:rPr>
                <w:rFonts w:ascii="Times New Roman" w:hAnsi="Times New Roman" w:cs="Times New Roman"/>
                <w:b/>
                <w:bCs/>
                <w:noProof/>
                <w:sz w:val="24"/>
                <w:szCs w:val="24"/>
              </w:rPr>
            </w:pPr>
            <w:bookmarkStart w:id="6" w:name="_Hlk201911267"/>
            <w:r>
              <w:rPr>
                <w:rFonts w:ascii="Times New Roman" w:hAnsi="Times New Roman"/>
                <w:b/>
                <w:noProof/>
                <w:sz w:val="24"/>
              </w:rPr>
              <w:t>Résistance aux antimicrobiens: faire progresser l’innovation et l’accès aux antimicrobiens</w:t>
            </w:r>
          </w:p>
          <w:p w14:paraId="17E72104" w14:textId="6916A7C4" w:rsidR="00E51A4B" w:rsidRPr="00413FCC" w:rsidRDefault="00E51A4B" w:rsidP="004E63B5">
            <w:pPr>
              <w:jc w:val="both"/>
              <w:rPr>
                <w:rFonts w:ascii="Times New Roman" w:hAnsi="Times New Roman" w:cs="Times New Roman"/>
                <w:noProof/>
                <w:sz w:val="24"/>
                <w:szCs w:val="24"/>
              </w:rPr>
            </w:pPr>
            <w:r>
              <w:rPr>
                <w:rFonts w:ascii="Times New Roman" w:hAnsi="Times New Roman"/>
                <w:noProof/>
                <w:sz w:val="24"/>
              </w:rPr>
              <w:t xml:space="preserve">Forte de la mise au point réussie d’une nouvelle classe d’antibiotiques pour la gonorrhée résistante et d’un nouveau vaccin contre la tuberculose multirésistante, la Commission prévoit de faire progresser l’innovation dans les domaines des antibiotiques, des traitements de deuxième ligne, des diagnostics et des vaccins ciblant la résistance aux antimicrobiens: </w:t>
            </w:r>
          </w:p>
          <w:p w14:paraId="18EA65CE" w14:textId="07769DCE" w:rsidR="00E51A4B" w:rsidRPr="00413FCC" w:rsidRDefault="00E51A4B" w:rsidP="004E63B5">
            <w:pPr>
              <w:pStyle w:val="ListParagraph"/>
              <w:numPr>
                <w:ilvl w:val="1"/>
                <w:numId w:val="8"/>
              </w:numPr>
              <w:ind w:left="737"/>
              <w:jc w:val="both"/>
              <w:rPr>
                <w:rFonts w:ascii="Times New Roman" w:hAnsi="Times New Roman" w:cs="Times New Roman"/>
                <w:noProof/>
                <w:sz w:val="24"/>
                <w:szCs w:val="24"/>
              </w:rPr>
            </w:pPr>
            <w:r>
              <w:rPr>
                <w:rFonts w:ascii="Times New Roman" w:hAnsi="Times New Roman"/>
                <w:noProof/>
                <w:sz w:val="24"/>
              </w:rPr>
              <w:t xml:space="preserve">en organisant des </w:t>
            </w:r>
            <w:r>
              <w:rPr>
                <w:rFonts w:ascii="Times New Roman" w:hAnsi="Times New Roman"/>
                <w:b/>
                <w:noProof/>
                <w:sz w:val="24"/>
              </w:rPr>
              <w:t>appels ciblés</w:t>
            </w:r>
            <w:r>
              <w:rPr>
                <w:rFonts w:ascii="Times New Roman" w:hAnsi="Times New Roman"/>
                <w:noProof/>
                <w:sz w:val="24"/>
              </w:rPr>
              <w:t xml:space="preserve"> pour accélérer l’innovation afin de lutter contre les agents pathogènes bactériens et fongiques à haut risque; </w:t>
            </w:r>
          </w:p>
          <w:p w14:paraId="73505105" w14:textId="2EEA3E5A" w:rsidR="00E51A4B" w:rsidRPr="00413FCC" w:rsidRDefault="00E51A4B" w:rsidP="004E63B5">
            <w:pPr>
              <w:pStyle w:val="ListParagraph"/>
              <w:numPr>
                <w:ilvl w:val="1"/>
                <w:numId w:val="8"/>
              </w:numPr>
              <w:ind w:left="737"/>
              <w:jc w:val="both"/>
              <w:rPr>
                <w:rFonts w:ascii="Times New Roman" w:hAnsi="Times New Roman" w:cs="Times New Roman"/>
                <w:noProof/>
                <w:sz w:val="24"/>
                <w:szCs w:val="24"/>
              </w:rPr>
            </w:pPr>
            <w:r>
              <w:rPr>
                <w:rFonts w:ascii="Times New Roman" w:hAnsi="Times New Roman"/>
                <w:noProof/>
                <w:sz w:val="24"/>
              </w:rPr>
              <w:t xml:space="preserve">en investissant 75 millions d’euros dans le </w:t>
            </w:r>
            <w:r>
              <w:rPr>
                <w:rFonts w:ascii="Times New Roman" w:hAnsi="Times New Roman"/>
                <w:b/>
                <w:noProof/>
                <w:sz w:val="24"/>
              </w:rPr>
              <w:t>partenariat «Une seule santé» sur la résistance aux antimicrobiens</w:t>
            </w:r>
            <w:r>
              <w:rPr>
                <w:rFonts w:ascii="Times New Roman" w:hAnsi="Times New Roman"/>
                <w:noProof/>
                <w:sz w:val="24"/>
              </w:rPr>
              <w:t xml:space="preserve"> mis en place dans le cadre du programme «Horizon Europe» afin d’intensifier les actions de l’UE visant à lutter contre la résistance aux antimicrobiens à l’aide d’une approche «Une seule santé»; </w:t>
            </w:r>
          </w:p>
          <w:p w14:paraId="6B412E11" w14:textId="77777777" w:rsidR="00E51A4B" w:rsidRPr="00926DA1" w:rsidRDefault="00E51A4B" w:rsidP="004E63B5">
            <w:pPr>
              <w:pStyle w:val="ListParagraph"/>
              <w:numPr>
                <w:ilvl w:val="1"/>
                <w:numId w:val="8"/>
              </w:numPr>
              <w:ind w:left="737"/>
              <w:jc w:val="both"/>
              <w:rPr>
                <w:rFonts w:ascii="Times New Roman" w:hAnsi="Times New Roman" w:cs="Times New Roman"/>
                <w:noProof/>
                <w:sz w:val="24"/>
                <w:szCs w:val="24"/>
              </w:rPr>
            </w:pPr>
            <w:r>
              <w:rPr>
                <w:rFonts w:ascii="Times New Roman" w:hAnsi="Times New Roman"/>
                <w:noProof/>
                <w:sz w:val="24"/>
              </w:rPr>
              <w:t>en encourageant la mise au point d’antimicrobiens prioritaires par la mise en place d’un système innovant d’incitations en aval connu sous le nom de titres d’exclusivité des données transférables, qui figure dans la proposition de la Commission relative à la nouvelle législation pharmaceutique;</w:t>
            </w:r>
          </w:p>
          <w:p w14:paraId="3E9128C1" w14:textId="77777777" w:rsidR="00E51A4B" w:rsidRPr="00413FCC" w:rsidRDefault="00E51A4B" w:rsidP="004E63B5">
            <w:pPr>
              <w:pStyle w:val="ListParagraph"/>
              <w:numPr>
                <w:ilvl w:val="1"/>
                <w:numId w:val="8"/>
              </w:numPr>
              <w:ind w:left="737"/>
              <w:jc w:val="both"/>
              <w:rPr>
                <w:rFonts w:ascii="Times New Roman" w:hAnsi="Times New Roman" w:cs="Times New Roman"/>
                <w:noProof/>
                <w:sz w:val="24"/>
                <w:szCs w:val="24"/>
              </w:rPr>
            </w:pPr>
            <w:r>
              <w:rPr>
                <w:rFonts w:ascii="Times New Roman" w:hAnsi="Times New Roman"/>
                <w:noProof/>
                <w:sz w:val="24"/>
              </w:rPr>
              <w:t>en améliorant l’accès aux produits de lutte contre la résistance aux antimicrobiens par la mise au point de modèles économiques innovants, comprenant la garantie des recettes ou d’autres formes d’</w:t>
            </w:r>
            <w:r>
              <w:rPr>
                <w:rFonts w:ascii="Times New Roman" w:hAnsi="Times New Roman"/>
                <w:b/>
                <w:noProof/>
                <w:sz w:val="24"/>
              </w:rPr>
              <w:t>incitations financières en aval</w:t>
            </w:r>
            <w:r>
              <w:rPr>
                <w:rFonts w:ascii="Times New Roman" w:hAnsi="Times New Roman"/>
                <w:noProof/>
                <w:sz w:val="24"/>
              </w:rPr>
              <w:t xml:space="preserve"> et la </w:t>
            </w:r>
            <w:r>
              <w:rPr>
                <w:rFonts w:ascii="Times New Roman" w:hAnsi="Times New Roman"/>
                <w:b/>
                <w:noProof/>
                <w:sz w:val="24"/>
              </w:rPr>
              <w:t>passation conjointe de marchés</w:t>
            </w:r>
            <w:r>
              <w:rPr>
                <w:rFonts w:ascii="Times New Roman" w:hAnsi="Times New Roman"/>
                <w:noProof/>
                <w:sz w:val="24"/>
              </w:rPr>
              <w:t>;</w:t>
            </w:r>
          </w:p>
          <w:p w14:paraId="61D54136" w14:textId="77777777" w:rsidR="00E51A4B" w:rsidRPr="00413FCC" w:rsidRDefault="00E51A4B" w:rsidP="004E63B5">
            <w:pPr>
              <w:pStyle w:val="ListParagraph"/>
              <w:numPr>
                <w:ilvl w:val="1"/>
                <w:numId w:val="8"/>
              </w:numPr>
              <w:ind w:left="737"/>
              <w:jc w:val="both"/>
              <w:rPr>
                <w:rFonts w:ascii="Times New Roman" w:hAnsi="Times New Roman" w:cs="Times New Roman"/>
                <w:noProof/>
                <w:sz w:val="24"/>
                <w:szCs w:val="24"/>
              </w:rPr>
            </w:pPr>
            <w:r>
              <w:rPr>
                <w:rFonts w:ascii="Times New Roman" w:hAnsi="Times New Roman"/>
                <w:noProof/>
                <w:sz w:val="24"/>
              </w:rPr>
              <w:t>en soutenant les efforts déployés par l’</w:t>
            </w:r>
            <w:r>
              <w:rPr>
                <w:rFonts w:ascii="Times New Roman" w:hAnsi="Times New Roman"/>
                <w:b/>
                <w:noProof/>
                <w:sz w:val="24"/>
              </w:rPr>
              <w:t>OMS</w:t>
            </w:r>
            <w:r>
              <w:rPr>
                <w:rFonts w:ascii="Times New Roman" w:hAnsi="Times New Roman"/>
                <w:noProof/>
                <w:sz w:val="24"/>
              </w:rPr>
              <w:t xml:space="preserve"> pour surveiller et évaluer le stock mondiale de R &amp; D afin de lutter contre la résistance aux antimicrobiens.</w:t>
            </w:r>
          </w:p>
          <w:p w14:paraId="4D33B14C" w14:textId="4F798189" w:rsidR="00E51A4B" w:rsidRPr="00413FCC" w:rsidRDefault="00E51A4B" w:rsidP="004E63B5">
            <w:pPr>
              <w:jc w:val="both"/>
              <w:rPr>
                <w:rFonts w:ascii="Times New Roman" w:hAnsi="Times New Roman" w:cs="Times New Roman"/>
                <w:noProof/>
                <w:sz w:val="24"/>
                <w:szCs w:val="24"/>
              </w:rPr>
            </w:pPr>
            <w:r>
              <w:rPr>
                <w:rFonts w:ascii="Times New Roman" w:hAnsi="Times New Roman"/>
                <w:noProof/>
                <w:sz w:val="24"/>
              </w:rPr>
              <w:t xml:space="preserve">En outre, à la suite de la déclaration politique de l’Assemblée générale des Nations unies sur la résistance aux antimicrobiens, la Commission soutiendra la création d’un </w:t>
            </w:r>
            <w:r>
              <w:rPr>
                <w:rFonts w:ascii="Times New Roman" w:hAnsi="Times New Roman"/>
                <w:b/>
                <w:noProof/>
                <w:sz w:val="24"/>
              </w:rPr>
              <w:t>groupe indépendant sur les données probantes concernant les mesures de lutte contre la résistance aux antimicrobiens</w:t>
            </w:r>
            <w:r>
              <w:rPr>
                <w:rFonts w:ascii="Times New Roman" w:hAnsi="Times New Roman"/>
                <w:noProof/>
                <w:sz w:val="24"/>
              </w:rPr>
              <w:t>, qui devrait soutenir des interventions à fort impact dans le domaine de la R &amp; D en la matière</w:t>
            </w:r>
            <w:r>
              <w:rPr>
                <w:rStyle w:val="FootnoteReference"/>
                <w:rFonts w:ascii="Times New Roman" w:hAnsi="Times New Roman" w:cs="Times New Roman"/>
                <w:noProof/>
                <w:sz w:val="24"/>
                <w:szCs w:val="24"/>
              </w:rPr>
              <w:footnoteReference w:id="29"/>
            </w:r>
            <w:r>
              <w:rPr>
                <w:rFonts w:ascii="Times New Roman" w:hAnsi="Times New Roman"/>
                <w:noProof/>
                <w:sz w:val="24"/>
              </w:rPr>
              <w:t xml:space="preserve">. </w:t>
            </w:r>
          </w:p>
        </w:tc>
      </w:tr>
    </w:tbl>
    <w:bookmarkEnd w:id="6"/>
    <w:p w14:paraId="1619784A" w14:textId="2C094183" w:rsidR="00303BC5" w:rsidRPr="00E51A4B" w:rsidRDefault="00B44F30" w:rsidP="00E51A4B">
      <w:pPr>
        <w:pStyle w:val="Heading2"/>
        <w:numPr>
          <w:ilvl w:val="0"/>
          <w:numId w:val="0"/>
        </w:numPr>
        <w:spacing w:before="240"/>
        <w:ind w:left="1066" w:hanging="357"/>
        <w:rPr>
          <w:noProof/>
        </w:rPr>
      </w:pPr>
      <w:r>
        <w:rPr>
          <w:noProof/>
        </w:rPr>
        <w:t xml:space="preserve">3.2 Facteurs favorisant l’innovation afin d’accélérer la mise au point de contre-mesures médicales pour les menaces prioritaires </w:t>
      </w:r>
    </w:p>
    <w:p w14:paraId="0DDAC423" w14:textId="003BEDAB" w:rsidR="00B21052" w:rsidRDefault="00C25801" w:rsidP="00C25801">
      <w:pPr>
        <w:jc w:val="both"/>
        <w:rPr>
          <w:rFonts w:ascii="Times New Roman" w:hAnsi="Times New Roman" w:cs="Times New Roman"/>
          <w:noProof/>
          <w:sz w:val="24"/>
          <w:szCs w:val="24"/>
        </w:rPr>
      </w:pPr>
      <w:r>
        <w:rPr>
          <w:rFonts w:ascii="Times New Roman" w:hAnsi="Times New Roman"/>
          <w:noProof/>
          <w:sz w:val="24"/>
        </w:rPr>
        <w:t xml:space="preserve">La préparation aux menaces pour la santé exige que l’UE soutienne la mise au point d’un portefeuille diversifié de contre-mesures médicales en tirant parti de la mise en place de plateformes de réaction rapide et de catalyseurs technologiques, tels que les technologies numériques et d’IA. </w:t>
      </w:r>
    </w:p>
    <w:p w14:paraId="47DC299D" w14:textId="03F930CC" w:rsidR="00B21052" w:rsidRDefault="00B21052" w:rsidP="00B21052">
      <w:pPr>
        <w:jc w:val="both"/>
        <w:rPr>
          <w:rFonts w:ascii="Times New Roman" w:hAnsi="Times New Roman" w:cs="Times New Roman"/>
          <w:noProof/>
          <w:sz w:val="24"/>
          <w:szCs w:val="24"/>
        </w:rPr>
      </w:pPr>
      <w:r>
        <w:rPr>
          <w:rFonts w:ascii="Times New Roman" w:hAnsi="Times New Roman"/>
          <w:noProof/>
          <w:sz w:val="24"/>
        </w:rPr>
        <w:t>Ces actions contribueront à consolider la position de l’UE comme centre de premier plan pour la recherche, le développement et l’innovation en matière de contre-mesures médicales.</w:t>
      </w:r>
    </w:p>
    <w:p w14:paraId="23CCB10B" w14:textId="267DA933" w:rsidR="004204A6" w:rsidRPr="004204A6" w:rsidRDefault="25CEC65A" w:rsidP="5357CA8F">
      <w:pPr>
        <w:jc w:val="both"/>
        <w:rPr>
          <w:rFonts w:ascii="Times New Roman" w:hAnsi="Times New Roman" w:cs="Times New Roman"/>
          <w:b/>
          <w:bCs/>
          <w:i/>
          <w:iCs/>
          <w:noProof/>
          <w:sz w:val="24"/>
          <w:szCs w:val="24"/>
        </w:rPr>
      </w:pPr>
      <w:r>
        <w:rPr>
          <w:rFonts w:ascii="Times New Roman" w:hAnsi="Times New Roman"/>
          <w:b/>
          <w:i/>
          <w:noProof/>
          <w:sz w:val="24"/>
        </w:rPr>
        <w:t xml:space="preserve">Plateformes de réaction rapide et partenariats </w:t>
      </w:r>
    </w:p>
    <w:p w14:paraId="1A4A6B75" w14:textId="7226188D" w:rsidR="00EE364B" w:rsidRDefault="00BA5F6A" w:rsidP="00EE364B">
      <w:pPr>
        <w:jc w:val="both"/>
        <w:rPr>
          <w:rFonts w:ascii="Times New Roman" w:hAnsi="Times New Roman" w:cs="Times New Roman"/>
          <w:noProof/>
          <w:sz w:val="24"/>
          <w:szCs w:val="24"/>
        </w:rPr>
      </w:pPr>
      <w:r>
        <w:rPr>
          <w:rFonts w:ascii="Times New Roman" w:hAnsi="Times New Roman"/>
          <w:noProof/>
          <w:sz w:val="24"/>
        </w:rPr>
        <w:t>Étant donné que les menaces pour la santé peuvent apparaître de manière imprévisible et se propager rapidement, les plateformes de réaction rapide sont devenues essentielles pour garantir des interventions en temps utile, en mettant l’accent sur la mise au point de technologies qui peuvent vite s’avérer cruciales pour assurer un accès rapide à des contre-mesures médicales efficaces en cas d’urgence.</w:t>
      </w:r>
    </w:p>
    <w:p w14:paraId="2380F409" w14:textId="1F135FF5" w:rsidR="00413FCC" w:rsidRPr="00DB7D66" w:rsidRDefault="00413FCC" w:rsidP="00EE364B">
      <w:pPr>
        <w:jc w:val="both"/>
        <w:rPr>
          <w:rFonts w:ascii="Times New Roman" w:hAnsi="Times New Roman" w:cs="Times New Roman"/>
          <w:noProof/>
          <w:sz w:val="24"/>
          <w:szCs w:val="24"/>
        </w:rPr>
      </w:pPr>
      <w:r>
        <w:rPr>
          <w:rFonts w:ascii="Times New Roman" w:hAnsi="Times New Roman"/>
          <w:noProof/>
          <w:sz w:val="24"/>
        </w:rPr>
        <w:t>S’appuyant sur des projets tels que le pôle européen des vaccins (voir encadré ci-dessous) et les premiers enseignements tirés, le partenariat pour la préparation aux pandémies d’Horizon Europe et le plan d’investissement dans la recherche clinique annoncé dans la stratégie pour les sciences du vivant et soutenu par des groupes d’experts tels que le mécanisme de coordination des essais cliniques, la Commission:</w:t>
      </w:r>
    </w:p>
    <w:p w14:paraId="20E48F98" w14:textId="65DC9CB7" w:rsidR="008B39F5" w:rsidRPr="00413FCC" w:rsidRDefault="008B39F5" w:rsidP="00BC38CC">
      <w:pPr>
        <w:pStyle w:val="ListParagraph"/>
        <w:numPr>
          <w:ilvl w:val="0"/>
          <w:numId w:val="11"/>
        </w:numPr>
        <w:contextualSpacing w:val="0"/>
        <w:jc w:val="both"/>
        <w:rPr>
          <w:rFonts w:ascii="Times New Roman" w:hAnsi="Times New Roman" w:cs="Times New Roman"/>
          <w:noProof/>
          <w:sz w:val="24"/>
          <w:szCs w:val="24"/>
        </w:rPr>
      </w:pPr>
      <w:r>
        <w:rPr>
          <w:rFonts w:ascii="Times New Roman" w:hAnsi="Times New Roman"/>
          <w:noProof/>
          <w:sz w:val="24"/>
        </w:rPr>
        <w:t xml:space="preserve">lancera un projet pilote pour la création d’un </w:t>
      </w:r>
      <w:r>
        <w:rPr>
          <w:rFonts w:ascii="Times New Roman" w:hAnsi="Times New Roman"/>
          <w:b/>
          <w:noProof/>
          <w:sz w:val="24"/>
        </w:rPr>
        <w:t>pôle</w:t>
      </w:r>
      <w:r>
        <w:rPr>
          <w:rFonts w:ascii="Times New Roman" w:hAnsi="Times New Roman"/>
          <w:noProof/>
          <w:sz w:val="24"/>
        </w:rPr>
        <w:t xml:space="preserve"> </w:t>
      </w:r>
      <w:r>
        <w:rPr>
          <w:rFonts w:ascii="Times New Roman" w:hAnsi="Times New Roman"/>
          <w:b/>
          <w:noProof/>
          <w:sz w:val="24"/>
        </w:rPr>
        <w:t>européen du diagnostic</w:t>
      </w:r>
      <w:r>
        <w:rPr>
          <w:rFonts w:ascii="Times New Roman" w:hAnsi="Times New Roman"/>
          <w:noProof/>
          <w:sz w:val="24"/>
        </w:rPr>
        <w:t xml:space="preserve"> d’ici à 2026 afin d’</w:t>
      </w:r>
      <w:r>
        <w:rPr>
          <w:rFonts w:ascii="Times New Roman" w:hAnsi="Times New Roman"/>
          <w:b/>
          <w:noProof/>
          <w:sz w:val="24"/>
        </w:rPr>
        <w:t>investir dans la mise au point de tests et de technologies de diagnostic de nouvelle génération</w:t>
      </w:r>
      <w:r>
        <w:rPr>
          <w:rFonts w:ascii="Times New Roman" w:hAnsi="Times New Roman"/>
          <w:noProof/>
          <w:sz w:val="24"/>
        </w:rPr>
        <w:t xml:space="preserve"> qui soient rapidement modulables, facilement adaptables et utilisables sur le lieu de soin pour lutter contre de multiples agents pathogènes et compléter les travaux du projet DURABLE par des diagnostics rapides;</w:t>
      </w:r>
    </w:p>
    <w:p w14:paraId="5D9C07CE" w14:textId="34FED1BB" w:rsidR="00EC4D66" w:rsidRPr="00F23F86" w:rsidRDefault="00EC4D66" w:rsidP="00BC38CC">
      <w:pPr>
        <w:pStyle w:val="ListParagraph"/>
        <w:numPr>
          <w:ilvl w:val="0"/>
          <w:numId w:val="11"/>
        </w:numPr>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lancera un </w:t>
      </w:r>
      <w:r>
        <w:rPr>
          <w:rFonts w:ascii="Times New Roman" w:hAnsi="Times New Roman"/>
          <w:b/>
          <w:noProof/>
          <w:sz w:val="24"/>
        </w:rPr>
        <w:t>pôle européen des thérapies</w:t>
      </w:r>
      <w:r>
        <w:rPr>
          <w:rFonts w:ascii="Times New Roman" w:hAnsi="Times New Roman"/>
          <w:noProof/>
          <w:sz w:val="24"/>
        </w:rPr>
        <w:t xml:space="preserve"> d’ici à 2027 afin de favoriser la </w:t>
      </w:r>
      <w:r>
        <w:rPr>
          <w:rFonts w:ascii="Times New Roman" w:hAnsi="Times New Roman"/>
          <w:b/>
          <w:noProof/>
          <w:sz w:val="24"/>
        </w:rPr>
        <w:t>mise au point d’anticorps monoclonaux</w:t>
      </w:r>
      <w:r>
        <w:rPr>
          <w:rFonts w:ascii="Times New Roman" w:hAnsi="Times New Roman"/>
          <w:noProof/>
          <w:sz w:val="24"/>
        </w:rPr>
        <w:t xml:space="preserve"> et d’</w:t>
      </w:r>
      <w:r>
        <w:rPr>
          <w:rFonts w:ascii="Times New Roman" w:hAnsi="Times New Roman"/>
          <w:b/>
          <w:noProof/>
          <w:sz w:val="24"/>
        </w:rPr>
        <w:t>antiviraux à large spectre</w:t>
      </w:r>
      <w:r>
        <w:rPr>
          <w:rFonts w:ascii="Times New Roman" w:hAnsi="Times New Roman"/>
          <w:noProof/>
          <w:sz w:val="24"/>
        </w:rPr>
        <w:t xml:space="preserve"> qui peuvent être rapidement déployés contre un large éventail d’agents pathogènes tels que les coronavirus et les virus Ebola, Marburg, mpox, la dengue ainsi que des menaces inconnues telles que le «pathogène X»; </w:t>
      </w:r>
    </w:p>
    <w:p w14:paraId="5C80417A" w14:textId="0EEEA134" w:rsidR="00EC4D66" w:rsidRPr="00EC4D66" w:rsidRDefault="00EC4D66" w:rsidP="00BC38CC">
      <w:pPr>
        <w:pStyle w:val="ListParagraph"/>
        <w:numPr>
          <w:ilvl w:val="0"/>
          <w:numId w:val="11"/>
        </w:numPr>
        <w:contextualSpacing w:val="0"/>
        <w:jc w:val="both"/>
        <w:rPr>
          <w:rFonts w:ascii="Times New Roman" w:hAnsi="Times New Roman" w:cs="Times New Roman"/>
          <w:noProof/>
          <w:sz w:val="24"/>
          <w:szCs w:val="24"/>
        </w:rPr>
      </w:pPr>
      <w:r>
        <w:rPr>
          <w:rFonts w:ascii="Times New Roman" w:hAnsi="Times New Roman"/>
          <w:noProof/>
          <w:sz w:val="24"/>
        </w:rPr>
        <w:t xml:space="preserve">étudiera, par l’intermédiaire du réseau «Infrastructures de recherche/ISIDORe», la possibilité d’accroître le soutien aux chercheurs et aux projets européens en offrant un </w:t>
      </w:r>
      <w:r>
        <w:rPr>
          <w:rFonts w:ascii="Times New Roman" w:hAnsi="Times New Roman"/>
          <w:b/>
          <w:noProof/>
          <w:sz w:val="24"/>
        </w:rPr>
        <w:t>accès facilité ou gratuit aux services d’infrastructure</w:t>
      </w:r>
      <w:r>
        <w:rPr>
          <w:rFonts w:ascii="Times New Roman" w:hAnsi="Times New Roman"/>
          <w:noProof/>
          <w:sz w:val="24"/>
        </w:rPr>
        <w:t xml:space="preserve"> tels que les </w:t>
      </w:r>
      <w:r>
        <w:rPr>
          <w:rFonts w:ascii="Times New Roman" w:hAnsi="Times New Roman"/>
          <w:b/>
          <w:noProof/>
          <w:sz w:val="24"/>
        </w:rPr>
        <w:t>biobanques</w:t>
      </w:r>
      <w:r>
        <w:rPr>
          <w:rFonts w:ascii="Times New Roman" w:hAnsi="Times New Roman"/>
          <w:noProof/>
          <w:sz w:val="24"/>
        </w:rPr>
        <w:t xml:space="preserve"> ou les cohortes médicales. </w:t>
      </w:r>
    </w:p>
    <w:p w14:paraId="6BA4A323" w14:textId="5C810D7E" w:rsidR="009D75D6" w:rsidRDefault="00F57A89" w:rsidP="00B77BFA">
      <w:pPr>
        <w:jc w:val="both"/>
        <w:rPr>
          <w:rFonts w:ascii="Times New Roman" w:hAnsi="Times New Roman" w:cs="Times New Roman"/>
          <w:noProof/>
          <w:sz w:val="24"/>
          <w:szCs w:val="24"/>
        </w:rPr>
      </w:pPr>
      <w:r>
        <w:rPr>
          <w:noProof/>
          <w:lang w:val="en-GB" w:eastAsia="en-GB"/>
        </w:rPr>
        <mc:AlternateContent>
          <mc:Choice Requires="wps">
            <w:drawing>
              <wp:inline distT="0" distB="0" distL="114300" distR="114300" wp14:anchorId="6678B0F1" wp14:editId="6E9C1703">
                <wp:extent cx="6035040" cy="3108960"/>
                <wp:effectExtent l="0" t="0" r="22860" b="15240"/>
                <wp:docPr id="629857374" name="Text Box 3"/>
                <wp:cNvGraphicFramePr/>
                <a:graphic xmlns:a="http://schemas.openxmlformats.org/drawingml/2006/main">
                  <a:graphicData uri="http://schemas.microsoft.com/office/word/2010/wordprocessingShape">
                    <wps:wsp>
                      <wps:cNvSpPr txBox="1"/>
                      <wps:spPr>
                        <a:xfrm>
                          <a:off x="0" y="0"/>
                          <a:ext cx="6035040" cy="3108960"/>
                        </a:xfrm>
                        <a:prstGeom prst="rect">
                          <a:avLst/>
                        </a:prstGeom>
                        <a:solidFill>
                          <a:schemeClr val="lt1"/>
                        </a:solidFill>
                        <a:ln w="6350">
                          <a:solidFill>
                            <a:prstClr val="black"/>
                          </a:solidFill>
                        </a:ln>
                      </wps:spPr>
                      <wps:txbx>
                        <w:txbxContent>
                          <w:p w14:paraId="2BFBA5A2" w14:textId="18D2153D" w:rsidR="00F57A89" w:rsidRPr="00070FA0" w:rsidRDefault="00F57A89" w:rsidP="00F57A89">
                            <w:pPr>
                              <w:spacing w:after="120"/>
                              <w:jc w:val="both"/>
                              <w:rPr>
                                <w:rFonts w:ascii="Times New Roman" w:hAnsi="Times New Roman" w:cs="Times New Roman"/>
                                <w:b/>
                                <w:bCs/>
                                <w:sz w:val="24"/>
                                <w:szCs w:val="24"/>
                              </w:rPr>
                            </w:pPr>
                            <w:r>
                              <w:rPr>
                                <w:rFonts w:ascii="Times New Roman" w:hAnsi="Times New Roman"/>
                                <w:b/>
                                <w:sz w:val="24"/>
                              </w:rPr>
                              <w:t>Plateforme de mise au point rapide de vaccins: le pôle européen des vaccins</w:t>
                            </w:r>
                          </w:p>
                          <w:p w14:paraId="152CE6C4" w14:textId="2AF2AF30" w:rsidR="00EC4D66" w:rsidRPr="00070FA0" w:rsidRDefault="00E24545" w:rsidP="00F57A89">
                            <w:pPr>
                              <w:spacing w:after="0"/>
                              <w:jc w:val="both"/>
                              <w:rPr>
                                <w:rFonts w:ascii="Times New Roman" w:hAnsi="Times New Roman" w:cs="Times New Roman"/>
                                <w:sz w:val="24"/>
                                <w:szCs w:val="24"/>
                              </w:rPr>
                            </w:pPr>
                            <w:r>
                              <w:rPr>
                                <w:rFonts w:ascii="Times New Roman" w:hAnsi="Times New Roman"/>
                                <w:sz w:val="24"/>
                              </w:rPr>
                              <w:t>Lancé en 2025, le pôle européen des vaccins est un consortium d’acteurs européens de premier plan chargés de faire progresser la mise au point et la fabrication de vaccins contre les menaces pour la santé publique, doté d’un financement de 102 millions d’euros sur quatre ans. Le pôle européen des vaccins:</w:t>
                            </w:r>
                          </w:p>
                          <w:p w14:paraId="63AA68EC" w14:textId="048795E9" w:rsidR="00F57A89" w:rsidRPr="00070FA0" w:rsidRDefault="000E12FD"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lancera et promouvra la mise au point de premiers vaccins expérimentaux contre toute menace dans un délai de quatre mois à compter de son apparition;</w:t>
                            </w:r>
                          </w:p>
                          <w:p w14:paraId="1B88203F" w14:textId="59A87863" w:rsidR="00F57A89" w:rsidRPr="00070FA0"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proposera une stratégie de prototypes de vaccins fondée sur l’utilisation de technologies de plateformes innovantes;</w:t>
                            </w:r>
                          </w:p>
                          <w:p w14:paraId="5049C3B0" w14:textId="2F1F451C" w:rsidR="00F57A89" w:rsidRPr="00070FA0"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dirigera des essais précliniques, de phase I/II et à modèle d’infection contrôlée chez l’humain de vaccins contre certains agents pathogènes;</w:t>
                            </w:r>
                          </w:p>
                          <w:p w14:paraId="38E5169F" w14:textId="5DAB0029" w:rsidR="00F57A89" w:rsidRPr="004878C3"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renforcera les partenariats public-privé pour la fabrication de vaccins;</w:t>
                            </w:r>
                          </w:p>
                          <w:p w14:paraId="1FFEE798" w14:textId="04321F8E" w:rsidR="00F57A89" w:rsidRPr="00EC4D66"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facilitera l’accès aux installations de production de vaccins, aux sites d’essais cliniques, aux laboratoires d’analyse, aux transferts de technologie et à l’extension des capacités de production grâce à des partenariats industriels.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678B0F1" id="Text Box 3" o:spid="_x0000_s1028" type="#_x0000_t202" style="width:475.2pt;height:24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" fillcolor="white [3201]" strokeweight=".5pt">
                <v:textbox>
                  <w:txbxContent>
                    <w:p w14:paraId="2BFBA5A2" w14:textId="18D2153D" w:rsidR="00F57A89" w:rsidRPr="00070FA0" w:rsidRDefault="00F57A89" w:rsidP="00F57A89">
                      <w:pPr>
                        <w:spacing w:after="120"/>
                        <w:jc w:val="both"/>
                        <w:rPr>
                          <w:rFonts w:ascii="Times New Roman" w:hAnsi="Times New Roman" w:cs="Times New Roman"/>
                          <w:b/>
                          <w:bCs/>
                          <w:sz w:val="24"/>
                          <w:szCs w:val="24"/>
                        </w:rPr>
                      </w:pPr>
                      <w:r>
                        <w:rPr>
                          <w:rFonts w:ascii="Times New Roman" w:hAnsi="Times New Roman"/>
                          <w:b/>
                          <w:sz w:val="24"/>
                        </w:rPr>
                        <w:t>Plateforme de mise au point rapide de vaccins: le pôle européen des vaccins</w:t>
                      </w:r>
                    </w:p>
                    <w:p w14:paraId="152CE6C4" w14:textId="2AF2AF30" w:rsidR="00EC4D66" w:rsidRPr="00070FA0" w:rsidRDefault="00E24545" w:rsidP="00F57A89">
                      <w:pPr>
                        <w:spacing w:after="0"/>
                        <w:jc w:val="both"/>
                        <w:rPr>
                          <w:rFonts w:ascii="Times New Roman" w:hAnsi="Times New Roman" w:cs="Times New Roman"/>
                          <w:sz w:val="24"/>
                          <w:szCs w:val="24"/>
                        </w:rPr>
                      </w:pPr>
                      <w:r>
                        <w:rPr>
                          <w:rFonts w:ascii="Times New Roman" w:hAnsi="Times New Roman"/>
                          <w:sz w:val="24"/>
                        </w:rPr>
                        <w:t>Lancé en 2025, le pôle européen des vaccins est un consortium d’acteurs européens de premier plan chargés de faire progresser la mise au point et la fabrication de vaccins contre les menaces pour la santé publique, doté d’un financement de 102 millions d’euros sur quatre ans. Le pôle européen des vaccins:</w:t>
                      </w:r>
                    </w:p>
                    <w:p w14:paraId="63AA68EC" w14:textId="048795E9" w:rsidR="00F57A89" w:rsidRPr="00070FA0" w:rsidRDefault="000E12FD"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lancera et promouvra la mise au point de premiers vaccins expérimentaux contre toute menace dans un délai de quatre mois à compter de son apparition;</w:t>
                      </w:r>
                    </w:p>
                    <w:p w14:paraId="1B88203F" w14:textId="59A87863" w:rsidR="00F57A89" w:rsidRPr="00070FA0"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proposera une stratégie de prototypes de vaccins fondée sur l’utilisation de technologies de plateformes innovantes;</w:t>
                      </w:r>
                    </w:p>
                    <w:p w14:paraId="5049C3B0" w14:textId="2F1F451C" w:rsidR="00F57A89" w:rsidRPr="00070FA0"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dirigera des essais précliniques, de phase I/II et à modèle d’infection contrôlée chez l’humain de vaccins contre certains agents pathogènes;</w:t>
                      </w:r>
                    </w:p>
                    <w:p w14:paraId="38E5169F" w14:textId="5DAB0029" w:rsidR="00F57A89" w:rsidRPr="004878C3"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renforcera les partenariats public-privé pour la fabrication de vaccins;</w:t>
                      </w:r>
                    </w:p>
                    <w:p w14:paraId="1FFEE798" w14:textId="04321F8E" w:rsidR="00F57A89" w:rsidRPr="00EC4D66" w:rsidRDefault="002E6238" w:rsidP="00F961A8">
                      <w:pPr>
                        <w:pStyle w:val="ListParagraph"/>
                        <w:numPr>
                          <w:ilvl w:val="0"/>
                          <w:numId w:val="10"/>
                        </w:numPr>
                        <w:jc w:val="both"/>
                        <w:rPr>
                          <w:rFonts w:ascii="Times New Roman" w:hAnsi="Times New Roman" w:cs="Times New Roman"/>
                          <w:sz w:val="24"/>
                          <w:szCs w:val="24"/>
                        </w:rPr>
                      </w:pPr>
                      <w:r>
                        <w:rPr>
                          <w:rFonts w:ascii="Times New Roman" w:hAnsi="Times New Roman"/>
                          <w:sz w:val="24"/>
                        </w:rPr>
                        <w:t>facilitera l’accès aux installations de production de vaccins, aux sites d’essais cliniques, aux laboratoires d’analyse, aux transferts de technologie et à l’extension des capacités de production grâce à des partenariats industriels.</w:t>
                      </w:r>
                    </w:p>
                  </w:txbxContent>
                </v:textbox>
                <w10:anchorlock/>
              </v:shape>
            </w:pict>
          </mc:Fallback>
        </mc:AlternateContent>
      </w:r>
    </w:p>
    <w:p w14:paraId="75FD707F" w14:textId="3EC20B61" w:rsidR="00B87844" w:rsidRPr="00B77BFA" w:rsidRDefault="009D75D6" w:rsidP="00B77BFA">
      <w:pPr>
        <w:jc w:val="both"/>
        <w:rPr>
          <w:rFonts w:ascii="Times New Roman" w:hAnsi="Times New Roman" w:cs="Times New Roman"/>
          <w:noProof/>
          <w:sz w:val="24"/>
          <w:szCs w:val="24"/>
        </w:rPr>
      </w:pPr>
      <w:r>
        <w:rPr>
          <w:rFonts w:ascii="Times New Roman" w:hAnsi="Times New Roman"/>
          <w:noProof/>
          <w:sz w:val="24"/>
        </w:rPr>
        <w:t>La Commission continuera aussi à collaborer avec les partenaires internationaux, renforçant ainsi les synergies et l’alignement entre les initiatives de l’UE et les initiatives mondiales pour la mise au point de contre-mesures médicales. Plus précisément, la Commission:</w:t>
      </w:r>
    </w:p>
    <w:p w14:paraId="3E8CE3FD" w14:textId="5EF65D7F" w:rsidR="6BCB3AF0" w:rsidRDefault="00746BCC" w:rsidP="00746BCC">
      <w:pPr>
        <w:pStyle w:val="ListParagraph"/>
        <w:numPr>
          <w:ilvl w:val="0"/>
          <w:numId w:val="12"/>
        </w:numPr>
        <w:ind w:left="714" w:hanging="357"/>
        <w:contextualSpacing w:val="0"/>
        <w:jc w:val="both"/>
        <w:rPr>
          <w:rFonts w:ascii="Times New Roman" w:hAnsi="Times New Roman" w:cs="Times New Roman"/>
          <w:noProof/>
          <w:sz w:val="24"/>
          <w:szCs w:val="24"/>
        </w:rPr>
      </w:pPr>
      <w:r>
        <w:rPr>
          <w:rFonts w:ascii="Times New Roman" w:hAnsi="Times New Roman"/>
          <w:noProof/>
          <w:sz w:val="24"/>
        </w:rPr>
        <w:t xml:space="preserve">continuera à soutenir la </w:t>
      </w:r>
      <w:r>
        <w:rPr>
          <w:rFonts w:ascii="Times New Roman" w:hAnsi="Times New Roman"/>
          <w:b/>
          <w:noProof/>
          <w:sz w:val="24"/>
        </w:rPr>
        <w:t>coalition pour les innovations en matière de préparation aux épidémies (CEPI)</w:t>
      </w:r>
      <w:r>
        <w:rPr>
          <w:rFonts w:ascii="Times New Roman" w:hAnsi="Times New Roman"/>
          <w:noProof/>
          <w:sz w:val="24"/>
        </w:rPr>
        <w:t xml:space="preserve"> en vue de la mise au point de vaccins contre les menaces prioritaires convenues d’un commun accord;</w:t>
      </w:r>
    </w:p>
    <w:p w14:paraId="1019752E" w14:textId="65793CCE" w:rsidR="59F65E3D" w:rsidRDefault="00746BCC" w:rsidP="00746BCC">
      <w:pPr>
        <w:pStyle w:val="ListParagraph"/>
        <w:numPr>
          <w:ilvl w:val="0"/>
          <w:numId w:val="12"/>
        </w:numPr>
        <w:ind w:left="714" w:hanging="357"/>
        <w:contextualSpacing w:val="0"/>
        <w:jc w:val="both"/>
        <w:rPr>
          <w:rFonts w:ascii="Times New Roman" w:hAnsi="Times New Roman" w:cs="Times New Roman"/>
          <w:noProof/>
        </w:rPr>
      </w:pPr>
      <w:r>
        <w:rPr>
          <w:rFonts w:ascii="Times New Roman" w:hAnsi="Times New Roman"/>
          <w:noProof/>
          <w:sz w:val="24"/>
        </w:rPr>
        <w:t>collaborera avec l’</w:t>
      </w:r>
      <w:r>
        <w:rPr>
          <w:rFonts w:ascii="Times New Roman" w:hAnsi="Times New Roman"/>
          <w:b/>
          <w:noProof/>
          <w:sz w:val="24"/>
        </w:rPr>
        <w:t>initiative Médicaments pour les maladies négligées (DNDi)</w:t>
      </w:r>
      <w:r>
        <w:rPr>
          <w:rFonts w:ascii="Times New Roman" w:hAnsi="Times New Roman"/>
          <w:noProof/>
          <w:sz w:val="24"/>
        </w:rPr>
        <w:t xml:space="preserve"> afin de soutenir les essais cliniques d’antiviraux prometteurs contre la dengue;</w:t>
      </w:r>
    </w:p>
    <w:p w14:paraId="3B96467F" w14:textId="05A1CA22" w:rsidR="00096132" w:rsidRPr="00096132" w:rsidRDefault="00B77BFA" w:rsidP="00746BCC">
      <w:pPr>
        <w:pStyle w:val="ListParagraph"/>
        <w:numPr>
          <w:ilvl w:val="0"/>
          <w:numId w:val="11"/>
        </w:numPr>
        <w:ind w:left="714" w:hanging="357"/>
        <w:contextualSpacing w:val="0"/>
        <w:jc w:val="both"/>
        <w:rPr>
          <w:rFonts w:ascii="Times New Roman" w:hAnsi="Times New Roman" w:cs="Times New Roman"/>
          <w:noProof/>
          <w:sz w:val="24"/>
          <w:szCs w:val="24"/>
        </w:rPr>
      </w:pPr>
      <w:r>
        <w:rPr>
          <w:rFonts w:ascii="Times New Roman" w:hAnsi="Times New Roman"/>
          <w:noProof/>
          <w:sz w:val="24"/>
        </w:rPr>
        <w:t>continuera à investir dans la mise au point de nouveaux antibiotiques efficaces contre les bactéries résistantes, en soutenant l’</w:t>
      </w:r>
      <w:r>
        <w:rPr>
          <w:rFonts w:ascii="Times New Roman" w:hAnsi="Times New Roman"/>
          <w:b/>
          <w:noProof/>
          <w:sz w:val="24"/>
        </w:rPr>
        <w:t>accélérateur biopharmaceutique de lutte contre les bactéries résistantes aux antibiotiques (CARB-X)</w:t>
      </w:r>
      <w:r>
        <w:rPr>
          <w:rFonts w:ascii="Times New Roman" w:hAnsi="Times New Roman"/>
          <w:noProof/>
          <w:sz w:val="24"/>
        </w:rPr>
        <w:t xml:space="preserve"> et le </w:t>
      </w:r>
      <w:r>
        <w:rPr>
          <w:rFonts w:ascii="Times New Roman" w:hAnsi="Times New Roman"/>
          <w:b/>
          <w:noProof/>
          <w:sz w:val="24"/>
        </w:rPr>
        <w:t>partenariat mondial pour la recherche et le développement en matière d’antibiotiques (GARDP)</w:t>
      </w:r>
      <w:r>
        <w:rPr>
          <w:rFonts w:ascii="Times New Roman" w:hAnsi="Times New Roman"/>
          <w:noProof/>
          <w:sz w:val="24"/>
        </w:rPr>
        <w:t xml:space="preserve"> dans le domaine des antibiotiques et diagnostics innovants;</w:t>
      </w:r>
    </w:p>
    <w:p w14:paraId="43243903" w14:textId="1B8D02B6" w:rsidR="00303BC5" w:rsidRPr="001F37D0" w:rsidRDefault="00746BCC" w:rsidP="5357CA8F">
      <w:pPr>
        <w:pStyle w:val="ListParagraph"/>
        <w:numPr>
          <w:ilvl w:val="0"/>
          <w:numId w:val="11"/>
        </w:numPr>
        <w:contextualSpacing w:val="0"/>
        <w:jc w:val="both"/>
        <w:rPr>
          <w:rFonts w:ascii="Times New Roman" w:hAnsi="Times New Roman" w:cs="Times New Roman"/>
          <w:noProof/>
          <w:sz w:val="24"/>
          <w:szCs w:val="24"/>
        </w:rPr>
      </w:pPr>
      <w:r>
        <w:rPr>
          <w:rFonts w:ascii="Times New Roman" w:hAnsi="Times New Roman"/>
          <w:noProof/>
          <w:sz w:val="24"/>
        </w:rPr>
        <w:t xml:space="preserve">contribuera à la mise en place d’une </w:t>
      </w:r>
      <w:r>
        <w:rPr>
          <w:rFonts w:ascii="Times New Roman" w:hAnsi="Times New Roman"/>
          <w:b/>
          <w:noProof/>
          <w:sz w:val="24"/>
        </w:rPr>
        <w:t>coalition mondiale pour le développement thérapeutique</w:t>
      </w:r>
      <w:r>
        <w:rPr>
          <w:rFonts w:ascii="Times New Roman" w:hAnsi="Times New Roman"/>
          <w:noProof/>
          <w:sz w:val="24"/>
        </w:rPr>
        <w:t xml:space="preserve"> sous l’égide du secrétariat international de préparation aux pandémies (IPPS), dans le but d’accroître la disponibilité et l’accessibilité des traitements contre les maladies à potentiel pandémique.</w:t>
      </w:r>
    </w:p>
    <w:p w14:paraId="22FD4408" w14:textId="337F2F4C" w:rsidR="001F37D0" w:rsidRDefault="007A7511" w:rsidP="00E806FE">
      <w:pPr>
        <w:jc w:val="center"/>
        <w:rPr>
          <w:rFonts w:ascii="Times New Roman" w:hAnsi="Times New Roman" w:cs="Times New Roman"/>
          <w:b/>
          <w:bCs/>
          <w:i/>
          <w:iCs/>
          <w:noProof/>
          <w:sz w:val="24"/>
          <w:szCs w:val="24"/>
        </w:rPr>
      </w:pPr>
      <w:r>
        <w:rPr>
          <w:noProof/>
          <w:lang w:val="en-GB" w:eastAsia="en-GB"/>
        </w:rPr>
        <w:drawing>
          <wp:inline distT="0" distB="0" distL="0" distR="0" wp14:anchorId="31464BCE" wp14:editId="47DBBE83">
            <wp:extent cx="5943600" cy="1889125"/>
            <wp:effectExtent l="0" t="0" r="0" b="0"/>
            <wp:docPr id="67806533" name="Picture 1" descr="A blue arrow pointing to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806533" name="Picture 1" descr="A blue arrow pointing to a white background&#10;&#10;AI-generated content may be incorrect."/>
                    <pic:cNvPicPr/>
                  </pic:nvPicPr>
                  <pic:blipFill>
                    <a:blip r:embed="rId15"/>
                    <a:stretch>
                      <a:fillRect/>
                    </a:stretch>
                  </pic:blipFill>
                  <pic:spPr>
                    <a:xfrm>
                      <a:off x="0" y="0"/>
                      <a:ext cx="5943600" cy="1889125"/>
                    </a:xfrm>
                    <a:prstGeom prst="rect">
                      <a:avLst/>
                    </a:prstGeom>
                  </pic:spPr>
                </pic:pic>
              </a:graphicData>
            </a:graphic>
          </wp:inline>
        </w:drawing>
      </w:r>
    </w:p>
    <w:p w14:paraId="36B11D31" w14:textId="315E85C4" w:rsidR="004204A6" w:rsidRPr="00B21052" w:rsidRDefault="25CEC65A" w:rsidP="5357CA8F">
      <w:pPr>
        <w:jc w:val="both"/>
        <w:rPr>
          <w:rFonts w:ascii="Times New Roman" w:hAnsi="Times New Roman" w:cs="Times New Roman"/>
          <w:b/>
          <w:bCs/>
          <w:i/>
          <w:iCs/>
          <w:noProof/>
          <w:sz w:val="24"/>
          <w:szCs w:val="24"/>
        </w:rPr>
      </w:pPr>
      <w:r>
        <w:rPr>
          <w:rFonts w:ascii="Times New Roman" w:hAnsi="Times New Roman"/>
          <w:b/>
          <w:i/>
          <w:noProof/>
          <w:sz w:val="24"/>
        </w:rPr>
        <w:t>Catalyseurs technologiques pour la mise au point de contre-mesures médicales</w:t>
      </w:r>
    </w:p>
    <w:p w14:paraId="42AFCE25" w14:textId="693CCAFA" w:rsidR="00B37C49" w:rsidRDefault="00AF5202" w:rsidP="00B37C49">
      <w:pPr>
        <w:jc w:val="both"/>
        <w:rPr>
          <w:rFonts w:ascii="Times New Roman" w:hAnsi="Times New Roman" w:cs="Times New Roman"/>
          <w:noProof/>
          <w:sz w:val="24"/>
          <w:szCs w:val="24"/>
        </w:rPr>
      </w:pPr>
      <w:r>
        <w:rPr>
          <w:rFonts w:ascii="Times New Roman" w:hAnsi="Times New Roman"/>
          <w:noProof/>
          <w:sz w:val="24"/>
        </w:rPr>
        <w:t>Les technologies numériques sont de puissants atouts pour la mise au point de contre-mesures médicales. Les outils fondés sur l’IA peuvent considérablement accélérer ce processus en facilitant la collecte et l’analyse de renseignements sur les menaces pour guider la mise au point de contre-mesures médicales, en identifiant les composés prometteurs pour les vaccins ou les traitements, ou encore en permettant une analyse plus rapide et en temps réel des données d’essais cliniques plurinationaux. Cette approche peut sensiblement accélérer le processus de développement et la découverte de nouvelles contre-mesures médicales. En particulier, la Commission encouragera l’usage d’outils d’IA pour:</w:t>
      </w:r>
    </w:p>
    <w:p w14:paraId="5DF7FE7D" w14:textId="0C9D193A" w:rsidR="00B37C49" w:rsidRPr="00303BC5" w:rsidRDefault="00F3591B" w:rsidP="00F961A8">
      <w:pPr>
        <w:pStyle w:val="ListParagraph"/>
        <w:numPr>
          <w:ilvl w:val="0"/>
          <w:numId w:val="13"/>
        </w:numPr>
        <w:jc w:val="both"/>
        <w:rPr>
          <w:rFonts w:ascii="Times New Roman" w:hAnsi="Times New Roman" w:cs="Times New Roman"/>
          <w:noProof/>
          <w:sz w:val="24"/>
          <w:szCs w:val="24"/>
        </w:rPr>
      </w:pPr>
      <w:r>
        <w:rPr>
          <w:rFonts w:ascii="Times New Roman" w:hAnsi="Times New Roman"/>
          <w:b/>
          <w:noProof/>
          <w:sz w:val="24"/>
        </w:rPr>
        <w:t>soutenir une détection et une surveillance plus rapides</w:t>
      </w:r>
      <w:r>
        <w:rPr>
          <w:rFonts w:ascii="Times New Roman" w:hAnsi="Times New Roman"/>
          <w:noProof/>
          <w:sz w:val="24"/>
        </w:rPr>
        <w:t xml:space="preserve"> des menaces pour la santé pour le renseignement sur les contre-mesures médicales;</w:t>
      </w:r>
    </w:p>
    <w:p w14:paraId="43522797" w14:textId="3556CE45" w:rsidR="004D326E" w:rsidRPr="00303BC5" w:rsidRDefault="00F3591B" w:rsidP="00F961A8">
      <w:pPr>
        <w:pStyle w:val="ListParagraph"/>
        <w:numPr>
          <w:ilvl w:val="0"/>
          <w:numId w:val="13"/>
        </w:numPr>
        <w:jc w:val="both"/>
        <w:rPr>
          <w:rFonts w:ascii="Times New Roman" w:hAnsi="Times New Roman" w:cs="Times New Roman"/>
          <w:noProof/>
          <w:sz w:val="24"/>
          <w:szCs w:val="24"/>
        </w:rPr>
      </w:pPr>
      <w:r>
        <w:rPr>
          <w:rFonts w:ascii="Times New Roman" w:hAnsi="Times New Roman"/>
          <w:b/>
          <w:noProof/>
          <w:sz w:val="24"/>
        </w:rPr>
        <w:t>accélérer la découverte de médicaments</w:t>
      </w:r>
      <w:r>
        <w:rPr>
          <w:rFonts w:ascii="Times New Roman" w:hAnsi="Times New Roman"/>
          <w:noProof/>
          <w:sz w:val="24"/>
        </w:rPr>
        <w:t xml:space="preserve"> afin de trouver rapidement des candidats potentiels, y compris les candidats les plus prometteurs en matière de repositionnement;</w:t>
      </w:r>
    </w:p>
    <w:p w14:paraId="18639167" w14:textId="3E6450AA" w:rsidR="004D326E" w:rsidRPr="00303BC5" w:rsidRDefault="00F3591B" w:rsidP="00F961A8">
      <w:pPr>
        <w:pStyle w:val="ListParagraph"/>
        <w:numPr>
          <w:ilvl w:val="0"/>
          <w:numId w:val="13"/>
        </w:numPr>
        <w:jc w:val="both"/>
        <w:rPr>
          <w:rFonts w:ascii="Times New Roman" w:hAnsi="Times New Roman" w:cs="Times New Roman"/>
          <w:noProof/>
          <w:sz w:val="24"/>
          <w:szCs w:val="24"/>
        </w:rPr>
      </w:pPr>
      <w:r>
        <w:rPr>
          <w:rFonts w:ascii="Times New Roman" w:hAnsi="Times New Roman"/>
          <w:b/>
          <w:noProof/>
          <w:sz w:val="24"/>
        </w:rPr>
        <w:t>optimiser les essais cliniques</w:t>
      </w:r>
      <w:r>
        <w:rPr>
          <w:rFonts w:ascii="Times New Roman" w:hAnsi="Times New Roman"/>
          <w:noProof/>
          <w:sz w:val="24"/>
        </w:rPr>
        <w:t xml:space="preserve"> et utiliser l’IA afin de soutenir la conception des essais cliniques et l’analyse des données, et ainsi réduire le délai d’approbation. </w:t>
      </w:r>
    </w:p>
    <w:p w14:paraId="6DDDC0ED" w14:textId="552EA705" w:rsidR="00286AFA" w:rsidRPr="00303BC5" w:rsidRDefault="004D326E" w:rsidP="00B43116">
      <w:pPr>
        <w:rPr>
          <w:rFonts w:ascii="Times New Roman" w:hAnsi="Times New Roman" w:cs="Times New Roman"/>
          <w:noProof/>
          <w:sz w:val="24"/>
          <w:szCs w:val="24"/>
        </w:rPr>
      </w:pPr>
      <w:r>
        <w:rPr>
          <w:rFonts w:ascii="Times New Roman" w:hAnsi="Times New Roman"/>
          <w:noProof/>
          <w:sz w:val="24"/>
        </w:rPr>
        <w:t xml:space="preserve">Ces actions alimenteront la future stratégie relative à l’intelligence artificielle dans la science que la Commission prévoit de présenter dans le courant de l’année 2025. </w:t>
      </w:r>
    </w:p>
    <w:p w14:paraId="79925706" w14:textId="7697A2F8" w:rsidR="004407F9" w:rsidRDefault="00B44F30" w:rsidP="00540F9A">
      <w:pPr>
        <w:pStyle w:val="Heading2"/>
        <w:numPr>
          <w:ilvl w:val="0"/>
          <w:numId w:val="0"/>
        </w:numPr>
        <w:ind w:left="1068" w:hanging="360"/>
        <w:rPr>
          <w:noProof/>
        </w:rPr>
      </w:pPr>
      <w:r>
        <w:rPr>
          <w:noProof/>
        </w:rPr>
        <w:t>3.3 Mise en place de capacités de production solides pour les contre-mesures médicales et réduction des dépendances à la chaîne d’approvisionnement</w:t>
      </w:r>
    </w:p>
    <w:p w14:paraId="13562A04" w14:textId="228C10EC" w:rsidR="00194F1F" w:rsidRPr="004838D9" w:rsidRDefault="00194F1F" w:rsidP="00194F1F">
      <w:pPr>
        <w:jc w:val="both"/>
        <w:rPr>
          <w:rFonts w:ascii="Times New Roman" w:hAnsi="Times New Roman" w:cs="Times New Roman"/>
          <w:noProof/>
          <w:sz w:val="24"/>
          <w:szCs w:val="24"/>
        </w:rPr>
      </w:pPr>
      <w:r>
        <w:rPr>
          <w:rFonts w:ascii="Times New Roman" w:hAnsi="Times New Roman"/>
          <w:noProof/>
          <w:sz w:val="24"/>
        </w:rPr>
        <w:t xml:space="preserve">Pour protéger efficacement les citoyens contre les urgences sanitaires, l’UE doit maintenir son état de préparation à la production. Il est essentiel d’investir dans des </w:t>
      </w:r>
      <w:r>
        <w:rPr>
          <w:rFonts w:ascii="Times New Roman" w:hAnsi="Times New Roman"/>
          <w:b/>
          <w:noProof/>
          <w:sz w:val="24"/>
        </w:rPr>
        <w:t>capacités de fabrication résilientes et évolutives</w:t>
      </w:r>
      <w:r>
        <w:rPr>
          <w:rFonts w:ascii="Times New Roman" w:hAnsi="Times New Roman"/>
          <w:noProof/>
          <w:sz w:val="24"/>
        </w:rPr>
        <w:t xml:space="preserve">, capables de produire rapidement des contre-mesures médicales à grande échelle en cas de crise. Cela implique de soutenir des </w:t>
      </w:r>
      <w:r>
        <w:rPr>
          <w:rFonts w:ascii="Times New Roman" w:hAnsi="Times New Roman"/>
          <w:b/>
          <w:noProof/>
          <w:sz w:val="24"/>
        </w:rPr>
        <w:t>installations de fabrication intelligentes, modulaires et souples</w:t>
      </w:r>
      <w:r>
        <w:rPr>
          <w:rFonts w:ascii="Times New Roman" w:hAnsi="Times New Roman"/>
          <w:noProof/>
          <w:sz w:val="24"/>
        </w:rPr>
        <w:t xml:space="preserve">, tout en faisant progresser les technologies de production et en garantissant la sécurité des sites de production, y compris en matière de cybersécurité. </w:t>
      </w:r>
    </w:p>
    <w:p w14:paraId="4CC7F5BA" w14:textId="13CBEB7E" w:rsidR="003B6709" w:rsidRDefault="236D7FCC" w:rsidP="00194F1F">
      <w:pPr>
        <w:jc w:val="both"/>
        <w:rPr>
          <w:rFonts w:ascii="Times New Roman" w:hAnsi="Times New Roman" w:cs="Times New Roman"/>
          <w:noProof/>
          <w:sz w:val="24"/>
          <w:szCs w:val="24"/>
        </w:rPr>
      </w:pPr>
      <w:r>
        <w:rPr>
          <w:rFonts w:ascii="Times New Roman" w:hAnsi="Times New Roman"/>
          <w:noProof/>
          <w:sz w:val="24"/>
        </w:rPr>
        <w:t xml:space="preserve">La Commission mettra en place </w:t>
      </w:r>
      <w:r>
        <w:rPr>
          <w:rFonts w:ascii="Times New Roman" w:hAnsi="Times New Roman"/>
          <w:b/>
          <w:noProof/>
          <w:sz w:val="24"/>
        </w:rPr>
        <w:t>RAMP UP</w:t>
      </w:r>
      <w:r>
        <w:rPr>
          <w:rFonts w:ascii="Times New Roman" w:hAnsi="Times New Roman"/>
          <w:noProof/>
          <w:sz w:val="24"/>
        </w:rPr>
        <w:t xml:space="preserve">, </w:t>
      </w:r>
      <w:r>
        <w:rPr>
          <w:rFonts w:ascii="Times New Roman" w:hAnsi="Times New Roman"/>
          <w:b/>
          <w:noProof/>
          <w:sz w:val="24"/>
        </w:rPr>
        <w:t>le partenariat de fabrication rapide et agile pour la protection de l’Union</w:t>
      </w:r>
      <w:r>
        <w:rPr>
          <w:rFonts w:ascii="Times New Roman" w:hAnsi="Times New Roman"/>
          <w:noProof/>
          <w:sz w:val="24"/>
        </w:rPr>
        <w:t xml:space="preserve"> sous la forme d’un réseau volontaire de fabricants, d’innovateurs et de fournisseurs de produits pharmaceutiques établis dans l’UE. Ce partenariat créera une force industrielle de réaction rapide pour protéger les citoyens en cas de crise. En collectant des informations essentielles sur les capacités de fabrication de contre-mesures médicales pendant les périodes de préparation, RAMP UP permettra à la Commission de recenser les risques liés à la chaîne d’approvisionnement et de réagir rapidement en cas d’urgence. Ce partenariat facilitera une planification préalable souple au niveau de l’UE et l’expansion rapide de la production en cas d’urgence sanitaire, tout en contribuant à réduire les dépendances et à diversifier les chaînes d’approvisionnement. Il fonctionnera conformément aux règles et principes du droit de la concurrence de l’UE. </w:t>
      </w:r>
    </w:p>
    <w:p w14:paraId="2C9EF7ED" w14:textId="7F33E0E2" w:rsidR="00194E5A" w:rsidRDefault="744E2A39" w:rsidP="6B7C9E68">
      <w:pPr>
        <w:jc w:val="both"/>
        <w:rPr>
          <w:rFonts w:ascii="Times New Roman" w:hAnsi="Times New Roman" w:cs="Times New Roman"/>
          <w:noProof/>
        </w:rPr>
      </w:pPr>
      <w:r>
        <w:rPr>
          <w:rFonts w:ascii="Times New Roman" w:hAnsi="Times New Roman"/>
          <w:noProof/>
          <w:sz w:val="24"/>
        </w:rPr>
        <w:t xml:space="preserve">Parallèlement aux mesures énoncées dans la proposition d’acte législatif sur les médicaments critiques, la Commission, en coopération avec les États membres, l’EMA et d’autres parties prenantes concernées, s’emploiera à déterminer s’il existe des faiblesses dans les chaînes d’approvisionnement en contre-mesures médicales qui ne figurent pas sur la liste des médicaments critiques de l’Union, par exemple les équipements de protection individuelle, les dispositifs de diagnostic ou les contre-mesures médicales ciblant les menaces CBRN. Cette évaluation servira de base à la hiérarchisation des mesures d’atténuation et renforcera la sécurité de l’approvisionnement. </w:t>
      </w:r>
    </w:p>
    <w:p w14:paraId="61A925F0" w14:textId="2EC0CD86" w:rsidR="00194E5A" w:rsidRDefault="00194E5A" w:rsidP="00194E5A">
      <w:pPr>
        <w:jc w:val="both"/>
        <w:rPr>
          <w:rFonts w:ascii="Times New Roman" w:hAnsi="Times New Roman" w:cs="Times New Roman"/>
          <w:noProof/>
          <w:sz w:val="24"/>
          <w:szCs w:val="24"/>
        </w:rPr>
      </w:pPr>
      <w:r>
        <w:rPr>
          <w:rFonts w:ascii="Times New Roman" w:hAnsi="Times New Roman"/>
          <w:noProof/>
          <w:sz w:val="24"/>
        </w:rPr>
        <w:t xml:space="preserve">Afin de consolider la capacité de production, la Commission s’appuiera également sur le modèle </w:t>
      </w:r>
      <w:r>
        <w:rPr>
          <w:rFonts w:ascii="Times New Roman" w:hAnsi="Times New Roman"/>
          <w:b/>
          <w:noProof/>
          <w:sz w:val="24"/>
        </w:rPr>
        <w:t>Fab UE</w:t>
      </w:r>
      <w:r>
        <w:rPr>
          <w:rFonts w:ascii="Times New Roman" w:hAnsi="Times New Roman"/>
          <w:noProof/>
          <w:sz w:val="24"/>
        </w:rPr>
        <w:t xml:space="preserve">, qui </w:t>
      </w:r>
      <w:r>
        <w:rPr>
          <w:rFonts w:ascii="Times New Roman" w:hAnsi="Times New Roman"/>
          <w:b/>
          <w:noProof/>
          <w:sz w:val="24"/>
        </w:rPr>
        <w:t>réserve une capacité de production mobilisable à tout moment</w:t>
      </w:r>
      <w:r>
        <w:rPr>
          <w:rFonts w:ascii="Times New Roman" w:hAnsi="Times New Roman"/>
          <w:noProof/>
          <w:sz w:val="24"/>
        </w:rPr>
        <w:t xml:space="preserve"> de 325 millions de doses de vaccin pouvant être rapidement activée afin d’obtenir la quantité requise de certains vaccins pour l’UE en cas d’urgence. La Commission étudiera la possibilité d’élargir le champ d’application de Fab UE afin de couvrir un éventail plus large de produits et d’inclure la phase de préparation, en soutenant les besoins tant civils que militaires et en encourageant des modèles de fabrication innovants susceptibles de renforcer notre réaction aux futures urgences sanitaires.</w:t>
      </w:r>
    </w:p>
    <w:p w14:paraId="444D9B44" w14:textId="55A004FD" w:rsidR="00194F1F" w:rsidRPr="00194E5A" w:rsidRDefault="00194E5A" w:rsidP="00194F1F">
      <w:pPr>
        <w:jc w:val="both"/>
        <w:rPr>
          <w:rFonts w:ascii="Times New Roman" w:hAnsi="Times New Roman" w:cs="Times New Roman"/>
          <w:noProof/>
          <w:sz w:val="24"/>
          <w:szCs w:val="24"/>
        </w:rPr>
      </w:pPr>
      <w:r>
        <w:rPr>
          <w:rFonts w:ascii="Times New Roman" w:hAnsi="Times New Roman"/>
          <w:noProof/>
          <w:sz w:val="24"/>
        </w:rPr>
        <w:t xml:space="preserve">La Commission soutiendra aussi le lancement de </w:t>
      </w:r>
      <w:r>
        <w:rPr>
          <w:rFonts w:ascii="Times New Roman" w:hAnsi="Times New Roman"/>
          <w:b/>
          <w:noProof/>
          <w:sz w:val="24"/>
        </w:rPr>
        <w:t>projets importants d’intérêt européen commun (PIIEC)</w:t>
      </w:r>
      <w:r>
        <w:rPr>
          <w:rFonts w:ascii="Times New Roman" w:hAnsi="Times New Roman"/>
          <w:noProof/>
          <w:sz w:val="24"/>
        </w:rPr>
        <w:t xml:space="preserve"> en vue d’apporter un soutien financier à des projets de R &amp; D à caractère innovateur majeur qui s’attaquent aux menaces pour la santé, tels que le projet Med4Cure, afin d’améliorer la préparation et la réaction aux situations d’urgence sanitaire dans l’intérêt de l’Union, de ses citoyens et de sa compétitivité. </w:t>
      </w:r>
    </w:p>
    <w:p w14:paraId="0F323F5A" w14:textId="3599584F" w:rsidR="0022214D" w:rsidRPr="007A3708" w:rsidRDefault="0DCB576D" w:rsidP="4B5EE3E5">
      <w:pPr>
        <w:jc w:val="both"/>
        <w:rPr>
          <w:rFonts w:ascii="Times New Roman" w:hAnsi="Times New Roman" w:cs="Times New Roman"/>
          <w:noProof/>
          <w:sz w:val="24"/>
          <w:szCs w:val="24"/>
        </w:rPr>
      </w:pPr>
      <w:r>
        <w:rPr>
          <w:rFonts w:ascii="Times New Roman" w:hAnsi="Times New Roman"/>
          <w:noProof/>
          <w:sz w:val="24"/>
        </w:rPr>
        <w:t>La pandémie de COVID-19 a démontré les risques posés par les restrictions à l’exportation sur la disponibilité de contre-mesures médicales dans l’UE. La révision de la législation pharmaceutique de l’UE et l’acte législatif sur les médicaments critiques fourniront un cadre réglementaire qui contribuera à améliorer la disponibilité des médicaments, dont certains sont des contre-mesures médicales. La révision de la législation pharmaceutique de l’UE comprend par ailleurs une nouvelle voie permettant d’autoriser des contre-mesures médicales, telles que les autorisations temporaires de mise sur le marché d’urgence. Pour garantir la sécurité de l’approvisionnement en temps de crise, l’UE s’appuiera en outre sur le règlement sur les situations d’urgence dans le marché intérieur et la résilience du marché intérieur (SURMI)</w:t>
      </w:r>
      <w:r>
        <w:rPr>
          <w:rStyle w:val="FootnoteReference"/>
          <w:rFonts w:ascii="Times New Roman" w:hAnsi="Times New Roman" w:cs="Times New Roman"/>
          <w:noProof/>
          <w:sz w:val="24"/>
          <w:szCs w:val="24"/>
        </w:rPr>
        <w:footnoteReference w:id="30"/>
      </w:r>
      <w:r>
        <w:rPr>
          <w:rFonts w:ascii="Times New Roman" w:hAnsi="Times New Roman"/>
          <w:noProof/>
          <w:sz w:val="24"/>
        </w:rPr>
        <w:t xml:space="preserve"> et sur le règlement visant à garantir la fourniture des contre-mesures médicales nécessaires en cas de crise dans l’éventualité d’une urgence de santé publique</w:t>
      </w:r>
      <w:r>
        <w:rPr>
          <w:rStyle w:val="FootnoteReference"/>
          <w:rFonts w:ascii="Times New Roman" w:hAnsi="Times New Roman" w:cs="Times New Roman"/>
          <w:noProof/>
          <w:sz w:val="24"/>
          <w:szCs w:val="24"/>
        </w:rPr>
        <w:footnoteReference w:id="31"/>
      </w:r>
      <w:r>
        <w:rPr>
          <w:rFonts w:ascii="Times New Roman" w:hAnsi="Times New Roman"/>
          <w:noProof/>
          <w:sz w:val="24"/>
        </w:rPr>
        <w:t xml:space="preserve">. La Commission continuera de collaborer avec les États membres et les pays tiers afin d’atténuer les risques de pénurie de contre-mesures médicales pertinentes en cas de crise en participant à des partenariats internationaux et en développant de tels partenariats, ainsi qu’en facilitant les échanges transfrontières de fournitures nécessaires lorsqu’une crise se concrétise. Elle continuera aussi à améliorer la capacité de gestion des crises douanières de l’UE afin de détecter et d’empêcher l’entrée sur le marché de l’UE de produits et d’équipements médicaux non conformes aux normes ou falsifiés, de faciliter l’afflux de médicaments et de produits critiques en temps de crise et, lorsque cela est jugé nécessaire, d’interdire leur exportation à partir de l’UE. </w:t>
      </w:r>
    </w:p>
    <w:p w14:paraId="04BCAF39" w14:textId="329AEA3D" w:rsidR="007E45B5" w:rsidRPr="002F1F38" w:rsidRDefault="00576E8C" w:rsidP="002F1F38">
      <w:pPr>
        <w:jc w:val="both"/>
        <w:rPr>
          <w:rFonts w:ascii="Times New Roman" w:hAnsi="Times New Roman" w:cs="Times New Roman"/>
          <w:noProof/>
          <w:sz w:val="24"/>
          <w:szCs w:val="24"/>
        </w:rPr>
      </w:pPr>
      <w:r>
        <w:rPr>
          <w:rFonts w:ascii="Times New Roman" w:hAnsi="Times New Roman"/>
          <w:noProof/>
          <w:sz w:val="24"/>
          <w:lang w:val="en-GB" w:eastAsia="en-GB"/>
        </w:rPr>
        <mc:AlternateContent>
          <mc:Choice Requires="wps">
            <w:drawing>
              <wp:inline distT="0" distB="0" distL="0" distR="0" wp14:anchorId="25EDADEE" wp14:editId="031AD342">
                <wp:extent cx="6074797" cy="3546282"/>
                <wp:effectExtent l="0" t="0" r="21590" b="16510"/>
                <wp:docPr id="100856021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4797" cy="3546282"/>
                        </a:xfrm>
                        <a:prstGeom prst="rect">
                          <a:avLst/>
                        </a:prstGeom>
                        <a:solidFill>
                          <a:sysClr val="window" lastClr="FFFFFF">
                            <a:lumMod val="85000"/>
                          </a:sysClr>
                        </a:solidFill>
                        <a:ln w="9525">
                          <a:solidFill>
                            <a:srgbClr val="000000"/>
                          </a:solidFill>
                          <a:miter lim="800000"/>
                          <a:headEnd/>
                          <a:tailEnd/>
                        </a:ln>
                      </wps:spPr>
                      <wps:txbx>
                        <w:txbxContent>
                          <w:p w14:paraId="030EC37E" w14:textId="21FBCC31" w:rsidR="00576E8C" w:rsidRPr="00B1092E" w:rsidRDefault="00576E8C" w:rsidP="00576E8C">
                            <w:pPr>
                              <w:pStyle w:val="L1"/>
                              <w:ind w:left="0"/>
                              <w:rPr>
                                <w:rFonts w:ascii="Times New Roman" w:hAnsi="Times New Roman"/>
                                <w:b/>
                                <w:bCs/>
                                <w:i/>
                                <w:iCs/>
                                <w:sz w:val="24"/>
                                <w:szCs w:val="24"/>
                              </w:rPr>
                            </w:pPr>
                            <w:r>
                              <w:rPr>
                                <w:rFonts w:ascii="Times New Roman" w:hAnsi="Times New Roman"/>
                                <w:b/>
                                <w:i/>
                                <w:sz w:val="24"/>
                              </w:rPr>
                              <w:t>Actions clés:</w:t>
                            </w:r>
                          </w:p>
                          <w:p w14:paraId="686E6428" w14:textId="4F50D2B7" w:rsidR="00576E8C" w:rsidRPr="00BD3BE7" w:rsidRDefault="00576E8C" w:rsidP="00576E8C">
                            <w:pPr>
                              <w:rPr>
                                <w:rFonts w:ascii="Times New Roman" w:hAnsi="Times New Roman" w:cs="Times New Roman"/>
                                <w:b/>
                                <w:bCs/>
                                <w:sz w:val="24"/>
                                <w:szCs w:val="24"/>
                              </w:rPr>
                            </w:pPr>
                            <w:r>
                              <w:rPr>
                                <w:rFonts w:ascii="Times New Roman" w:hAnsi="Times New Roman"/>
                                <w:b/>
                                <w:sz w:val="24"/>
                              </w:rPr>
                              <w:t xml:space="preserve">La Commission entend: </w:t>
                            </w:r>
                          </w:p>
                          <w:p w14:paraId="758F8882" w14:textId="08A946B2" w:rsidR="008F5817" w:rsidRDefault="008F5817"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mettre en place un </w:t>
                            </w:r>
                            <w:r>
                              <w:rPr>
                                <w:rFonts w:ascii="Times New Roman" w:hAnsi="Times New Roman"/>
                                <w:b/>
                                <w:sz w:val="24"/>
                              </w:rPr>
                              <w:t>accélérateur de contre-mesures médicales</w:t>
                            </w:r>
                            <w:r>
                              <w:rPr>
                                <w:rFonts w:ascii="Times New Roman" w:hAnsi="Times New Roman"/>
                                <w:sz w:val="24"/>
                              </w:rPr>
                              <w:t xml:space="preserve"> [2025]</w:t>
                            </w:r>
                          </w:p>
                          <w:p w14:paraId="12C48538" w14:textId="594CE239" w:rsidR="00194E5A"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lancer un </w:t>
                            </w:r>
                            <w:r>
                              <w:rPr>
                                <w:rFonts w:ascii="Times New Roman" w:hAnsi="Times New Roman"/>
                                <w:b/>
                                <w:sz w:val="24"/>
                              </w:rPr>
                              <w:t>pôle européen du diagnostic</w:t>
                            </w:r>
                            <w:r>
                              <w:rPr>
                                <w:rFonts w:ascii="Times New Roman" w:hAnsi="Times New Roman"/>
                                <w:sz w:val="24"/>
                              </w:rPr>
                              <w:t xml:space="preserve"> pour soutenir la mise au point de diagnostics de nouvelle génération [2026]</w:t>
                            </w:r>
                          </w:p>
                          <w:p w14:paraId="1C58D21D" w14:textId="0AD0284F" w:rsidR="00194E5A"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lancer le </w:t>
                            </w:r>
                            <w:r>
                              <w:rPr>
                                <w:rFonts w:ascii="Times New Roman" w:hAnsi="Times New Roman"/>
                                <w:b/>
                                <w:sz w:val="24"/>
                              </w:rPr>
                              <w:t>pôle européen des thérapies</w:t>
                            </w:r>
                            <w:r>
                              <w:rPr>
                                <w:rFonts w:ascii="Times New Roman" w:hAnsi="Times New Roman"/>
                                <w:sz w:val="24"/>
                              </w:rPr>
                              <w:t xml:space="preserve"> afin d’accélérer la découverte et la fabrication d’antiviraux et d’anticorps monoclonaux à large spectre [2027]</w:t>
                            </w:r>
                          </w:p>
                          <w:p w14:paraId="0D2F4251" w14:textId="1D1A5B5F" w:rsidR="00194E5A" w:rsidRDefault="00395021"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b/>
                                <w:sz w:val="24"/>
                              </w:rPr>
                              <w:t>envisager d’élargir le champ d’application de Fab UE</w:t>
                            </w:r>
                            <w:r>
                              <w:rPr>
                                <w:rFonts w:ascii="Times New Roman" w:hAnsi="Times New Roman"/>
                                <w:sz w:val="24"/>
                              </w:rPr>
                              <w:t xml:space="preserve"> afin de renforcer la capacité de production de contre-mesures médicales dans l’UE pendant les périodes de préparation et de crise [2026]</w:t>
                            </w:r>
                          </w:p>
                          <w:p w14:paraId="787E8401" w14:textId="31380DEA" w:rsidR="001B43E3" w:rsidRDefault="001B43E3"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mettre en place </w:t>
                            </w:r>
                            <w:r>
                              <w:rPr>
                                <w:rFonts w:ascii="Times New Roman" w:hAnsi="Times New Roman"/>
                                <w:b/>
                                <w:sz w:val="24"/>
                              </w:rPr>
                              <w:t>RAMP UP</w:t>
                            </w:r>
                            <w:r>
                              <w:rPr>
                                <w:rFonts w:ascii="Times New Roman" w:hAnsi="Times New Roman"/>
                                <w:sz w:val="24"/>
                              </w:rPr>
                              <w:t xml:space="preserve"> pour assurer la fabrication rapide de contre-mesures médicales en cas d’urgence [2026]</w:t>
                            </w:r>
                          </w:p>
                          <w:p w14:paraId="32E4BF00" w14:textId="7F201A9D" w:rsidR="00194E5A" w:rsidRPr="00194E5A" w:rsidRDefault="00194E5A" w:rsidP="00194E5A">
                            <w:pPr>
                              <w:rPr>
                                <w:rFonts w:ascii="Times New Roman" w:hAnsi="Times New Roman" w:cs="Times New Roman"/>
                                <w:sz w:val="24"/>
                                <w:szCs w:val="24"/>
                              </w:rPr>
                            </w:pPr>
                            <w:r>
                              <w:rPr>
                                <w:rFonts w:ascii="Times New Roman" w:hAnsi="Times New Roman"/>
                                <w:b/>
                                <w:sz w:val="24"/>
                              </w:rPr>
                              <w:t>La Commission et la Banque européenne d’investissement prévoient</w:t>
                            </w:r>
                            <w:r>
                              <w:rPr>
                                <w:rFonts w:ascii="Times New Roman" w:hAnsi="Times New Roman"/>
                                <w:sz w:val="24"/>
                              </w:rPr>
                              <w:t>:</w:t>
                            </w:r>
                          </w:p>
                          <w:p w14:paraId="6AF77EE2" w14:textId="61F0215D" w:rsidR="00AC6F7B" w:rsidRPr="001B43E3"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de doubler la taille de </w:t>
                            </w:r>
                            <w:r>
                              <w:rPr>
                                <w:rFonts w:ascii="Times New Roman" w:hAnsi="Times New Roman"/>
                                <w:b/>
                                <w:sz w:val="24"/>
                              </w:rPr>
                              <w:t>HERA Invest</w:t>
                            </w:r>
                            <w:r>
                              <w:rPr>
                                <w:rFonts w:ascii="Times New Roman" w:hAnsi="Times New Roman"/>
                                <w:sz w:val="24"/>
                              </w:rPr>
                              <w:t xml:space="preserve"> [2027]</w:t>
                            </w:r>
                          </w:p>
                        </w:txbxContent>
                      </wps:txbx>
                      <wps:bodyPr rot="0" vert="horz" wrap="square" lIns="91440" tIns="45720" rIns="91440" bIns="45720" anchor="t" anchorCtr="0">
                        <a:noAutofit/>
                      </wps:bodyPr>
                    </wps:wsp>
                  </a:graphicData>
                </a:graphic>
              </wp:inline>
            </w:drawing>
          </mc:Choice>
          <mc:Fallback>
            <w:pict>
              <v:shape w14:anchorId="25EDADEE" id="_x0000_s1029" type="#_x0000_t202" style="width:478.35pt;height:279.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" fillcolor="#d9d9d9">
                <v:textbox>
                  <w:txbxContent>
                    <w:p w14:paraId="030EC37E" w14:textId="21FBCC31" w:rsidR="00576E8C" w:rsidRPr="00B1092E" w:rsidRDefault="00576E8C" w:rsidP="00576E8C">
                      <w:pPr>
                        <w:pStyle w:val="L1"/>
                        <w:ind w:left="0"/>
                        <w:rPr>
                          <w:rFonts w:ascii="Times New Roman" w:hAnsi="Times New Roman"/>
                          <w:b/>
                          <w:bCs/>
                          <w:i/>
                          <w:iCs/>
                          <w:sz w:val="24"/>
                          <w:szCs w:val="24"/>
                        </w:rPr>
                      </w:pPr>
                      <w:r>
                        <w:rPr>
                          <w:rFonts w:ascii="Times New Roman" w:hAnsi="Times New Roman"/>
                          <w:b/>
                          <w:i/>
                          <w:sz w:val="24"/>
                        </w:rPr>
                        <w:t>Actions clés:</w:t>
                      </w:r>
                    </w:p>
                    <w:p w14:paraId="686E6428" w14:textId="4F50D2B7" w:rsidR="00576E8C" w:rsidRPr="00BD3BE7" w:rsidRDefault="00576E8C" w:rsidP="00576E8C">
                      <w:pPr>
                        <w:rPr>
                          <w:rFonts w:ascii="Times New Roman" w:hAnsi="Times New Roman" w:cs="Times New Roman"/>
                          <w:b/>
                          <w:bCs/>
                          <w:sz w:val="24"/>
                          <w:szCs w:val="24"/>
                        </w:rPr>
                      </w:pPr>
                      <w:r>
                        <w:rPr>
                          <w:rFonts w:ascii="Times New Roman" w:hAnsi="Times New Roman"/>
                          <w:b/>
                          <w:sz w:val="24"/>
                        </w:rPr>
                        <w:t xml:space="preserve">La Commission entend: </w:t>
                      </w:r>
                    </w:p>
                    <w:p w14:paraId="758F8882" w14:textId="08A946B2" w:rsidR="008F5817" w:rsidRDefault="008F5817"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mettre en place un </w:t>
                      </w:r>
                      <w:r>
                        <w:rPr>
                          <w:rFonts w:ascii="Times New Roman" w:hAnsi="Times New Roman"/>
                          <w:b/>
                          <w:sz w:val="24"/>
                        </w:rPr>
                        <w:t>accélérateur de contre-mesures médicales</w:t>
                      </w:r>
                      <w:r>
                        <w:rPr>
                          <w:rFonts w:ascii="Times New Roman" w:hAnsi="Times New Roman"/>
                          <w:sz w:val="24"/>
                        </w:rPr>
                        <w:t xml:space="preserve"> [2025]</w:t>
                      </w:r>
                    </w:p>
                    <w:p w14:paraId="12C48538" w14:textId="594CE239" w:rsidR="00194E5A"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lancer un </w:t>
                      </w:r>
                      <w:r>
                        <w:rPr>
                          <w:rFonts w:ascii="Times New Roman" w:hAnsi="Times New Roman"/>
                          <w:b/>
                          <w:sz w:val="24"/>
                        </w:rPr>
                        <w:t>pôle européen du diagnostic</w:t>
                      </w:r>
                      <w:r>
                        <w:rPr>
                          <w:rFonts w:ascii="Times New Roman" w:hAnsi="Times New Roman"/>
                          <w:sz w:val="24"/>
                        </w:rPr>
                        <w:t xml:space="preserve"> pour soutenir la mise au point de diagnostics de nouvelle génération [2026]</w:t>
                      </w:r>
                    </w:p>
                    <w:p w14:paraId="1C58D21D" w14:textId="0AD0284F" w:rsidR="00194E5A"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lancer le </w:t>
                      </w:r>
                      <w:r>
                        <w:rPr>
                          <w:rFonts w:ascii="Times New Roman" w:hAnsi="Times New Roman"/>
                          <w:b/>
                          <w:sz w:val="24"/>
                        </w:rPr>
                        <w:t>pôle européen des thérapies</w:t>
                      </w:r>
                      <w:r>
                        <w:rPr>
                          <w:rFonts w:ascii="Times New Roman" w:hAnsi="Times New Roman"/>
                          <w:sz w:val="24"/>
                        </w:rPr>
                        <w:t xml:space="preserve"> afin d’accélérer la découverte et la fabrication d’antiviraux et d’anticorps monoclonaux à large spectre [2027]</w:t>
                      </w:r>
                    </w:p>
                    <w:p w14:paraId="0D2F4251" w14:textId="1D1A5B5F" w:rsidR="00194E5A" w:rsidRDefault="00395021"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b/>
                          <w:sz w:val="24"/>
                        </w:rPr>
                        <w:t>envisager d’élargir le champ d’application de Fab UE</w:t>
                      </w:r>
                      <w:r>
                        <w:rPr>
                          <w:rFonts w:ascii="Times New Roman" w:hAnsi="Times New Roman"/>
                          <w:sz w:val="24"/>
                        </w:rPr>
                        <w:t xml:space="preserve"> afin de renforcer la capacité de production de contre-mesures médicales dans l’UE pendant les périodes de préparation et de crise [2026]</w:t>
                      </w:r>
                    </w:p>
                    <w:p w14:paraId="787E8401" w14:textId="31380DEA" w:rsidR="001B43E3" w:rsidRDefault="001B43E3"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mettre en place </w:t>
                      </w:r>
                      <w:r>
                        <w:rPr>
                          <w:rFonts w:ascii="Times New Roman" w:hAnsi="Times New Roman"/>
                          <w:b/>
                          <w:sz w:val="24"/>
                        </w:rPr>
                        <w:t>RAMP UP</w:t>
                      </w:r>
                      <w:r>
                        <w:rPr>
                          <w:rFonts w:ascii="Times New Roman" w:hAnsi="Times New Roman"/>
                          <w:sz w:val="24"/>
                        </w:rPr>
                        <w:t xml:space="preserve"> pour assurer la fabrication rapide de contre-mesures médicales en cas d’urgence [2026]</w:t>
                      </w:r>
                    </w:p>
                    <w:p w14:paraId="32E4BF00" w14:textId="7F201A9D" w:rsidR="00194E5A" w:rsidRPr="00194E5A" w:rsidRDefault="00194E5A" w:rsidP="00194E5A">
                      <w:pPr>
                        <w:rPr>
                          <w:rFonts w:ascii="Times New Roman" w:hAnsi="Times New Roman" w:cs="Times New Roman"/>
                          <w:sz w:val="24"/>
                          <w:szCs w:val="24"/>
                        </w:rPr>
                      </w:pPr>
                      <w:r>
                        <w:rPr>
                          <w:rFonts w:ascii="Times New Roman" w:hAnsi="Times New Roman"/>
                          <w:b/>
                          <w:sz w:val="24"/>
                        </w:rPr>
                        <w:t>La Commission et la Banque européenne d’investissement prévoient</w:t>
                      </w:r>
                      <w:r>
                        <w:rPr>
                          <w:rFonts w:ascii="Times New Roman" w:hAnsi="Times New Roman"/>
                          <w:sz w:val="24"/>
                        </w:rPr>
                        <w:t>:</w:t>
                      </w:r>
                    </w:p>
                    <w:p w14:paraId="6AF77EE2" w14:textId="61F0215D" w:rsidR="00AC6F7B" w:rsidRPr="001B43E3" w:rsidRDefault="00194E5A" w:rsidP="00F961A8">
                      <w:pPr>
                        <w:pStyle w:val="ListParagraph"/>
                        <w:numPr>
                          <w:ilvl w:val="0"/>
                          <w:numId w:val="4"/>
                        </w:numPr>
                        <w:ind w:left="284" w:hanging="207"/>
                        <w:rPr>
                          <w:rFonts w:ascii="Times New Roman" w:hAnsi="Times New Roman" w:cs="Times New Roman"/>
                          <w:sz w:val="24"/>
                          <w:szCs w:val="24"/>
                        </w:rPr>
                      </w:pPr>
                      <w:r>
                        <w:rPr>
                          <w:rFonts w:ascii="Times New Roman" w:hAnsi="Times New Roman"/>
                          <w:sz w:val="24"/>
                        </w:rPr>
                        <w:t xml:space="preserve">de doubler la taille de </w:t>
                      </w:r>
                      <w:r>
                        <w:rPr>
                          <w:rFonts w:ascii="Times New Roman" w:hAnsi="Times New Roman"/>
                          <w:b/>
                          <w:sz w:val="24"/>
                        </w:rPr>
                        <w:t>HERA Invest</w:t>
                      </w:r>
                      <w:r>
                        <w:rPr>
                          <w:rFonts w:ascii="Times New Roman" w:hAnsi="Times New Roman"/>
                          <w:sz w:val="24"/>
                        </w:rPr>
                        <w:t xml:space="preserve"> [2027]</w:t>
                      </w:r>
                    </w:p>
                  </w:txbxContent>
                </v:textbox>
                <w10:anchorlock/>
              </v:shape>
            </w:pict>
          </mc:Fallback>
        </mc:AlternateContent>
      </w:r>
    </w:p>
    <w:p w14:paraId="45F490B2" w14:textId="6F2F4D7D" w:rsidR="007F0639" w:rsidRPr="004838D9" w:rsidRDefault="00210DB5" w:rsidP="00B44F30">
      <w:pPr>
        <w:pStyle w:val="Heading1"/>
        <w:numPr>
          <w:ilvl w:val="0"/>
          <w:numId w:val="30"/>
        </w:numPr>
        <w:rPr>
          <w:rFonts w:ascii="Times New Roman Bold" w:hAnsi="Times New Roman Bold"/>
          <w:caps/>
          <w:noProof/>
          <w:u w:val="single"/>
        </w:rPr>
      </w:pPr>
      <w:r>
        <w:rPr>
          <w:rFonts w:ascii="Times New Roman Bold" w:hAnsi="Times New Roman Bold"/>
          <w:b w:val="0"/>
          <w:noProof/>
          <w:u w:val="single"/>
        </w:rPr>
        <w:t>GARANTIR L’ACCÈS AUX CONTRE-MESURES MÉDICALES, LEUR DISPONIBILITÉ ET LEUR DÉPLOIEMENT RAPIDE</w:t>
      </w:r>
      <w:r>
        <w:rPr>
          <w:rFonts w:ascii="Times New Roman Bold" w:hAnsi="Times New Roman Bold"/>
          <w:noProof/>
          <w:u w:val="single"/>
        </w:rPr>
        <w:t xml:space="preserve"> </w:t>
      </w:r>
    </w:p>
    <w:p w14:paraId="7CB94972" w14:textId="5243A23A" w:rsidR="00F6257E" w:rsidRPr="004838D9" w:rsidRDefault="00032D2D" w:rsidP="00032D2D">
      <w:pPr>
        <w:jc w:val="both"/>
        <w:rPr>
          <w:rFonts w:ascii="Times New Roman" w:hAnsi="Times New Roman" w:cs="Times New Roman"/>
          <w:noProof/>
          <w:sz w:val="24"/>
          <w:szCs w:val="24"/>
        </w:rPr>
      </w:pPr>
      <w:r>
        <w:rPr>
          <w:rFonts w:ascii="Times New Roman" w:hAnsi="Times New Roman"/>
          <w:noProof/>
          <w:sz w:val="24"/>
        </w:rPr>
        <w:t>La Commission continuera de collaborer avec les États membres et les partenaires concernés pour assurer un accès rapide et équitable aux contre-mesures médicales. Elle mobilisera les marchés publics et les achats conjoints, élargira et maintiendra les stocks stratégiques au niveau de l’UE, et garantira un déploiement et une adoption rapides. En ce qui concerne les contre-mesures médicales figurant sur la liste des médicaments critiques de l’Union, les mesures proposées dans l’acte législatif sur les médicaments critiques pourraient être mises en application.</w:t>
      </w:r>
    </w:p>
    <w:p w14:paraId="5118FEB3" w14:textId="687A7716" w:rsidR="002F6B1B" w:rsidRPr="005E7208" w:rsidRDefault="00B44F30" w:rsidP="005E7208">
      <w:pPr>
        <w:pStyle w:val="Heading2"/>
        <w:numPr>
          <w:ilvl w:val="0"/>
          <w:numId w:val="0"/>
        </w:numPr>
        <w:ind w:left="1068" w:hanging="360"/>
        <w:rPr>
          <w:noProof/>
        </w:rPr>
      </w:pPr>
      <w:r>
        <w:rPr>
          <w:noProof/>
        </w:rPr>
        <w:t>4.1 Passation de marchés</w:t>
      </w:r>
    </w:p>
    <w:p w14:paraId="217F73FF" w14:textId="06D4342E" w:rsidR="00032D2D" w:rsidRDefault="16AE826C" w:rsidP="4B5EE3E5">
      <w:pPr>
        <w:jc w:val="both"/>
        <w:rPr>
          <w:rFonts w:ascii="Times New Roman" w:eastAsiaTheme="minorEastAsia" w:hAnsi="Times New Roman" w:cs="Times New Roman"/>
          <w:noProof/>
          <w:sz w:val="24"/>
          <w:szCs w:val="24"/>
        </w:rPr>
      </w:pPr>
      <w:r>
        <w:rPr>
          <w:rFonts w:ascii="Times New Roman" w:hAnsi="Times New Roman"/>
          <w:noProof/>
          <w:sz w:val="24"/>
        </w:rPr>
        <w:t xml:space="preserve">L’acquisition conjointe de contre-mesures médicales nécessaires en cas de crise s’est révélée extrêmement précieuse ces dernières années, permettant à 38 pays, y compris des pays candidats et candidats potentiels, d’assurer un accès équitable et rapide aux fournitures essentielles au profit de plus de 525 millions d’Européens. Il s’agit, par exemple, des vaccins et traitements contre la COVID-19, des vaccins pandémiques et prépandémiques contre la grippe (aviaire) ainsi que des vaccins contre le virus mpox. </w:t>
      </w:r>
    </w:p>
    <w:p w14:paraId="79CE4705" w14:textId="2EEAEA42" w:rsidR="00032D2D" w:rsidRPr="005E7208" w:rsidRDefault="008F5817" w:rsidP="4B5EE3E5">
      <w:pPr>
        <w:jc w:val="both"/>
        <w:rPr>
          <w:rFonts w:ascii="Times New Roman" w:eastAsiaTheme="minorEastAsia" w:hAnsi="Times New Roman" w:cs="Times New Roman"/>
          <w:noProof/>
          <w:sz w:val="24"/>
          <w:szCs w:val="24"/>
        </w:rPr>
      </w:pPr>
      <w:r>
        <w:rPr>
          <w:rFonts w:ascii="Times New Roman" w:hAnsi="Times New Roman"/>
          <w:noProof/>
          <w:sz w:val="24"/>
        </w:rPr>
        <w:t>En 2026, la Commission examinera et, le cas échéant, proposera la révision de l’</w:t>
      </w:r>
      <w:r>
        <w:rPr>
          <w:rFonts w:ascii="Times New Roman" w:hAnsi="Times New Roman"/>
          <w:b/>
          <w:noProof/>
          <w:sz w:val="24"/>
        </w:rPr>
        <w:t>accord de passation conjointe de marché de 2014</w:t>
      </w:r>
      <w:r>
        <w:rPr>
          <w:rFonts w:ascii="Times New Roman" w:hAnsi="Times New Roman"/>
          <w:noProof/>
          <w:sz w:val="24"/>
        </w:rPr>
        <w:t xml:space="preserve"> en vue de l’acquisition de contre-mesures médicales, afin de l’aligner sur le règlement financier révisé et de l’adapter davantage aux besoins actuels en matière de passation de marchés de contre-mesures médicales. Elle collaborera également avec les États membres pour étudier des modèles financiers et de passation de marchés rentables et innovants afin de stimuler le développement et la disponibilité des produits, de réduire les risques pour les entreprises et d’améliorer l’accès dans l’UE. Il s’agira notamment de contrats de réservation de capacités, fondés sur des précédents tels que ceux relatifs aux vaccins contre la grippe pandémique.</w:t>
      </w:r>
    </w:p>
    <w:p w14:paraId="5119FE70" w14:textId="0512D8F6" w:rsidR="00032D2D" w:rsidRPr="004838D9" w:rsidRDefault="16AE826C" w:rsidP="4B5EE3E5">
      <w:pPr>
        <w:jc w:val="both"/>
        <w:rPr>
          <w:rFonts w:ascii="Times New Roman" w:eastAsiaTheme="minorEastAsia" w:hAnsi="Times New Roman" w:cs="Times New Roman"/>
          <w:noProof/>
          <w:sz w:val="24"/>
          <w:szCs w:val="24"/>
        </w:rPr>
      </w:pPr>
      <w:r>
        <w:rPr>
          <w:rFonts w:ascii="Times New Roman" w:hAnsi="Times New Roman"/>
          <w:noProof/>
          <w:sz w:val="24"/>
        </w:rPr>
        <w:t xml:space="preserve">La Commission élaborera aussi, en étroite coopération avec les États membres, des </w:t>
      </w:r>
      <w:r>
        <w:rPr>
          <w:rFonts w:ascii="Times New Roman" w:hAnsi="Times New Roman"/>
          <w:b/>
          <w:noProof/>
          <w:sz w:val="24"/>
        </w:rPr>
        <w:t>lignes directrices pour l’acquisition de contre-mesures médicales en cas de crise</w:t>
      </w:r>
      <w:r>
        <w:rPr>
          <w:rFonts w:ascii="Times New Roman" w:hAnsi="Times New Roman"/>
          <w:noProof/>
          <w:sz w:val="24"/>
        </w:rPr>
        <w:t xml:space="preserve"> au début de l’année 2026. </w:t>
      </w:r>
    </w:p>
    <w:p w14:paraId="3C53277C" w14:textId="56DDA53E" w:rsidR="007D76BA" w:rsidRPr="003530FD" w:rsidRDefault="00413FCC" w:rsidP="429525D5">
      <w:pPr>
        <w:jc w:val="both"/>
        <w:rPr>
          <w:rFonts w:ascii="Times New Roman" w:eastAsiaTheme="minorEastAsia" w:hAnsi="Times New Roman" w:cs="Times New Roman"/>
          <w:noProof/>
          <w:sz w:val="24"/>
          <w:szCs w:val="24"/>
        </w:rPr>
      </w:pPr>
      <w:bookmarkStart w:id="7" w:name="_Hlk200403193"/>
      <w:r>
        <w:rPr>
          <w:rFonts w:ascii="Times New Roman" w:hAnsi="Times New Roman"/>
          <w:noProof/>
          <w:sz w:val="24"/>
        </w:rPr>
        <w:t>Au niveau mondial, la Commission organisera des ateliers afin de partager les expériences et les bonnes pratiques dans le domaine de la passation conjointe de marchés en vue de l’acquisition de contre-mesures médicales, en réponse aux demandes d’organisations régionales et internationales. Cela permettra d’examiner les domaines dans lesquels la collaboration peut être mutuellement bénéfique, dans le voisinage de l’UE et au-delà.</w:t>
      </w:r>
    </w:p>
    <w:bookmarkEnd w:id="7"/>
    <w:p w14:paraId="25001F6C" w14:textId="64F8F124" w:rsidR="00ED7169" w:rsidRPr="00ED2FD5" w:rsidRDefault="00B44F30" w:rsidP="00E57444">
      <w:pPr>
        <w:pStyle w:val="Heading2"/>
        <w:numPr>
          <w:ilvl w:val="0"/>
          <w:numId w:val="0"/>
        </w:numPr>
        <w:ind w:left="1068" w:hanging="360"/>
        <w:rPr>
          <w:noProof/>
        </w:rPr>
      </w:pPr>
      <w:r>
        <w:rPr>
          <w:noProof/>
        </w:rPr>
        <w:t xml:space="preserve">4.2 </w:t>
      </w:r>
      <w:bookmarkStart w:id="8" w:name="_Hlk198714802"/>
      <w:r>
        <w:rPr>
          <w:noProof/>
        </w:rPr>
        <w:t>Constitution de stocks de contre-mesures médicales</w:t>
      </w:r>
    </w:p>
    <w:p w14:paraId="610A7CA1" w14:textId="7F2FA6F1" w:rsidR="007A6EDC" w:rsidRPr="00AF0368" w:rsidRDefault="007A6EDC" w:rsidP="00766D7F">
      <w:pPr>
        <w:jc w:val="both"/>
        <w:rPr>
          <w:rFonts w:ascii="Times New Roman" w:hAnsi="Times New Roman" w:cs="Times New Roman"/>
          <w:noProof/>
          <w:sz w:val="24"/>
          <w:szCs w:val="24"/>
        </w:rPr>
      </w:pPr>
      <w:r>
        <w:rPr>
          <w:rFonts w:ascii="Times New Roman" w:hAnsi="Times New Roman"/>
          <w:noProof/>
          <w:sz w:val="24"/>
        </w:rPr>
        <w:t xml:space="preserve">Les stocks stratégiques permettent à l’UE de réagir rapidement aux urgences de grande ampleur et de réduire sa dépendance à l’égard de fournisseurs extérieurs en disposant des contre-mesures médicales nécessaires pour réagir ou pour garantir la disponibilité pendant les perturbations de la chaîne d’approvisionnement. S’appuyant sur l’expérience récente des stocks au niveau de l’UE, la Commission </w:t>
      </w:r>
      <w:bookmarkStart w:id="9" w:name="_Hlk202362520"/>
      <w:r>
        <w:rPr>
          <w:rFonts w:ascii="Times New Roman" w:hAnsi="Times New Roman"/>
          <w:b/>
          <w:noProof/>
          <w:sz w:val="24"/>
        </w:rPr>
        <w:t>étudiera des solutions pour</w:t>
      </w:r>
      <w:r>
        <w:rPr>
          <w:rFonts w:ascii="Times New Roman" w:hAnsi="Times New Roman"/>
          <w:noProof/>
          <w:sz w:val="24"/>
        </w:rPr>
        <w:t xml:space="preserve"> </w:t>
      </w:r>
      <w:r>
        <w:rPr>
          <w:rFonts w:ascii="Times New Roman" w:hAnsi="Times New Roman"/>
          <w:b/>
          <w:noProof/>
          <w:sz w:val="24"/>
        </w:rPr>
        <w:t>aider davantage les États membres à maintenir des réserves stratégiques de contre-mesures médicales au-delà de 2026</w:t>
      </w:r>
      <w:bookmarkEnd w:id="9"/>
      <w:r>
        <w:rPr>
          <w:rFonts w:ascii="Times New Roman" w:hAnsi="Times New Roman"/>
          <w:noProof/>
          <w:sz w:val="24"/>
        </w:rPr>
        <w:t xml:space="preserve">. </w:t>
      </w:r>
    </w:p>
    <w:p w14:paraId="1A90DD96" w14:textId="296FFF81" w:rsidR="00413FCC" w:rsidRDefault="008748FB" w:rsidP="00766D7F">
      <w:pPr>
        <w:jc w:val="both"/>
        <w:rPr>
          <w:rStyle w:val="normaltextrun"/>
          <w:rFonts w:ascii="Times New Roman" w:eastAsiaTheme="majorEastAsia" w:hAnsi="Times New Roman" w:cs="Times New Roman"/>
          <w:noProof/>
          <w:sz w:val="24"/>
          <w:szCs w:val="24"/>
        </w:rPr>
      </w:pPr>
      <w:r>
        <w:rPr>
          <w:rFonts w:ascii="Times New Roman" w:hAnsi="Times New Roman"/>
          <w:noProof/>
          <w:sz w:val="24"/>
        </w:rPr>
        <w:t xml:space="preserve">Compte tenu des spécificités de la constitution de stocks de contre-mesures médicales, la Commission présente, parallèlement à la présente stratégie, un </w:t>
      </w:r>
      <w:r>
        <w:rPr>
          <w:rFonts w:ascii="Times New Roman" w:hAnsi="Times New Roman"/>
          <w:b/>
          <w:noProof/>
          <w:sz w:val="24"/>
        </w:rPr>
        <w:t>plan stratégique de l’UE pour la constitution de stocks de contre-mesures médicales</w:t>
      </w:r>
      <w:r>
        <w:rPr>
          <w:rFonts w:ascii="Times New Roman" w:hAnsi="Times New Roman"/>
          <w:noProof/>
          <w:sz w:val="24"/>
        </w:rPr>
        <w:t xml:space="preserve"> (annexe 2), qui complète la stratégie plus large de l’UE en matière de constitution de stocks et vise à </w:t>
      </w:r>
      <w:r>
        <w:rPr>
          <w:rStyle w:val="normaltextrun"/>
          <w:rFonts w:ascii="Times New Roman" w:hAnsi="Times New Roman"/>
          <w:noProof/>
          <w:sz w:val="24"/>
        </w:rPr>
        <w:t xml:space="preserve">garantir la constitution de stocks efficaces et efficients de contre-mesures médicales pertinentes afin de faire face aux menaces pour la santé. </w:t>
      </w:r>
    </w:p>
    <w:p w14:paraId="00C92D2B" w14:textId="3F64CD85" w:rsidR="00C637B3" w:rsidRPr="00413FCC" w:rsidRDefault="00413FCC" w:rsidP="00766D7F">
      <w:pPr>
        <w:jc w:val="both"/>
        <w:rPr>
          <w:rFonts w:ascii="Times New Roman" w:eastAsiaTheme="majorEastAsia" w:hAnsi="Times New Roman" w:cs="Times New Roman"/>
          <w:noProof/>
          <w:sz w:val="24"/>
          <w:szCs w:val="24"/>
        </w:rPr>
      </w:pPr>
      <w:r>
        <w:rPr>
          <w:rStyle w:val="normaltextrun"/>
          <w:rFonts w:ascii="Times New Roman" w:hAnsi="Times New Roman"/>
          <w:noProof/>
          <w:sz w:val="24"/>
        </w:rPr>
        <w:t xml:space="preserve">Le plan définira et déploiera des actions tout au long du cycle global de gestion des stocks de contre-mesures médicales et s’appuiera sur les actions déjà mises en œuvre dans ce domaine tant par les États membres que par la Commission lors de la mise en place de rescEU, en tenant compte de la nécessité d’éviter tout effet non intentionnel sur le marché ou tout double emploi avec les stocks (inter)nationaux. Il s’agit notamment de processus détaillés de recensement des contre-mesures médicales essentielles, de détermination des quantités nécessaires et du besoin potentiel de reconstitution, suivis de stratégies de passation de marchés efficaces, qui incluent également la passation conjointe de marché au niveau de l’UE comme un moyen rentable de renforcer les stocks nationaux. Le plan présente en outre des éléments visant à renforcer la gestion efficace de ces stocks afin d’assurer une disponibilité et un accès en temps utile en cas d’urgence, ainsi qu’une stratégie de déploiement. </w:t>
      </w:r>
    </w:p>
    <w:tbl>
      <w:tblPr>
        <w:tblStyle w:val="TableGrid"/>
        <w:tblW w:w="0" w:type="auto"/>
        <w:tblLook w:val="04A0" w:firstRow="1" w:lastRow="0" w:firstColumn="1" w:lastColumn="0" w:noHBand="0" w:noVBand="1"/>
      </w:tblPr>
      <w:tblGrid>
        <w:gridCol w:w="9350"/>
      </w:tblGrid>
      <w:tr w:rsidR="008036AE" w14:paraId="5EBFEC16" w14:textId="77777777" w:rsidTr="00A556E3">
        <w:trPr>
          <w:trHeight w:val="983"/>
        </w:trPr>
        <w:tc>
          <w:tcPr>
            <w:tcW w:w="9350" w:type="dxa"/>
          </w:tcPr>
          <w:bookmarkEnd w:id="8"/>
          <w:p w14:paraId="2A2171BE" w14:textId="2DE18188" w:rsidR="00543F1B" w:rsidRPr="00746BCC" w:rsidRDefault="00200990" w:rsidP="00BC38CC">
            <w:pPr>
              <w:spacing w:after="160"/>
              <w:jc w:val="both"/>
              <w:rPr>
                <w:rFonts w:ascii="Times New Roman" w:hAnsi="Times New Roman" w:cs="Times New Roman"/>
                <w:b/>
                <w:bCs/>
                <w:noProof/>
                <w:sz w:val="24"/>
                <w:szCs w:val="24"/>
              </w:rPr>
            </w:pPr>
            <w:r>
              <w:rPr>
                <w:rFonts w:ascii="Times New Roman" w:hAnsi="Times New Roman"/>
                <w:b/>
                <w:noProof/>
                <w:sz w:val="24"/>
              </w:rPr>
              <w:t xml:space="preserve">Résumé des actions clés prévues dans le cadre du plan stratégique pour la constitution de stocks de contre-mesures médicales: </w:t>
            </w:r>
          </w:p>
          <w:p w14:paraId="0BF2235D" w14:textId="66BE53DA" w:rsidR="008F796A" w:rsidRDefault="2917DC3B" w:rsidP="00BC38CC">
            <w:pPr>
              <w:spacing w:after="160"/>
              <w:jc w:val="both"/>
              <w:rPr>
                <w:rFonts w:ascii="Times New Roman" w:hAnsi="Times New Roman" w:cs="Times New Roman"/>
                <w:noProof/>
                <w:sz w:val="24"/>
                <w:szCs w:val="24"/>
              </w:rPr>
            </w:pPr>
            <w:r>
              <w:rPr>
                <w:rFonts w:ascii="Times New Roman" w:hAnsi="Times New Roman"/>
                <w:noProof/>
                <w:sz w:val="24"/>
              </w:rPr>
              <w:t xml:space="preserve">La Commission élaborera un recueil de contre-mesures médicales adaptées à la constitution de stocks au niveau de l’UE. Le prépositionnement et le déploiement rapide en fonction de scénarios de menace seront pris en considération, de même que la disponibilité de contre-mesures médicales spécifiques au niveau national. </w:t>
            </w:r>
          </w:p>
          <w:p w14:paraId="6E216FDA" w14:textId="2EA3C24A" w:rsidR="3F9E8389" w:rsidRDefault="008F796A" w:rsidP="00BC38CC">
            <w:pPr>
              <w:spacing w:after="160"/>
              <w:jc w:val="both"/>
              <w:rPr>
                <w:rFonts w:ascii="Times New Roman" w:hAnsi="Times New Roman" w:cs="Times New Roman"/>
                <w:noProof/>
                <w:sz w:val="24"/>
                <w:szCs w:val="24"/>
              </w:rPr>
            </w:pPr>
            <w:r>
              <w:rPr>
                <w:rFonts w:ascii="Times New Roman" w:hAnsi="Times New Roman"/>
                <w:noProof/>
                <w:sz w:val="24"/>
              </w:rPr>
              <w:t xml:space="preserve">En consultation avec l’EMA et d’autres parties prenantes concernées, la Commission établira une liste de contre-mesures médicales candidates pour l’achat anticipé et réalisera une étude pilote sur la constitution de stocks de produits non finis. </w:t>
            </w:r>
          </w:p>
          <w:p w14:paraId="20273845" w14:textId="5B616088" w:rsidR="3F9E8389" w:rsidRDefault="2917DC3B" w:rsidP="00BC38CC">
            <w:pPr>
              <w:spacing w:after="160"/>
              <w:jc w:val="both"/>
              <w:rPr>
                <w:rFonts w:ascii="Times New Roman" w:hAnsi="Times New Roman" w:cs="Times New Roman"/>
                <w:noProof/>
                <w:sz w:val="24"/>
                <w:szCs w:val="24"/>
              </w:rPr>
            </w:pPr>
            <w:r>
              <w:rPr>
                <w:rFonts w:ascii="Times New Roman" w:hAnsi="Times New Roman"/>
                <w:noProof/>
                <w:sz w:val="24"/>
              </w:rPr>
              <w:t xml:space="preserve">En collaboration avec les États membres, la Commission étudiera également la composition des kits de contre-mesures médicales de l’UE, qui pourraient faire l’objet d’une acquisition conjointe ou directe. </w:t>
            </w:r>
          </w:p>
          <w:p w14:paraId="6257D62A" w14:textId="11644F6B" w:rsidR="008036AE" w:rsidRPr="00C637B3" w:rsidRDefault="00977FF6" w:rsidP="00BC38CC">
            <w:pPr>
              <w:spacing w:after="160" w:line="276" w:lineRule="auto"/>
              <w:jc w:val="both"/>
              <w:rPr>
                <w:rFonts w:ascii="Times New Roman" w:hAnsi="Times New Roman"/>
                <w:noProof/>
                <w:color w:val="000000"/>
              </w:rPr>
            </w:pPr>
            <w:r>
              <w:rPr>
                <w:rFonts w:ascii="Times New Roman" w:hAnsi="Times New Roman"/>
                <w:noProof/>
                <w:sz w:val="24"/>
              </w:rPr>
              <w:t>Afin d’optimiser la durabilité et le rapport coût/efficacité des stocks, la Commission lancera un projet pilote visant à prolonger la durée de conservation de certaines contre-mesures médicales. En outre, la Commission assumera, le cas échéant, un rôle plus actif dans la coordination, au niveau de l’UE, de l’acquisition de contre-mesures médicales afin de garantir l’efficience et l’efficacité des achats. En partenariat avec les États membres et l’EMA, la Commission facilitera, sur la base des enseignements tirés, la constitution efficace de contre-mesures médicales non autorisées.</w:t>
            </w:r>
          </w:p>
        </w:tc>
      </w:tr>
    </w:tbl>
    <w:p w14:paraId="0BAEBD12" w14:textId="0BDDE87A" w:rsidR="00ED2FD5" w:rsidRDefault="00B44F30" w:rsidP="00BC38CC">
      <w:pPr>
        <w:pStyle w:val="Heading2"/>
        <w:numPr>
          <w:ilvl w:val="0"/>
          <w:numId w:val="0"/>
        </w:numPr>
        <w:ind w:left="1066" w:hanging="357"/>
        <w:rPr>
          <w:noProof/>
        </w:rPr>
      </w:pPr>
      <w:r>
        <w:rPr>
          <w:noProof/>
        </w:rPr>
        <w:t xml:space="preserve">4.3 Déploiement de contre-mesures médicales </w:t>
      </w:r>
    </w:p>
    <w:p w14:paraId="62FC0753" w14:textId="03F41142" w:rsidR="007A6EDC" w:rsidRPr="004838D9" w:rsidRDefault="007A6EDC" w:rsidP="00766D7F">
      <w:pPr>
        <w:spacing w:line="240" w:lineRule="auto"/>
        <w:jc w:val="both"/>
        <w:rPr>
          <w:rFonts w:ascii="Times New Roman" w:hAnsi="Times New Roman" w:cs="Times New Roman"/>
          <w:noProof/>
          <w:sz w:val="24"/>
          <w:szCs w:val="24"/>
        </w:rPr>
      </w:pPr>
      <w:r>
        <w:rPr>
          <w:rFonts w:ascii="Times New Roman" w:hAnsi="Times New Roman"/>
          <w:noProof/>
          <w:sz w:val="24"/>
        </w:rPr>
        <w:t xml:space="preserve">Il est essentiel de veiller à ce que les contre-mesures médicales parviennent rapidement aux personnes qui en ont le plus besoin pour préserver des vies et réagir efficacement aux crises sanitaires. </w:t>
      </w:r>
    </w:p>
    <w:p w14:paraId="4DE74677" w14:textId="6296BEC9" w:rsidR="007A0587" w:rsidRDefault="009862BF" w:rsidP="00766D7F">
      <w:pPr>
        <w:spacing w:line="240" w:lineRule="auto"/>
        <w:jc w:val="both"/>
        <w:rPr>
          <w:rFonts w:ascii="Times New Roman" w:hAnsi="Times New Roman" w:cs="Times New Roman"/>
          <w:noProof/>
          <w:sz w:val="24"/>
          <w:szCs w:val="24"/>
        </w:rPr>
      </w:pPr>
      <w:r>
        <w:rPr>
          <w:rFonts w:ascii="Times New Roman" w:hAnsi="Times New Roman"/>
          <w:noProof/>
          <w:sz w:val="24"/>
        </w:rPr>
        <w:t xml:space="preserve">Le </w:t>
      </w:r>
      <w:r>
        <w:rPr>
          <w:rFonts w:ascii="Times New Roman" w:hAnsi="Times New Roman"/>
          <w:b/>
          <w:noProof/>
          <w:sz w:val="24"/>
        </w:rPr>
        <w:t>centre de coordination de la réaction d’urgence</w:t>
      </w:r>
      <w:r>
        <w:rPr>
          <w:rFonts w:ascii="Times New Roman" w:hAnsi="Times New Roman"/>
          <w:noProof/>
          <w:sz w:val="24"/>
        </w:rPr>
        <w:t xml:space="preserve"> coordonnera le déploiement de contre-mesures médicales, en étroite coopération avec le conseil de l’HERA et/ou le conseil de gestion des crises sanitaires, si le règlement concernant le cadre d’urgence est activé en cas d’urgence de santé publique au niveau de l’Union</w:t>
      </w:r>
      <w:r>
        <w:rPr>
          <w:rStyle w:val="FootnoteReference"/>
          <w:rFonts w:ascii="Times New Roman" w:hAnsi="Times New Roman" w:cs="Times New Roman"/>
          <w:noProof/>
          <w:sz w:val="24"/>
          <w:szCs w:val="24"/>
          <w:lang w:val="en-IE"/>
        </w:rPr>
        <w:footnoteReference w:id="32"/>
      </w:r>
      <w:r>
        <w:rPr>
          <w:rFonts w:ascii="Times New Roman" w:hAnsi="Times New Roman"/>
          <w:noProof/>
          <w:sz w:val="24"/>
        </w:rPr>
        <w:t xml:space="preserve">. </w:t>
      </w:r>
    </w:p>
    <w:p w14:paraId="11812F7D" w14:textId="26B2D310" w:rsidR="008041B6" w:rsidRDefault="007A6EDC" w:rsidP="00766D7F">
      <w:pPr>
        <w:spacing w:line="240" w:lineRule="auto"/>
        <w:jc w:val="both"/>
        <w:rPr>
          <w:rFonts w:ascii="Times New Roman" w:hAnsi="Times New Roman" w:cs="Times New Roman"/>
          <w:noProof/>
          <w:sz w:val="24"/>
          <w:szCs w:val="24"/>
        </w:rPr>
      </w:pPr>
      <w:r>
        <w:rPr>
          <w:rFonts w:ascii="Times New Roman" w:hAnsi="Times New Roman"/>
          <w:noProof/>
          <w:sz w:val="24"/>
        </w:rPr>
        <w:t xml:space="preserve">Le mécanisme de protection civile de l’Union et la capacité d’intervention humanitaire européenne (ReliefEU) apporteront un soutien logistique d’accompagnement au déploiement de contre-mesures médicales dans l’Union européenne et, le cas échéant, dans les pays tiers. </w:t>
      </w:r>
    </w:p>
    <w:p w14:paraId="274BA48D" w14:textId="2C0152F0" w:rsidR="008041B6" w:rsidRDefault="00D97097" w:rsidP="00766D7F">
      <w:pPr>
        <w:spacing w:line="240" w:lineRule="auto"/>
        <w:jc w:val="both"/>
        <w:rPr>
          <w:rFonts w:ascii="Times New Roman" w:hAnsi="Times New Roman" w:cs="Times New Roman"/>
          <w:noProof/>
          <w:sz w:val="24"/>
          <w:szCs w:val="24"/>
        </w:rPr>
      </w:pPr>
      <w:r>
        <w:rPr>
          <w:rFonts w:ascii="Times New Roman" w:hAnsi="Times New Roman"/>
          <w:noProof/>
          <w:sz w:val="24"/>
        </w:rPr>
        <w:t xml:space="preserve">En 2026, la Commission facilitera une réaction rapide aux urgences sanitaires en soutenant la détection locale des menaces par des </w:t>
      </w:r>
      <w:r>
        <w:rPr>
          <w:rFonts w:ascii="Times New Roman" w:hAnsi="Times New Roman"/>
          <w:b/>
          <w:noProof/>
          <w:sz w:val="24"/>
        </w:rPr>
        <w:t>laboratoires prêts à l’emploi et facilement déployables pour les risques biologiques et chimiques dans les situations d’urgence</w:t>
      </w:r>
      <w:r>
        <w:rPr>
          <w:rFonts w:ascii="Times New Roman" w:hAnsi="Times New Roman"/>
          <w:noProof/>
          <w:sz w:val="24"/>
        </w:rPr>
        <w:t xml:space="preserve">, y compris à des fins militaires, afin de permettre aux communautés touchées de recevoir l’aide au diagnostic dont elles ont besoin, quand et là où cela est le plus nécessaire. </w:t>
      </w:r>
    </w:p>
    <w:p w14:paraId="7A2FDEA9" w14:textId="734FF820" w:rsidR="008041B6" w:rsidRDefault="007A6EDC" w:rsidP="00766D7F">
      <w:pPr>
        <w:spacing w:line="240" w:lineRule="auto"/>
        <w:jc w:val="both"/>
        <w:rPr>
          <w:rFonts w:ascii="Times New Roman" w:hAnsi="Times New Roman" w:cs="Times New Roman"/>
          <w:noProof/>
          <w:sz w:val="24"/>
          <w:szCs w:val="24"/>
        </w:rPr>
      </w:pPr>
      <w:r>
        <w:rPr>
          <w:rFonts w:ascii="Times New Roman" w:hAnsi="Times New Roman"/>
          <w:noProof/>
          <w:sz w:val="24"/>
        </w:rPr>
        <w:t>Conformément à la stratégie pour une union de la préparation</w:t>
      </w:r>
      <w:r>
        <w:rPr>
          <w:rStyle w:val="FootnoteReference"/>
          <w:rFonts w:ascii="Times New Roman" w:hAnsi="Times New Roman" w:cs="Times New Roman"/>
          <w:noProof/>
          <w:sz w:val="24"/>
          <w:szCs w:val="24"/>
          <w:lang w:val="en-IE"/>
        </w:rPr>
        <w:footnoteReference w:id="33"/>
      </w:r>
      <w:r>
        <w:rPr>
          <w:rFonts w:ascii="Times New Roman" w:hAnsi="Times New Roman"/>
          <w:noProof/>
          <w:sz w:val="24"/>
        </w:rPr>
        <w:t>, et en s’appuyant sur les mécanismes de coopération existants, la Commission intensifiera la coordination et la coopération entre les entités civiles et militaires, notamment en ce qui concerne les contre-mesures médicales nécessaires à la fois à la population civile et à l’armée, afin de mieux se préparer aux urgences sanitaires et de mieux y réagir. La Commission envisage également d’aborder la question du déploiement de contre-mesures médicales dans le cadre de discussions avec les forces armées, en tirant parti de nouvelles technologies telles que les drones et la logistique militaire pour permettre un déploiement rapide et un transport sûr.</w:t>
      </w:r>
    </w:p>
    <w:p w14:paraId="7866EBE9" w14:textId="2ECF69AA" w:rsidR="00A556E3" w:rsidRDefault="007A6EDC" w:rsidP="00766D7F">
      <w:pPr>
        <w:spacing w:line="240" w:lineRule="auto"/>
        <w:jc w:val="both"/>
        <w:rPr>
          <w:rFonts w:ascii="Times New Roman" w:hAnsi="Times New Roman" w:cs="Times New Roman"/>
          <w:noProof/>
          <w:sz w:val="24"/>
          <w:szCs w:val="24"/>
        </w:rPr>
      </w:pPr>
      <w:r>
        <w:rPr>
          <w:rFonts w:ascii="Times New Roman" w:hAnsi="Times New Roman"/>
          <w:noProof/>
          <w:sz w:val="24"/>
        </w:rPr>
        <w:t>Afin de faciliter la livraison sur le dernier kilomètre, la Commission encouragera le développement d’</w:t>
      </w:r>
      <w:r>
        <w:rPr>
          <w:rFonts w:ascii="Times New Roman" w:hAnsi="Times New Roman"/>
          <w:b/>
          <w:noProof/>
          <w:sz w:val="24"/>
        </w:rPr>
        <w:t>infrastructures de distribution</w:t>
      </w:r>
      <w:r>
        <w:rPr>
          <w:rFonts w:ascii="Times New Roman" w:hAnsi="Times New Roman"/>
          <w:noProof/>
          <w:sz w:val="24"/>
        </w:rPr>
        <w:t xml:space="preserve"> telles que les infrastructures de la </w:t>
      </w:r>
      <w:r>
        <w:rPr>
          <w:rFonts w:ascii="Times New Roman" w:hAnsi="Times New Roman"/>
          <w:b/>
          <w:noProof/>
          <w:sz w:val="24"/>
        </w:rPr>
        <w:t>chaîne du froid</w:t>
      </w:r>
      <w:r>
        <w:rPr>
          <w:rFonts w:ascii="Times New Roman" w:hAnsi="Times New Roman"/>
          <w:noProof/>
          <w:sz w:val="24"/>
        </w:rPr>
        <w:t>, ainsi que de technologies présentant des contraintes logistiques plus faibles pour faciliter la mise en place et le déploiement dans les environnements les plus vulnérables.</w:t>
      </w:r>
    </w:p>
    <w:p w14:paraId="7965A7DE" w14:textId="19FC8EA6" w:rsidR="005B7D93" w:rsidRPr="004838D9" w:rsidRDefault="00180647" w:rsidP="00766D7F">
      <w:pPr>
        <w:spacing w:line="240" w:lineRule="auto"/>
        <w:jc w:val="both"/>
        <w:rPr>
          <w:rFonts w:ascii="Times New Roman" w:hAnsi="Times New Roman" w:cs="Times New Roman"/>
          <w:noProof/>
          <w:sz w:val="24"/>
          <w:szCs w:val="24"/>
        </w:rPr>
      </w:pPr>
      <w:r>
        <w:rPr>
          <w:rFonts w:ascii="Times New Roman" w:hAnsi="Times New Roman"/>
          <w:noProof/>
          <w:sz w:val="24"/>
        </w:rPr>
        <w:t xml:space="preserve">Au niveau mondial, la Commission élaborera en 2026 des </w:t>
      </w:r>
      <w:r>
        <w:rPr>
          <w:rFonts w:ascii="Times New Roman" w:hAnsi="Times New Roman"/>
          <w:b/>
          <w:noProof/>
          <w:sz w:val="24"/>
        </w:rPr>
        <w:t>procédures normalisées pour les conventions de partage en matière de contre-mesures médicales</w:t>
      </w:r>
      <w:r>
        <w:rPr>
          <w:rFonts w:ascii="Times New Roman" w:hAnsi="Times New Roman"/>
          <w:noProof/>
          <w:sz w:val="24"/>
        </w:rPr>
        <w:t xml:space="preserve"> </w:t>
      </w:r>
      <w:r>
        <w:rPr>
          <w:rFonts w:ascii="Times New Roman" w:hAnsi="Times New Roman"/>
          <w:b/>
          <w:noProof/>
          <w:sz w:val="24"/>
        </w:rPr>
        <w:t>avec des partenaires mondiaux</w:t>
      </w:r>
      <w:r>
        <w:rPr>
          <w:rFonts w:ascii="Times New Roman" w:hAnsi="Times New Roman"/>
          <w:noProof/>
          <w:sz w:val="24"/>
        </w:rPr>
        <w:t xml:space="preserve"> afin d’accélérer la mise en œuvre des mesures en faveur des pays touchés en cas de crise, en s’appuyant sur les enseignements tirés de la récente réaction réussie à la flambée de virus mpox en Afrique grâce à une approche Équipe Europe. Une collaboration renforcée avec GAVI, l’Alliance du vaccin, et l’Unicef sera poursuivie à cet égard.</w:t>
      </w:r>
    </w:p>
    <w:p w14:paraId="4F716C6E" w14:textId="41C11E78" w:rsidR="009B249E" w:rsidRDefault="00C5768A" w:rsidP="004838D9">
      <w:pPr>
        <w:spacing w:after="0" w:line="240" w:lineRule="auto"/>
        <w:jc w:val="both"/>
        <w:rPr>
          <w:noProof/>
        </w:rPr>
      </w:pPr>
      <w:r>
        <w:rPr>
          <w:rFonts w:ascii="Times New Roman" w:hAnsi="Times New Roman"/>
          <w:noProof/>
          <w:sz w:val="24"/>
          <w:lang w:val="en-GB" w:eastAsia="en-GB"/>
        </w:rPr>
        <mc:AlternateContent>
          <mc:Choice Requires="wps">
            <w:drawing>
              <wp:inline distT="0" distB="0" distL="0" distR="0" wp14:anchorId="336DB29D" wp14:editId="7414CE7E">
                <wp:extent cx="5995283" cy="2433099"/>
                <wp:effectExtent l="0" t="0" r="24765" b="24765"/>
                <wp:docPr id="82761114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5283" cy="2433099"/>
                        </a:xfrm>
                        <a:prstGeom prst="rect">
                          <a:avLst/>
                        </a:prstGeom>
                        <a:solidFill>
                          <a:sysClr val="window" lastClr="FFFFFF">
                            <a:lumMod val="85000"/>
                          </a:sysClr>
                        </a:solidFill>
                        <a:ln w="9525">
                          <a:solidFill>
                            <a:srgbClr val="000000"/>
                          </a:solidFill>
                          <a:miter lim="800000"/>
                          <a:headEnd/>
                          <a:tailEnd/>
                        </a:ln>
                      </wps:spPr>
                      <wps:txbx>
                        <w:txbxContent>
                          <w:p w14:paraId="129A884F" w14:textId="4E53A979" w:rsidR="00C5768A" w:rsidRDefault="00C5768A" w:rsidP="00C5768A">
                            <w:pPr>
                              <w:pStyle w:val="L1"/>
                              <w:ind w:left="0"/>
                              <w:rPr>
                                <w:rFonts w:ascii="Times New Roman" w:hAnsi="Times New Roman"/>
                                <w:b/>
                                <w:bCs/>
                                <w:i/>
                                <w:iCs/>
                                <w:sz w:val="24"/>
                                <w:szCs w:val="24"/>
                              </w:rPr>
                            </w:pPr>
                            <w:r>
                              <w:rPr>
                                <w:rFonts w:ascii="Times New Roman" w:hAnsi="Times New Roman"/>
                                <w:b/>
                                <w:i/>
                                <w:sz w:val="24"/>
                              </w:rPr>
                              <w:t>Actions clés</w:t>
                            </w:r>
                            <w:r>
                              <w:rPr>
                                <w:rFonts w:ascii="Times New Roman" w:hAnsi="Times New Roman"/>
                                <w:b/>
                                <w:sz w:val="24"/>
                              </w:rPr>
                              <w:t xml:space="preserve"> </w:t>
                            </w:r>
                          </w:p>
                          <w:p w14:paraId="4D6BFE8A" w14:textId="77777777" w:rsidR="00C5768A" w:rsidRPr="00DD0CD2" w:rsidRDefault="00C5768A" w:rsidP="00C5768A">
                            <w:pPr>
                              <w:rPr>
                                <w:rFonts w:ascii="Times New Roman" w:hAnsi="Times New Roman" w:cs="Times New Roman"/>
                                <w:b/>
                                <w:bCs/>
                                <w:sz w:val="24"/>
                                <w:szCs w:val="24"/>
                              </w:rPr>
                            </w:pPr>
                            <w:r>
                              <w:rPr>
                                <w:rFonts w:ascii="Times New Roman" w:hAnsi="Times New Roman"/>
                                <w:b/>
                                <w:sz w:val="24"/>
                              </w:rPr>
                              <w:t>La Commission:</w:t>
                            </w:r>
                          </w:p>
                          <w:p w14:paraId="4310C4AE" w14:textId="127069B0" w:rsidR="00C5768A" w:rsidRPr="00FB1F5F" w:rsidRDefault="00780D18" w:rsidP="00F961A8">
                            <w:pPr>
                              <w:pStyle w:val="ListParagraph"/>
                              <w:numPr>
                                <w:ilvl w:val="0"/>
                                <w:numId w:val="6"/>
                              </w:numPr>
                              <w:spacing w:after="0"/>
                              <w:ind w:left="426" w:hanging="218"/>
                              <w:jc w:val="both"/>
                              <w:rPr>
                                <w:rFonts w:ascii="Times New Roman" w:hAnsi="Times New Roman" w:cs="Times New Roman"/>
                                <w:b/>
                                <w:bCs/>
                                <w:sz w:val="24"/>
                                <w:szCs w:val="24"/>
                              </w:rPr>
                            </w:pPr>
                            <w:r>
                              <w:rPr>
                                <w:rFonts w:ascii="Times New Roman" w:hAnsi="Times New Roman"/>
                                <w:b/>
                                <w:sz w:val="24"/>
                              </w:rPr>
                              <w:t>examinera et, le cas échéant, proposera la révision de l’accord de passation conjointe de marché</w:t>
                            </w:r>
                            <w:r>
                              <w:rPr>
                                <w:rFonts w:ascii="Times New Roman" w:hAnsi="Times New Roman"/>
                                <w:sz w:val="24"/>
                              </w:rPr>
                              <w:t xml:space="preserve"> afin de mieux l’adapter aux besoins actuels [2026]</w:t>
                            </w:r>
                          </w:p>
                          <w:p w14:paraId="5045B8C0" w14:textId="057C4C2B" w:rsidR="00AC6F7B" w:rsidRPr="00BC38CC" w:rsidRDefault="00AC6F7B" w:rsidP="00BC38CC">
                            <w:pPr>
                              <w:pStyle w:val="ListParagraph"/>
                              <w:numPr>
                                <w:ilvl w:val="0"/>
                                <w:numId w:val="6"/>
                              </w:numPr>
                              <w:ind w:left="425" w:hanging="215"/>
                              <w:contextualSpacing w:val="0"/>
                              <w:jc w:val="both"/>
                              <w:rPr>
                                <w:rFonts w:ascii="Times New Roman" w:hAnsi="Times New Roman" w:cs="Times New Roman"/>
                                <w:sz w:val="24"/>
                                <w:szCs w:val="24"/>
                              </w:rPr>
                            </w:pPr>
                            <w:r>
                              <w:rPr>
                                <w:rFonts w:ascii="Times New Roman" w:hAnsi="Times New Roman"/>
                                <w:sz w:val="24"/>
                              </w:rPr>
                              <w:t xml:space="preserve">soutiendra les </w:t>
                            </w:r>
                            <w:r>
                              <w:rPr>
                                <w:rFonts w:ascii="Times New Roman" w:hAnsi="Times New Roman"/>
                                <w:b/>
                                <w:sz w:val="24"/>
                              </w:rPr>
                              <w:t>laboratoires prêts à l’emploi pour une réaction rapide</w:t>
                            </w:r>
                            <w:r>
                              <w:rPr>
                                <w:rFonts w:ascii="Times New Roman" w:hAnsi="Times New Roman"/>
                                <w:sz w:val="24"/>
                              </w:rPr>
                              <w:t xml:space="preserve"> [2026] </w:t>
                            </w:r>
                          </w:p>
                          <w:p w14:paraId="5E0A282D" w14:textId="63654803" w:rsidR="00AC6F7B" w:rsidRPr="00DD0CD2" w:rsidRDefault="00AC6F7B" w:rsidP="00AC6F7B">
                            <w:pPr>
                              <w:rPr>
                                <w:rFonts w:ascii="Times New Roman" w:hAnsi="Times New Roman" w:cs="Times New Roman"/>
                                <w:b/>
                                <w:bCs/>
                                <w:sz w:val="24"/>
                                <w:szCs w:val="24"/>
                              </w:rPr>
                            </w:pPr>
                            <w:r>
                              <w:rPr>
                                <w:rFonts w:ascii="Times New Roman" w:hAnsi="Times New Roman"/>
                                <w:b/>
                                <w:sz w:val="24"/>
                              </w:rPr>
                              <w:t>En coopération avec les États membres, la Commission entend:</w:t>
                            </w:r>
                          </w:p>
                          <w:p w14:paraId="4E33EE6C" w14:textId="3CC5158D" w:rsidR="00AC6F7B" w:rsidRDefault="00AC6F7B" w:rsidP="00F961A8">
                            <w:pPr>
                              <w:pStyle w:val="ListParagraph"/>
                              <w:numPr>
                                <w:ilvl w:val="0"/>
                                <w:numId w:val="6"/>
                              </w:numPr>
                              <w:spacing w:after="0"/>
                              <w:ind w:left="426" w:hanging="218"/>
                              <w:jc w:val="both"/>
                              <w:rPr>
                                <w:rFonts w:ascii="Times New Roman" w:hAnsi="Times New Roman" w:cs="Times New Roman"/>
                                <w:sz w:val="24"/>
                                <w:szCs w:val="24"/>
                              </w:rPr>
                            </w:pPr>
                            <w:r>
                              <w:rPr>
                                <w:rFonts w:ascii="Times New Roman" w:hAnsi="Times New Roman"/>
                                <w:sz w:val="24"/>
                              </w:rPr>
                              <w:t xml:space="preserve">élaborer une </w:t>
                            </w:r>
                            <w:r>
                              <w:rPr>
                                <w:rFonts w:ascii="Times New Roman" w:hAnsi="Times New Roman"/>
                                <w:b/>
                                <w:sz w:val="24"/>
                              </w:rPr>
                              <w:t>procédure normalisée pour les conventions de partage en matière de contre-mesures médicales avec des partenaires mondiaux</w:t>
                            </w:r>
                            <w:r>
                              <w:rPr>
                                <w:rFonts w:ascii="Times New Roman" w:hAnsi="Times New Roman"/>
                                <w:sz w:val="24"/>
                              </w:rPr>
                              <w:t xml:space="preserve"> de pays tiers [2026]</w:t>
                            </w:r>
                          </w:p>
                          <w:p w14:paraId="04337014" w14:textId="72B5F82B" w:rsidR="00AC6F7B" w:rsidRDefault="00AC6F7B" w:rsidP="00F961A8">
                            <w:pPr>
                              <w:pStyle w:val="ListParagraph"/>
                              <w:numPr>
                                <w:ilvl w:val="0"/>
                                <w:numId w:val="6"/>
                              </w:numPr>
                              <w:spacing w:after="0"/>
                              <w:ind w:left="426" w:hanging="218"/>
                              <w:jc w:val="both"/>
                              <w:rPr>
                                <w:rFonts w:ascii="Times New Roman" w:hAnsi="Times New Roman" w:cs="Times New Roman"/>
                                <w:sz w:val="24"/>
                                <w:szCs w:val="24"/>
                              </w:rPr>
                            </w:pPr>
                            <w:r>
                              <w:rPr>
                                <w:rFonts w:ascii="Times New Roman" w:hAnsi="Times New Roman"/>
                                <w:sz w:val="24"/>
                              </w:rPr>
                              <w:t xml:space="preserve">établir des </w:t>
                            </w:r>
                            <w:r>
                              <w:rPr>
                                <w:rFonts w:ascii="Times New Roman" w:hAnsi="Times New Roman"/>
                                <w:b/>
                                <w:sz w:val="24"/>
                              </w:rPr>
                              <w:t>lignes directrices pour les marchés publics en cas de crise</w:t>
                            </w:r>
                            <w:r>
                              <w:rPr>
                                <w:rFonts w:ascii="Times New Roman" w:hAnsi="Times New Roman"/>
                                <w:sz w:val="24"/>
                              </w:rPr>
                              <w:t xml:space="preserve"> [2026]</w:t>
                            </w:r>
                          </w:p>
                          <w:p w14:paraId="79E98B5F" w14:textId="77777777" w:rsidR="00AC6F7B" w:rsidRDefault="00AC6F7B" w:rsidP="00AC6F7B">
                            <w:pPr>
                              <w:spacing w:after="0"/>
                              <w:jc w:val="both"/>
                              <w:rPr>
                                <w:rFonts w:ascii="Times New Roman" w:hAnsi="Times New Roman" w:cs="Times New Roman"/>
                                <w:sz w:val="24"/>
                                <w:szCs w:val="24"/>
                              </w:rPr>
                            </w:pPr>
                          </w:p>
                          <w:p w14:paraId="0BA3A1AD" w14:textId="77777777" w:rsidR="00AC6F7B" w:rsidRPr="00AC6F7B" w:rsidRDefault="00AC6F7B" w:rsidP="00FF020D">
                            <w:pPr>
                              <w:spacing w:after="0"/>
                              <w:jc w:val="both"/>
                              <w:rPr>
                                <w:rFonts w:ascii="Times New Roman" w:hAnsi="Times New Roman" w:cs="Times New Roman"/>
                                <w:sz w:val="24"/>
                                <w:szCs w:val="24"/>
                              </w:rPr>
                            </w:pPr>
                          </w:p>
                        </w:txbxContent>
                      </wps:txbx>
                      <wps:bodyPr rot="0" vert="horz" wrap="square" lIns="91440" tIns="45720" rIns="91440" bIns="45720" anchor="t" anchorCtr="0">
                        <a:noAutofit/>
                      </wps:bodyPr>
                    </wps:wsp>
                  </a:graphicData>
                </a:graphic>
              </wp:inline>
            </w:drawing>
          </mc:Choice>
          <mc:Fallback>
            <w:pict>
              <v:shape w14:anchorId="336DB29D" id="_x0000_s1030" type="#_x0000_t202" style="width:472.05pt;height:19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" fillcolor="#d9d9d9">
                <v:textbox>
                  <w:txbxContent>
                    <w:p w14:paraId="129A884F" w14:textId="4E53A979" w:rsidR="00C5768A" w:rsidRDefault="00C5768A" w:rsidP="00C5768A">
                      <w:pPr>
                        <w:pStyle w:val="L1"/>
                        <w:ind w:left="0"/>
                        <w:rPr>
                          <w:rFonts w:ascii="Times New Roman" w:hAnsi="Times New Roman"/>
                          <w:b/>
                          <w:bCs/>
                          <w:i/>
                          <w:iCs/>
                          <w:sz w:val="24"/>
                          <w:szCs w:val="24"/>
                        </w:rPr>
                      </w:pPr>
                      <w:r>
                        <w:rPr>
                          <w:rFonts w:ascii="Times New Roman" w:hAnsi="Times New Roman"/>
                          <w:b/>
                          <w:i/>
                          <w:sz w:val="24"/>
                        </w:rPr>
                        <w:t>Actions clés</w:t>
                      </w:r>
                      <w:r>
                        <w:rPr>
                          <w:rFonts w:ascii="Times New Roman" w:hAnsi="Times New Roman"/>
                          <w:b/>
                          <w:sz w:val="24"/>
                        </w:rPr>
                        <w:t xml:space="preserve"> </w:t>
                      </w:r>
                    </w:p>
                    <w:p w14:paraId="4D6BFE8A" w14:textId="77777777" w:rsidR="00C5768A" w:rsidRPr="00DD0CD2" w:rsidRDefault="00C5768A" w:rsidP="00C5768A">
                      <w:pPr>
                        <w:rPr>
                          <w:rFonts w:ascii="Times New Roman" w:hAnsi="Times New Roman" w:cs="Times New Roman"/>
                          <w:b/>
                          <w:bCs/>
                          <w:sz w:val="24"/>
                          <w:szCs w:val="24"/>
                        </w:rPr>
                      </w:pPr>
                      <w:r>
                        <w:rPr>
                          <w:rFonts w:ascii="Times New Roman" w:hAnsi="Times New Roman"/>
                          <w:b/>
                          <w:sz w:val="24"/>
                        </w:rPr>
                        <w:t>La Commission:</w:t>
                      </w:r>
                    </w:p>
                    <w:p w14:paraId="4310C4AE" w14:textId="127069B0" w:rsidR="00C5768A" w:rsidRPr="00FB1F5F" w:rsidRDefault="00780D18" w:rsidP="00F961A8">
                      <w:pPr>
                        <w:pStyle w:val="ListParagraph"/>
                        <w:numPr>
                          <w:ilvl w:val="0"/>
                          <w:numId w:val="6"/>
                        </w:numPr>
                        <w:spacing w:after="0"/>
                        <w:ind w:left="426" w:hanging="218"/>
                        <w:jc w:val="both"/>
                        <w:rPr>
                          <w:rFonts w:ascii="Times New Roman" w:hAnsi="Times New Roman" w:cs="Times New Roman"/>
                          <w:b/>
                          <w:bCs/>
                          <w:sz w:val="24"/>
                          <w:szCs w:val="24"/>
                        </w:rPr>
                      </w:pPr>
                      <w:r>
                        <w:rPr>
                          <w:rFonts w:ascii="Times New Roman" w:hAnsi="Times New Roman"/>
                          <w:b/>
                          <w:sz w:val="24"/>
                        </w:rPr>
                        <w:t>examinera et, le cas échéant, proposera la révision de l’accord de passation conjointe de marché</w:t>
                      </w:r>
                      <w:r>
                        <w:rPr>
                          <w:rFonts w:ascii="Times New Roman" w:hAnsi="Times New Roman"/>
                          <w:sz w:val="24"/>
                        </w:rPr>
                        <w:t xml:space="preserve"> afin de mieux l’adapter aux besoins actuels [2026]</w:t>
                      </w:r>
                    </w:p>
                    <w:p w14:paraId="5045B8C0" w14:textId="057C4C2B" w:rsidR="00AC6F7B" w:rsidRPr="00BC38CC" w:rsidRDefault="00AC6F7B" w:rsidP="00BC38CC">
                      <w:pPr>
                        <w:pStyle w:val="ListParagraph"/>
                        <w:numPr>
                          <w:ilvl w:val="0"/>
                          <w:numId w:val="6"/>
                        </w:numPr>
                        <w:ind w:left="425" w:hanging="215"/>
                        <w:contextualSpacing w:val="0"/>
                        <w:jc w:val="both"/>
                        <w:rPr>
                          <w:rFonts w:ascii="Times New Roman" w:hAnsi="Times New Roman" w:cs="Times New Roman"/>
                          <w:sz w:val="24"/>
                          <w:szCs w:val="24"/>
                        </w:rPr>
                      </w:pPr>
                      <w:r>
                        <w:rPr>
                          <w:rFonts w:ascii="Times New Roman" w:hAnsi="Times New Roman"/>
                          <w:sz w:val="24"/>
                        </w:rPr>
                        <w:t xml:space="preserve">soutiendra les </w:t>
                      </w:r>
                      <w:r>
                        <w:rPr>
                          <w:rFonts w:ascii="Times New Roman" w:hAnsi="Times New Roman"/>
                          <w:b/>
                          <w:sz w:val="24"/>
                        </w:rPr>
                        <w:t>laboratoires prêts à l’emploi pour une réaction rapide</w:t>
                      </w:r>
                      <w:r>
                        <w:rPr>
                          <w:rFonts w:ascii="Times New Roman" w:hAnsi="Times New Roman"/>
                          <w:sz w:val="24"/>
                        </w:rPr>
                        <w:t xml:space="preserve"> [2026] </w:t>
                      </w:r>
                    </w:p>
                    <w:p w14:paraId="5E0A282D" w14:textId="63654803" w:rsidR="00AC6F7B" w:rsidRPr="00DD0CD2" w:rsidRDefault="00AC6F7B" w:rsidP="00AC6F7B">
                      <w:pPr>
                        <w:rPr>
                          <w:rFonts w:ascii="Times New Roman" w:hAnsi="Times New Roman" w:cs="Times New Roman"/>
                          <w:b/>
                          <w:bCs/>
                          <w:sz w:val="24"/>
                          <w:szCs w:val="24"/>
                        </w:rPr>
                      </w:pPr>
                      <w:r>
                        <w:rPr>
                          <w:rFonts w:ascii="Times New Roman" w:hAnsi="Times New Roman"/>
                          <w:b/>
                          <w:sz w:val="24"/>
                        </w:rPr>
                        <w:t>En coopération avec les États membres, la Commission entend:</w:t>
                      </w:r>
                    </w:p>
                    <w:p w14:paraId="4E33EE6C" w14:textId="3CC5158D" w:rsidR="00AC6F7B" w:rsidRDefault="00AC6F7B" w:rsidP="00F961A8">
                      <w:pPr>
                        <w:pStyle w:val="ListParagraph"/>
                        <w:numPr>
                          <w:ilvl w:val="0"/>
                          <w:numId w:val="6"/>
                        </w:numPr>
                        <w:spacing w:after="0"/>
                        <w:ind w:left="426" w:hanging="218"/>
                        <w:jc w:val="both"/>
                        <w:rPr>
                          <w:rFonts w:ascii="Times New Roman" w:hAnsi="Times New Roman" w:cs="Times New Roman"/>
                          <w:sz w:val="24"/>
                          <w:szCs w:val="24"/>
                        </w:rPr>
                      </w:pPr>
                      <w:r>
                        <w:rPr>
                          <w:rFonts w:ascii="Times New Roman" w:hAnsi="Times New Roman"/>
                          <w:sz w:val="24"/>
                        </w:rPr>
                        <w:t xml:space="preserve">élaborer une </w:t>
                      </w:r>
                      <w:r>
                        <w:rPr>
                          <w:rFonts w:ascii="Times New Roman" w:hAnsi="Times New Roman"/>
                          <w:b/>
                          <w:sz w:val="24"/>
                        </w:rPr>
                        <w:t>procédure normalisée pour les conventions de partage en matière de contre-mesures médicales avec des partenaires mondiaux</w:t>
                      </w:r>
                      <w:r>
                        <w:rPr>
                          <w:rFonts w:ascii="Times New Roman" w:hAnsi="Times New Roman"/>
                          <w:sz w:val="24"/>
                        </w:rPr>
                        <w:t xml:space="preserve"> de pays tiers [2026]</w:t>
                      </w:r>
                    </w:p>
                    <w:p w14:paraId="04337014" w14:textId="72B5F82B" w:rsidR="00AC6F7B" w:rsidRDefault="00AC6F7B" w:rsidP="00F961A8">
                      <w:pPr>
                        <w:pStyle w:val="ListParagraph"/>
                        <w:numPr>
                          <w:ilvl w:val="0"/>
                          <w:numId w:val="6"/>
                        </w:numPr>
                        <w:spacing w:after="0"/>
                        <w:ind w:left="426" w:hanging="218"/>
                        <w:jc w:val="both"/>
                        <w:rPr>
                          <w:rFonts w:ascii="Times New Roman" w:hAnsi="Times New Roman" w:cs="Times New Roman"/>
                          <w:sz w:val="24"/>
                          <w:szCs w:val="24"/>
                        </w:rPr>
                      </w:pPr>
                      <w:r>
                        <w:rPr>
                          <w:rFonts w:ascii="Times New Roman" w:hAnsi="Times New Roman"/>
                          <w:sz w:val="24"/>
                        </w:rPr>
                        <w:t xml:space="preserve">établir des </w:t>
                      </w:r>
                      <w:r>
                        <w:rPr>
                          <w:rFonts w:ascii="Times New Roman" w:hAnsi="Times New Roman"/>
                          <w:b/>
                          <w:sz w:val="24"/>
                        </w:rPr>
                        <w:t>lignes directrices pour les marchés publics en cas de crise</w:t>
                      </w:r>
                      <w:r>
                        <w:rPr>
                          <w:rFonts w:ascii="Times New Roman" w:hAnsi="Times New Roman"/>
                          <w:sz w:val="24"/>
                        </w:rPr>
                        <w:t xml:space="preserve"> [2026]</w:t>
                      </w:r>
                    </w:p>
                    <w:p w14:paraId="79E98B5F" w14:textId="77777777" w:rsidR="00AC6F7B" w:rsidRDefault="00AC6F7B" w:rsidP="00AC6F7B">
                      <w:pPr>
                        <w:spacing w:after="0"/>
                        <w:jc w:val="both"/>
                        <w:rPr>
                          <w:rFonts w:ascii="Times New Roman" w:hAnsi="Times New Roman" w:cs="Times New Roman"/>
                          <w:sz w:val="24"/>
                          <w:szCs w:val="24"/>
                        </w:rPr>
                      </w:pPr>
                    </w:p>
                    <w:p w14:paraId="0BA3A1AD" w14:textId="77777777" w:rsidR="00AC6F7B" w:rsidRPr="00AC6F7B" w:rsidRDefault="00AC6F7B" w:rsidP="00FF020D">
                      <w:pPr>
                        <w:spacing w:after="0"/>
                        <w:jc w:val="both"/>
                        <w:rPr>
                          <w:rFonts w:ascii="Times New Roman" w:hAnsi="Times New Roman" w:cs="Times New Roman"/>
                          <w:sz w:val="24"/>
                          <w:szCs w:val="24"/>
                        </w:rPr>
                      </w:pPr>
                    </w:p>
                  </w:txbxContent>
                </v:textbox>
                <w10:anchorlock/>
              </v:shape>
            </w:pict>
          </mc:Fallback>
        </mc:AlternateContent>
      </w:r>
      <w:bookmarkStart w:id="10" w:name="_Hlk195732308"/>
    </w:p>
    <w:p w14:paraId="6E1F4361" w14:textId="11A70AB4" w:rsidR="006D5474" w:rsidRPr="004838D9" w:rsidRDefault="00960C44" w:rsidP="00BC38CC">
      <w:pPr>
        <w:pStyle w:val="Heading1"/>
        <w:numPr>
          <w:ilvl w:val="0"/>
          <w:numId w:val="30"/>
        </w:numPr>
        <w:spacing w:before="160"/>
        <w:ind w:left="1077"/>
        <w:rPr>
          <w:rFonts w:ascii="Times New Roman Bold" w:hAnsi="Times New Roman Bold"/>
          <w:caps/>
          <w:noProof/>
          <w:u w:val="single"/>
        </w:rPr>
      </w:pPr>
      <w:r>
        <w:rPr>
          <w:rFonts w:ascii="Times New Roman Bold" w:hAnsi="Times New Roman Bold"/>
          <w:caps/>
          <w:noProof/>
          <w:u w:val="single"/>
        </w:rPr>
        <w:t>COOPÉRATION ET COORDINATION MONDIALES EN MATIÈRE DE CONTRE-MESURES MÉDICALES</w:t>
      </w:r>
    </w:p>
    <w:bookmarkEnd w:id="10"/>
    <w:p w14:paraId="02FCDA5C" w14:textId="2E875D40" w:rsidR="0099751A" w:rsidRPr="004838D9" w:rsidRDefault="0099751A" w:rsidP="0099751A">
      <w:pPr>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disponibilité de contre-mesures médicales à l’échelle mondiale</w:t>
      </w:r>
      <w:r>
        <w:rPr>
          <w:rFonts w:ascii="Times New Roman" w:hAnsi="Times New Roman"/>
          <w:noProof/>
          <w:sz w:val="24"/>
        </w:rPr>
        <w:t xml:space="preserve"> a été un problème crucial lors de </w:t>
      </w:r>
      <w:r>
        <w:rPr>
          <w:rFonts w:ascii="Times New Roman" w:hAnsi="Times New Roman"/>
          <w:b/>
          <w:noProof/>
          <w:sz w:val="24"/>
        </w:rPr>
        <w:t>toutes les grandes épidémies récentes de maladies infectieuses, et la solidarité mondiale est essentielle</w:t>
      </w:r>
      <w:r>
        <w:rPr>
          <w:rFonts w:ascii="Times New Roman" w:hAnsi="Times New Roman"/>
          <w:noProof/>
          <w:sz w:val="24"/>
        </w:rPr>
        <w:t>. Les menaces pour la santé ne s’arrêtent pas aux frontières de l’UE et nécessitent une collaboration étroite et une action diplomatique intersectorielle, tant au niveau de l’UE qu’au niveau mondial. L’UE continuera de collaborer avec ses partenaires mondiaux pour relever les défis liés à la détection des menaces, à la mise au point de contre-mesures médicales et au renforcement des chaînes d’approvisionnement, en investissant davantage dans l’innovation et dans la sécurité de l’approvisionnement.</w:t>
      </w:r>
    </w:p>
    <w:p w14:paraId="7A820496" w14:textId="05BBC987" w:rsidR="0099751A" w:rsidRPr="00967329" w:rsidRDefault="00B44F30" w:rsidP="0099751A">
      <w:pPr>
        <w:pStyle w:val="Heading2"/>
        <w:numPr>
          <w:ilvl w:val="0"/>
          <w:numId w:val="0"/>
        </w:numPr>
        <w:ind w:left="1068" w:hanging="360"/>
        <w:rPr>
          <w:noProof/>
        </w:rPr>
      </w:pPr>
      <w:r>
        <w:rPr>
          <w:noProof/>
        </w:rPr>
        <w:t xml:space="preserve">5.1 Coordination au niveau de l’UE et au niveau mondial </w:t>
      </w:r>
    </w:p>
    <w:p w14:paraId="29D65FD9" w14:textId="4BC1F016" w:rsidR="00F92700" w:rsidRDefault="00F92700" w:rsidP="00F92700">
      <w:pPr>
        <w:jc w:val="both"/>
        <w:rPr>
          <w:rFonts w:ascii="Times New Roman" w:hAnsi="Times New Roman" w:cs="Times New Roman"/>
          <w:noProof/>
          <w:sz w:val="24"/>
          <w:szCs w:val="24"/>
        </w:rPr>
      </w:pPr>
      <w:r>
        <w:rPr>
          <w:rFonts w:ascii="Times New Roman" w:hAnsi="Times New Roman"/>
          <w:noProof/>
          <w:sz w:val="24"/>
        </w:rPr>
        <w:t xml:space="preserve">Au niveau de l’UE, la Commission élabore actuellement un plan de prévention, de préparation et de réaction de l’Union qui définira des dispositions communes en matière de gouvernance, de capacités et de ressources afin d’aider les États membres à prévenir une menace transfrontière grave pour la santé, à s’y préparer et à y réagir. </w:t>
      </w:r>
    </w:p>
    <w:p w14:paraId="1281E3B7" w14:textId="0393A24C" w:rsidR="005E0474" w:rsidRDefault="0099751A" w:rsidP="00F92700">
      <w:pPr>
        <w:jc w:val="both"/>
        <w:rPr>
          <w:rFonts w:ascii="Times New Roman" w:hAnsi="Times New Roman" w:cs="Times New Roman"/>
          <w:noProof/>
          <w:sz w:val="24"/>
          <w:szCs w:val="24"/>
        </w:rPr>
      </w:pPr>
      <w:r>
        <w:rPr>
          <w:rFonts w:ascii="Times New Roman" w:hAnsi="Times New Roman"/>
          <w:noProof/>
          <w:sz w:val="24"/>
        </w:rPr>
        <w:t>Les services de la Commission et le Service européen pour l’action extérieure renforceront la coordination avec les États membres, les agences de l’UE et les partenaires mondiaux afin de garantir la détection rapide de toute menace sanitaire émergente pour l’UE et le monde et de faciliter un accès rapide et équitable aux contre-mesures médicales. Cela reflète également les conclusions de l’évaluation de l’HERA</w:t>
      </w:r>
      <w:r>
        <w:rPr>
          <w:rStyle w:val="FootnoteReference"/>
          <w:rFonts w:ascii="Times New Roman" w:hAnsi="Times New Roman" w:cs="Times New Roman"/>
          <w:noProof/>
          <w:sz w:val="24"/>
          <w:szCs w:val="24"/>
          <w:lang w:val="en-IE"/>
        </w:rPr>
        <w:footnoteReference w:id="34"/>
      </w:r>
      <w:r>
        <w:rPr>
          <w:rFonts w:ascii="Times New Roman" w:hAnsi="Times New Roman"/>
          <w:noProof/>
          <w:sz w:val="24"/>
        </w:rPr>
        <w:t xml:space="preserve">, selon lesquelles les activités dans le domaine des contre-mesures médicales contribuent à la mise en place d’un cadre mondial solide en matière de sécurité sanitaire. </w:t>
      </w:r>
    </w:p>
    <w:p w14:paraId="295F2A12" w14:textId="100CCEA4" w:rsidR="0013315D" w:rsidRDefault="004C2F01" w:rsidP="0099751A">
      <w:pPr>
        <w:jc w:val="both"/>
        <w:rPr>
          <w:rFonts w:ascii="Times New Roman" w:hAnsi="Times New Roman" w:cs="Times New Roman"/>
          <w:noProof/>
          <w:sz w:val="24"/>
          <w:szCs w:val="24"/>
        </w:rPr>
      </w:pPr>
      <w:r>
        <w:rPr>
          <w:rFonts w:ascii="Times New Roman" w:hAnsi="Times New Roman"/>
          <w:noProof/>
          <w:sz w:val="24"/>
        </w:rPr>
        <w:t>Des systèmes d’alerte efficaces à l’échelle mondiale pour les nouvelles menaces nécessitant des contre-mesures médicales sont décisifs pour mettre au point et diffuser rapidement des contre-mesures médicales appropriées, car la recherche médicale, la production pharmaceutique et les chaînes d’approvisionnement sont intrinsèquement mondiales. Cela met en évidence la nécessité d’efforts coordonnés au niveau mondial pour accélérer la recherche et la mise au point de nouvelles contre-mesures médicales et améliorer la sécurité de leur approvisionnement. La coordination mondiale est cruciale pour mettre un terme à toute nouvelle épidémie au niveau local avant qu’elle ne franchisse les frontières ou ne se transforme en pandémie.</w:t>
      </w:r>
    </w:p>
    <w:p w14:paraId="6FBEBABD" w14:textId="0EDBC1BA" w:rsidR="00AD1B0C" w:rsidRDefault="007A7511" w:rsidP="0099751A">
      <w:pPr>
        <w:jc w:val="both"/>
        <w:rPr>
          <w:rFonts w:ascii="Times New Roman" w:hAnsi="Times New Roman" w:cs="Times New Roman"/>
          <w:noProof/>
          <w:sz w:val="24"/>
          <w:szCs w:val="24"/>
        </w:rPr>
      </w:pPr>
      <w:r>
        <w:rPr>
          <w:noProof/>
          <w:lang w:val="en-GB" w:eastAsia="en-GB"/>
        </w:rPr>
        <w:drawing>
          <wp:inline distT="0" distB="0" distL="0" distR="0" wp14:anchorId="1FA3A69B" wp14:editId="15D832C2">
            <wp:extent cx="5943600" cy="2209165"/>
            <wp:effectExtent l="0" t="0" r="0" b="635"/>
            <wp:docPr id="1755276943" name="Picture 1" descr="A close-up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5276943" name="Picture 1" descr="A close-up of a document&#10;&#10;AI-generated content may be incorrect."/>
                    <pic:cNvPicPr/>
                  </pic:nvPicPr>
                  <pic:blipFill>
                    <a:blip r:embed="rId16"/>
                    <a:stretch>
                      <a:fillRect/>
                    </a:stretch>
                  </pic:blipFill>
                  <pic:spPr>
                    <a:xfrm>
                      <a:off x="0" y="0"/>
                      <a:ext cx="5943600" cy="2209165"/>
                    </a:xfrm>
                    <a:prstGeom prst="rect">
                      <a:avLst/>
                    </a:prstGeom>
                  </pic:spPr>
                </pic:pic>
              </a:graphicData>
            </a:graphic>
          </wp:inline>
        </w:drawing>
      </w:r>
    </w:p>
    <w:p w14:paraId="4867EC18" w14:textId="0FCA8643" w:rsidR="00CC6E84" w:rsidRDefault="0099751A" w:rsidP="00897AB4">
      <w:pPr>
        <w:jc w:val="both"/>
        <w:rPr>
          <w:rFonts w:ascii="Times New Roman" w:hAnsi="Times New Roman" w:cs="Times New Roman"/>
          <w:noProof/>
          <w:sz w:val="24"/>
          <w:szCs w:val="24"/>
        </w:rPr>
      </w:pPr>
      <w:r>
        <w:rPr>
          <w:rFonts w:ascii="Times New Roman" w:hAnsi="Times New Roman"/>
          <w:noProof/>
          <w:sz w:val="24"/>
        </w:rPr>
        <w:t xml:space="preserve">C’est la raison pour laquelle l’UE entend redoubler d’efforts pour mettre l’accent sur la </w:t>
      </w:r>
      <w:r>
        <w:rPr>
          <w:rFonts w:ascii="Times New Roman" w:hAnsi="Times New Roman"/>
          <w:b/>
          <w:noProof/>
          <w:sz w:val="24"/>
        </w:rPr>
        <w:t>sécurité sanitaire mondiale</w:t>
      </w:r>
      <w:r>
        <w:rPr>
          <w:rFonts w:ascii="Times New Roman" w:hAnsi="Times New Roman"/>
          <w:noProof/>
          <w:sz w:val="24"/>
        </w:rPr>
        <w:t>, en améliorant la collaboration avec l’</w:t>
      </w:r>
      <w:r>
        <w:rPr>
          <w:rFonts w:ascii="Times New Roman" w:hAnsi="Times New Roman"/>
          <w:b/>
          <w:noProof/>
          <w:sz w:val="24"/>
        </w:rPr>
        <w:t>Organisation mondiale de la santé (OMS)</w:t>
      </w:r>
      <w:r>
        <w:rPr>
          <w:rFonts w:ascii="Times New Roman" w:hAnsi="Times New Roman"/>
          <w:noProof/>
          <w:sz w:val="24"/>
        </w:rPr>
        <w:t xml:space="preserve">, le </w:t>
      </w:r>
      <w:r>
        <w:rPr>
          <w:rFonts w:ascii="Times New Roman" w:hAnsi="Times New Roman"/>
          <w:b/>
          <w:noProof/>
          <w:sz w:val="24"/>
        </w:rPr>
        <w:t>Centre africain de contrôle et de prévention des maladies (CDC Afrique)</w:t>
      </w:r>
      <w:r>
        <w:rPr>
          <w:rFonts w:ascii="Times New Roman" w:hAnsi="Times New Roman"/>
          <w:noProof/>
          <w:sz w:val="24"/>
        </w:rPr>
        <w:t xml:space="preserve"> et en renforçant le rôle des partenariats mondiaux de recherche sanitaire sur les maladies infectieuses, tels que le partenariat des pays européens et en développement sur les essais cliniques en faveur de la santé mondiale (EDCTP3)</w:t>
      </w:r>
      <w:r>
        <w:rPr>
          <w:rStyle w:val="FootnoteReference"/>
          <w:rFonts w:ascii="Times New Roman" w:hAnsi="Times New Roman" w:cs="Times New Roman"/>
          <w:noProof/>
          <w:sz w:val="24"/>
          <w:szCs w:val="24"/>
          <w:lang w:val="en-IE"/>
        </w:rPr>
        <w:footnoteReference w:id="35"/>
      </w:r>
      <w:r>
        <w:rPr>
          <w:rFonts w:ascii="Times New Roman" w:hAnsi="Times New Roman"/>
          <w:noProof/>
          <w:sz w:val="24"/>
        </w:rPr>
        <w:t>, qui vise à faire progresser la recherche et le développement dans le domaine de la santé ainsi que leurs résultats en Afrique subsaharienne. La Commission continuera par ailleurs à collaborer avec d’autres projets de coordination des bailleurs de fonds de la R &amp; D, tels que la collaboration mondiale en matière de recherche pour la préparation aux maladies infectieuses (GloPID-R)</w:t>
      </w:r>
      <w:r>
        <w:rPr>
          <w:rStyle w:val="FootnoteReference"/>
          <w:rFonts w:ascii="Times New Roman" w:hAnsi="Times New Roman" w:cs="Times New Roman"/>
          <w:noProof/>
          <w:sz w:val="24"/>
          <w:szCs w:val="24"/>
          <w:lang w:val="en-IE"/>
        </w:rPr>
        <w:footnoteReference w:id="36"/>
      </w:r>
      <w:r>
        <w:rPr>
          <w:rFonts w:ascii="Times New Roman" w:hAnsi="Times New Roman"/>
          <w:noProof/>
          <w:sz w:val="24"/>
        </w:rPr>
        <w:t>.</w:t>
      </w:r>
    </w:p>
    <w:p w14:paraId="74250D0F" w14:textId="5E2F3510" w:rsidR="00277AEF" w:rsidRPr="00B9501F" w:rsidRDefault="000E6FF4" w:rsidP="00CC6E84">
      <w:pPr>
        <w:jc w:val="both"/>
        <w:rPr>
          <w:rFonts w:ascii="Times New Roman" w:hAnsi="Times New Roman" w:cs="Times New Roman"/>
          <w:noProof/>
          <w:sz w:val="24"/>
          <w:szCs w:val="24"/>
        </w:rPr>
      </w:pPr>
      <w:r>
        <w:rPr>
          <w:rFonts w:ascii="Times New Roman" w:hAnsi="Times New Roman"/>
          <w:noProof/>
          <w:sz w:val="24"/>
        </w:rPr>
        <w:t>La Commission et l’OMS collaborent largement dans les domaines de la prévention, de la préparation aux menaces transfrontières graves pour la santé et de la réaction à celles-ci au moyen d’une coopération et d’un soutien techniques, de contributions financières et d’initiatives conjointes. Afin de consolider cette coopération, en particulier en ce qui concerne les priorités et activités conjointes, les deux parties ont l’intention d’établir d’ici à 2026 un cadre de coopération renforcée conformément à l’article 30 du règlement (UE) 2022/2371.</w:t>
      </w:r>
    </w:p>
    <w:p w14:paraId="3859E9CE" w14:textId="718DB83F" w:rsidR="004C2F01" w:rsidRDefault="00286AFA" w:rsidP="00CC6E84">
      <w:pPr>
        <w:jc w:val="both"/>
        <w:rPr>
          <w:rFonts w:ascii="Times New Roman" w:hAnsi="Times New Roman" w:cs="Times New Roman"/>
          <w:noProof/>
          <w:sz w:val="24"/>
          <w:szCs w:val="24"/>
        </w:rPr>
      </w:pPr>
      <w:r>
        <w:rPr>
          <w:rFonts w:ascii="Times New Roman" w:hAnsi="Times New Roman"/>
          <w:noProof/>
          <w:sz w:val="24"/>
        </w:rPr>
        <w:t xml:space="preserve">L’UE continuera aussi de développer des partenariats existants ou nouveaux en matière de contre-mesures médicales avec des organisations régionales ou des pays de l’Espace économique européen (EEE)/Association européenne de libre-échange (AELE), la région indo-pacifique, l’Amérique latine (Organisation panaméricaine de la santé) et certains pays comme le Canada et le Royaume-Uni sur les questions de sécurité sanitaire mondiale. </w:t>
      </w:r>
    </w:p>
    <w:p w14:paraId="1FC6396B" w14:textId="5F073679" w:rsidR="00FF020D" w:rsidRPr="00BF7954" w:rsidRDefault="00C51C57" w:rsidP="00CC6E84">
      <w:pPr>
        <w:jc w:val="both"/>
        <w:rPr>
          <w:rFonts w:ascii="Times New Roman" w:hAnsi="Times New Roman" w:cs="Times New Roman"/>
          <w:noProof/>
          <w:sz w:val="24"/>
          <w:szCs w:val="24"/>
        </w:rPr>
      </w:pPr>
      <w:r>
        <w:rPr>
          <w:rFonts w:ascii="Times New Roman" w:hAnsi="Times New Roman"/>
          <w:noProof/>
          <w:sz w:val="24"/>
        </w:rPr>
        <w:t>Sur la base d’initiatives relevant de la stratégie «Global Gateway», telles que l’</w:t>
      </w:r>
      <w:r>
        <w:rPr>
          <w:rFonts w:ascii="Times New Roman" w:hAnsi="Times New Roman"/>
          <w:b/>
          <w:noProof/>
          <w:sz w:val="24"/>
        </w:rPr>
        <w:t>initiative Équipe Europe pour la production de vaccins, de médicaments et de technologies de la santé et l’accès à ceux-ci</w:t>
      </w:r>
      <w:r>
        <w:rPr>
          <w:rFonts w:ascii="Times New Roman" w:hAnsi="Times New Roman"/>
          <w:noProof/>
          <w:sz w:val="24"/>
        </w:rPr>
        <w:t xml:space="preserve"> (MAV+) en Afrique et l’initiative birégionale UE-ALC sur la fabrication locale de vaccins et de technologies de la santé, la Commission continuera de soutenir le développement de </w:t>
      </w:r>
      <w:r>
        <w:rPr>
          <w:rFonts w:ascii="Times New Roman" w:hAnsi="Times New Roman"/>
          <w:b/>
          <w:noProof/>
          <w:sz w:val="24"/>
        </w:rPr>
        <w:t>capacités régionales de production de vaccins, de médicaments et de technologies de la santé</w:t>
      </w:r>
      <w:r>
        <w:rPr>
          <w:rFonts w:ascii="Times New Roman" w:hAnsi="Times New Roman"/>
          <w:noProof/>
          <w:sz w:val="24"/>
        </w:rPr>
        <w:t xml:space="preserve">, y compris les contre-mesures médicales, dans les régions partenaires. À cet égard, l’UE participera également à la </w:t>
      </w:r>
      <w:r>
        <w:rPr>
          <w:rFonts w:ascii="Times New Roman" w:hAnsi="Times New Roman"/>
          <w:b/>
          <w:noProof/>
          <w:sz w:val="24"/>
        </w:rPr>
        <w:t>coalition mondiale du G20 pour la production régionale et locale</w:t>
      </w:r>
      <w:r>
        <w:rPr>
          <w:rStyle w:val="FootnoteReference"/>
          <w:rFonts w:ascii="Times New Roman" w:eastAsia="Times New Roman" w:hAnsi="Times New Roman" w:cs="Times New Roman"/>
          <w:b/>
          <w:bCs/>
          <w:noProof/>
          <w:sz w:val="24"/>
          <w:szCs w:val="24"/>
        </w:rPr>
        <w:footnoteReference w:id="37"/>
      </w:r>
      <w:r>
        <w:rPr>
          <w:rFonts w:ascii="Times New Roman" w:hAnsi="Times New Roman"/>
          <w:noProof/>
          <w:sz w:val="24"/>
        </w:rPr>
        <w:t xml:space="preserve">. La Commission examinera aussi les moyens d’accroître la capacité de production de contre-mesures médicales et la sécurité de la chaîne d’approvisionnement dans notre voisinage, en tenant compte de l’étude à venir sur les </w:t>
      </w:r>
      <w:r>
        <w:rPr>
          <w:rFonts w:ascii="Times New Roman" w:hAnsi="Times New Roman"/>
          <w:b/>
          <w:noProof/>
          <w:sz w:val="24"/>
        </w:rPr>
        <w:t>capacités de production de médicaments des Balkans occidentaux</w:t>
      </w:r>
      <w:r>
        <w:rPr>
          <w:rStyle w:val="FootnoteReference"/>
          <w:rFonts w:ascii="Times New Roman" w:eastAsia="Times New Roman" w:hAnsi="Times New Roman" w:cs="Times New Roman"/>
          <w:b/>
          <w:bCs/>
          <w:noProof/>
          <w:sz w:val="24"/>
          <w:szCs w:val="24"/>
        </w:rPr>
        <w:footnoteReference w:id="38"/>
      </w:r>
      <w:r>
        <w:rPr>
          <w:rFonts w:ascii="Times New Roman" w:hAnsi="Times New Roman"/>
          <w:b/>
          <w:noProof/>
          <w:sz w:val="24"/>
        </w:rPr>
        <w:t xml:space="preserve"> et de l’Ukraine</w:t>
      </w:r>
      <w:r>
        <w:rPr>
          <w:rFonts w:ascii="Times New Roman" w:hAnsi="Times New Roman"/>
          <w:noProof/>
          <w:sz w:val="24"/>
        </w:rPr>
        <w:t xml:space="preserve">, et à l’échelle mondiale, en continuant à dialoguer avec des partenaires tels que l’Inde et la Chine pour remédier aux goulets d’étranglement dans la chaîne d’approvisionnement. </w:t>
      </w:r>
    </w:p>
    <w:p w14:paraId="21D157B6" w14:textId="53C11DF5" w:rsidR="00AA448A" w:rsidRPr="0022214D" w:rsidRDefault="00B44F30" w:rsidP="0022214D">
      <w:pPr>
        <w:pStyle w:val="Heading2"/>
        <w:numPr>
          <w:ilvl w:val="0"/>
          <w:numId w:val="0"/>
        </w:numPr>
        <w:ind w:left="1068" w:hanging="360"/>
        <w:rPr>
          <w:noProof/>
        </w:rPr>
      </w:pPr>
      <w:r>
        <w:rPr>
          <w:noProof/>
        </w:rPr>
        <w:t>5.2 Coopération civilo-militaire</w:t>
      </w:r>
    </w:p>
    <w:p w14:paraId="6663F86A" w14:textId="5391AB2E" w:rsidR="00347BC0" w:rsidRPr="001F76D5" w:rsidRDefault="00347BC0" w:rsidP="00766D7F">
      <w:pPr>
        <w:jc w:val="both"/>
        <w:rPr>
          <w:rFonts w:ascii="Times New Roman" w:hAnsi="Times New Roman" w:cs="Times New Roman"/>
          <w:noProof/>
          <w:sz w:val="24"/>
          <w:szCs w:val="24"/>
        </w:rPr>
      </w:pPr>
      <w:r>
        <w:rPr>
          <w:rFonts w:ascii="Times New Roman" w:hAnsi="Times New Roman"/>
          <w:noProof/>
          <w:sz w:val="24"/>
        </w:rPr>
        <w:t>Les pandémies, la disponibilité de substances chimiques ou biologiques et les infections résistantes aux antibiotiques constituent des menaces non seulement pour la santé publique, mais aussi pour la sécurité, tant pour la population que pour l’armée. Les contre-mesures médicales nécessaires à un usage civil dans les hôpitaux ou à un usage militaire en première ligne sont souvent les mêmes. En outre, certaines contre-mesures médicales ont été mises au point à deux fins, à savoir lutter contre les maladies d’intérêt tant du point de vue de la santé civile que du point de vue de la biodéfense militaire, et répondent ainsi aux besoins civils en matière de santé publique en contrôlant les épidémies tout en soutenant la préparation militaire, comme cela peut être illustré par les vaccins actuels de nouvelle génération contre les virus de la variole et mpox. C’est pourquoi le renforcement de la coopération civilo-militaire en matière de contre-mesures médicales est essentiel pour consolider notre préparation sociétale et militaire aux situations d’urgence et pour stimuler la recherche et le développement, ainsi que les capacités de production et de déploiement.</w:t>
      </w:r>
    </w:p>
    <w:p w14:paraId="4A97C180" w14:textId="31BD37EB" w:rsidR="00277AEF" w:rsidRDefault="29EA2606" w:rsidP="00766D7F">
      <w:pPr>
        <w:jc w:val="both"/>
        <w:rPr>
          <w:rFonts w:ascii="Times New Roman" w:hAnsi="Times New Roman" w:cs="Times New Roman"/>
          <w:noProof/>
          <w:sz w:val="24"/>
          <w:szCs w:val="24"/>
        </w:rPr>
      </w:pPr>
      <w:r>
        <w:rPr>
          <w:rFonts w:ascii="Times New Roman" w:hAnsi="Times New Roman"/>
          <w:noProof/>
          <w:sz w:val="24"/>
        </w:rPr>
        <w:t xml:space="preserve">Les contre-mesures médicales constituent l’un des secteurs présentant la plus grande valeur ajoutée pour la coopération civilo-militaire. En optimisant la recherche, les achats (communs), la passation (conjointe) de marché ou la constitution (conjointe) de stocks, la logistique et le déploiement d’urgence, la collaboration civilo-militaire est susceptible d’améliorer considérablement la préparation et la réaction aux menaces transfrontières. La Commission a l’intention d’engager un dialogue ouvert avec les ministères de la défense des États membres afin d’étudier les moyens pratiques de renforcer l’interopérabilité et la capacité de réaction dans le domaine des contre-mesures médicales. </w:t>
      </w:r>
    </w:p>
    <w:p w14:paraId="53467222" w14:textId="5A446567" w:rsidR="00347BC0" w:rsidRPr="008D4493" w:rsidRDefault="00347BC0" w:rsidP="00766D7F">
      <w:pPr>
        <w:jc w:val="both"/>
        <w:rPr>
          <w:rFonts w:ascii="Times New Roman" w:hAnsi="Times New Roman" w:cs="Times New Roman"/>
          <w:noProof/>
          <w:sz w:val="24"/>
          <w:szCs w:val="24"/>
          <w:highlight w:val="green"/>
        </w:rPr>
      </w:pPr>
      <w:r>
        <w:rPr>
          <w:rFonts w:ascii="Times New Roman" w:hAnsi="Times New Roman"/>
          <w:noProof/>
          <w:sz w:val="24"/>
        </w:rPr>
        <w:t>S’appuyant sur l’objectif du livre blanc «Préparation de la défense européenne à l’horizon 2030»</w:t>
      </w:r>
      <w:r>
        <w:rPr>
          <w:rStyle w:val="FootnoteReference"/>
          <w:rFonts w:ascii="Times New Roman" w:hAnsi="Times New Roman" w:cs="Times New Roman"/>
          <w:noProof/>
          <w:sz w:val="24"/>
          <w:szCs w:val="24"/>
        </w:rPr>
        <w:footnoteReference w:id="39"/>
      </w:r>
      <w:r>
        <w:rPr>
          <w:rFonts w:ascii="Times New Roman" w:hAnsi="Times New Roman"/>
          <w:noProof/>
          <w:sz w:val="24"/>
        </w:rPr>
        <w:t xml:space="preserve">, la Commission a déjà mis en place, en 2025, un </w:t>
      </w:r>
      <w:r>
        <w:rPr>
          <w:rFonts w:ascii="Times New Roman" w:hAnsi="Times New Roman"/>
          <w:b/>
          <w:noProof/>
          <w:sz w:val="24"/>
        </w:rPr>
        <w:t>groupe de travail du comité de sécurité sanitaire</w:t>
      </w:r>
      <w:r>
        <w:rPr>
          <w:rStyle w:val="FootnoteReference"/>
          <w:rFonts w:ascii="Times New Roman" w:hAnsi="Times New Roman" w:cs="Times New Roman"/>
          <w:b/>
          <w:bCs/>
          <w:noProof/>
          <w:sz w:val="24"/>
          <w:szCs w:val="24"/>
        </w:rPr>
        <w:footnoteReference w:id="40"/>
      </w:r>
      <w:r>
        <w:rPr>
          <w:rFonts w:ascii="Times New Roman" w:hAnsi="Times New Roman"/>
          <w:b/>
          <w:noProof/>
          <w:sz w:val="24"/>
        </w:rPr>
        <w:t xml:space="preserve"> sur la coopération civilo-militaire pour la préparation en matière de sécurité sanitaire</w:t>
      </w:r>
      <w:r>
        <w:rPr>
          <w:rFonts w:ascii="Times New Roman" w:hAnsi="Times New Roman"/>
          <w:noProof/>
          <w:sz w:val="24"/>
        </w:rPr>
        <w:t xml:space="preserve"> afin de soutenir la collaboration</w:t>
      </w:r>
      <w:r>
        <w:rPr>
          <w:rFonts w:ascii="Times New Roman" w:hAnsi="Times New Roman"/>
          <w:b/>
          <w:noProof/>
          <w:sz w:val="24"/>
        </w:rPr>
        <w:t xml:space="preserve"> </w:t>
      </w:r>
      <w:r>
        <w:rPr>
          <w:rFonts w:ascii="Times New Roman" w:hAnsi="Times New Roman"/>
          <w:noProof/>
          <w:sz w:val="24"/>
        </w:rPr>
        <w:t>entre les autorités civiles et militaires des États membres en matière de sécurité sanitaire, qui sert aussi de plateforme pour discuter des contre-mesures médicales, parallèlement à des questions plus larges de coopération dans le domaine de la sécurité sanitaire. Les projets «COUNTERACT» et «RESILIENCE» de la CSP, financés par le Fonds européen de la défense, sont des exemples d’initiatives couronnées de succès qui ont favorisé la coopération civilo-militaire pour la mise au point de contre-mesures médicales.</w:t>
      </w:r>
    </w:p>
    <w:p w14:paraId="7849A567" w14:textId="4B6D0218" w:rsidR="00FF105E" w:rsidRDefault="00277AEF" w:rsidP="00BC38CC">
      <w:pPr>
        <w:jc w:val="both"/>
        <w:rPr>
          <w:rFonts w:ascii="Times New Roman" w:hAnsi="Times New Roman" w:cs="Times New Roman"/>
          <w:noProof/>
          <w:sz w:val="24"/>
          <w:szCs w:val="24"/>
        </w:rPr>
      </w:pPr>
      <w:r>
        <w:rPr>
          <w:rFonts w:ascii="Times New Roman" w:hAnsi="Times New Roman"/>
          <w:noProof/>
          <w:sz w:val="24"/>
        </w:rPr>
        <w:t xml:space="preserve">Afin d’améliorer la préparation aux menaces CBRN et aux menaces liées aux conflits armés nécessitant des contre-mesures médicales, la Commission élaborera en 2026 une </w:t>
      </w:r>
      <w:r>
        <w:rPr>
          <w:rFonts w:ascii="Times New Roman" w:hAnsi="Times New Roman"/>
          <w:b/>
          <w:noProof/>
          <w:sz w:val="24"/>
        </w:rPr>
        <w:t>initiative Medifence</w:t>
      </w:r>
      <w:r>
        <w:rPr>
          <w:rFonts w:ascii="Times New Roman" w:hAnsi="Times New Roman"/>
          <w:noProof/>
          <w:sz w:val="24"/>
        </w:rPr>
        <w:t xml:space="preserve"> visant à assurer la disponibilité des contre-mesures médicales pertinentes pour ces menaces et l’accès à celles-ci, de la détection à la première intervention. Cette initiative s’appuiera sur les actions en cours dans le cadre du programme «L’UE pour la santé» et du Fonds européen de la défense, ainsi que sur les initiatives de l’Agence européenne de défense et des États membres, et contribuera à consolider les synergies entre la R &amp; D civile et la R &amp; D militaire. Elle comprendra plusieurs actions, notamment: </w:t>
      </w:r>
    </w:p>
    <w:p w14:paraId="174F9863" w14:textId="118F39D3" w:rsidR="00FF105E" w:rsidRDefault="00DE6B6A" w:rsidP="00F961A8">
      <w:pPr>
        <w:pStyle w:val="ListParagraph"/>
        <w:numPr>
          <w:ilvl w:val="0"/>
          <w:numId w:val="14"/>
        </w:numPr>
        <w:spacing w:before="240" w:after="240"/>
        <w:jc w:val="both"/>
        <w:rPr>
          <w:rFonts w:ascii="Times New Roman" w:hAnsi="Times New Roman" w:cs="Times New Roman"/>
          <w:noProof/>
          <w:sz w:val="24"/>
          <w:szCs w:val="24"/>
        </w:rPr>
      </w:pPr>
      <w:r>
        <w:rPr>
          <w:rFonts w:ascii="Times New Roman" w:hAnsi="Times New Roman"/>
          <w:noProof/>
          <w:sz w:val="24"/>
        </w:rPr>
        <w:t xml:space="preserve">l’établissement d’une </w:t>
      </w:r>
      <w:r>
        <w:rPr>
          <w:rFonts w:ascii="Times New Roman" w:hAnsi="Times New Roman"/>
          <w:b/>
          <w:noProof/>
          <w:sz w:val="24"/>
        </w:rPr>
        <w:t>liste restreinte de contre-mesures médicales essentielles</w:t>
      </w:r>
      <w:r>
        <w:rPr>
          <w:rFonts w:ascii="Times New Roman" w:hAnsi="Times New Roman"/>
          <w:noProof/>
          <w:sz w:val="24"/>
        </w:rPr>
        <w:t xml:space="preserve"> pour les situations d’</w:t>
      </w:r>
      <w:r>
        <w:rPr>
          <w:rFonts w:ascii="Times New Roman" w:hAnsi="Times New Roman"/>
          <w:b/>
          <w:noProof/>
          <w:sz w:val="24"/>
        </w:rPr>
        <w:t>agression armée</w:t>
      </w:r>
      <w:r>
        <w:rPr>
          <w:rFonts w:ascii="Times New Roman" w:hAnsi="Times New Roman"/>
          <w:noProof/>
          <w:sz w:val="24"/>
        </w:rPr>
        <w:t xml:space="preserve"> et la guerre hybride, mais aussi pour contribuer à établir un ordre de priorité entre les évaluations de la vulnérabilité;</w:t>
      </w:r>
    </w:p>
    <w:p w14:paraId="77A59B17" w14:textId="0C47891C" w:rsidR="00FF105E" w:rsidRDefault="00DE6B6A" w:rsidP="00F961A8">
      <w:pPr>
        <w:pStyle w:val="ListParagraph"/>
        <w:numPr>
          <w:ilvl w:val="0"/>
          <w:numId w:val="14"/>
        </w:numPr>
        <w:spacing w:before="240" w:after="240"/>
        <w:jc w:val="both"/>
        <w:rPr>
          <w:rFonts w:ascii="Times New Roman" w:hAnsi="Times New Roman" w:cs="Times New Roman"/>
          <w:noProof/>
          <w:sz w:val="24"/>
          <w:szCs w:val="24"/>
        </w:rPr>
      </w:pPr>
      <w:r>
        <w:rPr>
          <w:rFonts w:ascii="Times New Roman" w:hAnsi="Times New Roman"/>
          <w:noProof/>
          <w:sz w:val="24"/>
        </w:rPr>
        <w:t>le soutien à la mise au point d’</w:t>
      </w:r>
      <w:r>
        <w:rPr>
          <w:rFonts w:ascii="Times New Roman" w:hAnsi="Times New Roman"/>
          <w:b/>
          <w:noProof/>
          <w:sz w:val="24"/>
        </w:rPr>
        <w:t>outils</w:t>
      </w:r>
      <w:r>
        <w:rPr>
          <w:rFonts w:ascii="Times New Roman" w:hAnsi="Times New Roman"/>
          <w:noProof/>
          <w:sz w:val="24"/>
        </w:rPr>
        <w:t xml:space="preserve"> tels que des biocapteurs, des outils moléculaires, métagénomiques et spectroscopiques, afin d’améliorer la </w:t>
      </w:r>
      <w:r>
        <w:rPr>
          <w:rFonts w:ascii="Times New Roman" w:hAnsi="Times New Roman"/>
          <w:b/>
          <w:noProof/>
          <w:sz w:val="24"/>
        </w:rPr>
        <w:t>détection</w:t>
      </w:r>
      <w:r>
        <w:rPr>
          <w:rFonts w:ascii="Times New Roman" w:hAnsi="Times New Roman"/>
          <w:noProof/>
          <w:sz w:val="24"/>
        </w:rPr>
        <w:t xml:space="preserve">, l’identification et le diagnostic </w:t>
      </w:r>
      <w:r>
        <w:rPr>
          <w:rFonts w:ascii="Times New Roman" w:hAnsi="Times New Roman"/>
          <w:b/>
          <w:bCs/>
          <w:noProof/>
          <w:sz w:val="24"/>
        </w:rPr>
        <w:t>rapides</w:t>
      </w:r>
      <w:r>
        <w:rPr>
          <w:rFonts w:ascii="Times New Roman" w:hAnsi="Times New Roman"/>
          <w:noProof/>
          <w:sz w:val="24"/>
        </w:rPr>
        <w:t xml:space="preserve"> des agents CBRN connus et nouveaux;</w:t>
      </w:r>
    </w:p>
    <w:p w14:paraId="41D89E5D" w14:textId="761916B2" w:rsidR="00FF105E" w:rsidRDefault="00DE6B6A" w:rsidP="00F961A8">
      <w:pPr>
        <w:pStyle w:val="ListParagraph"/>
        <w:numPr>
          <w:ilvl w:val="0"/>
          <w:numId w:val="14"/>
        </w:numPr>
        <w:spacing w:before="240" w:after="240"/>
        <w:jc w:val="both"/>
        <w:rPr>
          <w:rFonts w:ascii="Times New Roman" w:hAnsi="Times New Roman" w:cs="Times New Roman"/>
          <w:noProof/>
          <w:sz w:val="24"/>
          <w:szCs w:val="24"/>
        </w:rPr>
      </w:pPr>
      <w:r>
        <w:rPr>
          <w:rFonts w:ascii="Times New Roman" w:hAnsi="Times New Roman"/>
          <w:noProof/>
          <w:sz w:val="24"/>
        </w:rPr>
        <w:t xml:space="preserve">le soutien au développement de </w:t>
      </w:r>
      <w:r>
        <w:rPr>
          <w:rFonts w:ascii="Times New Roman" w:hAnsi="Times New Roman"/>
          <w:b/>
          <w:noProof/>
          <w:sz w:val="24"/>
        </w:rPr>
        <w:t>plateformes de découverte pharmaceutique pour concevoir des antitoxines</w:t>
      </w:r>
      <w:r>
        <w:rPr>
          <w:rFonts w:ascii="Times New Roman" w:hAnsi="Times New Roman"/>
          <w:noProof/>
          <w:sz w:val="24"/>
        </w:rPr>
        <w:t>, en particulier pour les nouveaux agents biologiques et chimiques et pour les agents qui ne disposent pas actuellement de possibilités de traitement efficaces;</w:t>
      </w:r>
    </w:p>
    <w:p w14:paraId="6C463433" w14:textId="33E3150A" w:rsidR="00FF105E" w:rsidRPr="007A0587" w:rsidRDefault="00FF105E" w:rsidP="00291BEA">
      <w:pPr>
        <w:pStyle w:val="ListParagraph"/>
        <w:numPr>
          <w:ilvl w:val="0"/>
          <w:numId w:val="14"/>
        </w:numPr>
        <w:spacing w:before="240" w:after="240"/>
        <w:jc w:val="both"/>
        <w:rPr>
          <w:rFonts w:ascii="Times New Roman" w:hAnsi="Times New Roman" w:cs="Times New Roman"/>
          <w:noProof/>
          <w:sz w:val="24"/>
          <w:szCs w:val="24"/>
        </w:rPr>
      </w:pPr>
      <w:r>
        <w:rPr>
          <w:rFonts w:ascii="Times New Roman" w:hAnsi="Times New Roman"/>
          <w:noProof/>
          <w:sz w:val="24"/>
        </w:rPr>
        <w:t>l’</w:t>
      </w:r>
      <w:r>
        <w:rPr>
          <w:rFonts w:ascii="Times New Roman" w:hAnsi="Times New Roman"/>
          <w:b/>
          <w:noProof/>
          <w:sz w:val="24"/>
        </w:rPr>
        <w:t>acquisition</w:t>
      </w:r>
      <w:r>
        <w:rPr>
          <w:rFonts w:ascii="Times New Roman" w:hAnsi="Times New Roman"/>
          <w:noProof/>
          <w:sz w:val="24"/>
        </w:rPr>
        <w:t xml:space="preserve"> de contre-mesures médicales présentant un potentiel civilo-militaire, y compris par l’intermédiaire de la passation conjointe de marchés à l’échelle de l’UE et de la constitution de stocks au niveau national ou de l’UE, notamment sous la forme de kits, afin de garantir un accès plus rapide;</w:t>
      </w:r>
    </w:p>
    <w:p w14:paraId="529FAE0F" w14:textId="497B226C" w:rsidR="00FF105E" w:rsidRPr="00290660" w:rsidRDefault="000E3F3D" w:rsidP="00BC38CC">
      <w:pPr>
        <w:pStyle w:val="ListParagraph"/>
        <w:numPr>
          <w:ilvl w:val="0"/>
          <w:numId w:val="14"/>
        </w:numPr>
        <w:ind w:left="714" w:hanging="357"/>
        <w:jc w:val="both"/>
        <w:rPr>
          <w:rFonts w:ascii="Times New Roman" w:hAnsi="Times New Roman" w:cs="Times New Roman"/>
          <w:noProof/>
          <w:sz w:val="24"/>
          <w:szCs w:val="24"/>
        </w:rPr>
      </w:pPr>
      <w:r>
        <w:rPr>
          <w:rFonts w:ascii="Times New Roman" w:hAnsi="Times New Roman"/>
          <w:noProof/>
          <w:sz w:val="24"/>
        </w:rPr>
        <w:t xml:space="preserve">le soutien à l’accès à des produits avancés pour le traitement des plaies, à des équipements de protection individuelle à l’épreuve des pandémies, tels que des respirateurs et des tenues réutilisables hautement performants, ainsi qu’à des dispositifs médicaux. Cela permettra d’améliorer l’efficacité de la réaction aux incidents CBRN et aux catastrophes entraînant un grand nombre de victimes. </w:t>
      </w:r>
    </w:p>
    <w:p w14:paraId="63A3B487" w14:textId="1EA207C3" w:rsidR="00277AEF" w:rsidRPr="00290660" w:rsidRDefault="00FF105E" w:rsidP="00766D7F">
      <w:pPr>
        <w:jc w:val="both"/>
        <w:rPr>
          <w:noProof/>
        </w:rPr>
      </w:pPr>
      <w:r>
        <w:rPr>
          <w:rFonts w:ascii="Times New Roman" w:hAnsi="Times New Roman"/>
          <w:noProof/>
          <w:sz w:val="24"/>
        </w:rPr>
        <w:t xml:space="preserve">Cette initiative renforcera les capacités de préparation et de réaction aux menaces CBRN et aux conflits armés, tant pour le personnel civil que pour le personnel militaire. Elle complétera d’autres initiatives à élaborer dans le cadre d’un nouveau plan d’action pour la préparation et la réaction aux menaces CBRN et mobilisera des synergies avec d’éventuels projets pertinents à mettre en place dans le cadre du prochain programme pour l’industrie européenne de la défense. </w:t>
      </w:r>
    </w:p>
    <w:p w14:paraId="39B35D9E" w14:textId="24D5D9A1" w:rsidR="00AA448A" w:rsidRDefault="005B272B" w:rsidP="00BC38CC">
      <w:pPr>
        <w:jc w:val="both"/>
        <w:rPr>
          <w:rFonts w:ascii="Times New Roman" w:hAnsi="Times New Roman" w:cs="Times New Roman"/>
          <w:noProof/>
          <w:sz w:val="24"/>
          <w:szCs w:val="24"/>
        </w:rPr>
      </w:pPr>
      <w:r>
        <w:rPr>
          <w:rFonts w:ascii="Times New Roman" w:hAnsi="Times New Roman"/>
          <w:noProof/>
          <w:sz w:val="24"/>
        </w:rPr>
        <w:t xml:space="preserve">En outre, dans le contexte du dialogue structuré UE-OTAN sur la résilience, la Commission, le SEAE et l’état-major des États membres promouvront la complémentarité de la coopération civilo-militaire de l’UE dans les situations d’urgence sanitaire, y compris avec l’OTAN. La coopération sera aussi renforcée pour les exercices tels que les exercices parallèles et coordonnés UE-OTAN (PACE), qui couvrent les scénarios d’épidémie et les catastrophes entraînant un grand nombre de victimes. La Commission continuera également à dialoguer avec le </w:t>
      </w:r>
      <w:r>
        <w:rPr>
          <w:rFonts w:ascii="Times New Roman" w:hAnsi="Times New Roman"/>
          <w:b/>
          <w:noProof/>
          <w:sz w:val="24"/>
        </w:rPr>
        <w:t>groupe mixte dans le domaine de la santé</w:t>
      </w:r>
      <w:r>
        <w:rPr>
          <w:rFonts w:ascii="Times New Roman" w:hAnsi="Times New Roman"/>
          <w:noProof/>
          <w:sz w:val="24"/>
        </w:rPr>
        <w:t xml:space="preserve"> et le </w:t>
      </w:r>
      <w:r>
        <w:rPr>
          <w:rFonts w:ascii="Times New Roman" w:hAnsi="Times New Roman"/>
          <w:b/>
          <w:noProof/>
          <w:sz w:val="24"/>
        </w:rPr>
        <w:t>comité des chefs des services de santé militaires de l’OTAN</w:t>
      </w:r>
      <w:r>
        <w:rPr>
          <w:rFonts w:ascii="Times New Roman" w:hAnsi="Times New Roman"/>
          <w:noProof/>
          <w:sz w:val="24"/>
        </w:rPr>
        <w:t xml:space="preserve"> afin de renforcer éventuellement la coopération opérationnelle, en mettant entre autres l’accent sur la préparation aux catastrophes entraînant un grand nombre de victimes et sur la logistique médicale. </w:t>
      </w:r>
    </w:p>
    <w:p w14:paraId="713DD1D0" w14:textId="222CB246" w:rsidR="007663E4" w:rsidRPr="007663E4" w:rsidRDefault="00B44F30" w:rsidP="007663E4">
      <w:pPr>
        <w:pStyle w:val="Heading2"/>
        <w:numPr>
          <w:ilvl w:val="0"/>
          <w:numId w:val="0"/>
        </w:numPr>
        <w:ind w:left="1068" w:hanging="360"/>
        <w:rPr>
          <w:noProof/>
        </w:rPr>
      </w:pPr>
      <w:r>
        <w:rPr>
          <w:noProof/>
        </w:rPr>
        <w:t xml:space="preserve">5.3 Collaboration public-privé </w:t>
      </w:r>
    </w:p>
    <w:p w14:paraId="6BA71085" w14:textId="596E741F" w:rsidR="007663E4" w:rsidRPr="007663E4" w:rsidRDefault="007663E4" w:rsidP="007663E4">
      <w:pPr>
        <w:jc w:val="both"/>
        <w:rPr>
          <w:rFonts w:ascii="Times New Roman" w:hAnsi="Times New Roman" w:cs="Times New Roman"/>
          <w:noProof/>
          <w:sz w:val="24"/>
          <w:szCs w:val="24"/>
        </w:rPr>
      </w:pPr>
      <w:r>
        <w:rPr>
          <w:rFonts w:ascii="Times New Roman" w:hAnsi="Times New Roman"/>
          <w:noProof/>
          <w:sz w:val="24"/>
        </w:rPr>
        <w:t xml:space="preserve">La </w:t>
      </w:r>
      <w:r>
        <w:rPr>
          <w:rFonts w:ascii="Times New Roman" w:hAnsi="Times New Roman"/>
          <w:b/>
          <w:noProof/>
          <w:sz w:val="24"/>
        </w:rPr>
        <w:t>collaboration entre les secteurs privé et public</w:t>
      </w:r>
      <w:r>
        <w:rPr>
          <w:rFonts w:ascii="Times New Roman" w:hAnsi="Times New Roman"/>
          <w:noProof/>
          <w:sz w:val="24"/>
        </w:rPr>
        <w:t xml:space="preserve"> est essentielle pour améliorer la mise au point, la disponibilité des contre-mesures médicales et l’accès à celles-ci, dans les périodes de préparation comme de crise. Elle est cruciale pour utiliser au mieux l’ensemble des ressources, des compétences et de l’innovation de tous les secteurs concernés par le cycle de vie du développement des contre-mesures médicales. </w:t>
      </w:r>
    </w:p>
    <w:p w14:paraId="0331B72E" w14:textId="044931AF" w:rsidR="007663E4" w:rsidRPr="007663E4" w:rsidRDefault="007663E4" w:rsidP="007663E4">
      <w:pPr>
        <w:jc w:val="both"/>
        <w:rPr>
          <w:rFonts w:ascii="Times New Roman" w:hAnsi="Times New Roman" w:cs="Times New Roman"/>
          <w:noProof/>
          <w:sz w:val="24"/>
          <w:szCs w:val="24"/>
        </w:rPr>
      </w:pPr>
      <w:r>
        <w:rPr>
          <w:rFonts w:ascii="Times New Roman" w:hAnsi="Times New Roman"/>
          <w:noProof/>
          <w:sz w:val="24"/>
        </w:rPr>
        <w:t>Aujourd’hui, la Commission s’appuie sur un réseau unique d’acteurs publics et privés participant à la mise au point et à la fourniture de contre-mesures médicales. La participation des États membres et des parties prenantes a lieu régulièrement dans le cadre de différentes enceintes telles que le conseil de l’HERA, son forum conjoint de coopération industrielle, son forum de la société civile, le réseau «Une seule santé» sur la résistance aux antimicrobiens</w:t>
      </w:r>
      <w:r>
        <w:rPr>
          <w:rStyle w:val="FootnoteReference"/>
          <w:rFonts w:ascii="Times New Roman" w:hAnsi="Times New Roman" w:cs="Times New Roman"/>
          <w:noProof/>
          <w:sz w:val="24"/>
          <w:szCs w:val="24"/>
        </w:rPr>
        <w:footnoteReference w:id="41"/>
      </w:r>
      <w:r>
        <w:rPr>
          <w:rFonts w:ascii="Times New Roman" w:hAnsi="Times New Roman"/>
          <w:noProof/>
          <w:sz w:val="24"/>
        </w:rPr>
        <w:t xml:space="preserve"> ou des événements tels que les Journées de l’industrie de l’HERA. </w:t>
      </w:r>
    </w:p>
    <w:p w14:paraId="140595C8" w14:textId="5ECAD495" w:rsidR="007663E4" w:rsidRPr="002F362F" w:rsidRDefault="007663E4" w:rsidP="429525D5">
      <w:pPr>
        <w:jc w:val="both"/>
        <w:rPr>
          <w:rFonts w:ascii="Times New Roman" w:hAnsi="Times New Roman" w:cs="Times New Roman"/>
          <w:noProof/>
          <w:sz w:val="24"/>
          <w:szCs w:val="24"/>
        </w:rPr>
      </w:pPr>
      <w:r>
        <w:rPr>
          <w:rFonts w:ascii="Times New Roman" w:hAnsi="Times New Roman"/>
          <w:noProof/>
          <w:sz w:val="24"/>
        </w:rPr>
        <w:t xml:space="preserve">Conformément à la stratégie pour une union de la préparation, la Commission renforcera la collaboration entre le secteur public et le secteur privé dans les enceintes existantes afin de mettre au point des solutions qui améliorent la disponibilité des contre-mesures médicales et la sécurité de leur approvisionnement, dans le plein respect du droit de la concurrence de l’UE. Comme annoncé dans la stratégie pour une union de la préparation, la Commission et les parties prenantes élaboreront également des </w:t>
      </w:r>
      <w:r>
        <w:rPr>
          <w:rFonts w:ascii="Times New Roman" w:hAnsi="Times New Roman"/>
          <w:b/>
          <w:noProof/>
          <w:sz w:val="24"/>
        </w:rPr>
        <w:t>protocoles d’urgence public-privé</w:t>
      </w:r>
      <w:r>
        <w:rPr>
          <w:rFonts w:ascii="Times New Roman" w:hAnsi="Times New Roman"/>
          <w:noProof/>
          <w:sz w:val="24"/>
        </w:rPr>
        <w:t xml:space="preserve"> afin d’assurer la mise au point et la disponibilité rapides de contre-mesures médicales en cas d’urgence. La Commission mobilisera en outre des outils tels qu’ATHINA pour un partage sécurisé et normalisé des données entre les secteurs public et privé afin de renforcer la transparence et d’accélérer la mise au point de contre-mesures médicales.</w:t>
      </w:r>
    </w:p>
    <w:p w14:paraId="4C854DBA" w14:textId="45E2EEC0" w:rsidR="0099751A" w:rsidRPr="007E45B5" w:rsidRDefault="00BE1274" w:rsidP="00B44F30">
      <w:pPr>
        <w:pStyle w:val="Heading1"/>
        <w:numPr>
          <w:ilvl w:val="0"/>
          <w:numId w:val="30"/>
        </w:numPr>
        <w:rPr>
          <w:rFonts w:ascii="Times New Roman Bold" w:hAnsi="Times New Roman Bold"/>
          <w:caps/>
          <w:noProof/>
          <w:u w:val="single"/>
        </w:rPr>
      </w:pPr>
      <w:r>
        <w:rPr>
          <w:rFonts w:ascii="Times New Roman Bold" w:hAnsi="Times New Roman Bold"/>
          <w:noProof/>
          <w:u w:val="single"/>
        </w:rPr>
        <w:t>SENSIBILISATION DE LA POPULATION, PARTICIPATION DES CITOYENS ET COMPÉTENCES LIÉES AUX CONTRE-MESURES MÉDICALES</w:t>
      </w:r>
    </w:p>
    <w:p w14:paraId="3A86A4D0" w14:textId="2372A0BC" w:rsidR="004E5416" w:rsidRPr="007E45B5" w:rsidRDefault="00B44F30" w:rsidP="00766D7F">
      <w:pPr>
        <w:pStyle w:val="Heading2"/>
        <w:numPr>
          <w:ilvl w:val="0"/>
          <w:numId w:val="0"/>
        </w:numPr>
        <w:ind w:left="1068" w:hanging="360"/>
        <w:rPr>
          <w:noProof/>
        </w:rPr>
      </w:pPr>
      <w:r>
        <w:rPr>
          <w:noProof/>
        </w:rPr>
        <w:t>6.1 Main-d’œuvre qualifiée</w:t>
      </w:r>
    </w:p>
    <w:p w14:paraId="1BC9719A" w14:textId="30C92097" w:rsidR="00944D6A" w:rsidRDefault="00217E17" w:rsidP="00BC38CC">
      <w:pPr>
        <w:shd w:val="clear" w:color="auto" w:fill="FFFFFF" w:themeFill="background1"/>
        <w:jc w:val="both"/>
        <w:rPr>
          <w:rFonts w:ascii="Times New Roman" w:hAnsi="Times New Roman" w:cs="Times New Roman"/>
          <w:noProof/>
          <w:sz w:val="24"/>
          <w:szCs w:val="24"/>
        </w:rPr>
      </w:pPr>
      <w:r>
        <w:rPr>
          <w:rFonts w:ascii="Times New Roman" w:hAnsi="Times New Roman"/>
          <w:noProof/>
          <w:sz w:val="24"/>
        </w:rPr>
        <w:t xml:space="preserve">L’Europe doit être l’endroit où les contre-mesures médicales d’aujourd’hui et de demain sont inventées, mises au point et fabriquées. Pour y parvenir, l’UE doit encore renforcer sa réserve de professionnels de la santé et des soins talentueux et diversifiés, allant des chercheurs et des fabricants aux médecins et aux soignants. Ces professionnels doivent être dotés des compétences et des connaissances nécessaires pour répondre aux besoins actuels et futurs relatifs à la santé publique ainsi que pour renforcer nos capacités de préparation et de réaction en matière de contre-mesures médicales. </w:t>
      </w:r>
    </w:p>
    <w:p w14:paraId="64C6ACE7" w14:textId="0FFC5E06" w:rsidR="004E5416" w:rsidRDefault="00217E17" w:rsidP="00BC38CC">
      <w:pPr>
        <w:shd w:val="clear" w:color="auto" w:fill="FFFFFF" w:themeFill="background1"/>
        <w:jc w:val="both"/>
        <w:rPr>
          <w:rFonts w:ascii="Times New Roman" w:hAnsi="Times New Roman" w:cs="Times New Roman"/>
          <w:noProof/>
          <w:sz w:val="24"/>
          <w:szCs w:val="24"/>
        </w:rPr>
      </w:pPr>
      <w:r>
        <w:rPr>
          <w:rFonts w:ascii="Times New Roman" w:hAnsi="Times New Roman"/>
          <w:noProof/>
          <w:sz w:val="24"/>
        </w:rPr>
        <w:t>Dans le cadre de l’union des compétences</w:t>
      </w:r>
      <w:r>
        <w:rPr>
          <w:rStyle w:val="FootnoteReference"/>
          <w:rFonts w:ascii="Times New Roman" w:hAnsi="Times New Roman" w:cs="Times New Roman"/>
          <w:noProof/>
          <w:sz w:val="24"/>
          <w:szCs w:val="24"/>
          <w:lang w:val="en-IE"/>
        </w:rPr>
        <w:footnoteReference w:id="42"/>
      </w:r>
      <w:r>
        <w:rPr>
          <w:rFonts w:ascii="Times New Roman" w:hAnsi="Times New Roman"/>
          <w:noProof/>
          <w:sz w:val="24"/>
        </w:rPr>
        <w:t xml:space="preserve">, la Commission continuera d’investir pour renforcer nos talents nationaux et notre main-d’œuvre qualifiée et pour attirer les chercheurs et innovateurs de premier plan dans le monde. Pour soutenir un développement, une production et une fourniture de contre-mesures médicales de premier plan et à l’épreuve du temps au niveau mondial, l’UE doit investir dans des emplois de qualité dans ce domaine, y compris dans des mesures visant à améliorer les normes de perfectionnement professionnel continu et des orientations pour la main-d’œuvre, et faciliter l’accès aux possibilités d’apprentissage. Il est tout aussi important de créer dans le domaine des contre-mesures médicales une communauté de chercheurs et de professionnels qui soient capables d’adapter les interventions sanitaires pour répondre aux différents besoins des groupes et des communautés. </w:t>
      </w:r>
    </w:p>
    <w:p w14:paraId="25B9CD48" w14:textId="1F6AFE3C" w:rsidR="007E45B5" w:rsidRDefault="00B44F30" w:rsidP="00766D7F">
      <w:pPr>
        <w:pStyle w:val="Heading2"/>
        <w:numPr>
          <w:ilvl w:val="0"/>
          <w:numId w:val="0"/>
        </w:numPr>
        <w:ind w:left="1068" w:hanging="360"/>
        <w:rPr>
          <w:noProof/>
        </w:rPr>
      </w:pPr>
      <w:r>
        <w:rPr>
          <w:noProof/>
        </w:rPr>
        <w:t>6.2 Équipes résilientes d’intervention en matière de santé</w:t>
      </w:r>
    </w:p>
    <w:p w14:paraId="0C2DB4AE" w14:textId="44257405" w:rsidR="007E45B5" w:rsidRPr="007E45B5" w:rsidRDefault="007E45B5" w:rsidP="00BC38CC">
      <w:pPr>
        <w:shd w:val="clear" w:color="auto" w:fill="FFFFFF" w:themeFill="background1"/>
        <w:jc w:val="both"/>
        <w:rPr>
          <w:rFonts w:ascii="Times New Roman" w:hAnsi="Times New Roman" w:cs="Times New Roman"/>
          <w:noProof/>
          <w:sz w:val="24"/>
          <w:szCs w:val="24"/>
        </w:rPr>
      </w:pPr>
      <w:r>
        <w:rPr>
          <w:rFonts w:ascii="Times New Roman" w:hAnsi="Times New Roman"/>
          <w:noProof/>
          <w:sz w:val="24"/>
        </w:rPr>
        <w:t xml:space="preserve">Le déploiement efficace de contre-mesures médicales nécessite également du personnel de santé fort et résilient permettant de garantir la détection rapide des épidémies et l’administration de contre-mesures. S’appuyant sur des initiatives telles que les équipes médicales d’urgence de l’ECDC dans le cadre de rescEU, qui soutiennent la réaction en cas d’urgence sanitaire dans les pays touchés, la Commission intensifie le renforcement des capacités en matière de préparation aux situations d’urgence sanitaire par la formation et l’échange de bonnes pratiques, y compris en ce qui concerne la constitution de stocks et la passation conjointe de marchés. </w:t>
      </w:r>
    </w:p>
    <w:p w14:paraId="1F0CA5D1" w14:textId="70B69B4D" w:rsidR="007F76AB" w:rsidRPr="00DD572C" w:rsidRDefault="00B44F30" w:rsidP="00766D7F">
      <w:pPr>
        <w:pStyle w:val="Heading2"/>
        <w:numPr>
          <w:ilvl w:val="0"/>
          <w:numId w:val="0"/>
        </w:numPr>
        <w:ind w:left="1068" w:hanging="360"/>
        <w:rPr>
          <w:noProof/>
          <w:highlight w:val="green"/>
        </w:rPr>
      </w:pPr>
      <w:r>
        <w:rPr>
          <w:noProof/>
        </w:rPr>
        <w:t>6.3 Préparation, sensibilisation et participation des citoyens en matière de santé</w:t>
      </w:r>
    </w:p>
    <w:p w14:paraId="19A6F974" w14:textId="6EBB86F0" w:rsidR="00944D6A" w:rsidRDefault="5049D536" w:rsidP="00766D7F">
      <w:pPr>
        <w:jc w:val="both"/>
        <w:rPr>
          <w:rFonts w:ascii="Times New Roman" w:hAnsi="Times New Roman" w:cs="Times New Roman"/>
          <w:noProof/>
          <w:sz w:val="24"/>
          <w:szCs w:val="24"/>
        </w:rPr>
      </w:pPr>
      <w:r>
        <w:rPr>
          <w:rFonts w:ascii="Times New Roman" w:hAnsi="Times New Roman"/>
          <w:noProof/>
          <w:sz w:val="24"/>
        </w:rPr>
        <w:t xml:space="preserve">La préparation aux menaces pour la santé relève de la responsabilité collective et doit reposer sur une approche fondée sur des données probantes, ancrée dans la science et soutenue par celle-ci. Il est essentiel de comprendre les réactions des citoyens aux situations d’urgence et d’éliminer les obstacles comportementaux susceptibles d’entraver l’efficacité de ces réactions. Une communication et une information efficaces et inclusives sur les risques et les situations d’urgence sont cruciales pour renforcer la confiance des citoyens et des communautés en améliorant la sensibilisation, l’engagement et l’accès à des informations de qualité fondées sur des données probantes. Il est capital de garantir l’accessibilité des communications et des informations d’urgence pour que les personnes handicapées puissent demander et recevoir de l’aide dans les situations d’urgence. </w:t>
      </w:r>
    </w:p>
    <w:p w14:paraId="09E805D4" w14:textId="01D07F19" w:rsidR="00944D6A" w:rsidRDefault="7CAEC717" w:rsidP="00766D7F">
      <w:pPr>
        <w:jc w:val="both"/>
        <w:rPr>
          <w:rFonts w:ascii="Times New Roman" w:hAnsi="Times New Roman" w:cs="Times New Roman"/>
          <w:noProof/>
          <w:sz w:val="24"/>
          <w:szCs w:val="24"/>
        </w:rPr>
      </w:pPr>
      <w:r>
        <w:rPr>
          <w:rFonts w:ascii="Times New Roman" w:hAnsi="Times New Roman"/>
          <w:noProof/>
          <w:sz w:val="24"/>
        </w:rPr>
        <w:t>Afin de rétablir la confiance dans les contre-mesures médicales telles que les vaccins, l’UE élaborera des schémas directeurs assortis de recommandations pour leur utilisation dans des situations critiques et luttera rigoureusement contre la mésinformation et la désinformation en collaborant avec les plateformes en ligne, en renforçant les programmes de maîtrise des outils numériques de santé et en mettant en œuvre des mécanismes de vérification des faits.</w:t>
      </w:r>
      <w:bookmarkStart w:id="13" w:name="_Hlk201218885"/>
      <w:r>
        <w:rPr>
          <w:rFonts w:ascii="Times New Roman" w:hAnsi="Times New Roman"/>
          <w:noProof/>
          <w:sz w:val="24"/>
        </w:rPr>
        <w:t xml:space="preserve"> En cas d’urgence sanitaire grave, la propagation délibérée de fausses informations et la désinformation, y compris la manipulation coordonnée et la dénaturation des faits scientifiques à des fins politiques ou autres, coûtent des vies et doivent être absolument évitées ou combattues. À cet effet, la Commission s’appuie sur des données probantes pour construire une communication efficace sur les risques et sur les facteurs susceptibles de renforcer la résilience du public à l’égard des informations fausses ou trompeuses dans des situations d’urgence</w:t>
      </w:r>
      <w:r>
        <w:rPr>
          <w:rStyle w:val="FootnoteReference"/>
          <w:rFonts w:ascii="Times New Roman" w:hAnsi="Times New Roman" w:cs="Times New Roman"/>
          <w:noProof/>
          <w:sz w:val="24"/>
          <w:szCs w:val="24"/>
          <w:lang w:val="en-IE"/>
        </w:rPr>
        <w:footnoteReference w:id="43"/>
      </w:r>
      <w:r>
        <w:rPr>
          <w:rFonts w:ascii="Times New Roman" w:hAnsi="Times New Roman"/>
          <w:noProof/>
          <w:sz w:val="24"/>
        </w:rPr>
        <w:t>.</w:t>
      </w:r>
    </w:p>
    <w:p w14:paraId="0FE381E4" w14:textId="301031D7" w:rsidR="009D3C91" w:rsidRDefault="00FC7753" w:rsidP="00766D7F">
      <w:pPr>
        <w:jc w:val="both"/>
        <w:rPr>
          <w:rFonts w:ascii="Times New Roman" w:hAnsi="Times New Roman" w:cs="Times New Roman"/>
          <w:noProof/>
          <w:sz w:val="24"/>
          <w:szCs w:val="24"/>
        </w:rPr>
      </w:pPr>
      <w:r>
        <w:rPr>
          <w:rFonts w:ascii="Times New Roman" w:hAnsi="Times New Roman"/>
          <w:noProof/>
          <w:color w:val="000000" w:themeColor="text1"/>
          <w:sz w:val="24"/>
        </w:rPr>
        <w:t>La Commission continuera de travailler avec l’OMS sur la vaccination et la préparation.</w:t>
      </w:r>
      <w:bookmarkEnd w:id="13"/>
      <w:r>
        <w:rPr>
          <w:rFonts w:ascii="Times New Roman" w:hAnsi="Times New Roman"/>
          <w:noProof/>
          <w:sz w:val="24"/>
        </w:rPr>
        <w:t xml:space="preserve"> L’UE encouragera la mise au point de contre-mesures médicales tenant compte de l’âge et de la dimension de genre, afin de répondre efficacement aux différents besoins et de mieux protéger les groupes vulnérables contre les menaces pour la santé.</w:t>
      </w:r>
      <w:r>
        <w:rPr>
          <w:rFonts w:ascii="Times New Roman" w:hAnsi="Times New Roman"/>
          <w:noProof/>
          <w:color w:val="000000" w:themeColor="text1"/>
          <w:sz w:val="24"/>
        </w:rPr>
        <w:t xml:space="preserve"> En particulier, la Commission recensera les obstacles systémiques qui empêchent les femmes et les populations vulnérables d’accéder aux vaccins, aux traitements et aux diagnostics, </w:t>
      </w:r>
      <w:r>
        <w:rPr>
          <w:rFonts w:ascii="Times New Roman" w:hAnsi="Times New Roman"/>
          <w:noProof/>
          <w:sz w:val="24"/>
        </w:rPr>
        <w:t>en étroite collaboration avec l’ECDC et le forum de la société civile de l’HERA.</w:t>
      </w:r>
      <w:r>
        <w:rPr>
          <w:rFonts w:ascii="Times New Roman" w:hAnsi="Times New Roman"/>
          <w:noProof/>
          <w:color w:val="000000" w:themeColor="text1"/>
          <w:sz w:val="24"/>
        </w:rPr>
        <w:t xml:space="preserve"> </w:t>
      </w:r>
      <w:bookmarkStart w:id="14" w:name="_Hlk201219238"/>
      <w:r>
        <w:rPr>
          <w:rFonts w:ascii="Times New Roman" w:hAnsi="Times New Roman"/>
          <w:noProof/>
          <w:sz w:val="24"/>
        </w:rPr>
        <w:t>Pour lutter contre la manipulation de l’information et l’ingérence étrangères, il convient de tirer pleinement parti de la boîte à outils de l’UE en la matière, du règlement sur les services numériques ainsi que d’autres outils et dispositions juridiques pertinents.</w:t>
      </w:r>
    </w:p>
    <w:bookmarkEnd w:id="14"/>
    <w:p w14:paraId="499CCF7D" w14:textId="75E66B9D" w:rsidR="00D24663" w:rsidRPr="0005257C" w:rsidRDefault="00746EAE">
      <w:pPr>
        <w:rPr>
          <w:noProof/>
        </w:rPr>
      </w:pPr>
      <w:r>
        <w:rPr>
          <w:rFonts w:ascii="Times New Roman" w:hAnsi="Times New Roman"/>
          <w:noProof/>
          <w:sz w:val="24"/>
          <w:lang w:val="en-GB" w:eastAsia="en-GB"/>
        </w:rPr>
        <mc:AlternateContent>
          <mc:Choice Requires="wps">
            <w:drawing>
              <wp:inline distT="0" distB="0" distL="0" distR="0" wp14:anchorId="634E2925" wp14:editId="72F34E7C">
                <wp:extent cx="6082748" cy="3275937"/>
                <wp:effectExtent l="0" t="0" r="13335" b="20320"/>
                <wp:docPr id="33505038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2748" cy="3275937"/>
                        </a:xfrm>
                        <a:prstGeom prst="rect">
                          <a:avLst/>
                        </a:prstGeom>
                        <a:solidFill>
                          <a:sysClr val="window" lastClr="FFFFFF">
                            <a:lumMod val="85000"/>
                          </a:sysClr>
                        </a:solidFill>
                        <a:ln w="9525">
                          <a:solidFill>
                            <a:srgbClr val="000000"/>
                          </a:solidFill>
                          <a:miter lim="800000"/>
                          <a:headEnd/>
                          <a:tailEnd/>
                        </a:ln>
                      </wps:spPr>
                      <wps:txbx>
                        <w:txbxContent>
                          <w:p w14:paraId="43DDCBBC" w14:textId="60B4A866" w:rsidR="00746EAE" w:rsidRPr="002B3DDF" w:rsidRDefault="00746EAE" w:rsidP="00746EAE">
                            <w:pPr>
                              <w:ind w:left="360" w:hanging="360"/>
                              <w:rPr>
                                <w:rFonts w:ascii="Times New Roman" w:hAnsi="Times New Roman" w:cs="Times New Roman"/>
                                <w:b/>
                                <w:bCs/>
                                <w:i/>
                                <w:iCs/>
                                <w:sz w:val="24"/>
                                <w:szCs w:val="24"/>
                              </w:rPr>
                            </w:pPr>
                            <w:r>
                              <w:rPr>
                                <w:rFonts w:ascii="Times New Roman" w:hAnsi="Times New Roman"/>
                                <w:b/>
                                <w:i/>
                                <w:sz w:val="24"/>
                              </w:rPr>
                              <w:t>Actions clés:</w:t>
                            </w:r>
                          </w:p>
                          <w:p w14:paraId="2EDDD014" w14:textId="4624DEDC" w:rsidR="00746EAE" w:rsidRPr="000D7BEA" w:rsidRDefault="00746EAE" w:rsidP="00746EAE">
                            <w:pPr>
                              <w:rPr>
                                <w:rFonts w:ascii="Times New Roman" w:hAnsi="Times New Roman" w:cs="Times New Roman"/>
                                <w:b/>
                                <w:bCs/>
                                <w:sz w:val="24"/>
                                <w:szCs w:val="24"/>
                              </w:rPr>
                            </w:pPr>
                            <w:r>
                              <w:rPr>
                                <w:rFonts w:ascii="Times New Roman" w:hAnsi="Times New Roman"/>
                                <w:b/>
                                <w:sz w:val="24"/>
                              </w:rPr>
                              <w:t xml:space="preserve">La Commission: </w:t>
                            </w:r>
                          </w:p>
                          <w:p w14:paraId="0DDC655F" w14:textId="0C82AF31" w:rsidR="000D7BEA" w:rsidRDefault="007838FD"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sz w:val="24"/>
                              </w:rPr>
                              <w:t xml:space="preserve">établira de nouveaux partenariats mondiaux dans le domaine des contre-mesures médicales, notamment avec les </w:t>
                            </w:r>
                            <w:r>
                              <w:rPr>
                                <w:rFonts w:ascii="Times New Roman" w:hAnsi="Times New Roman"/>
                                <w:b/>
                                <w:sz w:val="24"/>
                              </w:rPr>
                              <w:t>pays de l’AELE membres de l’EEE, le Canada et des acteurs mondiaux et régionaux tels que l’OMS et l’OPS</w:t>
                            </w:r>
                            <w:r>
                              <w:rPr>
                                <w:rFonts w:ascii="Times New Roman" w:hAnsi="Times New Roman"/>
                                <w:sz w:val="24"/>
                              </w:rPr>
                              <w:t xml:space="preserve"> [2025 et 2026]</w:t>
                            </w:r>
                          </w:p>
                          <w:p w14:paraId="6440120A" w14:textId="0C87ACAB" w:rsidR="004D0057" w:rsidRDefault="004D0057"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sz w:val="24"/>
                              </w:rPr>
                              <w:t xml:space="preserve">créera une </w:t>
                            </w:r>
                            <w:r>
                              <w:rPr>
                                <w:rFonts w:ascii="Times New Roman" w:hAnsi="Times New Roman"/>
                                <w:b/>
                                <w:sz w:val="24"/>
                              </w:rPr>
                              <w:t>initiative Medifence</w:t>
                            </w:r>
                            <w:r>
                              <w:rPr>
                                <w:rFonts w:ascii="Times New Roman" w:hAnsi="Times New Roman"/>
                                <w:sz w:val="24"/>
                              </w:rPr>
                              <w:t xml:space="preserve"> pour renforcer la préparation aux menaces CBRN et pour la sécurité et consolider la collaboration civilo-militaire. Elle élaborera dans ce cadre une </w:t>
                            </w:r>
                            <w:r>
                              <w:rPr>
                                <w:rFonts w:ascii="Times New Roman" w:hAnsi="Times New Roman"/>
                                <w:b/>
                                <w:sz w:val="24"/>
                              </w:rPr>
                              <w:t>liste restreinte de contre-mesures médicales essentielles en cas d’agression armée</w:t>
                            </w:r>
                            <w:r>
                              <w:rPr>
                                <w:rFonts w:ascii="Times New Roman" w:hAnsi="Times New Roman"/>
                                <w:sz w:val="24"/>
                              </w:rPr>
                              <w:t xml:space="preserve"> et facilitera l’acquisition et la constitution de stocks d’éventuels </w:t>
                            </w:r>
                            <w:r>
                              <w:rPr>
                                <w:rFonts w:ascii="Times New Roman" w:hAnsi="Times New Roman"/>
                                <w:b/>
                                <w:sz w:val="24"/>
                              </w:rPr>
                              <w:t>kits de contre-mesures médicales</w:t>
                            </w:r>
                            <w:r>
                              <w:rPr>
                                <w:rFonts w:ascii="Times New Roman" w:hAnsi="Times New Roman"/>
                                <w:sz w:val="24"/>
                              </w:rPr>
                              <w:t xml:space="preserve"> [2025]</w:t>
                            </w:r>
                          </w:p>
                          <w:p w14:paraId="5DF04B3E" w14:textId="2CED4969" w:rsidR="00C348B3" w:rsidRPr="00101C3A" w:rsidRDefault="005B10D7"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sz w:val="24"/>
                              </w:rPr>
                              <w:t xml:space="preserve">mènera des initiatives visant à améliorer la maîtrise des outils numériques de santé, procédera à des activités de vérification des faits et collaborera avec les plateformes en ligne pour </w:t>
                            </w:r>
                            <w:r>
                              <w:rPr>
                                <w:rFonts w:ascii="Times New Roman" w:hAnsi="Times New Roman"/>
                                <w:b/>
                                <w:sz w:val="24"/>
                              </w:rPr>
                              <w:t>lutter contre la désinformation</w:t>
                            </w:r>
                            <w:r>
                              <w:rPr>
                                <w:rFonts w:ascii="Times New Roman" w:hAnsi="Times New Roman"/>
                                <w:sz w:val="24"/>
                              </w:rPr>
                              <w:t xml:space="preserve"> et </w:t>
                            </w:r>
                            <w:r>
                              <w:rPr>
                                <w:rFonts w:ascii="Times New Roman" w:hAnsi="Times New Roman"/>
                                <w:b/>
                                <w:sz w:val="24"/>
                              </w:rPr>
                              <w:t>promouvoir la transparence et les informations fondées sur des données scientifiques</w:t>
                            </w:r>
                            <w:r>
                              <w:rPr>
                                <w:rFonts w:ascii="Times New Roman" w:hAnsi="Times New Roman"/>
                                <w:sz w:val="24"/>
                              </w:rPr>
                              <w:t xml:space="preserve"> afin de protéger les citoyens contre les menaces pour la santé publique.</w:t>
                            </w:r>
                          </w:p>
                          <w:p w14:paraId="492D9287" w14:textId="77777777" w:rsidR="004D0057" w:rsidRPr="00AF285E" w:rsidRDefault="004D0057" w:rsidP="000D7BEA">
                            <w:pPr>
                              <w:pStyle w:val="ListParagraph"/>
                              <w:ind w:left="284" w:hanging="218"/>
                              <w:jc w:val="both"/>
                              <w:rPr>
                                <w:rFonts w:ascii="Times New Roman" w:hAnsi="Times New Roman" w:cs="Times New Roman"/>
                                <w:sz w:val="24"/>
                                <w:szCs w:val="24"/>
                              </w:rPr>
                            </w:pPr>
                          </w:p>
                          <w:p w14:paraId="1432D67D" w14:textId="77777777" w:rsidR="00074DD5" w:rsidRPr="0098617C" w:rsidRDefault="00074DD5" w:rsidP="00746EAE">
                            <w:pPr>
                              <w:rPr>
                                <w:rFonts w:ascii="Times New Roman" w:hAnsi="Times New Roman" w:cs="Times New Roman"/>
                                <w:sz w:val="24"/>
                                <w:szCs w:val="24"/>
                              </w:rPr>
                            </w:pPr>
                          </w:p>
                          <w:p w14:paraId="04C49065" w14:textId="3DC923AF" w:rsidR="00746EAE" w:rsidRPr="00225F32" w:rsidRDefault="00746EAE" w:rsidP="00746EAE">
                            <w:pPr>
                              <w:jc w:val="center"/>
                              <w:rPr>
                                <w:b/>
                                <w:bCs/>
                                <w:lang w:val="fr-BE"/>
                              </w:rPr>
                            </w:pPr>
                          </w:p>
                          <w:p w14:paraId="180E99AC" w14:textId="77777777" w:rsidR="000D7BEA" w:rsidRPr="00225F32" w:rsidRDefault="000D7BEA" w:rsidP="00746EAE">
                            <w:pPr>
                              <w:jc w:val="center"/>
                              <w:rPr>
                                <w:b/>
                                <w:bCs/>
                                <w:lang w:val="fr-BE"/>
                              </w:rPr>
                            </w:pPr>
                          </w:p>
                          <w:p w14:paraId="007B5A4F" w14:textId="77777777" w:rsidR="000D7BEA" w:rsidRPr="00225F32" w:rsidRDefault="000D7BEA" w:rsidP="00746EAE">
                            <w:pPr>
                              <w:jc w:val="center"/>
                              <w:rPr>
                                <w:b/>
                                <w:bCs/>
                                <w:lang w:val="fr-BE"/>
                              </w:rPr>
                            </w:pPr>
                          </w:p>
                          <w:p w14:paraId="302FCE3C" w14:textId="77777777" w:rsidR="000D7BEA" w:rsidRPr="00225F32" w:rsidRDefault="000D7BEA" w:rsidP="00746EAE">
                            <w:pPr>
                              <w:jc w:val="center"/>
                              <w:rPr>
                                <w:b/>
                                <w:bCs/>
                                <w:lang w:val="fr-BE"/>
                              </w:rPr>
                            </w:pPr>
                          </w:p>
                        </w:txbxContent>
                      </wps:txbx>
                      <wps:bodyPr rot="0" vert="horz" wrap="square" lIns="91440" tIns="45720" rIns="91440" bIns="45720" anchor="t" anchorCtr="0">
                        <a:noAutofit/>
                      </wps:bodyPr>
                    </wps:wsp>
                  </a:graphicData>
                </a:graphic>
              </wp:inline>
            </w:drawing>
          </mc:Choice>
          <mc:Fallback>
            <w:pict>
              <v:shape w14:anchorId="634E2925" id="_x0000_s1031" type="#_x0000_t202" style="width:478.95pt;height:257.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" fillcolor="#d9d9d9">
                <v:textbox>
                  <w:txbxContent>
                    <w:p w14:paraId="43DDCBBC" w14:textId="60B4A866" w:rsidR="00746EAE" w:rsidRPr="002B3DDF" w:rsidRDefault="00746EAE" w:rsidP="00746EAE">
                      <w:pPr>
                        <w:ind w:left="360" w:hanging="360"/>
                        <w:rPr>
                          <w:rFonts w:ascii="Times New Roman" w:hAnsi="Times New Roman" w:cs="Times New Roman"/>
                          <w:b/>
                          <w:bCs/>
                          <w:i/>
                          <w:iCs/>
                          <w:sz w:val="24"/>
                          <w:szCs w:val="24"/>
                        </w:rPr>
                      </w:pPr>
                      <w:r>
                        <w:rPr>
                          <w:rFonts w:ascii="Times New Roman" w:hAnsi="Times New Roman"/>
                          <w:b/>
                          <w:i/>
                          <w:sz w:val="24"/>
                        </w:rPr>
                        <w:t>Actions clés:</w:t>
                      </w:r>
                    </w:p>
                    <w:p w14:paraId="2EDDD014" w14:textId="4624DEDC" w:rsidR="00746EAE" w:rsidRPr="000D7BEA" w:rsidRDefault="00746EAE" w:rsidP="00746EAE">
                      <w:pPr>
                        <w:rPr>
                          <w:rFonts w:ascii="Times New Roman" w:hAnsi="Times New Roman" w:cs="Times New Roman"/>
                          <w:b/>
                          <w:bCs/>
                          <w:sz w:val="24"/>
                          <w:szCs w:val="24"/>
                        </w:rPr>
                      </w:pPr>
                      <w:r>
                        <w:rPr>
                          <w:rFonts w:ascii="Times New Roman" w:hAnsi="Times New Roman"/>
                          <w:b/>
                          <w:sz w:val="24"/>
                        </w:rPr>
                        <w:t xml:space="preserve">La Commission: </w:t>
                      </w:r>
                    </w:p>
                    <w:p w14:paraId="0DDC655F" w14:textId="0C82AF31" w:rsidR="000D7BEA" w:rsidRDefault="007838FD"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sz w:val="24"/>
                        </w:rPr>
                        <w:t xml:space="preserve">établira de nouveaux partenariats mondiaux dans le domaine des contre-mesures médicales, notamment avec les </w:t>
                      </w:r>
                      <w:r>
                        <w:rPr>
                          <w:rFonts w:ascii="Times New Roman" w:hAnsi="Times New Roman"/>
                          <w:b/>
                          <w:sz w:val="24"/>
                        </w:rPr>
                        <w:t>pays de l’AELE membres de l’EEE, le Canada et des acteurs mondiaux et régionaux tels que l’OMS et l’OPS</w:t>
                      </w:r>
                      <w:r>
                        <w:rPr>
                          <w:rFonts w:ascii="Times New Roman" w:hAnsi="Times New Roman"/>
                          <w:sz w:val="24"/>
                        </w:rPr>
                        <w:t xml:space="preserve"> [2025 et 2026]</w:t>
                      </w:r>
                    </w:p>
                    <w:p w14:paraId="6440120A" w14:textId="0C87ACAB" w:rsidR="004D0057" w:rsidRDefault="004D0057"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sz w:val="24"/>
                        </w:rPr>
                        <w:t xml:space="preserve">créera une </w:t>
                      </w:r>
                      <w:r>
                        <w:rPr>
                          <w:rFonts w:ascii="Times New Roman" w:hAnsi="Times New Roman"/>
                          <w:b/>
                          <w:sz w:val="24"/>
                        </w:rPr>
                        <w:t>initiative Medifence</w:t>
                      </w:r>
                      <w:r>
                        <w:rPr>
                          <w:rFonts w:ascii="Times New Roman" w:hAnsi="Times New Roman"/>
                          <w:sz w:val="24"/>
                        </w:rPr>
                        <w:t xml:space="preserve"> pour renforcer la préparation aux menaces CBRN et pour la sécurité et consolider la collaboration civilo-militaire. Elle élaborera dans ce cadre une </w:t>
                      </w:r>
                      <w:r>
                        <w:rPr>
                          <w:rFonts w:ascii="Times New Roman" w:hAnsi="Times New Roman"/>
                          <w:b/>
                          <w:sz w:val="24"/>
                        </w:rPr>
                        <w:t>liste restreinte de contre-mesures médicales essentielles en cas d’agression armée</w:t>
                      </w:r>
                      <w:r>
                        <w:rPr>
                          <w:rFonts w:ascii="Times New Roman" w:hAnsi="Times New Roman"/>
                          <w:sz w:val="24"/>
                        </w:rPr>
                        <w:t xml:space="preserve"> et facilitera l’acquisition et la constitution de stocks d’éventuels </w:t>
                      </w:r>
                      <w:r>
                        <w:rPr>
                          <w:rFonts w:ascii="Times New Roman" w:hAnsi="Times New Roman"/>
                          <w:b/>
                          <w:sz w:val="24"/>
                        </w:rPr>
                        <w:t>kits de contre-mesures médicales</w:t>
                      </w:r>
                      <w:r>
                        <w:rPr>
                          <w:rFonts w:ascii="Times New Roman" w:hAnsi="Times New Roman"/>
                          <w:sz w:val="24"/>
                        </w:rPr>
                        <w:t xml:space="preserve"> [2025]</w:t>
                      </w:r>
                    </w:p>
                    <w:p w14:paraId="5DF04B3E" w14:textId="2CED4969" w:rsidR="00C348B3" w:rsidRPr="00101C3A" w:rsidRDefault="005B10D7" w:rsidP="00F961A8">
                      <w:pPr>
                        <w:pStyle w:val="ListParagraph"/>
                        <w:numPr>
                          <w:ilvl w:val="3"/>
                          <w:numId w:val="1"/>
                        </w:numPr>
                        <w:ind w:left="284" w:hanging="218"/>
                        <w:jc w:val="both"/>
                        <w:rPr>
                          <w:rFonts w:ascii="Times New Roman" w:hAnsi="Times New Roman" w:cs="Times New Roman"/>
                          <w:sz w:val="24"/>
                          <w:szCs w:val="24"/>
                        </w:rPr>
                      </w:pPr>
                      <w:r>
                        <w:rPr>
                          <w:rFonts w:ascii="Times New Roman" w:hAnsi="Times New Roman"/>
                          <w:sz w:val="24"/>
                        </w:rPr>
                        <w:t xml:space="preserve">mènera des initiatives visant à améliorer la maîtrise des outils numériques de santé, procédera à des activités de vérification des faits et collaborera avec les plateformes en ligne pour </w:t>
                      </w:r>
                      <w:r>
                        <w:rPr>
                          <w:rFonts w:ascii="Times New Roman" w:hAnsi="Times New Roman"/>
                          <w:b/>
                          <w:sz w:val="24"/>
                        </w:rPr>
                        <w:t>lutter contre la désinformation</w:t>
                      </w:r>
                      <w:r>
                        <w:rPr>
                          <w:rFonts w:ascii="Times New Roman" w:hAnsi="Times New Roman"/>
                          <w:sz w:val="24"/>
                        </w:rPr>
                        <w:t xml:space="preserve"> et </w:t>
                      </w:r>
                      <w:r>
                        <w:rPr>
                          <w:rFonts w:ascii="Times New Roman" w:hAnsi="Times New Roman"/>
                          <w:b/>
                          <w:sz w:val="24"/>
                        </w:rPr>
                        <w:t>promouvoir la transparence et les informations fondées sur des données scientifiques</w:t>
                      </w:r>
                      <w:r>
                        <w:rPr>
                          <w:rFonts w:ascii="Times New Roman" w:hAnsi="Times New Roman"/>
                          <w:sz w:val="24"/>
                        </w:rPr>
                        <w:t xml:space="preserve"> afin de protéger les citoyens contre les menaces pour la santé publique.</w:t>
                      </w:r>
                    </w:p>
                    <w:p w14:paraId="492D9287" w14:textId="77777777" w:rsidR="004D0057" w:rsidRPr="00AF285E" w:rsidRDefault="004D0057" w:rsidP="000D7BEA">
                      <w:pPr>
                        <w:pStyle w:val="ListParagraph"/>
                        <w:ind w:left="284" w:hanging="218"/>
                        <w:jc w:val="both"/>
                        <w:rPr>
                          <w:rFonts w:ascii="Times New Roman" w:hAnsi="Times New Roman" w:cs="Times New Roman"/>
                          <w:sz w:val="24"/>
                          <w:szCs w:val="24"/>
                        </w:rPr>
                      </w:pPr>
                    </w:p>
                    <w:p w14:paraId="1432D67D" w14:textId="77777777" w:rsidR="00074DD5" w:rsidRPr="0098617C" w:rsidRDefault="00074DD5" w:rsidP="00746EAE">
                      <w:pPr>
                        <w:rPr>
                          <w:rFonts w:ascii="Times New Roman" w:hAnsi="Times New Roman" w:cs="Times New Roman"/>
                          <w:sz w:val="24"/>
                          <w:szCs w:val="24"/>
                        </w:rPr>
                      </w:pPr>
                    </w:p>
                    <w:p w14:paraId="04C49065" w14:textId="3DC923AF" w:rsidR="00746EAE" w:rsidRPr="00225F32" w:rsidRDefault="00746EAE" w:rsidP="00746EAE">
                      <w:pPr>
                        <w:jc w:val="center"/>
                        <w:rPr>
                          <w:b/>
                          <w:bCs/>
                          <w:lang w:val="fr-BE"/>
                        </w:rPr>
                      </w:pPr>
                    </w:p>
                    <w:p w14:paraId="180E99AC" w14:textId="77777777" w:rsidR="000D7BEA" w:rsidRPr="00225F32" w:rsidRDefault="000D7BEA" w:rsidP="00746EAE">
                      <w:pPr>
                        <w:jc w:val="center"/>
                        <w:rPr>
                          <w:b/>
                          <w:bCs/>
                          <w:lang w:val="fr-BE"/>
                        </w:rPr>
                      </w:pPr>
                    </w:p>
                    <w:p w14:paraId="007B5A4F" w14:textId="77777777" w:rsidR="000D7BEA" w:rsidRPr="00225F32" w:rsidRDefault="000D7BEA" w:rsidP="00746EAE">
                      <w:pPr>
                        <w:jc w:val="center"/>
                        <w:rPr>
                          <w:b/>
                          <w:bCs/>
                          <w:lang w:val="fr-BE"/>
                        </w:rPr>
                      </w:pPr>
                    </w:p>
                    <w:p w14:paraId="302FCE3C" w14:textId="77777777" w:rsidR="000D7BEA" w:rsidRPr="00225F32" w:rsidRDefault="000D7BEA" w:rsidP="00746EAE">
                      <w:pPr>
                        <w:jc w:val="center"/>
                        <w:rPr>
                          <w:b/>
                          <w:bCs/>
                          <w:lang w:val="fr-BE"/>
                        </w:rPr>
                      </w:pPr>
                    </w:p>
                  </w:txbxContent>
                </v:textbox>
                <w10:anchorlock/>
              </v:shape>
            </w:pict>
          </mc:Fallback>
        </mc:AlternateContent>
      </w:r>
    </w:p>
    <w:p w14:paraId="1D91A574" w14:textId="5819FE0C" w:rsidR="00101C3A" w:rsidRPr="00101C3A" w:rsidRDefault="00290660" w:rsidP="00101C3A">
      <w:pPr>
        <w:pStyle w:val="Heading1"/>
        <w:numPr>
          <w:ilvl w:val="0"/>
          <w:numId w:val="0"/>
        </w:numPr>
        <w:ind w:left="360" w:hanging="360"/>
        <w:rPr>
          <w:rFonts w:ascii="Times New Roman Bold" w:hAnsi="Times New Roman Bold"/>
          <w:caps/>
          <w:noProof/>
          <w:u w:val="single"/>
        </w:rPr>
      </w:pPr>
      <w:r>
        <w:rPr>
          <w:rFonts w:ascii="Times New Roman Bold" w:hAnsi="Times New Roman Bold"/>
          <w:noProof/>
          <w:u w:val="single"/>
        </w:rPr>
        <w:t>CONCLUSION</w:t>
      </w:r>
    </w:p>
    <w:p w14:paraId="66F5A075" w14:textId="55E963AF" w:rsidR="004B6B4A" w:rsidRDefault="00E22D9E" w:rsidP="0098748F">
      <w:pPr>
        <w:jc w:val="both"/>
        <w:rPr>
          <w:rFonts w:ascii="Times New Roman" w:hAnsi="Times New Roman" w:cs="Times New Roman"/>
          <w:noProof/>
          <w:sz w:val="24"/>
          <w:szCs w:val="24"/>
        </w:rPr>
      </w:pPr>
      <w:r>
        <w:rPr>
          <w:rFonts w:ascii="Times New Roman" w:hAnsi="Times New Roman"/>
          <w:noProof/>
          <w:sz w:val="24"/>
        </w:rPr>
        <w:t xml:space="preserve">La stratégie de l’UE en matière de contre-mesures médicales vise à renforcer la résilience, la préparation et la réaction collectives afin de préserver l’Europe et le monde des menaces sanitaires, indépendamment de la cause ou de l’origine de l’urgence sanitaire. </w:t>
      </w:r>
    </w:p>
    <w:p w14:paraId="038B3CE5" w14:textId="20D2B2B8" w:rsidR="00387167" w:rsidRPr="00303BC5" w:rsidRDefault="00E22D9E" w:rsidP="0098748F">
      <w:pPr>
        <w:jc w:val="both"/>
        <w:rPr>
          <w:rFonts w:ascii="Times New Roman" w:hAnsi="Times New Roman" w:cs="Times New Roman"/>
          <w:noProof/>
          <w:sz w:val="24"/>
          <w:szCs w:val="24"/>
          <w:highlight w:val="green"/>
        </w:rPr>
      </w:pPr>
      <w:r>
        <w:rPr>
          <w:rFonts w:ascii="Times New Roman" w:hAnsi="Times New Roman"/>
          <w:noProof/>
          <w:sz w:val="24"/>
        </w:rPr>
        <w:t xml:space="preserve">Au vu de l’évolution rapide de la situation du point de vue de la sécurité, il est décisif que l’UE et ses États membres renforcent la préparation, la résilience et la réaction en matière de santé dans le domaine des contre-mesures médicales, en adoptant une approche globale de bout en bout, fondée sur le principe «Une seule santé», de la recherche au déploiement. Pour traiter les contre-mesures médicales comme des produits stratégiques, ce qu’elles sont, des investissements importants de la part des secteurs public et privé sont nécessaires. Il s’agit d’investissements dans la préparation et la résilience de la société, ainsi que dans la construction d’une Europe plus sûre et plus saine pour tous. </w:t>
      </w:r>
    </w:p>
    <w:sectPr w:rsidR="00387167" w:rsidRPr="00303BC5" w:rsidSect="00872A56">
      <w:headerReference w:type="even" r:id="rId17"/>
      <w:headerReference w:type="default" r:id="rId18"/>
      <w:footerReference w:type="even" r:id="rId19"/>
      <w:footerReference w:type="default" r:id="rId20"/>
      <w:headerReference w:type="first" r:id="rId21"/>
      <w:footerReference w:type="first" r:id="rId22"/>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2BF16C" w14:textId="77777777" w:rsidR="008E7EFE" w:rsidRDefault="008E7EFE" w:rsidP="00872A56">
      <w:pPr>
        <w:spacing w:after="0" w:line="240" w:lineRule="auto"/>
      </w:pPr>
      <w:r>
        <w:separator/>
      </w:r>
    </w:p>
  </w:endnote>
  <w:endnote w:type="continuationSeparator" w:id="0">
    <w:p w14:paraId="31E10549" w14:textId="77777777" w:rsidR="008E7EFE" w:rsidRDefault="008E7EFE" w:rsidP="00872A56">
      <w:pPr>
        <w:spacing w:after="0" w:line="240" w:lineRule="auto"/>
      </w:pPr>
      <w:r>
        <w:continuationSeparator/>
      </w:r>
    </w:p>
  </w:endnote>
  <w:endnote w:type="continuationNotice" w:id="1">
    <w:p w14:paraId="7F2774F4" w14:textId="77777777" w:rsidR="008E7EFE" w:rsidRDefault="008E7EF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Times New Roman Bold">
    <w:panose1 w:val="02020803070505020304"/>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E95C52" w14:textId="46E33CEB" w:rsidR="00DC2BA3" w:rsidRPr="00DC2BA3" w:rsidRDefault="00DC2BA3" w:rsidP="00DC2BA3">
    <w:pPr>
      <w:pStyle w:val="FooterCoverPage"/>
      <w:rPr>
        <w:rFonts w:ascii="Arial" w:hAnsi="Arial" w:cs="Arial"/>
        <w:b/>
        <w:sz w:val="48"/>
      </w:rPr>
    </w:pPr>
    <w:r w:rsidRPr="00DC2BA3">
      <w:rPr>
        <w:rFonts w:ascii="Arial" w:hAnsi="Arial" w:cs="Arial"/>
        <w:b/>
        <w:sz w:val="48"/>
      </w:rPr>
      <w:t>FR</w:t>
    </w:r>
    <w:r w:rsidRPr="00DC2BA3">
      <w:rPr>
        <w:rFonts w:ascii="Arial" w:hAnsi="Arial" w:cs="Arial"/>
        <w:b/>
        <w:sz w:val="48"/>
      </w:rPr>
      <w:tab/>
    </w:r>
    <w:r w:rsidRPr="00DC2BA3">
      <w:rPr>
        <w:rFonts w:ascii="Arial" w:hAnsi="Arial" w:cs="Arial"/>
        <w:b/>
        <w:sz w:val="48"/>
      </w:rPr>
      <w:tab/>
    </w:r>
    <w:r w:rsidRPr="00DC2BA3">
      <w:tab/>
    </w:r>
    <w:r w:rsidRPr="00DC2BA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5DFA0A" w14:textId="2288C6E8" w:rsidR="00DC2BA3" w:rsidRPr="00DC2BA3" w:rsidRDefault="00DC2BA3" w:rsidP="00DC2BA3">
    <w:pPr>
      <w:pStyle w:val="FooterCoverPage"/>
      <w:rPr>
        <w:rFonts w:ascii="Arial" w:hAnsi="Arial" w:cs="Arial"/>
        <w:b/>
        <w:sz w:val="48"/>
      </w:rPr>
    </w:pPr>
    <w:r w:rsidRPr="00DC2BA3">
      <w:rPr>
        <w:rFonts w:ascii="Arial" w:hAnsi="Arial" w:cs="Arial"/>
        <w:b/>
        <w:sz w:val="48"/>
      </w:rPr>
      <w:t>FR</w:t>
    </w:r>
    <w:r w:rsidRPr="00DC2BA3">
      <w:rPr>
        <w:rFonts w:ascii="Arial" w:hAnsi="Arial" w:cs="Arial"/>
        <w:b/>
        <w:sz w:val="48"/>
      </w:rPr>
      <w:tab/>
    </w:r>
    <w:r w:rsidRPr="00DC2BA3">
      <w:rPr>
        <w:rFonts w:ascii="Arial" w:hAnsi="Arial" w:cs="Arial"/>
        <w:b/>
        <w:sz w:val="48"/>
      </w:rPr>
      <w:tab/>
    </w:r>
    <w:r w:rsidRPr="00DC2BA3">
      <w:tab/>
    </w:r>
    <w:r w:rsidRPr="00DC2BA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04B53" w14:textId="77777777" w:rsidR="00DC2BA3" w:rsidRPr="00DC2BA3" w:rsidRDefault="00DC2BA3" w:rsidP="00DC2BA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0E1B2E" w14:textId="77777777" w:rsidR="00872A56" w:rsidRDefault="00872A5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16"/>
        <w:szCs w:val="16"/>
      </w:rPr>
      <w:id w:val="341362397"/>
      <w:docPartObj>
        <w:docPartGallery w:val="Page Numbers (Bottom of Page)"/>
        <w:docPartUnique/>
      </w:docPartObj>
    </w:sdtPr>
    <w:sdtEndPr>
      <w:rPr>
        <w:noProof/>
      </w:rPr>
    </w:sdtEndPr>
    <w:sdtContent>
      <w:p w14:paraId="19684694" w14:textId="6723EA0D" w:rsidR="009266CD" w:rsidRPr="009266CD" w:rsidRDefault="009266CD">
        <w:pPr>
          <w:pStyle w:val="Footer"/>
          <w:jc w:val="center"/>
          <w:rPr>
            <w:rFonts w:ascii="Times New Roman" w:hAnsi="Times New Roman" w:cs="Times New Roman"/>
            <w:sz w:val="16"/>
            <w:szCs w:val="16"/>
          </w:rPr>
        </w:pPr>
        <w:r>
          <w:rPr>
            <w:rFonts w:ascii="Times New Roman" w:hAnsi="Times New Roman" w:cs="Times New Roman"/>
            <w:sz w:val="16"/>
          </w:rPr>
          <w:fldChar w:fldCharType="begin"/>
        </w:r>
        <w:r>
          <w:rPr>
            <w:rFonts w:ascii="Times New Roman" w:hAnsi="Times New Roman" w:cs="Times New Roman"/>
            <w:sz w:val="16"/>
          </w:rPr>
          <w:instrText xml:space="preserve"> PAGE   \* MERGEFORMAT </w:instrText>
        </w:r>
        <w:r>
          <w:rPr>
            <w:rFonts w:ascii="Times New Roman" w:hAnsi="Times New Roman" w:cs="Times New Roman"/>
            <w:sz w:val="16"/>
          </w:rPr>
          <w:fldChar w:fldCharType="separate"/>
        </w:r>
        <w:r w:rsidR="00DC2BA3">
          <w:rPr>
            <w:rFonts w:ascii="Times New Roman" w:hAnsi="Times New Roman" w:cs="Times New Roman"/>
            <w:noProof/>
            <w:sz w:val="16"/>
          </w:rPr>
          <w:t>3</w:t>
        </w:r>
        <w:r>
          <w:rPr>
            <w:rFonts w:ascii="Times New Roman" w:hAnsi="Times New Roman" w:cs="Times New Roman"/>
            <w:sz w:val="16"/>
          </w:rPr>
          <w:fldChar w:fldCharType="end"/>
        </w:r>
      </w:p>
    </w:sdtContent>
  </w:sdt>
  <w:p w14:paraId="7195C0BA" w14:textId="77777777" w:rsidR="00872A56" w:rsidRDefault="00872A56">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3ABAA6" w14:textId="77777777" w:rsidR="00872A56" w:rsidRDefault="00872A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F3CCDF" w14:textId="77777777" w:rsidR="008E7EFE" w:rsidRDefault="008E7EFE" w:rsidP="00872A56">
      <w:pPr>
        <w:spacing w:after="0" w:line="240" w:lineRule="auto"/>
      </w:pPr>
      <w:r>
        <w:separator/>
      </w:r>
    </w:p>
  </w:footnote>
  <w:footnote w:type="continuationSeparator" w:id="0">
    <w:p w14:paraId="435AF10B" w14:textId="77777777" w:rsidR="008E7EFE" w:rsidRDefault="008E7EFE" w:rsidP="00872A56">
      <w:pPr>
        <w:spacing w:after="0" w:line="240" w:lineRule="auto"/>
      </w:pPr>
      <w:r>
        <w:continuationSeparator/>
      </w:r>
    </w:p>
  </w:footnote>
  <w:footnote w:type="continuationNotice" w:id="1">
    <w:p w14:paraId="6A299039" w14:textId="77777777" w:rsidR="008E7EFE" w:rsidRDefault="008E7EFE">
      <w:pPr>
        <w:spacing w:after="0" w:line="240" w:lineRule="auto"/>
      </w:pPr>
    </w:p>
  </w:footnote>
  <w:footnote w:id="2">
    <w:p w14:paraId="16F56119" w14:textId="0268AA0D" w:rsidR="001706C8" w:rsidRPr="001706C8" w:rsidRDefault="001706C8">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 w:history="1">
        <w:r>
          <w:rPr>
            <w:rStyle w:val="Hyperlink"/>
            <w:rFonts w:ascii="Times New Roman" w:hAnsi="Times New Roman"/>
            <w:sz w:val="18"/>
          </w:rPr>
          <w:t>Règlement (UE) 2022/2371 concernant les menaces transfrontières graves pour la santé</w:t>
        </w:r>
      </w:hyperlink>
      <w:r w:rsidRPr="00225F32">
        <w:rPr>
          <w:rFonts w:ascii="Times New Roman" w:hAnsi="Times New Roman" w:cs="Times New Roman"/>
          <w:sz w:val="18"/>
          <w:szCs w:val="18"/>
        </w:rPr>
        <w:t>.</w:t>
      </w:r>
    </w:p>
  </w:footnote>
  <w:footnote w:id="3">
    <w:p w14:paraId="4C1A9AA5" w14:textId="77777777" w:rsidR="006B0F9E" w:rsidRPr="006B0F9E" w:rsidRDefault="006B0F9E" w:rsidP="00282A22">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Conformément à l’article 5 du règlement (UE) 2022/2371 concernant les menaces transfrontières graves pour la santé, la Commission établit un plan de prévention, de préparation et de réaction de l’Union afin de promouvoir une réaction efficace et coordonnée aux menaces transfrontières pour la santé au niveau de l’Union.</w:t>
      </w:r>
    </w:p>
  </w:footnote>
  <w:footnote w:id="4">
    <w:p w14:paraId="1AE60D5C" w14:textId="77777777" w:rsidR="00835032" w:rsidRPr="000526FF" w:rsidRDefault="00835032" w:rsidP="00835032">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Il convient notamment d’accorder une attention particulière aux besoins des personnes handicapées, des jeunes et des personnes âgées, ainsi que des minorités raciales ou ethniques. Le </w:t>
      </w:r>
      <w:hyperlink r:id="rId2" w:anchor=":~:text=Building%20a%20union%20of%20equality,disability%2C%20age%20or%20sexual%20orientation" w:history="1">
        <w:r>
          <w:rPr>
            <w:rStyle w:val="Hyperlink"/>
            <w:rFonts w:ascii="Times New Roman" w:hAnsi="Times New Roman"/>
            <w:sz w:val="18"/>
          </w:rPr>
          <w:t>cadre de l’Union de l’égalité</w:t>
        </w:r>
      </w:hyperlink>
      <w:r>
        <w:rPr>
          <w:rFonts w:ascii="Times New Roman" w:hAnsi="Times New Roman"/>
          <w:sz w:val="18"/>
        </w:rPr>
        <w:t xml:space="preserve"> promeut l’égalité d’accès à la santé pour tous. </w:t>
      </w:r>
    </w:p>
  </w:footnote>
  <w:footnote w:id="5">
    <w:p w14:paraId="316F5F05" w14:textId="77777777" w:rsidR="00511B6D" w:rsidRPr="004C3491" w:rsidRDefault="00511B6D" w:rsidP="00511B6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3" w:history="1">
        <w:r>
          <w:rPr>
            <w:rStyle w:val="Hyperlink"/>
            <w:rFonts w:ascii="Times New Roman" w:hAnsi="Times New Roman"/>
            <w:sz w:val="18"/>
          </w:rPr>
          <w:t>Safer Together – Strengthening Europe’s Civilian and Military Preparedness and Readiness (Plus en sécurité ensemble – Renforcer la préparation et l’état de préparation civils et militaires de l’Europe)</w:t>
        </w:r>
      </w:hyperlink>
      <w:r>
        <w:rPr>
          <w:rFonts w:ascii="Times New Roman" w:hAnsi="Times New Roman"/>
          <w:sz w:val="18"/>
        </w:rPr>
        <w:t>.</w:t>
      </w:r>
    </w:p>
  </w:footnote>
  <w:footnote w:id="6">
    <w:p w14:paraId="189D074E" w14:textId="77777777" w:rsidR="00511B6D" w:rsidRPr="004C3491" w:rsidRDefault="00511B6D" w:rsidP="00511B6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4" w:history="1">
        <w:r>
          <w:rPr>
            <w:rStyle w:val="Hyperlink"/>
            <w:rFonts w:ascii="Times New Roman" w:hAnsi="Times New Roman"/>
            <w:sz w:val="18"/>
          </w:rPr>
          <w:t>L’avenir de la compétitivité européenne – une stratégie de compétitivité pour l’Europe</w:t>
        </w:r>
      </w:hyperlink>
      <w:r>
        <w:rPr>
          <w:rFonts w:ascii="Times New Roman" w:hAnsi="Times New Roman"/>
          <w:sz w:val="18"/>
        </w:rPr>
        <w:t>.</w:t>
      </w:r>
    </w:p>
  </w:footnote>
  <w:footnote w:id="7">
    <w:p w14:paraId="5B2DEF8F" w14:textId="77777777" w:rsidR="00511B6D" w:rsidRPr="004C3491" w:rsidRDefault="00511B6D" w:rsidP="00511B6D">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5" w:history="1">
        <w:r>
          <w:rPr>
            <w:rStyle w:val="Hyperlink"/>
            <w:rFonts w:ascii="Times New Roman" w:hAnsi="Times New Roman"/>
            <w:sz w:val="18"/>
          </w:rPr>
          <w:t>La stratégie européenne pour une union de la préparation</w:t>
        </w:r>
      </w:hyperlink>
      <w:r>
        <w:rPr>
          <w:rFonts w:ascii="Times New Roman" w:hAnsi="Times New Roman"/>
          <w:sz w:val="18"/>
        </w:rPr>
        <w:t>.</w:t>
      </w:r>
    </w:p>
  </w:footnote>
  <w:footnote w:id="8">
    <w:p w14:paraId="26F58823" w14:textId="59D4F84E" w:rsidR="006E6089" w:rsidRPr="004C3491" w:rsidRDefault="006E6089">
      <w:pPr>
        <w:pStyle w:val="FootnoteText"/>
        <w:rPr>
          <w:rFonts w:ascii="Times New Roman" w:hAnsi="Times New Roman" w:cs="Times New Roman"/>
          <w:sz w:val="18"/>
          <w:szCs w:val="18"/>
        </w:rPr>
      </w:pPr>
      <w:r>
        <w:rPr>
          <w:rStyle w:val="FootnoteReference"/>
          <w:rFonts w:ascii="Times New Roman" w:hAnsi="Times New Roman"/>
          <w:sz w:val="18"/>
        </w:rPr>
        <w:t>z</w:t>
      </w:r>
      <w:r>
        <w:rPr>
          <w:rFonts w:ascii="Times New Roman" w:hAnsi="Times New Roman"/>
          <w:sz w:val="18"/>
        </w:rPr>
        <w:t xml:space="preserve"> </w:t>
      </w:r>
      <w:hyperlink r:id="rId6" w:history="1">
        <w:r>
          <w:rPr>
            <w:rStyle w:val="Hyperlink"/>
            <w:rFonts w:ascii="Times New Roman" w:hAnsi="Times New Roman"/>
            <w:sz w:val="18"/>
          </w:rPr>
          <w:t>Une boussole pour la compétitivité de l’UE</w:t>
        </w:r>
      </w:hyperlink>
      <w:r>
        <w:rPr>
          <w:rFonts w:ascii="Times New Roman" w:hAnsi="Times New Roman"/>
          <w:sz w:val="18"/>
        </w:rPr>
        <w:t>.</w:t>
      </w:r>
    </w:p>
  </w:footnote>
  <w:footnote w:id="9">
    <w:p w14:paraId="78FDDA12" w14:textId="3088F392" w:rsidR="00E84768" w:rsidRPr="00E84768" w:rsidRDefault="00E84768" w:rsidP="00BC38CC">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Stratégie de constitution de stocks de l’UE, COM(2025) 528.</w:t>
      </w:r>
    </w:p>
  </w:footnote>
  <w:footnote w:id="10">
    <w:p w14:paraId="0C3E782D" w14:textId="77777777" w:rsidR="00EE75A2" w:rsidRPr="004C3491" w:rsidRDefault="00EE75A2" w:rsidP="00BC38C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Des consultations avec les États membres ont été menées par l’intermédiaire du conseil de l’HERA. </w:t>
      </w:r>
    </w:p>
  </w:footnote>
  <w:footnote w:id="11">
    <w:p w14:paraId="604E202A" w14:textId="52A8D089" w:rsidR="00F765A9" w:rsidRPr="001706C8" w:rsidRDefault="00F765A9" w:rsidP="00BC38CC">
      <w:pPr>
        <w:pStyle w:val="FootnoteText"/>
        <w:jc w:val="both"/>
        <w:rPr>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Les maladies vectorielles représentent plus de 17 % de l’ensemble des maladies infectieuses, causant plus de 700 000 décès par an, la plupart des décès survenant chez les enfants de moins de 5 ans (OMS, 2024).</w:t>
      </w:r>
    </w:p>
  </w:footnote>
  <w:footnote w:id="12">
    <w:p w14:paraId="1F1242FB" w14:textId="1083EA8B" w:rsidR="00EE75A2" w:rsidRPr="002C24AC" w:rsidRDefault="00EE75A2" w:rsidP="00766D7F">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La première </w:t>
      </w:r>
      <w:hyperlink r:id="rId7" w:history="1">
        <w:r>
          <w:rPr>
            <w:rStyle w:val="Hyperlink"/>
            <w:rFonts w:ascii="Times New Roman" w:hAnsi="Times New Roman"/>
            <w:sz w:val="18"/>
          </w:rPr>
          <w:t>évaluation européenne des risques climatiques</w:t>
        </w:r>
      </w:hyperlink>
      <w:r>
        <w:rPr>
          <w:rFonts w:ascii="Times New Roman" w:hAnsi="Times New Roman"/>
          <w:sz w:val="18"/>
        </w:rPr>
        <w:t>, publiée en mars 2024, met en évidence les maladies transmises par les moustiques et les tiques qui sont apparues ou se sont étendues récemment dans l’UE, notamment le virus du Nil occidental, le chikungunya, la dengue, la maladie de Lyme, l’encéphalite à tiques et la fièvre hémorragique de Crimée-Congo.</w:t>
      </w:r>
    </w:p>
  </w:footnote>
  <w:footnote w:id="13">
    <w:p w14:paraId="19408C72" w14:textId="125C1D56" w:rsidR="007C5B2F" w:rsidRPr="002C24AC" w:rsidRDefault="007C5B2F" w:rsidP="00E768A7">
      <w:pPr>
        <w:spacing w:after="0"/>
        <w:jc w:val="both"/>
        <w:rPr>
          <w:rFonts w:ascii="Times New Roman" w:eastAsia="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Dans le </w:t>
      </w:r>
      <w:hyperlink r:id="rId8" w:history="1">
        <w:r>
          <w:rPr>
            <w:rStyle w:val="Hyperlink"/>
            <w:rFonts w:ascii="Times New Roman" w:hAnsi="Times New Roman"/>
            <w:sz w:val="18"/>
          </w:rPr>
          <w:t>rapport 2025 sur les risques mondiaux</w:t>
        </w:r>
      </w:hyperlink>
      <w:r>
        <w:rPr>
          <w:rFonts w:ascii="Times New Roman" w:hAnsi="Times New Roman"/>
          <w:sz w:val="18"/>
        </w:rPr>
        <w:t xml:space="preserve">, les phénomènes météorologiques extrêmes ont été classés parmi les risques les plus élevés </w:t>
      </w:r>
      <w:r w:rsidR="00B83DFB">
        <w:rPr>
          <w:rFonts w:ascii="Times New Roman" w:hAnsi="Times New Roman"/>
          <w:sz w:val="18"/>
        </w:rPr>
        <w:t>pour les</w:t>
      </w:r>
      <w:r>
        <w:rPr>
          <w:rFonts w:ascii="Times New Roman" w:hAnsi="Times New Roman"/>
          <w:sz w:val="18"/>
        </w:rPr>
        <w:t xml:space="preserve"> 10</w:t>
      </w:r>
      <w:r w:rsidR="00B83DFB">
        <w:rPr>
          <w:rFonts w:ascii="Times New Roman" w:hAnsi="Times New Roman"/>
          <w:sz w:val="18"/>
        </w:rPr>
        <w:t xml:space="preserve"> prochaines </w:t>
      </w:r>
      <w:r>
        <w:rPr>
          <w:rFonts w:ascii="Times New Roman" w:hAnsi="Times New Roman"/>
          <w:sz w:val="18"/>
        </w:rPr>
        <w:t>an</w:t>
      </w:r>
      <w:r w:rsidR="00B83DFB">
        <w:rPr>
          <w:rFonts w:ascii="Times New Roman" w:hAnsi="Times New Roman"/>
          <w:sz w:val="18"/>
        </w:rPr>
        <w:t>née</w:t>
      </w:r>
      <w:r>
        <w:rPr>
          <w:rFonts w:ascii="Times New Roman" w:hAnsi="Times New Roman"/>
          <w:sz w:val="18"/>
        </w:rPr>
        <w:t>s.</w:t>
      </w:r>
    </w:p>
  </w:footnote>
  <w:footnote w:id="14">
    <w:p w14:paraId="60896ADE" w14:textId="0E021A2B" w:rsidR="00F765A9" w:rsidRPr="00E1273A" w:rsidRDefault="00F765A9" w:rsidP="00F765A9">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La résistance aux antimicrobiens est actuellement responsable de plus de 35 000 décès chaque année dans l’UE/EEE et</w:t>
      </w:r>
      <w:r w:rsidR="00354112">
        <w:rPr>
          <w:rFonts w:ascii="Times New Roman" w:hAnsi="Times New Roman"/>
          <w:sz w:val="18"/>
        </w:rPr>
        <w:t>,</w:t>
      </w:r>
      <w:r>
        <w:rPr>
          <w:rFonts w:ascii="Times New Roman" w:hAnsi="Times New Roman"/>
          <w:sz w:val="18"/>
        </w:rPr>
        <w:t xml:space="preserve"> selon les estimations des Nations unies, d’ici à 2050, le nombre annuel de décès imputables à la résistance aux antimicrobiens pourrait augmenter pour atteindre 10 millions dans le monde et 390 000 dans l’UE/EEE.</w:t>
      </w:r>
    </w:p>
  </w:footnote>
  <w:footnote w:id="15">
    <w:p w14:paraId="257DF761" w14:textId="40839DB4" w:rsidR="00C60BDC" w:rsidRPr="00010A96" w:rsidRDefault="00C60BDC">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9" w:history="1">
        <w:r>
          <w:rPr>
            <w:rStyle w:val="Hyperlink"/>
            <w:rFonts w:ascii="Times New Roman" w:hAnsi="Times New Roman"/>
            <w:sz w:val="18"/>
          </w:rPr>
          <w:t>https://pandemichub.who.int/</w:t>
        </w:r>
      </w:hyperlink>
      <w:r>
        <w:t>.</w:t>
      </w:r>
    </w:p>
  </w:footnote>
  <w:footnote w:id="16">
    <w:p w14:paraId="38F2C2E2" w14:textId="3292DA57" w:rsidR="4207F716" w:rsidRPr="002C24AC" w:rsidRDefault="4207F716" w:rsidP="00D24BA2">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ATHINA permettra de prendre des décisions plus rapides et fondées sur des données en cas d’urgence sanitaire. Ce système est conçu pour intégrer diverses sources de données, provenant de la Commission, de plateformes de source ouverte et de services commerciaux, afin de renforcer le soutien à l’établissement de priorités stratégiques de détection précoce liées aux contre-mesures médicales et la coordination de la réaction. À l’avenir, il s’appuiera également sur des outils de modélisation et de simulation fondés sur l’IA pour soutenir la préparation dans le domaine des contre-mesures médicales à une série de scénarios de menace en évolution.</w:t>
      </w:r>
    </w:p>
  </w:footnote>
  <w:footnote w:id="17">
    <w:p w14:paraId="6BC630BD" w14:textId="28B717E6" w:rsidR="00390C16" w:rsidRPr="002C24AC" w:rsidRDefault="00390C16" w:rsidP="00240098">
      <w:pPr>
        <w:spacing w:after="0"/>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0" w:history="1">
        <w:r>
          <w:rPr>
            <w:rStyle w:val="Hyperlink"/>
            <w:rFonts w:ascii="Times New Roman" w:hAnsi="Times New Roman"/>
            <w:sz w:val="18"/>
          </w:rPr>
          <w:t>Règlement (UE) 2022/2372 du Conseil du 24 octobre 2022</w:t>
        </w:r>
      </w:hyperlink>
      <w:r>
        <w:rPr>
          <w:rFonts w:ascii="Times New Roman" w:hAnsi="Times New Roman"/>
          <w:sz w:val="18"/>
        </w:rPr>
        <w:t xml:space="preserve"> relatif à un cadre de mesures visant à garantir la fourniture des contre-mesures médicales nécessaires en cas de crise dans l’éventualité d’une urgence de santé publique au niveau de l’Union.</w:t>
      </w:r>
    </w:p>
  </w:footnote>
  <w:footnote w:id="18">
    <w:p w14:paraId="393DBA02" w14:textId="14110175" w:rsidR="53BAF95E" w:rsidRPr="002C24AC" w:rsidRDefault="53BAF95E" w:rsidP="000F44DD">
      <w:pPr>
        <w:pStyle w:val="FootnoteText"/>
        <w:jc w:val="both"/>
        <w:rPr>
          <w:rFonts w:ascii="Times New Roman" w:eastAsiaTheme="minorEastAsia" w:hAnsi="Times New Roman" w:cs="Times New Roman"/>
          <w:sz w:val="18"/>
          <w:szCs w:val="18"/>
        </w:rPr>
      </w:pPr>
      <w:r>
        <w:rPr>
          <w:rStyle w:val="FootnoteReference"/>
          <w:rFonts w:ascii="Times New Roman" w:eastAsiaTheme="minorEastAsia" w:hAnsi="Times New Roman" w:cs="Times New Roman"/>
          <w:sz w:val="18"/>
          <w:szCs w:val="18"/>
        </w:rPr>
        <w:footnoteRef/>
      </w:r>
      <w:r>
        <w:rPr>
          <w:rFonts w:ascii="Times New Roman" w:hAnsi="Times New Roman"/>
          <w:sz w:val="18"/>
        </w:rPr>
        <w:t xml:space="preserve"> La liste de l’UE des contre-mesures médicales pour les menaces prioritaires couvrira à la fois les contre-mesures commercialisées et les contre-mesures médicales en cours de développement (y compris, mais pas exclusivement, les médicaments) permettant de faire face à des menaces spécifiques susceptibles de créer une urgence de santé publique. Cette liste complète la liste des médicaments critiques de l’Union, qui recense les médicaments à usage humain dont l’approvisionnement continu est considéré comme une priorité dans l’UE.</w:t>
      </w:r>
    </w:p>
  </w:footnote>
  <w:footnote w:id="19">
    <w:p w14:paraId="7112C47C" w14:textId="3BF62183" w:rsidR="000F337D" w:rsidRPr="002C24AC" w:rsidRDefault="000F337D" w:rsidP="0024009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Pour les urgences radiologiques et nucléaires, l’UE gère le système européen d’échange d’informations en cas d’urgence radiologique (ECURIE).</w:t>
      </w:r>
    </w:p>
  </w:footnote>
  <w:footnote w:id="20">
    <w:p w14:paraId="7DDBF673" w14:textId="03EE7BA3" w:rsidR="009D1531" w:rsidRPr="00413FCC" w:rsidRDefault="009D1531" w:rsidP="00413FCC">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L’article 17 de la </w:t>
      </w:r>
      <w:hyperlink r:id="rId11" w:history="1">
        <w:r>
          <w:rPr>
            <w:rStyle w:val="Hyperlink"/>
            <w:rFonts w:ascii="Times New Roman" w:hAnsi="Times New Roman"/>
            <w:sz w:val="18"/>
          </w:rPr>
          <w:t>directive (UE) 2024/3019 du Parlement européen et du Conseil du 27 novembre 2024 relative au traitement des eaux résiduaires urbaines (refonte)</w:t>
        </w:r>
      </w:hyperlink>
      <w:r>
        <w:rPr>
          <w:rFonts w:ascii="Times New Roman" w:hAnsi="Times New Roman"/>
          <w:sz w:val="18"/>
        </w:rPr>
        <w:t xml:space="preserve"> impose aux États membres de mettre en place des systèmes nationaux de surveillance, dans leurs eaux résiduaires urbaines, des paramètres pertinents en matière de santé publique, y compris la résistance aux antimicrobiens. En cas d’urgence de santé publique, une surveillance du ou des paramètres de santé pertinents est requise.</w:t>
      </w:r>
    </w:p>
  </w:footnote>
  <w:footnote w:id="21">
    <w:p w14:paraId="5EF58B8B" w14:textId="4D6291DF" w:rsidR="00D25308" w:rsidRPr="00926DA1" w:rsidRDefault="00D25308" w:rsidP="00D2530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Les laboratoires de référence de l’UE pour la santé publique sont des consortiums de laboratoires désignés au titre de l’article 15 du règlement concernant les menaces transfrontières graves pour la santé [</w:t>
      </w:r>
      <w:hyperlink r:id="rId12" w:history="1">
        <w:r>
          <w:rPr>
            <w:rStyle w:val="Hyperlink"/>
            <w:rFonts w:ascii="Times New Roman" w:hAnsi="Times New Roman"/>
            <w:sz w:val="18"/>
          </w:rPr>
          <w:t>règlement (UE) 2022/2371</w:t>
        </w:r>
      </w:hyperlink>
      <w:r>
        <w:rPr>
          <w:rFonts w:ascii="Times New Roman" w:hAnsi="Times New Roman"/>
          <w:sz w:val="18"/>
        </w:rPr>
        <w:t xml:space="preserve">], qui apportent un soutien aux laboratoires nationaux de référence en matière de diagnostics de référence (y compris les protocoles de test), de matériaux de référence, de surveillance, de notification et de réaction aux épidémies, d’avis scientifiques, de recherche, d’assurance de la qualité, de formation et d’uniformisation des rapports. Actuellement, neuf laboratoires de référence de l’UE pour la santé publique ont été désignés: </w:t>
      </w:r>
      <w:hyperlink r:id="rId13" w:history="1">
        <w:r>
          <w:rPr>
            <w:rStyle w:val="Hyperlink"/>
            <w:rFonts w:ascii="Times New Roman" w:hAnsi="Times New Roman"/>
            <w:sz w:val="14"/>
          </w:rPr>
          <w:t>https://health.ec.europa.eu/health-security-and-infectious-diseases/surveillance-and-early-warning/eu-reference-laboratories-public-health_en</w:t>
        </w:r>
      </w:hyperlink>
      <w:r>
        <w:t>.</w:t>
      </w:r>
      <w:r>
        <w:rPr>
          <w:rFonts w:ascii="Times New Roman" w:hAnsi="Times New Roman"/>
          <w:sz w:val="14"/>
        </w:rPr>
        <w:t xml:space="preserve"> </w:t>
      </w:r>
    </w:p>
  </w:footnote>
  <w:footnote w:id="22">
    <w:p w14:paraId="0C236F96" w14:textId="315D7EB3" w:rsidR="00544BAC" w:rsidRPr="00912400" w:rsidRDefault="00544BAC" w:rsidP="00544BAC">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 xml:space="preserve"> Par exemple, le projet </w:t>
      </w:r>
      <w:hyperlink r:id="rId14" w:history="1">
        <w:r>
          <w:rPr>
            <w:rStyle w:val="Hyperlink"/>
            <w:rFonts w:ascii="Times New Roman" w:hAnsi="Times New Roman"/>
            <w:sz w:val="18"/>
          </w:rPr>
          <w:t>DURABLE</w:t>
        </w:r>
      </w:hyperlink>
      <w:r>
        <w:rPr>
          <w:rFonts w:ascii="Times New Roman" w:hAnsi="Times New Roman"/>
          <w:sz w:val="18"/>
        </w:rPr>
        <w:t xml:space="preserve"> est à l’origine d’importantes avancées scientifiques en ce qui concerne l’effet protecteur des vaccins contre la grippe et la transmission du virus H5 (grippe aviaire) aux animaux, ce qui aide la Commission à se préparer à d’éventuels foyers et à fournir des informations sur l’efficacité des contre-mesures médicales existantes et sur la nécessité de poursuivre les activités de R &amp; D.</w:t>
      </w:r>
    </w:p>
  </w:footnote>
  <w:footnote w:id="23">
    <w:p w14:paraId="03549155" w14:textId="7B1E5321" w:rsidR="00092699" w:rsidRPr="00926DA1" w:rsidRDefault="00092699">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En 2022, 40 % des vaccins mondiaux contre la COVID-19 ont été exportés depuis l’UE.</w:t>
      </w:r>
    </w:p>
  </w:footnote>
  <w:footnote w:id="24">
    <w:p w14:paraId="72C0494C" w14:textId="1B8E6DFC" w:rsidR="005713B3" w:rsidRPr="00B31386" w:rsidRDefault="005713B3">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5" w:history="1">
        <w:r>
          <w:rPr>
            <w:rStyle w:val="Hyperlink"/>
            <w:rFonts w:ascii="Times New Roman" w:hAnsi="Times New Roman"/>
            <w:sz w:val="18"/>
          </w:rPr>
          <w:t>Choisir l’Europe pour les sciences du vivant — Une stratégie visant à faire de l’Union européenne le lieu le plus attrayant au monde pour les sciences du vivant d’ici à 2030</w:t>
        </w:r>
      </w:hyperlink>
      <w:r>
        <w:t>.</w:t>
      </w:r>
    </w:p>
  </w:footnote>
  <w:footnote w:id="25">
    <w:p w14:paraId="5E2AF5D2" w14:textId="0518C627" w:rsidR="00F878A8" w:rsidRPr="00926DA1" w:rsidRDefault="00F878A8" w:rsidP="00F031C6">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6" w:history="1">
        <w:r>
          <w:rPr>
            <w:rStyle w:val="Hyperlink"/>
            <w:rFonts w:ascii="Times New Roman" w:hAnsi="Times New Roman"/>
            <w:sz w:val="18"/>
          </w:rPr>
          <w:t>Stratégie de l’UE en faveur des start-up et des scale-up</w:t>
        </w:r>
      </w:hyperlink>
      <w:r>
        <w:rPr>
          <w:rFonts w:ascii="Times New Roman" w:hAnsi="Times New Roman"/>
          <w:sz w:val="18"/>
        </w:rPr>
        <w:t>.</w:t>
      </w:r>
    </w:p>
  </w:footnote>
  <w:footnote w:id="26">
    <w:p w14:paraId="0DBD8D90" w14:textId="4C353C25" w:rsidR="002E40BB" w:rsidRPr="00F031C6" w:rsidRDefault="002E40BB" w:rsidP="007A3708">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7" w:history="1">
        <w:r>
          <w:rPr>
            <w:rStyle w:val="Hyperlink"/>
            <w:rFonts w:ascii="Times New Roman" w:hAnsi="Times New Roman"/>
            <w:sz w:val="18"/>
          </w:rPr>
          <w:t>Proposition de règlement du Parlement européen et du Conseil établissant un cadre visant à renforcer la disponibilité et la sécurité de l’approvisionnement en médicaments critiques ainsi que la disponibilité et l’accessibilité des médicaments d’intérêt commun, et modifiant le règlement (UE) 2024/795</w:t>
        </w:r>
      </w:hyperlink>
      <w:r>
        <w:rPr>
          <w:rFonts w:ascii="Times New Roman" w:hAnsi="Times New Roman"/>
          <w:sz w:val="18"/>
        </w:rPr>
        <w:t>.</w:t>
      </w:r>
    </w:p>
  </w:footnote>
  <w:footnote w:id="27">
    <w:p w14:paraId="061D08B4" w14:textId="3D616A5B" w:rsidR="00003C35" w:rsidRPr="00623D30" w:rsidRDefault="00003C35" w:rsidP="007B3EBB">
      <w:pPr>
        <w:pStyle w:val="FootnoteText"/>
        <w:jc w:val="both"/>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Pendant la durée du cadre financier pluriannuel 2021-2027, l’accélérateur de contre-mesures médicales peut être soutenu par des programmes de l’UE tels qu’Horizon Europe et le programme «L’UE pour la santé».</w:t>
      </w:r>
    </w:p>
  </w:footnote>
  <w:footnote w:id="28">
    <w:p w14:paraId="178AE409" w14:textId="612F2FD5" w:rsidR="00843C46" w:rsidRPr="0068003B" w:rsidRDefault="00843C46" w:rsidP="007B3EBB">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18" w:history="1">
        <w:r>
          <w:rPr>
            <w:rStyle w:val="Hyperlink"/>
            <w:rFonts w:ascii="Times New Roman" w:hAnsi="Times New Roman"/>
            <w:sz w:val="18"/>
          </w:rPr>
          <w:t>La Commission s’est engagée à consacrer 225 millions d’euros à la mise en place de contrats-cadres visant à accélérer la mise au point de vaccins de nouvelle génération contre la grippe.</w:t>
        </w:r>
      </w:hyperlink>
      <w:r>
        <w:rPr>
          <w:rFonts w:ascii="Times New Roman" w:hAnsi="Times New Roman"/>
          <w:sz w:val="18"/>
        </w:rPr>
        <w:t xml:space="preserve"> </w:t>
      </w:r>
    </w:p>
  </w:footnote>
  <w:footnote w:id="29">
    <w:p w14:paraId="7103E1CC" w14:textId="31512CF0" w:rsidR="00E51A4B" w:rsidRPr="00926DA1" w:rsidRDefault="00E51A4B" w:rsidP="00926DA1">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La Commission continuera de soutenir les États membres dans le cadre de l’«action commune JAMRAI 2», afin de les aider à mettre en œuvre leurs plans d’action nationaux et à progresser vers la réalisation des objectifs pour 2030. </w:t>
      </w:r>
      <w:hyperlink r:id="rId19" w:history="1">
        <w:r>
          <w:rPr>
            <w:rStyle w:val="Hyperlink"/>
            <w:rFonts w:ascii="Times New Roman" w:hAnsi="Times New Roman"/>
            <w:sz w:val="18"/>
          </w:rPr>
          <w:t>https://eu-jamrai.eu/</w:t>
        </w:r>
      </w:hyperlink>
      <w:r>
        <w:t>.</w:t>
      </w:r>
      <w:r>
        <w:rPr>
          <w:rFonts w:ascii="Times New Roman" w:hAnsi="Times New Roman"/>
          <w:sz w:val="18"/>
        </w:rPr>
        <w:t xml:space="preserve">  </w:t>
      </w:r>
    </w:p>
  </w:footnote>
  <w:footnote w:id="30">
    <w:p w14:paraId="0E049F69" w14:textId="7A1767C5" w:rsidR="005B7D93" w:rsidRPr="005B7D93" w:rsidRDefault="005B7D93" w:rsidP="007A370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0" w:history="1">
        <w:r>
          <w:rPr>
            <w:rStyle w:val="Hyperlink"/>
            <w:rFonts w:ascii="Times New Roman" w:hAnsi="Times New Roman"/>
            <w:sz w:val="18"/>
          </w:rPr>
          <w:t>Règlement (UE) 2024/2747 du Parlement européen et du Conseil du 9 octobre 2024 établissant un cadre de mesures relatives à une situation d’urgence dans le marché intérieur et à la résilience du marché intérieur et modifiant le règlement (CE) nº 2679/98 du Conseil (règlement sur les situations d’urgence dans le marché intérieur et la résilience du marché intérieur)</w:t>
        </w:r>
      </w:hyperlink>
      <w:r>
        <w:rPr>
          <w:rFonts w:ascii="Times New Roman" w:hAnsi="Times New Roman"/>
          <w:sz w:val="18"/>
        </w:rPr>
        <w:t xml:space="preserve">. </w:t>
      </w:r>
    </w:p>
  </w:footnote>
  <w:footnote w:id="31">
    <w:p w14:paraId="4CC93295" w14:textId="6EF4F32A" w:rsidR="00642E8E" w:rsidRPr="002E40BB" w:rsidRDefault="00642E8E" w:rsidP="007A3708">
      <w:r>
        <w:rPr>
          <w:rStyle w:val="FootnoteReference"/>
          <w:rFonts w:ascii="Times New Roman" w:hAnsi="Times New Roman" w:cs="Times New Roman"/>
          <w:sz w:val="18"/>
          <w:szCs w:val="18"/>
        </w:rPr>
        <w:footnoteRef/>
      </w:r>
      <w:r>
        <w:rPr>
          <w:rFonts w:ascii="Times New Roman" w:hAnsi="Times New Roman"/>
          <w:sz w:val="18"/>
        </w:rPr>
        <w:t xml:space="preserve"> </w:t>
      </w:r>
      <w:hyperlink r:id="rId21" w:history="1">
        <w:r>
          <w:rPr>
            <w:rStyle w:val="Hyperlink"/>
            <w:rFonts w:ascii="Times New Roman" w:hAnsi="Times New Roman"/>
            <w:sz w:val="18"/>
          </w:rPr>
          <w:t>Règlement (UE) 2022/2372 du Conseil du 24 octobre 2022 relatif à un cadre de mesures visant à garantir la fourniture des contre-mesures médicales nécessaires en cas de crise dans l’éventualité d’une urgence de santé publique au niveau de l’Union</w:t>
        </w:r>
      </w:hyperlink>
      <w:r>
        <w:rPr>
          <w:rFonts w:ascii="Times New Roman" w:hAnsi="Times New Roman"/>
          <w:sz w:val="18"/>
        </w:rPr>
        <w:t>.</w:t>
      </w:r>
    </w:p>
  </w:footnote>
  <w:footnote w:id="32">
    <w:p w14:paraId="4C220035" w14:textId="4CEE73A1" w:rsidR="00F92700" w:rsidRPr="00A556E3" w:rsidRDefault="00F92700" w:rsidP="00F92700">
      <w:pPr>
        <w:pStyle w:val="FootnoteText"/>
        <w:rPr>
          <w:rStyle w:val="Hyperlink"/>
          <w:rFonts w:ascii="Times New Roman" w:hAnsi="Times New Roman" w:cs="Times New Roman"/>
          <w:sz w:val="18"/>
          <w:szCs w:val="18"/>
        </w:rPr>
      </w:pPr>
      <w:r>
        <w:rPr>
          <w:rStyle w:val="FootnoteReference"/>
          <w:rFonts w:ascii="Times New Roman" w:hAnsi="Times New Roman" w:cs="Times New Roman"/>
          <w:sz w:val="18"/>
          <w:szCs w:val="18"/>
        </w:rPr>
        <w:footnoteRef/>
      </w:r>
      <w:r>
        <w:rPr>
          <w:rStyle w:val="Hyperlink"/>
          <w:rFonts w:ascii="Times New Roman" w:hAnsi="Times New Roman"/>
          <w:sz w:val="18"/>
        </w:rPr>
        <w:t xml:space="preserve"> Une urgence de santé publique au niveau de l’Union peut être officiellement reconnue par la Commission dans les situations où une menace transfrontière grave pour la santé met en danger la santé publique au niveau de l’Union, conformément à l’article 23 du règlement (UE) 2022/2371.</w:t>
      </w:r>
    </w:p>
  </w:footnote>
  <w:footnote w:id="33">
    <w:p w14:paraId="3AECB88E" w14:textId="7BF9C86E" w:rsidR="7B3B743E" w:rsidRDefault="7B3B743E" w:rsidP="007A3708">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2" w:history="1">
        <w:r>
          <w:rPr>
            <w:rStyle w:val="Hyperlink"/>
            <w:rFonts w:ascii="Times New Roman" w:hAnsi="Times New Roman"/>
            <w:sz w:val="18"/>
          </w:rPr>
          <w:t>Stratégie européenne pour une union de la préparation</w:t>
        </w:r>
      </w:hyperlink>
      <w:r>
        <w:rPr>
          <w:rFonts w:ascii="Times New Roman" w:hAnsi="Times New Roman"/>
          <w:sz w:val="18"/>
        </w:rPr>
        <w:t>.</w:t>
      </w:r>
    </w:p>
  </w:footnote>
  <w:footnote w:id="34">
    <w:p w14:paraId="29736DEF" w14:textId="388B0BF6" w:rsidR="74454987" w:rsidRPr="007A3708" w:rsidRDefault="74454987" w:rsidP="007A370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3" w:history="1">
        <w:r>
          <w:rPr>
            <w:rStyle w:val="Hyperlink"/>
            <w:rFonts w:ascii="Times New Roman" w:hAnsi="Times New Roman"/>
            <w:sz w:val="18"/>
          </w:rPr>
          <w:t>Évaluation de la mise en œuvre des activités de l’Autorité de préparation et de réaction en cas d’urgence sanitaire (HERA)</w:t>
        </w:r>
      </w:hyperlink>
      <w:r>
        <w:rPr>
          <w:rFonts w:ascii="Times New Roman" w:hAnsi="Times New Roman"/>
          <w:sz w:val="18"/>
        </w:rPr>
        <w:t>.</w:t>
      </w:r>
    </w:p>
  </w:footnote>
  <w:footnote w:id="35">
    <w:p w14:paraId="1855AA6C" w14:textId="7F1D742B" w:rsidR="00B31386" w:rsidRPr="00B31386" w:rsidRDefault="00B31386">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4" w:history="1">
        <w:r>
          <w:rPr>
            <w:rStyle w:val="Hyperlink"/>
            <w:rFonts w:ascii="Times New Roman" w:hAnsi="Times New Roman"/>
            <w:sz w:val="18"/>
          </w:rPr>
          <w:t>https://www.global-health-edctp3.europa.eu/index_en</w:t>
        </w:r>
      </w:hyperlink>
      <w:r>
        <w:t>.</w:t>
      </w:r>
      <w:r>
        <w:rPr>
          <w:rFonts w:ascii="Times New Roman" w:hAnsi="Times New Roman"/>
          <w:sz w:val="18"/>
        </w:rPr>
        <w:t xml:space="preserve"> </w:t>
      </w:r>
    </w:p>
  </w:footnote>
  <w:footnote w:id="36">
    <w:p w14:paraId="678D6765" w14:textId="0E010F35" w:rsidR="00B31386" w:rsidRPr="00B31386" w:rsidRDefault="00B31386">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5" w:history="1">
        <w:r>
          <w:rPr>
            <w:rStyle w:val="Hyperlink"/>
            <w:rFonts w:ascii="Times New Roman" w:hAnsi="Times New Roman"/>
            <w:sz w:val="18"/>
          </w:rPr>
          <w:t>https://www.glopid-r.org/</w:t>
        </w:r>
      </w:hyperlink>
      <w:r>
        <w:t>.</w:t>
      </w:r>
      <w:r>
        <w:rPr>
          <w:rFonts w:ascii="Times New Roman" w:hAnsi="Times New Roman"/>
          <w:sz w:val="18"/>
        </w:rPr>
        <w:t xml:space="preserve"> </w:t>
      </w:r>
    </w:p>
  </w:footnote>
  <w:footnote w:id="37">
    <w:p w14:paraId="0FC0A79A" w14:textId="72C9FECC" w:rsidR="003A7D4C" w:rsidRPr="007A3708" w:rsidRDefault="003A7D4C" w:rsidP="007A3708">
      <w:pPr>
        <w:pStyle w:val="FootnoteText"/>
        <w:jc w:val="both"/>
        <w:rPr>
          <w:rFonts w:ascii="Times New Roman" w:hAnsi="Times New Roman" w:cs="Times New Roman"/>
          <w:sz w:val="18"/>
          <w:szCs w:val="18"/>
        </w:rPr>
      </w:pPr>
      <w:r>
        <w:rPr>
          <w:rFonts w:ascii="Times New Roman" w:hAnsi="Times New Roman" w:cs="Times New Roman"/>
          <w:sz w:val="18"/>
          <w:szCs w:val="18"/>
        </w:rPr>
        <w:footnoteRef/>
      </w:r>
      <w:r>
        <w:t xml:space="preserve"> </w:t>
      </w:r>
      <w:r>
        <w:rPr>
          <w:rFonts w:ascii="Times New Roman" w:hAnsi="Times New Roman"/>
          <w:sz w:val="18"/>
        </w:rPr>
        <w:t>Signée le 20 mai 2025 à Genève en marge de l’Assemblée mondiale de la santé.</w:t>
      </w:r>
    </w:p>
  </w:footnote>
  <w:footnote w:id="38">
    <w:p w14:paraId="4C6DAF45" w14:textId="77777777" w:rsidR="008A5A72" w:rsidRPr="009105E9" w:rsidRDefault="008A5A72" w:rsidP="008A5A72">
      <w:pPr>
        <w:pStyle w:val="FootnoteText"/>
      </w:pPr>
      <w:r>
        <w:rPr>
          <w:rStyle w:val="FootnoteReference"/>
        </w:rPr>
        <w:footnoteRef/>
      </w:r>
      <w:r>
        <w:t xml:space="preserve"> </w:t>
      </w:r>
      <w:r>
        <w:rPr>
          <w:rStyle w:val="Hyperlink"/>
          <w:rFonts w:ascii="Times New Roman" w:hAnsi="Times New Roman"/>
          <w:sz w:val="18"/>
        </w:rPr>
        <w:t>Albanie, Bosnie-Herzégovine, Kosovo*[*Cette désignation est sans préjudice des positions sur le statut et est conforme à la résolution 1244 du Conseil de sécurité des Nations unies ainsi qu’à l’avis de la CIJ sur la déclaration d’indépendance du Kosovo], Monténégro, Macédoine du Nord et Serbie.</w:t>
      </w:r>
    </w:p>
  </w:footnote>
  <w:footnote w:id="39">
    <w:p w14:paraId="1E4AC428" w14:textId="1AE8001C" w:rsidR="00347BC0" w:rsidRPr="007A3708" w:rsidRDefault="00347BC0" w:rsidP="007A3708">
      <w:pPr>
        <w:pStyle w:val="FootnoteText"/>
        <w:jc w:val="both"/>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6" w:history="1">
        <w:r>
          <w:rPr>
            <w:rStyle w:val="Hyperlink"/>
            <w:rFonts w:ascii="Times New Roman" w:hAnsi="Times New Roman"/>
            <w:sz w:val="18"/>
          </w:rPr>
          <w:t>Plan «ReArm Europe»/Préparation à l’horizon 2030</w:t>
        </w:r>
        <w:bookmarkStart w:id="11" w:name="_Hlt201656081"/>
        <w:bookmarkStart w:id="12" w:name="_Hlt201656082"/>
        <w:bookmarkEnd w:id="11"/>
        <w:bookmarkEnd w:id="12"/>
      </w:hyperlink>
      <w:r>
        <w:rPr>
          <w:rFonts w:ascii="Times New Roman" w:hAnsi="Times New Roman"/>
          <w:sz w:val="18"/>
        </w:rPr>
        <w:t>.</w:t>
      </w:r>
    </w:p>
  </w:footnote>
  <w:footnote w:id="40">
    <w:p w14:paraId="123765B4" w14:textId="5EF24AA3" w:rsidR="4B129B2F" w:rsidRDefault="4B129B2F" w:rsidP="007A3708">
      <w:pPr>
        <w:pStyle w:val="FootnoteText"/>
        <w:jc w:val="both"/>
      </w:pPr>
      <w:r>
        <w:rPr>
          <w:rStyle w:val="FootnoteReference"/>
          <w:rFonts w:ascii="Times New Roman" w:hAnsi="Times New Roman" w:cs="Times New Roman"/>
          <w:sz w:val="18"/>
          <w:szCs w:val="18"/>
        </w:rPr>
        <w:footnoteRef/>
      </w:r>
      <w:r>
        <w:rPr>
          <w:rFonts w:ascii="Times New Roman" w:hAnsi="Times New Roman"/>
          <w:sz w:val="18"/>
        </w:rPr>
        <w:t xml:space="preserve"> Article 4 du règlement (UE) 2022/2371 concernant les menaces transfrontières graves pour la santé.</w:t>
      </w:r>
    </w:p>
  </w:footnote>
  <w:footnote w:id="41">
    <w:p w14:paraId="0D090916" w14:textId="5D72FE0A" w:rsidR="003A0897" w:rsidRPr="00A556E3" w:rsidRDefault="003A0897">
      <w:pPr>
        <w:pStyle w:val="FootnoteText"/>
        <w:rPr>
          <w:rFonts w:ascii="Times New Roman" w:hAnsi="Times New Roman" w:cs="Times New Roman"/>
          <w:sz w:val="18"/>
          <w:szCs w:val="18"/>
        </w:rPr>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7" w:anchor="eu-amr-one-health-network" w:history="1">
        <w:r>
          <w:rPr>
            <w:rStyle w:val="Hyperlink"/>
            <w:rFonts w:ascii="Times New Roman" w:hAnsi="Times New Roman"/>
            <w:sz w:val="18"/>
          </w:rPr>
          <w:t>https://health.ec.europa.eu/antimicrobial-resistance/eu-action-antimicrobial-resistance_fr</w:t>
        </w:r>
      </w:hyperlink>
      <w:r>
        <w:t>.</w:t>
      </w:r>
    </w:p>
  </w:footnote>
  <w:footnote w:id="42">
    <w:p w14:paraId="666C9B7D" w14:textId="07BECC90" w:rsidR="3C8A6711" w:rsidRDefault="3C8A6711" w:rsidP="3C8A6711">
      <w:pPr>
        <w:pStyle w:val="FootnoteText"/>
      </w:pPr>
      <w:r>
        <w:rPr>
          <w:rStyle w:val="FootnoteReference"/>
          <w:rFonts w:ascii="Times New Roman" w:hAnsi="Times New Roman" w:cs="Times New Roman"/>
          <w:sz w:val="18"/>
          <w:szCs w:val="18"/>
        </w:rPr>
        <w:footnoteRef/>
      </w:r>
      <w:r>
        <w:rPr>
          <w:rFonts w:ascii="Times New Roman" w:hAnsi="Times New Roman"/>
          <w:sz w:val="18"/>
        </w:rPr>
        <w:t xml:space="preserve"> </w:t>
      </w:r>
      <w:hyperlink r:id="rId28" w:history="1">
        <w:r>
          <w:rPr>
            <w:rStyle w:val="Hyperlink"/>
            <w:rFonts w:ascii="Times New Roman" w:hAnsi="Times New Roman"/>
            <w:sz w:val="18"/>
          </w:rPr>
          <w:t>L’union des compétences</w:t>
        </w:r>
      </w:hyperlink>
      <w:r>
        <w:rPr>
          <w:rFonts w:ascii="Times New Roman" w:hAnsi="Times New Roman"/>
          <w:sz w:val="18"/>
        </w:rPr>
        <w:t>.</w:t>
      </w:r>
    </w:p>
  </w:footnote>
  <w:footnote w:id="43">
    <w:p w14:paraId="3003766E" w14:textId="77777777" w:rsidR="00B31386" w:rsidRPr="00B31386" w:rsidRDefault="00B31386" w:rsidP="00B31386">
      <w:pPr>
        <w:pStyle w:val="FootnoteText"/>
        <w:rPr>
          <w:rFonts w:ascii="Times New Roman" w:hAnsi="Times New Roman" w:cs="Times New Roman"/>
        </w:rPr>
      </w:pPr>
      <w:r>
        <w:rPr>
          <w:rStyle w:val="FootnoteReference"/>
          <w:rFonts w:ascii="Times New Roman" w:hAnsi="Times New Roman" w:cs="Times New Roman"/>
          <w:sz w:val="18"/>
          <w:szCs w:val="18"/>
        </w:rPr>
        <w:footnoteRef/>
      </w:r>
      <w:r>
        <w:rPr>
          <w:rFonts w:ascii="Times New Roman" w:hAnsi="Times New Roman"/>
          <w:sz w:val="18"/>
        </w:rPr>
        <w:t xml:space="preserve"> Centre commun de recherche - Centre de compétences sur les connaissances comportementales.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3AC73D" w14:textId="77777777" w:rsidR="00DC2BA3" w:rsidRPr="00DC2BA3" w:rsidRDefault="00DC2BA3" w:rsidP="00DC2BA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D05BBC" w14:textId="77777777" w:rsidR="00DC2BA3" w:rsidRPr="00DC2BA3" w:rsidRDefault="00DC2BA3" w:rsidP="00DC2BA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2DF5B" w14:textId="77777777" w:rsidR="00DC2BA3" w:rsidRPr="00DC2BA3" w:rsidRDefault="00DC2BA3" w:rsidP="00DC2BA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5EA097" w14:textId="77777777" w:rsidR="00872A56" w:rsidRDefault="00872A5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668E1" w14:textId="77777777" w:rsidR="00872A56" w:rsidRDefault="00872A5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6E557A" w14:textId="77777777" w:rsidR="00872A56" w:rsidRDefault="00872A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4D22"/>
    <w:multiLevelType w:val="hybridMultilevel"/>
    <w:tmpl w:val="5AF0FD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E660EAE"/>
    <w:multiLevelType w:val="hybridMultilevel"/>
    <w:tmpl w:val="B69C15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3D1785F"/>
    <w:multiLevelType w:val="hybridMultilevel"/>
    <w:tmpl w:val="51242A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8883D60"/>
    <w:multiLevelType w:val="hybridMultilevel"/>
    <w:tmpl w:val="99CC937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B4A0D8F"/>
    <w:multiLevelType w:val="multilevel"/>
    <w:tmpl w:val="AE3A8CD0"/>
    <w:lvl w:ilvl="0">
      <w:start w:val="1"/>
      <w:numFmt w:val="decimal"/>
      <w:lvlText w:val="%1"/>
      <w:lvlJc w:val="left"/>
      <w:pPr>
        <w:ind w:left="1068" w:hanging="360"/>
      </w:pPr>
      <w:rPr>
        <w:rFonts w:hint="default"/>
      </w:rPr>
    </w:lvl>
    <w:lvl w:ilvl="1">
      <w:start w:val="1"/>
      <w:numFmt w:val="decimal"/>
      <w:pStyle w:val="Heading2"/>
      <w:lvlText w:val="%1.%2"/>
      <w:lvlJc w:val="left"/>
      <w:pPr>
        <w:ind w:left="1068" w:hanging="36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1788" w:hanging="1080"/>
      </w:pPr>
      <w:rPr>
        <w:rFonts w:hint="default"/>
      </w:rPr>
    </w:lvl>
    <w:lvl w:ilvl="6">
      <w:start w:val="1"/>
      <w:numFmt w:val="decimal"/>
      <w:lvlText w:val="%1.%2.%3.%4.%5.%6.%7"/>
      <w:lvlJc w:val="left"/>
      <w:pPr>
        <w:ind w:left="2148" w:hanging="1440"/>
      </w:pPr>
      <w:rPr>
        <w:rFonts w:hint="default"/>
      </w:rPr>
    </w:lvl>
    <w:lvl w:ilvl="7">
      <w:start w:val="1"/>
      <w:numFmt w:val="decimal"/>
      <w:lvlText w:val="%1.%2.%3.%4.%5.%6.%7.%8"/>
      <w:lvlJc w:val="left"/>
      <w:pPr>
        <w:ind w:left="2148" w:hanging="1440"/>
      </w:pPr>
      <w:rPr>
        <w:rFonts w:hint="default"/>
      </w:rPr>
    </w:lvl>
    <w:lvl w:ilvl="8">
      <w:start w:val="1"/>
      <w:numFmt w:val="decimal"/>
      <w:lvlText w:val="%1.%2.%3.%4.%5.%6.%7.%8.%9"/>
      <w:lvlJc w:val="left"/>
      <w:pPr>
        <w:ind w:left="2508" w:hanging="1800"/>
      </w:pPr>
      <w:rPr>
        <w:rFonts w:hint="default"/>
      </w:rPr>
    </w:lvl>
  </w:abstractNum>
  <w:abstractNum w:abstractNumId="5" w15:restartNumberingAfterBreak="0">
    <w:nsid w:val="22721CF6"/>
    <w:multiLevelType w:val="hybridMultilevel"/>
    <w:tmpl w:val="677A1C02"/>
    <w:lvl w:ilvl="0" w:tplc="1BDACD60">
      <w:start w:val="1"/>
      <w:numFmt w:val="bullet"/>
      <w:lvlText w:val=""/>
      <w:lvlJc w:val="left"/>
      <w:pPr>
        <w:ind w:left="720" w:hanging="360"/>
      </w:pPr>
      <w:rPr>
        <w:rFonts w:ascii="Symbol" w:hAnsi="Symbol" w:hint="default"/>
      </w:rPr>
    </w:lvl>
    <w:lvl w:ilvl="1" w:tplc="60481F4C" w:tentative="1">
      <w:start w:val="1"/>
      <w:numFmt w:val="bullet"/>
      <w:lvlText w:val="o"/>
      <w:lvlJc w:val="left"/>
      <w:pPr>
        <w:ind w:left="1440" w:hanging="360"/>
      </w:pPr>
      <w:rPr>
        <w:rFonts w:ascii="Courier New" w:hAnsi="Courier New" w:hint="default"/>
      </w:rPr>
    </w:lvl>
    <w:lvl w:ilvl="2" w:tplc="199863CA">
      <w:start w:val="1"/>
      <w:numFmt w:val="bullet"/>
      <w:lvlText w:val=""/>
      <w:lvlJc w:val="left"/>
      <w:pPr>
        <w:ind w:left="2160" w:hanging="360"/>
      </w:pPr>
      <w:rPr>
        <w:rFonts w:ascii="Wingdings" w:hAnsi="Wingdings" w:hint="default"/>
      </w:rPr>
    </w:lvl>
    <w:lvl w:ilvl="3" w:tplc="C6C2B624">
      <w:start w:val="1"/>
      <w:numFmt w:val="bullet"/>
      <w:lvlText w:val=""/>
      <w:lvlJc w:val="left"/>
      <w:pPr>
        <w:ind w:left="2880" w:hanging="360"/>
      </w:pPr>
      <w:rPr>
        <w:rFonts w:ascii="Symbol" w:hAnsi="Symbol" w:hint="default"/>
      </w:rPr>
    </w:lvl>
    <w:lvl w:ilvl="4" w:tplc="13D673A6" w:tentative="1">
      <w:start w:val="1"/>
      <w:numFmt w:val="bullet"/>
      <w:lvlText w:val="o"/>
      <w:lvlJc w:val="left"/>
      <w:pPr>
        <w:ind w:left="3600" w:hanging="360"/>
      </w:pPr>
      <w:rPr>
        <w:rFonts w:ascii="Courier New" w:hAnsi="Courier New" w:hint="default"/>
      </w:rPr>
    </w:lvl>
    <w:lvl w:ilvl="5" w:tplc="32F8D4C8" w:tentative="1">
      <w:start w:val="1"/>
      <w:numFmt w:val="bullet"/>
      <w:lvlText w:val=""/>
      <w:lvlJc w:val="left"/>
      <w:pPr>
        <w:ind w:left="4320" w:hanging="360"/>
      </w:pPr>
      <w:rPr>
        <w:rFonts w:ascii="Wingdings" w:hAnsi="Wingdings" w:hint="default"/>
      </w:rPr>
    </w:lvl>
    <w:lvl w:ilvl="6" w:tplc="85F0A7AA" w:tentative="1">
      <w:start w:val="1"/>
      <w:numFmt w:val="bullet"/>
      <w:lvlText w:val=""/>
      <w:lvlJc w:val="left"/>
      <w:pPr>
        <w:ind w:left="5040" w:hanging="360"/>
      </w:pPr>
      <w:rPr>
        <w:rFonts w:ascii="Symbol" w:hAnsi="Symbol" w:hint="default"/>
      </w:rPr>
    </w:lvl>
    <w:lvl w:ilvl="7" w:tplc="A8545132" w:tentative="1">
      <w:start w:val="1"/>
      <w:numFmt w:val="bullet"/>
      <w:lvlText w:val="o"/>
      <w:lvlJc w:val="left"/>
      <w:pPr>
        <w:ind w:left="5760" w:hanging="360"/>
      </w:pPr>
      <w:rPr>
        <w:rFonts w:ascii="Courier New" w:hAnsi="Courier New" w:hint="default"/>
      </w:rPr>
    </w:lvl>
    <w:lvl w:ilvl="8" w:tplc="4E966642" w:tentative="1">
      <w:start w:val="1"/>
      <w:numFmt w:val="bullet"/>
      <w:lvlText w:val=""/>
      <w:lvlJc w:val="left"/>
      <w:pPr>
        <w:ind w:left="6480" w:hanging="360"/>
      </w:pPr>
      <w:rPr>
        <w:rFonts w:ascii="Wingdings" w:hAnsi="Wingdings" w:hint="default"/>
      </w:rPr>
    </w:lvl>
  </w:abstractNum>
  <w:abstractNum w:abstractNumId="6" w15:restartNumberingAfterBreak="0">
    <w:nsid w:val="28160116"/>
    <w:multiLevelType w:val="hybridMultilevel"/>
    <w:tmpl w:val="186EA7C4"/>
    <w:lvl w:ilvl="0" w:tplc="16029008">
      <w:numFmt w:val="bullet"/>
      <w:lvlText w:val=""/>
      <w:lvlJc w:val="left"/>
      <w:pPr>
        <w:ind w:left="720" w:hanging="360"/>
      </w:pPr>
      <w:rPr>
        <w:rFonts w:ascii="Symbol" w:eastAsia="Aptos" w:hAnsi="Symbol" w:cs="Times New Roman"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7" w15:restartNumberingAfterBreak="0">
    <w:nsid w:val="364820DB"/>
    <w:multiLevelType w:val="hybridMultilevel"/>
    <w:tmpl w:val="3B360CCA"/>
    <w:lvl w:ilvl="0" w:tplc="E1889A60">
      <w:start w:val="1"/>
      <w:numFmt w:val="decimal"/>
      <w:lvlText w:val="%1)"/>
      <w:lvlJc w:val="left"/>
      <w:pPr>
        <w:ind w:left="1020" w:hanging="360"/>
      </w:pPr>
    </w:lvl>
    <w:lvl w:ilvl="1" w:tplc="EDA22164">
      <w:start w:val="1"/>
      <w:numFmt w:val="decimal"/>
      <w:lvlText w:val="%2)"/>
      <w:lvlJc w:val="left"/>
      <w:pPr>
        <w:ind w:left="1020" w:hanging="360"/>
      </w:pPr>
    </w:lvl>
    <w:lvl w:ilvl="2" w:tplc="845EA128">
      <w:start w:val="1"/>
      <w:numFmt w:val="decimal"/>
      <w:lvlText w:val="%3)"/>
      <w:lvlJc w:val="left"/>
      <w:pPr>
        <w:ind w:left="1020" w:hanging="360"/>
      </w:pPr>
    </w:lvl>
    <w:lvl w:ilvl="3" w:tplc="1DF0E0E8">
      <w:start w:val="1"/>
      <w:numFmt w:val="decimal"/>
      <w:lvlText w:val="%4)"/>
      <w:lvlJc w:val="left"/>
      <w:pPr>
        <w:ind w:left="1020" w:hanging="360"/>
      </w:pPr>
    </w:lvl>
    <w:lvl w:ilvl="4" w:tplc="A1CEE488">
      <w:start w:val="1"/>
      <w:numFmt w:val="decimal"/>
      <w:lvlText w:val="%5)"/>
      <w:lvlJc w:val="left"/>
      <w:pPr>
        <w:ind w:left="1020" w:hanging="360"/>
      </w:pPr>
    </w:lvl>
    <w:lvl w:ilvl="5" w:tplc="C804DBFE">
      <w:start w:val="1"/>
      <w:numFmt w:val="decimal"/>
      <w:lvlText w:val="%6)"/>
      <w:lvlJc w:val="left"/>
      <w:pPr>
        <w:ind w:left="1020" w:hanging="360"/>
      </w:pPr>
    </w:lvl>
    <w:lvl w:ilvl="6" w:tplc="4606E506">
      <w:start w:val="1"/>
      <w:numFmt w:val="decimal"/>
      <w:lvlText w:val="%7)"/>
      <w:lvlJc w:val="left"/>
      <w:pPr>
        <w:ind w:left="1020" w:hanging="360"/>
      </w:pPr>
    </w:lvl>
    <w:lvl w:ilvl="7" w:tplc="C5C496D4">
      <w:start w:val="1"/>
      <w:numFmt w:val="decimal"/>
      <w:lvlText w:val="%8)"/>
      <w:lvlJc w:val="left"/>
      <w:pPr>
        <w:ind w:left="1020" w:hanging="360"/>
      </w:pPr>
    </w:lvl>
    <w:lvl w:ilvl="8" w:tplc="E514C066">
      <w:start w:val="1"/>
      <w:numFmt w:val="decimal"/>
      <w:lvlText w:val="%9)"/>
      <w:lvlJc w:val="left"/>
      <w:pPr>
        <w:ind w:left="1020" w:hanging="360"/>
      </w:pPr>
    </w:lvl>
  </w:abstractNum>
  <w:abstractNum w:abstractNumId="8" w15:restartNumberingAfterBreak="0">
    <w:nsid w:val="3FE32E6A"/>
    <w:multiLevelType w:val="multilevel"/>
    <w:tmpl w:val="86D86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3C10F08"/>
    <w:multiLevelType w:val="hybridMultilevel"/>
    <w:tmpl w:val="18D293FC"/>
    <w:lvl w:ilvl="0" w:tplc="1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3FF5A95"/>
    <w:multiLevelType w:val="hybridMultilevel"/>
    <w:tmpl w:val="ACA0129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617331D"/>
    <w:multiLevelType w:val="hybridMultilevel"/>
    <w:tmpl w:val="34ECC54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4EB24C7A"/>
    <w:multiLevelType w:val="hybridMultilevel"/>
    <w:tmpl w:val="74265D14"/>
    <w:lvl w:ilvl="0" w:tplc="1F3C99D8">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86C746A"/>
    <w:multiLevelType w:val="hybridMultilevel"/>
    <w:tmpl w:val="B6347116"/>
    <w:lvl w:ilvl="0" w:tplc="ECA64B56">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58BF53EF"/>
    <w:multiLevelType w:val="multilevel"/>
    <w:tmpl w:val="C56C6C44"/>
    <w:lvl w:ilvl="0">
      <w:start w:val="1"/>
      <w:numFmt w:val="decimal"/>
      <w:lvlText w:val="%1."/>
      <w:lvlJc w:val="left"/>
      <w:pPr>
        <w:tabs>
          <w:tab w:val="num" w:pos="720"/>
        </w:tabs>
        <w:ind w:left="720" w:hanging="360"/>
      </w:pPr>
    </w:lvl>
    <w:lvl w:ilvl="1">
      <w:start w:val="3"/>
      <w:numFmt w:val="bullet"/>
      <w:lvlText w:val="-"/>
      <w:lvlJc w:val="left"/>
      <w:pPr>
        <w:ind w:left="1440" w:hanging="360"/>
      </w:pPr>
      <w:rPr>
        <w:rFonts w:ascii="Times New Roman" w:eastAsiaTheme="minorHAnsi"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AFA0045"/>
    <w:multiLevelType w:val="hybridMultilevel"/>
    <w:tmpl w:val="019AEEAA"/>
    <w:lvl w:ilvl="0" w:tplc="E0B8B338">
      <w:start w:val="1"/>
      <w:numFmt w:val="bullet"/>
      <w:lvlText w:val="-"/>
      <w:lvlJc w:val="left"/>
      <w:pPr>
        <w:ind w:left="720" w:hanging="360"/>
      </w:pPr>
      <w:rPr>
        <w:rFonts w:ascii="Aptos" w:eastAsiaTheme="minorHAnsi" w:hAnsi="Aptos" w:cstheme="minorBid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BC43A00"/>
    <w:multiLevelType w:val="hybridMultilevel"/>
    <w:tmpl w:val="B31CD23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61F83BA7"/>
    <w:multiLevelType w:val="hybridMultilevel"/>
    <w:tmpl w:val="6AFA98F2"/>
    <w:lvl w:ilvl="0" w:tplc="E81AB102">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62182502"/>
    <w:multiLevelType w:val="hybridMultilevel"/>
    <w:tmpl w:val="FFFFFFFF"/>
    <w:lvl w:ilvl="0" w:tplc="FC04E696">
      <w:start w:val="1"/>
      <w:numFmt w:val="bullet"/>
      <w:lvlText w:val="-"/>
      <w:lvlJc w:val="left"/>
      <w:pPr>
        <w:ind w:left="720" w:hanging="360"/>
      </w:pPr>
      <w:rPr>
        <w:rFonts w:ascii="Aptos" w:hAnsi="Aptos" w:hint="default"/>
      </w:rPr>
    </w:lvl>
    <w:lvl w:ilvl="1" w:tplc="A92458AE">
      <w:start w:val="1"/>
      <w:numFmt w:val="bullet"/>
      <w:lvlText w:val="o"/>
      <w:lvlJc w:val="left"/>
      <w:pPr>
        <w:ind w:left="1440" w:hanging="360"/>
      </w:pPr>
      <w:rPr>
        <w:rFonts w:ascii="Courier New" w:hAnsi="Courier New" w:hint="default"/>
      </w:rPr>
    </w:lvl>
    <w:lvl w:ilvl="2" w:tplc="7AB4CDF6">
      <w:start w:val="1"/>
      <w:numFmt w:val="bullet"/>
      <w:lvlText w:val=""/>
      <w:lvlJc w:val="left"/>
      <w:pPr>
        <w:ind w:left="2160" w:hanging="360"/>
      </w:pPr>
      <w:rPr>
        <w:rFonts w:ascii="Wingdings" w:hAnsi="Wingdings" w:hint="default"/>
      </w:rPr>
    </w:lvl>
    <w:lvl w:ilvl="3" w:tplc="E1504950">
      <w:start w:val="1"/>
      <w:numFmt w:val="bullet"/>
      <w:lvlText w:val=""/>
      <w:lvlJc w:val="left"/>
      <w:pPr>
        <w:ind w:left="2880" w:hanging="360"/>
      </w:pPr>
      <w:rPr>
        <w:rFonts w:ascii="Symbol" w:hAnsi="Symbol" w:hint="default"/>
      </w:rPr>
    </w:lvl>
    <w:lvl w:ilvl="4" w:tplc="D8A03256">
      <w:start w:val="1"/>
      <w:numFmt w:val="bullet"/>
      <w:lvlText w:val="o"/>
      <w:lvlJc w:val="left"/>
      <w:pPr>
        <w:ind w:left="3600" w:hanging="360"/>
      </w:pPr>
      <w:rPr>
        <w:rFonts w:ascii="Courier New" w:hAnsi="Courier New" w:hint="default"/>
      </w:rPr>
    </w:lvl>
    <w:lvl w:ilvl="5" w:tplc="7C88CE2C">
      <w:start w:val="1"/>
      <w:numFmt w:val="bullet"/>
      <w:lvlText w:val=""/>
      <w:lvlJc w:val="left"/>
      <w:pPr>
        <w:ind w:left="4320" w:hanging="360"/>
      </w:pPr>
      <w:rPr>
        <w:rFonts w:ascii="Wingdings" w:hAnsi="Wingdings" w:hint="default"/>
      </w:rPr>
    </w:lvl>
    <w:lvl w:ilvl="6" w:tplc="E69EEAC2">
      <w:start w:val="1"/>
      <w:numFmt w:val="bullet"/>
      <w:lvlText w:val=""/>
      <w:lvlJc w:val="left"/>
      <w:pPr>
        <w:ind w:left="5040" w:hanging="360"/>
      </w:pPr>
      <w:rPr>
        <w:rFonts w:ascii="Symbol" w:hAnsi="Symbol" w:hint="default"/>
      </w:rPr>
    </w:lvl>
    <w:lvl w:ilvl="7" w:tplc="C22A77F8">
      <w:start w:val="1"/>
      <w:numFmt w:val="bullet"/>
      <w:lvlText w:val="o"/>
      <w:lvlJc w:val="left"/>
      <w:pPr>
        <w:ind w:left="5760" w:hanging="360"/>
      </w:pPr>
      <w:rPr>
        <w:rFonts w:ascii="Courier New" w:hAnsi="Courier New" w:hint="default"/>
      </w:rPr>
    </w:lvl>
    <w:lvl w:ilvl="8" w:tplc="E7E039B0">
      <w:start w:val="1"/>
      <w:numFmt w:val="bullet"/>
      <w:lvlText w:val=""/>
      <w:lvlJc w:val="left"/>
      <w:pPr>
        <w:ind w:left="6480" w:hanging="360"/>
      </w:pPr>
      <w:rPr>
        <w:rFonts w:ascii="Wingdings" w:hAnsi="Wingdings" w:hint="default"/>
      </w:rPr>
    </w:lvl>
  </w:abstractNum>
  <w:abstractNum w:abstractNumId="19" w15:restartNumberingAfterBreak="0">
    <w:nsid w:val="6BBB3E60"/>
    <w:multiLevelType w:val="hybridMultilevel"/>
    <w:tmpl w:val="2E62BA5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20" w15:restartNumberingAfterBreak="0">
    <w:nsid w:val="6C8741CF"/>
    <w:multiLevelType w:val="hybridMultilevel"/>
    <w:tmpl w:val="34CE3468"/>
    <w:lvl w:ilvl="0" w:tplc="04070013">
      <w:start w:val="1"/>
      <w:numFmt w:val="upperRoman"/>
      <w:lvlText w:val="%1."/>
      <w:lvlJc w:val="righ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77456DEC"/>
    <w:multiLevelType w:val="hybridMultilevel"/>
    <w:tmpl w:val="73C2398A"/>
    <w:lvl w:ilvl="0" w:tplc="C3AC3A2E">
      <w:start w:val="1"/>
      <w:numFmt w:val="decimal"/>
      <w:lvlText w:val="%1)"/>
      <w:lvlJc w:val="left"/>
      <w:pPr>
        <w:ind w:left="1020" w:hanging="360"/>
      </w:pPr>
    </w:lvl>
    <w:lvl w:ilvl="1" w:tplc="459E43D8">
      <w:start w:val="1"/>
      <w:numFmt w:val="decimal"/>
      <w:lvlText w:val="%2)"/>
      <w:lvlJc w:val="left"/>
      <w:pPr>
        <w:ind w:left="1020" w:hanging="360"/>
      </w:pPr>
    </w:lvl>
    <w:lvl w:ilvl="2" w:tplc="452889D6">
      <w:start w:val="1"/>
      <w:numFmt w:val="decimal"/>
      <w:lvlText w:val="%3)"/>
      <w:lvlJc w:val="left"/>
      <w:pPr>
        <w:ind w:left="1020" w:hanging="360"/>
      </w:pPr>
    </w:lvl>
    <w:lvl w:ilvl="3" w:tplc="6A12AA0C">
      <w:start w:val="1"/>
      <w:numFmt w:val="decimal"/>
      <w:lvlText w:val="%4)"/>
      <w:lvlJc w:val="left"/>
      <w:pPr>
        <w:ind w:left="1020" w:hanging="360"/>
      </w:pPr>
    </w:lvl>
    <w:lvl w:ilvl="4" w:tplc="FEB6187C">
      <w:start w:val="1"/>
      <w:numFmt w:val="decimal"/>
      <w:lvlText w:val="%5)"/>
      <w:lvlJc w:val="left"/>
      <w:pPr>
        <w:ind w:left="1020" w:hanging="360"/>
      </w:pPr>
    </w:lvl>
    <w:lvl w:ilvl="5" w:tplc="98547392">
      <w:start w:val="1"/>
      <w:numFmt w:val="decimal"/>
      <w:lvlText w:val="%6)"/>
      <w:lvlJc w:val="left"/>
      <w:pPr>
        <w:ind w:left="1020" w:hanging="360"/>
      </w:pPr>
    </w:lvl>
    <w:lvl w:ilvl="6" w:tplc="39B42522">
      <w:start w:val="1"/>
      <w:numFmt w:val="decimal"/>
      <w:lvlText w:val="%7)"/>
      <w:lvlJc w:val="left"/>
      <w:pPr>
        <w:ind w:left="1020" w:hanging="360"/>
      </w:pPr>
    </w:lvl>
    <w:lvl w:ilvl="7" w:tplc="E550D74C">
      <w:start w:val="1"/>
      <w:numFmt w:val="decimal"/>
      <w:lvlText w:val="%8)"/>
      <w:lvlJc w:val="left"/>
      <w:pPr>
        <w:ind w:left="1020" w:hanging="360"/>
      </w:pPr>
    </w:lvl>
    <w:lvl w:ilvl="8" w:tplc="2F6C8A50">
      <w:start w:val="1"/>
      <w:numFmt w:val="decimal"/>
      <w:lvlText w:val="%9)"/>
      <w:lvlJc w:val="left"/>
      <w:pPr>
        <w:ind w:left="1020" w:hanging="360"/>
      </w:pPr>
    </w:lvl>
  </w:abstractNum>
  <w:abstractNum w:abstractNumId="22" w15:restartNumberingAfterBreak="0">
    <w:nsid w:val="77943D99"/>
    <w:multiLevelType w:val="multilevel"/>
    <w:tmpl w:val="A8BA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E7C40AC"/>
    <w:multiLevelType w:val="hybridMultilevel"/>
    <w:tmpl w:val="AA04DA20"/>
    <w:lvl w:ilvl="0" w:tplc="8382A248">
      <w:start w:val="1"/>
      <w:numFmt w:val="bullet"/>
      <w:lvlText w:val=""/>
      <w:lvlJc w:val="left"/>
      <w:pPr>
        <w:ind w:left="1020" w:hanging="360"/>
      </w:pPr>
      <w:rPr>
        <w:rFonts w:ascii="Symbol" w:hAnsi="Symbol"/>
      </w:rPr>
    </w:lvl>
    <w:lvl w:ilvl="1" w:tplc="25161EC8">
      <w:start w:val="1"/>
      <w:numFmt w:val="bullet"/>
      <w:lvlText w:val=""/>
      <w:lvlJc w:val="left"/>
      <w:pPr>
        <w:ind w:left="1020" w:hanging="360"/>
      </w:pPr>
      <w:rPr>
        <w:rFonts w:ascii="Symbol" w:hAnsi="Symbol"/>
      </w:rPr>
    </w:lvl>
    <w:lvl w:ilvl="2" w:tplc="35207234">
      <w:start w:val="1"/>
      <w:numFmt w:val="bullet"/>
      <w:lvlText w:val=""/>
      <w:lvlJc w:val="left"/>
      <w:pPr>
        <w:ind w:left="1020" w:hanging="360"/>
      </w:pPr>
      <w:rPr>
        <w:rFonts w:ascii="Symbol" w:hAnsi="Symbol"/>
      </w:rPr>
    </w:lvl>
    <w:lvl w:ilvl="3" w:tplc="ADD2F960">
      <w:start w:val="1"/>
      <w:numFmt w:val="bullet"/>
      <w:lvlText w:val=""/>
      <w:lvlJc w:val="left"/>
      <w:pPr>
        <w:ind w:left="1020" w:hanging="360"/>
      </w:pPr>
      <w:rPr>
        <w:rFonts w:ascii="Symbol" w:hAnsi="Symbol"/>
      </w:rPr>
    </w:lvl>
    <w:lvl w:ilvl="4" w:tplc="94F88842">
      <w:start w:val="1"/>
      <w:numFmt w:val="bullet"/>
      <w:lvlText w:val=""/>
      <w:lvlJc w:val="left"/>
      <w:pPr>
        <w:ind w:left="1020" w:hanging="360"/>
      </w:pPr>
      <w:rPr>
        <w:rFonts w:ascii="Symbol" w:hAnsi="Symbol"/>
      </w:rPr>
    </w:lvl>
    <w:lvl w:ilvl="5" w:tplc="F63E7458">
      <w:start w:val="1"/>
      <w:numFmt w:val="bullet"/>
      <w:lvlText w:val=""/>
      <w:lvlJc w:val="left"/>
      <w:pPr>
        <w:ind w:left="1020" w:hanging="360"/>
      </w:pPr>
      <w:rPr>
        <w:rFonts w:ascii="Symbol" w:hAnsi="Symbol"/>
      </w:rPr>
    </w:lvl>
    <w:lvl w:ilvl="6" w:tplc="B3EA96CC">
      <w:start w:val="1"/>
      <w:numFmt w:val="bullet"/>
      <w:lvlText w:val=""/>
      <w:lvlJc w:val="left"/>
      <w:pPr>
        <w:ind w:left="1020" w:hanging="360"/>
      </w:pPr>
      <w:rPr>
        <w:rFonts w:ascii="Symbol" w:hAnsi="Symbol"/>
      </w:rPr>
    </w:lvl>
    <w:lvl w:ilvl="7" w:tplc="A9B04EA0">
      <w:start w:val="1"/>
      <w:numFmt w:val="bullet"/>
      <w:lvlText w:val=""/>
      <w:lvlJc w:val="left"/>
      <w:pPr>
        <w:ind w:left="1020" w:hanging="360"/>
      </w:pPr>
      <w:rPr>
        <w:rFonts w:ascii="Symbol" w:hAnsi="Symbol"/>
      </w:rPr>
    </w:lvl>
    <w:lvl w:ilvl="8" w:tplc="DD3A9842">
      <w:start w:val="1"/>
      <w:numFmt w:val="bullet"/>
      <w:lvlText w:val=""/>
      <w:lvlJc w:val="left"/>
      <w:pPr>
        <w:ind w:left="1020" w:hanging="360"/>
      </w:pPr>
      <w:rPr>
        <w:rFonts w:ascii="Symbol" w:hAnsi="Symbol"/>
      </w:rPr>
    </w:lvl>
  </w:abstractNum>
  <w:abstractNum w:abstractNumId="24" w15:restartNumberingAfterBreak="0">
    <w:nsid w:val="7EB94E46"/>
    <w:multiLevelType w:val="hybridMultilevel"/>
    <w:tmpl w:val="0FE073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FA704C7"/>
    <w:multiLevelType w:val="hybridMultilevel"/>
    <w:tmpl w:val="34FC197A"/>
    <w:lvl w:ilvl="0" w:tplc="ABF69CFE">
      <w:start w:val="1"/>
      <w:numFmt w:val="decimal"/>
      <w:pStyle w:val="Heading1"/>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num w:numId="1">
    <w:abstractNumId w:val="5"/>
  </w:num>
  <w:num w:numId="2">
    <w:abstractNumId w:val="25"/>
  </w:num>
  <w:num w:numId="3">
    <w:abstractNumId w:val="4"/>
  </w:num>
  <w:num w:numId="4">
    <w:abstractNumId w:val="9"/>
  </w:num>
  <w:num w:numId="5">
    <w:abstractNumId w:val="1"/>
  </w:num>
  <w:num w:numId="6">
    <w:abstractNumId w:val="24"/>
  </w:num>
  <w:num w:numId="7">
    <w:abstractNumId w:val="20"/>
  </w:num>
  <w:num w:numId="8">
    <w:abstractNumId w:val="14"/>
  </w:num>
  <w:num w:numId="9">
    <w:abstractNumId w:val="10"/>
  </w:num>
  <w:num w:numId="10">
    <w:abstractNumId w:val="15"/>
  </w:num>
  <w:num w:numId="11">
    <w:abstractNumId w:val="0"/>
  </w:num>
  <w:num w:numId="12">
    <w:abstractNumId w:val="2"/>
  </w:num>
  <w:num w:numId="13">
    <w:abstractNumId w:val="3"/>
  </w:num>
  <w:num w:numId="14">
    <w:abstractNumId w:val="16"/>
  </w:num>
  <w:num w:numId="15">
    <w:abstractNumId w:val="23"/>
  </w:num>
  <w:num w:numId="16">
    <w:abstractNumId w:val="18"/>
  </w:num>
  <w:num w:numId="17">
    <w:abstractNumId w:val="7"/>
  </w:num>
  <w:num w:numId="18">
    <w:abstractNumId w:val="21"/>
  </w:num>
  <w:num w:numId="19">
    <w:abstractNumId w:val="11"/>
  </w:num>
  <w:num w:numId="20">
    <w:abstractNumId w:val="6"/>
  </w:num>
  <w:num w:numId="21">
    <w:abstractNumId w:val="19"/>
  </w:num>
  <w:num w:numId="22">
    <w:abstractNumId w:val="8"/>
  </w:num>
  <w:num w:numId="23">
    <w:abstractNumId w:val="22"/>
  </w:num>
  <w:num w:numId="24">
    <w:abstractNumId w:val="17"/>
  </w:num>
  <w:num w:numId="25">
    <w:abstractNumId w:val="25"/>
  </w:num>
  <w:num w:numId="26">
    <w:abstractNumId w:val="4"/>
  </w:num>
  <w:num w:numId="27">
    <w:abstractNumId w:val="4"/>
  </w:num>
  <w:num w:numId="28">
    <w:abstractNumId w:val="12"/>
  </w:num>
  <w:num w:numId="29">
    <w:abstractNumId w:val="25"/>
  </w:num>
  <w:num w:numId="30">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08"/>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FD63CF7-1CA9-4F58-9F40-8204A113C2D6"/>
    <w:docVar w:name="LW_COVERPAGE_TYPE" w:val="1"/>
    <w:docVar w:name="LW_CROSSREFERENCE" w:val="&lt;UNUSED&gt;"/>
    <w:docVar w:name="LW_DocType" w:val="NORMAL"/>
    <w:docVar w:name="LW_EMISSION" w:val="9.7.2025"/>
    <w:docVar w:name="LW_EMISSION_ISODATE" w:val="2025-07-09"/>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529"/>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Préparer l\u8217?Union européenne à la prochaine crise sanitaire: une stratégie en matière de contre-mesures médicales&lt;/FMT&gt;"/>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872A56"/>
    <w:rsid w:val="000000F7"/>
    <w:rsid w:val="0000010F"/>
    <w:rsid w:val="0000011C"/>
    <w:rsid w:val="000003EE"/>
    <w:rsid w:val="000003FD"/>
    <w:rsid w:val="00000440"/>
    <w:rsid w:val="00000608"/>
    <w:rsid w:val="0000079D"/>
    <w:rsid w:val="000007A2"/>
    <w:rsid w:val="0000091A"/>
    <w:rsid w:val="000009D6"/>
    <w:rsid w:val="00000AE6"/>
    <w:rsid w:val="00000B9F"/>
    <w:rsid w:val="00000CCB"/>
    <w:rsid w:val="00000CFE"/>
    <w:rsid w:val="00000D6B"/>
    <w:rsid w:val="00000EB7"/>
    <w:rsid w:val="00000EC9"/>
    <w:rsid w:val="00000F42"/>
    <w:rsid w:val="0000119D"/>
    <w:rsid w:val="000011B8"/>
    <w:rsid w:val="000011E3"/>
    <w:rsid w:val="000012BD"/>
    <w:rsid w:val="0000142E"/>
    <w:rsid w:val="000015A1"/>
    <w:rsid w:val="000017C2"/>
    <w:rsid w:val="0000181B"/>
    <w:rsid w:val="000018A9"/>
    <w:rsid w:val="00001A26"/>
    <w:rsid w:val="00001BCD"/>
    <w:rsid w:val="00001DA4"/>
    <w:rsid w:val="00001E48"/>
    <w:rsid w:val="000020C3"/>
    <w:rsid w:val="000020D4"/>
    <w:rsid w:val="00002159"/>
    <w:rsid w:val="000023B3"/>
    <w:rsid w:val="00002469"/>
    <w:rsid w:val="000025AA"/>
    <w:rsid w:val="0000267D"/>
    <w:rsid w:val="000026E7"/>
    <w:rsid w:val="0000273D"/>
    <w:rsid w:val="000027AC"/>
    <w:rsid w:val="000028E4"/>
    <w:rsid w:val="000028F2"/>
    <w:rsid w:val="00002C99"/>
    <w:rsid w:val="00002D35"/>
    <w:rsid w:val="00002F39"/>
    <w:rsid w:val="00002FBA"/>
    <w:rsid w:val="0000312F"/>
    <w:rsid w:val="00003572"/>
    <w:rsid w:val="000035BE"/>
    <w:rsid w:val="000036F8"/>
    <w:rsid w:val="000037CB"/>
    <w:rsid w:val="00003B70"/>
    <w:rsid w:val="00003BF8"/>
    <w:rsid w:val="00003C35"/>
    <w:rsid w:val="00003DCE"/>
    <w:rsid w:val="00003EEA"/>
    <w:rsid w:val="000040E7"/>
    <w:rsid w:val="000041CA"/>
    <w:rsid w:val="00004430"/>
    <w:rsid w:val="00004797"/>
    <w:rsid w:val="0000487D"/>
    <w:rsid w:val="000049D7"/>
    <w:rsid w:val="00004BB6"/>
    <w:rsid w:val="00004C71"/>
    <w:rsid w:val="00004CFF"/>
    <w:rsid w:val="00004DEB"/>
    <w:rsid w:val="00004EC5"/>
    <w:rsid w:val="00004EE5"/>
    <w:rsid w:val="0000505B"/>
    <w:rsid w:val="000051A2"/>
    <w:rsid w:val="00005540"/>
    <w:rsid w:val="00005580"/>
    <w:rsid w:val="00005589"/>
    <w:rsid w:val="000058FF"/>
    <w:rsid w:val="00005A90"/>
    <w:rsid w:val="00005B19"/>
    <w:rsid w:val="00005C40"/>
    <w:rsid w:val="00005C5D"/>
    <w:rsid w:val="00005D14"/>
    <w:rsid w:val="00005E3D"/>
    <w:rsid w:val="00005F15"/>
    <w:rsid w:val="00005FAC"/>
    <w:rsid w:val="0000609A"/>
    <w:rsid w:val="000060B4"/>
    <w:rsid w:val="000060DA"/>
    <w:rsid w:val="000060EA"/>
    <w:rsid w:val="00006216"/>
    <w:rsid w:val="00006229"/>
    <w:rsid w:val="000062E1"/>
    <w:rsid w:val="000064B1"/>
    <w:rsid w:val="00006539"/>
    <w:rsid w:val="0000670B"/>
    <w:rsid w:val="00006785"/>
    <w:rsid w:val="00006857"/>
    <w:rsid w:val="00006A7C"/>
    <w:rsid w:val="00006BC8"/>
    <w:rsid w:val="00006C09"/>
    <w:rsid w:val="00006CEE"/>
    <w:rsid w:val="00006DB8"/>
    <w:rsid w:val="00006F0A"/>
    <w:rsid w:val="00007071"/>
    <w:rsid w:val="00007160"/>
    <w:rsid w:val="0000728D"/>
    <w:rsid w:val="000074C8"/>
    <w:rsid w:val="00007607"/>
    <w:rsid w:val="000077BF"/>
    <w:rsid w:val="00007986"/>
    <w:rsid w:val="00007A19"/>
    <w:rsid w:val="00007A97"/>
    <w:rsid w:val="00007AC9"/>
    <w:rsid w:val="00007C10"/>
    <w:rsid w:val="00007D8F"/>
    <w:rsid w:val="00007EE6"/>
    <w:rsid w:val="00007F64"/>
    <w:rsid w:val="00010009"/>
    <w:rsid w:val="00010273"/>
    <w:rsid w:val="00010563"/>
    <w:rsid w:val="00010764"/>
    <w:rsid w:val="00010972"/>
    <w:rsid w:val="00010A96"/>
    <w:rsid w:val="00010AAA"/>
    <w:rsid w:val="00010E65"/>
    <w:rsid w:val="00010F50"/>
    <w:rsid w:val="00011093"/>
    <w:rsid w:val="00011113"/>
    <w:rsid w:val="0001111A"/>
    <w:rsid w:val="000114A6"/>
    <w:rsid w:val="000114E8"/>
    <w:rsid w:val="0001157F"/>
    <w:rsid w:val="00011660"/>
    <w:rsid w:val="0001172D"/>
    <w:rsid w:val="0001173F"/>
    <w:rsid w:val="000117E2"/>
    <w:rsid w:val="0001186E"/>
    <w:rsid w:val="00011875"/>
    <w:rsid w:val="00011A41"/>
    <w:rsid w:val="00011C33"/>
    <w:rsid w:val="00011D1E"/>
    <w:rsid w:val="00011F90"/>
    <w:rsid w:val="00012088"/>
    <w:rsid w:val="000120E7"/>
    <w:rsid w:val="000123B6"/>
    <w:rsid w:val="000125E1"/>
    <w:rsid w:val="00012611"/>
    <w:rsid w:val="00012658"/>
    <w:rsid w:val="0001291F"/>
    <w:rsid w:val="00012AF3"/>
    <w:rsid w:val="00012AF9"/>
    <w:rsid w:val="00012CE3"/>
    <w:rsid w:val="00012E24"/>
    <w:rsid w:val="00012E75"/>
    <w:rsid w:val="00012EB7"/>
    <w:rsid w:val="00013039"/>
    <w:rsid w:val="00013042"/>
    <w:rsid w:val="000130D2"/>
    <w:rsid w:val="00013236"/>
    <w:rsid w:val="00013243"/>
    <w:rsid w:val="000132C0"/>
    <w:rsid w:val="0001339C"/>
    <w:rsid w:val="000133D3"/>
    <w:rsid w:val="00013449"/>
    <w:rsid w:val="00013456"/>
    <w:rsid w:val="00013595"/>
    <w:rsid w:val="0001364F"/>
    <w:rsid w:val="000136D0"/>
    <w:rsid w:val="00013778"/>
    <w:rsid w:val="0001391F"/>
    <w:rsid w:val="00013A3E"/>
    <w:rsid w:val="00013C93"/>
    <w:rsid w:val="00013E55"/>
    <w:rsid w:val="00013EB0"/>
    <w:rsid w:val="00013ECD"/>
    <w:rsid w:val="00013F44"/>
    <w:rsid w:val="000140F4"/>
    <w:rsid w:val="0001416D"/>
    <w:rsid w:val="000146AE"/>
    <w:rsid w:val="00014786"/>
    <w:rsid w:val="00014828"/>
    <w:rsid w:val="00014A63"/>
    <w:rsid w:val="00014A9A"/>
    <w:rsid w:val="00014D1A"/>
    <w:rsid w:val="00015163"/>
    <w:rsid w:val="000151F5"/>
    <w:rsid w:val="000153E1"/>
    <w:rsid w:val="0001559F"/>
    <w:rsid w:val="0001562C"/>
    <w:rsid w:val="000156E4"/>
    <w:rsid w:val="00015B9C"/>
    <w:rsid w:val="00015C61"/>
    <w:rsid w:val="00015C94"/>
    <w:rsid w:val="00015D75"/>
    <w:rsid w:val="00015DFA"/>
    <w:rsid w:val="00015F23"/>
    <w:rsid w:val="00015FFF"/>
    <w:rsid w:val="00016157"/>
    <w:rsid w:val="000161B9"/>
    <w:rsid w:val="000163CD"/>
    <w:rsid w:val="00016421"/>
    <w:rsid w:val="00016560"/>
    <w:rsid w:val="000165BE"/>
    <w:rsid w:val="0001669A"/>
    <w:rsid w:val="000166BC"/>
    <w:rsid w:val="00016708"/>
    <w:rsid w:val="00016887"/>
    <w:rsid w:val="000168B6"/>
    <w:rsid w:val="00016ABE"/>
    <w:rsid w:val="00016B5B"/>
    <w:rsid w:val="00016B87"/>
    <w:rsid w:val="00016E1A"/>
    <w:rsid w:val="00016F43"/>
    <w:rsid w:val="0001704C"/>
    <w:rsid w:val="000172B1"/>
    <w:rsid w:val="000175A4"/>
    <w:rsid w:val="00017794"/>
    <w:rsid w:val="0001779A"/>
    <w:rsid w:val="00017BB9"/>
    <w:rsid w:val="00017BE9"/>
    <w:rsid w:val="00017CEB"/>
    <w:rsid w:val="00017E5E"/>
    <w:rsid w:val="00017F5F"/>
    <w:rsid w:val="0001AF87"/>
    <w:rsid w:val="00020179"/>
    <w:rsid w:val="0002041E"/>
    <w:rsid w:val="00020520"/>
    <w:rsid w:val="000205BF"/>
    <w:rsid w:val="0002064D"/>
    <w:rsid w:val="000206F9"/>
    <w:rsid w:val="00020728"/>
    <w:rsid w:val="00020840"/>
    <w:rsid w:val="0002088B"/>
    <w:rsid w:val="000209A1"/>
    <w:rsid w:val="00020A44"/>
    <w:rsid w:val="00020BFD"/>
    <w:rsid w:val="00020EEE"/>
    <w:rsid w:val="00021056"/>
    <w:rsid w:val="0002109C"/>
    <w:rsid w:val="000210EC"/>
    <w:rsid w:val="00021171"/>
    <w:rsid w:val="000211CE"/>
    <w:rsid w:val="00021297"/>
    <w:rsid w:val="00021336"/>
    <w:rsid w:val="0002134E"/>
    <w:rsid w:val="0002170C"/>
    <w:rsid w:val="00021A88"/>
    <w:rsid w:val="00021BA7"/>
    <w:rsid w:val="00021CE6"/>
    <w:rsid w:val="00021E7B"/>
    <w:rsid w:val="00021EAC"/>
    <w:rsid w:val="00021F02"/>
    <w:rsid w:val="00021F67"/>
    <w:rsid w:val="00021F7D"/>
    <w:rsid w:val="0002226E"/>
    <w:rsid w:val="00022272"/>
    <w:rsid w:val="00022337"/>
    <w:rsid w:val="000224D5"/>
    <w:rsid w:val="000224F7"/>
    <w:rsid w:val="000226A0"/>
    <w:rsid w:val="0002283C"/>
    <w:rsid w:val="00022841"/>
    <w:rsid w:val="00022904"/>
    <w:rsid w:val="000229BD"/>
    <w:rsid w:val="00022D5D"/>
    <w:rsid w:val="00022EA6"/>
    <w:rsid w:val="00023106"/>
    <w:rsid w:val="00023140"/>
    <w:rsid w:val="00023196"/>
    <w:rsid w:val="000231A2"/>
    <w:rsid w:val="000231E2"/>
    <w:rsid w:val="00023216"/>
    <w:rsid w:val="00023276"/>
    <w:rsid w:val="000232BC"/>
    <w:rsid w:val="0002334D"/>
    <w:rsid w:val="00023389"/>
    <w:rsid w:val="0002347B"/>
    <w:rsid w:val="000234D8"/>
    <w:rsid w:val="00023597"/>
    <w:rsid w:val="000235EA"/>
    <w:rsid w:val="000235FC"/>
    <w:rsid w:val="00023745"/>
    <w:rsid w:val="0002375C"/>
    <w:rsid w:val="00023875"/>
    <w:rsid w:val="000238D3"/>
    <w:rsid w:val="000239B4"/>
    <w:rsid w:val="00023BF5"/>
    <w:rsid w:val="00023CEF"/>
    <w:rsid w:val="00023EA1"/>
    <w:rsid w:val="0002402C"/>
    <w:rsid w:val="00024067"/>
    <w:rsid w:val="0002425B"/>
    <w:rsid w:val="000242F4"/>
    <w:rsid w:val="0002445D"/>
    <w:rsid w:val="00024594"/>
    <w:rsid w:val="0002465E"/>
    <w:rsid w:val="00024811"/>
    <w:rsid w:val="000248B9"/>
    <w:rsid w:val="000248BF"/>
    <w:rsid w:val="00024D2B"/>
    <w:rsid w:val="00024F27"/>
    <w:rsid w:val="00024FE1"/>
    <w:rsid w:val="000250F0"/>
    <w:rsid w:val="00025192"/>
    <w:rsid w:val="000252D0"/>
    <w:rsid w:val="000252E5"/>
    <w:rsid w:val="000255A8"/>
    <w:rsid w:val="000255E9"/>
    <w:rsid w:val="00025614"/>
    <w:rsid w:val="00025780"/>
    <w:rsid w:val="000257E1"/>
    <w:rsid w:val="00025812"/>
    <w:rsid w:val="00025950"/>
    <w:rsid w:val="000259FE"/>
    <w:rsid w:val="00025A5C"/>
    <w:rsid w:val="00025A96"/>
    <w:rsid w:val="00025B40"/>
    <w:rsid w:val="00025BA5"/>
    <w:rsid w:val="00025C49"/>
    <w:rsid w:val="00025C90"/>
    <w:rsid w:val="00025DF9"/>
    <w:rsid w:val="00025E15"/>
    <w:rsid w:val="00025EFE"/>
    <w:rsid w:val="0002602F"/>
    <w:rsid w:val="00026344"/>
    <w:rsid w:val="000264C1"/>
    <w:rsid w:val="000264CE"/>
    <w:rsid w:val="000264E1"/>
    <w:rsid w:val="0002673A"/>
    <w:rsid w:val="0002676A"/>
    <w:rsid w:val="0002677F"/>
    <w:rsid w:val="00026816"/>
    <w:rsid w:val="000269B7"/>
    <w:rsid w:val="00026A3A"/>
    <w:rsid w:val="00026A98"/>
    <w:rsid w:val="00026C55"/>
    <w:rsid w:val="000271B3"/>
    <w:rsid w:val="00027220"/>
    <w:rsid w:val="000272F8"/>
    <w:rsid w:val="000273D7"/>
    <w:rsid w:val="00027428"/>
    <w:rsid w:val="000276EA"/>
    <w:rsid w:val="00027990"/>
    <w:rsid w:val="000279B0"/>
    <w:rsid w:val="000279CE"/>
    <w:rsid w:val="00027A19"/>
    <w:rsid w:val="00027ABF"/>
    <w:rsid w:val="00027B20"/>
    <w:rsid w:val="00027CDF"/>
    <w:rsid w:val="00027D52"/>
    <w:rsid w:val="00027DD1"/>
    <w:rsid w:val="00027FCB"/>
    <w:rsid w:val="0003045F"/>
    <w:rsid w:val="000304B5"/>
    <w:rsid w:val="0003052C"/>
    <w:rsid w:val="00030782"/>
    <w:rsid w:val="00030821"/>
    <w:rsid w:val="00030833"/>
    <w:rsid w:val="000308D6"/>
    <w:rsid w:val="00030A84"/>
    <w:rsid w:val="00030C45"/>
    <w:rsid w:val="00030CA6"/>
    <w:rsid w:val="00030E0B"/>
    <w:rsid w:val="00030E0D"/>
    <w:rsid w:val="00030F5D"/>
    <w:rsid w:val="0003100A"/>
    <w:rsid w:val="0003100F"/>
    <w:rsid w:val="000310EE"/>
    <w:rsid w:val="0003119B"/>
    <w:rsid w:val="0003120F"/>
    <w:rsid w:val="0003125E"/>
    <w:rsid w:val="00031369"/>
    <w:rsid w:val="000313A9"/>
    <w:rsid w:val="000313FC"/>
    <w:rsid w:val="00031663"/>
    <w:rsid w:val="00031818"/>
    <w:rsid w:val="00031921"/>
    <w:rsid w:val="0003198A"/>
    <w:rsid w:val="00031A3E"/>
    <w:rsid w:val="00031B9B"/>
    <w:rsid w:val="00031CBA"/>
    <w:rsid w:val="00031CE9"/>
    <w:rsid w:val="00031D24"/>
    <w:rsid w:val="00031D7E"/>
    <w:rsid w:val="00031DE5"/>
    <w:rsid w:val="00031E55"/>
    <w:rsid w:val="00031F2A"/>
    <w:rsid w:val="00031FB1"/>
    <w:rsid w:val="00031FBD"/>
    <w:rsid w:val="000321C2"/>
    <w:rsid w:val="00032201"/>
    <w:rsid w:val="00032377"/>
    <w:rsid w:val="0003249B"/>
    <w:rsid w:val="000326B2"/>
    <w:rsid w:val="0003284C"/>
    <w:rsid w:val="00032888"/>
    <w:rsid w:val="000328D1"/>
    <w:rsid w:val="00032990"/>
    <w:rsid w:val="000329A2"/>
    <w:rsid w:val="00032A45"/>
    <w:rsid w:val="00032B51"/>
    <w:rsid w:val="00032B70"/>
    <w:rsid w:val="00032C53"/>
    <w:rsid w:val="00032D2D"/>
    <w:rsid w:val="00032DC7"/>
    <w:rsid w:val="00032EDE"/>
    <w:rsid w:val="0003313E"/>
    <w:rsid w:val="00033279"/>
    <w:rsid w:val="00033299"/>
    <w:rsid w:val="000332DE"/>
    <w:rsid w:val="00033475"/>
    <w:rsid w:val="000334CB"/>
    <w:rsid w:val="000335AA"/>
    <w:rsid w:val="00033668"/>
    <w:rsid w:val="000336FB"/>
    <w:rsid w:val="0003372E"/>
    <w:rsid w:val="000337C7"/>
    <w:rsid w:val="000338BE"/>
    <w:rsid w:val="00033945"/>
    <w:rsid w:val="000339E9"/>
    <w:rsid w:val="00033A05"/>
    <w:rsid w:val="00033B33"/>
    <w:rsid w:val="00033BF8"/>
    <w:rsid w:val="00033D49"/>
    <w:rsid w:val="00033DB1"/>
    <w:rsid w:val="00034008"/>
    <w:rsid w:val="0003407F"/>
    <w:rsid w:val="00034146"/>
    <w:rsid w:val="000341BE"/>
    <w:rsid w:val="0003446F"/>
    <w:rsid w:val="00034506"/>
    <w:rsid w:val="0003468D"/>
    <w:rsid w:val="000347B7"/>
    <w:rsid w:val="000349C7"/>
    <w:rsid w:val="00034A47"/>
    <w:rsid w:val="00034BD5"/>
    <w:rsid w:val="00034C6F"/>
    <w:rsid w:val="00034F8A"/>
    <w:rsid w:val="00034FED"/>
    <w:rsid w:val="00035064"/>
    <w:rsid w:val="00035078"/>
    <w:rsid w:val="000351C8"/>
    <w:rsid w:val="000351F3"/>
    <w:rsid w:val="000352B5"/>
    <w:rsid w:val="0003550D"/>
    <w:rsid w:val="0003557B"/>
    <w:rsid w:val="00035638"/>
    <w:rsid w:val="000356A7"/>
    <w:rsid w:val="000357D8"/>
    <w:rsid w:val="00035917"/>
    <w:rsid w:val="00035BBF"/>
    <w:rsid w:val="00035C0A"/>
    <w:rsid w:val="00035E2D"/>
    <w:rsid w:val="00035EA6"/>
    <w:rsid w:val="00035ED2"/>
    <w:rsid w:val="00035F1C"/>
    <w:rsid w:val="00036275"/>
    <w:rsid w:val="000364C7"/>
    <w:rsid w:val="000365A1"/>
    <w:rsid w:val="000368A5"/>
    <w:rsid w:val="000368B0"/>
    <w:rsid w:val="00036980"/>
    <w:rsid w:val="00036A41"/>
    <w:rsid w:val="00036ABF"/>
    <w:rsid w:val="00036B21"/>
    <w:rsid w:val="00036B8A"/>
    <w:rsid w:val="00036C32"/>
    <w:rsid w:val="00036CA3"/>
    <w:rsid w:val="00036CE9"/>
    <w:rsid w:val="00036FFC"/>
    <w:rsid w:val="00037280"/>
    <w:rsid w:val="000372D6"/>
    <w:rsid w:val="0003739D"/>
    <w:rsid w:val="000373C1"/>
    <w:rsid w:val="000373E3"/>
    <w:rsid w:val="00037542"/>
    <w:rsid w:val="0003755B"/>
    <w:rsid w:val="000375F5"/>
    <w:rsid w:val="00037611"/>
    <w:rsid w:val="0003768C"/>
    <w:rsid w:val="000376DE"/>
    <w:rsid w:val="00037860"/>
    <w:rsid w:val="0003798E"/>
    <w:rsid w:val="000379D4"/>
    <w:rsid w:val="00037A70"/>
    <w:rsid w:val="00037A87"/>
    <w:rsid w:val="00037AB6"/>
    <w:rsid w:val="00037DC5"/>
    <w:rsid w:val="00037EA7"/>
    <w:rsid w:val="00037F34"/>
    <w:rsid w:val="0003BC14"/>
    <w:rsid w:val="0003D45B"/>
    <w:rsid w:val="00040234"/>
    <w:rsid w:val="00040350"/>
    <w:rsid w:val="00040453"/>
    <w:rsid w:val="000404DB"/>
    <w:rsid w:val="00040534"/>
    <w:rsid w:val="00040703"/>
    <w:rsid w:val="0004074D"/>
    <w:rsid w:val="0004078D"/>
    <w:rsid w:val="00040794"/>
    <w:rsid w:val="000409E6"/>
    <w:rsid w:val="00040A1D"/>
    <w:rsid w:val="00040B55"/>
    <w:rsid w:val="00040C99"/>
    <w:rsid w:val="00040CBA"/>
    <w:rsid w:val="00040CBB"/>
    <w:rsid w:val="00040D03"/>
    <w:rsid w:val="00040D51"/>
    <w:rsid w:val="00040E28"/>
    <w:rsid w:val="00040F0C"/>
    <w:rsid w:val="00040F12"/>
    <w:rsid w:val="00040FD2"/>
    <w:rsid w:val="0004122B"/>
    <w:rsid w:val="00041450"/>
    <w:rsid w:val="00041547"/>
    <w:rsid w:val="000415ED"/>
    <w:rsid w:val="00041600"/>
    <w:rsid w:val="0004163A"/>
    <w:rsid w:val="0004171F"/>
    <w:rsid w:val="00041919"/>
    <w:rsid w:val="00041B18"/>
    <w:rsid w:val="00041B7E"/>
    <w:rsid w:val="00041C77"/>
    <w:rsid w:val="00041E49"/>
    <w:rsid w:val="00041F06"/>
    <w:rsid w:val="00042032"/>
    <w:rsid w:val="000420BD"/>
    <w:rsid w:val="000422EA"/>
    <w:rsid w:val="0004231C"/>
    <w:rsid w:val="0004248C"/>
    <w:rsid w:val="00042557"/>
    <w:rsid w:val="00042660"/>
    <w:rsid w:val="000426C0"/>
    <w:rsid w:val="000427C2"/>
    <w:rsid w:val="000427CD"/>
    <w:rsid w:val="00042AA7"/>
    <w:rsid w:val="00042B35"/>
    <w:rsid w:val="00042B66"/>
    <w:rsid w:val="00042C0A"/>
    <w:rsid w:val="00042DCB"/>
    <w:rsid w:val="00042EFE"/>
    <w:rsid w:val="000430AA"/>
    <w:rsid w:val="00043151"/>
    <w:rsid w:val="00043374"/>
    <w:rsid w:val="000433F9"/>
    <w:rsid w:val="00043478"/>
    <w:rsid w:val="000434B6"/>
    <w:rsid w:val="0004373E"/>
    <w:rsid w:val="00043812"/>
    <w:rsid w:val="000438BD"/>
    <w:rsid w:val="00043926"/>
    <w:rsid w:val="00043BF3"/>
    <w:rsid w:val="00043DF7"/>
    <w:rsid w:val="00043E44"/>
    <w:rsid w:val="00043E85"/>
    <w:rsid w:val="00044130"/>
    <w:rsid w:val="000441F0"/>
    <w:rsid w:val="000442A3"/>
    <w:rsid w:val="0004443D"/>
    <w:rsid w:val="0004468E"/>
    <w:rsid w:val="00044821"/>
    <w:rsid w:val="000448E4"/>
    <w:rsid w:val="000449A8"/>
    <w:rsid w:val="00044B52"/>
    <w:rsid w:val="00044BB6"/>
    <w:rsid w:val="00044C7F"/>
    <w:rsid w:val="00044D60"/>
    <w:rsid w:val="00044F76"/>
    <w:rsid w:val="00045035"/>
    <w:rsid w:val="00045048"/>
    <w:rsid w:val="0004514A"/>
    <w:rsid w:val="000451B9"/>
    <w:rsid w:val="0004527C"/>
    <w:rsid w:val="000455E4"/>
    <w:rsid w:val="00045703"/>
    <w:rsid w:val="00045787"/>
    <w:rsid w:val="00045814"/>
    <w:rsid w:val="00045860"/>
    <w:rsid w:val="0004593F"/>
    <w:rsid w:val="000459EA"/>
    <w:rsid w:val="00045A3D"/>
    <w:rsid w:val="00045A6C"/>
    <w:rsid w:val="00045BF8"/>
    <w:rsid w:val="00045C00"/>
    <w:rsid w:val="00045C3C"/>
    <w:rsid w:val="00045CEC"/>
    <w:rsid w:val="00045D47"/>
    <w:rsid w:val="00045E04"/>
    <w:rsid w:val="00045F77"/>
    <w:rsid w:val="00045FDA"/>
    <w:rsid w:val="00045FEB"/>
    <w:rsid w:val="000460AE"/>
    <w:rsid w:val="000460CF"/>
    <w:rsid w:val="000460FF"/>
    <w:rsid w:val="000463A7"/>
    <w:rsid w:val="00046427"/>
    <w:rsid w:val="0004648D"/>
    <w:rsid w:val="00046557"/>
    <w:rsid w:val="000465DC"/>
    <w:rsid w:val="00046879"/>
    <w:rsid w:val="00046A8A"/>
    <w:rsid w:val="00046B8E"/>
    <w:rsid w:val="00046DC5"/>
    <w:rsid w:val="00046F4A"/>
    <w:rsid w:val="00046F78"/>
    <w:rsid w:val="00047105"/>
    <w:rsid w:val="00047296"/>
    <w:rsid w:val="000472EE"/>
    <w:rsid w:val="00047347"/>
    <w:rsid w:val="0004735A"/>
    <w:rsid w:val="0004747A"/>
    <w:rsid w:val="0004761C"/>
    <w:rsid w:val="0004769C"/>
    <w:rsid w:val="000478B2"/>
    <w:rsid w:val="000479A2"/>
    <w:rsid w:val="000479C9"/>
    <w:rsid w:val="00047C20"/>
    <w:rsid w:val="00047CF1"/>
    <w:rsid w:val="00047D7C"/>
    <w:rsid w:val="00047F53"/>
    <w:rsid w:val="00047F7F"/>
    <w:rsid w:val="0005006E"/>
    <w:rsid w:val="00050076"/>
    <w:rsid w:val="000502F6"/>
    <w:rsid w:val="0005032E"/>
    <w:rsid w:val="00050452"/>
    <w:rsid w:val="000505E6"/>
    <w:rsid w:val="00050640"/>
    <w:rsid w:val="00050674"/>
    <w:rsid w:val="0005067F"/>
    <w:rsid w:val="0005091F"/>
    <w:rsid w:val="00050993"/>
    <w:rsid w:val="00050AC3"/>
    <w:rsid w:val="00050CAC"/>
    <w:rsid w:val="00050D49"/>
    <w:rsid w:val="00050DCF"/>
    <w:rsid w:val="00050E09"/>
    <w:rsid w:val="00050F6A"/>
    <w:rsid w:val="00050F6D"/>
    <w:rsid w:val="00051074"/>
    <w:rsid w:val="00051174"/>
    <w:rsid w:val="000514AB"/>
    <w:rsid w:val="00051714"/>
    <w:rsid w:val="00051749"/>
    <w:rsid w:val="00051823"/>
    <w:rsid w:val="00051A06"/>
    <w:rsid w:val="00051C1F"/>
    <w:rsid w:val="00051C97"/>
    <w:rsid w:val="00051D63"/>
    <w:rsid w:val="00052319"/>
    <w:rsid w:val="00052478"/>
    <w:rsid w:val="00052518"/>
    <w:rsid w:val="0005257C"/>
    <w:rsid w:val="00052585"/>
    <w:rsid w:val="00052681"/>
    <w:rsid w:val="000526DE"/>
    <w:rsid w:val="000527AC"/>
    <w:rsid w:val="000527F2"/>
    <w:rsid w:val="00052876"/>
    <w:rsid w:val="000529C4"/>
    <w:rsid w:val="000529DB"/>
    <w:rsid w:val="00052AA0"/>
    <w:rsid w:val="00052ADA"/>
    <w:rsid w:val="00052D1F"/>
    <w:rsid w:val="00052F76"/>
    <w:rsid w:val="0005318F"/>
    <w:rsid w:val="000532CC"/>
    <w:rsid w:val="00053450"/>
    <w:rsid w:val="00053468"/>
    <w:rsid w:val="00053515"/>
    <w:rsid w:val="00053625"/>
    <w:rsid w:val="00053700"/>
    <w:rsid w:val="00053783"/>
    <w:rsid w:val="000537DB"/>
    <w:rsid w:val="00053815"/>
    <w:rsid w:val="00053881"/>
    <w:rsid w:val="00053989"/>
    <w:rsid w:val="00053A46"/>
    <w:rsid w:val="00053A8F"/>
    <w:rsid w:val="00053ACC"/>
    <w:rsid w:val="00053B1D"/>
    <w:rsid w:val="00053B26"/>
    <w:rsid w:val="00053B99"/>
    <w:rsid w:val="00053BFD"/>
    <w:rsid w:val="00053C2D"/>
    <w:rsid w:val="00053C3D"/>
    <w:rsid w:val="00053D83"/>
    <w:rsid w:val="00053DB5"/>
    <w:rsid w:val="00053F04"/>
    <w:rsid w:val="00053F14"/>
    <w:rsid w:val="00054195"/>
    <w:rsid w:val="000541EE"/>
    <w:rsid w:val="0005428D"/>
    <w:rsid w:val="00054470"/>
    <w:rsid w:val="00054543"/>
    <w:rsid w:val="00054597"/>
    <w:rsid w:val="0005460B"/>
    <w:rsid w:val="0005475D"/>
    <w:rsid w:val="00054A03"/>
    <w:rsid w:val="00054BE2"/>
    <w:rsid w:val="00054D9C"/>
    <w:rsid w:val="00054DCD"/>
    <w:rsid w:val="000550E7"/>
    <w:rsid w:val="00055106"/>
    <w:rsid w:val="00055195"/>
    <w:rsid w:val="000551BB"/>
    <w:rsid w:val="000552F1"/>
    <w:rsid w:val="0005536B"/>
    <w:rsid w:val="00055372"/>
    <w:rsid w:val="00055672"/>
    <w:rsid w:val="00055835"/>
    <w:rsid w:val="000558B5"/>
    <w:rsid w:val="00055983"/>
    <w:rsid w:val="00055AA5"/>
    <w:rsid w:val="00056013"/>
    <w:rsid w:val="0005609B"/>
    <w:rsid w:val="000560DB"/>
    <w:rsid w:val="000561CC"/>
    <w:rsid w:val="000562E7"/>
    <w:rsid w:val="000563C6"/>
    <w:rsid w:val="00056461"/>
    <w:rsid w:val="0005652B"/>
    <w:rsid w:val="00056751"/>
    <w:rsid w:val="0005676A"/>
    <w:rsid w:val="00056789"/>
    <w:rsid w:val="00056ABD"/>
    <w:rsid w:val="00056AFE"/>
    <w:rsid w:val="00056B40"/>
    <w:rsid w:val="00056CB6"/>
    <w:rsid w:val="00056E1B"/>
    <w:rsid w:val="00056EE8"/>
    <w:rsid w:val="00056F3B"/>
    <w:rsid w:val="00057044"/>
    <w:rsid w:val="00057076"/>
    <w:rsid w:val="00057111"/>
    <w:rsid w:val="00057266"/>
    <w:rsid w:val="00057453"/>
    <w:rsid w:val="0005745E"/>
    <w:rsid w:val="0005752F"/>
    <w:rsid w:val="00057A1F"/>
    <w:rsid w:val="00057B5D"/>
    <w:rsid w:val="00057C63"/>
    <w:rsid w:val="00057C9C"/>
    <w:rsid w:val="0006022F"/>
    <w:rsid w:val="0006027B"/>
    <w:rsid w:val="0006031C"/>
    <w:rsid w:val="00060329"/>
    <w:rsid w:val="000606B0"/>
    <w:rsid w:val="000607A4"/>
    <w:rsid w:val="0006099A"/>
    <w:rsid w:val="00060C49"/>
    <w:rsid w:val="00060D20"/>
    <w:rsid w:val="00060D55"/>
    <w:rsid w:val="00060ED3"/>
    <w:rsid w:val="0006104C"/>
    <w:rsid w:val="000610AB"/>
    <w:rsid w:val="000610BD"/>
    <w:rsid w:val="00061119"/>
    <w:rsid w:val="00061170"/>
    <w:rsid w:val="00061205"/>
    <w:rsid w:val="000613C8"/>
    <w:rsid w:val="0006150E"/>
    <w:rsid w:val="00061556"/>
    <w:rsid w:val="000616E9"/>
    <w:rsid w:val="0006172D"/>
    <w:rsid w:val="000617AD"/>
    <w:rsid w:val="0006181F"/>
    <w:rsid w:val="0006186E"/>
    <w:rsid w:val="000618FD"/>
    <w:rsid w:val="00061AC8"/>
    <w:rsid w:val="00061AF2"/>
    <w:rsid w:val="00061BD5"/>
    <w:rsid w:val="00061D49"/>
    <w:rsid w:val="00061E8D"/>
    <w:rsid w:val="00061FC0"/>
    <w:rsid w:val="000620B0"/>
    <w:rsid w:val="00062125"/>
    <w:rsid w:val="000621C3"/>
    <w:rsid w:val="00062259"/>
    <w:rsid w:val="00062379"/>
    <w:rsid w:val="000623A4"/>
    <w:rsid w:val="00062403"/>
    <w:rsid w:val="000624EA"/>
    <w:rsid w:val="00062543"/>
    <w:rsid w:val="00062615"/>
    <w:rsid w:val="0006273C"/>
    <w:rsid w:val="00062770"/>
    <w:rsid w:val="00062939"/>
    <w:rsid w:val="00062E35"/>
    <w:rsid w:val="00062E43"/>
    <w:rsid w:val="00062E92"/>
    <w:rsid w:val="000630F2"/>
    <w:rsid w:val="000632BF"/>
    <w:rsid w:val="000632FD"/>
    <w:rsid w:val="00063450"/>
    <w:rsid w:val="000634EB"/>
    <w:rsid w:val="00063663"/>
    <w:rsid w:val="0006366F"/>
    <w:rsid w:val="00063922"/>
    <w:rsid w:val="00063E56"/>
    <w:rsid w:val="00063EDC"/>
    <w:rsid w:val="00063F96"/>
    <w:rsid w:val="0006417B"/>
    <w:rsid w:val="00064189"/>
    <w:rsid w:val="000643F4"/>
    <w:rsid w:val="000644DE"/>
    <w:rsid w:val="000646F4"/>
    <w:rsid w:val="00064708"/>
    <w:rsid w:val="000647FD"/>
    <w:rsid w:val="00064873"/>
    <w:rsid w:val="00064887"/>
    <w:rsid w:val="000648EA"/>
    <w:rsid w:val="00064970"/>
    <w:rsid w:val="00064987"/>
    <w:rsid w:val="00064A6E"/>
    <w:rsid w:val="00064A85"/>
    <w:rsid w:val="00064B33"/>
    <w:rsid w:val="00064B6A"/>
    <w:rsid w:val="00064BBD"/>
    <w:rsid w:val="00064D06"/>
    <w:rsid w:val="00064D54"/>
    <w:rsid w:val="00064D75"/>
    <w:rsid w:val="00064E18"/>
    <w:rsid w:val="00064EB9"/>
    <w:rsid w:val="00064FBA"/>
    <w:rsid w:val="0006508D"/>
    <w:rsid w:val="0006531E"/>
    <w:rsid w:val="00065325"/>
    <w:rsid w:val="000653C3"/>
    <w:rsid w:val="000653C7"/>
    <w:rsid w:val="00065484"/>
    <w:rsid w:val="0006550A"/>
    <w:rsid w:val="0006568E"/>
    <w:rsid w:val="00065883"/>
    <w:rsid w:val="00065AC2"/>
    <w:rsid w:val="00065B13"/>
    <w:rsid w:val="00065BDE"/>
    <w:rsid w:val="00065CB2"/>
    <w:rsid w:val="00065ED9"/>
    <w:rsid w:val="00065F93"/>
    <w:rsid w:val="000660D7"/>
    <w:rsid w:val="00066102"/>
    <w:rsid w:val="00066189"/>
    <w:rsid w:val="000664BA"/>
    <w:rsid w:val="000664E0"/>
    <w:rsid w:val="000665B5"/>
    <w:rsid w:val="00066C6F"/>
    <w:rsid w:val="00066DF3"/>
    <w:rsid w:val="00066E5B"/>
    <w:rsid w:val="00066EE4"/>
    <w:rsid w:val="00066FB6"/>
    <w:rsid w:val="00067052"/>
    <w:rsid w:val="000671DD"/>
    <w:rsid w:val="000672A1"/>
    <w:rsid w:val="000673A1"/>
    <w:rsid w:val="00067425"/>
    <w:rsid w:val="00067456"/>
    <w:rsid w:val="000675C4"/>
    <w:rsid w:val="00067877"/>
    <w:rsid w:val="00067882"/>
    <w:rsid w:val="00067A42"/>
    <w:rsid w:val="00067A58"/>
    <w:rsid w:val="00067AB8"/>
    <w:rsid w:val="00067E36"/>
    <w:rsid w:val="000700F3"/>
    <w:rsid w:val="00070411"/>
    <w:rsid w:val="00070B89"/>
    <w:rsid w:val="00070D2B"/>
    <w:rsid w:val="00070E3E"/>
    <w:rsid w:val="00070FA0"/>
    <w:rsid w:val="00071159"/>
    <w:rsid w:val="00071170"/>
    <w:rsid w:val="00071404"/>
    <w:rsid w:val="00071417"/>
    <w:rsid w:val="00071524"/>
    <w:rsid w:val="00071583"/>
    <w:rsid w:val="00071772"/>
    <w:rsid w:val="0007192F"/>
    <w:rsid w:val="00071C6E"/>
    <w:rsid w:val="00071C74"/>
    <w:rsid w:val="00071C9C"/>
    <w:rsid w:val="00071CAA"/>
    <w:rsid w:val="00071E60"/>
    <w:rsid w:val="00071E8B"/>
    <w:rsid w:val="00071EB0"/>
    <w:rsid w:val="00071EDA"/>
    <w:rsid w:val="00071F67"/>
    <w:rsid w:val="00071FDA"/>
    <w:rsid w:val="00072536"/>
    <w:rsid w:val="000727D9"/>
    <w:rsid w:val="000728AF"/>
    <w:rsid w:val="00072B2C"/>
    <w:rsid w:val="00072BBC"/>
    <w:rsid w:val="00072C23"/>
    <w:rsid w:val="00072C83"/>
    <w:rsid w:val="00072D90"/>
    <w:rsid w:val="00072D98"/>
    <w:rsid w:val="00072DBD"/>
    <w:rsid w:val="00072E05"/>
    <w:rsid w:val="0007307C"/>
    <w:rsid w:val="00073099"/>
    <w:rsid w:val="00073131"/>
    <w:rsid w:val="000731B0"/>
    <w:rsid w:val="00073212"/>
    <w:rsid w:val="0007333A"/>
    <w:rsid w:val="00073394"/>
    <w:rsid w:val="000733D7"/>
    <w:rsid w:val="0007349A"/>
    <w:rsid w:val="0007358F"/>
    <w:rsid w:val="000735EC"/>
    <w:rsid w:val="00073618"/>
    <w:rsid w:val="0007364D"/>
    <w:rsid w:val="0007371E"/>
    <w:rsid w:val="00073978"/>
    <w:rsid w:val="00073A03"/>
    <w:rsid w:val="00073CA4"/>
    <w:rsid w:val="00073DFE"/>
    <w:rsid w:val="00073EDB"/>
    <w:rsid w:val="000740BF"/>
    <w:rsid w:val="000741C2"/>
    <w:rsid w:val="00074203"/>
    <w:rsid w:val="0007420A"/>
    <w:rsid w:val="000743C8"/>
    <w:rsid w:val="0007440C"/>
    <w:rsid w:val="00074468"/>
    <w:rsid w:val="00074550"/>
    <w:rsid w:val="000746F6"/>
    <w:rsid w:val="00074857"/>
    <w:rsid w:val="00074950"/>
    <w:rsid w:val="000749E0"/>
    <w:rsid w:val="00074A11"/>
    <w:rsid w:val="00074DD5"/>
    <w:rsid w:val="00074E27"/>
    <w:rsid w:val="00074F19"/>
    <w:rsid w:val="00074F3A"/>
    <w:rsid w:val="00074FFE"/>
    <w:rsid w:val="00075028"/>
    <w:rsid w:val="0007513B"/>
    <w:rsid w:val="000751B5"/>
    <w:rsid w:val="00075430"/>
    <w:rsid w:val="000756CB"/>
    <w:rsid w:val="00075807"/>
    <w:rsid w:val="000759F5"/>
    <w:rsid w:val="00075A64"/>
    <w:rsid w:val="00075A8D"/>
    <w:rsid w:val="00075B82"/>
    <w:rsid w:val="00075C11"/>
    <w:rsid w:val="00075C42"/>
    <w:rsid w:val="00075DDB"/>
    <w:rsid w:val="00075DDF"/>
    <w:rsid w:val="00075F62"/>
    <w:rsid w:val="000760C3"/>
    <w:rsid w:val="000761D8"/>
    <w:rsid w:val="00076320"/>
    <w:rsid w:val="00076499"/>
    <w:rsid w:val="0007652D"/>
    <w:rsid w:val="00076621"/>
    <w:rsid w:val="00076654"/>
    <w:rsid w:val="000766F7"/>
    <w:rsid w:val="000768C9"/>
    <w:rsid w:val="000768EB"/>
    <w:rsid w:val="00076969"/>
    <w:rsid w:val="00076988"/>
    <w:rsid w:val="00076A3C"/>
    <w:rsid w:val="00076B38"/>
    <w:rsid w:val="00076B59"/>
    <w:rsid w:val="00076BD7"/>
    <w:rsid w:val="00076C19"/>
    <w:rsid w:val="00076E21"/>
    <w:rsid w:val="00076EAE"/>
    <w:rsid w:val="00076F49"/>
    <w:rsid w:val="00076FE9"/>
    <w:rsid w:val="00077070"/>
    <w:rsid w:val="0007707D"/>
    <w:rsid w:val="000771F5"/>
    <w:rsid w:val="00077270"/>
    <w:rsid w:val="000772F5"/>
    <w:rsid w:val="0007745C"/>
    <w:rsid w:val="000774A0"/>
    <w:rsid w:val="0007753B"/>
    <w:rsid w:val="0007757F"/>
    <w:rsid w:val="0007764A"/>
    <w:rsid w:val="000776BA"/>
    <w:rsid w:val="000777BB"/>
    <w:rsid w:val="00077BEA"/>
    <w:rsid w:val="00077D17"/>
    <w:rsid w:val="00077E9F"/>
    <w:rsid w:val="00077F6A"/>
    <w:rsid w:val="00077FE8"/>
    <w:rsid w:val="0008034E"/>
    <w:rsid w:val="00080457"/>
    <w:rsid w:val="0008050F"/>
    <w:rsid w:val="0008078E"/>
    <w:rsid w:val="0008081A"/>
    <w:rsid w:val="000808E1"/>
    <w:rsid w:val="00080908"/>
    <w:rsid w:val="00080966"/>
    <w:rsid w:val="00080A03"/>
    <w:rsid w:val="00080AC4"/>
    <w:rsid w:val="00080C94"/>
    <w:rsid w:val="00080EF4"/>
    <w:rsid w:val="00081210"/>
    <w:rsid w:val="00081314"/>
    <w:rsid w:val="00081693"/>
    <w:rsid w:val="000816FC"/>
    <w:rsid w:val="00081766"/>
    <w:rsid w:val="000819B0"/>
    <w:rsid w:val="00081C9E"/>
    <w:rsid w:val="00081D54"/>
    <w:rsid w:val="00081E97"/>
    <w:rsid w:val="00081EC0"/>
    <w:rsid w:val="00081FA0"/>
    <w:rsid w:val="000823FF"/>
    <w:rsid w:val="00082839"/>
    <w:rsid w:val="000829C9"/>
    <w:rsid w:val="00082BC6"/>
    <w:rsid w:val="00082E06"/>
    <w:rsid w:val="00082EB2"/>
    <w:rsid w:val="00083061"/>
    <w:rsid w:val="00083162"/>
    <w:rsid w:val="00083273"/>
    <w:rsid w:val="00083276"/>
    <w:rsid w:val="0008350B"/>
    <w:rsid w:val="00083647"/>
    <w:rsid w:val="000837B5"/>
    <w:rsid w:val="000837DD"/>
    <w:rsid w:val="00083881"/>
    <w:rsid w:val="0008389B"/>
    <w:rsid w:val="00083A95"/>
    <w:rsid w:val="00083B2E"/>
    <w:rsid w:val="00083BF4"/>
    <w:rsid w:val="00083C7D"/>
    <w:rsid w:val="00083D24"/>
    <w:rsid w:val="00083D81"/>
    <w:rsid w:val="00083F36"/>
    <w:rsid w:val="00083FA7"/>
    <w:rsid w:val="000840F2"/>
    <w:rsid w:val="000841DD"/>
    <w:rsid w:val="00084306"/>
    <w:rsid w:val="000844C5"/>
    <w:rsid w:val="0008450E"/>
    <w:rsid w:val="0008454D"/>
    <w:rsid w:val="0008462B"/>
    <w:rsid w:val="00084658"/>
    <w:rsid w:val="00084720"/>
    <w:rsid w:val="00084730"/>
    <w:rsid w:val="00084AA7"/>
    <w:rsid w:val="00084C6A"/>
    <w:rsid w:val="00084D6B"/>
    <w:rsid w:val="00084DF8"/>
    <w:rsid w:val="00084E97"/>
    <w:rsid w:val="00085082"/>
    <w:rsid w:val="000850DA"/>
    <w:rsid w:val="000850F9"/>
    <w:rsid w:val="000850FF"/>
    <w:rsid w:val="0008521F"/>
    <w:rsid w:val="00085262"/>
    <w:rsid w:val="000852D4"/>
    <w:rsid w:val="00085363"/>
    <w:rsid w:val="0008549C"/>
    <w:rsid w:val="000854ED"/>
    <w:rsid w:val="00085674"/>
    <w:rsid w:val="0008569E"/>
    <w:rsid w:val="000856C8"/>
    <w:rsid w:val="00085724"/>
    <w:rsid w:val="00085751"/>
    <w:rsid w:val="00085766"/>
    <w:rsid w:val="0008583F"/>
    <w:rsid w:val="0008587A"/>
    <w:rsid w:val="000859D8"/>
    <w:rsid w:val="000859E2"/>
    <w:rsid w:val="00085B15"/>
    <w:rsid w:val="00085DCC"/>
    <w:rsid w:val="00085E68"/>
    <w:rsid w:val="00085EF8"/>
    <w:rsid w:val="00085F37"/>
    <w:rsid w:val="00085FDF"/>
    <w:rsid w:val="0008606F"/>
    <w:rsid w:val="0008608E"/>
    <w:rsid w:val="000862D2"/>
    <w:rsid w:val="000862F0"/>
    <w:rsid w:val="0008643A"/>
    <w:rsid w:val="00086595"/>
    <w:rsid w:val="000865CA"/>
    <w:rsid w:val="000865FA"/>
    <w:rsid w:val="00086648"/>
    <w:rsid w:val="000867D6"/>
    <w:rsid w:val="00086899"/>
    <w:rsid w:val="0008690A"/>
    <w:rsid w:val="00086A00"/>
    <w:rsid w:val="00086A89"/>
    <w:rsid w:val="00086B3B"/>
    <w:rsid w:val="00086C6D"/>
    <w:rsid w:val="00086D93"/>
    <w:rsid w:val="00086F16"/>
    <w:rsid w:val="00086F99"/>
    <w:rsid w:val="00086FB5"/>
    <w:rsid w:val="00087027"/>
    <w:rsid w:val="0008708D"/>
    <w:rsid w:val="00087481"/>
    <w:rsid w:val="00087563"/>
    <w:rsid w:val="00087B3F"/>
    <w:rsid w:val="00087C14"/>
    <w:rsid w:val="00087D63"/>
    <w:rsid w:val="00087DA4"/>
    <w:rsid w:val="00090243"/>
    <w:rsid w:val="00090397"/>
    <w:rsid w:val="0009055F"/>
    <w:rsid w:val="0009056C"/>
    <w:rsid w:val="000905E6"/>
    <w:rsid w:val="000907D7"/>
    <w:rsid w:val="000907F2"/>
    <w:rsid w:val="00090839"/>
    <w:rsid w:val="000908FB"/>
    <w:rsid w:val="00090910"/>
    <w:rsid w:val="0009092E"/>
    <w:rsid w:val="00090B96"/>
    <w:rsid w:val="00090D1D"/>
    <w:rsid w:val="00090D67"/>
    <w:rsid w:val="00091000"/>
    <w:rsid w:val="0009115F"/>
    <w:rsid w:val="00091274"/>
    <w:rsid w:val="00091353"/>
    <w:rsid w:val="00091374"/>
    <w:rsid w:val="000913C8"/>
    <w:rsid w:val="000914AF"/>
    <w:rsid w:val="0009150F"/>
    <w:rsid w:val="00091657"/>
    <w:rsid w:val="000916B6"/>
    <w:rsid w:val="000916E4"/>
    <w:rsid w:val="000916EC"/>
    <w:rsid w:val="00091A45"/>
    <w:rsid w:val="00091BFD"/>
    <w:rsid w:val="00091D6F"/>
    <w:rsid w:val="00091D7E"/>
    <w:rsid w:val="00091E44"/>
    <w:rsid w:val="00092017"/>
    <w:rsid w:val="0009201F"/>
    <w:rsid w:val="00092110"/>
    <w:rsid w:val="00092126"/>
    <w:rsid w:val="00092262"/>
    <w:rsid w:val="00092385"/>
    <w:rsid w:val="000923A7"/>
    <w:rsid w:val="000924C5"/>
    <w:rsid w:val="0009250B"/>
    <w:rsid w:val="00092699"/>
    <w:rsid w:val="000927B4"/>
    <w:rsid w:val="000929F5"/>
    <w:rsid w:val="00092A71"/>
    <w:rsid w:val="00092D97"/>
    <w:rsid w:val="00092E11"/>
    <w:rsid w:val="00092E96"/>
    <w:rsid w:val="00093299"/>
    <w:rsid w:val="000932ED"/>
    <w:rsid w:val="0009331B"/>
    <w:rsid w:val="00093322"/>
    <w:rsid w:val="000933C0"/>
    <w:rsid w:val="000933FC"/>
    <w:rsid w:val="0009344B"/>
    <w:rsid w:val="00093478"/>
    <w:rsid w:val="00093558"/>
    <w:rsid w:val="00093662"/>
    <w:rsid w:val="0009376E"/>
    <w:rsid w:val="00093784"/>
    <w:rsid w:val="00093851"/>
    <w:rsid w:val="00093899"/>
    <w:rsid w:val="000939B3"/>
    <w:rsid w:val="00093AD7"/>
    <w:rsid w:val="00093D09"/>
    <w:rsid w:val="00093D16"/>
    <w:rsid w:val="00093D83"/>
    <w:rsid w:val="00093D91"/>
    <w:rsid w:val="00093E75"/>
    <w:rsid w:val="00093F43"/>
    <w:rsid w:val="00093F7A"/>
    <w:rsid w:val="000940B8"/>
    <w:rsid w:val="0009426E"/>
    <w:rsid w:val="000944F2"/>
    <w:rsid w:val="0009451D"/>
    <w:rsid w:val="00094525"/>
    <w:rsid w:val="0009455E"/>
    <w:rsid w:val="0009470F"/>
    <w:rsid w:val="0009474B"/>
    <w:rsid w:val="000947DC"/>
    <w:rsid w:val="000947F3"/>
    <w:rsid w:val="0009489C"/>
    <w:rsid w:val="000948BE"/>
    <w:rsid w:val="00094939"/>
    <w:rsid w:val="0009494D"/>
    <w:rsid w:val="00094991"/>
    <w:rsid w:val="000949CF"/>
    <w:rsid w:val="00094B60"/>
    <w:rsid w:val="00094BE7"/>
    <w:rsid w:val="00094D0B"/>
    <w:rsid w:val="00094DB7"/>
    <w:rsid w:val="00094DCF"/>
    <w:rsid w:val="00095005"/>
    <w:rsid w:val="00095038"/>
    <w:rsid w:val="000950AD"/>
    <w:rsid w:val="000954AC"/>
    <w:rsid w:val="0009571C"/>
    <w:rsid w:val="0009576B"/>
    <w:rsid w:val="00095772"/>
    <w:rsid w:val="00095877"/>
    <w:rsid w:val="00095884"/>
    <w:rsid w:val="00095A32"/>
    <w:rsid w:val="00095A6A"/>
    <w:rsid w:val="00095A7D"/>
    <w:rsid w:val="00095A95"/>
    <w:rsid w:val="00095C37"/>
    <w:rsid w:val="00095C6E"/>
    <w:rsid w:val="00095D28"/>
    <w:rsid w:val="00095E35"/>
    <w:rsid w:val="00095F98"/>
    <w:rsid w:val="000960D0"/>
    <w:rsid w:val="00096132"/>
    <w:rsid w:val="000961CA"/>
    <w:rsid w:val="00096405"/>
    <w:rsid w:val="000964A9"/>
    <w:rsid w:val="000965BC"/>
    <w:rsid w:val="000965E0"/>
    <w:rsid w:val="000966F3"/>
    <w:rsid w:val="00096728"/>
    <w:rsid w:val="00096986"/>
    <w:rsid w:val="00096A12"/>
    <w:rsid w:val="00096A3D"/>
    <w:rsid w:val="00096B2E"/>
    <w:rsid w:val="00097100"/>
    <w:rsid w:val="0009726C"/>
    <w:rsid w:val="000972FE"/>
    <w:rsid w:val="000974A2"/>
    <w:rsid w:val="0009750F"/>
    <w:rsid w:val="00097575"/>
    <w:rsid w:val="000976C6"/>
    <w:rsid w:val="0009775B"/>
    <w:rsid w:val="0009777B"/>
    <w:rsid w:val="00097850"/>
    <w:rsid w:val="0009788D"/>
    <w:rsid w:val="000978CE"/>
    <w:rsid w:val="000979E0"/>
    <w:rsid w:val="00097C78"/>
    <w:rsid w:val="000A008C"/>
    <w:rsid w:val="000A0272"/>
    <w:rsid w:val="000A05F1"/>
    <w:rsid w:val="000A07DD"/>
    <w:rsid w:val="000A0805"/>
    <w:rsid w:val="000A082B"/>
    <w:rsid w:val="000A08B1"/>
    <w:rsid w:val="000A0A7D"/>
    <w:rsid w:val="000A0B5A"/>
    <w:rsid w:val="000A0BA6"/>
    <w:rsid w:val="000A0E9A"/>
    <w:rsid w:val="000A0F2C"/>
    <w:rsid w:val="000A100E"/>
    <w:rsid w:val="000A1033"/>
    <w:rsid w:val="000A108C"/>
    <w:rsid w:val="000A1098"/>
    <w:rsid w:val="000A115F"/>
    <w:rsid w:val="000A1168"/>
    <w:rsid w:val="000A124C"/>
    <w:rsid w:val="000A1276"/>
    <w:rsid w:val="000A12CF"/>
    <w:rsid w:val="000A146D"/>
    <w:rsid w:val="000A149F"/>
    <w:rsid w:val="000A14F8"/>
    <w:rsid w:val="000A15D7"/>
    <w:rsid w:val="000A15E7"/>
    <w:rsid w:val="000A1607"/>
    <w:rsid w:val="000A1678"/>
    <w:rsid w:val="000A1723"/>
    <w:rsid w:val="000A175A"/>
    <w:rsid w:val="000A183B"/>
    <w:rsid w:val="000A1939"/>
    <w:rsid w:val="000A1A28"/>
    <w:rsid w:val="000A1A2B"/>
    <w:rsid w:val="000A1B07"/>
    <w:rsid w:val="000A1B09"/>
    <w:rsid w:val="000A1BBA"/>
    <w:rsid w:val="000A1C15"/>
    <w:rsid w:val="000A1C8C"/>
    <w:rsid w:val="000A1D34"/>
    <w:rsid w:val="000A1D4E"/>
    <w:rsid w:val="000A1D8C"/>
    <w:rsid w:val="000A1D92"/>
    <w:rsid w:val="000A1E43"/>
    <w:rsid w:val="000A1E58"/>
    <w:rsid w:val="000A1F13"/>
    <w:rsid w:val="000A1F21"/>
    <w:rsid w:val="000A1FB6"/>
    <w:rsid w:val="000A200C"/>
    <w:rsid w:val="000A210E"/>
    <w:rsid w:val="000A221C"/>
    <w:rsid w:val="000A221E"/>
    <w:rsid w:val="000A253B"/>
    <w:rsid w:val="000A26B1"/>
    <w:rsid w:val="000A2739"/>
    <w:rsid w:val="000A2745"/>
    <w:rsid w:val="000A285B"/>
    <w:rsid w:val="000A2A23"/>
    <w:rsid w:val="000A2B2E"/>
    <w:rsid w:val="000A2C30"/>
    <w:rsid w:val="000A2D61"/>
    <w:rsid w:val="000A3082"/>
    <w:rsid w:val="000A31EE"/>
    <w:rsid w:val="000A32DA"/>
    <w:rsid w:val="000A3390"/>
    <w:rsid w:val="000A3418"/>
    <w:rsid w:val="000A3440"/>
    <w:rsid w:val="000A359E"/>
    <w:rsid w:val="000A3617"/>
    <w:rsid w:val="000A363E"/>
    <w:rsid w:val="000A37C6"/>
    <w:rsid w:val="000A38CC"/>
    <w:rsid w:val="000A3A31"/>
    <w:rsid w:val="000A3B10"/>
    <w:rsid w:val="000A3B36"/>
    <w:rsid w:val="000A3B90"/>
    <w:rsid w:val="000A3BBB"/>
    <w:rsid w:val="000A3D1F"/>
    <w:rsid w:val="000A3F5A"/>
    <w:rsid w:val="000A4018"/>
    <w:rsid w:val="000A40E9"/>
    <w:rsid w:val="000A40EF"/>
    <w:rsid w:val="000A4138"/>
    <w:rsid w:val="000A416A"/>
    <w:rsid w:val="000A4313"/>
    <w:rsid w:val="000A4325"/>
    <w:rsid w:val="000A4361"/>
    <w:rsid w:val="000A44F8"/>
    <w:rsid w:val="000A458D"/>
    <w:rsid w:val="000A45F0"/>
    <w:rsid w:val="000A4678"/>
    <w:rsid w:val="000A47D4"/>
    <w:rsid w:val="000A47EB"/>
    <w:rsid w:val="000A4830"/>
    <w:rsid w:val="000A4A37"/>
    <w:rsid w:val="000A4BE6"/>
    <w:rsid w:val="000A4C60"/>
    <w:rsid w:val="000A4CF7"/>
    <w:rsid w:val="000A4F42"/>
    <w:rsid w:val="000A5033"/>
    <w:rsid w:val="000A5221"/>
    <w:rsid w:val="000A53D1"/>
    <w:rsid w:val="000A541B"/>
    <w:rsid w:val="000A5420"/>
    <w:rsid w:val="000A5439"/>
    <w:rsid w:val="000A54D1"/>
    <w:rsid w:val="000A552C"/>
    <w:rsid w:val="000A57C0"/>
    <w:rsid w:val="000A5827"/>
    <w:rsid w:val="000A58D4"/>
    <w:rsid w:val="000A5985"/>
    <w:rsid w:val="000A5C38"/>
    <w:rsid w:val="000A5D45"/>
    <w:rsid w:val="000A5D6E"/>
    <w:rsid w:val="000A5F02"/>
    <w:rsid w:val="000A5F21"/>
    <w:rsid w:val="000A5F70"/>
    <w:rsid w:val="000A5FFA"/>
    <w:rsid w:val="000A6055"/>
    <w:rsid w:val="000A622A"/>
    <w:rsid w:val="000A6552"/>
    <w:rsid w:val="000A6572"/>
    <w:rsid w:val="000A658C"/>
    <w:rsid w:val="000A677E"/>
    <w:rsid w:val="000A67C5"/>
    <w:rsid w:val="000A6AD6"/>
    <w:rsid w:val="000A6AF1"/>
    <w:rsid w:val="000A6B01"/>
    <w:rsid w:val="000A6C21"/>
    <w:rsid w:val="000A6DD5"/>
    <w:rsid w:val="000A6DE4"/>
    <w:rsid w:val="000A6F98"/>
    <w:rsid w:val="000A7149"/>
    <w:rsid w:val="000A7329"/>
    <w:rsid w:val="000A73A8"/>
    <w:rsid w:val="000A73AA"/>
    <w:rsid w:val="000A7411"/>
    <w:rsid w:val="000A745A"/>
    <w:rsid w:val="000A746F"/>
    <w:rsid w:val="000A7597"/>
    <w:rsid w:val="000A7607"/>
    <w:rsid w:val="000A76A1"/>
    <w:rsid w:val="000A76E0"/>
    <w:rsid w:val="000A78BF"/>
    <w:rsid w:val="000A7921"/>
    <w:rsid w:val="000A798A"/>
    <w:rsid w:val="000A7A0F"/>
    <w:rsid w:val="000A7A68"/>
    <w:rsid w:val="000A7B1D"/>
    <w:rsid w:val="000A7B52"/>
    <w:rsid w:val="000A7BBC"/>
    <w:rsid w:val="000A7D52"/>
    <w:rsid w:val="000B016E"/>
    <w:rsid w:val="000B01B8"/>
    <w:rsid w:val="000B0364"/>
    <w:rsid w:val="000B04ED"/>
    <w:rsid w:val="000B05D8"/>
    <w:rsid w:val="000B064D"/>
    <w:rsid w:val="000B06C9"/>
    <w:rsid w:val="000B071E"/>
    <w:rsid w:val="000B075D"/>
    <w:rsid w:val="000B086C"/>
    <w:rsid w:val="000B090B"/>
    <w:rsid w:val="000B0A7B"/>
    <w:rsid w:val="000B0AAC"/>
    <w:rsid w:val="000B0C5E"/>
    <w:rsid w:val="000B0F4F"/>
    <w:rsid w:val="000B1033"/>
    <w:rsid w:val="000B1085"/>
    <w:rsid w:val="000B16EC"/>
    <w:rsid w:val="000B172D"/>
    <w:rsid w:val="000B17C3"/>
    <w:rsid w:val="000B1AAD"/>
    <w:rsid w:val="000B1AED"/>
    <w:rsid w:val="000B1BB8"/>
    <w:rsid w:val="000B1C16"/>
    <w:rsid w:val="000B1C94"/>
    <w:rsid w:val="000B1CDA"/>
    <w:rsid w:val="000B1DE2"/>
    <w:rsid w:val="000B1EDD"/>
    <w:rsid w:val="000B2084"/>
    <w:rsid w:val="000B20F5"/>
    <w:rsid w:val="000B22D5"/>
    <w:rsid w:val="000B230E"/>
    <w:rsid w:val="000B249A"/>
    <w:rsid w:val="000B24CA"/>
    <w:rsid w:val="000B25C5"/>
    <w:rsid w:val="000B25C7"/>
    <w:rsid w:val="000B25D9"/>
    <w:rsid w:val="000B260D"/>
    <w:rsid w:val="000B2648"/>
    <w:rsid w:val="000B265A"/>
    <w:rsid w:val="000B2672"/>
    <w:rsid w:val="000B2731"/>
    <w:rsid w:val="000B2A2D"/>
    <w:rsid w:val="000B2A95"/>
    <w:rsid w:val="000B2AAD"/>
    <w:rsid w:val="000B2CC1"/>
    <w:rsid w:val="000B2E44"/>
    <w:rsid w:val="000B2FB6"/>
    <w:rsid w:val="000B2FBE"/>
    <w:rsid w:val="000B3146"/>
    <w:rsid w:val="000B3186"/>
    <w:rsid w:val="000B332C"/>
    <w:rsid w:val="000B335F"/>
    <w:rsid w:val="000B33B9"/>
    <w:rsid w:val="000B34E8"/>
    <w:rsid w:val="000B35CC"/>
    <w:rsid w:val="000B3607"/>
    <w:rsid w:val="000B365E"/>
    <w:rsid w:val="000B389C"/>
    <w:rsid w:val="000B397E"/>
    <w:rsid w:val="000B3ADD"/>
    <w:rsid w:val="000B3B47"/>
    <w:rsid w:val="000B3B58"/>
    <w:rsid w:val="000B3BDC"/>
    <w:rsid w:val="000B3E81"/>
    <w:rsid w:val="000B3E97"/>
    <w:rsid w:val="000B3EC5"/>
    <w:rsid w:val="000B3EEE"/>
    <w:rsid w:val="000B4094"/>
    <w:rsid w:val="000B4102"/>
    <w:rsid w:val="000B4240"/>
    <w:rsid w:val="000B4270"/>
    <w:rsid w:val="000B4276"/>
    <w:rsid w:val="000B4376"/>
    <w:rsid w:val="000B44FE"/>
    <w:rsid w:val="000B45AA"/>
    <w:rsid w:val="000B47AE"/>
    <w:rsid w:val="000B4949"/>
    <w:rsid w:val="000B4959"/>
    <w:rsid w:val="000B4A30"/>
    <w:rsid w:val="000B4AFB"/>
    <w:rsid w:val="000B4B01"/>
    <w:rsid w:val="000B4B56"/>
    <w:rsid w:val="000B4B82"/>
    <w:rsid w:val="000B4CB7"/>
    <w:rsid w:val="000B4CE2"/>
    <w:rsid w:val="000B4D00"/>
    <w:rsid w:val="000B4E5C"/>
    <w:rsid w:val="000B4EFD"/>
    <w:rsid w:val="000B4FA7"/>
    <w:rsid w:val="000B51CA"/>
    <w:rsid w:val="000B526A"/>
    <w:rsid w:val="000B52ED"/>
    <w:rsid w:val="000B5379"/>
    <w:rsid w:val="000B54E1"/>
    <w:rsid w:val="000B5845"/>
    <w:rsid w:val="000B5BAC"/>
    <w:rsid w:val="000B5C27"/>
    <w:rsid w:val="000B5DCA"/>
    <w:rsid w:val="000B5EE8"/>
    <w:rsid w:val="000B5F45"/>
    <w:rsid w:val="000B5FBF"/>
    <w:rsid w:val="000B60A2"/>
    <w:rsid w:val="000B60AF"/>
    <w:rsid w:val="000B6102"/>
    <w:rsid w:val="000B61B4"/>
    <w:rsid w:val="000B62E3"/>
    <w:rsid w:val="000B6559"/>
    <w:rsid w:val="000B6671"/>
    <w:rsid w:val="000B66E5"/>
    <w:rsid w:val="000B66F8"/>
    <w:rsid w:val="000B691A"/>
    <w:rsid w:val="000B698F"/>
    <w:rsid w:val="000B69DC"/>
    <w:rsid w:val="000B6A6F"/>
    <w:rsid w:val="000B6D92"/>
    <w:rsid w:val="000B6F6F"/>
    <w:rsid w:val="000B70A6"/>
    <w:rsid w:val="000B70CA"/>
    <w:rsid w:val="000B71F7"/>
    <w:rsid w:val="000B72BC"/>
    <w:rsid w:val="000B7452"/>
    <w:rsid w:val="000B7470"/>
    <w:rsid w:val="000B753D"/>
    <w:rsid w:val="000B7599"/>
    <w:rsid w:val="000B75B8"/>
    <w:rsid w:val="000B7600"/>
    <w:rsid w:val="000B774D"/>
    <w:rsid w:val="000B77D6"/>
    <w:rsid w:val="000B7874"/>
    <w:rsid w:val="000B79FA"/>
    <w:rsid w:val="000B7B8D"/>
    <w:rsid w:val="000B7C04"/>
    <w:rsid w:val="000B7C15"/>
    <w:rsid w:val="000B7CD6"/>
    <w:rsid w:val="000B7E74"/>
    <w:rsid w:val="000C0274"/>
    <w:rsid w:val="000C0366"/>
    <w:rsid w:val="000C0386"/>
    <w:rsid w:val="000C03DB"/>
    <w:rsid w:val="000C04BA"/>
    <w:rsid w:val="000C0530"/>
    <w:rsid w:val="000C05D4"/>
    <w:rsid w:val="000C070E"/>
    <w:rsid w:val="000C0799"/>
    <w:rsid w:val="000C07DF"/>
    <w:rsid w:val="000C092F"/>
    <w:rsid w:val="000C0A3B"/>
    <w:rsid w:val="000C0ABA"/>
    <w:rsid w:val="000C0B4E"/>
    <w:rsid w:val="000C0C01"/>
    <w:rsid w:val="000C0C84"/>
    <w:rsid w:val="000C0DC0"/>
    <w:rsid w:val="000C0E19"/>
    <w:rsid w:val="000C0EA6"/>
    <w:rsid w:val="000C0F0F"/>
    <w:rsid w:val="000C10B6"/>
    <w:rsid w:val="000C10BF"/>
    <w:rsid w:val="000C11A4"/>
    <w:rsid w:val="000C132A"/>
    <w:rsid w:val="000C137E"/>
    <w:rsid w:val="000C13C9"/>
    <w:rsid w:val="000C1487"/>
    <w:rsid w:val="000C14F4"/>
    <w:rsid w:val="000C1852"/>
    <w:rsid w:val="000C1859"/>
    <w:rsid w:val="000C188F"/>
    <w:rsid w:val="000C1971"/>
    <w:rsid w:val="000C1C8E"/>
    <w:rsid w:val="000C1CF8"/>
    <w:rsid w:val="000C1D4B"/>
    <w:rsid w:val="000C1E38"/>
    <w:rsid w:val="000C1EC7"/>
    <w:rsid w:val="000C1F0A"/>
    <w:rsid w:val="000C2205"/>
    <w:rsid w:val="000C223D"/>
    <w:rsid w:val="000C2640"/>
    <w:rsid w:val="000C2695"/>
    <w:rsid w:val="000C2794"/>
    <w:rsid w:val="000C27F1"/>
    <w:rsid w:val="000C2976"/>
    <w:rsid w:val="000C2B59"/>
    <w:rsid w:val="000C2CAE"/>
    <w:rsid w:val="000C2E39"/>
    <w:rsid w:val="000C2F9B"/>
    <w:rsid w:val="000C32DD"/>
    <w:rsid w:val="000C3387"/>
    <w:rsid w:val="000C33E2"/>
    <w:rsid w:val="000C34F3"/>
    <w:rsid w:val="000C3719"/>
    <w:rsid w:val="000C381E"/>
    <w:rsid w:val="000C3964"/>
    <w:rsid w:val="000C3C8C"/>
    <w:rsid w:val="000C3D16"/>
    <w:rsid w:val="000C3E62"/>
    <w:rsid w:val="000C3F3D"/>
    <w:rsid w:val="000C3F74"/>
    <w:rsid w:val="000C3F9E"/>
    <w:rsid w:val="000C412F"/>
    <w:rsid w:val="000C414A"/>
    <w:rsid w:val="000C4190"/>
    <w:rsid w:val="000C41CA"/>
    <w:rsid w:val="000C41DA"/>
    <w:rsid w:val="000C4319"/>
    <w:rsid w:val="000C476F"/>
    <w:rsid w:val="000C48C7"/>
    <w:rsid w:val="000C490C"/>
    <w:rsid w:val="000C49B5"/>
    <w:rsid w:val="000C4A1A"/>
    <w:rsid w:val="000C4AD3"/>
    <w:rsid w:val="000C4BE2"/>
    <w:rsid w:val="000C4C76"/>
    <w:rsid w:val="000C4CAC"/>
    <w:rsid w:val="000C4CB3"/>
    <w:rsid w:val="000C4D0A"/>
    <w:rsid w:val="000C4EBE"/>
    <w:rsid w:val="000C4F6D"/>
    <w:rsid w:val="000C520C"/>
    <w:rsid w:val="000C5228"/>
    <w:rsid w:val="000C52C7"/>
    <w:rsid w:val="000C5317"/>
    <w:rsid w:val="000C53A4"/>
    <w:rsid w:val="000C53E3"/>
    <w:rsid w:val="000C54FD"/>
    <w:rsid w:val="000C56BC"/>
    <w:rsid w:val="000C57B3"/>
    <w:rsid w:val="000C57B4"/>
    <w:rsid w:val="000C57DD"/>
    <w:rsid w:val="000C5831"/>
    <w:rsid w:val="000C5925"/>
    <w:rsid w:val="000C59E3"/>
    <w:rsid w:val="000C5C68"/>
    <w:rsid w:val="000C5D24"/>
    <w:rsid w:val="000C5ED7"/>
    <w:rsid w:val="000C6043"/>
    <w:rsid w:val="000C608B"/>
    <w:rsid w:val="000C61B5"/>
    <w:rsid w:val="000C6200"/>
    <w:rsid w:val="000C624E"/>
    <w:rsid w:val="000C64DA"/>
    <w:rsid w:val="000C660C"/>
    <w:rsid w:val="000C660E"/>
    <w:rsid w:val="000C6630"/>
    <w:rsid w:val="000C6755"/>
    <w:rsid w:val="000C68F8"/>
    <w:rsid w:val="000C694E"/>
    <w:rsid w:val="000C6CF3"/>
    <w:rsid w:val="000C6DA8"/>
    <w:rsid w:val="000C6DFB"/>
    <w:rsid w:val="000C6EC8"/>
    <w:rsid w:val="000C6EE6"/>
    <w:rsid w:val="000C6F46"/>
    <w:rsid w:val="000C6F5C"/>
    <w:rsid w:val="000C6F86"/>
    <w:rsid w:val="000C7018"/>
    <w:rsid w:val="000C70C9"/>
    <w:rsid w:val="000C7210"/>
    <w:rsid w:val="000C7552"/>
    <w:rsid w:val="000C7575"/>
    <w:rsid w:val="000C759F"/>
    <w:rsid w:val="000C7AB7"/>
    <w:rsid w:val="000C7B09"/>
    <w:rsid w:val="000C7C1E"/>
    <w:rsid w:val="000C7C71"/>
    <w:rsid w:val="000C7DC7"/>
    <w:rsid w:val="000C7DD5"/>
    <w:rsid w:val="000C7E02"/>
    <w:rsid w:val="000C7E95"/>
    <w:rsid w:val="000C7EEC"/>
    <w:rsid w:val="000D0011"/>
    <w:rsid w:val="000D00A3"/>
    <w:rsid w:val="000D0108"/>
    <w:rsid w:val="000D018B"/>
    <w:rsid w:val="000D01BC"/>
    <w:rsid w:val="000D0279"/>
    <w:rsid w:val="000D0295"/>
    <w:rsid w:val="000D02DB"/>
    <w:rsid w:val="000D02FF"/>
    <w:rsid w:val="000D05A2"/>
    <w:rsid w:val="000D0856"/>
    <w:rsid w:val="000D0949"/>
    <w:rsid w:val="000D0983"/>
    <w:rsid w:val="000D09B7"/>
    <w:rsid w:val="000D09F3"/>
    <w:rsid w:val="000D0C09"/>
    <w:rsid w:val="000D108D"/>
    <w:rsid w:val="000D108E"/>
    <w:rsid w:val="000D1144"/>
    <w:rsid w:val="000D13F1"/>
    <w:rsid w:val="000D142D"/>
    <w:rsid w:val="000D1508"/>
    <w:rsid w:val="000D154E"/>
    <w:rsid w:val="000D15A7"/>
    <w:rsid w:val="000D1674"/>
    <w:rsid w:val="000D18A2"/>
    <w:rsid w:val="000D1915"/>
    <w:rsid w:val="000D1A86"/>
    <w:rsid w:val="000D1B34"/>
    <w:rsid w:val="000D1BB4"/>
    <w:rsid w:val="000D1EC5"/>
    <w:rsid w:val="000D1FA8"/>
    <w:rsid w:val="000D2259"/>
    <w:rsid w:val="000D271A"/>
    <w:rsid w:val="000D29C6"/>
    <w:rsid w:val="000D29CE"/>
    <w:rsid w:val="000D2A59"/>
    <w:rsid w:val="000D2C2B"/>
    <w:rsid w:val="000D2CC2"/>
    <w:rsid w:val="000D2DE8"/>
    <w:rsid w:val="000D2F2E"/>
    <w:rsid w:val="000D318B"/>
    <w:rsid w:val="000D32CE"/>
    <w:rsid w:val="000D33BA"/>
    <w:rsid w:val="000D33CE"/>
    <w:rsid w:val="000D34C1"/>
    <w:rsid w:val="000D3554"/>
    <w:rsid w:val="000D36A1"/>
    <w:rsid w:val="000D373A"/>
    <w:rsid w:val="000D3791"/>
    <w:rsid w:val="000D38C9"/>
    <w:rsid w:val="000D3B19"/>
    <w:rsid w:val="000D3B31"/>
    <w:rsid w:val="000D3E7C"/>
    <w:rsid w:val="000D3F1B"/>
    <w:rsid w:val="000D3FF8"/>
    <w:rsid w:val="000D4097"/>
    <w:rsid w:val="000D416F"/>
    <w:rsid w:val="000D4179"/>
    <w:rsid w:val="000D4243"/>
    <w:rsid w:val="000D42C3"/>
    <w:rsid w:val="000D4477"/>
    <w:rsid w:val="000D47B4"/>
    <w:rsid w:val="000D4A3A"/>
    <w:rsid w:val="000D4A69"/>
    <w:rsid w:val="000D4B70"/>
    <w:rsid w:val="000D4B72"/>
    <w:rsid w:val="000D4B77"/>
    <w:rsid w:val="000D4D55"/>
    <w:rsid w:val="000D4D96"/>
    <w:rsid w:val="000D4E19"/>
    <w:rsid w:val="000D4E66"/>
    <w:rsid w:val="000D4EF7"/>
    <w:rsid w:val="000D520B"/>
    <w:rsid w:val="000D537C"/>
    <w:rsid w:val="000D53B2"/>
    <w:rsid w:val="000D53FD"/>
    <w:rsid w:val="000D54B4"/>
    <w:rsid w:val="000D559B"/>
    <w:rsid w:val="000D582B"/>
    <w:rsid w:val="000D5A3F"/>
    <w:rsid w:val="000D5A4D"/>
    <w:rsid w:val="000D5A6A"/>
    <w:rsid w:val="000D5B03"/>
    <w:rsid w:val="000D5BD9"/>
    <w:rsid w:val="000D5BFF"/>
    <w:rsid w:val="000D5C43"/>
    <w:rsid w:val="000D5D5D"/>
    <w:rsid w:val="000D5D93"/>
    <w:rsid w:val="000D5E16"/>
    <w:rsid w:val="000D5E94"/>
    <w:rsid w:val="000D6156"/>
    <w:rsid w:val="000D6241"/>
    <w:rsid w:val="000D6256"/>
    <w:rsid w:val="000D62C5"/>
    <w:rsid w:val="000D62C6"/>
    <w:rsid w:val="000D6324"/>
    <w:rsid w:val="000D6446"/>
    <w:rsid w:val="000D648A"/>
    <w:rsid w:val="000D6741"/>
    <w:rsid w:val="000D68FD"/>
    <w:rsid w:val="000D6961"/>
    <w:rsid w:val="000D6B8D"/>
    <w:rsid w:val="000D6BD4"/>
    <w:rsid w:val="000D6DF2"/>
    <w:rsid w:val="000D6E2C"/>
    <w:rsid w:val="000D6FA3"/>
    <w:rsid w:val="000D7235"/>
    <w:rsid w:val="000D731E"/>
    <w:rsid w:val="000D7478"/>
    <w:rsid w:val="000D74F6"/>
    <w:rsid w:val="000D7772"/>
    <w:rsid w:val="000D77A0"/>
    <w:rsid w:val="000D77ED"/>
    <w:rsid w:val="000D780E"/>
    <w:rsid w:val="000D7974"/>
    <w:rsid w:val="000D79EE"/>
    <w:rsid w:val="000D7A27"/>
    <w:rsid w:val="000D7A3B"/>
    <w:rsid w:val="000D7BEA"/>
    <w:rsid w:val="000D7D1D"/>
    <w:rsid w:val="000D7E6E"/>
    <w:rsid w:val="000E000F"/>
    <w:rsid w:val="000E002E"/>
    <w:rsid w:val="000E0366"/>
    <w:rsid w:val="000E03A0"/>
    <w:rsid w:val="000E056D"/>
    <w:rsid w:val="000E0819"/>
    <w:rsid w:val="000E094C"/>
    <w:rsid w:val="000E0A4C"/>
    <w:rsid w:val="000E0B53"/>
    <w:rsid w:val="000E0B9F"/>
    <w:rsid w:val="000E0DF0"/>
    <w:rsid w:val="000E0E90"/>
    <w:rsid w:val="000E0F15"/>
    <w:rsid w:val="000E0F19"/>
    <w:rsid w:val="000E1091"/>
    <w:rsid w:val="000E10F7"/>
    <w:rsid w:val="000E119D"/>
    <w:rsid w:val="000E122D"/>
    <w:rsid w:val="000E12FD"/>
    <w:rsid w:val="000E133D"/>
    <w:rsid w:val="000E1344"/>
    <w:rsid w:val="000E1415"/>
    <w:rsid w:val="000E1453"/>
    <w:rsid w:val="000E1807"/>
    <w:rsid w:val="000E1844"/>
    <w:rsid w:val="000E195D"/>
    <w:rsid w:val="000E1A01"/>
    <w:rsid w:val="000E1A1D"/>
    <w:rsid w:val="000E1A30"/>
    <w:rsid w:val="000E1A6A"/>
    <w:rsid w:val="000E1BDE"/>
    <w:rsid w:val="000E1D5F"/>
    <w:rsid w:val="000E1D76"/>
    <w:rsid w:val="000E1EDD"/>
    <w:rsid w:val="000E1F6D"/>
    <w:rsid w:val="000E2007"/>
    <w:rsid w:val="000E2064"/>
    <w:rsid w:val="000E20D6"/>
    <w:rsid w:val="000E22E5"/>
    <w:rsid w:val="000E24AE"/>
    <w:rsid w:val="000E2577"/>
    <w:rsid w:val="000E293F"/>
    <w:rsid w:val="000E2A84"/>
    <w:rsid w:val="000E2D39"/>
    <w:rsid w:val="000E2FB1"/>
    <w:rsid w:val="000E2FCA"/>
    <w:rsid w:val="000E329A"/>
    <w:rsid w:val="000E33AF"/>
    <w:rsid w:val="000E3528"/>
    <w:rsid w:val="000E35A6"/>
    <w:rsid w:val="000E35AB"/>
    <w:rsid w:val="000E36EA"/>
    <w:rsid w:val="000E3784"/>
    <w:rsid w:val="000E3873"/>
    <w:rsid w:val="000E3952"/>
    <w:rsid w:val="000E39B7"/>
    <w:rsid w:val="000E3A4F"/>
    <w:rsid w:val="000E3C3B"/>
    <w:rsid w:val="000E3C85"/>
    <w:rsid w:val="000E3F05"/>
    <w:rsid w:val="000E3F3D"/>
    <w:rsid w:val="000E3FA0"/>
    <w:rsid w:val="000E4148"/>
    <w:rsid w:val="000E4406"/>
    <w:rsid w:val="000E4597"/>
    <w:rsid w:val="000E460B"/>
    <w:rsid w:val="000E460D"/>
    <w:rsid w:val="000E486A"/>
    <w:rsid w:val="000E48E7"/>
    <w:rsid w:val="000E48F5"/>
    <w:rsid w:val="000E49AF"/>
    <w:rsid w:val="000E4B56"/>
    <w:rsid w:val="000E4C42"/>
    <w:rsid w:val="000E4D42"/>
    <w:rsid w:val="000E4ED9"/>
    <w:rsid w:val="000E4F53"/>
    <w:rsid w:val="000E5002"/>
    <w:rsid w:val="000E509E"/>
    <w:rsid w:val="000E55A2"/>
    <w:rsid w:val="000E56A5"/>
    <w:rsid w:val="000E56FD"/>
    <w:rsid w:val="000E5705"/>
    <w:rsid w:val="000E586A"/>
    <w:rsid w:val="000E58C1"/>
    <w:rsid w:val="000E58F6"/>
    <w:rsid w:val="000E5AC0"/>
    <w:rsid w:val="000E5B2C"/>
    <w:rsid w:val="000E5C1D"/>
    <w:rsid w:val="000E5F13"/>
    <w:rsid w:val="000E5F6C"/>
    <w:rsid w:val="000E5FCC"/>
    <w:rsid w:val="000E6381"/>
    <w:rsid w:val="000E64B9"/>
    <w:rsid w:val="000E6712"/>
    <w:rsid w:val="000E681A"/>
    <w:rsid w:val="000E6867"/>
    <w:rsid w:val="000E6932"/>
    <w:rsid w:val="000E6A4B"/>
    <w:rsid w:val="000E6CCC"/>
    <w:rsid w:val="000E6DA9"/>
    <w:rsid w:val="000E6E4B"/>
    <w:rsid w:val="000E6FF4"/>
    <w:rsid w:val="000E715C"/>
    <w:rsid w:val="000E7490"/>
    <w:rsid w:val="000E7520"/>
    <w:rsid w:val="000E7566"/>
    <w:rsid w:val="000E75C2"/>
    <w:rsid w:val="000E765B"/>
    <w:rsid w:val="000E777E"/>
    <w:rsid w:val="000E77F9"/>
    <w:rsid w:val="000E79BB"/>
    <w:rsid w:val="000E79D3"/>
    <w:rsid w:val="000E7B9D"/>
    <w:rsid w:val="000E7F95"/>
    <w:rsid w:val="000E7FD9"/>
    <w:rsid w:val="000F02C8"/>
    <w:rsid w:val="000F0506"/>
    <w:rsid w:val="000F0570"/>
    <w:rsid w:val="000F06D1"/>
    <w:rsid w:val="000F08F2"/>
    <w:rsid w:val="000F0902"/>
    <w:rsid w:val="000F09D7"/>
    <w:rsid w:val="000F0A14"/>
    <w:rsid w:val="000F0B05"/>
    <w:rsid w:val="000F0E3B"/>
    <w:rsid w:val="000F1265"/>
    <w:rsid w:val="000F1345"/>
    <w:rsid w:val="000F157B"/>
    <w:rsid w:val="000F157C"/>
    <w:rsid w:val="000F15B2"/>
    <w:rsid w:val="000F15CF"/>
    <w:rsid w:val="000F1803"/>
    <w:rsid w:val="000F1840"/>
    <w:rsid w:val="000F18B9"/>
    <w:rsid w:val="000F18BE"/>
    <w:rsid w:val="000F194D"/>
    <w:rsid w:val="000F1B2A"/>
    <w:rsid w:val="000F1DE0"/>
    <w:rsid w:val="000F1E7E"/>
    <w:rsid w:val="000F1E8B"/>
    <w:rsid w:val="000F20E2"/>
    <w:rsid w:val="000F2165"/>
    <w:rsid w:val="000F2204"/>
    <w:rsid w:val="000F2348"/>
    <w:rsid w:val="000F2482"/>
    <w:rsid w:val="000F24BF"/>
    <w:rsid w:val="000F25C2"/>
    <w:rsid w:val="000F2665"/>
    <w:rsid w:val="000F268D"/>
    <w:rsid w:val="000F26B8"/>
    <w:rsid w:val="000F2975"/>
    <w:rsid w:val="000F2A26"/>
    <w:rsid w:val="000F2A73"/>
    <w:rsid w:val="000F2ADB"/>
    <w:rsid w:val="000F2B7A"/>
    <w:rsid w:val="000F2BC7"/>
    <w:rsid w:val="000F2D01"/>
    <w:rsid w:val="000F2E40"/>
    <w:rsid w:val="000F2E76"/>
    <w:rsid w:val="000F2E8F"/>
    <w:rsid w:val="000F2F9E"/>
    <w:rsid w:val="000F3227"/>
    <w:rsid w:val="000F3236"/>
    <w:rsid w:val="000F337D"/>
    <w:rsid w:val="000F3803"/>
    <w:rsid w:val="000F3963"/>
    <w:rsid w:val="000F3A24"/>
    <w:rsid w:val="000F3BA0"/>
    <w:rsid w:val="000F3DA7"/>
    <w:rsid w:val="000F3E12"/>
    <w:rsid w:val="000F3E6C"/>
    <w:rsid w:val="000F3FA0"/>
    <w:rsid w:val="000F40BE"/>
    <w:rsid w:val="000F40EA"/>
    <w:rsid w:val="000F437F"/>
    <w:rsid w:val="000F4475"/>
    <w:rsid w:val="000F44DD"/>
    <w:rsid w:val="000F478C"/>
    <w:rsid w:val="000F4A55"/>
    <w:rsid w:val="000F4B01"/>
    <w:rsid w:val="000F4C56"/>
    <w:rsid w:val="000F4DCD"/>
    <w:rsid w:val="000F4E83"/>
    <w:rsid w:val="000F4F52"/>
    <w:rsid w:val="000F4F63"/>
    <w:rsid w:val="000F4FB6"/>
    <w:rsid w:val="000F5025"/>
    <w:rsid w:val="000F50DF"/>
    <w:rsid w:val="000F521A"/>
    <w:rsid w:val="000F53A4"/>
    <w:rsid w:val="000F547C"/>
    <w:rsid w:val="000F5499"/>
    <w:rsid w:val="000F54C3"/>
    <w:rsid w:val="000F559A"/>
    <w:rsid w:val="000F55C2"/>
    <w:rsid w:val="000F5770"/>
    <w:rsid w:val="000F5978"/>
    <w:rsid w:val="000F5A97"/>
    <w:rsid w:val="000F5B66"/>
    <w:rsid w:val="000F5BCC"/>
    <w:rsid w:val="000F5D6F"/>
    <w:rsid w:val="000F5DD9"/>
    <w:rsid w:val="000F603E"/>
    <w:rsid w:val="000F60BA"/>
    <w:rsid w:val="000F6175"/>
    <w:rsid w:val="000F66AF"/>
    <w:rsid w:val="000F66CF"/>
    <w:rsid w:val="000F690D"/>
    <w:rsid w:val="000F695E"/>
    <w:rsid w:val="000F6A31"/>
    <w:rsid w:val="000F6A77"/>
    <w:rsid w:val="000F6ACE"/>
    <w:rsid w:val="000F6B44"/>
    <w:rsid w:val="000F6B7F"/>
    <w:rsid w:val="000F6D27"/>
    <w:rsid w:val="000F6F31"/>
    <w:rsid w:val="000F6FE4"/>
    <w:rsid w:val="000F72B0"/>
    <w:rsid w:val="000F72E1"/>
    <w:rsid w:val="000F759E"/>
    <w:rsid w:val="000F765C"/>
    <w:rsid w:val="000F76B6"/>
    <w:rsid w:val="000F78DC"/>
    <w:rsid w:val="000F7969"/>
    <w:rsid w:val="000F79CD"/>
    <w:rsid w:val="000F7A8B"/>
    <w:rsid w:val="000F7AD0"/>
    <w:rsid w:val="000F7AD3"/>
    <w:rsid w:val="000F7BC6"/>
    <w:rsid w:val="000F7C27"/>
    <w:rsid w:val="000F7E7D"/>
    <w:rsid w:val="00100042"/>
    <w:rsid w:val="00100109"/>
    <w:rsid w:val="001001A3"/>
    <w:rsid w:val="00100373"/>
    <w:rsid w:val="001005E5"/>
    <w:rsid w:val="00100680"/>
    <w:rsid w:val="001007BC"/>
    <w:rsid w:val="001007F8"/>
    <w:rsid w:val="00100800"/>
    <w:rsid w:val="00100813"/>
    <w:rsid w:val="0010093C"/>
    <w:rsid w:val="00100A42"/>
    <w:rsid w:val="00100A5E"/>
    <w:rsid w:val="00100B68"/>
    <w:rsid w:val="00100BBC"/>
    <w:rsid w:val="00100D09"/>
    <w:rsid w:val="00100E21"/>
    <w:rsid w:val="00100E31"/>
    <w:rsid w:val="00100F67"/>
    <w:rsid w:val="00100FDF"/>
    <w:rsid w:val="0010100F"/>
    <w:rsid w:val="001010BC"/>
    <w:rsid w:val="00101110"/>
    <w:rsid w:val="0010139D"/>
    <w:rsid w:val="001013D8"/>
    <w:rsid w:val="001013F4"/>
    <w:rsid w:val="00101435"/>
    <w:rsid w:val="001014AB"/>
    <w:rsid w:val="001014B5"/>
    <w:rsid w:val="0010168D"/>
    <w:rsid w:val="001016B5"/>
    <w:rsid w:val="001016FB"/>
    <w:rsid w:val="0010187B"/>
    <w:rsid w:val="00101913"/>
    <w:rsid w:val="00101936"/>
    <w:rsid w:val="00101989"/>
    <w:rsid w:val="001019E5"/>
    <w:rsid w:val="00101A30"/>
    <w:rsid w:val="00101A36"/>
    <w:rsid w:val="00101AD2"/>
    <w:rsid w:val="00101B8E"/>
    <w:rsid w:val="00101C19"/>
    <w:rsid w:val="00101C3A"/>
    <w:rsid w:val="00101D9B"/>
    <w:rsid w:val="00101F19"/>
    <w:rsid w:val="00101FCC"/>
    <w:rsid w:val="001020E2"/>
    <w:rsid w:val="0010214A"/>
    <w:rsid w:val="001021F5"/>
    <w:rsid w:val="00102222"/>
    <w:rsid w:val="00102283"/>
    <w:rsid w:val="00102329"/>
    <w:rsid w:val="0010233A"/>
    <w:rsid w:val="001023B6"/>
    <w:rsid w:val="001024CE"/>
    <w:rsid w:val="00102570"/>
    <w:rsid w:val="00102596"/>
    <w:rsid w:val="001026E5"/>
    <w:rsid w:val="001027FD"/>
    <w:rsid w:val="0010281B"/>
    <w:rsid w:val="001028D7"/>
    <w:rsid w:val="00102F1F"/>
    <w:rsid w:val="00102FD5"/>
    <w:rsid w:val="00103081"/>
    <w:rsid w:val="0010323D"/>
    <w:rsid w:val="00103257"/>
    <w:rsid w:val="00103279"/>
    <w:rsid w:val="0010356F"/>
    <w:rsid w:val="00103A20"/>
    <w:rsid w:val="00103A80"/>
    <w:rsid w:val="00103ABB"/>
    <w:rsid w:val="00103AF2"/>
    <w:rsid w:val="00103B7A"/>
    <w:rsid w:val="00103D6F"/>
    <w:rsid w:val="00103DB3"/>
    <w:rsid w:val="00103E0A"/>
    <w:rsid w:val="00103FC7"/>
    <w:rsid w:val="00104018"/>
    <w:rsid w:val="00104050"/>
    <w:rsid w:val="001040AF"/>
    <w:rsid w:val="0010417A"/>
    <w:rsid w:val="001042F3"/>
    <w:rsid w:val="001045B8"/>
    <w:rsid w:val="001046AD"/>
    <w:rsid w:val="001048E9"/>
    <w:rsid w:val="00104919"/>
    <w:rsid w:val="00104987"/>
    <w:rsid w:val="00104BB4"/>
    <w:rsid w:val="00104ECB"/>
    <w:rsid w:val="00104F13"/>
    <w:rsid w:val="0010508E"/>
    <w:rsid w:val="00105174"/>
    <w:rsid w:val="001051BB"/>
    <w:rsid w:val="0010538B"/>
    <w:rsid w:val="00105793"/>
    <w:rsid w:val="00105A2D"/>
    <w:rsid w:val="00105A7A"/>
    <w:rsid w:val="00105AA4"/>
    <w:rsid w:val="00105C1A"/>
    <w:rsid w:val="00105C75"/>
    <w:rsid w:val="00105C89"/>
    <w:rsid w:val="00105CC1"/>
    <w:rsid w:val="00105DBC"/>
    <w:rsid w:val="00105F2B"/>
    <w:rsid w:val="00105FCC"/>
    <w:rsid w:val="00106188"/>
    <w:rsid w:val="0010639F"/>
    <w:rsid w:val="001063B7"/>
    <w:rsid w:val="001063C2"/>
    <w:rsid w:val="00106407"/>
    <w:rsid w:val="00106862"/>
    <w:rsid w:val="00106936"/>
    <w:rsid w:val="00106992"/>
    <w:rsid w:val="001069E1"/>
    <w:rsid w:val="00106A13"/>
    <w:rsid w:val="00106BBA"/>
    <w:rsid w:val="00106C73"/>
    <w:rsid w:val="00106D1B"/>
    <w:rsid w:val="00106DEE"/>
    <w:rsid w:val="00106EB4"/>
    <w:rsid w:val="00107039"/>
    <w:rsid w:val="0010705B"/>
    <w:rsid w:val="00107652"/>
    <w:rsid w:val="001076A2"/>
    <w:rsid w:val="00107723"/>
    <w:rsid w:val="001077B3"/>
    <w:rsid w:val="00107818"/>
    <w:rsid w:val="00107873"/>
    <w:rsid w:val="00107928"/>
    <w:rsid w:val="00107ABF"/>
    <w:rsid w:val="00107D3D"/>
    <w:rsid w:val="00107D4C"/>
    <w:rsid w:val="00107EAB"/>
    <w:rsid w:val="00107ED2"/>
    <w:rsid w:val="00110025"/>
    <w:rsid w:val="0011018B"/>
    <w:rsid w:val="001102D5"/>
    <w:rsid w:val="00110728"/>
    <w:rsid w:val="001107AB"/>
    <w:rsid w:val="0011094A"/>
    <w:rsid w:val="00110B20"/>
    <w:rsid w:val="00110CDB"/>
    <w:rsid w:val="00110F71"/>
    <w:rsid w:val="001110B1"/>
    <w:rsid w:val="0011127E"/>
    <w:rsid w:val="001112CF"/>
    <w:rsid w:val="00111476"/>
    <w:rsid w:val="00111492"/>
    <w:rsid w:val="001116A5"/>
    <w:rsid w:val="0011172D"/>
    <w:rsid w:val="00111981"/>
    <w:rsid w:val="00111C32"/>
    <w:rsid w:val="00111C72"/>
    <w:rsid w:val="00111E19"/>
    <w:rsid w:val="00111ECE"/>
    <w:rsid w:val="00111F63"/>
    <w:rsid w:val="00112107"/>
    <w:rsid w:val="001121F1"/>
    <w:rsid w:val="001122DF"/>
    <w:rsid w:val="0011236F"/>
    <w:rsid w:val="0011246F"/>
    <w:rsid w:val="001124B3"/>
    <w:rsid w:val="0011255B"/>
    <w:rsid w:val="0011262A"/>
    <w:rsid w:val="00112635"/>
    <w:rsid w:val="0011263C"/>
    <w:rsid w:val="001127BD"/>
    <w:rsid w:val="001127DE"/>
    <w:rsid w:val="00112812"/>
    <w:rsid w:val="00112953"/>
    <w:rsid w:val="001129D1"/>
    <w:rsid w:val="00112BC9"/>
    <w:rsid w:val="00112BDF"/>
    <w:rsid w:val="00112CEB"/>
    <w:rsid w:val="00112F4D"/>
    <w:rsid w:val="001130A7"/>
    <w:rsid w:val="00113221"/>
    <w:rsid w:val="00113267"/>
    <w:rsid w:val="00113290"/>
    <w:rsid w:val="001132CA"/>
    <w:rsid w:val="001134AD"/>
    <w:rsid w:val="0011356D"/>
    <w:rsid w:val="001137B2"/>
    <w:rsid w:val="0011388A"/>
    <w:rsid w:val="00113915"/>
    <w:rsid w:val="00113A7E"/>
    <w:rsid w:val="00113A93"/>
    <w:rsid w:val="00113AF8"/>
    <w:rsid w:val="00113AF9"/>
    <w:rsid w:val="00113B86"/>
    <w:rsid w:val="00113EF2"/>
    <w:rsid w:val="00113FB2"/>
    <w:rsid w:val="00113FF3"/>
    <w:rsid w:val="001140C8"/>
    <w:rsid w:val="001141BF"/>
    <w:rsid w:val="001142AB"/>
    <w:rsid w:val="001143AD"/>
    <w:rsid w:val="00114646"/>
    <w:rsid w:val="00114813"/>
    <w:rsid w:val="0011495E"/>
    <w:rsid w:val="0011499F"/>
    <w:rsid w:val="00114A52"/>
    <w:rsid w:val="00114CE9"/>
    <w:rsid w:val="00114EC2"/>
    <w:rsid w:val="00114F91"/>
    <w:rsid w:val="00115298"/>
    <w:rsid w:val="001152C6"/>
    <w:rsid w:val="001154D1"/>
    <w:rsid w:val="00115575"/>
    <w:rsid w:val="0011557E"/>
    <w:rsid w:val="001156AA"/>
    <w:rsid w:val="00115717"/>
    <w:rsid w:val="00115727"/>
    <w:rsid w:val="0011582E"/>
    <w:rsid w:val="001159E5"/>
    <w:rsid w:val="00115A28"/>
    <w:rsid w:val="00115A48"/>
    <w:rsid w:val="00115A5E"/>
    <w:rsid w:val="00115A7A"/>
    <w:rsid w:val="00115B4E"/>
    <w:rsid w:val="00115B84"/>
    <w:rsid w:val="00115DF1"/>
    <w:rsid w:val="00115E5A"/>
    <w:rsid w:val="00115EA5"/>
    <w:rsid w:val="00115F3A"/>
    <w:rsid w:val="00115FF4"/>
    <w:rsid w:val="00116068"/>
    <w:rsid w:val="001161B2"/>
    <w:rsid w:val="00116267"/>
    <w:rsid w:val="00116424"/>
    <w:rsid w:val="00116440"/>
    <w:rsid w:val="001164A1"/>
    <w:rsid w:val="00116547"/>
    <w:rsid w:val="00116577"/>
    <w:rsid w:val="001165C4"/>
    <w:rsid w:val="00116654"/>
    <w:rsid w:val="0011667E"/>
    <w:rsid w:val="00116704"/>
    <w:rsid w:val="0011682F"/>
    <w:rsid w:val="00116975"/>
    <w:rsid w:val="00116BE9"/>
    <w:rsid w:val="00116C82"/>
    <w:rsid w:val="00116C97"/>
    <w:rsid w:val="00116EB9"/>
    <w:rsid w:val="0011701E"/>
    <w:rsid w:val="001171C4"/>
    <w:rsid w:val="0011722D"/>
    <w:rsid w:val="001172A8"/>
    <w:rsid w:val="0011732A"/>
    <w:rsid w:val="00117369"/>
    <w:rsid w:val="00117374"/>
    <w:rsid w:val="0011746B"/>
    <w:rsid w:val="001175B8"/>
    <w:rsid w:val="00117774"/>
    <w:rsid w:val="001177E9"/>
    <w:rsid w:val="001178FF"/>
    <w:rsid w:val="00117963"/>
    <w:rsid w:val="00117974"/>
    <w:rsid w:val="00117A40"/>
    <w:rsid w:val="00117A73"/>
    <w:rsid w:val="00117B7B"/>
    <w:rsid w:val="00117C7B"/>
    <w:rsid w:val="00117CFD"/>
    <w:rsid w:val="00117D98"/>
    <w:rsid w:val="00117F4F"/>
    <w:rsid w:val="001202C8"/>
    <w:rsid w:val="001203D1"/>
    <w:rsid w:val="00120584"/>
    <w:rsid w:val="00120742"/>
    <w:rsid w:val="0012083A"/>
    <w:rsid w:val="0012090E"/>
    <w:rsid w:val="00120A95"/>
    <w:rsid w:val="00120AA5"/>
    <w:rsid w:val="00120B37"/>
    <w:rsid w:val="00120BDD"/>
    <w:rsid w:val="00120E41"/>
    <w:rsid w:val="00120E7A"/>
    <w:rsid w:val="00120EBF"/>
    <w:rsid w:val="00120ED1"/>
    <w:rsid w:val="00120FF5"/>
    <w:rsid w:val="0012108E"/>
    <w:rsid w:val="00121181"/>
    <w:rsid w:val="0012118F"/>
    <w:rsid w:val="001211B4"/>
    <w:rsid w:val="001211C5"/>
    <w:rsid w:val="001211D6"/>
    <w:rsid w:val="001211DB"/>
    <w:rsid w:val="00121217"/>
    <w:rsid w:val="00121311"/>
    <w:rsid w:val="00121330"/>
    <w:rsid w:val="001216D3"/>
    <w:rsid w:val="001218B8"/>
    <w:rsid w:val="001219A4"/>
    <w:rsid w:val="001219D1"/>
    <w:rsid w:val="00121ADC"/>
    <w:rsid w:val="00121AE0"/>
    <w:rsid w:val="00121D9C"/>
    <w:rsid w:val="00121F86"/>
    <w:rsid w:val="00122026"/>
    <w:rsid w:val="00122161"/>
    <w:rsid w:val="001221B7"/>
    <w:rsid w:val="001221DE"/>
    <w:rsid w:val="00122356"/>
    <w:rsid w:val="001223A6"/>
    <w:rsid w:val="001224B1"/>
    <w:rsid w:val="0012250E"/>
    <w:rsid w:val="001225C8"/>
    <w:rsid w:val="001226D8"/>
    <w:rsid w:val="00122714"/>
    <w:rsid w:val="001227A9"/>
    <w:rsid w:val="001227F3"/>
    <w:rsid w:val="001228A0"/>
    <w:rsid w:val="00122922"/>
    <w:rsid w:val="001229F8"/>
    <w:rsid w:val="001229FD"/>
    <w:rsid w:val="00122B9A"/>
    <w:rsid w:val="00122BCC"/>
    <w:rsid w:val="00122C85"/>
    <w:rsid w:val="00122CF7"/>
    <w:rsid w:val="00122EF5"/>
    <w:rsid w:val="00123080"/>
    <w:rsid w:val="0012317D"/>
    <w:rsid w:val="001232AE"/>
    <w:rsid w:val="001232C3"/>
    <w:rsid w:val="0012348C"/>
    <w:rsid w:val="0012353C"/>
    <w:rsid w:val="001235DD"/>
    <w:rsid w:val="001235EE"/>
    <w:rsid w:val="00123746"/>
    <w:rsid w:val="001237EC"/>
    <w:rsid w:val="001238AD"/>
    <w:rsid w:val="001239B0"/>
    <w:rsid w:val="00123A65"/>
    <w:rsid w:val="00123A82"/>
    <w:rsid w:val="00123A8A"/>
    <w:rsid w:val="00123C40"/>
    <w:rsid w:val="00123DCA"/>
    <w:rsid w:val="00123EA4"/>
    <w:rsid w:val="00123FA1"/>
    <w:rsid w:val="00124055"/>
    <w:rsid w:val="001240D5"/>
    <w:rsid w:val="001241CD"/>
    <w:rsid w:val="00124249"/>
    <w:rsid w:val="0012429A"/>
    <w:rsid w:val="0012434D"/>
    <w:rsid w:val="00124468"/>
    <w:rsid w:val="001244B6"/>
    <w:rsid w:val="0012469B"/>
    <w:rsid w:val="00124939"/>
    <w:rsid w:val="001249CC"/>
    <w:rsid w:val="00124BCE"/>
    <w:rsid w:val="00124C30"/>
    <w:rsid w:val="00124D4F"/>
    <w:rsid w:val="00124D9A"/>
    <w:rsid w:val="00124DA3"/>
    <w:rsid w:val="00124F06"/>
    <w:rsid w:val="00124F8D"/>
    <w:rsid w:val="00124FE5"/>
    <w:rsid w:val="00125064"/>
    <w:rsid w:val="001250E9"/>
    <w:rsid w:val="0012521A"/>
    <w:rsid w:val="00125285"/>
    <w:rsid w:val="0012536C"/>
    <w:rsid w:val="001253D2"/>
    <w:rsid w:val="001254D4"/>
    <w:rsid w:val="00125562"/>
    <w:rsid w:val="00125704"/>
    <w:rsid w:val="0012575E"/>
    <w:rsid w:val="0012599C"/>
    <w:rsid w:val="00125B01"/>
    <w:rsid w:val="00125CE9"/>
    <w:rsid w:val="00125DC3"/>
    <w:rsid w:val="00125EED"/>
    <w:rsid w:val="00125F07"/>
    <w:rsid w:val="00125FAD"/>
    <w:rsid w:val="00126065"/>
    <w:rsid w:val="0012609F"/>
    <w:rsid w:val="00126193"/>
    <w:rsid w:val="00126214"/>
    <w:rsid w:val="00126394"/>
    <w:rsid w:val="00126502"/>
    <w:rsid w:val="00126511"/>
    <w:rsid w:val="00126651"/>
    <w:rsid w:val="00126684"/>
    <w:rsid w:val="001266A6"/>
    <w:rsid w:val="00126A73"/>
    <w:rsid w:val="00126B14"/>
    <w:rsid w:val="00126B8C"/>
    <w:rsid w:val="00126C03"/>
    <w:rsid w:val="00126C17"/>
    <w:rsid w:val="00126C81"/>
    <w:rsid w:val="00126E3B"/>
    <w:rsid w:val="00126F8F"/>
    <w:rsid w:val="00126FE4"/>
    <w:rsid w:val="001270DD"/>
    <w:rsid w:val="001274D9"/>
    <w:rsid w:val="0012758B"/>
    <w:rsid w:val="00127601"/>
    <w:rsid w:val="00127722"/>
    <w:rsid w:val="0012780C"/>
    <w:rsid w:val="001279F9"/>
    <w:rsid w:val="00127C15"/>
    <w:rsid w:val="00127CBC"/>
    <w:rsid w:val="00127CF8"/>
    <w:rsid w:val="0013017B"/>
    <w:rsid w:val="00130245"/>
    <w:rsid w:val="0013025A"/>
    <w:rsid w:val="00130280"/>
    <w:rsid w:val="0013037F"/>
    <w:rsid w:val="00130575"/>
    <w:rsid w:val="001305B1"/>
    <w:rsid w:val="00130779"/>
    <w:rsid w:val="001307A0"/>
    <w:rsid w:val="00130808"/>
    <w:rsid w:val="00130832"/>
    <w:rsid w:val="001308AE"/>
    <w:rsid w:val="001309A0"/>
    <w:rsid w:val="001309CB"/>
    <w:rsid w:val="001309D1"/>
    <w:rsid w:val="00130A57"/>
    <w:rsid w:val="00130A70"/>
    <w:rsid w:val="00130AC4"/>
    <w:rsid w:val="00130AEA"/>
    <w:rsid w:val="00130B85"/>
    <w:rsid w:val="00130DA5"/>
    <w:rsid w:val="0013104C"/>
    <w:rsid w:val="00131179"/>
    <w:rsid w:val="001311A2"/>
    <w:rsid w:val="00131543"/>
    <w:rsid w:val="0013158E"/>
    <w:rsid w:val="001315D0"/>
    <w:rsid w:val="00131779"/>
    <w:rsid w:val="00131A2A"/>
    <w:rsid w:val="00131B18"/>
    <w:rsid w:val="00131D5E"/>
    <w:rsid w:val="0013216A"/>
    <w:rsid w:val="00132334"/>
    <w:rsid w:val="0013236F"/>
    <w:rsid w:val="001323CD"/>
    <w:rsid w:val="00132573"/>
    <w:rsid w:val="0013268A"/>
    <w:rsid w:val="00132861"/>
    <w:rsid w:val="00132929"/>
    <w:rsid w:val="00132936"/>
    <w:rsid w:val="0013295D"/>
    <w:rsid w:val="00132A66"/>
    <w:rsid w:val="00132ABD"/>
    <w:rsid w:val="00132B6C"/>
    <w:rsid w:val="00132B79"/>
    <w:rsid w:val="00132C7B"/>
    <w:rsid w:val="00132DA1"/>
    <w:rsid w:val="00132DF1"/>
    <w:rsid w:val="00132E77"/>
    <w:rsid w:val="00132EAB"/>
    <w:rsid w:val="0013304B"/>
    <w:rsid w:val="0013315D"/>
    <w:rsid w:val="001333A2"/>
    <w:rsid w:val="001333F3"/>
    <w:rsid w:val="001333F7"/>
    <w:rsid w:val="00133456"/>
    <w:rsid w:val="00133573"/>
    <w:rsid w:val="00133623"/>
    <w:rsid w:val="00133687"/>
    <w:rsid w:val="00133710"/>
    <w:rsid w:val="0013379E"/>
    <w:rsid w:val="001337FA"/>
    <w:rsid w:val="0013391B"/>
    <w:rsid w:val="00133B9B"/>
    <w:rsid w:val="00133C5D"/>
    <w:rsid w:val="00133F37"/>
    <w:rsid w:val="00133FC6"/>
    <w:rsid w:val="001340CD"/>
    <w:rsid w:val="001344C3"/>
    <w:rsid w:val="00134606"/>
    <w:rsid w:val="00134688"/>
    <w:rsid w:val="00134863"/>
    <w:rsid w:val="0013490B"/>
    <w:rsid w:val="00134982"/>
    <w:rsid w:val="001349E7"/>
    <w:rsid w:val="00134A0F"/>
    <w:rsid w:val="00134AD4"/>
    <w:rsid w:val="00134ADE"/>
    <w:rsid w:val="00134D9F"/>
    <w:rsid w:val="00134EA0"/>
    <w:rsid w:val="00134F8E"/>
    <w:rsid w:val="00135108"/>
    <w:rsid w:val="00135468"/>
    <w:rsid w:val="00135527"/>
    <w:rsid w:val="00135635"/>
    <w:rsid w:val="001357AB"/>
    <w:rsid w:val="0013587D"/>
    <w:rsid w:val="00135ACD"/>
    <w:rsid w:val="00135B5C"/>
    <w:rsid w:val="00135E2D"/>
    <w:rsid w:val="00135F9E"/>
    <w:rsid w:val="0013606B"/>
    <w:rsid w:val="00136075"/>
    <w:rsid w:val="001361EC"/>
    <w:rsid w:val="0013625B"/>
    <w:rsid w:val="00136267"/>
    <w:rsid w:val="001362E5"/>
    <w:rsid w:val="00136332"/>
    <w:rsid w:val="00136411"/>
    <w:rsid w:val="00136613"/>
    <w:rsid w:val="0013695E"/>
    <w:rsid w:val="00136B37"/>
    <w:rsid w:val="00136D54"/>
    <w:rsid w:val="00136E35"/>
    <w:rsid w:val="00136EA0"/>
    <w:rsid w:val="00136EA1"/>
    <w:rsid w:val="00136ED3"/>
    <w:rsid w:val="00136F77"/>
    <w:rsid w:val="00136FE9"/>
    <w:rsid w:val="00137241"/>
    <w:rsid w:val="00137263"/>
    <w:rsid w:val="001374C5"/>
    <w:rsid w:val="00137562"/>
    <w:rsid w:val="0013757E"/>
    <w:rsid w:val="00137669"/>
    <w:rsid w:val="00137916"/>
    <w:rsid w:val="00137A08"/>
    <w:rsid w:val="00137A54"/>
    <w:rsid w:val="00137CFA"/>
    <w:rsid w:val="00137D75"/>
    <w:rsid w:val="00137DF3"/>
    <w:rsid w:val="00137FEA"/>
    <w:rsid w:val="00140078"/>
    <w:rsid w:val="00140219"/>
    <w:rsid w:val="001404D0"/>
    <w:rsid w:val="001408A9"/>
    <w:rsid w:val="00140921"/>
    <w:rsid w:val="00140A55"/>
    <w:rsid w:val="00140A7D"/>
    <w:rsid w:val="00140AD2"/>
    <w:rsid w:val="00140B82"/>
    <w:rsid w:val="00140CD1"/>
    <w:rsid w:val="00140D02"/>
    <w:rsid w:val="00140DC4"/>
    <w:rsid w:val="00140DCA"/>
    <w:rsid w:val="00140EB0"/>
    <w:rsid w:val="00140EC9"/>
    <w:rsid w:val="00140F88"/>
    <w:rsid w:val="0014121B"/>
    <w:rsid w:val="0014145C"/>
    <w:rsid w:val="00141504"/>
    <w:rsid w:val="001415C3"/>
    <w:rsid w:val="0014166E"/>
    <w:rsid w:val="001417D3"/>
    <w:rsid w:val="00141833"/>
    <w:rsid w:val="0014185F"/>
    <w:rsid w:val="001419B8"/>
    <w:rsid w:val="001419D7"/>
    <w:rsid w:val="00141AEE"/>
    <w:rsid w:val="00141AF2"/>
    <w:rsid w:val="00141DF1"/>
    <w:rsid w:val="00141FEE"/>
    <w:rsid w:val="00142037"/>
    <w:rsid w:val="00142104"/>
    <w:rsid w:val="00142341"/>
    <w:rsid w:val="0014256F"/>
    <w:rsid w:val="001425A0"/>
    <w:rsid w:val="001425F2"/>
    <w:rsid w:val="00142631"/>
    <w:rsid w:val="00142711"/>
    <w:rsid w:val="0014275A"/>
    <w:rsid w:val="001427CB"/>
    <w:rsid w:val="0014284B"/>
    <w:rsid w:val="00142B7F"/>
    <w:rsid w:val="00142E00"/>
    <w:rsid w:val="001431D0"/>
    <w:rsid w:val="0014320A"/>
    <w:rsid w:val="001432DA"/>
    <w:rsid w:val="00143306"/>
    <w:rsid w:val="00143379"/>
    <w:rsid w:val="001433C2"/>
    <w:rsid w:val="00143476"/>
    <w:rsid w:val="001434BF"/>
    <w:rsid w:val="001434E4"/>
    <w:rsid w:val="00143508"/>
    <w:rsid w:val="00143530"/>
    <w:rsid w:val="001436A9"/>
    <w:rsid w:val="00143773"/>
    <w:rsid w:val="001438F1"/>
    <w:rsid w:val="00143902"/>
    <w:rsid w:val="00143989"/>
    <w:rsid w:val="00143A4B"/>
    <w:rsid w:val="00143CB2"/>
    <w:rsid w:val="00143EDB"/>
    <w:rsid w:val="00144164"/>
    <w:rsid w:val="00144177"/>
    <w:rsid w:val="00144487"/>
    <w:rsid w:val="0014455F"/>
    <w:rsid w:val="001446E8"/>
    <w:rsid w:val="00144911"/>
    <w:rsid w:val="00144B73"/>
    <w:rsid w:val="00144BB6"/>
    <w:rsid w:val="00144C95"/>
    <w:rsid w:val="00144D53"/>
    <w:rsid w:val="001454B8"/>
    <w:rsid w:val="00145605"/>
    <w:rsid w:val="0014584B"/>
    <w:rsid w:val="0014587F"/>
    <w:rsid w:val="00145B14"/>
    <w:rsid w:val="00145B5F"/>
    <w:rsid w:val="00145ED1"/>
    <w:rsid w:val="00146079"/>
    <w:rsid w:val="00146221"/>
    <w:rsid w:val="0014647B"/>
    <w:rsid w:val="0014647C"/>
    <w:rsid w:val="00146481"/>
    <w:rsid w:val="001465B1"/>
    <w:rsid w:val="001465E1"/>
    <w:rsid w:val="00146622"/>
    <w:rsid w:val="00146635"/>
    <w:rsid w:val="00146791"/>
    <w:rsid w:val="0014686B"/>
    <w:rsid w:val="001468B3"/>
    <w:rsid w:val="001468C7"/>
    <w:rsid w:val="0014690B"/>
    <w:rsid w:val="001469B7"/>
    <w:rsid w:val="00146A68"/>
    <w:rsid w:val="00146AA2"/>
    <w:rsid w:val="00146B02"/>
    <w:rsid w:val="00147308"/>
    <w:rsid w:val="00147392"/>
    <w:rsid w:val="001475D7"/>
    <w:rsid w:val="0014774C"/>
    <w:rsid w:val="001477F9"/>
    <w:rsid w:val="0014784B"/>
    <w:rsid w:val="00147AF5"/>
    <w:rsid w:val="00147C82"/>
    <w:rsid w:val="00147D69"/>
    <w:rsid w:val="00147DF4"/>
    <w:rsid w:val="00147EEB"/>
    <w:rsid w:val="00147F9F"/>
    <w:rsid w:val="001500E6"/>
    <w:rsid w:val="00150188"/>
    <w:rsid w:val="00150202"/>
    <w:rsid w:val="001502BC"/>
    <w:rsid w:val="0015053B"/>
    <w:rsid w:val="00150815"/>
    <w:rsid w:val="00150975"/>
    <w:rsid w:val="001509E2"/>
    <w:rsid w:val="00150B03"/>
    <w:rsid w:val="00150D74"/>
    <w:rsid w:val="00150E6F"/>
    <w:rsid w:val="00150EE3"/>
    <w:rsid w:val="00151159"/>
    <w:rsid w:val="0015119C"/>
    <w:rsid w:val="001513D3"/>
    <w:rsid w:val="0015151C"/>
    <w:rsid w:val="00151532"/>
    <w:rsid w:val="00151545"/>
    <w:rsid w:val="001515A3"/>
    <w:rsid w:val="00151606"/>
    <w:rsid w:val="00151AFB"/>
    <w:rsid w:val="00151F1D"/>
    <w:rsid w:val="00151F93"/>
    <w:rsid w:val="00151F97"/>
    <w:rsid w:val="00151FAB"/>
    <w:rsid w:val="00152016"/>
    <w:rsid w:val="00152038"/>
    <w:rsid w:val="00152107"/>
    <w:rsid w:val="00152222"/>
    <w:rsid w:val="001522AB"/>
    <w:rsid w:val="001522FB"/>
    <w:rsid w:val="001523C1"/>
    <w:rsid w:val="001524FE"/>
    <w:rsid w:val="001525B0"/>
    <w:rsid w:val="0015281E"/>
    <w:rsid w:val="001528A0"/>
    <w:rsid w:val="00152957"/>
    <w:rsid w:val="00152D64"/>
    <w:rsid w:val="00152D95"/>
    <w:rsid w:val="00152DA7"/>
    <w:rsid w:val="00152F4F"/>
    <w:rsid w:val="00152F8E"/>
    <w:rsid w:val="001532BA"/>
    <w:rsid w:val="001536B8"/>
    <w:rsid w:val="00153738"/>
    <w:rsid w:val="00153938"/>
    <w:rsid w:val="00153A3E"/>
    <w:rsid w:val="00153ADC"/>
    <w:rsid w:val="00153B8D"/>
    <w:rsid w:val="00153C28"/>
    <w:rsid w:val="00153C81"/>
    <w:rsid w:val="00153DAB"/>
    <w:rsid w:val="00153E7A"/>
    <w:rsid w:val="0015406C"/>
    <w:rsid w:val="0015438A"/>
    <w:rsid w:val="0015455B"/>
    <w:rsid w:val="001546A7"/>
    <w:rsid w:val="001546D9"/>
    <w:rsid w:val="001546F0"/>
    <w:rsid w:val="00154727"/>
    <w:rsid w:val="00154912"/>
    <w:rsid w:val="001549C2"/>
    <w:rsid w:val="001549CE"/>
    <w:rsid w:val="00154B73"/>
    <w:rsid w:val="00154B9E"/>
    <w:rsid w:val="00154C26"/>
    <w:rsid w:val="00154D82"/>
    <w:rsid w:val="00154E0B"/>
    <w:rsid w:val="00154E1D"/>
    <w:rsid w:val="00154E52"/>
    <w:rsid w:val="00154E96"/>
    <w:rsid w:val="00154F17"/>
    <w:rsid w:val="0015523A"/>
    <w:rsid w:val="0015525A"/>
    <w:rsid w:val="001553EE"/>
    <w:rsid w:val="001553F8"/>
    <w:rsid w:val="00155412"/>
    <w:rsid w:val="0015558D"/>
    <w:rsid w:val="001555A7"/>
    <w:rsid w:val="00155626"/>
    <w:rsid w:val="0015563F"/>
    <w:rsid w:val="001557B6"/>
    <w:rsid w:val="001558A0"/>
    <w:rsid w:val="00155926"/>
    <w:rsid w:val="00155A48"/>
    <w:rsid w:val="00155A7D"/>
    <w:rsid w:val="00155BDC"/>
    <w:rsid w:val="00155C31"/>
    <w:rsid w:val="00155D00"/>
    <w:rsid w:val="00155D15"/>
    <w:rsid w:val="00155E44"/>
    <w:rsid w:val="0015618A"/>
    <w:rsid w:val="00156411"/>
    <w:rsid w:val="001564A2"/>
    <w:rsid w:val="0015657E"/>
    <w:rsid w:val="001565EE"/>
    <w:rsid w:val="001567EA"/>
    <w:rsid w:val="0015682D"/>
    <w:rsid w:val="00156948"/>
    <w:rsid w:val="001569C1"/>
    <w:rsid w:val="00156BD2"/>
    <w:rsid w:val="00156EE4"/>
    <w:rsid w:val="00156FB1"/>
    <w:rsid w:val="00157224"/>
    <w:rsid w:val="00157302"/>
    <w:rsid w:val="00157346"/>
    <w:rsid w:val="00157471"/>
    <w:rsid w:val="00157731"/>
    <w:rsid w:val="00157823"/>
    <w:rsid w:val="00157949"/>
    <w:rsid w:val="00157DE5"/>
    <w:rsid w:val="00157E10"/>
    <w:rsid w:val="00157E56"/>
    <w:rsid w:val="00157F61"/>
    <w:rsid w:val="00157FAA"/>
    <w:rsid w:val="0016006D"/>
    <w:rsid w:val="001600C7"/>
    <w:rsid w:val="001600F0"/>
    <w:rsid w:val="001601FA"/>
    <w:rsid w:val="0016029E"/>
    <w:rsid w:val="00160368"/>
    <w:rsid w:val="0016053C"/>
    <w:rsid w:val="00160605"/>
    <w:rsid w:val="0016062D"/>
    <w:rsid w:val="00160676"/>
    <w:rsid w:val="001606E4"/>
    <w:rsid w:val="001607EE"/>
    <w:rsid w:val="001608A0"/>
    <w:rsid w:val="001609F5"/>
    <w:rsid w:val="00160B8F"/>
    <w:rsid w:val="00160CD9"/>
    <w:rsid w:val="00160DDD"/>
    <w:rsid w:val="00161171"/>
    <w:rsid w:val="0016122A"/>
    <w:rsid w:val="001613D4"/>
    <w:rsid w:val="001613E6"/>
    <w:rsid w:val="00161428"/>
    <w:rsid w:val="001619D9"/>
    <w:rsid w:val="00161A11"/>
    <w:rsid w:val="00161B50"/>
    <w:rsid w:val="00161BB0"/>
    <w:rsid w:val="00161C11"/>
    <w:rsid w:val="00161DF4"/>
    <w:rsid w:val="00162156"/>
    <w:rsid w:val="001621EE"/>
    <w:rsid w:val="001625B2"/>
    <w:rsid w:val="001628A2"/>
    <w:rsid w:val="00162902"/>
    <w:rsid w:val="001629D6"/>
    <w:rsid w:val="00162A10"/>
    <w:rsid w:val="00162A47"/>
    <w:rsid w:val="00162B7A"/>
    <w:rsid w:val="00162BC9"/>
    <w:rsid w:val="00162C58"/>
    <w:rsid w:val="00162CA3"/>
    <w:rsid w:val="00162F31"/>
    <w:rsid w:val="00162F34"/>
    <w:rsid w:val="00162F39"/>
    <w:rsid w:val="00162F9E"/>
    <w:rsid w:val="00163004"/>
    <w:rsid w:val="00163141"/>
    <w:rsid w:val="0016318D"/>
    <w:rsid w:val="001631C7"/>
    <w:rsid w:val="001632C9"/>
    <w:rsid w:val="00163335"/>
    <w:rsid w:val="0016334B"/>
    <w:rsid w:val="0016336F"/>
    <w:rsid w:val="001633B2"/>
    <w:rsid w:val="001635AC"/>
    <w:rsid w:val="001635CB"/>
    <w:rsid w:val="001636CE"/>
    <w:rsid w:val="00163728"/>
    <w:rsid w:val="001637C8"/>
    <w:rsid w:val="00163BB8"/>
    <w:rsid w:val="00163E66"/>
    <w:rsid w:val="00163F7F"/>
    <w:rsid w:val="0016400C"/>
    <w:rsid w:val="001641AE"/>
    <w:rsid w:val="001641C4"/>
    <w:rsid w:val="001642D1"/>
    <w:rsid w:val="00164505"/>
    <w:rsid w:val="00164865"/>
    <w:rsid w:val="00164913"/>
    <w:rsid w:val="00164A11"/>
    <w:rsid w:val="00164B49"/>
    <w:rsid w:val="00164CB9"/>
    <w:rsid w:val="00164DAC"/>
    <w:rsid w:val="00164F1B"/>
    <w:rsid w:val="0016500B"/>
    <w:rsid w:val="001650D6"/>
    <w:rsid w:val="001650EA"/>
    <w:rsid w:val="00165118"/>
    <w:rsid w:val="001651F9"/>
    <w:rsid w:val="001652A6"/>
    <w:rsid w:val="00165593"/>
    <w:rsid w:val="00165AB3"/>
    <w:rsid w:val="00165B91"/>
    <w:rsid w:val="00165D17"/>
    <w:rsid w:val="00165DE8"/>
    <w:rsid w:val="00165E2D"/>
    <w:rsid w:val="00165E5F"/>
    <w:rsid w:val="00165EC5"/>
    <w:rsid w:val="0016610B"/>
    <w:rsid w:val="00166273"/>
    <w:rsid w:val="00166473"/>
    <w:rsid w:val="0016684B"/>
    <w:rsid w:val="001668A5"/>
    <w:rsid w:val="001668F1"/>
    <w:rsid w:val="00166938"/>
    <w:rsid w:val="00166A1A"/>
    <w:rsid w:val="00166AB6"/>
    <w:rsid w:val="00166FC6"/>
    <w:rsid w:val="00166FCE"/>
    <w:rsid w:val="00167156"/>
    <w:rsid w:val="001671D9"/>
    <w:rsid w:val="00167207"/>
    <w:rsid w:val="0016740A"/>
    <w:rsid w:val="00167474"/>
    <w:rsid w:val="0016752B"/>
    <w:rsid w:val="0016770A"/>
    <w:rsid w:val="001677F4"/>
    <w:rsid w:val="001677FF"/>
    <w:rsid w:val="0016780B"/>
    <w:rsid w:val="0016797D"/>
    <w:rsid w:val="00167B64"/>
    <w:rsid w:val="00167C6B"/>
    <w:rsid w:val="00167D03"/>
    <w:rsid w:val="00167D35"/>
    <w:rsid w:val="00167EE4"/>
    <w:rsid w:val="00170050"/>
    <w:rsid w:val="001701DB"/>
    <w:rsid w:val="001701F7"/>
    <w:rsid w:val="00170270"/>
    <w:rsid w:val="0017035C"/>
    <w:rsid w:val="001703A4"/>
    <w:rsid w:val="00170451"/>
    <w:rsid w:val="00170549"/>
    <w:rsid w:val="001706C8"/>
    <w:rsid w:val="0017076E"/>
    <w:rsid w:val="0017090C"/>
    <w:rsid w:val="00170ACC"/>
    <w:rsid w:val="00170B3A"/>
    <w:rsid w:val="00170CCE"/>
    <w:rsid w:val="00170FB2"/>
    <w:rsid w:val="0017136F"/>
    <w:rsid w:val="0017142D"/>
    <w:rsid w:val="001714ED"/>
    <w:rsid w:val="001716E8"/>
    <w:rsid w:val="00171715"/>
    <w:rsid w:val="00171854"/>
    <w:rsid w:val="00171A35"/>
    <w:rsid w:val="00171C21"/>
    <w:rsid w:val="00171EEB"/>
    <w:rsid w:val="0017200D"/>
    <w:rsid w:val="001724C7"/>
    <w:rsid w:val="0017268C"/>
    <w:rsid w:val="00172760"/>
    <w:rsid w:val="001728B2"/>
    <w:rsid w:val="00172964"/>
    <w:rsid w:val="00172969"/>
    <w:rsid w:val="0017299C"/>
    <w:rsid w:val="00172A68"/>
    <w:rsid w:val="00172B1F"/>
    <w:rsid w:val="00172B2A"/>
    <w:rsid w:val="00172DEB"/>
    <w:rsid w:val="0017308E"/>
    <w:rsid w:val="001731D5"/>
    <w:rsid w:val="0017321D"/>
    <w:rsid w:val="001732D8"/>
    <w:rsid w:val="001733ED"/>
    <w:rsid w:val="00173524"/>
    <w:rsid w:val="00173622"/>
    <w:rsid w:val="00173677"/>
    <w:rsid w:val="0017373B"/>
    <w:rsid w:val="001737FE"/>
    <w:rsid w:val="00173813"/>
    <w:rsid w:val="00173A95"/>
    <w:rsid w:val="00173AC4"/>
    <w:rsid w:val="00173AD8"/>
    <w:rsid w:val="00173ADC"/>
    <w:rsid w:val="00173C41"/>
    <w:rsid w:val="00173CE6"/>
    <w:rsid w:val="00173D65"/>
    <w:rsid w:val="00173F33"/>
    <w:rsid w:val="0017403C"/>
    <w:rsid w:val="00174110"/>
    <w:rsid w:val="0017411F"/>
    <w:rsid w:val="00174156"/>
    <w:rsid w:val="001745F6"/>
    <w:rsid w:val="001746E8"/>
    <w:rsid w:val="001746F1"/>
    <w:rsid w:val="0017473C"/>
    <w:rsid w:val="00174899"/>
    <w:rsid w:val="00174A1B"/>
    <w:rsid w:val="00174C11"/>
    <w:rsid w:val="00174DA0"/>
    <w:rsid w:val="00174EA7"/>
    <w:rsid w:val="00174ECD"/>
    <w:rsid w:val="00175005"/>
    <w:rsid w:val="00175063"/>
    <w:rsid w:val="00175234"/>
    <w:rsid w:val="00175255"/>
    <w:rsid w:val="0017527F"/>
    <w:rsid w:val="0017529D"/>
    <w:rsid w:val="001752B5"/>
    <w:rsid w:val="0017531E"/>
    <w:rsid w:val="00175525"/>
    <w:rsid w:val="00175602"/>
    <w:rsid w:val="001756BB"/>
    <w:rsid w:val="001756CE"/>
    <w:rsid w:val="001756D3"/>
    <w:rsid w:val="0017570C"/>
    <w:rsid w:val="0017574B"/>
    <w:rsid w:val="001758D4"/>
    <w:rsid w:val="00175967"/>
    <w:rsid w:val="001759AD"/>
    <w:rsid w:val="00175B2E"/>
    <w:rsid w:val="00175B46"/>
    <w:rsid w:val="00175BB3"/>
    <w:rsid w:val="00175C99"/>
    <w:rsid w:val="00175E1C"/>
    <w:rsid w:val="00176019"/>
    <w:rsid w:val="00176248"/>
    <w:rsid w:val="0017625E"/>
    <w:rsid w:val="0017658C"/>
    <w:rsid w:val="00176639"/>
    <w:rsid w:val="001766E1"/>
    <w:rsid w:val="0017670D"/>
    <w:rsid w:val="0017683E"/>
    <w:rsid w:val="00176B32"/>
    <w:rsid w:val="00176B94"/>
    <w:rsid w:val="00176BCE"/>
    <w:rsid w:val="00176BDD"/>
    <w:rsid w:val="00176D64"/>
    <w:rsid w:val="001770A1"/>
    <w:rsid w:val="001772FF"/>
    <w:rsid w:val="0017742D"/>
    <w:rsid w:val="001774D3"/>
    <w:rsid w:val="0017755D"/>
    <w:rsid w:val="001778D4"/>
    <w:rsid w:val="00177A24"/>
    <w:rsid w:val="00177BCF"/>
    <w:rsid w:val="00177BF6"/>
    <w:rsid w:val="00177DFF"/>
    <w:rsid w:val="00177E66"/>
    <w:rsid w:val="00180065"/>
    <w:rsid w:val="00180311"/>
    <w:rsid w:val="0018038B"/>
    <w:rsid w:val="001805D3"/>
    <w:rsid w:val="0018061A"/>
    <w:rsid w:val="00180647"/>
    <w:rsid w:val="0018072B"/>
    <w:rsid w:val="001807A2"/>
    <w:rsid w:val="00180A67"/>
    <w:rsid w:val="00180B4E"/>
    <w:rsid w:val="00180C46"/>
    <w:rsid w:val="00180CD2"/>
    <w:rsid w:val="00180D03"/>
    <w:rsid w:val="00180DEB"/>
    <w:rsid w:val="00180E6A"/>
    <w:rsid w:val="00180E8C"/>
    <w:rsid w:val="001810C0"/>
    <w:rsid w:val="0018123D"/>
    <w:rsid w:val="00181412"/>
    <w:rsid w:val="001814B0"/>
    <w:rsid w:val="001815E2"/>
    <w:rsid w:val="00181711"/>
    <w:rsid w:val="0018177F"/>
    <w:rsid w:val="0018189F"/>
    <w:rsid w:val="00181939"/>
    <w:rsid w:val="0018197D"/>
    <w:rsid w:val="0018198B"/>
    <w:rsid w:val="001819AF"/>
    <w:rsid w:val="001819CA"/>
    <w:rsid w:val="00181AD4"/>
    <w:rsid w:val="00181B39"/>
    <w:rsid w:val="00181B90"/>
    <w:rsid w:val="00181C05"/>
    <w:rsid w:val="00181CA2"/>
    <w:rsid w:val="00181CDC"/>
    <w:rsid w:val="00181D58"/>
    <w:rsid w:val="00181DE8"/>
    <w:rsid w:val="00181E56"/>
    <w:rsid w:val="00181E63"/>
    <w:rsid w:val="0018208F"/>
    <w:rsid w:val="001821D9"/>
    <w:rsid w:val="0018263B"/>
    <w:rsid w:val="0018276B"/>
    <w:rsid w:val="001827B8"/>
    <w:rsid w:val="00182A38"/>
    <w:rsid w:val="00182B33"/>
    <w:rsid w:val="00182BA9"/>
    <w:rsid w:val="00182E15"/>
    <w:rsid w:val="00182F47"/>
    <w:rsid w:val="00183030"/>
    <w:rsid w:val="00183119"/>
    <w:rsid w:val="00183140"/>
    <w:rsid w:val="00183187"/>
    <w:rsid w:val="0018323C"/>
    <w:rsid w:val="0018345B"/>
    <w:rsid w:val="0018349F"/>
    <w:rsid w:val="00183591"/>
    <w:rsid w:val="0018364D"/>
    <w:rsid w:val="00183756"/>
    <w:rsid w:val="00183811"/>
    <w:rsid w:val="00183839"/>
    <w:rsid w:val="0018390B"/>
    <w:rsid w:val="00183963"/>
    <w:rsid w:val="00183B37"/>
    <w:rsid w:val="00183CFC"/>
    <w:rsid w:val="00183D94"/>
    <w:rsid w:val="00183ED9"/>
    <w:rsid w:val="00183FC2"/>
    <w:rsid w:val="001842ED"/>
    <w:rsid w:val="00184426"/>
    <w:rsid w:val="00184483"/>
    <w:rsid w:val="001844BC"/>
    <w:rsid w:val="0018466A"/>
    <w:rsid w:val="0018475B"/>
    <w:rsid w:val="001847B5"/>
    <w:rsid w:val="0018480C"/>
    <w:rsid w:val="00184868"/>
    <w:rsid w:val="00184966"/>
    <w:rsid w:val="00184F02"/>
    <w:rsid w:val="00185395"/>
    <w:rsid w:val="0018544C"/>
    <w:rsid w:val="001855D0"/>
    <w:rsid w:val="00185688"/>
    <w:rsid w:val="001857F7"/>
    <w:rsid w:val="00185921"/>
    <w:rsid w:val="00185A3F"/>
    <w:rsid w:val="00185A64"/>
    <w:rsid w:val="00185A7C"/>
    <w:rsid w:val="00185B1A"/>
    <w:rsid w:val="00185BAA"/>
    <w:rsid w:val="00185BDF"/>
    <w:rsid w:val="00185C42"/>
    <w:rsid w:val="00185F08"/>
    <w:rsid w:val="00185FA2"/>
    <w:rsid w:val="001862B9"/>
    <w:rsid w:val="001862D2"/>
    <w:rsid w:val="00186368"/>
    <w:rsid w:val="0018650C"/>
    <w:rsid w:val="0018652E"/>
    <w:rsid w:val="00186530"/>
    <w:rsid w:val="001865D0"/>
    <w:rsid w:val="0018668C"/>
    <w:rsid w:val="001868B3"/>
    <w:rsid w:val="00186A44"/>
    <w:rsid w:val="00186AC3"/>
    <w:rsid w:val="00186B42"/>
    <w:rsid w:val="00186BCA"/>
    <w:rsid w:val="00186CA4"/>
    <w:rsid w:val="00186CD3"/>
    <w:rsid w:val="00186DC9"/>
    <w:rsid w:val="00186ECD"/>
    <w:rsid w:val="001871F5"/>
    <w:rsid w:val="00187216"/>
    <w:rsid w:val="00187332"/>
    <w:rsid w:val="00187359"/>
    <w:rsid w:val="001874D2"/>
    <w:rsid w:val="00187762"/>
    <w:rsid w:val="001878AE"/>
    <w:rsid w:val="0018798D"/>
    <w:rsid w:val="00187B53"/>
    <w:rsid w:val="00187B75"/>
    <w:rsid w:val="00187C53"/>
    <w:rsid w:val="00187C93"/>
    <w:rsid w:val="00187CF2"/>
    <w:rsid w:val="00187D6E"/>
    <w:rsid w:val="001894BC"/>
    <w:rsid w:val="00190073"/>
    <w:rsid w:val="001900FE"/>
    <w:rsid w:val="00190258"/>
    <w:rsid w:val="0019029E"/>
    <w:rsid w:val="00190313"/>
    <w:rsid w:val="001904E8"/>
    <w:rsid w:val="00190581"/>
    <w:rsid w:val="00190622"/>
    <w:rsid w:val="00190693"/>
    <w:rsid w:val="001906A3"/>
    <w:rsid w:val="00190763"/>
    <w:rsid w:val="00190768"/>
    <w:rsid w:val="00190991"/>
    <w:rsid w:val="00190A30"/>
    <w:rsid w:val="00190B63"/>
    <w:rsid w:val="00190CE8"/>
    <w:rsid w:val="00190DC4"/>
    <w:rsid w:val="00190F04"/>
    <w:rsid w:val="00190FA7"/>
    <w:rsid w:val="0019115E"/>
    <w:rsid w:val="00191289"/>
    <w:rsid w:val="0019134D"/>
    <w:rsid w:val="001913F8"/>
    <w:rsid w:val="00191418"/>
    <w:rsid w:val="00191790"/>
    <w:rsid w:val="001918C0"/>
    <w:rsid w:val="00191ABB"/>
    <w:rsid w:val="00191BF0"/>
    <w:rsid w:val="00191CD0"/>
    <w:rsid w:val="00191D00"/>
    <w:rsid w:val="00191D0D"/>
    <w:rsid w:val="00191F3E"/>
    <w:rsid w:val="00191F91"/>
    <w:rsid w:val="00192218"/>
    <w:rsid w:val="0019235C"/>
    <w:rsid w:val="0019246F"/>
    <w:rsid w:val="001924D2"/>
    <w:rsid w:val="00192543"/>
    <w:rsid w:val="00192624"/>
    <w:rsid w:val="00192660"/>
    <w:rsid w:val="00192692"/>
    <w:rsid w:val="001926D1"/>
    <w:rsid w:val="00192943"/>
    <w:rsid w:val="00192969"/>
    <w:rsid w:val="0019298F"/>
    <w:rsid w:val="001929C1"/>
    <w:rsid w:val="00192B3D"/>
    <w:rsid w:val="00192B75"/>
    <w:rsid w:val="00192BB2"/>
    <w:rsid w:val="0019306C"/>
    <w:rsid w:val="001930AE"/>
    <w:rsid w:val="00193126"/>
    <w:rsid w:val="0019316D"/>
    <w:rsid w:val="001933CE"/>
    <w:rsid w:val="001933F4"/>
    <w:rsid w:val="0019351A"/>
    <w:rsid w:val="001936E2"/>
    <w:rsid w:val="001938E6"/>
    <w:rsid w:val="00193AAB"/>
    <w:rsid w:val="00193C3D"/>
    <w:rsid w:val="00193ED8"/>
    <w:rsid w:val="00194127"/>
    <w:rsid w:val="0019428D"/>
    <w:rsid w:val="001943B6"/>
    <w:rsid w:val="001943BF"/>
    <w:rsid w:val="00194484"/>
    <w:rsid w:val="001944B7"/>
    <w:rsid w:val="001944B9"/>
    <w:rsid w:val="001946BD"/>
    <w:rsid w:val="001947E0"/>
    <w:rsid w:val="00194922"/>
    <w:rsid w:val="00194945"/>
    <w:rsid w:val="00194A35"/>
    <w:rsid w:val="00194C18"/>
    <w:rsid w:val="00194D6D"/>
    <w:rsid w:val="00194DF5"/>
    <w:rsid w:val="00194E5A"/>
    <w:rsid w:val="00194F1F"/>
    <w:rsid w:val="00195095"/>
    <w:rsid w:val="0019512F"/>
    <w:rsid w:val="00195303"/>
    <w:rsid w:val="0019530C"/>
    <w:rsid w:val="0019533D"/>
    <w:rsid w:val="0019554A"/>
    <w:rsid w:val="001955FE"/>
    <w:rsid w:val="0019596A"/>
    <w:rsid w:val="00195995"/>
    <w:rsid w:val="001959C3"/>
    <w:rsid w:val="00195A4A"/>
    <w:rsid w:val="00195B99"/>
    <w:rsid w:val="00195BE4"/>
    <w:rsid w:val="00195DE2"/>
    <w:rsid w:val="00195DFE"/>
    <w:rsid w:val="00195F9A"/>
    <w:rsid w:val="00196047"/>
    <w:rsid w:val="001960EE"/>
    <w:rsid w:val="001963D0"/>
    <w:rsid w:val="001964A4"/>
    <w:rsid w:val="00196671"/>
    <w:rsid w:val="00196727"/>
    <w:rsid w:val="001967B3"/>
    <w:rsid w:val="0019695A"/>
    <w:rsid w:val="00196A1C"/>
    <w:rsid w:val="00196B0F"/>
    <w:rsid w:val="00196B7E"/>
    <w:rsid w:val="00196B88"/>
    <w:rsid w:val="00196BAB"/>
    <w:rsid w:val="00196BE5"/>
    <w:rsid w:val="00196CAF"/>
    <w:rsid w:val="00196CCC"/>
    <w:rsid w:val="00197095"/>
    <w:rsid w:val="001970F3"/>
    <w:rsid w:val="00197307"/>
    <w:rsid w:val="0019736F"/>
    <w:rsid w:val="001974C2"/>
    <w:rsid w:val="00197502"/>
    <w:rsid w:val="00197592"/>
    <w:rsid w:val="001976F2"/>
    <w:rsid w:val="001976F3"/>
    <w:rsid w:val="00197A97"/>
    <w:rsid w:val="00197B2F"/>
    <w:rsid w:val="00197B4F"/>
    <w:rsid w:val="00197B80"/>
    <w:rsid w:val="00197E9C"/>
    <w:rsid w:val="001A0378"/>
    <w:rsid w:val="001A0411"/>
    <w:rsid w:val="001A0570"/>
    <w:rsid w:val="001A0641"/>
    <w:rsid w:val="001A0642"/>
    <w:rsid w:val="001A0663"/>
    <w:rsid w:val="001A08D0"/>
    <w:rsid w:val="001A0A87"/>
    <w:rsid w:val="001A0B3D"/>
    <w:rsid w:val="001A0D90"/>
    <w:rsid w:val="001A0E89"/>
    <w:rsid w:val="001A0EB5"/>
    <w:rsid w:val="001A0F4B"/>
    <w:rsid w:val="001A11FB"/>
    <w:rsid w:val="001A1259"/>
    <w:rsid w:val="001A135F"/>
    <w:rsid w:val="001A1387"/>
    <w:rsid w:val="001A13C6"/>
    <w:rsid w:val="001A13DE"/>
    <w:rsid w:val="001A1670"/>
    <w:rsid w:val="001A16A0"/>
    <w:rsid w:val="001A16F0"/>
    <w:rsid w:val="001A178B"/>
    <w:rsid w:val="001A17AC"/>
    <w:rsid w:val="001A182D"/>
    <w:rsid w:val="001A192A"/>
    <w:rsid w:val="001A192D"/>
    <w:rsid w:val="001A1BE9"/>
    <w:rsid w:val="001A1D20"/>
    <w:rsid w:val="001A1DBD"/>
    <w:rsid w:val="001A1F24"/>
    <w:rsid w:val="001A1F76"/>
    <w:rsid w:val="001A203C"/>
    <w:rsid w:val="001A217C"/>
    <w:rsid w:val="001A227C"/>
    <w:rsid w:val="001A231E"/>
    <w:rsid w:val="001A232B"/>
    <w:rsid w:val="001A23B7"/>
    <w:rsid w:val="001A2402"/>
    <w:rsid w:val="001A240D"/>
    <w:rsid w:val="001A240E"/>
    <w:rsid w:val="001A2445"/>
    <w:rsid w:val="001A24E6"/>
    <w:rsid w:val="001A24F4"/>
    <w:rsid w:val="001A268D"/>
    <w:rsid w:val="001A2938"/>
    <w:rsid w:val="001A2A05"/>
    <w:rsid w:val="001A2D77"/>
    <w:rsid w:val="001A2DE8"/>
    <w:rsid w:val="001A2E57"/>
    <w:rsid w:val="001A2F77"/>
    <w:rsid w:val="001A3034"/>
    <w:rsid w:val="001A307A"/>
    <w:rsid w:val="001A30BB"/>
    <w:rsid w:val="001A30DB"/>
    <w:rsid w:val="001A312D"/>
    <w:rsid w:val="001A32B1"/>
    <w:rsid w:val="001A33FF"/>
    <w:rsid w:val="001A3498"/>
    <w:rsid w:val="001A34A2"/>
    <w:rsid w:val="001A34F2"/>
    <w:rsid w:val="001A371A"/>
    <w:rsid w:val="001A372E"/>
    <w:rsid w:val="001A3843"/>
    <w:rsid w:val="001A38A1"/>
    <w:rsid w:val="001A3959"/>
    <w:rsid w:val="001A3A26"/>
    <w:rsid w:val="001A3BB6"/>
    <w:rsid w:val="001A3CE2"/>
    <w:rsid w:val="001A3D13"/>
    <w:rsid w:val="001A3D4C"/>
    <w:rsid w:val="001A3D7C"/>
    <w:rsid w:val="001A3E73"/>
    <w:rsid w:val="001A3EAA"/>
    <w:rsid w:val="001A4040"/>
    <w:rsid w:val="001A404F"/>
    <w:rsid w:val="001A437A"/>
    <w:rsid w:val="001A4522"/>
    <w:rsid w:val="001A4548"/>
    <w:rsid w:val="001A46B9"/>
    <w:rsid w:val="001A4736"/>
    <w:rsid w:val="001A477B"/>
    <w:rsid w:val="001A48CB"/>
    <w:rsid w:val="001A48EF"/>
    <w:rsid w:val="001A48F3"/>
    <w:rsid w:val="001A49D4"/>
    <w:rsid w:val="001A4A8F"/>
    <w:rsid w:val="001A4A90"/>
    <w:rsid w:val="001A4C13"/>
    <w:rsid w:val="001A4C4F"/>
    <w:rsid w:val="001A5213"/>
    <w:rsid w:val="001A5285"/>
    <w:rsid w:val="001A5367"/>
    <w:rsid w:val="001A5402"/>
    <w:rsid w:val="001A5455"/>
    <w:rsid w:val="001A552C"/>
    <w:rsid w:val="001A559E"/>
    <w:rsid w:val="001A57B9"/>
    <w:rsid w:val="001A5896"/>
    <w:rsid w:val="001A5A40"/>
    <w:rsid w:val="001A5AB9"/>
    <w:rsid w:val="001A5BD1"/>
    <w:rsid w:val="001A5D1B"/>
    <w:rsid w:val="001A60A9"/>
    <w:rsid w:val="001A6162"/>
    <w:rsid w:val="001A626A"/>
    <w:rsid w:val="001A655F"/>
    <w:rsid w:val="001A6842"/>
    <w:rsid w:val="001A6859"/>
    <w:rsid w:val="001A685A"/>
    <w:rsid w:val="001A68DC"/>
    <w:rsid w:val="001A6A11"/>
    <w:rsid w:val="001A6AE4"/>
    <w:rsid w:val="001A6BC2"/>
    <w:rsid w:val="001A6C02"/>
    <w:rsid w:val="001A6C48"/>
    <w:rsid w:val="001A7043"/>
    <w:rsid w:val="001A705B"/>
    <w:rsid w:val="001A750B"/>
    <w:rsid w:val="001A756F"/>
    <w:rsid w:val="001A75B2"/>
    <w:rsid w:val="001A75D6"/>
    <w:rsid w:val="001A75FE"/>
    <w:rsid w:val="001A763D"/>
    <w:rsid w:val="001A77CD"/>
    <w:rsid w:val="001A7823"/>
    <w:rsid w:val="001A793A"/>
    <w:rsid w:val="001A79A5"/>
    <w:rsid w:val="001A79EA"/>
    <w:rsid w:val="001A7C28"/>
    <w:rsid w:val="001A7C8B"/>
    <w:rsid w:val="001A7D7F"/>
    <w:rsid w:val="001B0118"/>
    <w:rsid w:val="001B0186"/>
    <w:rsid w:val="001B02AE"/>
    <w:rsid w:val="001B02F3"/>
    <w:rsid w:val="001B0592"/>
    <w:rsid w:val="001B059B"/>
    <w:rsid w:val="001B06BA"/>
    <w:rsid w:val="001B07FC"/>
    <w:rsid w:val="001B0A3C"/>
    <w:rsid w:val="001B0CAF"/>
    <w:rsid w:val="001B0D08"/>
    <w:rsid w:val="001B0D3A"/>
    <w:rsid w:val="001B0DAD"/>
    <w:rsid w:val="001B0ED5"/>
    <w:rsid w:val="001B10E7"/>
    <w:rsid w:val="001B10EE"/>
    <w:rsid w:val="001B124C"/>
    <w:rsid w:val="001B12AD"/>
    <w:rsid w:val="001B1353"/>
    <w:rsid w:val="001B1360"/>
    <w:rsid w:val="001B1441"/>
    <w:rsid w:val="001B1552"/>
    <w:rsid w:val="001B1832"/>
    <w:rsid w:val="001B19DF"/>
    <w:rsid w:val="001B1A93"/>
    <w:rsid w:val="001B1AE5"/>
    <w:rsid w:val="001B1B93"/>
    <w:rsid w:val="001B1C92"/>
    <w:rsid w:val="001B1D61"/>
    <w:rsid w:val="001B1DC1"/>
    <w:rsid w:val="001B1E0A"/>
    <w:rsid w:val="001B1E72"/>
    <w:rsid w:val="001B2003"/>
    <w:rsid w:val="001B20D1"/>
    <w:rsid w:val="001B21DA"/>
    <w:rsid w:val="001B2201"/>
    <w:rsid w:val="001B22C4"/>
    <w:rsid w:val="001B22F3"/>
    <w:rsid w:val="001B237B"/>
    <w:rsid w:val="001B241B"/>
    <w:rsid w:val="001B24C1"/>
    <w:rsid w:val="001B251D"/>
    <w:rsid w:val="001B25D1"/>
    <w:rsid w:val="001B28AC"/>
    <w:rsid w:val="001B28DB"/>
    <w:rsid w:val="001B2916"/>
    <w:rsid w:val="001B2BC2"/>
    <w:rsid w:val="001B2D3D"/>
    <w:rsid w:val="001B2E99"/>
    <w:rsid w:val="001B2FAB"/>
    <w:rsid w:val="001B3308"/>
    <w:rsid w:val="001B3368"/>
    <w:rsid w:val="001B34BD"/>
    <w:rsid w:val="001B35C1"/>
    <w:rsid w:val="001B368F"/>
    <w:rsid w:val="001B372B"/>
    <w:rsid w:val="001B377E"/>
    <w:rsid w:val="001B3803"/>
    <w:rsid w:val="001B385E"/>
    <w:rsid w:val="001B38C0"/>
    <w:rsid w:val="001B38DB"/>
    <w:rsid w:val="001B38F1"/>
    <w:rsid w:val="001B3913"/>
    <w:rsid w:val="001B39B7"/>
    <w:rsid w:val="001B3A3A"/>
    <w:rsid w:val="001B3AA0"/>
    <w:rsid w:val="001B3AD5"/>
    <w:rsid w:val="001B3AD8"/>
    <w:rsid w:val="001B3C34"/>
    <w:rsid w:val="001B3D24"/>
    <w:rsid w:val="001B41E0"/>
    <w:rsid w:val="001B431C"/>
    <w:rsid w:val="001B437A"/>
    <w:rsid w:val="001B43E3"/>
    <w:rsid w:val="001B45C3"/>
    <w:rsid w:val="001B4609"/>
    <w:rsid w:val="001B46C5"/>
    <w:rsid w:val="001B4783"/>
    <w:rsid w:val="001B4830"/>
    <w:rsid w:val="001B4939"/>
    <w:rsid w:val="001B4992"/>
    <w:rsid w:val="001B4A8D"/>
    <w:rsid w:val="001B4AA3"/>
    <w:rsid w:val="001B4BBC"/>
    <w:rsid w:val="001B4CE0"/>
    <w:rsid w:val="001B4F44"/>
    <w:rsid w:val="001B4FA1"/>
    <w:rsid w:val="001B4FA7"/>
    <w:rsid w:val="001B515F"/>
    <w:rsid w:val="001B52A0"/>
    <w:rsid w:val="001B532C"/>
    <w:rsid w:val="001B545B"/>
    <w:rsid w:val="001B5541"/>
    <w:rsid w:val="001B593B"/>
    <w:rsid w:val="001B59D8"/>
    <w:rsid w:val="001B59FA"/>
    <w:rsid w:val="001B5AB1"/>
    <w:rsid w:val="001B5B65"/>
    <w:rsid w:val="001B5BA3"/>
    <w:rsid w:val="001B5C97"/>
    <w:rsid w:val="001B5EEF"/>
    <w:rsid w:val="001B5F55"/>
    <w:rsid w:val="001B609A"/>
    <w:rsid w:val="001B60DA"/>
    <w:rsid w:val="001B631D"/>
    <w:rsid w:val="001B634D"/>
    <w:rsid w:val="001B63D6"/>
    <w:rsid w:val="001B644F"/>
    <w:rsid w:val="001B64DB"/>
    <w:rsid w:val="001B665E"/>
    <w:rsid w:val="001B6916"/>
    <w:rsid w:val="001B6B0F"/>
    <w:rsid w:val="001B6C14"/>
    <w:rsid w:val="001B6C8B"/>
    <w:rsid w:val="001B6F9B"/>
    <w:rsid w:val="001B7045"/>
    <w:rsid w:val="001B71D0"/>
    <w:rsid w:val="001B7383"/>
    <w:rsid w:val="001B7388"/>
    <w:rsid w:val="001B74FB"/>
    <w:rsid w:val="001B7504"/>
    <w:rsid w:val="001B7679"/>
    <w:rsid w:val="001B782F"/>
    <w:rsid w:val="001B78BD"/>
    <w:rsid w:val="001B78F1"/>
    <w:rsid w:val="001B794D"/>
    <w:rsid w:val="001B79B4"/>
    <w:rsid w:val="001B7B08"/>
    <w:rsid w:val="001B7CA2"/>
    <w:rsid w:val="001B7D77"/>
    <w:rsid w:val="001B7DD0"/>
    <w:rsid w:val="001B7DD2"/>
    <w:rsid w:val="001B7DD5"/>
    <w:rsid w:val="001B7E3F"/>
    <w:rsid w:val="001C0067"/>
    <w:rsid w:val="001C018C"/>
    <w:rsid w:val="001C020F"/>
    <w:rsid w:val="001C0218"/>
    <w:rsid w:val="001C0263"/>
    <w:rsid w:val="001C0302"/>
    <w:rsid w:val="001C032E"/>
    <w:rsid w:val="001C034A"/>
    <w:rsid w:val="001C04CE"/>
    <w:rsid w:val="001C063D"/>
    <w:rsid w:val="001C07CA"/>
    <w:rsid w:val="001C0978"/>
    <w:rsid w:val="001C0994"/>
    <w:rsid w:val="001C0B4A"/>
    <w:rsid w:val="001C0BD3"/>
    <w:rsid w:val="001C0BE4"/>
    <w:rsid w:val="001C0C19"/>
    <w:rsid w:val="001C0DB7"/>
    <w:rsid w:val="001C0F32"/>
    <w:rsid w:val="001C0F94"/>
    <w:rsid w:val="001C10D0"/>
    <w:rsid w:val="001C11F4"/>
    <w:rsid w:val="001C1244"/>
    <w:rsid w:val="001C1249"/>
    <w:rsid w:val="001C1496"/>
    <w:rsid w:val="001C16C8"/>
    <w:rsid w:val="001C179A"/>
    <w:rsid w:val="001C18C5"/>
    <w:rsid w:val="001C1A1F"/>
    <w:rsid w:val="001C1AC5"/>
    <w:rsid w:val="001C1BA3"/>
    <w:rsid w:val="001C1D36"/>
    <w:rsid w:val="001C1F52"/>
    <w:rsid w:val="001C1F76"/>
    <w:rsid w:val="001C1FCA"/>
    <w:rsid w:val="001C205C"/>
    <w:rsid w:val="001C208D"/>
    <w:rsid w:val="001C21A4"/>
    <w:rsid w:val="001C21E9"/>
    <w:rsid w:val="001C22B6"/>
    <w:rsid w:val="001C2434"/>
    <w:rsid w:val="001C243B"/>
    <w:rsid w:val="001C25F0"/>
    <w:rsid w:val="001C27C9"/>
    <w:rsid w:val="001C288C"/>
    <w:rsid w:val="001C2B14"/>
    <w:rsid w:val="001C2B82"/>
    <w:rsid w:val="001C2C4F"/>
    <w:rsid w:val="001C2C68"/>
    <w:rsid w:val="001C2DE7"/>
    <w:rsid w:val="001C2F29"/>
    <w:rsid w:val="001C3028"/>
    <w:rsid w:val="001C3045"/>
    <w:rsid w:val="001C337B"/>
    <w:rsid w:val="001C37EB"/>
    <w:rsid w:val="001C3801"/>
    <w:rsid w:val="001C39B2"/>
    <w:rsid w:val="001C3A3E"/>
    <w:rsid w:val="001C3C4E"/>
    <w:rsid w:val="001C3D1F"/>
    <w:rsid w:val="001C3D52"/>
    <w:rsid w:val="001C3FC7"/>
    <w:rsid w:val="001C40C5"/>
    <w:rsid w:val="001C4242"/>
    <w:rsid w:val="001C43C4"/>
    <w:rsid w:val="001C440C"/>
    <w:rsid w:val="001C4496"/>
    <w:rsid w:val="001C4502"/>
    <w:rsid w:val="001C45A1"/>
    <w:rsid w:val="001C4727"/>
    <w:rsid w:val="001C47EB"/>
    <w:rsid w:val="001C4833"/>
    <w:rsid w:val="001C4934"/>
    <w:rsid w:val="001C49BA"/>
    <w:rsid w:val="001C4A60"/>
    <w:rsid w:val="001C4BAE"/>
    <w:rsid w:val="001C4C89"/>
    <w:rsid w:val="001C4CF0"/>
    <w:rsid w:val="001C4CFB"/>
    <w:rsid w:val="001C4D6E"/>
    <w:rsid w:val="001C4E36"/>
    <w:rsid w:val="001C4EE9"/>
    <w:rsid w:val="001C4F05"/>
    <w:rsid w:val="001C512C"/>
    <w:rsid w:val="001C5196"/>
    <w:rsid w:val="001C51FD"/>
    <w:rsid w:val="001C5275"/>
    <w:rsid w:val="001C530D"/>
    <w:rsid w:val="001C5386"/>
    <w:rsid w:val="001C53D8"/>
    <w:rsid w:val="001C53DF"/>
    <w:rsid w:val="001C5449"/>
    <w:rsid w:val="001C5456"/>
    <w:rsid w:val="001C55D2"/>
    <w:rsid w:val="001C55DA"/>
    <w:rsid w:val="001C57B4"/>
    <w:rsid w:val="001C57DC"/>
    <w:rsid w:val="001C58AC"/>
    <w:rsid w:val="001C59BB"/>
    <w:rsid w:val="001C5ADA"/>
    <w:rsid w:val="001C5BEE"/>
    <w:rsid w:val="001C5C40"/>
    <w:rsid w:val="001C5C8A"/>
    <w:rsid w:val="001C5CA9"/>
    <w:rsid w:val="001C5CAF"/>
    <w:rsid w:val="001C5D16"/>
    <w:rsid w:val="001C5FBB"/>
    <w:rsid w:val="001C60C1"/>
    <w:rsid w:val="001C6114"/>
    <w:rsid w:val="001C6284"/>
    <w:rsid w:val="001C6636"/>
    <w:rsid w:val="001C667D"/>
    <w:rsid w:val="001C6759"/>
    <w:rsid w:val="001C677F"/>
    <w:rsid w:val="001C67F5"/>
    <w:rsid w:val="001C6863"/>
    <w:rsid w:val="001C6ADE"/>
    <w:rsid w:val="001C6ADF"/>
    <w:rsid w:val="001C6BC8"/>
    <w:rsid w:val="001C6C66"/>
    <w:rsid w:val="001C6CEF"/>
    <w:rsid w:val="001C6E70"/>
    <w:rsid w:val="001C6ECA"/>
    <w:rsid w:val="001C6F34"/>
    <w:rsid w:val="001C6FB8"/>
    <w:rsid w:val="001C70EB"/>
    <w:rsid w:val="001C710D"/>
    <w:rsid w:val="001C7110"/>
    <w:rsid w:val="001C7360"/>
    <w:rsid w:val="001C749E"/>
    <w:rsid w:val="001C7518"/>
    <w:rsid w:val="001C761E"/>
    <w:rsid w:val="001C7758"/>
    <w:rsid w:val="001C7842"/>
    <w:rsid w:val="001C79DD"/>
    <w:rsid w:val="001C7B91"/>
    <w:rsid w:val="001C7D84"/>
    <w:rsid w:val="001C7EEC"/>
    <w:rsid w:val="001CDC77"/>
    <w:rsid w:val="001D0024"/>
    <w:rsid w:val="001D01E0"/>
    <w:rsid w:val="001D028E"/>
    <w:rsid w:val="001D039F"/>
    <w:rsid w:val="001D0560"/>
    <w:rsid w:val="001D057E"/>
    <w:rsid w:val="001D08E8"/>
    <w:rsid w:val="001D0984"/>
    <w:rsid w:val="001D0986"/>
    <w:rsid w:val="001D098F"/>
    <w:rsid w:val="001D09C2"/>
    <w:rsid w:val="001D0B31"/>
    <w:rsid w:val="001D0BA0"/>
    <w:rsid w:val="001D0C4A"/>
    <w:rsid w:val="001D0DF1"/>
    <w:rsid w:val="001D0E3A"/>
    <w:rsid w:val="001D0EB6"/>
    <w:rsid w:val="001D1023"/>
    <w:rsid w:val="001D10A8"/>
    <w:rsid w:val="001D132A"/>
    <w:rsid w:val="001D1341"/>
    <w:rsid w:val="001D13DB"/>
    <w:rsid w:val="001D14EA"/>
    <w:rsid w:val="001D18F3"/>
    <w:rsid w:val="001D1A3E"/>
    <w:rsid w:val="001D1D31"/>
    <w:rsid w:val="001D1D35"/>
    <w:rsid w:val="001D1E78"/>
    <w:rsid w:val="001D1EA6"/>
    <w:rsid w:val="001D1F59"/>
    <w:rsid w:val="001D2368"/>
    <w:rsid w:val="001D2381"/>
    <w:rsid w:val="001D2631"/>
    <w:rsid w:val="001D276D"/>
    <w:rsid w:val="001D27A4"/>
    <w:rsid w:val="001D2801"/>
    <w:rsid w:val="001D28C8"/>
    <w:rsid w:val="001D28C9"/>
    <w:rsid w:val="001D2B29"/>
    <w:rsid w:val="001D2FA3"/>
    <w:rsid w:val="001D331F"/>
    <w:rsid w:val="001D33FD"/>
    <w:rsid w:val="001D358A"/>
    <w:rsid w:val="001D3850"/>
    <w:rsid w:val="001D385B"/>
    <w:rsid w:val="001D386F"/>
    <w:rsid w:val="001D3885"/>
    <w:rsid w:val="001D38DF"/>
    <w:rsid w:val="001D3956"/>
    <w:rsid w:val="001D3BB1"/>
    <w:rsid w:val="001D3BCE"/>
    <w:rsid w:val="001D3C23"/>
    <w:rsid w:val="001D3CCF"/>
    <w:rsid w:val="001D3CEC"/>
    <w:rsid w:val="001D3D04"/>
    <w:rsid w:val="001D3D94"/>
    <w:rsid w:val="001D3DA7"/>
    <w:rsid w:val="001D3FC1"/>
    <w:rsid w:val="001D402F"/>
    <w:rsid w:val="001D405B"/>
    <w:rsid w:val="001D4342"/>
    <w:rsid w:val="001D44E6"/>
    <w:rsid w:val="001D4648"/>
    <w:rsid w:val="001D4AB5"/>
    <w:rsid w:val="001D4B88"/>
    <w:rsid w:val="001D4C1D"/>
    <w:rsid w:val="001D4C8D"/>
    <w:rsid w:val="001D4DBF"/>
    <w:rsid w:val="001D4E65"/>
    <w:rsid w:val="001D4F2D"/>
    <w:rsid w:val="001D4F78"/>
    <w:rsid w:val="001D5020"/>
    <w:rsid w:val="001D53DC"/>
    <w:rsid w:val="001D5630"/>
    <w:rsid w:val="001D569A"/>
    <w:rsid w:val="001D571F"/>
    <w:rsid w:val="001D5840"/>
    <w:rsid w:val="001D58B3"/>
    <w:rsid w:val="001D5D44"/>
    <w:rsid w:val="001D5D95"/>
    <w:rsid w:val="001D5FDD"/>
    <w:rsid w:val="001D5FDF"/>
    <w:rsid w:val="001D5FEC"/>
    <w:rsid w:val="001D6064"/>
    <w:rsid w:val="001D62A1"/>
    <w:rsid w:val="001D6384"/>
    <w:rsid w:val="001D6589"/>
    <w:rsid w:val="001D6640"/>
    <w:rsid w:val="001D66CF"/>
    <w:rsid w:val="001D66E1"/>
    <w:rsid w:val="001D67E8"/>
    <w:rsid w:val="001D6824"/>
    <w:rsid w:val="001D68B3"/>
    <w:rsid w:val="001D68DE"/>
    <w:rsid w:val="001D6908"/>
    <w:rsid w:val="001D69CA"/>
    <w:rsid w:val="001D6ABB"/>
    <w:rsid w:val="001D6C5E"/>
    <w:rsid w:val="001D6D91"/>
    <w:rsid w:val="001D6E07"/>
    <w:rsid w:val="001D6E45"/>
    <w:rsid w:val="001D6F2A"/>
    <w:rsid w:val="001D714C"/>
    <w:rsid w:val="001D7452"/>
    <w:rsid w:val="001D7498"/>
    <w:rsid w:val="001D7510"/>
    <w:rsid w:val="001D75C7"/>
    <w:rsid w:val="001D770E"/>
    <w:rsid w:val="001D77E4"/>
    <w:rsid w:val="001D7972"/>
    <w:rsid w:val="001D7A27"/>
    <w:rsid w:val="001D7B32"/>
    <w:rsid w:val="001D7BC4"/>
    <w:rsid w:val="001D7CBB"/>
    <w:rsid w:val="001D7E38"/>
    <w:rsid w:val="001D7E81"/>
    <w:rsid w:val="001D7EE1"/>
    <w:rsid w:val="001D7F40"/>
    <w:rsid w:val="001DD465"/>
    <w:rsid w:val="001E0129"/>
    <w:rsid w:val="001E0144"/>
    <w:rsid w:val="001E0184"/>
    <w:rsid w:val="001E038C"/>
    <w:rsid w:val="001E049E"/>
    <w:rsid w:val="001E060A"/>
    <w:rsid w:val="001E07BA"/>
    <w:rsid w:val="001E07EA"/>
    <w:rsid w:val="001E092A"/>
    <w:rsid w:val="001E0AB3"/>
    <w:rsid w:val="001E0E4A"/>
    <w:rsid w:val="001E0EAA"/>
    <w:rsid w:val="001E102F"/>
    <w:rsid w:val="001E1074"/>
    <w:rsid w:val="001E116D"/>
    <w:rsid w:val="001E13DF"/>
    <w:rsid w:val="001E1481"/>
    <w:rsid w:val="001E15F3"/>
    <w:rsid w:val="001E1945"/>
    <w:rsid w:val="001E1B01"/>
    <w:rsid w:val="001E1B7A"/>
    <w:rsid w:val="001E1C55"/>
    <w:rsid w:val="001E1D15"/>
    <w:rsid w:val="001E1DB1"/>
    <w:rsid w:val="001E1E0B"/>
    <w:rsid w:val="001E212E"/>
    <w:rsid w:val="001E23FF"/>
    <w:rsid w:val="001E2458"/>
    <w:rsid w:val="001E248F"/>
    <w:rsid w:val="001E2549"/>
    <w:rsid w:val="001E2577"/>
    <w:rsid w:val="001E2646"/>
    <w:rsid w:val="001E26DE"/>
    <w:rsid w:val="001E26EE"/>
    <w:rsid w:val="001E2811"/>
    <w:rsid w:val="001E283D"/>
    <w:rsid w:val="001E2884"/>
    <w:rsid w:val="001E2A48"/>
    <w:rsid w:val="001E2ADA"/>
    <w:rsid w:val="001E2B39"/>
    <w:rsid w:val="001E2B48"/>
    <w:rsid w:val="001E2C9D"/>
    <w:rsid w:val="001E2E91"/>
    <w:rsid w:val="001E301D"/>
    <w:rsid w:val="001E3225"/>
    <w:rsid w:val="001E3422"/>
    <w:rsid w:val="001E3427"/>
    <w:rsid w:val="001E3720"/>
    <w:rsid w:val="001E3732"/>
    <w:rsid w:val="001E380B"/>
    <w:rsid w:val="001E38D6"/>
    <w:rsid w:val="001E3988"/>
    <w:rsid w:val="001E39F9"/>
    <w:rsid w:val="001E39FC"/>
    <w:rsid w:val="001E3ABF"/>
    <w:rsid w:val="001E3AEE"/>
    <w:rsid w:val="001E3C17"/>
    <w:rsid w:val="001E3CBF"/>
    <w:rsid w:val="001E3CFA"/>
    <w:rsid w:val="001E4105"/>
    <w:rsid w:val="001E4215"/>
    <w:rsid w:val="001E439E"/>
    <w:rsid w:val="001E43FA"/>
    <w:rsid w:val="001E45B8"/>
    <w:rsid w:val="001E48E4"/>
    <w:rsid w:val="001E4910"/>
    <w:rsid w:val="001E4B26"/>
    <w:rsid w:val="001E4B65"/>
    <w:rsid w:val="001E4B92"/>
    <w:rsid w:val="001E4C23"/>
    <w:rsid w:val="001E4D36"/>
    <w:rsid w:val="001E4D85"/>
    <w:rsid w:val="001E4E56"/>
    <w:rsid w:val="001E514B"/>
    <w:rsid w:val="001E541A"/>
    <w:rsid w:val="001E5432"/>
    <w:rsid w:val="001E5433"/>
    <w:rsid w:val="001E5620"/>
    <w:rsid w:val="001E56E4"/>
    <w:rsid w:val="001E5A04"/>
    <w:rsid w:val="001E5B5A"/>
    <w:rsid w:val="001E5E1D"/>
    <w:rsid w:val="001E600D"/>
    <w:rsid w:val="001E6209"/>
    <w:rsid w:val="001E63E8"/>
    <w:rsid w:val="001E64C5"/>
    <w:rsid w:val="001E6642"/>
    <w:rsid w:val="001E67CE"/>
    <w:rsid w:val="001E6ADF"/>
    <w:rsid w:val="001E6AEC"/>
    <w:rsid w:val="001E6BEC"/>
    <w:rsid w:val="001E6C58"/>
    <w:rsid w:val="001E6CB3"/>
    <w:rsid w:val="001E6FF4"/>
    <w:rsid w:val="001E7051"/>
    <w:rsid w:val="001E7203"/>
    <w:rsid w:val="001E723F"/>
    <w:rsid w:val="001E725F"/>
    <w:rsid w:val="001E7539"/>
    <w:rsid w:val="001E7604"/>
    <w:rsid w:val="001E7728"/>
    <w:rsid w:val="001E7790"/>
    <w:rsid w:val="001E793F"/>
    <w:rsid w:val="001E794E"/>
    <w:rsid w:val="001E7A9F"/>
    <w:rsid w:val="001E7AA0"/>
    <w:rsid w:val="001E7B28"/>
    <w:rsid w:val="001E7BE0"/>
    <w:rsid w:val="001E7C44"/>
    <w:rsid w:val="001E7C51"/>
    <w:rsid w:val="001E7E74"/>
    <w:rsid w:val="001E7FFA"/>
    <w:rsid w:val="001F00CF"/>
    <w:rsid w:val="001F01FF"/>
    <w:rsid w:val="001F0203"/>
    <w:rsid w:val="001F0297"/>
    <w:rsid w:val="001F0384"/>
    <w:rsid w:val="001F0629"/>
    <w:rsid w:val="001F063A"/>
    <w:rsid w:val="001F07DD"/>
    <w:rsid w:val="001F0847"/>
    <w:rsid w:val="001F0920"/>
    <w:rsid w:val="001F0989"/>
    <w:rsid w:val="001F099A"/>
    <w:rsid w:val="001F0A3F"/>
    <w:rsid w:val="001F0BFF"/>
    <w:rsid w:val="001F0C5E"/>
    <w:rsid w:val="001F0CAF"/>
    <w:rsid w:val="001F0CC1"/>
    <w:rsid w:val="001F0D0F"/>
    <w:rsid w:val="001F0DFF"/>
    <w:rsid w:val="001F0E6D"/>
    <w:rsid w:val="001F0EA5"/>
    <w:rsid w:val="001F100F"/>
    <w:rsid w:val="001F1077"/>
    <w:rsid w:val="001F1095"/>
    <w:rsid w:val="001F10D8"/>
    <w:rsid w:val="001F11EC"/>
    <w:rsid w:val="001F1206"/>
    <w:rsid w:val="001F127C"/>
    <w:rsid w:val="001F1282"/>
    <w:rsid w:val="001F13FB"/>
    <w:rsid w:val="001F14B6"/>
    <w:rsid w:val="001F1602"/>
    <w:rsid w:val="001F1668"/>
    <w:rsid w:val="001F184A"/>
    <w:rsid w:val="001F184B"/>
    <w:rsid w:val="001F18DB"/>
    <w:rsid w:val="001F1937"/>
    <w:rsid w:val="001F19C7"/>
    <w:rsid w:val="001F1A35"/>
    <w:rsid w:val="001F1B60"/>
    <w:rsid w:val="001F1C27"/>
    <w:rsid w:val="001F1C30"/>
    <w:rsid w:val="001F1CE7"/>
    <w:rsid w:val="001F1DF7"/>
    <w:rsid w:val="001F1ED3"/>
    <w:rsid w:val="001F1F1D"/>
    <w:rsid w:val="001F1F49"/>
    <w:rsid w:val="001F1FA8"/>
    <w:rsid w:val="001F211D"/>
    <w:rsid w:val="001F2298"/>
    <w:rsid w:val="001F22C1"/>
    <w:rsid w:val="001F23B3"/>
    <w:rsid w:val="001F242E"/>
    <w:rsid w:val="001F2541"/>
    <w:rsid w:val="001F2572"/>
    <w:rsid w:val="001F25AB"/>
    <w:rsid w:val="001F26AC"/>
    <w:rsid w:val="001F2793"/>
    <w:rsid w:val="001F27C3"/>
    <w:rsid w:val="001F281B"/>
    <w:rsid w:val="001F284D"/>
    <w:rsid w:val="001F2AFB"/>
    <w:rsid w:val="001F2B8D"/>
    <w:rsid w:val="001F2B98"/>
    <w:rsid w:val="001F2BEC"/>
    <w:rsid w:val="001F2C73"/>
    <w:rsid w:val="001F2D13"/>
    <w:rsid w:val="001F2D8E"/>
    <w:rsid w:val="001F2D94"/>
    <w:rsid w:val="001F3272"/>
    <w:rsid w:val="001F32EB"/>
    <w:rsid w:val="001F32F8"/>
    <w:rsid w:val="001F3337"/>
    <w:rsid w:val="001F34BF"/>
    <w:rsid w:val="001F37D0"/>
    <w:rsid w:val="001F3803"/>
    <w:rsid w:val="001F3943"/>
    <w:rsid w:val="001F3A3E"/>
    <w:rsid w:val="001F3DF1"/>
    <w:rsid w:val="001F3E93"/>
    <w:rsid w:val="001F4003"/>
    <w:rsid w:val="001F4657"/>
    <w:rsid w:val="001F4707"/>
    <w:rsid w:val="001F4837"/>
    <w:rsid w:val="001F4A56"/>
    <w:rsid w:val="001F4AB3"/>
    <w:rsid w:val="001F4BC6"/>
    <w:rsid w:val="001F4E83"/>
    <w:rsid w:val="001F4E98"/>
    <w:rsid w:val="001F4EA0"/>
    <w:rsid w:val="001F4F4C"/>
    <w:rsid w:val="001F4F95"/>
    <w:rsid w:val="001F5143"/>
    <w:rsid w:val="001F52AA"/>
    <w:rsid w:val="001F5444"/>
    <w:rsid w:val="001F5449"/>
    <w:rsid w:val="001F54EA"/>
    <w:rsid w:val="001F54F2"/>
    <w:rsid w:val="001F559A"/>
    <w:rsid w:val="001F55C6"/>
    <w:rsid w:val="001F5691"/>
    <w:rsid w:val="001F56CB"/>
    <w:rsid w:val="001F5719"/>
    <w:rsid w:val="001F5777"/>
    <w:rsid w:val="001F5AB9"/>
    <w:rsid w:val="001F5BCC"/>
    <w:rsid w:val="001F5C86"/>
    <w:rsid w:val="001F5D0B"/>
    <w:rsid w:val="001F5F98"/>
    <w:rsid w:val="001F61AA"/>
    <w:rsid w:val="001F69E8"/>
    <w:rsid w:val="001F6A0F"/>
    <w:rsid w:val="001F6A34"/>
    <w:rsid w:val="001F6C0D"/>
    <w:rsid w:val="001F6D2C"/>
    <w:rsid w:val="001F6E2C"/>
    <w:rsid w:val="001F6EA8"/>
    <w:rsid w:val="001F6EEA"/>
    <w:rsid w:val="001F6F7B"/>
    <w:rsid w:val="001F7234"/>
    <w:rsid w:val="001F72B9"/>
    <w:rsid w:val="001F7478"/>
    <w:rsid w:val="001F747C"/>
    <w:rsid w:val="001F7644"/>
    <w:rsid w:val="001F76D5"/>
    <w:rsid w:val="001F76D6"/>
    <w:rsid w:val="001F76F7"/>
    <w:rsid w:val="001F77EE"/>
    <w:rsid w:val="001F794B"/>
    <w:rsid w:val="001F7A1F"/>
    <w:rsid w:val="001F7B3D"/>
    <w:rsid w:val="001F7DD7"/>
    <w:rsid w:val="001F7EC7"/>
    <w:rsid w:val="001F7FB3"/>
    <w:rsid w:val="001FB1E4"/>
    <w:rsid w:val="0020015C"/>
    <w:rsid w:val="002003FC"/>
    <w:rsid w:val="00200423"/>
    <w:rsid w:val="00200506"/>
    <w:rsid w:val="002005AE"/>
    <w:rsid w:val="002006BA"/>
    <w:rsid w:val="002006C6"/>
    <w:rsid w:val="002007DA"/>
    <w:rsid w:val="0020088B"/>
    <w:rsid w:val="00200990"/>
    <w:rsid w:val="00200BB0"/>
    <w:rsid w:val="00200DF1"/>
    <w:rsid w:val="00200F30"/>
    <w:rsid w:val="00200FD6"/>
    <w:rsid w:val="0020112D"/>
    <w:rsid w:val="002011B1"/>
    <w:rsid w:val="0020142C"/>
    <w:rsid w:val="00201518"/>
    <w:rsid w:val="00201729"/>
    <w:rsid w:val="0020179E"/>
    <w:rsid w:val="0020196D"/>
    <w:rsid w:val="00201B02"/>
    <w:rsid w:val="00201E13"/>
    <w:rsid w:val="00201FB9"/>
    <w:rsid w:val="00201FDD"/>
    <w:rsid w:val="00202342"/>
    <w:rsid w:val="00202485"/>
    <w:rsid w:val="00202590"/>
    <w:rsid w:val="00202662"/>
    <w:rsid w:val="0020271B"/>
    <w:rsid w:val="002027B0"/>
    <w:rsid w:val="0020288D"/>
    <w:rsid w:val="002028D2"/>
    <w:rsid w:val="002028E0"/>
    <w:rsid w:val="00202CBD"/>
    <w:rsid w:val="00202CDE"/>
    <w:rsid w:val="00202D72"/>
    <w:rsid w:val="00202DDD"/>
    <w:rsid w:val="00202F95"/>
    <w:rsid w:val="002030DF"/>
    <w:rsid w:val="0020315A"/>
    <w:rsid w:val="0020328F"/>
    <w:rsid w:val="00203312"/>
    <w:rsid w:val="00203328"/>
    <w:rsid w:val="002033A2"/>
    <w:rsid w:val="00203461"/>
    <w:rsid w:val="00203538"/>
    <w:rsid w:val="00203679"/>
    <w:rsid w:val="002036CA"/>
    <w:rsid w:val="0020372E"/>
    <w:rsid w:val="00203780"/>
    <w:rsid w:val="00203790"/>
    <w:rsid w:val="002038AE"/>
    <w:rsid w:val="0020393E"/>
    <w:rsid w:val="00203B49"/>
    <w:rsid w:val="00203C1A"/>
    <w:rsid w:val="00203C6E"/>
    <w:rsid w:val="00203D95"/>
    <w:rsid w:val="00203EE9"/>
    <w:rsid w:val="00203F9C"/>
    <w:rsid w:val="00203FA9"/>
    <w:rsid w:val="00204044"/>
    <w:rsid w:val="002041B2"/>
    <w:rsid w:val="0020438C"/>
    <w:rsid w:val="00204428"/>
    <w:rsid w:val="00204478"/>
    <w:rsid w:val="002044D1"/>
    <w:rsid w:val="0020464F"/>
    <w:rsid w:val="0020469D"/>
    <w:rsid w:val="002047E5"/>
    <w:rsid w:val="0020487E"/>
    <w:rsid w:val="002048AA"/>
    <w:rsid w:val="002048D6"/>
    <w:rsid w:val="00204B0E"/>
    <w:rsid w:val="00204B19"/>
    <w:rsid w:val="00204BE1"/>
    <w:rsid w:val="00204CEB"/>
    <w:rsid w:val="00204D13"/>
    <w:rsid w:val="00204F19"/>
    <w:rsid w:val="00205000"/>
    <w:rsid w:val="00205027"/>
    <w:rsid w:val="002053A6"/>
    <w:rsid w:val="002053AC"/>
    <w:rsid w:val="002056A5"/>
    <w:rsid w:val="0020586B"/>
    <w:rsid w:val="00205B6B"/>
    <w:rsid w:val="00205C2A"/>
    <w:rsid w:val="00205C7D"/>
    <w:rsid w:val="00205FA3"/>
    <w:rsid w:val="00205FB3"/>
    <w:rsid w:val="00206360"/>
    <w:rsid w:val="0020653C"/>
    <w:rsid w:val="00206770"/>
    <w:rsid w:val="0020677C"/>
    <w:rsid w:val="00206884"/>
    <w:rsid w:val="00206A52"/>
    <w:rsid w:val="00206B50"/>
    <w:rsid w:val="00206D4E"/>
    <w:rsid w:val="00206FCC"/>
    <w:rsid w:val="00207119"/>
    <w:rsid w:val="00207145"/>
    <w:rsid w:val="002073DA"/>
    <w:rsid w:val="00207421"/>
    <w:rsid w:val="002074CF"/>
    <w:rsid w:val="00207605"/>
    <w:rsid w:val="00207608"/>
    <w:rsid w:val="00207623"/>
    <w:rsid w:val="002077E4"/>
    <w:rsid w:val="00207827"/>
    <w:rsid w:val="00207841"/>
    <w:rsid w:val="00207A41"/>
    <w:rsid w:val="00207B2A"/>
    <w:rsid w:val="00207B56"/>
    <w:rsid w:val="00207BE8"/>
    <w:rsid w:val="00207C6B"/>
    <w:rsid w:val="00207EB2"/>
    <w:rsid w:val="00207F65"/>
    <w:rsid w:val="00207F95"/>
    <w:rsid w:val="002101A0"/>
    <w:rsid w:val="002101BA"/>
    <w:rsid w:val="00210264"/>
    <w:rsid w:val="002105A2"/>
    <w:rsid w:val="002107A7"/>
    <w:rsid w:val="0021080E"/>
    <w:rsid w:val="00210875"/>
    <w:rsid w:val="002108B5"/>
    <w:rsid w:val="00210961"/>
    <w:rsid w:val="00210A44"/>
    <w:rsid w:val="00210A61"/>
    <w:rsid w:val="00210BAB"/>
    <w:rsid w:val="00210BE8"/>
    <w:rsid w:val="00210DB5"/>
    <w:rsid w:val="00210EE6"/>
    <w:rsid w:val="00210F8B"/>
    <w:rsid w:val="0021104A"/>
    <w:rsid w:val="00211307"/>
    <w:rsid w:val="0021140B"/>
    <w:rsid w:val="00211540"/>
    <w:rsid w:val="00211624"/>
    <w:rsid w:val="002117F1"/>
    <w:rsid w:val="0021197E"/>
    <w:rsid w:val="002119A2"/>
    <w:rsid w:val="00211A0F"/>
    <w:rsid w:val="00211A40"/>
    <w:rsid w:val="00211A43"/>
    <w:rsid w:val="00211AB4"/>
    <w:rsid w:val="00211BC8"/>
    <w:rsid w:val="00211C54"/>
    <w:rsid w:val="00211F89"/>
    <w:rsid w:val="0021212E"/>
    <w:rsid w:val="0021213B"/>
    <w:rsid w:val="002121CD"/>
    <w:rsid w:val="00212472"/>
    <w:rsid w:val="002126F2"/>
    <w:rsid w:val="002126FA"/>
    <w:rsid w:val="00212AFF"/>
    <w:rsid w:val="00212B68"/>
    <w:rsid w:val="00212C87"/>
    <w:rsid w:val="00212D2D"/>
    <w:rsid w:val="00212DBE"/>
    <w:rsid w:val="00212DD4"/>
    <w:rsid w:val="00212E52"/>
    <w:rsid w:val="00212EA7"/>
    <w:rsid w:val="00212ECC"/>
    <w:rsid w:val="00212FF4"/>
    <w:rsid w:val="00213266"/>
    <w:rsid w:val="00213556"/>
    <w:rsid w:val="002136B0"/>
    <w:rsid w:val="00213856"/>
    <w:rsid w:val="00213993"/>
    <w:rsid w:val="00213A92"/>
    <w:rsid w:val="00213C13"/>
    <w:rsid w:val="00213C8C"/>
    <w:rsid w:val="00213C9A"/>
    <w:rsid w:val="00213CE7"/>
    <w:rsid w:val="00213D3E"/>
    <w:rsid w:val="00213FBD"/>
    <w:rsid w:val="0021407B"/>
    <w:rsid w:val="0021428A"/>
    <w:rsid w:val="002143C0"/>
    <w:rsid w:val="002144A8"/>
    <w:rsid w:val="002144EC"/>
    <w:rsid w:val="0021476E"/>
    <w:rsid w:val="00214C5B"/>
    <w:rsid w:val="00214CFC"/>
    <w:rsid w:val="00214E13"/>
    <w:rsid w:val="00214E31"/>
    <w:rsid w:val="00214E76"/>
    <w:rsid w:val="002151E6"/>
    <w:rsid w:val="002153AE"/>
    <w:rsid w:val="00215469"/>
    <w:rsid w:val="00215566"/>
    <w:rsid w:val="0021569D"/>
    <w:rsid w:val="0021575A"/>
    <w:rsid w:val="002158DC"/>
    <w:rsid w:val="0021596E"/>
    <w:rsid w:val="002159FD"/>
    <w:rsid w:val="00215B1C"/>
    <w:rsid w:val="00215CA1"/>
    <w:rsid w:val="00215D38"/>
    <w:rsid w:val="00215E20"/>
    <w:rsid w:val="00215E4B"/>
    <w:rsid w:val="00215F76"/>
    <w:rsid w:val="00216154"/>
    <w:rsid w:val="002161A0"/>
    <w:rsid w:val="002164CA"/>
    <w:rsid w:val="002164F1"/>
    <w:rsid w:val="00216582"/>
    <w:rsid w:val="002165A2"/>
    <w:rsid w:val="0021684F"/>
    <w:rsid w:val="0021687C"/>
    <w:rsid w:val="00216937"/>
    <w:rsid w:val="00216A77"/>
    <w:rsid w:val="00216BBF"/>
    <w:rsid w:val="00216F67"/>
    <w:rsid w:val="00217142"/>
    <w:rsid w:val="00217189"/>
    <w:rsid w:val="002172F4"/>
    <w:rsid w:val="002176D6"/>
    <w:rsid w:val="002176FA"/>
    <w:rsid w:val="002177B8"/>
    <w:rsid w:val="00217876"/>
    <w:rsid w:val="00217885"/>
    <w:rsid w:val="00217A41"/>
    <w:rsid w:val="00217B3B"/>
    <w:rsid w:val="00217CA0"/>
    <w:rsid w:val="00217D6C"/>
    <w:rsid w:val="00217E17"/>
    <w:rsid w:val="00217E88"/>
    <w:rsid w:val="002200B6"/>
    <w:rsid w:val="00220208"/>
    <w:rsid w:val="00220447"/>
    <w:rsid w:val="002204B1"/>
    <w:rsid w:val="002204D1"/>
    <w:rsid w:val="00220517"/>
    <w:rsid w:val="0022051C"/>
    <w:rsid w:val="00220868"/>
    <w:rsid w:val="002208C7"/>
    <w:rsid w:val="002209EA"/>
    <w:rsid w:val="00220C3E"/>
    <w:rsid w:val="00220CD1"/>
    <w:rsid w:val="00220CF8"/>
    <w:rsid w:val="00220D8C"/>
    <w:rsid w:val="00220ECE"/>
    <w:rsid w:val="00220F70"/>
    <w:rsid w:val="00221073"/>
    <w:rsid w:val="00221139"/>
    <w:rsid w:val="002211DC"/>
    <w:rsid w:val="00221285"/>
    <w:rsid w:val="00221428"/>
    <w:rsid w:val="0022145D"/>
    <w:rsid w:val="00221473"/>
    <w:rsid w:val="002217B3"/>
    <w:rsid w:val="00221874"/>
    <w:rsid w:val="0022187D"/>
    <w:rsid w:val="00221963"/>
    <w:rsid w:val="002219F2"/>
    <w:rsid w:val="00221A77"/>
    <w:rsid w:val="00221B7A"/>
    <w:rsid w:val="00221C47"/>
    <w:rsid w:val="00221EB6"/>
    <w:rsid w:val="00222008"/>
    <w:rsid w:val="002220BD"/>
    <w:rsid w:val="002220EF"/>
    <w:rsid w:val="002220FC"/>
    <w:rsid w:val="00222135"/>
    <w:rsid w:val="0022214D"/>
    <w:rsid w:val="0022220C"/>
    <w:rsid w:val="0022225F"/>
    <w:rsid w:val="002222B5"/>
    <w:rsid w:val="00222366"/>
    <w:rsid w:val="0022247A"/>
    <w:rsid w:val="00222513"/>
    <w:rsid w:val="00222590"/>
    <w:rsid w:val="00222641"/>
    <w:rsid w:val="00222762"/>
    <w:rsid w:val="002227CA"/>
    <w:rsid w:val="00222805"/>
    <w:rsid w:val="002229D4"/>
    <w:rsid w:val="00222AEE"/>
    <w:rsid w:val="00222B3E"/>
    <w:rsid w:val="00222B56"/>
    <w:rsid w:val="00222C0D"/>
    <w:rsid w:val="00222CA1"/>
    <w:rsid w:val="00222CB2"/>
    <w:rsid w:val="00222E89"/>
    <w:rsid w:val="00222E8B"/>
    <w:rsid w:val="00223077"/>
    <w:rsid w:val="00223152"/>
    <w:rsid w:val="0022321F"/>
    <w:rsid w:val="00223355"/>
    <w:rsid w:val="0022338C"/>
    <w:rsid w:val="002233FF"/>
    <w:rsid w:val="0022343A"/>
    <w:rsid w:val="0022349E"/>
    <w:rsid w:val="002235B5"/>
    <w:rsid w:val="002236BE"/>
    <w:rsid w:val="00223858"/>
    <w:rsid w:val="00223A6E"/>
    <w:rsid w:val="00223D01"/>
    <w:rsid w:val="00223E19"/>
    <w:rsid w:val="00223E80"/>
    <w:rsid w:val="00224010"/>
    <w:rsid w:val="00224080"/>
    <w:rsid w:val="002240FF"/>
    <w:rsid w:val="002241B5"/>
    <w:rsid w:val="00224414"/>
    <w:rsid w:val="00224477"/>
    <w:rsid w:val="00224486"/>
    <w:rsid w:val="00224550"/>
    <w:rsid w:val="002245B6"/>
    <w:rsid w:val="002246B6"/>
    <w:rsid w:val="00224701"/>
    <w:rsid w:val="002248CD"/>
    <w:rsid w:val="002249BD"/>
    <w:rsid w:val="002249EC"/>
    <w:rsid w:val="00224AA4"/>
    <w:rsid w:val="00224D56"/>
    <w:rsid w:val="00224EFE"/>
    <w:rsid w:val="00224FB1"/>
    <w:rsid w:val="00224FEE"/>
    <w:rsid w:val="002250DA"/>
    <w:rsid w:val="00225136"/>
    <w:rsid w:val="0022515B"/>
    <w:rsid w:val="00225189"/>
    <w:rsid w:val="002252BA"/>
    <w:rsid w:val="00225356"/>
    <w:rsid w:val="002254D8"/>
    <w:rsid w:val="00225619"/>
    <w:rsid w:val="00225655"/>
    <w:rsid w:val="002256C7"/>
    <w:rsid w:val="002258E0"/>
    <w:rsid w:val="0022592A"/>
    <w:rsid w:val="002259C9"/>
    <w:rsid w:val="00225BFA"/>
    <w:rsid w:val="00225CCF"/>
    <w:rsid w:val="00225D85"/>
    <w:rsid w:val="00225D92"/>
    <w:rsid w:val="00225DC4"/>
    <w:rsid w:val="00225DE8"/>
    <w:rsid w:val="00225EA3"/>
    <w:rsid w:val="00225F32"/>
    <w:rsid w:val="0022600A"/>
    <w:rsid w:val="0022606D"/>
    <w:rsid w:val="00226096"/>
    <w:rsid w:val="0022617D"/>
    <w:rsid w:val="0022628A"/>
    <w:rsid w:val="00226529"/>
    <w:rsid w:val="002265A9"/>
    <w:rsid w:val="002267E1"/>
    <w:rsid w:val="00226B1D"/>
    <w:rsid w:val="00226F04"/>
    <w:rsid w:val="002271A5"/>
    <w:rsid w:val="0022730D"/>
    <w:rsid w:val="00227320"/>
    <w:rsid w:val="002274BE"/>
    <w:rsid w:val="002275E7"/>
    <w:rsid w:val="00227876"/>
    <w:rsid w:val="002278BC"/>
    <w:rsid w:val="00227BA9"/>
    <w:rsid w:val="00227D1F"/>
    <w:rsid w:val="00227D70"/>
    <w:rsid w:val="00227DBE"/>
    <w:rsid w:val="00227E61"/>
    <w:rsid w:val="00227E9E"/>
    <w:rsid w:val="00227ECE"/>
    <w:rsid w:val="0023023E"/>
    <w:rsid w:val="0023024C"/>
    <w:rsid w:val="0023062E"/>
    <w:rsid w:val="002306B2"/>
    <w:rsid w:val="002308C3"/>
    <w:rsid w:val="00230AB3"/>
    <w:rsid w:val="00230E01"/>
    <w:rsid w:val="00230F54"/>
    <w:rsid w:val="0023111D"/>
    <w:rsid w:val="002311D9"/>
    <w:rsid w:val="002311E7"/>
    <w:rsid w:val="00231289"/>
    <w:rsid w:val="00231657"/>
    <w:rsid w:val="002316D1"/>
    <w:rsid w:val="002319E9"/>
    <w:rsid w:val="00231A44"/>
    <w:rsid w:val="00231CE3"/>
    <w:rsid w:val="00231CEB"/>
    <w:rsid w:val="00231D17"/>
    <w:rsid w:val="00231D90"/>
    <w:rsid w:val="00231DEA"/>
    <w:rsid w:val="00231E8B"/>
    <w:rsid w:val="0023203F"/>
    <w:rsid w:val="00232042"/>
    <w:rsid w:val="00232088"/>
    <w:rsid w:val="002321EF"/>
    <w:rsid w:val="002323B6"/>
    <w:rsid w:val="0023280D"/>
    <w:rsid w:val="0023294D"/>
    <w:rsid w:val="002329C8"/>
    <w:rsid w:val="00232A9B"/>
    <w:rsid w:val="00232AA4"/>
    <w:rsid w:val="00232B58"/>
    <w:rsid w:val="00232DEC"/>
    <w:rsid w:val="00232E10"/>
    <w:rsid w:val="00232E1F"/>
    <w:rsid w:val="00232E51"/>
    <w:rsid w:val="00232E66"/>
    <w:rsid w:val="00232E88"/>
    <w:rsid w:val="0023321B"/>
    <w:rsid w:val="002333F4"/>
    <w:rsid w:val="002335B4"/>
    <w:rsid w:val="002336DC"/>
    <w:rsid w:val="00233754"/>
    <w:rsid w:val="00233A06"/>
    <w:rsid w:val="00233A1D"/>
    <w:rsid w:val="00233A6D"/>
    <w:rsid w:val="00233B71"/>
    <w:rsid w:val="00233BB9"/>
    <w:rsid w:val="00233C76"/>
    <w:rsid w:val="00233CBD"/>
    <w:rsid w:val="00233EC1"/>
    <w:rsid w:val="00233FBB"/>
    <w:rsid w:val="00234041"/>
    <w:rsid w:val="00234053"/>
    <w:rsid w:val="002341EC"/>
    <w:rsid w:val="002342BF"/>
    <w:rsid w:val="00234349"/>
    <w:rsid w:val="0023437D"/>
    <w:rsid w:val="00234518"/>
    <w:rsid w:val="00234652"/>
    <w:rsid w:val="00234729"/>
    <w:rsid w:val="00234759"/>
    <w:rsid w:val="00234943"/>
    <w:rsid w:val="00234B28"/>
    <w:rsid w:val="00234B32"/>
    <w:rsid w:val="00234B3C"/>
    <w:rsid w:val="00234C91"/>
    <w:rsid w:val="00234E6C"/>
    <w:rsid w:val="00234F6C"/>
    <w:rsid w:val="00234FE7"/>
    <w:rsid w:val="0023504E"/>
    <w:rsid w:val="0023524E"/>
    <w:rsid w:val="002352F3"/>
    <w:rsid w:val="002356C2"/>
    <w:rsid w:val="002357C6"/>
    <w:rsid w:val="00235914"/>
    <w:rsid w:val="00235945"/>
    <w:rsid w:val="002359F4"/>
    <w:rsid w:val="00235AFC"/>
    <w:rsid w:val="00235BFA"/>
    <w:rsid w:val="00235D14"/>
    <w:rsid w:val="00235E71"/>
    <w:rsid w:val="00236121"/>
    <w:rsid w:val="0023624A"/>
    <w:rsid w:val="00236340"/>
    <w:rsid w:val="0023653E"/>
    <w:rsid w:val="0023656E"/>
    <w:rsid w:val="002366EA"/>
    <w:rsid w:val="00236702"/>
    <w:rsid w:val="00236837"/>
    <w:rsid w:val="002369FE"/>
    <w:rsid w:val="00236A50"/>
    <w:rsid w:val="00236A89"/>
    <w:rsid w:val="00236AFB"/>
    <w:rsid w:val="00236DB6"/>
    <w:rsid w:val="00236E9C"/>
    <w:rsid w:val="00236F32"/>
    <w:rsid w:val="002371DC"/>
    <w:rsid w:val="00237280"/>
    <w:rsid w:val="002372AC"/>
    <w:rsid w:val="00237306"/>
    <w:rsid w:val="002373E9"/>
    <w:rsid w:val="002374EA"/>
    <w:rsid w:val="00237530"/>
    <w:rsid w:val="0023754F"/>
    <w:rsid w:val="0023776A"/>
    <w:rsid w:val="00237A99"/>
    <w:rsid w:val="00237C82"/>
    <w:rsid w:val="00237E35"/>
    <w:rsid w:val="00237EA2"/>
    <w:rsid w:val="00237F46"/>
    <w:rsid w:val="00237FB8"/>
    <w:rsid w:val="00240098"/>
    <w:rsid w:val="002400EA"/>
    <w:rsid w:val="0024010E"/>
    <w:rsid w:val="002401AE"/>
    <w:rsid w:val="002401CB"/>
    <w:rsid w:val="002401E1"/>
    <w:rsid w:val="002402AD"/>
    <w:rsid w:val="002403D4"/>
    <w:rsid w:val="0024055F"/>
    <w:rsid w:val="00240659"/>
    <w:rsid w:val="002406AF"/>
    <w:rsid w:val="0024081B"/>
    <w:rsid w:val="00240848"/>
    <w:rsid w:val="00240C67"/>
    <w:rsid w:val="00240E4D"/>
    <w:rsid w:val="00241008"/>
    <w:rsid w:val="0024122C"/>
    <w:rsid w:val="00241344"/>
    <w:rsid w:val="0024158E"/>
    <w:rsid w:val="002415D9"/>
    <w:rsid w:val="0024169F"/>
    <w:rsid w:val="0024170D"/>
    <w:rsid w:val="00241835"/>
    <w:rsid w:val="00241A5E"/>
    <w:rsid w:val="00241A9F"/>
    <w:rsid w:val="00241B04"/>
    <w:rsid w:val="00241BE9"/>
    <w:rsid w:val="00241C62"/>
    <w:rsid w:val="00241DC5"/>
    <w:rsid w:val="00242185"/>
    <w:rsid w:val="00242747"/>
    <w:rsid w:val="002427AD"/>
    <w:rsid w:val="00242AC7"/>
    <w:rsid w:val="00242ADC"/>
    <w:rsid w:val="00242B64"/>
    <w:rsid w:val="00242C0E"/>
    <w:rsid w:val="00242EF9"/>
    <w:rsid w:val="00242F2C"/>
    <w:rsid w:val="00243264"/>
    <w:rsid w:val="00243387"/>
    <w:rsid w:val="00243433"/>
    <w:rsid w:val="002434D3"/>
    <w:rsid w:val="0024351E"/>
    <w:rsid w:val="002435DC"/>
    <w:rsid w:val="00243928"/>
    <w:rsid w:val="002439F0"/>
    <w:rsid w:val="00243B62"/>
    <w:rsid w:val="00243C28"/>
    <w:rsid w:val="00243C32"/>
    <w:rsid w:val="00243C5E"/>
    <w:rsid w:val="00243FD2"/>
    <w:rsid w:val="002440B5"/>
    <w:rsid w:val="002442F6"/>
    <w:rsid w:val="002442FD"/>
    <w:rsid w:val="00244365"/>
    <w:rsid w:val="00244405"/>
    <w:rsid w:val="00244579"/>
    <w:rsid w:val="0024476A"/>
    <w:rsid w:val="002447C4"/>
    <w:rsid w:val="0024482C"/>
    <w:rsid w:val="002449F6"/>
    <w:rsid w:val="00244AD3"/>
    <w:rsid w:val="00244CD3"/>
    <w:rsid w:val="00244D4E"/>
    <w:rsid w:val="0024504B"/>
    <w:rsid w:val="00245080"/>
    <w:rsid w:val="00245172"/>
    <w:rsid w:val="002452FA"/>
    <w:rsid w:val="002453E8"/>
    <w:rsid w:val="00245456"/>
    <w:rsid w:val="00245577"/>
    <w:rsid w:val="002455EA"/>
    <w:rsid w:val="002455F7"/>
    <w:rsid w:val="0024588F"/>
    <w:rsid w:val="00245911"/>
    <w:rsid w:val="00245B75"/>
    <w:rsid w:val="00245D00"/>
    <w:rsid w:val="00245D7E"/>
    <w:rsid w:val="00245E16"/>
    <w:rsid w:val="00245E36"/>
    <w:rsid w:val="00246001"/>
    <w:rsid w:val="002460F2"/>
    <w:rsid w:val="00246102"/>
    <w:rsid w:val="0024614D"/>
    <w:rsid w:val="002461D6"/>
    <w:rsid w:val="00246375"/>
    <w:rsid w:val="002464EC"/>
    <w:rsid w:val="0024659F"/>
    <w:rsid w:val="00246737"/>
    <w:rsid w:val="0024684B"/>
    <w:rsid w:val="00246966"/>
    <w:rsid w:val="002469AD"/>
    <w:rsid w:val="002469B2"/>
    <w:rsid w:val="00246CC2"/>
    <w:rsid w:val="00246CF1"/>
    <w:rsid w:val="00246D06"/>
    <w:rsid w:val="00246E9C"/>
    <w:rsid w:val="00246FE5"/>
    <w:rsid w:val="0024713A"/>
    <w:rsid w:val="00247156"/>
    <w:rsid w:val="002471AD"/>
    <w:rsid w:val="002471D0"/>
    <w:rsid w:val="002471F3"/>
    <w:rsid w:val="00247202"/>
    <w:rsid w:val="00247401"/>
    <w:rsid w:val="002476E4"/>
    <w:rsid w:val="002476E8"/>
    <w:rsid w:val="00247780"/>
    <w:rsid w:val="00247911"/>
    <w:rsid w:val="0024797B"/>
    <w:rsid w:val="0024797F"/>
    <w:rsid w:val="00247B59"/>
    <w:rsid w:val="00247C34"/>
    <w:rsid w:val="00247D57"/>
    <w:rsid w:val="00247DCF"/>
    <w:rsid w:val="00247DF6"/>
    <w:rsid w:val="00247E42"/>
    <w:rsid w:val="00247EC6"/>
    <w:rsid w:val="00247F83"/>
    <w:rsid w:val="002500A1"/>
    <w:rsid w:val="002500E3"/>
    <w:rsid w:val="002502C2"/>
    <w:rsid w:val="002502C6"/>
    <w:rsid w:val="002504B9"/>
    <w:rsid w:val="0025059F"/>
    <w:rsid w:val="002505B7"/>
    <w:rsid w:val="002507A6"/>
    <w:rsid w:val="002507B7"/>
    <w:rsid w:val="00250858"/>
    <w:rsid w:val="00250881"/>
    <w:rsid w:val="002508C8"/>
    <w:rsid w:val="00250A00"/>
    <w:rsid w:val="00250AC0"/>
    <w:rsid w:val="00250B49"/>
    <w:rsid w:val="00250D69"/>
    <w:rsid w:val="00250F6E"/>
    <w:rsid w:val="00251013"/>
    <w:rsid w:val="00251193"/>
    <w:rsid w:val="002513C2"/>
    <w:rsid w:val="00251461"/>
    <w:rsid w:val="00251B37"/>
    <w:rsid w:val="00251BAE"/>
    <w:rsid w:val="00251D29"/>
    <w:rsid w:val="00251D99"/>
    <w:rsid w:val="00251DF7"/>
    <w:rsid w:val="00251E95"/>
    <w:rsid w:val="00251F0E"/>
    <w:rsid w:val="00251F49"/>
    <w:rsid w:val="00251F6F"/>
    <w:rsid w:val="0025208C"/>
    <w:rsid w:val="002520D9"/>
    <w:rsid w:val="0025214D"/>
    <w:rsid w:val="002521FC"/>
    <w:rsid w:val="00252365"/>
    <w:rsid w:val="00252562"/>
    <w:rsid w:val="00252571"/>
    <w:rsid w:val="002525F3"/>
    <w:rsid w:val="00252733"/>
    <w:rsid w:val="002527FB"/>
    <w:rsid w:val="00252929"/>
    <w:rsid w:val="00252DE9"/>
    <w:rsid w:val="00252DEA"/>
    <w:rsid w:val="00252E29"/>
    <w:rsid w:val="00252E34"/>
    <w:rsid w:val="00252FAB"/>
    <w:rsid w:val="0025302B"/>
    <w:rsid w:val="00253412"/>
    <w:rsid w:val="0025361D"/>
    <w:rsid w:val="002539E6"/>
    <w:rsid w:val="00253B6F"/>
    <w:rsid w:val="00253B90"/>
    <w:rsid w:val="00253D41"/>
    <w:rsid w:val="00253F88"/>
    <w:rsid w:val="002540DE"/>
    <w:rsid w:val="002541B2"/>
    <w:rsid w:val="00254271"/>
    <w:rsid w:val="002544F8"/>
    <w:rsid w:val="00254520"/>
    <w:rsid w:val="00254669"/>
    <w:rsid w:val="0025480E"/>
    <w:rsid w:val="00254904"/>
    <w:rsid w:val="00254984"/>
    <w:rsid w:val="002549E5"/>
    <w:rsid w:val="00254A36"/>
    <w:rsid w:val="00254AD3"/>
    <w:rsid w:val="00254BB1"/>
    <w:rsid w:val="00254E86"/>
    <w:rsid w:val="0025505D"/>
    <w:rsid w:val="00255174"/>
    <w:rsid w:val="00255434"/>
    <w:rsid w:val="00255542"/>
    <w:rsid w:val="00255558"/>
    <w:rsid w:val="00255592"/>
    <w:rsid w:val="002557FC"/>
    <w:rsid w:val="00255B7E"/>
    <w:rsid w:val="00255B93"/>
    <w:rsid w:val="00255B9A"/>
    <w:rsid w:val="00255BC3"/>
    <w:rsid w:val="00255DDE"/>
    <w:rsid w:val="00256297"/>
    <w:rsid w:val="002563AB"/>
    <w:rsid w:val="00256445"/>
    <w:rsid w:val="002567E9"/>
    <w:rsid w:val="00256927"/>
    <w:rsid w:val="00256945"/>
    <w:rsid w:val="00256BED"/>
    <w:rsid w:val="00256C24"/>
    <w:rsid w:val="00256D65"/>
    <w:rsid w:val="00256D7D"/>
    <w:rsid w:val="00257039"/>
    <w:rsid w:val="00257043"/>
    <w:rsid w:val="00257057"/>
    <w:rsid w:val="002570C2"/>
    <w:rsid w:val="002572BD"/>
    <w:rsid w:val="002574BD"/>
    <w:rsid w:val="00257500"/>
    <w:rsid w:val="0025772C"/>
    <w:rsid w:val="00257944"/>
    <w:rsid w:val="00257A0E"/>
    <w:rsid w:val="00257A81"/>
    <w:rsid w:val="00257ABA"/>
    <w:rsid w:val="00257B40"/>
    <w:rsid w:val="00257BDD"/>
    <w:rsid w:val="00257D98"/>
    <w:rsid w:val="00257DBE"/>
    <w:rsid w:val="002600C8"/>
    <w:rsid w:val="002600E3"/>
    <w:rsid w:val="00260179"/>
    <w:rsid w:val="0026048A"/>
    <w:rsid w:val="00260B37"/>
    <w:rsid w:val="00260C95"/>
    <w:rsid w:val="00260D26"/>
    <w:rsid w:val="00260F71"/>
    <w:rsid w:val="00260F8E"/>
    <w:rsid w:val="00261023"/>
    <w:rsid w:val="002610F4"/>
    <w:rsid w:val="0026117F"/>
    <w:rsid w:val="00261182"/>
    <w:rsid w:val="002613CD"/>
    <w:rsid w:val="00261431"/>
    <w:rsid w:val="00261448"/>
    <w:rsid w:val="00261488"/>
    <w:rsid w:val="002614A2"/>
    <w:rsid w:val="00261505"/>
    <w:rsid w:val="00261522"/>
    <w:rsid w:val="0026153D"/>
    <w:rsid w:val="002615D0"/>
    <w:rsid w:val="0026166B"/>
    <w:rsid w:val="002616CF"/>
    <w:rsid w:val="002616F1"/>
    <w:rsid w:val="0026170E"/>
    <w:rsid w:val="00261742"/>
    <w:rsid w:val="0026174F"/>
    <w:rsid w:val="00261756"/>
    <w:rsid w:val="002619A2"/>
    <w:rsid w:val="00261A84"/>
    <w:rsid w:val="00261BA2"/>
    <w:rsid w:val="00261C8E"/>
    <w:rsid w:val="00261D6D"/>
    <w:rsid w:val="00261DB6"/>
    <w:rsid w:val="0026216E"/>
    <w:rsid w:val="002622B8"/>
    <w:rsid w:val="0026236D"/>
    <w:rsid w:val="002623AC"/>
    <w:rsid w:val="0026251D"/>
    <w:rsid w:val="002625B4"/>
    <w:rsid w:val="00262618"/>
    <w:rsid w:val="0026274A"/>
    <w:rsid w:val="00262931"/>
    <w:rsid w:val="0026293E"/>
    <w:rsid w:val="002629AA"/>
    <w:rsid w:val="00262C54"/>
    <w:rsid w:val="00262D31"/>
    <w:rsid w:val="00262E7A"/>
    <w:rsid w:val="00262F7F"/>
    <w:rsid w:val="00263240"/>
    <w:rsid w:val="00263248"/>
    <w:rsid w:val="00263335"/>
    <w:rsid w:val="00263413"/>
    <w:rsid w:val="002634E8"/>
    <w:rsid w:val="002635A6"/>
    <w:rsid w:val="002635D9"/>
    <w:rsid w:val="00263605"/>
    <w:rsid w:val="00263683"/>
    <w:rsid w:val="00263806"/>
    <w:rsid w:val="002638AE"/>
    <w:rsid w:val="002638DD"/>
    <w:rsid w:val="00263906"/>
    <w:rsid w:val="00263973"/>
    <w:rsid w:val="00263A25"/>
    <w:rsid w:val="00263B28"/>
    <w:rsid w:val="00263DCD"/>
    <w:rsid w:val="00263E13"/>
    <w:rsid w:val="00263F59"/>
    <w:rsid w:val="00263F7A"/>
    <w:rsid w:val="00264328"/>
    <w:rsid w:val="0026432B"/>
    <w:rsid w:val="002644F3"/>
    <w:rsid w:val="00264516"/>
    <w:rsid w:val="0026467E"/>
    <w:rsid w:val="002646E9"/>
    <w:rsid w:val="0026480B"/>
    <w:rsid w:val="0026484B"/>
    <w:rsid w:val="002649B7"/>
    <w:rsid w:val="00264A6F"/>
    <w:rsid w:val="00264AB9"/>
    <w:rsid w:val="00264C3A"/>
    <w:rsid w:val="00264DA7"/>
    <w:rsid w:val="00264DE7"/>
    <w:rsid w:val="00264DFF"/>
    <w:rsid w:val="00264E3A"/>
    <w:rsid w:val="00264E95"/>
    <w:rsid w:val="00264F93"/>
    <w:rsid w:val="00265005"/>
    <w:rsid w:val="002650C9"/>
    <w:rsid w:val="00265340"/>
    <w:rsid w:val="002653C1"/>
    <w:rsid w:val="002653CD"/>
    <w:rsid w:val="002653E1"/>
    <w:rsid w:val="002653FE"/>
    <w:rsid w:val="00265472"/>
    <w:rsid w:val="002654B0"/>
    <w:rsid w:val="0026557D"/>
    <w:rsid w:val="0026560C"/>
    <w:rsid w:val="00265631"/>
    <w:rsid w:val="002657C8"/>
    <w:rsid w:val="00265871"/>
    <w:rsid w:val="002658AD"/>
    <w:rsid w:val="0026590A"/>
    <w:rsid w:val="0026593F"/>
    <w:rsid w:val="00265A05"/>
    <w:rsid w:val="00265B04"/>
    <w:rsid w:val="00265B19"/>
    <w:rsid w:val="00265B8B"/>
    <w:rsid w:val="00265C7E"/>
    <w:rsid w:val="00265CCA"/>
    <w:rsid w:val="00265CE3"/>
    <w:rsid w:val="00265D49"/>
    <w:rsid w:val="00265F2B"/>
    <w:rsid w:val="00265FE7"/>
    <w:rsid w:val="00266015"/>
    <w:rsid w:val="0026612C"/>
    <w:rsid w:val="0026613E"/>
    <w:rsid w:val="00266344"/>
    <w:rsid w:val="0026646E"/>
    <w:rsid w:val="0026649C"/>
    <w:rsid w:val="002664AD"/>
    <w:rsid w:val="00266644"/>
    <w:rsid w:val="00266744"/>
    <w:rsid w:val="002667B6"/>
    <w:rsid w:val="002668B9"/>
    <w:rsid w:val="0026692C"/>
    <w:rsid w:val="00266952"/>
    <w:rsid w:val="002669CA"/>
    <w:rsid w:val="00266A91"/>
    <w:rsid w:val="00266AA7"/>
    <w:rsid w:val="00266C64"/>
    <w:rsid w:val="00266E6F"/>
    <w:rsid w:val="00266F12"/>
    <w:rsid w:val="00266F58"/>
    <w:rsid w:val="00266FAC"/>
    <w:rsid w:val="002670C3"/>
    <w:rsid w:val="002671E8"/>
    <w:rsid w:val="002672B7"/>
    <w:rsid w:val="0026742E"/>
    <w:rsid w:val="0026748D"/>
    <w:rsid w:val="002674A8"/>
    <w:rsid w:val="002679E3"/>
    <w:rsid w:val="00267D6B"/>
    <w:rsid w:val="00267D85"/>
    <w:rsid w:val="00267DAA"/>
    <w:rsid w:val="00267E03"/>
    <w:rsid w:val="00267EA9"/>
    <w:rsid w:val="00267EDD"/>
    <w:rsid w:val="00267F67"/>
    <w:rsid w:val="002700D7"/>
    <w:rsid w:val="002701AA"/>
    <w:rsid w:val="00270200"/>
    <w:rsid w:val="002702D7"/>
    <w:rsid w:val="00270366"/>
    <w:rsid w:val="0027039F"/>
    <w:rsid w:val="00270404"/>
    <w:rsid w:val="0027047D"/>
    <w:rsid w:val="00270496"/>
    <w:rsid w:val="002704F2"/>
    <w:rsid w:val="0027052E"/>
    <w:rsid w:val="002705E2"/>
    <w:rsid w:val="00270639"/>
    <w:rsid w:val="00270671"/>
    <w:rsid w:val="00270766"/>
    <w:rsid w:val="002708D8"/>
    <w:rsid w:val="00270C65"/>
    <w:rsid w:val="00270D07"/>
    <w:rsid w:val="00270D10"/>
    <w:rsid w:val="00270F1D"/>
    <w:rsid w:val="00270FC7"/>
    <w:rsid w:val="00271113"/>
    <w:rsid w:val="00271330"/>
    <w:rsid w:val="0027157D"/>
    <w:rsid w:val="002716E7"/>
    <w:rsid w:val="00271807"/>
    <w:rsid w:val="00271AEB"/>
    <w:rsid w:val="00271CAA"/>
    <w:rsid w:val="00271D0A"/>
    <w:rsid w:val="00271D47"/>
    <w:rsid w:val="00271F2C"/>
    <w:rsid w:val="00271F7D"/>
    <w:rsid w:val="0027209F"/>
    <w:rsid w:val="002722E4"/>
    <w:rsid w:val="0027235E"/>
    <w:rsid w:val="00272735"/>
    <w:rsid w:val="00272842"/>
    <w:rsid w:val="00272D32"/>
    <w:rsid w:val="00272D63"/>
    <w:rsid w:val="00272DA0"/>
    <w:rsid w:val="00272FA8"/>
    <w:rsid w:val="00273352"/>
    <w:rsid w:val="0027336A"/>
    <w:rsid w:val="00273641"/>
    <w:rsid w:val="0027366E"/>
    <w:rsid w:val="002737E9"/>
    <w:rsid w:val="0027380E"/>
    <w:rsid w:val="00273A1E"/>
    <w:rsid w:val="00273B11"/>
    <w:rsid w:val="00273B1F"/>
    <w:rsid w:val="00273B82"/>
    <w:rsid w:val="00273B8F"/>
    <w:rsid w:val="00273E7C"/>
    <w:rsid w:val="00273F53"/>
    <w:rsid w:val="00273FBE"/>
    <w:rsid w:val="0027417C"/>
    <w:rsid w:val="0027431D"/>
    <w:rsid w:val="002743C5"/>
    <w:rsid w:val="002744FD"/>
    <w:rsid w:val="00274526"/>
    <w:rsid w:val="0027473F"/>
    <w:rsid w:val="00274A80"/>
    <w:rsid w:val="00274BC9"/>
    <w:rsid w:val="00274C3A"/>
    <w:rsid w:val="00274C93"/>
    <w:rsid w:val="00274CCB"/>
    <w:rsid w:val="00274CEB"/>
    <w:rsid w:val="00274E89"/>
    <w:rsid w:val="00274F50"/>
    <w:rsid w:val="0027508D"/>
    <w:rsid w:val="002750DC"/>
    <w:rsid w:val="002752D7"/>
    <w:rsid w:val="00275300"/>
    <w:rsid w:val="0027542F"/>
    <w:rsid w:val="002754AF"/>
    <w:rsid w:val="0027552E"/>
    <w:rsid w:val="002757F4"/>
    <w:rsid w:val="002758DE"/>
    <w:rsid w:val="002759FF"/>
    <w:rsid w:val="00275AE3"/>
    <w:rsid w:val="00275C79"/>
    <w:rsid w:val="00275FC9"/>
    <w:rsid w:val="00276026"/>
    <w:rsid w:val="00276058"/>
    <w:rsid w:val="00276122"/>
    <w:rsid w:val="0027613A"/>
    <w:rsid w:val="002761E8"/>
    <w:rsid w:val="0027633E"/>
    <w:rsid w:val="002763F1"/>
    <w:rsid w:val="002765AA"/>
    <w:rsid w:val="002765B0"/>
    <w:rsid w:val="00276611"/>
    <w:rsid w:val="00276662"/>
    <w:rsid w:val="00276874"/>
    <w:rsid w:val="00276D0E"/>
    <w:rsid w:val="00276D3D"/>
    <w:rsid w:val="00276E17"/>
    <w:rsid w:val="00276E7C"/>
    <w:rsid w:val="00277018"/>
    <w:rsid w:val="002770F6"/>
    <w:rsid w:val="00277274"/>
    <w:rsid w:val="002773F6"/>
    <w:rsid w:val="0027747B"/>
    <w:rsid w:val="002774E1"/>
    <w:rsid w:val="00277808"/>
    <w:rsid w:val="00277903"/>
    <w:rsid w:val="00277952"/>
    <w:rsid w:val="00277AEF"/>
    <w:rsid w:val="00277DEE"/>
    <w:rsid w:val="00277E1D"/>
    <w:rsid w:val="00277E5E"/>
    <w:rsid w:val="00280049"/>
    <w:rsid w:val="0028007C"/>
    <w:rsid w:val="0028007D"/>
    <w:rsid w:val="002800E6"/>
    <w:rsid w:val="002801B6"/>
    <w:rsid w:val="002801B8"/>
    <w:rsid w:val="00280272"/>
    <w:rsid w:val="002802F9"/>
    <w:rsid w:val="0028033F"/>
    <w:rsid w:val="00280363"/>
    <w:rsid w:val="0028042E"/>
    <w:rsid w:val="00280650"/>
    <w:rsid w:val="00280659"/>
    <w:rsid w:val="00280929"/>
    <w:rsid w:val="002809BD"/>
    <w:rsid w:val="002809BF"/>
    <w:rsid w:val="00281182"/>
    <w:rsid w:val="00281345"/>
    <w:rsid w:val="00281354"/>
    <w:rsid w:val="002813B1"/>
    <w:rsid w:val="0028143B"/>
    <w:rsid w:val="00281443"/>
    <w:rsid w:val="002814F9"/>
    <w:rsid w:val="0028152F"/>
    <w:rsid w:val="0028154F"/>
    <w:rsid w:val="00281883"/>
    <w:rsid w:val="00281B77"/>
    <w:rsid w:val="00281D30"/>
    <w:rsid w:val="00281D6C"/>
    <w:rsid w:val="00281EFD"/>
    <w:rsid w:val="00282277"/>
    <w:rsid w:val="002822AA"/>
    <w:rsid w:val="002822FB"/>
    <w:rsid w:val="00282376"/>
    <w:rsid w:val="0028243A"/>
    <w:rsid w:val="0028253D"/>
    <w:rsid w:val="00282562"/>
    <w:rsid w:val="00282584"/>
    <w:rsid w:val="002825BE"/>
    <w:rsid w:val="002825F5"/>
    <w:rsid w:val="00282719"/>
    <w:rsid w:val="00282842"/>
    <w:rsid w:val="002828FB"/>
    <w:rsid w:val="00282A22"/>
    <w:rsid w:val="00282C6D"/>
    <w:rsid w:val="00282D79"/>
    <w:rsid w:val="00282E46"/>
    <w:rsid w:val="00282EE6"/>
    <w:rsid w:val="00282FA3"/>
    <w:rsid w:val="002830B5"/>
    <w:rsid w:val="00283190"/>
    <w:rsid w:val="00283313"/>
    <w:rsid w:val="00283376"/>
    <w:rsid w:val="002833B7"/>
    <w:rsid w:val="002834F6"/>
    <w:rsid w:val="00283564"/>
    <w:rsid w:val="0028358A"/>
    <w:rsid w:val="00283605"/>
    <w:rsid w:val="0028368A"/>
    <w:rsid w:val="00283744"/>
    <w:rsid w:val="00283803"/>
    <w:rsid w:val="00283C57"/>
    <w:rsid w:val="00283D7C"/>
    <w:rsid w:val="00283F5D"/>
    <w:rsid w:val="00283F8E"/>
    <w:rsid w:val="00283FB7"/>
    <w:rsid w:val="002841B8"/>
    <w:rsid w:val="0028443F"/>
    <w:rsid w:val="002847FC"/>
    <w:rsid w:val="00284805"/>
    <w:rsid w:val="002848AF"/>
    <w:rsid w:val="002848ED"/>
    <w:rsid w:val="00284928"/>
    <w:rsid w:val="00284A04"/>
    <w:rsid w:val="00284C46"/>
    <w:rsid w:val="00284CFF"/>
    <w:rsid w:val="00284EEC"/>
    <w:rsid w:val="00284F5C"/>
    <w:rsid w:val="00284FFD"/>
    <w:rsid w:val="002850A6"/>
    <w:rsid w:val="00285163"/>
    <w:rsid w:val="002851BF"/>
    <w:rsid w:val="002851E0"/>
    <w:rsid w:val="0028523A"/>
    <w:rsid w:val="0028523D"/>
    <w:rsid w:val="00285245"/>
    <w:rsid w:val="0028540D"/>
    <w:rsid w:val="0028553B"/>
    <w:rsid w:val="0028559D"/>
    <w:rsid w:val="002856D2"/>
    <w:rsid w:val="00285752"/>
    <w:rsid w:val="0028597C"/>
    <w:rsid w:val="00285C55"/>
    <w:rsid w:val="00285D66"/>
    <w:rsid w:val="00285EBA"/>
    <w:rsid w:val="00286069"/>
    <w:rsid w:val="002863B8"/>
    <w:rsid w:val="0028651C"/>
    <w:rsid w:val="00286674"/>
    <w:rsid w:val="00286772"/>
    <w:rsid w:val="00286886"/>
    <w:rsid w:val="002868CE"/>
    <w:rsid w:val="00286A21"/>
    <w:rsid w:val="00286AFA"/>
    <w:rsid w:val="00286B18"/>
    <w:rsid w:val="00286B64"/>
    <w:rsid w:val="00286B6D"/>
    <w:rsid w:val="00286B93"/>
    <w:rsid w:val="00286BFF"/>
    <w:rsid w:val="00286C65"/>
    <w:rsid w:val="00286CE9"/>
    <w:rsid w:val="00286EE8"/>
    <w:rsid w:val="00287088"/>
    <w:rsid w:val="00287164"/>
    <w:rsid w:val="00287240"/>
    <w:rsid w:val="002874F9"/>
    <w:rsid w:val="00287713"/>
    <w:rsid w:val="00287F48"/>
    <w:rsid w:val="00287F8A"/>
    <w:rsid w:val="0029004E"/>
    <w:rsid w:val="00290287"/>
    <w:rsid w:val="002902AB"/>
    <w:rsid w:val="0029044A"/>
    <w:rsid w:val="00290490"/>
    <w:rsid w:val="002905DA"/>
    <w:rsid w:val="00290660"/>
    <w:rsid w:val="002908BC"/>
    <w:rsid w:val="00290A4D"/>
    <w:rsid w:val="00290A66"/>
    <w:rsid w:val="00290BA0"/>
    <w:rsid w:val="00290C04"/>
    <w:rsid w:val="00290C17"/>
    <w:rsid w:val="00290C92"/>
    <w:rsid w:val="00290E61"/>
    <w:rsid w:val="00290F39"/>
    <w:rsid w:val="00290FE2"/>
    <w:rsid w:val="002910DB"/>
    <w:rsid w:val="002910F8"/>
    <w:rsid w:val="00291155"/>
    <w:rsid w:val="002913D6"/>
    <w:rsid w:val="00291481"/>
    <w:rsid w:val="0029149F"/>
    <w:rsid w:val="002914D2"/>
    <w:rsid w:val="002915D4"/>
    <w:rsid w:val="0029164C"/>
    <w:rsid w:val="002917FA"/>
    <w:rsid w:val="002918C8"/>
    <w:rsid w:val="00291A00"/>
    <w:rsid w:val="00291BA4"/>
    <w:rsid w:val="00291BEA"/>
    <w:rsid w:val="00291C09"/>
    <w:rsid w:val="00291E9D"/>
    <w:rsid w:val="00291FA8"/>
    <w:rsid w:val="00292299"/>
    <w:rsid w:val="0029262C"/>
    <w:rsid w:val="002926B9"/>
    <w:rsid w:val="00292937"/>
    <w:rsid w:val="00292A09"/>
    <w:rsid w:val="00292A73"/>
    <w:rsid w:val="00292AFE"/>
    <w:rsid w:val="00292B1C"/>
    <w:rsid w:val="00292B5D"/>
    <w:rsid w:val="00292CE9"/>
    <w:rsid w:val="00292CFB"/>
    <w:rsid w:val="00292D29"/>
    <w:rsid w:val="00292DF9"/>
    <w:rsid w:val="002930A2"/>
    <w:rsid w:val="00293148"/>
    <w:rsid w:val="002934B9"/>
    <w:rsid w:val="00293C97"/>
    <w:rsid w:val="00293D20"/>
    <w:rsid w:val="00293D5C"/>
    <w:rsid w:val="00293E1A"/>
    <w:rsid w:val="00293E79"/>
    <w:rsid w:val="0029448C"/>
    <w:rsid w:val="002944BC"/>
    <w:rsid w:val="00294656"/>
    <w:rsid w:val="0029470B"/>
    <w:rsid w:val="002948EF"/>
    <w:rsid w:val="00294902"/>
    <w:rsid w:val="00294992"/>
    <w:rsid w:val="00294BDE"/>
    <w:rsid w:val="00294CCD"/>
    <w:rsid w:val="00294D13"/>
    <w:rsid w:val="00294F15"/>
    <w:rsid w:val="00294F37"/>
    <w:rsid w:val="00294F4E"/>
    <w:rsid w:val="00294FE7"/>
    <w:rsid w:val="0029504D"/>
    <w:rsid w:val="00295058"/>
    <w:rsid w:val="002951EC"/>
    <w:rsid w:val="00295272"/>
    <w:rsid w:val="002953C2"/>
    <w:rsid w:val="002953CF"/>
    <w:rsid w:val="0029546B"/>
    <w:rsid w:val="002954B0"/>
    <w:rsid w:val="0029561E"/>
    <w:rsid w:val="0029582D"/>
    <w:rsid w:val="002959D7"/>
    <w:rsid w:val="00295B22"/>
    <w:rsid w:val="00295ECC"/>
    <w:rsid w:val="00295F46"/>
    <w:rsid w:val="00296156"/>
    <w:rsid w:val="002962B7"/>
    <w:rsid w:val="002964F5"/>
    <w:rsid w:val="00296544"/>
    <w:rsid w:val="0029663C"/>
    <w:rsid w:val="00296665"/>
    <w:rsid w:val="002966B4"/>
    <w:rsid w:val="0029673C"/>
    <w:rsid w:val="00296804"/>
    <w:rsid w:val="00296963"/>
    <w:rsid w:val="00296988"/>
    <w:rsid w:val="002969EF"/>
    <w:rsid w:val="00296BAA"/>
    <w:rsid w:val="00296BF9"/>
    <w:rsid w:val="00296C5F"/>
    <w:rsid w:val="00296DCF"/>
    <w:rsid w:val="00296EAE"/>
    <w:rsid w:val="002971DC"/>
    <w:rsid w:val="00297250"/>
    <w:rsid w:val="00297379"/>
    <w:rsid w:val="0029739E"/>
    <w:rsid w:val="002973A2"/>
    <w:rsid w:val="0029744B"/>
    <w:rsid w:val="002975EE"/>
    <w:rsid w:val="00297612"/>
    <w:rsid w:val="0029764A"/>
    <w:rsid w:val="002976BA"/>
    <w:rsid w:val="00297881"/>
    <w:rsid w:val="00297A11"/>
    <w:rsid w:val="00297A62"/>
    <w:rsid w:val="00297CAF"/>
    <w:rsid w:val="00297CF1"/>
    <w:rsid w:val="00297E0D"/>
    <w:rsid w:val="00297F40"/>
    <w:rsid w:val="00297F82"/>
    <w:rsid w:val="00297FBE"/>
    <w:rsid w:val="00298194"/>
    <w:rsid w:val="002A000B"/>
    <w:rsid w:val="002A00E2"/>
    <w:rsid w:val="002A0170"/>
    <w:rsid w:val="002A0187"/>
    <w:rsid w:val="002A01A1"/>
    <w:rsid w:val="002A01C2"/>
    <w:rsid w:val="002A01E1"/>
    <w:rsid w:val="002A0271"/>
    <w:rsid w:val="002A053F"/>
    <w:rsid w:val="002A0778"/>
    <w:rsid w:val="002A0B3F"/>
    <w:rsid w:val="002A0B96"/>
    <w:rsid w:val="002A0CF1"/>
    <w:rsid w:val="002A0DF9"/>
    <w:rsid w:val="002A0EAC"/>
    <w:rsid w:val="002A0F94"/>
    <w:rsid w:val="002A0FCE"/>
    <w:rsid w:val="002A1246"/>
    <w:rsid w:val="002A137D"/>
    <w:rsid w:val="002A13D0"/>
    <w:rsid w:val="002A140F"/>
    <w:rsid w:val="002A148F"/>
    <w:rsid w:val="002A14E3"/>
    <w:rsid w:val="002A165C"/>
    <w:rsid w:val="002A170C"/>
    <w:rsid w:val="002A171A"/>
    <w:rsid w:val="002A17F8"/>
    <w:rsid w:val="002A1805"/>
    <w:rsid w:val="002A196E"/>
    <w:rsid w:val="002A19C2"/>
    <w:rsid w:val="002A1A53"/>
    <w:rsid w:val="002A1AE0"/>
    <w:rsid w:val="002A1B1B"/>
    <w:rsid w:val="002A1B91"/>
    <w:rsid w:val="002A1BFC"/>
    <w:rsid w:val="002A1C53"/>
    <w:rsid w:val="002A1E14"/>
    <w:rsid w:val="002A1EE9"/>
    <w:rsid w:val="002A1F30"/>
    <w:rsid w:val="002A2048"/>
    <w:rsid w:val="002A211D"/>
    <w:rsid w:val="002A22A2"/>
    <w:rsid w:val="002A2389"/>
    <w:rsid w:val="002A24A8"/>
    <w:rsid w:val="002A24B8"/>
    <w:rsid w:val="002A24C4"/>
    <w:rsid w:val="002A24DA"/>
    <w:rsid w:val="002A25C5"/>
    <w:rsid w:val="002A2801"/>
    <w:rsid w:val="002A2874"/>
    <w:rsid w:val="002A2A19"/>
    <w:rsid w:val="002A2AAE"/>
    <w:rsid w:val="002A2CF6"/>
    <w:rsid w:val="002A2F50"/>
    <w:rsid w:val="002A308B"/>
    <w:rsid w:val="002A318D"/>
    <w:rsid w:val="002A3238"/>
    <w:rsid w:val="002A3265"/>
    <w:rsid w:val="002A3357"/>
    <w:rsid w:val="002A3392"/>
    <w:rsid w:val="002A3540"/>
    <w:rsid w:val="002A38C7"/>
    <w:rsid w:val="002A39B1"/>
    <w:rsid w:val="002A3A1E"/>
    <w:rsid w:val="002A3AED"/>
    <w:rsid w:val="002A3BD9"/>
    <w:rsid w:val="002A3BEA"/>
    <w:rsid w:val="002A3CD9"/>
    <w:rsid w:val="002A3DB2"/>
    <w:rsid w:val="002A3E2F"/>
    <w:rsid w:val="002A3EDB"/>
    <w:rsid w:val="002A40D2"/>
    <w:rsid w:val="002A40DE"/>
    <w:rsid w:val="002A42D5"/>
    <w:rsid w:val="002A4324"/>
    <w:rsid w:val="002A44A1"/>
    <w:rsid w:val="002A473B"/>
    <w:rsid w:val="002A48CC"/>
    <w:rsid w:val="002A491D"/>
    <w:rsid w:val="002A499F"/>
    <w:rsid w:val="002A49A1"/>
    <w:rsid w:val="002A4A98"/>
    <w:rsid w:val="002A4F7E"/>
    <w:rsid w:val="002A509B"/>
    <w:rsid w:val="002A53E4"/>
    <w:rsid w:val="002A56EA"/>
    <w:rsid w:val="002A574A"/>
    <w:rsid w:val="002A59ED"/>
    <w:rsid w:val="002A5A54"/>
    <w:rsid w:val="002A5B0C"/>
    <w:rsid w:val="002A5B85"/>
    <w:rsid w:val="002A5D9E"/>
    <w:rsid w:val="002A5F35"/>
    <w:rsid w:val="002A5F9A"/>
    <w:rsid w:val="002A608D"/>
    <w:rsid w:val="002A60D8"/>
    <w:rsid w:val="002A6146"/>
    <w:rsid w:val="002A62BE"/>
    <w:rsid w:val="002A62F1"/>
    <w:rsid w:val="002A64EF"/>
    <w:rsid w:val="002A6504"/>
    <w:rsid w:val="002A6514"/>
    <w:rsid w:val="002A6602"/>
    <w:rsid w:val="002A6687"/>
    <w:rsid w:val="002A66B5"/>
    <w:rsid w:val="002A66EF"/>
    <w:rsid w:val="002A680F"/>
    <w:rsid w:val="002A6902"/>
    <w:rsid w:val="002A6BE9"/>
    <w:rsid w:val="002A6D36"/>
    <w:rsid w:val="002A6E18"/>
    <w:rsid w:val="002A6F8D"/>
    <w:rsid w:val="002A7084"/>
    <w:rsid w:val="002A7392"/>
    <w:rsid w:val="002A74EA"/>
    <w:rsid w:val="002A760F"/>
    <w:rsid w:val="002A7640"/>
    <w:rsid w:val="002A7968"/>
    <w:rsid w:val="002A796B"/>
    <w:rsid w:val="002A7A1F"/>
    <w:rsid w:val="002A7B55"/>
    <w:rsid w:val="002A7D9B"/>
    <w:rsid w:val="002A7EF5"/>
    <w:rsid w:val="002A7F36"/>
    <w:rsid w:val="002A7FB5"/>
    <w:rsid w:val="002B00F2"/>
    <w:rsid w:val="002B015E"/>
    <w:rsid w:val="002B0161"/>
    <w:rsid w:val="002B0177"/>
    <w:rsid w:val="002B017E"/>
    <w:rsid w:val="002B02A5"/>
    <w:rsid w:val="002B0375"/>
    <w:rsid w:val="002B040D"/>
    <w:rsid w:val="002B06FD"/>
    <w:rsid w:val="002B08B2"/>
    <w:rsid w:val="002B0A37"/>
    <w:rsid w:val="002B0A7F"/>
    <w:rsid w:val="002B0AAB"/>
    <w:rsid w:val="002B0B3C"/>
    <w:rsid w:val="002B0B66"/>
    <w:rsid w:val="002B0D26"/>
    <w:rsid w:val="002B1084"/>
    <w:rsid w:val="002B10BC"/>
    <w:rsid w:val="002B1281"/>
    <w:rsid w:val="002B13B2"/>
    <w:rsid w:val="002B1442"/>
    <w:rsid w:val="002B14C6"/>
    <w:rsid w:val="002B1579"/>
    <w:rsid w:val="002B1645"/>
    <w:rsid w:val="002B175B"/>
    <w:rsid w:val="002B1917"/>
    <w:rsid w:val="002B1930"/>
    <w:rsid w:val="002B19A1"/>
    <w:rsid w:val="002B19F1"/>
    <w:rsid w:val="002B1A82"/>
    <w:rsid w:val="002B1BC7"/>
    <w:rsid w:val="002B1C58"/>
    <w:rsid w:val="002B1CC1"/>
    <w:rsid w:val="002B1DA9"/>
    <w:rsid w:val="002B1DBD"/>
    <w:rsid w:val="002B1ED0"/>
    <w:rsid w:val="002B1F20"/>
    <w:rsid w:val="002B1F8E"/>
    <w:rsid w:val="002B20B4"/>
    <w:rsid w:val="002B214C"/>
    <w:rsid w:val="002B226E"/>
    <w:rsid w:val="002B238A"/>
    <w:rsid w:val="002B249A"/>
    <w:rsid w:val="002B24C7"/>
    <w:rsid w:val="002B2534"/>
    <w:rsid w:val="002B25CA"/>
    <w:rsid w:val="002B28A3"/>
    <w:rsid w:val="002B28CA"/>
    <w:rsid w:val="002B2B61"/>
    <w:rsid w:val="002B2B8E"/>
    <w:rsid w:val="002B2C2A"/>
    <w:rsid w:val="002B2D9B"/>
    <w:rsid w:val="002B2FBB"/>
    <w:rsid w:val="002B30EC"/>
    <w:rsid w:val="002B34EE"/>
    <w:rsid w:val="002B3572"/>
    <w:rsid w:val="002B3889"/>
    <w:rsid w:val="002B396F"/>
    <w:rsid w:val="002B3AC2"/>
    <w:rsid w:val="002B3B03"/>
    <w:rsid w:val="002B3B1E"/>
    <w:rsid w:val="002B3F1E"/>
    <w:rsid w:val="002B418E"/>
    <w:rsid w:val="002B4413"/>
    <w:rsid w:val="002B4434"/>
    <w:rsid w:val="002B4613"/>
    <w:rsid w:val="002B46B3"/>
    <w:rsid w:val="002B46C8"/>
    <w:rsid w:val="002B474C"/>
    <w:rsid w:val="002B4A6A"/>
    <w:rsid w:val="002B4BAE"/>
    <w:rsid w:val="002B4CB0"/>
    <w:rsid w:val="002B4DC3"/>
    <w:rsid w:val="002B5164"/>
    <w:rsid w:val="002B51B9"/>
    <w:rsid w:val="002B5361"/>
    <w:rsid w:val="002B53DB"/>
    <w:rsid w:val="002B54EB"/>
    <w:rsid w:val="002B55DF"/>
    <w:rsid w:val="002B55EB"/>
    <w:rsid w:val="002B5689"/>
    <w:rsid w:val="002B574B"/>
    <w:rsid w:val="002B591C"/>
    <w:rsid w:val="002B59EA"/>
    <w:rsid w:val="002B5B51"/>
    <w:rsid w:val="002B5C29"/>
    <w:rsid w:val="002B5CDD"/>
    <w:rsid w:val="002B5E9F"/>
    <w:rsid w:val="002B5EDF"/>
    <w:rsid w:val="002B5FD5"/>
    <w:rsid w:val="002B60F4"/>
    <w:rsid w:val="002B6121"/>
    <w:rsid w:val="002B617A"/>
    <w:rsid w:val="002B6245"/>
    <w:rsid w:val="002B6334"/>
    <w:rsid w:val="002B6451"/>
    <w:rsid w:val="002B64EB"/>
    <w:rsid w:val="002B68DC"/>
    <w:rsid w:val="002B68DF"/>
    <w:rsid w:val="002B6A14"/>
    <w:rsid w:val="002B6CC5"/>
    <w:rsid w:val="002B6D05"/>
    <w:rsid w:val="002B6D5D"/>
    <w:rsid w:val="002B6DD1"/>
    <w:rsid w:val="002B715F"/>
    <w:rsid w:val="002B7317"/>
    <w:rsid w:val="002B7336"/>
    <w:rsid w:val="002B74AA"/>
    <w:rsid w:val="002B7658"/>
    <w:rsid w:val="002B767A"/>
    <w:rsid w:val="002B76BF"/>
    <w:rsid w:val="002B782B"/>
    <w:rsid w:val="002B785A"/>
    <w:rsid w:val="002B7861"/>
    <w:rsid w:val="002B79FC"/>
    <w:rsid w:val="002B7AB5"/>
    <w:rsid w:val="002B7D8F"/>
    <w:rsid w:val="002B7E64"/>
    <w:rsid w:val="002B7F83"/>
    <w:rsid w:val="002BD881"/>
    <w:rsid w:val="002C0053"/>
    <w:rsid w:val="002C0186"/>
    <w:rsid w:val="002C020E"/>
    <w:rsid w:val="002C0437"/>
    <w:rsid w:val="002C0466"/>
    <w:rsid w:val="002C04B1"/>
    <w:rsid w:val="002C04CE"/>
    <w:rsid w:val="002C0B87"/>
    <w:rsid w:val="002C0C32"/>
    <w:rsid w:val="002C122B"/>
    <w:rsid w:val="002C14A7"/>
    <w:rsid w:val="002C156B"/>
    <w:rsid w:val="002C174E"/>
    <w:rsid w:val="002C1830"/>
    <w:rsid w:val="002C1842"/>
    <w:rsid w:val="002C1C06"/>
    <w:rsid w:val="002C1C8E"/>
    <w:rsid w:val="002C1D44"/>
    <w:rsid w:val="002C1E59"/>
    <w:rsid w:val="002C22CC"/>
    <w:rsid w:val="002C24AC"/>
    <w:rsid w:val="002C25AC"/>
    <w:rsid w:val="002C2716"/>
    <w:rsid w:val="002C273C"/>
    <w:rsid w:val="002C279B"/>
    <w:rsid w:val="002C29D7"/>
    <w:rsid w:val="002C2AA8"/>
    <w:rsid w:val="002C2B3C"/>
    <w:rsid w:val="002C2C3D"/>
    <w:rsid w:val="002C2C86"/>
    <w:rsid w:val="002C2D3B"/>
    <w:rsid w:val="002C2D7D"/>
    <w:rsid w:val="002C30A7"/>
    <w:rsid w:val="002C3148"/>
    <w:rsid w:val="002C330B"/>
    <w:rsid w:val="002C338D"/>
    <w:rsid w:val="002C33FB"/>
    <w:rsid w:val="002C3598"/>
    <w:rsid w:val="002C37EF"/>
    <w:rsid w:val="002C38CE"/>
    <w:rsid w:val="002C3AA6"/>
    <w:rsid w:val="002C3CD2"/>
    <w:rsid w:val="002C3D22"/>
    <w:rsid w:val="002C3DB0"/>
    <w:rsid w:val="002C3E45"/>
    <w:rsid w:val="002C4058"/>
    <w:rsid w:val="002C41D4"/>
    <w:rsid w:val="002C427F"/>
    <w:rsid w:val="002C4439"/>
    <w:rsid w:val="002C459A"/>
    <w:rsid w:val="002C46B8"/>
    <w:rsid w:val="002C476D"/>
    <w:rsid w:val="002C486C"/>
    <w:rsid w:val="002C4879"/>
    <w:rsid w:val="002C48C4"/>
    <w:rsid w:val="002C496A"/>
    <w:rsid w:val="002C4A54"/>
    <w:rsid w:val="002C4B3B"/>
    <w:rsid w:val="002C4BC7"/>
    <w:rsid w:val="002C4CD7"/>
    <w:rsid w:val="002C4E06"/>
    <w:rsid w:val="002C501C"/>
    <w:rsid w:val="002C503D"/>
    <w:rsid w:val="002C504D"/>
    <w:rsid w:val="002C5088"/>
    <w:rsid w:val="002C5339"/>
    <w:rsid w:val="002C5377"/>
    <w:rsid w:val="002C5696"/>
    <w:rsid w:val="002C57DD"/>
    <w:rsid w:val="002C58B2"/>
    <w:rsid w:val="002C597E"/>
    <w:rsid w:val="002C59AD"/>
    <w:rsid w:val="002C5AA1"/>
    <w:rsid w:val="002C5B9D"/>
    <w:rsid w:val="002C5DC1"/>
    <w:rsid w:val="002C5E0F"/>
    <w:rsid w:val="002C615B"/>
    <w:rsid w:val="002C64F1"/>
    <w:rsid w:val="002C6811"/>
    <w:rsid w:val="002C69EA"/>
    <w:rsid w:val="002C6AC2"/>
    <w:rsid w:val="002C6C17"/>
    <w:rsid w:val="002C6C69"/>
    <w:rsid w:val="002C6CDC"/>
    <w:rsid w:val="002C6E68"/>
    <w:rsid w:val="002C7109"/>
    <w:rsid w:val="002C718F"/>
    <w:rsid w:val="002C71B9"/>
    <w:rsid w:val="002C7257"/>
    <w:rsid w:val="002C751E"/>
    <w:rsid w:val="002C7641"/>
    <w:rsid w:val="002C77DD"/>
    <w:rsid w:val="002C7952"/>
    <w:rsid w:val="002C7984"/>
    <w:rsid w:val="002C798C"/>
    <w:rsid w:val="002C7B2C"/>
    <w:rsid w:val="002C7B38"/>
    <w:rsid w:val="002C7BC4"/>
    <w:rsid w:val="002C7DA1"/>
    <w:rsid w:val="002C7DA4"/>
    <w:rsid w:val="002C7DB8"/>
    <w:rsid w:val="002C7DD6"/>
    <w:rsid w:val="002C7F58"/>
    <w:rsid w:val="002D000C"/>
    <w:rsid w:val="002D0091"/>
    <w:rsid w:val="002D00D1"/>
    <w:rsid w:val="002D00D6"/>
    <w:rsid w:val="002D0161"/>
    <w:rsid w:val="002D01B0"/>
    <w:rsid w:val="002D0328"/>
    <w:rsid w:val="002D03A8"/>
    <w:rsid w:val="002D0574"/>
    <w:rsid w:val="002D078E"/>
    <w:rsid w:val="002D0912"/>
    <w:rsid w:val="002D0A4F"/>
    <w:rsid w:val="002D0BF4"/>
    <w:rsid w:val="002D0EA2"/>
    <w:rsid w:val="002D0F62"/>
    <w:rsid w:val="002D1110"/>
    <w:rsid w:val="002D12BF"/>
    <w:rsid w:val="002D159D"/>
    <w:rsid w:val="002D15A8"/>
    <w:rsid w:val="002D15B8"/>
    <w:rsid w:val="002D1666"/>
    <w:rsid w:val="002D16B4"/>
    <w:rsid w:val="002D1827"/>
    <w:rsid w:val="002D1878"/>
    <w:rsid w:val="002D1952"/>
    <w:rsid w:val="002D1AC2"/>
    <w:rsid w:val="002D1B78"/>
    <w:rsid w:val="002D1D72"/>
    <w:rsid w:val="002D1D95"/>
    <w:rsid w:val="002D1E59"/>
    <w:rsid w:val="002D1EEA"/>
    <w:rsid w:val="002D1F67"/>
    <w:rsid w:val="002D1FD5"/>
    <w:rsid w:val="002D20B2"/>
    <w:rsid w:val="002D22E8"/>
    <w:rsid w:val="002D2316"/>
    <w:rsid w:val="002D2408"/>
    <w:rsid w:val="002D2430"/>
    <w:rsid w:val="002D25CC"/>
    <w:rsid w:val="002D25FB"/>
    <w:rsid w:val="002D2665"/>
    <w:rsid w:val="002D26AC"/>
    <w:rsid w:val="002D272A"/>
    <w:rsid w:val="002D27F5"/>
    <w:rsid w:val="002D2A34"/>
    <w:rsid w:val="002D2C90"/>
    <w:rsid w:val="002D2D62"/>
    <w:rsid w:val="002D2FB3"/>
    <w:rsid w:val="002D306B"/>
    <w:rsid w:val="002D3322"/>
    <w:rsid w:val="002D33FB"/>
    <w:rsid w:val="002D3419"/>
    <w:rsid w:val="002D342D"/>
    <w:rsid w:val="002D3511"/>
    <w:rsid w:val="002D37DF"/>
    <w:rsid w:val="002D3B3D"/>
    <w:rsid w:val="002D3BB0"/>
    <w:rsid w:val="002D3DBF"/>
    <w:rsid w:val="002D3EC9"/>
    <w:rsid w:val="002D400A"/>
    <w:rsid w:val="002D46A5"/>
    <w:rsid w:val="002D489C"/>
    <w:rsid w:val="002D49CF"/>
    <w:rsid w:val="002D4B1A"/>
    <w:rsid w:val="002D4EC1"/>
    <w:rsid w:val="002D4F11"/>
    <w:rsid w:val="002D525C"/>
    <w:rsid w:val="002D532B"/>
    <w:rsid w:val="002D5353"/>
    <w:rsid w:val="002D54F8"/>
    <w:rsid w:val="002D54F9"/>
    <w:rsid w:val="002D57A8"/>
    <w:rsid w:val="002D59F1"/>
    <w:rsid w:val="002D5BED"/>
    <w:rsid w:val="002D5F75"/>
    <w:rsid w:val="002D602C"/>
    <w:rsid w:val="002D61FD"/>
    <w:rsid w:val="002D6202"/>
    <w:rsid w:val="002D6225"/>
    <w:rsid w:val="002D6368"/>
    <w:rsid w:val="002D63E4"/>
    <w:rsid w:val="002D645B"/>
    <w:rsid w:val="002D64BA"/>
    <w:rsid w:val="002D664E"/>
    <w:rsid w:val="002D66F0"/>
    <w:rsid w:val="002D66FA"/>
    <w:rsid w:val="002D6781"/>
    <w:rsid w:val="002D67B6"/>
    <w:rsid w:val="002D6943"/>
    <w:rsid w:val="002D696F"/>
    <w:rsid w:val="002D69D3"/>
    <w:rsid w:val="002D69FB"/>
    <w:rsid w:val="002D6A1F"/>
    <w:rsid w:val="002D6A52"/>
    <w:rsid w:val="002D6C14"/>
    <w:rsid w:val="002D6C1E"/>
    <w:rsid w:val="002D6D25"/>
    <w:rsid w:val="002D6DB6"/>
    <w:rsid w:val="002D7141"/>
    <w:rsid w:val="002D7368"/>
    <w:rsid w:val="002D74C7"/>
    <w:rsid w:val="002D7557"/>
    <w:rsid w:val="002D75C7"/>
    <w:rsid w:val="002D75EF"/>
    <w:rsid w:val="002D7613"/>
    <w:rsid w:val="002D7619"/>
    <w:rsid w:val="002D769A"/>
    <w:rsid w:val="002D76DE"/>
    <w:rsid w:val="002D7805"/>
    <w:rsid w:val="002D7809"/>
    <w:rsid w:val="002D788A"/>
    <w:rsid w:val="002D7A3B"/>
    <w:rsid w:val="002D7B7E"/>
    <w:rsid w:val="002D7F2D"/>
    <w:rsid w:val="002D7FB1"/>
    <w:rsid w:val="002D7FED"/>
    <w:rsid w:val="002E00CC"/>
    <w:rsid w:val="002E0115"/>
    <w:rsid w:val="002E01C2"/>
    <w:rsid w:val="002E02A3"/>
    <w:rsid w:val="002E03B3"/>
    <w:rsid w:val="002E052F"/>
    <w:rsid w:val="002E0735"/>
    <w:rsid w:val="002E0848"/>
    <w:rsid w:val="002E0A24"/>
    <w:rsid w:val="002E0DF6"/>
    <w:rsid w:val="002E0E79"/>
    <w:rsid w:val="002E10B8"/>
    <w:rsid w:val="002E10DA"/>
    <w:rsid w:val="002E10EB"/>
    <w:rsid w:val="002E1450"/>
    <w:rsid w:val="002E1504"/>
    <w:rsid w:val="002E1565"/>
    <w:rsid w:val="002E159F"/>
    <w:rsid w:val="002E1940"/>
    <w:rsid w:val="002E19CA"/>
    <w:rsid w:val="002E1A3B"/>
    <w:rsid w:val="002E1A3D"/>
    <w:rsid w:val="002E1BD2"/>
    <w:rsid w:val="002E1D45"/>
    <w:rsid w:val="002E1D56"/>
    <w:rsid w:val="002E1DDA"/>
    <w:rsid w:val="002E1E84"/>
    <w:rsid w:val="002E204F"/>
    <w:rsid w:val="002E2066"/>
    <w:rsid w:val="002E2086"/>
    <w:rsid w:val="002E208E"/>
    <w:rsid w:val="002E2127"/>
    <w:rsid w:val="002E2194"/>
    <w:rsid w:val="002E224B"/>
    <w:rsid w:val="002E22BF"/>
    <w:rsid w:val="002E2427"/>
    <w:rsid w:val="002E24BF"/>
    <w:rsid w:val="002E2664"/>
    <w:rsid w:val="002E2882"/>
    <w:rsid w:val="002E28D5"/>
    <w:rsid w:val="002E2992"/>
    <w:rsid w:val="002E2A80"/>
    <w:rsid w:val="002E2A95"/>
    <w:rsid w:val="002E2BC9"/>
    <w:rsid w:val="002E2C15"/>
    <w:rsid w:val="002E2E17"/>
    <w:rsid w:val="002E2ED8"/>
    <w:rsid w:val="002E2FAF"/>
    <w:rsid w:val="002E31CA"/>
    <w:rsid w:val="002E3388"/>
    <w:rsid w:val="002E3456"/>
    <w:rsid w:val="002E354B"/>
    <w:rsid w:val="002E35E4"/>
    <w:rsid w:val="002E364D"/>
    <w:rsid w:val="002E39E1"/>
    <w:rsid w:val="002E3A0D"/>
    <w:rsid w:val="002E3A6C"/>
    <w:rsid w:val="002E3B1F"/>
    <w:rsid w:val="002E3BB3"/>
    <w:rsid w:val="002E3BCB"/>
    <w:rsid w:val="002E3BDB"/>
    <w:rsid w:val="002E3C21"/>
    <w:rsid w:val="002E3D03"/>
    <w:rsid w:val="002E3D86"/>
    <w:rsid w:val="002E3DD3"/>
    <w:rsid w:val="002E3E06"/>
    <w:rsid w:val="002E3F26"/>
    <w:rsid w:val="002E4043"/>
    <w:rsid w:val="002E40BB"/>
    <w:rsid w:val="002E419A"/>
    <w:rsid w:val="002E422E"/>
    <w:rsid w:val="002E4426"/>
    <w:rsid w:val="002E4490"/>
    <w:rsid w:val="002E4636"/>
    <w:rsid w:val="002E477C"/>
    <w:rsid w:val="002E4995"/>
    <w:rsid w:val="002E49B7"/>
    <w:rsid w:val="002E4B46"/>
    <w:rsid w:val="002E4CB0"/>
    <w:rsid w:val="002E4D1C"/>
    <w:rsid w:val="002E4E74"/>
    <w:rsid w:val="002E4FA5"/>
    <w:rsid w:val="002E5090"/>
    <w:rsid w:val="002E50C3"/>
    <w:rsid w:val="002E5355"/>
    <w:rsid w:val="002E53B8"/>
    <w:rsid w:val="002E5538"/>
    <w:rsid w:val="002E57D4"/>
    <w:rsid w:val="002E59A4"/>
    <w:rsid w:val="002E5CDF"/>
    <w:rsid w:val="002E5DCB"/>
    <w:rsid w:val="002E5ECD"/>
    <w:rsid w:val="002E5EF0"/>
    <w:rsid w:val="002E5F9C"/>
    <w:rsid w:val="002E5FDB"/>
    <w:rsid w:val="002E6198"/>
    <w:rsid w:val="002E6238"/>
    <w:rsid w:val="002E6475"/>
    <w:rsid w:val="002E652C"/>
    <w:rsid w:val="002E6571"/>
    <w:rsid w:val="002E6686"/>
    <w:rsid w:val="002E66EF"/>
    <w:rsid w:val="002E6947"/>
    <w:rsid w:val="002E6A5E"/>
    <w:rsid w:val="002E6AA1"/>
    <w:rsid w:val="002E6AA8"/>
    <w:rsid w:val="002E6ADF"/>
    <w:rsid w:val="002E6BB3"/>
    <w:rsid w:val="002E6BD4"/>
    <w:rsid w:val="002E6C11"/>
    <w:rsid w:val="002E6C71"/>
    <w:rsid w:val="002E6EFC"/>
    <w:rsid w:val="002E7013"/>
    <w:rsid w:val="002E72B3"/>
    <w:rsid w:val="002E73C8"/>
    <w:rsid w:val="002E73F2"/>
    <w:rsid w:val="002E7427"/>
    <w:rsid w:val="002E7472"/>
    <w:rsid w:val="002E74A5"/>
    <w:rsid w:val="002E751C"/>
    <w:rsid w:val="002E7C63"/>
    <w:rsid w:val="002E7E7C"/>
    <w:rsid w:val="002E7EA2"/>
    <w:rsid w:val="002E7EC8"/>
    <w:rsid w:val="002E7FB1"/>
    <w:rsid w:val="002F00AD"/>
    <w:rsid w:val="002F00BF"/>
    <w:rsid w:val="002F0100"/>
    <w:rsid w:val="002F01B4"/>
    <w:rsid w:val="002F049E"/>
    <w:rsid w:val="002F056A"/>
    <w:rsid w:val="002F0974"/>
    <w:rsid w:val="002F09B4"/>
    <w:rsid w:val="002F0A91"/>
    <w:rsid w:val="002F0AEE"/>
    <w:rsid w:val="002F0C74"/>
    <w:rsid w:val="002F0C8F"/>
    <w:rsid w:val="002F0E35"/>
    <w:rsid w:val="002F0F43"/>
    <w:rsid w:val="002F103D"/>
    <w:rsid w:val="002F11AF"/>
    <w:rsid w:val="002F1265"/>
    <w:rsid w:val="002F133C"/>
    <w:rsid w:val="002F1363"/>
    <w:rsid w:val="002F13E6"/>
    <w:rsid w:val="002F1473"/>
    <w:rsid w:val="002F14E1"/>
    <w:rsid w:val="002F152A"/>
    <w:rsid w:val="002F15C3"/>
    <w:rsid w:val="002F183A"/>
    <w:rsid w:val="002F1A4F"/>
    <w:rsid w:val="002F1B33"/>
    <w:rsid w:val="002F1C03"/>
    <w:rsid w:val="002F1C1A"/>
    <w:rsid w:val="002F1C43"/>
    <w:rsid w:val="002F1CE6"/>
    <w:rsid w:val="002F1F38"/>
    <w:rsid w:val="002F1F8D"/>
    <w:rsid w:val="002F1FF9"/>
    <w:rsid w:val="002F2264"/>
    <w:rsid w:val="002F230C"/>
    <w:rsid w:val="002F243F"/>
    <w:rsid w:val="002F2522"/>
    <w:rsid w:val="002F25F4"/>
    <w:rsid w:val="002F2608"/>
    <w:rsid w:val="002F2877"/>
    <w:rsid w:val="002F2929"/>
    <w:rsid w:val="002F2AAE"/>
    <w:rsid w:val="002F2BCF"/>
    <w:rsid w:val="002F2C07"/>
    <w:rsid w:val="002F2CB4"/>
    <w:rsid w:val="002F2CCA"/>
    <w:rsid w:val="002F2DFA"/>
    <w:rsid w:val="002F2E0A"/>
    <w:rsid w:val="002F30D7"/>
    <w:rsid w:val="002F317A"/>
    <w:rsid w:val="002F32D6"/>
    <w:rsid w:val="002F330D"/>
    <w:rsid w:val="002F33E4"/>
    <w:rsid w:val="002F33E9"/>
    <w:rsid w:val="002F362F"/>
    <w:rsid w:val="002F3665"/>
    <w:rsid w:val="002F38C9"/>
    <w:rsid w:val="002F3B6D"/>
    <w:rsid w:val="002F3D88"/>
    <w:rsid w:val="002F3E1C"/>
    <w:rsid w:val="002F3ECC"/>
    <w:rsid w:val="002F3FD1"/>
    <w:rsid w:val="002F3FF4"/>
    <w:rsid w:val="002F4020"/>
    <w:rsid w:val="002F4063"/>
    <w:rsid w:val="002F4076"/>
    <w:rsid w:val="002F4082"/>
    <w:rsid w:val="002F426C"/>
    <w:rsid w:val="002F4439"/>
    <w:rsid w:val="002F44AE"/>
    <w:rsid w:val="002F4772"/>
    <w:rsid w:val="002F47AD"/>
    <w:rsid w:val="002F47D9"/>
    <w:rsid w:val="002F490B"/>
    <w:rsid w:val="002F4915"/>
    <w:rsid w:val="002F4ADD"/>
    <w:rsid w:val="002F4BF2"/>
    <w:rsid w:val="002F4EE8"/>
    <w:rsid w:val="002F4F5D"/>
    <w:rsid w:val="002F4FE7"/>
    <w:rsid w:val="002F5184"/>
    <w:rsid w:val="002F51D2"/>
    <w:rsid w:val="002F51FE"/>
    <w:rsid w:val="002F520E"/>
    <w:rsid w:val="002F53C5"/>
    <w:rsid w:val="002F54CC"/>
    <w:rsid w:val="002F560A"/>
    <w:rsid w:val="002F56B6"/>
    <w:rsid w:val="002F5726"/>
    <w:rsid w:val="002F5777"/>
    <w:rsid w:val="002F57CC"/>
    <w:rsid w:val="002F587A"/>
    <w:rsid w:val="002F58A3"/>
    <w:rsid w:val="002F5AA2"/>
    <w:rsid w:val="002F5B1F"/>
    <w:rsid w:val="002F5BFF"/>
    <w:rsid w:val="002F5D87"/>
    <w:rsid w:val="002F5E2B"/>
    <w:rsid w:val="002F5F88"/>
    <w:rsid w:val="002F63B3"/>
    <w:rsid w:val="002F63CF"/>
    <w:rsid w:val="002F6407"/>
    <w:rsid w:val="002F6483"/>
    <w:rsid w:val="002F6626"/>
    <w:rsid w:val="002F665D"/>
    <w:rsid w:val="002F669F"/>
    <w:rsid w:val="002F6832"/>
    <w:rsid w:val="002F68B6"/>
    <w:rsid w:val="002F69FE"/>
    <w:rsid w:val="002F6B1B"/>
    <w:rsid w:val="002F6B8E"/>
    <w:rsid w:val="002F6BE8"/>
    <w:rsid w:val="002F6C39"/>
    <w:rsid w:val="002F6D4C"/>
    <w:rsid w:val="002F6D72"/>
    <w:rsid w:val="002F6DB0"/>
    <w:rsid w:val="002F6DBA"/>
    <w:rsid w:val="002F6DD3"/>
    <w:rsid w:val="002F6DFC"/>
    <w:rsid w:val="002F6EBD"/>
    <w:rsid w:val="002F7047"/>
    <w:rsid w:val="002F715F"/>
    <w:rsid w:val="002F7222"/>
    <w:rsid w:val="002F7256"/>
    <w:rsid w:val="002F73FD"/>
    <w:rsid w:val="002F7491"/>
    <w:rsid w:val="002F7501"/>
    <w:rsid w:val="002F7815"/>
    <w:rsid w:val="002F78A3"/>
    <w:rsid w:val="002F79CD"/>
    <w:rsid w:val="002F79D3"/>
    <w:rsid w:val="002F7A83"/>
    <w:rsid w:val="002F7AF4"/>
    <w:rsid w:val="002F7C1D"/>
    <w:rsid w:val="002F7C6A"/>
    <w:rsid w:val="002F7CDF"/>
    <w:rsid w:val="002F7D4A"/>
    <w:rsid w:val="002F7D50"/>
    <w:rsid w:val="002F7D55"/>
    <w:rsid w:val="002F7D63"/>
    <w:rsid w:val="002F7DB1"/>
    <w:rsid w:val="002F7F49"/>
    <w:rsid w:val="002F7FE5"/>
    <w:rsid w:val="002FF9A6"/>
    <w:rsid w:val="00300182"/>
    <w:rsid w:val="003001AD"/>
    <w:rsid w:val="0030024E"/>
    <w:rsid w:val="00300461"/>
    <w:rsid w:val="003004B1"/>
    <w:rsid w:val="003004C5"/>
    <w:rsid w:val="00300560"/>
    <w:rsid w:val="003006FF"/>
    <w:rsid w:val="0030084A"/>
    <w:rsid w:val="00300873"/>
    <w:rsid w:val="0030087C"/>
    <w:rsid w:val="00300886"/>
    <w:rsid w:val="00300A17"/>
    <w:rsid w:val="00300B42"/>
    <w:rsid w:val="00300C83"/>
    <w:rsid w:val="00300E36"/>
    <w:rsid w:val="00300F07"/>
    <w:rsid w:val="0030137D"/>
    <w:rsid w:val="00301405"/>
    <w:rsid w:val="00301443"/>
    <w:rsid w:val="003015F4"/>
    <w:rsid w:val="0030161F"/>
    <w:rsid w:val="0030166E"/>
    <w:rsid w:val="00301702"/>
    <w:rsid w:val="00301864"/>
    <w:rsid w:val="00301A35"/>
    <w:rsid w:val="00301B4D"/>
    <w:rsid w:val="00301D4D"/>
    <w:rsid w:val="00301D7A"/>
    <w:rsid w:val="00301E90"/>
    <w:rsid w:val="00301EA0"/>
    <w:rsid w:val="00301EFC"/>
    <w:rsid w:val="00301FEE"/>
    <w:rsid w:val="0030206C"/>
    <w:rsid w:val="003020D8"/>
    <w:rsid w:val="0030210C"/>
    <w:rsid w:val="0030216A"/>
    <w:rsid w:val="003022C7"/>
    <w:rsid w:val="003022D8"/>
    <w:rsid w:val="003023B5"/>
    <w:rsid w:val="003027B0"/>
    <w:rsid w:val="003027EB"/>
    <w:rsid w:val="003028AF"/>
    <w:rsid w:val="00302AC9"/>
    <w:rsid w:val="00302B10"/>
    <w:rsid w:val="00303037"/>
    <w:rsid w:val="003030AF"/>
    <w:rsid w:val="00303104"/>
    <w:rsid w:val="0030313A"/>
    <w:rsid w:val="00303150"/>
    <w:rsid w:val="00303931"/>
    <w:rsid w:val="00303A30"/>
    <w:rsid w:val="00303A43"/>
    <w:rsid w:val="00303AC1"/>
    <w:rsid w:val="00303BC5"/>
    <w:rsid w:val="003041A6"/>
    <w:rsid w:val="0030427E"/>
    <w:rsid w:val="00304280"/>
    <w:rsid w:val="003042C5"/>
    <w:rsid w:val="003042C9"/>
    <w:rsid w:val="003043A6"/>
    <w:rsid w:val="0030446E"/>
    <w:rsid w:val="00304550"/>
    <w:rsid w:val="003045F2"/>
    <w:rsid w:val="00304786"/>
    <w:rsid w:val="00304790"/>
    <w:rsid w:val="00304BDC"/>
    <w:rsid w:val="00304D52"/>
    <w:rsid w:val="00304EF5"/>
    <w:rsid w:val="00304FE0"/>
    <w:rsid w:val="00305391"/>
    <w:rsid w:val="00305424"/>
    <w:rsid w:val="00305487"/>
    <w:rsid w:val="003056F0"/>
    <w:rsid w:val="0030574A"/>
    <w:rsid w:val="00305809"/>
    <w:rsid w:val="00305975"/>
    <w:rsid w:val="003059A7"/>
    <w:rsid w:val="003059D6"/>
    <w:rsid w:val="00305B19"/>
    <w:rsid w:val="00305CFF"/>
    <w:rsid w:val="00305D32"/>
    <w:rsid w:val="00305F20"/>
    <w:rsid w:val="00305FF5"/>
    <w:rsid w:val="00306103"/>
    <w:rsid w:val="0030616A"/>
    <w:rsid w:val="003063DA"/>
    <w:rsid w:val="0030659D"/>
    <w:rsid w:val="003067C0"/>
    <w:rsid w:val="00306882"/>
    <w:rsid w:val="003068D4"/>
    <w:rsid w:val="00306FE5"/>
    <w:rsid w:val="00307194"/>
    <w:rsid w:val="003071A0"/>
    <w:rsid w:val="003075B0"/>
    <w:rsid w:val="00307608"/>
    <w:rsid w:val="0030781E"/>
    <w:rsid w:val="003078E5"/>
    <w:rsid w:val="00307A02"/>
    <w:rsid w:val="00307AA2"/>
    <w:rsid w:val="00307AA7"/>
    <w:rsid w:val="00307BBB"/>
    <w:rsid w:val="00307DCF"/>
    <w:rsid w:val="00307E47"/>
    <w:rsid w:val="003085CF"/>
    <w:rsid w:val="00310042"/>
    <w:rsid w:val="0031006C"/>
    <w:rsid w:val="00310157"/>
    <w:rsid w:val="0031015F"/>
    <w:rsid w:val="003101A2"/>
    <w:rsid w:val="003102C3"/>
    <w:rsid w:val="0031061C"/>
    <w:rsid w:val="003108CC"/>
    <w:rsid w:val="0031097B"/>
    <w:rsid w:val="00310980"/>
    <w:rsid w:val="00310D6A"/>
    <w:rsid w:val="00310DF7"/>
    <w:rsid w:val="00311311"/>
    <w:rsid w:val="0031157C"/>
    <w:rsid w:val="003115F1"/>
    <w:rsid w:val="003116CD"/>
    <w:rsid w:val="00311743"/>
    <w:rsid w:val="0031181E"/>
    <w:rsid w:val="003118F5"/>
    <w:rsid w:val="0031191D"/>
    <w:rsid w:val="0031192F"/>
    <w:rsid w:val="00311A4A"/>
    <w:rsid w:val="00311B15"/>
    <w:rsid w:val="00311C0A"/>
    <w:rsid w:val="00311C13"/>
    <w:rsid w:val="00311C5F"/>
    <w:rsid w:val="00311C8A"/>
    <w:rsid w:val="00311CA1"/>
    <w:rsid w:val="00311D80"/>
    <w:rsid w:val="00311E6C"/>
    <w:rsid w:val="00311EB8"/>
    <w:rsid w:val="00311F9C"/>
    <w:rsid w:val="00311F9F"/>
    <w:rsid w:val="00311FC7"/>
    <w:rsid w:val="0031225A"/>
    <w:rsid w:val="00312281"/>
    <w:rsid w:val="003123AB"/>
    <w:rsid w:val="00312438"/>
    <w:rsid w:val="00312706"/>
    <w:rsid w:val="003127F0"/>
    <w:rsid w:val="00312879"/>
    <w:rsid w:val="00312A1D"/>
    <w:rsid w:val="00312A48"/>
    <w:rsid w:val="00312B43"/>
    <w:rsid w:val="00312BFA"/>
    <w:rsid w:val="00312CC0"/>
    <w:rsid w:val="00312DCE"/>
    <w:rsid w:val="00312F17"/>
    <w:rsid w:val="00312FF5"/>
    <w:rsid w:val="003130D6"/>
    <w:rsid w:val="003132F2"/>
    <w:rsid w:val="00313485"/>
    <w:rsid w:val="0031358D"/>
    <w:rsid w:val="00313617"/>
    <w:rsid w:val="00313715"/>
    <w:rsid w:val="0031372C"/>
    <w:rsid w:val="00313746"/>
    <w:rsid w:val="00313771"/>
    <w:rsid w:val="00313837"/>
    <w:rsid w:val="003139DF"/>
    <w:rsid w:val="00313A50"/>
    <w:rsid w:val="00313A7F"/>
    <w:rsid w:val="00313E7A"/>
    <w:rsid w:val="00313FC6"/>
    <w:rsid w:val="00313FF4"/>
    <w:rsid w:val="00314027"/>
    <w:rsid w:val="003143AE"/>
    <w:rsid w:val="00314532"/>
    <w:rsid w:val="00314806"/>
    <w:rsid w:val="00314AFF"/>
    <w:rsid w:val="00314C38"/>
    <w:rsid w:val="00314C63"/>
    <w:rsid w:val="00314DB4"/>
    <w:rsid w:val="00314E87"/>
    <w:rsid w:val="0031513A"/>
    <w:rsid w:val="003151E0"/>
    <w:rsid w:val="00315856"/>
    <w:rsid w:val="003158E7"/>
    <w:rsid w:val="0031594E"/>
    <w:rsid w:val="00315A19"/>
    <w:rsid w:val="00315AA6"/>
    <w:rsid w:val="00315AD0"/>
    <w:rsid w:val="00315BFC"/>
    <w:rsid w:val="00315EE1"/>
    <w:rsid w:val="003160B4"/>
    <w:rsid w:val="00316131"/>
    <w:rsid w:val="003162F8"/>
    <w:rsid w:val="003163B2"/>
    <w:rsid w:val="003163C8"/>
    <w:rsid w:val="00316484"/>
    <w:rsid w:val="003167F8"/>
    <w:rsid w:val="00316875"/>
    <w:rsid w:val="00316A1D"/>
    <w:rsid w:val="00316C61"/>
    <w:rsid w:val="00316CF6"/>
    <w:rsid w:val="00316F94"/>
    <w:rsid w:val="00316FDA"/>
    <w:rsid w:val="00317134"/>
    <w:rsid w:val="00317142"/>
    <w:rsid w:val="00317163"/>
    <w:rsid w:val="003171FB"/>
    <w:rsid w:val="003174CD"/>
    <w:rsid w:val="00317567"/>
    <w:rsid w:val="00317601"/>
    <w:rsid w:val="0031763C"/>
    <w:rsid w:val="003178F3"/>
    <w:rsid w:val="00317A62"/>
    <w:rsid w:val="00317EA3"/>
    <w:rsid w:val="00317EDF"/>
    <w:rsid w:val="00320130"/>
    <w:rsid w:val="00320235"/>
    <w:rsid w:val="00320258"/>
    <w:rsid w:val="003204BA"/>
    <w:rsid w:val="003204FA"/>
    <w:rsid w:val="00320517"/>
    <w:rsid w:val="00320525"/>
    <w:rsid w:val="003205F9"/>
    <w:rsid w:val="0032074A"/>
    <w:rsid w:val="00320982"/>
    <w:rsid w:val="00320BEB"/>
    <w:rsid w:val="00320C3C"/>
    <w:rsid w:val="00320C3D"/>
    <w:rsid w:val="00320C86"/>
    <w:rsid w:val="00320C90"/>
    <w:rsid w:val="00320D57"/>
    <w:rsid w:val="00320D67"/>
    <w:rsid w:val="00320E05"/>
    <w:rsid w:val="00320E09"/>
    <w:rsid w:val="00320E66"/>
    <w:rsid w:val="00320E6F"/>
    <w:rsid w:val="003210AA"/>
    <w:rsid w:val="0032116B"/>
    <w:rsid w:val="00321193"/>
    <w:rsid w:val="00321264"/>
    <w:rsid w:val="003213A8"/>
    <w:rsid w:val="003214D5"/>
    <w:rsid w:val="00321574"/>
    <w:rsid w:val="0032173E"/>
    <w:rsid w:val="00321766"/>
    <w:rsid w:val="00321857"/>
    <w:rsid w:val="003218A6"/>
    <w:rsid w:val="00321921"/>
    <w:rsid w:val="00321B27"/>
    <w:rsid w:val="00321D81"/>
    <w:rsid w:val="00321FA7"/>
    <w:rsid w:val="0032206C"/>
    <w:rsid w:val="003221D1"/>
    <w:rsid w:val="0032221E"/>
    <w:rsid w:val="003222EE"/>
    <w:rsid w:val="003223D0"/>
    <w:rsid w:val="0032247B"/>
    <w:rsid w:val="00322683"/>
    <w:rsid w:val="003226B5"/>
    <w:rsid w:val="00322A7F"/>
    <w:rsid w:val="00322AA3"/>
    <w:rsid w:val="00322CDC"/>
    <w:rsid w:val="00322D7D"/>
    <w:rsid w:val="00322DA9"/>
    <w:rsid w:val="00322DBD"/>
    <w:rsid w:val="00322E47"/>
    <w:rsid w:val="00322E87"/>
    <w:rsid w:val="0032304A"/>
    <w:rsid w:val="003230C5"/>
    <w:rsid w:val="0032337E"/>
    <w:rsid w:val="003233F5"/>
    <w:rsid w:val="00323605"/>
    <w:rsid w:val="003236E4"/>
    <w:rsid w:val="0032371C"/>
    <w:rsid w:val="0032378C"/>
    <w:rsid w:val="0032386B"/>
    <w:rsid w:val="0032388C"/>
    <w:rsid w:val="0032388D"/>
    <w:rsid w:val="00323998"/>
    <w:rsid w:val="00323A7A"/>
    <w:rsid w:val="00323BE1"/>
    <w:rsid w:val="00323CBC"/>
    <w:rsid w:val="00323D6D"/>
    <w:rsid w:val="00323E9E"/>
    <w:rsid w:val="00323F55"/>
    <w:rsid w:val="00323FD2"/>
    <w:rsid w:val="00324096"/>
    <w:rsid w:val="003240D8"/>
    <w:rsid w:val="00324220"/>
    <w:rsid w:val="003245A5"/>
    <w:rsid w:val="0032473C"/>
    <w:rsid w:val="00324778"/>
    <w:rsid w:val="003247B7"/>
    <w:rsid w:val="003247C3"/>
    <w:rsid w:val="00324847"/>
    <w:rsid w:val="003248CF"/>
    <w:rsid w:val="003249C4"/>
    <w:rsid w:val="00324A08"/>
    <w:rsid w:val="00324A12"/>
    <w:rsid w:val="00324B15"/>
    <w:rsid w:val="00324B9D"/>
    <w:rsid w:val="00324C3C"/>
    <w:rsid w:val="00324E88"/>
    <w:rsid w:val="00324ECC"/>
    <w:rsid w:val="00324F67"/>
    <w:rsid w:val="0032515F"/>
    <w:rsid w:val="003251C0"/>
    <w:rsid w:val="003252CE"/>
    <w:rsid w:val="003252E8"/>
    <w:rsid w:val="00325425"/>
    <w:rsid w:val="003254DE"/>
    <w:rsid w:val="003254FC"/>
    <w:rsid w:val="00325507"/>
    <w:rsid w:val="00325508"/>
    <w:rsid w:val="0032559B"/>
    <w:rsid w:val="003255CB"/>
    <w:rsid w:val="003255E8"/>
    <w:rsid w:val="00325680"/>
    <w:rsid w:val="00325703"/>
    <w:rsid w:val="00325922"/>
    <w:rsid w:val="00325984"/>
    <w:rsid w:val="00325A32"/>
    <w:rsid w:val="00325DFF"/>
    <w:rsid w:val="00325E4F"/>
    <w:rsid w:val="00325ED9"/>
    <w:rsid w:val="00325F5D"/>
    <w:rsid w:val="00325FFA"/>
    <w:rsid w:val="003260D9"/>
    <w:rsid w:val="00326171"/>
    <w:rsid w:val="00326212"/>
    <w:rsid w:val="00326236"/>
    <w:rsid w:val="003262ED"/>
    <w:rsid w:val="0032636E"/>
    <w:rsid w:val="00326610"/>
    <w:rsid w:val="00326716"/>
    <w:rsid w:val="0032684E"/>
    <w:rsid w:val="0032695A"/>
    <w:rsid w:val="00326971"/>
    <w:rsid w:val="00326A67"/>
    <w:rsid w:val="00326B30"/>
    <w:rsid w:val="00326B6C"/>
    <w:rsid w:val="00326D2C"/>
    <w:rsid w:val="00326D94"/>
    <w:rsid w:val="00326DEE"/>
    <w:rsid w:val="00326E63"/>
    <w:rsid w:val="00326E86"/>
    <w:rsid w:val="00326F03"/>
    <w:rsid w:val="00326F14"/>
    <w:rsid w:val="00326F78"/>
    <w:rsid w:val="003270F4"/>
    <w:rsid w:val="0032710E"/>
    <w:rsid w:val="00327199"/>
    <w:rsid w:val="003272FA"/>
    <w:rsid w:val="0032740C"/>
    <w:rsid w:val="0032740E"/>
    <w:rsid w:val="003277A0"/>
    <w:rsid w:val="0032782E"/>
    <w:rsid w:val="003278D1"/>
    <w:rsid w:val="0032796F"/>
    <w:rsid w:val="00327A0E"/>
    <w:rsid w:val="00327C20"/>
    <w:rsid w:val="00327C88"/>
    <w:rsid w:val="00327E79"/>
    <w:rsid w:val="00327F47"/>
    <w:rsid w:val="00327F7D"/>
    <w:rsid w:val="00327F80"/>
    <w:rsid w:val="00327F8A"/>
    <w:rsid w:val="003300E1"/>
    <w:rsid w:val="00330256"/>
    <w:rsid w:val="00330271"/>
    <w:rsid w:val="0033049F"/>
    <w:rsid w:val="0033062C"/>
    <w:rsid w:val="0033068A"/>
    <w:rsid w:val="0033072A"/>
    <w:rsid w:val="003307DB"/>
    <w:rsid w:val="0033082C"/>
    <w:rsid w:val="00330A35"/>
    <w:rsid w:val="00330B7F"/>
    <w:rsid w:val="00330B86"/>
    <w:rsid w:val="00330C2A"/>
    <w:rsid w:val="00330C5B"/>
    <w:rsid w:val="00330CEE"/>
    <w:rsid w:val="00330FAF"/>
    <w:rsid w:val="00331112"/>
    <w:rsid w:val="003311AD"/>
    <w:rsid w:val="003312E7"/>
    <w:rsid w:val="00331351"/>
    <w:rsid w:val="003314F9"/>
    <w:rsid w:val="00331623"/>
    <w:rsid w:val="003316FB"/>
    <w:rsid w:val="003318BE"/>
    <w:rsid w:val="00331CA1"/>
    <w:rsid w:val="003320FB"/>
    <w:rsid w:val="00332147"/>
    <w:rsid w:val="00332510"/>
    <w:rsid w:val="0033254A"/>
    <w:rsid w:val="003325E7"/>
    <w:rsid w:val="003327B8"/>
    <w:rsid w:val="003328DF"/>
    <w:rsid w:val="00332AEF"/>
    <w:rsid w:val="00332CDD"/>
    <w:rsid w:val="00332D5B"/>
    <w:rsid w:val="00332FA1"/>
    <w:rsid w:val="00333043"/>
    <w:rsid w:val="00333084"/>
    <w:rsid w:val="0033318B"/>
    <w:rsid w:val="0033347F"/>
    <w:rsid w:val="003335E1"/>
    <w:rsid w:val="00333675"/>
    <w:rsid w:val="003338C8"/>
    <w:rsid w:val="00333A85"/>
    <w:rsid w:val="00333AF3"/>
    <w:rsid w:val="00333C38"/>
    <w:rsid w:val="00333C89"/>
    <w:rsid w:val="00333D16"/>
    <w:rsid w:val="00333D5E"/>
    <w:rsid w:val="00333EDB"/>
    <w:rsid w:val="00333F38"/>
    <w:rsid w:val="00334129"/>
    <w:rsid w:val="003342B1"/>
    <w:rsid w:val="003344E4"/>
    <w:rsid w:val="0033461E"/>
    <w:rsid w:val="0033462B"/>
    <w:rsid w:val="003347BC"/>
    <w:rsid w:val="0033486F"/>
    <w:rsid w:val="00334926"/>
    <w:rsid w:val="00334953"/>
    <w:rsid w:val="0033499E"/>
    <w:rsid w:val="003349B4"/>
    <w:rsid w:val="00334BE4"/>
    <w:rsid w:val="00334C24"/>
    <w:rsid w:val="00334D00"/>
    <w:rsid w:val="00334E46"/>
    <w:rsid w:val="00334E49"/>
    <w:rsid w:val="003350D6"/>
    <w:rsid w:val="003351A1"/>
    <w:rsid w:val="003352B9"/>
    <w:rsid w:val="00335390"/>
    <w:rsid w:val="003353F9"/>
    <w:rsid w:val="003356AB"/>
    <w:rsid w:val="0033587B"/>
    <w:rsid w:val="003358E7"/>
    <w:rsid w:val="00335A77"/>
    <w:rsid w:val="00335A97"/>
    <w:rsid w:val="00335B1F"/>
    <w:rsid w:val="00335B40"/>
    <w:rsid w:val="00335BBC"/>
    <w:rsid w:val="00335BF0"/>
    <w:rsid w:val="00335E3B"/>
    <w:rsid w:val="00335FBA"/>
    <w:rsid w:val="00336031"/>
    <w:rsid w:val="0033613E"/>
    <w:rsid w:val="00336199"/>
    <w:rsid w:val="003361FE"/>
    <w:rsid w:val="003363FC"/>
    <w:rsid w:val="00336416"/>
    <w:rsid w:val="00336427"/>
    <w:rsid w:val="003364AA"/>
    <w:rsid w:val="003364C0"/>
    <w:rsid w:val="00336581"/>
    <w:rsid w:val="003365FD"/>
    <w:rsid w:val="00336634"/>
    <w:rsid w:val="00336793"/>
    <w:rsid w:val="003369A1"/>
    <w:rsid w:val="00336B60"/>
    <w:rsid w:val="00336E49"/>
    <w:rsid w:val="00336E4D"/>
    <w:rsid w:val="00336E7D"/>
    <w:rsid w:val="00336F92"/>
    <w:rsid w:val="00337097"/>
    <w:rsid w:val="003370BD"/>
    <w:rsid w:val="003372C4"/>
    <w:rsid w:val="0033731E"/>
    <w:rsid w:val="003373C2"/>
    <w:rsid w:val="003374A6"/>
    <w:rsid w:val="0033754B"/>
    <w:rsid w:val="0033757C"/>
    <w:rsid w:val="003376A1"/>
    <w:rsid w:val="003376E9"/>
    <w:rsid w:val="003377DB"/>
    <w:rsid w:val="00337811"/>
    <w:rsid w:val="00337866"/>
    <w:rsid w:val="003378B8"/>
    <w:rsid w:val="00337956"/>
    <w:rsid w:val="00337C5F"/>
    <w:rsid w:val="00337C9D"/>
    <w:rsid w:val="00337CAD"/>
    <w:rsid w:val="00337D28"/>
    <w:rsid w:val="00337DFD"/>
    <w:rsid w:val="00337ED1"/>
    <w:rsid w:val="00337FD2"/>
    <w:rsid w:val="0034001E"/>
    <w:rsid w:val="0034008B"/>
    <w:rsid w:val="00340093"/>
    <w:rsid w:val="003400D8"/>
    <w:rsid w:val="003403BE"/>
    <w:rsid w:val="00340420"/>
    <w:rsid w:val="00340560"/>
    <w:rsid w:val="00340768"/>
    <w:rsid w:val="0034077D"/>
    <w:rsid w:val="00340865"/>
    <w:rsid w:val="00340B63"/>
    <w:rsid w:val="00340C95"/>
    <w:rsid w:val="00340F46"/>
    <w:rsid w:val="00340F5D"/>
    <w:rsid w:val="00340F83"/>
    <w:rsid w:val="0034123C"/>
    <w:rsid w:val="00341266"/>
    <w:rsid w:val="00341316"/>
    <w:rsid w:val="00341338"/>
    <w:rsid w:val="00341469"/>
    <w:rsid w:val="00341476"/>
    <w:rsid w:val="00341516"/>
    <w:rsid w:val="00341595"/>
    <w:rsid w:val="003416E4"/>
    <w:rsid w:val="003416EA"/>
    <w:rsid w:val="00341776"/>
    <w:rsid w:val="00341875"/>
    <w:rsid w:val="0034187A"/>
    <w:rsid w:val="00341966"/>
    <w:rsid w:val="00341972"/>
    <w:rsid w:val="00341B83"/>
    <w:rsid w:val="00341C73"/>
    <w:rsid w:val="00341C9E"/>
    <w:rsid w:val="00341CF5"/>
    <w:rsid w:val="00341E06"/>
    <w:rsid w:val="00341E1D"/>
    <w:rsid w:val="00341E2F"/>
    <w:rsid w:val="00341E62"/>
    <w:rsid w:val="00341E78"/>
    <w:rsid w:val="00341FD2"/>
    <w:rsid w:val="003420FB"/>
    <w:rsid w:val="003426A9"/>
    <w:rsid w:val="0034271A"/>
    <w:rsid w:val="0034278B"/>
    <w:rsid w:val="003427AB"/>
    <w:rsid w:val="00342830"/>
    <w:rsid w:val="00342A29"/>
    <w:rsid w:val="00342A88"/>
    <w:rsid w:val="00342D50"/>
    <w:rsid w:val="00342E45"/>
    <w:rsid w:val="00342F1F"/>
    <w:rsid w:val="00342F42"/>
    <w:rsid w:val="00342FB2"/>
    <w:rsid w:val="00343074"/>
    <w:rsid w:val="0034314C"/>
    <w:rsid w:val="003431A8"/>
    <w:rsid w:val="003432F5"/>
    <w:rsid w:val="00343404"/>
    <w:rsid w:val="003435FF"/>
    <w:rsid w:val="003438D0"/>
    <w:rsid w:val="00343949"/>
    <w:rsid w:val="00343A1B"/>
    <w:rsid w:val="00343A2E"/>
    <w:rsid w:val="00343B7F"/>
    <w:rsid w:val="00343D59"/>
    <w:rsid w:val="00343DEB"/>
    <w:rsid w:val="00344219"/>
    <w:rsid w:val="00344236"/>
    <w:rsid w:val="00344399"/>
    <w:rsid w:val="00344661"/>
    <w:rsid w:val="00344757"/>
    <w:rsid w:val="0034478D"/>
    <w:rsid w:val="003447CA"/>
    <w:rsid w:val="003447D6"/>
    <w:rsid w:val="00344C08"/>
    <w:rsid w:val="00344D3D"/>
    <w:rsid w:val="00344EDF"/>
    <w:rsid w:val="00344F3F"/>
    <w:rsid w:val="00345031"/>
    <w:rsid w:val="0034505A"/>
    <w:rsid w:val="00345062"/>
    <w:rsid w:val="00345064"/>
    <w:rsid w:val="00345066"/>
    <w:rsid w:val="00345120"/>
    <w:rsid w:val="00345130"/>
    <w:rsid w:val="0034514A"/>
    <w:rsid w:val="00345173"/>
    <w:rsid w:val="00345269"/>
    <w:rsid w:val="00345370"/>
    <w:rsid w:val="003453C5"/>
    <w:rsid w:val="0034548F"/>
    <w:rsid w:val="003454CB"/>
    <w:rsid w:val="00345909"/>
    <w:rsid w:val="00345B78"/>
    <w:rsid w:val="00345D85"/>
    <w:rsid w:val="00345DEC"/>
    <w:rsid w:val="00345EA1"/>
    <w:rsid w:val="003460DC"/>
    <w:rsid w:val="003461D3"/>
    <w:rsid w:val="003461DA"/>
    <w:rsid w:val="003464B6"/>
    <w:rsid w:val="003465D8"/>
    <w:rsid w:val="0034667D"/>
    <w:rsid w:val="003466F8"/>
    <w:rsid w:val="00346718"/>
    <w:rsid w:val="00346743"/>
    <w:rsid w:val="00346829"/>
    <w:rsid w:val="00346846"/>
    <w:rsid w:val="00346911"/>
    <w:rsid w:val="00346929"/>
    <w:rsid w:val="0034694B"/>
    <w:rsid w:val="003469AA"/>
    <w:rsid w:val="00346B90"/>
    <w:rsid w:val="00346C55"/>
    <w:rsid w:val="00347377"/>
    <w:rsid w:val="00347564"/>
    <w:rsid w:val="003475CB"/>
    <w:rsid w:val="003475EB"/>
    <w:rsid w:val="0034767C"/>
    <w:rsid w:val="003476EA"/>
    <w:rsid w:val="003478F2"/>
    <w:rsid w:val="00347AB3"/>
    <w:rsid w:val="00347BC0"/>
    <w:rsid w:val="00347DEF"/>
    <w:rsid w:val="00350026"/>
    <w:rsid w:val="00350161"/>
    <w:rsid w:val="003501A4"/>
    <w:rsid w:val="00350390"/>
    <w:rsid w:val="0035040F"/>
    <w:rsid w:val="00350479"/>
    <w:rsid w:val="003506D6"/>
    <w:rsid w:val="003507AD"/>
    <w:rsid w:val="0035090F"/>
    <w:rsid w:val="00350DBB"/>
    <w:rsid w:val="00350DDA"/>
    <w:rsid w:val="00350EA2"/>
    <w:rsid w:val="00350F22"/>
    <w:rsid w:val="00350F6D"/>
    <w:rsid w:val="00350F77"/>
    <w:rsid w:val="00351081"/>
    <w:rsid w:val="0035109E"/>
    <w:rsid w:val="003511B2"/>
    <w:rsid w:val="003511DE"/>
    <w:rsid w:val="003512F4"/>
    <w:rsid w:val="003513EC"/>
    <w:rsid w:val="0035149D"/>
    <w:rsid w:val="00351719"/>
    <w:rsid w:val="00351AB7"/>
    <w:rsid w:val="00351B31"/>
    <w:rsid w:val="00351C2E"/>
    <w:rsid w:val="00351CC1"/>
    <w:rsid w:val="00351CF7"/>
    <w:rsid w:val="00351D4F"/>
    <w:rsid w:val="00351E08"/>
    <w:rsid w:val="00352042"/>
    <w:rsid w:val="003520F5"/>
    <w:rsid w:val="00352131"/>
    <w:rsid w:val="0035224D"/>
    <w:rsid w:val="00352271"/>
    <w:rsid w:val="003522A8"/>
    <w:rsid w:val="00352403"/>
    <w:rsid w:val="0035257A"/>
    <w:rsid w:val="00352595"/>
    <w:rsid w:val="00352682"/>
    <w:rsid w:val="0035296A"/>
    <w:rsid w:val="00352A0E"/>
    <w:rsid w:val="00352B05"/>
    <w:rsid w:val="00352B08"/>
    <w:rsid w:val="00352C5C"/>
    <w:rsid w:val="00352EB0"/>
    <w:rsid w:val="00352EDE"/>
    <w:rsid w:val="00352EFA"/>
    <w:rsid w:val="00352FA8"/>
    <w:rsid w:val="003530FD"/>
    <w:rsid w:val="00353135"/>
    <w:rsid w:val="00353242"/>
    <w:rsid w:val="00353268"/>
    <w:rsid w:val="0035359F"/>
    <w:rsid w:val="00353670"/>
    <w:rsid w:val="003537EF"/>
    <w:rsid w:val="0035383D"/>
    <w:rsid w:val="00353900"/>
    <w:rsid w:val="00353982"/>
    <w:rsid w:val="00353ACF"/>
    <w:rsid w:val="00353AF6"/>
    <w:rsid w:val="00353C2D"/>
    <w:rsid w:val="00353C79"/>
    <w:rsid w:val="00353C8C"/>
    <w:rsid w:val="00353D3E"/>
    <w:rsid w:val="00353DBD"/>
    <w:rsid w:val="00353F0C"/>
    <w:rsid w:val="00353FA4"/>
    <w:rsid w:val="00353FD8"/>
    <w:rsid w:val="0035404C"/>
    <w:rsid w:val="00354079"/>
    <w:rsid w:val="00354112"/>
    <w:rsid w:val="0035417B"/>
    <w:rsid w:val="003542E3"/>
    <w:rsid w:val="003543C5"/>
    <w:rsid w:val="003545EF"/>
    <w:rsid w:val="003546A6"/>
    <w:rsid w:val="0035488E"/>
    <w:rsid w:val="003548D6"/>
    <w:rsid w:val="00354B8D"/>
    <w:rsid w:val="00354C14"/>
    <w:rsid w:val="00354EFD"/>
    <w:rsid w:val="0035514B"/>
    <w:rsid w:val="00355200"/>
    <w:rsid w:val="00355207"/>
    <w:rsid w:val="0035524E"/>
    <w:rsid w:val="003553B6"/>
    <w:rsid w:val="003554B4"/>
    <w:rsid w:val="0035551A"/>
    <w:rsid w:val="00355545"/>
    <w:rsid w:val="00355606"/>
    <w:rsid w:val="00355673"/>
    <w:rsid w:val="00355748"/>
    <w:rsid w:val="00355776"/>
    <w:rsid w:val="0035583A"/>
    <w:rsid w:val="00355875"/>
    <w:rsid w:val="00355C4A"/>
    <w:rsid w:val="00355C83"/>
    <w:rsid w:val="00355E2F"/>
    <w:rsid w:val="00355E44"/>
    <w:rsid w:val="00355E77"/>
    <w:rsid w:val="00355EA2"/>
    <w:rsid w:val="00355EFB"/>
    <w:rsid w:val="00355F61"/>
    <w:rsid w:val="00355F70"/>
    <w:rsid w:val="00356066"/>
    <w:rsid w:val="0035616D"/>
    <w:rsid w:val="003562C7"/>
    <w:rsid w:val="003562D1"/>
    <w:rsid w:val="0035634B"/>
    <w:rsid w:val="00356456"/>
    <w:rsid w:val="00356511"/>
    <w:rsid w:val="003565EA"/>
    <w:rsid w:val="00356610"/>
    <w:rsid w:val="003566E1"/>
    <w:rsid w:val="00356701"/>
    <w:rsid w:val="00356742"/>
    <w:rsid w:val="0035676F"/>
    <w:rsid w:val="003567AB"/>
    <w:rsid w:val="003568E4"/>
    <w:rsid w:val="003569E8"/>
    <w:rsid w:val="00356A41"/>
    <w:rsid w:val="00356AAE"/>
    <w:rsid w:val="00356ABC"/>
    <w:rsid w:val="00356BB8"/>
    <w:rsid w:val="00356C99"/>
    <w:rsid w:val="00356D88"/>
    <w:rsid w:val="00356E3E"/>
    <w:rsid w:val="0035711B"/>
    <w:rsid w:val="00357209"/>
    <w:rsid w:val="00357244"/>
    <w:rsid w:val="00357344"/>
    <w:rsid w:val="00357383"/>
    <w:rsid w:val="0035759A"/>
    <w:rsid w:val="0035769D"/>
    <w:rsid w:val="00357705"/>
    <w:rsid w:val="00357773"/>
    <w:rsid w:val="0035787A"/>
    <w:rsid w:val="003578F7"/>
    <w:rsid w:val="0035791E"/>
    <w:rsid w:val="00357932"/>
    <w:rsid w:val="00357B17"/>
    <w:rsid w:val="00357C57"/>
    <w:rsid w:val="00357D99"/>
    <w:rsid w:val="00357DAF"/>
    <w:rsid w:val="00357E32"/>
    <w:rsid w:val="00357E5F"/>
    <w:rsid w:val="00357F56"/>
    <w:rsid w:val="00357FF8"/>
    <w:rsid w:val="0036011A"/>
    <w:rsid w:val="00360183"/>
    <w:rsid w:val="003601DE"/>
    <w:rsid w:val="003602FC"/>
    <w:rsid w:val="0036031F"/>
    <w:rsid w:val="003603DE"/>
    <w:rsid w:val="00360522"/>
    <w:rsid w:val="0036096E"/>
    <w:rsid w:val="00360A98"/>
    <w:rsid w:val="00360B41"/>
    <w:rsid w:val="00360C3F"/>
    <w:rsid w:val="00360C91"/>
    <w:rsid w:val="00360CD5"/>
    <w:rsid w:val="00360D7C"/>
    <w:rsid w:val="00360E67"/>
    <w:rsid w:val="00360FE7"/>
    <w:rsid w:val="00361031"/>
    <w:rsid w:val="003610C1"/>
    <w:rsid w:val="00361196"/>
    <w:rsid w:val="003611F1"/>
    <w:rsid w:val="003612E5"/>
    <w:rsid w:val="003612F2"/>
    <w:rsid w:val="003613B5"/>
    <w:rsid w:val="00361422"/>
    <w:rsid w:val="0036144B"/>
    <w:rsid w:val="0036145B"/>
    <w:rsid w:val="0036155C"/>
    <w:rsid w:val="0036163B"/>
    <w:rsid w:val="0036164D"/>
    <w:rsid w:val="00361AB3"/>
    <w:rsid w:val="00361B09"/>
    <w:rsid w:val="00361B80"/>
    <w:rsid w:val="00361E12"/>
    <w:rsid w:val="00361E3D"/>
    <w:rsid w:val="00362018"/>
    <w:rsid w:val="003620F3"/>
    <w:rsid w:val="0036211A"/>
    <w:rsid w:val="00362594"/>
    <w:rsid w:val="00362612"/>
    <w:rsid w:val="0036262D"/>
    <w:rsid w:val="00362767"/>
    <w:rsid w:val="003628CC"/>
    <w:rsid w:val="00362933"/>
    <w:rsid w:val="003629E2"/>
    <w:rsid w:val="00362ACB"/>
    <w:rsid w:val="00362BA3"/>
    <w:rsid w:val="00362EDB"/>
    <w:rsid w:val="003630D3"/>
    <w:rsid w:val="00363151"/>
    <w:rsid w:val="003631AC"/>
    <w:rsid w:val="003631B6"/>
    <w:rsid w:val="003631C1"/>
    <w:rsid w:val="00363213"/>
    <w:rsid w:val="0036323D"/>
    <w:rsid w:val="0036326E"/>
    <w:rsid w:val="00363535"/>
    <w:rsid w:val="003635DB"/>
    <w:rsid w:val="0036367A"/>
    <w:rsid w:val="003638CE"/>
    <w:rsid w:val="003639D5"/>
    <w:rsid w:val="00363B3B"/>
    <w:rsid w:val="00363BAA"/>
    <w:rsid w:val="00363D5F"/>
    <w:rsid w:val="00363DD9"/>
    <w:rsid w:val="00363E37"/>
    <w:rsid w:val="00363E84"/>
    <w:rsid w:val="00363F81"/>
    <w:rsid w:val="0036400B"/>
    <w:rsid w:val="00364222"/>
    <w:rsid w:val="0036429D"/>
    <w:rsid w:val="003642CD"/>
    <w:rsid w:val="003643AE"/>
    <w:rsid w:val="0036459B"/>
    <w:rsid w:val="0036463D"/>
    <w:rsid w:val="00364898"/>
    <w:rsid w:val="0036489D"/>
    <w:rsid w:val="003648C0"/>
    <w:rsid w:val="003648E2"/>
    <w:rsid w:val="0036491A"/>
    <w:rsid w:val="0036491C"/>
    <w:rsid w:val="00364CCF"/>
    <w:rsid w:val="00364E0B"/>
    <w:rsid w:val="00364EDB"/>
    <w:rsid w:val="00364EF3"/>
    <w:rsid w:val="00364F65"/>
    <w:rsid w:val="00364FB8"/>
    <w:rsid w:val="00364FFD"/>
    <w:rsid w:val="0036508F"/>
    <w:rsid w:val="003650A1"/>
    <w:rsid w:val="00365146"/>
    <w:rsid w:val="003651BF"/>
    <w:rsid w:val="003651DA"/>
    <w:rsid w:val="0036548B"/>
    <w:rsid w:val="0036560C"/>
    <w:rsid w:val="003657BD"/>
    <w:rsid w:val="003657F1"/>
    <w:rsid w:val="003659D3"/>
    <w:rsid w:val="00365A19"/>
    <w:rsid w:val="00365A7D"/>
    <w:rsid w:val="00365B60"/>
    <w:rsid w:val="00365D49"/>
    <w:rsid w:val="00365E28"/>
    <w:rsid w:val="00365E70"/>
    <w:rsid w:val="00365EEB"/>
    <w:rsid w:val="00365FF1"/>
    <w:rsid w:val="0036616E"/>
    <w:rsid w:val="0036629F"/>
    <w:rsid w:val="003662E6"/>
    <w:rsid w:val="00366330"/>
    <w:rsid w:val="00366384"/>
    <w:rsid w:val="0036648E"/>
    <w:rsid w:val="00366584"/>
    <w:rsid w:val="00366586"/>
    <w:rsid w:val="00366837"/>
    <w:rsid w:val="003668D4"/>
    <w:rsid w:val="003668F4"/>
    <w:rsid w:val="00366B86"/>
    <w:rsid w:val="00366BE7"/>
    <w:rsid w:val="00366EB8"/>
    <w:rsid w:val="00367173"/>
    <w:rsid w:val="00367254"/>
    <w:rsid w:val="0036730A"/>
    <w:rsid w:val="00367311"/>
    <w:rsid w:val="0036734C"/>
    <w:rsid w:val="003675F9"/>
    <w:rsid w:val="003676E4"/>
    <w:rsid w:val="0036791A"/>
    <w:rsid w:val="00367930"/>
    <w:rsid w:val="003679AB"/>
    <w:rsid w:val="00367AFA"/>
    <w:rsid w:val="00367B42"/>
    <w:rsid w:val="00367BA7"/>
    <w:rsid w:val="00367DC7"/>
    <w:rsid w:val="00370049"/>
    <w:rsid w:val="0037013E"/>
    <w:rsid w:val="0037038C"/>
    <w:rsid w:val="003703B7"/>
    <w:rsid w:val="0037067C"/>
    <w:rsid w:val="003706A8"/>
    <w:rsid w:val="00370708"/>
    <w:rsid w:val="003708EB"/>
    <w:rsid w:val="00370A8F"/>
    <w:rsid w:val="00370B6A"/>
    <w:rsid w:val="00370B7A"/>
    <w:rsid w:val="00371057"/>
    <w:rsid w:val="003710C0"/>
    <w:rsid w:val="003711B9"/>
    <w:rsid w:val="003711F9"/>
    <w:rsid w:val="00371313"/>
    <w:rsid w:val="00371481"/>
    <w:rsid w:val="003714D1"/>
    <w:rsid w:val="003716B1"/>
    <w:rsid w:val="003716FD"/>
    <w:rsid w:val="003717B8"/>
    <w:rsid w:val="0037184C"/>
    <w:rsid w:val="003719AA"/>
    <w:rsid w:val="00371B87"/>
    <w:rsid w:val="00371C9D"/>
    <w:rsid w:val="00371D1F"/>
    <w:rsid w:val="00371E49"/>
    <w:rsid w:val="00371E72"/>
    <w:rsid w:val="00372024"/>
    <w:rsid w:val="00372038"/>
    <w:rsid w:val="003721CB"/>
    <w:rsid w:val="0037240A"/>
    <w:rsid w:val="00372562"/>
    <w:rsid w:val="0037261A"/>
    <w:rsid w:val="003726AD"/>
    <w:rsid w:val="0037283A"/>
    <w:rsid w:val="0037287A"/>
    <w:rsid w:val="00372A34"/>
    <w:rsid w:val="00372CC6"/>
    <w:rsid w:val="00372CF1"/>
    <w:rsid w:val="00372D01"/>
    <w:rsid w:val="00372D0A"/>
    <w:rsid w:val="00372D99"/>
    <w:rsid w:val="00372E02"/>
    <w:rsid w:val="00372E2C"/>
    <w:rsid w:val="00372ED4"/>
    <w:rsid w:val="00372F76"/>
    <w:rsid w:val="0037308B"/>
    <w:rsid w:val="003730F6"/>
    <w:rsid w:val="00373135"/>
    <w:rsid w:val="00373157"/>
    <w:rsid w:val="003733AD"/>
    <w:rsid w:val="003734B1"/>
    <w:rsid w:val="003734F2"/>
    <w:rsid w:val="003737C4"/>
    <w:rsid w:val="00373867"/>
    <w:rsid w:val="00373913"/>
    <w:rsid w:val="003739AF"/>
    <w:rsid w:val="003739EC"/>
    <w:rsid w:val="00373ED9"/>
    <w:rsid w:val="00373EEA"/>
    <w:rsid w:val="00373F48"/>
    <w:rsid w:val="00373F4D"/>
    <w:rsid w:val="0037405D"/>
    <w:rsid w:val="0037438A"/>
    <w:rsid w:val="00374447"/>
    <w:rsid w:val="003747F1"/>
    <w:rsid w:val="00374832"/>
    <w:rsid w:val="003748C9"/>
    <w:rsid w:val="00374A29"/>
    <w:rsid w:val="00374C7B"/>
    <w:rsid w:val="00374D03"/>
    <w:rsid w:val="00374EFA"/>
    <w:rsid w:val="0037505F"/>
    <w:rsid w:val="003750AF"/>
    <w:rsid w:val="003750CD"/>
    <w:rsid w:val="0037520C"/>
    <w:rsid w:val="0037527E"/>
    <w:rsid w:val="00375650"/>
    <w:rsid w:val="00375740"/>
    <w:rsid w:val="00375875"/>
    <w:rsid w:val="0037589C"/>
    <w:rsid w:val="00375ABA"/>
    <w:rsid w:val="00375C67"/>
    <w:rsid w:val="00375EED"/>
    <w:rsid w:val="00375FB4"/>
    <w:rsid w:val="003761A6"/>
    <w:rsid w:val="003762CA"/>
    <w:rsid w:val="003762DA"/>
    <w:rsid w:val="0037642A"/>
    <w:rsid w:val="0037657E"/>
    <w:rsid w:val="00376619"/>
    <w:rsid w:val="0037663C"/>
    <w:rsid w:val="00376717"/>
    <w:rsid w:val="00376789"/>
    <w:rsid w:val="003767B2"/>
    <w:rsid w:val="003769CF"/>
    <w:rsid w:val="00376D09"/>
    <w:rsid w:val="00376D8C"/>
    <w:rsid w:val="00376E4A"/>
    <w:rsid w:val="00376E65"/>
    <w:rsid w:val="003770B8"/>
    <w:rsid w:val="003770D1"/>
    <w:rsid w:val="003770F0"/>
    <w:rsid w:val="003771CD"/>
    <w:rsid w:val="00377253"/>
    <w:rsid w:val="003772D4"/>
    <w:rsid w:val="003774C9"/>
    <w:rsid w:val="0037753A"/>
    <w:rsid w:val="0037760E"/>
    <w:rsid w:val="003776F0"/>
    <w:rsid w:val="003776F3"/>
    <w:rsid w:val="00377776"/>
    <w:rsid w:val="00377813"/>
    <w:rsid w:val="0037787E"/>
    <w:rsid w:val="0037792F"/>
    <w:rsid w:val="00377965"/>
    <w:rsid w:val="00377AAD"/>
    <w:rsid w:val="00377B51"/>
    <w:rsid w:val="00377BB8"/>
    <w:rsid w:val="00377CCC"/>
    <w:rsid w:val="00377EA5"/>
    <w:rsid w:val="00377EB5"/>
    <w:rsid w:val="0037C1B3"/>
    <w:rsid w:val="0038010E"/>
    <w:rsid w:val="00380423"/>
    <w:rsid w:val="0038049C"/>
    <w:rsid w:val="003804BA"/>
    <w:rsid w:val="00380719"/>
    <w:rsid w:val="003807CE"/>
    <w:rsid w:val="00380A39"/>
    <w:rsid w:val="00380AED"/>
    <w:rsid w:val="00380AF9"/>
    <w:rsid w:val="00380C1B"/>
    <w:rsid w:val="00380C67"/>
    <w:rsid w:val="00380CCE"/>
    <w:rsid w:val="00380EBC"/>
    <w:rsid w:val="00380ED4"/>
    <w:rsid w:val="00381089"/>
    <w:rsid w:val="00381105"/>
    <w:rsid w:val="003811FF"/>
    <w:rsid w:val="003813B5"/>
    <w:rsid w:val="003813D7"/>
    <w:rsid w:val="00381533"/>
    <w:rsid w:val="00381538"/>
    <w:rsid w:val="0038153A"/>
    <w:rsid w:val="00381640"/>
    <w:rsid w:val="003816BB"/>
    <w:rsid w:val="00381796"/>
    <w:rsid w:val="0038180D"/>
    <w:rsid w:val="00381821"/>
    <w:rsid w:val="00381991"/>
    <w:rsid w:val="00381A00"/>
    <w:rsid w:val="00381C3C"/>
    <w:rsid w:val="00381D45"/>
    <w:rsid w:val="00381E7A"/>
    <w:rsid w:val="00381F04"/>
    <w:rsid w:val="00381F0B"/>
    <w:rsid w:val="00381F31"/>
    <w:rsid w:val="00381F9F"/>
    <w:rsid w:val="00381FD3"/>
    <w:rsid w:val="00381FE5"/>
    <w:rsid w:val="003820D8"/>
    <w:rsid w:val="0038218B"/>
    <w:rsid w:val="003824A3"/>
    <w:rsid w:val="00382574"/>
    <w:rsid w:val="003827BB"/>
    <w:rsid w:val="0038280C"/>
    <w:rsid w:val="003828B8"/>
    <w:rsid w:val="0038291A"/>
    <w:rsid w:val="003829EB"/>
    <w:rsid w:val="00382AFB"/>
    <w:rsid w:val="00382B01"/>
    <w:rsid w:val="00382B22"/>
    <w:rsid w:val="00382D09"/>
    <w:rsid w:val="00382D63"/>
    <w:rsid w:val="00382EC9"/>
    <w:rsid w:val="00382EF1"/>
    <w:rsid w:val="00382F05"/>
    <w:rsid w:val="00382F9F"/>
    <w:rsid w:val="00383091"/>
    <w:rsid w:val="003830B4"/>
    <w:rsid w:val="003830D7"/>
    <w:rsid w:val="003835EA"/>
    <w:rsid w:val="0038396D"/>
    <w:rsid w:val="003839A3"/>
    <w:rsid w:val="00383AC7"/>
    <w:rsid w:val="00383CB1"/>
    <w:rsid w:val="00383E5E"/>
    <w:rsid w:val="00383E6B"/>
    <w:rsid w:val="00383F1B"/>
    <w:rsid w:val="0038403F"/>
    <w:rsid w:val="003840A8"/>
    <w:rsid w:val="00384242"/>
    <w:rsid w:val="00384291"/>
    <w:rsid w:val="00384361"/>
    <w:rsid w:val="003843E2"/>
    <w:rsid w:val="003843EF"/>
    <w:rsid w:val="0038460E"/>
    <w:rsid w:val="003849DC"/>
    <w:rsid w:val="00384A59"/>
    <w:rsid w:val="00384AE2"/>
    <w:rsid w:val="00384AFE"/>
    <w:rsid w:val="00384B21"/>
    <w:rsid w:val="00384CB1"/>
    <w:rsid w:val="00384CD8"/>
    <w:rsid w:val="00384D8A"/>
    <w:rsid w:val="00384E45"/>
    <w:rsid w:val="0038527B"/>
    <w:rsid w:val="003854A7"/>
    <w:rsid w:val="0038565A"/>
    <w:rsid w:val="003856A3"/>
    <w:rsid w:val="00385778"/>
    <w:rsid w:val="00385820"/>
    <w:rsid w:val="00385923"/>
    <w:rsid w:val="003859AD"/>
    <w:rsid w:val="00385A54"/>
    <w:rsid w:val="00385AD8"/>
    <w:rsid w:val="00385B01"/>
    <w:rsid w:val="00385C49"/>
    <w:rsid w:val="00385C76"/>
    <w:rsid w:val="00385CD2"/>
    <w:rsid w:val="00385F5B"/>
    <w:rsid w:val="0038607A"/>
    <w:rsid w:val="00386118"/>
    <w:rsid w:val="00386175"/>
    <w:rsid w:val="003861EC"/>
    <w:rsid w:val="003863DE"/>
    <w:rsid w:val="0038651C"/>
    <w:rsid w:val="003867C7"/>
    <w:rsid w:val="0038684C"/>
    <w:rsid w:val="00386A6D"/>
    <w:rsid w:val="00386AE2"/>
    <w:rsid w:val="00386C35"/>
    <w:rsid w:val="00386E6E"/>
    <w:rsid w:val="00386EBA"/>
    <w:rsid w:val="00386ED7"/>
    <w:rsid w:val="00386F5D"/>
    <w:rsid w:val="0038712F"/>
    <w:rsid w:val="00387167"/>
    <w:rsid w:val="00387208"/>
    <w:rsid w:val="00387368"/>
    <w:rsid w:val="003874C5"/>
    <w:rsid w:val="003874D1"/>
    <w:rsid w:val="00387791"/>
    <w:rsid w:val="003877D8"/>
    <w:rsid w:val="00387883"/>
    <w:rsid w:val="00387980"/>
    <w:rsid w:val="00387A2C"/>
    <w:rsid w:val="00387C19"/>
    <w:rsid w:val="00387C65"/>
    <w:rsid w:val="00387C83"/>
    <w:rsid w:val="00387D7C"/>
    <w:rsid w:val="00387E68"/>
    <w:rsid w:val="0039012B"/>
    <w:rsid w:val="00390142"/>
    <w:rsid w:val="00390440"/>
    <w:rsid w:val="0039048C"/>
    <w:rsid w:val="00390580"/>
    <w:rsid w:val="00390828"/>
    <w:rsid w:val="00390948"/>
    <w:rsid w:val="0039094C"/>
    <w:rsid w:val="00390BE9"/>
    <w:rsid w:val="00390C16"/>
    <w:rsid w:val="00390EE1"/>
    <w:rsid w:val="00390F93"/>
    <w:rsid w:val="0039107F"/>
    <w:rsid w:val="003912A5"/>
    <w:rsid w:val="0039150E"/>
    <w:rsid w:val="0039157E"/>
    <w:rsid w:val="0039162D"/>
    <w:rsid w:val="00391668"/>
    <w:rsid w:val="00391897"/>
    <w:rsid w:val="003918F1"/>
    <w:rsid w:val="00391916"/>
    <w:rsid w:val="00391B6A"/>
    <w:rsid w:val="00391B87"/>
    <w:rsid w:val="00391BBC"/>
    <w:rsid w:val="00391C13"/>
    <w:rsid w:val="00391C26"/>
    <w:rsid w:val="00391CB2"/>
    <w:rsid w:val="00391D91"/>
    <w:rsid w:val="00391FFC"/>
    <w:rsid w:val="0039214B"/>
    <w:rsid w:val="00392164"/>
    <w:rsid w:val="0039218C"/>
    <w:rsid w:val="0039220A"/>
    <w:rsid w:val="00392420"/>
    <w:rsid w:val="00392467"/>
    <w:rsid w:val="0039248A"/>
    <w:rsid w:val="003925CE"/>
    <w:rsid w:val="00392674"/>
    <w:rsid w:val="003926A8"/>
    <w:rsid w:val="003926E2"/>
    <w:rsid w:val="00392703"/>
    <w:rsid w:val="0039270F"/>
    <w:rsid w:val="0039271D"/>
    <w:rsid w:val="003927B5"/>
    <w:rsid w:val="00392920"/>
    <w:rsid w:val="00392AD6"/>
    <w:rsid w:val="00392BE1"/>
    <w:rsid w:val="00392C27"/>
    <w:rsid w:val="00392D4C"/>
    <w:rsid w:val="00392E03"/>
    <w:rsid w:val="00392F08"/>
    <w:rsid w:val="003930BA"/>
    <w:rsid w:val="0039334A"/>
    <w:rsid w:val="00393500"/>
    <w:rsid w:val="00393562"/>
    <w:rsid w:val="003936B3"/>
    <w:rsid w:val="00393828"/>
    <w:rsid w:val="003938B4"/>
    <w:rsid w:val="0039392F"/>
    <w:rsid w:val="00393A51"/>
    <w:rsid w:val="00393B95"/>
    <w:rsid w:val="00393BC0"/>
    <w:rsid w:val="00393BC1"/>
    <w:rsid w:val="00393D23"/>
    <w:rsid w:val="00393DF8"/>
    <w:rsid w:val="00393EDF"/>
    <w:rsid w:val="003940CB"/>
    <w:rsid w:val="00394205"/>
    <w:rsid w:val="003942B8"/>
    <w:rsid w:val="00394323"/>
    <w:rsid w:val="003943B0"/>
    <w:rsid w:val="003943F4"/>
    <w:rsid w:val="003945D4"/>
    <w:rsid w:val="00394644"/>
    <w:rsid w:val="00394739"/>
    <w:rsid w:val="00394771"/>
    <w:rsid w:val="003947B0"/>
    <w:rsid w:val="003948F8"/>
    <w:rsid w:val="00394AED"/>
    <w:rsid w:val="00394C3A"/>
    <w:rsid w:val="00394C74"/>
    <w:rsid w:val="00394E42"/>
    <w:rsid w:val="00395021"/>
    <w:rsid w:val="0039506E"/>
    <w:rsid w:val="003950DC"/>
    <w:rsid w:val="003952B6"/>
    <w:rsid w:val="003953E0"/>
    <w:rsid w:val="003953F2"/>
    <w:rsid w:val="0039565E"/>
    <w:rsid w:val="00395686"/>
    <w:rsid w:val="0039578E"/>
    <w:rsid w:val="003957DD"/>
    <w:rsid w:val="00395907"/>
    <w:rsid w:val="00395988"/>
    <w:rsid w:val="00395A71"/>
    <w:rsid w:val="00395B92"/>
    <w:rsid w:val="00395D84"/>
    <w:rsid w:val="00395E61"/>
    <w:rsid w:val="0039605B"/>
    <w:rsid w:val="0039624F"/>
    <w:rsid w:val="0039625E"/>
    <w:rsid w:val="0039626B"/>
    <w:rsid w:val="003962B8"/>
    <w:rsid w:val="00396328"/>
    <w:rsid w:val="00396772"/>
    <w:rsid w:val="00396908"/>
    <w:rsid w:val="003969FA"/>
    <w:rsid w:val="00396A85"/>
    <w:rsid w:val="00396B7E"/>
    <w:rsid w:val="00396B9C"/>
    <w:rsid w:val="00396BCB"/>
    <w:rsid w:val="00396EDF"/>
    <w:rsid w:val="00396F20"/>
    <w:rsid w:val="00396FB5"/>
    <w:rsid w:val="0039707C"/>
    <w:rsid w:val="003971F1"/>
    <w:rsid w:val="00397263"/>
    <w:rsid w:val="003972D0"/>
    <w:rsid w:val="0039738A"/>
    <w:rsid w:val="00397403"/>
    <w:rsid w:val="00397412"/>
    <w:rsid w:val="003974B3"/>
    <w:rsid w:val="00397753"/>
    <w:rsid w:val="003977BF"/>
    <w:rsid w:val="003977C5"/>
    <w:rsid w:val="003977F1"/>
    <w:rsid w:val="0039784A"/>
    <w:rsid w:val="003978A6"/>
    <w:rsid w:val="003978BE"/>
    <w:rsid w:val="0039794A"/>
    <w:rsid w:val="00397A7C"/>
    <w:rsid w:val="00397B02"/>
    <w:rsid w:val="00397B50"/>
    <w:rsid w:val="00397B76"/>
    <w:rsid w:val="00397C49"/>
    <w:rsid w:val="00397D6C"/>
    <w:rsid w:val="00397DFC"/>
    <w:rsid w:val="00397F2F"/>
    <w:rsid w:val="003A0023"/>
    <w:rsid w:val="003A021F"/>
    <w:rsid w:val="003A022B"/>
    <w:rsid w:val="003A0424"/>
    <w:rsid w:val="003A0657"/>
    <w:rsid w:val="003A080F"/>
    <w:rsid w:val="003A0897"/>
    <w:rsid w:val="003A091A"/>
    <w:rsid w:val="003A0A8B"/>
    <w:rsid w:val="003A0AAB"/>
    <w:rsid w:val="003A0BD2"/>
    <w:rsid w:val="003A0BFF"/>
    <w:rsid w:val="003A0D14"/>
    <w:rsid w:val="003A0E06"/>
    <w:rsid w:val="003A0EF9"/>
    <w:rsid w:val="003A0F16"/>
    <w:rsid w:val="003A0F73"/>
    <w:rsid w:val="003A0FA1"/>
    <w:rsid w:val="003A0FA7"/>
    <w:rsid w:val="003A0FE4"/>
    <w:rsid w:val="003A100A"/>
    <w:rsid w:val="003A10A4"/>
    <w:rsid w:val="003A1163"/>
    <w:rsid w:val="003A11D0"/>
    <w:rsid w:val="003A13FB"/>
    <w:rsid w:val="003A14C7"/>
    <w:rsid w:val="003A1969"/>
    <w:rsid w:val="003A1A1B"/>
    <w:rsid w:val="003A1D4A"/>
    <w:rsid w:val="003A211E"/>
    <w:rsid w:val="003A2374"/>
    <w:rsid w:val="003A238D"/>
    <w:rsid w:val="003A23B5"/>
    <w:rsid w:val="003A2417"/>
    <w:rsid w:val="003A26A9"/>
    <w:rsid w:val="003A26DD"/>
    <w:rsid w:val="003A2885"/>
    <w:rsid w:val="003A28C9"/>
    <w:rsid w:val="003A29AC"/>
    <w:rsid w:val="003A29DA"/>
    <w:rsid w:val="003A2CC9"/>
    <w:rsid w:val="003A2E1B"/>
    <w:rsid w:val="003A2ECC"/>
    <w:rsid w:val="003A300F"/>
    <w:rsid w:val="003A3318"/>
    <w:rsid w:val="003A3378"/>
    <w:rsid w:val="003A36D5"/>
    <w:rsid w:val="003A377C"/>
    <w:rsid w:val="003A379F"/>
    <w:rsid w:val="003A384C"/>
    <w:rsid w:val="003A3931"/>
    <w:rsid w:val="003A3A09"/>
    <w:rsid w:val="003A3A70"/>
    <w:rsid w:val="003A3B2E"/>
    <w:rsid w:val="003A3D26"/>
    <w:rsid w:val="003A3DE5"/>
    <w:rsid w:val="003A3E50"/>
    <w:rsid w:val="003A3F38"/>
    <w:rsid w:val="003A406F"/>
    <w:rsid w:val="003A44D3"/>
    <w:rsid w:val="003A4EAF"/>
    <w:rsid w:val="003A4F07"/>
    <w:rsid w:val="003A5257"/>
    <w:rsid w:val="003A548B"/>
    <w:rsid w:val="003A5529"/>
    <w:rsid w:val="003A56C2"/>
    <w:rsid w:val="003A593F"/>
    <w:rsid w:val="003A5BCF"/>
    <w:rsid w:val="003A5C9F"/>
    <w:rsid w:val="003A5D28"/>
    <w:rsid w:val="003A5DFB"/>
    <w:rsid w:val="003A5E0E"/>
    <w:rsid w:val="003A5EE3"/>
    <w:rsid w:val="003A5F7E"/>
    <w:rsid w:val="003A60F9"/>
    <w:rsid w:val="003A6164"/>
    <w:rsid w:val="003A629E"/>
    <w:rsid w:val="003A644A"/>
    <w:rsid w:val="003A648D"/>
    <w:rsid w:val="003A66CD"/>
    <w:rsid w:val="003A6E99"/>
    <w:rsid w:val="003A6EEF"/>
    <w:rsid w:val="003A7000"/>
    <w:rsid w:val="003A7106"/>
    <w:rsid w:val="003A723E"/>
    <w:rsid w:val="003A743D"/>
    <w:rsid w:val="003A74CE"/>
    <w:rsid w:val="003A74F9"/>
    <w:rsid w:val="003A7609"/>
    <w:rsid w:val="003A787E"/>
    <w:rsid w:val="003A79B1"/>
    <w:rsid w:val="003A7BB9"/>
    <w:rsid w:val="003A7CC7"/>
    <w:rsid w:val="003A7D4C"/>
    <w:rsid w:val="003A7F6C"/>
    <w:rsid w:val="003B0054"/>
    <w:rsid w:val="003B00EB"/>
    <w:rsid w:val="003B00FC"/>
    <w:rsid w:val="003B019A"/>
    <w:rsid w:val="003B01DD"/>
    <w:rsid w:val="003B028F"/>
    <w:rsid w:val="003B03A3"/>
    <w:rsid w:val="003B0505"/>
    <w:rsid w:val="003B0584"/>
    <w:rsid w:val="003B08D4"/>
    <w:rsid w:val="003B0987"/>
    <w:rsid w:val="003B0BD4"/>
    <w:rsid w:val="003B0C7C"/>
    <w:rsid w:val="003B0CCD"/>
    <w:rsid w:val="003B128A"/>
    <w:rsid w:val="003B1314"/>
    <w:rsid w:val="003B13D1"/>
    <w:rsid w:val="003B1406"/>
    <w:rsid w:val="003B14EB"/>
    <w:rsid w:val="003B1584"/>
    <w:rsid w:val="003B15E3"/>
    <w:rsid w:val="003B180D"/>
    <w:rsid w:val="003B1840"/>
    <w:rsid w:val="003B1860"/>
    <w:rsid w:val="003B18F1"/>
    <w:rsid w:val="003B19C0"/>
    <w:rsid w:val="003B1AA7"/>
    <w:rsid w:val="003B1AE4"/>
    <w:rsid w:val="003B1B8B"/>
    <w:rsid w:val="003B1BA3"/>
    <w:rsid w:val="003B1C93"/>
    <w:rsid w:val="003B1C94"/>
    <w:rsid w:val="003B1D15"/>
    <w:rsid w:val="003B1D4F"/>
    <w:rsid w:val="003B1D62"/>
    <w:rsid w:val="003B2073"/>
    <w:rsid w:val="003B2075"/>
    <w:rsid w:val="003B21C0"/>
    <w:rsid w:val="003B222A"/>
    <w:rsid w:val="003B23A7"/>
    <w:rsid w:val="003B247B"/>
    <w:rsid w:val="003B2551"/>
    <w:rsid w:val="003B25AC"/>
    <w:rsid w:val="003B2785"/>
    <w:rsid w:val="003B286D"/>
    <w:rsid w:val="003B2940"/>
    <w:rsid w:val="003B2978"/>
    <w:rsid w:val="003B2B8E"/>
    <w:rsid w:val="003B2BC7"/>
    <w:rsid w:val="003B2BD4"/>
    <w:rsid w:val="003B2E46"/>
    <w:rsid w:val="003B2E92"/>
    <w:rsid w:val="003B3382"/>
    <w:rsid w:val="003B33DF"/>
    <w:rsid w:val="003B345F"/>
    <w:rsid w:val="003B3485"/>
    <w:rsid w:val="003B3707"/>
    <w:rsid w:val="003B3763"/>
    <w:rsid w:val="003B37BF"/>
    <w:rsid w:val="003B383D"/>
    <w:rsid w:val="003B3BFF"/>
    <w:rsid w:val="003B3EE6"/>
    <w:rsid w:val="003B3F43"/>
    <w:rsid w:val="003B40B6"/>
    <w:rsid w:val="003B4132"/>
    <w:rsid w:val="003B4218"/>
    <w:rsid w:val="003B423A"/>
    <w:rsid w:val="003B46AB"/>
    <w:rsid w:val="003B4952"/>
    <w:rsid w:val="003B4B72"/>
    <w:rsid w:val="003B4C15"/>
    <w:rsid w:val="003B4FFB"/>
    <w:rsid w:val="003B4FFD"/>
    <w:rsid w:val="003B506C"/>
    <w:rsid w:val="003B50E1"/>
    <w:rsid w:val="003B5115"/>
    <w:rsid w:val="003B5268"/>
    <w:rsid w:val="003B52A6"/>
    <w:rsid w:val="003B53E3"/>
    <w:rsid w:val="003B56D8"/>
    <w:rsid w:val="003B56DE"/>
    <w:rsid w:val="003B57DA"/>
    <w:rsid w:val="003B57E3"/>
    <w:rsid w:val="003B584D"/>
    <w:rsid w:val="003B58DF"/>
    <w:rsid w:val="003B58FE"/>
    <w:rsid w:val="003B5945"/>
    <w:rsid w:val="003B594E"/>
    <w:rsid w:val="003B5CFA"/>
    <w:rsid w:val="003B5D2E"/>
    <w:rsid w:val="003B5E03"/>
    <w:rsid w:val="003B5EFA"/>
    <w:rsid w:val="003B5F1D"/>
    <w:rsid w:val="003B5F27"/>
    <w:rsid w:val="003B5F9A"/>
    <w:rsid w:val="003B6028"/>
    <w:rsid w:val="003B6185"/>
    <w:rsid w:val="003B6535"/>
    <w:rsid w:val="003B6558"/>
    <w:rsid w:val="003B65C2"/>
    <w:rsid w:val="003B6651"/>
    <w:rsid w:val="003B66D5"/>
    <w:rsid w:val="003B6709"/>
    <w:rsid w:val="003B6787"/>
    <w:rsid w:val="003B67F8"/>
    <w:rsid w:val="003B68AD"/>
    <w:rsid w:val="003B68FA"/>
    <w:rsid w:val="003B696E"/>
    <w:rsid w:val="003B6A05"/>
    <w:rsid w:val="003B6C1F"/>
    <w:rsid w:val="003B6C45"/>
    <w:rsid w:val="003B6EA1"/>
    <w:rsid w:val="003B731B"/>
    <w:rsid w:val="003B756B"/>
    <w:rsid w:val="003B758B"/>
    <w:rsid w:val="003B7656"/>
    <w:rsid w:val="003B76E1"/>
    <w:rsid w:val="003B7874"/>
    <w:rsid w:val="003B79C7"/>
    <w:rsid w:val="003B7BFD"/>
    <w:rsid w:val="003B7C41"/>
    <w:rsid w:val="003B7C73"/>
    <w:rsid w:val="003B7CEF"/>
    <w:rsid w:val="003B7D5C"/>
    <w:rsid w:val="003B7E92"/>
    <w:rsid w:val="003B7F53"/>
    <w:rsid w:val="003B7F6D"/>
    <w:rsid w:val="003BD81C"/>
    <w:rsid w:val="003C0025"/>
    <w:rsid w:val="003C0119"/>
    <w:rsid w:val="003C019F"/>
    <w:rsid w:val="003C02B4"/>
    <w:rsid w:val="003C033C"/>
    <w:rsid w:val="003C039A"/>
    <w:rsid w:val="003C04E3"/>
    <w:rsid w:val="003C06BF"/>
    <w:rsid w:val="003C06DE"/>
    <w:rsid w:val="003C0A43"/>
    <w:rsid w:val="003C0AB5"/>
    <w:rsid w:val="003C0AF0"/>
    <w:rsid w:val="003C0D05"/>
    <w:rsid w:val="003C0E5A"/>
    <w:rsid w:val="003C0F2F"/>
    <w:rsid w:val="003C0FD9"/>
    <w:rsid w:val="003C1001"/>
    <w:rsid w:val="003C10AC"/>
    <w:rsid w:val="003C1112"/>
    <w:rsid w:val="003C1135"/>
    <w:rsid w:val="003C1565"/>
    <w:rsid w:val="003C15C4"/>
    <w:rsid w:val="003C182B"/>
    <w:rsid w:val="003C1834"/>
    <w:rsid w:val="003C18A4"/>
    <w:rsid w:val="003C1AC3"/>
    <w:rsid w:val="003C1AF9"/>
    <w:rsid w:val="003C1BC8"/>
    <w:rsid w:val="003C1C00"/>
    <w:rsid w:val="003C1C72"/>
    <w:rsid w:val="003C1D69"/>
    <w:rsid w:val="003C1DE4"/>
    <w:rsid w:val="003C1E21"/>
    <w:rsid w:val="003C1E45"/>
    <w:rsid w:val="003C1EF7"/>
    <w:rsid w:val="003C21D6"/>
    <w:rsid w:val="003C227E"/>
    <w:rsid w:val="003C23BA"/>
    <w:rsid w:val="003C241B"/>
    <w:rsid w:val="003C24D9"/>
    <w:rsid w:val="003C2666"/>
    <w:rsid w:val="003C2679"/>
    <w:rsid w:val="003C2695"/>
    <w:rsid w:val="003C26ED"/>
    <w:rsid w:val="003C272F"/>
    <w:rsid w:val="003C278C"/>
    <w:rsid w:val="003C27FA"/>
    <w:rsid w:val="003C2815"/>
    <w:rsid w:val="003C2832"/>
    <w:rsid w:val="003C2934"/>
    <w:rsid w:val="003C2A4C"/>
    <w:rsid w:val="003C2B71"/>
    <w:rsid w:val="003C2C79"/>
    <w:rsid w:val="003C2CB1"/>
    <w:rsid w:val="003C2CE9"/>
    <w:rsid w:val="003C2D12"/>
    <w:rsid w:val="003C2DAC"/>
    <w:rsid w:val="003C2F0D"/>
    <w:rsid w:val="003C2F12"/>
    <w:rsid w:val="003C2FF1"/>
    <w:rsid w:val="003C3252"/>
    <w:rsid w:val="003C327C"/>
    <w:rsid w:val="003C3307"/>
    <w:rsid w:val="003C34D6"/>
    <w:rsid w:val="003C3508"/>
    <w:rsid w:val="003C378E"/>
    <w:rsid w:val="003C37D7"/>
    <w:rsid w:val="003C3858"/>
    <w:rsid w:val="003C3869"/>
    <w:rsid w:val="003C39A6"/>
    <w:rsid w:val="003C3A6A"/>
    <w:rsid w:val="003C3A6F"/>
    <w:rsid w:val="003C3BC4"/>
    <w:rsid w:val="003C3D49"/>
    <w:rsid w:val="003C3E55"/>
    <w:rsid w:val="003C3E5D"/>
    <w:rsid w:val="003C3EBA"/>
    <w:rsid w:val="003C3F5E"/>
    <w:rsid w:val="003C4370"/>
    <w:rsid w:val="003C43B8"/>
    <w:rsid w:val="003C456F"/>
    <w:rsid w:val="003C4666"/>
    <w:rsid w:val="003C475D"/>
    <w:rsid w:val="003C47AA"/>
    <w:rsid w:val="003C4819"/>
    <w:rsid w:val="003C4A45"/>
    <w:rsid w:val="003C4BE6"/>
    <w:rsid w:val="003C4C15"/>
    <w:rsid w:val="003C4C96"/>
    <w:rsid w:val="003C4DB3"/>
    <w:rsid w:val="003C4F52"/>
    <w:rsid w:val="003C4F94"/>
    <w:rsid w:val="003C51A6"/>
    <w:rsid w:val="003C5777"/>
    <w:rsid w:val="003C5789"/>
    <w:rsid w:val="003C57D1"/>
    <w:rsid w:val="003C5827"/>
    <w:rsid w:val="003C59BB"/>
    <w:rsid w:val="003C5A36"/>
    <w:rsid w:val="003C5BA5"/>
    <w:rsid w:val="003C5C47"/>
    <w:rsid w:val="003C5D37"/>
    <w:rsid w:val="003C5D95"/>
    <w:rsid w:val="003C5DA3"/>
    <w:rsid w:val="003C5E28"/>
    <w:rsid w:val="003C5EB2"/>
    <w:rsid w:val="003C60B2"/>
    <w:rsid w:val="003C60F8"/>
    <w:rsid w:val="003C616A"/>
    <w:rsid w:val="003C620B"/>
    <w:rsid w:val="003C64B5"/>
    <w:rsid w:val="003C6613"/>
    <w:rsid w:val="003C66A5"/>
    <w:rsid w:val="003C671A"/>
    <w:rsid w:val="003C683D"/>
    <w:rsid w:val="003C69AE"/>
    <w:rsid w:val="003C69E8"/>
    <w:rsid w:val="003C6B3A"/>
    <w:rsid w:val="003C6C36"/>
    <w:rsid w:val="003C6CCA"/>
    <w:rsid w:val="003C6E83"/>
    <w:rsid w:val="003C6F5E"/>
    <w:rsid w:val="003C70FB"/>
    <w:rsid w:val="003C7371"/>
    <w:rsid w:val="003C7626"/>
    <w:rsid w:val="003C76DA"/>
    <w:rsid w:val="003C776E"/>
    <w:rsid w:val="003C78D1"/>
    <w:rsid w:val="003C790C"/>
    <w:rsid w:val="003C7941"/>
    <w:rsid w:val="003C7AE2"/>
    <w:rsid w:val="003C7DAC"/>
    <w:rsid w:val="003C7DF0"/>
    <w:rsid w:val="003C7E47"/>
    <w:rsid w:val="003C7E78"/>
    <w:rsid w:val="003C7EC9"/>
    <w:rsid w:val="003C7F21"/>
    <w:rsid w:val="003C7FAE"/>
    <w:rsid w:val="003CD082"/>
    <w:rsid w:val="003D0027"/>
    <w:rsid w:val="003D0072"/>
    <w:rsid w:val="003D0076"/>
    <w:rsid w:val="003D0190"/>
    <w:rsid w:val="003D04FA"/>
    <w:rsid w:val="003D0590"/>
    <w:rsid w:val="003D05AD"/>
    <w:rsid w:val="003D05DE"/>
    <w:rsid w:val="003D0743"/>
    <w:rsid w:val="003D0960"/>
    <w:rsid w:val="003D0B36"/>
    <w:rsid w:val="003D0B86"/>
    <w:rsid w:val="003D0FA0"/>
    <w:rsid w:val="003D1159"/>
    <w:rsid w:val="003D12AE"/>
    <w:rsid w:val="003D1325"/>
    <w:rsid w:val="003D150F"/>
    <w:rsid w:val="003D16BA"/>
    <w:rsid w:val="003D17D5"/>
    <w:rsid w:val="003D1810"/>
    <w:rsid w:val="003D1903"/>
    <w:rsid w:val="003D1994"/>
    <w:rsid w:val="003D19AB"/>
    <w:rsid w:val="003D19E7"/>
    <w:rsid w:val="003D1B9B"/>
    <w:rsid w:val="003D2132"/>
    <w:rsid w:val="003D216B"/>
    <w:rsid w:val="003D2575"/>
    <w:rsid w:val="003D25EB"/>
    <w:rsid w:val="003D2923"/>
    <w:rsid w:val="003D2AE2"/>
    <w:rsid w:val="003D2B5B"/>
    <w:rsid w:val="003D2B92"/>
    <w:rsid w:val="003D2BCB"/>
    <w:rsid w:val="003D2DB1"/>
    <w:rsid w:val="003D2F14"/>
    <w:rsid w:val="003D2F5E"/>
    <w:rsid w:val="003D314D"/>
    <w:rsid w:val="003D3206"/>
    <w:rsid w:val="003D327D"/>
    <w:rsid w:val="003D32EC"/>
    <w:rsid w:val="003D3348"/>
    <w:rsid w:val="003D340A"/>
    <w:rsid w:val="003D34CD"/>
    <w:rsid w:val="003D3550"/>
    <w:rsid w:val="003D35AF"/>
    <w:rsid w:val="003D3660"/>
    <w:rsid w:val="003D36ED"/>
    <w:rsid w:val="003D3732"/>
    <w:rsid w:val="003D37F8"/>
    <w:rsid w:val="003D3981"/>
    <w:rsid w:val="003D39B9"/>
    <w:rsid w:val="003D39CC"/>
    <w:rsid w:val="003D3A03"/>
    <w:rsid w:val="003D3AEF"/>
    <w:rsid w:val="003D3B28"/>
    <w:rsid w:val="003D3E02"/>
    <w:rsid w:val="003D3ED6"/>
    <w:rsid w:val="003D3F50"/>
    <w:rsid w:val="003D42F0"/>
    <w:rsid w:val="003D4305"/>
    <w:rsid w:val="003D4352"/>
    <w:rsid w:val="003D44E1"/>
    <w:rsid w:val="003D4607"/>
    <w:rsid w:val="003D46EF"/>
    <w:rsid w:val="003D48A6"/>
    <w:rsid w:val="003D48C6"/>
    <w:rsid w:val="003D4901"/>
    <w:rsid w:val="003D49CF"/>
    <w:rsid w:val="003D4B9C"/>
    <w:rsid w:val="003D4D95"/>
    <w:rsid w:val="003D5058"/>
    <w:rsid w:val="003D51B6"/>
    <w:rsid w:val="003D52C4"/>
    <w:rsid w:val="003D543E"/>
    <w:rsid w:val="003D5463"/>
    <w:rsid w:val="003D57FE"/>
    <w:rsid w:val="003D5993"/>
    <w:rsid w:val="003D599A"/>
    <w:rsid w:val="003D5A97"/>
    <w:rsid w:val="003D5B8D"/>
    <w:rsid w:val="003D5BAE"/>
    <w:rsid w:val="003D5BD1"/>
    <w:rsid w:val="003D5BFE"/>
    <w:rsid w:val="003D5C49"/>
    <w:rsid w:val="003D5FDD"/>
    <w:rsid w:val="003D617F"/>
    <w:rsid w:val="003D6192"/>
    <w:rsid w:val="003D61C5"/>
    <w:rsid w:val="003D6298"/>
    <w:rsid w:val="003D62C0"/>
    <w:rsid w:val="003D6562"/>
    <w:rsid w:val="003D6606"/>
    <w:rsid w:val="003D6721"/>
    <w:rsid w:val="003D675C"/>
    <w:rsid w:val="003D68CA"/>
    <w:rsid w:val="003D6930"/>
    <w:rsid w:val="003D6AB5"/>
    <w:rsid w:val="003D6C71"/>
    <w:rsid w:val="003D6CAA"/>
    <w:rsid w:val="003D6D07"/>
    <w:rsid w:val="003D6E0E"/>
    <w:rsid w:val="003D6EBF"/>
    <w:rsid w:val="003D6F3F"/>
    <w:rsid w:val="003D6F97"/>
    <w:rsid w:val="003D6F9D"/>
    <w:rsid w:val="003D7245"/>
    <w:rsid w:val="003D7346"/>
    <w:rsid w:val="003D7444"/>
    <w:rsid w:val="003D74B2"/>
    <w:rsid w:val="003D76ED"/>
    <w:rsid w:val="003D78C7"/>
    <w:rsid w:val="003D7BB9"/>
    <w:rsid w:val="003D7BC0"/>
    <w:rsid w:val="003D7BEA"/>
    <w:rsid w:val="003D7C00"/>
    <w:rsid w:val="003D7CAC"/>
    <w:rsid w:val="003D7D63"/>
    <w:rsid w:val="003D7D93"/>
    <w:rsid w:val="003D7DCA"/>
    <w:rsid w:val="003D7ED0"/>
    <w:rsid w:val="003E000F"/>
    <w:rsid w:val="003E0147"/>
    <w:rsid w:val="003E017E"/>
    <w:rsid w:val="003E02D0"/>
    <w:rsid w:val="003E03C0"/>
    <w:rsid w:val="003E05BF"/>
    <w:rsid w:val="003E0627"/>
    <w:rsid w:val="003E0682"/>
    <w:rsid w:val="003E083C"/>
    <w:rsid w:val="003E0AB0"/>
    <w:rsid w:val="003E0BFF"/>
    <w:rsid w:val="003E1178"/>
    <w:rsid w:val="003E11FE"/>
    <w:rsid w:val="003E1241"/>
    <w:rsid w:val="003E12A4"/>
    <w:rsid w:val="003E140A"/>
    <w:rsid w:val="003E1437"/>
    <w:rsid w:val="003E14DA"/>
    <w:rsid w:val="003E157C"/>
    <w:rsid w:val="003E1630"/>
    <w:rsid w:val="003E1667"/>
    <w:rsid w:val="003E1B04"/>
    <w:rsid w:val="003E1D40"/>
    <w:rsid w:val="003E1D6C"/>
    <w:rsid w:val="003E2126"/>
    <w:rsid w:val="003E2150"/>
    <w:rsid w:val="003E2156"/>
    <w:rsid w:val="003E219D"/>
    <w:rsid w:val="003E22A4"/>
    <w:rsid w:val="003E25B7"/>
    <w:rsid w:val="003E25C4"/>
    <w:rsid w:val="003E2891"/>
    <w:rsid w:val="003E2ECC"/>
    <w:rsid w:val="003E3031"/>
    <w:rsid w:val="003E3477"/>
    <w:rsid w:val="003E357E"/>
    <w:rsid w:val="003E361B"/>
    <w:rsid w:val="003E3883"/>
    <w:rsid w:val="003E389F"/>
    <w:rsid w:val="003E39CA"/>
    <w:rsid w:val="003E39DC"/>
    <w:rsid w:val="003E3A9F"/>
    <w:rsid w:val="003E3CA6"/>
    <w:rsid w:val="003E3E2D"/>
    <w:rsid w:val="003E3ECF"/>
    <w:rsid w:val="003E3F7E"/>
    <w:rsid w:val="003E3F8A"/>
    <w:rsid w:val="003E3FD7"/>
    <w:rsid w:val="003E4400"/>
    <w:rsid w:val="003E444A"/>
    <w:rsid w:val="003E44BF"/>
    <w:rsid w:val="003E4862"/>
    <w:rsid w:val="003E48DD"/>
    <w:rsid w:val="003E48FC"/>
    <w:rsid w:val="003E49C6"/>
    <w:rsid w:val="003E4DAF"/>
    <w:rsid w:val="003E4FB6"/>
    <w:rsid w:val="003E527C"/>
    <w:rsid w:val="003E5294"/>
    <w:rsid w:val="003E53F4"/>
    <w:rsid w:val="003E5424"/>
    <w:rsid w:val="003E549D"/>
    <w:rsid w:val="003E54C2"/>
    <w:rsid w:val="003E550E"/>
    <w:rsid w:val="003E5542"/>
    <w:rsid w:val="003E57BF"/>
    <w:rsid w:val="003E57C1"/>
    <w:rsid w:val="003E585B"/>
    <w:rsid w:val="003E595A"/>
    <w:rsid w:val="003E5B47"/>
    <w:rsid w:val="003E5BE7"/>
    <w:rsid w:val="003E5C57"/>
    <w:rsid w:val="003E5CB7"/>
    <w:rsid w:val="003E5D9A"/>
    <w:rsid w:val="003E61A9"/>
    <w:rsid w:val="003E61E1"/>
    <w:rsid w:val="003E6249"/>
    <w:rsid w:val="003E6331"/>
    <w:rsid w:val="003E651A"/>
    <w:rsid w:val="003E6554"/>
    <w:rsid w:val="003E658D"/>
    <w:rsid w:val="003E6853"/>
    <w:rsid w:val="003E69C6"/>
    <w:rsid w:val="003E6A3D"/>
    <w:rsid w:val="003E6AB9"/>
    <w:rsid w:val="003E6AE1"/>
    <w:rsid w:val="003E6C91"/>
    <w:rsid w:val="003E6DB0"/>
    <w:rsid w:val="003E6FD3"/>
    <w:rsid w:val="003E712A"/>
    <w:rsid w:val="003E73FC"/>
    <w:rsid w:val="003E744D"/>
    <w:rsid w:val="003E747A"/>
    <w:rsid w:val="003E7491"/>
    <w:rsid w:val="003E74A4"/>
    <w:rsid w:val="003E74E3"/>
    <w:rsid w:val="003E7515"/>
    <w:rsid w:val="003E75B5"/>
    <w:rsid w:val="003E7756"/>
    <w:rsid w:val="003E77BE"/>
    <w:rsid w:val="003E77C6"/>
    <w:rsid w:val="003E77F7"/>
    <w:rsid w:val="003E7D47"/>
    <w:rsid w:val="003E7D90"/>
    <w:rsid w:val="003E7DF6"/>
    <w:rsid w:val="003E925C"/>
    <w:rsid w:val="003F0111"/>
    <w:rsid w:val="003F013A"/>
    <w:rsid w:val="003F01BD"/>
    <w:rsid w:val="003F0392"/>
    <w:rsid w:val="003F03CE"/>
    <w:rsid w:val="003F06BD"/>
    <w:rsid w:val="003F0744"/>
    <w:rsid w:val="003F0778"/>
    <w:rsid w:val="003F0A16"/>
    <w:rsid w:val="003F0A45"/>
    <w:rsid w:val="003F0BEA"/>
    <w:rsid w:val="003F0C16"/>
    <w:rsid w:val="003F0CE1"/>
    <w:rsid w:val="003F0CF2"/>
    <w:rsid w:val="003F0CFB"/>
    <w:rsid w:val="003F0DC1"/>
    <w:rsid w:val="003F0FCE"/>
    <w:rsid w:val="003F11C8"/>
    <w:rsid w:val="003F121E"/>
    <w:rsid w:val="003F1257"/>
    <w:rsid w:val="003F1294"/>
    <w:rsid w:val="003F12D7"/>
    <w:rsid w:val="003F12ED"/>
    <w:rsid w:val="003F1438"/>
    <w:rsid w:val="003F1483"/>
    <w:rsid w:val="003F1536"/>
    <w:rsid w:val="003F169E"/>
    <w:rsid w:val="003F16A4"/>
    <w:rsid w:val="003F16A5"/>
    <w:rsid w:val="003F16C8"/>
    <w:rsid w:val="003F19C2"/>
    <w:rsid w:val="003F19CA"/>
    <w:rsid w:val="003F1C52"/>
    <w:rsid w:val="003F1F1E"/>
    <w:rsid w:val="003F1F5B"/>
    <w:rsid w:val="003F1F92"/>
    <w:rsid w:val="003F2024"/>
    <w:rsid w:val="003F2025"/>
    <w:rsid w:val="003F20DE"/>
    <w:rsid w:val="003F21F8"/>
    <w:rsid w:val="003F2268"/>
    <w:rsid w:val="003F2461"/>
    <w:rsid w:val="003F259E"/>
    <w:rsid w:val="003F283F"/>
    <w:rsid w:val="003F28E3"/>
    <w:rsid w:val="003F29AB"/>
    <w:rsid w:val="003F2BF6"/>
    <w:rsid w:val="003F2C6B"/>
    <w:rsid w:val="003F2C80"/>
    <w:rsid w:val="003F2CD1"/>
    <w:rsid w:val="003F2EA9"/>
    <w:rsid w:val="003F345B"/>
    <w:rsid w:val="003F35B2"/>
    <w:rsid w:val="003F35EF"/>
    <w:rsid w:val="003F366C"/>
    <w:rsid w:val="003F3781"/>
    <w:rsid w:val="003F38BF"/>
    <w:rsid w:val="003F39F5"/>
    <w:rsid w:val="003F3FFC"/>
    <w:rsid w:val="003F400D"/>
    <w:rsid w:val="003F431F"/>
    <w:rsid w:val="003F4367"/>
    <w:rsid w:val="003F44F8"/>
    <w:rsid w:val="003F455B"/>
    <w:rsid w:val="003F4664"/>
    <w:rsid w:val="003F4851"/>
    <w:rsid w:val="003F49FA"/>
    <w:rsid w:val="003F4A11"/>
    <w:rsid w:val="003F4A88"/>
    <w:rsid w:val="003F4ABF"/>
    <w:rsid w:val="003F4ACB"/>
    <w:rsid w:val="003F4B09"/>
    <w:rsid w:val="003F4BBE"/>
    <w:rsid w:val="003F4CD6"/>
    <w:rsid w:val="003F4E0F"/>
    <w:rsid w:val="003F5106"/>
    <w:rsid w:val="003F514E"/>
    <w:rsid w:val="003F52C0"/>
    <w:rsid w:val="003F5393"/>
    <w:rsid w:val="003F53CA"/>
    <w:rsid w:val="003F53FC"/>
    <w:rsid w:val="003F5584"/>
    <w:rsid w:val="003F56AD"/>
    <w:rsid w:val="003F5844"/>
    <w:rsid w:val="003F58CA"/>
    <w:rsid w:val="003F5921"/>
    <w:rsid w:val="003F5A78"/>
    <w:rsid w:val="003F5C10"/>
    <w:rsid w:val="003F5CBA"/>
    <w:rsid w:val="003F5D16"/>
    <w:rsid w:val="003F5D28"/>
    <w:rsid w:val="003F5D8B"/>
    <w:rsid w:val="003F5DD2"/>
    <w:rsid w:val="003F5E60"/>
    <w:rsid w:val="003F604A"/>
    <w:rsid w:val="003F6110"/>
    <w:rsid w:val="003F6114"/>
    <w:rsid w:val="003F6998"/>
    <w:rsid w:val="003F69FE"/>
    <w:rsid w:val="003F6B85"/>
    <w:rsid w:val="003F6BA5"/>
    <w:rsid w:val="003F6D65"/>
    <w:rsid w:val="003F6F9D"/>
    <w:rsid w:val="003F6FD1"/>
    <w:rsid w:val="003F720D"/>
    <w:rsid w:val="003F726D"/>
    <w:rsid w:val="003F7299"/>
    <w:rsid w:val="003F74DB"/>
    <w:rsid w:val="003F7543"/>
    <w:rsid w:val="003F77CE"/>
    <w:rsid w:val="003F7999"/>
    <w:rsid w:val="003F7CEA"/>
    <w:rsid w:val="0040000B"/>
    <w:rsid w:val="0040014C"/>
    <w:rsid w:val="00400223"/>
    <w:rsid w:val="004002B1"/>
    <w:rsid w:val="0040051F"/>
    <w:rsid w:val="00400653"/>
    <w:rsid w:val="004006B0"/>
    <w:rsid w:val="0040087B"/>
    <w:rsid w:val="00400A37"/>
    <w:rsid w:val="00400AA6"/>
    <w:rsid w:val="00400BF4"/>
    <w:rsid w:val="00400CBC"/>
    <w:rsid w:val="00400CE7"/>
    <w:rsid w:val="00400ECC"/>
    <w:rsid w:val="00400F61"/>
    <w:rsid w:val="00400FC0"/>
    <w:rsid w:val="004010B7"/>
    <w:rsid w:val="004010E4"/>
    <w:rsid w:val="00401179"/>
    <w:rsid w:val="00401258"/>
    <w:rsid w:val="00401358"/>
    <w:rsid w:val="0040136B"/>
    <w:rsid w:val="00401382"/>
    <w:rsid w:val="0040145E"/>
    <w:rsid w:val="00401589"/>
    <w:rsid w:val="00401654"/>
    <w:rsid w:val="00401688"/>
    <w:rsid w:val="00401710"/>
    <w:rsid w:val="004018DA"/>
    <w:rsid w:val="004019FF"/>
    <w:rsid w:val="00401AB1"/>
    <w:rsid w:val="00401B14"/>
    <w:rsid w:val="00401BE8"/>
    <w:rsid w:val="00401C51"/>
    <w:rsid w:val="00401D77"/>
    <w:rsid w:val="00402169"/>
    <w:rsid w:val="00402267"/>
    <w:rsid w:val="004022FE"/>
    <w:rsid w:val="004023EF"/>
    <w:rsid w:val="004024C6"/>
    <w:rsid w:val="004029D7"/>
    <w:rsid w:val="00402A25"/>
    <w:rsid w:val="00402A87"/>
    <w:rsid w:val="0040315E"/>
    <w:rsid w:val="004031D5"/>
    <w:rsid w:val="00403371"/>
    <w:rsid w:val="00403407"/>
    <w:rsid w:val="004034C8"/>
    <w:rsid w:val="00403603"/>
    <w:rsid w:val="0040371B"/>
    <w:rsid w:val="0040372B"/>
    <w:rsid w:val="00403908"/>
    <w:rsid w:val="00403A0E"/>
    <w:rsid w:val="00403B5B"/>
    <w:rsid w:val="00403B63"/>
    <w:rsid w:val="00403BD7"/>
    <w:rsid w:val="00403C5C"/>
    <w:rsid w:val="00403C7B"/>
    <w:rsid w:val="00403C8A"/>
    <w:rsid w:val="00403DCF"/>
    <w:rsid w:val="00403DE2"/>
    <w:rsid w:val="00403E2C"/>
    <w:rsid w:val="00403ED5"/>
    <w:rsid w:val="00403EE2"/>
    <w:rsid w:val="0040407A"/>
    <w:rsid w:val="00404128"/>
    <w:rsid w:val="0040412D"/>
    <w:rsid w:val="00404375"/>
    <w:rsid w:val="004043C9"/>
    <w:rsid w:val="0040445A"/>
    <w:rsid w:val="004044C6"/>
    <w:rsid w:val="0040452B"/>
    <w:rsid w:val="00404882"/>
    <w:rsid w:val="004048B3"/>
    <w:rsid w:val="004049BA"/>
    <w:rsid w:val="00404A4B"/>
    <w:rsid w:val="00404DDE"/>
    <w:rsid w:val="00404FAA"/>
    <w:rsid w:val="00405279"/>
    <w:rsid w:val="00405359"/>
    <w:rsid w:val="004054A1"/>
    <w:rsid w:val="004056E8"/>
    <w:rsid w:val="0040572C"/>
    <w:rsid w:val="004057D7"/>
    <w:rsid w:val="004058E3"/>
    <w:rsid w:val="0040597A"/>
    <w:rsid w:val="004059B9"/>
    <w:rsid w:val="00405B51"/>
    <w:rsid w:val="00405BC1"/>
    <w:rsid w:val="00405D8A"/>
    <w:rsid w:val="00405E70"/>
    <w:rsid w:val="00405F2B"/>
    <w:rsid w:val="00405F68"/>
    <w:rsid w:val="0040609B"/>
    <w:rsid w:val="0040610E"/>
    <w:rsid w:val="004061E7"/>
    <w:rsid w:val="004064E5"/>
    <w:rsid w:val="004065CA"/>
    <w:rsid w:val="00406784"/>
    <w:rsid w:val="004067F4"/>
    <w:rsid w:val="00406807"/>
    <w:rsid w:val="0040681D"/>
    <w:rsid w:val="00406841"/>
    <w:rsid w:val="0040695E"/>
    <w:rsid w:val="004069AC"/>
    <w:rsid w:val="00406A0A"/>
    <w:rsid w:val="00406B65"/>
    <w:rsid w:val="00406CDE"/>
    <w:rsid w:val="00406D9C"/>
    <w:rsid w:val="00406F17"/>
    <w:rsid w:val="00406F58"/>
    <w:rsid w:val="00406FA9"/>
    <w:rsid w:val="0040708F"/>
    <w:rsid w:val="004070D1"/>
    <w:rsid w:val="0040720C"/>
    <w:rsid w:val="00407327"/>
    <w:rsid w:val="0040739B"/>
    <w:rsid w:val="00407417"/>
    <w:rsid w:val="004074EB"/>
    <w:rsid w:val="0040750A"/>
    <w:rsid w:val="004075FB"/>
    <w:rsid w:val="004077F9"/>
    <w:rsid w:val="0040792C"/>
    <w:rsid w:val="00407A28"/>
    <w:rsid w:val="00407CB2"/>
    <w:rsid w:val="00407D65"/>
    <w:rsid w:val="00407E65"/>
    <w:rsid w:val="00407EEC"/>
    <w:rsid w:val="00407F1D"/>
    <w:rsid w:val="00410040"/>
    <w:rsid w:val="00410128"/>
    <w:rsid w:val="00410161"/>
    <w:rsid w:val="004101A5"/>
    <w:rsid w:val="0041020E"/>
    <w:rsid w:val="004104FA"/>
    <w:rsid w:val="00410525"/>
    <w:rsid w:val="004105FC"/>
    <w:rsid w:val="004107CB"/>
    <w:rsid w:val="004107F6"/>
    <w:rsid w:val="0041080F"/>
    <w:rsid w:val="0041086F"/>
    <w:rsid w:val="00410EE5"/>
    <w:rsid w:val="004110EC"/>
    <w:rsid w:val="004111E4"/>
    <w:rsid w:val="00411257"/>
    <w:rsid w:val="004113D3"/>
    <w:rsid w:val="0041151F"/>
    <w:rsid w:val="00411530"/>
    <w:rsid w:val="0041167D"/>
    <w:rsid w:val="00411724"/>
    <w:rsid w:val="00411755"/>
    <w:rsid w:val="004117C0"/>
    <w:rsid w:val="0041196F"/>
    <w:rsid w:val="00411AC7"/>
    <w:rsid w:val="00411BD0"/>
    <w:rsid w:val="0041212B"/>
    <w:rsid w:val="0041224E"/>
    <w:rsid w:val="004123B2"/>
    <w:rsid w:val="00412488"/>
    <w:rsid w:val="004124B0"/>
    <w:rsid w:val="0041252F"/>
    <w:rsid w:val="00412544"/>
    <w:rsid w:val="00412562"/>
    <w:rsid w:val="00412695"/>
    <w:rsid w:val="00412723"/>
    <w:rsid w:val="004127FB"/>
    <w:rsid w:val="0041294A"/>
    <w:rsid w:val="00412B59"/>
    <w:rsid w:val="00412C03"/>
    <w:rsid w:val="00412D74"/>
    <w:rsid w:val="004130C0"/>
    <w:rsid w:val="004132A7"/>
    <w:rsid w:val="00413385"/>
    <w:rsid w:val="00413461"/>
    <w:rsid w:val="00413568"/>
    <w:rsid w:val="004136C9"/>
    <w:rsid w:val="00413805"/>
    <w:rsid w:val="00413892"/>
    <w:rsid w:val="00413A27"/>
    <w:rsid w:val="00413A2C"/>
    <w:rsid w:val="00413B07"/>
    <w:rsid w:val="00413B23"/>
    <w:rsid w:val="00413B9C"/>
    <w:rsid w:val="00413D64"/>
    <w:rsid w:val="00413F44"/>
    <w:rsid w:val="00413FCC"/>
    <w:rsid w:val="00414045"/>
    <w:rsid w:val="0041418C"/>
    <w:rsid w:val="00414234"/>
    <w:rsid w:val="00414237"/>
    <w:rsid w:val="00414548"/>
    <w:rsid w:val="0041454D"/>
    <w:rsid w:val="004145D1"/>
    <w:rsid w:val="004145D2"/>
    <w:rsid w:val="004145E2"/>
    <w:rsid w:val="00414800"/>
    <w:rsid w:val="004148E2"/>
    <w:rsid w:val="00414AAB"/>
    <w:rsid w:val="00414AC0"/>
    <w:rsid w:val="00414BAC"/>
    <w:rsid w:val="00414C4F"/>
    <w:rsid w:val="00414E0E"/>
    <w:rsid w:val="00414F17"/>
    <w:rsid w:val="00414F78"/>
    <w:rsid w:val="0041505E"/>
    <w:rsid w:val="00415110"/>
    <w:rsid w:val="00415207"/>
    <w:rsid w:val="004152D9"/>
    <w:rsid w:val="00415302"/>
    <w:rsid w:val="004153C3"/>
    <w:rsid w:val="004154AD"/>
    <w:rsid w:val="00415525"/>
    <w:rsid w:val="00415648"/>
    <w:rsid w:val="004157D1"/>
    <w:rsid w:val="00415828"/>
    <w:rsid w:val="004159D7"/>
    <w:rsid w:val="00415A93"/>
    <w:rsid w:val="00415C47"/>
    <w:rsid w:val="00415C68"/>
    <w:rsid w:val="00415C79"/>
    <w:rsid w:val="00415D46"/>
    <w:rsid w:val="00415F7C"/>
    <w:rsid w:val="00415FBD"/>
    <w:rsid w:val="0041605A"/>
    <w:rsid w:val="00416147"/>
    <w:rsid w:val="004161D9"/>
    <w:rsid w:val="00416227"/>
    <w:rsid w:val="0041631E"/>
    <w:rsid w:val="00416320"/>
    <w:rsid w:val="00416325"/>
    <w:rsid w:val="00416511"/>
    <w:rsid w:val="004166B9"/>
    <w:rsid w:val="004167A1"/>
    <w:rsid w:val="004167F6"/>
    <w:rsid w:val="00416866"/>
    <w:rsid w:val="00416908"/>
    <w:rsid w:val="00416936"/>
    <w:rsid w:val="00416AB0"/>
    <w:rsid w:val="00416B2C"/>
    <w:rsid w:val="00416DAE"/>
    <w:rsid w:val="00416FA1"/>
    <w:rsid w:val="004170B2"/>
    <w:rsid w:val="004170C3"/>
    <w:rsid w:val="004171AC"/>
    <w:rsid w:val="00417281"/>
    <w:rsid w:val="004173A4"/>
    <w:rsid w:val="00417578"/>
    <w:rsid w:val="004175EA"/>
    <w:rsid w:val="004176FA"/>
    <w:rsid w:val="0041790A"/>
    <w:rsid w:val="00417933"/>
    <w:rsid w:val="0041799D"/>
    <w:rsid w:val="00417AA3"/>
    <w:rsid w:val="00417BCD"/>
    <w:rsid w:val="00417E69"/>
    <w:rsid w:val="00417E9E"/>
    <w:rsid w:val="00417FD1"/>
    <w:rsid w:val="004200AB"/>
    <w:rsid w:val="004201F2"/>
    <w:rsid w:val="0042026D"/>
    <w:rsid w:val="00420272"/>
    <w:rsid w:val="0042047F"/>
    <w:rsid w:val="004204A6"/>
    <w:rsid w:val="00420525"/>
    <w:rsid w:val="00420538"/>
    <w:rsid w:val="00420539"/>
    <w:rsid w:val="004205B8"/>
    <w:rsid w:val="004205C6"/>
    <w:rsid w:val="004206E6"/>
    <w:rsid w:val="0042078D"/>
    <w:rsid w:val="00420838"/>
    <w:rsid w:val="00420955"/>
    <w:rsid w:val="004209C6"/>
    <w:rsid w:val="00420CB4"/>
    <w:rsid w:val="00420CE0"/>
    <w:rsid w:val="00420CE2"/>
    <w:rsid w:val="00420DDF"/>
    <w:rsid w:val="00420F1A"/>
    <w:rsid w:val="00420FED"/>
    <w:rsid w:val="00421059"/>
    <w:rsid w:val="004211CC"/>
    <w:rsid w:val="00421230"/>
    <w:rsid w:val="004213F1"/>
    <w:rsid w:val="004213F5"/>
    <w:rsid w:val="004218CC"/>
    <w:rsid w:val="0042194A"/>
    <w:rsid w:val="004219BB"/>
    <w:rsid w:val="00421B94"/>
    <w:rsid w:val="00421BAA"/>
    <w:rsid w:val="00421C79"/>
    <w:rsid w:val="00421E63"/>
    <w:rsid w:val="00421EA0"/>
    <w:rsid w:val="004220DD"/>
    <w:rsid w:val="00422246"/>
    <w:rsid w:val="004222A9"/>
    <w:rsid w:val="004222EB"/>
    <w:rsid w:val="00422488"/>
    <w:rsid w:val="00422497"/>
    <w:rsid w:val="004224E7"/>
    <w:rsid w:val="004224F0"/>
    <w:rsid w:val="0042256F"/>
    <w:rsid w:val="004225B3"/>
    <w:rsid w:val="00422659"/>
    <w:rsid w:val="0042265E"/>
    <w:rsid w:val="00422699"/>
    <w:rsid w:val="00422749"/>
    <w:rsid w:val="00422840"/>
    <w:rsid w:val="0042284C"/>
    <w:rsid w:val="0042285A"/>
    <w:rsid w:val="0042287F"/>
    <w:rsid w:val="004228A8"/>
    <w:rsid w:val="0042292C"/>
    <w:rsid w:val="004229C4"/>
    <w:rsid w:val="00422B7E"/>
    <w:rsid w:val="00422BAA"/>
    <w:rsid w:val="00422C25"/>
    <w:rsid w:val="00422D44"/>
    <w:rsid w:val="00422DEF"/>
    <w:rsid w:val="00422E5D"/>
    <w:rsid w:val="00422E7B"/>
    <w:rsid w:val="00422F35"/>
    <w:rsid w:val="0042304A"/>
    <w:rsid w:val="00423073"/>
    <w:rsid w:val="00423206"/>
    <w:rsid w:val="00423305"/>
    <w:rsid w:val="00423352"/>
    <w:rsid w:val="00423467"/>
    <w:rsid w:val="0042368C"/>
    <w:rsid w:val="004236C5"/>
    <w:rsid w:val="00423764"/>
    <w:rsid w:val="00423873"/>
    <w:rsid w:val="00423922"/>
    <w:rsid w:val="004239F7"/>
    <w:rsid w:val="00423ABC"/>
    <w:rsid w:val="00423DBD"/>
    <w:rsid w:val="00423DDF"/>
    <w:rsid w:val="00423F07"/>
    <w:rsid w:val="00423F43"/>
    <w:rsid w:val="00423FBC"/>
    <w:rsid w:val="00424158"/>
    <w:rsid w:val="00424286"/>
    <w:rsid w:val="004242A2"/>
    <w:rsid w:val="00424392"/>
    <w:rsid w:val="004243F3"/>
    <w:rsid w:val="00424565"/>
    <w:rsid w:val="00424618"/>
    <w:rsid w:val="004246B7"/>
    <w:rsid w:val="00424843"/>
    <w:rsid w:val="0042484E"/>
    <w:rsid w:val="00424D54"/>
    <w:rsid w:val="00424D80"/>
    <w:rsid w:val="0042502F"/>
    <w:rsid w:val="004250AB"/>
    <w:rsid w:val="004251DE"/>
    <w:rsid w:val="00425281"/>
    <w:rsid w:val="004252E4"/>
    <w:rsid w:val="004252F9"/>
    <w:rsid w:val="00425547"/>
    <w:rsid w:val="004257FF"/>
    <w:rsid w:val="00425B09"/>
    <w:rsid w:val="00425E6D"/>
    <w:rsid w:val="0042601D"/>
    <w:rsid w:val="00426073"/>
    <w:rsid w:val="004261AC"/>
    <w:rsid w:val="00426204"/>
    <w:rsid w:val="0042623E"/>
    <w:rsid w:val="00426306"/>
    <w:rsid w:val="004263DB"/>
    <w:rsid w:val="004263FF"/>
    <w:rsid w:val="0042660C"/>
    <w:rsid w:val="004267B2"/>
    <w:rsid w:val="00426815"/>
    <w:rsid w:val="0042691F"/>
    <w:rsid w:val="00426A7A"/>
    <w:rsid w:val="00426B0F"/>
    <w:rsid w:val="00426C06"/>
    <w:rsid w:val="00426C3B"/>
    <w:rsid w:val="00426CDF"/>
    <w:rsid w:val="00426D05"/>
    <w:rsid w:val="00426D89"/>
    <w:rsid w:val="00426F05"/>
    <w:rsid w:val="00427092"/>
    <w:rsid w:val="004270F9"/>
    <w:rsid w:val="00427155"/>
    <w:rsid w:val="00427164"/>
    <w:rsid w:val="00427166"/>
    <w:rsid w:val="004275DC"/>
    <w:rsid w:val="00427600"/>
    <w:rsid w:val="0042760B"/>
    <w:rsid w:val="004276CD"/>
    <w:rsid w:val="004276E3"/>
    <w:rsid w:val="00427728"/>
    <w:rsid w:val="00427805"/>
    <w:rsid w:val="00427855"/>
    <w:rsid w:val="00427990"/>
    <w:rsid w:val="00427ADA"/>
    <w:rsid w:val="00427C0A"/>
    <w:rsid w:val="00427C3C"/>
    <w:rsid w:val="00427C88"/>
    <w:rsid w:val="00427CAF"/>
    <w:rsid w:val="00427CE7"/>
    <w:rsid w:val="00427CF0"/>
    <w:rsid w:val="00427D17"/>
    <w:rsid w:val="00427E3F"/>
    <w:rsid w:val="00427EF3"/>
    <w:rsid w:val="00427F7B"/>
    <w:rsid w:val="00427FB7"/>
    <w:rsid w:val="00427FE1"/>
    <w:rsid w:val="0043004E"/>
    <w:rsid w:val="00430293"/>
    <w:rsid w:val="0043031B"/>
    <w:rsid w:val="00430397"/>
    <w:rsid w:val="004303AB"/>
    <w:rsid w:val="00430412"/>
    <w:rsid w:val="00430554"/>
    <w:rsid w:val="00430557"/>
    <w:rsid w:val="0043055F"/>
    <w:rsid w:val="00430780"/>
    <w:rsid w:val="0043085F"/>
    <w:rsid w:val="004308BD"/>
    <w:rsid w:val="004308DD"/>
    <w:rsid w:val="004308DE"/>
    <w:rsid w:val="0043097A"/>
    <w:rsid w:val="00430A1F"/>
    <w:rsid w:val="00430B35"/>
    <w:rsid w:val="00430B4F"/>
    <w:rsid w:val="00430C82"/>
    <w:rsid w:val="00430E3F"/>
    <w:rsid w:val="00431002"/>
    <w:rsid w:val="0043104A"/>
    <w:rsid w:val="00431288"/>
    <w:rsid w:val="004317A4"/>
    <w:rsid w:val="004318A3"/>
    <w:rsid w:val="00431D5E"/>
    <w:rsid w:val="00431DD8"/>
    <w:rsid w:val="00431F99"/>
    <w:rsid w:val="00431F9F"/>
    <w:rsid w:val="00432002"/>
    <w:rsid w:val="0043205F"/>
    <w:rsid w:val="0043225A"/>
    <w:rsid w:val="004323F4"/>
    <w:rsid w:val="00432482"/>
    <w:rsid w:val="004324FF"/>
    <w:rsid w:val="004325DD"/>
    <w:rsid w:val="0043278E"/>
    <w:rsid w:val="004329DA"/>
    <w:rsid w:val="004329F9"/>
    <w:rsid w:val="00432A3A"/>
    <w:rsid w:val="00432A95"/>
    <w:rsid w:val="00432AAE"/>
    <w:rsid w:val="00432B25"/>
    <w:rsid w:val="00432BAF"/>
    <w:rsid w:val="00432BDC"/>
    <w:rsid w:val="00432C3E"/>
    <w:rsid w:val="00432E59"/>
    <w:rsid w:val="00433132"/>
    <w:rsid w:val="00433250"/>
    <w:rsid w:val="00433527"/>
    <w:rsid w:val="004336D6"/>
    <w:rsid w:val="0043372F"/>
    <w:rsid w:val="00433903"/>
    <w:rsid w:val="00433B14"/>
    <w:rsid w:val="00433B3A"/>
    <w:rsid w:val="00433B5C"/>
    <w:rsid w:val="00433C6E"/>
    <w:rsid w:val="00433DF0"/>
    <w:rsid w:val="00433E6D"/>
    <w:rsid w:val="00433EE3"/>
    <w:rsid w:val="00433FCA"/>
    <w:rsid w:val="0043413C"/>
    <w:rsid w:val="00434544"/>
    <w:rsid w:val="004345B9"/>
    <w:rsid w:val="004345FE"/>
    <w:rsid w:val="004346DC"/>
    <w:rsid w:val="00434744"/>
    <w:rsid w:val="00434A28"/>
    <w:rsid w:val="00434AA4"/>
    <w:rsid w:val="00434BAE"/>
    <w:rsid w:val="00434C34"/>
    <w:rsid w:val="00434CE3"/>
    <w:rsid w:val="00434DA3"/>
    <w:rsid w:val="00434E56"/>
    <w:rsid w:val="004350BD"/>
    <w:rsid w:val="004351B1"/>
    <w:rsid w:val="004355BC"/>
    <w:rsid w:val="00435723"/>
    <w:rsid w:val="00435868"/>
    <w:rsid w:val="00435978"/>
    <w:rsid w:val="00435D6F"/>
    <w:rsid w:val="00435E4B"/>
    <w:rsid w:val="00436041"/>
    <w:rsid w:val="004361E0"/>
    <w:rsid w:val="00436295"/>
    <w:rsid w:val="004362B6"/>
    <w:rsid w:val="004364E9"/>
    <w:rsid w:val="0043651B"/>
    <w:rsid w:val="004365DC"/>
    <w:rsid w:val="00436669"/>
    <w:rsid w:val="004369B7"/>
    <w:rsid w:val="00436B06"/>
    <w:rsid w:val="00436D8A"/>
    <w:rsid w:val="0043701F"/>
    <w:rsid w:val="00437129"/>
    <w:rsid w:val="004371A3"/>
    <w:rsid w:val="004371BB"/>
    <w:rsid w:val="00437298"/>
    <w:rsid w:val="004372F2"/>
    <w:rsid w:val="004373A5"/>
    <w:rsid w:val="00437401"/>
    <w:rsid w:val="00437546"/>
    <w:rsid w:val="004375DB"/>
    <w:rsid w:val="0043769E"/>
    <w:rsid w:val="00437758"/>
    <w:rsid w:val="00437A18"/>
    <w:rsid w:val="00437B1C"/>
    <w:rsid w:val="00437B36"/>
    <w:rsid w:val="00437CEB"/>
    <w:rsid w:val="00437D54"/>
    <w:rsid w:val="00437EF4"/>
    <w:rsid w:val="00440055"/>
    <w:rsid w:val="0044008F"/>
    <w:rsid w:val="00440293"/>
    <w:rsid w:val="004402B5"/>
    <w:rsid w:val="004402B7"/>
    <w:rsid w:val="004404B7"/>
    <w:rsid w:val="004404E0"/>
    <w:rsid w:val="0044059B"/>
    <w:rsid w:val="00440750"/>
    <w:rsid w:val="00440752"/>
    <w:rsid w:val="004407CE"/>
    <w:rsid w:val="004407F9"/>
    <w:rsid w:val="0044083B"/>
    <w:rsid w:val="0044090E"/>
    <w:rsid w:val="0044097F"/>
    <w:rsid w:val="004409CE"/>
    <w:rsid w:val="004409DA"/>
    <w:rsid w:val="00440BF8"/>
    <w:rsid w:val="00440C9A"/>
    <w:rsid w:val="00440E14"/>
    <w:rsid w:val="00440E1A"/>
    <w:rsid w:val="00440E28"/>
    <w:rsid w:val="00440F13"/>
    <w:rsid w:val="0044113B"/>
    <w:rsid w:val="0044124B"/>
    <w:rsid w:val="00441310"/>
    <w:rsid w:val="004413ED"/>
    <w:rsid w:val="004415A7"/>
    <w:rsid w:val="004416C6"/>
    <w:rsid w:val="00441734"/>
    <w:rsid w:val="00441970"/>
    <w:rsid w:val="00441976"/>
    <w:rsid w:val="00441AE9"/>
    <w:rsid w:val="00441D5D"/>
    <w:rsid w:val="00441F34"/>
    <w:rsid w:val="00441FC4"/>
    <w:rsid w:val="0044204D"/>
    <w:rsid w:val="004420D6"/>
    <w:rsid w:val="0044210F"/>
    <w:rsid w:val="00442381"/>
    <w:rsid w:val="00442414"/>
    <w:rsid w:val="0044249B"/>
    <w:rsid w:val="0044255D"/>
    <w:rsid w:val="00442648"/>
    <w:rsid w:val="0044274F"/>
    <w:rsid w:val="0044277E"/>
    <w:rsid w:val="00442861"/>
    <w:rsid w:val="00442AEC"/>
    <w:rsid w:val="00442AF1"/>
    <w:rsid w:val="00442B7C"/>
    <w:rsid w:val="00442D08"/>
    <w:rsid w:val="00442D6B"/>
    <w:rsid w:val="00442F60"/>
    <w:rsid w:val="0044313D"/>
    <w:rsid w:val="00443162"/>
    <w:rsid w:val="0044320B"/>
    <w:rsid w:val="004433FA"/>
    <w:rsid w:val="0044346C"/>
    <w:rsid w:val="004434B0"/>
    <w:rsid w:val="00443529"/>
    <w:rsid w:val="00443640"/>
    <w:rsid w:val="004436C3"/>
    <w:rsid w:val="00443872"/>
    <w:rsid w:val="0044391F"/>
    <w:rsid w:val="00443928"/>
    <w:rsid w:val="00443CCB"/>
    <w:rsid w:val="00443D80"/>
    <w:rsid w:val="00444011"/>
    <w:rsid w:val="00444147"/>
    <w:rsid w:val="00444159"/>
    <w:rsid w:val="0044416D"/>
    <w:rsid w:val="0044441E"/>
    <w:rsid w:val="0044449D"/>
    <w:rsid w:val="00444559"/>
    <w:rsid w:val="00444589"/>
    <w:rsid w:val="004447D0"/>
    <w:rsid w:val="00444916"/>
    <w:rsid w:val="004449FB"/>
    <w:rsid w:val="00444BDE"/>
    <w:rsid w:val="00444C05"/>
    <w:rsid w:val="00444DE3"/>
    <w:rsid w:val="00444EB0"/>
    <w:rsid w:val="00444EDF"/>
    <w:rsid w:val="00444F03"/>
    <w:rsid w:val="00445027"/>
    <w:rsid w:val="00445128"/>
    <w:rsid w:val="00445375"/>
    <w:rsid w:val="004454CB"/>
    <w:rsid w:val="004454E2"/>
    <w:rsid w:val="00445549"/>
    <w:rsid w:val="00445907"/>
    <w:rsid w:val="004459D1"/>
    <w:rsid w:val="00445B6D"/>
    <w:rsid w:val="00445B8E"/>
    <w:rsid w:val="00445BD7"/>
    <w:rsid w:val="00445C42"/>
    <w:rsid w:val="00445C9A"/>
    <w:rsid w:val="00445C9E"/>
    <w:rsid w:val="00445DD2"/>
    <w:rsid w:val="00446047"/>
    <w:rsid w:val="004460AF"/>
    <w:rsid w:val="0044611B"/>
    <w:rsid w:val="004463BB"/>
    <w:rsid w:val="0044679C"/>
    <w:rsid w:val="004468B0"/>
    <w:rsid w:val="004468C8"/>
    <w:rsid w:val="004468E7"/>
    <w:rsid w:val="004469AB"/>
    <w:rsid w:val="00446A6C"/>
    <w:rsid w:val="00446AAD"/>
    <w:rsid w:val="00446AFF"/>
    <w:rsid w:val="00446B83"/>
    <w:rsid w:val="00446B99"/>
    <w:rsid w:val="00446BC1"/>
    <w:rsid w:val="00446D24"/>
    <w:rsid w:val="00446D42"/>
    <w:rsid w:val="00446DD4"/>
    <w:rsid w:val="00447073"/>
    <w:rsid w:val="0044707A"/>
    <w:rsid w:val="00447304"/>
    <w:rsid w:val="0044748E"/>
    <w:rsid w:val="00447685"/>
    <w:rsid w:val="00447695"/>
    <w:rsid w:val="004477CF"/>
    <w:rsid w:val="00447803"/>
    <w:rsid w:val="00447A58"/>
    <w:rsid w:val="00447CED"/>
    <w:rsid w:val="00447F0A"/>
    <w:rsid w:val="00447F4E"/>
    <w:rsid w:val="0044F441"/>
    <w:rsid w:val="0045023A"/>
    <w:rsid w:val="004502D5"/>
    <w:rsid w:val="0045034C"/>
    <w:rsid w:val="004503C4"/>
    <w:rsid w:val="004503DE"/>
    <w:rsid w:val="004504B9"/>
    <w:rsid w:val="00450650"/>
    <w:rsid w:val="00450B5D"/>
    <w:rsid w:val="00450FAF"/>
    <w:rsid w:val="00450FB4"/>
    <w:rsid w:val="00451076"/>
    <w:rsid w:val="0045109A"/>
    <w:rsid w:val="0045112B"/>
    <w:rsid w:val="0045115A"/>
    <w:rsid w:val="00451171"/>
    <w:rsid w:val="0045117C"/>
    <w:rsid w:val="004511C8"/>
    <w:rsid w:val="004512E2"/>
    <w:rsid w:val="004513CE"/>
    <w:rsid w:val="00451597"/>
    <w:rsid w:val="004517F5"/>
    <w:rsid w:val="0045185C"/>
    <w:rsid w:val="00451D3C"/>
    <w:rsid w:val="00451D8E"/>
    <w:rsid w:val="00451DCA"/>
    <w:rsid w:val="00451FDB"/>
    <w:rsid w:val="004520B8"/>
    <w:rsid w:val="004520E2"/>
    <w:rsid w:val="00452273"/>
    <w:rsid w:val="004522A2"/>
    <w:rsid w:val="004522E1"/>
    <w:rsid w:val="0045234D"/>
    <w:rsid w:val="004523C6"/>
    <w:rsid w:val="00452643"/>
    <w:rsid w:val="0045274F"/>
    <w:rsid w:val="0045286C"/>
    <w:rsid w:val="00452895"/>
    <w:rsid w:val="00452BAE"/>
    <w:rsid w:val="00452BC8"/>
    <w:rsid w:val="00452D74"/>
    <w:rsid w:val="00452E10"/>
    <w:rsid w:val="00452E1E"/>
    <w:rsid w:val="00452E4E"/>
    <w:rsid w:val="00453436"/>
    <w:rsid w:val="004534D5"/>
    <w:rsid w:val="00453544"/>
    <w:rsid w:val="004535A5"/>
    <w:rsid w:val="0045360B"/>
    <w:rsid w:val="00453781"/>
    <w:rsid w:val="00453791"/>
    <w:rsid w:val="0045398C"/>
    <w:rsid w:val="004539B5"/>
    <w:rsid w:val="004539D0"/>
    <w:rsid w:val="00453C46"/>
    <w:rsid w:val="00453CA3"/>
    <w:rsid w:val="00453CF6"/>
    <w:rsid w:val="00454248"/>
    <w:rsid w:val="004542E2"/>
    <w:rsid w:val="0045465B"/>
    <w:rsid w:val="00454759"/>
    <w:rsid w:val="0045490E"/>
    <w:rsid w:val="0045496B"/>
    <w:rsid w:val="0045498C"/>
    <w:rsid w:val="00454AF7"/>
    <w:rsid w:val="00454B3D"/>
    <w:rsid w:val="00454D21"/>
    <w:rsid w:val="00454D3C"/>
    <w:rsid w:val="00454D4F"/>
    <w:rsid w:val="004554DF"/>
    <w:rsid w:val="00455524"/>
    <w:rsid w:val="0045557E"/>
    <w:rsid w:val="00455685"/>
    <w:rsid w:val="004556B1"/>
    <w:rsid w:val="004556E3"/>
    <w:rsid w:val="004557CD"/>
    <w:rsid w:val="004557F9"/>
    <w:rsid w:val="004558BA"/>
    <w:rsid w:val="004558D0"/>
    <w:rsid w:val="00455AED"/>
    <w:rsid w:val="00455B05"/>
    <w:rsid w:val="00455B51"/>
    <w:rsid w:val="00455B6F"/>
    <w:rsid w:val="00455BC6"/>
    <w:rsid w:val="00455CC1"/>
    <w:rsid w:val="00455CDD"/>
    <w:rsid w:val="00455EDF"/>
    <w:rsid w:val="00455EFD"/>
    <w:rsid w:val="00455FA1"/>
    <w:rsid w:val="0045614A"/>
    <w:rsid w:val="00456333"/>
    <w:rsid w:val="00456336"/>
    <w:rsid w:val="004564BE"/>
    <w:rsid w:val="004567CC"/>
    <w:rsid w:val="00456802"/>
    <w:rsid w:val="004568B9"/>
    <w:rsid w:val="00456974"/>
    <w:rsid w:val="00456AF1"/>
    <w:rsid w:val="00456BF6"/>
    <w:rsid w:val="00456CCE"/>
    <w:rsid w:val="00456D68"/>
    <w:rsid w:val="00456ECA"/>
    <w:rsid w:val="00456F3A"/>
    <w:rsid w:val="0045700D"/>
    <w:rsid w:val="00457127"/>
    <w:rsid w:val="004571B4"/>
    <w:rsid w:val="0045725D"/>
    <w:rsid w:val="004572A8"/>
    <w:rsid w:val="004574D6"/>
    <w:rsid w:val="00457538"/>
    <w:rsid w:val="00457572"/>
    <w:rsid w:val="00457931"/>
    <w:rsid w:val="0045794B"/>
    <w:rsid w:val="00457CA7"/>
    <w:rsid w:val="00457CD0"/>
    <w:rsid w:val="00457E24"/>
    <w:rsid w:val="00457EAE"/>
    <w:rsid w:val="004600A9"/>
    <w:rsid w:val="004600F3"/>
    <w:rsid w:val="004601BD"/>
    <w:rsid w:val="004601CB"/>
    <w:rsid w:val="0046042A"/>
    <w:rsid w:val="00460485"/>
    <w:rsid w:val="00460631"/>
    <w:rsid w:val="004606C5"/>
    <w:rsid w:val="00460700"/>
    <w:rsid w:val="00460857"/>
    <w:rsid w:val="00460918"/>
    <w:rsid w:val="004609F3"/>
    <w:rsid w:val="00460A3D"/>
    <w:rsid w:val="00460AF8"/>
    <w:rsid w:val="00460BC6"/>
    <w:rsid w:val="00460DE7"/>
    <w:rsid w:val="00460DFA"/>
    <w:rsid w:val="00460FB7"/>
    <w:rsid w:val="004611BF"/>
    <w:rsid w:val="0046143E"/>
    <w:rsid w:val="004614FF"/>
    <w:rsid w:val="004615C3"/>
    <w:rsid w:val="004615DA"/>
    <w:rsid w:val="004615EA"/>
    <w:rsid w:val="0046160A"/>
    <w:rsid w:val="00461699"/>
    <w:rsid w:val="0046170E"/>
    <w:rsid w:val="004617D8"/>
    <w:rsid w:val="004618FA"/>
    <w:rsid w:val="00461920"/>
    <w:rsid w:val="00461A28"/>
    <w:rsid w:val="00461B52"/>
    <w:rsid w:val="00461C19"/>
    <w:rsid w:val="00461F7B"/>
    <w:rsid w:val="00461F92"/>
    <w:rsid w:val="00462198"/>
    <w:rsid w:val="004621C8"/>
    <w:rsid w:val="004621FF"/>
    <w:rsid w:val="00462289"/>
    <w:rsid w:val="004623E5"/>
    <w:rsid w:val="00462410"/>
    <w:rsid w:val="0046246F"/>
    <w:rsid w:val="00462790"/>
    <w:rsid w:val="00462A46"/>
    <w:rsid w:val="00462A9E"/>
    <w:rsid w:val="00462B51"/>
    <w:rsid w:val="00462D77"/>
    <w:rsid w:val="00462EC2"/>
    <w:rsid w:val="00462F01"/>
    <w:rsid w:val="00462FD7"/>
    <w:rsid w:val="0046305C"/>
    <w:rsid w:val="00463118"/>
    <w:rsid w:val="0046312E"/>
    <w:rsid w:val="004633C7"/>
    <w:rsid w:val="00463490"/>
    <w:rsid w:val="004634AB"/>
    <w:rsid w:val="00463679"/>
    <w:rsid w:val="00463793"/>
    <w:rsid w:val="00463AF8"/>
    <w:rsid w:val="00463BCD"/>
    <w:rsid w:val="00463D07"/>
    <w:rsid w:val="00463FD5"/>
    <w:rsid w:val="00464052"/>
    <w:rsid w:val="00464060"/>
    <w:rsid w:val="0046430C"/>
    <w:rsid w:val="00464329"/>
    <w:rsid w:val="004643F7"/>
    <w:rsid w:val="00464451"/>
    <w:rsid w:val="00464459"/>
    <w:rsid w:val="00464551"/>
    <w:rsid w:val="004646E0"/>
    <w:rsid w:val="0046472D"/>
    <w:rsid w:val="004647A5"/>
    <w:rsid w:val="004648EA"/>
    <w:rsid w:val="00464985"/>
    <w:rsid w:val="00464A3A"/>
    <w:rsid w:val="00464B16"/>
    <w:rsid w:val="00464C0A"/>
    <w:rsid w:val="00464E1A"/>
    <w:rsid w:val="00464E47"/>
    <w:rsid w:val="00464E8A"/>
    <w:rsid w:val="00464EA7"/>
    <w:rsid w:val="00465016"/>
    <w:rsid w:val="004650DB"/>
    <w:rsid w:val="00465104"/>
    <w:rsid w:val="004652BF"/>
    <w:rsid w:val="00465483"/>
    <w:rsid w:val="0046555D"/>
    <w:rsid w:val="0046572A"/>
    <w:rsid w:val="00465830"/>
    <w:rsid w:val="00465863"/>
    <w:rsid w:val="00465872"/>
    <w:rsid w:val="004659F7"/>
    <w:rsid w:val="00465A81"/>
    <w:rsid w:val="00465B2E"/>
    <w:rsid w:val="00465C69"/>
    <w:rsid w:val="00465D89"/>
    <w:rsid w:val="00465FEC"/>
    <w:rsid w:val="00466054"/>
    <w:rsid w:val="0046619E"/>
    <w:rsid w:val="0046626E"/>
    <w:rsid w:val="00466367"/>
    <w:rsid w:val="00466375"/>
    <w:rsid w:val="004663A0"/>
    <w:rsid w:val="00466549"/>
    <w:rsid w:val="00466569"/>
    <w:rsid w:val="004668BD"/>
    <w:rsid w:val="004668BF"/>
    <w:rsid w:val="004668FA"/>
    <w:rsid w:val="00466985"/>
    <w:rsid w:val="0046699F"/>
    <w:rsid w:val="00466A63"/>
    <w:rsid w:val="00466AFC"/>
    <w:rsid w:val="00466C92"/>
    <w:rsid w:val="00466E3A"/>
    <w:rsid w:val="00466EA6"/>
    <w:rsid w:val="0046707B"/>
    <w:rsid w:val="004671B2"/>
    <w:rsid w:val="00467201"/>
    <w:rsid w:val="0046742B"/>
    <w:rsid w:val="00467612"/>
    <w:rsid w:val="00467727"/>
    <w:rsid w:val="00467777"/>
    <w:rsid w:val="004678AD"/>
    <w:rsid w:val="00467BE6"/>
    <w:rsid w:val="00467F21"/>
    <w:rsid w:val="00467FEA"/>
    <w:rsid w:val="0047006D"/>
    <w:rsid w:val="0047007A"/>
    <w:rsid w:val="004700B4"/>
    <w:rsid w:val="004702DB"/>
    <w:rsid w:val="004705CC"/>
    <w:rsid w:val="0047060D"/>
    <w:rsid w:val="004706C3"/>
    <w:rsid w:val="00470771"/>
    <w:rsid w:val="0047082E"/>
    <w:rsid w:val="004708AC"/>
    <w:rsid w:val="00470BF0"/>
    <w:rsid w:val="00470D48"/>
    <w:rsid w:val="00470DEE"/>
    <w:rsid w:val="00470E38"/>
    <w:rsid w:val="00470F48"/>
    <w:rsid w:val="004711DF"/>
    <w:rsid w:val="00471281"/>
    <w:rsid w:val="0047152D"/>
    <w:rsid w:val="0047153A"/>
    <w:rsid w:val="00471563"/>
    <w:rsid w:val="0047160D"/>
    <w:rsid w:val="0047180B"/>
    <w:rsid w:val="004718E4"/>
    <w:rsid w:val="00471ACB"/>
    <w:rsid w:val="00471BAD"/>
    <w:rsid w:val="00471C0E"/>
    <w:rsid w:val="00471F15"/>
    <w:rsid w:val="00471FFE"/>
    <w:rsid w:val="00471FFF"/>
    <w:rsid w:val="004720BB"/>
    <w:rsid w:val="00472176"/>
    <w:rsid w:val="0047227A"/>
    <w:rsid w:val="00472340"/>
    <w:rsid w:val="004723AB"/>
    <w:rsid w:val="00472403"/>
    <w:rsid w:val="0047241E"/>
    <w:rsid w:val="00472486"/>
    <w:rsid w:val="0047269A"/>
    <w:rsid w:val="004726E2"/>
    <w:rsid w:val="00472905"/>
    <w:rsid w:val="00472912"/>
    <w:rsid w:val="00472AD5"/>
    <w:rsid w:val="00472AE1"/>
    <w:rsid w:val="00472B1D"/>
    <w:rsid w:val="00472CE3"/>
    <w:rsid w:val="00472F5C"/>
    <w:rsid w:val="0047305D"/>
    <w:rsid w:val="00473149"/>
    <w:rsid w:val="00473236"/>
    <w:rsid w:val="00473482"/>
    <w:rsid w:val="004734E4"/>
    <w:rsid w:val="0047350C"/>
    <w:rsid w:val="00473689"/>
    <w:rsid w:val="00473792"/>
    <w:rsid w:val="0047383E"/>
    <w:rsid w:val="00473A7D"/>
    <w:rsid w:val="00473AEB"/>
    <w:rsid w:val="00473FCF"/>
    <w:rsid w:val="00473FF3"/>
    <w:rsid w:val="0047403D"/>
    <w:rsid w:val="00474173"/>
    <w:rsid w:val="00474189"/>
    <w:rsid w:val="004741E6"/>
    <w:rsid w:val="004742D8"/>
    <w:rsid w:val="004743A1"/>
    <w:rsid w:val="004743CA"/>
    <w:rsid w:val="004745E9"/>
    <w:rsid w:val="00474733"/>
    <w:rsid w:val="00474787"/>
    <w:rsid w:val="004748C5"/>
    <w:rsid w:val="00474A1F"/>
    <w:rsid w:val="00474C13"/>
    <w:rsid w:val="00474D7A"/>
    <w:rsid w:val="00474D80"/>
    <w:rsid w:val="00474DE0"/>
    <w:rsid w:val="00474E0A"/>
    <w:rsid w:val="00474E74"/>
    <w:rsid w:val="00474EF0"/>
    <w:rsid w:val="00474F2E"/>
    <w:rsid w:val="00474FD1"/>
    <w:rsid w:val="004751C6"/>
    <w:rsid w:val="00475547"/>
    <w:rsid w:val="00475585"/>
    <w:rsid w:val="004756D0"/>
    <w:rsid w:val="004759FD"/>
    <w:rsid w:val="00475A5F"/>
    <w:rsid w:val="00475B08"/>
    <w:rsid w:val="00475BF7"/>
    <w:rsid w:val="00475DCD"/>
    <w:rsid w:val="00475EBA"/>
    <w:rsid w:val="00475F42"/>
    <w:rsid w:val="00475FCA"/>
    <w:rsid w:val="00475FD5"/>
    <w:rsid w:val="00475FF7"/>
    <w:rsid w:val="00476088"/>
    <w:rsid w:val="0047609B"/>
    <w:rsid w:val="004760CC"/>
    <w:rsid w:val="0047618D"/>
    <w:rsid w:val="0047624B"/>
    <w:rsid w:val="004762BD"/>
    <w:rsid w:val="004763C9"/>
    <w:rsid w:val="00476486"/>
    <w:rsid w:val="0047652F"/>
    <w:rsid w:val="004765E6"/>
    <w:rsid w:val="00476776"/>
    <w:rsid w:val="0047687F"/>
    <w:rsid w:val="00476B5E"/>
    <w:rsid w:val="00476BB7"/>
    <w:rsid w:val="00476D85"/>
    <w:rsid w:val="00476D9B"/>
    <w:rsid w:val="00476DA0"/>
    <w:rsid w:val="00476E42"/>
    <w:rsid w:val="00477046"/>
    <w:rsid w:val="00477105"/>
    <w:rsid w:val="004771A3"/>
    <w:rsid w:val="004771D7"/>
    <w:rsid w:val="004772C5"/>
    <w:rsid w:val="00477323"/>
    <w:rsid w:val="00477328"/>
    <w:rsid w:val="00477360"/>
    <w:rsid w:val="004773C8"/>
    <w:rsid w:val="004774D7"/>
    <w:rsid w:val="00477648"/>
    <w:rsid w:val="004776E9"/>
    <w:rsid w:val="00477710"/>
    <w:rsid w:val="00477717"/>
    <w:rsid w:val="00477AEA"/>
    <w:rsid w:val="00477E43"/>
    <w:rsid w:val="00477E97"/>
    <w:rsid w:val="00477EE5"/>
    <w:rsid w:val="00477F73"/>
    <w:rsid w:val="00480174"/>
    <w:rsid w:val="00480239"/>
    <w:rsid w:val="00480380"/>
    <w:rsid w:val="004804DE"/>
    <w:rsid w:val="0048063D"/>
    <w:rsid w:val="00480667"/>
    <w:rsid w:val="00480985"/>
    <w:rsid w:val="004809C3"/>
    <w:rsid w:val="00480AC7"/>
    <w:rsid w:val="00480AF9"/>
    <w:rsid w:val="00480BF8"/>
    <w:rsid w:val="00480D0B"/>
    <w:rsid w:val="00480DF5"/>
    <w:rsid w:val="00480FAB"/>
    <w:rsid w:val="004810D6"/>
    <w:rsid w:val="0048113E"/>
    <w:rsid w:val="004811B2"/>
    <w:rsid w:val="0048122B"/>
    <w:rsid w:val="0048129A"/>
    <w:rsid w:val="004815F1"/>
    <w:rsid w:val="0048164F"/>
    <w:rsid w:val="004816C1"/>
    <w:rsid w:val="004818EA"/>
    <w:rsid w:val="00481904"/>
    <w:rsid w:val="004819B9"/>
    <w:rsid w:val="004819E0"/>
    <w:rsid w:val="00481A21"/>
    <w:rsid w:val="00481A50"/>
    <w:rsid w:val="00481A65"/>
    <w:rsid w:val="00481BF1"/>
    <w:rsid w:val="00481DA3"/>
    <w:rsid w:val="00481EAB"/>
    <w:rsid w:val="00481F9A"/>
    <w:rsid w:val="00481FAA"/>
    <w:rsid w:val="004821D6"/>
    <w:rsid w:val="004822D3"/>
    <w:rsid w:val="0048232D"/>
    <w:rsid w:val="00482387"/>
    <w:rsid w:val="004824DE"/>
    <w:rsid w:val="00482589"/>
    <w:rsid w:val="0048275B"/>
    <w:rsid w:val="00482926"/>
    <w:rsid w:val="00482A13"/>
    <w:rsid w:val="00482AF5"/>
    <w:rsid w:val="00482B18"/>
    <w:rsid w:val="00482B9A"/>
    <w:rsid w:val="00482F0D"/>
    <w:rsid w:val="00482F50"/>
    <w:rsid w:val="0048304D"/>
    <w:rsid w:val="00483074"/>
    <w:rsid w:val="004830C5"/>
    <w:rsid w:val="0048344E"/>
    <w:rsid w:val="00483620"/>
    <w:rsid w:val="00483623"/>
    <w:rsid w:val="00483637"/>
    <w:rsid w:val="004837DE"/>
    <w:rsid w:val="004838D9"/>
    <w:rsid w:val="00483A99"/>
    <w:rsid w:val="00483ABE"/>
    <w:rsid w:val="00483BA4"/>
    <w:rsid w:val="00483BB6"/>
    <w:rsid w:val="00483C3F"/>
    <w:rsid w:val="00483D5D"/>
    <w:rsid w:val="00483DF0"/>
    <w:rsid w:val="00483E52"/>
    <w:rsid w:val="00483EA1"/>
    <w:rsid w:val="00483F1D"/>
    <w:rsid w:val="00483F68"/>
    <w:rsid w:val="00484095"/>
    <w:rsid w:val="0048420B"/>
    <w:rsid w:val="004842D9"/>
    <w:rsid w:val="0048431D"/>
    <w:rsid w:val="00484627"/>
    <w:rsid w:val="00484638"/>
    <w:rsid w:val="00484753"/>
    <w:rsid w:val="00484770"/>
    <w:rsid w:val="00484807"/>
    <w:rsid w:val="00484ADA"/>
    <w:rsid w:val="00484B41"/>
    <w:rsid w:val="00484B8C"/>
    <w:rsid w:val="00484C0F"/>
    <w:rsid w:val="00484C5F"/>
    <w:rsid w:val="00484C93"/>
    <w:rsid w:val="00484C9C"/>
    <w:rsid w:val="00484CB7"/>
    <w:rsid w:val="004851F1"/>
    <w:rsid w:val="00485341"/>
    <w:rsid w:val="00485346"/>
    <w:rsid w:val="0048539F"/>
    <w:rsid w:val="004853C4"/>
    <w:rsid w:val="004854EB"/>
    <w:rsid w:val="0048587C"/>
    <w:rsid w:val="004858A4"/>
    <w:rsid w:val="004859B9"/>
    <w:rsid w:val="004859F4"/>
    <w:rsid w:val="004859FE"/>
    <w:rsid w:val="00485BC2"/>
    <w:rsid w:val="00485C67"/>
    <w:rsid w:val="00485C6F"/>
    <w:rsid w:val="00485D60"/>
    <w:rsid w:val="00485E56"/>
    <w:rsid w:val="00485EEC"/>
    <w:rsid w:val="00485F1E"/>
    <w:rsid w:val="00485FA2"/>
    <w:rsid w:val="00486055"/>
    <w:rsid w:val="004861EA"/>
    <w:rsid w:val="004863A7"/>
    <w:rsid w:val="004864BC"/>
    <w:rsid w:val="00486551"/>
    <w:rsid w:val="004865EE"/>
    <w:rsid w:val="0048687B"/>
    <w:rsid w:val="0048698B"/>
    <w:rsid w:val="004869DB"/>
    <w:rsid w:val="00486A40"/>
    <w:rsid w:val="00486D3E"/>
    <w:rsid w:val="00486E09"/>
    <w:rsid w:val="00486E2D"/>
    <w:rsid w:val="00486E80"/>
    <w:rsid w:val="00486F49"/>
    <w:rsid w:val="0048700F"/>
    <w:rsid w:val="00487028"/>
    <w:rsid w:val="004870DC"/>
    <w:rsid w:val="0048711F"/>
    <w:rsid w:val="00487194"/>
    <w:rsid w:val="004872C8"/>
    <w:rsid w:val="00487459"/>
    <w:rsid w:val="004875D2"/>
    <w:rsid w:val="004876E9"/>
    <w:rsid w:val="00487768"/>
    <w:rsid w:val="0048786E"/>
    <w:rsid w:val="004878CE"/>
    <w:rsid w:val="004878E2"/>
    <w:rsid w:val="00487942"/>
    <w:rsid w:val="00487953"/>
    <w:rsid w:val="00487A32"/>
    <w:rsid w:val="00487A34"/>
    <w:rsid w:val="00487BF9"/>
    <w:rsid w:val="00487CC5"/>
    <w:rsid w:val="00487E4A"/>
    <w:rsid w:val="00487E76"/>
    <w:rsid w:val="00487FF7"/>
    <w:rsid w:val="004900A5"/>
    <w:rsid w:val="0049019C"/>
    <w:rsid w:val="004901D0"/>
    <w:rsid w:val="004903BB"/>
    <w:rsid w:val="0049061A"/>
    <w:rsid w:val="00490649"/>
    <w:rsid w:val="00490720"/>
    <w:rsid w:val="004907E1"/>
    <w:rsid w:val="004907F5"/>
    <w:rsid w:val="004907FC"/>
    <w:rsid w:val="00490A75"/>
    <w:rsid w:val="00490AEB"/>
    <w:rsid w:val="00490B84"/>
    <w:rsid w:val="00490BDB"/>
    <w:rsid w:val="00490C40"/>
    <w:rsid w:val="00490D3D"/>
    <w:rsid w:val="00490EA8"/>
    <w:rsid w:val="00490EC1"/>
    <w:rsid w:val="00491025"/>
    <w:rsid w:val="00491160"/>
    <w:rsid w:val="00491237"/>
    <w:rsid w:val="00491280"/>
    <w:rsid w:val="0049140C"/>
    <w:rsid w:val="00491499"/>
    <w:rsid w:val="004914A8"/>
    <w:rsid w:val="00491709"/>
    <w:rsid w:val="00491725"/>
    <w:rsid w:val="0049183B"/>
    <w:rsid w:val="004918CF"/>
    <w:rsid w:val="0049196B"/>
    <w:rsid w:val="0049197E"/>
    <w:rsid w:val="00491A86"/>
    <w:rsid w:val="00491C41"/>
    <w:rsid w:val="00491D50"/>
    <w:rsid w:val="00491D9B"/>
    <w:rsid w:val="00491DA6"/>
    <w:rsid w:val="00491EB5"/>
    <w:rsid w:val="0049202E"/>
    <w:rsid w:val="00492515"/>
    <w:rsid w:val="004926C2"/>
    <w:rsid w:val="00492A0D"/>
    <w:rsid w:val="00492A11"/>
    <w:rsid w:val="00492C1C"/>
    <w:rsid w:val="00492D1F"/>
    <w:rsid w:val="00492D9F"/>
    <w:rsid w:val="00493110"/>
    <w:rsid w:val="0049343D"/>
    <w:rsid w:val="004934B4"/>
    <w:rsid w:val="0049359B"/>
    <w:rsid w:val="00493651"/>
    <w:rsid w:val="00493677"/>
    <w:rsid w:val="00493796"/>
    <w:rsid w:val="0049395E"/>
    <w:rsid w:val="00493BA6"/>
    <w:rsid w:val="00493C83"/>
    <w:rsid w:val="00493E24"/>
    <w:rsid w:val="00493E76"/>
    <w:rsid w:val="00494149"/>
    <w:rsid w:val="004941CF"/>
    <w:rsid w:val="004941F4"/>
    <w:rsid w:val="0049434F"/>
    <w:rsid w:val="00494362"/>
    <w:rsid w:val="004943AF"/>
    <w:rsid w:val="0049476E"/>
    <w:rsid w:val="00494898"/>
    <w:rsid w:val="004948BE"/>
    <w:rsid w:val="00494D4D"/>
    <w:rsid w:val="00494D8C"/>
    <w:rsid w:val="00494EF2"/>
    <w:rsid w:val="00494FF9"/>
    <w:rsid w:val="00495029"/>
    <w:rsid w:val="00495038"/>
    <w:rsid w:val="004950D9"/>
    <w:rsid w:val="0049524C"/>
    <w:rsid w:val="00495468"/>
    <w:rsid w:val="004956CC"/>
    <w:rsid w:val="00495758"/>
    <w:rsid w:val="004958AA"/>
    <w:rsid w:val="004958CB"/>
    <w:rsid w:val="00495ACD"/>
    <w:rsid w:val="00495AD0"/>
    <w:rsid w:val="00495B2D"/>
    <w:rsid w:val="00495B9A"/>
    <w:rsid w:val="00495DBD"/>
    <w:rsid w:val="00495E86"/>
    <w:rsid w:val="00495F04"/>
    <w:rsid w:val="00495FEC"/>
    <w:rsid w:val="0049616B"/>
    <w:rsid w:val="004961AC"/>
    <w:rsid w:val="004961C1"/>
    <w:rsid w:val="00496395"/>
    <w:rsid w:val="00496458"/>
    <w:rsid w:val="004964DC"/>
    <w:rsid w:val="00496546"/>
    <w:rsid w:val="004965EE"/>
    <w:rsid w:val="004966F4"/>
    <w:rsid w:val="00496757"/>
    <w:rsid w:val="004967F8"/>
    <w:rsid w:val="0049689B"/>
    <w:rsid w:val="00496AFE"/>
    <w:rsid w:val="00496D99"/>
    <w:rsid w:val="00496DA0"/>
    <w:rsid w:val="00496E8B"/>
    <w:rsid w:val="00496E9E"/>
    <w:rsid w:val="0049709F"/>
    <w:rsid w:val="004970E4"/>
    <w:rsid w:val="00497149"/>
    <w:rsid w:val="004972DE"/>
    <w:rsid w:val="004972E4"/>
    <w:rsid w:val="00497530"/>
    <w:rsid w:val="004976C5"/>
    <w:rsid w:val="0049775A"/>
    <w:rsid w:val="00497885"/>
    <w:rsid w:val="004978EE"/>
    <w:rsid w:val="004979F3"/>
    <w:rsid w:val="00497A0E"/>
    <w:rsid w:val="00497A94"/>
    <w:rsid w:val="00497B7E"/>
    <w:rsid w:val="00497BDA"/>
    <w:rsid w:val="00497E23"/>
    <w:rsid w:val="00497E2B"/>
    <w:rsid w:val="00497FCE"/>
    <w:rsid w:val="004A001F"/>
    <w:rsid w:val="004A0121"/>
    <w:rsid w:val="004A0133"/>
    <w:rsid w:val="004A0162"/>
    <w:rsid w:val="004A0376"/>
    <w:rsid w:val="004A0397"/>
    <w:rsid w:val="004A050F"/>
    <w:rsid w:val="004A06B6"/>
    <w:rsid w:val="004A07E4"/>
    <w:rsid w:val="004A07F7"/>
    <w:rsid w:val="004A07FE"/>
    <w:rsid w:val="004A0898"/>
    <w:rsid w:val="004A0A9A"/>
    <w:rsid w:val="004A0B15"/>
    <w:rsid w:val="004A0C47"/>
    <w:rsid w:val="004A0CD0"/>
    <w:rsid w:val="004A0D79"/>
    <w:rsid w:val="004A0EAD"/>
    <w:rsid w:val="004A0F02"/>
    <w:rsid w:val="004A1110"/>
    <w:rsid w:val="004A1117"/>
    <w:rsid w:val="004A11C0"/>
    <w:rsid w:val="004A11E7"/>
    <w:rsid w:val="004A1333"/>
    <w:rsid w:val="004A133B"/>
    <w:rsid w:val="004A148D"/>
    <w:rsid w:val="004A15EB"/>
    <w:rsid w:val="004A1723"/>
    <w:rsid w:val="004A17BC"/>
    <w:rsid w:val="004A18F0"/>
    <w:rsid w:val="004A19DC"/>
    <w:rsid w:val="004A1A42"/>
    <w:rsid w:val="004A1A56"/>
    <w:rsid w:val="004A1CE1"/>
    <w:rsid w:val="004A1D72"/>
    <w:rsid w:val="004A1F5C"/>
    <w:rsid w:val="004A1FAE"/>
    <w:rsid w:val="004A26E9"/>
    <w:rsid w:val="004A278D"/>
    <w:rsid w:val="004A28D3"/>
    <w:rsid w:val="004A2A5C"/>
    <w:rsid w:val="004A2AB0"/>
    <w:rsid w:val="004A2BC2"/>
    <w:rsid w:val="004A2CA4"/>
    <w:rsid w:val="004A2D4C"/>
    <w:rsid w:val="004A2D79"/>
    <w:rsid w:val="004A2DFD"/>
    <w:rsid w:val="004A2FAB"/>
    <w:rsid w:val="004A3128"/>
    <w:rsid w:val="004A3326"/>
    <w:rsid w:val="004A3367"/>
    <w:rsid w:val="004A33DA"/>
    <w:rsid w:val="004A36A4"/>
    <w:rsid w:val="004A377F"/>
    <w:rsid w:val="004A382F"/>
    <w:rsid w:val="004A38BD"/>
    <w:rsid w:val="004A397A"/>
    <w:rsid w:val="004A39B0"/>
    <w:rsid w:val="004A3A92"/>
    <w:rsid w:val="004A3BB2"/>
    <w:rsid w:val="004A3BCF"/>
    <w:rsid w:val="004A3C25"/>
    <w:rsid w:val="004A3EE4"/>
    <w:rsid w:val="004A4176"/>
    <w:rsid w:val="004A45CF"/>
    <w:rsid w:val="004A46D1"/>
    <w:rsid w:val="004A4706"/>
    <w:rsid w:val="004A47BD"/>
    <w:rsid w:val="004A4934"/>
    <w:rsid w:val="004A4959"/>
    <w:rsid w:val="004A49DA"/>
    <w:rsid w:val="004A4A8A"/>
    <w:rsid w:val="004A4A94"/>
    <w:rsid w:val="004A4B02"/>
    <w:rsid w:val="004A4B1D"/>
    <w:rsid w:val="004A4B31"/>
    <w:rsid w:val="004A4DAA"/>
    <w:rsid w:val="004A4ECD"/>
    <w:rsid w:val="004A4F78"/>
    <w:rsid w:val="004A4FFA"/>
    <w:rsid w:val="004A513C"/>
    <w:rsid w:val="004A535E"/>
    <w:rsid w:val="004A54FB"/>
    <w:rsid w:val="004A552E"/>
    <w:rsid w:val="004A5568"/>
    <w:rsid w:val="004A56C6"/>
    <w:rsid w:val="004A57D7"/>
    <w:rsid w:val="004A5867"/>
    <w:rsid w:val="004A5A69"/>
    <w:rsid w:val="004A5AE0"/>
    <w:rsid w:val="004A5AF5"/>
    <w:rsid w:val="004A5BDD"/>
    <w:rsid w:val="004A5C1C"/>
    <w:rsid w:val="004A5DDE"/>
    <w:rsid w:val="004A5E77"/>
    <w:rsid w:val="004A5EE2"/>
    <w:rsid w:val="004A60C7"/>
    <w:rsid w:val="004A6159"/>
    <w:rsid w:val="004A6332"/>
    <w:rsid w:val="004A6398"/>
    <w:rsid w:val="004A63F9"/>
    <w:rsid w:val="004A640C"/>
    <w:rsid w:val="004A6568"/>
    <w:rsid w:val="004A659A"/>
    <w:rsid w:val="004A65D1"/>
    <w:rsid w:val="004A6694"/>
    <w:rsid w:val="004A6743"/>
    <w:rsid w:val="004A67A9"/>
    <w:rsid w:val="004A680C"/>
    <w:rsid w:val="004A68E2"/>
    <w:rsid w:val="004A697B"/>
    <w:rsid w:val="004A6A8C"/>
    <w:rsid w:val="004A6B04"/>
    <w:rsid w:val="004A6C3B"/>
    <w:rsid w:val="004A6C7E"/>
    <w:rsid w:val="004A6CD9"/>
    <w:rsid w:val="004A6DF5"/>
    <w:rsid w:val="004A6E0B"/>
    <w:rsid w:val="004A6EB1"/>
    <w:rsid w:val="004A7075"/>
    <w:rsid w:val="004A70AF"/>
    <w:rsid w:val="004A70F3"/>
    <w:rsid w:val="004A717D"/>
    <w:rsid w:val="004A7189"/>
    <w:rsid w:val="004A71DE"/>
    <w:rsid w:val="004A724D"/>
    <w:rsid w:val="004A729E"/>
    <w:rsid w:val="004A73B7"/>
    <w:rsid w:val="004A74DC"/>
    <w:rsid w:val="004A7559"/>
    <w:rsid w:val="004A76D5"/>
    <w:rsid w:val="004A7812"/>
    <w:rsid w:val="004A7836"/>
    <w:rsid w:val="004A7AC6"/>
    <w:rsid w:val="004A7B48"/>
    <w:rsid w:val="004A7B72"/>
    <w:rsid w:val="004A7BCC"/>
    <w:rsid w:val="004A7C4D"/>
    <w:rsid w:val="004A7F44"/>
    <w:rsid w:val="004A7FA4"/>
    <w:rsid w:val="004B0050"/>
    <w:rsid w:val="004B015A"/>
    <w:rsid w:val="004B0172"/>
    <w:rsid w:val="004B0182"/>
    <w:rsid w:val="004B0205"/>
    <w:rsid w:val="004B0294"/>
    <w:rsid w:val="004B03F1"/>
    <w:rsid w:val="004B0482"/>
    <w:rsid w:val="004B04EE"/>
    <w:rsid w:val="004B0648"/>
    <w:rsid w:val="004B06A8"/>
    <w:rsid w:val="004B0791"/>
    <w:rsid w:val="004B07EE"/>
    <w:rsid w:val="004B09A7"/>
    <w:rsid w:val="004B0ACD"/>
    <w:rsid w:val="004B0BBB"/>
    <w:rsid w:val="004B0DD9"/>
    <w:rsid w:val="004B0F1F"/>
    <w:rsid w:val="004B0F80"/>
    <w:rsid w:val="004B1182"/>
    <w:rsid w:val="004B14F6"/>
    <w:rsid w:val="004B1678"/>
    <w:rsid w:val="004B1797"/>
    <w:rsid w:val="004B188E"/>
    <w:rsid w:val="004B1BA3"/>
    <w:rsid w:val="004B1BBD"/>
    <w:rsid w:val="004B1D7B"/>
    <w:rsid w:val="004B1F46"/>
    <w:rsid w:val="004B1FEC"/>
    <w:rsid w:val="004B1FF3"/>
    <w:rsid w:val="004B2125"/>
    <w:rsid w:val="004B22FD"/>
    <w:rsid w:val="004B24CA"/>
    <w:rsid w:val="004B25D5"/>
    <w:rsid w:val="004B26E6"/>
    <w:rsid w:val="004B2732"/>
    <w:rsid w:val="004B293E"/>
    <w:rsid w:val="004B294A"/>
    <w:rsid w:val="004B2A93"/>
    <w:rsid w:val="004B2AE7"/>
    <w:rsid w:val="004B2BCC"/>
    <w:rsid w:val="004B2D75"/>
    <w:rsid w:val="004B2DE6"/>
    <w:rsid w:val="004B2E0A"/>
    <w:rsid w:val="004B339D"/>
    <w:rsid w:val="004B359B"/>
    <w:rsid w:val="004B3821"/>
    <w:rsid w:val="004B3922"/>
    <w:rsid w:val="004B3B35"/>
    <w:rsid w:val="004B3E1B"/>
    <w:rsid w:val="004B3F3A"/>
    <w:rsid w:val="004B400C"/>
    <w:rsid w:val="004B4017"/>
    <w:rsid w:val="004B4282"/>
    <w:rsid w:val="004B4322"/>
    <w:rsid w:val="004B43E2"/>
    <w:rsid w:val="004B46B5"/>
    <w:rsid w:val="004B4812"/>
    <w:rsid w:val="004B49B8"/>
    <w:rsid w:val="004B4A3A"/>
    <w:rsid w:val="004B4B4B"/>
    <w:rsid w:val="004B4BA1"/>
    <w:rsid w:val="004B4CAC"/>
    <w:rsid w:val="004B4D1B"/>
    <w:rsid w:val="004B4EBA"/>
    <w:rsid w:val="004B51F3"/>
    <w:rsid w:val="004B5472"/>
    <w:rsid w:val="004B5BFF"/>
    <w:rsid w:val="004B5C08"/>
    <w:rsid w:val="004B5CEE"/>
    <w:rsid w:val="004B5E66"/>
    <w:rsid w:val="004B5E7F"/>
    <w:rsid w:val="004B5EDC"/>
    <w:rsid w:val="004B6088"/>
    <w:rsid w:val="004B609C"/>
    <w:rsid w:val="004B6301"/>
    <w:rsid w:val="004B636C"/>
    <w:rsid w:val="004B645C"/>
    <w:rsid w:val="004B6462"/>
    <w:rsid w:val="004B65A2"/>
    <w:rsid w:val="004B6668"/>
    <w:rsid w:val="004B66E0"/>
    <w:rsid w:val="004B66E2"/>
    <w:rsid w:val="004B670A"/>
    <w:rsid w:val="004B671F"/>
    <w:rsid w:val="004B6784"/>
    <w:rsid w:val="004B67C1"/>
    <w:rsid w:val="004B68C2"/>
    <w:rsid w:val="004B68E7"/>
    <w:rsid w:val="004B6951"/>
    <w:rsid w:val="004B696C"/>
    <w:rsid w:val="004B6A65"/>
    <w:rsid w:val="004B6B18"/>
    <w:rsid w:val="004B6B4A"/>
    <w:rsid w:val="004B6B7D"/>
    <w:rsid w:val="004B6BDD"/>
    <w:rsid w:val="004B6BE2"/>
    <w:rsid w:val="004B6C43"/>
    <w:rsid w:val="004B6DB7"/>
    <w:rsid w:val="004B6F0C"/>
    <w:rsid w:val="004B7022"/>
    <w:rsid w:val="004B717F"/>
    <w:rsid w:val="004B73ED"/>
    <w:rsid w:val="004B7907"/>
    <w:rsid w:val="004B7966"/>
    <w:rsid w:val="004B7A6A"/>
    <w:rsid w:val="004B7C76"/>
    <w:rsid w:val="004B7D3D"/>
    <w:rsid w:val="004B7FC3"/>
    <w:rsid w:val="004C0002"/>
    <w:rsid w:val="004C014A"/>
    <w:rsid w:val="004C03EF"/>
    <w:rsid w:val="004C0506"/>
    <w:rsid w:val="004C05CB"/>
    <w:rsid w:val="004C0708"/>
    <w:rsid w:val="004C07A4"/>
    <w:rsid w:val="004C07AA"/>
    <w:rsid w:val="004C0857"/>
    <w:rsid w:val="004C08C6"/>
    <w:rsid w:val="004C0D9B"/>
    <w:rsid w:val="004C0DC3"/>
    <w:rsid w:val="004C0EF4"/>
    <w:rsid w:val="004C1064"/>
    <w:rsid w:val="004C10B3"/>
    <w:rsid w:val="004C10DD"/>
    <w:rsid w:val="004C11F0"/>
    <w:rsid w:val="004C1352"/>
    <w:rsid w:val="004C14BF"/>
    <w:rsid w:val="004C15A0"/>
    <w:rsid w:val="004C15E8"/>
    <w:rsid w:val="004C15E9"/>
    <w:rsid w:val="004C15EE"/>
    <w:rsid w:val="004C167D"/>
    <w:rsid w:val="004C16A0"/>
    <w:rsid w:val="004C17A5"/>
    <w:rsid w:val="004C1850"/>
    <w:rsid w:val="004C1948"/>
    <w:rsid w:val="004C1968"/>
    <w:rsid w:val="004C1B12"/>
    <w:rsid w:val="004C1B64"/>
    <w:rsid w:val="004C1B6A"/>
    <w:rsid w:val="004C1BB8"/>
    <w:rsid w:val="004C1F0A"/>
    <w:rsid w:val="004C1F6C"/>
    <w:rsid w:val="004C1FC6"/>
    <w:rsid w:val="004C1FF1"/>
    <w:rsid w:val="004C203D"/>
    <w:rsid w:val="004C20FD"/>
    <w:rsid w:val="004C21E2"/>
    <w:rsid w:val="004C2254"/>
    <w:rsid w:val="004C233C"/>
    <w:rsid w:val="004C2388"/>
    <w:rsid w:val="004C2429"/>
    <w:rsid w:val="004C24DD"/>
    <w:rsid w:val="004C2566"/>
    <w:rsid w:val="004C25EB"/>
    <w:rsid w:val="004C2698"/>
    <w:rsid w:val="004C276A"/>
    <w:rsid w:val="004C2851"/>
    <w:rsid w:val="004C2887"/>
    <w:rsid w:val="004C28FA"/>
    <w:rsid w:val="004C2BFC"/>
    <w:rsid w:val="004C2C04"/>
    <w:rsid w:val="004C2C1D"/>
    <w:rsid w:val="004C2C1E"/>
    <w:rsid w:val="004C2C86"/>
    <w:rsid w:val="004C2CBF"/>
    <w:rsid w:val="004C2CE3"/>
    <w:rsid w:val="004C2E52"/>
    <w:rsid w:val="004C2E87"/>
    <w:rsid w:val="004C2EF2"/>
    <w:rsid w:val="004C2F01"/>
    <w:rsid w:val="004C3039"/>
    <w:rsid w:val="004C3294"/>
    <w:rsid w:val="004C3491"/>
    <w:rsid w:val="004C3620"/>
    <w:rsid w:val="004C379A"/>
    <w:rsid w:val="004C3891"/>
    <w:rsid w:val="004C38C8"/>
    <w:rsid w:val="004C3C68"/>
    <w:rsid w:val="004C3CA7"/>
    <w:rsid w:val="004C3D3F"/>
    <w:rsid w:val="004C3FFD"/>
    <w:rsid w:val="004C419F"/>
    <w:rsid w:val="004C43E3"/>
    <w:rsid w:val="004C4647"/>
    <w:rsid w:val="004C47F1"/>
    <w:rsid w:val="004C47FD"/>
    <w:rsid w:val="004C4928"/>
    <w:rsid w:val="004C4C71"/>
    <w:rsid w:val="004C502A"/>
    <w:rsid w:val="004C503F"/>
    <w:rsid w:val="004C5103"/>
    <w:rsid w:val="004C52F8"/>
    <w:rsid w:val="004C5432"/>
    <w:rsid w:val="004C54A3"/>
    <w:rsid w:val="004C55D2"/>
    <w:rsid w:val="004C56BA"/>
    <w:rsid w:val="004C572C"/>
    <w:rsid w:val="004C5797"/>
    <w:rsid w:val="004C5902"/>
    <w:rsid w:val="004C5957"/>
    <w:rsid w:val="004C59C6"/>
    <w:rsid w:val="004C5A86"/>
    <w:rsid w:val="004C5D0B"/>
    <w:rsid w:val="004C5DA1"/>
    <w:rsid w:val="004C5E32"/>
    <w:rsid w:val="004C5EB1"/>
    <w:rsid w:val="004C60F0"/>
    <w:rsid w:val="004C6162"/>
    <w:rsid w:val="004C627D"/>
    <w:rsid w:val="004C6371"/>
    <w:rsid w:val="004C63AD"/>
    <w:rsid w:val="004C6559"/>
    <w:rsid w:val="004C6621"/>
    <w:rsid w:val="004C6693"/>
    <w:rsid w:val="004C6902"/>
    <w:rsid w:val="004C699E"/>
    <w:rsid w:val="004C6B91"/>
    <w:rsid w:val="004C6CCC"/>
    <w:rsid w:val="004C6CDA"/>
    <w:rsid w:val="004C6DE9"/>
    <w:rsid w:val="004C6E9B"/>
    <w:rsid w:val="004C6EBD"/>
    <w:rsid w:val="004C6F6A"/>
    <w:rsid w:val="004C7269"/>
    <w:rsid w:val="004C7352"/>
    <w:rsid w:val="004C767C"/>
    <w:rsid w:val="004C7822"/>
    <w:rsid w:val="004C7A2C"/>
    <w:rsid w:val="004C7BA2"/>
    <w:rsid w:val="004C7D25"/>
    <w:rsid w:val="004C7D53"/>
    <w:rsid w:val="004C7EA1"/>
    <w:rsid w:val="004C7FB0"/>
    <w:rsid w:val="004D0019"/>
    <w:rsid w:val="004D0057"/>
    <w:rsid w:val="004D006D"/>
    <w:rsid w:val="004D0147"/>
    <w:rsid w:val="004D0368"/>
    <w:rsid w:val="004D04E8"/>
    <w:rsid w:val="004D05AC"/>
    <w:rsid w:val="004D06E8"/>
    <w:rsid w:val="004D081D"/>
    <w:rsid w:val="004D0992"/>
    <w:rsid w:val="004D0A0F"/>
    <w:rsid w:val="004D0A56"/>
    <w:rsid w:val="004D0BA5"/>
    <w:rsid w:val="004D0C2C"/>
    <w:rsid w:val="004D0C97"/>
    <w:rsid w:val="004D0D3B"/>
    <w:rsid w:val="004D0D5C"/>
    <w:rsid w:val="004D0DC8"/>
    <w:rsid w:val="004D0E4C"/>
    <w:rsid w:val="004D0EA3"/>
    <w:rsid w:val="004D0FA2"/>
    <w:rsid w:val="004D115E"/>
    <w:rsid w:val="004D11B9"/>
    <w:rsid w:val="004D138D"/>
    <w:rsid w:val="004D1A0C"/>
    <w:rsid w:val="004D1A67"/>
    <w:rsid w:val="004D1AAD"/>
    <w:rsid w:val="004D1AED"/>
    <w:rsid w:val="004D1B05"/>
    <w:rsid w:val="004D1B3F"/>
    <w:rsid w:val="004D1C59"/>
    <w:rsid w:val="004D1CCF"/>
    <w:rsid w:val="004D1CE1"/>
    <w:rsid w:val="004D1D30"/>
    <w:rsid w:val="004D1D48"/>
    <w:rsid w:val="004D1DC3"/>
    <w:rsid w:val="004D1F10"/>
    <w:rsid w:val="004D2188"/>
    <w:rsid w:val="004D2375"/>
    <w:rsid w:val="004D269C"/>
    <w:rsid w:val="004D2730"/>
    <w:rsid w:val="004D288F"/>
    <w:rsid w:val="004D2952"/>
    <w:rsid w:val="004D2985"/>
    <w:rsid w:val="004D29B7"/>
    <w:rsid w:val="004D29BE"/>
    <w:rsid w:val="004D2A01"/>
    <w:rsid w:val="004D2A34"/>
    <w:rsid w:val="004D2C03"/>
    <w:rsid w:val="004D2C9F"/>
    <w:rsid w:val="004D2CA0"/>
    <w:rsid w:val="004D2F42"/>
    <w:rsid w:val="004D2F94"/>
    <w:rsid w:val="004D3076"/>
    <w:rsid w:val="004D30AE"/>
    <w:rsid w:val="004D3142"/>
    <w:rsid w:val="004D3186"/>
    <w:rsid w:val="004D326E"/>
    <w:rsid w:val="004D3287"/>
    <w:rsid w:val="004D32FB"/>
    <w:rsid w:val="004D335D"/>
    <w:rsid w:val="004D3421"/>
    <w:rsid w:val="004D3533"/>
    <w:rsid w:val="004D3606"/>
    <w:rsid w:val="004D3652"/>
    <w:rsid w:val="004D36C8"/>
    <w:rsid w:val="004D36EC"/>
    <w:rsid w:val="004D36F3"/>
    <w:rsid w:val="004D370C"/>
    <w:rsid w:val="004D37FF"/>
    <w:rsid w:val="004D39F8"/>
    <w:rsid w:val="004D3AE5"/>
    <w:rsid w:val="004D3B10"/>
    <w:rsid w:val="004D3B24"/>
    <w:rsid w:val="004D3BAA"/>
    <w:rsid w:val="004D3C75"/>
    <w:rsid w:val="004D3C98"/>
    <w:rsid w:val="004D3F57"/>
    <w:rsid w:val="004D3F90"/>
    <w:rsid w:val="004D3FE0"/>
    <w:rsid w:val="004D3FF9"/>
    <w:rsid w:val="004D40D7"/>
    <w:rsid w:val="004D4212"/>
    <w:rsid w:val="004D429B"/>
    <w:rsid w:val="004D42F9"/>
    <w:rsid w:val="004D446C"/>
    <w:rsid w:val="004D4477"/>
    <w:rsid w:val="004D447A"/>
    <w:rsid w:val="004D4549"/>
    <w:rsid w:val="004D4595"/>
    <w:rsid w:val="004D459C"/>
    <w:rsid w:val="004D47A0"/>
    <w:rsid w:val="004D4915"/>
    <w:rsid w:val="004D49D6"/>
    <w:rsid w:val="004D4C90"/>
    <w:rsid w:val="004D4D82"/>
    <w:rsid w:val="004D4E37"/>
    <w:rsid w:val="004D501A"/>
    <w:rsid w:val="004D503D"/>
    <w:rsid w:val="004D50BF"/>
    <w:rsid w:val="004D5226"/>
    <w:rsid w:val="004D5333"/>
    <w:rsid w:val="004D5494"/>
    <w:rsid w:val="004D55D8"/>
    <w:rsid w:val="004D5738"/>
    <w:rsid w:val="004D594D"/>
    <w:rsid w:val="004D59FD"/>
    <w:rsid w:val="004D5A67"/>
    <w:rsid w:val="004D5AEA"/>
    <w:rsid w:val="004D5B27"/>
    <w:rsid w:val="004D5BD4"/>
    <w:rsid w:val="004D5EE2"/>
    <w:rsid w:val="004D602B"/>
    <w:rsid w:val="004D6045"/>
    <w:rsid w:val="004D6125"/>
    <w:rsid w:val="004D6133"/>
    <w:rsid w:val="004D616E"/>
    <w:rsid w:val="004D617C"/>
    <w:rsid w:val="004D6482"/>
    <w:rsid w:val="004D64EC"/>
    <w:rsid w:val="004D68B9"/>
    <w:rsid w:val="004D6AC0"/>
    <w:rsid w:val="004D6BB3"/>
    <w:rsid w:val="004D6BE2"/>
    <w:rsid w:val="004D6CFD"/>
    <w:rsid w:val="004D6D2C"/>
    <w:rsid w:val="004D6E4C"/>
    <w:rsid w:val="004D6E55"/>
    <w:rsid w:val="004D6F0B"/>
    <w:rsid w:val="004D6FE9"/>
    <w:rsid w:val="004D7271"/>
    <w:rsid w:val="004D73A0"/>
    <w:rsid w:val="004D74A8"/>
    <w:rsid w:val="004D7665"/>
    <w:rsid w:val="004D7883"/>
    <w:rsid w:val="004D7904"/>
    <w:rsid w:val="004D796C"/>
    <w:rsid w:val="004D7972"/>
    <w:rsid w:val="004D7A72"/>
    <w:rsid w:val="004D7B64"/>
    <w:rsid w:val="004D7BCD"/>
    <w:rsid w:val="004D7E05"/>
    <w:rsid w:val="004D7E9C"/>
    <w:rsid w:val="004D7F02"/>
    <w:rsid w:val="004D7F36"/>
    <w:rsid w:val="004D7FE6"/>
    <w:rsid w:val="004E0255"/>
    <w:rsid w:val="004E05A3"/>
    <w:rsid w:val="004E05E3"/>
    <w:rsid w:val="004E065E"/>
    <w:rsid w:val="004E073F"/>
    <w:rsid w:val="004E0813"/>
    <w:rsid w:val="004E0BF5"/>
    <w:rsid w:val="004E0E68"/>
    <w:rsid w:val="004E0FAC"/>
    <w:rsid w:val="004E0FE0"/>
    <w:rsid w:val="004E1052"/>
    <w:rsid w:val="004E123F"/>
    <w:rsid w:val="004E12C6"/>
    <w:rsid w:val="004E1356"/>
    <w:rsid w:val="004E1399"/>
    <w:rsid w:val="004E14AF"/>
    <w:rsid w:val="004E15C8"/>
    <w:rsid w:val="004E1839"/>
    <w:rsid w:val="004E1913"/>
    <w:rsid w:val="004E1A42"/>
    <w:rsid w:val="004E1ACA"/>
    <w:rsid w:val="004E1BAB"/>
    <w:rsid w:val="004E1BF9"/>
    <w:rsid w:val="004E1C08"/>
    <w:rsid w:val="004E1CB5"/>
    <w:rsid w:val="004E1CD3"/>
    <w:rsid w:val="004E1CFF"/>
    <w:rsid w:val="004E1E65"/>
    <w:rsid w:val="004E1F25"/>
    <w:rsid w:val="004E2167"/>
    <w:rsid w:val="004E229B"/>
    <w:rsid w:val="004E2419"/>
    <w:rsid w:val="004E247D"/>
    <w:rsid w:val="004E249F"/>
    <w:rsid w:val="004E2737"/>
    <w:rsid w:val="004E2865"/>
    <w:rsid w:val="004E28F7"/>
    <w:rsid w:val="004E2AAE"/>
    <w:rsid w:val="004E2AF6"/>
    <w:rsid w:val="004E2C40"/>
    <w:rsid w:val="004E2DCB"/>
    <w:rsid w:val="004E304F"/>
    <w:rsid w:val="004E3068"/>
    <w:rsid w:val="004E3204"/>
    <w:rsid w:val="004E3262"/>
    <w:rsid w:val="004E3374"/>
    <w:rsid w:val="004E3409"/>
    <w:rsid w:val="004E3777"/>
    <w:rsid w:val="004E3798"/>
    <w:rsid w:val="004E387E"/>
    <w:rsid w:val="004E3965"/>
    <w:rsid w:val="004E3B57"/>
    <w:rsid w:val="004E3B92"/>
    <w:rsid w:val="004E3CBF"/>
    <w:rsid w:val="004E3FB8"/>
    <w:rsid w:val="004E3FBF"/>
    <w:rsid w:val="004E4333"/>
    <w:rsid w:val="004E445F"/>
    <w:rsid w:val="004E44F2"/>
    <w:rsid w:val="004E45B2"/>
    <w:rsid w:val="004E4820"/>
    <w:rsid w:val="004E4822"/>
    <w:rsid w:val="004E4830"/>
    <w:rsid w:val="004E48EC"/>
    <w:rsid w:val="004E4A29"/>
    <w:rsid w:val="004E4BD2"/>
    <w:rsid w:val="004E4DED"/>
    <w:rsid w:val="004E4F54"/>
    <w:rsid w:val="004E4FEA"/>
    <w:rsid w:val="004E502A"/>
    <w:rsid w:val="004E50CD"/>
    <w:rsid w:val="004E5188"/>
    <w:rsid w:val="004E5305"/>
    <w:rsid w:val="004E5416"/>
    <w:rsid w:val="004E54C3"/>
    <w:rsid w:val="004E54C8"/>
    <w:rsid w:val="004E57B5"/>
    <w:rsid w:val="004E5842"/>
    <w:rsid w:val="004E5CAD"/>
    <w:rsid w:val="004E5E7E"/>
    <w:rsid w:val="004E5F75"/>
    <w:rsid w:val="004E5FBE"/>
    <w:rsid w:val="004E6289"/>
    <w:rsid w:val="004E62F9"/>
    <w:rsid w:val="004E6332"/>
    <w:rsid w:val="004E633F"/>
    <w:rsid w:val="004E64A4"/>
    <w:rsid w:val="004E64DF"/>
    <w:rsid w:val="004E6626"/>
    <w:rsid w:val="004E666A"/>
    <w:rsid w:val="004E667B"/>
    <w:rsid w:val="004E6682"/>
    <w:rsid w:val="004E6763"/>
    <w:rsid w:val="004E6B9A"/>
    <w:rsid w:val="004E6BA2"/>
    <w:rsid w:val="004E6CED"/>
    <w:rsid w:val="004E6E9F"/>
    <w:rsid w:val="004E6FB3"/>
    <w:rsid w:val="004E7047"/>
    <w:rsid w:val="004E704C"/>
    <w:rsid w:val="004E72FF"/>
    <w:rsid w:val="004E7300"/>
    <w:rsid w:val="004E7380"/>
    <w:rsid w:val="004E759B"/>
    <w:rsid w:val="004E7794"/>
    <w:rsid w:val="004E77D0"/>
    <w:rsid w:val="004E7879"/>
    <w:rsid w:val="004E78A1"/>
    <w:rsid w:val="004E79A2"/>
    <w:rsid w:val="004E7AA7"/>
    <w:rsid w:val="004E7B0F"/>
    <w:rsid w:val="004E7E6A"/>
    <w:rsid w:val="004E7EC5"/>
    <w:rsid w:val="004E7F09"/>
    <w:rsid w:val="004F0217"/>
    <w:rsid w:val="004F0253"/>
    <w:rsid w:val="004F0284"/>
    <w:rsid w:val="004F0458"/>
    <w:rsid w:val="004F04B5"/>
    <w:rsid w:val="004F0727"/>
    <w:rsid w:val="004F076A"/>
    <w:rsid w:val="004F0807"/>
    <w:rsid w:val="004F08C7"/>
    <w:rsid w:val="004F0B0B"/>
    <w:rsid w:val="004F0C1F"/>
    <w:rsid w:val="004F0C27"/>
    <w:rsid w:val="004F0C38"/>
    <w:rsid w:val="004F0C5E"/>
    <w:rsid w:val="004F0DB1"/>
    <w:rsid w:val="004F1000"/>
    <w:rsid w:val="004F10A3"/>
    <w:rsid w:val="004F141B"/>
    <w:rsid w:val="004F150F"/>
    <w:rsid w:val="004F152F"/>
    <w:rsid w:val="004F161B"/>
    <w:rsid w:val="004F169F"/>
    <w:rsid w:val="004F16E0"/>
    <w:rsid w:val="004F16E3"/>
    <w:rsid w:val="004F170E"/>
    <w:rsid w:val="004F176C"/>
    <w:rsid w:val="004F19CB"/>
    <w:rsid w:val="004F19D1"/>
    <w:rsid w:val="004F1A4F"/>
    <w:rsid w:val="004F1A82"/>
    <w:rsid w:val="004F1AA8"/>
    <w:rsid w:val="004F1C2E"/>
    <w:rsid w:val="004F1CAE"/>
    <w:rsid w:val="004F1DA2"/>
    <w:rsid w:val="004F1EBA"/>
    <w:rsid w:val="004F21C6"/>
    <w:rsid w:val="004F2302"/>
    <w:rsid w:val="004F232A"/>
    <w:rsid w:val="004F2330"/>
    <w:rsid w:val="004F2399"/>
    <w:rsid w:val="004F23F6"/>
    <w:rsid w:val="004F264B"/>
    <w:rsid w:val="004F299D"/>
    <w:rsid w:val="004F29C3"/>
    <w:rsid w:val="004F29F2"/>
    <w:rsid w:val="004F2A5B"/>
    <w:rsid w:val="004F2C2C"/>
    <w:rsid w:val="004F2D32"/>
    <w:rsid w:val="004F2D85"/>
    <w:rsid w:val="004F2DA3"/>
    <w:rsid w:val="004F2E72"/>
    <w:rsid w:val="004F2EE4"/>
    <w:rsid w:val="004F3020"/>
    <w:rsid w:val="004F30A0"/>
    <w:rsid w:val="004F30EC"/>
    <w:rsid w:val="004F346B"/>
    <w:rsid w:val="004F34BD"/>
    <w:rsid w:val="004F350F"/>
    <w:rsid w:val="004F365E"/>
    <w:rsid w:val="004F36EA"/>
    <w:rsid w:val="004F3766"/>
    <w:rsid w:val="004F378B"/>
    <w:rsid w:val="004F37A7"/>
    <w:rsid w:val="004F3885"/>
    <w:rsid w:val="004F392B"/>
    <w:rsid w:val="004F3AAF"/>
    <w:rsid w:val="004F3C9B"/>
    <w:rsid w:val="004F3F14"/>
    <w:rsid w:val="004F401A"/>
    <w:rsid w:val="004F4140"/>
    <w:rsid w:val="004F4186"/>
    <w:rsid w:val="004F4257"/>
    <w:rsid w:val="004F42B2"/>
    <w:rsid w:val="004F42B3"/>
    <w:rsid w:val="004F4375"/>
    <w:rsid w:val="004F4797"/>
    <w:rsid w:val="004F48CA"/>
    <w:rsid w:val="004F4C30"/>
    <w:rsid w:val="004F4CCC"/>
    <w:rsid w:val="004F4DC4"/>
    <w:rsid w:val="004F4EB0"/>
    <w:rsid w:val="004F4F51"/>
    <w:rsid w:val="004F4F7F"/>
    <w:rsid w:val="004F5047"/>
    <w:rsid w:val="004F50D4"/>
    <w:rsid w:val="004F50FC"/>
    <w:rsid w:val="004F5146"/>
    <w:rsid w:val="004F519D"/>
    <w:rsid w:val="004F5503"/>
    <w:rsid w:val="004F5574"/>
    <w:rsid w:val="004F5715"/>
    <w:rsid w:val="004F5942"/>
    <w:rsid w:val="004F5996"/>
    <w:rsid w:val="004F5A2B"/>
    <w:rsid w:val="004F5AF0"/>
    <w:rsid w:val="004F5B1B"/>
    <w:rsid w:val="004F5C13"/>
    <w:rsid w:val="004F5DD1"/>
    <w:rsid w:val="004F5FAF"/>
    <w:rsid w:val="004F6076"/>
    <w:rsid w:val="004F6136"/>
    <w:rsid w:val="004F61DF"/>
    <w:rsid w:val="004F626D"/>
    <w:rsid w:val="004F6280"/>
    <w:rsid w:val="004F6289"/>
    <w:rsid w:val="004F62AD"/>
    <w:rsid w:val="004F62F3"/>
    <w:rsid w:val="004F6312"/>
    <w:rsid w:val="004F6396"/>
    <w:rsid w:val="004F6470"/>
    <w:rsid w:val="004F64B4"/>
    <w:rsid w:val="004F65B1"/>
    <w:rsid w:val="004F6648"/>
    <w:rsid w:val="004F66E2"/>
    <w:rsid w:val="004F6729"/>
    <w:rsid w:val="004F68AD"/>
    <w:rsid w:val="004F69F5"/>
    <w:rsid w:val="004F6B22"/>
    <w:rsid w:val="004F6B25"/>
    <w:rsid w:val="004F6BE6"/>
    <w:rsid w:val="004F6C06"/>
    <w:rsid w:val="004F6C17"/>
    <w:rsid w:val="004F6C34"/>
    <w:rsid w:val="004F6EAF"/>
    <w:rsid w:val="004F7089"/>
    <w:rsid w:val="004F71A1"/>
    <w:rsid w:val="004F72BE"/>
    <w:rsid w:val="004F732F"/>
    <w:rsid w:val="004F7421"/>
    <w:rsid w:val="004F7674"/>
    <w:rsid w:val="004F773B"/>
    <w:rsid w:val="004F777B"/>
    <w:rsid w:val="004F7923"/>
    <w:rsid w:val="004F79BF"/>
    <w:rsid w:val="004F7B2E"/>
    <w:rsid w:val="004F7BE8"/>
    <w:rsid w:val="004F7C92"/>
    <w:rsid w:val="004F7D08"/>
    <w:rsid w:val="004F7DF0"/>
    <w:rsid w:val="004F7EA9"/>
    <w:rsid w:val="004F7EB2"/>
    <w:rsid w:val="004F7EDD"/>
    <w:rsid w:val="004F7FED"/>
    <w:rsid w:val="0050000D"/>
    <w:rsid w:val="00500109"/>
    <w:rsid w:val="00500173"/>
    <w:rsid w:val="00500299"/>
    <w:rsid w:val="005002B9"/>
    <w:rsid w:val="005003FB"/>
    <w:rsid w:val="005004A0"/>
    <w:rsid w:val="005004A3"/>
    <w:rsid w:val="0050051E"/>
    <w:rsid w:val="005006BE"/>
    <w:rsid w:val="00500858"/>
    <w:rsid w:val="00500880"/>
    <w:rsid w:val="0050088F"/>
    <w:rsid w:val="005008F4"/>
    <w:rsid w:val="00500B2A"/>
    <w:rsid w:val="00500C90"/>
    <w:rsid w:val="00500E16"/>
    <w:rsid w:val="00500E18"/>
    <w:rsid w:val="00500E4E"/>
    <w:rsid w:val="00500FA6"/>
    <w:rsid w:val="00501119"/>
    <w:rsid w:val="00501228"/>
    <w:rsid w:val="0050125F"/>
    <w:rsid w:val="005012B6"/>
    <w:rsid w:val="005013AF"/>
    <w:rsid w:val="0050164A"/>
    <w:rsid w:val="005017B7"/>
    <w:rsid w:val="00501B7B"/>
    <w:rsid w:val="00501D84"/>
    <w:rsid w:val="00501E1B"/>
    <w:rsid w:val="00501F86"/>
    <w:rsid w:val="00501F8B"/>
    <w:rsid w:val="00501F9B"/>
    <w:rsid w:val="005022E4"/>
    <w:rsid w:val="00502372"/>
    <w:rsid w:val="005025B7"/>
    <w:rsid w:val="005025DD"/>
    <w:rsid w:val="00502626"/>
    <w:rsid w:val="00502711"/>
    <w:rsid w:val="0050278A"/>
    <w:rsid w:val="00502828"/>
    <w:rsid w:val="00502865"/>
    <w:rsid w:val="005028E5"/>
    <w:rsid w:val="00502982"/>
    <w:rsid w:val="00502A1D"/>
    <w:rsid w:val="00502AF7"/>
    <w:rsid w:val="00502BEE"/>
    <w:rsid w:val="00502BF2"/>
    <w:rsid w:val="00502C15"/>
    <w:rsid w:val="00502D58"/>
    <w:rsid w:val="00503090"/>
    <w:rsid w:val="005030D7"/>
    <w:rsid w:val="0050317B"/>
    <w:rsid w:val="005031E0"/>
    <w:rsid w:val="00503238"/>
    <w:rsid w:val="005032BA"/>
    <w:rsid w:val="0050330E"/>
    <w:rsid w:val="00503590"/>
    <w:rsid w:val="00503736"/>
    <w:rsid w:val="005038E0"/>
    <w:rsid w:val="00503918"/>
    <w:rsid w:val="00503A51"/>
    <w:rsid w:val="00503AA6"/>
    <w:rsid w:val="00503C38"/>
    <w:rsid w:val="00503CAA"/>
    <w:rsid w:val="00503DB1"/>
    <w:rsid w:val="00503E6F"/>
    <w:rsid w:val="00503EF0"/>
    <w:rsid w:val="0050401E"/>
    <w:rsid w:val="0050408C"/>
    <w:rsid w:val="0050425E"/>
    <w:rsid w:val="005042E5"/>
    <w:rsid w:val="00504592"/>
    <w:rsid w:val="005045D7"/>
    <w:rsid w:val="005047AE"/>
    <w:rsid w:val="00504802"/>
    <w:rsid w:val="00504919"/>
    <w:rsid w:val="00504976"/>
    <w:rsid w:val="005049B0"/>
    <w:rsid w:val="005049E7"/>
    <w:rsid w:val="00504A0F"/>
    <w:rsid w:val="00504A8E"/>
    <w:rsid w:val="00504ADE"/>
    <w:rsid w:val="00504B45"/>
    <w:rsid w:val="00504BA1"/>
    <w:rsid w:val="00504BE6"/>
    <w:rsid w:val="00504C2E"/>
    <w:rsid w:val="00504D24"/>
    <w:rsid w:val="00504DD7"/>
    <w:rsid w:val="00504F96"/>
    <w:rsid w:val="00504FC5"/>
    <w:rsid w:val="005050D7"/>
    <w:rsid w:val="005051F7"/>
    <w:rsid w:val="00505228"/>
    <w:rsid w:val="00505612"/>
    <w:rsid w:val="00505742"/>
    <w:rsid w:val="0050586E"/>
    <w:rsid w:val="005058AB"/>
    <w:rsid w:val="00505A1A"/>
    <w:rsid w:val="00505BE9"/>
    <w:rsid w:val="00505CA4"/>
    <w:rsid w:val="00505CEF"/>
    <w:rsid w:val="00505D9F"/>
    <w:rsid w:val="00505E6D"/>
    <w:rsid w:val="00505F35"/>
    <w:rsid w:val="00505F65"/>
    <w:rsid w:val="00506134"/>
    <w:rsid w:val="005061D3"/>
    <w:rsid w:val="0050625A"/>
    <w:rsid w:val="00506333"/>
    <w:rsid w:val="005064D9"/>
    <w:rsid w:val="005065D0"/>
    <w:rsid w:val="00506600"/>
    <w:rsid w:val="005066AC"/>
    <w:rsid w:val="00506821"/>
    <w:rsid w:val="005068C3"/>
    <w:rsid w:val="00506910"/>
    <w:rsid w:val="00506B27"/>
    <w:rsid w:val="00506B8F"/>
    <w:rsid w:val="00506B9E"/>
    <w:rsid w:val="00506BD8"/>
    <w:rsid w:val="00506C00"/>
    <w:rsid w:val="00506C7C"/>
    <w:rsid w:val="00506E64"/>
    <w:rsid w:val="00507081"/>
    <w:rsid w:val="00507210"/>
    <w:rsid w:val="00507376"/>
    <w:rsid w:val="005074F1"/>
    <w:rsid w:val="005076BC"/>
    <w:rsid w:val="005076BF"/>
    <w:rsid w:val="005076D1"/>
    <w:rsid w:val="00507734"/>
    <w:rsid w:val="00507739"/>
    <w:rsid w:val="0050773D"/>
    <w:rsid w:val="00507803"/>
    <w:rsid w:val="0050781F"/>
    <w:rsid w:val="005079AD"/>
    <w:rsid w:val="00507A3D"/>
    <w:rsid w:val="00507A50"/>
    <w:rsid w:val="00507F8A"/>
    <w:rsid w:val="005102E5"/>
    <w:rsid w:val="005102E8"/>
    <w:rsid w:val="0051033E"/>
    <w:rsid w:val="00510409"/>
    <w:rsid w:val="005105EF"/>
    <w:rsid w:val="0051067E"/>
    <w:rsid w:val="0051079E"/>
    <w:rsid w:val="00510806"/>
    <w:rsid w:val="005109D3"/>
    <w:rsid w:val="00510A08"/>
    <w:rsid w:val="00510A94"/>
    <w:rsid w:val="00510B6B"/>
    <w:rsid w:val="00510B9D"/>
    <w:rsid w:val="00510D08"/>
    <w:rsid w:val="00510DA5"/>
    <w:rsid w:val="00510DAF"/>
    <w:rsid w:val="005110B8"/>
    <w:rsid w:val="00511455"/>
    <w:rsid w:val="005114C2"/>
    <w:rsid w:val="0051161F"/>
    <w:rsid w:val="005117D9"/>
    <w:rsid w:val="005118E9"/>
    <w:rsid w:val="00511B6D"/>
    <w:rsid w:val="00511CB6"/>
    <w:rsid w:val="00511D45"/>
    <w:rsid w:val="00511DCD"/>
    <w:rsid w:val="00511EC3"/>
    <w:rsid w:val="00511F40"/>
    <w:rsid w:val="00511F8C"/>
    <w:rsid w:val="00511F8D"/>
    <w:rsid w:val="0051251D"/>
    <w:rsid w:val="005125A7"/>
    <w:rsid w:val="005125D8"/>
    <w:rsid w:val="005125DB"/>
    <w:rsid w:val="005126E8"/>
    <w:rsid w:val="0051298F"/>
    <w:rsid w:val="005129D6"/>
    <w:rsid w:val="00512B29"/>
    <w:rsid w:val="00512B33"/>
    <w:rsid w:val="00513288"/>
    <w:rsid w:val="00513307"/>
    <w:rsid w:val="00513383"/>
    <w:rsid w:val="0051344F"/>
    <w:rsid w:val="0051368B"/>
    <w:rsid w:val="0051370E"/>
    <w:rsid w:val="00513729"/>
    <w:rsid w:val="0051386E"/>
    <w:rsid w:val="0051393A"/>
    <w:rsid w:val="00513B83"/>
    <w:rsid w:val="00513BA0"/>
    <w:rsid w:val="00513CE3"/>
    <w:rsid w:val="00513F03"/>
    <w:rsid w:val="00513F65"/>
    <w:rsid w:val="00513FAE"/>
    <w:rsid w:val="005141A7"/>
    <w:rsid w:val="005141C4"/>
    <w:rsid w:val="0051423A"/>
    <w:rsid w:val="00514267"/>
    <w:rsid w:val="005143FE"/>
    <w:rsid w:val="005144F1"/>
    <w:rsid w:val="0051451F"/>
    <w:rsid w:val="005145AD"/>
    <w:rsid w:val="00514689"/>
    <w:rsid w:val="005146C3"/>
    <w:rsid w:val="005146CB"/>
    <w:rsid w:val="00514736"/>
    <w:rsid w:val="005148B0"/>
    <w:rsid w:val="005148EE"/>
    <w:rsid w:val="0051493A"/>
    <w:rsid w:val="005149A2"/>
    <w:rsid w:val="00514A1A"/>
    <w:rsid w:val="00514A1C"/>
    <w:rsid w:val="00514AA1"/>
    <w:rsid w:val="00514ABA"/>
    <w:rsid w:val="00514B33"/>
    <w:rsid w:val="00514D52"/>
    <w:rsid w:val="00514D8A"/>
    <w:rsid w:val="00514DB3"/>
    <w:rsid w:val="00514F2E"/>
    <w:rsid w:val="00515102"/>
    <w:rsid w:val="00515111"/>
    <w:rsid w:val="005151ED"/>
    <w:rsid w:val="0051531D"/>
    <w:rsid w:val="00515330"/>
    <w:rsid w:val="00515403"/>
    <w:rsid w:val="005154C8"/>
    <w:rsid w:val="00515690"/>
    <w:rsid w:val="00515714"/>
    <w:rsid w:val="00515773"/>
    <w:rsid w:val="0051584F"/>
    <w:rsid w:val="005158B7"/>
    <w:rsid w:val="00515953"/>
    <w:rsid w:val="0051597D"/>
    <w:rsid w:val="00515A65"/>
    <w:rsid w:val="00515BC0"/>
    <w:rsid w:val="00515D3F"/>
    <w:rsid w:val="00515DB8"/>
    <w:rsid w:val="00515E28"/>
    <w:rsid w:val="00516060"/>
    <w:rsid w:val="00516109"/>
    <w:rsid w:val="005162F3"/>
    <w:rsid w:val="0051650A"/>
    <w:rsid w:val="00516539"/>
    <w:rsid w:val="005165BA"/>
    <w:rsid w:val="00516751"/>
    <w:rsid w:val="00516785"/>
    <w:rsid w:val="00516788"/>
    <w:rsid w:val="005167B0"/>
    <w:rsid w:val="00516B45"/>
    <w:rsid w:val="00516BB0"/>
    <w:rsid w:val="00516DF7"/>
    <w:rsid w:val="00516E1A"/>
    <w:rsid w:val="00516E33"/>
    <w:rsid w:val="00516F6C"/>
    <w:rsid w:val="00516F71"/>
    <w:rsid w:val="0051705A"/>
    <w:rsid w:val="0051706A"/>
    <w:rsid w:val="005170BA"/>
    <w:rsid w:val="005170F2"/>
    <w:rsid w:val="00517298"/>
    <w:rsid w:val="00517381"/>
    <w:rsid w:val="005174F0"/>
    <w:rsid w:val="005175A2"/>
    <w:rsid w:val="005175D9"/>
    <w:rsid w:val="005177D9"/>
    <w:rsid w:val="00517A1B"/>
    <w:rsid w:val="00517B14"/>
    <w:rsid w:val="00517C27"/>
    <w:rsid w:val="00517C2B"/>
    <w:rsid w:val="00517D48"/>
    <w:rsid w:val="00517D8B"/>
    <w:rsid w:val="00517E83"/>
    <w:rsid w:val="00517F88"/>
    <w:rsid w:val="00520065"/>
    <w:rsid w:val="005200BA"/>
    <w:rsid w:val="005201EA"/>
    <w:rsid w:val="00520205"/>
    <w:rsid w:val="00520254"/>
    <w:rsid w:val="00520395"/>
    <w:rsid w:val="00520419"/>
    <w:rsid w:val="00520437"/>
    <w:rsid w:val="00520480"/>
    <w:rsid w:val="0052049B"/>
    <w:rsid w:val="005204A6"/>
    <w:rsid w:val="0052072D"/>
    <w:rsid w:val="00520821"/>
    <w:rsid w:val="00520ABF"/>
    <w:rsid w:val="00520BCA"/>
    <w:rsid w:val="00520CC8"/>
    <w:rsid w:val="00520E76"/>
    <w:rsid w:val="00520ECE"/>
    <w:rsid w:val="00520F43"/>
    <w:rsid w:val="00521231"/>
    <w:rsid w:val="005212A5"/>
    <w:rsid w:val="00521353"/>
    <w:rsid w:val="00521428"/>
    <w:rsid w:val="005214F7"/>
    <w:rsid w:val="00521571"/>
    <w:rsid w:val="00521698"/>
    <w:rsid w:val="00521C11"/>
    <w:rsid w:val="00521C15"/>
    <w:rsid w:val="00521C4E"/>
    <w:rsid w:val="00521C54"/>
    <w:rsid w:val="00521D26"/>
    <w:rsid w:val="00521DB8"/>
    <w:rsid w:val="00521F58"/>
    <w:rsid w:val="00522209"/>
    <w:rsid w:val="0052230C"/>
    <w:rsid w:val="00522489"/>
    <w:rsid w:val="005224AF"/>
    <w:rsid w:val="005227EE"/>
    <w:rsid w:val="0052289F"/>
    <w:rsid w:val="00522955"/>
    <w:rsid w:val="005229A5"/>
    <w:rsid w:val="00522AB5"/>
    <w:rsid w:val="00522CBC"/>
    <w:rsid w:val="00522CEB"/>
    <w:rsid w:val="00522DF8"/>
    <w:rsid w:val="00522F31"/>
    <w:rsid w:val="00522F9C"/>
    <w:rsid w:val="00522FD5"/>
    <w:rsid w:val="00523039"/>
    <w:rsid w:val="005231E7"/>
    <w:rsid w:val="005231EC"/>
    <w:rsid w:val="005231F3"/>
    <w:rsid w:val="005233F9"/>
    <w:rsid w:val="005234DA"/>
    <w:rsid w:val="00523579"/>
    <w:rsid w:val="005235AE"/>
    <w:rsid w:val="00523638"/>
    <w:rsid w:val="005236D6"/>
    <w:rsid w:val="005236EB"/>
    <w:rsid w:val="005236F5"/>
    <w:rsid w:val="00523911"/>
    <w:rsid w:val="005239A2"/>
    <w:rsid w:val="00523A01"/>
    <w:rsid w:val="00523A08"/>
    <w:rsid w:val="00523A6E"/>
    <w:rsid w:val="00523CF2"/>
    <w:rsid w:val="00523D97"/>
    <w:rsid w:val="00523EA9"/>
    <w:rsid w:val="00523FFE"/>
    <w:rsid w:val="005240C4"/>
    <w:rsid w:val="005240F9"/>
    <w:rsid w:val="00524150"/>
    <w:rsid w:val="005241A7"/>
    <w:rsid w:val="00524259"/>
    <w:rsid w:val="005243D4"/>
    <w:rsid w:val="005244FB"/>
    <w:rsid w:val="00524822"/>
    <w:rsid w:val="0052484E"/>
    <w:rsid w:val="005248A5"/>
    <w:rsid w:val="00524949"/>
    <w:rsid w:val="0052497E"/>
    <w:rsid w:val="005249F8"/>
    <w:rsid w:val="00524A62"/>
    <w:rsid w:val="00524AC5"/>
    <w:rsid w:val="00524B6F"/>
    <w:rsid w:val="00524BBA"/>
    <w:rsid w:val="00524D32"/>
    <w:rsid w:val="00524E46"/>
    <w:rsid w:val="00524ED6"/>
    <w:rsid w:val="00524F6E"/>
    <w:rsid w:val="00525016"/>
    <w:rsid w:val="0052527A"/>
    <w:rsid w:val="0052531D"/>
    <w:rsid w:val="00525350"/>
    <w:rsid w:val="005256F9"/>
    <w:rsid w:val="005256FF"/>
    <w:rsid w:val="00525869"/>
    <w:rsid w:val="00525918"/>
    <w:rsid w:val="00525A05"/>
    <w:rsid w:val="00525A3F"/>
    <w:rsid w:val="00525BD0"/>
    <w:rsid w:val="00525C23"/>
    <w:rsid w:val="00525C93"/>
    <w:rsid w:val="00525DC8"/>
    <w:rsid w:val="00525E42"/>
    <w:rsid w:val="00525F98"/>
    <w:rsid w:val="00526263"/>
    <w:rsid w:val="00526272"/>
    <w:rsid w:val="00526378"/>
    <w:rsid w:val="005263C4"/>
    <w:rsid w:val="00526406"/>
    <w:rsid w:val="005265FE"/>
    <w:rsid w:val="00526A3E"/>
    <w:rsid w:val="00526AFC"/>
    <w:rsid w:val="00526B12"/>
    <w:rsid w:val="00526D7E"/>
    <w:rsid w:val="00526E8B"/>
    <w:rsid w:val="005270CF"/>
    <w:rsid w:val="005270EC"/>
    <w:rsid w:val="00527154"/>
    <w:rsid w:val="00527339"/>
    <w:rsid w:val="00527364"/>
    <w:rsid w:val="005274FA"/>
    <w:rsid w:val="00527586"/>
    <w:rsid w:val="005275E4"/>
    <w:rsid w:val="00527718"/>
    <w:rsid w:val="0052795B"/>
    <w:rsid w:val="005279F6"/>
    <w:rsid w:val="00527A81"/>
    <w:rsid w:val="00527B54"/>
    <w:rsid w:val="00527BCF"/>
    <w:rsid w:val="00527C3F"/>
    <w:rsid w:val="00527ED8"/>
    <w:rsid w:val="00527F09"/>
    <w:rsid w:val="0053013C"/>
    <w:rsid w:val="0053015D"/>
    <w:rsid w:val="0053036A"/>
    <w:rsid w:val="0053042A"/>
    <w:rsid w:val="00530583"/>
    <w:rsid w:val="00530625"/>
    <w:rsid w:val="005307ED"/>
    <w:rsid w:val="00530829"/>
    <w:rsid w:val="00530867"/>
    <w:rsid w:val="00530C1B"/>
    <w:rsid w:val="00530C20"/>
    <w:rsid w:val="00530CDB"/>
    <w:rsid w:val="00530D0B"/>
    <w:rsid w:val="00530D14"/>
    <w:rsid w:val="00530D34"/>
    <w:rsid w:val="00530D62"/>
    <w:rsid w:val="00530DF4"/>
    <w:rsid w:val="00530ECF"/>
    <w:rsid w:val="00530FEC"/>
    <w:rsid w:val="0053100C"/>
    <w:rsid w:val="00531186"/>
    <w:rsid w:val="005312A5"/>
    <w:rsid w:val="00531376"/>
    <w:rsid w:val="005314BC"/>
    <w:rsid w:val="00531564"/>
    <w:rsid w:val="005316C0"/>
    <w:rsid w:val="0053179F"/>
    <w:rsid w:val="00531C68"/>
    <w:rsid w:val="00531DD0"/>
    <w:rsid w:val="00531DF3"/>
    <w:rsid w:val="00531E09"/>
    <w:rsid w:val="00531F35"/>
    <w:rsid w:val="00531FD4"/>
    <w:rsid w:val="00531FDF"/>
    <w:rsid w:val="005321DE"/>
    <w:rsid w:val="0053231B"/>
    <w:rsid w:val="00532384"/>
    <w:rsid w:val="00532478"/>
    <w:rsid w:val="005324A3"/>
    <w:rsid w:val="005325DA"/>
    <w:rsid w:val="0053276A"/>
    <w:rsid w:val="00532A87"/>
    <w:rsid w:val="00532C2C"/>
    <w:rsid w:val="00532C5B"/>
    <w:rsid w:val="00532D0B"/>
    <w:rsid w:val="00532E34"/>
    <w:rsid w:val="00532EA3"/>
    <w:rsid w:val="00532F9D"/>
    <w:rsid w:val="00532FE7"/>
    <w:rsid w:val="005333E3"/>
    <w:rsid w:val="00533405"/>
    <w:rsid w:val="005334BE"/>
    <w:rsid w:val="00533514"/>
    <w:rsid w:val="00533519"/>
    <w:rsid w:val="005335C4"/>
    <w:rsid w:val="00533952"/>
    <w:rsid w:val="00533A53"/>
    <w:rsid w:val="00533C5D"/>
    <w:rsid w:val="00533C70"/>
    <w:rsid w:val="00533C9D"/>
    <w:rsid w:val="00533CF2"/>
    <w:rsid w:val="00533EAF"/>
    <w:rsid w:val="00533FCB"/>
    <w:rsid w:val="005340A8"/>
    <w:rsid w:val="00534287"/>
    <w:rsid w:val="0053439C"/>
    <w:rsid w:val="005344D7"/>
    <w:rsid w:val="0053458D"/>
    <w:rsid w:val="00534706"/>
    <w:rsid w:val="00534796"/>
    <w:rsid w:val="00534846"/>
    <w:rsid w:val="005348A2"/>
    <w:rsid w:val="00534B6C"/>
    <w:rsid w:val="00534B88"/>
    <w:rsid w:val="00534EDF"/>
    <w:rsid w:val="00535040"/>
    <w:rsid w:val="00535260"/>
    <w:rsid w:val="005352D8"/>
    <w:rsid w:val="005353B7"/>
    <w:rsid w:val="0053544F"/>
    <w:rsid w:val="00535660"/>
    <w:rsid w:val="005359E3"/>
    <w:rsid w:val="00535B1C"/>
    <w:rsid w:val="00535CAC"/>
    <w:rsid w:val="00535D6F"/>
    <w:rsid w:val="00535F64"/>
    <w:rsid w:val="00535F7B"/>
    <w:rsid w:val="0053618B"/>
    <w:rsid w:val="0053621A"/>
    <w:rsid w:val="005362BF"/>
    <w:rsid w:val="005362D1"/>
    <w:rsid w:val="00536482"/>
    <w:rsid w:val="0053690C"/>
    <w:rsid w:val="00536B81"/>
    <w:rsid w:val="00536C9F"/>
    <w:rsid w:val="00536D07"/>
    <w:rsid w:val="00536E69"/>
    <w:rsid w:val="005371F5"/>
    <w:rsid w:val="00537285"/>
    <w:rsid w:val="00537484"/>
    <w:rsid w:val="005377A2"/>
    <w:rsid w:val="00537895"/>
    <w:rsid w:val="005379FA"/>
    <w:rsid w:val="00537A63"/>
    <w:rsid w:val="00537C54"/>
    <w:rsid w:val="00537D30"/>
    <w:rsid w:val="00537F6D"/>
    <w:rsid w:val="00537FAB"/>
    <w:rsid w:val="005400E1"/>
    <w:rsid w:val="00540127"/>
    <w:rsid w:val="005401CA"/>
    <w:rsid w:val="005401E3"/>
    <w:rsid w:val="0054041E"/>
    <w:rsid w:val="00540656"/>
    <w:rsid w:val="00540790"/>
    <w:rsid w:val="005407BD"/>
    <w:rsid w:val="005409D0"/>
    <w:rsid w:val="00540AAA"/>
    <w:rsid w:val="00540D28"/>
    <w:rsid w:val="00540D58"/>
    <w:rsid w:val="00540DDE"/>
    <w:rsid w:val="00540F9A"/>
    <w:rsid w:val="00541015"/>
    <w:rsid w:val="005410B3"/>
    <w:rsid w:val="005411D4"/>
    <w:rsid w:val="005413AD"/>
    <w:rsid w:val="00541460"/>
    <w:rsid w:val="00541759"/>
    <w:rsid w:val="0054176F"/>
    <w:rsid w:val="00541A1C"/>
    <w:rsid w:val="00541BAA"/>
    <w:rsid w:val="00541C90"/>
    <w:rsid w:val="00541D47"/>
    <w:rsid w:val="00541D72"/>
    <w:rsid w:val="00541E22"/>
    <w:rsid w:val="00541F24"/>
    <w:rsid w:val="00541F56"/>
    <w:rsid w:val="00542243"/>
    <w:rsid w:val="0054225E"/>
    <w:rsid w:val="0054244B"/>
    <w:rsid w:val="0054249E"/>
    <w:rsid w:val="005424BE"/>
    <w:rsid w:val="00542544"/>
    <w:rsid w:val="00542671"/>
    <w:rsid w:val="005427EF"/>
    <w:rsid w:val="00542811"/>
    <w:rsid w:val="0054283F"/>
    <w:rsid w:val="00542A19"/>
    <w:rsid w:val="00542A66"/>
    <w:rsid w:val="00542B27"/>
    <w:rsid w:val="00542C14"/>
    <w:rsid w:val="00542CBA"/>
    <w:rsid w:val="00542ED2"/>
    <w:rsid w:val="00542F08"/>
    <w:rsid w:val="00542F7F"/>
    <w:rsid w:val="00542FBF"/>
    <w:rsid w:val="005430A6"/>
    <w:rsid w:val="00543103"/>
    <w:rsid w:val="00543122"/>
    <w:rsid w:val="00543318"/>
    <w:rsid w:val="0054346D"/>
    <w:rsid w:val="00543500"/>
    <w:rsid w:val="0054351E"/>
    <w:rsid w:val="00543681"/>
    <w:rsid w:val="0054376A"/>
    <w:rsid w:val="005439A6"/>
    <w:rsid w:val="00543AF1"/>
    <w:rsid w:val="00543BA0"/>
    <w:rsid w:val="00543DBC"/>
    <w:rsid w:val="00543E5E"/>
    <w:rsid w:val="00543F1B"/>
    <w:rsid w:val="00543FD7"/>
    <w:rsid w:val="0054404E"/>
    <w:rsid w:val="005440DD"/>
    <w:rsid w:val="00544279"/>
    <w:rsid w:val="005443CC"/>
    <w:rsid w:val="005443D1"/>
    <w:rsid w:val="005443DF"/>
    <w:rsid w:val="0054444D"/>
    <w:rsid w:val="00544469"/>
    <w:rsid w:val="005444C3"/>
    <w:rsid w:val="0054476D"/>
    <w:rsid w:val="00544A06"/>
    <w:rsid w:val="00544AE3"/>
    <w:rsid w:val="00544BAC"/>
    <w:rsid w:val="00544CEF"/>
    <w:rsid w:val="0054500D"/>
    <w:rsid w:val="0054505E"/>
    <w:rsid w:val="00545152"/>
    <w:rsid w:val="00545159"/>
    <w:rsid w:val="005451E2"/>
    <w:rsid w:val="005454A0"/>
    <w:rsid w:val="005456A1"/>
    <w:rsid w:val="005457D8"/>
    <w:rsid w:val="00545992"/>
    <w:rsid w:val="00545B95"/>
    <w:rsid w:val="00545BCE"/>
    <w:rsid w:val="00545D9A"/>
    <w:rsid w:val="00545ED1"/>
    <w:rsid w:val="00545EF4"/>
    <w:rsid w:val="00545FC4"/>
    <w:rsid w:val="0054605E"/>
    <w:rsid w:val="0054608A"/>
    <w:rsid w:val="005461B5"/>
    <w:rsid w:val="005461E0"/>
    <w:rsid w:val="0054624F"/>
    <w:rsid w:val="00546345"/>
    <w:rsid w:val="00546375"/>
    <w:rsid w:val="005463A1"/>
    <w:rsid w:val="005463B3"/>
    <w:rsid w:val="00546874"/>
    <w:rsid w:val="00546B7B"/>
    <w:rsid w:val="00546BD4"/>
    <w:rsid w:val="00546CEC"/>
    <w:rsid w:val="00546EC0"/>
    <w:rsid w:val="005470A4"/>
    <w:rsid w:val="005470E6"/>
    <w:rsid w:val="005472B6"/>
    <w:rsid w:val="00547360"/>
    <w:rsid w:val="00547709"/>
    <w:rsid w:val="00547732"/>
    <w:rsid w:val="005477B5"/>
    <w:rsid w:val="005479D5"/>
    <w:rsid w:val="00547A03"/>
    <w:rsid w:val="00547C7C"/>
    <w:rsid w:val="00547DA0"/>
    <w:rsid w:val="00547E09"/>
    <w:rsid w:val="0054FB08"/>
    <w:rsid w:val="005500E6"/>
    <w:rsid w:val="0055011F"/>
    <w:rsid w:val="00550247"/>
    <w:rsid w:val="00550260"/>
    <w:rsid w:val="005502CC"/>
    <w:rsid w:val="005502EF"/>
    <w:rsid w:val="005502FA"/>
    <w:rsid w:val="005503B6"/>
    <w:rsid w:val="005503E6"/>
    <w:rsid w:val="00550533"/>
    <w:rsid w:val="005505EF"/>
    <w:rsid w:val="00550677"/>
    <w:rsid w:val="00550679"/>
    <w:rsid w:val="005506DF"/>
    <w:rsid w:val="005507A8"/>
    <w:rsid w:val="00550819"/>
    <w:rsid w:val="00550A18"/>
    <w:rsid w:val="00550A78"/>
    <w:rsid w:val="00550AA8"/>
    <w:rsid w:val="00550AF9"/>
    <w:rsid w:val="00550B8E"/>
    <w:rsid w:val="00550BAF"/>
    <w:rsid w:val="00550C1D"/>
    <w:rsid w:val="00550D5F"/>
    <w:rsid w:val="00550EED"/>
    <w:rsid w:val="0055113A"/>
    <w:rsid w:val="005512C8"/>
    <w:rsid w:val="0055135E"/>
    <w:rsid w:val="005514F2"/>
    <w:rsid w:val="00551584"/>
    <w:rsid w:val="00551660"/>
    <w:rsid w:val="0055178A"/>
    <w:rsid w:val="005517E5"/>
    <w:rsid w:val="0055199F"/>
    <w:rsid w:val="005519A7"/>
    <w:rsid w:val="00551A94"/>
    <w:rsid w:val="00551B10"/>
    <w:rsid w:val="00551B3D"/>
    <w:rsid w:val="00551C67"/>
    <w:rsid w:val="00551D43"/>
    <w:rsid w:val="00551DFA"/>
    <w:rsid w:val="00551E0F"/>
    <w:rsid w:val="00551E3D"/>
    <w:rsid w:val="00551E92"/>
    <w:rsid w:val="00551EE4"/>
    <w:rsid w:val="00552152"/>
    <w:rsid w:val="00552216"/>
    <w:rsid w:val="00552250"/>
    <w:rsid w:val="00552423"/>
    <w:rsid w:val="005527C5"/>
    <w:rsid w:val="005527FC"/>
    <w:rsid w:val="005528A7"/>
    <w:rsid w:val="005529A9"/>
    <w:rsid w:val="00552A2B"/>
    <w:rsid w:val="00552BB5"/>
    <w:rsid w:val="00552C3B"/>
    <w:rsid w:val="00552CB4"/>
    <w:rsid w:val="00552D6E"/>
    <w:rsid w:val="00552E84"/>
    <w:rsid w:val="00552EAD"/>
    <w:rsid w:val="00552FDA"/>
    <w:rsid w:val="005530C3"/>
    <w:rsid w:val="00553122"/>
    <w:rsid w:val="0055313A"/>
    <w:rsid w:val="00553295"/>
    <w:rsid w:val="00553333"/>
    <w:rsid w:val="00553674"/>
    <w:rsid w:val="00553739"/>
    <w:rsid w:val="005537A0"/>
    <w:rsid w:val="0055389F"/>
    <w:rsid w:val="00553B11"/>
    <w:rsid w:val="00553BA7"/>
    <w:rsid w:val="00553BEC"/>
    <w:rsid w:val="00553E80"/>
    <w:rsid w:val="00553EEB"/>
    <w:rsid w:val="00554121"/>
    <w:rsid w:val="00554133"/>
    <w:rsid w:val="00554456"/>
    <w:rsid w:val="00554468"/>
    <w:rsid w:val="00554641"/>
    <w:rsid w:val="005547C7"/>
    <w:rsid w:val="005549C3"/>
    <w:rsid w:val="00554BD6"/>
    <w:rsid w:val="00554CFD"/>
    <w:rsid w:val="00554F76"/>
    <w:rsid w:val="00554FB9"/>
    <w:rsid w:val="0055512C"/>
    <w:rsid w:val="005552FA"/>
    <w:rsid w:val="005553AE"/>
    <w:rsid w:val="0055554A"/>
    <w:rsid w:val="005556E3"/>
    <w:rsid w:val="0055578D"/>
    <w:rsid w:val="0055584E"/>
    <w:rsid w:val="005558CB"/>
    <w:rsid w:val="00555A45"/>
    <w:rsid w:val="00555A60"/>
    <w:rsid w:val="00555B5B"/>
    <w:rsid w:val="00555D5B"/>
    <w:rsid w:val="00555F5C"/>
    <w:rsid w:val="0055601D"/>
    <w:rsid w:val="0055613E"/>
    <w:rsid w:val="00556263"/>
    <w:rsid w:val="0055631F"/>
    <w:rsid w:val="0055635D"/>
    <w:rsid w:val="00556577"/>
    <w:rsid w:val="00556819"/>
    <w:rsid w:val="00556868"/>
    <w:rsid w:val="00556898"/>
    <w:rsid w:val="00556B5F"/>
    <w:rsid w:val="00556D31"/>
    <w:rsid w:val="00556D46"/>
    <w:rsid w:val="00556E12"/>
    <w:rsid w:val="00556EA7"/>
    <w:rsid w:val="00557035"/>
    <w:rsid w:val="00557200"/>
    <w:rsid w:val="00557247"/>
    <w:rsid w:val="0055726C"/>
    <w:rsid w:val="0055729E"/>
    <w:rsid w:val="00557348"/>
    <w:rsid w:val="00557357"/>
    <w:rsid w:val="0055755B"/>
    <w:rsid w:val="00557676"/>
    <w:rsid w:val="0055778D"/>
    <w:rsid w:val="0055780B"/>
    <w:rsid w:val="00557A2C"/>
    <w:rsid w:val="00557A84"/>
    <w:rsid w:val="00557BBC"/>
    <w:rsid w:val="00557D0D"/>
    <w:rsid w:val="00557DB8"/>
    <w:rsid w:val="00557FDD"/>
    <w:rsid w:val="0056001B"/>
    <w:rsid w:val="005601AE"/>
    <w:rsid w:val="00560387"/>
    <w:rsid w:val="005603C9"/>
    <w:rsid w:val="005604FB"/>
    <w:rsid w:val="0056051D"/>
    <w:rsid w:val="00560918"/>
    <w:rsid w:val="0056098B"/>
    <w:rsid w:val="005609AF"/>
    <w:rsid w:val="00560A97"/>
    <w:rsid w:val="00560B25"/>
    <w:rsid w:val="00560C68"/>
    <w:rsid w:val="00560E7F"/>
    <w:rsid w:val="00560F23"/>
    <w:rsid w:val="00560F8A"/>
    <w:rsid w:val="00561273"/>
    <w:rsid w:val="00561307"/>
    <w:rsid w:val="0056137D"/>
    <w:rsid w:val="005613A9"/>
    <w:rsid w:val="005614B7"/>
    <w:rsid w:val="005615CC"/>
    <w:rsid w:val="00561719"/>
    <w:rsid w:val="00561B1C"/>
    <w:rsid w:val="00561CF1"/>
    <w:rsid w:val="00561E8C"/>
    <w:rsid w:val="00562179"/>
    <w:rsid w:val="0056225E"/>
    <w:rsid w:val="00562624"/>
    <w:rsid w:val="00562749"/>
    <w:rsid w:val="0056290C"/>
    <w:rsid w:val="0056297C"/>
    <w:rsid w:val="00562AF6"/>
    <w:rsid w:val="00562C11"/>
    <w:rsid w:val="00562C26"/>
    <w:rsid w:val="00562C45"/>
    <w:rsid w:val="00562C66"/>
    <w:rsid w:val="00562C9F"/>
    <w:rsid w:val="00562CFB"/>
    <w:rsid w:val="00562D85"/>
    <w:rsid w:val="00562D95"/>
    <w:rsid w:val="00563011"/>
    <w:rsid w:val="00563042"/>
    <w:rsid w:val="00563156"/>
    <w:rsid w:val="0056315C"/>
    <w:rsid w:val="00563187"/>
    <w:rsid w:val="005632C8"/>
    <w:rsid w:val="005633CC"/>
    <w:rsid w:val="0056352C"/>
    <w:rsid w:val="0056381C"/>
    <w:rsid w:val="005638F7"/>
    <w:rsid w:val="005638FB"/>
    <w:rsid w:val="00563AE0"/>
    <w:rsid w:val="00563B50"/>
    <w:rsid w:val="00563BA5"/>
    <w:rsid w:val="00563CB3"/>
    <w:rsid w:val="00563D59"/>
    <w:rsid w:val="00563DFE"/>
    <w:rsid w:val="00563EF1"/>
    <w:rsid w:val="005642DC"/>
    <w:rsid w:val="005642E7"/>
    <w:rsid w:val="0056431A"/>
    <w:rsid w:val="0056444B"/>
    <w:rsid w:val="0056457E"/>
    <w:rsid w:val="005646E8"/>
    <w:rsid w:val="005647BC"/>
    <w:rsid w:val="00564A1A"/>
    <w:rsid w:val="00564BC8"/>
    <w:rsid w:val="00564C70"/>
    <w:rsid w:val="00564CB7"/>
    <w:rsid w:val="00564E94"/>
    <w:rsid w:val="00564F40"/>
    <w:rsid w:val="00564FF8"/>
    <w:rsid w:val="00565066"/>
    <w:rsid w:val="005650C5"/>
    <w:rsid w:val="005650FF"/>
    <w:rsid w:val="00565128"/>
    <w:rsid w:val="00565129"/>
    <w:rsid w:val="0056514B"/>
    <w:rsid w:val="00565241"/>
    <w:rsid w:val="00565260"/>
    <w:rsid w:val="00565310"/>
    <w:rsid w:val="005653B5"/>
    <w:rsid w:val="0056544C"/>
    <w:rsid w:val="005654CF"/>
    <w:rsid w:val="005655BD"/>
    <w:rsid w:val="005655C9"/>
    <w:rsid w:val="0056567F"/>
    <w:rsid w:val="00565704"/>
    <w:rsid w:val="00565751"/>
    <w:rsid w:val="0056588C"/>
    <w:rsid w:val="00565911"/>
    <w:rsid w:val="0056596A"/>
    <w:rsid w:val="00565974"/>
    <w:rsid w:val="00565A10"/>
    <w:rsid w:val="00565D56"/>
    <w:rsid w:val="0056608B"/>
    <w:rsid w:val="005661B2"/>
    <w:rsid w:val="005662FB"/>
    <w:rsid w:val="00566367"/>
    <w:rsid w:val="00566430"/>
    <w:rsid w:val="0056646F"/>
    <w:rsid w:val="0056658D"/>
    <w:rsid w:val="005665C2"/>
    <w:rsid w:val="005665CE"/>
    <w:rsid w:val="0056665F"/>
    <w:rsid w:val="005666A2"/>
    <w:rsid w:val="005666F1"/>
    <w:rsid w:val="0056670F"/>
    <w:rsid w:val="0056677A"/>
    <w:rsid w:val="0056680F"/>
    <w:rsid w:val="00566A30"/>
    <w:rsid w:val="00566B4B"/>
    <w:rsid w:val="00566F65"/>
    <w:rsid w:val="00566F94"/>
    <w:rsid w:val="00567110"/>
    <w:rsid w:val="00567138"/>
    <w:rsid w:val="0056726A"/>
    <w:rsid w:val="0056742D"/>
    <w:rsid w:val="0056763D"/>
    <w:rsid w:val="005676AC"/>
    <w:rsid w:val="00567A08"/>
    <w:rsid w:val="00567A71"/>
    <w:rsid w:val="00567C59"/>
    <w:rsid w:val="00567C82"/>
    <w:rsid w:val="00567CBD"/>
    <w:rsid w:val="00567D69"/>
    <w:rsid w:val="00567E74"/>
    <w:rsid w:val="00567F7E"/>
    <w:rsid w:val="00567F8A"/>
    <w:rsid w:val="0056FC2B"/>
    <w:rsid w:val="005701D2"/>
    <w:rsid w:val="0057033A"/>
    <w:rsid w:val="0057037C"/>
    <w:rsid w:val="00570650"/>
    <w:rsid w:val="005706AC"/>
    <w:rsid w:val="005706EA"/>
    <w:rsid w:val="00570759"/>
    <w:rsid w:val="00570763"/>
    <w:rsid w:val="005707B8"/>
    <w:rsid w:val="005709AF"/>
    <w:rsid w:val="00570C2A"/>
    <w:rsid w:val="00570CCF"/>
    <w:rsid w:val="00570DCC"/>
    <w:rsid w:val="0057107F"/>
    <w:rsid w:val="005710B6"/>
    <w:rsid w:val="005710DB"/>
    <w:rsid w:val="00571133"/>
    <w:rsid w:val="00571153"/>
    <w:rsid w:val="0057119D"/>
    <w:rsid w:val="00571214"/>
    <w:rsid w:val="00571260"/>
    <w:rsid w:val="0057138C"/>
    <w:rsid w:val="005713B3"/>
    <w:rsid w:val="005715C9"/>
    <w:rsid w:val="00571622"/>
    <w:rsid w:val="0057172A"/>
    <w:rsid w:val="00571908"/>
    <w:rsid w:val="00571977"/>
    <w:rsid w:val="005719AB"/>
    <w:rsid w:val="00571C8B"/>
    <w:rsid w:val="00571D07"/>
    <w:rsid w:val="00571E1C"/>
    <w:rsid w:val="00571EE5"/>
    <w:rsid w:val="005720FE"/>
    <w:rsid w:val="0057211A"/>
    <w:rsid w:val="0057232D"/>
    <w:rsid w:val="00572403"/>
    <w:rsid w:val="00572440"/>
    <w:rsid w:val="00572489"/>
    <w:rsid w:val="005724D0"/>
    <w:rsid w:val="005724EB"/>
    <w:rsid w:val="005726E8"/>
    <w:rsid w:val="00572742"/>
    <w:rsid w:val="0057277D"/>
    <w:rsid w:val="005727BF"/>
    <w:rsid w:val="0057288E"/>
    <w:rsid w:val="00572891"/>
    <w:rsid w:val="005729F7"/>
    <w:rsid w:val="00572AD8"/>
    <w:rsid w:val="00572B3C"/>
    <w:rsid w:val="00572B72"/>
    <w:rsid w:val="00572F21"/>
    <w:rsid w:val="00572F27"/>
    <w:rsid w:val="00572F49"/>
    <w:rsid w:val="00573161"/>
    <w:rsid w:val="00573349"/>
    <w:rsid w:val="00573370"/>
    <w:rsid w:val="00573388"/>
    <w:rsid w:val="00573403"/>
    <w:rsid w:val="00573438"/>
    <w:rsid w:val="0057356D"/>
    <w:rsid w:val="0057367C"/>
    <w:rsid w:val="005736D1"/>
    <w:rsid w:val="00573752"/>
    <w:rsid w:val="00573924"/>
    <w:rsid w:val="00573A3F"/>
    <w:rsid w:val="00573A5B"/>
    <w:rsid w:val="00573ACC"/>
    <w:rsid w:val="00573B99"/>
    <w:rsid w:val="00573E2E"/>
    <w:rsid w:val="00573F88"/>
    <w:rsid w:val="0057406D"/>
    <w:rsid w:val="005740FC"/>
    <w:rsid w:val="005741A9"/>
    <w:rsid w:val="00574341"/>
    <w:rsid w:val="00574367"/>
    <w:rsid w:val="0057438D"/>
    <w:rsid w:val="005743B7"/>
    <w:rsid w:val="00574402"/>
    <w:rsid w:val="00574421"/>
    <w:rsid w:val="005744DF"/>
    <w:rsid w:val="00574781"/>
    <w:rsid w:val="00574A32"/>
    <w:rsid w:val="00574ACA"/>
    <w:rsid w:val="00574AFB"/>
    <w:rsid w:val="00574B2D"/>
    <w:rsid w:val="00574B69"/>
    <w:rsid w:val="00574BD1"/>
    <w:rsid w:val="00574BE1"/>
    <w:rsid w:val="00574C09"/>
    <w:rsid w:val="00574F3A"/>
    <w:rsid w:val="005750EE"/>
    <w:rsid w:val="0057516C"/>
    <w:rsid w:val="005751B3"/>
    <w:rsid w:val="0057530E"/>
    <w:rsid w:val="00575479"/>
    <w:rsid w:val="005754D0"/>
    <w:rsid w:val="0057554B"/>
    <w:rsid w:val="00575634"/>
    <w:rsid w:val="00575644"/>
    <w:rsid w:val="00575666"/>
    <w:rsid w:val="00575752"/>
    <w:rsid w:val="00575769"/>
    <w:rsid w:val="00575786"/>
    <w:rsid w:val="00575787"/>
    <w:rsid w:val="005758EC"/>
    <w:rsid w:val="00575940"/>
    <w:rsid w:val="00575ECA"/>
    <w:rsid w:val="005760D4"/>
    <w:rsid w:val="00576292"/>
    <w:rsid w:val="0057633E"/>
    <w:rsid w:val="005765D9"/>
    <w:rsid w:val="005766F1"/>
    <w:rsid w:val="00576771"/>
    <w:rsid w:val="00576794"/>
    <w:rsid w:val="00576876"/>
    <w:rsid w:val="00576A7A"/>
    <w:rsid w:val="00576C1D"/>
    <w:rsid w:val="00576D15"/>
    <w:rsid w:val="00576D49"/>
    <w:rsid w:val="00576E04"/>
    <w:rsid w:val="00576E08"/>
    <w:rsid w:val="00576E8C"/>
    <w:rsid w:val="00576EA6"/>
    <w:rsid w:val="00576ED0"/>
    <w:rsid w:val="00576EF9"/>
    <w:rsid w:val="00576F24"/>
    <w:rsid w:val="00577023"/>
    <w:rsid w:val="0057703E"/>
    <w:rsid w:val="00577196"/>
    <w:rsid w:val="005772E1"/>
    <w:rsid w:val="005773FD"/>
    <w:rsid w:val="00577806"/>
    <w:rsid w:val="00577863"/>
    <w:rsid w:val="00577935"/>
    <w:rsid w:val="00577A0A"/>
    <w:rsid w:val="00577AB8"/>
    <w:rsid w:val="00577CC1"/>
    <w:rsid w:val="00577D73"/>
    <w:rsid w:val="00577DBB"/>
    <w:rsid w:val="00577F14"/>
    <w:rsid w:val="00577F9A"/>
    <w:rsid w:val="00580250"/>
    <w:rsid w:val="00580347"/>
    <w:rsid w:val="0058052A"/>
    <w:rsid w:val="00580674"/>
    <w:rsid w:val="00580691"/>
    <w:rsid w:val="0058075A"/>
    <w:rsid w:val="00580804"/>
    <w:rsid w:val="00580812"/>
    <w:rsid w:val="00580960"/>
    <w:rsid w:val="00580A59"/>
    <w:rsid w:val="00580B58"/>
    <w:rsid w:val="00580D26"/>
    <w:rsid w:val="00580E29"/>
    <w:rsid w:val="00580EF3"/>
    <w:rsid w:val="00580F86"/>
    <w:rsid w:val="00580F96"/>
    <w:rsid w:val="00580FC7"/>
    <w:rsid w:val="005810B8"/>
    <w:rsid w:val="0058123F"/>
    <w:rsid w:val="00581558"/>
    <w:rsid w:val="005815FB"/>
    <w:rsid w:val="00581682"/>
    <w:rsid w:val="0058186A"/>
    <w:rsid w:val="005819F3"/>
    <w:rsid w:val="00581B0D"/>
    <w:rsid w:val="00581C10"/>
    <w:rsid w:val="00581CC0"/>
    <w:rsid w:val="00581D47"/>
    <w:rsid w:val="00581D50"/>
    <w:rsid w:val="00581E81"/>
    <w:rsid w:val="00581F7A"/>
    <w:rsid w:val="0058202E"/>
    <w:rsid w:val="005820C7"/>
    <w:rsid w:val="005821D9"/>
    <w:rsid w:val="005822F8"/>
    <w:rsid w:val="005823C4"/>
    <w:rsid w:val="0058253F"/>
    <w:rsid w:val="00582693"/>
    <w:rsid w:val="00582695"/>
    <w:rsid w:val="0058276E"/>
    <w:rsid w:val="00582807"/>
    <w:rsid w:val="00582C47"/>
    <w:rsid w:val="00582C72"/>
    <w:rsid w:val="00582D13"/>
    <w:rsid w:val="00582E0E"/>
    <w:rsid w:val="00582FCD"/>
    <w:rsid w:val="00582FFF"/>
    <w:rsid w:val="005830D4"/>
    <w:rsid w:val="00583519"/>
    <w:rsid w:val="0058353E"/>
    <w:rsid w:val="005835BC"/>
    <w:rsid w:val="005835BD"/>
    <w:rsid w:val="005836A2"/>
    <w:rsid w:val="005839D0"/>
    <w:rsid w:val="00583AD4"/>
    <w:rsid w:val="00583EF4"/>
    <w:rsid w:val="00583FEA"/>
    <w:rsid w:val="005841C0"/>
    <w:rsid w:val="005841F3"/>
    <w:rsid w:val="005842B3"/>
    <w:rsid w:val="00584490"/>
    <w:rsid w:val="005844A1"/>
    <w:rsid w:val="00584700"/>
    <w:rsid w:val="0058483C"/>
    <w:rsid w:val="00584891"/>
    <w:rsid w:val="0058499A"/>
    <w:rsid w:val="00584A1A"/>
    <w:rsid w:val="00584A84"/>
    <w:rsid w:val="00584AAA"/>
    <w:rsid w:val="00584B20"/>
    <w:rsid w:val="00584B44"/>
    <w:rsid w:val="00584DC4"/>
    <w:rsid w:val="00584E37"/>
    <w:rsid w:val="00584E3E"/>
    <w:rsid w:val="00584E8D"/>
    <w:rsid w:val="00584E99"/>
    <w:rsid w:val="00585139"/>
    <w:rsid w:val="00585320"/>
    <w:rsid w:val="005853D8"/>
    <w:rsid w:val="00585405"/>
    <w:rsid w:val="005855A9"/>
    <w:rsid w:val="0058581C"/>
    <w:rsid w:val="00585D16"/>
    <w:rsid w:val="00585D52"/>
    <w:rsid w:val="00585D58"/>
    <w:rsid w:val="005860F4"/>
    <w:rsid w:val="0058614E"/>
    <w:rsid w:val="00586245"/>
    <w:rsid w:val="0058642D"/>
    <w:rsid w:val="005864AB"/>
    <w:rsid w:val="00586500"/>
    <w:rsid w:val="0058653A"/>
    <w:rsid w:val="00586669"/>
    <w:rsid w:val="00586677"/>
    <w:rsid w:val="0058667E"/>
    <w:rsid w:val="005867F8"/>
    <w:rsid w:val="005867FC"/>
    <w:rsid w:val="00586894"/>
    <w:rsid w:val="00586915"/>
    <w:rsid w:val="005869D4"/>
    <w:rsid w:val="00586B20"/>
    <w:rsid w:val="00586C0B"/>
    <w:rsid w:val="00586D9B"/>
    <w:rsid w:val="00586DD1"/>
    <w:rsid w:val="00586E75"/>
    <w:rsid w:val="0058722A"/>
    <w:rsid w:val="00587281"/>
    <w:rsid w:val="005873FB"/>
    <w:rsid w:val="0058748D"/>
    <w:rsid w:val="005876B8"/>
    <w:rsid w:val="00587C85"/>
    <w:rsid w:val="00587D4C"/>
    <w:rsid w:val="00587DB2"/>
    <w:rsid w:val="00587E1B"/>
    <w:rsid w:val="00587F21"/>
    <w:rsid w:val="0059007B"/>
    <w:rsid w:val="0059012D"/>
    <w:rsid w:val="0059049B"/>
    <w:rsid w:val="0059050A"/>
    <w:rsid w:val="0059050D"/>
    <w:rsid w:val="00590585"/>
    <w:rsid w:val="005905EA"/>
    <w:rsid w:val="0059063F"/>
    <w:rsid w:val="0059068E"/>
    <w:rsid w:val="0059072C"/>
    <w:rsid w:val="00590A46"/>
    <w:rsid w:val="00590AA5"/>
    <w:rsid w:val="00590AAD"/>
    <w:rsid w:val="00590E01"/>
    <w:rsid w:val="00590E04"/>
    <w:rsid w:val="00590E4E"/>
    <w:rsid w:val="00590FA5"/>
    <w:rsid w:val="005910F6"/>
    <w:rsid w:val="005915FE"/>
    <w:rsid w:val="0059166B"/>
    <w:rsid w:val="005916FE"/>
    <w:rsid w:val="005918B7"/>
    <w:rsid w:val="0059197C"/>
    <w:rsid w:val="00591A27"/>
    <w:rsid w:val="00591B24"/>
    <w:rsid w:val="00591CB6"/>
    <w:rsid w:val="00591D6C"/>
    <w:rsid w:val="00591E4C"/>
    <w:rsid w:val="00591E58"/>
    <w:rsid w:val="00591E91"/>
    <w:rsid w:val="00591FE8"/>
    <w:rsid w:val="005920E1"/>
    <w:rsid w:val="005920EB"/>
    <w:rsid w:val="00592389"/>
    <w:rsid w:val="0059251F"/>
    <w:rsid w:val="0059289B"/>
    <w:rsid w:val="005928CB"/>
    <w:rsid w:val="0059298C"/>
    <w:rsid w:val="005929A7"/>
    <w:rsid w:val="00592BF9"/>
    <w:rsid w:val="00592D98"/>
    <w:rsid w:val="00592F3C"/>
    <w:rsid w:val="00593325"/>
    <w:rsid w:val="0059336C"/>
    <w:rsid w:val="00593627"/>
    <w:rsid w:val="0059374C"/>
    <w:rsid w:val="005937E2"/>
    <w:rsid w:val="00594167"/>
    <w:rsid w:val="0059417E"/>
    <w:rsid w:val="005942D7"/>
    <w:rsid w:val="00594370"/>
    <w:rsid w:val="00594501"/>
    <w:rsid w:val="00594564"/>
    <w:rsid w:val="0059460C"/>
    <w:rsid w:val="00594756"/>
    <w:rsid w:val="0059478B"/>
    <w:rsid w:val="0059481D"/>
    <w:rsid w:val="00594982"/>
    <w:rsid w:val="005949CA"/>
    <w:rsid w:val="00594A70"/>
    <w:rsid w:val="00594B26"/>
    <w:rsid w:val="00594CAA"/>
    <w:rsid w:val="00594E1C"/>
    <w:rsid w:val="00594E2F"/>
    <w:rsid w:val="00594E37"/>
    <w:rsid w:val="00594FAA"/>
    <w:rsid w:val="00595010"/>
    <w:rsid w:val="00595073"/>
    <w:rsid w:val="005950AD"/>
    <w:rsid w:val="005950BD"/>
    <w:rsid w:val="00595184"/>
    <w:rsid w:val="00595662"/>
    <w:rsid w:val="0059571C"/>
    <w:rsid w:val="005957B1"/>
    <w:rsid w:val="00595AEE"/>
    <w:rsid w:val="00595B57"/>
    <w:rsid w:val="00595C54"/>
    <w:rsid w:val="00595D9A"/>
    <w:rsid w:val="00595FE2"/>
    <w:rsid w:val="0059601D"/>
    <w:rsid w:val="005960EA"/>
    <w:rsid w:val="00596128"/>
    <w:rsid w:val="005961A8"/>
    <w:rsid w:val="00596215"/>
    <w:rsid w:val="0059631A"/>
    <w:rsid w:val="0059632A"/>
    <w:rsid w:val="00596369"/>
    <w:rsid w:val="00596434"/>
    <w:rsid w:val="00596536"/>
    <w:rsid w:val="005965A2"/>
    <w:rsid w:val="0059662A"/>
    <w:rsid w:val="0059666A"/>
    <w:rsid w:val="00596680"/>
    <w:rsid w:val="0059672F"/>
    <w:rsid w:val="00596788"/>
    <w:rsid w:val="00596931"/>
    <w:rsid w:val="0059694C"/>
    <w:rsid w:val="00596993"/>
    <w:rsid w:val="005969E7"/>
    <w:rsid w:val="00596A25"/>
    <w:rsid w:val="00596AFC"/>
    <w:rsid w:val="00596B1A"/>
    <w:rsid w:val="00596B7D"/>
    <w:rsid w:val="00596CE8"/>
    <w:rsid w:val="00596F09"/>
    <w:rsid w:val="0059729A"/>
    <w:rsid w:val="005972A5"/>
    <w:rsid w:val="0059737E"/>
    <w:rsid w:val="00597478"/>
    <w:rsid w:val="005974D6"/>
    <w:rsid w:val="0059752A"/>
    <w:rsid w:val="0059752E"/>
    <w:rsid w:val="0059755A"/>
    <w:rsid w:val="00597577"/>
    <w:rsid w:val="00597618"/>
    <w:rsid w:val="00597649"/>
    <w:rsid w:val="005979AB"/>
    <w:rsid w:val="00597A93"/>
    <w:rsid w:val="00597AA5"/>
    <w:rsid w:val="00597AB4"/>
    <w:rsid w:val="00597AC7"/>
    <w:rsid w:val="00597B6B"/>
    <w:rsid w:val="00597BB8"/>
    <w:rsid w:val="00597C1E"/>
    <w:rsid w:val="00597C53"/>
    <w:rsid w:val="00597D68"/>
    <w:rsid w:val="00597E14"/>
    <w:rsid w:val="00597E57"/>
    <w:rsid w:val="005A0028"/>
    <w:rsid w:val="005A003E"/>
    <w:rsid w:val="005A00A5"/>
    <w:rsid w:val="005A017F"/>
    <w:rsid w:val="005A0574"/>
    <w:rsid w:val="005A059A"/>
    <w:rsid w:val="005A080F"/>
    <w:rsid w:val="005A085D"/>
    <w:rsid w:val="005A08CE"/>
    <w:rsid w:val="005A0A2A"/>
    <w:rsid w:val="005A0BBD"/>
    <w:rsid w:val="005A0C10"/>
    <w:rsid w:val="005A0C8D"/>
    <w:rsid w:val="005A0EBC"/>
    <w:rsid w:val="005A0F02"/>
    <w:rsid w:val="005A0F8A"/>
    <w:rsid w:val="005A1064"/>
    <w:rsid w:val="005A1187"/>
    <w:rsid w:val="005A11C3"/>
    <w:rsid w:val="005A1249"/>
    <w:rsid w:val="005A124B"/>
    <w:rsid w:val="005A12D5"/>
    <w:rsid w:val="005A135C"/>
    <w:rsid w:val="005A13E0"/>
    <w:rsid w:val="005A151C"/>
    <w:rsid w:val="005A154C"/>
    <w:rsid w:val="005A1713"/>
    <w:rsid w:val="005A174F"/>
    <w:rsid w:val="005A17F9"/>
    <w:rsid w:val="005A194D"/>
    <w:rsid w:val="005A19DD"/>
    <w:rsid w:val="005A19EA"/>
    <w:rsid w:val="005A19F9"/>
    <w:rsid w:val="005A1B52"/>
    <w:rsid w:val="005A1C0A"/>
    <w:rsid w:val="005A1C34"/>
    <w:rsid w:val="005A1D4F"/>
    <w:rsid w:val="005A1D5C"/>
    <w:rsid w:val="005A1D7B"/>
    <w:rsid w:val="005A1D86"/>
    <w:rsid w:val="005A1DDA"/>
    <w:rsid w:val="005A20C1"/>
    <w:rsid w:val="005A24E7"/>
    <w:rsid w:val="005A25B5"/>
    <w:rsid w:val="005A2604"/>
    <w:rsid w:val="005A2724"/>
    <w:rsid w:val="005A2786"/>
    <w:rsid w:val="005A27F4"/>
    <w:rsid w:val="005A2878"/>
    <w:rsid w:val="005A2F8D"/>
    <w:rsid w:val="005A304F"/>
    <w:rsid w:val="005A3054"/>
    <w:rsid w:val="005A3106"/>
    <w:rsid w:val="005A31D4"/>
    <w:rsid w:val="005A35D8"/>
    <w:rsid w:val="005A3694"/>
    <w:rsid w:val="005A36F3"/>
    <w:rsid w:val="005A3797"/>
    <w:rsid w:val="005A3878"/>
    <w:rsid w:val="005A388C"/>
    <w:rsid w:val="005A3916"/>
    <w:rsid w:val="005A3991"/>
    <w:rsid w:val="005A39D4"/>
    <w:rsid w:val="005A39D7"/>
    <w:rsid w:val="005A3A38"/>
    <w:rsid w:val="005A3A57"/>
    <w:rsid w:val="005A3AB2"/>
    <w:rsid w:val="005A3BC2"/>
    <w:rsid w:val="005A3C45"/>
    <w:rsid w:val="005A3D4B"/>
    <w:rsid w:val="005A3D70"/>
    <w:rsid w:val="005A3F37"/>
    <w:rsid w:val="005A3FDD"/>
    <w:rsid w:val="005A4025"/>
    <w:rsid w:val="005A40F4"/>
    <w:rsid w:val="005A410C"/>
    <w:rsid w:val="005A432D"/>
    <w:rsid w:val="005A4466"/>
    <w:rsid w:val="005A466A"/>
    <w:rsid w:val="005A4743"/>
    <w:rsid w:val="005A476D"/>
    <w:rsid w:val="005A48A1"/>
    <w:rsid w:val="005A48A4"/>
    <w:rsid w:val="005A4985"/>
    <w:rsid w:val="005A4A42"/>
    <w:rsid w:val="005A4AD5"/>
    <w:rsid w:val="005A4AEB"/>
    <w:rsid w:val="005A4B4A"/>
    <w:rsid w:val="005A4BAE"/>
    <w:rsid w:val="005A4D0C"/>
    <w:rsid w:val="005A4DE2"/>
    <w:rsid w:val="005A4E12"/>
    <w:rsid w:val="005A4EF8"/>
    <w:rsid w:val="005A4FF5"/>
    <w:rsid w:val="005A529F"/>
    <w:rsid w:val="005A54C3"/>
    <w:rsid w:val="005A54E7"/>
    <w:rsid w:val="005A5527"/>
    <w:rsid w:val="005A552A"/>
    <w:rsid w:val="005A559D"/>
    <w:rsid w:val="005A5640"/>
    <w:rsid w:val="005A577C"/>
    <w:rsid w:val="005A57EB"/>
    <w:rsid w:val="005A5834"/>
    <w:rsid w:val="005A5A99"/>
    <w:rsid w:val="005A5C0F"/>
    <w:rsid w:val="005A600A"/>
    <w:rsid w:val="005A604A"/>
    <w:rsid w:val="005A6061"/>
    <w:rsid w:val="005A60CE"/>
    <w:rsid w:val="005A619D"/>
    <w:rsid w:val="005A6274"/>
    <w:rsid w:val="005A62B5"/>
    <w:rsid w:val="005A64D4"/>
    <w:rsid w:val="005A654D"/>
    <w:rsid w:val="005A666E"/>
    <w:rsid w:val="005A66A8"/>
    <w:rsid w:val="005A69F4"/>
    <w:rsid w:val="005A6AB7"/>
    <w:rsid w:val="005A6ABA"/>
    <w:rsid w:val="005A6E22"/>
    <w:rsid w:val="005A6EDD"/>
    <w:rsid w:val="005A709D"/>
    <w:rsid w:val="005A71D6"/>
    <w:rsid w:val="005A721D"/>
    <w:rsid w:val="005A7477"/>
    <w:rsid w:val="005A74A7"/>
    <w:rsid w:val="005A74DE"/>
    <w:rsid w:val="005A7554"/>
    <w:rsid w:val="005A75BA"/>
    <w:rsid w:val="005A75D3"/>
    <w:rsid w:val="005A77F8"/>
    <w:rsid w:val="005A77F9"/>
    <w:rsid w:val="005A7913"/>
    <w:rsid w:val="005A79D7"/>
    <w:rsid w:val="005A7A07"/>
    <w:rsid w:val="005A7B62"/>
    <w:rsid w:val="005A7D08"/>
    <w:rsid w:val="005A7DCD"/>
    <w:rsid w:val="005A7E47"/>
    <w:rsid w:val="005A7E8A"/>
    <w:rsid w:val="005A7FBE"/>
    <w:rsid w:val="005B00AC"/>
    <w:rsid w:val="005B01C5"/>
    <w:rsid w:val="005B0236"/>
    <w:rsid w:val="005B0243"/>
    <w:rsid w:val="005B0329"/>
    <w:rsid w:val="005B0453"/>
    <w:rsid w:val="005B04BD"/>
    <w:rsid w:val="005B04CC"/>
    <w:rsid w:val="005B0591"/>
    <w:rsid w:val="005B06E7"/>
    <w:rsid w:val="005B07CC"/>
    <w:rsid w:val="005B084B"/>
    <w:rsid w:val="005B087A"/>
    <w:rsid w:val="005B0937"/>
    <w:rsid w:val="005B0C93"/>
    <w:rsid w:val="005B0CB3"/>
    <w:rsid w:val="005B0D47"/>
    <w:rsid w:val="005B1090"/>
    <w:rsid w:val="005B10B6"/>
    <w:rsid w:val="005B10D7"/>
    <w:rsid w:val="005B1114"/>
    <w:rsid w:val="005B11CA"/>
    <w:rsid w:val="005B11E8"/>
    <w:rsid w:val="005B1318"/>
    <w:rsid w:val="005B13DE"/>
    <w:rsid w:val="005B1522"/>
    <w:rsid w:val="005B161F"/>
    <w:rsid w:val="005B18AB"/>
    <w:rsid w:val="005B18FA"/>
    <w:rsid w:val="005B1A59"/>
    <w:rsid w:val="005B1ABC"/>
    <w:rsid w:val="005B1BE3"/>
    <w:rsid w:val="005B1E28"/>
    <w:rsid w:val="005B1FBC"/>
    <w:rsid w:val="005B2004"/>
    <w:rsid w:val="005B2044"/>
    <w:rsid w:val="005B2318"/>
    <w:rsid w:val="005B23D9"/>
    <w:rsid w:val="005B2596"/>
    <w:rsid w:val="005B2642"/>
    <w:rsid w:val="005B2699"/>
    <w:rsid w:val="005B272B"/>
    <w:rsid w:val="005B278D"/>
    <w:rsid w:val="005B27D5"/>
    <w:rsid w:val="005B2963"/>
    <w:rsid w:val="005B29DB"/>
    <w:rsid w:val="005B2A56"/>
    <w:rsid w:val="005B2A7F"/>
    <w:rsid w:val="005B2B85"/>
    <w:rsid w:val="005B2BF3"/>
    <w:rsid w:val="005B2FBC"/>
    <w:rsid w:val="005B30AD"/>
    <w:rsid w:val="005B31AE"/>
    <w:rsid w:val="005B320B"/>
    <w:rsid w:val="005B3609"/>
    <w:rsid w:val="005B367F"/>
    <w:rsid w:val="005B36B1"/>
    <w:rsid w:val="005B3791"/>
    <w:rsid w:val="005B393D"/>
    <w:rsid w:val="005B394D"/>
    <w:rsid w:val="005B39C1"/>
    <w:rsid w:val="005B3D86"/>
    <w:rsid w:val="005B3DCF"/>
    <w:rsid w:val="005B3E40"/>
    <w:rsid w:val="005B41AB"/>
    <w:rsid w:val="005B4263"/>
    <w:rsid w:val="005B42BC"/>
    <w:rsid w:val="005B42F6"/>
    <w:rsid w:val="005B43B0"/>
    <w:rsid w:val="005B44A2"/>
    <w:rsid w:val="005B4566"/>
    <w:rsid w:val="005B45B3"/>
    <w:rsid w:val="005B45FC"/>
    <w:rsid w:val="005B4764"/>
    <w:rsid w:val="005B47EC"/>
    <w:rsid w:val="005B484C"/>
    <w:rsid w:val="005B49C3"/>
    <w:rsid w:val="005B4B8F"/>
    <w:rsid w:val="005B4C6E"/>
    <w:rsid w:val="005B4C87"/>
    <w:rsid w:val="005B4D34"/>
    <w:rsid w:val="005B4D66"/>
    <w:rsid w:val="005B4D86"/>
    <w:rsid w:val="005B4E11"/>
    <w:rsid w:val="005B4E37"/>
    <w:rsid w:val="005B4EEC"/>
    <w:rsid w:val="005B4EEF"/>
    <w:rsid w:val="005B501E"/>
    <w:rsid w:val="005B50BA"/>
    <w:rsid w:val="005B5216"/>
    <w:rsid w:val="005B5362"/>
    <w:rsid w:val="005B536B"/>
    <w:rsid w:val="005B5381"/>
    <w:rsid w:val="005B5423"/>
    <w:rsid w:val="005B5523"/>
    <w:rsid w:val="005B5567"/>
    <w:rsid w:val="005B55B3"/>
    <w:rsid w:val="005B56AD"/>
    <w:rsid w:val="005B5809"/>
    <w:rsid w:val="005B5850"/>
    <w:rsid w:val="005B585C"/>
    <w:rsid w:val="005B5A3A"/>
    <w:rsid w:val="005B5A5E"/>
    <w:rsid w:val="005B5A74"/>
    <w:rsid w:val="005B5A9B"/>
    <w:rsid w:val="005B5C15"/>
    <w:rsid w:val="005B5D64"/>
    <w:rsid w:val="005B5DC4"/>
    <w:rsid w:val="005B6049"/>
    <w:rsid w:val="005B6204"/>
    <w:rsid w:val="005B65DD"/>
    <w:rsid w:val="005B6649"/>
    <w:rsid w:val="005B688B"/>
    <w:rsid w:val="005B68AF"/>
    <w:rsid w:val="005B68BF"/>
    <w:rsid w:val="005B6904"/>
    <w:rsid w:val="005B693A"/>
    <w:rsid w:val="005B6A76"/>
    <w:rsid w:val="005B6AC4"/>
    <w:rsid w:val="005B6C58"/>
    <w:rsid w:val="005B6D4A"/>
    <w:rsid w:val="005B6DAB"/>
    <w:rsid w:val="005B6DE5"/>
    <w:rsid w:val="005B7060"/>
    <w:rsid w:val="005B71D5"/>
    <w:rsid w:val="005B7210"/>
    <w:rsid w:val="005B72E2"/>
    <w:rsid w:val="005B73A3"/>
    <w:rsid w:val="005B73AB"/>
    <w:rsid w:val="005B73B9"/>
    <w:rsid w:val="005B7472"/>
    <w:rsid w:val="005B7493"/>
    <w:rsid w:val="005B75F5"/>
    <w:rsid w:val="005B7636"/>
    <w:rsid w:val="005B7713"/>
    <w:rsid w:val="005B7812"/>
    <w:rsid w:val="005B7893"/>
    <w:rsid w:val="005B7A89"/>
    <w:rsid w:val="005B7D25"/>
    <w:rsid w:val="005B7D93"/>
    <w:rsid w:val="005C0156"/>
    <w:rsid w:val="005C0374"/>
    <w:rsid w:val="005C0610"/>
    <w:rsid w:val="005C08E6"/>
    <w:rsid w:val="005C08F7"/>
    <w:rsid w:val="005C0927"/>
    <w:rsid w:val="005C094C"/>
    <w:rsid w:val="005C0A1C"/>
    <w:rsid w:val="005C0EF8"/>
    <w:rsid w:val="005C0FBF"/>
    <w:rsid w:val="005C10F2"/>
    <w:rsid w:val="005C1144"/>
    <w:rsid w:val="005C119F"/>
    <w:rsid w:val="005C133F"/>
    <w:rsid w:val="005C13B4"/>
    <w:rsid w:val="005C1410"/>
    <w:rsid w:val="005C1479"/>
    <w:rsid w:val="005C14BD"/>
    <w:rsid w:val="005C1511"/>
    <w:rsid w:val="005C152A"/>
    <w:rsid w:val="005C1555"/>
    <w:rsid w:val="005C17A0"/>
    <w:rsid w:val="005C1ABB"/>
    <w:rsid w:val="005C1C10"/>
    <w:rsid w:val="005C1C8F"/>
    <w:rsid w:val="005C1DCD"/>
    <w:rsid w:val="005C1EF0"/>
    <w:rsid w:val="005C2102"/>
    <w:rsid w:val="005C2263"/>
    <w:rsid w:val="005C22CF"/>
    <w:rsid w:val="005C25D8"/>
    <w:rsid w:val="005C2C66"/>
    <w:rsid w:val="005C2CFC"/>
    <w:rsid w:val="005C2EDF"/>
    <w:rsid w:val="005C303D"/>
    <w:rsid w:val="005C318F"/>
    <w:rsid w:val="005C31A6"/>
    <w:rsid w:val="005C32EC"/>
    <w:rsid w:val="005C332A"/>
    <w:rsid w:val="005C3377"/>
    <w:rsid w:val="005C352D"/>
    <w:rsid w:val="005C35A3"/>
    <w:rsid w:val="005C35F8"/>
    <w:rsid w:val="005C3909"/>
    <w:rsid w:val="005C3C1F"/>
    <w:rsid w:val="005C3C61"/>
    <w:rsid w:val="005C3DA6"/>
    <w:rsid w:val="005C3FAD"/>
    <w:rsid w:val="005C40FA"/>
    <w:rsid w:val="005C4233"/>
    <w:rsid w:val="005C4401"/>
    <w:rsid w:val="005C4536"/>
    <w:rsid w:val="005C45AE"/>
    <w:rsid w:val="005C45ED"/>
    <w:rsid w:val="005C45F5"/>
    <w:rsid w:val="005C464B"/>
    <w:rsid w:val="005C46E5"/>
    <w:rsid w:val="005C47B3"/>
    <w:rsid w:val="005C4812"/>
    <w:rsid w:val="005C48FB"/>
    <w:rsid w:val="005C491E"/>
    <w:rsid w:val="005C49CF"/>
    <w:rsid w:val="005C4A7A"/>
    <w:rsid w:val="005C4B47"/>
    <w:rsid w:val="005C4BBF"/>
    <w:rsid w:val="005C4C42"/>
    <w:rsid w:val="005C4EC5"/>
    <w:rsid w:val="005C4F7F"/>
    <w:rsid w:val="005C5127"/>
    <w:rsid w:val="005C513C"/>
    <w:rsid w:val="005C5296"/>
    <w:rsid w:val="005C52A4"/>
    <w:rsid w:val="005C5315"/>
    <w:rsid w:val="005C536B"/>
    <w:rsid w:val="005C5408"/>
    <w:rsid w:val="005C5409"/>
    <w:rsid w:val="005C5479"/>
    <w:rsid w:val="005C54B3"/>
    <w:rsid w:val="005C55B9"/>
    <w:rsid w:val="005C588A"/>
    <w:rsid w:val="005C58E1"/>
    <w:rsid w:val="005C59D4"/>
    <w:rsid w:val="005C5A65"/>
    <w:rsid w:val="005C5AF0"/>
    <w:rsid w:val="005C5DC2"/>
    <w:rsid w:val="005C5EBD"/>
    <w:rsid w:val="005C5FC2"/>
    <w:rsid w:val="005C6264"/>
    <w:rsid w:val="005C62C5"/>
    <w:rsid w:val="005C6368"/>
    <w:rsid w:val="005C63A6"/>
    <w:rsid w:val="005C646B"/>
    <w:rsid w:val="005C6476"/>
    <w:rsid w:val="005C650D"/>
    <w:rsid w:val="005C65D6"/>
    <w:rsid w:val="005C6643"/>
    <w:rsid w:val="005C66E5"/>
    <w:rsid w:val="005C6AF0"/>
    <w:rsid w:val="005C6B23"/>
    <w:rsid w:val="005C6B4C"/>
    <w:rsid w:val="005C6C8E"/>
    <w:rsid w:val="005C6CF1"/>
    <w:rsid w:val="005C6E78"/>
    <w:rsid w:val="005C6F2A"/>
    <w:rsid w:val="005C6FDC"/>
    <w:rsid w:val="005C721A"/>
    <w:rsid w:val="005C72FA"/>
    <w:rsid w:val="005C73E0"/>
    <w:rsid w:val="005C7507"/>
    <w:rsid w:val="005C76C0"/>
    <w:rsid w:val="005C7806"/>
    <w:rsid w:val="005C7864"/>
    <w:rsid w:val="005C7985"/>
    <w:rsid w:val="005C7A98"/>
    <w:rsid w:val="005C7FB2"/>
    <w:rsid w:val="005D0105"/>
    <w:rsid w:val="005D01D9"/>
    <w:rsid w:val="005D03EC"/>
    <w:rsid w:val="005D0467"/>
    <w:rsid w:val="005D0504"/>
    <w:rsid w:val="005D099C"/>
    <w:rsid w:val="005D0AE3"/>
    <w:rsid w:val="005D0B8B"/>
    <w:rsid w:val="005D0B8C"/>
    <w:rsid w:val="005D0BCA"/>
    <w:rsid w:val="005D0BED"/>
    <w:rsid w:val="005D0F1A"/>
    <w:rsid w:val="005D0F3C"/>
    <w:rsid w:val="005D105E"/>
    <w:rsid w:val="005D118E"/>
    <w:rsid w:val="005D1207"/>
    <w:rsid w:val="005D1332"/>
    <w:rsid w:val="005D1351"/>
    <w:rsid w:val="005D1630"/>
    <w:rsid w:val="005D1631"/>
    <w:rsid w:val="005D184B"/>
    <w:rsid w:val="005D1912"/>
    <w:rsid w:val="005D1975"/>
    <w:rsid w:val="005D1A6D"/>
    <w:rsid w:val="005D1AB5"/>
    <w:rsid w:val="005D1DC2"/>
    <w:rsid w:val="005D1DFB"/>
    <w:rsid w:val="005D1E29"/>
    <w:rsid w:val="005D1E97"/>
    <w:rsid w:val="005D1F80"/>
    <w:rsid w:val="005D1FB9"/>
    <w:rsid w:val="005D1FDD"/>
    <w:rsid w:val="005D2290"/>
    <w:rsid w:val="005D22A4"/>
    <w:rsid w:val="005D233F"/>
    <w:rsid w:val="005D2340"/>
    <w:rsid w:val="005D23FC"/>
    <w:rsid w:val="005D2482"/>
    <w:rsid w:val="005D24CF"/>
    <w:rsid w:val="005D2849"/>
    <w:rsid w:val="005D2889"/>
    <w:rsid w:val="005D2898"/>
    <w:rsid w:val="005D29E0"/>
    <w:rsid w:val="005D2A94"/>
    <w:rsid w:val="005D2B5C"/>
    <w:rsid w:val="005D2BA5"/>
    <w:rsid w:val="005D2BFF"/>
    <w:rsid w:val="005D2E0D"/>
    <w:rsid w:val="005D2ED0"/>
    <w:rsid w:val="005D31FD"/>
    <w:rsid w:val="005D3202"/>
    <w:rsid w:val="005D326F"/>
    <w:rsid w:val="005D32AE"/>
    <w:rsid w:val="005D3334"/>
    <w:rsid w:val="005D3382"/>
    <w:rsid w:val="005D3570"/>
    <w:rsid w:val="005D3871"/>
    <w:rsid w:val="005D38A0"/>
    <w:rsid w:val="005D38AC"/>
    <w:rsid w:val="005D3930"/>
    <w:rsid w:val="005D3964"/>
    <w:rsid w:val="005D4008"/>
    <w:rsid w:val="005D405F"/>
    <w:rsid w:val="005D4105"/>
    <w:rsid w:val="005D4188"/>
    <w:rsid w:val="005D41EE"/>
    <w:rsid w:val="005D4286"/>
    <w:rsid w:val="005D430F"/>
    <w:rsid w:val="005D4390"/>
    <w:rsid w:val="005D4450"/>
    <w:rsid w:val="005D46BC"/>
    <w:rsid w:val="005D47AF"/>
    <w:rsid w:val="005D4827"/>
    <w:rsid w:val="005D4897"/>
    <w:rsid w:val="005D4AF6"/>
    <w:rsid w:val="005D4B03"/>
    <w:rsid w:val="005D4B8A"/>
    <w:rsid w:val="005D4D4F"/>
    <w:rsid w:val="005D4E7C"/>
    <w:rsid w:val="005D505E"/>
    <w:rsid w:val="005D50A3"/>
    <w:rsid w:val="005D50D4"/>
    <w:rsid w:val="005D517D"/>
    <w:rsid w:val="005D51F6"/>
    <w:rsid w:val="005D5209"/>
    <w:rsid w:val="005D5541"/>
    <w:rsid w:val="005D554F"/>
    <w:rsid w:val="005D5564"/>
    <w:rsid w:val="005D56E2"/>
    <w:rsid w:val="005D57EA"/>
    <w:rsid w:val="005D5A14"/>
    <w:rsid w:val="005D5A60"/>
    <w:rsid w:val="005D5B21"/>
    <w:rsid w:val="005D5C2B"/>
    <w:rsid w:val="005D5D15"/>
    <w:rsid w:val="005D5D82"/>
    <w:rsid w:val="005D5D8E"/>
    <w:rsid w:val="005D5DBB"/>
    <w:rsid w:val="005D5DFA"/>
    <w:rsid w:val="005D5E3F"/>
    <w:rsid w:val="005D61C5"/>
    <w:rsid w:val="005D6393"/>
    <w:rsid w:val="005D6501"/>
    <w:rsid w:val="005D65AF"/>
    <w:rsid w:val="005D66ED"/>
    <w:rsid w:val="005D6757"/>
    <w:rsid w:val="005D6769"/>
    <w:rsid w:val="005D677A"/>
    <w:rsid w:val="005D6B8A"/>
    <w:rsid w:val="005D6D2B"/>
    <w:rsid w:val="005D6F11"/>
    <w:rsid w:val="005D7049"/>
    <w:rsid w:val="005D7199"/>
    <w:rsid w:val="005D7258"/>
    <w:rsid w:val="005D725A"/>
    <w:rsid w:val="005D750E"/>
    <w:rsid w:val="005D777F"/>
    <w:rsid w:val="005D7836"/>
    <w:rsid w:val="005D793B"/>
    <w:rsid w:val="005D7970"/>
    <w:rsid w:val="005D7A10"/>
    <w:rsid w:val="005D7A2C"/>
    <w:rsid w:val="005D7A3F"/>
    <w:rsid w:val="005D7A70"/>
    <w:rsid w:val="005D7AA1"/>
    <w:rsid w:val="005D7CDB"/>
    <w:rsid w:val="005D7D22"/>
    <w:rsid w:val="005D7D49"/>
    <w:rsid w:val="005D7DCC"/>
    <w:rsid w:val="005E004A"/>
    <w:rsid w:val="005E0130"/>
    <w:rsid w:val="005E01F1"/>
    <w:rsid w:val="005E020F"/>
    <w:rsid w:val="005E0474"/>
    <w:rsid w:val="005E04DE"/>
    <w:rsid w:val="005E04EB"/>
    <w:rsid w:val="005E053F"/>
    <w:rsid w:val="005E05E1"/>
    <w:rsid w:val="005E065C"/>
    <w:rsid w:val="005E067D"/>
    <w:rsid w:val="005E0767"/>
    <w:rsid w:val="005E0804"/>
    <w:rsid w:val="005E0AA8"/>
    <w:rsid w:val="005E0B2B"/>
    <w:rsid w:val="005E0D36"/>
    <w:rsid w:val="005E0D5A"/>
    <w:rsid w:val="005E0E1E"/>
    <w:rsid w:val="005E0ED1"/>
    <w:rsid w:val="005E112C"/>
    <w:rsid w:val="005E113C"/>
    <w:rsid w:val="005E1349"/>
    <w:rsid w:val="005E1427"/>
    <w:rsid w:val="005E1478"/>
    <w:rsid w:val="005E164A"/>
    <w:rsid w:val="005E1767"/>
    <w:rsid w:val="005E17C0"/>
    <w:rsid w:val="005E1959"/>
    <w:rsid w:val="005E196E"/>
    <w:rsid w:val="005E1A94"/>
    <w:rsid w:val="005E1C26"/>
    <w:rsid w:val="005E1C45"/>
    <w:rsid w:val="005E1D99"/>
    <w:rsid w:val="005E20AE"/>
    <w:rsid w:val="005E20F5"/>
    <w:rsid w:val="005E2225"/>
    <w:rsid w:val="005E22F4"/>
    <w:rsid w:val="005E23D0"/>
    <w:rsid w:val="005E24B6"/>
    <w:rsid w:val="005E2561"/>
    <w:rsid w:val="005E2802"/>
    <w:rsid w:val="005E2946"/>
    <w:rsid w:val="005E298A"/>
    <w:rsid w:val="005E2C43"/>
    <w:rsid w:val="005E2C95"/>
    <w:rsid w:val="005E2D0A"/>
    <w:rsid w:val="005E2D91"/>
    <w:rsid w:val="005E2E48"/>
    <w:rsid w:val="005E2EA2"/>
    <w:rsid w:val="005E301D"/>
    <w:rsid w:val="005E3129"/>
    <w:rsid w:val="005E31BF"/>
    <w:rsid w:val="005E3306"/>
    <w:rsid w:val="005E3839"/>
    <w:rsid w:val="005E393E"/>
    <w:rsid w:val="005E39D7"/>
    <w:rsid w:val="005E3A60"/>
    <w:rsid w:val="005E3B0E"/>
    <w:rsid w:val="005E3C2D"/>
    <w:rsid w:val="005E3D66"/>
    <w:rsid w:val="005E3E34"/>
    <w:rsid w:val="005E3E8A"/>
    <w:rsid w:val="005E3EDA"/>
    <w:rsid w:val="005E3F24"/>
    <w:rsid w:val="005E3FB3"/>
    <w:rsid w:val="005E3FCC"/>
    <w:rsid w:val="005E40D2"/>
    <w:rsid w:val="005E40DA"/>
    <w:rsid w:val="005E4284"/>
    <w:rsid w:val="005E4304"/>
    <w:rsid w:val="005E4352"/>
    <w:rsid w:val="005E44AA"/>
    <w:rsid w:val="005E495D"/>
    <w:rsid w:val="005E499E"/>
    <w:rsid w:val="005E49A2"/>
    <w:rsid w:val="005E4A0F"/>
    <w:rsid w:val="005E4A3B"/>
    <w:rsid w:val="005E4A7A"/>
    <w:rsid w:val="005E4C85"/>
    <w:rsid w:val="005E4D71"/>
    <w:rsid w:val="005E4F29"/>
    <w:rsid w:val="005E4F7C"/>
    <w:rsid w:val="005E506D"/>
    <w:rsid w:val="005E5105"/>
    <w:rsid w:val="005E5114"/>
    <w:rsid w:val="005E53FF"/>
    <w:rsid w:val="005E57FE"/>
    <w:rsid w:val="005E5836"/>
    <w:rsid w:val="005E5939"/>
    <w:rsid w:val="005E5A38"/>
    <w:rsid w:val="005E5AF9"/>
    <w:rsid w:val="005E5C27"/>
    <w:rsid w:val="005E5D15"/>
    <w:rsid w:val="005E5EE1"/>
    <w:rsid w:val="005E601F"/>
    <w:rsid w:val="005E6079"/>
    <w:rsid w:val="005E6296"/>
    <w:rsid w:val="005E631C"/>
    <w:rsid w:val="005E6331"/>
    <w:rsid w:val="005E6798"/>
    <w:rsid w:val="005E67C6"/>
    <w:rsid w:val="005E6AE6"/>
    <w:rsid w:val="005E6B8C"/>
    <w:rsid w:val="005E6BF1"/>
    <w:rsid w:val="005E6D6D"/>
    <w:rsid w:val="005E6E6D"/>
    <w:rsid w:val="005E6FCF"/>
    <w:rsid w:val="005E7208"/>
    <w:rsid w:val="005E7265"/>
    <w:rsid w:val="005E7325"/>
    <w:rsid w:val="005E7397"/>
    <w:rsid w:val="005E7579"/>
    <w:rsid w:val="005E761B"/>
    <w:rsid w:val="005E76A0"/>
    <w:rsid w:val="005E76A2"/>
    <w:rsid w:val="005E7704"/>
    <w:rsid w:val="005E7962"/>
    <w:rsid w:val="005E79F5"/>
    <w:rsid w:val="005E7CA0"/>
    <w:rsid w:val="005E7D5C"/>
    <w:rsid w:val="005E7E88"/>
    <w:rsid w:val="005E7ECA"/>
    <w:rsid w:val="005E7F27"/>
    <w:rsid w:val="005F0184"/>
    <w:rsid w:val="005F03D9"/>
    <w:rsid w:val="005F0470"/>
    <w:rsid w:val="005F049B"/>
    <w:rsid w:val="005F0547"/>
    <w:rsid w:val="005F06E2"/>
    <w:rsid w:val="005F076B"/>
    <w:rsid w:val="005F07B1"/>
    <w:rsid w:val="005F0909"/>
    <w:rsid w:val="005F0A33"/>
    <w:rsid w:val="005F0B2F"/>
    <w:rsid w:val="005F0BA4"/>
    <w:rsid w:val="005F0C7F"/>
    <w:rsid w:val="005F0DB2"/>
    <w:rsid w:val="005F0EE2"/>
    <w:rsid w:val="005F0FE8"/>
    <w:rsid w:val="005F1386"/>
    <w:rsid w:val="005F13A2"/>
    <w:rsid w:val="005F1452"/>
    <w:rsid w:val="005F14B4"/>
    <w:rsid w:val="005F15C9"/>
    <w:rsid w:val="005F1800"/>
    <w:rsid w:val="005F18A1"/>
    <w:rsid w:val="005F194B"/>
    <w:rsid w:val="005F1CA3"/>
    <w:rsid w:val="005F1D4D"/>
    <w:rsid w:val="005F1D50"/>
    <w:rsid w:val="005F1F18"/>
    <w:rsid w:val="005F2096"/>
    <w:rsid w:val="005F220A"/>
    <w:rsid w:val="005F22A9"/>
    <w:rsid w:val="005F2397"/>
    <w:rsid w:val="005F253F"/>
    <w:rsid w:val="005F2550"/>
    <w:rsid w:val="005F2666"/>
    <w:rsid w:val="005F2724"/>
    <w:rsid w:val="005F2768"/>
    <w:rsid w:val="005F292A"/>
    <w:rsid w:val="005F2B45"/>
    <w:rsid w:val="005F2CA6"/>
    <w:rsid w:val="005F2D4C"/>
    <w:rsid w:val="005F2E1B"/>
    <w:rsid w:val="005F2FA6"/>
    <w:rsid w:val="005F3135"/>
    <w:rsid w:val="005F320E"/>
    <w:rsid w:val="005F3224"/>
    <w:rsid w:val="005F341B"/>
    <w:rsid w:val="005F3496"/>
    <w:rsid w:val="005F34C1"/>
    <w:rsid w:val="005F3859"/>
    <w:rsid w:val="005F38C2"/>
    <w:rsid w:val="005F3950"/>
    <w:rsid w:val="005F3BF6"/>
    <w:rsid w:val="005F3DBA"/>
    <w:rsid w:val="005F4024"/>
    <w:rsid w:val="005F417E"/>
    <w:rsid w:val="005F4194"/>
    <w:rsid w:val="005F4320"/>
    <w:rsid w:val="005F44BA"/>
    <w:rsid w:val="005F4629"/>
    <w:rsid w:val="005F4650"/>
    <w:rsid w:val="005F4857"/>
    <w:rsid w:val="005F492A"/>
    <w:rsid w:val="005F4978"/>
    <w:rsid w:val="005F4C8C"/>
    <w:rsid w:val="005F4E25"/>
    <w:rsid w:val="005F5031"/>
    <w:rsid w:val="005F5056"/>
    <w:rsid w:val="005F533D"/>
    <w:rsid w:val="005F5430"/>
    <w:rsid w:val="005F57ED"/>
    <w:rsid w:val="005F580B"/>
    <w:rsid w:val="005F58DF"/>
    <w:rsid w:val="005F5ABE"/>
    <w:rsid w:val="005F5AEE"/>
    <w:rsid w:val="005F5B26"/>
    <w:rsid w:val="005F5DA6"/>
    <w:rsid w:val="005F5E03"/>
    <w:rsid w:val="005F5E51"/>
    <w:rsid w:val="005F5E6E"/>
    <w:rsid w:val="005F5ECB"/>
    <w:rsid w:val="005F5ED7"/>
    <w:rsid w:val="005F5F0D"/>
    <w:rsid w:val="005F5F91"/>
    <w:rsid w:val="005F601C"/>
    <w:rsid w:val="005F6097"/>
    <w:rsid w:val="005F6098"/>
    <w:rsid w:val="005F61EE"/>
    <w:rsid w:val="005F6277"/>
    <w:rsid w:val="005F62D9"/>
    <w:rsid w:val="005F63DF"/>
    <w:rsid w:val="005F6404"/>
    <w:rsid w:val="005F655B"/>
    <w:rsid w:val="005F65B9"/>
    <w:rsid w:val="005F675D"/>
    <w:rsid w:val="005F67F1"/>
    <w:rsid w:val="005F67F6"/>
    <w:rsid w:val="005F6895"/>
    <w:rsid w:val="005F68E2"/>
    <w:rsid w:val="005F6A44"/>
    <w:rsid w:val="005F6AE8"/>
    <w:rsid w:val="005F6B40"/>
    <w:rsid w:val="005F6B49"/>
    <w:rsid w:val="005F6BB2"/>
    <w:rsid w:val="005F6C3C"/>
    <w:rsid w:val="005F6DD1"/>
    <w:rsid w:val="005F6DD4"/>
    <w:rsid w:val="005F6FBD"/>
    <w:rsid w:val="005F6FBF"/>
    <w:rsid w:val="005F7033"/>
    <w:rsid w:val="005F724A"/>
    <w:rsid w:val="005F7325"/>
    <w:rsid w:val="005F73D1"/>
    <w:rsid w:val="005F73E0"/>
    <w:rsid w:val="005F77DA"/>
    <w:rsid w:val="005F788D"/>
    <w:rsid w:val="005F79B1"/>
    <w:rsid w:val="005F7A52"/>
    <w:rsid w:val="005F7B6C"/>
    <w:rsid w:val="005F7CBA"/>
    <w:rsid w:val="005F7D30"/>
    <w:rsid w:val="005F7DA2"/>
    <w:rsid w:val="005F7DDA"/>
    <w:rsid w:val="005F7FE1"/>
    <w:rsid w:val="005FA6FB"/>
    <w:rsid w:val="00600093"/>
    <w:rsid w:val="0060013A"/>
    <w:rsid w:val="00600668"/>
    <w:rsid w:val="00600810"/>
    <w:rsid w:val="00600942"/>
    <w:rsid w:val="00600B1A"/>
    <w:rsid w:val="00600E9D"/>
    <w:rsid w:val="00600F34"/>
    <w:rsid w:val="006010B6"/>
    <w:rsid w:val="00601148"/>
    <w:rsid w:val="006011AE"/>
    <w:rsid w:val="006012E8"/>
    <w:rsid w:val="006013EB"/>
    <w:rsid w:val="0060163B"/>
    <w:rsid w:val="0060168C"/>
    <w:rsid w:val="00601718"/>
    <w:rsid w:val="006017B9"/>
    <w:rsid w:val="00601914"/>
    <w:rsid w:val="00601992"/>
    <w:rsid w:val="00601E73"/>
    <w:rsid w:val="00601E8C"/>
    <w:rsid w:val="00601EDA"/>
    <w:rsid w:val="00601FD5"/>
    <w:rsid w:val="00602029"/>
    <w:rsid w:val="00602203"/>
    <w:rsid w:val="00602225"/>
    <w:rsid w:val="006022CB"/>
    <w:rsid w:val="00602327"/>
    <w:rsid w:val="006023A3"/>
    <w:rsid w:val="00602400"/>
    <w:rsid w:val="006024EE"/>
    <w:rsid w:val="006025D2"/>
    <w:rsid w:val="0060272D"/>
    <w:rsid w:val="00602761"/>
    <w:rsid w:val="006029E7"/>
    <w:rsid w:val="00602BF5"/>
    <w:rsid w:val="00602C41"/>
    <w:rsid w:val="00602C7F"/>
    <w:rsid w:val="00602ED4"/>
    <w:rsid w:val="00603013"/>
    <w:rsid w:val="0060301C"/>
    <w:rsid w:val="0060334D"/>
    <w:rsid w:val="00603497"/>
    <w:rsid w:val="006036B6"/>
    <w:rsid w:val="006036FD"/>
    <w:rsid w:val="00603737"/>
    <w:rsid w:val="00603743"/>
    <w:rsid w:val="006037B1"/>
    <w:rsid w:val="006037BB"/>
    <w:rsid w:val="0060381C"/>
    <w:rsid w:val="0060393C"/>
    <w:rsid w:val="00603AAB"/>
    <w:rsid w:val="00603B99"/>
    <w:rsid w:val="00603C3B"/>
    <w:rsid w:val="00603F87"/>
    <w:rsid w:val="006043D6"/>
    <w:rsid w:val="0060440F"/>
    <w:rsid w:val="00604410"/>
    <w:rsid w:val="00604657"/>
    <w:rsid w:val="006046EB"/>
    <w:rsid w:val="006047A3"/>
    <w:rsid w:val="006047CD"/>
    <w:rsid w:val="00604AFF"/>
    <w:rsid w:val="00604C49"/>
    <w:rsid w:val="00604E26"/>
    <w:rsid w:val="00604EDA"/>
    <w:rsid w:val="00604F35"/>
    <w:rsid w:val="00604F3B"/>
    <w:rsid w:val="00604F79"/>
    <w:rsid w:val="00604FE0"/>
    <w:rsid w:val="006050C8"/>
    <w:rsid w:val="006050F6"/>
    <w:rsid w:val="0060512B"/>
    <w:rsid w:val="0060529D"/>
    <w:rsid w:val="00605498"/>
    <w:rsid w:val="006054E9"/>
    <w:rsid w:val="0060554A"/>
    <w:rsid w:val="006055AE"/>
    <w:rsid w:val="00605612"/>
    <w:rsid w:val="00605682"/>
    <w:rsid w:val="00605941"/>
    <w:rsid w:val="006059BD"/>
    <w:rsid w:val="00605A55"/>
    <w:rsid w:val="00605BEB"/>
    <w:rsid w:val="00605C01"/>
    <w:rsid w:val="00605F10"/>
    <w:rsid w:val="00605F6B"/>
    <w:rsid w:val="00605FEC"/>
    <w:rsid w:val="00606076"/>
    <w:rsid w:val="00606126"/>
    <w:rsid w:val="006065E6"/>
    <w:rsid w:val="0060672A"/>
    <w:rsid w:val="00606821"/>
    <w:rsid w:val="006069F3"/>
    <w:rsid w:val="00606AF3"/>
    <w:rsid w:val="00606C96"/>
    <w:rsid w:val="00606E07"/>
    <w:rsid w:val="00606E35"/>
    <w:rsid w:val="00606F12"/>
    <w:rsid w:val="00606F83"/>
    <w:rsid w:val="00606FB3"/>
    <w:rsid w:val="00606FD6"/>
    <w:rsid w:val="00607096"/>
    <w:rsid w:val="006070A5"/>
    <w:rsid w:val="0060719A"/>
    <w:rsid w:val="00607249"/>
    <w:rsid w:val="00607295"/>
    <w:rsid w:val="0060748F"/>
    <w:rsid w:val="006074C1"/>
    <w:rsid w:val="006075A2"/>
    <w:rsid w:val="00607635"/>
    <w:rsid w:val="006076BB"/>
    <w:rsid w:val="0060774C"/>
    <w:rsid w:val="00607802"/>
    <w:rsid w:val="00607853"/>
    <w:rsid w:val="00607915"/>
    <w:rsid w:val="00607A58"/>
    <w:rsid w:val="00607B18"/>
    <w:rsid w:val="00607C9D"/>
    <w:rsid w:val="00607DD9"/>
    <w:rsid w:val="00607ECC"/>
    <w:rsid w:val="00607F8C"/>
    <w:rsid w:val="0061009B"/>
    <w:rsid w:val="00610136"/>
    <w:rsid w:val="006103D1"/>
    <w:rsid w:val="0061059E"/>
    <w:rsid w:val="00610686"/>
    <w:rsid w:val="006106B3"/>
    <w:rsid w:val="00610779"/>
    <w:rsid w:val="006107A4"/>
    <w:rsid w:val="006107D7"/>
    <w:rsid w:val="006108DD"/>
    <w:rsid w:val="00610A1A"/>
    <w:rsid w:val="00610AA0"/>
    <w:rsid w:val="00610B80"/>
    <w:rsid w:val="00610C47"/>
    <w:rsid w:val="00610DFF"/>
    <w:rsid w:val="00610E87"/>
    <w:rsid w:val="00610ED6"/>
    <w:rsid w:val="00610F3D"/>
    <w:rsid w:val="00610F99"/>
    <w:rsid w:val="00610FF2"/>
    <w:rsid w:val="0061106C"/>
    <w:rsid w:val="0061127C"/>
    <w:rsid w:val="00611419"/>
    <w:rsid w:val="00611541"/>
    <w:rsid w:val="00611601"/>
    <w:rsid w:val="00611624"/>
    <w:rsid w:val="0061166E"/>
    <w:rsid w:val="006117A5"/>
    <w:rsid w:val="006117BF"/>
    <w:rsid w:val="006117F6"/>
    <w:rsid w:val="006119C7"/>
    <w:rsid w:val="00611AAB"/>
    <w:rsid w:val="00611AD6"/>
    <w:rsid w:val="00611ADB"/>
    <w:rsid w:val="00611BFF"/>
    <w:rsid w:val="00611DD1"/>
    <w:rsid w:val="0061206D"/>
    <w:rsid w:val="006121A0"/>
    <w:rsid w:val="00612242"/>
    <w:rsid w:val="00612450"/>
    <w:rsid w:val="006124EE"/>
    <w:rsid w:val="0061253E"/>
    <w:rsid w:val="00612708"/>
    <w:rsid w:val="00612726"/>
    <w:rsid w:val="0061276D"/>
    <w:rsid w:val="0061277C"/>
    <w:rsid w:val="0061286A"/>
    <w:rsid w:val="006128B2"/>
    <w:rsid w:val="006128C4"/>
    <w:rsid w:val="00612B0A"/>
    <w:rsid w:val="00612B2E"/>
    <w:rsid w:val="00612D4A"/>
    <w:rsid w:val="00612D8F"/>
    <w:rsid w:val="00612E30"/>
    <w:rsid w:val="0061317A"/>
    <w:rsid w:val="006133EA"/>
    <w:rsid w:val="006134AA"/>
    <w:rsid w:val="00613555"/>
    <w:rsid w:val="00613672"/>
    <w:rsid w:val="0061371A"/>
    <w:rsid w:val="0061380F"/>
    <w:rsid w:val="00613952"/>
    <w:rsid w:val="00613A01"/>
    <w:rsid w:val="00613EE9"/>
    <w:rsid w:val="00613EEA"/>
    <w:rsid w:val="00613F2B"/>
    <w:rsid w:val="00613F83"/>
    <w:rsid w:val="00614044"/>
    <w:rsid w:val="006140AB"/>
    <w:rsid w:val="0061429C"/>
    <w:rsid w:val="006143E0"/>
    <w:rsid w:val="00614429"/>
    <w:rsid w:val="006144B5"/>
    <w:rsid w:val="006145A8"/>
    <w:rsid w:val="006147F3"/>
    <w:rsid w:val="0061482B"/>
    <w:rsid w:val="00614A5A"/>
    <w:rsid w:val="00614ACD"/>
    <w:rsid w:val="00614B9D"/>
    <w:rsid w:val="00614BBD"/>
    <w:rsid w:val="00614E13"/>
    <w:rsid w:val="00615362"/>
    <w:rsid w:val="00615447"/>
    <w:rsid w:val="00615472"/>
    <w:rsid w:val="0061564A"/>
    <w:rsid w:val="00615725"/>
    <w:rsid w:val="006157D2"/>
    <w:rsid w:val="006159E0"/>
    <w:rsid w:val="00615A26"/>
    <w:rsid w:val="00615B46"/>
    <w:rsid w:val="00615BD6"/>
    <w:rsid w:val="00615C44"/>
    <w:rsid w:val="00615F26"/>
    <w:rsid w:val="00615F48"/>
    <w:rsid w:val="00616031"/>
    <w:rsid w:val="00616068"/>
    <w:rsid w:val="006161F9"/>
    <w:rsid w:val="006168C0"/>
    <w:rsid w:val="006168DB"/>
    <w:rsid w:val="006169D5"/>
    <w:rsid w:val="006169E1"/>
    <w:rsid w:val="00616C5D"/>
    <w:rsid w:val="00616C67"/>
    <w:rsid w:val="00616C73"/>
    <w:rsid w:val="00616D39"/>
    <w:rsid w:val="00616D41"/>
    <w:rsid w:val="00616DCF"/>
    <w:rsid w:val="00616DFF"/>
    <w:rsid w:val="00616EDE"/>
    <w:rsid w:val="00616F4B"/>
    <w:rsid w:val="00616FBD"/>
    <w:rsid w:val="00617014"/>
    <w:rsid w:val="0061743C"/>
    <w:rsid w:val="006174E2"/>
    <w:rsid w:val="00617694"/>
    <w:rsid w:val="00617722"/>
    <w:rsid w:val="006177F9"/>
    <w:rsid w:val="00617832"/>
    <w:rsid w:val="006178B6"/>
    <w:rsid w:val="00617960"/>
    <w:rsid w:val="00617A31"/>
    <w:rsid w:val="00617ACB"/>
    <w:rsid w:val="00617B25"/>
    <w:rsid w:val="00617B34"/>
    <w:rsid w:val="00617C28"/>
    <w:rsid w:val="00617D39"/>
    <w:rsid w:val="00617D79"/>
    <w:rsid w:val="00617FD9"/>
    <w:rsid w:val="00620238"/>
    <w:rsid w:val="00620249"/>
    <w:rsid w:val="00620308"/>
    <w:rsid w:val="0062032C"/>
    <w:rsid w:val="006203CA"/>
    <w:rsid w:val="00620483"/>
    <w:rsid w:val="00620579"/>
    <w:rsid w:val="006205E7"/>
    <w:rsid w:val="006206F8"/>
    <w:rsid w:val="00620B18"/>
    <w:rsid w:val="00620B6A"/>
    <w:rsid w:val="00620C7C"/>
    <w:rsid w:val="00620C83"/>
    <w:rsid w:val="00620C94"/>
    <w:rsid w:val="00620CBA"/>
    <w:rsid w:val="00620EB6"/>
    <w:rsid w:val="00620F13"/>
    <w:rsid w:val="00620F88"/>
    <w:rsid w:val="006210E5"/>
    <w:rsid w:val="0062131B"/>
    <w:rsid w:val="006214D3"/>
    <w:rsid w:val="00621587"/>
    <w:rsid w:val="00621631"/>
    <w:rsid w:val="006216BA"/>
    <w:rsid w:val="00621716"/>
    <w:rsid w:val="0062180D"/>
    <w:rsid w:val="0062193B"/>
    <w:rsid w:val="00621985"/>
    <w:rsid w:val="00621A38"/>
    <w:rsid w:val="00621A5C"/>
    <w:rsid w:val="00621B0C"/>
    <w:rsid w:val="00621BE1"/>
    <w:rsid w:val="00621BEA"/>
    <w:rsid w:val="00621C80"/>
    <w:rsid w:val="00621CDC"/>
    <w:rsid w:val="00621E48"/>
    <w:rsid w:val="00621E7D"/>
    <w:rsid w:val="00622026"/>
    <w:rsid w:val="00622042"/>
    <w:rsid w:val="006220ED"/>
    <w:rsid w:val="00622382"/>
    <w:rsid w:val="006226FD"/>
    <w:rsid w:val="00622A7C"/>
    <w:rsid w:val="00622ADE"/>
    <w:rsid w:val="00622E93"/>
    <w:rsid w:val="0062305F"/>
    <w:rsid w:val="006231B3"/>
    <w:rsid w:val="00623372"/>
    <w:rsid w:val="006237A7"/>
    <w:rsid w:val="00623869"/>
    <w:rsid w:val="00623AAE"/>
    <w:rsid w:val="00623B7B"/>
    <w:rsid w:val="00623C29"/>
    <w:rsid w:val="00623D30"/>
    <w:rsid w:val="00623D89"/>
    <w:rsid w:val="00623E56"/>
    <w:rsid w:val="00623FE8"/>
    <w:rsid w:val="00624152"/>
    <w:rsid w:val="00624171"/>
    <w:rsid w:val="00624271"/>
    <w:rsid w:val="00624296"/>
    <w:rsid w:val="006243C8"/>
    <w:rsid w:val="00624429"/>
    <w:rsid w:val="00624473"/>
    <w:rsid w:val="0062454F"/>
    <w:rsid w:val="0062462C"/>
    <w:rsid w:val="00624663"/>
    <w:rsid w:val="00624686"/>
    <w:rsid w:val="006246C1"/>
    <w:rsid w:val="00624895"/>
    <w:rsid w:val="006249E8"/>
    <w:rsid w:val="006249F0"/>
    <w:rsid w:val="00624E8E"/>
    <w:rsid w:val="00624F70"/>
    <w:rsid w:val="00624FF2"/>
    <w:rsid w:val="00625093"/>
    <w:rsid w:val="006251EC"/>
    <w:rsid w:val="00625285"/>
    <w:rsid w:val="0062577F"/>
    <w:rsid w:val="006258CB"/>
    <w:rsid w:val="00625990"/>
    <w:rsid w:val="0062599C"/>
    <w:rsid w:val="00625A44"/>
    <w:rsid w:val="00625A53"/>
    <w:rsid w:val="00625A6B"/>
    <w:rsid w:val="00625ADB"/>
    <w:rsid w:val="00625B6D"/>
    <w:rsid w:val="00625B7C"/>
    <w:rsid w:val="00625CC7"/>
    <w:rsid w:val="00625F17"/>
    <w:rsid w:val="00625F35"/>
    <w:rsid w:val="00625FCE"/>
    <w:rsid w:val="00626151"/>
    <w:rsid w:val="0062617D"/>
    <w:rsid w:val="006262B0"/>
    <w:rsid w:val="006266A9"/>
    <w:rsid w:val="0062684D"/>
    <w:rsid w:val="006268C4"/>
    <w:rsid w:val="0062691D"/>
    <w:rsid w:val="006269DC"/>
    <w:rsid w:val="00626F56"/>
    <w:rsid w:val="006270B5"/>
    <w:rsid w:val="006270FF"/>
    <w:rsid w:val="00627198"/>
    <w:rsid w:val="0062727B"/>
    <w:rsid w:val="006272D2"/>
    <w:rsid w:val="00627344"/>
    <w:rsid w:val="006274D2"/>
    <w:rsid w:val="00627563"/>
    <w:rsid w:val="00627615"/>
    <w:rsid w:val="00627639"/>
    <w:rsid w:val="0062768E"/>
    <w:rsid w:val="0062783A"/>
    <w:rsid w:val="006278DC"/>
    <w:rsid w:val="006279A9"/>
    <w:rsid w:val="00627E04"/>
    <w:rsid w:val="00627EDF"/>
    <w:rsid w:val="00627F16"/>
    <w:rsid w:val="00630006"/>
    <w:rsid w:val="00630149"/>
    <w:rsid w:val="0063026A"/>
    <w:rsid w:val="006302A6"/>
    <w:rsid w:val="006302CC"/>
    <w:rsid w:val="0063034C"/>
    <w:rsid w:val="006303A0"/>
    <w:rsid w:val="00630583"/>
    <w:rsid w:val="00630618"/>
    <w:rsid w:val="0063071C"/>
    <w:rsid w:val="006308E4"/>
    <w:rsid w:val="00630AF0"/>
    <w:rsid w:val="00630C58"/>
    <w:rsid w:val="00630CBE"/>
    <w:rsid w:val="00630ED8"/>
    <w:rsid w:val="00630EE9"/>
    <w:rsid w:val="00631171"/>
    <w:rsid w:val="00631195"/>
    <w:rsid w:val="00631221"/>
    <w:rsid w:val="006312E1"/>
    <w:rsid w:val="006313FC"/>
    <w:rsid w:val="00631493"/>
    <w:rsid w:val="00631639"/>
    <w:rsid w:val="006316D4"/>
    <w:rsid w:val="006317AA"/>
    <w:rsid w:val="0063181A"/>
    <w:rsid w:val="006318DE"/>
    <w:rsid w:val="006318E7"/>
    <w:rsid w:val="00631B5E"/>
    <w:rsid w:val="00631BA8"/>
    <w:rsid w:val="00631D4F"/>
    <w:rsid w:val="00631D6D"/>
    <w:rsid w:val="00631DD7"/>
    <w:rsid w:val="00631E6E"/>
    <w:rsid w:val="00631F78"/>
    <w:rsid w:val="00632026"/>
    <w:rsid w:val="00632047"/>
    <w:rsid w:val="006323CC"/>
    <w:rsid w:val="00632446"/>
    <w:rsid w:val="006324B2"/>
    <w:rsid w:val="006325F9"/>
    <w:rsid w:val="006326DE"/>
    <w:rsid w:val="00632700"/>
    <w:rsid w:val="0063276E"/>
    <w:rsid w:val="006327A5"/>
    <w:rsid w:val="006327F8"/>
    <w:rsid w:val="00632A8C"/>
    <w:rsid w:val="00632B60"/>
    <w:rsid w:val="00632D22"/>
    <w:rsid w:val="00632E62"/>
    <w:rsid w:val="00632E8E"/>
    <w:rsid w:val="00632E93"/>
    <w:rsid w:val="00633370"/>
    <w:rsid w:val="006334D4"/>
    <w:rsid w:val="006335D0"/>
    <w:rsid w:val="00633676"/>
    <w:rsid w:val="006339CD"/>
    <w:rsid w:val="00633C2A"/>
    <w:rsid w:val="00633D28"/>
    <w:rsid w:val="00633E52"/>
    <w:rsid w:val="00633EFA"/>
    <w:rsid w:val="00633F25"/>
    <w:rsid w:val="00633F42"/>
    <w:rsid w:val="00633F9A"/>
    <w:rsid w:val="006340B1"/>
    <w:rsid w:val="0063413C"/>
    <w:rsid w:val="006341B6"/>
    <w:rsid w:val="006341EB"/>
    <w:rsid w:val="00634235"/>
    <w:rsid w:val="006342D9"/>
    <w:rsid w:val="00634532"/>
    <w:rsid w:val="006345E7"/>
    <w:rsid w:val="00634782"/>
    <w:rsid w:val="00634A42"/>
    <w:rsid w:val="00634C04"/>
    <w:rsid w:val="00634FAF"/>
    <w:rsid w:val="0063501B"/>
    <w:rsid w:val="006351F7"/>
    <w:rsid w:val="00635374"/>
    <w:rsid w:val="0063549B"/>
    <w:rsid w:val="0063551F"/>
    <w:rsid w:val="0063553E"/>
    <w:rsid w:val="0063598F"/>
    <w:rsid w:val="00635AE3"/>
    <w:rsid w:val="00635AF1"/>
    <w:rsid w:val="00635B8E"/>
    <w:rsid w:val="00635BDC"/>
    <w:rsid w:val="00635E17"/>
    <w:rsid w:val="00635E4C"/>
    <w:rsid w:val="00635E9D"/>
    <w:rsid w:val="0063623A"/>
    <w:rsid w:val="0063629E"/>
    <w:rsid w:val="006362B2"/>
    <w:rsid w:val="006362E8"/>
    <w:rsid w:val="006363C8"/>
    <w:rsid w:val="006363D5"/>
    <w:rsid w:val="006364F9"/>
    <w:rsid w:val="006366EB"/>
    <w:rsid w:val="0063678F"/>
    <w:rsid w:val="006367C4"/>
    <w:rsid w:val="00636952"/>
    <w:rsid w:val="006369AB"/>
    <w:rsid w:val="00636A20"/>
    <w:rsid w:val="00636BB4"/>
    <w:rsid w:val="00636C1D"/>
    <w:rsid w:val="00636CAB"/>
    <w:rsid w:val="00636F5D"/>
    <w:rsid w:val="00637012"/>
    <w:rsid w:val="00637018"/>
    <w:rsid w:val="00637059"/>
    <w:rsid w:val="006370BE"/>
    <w:rsid w:val="0063713E"/>
    <w:rsid w:val="00637338"/>
    <w:rsid w:val="0063735B"/>
    <w:rsid w:val="00637494"/>
    <w:rsid w:val="006374EF"/>
    <w:rsid w:val="0063758C"/>
    <w:rsid w:val="006376F4"/>
    <w:rsid w:val="0063784F"/>
    <w:rsid w:val="0063787B"/>
    <w:rsid w:val="006378BF"/>
    <w:rsid w:val="00637961"/>
    <w:rsid w:val="00637AAF"/>
    <w:rsid w:val="00637ABC"/>
    <w:rsid w:val="00637DC1"/>
    <w:rsid w:val="00637EA0"/>
    <w:rsid w:val="00637EB1"/>
    <w:rsid w:val="00637F03"/>
    <w:rsid w:val="00637F30"/>
    <w:rsid w:val="00640008"/>
    <w:rsid w:val="00640202"/>
    <w:rsid w:val="0064033E"/>
    <w:rsid w:val="006404FA"/>
    <w:rsid w:val="0064067A"/>
    <w:rsid w:val="006406D2"/>
    <w:rsid w:val="006406F3"/>
    <w:rsid w:val="00640850"/>
    <w:rsid w:val="00640D70"/>
    <w:rsid w:val="00641236"/>
    <w:rsid w:val="006414F8"/>
    <w:rsid w:val="00641865"/>
    <w:rsid w:val="00641A50"/>
    <w:rsid w:val="00641E1F"/>
    <w:rsid w:val="00641E55"/>
    <w:rsid w:val="00641FAA"/>
    <w:rsid w:val="00642020"/>
    <w:rsid w:val="00642301"/>
    <w:rsid w:val="00642380"/>
    <w:rsid w:val="006423CF"/>
    <w:rsid w:val="0064243B"/>
    <w:rsid w:val="0064246F"/>
    <w:rsid w:val="006427D7"/>
    <w:rsid w:val="006429E1"/>
    <w:rsid w:val="00642B0C"/>
    <w:rsid w:val="00642C3B"/>
    <w:rsid w:val="00642C9C"/>
    <w:rsid w:val="00642CD2"/>
    <w:rsid w:val="00642DE6"/>
    <w:rsid w:val="00642E40"/>
    <w:rsid w:val="00642E8E"/>
    <w:rsid w:val="00642F3A"/>
    <w:rsid w:val="00642F86"/>
    <w:rsid w:val="00642FC2"/>
    <w:rsid w:val="00643042"/>
    <w:rsid w:val="00643209"/>
    <w:rsid w:val="0064322D"/>
    <w:rsid w:val="006432B2"/>
    <w:rsid w:val="00643357"/>
    <w:rsid w:val="006435FF"/>
    <w:rsid w:val="00643768"/>
    <w:rsid w:val="0064377B"/>
    <w:rsid w:val="006437F6"/>
    <w:rsid w:val="0064386A"/>
    <w:rsid w:val="006439A6"/>
    <w:rsid w:val="00643A61"/>
    <w:rsid w:val="00643C61"/>
    <w:rsid w:val="00643D4E"/>
    <w:rsid w:val="00643F84"/>
    <w:rsid w:val="0064411C"/>
    <w:rsid w:val="006441C4"/>
    <w:rsid w:val="00644208"/>
    <w:rsid w:val="0064430E"/>
    <w:rsid w:val="00644575"/>
    <w:rsid w:val="006445EE"/>
    <w:rsid w:val="006447C0"/>
    <w:rsid w:val="00644874"/>
    <w:rsid w:val="00644902"/>
    <w:rsid w:val="0064499A"/>
    <w:rsid w:val="006449EB"/>
    <w:rsid w:val="00644B6D"/>
    <w:rsid w:val="00644BCE"/>
    <w:rsid w:val="00644C49"/>
    <w:rsid w:val="00644D1B"/>
    <w:rsid w:val="00644E45"/>
    <w:rsid w:val="00644E5F"/>
    <w:rsid w:val="00645027"/>
    <w:rsid w:val="0064502B"/>
    <w:rsid w:val="00645054"/>
    <w:rsid w:val="006455AB"/>
    <w:rsid w:val="00645617"/>
    <w:rsid w:val="0064570B"/>
    <w:rsid w:val="006457CE"/>
    <w:rsid w:val="006457E3"/>
    <w:rsid w:val="00645987"/>
    <w:rsid w:val="00645CAE"/>
    <w:rsid w:val="00645E51"/>
    <w:rsid w:val="00645E69"/>
    <w:rsid w:val="00645EB1"/>
    <w:rsid w:val="00645F7C"/>
    <w:rsid w:val="0064617D"/>
    <w:rsid w:val="006461C1"/>
    <w:rsid w:val="0064620D"/>
    <w:rsid w:val="00646253"/>
    <w:rsid w:val="00646317"/>
    <w:rsid w:val="0064634E"/>
    <w:rsid w:val="00646368"/>
    <w:rsid w:val="0064658E"/>
    <w:rsid w:val="006465C9"/>
    <w:rsid w:val="006466AA"/>
    <w:rsid w:val="006467AC"/>
    <w:rsid w:val="0064687A"/>
    <w:rsid w:val="006468A3"/>
    <w:rsid w:val="006468BC"/>
    <w:rsid w:val="006468DA"/>
    <w:rsid w:val="00646A38"/>
    <w:rsid w:val="00646AFF"/>
    <w:rsid w:val="00646D29"/>
    <w:rsid w:val="00646D6B"/>
    <w:rsid w:val="00646DF1"/>
    <w:rsid w:val="00646F48"/>
    <w:rsid w:val="006471DE"/>
    <w:rsid w:val="00647423"/>
    <w:rsid w:val="006474F9"/>
    <w:rsid w:val="0064760C"/>
    <w:rsid w:val="006476F3"/>
    <w:rsid w:val="006477BF"/>
    <w:rsid w:val="00647929"/>
    <w:rsid w:val="00647BB6"/>
    <w:rsid w:val="00647C61"/>
    <w:rsid w:val="00647CF7"/>
    <w:rsid w:val="00647D2E"/>
    <w:rsid w:val="00647EFE"/>
    <w:rsid w:val="00647FB1"/>
    <w:rsid w:val="00647FC5"/>
    <w:rsid w:val="006500D5"/>
    <w:rsid w:val="00650389"/>
    <w:rsid w:val="006503F4"/>
    <w:rsid w:val="00650584"/>
    <w:rsid w:val="006505F3"/>
    <w:rsid w:val="006507E7"/>
    <w:rsid w:val="0065080A"/>
    <w:rsid w:val="00650869"/>
    <w:rsid w:val="00650AA3"/>
    <w:rsid w:val="00650C2B"/>
    <w:rsid w:val="006510C3"/>
    <w:rsid w:val="00651260"/>
    <w:rsid w:val="006512C8"/>
    <w:rsid w:val="00651354"/>
    <w:rsid w:val="00651729"/>
    <w:rsid w:val="006517F8"/>
    <w:rsid w:val="0065192D"/>
    <w:rsid w:val="006519DD"/>
    <w:rsid w:val="00651AAC"/>
    <w:rsid w:val="00651B26"/>
    <w:rsid w:val="00651B33"/>
    <w:rsid w:val="00651D99"/>
    <w:rsid w:val="00651D9A"/>
    <w:rsid w:val="00651D9F"/>
    <w:rsid w:val="00651FB3"/>
    <w:rsid w:val="00651FF5"/>
    <w:rsid w:val="006520FE"/>
    <w:rsid w:val="0065236D"/>
    <w:rsid w:val="006525A9"/>
    <w:rsid w:val="006525D0"/>
    <w:rsid w:val="006526B1"/>
    <w:rsid w:val="006526B7"/>
    <w:rsid w:val="006527CE"/>
    <w:rsid w:val="0065284E"/>
    <w:rsid w:val="006528AE"/>
    <w:rsid w:val="006529CB"/>
    <w:rsid w:val="006529EB"/>
    <w:rsid w:val="00652B55"/>
    <w:rsid w:val="00652B90"/>
    <w:rsid w:val="00652C0F"/>
    <w:rsid w:val="00652CE5"/>
    <w:rsid w:val="00652E78"/>
    <w:rsid w:val="00652EB3"/>
    <w:rsid w:val="00652F49"/>
    <w:rsid w:val="0065307E"/>
    <w:rsid w:val="0065313A"/>
    <w:rsid w:val="0065323C"/>
    <w:rsid w:val="00653453"/>
    <w:rsid w:val="006535B0"/>
    <w:rsid w:val="006536CC"/>
    <w:rsid w:val="006536EC"/>
    <w:rsid w:val="00653720"/>
    <w:rsid w:val="00653747"/>
    <w:rsid w:val="00653842"/>
    <w:rsid w:val="006538EC"/>
    <w:rsid w:val="006539B1"/>
    <w:rsid w:val="00653AA7"/>
    <w:rsid w:val="00653ACB"/>
    <w:rsid w:val="00653AEE"/>
    <w:rsid w:val="00653D00"/>
    <w:rsid w:val="00653DFA"/>
    <w:rsid w:val="00653FB8"/>
    <w:rsid w:val="00653FC8"/>
    <w:rsid w:val="00654138"/>
    <w:rsid w:val="0065429C"/>
    <w:rsid w:val="006543B2"/>
    <w:rsid w:val="0065449F"/>
    <w:rsid w:val="0065455A"/>
    <w:rsid w:val="0065468B"/>
    <w:rsid w:val="006546F8"/>
    <w:rsid w:val="0065476F"/>
    <w:rsid w:val="006547C5"/>
    <w:rsid w:val="00654828"/>
    <w:rsid w:val="0065484E"/>
    <w:rsid w:val="00654965"/>
    <w:rsid w:val="0065499F"/>
    <w:rsid w:val="00654AD1"/>
    <w:rsid w:val="00654B0F"/>
    <w:rsid w:val="00654BAC"/>
    <w:rsid w:val="00654CC7"/>
    <w:rsid w:val="00654CF2"/>
    <w:rsid w:val="00654E17"/>
    <w:rsid w:val="00655025"/>
    <w:rsid w:val="0065505B"/>
    <w:rsid w:val="00655145"/>
    <w:rsid w:val="00655311"/>
    <w:rsid w:val="00655761"/>
    <w:rsid w:val="0065583F"/>
    <w:rsid w:val="00655849"/>
    <w:rsid w:val="00655851"/>
    <w:rsid w:val="006558C3"/>
    <w:rsid w:val="00655973"/>
    <w:rsid w:val="00655BAD"/>
    <w:rsid w:val="00655CCE"/>
    <w:rsid w:val="00655CFF"/>
    <w:rsid w:val="00655D6A"/>
    <w:rsid w:val="00655D88"/>
    <w:rsid w:val="00655DE1"/>
    <w:rsid w:val="00655E27"/>
    <w:rsid w:val="00655E95"/>
    <w:rsid w:val="00655EA1"/>
    <w:rsid w:val="00655F80"/>
    <w:rsid w:val="006560B4"/>
    <w:rsid w:val="00656148"/>
    <w:rsid w:val="00656208"/>
    <w:rsid w:val="006562E5"/>
    <w:rsid w:val="00656311"/>
    <w:rsid w:val="00656478"/>
    <w:rsid w:val="006566BD"/>
    <w:rsid w:val="0065682C"/>
    <w:rsid w:val="006568B3"/>
    <w:rsid w:val="00656951"/>
    <w:rsid w:val="006569BD"/>
    <w:rsid w:val="00656A40"/>
    <w:rsid w:val="00656AFD"/>
    <w:rsid w:val="00656C47"/>
    <w:rsid w:val="00656DBE"/>
    <w:rsid w:val="00656E6C"/>
    <w:rsid w:val="00656E7D"/>
    <w:rsid w:val="0065713A"/>
    <w:rsid w:val="00657231"/>
    <w:rsid w:val="006572F5"/>
    <w:rsid w:val="00657B28"/>
    <w:rsid w:val="00657B2C"/>
    <w:rsid w:val="00657ED4"/>
    <w:rsid w:val="00657F22"/>
    <w:rsid w:val="0066001D"/>
    <w:rsid w:val="00660046"/>
    <w:rsid w:val="00660064"/>
    <w:rsid w:val="00660206"/>
    <w:rsid w:val="00660270"/>
    <w:rsid w:val="006603D6"/>
    <w:rsid w:val="006604EB"/>
    <w:rsid w:val="00660613"/>
    <w:rsid w:val="0066064F"/>
    <w:rsid w:val="00660660"/>
    <w:rsid w:val="006607BF"/>
    <w:rsid w:val="0066082B"/>
    <w:rsid w:val="0066085C"/>
    <w:rsid w:val="00660CEB"/>
    <w:rsid w:val="00660DA7"/>
    <w:rsid w:val="00660E55"/>
    <w:rsid w:val="00660F04"/>
    <w:rsid w:val="00660F17"/>
    <w:rsid w:val="0066101D"/>
    <w:rsid w:val="006610D4"/>
    <w:rsid w:val="006610E3"/>
    <w:rsid w:val="006610FE"/>
    <w:rsid w:val="00661157"/>
    <w:rsid w:val="0066127E"/>
    <w:rsid w:val="006612E2"/>
    <w:rsid w:val="006613AF"/>
    <w:rsid w:val="0066148D"/>
    <w:rsid w:val="006614E0"/>
    <w:rsid w:val="006615DB"/>
    <w:rsid w:val="0066198C"/>
    <w:rsid w:val="006619FE"/>
    <w:rsid w:val="00661C7D"/>
    <w:rsid w:val="00661D7F"/>
    <w:rsid w:val="00661F8F"/>
    <w:rsid w:val="00661FF7"/>
    <w:rsid w:val="006622CF"/>
    <w:rsid w:val="00662325"/>
    <w:rsid w:val="00662400"/>
    <w:rsid w:val="006624D2"/>
    <w:rsid w:val="00662701"/>
    <w:rsid w:val="0066287D"/>
    <w:rsid w:val="006629FD"/>
    <w:rsid w:val="00662A9C"/>
    <w:rsid w:val="00662B15"/>
    <w:rsid w:val="00662BC1"/>
    <w:rsid w:val="00662C60"/>
    <w:rsid w:val="00662CF1"/>
    <w:rsid w:val="00662D83"/>
    <w:rsid w:val="00663005"/>
    <w:rsid w:val="006631BC"/>
    <w:rsid w:val="00663237"/>
    <w:rsid w:val="006632F4"/>
    <w:rsid w:val="00663591"/>
    <w:rsid w:val="006635DD"/>
    <w:rsid w:val="0066370E"/>
    <w:rsid w:val="006639A2"/>
    <w:rsid w:val="00663A0B"/>
    <w:rsid w:val="00663CE7"/>
    <w:rsid w:val="00663F2F"/>
    <w:rsid w:val="00664055"/>
    <w:rsid w:val="0066413B"/>
    <w:rsid w:val="006641AE"/>
    <w:rsid w:val="0066424D"/>
    <w:rsid w:val="00664345"/>
    <w:rsid w:val="006643A5"/>
    <w:rsid w:val="0066441A"/>
    <w:rsid w:val="006646D5"/>
    <w:rsid w:val="00664712"/>
    <w:rsid w:val="00664749"/>
    <w:rsid w:val="0066476F"/>
    <w:rsid w:val="00664CEF"/>
    <w:rsid w:val="00664D97"/>
    <w:rsid w:val="00664E37"/>
    <w:rsid w:val="00664F46"/>
    <w:rsid w:val="00664FB8"/>
    <w:rsid w:val="006651C3"/>
    <w:rsid w:val="0066538C"/>
    <w:rsid w:val="00665449"/>
    <w:rsid w:val="00665473"/>
    <w:rsid w:val="0066552E"/>
    <w:rsid w:val="00665646"/>
    <w:rsid w:val="00665712"/>
    <w:rsid w:val="0066577A"/>
    <w:rsid w:val="0066587A"/>
    <w:rsid w:val="006658A8"/>
    <w:rsid w:val="0066591C"/>
    <w:rsid w:val="006659B8"/>
    <w:rsid w:val="006659EA"/>
    <w:rsid w:val="00665CBF"/>
    <w:rsid w:val="00665DD0"/>
    <w:rsid w:val="00665F0A"/>
    <w:rsid w:val="00666011"/>
    <w:rsid w:val="00666080"/>
    <w:rsid w:val="006663B8"/>
    <w:rsid w:val="00666401"/>
    <w:rsid w:val="0066645E"/>
    <w:rsid w:val="006664BD"/>
    <w:rsid w:val="00666687"/>
    <w:rsid w:val="0066675C"/>
    <w:rsid w:val="00666775"/>
    <w:rsid w:val="006669AB"/>
    <w:rsid w:val="006669C7"/>
    <w:rsid w:val="00666A18"/>
    <w:rsid w:val="00666B55"/>
    <w:rsid w:val="00666BBD"/>
    <w:rsid w:val="00666BF3"/>
    <w:rsid w:val="00666CF7"/>
    <w:rsid w:val="00666D11"/>
    <w:rsid w:val="00666D34"/>
    <w:rsid w:val="00666DC3"/>
    <w:rsid w:val="00666DD7"/>
    <w:rsid w:val="00666FD5"/>
    <w:rsid w:val="00667394"/>
    <w:rsid w:val="006674CD"/>
    <w:rsid w:val="0066757C"/>
    <w:rsid w:val="006675E1"/>
    <w:rsid w:val="006675E7"/>
    <w:rsid w:val="0066761D"/>
    <w:rsid w:val="00667739"/>
    <w:rsid w:val="0066781A"/>
    <w:rsid w:val="00667823"/>
    <w:rsid w:val="006679BE"/>
    <w:rsid w:val="00667A98"/>
    <w:rsid w:val="00667B3B"/>
    <w:rsid w:val="00667B92"/>
    <w:rsid w:val="00667BA0"/>
    <w:rsid w:val="00667C4F"/>
    <w:rsid w:val="00667CD1"/>
    <w:rsid w:val="00667DED"/>
    <w:rsid w:val="00667F26"/>
    <w:rsid w:val="00667F5F"/>
    <w:rsid w:val="00667F9F"/>
    <w:rsid w:val="00670081"/>
    <w:rsid w:val="0067028A"/>
    <w:rsid w:val="006703A8"/>
    <w:rsid w:val="0067044A"/>
    <w:rsid w:val="006705A6"/>
    <w:rsid w:val="00670615"/>
    <w:rsid w:val="006706FC"/>
    <w:rsid w:val="006706FE"/>
    <w:rsid w:val="006709DA"/>
    <w:rsid w:val="00670A39"/>
    <w:rsid w:val="00670B2A"/>
    <w:rsid w:val="00670C4D"/>
    <w:rsid w:val="00670C72"/>
    <w:rsid w:val="00670D94"/>
    <w:rsid w:val="00670DC9"/>
    <w:rsid w:val="006710E3"/>
    <w:rsid w:val="00671134"/>
    <w:rsid w:val="00671137"/>
    <w:rsid w:val="0067115D"/>
    <w:rsid w:val="00671335"/>
    <w:rsid w:val="00671338"/>
    <w:rsid w:val="00671440"/>
    <w:rsid w:val="006715B0"/>
    <w:rsid w:val="00671884"/>
    <w:rsid w:val="0067188F"/>
    <w:rsid w:val="00671979"/>
    <w:rsid w:val="00671A40"/>
    <w:rsid w:val="00671AB2"/>
    <w:rsid w:val="00671B53"/>
    <w:rsid w:val="00671BA0"/>
    <w:rsid w:val="00671CED"/>
    <w:rsid w:val="00671E3B"/>
    <w:rsid w:val="00671ECC"/>
    <w:rsid w:val="00672129"/>
    <w:rsid w:val="00672231"/>
    <w:rsid w:val="00672351"/>
    <w:rsid w:val="0067259C"/>
    <w:rsid w:val="006725CF"/>
    <w:rsid w:val="0067260A"/>
    <w:rsid w:val="00672852"/>
    <w:rsid w:val="006729EB"/>
    <w:rsid w:val="00672B09"/>
    <w:rsid w:val="00672B0E"/>
    <w:rsid w:val="00672D2C"/>
    <w:rsid w:val="00672D50"/>
    <w:rsid w:val="00672E8C"/>
    <w:rsid w:val="00672E94"/>
    <w:rsid w:val="00672FF2"/>
    <w:rsid w:val="006730C4"/>
    <w:rsid w:val="00673155"/>
    <w:rsid w:val="006734A3"/>
    <w:rsid w:val="00673581"/>
    <w:rsid w:val="006735F2"/>
    <w:rsid w:val="00673788"/>
    <w:rsid w:val="0067395F"/>
    <w:rsid w:val="00673A4B"/>
    <w:rsid w:val="00673A60"/>
    <w:rsid w:val="00673C3B"/>
    <w:rsid w:val="00673F20"/>
    <w:rsid w:val="00673F62"/>
    <w:rsid w:val="00673FFE"/>
    <w:rsid w:val="00674052"/>
    <w:rsid w:val="006740E2"/>
    <w:rsid w:val="006743E4"/>
    <w:rsid w:val="00674446"/>
    <w:rsid w:val="00674455"/>
    <w:rsid w:val="006745E3"/>
    <w:rsid w:val="00674669"/>
    <w:rsid w:val="0067467B"/>
    <w:rsid w:val="00674749"/>
    <w:rsid w:val="00674801"/>
    <w:rsid w:val="00674A48"/>
    <w:rsid w:val="00674A9F"/>
    <w:rsid w:val="00674B9A"/>
    <w:rsid w:val="00674C08"/>
    <w:rsid w:val="00674CEE"/>
    <w:rsid w:val="00674D19"/>
    <w:rsid w:val="00675031"/>
    <w:rsid w:val="006750B4"/>
    <w:rsid w:val="006750CA"/>
    <w:rsid w:val="006750CB"/>
    <w:rsid w:val="00675295"/>
    <w:rsid w:val="00675385"/>
    <w:rsid w:val="00675438"/>
    <w:rsid w:val="0067544C"/>
    <w:rsid w:val="006755AA"/>
    <w:rsid w:val="006755E7"/>
    <w:rsid w:val="00675603"/>
    <w:rsid w:val="006756B3"/>
    <w:rsid w:val="0067570F"/>
    <w:rsid w:val="006757CE"/>
    <w:rsid w:val="00675957"/>
    <w:rsid w:val="00675997"/>
    <w:rsid w:val="00675AD2"/>
    <w:rsid w:val="00675AD8"/>
    <w:rsid w:val="00675C24"/>
    <w:rsid w:val="00675CBA"/>
    <w:rsid w:val="00675D56"/>
    <w:rsid w:val="00675EAB"/>
    <w:rsid w:val="00675EE4"/>
    <w:rsid w:val="006760D5"/>
    <w:rsid w:val="006761BE"/>
    <w:rsid w:val="0067622D"/>
    <w:rsid w:val="0067629A"/>
    <w:rsid w:val="00676363"/>
    <w:rsid w:val="006764FC"/>
    <w:rsid w:val="006765AE"/>
    <w:rsid w:val="00676641"/>
    <w:rsid w:val="006766B7"/>
    <w:rsid w:val="006766FA"/>
    <w:rsid w:val="00676789"/>
    <w:rsid w:val="006767F9"/>
    <w:rsid w:val="006768CB"/>
    <w:rsid w:val="0067691D"/>
    <w:rsid w:val="00676A4C"/>
    <w:rsid w:val="00676CB0"/>
    <w:rsid w:val="00676D8B"/>
    <w:rsid w:val="00676E49"/>
    <w:rsid w:val="00677011"/>
    <w:rsid w:val="00677012"/>
    <w:rsid w:val="0067708E"/>
    <w:rsid w:val="0067714C"/>
    <w:rsid w:val="0067715B"/>
    <w:rsid w:val="00677233"/>
    <w:rsid w:val="0067728B"/>
    <w:rsid w:val="00677351"/>
    <w:rsid w:val="00677386"/>
    <w:rsid w:val="006773A3"/>
    <w:rsid w:val="006774CC"/>
    <w:rsid w:val="0067780D"/>
    <w:rsid w:val="006779AD"/>
    <w:rsid w:val="006779E1"/>
    <w:rsid w:val="00677ACA"/>
    <w:rsid w:val="00677B1A"/>
    <w:rsid w:val="00677C6F"/>
    <w:rsid w:val="00677CBB"/>
    <w:rsid w:val="00677D07"/>
    <w:rsid w:val="00677FC0"/>
    <w:rsid w:val="0068003B"/>
    <w:rsid w:val="00680146"/>
    <w:rsid w:val="00680199"/>
    <w:rsid w:val="00680445"/>
    <w:rsid w:val="00680529"/>
    <w:rsid w:val="00680547"/>
    <w:rsid w:val="0068054E"/>
    <w:rsid w:val="00680659"/>
    <w:rsid w:val="006806AF"/>
    <w:rsid w:val="00680752"/>
    <w:rsid w:val="0068077D"/>
    <w:rsid w:val="006809B6"/>
    <w:rsid w:val="00680A04"/>
    <w:rsid w:val="00680B84"/>
    <w:rsid w:val="00680BF9"/>
    <w:rsid w:val="00680D00"/>
    <w:rsid w:val="00680E79"/>
    <w:rsid w:val="00680F1D"/>
    <w:rsid w:val="006810BC"/>
    <w:rsid w:val="006810C2"/>
    <w:rsid w:val="006811DB"/>
    <w:rsid w:val="00681235"/>
    <w:rsid w:val="00681297"/>
    <w:rsid w:val="006812C5"/>
    <w:rsid w:val="006812CA"/>
    <w:rsid w:val="006812D1"/>
    <w:rsid w:val="00681305"/>
    <w:rsid w:val="006813B7"/>
    <w:rsid w:val="00681452"/>
    <w:rsid w:val="006815C4"/>
    <w:rsid w:val="006815CD"/>
    <w:rsid w:val="006816BF"/>
    <w:rsid w:val="00681707"/>
    <w:rsid w:val="00681725"/>
    <w:rsid w:val="00681B2E"/>
    <w:rsid w:val="00681BC8"/>
    <w:rsid w:val="00681C3D"/>
    <w:rsid w:val="00681CC5"/>
    <w:rsid w:val="00681E04"/>
    <w:rsid w:val="00681F47"/>
    <w:rsid w:val="00682056"/>
    <w:rsid w:val="006822C6"/>
    <w:rsid w:val="006824B8"/>
    <w:rsid w:val="006824EA"/>
    <w:rsid w:val="00682641"/>
    <w:rsid w:val="006826A2"/>
    <w:rsid w:val="0068286B"/>
    <w:rsid w:val="00682972"/>
    <w:rsid w:val="00682AE8"/>
    <w:rsid w:val="00682CEF"/>
    <w:rsid w:val="00682E09"/>
    <w:rsid w:val="00682F8D"/>
    <w:rsid w:val="00682FEE"/>
    <w:rsid w:val="00683080"/>
    <w:rsid w:val="006832C8"/>
    <w:rsid w:val="006835A3"/>
    <w:rsid w:val="006835B2"/>
    <w:rsid w:val="0068367E"/>
    <w:rsid w:val="006836D2"/>
    <w:rsid w:val="00683AD5"/>
    <w:rsid w:val="00683B6C"/>
    <w:rsid w:val="00683BDA"/>
    <w:rsid w:val="00683C02"/>
    <w:rsid w:val="00683D94"/>
    <w:rsid w:val="00683E06"/>
    <w:rsid w:val="00683F49"/>
    <w:rsid w:val="0068401C"/>
    <w:rsid w:val="006840ED"/>
    <w:rsid w:val="0068424B"/>
    <w:rsid w:val="006842E1"/>
    <w:rsid w:val="0068431B"/>
    <w:rsid w:val="006843B4"/>
    <w:rsid w:val="00684595"/>
    <w:rsid w:val="006845FA"/>
    <w:rsid w:val="0068463F"/>
    <w:rsid w:val="006846A4"/>
    <w:rsid w:val="006848EF"/>
    <w:rsid w:val="00684B56"/>
    <w:rsid w:val="00684ED4"/>
    <w:rsid w:val="00684F26"/>
    <w:rsid w:val="00685062"/>
    <w:rsid w:val="00685085"/>
    <w:rsid w:val="00685789"/>
    <w:rsid w:val="006857CF"/>
    <w:rsid w:val="0068590E"/>
    <w:rsid w:val="006859FF"/>
    <w:rsid w:val="00685B4B"/>
    <w:rsid w:val="00685B68"/>
    <w:rsid w:val="00685BDC"/>
    <w:rsid w:val="00685C74"/>
    <w:rsid w:val="00685D1D"/>
    <w:rsid w:val="00686256"/>
    <w:rsid w:val="00686350"/>
    <w:rsid w:val="00686352"/>
    <w:rsid w:val="006863BA"/>
    <w:rsid w:val="006865C1"/>
    <w:rsid w:val="006865E3"/>
    <w:rsid w:val="00686604"/>
    <w:rsid w:val="006867AC"/>
    <w:rsid w:val="00686869"/>
    <w:rsid w:val="0068686A"/>
    <w:rsid w:val="006868AC"/>
    <w:rsid w:val="006869C3"/>
    <w:rsid w:val="00686AB3"/>
    <w:rsid w:val="00686B52"/>
    <w:rsid w:val="00686C28"/>
    <w:rsid w:val="00686CF8"/>
    <w:rsid w:val="00686D3F"/>
    <w:rsid w:val="00686EAA"/>
    <w:rsid w:val="006871B6"/>
    <w:rsid w:val="006872A1"/>
    <w:rsid w:val="00687313"/>
    <w:rsid w:val="00687488"/>
    <w:rsid w:val="006874CC"/>
    <w:rsid w:val="006875E8"/>
    <w:rsid w:val="0068769E"/>
    <w:rsid w:val="006877DE"/>
    <w:rsid w:val="0068780E"/>
    <w:rsid w:val="006878F0"/>
    <w:rsid w:val="00687EC0"/>
    <w:rsid w:val="00690022"/>
    <w:rsid w:val="00690065"/>
    <w:rsid w:val="006901CE"/>
    <w:rsid w:val="006902D8"/>
    <w:rsid w:val="00690343"/>
    <w:rsid w:val="006904AF"/>
    <w:rsid w:val="006904C9"/>
    <w:rsid w:val="006908A6"/>
    <w:rsid w:val="006908AF"/>
    <w:rsid w:val="00690985"/>
    <w:rsid w:val="006909D5"/>
    <w:rsid w:val="00690A0C"/>
    <w:rsid w:val="00690A36"/>
    <w:rsid w:val="00690ED5"/>
    <w:rsid w:val="006911BF"/>
    <w:rsid w:val="006918A4"/>
    <w:rsid w:val="006918FB"/>
    <w:rsid w:val="006919B6"/>
    <w:rsid w:val="00691A54"/>
    <w:rsid w:val="00691B35"/>
    <w:rsid w:val="00691BCD"/>
    <w:rsid w:val="00691BDE"/>
    <w:rsid w:val="00691C23"/>
    <w:rsid w:val="00691C45"/>
    <w:rsid w:val="00691C46"/>
    <w:rsid w:val="00691E54"/>
    <w:rsid w:val="00691F07"/>
    <w:rsid w:val="00691FC8"/>
    <w:rsid w:val="006920D1"/>
    <w:rsid w:val="0069224D"/>
    <w:rsid w:val="0069225D"/>
    <w:rsid w:val="00692317"/>
    <w:rsid w:val="006924E0"/>
    <w:rsid w:val="006924EC"/>
    <w:rsid w:val="006926E9"/>
    <w:rsid w:val="006927BC"/>
    <w:rsid w:val="0069292E"/>
    <w:rsid w:val="00692975"/>
    <w:rsid w:val="00692976"/>
    <w:rsid w:val="006929FD"/>
    <w:rsid w:val="00692A3F"/>
    <w:rsid w:val="00692B55"/>
    <w:rsid w:val="00692C77"/>
    <w:rsid w:val="00692D34"/>
    <w:rsid w:val="00692F0D"/>
    <w:rsid w:val="00693056"/>
    <w:rsid w:val="00693091"/>
    <w:rsid w:val="00693115"/>
    <w:rsid w:val="0069323A"/>
    <w:rsid w:val="0069328E"/>
    <w:rsid w:val="006933C0"/>
    <w:rsid w:val="00693406"/>
    <w:rsid w:val="006934CF"/>
    <w:rsid w:val="006935EC"/>
    <w:rsid w:val="006936DF"/>
    <w:rsid w:val="00693827"/>
    <w:rsid w:val="00693896"/>
    <w:rsid w:val="0069390B"/>
    <w:rsid w:val="006939FB"/>
    <w:rsid w:val="00693AC6"/>
    <w:rsid w:val="00693FA7"/>
    <w:rsid w:val="00694043"/>
    <w:rsid w:val="0069409F"/>
    <w:rsid w:val="00694125"/>
    <w:rsid w:val="006941D9"/>
    <w:rsid w:val="00694445"/>
    <w:rsid w:val="006946E5"/>
    <w:rsid w:val="00694700"/>
    <w:rsid w:val="006947E5"/>
    <w:rsid w:val="00694A14"/>
    <w:rsid w:val="00694B9B"/>
    <w:rsid w:val="00694C33"/>
    <w:rsid w:val="00694E1A"/>
    <w:rsid w:val="00694E63"/>
    <w:rsid w:val="00694E8B"/>
    <w:rsid w:val="00695024"/>
    <w:rsid w:val="006950C8"/>
    <w:rsid w:val="0069523F"/>
    <w:rsid w:val="00695265"/>
    <w:rsid w:val="00695272"/>
    <w:rsid w:val="00695313"/>
    <w:rsid w:val="0069536E"/>
    <w:rsid w:val="00695417"/>
    <w:rsid w:val="00695436"/>
    <w:rsid w:val="006956E2"/>
    <w:rsid w:val="00695708"/>
    <w:rsid w:val="00695978"/>
    <w:rsid w:val="00695A14"/>
    <w:rsid w:val="00695AA0"/>
    <w:rsid w:val="00695D87"/>
    <w:rsid w:val="00695E28"/>
    <w:rsid w:val="00695FB2"/>
    <w:rsid w:val="006960F7"/>
    <w:rsid w:val="006961AB"/>
    <w:rsid w:val="006963F7"/>
    <w:rsid w:val="0069667C"/>
    <w:rsid w:val="006966EC"/>
    <w:rsid w:val="006967E7"/>
    <w:rsid w:val="0069682F"/>
    <w:rsid w:val="006968C6"/>
    <w:rsid w:val="006968FD"/>
    <w:rsid w:val="00696961"/>
    <w:rsid w:val="00696A9B"/>
    <w:rsid w:val="00696B37"/>
    <w:rsid w:val="00696B52"/>
    <w:rsid w:val="00696C4F"/>
    <w:rsid w:val="00696F07"/>
    <w:rsid w:val="006970B9"/>
    <w:rsid w:val="00697172"/>
    <w:rsid w:val="00697382"/>
    <w:rsid w:val="00697587"/>
    <w:rsid w:val="00697666"/>
    <w:rsid w:val="006976D5"/>
    <w:rsid w:val="006977B7"/>
    <w:rsid w:val="006977E8"/>
    <w:rsid w:val="006977FD"/>
    <w:rsid w:val="00697885"/>
    <w:rsid w:val="00697947"/>
    <w:rsid w:val="006979D2"/>
    <w:rsid w:val="00697A4D"/>
    <w:rsid w:val="00697B1A"/>
    <w:rsid w:val="00697B46"/>
    <w:rsid w:val="00697B71"/>
    <w:rsid w:val="00697D32"/>
    <w:rsid w:val="00697D48"/>
    <w:rsid w:val="00697D8B"/>
    <w:rsid w:val="00697E02"/>
    <w:rsid w:val="00697E20"/>
    <w:rsid w:val="00697E78"/>
    <w:rsid w:val="00697EB9"/>
    <w:rsid w:val="00697EE6"/>
    <w:rsid w:val="006A02EA"/>
    <w:rsid w:val="006A040C"/>
    <w:rsid w:val="006A042A"/>
    <w:rsid w:val="006A056E"/>
    <w:rsid w:val="006A0AD6"/>
    <w:rsid w:val="006A0BDC"/>
    <w:rsid w:val="006A0BF9"/>
    <w:rsid w:val="006A0C22"/>
    <w:rsid w:val="006A0F96"/>
    <w:rsid w:val="006A148D"/>
    <w:rsid w:val="006A14FC"/>
    <w:rsid w:val="006A183B"/>
    <w:rsid w:val="006A1930"/>
    <w:rsid w:val="006A1988"/>
    <w:rsid w:val="006A198A"/>
    <w:rsid w:val="006A1C78"/>
    <w:rsid w:val="006A1CA0"/>
    <w:rsid w:val="006A1D78"/>
    <w:rsid w:val="006A1E27"/>
    <w:rsid w:val="006A2153"/>
    <w:rsid w:val="006A2177"/>
    <w:rsid w:val="006A22E0"/>
    <w:rsid w:val="006A23DB"/>
    <w:rsid w:val="006A2517"/>
    <w:rsid w:val="006A2638"/>
    <w:rsid w:val="006A2664"/>
    <w:rsid w:val="006A28DC"/>
    <w:rsid w:val="006A2BB3"/>
    <w:rsid w:val="006A2D72"/>
    <w:rsid w:val="006A2E23"/>
    <w:rsid w:val="006A2F2A"/>
    <w:rsid w:val="006A310E"/>
    <w:rsid w:val="006A32DF"/>
    <w:rsid w:val="006A33B0"/>
    <w:rsid w:val="006A33E7"/>
    <w:rsid w:val="006A341C"/>
    <w:rsid w:val="006A3479"/>
    <w:rsid w:val="006A3488"/>
    <w:rsid w:val="006A348C"/>
    <w:rsid w:val="006A3670"/>
    <w:rsid w:val="006A3729"/>
    <w:rsid w:val="006A39A9"/>
    <w:rsid w:val="006A3A84"/>
    <w:rsid w:val="006A3BF6"/>
    <w:rsid w:val="006A3C24"/>
    <w:rsid w:val="006A3C92"/>
    <w:rsid w:val="006A3CAF"/>
    <w:rsid w:val="006A3D63"/>
    <w:rsid w:val="006A3E91"/>
    <w:rsid w:val="006A3FCE"/>
    <w:rsid w:val="006A3FE3"/>
    <w:rsid w:val="006A417C"/>
    <w:rsid w:val="006A4235"/>
    <w:rsid w:val="006A4294"/>
    <w:rsid w:val="006A42F4"/>
    <w:rsid w:val="006A4345"/>
    <w:rsid w:val="006A43BB"/>
    <w:rsid w:val="006A43DA"/>
    <w:rsid w:val="006A43DD"/>
    <w:rsid w:val="006A441E"/>
    <w:rsid w:val="006A4503"/>
    <w:rsid w:val="006A4552"/>
    <w:rsid w:val="006A4656"/>
    <w:rsid w:val="006A4766"/>
    <w:rsid w:val="006A4945"/>
    <w:rsid w:val="006A4A80"/>
    <w:rsid w:val="006A4B7B"/>
    <w:rsid w:val="006A4BC2"/>
    <w:rsid w:val="006A4C70"/>
    <w:rsid w:val="006A4E9B"/>
    <w:rsid w:val="006A5064"/>
    <w:rsid w:val="006A511F"/>
    <w:rsid w:val="006A518D"/>
    <w:rsid w:val="006A5203"/>
    <w:rsid w:val="006A5580"/>
    <w:rsid w:val="006A57E2"/>
    <w:rsid w:val="006A5802"/>
    <w:rsid w:val="006A5964"/>
    <w:rsid w:val="006A5984"/>
    <w:rsid w:val="006A5AB1"/>
    <w:rsid w:val="006A5BD3"/>
    <w:rsid w:val="006A5C90"/>
    <w:rsid w:val="006A5CD0"/>
    <w:rsid w:val="006A5D64"/>
    <w:rsid w:val="006A5E47"/>
    <w:rsid w:val="006A6038"/>
    <w:rsid w:val="006A6151"/>
    <w:rsid w:val="006A61A0"/>
    <w:rsid w:val="006A637F"/>
    <w:rsid w:val="006A6390"/>
    <w:rsid w:val="006A63A5"/>
    <w:rsid w:val="006A6417"/>
    <w:rsid w:val="006A6468"/>
    <w:rsid w:val="006A64B4"/>
    <w:rsid w:val="006A64C4"/>
    <w:rsid w:val="006A64E8"/>
    <w:rsid w:val="006A6531"/>
    <w:rsid w:val="006A657C"/>
    <w:rsid w:val="006A66F0"/>
    <w:rsid w:val="006A66FB"/>
    <w:rsid w:val="006A69A7"/>
    <w:rsid w:val="006A6CCE"/>
    <w:rsid w:val="006A6D1A"/>
    <w:rsid w:val="006A6D3D"/>
    <w:rsid w:val="006A6D8B"/>
    <w:rsid w:val="006A6E27"/>
    <w:rsid w:val="006A6E7C"/>
    <w:rsid w:val="006A6F61"/>
    <w:rsid w:val="006A7034"/>
    <w:rsid w:val="006A7145"/>
    <w:rsid w:val="006A749C"/>
    <w:rsid w:val="006A750A"/>
    <w:rsid w:val="006A7556"/>
    <w:rsid w:val="006A7883"/>
    <w:rsid w:val="006A79A4"/>
    <w:rsid w:val="006A7BD8"/>
    <w:rsid w:val="006A7C60"/>
    <w:rsid w:val="006A7CE5"/>
    <w:rsid w:val="006A7CFF"/>
    <w:rsid w:val="006A7D82"/>
    <w:rsid w:val="006A7E52"/>
    <w:rsid w:val="006A7EB6"/>
    <w:rsid w:val="006A7F0C"/>
    <w:rsid w:val="006A7FDB"/>
    <w:rsid w:val="006B0020"/>
    <w:rsid w:val="006B015B"/>
    <w:rsid w:val="006B016E"/>
    <w:rsid w:val="006B020B"/>
    <w:rsid w:val="006B04D5"/>
    <w:rsid w:val="006B071A"/>
    <w:rsid w:val="006B0939"/>
    <w:rsid w:val="006B0999"/>
    <w:rsid w:val="006B09C1"/>
    <w:rsid w:val="006B0ABB"/>
    <w:rsid w:val="006B0ACE"/>
    <w:rsid w:val="006B0B21"/>
    <w:rsid w:val="006B0C9F"/>
    <w:rsid w:val="006B0EBB"/>
    <w:rsid w:val="006B0F44"/>
    <w:rsid w:val="006B0F9E"/>
    <w:rsid w:val="006B0FCC"/>
    <w:rsid w:val="006B1007"/>
    <w:rsid w:val="006B10A7"/>
    <w:rsid w:val="006B1378"/>
    <w:rsid w:val="006B145E"/>
    <w:rsid w:val="006B1532"/>
    <w:rsid w:val="006B17FA"/>
    <w:rsid w:val="006B180B"/>
    <w:rsid w:val="006B1898"/>
    <w:rsid w:val="006B18FF"/>
    <w:rsid w:val="006B195B"/>
    <w:rsid w:val="006B19F9"/>
    <w:rsid w:val="006B1A13"/>
    <w:rsid w:val="006B1A94"/>
    <w:rsid w:val="006B1BA8"/>
    <w:rsid w:val="006B1CBB"/>
    <w:rsid w:val="006B1D45"/>
    <w:rsid w:val="006B1EB2"/>
    <w:rsid w:val="006B1F66"/>
    <w:rsid w:val="006B1FFD"/>
    <w:rsid w:val="006B21D9"/>
    <w:rsid w:val="006B2239"/>
    <w:rsid w:val="006B27C6"/>
    <w:rsid w:val="006B2A79"/>
    <w:rsid w:val="006B2BD0"/>
    <w:rsid w:val="006B2BE5"/>
    <w:rsid w:val="006B2C4B"/>
    <w:rsid w:val="006B2F4C"/>
    <w:rsid w:val="006B2F83"/>
    <w:rsid w:val="006B314F"/>
    <w:rsid w:val="006B3155"/>
    <w:rsid w:val="006B3157"/>
    <w:rsid w:val="006B32E4"/>
    <w:rsid w:val="006B345D"/>
    <w:rsid w:val="006B3480"/>
    <w:rsid w:val="006B357E"/>
    <w:rsid w:val="006B3759"/>
    <w:rsid w:val="006B3870"/>
    <w:rsid w:val="006B3A00"/>
    <w:rsid w:val="006B3CC4"/>
    <w:rsid w:val="006B3EB1"/>
    <w:rsid w:val="006B3EDF"/>
    <w:rsid w:val="006B3F78"/>
    <w:rsid w:val="006B3F80"/>
    <w:rsid w:val="006B3FC8"/>
    <w:rsid w:val="006B4211"/>
    <w:rsid w:val="006B453E"/>
    <w:rsid w:val="006B4795"/>
    <w:rsid w:val="006B479B"/>
    <w:rsid w:val="006B47B8"/>
    <w:rsid w:val="006B4991"/>
    <w:rsid w:val="006B49E1"/>
    <w:rsid w:val="006B4D21"/>
    <w:rsid w:val="006B4E1C"/>
    <w:rsid w:val="006B4F1A"/>
    <w:rsid w:val="006B4F65"/>
    <w:rsid w:val="006B5230"/>
    <w:rsid w:val="006B533F"/>
    <w:rsid w:val="006B53D1"/>
    <w:rsid w:val="006B5459"/>
    <w:rsid w:val="006B547B"/>
    <w:rsid w:val="006B55AD"/>
    <w:rsid w:val="006B5613"/>
    <w:rsid w:val="006B5620"/>
    <w:rsid w:val="006B56AF"/>
    <w:rsid w:val="006B5706"/>
    <w:rsid w:val="006B577F"/>
    <w:rsid w:val="006B5952"/>
    <w:rsid w:val="006B5986"/>
    <w:rsid w:val="006B599F"/>
    <w:rsid w:val="006B59DC"/>
    <w:rsid w:val="006B5D03"/>
    <w:rsid w:val="006B5D63"/>
    <w:rsid w:val="006B608B"/>
    <w:rsid w:val="006B61E9"/>
    <w:rsid w:val="006B6200"/>
    <w:rsid w:val="006B6262"/>
    <w:rsid w:val="006B6391"/>
    <w:rsid w:val="006B64E4"/>
    <w:rsid w:val="006B658C"/>
    <w:rsid w:val="006B65AB"/>
    <w:rsid w:val="006B65C5"/>
    <w:rsid w:val="006B6620"/>
    <w:rsid w:val="006B67D0"/>
    <w:rsid w:val="006B6B4A"/>
    <w:rsid w:val="006B6C63"/>
    <w:rsid w:val="006B6D73"/>
    <w:rsid w:val="006B6DF2"/>
    <w:rsid w:val="006B6FCD"/>
    <w:rsid w:val="006B7183"/>
    <w:rsid w:val="006B71A0"/>
    <w:rsid w:val="006B720E"/>
    <w:rsid w:val="006B7249"/>
    <w:rsid w:val="006B72CA"/>
    <w:rsid w:val="006B7437"/>
    <w:rsid w:val="006B743B"/>
    <w:rsid w:val="006B7503"/>
    <w:rsid w:val="006B753E"/>
    <w:rsid w:val="006B7599"/>
    <w:rsid w:val="006B75E1"/>
    <w:rsid w:val="006B7612"/>
    <w:rsid w:val="006B78F8"/>
    <w:rsid w:val="006B7957"/>
    <w:rsid w:val="006B7CF4"/>
    <w:rsid w:val="006B7D7E"/>
    <w:rsid w:val="006B7E89"/>
    <w:rsid w:val="006B7F30"/>
    <w:rsid w:val="006C006A"/>
    <w:rsid w:val="006C00FA"/>
    <w:rsid w:val="006C0129"/>
    <w:rsid w:val="006C02B6"/>
    <w:rsid w:val="006C02D8"/>
    <w:rsid w:val="006C04C0"/>
    <w:rsid w:val="006C053D"/>
    <w:rsid w:val="006C060E"/>
    <w:rsid w:val="006C07D9"/>
    <w:rsid w:val="006C0BDA"/>
    <w:rsid w:val="006C0C2C"/>
    <w:rsid w:val="006C0CED"/>
    <w:rsid w:val="006C0D42"/>
    <w:rsid w:val="006C0D6B"/>
    <w:rsid w:val="006C0DCC"/>
    <w:rsid w:val="006C0FBF"/>
    <w:rsid w:val="006C1048"/>
    <w:rsid w:val="006C1049"/>
    <w:rsid w:val="006C1115"/>
    <w:rsid w:val="006C11A3"/>
    <w:rsid w:val="006C1367"/>
    <w:rsid w:val="006C141F"/>
    <w:rsid w:val="006C16F0"/>
    <w:rsid w:val="006C17D0"/>
    <w:rsid w:val="006C1A81"/>
    <w:rsid w:val="006C1BFE"/>
    <w:rsid w:val="006C1C43"/>
    <w:rsid w:val="006C1CA5"/>
    <w:rsid w:val="006C1CED"/>
    <w:rsid w:val="006C1DC3"/>
    <w:rsid w:val="006C1E70"/>
    <w:rsid w:val="006C1F43"/>
    <w:rsid w:val="006C2194"/>
    <w:rsid w:val="006C21B5"/>
    <w:rsid w:val="006C2245"/>
    <w:rsid w:val="006C232A"/>
    <w:rsid w:val="006C2499"/>
    <w:rsid w:val="006C259C"/>
    <w:rsid w:val="006C25D2"/>
    <w:rsid w:val="006C25F7"/>
    <w:rsid w:val="006C28E4"/>
    <w:rsid w:val="006C29A8"/>
    <w:rsid w:val="006C2AD8"/>
    <w:rsid w:val="006C2B6A"/>
    <w:rsid w:val="006C2C87"/>
    <w:rsid w:val="006C2F80"/>
    <w:rsid w:val="006C3247"/>
    <w:rsid w:val="006C3288"/>
    <w:rsid w:val="006C329B"/>
    <w:rsid w:val="006C32EF"/>
    <w:rsid w:val="006C34AD"/>
    <w:rsid w:val="006C34F4"/>
    <w:rsid w:val="006C3507"/>
    <w:rsid w:val="006C37BC"/>
    <w:rsid w:val="006C37F2"/>
    <w:rsid w:val="006C3AA3"/>
    <w:rsid w:val="006C3AAE"/>
    <w:rsid w:val="006C3AC4"/>
    <w:rsid w:val="006C3CD1"/>
    <w:rsid w:val="006C3D4E"/>
    <w:rsid w:val="006C3F19"/>
    <w:rsid w:val="006C3F23"/>
    <w:rsid w:val="006C3F3F"/>
    <w:rsid w:val="006C4193"/>
    <w:rsid w:val="006C41C7"/>
    <w:rsid w:val="006C433B"/>
    <w:rsid w:val="006C446E"/>
    <w:rsid w:val="006C45EE"/>
    <w:rsid w:val="006C4818"/>
    <w:rsid w:val="006C48BA"/>
    <w:rsid w:val="006C49B8"/>
    <w:rsid w:val="006C4B4A"/>
    <w:rsid w:val="006C4D04"/>
    <w:rsid w:val="006C4D1E"/>
    <w:rsid w:val="006C4ECD"/>
    <w:rsid w:val="006C506B"/>
    <w:rsid w:val="006C51E0"/>
    <w:rsid w:val="006C530A"/>
    <w:rsid w:val="006C539A"/>
    <w:rsid w:val="006C5512"/>
    <w:rsid w:val="006C5584"/>
    <w:rsid w:val="006C576D"/>
    <w:rsid w:val="006C582F"/>
    <w:rsid w:val="006C584D"/>
    <w:rsid w:val="006C5B2B"/>
    <w:rsid w:val="006C5E32"/>
    <w:rsid w:val="006C5E76"/>
    <w:rsid w:val="006C60B1"/>
    <w:rsid w:val="006C61A7"/>
    <w:rsid w:val="006C6437"/>
    <w:rsid w:val="006C64C3"/>
    <w:rsid w:val="006C6527"/>
    <w:rsid w:val="006C65AC"/>
    <w:rsid w:val="006C65BC"/>
    <w:rsid w:val="006C65DE"/>
    <w:rsid w:val="006C66B3"/>
    <w:rsid w:val="006C67AD"/>
    <w:rsid w:val="006C67B4"/>
    <w:rsid w:val="006C67E9"/>
    <w:rsid w:val="006C6917"/>
    <w:rsid w:val="006C6B09"/>
    <w:rsid w:val="006C6D46"/>
    <w:rsid w:val="006C6E19"/>
    <w:rsid w:val="006C6EB6"/>
    <w:rsid w:val="006C71F9"/>
    <w:rsid w:val="006C73CB"/>
    <w:rsid w:val="006C74CC"/>
    <w:rsid w:val="006C75BE"/>
    <w:rsid w:val="006C75F6"/>
    <w:rsid w:val="006C76D1"/>
    <w:rsid w:val="006C7833"/>
    <w:rsid w:val="006C7848"/>
    <w:rsid w:val="006C7A92"/>
    <w:rsid w:val="006C7B14"/>
    <w:rsid w:val="006C7BC6"/>
    <w:rsid w:val="006C7D0C"/>
    <w:rsid w:val="006C7DB2"/>
    <w:rsid w:val="006C7DEA"/>
    <w:rsid w:val="006D0057"/>
    <w:rsid w:val="006D01B6"/>
    <w:rsid w:val="006D021F"/>
    <w:rsid w:val="006D0332"/>
    <w:rsid w:val="006D03D3"/>
    <w:rsid w:val="006D04F8"/>
    <w:rsid w:val="006D07D7"/>
    <w:rsid w:val="006D0B2B"/>
    <w:rsid w:val="006D0BA4"/>
    <w:rsid w:val="006D0C4F"/>
    <w:rsid w:val="006D0E3E"/>
    <w:rsid w:val="006D1078"/>
    <w:rsid w:val="006D1109"/>
    <w:rsid w:val="006D1134"/>
    <w:rsid w:val="006D1153"/>
    <w:rsid w:val="006D115C"/>
    <w:rsid w:val="006D1399"/>
    <w:rsid w:val="006D16A3"/>
    <w:rsid w:val="006D16E3"/>
    <w:rsid w:val="006D16E7"/>
    <w:rsid w:val="006D1C71"/>
    <w:rsid w:val="006D1DCF"/>
    <w:rsid w:val="006D1E52"/>
    <w:rsid w:val="006D2067"/>
    <w:rsid w:val="006D2246"/>
    <w:rsid w:val="006D22B0"/>
    <w:rsid w:val="006D2728"/>
    <w:rsid w:val="006D2744"/>
    <w:rsid w:val="006D28E4"/>
    <w:rsid w:val="006D2927"/>
    <w:rsid w:val="006D29C8"/>
    <w:rsid w:val="006D2A40"/>
    <w:rsid w:val="006D2A4E"/>
    <w:rsid w:val="006D2D06"/>
    <w:rsid w:val="006D2F52"/>
    <w:rsid w:val="006D301D"/>
    <w:rsid w:val="006D3084"/>
    <w:rsid w:val="006D31FC"/>
    <w:rsid w:val="006D3348"/>
    <w:rsid w:val="006D3778"/>
    <w:rsid w:val="006D39C4"/>
    <w:rsid w:val="006D39E8"/>
    <w:rsid w:val="006D3C1B"/>
    <w:rsid w:val="006D3C8E"/>
    <w:rsid w:val="006D3DD9"/>
    <w:rsid w:val="006D3FAA"/>
    <w:rsid w:val="006D43E2"/>
    <w:rsid w:val="006D4575"/>
    <w:rsid w:val="006D4658"/>
    <w:rsid w:val="006D48E0"/>
    <w:rsid w:val="006D4945"/>
    <w:rsid w:val="006D4B2D"/>
    <w:rsid w:val="006D4C0E"/>
    <w:rsid w:val="006D4CA6"/>
    <w:rsid w:val="006D4F50"/>
    <w:rsid w:val="006D5069"/>
    <w:rsid w:val="006D506C"/>
    <w:rsid w:val="006D50C3"/>
    <w:rsid w:val="006D52B6"/>
    <w:rsid w:val="006D5474"/>
    <w:rsid w:val="006D5476"/>
    <w:rsid w:val="006D5510"/>
    <w:rsid w:val="006D55A5"/>
    <w:rsid w:val="006D56AA"/>
    <w:rsid w:val="006D56C0"/>
    <w:rsid w:val="006D589A"/>
    <w:rsid w:val="006D5904"/>
    <w:rsid w:val="006D5955"/>
    <w:rsid w:val="006D5A02"/>
    <w:rsid w:val="006D5A32"/>
    <w:rsid w:val="006D5C35"/>
    <w:rsid w:val="006D5C3E"/>
    <w:rsid w:val="006D5CE1"/>
    <w:rsid w:val="006D5DBD"/>
    <w:rsid w:val="006D5DF8"/>
    <w:rsid w:val="006D5E7C"/>
    <w:rsid w:val="006D5F11"/>
    <w:rsid w:val="006D6009"/>
    <w:rsid w:val="006D60EC"/>
    <w:rsid w:val="006D636A"/>
    <w:rsid w:val="006D636C"/>
    <w:rsid w:val="006D63CC"/>
    <w:rsid w:val="006D647C"/>
    <w:rsid w:val="006D6530"/>
    <w:rsid w:val="006D65FF"/>
    <w:rsid w:val="006D673D"/>
    <w:rsid w:val="006D67FA"/>
    <w:rsid w:val="006D6A71"/>
    <w:rsid w:val="006D6DB9"/>
    <w:rsid w:val="006D6E29"/>
    <w:rsid w:val="006D7020"/>
    <w:rsid w:val="006D707E"/>
    <w:rsid w:val="006D719D"/>
    <w:rsid w:val="006D7303"/>
    <w:rsid w:val="006D742D"/>
    <w:rsid w:val="006D759C"/>
    <w:rsid w:val="006D75A7"/>
    <w:rsid w:val="006D76DF"/>
    <w:rsid w:val="006D776A"/>
    <w:rsid w:val="006D78CD"/>
    <w:rsid w:val="006D7D67"/>
    <w:rsid w:val="006E007A"/>
    <w:rsid w:val="006E00EA"/>
    <w:rsid w:val="006E00FB"/>
    <w:rsid w:val="006E0114"/>
    <w:rsid w:val="006E0125"/>
    <w:rsid w:val="006E0520"/>
    <w:rsid w:val="006E0677"/>
    <w:rsid w:val="006E06EA"/>
    <w:rsid w:val="006E086D"/>
    <w:rsid w:val="006E08F3"/>
    <w:rsid w:val="006E0922"/>
    <w:rsid w:val="006E0A18"/>
    <w:rsid w:val="006E0A2D"/>
    <w:rsid w:val="006E0A66"/>
    <w:rsid w:val="006E0A97"/>
    <w:rsid w:val="006E0B56"/>
    <w:rsid w:val="006E0B84"/>
    <w:rsid w:val="006E0BB4"/>
    <w:rsid w:val="006E0BCB"/>
    <w:rsid w:val="006E0E89"/>
    <w:rsid w:val="006E0FC2"/>
    <w:rsid w:val="006E0FD7"/>
    <w:rsid w:val="006E1074"/>
    <w:rsid w:val="006E10A8"/>
    <w:rsid w:val="006E10DB"/>
    <w:rsid w:val="006E120D"/>
    <w:rsid w:val="006E143C"/>
    <w:rsid w:val="006E1589"/>
    <w:rsid w:val="006E15E4"/>
    <w:rsid w:val="006E15F4"/>
    <w:rsid w:val="006E1635"/>
    <w:rsid w:val="006E17E6"/>
    <w:rsid w:val="006E17FD"/>
    <w:rsid w:val="006E1924"/>
    <w:rsid w:val="006E1955"/>
    <w:rsid w:val="006E1975"/>
    <w:rsid w:val="006E1A04"/>
    <w:rsid w:val="006E1AAD"/>
    <w:rsid w:val="006E1AFE"/>
    <w:rsid w:val="006E214C"/>
    <w:rsid w:val="006E21D1"/>
    <w:rsid w:val="006E21D6"/>
    <w:rsid w:val="006E2435"/>
    <w:rsid w:val="006E2440"/>
    <w:rsid w:val="006E245E"/>
    <w:rsid w:val="006E2476"/>
    <w:rsid w:val="006E2564"/>
    <w:rsid w:val="006E26C9"/>
    <w:rsid w:val="006E284D"/>
    <w:rsid w:val="006E284E"/>
    <w:rsid w:val="006E28C1"/>
    <w:rsid w:val="006E28F1"/>
    <w:rsid w:val="006E29AD"/>
    <w:rsid w:val="006E2ABD"/>
    <w:rsid w:val="006E2B13"/>
    <w:rsid w:val="006E2BAE"/>
    <w:rsid w:val="006E2BB8"/>
    <w:rsid w:val="006E2C32"/>
    <w:rsid w:val="006E2E0A"/>
    <w:rsid w:val="006E2E58"/>
    <w:rsid w:val="006E304F"/>
    <w:rsid w:val="006E31A3"/>
    <w:rsid w:val="006E3249"/>
    <w:rsid w:val="006E32F9"/>
    <w:rsid w:val="006E3321"/>
    <w:rsid w:val="006E33C4"/>
    <w:rsid w:val="006E35A8"/>
    <w:rsid w:val="006E368B"/>
    <w:rsid w:val="006E3748"/>
    <w:rsid w:val="006E385B"/>
    <w:rsid w:val="006E387E"/>
    <w:rsid w:val="006E38F4"/>
    <w:rsid w:val="006E3B27"/>
    <w:rsid w:val="006E3BDA"/>
    <w:rsid w:val="006E3E38"/>
    <w:rsid w:val="006E3F0C"/>
    <w:rsid w:val="006E443F"/>
    <w:rsid w:val="006E4460"/>
    <w:rsid w:val="006E4587"/>
    <w:rsid w:val="006E46EF"/>
    <w:rsid w:val="006E46FB"/>
    <w:rsid w:val="006E4788"/>
    <w:rsid w:val="006E4838"/>
    <w:rsid w:val="006E48FF"/>
    <w:rsid w:val="006E4A53"/>
    <w:rsid w:val="006E4AA4"/>
    <w:rsid w:val="006E4AF4"/>
    <w:rsid w:val="006E4B7C"/>
    <w:rsid w:val="006E4BAB"/>
    <w:rsid w:val="006E4C9D"/>
    <w:rsid w:val="006E4D19"/>
    <w:rsid w:val="006E4D26"/>
    <w:rsid w:val="006E514A"/>
    <w:rsid w:val="006E52B6"/>
    <w:rsid w:val="006E5300"/>
    <w:rsid w:val="006E5301"/>
    <w:rsid w:val="006E5374"/>
    <w:rsid w:val="006E53E5"/>
    <w:rsid w:val="006E53E9"/>
    <w:rsid w:val="006E541B"/>
    <w:rsid w:val="006E5520"/>
    <w:rsid w:val="006E5597"/>
    <w:rsid w:val="006E5640"/>
    <w:rsid w:val="006E566A"/>
    <w:rsid w:val="006E57AA"/>
    <w:rsid w:val="006E5B28"/>
    <w:rsid w:val="006E5BBA"/>
    <w:rsid w:val="006E5C36"/>
    <w:rsid w:val="006E5CA1"/>
    <w:rsid w:val="006E5CD8"/>
    <w:rsid w:val="006E5E52"/>
    <w:rsid w:val="006E6089"/>
    <w:rsid w:val="006E622A"/>
    <w:rsid w:val="006E63CC"/>
    <w:rsid w:val="006E644A"/>
    <w:rsid w:val="006E64C9"/>
    <w:rsid w:val="006E64EF"/>
    <w:rsid w:val="006E655F"/>
    <w:rsid w:val="006E66B8"/>
    <w:rsid w:val="006E69B6"/>
    <w:rsid w:val="006E6A64"/>
    <w:rsid w:val="006E6AC9"/>
    <w:rsid w:val="006E6ACA"/>
    <w:rsid w:val="006E6CD5"/>
    <w:rsid w:val="006E6DCA"/>
    <w:rsid w:val="006E6DFB"/>
    <w:rsid w:val="006E6E90"/>
    <w:rsid w:val="006E70C0"/>
    <w:rsid w:val="006E70DD"/>
    <w:rsid w:val="006E7167"/>
    <w:rsid w:val="006E718C"/>
    <w:rsid w:val="006E71C3"/>
    <w:rsid w:val="006E71F6"/>
    <w:rsid w:val="006E737E"/>
    <w:rsid w:val="006E7438"/>
    <w:rsid w:val="006E75D0"/>
    <w:rsid w:val="006E7712"/>
    <w:rsid w:val="006E7791"/>
    <w:rsid w:val="006E7860"/>
    <w:rsid w:val="006E78C2"/>
    <w:rsid w:val="006E7A28"/>
    <w:rsid w:val="006E7AE7"/>
    <w:rsid w:val="006E7C99"/>
    <w:rsid w:val="006E7CBC"/>
    <w:rsid w:val="006E7CC6"/>
    <w:rsid w:val="006E7DA2"/>
    <w:rsid w:val="006F0072"/>
    <w:rsid w:val="006F0156"/>
    <w:rsid w:val="006F0172"/>
    <w:rsid w:val="006F0333"/>
    <w:rsid w:val="006F0368"/>
    <w:rsid w:val="006F06D0"/>
    <w:rsid w:val="006F075B"/>
    <w:rsid w:val="006F08B6"/>
    <w:rsid w:val="006F09F5"/>
    <w:rsid w:val="006F0A35"/>
    <w:rsid w:val="006F0F1C"/>
    <w:rsid w:val="006F0FE4"/>
    <w:rsid w:val="006F10C6"/>
    <w:rsid w:val="006F13FD"/>
    <w:rsid w:val="006F14A2"/>
    <w:rsid w:val="006F14B0"/>
    <w:rsid w:val="006F165B"/>
    <w:rsid w:val="006F16A3"/>
    <w:rsid w:val="006F16F5"/>
    <w:rsid w:val="006F1806"/>
    <w:rsid w:val="006F182A"/>
    <w:rsid w:val="006F1842"/>
    <w:rsid w:val="006F1968"/>
    <w:rsid w:val="006F1AA6"/>
    <w:rsid w:val="006F1B28"/>
    <w:rsid w:val="006F1C3E"/>
    <w:rsid w:val="006F1D4B"/>
    <w:rsid w:val="006F1F1C"/>
    <w:rsid w:val="006F21FE"/>
    <w:rsid w:val="006F267C"/>
    <w:rsid w:val="006F284A"/>
    <w:rsid w:val="006F285E"/>
    <w:rsid w:val="006F2A64"/>
    <w:rsid w:val="006F2C8D"/>
    <w:rsid w:val="006F2D1A"/>
    <w:rsid w:val="006F2FB0"/>
    <w:rsid w:val="006F307C"/>
    <w:rsid w:val="006F3162"/>
    <w:rsid w:val="006F3288"/>
    <w:rsid w:val="006F329D"/>
    <w:rsid w:val="006F33C8"/>
    <w:rsid w:val="006F35B4"/>
    <w:rsid w:val="006F3666"/>
    <w:rsid w:val="006F36DE"/>
    <w:rsid w:val="006F3874"/>
    <w:rsid w:val="006F38FE"/>
    <w:rsid w:val="006F398D"/>
    <w:rsid w:val="006F3AA1"/>
    <w:rsid w:val="006F3BFC"/>
    <w:rsid w:val="006F3CCB"/>
    <w:rsid w:val="006F3CDD"/>
    <w:rsid w:val="006F3D29"/>
    <w:rsid w:val="006F3D52"/>
    <w:rsid w:val="006F3E17"/>
    <w:rsid w:val="006F3E43"/>
    <w:rsid w:val="006F3E5A"/>
    <w:rsid w:val="006F3E73"/>
    <w:rsid w:val="006F3E80"/>
    <w:rsid w:val="006F3F90"/>
    <w:rsid w:val="006F3F94"/>
    <w:rsid w:val="006F406C"/>
    <w:rsid w:val="006F4325"/>
    <w:rsid w:val="006F4385"/>
    <w:rsid w:val="006F4386"/>
    <w:rsid w:val="006F43C2"/>
    <w:rsid w:val="006F454A"/>
    <w:rsid w:val="006F457B"/>
    <w:rsid w:val="006F458E"/>
    <w:rsid w:val="006F4810"/>
    <w:rsid w:val="006F490E"/>
    <w:rsid w:val="006F4C01"/>
    <w:rsid w:val="006F4CA9"/>
    <w:rsid w:val="006F4D0B"/>
    <w:rsid w:val="006F4DA2"/>
    <w:rsid w:val="006F4E40"/>
    <w:rsid w:val="006F4FC2"/>
    <w:rsid w:val="006F50B7"/>
    <w:rsid w:val="006F5101"/>
    <w:rsid w:val="006F511C"/>
    <w:rsid w:val="006F5187"/>
    <w:rsid w:val="006F52A0"/>
    <w:rsid w:val="006F52A7"/>
    <w:rsid w:val="006F5411"/>
    <w:rsid w:val="006F5449"/>
    <w:rsid w:val="006F5518"/>
    <w:rsid w:val="006F552A"/>
    <w:rsid w:val="006F555D"/>
    <w:rsid w:val="006F55B1"/>
    <w:rsid w:val="006F5748"/>
    <w:rsid w:val="006F5784"/>
    <w:rsid w:val="006F57E5"/>
    <w:rsid w:val="006F58F0"/>
    <w:rsid w:val="006F5962"/>
    <w:rsid w:val="006F599C"/>
    <w:rsid w:val="006F5B59"/>
    <w:rsid w:val="006F5CBB"/>
    <w:rsid w:val="006F5D15"/>
    <w:rsid w:val="006F5D89"/>
    <w:rsid w:val="006F5E43"/>
    <w:rsid w:val="006F5F2A"/>
    <w:rsid w:val="006F5FB8"/>
    <w:rsid w:val="006F6081"/>
    <w:rsid w:val="006F6082"/>
    <w:rsid w:val="006F61DB"/>
    <w:rsid w:val="006F6344"/>
    <w:rsid w:val="006F65E5"/>
    <w:rsid w:val="006F65E6"/>
    <w:rsid w:val="006F6749"/>
    <w:rsid w:val="006F6793"/>
    <w:rsid w:val="006F689A"/>
    <w:rsid w:val="006F6921"/>
    <w:rsid w:val="006F6D47"/>
    <w:rsid w:val="006F6E86"/>
    <w:rsid w:val="006F703D"/>
    <w:rsid w:val="006F7197"/>
    <w:rsid w:val="006F7447"/>
    <w:rsid w:val="006F7658"/>
    <w:rsid w:val="006F7682"/>
    <w:rsid w:val="006F77AC"/>
    <w:rsid w:val="006F786E"/>
    <w:rsid w:val="006F7993"/>
    <w:rsid w:val="006F79F6"/>
    <w:rsid w:val="006F7A84"/>
    <w:rsid w:val="006F7D5E"/>
    <w:rsid w:val="006F7D7A"/>
    <w:rsid w:val="006F7D86"/>
    <w:rsid w:val="006F7DD0"/>
    <w:rsid w:val="006F7F4D"/>
    <w:rsid w:val="006F7F7A"/>
    <w:rsid w:val="006F7FBB"/>
    <w:rsid w:val="00700016"/>
    <w:rsid w:val="00700102"/>
    <w:rsid w:val="007001D2"/>
    <w:rsid w:val="0070023D"/>
    <w:rsid w:val="007002BA"/>
    <w:rsid w:val="007002C8"/>
    <w:rsid w:val="007003E9"/>
    <w:rsid w:val="00700515"/>
    <w:rsid w:val="00700571"/>
    <w:rsid w:val="00700828"/>
    <w:rsid w:val="007008D1"/>
    <w:rsid w:val="007008FA"/>
    <w:rsid w:val="00700A0F"/>
    <w:rsid w:val="00700B5B"/>
    <w:rsid w:val="00700D5A"/>
    <w:rsid w:val="00700E01"/>
    <w:rsid w:val="00700E41"/>
    <w:rsid w:val="00700ED6"/>
    <w:rsid w:val="0070117E"/>
    <w:rsid w:val="0070124B"/>
    <w:rsid w:val="007012F9"/>
    <w:rsid w:val="007012FF"/>
    <w:rsid w:val="0070130E"/>
    <w:rsid w:val="007013E5"/>
    <w:rsid w:val="007013FA"/>
    <w:rsid w:val="007014D0"/>
    <w:rsid w:val="007015BB"/>
    <w:rsid w:val="007015C4"/>
    <w:rsid w:val="00701715"/>
    <w:rsid w:val="00701746"/>
    <w:rsid w:val="00701887"/>
    <w:rsid w:val="00701890"/>
    <w:rsid w:val="007019C5"/>
    <w:rsid w:val="00701A61"/>
    <w:rsid w:val="00701AB1"/>
    <w:rsid w:val="00701BB9"/>
    <w:rsid w:val="00701BC5"/>
    <w:rsid w:val="00701C31"/>
    <w:rsid w:val="00701D45"/>
    <w:rsid w:val="00701DA7"/>
    <w:rsid w:val="00701EF0"/>
    <w:rsid w:val="0070228F"/>
    <w:rsid w:val="007023DD"/>
    <w:rsid w:val="0070251C"/>
    <w:rsid w:val="007025E6"/>
    <w:rsid w:val="007025EF"/>
    <w:rsid w:val="0070283A"/>
    <w:rsid w:val="007028EC"/>
    <w:rsid w:val="00702A48"/>
    <w:rsid w:val="00702B2C"/>
    <w:rsid w:val="00702C5E"/>
    <w:rsid w:val="00702C77"/>
    <w:rsid w:val="00702CA2"/>
    <w:rsid w:val="00702CDC"/>
    <w:rsid w:val="00702F0F"/>
    <w:rsid w:val="00702FED"/>
    <w:rsid w:val="00703088"/>
    <w:rsid w:val="0070314F"/>
    <w:rsid w:val="007031CD"/>
    <w:rsid w:val="00703203"/>
    <w:rsid w:val="0070321A"/>
    <w:rsid w:val="00703222"/>
    <w:rsid w:val="0070330B"/>
    <w:rsid w:val="0070338B"/>
    <w:rsid w:val="00703498"/>
    <w:rsid w:val="007035D0"/>
    <w:rsid w:val="0070373E"/>
    <w:rsid w:val="00703816"/>
    <w:rsid w:val="007038EB"/>
    <w:rsid w:val="007039A3"/>
    <w:rsid w:val="00703B65"/>
    <w:rsid w:val="00703C0E"/>
    <w:rsid w:val="00703C9F"/>
    <w:rsid w:val="00703D79"/>
    <w:rsid w:val="007042D5"/>
    <w:rsid w:val="0070438E"/>
    <w:rsid w:val="00704482"/>
    <w:rsid w:val="007044C7"/>
    <w:rsid w:val="00704533"/>
    <w:rsid w:val="007045E7"/>
    <w:rsid w:val="00704607"/>
    <w:rsid w:val="007046AB"/>
    <w:rsid w:val="0070496D"/>
    <w:rsid w:val="00704AA9"/>
    <w:rsid w:val="00704B54"/>
    <w:rsid w:val="00704CFD"/>
    <w:rsid w:val="00704DCD"/>
    <w:rsid w:val="00704F4B"/>
    <w:rsid w:val="0070515B"/>
    <w:rsid w:val="0070539E"/>
    <w:rsid w:val="00705459"/>
    <w:rsid w:val="0070590D"/>
    <w:rsid w:val="0070598E"/>
    <w:rsid w:val="00705A13"/>
    <w:rsid w:val="00705AC0"/>
    <w:rsid w:val="00705B0C"/>
    <w:rsid w:val="00705B35"/>
    <w:rsid w:val="00705D16"/>
    <w:rsid w:val="00705DE9"/>
    <w:rsid w:val="00705F08"/>
    <w:rsid w:val="007060E2"/>
    <w:rsid w:val="007060EA"/>
    <w:rsid w:val="00706164"/>
    <w:rsid w:val="007062AF"/>
    <w:rsid w:val="007062F7"/>
    <w:rsid w:val="00706758"/>
    <w:rsid w:val="0070685F"/>
    <w:rsid w:val="00706A0D"/>
    <w:rsid w:val="00706A49"/>
    <w:rsid w:val="00706AA8"/>
    <w:rsid w:val="00706C75"/>
    <w:rsid w:val="00706DF5"/>
    <w:rsid w:val="00706EA5"/>
    <w:rsid w:val="00706FD4"/>
    <w:rsid w:val="0070702F"/>
    <w:rsid w:val="00707039"/>
    <w:rsid w:val="00707074"/>
    <w:rsid w:val="007070DE"/>
    <w:rsid w:val="007071C8"/>
    <w:rsid w:val="007071EC"/>
    <w:rsid w:val="00707278"/>
    <w:rsid w:val="0070738D"/>
    <w:rsid w:val="007077F3"/>
    <w:rsid w:val="007078F2"/>
    <w:rsid w:val="00707977"/>
    <w:rsid w:val="00707B3B"/>
    <w:rsid w:val="00707D5A"/>
    <w:rsid w:val="00707E2D"/>
    <w:rsid w:val="00707EA6"/>
    <w:rsid w:val="00707ECC"/>
    <w:rsid w:val="00707ED6"/>
    <w:rsid w:val="00710059"/>
    <w:rsid w:val="00710080"/>
    <w:rsid w:val="007100AF"/>
    <w:rsid w:val="00710236"/>
    <w:rsid w:val="0071027F"/>
    <w:rsid w:val="0071028F"/>
    <w:rsid w:val="00710595"/>
    <w:rsid w:val="007105D1"/>
    <w:rsid w:val="007105F0"/>
    <w:rsid w:val="00710619"/>
    <w:rsid w:val="00710682"/>
    <w:rsid w:val="00710871"/>
    <w:rsid w:val="00710968"/>
    <w:rsid w:val="00710AD1"/>
    <w:rsid w:val="00710B19"/>
    <w:rsid w:val="00710B80"/>
    <w:rsid w:val="00710C82"/>
    <w:rsid w:val="00710DA7"/>
    <w:rsid w:val="00710EE0"/>
    <w:rsid w:val="007110E8"/>
    <w:rsid w:val="007110FB"/>
    <w:rsid w:val="007112BF"/>
    <w:rsid w:val="007114D8"/>
    <w:rsid w:val="00711622"/>
    <w:rsid w:val="00711666"/>
    <w:rsid w:val="007116B6"/>
    <w:rsid w:val="0071174E"/>
    <w:rsid w:val="007118D4"/>
    <w:rsid w:val="0071194B"/>
    <w:rsid w:val="00711987"/>
    <w:rsid w:val="007119C8"/>
    <w:rsid w:val="007119D3"/>
    <w:rsid w:val="007119E5"/>
    <w:rsid w:val="00711C4F"/>
    <w:rsid w:val="00711C76"/>
    <w:rsid w:val="007120EB"/>
    <w:rsid w:val="00712247"/>
    <w:rsid w:val="0071239B"/>
    <w:rsid w:val="007124F3"/>
    <w:rsid w:val="0071265F"/>
    <w:rsid w:val="0071273E"/>
    <w:rsid w:val="0071285D"/>
    <w:rsid w:val="0071290D"/>
    <w:rsid w:val="00712A3E"/>
    <w:rsid w:val="0071310D"/>
    <w:rsid w:val="00713164"/>
    <w:rsid w:val="0071333A"/>
    <w:rsid w:val="007133E4"/>
    <w:rsid w:val="007134F4"/>
    <w:rsid w:val="00713661"/>
    <w:rsid w:val="0071373C"/>
    <w:rsid w:val="00713755"/>
    <w:rsid w:val="0071387D"/>
    <w:rsid w:val="0071398D"/>
    <w:rsid w:val="00713A1A"/>
    <w:rsid w:val="00713A22"/>
    <w:rsid w:val="00713A44"/>
    <w:rsid w:val="00713AFC"/>
    <w:rsid w:val="00713EBC"/>
    <w:rsid w:val="00713F31"/>
    <w:rsid w:val="00714062"/>
    <w:rsid w:val="0071408E"/>
    <w:rsid w:val="00714124"/>
    <w:rsid w:val="00714188"/>
    <w:rsid w:val="007141EE"/>
    <w:rsid w:val="00714295"/>
    <w:rsid w:val="007142CB"/>
    <w:rsid w:val="0071432A"/>
    <w:rsid w:val="00714593"/>
    <w:rsid w:val="007145A9"/>
    <w:rsid w:val="00714612"/>
    <w:rsid w:val="00714634"/>
    <w:rsid w:val="0071468A"/>
    <w:rsid w:val="007147C9"/>
    <w:rsid w:val="007147FC"/>
    <w:rsid w:val="007149D6"/>
    <w:rsid w:val="00714BB7"/>
    <w:rsid w:val="00714FB7"/>
    <w:rsid w:val="00715185"/>
    <w:rsid w:val="00715217"/>
    <w:rsid w:val="007152B2"/>
    <w:rsid w:val="00715408"/>
    <w:rsid w:val="00715586"/>
    <w:rsid w:val="00715684"/>
    <w:rsid w:val="007156D0"/>
    <w:rsid w:val="007157C1"/>
    <w:rsid w:val="00715891"/>
    <w:rsid w:val="007158EE"/>
    <w:rsid w:val="007159F7"/>
    <w:rsid w:val="00715B41"/>
    <w:rsid w:val="00715B5E"/>
    <w:rsid w:val="00715BAC"/>
    <w:rsid w:val="00715BC6"/>
    <w:rsid w:val="00715BCF"/>
    <w:rsid w:val="00715BD7"/>
    <w:rsid w:val="00715CA6"/>
    <w:rsid w:val="00715DC2"/>
    <w:rsid w:val="00715E0A"/>
    <w:rsid w:val="00715E0C"/>
    <w:rsid w:val="00715EFF"/>
    <w:rsid w:val="00715F25"/>
    <w:rsid w:val="00715F63"/>
    <w:rsid w:val="0071614A"/>
    <w:rsid w:val="00716504"/>
    <w:rsid w:val="00716581"/>
    <w:rsid w:val="0071668A"/>
    <w:rsid w:val="0071692B"/>
    <w:rsid w:val="00716B68"/>
    <w:rsid w:val="00716B7D"/>
    <w:rsid w:val="00716CB9"/>
    <w:rsid w:val="00716FA2"/>
    <w:rsid w:val="00716FEA"/>
    <w:rsid w:val="00717024"/>
    <w:rsid w:val="0071703A"/>
    <w:rsid w:val="00717085"/>
    <w:rsid w:val="0071714C"/>
    <w:rsid w:val="0071721C"/>
    <w:rsid w:val="007172B1"/>
    <w:rsid w:val="007173D0"/>
    <w:rsid w:val="007174D1"/>
    <w:rsid w:val="0071762F"/>
    <w:rsid w:val="0071767E"/>
    <w:rsid w:val="00717845"/>
    <w:rsid w:val="00717B24"/>
    <w:rsid w:val="00717B4C"/>
    <w:rsid w:val="00717BD6"/>
    <w:rsid w:val="00717D01"/>
    <w:rsid w:val="00717DEE"/>
    <w:rsid w:val="00717DF1"/>
    <w:rsid w:val="00717E16"/>
    <w:rsid w:val="00717EF5"/>
    <w:rsid w:val="00717F12"/>
    <w:rsid w:val="00717FE0"/>
    <w:rsid w:val="00720389"/>
    <w:rsid w:val="00720404"/>
    <w:rsid w:val="0072058F"/>
    <w:rsid w:val="00720845"/>
    <w:rsid w:val="00720859"/>
    <w:rsid w:val="007208BF"/>
    <w:rsid w:val="007209C9"/>
    <w:rsid w:val="007209DD"/>
    <w:rsid w:val="00720A20"/>
    <w:rsid w:val="00720B51"/>
    <w:rsid w:val="00720BF1"/>
    <w:rsid w:val="00720C27"/>
    <w:rsid w:val="00720C3D"/>
    <w:rsid w:val="00720DB8"/>
    <w:rsid w:val="00720ED0"/>
    <w:rsid w:val="00720EE2"/>
    <w:rsid w:val="00721242"/>
    <w:rsid w:val="007212A5"/>
    <w:rsid w:val="007214FC"/>
    <w:rsid w:val="00721563"/>
    <w:rsid w:val="007215C2"/>
    <w:rsid w:val="0072165A"/>
    <w:rsid w:val="007216A9"/>
    <w:rsid w:val="00721972"/>
    <w:rsid w:val="00721981"/>
    <w:rsid w:val="00721A4F"/>
    <w:rsid w:val="00721AC0"/>
    <w:rsid w:val="00721C8E"/>
    <w:rsid w:val="00721D4D"/>
    <w:rsid w:val="00721E68"/>
    <w:rsid w:val="00721FF6"/>
    <w:rsid w:val="007221E0"/>
    <w:rsid w:val="00722240"/>
    <w:rsid w:val="00722297"/>
    <w:rsid w:val="007222DE"/>
    <w:rsid w:val="0072231B"/>
    <w:rsid w:val="00722367"/>
    <w:rsid w:val="007223AF"/>
    <w:rsid w:val="00722599"/>
    <w:rsid w:val="00722687"/>
    <w:rsid w:val="00722761"/>
    <w:rsid w:val="0072297B"/>
    <w:rsid w:val="00722990"/>
    <w:rsid w:val="00722A1D"/>
    <w:rsid w:val="00722A21"/>
    <w:rsid w:val="00722A7C"/>
    <w:rsid w:val="00722BEC"/>
    <w:rsid w:val="00722C35"/>
    <w:rsid w:val="00722D07"/>
    <w:rsid w:val="00722D90"/>
    <w:rsid w:val="00722FAC"/>
    <w:rsid w:val="0072306D"/>
    <w:rsid w:val="00723249"/>
    <w:rsid w:val="007232F3"/>
    <w:rsid w:val="007233B5"/>
    <w:rsid w:val="007235B5"/>
    <w:rsid w:val="00723770"/>
    <w:rsid w:val="00723821"/>
    <w:rsid w:val="0072383B"/>
    <w:rsid w:val="0072389A"/>
    <w:rsid w:val="007238A0"/>
    <w:rsid w:val="007239F8"/>
    <w:rsid w:val="00723A42"/>
    <w:rsid w:val="00723B44"/>
    <w:rsid w:val="00723E05"/>
    <w:rsid w:val="00724190"/>
    <w:rsid w:val="007241BE"/>
    <w:rsid w:val="00724431"/>
    <w:rsid w:val="00724473"/>
    <w:rsid w:val="007244CA"/>
    <w:rsid w:val="00724678"/>
    <w:rsid w:val="00724792"/>
    <w:rsid w:val="00724886"/>
    <w:rsid w:val="00724A99"/>
    <w:rsid w:val="00724AD4"/>
    <w:rsid w:val="00724B1D"/>
    <w:rsid w:val="00724B6C"/>
    <w:rsid w:val="00724BB5"/>
    <w:rsid w:val="00724C34"/>
    <w:rsid w:val="00724CC9"/>
    <w:rsid w:val="00724D0D"/>
    <w:rsid w:val="00724D20"/>
    <w:rsid w:val="00724D86"/>
    <w:rsid w:val="00724DE3"/>
    <w:rsid w:val="00724F0B"/>
    <w:rsid w:val="00724FF5"/>
    <w:rsid w:val="00725013"/>
    <w:rsid w:val="007250F3"/>
    <w:rsid w:val="007251C5"/>
    <w:rsid w:val="00725222"/>
    <w:rsid w:val="007252E2"/>
    <w:rsid w:val="0072555C"/>
    <w:rsid w:val="00725704"/>
    <w:rsid w:val="0072588D"/>
    <w:rsid w:val="00725E9D"/>
    <w:rsid w:val="00725F51"/>
    <w:rsid w:val="00726183"/>
    <w:rsid w:val="0072626F"/>
    <w:rsid w:val="00726404"/>
    <w:rsid w:val="00726421"/>
    <w:rsid w:val="00726495"/>
    <w:rsid w:val="00726502"/>
    <w:rsid w:val="00726527"/>
    <w:rsid w:val="007266C8"/>
    <w:rsid w:val="00726759"/>
    <w:rsid w:val="0072684A"/>
    <w:rsid w:val="00726895"/>
    <w:rsid w:val="0072694F"/>
    <w:rsid w:val="00726BF7"/>
    <w:rsid w:val="00726C4D"/>
    <w:rsid w:val="00726CF3"/>
    <w:rsid w:val="00726D00"/>
    <w:rsid w:val="00726D3D"/>
    <w:rsid w:val="007272D4"/>
    <w:rsid w:val="0072749E"/>
    <w:rsid w:val="0072755A"/>
    <w:rsid w:val="007275B4"/>
    <w:rsid w:val="007276BF"/>
    <w:rsid w:val="00727738"/>
    <w:rsid w:val="00727869"/>
    <w:rsid w:val="00727A58"/>
    <w:rsid w:val="00727A8A"/>
    <w:rsid w:val="00727BDA"/>
    <w:rsid w:val="00727BE4"/>
    <w:rsid w:val="00727C73"/>
    <w:rsid w:val="00727DA0"/>
    <w:rsid w:val="00727DA1"/>
    <w:rsid w:val="00727E48"/>
    <w:rsid w:val="00727FE3"/>
    <w:rsid w:val="0072EF53"/>
    <w:rsid w:val="00730073"/>
    <w:rsid w:val="00730094"/>
    <w:rsid w:val="00730149"/>
    <w:rsid w:val="0073069F"/>
    <w:rsid w:val="007306A2"/>
    <w:rsid w:val="007308DD"/>
    <w:rsid w:val="0073092C"/>
    <w:rsid w:val="00730A25"/>
    <w:rsid w:val="00730AF4"/>
    <w:rsid w:val="00730B93"/>
    <w:rsid w:val="00730C18"/>
    <w:rsid w:val="00730C5D"/>
    <w:rsid w:val="00730CCA"/>
    <w:rsid w:val="00730E38"/>
    <w:rsid w:val="00730F6E"/>
    <w:rsid w:val="00730FCD"/>
    <w:rsid w:val="007311F3"/>
    <w:rsid w:val="007311F7"/>
    <w:rsid w:val="00731314"/>
    <w:rsid w:val="00731343"/>
    <w:rsid w:val="00731412"/>
    <w:rsid w:val="00731531"/>
    <w:rsid w:val="007315AD"/>
    <w:rsid w:val="007315CA"/>
    <w:rsid w:val="007316AC"/>
    <w:rsid w:val="007317FA"/>
    <w:rsid w:val="007319D4"/>
    <w:rsid w:val="00731A3A"/>
    <w:rsid w:val="00731B69"/>
    <w:rsid w:val="00731C88"/>
    <w:rsid w:val="00731D3B"/>
    <w:rsid w:val="00731DD4"/>
    <w:rsid w:val="00731E2E"/>
    <w:rsid w:val="00732015"/>
    <w:rsid w:val="0073211C"/>
    <w:rsid w:val="00732289"/>
    <w:rsid w:val="00732771"/>
    <w:rsid w:val="00732799"/>
    <w:rsid w:val="00732867"/>
    <w:rsid w:val="007328B0"/>
    <w:rsid w:val="007328D5"/>
    <w:rsid w:val="00732958"/>
    <w:rsid w:val="00732A1E"/>
    <w:rsid w:val="00732A35"/>
    <w:rsid w:val="00732E37"/>
    <w:rsid w:val="00732EF5"/>
    <w:rsid w:val="00732F43"/>
    <w:rsid w:val="00732FBD"/>
    <w:rsid w:val="0073301A"/>
    <w:rsid w:val="007330FC"/>
    <w:rsid w:val="0073310E"/>
    <w:rsid w:val="007331B5"/>
    <w:rsid w:val="00733274"/>
    <w:rsid w:val="007332AA"/>
    <w:rsid w:val="007333B5"/>
    <w:rsid w:val="007333F6"/>
    <w:rsid w:val="00733849"/>
    <w:rsid w:val="007338C7"/>
    <w:rsid w:val="00733C57"/>
    <w:rsid w:val="00733DA1"/>
    <w:rsid w:val="00733F19"/>
    <w:rsid w:val="00734072"/>
    <w:rsid w:val="0073413D"/>
    <w:rsid w:val="0073416F"/>
    <w:rsid w:val="007342FB"/>
    <w:rsid w:val="00734400"/>
    <w:rsid w:val="00734455"/>
    <w:rsid w:val="00734554"/>
    <w:rsid w:val="007346F6"/>
    <w:rsid w:val="00734934"/>
    <w:rsid w:val="00734942"/>
    <w:rsid w:val="0073498F"/>
    <w:rsid w:val="0073499A"/>
    <w:rsid w:val="00734A4C"/>
    <w:rsid w:val="00734AA8"/>
    <w:rsid w:val="00734AAD"/>
    <w:rsid w:val="00734B62"/>
    <w:rsid w:val="00734D21"/>
    <w:rsid w:val="00734D23"/>
    <w:rsid w:val="00734DDF"/>
    <w:rsid w:val="00734E23"/>
    <w:rsid w:val="00734E63"/>
    <w:rsid w:val="00734EA1"/>
    <w:rsid w:val="00734EF3"/>
    <w:rsid w:val="00735001"/>
    <w:rsid w:val="00735014"/>
    <w:rsid w:val="007350FC"/>
    <w:rsid w:val="007352B6"/>
    <w:rsid w:val="0073530F"/>
    <w:rsid w:val="0073535F"/>
    <w:rsid w:val="00735401"/>
    <w:rsid w:val="007355BC"/>
    <w:rsid w:val="007355FE"/>
    <w:rsid w:val="007356F2"/>
    <w:rsid w:val="00735884"/>
    <w:rsid w:val="007358C1"/>
    <w:rsid w:val="007358E3"/>
    <w:rsid w:val="007359A8"/>
    <w:rsid w:val="00735A90"/>
    <w:rsid w:val="00735C28"/>
    <w:rsid w:val="00735C5E"/>
    <w:rsid w:val="00735D26"/>
    <w:rsid w:val="00735DCD"/>
    <w:rsid w:val="00735E46"/>
    <w:rsid w:val="00735E7E"/>
    <w:rsid w:val="00735FC8"/>
    <w:rsid w:val="00736025"/>
    <w:rsid w:val="00736071"/>
    <w:rsid w:val="007360E9"/>
    <w:rsid w:val="007361EA"/>
    <w:rsid w:val="007363BF"/>
    <w:rsid w:val="007363CA"/>
    <w:rsid w:val="00736476"/>
    <w:rsid w:val="00736564"/>
    <w:rsid w:val="0073663B"/>
    <w:rsid w:val="00736650"/>
    <w:rsid w:val="007368D6"/>
    <w:rsid w:val="00736A7C"/>
    <w:rsid w:val="00736AFA"/>
    <w:rsid w:val="00736B81"/>
    <w:rsid w:val="00736F06"/>
    <w:rsid w:val="00736F61"/>
    <w:rsid w:val="00736FAA"/>
    <w:rsid w:val="00737374"/>
    <w:rsid w:val="00737380"/>
    <w:rsid w:val="007373BD"/>
    <w:rsid w:val="0073762F"/>
    <w:rsid w:val="0073765F"/>
    <w:rsid w:val="007376B9"/>
    <w:rsid w:val="0073781A"/>
    <w:rsid w:val="00737C8D"/>
    <w:rsid w:val="00737D2C"/>
    <w:rsid w:val="00737D7A"/>
    <w:rsid w:val="00737F23"/>
    <w:rsid w:val="00737F3E"/>
    <w:rsid w:val="00740156"/>
    <w:rsid w:val="00740443"/>
    <w:rsid w:val="00740573"/>
    <w:rsid w:val="00740632"/>
    <w:rsid w:val="007406C0"/>
    <w:rsid w:val="00740903"/>
    <w:rsid w:val="007409BF"/>
    <w:rsid w:val="00740A08"/>
    <w:rsid w:val="00740A68"/>
    <w:rsid w:val="00740D9C"/>
    <w:rsid w:val="00740FA9"/>
    <w:rsid w:val="007410AC"/>
    <w:rsid w:val="0074115F"/>
    <w:rsid w:val="00741217"/>
    <w:rsid w:val="007416F5"/>
    <w:rsid w:val="0074176C"/>
    <w:rsid w:val="0074187C"/>
    <w:rsid w:val="00741928"/>
    <w:rsid w:val="007419A7"/>
    <w:rsid w:val="00741AD6"/>
    <w:rsid w:val="00741AEC"/>
    <w:rsid w:val="00741B1A"/>
    <w:rsid w:val="00741C65"/>
    <w:rsid w:val="00741C74"/>
    <w:rsid w:val="00741CF0"/>
    <w:rsid w:val="00741EBF"/>
    <w:rsid w:val="00741ECF"/>
    <w:rsid w:val="00741F0A"/>
    <w:rsid w:val="00741F29"/>
    <w:rsid w:val="00742045"/>
    <w:rsid w:val="007420BC"/>
    <w:rsid w:val="0074220B"/>
    <w:rsid w:val="00742410"/>
    <w:rsid w:val="0074258E"/>
    <w:rsid w:val="007425C4"/>
    <w:rsid w:val="00742755"/>
    <w:rsid w:val="0074292E"/>
    <w:rsid w:val="007429E7"/>
    <w:rsid w:val="00742AB2"/>
    <w:rsid w:val="00742C44"/>
    <w:rsid w:val="00742CB7"/>
    <w:rsid w:val="00742F91"/>
    <w:rsid w:val="007430AF"/>
    <w:rsid w:val="00743143"/>
    <w:rsid w:val="0074334C"/>
    <w:rsid w:val="00743354"/>
    <w:rsid w:val="00743517"/>
    <w:rsid w:val="0074365B"/>
    <w:rsid w:val="00743737"/>
    <w:rsid w:val="007439C8"/>
    <w:rsid w:val="00743A4A"/>
    <w:rsid w:val="00743B2E"/>
    <w:rsid w:val="00743DCE"/>
    <w:rsid w:val="00743E19"/>
    <w:rsid w:val="00743E55"/>
    <w:rsid w:val="00743F72"/>
    <w:rsid w:val="00744007"/>
    <w:rsid w:val="0074405C"/>
    <w:rsid w:val="007440BD"/>
    <w:rsid w:val="00744132"/>
    <w:rsid w:val="007441C1"/>
    <w:rsid w:val="00744206"/>
    <w:rsid w:val="00744241"/>
    <w:rsid w:val="007442E7"/>
    <w:rsid w:val="00744495"/>
    <w:rsid w:val="00744667"/>
    <w:rsid w:val="007447A7"/>
    <w:rsid w:val="00744854"/>
    <w:rsid w:val="00744915"/>
    <w:rsid w:val="00744984"/>
    <w:rsid w:val="0074498B"/>
    <w:rsid w:val="00744A2E"/>
    <w:rsid w:val="00744C1F"/>
    <w:rsid w:val="00744CD2"/>
    <w:rsid w:val="00744D0A"/>
    <w:rsid w:val="00744D2E"/>
    <w:rsid w:val="00744D87"/>
    <w:rsid w:val="00744E5D"/>
    <w:rsid w:val="00744EBB"/>
    <w:rsid w:val="007452B8"/>
    <w:rsid w:val="007454A8"/>
    <w:rsid w:val="007454B0"/>
    <w:rsid w:val="007454C6"/>
    <w:rsid w:val="007454EC"/>
    <w:rsid w:val="00745562"/>
    <w:rsid w:val="007455D2"/>
    <w:rsid w:val="0074564F"/>
    <w:rsid w:val="007457FC"/>
    <w:rsid w:val="00745A5E"/>
    <w:rsid w:val="00745A6A"/>
    <w:rsid w:val="00745AC5"/>
    <w:rsid w:val="00745B5F"/>
    <w:rsid w:val="00745C0F"/>
    <w:rsid w:val="00745CC8"/>
    <w:rsid w:val="00745DC4"/>
    <w:rsid w:val="00745DEF"/>
    <w:rsid w:val="00745EC9"/>
    <w:rsid w:val="00745F12"/>
    <w:rsid w:val="00745FF8"/>
    <w:rsid w:val="0074602F"/>
    <w:rsid w:val="007460A9"/>
    <w:rsid w:val="0074613F"/>
    <w:rsid w:val="007461B0"/>
    <w:rsid w:val="00746287"/>
    <w:rsid w:val="007463B0"/>
    <w:rsid w:val="00746452"/>
    <w:rsid w:val="00746482"/>
    <w:rsid w:val="0074649C"/>
    <w:rsid w:val="00746609"/>
    <w:rsid w:val="00746850"/>
    <w:rsid w:val="00746BCC"/>
    <w:rsid w:val="00746BCD"/>
    <w:rsid w:val="00746CF0"/>
    <w:rsid w:val="00746EAE"/>
    <w:rsid w:val="00746FC3"/>
    <w:rsid w:val="00747073"/>
    <w:rsid w:val="00747300"/>
    <w:rsid w:val="00747422"/>
    <w:rsid w:val="007475E6"/>
    <w:rsid w:val="00747674"/>
    <w:rsid w:val="0074775F"/>
    <w:rsid w:val="0074780C"/>
    <w:rsid w:val="00747837"/>
    <w:rsid w:val="00747931"/>
    <w:rsid w:val="00747997"/>
    <w:rsid w:val="00747B23"/>
    <w:rsid w:val="00747B31"/>
    <w:rsid w:val="00747BF5"/>
    <w:rsid w:val="00747C07"/>
    <w:rsid w:val="00747F3A"/>
    <w:rsid w:val="0074E07E"/>
    <w:rsid w:val="00750094"/>
    <w:rsid w:val="007500A3"/>
    <w:rsid w:val="0075019B"/>
    <w:rsid w:val="007501FA"/>
    <w:rsid w:val="00750307"/>
    <w:rsid w:val="0075048A"/>
    <w:rsid w:val="007504C4"/>
    <w:rsid w:val="00750565"/>
    <w:rsid w:val="007505A0"/>
    <w:rsid w:val="0075077E"/>
    <w:rsid w:val="007507E5"/>
    <w:rsid w:val="00750821"/>
    <w:rsid w:val="0075084A"/>
    <w:rsid w:val="0075093D"/>
    <w:rsid w:val="00750B5D"/>
    <w:rsid w:val="00750BF0"/>
    <w:rsid w:val="00750F53"/>
    <w:rsid w:val="00751017"/>
    <w:rsid w:val="00751024"/>
    <w:rsid w:val="0075126C"/>
    <w:rsid w:val="007512E8"/>
    <w:rsid w:val="00751425"/>
    <w:rsid w:val="00751457"/>
    <w:rsid w:val="0075172A"/>
    <w:rsid w:val="0075178B"/>
    <w:rsid w:val="007517F2"/>
    <w:rsid w:val="0075181D"/>
    <w:rsid w:val="00751837"/>
    <w:rsid w:val="00751895"/>
    <w:rsid w:val="00751928"/>
    <w:rsid w:val="0075193B"/>
    <w:rsid w:val="00751999"/>
    <w:rsid w:val="0075199C"/>
    <w:rsid w:val="007519F4"/>
    <w:rsid w:val="00751A66"/>
    <w:rsid w:val="00751B03"/>
    <w:rsid w:val="00751C2E"/>
    <w:rsid w:val="00751C35"/>
    <w:rsid w:val="00751C70"/>
    <w:rsid w:val="00751DC2"/>
    <w:rsid w:val="00751DED"/>
    <w:rsid w:val="00751E73"/>
    <w:rsid w:val="00751F52"/>
    <w:rsid w:val="0075205F"/>
    <w:rsid w:val="0075225D"/>
    <w:rsid w:val="007522D9"/>
    <w:rsid w:val="007522EE"/>
    <w:rsid w:val="00752319"/>
    <w:rsid w:val="0075232C"/>
    <w:rsid w:val="00752433"/>
    <w:rsid w:val="00752516"/>
    <w:rsid w:val="007525AC"/>
    <w:rsid w:val="00752A69"/>
    <w:rsid w:val="00752A9F"/>
    <w:rsid w:val="00752B2C"/>
    <w:rsid w:val="00752B7F"/>
    <w:rsid w:val="00752BA7"/>
    <w:rsid w:val="00752CEB"/>
    <w:rsid w:val="00752D7C"/>
    <w:rsid w:val="00752D9F"/>
    <w:rsid w:val="00752DB8"/>
    <w:rsid w:val="00752EF3"/>
    <w:rsid w:val="007530B4"/>
    <w:rsid w:val="007531DB"/>
    <w:rsid w:val="00753710"/>
    <w:rsid w:val="007537C4"/>
    <w:rsid w:val="0075399A"/>
    <w:rsid w:val="007539E7"/>
    <w:rsid w:val="007539EE"/>
    <w:rsid w:val="00753B91"/>
    <w:rsid w:val="00753D33"/>
    <w:rsid w:val="00753D8B"/>
    <w:rsid w:val="00753E09"/>
    <w:rsid w:val="00753EEB"/>
    <w:rsid w:val="00753F24"/>
    <w:rsid w:val="007540D8"/>
    <w:rsid w:val="007541BC"/>
    <w:rsid w:val="00754283"/>
    <w:rsid w:val="007543C1"/>
    <w:rsid w:val="007545D5"/>
    <w:rsid w:val="00754604"/>
    <w:rsid w:val="00754663"/>
    <w:rsid w:val="007546EA"/>
    <w:rsid w:val="00754BB6"/>
    <w:rsid w:val="00754BCB"/>
    <w:rsid w:val="00754C23"/>
    <w:rsid w:val="00754CCE"/>
    <w:rsid w:val="00754D3D"/>
    <w:rsid w:val="00754E60"/>
    <w:rsid w:val="00754F5F"/>
    <w:rsid w:val="00754FFC"/>
    <w:rsid w:val="00755014"/>
    <w:rsid w:val="0075510F"/>
    <w:rsid w:val="007551D9"/>
    <w:rsid w:val="00755221"/>
    <w:rsid w:val="007552BC"/>
    <w:rsid w:val="007552F3"/>
    <w:rsid w:val="007554A9"/>
    <w:rsid w:val="007556AC"/>
    <w:rsid w:val="00755727"/>
    <w:rsid w:val="00755959"/>
    <w:rsid w:val="0075598E"/>
    <w:rsid w:val="00755C2C"/>
    <w:rsid w:val="00755D04"/>
    <w:rsid w:val="00755DB8"/>
    <w:rsid w:val="00755F84"/>
    <w:rsid w:val="00755FC4"/>
    <w:rsid w:val="00756199"/>
    <w:rsid w:val="007561DF"/>
    <w:rsid w:val="007564F6"/>
    <w:rsid w:val="0075666C"/>
    <w:rsid w:val="00756683"/>
    <w:rsid w:val="007566DF"/>
    <w:rsid w:val="00756961"/>
    <w:rsid w:val="00756969"/>
    <w:rsid w:val="0075698F"/>
    <w:rsid w:val="00756A50"/>
    <w:rsid w:val="00756A7A"/>
    <w:rsid w:val="00756B73"/>
    <w:rsid w:val="00756E4F"/>
    <w:rsid w:val="00756E8A"/>
    <w:rsid w:val="00756ED1"/>
    <w:rsid w:val="00756EE0"/>
    <w:rsid w:val="00756F37"/>
    <w:rsid w:val="00756FAA"/>
    <w:rsid w:val="00757009"/>
    <w:rsid w:val="00757011"/>
    <w:rsid w:val="007572AE"/>
    <w:rsid w:val="00757307"/>
    <w:rsid w:val="00757454"/>
    <w:rsid w:val="00757503"/>
    <w:rsid w:val="0075755D"/>
    <w:rsid w:val="00757666"/>
    <w:rsid w:val="00757677"/>
    <w:rsid w:val="00757678"/>
    <w:rsid w:val="00757820"/>
    <w:rsid w:val="00757B64"/>
    <w:rsid w:val="00757BF9"/>
    <w:rsid w:val="00757D97"/>
    <w:rsid w:val="00757EBD"/>
    <w:rsid w:val="00757FA0"/>
    <w:rsid w:val="007601AF"/>
    <w:rsid w:val="007603AD"/>
    <w:rsid w:val="00760418"/>
    <w:rsid w:val="00760486"/>
    <w:rsid w:val="00760557"/>
    <w:rsid w:val="007605A8"/>
    <w:rsid w:val="007607EE"/>
    <w:rsid w:val="00760950"/>
    <w:rsid w:val="00760999"/>
    <w:rsid w:val="00760D58"/>
    <w:rsid w:val="00760FB3"/>
    <w:rsid w:val="00760FD8"/>
    <w:rsid w:val="007610B4"/>
    <w:rsid w:val="007613CD"/>
    <w:rsid w:val="007613DC"/>
    <w:rsid w:val="007614EC"/>
    <w:rsid w:val="007616AE"/>
    <w:rsid w:val="0076174D"/>
    <w:rsid w:val="00761892"/>
    <w:rsid w:val="007618B0"/>
    <w:rsid w:val="00761B6C"/>
    <w:rsid w:val="00761BB7"/>
    <w:rsid w:val="00761C42"/>
    <w:rsid w:val="00761D47"/>
    <w:rsid w:val="00761DED"/>
    <w:rsid w:val="00761E56"/>
    <w:rsid w:val="00761EB2"/>
    <w:rsid w:val="00761F71"/>
    <w:rsid w:val="007623EB"/>
    <w:rsid w:val="007624BA"/>
    <w:rsid w:val="00762517"/>
    <w:rsid w:val="00762559"/>
    <w:rsid w:val="00762580"/>
    <w:rsid w:val="0076262D"/>
    <w:rsid w:val="00762666"/>
    <w:rsid w:val="00762777"/>
    <w:rsid w:val="0076287F"/>
    <w:rsid w:val="007628BD"/>
    <w:rsid w:val="0076292B"/>
    <w:rsid w:val="00762B8B"/>
    <w:rsid w:val="00762FCF"/>
    <w:rsid w:val="00762FFB"/>
    <w:rsid w:val="00763044"/>
    <w:rsid w:val="007630A7"/>
    <w:rsid w:val="0076320C"/>
    <w:rsid w:val="0076321E"/>
    <w:rsid w:val="007632A3"/>
    <w:rsid w:val="007632FF"/>
    <w:rsid w:val="00763437"/>
    <w:rsid w:val="00763566"/>
    <w:rsid w:val="00763631"/>
    <w:rsid w:val="00763700"/>
    <w:rsid w:val="0076374C"/>
    <w:rsid w:val="00763987"/>
    <w:rsid w:val="00763B86"/>
    <w:rsid w:val="00763C7D"/>
    <w:rsid w:val="00763E7C"/>
    <w:rsid w:val="00763E9A"/>
    <w:rsid w:val="00763FC7"/>
    <w:rsid w:val="007641A8"/>
    <w:rsid w:val="00764283"/>
    <w:rsid w:val="00764453"/>
    <w:rsid w:val="007645AD"/>
    <w:rsid w:val="0076473E"/>
    <w:rsid w:val="0076484D"/>
    <w:rsid w:val="00764921"/>
    <w:rsid w:val="007649D4"/>
    <w:rsid w:val="00764D23"/>
    <w:rsid w:val="00764E35"/>
    <w:rsid w:val="00764E8F"/>
    <w:rsid w:val="00765072"/>
    <w:rsid w:val="00765191"/>
    <w:rsid w:val="007652E3"/>
    <w:rsid w:val="00765329"/>
    <w:rsid w:val="007653B3"/>
    <w:rsid w:val="007653D9"/>
    <w:rsid w:val="00765477"/>
    <w:rsid w:val="00765481"/>
    <w:rsid w:val="00765771"/>
    <w:rsid w:val="007658D8"/>
    <w:rsid w:val="007658E7"/>
    <w:rsid w:val="0076596A"/>
    <w:rsid w:val="00765C14"/>
    <w:rsid w:val="00765CD3"/>
    <w:rsid w:val="00765DB7"/>
    <w:rsid w:val="00766015"/>
    <w:rsid w:val="007663E4"/>
    <w:rsid w:val="0076645B"/>
    <w:rsid w:val="007664C0"/>
    <w:rsid w:val="00766627"/>
    <w:rsid w:val="007666E8"/>
    <w:rsid w:val="00766758"/>
    <w:rsid w:val="00766909"/>
    <w:rsid w:val="007669EC"/>
    <w:rsid w:val="00766B54"/>
    <w:rsid w:val="00766B58"/>
    <w:rsid w:val="00766D05"/>
    <w:rsid w:val="00766D7F"/>
    <w:rsid w:val="00766DC0"/>
    <w:rsid w:val="00766F33"/>
    <w:rsid w:val="00767292"/>
    <w:rsid w:val="00767324"/>
    <w:rsid w:val="007673FA"/>
    <w:rsid w:val="0076747B"/>
    <w:rsid w:val="007674E5"/>
    <w:rsid w:val="00767689"/>
    <w:rsid w:val="00767757"/>
    <w:rsid w:val="0076779A"/>
    <w:rsid w:val="00767848"/>
    <w:rsid w:val="0076786F"/>
    <w:rsid w:val="00767899"/>
    <w:rsid w:val="00767908"/>
    <w:rsid w:val="0076791B"/>
    <w:rsid w:val="00767998"/>
    <w:rsid w:val="00767CA9"/>
    <w:rsid w:val="00767E0E"/>
    <w:rsid w:val="00767ECC"/>
    <w:rsid w:val="00767F87"/>
    <w:rsid w:val="00767F94"/>
    <w:rsid w:val="007700B4"/>
    <w:rsid w:val="007700BB"/>
    <w:rsid w:val="0077021C"/>
    <w:rsid w:val="007703B0"/>
    <w:rsid w:val="007703F3"/>
    <w:rsid w:val="0077049A"/>
    <w:rsid w:val="0077050F"/>
    <w:rsid w:val="007706E3"/>
    <w:rsid w:val="007708E4"/>
    <w:rsid w:val="0077096B"/>
    <w:rsid w:val="007709C3"/>
    <w:rsid w:val="00770B01"/>
    <w:rsid w:val="00770BEC"/>
    <w:rsid w:val="00770DA8"/>
    <w:rsid w:val="00770DC8"/>
    <w:rsid w:val="00770EE4"/>
    <w:rsid w:val="00770F23"/>
    <w:rsid w:val="0077125E"/>
    <w:rsid w:val="0077134A"/>
    <w:rsid w:val="0077152C"/>
    <w:rsid w:val="00771590"/>
    <w:rsid w:val="00771AC6"/>
    <w:rsid w:val="00771B00"/>
    <w:rsid w:val="00771B52"/>
    <w:rsid w:val="00771BFC"/>
    <w:rsid w:val="00771C4B"/>
    <w:rsid w:val="00771CBD"/>
    <w:rsid w:val="00771CED"/>
    <w:rsid w:val="00771D63"/>
    <w:rsid w:val="00771D9A"/>
    <w:rsid w:val="00771E60"/>
    <w:rsid w:val="00771EB2"/>
    <w:rsid w:val="00771EBD"/>
    <w:rsid w:val="00771FD1"/>
    <w:rsid w:val="00772117"/>
    <w:rsid w:val="00772131"/>
    <w:rsid w:val="00772146"/>
    <w:rsid w:val="007721DF"/>
    <w:rsid w:val="0077224F"/>
    <w:rsid w:val="007726C1"/>
    <w:rsid w:val="0077272F"/>
    <w:rsid w:val="00772733"/>
    <w:rsid w:val="00772798"/>
    <w:rsid w:val="007727E3"/>
    <w:rsid w:val="0077299D"/>
    <w:rsid w:val="00772A02"/>
    <w:rsid w:val="00772A87"/>
    <w:rsid w:val="00772B34"/>
    <w:rsid w:val="00772BEF"/>
    <w:rsid w:val="00772DC7"/>
    <w:rsid w:val="00772E84"/>
    <w:rsid w:val="00772EE3"/>
    <w:rsid w:val="00773118"/>
    <w:rsid w:val="0077311A"/>
    <w:rsid w:val="0077318E"/>
    <w:rsid w:val="0077322C"/>
    <w:rsid w:val="00773287"/>
    <w:rsid w:val="00773343"/>
    <w:rsid w:val="00773449"/>
    <w:rsid w:val="0077344F"/>
    <w:rsid w:val="00773677"/>
    <w:rsid w:val="007738C7"/>
    <w:rsid w:val="00773D02"/>
    <w:rsid w:val="00773DC9"/>
    <w:rsid w:val="00773DDF"/>
    <w:rsid w:val="00773E10"/>
    <w:rsid w:val="00774267"/>
    <w:rsid w:val="007743A0"/>
    <w:rsid w:val="007743F8"/>
    <w:rsid w:val="00774477"/>
    <w:rsid w:val="00774589"/>
    <w:rsid w:val="007746D7"/>
    <w:rsid w:val="007746F1"/>
    <w:rsid w:val="00774850"/>
    <w:rsid w:val="0077494A"/>
    <w:rsid w:val="00774AF1"/>
    <w:rsid w:val="00774B89"/>
    <w:rsid w:val="00774BAE"/>
    <w:rsid w:val="00774C2B"/>
    <w:rsid w:val="00774F92"/>
    <w:rsid w:val="007753FD"/>
    <w:rsid w:val="00775424"/>
    <w:rsid w:val="00775463"/>
    <w:rsid w:val="00775569"/>
    <w:rsid w:val="007755AD"/>
    <w:rsid w:val="00775626"/>
    <w:rsid w:val="007756D6"/>
    <w:rsid w:val="0077577C"/>
    <w:rsid w:val="0077582B"/>
    <w:rsid w:val="0077589D"/>
    <w:rsid w:val="007758E2"/>
    <w:rsid w:val="0077599F"/>
    <w:rsid w:val="00775B0D"/>
    <w:rsid w:val="00775B10"/>
    <w:rsid w:val="00775CB6"/>
    <w:rsid w:val="00775D1A"/>
    <w:rsid w:val="00775DBC"/>
    <w:rsid w:val="00776394"/>
    <w:rsid w:val="007763C8"/>
    <w:rsid w:val="00776451"/>
    <w:rsid w:val="0077647B"/>
    <w:rsid w:val="0077668F"/>
    <w:rsid w:val="00776701"/>
    <w:rsid w:val="007769AF"/>
    <w:rsid w:val="007769CB"/>
    <w:rsid w:val="00776BD7"/>
    <w:rsid w:val="00776DC6"/>
    <w:rsid w:val="00776DFD"/>
    <w:rsid w:val="00776E0B"/>
    <w:rsid w:val="00776E4F"/>
    <w:rsid w:val="00776F89"/>
    <w:rsid w:val="00777078"/>
    <w:rsid w:val="007771B4"/>
    <w:rsid w:val="007771D6"/>
    <w:rsid w:val="00777296"/>
    <w:rsid w:val="0077735C"/>
    <w:rsid w:val="007773DF"/>
    <w:rsid w:val="007773E7"/>
    <w:rsid w:val="00777425"/>
    <w:rsid w:val="00777589"/>
    <w:rsid w:val="0077764C"/>
    <w:rsid w:val="007776A6"/>
    <w:rsid w:val="007776F6"/>
    <w:rsid w:val="0077773A"/>
    <w:rsid w:val="00777746"/>
    <w:rsid w:val="00777832"/>
    <w:rsid w:val="00777BAC"/>
    <w:rsid w:val="00777C3C"/>
    <w:rsid w:val="00777D24"/>
    <w:rsid w:val="00777D4C"/>
    <w:rsid w:val="00777F83"/>
    <w:rsid w:val="00777FC4"/>
    <w:rsid w:val="00780198"/>
    <w:rsid w:val="007804DD"/>
    <w:rsid w:val="007805E3"/>
    <w:rsid w:val="00780729"/>
    <w:rsid w:val="007808EE"/>
    <w:rsid w:val="00780A9E"/>
    <w:rsid w:val="00780BD0"/>
    <w:rsid w:val="00780C4E"/>
    <w:rsid w:val="00780C72"/>
    <w:rsid w:val="00780D18"/>
    <w:rsid w:val="00780D55"/>
    <w:rsid w:val="00780EDF"/>
    <w:rsid w:val="00780F39"/>
    <w:rsid w:val="00780F48"/>
    <w:rsid w:val="00780F7E"/>
    <w:rsid w:val="007810E3"/>
    <w:rsid w:val="0078116F"/>
    <w:rsid w:val="0078117C"/>
    <w:rsid w:val="0078139C"/>
    <w:rsid w:val="007814AB"/>
    <w:rsid w:val="00781502"/>
    <w:rsid w:val="00781619"/>
    <w:rsid w:val="007817AA"/>
    <w:rsid w:val="00781985"/>
    <w:rsid w:val="00781997"/>
    <w:rsid w:val="00781C8F"/>
    <w:rsid w:val="00781DBD"/>
    <w:rsid w:val="00781EA7"/>
    <w:rsid w:val="00781EFA"/>
    <w:rsid w:val="00782274"/>
    <w:rsid w:val="007824AF"/>
    <w:rsid w:val="00782546"/>
    <w:rsid w:val="00782595"/>
    <w:rsid w:val="00782642"/>
    <w:rsid w:val="00782976"/>
    <w:rsid w:val="00782D3F"/>
    <w:rsid w:val="00782D97"/>
    <w:rsid w:val="00782DF8"/>
    <w:rsid w:val="00782E23"/>
    <w:rsid w:val="00782FB6"/>
    <w:rsid w:val="007830C9"/>
    <w:rsid w:val="00783203"/>
    <w:rsid w:val="00783253"/>
    <w:rsid w:val="0078334A"/>
    <w:rsid w:val="00783447"/>
    <w:rsid w:val="007834C0"/>
    <w:rsid w:val="00783700"/>
    <w:rsid w:val="0078379E"/>
    <w:rsid w:val="007838FD"/>
    <w:rsid w:val="00783AC4"/>
    <w:rsid w:val="00783B40"/>
    <w:rsid w:val="00783D0D"/>
    <w:rsid w:val="00783D6E"/>
    <w:rsid w:val="00783E53"/>
    <w:rsid w:val="00783E87"/>
    <w:rsid w:val="00784096"/>
    <w:rsid w:val="0078409E"/>
    <w:rsid w:val="00784231"/>
    <w:rsid w:val="0078424C"/>
    <w:rsid w:val="0078428F"/>
    <w:rsid w:val="007842B3"/>
    <w:rsid w:val="00784385"/>
    <w:rsid w:val="00784416"/>
    <w:rsid w:val="00784486"/>
    <w:rsid w:val="007847A3"/>
    <w:rsid w:val="00784842"/>
    <w:rsid w:val="007848CC"/>
    <w:rsid w:val="00784AB3"/>
    <w:rsid w:val="00784AE5"/>
    <w:rsid w:val="00784D36"/>
    <w:rsid w:val="00784EA7"/>
    <w:rsid w:val="00784EAE"/>
    <w:rsid w:val="00784FAB"/>
    <w:rsid w:val="00785362"/>
    <w:rsid w:val="0078538E"/>
    <w:rsid w:val="00785478"/>
    <w:rsid w:val="007855A0"/>
    <w:rsid w:val="007856FB"/>
    <w:rsid w:val="00785742"/>
    <w:rsid w:val="00785769"/>
    <w:rsid w:val="0078598E"/>
    <w:rsid w:val="00785A3D"/>
    <w:rsid w:val="00785B73"/>
    <w:rsid w:val="00785C7E"/>
    <w:rsid w:val="00785CA6"/>
    <w:rsid w:val="00785DED"/>
    <w:rsid w:val="00785E32"/>
    <w:rsid w:val="00785F1B"/>
    <w:rsid w:val="0078619B"/>
    <w:rsid w:val="007861CC"/>
    <w:rsid w:val="007861CD"/>
    <w:rsid w:val="00786455"/>
    <w:rsid w:val="00786544"/>
    <w:rsid w:val="00786AD4"/>
    <w:rsid w:val="00786ADF"/>
    <w:rsid w:val="00786B73"/>
    <w:rsid w:val="00786ECA"/>
    <w:rsid w:val="00786FD9"/>
    <w:rsid w:val="00787174"/>
    <w:rsid w:val="007872AE"/>
    <w:rsid w:val="007872F9"/>
    <w:rsid w:val="00787379"/>
    <w:rsid w:val="00787906"/>
    <w:rsid w:val="0078791C"/>
    <w:rsid w:val="00787A3F"/>
    <w:rsid w:val="00787B75"/>
    <w:rsid w:val="00787CA0"/>
    <w:rsid w:val="00787CC8"/>
    <w:rsid w:val="00787E59"/>
    <w:rsid w:val="00787F96"/>
    <w:rsid w:val="00787FE9"/>
    <w:rsid w:val="007901DD"/>
    <w:rsid w:val="0079022B"/>
    <w:rsid w:val="007902D5"/>
    <w:rsid w:val="007904A7"/>
    <w:rsid w:val="00790555"/>
    <w:rsid w:val="00790AF9"/>
    <w:rsid w:val="00790B5A"/>
    <w:rsid w:val="00790BBC"/>
    <w:rsid w:val="00790E87"/>
    <w:rsid w:val="0079107D"/>
    <w:rsid w:val="0079119D"/>
    <w:rsid w:val="007912CB"/>
    <w:rsid w:val="0079133E"/>
    <w:rsid w:val="0079144C"/>
    <w:rsid w:val="00791506"/>
    <w:rsid w:val="007915E6"/>
    <w:rsid w:val="007915EC"/>
    <w:rsid w:val="00791791"/>
    <w:rsid w:val="007918F2"/>
    <w:rsid w:val="00791969"/>
    <w:rsid w:val="00791978"/>
    <w:rsid w:val="00791981"/>
    <w:rsid w:val="00791A83"/>
    <w:rsid w:val="00791D71"/>
    <w:rsid w:val="00791DB5"/>
    <w:rsid w:val="00791E2E"/>
    <w:rsid w:val="00791F07"/>
    <w:rsid w:val="00791F2F"/>
    <w:rsid w:val="00791F50"/>
    <w:rsid w:val="00791F51"/>
    <w:rsid w:val="00791F66"/>
    <w:rsid w:val="00791FA6"/>
    <w:rsid w:val="0079203E"/>
    <w:rsid w:val="00792169"/>
    <w:rsid w:val="0079222A"/>
    <w:rsid w:val="0079233C"/>
    <w:rsid w:val="0079291A"/>
    <w:rsid w:val="00792952"/>
    <w:rsid w:val="00792958"/>
    <w:rsid w:val="00792B81"/>
    <w:rsid w:val="00792D61"/>
    <w:rsid w:val="00792F4F"/>
    <w:rsid w:val="00792FA7"/>
    <w:rsid w:val="00792FE6"/>
    <w:rsid w:val="0079303F"/>
    <w:rsid w:val="007930F1"/>
    <w:rsid w:val="00793208"/>
    <w:rsid w:val="0079332D"/>
    <w:rsid w:val="0079334E"/>
    <w:rsid w:val="007933CB"/>
    <w:rsid w:val="007934C8"/>
    <w:rsid w:val="007935C6"/>
    <w:rsid w:val="00793784"/>
    <w:rsid w:val="0079379D"/>
    <w:rsid w:val="007939AC"/>
    <w:rsid w:val="00793B95"/>
    <w:rsid w:val="00793C41"/>
    <w:rsid w:val="00793EE7"/>
    <w:rsid w:val="00793F47"/>
    <w:rsid w:val="00793FBF"/>
    <w:rsid w:val="007942AC"/>
    <w:rsid w:val="0079445A"/>
    <w:rsid w:val="00794906"/>
    <w:rsid w:val="00794A4C"/>
    <w:rsid w:val="00794AA4"/>
    <w:rsid w:val="00794AF7"/>
    <w:rsid w:val="00794C1A"/>
    <w:rsid w:val="00794C85"/>
    <w:rsid w:val="00794EBB"/>
    <w:rsid w:val="00795052"/>
    <w:rsid w:val="00795074"/>
    <w:rsid w:val="0079507E"/>
    <w:rsid w:val="0079507F"/>
    <w:rsid w:val="0079526D"/>
    <w:rsid w:val="0079546E"/>
    <w:rsid w:val="00795581"/>
    <w:rsid w:val="0079558E"/>
    <w:rsid w:val="00795594"/>
    <w:rsid w:val="007955DF"/>
    <w:rsid w:val="007956C1"/>
    <w:rsid w:val="007956DC"/>
    <w:rsid w:val="00795701"/>
    <w:rsid w:val="00795707"/>
    <w:rsid w:val="007957F2"/>
    <w:rsid w:val="00795994"/>
    <w:rsid w:val="00795B3C"/>
    <w:rsid w:val="00795C7D"/>
    <w:rsid w:val="00795D9D"/>
    <w:rsid w:val="00795FF3"/>
    <w:rsid w:val="0079607D"/>
    <w:rsid w:val="007960B1"/>
    <w:rsid w:val="007961DB"/>
    <w:rsid w:val="007963E3"/>
    <w:rsid w:val="00796456"/>
    <w:rsid w:val="007964DA"/>
    <w:rsid w:val="00796651"/>
    <w:rsid w:val="0079673B"/>
    <w:rsid w:val="00796767"/>
    <w:rsid w:val="0079676B"/>
    <w:rsid w:val="00796A2B"/>
    <w:rsid w:val="00796A48"/>
    <w:rsid w:val="00796A51"/>
    <w:rsid w:val="00796A52"/>
    <w:rsid w:val="00796A6E"/>
    <w:rsid w:val="00796ABC"/>
    <w:rsid w:val="00796ABD"/>
    <w:rsid w:val="00796CA0"/>
    <w:rsid w:val="00796D09"/>
    <w:rsid w:val="00796D3A"/>
    <w:rsid w:val="00796D63"/>
    <w:rsid w:val="00796E33"/>
    <w:rsid w:val="00796E6D"/>
    <w:rsid w:val="00796E8B"/>
    <w:rsid w:val="00796ED3"/>
    <w:rsid w:val="0079700E"/>
    <w:rsid w:val="007971EC"/>
    <w:rsid w:val="00797293"/>
    <w:rsid w:val="00797314"/>
    <w:rsid w:val="00797340"/>
    <w:rsid w:val="0079737E"/>
    <w:rsid w:val="007973D7"/>
    <w:rsid w:val="007973FC"/>
    <w:rsid w:val="00797966"/>
    <w:rsid w:val="007979DB"/>
    <w:rsid w:val="00797AA6"/>
    <w:rsid w:val="00797B16"/>
    <w:rsid w:val="00797D5E"/>
    <w:rsid w:val="00797F3E"/>
    <w:rsid w:val="00797FC8"/>
    <w:rsid w:val="0079C37D"/>
    <w:rsid w:val="007A0249"/>
    <w:rsid w:val="007A0276"/>
    <w:rsid w:val="007A0375"/>
    <w:rsid w:val="007A0387"/>
    <w:rsid w:val="007A0587"/>
    <w:rsid w:val="007A0806"/>
    <w:rsid w:val="007A0EBE"/>
    <w:rsid w:val="007A1226"/>
    <w:rsid w:val="007A135B"/>
    <w:rsid w:val="007A1372"/>
    <w:rsid w:val="007A1402"/>
    <w:rsid w:val="007A144D"/>
    <w:rsid w:val="007A14AC"/>
    <w:rsid w:val="007A15DE"/>
    <w:rsid w:val="007A16DF"/>
    <w:rsid w:val="007A170F"/>
    <w:rsid w:val="007A17F9"/>
    <w:rsid w:val="007A1ACA"/>
    <w:rsid w:val="007A1AFF"/>
    <w:rsid w:val="007A1CB1"/>
    <w:rsid w:val="007A1CD7"/>
    <w:rsid w:val="007A1CDE"/>
    <w:rsid w:val="007A1D06"/>
    <w:rsid w:val="007A1D79"/>
    <w:rsid w:val="007A1E6C"/>
    <w:rsid w:val="007A1F55"/>
    <w:rsid w:val="007A1FA3"/>
    <w:rsid w:val="007A1FC5"/>
    <w:rsid w:val="007A2198"/>
    <w:rsid w:val="007A22C8"/>
    <w:rsid w:val="007A2302"/>
    <w:rsid w:val="007A25A4"/>
    <w:rsid w:val="007A25CA"/>
    <w:rsid w:val="007A2951"/>
    <w:rsid w:val="007A2A17"/>
    <w:rsid w:val="007A2D2C"/>
    <w:rsid w:val="007A2DB7"/>
    <w:rsid w:val="007A2E89"/>
    <w:rsid w:val="007A2F8C"/>
    <w:rsid w:val="007A300C"/>
    <w:rsid w:val="007A3019"/>
    <w:rsid w:val="007A31E6"/>
    <w:rsid w:val="007A3220"/>
    <w:rsid w:val="007A3668"/>
    <w:rsid w:val="007A3708"/>
    <w:rsid w:val="007A3843"/>
    <w:rsid w:val="007A3954"/>
    <w:rsid w:val="007A397E"/>
    <w:rsid w:val="007A3BAE"/>
    <w:rsid w:val="007A3C3D"/>
    <w:rsid w:val="007A3E8D"/>
    <w:rsid w:val="007A4032"/>
    <w:rsid w:val="007A40D9"/>
    <w:rsid w:val="007A41D0"/>
    <w:rsid w:val="007A42A5"/>
    <w:rsid w:val="007A4783"/>
    <w:rsid w:val="007A4878"/>
    <w:rsid w:val="007A4C9D"/>
    <w:rsid w:val="007A4D65"/>
    <w:rsid w:val="007A4D94"/>
    <w:rsid w:val="007A4FF2"/>
    <w:rsid w:val="007A534F"/>
    <w:rsid w:val="007A556E"/>
    <w:rsid w:val="007A594B"/>
    <w:rsid w:val="007A5C35"/>
    <w:rsid w:val="007A5D0C"/>
    <w:rsid w:val="007A5F21"/>
    <w:rsid w:val="007A5F7A"/>
    <w:rsid w:val="007A5F7C"/>
    <w:rsid w:val="007A5F8E"/>
    <w:rsid w:val="007A6009"/>
    <w:rsid w:val="007A613D"/>
    <w:rsid w:val="007A6183"/>
    <w:rsid w:val="007A65C4"/>
    <w:rsid w:val="007A66E0"/>
    <w:rsid w:val="007A6713"/>
    <w:rsid w:val="007A67C2"/>
    <w:rsid w:val="007A6A6F"/>
    <w:rsid w:val="007A6C3C"/>
    <w:rsid w:val="007A6CA9"/>
    <w:rsid w:val="007A6CC3"/>
    <w:rsid w:val="007A6EDC"/>
    <w:rsid w:val="007A6FC0"/>
    <w:rsid w:val="007A719C"/>
    <w:rsid w:val="007A71A9"/>
    <w:rsid w:val="007A7276"/>
    <w:rsid w:val="007A73A9"/>
    <w:rsid w:val="007A7507"/>
    <w:rsid w:val="007A7511"/>
    <w:rsid w:val="007A75D8"/>
    <w:rsid w:val="007A761A"/>
    <w:rsid w:val="007A769E"/>
    <w:rsid w:val="007A785E"/>
    <w:rsid w:val="007A785F"/>
    <w:rsid w:val="007A7968"/>
    <w:rsid w:val="007A7A80"/>
    <w:rsid w:val="007A7B2E"/>
    <w:rsid w:val="007A7BBE"/>
    <w:rsid w:val="007A7C20"/>
    <w:rsid w:val="007A7E3C"/>
    <w:rsid w:val="007A7F3F"/>
    <w:rsid w:val="007B0052"/>
    <w:rsid w:val="007B0124"/>
    <w:rsid w:val="007B0508"/>
    <w:rsid w:val="007B0665"/>
    <w:rsid w:val="007B0684"/>
    <w:rsid w:val="007B06EB"/>
    <w:rsid w:val="007B0833"/>
    <w:rsid w:val="007B08B0"/>
    <w:rsid w:val="007B090F"/>
    <w:rsid w:val="007B0A49"/>
    <w:rsid w:val="007B0A66"/>
    <w:rsid w:val="007B0B4D"/>
    <w:rsid w:val="007B0D08"/>
    <w:rsid w:val="007B0D33"/>
    <w:rsid w:val="007B0D90"/>
    <w:rsid w:val="007B0FE3"/>
    <w:rsid w:val="007B109F"/>
    <w:rsid w:val="007B10F3"/>
    <w:rsid w:val="007B13FC"/>
    <w:rsid w:val="007B1431"/>
    <w:rsid w:val="007B146B"/>
    <w:rsid w:val="007B158E"/>
    <w:rsid w:val="007B15B6"/>
    <w:rsid w:val="007B1641"/>
    <w:rsid w:val="007B164F"/>
    <w:rsid w:val="007B1698"/>
    <w:rsid w:val="007B17A9"/>
    <w:rsid w:val="007B17F0"/>
    <w:rsid w:val="007B18B6"/>
    <w:rsid w:val="007B1937"/>
    <w:rsid w:val="007B19F8"/>
    <w:rsid w:val="007B1BF0"/>
    <w:rsid w:val="007B1C99"/>
    <w:rsid w:val="007B1DC6"/>
    <w:rsid w:val="007B2005"/>
    <w:rsid w:val="007B20D3"/>
    <w:rsid w:val="007B21C1"/>
    <w:rsid w:val="007B226B"/>
    <w:rsid w:val="007B255F"/>
    <w:rsid w:val="007B25BD"/>
    <w:rsid w:val="007B2642"/>
    <w:rsid w:val="007B2727"/>
    <w:rsid w:val="007B2A13"/>
    <w:rsid w:val="007B2B27"/>
    <w:rsid w:val="007B2D19"/>
    <w:rsid w:val="007B2D5A"/>
    <w:rsid w:val="007B3147"/>
    <w:rsid w:val="007B31EC"/>
    <w:rsid w:val="007B33CC"/>
    <w:rsid w:val="007B33E9"/>
    <w:rsid w:val="007B3490"/>
    <w:rsid w:val="007B3498"/>
    <w:rsid w:val="007B3544"/>
    <w:rsid w:val="007B3812"/>
    <w:rsid w:val="007B3933"/>
    <w:rsid w:val="007B3A8E"/>
    <w:rsid w:val="007B3BEA"/>
    <w:rsid w:val="007B3C00"/>
    <w:rsid w:val="007B3C17"/>
    <w:rsid w:val="007B3C44"/>
    <w:rsid w:val="007B3C82"/>
    <w:rsid w:val="007B3D5F"/>
    <w:rsid w:val="007B3D99"/>
    <w:rsid w:val="007B3DAD"/>
    <w:rsid w:val="007B3DCB"/>
    <w:rsid w:val="007B3DD1"/>
    <w:rsid w:val="007B3EBB"/>
    <w:rsid w:val="007B3F65"/>
    <w:rsid w:val="007B4020"/>
    <w:rsid w:val="007B4191"/>
    <w:rsid w:val="007B4233"/>
    <w:rsid w:val="007B4493"/>
    <w:rsid w:val="007B45C5"/>
    <w:rsid w:val="007B4638"/>
    <w:rsid w:val="007B46A4"/>
    <w:rsid w:val="007B46D2"/>
    <w:rsid w:val="007B470B"/>
    <w:rsid w:val="007B4942"/>
    <w:rsid w:val="007B497C"/>
    <w:rsid w:val="007B4981"/>
    <w:rsid w:val="007B49EB"/>
    <w:rsid w:val="007B4A5E"/>
    <w:rsid w:val="007B4CFA"/>
    <w:rsid w:val="007B4D31"/>
    <w:rsid w:val="007B4DE0"/>
    <w:rsid w:val="007B4EE5"/>
    <w:rsid w:val="007B4FAB"/>
    <w:rsid w:val="007B4FF6"/>
    <w:rsid w:val="007B501C"/>
    <w:rsid w:val="007B5120"/>
    <w:rsid w:val="007B5147"/>
    <w:rsid w:val="007B51E6"/>
    <w:rsid w:val="007B525A"/>
    <w:rsid w:val="007B525E"/>
    <w:rsid w:val="007B540E"/>
    <w:rsid w:val="007B5442"/>
    <w:rsid w:val="007B55B7"/>
    <w:rsid w:val="007B56B7"/>
    <w:rsid w:val="007B575E"/>
    <w:rsid w:val="007B57A7"/>
    <w:rsid w:val="007B5906"/>
    <w:rsid w:val="007B59BD"/>
    <w:rsid w:val="007B5D18"/>
    <w:rsid w:val="007B5D2C"/>
    <w:rsid w:val="007B5FE9"/>
    <w:rsid w:val="007B600C"/>
    <w:rsid w:val="007B6043"/>
    <w:rsid w:val="007B6145"/>
    <w:rsid w:val="007B6403"/>
    <w:rsid w:val="007B657C"/>
    <w:rsid w:val="007B6628"/>
    <w:rsid w:val="007B66BF"/>
    <w:rsid w:val="007B685E"/>
    <w:rsid w:val="007B6869"/>
    <w:rsid w:val="007B69DA"/>
    <w:rsid w:val="007B6A0E"/>
    <w:rsid w:val="007B6AAB"/>
    <w:rsid w:val="007B6BEE"/>
    <w:rsid w:val="007B6D0E"/>
    <w:rsid w:val="007B6E26"/>
    <w:rsid w:val="007B6F33"/>
    <w:rsid w:val="007B6F5A"/>
    <w:rsid w:val="007B70C0"/>
    <w:rsid w:val="007B70EA"/>
    <w:rsid w:val="007B71C0"/>
    <w:rsid w:val="007B7253"/>
    <w:rsid w:val="007B72AF"/>
    <w:rsid w:val="007B74A1"/>
    <w:rsid w:val="007B74F7"/>
    <w:rsid w:val="007B7553"/>
    <w:rsid w:val="007B756E"/>
    <w:rsid w:val="007B758E"/>
    <w:rsid w:val="007B759D"/>
    <w:rsid w:val="007B759E"/>
    <w:rsid w:val="007B7609"/>
    <w:rsid w:val="007B7665"/>
    <w:rsid w:val="007B776F"/>
    <w:rsid w:val="007B77C0"/>
    <w:rsid w:val="007B7956"/>
    <w:rsid w:val="007B7A8C"/>
    <w:rsid w:val="007B7AAA"/>
    <w:rsid w:val="007B7BED"/>
    <w:rsid w:val="007B7C58"/>
    <w:rsid w:val="007B7E01"/>
    <w:rsid w:val="007B7E27"/>
    <w:rsid w:val="007B7EEB"/>
    <w:rsid w:val="007B7F33"/>
    <w:rsid w:val="007C0095"/>
    <w:rsid w:val="007C0098"/>
    <w:rsid w:val="007C027A"/>
    <w:rsid w:val="007C0326"/>
    <w:rsid w:val="007C050F"/>
    <w:rsid w:val="007C0684"/>
    <w:rsid w:val="007C09CD"/>
    <w:rsid w:val="007C0A43"/>
    <w:rsid w:val="007C0B16"/>
    <w:rsid w:val="007C0B5D"/>
    <w:rsid w:val="007C0D1F"/>
    <w:rsid w:val="007C0DD5"/>
    <w:rsid w:val="007C0DDD"/>
    <w:rsid w:val="007C0EDD"/>
    <w:rsid w:val="007C0F55"/>
    <w:rsid w:val="007C1043"/>
    <w:rsid w:val="007C128B"/>
    <w:rsid w:val="007C1408"/>
    <w:rsid w:val="007C1495"/>
    <w:rsid w:val="007C1552"/>
    <w:rsid w:val="007C1592"/>
    <w:rsid w:val="007C187D"/>
    <w:rsid w:val="007C189E"/>
    <w:rsid w:val="007C18DC"/>
    <w:rsid w:val="007C1A1F"/>
    <w:rsid w:val="007C1DE2"/>
    <w:rsid w:val="007C1E4C"/>
    <w:rsid w:val="007C1E9F"/>
    <w:rsid w:val="007C1F53"/>
    <w:rsid w:val="007C1F5C"/>
    <w:rsid w:val="007C200E"/>
    <w:rsid w:val="007C216C"/>
    <w:rsid w:val="007C2176"/>
    <w:rsid w:val="007C220D"/>
    <w:rsid w:val="007C25E0"/>
    <w:rsid w:val="007C281B"/>
    <w:rsid w:val="007C2B4F"/>
    <w:rsid w:val="007C2BAC"/>
    <w:rsid w:val="007C2DE7"/>
    <w:rsid w:val="007C2ED1"/>
    <w:rsid w:val="007C2EFD"/>
    <w:rsid w:val="007C2F3D"/>
    <w:rsid w:val="007C302B"/>
    <w:rsid w:val="007C3055"/>
    <w:rsid w:val="007C30A6"/>
    <w:rsid w:val="007C30D1"/>
    <w:rsid w:val="007C3119"/>
    <w:rsid w:val="007C320E"/>
    <w:rsid w:val="007C33D0"/>
    <w:rsid w:val="007C346F"/>
    <w:rsid w:val="007C34A9"/>
    <w:rsid w:val="007C34AB"/>
    <w:rsid w:val="007C37AC"/>
    <w:rsid w:val="007C3A4E"/>
    <w:rsid w:val="007C3AFB"/>
    <w:rsid w:val="007C3B14"/>
    <w:rsid w:val="007C3B40"/>
    <w:rsid w:val="007C3B5D"/>
    <w:rsid w:val="007C3BF0"/>
    <w:rsid w:val="007C3C72"/>
    <w:rsid w:val="007C3CAC"/>
    <w:rsid w:val="007C3E2C"/>
    <w:rsid w:val="007C3F72"/>
    <w:rsid w:val="007C3FBE"/>
    <w:rsid w:val="007C4114"/>
    <w:rsid w:val="007C41D7"/>
    <w:rsid w:val="007C41F2"/>
    <w:rsid w:val="007C454F"/>
    <w:rsid w:val="007C4573"/>
    <w:rsid w:val="007C45A6"/>
    <w:rsid w:val="007C47E1"/>
    <w:rsid w:val="007C47F0"/>
    <w:rsid w:val="007C4858"/>
    <w:rsid w:val="007C4A3D"/>
    <w:rsid w:val="007C4AD7"/>
    <w:rsid w:val="007C4CE7"/>
    <w:rsid w:val="007C506D"/>
    <w:rsid w:val="007C5124"/>
    <w:rsid w:val="007C512C"/>
    <w:rsid w:val="007C5154"/>
    <w:rsid w:val="007C515D"/>
    <w:rsid w:val="007C51A8"/>
    <w:rsid w:val="007C51C0"/>
    <w:rsid w:val="007C5251"/>
    <w:rsid w:val="007C53D1"/>
    <w:rsid w:val="007C5564"/>
    <w:rsid w:val="007C56CA"/>
    <w:rsid w:val="007C5729"/>
    <w:rsid w:val="007C5764"/>
    <w:rsid w:val="007C57DD"/>
    <w:rsid w:val="007C5834"/>
    <w:rsid w:val="007C5AD4"/>
    <w:rsid w:val="007C5B2F"/>
    <w:rsid w:val="007C5BBF"/>
    <w:rsid w:val="007C5E56"/>
    <w:rsid w:val="007C5ECE"/>
    <w:rsid w:val="007C5EFF"/>
    <w:rsid w:val="007C6025"/>
    <w:rsid w:val="007C602D"/>
    <w:rsid w:val="007C60A1"/>
    <w:rsid w:val="007C63CF"/>
    <w:rsid w:val="007C646E"/>
    <w:rsid w:val="007C660D"/>
    <w:rsid w:val="007C66CA"/>
    <w:rsid w:val="007C6836"/>
    <w:rsid w:val="007C68A7"/>
    <w:rsid w:val="007C6AFB"/>
    <w:rsid w:val="007C6C16"/>
    <w:rsid w:val="007C6CA3"/>
    <w:rsid w:val="007C6DBA"/>
    <w:rsid w:val="007C6E0E"/>
    <w:rsid w:val="007C705D"/>
    <w:rsid w:val="007C7271"/>
    <w:rsid w:val="007C72A7"/>
    <w:rsid w:val="007C7387"/>
    <w:rsid w:val="007C7489"/>
    <w:rsid w:val="007C748D"/>
    <w:rsid w:val="007C74B4"/>
    <w:rsid w:val="007C75BB"/>
    <w:rsid w:val="007C75E8"/>
    <w:rsid w:val="007C78F5"/>
    <w:rsid w:val="007C79AC"/>
    <w:rsid w:val="007C7B96"/>
    <w:rsid w:val="007C7C06"/>
    <w:rsid w:val="007C7E5C"/>
    <w:rsid w:val="007C7F87"/>
    <w:rsid w:val="007D007D"/>
    <w:rsid w:val="007D00DB"/>
    <w:rsid w:val="007D01B9"/>
    <w:rsid w:val="007D04F2"/>
    <w:rsid w:val="007D0597"/>
    <w:rsid w:val="007D066A"/>
    <w:rsid w:val="007D075D"/>
    <w:rsid w:val="007D0917"/>
    <w:rsid w:val="007D09C4"/>
    <w:rsid w:val="007D0CEC"/>
    <w:rsid w:val="007D0E17"/>
    <w:rsid w:val="007D1082"/>
    <w:rsid w:val="007D11E3"/>
    <w:rsid w:val="007D152E"/>
    <w:rsid w:val="007D1621"/>
    <w:rsid w:val="007D1653"/>
    <w:rsid w:val="007D165B"/>
    <w:rsid w:val="007D16A6"/>
    <w:rsid w:val="007D16DF"/>
    <w:rsid w:val="007D1786"/>
    <w:rsid w:val="007D17DB"/>
    <w:rsid w:val="007D1960"/>
    <w:rsid w:val="007D1AEE"/>
    <w:rsid w:val="007D1B03"/>
    <w:rsid w:val="007D1CBC"/>
    <w:rsid w:val="007D1DB1"/>
    <w:rsid w:val="007D212A"/>
    <w:rsid w:val="007D22A9"/>
    <w:rsid w:val="007D22F3"/>
    <w:rsid w:val="007D23F4"/>
    <w:rsid w:val="007D251E"/>
    <w:rsid w:val="007D25BD"/>
    <w:rsid w:val="007D26A4"/>
    <w:rsid w:val="007D2815"/>
    <w:rsid w:val="007D28BB"/>
    <w:rsid w:val="007D2910"/>
    <w:rsid w:val="007D2926"/>
    <w:rsid w:val="007D2942"/>
    <w:rsid w:val="007D29BB"/>
    <w:rsid w:val="007D2B7C"/>
    <w:rsid w:val="007D2BD0"/>
    <w:rsid w:val="007D2EDB"/>
    <w:rsid w:val="007D2F0A"/>
    <w:rsid w:val="007D2F0B"/>
    <w:rsid w:val="007D31C8"/>
    <w:rsid w:val="007D31E0"/>
    <w:rsid w:val="007D32CB"/>
    <w:rsid w:val="007D3442"/>
    <w:rsid w:val="007D35EC"/>
    <w:rsid w:val="007D3619"/>
    <w:rsid w:val="007D39B1"/>
    <w:rsid w:val="007D3A2E"/>
    <w:rsid w:val="007D3CA2"/>
    <w:rsid w:val="007D3D46"/>
    <w:rsid w:val="007D3DA5"/>
    <w:rsid w:val="007D3E4B"/>
    <w:rsid w:val="007D4067"/>
    <w:rsid w:val="007D419E"/>
    <w:rsid w:val="007D41C6"/>
    <w:rsid w:val="007D42D4"/>
    <w:rsid w:val="007D43C3"/>
    <w:rsid w:val="007D43C8"/>
    <w:rsid w:val="007D4411"/>
    <w:rsid w:val="007D46F1"/>
    <w:rsid w:val="007D4748"/>
    <w:rsid w:val="007D479F"/>
    <w:rsid w:val="007D4A8B"/>
    <w:rsid w:val="007D4B11"/>
    <w:rsid w:val="007D4B36"/>
    <w:rsid w:val="007D4B73"/>
    <w:rsid w:val="007D4B8B"/>
    <w:rsid w:val="007D4BFB"/>
    <w:rsid w:val="007D4D11"/>
    <w:rsid w:val="007D4D23"/>
    <w:rsid w:val="007D4D9A"/>
    <w:rsid w:val="007D5153"/>
    <w:rsid w:val="007D51E3"/>
    <w:rsid w:val="007D5245"/>
    <w:rsid w:val="007D561A"/>
    <w:rsid w:val="007D56F4"/>
    <w:rsid w:val="007D5711"/>
    <w:rsid w:val="007D572E"/>
    <w:rsid w:val="007D5772"/>
    <w:rsid w:val="007D5954"/>
    <w:rsid w:val="007D59CC"/>
    <w:rsid w:val="007D5B5D"/>
    <w:rsid w:val="007D5BBF"/>
    <w:rsid w:val="007D5BF1"/>
    <w:rsid w:val="007D5C6E"/>
    <w:rsid w:val="007D5C85"/>
    <w:rsid w:val="007D5DA5"/>
    <w:rsid w:val="007D5DB0"/>
    <w:rsid w:val="007D5E28"/>
    <w:rsid w:val="007D6020"/>
    <w:rsid w:val="007D608A"/>
    <w:rsid w:val="007D612D"/>
    <w:rsid w:val="007D613E"/>
    <w:rsid w:val="007D62DD"/>
    <w:rsid w:val="007D63A4"/>
    <w:rsid w:val="007D63EA"/>
    <w:rsid w:val="007D6591"/>
    <w:rsid w:val="007D66EB"/>
    <w:rsid w:val="007D676D"/>
    <w:rsid w:val="007D6878"/>
    <w:rsid w:val="007D6A69"/>
    <w:rsid w:val="007D6ACA"/>
    <w:rsid w:val="007D6B7F"/>
    <w:rsid w:val="007D6BBB"/>
    <w:rsid w:val="007D6BCE"/>
    <w:rsid w:val="007D6C86"/>
    <w:rsid w:val="007D6D2E"/>
    <w:rsid w:val="007D6D4D"/>
    <w:rsid w:val="007D6F2D"/>
    <w:rsid w:val="007D6FB5"/>
    <w:rsid w:val="007D7212"/>
    <w:rsid w:val="007D7363"/>
    <w:rsid w:val="007D737A"/>
    <w:rsid w:val="007D7629"/>
    <w:rsid w:val="007D76BA"/>
    <w:rsid w:val="007D7732"/>
    <w:rsid w:val="007D77B9"/>
    <w:rsid w:val="007D7938"/>
    <w:rsid w:val="007D7943"/>
    <w:rsid w:val="007D7AE6"/>
    <w:rsid w:val="007D7E04"/>
    <w:rsid w:val="007D7E28"/>
    <w:rsid w:val="007D7EFF"/>
    <w:rsid w:val="007D7F65"/>
    <w:rsid w:val="007E003D"/>
    <w:rsid w:val="007E0102"/>
    <w:rsid w:val="007E0105"/>
    <w:rsid w:val="007E0253"/>
    <w:rsid w:val="007E02C9"/>
    <w:rsid w:val="007E02DD"/>
    <w:rsid w:val="007E03F1"/>
    <w:rsid w:val="007E042C"/>
    <w:rsid w:val="007E0475"/>
    <w:rsid w:val="007E050C"/>
    <w:rsid w:val="007E0585"/>
    <w:rsid w:val="007E0612"/>
    <w:rsid w:val="007E0741"/>
    <w:rsid w:val="007E0890"/>
    <w:rsid w:val="007E08CD"/>
    <w:rsid w:val="007E0CB0"/>
    <w:rsid w:val="007E0D9E"/>
    <w:rsid w:val="007E0E0D"/>
    <w:rsid w:val="007E1048"/>
    <w:rsid w:val="007E11AD"/>
    <w:rsid w:val="007E1286"/>
    <w:rsid w:val="007E1319"/>
    <w:rsid w:val="007E1332"/>
    <w:rsid w:val="007E1444"/>
    <w:rsid w:val="007E14B2"/>
    <w:rsid w:val="007E1618"/>
    <w:rsid w:val="007E1666"/>
    <w:rsid w:val="007E16D6"/>
    <w:rsid w:val="007E16FB"/>
    <w:rsid w:val="007E1939"/>
    <w:rsid w:val="007E1969"/>
    <w:rsid w:val="007E1986"/>
    <w:rsid w:val="007E1BFF"/>
    <w:rsid w:val="007E1D60"/>
    <w:rsid w:val="007E1E0E"/>
    <w:rsid w:val="007E1E6B"/>
    <w:rsid w:val="007E1FF8"/>
    <w:rsid w:val="007E224B"/>
    <w:rsid w:val="007E2285"/>
    <w:rsid w:val="007E240A"/>
    <w:rsid w:val="007E2708"/>
    <w:rsid w:val="007E2849"/>
    <w:rsid w:val="007E284B"/>
    <w:rsid w:val="007E2C47"/>
    <w:rsid w:val="007E2CCA"/>
    <w:rsid w:val="007E2D1B"/>
    <w:rsid w:val="007E2E1C"/>
    <w:rsid w:val="007E2EB0"/>
    <w:rsid w:val="007E2FDB"/>
    <w:rsid w:val="007E3061"/>
    <w:rsid w:val="007E30AE"/>
    <w:rsid w:val="007E3117"/>
    <w:rsid w:val="007E31C1"/>
    <w:rsid w:val="007E3239"/>
    <w:rsid w:val="007E3319"/>
    <w:rsid w:val="007E3344"/>
    <w:rsid w:val="007E3427"/>
    <w:rsid w:val="007E343F"/>
    <w:rsid w:val="007E3473"/>
    <w:rsid w:val="007E3491"/>
    <w:rsid w:val="007E351F"/>
    <w:rsid w:val="007E35C1"/>
    <w:rsid w:val="007E3663"/>
    <w:rsid w:val="007E368F"/>
    <w:rsid w:val="007E3794"/>
    <w:rsid w:val="007E37E5"/>
    <w:rsid w:val="007E389A"/>
    <w:rsid w:val="007E38B7"/>
    <w:rsid w:val="007E3968"/>
    <w:rsid w:val="007E3BD9"/>
    <w:rsid w:val="007E3C96"/>
    <w:rsid w:val="007E3DEB"/>
    <w:rsid w:val="007E3E94"/>
    <w:rsid w:val="007E4273"/>
    <w:rsid w:val="007E4278"/>
    <w:rsid w:val="007E4493"/>
    <w:rsid w:val="007E44FD"/>
    <w:rsid w:val="007E45B5"/>
    <w:rsid w:val="007E4693"/>
    <w:rsid w:val="007E483A"/>
    <w:rsid w:val="007E4AAE"/>
    <w:rsid w:val="007E4CAE"/>
    <w:rsid w:val="007E4CDC"/>
    <w:rsid w:val="007E4D44"/>
    <w:rsid w:val="007E4D7F"/>
    <w:rsid w:val="007E4EAE"/>
    <w:rsid w:val="007E4F0E"/>
    <w:rsid w:val="007E4FDA"/>
    <w:rsid w:val="007E5038"/>
    <w:rsid w:val="007E51F0"/>
    <w:rsid w:val="007E532F"/>
    <w:rsid w:val="007E53A1"/>
    <w:rsid w:val="007E5427"/>
    <w:rsid w:val="007E5657"/>
    <w:rsid w:val="007E5AA9"/>
    <w:rsid w:val="007E5AB3"/>
    <w:rsid w:val="007E5B9E"/>
    <w:rsid w:val="007E5CA1"/>
    <w:rsid w:val="007E5DA0"/>
    <w:rsid w:val="007E5DD9"/>
    <w:rsid w:val="007E5E12"/>
    <w:rsid w:val="007E5FFD"/>
    <w:rsid w:val="007E60C1"/>
    <w:rsid w:val="007E61BF"/>
    <w:rsid w:val="007E63CE"/>
    <w:rsid w:val="007E6410"/>
    <w:rsid w:val="007E64AC"/>
    <w:rsid w:val="007E655B"/>
    <w:rsid w:val="007E6662"/>
    <w:rsid w:val="007E6A9A"/>
    <w:rsid w:val="007E6B0A"/>
    <w:rsid w:val="007E6D87"/>
    <w:rsid w:val="007E6DC7"/>
    <w:rsid w:val="007E6F91"/>
    <w:rsid w:val="007E6F93"/>
    <w:rsid w:val="007E6FAB"/>
    <w:rsid w:val="007E6FC1"/>
    <w:rsid w:val="007E7154"/>
    <w:rsid w:val="007E71F8"/>
    <w:rsid w:val="007E733B"/>
    <w:rsid w:val="007E741D"/>
    <w:rsid w:val="007E74B6"/>
    <w:rsid w:val="007E75E4"/>
    <w:rsid w:val="007E761D"/>
    <w:rsid w:val="007E77D4"/>
    <w:rsid w:val="007E788C"/>
    <w:rsid w:val="007E78AD"/>
    <w:rsid w:val="007E78DF"/>
    <w:rsid w:val="007E7A83"/>
    <w:rsid w:val="007E7B2E"/>
    <w:rsid w:val="007E7EE0"/>
    <w:rsid w:val="007E7EFA"/>
    <w:rsid w:val="007E7FC3"/>
    <w:rsid w:val="007F010D"/>
    <w:rsid w:val="007F0148"/>
    <w:rsid w:val="007F01B9"/>
    <w:rsid w:val="007F0538"/>
    <w:rsid w:val="007F05DF"/>
    <w:rsid w:val="007F05EA"/>
    <w:rsid w:val="007F0639"/>
    <w:rsid w:val="007F07A4"/>
    <w:rsid w:val="007F0854"/>
    <w:rsid w:val="007F087C"/>
    <w:rsid w:val="007F09A1"/>
    <w:rsid w:val="007F0D1D"/>
    <w:rsid w:val="007F0FAE"/>
    <w:rsid w:val="007F1094"/>
    <w:rsid w:val="007F113F"/>
    <w:rsid w:val="007F11C6"/>
    <w:rsid w:val="007F1471"/>
    <w:rsid w:val="007F14A9"/>
    <w:rsid w:val="007F15DC"/>
    <w:rsid w:val="007F191B"/>
    <w:rsid w:val="007F1E36"/>
    <w:rsid w:val="007F1ECC"/>
    <w:rsid w:val="007F2004"/>
    <w:rsid w:val="007F217F"/>
    <w:rsid w:val="007F2355"/>
    <w:rsid w:val="007F23E1"/>
    <w:rsid w:val="007F2517"/>
    <w:rsid w:val="007F274E"/>
    <w:rsid w:val="007F276E"/>
    <w:rsid w:val="007F2A03"/>
    <w:rsid w:val="007F2A73"/>
    <w:rsid w:val="007F2AC4"/>
    <w:rsid w:val="007F2AD3"/>
    <w:rsid w:val="007F2BB1"/>
    <w:rsid w:val="007F2D40"/>
    <w:rsid w:val="007F2D64"/>
    <w:rsid w:val="007F2DD1"/>
    <w:rsid w:val="007F2E55"/>
    <w:rsid w:val="007F2EBE"/>
    <w:rsid w:val="007F2F08"/>
    <w:rsid w:val="007F2F1D"/>
    <w:rsid w:val="007F2F5F"/>
    <w:rsid w:val="007F2F61"/>
    <w:rsid w:val="007F2FFF"/>
    <w:rsid w:val="007F30EA"/>
    <w:rsid w:val="007F30FA"/>
    <w:rsid w:val="007F319F"/>
    <w:rsid w:val="007F31A8"/>
    <w:rsid w:val="007F31FD"/>
    <w:rsid w:val="007F373F"/>
    <w:rsid w:val="007F380D"/>
    <w:rsid w:val="007F39E3"/>
    <w:rsid w:val="007F3A51"/>
    <w:rsid w:val="007F3B4F"/>
    <w:rsid w:val="007F3E3A"/>
    <w:rsid w:val="007F3F78"/>
    <w:rsid w:val="007F4078"/>
    <w:rsid w:val="007F420A"/>
    <w:rsid w:val="007F4289"/>
    <w:rsid w:val="007F42C6"/>
    <w:rsid w:val="007F438A"/>
    <w:rsid w:val="007F43CA"/>
    <w:rsid w:val="007F44B5"/>
    <w:rsid w:val="007F44C6"/>
    <w:rsid w:val="007F44CC"/>
    <w:rsid w:val="007F46B0"/>
    <w:rsid w:val="007F4766"/>
    <w:rsid w:val="007F476F"/>
    <w:rsid w:val="007F47E2"/>
    <w:rsid w:val="007F488F"/>
    <w:rsid w:val="007F48BF"/>
    <w:rsid w:val="007F490F"/>
    <w:rsid w:val="007F498D"/>
    <w:rsid w:val="007F4AA3"/>
    <w:rsid w:val="007F4B1F"/>
    <w:rsid w:val="007F4B9F"/>
    <w:rsid w:val="007F4C9D"/>
    <w:rsid w:val="007F4D4C"/>
    <w:rsid w:val="007F4DD3"/>
    <w:rsid w:val="007F4FF6"/>
    <w:rsid w:val="007F5052"/>
    <w:rsid w:val="007F50C5"/>
    <w:rsid w:val="007F50C8"/>
    <w:rsid w:val="007F50FE"/>
    <w:rsid w:val="007F5178"/>
    <w:rsid w:val="007F5219"/>
    <w:rsid w:val="007F526D"/>
    <w:rsid w:val="007F5310"/>
    <w:rsid w:val="007F5464"/>
    <w:rsid w:val="007F5568"/>
    <w:rsid w:val="007F5677"/>
    <w:rsid w:val="007F5866"/>
    <w:rsid w:val="007F5A61"/>
    <w:rsid w:val="007F5A7B"/>
    <w:rsid w:val="007F5C53"/>
    <w:rsid w:val="007F5D6C"/>
    <w:rsid w:val="007F5DBA"/>
    <w:rsid w:val="007F5E47"/>
    <w:rsid w:val="007F5FC1"/>
    <w:rsid w:val="007F6170"/>
    <w:rsid w:val="007F61C7"/>
    <w:rsid w:val="007F61F0"/>
    <w:rsid w:val="007F63D6"/>
    <w:rsid w:val="007F645C"/>
    <w:rsid w:val="007F6473"/>
    <w:rsid w:val="007F66A2"/>
    <w:rsid w:val="007F672E"/>
    <w:rsid w:val="007F67E7"/>
    <w:rsid w:val="007F6809"/>
    <w:rsid w:val="007F68C2"/>
    <w:rsid w:val="007F68E8"/>
    <w:rsid w:val="007F6ADC"/>
    <w:rsid w:val="007F6C02"/>
    <w:rsid w:val="007F6D48"/>
    <w:rsid w:val="007F6E9B"/>
    <w:rsid w:val="007F6F1E"/>
    <w:rsid w:val="007F6F24"/>
    <w:rsid w:val="007F6FAA"/>
    <w:rsid w:val="007F6FDE"/>
    <w:rsid w:val="007F71F8"/>
    <w:rsid w:val="007F72D0"/>
    <w:rsid w:val="007F7354"/>
    <w:rsid w:val="007F7487"/>
    <w:rsid w:val="007F7513"/>
    <w:rsid w:val="007F7629"/>
    <w:rsid w:val="007F76A1"/>
    <w:rsid w:val="007F76AB"/>
    <w:rsid w:val="007F7839"/>
    <w:rsid w:val="007F7849"/>
    <w:rsid w:val="007F7A08"/>
    <w:rsid w:val="007F7C14"/>
    <w:rsid w:val="007F7D6F"/>
    <w:rsid w:val="007F7E34"/>
    <w:rsid w:val="007F7FA1"/>
    <w:rsid w:val="0080011F"/>
    <w:rsid w:val="00800121"/>
    <w:rsid w:val="008002D5"/>
    <w:rsid w:val="0080039E"/>
    <w:rsid w:val="00800409"/>
    <w:rsid w:val="008004FD"/>
    <w:rsid w:val="0080060B"/>
    <w:rsid w:val="0080060F"/>
    <w:rsid w:val="0080064E"/>
    <w:rsid w:val="008007CE"/>
    <w:rsid w:val="008009F2"/>
    <w:rsid w:val="00800A3F"/>
    <w:rsid w:val="00800A52"/>
    <w:rsid w:val="00800CDA"/>
    <w:rsid w:val="00800F6F"/>
    <w:rsid w:val="00800FC9"/>
    <w:rsid w:val="00801142"/>
    <w:rsid w:val="0080117F"/>
    <w:rsid w:val="00801181"/>
    <w:rsid w:val="008012DD"/>
    <w:rsid w:val="00801376"/>
    <w:rsid w:val="008014C3"/>
    <w:rsid w:val="008015E3"/>
    <w:rsid w:val="00801891"/>
    <w:rsid w:val="00801938"/>
    <w:rsid w:val="00801AED"/>
    <w:rsid w:val="00801B21"/>
    <w:rsid w:val="00801EFE"/>
    <w:rsid w:val="00801F59"/>
    <w:rsid w:val="00801FA8"/>
    <w:rsid w:val="00802186"/>
    <w:rsid w:val="00802213"/>
    <w:rsid w:val="008022CA"/>
    <w:rsid w:val="00802556"/>
    <w:rsid w:val="00802671"/>
    <w:rsid w:val="008026F8"/>
    <w:rsid w:val="0080288C"/>
    <w:rsid w:val="00802990"/>
    <w:rsid w:val="008029D3"/>
    <w:rsid w:val="008029EF"/>
    <w:rsid w:val="00802AF8"/>
    <w:rsid w:val="00802BDC"/>
    <w:rsid w:val="00802C0D"/>
    <w:rsid w:val="00802C7B"/>
    <w:rsid w:val="00802E35"/>
    <w:rsid w:val="00802F11"/>
    <w:rsid w:val="008031C0"/>
    <w:rsid w:val="008031D6"/>
    <w:rsid w:val="008031ED"/>
    <w:rsid w:val="0080326B"/>
    <w:rsid w:val="008033EE"/>
    <w:rsid w:val="0080355E"/>
    <w:rsid w:val="00803565"/>
    <w:rsid w:val="0080358A"/>
    <w:rsid w:val="0080362B"/>
    <w:rsid w:val="008036AE"/>
    <w:rsid w:val="00803BAB"/>
    <w:rsid w:val="00803D7D"/>
    <w:rsid w:val="00803DAB"/>
    <w:rsid w:val="00803F0D"/>
    <w:rsid w:val="0080400D"/>
    <w:rsid w:val="00804080"/>
    <w:rsid w:val="008040B1"/>
    <w:rsid w:val="008040EE"/>
    <w:rsid w:val="00804108"/>
    <w:rsid w:val="0080419C"/>
    <w:rsid w:val="008041B6"/>
    <w:rsid w:val="00804464"/>
    <w:rsid w:val="00804573"/>
    <w:rsid w:val="008045CC"/>
    <w:rsid w:val="0080469E"/>
    <w:rsid w:val="008046EC"/>
    <w:rsid w:val="00804717"/>
    <w:rsid w:val="0080492C"/>
    <w:rsid w:val="0080493B"/>
    <w:rsid w:val="008049BA"/>
    <w:rsid w:val="00804A8A"/>
    <w:rsid w:val="00804A91"/>
    <w:rsid w:val="00804A9C"/>
    <w:rsid w:val="00804B17"/>
    <w:rsid w:val="00804C14"/>
    <w:rsid w:val="00804D38"/>
    <w:rsid w:val="00804DA4"/>
    <w:rsid w:val="00804DE7"/>
    <w:rsid w:val="00804E3C"/>
    <w:rsid w:val="00805083"/>
    <w:rsid w:val="0080529A"/>
    <w:rsid w:val="00805347"/>
    <w:rsid w:val="00805577"/>
    <w:rsid w:val="00805671"/>
    <w:rsid w:val="00805687"/>
    <w:rsid w:val="00805CBA"/>
    <w:rsid w:val="00805F0A"/>
    <w:rsid w:val="00805F1C"/>
    <w:rsid w:val="00805F35"/>
    <w:rsid w:val="008060C6"/>
    <w:rsid w:val="00806128"/>
    <w:rsid w:val="00806142"/>
    <w:rsid w:val="0080634B"/>
    <w:rsid w:val="0080639B"/>
    <w:rsid w:val="008064A8"/>
    <w:rsid w:val="00806745"/>
    <w:rsid w:val="008068FA"/>
    <w:rsid w:val="0080691C"/>
    <w:rsid w:val="0080693D"/>
    <w:rsid w:val="00806962"/>
    <w:rsid w:val="008069EB"/>
    <w:rsid w:val="00806BA8"/>
    <w:rsid w:val="00806CDA"/>
    <w:rsid w:val="00806CE3"/>
    <w:rsid w:val="00806FAC"/>
    <w:rsid w:val="00807316"/>
    <w:rsid w:val="008073D6"/>
    <w:rsid w:val="008073DB"/>
    <w:rsid w:val="008076CC"/>
    <w:rsid w:val="00807709"/>
    <w:rsid w:val="00807711"/>
    <w:rsid w:val="00807719"/>
    <w:rsid w:val="0080777B"/>
    <w:rsid w:val="00807806"/>
    <w:rsid w:val="0080780E"/>
    <w:rsid w:val="008079AA"/>
    <w:rsid w:val="00807A42"/>
    <w:rsid w:val="00807BA6"/>
    <w:rsid w:val="00807C14"/>
    <w:rsid w:val="00807DE1"/>
    <w:rsid w:val="00810493"/>
    <w:rsid w:val="008106D3"/>
    <w:rsid w:val="008106FD"/>
    <w:rsid w:val="008108AB"/>
    <w:rsid w:val="00810934"/>
    <w:rsid w:val="00810938"/>
    <w:rsid w:val="008109B3"/>
    <w:rsid w:val="00810A71"/>
    <w:rsid w:val="00810C90"/>
    <w:rsid w:val="00810C95"/>
    <w:rsid w:val="00810D3F"/>
    <w:rsid w:val="00810D79"/>
    <w:rsid w:val="00810DAD"/>
    <w:rsid w:val="0081106D"/>
    <w:rsid w:val="008111E7"/>
    <w:rsid w:val="00811420"/>
    <w:rsid w:val="008115D7"/>
    <w:rsid w:val="008115F8"/>
    <w:rsid w:val="00811652"/>
    <w:rsid w:val="008116D2"/>
    <w:rsid w:val="008116EB"/>
    <w:rsid w:val="008117D1"/>
    <w:rsid w:val="00811806"/>
    <w:rsid w:val="00811847"/>
    <w:rsid w:val="00811A1A"/>
    <w:rsid w:val="00811C21"/>
    <w:rsid w:val="00811C5B"/>
    <w:rsid w:val="00811D4A"/>
    <w:rsid w:val="00811D88"/>
    <w:rsid w:val="00811DFD"/>
    <w:rsid w:val="00811F22"/>
    <w:rsid w:val="00811F25"/>
    <w:rsid w:val="00811F67"/>
    <w:rsid w:val="0081209B"/>
    <w:rsid w:val="008120D9"/>
    <w:rsid w:val="008121D7"/>
    <w:rsid w:val="00812399"/>
    <w:rsid w:val="00812572"/>
    <w:rsid w:val="008125B5"/>
    <w:rsid w:val="00812739"/>
    <w:rsid w:val="00812A8F"/>
    <w:rsid w:val="00812AB0"/>
    <w:rsid w:val="00812B45"/>
    <w:rsid w:val="00812B99"/>
    <w:rsid w:val="00812BCA"/>
    <w:rsid w:val="00812BD5"/>
    <w:rsid w:val="00812C79"/>
    <w:rsid w:val="00812DAA"/>
    <w:rsid w:val="00812EC8"/>
    <w:rsid w:val="00812FF5"/>
    <w:rsid w:val="00813191"/>
    <w:rsid w:val="008131F8"/>
    <w:rsid w:val="008132D1"/>
    <w:rsid w:val="008133BF"/>
    <w:rsid w:val="008135A8"/>
    <w:rsid w:val="0081365B"/>
    <w:rsid w:val="00813871"/>
    <w:rsid w:val="00813893"/>
    <w:rsid w:val="008139D5"/>
    <w:rsid w:val="00813A1C"/>
    <w:rsid w:val="00813AE9"/>
    <w:rsid w:val="00813C7C"/>
    <w:rsid w:val="00813D29"/>
    <w:rsid w:val="0081417A"/>
    <w:rsid w:val="008141D6"/>
    <w:rsid w:val="008141D8"/>
    <w:rsid w:val="008143A7"/>
    <w:rsid w:val="008143B7"/>
    <w:rsid w:val="008143BB"/>
    <w:rsid w:val="00814493"/>
    <w:rsid w:val="008144F4"/>
    <w:rsid w:val="00814631"/>
    <w:rsid w:val="00814B00"/>
    <w:rsid w:val="00814D08"/>
    <w:rsid w:val="00814E61"/>
    <w:rsid w:val="00814E97"/>
    <w:rsid w:val="00814FE3"/>
    <w:rsid w:val="00814FF0"/>
    <w:rsid w:val="00815037"/>
    <w:rsid w:val="0081513F"/>
    <w:rsid w:val="0081514E"/>
    <w:rsid w:val="008152B4"/>
    <w:rsid w:val="0081538F"/>
    <w:rsid w:val="0081539A"/>
    <w:rsid w:val="0081555A"/>
    <w:rsid w:val="00815605"/>
    <w:rsid w:val="008157F6"/>
    <w:rsid w:val="008159CB"/>
    <w:rsid w:val="00815ACD"/>
    <w:rsid w:val="00815B53"/>
    <w:rsid w:val="00815B61"/>
    <w:rsid w:val="00815BEB"/>
    <w:rsid w:val="00815D90"/>
    <w:rsid w:val="00815DA9"/>
    <w:rsid w:val="00815E85"/>
    <w:rsid w:val="00815FF9"/>
    <w:rsid w:val="00816121"/>
    <w:rsid w:val="008164AE"/>
    <w:rsid w:val="00816569"/>
    <w:rsid w:val="0081656C"/>
    <w:rsid w:val="008165C8"/>
    <w:rsid w:val="008165E2"/>
    <w:rsid w:val="0081670C"/>
    <w:rsid w:val="008167A3"/>
    <w:rsid w:val="0081685E"/>
    <w:rsid w:val="008168E3"/>
    <w:rsid w:val="00816AD9"/>
    <w:rsid w:val="00816B20"/>
    <w:rsid w:val="00816BB3"/>
    <w:rsid w:val="00816BBB"/>
    <w:rsid w:val="00816C02"/>
    <w:rsid w:val="00816D4D"/>
    <w:rsid w:val="00816FF8"/>
    <w:rsid w:val="0081711C"/>
    <w:rsid w:val="0081725C"/>
    <w:rsid w:val="00817303"/>
    <w:rsid w:val="00817500"/>
    <w:rsid w:val="008175B7"/>
    <w:rsid w:val="008175CF"/>
    <w:rsid w:val="00817621"/>
    <w:rsid w:val="008178FD"/>
    <w:rsid w:val="00817A02"/>
    <w:rsid w:val="00817AB7"/>
    <w:rsid w:val="00817AEA"/>
    <w:rsid w:val="00817B17"/>
    <w:rsid w:val="00817C1F"/>
    <w:rsid w:val="00817D9D"/>
    <w:rsid w:val="00817DC0"/>
    <w:rsid w:val="00817EAD"/>
    <w:rsid w:val="00820021"/>
    <w:rsid w:val="008201E1"/>
    <w:rsid w:val="00820212"/>
    <w:rsid w:val="0082021D"/>
    <w:rsid w:val="008202CE"/>
    <w:rsid w:val="0082038E"/>
    <w:rsid w:val="008203FF"/>
    <w:rsid w:val="00820401"/>
    <w:rsid w:val="00820410"/>
    <w:rsid w:val="008204FB"/>
    <w:rsid w:val="008205B5"/>
    <w:rsid w:val="0082069F"/>
    <w:rsid w:val="008206E0"/>
    <w:rsid w:val="0082081E"/>
    <w:rsid w:val="008208AF"/>
    <w:rsid w:val="00820966"/>
    <w:rsid w:val="00820992"/>
    <w:rsid w:val="00820D07"/>
    <w:rsid w:val="00820D0C"/>
    <w:rsid w:val="00820F26"/>
    <w:rsid w:val="00820F93"/>
    <w:rsid w:val="00820FA8"/>
    <w:rsid w:val="00821286"/>
    <w:rsid w:val="0082144A"/>
    <w:rsid w:val="0082144B"/>
    <w:rsid w:val="00821548"/>
    <w:rsid w:val="008216EC"/>
    <w:rsid w:val="00821859"/>
    <w:rsid w:val="008218A7"/>
    <w:rsid w:val="00821A01"/>
    <w:rsid w:val="00821C9A"/>
    <w:rsid w:val="00821D08"/>
    <w:rsid w:val="00821ECD"/>
    <w:rsid w:val="00821F0D"/>
    <w:rsid w:val="00822051"/>
    <w:rsid w:val="008220D1"/>
    <w:rsid w:val="008222CD"/>
    <w:rsid w:val="008222D7"/>
    <w:rsid w:val="008223AA"/>
    <w:rsid w:val="00822411"/>
    <w:rsid w:val="00822427"/>
    <w:rsid w:val="00822500"/>
    <w:rsid w:val="00822526"/>
    <w:rsid w:val="00822530"/>
    <w:rsid w:val="008225F2"/>
    <w:rsid w:val="00822703"/>
    <w:rsid w:val="00822802"/>
    <w:rsid w:val="008229C8"/>
    <w:rsid w:val="00822C77"/>
    <w:rsid w:val="00822E5A"/>
    <w:rsid w:val="00822EA3"/>
    <w:rsid w:val="00822F6F"/>
    <w:rsid w:val="00822F85"/>
    <w:rsid w:val="008230D5"/>
    <w:rsid w:val="00823127"/>
    <w:rsid w:val="0082316E"/>
    <w:rsid w:val="008233AD"/>
    <w:rsid w:val="0082341E"/>
    <w:rsid w:val="00823498"/>
    <w:rsid w:val="00823814"/>
    <w:rsid w:val="0082388B"/>
    <w:rsid w:val="00823B17"/>
    <w:rsid w:val="00823B68"/>
    <w:rsid w:val="00823B82"/>
    <w:rsid w:val="00823BBE"/>
    <w:rsid w:val="00823C69"/>
    <w:rsid w:val="00823CA3"/>
    <w:rsid w:val="00823CAE"/>
    <w:rsid w:val="00823CCB"/>
    <w:rsid w:val="00823D1E"/>
    <w:rsid w:val="00823D6B"/>
    <w:rsid w:val="00823F40"/>
    <w:rsid w:val="00823F70"/>
    <w:rsid w:val="008240C0"/>
    <w:rsid w:val="00824185"/>
    <w:rsid w:val="008243A2"/>
    <w:rsid w:val="00824514"/>
    <w:rsid w:val="008246C8"/>
    <w:rsid w:val="00824940"/>
    <w:rsid w:val="0082497B"/>
    <w:rsid w:val="0082497D"/>
    <w:rsid w:val="00824A74"/>
    <w:rsid w:val="00824B3A"/>
    <w:rsid w:val="00824B4C"/>
    <w:rsid w:val="00824D70"/>
    <w:rsid w:val="00824E7E"/>
    <w:rsid w:val="00824EAC"/>
    <w:rsid w:val="00825030"/>
    <w:rsid w:val="008250A5"/>
    <w:rsid w:val="00825162"/>
    <w:rsid w:val="008251C5"/>
    <w:rsid w:val="00825280"/>
    <w:rsid w:val="00825302"/>
    <w:rsid w:val="0082541C"/>
    <w:rsid w:val="00825449"/>
    <w:rsid w:val="0082548F"/>
    <w:rsid w:val="008254B4"/>
    <w:rsid w:val="008259F8"/>
    <w:rsid w:val="00825C5F"/>
    <w:rsid w:val="00825ECC"/>
    <w:rsid w:val="00825F85"/>
    <w:rsid w:val="00825F8C"/>
    <w:rsid w:val="00825FFE"/>
    <w:rsid w:val="0082616A"/>
    <w:rsid w:val="008266C0"/>
    <w:rsid w:val="00826A53"/>
    <w:rsid w:val="00826D34"/>
    <w:rsid w:val="00826DCB"/>
    <w:rsid w:val="00826E85"/>
    <w:rsid w:val="00827056"/>
    <w:rsid w:val="00827143"/>
    <w:rsid w:val="00827261"/>
    <w:rsid w:val="00827354"/>
    <w:rsid w:val="008273A3"/>
    <w:rsid w:val="00827487"/>
    <w:rsid w:val="0082758C"/>
    <w:rsid w:val="008275E4"/>
    <w:rsid w:val="008276EB"/>
    <w:rsid w:val="00827797"/>
    <w:rsid w:val="00827815"/>
    <w:rsid w:val="008278E7"/>
    <w:rsid w:val="008279BF"/>
    <w:rsid w:val="00827A2E"/>
    <w:rsid w:val="00827B4D"/>
    <w:rsid w:val="00827D06"/>
    <w:rsid w:val="00827DEA"/>
    <w:rsid w:val="00830029"/>
    <w:rsid w:val="008301A1"/>
    <w:rsid w:val="008301A3"/>
    <w:rsid w:val="00830297"/>
    <w:rsid w:val="008302AA"/>
    <w:rsid w:val="008302BB"/>
    <w:rsid w:val="008302F0"/>
    <w:rsid w:val="008302F7"/>
    <w:rsid w:val="00830475"/>
    <w:rsid w:val="00830528"/>
    <w:rsid w:val="008305E6"/>
    <w:rsid w:val="00830648"/>
    <w:rsid w:val="00830A4D"/>
    <w:rsid w:val="00830AFA"/>
    <w:rsid w:val="00830C53"/>
    <w:rsid w:val="00830C8A"/>
    <w:rsid w:val="00830EF2"/>
    <w:rsid w:val="0083102E"/>
    <w:rsid w:val="00831129"/>
    <w:rsid w:val="00831153"/>
    <w:rsid w:val="0083131A"/>
    <w:rsid w:val="00831376"/>
    <w:rsid w:val="008315C2"/>
    <w:rsid w:val="008315FA"/>
    <w:rsid w:val="00831724"/>
    <w:rsid w:val="008317FB"/>
    <w:rsid w:val="00831D3E"/>
    <w:rsid w:val="00831D6F"/>
    <w:rsid w:val="00831DBE"/>
    <w:rsid w:val="00831DBF"/>
    <w:rsid w:val="00831E51"/>
    <w:rsid w:val="00831EFB"/>
    <w:rsid w:val="00832155"/>
    <w:rsid w:val="00832387"/>
    <w:rsid w:val="0083266A"/>
    <w:rsid w:val="008328BE"/>
    <w:rsid w:val="00832907"/>
    <w:rsid w:val="008329FD"/>
    <w:rsid w:val="00832B4B"/>
    <w:rsid w:val="00832CA6"/>
    <w:rsid w:val="00832DBA"/>
    <w:rsid w:val="00832DE1"/>
    <w:rsid w:val="00833053"/>
    <w:rsid w:val="00833073"/>
    <w:rsid w:val="008330BC"/>
    <w:rsid w:val="00833146"/>
    <w:rsid w:val="00833158"/>
    <w:rsid w:val="008331E0"/>
    <w:rsid w:val="00833216"/>
    <w:rsid w:val="0083335D"/>
    <w:rsid w:val="0083350E"/>
    <w:rsid w:val="0083353C"/>
    <w:rsid w:val="0083359B"/>
    <w:rsid w:val="008337CB"/>
    <w:rsid w:val="00833809"/>
    <w:rsid w:val="00833944"/>
    <w:rsid w:val="00833956"/>
    <w:rsid w:val="00833A29"/>
    <w:rsid w:val="00833A3D"/>
    <w:rsid w:val="00833A57"/>
    <w:rsid w:val="00833AB1"/>
    <w:rsid w:val="00833B3E"/>
    <w:rsid w:val="00833CA0"/>
    <w:rsid w:val="00833EB7"/>
    <w:rsid w:val="00833F38"/>
    <w:rsid w:val="00834098"/>
    <w:rsid w:val="00834358"/>
    <w:rsid w:val="0083439A"/>
    <w:rsid w:val="008343AB"/>
    <w:rsid w:val="00834475"/>
    <w:rsid w:val="008344B8"/>
    <w:rsid w:val="008346A1"/>
    <w:rsid w:val="00834775"/>
    <w:rsid w:val="00834A71"/>
    <w:rsid w:val="00834B4F"/>
    <w:rsid w:val="00834BEB"/>
    <w:rsid w:val="00834C85"/>
    <w:rsid w:val="00834CC9"/>
    <w:rsid w:val="00834DAE"/>
    <w:rsid w:val="00835032"/>
    <w:rsid w:val="00835063"/>
    <w:rsid w:val="0083508E"/>
    <w:rsid w:val="00835143"/>
    <w:rsid w:val="0083521E"/>
    <w:rsid w:val="008352BA"/>
    <w:rsid w:val="008352DA"/>
    <w:rsid w:val="0083539D"/>
    <w:rsid w:val="008353B9"/>
    <w:rsid w:val="0083571D"/>
    <w:rsid w:val="008357BC"/>
    <w:rsid w:val="00835B41"/>
    <w:rsid w:val="00835BCC"/>
    <w:rsid w:val="00835CF5"/>
    <w:rsid w:val="00835D13"/>
    <w:rsid w:val="00835D24"/>
    <w:rsid w:val="00836026"/>
    <w:rsid w:val="008365F9"/>
    <w:rsid w:val="008366A9"/>
    <w:rsid w:val="00836765"/>
    <w:rsid w:val="00836964"/>
    <w:rsid w:val="00836B5F"/>
    <w:rsid w:val="00836BA7"/>
    <w:rsid w:val="00836E23"/>
    <w:rsid w:val="00836EFA"/>
    <w:rsid w:val="00836F4F"/>
    <w:rsid w:val="008372DE"/>
    <w:rsid w:val="00837301"/>
    <w:rsid w:val="0083749B"/>
    <w:rsid w:val="00837744"/>
    <w:rsid w:val="0083774D"/>
    <w:rsid w:val="008377A8"/>
    <w:rsid w:val="008377F7"/>
    <w:rsid w:val="00837869"/>
    <w:rsid w:val="00837919"/>
    <w:rsid w:val="008379FB"/>
    <w:rsid w:val="00837A55"/>
    <w:rsid w:val="00837B05"/>
    <w:rsid w:val="00837BBA"/>
    <w:rsid w:val="00837C6A"/>
    <w:rsid w:val="00837ECA"/>
    <w:rsid w:val="00840178"/>
    <w:rsid w:val="00840209"/>
    <w:rsid w:val="00840233"/>
    <w:rsid w:val="00840283"/>
    <w:rsid w:val="008403B9"/>
    <w:rsid w:val="00840447"/>
    <w:rsid w:val="00840566"/>
    <w:rsid w:val="0084058E"/>
    <w:rsid w:val="008405CF"/>
    <w:rsid w:val="00840794"/>
    <w:rsid w:val="00840864"/>
    <w:rsid w:val="00840887"/>
    <w:rsid w:val="008409A6"/>
    <w:rsid w:val="00840DA6"/>
    <w:rsid w:val="00840DC4"/>
    <w:rsid w:val="00840DFC"/>
    <w:rsid w:val="00840DFE"/>
    <w:rsid w:val="00840EEE"/>
    <w:rsid w:val="00840F4C"/>
    <w:rsid w:val="00841029"/>
    <w:rsid w:val="00841145"/>
    <w:rsid w:val="008411ED"/>
    <w:rsid w:val="0084124B"/>
    <w:rsid w:val="008412CB"/>
    <w:rsid w:val="008414A3"/>
    <w:rsid w:val="0084156D"/>
    <w:rsid w:val="00841620"/>
    <w:rsid w:val="00841A9A"/>
    <w:rsid w:val="00841B01"/>
    <w:rsid w:val="00841BE3"/>
    <w:rsid w:val="00841C7D"/>
    <w:rsid w:val="00841DCD"/>
    <w:rsid w:val="00841E8E"/>
    <w:rsid w:val="00841FB0"/>
    <w:rsid w:val="00841FBD"/>
    <w:rsid w:val="00841FF8"/>
    <w:rsid w:val="00842100"/>
    <w:rsid w:val="00842220"/>
    <w:rsid w:val="0084235A"/>
    <w:rsid w:val="0084236C"/>
    <w:rsid w:val="00842727"/>
    <w:rsid w:val="008427B7"/>
    <w:rsid w:val="0084290E"/>
    <w:rsid w:val="0084299D"/>
    <w:rsid w:val="00842AA4"/>
    <w:rsid w:val="00842D2F"/>
    <w:rsid w:val="00842D3A"/>
    <w:rsid w:val="00842D67"/>
    <w:rsid w:val="00842E62"/>
    <w:rsid w:val="008430E8"/>
    <w:rsid w:val="008431C1"/>
    <w:rsid w:val="00843240"/>
    <w:rsid w:val="00843360"/>
    <w:rsid w:val="0084338F"/>
    <w:rsid w:val="00843498"/>
    <w:rsid w:val="00843561"/>
    <w:rsid w:val="00843755"/>
    <w:rsid w:val="00843836"/>
    <w:rsid w:val="00843857"/>
    <w:rsid w:val="0084393B"/>
    <w:rsid w:val="0084399F"/>
    <w:rsid w:val="00843B6A"/>
    <w:rsid w:val="00843BD3"/>
    <w:rsid w:val="00843C46"/>
    <w:rsid w:val="00843D91"/>
    <w:rsid w:val="00844014"/>
    <w:rsid w:val="00844042"/>
    <w:rsid w:val="008440D2"/>
    <w:rsid w:val="00844198"/>
    <w:rsid w:val="008441D9"/>
    <w:rsid w:val="00844270"/>
    <w:rsid w:val="0084428D"/>
    <w:rsid w:val="008442D9"/>
    <w:rsid w:val="00844317"/>
    <w:rsid w:val="00844393"/>
    <w:rsid w:val="008443C3"/>
    <w:rsid w:val="008443FB"/>
    <w:rsid w:val="00844535"/>
    <w:rsid w:val="0084465E"/>
    <w:rsid w:val="00844A6A"/>
    <w:rsid w:val="00844B6E"/>
    <w:rsid w:val="00844BCF"/>
    <w:rsid w:val="00844BF7"/>
    <w:rsid w:val="00844CEA"/>
    <w:rsid w:val="00844D22"/>
    <w:rsid w:val="00844DFA"/>
    <w:rsid w:val="00844FC4"/>
    <w:rsid w:val="00844FDD"/>
    <w:rsid w:val="0084506A"/>
    <w:rsid w:val="0084512F"/>
    <w:rsid w:val="008451D9"/>
    <w:rsid w:val="008451F3"/>
    <w:rsid w:val="00845276"/>
    <w:rsid w:val="00845417"/>
    <w:rsid w:val="0084555C"/>
    <w:rsid w:val="008456C9"/>
    <w:rsid w:val="00845904"/>
    <w:rsid w:val="0084598A"/>
    <w:rsid w:val="00845C52"/>
    <w:rsid w:val="00845C82"/>
    <w:rsid w:val="00845CE1"/>
    <w:rsid w:val="00845D9F"/>
    <w:rsid w:val="00845ECA"/>
    <w:rsid w:val="00845F81"/>
    <w:rsid w:val="00845FBE"/>
    <w:rsid w:val="00845FC4"/>
    <w:rsid w:val="0084604A"/>
    <w:rsid w:val="008460B6"/>
    <w:rsid w:val="00846305"/>
    <w:rsid w:val="0084633A"/>
    <w:rsid w:val="008463BB"/>
    <w:rsid w:val="00846414"/>
    <w:rsid w:val="0084642E"/>
    <w:rsid w:val="00846493"/>
    <w:rsid w:val="00846542"/>
    <w:rsid w:val="0084661C"/>
    <w:rsid w:val="008466C0"/>
    <w:rsid w:val="008466E3"/>
    <w:rsid w:val="0084692E"/>
    <w:rsid w:val="00846968"/>
    <w:rsid w:val="00846975"/>
    <w:rsid w:val="00846A6B"/>
    <w:rsid w:val="00846AA4"/>
    <w:rsid w:val="00846AC7"/>
    <w:rsid w:val="00846B6C"/>
    <w:rsid w:val="00846B7A"/>
    <w:rsid w:val="00846D8F"/>
    <w:rsid w:val="00846EBE"/>
    <w:rsid w:val="00846F9B"/>
    <w:rsid w:val="00847128"/>
    <w:rsid w:val="008471F3"/>
    <w:rsid w:val="008472E6"/>
    <w:rsid w:val="00847429"/>
    <w:rsid w:val="008474CF"/>
    <w:rsid w:val="00847635"/>
    <w:rsid w:val="00847670"/>
    <w:rsid w:val="00847727"/>
    <w:rsid w:val="00847837"/>
    <w:rsid w:val="008478AC"/>
    <w:rsid w:val="00847AAF"/>
    <w:rsid w:val="00847C67"/>
    <w:rsid w:val="00847D44"/>
    <w:rsid w:val="00847D67"/>
    <w:rsid w:val="00847DF6"/>
    <w:rsid w:val="0085006C"/>
    <w:rsid w:val="00850285"/>
    <w:rsid w:val="00850351"/>
    <w:rsid w:val="00850392"/>
    <w:rsid w:val="00850470"/>
    <w:rsid w:val="008504D8"/>
    <w:rsid w:val="0085054C"/>
    <w:rsid w:val="008506EF"/>
    <w:rsid w:val="00850809"/>
    <w:rsid w:val="00850A79"/>
    <w:rsid w:val="00850BB5"/>
    <w:rsid w:val="00850BED"/>
    <w:rsid w:val="00850CC4"/>
    <w:rsid w:val="00850DFD"/>
    <w:rsid w:val="00850E5B"/>
    <w:rsid w:val="00850EA2"/>
    <w:rsid w:val="00850EE6"/>
    <w:rsid w:val="00850F8B"/>
    <w:rsid w:val="008510D2"/>
    <w:rsid w:val="00851244"/>
    <w:rsid w:val="008513B1"/>
    <w:rsid w:val="00851567"/>
    <w:rsid w:val="0085162C"/>
    <w:rsid w:val="00851654"/>
    <w:rsid w:val="00851AB9"/>
    <w:rsid w:val="00851C71"/>
    <w:rsid w:val="00851CA6"/>
    <w:rsid w:val="00851DF5"/>
    <w:rsid w:val="00851E4A"/>
    <w:rsid w:val="00851EDF"/>
    <w:rsid w:val="00851F68"/>
    <w:rsid w:val="0085213F"/>
    <w:rsid w:val="00852157"/>
    <w:rsid w:val="00852171"/>
    <w:rsid w:val="008524E4"/>
    <w:rsid w:val="00852599"/>
    <w:rsid w:val="0085288C"/>
    <w:rsid w:val="008528F5"/>
    <w:rsid w:val="00852961"/>
    <w:rsid w:val="0085298E"/>
    <w:rsid w:val="008529D9"/>
    <w:rsid w:val="00852AAF"/>
    <w:rsid w:val="00852C4F"/>
    <w:rsid w:val="00852CD3"/>
    <w:rsid w:val="00852D2B"/>
    <w:rsid w:val="00852D35"/>
    <w:rsid w:val="00852D9A"/>
    <w:rsid w:val="00852DF5"/>
    <w:rsid w:val="00852E9B"/>
    <w:rsid w:val="00853086"/>
    <w:rsid w:val="00853364"/>
    <w:rsid w:val="008533EA"/>
    <w:rsid w:val="008534FB"/>
    <w:rsid w:val="00853577"/>
    <w:rsid w:val="008535D4"/>
    <w:rsid w:val="00853649"/>
    <w:rsid w:val="008538C0"/>
    <w:rsid w:val="00853914"/>
    <w:rsid w:val="00853915"/>
    <w:rsid w:val="00853976"/>
    <w:rsid w:val="008539CB"/>
    <w:rsid w:val="008539F8"/>
    <w:rsid w:val="00853A1F"/>
    <w:rsid w:val="00853B79"/>
    <w:rsid w:val="00853E37"/>
    <w:rsid w:val="00854044"/>
    <w:rsid w:val="00854047"/>
    <w:rsid w:val="008540DA"/>
    <w:rsid w:val="008540FC"/>
    <w:rsid w:val="00854104"/>
    <w:rsid w:val="00854179"/>
    <w:rsid w:val="008541BD"/>
    <w:rsid w:val="00854293"/>
    <w:rsid w:val="008543E8"/>
    <w:rsid w:val="00854480"/>
    <w:rsid w:val="00854727"/>
    <w:rsid w:val="00854A32"/>
    <w:rsid w:val="00854B54"/>
    <w:rsid w:val="00854CA2"/>
    <w:rsid w:val="00854DB0"/>
    <w:rsid w:val="00854EDD"/>
    <w:rsid w:val="00854FFC"/>
    <w:rsid w:val="00855159"/>
    <w:rsid w:val="008554C0"/>
    <w:rsid w:val="0085577B"/>
    <w:rsid w:val="00855991"/>
    <w:rsid w:val="00855ABA"/>
    <w:rsid w:val="00855D14"/>
    <w:rsid w:val="00855D63"/>
    <w:rsid w:val="00855D8D"/>
    <w:rsid w:val="00855DD5"/>
    <w:rsid w:val="00855E0C"/>
    <w:rsid w:val="00856079"/>
    <w:rsid w:val="0085609D"/>
    <w:rsid w:val="008561DA"/>
    <w:rsid w:val="00856249"/>
    <w:rsid w:val="00856436"/>
    <w:rsid w:val="008565A5"/>
    <w:rsid w:val="008569BA"/>
    <w:rsid w:val="008569F6"/>
    <w:rsid w:val="00856AF7"/>
    <w:rsid w:val="00856B1E"/>
    <w:rsid w:val="00856B62"/>
    <w:rsid w:val="00856C92"/>
    <w:rsid w:val="00856D43"/>
    <w:rsid w:val="00856EAA"/>
    <w:rsid w:val="00856EEC"/>
    <w:rsid w:val="00856F1A"/>
    <w:rsid w:val="00856F5A"/>
    <w:rsid w:val="0085709F"/>
    <w:rsid w:val="008570A1"/>
    <w:rsid w:val="0085718E"/>
    <w:rsid w:val="008572E6"/>
    <w:rsid w:val="008573F8"/>
    <w:rsid w:val="008575AF"/>
    <w:rsid w:val="008575C0"/>
    <w:rsid w:val="0085774F"/>
    <w:rsid w:val="00857790"/>
    <w:rsid w:val="008577A7"/>
    <w:rsid w:val="00857846"/>
    <w:rsid w:val="008578E5"/>
    <w:rsid w:val="0085792A"/>
    <w:rsid w:val="00857C46"/>
    <w:rsid w:val="00857ECA"/>
    <w:rsid w:val="00857FA8"/>
    <w:rsid w:val="0086002F"/>
    <w:rsid w:val="0086006F"/>
    <w:rsid w:val="00860184"/>
    <w:rsid w:val="008601E5"/>
    <w:rsid w:val="008601FF"/>
    <w:rsid w:val="00860253"/>
    <w:rsid w:val="008603AE"/>
    <w:rsid w:val="0086050F"/>
    <w:rsid w:val="00860546"/>
    <w:rsid w:val="00860653"/>
    <w:rsid w:val="008606CE"/>
    <w:rsid w:val="0086071A"/>
    <w:rsid w:val="008607A8"/>
    <w:rsid w:val="008607AB"/>
    <w:rsid w:val="008609D2"/>
    <w:rsid w:val="00860AE5"/>
    <w:rsid w:val="00860B7B"/>
    <w:rsid w:val="00860B7F"/>
    <w:rsid w:val="00860D15"/>
    <w:rsid w:val="0086102D"/>
    <w:rsid w:val="00861253"/>
    <w:rsid w:val="00861259"/>
    <w:rsid w:val="00861402"/>
    <w:rsid w:val="0086154A"/>
    <w:rsid w:val="00861616"/>
    <w:rsid w:val="008618FA"/>
    <w:rsid w:val="00861A8F"/>
    <w:rsid w:val="00861AE4"/>
    <w:rsid w:val="00861B42"/>
    <w:rsid w:val="00861B61"/>
    <w:rsid w:val="00861BA5"/>
    <w:rsid w:val="00861C5A"/>
    <w:rsid w:val="00861E76"/>
    <w:rsid w:val="00861F74"/>
    <w:rsid w:val="008621B8"/>
    <w:rsid w:val="0086248B"/>
    <w:rsid w:val="008624DA"/>
    <w:rsid w:val="008625C1"/>
    <w:rsid w:val="00862607"/>
    <w:rsid w:val="00862730"/>
    <w:rsid w:val="008627AD"/>
    <w:rsid w:val="00862804"/>
    <w:rsid w:val="008628FB"/>
    <w:rsid w:val="00862946"/>
    <w:rsid w:val="00862BED"/>
    <w:rsid w:val="00862ECC"/>
    <w:rsid w:val="00862F61"/>
    <w:rsid w:val="008630B1"/>
    <w:rsid w:val="0086334C"/>
    <w:rsid w:val="00863389"/>
    <w:rsid w:val="008633B1"/>
    <w:rsid w:val="00863500"/>
    <w:rsid w:val="00863545"/>
    <w:rsid w:val="00863595"/>
    <w:rsid w:val="00863727"/>
    <w:rsid w:val="00863813"/>
    <w:rsid w:val="008638EB"/>
    <w:rsid w:val="00863941"/>
    <w:rsid w:val="00863997"/>
    <w:rsid w:val="00863A7E"/>
    <w:rsid w:val="00863C38"/>
    <w:rsid w:val="00863DCF"/>
    <w:rsid w:val="00863E38"/>
    <w:rsid w:val="00863FD6"/>
    <w:rsid w:val="00864194"/>
    <w:rsid w:val="00864255"/>
    <w:rsid w:val="008642B1"/>
    <w:rsid w:val="00864466"/>
    <w:rsid w:val="0086476B"/>
    <w:rsid w:val="0086487E"/>
    <w:rsid w:val="00864954"/>
    <w:rsid w:val="008649BB"/>
    <w:rsid w:val="00864A9D"/>
    <w:rsid w:val="00864B5E"/>
    <w:rsid w:val="00864C7E"/>
    <w:rsid w:val="00864DA9"/>
    <w:rsid w:val="00864E1E"/>
    <w:rsid w:val="00864E4A"/>
    <w:rsid w:val="00864E53"/>
    <w:rsid w:val="00864F4C"/>
    <w:rsid w:val="00864F80"/>
    <w:rsid w:val="008650D9"/>
    <w:rsid w:val="00865193"/>
    <w:rsid w:val="00865263"/>
    <w:rsid w:val="008652EA"/>
    <w:rsid w:val="008652EF"/>
    <w:rsid w:val="0086538B"/>
    <w:rsid w:val="0086540E"/>
    <w:rsid w:val="0086545F"/>
    <w:rsid w:val="008654A3"/>
    <w:rsid w:val="008654E6"/>
    <w:rsid w:val="008657DA"/>
    <w:rsid w:val="00865BCC"/>
    <w:rsid w:val="00865CC5"/>
    <w:rsid w:val="00865F6B"/>
    <w:rsid w:val="00865FE2"/>
    <w:rsid w:val="00866221"/>
    <w:rsid w:val="00866263"/>
    <w:rsid w:val="0086635C"/>
    <w:rsid w:val="008663CA"/>
    <w:rsid w:val="008665A5"/>
    <w:rsid w:val="008666C6"/>
    <w:rsid w:val="00866800"/>
    <w:rsid w:val="00866A89"/>
    <w:rsid w:val="00866BD1"/>
    <w:rsid w:val="00866D0A"/>
    <w:rsid w:val="00866D1F"/>
    <w:rsid w:val="00866F94"/>
    <w:rsid w:val="00867214"/>
    <w:rsid w:val="00867266"/>
    <w:rsid w:val="0086734B"/>
    <w:rsid w:val="0086736F"/>
    <w:rsid w:val="008673EE"/>
    <w:rsid w:val="00867509"/>
    <w:rsid w:val="0086767E"/>
    <w:rsid w:val="0086774B"/>
    <w:rsid w:val="008677E2"/>
    <w:rsid w:val="00867A08"/>
    <w:rsid w:val="00867BC9"/>
    <w:rsid w:val="00867CCD"/>
    <w:rsid w:val="00867DEE"/>
    <w:rsid w:val="00867FDB"/>
    <w:rsid w:val="00870067"/>
    <w:rsid w:val="008701FB"/>
    <w:rsid w:val="00870294"/>
    <w:rsid w:val="008704C6"/>
    <w:rsid w:val="008704EC"/>
    <w:rsid w:val="00870559"/>
    <w:rsid w:val="00870582"/>
    <w:rsid w:val="008705CC"/>
    <w:rsid w:val="00870696"/>
    <w:rsid w:val="008707A5"/>
    <w:rsid w:val="008707F2"/>
    <w:rsid w:val="008708AD"/>
    <w:rsid w:val="00870A4D"/>
    <w:rsid w:val="00870A59"/>
    <w:rsid w:val="00870BEC"/>
    <w:rsid w:val="00870CD8"/>
    <w:rsid w:val="00870E40"/>
    <w:rsid w:val="00870E74"/>
    <w:rsid w:val="00870F5B"/>
    <w:rsid w:val="00871174"/>
    <w:rsid w:val="00871256"/>
    <w:rsid w:val="008713EC"/>
    <w:rsid w:val="00871408"/>
    <w:rsid w:val="00871411"/>
    <w:rsid w:val="00871470"/>
    <w:rsid w:val="008714CB"/>
    <w:rsid w:val="00871565"/>
    <w:rsid w:val="008716B8"/>
    <w:rsid w:val="008717E1"/>
    <w:rsid w:val="0087185A"/>
    <w:rsid w:val="00871AC8"/>
    <w:rsid w:val="00871C8B"/>
    <w:rsid w:val="00871DDF"/>
    <w:rsid w:val="00871EDA"/>
    <w:rsid w:val="00871F0F"/>
    <w:rsid w:val="00871FEA"/>
    <w:rsid w:val="00872012"/>
    <w:rsid w:val="00872051"/>
    <w:rsid w:val="00872137"/>
    <w:rsid w:val="008721D7"/>
    <w:rsid w:val="00872325"/>
    <w:rsid w:val="0087239D"/>
    <w:rsid w:val="008723C2"/>
    <w:rsid w:val="008723CF"/>
    <w:rsid w:val="00872528"/>
    <w:rsid w:val="0087264F"/>
    <w:rsid w:val="008726DD"/>
    <w:rsid w:val="0087270F"/>
    <w:rsid w:val="0087289A"/>
    <w:rsid w:val="008728E0"/>
    <w:rsid w:val="008728F3"/>
    <w:rsid w:val="0087293A"/>
    <w:rsid w:val="00872971"/>
    <w:rsid w:val="008729CC"/>
    <w:rsid w:val="00872A56"/>
    <w:rsid w:val="00872B16"/>
    <w:rsid w:val="00872B5B"/>
    <w:rsid w:val="00872BC0"/>
    <w:rsid w:val="00872CBF"/>
    <w:rsid w:val="00872D8C"/>
    <w:rsid w:val="00872E92"/>
    <w:rsid w:val="00873086"/>
    <w:rsid w:val="008730F2"/>
    <w:rsid w:val="0087318C"/>
    <w:rsid w:val="008731BC"/>
    <w:rsid w:val="00873284"/>
    <w:rsid w:val="00873332"/>
    <w:rsid w:val="00873493"/>
    <w:rsid w:val="0087354C"/>
    <w:rsid w:val="008735DE"/>
    <w:rsid w:val="00873676"/>
    <w:rsid w:val="0087383D"/>
    <w:rsid w:val="00873914"/>
    <w:rsid w:val="00873A5E"/>
    <w:rsid w:val="00873AEB"/>
    <w:rsid w:val="00873BE7"/>
    <w:rsid w:val="00873C05"/>
    <w:rsid w:val="00873CC9"/>
    <w:rsid w:val="00873D7C"/>
    <w:rsid w:val="00873EA9"/>
    <w:rsid w:val="00873EC4"/>
    <w:rsid w:val="008741B0"/>
    <w:rsid w:val="008741C4"/>
    <w:rsid w:val="008741F7"/>
    <w:rsid w:val="0087425C"/>
    <w:rsid w:val="00874329"/>
    <w:rsid w:val="00874546"/>
    <w:rsid w:val="00874600"/>
    <w:rsid w:val="0087477B"/>
    <w:rsid w:val="008748FB"/>
    <w:rsid w:val="00874979"/>
    <w:rsid w:val="00874A1E"/>
    <w:rsid w:val="00874B0C"/>
    <w:rsid w:val="00874BB8"/>
    <w:rsid w:val="00874C89"/>
    <w:rsid w:val="00874CA1"/>
    <w:rsid w:val="00874CDE"/>
    <w:rsid w:val="00874D18"/>
    <w:rsid w:val="00874D7C"/>
    <w:rsid w:val="00874EEC"/>
    <w:rsid w:val="00875095"/>
    <w:rsid w:val="008750B6"/>
    <w:rsid w:val="00875178"/>
    <w:rsid w:val="00875276"/>
    <w:rsid w:val="00875277"/>
    <w:rsid w:val="008754C9"/>
    <w:rsid w:val="00875776"/>
    <w:rsid w:val="00875794"/>
    <w:rsid w:val="00875A4F"/>
    <w:rsid w:val="00875AB4"/>
    <w:rsid w:val="00875BD1"/>
    <w:rsid w:val="00875BE1"/>
    <w:rsid w:val="00875D58"/>
    <w:rsid w:val="00875E61"/>
    <w:rsid w:val="00875EEF"/>
    <w:rsid w:val="0087611F"/>
    <w:rsid w:val="0087625F"/>
    <w:rsid w:val="00876335"/>
    <w:rsid w:val="0087651D"/>
    <w:rsid w:val="00876609"/>
    <w:rsid w:val="00876840"/>
    <w:rsid w:val="008768A4"/>
    <w:rsid w:val="00876B49"/>
    <w:rsid w:val="00876C37"/>
    <w:rsid w:val="00876C86"/>
    <w:rsid w:val="00876E68"/>
    <w:rsid w:val="00877115"/>
    <w:rsid w:val="008773B9"/>
    <w:rsid w:val="0087760E"/>
    <w:rsid w:val="00877654"/>
    <w:rsid w:val="0087768D"/>
    <w:rsid w:val="00877732"/>
    <w:rsid w:val="00877788"/>
    <w:rsid w:val="0087786F"/>
    <w:rsid w:val="0087790E"/>
    <w:rsid w:val="008779F6"/>
    <w:rsid w:val="00877A55"/>
    <w:rsid w:val="00877BFE"/>
    <w:rsid w:val="00877CD1"/>
    <w:rsid w:val="00877D0F"/>
    <w:rsid w:val="00877DAB"/>
    <w:rsid w:val="00877EE4"/>
    <w:rsid w:val="00877F93"/>
    <w:rsid w:val="0088002A"/>
    <w:rsid w:val="008800D5"/>
    <w:rsid w:val="00880109"/>
    <w:rsid w:val="008803E1"/>
    <w:rsid w:val="00880409"/>
    <w:rsid w:val="008804CD"/>
    <w:rsid w:val="0088061D"/>
    <w:rsid w:val="008806BA"/>
    <w:rsid w:val="008807D6"/>
    <w:rsid w:val="00880A6F"/>
    <w:rsid w:val="00880E55"/>
    <w:rsid w:val="00880F31"/>
    <w:rsid w:val="008811C9"/>
    <w:rsid w:val="00881293"/>
    <w:rsid w:val="00881325"/>
    <w:rsid w:val="00881326"/>
    <w:rsid w:val="0088152D"/>
    <w:rsid w:val="008815D4"/>
    <w:rsid w:val="008816A1"/>
    <w:rsid w:val="008816B9"/>
    <w:rsid w:val="008817C4"/>
    <w:rsid w:val="0088184F"/>
    <w:rsid w:val="008818BF"/>
    <w:rsid w:val="0088194E"/>
    <w:rsid w:val="00881ADA"/>
    <w:rsid w:val="00881BBE"/>
    <w:rsid w:val="00881CE7"/>
    <w:rsid w:val="00881F08"/>
    <w:rsid w:val="00882040"/>
    <w:rsid w:val="008820C8"/>
    <w:rsid w:val="00882382"/>
    <w:rsid w:val="008825CB"/>
    <w:rsid w:val="008825E1"/>
    <w:rsid w:val="008825EA"/>
    <w:rsid w:val="0088267B"/>
    <w:rsid w:val="00882758"/>
    <w:rsid w:val="0088278E"/>
    <w:rsid w:val="008827EB"/>
    <w:rsid w:val="0088282F"/>
    <w:rsid w:val="00882B36"/>
    <w:rsid w:val="00882CE1"/>
    <w:rsid w:val="00882DB7"/>
    <w:rsid w:val="00882DC2"/>
    <w:rsid w:val="00882DD7"/>
    <w:rsid w:val="00882E73"/>
    <w:rsid w:val="00882F8D"/>
    <w:rsid w:val="00883078"/>
    <w:rsid w:val="008831CE"/>
    <w:rsid w:val="00883305"/>
    <w:rsid w:val="00883474"/>
    <w:rsid w:val="008835E2"/>
    <w:rsid w:val="00883634"/>
    <w:rsid w:val="0088363E"/>
    <w:rsid w:val="0088373E"/>
    <w:rsid w:val="00883A02"/>
    <w:rsid w:val="00883CCD"/>
    <w:rsid w:val="00883D22"/>
    <w:rsid w:val="00883DE1"/>
    <w:rsid w:val="00883FBF"/>
    <w:rsid w:val="0088417C"/>
    <w:rsid w:val="008846F2"/>
    <w:rsid w:val="008847DD"/>
    <w:rsid w:val="00884A87"/>
    <w:rsid w:val="00884B2E"/>
    <w:rsid w:val="00884B61"/>
    <w:rsid w:val="00884CFF"/>
    <w:rsid w:val="00884E75"/>
    <w:rsid w:val="00884F7D"/>
    <w:rsid w:val="00884FB7"/>
    <w:rsid w:val="00884FFD"/>
    <w:rsid w:val="0088504D"/>
    <w:rsid w:val="00885054"/>
    <w:rsid w:val="00885270"/>
    <w:rsid w:val="008852A9"/>
    <w:rsid w:val="008852FA"/>
    <w:rsid w:val="00885352"/>
    <w:rsid w:val="0088558D"/>
    <w:rsid w:val="008855F4"/>
    <w:rsid w:val="00885A2F"/>
    <w:rsid w:val="00885B1E"/>
    <w:rsid w:val="00885D1F"/>
    <w:rsid w:val="00885D4E"/>
    <w:rsid w:val="00885D6B"/>
    <w:rsid w:val="00885E54"/>
    <w:rsid w:val="00886201"/>
    <w:rsid w:val="008862E2"/>
    <w:rsid w:val="0088631D"/>
    <w:rsid w:val="00886341"/>
    <w:rsid w:val="0088637A"/>
    <w:rsid w:val="00886664"/>
    <w:rsid w:val="00886908"/>
    <w:rsid w:val="008869B3"/>
    <w:rsid w:val="00886AD4"/>
    <w:rsid w:val="00886AFD"/>
    <w:rsid w:val="00886BE8"/>
    <w:rsid w:val="00886CD8"/>
    <w:rsid w:val="00886D3B"/>
    <w:rsid w:val="00886DF8"/>
    <w:rsid w:val="00886E3F"/>
    <w:rsid w:val="00886EC1"/>
    <w:rsid w:val="00886F17"/>
    <w:rsid w:val="00886F46"/>
    <w:rsid w:val="00887156"/>
    <w:rsid w:val="00887211"/>
    <w:rsid w:val="008872D0"/>
    <w:rsid w:val="008874CC"/>
    <w:rsid w:val="0088755C"/>
    <w:rsid w:val="0088775E"/>
    <w:rsid w:val="008877ED"/>
    <w:rsid w:val="0088788A"/>
    <w:rsid w:val="008878EC"/>
    <w:rsid w:val="00887944"/>
    <w:rsid w:val="00887A93"/>
    <w:rsid w:val="00887F05"/>
    <w:rsid w:val="00887F6C"/>
    <w:rsid w:val="0089009B"/>
    <w:rsid w:val="008900B1"/>
    <w:rsid w:val="0089012D"/>
    <w:rsid w:val="00890235"/>
    <w:rsid w:val="00890254"/>
    <w:rsid w:val="0089028B"/>
    <w:rsid w:val="008903A7"/>
    <w:rsid w:val="008905D5"/>
    <w:rsid w:val="008907D1"/>
    <w:rsid w:val="008907DA"/>
    <w:rsid w:val="0089097B"/>
    <w:rsid w:val="00890985"/>
    <w:rsid w:val="00890A98"/>
    <w:rsid w:val="00890ADF"/>
    <w:rsid w:val="00890CC6"/>
    <w:rsid w:val="00890CED"/>
    <w:rsid w:val="00890CFB"/>
    <w:rsid w:val="00890D46"/>
    <w:rsid w:val="008910DD"/>
    <w:rsid w:val="00891115"/>
    <w:rsid w:val="008911E8"/>
    <w:rsid w:val="00891258"/>
    <w:rsid w:val="0089138C"/>
    <w:rsid w:val="0089154A"/>
    <w:rsid w:val="00891872"/>
    <w:rsid w:val="00891ABB"/>
    <w:rsid w:val="00891B01"/>
    <w:rsid w:val="00891B16"/>
    <w:rsid w:val="00891B2E"/>
    <w:rsid w:val="00891BD0"/>
    <w:rsid w:val="00891D09"/>
    <w:rsid w:val="0089206C"/>
    <w:rsid w:val="00892287"/>
    <w:rsid w:val="008925A7"/>
    <w:rsid w:val="008925E5"/>
    <w:rsid w:val="0089264A"/>
    <w:rsid w:val="0089264F"/>
    <w:rsid w:val="0089266E"/>
    <w:rsid w:val="008927F2"/>
    <w:rsid w:val="00892865"/>
    <w:rsid w:val="008928BF"/>
    <w:rsid w:val="0089293A"/>
    <w:rsid w:val="008929D2"/>
    <w:rsid w:val="00892A16"/>
    <w:rsid w:val="00892AF2"/>
    <w:rsid w:val="00892D5A"/>
    <w:rsid w:val="00892E5C"/>
    <w:rsid w:val="008931A9"/>
    <w:rsid w:val="008931C4"/>
    <w:rsid w:val="00893212"/>
    <w:rsid w:val="008933AB"/>
    <w:rsid w:val="008933FC"/>
    <w:rsid w:val="008934B9"/>
    <w:rsid w:val="00893513"/>
    <w:rsid w:val="008937BB"/>
    <w:rsid w:val="008937BC"/>
    <w:rsid w:val="00893837"/>
    <w:rsid w:val="00893950"/>
    <w:rsid w:val="008939A4"/>
    <w:rsid w:val="00893A8F"/>
    <w:rsid w:val="00893AA9"/>
    <w:rsid w:val="00893BBC"/>
    <w:rsid w:val="00893C0F"/>
    <w:rsid w:val="00893C4B"/>
    <w:rsid w:val="00893D5F"/>
    <w:rsid w:val="00893EC2"/>
    <w:rsid w:val="00893EF4"/>
    <w:rsid w:val="00894379"/>
    <w:rsid w:val="008943D0"/>
    <w:rsid w:val="008943D6"/>
    <w:rsid w:val="008943E3"/>
    <w:rsid w:val="008943F0"/>
    <w:rsid w:val="0089446F"/>
    <w:rsid w:val="00894556"/>
    <w:rsid w:val="008945B5"/>
    <w:rsid w:val="0089462E"/>
    <w:rsid w:val="00894696"/>
    <w:rsid w:val="008947F0"/>
    <w:rsid w:val="00894881"/>
    <w:rsid w:val="00894ACA"/>
    <w:rsid w:val="00894B3A"/>
    <w:rsid w:val="00894DAC"/>
    <w:rsid w:val="00894E65"/>
    <w:rsid w:val="00894EA6"/>
    <w:rsid w:val="00894F54"/>
    <w:rsid w:val="0089514D"/>
    <w:rsid w:val="008951CD"/>
    <w:rsid w:val="00895235"/>
    <w:rsid w:val="0089539D"/>
    <w:rsid w:val="008953C2"/>
    <w:rsid w:val="00895440"/>
    <w:rsid w:val="0089552C"/>
    <w:rsid w:val="00895688"/>
    <w:rsid w:val="008956AD"/>
    <w:rsid w:val="0089587F"/>
    <w:rsid w:val="00895A1E"/>
    <w:rsid w:val="00895B7D"/>
    <w:rsid w:val="00895EA5"/>
    <w:rsid w:val="0089653F"/>
    <w:rsid w:val="0089657A"/>
    <w:rsid w:val="008966DE"/>
    <w:rsid w:val="00896913"/>
    <w:rsid w:val="00896955"/>
    <w:rsid w:val="00896A5D"/>
    <w:rsid w:val="00896AE4"/>
    <w:rsid w:val="00896BF3"/>
    <w:rsid w:val="00896C0F"/>
    <w:rsid w:val="00896D16"/>
    <w:rsid w:val="00896D9A"/>
    <w:rsid w:val="00896E58"/>
    <w:rsid w:val="00896EE1"/>
    <w:rsid w:val="00896F07"/>
    <w:rsid w:val="00896F0D"/>
    <w:rsid w:val="008970F8"/>
    <w:rsid w:val="0089717E"/>
    <w:rsid w:val="00897234"/>
    <w:rsid w:val="008972F3"/>
    <w:rsid w:val="0089751B"/>
    <w:rsid w:val="00897650"/>
    <w:rsid w:val="00897689"/>
    <w:rsid w:val="008976AD"/>
    <w:rsid w:val="00897708"/>
    <w:rsid w:val="00897793"/>
    <w:rsid w:val="008977E2"/>
    <w:rsid w:val="0089780E"/>
    <w:rsid w:val="00897833"/>
    <w:rsid w:val="00897AB4"/>
    <w:rsid w:val="00897BA7"/>
    <w:rsid w:val="00897BB7"/>
    <w:rsid w:val="00897CCC"/>
    <w:rsid w:val="00897D06"/>
    <w:rsid w:val="00897FF8"/>
    <w:rsid w:val="008A0074"/>
    <w:rsid w:val="008A0288"/>
    <w:rsid w:val="008A0494"/>
    <w:rsid w:val="008A051C"/>
    <w:rsid w:val="008A05A7"/>
    <w:rsid w:val="008A05AD"/>
    <w:rsid w:val="008A068D"/>
    <w:rsid w:val="008A06D5"/>
    <w:rsid w:val="008A0827"/>
    <w:rsid w:val="008A088A"/>
    <w:rsid w:val="008A08CA"/>
    <w:rsid w:val="008A0B21"/>
    <w:rsid w:val="008A0D46"/>
    <w:rsid w:val="008A0E05"/>
    <w:rsid w:val="008A0E2E"/>
    <w:rsid w:val="008A0FC5"/>
    <w:rsid w:val="008A1433"/>
    <w:rsid w:val="008A143E"/>
    <w:rsid w:val="008A15FF"/>
    <w:rsid w:val="008A1657"/>
    <w:rsid w:val="008A16A4"/>
    <w:rsid w:val="008A16D6"/>
    <w:rsid w:val="008A1829"/>
    <w:rsid w:val="008A192A"/>
    <w:rsid w:val="008A1BFA"/>
    <w:rsid w:val="008A1C1D"/>
    <w:rsid w:val="008A1C39"/>
    <w:rsid w:val="008A1CC9"/>
    <w:rsid w:val="008A1D62"/>
    <w:rsid w:val="008A20EC"/>
    <w:rsid w:val="008A2146"/>
    <w:rsid w:val="008A220C"/>
    <w:rsid w:val="008A25F4"/>
    <w:rsid w:val="008A2882"/>
    <w:rsid w:val="008A2907"/>
    <w:rsid w:val="008A2ADA"/>
    <w:rsid w:val="008A2B25"/>
    <w:rsid w:val="008A2B52"/>
    <w:rsid w:val="008A2B95"/>
    <w:rsid w:val="008A2BC1"/>
    <w:rsid w:val="008A2C48"/>
    <w:rsid w:val="008A2C55"/>
    <w:rsid w:val="008A2D19"/>
    <w:rsid w:val="008A2D3B"/>
    <w:rsid w:val="008A2DD0"/>
    <w:rsid w:val="008A2E37"/>
    <w:rsid w:val="008A2E89"/>
    <w:rsid w:val="008A2F59"/>
    <w:rsid w:val="008A2FD9"/>
    <w:rsid w:val="008A3002"/>
    <w:rsid w:val="008A3012"/>
    <w:rsid w:val="008A30B3"/>
    <w:rsid w:val="008A33CE"/>
    <w:rsid w:val="008A3535"/>
    <w:rsid w:val="008A3627"/>
    <w:rsid w:val="008A3746"/>
    <w:rsid w:val="008A38EB"/>
    <w:rsid w:val="008A3A3B"/>
    <w:rsid w:val="008A3D66"/>
    <w:rsid w:val="008A3F06"/>
    <w:rsid w:val="008A413D"/>
    <w:rsid w:val="008A41AF"/>
    <w:rsid w:val="008A41E3"/>
    <w:rsid w:val="008A424A"/>
    <w:rsid w:val="008A4296"/>
    <w:rsid w:val="008A4414"/>
    <w:rsid w:val="008A4430"/>
    <w:rsid w:val="008A4625"/>
    <w:rsid w:val="008A476B"/>
    <w:rsid w:val="008A478E"/>
    <w:rsid w:val="008A4A50"/>
    <w:rsid w:val="008A4A98"/>
    <w:rsid w:val="008A4B17"/>
    <w:rsid w:val="008A4CC9"/>
    <w:rsid w:val="008A4D17"/>
    <w:rsid w:val="008A4E9E"/>
    <w:rsid w:val="008A4EAA"/>
    <w:rsid w:val="008A4F34"/>
    <w:rsid w:val="008A4F80"/>
    <w:rsid w:val="008A52D9"/>
    <w:rsid w:val="008A5623"/>
    <w:rsid w:val="008A56B6"/>
    <w:rsid w:val="008A5883"/>
    <w:rsid w:val="008A5902"/>
    <w:rsid w:val="008A596F"/>
    <w:rsid w:val="008A5970"/>
    <w:rsid w:val="008A5995"/>
    <w:rsid w:val="008A5A3C"/>
    <w:rsid w:val="008A5A72"/>
    <w:rsid w:val="008A5B97"/>
    <w:rsid w:val="008A5C7C"/>
    <w:rsid w:val="008A5EDF"/>
    <w:rsid w:val="008A5F32"/>
    <w:rsid w:val="008A6053"/>
    <w:rsid w:val="008A608C"/>
    <w:rsid w:val="008A60DB"/>
    <w:rsid w:val="008A6198"/>
    <w:rsid w:val="008A61C5"/>
    <w:rsid w:val="008A62BE"/>
    <w:rsid w:val="008A631E"/>
    <w:rsid w:val="008A6333"/>
    <w:rsid w:val="008A6360"/>
    <w:rsid w:val="008A646A"/>
    <w:rsid w:val="008A68D4"/>
    <w:rsid w:val="008A68EE"/>
    <w:rsid w:val="008A69FB"/>
    <w:rsid w:val="008A6B4A"/>
    <w:rsid w:val="008A6B98"/>
    <w:rsid w:val="008A6BB1"/>
    <w:rsid w:val="008A6CF7"/>
    <w:rsid w:val="008A6E6E"/>
    <w:rsid w:val="008A6F7D"/>
    <w:rsid w:val="008A705F"/>
    <w:rsid w:val="008A70B5"/>
    <w:rsid w:val="008A70EA"/>
    <w:rsid w:val="008A716B"/>
    <w:rsid w:val="008A731E"/>
    <w:rsid w:val="008A7580"/>
    <w:rsid w:val="008A75AF"/>
    <w:rsid w:val="008A77A3"/>
    <w:rsid w:val="008A78FD"/>
    <w:rsid w:val="008A795F"/>
    <w:rsid w:val="008A7AA6"/>
    <w:rsid w:val="008A7AE9"/>
    <w:rsid w:val="008A7C9E"/>
    <w:rsid w:val="008A7DC0"/>
    <w:rsid w:val="008A7F30"/>
    <w:rsid w:val="008B02A5"/>
    <w:rsid w:val="008B02D3"/>
    <w:rsid w:val="008B03CC"/>
    <w:rsid w:val="008B0471"/>
    <w:rsid w:val="008B07AA"/>
    <w:rsid w:val="008B09EC"/>
    <w:rsid w:val="008B0A18"/>
    <w:rsid w:val="008B0C50"/>
    <w:rsid w:val="008B0CF6"/>
    <w:rsid w:val="008B1281"/>
    <w:rsid w:val="008B144F"/>
    <w:rsid w:val="008B1690"/>
    <w:rsid w:val="008B175F"/>
    <w:rsid w:val="008B1760"/>
    <w:rsid w:val="008B179A"/>
    <w:rsid w:val="008B1861"/>
    <w:rsid w:val="008B18D0"/>
    <w:rsid w:val="008B1ADE"/>
    <w:rsid w:val="008B1AEE"/>
    <w:rsid w:val="008B2089"/>
    <w:rsid w:val="008B24BE"/>
    <w:rsid w:val="008B2636"/>
    <w:rsid w:val="008B27E8"/>
    <w:rsid w:val="008B27EC"/>
    <w:rsid w:val="008B27F6"/>
    <w:rsid w:val="008B2851"/>
    <w:rsid w:val="008B29B2"/>
    <w:rsid w:val="008B29DB"/>
    <w:rsid w:val="008B2AA4"/>
    <w:rsid w:val="008B2E07"/>
    <w:rsid w:val="008B2E1F"/>
    <w:rsid w:val="008B3002"/>
    <w:rsid w:val="008B3280"/>
    <w:rsid w:val="008B33C0"/>
    <w:rsid w:val="008B3477"/>
    <w:rsid w:val="008B36A8"/>
    <w:rsid w:val="008B3794"/>
    <w:rsid w:val="008B38C6"/>
    <w:rsid w:val="008B393A"/>
    <w:rsid w:val="008B39F5"/>
    <w:rsid w:val="008B3A63"/>
    <w:rsid w:val="008B3C63"/>
    <w:rsid w:val="008B3D7C"/>
    <w:rsid w:val="008B3DF5"/>
    <w:rsid w:val="008B3F66"/>
    <w:rsid w:val="008B3FCF"/>
    <w:rsid w:val="008B41F2"/>
    <w:rsid w:val="008B42C2"/>
    <w:rsid w:val="008B42DC"/>
    <w:rsid w:val="008B42F0"/>
    <w:rsid w:val="008B455F"/>
    <w:rsid w:val="008B4599"/>
    <w:rsid w:val="008B464B"/>
    <w:rsid w:val="008B4683"/>
    <w:rsid w:val="008B4734"/>
    <w:rsid w:val="008B4861"/>
    <w:rsid w:val="008B48C6"/>
    <w:rsid w:val="008B49D1"/>
    <w:rsid w:val="008B4B3D"/>
    <w:rsid w:val="008B4C7A"/>
    <w:rsid w:val="008B4CCD"/>
    <w:rsid w:val="008B4D3E"/>
    <w:rsid w:val="008B4E58"/>
    <w:rsid w:val="008B4F55"/>
    <w:rsid w:val="008B5031"/>
    <w:rsid w:val="008B514A"/>
    <w:rsid w:val="008B5177"/>
    <w:rsid w:val="008B51F7"/>
    <w:rsid w:val="008B534B"/>
    <w:rsid w:val="008B53D4"/>
    <w:rsid w:val="008B559E"/>
    <w:rsid w:val="008B5607"/>
    <w:rsid w:val="008B5700"/>
    <w:rsid w:val="008B5982"/>
    <w:rsid w:val="008B59CE"/>
    <w:rsid w:val="008B5A3F"/>
    <w:rsid w:val="008B5A51"/>
    <w:rsid w:val="008B5A8E"/>
    <w:rsid w:val="008B5AA4"/>
    <w:rsid w:val="008B5C0A"/>
    <w:rsid w:val="008B5CDB"/>
    <w:rsid w:val="008B5D21"/>
    <w:rsid w:val="008B5E9C"/>
    <w:rsid w:val="008B5FC2"/>
    <w:rsid w:val="008B60A0"/>
    <w:rsid w:val="008B615C"/>
    <w:rsid w:val="008B61FA"/>
    <w:rsid w:val="008B6233"/>
    <w:rsid w:val="008B63F9"/>
    <w:rsid w:val="008B647C"/>
    <w:rsid w:val="008B6483"/>
    <w:rsid w:val="008B649C"/>
    <w:rsid w:val="008B66CE"/>
    <w:rsid w:val="008B6753"/>
    <w:rsid w:val="008B6763"/>
    <w:rsid w:val="008B67AD"/>
    <w:rsid w:val="008B6B6F"/>
    <w:rsid w:val="008B6B77"/>
    <w:rsid w:val="008B6CE2"/>
    <w:rsid w:val="008B6DEA"/>
    <w:rsid w:val="008B6E4D"/>
    <w:rsid w:val="008B702F"/>
    <w:rsid w:val="008B73B0"/>
    <w:rsid w:val="008B73F3"/>
    <w:rsid w:val="008B7487"/>
    <w:rsid w:val="008B7489"/>
    <w:rsid w:val="008B7612"/>
    <w:rsid w:val="008B76F7"/>
    <w:rsid w:val="008B7718"/>
    <w:rsid w:val="008B7739"/>
    <w:rsid w:val="008B79ED"/>
    <w:rsid w:val="008B7A41"/>
    <w:rsid w:val="008B7A97"/>
    <w:rsid w:val="008B7AFE"/>
    <w:rsid w:val="008B7BB5"/>
    <w:rsid w:val="008B7BC9"/>
    <w:rsid w:val="008B7BE9"/>
    <w:rsid w:val="008B7C5C"/>
    <w:rsid w:val="008B7E04"/>
    <w:rsid w:val="008B7E33"/>
    <w:rsid w:val="008B7FDB"/>
    <w:rsid w:val="008C0129"/>
    <w:rsid w:val="008C0445"/>
    <w:rsid w:val="008C07ED"/>
    <w:rsid w:val="008C08B2"/>
    <w:rsid w:val="008C08D1"/>
    <w:rsid w:val="008C0975"/>
    <w:rsid w:val="008C0984"/>
    <w:rsid w:val="008C0B61"/>
    <w:rsid w:val="008C0B7C"/>
    <w:rsid w:val="008C0CD5"/>
    <w:rsid w:val="008C0D3C"/>
    <w:rsid w:val="008C0DE7"/>
    <w:rsid w:val="008C0EDF"/>
    <w:rsid w:val="008C0EE0"/>
    <w:rsid w:val="008C0FD3"/>
    <w:rsid w:val="008C10B1"/>
    <w:rsid w:val="008C139E"/>
    <w:rsid w:val="008C13EC"/>
    <w:rsid w:val="008C14CE"/>
    <w:rsid w:val="008C14E5"/>
    <w:rsid w:val="008C166F"/>
    <w:rsid w:val="008C16E8"/>
    <w:rsid w:val="008C176F"/>
    <w:rsid w:val="008C182D"/>
    <w:rsid w:val="008C18BE"/>
    <w:rsid w:val="008C1AF1"/>
    <w:rsid w:val="008C1BE8"/>
    <w:rsid w:val="008C1FAE"/>
    <w:rsid w:val="008C1FCD"/>
    <w:rsid w:val="008C229F"/>
    <w:rsid w:val="008C2380"/>
    <w:rsid w:val="008C2598"/>
    <w:rsid w:val="008C2628"/>
    <w:rsid w:val="008C26EB"/>
    <w:rsid w:val="008C27D1"/>
    <w:rsid w:val="008C2985"/>
    <w:rsid w:val="008C29D4"/>
    <w:rsid w:val="008C29F2"/>
    <w:rsid w:val="008C29FB"/>
    <w:rsid w:val="008C2D50"/>
    <w:rsid w:val="008C2DFE"/>
    <w:rsid w:val="008C2FDE"/>
    <w:rsid w:val="008C2FF3"/>
    <w:rsid w:val="008C31F4"/>
    <w:rsid w:val="008C3262"/>
    <w:rsid w:val="008C32E9"/>
    <w:rsid w:val="008C3307"/>
    <w:rsid w:val="008C3312"/>
    <w:rsid w:val="008C3587"/>
    <w:rsid w:val="008C3A1C"/>
    <w:rsid w:val="008C3F4C"/>
    <w:rsid w:val="008C41AA"/>
    <w:rsid w:val="008C437A"/>
    <w:rsid w:val="008C4481"/>
    <w:rsid w:val="008C44D7"/>
    <w:rsid w:val="008C460A"/>
    <w:rsid w:val="008C4639"/>
    <w:rsid w:val="008C47B5"/>
    <w:rsid w:val="008C4A27"/>
    <w:rsid w:val="008C4A9F"/>
    <w:rsid w:val="008C4C7A"/>
    <w:rsid w:val="008C4D8A"/>
    <w:rsid w:val="008C4E9E"/>
    <w:rsid w:val="008C4F77"/>
    <w:rsid w:val="008C4F94"/>
    <w:rsid w:val="008C524E"/>
    <w:rsid w:val="008C5333"/>
    <w:rsid w:val="008C533D"/>
    <w:rsid w:val="008C5372"/>
    <w:rsid w:val="008C540C"/>
    <w:rsid w:val="008C5442"/>
    <w:rsid w:val="008C5C77"/>
    <w:rsid w:val="008C5D40"/>
    <w:rsid w:val="008C5D43"/>
    <w:rsid w:val="008C5D48"/>
    <w:rsid w:val="008C5EDD"/>
    <w:rsid w:val="008C5F0A"/>
    <w:rsid w:val="008C6211"/>
    <w:rsid w:val="008C6258"/>
    <w:rsid w:val="008C62CE"/>
    <w:rsid w:val="008C634D"/>
    <w:rsid w:val="008C6649"/>
    <w:rsid w:val="008C6748"/>
    <w:rsid w:val="008C6751"/>
    <w:rsid w:val="008C68F6"/>
    <w:rsid w:val="008C6919"/>
    <w:rsid w:val="008C696F"/>
    <w:rsid w:val="008C69B0"/>
    <w:rsid w:val="008C6A1B"/>
    <w:rsid w:val="008C6AE8"/>
    <w:rsid w:val="008C6E0B"/>
    <w:rsid w:val="008C6EB0"/>
    <w:rsid w:val="008C7142"/>
    <w:rsid w:val="008C727C"/>
    <w:rsid w:val="008C72B9"/>
    <w:rsid w:val="008C7350"/>
    <w:rsid w:val="008C7450"/>
    <w:rsid w:val="008C7451"/>
    <w:rsid w:val="008C7520"/>
    <w:rsid w:val="008C7569"/>
    <w:rsid w:val="008C75C7"/>
    <w:rsid w:val="008C7604"/>
    <w:rsid w:val="008C78AE"/>
    <w:rsid w:val="008C793B"/>
    <w:rsid w:val="008C79D8"/>
    <w:rsid w:val="008C7AE1"/>
    <w:rsid w:val="008C7B4B"/>
    <w:rsid w:val="008C7CFE"/>
    <w:rsid w:val="008C7D33"/>
    <w:rsid w:val="008C7D6E"/>
    <w:rsid w:val="008C7D9A"/>
    <w:rsid w:val="008C7F2F"/>
    <w:rsid w:val="008D0043"/>
    <w:rsid w:val="008D00AC"/>
    <w:rsid w:val="008D015C"/>
    <w:rsid w:val="008D01DD"/>
    <w:rsid w:val="008D0296"/>
    <w:rsid w:val="008D02BF"/>
    <w:rsid w:val="008D06AA"/>
    <w:rsid w:val="008D078F"/>
    <w:rsid w:val="008D0ACE"/>
    <w:rsid w:val="008D0AED"/>
    <w:rsid w:val="008D0C37"/>
    <w:rsid w:val="008D0E66"/>
    <w:rsid w:val="008D0E9C"/>
    <w:rsid w:val="008D0EB7"/>
    <w:rsid w:val="008D1378"/>
    <w:rsid w:val="008D13C8"/>
    <w:rsid w:val="008D13E2"/>
    <w:rsid w:val="008D14AB"/>
    <w:rsid w:val="008D14F4"/>
    <w:rsid w:val="008D162B"/>
    <w:rsid w:val="008D1A4D"/>
    <w:rsid w:val="008D1A5B"/>
    <w:rsid w:val="008D1D70"/>
    <w:rsid w:val="008D21ED"/>
    <w:rsid w:val="008D2251"/>
    <w:rsid w:val="008D2308"/>
    <w:rsid w:val="008D23B7"/>
    <w:rsid w:val="008D23D9"/>
    <w:rsid w:val="008D2469"/>
    <w:rsid w:val="008D259F"/>
    <w:rsid w:val="008D2614"/>
    <w:rsid w:val="008D2623"/>
    <w:rsid w:val="008D282D"/>
    <w:rsid w:val="008D282E"/>
    <w:rsid w:val="008D2850"/>
    <w:rsid w:val="008D28BB"/>
    <w:rsid w:val="008D28C0"/>
    <w:rsid w:val="008D2948"/>
    <w:rsid w:val="008D2A0E"/>
    <w:rsid w:val="008D2C0C"/>
    <w:rsid w:val="008D2C9A"/>
    <w:rsid w:val="008D2D37"/>
    <w:rsid w:val="008D2E5F"/>
    <w:rsid w:val="008D2E71"/>
    <w:rsid w:val="008D2E92"/>
    <w:rsid w:val="008D3037"/>
    <w:rsid w:val="008D3144"/>
    <w:rsid w:val="008D316A"/>
    <w:rsid w:val="008D3266"/>
    <w:rsid w:val="008D34BF"/>
    <w:rsid w:val="008D36CC"/>
    <w:rsid w:val="008D38EF"/>
    <w:rsid w:val="008D3906"/>
    <w:rsid w:val="008D39E7"/>
    <w:rsid w:val="008D3A38"/>
    <w:rsid w:val="008D3B89"/>
    <w:rsid w:val="008D3CFE"/>
    <w:rsid w:val="008D3DC9"/>
    <w:rsid w:val="008D3F88"/>
    <w:rsid w:val="008D3FA7"/>
    <w:rsid w:val="008D3FB3"/>
    <w:rsid w:val="008D4110"/>
    <w:rsid w:val="008D416E"/>
    <w:rsid w:val="008D41BD"/>
    <w:rsid w:val="008D41D8"/>
    <w:rsid w:val="008D4238"/>
    <w:rsid w:val="008D42BC"/>
    <w:rsid w:val="008D4493"/>
    <w:rsid w:val="008D44A6"/>
    <w:rsid w:val="008D4656"/>
    <w:rsid w:val="008D4681"/>
    <w:rsid w:val="008D46C4"/>
    <w:rsid w:val="008D4713"/>
    <w:rsid w:val="008D4780"/>
    <w:rsid w:val="008D47DB"/>
    <w:rsid w:val="008D4A3E"/>
    <w:rsid w:val="008D4AD0"/>
    <w:rsid w:val="008D4C2F"/>
    <w:rsid w:val="008D4C98"/>
    <w:rsid w:val="008D4E28"/>
    <w:rsid w:val="008D4F1D"/>
    <w:rsid w:val="008D4F32"/>
    <w:rsid w:val="008D4F79"/>
    <w:rsid w:val="008D5098"/>
    <w:rsid w:val="008D5261"/>
    <w:rsid w:val="008D5270"/>
    <w:rsid w:val="008D528A"/>
    <w:rsid w:val="008D53B2"/>
    <w:rsid w:val="008D5413"/>
    <w:rsid w:val="008D55FF"/>
    <w:rsid w:val="008D5670"/>
    <w:rsid w:val="008D56CA"/>
    <w:rsid w:val="008D57A4"/>
    <w:rsid w:val="008D57C2"/>
    <w:rsid w:val="008D5CAF"/>
    <w:rsid w:val="008D5D11"/>
    <w:rsid w:val="008D5FA4"/>
    <w:rsid w:val="008D6100"/>
    <w:rsid w:val="008D63BC"/>
    <w:rsid w:val="008D640F"/>
    <w:rsid w:val="008D649D"/>
    <w:rsid w:val="008D64F3"/>
    <w:rsid w:val="008D657A"/>
    <w:rsid w:val="008D68E4"/>
    <w:rsid w:val="008D690B"/>
    <w:rsid w:val="008D6EFC"/>
    <w:rsid w:val="008D6F26"/>
    <w:rsid w:val="008D6F7E"/>
    <w:rsid w:val="008D710B"/>
    <w:rsid w:val="008D73A5"/>
    <w:rsid w:val="008D754F"/>
    <w:rsid w:val="008D75B9"/>
    <w:rsid w:val="008D7904"/>
    <w:rsid w:val="008D7978"/>
    <w:rsid w:val="008D7A22"/>
    <w:rsid w:val="008D7A80"/>
    <w:rsid w:val="008D7A92"/>
    <w:rsid w:val="008D7A9D"/>
    <w:rsid w:val="008D7BDC"/>
    <w:rsid w:val="008D7D1F"/>
    <w:rsid w:val="008D7D51"/>
    <w:rsid w:val="008D7D65"/>
    <w:rsid w:val="008D7D8E"/>
    <w:rsid w:val="008D7EBF"/>
    <w:rsid w:val="008D7F4E"/>
    <w:rsid w:val="008E038C"/>
    <w:rsid w:val="008E03E7"/>
    <w:rsid w:val="008E0491"/>
    <w:rsid w:val="008E04D6"/>
    <w:rsid w:val="008E0534"/>
    <w:rsid w:val="008E0596"/>
    <w:rsid w:val="008E0823"/>
    <w:rsid w:val="008E0A41"/>
    <w:rsid w:val="008E0B7F"/>
    <w:rsid w:val="008E0FAB"/>
    <w:rsid w:val="008E0FDE"/>
    <w:rsid w:val="008E11AD"/>
    <w:rsid w:val="008E1234"/>
    <w:rsid w:val="008E1244"/>
    <w:rsid w:val="008E125F"/>
    <w:rsid w:val="008E12EB"/>
    <w:rsid w:val="008E1308"/>
    <w:rsid w:val="008E1388"/>
    <w:rsid w:val="008E141A"/>
    <w:rsid w:val="008E14CA"/>
    <w:rsid w:val="008E14ED"/>
    <w:rsid w:val="008E1557"/>
    <w:rsid w:val="008E155D"/>
    <w:rsid w:val="008E157D"/>
    <w:rsid w:val="008E1866"/>
    <w:rsid w:val="008E188B"/>
    <w:rsid w:val="008E1B83"/>
    <w:rsid w:val="008E1C2A"/>
    <w:rsid w:val="008E1C69"/>
    <w:rsid w:val="008E1D35"/>
    <w:rsid w:val="008E1D39"/>
    <w:rsid w:val="008E1D42"/>
    <w:rsid w:val="008E1DA7"/>
    <w:rsid w:val="008E1E0C"/>
    <w:rsid w:val="008E1E14"/>
    <w:rsid w:val="008E1FB6"/>
    <w:rsid w:val="008E2031"/>
    <w:rsid w:val="008E22EF"/>
    <w:rsid w:val="008E232D"/>
    <w:rsid w:val="008E2447"/>
    <w:rsid w:val="008E2515"/>
    <w:rsid w:val="008E285F"/>
    <w:rsid w:val="008E28BF"/>
    <w:rsid w:val="008E2923"/>
    <w:rsid w:val="008E2A8F"/>
    <w:rsid w:val="008E2AAD"/>
    <w:rsid w:val="008E2B4C"/>
    <w:rsid w:val="008E2B89"/>
    <w:rsid w:val="008E2CB6"/>
    <w:rsid w:val="008E2D7B"/>
    <w:rsid w:val="008E2DE1"/>
    <w:rsid w:val="008E2E4B"/>
    <w:rsid w:val="008E2F35"/>
    <w:rsid w:val="008E2FB0"/>
    <w:rsid w:val="008E2FF3"/>
    <w:rsid w:val="008E33B7"/>
    <w:rsid w:val="008E34A4"/>
    <w:rsid w:val="008E3753"/>
    <w:rsid w:val="008E37D7"/>
    <w:rsid w:val="008E3835"/>
    <w:rsid w:val="008E3844"/>
    <w:rsid w:val="008E38BF"/>
    <w:rsid w:val="008E3A19"/>
    <w:rsid w:val="008E3A7A"/>
    <w:rsid w:val="008E3A9C"/>
    <w:rsid w:val="008E3B1A"/>
    <w:rsid w:val="008E3CC9"/>
    <w:rsid w:val="008E3E8B"/>
    <w:rsid w:val="008E400B"/>
    <w:rsid w:val="008E40DB"/>
    <w:rsid w:val="008E411F"/>
    <w:rsid w:val="008E419E"/>
    <w:rsid w:val="008E42C6"/>
    <w:rsid w:val="008E4393"/>
    <w:rsid w:val="008E4436"/>
    <w:rsid w:val="008E45BF"/>
    <w:rsid w:val="008E4610"/>
    <w:rsid w:val="008E46FA"/>
    <w:rsid w:val="008E47DC"/>
    <w:rsid w:val="008E47E3"/>
    <w:rsid w:val="008E491B"/>
    <w:rsid w:val="008E4C0B"/>
    <w:rsid w:val="008E4CCD"/>
    <w:rsid w:val="008E4F4F"/>
    <w:rsid w:val="008E5171"/>
    <w:rsid w:val="008E52AC"/>
    <w:rsid w:val="008E5494"/>
    <w:rsid w:val="008E54FA"/>
    <w:rsid w:val="008E5523"/>
    <w:rsid w:val="008E55BA"/>
    <w:rsid w:val="008E55BD"/>
    <w:rsid w:val="008E589B"/>
    <w:rsid w:val="008E5959"/>
    <w:rsid w:val="008E59AE"/>
    <w:rsid w:val="008E5A4A"/>
    <w:rsid w:val="008E5AAB"/>
    <w:rsid w:val="008E5AC3"/>
    <w:rsid w:val="008E5B3A"/>
    <w:rsid w:val="008E5F24"/>
    <w:rsid w:val="008E5F92"/>
    <w:rsid w:val="008E5FDC"/>
    <w:rsid w:val="008E6075"/>
    <w:rsid w:val="008E6078"/>
    <w:rsid w:val="008E608B"/>
    <w:rsid w:val="008E6106"/>
    <w:rsid w:val="008E623E"/>
    <w:rsid w:val="008E6484"/>
    <w:rsid w:val="008E65C9"/>
    <w:rsid w:val="008E6813"/>
    <w:rsid w:val="008E6828"/>
    <w:rsid w:val="008E6840"/>
    <w:rsid w:val="008E68D0"/>
    <w:rsid w:val="008E6CE2"/>
    <w:rsid w:val="008E6F2D"/>
    <w:rsid w:val="008E70B7"/>
    <w:rsid w:val="008E70B9"/>
    <w:rsid w:val="008E70D9"/>
    <w:rsid w:val="008E72A5"/>
    <w:rsid w:val="008E749E"/>
    <w:rsid w:val="008E76AA"/>
    <w:rsid w:val="008E7782"/>
    <w:rsid w:val="008E77AF"/>
    <w:rsid w:val="008E7883"/>
    <w:rsid w:val="008E7C31"/>
    <w:rsid w:val="008E7CC2"/>
    <w:rsid w:val="008E7D15"/>
    <w:rsid w:val="008E7DE2"/>
    <w:rsid w:val="008E7E36"/>
    <w:rsid w:val="008E7EFE"/>
    <w:rsid w:val="008E7F60"/>
    <w:rsid w:val="008E7F83"/>
    <w:rsid w:val="008F0029"/>
    <w:rsid w:val="008F0055"/>
    <w:rsid w:val="008F00EF"/>
    <w:rsid w:val="008F0101"/>
    <w:rsid w:val="008F0265"/>
    <w:rsid w:val="008F0316"/>
    <w:rsid w:val="008F0654"/>
    <w:rsid w:val="008F07ED"/>
    <w:rsid w:val="008F0876"/>
    <w:rsid w:val="008F093C"/>
    <w:rsid w:val="008F0BEE"/>
    <w:rsid w:val="008F0D5F"/>
    <w:rsid w:val="008F0E77"/>
    <w:rsid w:val="008F0F40"/>
    <w:rsid w:val="008F113D"/>
    <w:rsid w:val="008F11B8"/>
    <w:rsid w:val="008F13F3"/>
    <w:rsid w:val="008F1425"/>
    <w:rsid w:val="008F1461"/>
    <w:rsid w:val="008F1493"/>
    <w:rsid w:val="008F14B3"/>
    <w:rsid w:val="008F1553"/>
    <w:rsid w:val="008F16B2"/>
    <w:rsid w:val="008F17A7"/>
    <w:rsid w:val="008F181D"/>
    <w:rsid w:val="008F1915"/>
    <w:rsid w:val="008F197A"/>
    <w:rsid w:val="008F1A06"/>
    <w:rsid w:val="008F1B54"/>
    <w:rsid w:val="008F1B5F"/>
    <w:rsid w:val="008F1BBE"/>
    <w:rsid w:val="008F1CB7"/>
    <w:rsid w:val="008F1D9A"/>
    <w:rsid w:val="008F1E0E"/>
    <w:rsid w:val="008F1E31"/>
    <w:rsid w:val="008F1E91"/>
    <w:rsid w:val="008F2139"/>
    <w:rsid w:val="008F22DF"/>
    <w:rsid w:val="008F246D"/>
    <w:rsid w:val="008F24D1"/>
    <w:rsid w:val="008F24D9"/>
    <w:rsid w:val="008F266F"/>
    <w:rsid w:val="008F27F5"/>
    <w:rsid w:val="008F2AB5"/>
    <w:rsid w:val="008F2AF7"/>
    <w:rsid w:val="008F2C23"/>
    <w:rsid w:val="008F2D69"/>
    <w:rsid w:val="008F2F17"/>
    <w:rsid w:val="008F3203"/>
    <w:rsid w:val="008F32C6"/>
    <w:rsid w:val="008F333B"/>
    <w:rsid w:val="008F3505"/>
    <w:rsid w:val="008F368D"/>
    <w:rsid w:val="008F36F3"/>
    <w:rsid w:val="008F37A0"/>
    <w:rsid w:val="008F3827"/>
    <w:rsid w:val="008F38D7"/>
    <w:rsid w:val="008F39AC"/>
    <w:rsid w:val="008F3B82"/>
    <w:rsid w:val="008F3DB4"/>
    <w:rsid w:val="008F4102"/>
    <w:rsid w:val="008F4175"/>
    <w:rsid w:val="008F421F"/>
    <w:rsid w:val="008F427F"/>
    <w:rsid w:val="008F4330"/>
    <w:rsid w:val="008F4370"/>
    <w:rsid w:val="008F4427"/>
    <w:rsid w:val="008F4599"/>
    <w:rsid w:val="008F45A2"/>
    <w:rsid w:val="008F45AB"/>
    <w:rsid w:val="008F45F7"/>
    <w:rsid w:val="008F45FD"/>
    <w:rsid w:val="008F4636"/>
    <w:rsid w:val="008F488A"/>
    <w:rsid w:val="008F491A"/>
    <w:rsid w:val="008F49CE"/>
    <w:rsid w:val="008F4A2A"/>
    <w:rsid w:val="008F4A65"/>
    <w:rsid w:val="008F4BA7"/>
    <w:rsid w:val="008F4C38"/>
    <w:rsid w:val="008F4E77"/>
    <w:rsid w:val="008F4E89"/>
    <w:rsid w:val="008F4EB0"/>
    <w:rsid w:val="008F4F9D"/>
    <w:rsid w:val="008F5122"/>
    <w:rsid w:val="008F521A"/>
    <w:rsid w:val="008F5355"/>
    <w:rsid w:val="008F557B"/>
    <w:rsid w:val="008F55BB"/>
    <w:rsid w:val="008F55F6"/>
    <w:rsid w:val="008F5740"/>
    <w:rsid w:val="008F57DB"/>
    <w:rsid w:val="008F5817"/>
    <w:rsid w:val="008F5A47"/>
    <w:rsid w:val="008F5AAC"/>
    <w:rsid w:val="008F5B99"/>
    <w:rsid w:val="008F5D2C"/>
    <w:rsid w:val="008F5E09"/>
    <w:rsid w:val="008F5E18"/>
    <w:rsid w:val="008F5F23"/>
    <w:rsid w:val="008F5F47"/>
    <w:rsid w:val="008F6086"/>
    <w:rsid w:val="008F60D7"/>
    <w:rsid w:val="008F62E5"/>
    <w:rsid w:val="008F6377"/>
    <w:rsid w:val="008F64C2"/>
    <w:rsid w:val="008F6948"/>
    <w:rsid w:val="008F6A1D"/>
    <w:rsid w:val="008F6AF7"/>
    <w:rsid w:val="008F6BAF"/>
    <w:rsid w:val="008F6D7C"/>
    <w:rsid w:val="008F6DB4"/>
    <w:rsid w:val="008F6E1D"/>
    <w:rsid w:val="008F6ECB"/>
    <w:rsid w:val="008F7000"/>
    <w:rsid w:val="008F7033"/>
    <w:rsid w:val="008F7040"/>
    <w:rsid w:val="008F70B3"/>
    <w:rsid w:val="008F7108"/>
    <w:rsid w:val="008F72CA"/>
    <w:rsid w:val="008F7543"/>
    <w:rsid w:val="008F7848"/>
    <w:rsid w:val="008F786B"/>
    <w:rsid w:val="008F78BA"/>
    <w:rsid w:val="008F796A"/>
    <w:rsid w:val="008F7A7C"/>
    <w:rsid w:val="008F7B49"/>
    <w:rsid w:val="008F7E53"/>
    <w:rsid w:val="008F7EC4"/>
    <w:rsid w:val="008F7F2E"/>
    <w:rsid w:val="008F7FBA"/>
    <w:rsid w:val="008FF824"/>
    <w:rsid w:val="0090011E"/>
    <w:rsid w:val="0090018C"/>
    <w:rsid w:val="00900224"/>
    <w:rsid w:val="0090060B"/>
    <w:rsid w:val="009006E0"/>
    <w:rsid w:val="00900C09"/>
    <w:rsid w:val="00900C7B"/>
    <w:rsid w:val="00900D38"/>
    <w:rsid w:val="00900EC0"/>
    <w:rsid w:val="00900FA3"/>
    <w:rsid w:val="0090105C"/>
    <w:rsid w:val="009010E4"/>
    <w:rsid w:val="00901121"/>
    <w:rsid w:val="009012D7"/>
    <w:rsid w:val="009012FF"/>
    <w:rsid w:val="00901300"/>
    <w:rsid w:val="00901397"/>
    <w:rsid w:val="009013C1"/>
    <w:rsid w:val="0090140A"/>
    <w:rsid w:val="00901466"/>
    <w:rsid w:val="009015B6"/>
    <w:rsid w:val="009016F0"/>
    <w:rsid w:val="0090176F"/>
    <w:rsid w:val="0090189F"/>
    <w:rsid w:val="009019FA"/>
    <w:rsid w:val="00901AE9"/>
    <w:rsid w:val="00901B34"/>
    <w:rsid w:val="00901B69"/>
    <w:rsid w:val="00901B97"/>
    <w:rsid w:val="00901D5A"/>
    <w:rsid w:val="009022DC"/>
    <w:rsid w:val="00902343"/>
    <w:rsid w:val="009023B6"/>
    <w:rsid w:val="009023D2"/>
    <w:rsid w:val="00902445"/>
    <w:rsid w:val="00902692"/>
    <w:rsid w:val="009027CC"/>
    <w:rsid w:val="0090293E"/>
    <w:rsid w:val="0090298A"/>
    <w:rsid w:val="009029A5"/>
    <w:rsid w:val="009029C6"/>
    <w:rsid w:val="00902A12"/>
    <w:rsid w:val="00902B28"/>
    <w:rsid w:val="00902CF9"/>
    <w:rsid w:val="00902D33"/>
    <w:rsid w:val="00902DF5"/>
    <w:rsid w:val="00902ECB"/>
    <w:rsid w:val="0090311C"/>
    <w:rsid w:val="0090328D"/>
    <w:rsid w:val="009032E9"/>
    <w:rsid w:val="009033F0"/>
    <w:rsid w:val="009033F6"/>
    <w:rsid w:val="00903572"/>
    <w:rsid w:val="00903680"/>
    <w:rsid w:val="009038AD"/>
    <w:rsid w:val="00903985"/>
    <w:rsid w:val="0090398B"/>
    <w:rsid w:val="00903AEA"/>
    <w:rsid w:val="00903B42"/>
    <w:rsid w:val="00903DCE"/>
    <w:rsid w:val="00903E3C"/>
    <w:rsid w:val="00903EC1"/>
    <w:rsid w:val="00903F00"/>
    <w:rsid w:val="00904062"/>
    <w:rsid w:val="009040BD"/>
    <w:rsid w:val="0090413F"/>
    <w:rsid w:val="0090414E"/>
    <w:rsid w:val="0090439B"/>
    <w:rsid w:val="00904481"/>
    <w:rsid w:val="009044B9"/>
    <w:rsid w:val="0090455C"/>
    <w:rsid w:val="00904650"/>
    <w:rsid w:val="00904757"/>
    <w:rsid w:val="009047B2"/>
    <w:rsid w:val="00904859"/>
    <w:rsid w:val="00904875"/>
    <w:rsid w:val="009049A5"/>
    <w:rsid w:val="00904C65"/>
    <w:rsid w:val="00904CFA"/>
    <w:rsid w:val="00904E9A"/>
    <w:rsid w:val="00904EDD"/>
    <w:rsid w:val="00904F4B"/>
    <w:rsid w:val="00904FFF"/>
    <w:rsid w:val="00905064"/>
    <w:rsid w:val="009050AB"/>
    <w:rsid w:val="009050E6"/>
    <w:rsid w:val="00905276"/>
    <w:rsid w:val="009052BA"/>
    <w:rsid w:val="009054C9"/>
    <w:rsid w:val="00905547"/>
    <w:rsid w:val="009057FC"/>
    <w:rsid w:val="00905895"/>
    <w:rsid w:val="009058BF"/>
    <w:rsid w:val="009059F3"/>
    <w:rsid w:val="009059F8"/>
    <w:rsid w:val="00905A08"/>
    <w:rsid w:val="00905B32"/>
    <w:rsid w:val="00905B8E"/>
    <w:rsid w:val="00905D69"/>
    <w:rsid w:val="00905E93"/>
    <w:rsid w:val="00905EBF"/>
    <w:rsid w:val="00905EFD"/>
    <w:rsid w:val="00905F2D"/>
    <w:rsid w:val="00905F4E"/>
    <w:rsid w:val="009061F7"/>
    <w:rsid w:val="00906292"/>
    <w:rsid w:val="00906353"/>
    <w:rsid w:val="00906378"/>
    <w:rsid w:val="0090639E"/>
    <w:rsid w:val="00906709"/>
    <w:rsid w:val="0090677A"/>
    <w:rsid w:val="009069C0"/>
    <w:rsid w:val="00906B41"/>
    <w:rsid w:val="00906CE8"/>
    <w:rsid w:val="00906E55"/>
    <w:rsid w:val="00906E9E"/>
    <w:rsid w:val="00906F24"/>
    <w:rsid w:val="00906F5B"/>
    <w:rsid w:val="009070F9"/>
    <w:rsid w:val="009071FA"/>
    <w:rsid w:val="009071FB"/>
    <w:rsid w:val="0090722E"/>
    <w:rsid w:val="0090750A"/>
    <w:rsid w:val="00907562"/>
    <w:rsid w:val="00907732"/>
    <w:rsid w:val="009078FC"/>
    <w:rsid w:val="00907908"/>
    <w:rsid w:val="00907922"/>
    <w:rsid w:val="00907939"/>
    <w:rsid w:val="0090799A"/>
    <w:rsid w:val="00907D69"/>
    <w:rsid w:val="00907F48"/>
    <w:rsid w:val="00907F80"/>
    <w:rsid w:val="00907F9D"/>
    <w:rsid w:val="00907FE0"/>
    <w:rsid w:val="009100C3"/>
    <w:rsid w:val="00910358"/>
    <w:rsid w:val="00910379"/>
    <w:rsid w:val="0091039D"/>
    <w:rsid w:val="009103FB"/>
    <w:rsid w:val="00910466"/>
    <w:rsid w:val="00910506"/>
    <w:rsid w:val="0091052B"/>
    <w:rsid w:val="009105E9"/>
    <w:rsid w:val="009107BD"/>
    <w:rsid w:val="009107C2"/>
    <w:rsid w:val="00910A0A"/>
    <w:rsid w:val="00910B50"/>
    <w:rsid w:val="00910BE1"/>
    <w:rsid w:val="00911074"/>
    <w:rsid w:val="0091119D"/>
    <w:rsid w:val="00911276"/>
    <w:rsid w:val="009114BA"/>
    <w:rsid w:val="00911834"/>
    <w:rsid w:val="00911855"/>
    <w:rsid w:val="009118D7"/>
    <w:rsid w:val="009118F4"/>
    <w:rsid w:val="0091199D"/>
    <w:rsid w:val="00911F6F"/>
    <w:rsid w:val="00912063"/>
    <w:rsid w:val="00912195"/>
    <w:rsid w:val="0091219B"/>
    <w:rsid w:val="00912244"/>
    <w:rsid w:val="00912296"/>
    <w:rsid w:val="00912483"/>
    <w:rsid w:val="009124C7"/>
    <w:rsid w:val="009125CB"/>
    <w:rsid w:val="0091271E"/>
    <w:rsid w:val="0091278F"/>
    <w:rsid w:val="009127A8"/>
    <w:rsid w:val="009127E0"/>
    <w:rsid w:val="009127E7"/>
    <w:rsid w:val="009128B5"/>
    <w:rsid w:val="009128B7"/>
    <w:rsid w:val="0091299B"/>
    <w:rsid w:val="00912B1C"/>
    <w:rsid w:val="00912D32"/>
    <w:rsid w:val="00912DC8"/>
    <w:rsid w:val="00912E29"/>
    <w:rsid w:val="00912E58"/>
    <w:rsid w:val="0091300E"/>
    <w:rsid w:val="0091315D"/>
    <w:rsid w:val="00913174"/>
    <w:rsid w:val="009131F2"/>
    <w:rsid w:val="00913296"/>
    <w:rsid w:val="0091329B"/>
    <w:rsid w:val="00913407"/>
    <w:rsid w:val="00913453"/>
    <w:rsid w:val="0091350A"/>
    <w:rsid w:val="009135CD"/>
    <w:rsid w:val="00913731"/>
    <w:rsid w:val="009137C4"/>
    <w:rsid w:val="009137FE"/>
    <w:rsid w:val="00913821"/>
    <w:rsid w:val="009139D2"/>
    <w:rsid w:val="009139FB"/>
    <w:rsid w:val="00913B2C"/>
    <w:rsid w:val="00913C31"/>
    <w:rsid w:val="00913C78"/>
    <w:rsid w:val="009140A1"/>
    <w:rsid w:val="0091415A"/>
    <w:rsid w:val="009141B5"/>
    <w:rsid w:val="00914387"/>
    <w:rsid w:val="00914546"/>
    <w:rsid w:val="0091464A"/>
    <w:rsid w:val="00914A36"/>
    <w:rsid w:val="00914AB1"/>
    <w:rsid w:val="00914AC7"/>
    <w:rsid w:val="00914C9E"/>
    <w:rsid w:val="00914DF5"/>
    <w:rsid w:val="00914E94"/>
    <w:rsid w:val="00914F30"/>
    <w:rsid w:val="0091501A"/>
    <w:rsid w:val="00915055"/>
    <w:rsid w:val="00915138"/>
    <w:rsid w:val="009151C7"/>
    <w:rsid w:val="0091535D"/>
    <w:rsid w:val="0091594F"/>
    <w:rsid w:val="00915968"/>
    <w:rsid w:val="00915A07"/>
    <w:rsid w:val="00915A3E"/>
    <w:rsid w:val="00915A5C"/>
    <w:rsid w:val="00915CF2"/>
    <w:rsid w:val="00915E11"/>
    <w:rsid w:val="00915F74"/>
    <w:rsid w:val="00915F81"/>
    <w:rsid w:val="009160EC"/>
    <w:rsid w:val="009161BE"/>
    <w:rsid w:val="009162A5"/>
    <w:rsid w:val="00916313"/>
    <w:rsid w:val="00916376"/>
    <w:rsid w:val="0091648C"/>
    <w:rsid w:val="009164E4"/>
    <w:rsid w:val="00916620"/>
    <w:rsid w:val="00916630"/>
    <w:rsid w:val="009166FC"/>
    <w:rsid w:val="0091693F"/>
    <w:rsid w:val="00916A17"/>
    <w:rsid w:val="00916CC0"/>
    <w:rsid w:val="00916E45"/>
    <w:rsid w:val="009170FB"/>
    <w:rsid w:val="0091713F"/>
    <w:rsid w:val="0091776A"/>
    <w:rsid w:val="009177CD"/>
    <w:rsid w:val="0091780D"/>
    <w:rsid w:val="00917BFF"/>
    <w:rsid w:val="00917CB3"/>
    <w:rsid w:val="00917CF3"/>
    <w:rsid w:val="00917DAC"/>
    <w:rsid w:val="00917FE8"/>
    <w:rsid w:val="00920241"/>
    <w:rsid w:val="00920335"/>
    <w:rsid w:val="0092034F"/>
    <w:rsid w:val="009203D7"/>
    <w:rsid w:val="009205A6"/>
    <w:rsid w:val="00920690"/>
    <w:rsid w:val="009206DF"/>
    <w:rsid w:val="009207FA"/>
    <w:rsid w:val="00920815"/>
    <w:rsid w:val="00920868"/>
    <w:rsid w:val="0092098A"/>
    <w:rsid w:val="00920A4A"/>
    <w:rsid w:val="00920C1F"/>
    <w:rsid w:val="00920C2B"/>
    <w:rsid w:val="00920DD1"/>
    <w:rsid w:val="00920E00"/>
    <w:rsid w:val="00920E30"/>
    <w:rsid w:val="00921114"/>
    <w:rsid w:val="009211BA"/>
    <w:rsid w:val="009211E7"/>
    <w:rsid w:val="0092141F"/>
    <w:rsid w:val="009214B2"/>
    <w:rsid w:val="009215C4"/>
    <w:rsid w:val="0092168F"/>
    <w:rsid w:val="00921717"/>
    <w:rsid w:val="00921741"/>
    <w:rsid w:val="00921794"/>
    <w:rsid w:val="009217D9"/>
    <w:rsid w:val="00921895"/>
    <w:rsid w:val="009218B0"/>
    <w:rsid w:val="00921B3A"/>
    <w:rsid w:val="00922007"/>
    <w:rsid w:val="009220D8"/>
    <w:rsid w:val="009223F2"/>
    <w:rsid w:val="009229DB"/>
    <w:rsid w:val="00922A0E"/>
    <w:rsid w:val="00922A6F"/>
    <w:rsid w:val="00922A8F"/>
    <w:rsid w:val="00922ACF"/>
    <w:rsid w:val="00922B14"/>
    <w:rsid w:val="00922C18"/>
    <w:rsid w:val="00922C1B"/>
    <w:rsid w:val="00922C66"/>
    <w:rsid w:val="0092302F"/>
    <w:rsid w:val="0092308C"/>
    <w:rsid w:val="009230A4"/>
    <w:rsid w:val="009230C3"/>
    <w:rsid w:val="0092319B"/>
    <w:rsid w:val="0092328B"/>
    <w:rsid w:val="009232B5"/>
    <w:rsid w:val="0092346E"/>
    <w:rsid w:val="00923874"/>
    <w:rsid w:val="00923A38"/>
    <w:rsid w:val="00923B08"/>
    <w:rsid w:val="00923B13"/>
    <w:rsid w:val="00923C1F"/>
    <w:rsid w:val="00923D21"/>
    <w:rsid w:val="00923F33"/>
    <w:rsid w:val="00923F84"/>
    <w:rsid w:val="00923FA6"/>
    <w:rsid w:val="009241BF"/>
    <w:rsid w:val="00924328"/>
    <w:rsid w:val="0092436D"/>
    <w:rsid w:val="00924609"/>
    <w:rsid w:val="009248A1"/>
    <w:rsid w:val="00924972"/>
    <w:rsid w:val="0092498B"/>
    <w:rsid w:val="00924AE4"/>
    <w:rsid w:val="00924B49"/>
    <w:rsid w:val="00924CE7"/>
    <w:rsid w:val="00924D26"/>
    <w:rsid w:val="00924F98"/>
    <w:rsid w:val="0092502A"/>
    <w:rsid w:val="0092503A"/>
    <w:rsid w:val="0092507B"/>
    <w:rsid w:val="009250B2"/>
    <w:rsid w:val="009253A4"/>
    <w:rsid w:val="0092545C"/>
    <w:rsid w:val="009255C6"/>
    <w:rsid w:val="00925883"/>
    <w:rsid w:val="009258AF"/>
    <w:rsid w:val="009258F1"/>
    <w:rsid w:val="0092594B"/>
    <w:rsid w:val="00925B63"/>
    <w:rsid w:val="00925CBA"/>
    <w:rsid w:val="00925D04"/>
    <w:rsid w:val="00925D67"/>
    <w:rsid w:val="00925E3E"/>
    <w:rsid w:val="00925E50"/>
    <w:rsid w:val="00925FDA"/>
    <w:rsid w:val="0092604D"/>
    <w:rsid w:val="009260C2"/>
    <w:rsid w:val="00926150"/>
    <w:rsid w:val="0092635A"/>
    <w:rsid w:val="009263D5"/>
    <w:rsid w:val="0092641B"/>
    <w:rsid w:val="00926590"/>
    <w:rsid w:val="009266CD"/>
    <w:rsid w:val="009266DB"/>
    <w:rsid w:val="009266F0"/>
    <w:rsid w:val="0092673F"/>
    <w:rsid w:val="009267AC"/>
    <w:rsid w:val="009269BF"/>
    <w:rsid w:val="00926B44"/>
    <w:rsid w:val="00926CCA"/>
    <w:rsid w:val="00926D08"/>
    <w:rsid w:val="00926DA1"/>
    <w:rsid w:val="00926F8F"/>
    <w:rsid w:val="00926FFB"/>
    <w:rsid w:val="0092708D"/>
    <w:rsid w:val="009271A5"/>
    <w:rsid w:val="00927379"/>
    <w:rsid w:val="00927633"/>
    <w:rsid w:val="009279AD"/>
    <w:rsid w:val="00927B97"/>
    <w:rsid w:val="00927D3F"/>
    <w:rsid w:val="00927D67"/>
    <w:rsid w:val="00927DD5"/>
    <w:rsid w:val="00927F88"/>
    <w:rsid w:val="009300C4"/>
    <w:rsid w:val="00930198"/>
    <w:rsid w:val="00930373"/>
    <w:rsid w:val="009303D4"/>
    <w:rsid w:val="009304DD"/>
    <w:rsid w:val="009304E9"/>
    <w:rsid w:val="00930528"/>
    <w:rsid w:val="0093059F"/>
    <w:rsid w:val="0093062E"/>
    <w:rsid w:val="00930779"/>
    <w:rsid w:val="009308CF"/>
    <w:rsid w:val="00930903"/>
    <w:rsid w:val="00930940"/>
    <w:rsid w:val="00930993"/>
    <w:rsid w:val="00930B31"/>
    <w:rsid w:val="00930B78"/>
    <w:rsid w:val="00930CE3"/>
    <w:rsid w:val="00930EB8"/>
    <w:rsid w:val="00931004"/>
    <w:rsid w:val="009310EA"/>
    <w:rsid w:val="009311ED"/>
    <w:rsid w:val="009311F4"/>
    <w:rsid w:val="00931395"/>
    <w:rsid w:val="009315F1"/>
    <w:rsid w:val="009315FC"/>
    <w:rsid w:val="00931622"/>
    <w:rsid w:val="009319D3"/>
    <w:rsid w:val="009319F1"/>
    <w:rsid w:val="00931A09"/>
    <w:rsid w:val="00931A2B"/>
    <w:rsid w:val="00931A3A"/>
    <w:rsid w:val="00931AC1"/>
    <w:rsid w:val="00931AE2"/>
    <w:rsid w:val="00931C56"/>
    <w:rsid w:val="00931C8F"/>
    <w:rsid w:val="00931CE7"/>
    <w:rsid w:val="00931D0E"/>
    <w:rsid w:val="00931D83"/>
    <w:rsid w:val="00931E32"/>
    <w:rsid w:val="00931F13"/>
    <w:rsid w:val="00932040"/>
    <w:rsid w:val="009323AA"/>
    <w:rsid w:val="0093247C"/>
    <w:rsid w:val="009324BD"/>
    <w:rsid w:val="00932503"/>
    <w:rsid w:val="009325F6"/>
    <w:rsid w:val="00932736"/>
    <w:rsid w:val="009328DB"/>
    <w:rsid w:val="0093293C"/>
    <w:rsid w:val="00932A29"/>
    <w:rsid w:val="00932A6C"/>
    <w:rsid w:val="00932A89"/>
    <w:rsid w:val="00932AC4"/>
    <w:rsid w:val="00932C69"/>
    <w:rsid w:val="00932CFB"/>
    <w:rsid w:val="00932D9F"/>
    <w:rsid w:val="00932EAC"/>
    <w:rsid w:val="00932ECD"/>
    <w:rsid w:val="009330CD"/>
    <w:rsid w:val="00933147"/>
    <w:rsid w:val="00933165"/>
    <w:rsid w:val="00933338"/>
    <w:rsid w:val="0093338C"/>
    <w:rsid w:val="00933486"/>
    <w:rsid w:val="00933543"/>
    <w:rsid w:val="00933B05"/>
    <w:rsid w:val="00933B78"/>
    <w:rsid w:val="00933C5A"/>
    <w:rsid w:val="00933C81"/>
    <w:rsid w:val="00933CCD"/>
    <w:rsid w:val="00933D69"/>
    <w:rsid w:val="00933DA9"/>
    <w:rsid w:val="00933DD7"/>
    <w:rsid w:val="00933FD4"/>
    <w:rsid w:val="00934013"/>
    <w:rsid w:val="00934041"/>
    <w:rsid w:val="009340B5"/>
    <w:rsid w:val="009340EB"/>
    <w:rsid w:val="009341E3"/>
    <w:rsid w:val="00934266"/>
    <w:rsid w:val="009342EF"/>
    <w:rsid w:val="00934330"/>
    <w:rsid w:val="00934423"/>
    <w:rsid w:val="0093450B"/>
    <w:rsid w:val="0093452C"/>
    <w:rsid w:val="00934547"/>
    <w:rsid w:val="00934621"/>
    <w:rsid w:val="00934704"/>
    <w:rsid w:val="0093472C"/>
    <w:rsid w:val="009347C2"/>
    <w:rsid w:val="00934A46"/>
    <w:rsid w:val="00934CAF"/>
    <w:rsid w:val="00935075"/>
    <w:rsid w:val="009350D7"/>
    <w:rsid w:val="0093511D"/>
    <w:rsid w:val="00935181"/>
    <w:rsid w:val="00935198"/>
    <w:rsid w:val="009351BF"/>
    <w:rsid w:val="0093527E"/>
    <w:rsid w:val="009352EB"/>
    <w:rsid w:val="009353BE"/>
    <w:rsid w:val="00935466"/>
    <w:rsid w:val="009354D1"/>
    <w:rsid w:val="009354FB"/>
    <w:rsid w:val="00935565"/>
    <w:rsid w:val="009355F0"/>
    <w:rsid w:val="009356A8"/>
    <w:rsid w:val="009356FF"/>
    <w:rsid w:val="009358C2"/>
    <w:rsid w:val="00935A81"/>
    <w:rsid w:val="00935B45"/>
    <w:rsid w:val="00935C1A"/>
    <w:rsid w:val="00935D61"/>
    <w:rsid w:val="00935D76"/>
    <w:rsid w:val="00935E16"/>
    <w:rsid w:val="00935F20"/>
    <w:rsid w:val="00936110"/>
    <w:rsid w:val="009364D1"/>
    <w:rsid w:val="009365B2"/>
    <w:rsid w:val="00936644"/>
    <w:rsid w:val="0093680B"/>
    <w:rsid w:val="0093690D"/>
    <w:rsid w:val="009369B4"/>
    <w:rsid w:val="00936B25"/>
    <w:rsid w:val="00936C29"/>
    <w:rsid w:val="00936C6C"/>
    <w:rsid w:val="00936F2F"/>
    <w:rsid w:val="00936FFC"/>
    <w:rsid w:val="0093718E"/>
    <w:rsid w:val="00937250"/>
    <w:rsid w:val="009372AD"/>
    <w:rsid w:val="009372B7"/>
    <w:rsid w:val="009373C4"/>
    <w:rsid w:val="009373E0"/>
    <w:rsid w:val="00937597"/>
    <w:rsid w:val="0093760C"/>
    <w:rsid w:val="009378A7"/>
    <w:rsid w:val="00937911"/>
    <w:rsid w:val="00937A1F"/>
    <w:rsid w:val="00937A44"/>
    <w:rsid w:val="00937A8A"/>
    <w:rsid w:val="00937C75"/>
    <w:rsid w:val="00937DB5"/>
    <w:rsid w:val="00937E2C"/>
    <w:rsid w:val="00937EF9"/>
    <w:rsid w:val="00937EFE"/>
    <w:rsid w:val="00937F01"/>
    <w:rsid w:val="00937F54"/>
    <w:rsid w:val="009400E9"/>
    <w:rsid w:val="0094026A"/>
    <w:rsid w:val="00940467"/>
    <w:rsid w:val="009404BB"/>
    <w:rsid w:val="00940798"/>
    <w:rsid w:val="009407B6"/>
    <w:rsid w:val="00940975"/>
    <w:rsid w:val="00940BCA"/>
    <w:rsid w:val="00940F68"/>
    <w:rsid w:val="0094103D"/>
    <w:rsid w:val="009410D5"/>
    <w:rsid w:val="0094111D"/>
    <w:rsid w:val="0094121F"/>
    <w:rsid w:val="0094128E"/>
    <w:rsid w:val="00941541"/>
    <w:rsid w:val="009418DB"/>
    <w:rsid w:val="00941A66"/>
    <w:rsid w:val="00941ADF"/>
    <w:rsid w:val="00941B76"/>
    <w:rsid w:val="00941DD0"/>
    <w:rsid w:val="00941FED"/>
    <w:rsid w:val="00942135"/>
    <w:rsid w:val="00942275"/>
    <w:rsid w:val="009422BE"/>
    <w:rsid w:val="00942589"/>
    <w:rsid w:val="00942680"/>
    <w:rsid w:val="00942723"/>
    <w:rsid w:val="009429C9"/>
    <w:rsid w:val="00942AF2"/>
    <w:rsid w:val="00942BA8"/>
    <w:rsid w:val="00942D39"/>
    <w:rsid w:val="00942DA1"/>
    <w:rsid w:val="00943165"/>
    <w:rsid w:val="009431C9"/>
    <w:rsid w:val="009432E6"/>
    <w:rsid w:val="00943363"/>
    <w:rsid w:val="009433DB"/>
    <w:rsid w:val="00943508"/>
    <w:rsid w:val="009435BF"/>
    <w:rsid w:val="009435F6"/>
    <w:rsid w:val="0094362D"/>
    <w:rsid w:val="009436F7"/>
    <w:rsid w:val="00943753"/>
    <w:rsid w:val="00943830"/>
    <w:rsid w:val="009438D9"/>
    <w:rsid w:val="00943A68"/>
    <w:rsid w:val="00943A70"/>
    <w:rsid w:val="00943BBD"/>
    <w:rsid w:val="00943BFD"/>
    <w:rsid w:val="00943CD4"/>
    <w:rsid w:val="00943D23"/>
    <w:rsid w:val="00943D86"/>
    <w:rsid w:val="00943DD6"/>
    <w:rsid w:val="00943E6C"/>
    <w:rsid w:val="00943F1C"/>
    <w:rsid w:val="00943F86"/>
    <w:rsid w:val="00944071"/>
    <w:rsid w:val="009442DB"/>
    <w:rsid w:val="009442E6"/>
    <w:rsid w:val="0094445C"/>
    <w:rsid w:val="00944601"/>
    <w:rsid w:val="00944673"/>
    <w:rsid w:val="009447FD"/>
    <w:rsid w:val="00944950"/>
    <w:rsid w:val="00944AB0"/>
    <w:rsid w:val="00944BB9"/>
    <w:rsid w:val="00944C66"/>
    <w:rsid w:val="00944D6A"/>
    <w:rsid w:val="00944F25"/>
    <w:rsid w:val="0094506A"/>
    <w:rsid w:val="00945084"/>
    <w:rsid w:val="00945131"/>
    <w:rsid w:val="00945149"/>
    <w:rsid w:val="00945164"/>
    <w:rsid w:val="0094532C"/>
    <w:rsid w:val="00945444"/>
    <w:rsid w:val="009454A7"/>
    <w:rsid w:val="009454A8"/>
    <w:rsid w:val="009455F4"/>
    <w:rsid w:val="009456D3"/>
    <w:rsid w:val="00945934"/>
    <w:rsid w:val="009459EB"/>
    <w:rsid w:val="009459FE"/>
    <w:rsid w:val="00945B0A"/>
    <w:rsid w:val="00945B79"/>
    <w:rsid w:val="00945F01"/>
    <w:rsid w:val="00945F29"/>
    <w:rsid w:val="00945F33"/>
    <w:rsid w:val="00946034"/>
    <w:rsid w:val="009464D6"/>
    <w:rsid w:val="00946527"/>
    <w:rsid w:val="0094676D"/>
    <w:rsid w:val="00946782"/>
    <w:rsid w:val="00946799"/>
    <w:rsid w:val="00946823"/>
    <w:rsid w:val="00946919"/>
    <w:rsid w:val="00946968"/>
    <w:rsid w:val="00946C54"/>
    <w:rsid w:val="00946D17"/>
    <w:rsid w:val="00946D53"/>
    <w:rsid w:val="0094701A"/>
    <w:rsid w:val="009470B4"/>
    <w:rsid w:val="009470FF"/>
    <w:rsid w:val="00947126"/>
    <w:rsid w:val="00947268"/>
    <w:rsid w:val="009472BE"/>
    <w:rsid w:val="0094747F"/>
    <w:rsid w:val="00947482"/>
    <w:rsid w:val="009474EF"/>
    <w:rsid w:val="00947500"/>
    <w:rsid w:val="0094757B"/>
    <w:rsid w:val="00947610"/>
    <w:rsid w:val="009477C3"/>
    <w:rsid w:val="00947870"/>
    <w:rsid w:val="00947A19"/>
    <w:rsid w:val="00947A55"/>
    <w:rsid w:val="00947AC7"/>
    <w:rsid w:val="00947AF9"/>
    <w:rsid w:val="00947B27"/>
    <w:rsid w:val="00947D32"/>
    <w:rsid w:val="00947D8C"/>
    <w:rsid w:val="00947DB1"/>
    <w:rsid w:val="00947DD3"/>
    <w:rsid w:val="00947ECB"/>
    <w:rsid w:val="00947FD4"/>
    <w:rsid w:val="00950065"/>
    <w:rsid w:val="00950263"/>
    <w:rsid w:val="009502C2"/>
    <w:rsid w:val="009502FD"/>
    <w:rsid w:val="00950301"/>
    <w:rsid w:val="00950598"/>
    <w:rsid w:val="009505D7"/>
    <w:rsid w:val="00950723"/>
    <w:rsid w:val="009507A6"/>
    <w:rsid w:val="00950845"/>
    <w:rsid w:val="0095093A"/>
    <w:rsid w:val="0095096B"/>
    <w:rsid w:val="00950A34"/>
    <w:rsid w:val="00950B82"/>
    <w:rsid w:val="00950D89"/>
    <w:rsid w:val="00950F46"/>
    <w:rsid w:val="00950FDD"/>
    <w:rsid w:val="009510BE"/>
    <w:rsid w:val="009510CC"/>
    <w:rsid w:val="0095117C"/>
    <w:rsid w:val="0095119F"/>
    <w:rsid w:val="009511EE"/>
    <w:rsid w:val="0095142D"/>
    <w:rsid w:val="009514B2"/>
    <w:rsid w:val="00951539"/>
    <w:rsid w:val="009517B5"/>
    <w:rsid w:val="00951846"/>
    <w:rsid w:val="00951A2B"/>
    <w:rsid w:val="00951B50"/>
    <w:rsid w:val="00951E66"/>
    <w:rsid w:val="00951EF0"/>
    <w:rsid w:val="00951F35"/>
    <w:rsid w:val="00952050"/>
    <w:rsid w:val="00952395"/>
    <w:rsid w:val="009523B4"/>
    <w:rsid w:val="0095257B"/>
    <w:rsid w:val="009526B8"/>
    <w:rsid w:val="009528D6"/>
    <w:rsid w:val="00952A60"/>
    <w:rsid w:val="00952AAD"/>
    <w:rsid w:val="00952ADF"/>
    <w:rsid w:val="00952BF3"/>
    <w:rsid w:val="00952BFB"/>
    <w:rsid w:val="00952D80"/>
    <w:rsid w:val="00952FC1"/>
    <w:rsid w:val="00953121"/>
    <w:rsid w:val="00953162"/>
    <w:rsid w:val="00953238"/>
    <w:rsid w:val="0095337A"/>
    <w:rsid w:val="00953484"/>
    <w:rsid w:val="009535C9"/>
    <w:rsid w:val="009536B5"/>
    <w:rsid w:val="009538B5"/>
    <w:rsid w:val="00953A2B"/>
    <w:rsid w:val="00953DC6"/>
    <w:rsid w:val="0095406E"/>
    <w:rsid w:val="0095436F"/>
    <w:rsid w:val="0095455A"/>
    <w:rsid w:val="0095456F"/>
    <w:rsid w:val="0095469F"/>
    <w:rsid w:val="009546D5"/>
    <w:rsid w:val="00954804"/>
    <w:rsid w:val="00954943"/>
    <w:rsid w:val="00954B4A"/>
    <w:rsid w:val="00954CC1"/>
    <w:rsid w:val="00954D47"/>
    <w:rsid w:val="00954D5A"/>
    <w:rsid w:val="00954DA7"/>
    <w:rsid w:val="00954E61"/>
    <w:rsid w:val="00954F19"/>
    <w:rsid w:val="0095506A"/>
    <w:rsid w:val="009551CB"/>
    <w:rsid w:val="009551DD"/>
    <w:rsid w:val="00955239"/>
    <w:rsid w:val="00955277"/>
    <w:rsid w:val="009554CA"/>
    <w:rsid w:val="009556C8"/>
    <w:rsid w:val="0095574D"/>
    <w:rsid w:val="0095587E"/>
    <w:rsid w:val="009558BC"/>
    <w:rsid w:val="009558F1"/>
    <w:rsid w:val="00955949"/>
    <w:rsid w:val="009559C4"/>
    <w:rsid w:val="009559D3"/>
    <w:rsid w:val="00955AB4"/>
    <w:rsid w:val="00955EB2"/>
    <w:rsid w:val="00955EB9"/>
    <w:rsid w:val="00955F1A"/>
    <w:rsid w:val="00955F1D"/>
    <w:rsid w:val="00955FE8"/>
    <w:rsid w:val="00956001"/>
    <w:rsid w:val="009561B0"/>
    <w:rsid w:val="00956214"/>
    <w:rsid w:val="0095631D"/>
    <w:rsid w:val="00956491"/>
    <w:rsid w:val="009564AA"/>
    <w:rsid w:val="0095650A"/>
    <w:rsid w:val="0095656E"/>
    <w:rsid w:val="00956914"/>
    <w:rsid w:val="00956B00"/>
    <w:rsid w:val="00956D1E"/>
    <w:rsid w:val="00956DD3"/>
    <w:rsid w:val="00956E3E"/>
    <w:rsid w:val="00956E5A"/>
    <w:rsid w:val="00956ED1"/>
    <w:rsid w:val="00956F5A"/>
    <w:rsid w:val="00956FD9"/>
    <w:rsid w:val="00957033"/>
    <w:rsid w:val="009571F8"/>
    <w:rsid w:val="0095727A"/>
    <w:rsid w:val="00957367"/>
    <w:rsid w:val="0095736B"/>
    <w:rsid w:val="009574B9"/>
    <w:rsid w:val="009574CE"/>
    <w:rsid w:val="00957716"/>
    <w:rsid w:val="0095772D"/>
    <w:rsid w:val="009577B2"/>
    <w:rsid w:val="00957841"/>
    <w:rsid w:val="00957998"/>
    <w:rsid w:val="0095799C"/>
    <w:rsid w:val="00957BA8"/>
    <w:rsid w:val="00957BEA"/>
    <w:rsid w:val="00957DD0"/>
    <w:rsid w:val="00957F15"/>
    <w:rsid w:val="00960198"/>
    <w:rsid w:val="0096028D"/>
    <w:rsid w:val="00960339"/>
    <w:rsid w:val="0096049C"/>
    <w:rsid w:val="00960686"/>
    <w:rsid w:val="0096076C"/>
    <w:rsid w:val="0096081D"/>
    <w:rsid w:val="009608AA"/>
    <w:rsid w:val="009608C7"/>
    <w:rsid w:val="00960A46"/>
    <w:rsid w:val="00960A74"/>
    <w:rsid w:val="00960A94"/>
    <w:rsid w:val="00960AC3"/>
    <w:rsid w:val="00960AF8"/>
    <w:rsid w:val="00960C12"/>
    <w:rsid w:val="00960C44"/>
    <w:rsid w:val="00961067"/>
    <w:rsid w:val="00961101"/>
    <w:rsid w:val="0096113D"/>
    <w:rsid w:val="0096121E"/>
    <w:rsid w:val="009613B9"/>
    <w:rsid w:val="0096148B"/>
    <w:rsid w:val="009615D2"/>
    <w:rsid w:val="0096173C"/>
    <w:rsid w:val="0096182B"/>
    <w:rsid w:val="00961920"/>
    <w:rsid w:val="00961964"/>
    <w:rsid w:val="00961A65"/>
    <w:rsid w:val="00961B4E"/>
    <w:rsid w:val="00961C1E"/>
    <w:rsid w:val="00961F0D"/>
    <w:rsid w:val="00961FD6"/>
    <w:rsid w:val="00961FEB"/>
    <w:rsid w:val="0096206F"/>
    <w:rsid w:val="00962079"/>
    <w:rsid w:val="009621D4"/>
    <w:rsid w:val="00962274"/>
    <w:rsid w:val="0096244F"/>
    <w:rsid w:val="00962456"/>
    <w:rsid w:val="0096245B"/>
    <w:rsid w:val="00962492"/>
    <w:rsid w:val="0096253F"/>
    <w:rsid w:val="009627D3"/>
    <w:rsid w:val="009629C4"/>
    <w:rsid w:val="00962ABF"/>
    <w:rsid w:val="00962C56"/>
    <w:rsid w:val="00962D40"/>
    <w:rsid w:val="00962DDA"/>
    <w:rsid w:val="00962DFF"/>
    <w:rsid w:val="00962F0D"/>
    <w:rsid w:val="00962FB9"/>
    <w:rsid w:val="00963028"/>
    <w:rsid w:val="0096302C"/>
    <w:rsid w:val="009630A6"/>
    <w:rsid w:val="009631B9"/>
    <w:rsid w:val="00963314"/>
    <w:rsid w:val="009634AA"/>
    <w:rsid w:val="0096367B"/>
    <w:rsid w:val="009637DD"/>
    <w:rsid w:val="0096382F"/>
    <w:rsid w:val="00963854"/>
    <w:rsid w:val="0096385F"/>
    <w:rsid w:val="00963B32"/>
    <w:rsid w:val="00963D31"/>
    <w:rsid w:val="00963DC0"/>
    <w:rsid w:val="0096403E"/>
    <w:rsid w:val="0096416A"/>
    <w:rsid w:val="009642F3"/>
    <w:rsid w:val="0096435D"/>
    <w:rsid w:val="00964402"/>
    <w:rsid w:val="00964501"/>
    <w:rsid w:val="00964513"/>
    <w:rsid w:val="00964519"/>
    <w:rsid w:val="009645C8"/>
    <w:rsid w:val="009646C1"/>
    <w:rsid w:val="0096474D"/>
    <w:rsid w:val="0096495F"/>
    <w:rsid w:val="00964974"/>
    <w:rsid w:val="00964C4A"/>
    <w:rsid w:val="00964C6C"/>
    <w:rsid w:val="00965048"/>
    <w:rsid w:val="009651A1"/>
    <w:rsid w:val="009652AA"/>
    <w:rsid w:val="009652CA"/>
    <w:rsid w:val="00965326"/>
    <w:rsid w:val="0096539D"/>
    <w:rsid w:val="009653F6"/>
    <w:rsid w:val="0096549D"/>
    <w:rsid w:val="009655FE"/>
    <w:rsid w:val="00965600"/>
    <w:rsid w:val="00965726"/>
    <w:rsid w:val="0096587D"/>
    <w:rsid w:val="00965952"/>
    <w:rsid w:val="00965985"/>
    <w:rsid w:val="00965ABC"/>
    <w:rsid w:val="00965AD9"/>
    <w:rsid w:val="00965B80"/>
    <w:rsid w:val="00965C51"/>
    <w:rsid w:val="00965DAD"/>
    <w:rsid w:val="00965EF2"/>
    <w:rsid w:val="00965FBA"/>
    <w:rsid w:val="00966034"/>
    <w:rsid w:val="0096607F"/>
    <w:rsid w:val="009660D2"/>
    <w:rsid w:val="0096613C"/>
    <w:rsid w:val="00966154"/>
    <w:rsid w:val="0096615C"/>
    <w:rsid w:val="00966193"/>
    <w:rsid w:val="009661BF"/>
    <w:rsid w:val="009661F6"/>
    <w:rsid w:val="009662A4"/>
    <w:rsid w:val="009662B9"/>
    <w:rsid w:val="009664E7"/>
    <w:rsid w:val="009668B1"/>
    <w:rsid w:val="00966A9C"/>
    <w:rsid w:val="00966C8F"/>
    <w:rsid w:val="00966F33"/>
    <w:rsid w:val="0096701C"/>
    <w:rsid w:val="009671CE"/>
    <w:rsid w:val="00967293"/>
    <w:rsid w:val="009672FA"/>
    <w:rsid w:val="009672FB"/>
    <w:rsid w:val="00967329"/>
    <w:rsid w:val="009674C8"/>
    <w:rsid w:val="009675B4"/>
    <w:rsid w:val="00967656"/>
    <w:rsid w:val="009677C2"/>
    <w:rsid w:val="00967897"/>
    <w:rsid w:val="009678DA"/>
    <w:rsid w:val="00967918"/>
    <w:rsid w:val="00967980"/>
    <w:rsid w:val="00967A36"/>
    <w:rsid w:val="00967A83"/>
    <w:rsid w:val="00967B46"/>
    <w:rsid w:val="00967D80"/>
    <w:rsid w:val="00967DAD"/>
    <w:rsid w:val="00967DC8"/>
    <w:rsid w:val="00967E38"/>
    <w:rsid w:val="00967F84"/>
    <w:rsid w:val="00970006"/>
    <w:rsid w:val="009701BB"/>
    <w:rsid w:val="00970254"/>
    <w:rsid w:val="00970332"/>
    <w:rsid w:val="00970344"/>
    <w:rsid w:val="0097035C"/>
    <w:rsid w:val="00970520"/>
    <w:rsid w:val="00970646"/>
    <w:rsid w:val="00970672"/>
    <w:rsid w:val="00970728"/>
    <w:rsid w:val="0097079D"/>
    <w:rsid w:val="00970874"/>
    <w:rsid w:val="0097096D"/>
    <w:rsid w:val="00970A33"/>
    <w:rsid w:val="00970A65"/>
    <w:rsid w:val="00970A8F"/>
    <w:rsid w:val="00970C9A"/>
    <w:rsid w:val="00970CDF"/>
    <w:rsid w:val="00970D58"/>
    <w:rsid w:val="00970E31"/>
    <w:rsid w:val="00970EF0"/>
    <w:rsid w:val="00970F71"/>
    <w:rsid w:val="00970F79"/>
    <w:rsid w:val="00970F84"/>
    <w:rsid w:val="00971025"/>
    <w:rsid w:val="00971230"/>
    <w:rsid w:val="009712B7"/>
    <w:rsid w:val="0097136F"/>
    <w:rsid w:val="009713CD"/>
    <w:rsid w:val="0097150F"/>
    <w:rsid w:val="00971615"/>
    <w:rsid w:val="00971770"/>
    <w:rsid w:val="009717FA"/>
    <w:rsid w:val="00971868"/>
    <w:rsid w:val="009718BD"/>
    <w:rsid w:val="009718E9"/>
    <w:rsid w:val="0097197D"/>
    <w:rsid w:val="00971AD1"/>
    <w:rsid w:val="00971B57"/>
    <w:rsid w:val="00971BCA"/>
    <w:rsid w:val="00971BEE"/>
    <w:rsid w:val="00971C47"/>
    <w:rsid w:val="00971CA2"/>
    <w:rsid w:val="00971D32"/>
    <w:rsid w:val="00971F47"/>
    <w:rsid w:val="00971FDC"/>
    <w:rsid w:val="0097209A"/>
    <w:rsid w:val="00972189"/>
    <w:rsid w:val="009721CB"/>
    <w:rsid w:val="009721D8"/>
    <w:rsid w:val="009721E2"/>
    <w:rsid w:val="00972241"/>
    <w:rsid w:val="009722E7"/>
    <w:rsid w:val="00972423"/>
    <w:rsid w:val="00972449"/>
    <w:rsid w:val="00972627"/>
    <w:rsid w:val="0097265B"/>
    <w:rsid w:val="009726A0"/>
    <w:rsid w:val="0097274F"/>
    <w:rsid w:val="0097277A"/>
    <w:rsid w:val="0097277F"/>
    <w:rsid w:val="00972D2D"/>
    <w:rsid w:val="00972D6E"/>
    <w:rsid w:val="00972F77"/>
    <w:rsid w:val="00972FFB"/>
    <w:rsid w:val="009731E4"/>
    <w:rsid w:val="009734DE"/>
    <w:rsid w:val="00973520"/>
    <w:rsid w:val="0097354D"/>
    <w:rsid w:val="0097366F"/>
    <w:rsid w:val="00973770"/>
    <w:rsid w:val="0097391A"/>
    <w:rsid w:val="00973AE4"/>
    <w:rsid w:val="00973C70"/>
    <w:rsid w:val="00973C9C"/>
    <w:rsid w:val="00973D26"/>
    <w:rsid w:val="00973D2D"/>
    <w:rsid w:val="00973D76"/>
    <w:rsid w:val="00973F56"/>
    <w:rsid w:val="00974230"/>
    <w:rsid w:val="00974235"/>
    <w:rsid w:val="0097430F"/>
    <w:rsid w:val="009743B5"/>
    <w:rsid w:val="0097443C"/>
    <w:rsid w:val="0097443D"/>
    <w:rsid w:val="009744A2"/>
    <w:rsid w:val="0097468B"/>
    <w:rsid w:val="009746A5"/>
    <w:rsid w:val="009749EA"/>
    <w:rsid w:val="00974AB8"/>
    <w:rsid w:val="00974C75"/>
    <w:rsid w:val="00974CF6"/>
    <w:rsid w:val="00974DC1"/>
    <w:rsid w:val="00974DF3"/>
    <w:rsid w:val="009750CF"/>
    <w:rsid w:val="009752C2"/>
    <w:rsid w:val="00975334"/>
    <w:rsid w:val="009753CB"/>
    <w:rsid w:val="009754C5"/>
    <w:rsid w:val="00975507"/>
    <w:rsid w:val="009757E7"/>
    <w:rsid w:val="009757E9"/>
    <w:rsid w:val="00975800"/>
    <w:rsid w:val="009758C7"/>
    <w:rsid w:val="00975999"/>
    <w:rsid w:val="00975E1C"/>
    <w:rsid w:val="00975F75"/>
    <w:rsid w:val="0097600F"/>
    <w:rsid w:val="009760C5"/>
    <w:rsid w:val="009761C8"/>
    <w:rsid w:val="009761D6"/>
    <w:rsid w:val="00976359"/>
    <w:rsid w:val="00976379"/>
    <w:rsid w:val="00976946"/>
    <w:rsid w:val="009769BC"/>
    <w:rsid w:val="00976A06"/>
    <w:rsid w:val="00976A46"/>
    <w:rsid w:val="00976AA0"/>
    <w:rsid w:val="00976C7A"/>
    <w:rsid w:val="00976CD9"/>
    <w:rsid w:val="00976CFD"/>
    <w:rsid w:val="00976D11"/>
    <w:rsid w:val="00976D8B"/>
    <w:rsid w:val="00976DA2"/>
    <w:rsid w:val="00976E07"/>
    <w:rsid w:val="00976EA9"/>
    <w:rsid w:val="0097708D"/>
    <w:rsid w:val="00977162"/>
    <w:rsid w:val="009772D2"/>
    <w:rsid w:val="00977380"/>
    <w:rsid w:val="0097752F"/>
    <w:rsid w:val="00977695"/>
    <w:rsid w:val="00977698"/>
    <w:rsid w:val="00977724"/>
    <w:rsid w:val="0097781E"/>
    <w:rsid w:val="009778A2"/>
    <w:rsid w:val="0097790F"/>
    <w:rsid w:val="009779B8"/>
    <w:rsid w:val="00977AA6"/>
    <w:rsid w:val="00977C1B"/>
    <w:rsid w:val="00977C6F"/>
    <w:rsid w:val="00977D01"/>
    <w:rsid w:val="00977EBF"/>
    <w:rsid w:val="00977F27"/>
    <w:rsid w:val="00977F4A"/>
    <w:rsid w:val="00977F9A"/>
    <w:rsid w:val="00977FF6"/>
    <w:rsid w:val="00980078"/>
    <w:rsid w:val="009802D8"/>
    <w:rsid w:val="00980331"/>
    <w:rsid w:val="00980344"/>
    <w:rsid w:val="009803F5"/>
    <w:rsid w:val="00980488"/>
    <w:rsid w:val="00980557"/>
    <w:rsid w:val="00980590"/>
    <w:rsid w:val="009805D5"/>
    <w:rsid w:val="00980608"/>
    <w:rsid w:val="00980638"/>
    <w:rsid w:val="00980752"/>
    <w:rsid w:val="009808AB"/>
    <w:rsid w:val="009808CE"/>
    <w:rsid w:val="009809EF"/>
    <w:rsid w:val="00980BE1"/>
    <w:rsid w:val="00980CCC"/>
    <w:rsid w:val="00980D02"/>
    <w:rsid w:val="00980EF3"/>
    <w:rsid w:val="00980F22"/>
    <w:rsid w:val="00980F6A"/>
    <w:rsid w:val="00980FDA"/>
    <w:rsid w:val="0098111D"/>
    <w:rsid w:val="009811CE"/>
    <w:rsid w:val="009811E9"/>
    <w:rsid w:val="009813A9"/>
    <w:rsid w:val="00981416"/>
    <w:rsid w:val="00981462"/>
    <w:rsid w:val="009815BA"/>
    <w:rsid w:val="00981921"/>
    <w:rsid w:val="00981A53"/>
    <w:rsid w:val="00981A68"/>
    <w:rsid w:val="00981AA1"/>
    <w:rsid w:val="00981B3C"/>
    <w:rsid w:val="00981D3C"/>
    <w:rsid w:val="00981D62"/>
    <w:rsid w:val="00981FE7"/>
    <w:rsid w:val="009820D2"/>
    <w:rsid w:val="0098213A"/>
    <w:rsid w:val="0098216A"/>
    <w:rsid w:val="009821F4"/>
    <w:rsid w:val="00982204"/>
    <w:rsid w:val="00982264"/>
    <w:rsid w:val="009823BC"/>
    <w:rsid w:val="00982568"/>
    <w:rsid w:val="0098257A"/>
    <w:rsid w:val="00982599"/>
    <w:rsid w:val="009825EC"/>
    <w:rsid w:val="00982698"/>
    <w:rsid w:val="0098272F"/>
    <w:rsid w:val="00982806"/>
    <w:rsid w:val="0098299D"/>
    <w:rsid w:val="00982ABC"/>
    <w:rsid w:val="00982D39"/>
    <w:rsid w:val="00982F34"/>
    <w:rsid w:val="00983075"/>
    <w:rsid w:val="0098329E"/>
    <w:rsid w:val="00983413"/>
    <w:rsid w:val="009834EB"/>
    <w:rsid w:val="00983513"/>
    <w:rsid w:val="0098361F"/>
    <w:rsid w:val="00983635"/>
    <w:rsid w:val="00983657"/>
    <w:rsid w:val="0098376A"/>
    <w:rsid w:val="00983774"/>
    <w:rsid w:val="009837F6"/>
    <w:rsid w:val="00983875"/>
    <w:rsid w:val="00983AE2"/>
    <w:rsid w:val="00983B52"/>
    <w:rsid w:val="00983D4A"/>
    <w:rsid w:val="00983D9A"/>
    <w:rsid w:val="00983DB5"/>
    <w:rsid w:val="00983F88"/>
    <w:rsid w:val="00983F98"/>
    <w:rsid w:val="00984108"/>
    <w:rsid w:val="0098422B"/>
    <w:rsid w:val="00984352"/>
    <w:rsid w:val="00984540"/>
    <w:rsid w:val="00984A5D"/>
    <w:rsid w:val="00984CA3"/>
    <w:rsid w:val="00984E0C"/>
    <w:rsid w:val="00984F52"/>
    <w:rsid w:val="00985060"/>
    <w:rsid w:val="009850A7"/>
    <w:rsid w:val="00985156"/>
    <w:rsid w:val="0098524D"/>
    <w:rsid w:val="00985331"/>
    <w:rsid w:val="00985512"/>
    <w:rsid w:val="009855B6"/>
    <w:rsid w:val="009856BC"/>
    <w:rsid w:val="00985B0F"/>
    <w:rsid w:val="00985EB0"/>
    <w:rsid w:val="00986028"/>
    <w:rsid w:val="0098617C"/>
    <w:rsid w:val="00986274"/>
    <w:rsid w:val="009862BF"/>
    <w:rsid w:val="009863A2"/>
    <w:rsid w:val="009863C3"/>
    <w:rsid w:val="0098647E"/>
    <w:rsid w:val="0098650B"/>
    <w:rsid w:val="00986512"/>
    <w:rsid w:val="00986527"/>
    <w:rsid w:val="0098672A"/>
    <w:rsid w:val="00986868"/>
    <w:rsid w:val="00986A63"/>
    <w:rsid w:val="00986A80"/>
    <w:rsid w:val="00986BFE"/>
    <w:rsid w:val="00986CFD"/>
    <w:rsid w:val="00986F2C"/>
    <w:rsid w:val="00986FD5"/>
    <w:rsid w:val="00986FFC"/>
    <w:rsid w:val="009870BC"/>
    <w:rsid w:val="009870D0"/>
    <w:rsid w:val="0098717B"/>
    <w:rsid w:val="009871F7"/>
    <w:rsid w:val="009872B9"/>
    <w:rsid w:val="0098731E"/>
    <w:rsid w:val="0098748F"/>
    <w:rsid w:val="00987494"/>
    <w:rsid w:val="009877AA"/>
    <w:rsid w:val="009877B0"/>
    <w:rsid w:val="009878C2"/>
    <w:rsid w:val="009878F8"/>
    <w:rsid w:val="00987AA9"/>
    <w:rsid w:val="00987B4E"/>
    <w:rsid w:val="00987B54"/>
    <w:rsid w:val="00987B89"/>
    <w:rsid w:val="00987C59"/>
    <w:rsid w:val="00987D46"/>
    <w:rsid w:val="00987E44"/>
    <w:rsid w:val="00987F4C"/>
    <w:rsid w:val="00987FBD"/>
    <w:rsid w:val="0099009C"/>
    <w:rsid w:val="0099012F"/>
    <w:rsid w:val="0099020D"/>
    <w:rsid w:val="009902F7"/>
    <w:rsid w:val="00990686"/>
    <w:rsid w:val="0099069A"/>
    <w:rsid w:val="0099078A"/>
    <w:rsid w:val="009908B3"/>
    <w:rsid w:val="00990E4E"/>
    <w:rsid w:val="00991027"/>
    <w:rsid w:val="009911DE"/>
    <w:rsid w:val="009912F8"/>
    <w:rsid w:val="00991394"/>
    <w:rsid w:val="009913D5"/>
    <w:rsid w:val="009913E6"/>
    <w:rsid w:val="00991480"/>
    <w:rsid w:val="0099149A"/>
    <w:rsid w:val="0099151B"/>
    <w:rsid w:val="00991673"/>
    <w:rsid w:val="009916A2"/>
    <w:rsid w:val="00991737"/>
    <w:rsid w:val="009917D8"/>
    <w:rsid w:val="00991872"/>
    <w:rsid w:val="0099187A"/>
    <w:rsid w:val="009918F2"/>
    <w:rsid w:val="00991968"/>
    <w:rsid w:val="00991973"/>
    <w:rsid w:val="00991A94"/>
    <w:rsid w:val="00991B9E"/>
    <w:rsid w:val="00991E8E"/>
    <w:rsid w:val="00992083"/>
    <w:rsid w:val="009920B8"/>
    <w:rsid w:val="009920C6"/>
    <w:rsid w:val="00992131"/>
    <w:rsid w:val="00992207"/>
    <w:rsid w:val="009923FA"/>
    <w:rsid w:val="0099260F"/>
    <w:rsid w:val="0099263B"/>
    <w:rsid w:val="0099270B"/>
    <w:rsid w:val="00992728"/>
    <w:rsid w:val="009927AA"/>
    <w:rsid w:val="00992801"/>
    <w:rsid w:val="00992854"/>
    <w:rsid w:val="00992883"/>
    <w:rsid w:val="009928B7"/>
    <w:rsid w:val="009928B9"/>
    <w:rsid w:val="00992930"/>
    <w:rsid w:val="0099293D"/>
    <w:rsid w:val="009929FA"/>
    <w:rsid w:val="00992B4C"/>
    <w:rsid w:val="00992CAD"/>
    <w:rsid w:val="00992CC6"/>
    <w:rsid w:val="00992CEA"/>
    <w:rsid w:val="00992D65"/>
    <w:rsid w:val="00992D69"/>
    <w:rsid w:val="00992EAA"/>
    <w:rsid w:val="00992FB6"/>
    <w:rsid w:val="0099303D"/>
    <w:rsid w:val="00993069"/>
    <w:rsid w:val="00993231"/>
    <w:rsid w:val="009932BB"/>
    <w:rsid w:val="009932E0"/>
    <w:rsid w:val="0099338C"/>
    <w:rsid w:val="00993399"/>
    <w:rsid w:val="00993A4C"/>
    <w:rsid w:val="00993B32"/>
    <w:rsid w:val="00993BD8"/>
    <w:rsid w:val="00993D05"/>
    <w:rsid w:val="00993DE3"/>
    <w:rsid w:val="00993E0E"/>
    <w:rsid w:val="00993F3A"/>
    <w:rsid w:val="00993F67"/>
    <w:rsid w:val="0099419A"/>
    <w:rsid w:val="009941D3"/>
    <w:rsid w:val="009941DF"/>
    <w:rsid w:val="0099444E"/>
    <w:rsid w:val="009946F7"/>
    <w:rsid w:val="00994883"/>
    <w:rsid w:val="009949D8"/>
    <w:rsid w:val="00994A0A"/>
    <w:rsid w:val="00994AE3"/>
    <w:rsid w:val="00994C51"/>
    <w:rsid w:val="00994CCD"/>
    <w:rsid w:val="00994E35"/>
    <w:rsid w:val="00995062"/>
    <w:rsid w:val="0099511A"/>
    <w:rsid w:val="00995259"/>
    <w:rsid w:val="00995321"/>
    <w:rsid w:val="0099535D"/>
    <w:rsid w:val="00995366"/>
    <w:rsid w:val="009953ED"/>
    <w:rsid w:val="00995774"/>
    <w:rsid w:val="00995883"/>
    <w:rsid w:val="0099596A"/>
    <w:rsid w:val="00995AC1"/>
    <w:rsid w:val="00995CE9"/>
    <w:rsid w:val="00995D2E"/>
    <w:rsid w:val="00995E69"/>
    <w:rsid w:val="00995E75"/>
    <w:rsid w:val="0099618C"/>
    <w:rsid w:val="00996483"/>
    <w:rsid w:val="009968D8"/>
    <w:rsid w:val="00996900"/>
    <w:rsid w:val="00996A0D"/>
    <w:rsid w:val="00996BF3"/>
    <w:rsid w:val="00996EA5"/>
    <w:rsid w:val="00996FAB"/>
    <w:rsid w:val="00997321"/>
    <w:rsid w:val="0099751A"/>
    <w:rsid w:val="0099758B"/>
    <w:rsid w:val="009975D2"/>
    <w:rsid w:val="00997613"/>
    <w:rsid w:val="00997795"/>
    <w:rsid w:val="00997802"/>
    <w:rsid w:val="00997874"/>
    <w:rsid w:val="00997905"/>
    <w:rsid w:val="0099799D"/>
    <w:rsid w:val="009979DC"/>
    <w:rsid w:val="00997BAA"/>
    <w:rsid w:val="00997C08"/>
    <w:rsid w:val="00997D8F"/>
    <w:rsid w:val="00997DFC"/>
    <w:rsid w:val="009A00C9"/>
    <w:rsid w:val="009A00CF"/>
    <w:rsid w:val="009A00D9"/>
    <w:rsid w:val="009A01E5"/>
    <w:rsid w:val="009A0504"/>
    <w:rsid w:val="009A057C"/>
    <w:rsid w:val="009A0645"/>
    <w:rsid w:val="009A06A8"/>
    <w:rsid w:val="009A074F"/>
    <w:rsid w:val="009A07D4"/>
    <w:rsid w:val="009A089F"/>
    <w:rsid w:val="009A08A0"/>
    <w:rsid w:val="009A094E"/>
    <w:rsid w:val="009A0AE9"/>
    <w:rsid w:val="009A0C0F"/>
    <w:rsid w:val="009A0F87"/>
    <w:rsid w:val="009A1270"/>
    <w:rsid w:val="009A13EB"/>
    <w:rsid w:val="009A14EA"/>
    <w:rsid w:val="009A1510"/>
    <w:rsid w:val="009A15C6"/>
    <w:rsid w:val="009A15ED"/>
    <w:rsid w:val="009A1911"/>
    <w:rsid w:val="009A19A0"/>
    <w:rsid w:val="009A19A3"/>
    <w:rsid w:val="009A1A98"/>
    <w:rsid w:val="009A1ACA"/>
    <w:rsid w:val="009A1AD2"/>
    <w:rsid w:val="009A1B59"/>
    <w:rsid w:val="009A1B6D"/>
    <w:rsid w:val="009A1C40"/>
    <w:rsid w:val="009A1C96"/>
    <w:rsid w:val="009A1D02"/>
    <w:rsid w:val="009A1D1A"/>
    <w:rsid w:val="009A1D49"/>
    <w:rsid w:val="009A1D52"/>
    <w:rsid w:val="009A1F8F"/>
    <w:rsid w:val="009A2136"/>
    <w:rsid w:val="009A2249"/>
    <w:rsid w:val="009A2273"/>
    <w:rsid w:val="009A230A"/>
    <w:rsid w:val="009A23BE"/>
    <w:rsid w:val="009A24D3"/>
    <w:rsid w:val="009A24F3"/>
    <w:rsid w:val="009A25D8"/>
    <w:rsid w:val="009A27AD"/>
    <w:rsid w:val="009A2866"/>
    <w:rsid w:val="009A292B"/>
    <w:rsid w:val="009A295F"/>
    <w:rsid w:val="009A2A1A"/>
    <w:rsid w:val="009A2B27"/>
    <w:rsid w:val="009A2D59"/>
    <w:rsid w:val="009A2D9B"/>
    <w:rsid w:val="009A2DBF"/>
    <w:rsid w:val="009A2ED3"/>
    <w:rsid w:val="009A2F27"/>
    <w:rsid w:val="009A2F74"/>
    <w:rsid w:val="009A30A4"/>
    <w:rsid w:val="009A30E5"/>
    <w:rsid w:val="009A31F6"/>
    <w:rsid w:val="009A3242"/>
    <w:rsid w:val="009A32B0"/>
    <w:rsid w:val="009A331D"/>
    <w:rsid w:val="009A3679"/>
    <w:rsid w:val="009A3790"/>
    <w:rsid w:val="009A37FB"/>
    <w:rsid w:val="009A3893"/>
    <w:rsid w:val="009A38EE"/>
    <w:rsid w:val="009A3B15"/>
    <w:rsid w:val="009A3D6A"/>
    <w:rsid w:val="009A3ED3"/>
    <w:rsid w:val="009A411A"/>
    <w:rsid w:val="009A416F"/>
    <w:rsid w:val="009A4259"/>
    <w:rsid w:val="009A43DA"/>
    <w:rsid w:val="009A44CB"/>
    <w:rsid w:val="009A45F2"/>
    <w:rsid w:val="009A4644"/>
    <w:rsid w:val="009A47FF"/>
    <w:rsid w:val="009A486E"/>
    <w:rsid w:val="009A494E"/>
    <w:rsid w:val="009A494F"/>
    <w:rsid w:val="009A4AD3"/>
    <w:rsid w:val="009A4AFD"/>
    <w:rsid w:val="009A4C3A"/>
    <w:rsid w:val="009A4D14"/>
    <w:rsid w:val="009A4EB5"/>
    <w:rsid w:val="009A51AB"/>
    <w:rsid w:val="009A51CB"/>
    <w:rsid w:val="009A52C3"/>
    <w:rsid w:val="009A52FD"/>
    <w:rsid w:val="009A533D"/>
    <w:rsid w:val="009A568F"/>
    <w:rsid w:val="009A56AD"/>
    <w:rsid w:val="009A581A"/>
    <w:rsid w:val="009A5B42"/>
    <w:rsid w:val="009A5CBE"/>
    <w:rsid w:val="009A5CDE"/>
    <w:rsid w:val="009A5DB5"/>
    <w:rsid w:val="009A5DC5"/>
    <w:rsid w:val="009A5E57"/>
    <w:rsid w:val="009A6028"/>
    <w:rsid w:val="009A62A4"/>
    <w:rsid w:val="009A6447"/>
    <w:rsid w:val="009A65DB"/>
    <w:rsid w:val="009A662A"/>
    <w:rsid w:val="009A6875"/>
    <w:rsid w:val="009A69E4"/>
    <w:rsid w:val="009A6B6A"/>
    <w:rsid w:val="009A6D32"/>
    <w:rsid w:val="009A6D62"/>
    <w:rsid w:val="009A6D79"/>
    <w:rsid w:val="009A7047"/>
    <w:rsid w:val="009A7299"/>
    <w:rsid w:val="009A742E"/>
    <w:rsid w:val="009A7442"/>
    <w:rsid w:val="009A7478"/>
    <w:rsid w:val="009A763D"/>
    <w:rsid w:val="009A7729"/>
    <w:rsid w:val="009A772E"/>
    <w:rsid w:val="009A7ADB"/>
    <w:rsid w:val="009A7C87"/>
    <w:rsid w:val="009A7CB1"/>
    <w:rsid w:val="009A7D17"/>
    <w:rsid w:val="009A7E3E"/>
    <w:rsid w:val="009A7E87"/>
    <w:rsid w:val="009A7F57"/>
    <w:rsid w:val="009B010C"/>
    <w:rsid w:val="009B019F"/>
    <w:rsid w:val="009B01B0"/>
    <w:rsid w:val="009B0278"/>
    <w:rsid w:val="009B02A5"/>
    <w:rsid w:val="009B032D"/>
    <w:rsid w:val="009B039F"/>
    <w:rsid w:val="009B0641"/>
    <w:rsid w:val="009B083A"/>
    <w:rsid w:val="009B0A8C"/>
    <w:rsid w:val="009B0AB0"/>
    <w:rsid w:val="009B0BDE"/>
    <w:rsid w:val="009B0BF2"/>
    <w:rsid w:val="009B0C3C"/>
    <w:rsid w:val="009B0DC0"/>
    <w:rsid w:val="009B0EAF"/>
    <w:rsid w:val="009B0F5D"/>
    <w:rsid w:val="009B0FAB"/>
    <w:rsid w:val="009B1183"/>
    <w:rsid w:val="009B11CF"/>
    <w:rsid w:val="009B1361"/>
    <w:rsid w:val="009B137D"/>
    <w:rsid w:val="009B145F"/>
    <w:rsid w:val="009B1461"/>
    <w:rsid w:val="009B14B5"/>
    <w:rsid w:val="009B14DA"/>
    <w:rsid w:val="009B160A"/>
    <w:rsid w:val="009B1A1A"/>
    <w:rsid w:val="009B1AFF"/>
    <w:rsid w:val="009B1B50"/>
    <w:rsid w:val="009B1B7F"/>
    <w:rsid w:val="009B1BD2"/>
    <w:rsid w:val="009B1CB8"/>
    <w:rsid w:val="009B1D07"/>
    <w:rsid w:val="009B1E1A"/>
    <w:rsid w:val="009B1E20"/>
    <w:rsid w:val="009B1E4E"/>
    <w:rsid w:val="009B1FB6"/>
    <w:rsid w:val="009B1FC9"/>
    <w:rsid w:val="009B20C9"/>
    <w:rsid w:val="009B21B6"/>
    <w:rsid w:val="009B21D4"/>
    <w:rsid w:val="009B227E"/>
    <w:rsid w:val="009B235C"/>
    <w:rsid w:val="009B243A"/>
    <w:rsid w:val="009B249B"/>
    <w:rsid w:val="009B249E"/>
    <w:rsid w:val="009B24C9"/>
    <w:rsid w:val="009B2736"/>
    <w:rsid w:val="009B2848"/>
    <w:rsid w:val="009B2969"/>
    <w:rsid w:val="009B29DF"/>
    <w:rsid w:val="009B2B23"/>
    <w:rsid w:val="009B2B33"/>
    <w:rsid w:val="009B2B40"/>
    <w:rsid w:val="009B2B4D"/>
    <w:rsid w:val="009B2CE4"/>
    <w:rsid w:val="009B2D7F"/>
    <w:rsid w:val="009B2EB0"/>
    <w:rsid w:val="009B2F42"/>
    <w:rsid w:val="009B3084"/>
    <w:rsid w:val="009B320D"/>
    <w:rsid w:val="009B3249"/>
    <w:rsid w:val="009B3313"/>
    <w:rsid w:val="009B3457"/>
    <w:rsid w:val="009B363E"/>
    <w:rsid w:val="009B3642"/>
    <w:rsid w:val="009B36F0"/>
    <w:rsid w:val="009B3778"/>
    <w:rsid w:val="009B39FD"/>
    <w:rsid w:val="009B3B3F"/>
    <w:rsid w:val="009B3B90"/>
    <w:rsid w:val="009B3BED"/>
    <w:rsid w:val="009B3D22"/>
    <w:rsid w:val="009B3DAA"/>
    <w:rsid w:val="009B3EB9"/>
    <w:rsid w:val="009B3F1B"/>
    <w:rsid w:val="009B40B6"/>
    <w:rsid w:val="009B417F"/>
    <w:rsid w:val="009B42CF"/>
    <w:rsid w:val="009B4325"/>
    <w:rsid w:val="009B4372"/>
    <w:rsid w:val="009B445C"/>
    <w:rsid w:val="009B4613"/>
    <w:rsid w:val="009B4979"/>
    <w:rsid w:val="009B4B0A"/>
    <w:rsid w:val="009B4BC3"/>
    <w:rsid w:val="009B4C80"/>
    <w:rsid w:val="009B506F"/>
    <w:rsid w:val="009B518B"/>
    <w:rsid w:val="009B5235"/>
    <w:rsid w:val="009B52C6"/>
    <w:rsid w:val="009B53B7"/>
    <w:rsid w:val="009B54DB"/>
    <w:rsid w:val="009B56A2"/>
    <w:rsid w:val="009B56A3"/>
    <w:rsid w:val="009B5711"/>
    <w:rsid w:val="009B58CD"/>
    <w:rsid w:val="009B592E"/>
    <w:rsid w:val="009B59C0"/>
    <w:rsid w:val="009B5A0A"/>
    <w:rsid w:val="009B5B00"/>
    <w:rsid w:val="009B5B65"/>
    <w:rsid w:val="009B5D88"/>
    <w:rsid w:val="009B5E52"/>
    <w:rsid w:val="009B61D6"/>
    <w:rsid w:val="009B62D8"/>
    <w:rsid w:val="009B6394"/>
    <w:rsid w:val="009B6397"/>
    <w:rsid w:val="009B63BB"/>
    <w:rsid w:val="009B6454"/>
    <w:rsid w:val="009B664D"/>
    <w:rsid w:val="009B66A8"/>
    <w:rsid w:val="009B6978"/>
    <w:rsid w:val="009B69A8"/>
    <w:rsid w:val="009B6A7B"/>
    <w:rsid w:val="009B6C92"/>
    <w:rsid w:val="009B6CEF"/>
    <w:rsid w:val="009B6D45"/>
    <w:rsid w:val="009B6EEE"/>
    <w:rsid w:val="009B6FB3"/>
    <w:rsid w:val="009B701B"/>
    <w:rsid w:val="009B7056"/>
    <w:rsid w:val="009B7059"/>
    <w:rsid w:val="009B7075"/>
    <w:rsid w:val="009B70BA"/>
    <w:rsid w:val="009B72EC"/>
    <w:rsid w:val="009B7566"/>
    <w:rsid w:val="009B772B"/>
    <w:rsid w:val="009B7738"/>
    <w:rsid w:val="009B79D3"/>
    <w:rsid w:val="009B7A3E"/>
    <w:rsid w:val="009B7A6F"/>
    <w:rsid w:val="009B7B0D"/>
    <w:rsid w:val="009B7B55"/>
    <w:rsid w:val="009B7BD4"/>
    <w:rsid w:val="009B7CF4"/>
    <w:rsid w:val="009B7EA9"/>
    <w:rsid w:val="009B7F81"/>
    <w:rsid w:val="009C00C8"/>
    <w:rsid w:val="009C013D"/>
    <w:rsid w:val="009C0160"/>
    <w:rsid w:val="009C0466"/>
    <w:rsid w:val="009C04FC"/>
    <w:rsid w:val="009C076D"/>
    <w:rsid w:val="009C07B9"/>
    <w:rsid w:val="009C07E3"/>
    <w:rsid w:val="009C0821"/>
    <w:rsid w:val="009C0862"/>
    <w:rsid w:val="009C0879"/>
    <w:rsid w:val="009C0893"/>
    <w:rsid w:val="009C089C"/>
    <w:rsid w:val="009C0985"/>
    <w:rsid w:val="009C0994"/>
    <w:rsid w:val="009C09C1"/>
    <w:rsid w:val="009C09D2"/>
    <w:rsid w:val="009C0A46"/>
    <w:rsid w:val="009C0AC9"/>
    <w:rsid w:val="009C0B24"/>
    <w:rsid w:val="009C0BE2"/>
    <w:rsid w:val="009C0D0B"/>
    <w:rsid w:val="009C0D4C"/>
    <w:rsid w:val="009C0E12"/>
    <w:rsid w:val="009C0EAD"/>
    <w:rsid w:val="009C0FFF"/>
    <w:rsid w:val="009C1029"/>
    <w:rsid w:val="009C1151"/>
    <w:rsid w:val="009C1220"/>
    <w:rsid w:val="009C1250"/>
    <w:rsid w:val="009C13E4"/>
    <w:rsid w:val="009C140F"/>
    <w:rsid w:val="009C14F8"/>
    <w:rsid w:val="009C16D0"/>
    <w:rsid w:val="009C1B58"/>
    <w:rsid w:val="009C1EF4"/>
    <w:rsid w:val="009C1F79"/>
    <w:rsid w:val="009C2149"/>
    <w:rsid w:val="009C21D0"/>
    <w:rsid w:val="009C226C"/>
    <w:rsid w:val="009C22A8"/>
    <w:rsid w:val="009C2598"/>
    <w:rsid w:val="009C267E"/>
    <w:rsid w:val="009C28DF"/>
    <w:rsid w:val="009C2AD9"/>
    <w:rsid w:val="009C2BCC"/>
    <w:rsid w:val="009C2C29"/>
    <w:rsid w:val="009C30C9"/>
    <w:rsid w:val="009C3249"/>
    <w:rsid w:val="009C32EE"/>
    <w:rsid w:val="009C3346"/>
    <w:rsid w:val="009C33B6"/>
    <w:rsid w:val="009C34B6"/>
    <w:rsid w:val="009C34F1"/>
    <w:rsid w:val="009C372E"/>
    <w:rsid w:val="009C372F"/>
    <w:rsid w:val="009C3749"/>
    <w:rsid w:val="009C3805"/>
    <w:rsid w:val="009C3838"/>
    <w:rsid w:val="009C399A"/>
    <w:rsid w:val="009C3BC4"/>
    <w:rsid w:val="009C3DE1"/>
    <w:rsid w:val="009C4121"/>
    <w:rsid w:val="009C4356"/>
    <w:rsid w:val="009C437E"/>
    <w:rsid w:val="009C43D1"/>
    <w:rsid w:val="009C47B4"/>
    <w:rsid w:val="009C4878"/>
    <w:rsid w:val="009C4BBA"/>
    <w:rsid w:val="009C4BF4"/>
    <w:rsid w:val="009C4BF5"/>
    <w:rsid w:val="009C4E32"/>
    <w:rsid w:val="009C5127"/>
    <w:rsid w:val="009C52D6"/>
    <w:rsid w:val="009C52E9"/>
    <w:rsid w:val="009C5446"/>
    <w:rsid w:val="009C546A"/>
    <w:rsid w:val="009C5512"/>
    <w:rsid w:val="009C5629"/>
    <w:rsid w:val="009C572D"/>
    <w:rsid w:val="009C5744"/>
    <w:rsid w:val="009C5796"/>
    <w:rsid w:val="009C5843"/>
    <w:rsid w:val="009C5875"/>
    <w:rsid w:val="009C5948"/>
    <w:rsid w:val="009C5951"/>
    <w:rsid w:val="009C5C43"/>
    <w:rsid w:val="009C5C8E"/>
    <w:rsid w:val="009C5CFC"/>
    <w:rsid w:val="009C5D9A"/>
    <w:rsid w:val="009C5EF3"/>
    <w:rsid w:val="009C5EFF"/>
    <w:rsid w:val="009C60C0"/>
    <w:rsid w:val="009C6155"/>
    <w:rsid w:val="009C61F1"/>
    <w:rsid w:val="009C6206"/>
    <w:rsid w:val="009C6274"/>
    <w:rsid w:val="009C62CE"/>
    <w:rsid w:val="009C62ED"/>
    <w:rsid w:val="009C6394"/>
    <w:rsid w:val="009C6454"/>
    <w:rsid w:val="009C64EA"/>
    <w:rsid w:val="009C6676"/>
    <w:rsid w:val="009C6721"/>
    <w:rsid w:val="009C6A62"/>
    <w:rsid w:val="009C6AE6"/>
    <w:rsid w:val="009C6C1E"/>
    <w:rsid w:val="009C6C47"/>
    <w:rsid w:val="009C6DE6"/>
    <w:rsid w:val="009C6E1B"/>
    <w:rsid w:val="009C6FA3"/>
    <w:rsid w:val="009C7144"/>
    <w:rsid w:val="009C723E"/>
    <w:rsid w:val="009C72F3"/>
    <w:rsid w:val="009C72F4"/>
    <w:rsid w:val="009C7329"/>
    <w:rsid w:val="009C73C8"/>
    <w:rsid w:val="009C745A"/>
    <w:rsid w:val="009C7589"/>
    <w:rsid w:val="009C78BC"/>
    <w:rsid w:val="009C7935"/>
    <w:rsid w:val="009C7A84"/>
    <w:rsid w:val="009C7AB3"/>
    <w:rsid w:val="009C7CB5"/>
    <w:rsid w:val="009C7CE2"/>
    <w:rsid w:val="009C7DE5"/>
    <w:rsid w:val="009D007E"/>
    <w:rsid w:val="009D00C8"/>
    <w:rsid w:val="009D00F3"/>
    <w:rsid w:val="009D0350"/>
    <w:rsid w:val="009D038F"/>
    <w:rsid w:val="009D03D9"/>
    <w:rsid w:val="009D05E0"/>
    <w:rsid w:val="009D0708"/>
    <w:rsid w:val="009D07B2"/>
    <w:rsid w:val="009D0917"/>
    <w:rsid w:val="009D0921"/>
    <w:rsid w:val="009D093A"/>
    <w:rsid w:val="009D0B52"/>
    <w:rsid w:val="009D0DDD"/>
    <w:rsid w:val="009D0EBA"/>
    <w:rsid w:val="009D0F55"/>
    <w:rsid w:val="009D0F71"/>
    <w:rsid w:val="009D0FD4"/>
    <w:rsid w:val="009D1041"/>
    <w:rsid w:val="009D113C"/>
    <w:rsid w:val="009D13EF"/>
    <w:rsid w:val="009D1405"/>
    <w:rsid w:val="009D150D"/>
    <w:rsid w:val="009D1531"/>
    <w:rsid w:val="009D15DC"/>
    <w:rsid w:val="009D19BF"/>
    <w:rsid w:val="009D1E21"/>
    <w:rsid w:val="009D1E25"/>
    <w:rsid w:val="009D1F91"/>
    <w:rsid w:val="009D2020"/>
    <w:rsid w:val="009D20A3"/>
    <w:rsid w:val="009D2104"/>
    <w:rsid w:val="009D2168"/>
    <w:rsid w:val="009D21B6"/>
    <w:rsid w:val="009D2279"/>
    <w:rsid w:val="009D23A3"/>
    <w:rsid w:val="009D2552"/>
    <w:rsid w:val="009D269D"/>
    <w:rsid w:val="009D2762"/>
    <w:rsid w:val="009D2A27"/>
    <w:rsid w:val="009D2C01"/>
    <w:rsid w:val="009D2C48"/>
    <w:rsid w:val="009D2D40"/>
    <w:rsid w:val="009D2E4A"/>
    <w:rsid w:val="009D31C2"/>
    <w:rsid w:val="009D3311"/>
    <w:rsid w:val="009D3321"/>
    <w:rsid w:val="009D3335"/>
    <w:rsid w:val="009D3442"/>
    <w:rsid w:val="009D3595"/>
    <w:rsid w:val="009D3775"/>
    <w:rsid w:val="009D3AAF"/>
    <w:rsid w:val="009D3C4D"/>
    <w:rsid w:val="009D3C55"/>
    <w:rsid w:val="009D3C91"/>
    <w:rsid w:val="009D3DB6"/>
    <w:rsid w:val="009D4166"/>
    <w:rsid w:val="009D418E"/>
    <w:rsid w:val="009D41D7"/>
    <w:rsid w:val="009D433B"/>
    <w:rsid w:val="009D43B0"/>
    <w:rsid w:val="009D495C"/>
    <w:rsid w:val="009D4B4A"/>
    <w:rsid w:val="009D4C69"/>
    <w:rsid w:val="009D4C6A"/>
    <w:rsid w:val="009D4D40"/>
    <w:rsid w:val="009D4E7C"/>
    <w:rsid w:val="009D4F49"/>
    <w:rsid w:val="009D5006"/>
    <w:rsid w:val="009D506B"/>
    <w:rsid w:val="009D5323"/>
    <w:rsid w:val="009D533B"/>
    <w:rsid w:val="009D5381"/>
    <w:rsid w:val="009D54E3"/>
    <w:rsid w:val="009D559B"/>
    <w:rsid w:val="009D560E"/>
    <w:rsid w:val="009D5681"/>
    <w:rsid w:val="009D58FE"/>
    <w:rsid w:val="009D5956"/>
    <w:rsid w:val="009D599C"/>
    <w:rsid w:val="009D5A5B"/>
    <w:rsid w:val="009D5A70"/>
    <w:rsid w:val="009D5AB8"/>
    <w:rsid w:val="009D5BE7"/>
    <w:rsid w:val="009D5BEA"/>
    <w:rsid w:val="009D5D38"/>
    <w:rsid w:val="009D5EF0"/>
    <w:rsid w:val="009D5FF9"/>
    <w:rsid w:val="009D619B"/>
    <w:rsid w:val="009D61FF"/>
    <w:rsid w:val="009D645A"/>
    <w:rsid w:val="009D64C4"/>
    <w:rsid w:val="009D658D"/>
    <w:rsid w:val="009D6714"/>
    <w:rsid w:val="009D672B"/>
    <w:rsid w:val="009D67A6"/>
    <w:rsid w:val="009D68A2"/>
    <w:rsid w:val="009D6929"/>
    <w:rsid w:val="009D6EF1"/>
    <w:rsid w:val="009D6FB7"/>
    <w:rsid w:val="009D7012"/>
    <w:rsid w:val="009D71AB"/>
    <w:rsid w:val="009D71C9"/>
    <w:rsid w:val="009D71EF"/>
    <w:rsid w:val="009D7200"/>
    <w:rsid w:val="009D732F"/>
    <w:rsid w:val="009D7379"/>
    <w:rsid w:val="009D741C"/>
    <w:rsid w:val="009D7486"/>
    <w:rsid w:val="009D7499"/>
    <w:rsid w:val="009D75D6"/>
    <w:rsid w:val="009D76E4"/>
    <w:rsid w:val="009D7788"/>
    <w:rsid w:val="009D7814"/>
    <w:rsid w:val="009D7850"/>
    <w:rsid w:val="009D78AC"/>
    <w:rsid w:val="009D7AB1"/>
    <w:rsid w:val="009D7B77"/>
    <w:rsid w:val="009D7BEC"/>
    <w:rsid w:val="009D7DF0"/>
    <w:rsid w:val="009D7DF9"/>
    <w:rsid w:val="009D7DFA"/>
    <w:rsid w:val="009D7EE7"/>
    <w:rsid w:val="009E0035"/>
    <w:rsid w:val="009E008D"/>
    <w:rsid w:val="009E045A"/>
    <w:rsid w:val="009E0574"/>
    <w:rsid w:val="009E057D"/>
    <w:rsid w:val="009E07BC"/>
    <w:rsid w:val="009E0906"/>
    <w:rsid w:val="009E0B36"/>
    <w:rsid w:val="009E0DAE"/>
    <w:rsid w:val="009E0EAC"/>
    <w:rsid w:val="009E10B6"/>
    <w:rsid w:val="009E1254"/>
    <w:rsid w:val="009E1595"/>
    <w:rsid w:val="009E1607"/>
    <w:rsid w:val="009E165C"/>
    <w:rsid w:val="009E1A83"/>
    <w:rsid w:val="009E1B06"/>
    <w:rsid w:val="009E1BB1"/>
    <w:rsid w:val="009E1CBE"/>
    <w:rsid w:val="009E1DF5"/>
    <w:rsid w:val="009E20F1"/>
    <w:rsid w:val="009E211B"/>
    <w:rsid w:val="009E227E"/>
    <w:rsid w:val="009E2365"/>
    <w:rsid w:val="009E2484"/>
    <w:rsid w:val="009E2606"/>
    <w:rsid w:val="009E28C5"/>
    <w:rsid w:val="009E291F"/>
    <w:rsid w:val="009E2B6C"/>
    <w:rsid w:val="009E2C3E"/>
    <w:rsid w:val="009E2C5F"/>
    <w:rsid w:val="009E2CC2"/>
    <w:rsid w:val="009E2DFA"/>
    <w:rsid w:val="009E2F8A"/>
    <w:rsid w:val="009E3053"/>
    <w:rsid w:val="009E306D"/>
    <w:rsid w:val="009E3090"/>
    <w:rsid w:val="009E327C"/>
    <w:rsid w:val="009E3428"/>
    <w:rsid w:val="009E3490"/>
    <w:rsid w:val="009E34A8"/>
    <w:rsid w:val="009E34CF"/>
    <w:rsid w:val="009E34D1"/>
    <w:rsid w:val="009E3A46"/>
    <w:rsid w:val="009E3A8A"/>
    <w:rsid w:val="009E3AF7"/>
    <w:rsid w:val="009E3F09"/>
    <w:rsid w:val="009E3F72"/>
    <w:rsid w:val="009E4180"/>
    <w:rsid w:val="009E41A4"/>
    <w:rsid w:val="009E42A1"/>
    <w:rsid w:val="009E42B3"/>
    <w:rsid w:val="009E43C2"/>
    <w:rsid w:val="009E45A7"/>
    <w:rsid w:val="009E471B"/>
    <w:rsid w:val="009E47BE"/>
    <w:rsid w:val="009E483E"/>
    <w:rsid w:val="009E48DB"/>
    <w:rsid w:val="009E493E"/>
    <w:rsid w:val="009E4AB0"/>
    <w:rsid w:val="009E4B13"/>
    <w:rsid w:val="009E4B32"/>
    <w:rsid w:val="009E4E52"/>
    <w:rsid w:val="009E50CA"/>
    <w:rsid w:val="009E510E"/>
    <w:rsid w:val="009E512F"/>
    <w:rsid w:val="009E52D3"/>
    <w:rsid w:val="009E5446"/>
    <w:rsid w:val="009E56CB"/>
    <w:rsid w:val="009E56F2"/>
    <w:rsid w:val="009E580B"/>
    <w:rsid w:val="009E5816"/>
    <w:rsid w:val="009E59BF"/>
    <w:rsid w:val="009E5B97"/>
    <w:rsid w:val="009E5BD3"/>
    <w:rsid w:val="009E5DE1"/>
    <w:rsid w:val="009E5EAB"/>
    <w:rsid w:val="009E616A"/>
    <w:rsid w:val="009E63B4"/>
    <w:rsid w:val="009E63E7"/>
    <w:rsid w:val="009E67A7"/>
    <w:rsid w:val="009E68E4"/>
    <w:rsid w:val="009E6901"/>
    <w:rsid w:val="009E6BC5"/>
    <w:rsid w:val="009E6DDA"/>
    <w:rsid w:val="009E6E2F"/>
    <w:rsid w:val="009E6ECC"/>
    <w:rsid w:val="009E6EE1"/>
    <w:rsid w:val="009E6F11"/>
    <w:rsid w:val="009E6F80"/>
    <w:rsid w:val="009E706F"/>
    <w:rsid w:val="009E713A"/>
    <w:rsid w:val="009E716E"/>
    <w:rsid w:val="009E71F8"/>
    <w:rsid w:val="009E726A"/>
    <w:rsid w:val="009E740D"/>
    <w:rsid w:val="009E7426"/>
    <w:rsid w:val="009E7625"/>
    <w:rsid w:val="009E769B"/>
    <w:rsid w:val="009E772E"/>
    <w:rsid w:val="009E79CF"/>
    <w:rsid w:val="009E7A02"/>
    <w:rsid w:val="009E7AE3"/>
    <w:rsid w:val="009E7B62"/>
    <w:rsid w:val="009E7E1B"/>
    <w:rsid w:val="009E7F0C"/>
    <w:rsid w:val="009F00A0"/>
    <w:rsid w:val="009F00FB"/>
    <w:rsid w:val="009F025B"/>
    <w:rsid w:val="009F028C"/>
    <w:rsid w:val="009F037D"/>
    <w:rsid w:val="009F04F9"/>
    <w:rsid w:val="009F05A5"/>
    <w:rsid w:val="009F09B6"/>
    <w:rsid w:val="009F0ACA"/>
    <w:rsid w:val="009F0AE8"/>
    <w:rsid w:val="009F0BE4"/>
    <w:rsid w:val="009F0E28"/>
    <w:rsid w:val="009F0EDC"/>
    <w:rsid w:val="009F0F11"/>
    <w:rsid w:val="009F0F9F"/>
    <w:rsid w:val="009F113A"/>
    <w:rsid w:val="009F1424"/>
    <w:rsid w:val="009F1456"/>
    <w:rsid w:val="009F147F"/>
    <w:rsid w:val="009F14B2"/>
    <w:rsid w:val="009F1549"/>
    <w:rsid w:val="009F16F9"/>
    <w:rsid w:val="009F1724"/>
    <w:rsid w:val="009F1948"/>
    <w:rsid w:val="009F1B23"/>
    <w:rsid w:val="009F1B58"/>
    <w:rsid w:val="009F1B61"/>
    <w:rsid w:val="009F1D99"/>
    <w:rsid w:val="009F1E9F"/>
    <w:rsid w:val="009F1EB0"/>
    <w:rsid w:val="009F1FAD"/>
    <w:rsid w:val="009F2133"/>
    <w:rsid w:val="009F21D9"/>
    <w:rsid w:val="009F2293"/>
    <w:rsid w:val="009F22FA"/>
    <w:rsid w:val="009F2423"/>
    <w:rsid w:val="009F24DC"/>
    <w:rsid w:val="009F250C"/>
    <w:rsid w:val="009F2850"/>
    <w:rsid w:val="009F2A91"/>
    <w:rsid w:val="009F2AE6"/>
    <w:rsid w:val="009F2D14"/>
    <w:rsid w:val="009F2D40"/>
    <w:rsid w:val="009F2DC6"/>
    <w:rsid w:val="009F2E0D"/>
    <w:rsid w:val="009F2E42"/>
    <w:rsid w:val="009F3021"/>
    <w:rsid w:val="009F3074"/>
    <w:rsid w:val="009F31A7"/>
    <w:rsid w:val="009F3285"/>
    <w:rsid w:val="009F3347"/>
    <w:rsid w:val="009F339E"/>
    <w:rsid w:val="009F34B1"/>
    <w:rsid w:val="009F35E2"/>
    <w:rsid w:val="009F3610"/>
    <w:rsid w:val="009F38FE"/>
    <w:rsid w:val="009F3922"/>
    <w:rsid w:val="009F393A"/>
    <w:rsid w:val="009F3961"/>
    <w:rsid w:val="009F39B6"/>
    <w:rsid w:val="009F39BA"/>
    <w:rsid w:val="009F3D02"/>
    <w:rsid w:val="009F3E75"/>
    <w:rsid w:val="009F3EA8"/>
    <w:rsid w:val="009F3F0F"/>
    <w:rsid w:val="009F400B"/>
    <w:rsid w:val="009F4029"/>
    <w:rsid w:val="009F405E"/>
    <w:rsid w:val="009F41B4"/>
    <w:rsid w:val="009F438E"/>
    <w:rsid w:val="009F43A6"/>
    <w:rsid w:val="009F43C2"/>
    <w:rsid w:val="009F43C3"/>
    <w:rsid w:val="009F44F5"/>
    <w:rsid w:val="009F4550"/>
    <w:rsid w:val="009F4676"/>
    <w:rsid w:val="009F4940"/>
    <w:rsid w:val="009F4977"/>
    <w:rsid w:val="009F4AC0"/>
    <w:rsid w:val="009F4CD3"/>
    <w:rsid w:val="009F4DEF"/>
    <w:rsid w:val="009F4E32"/>
    <w:rsid w:val="009F4ED1"/>
    <w:rsid w:val="009F5134"/>
    <w:rsid w:val="009F5282"/>
    <w:rsid w:val="009F556B"/>
    <w:rsid w:val="009F596C"/>
    <w:rsid w:val="009F59A4"/>
    <w:rsid w:val="009F6049"/>
    <w:rsid w:val="009F61B9"/>
    <w:rsid w:val="009F630F"/>
    <w:rsid w:val="009F6419"/>
    <w:rsid w:val="009F6421"/>
    <w:rsid w:val="009F64B8"/>
    <w:rsid w:val="009F64E9"/>
    <w:rsid w:val="009F65C3"/>
    <w:rsid w:val="009F661B"/>
    <w:rsid w:val="009F6730"/>
    <w:rsid w:val="009F676D"/>
    <w:rsid w:val="009F676F"/>
    <w:rsid w:val="009F6815"/>
    <w:rsid w:val="009F68AC"/>
    <w:rsid w:val="009F6992"/>
    <w:rsid w:val="009F6A38"/>
    <w:rsid w:val="009F6BEC"/>
    <w:rsid w:val="009F6D8A"/>
    <w:rsid w:val="009F6E28"/>
    <w:rsid w:val="009F6E2E"/>
    <w:rsid w:val="009F6E7D"/>
    <w:rsid w:val="009F6E8B"/>
    <w:rsid w:val="009F72CF"/>
    <w:rsid w:val="009F72E3"/>
    <w:rsid w:val="009F7485"/>
    <w:rsid w:val="009F749D"/>
    <w:rsid w:val="009F7547"/>
    <w:rsid w:val="009F76AB"/>
    <w:rsid w:val="009F7742"/>
    <w:rsid w:val="009F7A79"/>
    <w:rsid w:val="009F7B05"/>
    <w:rsid w:val="009F7B06"/>
    <w:rsid w:val="009F7C69"/>
    <w:rsid w:val="009F7C8A"/>
    <w:rsid w:val="009F7D25"/>
    <w:rsid w:val="009F7D4A"/>
    <w:rsid w:val="009F7EA3"/>
    <w:rsid w:val="009F7EDD"/>
    <w:rsid w:val="00A00033"/>
    <w:rsid w:val="00A000E4"/>
    <w:rsid w:val="00A000EA"/>
    <w:rsid w:val="00A00184"/>
    <w:rsid w:val="00A001CB"/>
    <w:rsid w:val="00A002F0"/>
    <w:rsid w:val="00A0049D"/>
    <w:rsid w:val="00A0095F"/>
    <w:rsid w:val="00A00BCA"/>
    <w:rsid w:val="00A00D4A"/>
    <w:rsid w:val="00A00F34"/>
    <w:rsid w:val="00A00F3C"/>
    <w:rsid w:val="00A00FCF"/>
    <w:rsid w:val="00A0104D"/>
    <w:rsid w:val="00A0116E"/>
    <w:rsid w:val="00A01298"/>
    <w:rsid w:val="00A012CA"/>
    <w:rsid w:val="00A0138D"/>
    <w:rsid w:val="00A013C8"/>
    <w:rsid w:val="00A014DE"/>
    <w:rsid w:val="00A01A87"/>
    <w:rsid w:val="00A01AF7"/>
    <w:rsid w:val="00A01C8F"/>
    <w:rsid w:val="00A01DAE"/>
    <w:rsid w:val="00A01EC4"/>
    <w:rsid w:val="00A02004"/>
    <w:rsid w:val="00A020F8"/>
    <w:rsid w:val="00A02102"/>
    <w:rsid w:val="00A023F4"/>
    <w:rsid w:val="00A025B9"/>
    <w:rsid w:val="00A026EC"/>
    <w:rsid w:val="00A0289D"/>
    <w:rsid w:val="00A02AC7"/>
    <w:rsid w:val="00A02DA3"/>
    <w:rsid w:val="00A0345F"/>
    <w:rsid w:val="00A0352F"/>
    <w:rsid w:val="00A03745"/>
    <w:rsid w:val="00A03A5B"/>
    <w:rsid w:val="00A03AAA"/>
    <w:rsid w:val="00A03AB8"/>
    <w:rsid w:val="00A03E5E"/>
    <w:rsid w:val="00A03F48"/>
    <w:rsid w:val="00A0417D"/>
    <w:rsid w:val="00A041E9"/>
    <w:rsid w:val="00A04272"/>
    <w:rsid w:val="00A0435C"/>
    <w:rsid w:val="00A0441C"/>
    <w:rsid w:val="00A044C0"/>
    <w:rsid w:val="00A045BB"/>
    <w:rsid w:val="00A04612"/>
    <w:rsid w:val="00A04691"/>
    <w:rsid w:val="00A0495B"/>
    <w:rsid w:val="00A0499A"/>
    <w:rsid w:val="00A04AC0"/>
    <w:rsid w:val="00A04AC3"/>
    <w:rsid w:val="00A04BE6"/>
    <w:rsid w:val="00A04C46"/>
    <w:rsid w:val="00A04C86"/>
    <w:rsid w:val="00A04D7F"/>
    <w:rsid w:val="00A04E6B"/>
    <w:rsid w:val="00A05030"/>
    <w:rsid w:val="00A050C2"/>
    <w:rsid w:val="00A05133"/>
    <w:rsid w:val="00A0524F"/>
    <w:rsid w:val="00A052CA"/>
    <w:rsid w:val="00A05359"/>
    <w:rsid w:val="00A053BD"/>
    <w:rsid w:val="00A056F6"/>
    <w:rsid w:val="00A05791"/>
    <w:rsid w:val="00A058C2"/>
    <w:rsid w:val="00A05925"/>
    <w:rsid w:val="00A0595A"/>
    <w:rsid w:val="00A05987"/>
    <w:rsid w:val="00A05AB7"/>
    <w:rsid w:val="00A05D2C"/>
    <w:rsid w:val="00A05E14"/>
    <w:rsid w:val="00A05F7F"/>
    <w:rsid w:val="00A06080"/>
    <w:rsid w:val="00A061BC"/>
    <w:rsid w:val="00A06350"/>
    <w:rsid w:val="00A063BB"/>
    <w:rsid w:val="00A064B2"/>
    <w:rsid w:val="00A064BA"/>
    <w:rsid w:val="00A065DB"/>
    <w:rsid w:val="00A06616"/>
    <w:rsid w:val="00A067DD"/>
    <w:rsid w:val="00A067FD"/>
    <w:rsid w:val="00A068A1"/>
    <w:rsid w:val="00A068FF"/>
    <w:rsid w:val="00A06980"/>
    <w:rsid w:val="00A06AD5"/>
    <w:rsid w:val="00A06AD6"/>
    <w:rsid w:val="00A06B44"/>
    <w:rsid w:val="00A06B8A"/>
    <w:rsid w:val="00A06BF8"/>
    <w:rsid w:val="00A06DA7"/>
    <w:rsid w:val="00A06F78"/>
    <w:rsid w:val="00A0719D"/>
    <w:rsid w:val="00A071E6"/>
    <w:rsid w:val="00A07250"/>
    <w:rsid w:val="00A07267"/>
    <w:rsid w:val="00A072BE"/>
    <w:rsid w:val="00A07373"/>
    <w:rsid w:val="00A07541"/>
    <w:rsid w:val="00A075C9"/>
    <w:rsid w:val="00A076A0"/>
    <w:rsid w:val="00A07A01"/>
    <w:rsid w:val="00A07B81"/>
    <w:rsid w:val="00A07CF7"/>
    <w:rsid w:val="00A07E4F"/>
    <w:rsid w:val="00A07E5E"/>
    <w:rsid w:val="00A07F42"/>
    <w:rsid w:val="00A10229"/>
    <w:rsid w:val="00A1046E"/>
    <w:rsid w:val="00A105D5"/>
    <w:rsid w:val="00A10601"/>
    <w:rsid w:val="00A107B7"/>
    <w:rsid w:val="00A10A1D"/>
    <w:rsid w:val="00A10A7A"/>
    <w:rsid w:val="00A10C4F"/>
    <w:rsid w:val="00A110CD"/>
    <w:rsid w:val="00A11374"/>
    <w:rsid w:val="00A113C7"/>
    <w:rsid w:val="00A11723"/>
    <w:rsid w:val="00A11755"/>
    <w:rsid w:val="00A11796"/>
    <w:rsid w:val="00A11808"/>
    <w:rsid w:val="00A1197F"/>
    <w:rsid w:val="00A119B3"/>
    <w:rsid w:val="00A11A56"/>
    <w:rsid w:val="00A11B2B"/>
    <w:rsid w:val="00A11DAE"/>
    <w:rsid w:val="00A11DEA"/>
    <w:rsid w:val="00A11F2A"/>
    <w:rsid w:val="00A120C3"/>
    <w:rsid w:val="00A12114"/>
    <w:rsid w:val="00A12130"/>
    <w:rsid w:val="00A123CA"/>
    <w:rsid w:val="00A12438"/>
    <w:rsid w:val="00A1269A"/>
    <w:rsid w:val="00A126CD"/>
    <w:rsid w:val="00A12867"/>
    <w:rsid w:val="00A12981"/>
    <w:rsid w:val="00A12BC1"/>
    <w:rsid w:val="00A12D17"/>
    <w:rsid w:val="00A12D51"/>
    <w:rsid w:val="00A12DC7"/>
    <w:rsid w:val="00A12E0B"/>
    <w:rsid w:val="00A12EB1"/>
    <w:rsid w:val="00A12F17"/>
    <w:rsid w:val="00A13402"/>
    <w:rsid w:val="00A13407"/>
    <w:rsid w:val="00A1349D"/>
    <w:rsid w:val="00A13534"/>
    <w:rsid w:val="00A136EC"/>
    <w:rsid w:val="00A13714"/>
    <w:rsid w:val="00A13749"/>
    <w:rsid w:val="00A137D6"/>
    <w:rsid w:val="00A13A76"/>
    <w:rsid w:val="00A13C30"/>
    <w:rsid w:val="00A13C75"/>
    <w:rsid w:val="00A13D80"/>
    <w:rsid w:val="00A13E68"/>
    <w:rsid w:val="00A14153"/>
    <w:rsid w:val="00A14238"/>
    <w:rsid w:val="00A1436E"/>
    <w:rsid w:val="00A1467F"/>
    <w:rsid w:val="00A14749"/>
    <w:rsid w:val="00A14784"/>
    <w:rsid w:val="00A1487E"/>
    <w:rsid w:val="00A14939"/>
    <w:rsid w:val="00A14B36"/>
    <w:rsid w:val="00A14B38"/>
    <w:rsid w:val="00A14B82"/>
    <w:rsid w:val="00A14CB9"/>
    <w:rsid w:val="00A14DCD"/>
    <w:rsid w:val="00A14F09"/>
    <w:rsid w:val="00A14FCD"/>
    <w:rsid w:val="00A150F4"/>
    <w:rsid w:val="00A15115"/>
    <w:rsid w:val="00A15215"/>
    <w:rsid w:val="00A153EF"/>
    <w:rsid w:val="00A155E6"/>
    <w:rsid w:val="00A1573F"/>
    <w:rsid w:val="00A157AD"/>
    <w:rsid w:val="00A15804"/>
    <w:rsid w:val="00A15816"/>
    <w:rsid w:val="00A159DD"/>
    <w:rsid w:val="00A159DF"/>
    <w:rsid w:val="00A15AD0"/>
    <w:rsid w:val="00A15CA0"/>
    <w:rsid w:val="00A15DBE"/>
    <w:rsid w:val="00A15E8B"/>
    <w:rsid w:val="00A15EA0"/>
    <w:rsid w:val="00A15F29"/>
    <w:rsid w:val="00A15F69"/>
    <w:rsid w:val="00A15F98"/>
    <w:rsid w:val="00A1608D"/>
    <w:rsid w:val="00A16167"/>
    <w:rsid w:val="00A16553"/>
    <w:rsid w:val="00A16780"/>
    <w:rsid w:val="00A16877"/>
    <w:rsid w:val="00A168D0"/>
    <w:rsid w:val="00A16A2A"/>
    <w:rsid w:val="00A16B24"/>
    <w:rsid w:val="00A16B93"/>
    <w:rsid w:val="00A16BD6"/>
    <w:rsid w:val="00A16BFF"/>
    <w:rsid w:val="00A16E05"/>
    <w:rsid w:val="00A16F8C"/>
    <w:rsid w:val="00A1700B"/>
    <w:rsid w:val="00A17056"/>
    <w:rsid w:val="00A170D7"/>
    <w:rsid w:val="00A17356"/>
    <w:rsid w:val="00A173DB"/>
    <w:rsid w:val="00A17408"/>
    <w:rsid w:val="00A1742C"/>
    <w:rsid w:val="00A17436"/>
    <w:rsid w:val="00A17518"/>
    <w:rsid w:val="00A176F7"/>
    <w:rsid w:val="00A177BA"/>
    <w:rsid w:val="00A1785A"/>
    <w:rsid w:val="00A17A4A"/>
    <w:rsid w:val="00A17B3F"/>
    <w:rsid w:val="00A17D34"/>
    <w:rsid w:val="00A17D38"/>
    <w:rsid w:val="00A17DE0"/>
    <w:rsid w:val="00A17F3F"/>
    <w:rsid w:val="00A17F73"/>
    <w:rsid w:val="00A17FB9"/>
    <w:rsid w:val="00A2012A"/>
    <w:rsid w:val="00A2013A"/>
    <w:rsid w:val="00A20367"/>
    <w:rsid w:val="00A20382"/>
    <w:rsid w:val="00A208CC"/>
    <w:rsid w:val="00A20920"/>
    <w:rsid w:val="00A209E0"/>
    <w:rsid w:val="00A20B9E"/>
    <w:rsid w:val="00A20C37"/>
    <w:rsid w:val="00A20C55"/>
    <w:rsid w:val="00A20C97"/>
    <w:rsid w:val="00A20F3B"/>
    <w:rsid w:val="00A20FD0"/>
    <w:rsid w:val="00A21025"/>
    <w:rsid w:val="00A21117"/>
    <w:rsid w:val="00A211F5"/>
    <w:rsid w:val="00A21214"/>
    <w:rsid w:val="00A212A7"/>
    <w:rsid w:val="00A212B6"/>
    <w:rsid w:val="00A21458"/>
    <w:rsid w:val="00A214C8"/>
    <w:rsid w:val="00A214FC"/>
    <w:rsid w:val="00A215F5"/>
    <w:rsid w:val="00A2178D"/>
    <w:rsid w:val="00A217D0"/>
    <w:rsid w:val="00A21915"/>
    <w:rsid w:val="00A21918"/>
    <w:rsid w:val="00A21A2E"/>
    <w:rsid w:val="00A21CBD"/>
    <w:rsid w:val="00A21CF9"/>
    <w:rsid w:val="00A220EF"/>
    <w:rsid w:val="00A2217C"/>
    <w:rsid w:val="00A221B7"/>
    <w:rsid w:val="00A22204"/>
    <w:rsid w:val="00A22281"/>
    <w:rsid w:val="00A22367"/>
    <w:rsid w:val="00A22542"/>
    <w:rsid w:val="00A22547"/>
    <w:rsid w:val="00A2255F"/>
    <w:rsid w:val="00A2266C"/>
    <w:rsid w:val="00A2272F"/>
    <w:rsid w:val="00A22776"/>
    <w:rsid w:val="00A22783"/>
    <w:rsid w:val="00A22CF0"/>
    <w:rsid w:val="00A22CF5"/>
    <w:rsid w:val="00A22CFE"/>
    <w:rsid w:val="00A22EAF"/>
    <w:rsid w:val="00A23141"/>
    <w:rsid w:val="00A23195"/>
    <w:rsid w:val="00A2320B"/>
    <w:rsid w:val="00A232BF"/>
    <w:rsid w:val="00A233DD"/>
    <w:rsid w:val="00A23406"/>
    <w:rsid w:val="00A23435"/>
    <w:rsid w:val="00A234EF"/>
    <w:rsid w:val="00A237F2"/>
    <w:rsid w:val="00A23839"/>
    <w:rsid w:val="00A238A3"/>
    <w:rsid w:val="00A238E0"/>
    <w:rsid w:val="00A23963"/>
    <w:rsid w:val="00A23981"/>
    <w:rsid w:val="00A23A18"/>
    <w:rsid w:val="00A23A28"/>
    <w:rsid w:val="00A23C12"/>
    <w:rsid w:val="00A23C31"/>
    <w:rsid w:val="00A23E5D"/>
    <w:rsid w:val="00A23F9E"/>
    <w:rsid w:val="00A23FDA"/>
    <w:rsid w:val="00A24003"/>
    <w:rsid w:val="00A24061"/>
    <w:rsid w:val="00A24097"/>
    <w:rsid w:val="00A240BA"/>
    <w:rsid w:val="00A2410D"/>
    <w:rsid w:val="00A2418B"/>
    <w:rsid w:val="00A242A8"/>
    <w:rsid w:val="00A243F6"/>
    <w:rsid w:val="00A2446B"/>
    <w:rsid w:val="00A244F3"/>
    <w:rsid w:val="00A2463B"/>
    <w:rsid w:val="00A2492B"/>
    <w:rsid w:val="00A24A0B"/>
    <w:rsid w:val="00A24BB5"/>
    <w:rsid w:val="00A24C23"/>
    <w:rsid w:val="00A24D57"/>
    <w:rsid w:val="00A24D84"/>
    <w:rsid w:val="00A24D9B"/>
    <w:rsid w:val="00A24DE2"/>
    <w:rsid w:val="00A24F1E"/>
    <w:rsid w:val="00A24F58"/>
    <w:rsid w:val="00A24FFB"/>
    <w:rsid w:val="00A25057"/>
    <w:rsid w:val="00A250B7"/>
    <w:rsid w:val="00A25289"/>
    <w:rsid w:val="00A253D3"/>
    <w:rsid w:val="00A255D7"/>
    <w:rsid w:val="00A2587F"/>
    <w:rsid w:val="00A25922"/>
    <w:rsid w:val="00A25980"/>
    <w:rsid w:val="00A25CE9"/>
    <w:rsid w:val="00A25F11"/>
    <w:rsid w:val="00A2620A"/>
    <w:rsid w:val="00A2631F"/>
    <w:rsid w:val="00A26380"/>
    <w:rsid w:val="00A264E3"/>
    <w:rsid w:val="00A2680D"/>
    <w:rsid w:val="00A2689E"/>
    <w:rsid w:val="00A268A8"/>
    <w:rsid w:val="00A26967"/>
    <w:rsid w:val="00A26A85"/>
    <w:rsid w:val="00A26ADA"/>
    <w:rsid w:val="00A26C77"/>
    <w:rsid w:val="00A26CD3"/>
    <w:rsid w:val="00A26E2A"/>
    <w:rsid w:val="00A26E9E"/>
    <w:rsid w:val="00A26F34"/>
    <w:rsid w:val="00A27449"/>
    <w:rsid w:val="00A27755"/>
    <w:rsid w:val="00A277AA"/>
    <w:rsid w:val="00A27869"/>
    <w:rsid w:val="00A27923"/>
    <w:rsid w:val="00A279B4"/>
    <w:rsid w:val="00A279D9"/>
    <w:rsid w:val="00A27AA9"/>
    <w:rsid w:val="00A27ABA"/>
    <w:rsid w:val="00A27D88"/>
    <w:rsid w:val="00A27DA0"/>
    <w:rsid w:val="00A27EBB"/>
    <w:rsid w:val="00A27EC6"/>
    <w:rsid w:val="00A27F3F"/>
    <w:rsid w:val="00A300E1"/>
    <w:rsid w:val="00A30215"/>
    <w:rsid w:val="00A303CF"/>
    <w:rsid w:val="00A303EB"/>
    <w:rsid w:val="00A30405"/>
    <w:rsid w:val="00A30461"/>
    <w:rsid w:val="00A304FD"/>
    <w:rsid w:val="00A30527"/>
    <w:rsid w:val="00A3065F"/>
    <w:rsid w:val="00A306B1"/>
    <w:rsid w:val="00A30897"/>
    <w:rsid w:val="00A308A8"/>
    <w:rsid w:val="00A30A63"/>
    <w:rsid w:val="00A30AC9"/>
    <w:rsid w:val="00A30C7A"/>
    <w:rsid w:val="00A30CF5"/>
    <w:rsid w:val="00A30E0D"/>
    <w:rsid w:val="00A30E72"/>
    <w:rsid w:val="00A3111D"/>
    <w:rsid w:val="00A3117E"/>
    <w:rsid w:val="00A311EB"/>
    <w:rsid w:val="00A3124F"/>
    <w:rsid w:val="00A31370"/>
    <w:rsid w:val="00A313C3"/>
    <w:rsid w:val="00A31421"/>
    <w:rsid w:val="00A3147D"/>
    <w:rsid w:val="00A3156C"/>
    <w:rsid w:val="00A31651"/>
    <w:rsid w:val="00A31867"/>
    <w:rsid w:val="00A31AB2"/>
    <w:rsid w:val="00A31B5E"/>
    <w:rsid w:val="00A31B9E"/>
    <w:rsid w:val="00A31C3E"/>
    <w:rsid w:val="00A31C4B"/>
    <w:rsid w:val="00A31C69"/>
    <w:rsid w:val="00A31DFF"/>
    <w:rsid w:val="00A31EF3"/>
    <w:rsid w:val="00A31F15"/>
    <w:rsid w:val="00A31FB2"/>
    <w:rsid w:val="00A3211D"/>
    <w:rsid w:val="00A32229"/>
    <w:rsid w:val="00A32249"/>
    <w:rsid w:val="00A32427"/>
    <w:rsid w:val="00A324A8"/>
    <w:rsid w:val="00A325EF"/>
    <w:rsid w:val="00A327CD"/>
    <w:rsid w:val="00A32855"/>
    <w:rsid w:val="00A32A6C"/>
    <w:rsid w:val="00A32B00"/>
    <w:rsid w:val="00A32BAC"/>
    <w:rsid w:val="00A32D08"/>
    <w:rsid w:val="00A32D43"/>
    <w:rsid w:val="00A32D92"/>
    <w:rsid w:val="00A32F37"/>
    <w:rsid w:val="00A32F8D"/>
    <w:rsid w:val="00A3305A"/>
    <w:rsid w:val="00A331F8"/>
    <w:rsid w:val="00A3346A"/>
    <w:rsid w:val="00A33673"/>
    <w:rsid w:val="00A337E3"/>
    <w:rsid w:val="00A338B0"/>
    <w:rsid w:val="00A33924"/>
    <w:rsid w:val="00A33A48"/>
    <w:rsid w:val="00A33B81"/>
    <w:rsid w:val="00A33C66"/>
    <w:rsid w:val="00A33CA4"/>
    <w:rsid w:val="00A33CCA"/>
    <w:rsid w:val="00A33D84"/>
    <w:rsid w:val="00A33DF8"/>
    <w:rsid w:val="00A34258"/>
    <w:rsid w:val="00A34298"/>
    <w:rsid w:val="00A34415"/>
    <w:rsid w:val="00A34515"/>
    <w:rsid w:val="00A346CF"/>
    <w:rsid w:val="00A3489E"/>
    <w:rsid w:val="00A34959"/>
    <w:rsid w:val="00A34AF9"/>
    <w:rsid w:val="00A34C27"/>
    <w:rsid w:val="00A34D12"/>
    <w:rsid w:val="00A34DCC"/>
    <w:rsid w:val="00A3507F"/>
    <w:rsid w:val="00A35135"/>
    <w:rsid w:val="00A3515C"/>
    <w:rsid w:val="00A351FC"/>
    <w:rsid w:val="00A35206"/>
    <w:rsid w:val="00A352BE"/>
    <w:rsid w:val="00A352F7"/>
    <w:rsid w:val="00A3570F"/>
    <w:rsid w:val="00A35767"/>
    <w:rsid w:val="00A357E1"/>
    <w:rsid w:val="00A3582C"/>
    <w:rsid w:val="00A35852"/>
    <w:rsid w:val="00A35861"/>
    <w:rsid w:val="00A35CDC"/>
    <w:rsid w:val="00A35D02"/>
    <w:rsid w:val="00A35E1F"/>
    <w:rsid w:val="00A36188"/>
    <w:rsid w:val="00A36514"/>
    <w:rsid w:val="00A36553"/>
    <w:rsid w:val="00A365BC"/>
    <w:rsid w:val="00A36765"/>
    <w:rsid w:val="00A368AF"/>
    <w:rsid w:val="00A369E0"/>
    <w:rsid w:val="00A36A38"/>
    <w:rsid w:val="00A36B30"/>
    <w:rsid w:val="00A36B54"/>
    <w:rsid w:val="00A36B5F"/>
    <w:rsid w:val="00A36C0E"/>
    <w:rsid w:val="00A36DD0"/>
    <w:rsid w:val="00A36EA5"/>
    <w:rsid w:val="00A36FD3"/>
    <w:rsid w:val="00A36FF8"/>
    <w:rsid w:val="00A371B9"/>
    <w:rsid w:val="00A371BE"/>
    <w:rsid w:val="00A3720E"/>
    <w:rsid w:val="00A37228"/>
    <w:rsid w:val="00A372A4"/>
    <w:rsid w:val="00A37313"/>
    <w:rsid w:val="00A37323"/>
    <w:rsid w:val="00A373D2"/>
    <w:rsid w:val="00A37493"/>
    <w:rsid w:val="00A3757F"/>
    <w:rsid w:val="00A3758E"/>
    <w:rsid w:val="00A37607"/>
    <w:rsid w:val="00A3761D"/>
    <w:rsid w:val="00A3762B"/>
    <w:rsid w:val="00A37805"/>
    <w:rsid w:val="00A3799A"/>
    <w:rsid w:val="00A37A53"/>
    <w:rsid w:val="00A37A59"/>
    <w:rsid w:val="00A37AF4"/>
    <w:rsid w:val="00A37DAA"/>
    <w:rsid w:val="00A37DEC"/>
    <w:rsid w:val="00A37EA2"/>
    <w:rsid w:val="00A37F3C"/>
    <w:rsid w:val="00A37F85"/>
    <w:rsid w:val="00A37FDA"/>
    <w:rsid w:val="00A40407"/>
    <w:rsid w:val="00A404A5"/>
    <w:rsid w:val="00A40527"/>
    <w:rsid w:val="00A4070C"/>
    <w:rsid w:val="00A40741"/>
    <w:rsid w:val="00A407AC"/>
    <w:rsid w:val="00A4082B"/>
    <w:rsid w:val="00A40A17"/>
    <w:rsid w:val="00A40B2A"/>
    <w:rsid w:val="00A40BE1"/>
    <w:rsid w:val="00A40C11"/>
    <w:rsid w:val="00A40CD0"/>
    <w:rsid w:val="00A40D04"/>
    <w:rsid w:val="00A40EAE"/>
    <w:rsid w:val="00A410B5"/>
    <w:rsid w:val="00A41267"/>
    <w:rsid w:val="00A41274"/>
    <w:rsid w:val="00A4138C"/>
    <w:rsid w:val="00A41682"/>
    <w:rsid w:val="00A41822"/>
    <w:rsid w:val="00A419CC"/>
    <w:rsid w:val="00A419EB"/>
    <w:rsid w:val="00A41A45"/>
    <w:rsid w:val="00A41A50"/>
    <w:rsid w:val="00A41A9B"/>
    <w:rsid w:val="00A41AFC"/>
    <w:rsid w:val="00A41B2E"/>
    <w:rsid w:val="00A41B83"/>
    <w:rsid w:val="00A41CE3"/>
    <w:rsid w:val="00A41D91"/>
    <w:rsid w:val="00A420EF"/>
    <w:rsid w:val="00A4223F"/>
    <w:rsid w:val="00A4228F"/>
    <w:rsid w:val="00A42310"/>
    <w:rsid w:val="00A423DE"/>
    <w:rsid w:val="00A42454"/>
    <w:rsid w:val="00A42577"/>
    <w:rsid w:val="00A425D6"/>
    <w:rsid w:val="00A426E9"/>
    <w:rsid w:val="00A4285A"/>
    <w:rsid w:val="00A428D9"/>
    <w:rsid w:val="00A429D5"/>
    <w:rsid w:val="00A42AE8"/>
    <w:rsid w:val="00A42C53"/>
    <w:rsid w:val="00A42D10"/>
    <w:rsid w:val="00A42DA6"/>
    <w:rsid w:val="00A42EBE"/>
    <w:rsid w:val="00A42F1E"/>
    <w:rsid w:val="00A43024"/>
    <w:rsid w:val="00A43709"/>
    <w:rsid w:val="00A437A7"/>
    <w:rsid w:val="00A43948"/>
    <w:rsid w:val="00A43BCB"/>
    <w:rsid w:val="00A43CF9"/>
    <w:rsid w:val="00A43DEB"/>
    <w:rsid w:val="00A43E06"/>
    <w:rsid w:val="00A43FB4"/>
    <w:rsid w:val="00A44028"/>
    <w:rsid w:val="00A44088"/>
    <w:rsid w:val="00A441A3"/>
    <w:rsid w:val="00A442BB"/>
    <w:rsid w:val="00A442C9"/>
    <w:rsid w:val="00A442F4"/>
    <w:rsid w:val="00A4451F"/>
    <w:rsid w:val="00A44739"/>
    <w:rsid w:val="00A44908"/>
    <w:rsid w:val="00A4490E"/>
    <w:rsid w:val="00A44DC1"/>
    <w:rsid w:val="00A44EFD"/>
    <w:rsid w:val="00A44F97"/>
    <w:rsid w:val="00A44FD5"/>
    <w:rsid w:val="00A451CB"/>
    <w:rsid w:val="00A451DE"/>
    <w:rsid w:val="00A453FE"/>
    <w:rsid w:val="00A45497"/>
    <w:rsid w:val="00A4579F"/>
    <w:rsid w:val="00A458ED"/>
    <w:rsid w:val="00A45904"/>
    <w:rsid w:val="00A45906"/>
    <w:rsid w:val="00A45A1D"/>
    <w:rsid w:val="00A45A3C"/>
    <w:rsid w:val="00A45AFD"/>
    <w:rsid w:val="00A45C3A"/>
    <w:rsid w:val="00A45C41"/>
    <w:rsid w:val="00A45D49"/>
    <w:rsid w:val="00A45E90"/>
    <w:rsid w:val="00A45EE5"/>
    <w:rsid w:val="00A45F39"/>
    <w:rsid w:val="00A4620E"/>
    <w:rsid w:val="00A462B1"/>
    <w:rsid w:val="00A46323"/>
    <w:rsid w:val="00A463A4"/>
    <w:rsid w:val="00A46400"/>
    <w:rsid w:val="00A46441"/>
    <w:rsid w:val="00A46453"/>
    <w:rsid w:val="00A46459"/>
    <w:rsid w:val="00A46685"/>
    <w:rsid w:val="00A46760"/>
    <w:rsid w:val="00A46B90"/>
    <w:rsid w:val="00A46CA8"/>
    <w:rsid w:val="00A46E7E"/>
    <w:rsid w:val="00A47163"/>
    <w:rsid w:val="00A472FD"/>
    <w:rsid w:val="00A47496"/>
    <w:rsid w:val="00A47610"/>
    <w:rsid w:val="00A4767E"/>
    <w:rsid w:val="00A47886"/>
    <w:rsid w:val="00A479A7"/>
    <w:rsid w:val="00A47A89"/>
    <w:rsid w:val="00A47B48"/>
    <w:rsid w:val="00A47C76"/>
    <w:rsid w:val="00A47ECA"/>
    <w:rsid w:val="00A5015C"/>
    <w:rsid w:val="00A50213"/>
    <w:rsid w:val="00A50251"/>
    <w:rsid w:val="00A503B3"/>
    <w:rsid w:val="00A50479"/>
    <w:rsid w:val="00A50514"/>
    <w:rsid w:val="00A50523"/>
    <w:rsid w:val="00A5055E"/>
    <w:rsid w:val="00A5074C"/>
    <w:rsid w:val="00A5074D"/>
    <w:rsid w:val="00A5076B"/>
    <w:rsid w:val="00A508AC"/>
    <w:rsid w:val="00A509E1"/>
    <w:rsid w:val="00A50ABE"/>
    <w:rsid w:val="00A50B2B"/>
    <w:rsid w:val="00A50D54"/>
    <w:rsid w:val="00A50E30"/>
    <w:rsid w:val="00A50E64"/>
    <w:rsid w:val="00A5103E"/>
    <w:rsid w:val="00A5111F"/>
    <w:rsid w:val="00A511D4"/>
    <w:rsid w:val="00A51206"/>
    <w:rsid w:val="00A51272"/>
    <w:rsid w:val="00A512ED"/>
    <w:rsid w:val="00A51396"/>
    <w:rsid w:val="00A513FE"/>
    <w:rsid w:val="00A514E2"/>
    <w:rsid w:val="00A5177A"/>
    <w:rsid w:val="00A517FE"/>
    <w:rsid w:val="00A5181F"/>
    <w:rsid w:val="00A51855"/>
    <w:rsid w:val="00A518C5"/>
    <w:rsid w:val="00A518E2"/>
    <w:rsid w:val="00A51A48"/>
    <w:rsid w:val="00A51B89"/>
    <w:rsid w:val="00A51D25"/>
    <w:rsid w:val="00A51D8C"/>
    <w:rsid w:val="00A51E85"/>
    <w:rsid w:val="00A51F0A"/>
    <w:rsid w:val="00A52104"/>
    <w:rsid w:val="00A52292"/>
    <w:rsid w:val="00A522B0"/>
    <w:rsid w:val="00A52365"/>
    <w:rsid w:val="00A52393"/>
    <w:rsid w:val="00A5270A"/>
    <w:rsid w:val="00A52888"/>
    <w:rsid w:val="00A528F9"/>
    <w:rsid w:val="00A52991"/>
    <w:rsid w:val="00A529F5"/>
    <w:rsid w:val="00A52D01"/>
    <w:rsid w:val="00A52D2B"/>
    <w:rsid w:val="00A52D4D"/>
    <w:rsid w:val="00A52D90"/>
    <w:rsid w:val="00A52ECA"/>
    <w:rsid w:val="00A532D9"/>
    <w:rsid w:val="00A532F6"/>
    <w:rsid w:val="00A533A6"/>
    <w:rsid w:val="00A534F4"/>
    <w:rsid w:val="00A5365A"/>
    <w:rsid w:val="00A536D4"/>
    <w:rsid w:val="00A53806"/>
    <w:rsid w:val="00A53A72"/>
    <w:rsid w:val="00A53F18"/>
    <w:rsid w:val="00A5420E"/>
    <w:rsid w:val="00A54292"/>
    <w:rsid w:val="00A543B6"/>
    <w:rsid w:val="00A543BE"/>
    <w:rsid w:val="00A544C7"/>
    <w:rsid w:val="00A54505"/>
    <w:rsid w:val="00A5458A"/>
    <w:rsid w:val="00A545D6"/>
    <w:rsid w:val="00A545D9"/>
    <w:rsid w:val="00A547D7"/>
    <w:rsid w:val="00A54880"/>
    <w:rsid w:val="00A54A79"/>
    <w:rsid w:val="00A54C03"/>
    <w:rsid w:val="00A54D06"/>
    <w:rsid w:val="00A54D29"/>
    <w:rsid w:val="00A54DBA"/>
    <w:rsid w:val="00A54E6B"/>
    <w:rsid w:val="00A54EB0"/>
    <w:rsid w:val="00A54F3A"/>
    <w:rsid w:val="00A54F99"/>
    <w:rsid w:val="00A550AA"/>
    <w:rsid w:val="00A55419"/>
    <w:rsid w:val="00A554BA"/>
    <w:rsid w:val="00A554E9"/>
    <w:rsid w:val="00A55552"/>
    <w:rsid w:val="00A55607"/>
    <w:rsid w:val="00A55613"/>
    <w:rsid w:val="00A55682"/>
    <w:rsid w:val="00A556E3"/>
    <w:rsid w:val="00A55728"/>
    <w:rsid w:val="00A558B9"/>
    <w:rsid w:val="00A55AD3"/>
    <w:rsid w:val="00A55B5E"/>
    <w:rsid w:val="00A55F08"/>
    <w:rsid w:val="00A55F24"/>
    <w:rsid w:val="00A55F5F"/>
    <w:rsid w:val="00A55FA6"/>
    <w:rsid w:val="00A56097"/>
    <w:rsid w:val="00A560F3"/>
    <w:rsid w:val="00A56124"/>
    <w:rsid w:val="00A5652B"/>
    <w:rsid w:val="00A565B2"/>
    <w:rsid w:val="00A565D0"/>
    <w:rsid w:val="00A5693B"/>
    <w:rsid w:val="00A56DCA"/>
    <w:rsid w:val="00A56E18"/>
    <w:rsid w:val="00A56E2A"/>
    <w:rsid w:val="00A56E93"/>
    <w:rsid w:val="00A56ED5"/>
    <w:rsid w:val="00A56F61"/>
    <w:rsid w:val="00A56FEE"/>
    <w:rsid w:val="00A5701A"/>
    <w:rsid w:val="00A570AE"/>
    <w:rsid w:val="00A570E2"/>
    <w:rsid w:val="00A57278"/>
    <w:rsid w:val="00A57287"/>
    <w:rsid w:val="00A5751A"/>
    <w:rsid w:val="00A5754C"/>
    <w:rsid w:val="00A57581"/>
    <w:rsid w:val="00A5798E"/>
    <w:rsid w:val="00A57A84"/>
    <w:rsid w:val="00A57A8C"/>
    <w:rsid w:val="00A57ACA"/>
    <w:rsid w:val="00A57B6E"/>
    <w:rsid w:val="00A57BF9"/>
    <w:rsid w:val="00A57BFB"/>
    <w:rsid w:val="00A57D3E"/>
    <w:rsid w:val="00A57E62"/>
    <w:rsid w:val="00A600AC"/>
    <w:rsid w:val="00A600FE"/>
    <w:rsid w:val="00A605F3"/>
    <w:rsid w:val="00A6085A"/>
    <w:rsid w:val="00A60860"/>
    <w:rsid w:val="00A60937"/>
    <w:rsid w:val="00A6093F"/>
    <w:rsid w:val="00A6099C"/>
    <w:rsid w:val="00A60AAF"/>
    <w:rsid w:val="00A60B21"/>
    <w:rsid w:val="00A60B51"/>
    <w:rsid w:val="00A60BF2"/>
    <w:rsid w:val="00A60D8C"/>
    <w:rsid w:val="00A60E0A"/>
    <w:rsid w:val="00A60F4F"/>
    <w:rsid w:val="00A611E0"/>
    <w:rsid w:val="00A61370"/>
    <w:rsid w:val="00A61396"/>
    <w:rsid w:val="00A61499"/>
    <w:rsid w:val="00A616A6"/>
    <w:rsid w:val="00A61760"/>
    <w:rsid w:val="00A61922"/>
    <w:rsid w:val="00A6194A"/>
    <w:rsid w:val="00A619A8"/>
    <w:rsid w:val="00A61AB3"/>
    <w:rsid w:val="00A61C82"/>
    <w:rsid w:val="00A61D36"/>
    <w:rsid w:val="00A61D64"/>
    <w:rsid w:val="00A61D71"/>
    <w:rsid w:val="00A61E58"/>
    <w:rsid w:val="00A61EA8"/>
    <w:rsid w:val="00A61FDA"/>
    <w:rsid w:val="00A61FDF"/>
    <w:rsid w:val="00A6207D"/>
    <w:rsid w:val="00A620D9"/>
    <w:rsid w:val="00A621FE"/>
    <w:rsid w:val="00A62235"/>
    <w:rsid w:val="00A62616"/>
    <w:rsid w:val="00A62665"/>
    <w:rsid w:val="00A62743"/>
    <w:rsid w:val="00A62848"/>
    <w:rsid w:val="00A629A4"/>
    <w:rsid w:val="00A629FC"/>
    <w:rsid w:val="00A62A28"/>
    <w:rsid w:val="00A62BA5"/>
    <w:rsid w:val="00A62CEC"/>
    <w:rsid w:val="00A62DAB"/>
    <w:rsid w:val="00A62E44"/>
    <w:rsid w:val="00A62F7B"/>
    <w:rsid w:val="00A62FC6"/>
    <w:rsid w:val="00A630A2"/>
    <w:rsid w:val="00A6311E"/>
    <w:rsid w:val="00A6351B"/>
    <w:rsid w:val="00A635A4"/>
    <w:rsid w:val="00A637FB"/>
    <w:rsid w:val="00A638F5"/>
    <w:rsid w:val="00A63947"/>
    <w:rsid w:val="00A63AF6"/>
    <w:rsid w:val="00A63B6F"/>
    <w:rsid w:val="00A63BFD"/>
    <w:rsid w:val="00A63E74"/>
    <w:rsid w:val="00A63EF5"/>
    <w:rsid w:val="00A64048"/>
    <w:rsid w:val="00A64265"/>
    <w:rsid w:val="00A64336"/>
    <w:rsid w:val="00A64383"/>
    <w:rsid w:val="00A64388"/>
    <w:rsid w:val="00A644BF"/>
    <w:rsid w:val="00A64662"/>
    <w:rsid w:val="00A648C8"/>
    <w:rsid w:val="00A64934"/>
    <w:rsid w:val="00A64962"/>
    <w:rsid w:val="00A64AF6"/>
    <w:rsid w:val="00A64AFF"/>
    <w:rsid w:val="00A64CEE"/>
    <w:rsid w:val="00A64E37"/>
    <w:rsid w:val="00A650C4"/>
    <w:rsid w:val="00A65170"/>
    <w:rsid w:val="00A651A4"/>
    <w:rsid w:val="00A653DD"/>
    <w:rsid w:val="00A65411"/>
    <w:rsid w:val="00A6546F"/>
    <w:rsid w:val="00A654E4"/>
    <w:rsid w:val="00A655D1"/>
    <w:rsid w:val="00A655D6"/>
    <w:rsid w:val="00A655E1"/>
    <w:rsid w:val="00A65616"/>
    <w:rsid w:val="00A6565C"/>
    <w:rsid w:val="00A65741"/>
    <w:rsid w:val="00A65789"/>
    <w:rsid w:val="00A658F6"/>
    <w:rsid w:val="00A65AB6"/>
    <w:rsid w:val="00A65C41"/>
    <w:rsid w:val="00A65D74"/>
    <w:rsid w:val="00A65D90"/>
    <w:rsid w:val="00A661B5"/>
    <w:rsid w:val="00A66372"/>
    <w:rsid w:val="00A6639B"/>
    <w:rsid w:val="00A663DF"/>
    <w:rsid w:val="00A664E0"/>
    <w:rsid w:val="00A665BC"/>
    <w:rsid w:val="00A669FE"/>
    <w:rsid w:val="00A66C5F"/>
    <w:rsid w:val="00A66D3C"/>
    <w:rsid w:val="00A66D69"/>
    <w:rsid w:val="00A66DDF"/>
    <w:rsid w:val="00A66ED1"/>
    <w:rsid w:val="00A66F20"/>
    <w:rsid w:val="00A6725D"/>
    <w:rsid w:val="00A67361"/>
    <w:rsid w:val="00A675A5"/>
    <w:rsid w:val="00A676A6"/>
    <w:rsid w:val="00A676EA"/>
    <w:rsid w:val="00A67760"/>
    <w:rsid w:val="00A678B7"/>
    <w:rsid w:val="00A6796B"/>
    <w:rsid w:val="00A679E2"/>
    <w:rsid w:val="00A67A41"/>
    <w:rsid w:val="00A67AA8"/>
    <w:rsid w:val="00A67ACC"/>
    <w:rsid w:val="00A67B40"/>
    <w:rsid w:val="00A67B5B"/>
    <w:rsid w:val="00A67BA3"/>
    <w:rsid w:val="00A67CEE"/>
    <w:rsid w:val="00A67E20"/>
    <w:rsid w:val="00A67EFA"/>
    <w:rsid w:val="00A67F63"/>
    <w:rsid w:val="00A67FA5"/>
    <w:rsid w:val="00A67FFC"/>
    <w:rsid w:val="00A700FD"/>
    <w:rsid w:val="00A70235"/>
    <w:rsid w:val="00A70254"/>
    <w:rsid w:val="00A703A0"/>
    <w:rsid w:val="00A703E9"/>
    <w:rsid w:val="00A70529"/>
    <w:rsid w:val="00A70645"/>
    <w:rsid w:val="00A7069E"/>
    <w:rsid w:val="00A7089F"/>
    <w:rsid w:val="00A70A69"/>
    <w:rsid w:val="00A70AC8"/>
    <w:rsid w:val="00A70CD2"/>
    <w:rsid w:val="00A70E1A"/>
    <w:rsid w:val="00A70EA6"/>
    <w:rsid w:val="00A70FE4"/>
    <w:rsid w:val="00A7102D"/>
    <w:rsid w:val="00A71054"/>
    <w:rsid w:val="00A71289"/>
    <w:rsid w:val="00A71328"/>
    <w:rsid w:val="00A71609"/>
    <w:rsid w:val="00A71619"/>
    <w:rsid w:val="00A7165C"/>
    <w:rsid w:val="00A716F1"/>
    <w:rsid w:val="00A7173A"/>
    <w:rsid w:val="00A71770"/>
    <w:rsid w:val="00A717F1"/>
    <w:rsid w:val="00A71905"/>
    <w:rsid w:val="00A71907"/>
    <w:rsid w:val="00A7194D"/>
    <w:rsid w:val="00A719C0"/>
    <w:rsid w:val="00A71B42"/>
    <w:rsid w:val="00A71B91"/>
    <w:rsid w:val="00A71E6D"/>
    <w:rsid w:val="00A71E9A"/>
    <w:rsid w:val="00A71F31"/>
    <w:rsid w:val="00A721DD"/>
    <w:rsid w:val="00A725DF"/>
    <w:rsid w:val="00A72654"/>
    <w:rsid w:val="00A72694"/>
    <w:rsid w:val="00A7289A"/>
    <w:rsid w:val="00A728E0"/>
    <w:rsid w:val="00A72AE3"/>
    <w:rsid w:val="00A72B9D"/>
    <w:rsid w:val="00A72C52"/>
    <w:rsid w:val="00A72E4D"/>
    <w:rsid w:val="00A72FBC"/>
    <w:rsid w:val="00A731A7"/>
    <w:rsid w:val="00A733E6"/>
    <w:rsid w:val="00A73559"/>
    <w:rsid w:val="00A73593"/>
    <w:rsid w:val="00A73665"/>
    <w:rsid w:val="00A73815"/>
    <w:rsid w:val="00A73819"/>
    <w:rsid w:val="00A7385C"/>
    <w:rsid w:val="00A73B68"/>
    <w:rsid w:val="00A73BD5"/>
    <w:rsid w:val="00A73C2F"/>
    <w:rsid w:val="00A73C91"/>
    <w:rsid w:val="00A73CCC"/>
    <w:rsid w:val="00A73D6B"/>
    <w:rsid w:val="00A73EC3"/>
    <w:rsid w:val="00A73EEE"/>
    <w:rsid w:val="00A73F4C"/>
    <w:rsid w:val="00A74138"/>
    <w:rsid w:val="00A74236"/>
    <w:rsid w:val="00A742F2"/>
    <w:rsid w:val="00A74322"/>
    <w:rsid w:val="00A743A6"/>
    <w:rsid w:val="00A744BE"/>
    <w:rsid w:val="00A746A1"/>
    <w:rsid w:val="00A7480E"/>
    <w:rsid w:val="00A748DD"/>
    <w:rsid w:val="00A74942"/>
    <w:rsid w:val="00A74AA9"/>
    <w:rsid w:val="00A74AB7"/>
    <w:rsid w:val="00A74B07"/>
    <w:rsid w:val="00A74C5F"/>
    <w:rsid w:val="00A74E85"/>
    <w:rsid w:val="00A7519C"/>
    <w:rsid w:val="00A7519D"/>
    <w:rsid w:val="00A7523C"/>
    <w:rsid w:val="00A7524A"/>
    <w:rsid w:val="00A7524F"/>
    <w:rsid w:val="00A753C4"/>
    <w:rsid w:val="00A753E7"/>
    <w:rsid w:val="00A754A7"/>
    <w:rsid w:val="00A754AA"/>
    <w:rsid w:val="00A75505"/>
    <w:rsid w:val="00A75788"/>
    <w:rsid w:val="00A75989"/>
    <w:rsid w:val="00A759A8"/>
    <w:rsid w:val="00A75AC5"/>
    <w:rsid w:val="00A75AE0"/>
    <w:rsid w:val="00A75B15"/>
    <w:rsid w:val="00A75CEF"/>
    <w:rsid w:val="00A75D69"/>
    <w:rsid w:val="00A75DC2"/>
    <w:rsid w:val="00A75E27"/>
    <w:rsid w:val="00A75EEE"/>
    <w:rsid w:val="00A75F5F"/>
    <w:rsid w:val="00A7608F"/>
    <w:rsid w:val="00A760A1"/>
    <w:rsid w:val="00A76127"/>
    <w:rsid w:val="00A761F3"/>
    <w:rsid w:val="00A7631D"/>
    <w:rsid w:val="00A7644A"/>
    <w:rsid w:val="00A76460"/>
    <w:rsid w:val="00A764D0"/>
    <w:rsid w:val="00A7650D"/>
    <w:rsid w:val="00A765EA"/>
    <w:rsid w:val="00A76643"/>
    <w:rsid w:val="00A76A35"/>
    <w:rsid w:val="00A76B04"/>
    <w:rsid w:val="00A76C87"/>
    <w:rsid w:val="00A76F5D"/>
    <w:rsid w:val="00A76F9C"/>
    <w:rsid w:val="00A76FDE"/>
    <w:rsid w:val="00A77119"/>
    <w:rsid w:val="00A77144"/>
    <w:rsid w:val="00A7715A"/>
    <w:rsid w:val="00A7717F"/>
    <w:rsid w:val="00A771F6"/>
    <w:rsid w:val="00A773B5"/>
    <w:rsid w:val="00A773FC"/>
    <w:rsid w:val="00A77419"/>
    <w:rsid w:val="00A775E9"/>
    <w:rsid w:val="00A7764D"/>
    <w:rsid w:val="00A77729"/>
    <w:rsid w:val="00A77787"/>
    <w:rsid w:val="00A77A69"/>
    <w:rsid w:val="00A77B5C"/>
    <w:rsid w:val="00A77CB2"/>
    <w:rsid w:val="00A77D84"/>
    <w:rsid w:val="00A77DD2"/>
    <w:rsid w:val="00A77F0B"/>
    <w:rsid w:val="00A77F28"/>
    <w:rsid w:val="00A77F58"/>
    <w:rsid w:val="00A8023D"/>
    <w:rsid w:val="00A802DC"/>
    <w:rsid w:val="00A802FB"/>
    <w:rsid w:val="00A80429"/>
    <w:rsid w:val="00A80480"/>
    <w:rsid w:val="00A80523"/>
    <w:rsid w:val="00A8058F"/>
    <w:rsid w:val="00A80774"/>
    <w:rsid w:val="00A80819"/>
    <w:rsid w:val="00A8083F"/>
    <w:rsid w:val="00A809ED"/>
    <w:rsid w:val="00A80A12"/>
    <w:rsid w:val="00A80ADE"/>
    <w:rsid w:val="00A80B52"/>
    <w:rsid w:val="00A80C43"/>
    <w:rsid w:val="00A80E5E"/>
    <w:rsid w:val="00A8106E"/>
    <w:rsid w:val="00A8109F"/>
    <w:rsid w:val="00A81173"/>
    <w:rsid w:val="00A811B4"/>
    <w:rsid w:val="00A8140F"/>
    <w:rsid w:val="00A81453"/>
    <w:rsid w:val="00A81893"/>
    <w:rsid w:val="00A81BF2"/>
    <w:rsid w:val="00A81BF4"/>
    <w:rsid w:val="00A81C4D"/>
    <w:rsid w:val="00A81C56"/>
    <w:rsid w:val="00A81D8F"/>
    <w:rsid w:val="00A81E64"/>
    <w:rsid w:val="00A82013"/>
    <w:rsid w:val="00A82103"/>
    <w:rsid w:val="00A82181"/>
    <w:rsid w:val="00A821CA"/>
    <w:rsid w:val="00A822FC"/>
    <w:rsid w:val="00A8239A"/>
    <w:rsid w:val="00A823A0"/>
    <w:rsid w:val="00A82517"/>
    <w:rsid w:val="00A8271B"/>
    <w:rsid w:val="00A827A6"/>
    <w:rsid w:val="00A8294D"/>
    <w:rsid w:val="00A82A1D"/>
    <w:rsid w:val="00A82A96"/>
    <w:rsid w:val="00A82BC1"/>
    <w:rsid w:val="00A82BCB"/>
    <w:rsid w:val="00A82E37"/>
    <w:rsid w:val="00A82FBA"/>
    <w:rsid w:val="00A83027"/>
    <w:rsid w:val="00A8337B"/>
    <w:rsid w:val="00A833F9"/>
    <w:rsid w:val="00A838B1"/>
    <w:rsid w:val="00A83A40"/>
    <w:rsid w:val="00A83A5C"/>
    <w:rsid w:val="00A83C12"/>
    <w:rsid w:val="00A83C1B"/>
    <w:rsid w:val="00A83C32"/>
    <w:rsid w:val="00A83CD1"/>
    <w:rsid w:val="00A8419F"/>
    <w:rsid w:val="00A842E4"/>
    <w:rsid w:val="00A84486"/>
    <w:rsid w:val="00A8457C"/>
    <w:rsid w:val="00A84583"/>
    <w:rsid w:val="00A845E2"/>
    <w:rsid w:val="00A8476B"/>
    <w:rsid w:val="00A84804"/>
    <w:rsid w:val="00A84818"/>
    <w:rsid w:val="00A8487D"/>
    <w:rsid w:val="00A848F9"/>
    <w:rsid w:val="00A84A60"/>
    <w:rsid w:val="00A84AAC"/>
    <w:rsid w:val="00A84B39"/>
    <w:rsid w:val="00A84CD8"/>
    <w:rsid w:val="00A84CDC"/>
    <w:rsid w:val="00A84E28"/>
    <w:rsid w:val="00A84E5D"/>
    <w:rsid w:val="00A84E99"/>
    <w:rsid w:val="00A84F1A"/>
    <w:rsid w:val="00A84FCE"/>
    <w:rsid w:val="00A8507E"/>
    <w:rsid w:val="00A8522F"/>
    <w:rsid w:val="00A853F2"/>
    <w:rsid w:val="00A855E4"/>
    <w:rsid w:val="00A856C9"/>
    <w:rsid w:val="00A857D5"/>
    <w:rsid w:val="00A85842"/>
    <w:rsid w:val="00A85900"/>
    <w:rsid w:val="00A8596D"/>
    <w:rsid w:val="00A8612B"/>
    <w:rsid w:val="00A861C9"/>
    <w:rsid w:val="00A8626B"/>
    <w:rsid w:val="00A862CB"/>
    <w:rsid w:val="00A8630C"/>
    <w:rsid w:val="00A86384"/>
    <w:rsid w:val="00A863F2"/>
    <w:rsid w:val="00A86400"/>
    <w:rsid w:val="00A86418"/>
    <w:rsid w:val="00A8642E"/>
    <w:rsid w:val="00A86543"/>
    <w:rsid w:val="00A8668C"/>
    <w:rsid w:val="00A8673A"/>
    <w:rsid w:val="00A86A48"/>
    <w:rsid w:val="00A86CCE"/>
    <w:rsid w:val="00A86D69"/>
    <w:rsid w:val="00A86E40"/>
    <w:rsid w:val="00A86E47"/>
    <w:rsid w:val="00A86ED3"/>
    <w:rsid w:val="00A86F14"/>
    <w:rsid w:val="00A8716F"/>
    <w:rsid w:val="00A8744D"/>
    <w:rsid w:val="00A87729"/>
    <w:rsid w:val="00A879FA"/>
    <w:rsid w:val="00A87D07"/>
    <w:rsid w:val="00A87EBE"/>
    <w:rsid w:val="00A87F6F"/>
    <w:rsid w:val="00A87FA3"/>
    <w:rsid w:val="00A900A4"/>
    <w:rsid w:val="00A90179"/>
    <w:rsid w:val="00A90192"/>
    <w:rsid w:val="00A901C3"/>
    <w:rsid w:val="00A90245"/>
    <w:rsid w:val="00A90384"/>
    <w:rsid w:val="00A903FD"/>
    <w:rsid w:val="00A904C1"/>
    <w:rsid w:val="00A90837"/>
    <w:rsid w:val="00A90869"/>
    <w:rsid w:val="00A90923"/>
    <w:rsid w:val="00A909B5"/>
    <w:rsid w:val="00A90C51"/>
    <w:rsid w:val="00A90F2F"/>
    <w:rsid w:val="00A91130"/>
    <w:rsid w:val="00A913C5"/>
    <w:rsid w:val="00A915AB"/>
    <w:rsid w:val="00A91687"/>
    <w:rsid w:val="00A91A5D"/>
    <w:rsid w:val="00A91D13"/>
    <w:rsid w:val="00A91D60"/>
    <w:rsid w:val="00A92045"/>
    <w:rsid w:val="00A9205B"/>
    <w:rsid w:val="00A9213F"/>
    <w:rsid w:val="00A9238C"/>
    <w:rsid w:val="00A926D9"/>
    <w:rsid w:val="00A927FB"/>
    <w:rsid w:val="00A92832"/>
    <w:rsid w:val="00A9284A"/>
    <w:rsid w:val="00A9288E"/>
    <w:rsid w:val="00A92924"/>
    <w:rsid w:val="00A929D2"/>
    <w:rsid w:val="00A929EE"/>
    <w:rsid w:val="00A92AF4"/>
    <w:rsid w:val="00A92C37"/>
    <w:rsid w:val="00A92C8C"/>
    <w:rsid w:val="00A92E68"/>
    <w:rsid w:val="00A92EC4"/>
    <w:rsid w:val="00A93003"/>
    <w:rsid w:val="00A9307C"/>
    <w:rsid w:val="00A93174"/>
    <w:rsid w:val="00A93206"/>
    <w:rsid w:val="00A933DE"/>
    <w:rsid w:val="00A934C8"/>
    <w:rsid w:val="00A93517"/>
    <w:rsid w:val="00A935EE"/>
    <w:rsid w:val="00A9372C"/>
    <w:rsid w:val="00A9377E"/>
    <w:rsid w:val="00A93809"/>
    <w:rsid w:val="00A939BA"/>
    <w:rsid w:val="00A93A49"/>
    <w:rsid w:val="00A93A71"/>
    <w:rsid w:val="00A93A8E"/>
    <w:rsid w:val="00A93A99"/>
    <w:rsid w:val="00A93AB4"/>
    <w:rsid w:val="00A93C4C"/>
    <w:rsid w:val="00A93E52"/>
    <w:rsid w:val="00A93E59"/>
    <w:rsid w:val="00A93ED6"/>
    <w:rsid w:val="00A941C2"/>
    <w:rsid w:val="00A942F5"/>
    <w:rsid w:val="00A94418"/>
    <w:rsid w:val="00A94485"/>
    <w:rsid w:val="00A944ED"/>
    <w:rsid w:val="00A944FC"/>
    <w:rsid w:val="00A94690"/>
    <w:rsid w:val="00A946BC"/>
    <w:rsid w:val="00A946CC"/>
    <w:rsid w:val="00A94A92"/>
    <w:rsid w:val="00A94BD1"/>
    <w:rsid w:val="00A94CD8"/>
    <w:rsid w:val="00A94D7C"/>
    <w:rsid w:val="00A94F74"/>
    <w:rsid w:val="00A9512D"/>
    <w:rsid w:val="00A95193"/>
    <w:rsid w:val="00A95198"/>
    <w:rsid w:val="00A951D9"/>
    <w:rsid w:val="00A95437"/>
    <w:rsid w:val="00A95438"/>
    <w:rsid w:val="00A954A1"/>
    <w:rsid w:val="00A95920"/>
    <w:rsid w:val="00A95A05"/>
    <w:rsid w:val="00A95B20"/>
    <w:rsid w:val="00A95B27"/>
    <w:rsid w:val="00A95BB1"/>
    <w:rsid w:val="00A95DC0"/>
    <w:rsid w:val="00A95F8C"/>
    <w:rsid w:val="00A9601A"/>
    <w:rsid w:val="00A96104"/>
    <w:rsid w:val="00A9616E"/>
    <w:rsid w:val="00A96237"/>
    <w:rsid w:val="00A9623A"/>
    <w:rsid w:val="00A96502"/>
    <w:rsid w:val="00A9653D"/>
    <w:rsid w:val="00A965E1"/>
    <w:rsid w:val="00A96824"/>
    <w:rsid w:val="00A9692A"/>
    <w:rsid w:val="00A96A5D"/>
    <w:rsid w:val="00A96CB4"/>
    <w:rsid w:val="00A96CDE"/>
    <w:rsid w:val="00A96D00"/>
    <w:rsid w:val="00A96DF4"/>
    <w:rsid w:val="00A96ED4"/>
    <w:rsid w:val="00A96F03"/>
    <w:rsid w:val="00A970C5"/>
    <w:rsid w:val="00A970CA"/>
    <w:rsid w:val="00A97328"/>
    <w:rsid w:val="00A974C2"/>
    <w:rsid w:val="00A9759E"/>
    <w:rsid w:val="00A97750"/>
    <w:rsid w:val="00A977D6"/>
    <w:rsid w:val="00A9790E"/>
    <w:rsid w:val="00A979A3"/>
    <w:rsid w:val="00A979DC"/>
    <w:rsid w:val="00A97B41"/>
    <w:rsid w:val="00A97B71"/>
    <w:rsid w:val="00A97B93"/>
    <w:rsid w:val="00A97EAD"/>
    <w:rsid w:val="00A97F0C"/>
    <w:rsid w:val="00AA005D"/>
    <w:rsid w:val="00AA013F"/>
    <w:rsid w:val="00AA0337"/>
    <w:rsid w:val="00AA0352"/>
    <w:rsid w:val="00AA042A"/>
    <w:rsid w:val="00AA051B"/>
    <w:rsid w:val="00AA0571"/>
    <w:rsid w:val="00AA0660"/>
    <w:rsid w:val="00AA07A3"/>
    <w:rsid w:val="00AA0A5D"/>
    <w:rsid w:val="00AA0D17"/>
    <w:rsid w:val="00AA0DCC"/>
    <w:rsid w:val="00AA0F16"/>
    <w:rsid w:val="00AA0F98"/>
    <w:rsid w:val="00AA0FC7"/>
    <w:rsid w:val="00AA109C"/>
    <w:rsid w:val="00AA1115"/>
    <w:rsid w:val="00AA1163"/>
    <w:rsid w:val="00AA118C"/>
    <w:rsid w:val="00AA119F"/>
    <w:rsid w:val="00AA11F2"/>
    <w:rsid w:val="00AA128E"/>
    <w:rsid w:val="00AA1302"/>
    <w:rsid w:val="00AA132C"/>
    <w:rsid w:val="00AA1411"/>
    <w:rsid w:val="00AA143F"/>
    <w:rsid w:val="00AA14F6"/>
    <w:rsid w:val="00AA14FE"/>
    <w:rsid w:val="00AA1746"/>
    <w:rsid w:val="00AA1780"/>
    <w:rsid w:val="00AA17FE"/>
    <w:rsid w:val="00AA1A4A"/>
    <w:rsid w:val="00AA1B0F"/>
    <w:rsid w:val="00AA1B25"/>
    <w:rsid w:val="00AA1B54"/>
    <w:rsid w:val="00AA1B97"/>
    <w:rsid w:val="00AA1BD3"/>
    <w:rsid w:val="00AA1C99"/>
    <w:rsid w:val="00AA1DBD"/>
    <w:rsid w:val="00AA1F8D"/>
    <w:rsid w:val="00AA1FE2"/>
    <w:rsid w:val="00AA2315"/>
    <w:rsid w:val="00AA24C9"/>
    <w:rsid w:val="00AA2589"/>
    <w:rsid w:val="00AA2616"/>
    <w:rsid w:val="00AA26CC"/>
    <w:rsid w:val="00AA276B"/>
    <w:rsid w:val="00AA2827"/>
    <w:rsid w:val="00AA289A"/>
    <w:rsid w:val="00AA296E"/>
    <w:rsid w:val="00AA29C8"/>
    <w:rsid w:val="00AA2A33"/>
    <w:rsid w:val="00AA2C1C"/>
    <w:rsid w:val="00AA2C57"/>
    <w:rsid w:val="00AA2CD1"/>
    <w:rsid w:val="00AA2E64"/>
    <w:rsid w:val="00AA2F3E"/>
    <w:rsid w:val="00AA2FAC"/>
    <w:rsid w:val="00AA312A"/>
    <w:rsid w:val="00AA3210"/>
    <w:rsid w:val="00AA328B"/>
    <w:rsid w:val="00AA335D"/>
    <w:rsid w:val="00AA3370"/>
    <w:rsid w:val="00AA3399"/>
    <w:rsid w:val="00AA35A6"/>
    <w:rsid w:val="00AA35E0"/>
    <w:rsid w:val="00AA37DD"/>
    <w:rsid w:val="00AA3892"/>
    <w:rsid w:val="00AA389D"/>
    <w:rsid w:val="00AA391B"/>
    <w:rsid w:val="00AA3945"/>
    <w:rsid w:val="00AA3987"/>
    <w:rsid w:val="00AA3A9F"/>
    <w:rsid w:val="00AA3CD9"/>
    <w:rsid w:val="00AA3D28"/>
    <w:rsid w:val="00AA3D9F"/>
    <w:rsid w:val="00AA404B"/>
    <w:rsid w:val="00AA430E"/>
    <w:rsid w:val="00AA4420"/>
    <w:rsid w:val="00AA448A"/>
    <w:rsid w:val="00AA451C"/>
    <w:rsid w:val="00AA4533"/>
    <w:rsid w:val="00AA4542"/>
    <w:rsid w:val="00AA4558"/>
    <w:rsid w:val="00AA45CD"/>
    <w:rsid w:val="00AA4892"/>
    <w:rsid w:val="00AA4B09"/>
    <w:rsid w:val="00AA4C19"/>
    <w:rsid w:val="00AA4CCE"/>
    <w:rsid w:val="00AA4D22"/>
    <w:rsid w:val="00AA4DEA"/>
    <w:rsid w:val="00AA4DFF"/>
    <w:rsid w:val="00AA4F64"/>
    <w:rsid w:val="00AA50FC"/>
    <w:rsid w:val="00AA520B"/>
    <w:rsid w:val="00AA53CD"/>
    <w:rsid w:val="00AA5480"/>
    <w:rsid w:val="00AA5619"/>
    <w:rsid w:val="00AA56C4"/>
    <w:rsid w:val="00AA575A"/>
    <w:rsid w:val="00AA575B"/>
    <w:rsid w:val="00AA5908"/>
    <w:rsid w:val="00AA5B8B"/>
    <w:rsid w:val="00AA5BD9"/>
    <w:rsid w:val="00AA5D3C"/>
    <w:rsid w:val="00AA5D7B"/>
    <w:rsid w:val="00AA5EF1"/>
    <w:rsid w:val="00AA5F72"/>
    <w:rsid w:val="00AA6087"/>
    <w:rsid w:val="00AA6135"/>
    <w:rsid w:val="00AA624C"/>
    <w:rsid w:val="00AA6452"/>
    <w:rsid w:val="00AA6511"/>
    <w:rsid w:val="00AA65CC"/>
    <w:rsid w:val="00AA6722"/>
    <w:rsid w:val="00AA6748"/>
    <w:rsid w:val="00AA6938"/>
    <w:rsid w:val="00AA69C0"/>
    <w:rsid w:val="00AA6AC6"/>
    <w:rsid w:val="00AA6B3C"/>
    <w:rsid w:val="00AA6DA6"/>
    <w:rsid w:val="00AA6F4E"/>
    <w:rsid w:val="00AA6F51"/>
    <w:rsid w:val="00AA713C"/>
    <w:rsid w:val="00AA72FC"/>
    <w:rsid w:val="00AA73A5"/>
    <w:rsid w:val="00AA7497"/>
    <w:rsid w:val="00AA74AC"/>
    <w:rsid w:val="00AA7514"/>
    <w:rsid w:val="00AA75AB"/>
    <w:rsid w:val="00AA7790"/>
    <w:rsid w:val="00AA7973"/>
    <w:rsid w:val="00AA7A24"/>
    <w:rsid w:val="00AA7A3D"/>
    <w:rsid w:val="00AA7B40"/>
    <w:rsid w:val="00AA7DB8"/>
    <w:rsid w:val="00AA7E36"/>
    <w:rsid w:val="00AA7F84"/>
    <w:rsid w:val="00AA7F88"/>
    <w:rsid w:val="00AB0032"/>
    <w:rsid w:val="00AB006D"/>
    <w:rsid w:val="00AB01C9"/>
    <w:rsid w:val="00AB023D"/>
    <w:rsid w:val="00AB039C"/>
    <w:rsid w:val="00AB0471"/>
    <w:rsid w:val="00AB0583"/>
    <w:rsid w:val="00AB0662"/>
    <w:rsid w:val="00AB0759"/>
    <w:rsid w:val="00AB075B"/>
    <w:rsid w:val="00AB07FA"/>
    <w:rsid w:val="00AB0908"/>
    <w:rsid w:val="00AB0C38"/>
    <w:rsid w:val="00AB0D94"/>
    <w:rsid w:val="00AB0DC7"/>
    <w:rsid w:val="00AB0E74"/>
    <w:rsid w:val="00AB0F0C"/>
    <w:rsid w:val="00AB0F3B"/>
    <w:rsid w:val="00AB0F45"/>
    <w:rsid w:val="00AB0F91"/>
    <w:rsid w:val="00AB0FC4"/>
    <w:rsid w:val="00AB100D"/>
    <w:rsid w:val="00AB1106"/>
    <w:rsid w:val="00AB12E9"/>
    <w:rsid w:val="00AB14A8"/>
    <w:rsid w:val="00AB14BE"/>
    <w:rsid w:val="00AB1747"/>
    <w:rsid w:val="00AB17B0"/>
    <w:rsid w:val="00AB188E"/>
    <w:rsid w:val="00AB1912"/>
    <w:rsid w:val="00AB192E"/>
    <w:rsid w:val="00AB1953"/>
    <w:rsid w:val="00AB196C"/>
    <w:rsid w:val="00AB1C3D"/>
    <w:rsid w:val="00AB1C87"/>
    <w:rsid w:val="00AB1CBF"/>
    <w:rsid w:val="00AB1DC7"/>
    <w:rsid w:val="00AB1FA3"/>
    <w:rsid w:val="00AB1FBB"/>
    <w:rsid w:val="00AB20E8"/>
    <w:rsid w:val="00AB21CF"/>
    <w:rsid w:val="00AB241E"/>
    <w:rsid w:val="00AB249C"/>
    <w:rsid w:val="00AB24CB"/>
    <w:rsid w:val="00AB24E6"/>
    <w:rsid w:val="00AB2528"/>
    <w:rsid w:val="00AB2643"/>
    <w:rsid w:val="00AB2777"/>
    <w:rsid w:val="00AB287D"/>
    <w:rsid w:val="00AB2A1B"/>
    <w:rsid w:val="00AB2A22"/>
    <w:rsid w:val="00AB2B2D"/>
    <w:rsid w:val="00AB2D0D"/>
    <w:rsid w:val="00AB2E92"/>
    <w:rsid w:val="00AB2F87"/>
    <w:rsid w:val="00AB3083"/>
    <w:rsid w:val="00AB311C"/>
    <w:rsid w:val="00AB326C"/>
    <w:rsid w:val="00AB32B5"/>
    <w:rsid w:val="00AB35A8"/>
    <w:rsid w:val="00AB35BB"/>
    <w:rsid w:val="00AB369F"/>
    <w:rsid w:val="00AB36F3"/>
    <w:rsid w:val="00AB37A5"/>
    <w:rsid w:val="00AB37D1"/>
    <w:rsid w:val="00AB3900"/>
    <w:rsid w:val="00AB399E"/>
    <w:rsid w:val="00AB39D6"/>
    <w:rsid w:val="00AB3B2D"/>
    <w:rsid w:val="00AB3D1D"/>
    <w:rsid w:val="00AB3E49"/>
    <w:rsid w:val="00AB3E57"/>
    <w:rsid w:val="00AB4007"/>
    <w:rsid w:val="00AB404F"/>
    <w:rsid w:val="00AB40B8"/>
    <w:rsid w:val="00AB4139"/>
    <w:rsid w:val="00AB442D"/>
    <w:rsid w:val="00AB4501"/>
    <w:rsid w:val="00AB452E"/>
    <w:rsid w:val="00AB4624"/>
    <w:rsid w:val="00AB4773"/>
    <w:rsid w:val="00AB48FC"/>
    <w:rsid w:val="00AB4937"/>
    <w:rsid w:val="00AB4941"/>
    <w:rsid w:val="00AB4AC9"/>
    <w:rsid w:val="00AB4C14"/>
    <w:rsid w:val="00AB4F8A"/>
    <w:rsid w:val="00AB5090"/>
    <w:rsid w:val="00AB514E"/>
    <w:rsid w:val="00AB5288"/>
    <w:rsid w:val="00AB544D"/>
    <w:rsid w:val="00AB5537"/>
    <w:rsid w:val="00AB559D"/>
    <w:rsid w:val="00AB57D7"/>
    <w:rsid w:val="00AB5855"/>
    <w:rsid w:val="00AB5881"/>
    <w:rsid w:val="00AB590A"/>
    <w:rsid w:val="00AB5AF2"/>
    <w:rsid w:val="00AB5B89"/>
    <w:rsid w:val="00AB5D30"/>
    <w:rsid w:val="00AB5D82"/>
    <w:rsid w:val="00AB5DCF"/>
    <w:rsid w:val="00AB6163"/>
    <w:rsid w:val="00AB6225"/>
    <w:rsid w:val="00AB6487"/>
    <w:rsid w:val="00AB64E5"/>
    <w:rsid w:val="00AB658C"/>
    <w:rsid w:val="00AB65C3"/>
    <w:rsid w:val="00AB68F1"/>
    <w:rsid w:val="00AB6958"/>
    <w:rsid w:val="00AB6991"/>
    <w:rsid w:val="00AB6C5C"/>
    <w:rsid w:val="00AB6D02"/>
    <w:rsid w:val="00AB6FD6"/>
    <w:rsid w:val="00AB6FE8"/>
    <w:rsid w:val="00AB706B"/>
    <w:rsid w:val="00AB738A"/>
    <w:rsid w:val="00AB7492"/>
    <w:rsid w:val="00AB74FC"/>
    <w:rsid w:val="00AB7539"/>
    <w:rsid w:val="00AB7915"/>
    <w:rsid w:val="00AB7933"/>
    <w:rsid w:val="00AB7A7E"/>
    <w:rsid w:val="00AB7BF3"/>
    <w:rsid w:val="00AB7D40"/>
    <w:rsid w:val="00AB7FA0"/>
    <w:rsid w:val="00AC0091"/>
    <w:rsid w:val="00AC00B9"/>
    <w:rsid w:val="00AC0111"/>
    <w:rsid w:val="00AC0112"/>
    <w:rsid w:val="00AC0176"/>
    <w:rsid w:val="00AC01A7"/>
    <w:rsid w:val="00AC01FD"/>
    <w:rsid w:val="00AC0243"/>
    <w:rsid w:val="00AC02E2"/>
    <w:rsid w:val="00AC0599"/>
    <w:rsid w:val="00AC075A"/>
    <w:rsid w:val="00AC0843"/>
    <w:rsid w:val="00AC0952"/>
    <w:rsid w:val="00AC0A3F"/>
    <w:rsid w:val="00AC0ADB"/>
    <w:rsid w:val="00AC0CCD"/>
    <w:rsid w:val="00AC0EAD"/>
    <w:rsid w:val="00AC103B"/>
    <w:rsid w:val="00AC10E8"/>
    <w:rsid w:val="00AC11A2"/>
    <w:rsid w:val="00AC12B5"/>
    <w:rsid w:val="00AC12DE"/>
    <w:rsid w:val="00AC13B3"/>
    <w:rsid w:val="00AC13DE"/>
    <w:rsid w:val="00AC13EE"/>
    <w:rsid w:val="00AC13F6"/>
    <w:rsid w:val="00AC150D"/>
    <w:rsid w:val="00AC173E"/>
    <w:rsid w:val="00AC17FD"/>
    <w:rsid w:val="00AC183F"/>
    <w:rsid w:val="00AC19DC"/>
    <w:rsid w:val="00AC1B3A"/>
    <w:rsid w:val="00AC1CC0"/>
    <w:rsid w:val="00AC1D8E"/>
    <w:rsid w:val="00AC1E5D"/>
    <w:rsid w:val="00AC1E7B"/>
    <w:rsid w:val="00AC1EBD"/>
    <w:rsid w:val="00AC1ED4"/>
    <w:rsid w:val="00AC1F10"/>
    <w:rsid w:val="00AC1FBF"/>
    <w:rsid w:val="00AC22A1"/>
    <w:rsid w:val="00AC238D"/>
    <w:rsid w:val="00AC2427"/>
    <w:rsid w:val="00AC2487"/>
    <w:rsid w:val="00AC251A"/>
    <w:rsid w:val="00AC260D"/>
    <w:rsid w:val="00AC27C7"/>
    <w:rsid w:val="00AC2943"/>
    <w:rsid w:val="00AC297D"/>
    <w:rsid w:val="00AC2998"/>
    <w:rsid w:val="00AC2C54"/>
    <w:rsid w:val="00AC2CF4"/>
    <w:rsid w:val="00AC2D57"/>
    <w:rsid w:val="00AC2DEF"/>
    <w:rsid w:val="00AC2E12"/>
    <w:rsid w:val="00AC2E44"/>
    <w:rsid w:val="00AC2EBF"/>
    <w:rsid w:val="00AC33FC"/>
    <w:rsid w:val="00AC343F"/>
    <w:rsid w:val="00AC3480"/>
    <w:rsid w:val="00AC34C4"/>
    <w:rsid w:val="00AC3535"/>
    <w:rsid w:val="00AC360D"/>
    <w:rsid w:val="00AC3624"/>
    <w:rsid w:val="00AC36DA"/>
    <w:rsid w:val="00AC379D"/>
    <w:rsid w:val="00AC396A"/>
    <w:rsid w:val="00AC39C5"/>
    <w:rsid w:val="00AC3B85"/>
    <w:rsid w:val="00AC3BCB"/>
    <w:rsid w:val="00AC3DE7"/>
    <w:rsid w:val="00AC3E3E"/>
    <w:rsid w:val="00AC3F42"/>
    <w:rsid w:val="00AC423C"/>
    <w:rsid w:val="00AC435F"/>
    <w:rsid w:val="00AC446E"/>
    <w:rsid w:val="00AC4506"/>
    <w:rsid w:val="00AC459C"/>
    <w:rsid w:val="00AC460B"/>
    <w:rsid w:val="00AC4660"/>
    <w:rsid w:val="00AC46F3"/>
    <w:rsid w:val="00AC4733"/>
    <w:rsid w:val="00AC481D"/>
    <w:rsid w:val="00AC4836"/>
    <w:rsid w:val="00AC4AF5"/>
    <w:rsid w:val="00AC4B17"/>
    <w:rsid w:val="00AC4B2A"/>
    <w:rsid w:val="00AC4C65"/>
    <w:rsid w:val="00AC4CD8"/>
    <w:rsid w:val="00AC4DA8"/>
    <w:rsid w:val="00AC4E42"/>
    <w:rsid w:val="00AC4F90"/>
    <w:rsid w:val="00AC4FDF"/>
    <w:rsid w:val="00AC5307"/>
    <w:rsid w:val="00AC5461"/>
    <w:rsid w:val="00AC5705"/>
    <w:rsid w:val="00AC59CE"/>
    <w:rsid w:val="00AC5A31"/>
    <w:rsid w:val="00AC5CA7"/>
    <w:rsid w:val="00AC5CB1"/>
    <w:rsid w:val="00AC60F7"/>
    <w:rsid w:val="00AC613C"/>
    <w:rsid w:val="00AC61D4"/>
    <w:rsid w:val="00AC622D"/>
    <w:rsid w:val="00AC6559"/>
    <w:rsid w:val="00AC659D"/>
    <w:rsid w:val="00AC65C5"/>
    <w:rsid w:val="00AC6628"/>
    <w:rsid w:val="00AC6696"/>
    <w:rsid w:val="00AC6706"/>
    <w:rsid w:val="00AC6ACB"/>
    <w:rsid w:val="00AC6B2D"/>
    <w:rsid w:val="00AC6B40"/>
    <w:rsid w:val="00AC6B4F"/>
    <w:rsid w:val="00AC6BD2"/>
    <w:rsid w:val="00AC6BE1"/>
    <w:rsid w:val="00AC6C65"/>
    <w:rsid w:val="00AC6CAE"/>
    <w:rsid w:val="00AC6E26"/>
    <w:rsid w:val="00AC6F7B"/>
    <w:rsid w:val="00AC70F3"/>
    <w:rsid w:val="00AC7175"/>
    <w:rsid w:val="00AC7220"/>
    <w:rsid w:val="00AC728E"/>
    <w:rsid w:val="00AC7492"/>
    <w:rsid w:val="00AC74FF"/>
    <w:rsid w:val="00AC7590"/>
    <w:rsid w:val="00AC78D8"/>
    <w:rsid w:val="00AC7A15"/>
    <w:rsid w:val="00AC7B21"/>
    <w:rsid w:val="00AC7B6E"/>
    <w:rsid w:val="00AC7B8E"/>
    <w:rsid w:val="00AC7C17"/>
    <w:rsid w:val="00AC7C71"/>
    <w:rsid w:val="00AC7F5C"/>
    <w:rsid w:val="00AD001D"/>
    <w:rsid w:val="00AD0223"/>
    <w:rsid w:val="00AD0242"/>
    <w:rsid w:val="00AD030F"/>
    <w:rsid w:val="00AD0458"/>
    <w:rsid w:val="00AD04D7"/>
    <w:rsid w:val="00AD0636"/>
    <w:rsid w:val="00AD0685"/>
    <w:rsid w:val="00AD073A"/>
    <w:rsid w:val="00AD07D8"/>
    <w:rsid w:val="00AD0859"/>
    <w:rsid w:val="00AD09BC"/>
    <w:rsid w:val="00AD0A7D"/>
    <w:rsid w:val="00AD0AEB"/>
    <w:rsid w:val="00AD0BA8"/>
    <w:rsid w:val="00AD0BC3"/>
    <w:rsid w:val="00AD0D41"/>
    <w:rsid w:val="00AD0DE6"/>
    <w:rsid w:val="00AD0E0F"/>
    <w:rsid w:val="00AD0E53"/>
    <w:rsid w:val="00AD0E98"/>
    <w:rsid w:val="00AD103A"/>
    <w:rsid w:val="00AD1274"/>
    <w:rsid w:val="00AD1367"/>
    <w:rsid w:val="00AD1374"/>
    <w:rsid w:val="00AD13C1"/>
    <w:rsid w:val="00AD14E1"/>
    <w:rsid w:val="00AD1544"/>
    <w:rsid w:val="00AD15AB"/>
    <w:rsid w:val="00AD17DF"/>
    <w:rsid w:val="00AD1A0D"/>
    <w:rsid w:val="00AD1AA7"/>
    <w:rsid w:val="00AD1AC4"/>
    <w:rsid w:val="00AD1B0C"/>
    <w:rsid w:val="00AD1DF0"/>
    <w:rsid w:val="00AD1E61"/>
    <w:rsid w:val="00AD2028"/>
    <w:rsid w:val="00AD20A1"/>
    <w:rsid w:val="00AD2125"/>
    <w:rsid w:val="00AD2151"/>
    <w:rsid w:val="00AD2195"/>
    <w:rsid w:val="00AD2397"/>
    <w:rsid w:val="00AD2403"/>
    <w:rsid w:val="00AD2446"/>
    <w:rsid w:val="00AD24FC"/>
    <w:rsid w:val="00AD26D5"/>
    <w:rsid w:val="00AD2708"/>
    <w:rsid w:val="00AD27F1"/>
    <w:rsid w:val="00AD287F"/>
    <w:rsid w:val="00AD2AF7"/>
    <w:rsid w:val="00AD2C38"/>
    <w:rsid w:val="00AD2CD9"/>
    <w:rsid w:val="00AD2CDC"/>
    <w:rsid w:val="00AD2DD3"/>
    <w:rsid w:val="00AD2DDB"/>
    <w:rsid w:val="00AD2DF7"/>
    <w:rsid w:val="00AD3792"/>
    <w:rsid w:val="00AD37C6"/>
    <w:rsid w:val="00AD381A"/>
    <w:rsid w:val="00AD389F"/>
    <w:rsid w:val="00AD3928"/>
    <w:rsid w:val="00AD392C"/>
    <w:rsid w:val="00AD3ABD"/>
    <w:rsid w:val="00AD3BEF"/>
    <w:rsid w:val="00AD3CB7"/>
    <w:rsid w:val="00AD3E13"/>
    <w:rsid w:val="00AD3FA1"/>
    <w:rsid w:val="00AD4166"/>
    <w:rsid w:val="00AD4188"/>
    <w:rsid w:val="00AD41D4"/>
    <w:rsid w:val="00AD421D"/>
    <w:rsid w:val="00AD42EF"/>
    <w:rsid w:val="00AD435C"/>
    <w:rsid w:val="00AD43C0"/>
    <w:rsid w:val="00AD43C5"/>
    <w:rsid w:val="00AD45E9"/>
    <w:rsid w:val="00AD47AC"/>
    <w:rsid w:val="00AD484F"/>
    <w:rsid w:val="00AD4931"/>
    <w:rsid w:val="00AD4944"/>
    <w:rsid w:val="00AD4961"/>
    <w:rsid w:val="00AD4A34"/>
    <w:rsid w:val="00AD4A8A"/>
    <w:rsid w:val="00AD4BA5"/>
    <w:rsid w:val="00AD4CBD"/>
    <w:rsid w:val="00AD4E7A"/>
    <w:rsid w:val="00AD51A4"/>
    <w:rsid w:val="00AD5356"/>
    <w:rsid w:val="00AD53A4"/>
    <w:rsid w:val="00AD546B"/>
    <w:rsid w:val="00AD5569"/>
    <w:rsid w:val="00AD570C"/>
    <w:rsid w:val="00AD5855"/>
    <w:rsid w:val="00AD58A5"/>
    <w:rsid w:val="00AD5973"/>
    <w:rsid w:val="00AD5B4F"/>
    <w:rsid w:val="00AD5C04"/>
    <w:rsid w:val="00AD5D06"/>
    <w:rsid w:val="00AD5DFC"/>
    <w:rsid w:val="00AD5F67"/>
    <w:rsid w:val="00AD5FEC"/>
    <w:rsid w:val="00AD6060"/>
    <w:rsid w:val="00AD60E5"/>
    <w:rsid w:val="00AD61B8"/>
    <w:rsid w:val="00AD63B2"/>
    <w:rsid w:val="00AD649F"/>
    <w:rsid w:val="00AD65E4"/>
    <w:rsid w:val="00AD696B"/>
    <w:rsid w:val="00AD6D0E"/>
    <w:rsid w:val="00AD70D1"/>
    <w:rsid w:val="00AD71F5"/>
    <w:rsid w:val="00AD72E6"/>
    <w:rsid w:val="00AD739A"/>
    <w:rsid w:val="00AD7470"/>
    <w:rsid w:val="00AD751B"/>
    <w:rsid w:val="00AD75FB"/>
    <w:rsid w:val="00AD77E8"/>
    <w:rsid w:val="00AD77F8"/>
    <w:rsid w:val="00AD78C2"/>
    <w:rsid w:val="00AD7985"/>
    <w:rsid w:val="00AD7A6C"/>
    <w:rsid w:val="00AD7B0E"/>
    <w:rsid w:val="00AD7BB5"/>
    <w:rsid w:val="00AD7C68"/>
    <w:rsid w:val="00AD7D4F"/>
    <w:rsid w:val="00AD7E45"/>
    <w:rsid w:val="00AD7EFA"/>
    <w:rsid w:val="00AD7FEC"/>
    <w:rsid w:val="00AE00E4"/>
    <w:rsid w:val="00AE010F"/>
    <w:rsid w:val="00AE0164"/>
    <w:rsid w:val="00AE019C"/>
    <w:rsid w:val="00AE034E"/>
    <w:rsid w:val="00AE0357"/>
    <w:rsid w:val="00AE035C"/>
    <w:rsid w:val="00AE0390"/>
    <w:rsid w:val="00AE03C8"/>
    <w:rsid w:val="00AE0562"/>
    <w:rsid w:val="00AE057D"/>
    <w:rsid w:val="00AE068F"/>
    <w:rsid w:val="00AE07DA"/>
    <w:rsid w:val="00AE0821"/>
    <w:rsid w:val="00AE0839"/>
    <w:rsid w:val="00AE0A2F"/>
    <w:rsid w:val="00AE0BA1"/>
    <w:rsid w:val="00AE0C98"/>
    <w:rsid w:val="00AE0D89"/>
    <w:rsid w:val="00AE0DBF"/>
    <w:rsid w:val="00AE0ECF"/>
    <w:rsid w:val="00AE0EF8"/>
    <w:rsid w:val="00AE11C6"/>
    <w:rsid w:val="00AE1333"/>
    <w:rsid w:val="00AE15F7"/>
    <w:rsid w:val="00AE163A"/>
    <w:rsid w:val="00AE173A"/>
    <w:rsid w:val="00AE17B6"/>
    <w:rsid w:val="00AE1BDE"/>
    <w:rsid w:val="00AE1C48"/>
    <w:rsid w:val="00AE1D3F"/>
    <w:rsid w:val="00AE1DCF"/>
    <w:rsid w:val="00AE1EE9"/>
    <w:rsid w:val="00AE2038"/>
    <w:rsid w:val="00AE21CF"/>
    <w:rsid w:val="00AE22CC"/>
    <w:rsid w:val="00AE2423"/>
    <w:rsid w:val="00AE2444"/>
    <w:rsid w:val="00AE252C"/>
    <w:rsid w:val="00AE2570"/>
    <w:rsid w:val="00AE257A"/>
    <w:rsid w:val="00AE26B0"/>
    <w:rsid w:val="00AE272D"/>
    <w:rsid w:val="00AE2876"/>
    <w:rsid w:val="00AE2894"/>
    <w:rsid w:val="00AE2A51"/>
    <w:rsid w:val="00AE2C11"/>
    <w:rsid w:val="00AE2C66"/>
    <w:rsid w:val="00AE2C74"/>
    <w:rsid w:val="00AE2D0A"/>
    <w:rsid w:val="00AE2D14"/>
    <w:rsid w:val="00AE2E48"/>
    <w:rsid w:val="00AE2F11"/>
    <w:rsid w:val="00AE2F2D"/>
    <w:rsid w:val="00AE335E"/>
    <w:rsid w:val="00AE342D"/>
    <w:rsid w:val="00AE34ED"/>
    <w:rsid w:val="00AE3739"/>
    <w:rsid w:val="00AE379C"/>
    <w:rsid w:val="00AE37D2"/>
    <w:rsid w:val="00AE3A15"/>
    <w:rsid w:val="00AE3A8F"/>
    <w:rsid w:val="00AE3B4A"/>
    <w:rsid w:val="00AE3E09"/>
    <w:rsid w:val="00AE3EB6"/>
    <w:rsid w:val="00AE40D2"/>
    <w:rsid w:val="00AE4378"/>
    <w:rsid w:val="00AE4408"/>
    <w:rsid w:val="00AE440F"/>
    <w:rsid w:val="00AE49AB"/>
    <w:rsid w:val="00AE4C6D"/>
    <w:rsid w:val="00AE4D3C"/>
    <w:rsid w:val="00AE4E15"/>
    <w:rsid w:val="00AE4E4A"/>
    <w:rsid w:val="00AE5004"/>
    <w:rsid w:val="00AE5343"/>
    <w:rsid w:val="00AE53A5"/>
    <w:rsid w:val="00AE541A"/>
    <w:rsid w:val="00AE54F8"/>
    <w:rsid w:val="00AE552F"/>
    <w:rsid w:val="00AE565B"/>
    <w:rsid w:val="00AE5724"/>
    <w:rsid w:val="00AE5757"/>
    <w:rsid w:val="00AE57C1"/>
    <w:rsid w:val="00AE57EC"/>
    <w:rsid w:val="00AE58A5"/>
    <w:rsid w:val="00AE5920"/>
    <w:rsid w:val="00AE5983"/>
    <w:rsid w:val="00AE5A0B"/>
    <w:rsid w:val="00AE5B40"/>
    <w:rsid w:val="00AE5EA6"/>
    <w:rsid w:val="00AE5EEA"/>
    <w:rsid w:val="00AE5F22"/>
    <w:rsid w:val="00AE606A"/>
    <w:rsid w:val="00AE63AD"/>
    <w:rsid w:val="00AE6435"/>
    <w:rsid w:val="00AE65D3"/>
    <w:rsid w:val="00AE6648"/>
    <w:rsid w:val="00AE668E"/>
    <w:rsid w:val="00AE6763"/>
    <w:rsid w:val="00AE67B1"/>
    <w:rsid w:val="00AE6806"/>
    <w:rsid w:val="00AE6C4A"/>
    <w:rsid w:val="00AE6D17"/>
    <w:rsid w:val="00AE6E5F"/>
    <w:rsid w:val="00AE6E6D"/>
    <w:rsid w:val="00AE6E92"/>
    <w:rsid w:val="00AE6EEE"/>
    <w:rsid w:val="00AE70EA"/>
    <w:rsid w:val="00AE7262"/>
    <w:rsid w:val="00AE797D"/>
    <w:rsid w:val="00AE7B1A"/>
    <w:rsid w:val="00AE7B86"/>
    <w:rsid w:val="00AE7BDB"/>
    <w:rsid w:val="00AE7C1F"/>
    <w:rsid w:val="00AE7E4A"/>
    <w:rsid w:val="00AE7F5A"/>
    <w:rsid w:val="00AF01E1"/>
    <w:rsid w:val="00AF025E"/>
    <w:rsid w:val="00AF02D5"/>
    <w:rsid w:val="00AF031D"/>
    <w:rsid w:val="00AF0368"/>
    <w:rsid w:val="00AF0674"/>
    <w:rsid w:val="00AF0702"/>
    <w:rsid w:val="00AF0903"/>
    <w:rsid w:val="00AF0936"/>
    <w:rsid w:val="00AF098C"/>
    <w:rsid w:val="00AF0A15"/>
    <w:rsid w:val="00AF0B0B"/>
    <w:rsid w:val="00AF0B95"/>
    <w:rsid w:val="00AF0D21"/>
    <w:rsid w:val="00AF0D60"/>
    <w:rsid w:val="00AF0F2D"/>
    <w:rsid w:val="00AF10CE"/>
    <w:rsid w:val="00AF118E"/>
    <w:rsid w:val="00AF119A"/>
    <w:rsid w:val="00AF1248"/>
    <w:rsid w:val="00AF1389"/>
    <w:rsid w:val="00AF1713"/>
    <w:rsid w:val="00AF1732"/>
    <w:rsid w:val="00AF1877"/>
    <w:rsid w:val="00AF1897"/>
    <w:rsid w:val="00AF1A6C"/>
    <w:rsid w:val="00AF1BAD"/>
    <w:rsid w:val="00AF1C2F"/>
    <w:rsid w:val="00AF1CA4"/>
    <w:rsid w:val="00AF1CA5"/>
    <w:rsid w:val="00AF1CC8"/>
    <w:rsid w:val="00AF1ECB"/>
    <w:rsid w:val="00AF1F17"/>
    <w:rsid w:val="00AF1FAC"/>
    <w:rsid w:val="00AF212A"/>
    <w:rsid w:val="00AF21A1"/>
    <w:rsid w:val="00AF21C1"/>
    <w:rsid w:val="00AF22CC"/>
    <w:rsid w:val="00AF22F3"/>
    <w:rsid w:val="00AF239E"/>
    <w:rsid w:val="00AF242C"/>
    <w:rsid w:val="00AF25D9"/>
    <w:rsid w:val="00AF25EB"/>
    <w:rsid w:val="00AF2674"/>
    <w:rsid w:val="00AF276C"/>
    <w:rsid w:val="00AF285E"/>
    <w:rsid w:val="00AF297B"/>
    <w:rsid w:val="00AF29B6"/>
    <w:rsid w:val="00AF2ABD"/>
    <w:rsid w:val="00AF2CC5"/>
    <w:rsid w:val="00AF2D2D"/>
    <w:rsid w:val="00AF2D54"/>
    <w:rsid w:val="00AF2D79"/>
    <w:rsid w:val="00AF2DAA"/>
    <w:rsid w:val="00AF304D"/>
    <w:rsid w:val="00AF30A3"/>
    <w:rsid w:val="00AF30A6"/>
    <w:rsid w:val="00AF31F6"/>
    <w:rsid w:val="00AF3240"/>
    <w:rsid w:val="00AF3244"/>
    <w:rsid w:val="00AF3356"/>
    <w:rsid w:val="00AF3382"/>
    <w:rsid w:val="00AF3387"/>
    <w:rsid w:val="00AF3506"/>
    <w:rsid w:val="00AF35B4"/>
    <w:rsid w:val="00AF3667"/>
    <w:rsid w:val="00AF369A"/>
    <w:rsid w:val="00AF36FD"/>
    <w:rsid w:val="00AF371E"/>
    <w:rsid w:val="00AF371F"/>
    <w:rsid w:val="00AF37C4"/>
    <w:rsid w:val="00AF3872"/>
    <w:rsid w:val="00AF3B04"/>
    <w:rsid w:val="00AF3B4B"/>
    <w:rsid w:val="00AF3C20"/>
    <w:rsid w:val="00AF3F1C"/>
    <w:rsid w:val="00AF3F74"/>
    <w:rsid w:val="00AF4036"/>
    <w:rsid w:val="00AF4043"/>
    <w:rsid w:val="00AF4170"/>
    <w:rsid w:val="00AF4277"/>
    <w:rsid w:val="00AF45C0"/>
    <w:rsid w:val="00AF4604"/>
    <w:rsid w:val="00AF4880"/>
    <w:rsid w:val="00AF48C2"/>
    <w:rsid w:val="00AF4959"/>
    <w:rsid w:val="00AF4B6C"/>
    <w:rsid w:val="00AF4BC0"/>
    <w:rsid w:val="00AF4CB0"/>
    <w:rsid w:val="00AF4CC2"/>
    <w:rsid w:val="00AF4E4E"/>
    <w:rsid w:val="00AF5099"/>
    <w:rsid w:val="00AF50F5"/>
    <w:rsid w:val="00AF510B"/>
    <w:rsid w:val="00AF5140"/>
    <w:rsid w:val="00AF5157"/>
    <w:rsid w:val="00AF5202"/>
    <w:rsid w:val="00AF521D"/>
    <w:rsid w:val="00AF53CF"/>
    <w:rsid w:val="00AF53F3"/>
    <w:rsid w:val="00AF53FA"/>
    <w:rsid w:val="00AF5651"/>
    <w:rsid w:val="00AF56DB"/>
    <w:rsid w:val="00AF5772"/>
    <w:rsid w:val="00AF5797"/>
    <w:rsid w:val="00AF57B1"/>
    <w:rsid w:val="00AF57D7"/>
    <w:rsid w:val="00AF5A82"/>
    <w:rsid w:val="00AF5CDF"/>
    <w:rsid w:val="00AF5F7B"/>
    <w:rsid w:val="00AF629F"/>
    <w:rsid w:val="00AF643C"/>
    <w:rsid w:val="00AF65FD"/>
    <w:rsid w:val="00AF668E"/>
    <w:rsid w:val="00AF66D0"/>
    <w:rsid w:val="00AF69E2"/>
    <w:rsid w:val="00AF6BD6"/>
    <w:rsid w:val="00AF6F23"/>
    <w:rsid w:val="00AF6FDC"/>
    <w:rsid w:val="00AF7014"/>
    <w:rsid w:val="00AF7327"/>
    <w:rsid w:val="00AF749E"/>
    <w:rsid w:val="00AF75AC"/>
    <w:rsid w:val="00AF7748"/>
    <w:rsid w:val="00AF7850"/>
    <w:rsid w:val="00AF78A2"/>
    <w:rsid w:val="00AF79A5"/>
    <w:rsid w:val="00AF79B0"/>
    <w:rsid w:val="00AF79E4"/>
    <w:rsid w:val="00AF7CA6"/>
    <w:rsid w:val="00AF7DE8"/>
    <w:rsid w:val="00AF7F79"/>
    <w:rsid w:val="00B0013F"/>
    <w:rsid w:val="00B001A7"/>
    <w:rsid w:val="00B001CA"/>
    <w:rsid w:val="00B0038C"/>
    <w:rsid w:val="00B003F0"/>
    <w:rsid w:val="00B0045C"/>
    <w:rsid w:val="00B005FF"/>
    <w:rsid w:val="00B006C9"/>
    <w:rsid w:val="00B007E9"/>
    <w:rsid w:val="00B00954"/>
    <w:rsid w:val="00B00A16"/>
    <w:rsid w:val="00B00C26"/>
    <w:rsid w:val="00B00D6A"/>
    <w:rsid w:val="00B00E1B"/>
    <w:rsid w:val="00B00F17"/>
    <w:rsid w:val="00B01021"/>
    <w:rsid w:val="00B01157"/>
    <w:rsid w:val="00B01248"/>
    <w:rsid w:val="00B01293"/>
    <w:rsid w:val="00B0140E"/>
    <w:rsid w:val="00B01589"/>
    <w:rsid w:val="00B015AC"/>
    <w:rsid w:val="00B01656"/>
    <w:rsid w:val="00B016B6"/>
    <w:rsid w:val="00B0180B"/>
    <w:rsid w:val="00B0195E"/>
    <w:rsid w:val="00B0198E"/>
    <w:rsid w:val="00B01B97"/>
    <w:rsid w:val="00B01D51"/>
    <w:rsid w:val="00B01E50"/>
    <w:rsid w:val="00B01E72"/>
    <w:rsid w:val="00B01F31"/>
    <w:rsid w:val="00B02039"/>
    <w:rsid w:val="00B0220F"/>
    <w:rsid w:val="00B02329"/>
    <w:rsid w:val="00B02378"/>
    <w:rsid w:val="00B0264A"/>
    <w:rsid w:val="00B02684"/>
    <w:rsid w:val="00B02725"/>
    <w:rsid w:val="00B028D4"/>
    <w:rsid w:val="00B028E4"/>
    <w:rsid w:val="00B02A67"/>
    <w:rsid w:val="00B02C35"/>
    <w:rsid w:val="00B02CB8"/>
    <w:rsid w:val="00B02EC4"/>
    <w:rsid w:val="00B02F35"/>
    <w:rsid w:val="00B02FFA"/>
    <w:rsid w:val="00B03193"/>
    <w:rsid w:val="00B031FD"/>
    <w:rsid w:val="00B0326D"/>
    <w:rsid w:val="00B03299"/>
    <w:rsid w:val="00B03379"/>
    <w:rsid w:val="00B034E6"/>
    <w:rsid w:val="00B035B8"/>
    <w:rsid w:val="00B03632"/>
    <w:rsid w:val="00B038B6"/>
    <w:rsid w:val="00B038CE"/>
    <w:rsid w:val="00B03932"/>
    <w:rsid w:val="00B03A9F"/>
    <w:rsid w:val="00B03BAF"/>
    <w:rsid w:val="00B03D0E"/>
    <w:rsid w:val="00B03E2F"/>
    <w:rsid w:val="00B03E56"/>
    <w:rsid w:val="00B0409F"/>
    <w:rsid w:val="00B041AA"/>
    <w:rsid w:val="00B041C9"/>
    <w:rsid w:val="00B041DA"/>
    <w:rsid w:val="00B04207"/>
    <w:rsid w:val="00B0420C"/>
    <w:rsid w:val="00B045CB"/>
    <w:rsid w:val="00B0474F"/>
    <w:rsid w:val="00B0488A"/>
    <w:rsid w:val="00B04A63"/>
    <w:rsid w:val="00B04B15"/>
    <w:rsid w:val="00B04B40"/>
    <w:rsid w:val="00B04C66"/>
    <w:rsid w:val="00B04EDA"/>
    <w:rsid w:val="00B051CB"/>
    <w:rsid w:val="00B0530B"/>
    <w:rsid w:val="00B05326"/>
    <w:rsid w:val="00B05556"/>
    <w:rsid w:val="00B05641"/>
    <w:rsid w:val="00B0582D"/>
    <w:rsid w:val="00B05911"/>
    <w:rsid w:val="00B059B5"/>
    <w:rsid w:val="00B059C1"/>
    <w:rsid w:val="00B05B31"/>
    <w:rsid w:val="00B05C25"/>
    <w:rsid w:val="00B05CA3"/>
    <w:rsid w:val="00B05D5A"/>
    <w:rsid w:val="00B05F63"/>
    <w:rsid w:val="00B05FBB"/>
    <w:rsid w:val="00B06005"/>
    <w:rsid w:val="00B06197"/>
    <w:rsid w:val="00B062F5"/>
    <w:rsid w:val="00B06559"/>
    <w:rsid w:val="00B069F8"/>
    <w:rsid w:val="00B06A90"/>
    <w:rsid w:val="00B06B8C"/>
    <w:rsid w:val="00B06D6E"/>
    <w:rsid w:val="00B06D81"/>
    <w:rsid w:val="00B06D8A"/>
    <w:rsid w:val="00B06EB3"/>
    <w:rsid w:val="00B06FA9"/>
    <w:rsid w:val="00B06FE3"/>
    <w:rsid w:val="00B0711C"/>
    <w:rsid w:val="00B072AB"/>
    <w:rsid w:val="00B07403"/>
    <w:rsid w:val="00B074FF"/>
    <w:rsid w:val="00B0751D"/>
    <w:rsid w:val="00B075B5"/>
    <w:rsid w:val="00B07643"/>
    <w:rsid w:val="00B0780C"/>
    <w:rsid w:val="00B0786E"/>
    <w:rsid w:val="00B07878"/>
    <w:rsid w:val="00B07883"/>
    <w:rsid w:val="00B07909"/>
    <w:rsid w:val="00B07A56"/>
    <w:rsid w:val="00B07D7C"/>
    <w:rsid w:val="00B07F43"/>
    <w:rsid w:val="00B10108"/>
    <w:rsid w:val="00B104AC"/>
    <w:rsid w:val="00B105AE"/>
    <w:rsid w:val="00B10709"/>
    <w:rsid w:val="00B107A2"/>
    <w:rsid w:val="00B10833"/>
    <w:rsid w:val="00B108F7"/>
    <w:rsid w:val="00B1092E"/>
    <w:rsid w:val="00B10CB6"/>
    <w:rsid w:val="00B10D06"/>
    <w:rsid w:val="00B10D6C"/>
    <w:rsid w:val="00B10E7B"/>
    <w:rsid w:val="00B10EA3"/>
    <w:rsid w:val="00B10ED3"/>
    <w:rsid w:val="00B11270"/>
    <w:rsid w:val="00B11364"/>
    <w:rsid w:val="00B11426"/>
    <w:rsid w:val="00B115F4"/>
    <w:rsid w:val="00B1192D"/>
    <w:rsid w:val="00B119D4"/>
    <w:rsid w:val="00B11B5D"/>
    <w:rsid w:val="00B11B9B"/>
    <w:rsid w:val="00B11C43"/>
    <w:rsid w:val="00B11C9B"/>
    <w:rsid w:val="00B11E47"/>
    <w:rsid w:val="00B11F97"/>
    <w:rsid w:val="00B120F7"/>
    <w:rsid w:val="00B12419"/>
    <w:rsid w:val="00B1256F"/>
    <w:rsid w:val="00B1277F"/>
    <w:rsid w:val="00B128DE"/>
    <w:rsid w:val="00B12A12"/>
    <w:rsid w:val="00B12A60"/>
    <w:rsid w:val="00B12A8B"/>
    <w:rsid w:val="00B12B66"/>
    <w:rsid w:val="00B12B92"/>
    <w:rsid w:val="00B12C54"/>
    <w:rsid w:val="00B12DB7"/>
    <w:rsid w:val="00B130B6"/>
    <w:rsid w:val="00B13133"/>
    <w:rsid w:val="00B1323F"/>
    <w:rsid w:val="00B132C1"/>
    <w:rsid w:val="00B13526"/>
    <w:rsid w:val="00B135C3"/>
    <w:rsid w:val="00B1399C"/>
    <w:rsid w:val="00B139AD"/>
    <w:rsid w:val="00B139BC"/>
    <w:rsid w:val="00B139FC"/>
    <w:rsid w:val="00B13A35"/>
    <w:rsid w:val="00B13B39"/>
    <w:rsid w:val="00B13C20"/>
    <w:rsid w:val="00B13D01"/>
    <w:rsid w:val="00B13D18"/>
    <w:rsid w:val="00B13D65"/>
    <w:rsid w:val="00B13DA0"/>
    <w:rsid w:val="00B13F63"/>
    <w:rsid w:val="00B14104"/>
    <w:rsid w:val="00B1436A"/>
    <w:rsid w:val="00B143E6"/>
    <w:rsid w:val="00B14402"/>
    <w:rsid w:val="00B1449B"/>
    <w:rsid w:val="00B145A7"/>
    <w:rsid w:val="00B14601"/>
    <w:rsid w:val="00B1485E"/>
    <w:rsid w:val="00B14866"/>
    <w:rsid w:val="00B14A28"/>
    <w:rsid w:val="00B14A90"/>
    <w:rsid w:val="00B14D2E"/>
    <w:rsid w:val="00B14D7F"/>
    <w:rsid w:val="00B14E42"/>
    <w:rsid w:val="00B14F60"/>
    <w:rsid w:val="00B14FC8"/>
    <w:rsid w:val="00B14FCD"/>
    <w:rsid w:val="00B1512F"/>
    <w:rsid w:val="00B1580F"/>
    <w:rsid w:val="00B1588E"/>
    <w:rsid w:val="00B15898"/>
    <w:rsid w:val="00B159BE"/>
    <w:rsid w:val="00B15C6D"/>
    <w:rsid w:val="00B15EF4"/>
    <w:rsid w:val="00B15F78"/>
    <w:rsid w:val="00B160BE"/>
    <w:rsid w:val="00B16184"/>
    <w:rsid w:val="00B1620C"/>
    <w:rsid w:val="00B16247"/>
    <w:rsid w:val="00B1627C"/>
    <w:rsid w:val="00B1633C"/>
    <w:rsid w:val="00B1644A"/>
    <w:rsid w:val="00B16497"/>
    <w:rsid w:val="00B164F8"/>
    <w:rsid w:val="00B16550"/>
    <w:rsid w:val="00B16830"/>
    <w:rsid w:val="00B16880"/>
    <w:rsid w:val="00B1691C"/>
    <w:rsid w:val="00B1696C"/>
    <w:rsid w:val="00B16A4F"/>
    <w:rsid w:val="00B16BED"/>
    <w:rsid w:val="00B16C58"/>
    <w:rsid w:val="00B16D86"/>
    <w:rsid w:val="00B16E66"/>
    <w:rsid w:val="00B16F61"/>
    <w:rsid w:val="00B17004"/>
    <w:rsid w:val="00B1705C"/>
    <w:rsid w:val="00B17482"/>
    <w:rsid w:val="00B17489"/>
    <w:rsid w:val="00B174A9"/>
    <w:rsid w:val="00B1759E"/>
    <w:rsid w:val="00B175EA"/>
    <w:rsid w:val="00B17693"/>
    <w:rsid w:val="00B177C7"/>
    <w:rsid w:val="00B1787C"/>
    <w:rsid w:val="00B178C2"/>
    <w:rsid w:val="00B179B4"/>
    <w:rsid w:val="00B17C26"/>
    <w:rsid w:val="00B17D15"/>
    <w:rsid w:val="00B17D6F"/>
    <w:rsid w:val="00B17D7E"/>
    <w:rsid w:val="00B2003D"/>
    <w:rsid w:val="00B200CF"/>
    <w:rsid w:val="00B20142"/>
    <w:rsid w:val="00B20243"/>
    <w:rsid w:val="00B202EE"/>
    <w:rsid w:val="00B20350"/>
    <w:rsid w:val="00B204C1"/>
    <w:rsid w:val="00B205A8"/>
    <w:rsid w:val="00B20757"/>
    <w:rsid w:val="00B2084B"/>
    <w:rsid w:val="00B20E39"/>
    <w:rsid w:val="00B20E6D"/>
    <w:rsid w:val="00B20EF0"/>
    <w:rsid w:val="00B20EFC"/>
    <w:rsid w:val="00B20F70"/>
    <w:rsid w:val="00B20FF8"/>
    <w:rsid w:val="00B21052"/>
    <w:rsid w:val="00B210CE"/>
    <w:rsid w:val="00B210EF"/>
    <w:rsid w:val="00B21172"/>
    <w:rsid w:val="00B2124C"/>
    <w:rsid w:val="00B212B3"/>
    <w:rsid w:val="00B212DB"/>
    <w:rsid w:val="00B21356"/>
    <w:rsid w:val="00B2154D"/>
    <w:rsid w:val="00B21682"/>
    <w:rsid w:val="00B219D1"/>
    <w:rsid w:val="00B21B05"/>
    <w:rsid w:val="00B21CC8"/>
    <w:rsid w:val="00B2204A"/>
    <w:rsid w:val="00B2217A"/>
    <w:rsid w:val="00B2238E"/>
    <w:rsid w:val="00B223EB"/>
    <w:rsid w:val="00B223FA"/>
    <w:rsid w:val="00B22418"/>
    <w:rsid w:val="00B224AF"/>
    <w:rsid w:val="00B224C8"/>
    <w:rsid w:val="00B22515"/>
    <w:rsid w:val="00B22673"/>
    <w:rsid w:val="00B226E2"/>
    <w:rsid w:val="00B227F1"/>
    <w:rsid w:val="00B2281D"/>
    <w:rsid w:val="00B228EF"/>
    <w:rsid w:val="00B229C9"/>
    <w:rsid w:val="00B22B1E"/>
    <w:rsid w:val="00B22BBE"/>
    <w:rsid w:val="00B22BF0"/>
    <w:rsid w:val="00B22C18"/>
    <w:rsid w:val="00B22F0E"/>
    <w:rsid w:val="00B232DB"/>
    <w:rsid w:val="00B2331B"/>
    <w:rsid w:val="00B2344C"/>
    <w:rsid w:val="00B23461"/>
    <w:rsid w:val="00B2383F"/>
    <w:rsid w:val="00B23B6D"/>
    <w:rsid w:val="00B23CE7"/>
    <w:rsid w:val="00B23DB9"/>
    <w:rsid w:val="00B23F52"/>
    <w:rsid w:val="00B23F98"/>
    <w:rsid w:val="00B240AD"/>
    <w:rsid w:val="00B240DF"/>
    <w:rsid w:val="00B2413E"/>
    <w:rsid w:val="00B24221"/>
    <w:rsid w:val="00B24313"/>
    <w:rsid w:val="00B24338"/>
    <w:rsid w:val="00B243BD"/>
    <w:rsid w:val="00B24449"/>
    <w:rsid w:val="00B24451"/>
    <w:rsid w:val="00B244BB"/>
    <w:rsid w:val="00B2469D"/>
    <w:rsid w:val="00B24704"/>
    <w:rsid w:val="00B24708"/>
    <w:rsid w:val="00B24726"/>
    <w:rsid w:val="00B24881"/>
    <w:rsid w:val="00B248A9"/>
    <w:rsid w:val="00B248F2"/>
    <w:rsid w:val="00B24AE7"/>
    <w:rsid w:val="00B24DC8"/>
    <w:rsid w:val="00B24F2E"/>
    <w:rsid w:val="00B24F40"/>
    <w:rsid w:val="00B25141"/>
    <w:rsid w:val="00B25287"/>
    <w:rsid w:val="00B253CD"/>
    <w:rsid w:val="00B254DC"/>
    <w:rsid w:val="00B255BA"/>
    <w:rsid w:val="00B257FD"/>
    <w:rsid w:val="00B2589D"/>
    <w:rsid w:val="00B258FC"/>
    <w:rsid w:val="00B259FA"/>
    <w:rsid w:val="00B25D3F"/>
    <w:rsid w:val="00B25E35"/>
    <w:rsid w:val="00B25E3F"/>
    <w:rsid w:val="00B2609D"/>
    <w:rsid w:val="00B260A7"/>
    <w:rsid w:val="00B26120"/>
    <w:rsid w:val="00B2619E"/>
    <w:rsid w:val="00B261CD"/>
    <w:rsid w:val="00B263F2"/>
    <w:rsid w:val="00B26464"/>
    <w:rsid w:val="00B26466"/>
    <w:rsid w:val="00B26767"/>
    <w:rsid w:val="00B269CB"/>
    <w:rsid w:val="00B269EC"/>
    <w:rsid w:val="00B26A56"/>
    <w:rsid w:val="00B26ACE"/>
    <w:rsid w:val="00B26B1D"/>
    <w:rsid w:val="00B26B3C"/>
    <w:rsid w:val="00B26C59"/>
    <w:rsid w:val="00B26C97"/>
    <w:rsid w:val="00B26D1A"/>
    <w:rsid w:val="00B26D4D"/>
    <w:rsid w:val="00B26D9A"/>
    <w:rsid w:val="00B26E15"/>
    <w:rsid w:val="00B26E74"/>
    <w:rsid w:val="00B26EEF"/>
    <w:rsid w:val="00B26FAD"/>
    <w:rsid w:val="00B27143"/>
    <w:rsid w:val="00B2719C"/>
    <w:rsid w:val="00B271F3"/>
    <w:rsid w:val="00B27221"/>
    <w:rsid w:val="00B27267"/>
    <w:rsid w:val="00B274B1"/>
    <w:rsid w:val="00B2777D"/>
    <w:rsid w:val="00B277EC"/>
    <w:rsid w:val="00B27B08"/>
    <w:rsid w:val="00B27BC3"/>
    <w:rsid w:val="00B27D7E"/>
    <w:rsid w:val="00B27E7C"/>
    <w:rsid w:val="00B300F4"/>
    <w:rsid w:val="00B302D9"/>
    <w:rsid w:val="00B304AE"/>
    <w:rsid w:val="00B306F4"/>
    <w:rsid w:val="00B3076D"/>
    <w:rsid w:val="00B3077C"/>
    <w:rsid w:val="00B3077E"/>
    <w:rsid w:val="00B3087D"/>
    <w:rsid w:val="00B30A39"/>
    <w:rsid w:val="00B30E97"/>
    <w:rsid w:val="00B30F94"/>
    <w:rsid w:val="00B310D6"/>
    <w:rsid w:val="00B31102"/>
    <w:rsid w:val="00B312DA"/>
    <w:rsid w:val="00B31330"/>
    <w:rsid w:val="00B3134E"/>
    <w:rsid w:val="00B31386"/>
    <w:rsid w:val="00B31468"/>
    <w:rsid w:val="00B314F0"/>
    <w:rsid w:val="00B3155A"/>
    <w:rsid w:val="00B31575"/>
    <w:rsid w:val="00B315A5"/>
    <w:rsid w:val="00B316A8"/>
    <w:rsid w:val="00B3176D"/>
    <w:rsid w:val="00B318B3"/>
    <w:rsid w:val="00B318C7"/>
    <w:rsid w:val="00B319E1"/>
    <w:rsid w:val="00B31B18"/>
    <w:rsid w:val="00B31B99"/>
    <w:rsid w:val="00B31CC8"/>
    <w:rsid w:val="00B31D29"/>
    <w:rsid w:val="00B31DBB"/>
    <w:rsid w:val="00B31DE6"/>
    <w:rsid w:val="00B32397"/>
    <w:rsid w:val="00B323EF"/>
    <w:rsid w:val="00B32461"/>
    <w:rsid w:val="00B32745"/>
    <w:rsid w:val="00B32910"/>
    <w:rsid w:val="00B32B67"/>
    <w:rsid w:val="00B32D4C"/>
    <w:rsid w:val="00B32EDC"/>
    <w:rsid w:val="00B32FD1"/>
    <w:rsid w:val="00B33106"/>
    <w:rsid w:val="00B33261"/>
    <w:rsid w:val="00B33344"/>
    <w:rsid w:val="00B334F2"/>
    <w:rsid w:val="00B335A1"/>
    <w:rsid w:val="00B3372E"/>
    <w:rsid w:val="00B337E0"/>
    <w:rsid w:val="00B33875"/>
    <w:rsid w:val="00B33974"/>
    <w:rsid w:val="00B33997"/>
    <w:rsid w:val="00B339DE"/>
    <w:rsid w:val="00B33B50"/>
    <w:rsid w:val="00B33BE3"/>
    <w:rsid w:val="00B33C87"/>
    <w:rsid w:val="00B33CA2"/>
    <w:rsid w:val="00B33CF9"/>
    <w:rsid w:val="00B33E50"/>
    <w:rsid w:val="00B33ED4"/>
    <w:rsid w:val="00B34003"/>
    <w:rsid w:val="00B340CA"/>
    <w:rsid w:val="00B3444C"/>
    <w:rsid w:val="00B34543"/>
    <w:rsid w:val="00B34564"/>
    <w:rsid w:val="00B3461A"/>
    <w:rsid w:val="00B346B6"/>
    <w:rsid w:val="00B348F6"/>
    <w:rsid w:val="00B34968"/>
    <w:rsid w:val="00B34A82"/>
    <w:rsid w:val="00B34AD4"/>
    <w:rsid w:val="00B34C36"/>
    <w:rsid w:val="00B34EAA"/>
    <w:rsid w:val="00B34F98"/>
    <w:rsid w:val="00B350F0"/>
    <w:rsid w:val="00B35561"/>
    <w:rsid w:val="00B356B6"/>
    <w:rsid w:val="00B356ED"/>
    <w:rsid w:val="00B35863"/>
    <w:rsid w:val="00B35867"/>
    <w:rsid w:val="00B35891"/>
    <w:rsid w:val="00B35A50"/>
    <w:rsid w:val="00B35B46"/>
    <w:rsid w:val="00B35C4E"/>
    <w:rsid w:val="00B35C97"/>
    <w:rsid w:val="00B35D2A"/>
    <w:rsid w:val="00B35D6A"/>
    <w:rsid w:val="00B35ED6"/>
    <w:rsid w:val="00B35EF6"/>
    <w:rsid w:val="00B35EFF"/>
    <w:rsid w:val="00B35F7C"/>
    <w:rsid w:val="00B36330"/>
    <w:rsid w:val="00B36338"/>
    <w:rsid w:val="00B3653E"/>
    <w:rsid w:val="00B36540"/>
    <w:rsid w:val="00B36789"/>
    <w:rsid w:val="00B367AF"/>
    <w:rsid w:val="00B3680E"/>
    <w:rsid w:val="00B3680F"/>
    <w:rsid w:val="00B3688B"/>
    <w:rsid w:val="00B369C0"/>
    <w:rsid w:val="00B36AD8"/>
    <w:rsid w:val="00B36CEE"/>
    <w:rsid w:val="00B36DA0"/>
    <w:rsid w:val="00B36E14"/>
    <w:rsid w:val="00B36E4B"/>
    <w:rsid w:val="00B36E73"/>
    <w:rsid w:val="00B36F08"/>
    <w:rsid w:val="00B3716A"/>
    <w:rsid w:val="00B37261"/>
    <w:rsid w:val="00B3728A"/>
    <w:rsid w:val="00B3730B"/>
    <w:rsid w:val="00B374B4"/>
    <w:rsid w:val="00B3757F"/>
    <w:rsid w:val="00B3759B"/>
    <w:rsid w:val="00B3779D"/>
    <w:rsid w:val="00B377E8"/>
    <w:rsid w:val="00B377EE"/>
    <w:rsid w:val="00B37B56"/>
    <w:rsid w:val="00B37C49"/>
    <w:rsid w:val="00B37C89"/>
    <w:rsid w:val="00B37CB2"/>
    <w:rsid w:val="00B37D73"/>
    <w:rsid w:val="00B37D88"/>
    <w:rsid w:val="00B37E18"/>
    <w:rsid w:val="00B40209"/>
    <w:rsid w:val="00B403D2"/>
    <w:rsid w:val="00B40531"/>
    <w:rsid w:val="00B406E3"/>
    <w:rsid w:val="00B4074B"/>
    <w:rsid w:val="00B40A5D"/>
    <w:rsid w:val="00B40B77"/>
    <w:rsid w:val="00B40D31"/>
    <w:rsid w:val="00B40D4D"/>
    <w:rsid w:val="00B40D64"/>
    <w:rsid w:val="00B40E9B"/>
    <w:rsid w:val="00B40EA0"/>
    <w:rsid w:val="00B40FA4"/>
    <w:rsid w:val="00B40FB2"/>
    <w:rsid w:val="00B410C9"/>
    <w:rsid w:val="00B41274"/>
    <w:rsid w:val="00B413C1"/>
    <w:rsid w:val="00B4146F"/>
    <w:rsid w:val="00B414EC"/>
    <w:rsid w:val="00B414FD"/>
    <w:rsid w:val="00B4154A"/>
    <w:rsid w:val="00B417D4"/>
    <w:rsid w:val="00B417E6"/>
    <w:rsid w:val="00B41BD5"/>
    <w:rsid w:val="00B41C38"/>
    <w:rsid w:val="00B41C9D"/>
    <w:rsid w:val="00B41D01"/>
    <w:rsid w:val="00B41FEB"/>
    <w:rsid w:val="00B420BB"/>
    <w:rsid w:val="00B4216A"/>
    <w:rsid w:val="00B42177"/>
    <w:rsid w:val="00B42270"/>
    <w:rsid w:val="00B423F7"/>
    <w:rsid w:val="00B42423"/>
    <w:rsid w:val="00B42459"/>
    <w:rsid w:val="00B42536"/>
    <w:rsid w:val="00B4288D"/>
    <w:rsid w:val="00B42997"/>
    <w:rsid w:val="00B429DF"/>
    <w:rsid w:val="00B42B4C"/>
    <w:rsid w:val="00B42C3F"/>
    <w:rsid w:val="00B42C5B"/>
    <w:rsid w:val="00B42C8E"/>
    <w:rsid w:val="00B42D68"/>
    <w:rsid w:val="00B42D91"/>
    <w:rsid w:val="00B43030"/>
    <w:rsid w:val="00B43116"/>
    <w:rsid w:val="00B431F7"/>
    <w:rsid w:val="00B432C0"/>
    <w:rsid w:val="00B43392"/>
    <w:rsid w:val="00B434B3"/>
    <w:rsid w:val="00B435D2"/>
    <w:rsid w:val="00B43A39"/>
    <w:rsid w:val="00B43B71"/>
    <w:rsid w:val="00B43C28"/>
    <w:rsid w:val="00B43CB6"/>
    <w:rsid w:val="00B43F0A"/>
    <w:rsid w:val="00B43FDD"/>
    <w:rsid w:val="00B4420E"/>
    <w:rsid w:val="00B44223"/>
    <w:rsid w:val="00B44246"/>
    <w:rsid w:val="00B443B5"/>
    <w:rsid w:val="00B44451"/>
    <w:rsid w:val="00B4452E"/>
    <w:rsid w:val="00B4466C"/>
    <w:rsid w:val="00B446A7"/>
    <w:rsid w:val="00B44700"/>
    <w:rsid w:val="00B44754"/>
    <w:rsid w:val="00B4494E"/>
    <w:rsid w:val="00B44A39"/>
    <w:rsid w:val="00B44AD7"/>
    <w:rsid w:val="00B44DFF"/>
    <w:rsid w:val="00B44EE2"/>
    <w:rsid w:val="00B44F30"/>
    <w:rsid w:val="00B450F8"/>
    <w:rsid w:val="00B45123"/>
    <w:rsid w:val="00B45180"/>
    <w:rsid w:val="00B45193"/>
    <w:rsid w:val="00B451B0"/>
    <w:rsid w:val="00B453FA"/>
    <w:rsid w:val="00B45565"/>
    <w:rsid w:val="00B45591"/>
    <w:rsid w:val="00B45605"/>
    <w:rsid w:val="00B45776"/>
    <w:rsid w:val="00B4585B"/>
    <w:rsid w:val="00B45954"/>
    <w:rsid w:val="00B45B7B"/>
    <w:rsid w:val="00B45D53"/>
    <w:rsid w:val="00B45E1C"/>
    <w:rsid w:val="00B45E8B"/>
    <w:rsid w:val="00B45F5C"/>
    <w:rsid w:val="00B45F95"/>
    <w:rsid w:val="00B4606F"/>
    <w:rsid w:val="00B46147"/>
    <w:rsid w:val="00B4621B"/>
    <w:rsid w:val="00B462E3"/>
    <w:rsid w:val="00B46468"/>
    <w:rsid w:val="00B46580"/>
    <w:rsid w:val="00B466AB"/>
    <w:rsid w:val="00B466AF"/>
    <w:rsid w:val="00B4676A"/>
    <w:rsid w:val="00B468D6"/>
    <w:rsid w:val="00B46978"/>
    <w:rsid w:val="00B46A6E"/>
    <w:rsid w:val="00B46C3E"/>
    <w:rsid w:val="00B46CC9"/>
    <w:rsid w:val="00B46D62"/>
    <w:rsid w:val="00B46D8D"/>
    <w:rsid w:val="00B46E80"/>
    <w:rsid w:val="00B46FE6"/>
    <w:rsid w:val="00B47084"/>
    <w:rsid w:val="00B47259"/>
    <w:rsid w:val="00B472B5"/>
    <w:rsid w:val="00B472C5"/>
    <w:rsid w:val="00B47333"/>
    <w:rsid w:val="00B47338"/>
    <w:rsid w:val="00B47490"/>
    <w:rsid w:val="00B476A1"/>
    <w:rsid w:val="00B47AB7"/>
    <w:rsid w:val="00B47B92"/>
    <w:rsid w:val="00B47DF4"/>
    <w:rsid w:val="00B47F2B"/>
    <w:rsid w:val="00B500CD"/>
    <w:rsid w:val="00B501C2"/>
    <w:rsid w:val="00B50224"/>
    <w:rsid w:val="00B5032C"/>
    <w:rsid w:val="00B5048F"/>
    <w:rsid w:val="00B505A9"/>
    <w:rsid w:val="00B505D6"/>
    <w:rsid w:val="00B505DC"/>
    <w:rsid w:val="00B50714"/>
    <w:rsid w:val="00B5074D"/>
    <w:rsid w:val="00B50795"/>
    <w:rsid w:val="00B507EC"/>
    <w:rsid w:val="00B507FE"/>
    <w:rsid w:val="00B509E1"/>
    <w:rsid w:val="00B50A5B"/>
    <w:rsid w:val="00B50B53"/>
    <w:rsid w:val="00B50D49"/>
    <w:rsid w:val="00B50F20"/>
    <w:rsid w:val="00B50FB4"/>
    <w:rsid w:val="00B51181"/>
    <w:rsid w:val="00B512AA"/>
    <w:rsid w:val="00B5138A"/>
    <w:rsid w:val="00B51451"/>
    <w:rsid w:val="00B51689"/>
    <w:rsid w:val="00B516A0"/>
    <w:rsid w:val="00B516EB"/>
    <w:rsid w:val="00B517F0"/>
    <w:rsid w:val="00B51855"/>
    <w:rsid w:val="00B51859"/>
    <w:rsid w:val="00B519A4"/>
    <w:rsid w:val="00B51A3C"/>
    <w:rsid w:val="00B51B62"/>
    <w:rsid w:val="00B51D6C"/>
    <w:rsid w:val="00B520A6"/>
    <w:rsid w:val="00B5216D"/>
    <w:rsid w:val="00B521BC"/>
    <w:rsid w:val="00B522A7"/>
    <w:rsid w:val="00B5246C"/>
    <w:rsid w:val="00B524DA"/>
    <w:rsid w:val="00B52546"/>
    <w:rsid w:val="00B526FA"/>
    <w:rsid w:val="00B5273F"/>
    <w:rsid w:val="00B5282E"/>
    <w:rsid w:val="00B528C1"/>
    <w:rsid w:val="00B529E7"/>
    <w:rsid w:val="00B52A91"/>
    <w:rsid w:val="00B52B55"/>
    <w:rsid w:val="00B52C07"/>
    <w:rsid w:val="00B52C43"/>
    <w:rsid w:val="00B52C97"/>
    <w:rsid w:val="00B52C9F"/>
    <w:rsid w:val="00B52F3B"/>
    <w:rsid w:val="00B52FBB"/>
    <w:rsid w:val="00B52FEA"/>
    <w:rsid w:val="00B5327C"/>
    <w:rsid w:val="00B53327"/>
    <w:rsid w:val="00B533B8"/>
    <w:rsid w:val="00B533F2"/>
    <w:rsid w:val="00B534A5"/>
    <w:rsid w:val="00B5356A"/>
    <w:rsid w:val="00B535B0"/>
    <w:rsid w:val="00B5383A"/>
    <w:rsid w:val="00B53952"/>
    <w:rsid w:val="00B53A96"/>
    <w:rsid w:val="00B53BE3"/>
    <w:rsid w:val="00B53D70"/>
    <w:rsid w:val="00B53DD6"/>
    <w:rsid w:val="00B53E05"/>
    <w:rsid w:val="00B53E89"/>
    <w:rsid w:val="00B54166"/>
    <w:rsid w:val="00B54258"/>
    <w:rsid w:val="00B542A2"/>
    <w:rsid w:val="00B542A6"/>
    <w:rsid w:val="00B5465E"/>
    <w:rsid w:val="00B54B14"/>
    <w:rsid w:val="00B54BA7"/>
    <w:rsid w:val="00B54BBC"/>
    <w:rsid w:val="00B54BED"/>
    <w:rsid w:val="00B54E10"/>
    <w:rsid w:val="00B54F18"/>
    <w:rsid w:val="00B54FAE"/>
    <w:rsid w:val="00B552B4"/>
    <w:rsid w:val="00B55756"/>
    <w:rsid w:val="00B557FD"/>
    <w:rsid w:val="00B5588D"/>
    <w:rsid w:val="00B5588F"/>
    <w:rsid w:val="00B55897"/>
    <w:rsid w:val="00B55BBE"/>
    <w:rsid w:val="00B55C62"/>
    <w:rsid w:val="00B55C68"/>
    <w:rsid w:val="00B55EAD"/>
    <w:rsid w:val="00B55EBF"/>
    <w:rsid w:val="00B55F25"/>
    <w:rsid w:val="00B55F45"/>
    <w:rsid w:val="00B56381"/>
    <w:rsid w:val="00B5655E"/>
    <w:rsid w:val="00B5663E"/>
    <w:rsid w:val="00B56747"/>
    <w:rsid w:val="00B5683E"/>
    <w:rsid w:val="00B56B36"/>
    <w:rsid w:val="00B56C49"/>
    <w:rsid w:val="00B56D02"/>
    <w:rsid w:val="00B56D1A"/>
    <w:rsid w:val="00B56E3D"/>
    <w:rsid w:val="00B571A2"/>
    <w:rsid w:val="00B572D3"/>
    <w:rsid w:val="00B5746E"/>
    <w:rsid w:val="00B5766F"/>
    <w:rsid w:val="00B57771"/>
    <w:rsid w:val="00B577E6"/>
    <w:rsid w:val="00B57850"/>
    <w:rsid w:val="00B578A5"/>
    <w:rsid w:val="00B57A0A"/>
    <w:rsid w:val="00B57D68"/>
    <w:rsid w:val="00B57D88"/>
    <w:rsid w:val="00B57E10"/>
    <w:rsid w:val="00B57E2E"/>
    <w:rsid w:val="00B57FBB"/>
    <w:rsid w:val="00B6005B"/>
    <w:rsid w:val="00B6007E"/>
    <w:rsid w:val="00B600AC"/>
    <w:rsid w:val="00B601E1"/>
    <w:rsid w:val="00B603CB"/>
    <w:rsid w:val="00B603ED"/>
    <w:rsid w:val="00B60442"/>
    <w:rsid w:val="00B60484"/>
    <w:rsid w:val="00B60577"/>
    <w:rsid w:val="00B605C9"/>
    <w:rsid w:val="00B60679"/>
    <w:rsid w:val="00B60822"/>
    <w:rsid w:val="00B608DE"/>
    <w:rsid w:val="00B6094A"/>
    <w:rsid w:val="00B60C92"/>
    <w:rsid w:val="00B60D63"/>
    <w:rsid w:val="00B60D80"/>
    <w:rsid w:val="00B60D97"/>
    <w:rsid w:val="00B61011"/>
    <w:rsid w:val="00B61012"/>
    <w:rsid w:val="00B61170"/>
    <w:rsid w:val="00B6122B"/>
    <w:rsid w:val="00B613A8"/>
    <w:rsid w:val="00B6157B"/>
    <w:rsid w:val="00B616A5"/>
    <w:rsid w:val="00B617CB"/>
    <w:rsid w:val="00B61830"/>
    <w:rsid w:val="00B6184F"/>
    <w:rsid w:val="00B618E5"/>
    <w:rsid w:val="00B618F7"/>
    <w:rsid w:val="00B618FE"/>
    <w:rsid w:val="00B61A88"/>
    <w:rsid w:val="00B61A9F"/>
    <w:rsid w:val="00B61ACF"/>
    <w:rsid w:val="00B61AEC"/>
    <w:rsid w:val="00B61CEF"/>
    <w:rsid w:val="00B61F58"/>
    <w:rsid w:val="00B61FE1"/>
    <w:rsid w:val="00B61FE2"/>
    <w:rsid w:val="00B62134"/>
    <w:rsid w:val="00B6216F"/>
    <w:rsid w:val="00B62348"/>
    <w:rsid w:val="00B623F8"/>
    <w:rsid w:val="00B627FC"/>
    <w:rsid w:val="00B62849"/>
    <w:rsid w:val="00B6289F"/>
    <w:rsid w:val="00B628EC"/>
    <w:rsid w:val="00B628ED"/>
    <w:rsid w:val="00B629E2"/>
    <w:rsid w:val="00B629FC"/>
    <w:rsid w:val="00B62A53"/>
    <w:rsid w:val="00B62AD9"/>
    <w:rsid w:val="00B62B01"/>
    <w:rsid w:val="00B62B08"/>
    <w:rsid w:val="00B62B2A"/>
    <w:rsid w:val="00B62C64"/>
    <w:rsid w:val="00B62CC2"/>
    <w:rsid w:val="00B62CC6"/>
    <w:rsid w:val="00B63143"/>
    <w:rsid w:val="00B63277"/>
    <w:rsid w:val="00B632C4"/>
    <w:rsid w:val="00B63481"/>
    <w:rsid w:val="00B6371D"/>
    <w:rsid w:val="00B63943"/>
    <w:rsid w:val="00B63988"/>
    <w:rsid w:val="00B63B01"/>
    <w:rsid w:val="00B63B37"/>
    <w:rsid w:val="00B63BE4"/>
    <w:rsid w:val="00B63C5E"/>
    <w:rsid w:val="00B63C88"/>
    <w:rsid w:val="00B63C9F"/>
    <w:rsid w:val="00B63FF9"/>
    <w:rsid w:val="00B6401C"/>
    <w:rsid w:val="00B64022"/>
    <w:rsid w:val="00B6406B"/>
    <w:rsid w:val="00B64088"/>
    <w:rsid w:val="00B64186"/>
    <w:rsid w:val="00B641B8"/>
    <w:rsid w:val="00B641E1"/>
    <w:rsid w:val="00B642EE"/>
    <w:rsid w:val="00B6445B"/>
    <w:rsid w:val="00B64511"/>
    <w:rsid w:val="00B645E5"/>
    <w:rsid w:val="00B64676"/>
    <w:rsid w:val="00B6491A"/>
    <w:rsid w:val="00B6495A"/>
    <w:rsid w:val="00B64AE3"/>
    <w:rsid w:val="00B64E8C"/>
    <w:rsid w:val="00B64F6F"/>
    <w:rsid w:val="00B65062"/>
    <w:rsid w:val="00B6520B"/>
    <w:rsid w:val="00B65313"/>
    <w:rsid w:val="00B65459"/>
    <w:rsid w:val="00B6548B"/>
    <w:rsid w:val="00B654C0"/>
    <w:rsid w:val="00B65556"/>
    <w:rsid w:val="00B6559E"/>
    <w:rsid w:val="00B65872"/>
    <w:rsid w:val="00B65FC9"/>
    <w:rsid w:val="00B65FF4"/>
    <w:rsid w:val="00B66027"/>
    <w:rsid w:val="00B66091"/>
    <w:rsid w:val="00B661A4"/>
    <w:rsid w:val="00B663BC"/>
    <w:rsid w:val="00B664C0"/>
    <w:rsid w:val="00B666FC"/>
    <w:rsid w:val="00B668CD"/>
    <w:rsid w:val="00B66925"/>
    <w:rsid w:val="00B66E4E"/>
    <w:rsid w:val="00B66E73"/>
    <w:rsid w:val="00B66FCA"/>
    <w:rsid w:val="00B672CC"/>
    <w:rsid w:val="00B672CE"/>
    <w:rsid w:val="00B672F3"/>
    <w:rsid w:val="00B67548"/>
    <w:rsid w:val="00B67853"/>
    <w:rsid w:val="00B6791C"/>
    <w:rsid w:val="00B67F4C"/>
    <w:rsid w:val="00B700D7"/>
    <w:rsid w:val="00B70224"/>
    <w:rsid w:val="00B70268"/>
    <w:rsid w:val="00B704A4"/>
    <w:rsid w:val="00B70548"/>
    <w:rsid w:val="00B705E0"/>
    <w:rsid w:val="00B70800"/>
    <w:rsid w:val="00B70911"/>
    <w:rsid w:val="00B709A4"/>
    <w:rsid w:val="00B70B80"/>
    <w:rsid w:val="00B70E2C"/>
    <w:rsid w:val="00B70ED7"/>
    <w:rsid w:val="00B71303"/>
    <w:rsid w:val="00B7132F"/>
    <w:rsid w:val="00B71387"/>
    <w:rsid w:val="00B71429"/>
    <w:rsid w:val="00B71430"/>
    <w:rsid w:val="00B71437"/>
    <w:rsid w:val="00B7145A"/>
    <w:rsid w:val="00B71472"/>
    <w:rsid w:val="00B714B3"/>
    <w:rsid w:val="00B714B6"/>
    <w:rsid w:val="00B7166A"/>
    <w:rsid w:val="00B716EB"/>
    <w:rsid w:val="00B7172F"/>
    <w:rsid w:val="00B7181C"/>
    <w:rsid w:val="00B718CA"/>
    <w:rsid w:val="00B71B81"/>
    <w:rsid w:val="00B71BB8"/>
    <w:rsid w:val="00B71C13"/>
    <w:rsid w:val="00B71C77"/>
    <w:rsid w:val="00B71C9A"/>
    <w:rsid w:val="00B72341"/>
    <w:rsid w:val="00B72486"/>
    <w:rsid w:val="00B72499"/>
    <w:rsid w:val="00B724DD"/>
    <w:rsid w:val="00B724DE"/>
    <w:rsid w:val="00B7258B"/>
    <w:rsid w:val="00B725BA"/>
    <w:rsid w:val="00B7266E"/>
    <w:rsid w:val="00B72732"/>
    <w:rsid w:val="00B7279C"/>
    <w:rsid w:val="00B727AE"/>
    <w:rsid w:val="00B727DA"/>
    <w:rsid w:val="00B727F4"/>
    <w:rsid w:val="00B729C0"/>
    <w:rsid w:val="00B72C1B"/>
    <w:rsid w:val="00B72F4D"/>
    <w:rsid w:val="00B72F90"/>
    <w:rsid w:val="00B7302A"/>
    <w:rsid w:val="00B73110"/>
    <w:rsid w:val="00B7330E"/>
    <w:rsid w:val="00B73324"/>
    <w:rsid w:val="00B733BA"/>
    <w:rsid w:val="00B733E4"/>
    <w:rsid w:val="00B7345D"/>
    <w:rsid w:val="00B734AC"/>
    <w:rsid w:val="00B736AE"/>
    <w:rsid w:val="00B737CB"/>
    <w:rsid w:val="00B7389C"/>
    <w:rsid w:val="00B73912"/>
    <w:rsid w:val="00B73993"/>
    <w:rsid w:val="00B73AAF"/>
    <w:rsid w:val="00B73AC7"/>
    <w:rsid w:val="00B73B6C"/>
    <w:rsid w:val="00B73BDE"/>
    <w:rsid w:val="00B73C02"/>
    <w:rsid w:val="00B73C5C"/>
    <w:rsid w:val="00B73D8A"/>
    <w:rsid w:val="00B7415F"/>
    <w:rsid w:val="00B74230"/>
    <w:rsid w:val="00B742A5"/>
    <w:rsid w:val="00B742A7"/>
    <w:rsid w:val="00B743CF"/>
    <w:rsid w:val="00B744B0"/>
    <w:rsid w:val="00B74590"/>
    <w:rsid w:val="00B745F9"/>
    <w:rsid w:val="00B74631"/>
    <w:rsid w:val="00B746BB"/>
    <w:rsid w:val="00B74715"/>
    <w:rsid w:val="00B74D55"/>
    <w:rsid w:val="00B74E9F"/>
    <w:rsid w:val="00B75098"/>
    <w:rsid w:val="00B750BE"/>
    <w:rsid w:val="00B750D6"/>
    <w:rsid w:val="00B75314"/>
    <w:rsid w:val="00B75326"/>
    <w:rsid w:val="00B75361"/>
    <w:rsid w:val="00B754FA"/>
    <w:rsid w:val="00B7555F"/>
    <w:rsid w:val="00B756E8"/>
    <w:rsid w:val="00B757C1"/>
    <w:rsid w:val="00B75827"/>
    <w:rsid w:val="00B7587B"/>
    <w:rsid w:val="00B75929"/>
    <w:rsid w:val="00B75BDC"/>
    <w:rsid w:val="00B761CE"/>
    <w:rsid w:val="00B76205"/>
    <w:rsid w:val="00B76238"/>
    <w:rsid w:val="00B76341"/>
    <w:rsid w:val="00B76382"/>
    <w:rsid w:val="00B76448"/>
    <w:rsid w:val="00B76532"/>
    <w:rsid w:val="00B7656D"/>
    <w:rsid w:val="00B766AC"/>
    <w:rsid w:val="00B7672D"/>
    <w:rsid w:val="00B76AEA"/>
    <w:rsid w:val="00B76D20"/>
    <w:rsid w:val="00B76D6E"/>
    <w:rsid w:val="00B76DDA"/>
    <w:rsid w:val="00B76DF6"/>
    <w:rsid w:val="00B76F3E"/>
    <w:rsid w:val="00B77053"/>
    <w:rsid w:val="00B770A6"/>
    <w:rsid w:val="00B770D9"/>
    <w:rsid w:val="00B7729E"/>
    <w:rsid w:val="00B77509"/>
    <w:rsid w:val="00B7755B"/>
    <w:rsid w:val="00B775DB"/>
    <w:rsid w:val="00B7764F"/>
    <w:rsid w:val="00B77753"/>
    <w:rsid w:val="00B778F0"/>
    <w:rsid w:val="00B77A17"/>
    <w:rsid w:val="00B77A4B"/>
    <w:rsid w:val="00B77B3D"/>
    <w:rsid w:val="00B77BF6"/>
    <w:rsid w:val="00B77BFA"/>
    <w:rsid w:val="00B77C4C"/>
    <w:rsid w:val="00B77D07"/>
    <w:rsid w:val="00B77EF8"/>
    <w:rsid w:val="00B8014B"/>
    <w:rsid w:val="00B80534"/>
    <w:rsid w:val="00B80616"/>
    <w:rsid w:val="00B80639"/>
    <w:rsid w:val="00B80677"/>
    <w:rsid w:val="00B8071E"/>
    <w:rsid w:val="00B80723"/>
    <w:rsid w:val="00B807BC"/>
    <w:rsid w:val="00B808A1"/>
    <w:rsid w:val="00B80908"/>
    <w:rsid w:val="00B80A20"/>
    <w:rsid w:val="00B80B07"/>
    <w:rsid w:val="00B80B98"/>
    <w:rsid w:val="00B80C28"/>
    <w:rsid w:val="00B80D28"/>
    <w:rsid w:val="00B80F29"/>
    <w:rsid w:val="00B80FED"/>
    <w:rsid w:val="00B81246"/>
    <w:rsid w:val="00B8124D"/>
    <w:rsid w:val="00B81268"/>
    <w:rsid w:val="00B8184E"/>
    <w:rsid w:val="00B818E0"/>
    <w:rsid w:val="00B81B33"/>
    <w:rsid w:val="00B81CBC"/>
    <w:rsid w:val="00B81CEC"/>
    <w:rsid w:val="00B81DD3"/>
    <w:rsid w:val="00B81DF1"/>
    <w:rsid w:val="00B82037"/>
    <w:rsid w:val="00B820C0"/>
    <w:rsid w:val="00B8211A"/>
    <w:rsid w:val="00B82376"/>
    <w:rsid w:val="00B82409"/>
    <w:rsid w:val="00B8246D"/>
    <w:rsid w:val="00B824CE"/>
    <w:rsid w:val="00B82593"/>
    <w:rsid w:val="00B8262F"/>
    <w:rsid w:val="00B82695"/>
    <w:rsid w:val="00B826D8"/>
    <w:rsid w:val="00B82871"/>
    <w:rsid w:val="00B828A1"/>
    <w:rsid w:val="00B82A0E"/>
    <w:rsid w:val="00B82A6F"/>
    <w:rsid w:val="00B82B65"/>
    <w:rsid w:val="00B82C51"/>
    <w:rsid w:val="00B82CA9"/>
    <w:rsid w:val="00B82CD4"/>
    <w:rsid w:val="00B82DD4"/>
    <w:rsid w:val="00B82DED"/>
    <w:rsid w:val="00B82EE5"/>
    <w:rsid w:val="00B82F43"/>
    <w:rsid w:val="00B82FE2"/>
    <w:rsid w:val="00B830CD"/>
    <w:rsid w:val="00B831F0"/>
    <w:rsid w:val="00B8322C"/>
    <w:rsid w:val="00B83644"/>
    <w:rsid w:val="00B83668"/>
    <w:rsid w:val="00B83805"/>
    <w:rsid w:val="00B838B6"/>
    <w:rsid w:val="00B83A4D"/>
    <w:rsid w:val="00B83A6D"/>
    <w:rsid w:val="00B83C1F"/>
    <w:rsid w:val="00B83DFB"/>
    <w:rsid w:val="00B83E8E"/>
    <w:rsid w:val="00B84049"/>
    <w:rsid w:val="00B840AE"/>
    <w:rsid w:val="00B8414D"/>
    <w:rsid w:val="00B84212"/>
    <w:rsid w:val="00B842C8"/>
    <w:rsid w:val="00B84335"/>
    <w:rsid w:val="00B84401"/>
    <w:rsid w:val="00B84688"/>
    <w:rsid w:val="00B8472E"/>
    <w:rsid w:val="00B847DD"/>
    <w:rsid w:val="00B84955"/>
    <w:rsid w:val="00B84BB9"/>
    <w:rsid w:val="00B84D15"/>
    <w:rsid w:val="00B84D83"/>
    <w:rsid w:val="00B84DD7"/>
    <w:rsid w:val="00B84F0B"/>
    <w:rsid w:val="00B85423"/>
    <w:rsid w:val="00B854B1"/>
    <w:rsid w:val="00B8598F"/>
    <w:rsid w:val="00B85A4B"/>
    <w:rsid w:val="00B85C15"/>
    <w:rsid w:val="00B85CA4"/>
    <w:rsid w:val="00B85E0F"/>
    <w:rsid w:val="00B86199"/>
    <w:rsid w:val="00B8628F"/>
    <w:rsid w:val="00B86342"/>
    <w:rsid w:val="00B86350"/>
    <w:rsid w:val="00B863B6"/>
    <w:rsid w:val="00B8641B"/>
    <w:rsid w:val="00B8662B"/>
    <w:rsid w:val="00B866F4"/>
    <w:rsid w:val="00B8698D"/>
    <w:rsid w:val="00B86B04"/>
    <w:rsid w:val="00B86B22"/>
    <w:rsid w:val="00B86B39"/>
    <w:rsid w:val="00B86C43"/>
    <w:rsid w:val="00B86D01"/>
    <w:rsid w:val="00B86D36"/>
    <w:rsid w:val="00B86E3A"/>
    <w:rsid w:val="00B86E4E"/>
    <w:rsid w:val="00B86F57"/>
    <w:rsid w:val="00B86FD4"/>
    <w:rsid w:val="00B8711E"/>
    <w:rsid w:val="00B87844"/>
    <w:rsid w:val="00B878BF"/>
    <w:rsid w:val="00B878D7"/>
    <w:rsid w:val="00B878E2"/>
    <w:rsid w:val="00B87A0F"/>
    <w:rsid w:val="00B87A35"/>
    <w:rsid w:val="00B87B75"/>
    <w:rsid w:val="00B87C12"/>
    <w:rsid w:val="00B87CBA"/>
    <w:rsid w:val="00B87ECD"/>
    <w:rsid w:val="00B8E9CE"/>
    <w:rsid w:val="00B8F354"/>
    <w:rsid w:val="00B90738"/>
    <w:rsid w:val="00B908C6"/>
    <w:rsid w:val="00B90991"/>
    <w:rsid w:val="00B90998"/>
    <w:rsid w:val="00B9099F"/>
    <w:rsid w:val="00B909E5"/>
    <w:rsid w:val="00B90C86"/>
    <w:rsid w:val="00B90CAD"/>
    <w:rsid w:val="00B90CDF"/>
    <w:rsid w:val="00B90E75"/>
    <w:rsid w:val="00B90ECD"/>
    <w:rsid w:val="00B90F88"/>
    <w:rsid w:val="00B91050"/>
    <w:rsid w:val="00B910C7"/>
    <w:rsid w:val="00B91106"/>
    <w:rsid w:val="00B91157"/>
    <w:rsid w:val="00B911AA"/>
    <w:rsid w:val="00B91295"/>
    <w:rsid w:val="00B912CE"/>
    <w:rsid w:val="00B91372"/>
    <w:rsid w:val="00B913A2"/>
    <w:rsid w:val="00B917DC"/>
    <w:rsid w:val="00B9180F"/>
    <w:rsid w:val="00B9183B"/>
    <w:rsid w:val="00B919D9"/>
    <w:rsid w:val="00B91B2E"/>
    <w:rsid w:val="00B91DC6"/>
    <w:rsid w:val="00B91EF0"/>
    <w:rsid w:val="00B91FB3"/>
    <w:rsid w:val="00B920F0"/>
    <w:rsid w:val="00B9219C"/>
    <w:rsid w:val="00B922D8"/>
    <w:rsid w:val="00B92424"/>
    <w:rsid w:val="00B9265E"/>
    <w:rsid w:val="00B92687"/>
    <w:rsid w:val="00B92742"/>
    <w:rsid w:val="00B92769"/>
    <w:rsid w:val="00B92832"/>
    <w:rsid w:val="00B92A4B"/>
    <w:rsid w:val="00B92AF5"/>
    <w:rsid w:val="00B92C7E"/>
    <w:rsid w:val="00B92CCE"/>
    <w:rsid w:val="00B92D57"/>
    <w:rsid w:val="00B92E3C"/>
    <w:rsid w:val="00B92E7B"/>
    <w:rsid w:val="00B92F1E"/>
    <w:rsid w:val="00B93480"/>
    <w:rsid w:val="00B934D7"/>
    <w:rsid w:val="00B935C6"/>
    <w:rsid w:val="00B9360F"/>
    <w:rsid w:val="00B936D9"/>
    <w:rsid w:val="00B937D0"/>
    <w:rsid w:val="00B9392B"/>
    <w:rsid w:val="00B93BBF"/>
    <w:rsid w:val="00B93E7C"/>
    <w:rsid w:val="00B93F86"/>
    <w:rsid w:val="00B94177"/>
    <w:rsid w:val="00B9429F"/>
    <w:rsid w:val="00B942B7"/>
    <w:rsid w:val="00B94485"/>
    <w:rsid w:val="00B944D0"/>
    <w:rsid w:val="00B94617"/>
    <w:rsid w:val="00B94A44"/>
    <w:rsid w:val="00B94C22"/>
    <w:rsid w:val="00B94CFE"/>
    <w:rsid w:val="00B94D50"/>
    <w:rsid w:val="00B94D66"/>
    <w:rsid w:val="00B94DC7"/>
    <w:rsid w:val="00B94E86"/>
    <w:rsid w:val="00B94F62"/>
    <w:rsid w:val="00B94FCC"/>
    <w:rsid w:val="00B9501F"/>
    <w:rsid w:val="00B9521E"/>
    <w:rsid w:val="00B952F4"/>
    <w:rsid w:val="00B95320"/>
    <w:rsid w:val="00B95780"/>
    <w:rsid w:val="00B958D6"/>
    <w:rsid w:val="00B9592A"/>
    <w:rsid w:val="00B95932"/>
    <w:rsid w:val="00B95942"/>
    <w:rsid w:val="00B959F7"/>
    <w:rsid w:val="00B95A61"/>
    <w:rsid w:val="00B95C5B"/>
    <w:rsid w:val="00B95FFE"/>
    <w:rsid w:val="00B96234"/>
    <w:rsid w:val="00B96385"/>
    <w:rsid w:val="00B96594"/>
    <w:rsid w:val="00B965D6"/>
    <w:rsid w:val="00B96747"/>
    <w:rsid w:val="00B9676E"/>
    <w:rsid w:val="00B9678C"/>
    <w:rsid w:val="00B9679A"/>
    <w:rsid w:val="00B9679D"/>
    <w:rsid w:val="00B96862"/>
    <w:rsid w:val="00B96AA6"/>
    <w:rsid w:val="00B96B5B"/>
    <w:rsid w:val="00B96EDD"/>
    <w:rsid w:val="00B970E9"/>
    <w:rsid w:val="00B97264"/>
    <w:rsid w:val="00B975A9"/>
    <w:rsid w:val="00B97697"/>
    <w:rsid w:val="00B976AC"/>
    <w:rsid w:val="00B97812"/>
    <w:rsid w:val="00B979C8"/>
    <w:rsid w:val="00B97C25"/>
    <w:rsid w:val="00B97C2E"/>
    <w:rsid w:val="00B97D6D"/>
    <w:rsid w:val="00B97E0D"/>
    <w:rsid w:val="00B97EC2"/>
    <w:rsid w:val="00BA020A"/>
    <w:rsid w:val="00BA0284"/>
    <w:rsid w:val="00BA02D5"/>
    <w:rsid w:val="00BA02FB"/>
    <w:rsid w:val="00BA02FE"/>
    <w:rsid w:val="00BA0552"/>
    <w:rsid w:val="00BA089E"/>
    <w:rsid w:val="00BA0D5D"/>
    <w:rsid w:val="00BA0D82"/>
    <w:rsid w:val="00BA0F4F"/>
    <w:rsid w:val="00BA0F6E"/>
    <w:rsid w:val="00BA1012"/>
    <w:rsid w:val="00BA1048"/>
    <w:rsid w:val="00BA1248"/>
    <w:rsid w:val="00BA1289"/>
    <w:rsid w:val="00BA14DD"/>
    <w:rsid w:val="00BA1562"/>
    <w:rsid w:val="00BA15A4"/>
    <w:rsid w:val="00BA1796"/>
    <w:rsid w:val="00BA17BD"/>
    <w:rsid w:val="00BA18ED"/>
    <w:rsid w:val="00BA1AD6"/>
    <w:rsid w:val="00BA1B01"/>
    <w:rsid w:val="00BA1B0C"/>
    <w:rsid w:val="00BA1C7B"/>
    <w:rsid w:val="00BA2040"/>
    <w:rsid w:val="00BA20DE"/>
    <w:rsid w:val="00BA22AF"/>
    <w:rsid w:val="00BA23FB"/>
    <w:rsid w:val="00BA24BA"/>
    <w:rsid w:val="00BA2727"/>
    <w:rsid w:val="00BA29FF"/>
    <w:rsid w:val="00BA2C7F"/>
    <w:rsid w:val="00BA2D6F"/>
    <w:rsid w:val="00BA3118"/>
    <w:rsid w:val="00BA321B"/>
    <w:rsid w:val="00BA321C"/>
    <w:rsid w:val="00BA330F"/>
    <w:rsid w:val="00BA339E"/>
    <w:rsid w:val="00BA36CF"/>
    <w:rsid w:val="00BA3748"/>
    <w:rsid w:val="00BA380E"/>
    <w:rsid w:val="00BA39AB"/>
    <w:rsid w:val="00BA3B7E"/>
    <w:rsid w:val="00BA3BFE"/>
    <w:rsid w:val="00BA3C5D"/>
    <w:rsid w:val="00BA3C61"/>
    <w:rsid w:val="00BA3D40"/>
    <w:rsid w:val="00BA3DBF"/>
    <w:rsid w:val="00BA3E8F"/>
    <w:rsid w:val="00BA4015"/>
    <w:rsid w:val="00BA40F7"/>
    <w:rsid w:val="00BA414A"/>
    <w:rsid w:val="00BA4221"/>
    <w:rsid w:val="00BA42B4"/>
    <w:rsid w:val="00BA43A3"/>
    <w:rsid w:val="00BA449F"/>
    <w:rsid w:val="00BA4608"/>
    <w:rsid w:val="00BA4619"/>
    <w:rsid w:val="00BA46A5"/>
    <w:rsid w:val="00BA477F"/>
    <w:rsid w:val="00BA481F"/>
    <w:rsid w:val="00BA4833"/>
    <w:rsid w:val="00BA493B"/>
    <w:rsid w:val="00BA494E"/>
    <w:rsid w:val="00BA4C69"/>
    <w:rsid w:val="00BA4C9D"/>
    <w:rsid w:val="00BA4E31"/>
    <w:rsid w:val="00BA4E54"/>
    <w:rsid w:val="00BA4FDB"/>
    <w:rsid w:val="00BA51E2"/>
    <w:rsid w:val="00BA52CD"/>
    <w:rsid w:val="00BA5326"/>
    <w:rsid w:val="00BA53BD"/>
    <w:rsid w:val="00BA5481"/>
    <w:rsid w:val="00BA54AB"/>
    <w:rsid w:val="00BA55D7"/>
    <w:rsid w:val="00BA5631"/>
    <w:rsid w:val="00BA56F6"/>
    <w:rsid w:val="00BA56F7"/>
    <w:rsid w:val="00BA5848"/>
    <w:rsid w:val="00BA58F5"/>
    <w:rsid w:val="00BA5908"/>
    <w:rsid w:val="00BA591D"/>
    <w:rsid w:val="00BA5969"/>
    <w:rsid w:val="00BA59B1"/>
    <w:rsid w:val="00BA5A4B"/>
    <w:rsid w:val="00BA5A95"/>
    <w:rsid w:val="00BA5C13"/>
    <w:rsid w:val="00BA5C49"/>
    <w:rsid w:val="00BA5D3F"/>
    <w:rsid w:val="00BA5D6D"/>
    <w:rsid w:val="00BA5E91"/>
    <w:rsid w:val="00BA5EAC"/>
    <w:rsid w:val="00BA5F47"/>
    <w:rsid w:val="00BA5F6A"/>
    <w:rsid w:val="00BA5FB4"/>
    <w:rsid w:val="00BA6046"/>
    <w:rsid w:val="00BA60BB"/>
    <w:rsid w:val="00BA6223"/>
    <w:rsid w:val="00BA625E"/>
    <w:rsid w:val="00BA662F"/>
    <w:rsid w:val="00BA6775"/>
    <w:rsid w:val="00BA6914"/>
    <w:rsid w:val="00BA69BE"/>
    <w:rsid w:val="00BA69D7"/>
    <w:rsid w:val="00BA6A02"/>
    <w:rsid w:val="00BA6A6F"/>
    <w:rsid w:val="00BA6B27"/>
    <w:rsid w:val="00BA6BE8"/>
    <w:rsid w:val="00BA6ED9"/>
    <w:rsid w:val="00BA74E4"/>
    <w:rsid w:val="00BA74E7"/>
    <w:rsid w:val="00BA7592"/>
    <w:rsid w:val="00BA75D0"/>
    <w:rsid w:val="00BA76FA"/>
    <w:rsid w:val="00BA7721"/>
    <w:rsid w:val="00BA7915"/>
    <w:rsid w:val="00BA797D"/>
    <w:rsid w:val="00BA7BAA"/>
    <w:rsid w:val="00BA7E13"/>
    <w:rsid w:val="00BA7EB0"/>
    <w:rsid w:val="00BB00B5"/>
    <w:rsid w:val="00BB00F5"/>
    <w:rsid w:val="00BB0348"/>
    <w:rsid w:val="00BB055C"/>
    <w:rsid w:val="00BB05D2"/>
    <w:rsid w:val="00BB070D"/>
    <w:rsid w:val="00BB0A69"/>
    <w:rsid w:val="00BB0A95"/>
    <w:rsid w:val="00BB0AAE"/>
    <w:rsid w:val="00BB0DFA"/>
    <w:rsid w:val="00BB0E55"/>
    <w:rsid w:val="00BB10E0"/>
    <w:rsid w:val="00BB1199"/>
    <w:rsid w:val="00BB12D2"/>
    <w:rsid w:val="00BB12E6"/>
    <w:rsid w:val="00BB1502"/>
    <w:rsid w:val="00BB1558"/>
    <w:rsid w:val="00BB18D5"/>
    <w:rsid w:val="00BB18DC"/>
    <w:rsid w:val="00BB1939"/>
    <w:rsid w:val="00BB1DAE"/>
    <w:rsid w:val="00BB1E58"/>
    <w:rsid w:val="00BB1E76"/>
    <w:rsid w:val="00BB1F50"/>
    <w:rsid w:val="00BB1FC1"/>
    <w:rsid w:val="00BB2064"/>
    <w:rsid w:val="00BB2092"/>
    <w:rsid w:val="00BB20A8"/>
    <w:rsid w:val="00BB218D"/>
    <w:rsid w:val="00BB21CD"/>
    <w:rsid w:val="00BB245A"/>
    <w:rsid w:val="00BB2496"/>
    <w:rsid w:val="00BB24A3"/>
    <w:rsid w:val="00BB2503"/>
    <w:rsid w:val="00BB2686"/>
    <w:rsid w:val="00BB2687"/>
    <w:rsid w:val="00BB27A1"/>
    <w:rsid w:val="00BB27DD"/>
    <w:rsid w:val="00BB2857"/>
    <w:rsid w:val="00BB29A9"/>
    <w:rsid w:val="00BB2A0A"/>
    <w:rsid w:val="00BB2BC2"/>
    <w:rsid w:val="00BB2FE7"/>
    <w:rsid w:val="00BB3007"/>
    <w:rsid w:val="00BB3070"/>
    <w:rsid w:val="00BB3175"/>
    <w:rsid w:val="00BB32CE"/>
    <w:rsid w:val="00BB33DC"/>
    <w:rsid w:val="00BB33FD"/>
    <w:rsid w:val="00BB3541"/>
    <w:rsid w:val="00BB3A51"/>
    <w:rsid w:val="00BB3D51"/>
    <w:rsid w:val="00BB3E88"/>
    <w:rsid w:val="00BB3F61"/>
    <w:rsid w:val="00BB4042"/>
    <w:rsid w:val="00BB421A"/>
    <w:rsid w:val="00BB43E1"/>
    <w:rsid w:val="00BB445B"/>
    <w:rsid w:val="00BB4467"/>
    <w:rsid w:val="00BB4607"/>
    <w:rsid w:val="00BB462F"/>
    <w:rsid w:val="00BB4683"/>
    <w:rsid w:val="00BB46CD"/>
    <w:rsid w:val="00BB46DB"/>
    <w:rsid w:val="00BB4AF2"/>
    <w:rsid w:val="00BB4FBA"/>
    <w:rsid w:val="00BB504B"/>
    <w:rsid w:val="00BB5136"/>
    <w:rsid w:val="00BB5213"/>
    <w:rsid w:val="00BB52DD"/>
    <w:rsid w:val="00BB548F"/>
    <w:rsid w:val="00BB54A9"/>
    <w:rsid w:val="00BB55E4"/>
    <w:rsid w:val="00BB572A"/>
    <w:rsid w:val="00BB57E9"/>
    <w:rsid w:val="00BB5965"/>
    <w:rsid w:val="00BB5C99"/>
    <w:rsid w:val="00BB5DA5"/>
    <w:rsid w:val="00BB5DBD"/>
    <w:rsid w:val="00BB5E24"/>
    <w:rsid w:val="00BB5E29"/>
    <w:rsid w:val="00BB5EEB"/>
    <w:rsid w:val="00BB609A"/>
    <w:rsid w:val="00BB6156"/>
    <w:rsid w:val="00BB62AC"/>
    <w:rsid w:val="00BB62B6"/>
    <w:rsid w:val="00BB6371"/>
    <w:rsid w:val="00BB6391"/>
    <w:rsid w:val="00BB63DB"/>
    <w:rsid w:val="00BB6515"/>
    <w:rsid w:val="00BB6669"/>
    <w:rsid w:val="00BB66AD"/>
    <w:rsid w:val="00BB679A"/>
    <w:rsid w:val="00BB68A7"/>
    <w:rsid w:val="00BB6BE0"/>
    <w:rsid w:val="00BB6EA4"/>
    <w:rsid w:val="00BB6ED4"/>
    <w:rsid w:val="00BB6ED6"/>
    <w:rsid w:val="00BB70A6"/>
    <w:rsid w:val="00BB710E"/>
    <w:rsid w:val="00BB728D"/>
    <w:rsid w:val="00BB7412"/>
    <w:rsid w:val="00BB7419"/>
    <w:rsid w:val="00BB748E"/>
    <w:rsid w:val="00BB7535"/>
    <w:rsid w:val="00BB75A2"/>
    <w:rsid w:val="00BB75C7"/>
    <w:rsid w:val="00BB76B2"/>
    <w:rsid w:val="00BB76C2"/>
    <w:rsid w:val="00BB77C1"/>
    <w:rsid w:val="00BB78B8"/>
    <w:rsid w:val="00BB791B"/>
    <w:rsid w:val="00BB7956"/>
    <w:rsid w:val="00BB79C1"/>
    <w:rsid w:val="00BB79C2"/>
    <w:rsid w:val="00BB7A8D"/>
    <w:rsid w:val="00BB7AA4"/>
    <w:rsid w:val="00BB7AA6"/>
    <w:rsid w:val="00BB7B7F"/>
    <w:rsid w:val="00BB7C0D"/>
    <w:rsid w:val="00BB929A"/>
    <w:rsid w:val="00BC014B"/>
    <w:rsid w:val="00BC01DE"/>
    <w:rsid w:val="00BC0235"/>
    <w:rsid w:val="00BC025C"/>
    <w:rsid w:val="00BC03F0"/>
    <w:rsid w:val="00BC045D"/>
    <w:rsid w:val="00BC0463"/>
    <w:rsid w:val="00BC0719"/>
    <w:rsid w:val="00BC07A6"/>
    <w:rsid w:val="00BC07F4"/>
    <w:rsid w:val="00BC0A43"/>
    <w:rsid w:val="00BC0AA5"/>
    <w:rsid w:val="00BC0C9A"/>
    <w:rsid w:val="00BC0D59"/>
    <w:rsid w:val="00BC0D9B"/>
    <w:rsid w:val="00BC0E16"/>
    <w:rsid w:val="00BC0F56"/>
    <w:rsid w:val="00BC10E8"/>
    <w:rsid w:val="00BC1297"/>
    <w:rsid w:val="00BC148D"/>
    <w:rsid w:val="00BC15AE"/>
    <w:rsid w:val="00BC15E1"/>
    <w:rsid w:val="00BC18DE"/>
    <w:rsid w:val="00BC1992"/>
    <w:rsid w:val="00BC19D3"/>
    <w:rsid w:val="00BC1B74"/>
    <w:rsid w:val="00BC1C05"/>
    <w:rsid w:val="00BC1D32"/>
    <w:rsid w:val="00BC1E98"/>
    <w:rsid w:val="00BC1EF8"/>
    <w:rsid w:val="00BC1F85"/>
    <w:rsid w:val="00BC1F95"/>
    <w:rsid w:val="00BC1FB1"/>
    <w:rsid w:val="00BC1FBD"/>
    <w:rsid w:val="00BC1FFF"/>
    <w:rsid w:val="00BC2199"/>
    <w:rsid w:val="00BC2442"/>
    <w:rsid w:val="00BC251E"/>
    <w:rsid w:val="00BC2756"/>
    <w:rsid w:val="00BC2811"/>
    <w:rsid w:val="00BC2A4E"/>
    <w:rsid w:val="00BC2A69"/>
    <w:rsid w:val="00BC2A83"/>
    <w:rsid w:val="00BC2A9E"/>
    <w:rsid w:val="00BC2AFC"/>
    <w:rsid w:val="00BC2B1D"/>
    <w:rsid w:val="00BC2D50"/>
    <w:rsid w:val="00BC2EF6"/>
    <w:rsid w:val="00BC2FFE"/>
    <w:rsid w:val="00BC33D4"/>
    <w:rsid w:val="00BC3649"/>
    <w:rsid w:val="00BC36C9"/>
    <w:rsid w:val="00BC371F"/>
    <w:rsid w:val="00BC3875"/>
    <w:rsid w:val="00BC38CC"/>
    <w:rsid w:val="00BC39C4"/>
    <w:rsid w:val="00BC3A6B"/>
    <w:rsid w:val="00BC3ADB"/>
    <w:rsid w:val="00BC3C7C"/>
    <w:rsid w:val="00BC3CC4"/>
    <w:rsid w:val="00BC414B"/>
    <w:rsid w:val="00BC43EA"/>
    <w:rsid w:val="00BC452F"/>
    <w:rsid w:val="00BC4545"/>
    <w:rsid w:val="00BC45F7"/>
    <w:rsid w:val="00BC4699"/>
    <w:rsid w:val="00BC4747"/>
    <w:rsid w:val="00BC4798"/>
    <w:rsid w:val="00BC4AB7"/>
    <w:rsid w:val="00BC4B69"/>
    <w:rsid w:val="00BC4BD6"/>
    <w:rsid w:val="00BC4BE5"/>
    <w:rsid w:val="00BC4CD0"/>
    <w:rsid w:val="00BC4D81"/>
    <w:rsid w:val="00BC4E64"/>
    <w:rsid w:val="00BC4EC7"/>
    <w:rsid w:val="00BC5048"/>
    <w:rsid w:val="00BC5077"/>
    <w:rsid w:val="00BC5226"/>
    <w:rsid w:val="00BC5363"/>
    <w:rsid w:val="00BC5540"/>
    <w:rsid w:val="00BC55B3"/>
    <w:rsid w:val="00BC56DD"/>
    <w:rsid w:val="00BC5733"/>
    <w:rsid w:val="00BC57CE"/>
    <w:rsid w:val="00BC57E8"/>
    <w:rsid w:val="00BC585F"/>
    <w:rsid w:val="00BC5A8C"/>
    <w:rsid w:val="00BC5CFE"/>
    <w:rsid w:val="00BC5D81"/>
    <w:rsid w:val="00BC5DD9"/>
    <w:rsid w:val="00BC5DFB"/>
    <w:rsid w:val="00BC642D"/>
    <w:rsid w:val="00BC6584"/>
    <w:rsid w:val="00BC6714"/>
    <w:rsid w:val="00BC674A"/>
    <w:rsid w:val="00BC6936"/>
    <w:rsid w:val="00BC69C5"/>
    <w:rsid w:val="00BC6A91"/>
    <w:rsid w:val="00BC6AC5"/>
    <w:rsid w:val="00BC6C4C"/>
    <w:rsid w:val="00BC6C84"/>
    <w:rsid w:val="00BC6D36"/>
    <w:rsid w:val="00BC6E99"/>
    <w:rsid w:val="00BC6EAA"/>
    <w:rsid w:val="00BC6FB1"/>
    <w:rsid w:val="00BC6FF4"/>
    <w:rsid w:val="00BC701E"/>
    <w:rsid w:val="00BC7119"/>
    <w:rsid w:val="00BC72A3"/>
    <w:rsid w:val="00BC72BE"/>
    <w:rsid w:val="00BC742E"/>
    <w:rsid w:val="00BC7478"/>
    <w:rsid w:val="00BC748F"/>
    <w:rsid w:val="00BC754E"/>
    <w:rsid w:val="00BC765E"/>
    <w:rsid w:val="00BC770B"/>
    <w:rsid w:val="00BC77E6"/>
    <w:rsid w:val="00BC7A2F"/>
    <w:rsid w:val="00BC7A63"/>
    <w:rsid w:val="00BC7A8F"/>
    <w:rsid w:val="00BC7AE5"/>
    <w:rsid w:val="00BC7E4D"/>
    <w:rsid w:val="00BD0226"/>
    <w:rsid w:val="00BD0336"/>
    <w:rsid w:val="00BD03A8"/>
    <w:rsid w:val="00BD03F5"/>
    <w:rsid w:val="00BD050C"/>
    <w:rsid w:val="00BD0700"/>
    <w:rsid w:val="00BD0893"/>
    <w:rsid w:val="00BD0BFF"/>
    <w:rsid w:val="00BD0DA9"/>
    <w:rsid w:val="00BD0F4B"/>
    <w:rsid w:val="00BD0FA8"/>
    <w:rsid w:val="00BD103D"/>
    <w:rsid w:val="00BD135F"/>
    <w:rsid w:val="00BD13B7"/>
    <w:rsid w:val="00BD13C9"/>
    <w:rsid w:val="00BD13ED"/>
    <w:rsid w:val="00BD1466"/>
    <w:rsid w:val="00BD152D"/>
    <w:rsid w:val="00BD1539"/>
    <w:rsid w:val="00BD1623"/>
    <w:rsid w:val="00BD19C5"/>
    <w:rsid w:val="00BD1F49"/>
    <w:rsid w:val="00BD2002"/>
    <w:rsid w:val="00BD2036"/>
    <w:rsid w:val="00BD2041"/>
    <w:rsid w:val="00BD2170"/>
    <w:rsid w:val="00BD2219"/>
    <w:rsid w:val="00BD2238"/>
    <w:rsid w:val="00BD23AA"/>
    <w:rsid w:val="00BD25F2"/>
    <w:rsid w:val="00BD260B"/>
    <w:rsid w:val="00BD276F"/>
    <w:rsid w:val="00BD2A28"/>
    <w:rsid w:val="00BD2A77"/>
    <w:rsid w:val="00BD2AAA"/>
    <w:rsid w:val="00BD2BC0"/>
    <w:rsid w:val="00BD2C79"/>
    <w:rsid w:val="00BD2C8C"/>
    <w:rsid w:val="00BD2C9E"/>
    <w:rsid w:val="00BD3117"/>
    <w:rsid w:val="00BD31DE"/>
    <w:rsid w:val="00BD3394"/>
    <w:rsid w:val="00BD350C"/>
    <w:rsid w:val="00BD374E"/>
    <w:rsid w:val="00BD3775"/>
    <w:rsid w:val="00BD3819"/>
    <w:rsid w:val="00BD3827"/>
    <w:rsid w:val="00BD3858"/>
    <w:rsid w:val="00BD385C"/>
    <w:rsid w:val="00BD38B7"/>
    <w:rsid w:val="00BD3A56"/>
    <w:rsid w:val="00BD3B77"/>
    <w:rsid w:val="00BD3BE7"/>
    <w:rsid w:val="00BD3C69"/>
    <w:rsid w:val="00BD3DA1"/>
    <w:rsid w:val="00BD3DE0"/>
    <w:rsid w:val="00BD3EDB"/>
    <w:rsid w:val="00BD3FF1"/>
    <w:rsid w:val="00BD404C"/>
    <w:rsid w:val="00BD41C9"/>
    <w:rsid w:val="00BD4465"/>
    <w:rsid w:val="00BD4619"/>
    <w:rsid w:val="00BD46F3"/>
    <w:rsid w:val="00BD477E"/>
    <w:rsid w:val="00BD47CF"/>
    <w:rsid w:val="00BD48A3"/>
    <w:rsid w:val="00BD4B9F"/>
    <w:rsid w:val="00BD4CE9"/>
    <w:rsid w:val="00BD4D08"/>
    <w:rsid w:val="00BD4D9A"/>
    <w:rsid w:val="00BD4DDA"/>
    <w:rsid w:val="00BD4E4B"/>
    <w:rsid w:val="00BD4E5C"/>
    <w:rsid w:val="00BD4F88"/>
    <w:rsid w:val="00BD4FD0"/>
    <w:rsid w:val="00BD5083"/>
    <w:rsid w:val="00BD51B2"/>
    <w:rsid w:val="00BD5239"/>
    <w:rsid w:val="00BD527C"/>
    <w:rsid w:val="00BD5392"/>
    <w:rsid w:val="00BD548F"/>
    <w:rsid w:val="00BD55A8"/>
    <w:rsid w:val="00BD55BB"/>
    <w:rsid w:val="00BD5604"/>
    <w:rsid w:val="00BD58E0"/>
    <w:rsid w:val="00BD5A02"/>
    <w:rsid w:val="00BD5A27"/>
    <w:rsid w:val="00BD5D36"/>
    <w:rsid w:val="00BD5D9C"/>
    <w:rsid w:val="00BD62CA"/>
    <w:rsid w:val="00BD6319"/>
    <w:rsid w:val="00BD632C"/>
    <w:rsid w:val="00BD6791"/>
    <w:rsid w:val="00BD67A3"/>
    <w:rsid w:val="00BD6928"/>
    <w:rsid w:val="00BD6972"/>
    <w:rsid w:val="00BD698C"/>
    <w:rsid w:val="00BD698E"/>
    <w:rsid w:val="00BD6A04"/>
    <w:rsid w:val="00BD6B50"/>
    <w:rsid w:val="00BD6B65"/>
    <w:rsid w:val="00BD6B98"/>
    <w:rsid w:val="00BD6C56"/>
    <w:rsid w:val="00BD6DA8"/>
    <w:rsid w:val="00BD6DF7"/>
    <w:rsid w:val="00BD6E0E"/>
    <w:rsid w:val="00BD6E39"/>
    <w:rsid w:val="00BD6E3D"/>
    <w:rsid w:val="00BD6EAF"/>
    <w:rsid w:val="00BD6F22"/>
    <w:rsid w:val="00BD713C"/>
    <w:rsid w:val="00BD7149"/>
    <w:rsid w:val="00BD71F1"/>
    <w:rsid w:val="00BD72A1"/>
    <w:rsid w:val="00BD7322"/>
    <w:rsid w:val="00BD7333"/>
    <w:rsid w:val="00BD7407"/>
    <w:rsid w:val="00BD7486"/>
    <w:rsid w:val="00BD76BE"/>
    <w:rsid w:val="00BD76E5"/>
    <w:rsid w:val="00BD77CC"/>
    <w:rsid w:val="00BD78C7"/>
    <w:rsid w:val="00BD7AE8"/>
    <w:rsid w:val="00BD7B98"/>
    <w:rsid w:val="00BD7BB5"/>
    <w:rsid w:val="00BD7BF4"/>
    <w:rsid w:val="00BD7C93"/>
    <w:rsid w:val="00BD7D8E"/>
    <w:rsid w:val="00BD7EF1"/>
    <w:rsid w:val="00BD7F0B"/>
    <w:rsid w:val="00BDB3CF"/>
    <w:rsid w:val="00BE0061"/>
    <w:rsid w:val="00BE0420"/>
    <w:rsid w:val="00BE0432"/>
    <w:rsid w:val="00BE0461"/>
    <w:rsid w:val="00BE05CA"/>
    <w:rsid w:val="00BE0637"/>
    <w:rsid w:val="00BE0787"/>
    <w:rsid w:val="00BE07A6"/>
    <w:rsid w:val="00BE0929"/>
    <w:rsid w:val="00BE098C"/>
    <w:rsid w:val="00BE0A27"/>
    <w:rsid w:val="00BE0AAC"/>
    <w:rsid w:val="00BE0B48"/>
    <w:rsid w:val="00BE0C6F"/>
    <w:rsid w:val="00BE0C84"/>
    <w:rsid w:val="00BE0DDB"/>
    <w:rsid w:val="00BE0EF1"/>
    <w:rsid w:val="00BE0F51"/>
    <w:rsid w:val="00BE0F6C"/>
    <w:rsid w:val="00BE0F74"/>
    <w:rsid w:val="00BE0FF8"/>
    <w:rsid w:val="00BE1274"/>
    <w:rsid w:val="00BE13FE"/>
    <w:rsid w:val="00BE1418"/>
    <w:rsid w:val="00BE1763"/>
    <w:rsid w:val="00BE1A01"/>
    <w:rsid w:val="00BE206E"/>
    <w:rsid w:val="00BE210C"/>
    <w:rsid w:val="00BE2342"/>
    <w:rsid w:val="00BE23BA"/>
    <w:rsid w:val="00BE2472"/>
    <w:rsid w:val="00BE2580"/>
    <w:rsid w:val="00BE2673"/>
    <w:rsid w:val="00BE2807"/>
    <w:rsid w:val="00BE28BF"/>
    <w:rsid w:val="00BE2904"/>
    <w:rsid w:val="00BE2923"/>
    <w:rsid w:val="00BE292C"/>
    <w:rsid w:val="00BE297A"/>
    <w:rsid w:val="00BE2A19"/>
    <w:rsid w:val="00BE2A24"/>
    <w:rsid w:val="00BE2D0E"/>
    <w:rsid w:val="00BE2D4F"/>
    <w:rsid w:val="00BE2DA4"/>
    <w:rsid w:val="00BE3070"/>
    <w:rsid w:val="00BE311B"/>
    <w:rsid w:val="00BE31B3"/>
    <w:rsid w:val="00BE31B4"/>
    <w:rsid w:val="00BE3285"/>
    <w:rsid w:val="00BE36C1"/>
    <w:rsid w:val="00BE38BD"/>
    <w:rsid w:val="00BE39F1"/>
    <w:rsid w:val="00BE3B35"/>
    <w:rsid w:val="00BE3C6A"/>
    <w:rsid w:val="00BE3CBF"/>
    <w:rsid w:val="00BE3E34"/>
    <w:rsid w:val="00BE3E9E"/>
    <w:rsid w:val="00BE409A"/>
    <w:rsid w:val="00BE43F3"/>
    <w:rsid w:val="00BE45CD"/>
    <w:rsid w:val="00BE45CE"/>
    <w:rsid w:val="00BE46F0"/>
    <w:rsid w:val="00BE478F"/>
    <w:rsid w:val="00BE47D2"/>
    <w:rsid w:val="00BE4863"/>
    <w:rsid w:val="00BE4BA9"/>
    <w:rsid w:val="00BE4F45"/>
    <w:rsid w:val="00BE4FD8"/>
    <w:rsid w:val="00BE4FE1"/>
    <w:rsid w:val="00BE506E"/>
    <w:rsid w:val="00BE521F"/>
    <w:rsid w:val="00BE5358"/>
    <w:rsid w:val="00BE54D2"/>
    <w:rsid w:val="00BE5597"/>
    <w:rsid w:val="00BE5773"/>
    <w:rsid w:val="00BE5947"/>
    <w:rsid w:val="00BE595E"/>
    <w:rsid w:val="00BE5A4A"/>
    <w:rsid w:val="00BE5A4D"/>
    <w:rsid w:val="00BE5AA1"/>
    <w:rsid w:val="00BE5E8C"/>
    <w:rsid w:val="00BE60AC"/>
    <w:rsid w:val="00BE6111"/>
    <w:rsid w:val="00BE6186"/>
    <w:rsid w:val="00BE61B6"/>
    <w:rsid w:val="00BE61F1"/>
    <w:rsid w:val="00BE6258"/>
    <w:rsid w:val="00BE628F"/>
    <w:rsid w:val="00BE62BE"/>
    <w:rsid w:val="00BE634F"/>
    <w:rsid w:val="00BE63EC"/>
    <w:rsid w:val="00BE6643"/>
    <w:rsid w:val="00BE6765"/>
    <w:rsid w:val="00BE67E6"/>
    <w:rsid w:val="00BE698B"/>
    <w:rsid w:val="00BE69A7"/>
    <w:rsid w:val="00BE6C23"/>
    <w:rsid w:val="00BE6E42"/>
    <w:rsid w:val="00BE6F2F"/>
    <w:rsid w:val="00BE7076"/>
    <w:rsid w:val="00BE71D2"/>
    <w:rsid w:val="00BE7252"/>
    <w:rsid w:val="00BE734A"/>
    <w:rsid w:val="00BE7461"/>
    <w:rsid w:val="00BE7499"/>
    <w:rsid w:val="00BE749D"/>
    <w:rsid w:val="00BE74D1"/>
    <w:rsid w:val="00BE74D4"/>
    <w:rsid w:val="00BE74F3"/>
    <w:rsid w:val="00BE754E"/>
    <w:rsid w:val="00BE75A1"/>
    <w:rsid w:val="00BE75B0"/>
    <w:rsid w:val="00BE7629"/>
    <w:rsid w:val="00BE786C"/>
    <w:rsid w:val="00BE7938"/>
    <w:rsid w:val="00BE7BD3"/>
    <w:rsid w:val="00BE7BDA"/>
    <w:rsid w:val="00BE7C1F"/>
    <w:rsid w:val="00BE7D1A"/>
    <w:rsid w:val="00BE7D20"/>
    <w:rsid w:val="00BE7E86"/>
    <w:rsid w:val="00BF0096"/>
    <w:rsid w:val="00BF04AA"/>
    <w:rsid w:val="00BF05A5"/>
    <w:rsid w:val="00BF076C"/>
    <w:rsid w:val="00BF079C"/>
    <w:rsid w:val="00BF0B17"/>
    <w:rsid w:val="00BF0C5D"/>
    <w:rsid w:val="00BF0D9E"/>
    <w:rsid w:val="00BF0F84"/>
    <w:rsid w:val="00BF0FDE"/>
    <w:rsid w:val="00BF1030"/>
    <w:rsid w:val="00BF110E"/>
    <w:rsid w:val="00BF1145"/>
    <w:rsid w:val="00BF12F8"/>
    <w:rsid w:val="00BF1303"/>
    <w:rsid w:val="00BF1511"/>
    <w:rsid w:val="00BF1536"/>
    <w:rsid w:val="00BF163A"/>
    <w:rsid w:val="00BF16B4"/>
    <w:rsid w:val="00BF1739"/>
    <w:rsid w:val="00BF173F"/>
    <w:rsid w:val="00BF1910"/>
    <w:rsid w:val="00BF1995"/>
    <w:rsid w:val="00BF19E6"/>
    <w:rsid w:val="00BF1A14"/>
    <w:rsid w:val="00BF1AE5"/>
    <w:rsid w:val="00BF1B80"/>
    <w:rsid w:val="00BF1C14"/>
    <w:rsid w:val="00BF1D26"/>
    <w:rsid w:val="00BF1D3C"/>
    <w:rsid w:val="00BF1ED0"/>
    <w:rsid w:val="00BF1F7D"/>
    <w:rsid w:val="00BF208E"/>
    <w:rsid w:val="00BF224F"/>
    <w:rsid w:val="00BF229A"/>
    <w:rsid w:val="00BF22CD"/>
    <w:rsid w:val="00BF23B0"/>
    <w:rsid w:val="00BF23C4"/>
    <w:rsid w:val="00BF2423"/>
    <w:rsid w:val="00BF2432"/>
    <w:rsid w:val="00BF2478"/>
    <w:rsid w:val="00BF251A"/>
    <w:rsid w:val="00BF258C"/>
    <w:rsid w:val="00BF25E8"/>
    <w:rsid w:val="00BF2638"/>
    <w:rsid w:val="00BF2648"/>
    <w:rsid w:val="00BF291D"/>
    <w:rsid w:val="00BF2958"/>
    <w:rsid w:val="00BF29F0"/>
    <w:rsid w:val="00BF2AAE"/>
    <w:rsid w:val="00BF2B88"/>
    <w:rsid w:val="00BF2C3C"/>
    <w:rsid w:val="00BF2CF4"/>
    <w:rsid w:val="00BF2E74"/>
    <w:rsid w:val="00BF2E9E"/>
    <w:rsid w:val="00BF2F59"/>
    <w:rsid w:val="00BF2FBC"/>
    <w:rsid w:val="00BF310E"/>
    <w:rsid w:val="00BF315C"/>
    <w:rsid w:val="00BF345B"/>
    <w:rsid w:val="00BF34D2"/>
    <w:rsid w:val="00BF35E9"/>
    <w:rsid w:val="00BF3603"/>
    <w:rsid w:val="00BF36CF"/>
    <w:rsid w:val="00BF37A4"/>
    <w:rsid w:val="00BF37A7"/>
    <w:rsid w:val="00BF37C3"/>
    <w:rsid w:val="00BF390F"/>
    <w:rsid w:val="00BF3C24"/>
    <w:rsid w:val="00BF3D65"/>
    <w:rsid w:val="00BF3D73"/>
    <w:rsid w:val="00BF3E2D"/>
    <w:rsid w:val="00BF3E81"/>
    <w:rsid w:val="00BF3FD8"/>
    <w:rsid w:val="00BF401E"/>
    <w:rsid w:val="00BF41C8"/>
    <w:rsid w:val="00BF4258"/>
    <w:rsid w:val="00BF43CA"/>
    <w:rsid w:val="00BF4770"/>
    <w:rsid w:val="00BF4774"/>
    <w:rsid w:val="00BF47B5"/>
    <w:rsid w:val="00BF497E"/>
    <w:rsid w:val="00BF4BE9"/>
    <w:rsid w:val="00BF4D97"/>
    <w:rsid w:val="00BF4E21"/>
    <w:rsid w:val="00BF4FC3"/>
    <w:rsid w:val="00BF5005"/>
    <w:rsid w:val="00BF515C"/>
    <w:rsid w:val="00BF52DA"/>
    <w:rsid w:val="00BF5349"/>
    <w:rsid w:val="00BF5367"/>
    <w:rsid w:val="00BF547A"/>
    <w:rsid w:val="00BF5518"/>
    <w:rsid w:val="00BF5597"/>
    <w:rsid w:val="00BF5762"/>
    <w:rsid w:val="00BF5800"/>
    <w:rsid w:val="00BF5988"/>
    <w:rsid w:val="00BF599F"/>
    <w:rsid w:val="00BF5A03"/>
    <w:rsid w:val="00BF5A6D"/>
    <w:rsid w:val="00BF5B75"/>
    <w:rsid w:val="00BF5C27"/>
    <w:rsid w:val="00BF5C5A"/>
    <w:rsid w:val="00BF5C7D"/>
    <w:rsid w:val="00BF5ED9"/>
    <w:rsid w:val="00BF5FD4"/>
    <w:rsid w:val="00BF61BB"/>
    <w:rsid w:val="00BF640B"/>
    <w:rsid w:val="00BF653A"/>
    <w:rsid w:val="00BF6582"/>
    <w:rsid w:val="00BF65C1"/>
    <w:rsid w:val="00BF6736"/>
    <w:rsid w:val="00BF685A"/>
    <w:rsid w:val="00BF693B"/>
    <w:rsid w:val="00BF69B6"/>
    <w:rsid w:val="00BF6ADD"/>
    <w:rsid w:val="00BF6B1A"/>
    <w:rsid w:val="00BF6B76"/>
    <w:rsid w:val="00BF6C31"/>
    <w:rsid w:val="00BF6C7D"/>
    <w:rsid w:val="00BF6C95"/>
    <w:rsid w:val="00BF6D6E"/>
    <w:rsid w:val="00BF6E94"/>
    <w:rsid w:val="00BF6E9D"/>
    <w:rsid w:val="00BF6EA5"/>
    <w:rsid w:val="00BF6EFD"/>
    <w:rsid w:val="00BF6F7A"/>
    <w:rsid w:val="00BF7076"/>
    <w:rsid w:val="00BF70C4"/>
    <w:rsid w:val="00BF711A"/>
    <w:rsid w:val="00BF71D4"/>
    <w:rsid w:val="00BF72E3"/>
    <w:rsid w:val="00BF7418"/>
    <w:rsid w:val="00BF74A6"/>
    <w:rsid w:val="00BF7543"/>
    <w:rsid w:val="00BF7911"/>
    <w:rsid w:val="00BF7954"/>
    <w:rsid w:val="00BF7A14"/>
    <w:rsid w:val="00BF7A33"/>
    <w:rsid w:val="00BF7B84"/>
    <w:rsid w:val="00BF7C69"/>
    <w:rsid w:val="00BF7DAA"/>
    <w:rsid w:val="00BF7E14"/>
    <w:rsid w:val="00C001F6"/>
    <w:rsid w:val="00C005CC"/>
    <w:rsid w:val="00C008DB"/>
    <w:rsid w:val="00C00CAF"/>
    <w:rsid w:val="00C00D85"/>
    <w:rsid w:val="00C00E02"/>
    <w:rsid w:val="00C00E2B"/>
    <w:rsid w:val="00C00E3C"/>
    <w:rsid w:val="00C00E90"/>
    <w:rsid w:val="00C0103D"/>
    <w:rsid w:val="00C0114B"/>
    <w:rsid w:val="00C0124D"/>
    <w:rsid w:val="00C01281"/>
    <w:rsid w:val="00C01289"/>
    <w:rsid w:val="00C012E8"/>
    <w:rsid w:val="00C0151E"/>
    <w:rsid w:val="00C01524"/>
    <w:rsid w:val="00C01573"/>
    <w:rsid w:val="00C01615"/>
    <w:rsid w:val="00C0165C"/>
    <w:rsid w:val="00C0166B"/>
    <w:rsid w:val="00C01876"/>
    <w:rsid w:val="00C01925"/>
    <w:rsid w:val="00C01994"/>
    <w:rsid w:val="00C01A47"/>
    <w:rsid w:val="00C01A49"/>
    <w:rsid w:val="00C01AAA"/>
    <w:rsid w:val="00C01DFD"/>
    <w:rsid w:val="00C01E1D"/>
    <w:rsid w:val="00C0200C"/>
    <w:rsid w:val="00C02047"/>
    <w:rsid w:val="00C02062"/>
    <w:rsid w:val="00C021FF"/>
    <w:rsid w:val="00C02286"/>
    <w:rsid w:val="00C0230B"/>
    <w:rsid w:val="00C0281D"/>
    <w:rsid w:val="00C02829"/>
    <w:rsid w:val="00C028DC"/>
    <w:rsid w:val="00C02A56"/>
    <w:rsid w:val="00C02A6A"/>
    <w:rsid w:val="00C02B5B"/>
    <w:rsid w:val="00C02CC6"/>
    <w:rsid w:val="00C02D73"/>
    <w:rsid w:val="00C02D8C"/>
    <w:rsid w:val="00C02E52"/>
    <w:rsid w:val="00C02F0B"/>
    <w:rsid w:val="00C03001"/>
    <w:rsid w:val="00C03066"/>
    <w:rsid w:val="00C0315E"/>
    <w:rsid w:val="00C031C1"/>
    <w:rsid w:val="00C03223"/>
    <w:rsid w:val="00C03266"/>
    <w:rsid w:val="00C033EF"/>
    <w:rsid w:val="00C034C9"/>
    <w:rsid w:val="00C03566"/>
    <w:rsid w:val="00C036E2"/>
    <w:rsid w:val="00C037F1"/>
    <w:rsid w:val="00C03954"/>
    <w:rsid w:val="00C03A92"/>
    <w:rsid w:val="00C03C40"/>
    <w:rsid w:val="00C03C8C"/>
    <w:rsid w:val="00C03CEA"/>
    <w:rsid w:val="00C04012"/>
    <w:rsid w:val="00C0427A"/>
    <w:rsid w:val="00C04566"/>
    <w:rsid w:val="00C0461A"/>
    <w:rsid w:val="00C04656"/>
    <w:rsid w:val="00C0499A"/>
    <w:rsid w:val="00C04ACB"/>
    <w:rsid w:val="00C04AE7"/>
    <w:rsid w:val="00C04F47"/>
    <w:rsid w:val="00C04F88"/>
    <w:rsid w:val="00C05125"/>
    <w:rsid w:val="00C05281"/>
    <w:rsid w:val="00C0529B"/>
    <w:rsid w:val="00C053FB"/>
    <w:rsid w:val="00C054E1"/>
    <w:rsid w:val="00C0562C"/>
    <w:rsid w:val="00C0570B"/>
    <w:rsid w:val="00C05739"/>
    <w:rsid w:val="00C058AD"/>
    <w:rsid w:val="00C059EA"/>
    <w:rsid w:val="00C05A1A"/>
    <w:rsid w:val="00C05B25"/>
    <w:rsid w:val="00C05C48"/>
    <w:rsid w:val="00C05CC4"/>
    <w:rsid w:val="00C05DDE"/>
    <w:rsid w:val="00C06030"/>
    <w:rsid w:val="00C06122"/>
    <w:rsid w:val="00C0628B"/>
    <w:rsid w:val="00C0630D"/>
    <w:rsid w:val="00C06608"/>
    <w:rsid w:val="00C0677C"/>
    <w:rsid w:val="00C0678D"/>
    <w:rsid w:val="00C067D3"/>
    <w:rsid w:val="00C067D4"/>
    <w:rsid w:val="00C068A9"/>
    <w:rsid w:val="00C068C3"/>
    <w:rsid w:val="00C068C8"/>
    <w:rsid w:val="00C068CE"/>
    <w:rsid w:val="00C068ED"/>
    <w:rsid w:val="00C06944"/>
    <w:rsid w:val="00C069BA"/>
    <w:rsid w:val="00C06D86"/>
    <w:rsid w:val="00C06E63"/>
    <w:rsid w:val="00C06F14"/>
    <w:rsid w:val="00C06F57"/>
    <w:rsid w:val="00C06F81"/>
    <w:rsid w:val="00C07010"/>
    <w:rsid w:val="00C0703C"/>
    <w:rsid w:val="00C0723A"/>
    <w:rsid w:val="00C07282"/>
    <w:rsid w:val="00C07358"/>
    <w:rsid w:val="00C074FA"/>
    <w:rsid w:val="00C07522"/>
    <w:rsid w:val="00C075F0"/>
    <w:rsid w:val="00C0763B"/>
    <w:rsid w:val="00C0767B"/>
    <w:rsid w:val="00C07849"/>
    <w:rsid w:val="00C078A1"/>
    <w:rsid w:val="00C07A4B"/>
    <w:rsid w:val="00C07C21"/>
    <w:rsid w:val="00C07CAC"/>
    <w:rsid w:val="00C07D5B"/>
    <w:rsid w:val="00C07E65"/>
    <w:rsid w:val="00C07F27"/>
    <w:rsid w:val="00C10023"/>
    <w:rsid w:val="00C10035"/>
    <w:rsid w:val="00C10093"/>
    <w:rsid w:val="00C10186"/>
    <w:rsid w:val="00C10220"/>
    <w:rsid w:val="00C10332"/>
    <w:rsid w:val="00C10460"/>
    <w:rsid w:val="00C1059D"/>
    <w:rsid w:val="00C10787"/>
    <w:rsid w:val="00C107E3"/>
    <w:rsid w:val="00C10840"/>
    <w:rsid w:val="00C1096A"/>
    <w:rsid w:val="00C10ACC"/>
    <w:rsid w:val="00C10B1A"/>
    <w:rsid w:val="00C10BD7"/>
    <w:rsid w:val="00C10BFB"/>
    <w:rsid w:val="00C10C61"/>
    <w:rsid w:val="00C10D60"/>
    <w:rsid w:val="00C10DC5"/>
    <w:rsid w:val="00C11011"/>
    <w:rsid w:val="00C1110C"/>
    <w:rsid w:val="00C11200"/>
    <w:rsid w:val="00C1142B"/>
    <w:rsid w:val="00C1160E"/>
    <w:rsid w:val="00C1181F"/>
    <w:rsid w:val="00C11E36"/>
    <w:rsid w:val="00C11F5C"/>
    <w:rsid w:val="00C12045"/>
    <w:rsid w:val="00C1254C"/>
    <w:rsid w:val="00C12597"/>
    <w:rsid w:val="00C12624"/>
    <w:rsid w:val="00C126E2"/>
    <w:rsid w:val="00C12904"/>
    <w:rsid w:val="00C12914"/>
    <w:rsid w:val="00C1291F"/>
    <w:rsid w:val="00C129D4"/>
    <w:rsid w:val="00C12B28"/>
    <w:rsid w:val="00C12F5A"/>
    <w:rsid w:val="00C13153"/>
    <w:rsid w:val="00C13239"/>
    <w:rsid w:val="00C136AB"/>
    <w:rsid w:val="00C137D4"/>
    <w:rsid w:val="00C1391D"/>
    <w:rsid w:val="00C139A1"/>
    <w:rsid w:val="00C13CEF"/>
    <w:rsid w:val="00C13D00"/>
    <w:rsid w:val="00C13D7B"/>
    <w:rsid w:val="00C13EA0"/>
    <w:rsid w:val="00C140E2"/>
    <w:rsid w:val="00C14212"/>
    <w:rsid w:val="00C1421F"/>
    <w:rsid w:val="00C142D2"/>
    <w:rsid w:val="00C144FE"/>
    <w:rsid w:val="00C14554"/>
    <w:rsid w:val="00C14962"/>
    <w:rsid w:val="00C14A75"/>
    <w:rsid w:val="00C14CDC"/>
    <w:rsid w:val="00C14CDF"/>
    <w:rsid w:val="00C14D69"/>
    <w:rsid w:val="00C14F31"/>
    <w:rsid w:val="00C14F9B"/>
    <w:rsid w:val="00C150E8"/>
    <w:rsid w:val="00C151FB"/>
    <w:rsid w:val="00C15269"/>
    <w:rsid w:val="00C15474"/>
    <w:rsid w:val="00C15492"/>
    <w:rsid w:val="00C154A5"/>
    <w:rsid w:val="00C15565"/>
    <w:rsid w:val="00C15599"/>
    <w:rsid w:val="00C15657"/>
    <w:rsid w:val="00C157AA"/>
    <w:rsid w:val="00C157D7"/>
    <w:rsid w:val="00C157E6"/>
    <w:rsid w:val="00C15921"/>
    <w:rsid w:val="00C15B03"/>
    <w:rsid w:val="00C15CDE"/>
    <w:rsid w:val="00C16146"/>
    <w:rsid w:val="00C161EE"/>
    <w:rsid w:val="00C16262"/>
    <w:rsid w:val="00C1629F"/>
    <w:rsid w:val="00C163C9"/>
    <w:rsid w:val="00C16476"/>
    <w:rsid w:val="00C164D3"/>
    <w:rsid w:val="00C1663F"/>
    <w:rsid w:val="00C16B50"/>
    <w:rsid w:val="00C16BD3"/>
    <w:rsid w:val="00C16C08"/>
    <w:rsid w:val="00C16C18"/>
    <w:rsid w:val="00C16C67"/>
    <w:rsid w:val="00C170F1"/>
    <w:rsid w:val="00C1718B"/>
    <w:rsid w:val="00C1720B"/>
    <w:rsid w:val="00C1730B"/>
    <w:rsid w:val="00C175D7"/>
    <w:rsid w:val="00C1781D"/>
    <w:rsid w:val="00C17852"/>
    <w:rsid w:val="00C17953"/>
    <w:rsid w:val="00C17A6D"/>
    <w:rsid w:val="00C17A93"/>
    <w:rsid w:val="00C17B15"/>
    <w:rsid w:val="00C17C05"/>
    <w:rsid w:val="00C17C14"/>
    <w:rsid w:val="00C17D29"/>
    <w:rsid w:val="00C17DE4"/>
    <w:rsid w:val="00C17E6A"/>
    <w:rsid w:val="00C17FB3"/>
    <w:rsid w:val="00C2007C"/>
    <w:rsid w:val="00C200DD"/>
    <w:rsid w:val="00C20505"/>
    <w:rsid w:val="00C2059B"/>
    <w:rsid w:val="00C20617"/>
    <w:rsid w:val="00C20644"/>
    <w:rsid w:val="00C2064C"/>
    <w:rsid w:val="00C20757"/>
    <w:rsid w:val="00C20793"/>
    <w:rsid w:val="00C20912"/>
    <w:rsid w:val="00C20B03"/>
    <w:rsid w:val="00C20B2D"/>
    <w:rsid w:val="00C20DC9"/>
    <w:rsid w:val="00C20DF5"/>
    <w:rsid w:val="00C20E1A"/>
    <w:rsid w:val="00C210FD"/>
    <w:rsid w:val="00C2112F"/>
    <w:rsid w:val="00C21254"/>
    <w:rsid w:val="00C2127A"/>
    <w:rsid w:val="00C2139B"/>
    <w:rsid w:val="00C214E8"/>
    <w:rsid w:val="00C214F4"/>
    <w:rsid w:val="00C21567"/>
    <w:rsid w:val="00C21599"/>
    <w:rsid w:val="00C215C8"/>
    <w:rsid w:val="00C216E9"/>
    <w:rsid w:val="00C2178E"/>
    <w:rsid w:val="00C2179D"/>
    <w:rsid w:val="00C21B23"/>
    <w:rsid w:val="00C21C5C"/>
    <w:rsid w:val="00C21D6A"/>
    <w:rsid w:val="00C2207B"/>
    <w:rsid w:val="00C221F4"/>
    <w:rsid w:val="00C222E6"/>
    <w:rsid w:val="00C225CC"/>
    <w:rsid w:val="00C225E6"/>
    <w:rsid w:val="00C225F2"/>
    <w:rsid w:val="00C227F6"/>
    <w:rsid w:val="00C22A33"/>
    <w:rsid w:val="00C22A51"/>
    <w:rsid w:val="00C22A63"/>
    <w:rsid w:val="00C22AEE"/>
    <w:rsid w:val="00C22B9B"/>
    <w:rsid w:val="00C22BC5"/>
    <w:rsid w:val="00C22D7F"/>
    <w:rsid w:val="00C22E40"/>
    <w:rsid w:val="00C22E51"/>
    <w:rsid w:val="00C22EE9"/>
    <w:rsid w:val="00C23036"/>
    <w:rsid w:val="00C23157"/>
    <w:rsid w:val="00C231F5"/>
    <w:rsid w:val="00C233D1"/>
    <w:rsid w:val="00C23509"/>
    <w:rsid w:val="00C2351C"/>
    <w:rsid w:val="00C235FF"/>
    <w:rsid w:val="00C23799"/>
    <w:rsid w:val="00C23A7C"/>
    <w:rsid w:val="00C23AB3"/>
    <w:rsid w:val="00C23AF5"/>
    <w:rsid w:val="00C23B56"/>
    <w:rsid w:val="00C23BA3"/>
    <w:rsid w:val="00C23BF7"/>
    <w:rsid w:val="00C23FB7"/>
    <w:rsid w:val="00C23FD5"/>
    <w:rsid w:val="00C24047"/>
    <w:rsid w:val="00C24057"/>
    <w:rsid w:val="00C24230"/>
    <w:rsid w:val="00C244A5"/>
    <w:rsid w:val="00C24587"/>
    <w:rsid w:val="00C2465D"/>
    <w:rsid w:val="00C249AC"/>
    <w:rsid w:val="00C24A55"/>
    <w:rsid w:val="00C24B25"/>
    <w:rsid w:val="00C24C1C"/>
    <w:rsid w:val="00C24CFF"/>
    <w:rsid w:val="00C24D03"/>
    <w:rsid w:val="00C24D3A"/>
    <w:rsid w:val="00C24D5A"/>
    <w:rsid w:val="00C24E8E"/>
    <w:rsid w:val="00C24F80"/>
    <w:rsid w:val="00C250A0"/>
    <w:rsid w:val="00C2522D"/>
    <w:rsid w:val="00C25235"/>
    <w:rsid w:val="00C2539D"/>
    <w:rsid w:val="00C2547A"/>
    <w:rsid w:val="00C254C4"/>
    <w:rsid w:val="00C254D9"/>
    <w:rsid w:val="00C255AD"/>
    <w:rsid w:val="00C256D7"/>
    <w:rsid w:val="00C25801"/>
    <w:rsid w:val="00C2586F"/>
    <w:rsid w:val="00C25927"/>
    <w:rsid w:val="00C25ADC"/>
    <w:rsid w:val="00C25C69"/>
    <w:rsid w:val="00C25D5F"/>
    <w:rsid w:val="00C2613F"/>
    <w:rsid w:val="00C26193"/>
    <w:rsid w:val="00C26260"/>
    <w:rsid w:val="00C26294"/>
    <w:rsid w:val="00C262ED"/>
    <w:rsid w:val="00C263A7"/>
    <w:rsid w:val="00C264D7"/>
    <w:rsid w:val="00C265DD"/>
    <w:rsid w:val="00C267F6"/>
    <w:rsid w:val="00C268F1"/>
    <w:rsid w:val="00C26970"/>
    <w:rsid w:val="00C26B11"/>
    <w:rsid w:val="00C26EA8"/>
    <w:rsid w:val="00C26EBD"/>
    <w:rsid w:val="00C26EDD"/>
    <w:rsid w:val="00C27066"/>
    <w:rsid w:val="00C271AB"/>
    <w:rsid w:val="00C271F6"/>
    <w:rsid w:val="00C27238"/>
    <w:rsid w:val="00C273AE"/>
    <w:rsid w:val="00C273D0"/>
    <w:rsid w:val="00C2747F"/>
    <w:rsid w:val="00C276C7"/>
    <w:rsid w:val="00C276F3"/>
    <w:rsid w:val="00C278AC"/>
    <w:rsid w:val="00C27A8F"/>
    <w:rsid w:val="00C27CC9"/>
    <w:rsid w:val="00C27E22"/>
    <w:rsid w:val="00C27F7C"/>
    <w:rsid w:val="00C30005"/>
    <w:rsid w:val="00C30168"/>
    <w:rsid w:val="00C30262"/>
    <w:rsid w:val="00C3027A"/>
    <w:rsid w:val="00C30297"/>
    <w:rsid w:val="00C30461"/>
    <w:rsid w:val="00C30635"/>
    <w:rsid w:val="00C30686"/>
    <w:rsid w:val="00C306FF"/>
    <w:rsid w:val="00C30754"/>
    <w:rsid w:val="00C3081F"/>
    <w:rsid w:val="00C3097F"/>
    <w:rsid w:val="00C309D4"/>
    <w:rsid w:val="00C309E2"/>
    <w:rsid w:val="00C30A44"/>
    <w:rsid w:val="00C30A52"/>
    <w:rsid w:val="00C30BB4"/>
    <w:rsid w:val="00C30C2A"/>
    <w:rsid w:val="00C30EAE"/>
    <w:rsid w:val="00C30F77"/>
    <w:rsid w:val="00C30F90"/>
    <w:rsid w:val="00C3108A"/>
    <w:rsid w:val="00C31179"/>
    <w:rsid w:val="00C3119E"/>
    <w:rsid w:val="00C311BF"/>
    <w:rsid w:val="00C311F4"/>
    <w:rsid w:val="00C31366"/>
    <w:rsid w:val="00C315CD"/>
    <w:rsid w:val="00C31998"/>
    <w:rsid w:val="00C31AE1"/>
    <w:rsid w:val="00C31C20"/>
    <w:rsid w:val="00C31C57"/>
    <w:rsid w:val="00C31CE6"/>
    <w:rsid w:val="00C31E2E"/>
    <w:rsid w:val="00C31E83"/>
    <w:rsid w:val="00C31EBC"/>
    <w:rsid w:val="00C31EF5"/>
    <w:rsid w:val="00C3200F"/>
    <w:rsid w:val="00C3204F"/>
    <w:rsid w:val="00C32131"/>
    <w:rsid w:val="00C321D7"/>
    <w:rsid w:val="00C322A4"/>
    <w:rsid w:val="00C322E4"/>
    <w:rsid w:val="00C3233C"/>
    <w:rsid w:val="00C324C6"/>
    <w:rsid w:val="00C32584"/>
    <w:rsid w:val="00C325B5"/>
    <w:rsid w:val="00C325B7"/>
    <w:rsid w:val="00C325FA"/>
    <w:rsid w:val="00C32802"/>
    <w:rsid w:val="00C32978"/>
    <w:rsid w:val="00C329FB"/>
    <w:rsid w:val="00C32A85"/>
    <w:rsid w:val="00C32AD6"/>
    <w:rsid w:val="00C32E53"/>
    <w:rsid w:val="00C32E87"/>
    <w:rsid w:val="00C32EEA"/>
    <w:rsid w:val="00C32F04"/>
    <w:rsid w:val="00C32F49"/>
    <w:rsid w:val="00C32FBB"/>
    <w:rsid w:val="00C33048"/>
    <w:rsid w:val="00C330A9"/>
    <w:rsid w:val="00C3317E"/>
    <w:rsid w:val="00C33434"/>
    <w:rsid w:val="00C33447"/>
    <w:rsid w:val="00C33462"/>
    <w:rsid w:val="00C334BD"/>
    <w:rsid w:val="00C33662"/>
    <w:rsid w:val="00C336E6"/>
    <w:rsid w:val="00C33786"/>
    <w:rsid w:val="00C338AB"/>
    <w:rsid w:val="00C33A1C"/>
    <w:rsid w:val="00C33B4F"/>
    <w:rsid w:val="00C33BDA"/>
    <w:rsid w:val="00C33C30"/>
    <w:rsid w:val="00C33C8C"/>
    <w:rsid w:val="00C33F68"/>
    <w:rsid w:val="00C3410C"/>
    <w:rsid w:val="00C3434A"/>
    <w:rsid w:val="00C3441F"/>
    <w:rsid w:val="00C344DD"/>
    <w:rsid w:val="00C344F0"/>
    <w:rsid w:val="00C34567"/>
    <w:rsid w:val="00C34587"/>
    <w:rsid w:val="00C346CD"/>
    <w:rsid w:val="00C348B3"/>
    <w:rsid w:val="00C348F0"/>
    <w:rsid w:val="00C34938"/>
    <w:rsid w:val="00C34983"/>
    <w:rsid w:val="00C34C66"/>
    <w:rsid w:val="00C34E1D"/>
    <w:rsid w:val="00C34EA5"/>
    <w:rsid w:val="00C34F1B"/>
    <w:rsid w:val="00C35065"/>
    <w:rsid w:val="00C350BE"/>
    <w:rsid w:val="00C351E5"/>
    <w:rsid w:val="00C3534C"/>
    <w:rsid w:val="00C355E0"/>
    <w:rsid w:val="00C35691"/>
    <w:rsid w:val="00C356BD"/>
    <w:rsid w:val="00C3573D"/>
    <w:rsid w:val="00C357B1"/>
    <w:rsid w:val="00C357F1"/>
    <w:rsid w:val="00C358CC"/>
    <w:rsid w:val="00C359B8"/>
    <w:rsid w:val="00C359DF"/>
    <w:rsid w:val="00C35B7A"/>
    <w:rsid w:val="00C35CA1"/>
    <w:rsid w:val="00C35CD1"/>
    <w:rsid w:val="00C35E16"/>
    <w:rsid w:val="00C35E6A"/>
    <w:rsid w:val="00C3616D"/>
    <w:rsid w:val="00C363C7"/>
    <w:rsid w:val="00C3645E"/>
    <w:rsid w:val="00C3651C"/>
    <w:rsid w:val="00C365B3"/>
    <w:rsid w:val="00C36625"/>
    <w:rsid w:val="00C36671"/>
    <w:rsid w:val="00C366FF"/>
    <w:rsid w:val="00C36709"/>
    <w:rsid w:val="00C36765"/>
    <w:rsid w:val="00C367A8"/>
    <w:rsid w:val="00C36981"/>
    <w:rsid w:val="00C36AD0"/>
    <w:rsid w:val="00C36B89"/>
    <w:rsid w:val="00C36C84"/>
    <w:rsid w:val="00C36D11"/>
    <w:rsid w:val="00C36D58"/>
    <w:rsid w:val="00C36D6D"/>
    <w:rsid w:val="00C36E0A"/>
    <w:rsid w:val="00C37189"/>
    <w:rsid w:val="00C37215"/>
    <w:rsid w:val="00C37325"/>
    <w:rsid w:val="00C37552"/>
    <w:rsid w:val="00C376DE"/>
    <w:rsid w:val="00C376F9"/>
    <w:rsid w:val="00C37848"/>
    <w:rsid w:val="00C37858"/>
    <w:rsid w:val="00C3793F"/>
    <w:rsid w:val="00C37A07"/>
    <w:rsid w:val="00C37D05"/>
    <w:rsid w:val="00C37D75"/>
    <w:rsid w:val="00C37E03"/>
    <w:rsid w:val="00C37E5D"/>
    <w:rsid w:val="00C37E7B"/>
    <w:rsid w:val="00C37F2F"/>
    <w:rsid w:val="00C4011A"/>
    <w:rsid w:val="00C4048C"/>
    <w:rsid w:val="00C40660"/>
    <w:rsid w:val="00C4069A"/>
    <w:rsid w:val="00C40737"/>
    <w:rsid w:val="00C40972"/>
    <w:rsid w:val="00C409D2"/>
    <w:rsid w:val="00C40A5C"/>
    <w:rsid w:val="00C40AF2"/>
    <w:rsid w:val="00C40DDE"/>
    <w:rsid w:val="00C40E4B"/>
    <w:rsid w:val="00C40E93"/>
    <w:rsid w:val="00C40FBB"/>
    <w:rsid w:val="00C41059"/>
    <w:rsid w:val="00C411FA"/>
    <w:rsid w:val="00C41278"/>
    <w:rsid w:val="00C413B1"/>
    <w:rsid w:val="00C4142E"/>
    <w:rsid w:val="00C416D4"/>
    <w:rsid w:val="00C41715"/>
    <w:rsid w:val="00C418BC"/>
    <w:rsid w:val="00C41923"/>
    <w:rsid w:val="00C41AB3"/>
    <w:rsid w:val="00C41C3E"/>
    <w:rsid w:val="00C41E48"/>
    <w:rsid w:val="00C41FB1"/>
    <w:rsid w:val="00C41FC3"/>
    <w:rsid w:val="00C420E0"/>
    <w:rsid w:val="00C420E6"/>
    <w:rsid w:val="00C421CF"/>
    <w:rsid w:val="00C424FB"/>
    <w:rsid w:val="00C42566"/>
    <w:rsid w:val="00C425A4"/>
    <w:rsid w:val="00C42631"/>
    <w:rsid w:val="00C4271D"/>
    <w:rsid w:val="00C42727"/>
    <w:rsid w:val="00C42759"/>
    <w:rsid w:val="00C427A4"/>
    <w:rsid w:val="00C4289F"/>
    <w:rsid w:val="00C428A0"/>
    <w:rsid w:val="00C428FB"/>
    <w:rsid w:val="00C42934"/>
    <w:rsid w:val="00C42BBC"/>
    <w:rsid w:val="00C42C15"/>
    <w:rsid w:val="00C42E2A"/>
    <w:rsid w:val="00C42ED8"/>
    <w:rsid w:val="00C431A3"/>
    <w:rsid w:val="00C4320C"/>
    <w:rsid w:val="00C433C0"/>
    <w:rsid w:val="00C43443"/>
    <w:rsid w:val="00C4360B"/>
    <w:rsid w:val="00C43961"/>
    <w:rsid w:val="00C43CAB"/>
    <w:rsid w:val="00C4405D"/>
    <w:rsid w:val="00C44082"/>
    <w:rsid w:val="00C4414D"/>
    <w:rsid w:val="00C44319"/>
    <w:rsid w:val="00C44443"/>
    <w:rsid w:val="00C44567"/>
    <w:rsid w:val="00C44579"/>
    <w:rsid w:val="00C44861"/>
    <w:rsid w:val="00C44A51"/>
    <w:rsid w:val="00C44B0E"/>
    <w:rsid w:val="00C44B42"/>
    <w:rsid w:val="00C44DF8"/>
    <w:rsid w:val="00C45371"/>
    <w:rsid w:val="00C453AC"/>
    <w:rsid w:val="00C454DE"/>
    <w:rsid w:val="00C459D7"/>
    <w:rsid w:val="00C45A15"/>
    <w:rsid w:val="00C45C29"/>
    <w:rsid w:val="00C45CA2"/>
    <w:rsid w:val="00C45CD4"/>
    <w:rsid w:val="00C45CE2"/>
    <w:rsid w:val="00C45E44"/>
    <w:rsid w:val="00C45ECE"/>
    <w:rsid w:val="00C45F7A"/>
    <w:rsid w:val="00C45F8D"/>
    <w:rsid w:val="00C46093"/>
    <w:rsid w:val="00C460F1"/>
    <w:rsid w:val="00C4624C"/>
    <w:rsid w:val="00C462EB"/>
    <w:rsid w:val="00C463E3"/>
    <w:rsid w:val="00C46406"/>
    <w:rsid w:val="00C46556"/>
    <w:rsid w:val="00C46645"/>
    <w:rsid w:val="00C46677"/>
    <w:rsid w:val="00C4671B"/>
    <w:rsid w:val="00C46758"/>
    <w:rsid w:val="00C46808"/>
    <w:rsid w:val="00C4695B"/>
    <w:rsid w:val="00C46B3F"/>
    <w:rsid w:val="00C46C53"/>
    <w:rsid w:val="00C46D2E"/>
    <w:rsid w:val="00C46E0B"/>
    <w:rsid w:val="00C46EEE"/>
    <w:rsid w:val="00C46FC7"/>
    <w:rsid w:val="00C4719F"/>
    <w:rsid w:val="00C471FB"/>
    <w:rsid w:val="00C4724F"/>
    <w:rsid w:val="00C4725E"/>
    <w:rsid w:val="00C472CA"/>
    <w:rsid w:val="00C47417"/>
    <w:rsid w:val="00C47807"/>
    <w:rsid w:val="00C47871"/>
    <w:rsid w:val="00C47A0E"/>
    <w:rsid w:val="00C47B4A"/>
    <w:rsid w:val="00C47EBF"/>
    <w:rsid w:val="00C5000D"/>
    <w:rsid w:val="00C50181"/>
    <w:rsid w:val="00C502E2"/>
    <w:rsid w:val="00C50417"/>
    <w:rsid w:val="00C50473"/>
    <w:rsid w:val="00C50587"/>
    <w:rsid w:val="00C50674"/>
    <w:rsid w:val="00C506F1"/>
    <w:rsid w:val="00C507E9"/>
    <w:rsid w:val="00C509C8"/>
    <w:rsid w:val="00C50B34"/>
    <w:rsid w:val="00C50C13"/>
    <w:rsid w:val="00C50E59"/>
    <w:rsid w:val="00C50EFC"/>
    <w:rsid w:val="00C51055"/>
    <w:rsid w:val="00C51077"/>
    <w:rsid w:val="00C513DB"/>
    <w:rsid w:val="00C514F0"/>
    <w:rsid w:val="00C51592"/>
    <w:rsid w:val="00C515DF"/>
    <w:rsid w:val="00C51612"/>
    <w:rsid w:val="00C51663"/>
    <w:rsid w:val="00C51A1F"/>
    <w:rsid w:val="00C51AB3"/>
    <w:rsid w:val="00C51AE7"/>
    <w:rsid w:val="00C51C57"/>
    <w:rsid w:val="00C5221D"/>
    <w:rsid w:val="00C522B7"/>
    <w:rsid w:val="00C522EB"/>
    <w:rsid w:val="00C523B4"/>
    <w:rsid w:val="00C523ED"/>
    <w:rsid w:val="00C528BA"/>
    <w:rsid w:val="00C52ADD"/>
    <w:rsid w:val="00C52C08"/>
    <w:rsid w:val="00C52C12"/>
    <w:rsid w:val="00C52D38"/>
    <w:rsid w:val="00C52E58"/>
    <w:rsid w:val="00C52ECB"/>
    <w:rsid w:val="00C52ED2"/>
    <w:rsid w:val="00C52FBD"/>
    <w:rsid w:val="00C52FF1"/>
    <w:rsid w:val="00C53090"/>
    <w:rsid w:val="00C5317D"/>
    <w:rsid w:val="00C531B8"/>
    <w:rsid w:val="00C53614"/>
    <w:rsid w:val="00C5377D"/>
    <w:rsid w:val="00C53B78"/>
    <w:rsid w:val="00C53CD1"/>
    <w:rsid w:val="00C53D5F"/>
    <w:rsid w:val="00C53F22"/>
    <w:rsid w:val="00C54006"/>
    <w:rsid w:val="00C54057"/>
    <w:rsid w:val="00C5411D"/>
    <w:rsid w:val="00C54270"/>
    <w:rsid w:val="00C54381"/>
    <w:rsid w:val="00C5458F"/>
    <w:rsid w:val="00C546EE"/>
    <w:rsid w:val="00C54801"/>
    <w:rsid w:val="00C54958"/>
    <w:rsid w:val="00C54A22"/>
    <w:rsid w:val="00C54CFA"/>
    <w:rsid w:val="00C54D33"/>
    <w:rsid w:val="00C54F26"/>
    <w:rsid w:val="00C55055"/>
    <w:rsid w:val="00C55278"/>
    <w:rsid w:val="00C55413"/>
    <w:rsid w:val="00C5544A"/>
    <w:rsid w:val="00C55580"/>
    <w:rsid w:val="00C555DF"/>
    <w:rsid w:val="00C557AD"/>
    <w:rsid w:val="00C55A15"/>
    <w:rsid w:val="00C55A34"/>
    <w:rsid w:val="00C55A35"/>
    <w:rsid w:val="00C55A45"/>
    <w:rsid w:val="00C55B27"/>
    <w:rsid w:val="00C55B63"/>
    <w:rsid w:val="00C55C50"/>
    <w:rsid w:val="00C55D42"/>
    <w:rsid w:val="00C55DFC"/>
    <w:rsid w:val="00C55E50"/>
    <w:rsid w:val="00C55F0C"/>
    <w:rsid w:val="00C55F21"/>
    <w:rsid w:val="00C56013"/>
    <w:rsid w:val="00C56045"/>
    <w:rsid w:val="00C5612E"/>
    <w:rsid w:val="00C562EA"/>
    <w:rsid w:val="00C565C4"/>
    <w:rsid w:val="00C56685"/>
    <w:rsid w:val="00C566D4"/>
    <w:rsid w:val="00C567CC"/>
    <w:rsid w:val="00C56841"/>
    <w:rsid w:val="00C56956"/>
    <w:rsid w:val="00C56960"/>
    <w:rsid w:val="00C56AA5"/>
    <w:rsid w:val="00C56ACC"/>
    <w:rsid w:val="00C56B6F"/>
    <w:rsid w:val="00C56C4A"/>
    <w:rsid w:val="00C56D60"/>
    <w:rsid w:val="00C56DE0"/>
    <w:rsid w:val="00C56E6C"/>
    <w:rsid w:val="00C56EBC"/>
    <w:rsid w:val="00C56EE5"/>
    <w:rsid w:val="00C57041"/>
    <w:rsid w:val="00C57180"/>
    <w:rsid w:val="00C57220"/>
    <w:rsid w:val="00C57391"/>
    <w:rsid w:val="00C57402"/>
    <w:rsid w:val="00C57480"/>
    <w:rsid w:val="00C574A3"/>
    <w:rsid w:val="00C5757B"/>
    <w:rsid w:val="00C5768A"/>
    <w:rsid w:val="00C576FB"/>
    <w:rsid w:val="00C5771A"/>
    <w:rsid w:val="00C57849"/>
    <w:rsid w:val="00C57A97"/>
    <w:rsid w:val="00C57B37"/>
    <w:rsid w:val="00C57B4B"/>
    <w:rsid w:val="00C57B77"/>
    <w:rsid w:val="00C57E51"/>
    <w:rsid w:val="00C57E9A"/>
    <w:rsid w:val="00C57ECF"/>
    <w:rsid w:val="00C6018B"/>
    <w:rsid w:val="00C60225"/>
    <w:rsid w:val="00C602EC"/>
    <w:rsid w:val="00C60369"/>
    <w:rsid w:val="00C60375"/>
    <w:rsid w:val="00C603BC"/>
    <w:rsid w:val="00C60573"/>
    <w:rsid w:val="00C60BDC"/>
    <w:rsid w:val="00C60C5B"/>
    <w:rsid w:val="00C610E6"/>
    <w:rsid w:val="00C61111"/>
    <w:rsid w:val="00C61186"/>
    <w:rsid w:val="00C613A9"/>
    <w:rsid w:val="00C61689"/>
    <w:rsid w:val="00C61697"/>
    <w:rsid w:val="00C616EE"/>
    <w:rsid w:val="00C61755"/>
    <w:rsid w:val="00C6183D"/>
    <w:rsid w:val="00C619BF"/>
    <w:rsid w:val="00C619CF"/>
    <w:rsid w:val="00C61ABC"/>
    <w:rsid w:val="00C61BDB"/>
    <w:rsid w:val="00C61CC1"/>
    <w:rsid w:val="00C61E58"/>
    <w:rsid w:val="00C62004"/>
    <w:rsid w:val="00C621C6"/>
    <w:rsid w:val="00C6227A"/>
    <w:rsid w:val="00C62302"/>
    <w:rsid w:val="00C62765"/>
    <w:rsid w:val="00C62A1A"/>
    <w:rsid w:val="00C62A7B"/>
    <w:rsid w:val="00C62AE4"/>
    <w:rsid w:val="00C62CA9"/>
    <w:rsid w:val="00C62E3F"/>
    <w:rsid w:val="00C62E5A"/>
    <w:rsid w:val="00C62EC2"/>
    <w:rsid w:val="00C62F0D"/>
    <w:rsid w:val="00C62F52"/>
    <w:rsid w:val="00C62FB3"/>
    <w:rsid w:val="00C6300A"/>
    <w:rsid w:val="00C63030"/>
    <w:rsid w:val="00C63243"/>
    <w:rsid w:val="00C63270"/>
    <w:rsid w:val="00C632EF"/>
    <w:rsid w:val="00C633A3"/>
    <w:rsid w:val="00C633DB"/>
    <w:rsid w:val="00C63436"/>
    <w:rsid w:val="00C634E7"/>
    <w:rsid w:val="00C63560"/>
    <w:rsid w:val="00C63755"/>
    <w:rsid w:val="00C637B3"/>
    <w:rsid w:val="00C63835"/>
    <w:rsid w:val="00C639C3"/>
    <w:rsid w:val="00C63A38"/>
    <w:rsid w:val="00C63A4E"/>
    <w:rsid w:val="00C63B38"/>
    <w:rsid w:val="00C63B5F"/>
    <w:rsid w:val="00C63B67"/>
    <w:rsid w:val="00C63B9E"/>
    <w:rsid w:val="00C63EF5"/>
    <w:rsid w:val="00C64018"/>
    <w:rsid w:val="00C6431E"/>
    <w:rsid w:val="00C64388"/>
    <w:rsid w:val="00C643B7"/>
    <w:rsid w:val="00C6444B"/>
    <w:rsid w:val="00C64583"/>
    <w:rsid w:val="00C647AF"/>
    <w:rsid w:val="00C64978"/>
    <w:rsid w:val="00C649FE"/>
    <w:rsid w:val="00C64ABE"/>
    <w:rsid w:val="00C64E9B"/>
    <w:rsid w:val="00C65039"/>
    <w:rsid w:val="00C6527E"/>
    <w:rsid w:val="00C65436"/>
    <w:rsid w:val="00C65506"/>
    <w:rsid w:val="00C65510"/>
    <w:rsid w:val="00C65832"/>
    <w:rsid w:val="00C65942"/>
    <w:rsid w:val="00C65C78"/>
    <w:rsid w:val="00C65CF7"/>
    <w:rsid w:val="00C66203"/>
    <w:rsid w:val="00C6635C"/>
    <w:rsid w:val="00C6656C"/>
    <w:rsid w:val="00C667BD"/>
    <w:rsid w:val="00C66931"/>
    <w:rsid w:val="00C66C61"/>
    <w:rsid w:val="00C66CBF"/>
    <w:rsid w:val="00C66D43"/>
    <w:rsid w:val="00C66EAE"/>
    <w:rsid w:val="00C66F28"/>
    <w:rsid w:val="00C66F9C"/>
    <w:rsid w:val="00C670C7"/>
    <w:rsid w:val="00C67241"/>
    <w:rsid w:val="00C67286"/>
    <w:rsid w:val="00C67355"/>
    <w:rsid w:val="00C67479"/>
    <w:rsid w:val="00C6758F"/>
    <w:rsid w:val="00C675AE"/>
    <w:rsid w:val="00C67776"/>
    <w:rsid w:val="00C677A5"/>
    <w:rsid w:val="00C67846"/>
    <w:rsid w:val="00C678E9"/>
    <w:rsid w:val="00C67934"/>
    <w:rsid w:val="00C67C6B"/>
    <w:rsid w:val="00C67D17"/>
    <w:rsid w:val="00C67E5C"/>
    <w:rsid w:val="00C67F32"/>
    <w:rsid w:val="00C67FDB"/>
    <w:rsid w:val="00C67FFB"/>
    <w:rsid w:val="00C6FA27"/>
    <w:rsid w:val="00C70000"/>
    <w:rsid w:val="00C704AA"/>
    <w:rsid w:val="00C708EC"/>
    <w:rsid w:val="00C7093C"/>
    <w:rsid w:val="00C7095A"/>
    <w:rsid w:val="00C7095F"/>
    <w:rsid w:val="00C70B28"/>
    <w:rsid w:val="00C70CE7"/>
    <w:rsid w:val="00C70EE5"/>
    <w:rsid w:val="00C70F89"/>
    <w:rsid w:val="00C71006"/>
    <w:rsid w:val="00C7116B"/>
    <w:rsid w:val="00C71183"/>
    <w:rsid w:val="00C711B7"/>
    <w:rsid w:val="00C713AB"/>
    <w:rsid w:val="00C716F6"/>
    <w:rsid w:val="00C71807"/>
    <w:rsid w:val="00C71904"/>
    <w:rsid w:val="00C719DD"/>
    <w:rsid w:val="00C71A99"/>
    <w:rsid w:val="00C71AD6"/>
    <w:rsid w:val="00C71AF9"/>
    <w:rsid w:val="00C71B68"/>
    <w:rsid w:val="00C71B81"/>
    <w:rsid w:val="00C71E2C"/>
    <w:rsid w:val="00C7221D"/>
    <w:rsid w:val="00C72251"/>
    <w:rsid w:val="00C7239D"/>
    <w:rsid w:val="00C72977"/>
    <w:rsid w:val="00C72B87"/>
    <w:rsid w:val="00C72CB0"/>
    <w:rsid w:val="00C72D12"/>
    <w:rsid w:val="00C72E6B"/>
    <w:rsid w:val="00C72F3D"/>
    <w:rsid w:val="00C72F5F"/>
    <w:rsid w:val="00C72F90"/>
    <w:rsid w:val="00C72F95"/>
    <w:rsid w:val="00C73008"/>
    <w:rsid w:val="00C7303F"/>
    <w:rsid w:val="00C7307E"/>
    <w:rsid w:val="00C73137"/>
    <w:rsid w:val="00C731DB"/>
    <w:rsid w:val="00C737CE"/>
    <w:rsid w:val="00C73809"/>
    <w:rsid w:val="00C73936"/>
    <w:rsid w:val="00C7395B"/>
    <w:rsid w:val="00C739B9"/>
    <w:rsid w:val="00C739D2"/>
    <w:rsid w:val="00C73A30"/>
    <w:rsid w:val="00C73A45"/>
    <w:rsid w:val="00C73AA6"/>
    <w:rsid w:val="00C73ADD"/>
    <w:rsid w:val="00C73BFC"/>
    <w:rsid w:val="00C73C3E"/>
    <w:rsid w:val="00C73C66"/>
    <w:rsid w:val="00C73E47"/>
    <w:rsid w:val="00C73E59"/>
    <w:rsid w:val="00C73EFA"/>
    <w:rsid w:val="00C73F5B"/>
    <w:rsid w:val="00C740E3"/>
    <w:rsid w:val="00C7417F"/>
    <w:rsid w:val="00C743AC"/>
    <w:rsid w:val="00C74417"/>
    <w:rsid w:val="00C7458D"/>
    <w:rsid w:val="00C74657"/>
    <w:rsid w:val="00C747E8"/>
    <w:rsid w:val="00C7480D"/>
    <w:rsid w:val="00C749EE"/>
    <w:rsid w:val="00C74AB6"/>
    <w:rsid w:val="00C74ADD"/>
    <w:rsid w:val="00C74D20"/>
    <w:rsid w:val="00C74EB2"/>
    <w:rsid w:val="00C74FAF"/>
    <w:rsid w:val="00C75247"/>
    <w:rsid w:val="00C75291"/>
    <w:rsid w:val="00C75405"/>
    <w:rsid w:val="00C7542C"/>
    <w:rsid w:val="00C75567"/>
    <w:rsid w:val="00C7565C"/>
    <w:rsid w:val="00C7571C"/>
    <w:rsid w:val="00C758C4"/>
    <w:rsid w:val="00C758F2"/>
    <w:rsid w:val="00C75B65"/>
    <w:rsid w:val="00C75C7E"/>
    <w:rsid w:val="00C75C8A"/>
    <w:rsid w:val="00C75CD6"/>
    <w:rsid w:val="00C75E10"/>
    <w:rsid w:val="00C75F3B"/>
    <w:rsid w:val="00C75FD6"/>
    <w:rsid w:val="00C76145"/>
    <w:rsid w:val="00C76203"/>
    <w:rsid w:val="00C7630C"/>
    <w:rsid w:val="00C767B1"/>
    <w:rsid w:val="00C76A76"/>
    <w:rsid w:val="00C76B94"/>
    <w:rsid w:val="00C76D6B"/>
    <w:rsid w:val="00C76E0F"/>
    <w:rsid w:val="00C76E87"/>
    <w:rsid w:val="00C76EA7"/>
    <w:rsid w:val="00C76F1B"/>
    <w:rsid w:val="00C770AB"/>
    <w:rsid w:val="00C770C5"/>
    <w:rsid w:val="00C7710A"/>
    <w:rsid w:val="00C77186"/>
    <w:rsid w:val="00C7729E"/>
    <w:rsid w:val="00C772EF"/>
    <w:rsid w:val="00C774A2"/>
    <w:rsid w:val="00C77543"/>
    <w:rsid w:val="00C7755A"/>
    <w:rsid w:val="00C7760A"/>
    <w:rsid w:val="00C7782C"/>
    <w:rsid w:val="00C77977"/>
    <w:rsid w:val="00C77A62"/>
    <w:rsid w:val="00C77AB9"/>
    <w:rsid w:val="00C77AD2"/>
    <w:rsid w:val="00C77B9B"/>
    <w:rsid w:val="00C77C3D"/>
    <w:rsid w:val="00C77C86"/>
    <w:rsid w:val="00C77DC9"/>
    <w:rsid w:val="00C77F2A"/>
    <w:rsid w:val="00C77FA0"/>
    <w:rsid w:val="00C8019A"/>
    <w:rsid w:val="00C80233"/>
    <w:rsid w:val="00C80278"/>
    <w:rsid w:val="00C80387"/>
    <w:rsid w:val="00C806D9"/>
    <w:rsid w:val="00C80743"/>
    <w:rsid w:val="00C809D9"/>
    <w:rsid w:val="00C80A00"/>
    <w:rsid w:val="00C80C2F"/>
    <w:rsid w:val="00C80DD8"/>
    <w:rsid w:val="00C80E0B"/>
    <w:rsid w:val="00C81072"/>
    <w:rsid w:val="00C8111A"/>
    <w:rsid w:val="00C81201"/>
    <w:rsid w:val="00C81325"/>
    <w:rsid w:val="00C814C6"/>
    <w:rsid w:val="00C81643"/>
    <w:rsid w:val="00C816B6"/>
    <w:rsid w:val="00C8176E"/>
    <w:rsid w:val="00C81834"/>
    <w:rsid w:val="00C8191A"/>
    <w:rsid w:val="00C819C5"/>
    <w:rsid w:val="00C81A58"/>
    <w:rsid w:val="00C81ADB"/>
    <w:rsid w:val="00C81B29"/>
    <w:rsid w:val="00C81BF0"/>
    <w:rsid w:val="00C81F65"/>
    <w:rsid w:val="00C81F83"/>
    <w:rsid w:val="00C81FC3"/>
    <w:rsid w:val="00C82108"/>
    <w:rsid w:val="00C821C4"/>
    <w:rsid w:val="00C821DE"/>
    <w:rsid w:val="00C822A3"/>
    <w:rsid w:val="00C823AE"/>
    <w:rsid w:val="00C825A8"/>
    <w:rsid w:val="00C82734"/>
    <w:rsid w:val="00C82958"/>
    <w:rsid w:val="00C82A2B"/>
    <w:rsid w:val="00C82D76"/>
    <w:rsid w:val="00C82FD1"/>
    <w:rsid w:val="00C83090"/>
    <w:rsid w:val="00C831CB"/>
    <w:rsid w:val="00C8322C"/>
    <w:rsid w:val="00C83288"/>
    <w:rsid w:val="00C833C9"/>
    <w:rsid w:val="00C835AC"/>
    <w:rsid w:val="00C835FA"/>
    <w:rsid w:val="00C838AD"/>
    <w:rsid w:val="00C839E4"/>
    <w:rsid w:val="00C83B09"/>
    <w:rsid w:val="00C83F80"/>
    <w:rsid w:val="00C84136"/>
    <w:rsid w:val="00C84191"/>
    <w:rsid w:val="00C84273"/>
    <w:rsid w:val="00C84307"/>
    <w:rsid w:val="00C84341"/>
    <w:rsid w:val="00C84354"/>
    <w:rsid w:val="00C8457A"/>
    <w:rsid w:val="00C84778"/>
    <w:rsid w:val="00C84835"/>
    <w:rsid w:val="00C848C1"/>
    <w:rsid w:val="00C848E5"/>
    <w:rsid w:val="00C84943"/>
    <w:rsid w:val="00C84974"/>
    <w:rsid w:val="00C84BA5"/>
    <w:rsid w:val="00C84CB9"/>
    <w:rsid w:val="00C84D65"/>
    <w:rsid w:val="00C84F2C"/>
    <w:rsid w:val="00C85158"/>
    <w:rsid w:val="00C851C3"/>
    <w:rsid w:val="00C8552F"/>
    <w:rsid w:val="00C85673"/>
    <w:rsid w:val="00C8571C"/>
    <w:rsid w:val="00C85798"/>
    <w:rsid w:val="00C8585F"/>
    <w:rsid w:val="00C85C30"/>
    <w:rsid w:val="00C85DC0"/>
    <w:rsid w:val="00C85E6D"/>
    <w:rsid w:val="00C860EE"/>
    <w:rsid w:val="00C8614B"/>
    <w:rsid w:val="00C86425"/>
    <w:rsid w:val="00C86586"/>
    <w:rsid w:val="00C86787"/>
    <w:rsid w:val="00C86814"/>
    <w:rsid w:val="00C86A19"/>
    <w:rsid w:val="00C86B4E"/>
    <w:rsid w:val="00C86CE2"/>
    <w:rsid w:val="00C86F96"/>
    <w:rsid w:val="00C87152"/>
    <w:rsid w:val="00C871B0"/>
    <w:rsid w:val="00C87329"/>
    <w:rsid w:val="00C87352"/>
    <w:rsid w:val="00C875EA"/>
    <w:rsid w:val="00C87692"/>
    <w:rsid w:val="00C8783A"/>
    <w:rsid w:val="00C8783C"/>
    <w:rsid w:val="00C878B8"/>
    <w:rsid w:val="00C8792C"/>
    <w:rsid w:val="00C87939"/>
    <w:rsid w:val="00C87946"/>
    <w:rsid w:val="00C87B7E"/>
    <w:rsid w:val="00C87BA9"/>
    <w:rsid w:val="00C87BC7"/>
    <w:rsid w:val="00C87BD5"/>
    <w:rsid w:val="00C87CEF"/>
    <w:rsid w:val="00C87D2F"/>
    <w:rsid w:val="00C87D92"/>
    <w:rsid w:val="00C87DD5"/>
    <w:rsid w:val="00C87E68"/>
    <w:rsid w:val="00C902CA"/>
    <w:rsid w:val="00C902DB"/>
    <w:rsid w:val="00C9044B"/>
    <w:rsid w:val="00C90557"/>
    <w:rsid w:val="00C90563"/>
    <w:rsid w:val="00C9059C"/>
    <w:rsid w:val="00C90624"/>
    <w:rsid w:val="00C9063C"/>
    <w:rsid w:val="00C9084E"/>
    <w:rsid w:val="00C90921"/>
    <w:rsid w:val="00C90B60"/>
    <w:rsid w:val="00C90B7B"/>
    <w:rsid w:val="00C90CDE"/>
    <w:rsid w:val="00C90D11"/>
    <w:rsid w:val="00C90ECD"/>
    <w:rsid w:val="00C90FAD"/>
    <w:rsid w:val="00C90FEB"/>
    <w:rsid w:val="00C910D2"/>
    <w:rsid w:val="00C91179"/>
    <w:rsid w:val="00C91235"/>
    <w:rsid w:val="00C91389"/>
    <w:rsid w:val="00C913C6"/>
    <w:rsid w:val="00C91521"/>
    <w:rsid w:val="00C915AE"/>
    <w:rsid w:val="00C91948"/>
    <w:rsid w:val="00C9194C"/>
    <w:rsid w:val="00C91961"/>
    <w:rsid w:val="00C91AAF"/>
    <w:rsid w:val="00C91ACD"/>
    <w:rsid w:val="00C91B15"/>
    <w:rsid w:val="00C91B40"/>
    <w:rsid w:val="00C91B83"/>
    <w:rsid w:val="00C91C7C"/>
    <w:rsid w:val="00C91CAD"/>
    <w:rsid w:val="00C91D7B"/>
    <w:rsid w:val="00C91DCE"/>
    <w:rsid w:val="00C91E42"/>
    <w:rsid w:val="00C921A3"/>
    <w:rsid w:val="00C921C1"/>
    <w:rsid w:val="00C921EF"/>
    <w:rsid w:val="00C92588"/>
    <w:rsid w:val="00C92643"/>
    <w:rsid w:val="00C926A0"/>
    <w:rsid w:val="00C92736"/>
    <w:rsid w:val="00C92751"/>
    <w:rsid w:val="00C927DE"/>
    <w:rsid w:val="00C9283A"/>
    <w:rsid w:val="00C92923"/>
    <w:rsid w:val="00C929D8"/>
    <w:rsid w:val="00C92AE5"/>
    <w:rsid w:val="00C92D1D"/>
    <w:rsid w:val="00C92E37"/>
    <w:rsid w:val="00C92E57"/>
    <w:rsid w:val="00C92F0F"/>
    <w:rsid w:val="00C93145"/>
    <w:rsid w:val="00C931C9"/>
    <w:rsid w:val="00C931CD"/>
    <w:rsid w:val="00C9329F"/>
    <w:rsid w:val="00C9340F"/>
    <w:rsid w:val="00C93569"/>
    <w:rsid w:val="00C93570"/>
    <w:rsid w:val="00C93668"/>
    <w:rsid w:val="00C936BB"/>
    <w:rsid w:val="00C93916"/>
    <w:rsid w:val="00C93959"/>
    <w:rsid w:val="00C939CF"/>
    <w:rsid w:val="00C93DF1"/>
    <w:rsid w:val="00C93FCB"/>
    <w:rsid w:val="00C940D1"/>
    <w:rsid w:val="00C9422D"/>
    <w:rsid w:val="00C9439C"/>
    <w:rsid w:val="00C944CA"/>
    <w:rsid w:val="00C94540"/>
    <w:rsid w:val="00C945EF"/>
    <w:rsid w:val="00C9478F"/>
    <w:rsid w:val="00C9488E"/>
    <w:rsid w:val="00C94997"/>
    <w:rsid w:val="00C94C2A"/>
    <w:rsid w:val="00C94E17"/>
    <w:rsid w:val="00C94EFF"/>
    <w:rsid w:val="00C94F44"/>
    <w:rsid w:val="00C94F8D"/>
    <w:rsid w:val="00C95192"/>
    <w:rsid w:val="00C95214"/>
    <w:rsid w:val="00C95352"/>
    <w:rsid w:val="00C95549"/>
    <w:rsid w:val="00C95653"/>
    <w:rsid w:val="00C956B0"/>
    <w:rsid w:val="00C9584E"/>
    <w:rsid w:val="00C95864"/>
    <w:rsid w:val="00C95A61"/>
    <w:rsid w:val="00C95ADB"/>
    <w:rsid w:val="00C95B96"/>
    <w:rsid w:val="00C95CDE"/>
    <w:rsid w:val="00C95CE3"/>
    <w:rsid w:val="00C95D29"/>
    <w:rsid w:val="00C95D59"/>
    <w:rsid w:val="00C95EA5"/>
    <w:rsid w:val="00C96120"/>
    <w:rsid w:val="00C96295"/>
    <w:rsid w:val="00C96363"/>
    <w:rsid w:val="00C964AD"/>
    <w:rsid w:val="00C96534"/>
    <w:rsid w:val="00C96651"/>
    <w:rsid w:val="00C967F2"/>
    <w:rsid w:val="00C9693F"/>
    <w:rsid w:val="00C96B23"/>
    <w:rsid w:val="00C96B52"/>
    <w:rsid w:val="00C96C96"/>
    <w:rsid w:val="00C96D73"/>
    <w:rsid w:val="00C96DED"/>
    <w:rsid w:val="00C96DF3"/>
    <w:rsid w:val="00C96F27"/>
    <w:rsid w:val="00C97052"/>
    <w:rsid w:val="00C97269"/>
    <w:rsid w:val="00C9726A"/>
    <w:rsid w:val="00C974FE"/>
    <w:rsid w:val="00C975F0"/>
    <w:rsid w:val="00C97756"/>
    <w:rsid w:val="00C97830"/>
    <w:rsid w:val="00C9792B"/>
    <w:rsid w:val="00C979C3"/>
    <w:rsid w:val="00C979E7"/>
    <w:rsid w:val="00C979F1"/>
    <w:rsid w:val="00C97A86"/>
    <w:rsid w:val="00C97AC5"/>
    <w:rsid w:val="00C97C11"/>
    <w:rsid w:val="00C97C71"/>
    <w:rsid w:val="00C97CF9"/>
    <w:rsid w:val="00C97D23"/>
    <w:rsid w:val="00C97E0D"/>
    <w:rsid w:val="00CA00B1"/>
    <w:rsid w:val="00CA01FB"/>
    <w:rsid w:val="00CA0332"/>
    <w:rsid w:val="00CA0555"/>
    <w:rsid w:val="00CA055C"/>
    <w:rsid w:val="00CA05C8"/>
    <w:rsid w:val="00CA0668"/>
    <w:rsid w:val="00CA06C7"/>
    <w:rsid w:val="00CA0909"/>
    <w:rsid w:val="00CA0993"/>
    <w:rsid w:val="00CA09FE"/>
    <w:rsid w:val="00CA0A25"/>
    <w:rsid w:val="00CA0C18"/>
    <w:rsid w:val="00CA0D2B"/>
    <w:rsid w:val="00CA0E62"/>
    <w:rsid w:val="00CA1022"/>
    <w:rsid w:val="00CA1196"/>
    <w:rsid w:val="00CA11D4"/>
    <w:rsid w:val="00CA1246"/>
    <w:rsid w:val="00CA124B"/>
    <w:rsid w:val="00CA134E"/>
    <w:rsid w:val="00CA1351"/>
    <w:rsid w:val="00CA13AD"/>
    <w:rsid w:val="00CA13F3"/>
    <w:rsid w:val="00CA1480"/>
    <w:rsid w:val="00CA1498"/>
    <w:rsid w:val="00CA14C7"/>
    <w:rsid w:val="00CA15EF"/>
    <w:rsid w:val="00CA1887"/>
    <w:rsid w:val="00CA1AC6"/>
    <w:rsid w:val="00CA1D73"/>
    <w:rsid w:val="00CA1E04"/>
    <w:rsid w:val="00CA1F5A"/>
    <w:rsid w:val="00CA2449"/>
    <w:rsid w:val="00CA255D"/>
    <w:rsid w:val="00CA27EC"/>
    <w:rsid w:val="00CA29DB"/>
    <w:rsid w:val="00CA2A59"/>
    <w:rsid w:val="00CA2B6F"/>
    <w:rsid w:val="00CA2DD0"/>
    <w:rsid w:val="00CA2FDC"/>
    <w:rsid w:val="00CA32D9"/>
    <w:rsid w:val="00CA34A2"/>
    <w:rsid w:val="00CA3514"/>
    <w:rsid w:val="00CA36C7"/>
    <w:rsid w:val="00CA38AA"/>
    <w:rsid w:val="00CA38E0"/>
    <w:rsid w:val="00CA39FC"/>
    <w:rsid w:val="00CA3AA5"/>
    <w:rsid w:val="00CA3AE1"/>
    <w:rsid w:val="00CA3C27"/>
    <w:rsid w:val="00CA3CC5"/>
    <w:rsid w:val="00CA3E4B"/>
    <w:rsid w:val="00CA42A3"/>
    <w:rsid w:val="00CA4354"/>
    <w:rsid w:val="00CA439B"/>
    <w:rsid w:val="00CA43CF"/>
    <w:rsid w:val="00CA4548"/>
    <w:rsid w:val="00CA4699"/>
    <w:rsid w:val="00CA46E4"/>
    <w:rsid w:val="00CA4700"/>
    <w:rsid w:val="00CA48DD"/>
    <w:rsid w:val="00CA49C1"/>
    <w:rsid w:val="00CA4A34"/>
    <w:rsid w:val="00CA4CBF"/>
    <w:rsid w:val="00CA4E4F"/>
    <w:rsid w:val="00CA4EB8"/>
    <w:rsid w:val="00CA4F7A"/>
    <w:rsid w:val="00CA5255"/>
    <w:rsid w:val="00CA533F"/>
    <w:rsid w:val="00CA5365"/>
    <w:rsid w:val="00CA53F4"/>
    <w:rsid w:val="00CA5554"/>
    <w:rsid w:val="00CA55A3"/>
    <w:rsid w:val="00CA5623"/>
    <w:rsid w:val="00CA5865"/>
    <w:rsid w:val="00CA586F"/>
    <w:rsid w:val="00CA5AB3"/>
    <w:rsid w:val="00CA5AB4"/>
    <w:rsid w:val="00CA5C7B"/>
    <w:rsid w:val="00CA5D3D"/>
    <w:rsid w:val="00CA5ED0"/>
    <w:rsid w:val="00CA5F94"/>
    <w:rsid w:val="00CA5FC4"/>
    <w:rsid w:val="00CA6094"/>
    <w:rsid w:val="00CA62F6"/>
    <w:rsid w:val="00CA6464"/>
    <w:rsid w:val="00CA649C"/>
    <w:rsid w:val="00CA6512"/>
    <w:rsid w:val="00CA673D"/>
    <w:rsid w:val="00CA6863"/>
    <w:rsid w:val="00CA6913"/>
    <w:rsid w:val="00CA6ADD"/>
    <w:rsid w:val="00CA6B1D"/>
    <w:rsid w:val="00CA6ECE"/>
    <w:rsid w:val="00CA70E3"/>
    <w:rsid w:val="00CA727A"/>
    <w:rsid w:val="00CA73E7"/>
    <w:rsid w:val="00CA7786"/>
    <w:rsid w:val="00CA7820"/>
    <w:rsid w:val="00CA792B"/>
    <w:rsid w:val="00CA7A47"/>
    <w:rsid w:val="00CA7ACF"/>
    <w:rsid w:val="00CA7C6C"/>
    <w:rsid w:val="00CA7CF4"/>
    <w:rsid w:val="00CA7DDB"/>
    <w:rsid w:val="00CA7E33"/>
    <w:rsid w:val="00CB00D5"/>
    <w:rsid w:val="00CB0156"/>
    <w:rsid w:val="00CB0199"/>
    <w:rsid w:val="00CB0332"/>
    <w:rsid w:val="00CB0557"/>
    <w:rsid w:val="00CB07DB"/>
    <w:rsid w:val="00CB0865"/>
    <w:rsid w:val="00CB0869"/>
    <w:rsid w:val="00CB0891"/>
    <w:rsid w:val="00CB08D1"/>
    <w:rsid w:val="00CB0A14"/>
    <w:rsid w:val="00CB0AF1"/>
    <w:rsid w:val="00CB0B3F"/>
    <w:rsid w:val="00CB0C7A"/>
    <w:rsid w:val="00CB0E16"/>
    <w:rsid w:val="00CB1142"/>
    <w:rsid w:val="00CB11E6"/>
    <w:rsid w:val="00CB126B"/>
    <w:rsid w:val="00CB16FD"/>
    <w:rsid w:val="00CB1718"/>
    <w:rsid w:val="00CB189A"/>
    <w:rsid w:val="00CB1A5F"/>
    <w:rsid w:val="00CB1B40"/>
    <w:rsid w:val="00CB1CD6"/>
    <w:rsid w:val="00CB1D7E"/>
    <w:rsid w:val="00CB1F0C"/>
    <w:rsid w:val="00CB1FD5"/>
    <w:rsid w:val="00CB2105"/>
    <w:rsid w:val="00CB245C"/>
    <w:rsid w:val="00CB2521"/>
    <w:rsid w:val="00CB26FA"/>
    <w:rsid w:val="00CB29A5"/>
    <w:rsid w:val="00CB2AB3"/>
    <w:rsid w:val="00CB2AED"/>
    <w:rsid w:val="00CB30D1"/>
    <w:rsid w:val="00CB3167"/>
    <w:rsid w:val="00CB31F3"/>
    <w:rsid w:val="00CB3287"/>
    <w:rsid w:val="00CB333A"/>
    <w:rsid w:val="00CB346A"/>
    <w:rsid w:val="00CB34B9"/>
    <w:rsid w:val="00CB35EB"/>
    <w:rsid w:val="00CB35F3"/>
    <w:rsid w:val="00CB3622"/>
    <w:rsid w:val="00CB3629"/>
    <w:rsid w:val="00CB362A"/>
    <w:rsid w:val="00CB3678"/>
    <w:rsid w:val="00CB3902"/>
    <w:rsid w:val="00CB3CA2"/>
    <w:rsid w:val="00CB3D95"/>
    <w:rsid w:val="00CB406C"/>
    <w:rsid w:val="00CB4084"/>
    <w:rsid w:val="00CB40C2"/>
    <w:rsid w:val="00CB446A"/>
    <w:rsid w:val="00CB454E"/>
    <w:rsid w:val="00CB48A1"/>
    <w:rsid w:val="00CB4908"/>
    <w:rsid w:val="00CB4A2E"/>
    <w:rsid w:val="00CB4C1E"/>
    <w:rsid w:val="00CB4CB3"/>
    <w:rsid w:val="00CB4D43"/>
    <w:rsid w:val="00CB4FA1"/>
    <w:rsid w:val="00CB5183"/>
    <w:rsid w:val="00CB52BA"/>
    <w:rsid w:val="00CB5341"/>
    <w:rsid w:val="00CB5346"/>
    <w:rsid w:val="00CB5460"/>
    <w:rsid w:val="00CB59BF"/>
    <w:rsid w:val="00CB5B99"/>
    <w:rsid w:val="00CB5BB3"/>
    <w:rsid w:val="00CB5C01"/>
    <w:rsid w:val="00CB5C97"/>
    <w:rsid w:val="00CB5CE1"/>
    <w:rsid w:val="00CB5D14"/>
    <w:rsid w:val="00CB61A2"/>
    <w:rsid w:val="00CB6204"/>
    <w:rsid w:val="00CB6453"/>
    <w:rsid w:val="00CB6625"/>
    <w:rsid w:val="00CB699C"/>
    <w:rsid w:val="00CB6A8B"/>
    <w:rsid w:val="00CB6A92"/>
    <w:rsid w:val="00CB6B88"/>
    <w:rsid w:val="00CB6C4F"/>
    <w:rsid w:val="00CB6D0F"/>
    <w:rsid w:val="00CB6D3B"/>
    <w:rsid w:val="00CB71F1"/>
    <w:rsid w:val="00CB7325"/>
    <w:rsid w:val="00CB7367"/>
    <w:rsid w:val="00CB7516"/>
    <w:rsid w:val="00CB7529"/>
    <w:rsid w:val="00CB7550"/>
    <w:rsid w:val="00CB772F"/>
    <w:rsid w:val="00CB77F4"/>
    <w:rsid w:val="00CB7AB5"/>
    <w:rsid w:val="00CB7BF7"/>
    <w:rsid w:val="00CB7CED"/>
    <w:rsid w:val="00CB7D02"/>
    <w:rsid w:val="00CB7D1D"/>
    <w:rsid w:val="00CB7ECB"/>
    <w:rsid w:val="00CC0010"/>
    <w:rsid w:val="00CC00BE"/>
    <w:rsid w:val="00CC0159"/>
    <w:rsid w:val="00CC033E"/>
    <w:rsid w:val="00CC05E6"/>
    <w:rsid w:val="00CC0675"/>
    <w:rsid w:val="00CC090C"/>
    <w:rsid w:val="00CC0B52"/>
    <w:rsid w:val="00CC0D99"/>
    <w:rsid w:val="00CC0FDD"/>
    <w:rsid w:val="00CC1016"/>
    <w:rsid w:val="00CC10FE"/>
    <w:rsid w:val="00CC1112"/>
    <w:rsid w:val="00CC1113"/>
    <w:rsid w:val="00CC136C"/>
    <w:rsid w:val="00CC1481"/>
    <w:rsid w:val="00CC1516"/>
    <w:rsid w:val="00CC15F6"/>
    <w:rsid w:val="00CC16F5"/>
    <w:rsid w:val="00CC176A"/>
    <w:rsid w:val="00CC1857"/>
    <w:rsid w:val="00CC18C9"/>
    <w:rsid w:val="00CC18F5"/>
    <w:rsid w:val="00CC1A53"/>
    <w:rsid w:val="00CC1B3B"/>
    <w:rsid w:val="00CC1B83"/>
    <w:rsid w:val="00CC1C14"/>
    <w:rsid w:val="00CC1DFE"/>
    <w:rsid w:val="00CC1F29"/>
    <w:rsid w:val="00CC1F83"/>
    <w:rsid w:val="00CC2259"/>
    <w:rsid w:val="00CC22FF"/>
    <w:rsid w:val="00CC23A4"/>
    <w:rsid w:val="00CC242F"/>
    <w:rsid w:val="00CC25A6"/>
    <w:rsid w:val="00CC25C4"/>
    <w:rsid w:val="00CC2853"/>
    <w:rsid w:val="00CC28AC"/>
    <w:rsid w:val="00CC28DC"/>
    <w:rsid w:val="00CC29EA"/>
    <w:rsid w:val="00CC2B5D"/>
    <w:rsid w:val="00CC2B77"/>
    <w:rsid w:val="00CC2C04"/>
    <w:rsid w:val="00CC2DEE"/>
    <w:rsid w:val="00CC2ED9"/>
    <w:rsid w:val="00CC2F0E"/>
    <w:rsid w:val="00CC2F9F"/>
    <w:rsid w:val="00CC2FC1"/>
    <w:rsid w:val="00CC304A"/>
    <w:rsid w:val="00CC30A4"/>
    <w:rsid w:val="00CC30C0"/>
    <w:rsid w:val="00CC3146"/>
    <w:rsid w:val="00CC324F"/>
    <w:rsid w:val="00CC32D3"/>
    <w:rsid w:val="00CC3372"/>
    <w:rsid w:val="00CC341D"/>
    <w:rsid w:val="00CC3631"/>
    <w:rsid w:val="00CC363F"/>
    <w:rsid w:val="00CC3A7C"/>
    <w:rsid w:val="00CC3B9D"/>
    <w:rsid w:val="00CC3C2D"/>
    <w:rsid w:val="00CC3C3E"/>
    <w:rsid w:val="00CC3C48"/>
    <w:rsid w:val="00CC3EC8"/>
    <w:rsid w:val="00CC3FBA"/>
    <w:rsid w:val="00CC4017"/>
    <w:rsid w:val="00CC405D"/>
    <w:rsid w:val="00CC4301"/>
    <w:rsid w:val="00CC460F"/>
    <w:rsid w:val="00CC4751"/>
    <w:rsid w:val="00CC4BC3"/>
    <w:rsid w:val="00CC4C09"/>
    <w:rsid w:val="00CC4E1F"/>
    <w:rsid w:val="00CC4F31"/>
    <w:rsid w:val="00CC51B6"/>
    <w:rsid w:val="00CC54A0"/>
    <w:rsid w:val="00CC55D1"/>
    <w:rsid w:val="00CC5751"/>
    <w:rsid w:val="00CC5772"/>
    <w:rsid w:val="00CC5812"/>
    <w:rsid w:val="00CC5971"/>
    <w:rsid w:val="00CC59CB"/>
    <w:rsid w:val="00CC5AAE"/>
    <w:rsid w:val="00CC5B08"/>
    <w:rsid w:val="00CC5B6D"/>
    <w:rsid w:val="00CC5C94"/>
    <w:rsid w:val="00CC5CF2"/>
    <w:rsid w:val="00CC5D4F"/>
    <w:rsid w:val="00CC5D9A"/>
    <w:rsid w:val="00CC5EB5"/>
    <w:rsid w:val="00CC5F30"/>
    <w:rsid w:val="00CC60E8"/>
    <w:rsid w:val="00CC6167"/>
    <w:rsid w:val="00CC6247"/>
    <w:rsid w:val="00CC62CA"/>
    <w:rsid w:val="00CC63E8"/>
    <w:rsid w:val="00CC648F"/>
    <w:rsid w:val="00CC65BB"/>
    <w:rsid w:val="00CC66CA"/>
    <w:rsid w:val="00CC674B"/>
    <w:rsid w:val="00CC676D"/>
    <w:rsid w:val="00CC684F"/>
    <w:rsid w:val="00CC6A93"/>
    <w:rsid w:val="00CC6BAC"/>
    <w:rsid w:val="00CC6C02"/>
    <w:rsid w:val="00CC6CC3"/>
    <w:rsid w:val="00CC6E84"/>
    <w:rsid w:val="00CC6EAD"/>
    <w:rsid w:val="00CC6EF1"/>
    <w:rsid w:val="00CC6FD7"/>
    <w:rsid w:val="00CC70A7"/>
    <w:rsid w:val="00CC719F"/>
    <w:rsid w:val="00CC7280"/>
    <w:rsid w:val="00CC7353"/>
    <w:rsid w:val="00CC738F"/>
    <w:rsid w:val="00CC74A6"/>
    <w:rsid w:val="00CC74C8"/>
    <w:rsid w:val="00CC74E0"/>
    <w:rsid w:val="00CC7609"/>
    <w:rsid w:val="00CC7627"/>
    <w:rsid w:val="00CC79C1"/>
    <w:rsid w:val="00CC7A63"/>
    <w:rsid w:val="00CC7AC2"/>
    <w:rsid w:val="00CC7BA2"/>
    <w:rsid w:val="00CC7DE2"/>
    <w:rsid w:val="00CC7E34"/>
    <w:rsid w:val="00CC7E51"/>
    <w:rsid w:val="00CC7E5E"/>
    <w:rsid w:val="00CC7EE4"/>
    <w:rsid w:val="00CC7F16"/>
    <w:rsid w:val="00CD034C"/>
    <w:rsid w:val="00CD0622"/>
    <w:rsid w:val="00CD0646"/>
    <w:rsid w:val="00CD0848"/>
    <w:rsid w:val="00CD087B"/>
    <w:rsid w:val="00CD0993"/>
    <w:rsid w:val="00CD0999"/>
    <w:rsid w:val="00CD09E7"/>
    <w:rsid w:val="00CD0ABA"/>
    <w:rsid w:val="00CD0AF0"/>
    <w:rsid w:val="00CD0B13"/>
    <w:rsid w:val="00CD0BBA"/>
    <w:rsid w:val="00CD0BFB"/>
    <w:rsid w:val="00CD0CAC"/>
    <w:rsid w:val="00CD0E4D"/>
    <w:rsid w:val="00CD1165"/>
    <w:rsid w:val="00CD120E"/>
    <w:rsid w:val="00CD155B"/>
    <w:rsid w:val="00CD158A"/>
    <w:rsid w:val="00CD171E"/>
    <w:rsid w:val="00CD173D"/>
    <w:rsid w:val="00CD1894"/>
    <w:rsid w:val="00CD1905"/>
    <w:rsid w:val="00CD1906"/>
    <w:rsid w:val="00CD1BCF"/>
    <w:rsid w:val="00CD1DB0"/>
    <w:rsid w:val="00CD1DEA"/>
    <w:rsid w:val="00CD1EF9"/>
    <w:rsid w:val="00CD1F47"/>
    <w:rsid w:val="00CD200C"/>
    <w:rsid w:val="00CD20B8"/>
    <w:rsid w:val="00CD20DF"/>
    <w:rsid w:val="00CD22CA"/>
    <w:rsid w:val="00CD22E7"/>
    <w:rsid w:val="00CD248F"/>
    <w:rsid w:val="00CD27E8"/>
    <w:rsid w:val="00CD27ED"/>
    <w:rsid w:val="00CD2C05"/>
    <w:rsid w:val="00CD2DBD"/>
    <w:rsid w:val="00CD2E5B"/>
    <w:rsid w:val="00CD2EA3"/>
    <w:rsid w:val="00CD2FCF"/>
    <w:rsid w:val="00CD3106"/>
    <w:rsid w:val="00CD3322"/>
    <w:rsid w:val="00CD3370"/>
    <w:rsid w:val="00CD33AC"/>
    <w:rsid w:val="00CD34BA"/>
    <w:rsid w:val="00CD382B"/>
    <w:rsid w:val="00CD3909"/>
    <w:rsid w:val="00CD3AD4"/>
    <w:rsid w:val="00CD3B12"/>
    <w:rsid w:val="00CD3BB1"/>
    <w:rsid w:val="00CD3C43"/>
    <w:rsid w:val="00CD3C75"/>
    <w:rsid w:val="00CD3CAD"/>
    <w:rsid w:val="00CD3CB1"/>
    <w:rsid w:val="00CD3CC7"/>
    <w:rsid w:val="00CD3CDF"/>
    <w:rsid w:val="00CD3D50"/>
    <w:rsid w:val="00CD3D5B"/>
    <w:rsid w:val="00CD3D77"/>
    <w:rsid w:val="00CD4025"/>
    <w:rsid w:val="00CD414A"/>
    <w:rsid w:val="00CD4183"/>
    <w:rsid w:val="00CD435E"/>
    <w:rsid w:val="00CD43AE"/>
    <w:rsid w:val="00CD444B"/>
    <w:rsid w:val="00CD44FF"/>
    <w:rsid w:val="00CD458E"/>
    <w:rsid w:val="00CD4594"/>
    <w:rsid w:val="00CD485A"/>
    <w:rsid w:val="00CD4A26"/>
    <w:rsid w:val="00CD4B24"/>
    <w:rsid w:val="00CD4C00"/>
    <w:rsid w:val="00CD4E18"/>
    <w:rsid w:val="00CD4EC4"/>
    <w:rsid w:val="00CD507F"/>
    <w:rsid w:val="00CD509C"/>
    <w:rsid w:val="00CD511F"/>
    <w:rsid w:val="00CD5170"/>
    <w:rsid w:val="00CD55BE"/>
    <w:rsid w:val="00CD57B5"/>
    <w:rsid w:val="00CD57B8"/>
    <w:rsid w:val="00CD5872"/>
    <w:rsid w:val="00CD58B8"/>
    <w:rsid w:val="00CD58CC"/>
    <w:rsid w:val="00CD590C"/>
    <w:rsid w:val="00CD59F9"/>
    <w:rsid w:val="00CD5E65"/>
    <w:rsid w:val="00CD5F4D"/>
    <w:rsid w:val="00CD6319"/>
    <w:rsid w:val="00CD6396"/>
    <w:rsid w:val="00CD63F1"/>
    <w:rsid w:val="00CD64EE"/>
    <w:rsid w:val="00CD6673"/>
    <w:rsid w:val="00CD67FA"/>
    <w:rsid w:val="00CD68A7"/>
    <w:rsid w:val="00CD68B8"/>
    <w:rsid w:val="00CD68F1"/>
    <w:rsid w:val="00CD6BED"/>
    <w:rsid w:val="00CD6D80"/>
    <w:rsid w:val="00CD6DFA"/>
    <w:rsid w:val="00CD6E78"/>
    <w:rsid w:val="00CD6EBB"/>
    <w:rsid w:val="00CD70DB"/>
    <w:rsid w:val="00CD71BD"/>
    <w:rsid w:val="00CD71E8"/>
    <w:rsid w:val="00CD740D"/>
    <w:rsid w:val="00CD7483"/>
    <w:rsid w:val="00CD75B8"/>
    <w:rsid w:val="00CD75D2"/>
    <w:rsid w:val="00CD764B"/>
    <w:rsid w:val="00CD76BB"/>
    <w:rsid w:val="00CD772D"/>
    <w:rsid w:val="00CD7763"/>
    <w:rsid w:val="00CD784A"/>
    <w:rsid w:val="00CD7B86"/>
    <w:rsid w:val="00CD7E60"/>
    <w:rsid w:val="00CD7F2A"/>
    <w:rsid w:val="00CE006E"/>
    <w:rsid w:val="00CE00D5"/>
    <w:rsid w:val="00CE0127"/>
    <w:rsid w:val="00CE0144"/>
    <w:rsid w:val="00CE0160"/>
    <w:rsid w:val="00CE0175"/>
    <w:rsid w:val="00CE0188"/>
    <w:rsid w:val="00CE01E9"/>
    <w:rsid w:val="00CE02C3"/>
    <w:rsid w:val="00CE0300"/>
    <w:rsid w:val="00CE040D"/>
    <w:rsid w:val="00CE05BC"/>
    <w:rsid w:val="00CE0615"/>
    <w:rsid w:val="00CE061B"/>
    <w:rsid w:val="00CE06EA"/>
    <w:rsid w:val="00CE0887"/>
    <w:rsid w:val="00CE08E2"/>
    <w:rsid w:val="00CE0928"/>
    <w:rsid w:val="00CE0A1A"/>
    <w:rsid w:val="00CE0A3D"/>
    <w:rsid w:val="00CE0AD0"/>
    <w:rsid w:val="00CE0B6E"/>
    <w:rsid w:val="00CE0B70"/>
    <w:rsid w:val="00CE0BE5"/>
    <w:rsid w:val="00CE0E1B"/>
    <w:rsid w:val="00CE0EFD"/>
    <w:rsid w:val="00CE1190"/>
    <w:rsid w:val="00CE1229"/>
    <w:rsid w:val="00CE1332"/>
    <w:rsid w:val="00CE13DE"/>
    <w:rsid w:val="00CE160A"/>
    <w:rsid w:val="00CE1635"/>
    <w:rsid w:val="00CE16F8"/>
    <w:rsid w:val="00CE19D9"/>
    <w:rsid w:val="00CE1BB7"/>
    <w:rsid w:val="00CE1DC7"/>
    <w:rsid w:val="00CE1E27"/>
    <w:rsid w:val="00CE1F0B"/>
    <w:rsid w:val="00CE1FBF"/>
    <w:rsid w:val="00CE20AA"/>
    <w:rsid w:val="00CE20D1"/>
    <w:rsid w:val="00CE211B"/>
    <w:rsid w:val="00CE21A1"/>
    <w:rsid w:val="00CE22F5"/>
    <w:rsid w:val="00CE23FD"/>
    <w:rsid w:val="00CE2490"/>
    <w:rsid w:val="00CE26D9"/>
    <w:rsid w:val="00CE2746"/>
    <w:rsid w:val="00CE299D"/>
    <w:rsid w:val="00CE29B2"/>
    <w:rsid w:val="00CE2A66"/>
    <w:rsid w:val="00CE2AD2"/>
    <w:rsid w:val="00CE2B59"/>
    <w:rsid w:val="00CE2CD8"/>
    <w:rsid w:val="00CE2E41"/>
    <w:rsid w:val="00CE2E48"/>
    <w:rsid w:val="00CE2E4D"/>
    <w:rsid w:val="00CE2FA9"/>
    <w:rsid w:val="00CE300D"/>
    <w:rsid w:val="00CE3095"/>
    <w:rsid w:val="00CE3138"/>
    <w:rsid w:val="00CE357B"/>
    <w:rsid w:val="00CE35A1"/>
    <w:rsid w:val="00CE3640"/>
    <w:rsid w:val="00CE36CC"/>
    <w:rsid w:val="00CE375C"/>
    <w:rsid w:val="00CE375F"/>
    <w:rsid w:val="00CE38A1"/>
    <w:rsid w:val="00CE3CFB"/>
    <w:rsid w:val="00CE3D7B"/>
    <w:rsid w:val="00CE3EB4"/>
    <w:rsid w:val="00CE3FFE"/>
    <w:rsid w:val="00CE4022"/>
    <w:rsid w:val="00CE4210"/>
    <w:rsid w:val="00CE42AA"/>
    <w:rsid w:val="00CE44D5"/>
    <w:rsid w:val="00CE4713"/>
    <w:rsid w:val="00CE4AB4"/>
    <w:rsid w:val="00CE4C21"/>
    <w:rsid w:val="00CE4C3C"/>
    <w:rsid w:val="00CE4CCC"/>
    <w:rsid w:val="00CE4E4D"/>
    <w:rsid w:val="00CE500C"/>
    <w:rsid w:val="00CE50EB"/>
    <w:rsid w:val="00CE55C2"/>
    <w:rsid w:val="00CE5672"/>
    <w:rsid w:val="00CE5926"/>
    <w:rsid w:val="00CE5960"/>
    <w:rsid w:val="00CE59AC"/>
    <w:rsid w:val="00CE5CBD"/>
    <w:rsid w:val="00CE5CE4"/>
    <w:rsid w:val="00CE5D5F"/>
    <w:rsid w:val="00CE5D95"/>
    <w:rsid w:val="00CE5DF3"/>
    <w:rsid w:val="00CE5E01"/>
    <w:rsid w:val="00CE5E37"/>
    <w:rsid w:val="00CE5E67"/>
    <w:rsid w:val="00CE5EC8"/>
    <w:rsid w:val="00CE5F15"/>
    <w:rsid w:val="00CE5F1F"/>
    <w:rsid w:val="00CE5F7E"/>
    <w:rsid w:val="00CE6135"/>
    <w:rsid w:val="00CE61C9"/>
    <w:rsid w:val="00CE6353"/>
    <w:rsid w:val="00CE648C"/>
    <w:rsid w:val="00CE6579"/>
    <w:rsid w:val="00CE65FA"/>
    <w:rsid w:val="00CE66E6"/>
    <w:rsid w:val="00CE69ED"/>
    <w:rsid w:val="00CE6A7C"/>
    <w:rsid w:val="00CE6BC6"/>
    <w:rsid w:val="00CE6C69"/>
    <w:rsid w:val="00CE6E54"/>
    <w:rsid w:val="00CE6EED"/>
    <w:rsid w:val="00CE6F8E"/>
    <w:rsid w:val="00CE6FB3"/>
    <w:rsid w:val="00CE6FB5"/>
    <w:rsid w:val="00CE6FD7"/>
    <w:rsid w:val="00CE720F"/>
    <w:rsid w:val="00CE7250"/>
    <w:rsid w:val="00CE73FD"/>
    <w:rsid w:val="00CE756D"/>
    <w:rsid w:val="00CE76BF"/>
    <w:rsid w:val="00CE7935"/>
    <w:rsid w:val="00CE7938"/>
    <w:rsid w:val="00CE795A"/>
    <w:rsid w:val="00CE796D"/>
    <w:rsid w:val="00CE7A1D"/>
    <w:rsid w:val="00CE7AA4"/>
    <w:rsid w:val="00CE7B7A"/>
    <w:rsid w:val="00CE7BE2"/>
    <w:rsid w:val="00CE7CA9"/>
    <w:rsid w:val="00CE7DE3"/>
    <w:rsid w:val="00CE7E3D"/>
    <w:rsid w:val="00CE7E91"/>
    <w:rsid w:val="00CF0116"/>
    <w:rsid w:val="00CF0302"/>
    <w:rsid w:val="00CF0417"/>
    <w:rsid w:val="00CF0782"/>
    <w:rsid w:val="00CF07AE"/>
    <w:rsid w:val="00CF08AD"/>
    <w:rsid w:val="00CF08C0"/>
    <w:rsid w:val="00CF093B"/>
    <w:rsid w:val="00CF0940"/>
    <w:rsid w:val="00CF0976"/>
    <w:rsid w:val="00CF0A33"/>
    <w:rsid w:val="00CF0D86"/>
    <w:rsid w:val="00CF0DCB"/>
    <w:rsid w:val="00CF0E18"/>
    <w:rsid w:val="00CF0F12"/>
    <w:rsid w:val="00CF0F36"/>
    <w:rsid w:val="00CF1165"/>
    <w:rsid w:val="00CF1217"/>
    <w:rsid w:val="00CF125A"/>
    <w:rsid w:val="00CF12FE"/>
    <w:rsid w:val="00CF1318"/>
    <w:rsid w:val="00CF1371"/>
    <w:rsid w:val="00CF1398"/>
    <w:rsid w:val="00CF13AC"/>
    <w:rsid w:val="00CF14DF"/>
    <w:rsid w:val="00CF15D5"/>
    <w:rsid w:val="00CF1711"/>
    <w:rsid w:val="00CF1AD8"/>
    <w:rsid w:val="00CF1B5E"/>
    <w:rsid w:val="00CF1B86"/>
    <w:rsid w:val="00CF1BAC"/>
    <w:rsid w:val="00CF1EE9"/>
    <w:rsid w:val="00CF1FF9"/>
    <w:rsid w:val="00CF234C"/>
    <w:rsid w:val="00CF2374"/>
    <w:rsid w:val="00CF23D6"/>
    <w:rsid w:val="00CF2425"/>
    <w:rsid w:val="00CF2692"/>
    <w:rsid w:val="00CF28AC"/>
    <w:rsid w:val="00CF296F"/>
    <w:rsid w:val="00CF2CBB"/>
    <w:rsid w:val="00CF2D19"/>
    <w:rsid w:val="00CF3153"/>
    <w:rsid w:val="00CF3158"/>
    <w:rsid w:val="00CF315F"/>
    <w:rsid w:val="00CF3318"/>
    <w:rsid w:val="00CF343A"/>
    <w:rsid w:val="00CF350E"/>
    <w:rsid w:val="00CF3637"/>
    <w:rsid w:val="00CF3640"/>
    <w:rsid w:val="00CF3658"/>
    <w:rsid w:val="00CF36DA"/>
    <w:rsid w:val="00CF37A1"/>
    <w:rsid w:val="00CF38CA"/>
    <w:rsid w:val="00CF39AE"/>
    <w:rsid w:val="00CF3A1C"/>
    <w:rsid w:val="00CF3A2E"/>
    <w:rsid w:val="00CF3AF6"/>
    <w:rsid w:val="00CF3AFA"/>
    <w:rsid w:val="00CF3B34"/>
    <w:rsid w:val="00CF3D00"/>
    <w:rsid w:val="00CF3D28"/>
    <w:rsid w:val="00CF3D63"/>
    <w:rsid w:val="00CF3D82"/>
    <w:rsid w:val="00CF3FA6"/>
    <w:rsid w:val="00CF3FB3"/>
    <w:rsid w:val="00CF404E"/>
    <w:rsid w:val="00CF4051"/>
    <w:rsid w:val="00CF4052"/>
    <w:rsid w:val="00CF4167"/>
    <w:rsid w:val="00CF41AC"/>
    <w:rsid w:val="00CF4235"/>
    <w:rsid w:val="00CF455C"/>
    <w:rsid w:val="00CF4570"/>
    <w:rsid w:val="00CF46AD"/>
    <w:rsid w:val="00CF47B0"/>
    <w:rsid w:val="00CF48BF"/>
    <w:rsid w:val="00CF4A36"/>
    <w:rsid w:val="00CF4CDE"/>
    <w:rsid w:val="00CF4D35"/>
    <w:rsid w:val="00CF4D54"/>
    <w:rsid w:val="00CF4DCE"/>
    <w:rsid w:val="00CF4F37"/>
    <w:rsid w:val="00CF4FB7"/>
    <w:rsid w:val="00CF51F4"/>
    <w:rsid w:val="00CF53F7"/>
    <w:rsid w:val="00CF54B5"/>
    <w:rsid w:val="00CF5576"/>
    <w:rsid w:val="00CF57AE"/>
    <w:rsid w:val="00CF5923"/>
    <w:rsid w:val="00CF5A14"/>
    <w:rsid w:val="00CF5B32"/>
    <w:rsid w:val="00CF5B33"/>
    <w:rsid w:val="00CF5CDF"/>
    <w:rsid w:val="00CF5CFB"/>
    <w:rsid w:val="00CF5DCB"/>
    <w:rsid w:val="00CF5ECE"/>
    <w:rsid w:val="00CF5F5B"/>
    <w:rsid w:val="00CF60A7"/>
    <w:rsid w:val="00CF6217"/>
    <w:rsid w:val="00CF6689"/>
    <w:rsid w:val="00CF6847"/>
    <w:rsid w:val="00CF6A34"/>
    <w:rsid w:val="00CF6B27"/>
    <w:rsid w:val="00CF6B4A"/>
    <w:rsid w:val="00CF6BDE"/>
    <w:rsid w:val="00CF6C74"/>
    <w:rsid w:val="00CF6CA4"/>
    <w:rsid w:val="00CF6CC5"/>
    <w:rsid w:val="00CF6CF3"/>
    <w:rsid w:val="00CF6D0B"/>
    <w:rsid w:val="00CF6D27"/>
    <w:rsid w:val="00CF6D41"/>
    <w:rsid w:val="00CF6DA5"/>
    <w:rsid w:val="00CF6E44"/>
    <w:rsid w:val="00CF6E9A"/>
    <w:rsid w:val="00CF6F5E"/>
    <w:rsid w:val="00CF6F89"/>
    <w:rsid w:val="00CF7024"/>
    <w:rsid w:val="00CF7070"/>
    <w:rsid w:val="00CF7094"/>
    <w:rsid w:val="00CF7228"/>
    <w:rsid w:val="00CF725C"/>
    <w:rsid w:val="00CF725E"/>
    <w:rsid w:val="00CF726A"/>
    <w:rsid w:val="00CF7469"/>
    <w:rsid w:val="00CF7577"/>
    <w:rsid w:val="00CF7624"/>
    <w:rsid w:val="00CF7628"/>
    <w:rsid w:val="00CF774A"/>
    <w:rsid w:val="00CF77F2"/>
    <w:rsid w:val="00CF77F7"/>
    <w:rsid w:val="00CF79FC"/>
    <w:rsid w:val="00CF7A9F"/>
    <w:rsid w:val="00CF7BA6"/>
    <w:rsid w:val="00CF7C39"/>
    <w:rsid w:val="00CF7DB4"/>
    <w:rsid w:val="00D00073"/>
    <w:rsid w:val="00D0026C"/>
    <w:rsid w:val="00D00280"/>
    <w:rsid w:val="00D003D4"/>
    <w:rsid w:val="00D00429"/>
    <w:rsid w:val="00D00937"/>
    <w:rsid w:val="00D009DC"/>
    <w:rsid w:val="00D00A20"/>
    <w:rsid w:val="00D00A2D"/>
    <w:rsid w:val="00D00A70"/>
    <w:rsid w:val="00D00ADC"/>
    <w:rsid w:val="00D00BE6"/>
    <w:rsid w:val="00D00C2A"/>
    <w:rsid w:val="00D00C46"/>
    <w:rsid w:val="00D00CE5"/>
    <w:rsid w:val="00D00E52"/>
    <w:rsid w:val="00D00EC8"/>
    <w:rsid w:val="00D01107"/>
    <w:rsid w:val="00D011FF"/>
    <w:rsid w:val="00D012A7"/>
    <w:rsid w:val="00D012DE"/>
    <w:rsid w:val="00D01494"/>
    <w:rsid w:val="00D01636"/>
    <w:rsid w:val="00D01674"/>
    <w:rsid w:val="00D01A9E"/>
    <w:rsid w:val="00D01B84"/>
    <w:rsid w:val="00D01DA6"/>
    <w:rsid w:val="00D021CB"/>
    <w:rsid w:val="00D022B0"/>
    <w:rsid w:val="00D024E8"/>
    <w:rsid w:val="00D024FD"/>
    <w:rsid w:val="00D02525"/>
    <w:rsid w:val="00D025D6"/>
    <w:rsid w:val="00D0269E"/>
    <w:rsid w:val="00D028A5"/>
    <w:rsid w:val="00D02ABE"/>
    <w:rsid w:val="00D02C35"/>
    <w:rsid w:val="00D02C3C"/>
    <w:rsid w:val="00D02C53"/>
    <w:rsid w:val="00D02CC9"/>
    <w:rsid w:val="00D02E18"/>
    <w:rsid w:val="00D02E1C"/>
    <w:rsid w:val="00D02F81"/>
    <w:rsid w:val="00D0301A"/>
    <w:rsid w:val="00D03029"/>
    <w:rsid w:val="00D03332"/>
    <w:rsid w:val="00D03351"/>
    <w:rsid w:val="00D03466"/>
    <w:rsid w:val="00D0348E"/>
    <w:rsid w:val="00D0349D"/>
    <w:rsid w:val="00D034EB"/>
    <w:rsid w:val="00D034EC"/>
    <w:rsid w:val="00D03559"/>
    <w:rsid w:val="00D0357D"/>
    <w:rsid w:val="00D036FF"/>
    <w:rsid w:val="00D03785"/>
    <w:rsid w:val="00D03890"/>
    <w:rsid w:val="00D03934"/>
    <w:rsid w:val="00D03951"/>
    <w:rsid w:val="00D039A0"/>
    <w:rsid w:val="00D03A5C"/>
    <w:rsid w:val="00D03A67"/>
    <w:rsid w:val="00D03BA8"/>
    <w:rsid w:val="00D03BBA"/>
    <w:rsid w:val="00D03ED1"/>
    <w:rsid w:val="00D040B4"/>
    <w:rsid w:val="00D04113"/>
    <w:rsid w:val="00D041E3"/>
    <w:rsid w:val="00D04204"/>
    <w:rsid w:val="00D042C3"/>
    <w:rsid w:val="00D04304"/>
    <w:rsid w:val="00D04324"/>
    <w:rsid w:val="00D043AE"/>
    <w:rsid w:val="00D044E1"/>
    <w:rsid w:val="00D045A0"/>
    <w:rsid w:val="00D045EC"/>
    <w:rsid w:val="00D047BA"/>
    <w:rsid w:val="00D04850"/>
    <w:rsid w:val="00D048AC"/>
    <w:rsid w:val="00D048FA"/>
    <w:rsid w:val="00D04983"/>
    <w:rsid w:val="00D04A7B"/>
    <w:rsid w:val="00D04CA5"/>
    <w:rsid w:val="00D04EFD"/>
    <w:rsid w:val="00D050F8"/>
    <w:rsid w:val="00D05167"/>
    <w:rsid w:val="00D05246"/>
    <w:rsid w:val="00D054CB"/>
    <w:rsid w:val="00D054DE"/>
    <w:rsid w:val="00D0569D"/>
    <w:rsid w:val="00D05733"/>
    <w:rsid w:val="00D05971"/>
    <w:rsid w:val="00D05978"/>
    <w:rsid w:val="00D05989"/>
    <w:rsid w:val="00D059A1"/>
    <w:rsid w:val="00D05AFA"/>
    <w:rsid w:val="00D05B6E"/>
    <w:rsid w:val="00D05B8A"/>
    <w:rsid w:val="00D05B92"/>
    <w:rsid w:val="00D05DA1"/>
    <w:rsid w:val="00D06093"/>
    <w:rsid w:val="00D060AB"/>
    <w:rsid w:val="00D06412"/>
    <w:rsid w:val="00D064DD"/>
    <w:rsid w:val="00D067AE"/>
    <w:rsid w:val="00D067D0"/>
    <w:rsid w:val="00D067E6"/>
    <w:rsid w:val="00D06A56"/>
    <w:rsid w:val="00D06BC5"/>
    <w:rsid w:val="00D06D07"/>
    <w:rsid w:val="00D06F6E"/>
    <w:rsid w:val="00D07085"/>
    <w:rsid w:val="00D070C6"/>
    <w:rsid w:val="00D070E8"/>
    <w:rsid w:val="00D072ED"/>
    <w:rsid w:val="00D073FF"/>
    <w:rsid w:val="00D07579"/>
    <w:rsid w:val="00D0778A"/>
    <w:rsid w:val="00D077E3"/>
    <w:rsid w:val="00D079A3"/>
    <w:rsid w:val="00D07B07"/>
    <w:rsid w:val="00D07B4C"/>
    <w:rsid w:val="00D07CC9"/>
    <w:rsid w:val="00D07CF2"/>
    <w:rsid w:val="00D07E05"/>
    <w:rsid w:val="00D07E1D"/>
    <w:rsid w:val="00D07E21"/>
    <w:rsid w:val="00D07E43"/>
    <w:rsid w:val="00D07EB2"/>
    <w:rsid w:val="00D07F5A"/>
    <w:rsid w:val="00D07FF7"/>
    <w:rsid w:val="00D10155"/>
    <w:rsid w:val="00D10272"/>
    <w:rsid w:val="00D1028D"/>
    <w:rsid w:val="00D10345"/>
    <w:rsid w:val="00D10616"/>
    <w:rsid w:val="00D106DB"/>
    <w:rsid w:val="00D107E4"/>
    <w:rsid w:val="00D10816"/>
    <w:rsid w:val="00D10A9A"/>
    <w:rsid w:val="00D10AB8"/>
    <w:rsid w:val="00D10AC0"/>
    <w:rsid w:val="00D10E15"/>
    <w:rsid w:val="00D10E2D"/>
    <w:rsid w:val="00D10E50"/>
    <w:rsid w:val="00D10EB0"/>
    <w:rsid w:val="00D110D0"/>
    <w:rsid w:val="00D110F8"/>
    <w:rsid w:val="00D11183"/>
    <w:rsid w:val="00D112B3"/>
    <w:rsid w:val="00D112B7"/>
    <w:rsid w:val="00D1130E"/>
    <w:rsid w:val="00D1143C"/>
    <w:rsid w:val="00D1146F"/>
    <w:rsid w:val="00D1158A"/>
    <w:rsid w:val="00D115BD"/>
    <w:rsid w:val="00D11666"/>
    <w:rsid w:val="00D11681"/>
    <w:rsid w:val="00D1169D"/>
    <w:rsid w:val="00D11840"/>
    <w:rsid w:val="00D119AB"/>
    <w:rsid w:val="00D11A43"/>
    <w:rsid w:val="00D11A57"/>
    <w:rsid w:val="00D11AD1"/>
    <w:rsid w:val="00D11C4F"/>
    <w:rsid w:val="00D11D0E"/>
    <w:rsid w:val="00D11F4F"/>
    <w:rsid w:val="00D12086"/>
    <w:rsid w:val="00D122A9"/>
    <w:rsid w:val="00D12340"/>
    <w:rsid w:val="00D12418"/>
    <w:rsid w:val="00D1241E"/>
    <w:rsid w:val="00D1246F"/>
    <w:rsid w:val="00D124F9"/>
    <w:rsid w:val="00D12565"/>
    <w:rsid w:val="00D125C0"/>
    <w:rsid w:val="00D126CC"/>
    <w:rsid w:val="00D126DC"/>
    <w:rsid w:val="00D1272D"/>
    <w:rsid w:val="00D128A7"/>
    <w:rsid w:val="00D128AC"/>
    <w:rsid w:val="00D12A35"/>
    <w:rsid w:val="00D12A44"/>
    <w:rsid w:val="00D12B2A"/>
    <w:rsid w:val="00D12BC7"/>
    <w:rsid w:val="00D12DB5"/>
    <w:rsid w:val="00D12F40"/>
    <w:rsid w:val="00D12F5E"/>
    <w:rsid w:val="00D1304E"/>
    <w:rsid w:val="00D1330B"/>
    <w:rsid w:val="00D13386"/>
    <w:rsid w:val="00D133F6"/>
    <w:rsid w:val="00D13550"/>
    <w:rsid w:val="00D1355C"/>
    <w:rsid w:val="00D135FB"/>
    <w:rsid w:val="00D136A0"/>
    <w:rsid w:val="00D137ED"/>
    <w:rsid w:val="00D13802"/>
    <w:rsid w:val="00D139BC"/>
    <w:rsid w:val="00D139DE"/>
    <w:rsid w:val="00D13A0E"/>
    <w:rsid w:val="00D13AC0"/>
    <w:rsid w:val="00D13BDF"/>
    <w:rsid w:val="00D13ECA"/>
    <w:rsid w:val="00D13F21"/>
    <w:rsid w:val="00D13F79"/>
    <w:rsid w:val="00D14032"/>
    <w:rsid w:val="00D140B8"/>
    <w:rsid w:val="00D14493"/>
    <w:rsid w:val="00D14595"/>
    <w:rsid w:val="00D145B8"/>
    <w:rsid w:val="00D145D1"/>
    <w:rsid w:val="00D145FA"/>
    <w:rsid w:val="00D146EE"/>
    <w:rsid w:val="00D14719"/>
    <w:rsid w:val="00D14E99"/>
    <w:rsid w:val="00D14E9D"/>
    <w:rsid w:val="00D14F28"/>
    <w:rsid w:val="00D15123"/>
    <w:rsid w:val="00D1522E"/>
    <w:rsid w:val="00D15442"/>
    <w:rsid w:val="00D154EE"/>
    <w:rsid w:val="00D15652"/>
    <w:rsid w:val="00D15687"/>
    <w:rsid w:val="00D156C9"/>
    <w:rsid w:val="00D1581B"/>
    <w:rsid w:val="00D15896"/>
    <w:rsid w:val="00D1589C"/>
    <w:rsid w:val="00D15927"/>
    <w:rsid w:val="00D15964"/>
    <w:rsid w:val="00D159A8"/>
    <w:rsid w:val="00D15A49"/>
    <w:rsid w:val="00D15AE4"/>
    <w:rsid w:val="00D15C24"/>
    <w:rsid w:val="00D15C58"/>
    <w:rsid w:val="00D15EE0"/>
    <w:rsid w:val="00D15F12"/>
    <w:rsid w:val="00D16380"/>
    <w:rsid w:val="00D16474"/>
    <w:rsid w:val="00D164D0"/>
    <w:rsid w:val="00D16687"/>
    <w:rsid w:val="00D16688"/>
    <w:rsid w:val="00D166ED"/>
    <w:rsid w:val="00D1674D"/>
    <w:rsid w:val="00D169C3"/>
    <w:rsid w:val="00D16A0B"/>
    <w:rsid w:val="00D16A4D"/>
    <w:rsid w:val="00D16C0F"/>
    <w:rsid w:val="00D16C54"/>
    <w:rsid w:val="00D16C84"/>
    <w:rsid w:val="00D16D0F"/>
    <w:rsid w:val="00D16D5D"/>
    <w:rsid w:val="00D16E04"/>
    <w:rsid w:val="00D16E55"/>
    <w:rsid w:val="00D16F9D"/>
    <w:rsid w:val="00D16FB4"/>
    <w:rsid w:val="00D17081"/>
    <w:rsid w:val="00D17217"/>
    <w:rsid w:val="00D172BB"/>
    <w:rsid w:val="00D17673"/>
    <w:rsid w:val="00D176FC"/>
    <w:rsid w:val="00D17822"/>
    <w:rsid w:val="00D1782A"/>
    <w:rsid w:val="00D17882"/>
    <w:rsid w:val="00D178E0"/>
    <w:rsid w:val="00D17911"/>
    <w:rsid w:val="00D17964"/>
    <w:rsid w:val="00D1797A"/>
    <w:rsid w:val="00D179D7"/>
    <w:rsid w:val="00D17A83"/>
    <w:rsid w:val="00D17CA9"/>
    <w:rsid w:val="00D17CC3"/>
    <w:rsid w:val="00D17E2A"/>
    <w:rsid w:val="00D17EC8"/>
    <w:rsid w:val="00D2000B"/>
    <w:rsid w:val="00D203D3"/>
    <w:rsid w:val="00D207E9"/>
    <w:rsid w:val="00D207F4"/>
    <w:rsid w:val="00D208C0"/>
    <w:rsid w:val="00D208C8"/>
    <w:rsid w:val="00D209A9"/>
    <w:rsid w:val="00D20B4A"/>
    <w:rsid w:val="00D20CA7"/>
    <w:rsid w:val="00D20D88"/>
    <w:rsid w:val="00D20DD2"/>
    <w:rsid w:val="00D20EE5"/>
    <w:rsid w:val="00D20F3E"/>
    <w:rsid w:val="00D211B1"/>
    <w:rsid w:val="00D211D4"/>
    <w:rsid w:val="00D211EA"/>
    <w:rsid w:val="00D21224"/>
    <w:rsid w:val="00D2124E"/>
    <w:rsid w:val="00D2135E"/>
    <w:rsid w:val="00D215B9"/>
    <w:rsid w:val="00D21645"/>
    <w:rsid w:val="00D216E9"/>
    <w:rsid w:val="00D21711"/>
    <w:rsid w:val="00D217FE"/>
    <w:rsid w:val="00D21887"/>
    <w:rsid w:val="00D21903"/>
    <w:rsid w:val="00D219F9"/>
    <w:rsid w:val="00D21AF8"/>
    <w:rsid w:val="00D21B4D"/>
    <w:rsid w:val="00D21CBC"/>
    <w:rsid w:val="00D21F0B"/>
    <w:rsid w:val="00D21F5F"/>
    <w:rsid w:val="00D22023"/>
    <w:rsid w:val="00D22119"/>
    <w:rsid w:val="00D2225B"/>
    <w:rsid w:val="00D223C5"/>
    <w:rsid w:val="00D22481"/>
    <w:rsid w:val="00D22593"/>
    <w:rsid w:val="00D22627"/>
    <w:rsid w:val="00D22758"/>
    <w:rsid w:val="00D227F9"/>
    <w:rsid w:val="00D228CD"/>
    <w:rsid w:val="00D229A2"/>
    <w:rsid w:val="00D229CD"/>
    <w:rsid w:val="00D22B06"/>
    <w:rsid w:val="00D22CFF"/>
    <w:rsid w:val="00D22DCA"/>
    <w:rsid w:val="00D22E06"/>
    <w:rsid w:val="00D22E3C"/>
    <w:rsid w:val="00D230D5"/>
    <w:rsid w:val="00D23201"/>
    <w:rsid w:val="00D23253"/>
    <w:rsid w:val="00D2326B"/>
    <w:rsid w:val="00D23460"/>
    <w:rsid w:val="00D23495"/>
    <w:rsid w:val="00D235E5"/>
    <w:rsid w:val="00D23618"/>
    <w:rsid w:val="00D238D4"/>
    <w:rsid w:val="00D238E6"/>
    <w:rsid w:val="00D238F2"/>
    <w:rsid w:val="00D23935"/>
    <w:rsid w:val="00D2397C"/>
    <w:rsid w:val="00D23A2F"/>
    <w:rsid w:val="00D23AC5"/>
    <w:rsid w:val="00D23B87"/>
    <w:rsid w:val="00D23BC6"/>
    <w:rsid w:val="00D23C59"/>
    <w:rsid w:val="00D23CB6"/>
    <w:rsid w:val="00D23CF6"/>
    <w:rsid w:val="00D23D12"/>
    <w:rsid w:val="00D23D5D"/>
    <w:rsid w:val="00D23DC3"/>
    <w:rsid w:val="00D23E0C"/>
    <w:rsid w:val="00D23FE2"/>
    <w:rsid w:val="00D240C6"/>
    <w:rsid w:val="00D240CA"/>
    <w:rsid w:val="00D240E9"/>
    <w:rsid w:val="00D240F5"/>
    <w:rsid w:val="00D24109"/>
    <w:rsid w:val="00D2419F"/>
    <w:rsid w:val="00D24210"/>
    <w:rsid w:val="00D24275"/>
    <w:rsid w:val="00D242FE"/>
    <w:rsid w:val="00D24663"/>
    <w:rsid w:val="00D2476B"/>
    <w:rsid w:val="00D247F1"/>
    <w:rsid w:val="00D249C2"/>
    <w:rsid w:val="00D24A43"/>
    <w:rsid w:val="00D24B62"/>
    <w:rsid w:val="00D24BA0"/>
    <w:rsid w:val="00D24BA2"/>
    <w:rsid w:val="00D24C87"/>
    <w:rsid w:val="00D24EF5"/>
    <w:rsid w:val="00D24F0B"/>
    <w:rsid w:val="00D24FAE"/>
    <w:rsid w:val="00D2503B"/>
    <w:rsid w:val="00D2515C"/>
    <w:rsid w:val="00D25308"/>
    <w:rsid w:val="00D253CA"/>
    <w:rsid w:val="00D254C9"/>
    <w:rsid w:val="00D254F5"/>
    <w:rsid w:val="00D254FF"/>
    <w:rsid w:val="00D25560"/>
    <w:rsid w:val="00D255DC"/>
    <w:rsid w:val="00D25B1A"/>
    <w:rsid w:val="00D25BA0"/>
    <w:rsid w:val="00D25CFF"/>
    <w:rsid w:val="00D25E56"/>
    <w:rsid w:val="00D25E60"/>
    <w:rsid w:val="00D25FB9"/>
    <w:rsid w:val="00D2642E"/>
    <w:rsid w:val="00D2642F"/>
    <w:rsid w:val="00D2656C"/>
    <w:rsid w:val="00D2665A"/>
    <w:rsid w:val="00D26882"/>
    <w:rsid w:val="00D26CC5"/>
    <w:rsid w:val="00D26F89"/>
    <w:rsid w:val="00D26FBE"/>
    <w:rsid w:val="00D27133"/>
    <w:rsid w:val="00D271B0"/>
    <w:rsid w:val="00D2728D"/>
    <w:rsid w:val="00D272B4"/>
    <w:rsid w:val="00D27370"/>
    <w:rsid w:val="00D274B3"/>
    <w:rsid w:val="00D27550"/>
    <w:rsid w:val="00D27593"/>
    <w:rsid w:val="00D2765D"/>
    <w:rsid w:val="00D2789F"/>
    <w:rsid w:val="00D27938"/>
    <w:rsid w:val="00D27D12"/>
    <w:rsid w:val="00D27F8D"/>
    <w:rsid w:val="00D30067"/>
    <w:rsid w:val="00D300DE"/>
    <w:rsid w:val="00D30473"/>
    <w:rsid w:val="00D304A4"/>
    <w:rsid w:val="00D305E2"/>
    <w:rsid w:val="00D30617"/>
    <w:rsid w:val="00D308CF"/>
    <w:rsid w:val="00D3096F"/>
    <w:rsid w:val="00D309F3"/>
    <w:rsid w:val="00D30AB5"/>
    <w:rsid w:val="00D30B29"/>
    <w:rsid w:val="00D30CB8"/>
    <w:rsid w:val="00D30DDE"/>
    <w:rsid w:val="00D30E05"/>
    <w:rsid w:val="00D30F1D"/>
    <w:rsid w:val="00D30FAF"/>
    <w:rsid w:val="00D30FD8"/>
    <w:rsid w:val="00D31063"/>
    <w:rsid w:val="00D3106C"/>
    <w:rsid w:val="00D310AF"/>
    <w:rsid w:val="00D31311"/>
    <w:rsid w:val="00D31334"/>
    <w:rsid w:val="00D3175C"/>
    <w:rsid w:val="00D317AD"/>
    <w:rsid w:val="00D31A67"/>
    <w:rsid w:val="00D31BBE"/>
    <w:rsid w:val="00D31E5F"/>
    <w:rsid w:val="00D32366"/>
    <w:rsid w:val="00D32403"/>
    <w:rsid w:val="00D32562"/>
    <w:rsid w:val="00D32645"/>
    <w:rsid w:val="00D3279F"/>
    <w:rsid w:val="00D32825"/>
    <w:rsid w:val="00D32842"/>
    <w:rsid w:val="00D3294F"/>
    <w:rsid w:val="00D32A0D"/>
    <w:rsid w:val="00D32A1B"/>
    <w:rsid w:val="00D32A20"/>
    <w:rsid w:val="00D32A60"/>
    <w:rsid w:val="00D32A81"/>
    <w:rsid w:val="00D32AF9"/>
    <w:rsid w:val="00D32BBA"/>
    <w:rsid w:val="00D32E49"/>
    <w:rsid w:val="00D32EC2"/>
    <w:rsid w:val="00D3300B"/>
    <w:rsid w:val="00D3303A"/>
    <w:rsid w:val="00D330B5"/>
    <w:rsid w:val="00D33133"/>
    <w:rsid w:val="00D33169"/>
    <w:rsid w:val="00D33487"/>
    <w:rsid w:val="00D33512"/>
    <w:rsid w:val="00D335D4"/>
    <w:rsid w:val="00D33713"/>
    <w:rsid w:val="00D337AA"/>
    <w:rsid w:val="00D337E0"/>
    <w:rsid w:val="00D33840"/>
    <w:rsid w:val="00D3386C"/>
    <w:rsid w:val="00D338C3"/>
    <w:rsid w:val="00D3397A"/>
    <w:rsid w:val="00D339F0"/>
    <w:rsid w:val="00D33A86"/>
    <w:rsid w:val="00D33A94"/>
    <w:rsid w:val="00D33BF2"/>
    <w:rsid w:val="00D33C40"/>
    <w:rsid w:val="00D33D53"/>
    <w:rsid w:val="00D33D5D"/>
    <w:rsid w:val="00D33EF8"/>
    <w:rsid w:val="00D33F27"/>
    <w:rsid w:val="00D33FF2"/>
    <w:rsid w:val="00D340A8"/>
    <w:rsid w:val="00D3421D"/>
    <w:rsid w:val="00D344FD"/>
    <w:rsid w:val="00D345D9"/>
    <w:rsid w:val="00D346F0"/>
    <w:rsid w:val="00D34AAC"/>
    <w:rsid w:val="00D34BA9"/>
    <w:rsid w:val="00D34D1C"/>
    <w:rsid w:val="00D34D2F"/>
    <w:rsid w:val="00D34F06"/>
    <w:rsid w:val="00D34F3B"/>
    <w:rsid w:val="00D34F48"/>
    <w:rsid w:val="00D34FA0"/>
    <w:rsid w:val="00D35234"/>
    <w:rsid w:val="00D352E1"/>
    <w:rsid w:val="00D35347"/>
    <w:rsid w:val="00D35655"/>
    <w:rsid w:val="00D357E7"/>
    <w:rsid w:val="00D358D6"/>
    <w:rsid w:val="00D358F2"/>
    <w:rsid w:val="00D35B52"/>
    <w:rsid w:val="00D35D6D"/>
    <w:rsid w:val="00D35EAB"/>
    <w:rsid w:val="00D35EE7"/>
    <w:rsid w:val="00D36412"/>
    <w:rsid w:val="00D36445"/>
    <w:rsid w:val="00D36651"/>
    <w:rsid w:val="00D3667C"/>
    <w:rsid w:val="00D366AC"/>
    <w:rsid w:val="00D36B49"/>
    <w:rsid w:val="00D36D03"/>
    <w:rsid w:val="00D36D18"/>
    <w:rsid w:val="00D36D5C"/>
    <w:rsid w:val="00D36EC1"/>
    <w:rsid w:val="00D36F8C"/>
    <w:rsid w:val="00D37004"/>
    <w:rsid w:val="00D3700A"/>
    <w:rsid w:val="00D37052"/>
    <w:rsid w:val="00D3717A"/>
    <w:rsid w:val="00D371AF"/>
    <w:rsid w:val="00D371F1"/>
    <w:rsid w:val="00D37228"/>
    <w:rsid w:val="00D373BB"/>
    <w:rsid w:val="00D373E0"/>
    <w:rsid w:val="00D374E6"/>
    <w:rsid w:val="00D375D5"/>
    <w:rsid w:val="00D37630"/>
    <w:rsid w:val="00D37683"/>
    <w:rsid w:val="00D37694"/>
    <w:rsid w:val="00D378D7"/>
    <w:rsid w:val="00D37917"/>
    <w:rsid w:val="00D37A4E"/>
    <w:rsid w:val="00D37A71"/>
    <w:rsid w:val="00D37B8B"/>
    <w:rsid w:val="00D37CD0"/>
    <w:rsid w:val="00D37D65"/>
    <w:rsid w:val="00D37E22"/>
    <w:rsid w:val="00D37F2B"/>
    <w:rsid w:val="00D40124"/>
    <w:rsid w:val="00D401B1"/>
    <w:rsid w:val="00D40259"/>
    <w:rsid w:val="00D4034D"/>
    <w:rsid w:val="00D40481"/>
    <w:rsid w:val="00D404A6"/>
    <w:rsid w:val="00D4062A"/>
    <w:rsid w:val="00D4064A"/>
    <w:rsid w:val="00D406CB"/>
    <w:rsid w:val="00D40718"/>
    <w:rsid w:val="00D4084B"/>
    <w:rsid w:val="00D4085C"/>
    <w:rsid w:val="00D40931"/>
    <w:rsid w:val="00D40A43"/>
    <w:rsid w:val="00D40A92"/>
    <w:rsid w:val="00D40CAA"/>
    <w:rsid w:val="00D40CD9"/>
    <w:rsid w:val="00D40DE9"/>
    <w:rsid w:val="00D40FF7"/>
    <w:rsid w:val="00D4100A"/>
    <w:rsid w:val="00D4105F"/>
    <w:rsid w:val="00D412EA"/>
    <w:rsid w:val="00D4134A"/>
    <w:rsid w:val="00D413D5"/>
    <w:rsid w:val="00D413F4"/>
    <w:rsid w:val="00D414D1"/>
    <w:rsid w:val="00D4161A"/>
    <w:rsid w:val="00D416AC"/>
    <w:rsid w:val="00D41773"/>
    <w:rsid w:val="00D4179A"/>
    <w:rsid w:val="00D417CB"/>
    <w:rsid w:val="00D41892"/>
    <w:rsid w:val="00D4190A"/>
    <w:rsid w:val="00D41994"/>
    <w:rsid w:val="00D41A1C"/>
    <w:rsid w:val="00D41BAA"/>
    <w:rsid w:val="00D41DF0"/>
    <w:rsid w:val="00D41E6A"/>
    <w:rsid w:val="00D41EB4"/>
    <w:rsid w:val="00D42024"/>
    <w:rsid w:val="00D42071"/>
    <w:rsid w:val="00D42194"/>
    <w:rsid w:val="00D422DA"/>
    <w:rsid w:val="00D42424"/>
    <w:rsid w:val="00D42461"/>
    <w:rsid w:val="00D42575"/>
    <w:rsid w:val="00D42636"/>
    <w:rsid w:val="00D42717"/>
    <w:rsid w:val="00D4279D"/>
    <w:rsid w:val="00D42906"/>
    <w:rsid w:val="00D42983"/>
    <w:rsid w:val="00D429D8"/>
    <w:rsid w:val="00D42A9D"/>
    <w:rsid w:val="00D42BAB"/>
    <w:rsid w:val="00D42C1F"/>
    <w:rsid w:val="00D42C63"/>
    <w:rsid w:val="00D42D50"/>
    <w:rsid w:val="00D42F18"/>
    <w:rsid w:val="00D42FBC"/>
    <w:rsid w:val="00D431CB"/>
    <w:rsid w:val="00D434AE"/>
    <w:rsid w:val="00D43546"/>
    <w:rsid w:val="00D437B5"/>
    <w:rsid w:val="00D438EA"/>
    <w:rsid w:val="00D43948"/>
    <w:rsid w:val="00D439F0"/>
    <w:rsid w:val="00D43A5D"/>
    <w:rsid w:val="00D43A65"/>
    <w:rsid w:val="00D43B9B"/>
    <w:rsid w:val="00D43D30"/>
    <w:rsid w:val="00D43D96"/>
    <w:rsid w:val="00D43FB6"/>
    <w:rsid w:val="00D44007"/>
    <w:rsid w:val="00D44049"/>
    <w:rsid w:val="00D44162"/>
    <w:rsid w:val="00D44200"/>
    <w:rsid w:val="00D4425F"/>
    <w:rsid w:val="00D44320"/>
    <w:rsid w:val="00D444CC"/>
    <w:rsid w:val="00D44558"/>
    <w:rsid w:val="00D44651"/>
    <w:rsid w:val="00D447A1"/>
    <w:rsid w:val="00D4488D"/>
    <w:rsid w:val="00D448C4"/>
    <w:rsid w:val="00D448C7"/>
    <w:rsid w:val="00D44C01"/>
    <w:rsid w:val="00D44CB5"/>
    <w:rsid w:val="00D44E0A"/>
    <w:rsid w:val="00D44F11"/>
    <w:rsid w:val="00D45389"/>
    <w:rsid w:val="00D453A5"/>
    <w:rsid w:val="00D454E0"/>
    <w:rsid w:val="00D457A8"/>
    <w:rsid w:val="00D45809"/>
    <w:rsid w:val="00D459DA"/>
    <w:rsid w:val="00D45B36"/>
    <w:rsid w:val="00D45B46"/>
    <w:rsid w:val="00D45D23"/>
    <w:rsid w:val="00D45D7D"/>
    <w:rsid w:val="00D45DE5"/>
    <w:rsid w:val="00D45E7B"/>
    <w:rsid w:val="00D45EB7"/>
    <w:rsid w:val="00D45F52"/>
    <w:rsid w:val="00D45F80"/>
    <w:rsid w:val="00D45FD0"/>
    <w:rsid w:val="00D4607E"/>
    <w:rsid w:val="00D460AC"/>
    <w:rsid w:val="00D4613B"/>
    <w:rsid w:val="00D46377"/>
    <w:rsid w:val="00D464B5"/>
    <w:rsid w:val="00D4651E"/>
    <w:rsid w:val="00D465A4"/>
    <w:rsid w:val="00D465E3"/>
    <w:rsid w:val="00D4664B"/>
    <w:rsid w:val="00D46AC1"/>
    <w:rsid w:val="00D46CE6"/>
    <w:rsid w:val="00D46D00"/>
    <w:rsid w:val="00D46DA5"/>
    <w:rsid w:val="00D46DB5"/>
    <w:rsid w:val="00D46F7D"/>
    <w:rsid w:val="00D46FD7"/>
    <w:rsid w:val="00D46FE1"/>
    <w:rsid w:val="00D4704B"/>
    <w:rsid w:val="00D470A7"/>
    <w:rsid w:val="00D470F7"/>
    <w:rsid w:val="00D472C0"/>
    <w:rsid w:val="00D472E6"/>
    <w:rsid w:val="00D4735B"/>
    <w:rsid w:val="00D47380"/>
    <w:rsid w:val="00D47388"/>
    <w:rsid w:val="00D4747F"/>
    <w:rsid w:val="00D4751F"/>
    <w:rsid w:val="00D47615"/>
    <w:rsid w:val="00D47644"/>
    <w:rsid w:val="00D4775A"/>
    <w:rsid w:val="00D4778F"/>
    <w:rsid w:val="00D4784C"/>
    <w:rsid w:val="00D47955"/>
    <w:rsid w:val="00D47A39"/>
    <w:rsid w:val="00D47A4D"/>
    <w:rsid w:val="00D47A95"/>
    <w:rsid w:val="00D47BB8"/>
    <w:rsid w:val="00D47D0A"/>
    <w:rsid w:val="00D47DB0"/>
    <w:rsid w:val="00D47F70"/>
    <w:rsid w:val="00D50009"/>
    <w:rsid w:val="00D500E8"/>
    <w:rsid w:val="00D501CF"/>
    <w:rsid w:val="00D502CB"/>
    <w:rsid w:val="00D503D8"/>
    <w:rsid w:val="00D50512"/>
    <w:rsid w:val="00D50538"/>
    <w:rsid w:val="00D505A1"/>
    <w:rsid w:val="00D50743"/>
    <w:rsid w:val="00D507DF"/>
    <w:rsid w:val="00D50832"/>
    <w:rsid w:val="00D50860"/>
    <w:rsid w:val="00D508F7"/>
    <w:rsid w:val="00D50AF9"/>
    <w:rsid w:val="00D50B87"/>
    <w:rsid w:val="00D50BCD"/>
    <w:rsid w:val="00D50C42"/>
    <w:rsid w:val="00D50D56"/>
    <w:rsid w:val="00D50D91"/>
    <w:rsid w:val="00D50E48"/>
    <w:rsid w:val="00D50E64"/>
    <w:rsid w:val="00D5100E"/>
    <w:rsid w:val="00D51040"/>
    <w:rsid w:val="00D51062"/>
    <w:rsid w:val="00D511EA"/>
    <w:rsid w:val="00D5122B"/>
    <w:rsid w:val="00D51339"/>
    <w:rsid w:val="00D513C7"/>
    <w:rsid w:val="00D514F6"/>
    <w:rsid w:val="00D51740"/>
    <w:rsid w:val="00D51769"/>
    <w:rsid w:val="00D51AE1"/>
    <w:rsid w:val="00D51B37"/>
    <w:rsid w:val="00D51C5F"/>
    <w:rsid w:val="00D51D24"/>
    <w:rsid w:val="00D521A9"/>
    <w:rsid w:val="00D521D1"/>
    <w:rsid w:val="00D522AE"/>
    <w:rsid w:val="00D52300"/>
    <w:rsid w:val="00D52324"/>
    <w:rsid w:val="00D523EB"/>
    <w:rsid w:val="00D5248B"/>
    <w:rsid w:val="00D52604"/>
    <w:rsid w:val="00D5271E"/>
    <w:rsid w:val="00D52755"/>
    <w:rsid w:val="00D527D4"/>
    <w:rsid w:val="00D52B56"/>
    <w:rsid w:val="00D52C2C"/>
    <w:rsid w:val="00D52CB9"/>
    <w:rsid w:val="00D52CE8"/>
    <w:rsid w:val="00D52D5E"/>
    <w:rsid w:val="00D52E0A"/>
    <w:rsid w:val="00D52EFE"/>
    <w:rsid w:val="00D53045"/>
    <w:rsid w:val="00D530DA"/>
    <w:rsid w:val="00D530F1"/>
    <w:rsid w:val="00D53129"/>
    <w:rsid w:val="00D531D3"/>
    <w:rsid w:val="00D5320B"/>
    <w:rsid w:val="00D532D4"/>
    <w:rsid w:val="00D53310"/>
    <w:rsid w:val="00D53684"/>
    <w:rsid w:val="00D5368C"/>
    <w:rsid w:val="00D536E2"/>
    <w:rsid w:val="00D537A0"/>
    <w:rsid w:val="00D538B3"/>
    <w:rsid w:val="00D5392D"/>
    <w:rsid w:val="00D53A48"/>
    <w:rsid w:val="00D53A76"/>
    <w:rsid w:val="00D53AF6"/>
    <w:rsid w:val="00D53DAA"/>
    <w:rsid w:val="00D5408D"/>
    <w:rsid w:val="00D54112"/>
    <w:rsid w:val="00D5413A"/>
    <w:rsid w:val="00D543A2"/>
    <w:rsid w:val="00D543A5"/>
    <w:rsid w:val="00D5440D"/>
    <w:rsid w:val="00D54539"/>
    <w:rsid w:val="00D54760"/>
    <w:rsid w:val="00D548B8"/>
    <w:rsid w:val="00D54A7F"/>
    <w:rsid w:val="00D54ABE"/>
    <w:rsid w:val="00D54BBC"/>
    <w:rsid w:val="00D54D41"/>
    <w:rsid w:val="00D54E02"/>
    <w:rsid w:val="00D54F97"/>
    <w:rsid w:val="00D54FE8"/>
    <w:rsid w:val="00D5526B"/>
    <w:rsid w:val="00D552C2"/>
    <w:rsid w:val="00D55319"/>
    <w:rsid w:val="00D5537A"/>
    <w:rsid w:val="00D5582E"/>
    <w:rsid w:val="00D5585E"/>
    <w:rsid w:val="00D558FD"/>
    <w:rsid w:val="00D55928"/>
    <w:rsid w:val="00D55BBF"/>
    <w:rsid w:val="00D55D5C"/>
    <w:rsid w:val="00D55D90"/>
    <w:rsid w:val="00D55DC8"/>
    <w:rsid w:val="00D5602E"/>
    <w:rsid w:val="00D560E4"/>
    <w:rsid w:val="00D56115"/>
    <w:rsid w:val="00D56135"/>
    <w:rsid w:val="00D563B8"/>
    <w:rsid w:val="00D56710"/>
    <w:rsid w:val="00D56717"/>
    <w:rsid w:val="00D567BE"/>
    <w:rsid w:val="00D567DA"/>
    <w:rsid w:val="00D56892"/>
    <w:rsid w:val="00D56CD0"/>
    <w:rsid w:val="00D56DC0"/>
    <w:rsid w:val="00D56EDA"/>
    <w:rsid w:val="00D57248"/>
    <w:rsid w:val="00D57251"/>
    <w:rsid w:val="00D57262"/>
    <w:rsid w:val="00D57642"/>
    <w:rsid w:val="00D57722"/>
    <w:rsid w:val="00D5784E"/>
    <w:rsid w:val="00D5792A"/>
    <w:rsid w:val="00D57931"/>
    <w:rsid w:val="00D57ACC"/>
    <w:rsid w:val="00D57CAC"/>
    <w:rsid w:val="00D57DA9"/>
    <w:rsid w:val="00D57F04"/>
    <w:rsid w:val="00D6006A"/>
    <w:rsid w:val="00D60084"/>
    <w:rsid w:val="00D6016F"/>
    <w:rsid w:val="00D601CD"/>
    <w:rsid w:val="00D6020C"/>
    <w:rsid w:val="00D60277"/>
    <w:rsid w:val="00D60279"/>
    <w:rsid w:val="00D60305"/>
    <w:rsid w:val="00D604AA"/>
    <w:rsid w:val="00D6058C"/>
    <w:rsid w:val="00D607A7"/>
    <w:rsid w:val="00D607DE"/>
    <w:rsid w:val="00D60970"/>
    <w:rsid w:val="00D609F4"/>
    <w:rsid w:val="00D60A41"/>
    <w:rsid w:val="00D60BF5"/>
    <w:rsid w:val="00D60C94"/>
    <w:rsid w:val="00D60F5F"/>
    <w:rsid w:val="00D60F7D"/>
    <w:rsid w:val="00D61122"/>
    <w:rsid w:val="00D61178"/>
    <w:rsid w:val="00D611D2"/>
    <w:rsid w:val="00D61320"/>
    <w:rsid w:val="00D613A4"/>
    <w:rsid w:val="00D6145D"/>
    <w:rsid w:val="00D61522"/>
    <w:rsid w:val="00D6166F"/>
    <w:rsid w:val="00D618B7"/>
    <w:rsid w:val="00D61CA2"/>
    <w:rsid w:val="00D62170"/>
    <w:rsid w:val="00D62172"/>
    <w:rsid w:val="00D6219F"/>
    <w:rsid w:val="00D621C6"/>
    <w:rsid w:val="00D62329"/>
    <w:rsid w:val="00D6247E"/>
    <w:rsid w:val="00D624ED"/>
    <w:rsid w:val="00D6259D"/>
    <w:rsid w:val="00D62603"/>
    <w:rsid w:val="00D6261A"/>
    <w:rsid w:val="00D62630"/>
    <w:rsid w:val="00D626DF"/>
    <w:rsid w:val="00D6278C"/>
    <w:rsid w:val="00D627C7"/>
    <w:rsid w:val="00D628F8"/>
    <w:rsid w:val="00D62CE0"/>
    <w:rsid w:val="00D62DA1"/>
    <w:rsid w:val="00D62E63"/>
    <w:rsid w:val="00D62FE3"/>
    <w:rsid w:val="00D6304C"/>
    <w:rsid w:val="00D630C2"/>
    <w:rsid w:val="00D632B6"/>
    <w:rsid w:val="00D6344C"/>
    <w:rsid w:val="00D6357B"/>
    <w:rsid w:val="00D635E3"/>
    <w:rsid w:val="00D63678"/>
    <w:rsid w:val="00D63711"/>
    <w:rsid w:val="00D6389E"/>
    <w:rsid w:val="00D63B3E"/>
    <w:rsid w:val="00D63C8A"/>
    <w:rsid w:val="00D63D6C"/>
    <w:rsid w:val="00D63DFF"/>
    <w:rsid w:val="00D63E1C"/>
    <w:rsid w:val="00D641E7"/>
    <w:rsid w:val="00D6424C"/>
    <w:rsid w:val="00D64440"/>
    <w:rsid w:val="00D644BA"/>
    <w:rsid w:val="00D64530"/>
    <w:rsid w:val="00D645BD"/>
    <w:rsid w:val="00D64672"/>
    <w:rsid w:val="00D648A6"/>
    <w:rsid w:val="00D64971"/>
    <w:rsid w:val="00D64A16"/>
    <w:rsid w:val="00D64B41"/>
    <w:rsid w:val="00D64BE9"/>
    <w:rsid w:val="00D64C38"/>
    <w:rsid w:val="00D64CD9"/>
    <w:rsid w:val="00D64CEB"/>
    <w:rsid w:val="00D64D84"/>
    <w:rsid w:val="00D64E5E"/>
    <w:rsid w:val="00D64FD1"/>
    <w:rsid w:val="00D65044"/>
    <w:rsid w:val="00D65065"/>
    <w:rsid w:val="00D650EA"/>
    <w:rsid w:val="00D65256"/>
    <w:rsid w:val="00D652EC"/>
    <w:rsid w:val="00D6556E"/>
    <w:rsid w:val="00D655DD"/>
    <w:rsid w:val="00D65656"/>
    <w:rsid w:val="00D65723"/>
    <w:rsid w:val="00D6590B"/>
    <w:rsid w:val="00D659E2"/>
    <w:rsid w:val="00D65DB5"/>
    <w:rsid w:val="00D65E00"/>
    <w:rsid w:val="00D65E31"/>
    <w:rsid w:val="00D65FFD"/>
    <w:rsid w:val="00D660CF"/>
    <w:rsid w:val="00D660E6"/>
    <w:rsid w:val="00D660F2"/>
    <w:rsid w:val="00D66156"/>
    <w:rsid w:val="00D6638D"/>
    <w:rsid w:val="00D6640D"/>
    <w:rsid w:val="00D664BF"/>
    <w:rsid w:val="00D665E4"/>
    <w:rsid w:val="00D666CF"/>
    <w:rsid w:val="00D66743"/>
    <w:rsid w:val="00D66977"/>
    <w:rsid w:val="00D66A01"/>
    <w:rsid w:val="00D66BA3"/>
    <w:rsid w:val="00D66CE0"/>
    <w:rsid w:val="00D66D38"/>
    <w:rsid w:val="00D66DFD"/>
    <w:rsid w:val="00D66E87"/>
    <w:rsid w:val="00D6711E"/>
    <w:rsid w:val="00D6725E"/>
    <w:rsid w:val="00D67269"/>
    <w:rsid w:val="00D67292"/>
    <w:rsid w:val="00D67737"/>
    <w:rsid w:val="00D67794"/>
    <w:rsid w:val="00D679D8"/>
    <w:rsid w:val="00D67A7A"/>
    <w:rsid w:val="00D67E05"/>
    <w:rsid w:val="00D700DF"/>
    <w:rsid w:val="00D7012D"/>
    <w:rsid w:val="00D701B1"/>
    <w:rsid w:val="00D70308"/>
    <w:rsid w:val="00D70460"/>
    <w:rsid w:val="00D70477"/>
    <w:rsid w:val="00D70521"/>
    <w:rsid w:val="00D7056C"/>
    <w:rsid w:val="00D70648"/>
    <w:rsid w:val="00D70668"/>
    <w:rsid w:val="00D706DF"/>
    <w:rsid w:val="00D706ED"/>
    <w:rsid w:val="00D70730"/>
    <w:rsid w:val="00D708BD"/>
    <w:rsid w:val="00D70B53"/>
    <w:rsid w:val="00D70B5A"/>
    <w:rsid w:val="00D70BE7"/>
    <w:rsid w:val="00D70BE8"/>
    <w:rsid w:val="00D70C67"/>
    <w:rsid w:val="00D70D4D"/>
    <w:rsid w:val="00D70E78"/>
    <w:rsid w:val="00D70F34"/>
    <w:rsid w:val="00D70F94"/>
    <w:rsid w:val="00D7140F"/>
    <w:rsid w:val="00D7144D"/>
    <w:rsid w:val="00D7153F"/>
    <w:rsid w:val="00D715AE"/>
    <w:rsid w:val="00D715F2"/>
    <w:rsid w:val="00D71737"/>
    <w:rsid w:val="00D71753"/>
    <w:rsid w:val="00D7177A"/>
    <w:rsid w:val="00D71877"/>
    <w:rsid w:val="00D7188E"/>
    <w:rsid w:val="00D718AD"/>
    <w:rsid w:val="00D719B7"/>
    <w:rsid w:val="00D71A63"/>
    <w:rsid w:val="00D71AFC"/>
    <w:rsid w:val="00D71BB6"/>
    <w:rsid w:val="00D71E08"/>
    <w:rsid w:val="00D720A4"/>
    <w:rsid w:val="00D720BC"/>
    <w:rsid w:val="00D72134"/>
    <w:rsid w:val="00D72281"/>
    <w:rsid w:val="00D722DE"/>
    <w:rsid w:val="00D72370"/>
    <w:rsid w:val="00D723C3"/>
    <w:rsid w:val="00D726E5"/>
    <w:rsid w:val="00D726FE"/>
    <w:rsid w:val="00D72867"/>
    <w:rsid w:val="00D72B56"/>
    <w:rsid w:val="00D72BA0"/>
    <w:rsid w:val="00D72BD7"/>
    <w:rsid w:val="00D72C52"/>
    <w:rsid w:val="00D72D01"/>
    <w:rsid w:val="00D72D7E"/>
    <w:rsid w:val="00D72F59"/>
    <w:rsid w:val="00D72FC1"/>
    <w:rsid w:val="00D730C2"/>
    <w:rsid w:val="00D730D8"/>
    <w:rsid w:val="00D73254"/>
    <w:rsid w:val="00D73374"/>
    <w:rsid w:val="00D7343B"/>
    <w:rsid w:val="00D73500"/>
    <w:rsid w:val="00D7352E"/>
    <w:rsid w:val="00D736A0"/>
    <w:rsid w:val="00D738CF"/>
    <w:rsid w:val="00D7396C"/>
    <w:rsid w:val="00D73991"/>
    <w:rsid w:val="00D73B3B"/>
    <w:rsid w:val="00D73BB0"/>
    <w:rsid w:val="00D73DBD"/>
    <w:rsid w:val="00D73E1D"/>
    <w:rsid w:val="00D73FC3"/>
    <w:rsid w:val="00D74019"/>
    <w:rsid w:val="00D740E9"/>
    <w:rsid w:val="00D74138"/>
    <w:rsid w:val="00D74347"/>
    <w:rsid w:val="00D7446E"/>
    <w:rsid w:val="00D74620"/>
    <w:rsid w:val="00D747AA"/>
    <w:rsid w:val="00D747AE"/>
    <w:rsid w:val="00D749D9"/>
    <w:rsid w:val="00D74AAF"/>
    <w:rsid w:val="00D74C2E"/>
    <w:rsid w:val="00D74C88"/>
    <w:rsid w:val="00D74CD9"/>
    <w:rsid w:val="00D74CE0"/>
    <w:rsid w:val="00D751D2"/>
    <w:rsid w:val="00D75283"/>
    <w:rsid w:val="00D7532D"/>
    <w:rsid w:val="00D75350"/>
    <w:rsid w:val="00D75491"/>
    <w:rsid w:val="00D75586"/>
    <w:rsid w:val="00D75587"/>
    <w:rsid w:val="00D7574D"/>
    <w:rsid w:val="00D7577D"/>
    <w:rsid w:val="00D75798"/>
    <w:rsid w:val="00D757B2"/>
    <w:rsid w:val="00D757BE"/>
    <w:rsid w:val="00D7584C"/>
    <w:rsid w:val="00D758DC"/>
    <w:rsid w:val="00D75A1E"/>
    <w:rsid w:val="00D75B0C"/>
    <w:rsid w:val="00D75CA9"/>
    <w:rsid w:val="00D75D47"/>
    <w:rsid w:val="00D75D6F"/>
    <w:rsid w:val="00D75E8A"/>
    <w:rsid w:val="00D75EB4"/>
    <w:rsid w:val="00D75EC2"/>
    <w:rsid w:val="00D75F51"/>
    <w:rsid w:val="00D76050"/>
    <w:rsid w:val="00D760B4"/>
    <w:rsid w:val="00D761E8"/>
    <w:rsid w:val="00D7644E"/>
    <w:rsid w:val="00D76482"/>
    <w:rsid w:val="00D767BC"/>
    <w:rsid w:val="00D767E3"/>
    <w:rsid w:val="00D76822"/>
    <w:rsid w:val="00D76826"/>
    <w:rsid w:val="00D768B4"/>
    <w:rsid w:val="00D76A07"/>
    <w:rsid w:val="00D76AD6"/>
    <w:rsid w:val="00D76BA9"/>
    <w:rsid w:val="00D76DD6"/>
    <w:rsid w:val="00D76E8E"/>
    <w:rsid w:val="00D76EC8"/>
    <w:rsid w:val="00D76F0E"/>
    <w:rsid w:val="00D77101"/>
    <w:rsid w:val="00D7712B"/>
    <w:rsid w:val="00D7729E"/>
    <w:rsid w:val="00D77355"/>
    <w:rsid w:val="00D7739D"/>
    <w:rsid w:val="00D773D0"/>
    <w:rsid w:val="00D774D7"/>
    <w:rsid w:val="00D777B6"/>
    <w:rsid w:val="00D7789D"/>
    <w:rsid w:val="00D778C5"/>
    <w:rsid w:val="00D779D7"/>
    <w:rsid w:val="00D77B8C"/>
    <w:rsid w:val="00D77E5B"/>
    <w:rsid w:val="00D77EE7"/>
    <w:rsid w:val="00D77FBA"/>
    <w:rsid w:val="00D80014"/>
    <w:rsid w:val="00D8009C"/>
    <w:rsid w:val="00D800CD"/>
    <w:rsid w:val="00D801E1"/>
    <w:rsid w:val="00D803E1"/>
    <w:rsid w:val="00D804DA"/>
    <w:rsid w:val="00D80667"/>
    <w:rsid w:val="00D806D5"/>
    <w:rsid w:val="00D8078A"/>
    <w:rsid w:val="00D80983"/>
    <w:rsid w:val="00D809E2"/>
    <w:rsid w:val="00D80C63"/>
    <w:rsid w:val="00D80CE0"/>
    <w:rsid w:val="00D80D7C"/>
    <w:rsid w:val="00D80E18"/>
    <w:rsid w:val="00D80E59"/>
    <w:rsid w:val="00D80EF5"/>
    <w:rsid w:val="00D81059"/>
    <w:rsid w:val="00D810EE"/>
    <w:rsid w:val="00D81111"/>
    <w:rsid w:val="00D81127"/>
    <w:rsid w:val="00D8113F"/>
    <w:rsid w:val="00D81175"/>
    <w:rsid w:val="00D812A0"/>
    <w:rsid w:val="00D8133F"/>
    <w:rsid w:val="00D81412"/>
    <w:rsid w:val="00D8141F"/>
    <w:rsid w:val="00D81430"/>
    <w:rsid w:val="00D81562"/>
    <w:rsid w:val="00D81712"/>
    <w:rsid w:val="00D81718"/>
    <w:rsid w:val="00D81739"/>
    <w:rsid w:val="00D8175D"/>
    <w:rsid w:val="00D8186B"/>
    <w:rsid w:val="00D81983"/>
    <w:rsid w:val="00D819E3"/>
    <w:rsid w:val="00D819F7"/>
    <w:rsid w:val="00D81BE1"/>
    <w:rsid w:val="00D81BF3"/>
    <w:rsid w:val="00D81D01"/>
    <w:rsid w:val="00D81EAC"/>
    <w:rsid w:val="00D81F13"/>
    <w:rsid w:val="00D81F2B"/>
    <w:rsid w:val="00D8210D"/>
    <w:rsid w:val="00D8221F"/>
    <w:rsid w:val="00D82528"/>
    <w:rsid w:val="00D82530"/>
    <w:rsid w:val="00D825E4"/>
    <w:rsid w:val="00D82701"/>
    <w:rsid w:val="00D8271B"/>
    <w:rsid w:val="00D827B0"/>
    <w:rsid w:val="00D82859"/>
    <w:rsid w:val="00D82A63"/>
    <w:rsid w:val="00D82AD7"/>
    <w:rsid w:val="00D82B92"/>
    <w:rsid w:val="00D82C34"/>
    <w:rsid w:val="00D82C75"/>
    <w:rsid w:val="00D82F37"/>
    <w:rsid w:val="00D83022"/>
    <w:rsid w:val="00D83026"/>
    <w:rsid w:val="00D830CD"/>
    <w:rsid w:val="00D830EF"/>
    <w:rsid w:val="00D831EE"/>
    <w:rsid w:val="00D83293"/>
    <w:rsid w:val="00D8345C"/>
    <w:rsid w:val="00D8349F"/>
    <w:rsid w:val="00D8352C"/>
    <w:rsid w:val="00D8358C"/>
    <w:rsid w:val="00D83723"/>
    <w:rsid w:val="00D839A1"/>
    <w:rsid w:val="00D83C9B"/>
    <w:rsid w:val="00D83CA1"/>
    <w:rsid w:val="00D83E5F"/>
    <w:rsid w:val="00D8424A"/>
    <w:rsid w:val="00D84256"/>
    <w:rsid w:val="00D842D5"/>
    <w:rsid w:val="00D8434E"/>
    <w:rsid w:val="00D84352"/>
    <w:rsid w:val="00D844CA"/>
    <w:rsid w:val="00D84515"/>
    <w:rsid w:val="00D84608"/>
    <w:rsid w:val="00D8464D"/>
    <w:rsid w:val="00D8481D"/>
    <w:rsid w:val="00D8481F"/>
    <w:rsid w:val="00D849AC"/>
    <w:rsid w:val="00D84A0E"/>
    <w:rsid w:val="00D84ABD"/>
    <w:rsid w:val="00D84BD0"/>
    <w:rsid w:val="00D84CBF"/>
    <w:rsid w:val="00D84D0C"/>
    <w:rsid w:val="00D84D1B"/>
    <w:rsid w:val="00D84DB8"/>
    <w:rsid w:val="00D84DCC"/>
    <w:rsid w:val="00D84EFE"/>
    <w:rsid w:val="00D85016"/>
    <w:rsid w:val="00D850A9"/>
    <w:rsid w:val="00D85132"/>
    <w:rsid w:val="00D8517A"/>
    <w:rsid w:val="00D852B7"/>
    <w:rsid w:val="00D85323"/>
    <w:rsid w:val="00D853F3"/>
    <w:rsid w:val="00D85433"/>
    <w:rsid w:val="00D854E7"/>
    <w:rsid w:val="00D854FA"/>
    <w:rsid w:val="00D859C0"/>
    <w:rsid w:val="00D859CD"/>
    <w:rsid w:val="00D859E2"/>
    <w:rsid w:val="00D85EE4"/>
    <w:rsid w:val="00D85EE9"/>
    <w:rsid w:val="00D8602D"/>
    <w:rsid w:val="00D86372"/>
    <w:rsid w:val="00D863A6"/>
    <w:rsid w:val="00D8644C"/>
    <w:rsid w:val="00D867A1"/>
    <w:rsid w:val="00D867C0"/>
    <w:rsid w:val="00D8692A"/>
    <w:rsid w:val="00D86BB4"/>
    <w:rsid w:val="00D86FE2"/>
    <w:rsid w:val="00D87125"/>
    <w:rsid w:val="00D8719E"/>
    <w:rsid w:val="00D8735E"/>
    <w:rsid w:val="00D873BD"/>
    <w:rsid w:val="00D874F0"/>
    <w:rsid w:val="00D876BF"/>
    <w:rsid w:val="00D876FF"/>
    <w:rsid w:val="00D8777F"/>
    <w:rsid w:val="00D878A2"/>
    <w:rsid w:val="00D87981"/>
    <w:rsid w:val="00D8798D"/>
    <w:rsid w:val="00D879A8"/>
    <w:rsid w:val="00D87B80"/>
    <w:rsid w:val="00D87BBC"/>
    <w:rsid w:val="00D87E3F"/>
    <w:rsid w:val="00D90000"/>
    <w:rsid w:val="00D90176"/>
    <w:rsid w:val="00D901CF"/>
    <w:rsid w:val="00D901F6"/>
    <w:rsid w:val="00D90415"/>
    <w:rsid w:val="00D90669"/>
    <w:rsid w:val="00D9090B"/>
    <w:rsid w:val="00D909CC"/>
    <w:rsid w:val="00D90B91"/>
    <w:rsid w:val="00D90B98"/>
    <w:rsid w:val="00D90C1C"/>
    <w:rsid w:val="00D90D34"/>
    <w:rsid w:val="00D90DC4"/>
    <w:rsid w:val="00D90EAE"/>
    <w:rsid w:val="00D90EDB"/>
    <w:rsid w:val="00D90FB4"/>
    <w:rsid w:val="00D91088"/>
    <w:rsid w:val="00D91343"/>
    <w:rsid w:val="00D91542"/>
    <w:rsid w:val="00D917AD"/>
    <w:rsid w:val="00D917B6"/>
    <w:rsid w:val="00D9186E"/>
    <w:rsid w:val="00D91892"/>
    <w:rsid w:val="00D919FB"/>
    <w:rsid w:val="00D91A5B"/>
    <w:rsid w:val="00D91CE0"/>
    <w:rsid w:val="00D91E1C"/>
    <w:rsid w:val="00D91E2A"/>
    <w:rsid w:val="00D91E59"/>
    <w:rsid w:val="00D91ED0"/>
    <w:rsid w:val="00D91FB6"/>
    <w:rsid w:val="00D920F8"/>
    <w:rsid w:val="00D92108"/>
    <w:rsid w:val="00D92259"/>
    <w:rsid w:val="00D9228C"/>
    <w:rsid w:val="00D922E9"/>
    <w:rsid w:val="00D9259E"/>
    <w:rsid w:val="00D926F3"/>
    <w:rsid w:val="00D92723"/>
    <w:rsid w:val="00D929BB"/>
    <w:rsid w:val="00D92AB2"/>
    <w:rsid w:val="00D92BEE"/>
    <w:rsid w:val="00D92D3B"/>
    <w:rsid w:val="00D92D41"/>
    <w:rsid w:val="00D92DAB"/>
    <w:rsid w:val="00D92DC1"/>
    <w:rsid w:val="00D92E26"/>
    <w:rsid w:val="00D92E83"/>
    <w:rsid w:val="00D92EBC"/>
    <w:rsid w:val="00D9304E"/>
    <w:rsid w:val="00D9306A"/>
    <w:rsid w:val="00D93085"/>
    <w:rsid w:val="00D93156"/>
    <w:rsid w:val="00D931F8"/>
    <w:rsid w:val="00D93202"/>
    <w:rsid w:val="00D93221"/>
    <w:rsid w:val="00D934D2"/>
    <w:rsid w:val="00D93597"/>
    <w:rsid w:val="00D93784"/>
    <w:rsid w:val="00D937BE"/>
    <w:rsid w:val="00D937D2"/>
    <w:rsid w:val="00D93909"/>
    <w:rsid w:val="00D93A05"/>
    <w:rsid w:val="00D93B47"/>
    <w:rsid w:val="00D93BD5"/>
    <w:rsid w:val="00D93CCD"/>
    <w:rsid w:val="00D93D45"/>
    <w:rsid w:val="00D93E11"/>
    <w:rsid w:val="00D93E1A"/>
    <w:rsid w:val="00D940EE"/>
    <w:rsid w:val="00D94316"/>
    <w:rsid w:val="00D94440"/>
    <w:rsid w:val="00D94471"/>
    <w:rsid w:val="00D94507"/>
    <w:rsid w:val="00D94517"/>
    <w:rsid w:val="00D94574"/>
    <w:rsid w:val="00D945B1"/>
    <w:rsid w:val="00D946DA"/>
    <w:rsid w:val="00D9471C"/>
    <w:rsid w:val="00D9471D"/>
    <w:rsid w:val="00D947AE"/>
    <w:rsid w:val="00D9495F"/>
    <w:rsid w:val="00D949E4"/>
    <w:rsid w:val="00D94A5D"/>
    <w:rsid w:val="00D94CDF"/>
    <w:rsid w:val="00D94CFF"/>
    <w:rsid w:val="00D94D83"/>
    <w:rsid w:val="00D94D87"/>
    <w:rsid w:val="00D94E98"/>
    <w:rsid w:val="00D94E9D"/>
    <w:rsid w:val="00D94EB6"/>
    <w:rsid w:val="00D94F03"/>
    <w:rsid w:val="00D94FF7"/>
    <w:rsid w:val="00D95369"/>
    <w:rsid w:val="00D9538C"/>
    <w:rsid w:val="00D9545B"/>
    <w:rsid w:val="00D954F8"/>
    <w:rsid w:val="00D955D8"/>
    <w:rsid w:val="00D958AD"/>
    <w:rsid w:val="00D96214"/>
    <w:rsid w:val="00D96667"/>
    <w:rsid w:val="00D9676C"/>
    <w:rsid w:val="00D968FE"/>
    <w:rsid w:val="00D969B3"/>
    <w:rsid w:val="00D96A2E"/>
    <w:rsid w:val="00D96AB0"/>
    <w:rsid w:val="00D96B48"/>
    <w:rsid w:val="00D96D62"/>
    <w:rsid w:val="00D96DF1"/>
    <w:rsid w:val="00D96E73"/>
    <w:rsid w:val="00D96EC3"/>
    <w:rsid w:val="00D96F5A"/>
    <w:rsid w:val="00D97061"/>
    <w:rsid w:val="00D97097"/>
    <w:rsid w:val="00D97223"/>
    <w:rsid w:val="00D97296"/>
    <w:rsid w:val="00D97353"/>
    <w:rsid w:val="00D97642"/>
    <w:rsid w:val="00D97666"/>
    <w:rsid w:val="00D9766B"/>
    <w:rsid w:val="00D976C5"/>
    <w:rsid w:val="00D97744"/>
    <w:rsid w:val="00D977F9"/>
    <w:rsid w:val="00D978C3"/>
    <w:rsid w:val="00D97C55"/>
    <w:rsid w:val="00D97D51"/>
    <w:rsid w:val="00D97E45"/>
    <w:rsid w:val="00DA0145"/>
    <w:rsid w:val="00DA0166"/>
    <w:rsid w:val="00DA04FD"/>
    <w:rsid w:val="00DA0911"/>
    <w:rsid w:val="00DA0932"/>
    <w:rsid w:val="00DA0B96"/>
    <w:rsid w:val="00DA0C5E"/>
    <w:rsid w:val="00DA0CD3"/>
    <w:rsid w:val="00DA0DC5"/>
    <w:rsid w:val="00DA0E41"/>
    <w:rsid w:val="00DA0ED7"/>
    <w:rsid w:val="00DA0EF3"/>
    <w:rsid w:val="00DA0F06"/>
    <w:rsid w:val="00DA1185"/>
    <w:rsid w:val="00DA1187"/>
    <w:rsid w:val="00DA12F6"/>
    <w:rsid w:val="00DA13C5"/>
    <w:rsid w:val="00DA1622"/>
    <w:rsid w:val="00DA1877"/>
    <w:rsid w:val="00DA1A9E"/>
    <w:rsid w:val="00DA1B9E"/>
    <w:rsid w:val="00DA1BE3"/>
    <w:rsid w:val="00DA1CA2"/>
    <w:rsid w:val="00DA1DF7"/>
    <w:rsid w:val="00DA1FAE"/>
    <w:rsid w:val="00DA21F7"/>
    <w:rsid w:val="00DA2346"/>
    <w:rsid w:val="00DA2597"/>
    <w:rsid w:val="00DA25EB"/>
    <w:rsid w:val="00DA282F"/>
    <w:rsid w:val="00DA2A6F"/>
    <w:rsid w:val="00DA2ADE"/>
    <w:rsid w:val="00DA2B61"/>
    <w:rsid w:val="00DA2C49"/>
    <w:rsid w:val="00DA2C61"/>
    <w:rsid w:val="00DA2CDE"/>
    <w:rsid w:val="00DA2CF9"/>
    <w:rsid w:val="00DA2F3F"/>
    <w:rsid w:val="00DA316A"/>
    <w:rsid w:val="00DA33D7"/>
    <w:rsid w:val="00DA3661"/>
    <w:rsid w:val="00DA3680"/>
    <w:rsid w:val="00DA37CF"/>
    <w:rsid w:val="00DA3800"/>
    <w:rsid w:val="00DA3923"/>
    <w:rsid w:val="00DA3B6E"/>
    <w:rsid w:val="00DA3CAC"/>
    <w:rsid w:val="00DA3F1C"/>
    <w:rsid w:val="00DA3FA1"/>
    <w:rsid w:val="00DA3FC1"/>
    <w:rsid w:val="00DA3FE7"/>
    <w:rsid w:val="00DA40EC"/>
    <w:rsid w:val="00DA4111"/>
    <w:rsid w:val="00DA41E6"/>
    <w:rsid w:val="00DA4356"/>
    <w:rsid w:val="00DA4607"/>
    <w:rsid w:val="00DA468F"/>
    <w:rsid w:val="00DA4729"/>
    <w:rsid w:val="00DA47E3"/>
    <w:rsid w:val="00DA48D1"/>
    <w:rsid w:val="00DA4B9A"/>
    <w:rsid w:val="00DA4D07"/>
    <w:rsid w:val="00DA4F35"/>
    <w:rsid w:val="00DA4F51"/>
    <w:rsid w:val="00DA4F84"/>
    <w:rsid w:val="00DA4FF5"/>
    <w:rsid w:val="00DA50DC"/>
    <w:rsid w:val="00DA538C"/>
    <w:rsid w:val="00DA53DB"/>
    <w:rsid w:val="00DA53FD"/>
    <w:rsid w:val="00DA5440"/>
    <w:rsid w:val="00DA54A0"/>
    <w:rsid w:val="00DA55E5"/>
    <w:rsid w:val="00DA56C2"/>
    <w:rsid w:val="00DA586C"/>
    <w:rsid w:val="00DA5C10"/>
    <w:rsid w:val="00DA5D4B"/>
    <w:rsid w:val="00DA5EDB"/>
    <w:rsid w:val="00DA5F1C"/>
    <w:rsid w:val="00DA61B8"/>
    <w:rsid w:val="00DA6258"/>
    <w:rsid w:val="00DA62EE"/>
    <w:rsid w:val="00DA6562"/>
    <w:rsid w:val="00DA664C"/>
    <w:rsid w:val="00DA668C"/>
    <w:rsid w:val="00DA66E7"/>
    <w:rsid w:val="00DA678A"/>
    <w:rsid w:val="00DA6B5C"/>
    <w:rsid w:val="00DA6FB9"/>
    <w:rsid w:val="00DA6FC5"/>
    <w:rsid w:val="00DA6FCD"/>
    <w:rsid w:val="00DA700D"/>
    <w:rsid w:val="00DA72AD"/>
    <w:rsid w:val="00DA72C0"/>
    <w:rsid w:val="00DA7377"/>
    <w:rsid w:val="00DA741E"/>
    <w:rsid w:val="00DA7684"/>
    <w:rsid w:val="00DA76A2"/>
    <w:rsid w:val="00DA77C7"/>
    <w:rsid w:val="00DA77ED"/>
    <w:rsid w:val="00DA7B6C"/>
    <w:rsid w:val="00DA7C41"/>
    <w:rsid w:val="00DA7D1C"/>
    <w:rsid w:val="00DA7E56"/>
    <w:rsid w:val="00DA7E5E"/>
    <w:rsid w:val="00DA7F15"/>
    <w:rsid w:val="00DA7FED"/>
    <w:rsid w:val="00DB00F5"/>
    <w:rsid w:val="00DB01BC"/>
    <w:rsid w:val="00DB02ED"/>
    <w:rsid w:val="00DB046E"/>
    <w:rsid w:val="00DB06B6"/>
    <w:rsid w:val="00DB092D"/>
    <w:rsid w:val="00DB0987"/>
    <w:rsid w:val="00DB0B52"/>
    <w:rsid w:val="00DB0B7C"/>
    <w:rsid w:val="00DB0B87"/>
    <w:rsid w:val="00DB0C9D"/>
    <w:rsid w:val="00DB0CFE"/>
    <w:rsid w:val="00DB0DD8"/>
    <w:rsid w:val="00DB0E64"/>
    <w:rsid w:val="00DB10AB"/>
    <w:rsid w:val="00DB111F"/>
    <w:rsid w:val="00DB112B"/>
    <w:rsid w:val="00DB11C0"/>
    <w:rsid w:val="00DB12D7"/>
    <w:rsid w:val="00DB1373"/>
    <w:rsid w:val="00DB14E0"/>
    <w:rsid w:val="00DB1761"/>
    <w:rsid w:val="00DB17A7"/>
    <w:rsid w:val="00DB192D"/>
    <w:rsid w:val="00DB19F1"/>
    <w:rsid w:val="00DB1A1B"/>
    <w:rsid w:val="00DB1B65"/>
    <w:rsid w:val="00DB1BAA"/>
    <w:rsid w:val="00DB1C3B"/>
    <w:rsid w:val="00DB1E46"/>
    <w:rsid w:val="00DB22F9"/>
    <w:rsid w:val="00DB2410"/>
    <w:rsid w:val="00DB2470"/>
    <w:rsid w:val="00DB26D4"/>
    <w:rsid w:val="00DB2720"/>
    <w:rsid w:val="00DB2764"/>
    <w:rsid w:val="00DB27A1"/>
    <w:rsid w:val="00DB28F1"/>
    <w:rsid w:val="00DB2941"/>
    <w:rsid w:val="00DB2C5C"/>
    <w:rsid w:val="00DB2C8E"/>
    <w:rsid w:val="00DB2C96"/>
    <w:rsid w:val="00DB2CAE"/>
    <w:rsid w:val="00DB2D4A"/>
    <w:rsid w:val="00DB2E9A"/>
    <w:rsid w:val="00DB2F16"/>
    <w:rsid w:val="00DB2F64"/>
    <w:rsid w:val="00DB3290"/>
    <w:rsid w:val="00DB330C"/>
    <w:rsid w:val="00DB34B4"/>
    <w:rsid w:val="00DB3530"/>
    <w:rsid w:val="00DB36E8"/>
    <w:rsid w:val="00DB38B5"/>
    <w:rsid w:val="00DB3A65"/>
    <w:rsid w:val="00DB3B1E"/>
    <w:rsid w:val="00DB3D42"/>
    <w:rsid w:val="00DB3DAB"/>
    <w:rsid w:val="00DB3E4F"/>
    <w:rsid w:val="00DB3EED"/>
    <w:rsid w:val="00DB40F8"/>
    <w:rsid w:val="00DB4459"/>
    <w:rsid w:val="00DB44FA"/>
    <w:rsid w:val="00DB45F6"/>
    <w:rsid w:val="00DB4718"/>
    <w:rsid w:val="00DB493D"/>
    <w:rsid w:val="00DB4AB2"/>
    <w:rsid w:val="00DB4AE5"/>
    <w:rsid w:val="00DB4B53"/>
    <w:rsid w:val="00DB4F89"/>
    <w:rsid w:val="00DB5107"/>
    <w:rsid w:val="00DB51E1"/>
    <w:rsid w:val="00DB5215"/>
    <w:rsid w:val="00DB54CD"/>
    <w:rsid w:val="00DB5527"/>
    <w:rsid w:val="00DB55E3"/>
    <w:rsid w:val="00DB567D"/>
    <w:rsid w:val="00DB5957"/>
    <w:rsid w:val="00DB59E5"/>
    <w:rsid w:val="00DB5AC5"/>
    <w:rsid w:val="00DB5BC1"/>
    <w:rsid w:val="00DB5BD1"/>
    <w:rsid w:val="00DB5E7E"/>
    <w:rsid w:val="00DB5F4A"/>
    <w:rsid w:val="00DB6069"/>
    <w:rsid w:val="00DB606A"/>
    <w:rsid w:val="00DB6175"/>
    <w:rsid w:val="00DB6190"/>
    <w:rsid w:val="00DB630E"/>
    <w:rsid w:val="00DB6454"/>
    <w:rsid w:val="00DB6535"/>
    <w:rsid w:val="00DB676A"/>
    <w:rsid w:val="00DB681E"/>
    <w:rsid w:val="00DB6A86"/>
    <w:rsid w:val="00DB6B8D"/>
    <w:rsid w:val="00DB6DF4"/>
    <w:rsid w:val="00DB6FAA"/>
    <w:rsid w:val="00DB70A8"/>
    <w:rsid w:val="00DB70EE"/>
    <w:rsid w:val="00DB729A"/>
    <w:rsid w:val="00DB77A1"/>
    <w:rsid w:val="00DB786A"/>
    <w:rsid w:val="00DB7905"/>
    <w:rsid w:val="00DB7A9A"/>
    <w:rsid w:val="00DB7B21"/>
    <w:rsid w:val="00DB7B72"/>
    <w:rsid w:val="00DB7C23"/>
    <w:rsid w:val="00DB7D66"/>
    <w:rsid w:val="00DB7DFF"/>
    <w:rsid w:val="00DB7E21"/>
    <w:rsid w:val="00DB7F28"/>
    <w:rsid w:val="00DC006C"/>
    <w:rsid w:val="00DC00D6"/>
    <w:rsid w:val="00DC019B"/>
    <w:rsid w:val="00DC0306"/>
    <w:rsid w:val="00DC0494"/>
    <w:rsid w:val="00DC0518"/>
    <w:rsid w:val="00DC0519"/>
    <w:rsid w:val="00DC05C4"/>
    <w:rsid w:val="00DC0738"/>
    <w:rsid w:val="00DC0748"/>
    <w:rsid w:val="00DC0A77"/>
    <w:rsid w:val="00DC0B38"/>
    <w:rsid w:val="00DC0CD9"/>
    <w:rsid w:val="00DC0DF3"/>
    <w:rsid w:val="00DC0FBA"/>
    <w:rsid w:val="00DC120D"/>
    <w:rsid w:val="00DC1279"/>
    <w:rsid w:val="00DC128A"/>
    <w:rsid w:val="00DC14B4"/>
    <w:rsid w:val="00DC151F"/>
    <w:rsid w:val="00DC159B"/>
    <w:rsid w:val="00DC15A5"/>
    <w:rsid w:val="00DC15AA"/>
    <w:rsid w:val="00DC1739"/>
    <w:rsid w:val="00DC1A67"/>
    <w:rsid w:val="00DC1A84"/>
    <w:rsid w:val="00DC1AFE"/>
    <w:rsid w:val="00DC1C35"/>
    <w:rsid w:val="00DC1CF4"/>
    <w:rsid w:val="00DC1D0C"/>
    <w:rsid w:val="00DC1DB3"/>
    <w:rsid w:val="00DC1E3F"/>
    <w:rsid w:val="00DC1E61"/>
    <w:rsid w:val="00DC1FC5"/>
    <w:rsid w:val="00DC1FDC"/>
    <w:rsid w:val="00DC23EF"/>
    <w:rsid w:val="00DC2686"/>
    <w:rsid w:val="00DC2688"/>
    <w:rsid w:val="00DC276D"/>
    <w:rsid w:val="00DC28B2"/>
    <w:rsid w:val="00DC2956"/>
    <w:rsid w:val="00DC2A0B"/>
    <w:rsid w:val="00DC2BA3"/>
    <w:rsid w:val="00DC2C20"/>
    <w:rsid w:val="00DC2C76"/>
    <w:rsid w:val="00DC2C93"/>
    <w:rsid w:val="00DC2F17"/>
    <w:rsid w:val="00DC2F1F"/>
    <w:rsid w:val="00DC33E6"/>
    <w:rsid w:val="00DC35D4"/>
    <w:rsid w:val="00DC36B8"/>
    <w:rsid w:val="00DC38EA"/>
    <w:rsid w:val="00DC39F5"/>
    <w:rsid w:val="00DC3A55"/>
    <w:rsid w:val="00DC3ABC"/>
    <w:rsid w:val="00DC3CD6"/>
    <w:rsid w:val="00DC3CDB"/>
    <w:rsid w:val="00DC3D86"/>
    <w:rsid w:val="00DC3E3E"/>
    <w:rsid w:val="00DC3E62"/>
    <w:rsid w:val="00DC3EF8"/>
    <w:rsid w:val="00DC3F52"/>
    <w:rsid w:val="00DC40D4"/>
    <w:rsid w:val="00DC4103"/>
    <w:rsid w:val="00DC4618"/>
    <w:rsid w:val="00DC4781"/>
    <w:rsid w:val="00DC48BE"/>
    <w:rsid w:val="00DC4915"/>
    <w:rsid w:val="00DC4AFB"/>
    <w:rsid w:val="00DC4B04"/>
    <w:rsid w:val="00DC4C72"/>
    <w:rsid w:val="00DC4D3F"/>
    <w:rsid w:val="00DC4E05"/>
    <w:rsid w:val="00DC4E60"/>
    <w:rsid w:val="00DC4FA0"/>
    <w:rsid w:val="00DC511F"/>
    <w:rsid w:val="00DC5174"/>
    <w:rsid w:val="00DC524B"/>
    <w:rsid w:val="00DC528D"/>
    <w:rsid w:val="00DC53A4"/>
    <w:rsid w:val="00DC547B"/>
    <w:rsid w:val="00DC54CF"/>
    <w:rsid w:val="00DC555C"/>
    <w:rsid w:val="00DC5564"/>
    <w:rsid w:val="00DC56DE"/>
    <w:rsid w:val="00DC57FF"/>
    <w:rsid w:val="00DC5882"/>
    <w:rsid w:val="00DC5948"/>
    <w:rsid w:val="00DC5984"/>
    <w:rsid w:val="00DC59E5"/>
    <w:rsid w:val="00DC5B20"/>
    <w:rsid w:val="00DC5C42"/>
    <w:rsid w:val="00DC5CC6"/>
    <w:rsid w:val="00DC5CD2"/>
    <w:rsid w:val="00DC5D07"/>
    <w:rsid w:val="00DC5EE9"/>
    <w:rsid w:val="00DC6095"/>
    <w:rsid w:val="00DC60DE"/>
    <w:rsid w:val="00DC63BC"/>
    <w:rsid w:val="00DC65F7"/>
    <w:rsid w:val="00DC6613"/>
    <w:rsid w:val="00DC6A4C"/>
    <w:rsid w:val="00DC6C6C"/>
    <w:rsid w:val="00DC6D7E"/>
    <w:rsid w:val="00DC6D8B"/>
    <w:rsid w:val="00DC6DC9"/>
    <w:rsid w:val="00DC6EA6"/>
    <w:rsid w:val="00DC6F3D"/>
    <w:rsid w:val="00DC6FEB"/>
    <w:rsid w:val="00DC700B"/>
    <w:rsid w:val="00DC726A"/>
    <w:rsid w:val="00DC72BF"/>
    <w:rsid w:val="00DC7471"/>
    <w:rsid w:val="00DC7615"/>
    <w:rsid w:val="00DC7737"/>
    <w:rsid w:val="00DC786A"/>
    <w:rsid w:val="00DC79C9"/>
    <w:rsid w:val="00DC79F4"/>
    <w:rsid w:val="00DC7A95"/>
    <w:rsid w:val="00DC7AB7"/>
    <w:rsid w:val="00DC7AD4"/>
    <w:rsid w:val="00DC7CF9"/>
    <w:rsid w:val="00DC7D51"/>
    <w:rsid w:val="00DC7EB8"/>
    <w:rsid w:val="00DC7ED0"/>
    <w:rsid w:val="00DD00D7"/>
    <w:rsid w:val="00DD017E"/>
    <w:rsid w:val="00DD033E"/>
    <w:rsid w:val="00DD0736"/>
    <w:rsid w:val="00DD07A2"/>
    <w:rsid w:val="00DD08E5"/>
    <w:rsid w:val="00DD0986"/>
    <w:rsid w:val="00DD0AEA"/>
    <w:rsid w:val="00DD0BAC"/>
    <w:rsid w:val="00DD0C29"/>
    <w:rsid w:val="00DD0CCE"/>
    <w:rsid w:val="00DD0CD2"/>
    <w:rsid w:val="00DD0CEA"/>
    <w:rsid w:val="00DD0E4B"/>
    <w:rsid w:val="00DD1001"/>
    <w:rsid w:val="00DD1018"/>
    <w:rsid w:val="00DD108F"/>
    <w:rsid w:val="00DD110D"/>
    <w:rsid w:val="00DD1115"/>
    <w:rsid w:val="00DD1203"/>
    <w:rsid w:val="00DD136F"/>
    <w:rsid w:val="00DD1377"/>
    <w:rsid w:val="00DD13DA"/>
    <w:rsid w:val="00DD1583"/>
    <w:rsid w:val="00DD17DF"/>
    <w:rsid w:val="00DD1B7A"/>
    <w:rsid w:val="00DD1C41"/>
    <w:rsid w:val="00DD1D50"/>
    <w:rsid w:val="00DD1D8D"/>
    <w:rsid w:val="00DD2030"/>
    <w:rsid w:val="00DD22F5"/>
    <w:rsid w:val="00DD236E"/>
    <w:rsid w:val="00DD23F8"/>
    <w:rsid w:val="00DD2732"/>
    <w:rsid w:val="00DD2764"/>
    <w:rsid w:val="00DD2902"/>
    <w:rsid w:val="00DD2953"/>
    <w:rsid w:val="00DD29EE"/>
    <w:rsid w:val="00DD2A84"/>
    <w:rsid w:val="00DD2B96"/>
    <w:rsid w:val="00DD2DD3"/>
    <w:rsid w:val="00DD2FAF"/>
    <w:rsid w:val="00DD2FEE"/>
    <w:rsid w:val="00DD305E"/>
    <w:rsid w:val="00DD312A"/>
    <w:rsid w:val="00DD32D6"/>
    <w:rsid w:val="00DD340F"/>
    <w:rsid w:val="00DD3433"/>
    <w:rsid w:val="00DD3495"/>
    <w:rsid w:val="00DD37E5"/>
    <w:rsid w:val="00DD396C"/>
    <w:rsid w:val="00DD3B62"/>
    <w:rsid w:val="00DD3CA6"/>
    <w:rsid w:val="00DD3CE0"/>
    <w:rsid w:val="00DD3D7E"/>
    <w:rsid w:val="00DD3DE7"/>
    <w:rsid w:val="00DD3EB2"/>
    <w:rsid w:val="00DD3F35"/>
    <w:rsid w:val="00DD3FA1"/>
    <w:rsid w:val="00DD412A"/>
    <w:rsid w:val="00DD45B0"/>
    <w:rsid w:val="00DD45C2"/>
    <w:rsid w:val="00DD4650"/>
    <w:rsid w:val="00DD46B3"/>
    <w:rsid w:val="00DD478D"/>
    <w:rsid w:val="00DD4813"/>
    <w:rsid w:val="00DD48FA"/>
    <w:rsid w:val="00DD4956"/>
    <w:rsid w:val="00DD4DBD"/>
    <w:rsid w:val="00DD4DBE"/>
    <w:rsid w:val="00DD4DF3"/>
    <w:rsid w:val="00DD4E2C"/>
    <w:rsid w:val="00DD4E42"/>
    <w:rsid w:val="00DD4FF5"/>
    <w:rsid w:val="00DD5049"/>
    <w:rsid w:val="00DD529A"/>
    <w:rsid w:val="00DD52A6"/>
    <w:rsid w:val="00DD5341"/>
    <w:rsid w:val="00DD5348"/>
    <w:rsid w:val="00DD53E9"/>
    <w:rsid w:val="00DD5583"/>
    <w:rsid w:val="00DD572C"/>
    <w:rsid w:val="00DD597C"/>
    <w:rsid w:val="00DD5AC4"/>
    <w:rsid w:val="00DD5EBB"/>
    <w:rsid w:val="00DD5EE2"/>
    <w:rsid w:val="00DD6187"/>
    <w:rsid w:val="00DD619B"/>
    <w:rsid w:val="00DD61B8"/>
    <w:rsid w:val="00DD62FE"/>
    <w:rsid w:val="00DD640F"/>
    <w:rsid w:val="00DD6436"/>
    <w:rsid w:val="00DD6497"/>
    <w:rsid w:val="00DD65D4"/>
    <w:rsid w:val="00DD6750"/>
    <w:rsid w:val="00DD6AD7"/>
    <w:rsid w:val="00DD6ADC"/>
    <w:rsid w:val="00DD6BF9"/>
    <w:rsid w:val="00DD6C33"/>
    <w:rsid w:val="00DD6C82"/>
    <w:rsid w:val="00DD6CC9"/>
    <w:rsid w:val="00DD6E90"/>
    <w:rsid w:val="00DD6F04"/>
    <w:rsid w:val="00DD703F"/>
    <w:rsid w:val="00DD70AE"/>
    <w:rsid w:val="00DD726C"/>
    <w:rsid w:val="00DD72D4"/>
    <w:rsid w:val="00DD7429"/>
    <w:rsid w:val="00DD74B1"/>
    <w:rsid w:val="00DD78AF"/>
    <w:rsid w:val="00DD799D"/>
    <w:rsid w:val="00DD7B27"/>
    <w:rsid w:val="00DD7B71"/>
    <w:rsid w:val="00DD7BBE"/>
    <w:rsid w:val="00DD7C86"/>
    <w:rsid w:val="00DD7DA0"/>
    <w:rsid w:val="00DD7E87"/>
    <w:rsid w:val="00DD7F20"/>
    <w:rsid w:val="00DD7F9D"/>
    <w:rsid w:val="00DD7FD7"/>
    <w:rsid w:val="00DE00C3"/>
    <w:rsid w:val="00DE00C4"/>
    <w:rsid w:val="00DE02D1"/>
    <w:rsid w:val="00DE049B"/>
    <w:rsid w:val="00DE05E3"/>
    <w:rsid w:val="00DE05EE"/>
    <w:rsid w:val="00DE05FB"/>
    <w:rsid w:val="00DE060B"/>
    <w:rsid w:val="00DE08B6"/>
    <w:rsid w:val="00DE090C"/>
    <w:rsid w:val="00DE0BC1"/>
    <w:rsid w:val="00DE0C06"/>
    <w:rsid w:val="00DE0C6D"/>
    <w:rsid w:val="00DE0D0A"/>
    <w:rsid w:val="00DE0E2F"/>
    <w:rsid w:val="00DE0F7F"/>
    <w:rsid w:val="00DE1040"/>
    <w:rsid w:val="00DE1047"/>
    <w:rsid w:val="00DE109D"/>
    <w:rsid w:val="00DE1131"/>
    <w:rsid w:val="00DE1150"/>
    <w:rsid w:val="00DE1331"/>
    <w:rsid w:val="00DE13C8"/>
    <w:rsid w:val="00DE1547"/>
    <w:rsid w:val="00DE17DF"/>
    <w:rsid w:val="00DE17FA"/>
    <w:rsid w:val="00DE194F"/>
    <w:rsid w:val="00DE1A1D"/>
    <w:rsid w:val="00DE1ABA"/>
    <w:rsid w:val="00DE1AC3"/>
    <w:rsid w:val="00DE1BA8"/>
    <w:rsid w:val="00DE1C2D"/>
    <w:rsid w:val="00DE1C8B"/>
    <w:rsid w:val="00DE1CA7"/>
    <w:rsid w:val="00DE1D12"/>
    <w:rsid w:val="00DE1DBB"/>
    <w:rsid w:val="00DE1E5A"/>
    <w:rsid w:val="00DE21A3"/>
    <w:rsid w:val="00DE21A6"/>
    <w:rsid w:val="00DE243F"/>
    <w:rsid w:val="00DE24E7"/>
    <w:rsid w:val="00DE2559"/>
    <w:rsid w:val="00DE2597"/>
    <w:rsid w:val="00DE25C8"/>
    <w:rsid w:val="00DE25E2"/>
    <w:rsid w:val="00DE2770"/>
    <w:rsid w:val="00DE282F"/>
    <w:rsid w:val="00DE2B03"/>
    <w:rsid w:val="00DE2DB6"/>
    <w:rsid w:val="00DE2DE2"/>
    <w:rsid w:val="00DE2E2B"/>
    <w:rsid w:val="00DE2ECB"/>
    <w:rsid w:val="00DE3454"/>
    <w:rsid w:val="00DE34B0"/>
    <w:rsid w:val="00DE34BB"/>
    <w:rsid w:val="00DE3636"/>
    <w:rsid w:val="00DE363F"/>
    <w:rsid w:val="00DE3AAC"/>
    <w:rsid w:val="00DE3C49"/>
    <w:rsid w:val="00DE3C66"/>
    <w:rsid w:val="00DE3CD9"/>
    <w:rsid w:val="00DE3E69"/>
    <w:rsid w:val="00DE3FBA"/>
    <w:rsid w:val="00DE3FF6"/>
    <w:rsid w:val="00DE4098"/>
    <w:rsid w:val="00DE410E"/>
    <w:rsid w:val="00DE4315"/>
    <w:rsid w:val="00DE448D"/>
    <w:rsid w:val="00DE4632"/>
    <w:rsid w:val="00DE46D3"/>
    <w:rsid w:val="00DE4A41"/>
    <w:rsid w:val="00DE4AF1"/>
    <w:rsid w:val="00DE4B0D"/>
    <w:rsid w:val="00DE4B9D"/>
    <w:rsid w:val="00DE4EA3"/>
    <w:rsid w:val="00DE4FAE"/>
    <w:rsid w:val="00DE4FCF"/>
    <w:rsid w:val="00DE50B9"/>
    <w:rsid w:val="00DE50EE"/>
    <w:rsid w:val="00DE50F0"/>
    <w:rsid w:val="00DE51AB"/>
    <w:rsid w:val="00DE524E"/>
    <w:rsid w:val="00DE52B6"/>
    <w:rsid w:val="00DE53B4"/>
    <w:rsid w:val="00DE544B"/>
    <w:rsid w:val="00DE546C"/>
    <w:rsid w:val="00DE5473"/>
    <w:rsid w:val="00DE54BF"/>
    <w:rsid w:val="00DE5585"/>
    <w:rsid w:val="00DE57B0"/>
    <w:rsid w:val="00DE5847"/>
    <w:rsid w:val="00DE5896"/>
    <w:rsid w:val="00DE58DF"/>
    <w:rsid w:val="00DE5972"/>
    <w:rsid w:val="00DE5A97"/>
    <w:rsid w:val="00DE5AC2"/>
    <w:rsid w:val="00DE5B0F"/>
    <w:rsid w:val="00DE5D11"/>
    <w:rsid w:val="00DE5D82"/>
    <w:rsid w:val="00DE5E18"/>
    <w:rsid w:val="00DE5E84"/>
    <w:rsid w:val="00DE5EC5"/>
    <w:rsid w:val="00DE5ED2"/>
    <w:rsid w:val="00DE5EEB"/>
    <w:rsid w:val="00DE5F17"/>
    <w:rsid w:val="00DE6189"/>
    <w:rsid w:val="00DE63B9"/>
    <w:rsid w:val="00DE6568"/>
    <w:rsid w:val="00DE6624"/>
    <w:rsid w:val="00DE662F"/>
    <w:rsid w:val="00DE67FE"/>
    <w:rsid w:val="00DE68CD"/>
    <w:rsid w:val="00DE6A31"/>
    <w:rsid w:val="00DE6ACD"/>
    <w:rsid w:val="00DE6B6A"/>
    <w:rsid w:val="00DE6CA9"/>
    <w:rsid w:val="00DE6D45"/>
    <w:rsid w:val="00DE6D4F"/>
    <w:rsid w:val="00DE6E64"/>
    <w:rsid w:val="00DE7061"/>
    <w:rsid w:val="00DE717D"/>
    <w:rsid w:val="00DE7270"/>
    <w:rsid w:val="00DE737F"/>
    <w:rsid w:val="00DE73AE"/>
    <w:rsid w:val="00DE73CE"/>
    <w:rsid w:val="00DE73E2"/>
    <w:rsid w:val="00DE7451"/>
    <w:rsid w:val="00DE75FF"/>
    <w:rsid w:val="00DE783E"/>
    <w:rsid w:val="00DE78F0"/>
    <w:rsid w:val="00DE7909"/>
    <w:rsid w:val="00DE793D"/>
    <w:rsid w:val="00DE7A1E"/>
    <w:rsid w:val="00DE7AFB"/>
    <w:rsid w:val="00DE7BEA"/>
    <w:rsid w:val="00DE7C46"/>
    <w:rsid w:val="00DE7D47"/>
    <w:rsid w:val="00DE7D79"/>
    <w:rsid w:val="00DE7DBB"/>
    <w:rsid w:val="00DE7E49"/>
    <w:rsid w:val="00DE7EF7"/>
    <w:rsid w:val="00DE7F33"/>
    <w:rsid w:val="00DF002E"/>
    <w:rsid w:val="00DF0072"/>
    <w:rsid w:val="00DF0175"/>
    <w:rsid w:val="00DF01E7"/>
    <w:rsid w:val="00DF01F4"/>
    <w:rsid w:val="00DF025B"/>
    <w:rsid w:val="00DF02CB"/>
    <w:rsid w:val="00DF03F4"/>
    <w:rsid w:val="00DF04D6"/>
    <w:rsid w:val="00DF05C1"/>
    <w:rsid w:val="00DF07BE"/>
    <w:rsid w:val="00DF0829"/>
    <w:rsid w:val="00DF0926"/>
    <w:rsid w:val="00DF0B2B"/>
    <w:rsid w:val="00DF0C0F"/>
    <w:rsid w:val="00DF0CA2"/>
    <w:rsid w:val="00DF0EB6"/>
    <w:rsid w:val="00DF1076"/>
    <w:rsid w:val="00DF10BC"/>
    <w:rsid w:val="00DF11CD"/>
    <w:rsid w:val="00DF138A"/>
    <w:rsid w:val="00DF13A1"/>
    <w:rsid w:val="00DF142D"/>
    <w:rsid w:val="00DF16F6"/>
    <w:rsid w:val="00DF1705"/>
    <w:rsid w:val="00DF1B08"/>
    <w:rsid w:val="00DF1BF0"/>
    <w:rsid w:val="00DF1BF2"/>
    <w:rsid w:val="00DF1C27"/>
    <w:rsid w:val="00DF1C95"/>
    <w:rsid w:val="00DF1D28"/>
    <w:rsid w:val="00DF1D5A"/>
    <w:rsid w:val="00DF1E44"/>
    <w:rsid w:val="00DF225F"/>
    <w:rsid w:val="00DF2305"/>
    <w:rsid w:val="00DF23F6"/>
    <w:rsid w:val="00DF2431"/>
    <w:rsid w:val="00DF2462"/>
    <w:rsid w:val="00DF256D"/>
    <w:rsid w:val="00DF2639"/>
    <w:rsid w:val="00DF26FB"/>
    <w:rsid w:val="00DF2776"/>
    <w:rsid w:val="00DF2837"/>
    <w:rsid w:val="00DF288C"/>
    <w:rsid w:val="00DF28E1"/>
    <w:rsid w:val="00DF2986"/>
    <w:rsid w:val="00DF2A60"/>
    <w:rsid w:val="00DF2CFF"/>
    <w:rsid w:val="00DF2E54"/>
    <w:rsid w:val="00DF2F4D"/>
    <w:rsid w:val="00DF2FC4"/>
    <w:rsid w:val="00DF30DF"/>
    <w:rsid w:val="00DF3185"/>
    <w:rsid w:val="00DF31E1"/>
    <w:rsid w:val="00DF3317"/>
    <w:rsid w:val="00DF340F"/>
    <w:rsid w:val="00DF35B5"/>
    <w:rsid w:val="00DF39A4"/>
    <w:rsid w:val="00DF39C4"/>
    <w:rsid w:val="00DF3B15"/>
    <w:rsid w:val="00DF3CB4"/>
    <w:rsid w:val="00DF3DE5"/>
    <w:rsid w:val="00DF3E42"/>
    <w:rsid w:val="00DF3E88"/>
    <w:rsid w:val="00DF3EFC"/>
    <w:rsid w:val="00DF3F29"/>
    <w:rsid w:val="00DF3F58"/>
    <w:rsid w:val="00DF4151"/>
    <w:rsid w:val="00DF4201"/>
    <w:rsid w:val="00DF4342"/>
    <w:rsid w:val="00DF4483"/>
    <w:rsid w:val="00DF4612"/>
    <w:rsid w:val="00DF469F"/>
    <w:rsid w:val="00DF48E9"/>
    <w:rsid w:val="00DF4D6C"/>
    <w:rsid w:val="00DF4E73"/>
    <w:rsid w:val="00DF524C"/>
    <w:rsid w:val="00DF53FB"/>
    <w:rsid w:val="00DF54B6"/>
    <w:rsid w:val="00DF561A"/>
    <w:rsid w:val="00DF56D4"/>
    <w:rsid w:val="00DF59F1"/>
    <w:rsid w:val="00DF5A82"/>
    <w:rsid w:val="00DF5B1C"/>
    <w:rsid w:val="00DF5B47"/>
    <w:rsid w:val="00DF5D0D"/>
    <w:rsid w:val="00DF60DA"/>
    <w:rsid w:val="00DF60E7"/>
    <w:rsid w:val="00DF6239"/>
    <w:rsid w:val="00DF63AE"/>
    <w:rsid w:val="00DF6471"/>
    <w:rsid w:val="00DF657F"/>
    <w:rsid w:val="00DF6609"/>
    <w:rsid w:val="00DF666B"/>
    <w:rsid w:val="00DF671D"/>
    <w:rsid w:val="00DF6862"/>
    <w:rsid w:val="00DF6BC3"/>
    <w:rsid w:val="00DF6BE0"/>
    <w:rsid w:val="00DF6D55"/>
    <w:rsid w:val="00DF6F16"/>
    <w:rsid w:val="00DF6F1C"/>
    <w:rsid w:val="00DF70F3"/>
    <w:rsid w:val="00DF71EF"/>
    <w:rsid w:val="00DF726F"/>
    <w:rsid w:val="00DF7385"/>
    <w:rsid w:val="00DF7490"/>
    <w:rsid w:val="00DF7548"/>
    <w:rsid w:val="00DF7679"/>
    <w:rsid w:val="00DF781C"/>
    <w:rsid w:val="00DF782B"/>
    <w:rsid w:val="00DF7A39"/>
    <w:rsid w:val="00DF7B6E"/>
    <w:rsid w:val="00DF7F25"/>
    <w:rsid w:val="00DF7F4E"/>
    <w:rsid w:val="00E00029"/>
    <w:rsid w:val="00E00047"/>
    <w:rsid w:val="00E00073"/>
    <w:rsid w:val="00E001CD"/>
    <w:rsid w:val="00E00499"/>
    <w:rsid w:val="00E00545"/>
    <w:rsid w:val="00E0066F"/>
    <w:rsid w:val="00E00A0B"/>
    <w:rsid w:val="00E00B22"/>
    <w:rsid w:val="00E00C74"/>
    <w:rsid w:val="00E0153E"/>
    <w:rsid w:val="00E01629"/>
    <w:rsid w:val="00E01684"/>
    <w:rsid w:val="00E01747"/>
    <w:rsid w:val="00E017D3"/>
    <w:rsid w:val="00E01877"/>
    <w:rsid w:val="00E019A4"/>
    <w:rsid w:val="00E019F0"/>
    <w:rsid w:val="00E019FE"/>
    <w:rsid w:val="00E01A34"/>
    <w:rsid w:val="00E01C5B"/>
    <w:rsid w:val="00E01CB1"/>
    <w:rsid w:val="00E01E19"/>
    <w:rsid w:val="00E01F5E"/>
    <w:rsid w:val="00E02156"/>
    <w:rsid w:val="00E021D8"/>
    <w:rsid w:val="00E022C6"/>
    <w:rsid w:val="00E02331"/>
    <w:rsid w:val="00E0248E"/>
    <w:rsid w:val="00E025AF"/>
    <w:rsid w:val="00E0280D"/>
    <w:rsid w:val="00E02A29"/>
    <w:rsid w:val="00E02ABF"/>
    <w:rsid w:val="00E02C19"/>
    <w:rsid w:val="00E02C2E"/>
    <w:rsid w:val="00E03010"/>
    <w:rsid w:val="00E030ED"/>
    <w:rsid w:val="00E03267"/>
    <w:rsid w:val="00E03316"/>
    <w:rsid w:val="00E0362E"/>
    <w:rsid w:val="00E03639"/>
    <w:rsid w:val="00E036AB"/>
    <w:rsid w:val="00E0370C"/>
    <w:rsid w:val="00E03805"/>
    <w:rsid w:val="00E03885"/>
    <w:rsid w:val="00E03A7D"/>
    <w:rsid w:val="00E03AB8"/>
    <w:rsid w:val="00E03D2F"/>
    <w:rsid w:val="00E03F82"/>
    <w:rsid w:val="00E03FB0"/>
    <w:rsid w:val="00E03FC9"/>
    <w:rsid w:val="00E040DF"/>
    <w:rsid w:val="00E04235"/>
    <w:rsid w:val="00E04291"/>
    <w:rsid w:val="00E0449D"/>
    <w:rsid w:val="00E044BF"/>
    <w:rsid w:val="00E04551"/>
    <w:rsid w:val="00E04552"/>
    <w:rsid w:val="00E04605"/>
    <w:rsid w:val="00E0467A"/>
    <w:rsid w:val="00E0478A"/>
    <w:rsid w:val="00E0484B"/>
    <w:rsid w:val="00E048BE"/>
    <w:rsid w:val="00E0490C"/>
    <w:rsid w:val="00E04A50"/>
    <w:rsid w:val="00E04BE0"/>
    <w:rsid w:val="00E04C0D"/>
    <w:rsid w:val="00E04D50"/>
    <w:rsid w:val="00E04EE7"/>
    <w:rsid w:val="00E04FF5"/>
    <w:rsid w:val="00E0502A"/>
    <w:rsid w:val="00E051E9"/>
    <w:rsid w:val="00E053AA"/>
    <w:rsid w:val="00E05A11"/>
    <w:rsid w:val="00E06092"/>
    <w:rsid w:val="00E060C2"/>
    <w:rsid w:val="00E06520"/>
    <w:rsid w:val="00E06557"/>
    <w:rsid w:val="00E06623"/>
    <w:rsid w:val="00E06686"/>
    <w:rsid w:val="00E066A1"/>
    <w:rsid w:val="00E06717"/>
    <w:rsid w:val="00E067D7"/>
    <w:rsid w:val="00E06A3F"/>
    <w:rsid w:val="00E06C3A"/>
    <w:rsid w:val="00E06C4B"/>
    <w:rsid w:val="00E06CF5"/>
    <w:rsid w:val="00E06E96"/>
    <w:rsid w:val="00E07011"/>
    <w:rsid w:val="00E07013"/>
    <w:rsid w:val="00E0707C"/>
    <w:rsid w:val="00E07306"/>
    <w:rsid w:val="00E073A1"/>
    <w:rsid w:val="00E075CA"/>
    <w:rsid w:val="00E0785E"/>
    <w:rsid w:val="00E07A12"/>
    <w:rsid w:val="00E07A53"/>
    <w:rsid w:val="00E07A59"/>
    <w:rsid w:val="00E07B8D"/>
    <w:rsid w:val="00E07BC4"/>
    <w:rsid w:val="00E07CB1"/>
    <w:rsid w:val="00E10171"/>
    <w:rsid w:val="00E10263"/>
    <w:rsid w:val="00E1038C"/>
    <w:rsid w:val="00E103A0"/>
    <w:rsid w:val="00E104E9"/>
    <w:rsid w:val="00E10788"/>
    <w:rsid w:val="00E10797"/>
    <w:rsid w:val="00E108DD"/>
    <w:rsid w:val="00E10BFA"/>
    <w:rsid w:val="00E10CAF"/>
    <w:rsid w:val="00E10D27"/>
    <w:rsid w:val="00E10DDD"/>
    <w:rsid w:val="00E10DEE"/>
    <w:rsid w:val="00E10E5A"/>
    <w:rsid w:val="00E10EC4"/>
    <w:rsid w:val="00E111A4"/>
    <w:rsid w:val="00E1148D"/>
    <w:rsid w:val="00E114BD"/>
    <w:rsid w:val="00E11506"/>
    <w:rsid w:val="00E11594"/>
    <w:rsid w:val="00E1160F"/>
    <w:rsid w:val="00E11612"/>
    <w:rsid w:val="00E1165C"/>
    <w:rsid w:val="00E11798"/>
    <w:rsid w:val="00E117D5"/>
    <w:rsid w:val="00E118F5"/>
    <w:rsid w:val="00E118FC"/>
    <w:rsid w:val="00E11BDB"/>
    <w:rsid w:val="00E11C05"/>
    <w:rsid w:val="00E11E94"/>
    <w:rsid w:val="00E11F5A"/>
    <w:rsid w:val="00E11FD0"/>
    <w:rsid w:val="00E1225F"/>
    <w:rsid w:val="00E122D0"/>
    <w:rsid w:val="00E12415"/>
    <w:rsid w:val="00E124F9"/>
    <w:rsid w:val="00E12528"/>
    <w:rsid w:val="00E125A9"/>
    <w:rsid w:val="00E125CE"/>
    <w:rsid w:val="00E126A2"/>
    <w:rsid w:val="00E12704"/>
    <w:rsid w:val="00E1272E"/>
    <w:rsid w:val="00E1273A"/>
    <w:rsid w:val="00E12835"/>
    <w:rsid w:val="00E12B2B"/>
    <w:rsid w:val="00E12BA1"/>
    <w:rsid w:val="00E12C0F"/>
    <w:rsid w:val="00E12DDD"/>
    <w:rsid w:val="00E12E54"/>
    <w:rsid w:val="00E12EBF"/>
    <w:rsid w:val="00E12FF7"/>
    <w:rsid w:val="00E1337D"/>
    <w:rsid w:val="00E13453"/>
    <w:rsid w:val="00E13666"/>
    <w:rsid w:val="00E1369C"/>
    <w:rsid w:val="00E13717"/>
    <w:rsid w:val="00E13720"/>
    <w:rsid w:val="00E1380D"/>
    <w:rsid w:val="00E13ABA"/>
    <w:rsid w:val="00E13ADB"/>
    <w:rsid w:val="00E13AEA"/>
    <w:rsid w:val="00E13B53"/>
    <w:rsid w:val="00E13D8A"/>
    <w:rsid w:val="00E13E57"/>
    <w:rsid w:val="00E13E6C"/>
    <w:rsid w:val="00E13F8D"/>
    <w:rsid w:val="00E140AD"/>
    <w:rsid w:val="00E143C8"/>
    <w:rsid w:val="00E143DC"/>
    <w:rsid w:val="00E144D5"/>
    <w:rsid w:val="00E1469B"/>
    <w:rsid w:val="00E147C2"/>
    <w:rsid w:val="00E14808"/>
    <w:rsid w:val="00E148AE"/>
    <w:rsid w:val="00E148BA"/>
    <w:rsid w:val="00E148DE"/>
    <w:rsid w:val="00E148FE"/>
    <w:rsid w:val="00E14930"/>
    <w:rsid w:val="00E14AB8"/>
    <w:rsid w:val="00E14D34"/>
    <w:rsid w:val="00E14F9D"/>
    <w:rsid w:val="00E150EB"/>
    <w:rsid w:val="00E15133"/>
    <w:rsid w:val="00E155A5"/>
    <w:rsid w:val="00E156AB"/>
    <w:rsid w:val="00E1571D"/>
    <w:rsid w:val="00E15829"/>
    <w:rsid w:val="00E15857"/>
    <w:rsid w:val="00E1585B"/>
    <w:rsid w:val="00E158BB"/>
    <w:rsid w:val="00E159B8"/>
    <w:rsid w:val="00E15A62"/>
    <w:rsid w:val="00E15B8E"/>
    <w:rsid w:val="00E15BB2"/>
    <w:rsid w:val="00E15D2C"/>
    <w:rsid w:val="00E15E4D"/>
    <w:rsid w:val="00E161A2"/>
    <w:rsid w:val="00E161C0"/>
    <w:rsid w:val="00E163B7"/>
    <w:rsid w:val="00E163C0"/>
    <w:rsid w:val="00E163CB"/>
    <w:rsid w:val="00E16437"/>
    <w:rsid w:val="00E16612"/>
    <w:rsid w:val="00E1661B"/>
    <w:rsid w:val="00E166E4"/>
    <w:rsid w:val="00E16794"/>
    <w:rsid w:val="00E167FC"/>
    <w:rsid w:val="00E16C9B"/>
    <w:rsid w:val="00E16E08"/>
    <w:rsid w:val="00E16EA8"/>
    <w:rsid w:val="00E16EDF"/>
    <w:rsid w:val="00E16FA8"/>
    <w:rsid w:val="00E1703F"/>
    <w:rsid w:val="00E17146"/>
    <w:rsid w:val="00E171A7"/>
    <w:rsid w:val="00E171E5"/>
    <w:rsid w:val="00E17238"/>
    <w:rsid w:val="00E17386"/>
    <w:rsid w:val="00E174FD"/>
    <w:rsid w:val="00E17630"/>
    <w:rsid w:val="00E176E4"/>
    <w:rsid w:val="00E177B7"/>
    <w:rsid w:val="00E17813"/>
    <w:rsid w:val="00E178D5"/>
    <w:rsid w:val="00E17A5F"/>
    <w:rsid w:val="00E17B74"/>
    <w:rsid w:val="00E17D4F"/>
    <w:rsid w:val="00E17DA2"/>
    <w:rsid w:val="00E17DA8"/>
    <w:rsid w:val="00E17DDD"/>
    <w:rsid w:val="00E17E56"/>
    <w:rsid w:val="00E17E71"/>
    <w:rsid w:val="00E17F2E"/>
    <w:rsid w:val="00E2026F"/>
    <w:rsid w:val="00E20364"/>
    <w:rsid w:val="00E203E7"/>
    <w:rsid w:val="00E20414"/>
    <w:rsid w:val="00E2046D"/>
    <w:rsid w:val="00E2047D"/>
    <w:rsid w:val="00E207D1"/>
    <w:rsid w:val="00E208CC"/>
    <w:rsid w:val="00E20905"/>
    <w:rsid w:val="00E20917"/>
    <w:rsid w:val="00E2092A"/>
    <w:rsid w:val="00E20B28"/>
    <w:rsid w:val="00E20BF5"/>
    <w:rsid w:val="00E20D09"/>
    <w:rsid w:val="00E20D5C"/>
    <w:rsid w:val="00E20D96"/>
    <w:rsid w:val="00E20E85"/>
    <w:rsid w:val="00E20E9E"/>
    <w:rsid w:val="00E20F2D"/>
    <w:rsid w:val="00E20FEE"/>
    <w:rsid w:val="00E21031"/>
    <w:rsid w:val="00E21033"/>
    <w:rsid w:val="00E210D3"/>
    <w:rsid w:val="00E21106"/>
    <w:rsid w:val="00E2127F"/>
    <w:rsid w:val="00E212E8"/>
    <w:rsid w:val="00E21504"/>
    <w:rsid w:val="00E21507"/>
    <w:rsid w:val="00E2150E"/>
    <w:rsid w:val="00E216EE"/>
    <w:rsid w:val="00E21790"/>
    <w:rsid w:val="00E217CC"/>
    <w:rsid w:val="00E2193F"/>
    <w:rsid w:val="00E219F9"/>
    <w:rsid w:val="00E21A05"/>
    <w:rsid w:val="00E21CC4"/>
    <w:rsid w:val="00E21E30"/>
    <w:rsid w:val="00E21F9E"/>
    <w:rsid w:val="00E2213F"/>
    <w:rsid w:val="00E22204"/>
    <w:rsid w:val="00E2220A"/>
    <w:rsid w:val="00E22280"/>
    <w:rsid w:val="00E22357"/>
    <w:rsid w:val="00E2259B"/>
    <w:rsid w:val="00E228EA"/>
    <w:rsid w:val="00E228F5"/>
    <w:rsid w:val="00E22A7D"/>
    <w:rsid w:val="00E22B90"/>
    <w:rsid w:val="00E22BB6"/>
    <w:rsid w:val="00E22BC9"/>
    <w:rsid w:val="00E22CD0"/>
    <w:rsid w:val="00E22D9E"/>
    <w:rsid w:val="00E22E0E"/>
    <w:rsid w:val="00E22E3D"/>
    <w:rsid w:val="00E22E4F"/>
    <w:rsid w:val="00E23183"/>
    <w:rsid w:val="00E2322D"/>
    <w:rsid w:val="00E23246"/>
    <w:rsid w:val="00E232D1"/>
    <w:rsid w:val="00E23379"/>
    <w:rsid w:val="00E234EF"/>
    <w:rsid w:val="00E235C2"/>
    <w:rsid w:val="00E23681"/>
    <w:rsid w:val="00E236DB"/>
    <w:rsid w:val="00E2398B"/>
    <w:rsid w:val="00E239DD"/>
    <w:rsid w:val="00E23ACF"/>
    <w:rsid w:val="00E23B91"/>
    <w:rsid w:val="00E23B9C"/>
    <w:rsid w:val="00E23BD2"/>
    <w:rsid w:val="00E23CE1"/>
    <w:rsid w:val="00E23E61"/>
    <w:rsid w:val="00E23E70"/>
    <w:rsid w:val="00E24114"/>
    <w:rsid w:val="00E2432E"/>
    <w:rsid w:val="00E24545"/>
    <w:rsid w:val="00E24572"/>
    <w:rsid w:val="00E246F1"/>
    <w:rsid w:val="00E2477B"/>
    <w:rsid w:val="00E247EA"/>
    <w:rsid w:val="00E248EC"/>
    <w:rsid w:val="00E249DD"/>
    <w:rsid w:val="00E24E20"/>
    <w:rsid w:val="00E24F37"/>
    <w:rsid w:val="00E24F70"/>
    <w:rsid w:val="00E24F85"/>
    <w:rsid w:val="00E25192"/>
    <w:rsid w:val="00E253AF"/>
    <w:rsid w:val="00E255C8"/>
    <w:rsid w:val="00E2565A"/>
    <w:rsid w:val="00E258E5"/>
    <w:rsid w:val="00E259E1"/>
    <w:rsid w:val="00E25A13"/>
    <w:rsid w:val="00E25B9C"/>
    <w:rsid w:val="00E25D05"/>
    <w:rsid w:val="00E25D40"/>
    <w:rsid w:val="00E25E25"/>
    <w:rsid w:val="00E25E26"/>
    <w:rsid w:val="00E26053"/>
    <w:rsid w:val="00E260AA"/>
    <w:rsid w:val="00E261F9"/>
    <w:rsid w:val="00E2620A"/>
    <w:rsid w:val="00E26297"/>
    <w:rsid w:val="00E264F1"/>
    <w:rsid w:val="00E265AD"/>
    <w:rsid w:val="00E265E0"/>
    <w:rsid w:val="00E26679"/>
    <w:rsid w:val="00E2671A"/>
    <w:rsid w:val="00E2692E"/>
    <w:rsid w:val="00E26989"/>
    <w:rsid w:val="00E269AD"/>
    <w:rsid w:val="00E26A18"/>
    <w:rsid w:val="00E26C17"/>
    <w:rsid w:val="00E26C2C"/>
    <w:rsid w:val="00E26CCE"/>
    <w:rsid w:val="00E26EA6"/>
    <w:rsid w:val="00E26EF1"/>
    <w:rsid w:val="00E271C3"/>
    <w:rsid w:val="00E273E5"/>
    <w:rsid w:val="00E27487"/>
    <w:rsid w:val="00E274A7"/>
    <w:rsid w:val="00E27642"/>
    <w:rsid w:val="00E276D8"/>
    <w:rsid w:val="00E279F9"/>
    <w:rsid w:val="00E27C94"/>
    <w:rsid w:val="00E27D44"/>
    <w:rsid w:val="00E27DDA"/>
    <w:rsid w:val="00E27F1D"/>
    <w:rsid w:val="00E27FA9"/>
    <w:rsid w:val="00E30010"/>
    <w:rsid w:val="00E300D0"/>
    <w:rsid w:val="00E30218"/>
    <w:rsid w:val="00E30297"/>
    <w:rsid w:val="00E3047A"/>
    <w:rsid w:val="00E30645"/>
    <w:rsid w:val="00E30BE1"/>
    <w:rsid w:val="00E30C84"/>
    <w:rsid w:val="00E310F7"/>
    <w:rsid w:val="00E31199"/>
    <w:rsid w:val="00E31333"/>
    <w:rsid w:val="00E3158B"/>
    <w:rsid w:val="00E3189C"/>
    <w:rsid w:val="00E318F9"/>
    <w:rsid w:val="00E31919"/>
    <w:rsid w:val="00E3191E"/>
    <w:rsid w:val="00E31D8C"/>
    <w:rsid w:val="00E32006"/>
    <w:rsid w:val="00E32050"/>
    <w:rsid w:val="00E32272"/>
    <w:rsid w:val="00E322A3"/>
    <w:rsid w:val="00E32374"/>
    <w:rsid w:val="00E323E5"/>
    <w:rsid w:val="00E3266A"/>
    <w:rsid w:val="00E3296A"/>
    <w:rsid w:val="00E32970"/>
    <w:rsid w:val="00E3297C"/>
    <w:rsid w:val="00E32AE6"/>
    <w:rsid w:val="00E32BBB"/>
    <w:rsid w:val="00E32D12"/>
    <w:rsid w:val="00E32DDE"/>
    <w:rsid w:val="00E32ED1"/>
    <w:rsid w:val="00E32F15"/>
    <w:rsid w:val="00E32FD2"/>
    <w:rsid w:val="00E330F7"/>
    <w:rsid w:val="00E3310A"/>
    <w:rsid w:val="00E33172"/>
    <w:rsid w:val="00E3319F"/>
    <w:rsid w:val="00E332B5"/>
    <w:rsid w:val="00E333F9"/>
    <w:rsid w:val="00E3340D"/>
    <w:rsid w:val="00E33410"/>
    <w:rsid w:val="00E334E9"/>
    <w:rsid w:val="00E3364A"/>
    <w:rsid w:val="00E3368A"/>
    <w:rsid w:val="00E336A8"/>
    <w:rsid w:val="00E33752"/>
    <w:rsid w:val="00E33888"/>
    <w:rsid w:val="00E339F2"/>
    <w:rsid w:val="00E33B1B"/>
    <w:rsid w:val="00E33B21"/>
    <w:rsid w:val="00E33B63"/>
    <w:rsid w:val="00E33B88"/>
    <w:rsid w:val="00E33BEB"/>
    <w:rsid w:val="00E33BF1"/>
    <w:rsid w:val="00E33DC1"/>
    <w:rsid w:val="00E33E06"/>
    <w:rsid w:val="00E33F92"/>
    <w:rsid w:val="00E33FF6"/>
    <w:rsid w:val="00E34036"/>
    <w:rsid w:val="00E3403D"/>
    <w:rsid w:val="00E340A4"/>
    <w:rsid w:val="00E343C3"/>
    <w:rsid w:val="00E34454"/>
    <w:rsid w:val="00E3457E"/>
    <w:rsid w:val="00E347BA"/>
    <w:rsid w:val="00E34C86"/>
    <w:rsid w:val="00E34D05"/>
    <w:rsid w:val="00E35068"/>
    <w:rsid w:val="00E35080"/>
    <w:rsid w:val="00E350CE"/>
    <w:rsid w:val="00E350E6"/>
    <w:rsid w:val="00E3527F"/>
    <w:rsid w:val="00E352FF"/>
    <w:rsid w:val="00E3548B"/>
    <w:rsid w:val="00E355D4"/>
    <w:rsid w:val="00E358D0"/>
    <w:rsid w:val="00E358FD"/>
    <w:rsid w:val="00E35CB7"/>
    <w:rsid w:val="00E35D27"/>
    <w:rsid w:val="00E35D2A"/>
    <w:rsid w:val="00E35E53"/>
    <w:rsid w:val="00E3615C"/>
    <w:rsid w:val="00E361EF"/>
    <w:rsid w:val="00E3624D"/>
    <w:rsid w:val="00E36354"/>
    <w:rsid w:val="00E3658B"/>
    <w:rsid w:val="00E36594"/>
    <w:rsid w:val="00E367C4"/>
    <w:rsid w:val="00E367F2"/>
    <w:rsid w:val="00E368CD"/>
    <w:rsid w:val="00E36942"/>
    <w:rsid w:val="00E36952"/>
    <w:rsid w:val="00E36963"/>
    <w:rsid w:val="00E36AE5"/>
    <w:rsid w:val="00E36B44"/>
    <w:rsid w:val="00E36C86"/>
    <w:rsid w:val="00E36CE1"/>
    <w:rsid w:val="00E36D0F"/>
    <w:rsid w:val="00E36D51"/>
    <w:rsid w:val="00E36D6B"/>
    <w:rsid w:val="00E36D8B"/>
    <w:rsid w:val="00E3733D"/>
    <w:rsid w:val="00E3749B"/>
    <w:rsid w:val="00E376FB"/>
    <w:rsid w:val="00E37720"/>
    <w:rsid w:val="00E3775C"/>
    <w:rsid w:val="00E377B4"/>
    <w:rsid w:val="00E377D3"/>
    <w:rsid w:val="00E377DA"/>
    <w:rsid w:val="00E37883"/>
    <w:rsid w:val="00E378A5"/>
    <w:rsid w:val="00E3793A"/>
    <w:rsid w:val="00E37CB5"/>
    <w:rsid w:val="00E37CE0"/>
    <w:rsid w:val="00E37D69"/>
    <w:rsid w:val="00E37DB8"/>
    <w:rsid w:val="00E37F4D"/>
    <w:rsid w:val="00E37F62"/>
    <w:rsid w:val="00E37F84"/>
    <w:rsid w:val="00E40012"/>
    <w:rsid w:val="00E4013C"/>
    <w:rsid w:val="00E40324"/>
    <w:rsid w:val="00E40360"/>
    <w:rsid w:val="00E403A8"/>
    <w:rsid w:val="00E40433"/>
    <w:rsid w:val="00E404B5"/>
    <w:rsid w:val="00E40512"/>
    <w:rsid w:val="00E40514"/>
    <w:rsid w:val="00E405C7"/>
    <w:rsid w:val="00E40949"/>
    <w:rsid w:val="00E40B76"/>
    <w:rsid w:val="00E40C79"/>
    <w:rsid w:val="00E40E19"/>
    <w:rsid w:val="00E40EAF"/>
    <w:rsid w:val="00E41028"/>
    <w:rsid w:val="00E410D1"/>
    <w:rsid w:val="00E410E0"/>
    <w:rsid w:val="00E41151"/>
    <w:rsid w:val="00E41162"/>
    <w:rsid w:val="00E412C4"/>
    <w:rsid w:val="00E412C8"/>
    <w:rsid w:val="00E412F7"/>
    <w:rsid w:val="00E4147A"/>
    <w:rsid w:val="00E41546"/>
    <w:rsid w:val="00E415F9"/>
    <w:rsid w:val="00E41818"/>
    <w:rsid w:val="00E4184A"/>
    <w:rsid w:val="00E41890"/>
    <w:rsid w:val="00E41969"/>
    <w:rsid w:val="00E41C1B"/>
    <w:rsid w:val="00E41D4E"/>
    <w:rsid w:val="00E41E6F"/>
    <w:rsid w:val="00E41ED3"/>
    <w:rsid w:val="00E42336"/>
    <w:rsid w:val="00E42526"/>
    <w:rsid w:val="00E425CA"/>
    <w:rsid w:val="00E4260D"/>
    <w:rsid w:val="00E4262F"/>
    <w:rsid w:val="00E4263E"/>
    <w:rsid w:val="00E42642"/>
    <w:rsid w:val="00E42716"/>
    <w:rsid w:val="00E427E4"/>
    <w:rsid w:val="00E42838"/>
    <w:rsid w:val="00E4291A"/>
    <w:rsid w:val="00E42A2E"/>
    <w:rsid w:val="00E42B89"/>
    <w:rsid w:val="00E42C02"/>
    <w:rsid w:val="00E42D6A"/>
    <w:rsid w:val="00E42E33"/>
    <w:rsid w:val="00E42E40"/>
    <w:rsid w:val="00E42FEB"/>
    <w:rsid w:val="00E4304D"/>
    <w:rsid w:val="00E4332E"/>
    <w:rsid w:val="00E43348"/>
    <w:rsid w:val="00E43425"/>
    <w:rsid w:val="00E4352F"/>
    <w:rsid w:val="00E43547"/>
    <w:rsid w:val="00E43565"/>
    <w:rsid w:val="00E4372E"/>
    <w:rsid w:val="00E438E7"/>
    <w:rsid w:val="00E439F6"/>
    <w:rsid w:val="00E43AE4"/>
    <w:rsid w:val="00E43B63"/>
    <w:rsid w:val="00E43BBF"/>
    <w:rsid w:val="00E43BEC"/>
    <w:rsid w:val="00E43C09"/>
    <w:rsid w:val="00E43CEF"/>
    <w:rsid w:val="00E43D3C"/>
    <w:rsid w:val="00E43F12"/>
    <w:rsid w:val="00E43F2F"/>
    <w:rsid w:val="00E43FD5"/>
    <w:rsid w:val="00E441E1"/>
    <w:rsid w:val="00E442B6"/>
    <w:rsid w:val="00E443D1"/>
    <w:rsid w:val="00E443E0"/>
    <w:rsid w:val="00E4466A"/>
    <w:rsid w:val="00E44858"/>
    <w:rsid w:val="00E4494A"/>
    <w:rsid w:val="00E44AD7"/>
    <w:rsid w:val="00E44BAC"/>
    <w:rsid w:val="00E44EAA"/>
    <w:rsid w:val="00E44F44"/>
    <w:rsid w:val="00E45007"/>
    <w:rsid w:val="00E45009"/>
    <w:rsid w:val="00E45030"/>
    <w:rsid w:val="00E4504D"/>
    <w:rsid w:val="00E45065"/>
    <w:rsid w:val="00E45427"/>
    <w:rsid w:val="00E45474"/>
    <w:rsid w:val="00E455A5"/>
    <w:rsid w:val="00E45603"/>
    <w:rsid w:val="00E4562F"/>
    <w:rsid w:val="00E4574E"/>
    <w:rsid w:val="00E45859"/>
    <w:rsid w:val="00E459A3"/>
    <w:rsid w:val="00E45A60"/>
    <w:rsid w:val="00E45E9F"/>
    <w:rsid w:val="00E45EAC"/>
    <w:rsid w:val="00E45EB6"/>
    <w:rsid w:val="00E46041"/>
    <w:rsid w:val="00E4663D"/>
    <w:rsid w:val="00E467C6"/>
    <w:rsid w:val="00E467E2"/>
    <w:rsid w:val="00E46822"/>
    <w:rsid w:val="00E46900"/>
    <w:rsid w:val="00E46A7C"/>
    <w:rsid w:val="00E46AE8"/>
    <w:rsid w:val="00E46D85"/>
    <w:rsid w:val="00E46E49"/>
    <w:rsid w:val="00E46FC9"/>
    <w:rsid w:val="00E470A2"/>
    <w:rsid w:val="00E47138"/>
    <w:rsid w:val="00E473FA"/>
    <w:rsid w:val="00E4747A"/>
    <w:rsid w:val="00E474D9"/>
    <w:rsid w:val="00E47516"/>
    <w:rsid w:val="00E4758F"/>
    <w:rsid w:val="00E47654"/>
    <w:rsid w:val="00E47808"/>
    <w:rsid w:val="00E47930"/>
    <w:rsid w:val="00E47963"/>
    <w:rsid w:val="00E47A3D"/>
    <w:rsid w:val="00E47DC5"/>
    <w:rsid w:val="00E47EA1"/>
    <w:rsid w:val="00E47EF6"/>
    <w:rsid w:val="00E47FB5"/>
    <w:rsid w:val="00E50082"/>
    <w:rsid w:val="00E50135"/>
    <w:rsid w:val="00E501B0"/>
    <w:rsid w:val="00E501D5"/>
    <w:rsid w:val="00E502DF"/>
    <w:rsid w:val="00E50406"/>
    <w:rsid w:val="00E5041C"/>
    <w:rsid w:val="00E5045B"/>
    <w:rsid w:val="00E50486"/>
    <w:rsid w:val="00E504FE"/>
    <w:rsid w:val="00E506A0"/>
    <w:rsid w:val="00E5074F"/>
    <w:rsid w:val="00E507E5"/>
    <w:rsid w:val="00E5087F"/>
    <w:rsid w:val="00E509A4"/>
    <w:rsid w:val="00E50B7E"/>
    <w:rsid w:val="00E50B96"/>
    <w:rsid w:val="00E50BF0"/>
    <w:rsid w:val="00E50C80"/>
    <w:rsid w:val="00E50CA0"/>
    <w:rsid w:val="00E50DCF"/>
    <w:rsid w:val="00E50EFB"/>
    <w:rsid w:val="00E5109F"/>
    <w:rsid w:val="00E5118A"/>
    <w:rsid w:val="00E512CF"/>
    <w:rsid w:val="00E51319"/>
    <w:rsid w:val="00E513B9"/>
    <w:rsid w:val="00E51641"/>
    <w:rsid w:val="00E51793"/>
    <w:rsid w:val="00E5184D"/>
    <w:rsid w:val="00E51A4B"/>
    <w:rsid w:val="00E51B80"/>
    <w:rsid w:val="00E5207C"/>
    <w:rsid w:val="00E52083"/>
    <w:rsid w:val="00E521D8"/>
    <w:rsid w:val="00E5224A"/>
    <w:rsid w:val="00E523A6"/>
    <w:rsid w:val="00E524AA"/>
    <w:rsid w:val="00E5264D"/>
    <w:rsid w:val="00E527BA"/>
    <w:rsid w:val="00E52813"/>
    <w:rsid w:val="00E52976"/>
    <w:rsid w:val="00E52BA1"/>
    <w:rsid w:val="00E52E66"/>
    <w:rsid w:val="00E52EAF"/>
    <w:rsid w:val="00E53190"/>
    <w:rsid w:val="00E534BF"/>
    <w:rsid w:val="00E53505"/>
    <w:rsid w:val="00E536CE"/>
    <w:rsid w:val="00E537BB"/>
    <w:rsid w:val="00E537D4"/>
    <w:rsid w:val="00E53838"/>
    <w:rsid w:val="00E5384D"/>
    <w:rsid w:val="00E539B2"/>
    <w:rsid w:val="00E53B30"/>
    <w:rsid w:val="00E53B31"/>
    <w:rsid w:val="00E53BD5"/>
    <w:rsid w:val="00E53BEA"/>
    <w:rsid w:val="00E53E96"/>
    <w:rsid w:val="00E53EC4"/>
    <w:rsid w:val="00E53F8F"/>
    <w:rsid w:val="00E53FCF"/>
    <w:rsid w:val="00E541D0"/>
    <w:rsid w:val="00E544E9"/>
    <w:rsid w:val="00E54571"/>
    <w:rsid w:val="00E54637"/>
    <w:rsid w:val="00E546CC"/>
    <w:rsid w:val="00E54810"/>
    <w:rsid w:val="00E5485B"/>
    <w:rsid w:val="00E5498B"/>
    <w:rsid w:val="00E54AF4"/>
    <w:rsid w:val="00E54B5F"/>
    <w:rsid w:val="00E54B77"/>
    <w:rsid w:val="00E54B9A"/>
    <w:rsid w:val="00E54BA7"/>
    <w:rsid w:val="00E54FC4"/>
    <w:rsid w:val="00E550A7"/>
    <w:rsid w:val="00E55321"/>
    <w:rsid w:val="00E5534D"/>
    <w:rsid w:val="00E5543B"/>
    <w:rsid w:val="00E5557B"/>
    <w:rsid w:val="00E557C8"/>
    <w:rsid w:val="00E557DA"/>
    <w:rsid w:val="00E55B94"/>
    <w:rsid w:val="00E55C0E"/>
    <w:rsid w:val="00E55CF6"/>
    <w:rsid w:val="00E55CF9"/>
    <w:rsid w:val="00E55D60"/>
    <w:rsid w:val="00E55D91"/>
    <w:rsid w:val="00E55E81"/>
    <w:rsid w:val="00E55F30"/>
    <w:rsid w:val="00E5614B"/>
    <w:rsid w:val="00E563B8"/>
    <w:rsid w:val="00E56410"/>
    <w:rsid w:val="00E5647F"/>
    <w:rsid w:val="00E5648B"/>
    <w:rsid w:val="00E56563"/>
    <w:rsid w:val="00E565AA"/>
    <w:rsid w:val="00E566B9"/>
    <w:rsid w:val="00E566EB"/>
    <w:rsid w:val="00E567BD"/>
    <w:rsid w:val="00E5686A"/>
    <w:rsid w:val="00E568BC"/>
    <w:rsid w:val="00E569D6"/>
    <w:rsid w:val="00E56B55"/>
    <w:rsid w:val="00E56C74"/>
    <w:rsid w:val="00E56DBC"/>
    <w:rsid w:val="00E56F73"/>
    <w:rsid w:val="00E570B5"/>
    <w:rsid w:val="00E57147"/>
    <w:rsid w:val="00E57178"/>
    <w:rsid w:val="00E5717C"/>
    <w:rsid w:val="00E57223"/>
    <w:rsid w:val="00E5724C"/>
    <w:rsid w:val="00E57256"/>
    <w:rsid w:val="00E57270"/>
    <w:rsid w:val="00E572D5"/>
    <w:rsid w:val="00E57444"/>
    <w:rsid w:val="00E574CD"/>
    <w:rsid w:val="00E57593"/>
    <w:rsid w:val="00E5770C"/>
    <w:rsid w:val="00E577EA"/>
    <w:rsid w:val="00E578C9"/>
    <w:rsid w:val="00E579E8"/>
    <w:rsid w:val="00E579FC"/>
    <w:rsid w:val="00E57B1E"/>
    <w:rsid w:val="00E57B9A"/>
    <w:rsid w:val="00E57C01"/>
    <w:rsid w:val="00E57CFB"/>
    <w:rsid w:val="00E57D04"/>
    <w:rsid w:val="00E57E2E"/>
    <w:rsid w:val="00E57E2F"/>
    <w:rsid w:val="00E57E33"/>
    <w:rsid w:val="00E57E7E"/>
    <w:rsid w:val="00E57F26"/>
    <w:rsid w:val="00E60145"/>
    <w:rsid w:val="00E601CD"/>
    <w:rsid w:val="00E60260"/>
    <w:rsid w:val="00E60319"/>
    <w:rsid w:val="00E603DE"/>
    <w:rsid w:val="00E60648"/>
    <w:rsid w:val="00E609AF"/>
    <w:rsid w:val="00E60AF4"/>
    <w:rsid w:val="00E60B29"/>
    <w:rsid w:val="00E60D07"/>
    <w:rsid w:val="00E60D67"/>
    <w:rsid w:val="00E60DB6"/>
    <w:rsid w:val="00E60EAD"/>
    <w:rsid w:val="00E61064"/>
    <w:rsid w:val="00E61133"/>
    <w:rsid w:val="00E61136"/>
    <w:rsid w:val="00E6125D"/>
    <w:rsid w:val="00E612CD"/>
    <w:rsid w:val="00E61309"/>
    <w:rsid w:val="00E61328"/>
    <w:rsid w:val="00E613C4"/>
    <w:rsid w:val="00E615B7"/>
    <w:rsid w:val="00E61686"/>
    <w:rsid w:val="00E618A5"/>
    <w:rsid w:val="00E619C2"/>
    <w:rsid w:val="00E61A73"/>
    <w:rsid w:val="00E61B5E"/>
    <w:rsid w:val="00E61E5B"/>
    <w:rsid w:val="00E61EF5"/>
    <w:rsid w:val="00E61F2C"/>
    <w:rsid w:val="00E6216E"/>
    <w:rsid w:val="00E6237C"/>
    <w:rsid w:val="00E624F4"/>
    <w:rsid w:val="00E6252A"/>
    <w:rsid w:val="00E6254D"/>
    <w:rsid w:val="00E625BA"/>
    <w:rsid w:val="00E6262B"/>
    <w:rsid w:val="00E6289A"/>
    <w:rsid w:val="00E62959"/>
    <w:rsid w:val="00E62B2D"/>
    <w:rsid w:val="00E62C8F"/>
    <w:rsid w:val="00E62E8F"/>
    <w:rsid w:val="00E62EA4"/>
    <w:rsid w:val="00E62ED1"/>
    <w:rsid w:val="00E62ED4"/>
    <w:rsid w:val="00E62F10"/>
    <w:rsid w:val="00E62FC9"/>
    <w:rsid w:val="00E62FD2"/>
    <w:rsid w:val="00E63009"/>
    <w:rsid w:val="00E631D8"/>
    <w:rsid w:val="00E63336"/>
    <w:rsid w:val="00E63549"/>
    <w:rsid w:val="00E63674"/>
    <w:rsid w:val="00E63704"/>
    <w:rsid w:val="00E637EC"/>
    <w:rsid w:val="00E63A37"/>
    <w:rsid w:val="00E63ABD"/>
    <w:rsid w:val="00E63B77"/>
    <w:rsid w:val="00E63B95"/>
    <w:rsid w:val="00E63BD4"/>
    <w:rsid w:val="00E63C4E"/>
    <w:rsid w:val="00E63C7F"/>
    <w:rsid w:val="00E63F7C"/>
    <w:rsid w:val="00E641A9"/>
    <w:rsid w:val="00E64371"/>
    <w:rsid w:val="00E643BD"/>
    <w:rsid w:val="00E643D4"/>
    <w:rsid w:val="00E645E6"/>
    <w:rsid w:val="00E645EC"/>
    <w:rsid w:val="00E6461D"/>
    <w:rsid w:val="00E64712"/>
    <w:rsid w:val="00E648F3"/>
    <w:rsid w:val="00E64A4F"/>
    <w:rsid w:val="00E64A84"/>
    <w:rsid w:val="00E64BE2"/>
    <w:rsid w:val="00E64DBE"/>
    <w:rsid w:val="00E64EA7"/>
    <w:rsid w:val="00E64FCA"/>
    <w:rsid w:val="00E65007"/>
    <w:rsid w:val="00E650D5"/>
    <w:rsid w:val="00E65136"/>
    <w:rsid w:val="00E65228"/>
    <w:rsid w:val="00E65242"/>
    <w:rsid w:val="00E65450"/>
    <w:rsid w:val="00E6551C"/>
    <w:rsid w:val="00E655A7"/>
    <w:rsid w:val="00E65646"/>
    <w:rsid w:val="00E65767"/>
    <w:rsid w:val="00E65826"/>
    <w:rsid w:val="00E65987"/>
    <w:rsid w:val="00E65BD3"/>
    <w:rsid w:val="00E65C65"/>
    <w:rsid w:val="00E65D7F"/>
    <w:rsid w:val="00E65E32"/>
    <w:rsid w:val="00E660C7"/>
    <w:rsid w:val="00E6625E"/>
    <w:rsid w:val="00E663B6"/>
    <w:rsid w:val="00E6669A"/>
    <w:rsid w:val="00E66819"/>
    <w:rsid w:val="00E66829"/>
    <w:rsid w:val="00E6684A"/>
    <w:rsid w:val="00E669B0"/>
    <w:rsid w:val="00E669E4"/>
    <w:rsid w:val="00E66A47"/>
    <w:rsid w:val="00E66C0B"/>
    <w:rsid w:val="00E66C8A"/>
    <w:rsid w:val="00E66DFD"/>
    <w:rsid w:val="00E66ED0"/>
    <w:rsid w:val="00E66EF0"/>
    <w:rsid w:val="00E66EFA"/>
    <w:rsid w:val="00E676BC"/>
    <w:rsid w:val="00E676C2"/>
    <w:rsid w:val="00E67787"/>
    <w:rsid w:val="00E6791B"/>
    <w:rsid w:val="00E67934"/>
    <w:rsid w:val="00E67964"/>
    <w:rsid w:val="00E67968"/>
    <w:rsid w:val="00E67985"/>
    <w:rsid w:val="00E67A51"/>
    <w:rsid w:val="00E67B5B"/>
    <w:rsid w:val="00E67C40"/>
    <w:rsid w:val="00E67D67"/>
    <w:rsid w:val="00E67DE9"/>
    <w:rsid w:val="00E67FFA"/>
    <w:rsid w:val="00E70485"/>
    <w:rsid w:val="00E7049E"/>
    <w:rsid w:val="00E70A9C"/>
    <w:rsid w:val="00E70AAE"/>
    <w:rsid w:val="00E70B5F"/>
    <w:rsid w:val="00E70CEF"/>
    <w:rsid w:val="00E70D96"/>
    <w:rsid w:val="00E70E61"/>
    <w:rsid w:val="00E71056"/>
    <w:rsid w:val="00E7138F"/>
    <w:rsid w:val="00E715A8"/>
    <w:rsid w:val="00E716C8"/>
    <w:rsid w:val="00E71879"/>
    <w:rsid w:val="00E7195C"/>
    <w:rsid w:val="00E71A69"/>
    <w:rsid w:val="00E71A96"/>
    <w:rsid w:val="00E71BAD"/>
    <w:rsid w:val="00E71D28"/>
    <w:rsid w:val="00E71D5C"/>
    <w:rsid w:val="00E71E9E"/>
    <w:rsid w:val="00E71F5B"/>
    <w:rsid w:val="00E71FE2"/>
    <w:rsid w:val="00E720EE"/>
    <w:rsid w:val="00E72244"/>
    <w:rsid w:val="00E722AE"/>
    <w:rsid w:val="00E722CF"/>
    <w:rsid w:val="00E722F7"/>
    <w:rsid w:val="00E723A9"/>
    <w:rsid w:val="00E723AA"/>
    <w:rsid w:val="00E723D4"/>
    <w:rsid w:val="00E724C6"/>
    <w:rsid w:val="00E724D0"/>
    <w:rsid w:val="00E724DB"/>
    <w:rsid w:val="00E72546"/>
    <w:rsid w:val="00E725C7"/>
    <w:rsid w:val="00E726A7"/>
    <w:rsid w:val="00E72726"/>
    <w:rsid w:val="00E7277D"/>
    <w:rsid w:val="00E7299C"/>
    <w:rsid w:val="00E729E2"/>
    <w:rsid w:val="00E72A32"/>
    <w:rsid w:val="00E72CBC"/>
    <w:rsid w:val="00E72E3C"/>
    <w:rsid w:val="00E73049"/>
    <w:rsid w:val="00E73111"/>
    <w:rsid w:val="00E7335E"/>
    <w:rsid w:val="00E734B1"/>
    <w:rsid w:val="00E734C1"/>
    <w:rsid w:val="00E73539"/>
    <w:rsid w:val="00E737AB"/>
    <w:rsid w:val="00E73902"/>
    <w:rsid w:val="00E73B52"/>
    <w:rsid w:val="00E73C3A"/>
    <w:rsid w:val="00E73CC4"/>
    <w:rsid w:val="00E73D2B"/>
    <w:rsid w:val="00E73E29"/>
    <w:rsid w:val="00E73EC5"/>
    <w:rsid w:val="00E73F25"/>
    <w:rsid w:val="00E73F64"/>
    <w:rsid w:val="00E73F82"/>
    <w:rsid w:val="00E73FBD"/>
    <w:rsid w:val="00E74173"/>
    <w:rsid w:val="00E741F7"/>
    <w:rsid w:val="00E74214"/>
    <w:rsid w:val="00E742E6"/>
    <w:rsid w:val="00E7436E"/>
    <w:rsid w:val="00E743F9"/>
    <w:rsid w:val="00E744FB"/>
    <w:rsid w:val="00E7465A"/>
    <w:rsid w:val="00E7471C"/>
    <w:rsid w:val="00E7480A"/>
    <w:rsid w:val="00E748C2"/>
    <w:rsid w:val="00E748E7"/>
    <w:rsid w:val="00E748F0"/>
    <w:rsid w:val="00E749F8"/>
    <w:rsid w:val="00E74A3B"/>
    <w:rsid w:val="00E74AB2"/>
    <w:rsid w:val="00E74C90"/>
    <w:rsid w:val="00E74E38"/>
    <w:rsid w:val="00E74EA1"/>
    <w:rsid w:val="00E74EAB"/>
    <w:rsid w:val="00E74F01"/>
    <w:rsid w:val="00E74F37"/>
    <w:rsid w:val="00E74FBB"/>
    <w:rsid w:val="00E74FF1"/>
    <w:rsid w:val="00E752A6"/>
    <w:rsid w:val="00E753D8"/>
    <w:rsid w:val="00E7544B"/>
    <w:rsid w:val="00E75487"/>
    <w:rsid w:val="00E7557A"/>
    <w:rsid w:val="00E75633"/>
    <w:rsid w:val="00E756D0"/>
    <w:rsid w:val="00E756D3"/>
    <w:rsid w:val="00E75723"/>
    <w:rsid w:val="00E7577D"/>
    <w:rsid w:val="00E757E1"/>
    <w:rsid w:val="00E758FA"/>
    <w:rsid w:val="00E75BD4"/>
    <w:rsid w:val="00E75C75"/>
    <w:rsid w:val="00E75CB2"/>
    <w:rsid w:val="00E75DC7"/>
    <w:rsid w:val="00E75EB4"/>
    <w:rsid w:val="00E75F63"/>
    <w:rsid w:val="00E75F93"/>
    <w:rsid w:val="00E75FDD"/>
    <w:rsid w:val="00E76013"/>
    <w:rsid w:val="00E76085"/>
    <w:rsid w:val="00E760FE"/>
    <w:rsid w:val="00E76237"/>
    <w:rsid w:val="00E762F8"/>
    <w:rsid w:val="00E763AA"/>
    <w:rsid w:val="00E76440"/>
    <w:rsid w:val="00E76446"/>
    <w:rsid w:val="00E7645A"/>
    <w:rsid w:val="00E765AE"/>
    <w:rsid w:val="00E76772"/>
    <w:rsid w:val="00E7678E"/>
    <w:rsid w:val="00E76806"/>
    <w:rsid w:val="00E768A7"/>
    <w:rsid w:val="00E768AC"/>
    <w:rsid w:val="00E769EE"/>
    <w:rsid w:val="00E76B7F"/>
    <w:rsid w:val="00E76C56"/>
    <w:rsid w:val="00E76DC4"/>
    <w:rsid w:val="00E76EF0"/>
    <w:rsid w:val="00E7724B"/>
    <w:rsid w:val="00E772E1"/>
    <w:rsid w:val="00E77315"/>
    <w:rsid w:val="00E775D8"/>
    <w:rsid w:val="00E77610"/>
    <w:rsid w:val="00E776DD"/>
    <w:rsid w:val="00E77943"/>
    <w:rsid w:val="00E77A7D"/>
    <w:rsid w:val="00E77D15"/>
    <w:rsid w:val="00E77F30"/>
    <w:rsid w:val="00E77FBF"/>
    <w:rsid w:val="00E80256"/>
    <w:rsid w:val="00E802D3"/>
    <w:rsid w:val="00E802EC"/>
    <w:rsid w:val="00E8040F"/>
    <w:rsid w:val="00E80517"/>
    <w:rsid w:val="00E806FE"/>
    <w:rsid w:val="00E80764"/>
    <w:rsid w:val="00E80936"/>
    <w:rsid w:val="00E80955"/>
    <w:rsid w:val="00E80BE9"/>
    <w:rsid w:val="00E80D2F"/>
    <w:rsid w:val="00E80D9F"/>
    <w:rsid w:val="00E80E48"/>
    <w:rsid w:val="00E80E64"/>
    <w:rsid w:val="00E80E96"/>
    <w:rsid w:val="00E80F0B"/>
    <w:rsid w:val="00E80F37"/>
    <w:rsid w:val="00E810BE"/>
    <w:rsid w:val="00E8112D"/>
    <w:rsid w:val="00E8119C"/>
    <w:rsid w:val="00E81200"/>
    <w:rsid w:val="00E812F4"/>
    <w:rsid w:val="00E815FF"/>
    <w:rsid w:val="00E81802"/>
    <w:rsid w:val="00E81914"/>
    <w:rsid w:val="00E81C6C"/>
    <w:rsid w:val="00E81E8E"/>
    <w:rsid w:val="00E81F41"/>
    <w:rsid w:val="00E81FD2"/>
    <w:rsid w:val="00E81FF5"/>
    <w:rsid w:val="00E82028"/>
    <w:rsid w:val="00E82111"/>
    <w:rsid w:val="00E82114"/>
    <w:rsid w:val="00E8215A"/>
    <w:rsid w:val="00E8228A"/>
    <w:rsid w:val="00E8239D"/>
    <w:rsid w:val="00E827BC"/>
    <w:rsid w:val="00E829DE"/>
    <w:rsid w:val="00E82B65"/>
    <w:rsid w:val="00E82C3B"/>
    <w:rsid w:val="00E82D94"/>
    <w:rsid w:val="00E82DF5"/>
    <w:rsid w:val="00E82E93"/>
    <w:rsid w:val="00E82F44"/>
    <w:rsid w:val="00E82FBD"/>
    <w:rsid w:val="00E83128"/>
    <w:rsid w:val="00E8324D"/>
    <w:rsid w:val="00E83542"/>
    <w:rsid w:val="00E835E3"/>
    <w:rsid w:val="00E83692"/>
    <w:rsid w:val="00E83879"/>
    <w:rsid w:val="00E838B3"/>
    <w:rsid w:val="00E8397F"/>
    <w:rsid w:val="00E83A52"/>
    <w:rsid w:val="00E83A98"/>
    <w:rsid w:val="00E83B0F"/>
    <w:rsid w:val="00E83B31"/>
    <w:rsid w:val="00E83B66"/>
    <w:rsid w:val="00E83C3E"/>
    <w:rsid w:val="00E83CA2"/>
    <w:rsid w:val="00E83E76"/>
    <w:rsid w:val="00E83F1F"/>
    <w:rsid w:val="00E84120"/>
    <w:rsid w:val="00E842E0"/>
    <w:rsid w:val="00E84300"/>
    <w:rsid w:val="00E845B2"/>
    <w:rsid w:val="00E8469A"/>
    <w:rsid w:val="00E84768"/>
    <w:rsid w:val="00E84979"/>
    <w:rsid w:val="00E84A81"/>
    <w:rsid w:val="00E84B1F"/>
    <w:rsid w:val="00E84BFF"/>
    <w:rsid w:val="00E84C37"/>
    <w:rsid w:val="00E84C88"/>
    <w:rsid w:val="00E84CD0"/>
    <w:rsid w:val="00E84D0B"/>
    <w:rsid w:val="00E84DDB"/>
    <w:rsid w:val="00E84E80"/>
    <w:rsid w:val="00E84F1E"/>
    <w:rsid w:val="00E84F29"/>
    <w:rsid w:val="00E84F35"/>
    <w:rsid w:val="00E84F85"/>
    <w:rsid w:val="00E853A2"/>
    <w:rsid w:val="00E8544C"/>
    <w:rsid w:val="00E85488"/>
    <w:rsid w:val="00E85537"/>
    <w:rsid w:val="00E8553A"/>
    <w:rsid w:val="00E856E2"/>
    <w:rsid w:val="00E85772"/>
    <w:rsid w:val="00E857B2"/>
    <w:rsid w:val="00E8582B"/>
    <w:rsid w:val="00E85932"/>
    <w:rsid w:val="00E8597E"/>
    <w:rsid w:val="00E85A03"/>
    <w:rsid w:val="00E85BDB"/>
    <w:rsid w:val="00E85C49"/>
    <w:rsid w:val="00E85DB8"/>
    <w:rsid w:val="00E85F62"/>
    <w:rsid w:val="00E85F6A"/>
    <w:rsid w:val="00E86065"/>
    <w:rsid w:val="00E860DC"/>
    <w:rsid w:val="00E8610F"/>
    <w:rsid w:val="00E8623A"/>
    <w:rsid w:val="00E86471"/>
    <w:rsid w:val="00E8666F"/>
    <w:rsid w:val="00E867BE"/>
    <w:rsid w:val="00E86A43"/>
    <w:rsid w:val="00E86A5D"/>
    <w:rsid w:val="00E86B51"/>
    <w:rsid w:val="00E86BF2"/>
    <w:rsid w:val="00E86D4A"/>
    <w:rsid w:val="00E86F21"/>
    <w:rsid w:val="00E86FB3"/>
    <w:rsid w:val="00E8702F"/>
    <w:rsid w:val="00E8715A"/>
    <w:rsid w:val="00E872B5"/>
    <w:rsid w:val="00E872D1"/>
    <w:rsid w:val="00E8732B"/>
    <w:rsid w:val="00E8732E"/>
    <w:rsid w:val="00E8741C"/>
    <w:rsid w:val="00E87483"/>
    <w:rsid w:val="00E874EE"/>
    <w:rsid w:val="00E8754A"/>
    <w:rsid w:val="00E8779B"/>
    <w:rsid w:val="00E87A42"/>
    <w:rsid w:val="00E87A5B"/>
    <w:rsid w:val="00E87BB0"/>
    <w:rsid w:val="00E87CE8"/>
    <w:rsid w:val="00E87D32"/>
    <w:rsid w:val="00E87D90"/>
    <w:rsid w:val="00E87EB5"/>
    <w:rsid w:val="00E87F6E"/>
    <w:rsid w:val="00E900B7"/>
    <w:rsid w:val="00E902D9"/>
    <w:rsid w:val="00E9041C"/>
    <w:rsid w:val="00E90643"/>
    <w:rsid w:val="00E90663"/>
    <w:rsid w:val="00E9069A"/>
    <w:rsid w:val="00E906DA"/>
    <w:rsid w:val="00E9074A"/>
    <w:rsid w:val="00E9087C"/>
    <w:rsid w:val="00E90BE6"/>
    <w:rsid w:val="00E90E43"/>
    <w:rsid w:val="00E90E86"/>
    <w:rsid w:val="00E91176"/>
    <w:rsid w:val="00E9122C"/>
    <w:rsid w:val="00E9144A"/>
    <w:rsid w:val="00E91501"/>
    <w:rsid w:val="00E9155E"/>
    <w:rsid w:val="00E91647"/>
    <w:rsid w:val="00E9164D"/>
    <w:rsid w:val="00E91695"/>
    <w:rsid w:val="00E91B83"/>
    <w:rsid w:val="00E91B88"/>
    <w:rsid w:val="00E91BC5"/>
    <w:rsid w:val="00E91EDF"/>
    <w:rsid w:val="00E92067"/>
    <w:rsid w:val="00E9237A"/>
    <w:rsid w:val="00E923BB"/>
    <w:rsid w:val="00E9270B"/>
    <w:rsid w:val="00E92764"/>
    <w:rsid w:val="00E9283F"/>
    <w:rsid w:val="00E92A21"/>
    <w:rsid w:val="00E92B05"/>
    <w:rsid w:val="00E92BB0"/>
    <w:rsid w:val="00E92BCC"/>
    <w:rsid w:val="00E92CA3"/>
    <w:rsid w:val="00E92D2A"/>
    <w:rsid w:val="00E92DE6"/>
    <w:rsid w:val="00E92EA6"/>
    <w:rsid w:val="00E92EF0"/>
    <w:rsid w:val="00E92F9C"/>
    <w:rsid w:val="00E92FA1"/>
    <w:rsid w:val="00E93057"/>
    <w:rsid w:val="00E930DA"/>
    <w:rsid w:val="00E93193"/>
    <w:rsid w:val="00E93251"/>
    <w:rsid w:val="00E9325D"/>
    <w:rsid w:val="00E93386"/>
    <w:rsid w:val="00E9339D"/>
    <w:rsid w:val="00E93446"/>
    <w:rsid w:val="00E934F7"/>
    <w:rsid w:val="00E93620"/>
    <w:rsid w:val="00E93751"/>
    <w:rsid w:val="00E938C0"/>
    <w:rsid w:val="00E9391A"/>
    <w:rsid w:val="00E9394C"/>
    <w:rsid w:val="00E939E0"/>
    <w:rsid w:val="00E93B91"/>
    <w:rsid w:val="00E93D04"/>
    <w:rsid w:val="00E93D71"/>
    <w:rsid w:val="00E93E17"/>
    <w:rsid w:val="00E93EEF"/>
    <w:rsid w:val="00E93EF2"/>
    <w:rsid w:val="00E93EFE"/>
    <w:rsid w:val="00E93F89"/>
    <w:rsid w:val="00E94051"/>
    <w:rsid w:val="00E94363"/>
    <w:rsid w:val="00E94462"/>
    <w:rsid w:val="00E944B3"/>
    <w:rsid w:val="00E94617"/>
    <w:rsid w:val="00E94680"/>
    <w:rsid w:val="00E948A6"/>
    <w:rsid w:val="00E94AC2"/>
    <w:rsid w:val="00E94AE8"/>
    <w:rsid w:val="00E94B0B"/>
    <w:rsid w:val="00E94CD3"/>
    <w:rsid w:val="00E94F2D"/>
    <w:rsid w:val="00E95115"/>
    <w:rsid w:val="00E95132"/>
    <w:rsid w:val="00E95359"/>
    <w:rsid w:val="00E953B2"/>
    <w:rsid w:val="00E95410"/>
    <w:rsid w:val="00E9542F"/>
    <w:rsid w:val="00E95446"/>
    <w:rsid w:val="00E9545A"/>
    <w:rsid w:val="00E954F8"/>
    <w:rsid w:val="00E955C4"/>
    <w:rsid w:val="00E95667"/>
    <w:rsid w:val="00E9575C"/>
    <w:rsid w:val="00E9593F"/>
    <w:rsid w:val="00E95A81"/>
    <w:rsid w:val="00E95ADB"/>
    <w:rsid w:val="00E95B4A"/>
    <w:rsid w:val="00E95C29"/>
    <w:rsid w:val="00E95C39"/>
    <w:rsid w:val="00E95CD5"/>
    <w:rsid w:val="00E95F0B"/>
    <w:rsid w:val="00E95FAB"/>
    <w:rsid w:val="00E96083"/>
    <w:rsid w:val="00E96221"/>
    <w:rsid w:val="00E96575"/>
    <w:rsid w:val="00E965FD"/>
    <w:rsid w:val="00E9670D"/>
    <w:rsid w:val="00E96733"/>
    <w:rsid w:val="00E96D51"/>
    <w:rsid w:val="00E96E59"/>
    <w:rsid w:val="00E96F33"/>
    <w:rsid w:val="00E97181"/>
    <w:rsid w:val="00E97206"/>
    <w:rsid w:val="00E973B3"/>
    <w:rsid w:val="00E973C9"/>
    <w:rsid w:val="00E97480"/>
    <w:rsid w:val="00E97532"/>
    <w:rsid w:val="00E975C6"/>
    <w:rsid w:val="00E975DF"/>
    <w:rsid w:val="00E9790F"/>
    <w:rsid w:val="00E97A65"/>
    <w:rsid w:val="00E97BF3"/>
    <w:rsid w:val="00E97C02"/>
    <w:rsid w:val="00E97C7D"/>
    <w:rsid w:val="00E97D1C"/>
    <w:rsid w:val="00E97D42"/>
    <w:rsid w:val="00E97E36"/>
    <w:rsid w:val="00E97F4C"/>
    <w:rsid w:val="00E97F57"/>
    <w:rsid w:val="00EA007D"/>
    <w:rsid w:val="00EA0120"/>
    <w:rsid w:val="00EA01FA"/>
    <w:rsid w:val="00EA0246"/>
    <w:rsid w:val="00EA030D"/>
    <w:rsid w:val="00EA0311"/>
    <w:rsid w:val="00EA0422"/>
    <w:rsid w:val="00EA0600"/>
    <w:rsid w:val="00EA06E1"/>
    <w:rsid w:val="00EA0723"/>
    <w:rsid w:val="00EA0880"/>
    <w:rsid w:val="00EA08A6"/>
    <w:rsid w:val="00EA08C7"/>
    <w:rsid w:val="00EA09FA"/>
    <w:rsid w:val="00EA0A53"/>
    <w:rsid w:val="00EA0C38"/>
    <w:rsid w:val="00EA0DB6"/>
    <w:rsid w:val="00EA0E07"/>
    <w:rsid w:val="00EA0EE9"/>
    <w:rsid w:val="00EA1220"/>
    <w:rsid w:val="00EA124C"/>
    <w:rsid w:val="00EA1309"/>
    <w:rsid w:val="00EA1385"/>
    <w:rsid w:val="00EA1724"/>
    <w:rsid w:val="00EA1C1E"/>
    <w:rsid w:val="00EA1CB7"/>
    <w:rsid w:val="00EA1D51"/>
    <w:rsid w:val="00EA1DAA"/>
    <w:rsid w:val="00EA1DE2"/>
    <w:rsid w:val="00EA1F3D"/>
    <w:rsid w:val="00EA1FAF"/>
    <w:rsid w:val="00EA1FFD"/>
    <w:rsid w:val="00EA2236"/>
    <w:rsid w:val="00EA22E8"/>
    <w:rsid w:val="00EA23F8"/>
    <w:rsid w:val="00EA24B4"/>
    <w:rsid w:val="00EA24C0"/>
    <w:rsid w:val="00EA267B"/>
    <w:rsid w:val="00EA282E"/>
    <w:rsid w:val="00EA2983"/>
    <w:rsid w:val="00EA2AEF"/>
    <w:rsid w:val="00EA2C7F"/>
    <w:rsid w:val="00EA2CAB"/>
    <w:rsid w:val="00EA2CEE"/>
    <w:rsid w:val="00EA2D6D"/>
    <w:rsid w:val="00EA2E04"/>
    <w:rsid w:val="00EA2E0C"/>
    <w:rsid w:val="00EA313A"/>
    <w:rsid w:val="00EA31B5"/>
    <w:rsid w:val="00EA34BF"/>
    <w:rsid w:val="00EA34C0"/>
    <w:rsid w:val="00EA34C9"/>
    <w:rsid w:val="00EA35C2"/>
    <w:rsid w:val="00EA36FB"/>
    <w:rsid w:val="00EA37DC"/>
    <w:rsid w:val="00EA3812"/>
    <w:rsid w:val="00EA38D5"/>
    <w:rsid w:val="00EA39DD"/>
    <w:rsid w:val="00EA3BE4"/>
    <w:rsid w:val="00EA3C8D"/>
    <w:rsid w:val="00EA3D13"/>
    <w:rsid w:val="00EA3DB3"/>
    <w:rsid w:val="00EA3DDE"/>
    <w:rsid w:val="00EA3E8A"/>
    <w:rsid w:val="00EA3E90"/>
    <w:rsid w:val="00EA3F41"/>
    <w:rsid w:val="00EA3FA8"/>
    <w:rsid w:val="00EA3FE5"/>
    <w:rsid w:val="00EA425A"/>
    <w:rsid w:val="00EA4282"/>
    <w:rsid w:val="00EA438E"/>
    <w:rsid w:val="00EA44B8"/>
    <w:rsid w:val="00EA46EA"/>
    <w:rsid w:val="00EA4768"/>
    <w:rsid w:val="00EA485B"/>
    <w:rsid w:val="00EA491D"/>
    <w:rsid w:val="00EA49FD"/>
    <w:rsid w:val="00EA4DCC"/>
    <w:rsid w:val="00EA4E4E"/>
    <w:rsid w:val="00EA4EA1"/>
    <w:rsid w:val="00EA4EBA"/>
    <w:rsid w:val="00EA4FE4"/>
    <w:rsid w:val="00EA5038"/>
    <w:rsid w:val="00EA5085"/>
    <w:rsid w:val="00EA5145"/>
    <w:rsid w:val="00EA524D"/>
    <w:rsid w:val="00EA524E"/>
    <w:rsid w:val="00EA52DA"/>
    <w:rsid w:val="00EA53DC"/>
    <w:rsid w:val="00EA5403"/>
    <w:rsid w:val="00EA543C"/>
    <w:rsid w:val="00EA5478"/>
    <w:rsid w:val="00EA578E"/>
    <w:rsid w:val="00EA5807"/>
    <w:rsid w:val="00EA58D3"/>
    <w:rsid w:val="00EA59DE"/>
    <w:rsid w:val="00EA5E10"/>
    <w:rsid w:val="00EA5FDD"/>
    <w:rsid w:val="00EA637B"/>
    <w:rsid w:val="00EA63B6"/>
    <w:rsid w:val="00EA65D6"/>
    <w:rsid w:val="00EA6657"/>
    <w:rsid w:val="00EA66C2"/>
    <w:rsid w:val="00EA66C8"/>
    <w:rsid w:val="00EA6747"/>
    <w:rsid w:val="00EA681E"/>
    <w:rsid w:val="00EA6852"/>
    <w:rsid w:val="00EA68F6"/>
    <w:rsid w:val="00EA6911"/>
    <w:rsid w:val="00EA6CEA"/>
    <w:rsid w:val="00EA6DF9"/>
    <w:rsid w:val="00EA6EF3"/>
    <w:rsid w:val="00EA7457"/>
    <w:rsid w:val="00EA7461"/>
    <w:rsid w:val="00EA75A7"/>
    <w:rsid w:val="00EA75CD"/>
    <w:rsid w:val="00EA76A4"/>
    <w:rsid w:val="00EA78AA"/>
    <w:rsid w:val="00EA78C0"/>
    <w:rsid w:val="00EA7CE5"/>
    <w:rsid w:val="00EA7F39"/>
    <w:rsid w:val="00EB023B"/>
    <w:rsid w:val="00EB0254"/>
    <w:rsid w:val="00EB02A6"/>
    <w:rsid w:val="00EB031C"/>
    <w:rsid w:val="00EB040E"/>
    <w:rsid w:val="00EB06CC"/>
    <w:rsid w:val="00EB0883"/>
    <w:rsid w:val="00EB0A81"/>
    <w:rsid w:val="00EB0B75"/>
    <w:rsid w:val="00EB0E1A"/>
    <w:rsid w:val="00EB0E61"/>
    <w:rsid w:val="00EB0E67"/>
    <w:rsid w:val="00EB109A"/>
    <w:rsid w:val="00EB1402"/>
    <w:rsid w:val="00EB14CA"/>
    <w:rsid w:val="00EB15D4"/>
    <w:rsid w:val="00EB1665"/>
    <w:rsid w:val="00EB16A3"/>
    <w:rsid w:val="00EB16D6"/>
    <w:rsid w:val="00EB1796"/>
    <w:rsid w:val="00EB184C"/>
    <w:rsid w:val="00EB185A"/>
    <w:rsid w:val="00EB1ABF"/>
    <w:rsid w:val="00EB1B1A"/>
    <w:rsid w:val="00EB1C19"/>
    <w:rsid w:val="00EB2055"/>
    <w:rsid w:val="00EB2200"/>
    <w:rsid w:val="00EB2285"/>
    <w:rsid w:val="00EB24D2"/>
    <w:rsid w:val="00EB2517"/>
    <w:rsid w:val="00EB2631"/>
    <w:rsid w:val="00EB266E"/>
    <w:rsid w:val="00EB26DC"/>
    <w:rsid w:val="00EB275C"/>
    <w:rsid w:val="00EB29ED"/>
    <w:rsid w:val="00EB2A49"/>
    <w:rsid w:val="00EB2AA3"/>
    <w:rsid w:val="00EB2BB4"/>
    <w:rsid w:val="00EB2C82"/>
    <w:rsid w:val="00EB2CFA"/>
    <w:rsid w:val="00EB2D34"/>
    <w:rsid w:val="00EB2D5C"/>
    <w:rsid w:val="00EB2E99"/>
    <w:rsid w:val="00EB2EF0"/>
    <w:rsid w:val="00EB2F56"/>
    <w:rsid w:val="00EB3004"/>
    <w:rsid w:val="00EB30D7"/>
    <w:rsid w:val="00EB3195"/>
    <w:rsid w:val="00EB31B0"/>
    <w:rsid w:val="00EB320F"/>
    <w:rsid w:val="00EB3306"/>
    <w:rsid w:val="00EB3365"/>
    <w:rsid w:val="00EB3371"/>
    <w:rsid w:val="00EB33AC"/>
    <w:rsid w:val="00EB3746"/>
    <w:rsid w:val="00EB3A5E"/>
    <w:rsid w:val="00EB3A8D"/>
    <w:rsid w:val="00EB3C37"/>
    <w:rsid w:val="00EB3C8E"/>
    <w:rsid w:val="00EB3DEF"/>
    <w:rsid w:val="00EB3E1C"/>
    <w:rsid w:val="00EB3E5C"/>
    <w:rsid w:val="00EB3F0F"/>
    <w:rsid w:val="00EB4066"/>
    <w:rsid w:val="00EB41EC"/>
    <w:rsid w:val="00EB4214"/>
    <w:rsid w:val="00EB441F"/>
    <w:rsid w:val="00EB4554"/>
    <w:rsid w:val="00EB4621"/>
    <w:rsid w:val="00EB470F"/>
    <w:rsid w:val="00EB4798"/>
    <w:rsid w:val="00EB47B4"/>
    <w:rsid w:val="00EB4B0B"/>
    <w:rsid w:val="00EB4C2E"/>
    <w:rsid w:val="00EB4CA3"/>
    <w:rsid w:val="00EB4CD7"/>
    <w:rsid w:val="00EB4F20"/>
    <w:rsid w:val="00EB4FC5"/>
    <w:rsid w:val="00EB54BC"/>
    <w:rsid w:val="00EB5662"/>
    <w:rsid w:val="00EB569E"/>
    <w:rsid w:val="00EB56DE"/>
    <w:rsid w:val="00EB575D"/>
    <w:rsid w:val="00EB5871"/>
    <w:rsid w:val="00EB588B"/>
    <w:rsid w:val="00EB5890"/>
    <w:rsid w:val="00EB5953"/>
    <w:rsid w:val="00EB5B8B"/>
    <w:rsid w:val="00EB5BB8"/>
    <w:rsid w:val="00EB5BEB"/>
    <w:rsid w:val="00EB5D52"/>
    <w:rsid w:val="00EB5DB7"/>
    <w:rsid w:val="00EB5F50"/>
    <w:rsid w:val="00EB60F3"/>
    <w:rsid w:val="00EB61E4"/>
    <w:rsid w:val="00EB6262"/>
    <w:rsid w:val="00EB6439"/>
    <w:rsid w:val="00EB647A"/>
    <w:rsid w:val="00EB64A2"/>
    <w:rsid w:val="00EB6708"/>
    <w:rsid w:val="00EB676A"/>
    <w:rsid w:val="00EB677B"/>
    <w:rsid w:val="00EB68C4"/>
    <w:rsid w:val="00EB68FF"/>
    <w:rsid w:val="00EB6953"/>
    <w:rsid w:val="00EB6969"/>
    <w:rsid w:val="00EB69DA"/>
    <w:rsid w:val="00EB6A72"/>
    <w:rsid w:val="00EB6C07"/>
    <w:rsid w:val="00EB6C71"/>
    <w:rsid w:val="00EB6DAE"/>
    <w:rsid w:val="00EB6E53"/>
    <w:rsid w:val="00EB6FD1"/>
    <w:rsid w:val="00EB7000"/>
    <w:rsid w:val="00EB7005"/>
    <w:rsid w:val="00EB70A1"/>
    <w:rsid w:val="00EB7188"/>
    <w:rsid w:val="00EB7217"/>
    <w:rsid w:val="00EB7228"/>
    <w:rsid w:val="00EB74D5"/>
    <w:rsid w:val="00EB7738"/>
    <w:rsid w:val="00EB776D"/>
    <w:rsid w:val="00EB7827"/>
    <w:rsid w:val="00EB7923"/>
    <w:rsid w:val="00EB798B"/>
    <w:rsid w:val="00EB798E"/>
    <w:rsid w:val="00EB7AAF"/>
    <w:rsid w:val="00EB7B06"/>
    <w:rsid w:val="00EB7BFA"/>
    <w:rsid w:val="00EB7D08"/>
    <w:rsid w:val="00EB7E15"/>
    <w:rsid w:val="00EB7F4B"/>
    <w:rsid w:val="00EB7FBA"/>
    <w:rsid w:val="00EB7FCB"/>
    <w:rsid w:val="00EC005D"/>
    <w:rsid w:val="00EC00D5"/>
    <w:rsid w:val="00EC024A"/>
    <w:rsid w:val="00EC0317"/>
    <w:rsid w:val="00EC04B9"/>
    <w:rsid w:val="00EC0612"/>
    <w:rsid w:val="00EC0630"/>
    <w:rsid w:val="00EC0690"/>
    <w:rsid w:val="00EC06BE"/>
    <w:rsid w:val="00EC06FB"/>
    <w:rsid w:val="00EC0787"/>
    <w:rsid w:val="00EC081F"/>
    <w:rsid w:val="00EC0826"/>
    <w:rsid w:val="00EC08D4"/>
    <w:rsid w:val="00EC093F"/>
    <w:rsid w:val="00EC094D"/>
    <w:rsid w:val="00EC0B3C"/>
    <w:rsid w:val="00EC1000"/>
    <w:rsid w:val="00EC111F"/>
    <w:rsid w:val="00EC11E3"/>
    <w:rsid w:val="00EC1273"/>
    <w:rsid w:val="00EC1570"/>
    <w:rsid w:val="00EC15B1"/>
    <w:rsid w:val="00EC15B4"/>
    <w:rsid w:val="00EC176F"/>
    <w:rsid w:val="00EC17E2"/>
    <w:rsid w:val="00EC180A"/>
    <w:rsid w:val="00EC1845"/>
    <w:rsid w:val="00EC186D"/>
    <w:rsid w:val="00EC18B7"/>
    <w:rsid w:val="00EC199A"/>
    <w:rsid w:val="00EC1CAC"/>
    <w:rsid w:val="00EC1CE1"/>
    <w:rsid w:val="00EC1D1C"/>
    <w:rsid w:val="00EC1EB9"/>
    <w:rsid w:val="00EC1EC5"/>
    <w:rsid w:val="00EC2028"/>
    <w:rsid w:val="00EC231F"/>
    <w:rsid w:val="00EC23A3"/>
    <w:rsid w:val="00EC247E"/>
    <w:rsid w:val="00EC2590"/>
    <w:rsid w:val="00EC25F4"/>
    <w:rsid w:val="00EC2698"/>
    <w:rsid w:val="00EC2815"/>
    <w:rsid w:val="00EC28B2"/>
    <w:rsid w:val="00EC2961"/>
    <w:rsid w:val="00EC2ABD"/>
    <w:rsid w:val="00EC2ACA"/>
    <w:rsid w:val="00EC2EE3"/>
    <w:rsid w:val="00EC2F64"/>
    <w:rsid w:val="00EC2FA9"/>
    <w:rsid w:val="00EC317B"/>
    <w:rsid w:val="00EC3199"/>
    <w:rsid w:val="00EC328B"/>
    <w:rsid w:val="00EC33AF"/>
    <w:rsid w:val="00EC3538"/>
    <w:rsid w:val="00EC3546"/>
    <w:rsid w:val="00EC357E"/>
    <w:rsid w:val="00EC368C"/>
    <w:rsid w:val="00EC368E"/>
    <w:rsid w:val="00EC37BB"/>
    <w:rsid w:val="00EC381E"/>
    <w:rsid w:val="00EC3B0B"/>
    <w:rsid w:val="00EC3B7D"/>
    <w:rsid w:val="00EC3BBD"/>
    <w:rsid w:val="00EC3BF8"/>
    <w:rsid w:val="00EC3D74"/>
    <w:rsid w:val="00EC3EF0"/>
    <w:rsid w:val="00EC4111"/>
    <w:rsid w:val="00EC41AE"/>
    <w:rsid w:val="00EC42A1"/>
    <w:rsid w:val="00EC42B1"/>
    <w:rsid w:val="00EC4432"/>
    <w:rsid w:val="00EC44C5"/>
    <w:rsid w:val="00EC4A86"/>
    <w:rsid w:val="00EC4B91"/>
    <w:rsid w:val="00EC4CCA"/>
    <w:rsid w:val="00EC4D66"/>
    <w:rsid w:val="00EC4E09"/>
    <w:rsid w:val="00EC4E2F"/>
    <w:rsid w:val="00EC4EF4"/>
    <w:rsid w:val="00EC4F87"/>
    <w:rsid w:val="00EC502C"/>
    <w:rsid w:val="00EC504B"/>
    <w:rsid w:val="00EC52E4"/>
    <w:rsid w:val="00EC53C7"/>
    <w:rsid w:val="00EC54EC"/>
    <w:rsid w:val="00EC551B"/>
    <w:rsid w:val="00EC578D"/>
    <w:rsid w:val="00EC58B0"/>
    <w:rsid w:val="00EC58D1"/>
    <w:rsid w:val="00EC5A36"/>
    <w:rsid w:val="00EC5C3E"/>
    <w:rsid w:val="00EC5F0F"/>
    <w:rsid w:val="00EC5F1A"/>
    <w:rsid w:val="00EC61E5"/>
    <w:rsid w:val="00EC625F"/>
    <w:rsid w:val="00EC652D"/>
    <w:rsid w:val="00EC658B"/>
    <w:rsid w:val="00EC68B2"/>
    <w:rsid w:val="00EC696F"/>
    <w:rsid w:val="00EC6983"/>
    <w:rsid w:val="00EC699A"/>
    <w:rsid w:val="00EC6AC7"/>
    <w:rsid w:val="00EC6BBD"/>
    <w:rsid w:val="00EC6C55"/>
    <w:rsid w:val="00EC6CA0"/>
    <w:rsid w:val="00EC6D91"/>
    <w:rsid w:val="00EC6F5E"/>
    <w:rsid w:val="00EC7028"/>
    <w:rsid w:val="00EC7351"/>
    <w:rsid w:val="00EC758C"/>
    <w:rsid w:val="00EC75CA"/>
    <w:rsid w:val="00EC7687"/>
    <w:rsid w:val="00EC7775"/>
    <w:rsid w:val="00EC79EC"/>
    <w:rsid w:val="00EC7A05"/>
    <w:rsid w:val="00EC7A1A"/>
    <w:rsid w:val="00EC7B96"/>
    <w:rsid w:val="00EC7D99"/>
    <w:rsid w:val="00EC7DAC"/>
    <w:rsid w:val="00EC7DBF"/>
    <w:rsid w:val="00EC7F98"/>
    <w:rsid w:val="00ED0089"/>
    <w:rsid w:val="00ED00C8"/>
    <w:rsid w:val="00ED0175"/>
    <w:rsid w:val="00ED01A1"/>
    <w:rsid w:val="00ED0309"/>
    <w:rsid w:val="00ED0320"/>
    <w:rsid w:val="00ED03CE"/>
    <w:rsid w:val="00ED0410"/>
    <w:rsid w:val="00ED0650"/>
    <w:rsid w:val="00ED06E6"/>
    <w:rsid w:val="00ED070B"/>
    <w:rsid w:val="00ED0762"/>
    <w:rsid w:val="00ED0856"/>
    <w:rsid w:val="00ED08B8"/>
    <w:rsid w:val="00ED0A31"/>
    <w:rsid w:val="00ED0B4D"/>
    <w:rsid w:val="00ED0C15"/>
    <w:rsid w:val="00ED0C31"/>
    <w:rsid w:val="00ED0CA4"/>
    <w:rsid w:val="00ED0DC7"/>
    <w:rsid w:val="00ED0DF3"/>
    <w:rsid w:val="00ED0F66"/>
    <w:rsid w:val="00ED0FA8"/>
    <w:rsid w:val="00ED11CB"/>
    <w:rsid w:val="00ED1494"/>
    <w:rsid w:val="00ED180D"/>
    <w:rsid w:val="00ED189D"/>
    <w:rsid w:val="00ED18E1"/>
    <w:rsid w:val="00ED1AE7"/>
    <w:rsid w:val="00ED1B3F"/>
    <w:rsid w:val="00ED1C92"/>
    <w:rsid w:val="00ED1EDB"/>
    <w:rsid w:val="00ED1EF1"/>
    <w:rsid w:val="00ED21F1"/>
    <w:rsid w:val="00ED22AB"/>
    <w:rsid w:val="00ED22D7"/>
    <w:rsid w:val="00ED23F1"/>
    <w:rsid w:val="00ED2418"/>
    <w:rsid w:val="00ED24B2"/>
    <w:rsid w:val="00ED275B"/>
    <w:rsid w:val="00ED27DC"/>
    <w:rsid w:val="00ED2839"/>
    <w:rsid w:val="00ED2931"/>
    <w:rsid w:val="00ED2975"/>
    <w:rsid w:val="00ED2AF4"/>
    <w:rsid w:val="00ED2B16"/>
    <w:rsid w:val="00ED2B4B"/>
    <w:rsid w:val="00ED2C36"/>
    <w:rsid w:val="00ED2D34"/>
    <w:rsid w:val="00ED2FD5"/>
    <w:rsid w:val="00ED315E"/>
    <w:rsid w:val="00ED316B"/>
    <w:rsid w:val="00ED3197"/>
    <w:rsid w:val="00ED31CC"/>
    <w:rsid w:val="00ED3205"/>
    <w:rsid w:val="00ED323F"/>
    <w:rsid w:val="00ED333D"/>
    <w:rsid w:val="00ED3432"/>
    <w:rsid w:val="00ED352C"/>
    <w:rsid w:val="00ED3577"/>
    <w:rsid w:val="00ED3688"/>
    <w:rsid w:val="00ED36A4"/>
    <w:rsid w:val="00ED36DE"/>
    <w:rsid w:val="00ED3929"/>
    <w:rsid w:val="00ED39BA"/>
    <w:rsid w:val="00ED3BB2"/>
    <w:rsid w:val="00ED3C72"/>
    <w:rsid w:val="00ED3C9B"/>
    <w:rsid w:val="00ED3D6B"/>
    <w:rsid w:val="00ED3D97"/>
    <w:rsid w:val="00ED3DFD"/>
    <w:rsid w:val="00ED3E56"/>
    <w:rsid w:val="00ED406E"/>
    <w:rsid w:val="00ED4225"/>
    <w:rsid w:val="00ED42F2"/>
    <w:rsid w:val="00ED433C"/>
    <w:rsid w:val="00ED435D"/>
    <w:rsid w:val="00ED445C"/>
    <w:rsid w:val="00ED44A3"/>
    <w:rsid w:val="00ED44EB"/>
    <w:rsid w:val="00ED4501"/>
    <w:rsid w:val="00ED4555"/>
    <w:rsid w:val="00ED4607"/>
    <w:rsid w:val="00ED4706"/>
    <w:rsid w:val="00ED48C1"/>
    <w:rsid w:val="00ED48F4"/>
    <w:rsid w:val="00ED4933"/>
    <w:rsid w:val="00ED49CD"/>
    <w:rsid w:val="00ED49DD"/>
    <w:rsid w:val="00ED4A10"/>
    <w:rsid w:val="00ED4BBB"/>
    <w:rsid w:val="00ED4BDF"/>
    <w:rsid w:val="00ED4C92"/>
    <w:rsid w:val="00ED4D49"/>
    <w:rsid w:val="00ED4DAD"/>
    <w:rsid w:val="00ED4EE7"/>
    <w:rsid w:val="00ED51AC"/>
    <w:rsid w:val="00ED51CA"/>
    <w:rsid w:val="00ED5421"/>
    <w:rsid w:val="00ED55A1"/>
    <w:rsid w:val="00ED56E3"/>
    <w:rsid w:val="00ED56FA"/>
    <w:rsid w:val="00ED57B9"/>
    <w:rsid w:val="00ED5906"/>
    <w:rsid w:val="00ED598B"/>
    <w:rsid w:val="00ED5A12"/>
    <w:rsid w:val="00ED5B64"/>
    <w:rsid w:val="00ED5C3E"/>
    <w:rsid w:val="00ED5CB8"/>
    <w:rsid w:val="00ED5E73"/>
    <w:rsid w:val="00ED5F04"/>
    <w:rsid w:val="00ED5F0A"/>
    <w:rsid w:val="00ED5F6D"/>
    <w:rsid w:val="00ED5FA8"/>
    <w:rsid w:val="00ED6024"/>
    <w:rsid w:val="00ED628B"/>
    <w:rsid w:val="00ED62CE"/>
    <w:rsid w:val="00ED6328"/>
    <w:rsid w:val="00ED634E"/>
    <w:rsid w:val="00ED639D"/>
    <w:rsid w:val="00ED63AE"/>
    <w:rsid w:val="00ED6420"/>
    <w:rsid w:val="00ED6485"/>
    <w:rsid w:val="00ED66C8"/>
    <w:rsid w:val="00ED679F"/>
    <w:rsid w:val="00ED67E3"/>
    <w:rsid w:val="00ED67E5"/>
    <w:rsid w:val="00ED686A"/>
    <w:rsid w:val="00ED68D7"/>
    <w:rsid w:val="00ED6A07"/>
    <w:rsid w:val="00ED6BED"/>
    <w:rsid w:val="00ED6D1A"/>
    <w:rsid w:val="00ED6DA7"/>
    <w:rsid w:val="00ED6E60"/>
    <w:rsid w:val="00ED6EF7"/>
    <w:rsid w:val="00ED6FAA"/>
    <w:rsid w:val="00ED6FCA"/>
    <w:rsid w:val="00ED713D"/>
    <w:rsid w:val="00ED7169"/>
    <w:rsid w:val="00ED716B"/>
    <w:rsid w:val="00ED724E"/>
    <w:rsid w:val="00ED73C4"/>
    <w:rsid w:val="00ED73FB"/>
    <w:rsid w:val="00ED7702"/>
    <w:rsid w:val="00ED7A00"/>
    <w:rsid w:val="00ED7ABD"/>
    <w:rsid w:val="00ED7CF3"/>
    <w:rsid w:val="00ED7D24"/>
    <w:rsid w:val="00ED7E76"/>
    <w:rsid w:val="00EE0194"/>
    <w:rsid w:val="00EE019F"/>
    <w:rsid w:val="00EE01DB"/>
    <w:rsid w:val="00EE0239"/>
    <w:rsid w:val="00EE02F8"/>
    <w:rsid w:val="00EE039A"/>
    <w:rsid w:val="00EE04AF"/>
    <w:rsid w:val="00EE050B"/>
    <w:rsid w:val="00EE05D3"/>
    <w:rsid w:val="00EE06FB"/>
    <w:rsid w:val="00EE09D1"/>
    <w:rsid w:val="00EE09FA"/>
    <w:rsid w:val="00EE0D85"/>
    <w:rsid w:val="00EE0E78"/>
    <w:rsid w:val="00EE0EC3"/>
    <w:rsid w:val="00EE0F49"/>
    <w:rsid w:val="00EE0F5B"/>
    <w:rsid w:val="00EE1171"/>
    <w:rsid w:val="00EE1173"/>
    <w:rsid w:val="00EE11D9"/>
    <w:rsid w:val="00EE12C7"/>
    <w:rsid w:val="00EE144F"/>
    <w:rsid w:val="00EE17D8"/>
    <w:rsid w:val="00EE1986"/>
    <w:rsid w:val="00EE1A50"/>
    <w:rsid w:val="00EE1AC9"/>
    <w:rsid w:val="00EE1D6D"/>
    <w:rsid w:val="00EE1DA7"/>
    <w:rsid w:val="00EE1EF5"/>
    <w:rsid w:val="00EE1FD7"/>
    <w:rsid w:val="00EE2001"/>
    <w:rsid w:val="00EE2032"/>
    <w:rsid w:val="00EE2034"/>
    <w:rsid w:val="00EE2059"/>
    <w:rsid w:val="00EE2284"/>
    <w:rsid w:val="00EE22B2"/>
    <w:rsid w:val="00EE239B"/>
    <w:rsid w:val="00EE23C2"/>
    <w:rsid w:val="00EE24A0"/>
    <w:rsid w:val="00EE2505"/>
    <w:rsid w:val="00EE252C"/>
    <w:rsid w:val="00EE2691"/>
    <w:rsid w:val="00EE26AC"/>
    <w:rsid w:val="00EE2931"/>
    <w:rsid w:val="00EE2AE0"/>
    <w:rsid w:val="00EE2C74"/>
    <w:rsid w:val="00EE2D09"/>
    <w:rsid w:val="00EE2E55"/>
    <w:rsid w:val="00EE2ED6"/>
    <w:rsid w:val="00EE2FDE"/>
    <w:rsid w:val="00EE30F0"/>
    <w:rsid w:val="00EE3117"/>
    <w:rsid w:val="00EE32F0"/>
    <w:rsid w:val="00EE348F"/>
    <w:rsid w:val="00EE34AA"/>
    <w:rsid w:val="00EE364B"/>
    <w:rsid w:val="00EE365F"/>
    <w:rsid w:val="00EE36A1"/>
    <w:rsid w:val="00EE37F5"/>
    <w:rsid w:val="00EE3807"/>
    <w:rsid w:val="00EE38B9"/>
    <w:rsid w:val="00EE395F"/>
    <w:rsid w:val="00EE3A71"/>
    <w:rsid w:val="00EE3DCD"/>
    <w:rsid w:val="00EE3FA2"/>
    <w:rsid w:val="00EE4013"/>
    <w:rsid w:val="00EE4030"/>
    <w:rsid w:val="00EE4064"/>
    <w:rsid w:val="00EE4098"/>
    <w:rsid w:val="00EE41F0"/>
    <w:rsid w:val="00EE44BD"/>
    <w:rsid w:val="00EE454A"/>
    <w:rsid w:val="00EE4626"/>
    <w:rsid w:val="00EE4940"/>
    <w:rsid w:val="00EE49C3"/>
    <w:rsid w:val="00EE4B65"/>
    <w:rsid w:val="00EE4BF6"/>
    <w:rsid w:val="00EE4DDC"/>
    <w:rsid w:val="00EE504A"/>
    <w:rsid w:val="00EE519D"/>
    <w:rsid w:val="00EE55C6"/>
    <w:rsid w:val="00EE56D9"/>
    <w:rsid w:val="00EE57A3"/>
    <w:rsid w:val="00EE58FD"/>
    <w:rsid w:val="00EE5C61"/>
    <w:rsid w:val="00EE5D09"/>
    <w:rsid w:val="00EE5D85"/>
    <w:rsid w:val="00EE5E99"/>
    <w:rsid w:val="00EE602A"/>
    <w:rsid w:val="00EE60D8"/>
    <w:rsid w:val="00EE6537"/>
    <w:rsid w:val="00EE6593"/>
    <w:rsid w:val="00EE68F0"/>
    <w:rsid w:val="00EE68F5"/>
    <w:rsid w:val="00EE69B4"/>
    <w:rsid w:val="00EE6A4A"/>
    <w:rsid w:val="00EE6D64"/>
    <w:rsid w:val="00EE6D69"/>
    <w:rsid w:val="00EE6E25"/>
    <w:rsid w:val="00EE6EF9"/>
    <w:rsid w:val="00EE6F0E"/>
    <w:rsid w:val="00EE7188"/>
    <w:rsid w:val="00EE71DE"/>
    <w:rsid w:val="00EE71F0"/>
    <w:rsid w:val="00EE720E"/>
    <w:rsid w:val="00EE7246"/>
    <w:rsid w:val="00EE73FB"/>
    <w:rsid w:val="00EE74E8"/>
    <w:rsid w:val="00EE7503"/>
    <w:rsid w:val="00EE75A2"/>
    <w:rsid w:val="00EE769E"/>
    <w:rsid w:val="00EE76B0"/>
    <w:rsid w:val="00EE76B4"/>
    <w:rsid w:val="00EE7871"/>
    <w:rsid w:val="00EE7AC3"/>
    <w:rsid w:val="00EE7AFF"/>
    <w:rsid w:val="00EE7F19"/>
    <w:rsid w:val="00EE7F59"/>
    <w:rsid w:val="00EF0219"/>
    <w:rsid w:val="00EF03A5"/>
    <w:rsid w:val="00EF03EA"/>
    <w:rsid w:val="00EF0481"/>
    <w:rsid w:val="00EF0758"/>
    <w:rsid w:val="00EF07DD"/>
    <w:rsid w:val="00EF0831"/>
    <w:rsid w:val="00EF0945"/>
    <w:rsid w:val="00EF0A67"/>
    <w:rsid w:val="00EF0A6D"/>
    <w:rsid w:val="00EF0AEA"/>
    <w:rsid w:val="00EF0B10"/>
    <w:rsid w:val="00EF0C43"/>
    <w:rsid w:val="00EF0D57"/>
    <w:rsid w:val="00EF0F1D"/>
    <w:rsid w:val="00EF10FB"/>
    <w:rsid w:val="00EF1179"/>
    <w:rsid w:val="00EF11F8"/>
    <w:rsid w:val="00EF137B"/>
    <w:rsid w:val="00EF139C"/>
    <w:rsid w:val="00EF15E6"/>
    <w:rsid w:val="00EF1654"/>
    <w:rsid w:val="00EF1690"/>
    <w:rsid w:val="00EF16D4"/>
    <w:rsid w:val="00EF1807"/>
    <w:rsid w:val="00EF183D"/>
    <w:rsid w:val="00EF1A4C"/>
    <w:rsid w:val="00EF1C00"/>
    <w:rsid w:val="00EF1C9E"/>
    <w:rsid w:val="00EF1EE4"/>
    <w:rsid w:val="00EF1F05"/>
    <w:rsid w:val="00EF1F46"/>
    <w:rsid w:val="00EF204C"/>
    <w:rsid w:val="00EF212D"/>
    <w:rsid w:val="00EF21B3"/>
    <w:rsid w:val="00EF2295"/>
    <w:rsid w:val="00EF240C"/>
    <w:rsid w:val="00EF278E"/>
    <w:rsid w:val="00EF287D"/>
    <w:rsid w:val="00EF288B"/>
    <w:rsid w:val="00EF2990"/>
    <w:rsid w:val="00EF2B11"/>
    <w:rsid w:val="00EF315F"/>
    <w:rsid w:val="00EF316E"/>
    <w:rsid w:val="00EF3254"/>
    <w:rsid w:val="00EF328E"/>
    <w:rsid w:val="00EF32B0"/>
    <w:rsid w:val="00EF32CB"/>
    <w:rsid w:val="00EF354F"/>
    <w:rsid w:val="00EF37F1"/>
    <w:rsid w:val="00EF3A23"/>
    <w:rsid w:val="00EF3ED7"/>
    <w:rsid w:val="00EF3F70"/>
    <w:rsid w:val="00EF4061"/>
    <w:rsid w:val="00EF417D"/>
    <w:rsid w:val="00EF4323"/>
    <w:rsid w:val="00EF435A"/>
    <w:rsid w:val="00EF4399"/>
    <w:rsid w:val="00EF44D5"/>
    <w:rsid w:val="00EF4616"/>
    <w:rsid w:val="00EF461B"/>
    <w:rsid w:val="00EF461C"/>
    <w:rsid w:val="00EF4640"/>
    <w:rsid w:val="00EF46A4"/>
    <w:rsid w:val="00EF49A5"/>
    <w:rsid w:val="00EF49D3"/>
    <w:rsid w:val="00EF4AD4"/>
    <w:rsid w:val="00EF4C45"/>
    <w:rsid w:val="00EF4CB0"/>
    <w:rsid w:val="00EF4CC0"/>
    <w:rsid w:val="00EF4D66"/>
    <w:rsid w:val="00EF4DEC"/>
    <w:rsid w:val="00EF4EDF"/>
    <w:rsid w:val="00EF5166"/>
    <w:rsid w:val="00EF517A"/>
    <w:rsid w:val="00EF52BB"/>
    <w:rsid w:val="00EF5324"/>
    <w:rsid w:val="00EF55FF"/>
    <w:rsid w:val="00EF56CF"/>
    <w:rsid w:val="00EF56F3"/>
    <w:rsid w:val="00EF57D9"/>
    <w:rsid w:val="00EF57DD"/>
    <w:rsid w:val="00EF5842"/>
    <w:rsid w:val="00EF5897"/>
    <w:rsid w:val="00EF596A"/>
    <w:rsid w:val="00EF5976"/>
    <w:rsid w:val="00EF5A32"/>
    <w:rsid w:val="00EF5BAD"/>
    <w:rsid w:val="00EF5BBE"/>
    <w:rsid w:val="00EF5C27"/>
    <w:rsid w:val="00EF5CAC"/>
    <w:rsid w:val="00EF5D6D"/>
    <w:rsid w:val="00EF6145"/>
    <w:rsid w:val="00EF6315"/>
    <w:rsid w:val="00EF63A2"/>
    <w:rsid w:val="00EF6639"/>
    <w:rsid w:val="00EF6839"/>
    <w:rsid w:val="00EF6934"/>
    <w:rsid w:val="00EF69E7"/>
    <w:rsid w:val="00EF6B10"/>
    <w:rsid w:val="00EF6B1A"/>
    <w:rsid w:val="00EF6B89"/>
    <w:rsid w:val="00EF6CEA"/>
    <w:rsid w:val="00EF6E54"/>
    <w:rsid w:val="00EF7255"/>
    <w:rsid w:val="00EF7345"/>
    <w:rsid w:val="00EF7367"/>
    <w:rsid w:val="00EF7397"/>
    <w:rsid w:val="00EF73D5"/>
    <w:rsid w:val="00EF7437"/>
    <w:rsid w:val="00EF7543"/>
    <w:rsid w:val="00EF76B3"/>
    <w:rsid w:val="00EF7887"/>
    <w:rsid w:val="00EF789A"/>
    <w:rsid w:val="00EF79A1"/>
    <w:rsid w:val="00EF7A4C"/>
    <w:rsid w:val="00EF7AB0"/>
    <w:rsid w:val="00F000E8"/>
    <w:rsid w:val="00F00173"/>
    <w:rsid w:val="00F003DA"/>
    <w:rsid w:val="00F003F8"/>
    <w:rsid w:val="00F00432"/>
    <w:rsid w:val="00F00508"/>
    <w:rsid w:val="00F005E7"/>
    <w:rsid w:val="00F00635"/>
    <w:rsid w:val="00F0072D"/>
    <w:rsid w:val="00F00807"/>
    <w:rsid w:val="00F009B7"/>
    <w:rsid w:val="00F009C9"/>
    <w:rsid w:val="00F00AF6"/>
    <w:rsid w:val="00F00B25"/>
    <w:rsid w:val="00F00CB0"/>
    <w:rsid w:val="00F00D37"/>
    <w:rsid w:val="00F00D41"/>
    <w:rsid w:val="00F00E48"/>
    <w:rsid w:val="00F00E78"/>
    <w:rsid w:val="00F00EBA"/>
    <w:rsid w:val="00F00EEE"/>
    <w:rsid w:val="00F01101"/>
    <w:rsid w:val="00F01162"/>
    <w:rsid w:val="00F012A2"/>
    <w:rsid w:val="00F0149C"/>
    <w:rsid w:val="00F0159E"/>
    <w:rsid w:val="00F01651"/>
    <w:rsid w:val="00F01699"/>
    <w:rsid w:val="00F01800"/>
    <w:rsid w:val="00F0192A"/>
    <w:rsid w:val="00F01BE5"/>
    <w:rsid w:val="00F01F53"/>
    <w:rsid w:val="00F01FAE"/>
    <w:rsid w:val="00F0204A"/>
    <w:rsid w:val="00F021F7"/>
    <w:rsid w:val="00F022D2"/>
    <w:rsid w:val="00F02424"/>
    <w:rsid w:val="00F02515"/>
    <w:rsid w:val="00F025C5"/>
    <w:rsid w:val="00F0267A"/>
    <w:rsid w:val="00F0297A"/>
    <w:rsid w:val="00F02A67"/>
    <w:rsid w:val="00F02AB2"/>
    <w:rsid w:val="00F02B16"/>
    <w:rsid w:val="00F02B43"/>
    <w:rsid w:val="00F02CDA"/>
    <w:rsid w:val="00F031C6"/>
    <w:rsid w:val="00F032F6"/>
    <w:rsid w:val="00F032FE"/>
    <w:rsid w:val="00F03314"/>
    <w:rsid w:val="00F03411"/>
    <w:rsid w:val="00F03495"/>
    <w:rsid w:val="00F034FA"/>
    <w:rsid w:val="00F03605"/>
    <w:rsid w:val="00F03620"/>
    <w:rsid w:val="00F036B4"/>
    <w:rsid w:val="00F03710"/>
    <w:rsid w:val="00F03736"/>
    <w:rsid w:val="00F03913"/>
    <w:rsid w:val="00F03CF7"/>
    <w:rsid w:val="00F03EBA"/>
    <w:rsid w:val="00F03F0A"/>
    <w:rsid w:val="00F0409F"/>
    <w:rsid w:val="00F042D2"/>
    <w:rsid w:val="00F0430B"/>
    <w:rsid w:val="00F043A3"/>
    <w:rsid w:val="00F049CC"/>
    <w:rsid w:val="00F049D6"/>
    <w:rsid w:val="00F04A77"/>
    <w:rsid w:val="00F04AA0"/>
    <w:rsid w:val="00F04AB9"/>
    <w:rsid w:val="00F04C94"/>
    <w:rsid w:val="00F04EB5"/>
    <w:rsid w:val="00F0517E"/>
    <w:rsid w:val="00F0584D"/>
    <w:rsid w:val="00F05A9E"/>
    <w:rsid w:val="00F05BEF"/>
    <w:rsid w:val="00F05C19"/>
    <w:rsid w:val="00F05C5D"/>
    <w:rsid w:val="00F05E1C"/>
    <w:rsid w:val="00F05EE0"/>
    <w:rsid w:val="00F05F14"/>
    <w:rsid w:val="00F06069"/>
    <w:rsid w:val="00F061ED"/>
    <w:rsid w:val="00F06282"/>
    <w:rsid w:val="00F062A1"/>
    <w:rsid w:val="00F063B1"/>
    <w:rsid w:val="00F063C8"/>
    <w:rsid w:val="00F066C3"/>
    <w:rsid w:val="00F06767"/>
    <w:rsid w:val="00F0681E"/>
    <w:rsid w:val="00F068F7"/>
    <w:rsid w:val="00F069C5"/>
    <w:rsid w:val="00F06A4B"/>
    <w:rsid w:val="00F06A5F"/>
    <w:rsid w:val="00F06B64"/>
    <w:rsid w:val="00F06B8E"/>
    <w:rsid w:val="00F06BA0"/>
    <w:rsid w:val="00F06D8F"/>
    <w:rsid w:val="00F06DE3"/>
    <w:rsid w:val="00F06EEF"/>
    <w:rsid w:val="00F06F88"/>
    <w:rsid w:val="00F06F8F"/>
    <w:rsid w:val="00F07116"/>
    <w:rsid w:val="00F0714B"/>
    <w:rsid w:val="00F071E7"/>
    <w:rsid w:val="00F07338"/>
    <w:rsid w:val="00F0742A"/>
    <w:rsid w:val="00F074CE"/>
    <w:rsid w:val="00F075A2"/>
    <w:rsid w:val="00F07673"/>
    <w:rsid w:val="00F07937"/>
    <w:rsid w:val="00F07C30"/>
    <w:rsid w:val="00F07D1E"/>
    <w:rsid w:val="00F07D42"/>
    <w:rsid w:val="00F07DE8"/>
    <w:rsid w:val="00F07F8C"/>
    <w:rsid w:val="00F1009E"/>
    <w:rsid w:val="00F10117"/>
    <w:rsid w:val="00F1011D"/>
    <w:rsid w:val="00F10189"/>
    <w:rsid w:val="00F101EB"/>
    <w:rsid w:val="00F10232"/>
    <w:rsid w:val="00F10274"/>
    <w:rsid w:val="00F10381"/>
    <w:rsid w:val="00F104D2"/>
    <w:rsid w:val="00F10708"/>
    <w:rsid w:val="00F10713"/>
    <w:rsid w:val="00F10929"/>
    <w:rsid w:val="00F10B23"/>
    <w:rsid w:val="00F10BEE"/>
    <w:rsid w:val="00F10C6F"/>
    <w:rsid w:val="00F10D9B"/>
    <w:rsid w:val="00F10E45"/>
    <w:rsid w:val="00F10E5C"/>
    <w:rsid w:val="00F10F1F"/>
    <w:rsid w:val="00F11010"/>
    <w:rsid w:val="00F11129"/>
    <w:rsid w:val="00F113CC"/>
    <w:rsid w:val="00F1145F"/>
    <w:rsid w:val="00F1153E"/>
    <w:rsid w:val="00F116C1"/>
    <w:rsid w:val="00F116C7"/>
    <w:rsid w:val="00F116FD"/>
    <w:rsid w:val="00F11818"/>
    <w:rsid w:val="00F11836"/>
    <w:rsid w:val="00F1188C"/>
    <w:rsid w:val="00F1189A"/>
    <w:rsid w:val="00F118A7"/>
    <w:rsid w:val="00F11A13"/>
    <w:rsid w:val="00F11A83"/>
    <w:rsid w:val="00F11ABD"/>
    <w:rsid w:val="00F11AFA"/>
    <w:rsid w:val="00F11DEF"/>
    <w:rsid w:val="00F11E97"/>
    <w:rsid w:val="00F11EDB"/>
    <w:rsid w:val="00F11F13"/>
    <w:rsid w:val="00F12008"/>
    <w:rsid w:val="00F1212C"/>
    <w:rsid w:val="00F121DA"/>
    <w:rsid w:val="00F121E2"/>
    <w:rsid w:val="00F12208"/>
    <w:rsid w:val="00F1224A"/>
    <w:rsid w:val="00F124B2"/>
    <w:rsid w:val="00F1252E"/>
    <w:rsid w:val="00F12546"/>
    <w:rsid w:val="00F12560"/>
    <w:rsid w:val="00F1259B"/>
    <w:rsid w:val="00F12B11"/>
    <w:rsid w:val="00F12B4A"/>
    <w:rsid w:val="00F12B73"/>
    <w:rsid w:val="00F12BA5"/>
    <w:rsid w:val="00F12BF7"/>
    <w:rsid w:val="00F12C90"/>
    <w:rsid w:val="00F12CD2"/>
    <w:rsid w:val="00F12D7C"/>
    <w:rsid w:val="00F12EF4"/>
    <w:rsid w:val="00F130DB"/>
    <w:rsid w:val="00F13148"/>
    <w:rsid w:val="00F131A1"/>
    <w:rsid w:val="00F131ED"/>
    <w:rsid w:val="00F133EC"/>
    <w:rsid w:val="00F1354D"/>
    <w:rsid w:val="00F135D5"/>
    <w:rsid w:val="00F137C4"/>
    <w:rsid w:val="00F1382E"/>
    <w:rsid w:val="00F13830"/>
    <w:rsid w:val="00F13A8B"/>
    <w:rsid w:val="00F13AFD"/>
    <w:rsid w:val="00F13B6E"/>
    <w:rsid w:val="00F13B94"/>
    <w:rsid w:val="00F13E1D"/>
    <w:rsid w:val="00F13EFC"/>
    <w:rsid w:val="00F13F40"/>
    <w:rsid w:val="00F140D8"/>
    <w:rsid w:val="00F14136"/>
    <w:rsid w:val="00F14461"/>
    <w:rsid w:val="00F14533"/>
    <w:rsid w:val="00F1454F"/>
    <w:rsid w:val="00F14586"/>
    <w:rsid w:val="00F145C4"/>
    <w:rsid w:val="00F146F4"/>
    <w:rsid w:val="00F14DEC"/>
    <w:rsid w:val="00F14E75"/>
    <w:rsid w:val="00F1504A"/>
    <w:rsid w:val="00F150EE"/>
    <w:rsid w:val="00F15196"/>
    <w:rsid w:val="00F1526A"/>
    <w:rsid w:val="00F153E5"/>
    <w:rsid w:val="00F153FC"/>
    <w:rsid w:val="00F1542F"/>
    <w:rsid w:val="00F15539"/>
    <w:rsid w:val="00F1562E"/>
    <w:rsid w:val="00F156A2"/>
    <w:rsid w:val="00F156C2"/>
    <w:rsid w:val="00F156EB"/>
    <w:rsid w:val="00F157C7"/>
    <w:rsid w:val="00F1593B"/>
    <w:rsid w:val="00F15A6C"/>
    <w:rsid w:val="00F15B39"/>
    <w:rsid w:val="00F15B6A"/>
    <w:rsid w:val="00F15B7A"/>
    <w:rsid w:val="00F15C31"/>
    <w:rsid w:val="00F15CD2"/>
    <w:rsid w:val="00F15E81"/>
    <w:rsid w:val="00F15F42"/>
    <w:rsid w:val="00F16134"/>
    <w:rsid w:val="00F16344"/>
    <w:rsid w:val="00F1662F"/>
    <w:rsid w:val="00F167DB"/>
    <w:rsid w:val="00F16BD4"/>
    <w:rsid w:val="00F16C6E"/>
    <w:rsid w:val="00F170E4"/>
    <w:rsid w:val="00F173D7"/>
    <w:rsid w:val="00F17580"/>
    <w:rsid w:val="00F175DE"/>
    <w:rsid w:val="00F177A4"/>
    <w:rsid w:val="00F17895"/>
    <w:rsid w:val="00F17899"/>
    <w:rsid w:val="00F1792C"/>
    <w:rsid w:val="00F17F29"/>
    <w:rsid w:val="00F20021"/>
    <w:rsid w:val="00F201C6"/>
    <w:rsid w:val="00F20295"/>
    <w:rsid w:val="00F2037B"/>
    <w:rsid w:val="00F203B6"/>
    <w:rsid w:val="00F203C2"/>
    <w:rsid w:val="00F20447"/>
    <w:rsid w:val="00F20461"/>
    <w:rsid w:val="00F20509"/>
    <w:rsid w:val="00F205C6"/>
    <w:rsid w:val="00F206B0"/>
    <w:rsid w:val="00F206B5"/>
    <w:rsid w:val="00F2077A"/>
    <w:rsid w:val="00F208D7"/>
    <w:rsid w:val="00F20A74"/>
    <w:rsid w:val="00F20AFE"/>
    <w:rsid w:val="00F20B59"/>
    <w:rsid w:val="00F20C1B"/>
    <w:rsid w:val="00F20FF5"/>
    <w:rsid w:val="00F2106F"/>
    <w:rsid w:val="00F210A0"/>
    <w:rsid w:val="00F211FD"/>
    <w:rsid w:val="00F212EE"/>
    <w:rsid w:val="00F213D7"/>
    <w:rsid w:val="00F213F5"/>
    <w:rsid w:val="00F216BB"/>
    <w:rsid w:val="00F216E0"/>
    <w:rsid w:val="00F216F5"/>
    <w:rsid w:val="00F2172A"/>
    <w:rsid w:val="00F21754"/>
    <w:rsid w:val="00F21800"/>
    <w:rsid w:val="00F21853"/>
    <w:rsid w:val="00F21894"/>
    <w:rsid w:val="00F2189A"/>
    <w:rsid w:val="00F2197F"/>
    <w:rsid w:val="00F21DEE"/>
    <w:rsid w:val="00F21EC8"/>
    <w:rsid w:val="00F21F33"/>
    <w:rsid w:val="00F22017"/>
    <w:rsid w:val="00F2211E"/>
    <w:rsid w:val="00F221F9"/>
    <w:rsid w:val="00F223F2"/>
    <w:rsid w:val="00F225FD"/>
    <w:rsid w:val="00F22813"/>
    <w:rsid w:val="00F228AE"/>
    <w:rsid w:val="00F228D2"/>
    <w:rsid w:val="00F22939"/>
    <w:rsid w:val="00F229B3"/>
    <w:rsid w:val="00F22A86"/>
    <w:rsid w:val="00F22B8A"/>
    <w:rsid w:val="00F22BEE"/>
    <w:rsid w:val="00F22CD5"/>
    <w:rsid w:val="00F22DD5"/>
    <w:rsid w:val="00F22DFD"/>
    <w:rsid w:val="00F23024"/>
    <w:rsid w:val="00F2312B"/>
    <w:rsid w:val="00F23143"/>
    <w:rsid w:val="00F23164"/>
    <w:rsid w:val="00F232EE"/>
    <w:rsid w:val="00F23517"/>
    <w:rsid w:val="00F2358A"/>
    <w:rsid w:val="00F23634"/>
    <w:rsid w:val="00F2371F"/>
    <w:rsid w:val="00F2394F"/>
    <w:rsid w:val="00F239CA"/>
    <w:rsid w:val="00F23B70"/>
    <w:rsid w:val="00F23B9F"/>
    <w:rsid w:val="00F23BCD"/>
    <w:rsid w:val="00F23BF5"/>
    <w:rsid w:val="00F23CA5"/>
    <w:rsid w:val="00F23E4C"/>
    <w:rsid w:val="00F23EBA"/>
    <w:rsid w:val="00F23F02"/>
    <w:rsid w:val="00F23F86"/>
    <w:rsid w:val="00F24083"/>
    <w:rsid w:val="00F24182"/>
    <w:rsid w:val="00F241CD"/>
    <w:rsid w:val="00F2429D"/>
    <w:rsid w:val="00F24382"/>
    <w:rsid w:val="00F24434"/>
    <w:rsid w:val="00F24448"/>
    <w:rsid w:val="00F2445F"/>
    <w:rsid w:val="00F24519"/>
    <w:rsid w:val="00F24745"/>
    <w:rsid w:val="00F24785"/>
    <w:rsid w:val="00F249CA"/>
    <w:rsid w:val="00F249DB"/>
    <w:rsid w:val="00F24A6F"/>
    <w:rsid w:val="00F24AC1"/>
    <w:rsid w:val="00F24AF7"/>
    <w:rsid w:val="00F24B23"/>
    <w:rsid w:val="00F24C19"/>
    <w:rsid w:val="00F24D71"/>
    <w:rsid w:val="00F24E17"/>
    <w:rsid w:val="00F24EB7"/>
    <w:rsid w:val="00F24F4D"/>
    <w:rsid w:val="00F24FFD"/>
    <w:rsid w:val="00F25437"/>
    <w:rsid w:val="00F254A6"/>
    <w:rsid w:val="00F25532"/>
    <w:rsid w:val="00F2576B"/>
    <w:rsid w:val="00F25778"/>
    <w:rsid w:val="00F257BE"/>
    <w:rsid w:val="00F258BE"/>
    <w:rsid w:val="00F25B09"/>
    <w:rsid w:val="00F25B6E"/>
    <w:rsid w:val="00F25CC6"/>
    <w:rsid w:val="00F25D84"/>
    <w:rsid w:val="00F25F11"/>
    <w:rsid w:val="00F262A6"/>
    <w:rsid w:val="00F262DA"/>
    <w:rsid w:val="00F26449"/>
    <w:rsid w:val="00F2644E"/>
    <w:rsid w:val="00F2647F"/>
    <w:rsid w:val="00F264D4"/>
    <w:rsid w:val="00F26516"/>
    <w:rsid w:val="00F26588"/>
    <w:rsid w:val="00F26636"/>
    <w:rsid w:val="00F267B7"/>
    <w:rsid w:val="00F268D7"/>
    <w:rsid w:val="00F26A78"/>
    <w:rsid w:val="00F26AE3"/>
    <w:rsid w:val="00F26BB3"/>
    <w:rsid w:val="00F26C71"/>
    <w:rsid w:val="00F26D62"/>
    <w:rsid w:val="00F26DC2"/>
    <w:rsid w:val="00F26DFA"/>
    <w:rsid w:val="00F26E23"/>
    <w:rsid w:val="00F270F5"/>
    <w:rsid w:val="00F2710B"/>
    <w:rsid w:val="00F27134"/>
    <w:rsid w:val="00F27196"/>
    <w:rsid w:val="00F2733D"/>
    <w:rsid w:val="00F2759F"/>
    <w:rsid w:val="00F277BF"/>
    <w:rsid w:val="00F27803"/>
    <w:rsid w:val="00F27807"/>
    <w:rsid w:val="00F27868"/>
    <w:rsid w:val="00F278ED"/>
    <w:rsid w:val="00F279E2"/>
    <w:rsid w:val="00F27AFF"/>
    <w:rsid w:val="00F27B36"/>
    <w:rsid w:val="00F27B50"/>
    <w:rsid w:val="00F27D2D"/>
    <w:rsid w:val="00F27DB3"/>
    <w:rsid w:val="00F27E20"/>
    <w:rsid w:val="00F27FD4"/>
    <w:rsid w:val="00F3039F"/>
    <w:rsid w:val="00F30706"/>
    <w:rsid w:val="00F30710"/>
    <w:rsid w:val="00F30857"/>
    <w:rsid w:val="00F308D3"/>
    <w:rsid w:val="00F309BB"/>
    <w:rsid w:val="00F30A27"/>
    <w:rsid w:val="00F30AD8"/>
    <w:rsid w:val="00F30B20"/>
    <w:rsid w:val="00F30C10"/>
    <w:rsid w:val="00F30C2E"/>
    <w:rsid w:val="00F30C7F"/>
    <w:rsid w:val="00F30D19"/>
    <w:rsid w:val="00F30DBB"/>
    <w:rsid w:val="00F30DE4"/>
    <w:rsid w:val="00F30F3F"/>
    <w:rsid w:val="00F31073"/>
    <w:rsid w:val="00F3122C"/>
    <w:rsid w:val="00F312B7"/>
    <w:rsid w:val="00F312FE"/>
    <w:rsid w:val="00F3146C"/>
    <w:rsid w:val="00F31679"/>
    <w:rsid w:val="00F3169D"/>
    <w:rsid w:val="00F31791"/>
    <w:rsid w:val="00F3182E"/>
    <w:rsid w:val="00F3198D"/>
    <w:rsid w:val="00F31BDC"/>
    <w:rsid w:val="00F31C15"/>
    <w:rsid w:val="00F31CD5"/>
    <w:rsid w:val="00F31DBA"/>
    <w:rsid w:val="00F31DC2"/>
    <w:rsid w:val="00F31EE2"/>
    <w:rsid w:val="00F31F20"/>
    <w:rsid w:val="00F32036"/>
    <w:rsid w:val="00F32305"/>
    <w:rsid w:val="00F32366"/>
    <w:rsid w:val="00F32423"/>
    <w:rsid w:val="00F3255A"/>
    <w:rsid w:val="00F325C5"/>
    <w:rsid w:val="00F32639"/>
    <w:rsid w:val="00F327D3"/>
    <w:rsid w:val="00F3283E"/>
    <w:rsid w:val="00F328D5"/>
    <w:rsid w:val="00F3293A"/>
    <w:rsid w:val="00F32A65"/>
    <w:rsid w:val="00F32AA1"/>
    <w:rsid w:val="00F32AB0"/>
    <w:rsid w:val="00F32B4C"/>
    <w:rsid w:val="00F32CD1"/>
    <w:rsid w:val="00F32E1E"/>
    <w:rsid w:val="00F32E4C"/>
    <w:rsid w:val="00F33254"/>
    <w:rsid w:val="00F33341"/>
    <w:rsid w:val="00F333EF"/>
    <w:rsid w:val="00F334A3"/>
    <w:rsid w:val="00F337B7"/>
    <w:rsid w:val="00F33828"/>
    <w:rsid w:val="00F339FB"/>
    <w:rsid w:val="00F33C33"/>
    <w:rsid w:val="00F33E14"/>
    <w:rsid w:val="00F33E4C"/>
    <w:rsid w:val="00F33EC8"/>
    <w:rsid w:val="00F33F09"/>
    <w:rsid w:val="00F33F8A"/>
    <w:rsid w:val="00F34077"/>
    <w:rsid w:val="00F34094"/>
    <w:rsid w:val="00F340A5"/>
    <w:rsid w:val="00F340E7"/>
    <w:rsid w:val="00F3423C"/>
    <w:rsid w:val="00F3433C"/>
    <w:rsid w:val="00F345B3"/>
    <w:rsid w:val="00F346D7"/>
    <w:rsid w:val="00F34700"/>
    <w:rsid w:val="00F3496E"/>
    <w:rsid w:val="00F3497A"/>
    <w:rsid w:val="00F34A0E"/>
    <w:rsid w:val="00F34A94"/>
    <w:rsid w:val="00F34DDD"/>
    <w:rsid w:val="00F34E08"/>
    <w:rsid w:val="00F34F2B"/>
    <w:rsid w:val="00F34F95"/>
    <w:rsid w:val="00F35005"/>
    <w:rsid w:val="00F35054"/>
    <w:rsid w:val="00F351DA"/>
    <w:rsid w:val="00F352F4"/>
    <w:rsid w:val="00F352F7"/>
    <w:rsid w:val="00F353E6"/>
    <w:rsid w:val="00F355B5"/>
    <w:rsid w:val="00F3584F"/>
    <w:rsid w:val="00F3591B"/>
    <w:rsid w:val="00F35A9D"/>
    <w:rsid w:val="00F35C03"/>
    <w:rsid w:val="00F35C97"/>
    <w:rsid w:val="00F35DD5"/>
    <w:rsid w:val="00F36106"/>
    <w:rsid w:val="00F36195"/>
    <w:rsid w:val="00F362F4"/>
    <w:rsid w:val="00F3644E"/>
    <w:rsid w:val="00F3685C"/>
    <w:rsid w:val="00F36ACE"/>
    <w:rsid w:val="00F36B25"/>
    <w:rsid w:val="00F36E0B"/>
    <w:rsid w:val="00F36EC7"/>
    <w:rsid w:val="00F36F2B"/>
    <w:rsid w:val="00F36FD9"/>
    <w:rsid w:val="00F3703C"/>
    <w:rsid w:val="00F370C8"/>
    <w:rsid w:val="00F371DB"/>
    <w:rsid w:val="00F373DA"/>
    <w:rsid w:val="00F3742E"/>
    <w:rsid w:val="00F3745B"/>
    <w:rsid w:val="00F3752F"/>
    <w:rsid w:val="00F3759C"/>
    <w:rsid w:val="00F375B8"/>
    <w:rsid w:val="00F378F8"/>
    <w:rsid w:val="00F37AAE"/>
    <w:rsid w:val="00F37AD5"/>
    <w:rsid w:val="00F37B56"/>
    <w:rsid w:val="00F37D51"/>
    <w:rsid w:val="00F37F04"/>
    <w:rsid w:val="00F37F1B"/>
    <w:rsid w:val="00F37F28"/>
    <w:rsid w:val="00F37FB9"/>
    <w:rsid w:val="00F37FD2"/>
    <w:rsid w:val="00F40104"/>
    <w:rsid w:val="00F401B4"/>
    <w:rsid w:val="00F401EB"/>
    <w:rsid w:val="00F402FF"/>
    <w:rsid w:val="00F40380"/>
    <w:rsid w:val="00F40394"/>
    <w:rsid w:val="00F403FB"/>
    <w:rsid w:val="00F40569"/>
    <w:rsid w:val="00F4061F"/>
    <w:rsid w:val="00F40721"/>
    <w:rsid w:val="00F40775"/>
    <w:rsid w:val="00F40A9E"/>
    <w:rsid w:val="00F40B26"/>
    <w:rsid w:val="00F40C2C"/>
    <w:rsid w:val="00F40D14"/>
    <w:rsid w:val="00F40D6A"/>
    <w:rsid w:val="00F41158"/>
    <w:rsid w:val="00F4115E"/>
    <w:rsid w:val="00F41257"/>
    <w:rsid w:val="00F41499"/>
    <w:rsid w:val="00F41501"/>
    <w:rsid w:val="00F41597"/>
    <w:rsid w:val="00F41652"/>
    <w:rsid w:val="00F41753"/>
    <w:rsid w:val="00F4176C"/>
    <w:rsid w:val="00F418C0"/>
    <w:rsid w:val="00F41930"/>
    <w:rsid w:val="00F41B33"/>
    <w:rsid w:val="00F41B7B"/>
    <w:rsid w:val="00F41C86"/>
    <w:rsid w:val="00F41C88"/>
    <w:rsid w:val="00F41DA9"/>
    <w:rsid w:val="00F41E9F"/>
    <w:rsid w:val="00F41F1F"/>
    <w:rsid w:val="00F41FA0"/>
    <w:rsid w:val="00F41FA4"/>
    <w:rsid w:val="00F42019"/>
    <w:rsid w:val="00F420F0"/>
    <w:rsid w:val="00F420FF"/>
    <w:rsid w:val="00F42438"/>
    <w:rsid w:val="00F4244C"/>
    <w:rsid w:val="00F42498"/>
    <w:rsid w:val="00F424C6"/>
    <w:rsid w:val="00F42518"/>
    <w:rsid w:val="00F425EA"/>
    <w:rsid w:val="00F426C4"/>
    <w:rsid w:val="00F42720"/>
    <w:rsid w:val="00F42925"/>
    <w:rsid w:val="00F429EB"/>
    <w:rsid w:val="00F42A49"/>
    <w:rsid w:val="00F42ADA"/>
    <w:rsid w:val="00F42C5E"/>
    <w:rsid w:val="00F42CD5"/>
    <w:rsid w:val="00F42D40"/>
    <w:rsid w:val="00F42D51"/>
    <w:rsid w:val="00F42F21"/>
    <w:rsid w:val="00F4312C"/>
    <w:rsid w:val="00F431EE"/>
    <w:rsid w:val="00F43272"/>
    <w:rsid w:val="00F43330"/>
    <w:rsid w:val="00F4339A"/>
    <w:rsid w:val="00F433CA"/>
    <w:rsid w:val="00F4342D"/>
    <w:rsid w:val="00F434EB"/>
    <w:rsid w:val="00F43812"/>
    <w:rsid w:val="00F438B1"/>
    <w:rsid w:val="00F43907"/>
    <w:rsid w:val="00F4394E"/>
    <w:rsid w:val="00F439BC"/>
    <w:rsid w:val="00F43AAA"/>
    <w:rsid w:val="00F44016"/>
    <w:rsid w:val="00F440B6"/>
    <w:rsid w:val="00F440D2"/>
    <w:rsid w:val="00F4415F"/>
    <w:rsid w:val="00F442FB"/>
    <w:rsid w:val="00F44398"/>
    <w:rsid w:val="00F4453F"/>
    <w:rsid w:val="00F44684"/>
    <w:rsid w:val="00F44840"/>
    <w:rsid w:val="00F448B9"/>
    <w:rsid w:val="00F44973"/>
    <w:rsid w:val="00F44A4F"/>
    <w:rsid w:val="00F44D1F"/>
    <w:rsid w:val="00F44DE2"/>
    <w:rsid w:val="00F44E7B"/>
    <w:rsid w:val="00F45153"/>
    <w:rsid w:val="00F45202"/>
    <w:rsid w:val="00F454B8"/>
    <w:rsid w:val="00F45537"/>
    <w:rsid w:val="00F45628"/>
    <w:rsid w:val="00F456B1"/>
    <w:rsid w:val="00F456C3"/>
    <w:rsid w:val="00F457B5"/>
    <w:rsid w:val="00F4584E"/>
    <w:rsid w:val="00F45947"/>
    <w:rsid w:val="00F459D9"/>
    <w:rsid w:val="00F45B59"/>
    <w:rsid w:val="00F45BFD"/>
    <w:rsid w:val="00F45DD2"/>
    <w:rsid w:val="00F45E19"/>
    <w:rsid w:val="00F45FAB"/>
    <w:rsid w:val="00F4620B"/>
    <w:rsid w:val="00F4656C"/>
    <w:rsid w:val="00F4662C"/>
    <w:rsid w:val="00F4664A"/>
    <w:rsid w:val="00F46817"/>
    <w:rsid w:val="00F468A6"/>
    <w:rsid w:val="00F468B9"/>
    <w:rsid w:val="00F468E9"/>
    <w:rsid w:val="00F46CDD"/>
    <w:rsid w:val="00F46ED9"/>
    <w:rsid w:val="00F46EE5"/>
    <w:rsid w:val="00F47076"/>
    <w:rsid w:val="00F4711C"/>
    <w:rsid w:val="00F4711F"/>
    <w:rsid w:val="00F471F8"/>
    <w:rsid w:val="00F472F8"/>
    <w:rsid w:val="00F4740A"/>
    <w:rsid w:val="00F47447"/>
    <w:rsid w:val="00F4758A"/>
    <w:rsid w:val="00F47662"/>
    <w:rsid w:val="00F47740"/>
    <w:rsid w:val="00F47754"/>
    <w:rsid w:val="00F4783E"/>
    <w:rsid w:val="00F4786C"/>
    <w:rsid w:val="00F47B99"/>
    <w:rsid w:val="00F47D46"/>
    <w:rsid w:val="00F47DB3"/>
    <w:rsid w:val="00F47EC4"/>
    <w:rsid w:val="00F47EED"/>
    <w:rsid w:val="00F47F71"/>
    <w:rsid w:val="00F501DA"/>
    <w:rsid w:val="00F501FC"/>
    <w:rsid w:val="00F50492"/>
    <w:rsid w:val="00F5066C"/>
    <w:rsid w:val="00F5067F"/>
    <w:rsid w:val="00F506C6"/>
    <w:rsid w:val="00F50761"/>
    <w:rsid w:val="00F50826"/>
    <w:rsid w:val="00F50918"/>
    <w:rsid w:val="00F509C0"/>
    <w:rsid w:val="00F50A27"/>
    <w:rsid w:val="00F50AC9"/>
    <w:rsid w:val="00F50B9F"/>
    <w:rsid w:val="00F50D2C"/>
    <w:rsid w:val="00F50DFE"/>
    <w:rsid w:val="00F50E25"/>
    <w:rsid w:val="00F50F30"/>
    <w:rsid w:val="00F50F50"/>
    <w:rsid w:val="00F51106"/>
    <w:rsid w:val="00F511C9"/>
    <w:rsid w:val="00F511E3"/>
    <w:rsid w:val="00F51287"/>
    <w:rsid w:val="00F51307"/>
    <w:rsid w:val="00F5140E"/>
    <w:rsid w:val="00F5142F"/>
    <w:rsid w:val="00F51485"/>
    <w:rsid w:val="00F515E2"/>
    <w:rsid w:val="00F51860"/>
    <w:rsid w:val="00F51886"/>
    <w:rsid w:val="00F51A57"/>
    <w:rsid w:val="00F51D1B"/>
    <w:rsid w:val="00F51EF2"/>
    <w:rsid w:val="00F51F3F"/>
    <w:rsid w:val="00F51F5A"/>
    <w:rsid w:val="00F52213"/>
    <w:rsid w:val="00F522A7"/>
    <w:rsid w:val="00F52325"/>
    <w:rsid w:val="00F5237E"/>
    <w:rsid w:val="00F52658"/>
    <w:rsid w:val="00F526FD"/>
    <w:rsid w:val="00F52761"/>
    <w:rsid w:val="00F527E4"/>
    <w:rsid w:val="00F527FA"/>
    <w:rsid w:val="00F52804"/>
    <w:rsid w:val="00F5290F"/>
    <w:rsid w:val="00F529CA"/>
    <w:rsid w:val="00F52B09"/>
    <w:rsid w:val="00F52B80"/>
    <w:rsid w:val="00F52D51"/>
    <w:rsid w:val="00F52EA0"/>
    <w:rsid w:val="00F52F3D"/>
    <w:rsid w:val="00F52FF6"/>
    <w:rsid w:val="00F53027"/>
    <w:rsid w:val="00F530AC"/>
    <w:rsid w:val="00F531C7"/>
    <w:rsid w:val="00F5321F"/>
    <w:rsid w:val="00F5326E"/>
    <w:rsid w:val="00F537A9"/>
    <w:rsid w:val="00F537F0"/>
    <w:rsid w:val="00F538AF"/>
    <w:rsid w:val="00F53A57"/>
    <w:rsid w:val="00F53B69"/>
    <w:rsid w:val="00F53BDF"/>
    <w:rsid w:val="00F53CF6"/>
    <w:rsid w:val="00F53D4C"/>
    <w:rsid w:val="00F53E02"/>
    <w:rsid w:val="00F5427E"/>
    <w:rsid w:val="00F543DC"/>
    <w:rsid w:val="00F546A8"/>
    <w:rsid w:val="00F54724"/>
    <w:rsid w:val="00F54732"/>
    <w:rsid w:val="00F547AB"/>
    <w:rsid w:val="00F54A99"/>
    <w:rsid w:val="00F54AF6"/>
    <w:rsid w:val="00F54BE1"/>
    <w:rsid w:val="00F54C32"/>
    <w:rsid w:val="00F54C41"/>
    <w:rsid w:val="00F54C66"/>
    <w:rsid w:val="00F54CF0"/>
    <w:rsid w:val="00F54D58"/>
    <w:rsid w:val="00F5507A"/>
    <w:rsid w:val="00F5510E"/>
    <w:rsid w:val="00F55304"/>
    <w:rsid w:val="00F55403"/>
    <w:rsid w:val="00F55641"/>
    <w:rsid w:val="00F5564C"/>
    <w:rsid w:val="00F5574C"/>
    <w:rsid w:val="00F5575F"/>
    <w:rsid w:val="00F557F6"/>
    <w:rsid w:val="00F55912"/>
    <w:rsid w:val="00F55B2E"/>
    <w:rsid w:val="00F55B71"/>
    <w:rsid w:val="00F55C43"/>
    <w:rsid w:val="00F55CCA"/>
    <w:rsid w:val="00F55D76"/>
    <w:rsid w:val="00F55DC0"/>
    <w:rsid w:val="00F55FBB"/>
    <w:rsid w:val="00F55FDB"/>
    <w:rsid w:val="00F560F5"/>
    <w:rsid w:val="00F56186"/>
    <w:rsid w:val="00F56318"/>
    <w:rsid w:val="00F563B1"/>
    <w:rsid w:val="00F56518"/>
    <w:rsid w:val="00F565E4"/>
    <w:rsid w:val="00F56C8A"/>
    <w:rsid w:val="00F56DEA"/>
    <w:rsid w:val="00F570A3"/>
    <w:rsid w:val="00F570D9"/>
    <w:rsid w:val="00F571E3"/>
    <w:rsid w:val="00F57287"/>
    <w:rsid w:val="00F572B2"/>
    <w:rsid w:val="00F572E4"/>
    <w:rsid w:val="00F573B3"/>
    <w:rsid w:val="00F574D0"/>
    <w:rsid w:val="00F57581"/>
    <w:rsid w:val="00F57804"/>
    <w:rsid w:val="00F57806"/>
    <w:rsid w:val="00F578F1"/>
    <w:rsid w:val="00F57980"/>
    <w:rsid w:val="00F57A16"/>
    <w:rsid w:val="00F57A89"/>
    <w:rsid w:val="00F57A93"/>
    <w:rsid w:val="00F57BA9"/>
    <w:rsid w:val="00F57BB9"/>
    <w:rsid w:val="00F57DEF"/>
    <w:rsid w:val="00F57E08"/>
    <w:rsid w:val="00F57FE9"/>
    <w:rsid w:val="00F60265"/>
    <w:rsid w:val="00F6029E"/>
    <w:rsid w:val="00F602E9"/>
    <w:rsid w:val="00F60472"/>
    <w:rsid w:val="00F605CD"/>
    <w:rsid w:val="00F6097E"/>
    <w:rsid w:val="00F60A2B"/>
    <w:rsid w:val="00F60A44"/>
    <w:rsid w:val="00F60AD2"/>
    <w:rsid w:val="00F60B5B"/>
    <w:rsid w:val="00F60CC5"/>
    <w:rsid w:val="00F60D16"/>
    <w:rsid w:val="00F60EC4"/>
    <w:rsid w:val="00F6115A"/>
    <w:rsid w:val="00F6128A"/>
    <w:rsid w:val="00F612E1"/>
    <w:rsid w:val="00F61313"/>
    <w:rsid w:val="00F6133F"/>
    <w:rsid w:val="00F613CE"/>
    <w:rsid w:val="00F614AA"/>
    <w:rsid w:val="00F614EE"/>
    <w:rsid w:val="00F61539"/>
    <w:rsid w:val="00F6157E"/>
    <w:rsid w:val="00F6159C"/>
    <w:rsid w:val="00F61798"/>
    <w:rsid w:val="00F617A7"/>
    <w:rsid w:val="00F619F1"/>
    <w:rsid w:val="00F61AB6"/>
    <w:rsid w:val="00F61C07"/>
    <w:rsid w:val="00F61F2C"/>
    <w:rsid w:val="00F61F7A"/>
    <w:rsid w:val="00F61FB7"/>
    <w:rsid w:val="00F62010"/>
    <w:rsid w:val="00F6201B"/>
    <w:rsid w:val="00F6203D"/>
    <w:rsid w:val="00F621C9"/>
    <w:rsid w:val="00F6257E"/>
    <w:rsid w:val="00F62609"/>
    <w:rsid w:val="00F62863"/>
    <w:rsid w:val="00F62939"/>
    <w:rsid w:val="00F629C5"/>
    <w:rsid w:val="00F62A44"/>
    <w:rsid w:val="00F62B03"/>
    <w:rsid w:val="00F62B94"/>
    <w:rsid w:val="00F62BD4"/>
    <w:rsid w:val="00F62BD9"/>
    <w:rsid w:val="00F62CEE"/>
    <w:rsid w:val="00F62DA9"/>
    <w:rsid w:val="00F630CA"/>
    <w:rsid w:val="00F63228"/>
    <w:rsid w:val="00F63331"/>
    <w:rsid w:val="00F633BB"/>
    <w:rsid w:val="00F633C1"/>
    <w:rsid w:val="00F63467"/>
    <w:rsid w:val="00F6349B"/>
    <w:rsid w:val="00F634AE"/>
    <w:rsid w:val="00F634BF"/>
    <w:rsid w:val="00F634D6"/>
    <w:rsid w:val="00F63526"/>
    <w:rsid w:val="00F63705"/>
    <w:rsid w:val="00F6375F"/>
    <w:rsid w:val="00F63832"/>
    <w:rsid w:val="00F63840"/>
    <w:rsid w:val="00F63944"/>
    <w:rsid w:val="00F63A3F"/>
    <w:rsid w:val="00F63AED"/>
    <w:rsid w:val="00F63D69"/>
    <w:rsid w:val="00F63FB9"/>
    <w:rsid w:val="00F64010"/>
    <w:rsid w:val="00F64094"/>
    <w:rsid w:val="00F640D2"/>
    <w:rsid w:val="00F6425A"/>
    <w:rsid w:val="00F64404"/>
    <w:rsid w:val="00F64734"/>
    <w:rsid w:val="00F64781"/>
    <w:rsid w:val="00F647BD"/>
    <w:rsid w:val="00F649A4"/>
    <w:rsid w:val="00F649D4"/>
    <w:rsid w:val="00F64A2A"/>
    <w:rsid w:val="00F64AA7"/>
    <w:rsid w:val="00F64ACA"/>
    <w:rsid w:val="00F64B32"/>
    <w:rsid w:val="00F64D79"/>
    <w:rsid w:val="00F64E1A"/>
    <w:rsid w:val="00F64E6F"/>
    <w:rsid w:val="00F65047"/>
    <w:rsid w:val="00F6509B"/>
    <w:rsid w:val="00F650EF"/>
    <w:rsid w:val="00F651BA"/>
    <w:rsid w:val="00F65257"/>
    <w:rsid w:val="00F65263"/>
    <w:rsid w:val="00F652B7"/>
    <w:rsid w:val="00F654B6"/>
    <w:rsid w:val="00F655C6"/>
    <w:rsid w:val="00F657F2"/>
    <w:rsid w:val="00F65899"/>
    <w:rsid w:val="00F658F7"/>
    <w:rsid w:val="00F65A4C"/>
    <w:rsid w:val="00F65A9F"/>
    <w:rsid w:val="00F65B91"/>
    <w:rsid w:val="00F65DB5"/>
    <w:rsid w:val="00F66199"/>
    <w:rsid w:val="00F661CE"/>
    <w:rsid w:val="00F662EC"/>
    <w:rsid w:val="00F664DD"/>
    <w:rsid w:val="00F66A13"/>
    <w:rsid w:val="00F66ACD"/>
    <w:rsid w:val="00F66B54"/>
    <w:rsid w:val="00F66CCF"/>
    <w:rsid w:val="00F66CD6"/>
    <w:rsid w:val="00F66D85"/>
    <w:rsid w:val="00F66DC6"/>
    <w:rsid w:val="00F66E0F"/>
    <w:rsid w:val="00F66E89"/>
    <w:rsid w:val="00F66F43"/>
    <w:rsid w:val="00F6703A"/>
    <w:rsid w:val="00F6704E"/>
    <w:rsid w:val="00F67076"/>
    <w:rsid w:val="00F670A9"/>
    <w:rsid w:val="00F67132"/>
    <w:rsid w:val="00F671C5"/>
    <w:rsid w:val="00F673D8"/>
    <w:rsid w:val="00F6742D"/>
    <w:rsid w:val="00F675DB"/>
    <w:rsid w:val="00F67999"/>
    <w:rsid w:val="00F679A8"/>
    <w:rsid w:val="00F67A99"/>
    <w:rsid w:val="00F67BB8"/>
    <w:rsid w:val="00F67D74"/>
    <w:rsid w:val="00F67D76"/>
    <w:rsid w:val="00F67E84"/>
    <w:rsid w:val="00F67F9E"/>
    <w:rsid w:val="00F701C8"/>
    <w:rsid w:val="00F701FD"/>
    <w:rsid w:val="00F702C7"/>
    <w:rsid w:val="00F70383"/>
    <w:rsid w:val="00F705ED"/>
    <w:rsid w:val="00F7068E"/>
    <w:rsid w:val="00F70B54"/>
    <w:rsid w:val="00F70CCB"/>
    <w:rsid w:val="00F70D05"/>
    <w:rsid w:val="00F70D67"/>
    <w:rsid w:val="00F70DB1"/>
    <w:rsid w:val="00F70EC4"/>
    <w:rsid w:val="00F70F9F"/>
    <w:rsid w:val="00F7113B"/>
    <w:rsid w:val="00F7117B"/>
    <w:rsid w:val="00F7127D"/>
    <w:rsid w:val="00F7161A"/>
    <w:rsid w:val="00F716BC"/>
    <w:rsid w:val="00F7174D"/>
    <w:rsid w:val="00F71A99"/>
    <w:rsid w:val="00F71ABE"/>
    <w:rsid w:val="00F71EC4"/>
    <w:rsid w:val="00F71EFC"/>
    <w:rsid w:val="00F71FC4"/>
    <w:rsid w:val="00F7217A"/>
    <w:rsid w:val="00F72246"/>
    <w:rsid w:val="00F72304"/>
    <w:rsid w:val="00F72430"/>
    <w:rsid w:val="00F72489"/>
    <w:rsid w:val="00F72593"/>
    <w:rsid w:val="00F725B0"/>
    <w:rsid w:val="00F725F8"/>
    <w:rsid w:val="00F72609"/>
    <w:rsid w:val="00F72636"/>
    <w:rsid w:val="00F727F9"/>
    <w:rsid w:val="00F728DA"/>
    <w:rsid w:val="00F728F5"/>
    <w:rsid w:val="00F72ABA"/>
    <w:rsid w:val="00F72AE3"/>
    <w:rsid w:val="00F72B4C"/>
    <w:rsid w:val="00F72B54"/>
    <w:rsid w:val="00F72B8D"/>
    <w:rsid w:val="00F72C34"/>
    <w:rsid w:val="00F72C66"/>
    <w:rsid w:val="00F72CB0"/>
    <w:rsid w:val="00F72E7F"/>
    <w:rsid w:val="00F72F48"/>
    <w:rsid w:val="00F730B3"/>
    <w:rsid w:val="00F733B5"/>
    <w:rsid w:val="00F73486"/>
    <w:rsid w:val="00F734B6"/>
    <w:rsid w:val="00F734B9"/>
    <w:rsid w:val="00F7351E"/>
    <w:rsid w:val="00F73617"/>
    <w:rsid w:val="00F7362C"/>
    <w:rsid w:val="00F73729"/>
    <w:rsid w:val="00F73742"/>
    <w:rsid w:val="00F737D6"/>
    <w:rsid w:val="00F73886"/>
    <w:rsid w:val="00F73934"/>
    <w:rsid w:val="00F739F3"/>
    <w:rsid w:val="00F73B49"/>
    <w:rsid w:val="00F73EB5"/>
    <w:rsid w:val="00F74082"/>
    <w:rsid w:val="00F74452"/>
    <w:rsid w:val="00F746CD"/>
    <w:rsid w:val="00F74726"/>
    <w:rsid w:val="00F7485E"/>
    <w:rsid w:val="00F748C3"/>
    <w:rsid w:val="00F74E0C"/>
    <w:rsid w:val="00F75218"/>
    <w:rsid w:val="00F75298"/>
    <w:rsid w:val="00F752C8"/>
    <w:rsid w:val="00F752EC"/>
    <w:rsid w:val="00F75347"/>
    <w:rsid w:val="00F75437"/>
    <w:rsid w:val="00F754F9"/>
    <w:rsid w:val="00F75714"/>
    <w:rsid w:val="00F757B7"/>
    <w:rsid w:val="00F7581B"/>
    <w:rsid w:val="00F75AD0"/>
    <w:rsid w:val="00F75CA2"/>
    <w:rsid w:val="00F75CFC"/>
    <w:rsid w:val="00F75DC8"/>
    <w:rsid w:val="00F75DE2"/>
    <w:rsid w:val="00F75E98"/>
    <w:rsid w:val="00F75F89"/>
    <w:rsid w:val="00F75F95"/>
    <w:rsid w:val="00F7605D"/>
    <w:rsid w:val="00F76292"/>
    <w:rsid w:val="00F763A5"/>
    <w:rsid w:val="00F763D9"/>
    <w:rsid w:val="00F76589"/>
    <w:rsid w:val="00F765A9"/>
    <w:rsid w:val="00F766DC"/>
    <w:rsid w:val="00F767D4"/>
    <w:rsid w:val="00F76940"/>
    <w:rsid w:val="00F76960"/>
    <w:rsid w:val="00F76A57"/>
    <w:rsid w:val="00F76A89"/>
    <w:rsid w:val="00F76ACA"/>
    <w:rsid w:val="00F76B37"/>
    <w:rsid w:val="00F76C0F"/>
    <w:rsid w:val="00F772A9"/>
    <w:rsid w:val="00F772CE"/>
    <w:rsid w:val="00F77363"/>
    <w:rsid w:val="00F77544"/>
    <w:rsid w:val="00F77565"/>
    <w:rsid w:val="00F7775C"/>
    <w:rsid w:val="00F77768"/>
    <w:rsid w:val="00F77798"/>
    <w:rsid w:val="00F777BC"/>
    <w:rsid w:val="00F77884"/>
    <w:rsid w:val="00F779DF"/>
    <w:rsid w:val="00F77B28"/>
    <w:rsid w:val="00F77D3A"/>
    <w:rsid w:val="00F77DA7"/>
    <w:rsid w:val="00F77E4B"/>
    <w:rsid w:val="00F77F78"/>
    <w:rsid w:val="00F800B1"/>
    <w:rsid w:val="00F800D1"/>
    <w:rsid w:val="00F80108"/>
    <w:rsid w:val="00F8019C"/>
    <w:rsid w:val="00F80214"/>
    <w:rsid w:val="00F8024D"/>
    <w:rsid w:val="00F802AD"/>
    <w:rsid w:val="00F80305"/>
    <w:rsid w:val="00F803C2"/>
    <w:rsid w:val="00F805A7"/>
    <w:rsid w:val="00F805A8"/>
    <w:rsid w:val="00F80714"/>
    <w:rsid w:val="00F80856"/>
    <w:rsid w:val="00F80929"/>
    <w:rsid w:val="00F80A11"/>
    <w:rsid w:val="00F80A9A"/>
    <w:rsid w:val="00F80AD9"/>
    <w:rsid w:val="00F80B45"/>
    <w:rsid w:val="00F80B99"/>
    <w:rsid w:val="00F80D66"/>
    <w:rsid w:val="00F81109"/>
    <w:rsid w:val="00F81216"/>
    <w:rsid w:val="00F8125C"/>
    <w:rsid w:val="00F81468"/>
    <w:rsid w:val="00F814AF"/>
    <w:rsid w:val="00F814D1"/>
    <w:rsid w:val="00F815EB"/>
    <w:rsid w:val="00F81701"/>
    <w:rsid w:val="00F81813"/>
    <w:rsid w:val="00F8190E"/>
    <w:rsid w:val="00F81A57"/>
    <w:rsid w:val="00F81ACE"/>
    <w:rsid w:val="00F81B7B"/>
    <w:rsid w:val="00F82189"/>
    <w:rsid w:val="00F82269"/>
    <w:rsid w:val="00F825C1"/>
    <w:rsid w:val="00F825DD"/>
    <w:rsid w:val="00F8261A"/>
    <w:rsid w:val="00F82860"/>
    <w:rsid w:val="00F82876"/>
    <w:rsid w:val="00F8287E"/>
    <w:rsid w:val="00F82898"/>
    <w:rsid w:val="00F828FB"/>
    <w:rsid w:val="00F82953"/>
    <w:rsid w:val="00F8299E"/>
    <w:rsid w:val="00F82B06"/>
    <w:rsid w:val="00F82B1B"/>
    <w:rsid w:val="00F82B5E"/>
    <w:rsid w:val="00F82B77"/>
    <w:rsid w:val="00F82BF3"/>
    <w:rsid w:val="00F82EFF"/>
    <w:rsid w:val="00F82F01"/>
    <w:rsid w:val="00F82FB8"/>
    <w:rsid w:val="00F82FFB"/>
    <w:rsid w:val="00F83037"/>
    <w:rsid w:val="00F830B4"/>
    <w:rsid w:val="00F83143"/>
    <w:rsid w:val="00F83385"/>
    <w:rsid w:val="00F83408"/>
    <w:rsid w:val="00F836EA"/>
    <w:rsid w:val="00F8378F"/>
    <w:rsid w:val="00F83816"/>
    <w:rsid w:val="00F8393C"/>
    <w:rsid w:val="00F83B14"/>
    <w:rsid w:val="00F83B26"/>
    <w:rsid w:val="00F83B73"/>
    <w:rsid w:val="00F83BC1"/>
    <w:rsid w:val="00F83CB9"/>
    <w:rsid w:val="00F83D64"/>
    <w:rsid w:val="00F83DA2"/>
    <w:rsid w:val="00F84103"/>
    <w:rsid w:val="00F84293"/>
    <w:rsid w:val="00F8433D"/>
    <w:rsid w:val="00F84344"/>
    <w:rsid w:val="00F84492"/>
    <w:rsid w:val="00F84713"/>
    <w:rsid w:val="00F84771"/>
    <w:rsid w:val="00F8478B"/>
    <w:rsid w:val="00F84D71"/>
    <w:rsid w:val="00F84DCC"/>
    <w:rsid w:val="00F84F21"/>
    <w:rsid w:val="00F85053"/>
    <w:rsid w:val="00F8512C"/>
    <w:rsid w:val="00F85140"/>
    <w:rsid w:val="00F851AB"/>
    <w:rsid w:val="00F851C3"/>
    <w:rsid w:val="00F853D4"/>
    <w:rsid w:val="00F85464"/>
    <w:rsid w:val="00F8551D"/>
    <w:rsid w:val="00F85572"/>
    <w:rsid w:val="00F855AE"/>
    <w:rsid w:val="00F8584E"/>
    <w:rsid w:val="00F85B4A"/>
    <w:rsid w:val="00F85B67"/>
    <w:rsid w:val="00F85D9D"/>
    <w:rsid w:val="00F85FC4"/>
    <w:rsid w:val="00F8619E"/>
    <w:rsid w:val="00F861A3"/>
    <w:rsid w:val="00F8632C"/>
    <w:rsid w:val="00F864C0"/>
    <w:rsid w:val="00F86504"/>
    <w:rsid w:val="00F8655A"/>
    <w:rsid w:val="00F86604"/>
    <w:rsid w:val="00F86759"/>
    <w:rsid w:val="00F868C6"/>
    <w:rsid w:val="00F86955"/>
    <w:rsid w:val="00F869A8"/>
    <w:rsid w:val="00F86AD9"/>
    <w:rsid w:val="00F86CD9"/>
    <w:rsid w:val="00F86E6A"/>
    <w:rsid w:val="00F86EFC"/>
    <w:rsid w:val="00F86F0B"/>
    <w:rsid w:val="00F86F5C"/>
    <w:rsid w:val="00F86F80"/>
    <w:rsid w:val="00F86FFF"/>
    <w:rsid w:val="00F871B7"/>
    <w:rsid w:val="00F87205"/>
    <w:rsid w:val="00F87481"/>
    <w:rsid w:val="00F87685"/>
    <w:rsid w:val="00F876AF"/>
    <w:rsid w:val="00F876D0"/>
    <w:rsid w:val="00F87736"/>
    <w:rsid w:val="00F877A5"/>
    <w:rsid w:val="00F87811"/>
    <w:rsid w:val="00F878A8"/>
    <w:rsid w:val="00F87987"/>
    <w:rsid w:val="00F879C2"/>
    <w:rsid w:val="00F87A65"/>
    <w:rsid w:val="00F87AA9"/>
    <w:rsid w:val="00F87B96"/>
    <w:rsid w:val="00F87BF3"/>
    <w:rsid w:val="00F87C5B"/>
    <w:rsid w:val="00F90128"/>
    <w:rsid w:val="00F9012A"/>
    <w:rsid w:val="00F9019E"/>
    <w:rsid w:val="00F9022D"/>
    <w:rsid w:val="00F90365"/>
    <w:rsid w:val="00F903D6"/>
    <w:rsid w:val="00F903E3"/>
    <w:rsid w:val="00F9043A"/>
    <w:rsid w:val="00F907A0"/>
    <w:rsid w:val="00F90986"/>
    <w:rsid w:val="00F90B37"/>
    <w:rsid w:val="00F90BA8"/>
    <w:rsid w:val="00F90C49"/>
    <w:rsid w:val="00F90DE7"/>
    <w:rsid w:val="00F90EBA"/>
    <w:rsid w:val="00F90ECC"/>
    <w:rsid w:val="00F90F38"/>
    <w:rsid w:val="00F91124"/>
    <w:rsid w:val="00F913C2"/>
    <w:rsid w:val="00F91410"/>
    <w:rsid w:val="00F9150D"/>
    <w:rsid w:val="00F91643"/>
    <w:rsid w:val="00F9173D"/>
    <w:rsid w:val="00F9174E"/>
    <w:rsid w:val="00F91816"/>
    <w:rsid w:val="00F918A9"/>
    <w:rsid w:val="00F91944"/>
    <w:rsid w:val="00F91B16"/>
    <w:rsid w:val="00F91C39"/>
    <w:rsid w:val="00F91CFC"/>
    <w:rsid w:val="00F91E95"/>
    <w:rsid w:val="00F92077"/>
    <w:rsid w:val="00F92091"/>
    <w:rsid w:val="00F92271"/>
    <w:rsid w:val="00F92294"/>
    <w:rsid w:val="00F92377"/>
    <w:rsid w:val="00F92396"/>
    <w:rsid w:val="00F924C2"/>
    <w:rsid w:val="00F92569"/>
    <w:rsid w:val="00F92583"/>
    <w:rsid w:val="00F925A4"/>
    <w:rsid w:val="00F925E6"/>
    <w:rsid w:val="00F92630"/>
    <w:rsid w:val="00F92700"/>
    <w:rsid w:val="00F92717"/>
    <w:rsid w:val="00F927DE"/>
    <w:rsid w:val="00F927F4"/>
    <w:rsid w:val="00F9295B"/>
    <w:rsid w:val="00F9297C"/>
    <w:rsid w:val="00F92BCD"/>
    <w:rsid w:val="00F92C44"/>
    <w:rsid w:val="00F92EFE"/>
    <w:rsid w:val="00F9328D"/>
    <w:rsid w:val="00F9343D"/>
    <w:rsid w:val="00F93441"/>
    <w:rsid w:val="00F934C6"/>
    <w:rsid w:val="00F935A7"/>
    <w:rsid w:val="00F936D2"/>
    <w:rsid w:val="00F937E6"/>
    <w:rsid w:val="00F93900"/>
    <w:rsid w:val="00F939C9"/>
    <w:rsid w:val="00F93A26"/>
    <w:rsid w:val="00F93C33"/>
    <w:rsid w:val="00F93C5E"/>
    <w:rsid w:val="00F93D49"/>
    <w:rsid w:val="00F93F54"/>
    <w:rsid w:val="00F93FD8"/>
    <w:rsid w:val="00F94067"/>
    <w:rsid w:val="00F940DC"/>
    <w:rsid w:val="00F9422B"/>
    <w:rsid w:val="00F94354"/>
    <w:rsid w:val="00F9451C"/>
    <w:rsid w:val="00F94535"/>
    <w:rsid w:val="00F94579"/>
    <w:rsid w:val="00F945CA"/>
    <w:rsid w:val="00F947C6"/>
    <w:rsid w:val="00F94870"/>
    <w:rsid w:val="00F94877"/>
    <w:rsid w:val="00F94AD3"/>
    <w:rsid w:val="00F94E9E"/>
    <w:rsid w:val="00F94F33"/>
    <w:rsid w:val="00F94FCC"/>
    <w:rsid w:val="00F94FF2"/>
    <w:rsid w:val="00F9505B"/>
    <w:rsid w:val="00F9516C"/>
    <w:rsid w:val="00F9518B"/>
    <w:rsid w:val="00F952A2"/>
    <w:rsid w:val="00F952CF"/>
    <w:rsid w:val="00F95311"/>
    <w:rsid w:val="00F95348"/>
    <w:rsid w:val="00F9535C"/>
    <w:rsid w:val="00F953AA"/>
    <w:rsid w:val="00F953B4"/>
    <w:rsid w:val="00F95466"/>
    <w:rsid w:val="00F954E5"/>
    <w:rsid w:val="00F95790"/>
    <w:rsid w:val="00F95816"/>
    <w:rsid w:val="00F958B9"/>
    <w:rsid w:val="00F95A33"/>
    <w:rsid w:val="00F95D00"/>
    <w:rsid w:val="00F95D5F"/>
    <w:rsid w:val="00F95ED0"/>
    <w:rsid w:val="00F95EF1"/>
    <w:rsid w:val="00F95F21"/>
    <w:rsid w:val="00F95F95"/>
    <w:rsid w:val="00F95F9A"/>
    <w:rsid w:val="00F960FA"/>
    <w:rsid w:val="00F961A8"/>
    <w:rsid w:val="00F963B3"/>
    <w:rsid w:val="00F9645F"/>
    <w:rsid w:val="00F96684"/>
    <w:rsid w:val="00F9672A"/>
    <w:rsid w:val="00F96758"/>
    <w:rsid w:val="00F968E6"/>
    <w:rsid w:val="00F96A05"/>
    <w:rsid w:val="00F96A21"/>
    <w:rsid w:val="00F96B45"/>
    <w:rsid w:val="00F96DDE"/>
    <w:rsid w:val="00F96EEB"/>
    <w:rsid w:val="00F96EF8"/>
    <w:rsid w:val="00F9701E"/>
    <w:rsid w:val="00F9709C"/>
    <w:rsid w:val="00F9716D"/>
    <w:rsid w:val="00F9736A"/>
    <w:rsid w:val="00F974DE"/>
    <w:rsid w:val="00F97544"/>
    <w:rsid w:val="00F97548"/>
    <w:rsid w:val="00F97637"/>
    <w:rsid w:val="00F97664"/>
    <w:rsid w:val="00F977B1"/>
    <w:rsid w:val="00F97929"/>
    <w:rsid w:val="00F97995"/>
    <w:rsid w:val="00F97997"/>
    <w:rsid w:val="00F979DF"/>
    <w:rsid w:val="00F97B72"/>
    <w:rsid w:val="00F97C91"/>
    <w:rsid w:val="00F97D93"/>
    <w:rsid w:val="00F97E19"/>
    <w:rsid w:val="00FA0079"/>
    <w:rsid w:val="00FA007C"/>
    <w:rsid w:val="00FA0085"/>
    <w:rsid w:val="00FA0224"/>
    <w:rsid w:val="00FA04A2"/>
    <w:rsid w:val="00FA0518"/>
    <w:rsid w:val="00FA066A"/>
    <w:rsid w:val="00FA067F"/>
    <w:rsid w:val="00FA06D1"/>
    <w:rsid w:val="00FA06D4"/>
    <w:rsid w:val="00FA0853"/>
    <w:rsid w:val="00FA087D"/>
    <w:rsid w:val="00FA099F"/>
    <w:rsid w:val="00FA0A00"/>
    <w:rsid w:val="00FA0B61"/>
    <w:rsid w:val="00FA0C12"/>
    <w:rsid w:val="00FA0CB7"/>
    <w:rsid w:val="00FA0DE9"/>
    <w:rsid w:val="00FA0FEE"/>
    <w:rsid w:val="00FA1091"/>
    <w:rsid w:val="00FA1109"/>
    <w:rsid w:val="00FA12B3"/>
    <w:rsid w:val="00FA1770"/>
    <w:rsid w:val="00FA1776"/>
    <w:rsid w:val="00FA1799"/>
    <w:rsid w:val="00FA1B86"/>
    <w:rsid w:val="00FA1BAD"/>
    <w:rsid w:val="00FA1D09"/>
    <w:rsid w:val="00FA1F1B"/>
    <w:rsid w:val="00FA20DB"/>
    <w:rsid w:val="00FA21DE"/>
    <w:rsid w:val="00FA235D"/>
    <w:rsid w:val="00FA25A9"/>
    <w:rsid w:val="00FA2661"/>
    <w:rsid w:val="00FA29D7"/>
    <w:rsid w:val="00FA2D61"/>
    <w:rsid w:val="00FA2D62"/>
    <w:rsid w:val="00FA2EE4"/>
    <w:rsid w:val="00FA3045"/>
    <w:rsid w:val="00FA32B3"/>
    <w:rsid w:val="00FA3353"/>
    <w:rsid w:val="00FA3359"/>
    <w:rsid w:val="00FA338D"/>
    <w:rsid w:val="00FA3436"/>
    <w:rsid w:val="00FA3492"/>
    <w:rsid w:val="00FA3673"/>
    <w:rsid w:val="00FA3785"/>
    <w:rsid w:val="00FA390E"/>
    <w:rsid w:val="00FA3955"/>
    <w:rsid w:val="00FA3A13"/>
    <w:rsid w:val="00FA3A76"/>
    <w:rsid w:val="00FA3C14"/>
    <w:rsid w:val="00FA3C27"/>
    <w:rsid w:val="00FA3D70"/>
    <w:rsid w:val="00FA3F72"/>
    <w:rsid w:val="00FA406B"/>
    <w:rsid w:val="00FA41C8"/>
    <w:rsid w:val="00FA41E2"/>
    <w:rsid w:val="00FA42C0"/>
    <w:rsid w:val="00FA42C1"/>
    <w:rsid w:val="00FA4327"/>
    <w:rsid w:val="00FA43DB"/>
    <w:rsid w:val="00FA4401"/>
    <w:rsid w:val="00FA45D7"/>
    <w:rsid w:val="00FA45E0"/>
    <w:rsid w:val="00FA4819"/>
    <w:rsid w:val="00FA48E4"/>
    <w:rsid w:val="00FA4BA5"/>
    <w:rsid w:val="00FA4DB5"/>
    <w:rsid w:val="00FA4EE8"/>
    <w:rsid w:val="00FA509E"/>
    <w:rsid w:val="00FA50B1"/>
    <w:rsid w:val="00FA5245"/>
    <w:rsid w:val="00FA52A3"/>
    <w:rsid w:val="00FA52AA"/>
    <w:rsid w:val="00FA5345"/>
    <w:rsid w:val="00FA547D"/>
    <w:rsid w:val="00FA566E"/>
    <w:rsid w:val="00FA59F1"/>
    <w:rsid w:val="00FA5A1A"/>
    <w:rsid w:val="00FA5A66"/>
    <w:rsid w:val="00FA5B41"/>
    <w:rsid w:val="00FA5C70"/>
    <w:rsid w:val="00FA5E02"/>
    <w:rsid w:val="00FA5E25"/>
    <w:rsid w:val="00FA5ECF"/>
    <w:rsid w:val="00FA6085"/>
    <w:rsid w:val="00FA60AF"/>
    <w:rsid w:val="00FA6108"/>
    <w:rsid w:val="00FA61DD"/>
    <w:rsid w:val="00FA63DC"/>
    <w:rsid w:val="00FA6412"/>
    <w:rsid w:val="00FA65FA"/>
    <w:rsid w:val="00FA6646"/>
    <w:rsid w:val="00FA6678"/>
    <w:rsid w:val="00FA687F"/>
    <w:rsid w:val="00FA68A7"/>
    <w:rsid w:val="00FA692A"/>
    <w:rsid w:val="00FA69DF"/>
    <w:rsid w:val="00FA6A56"/>
    <w:rsid w:val="00FA6B02"/>
    <w:rsid w:val="00FA6DC6"/>
    <w:rsid w:val="00FA6EF9"/>
    <w:rsid w:val="00FA6EFA"/>
    <w:rsid w:val="00FA6F24"/>
    <w:rsid w:val="00FA6FAE"/>
    <w:rsid w:val="00FA7094"/>
    <w:rsid w:val="00FA722C"/>
    <w:rsid w:val="00FA7544"/>
    <w:rsid w:val="00FA7635"/>
    <w:rsid w:val="00FA795A"/>
    <w:rsid w:val="00FA7A1F"/>
    <w:rsid w:val="00FA7C02"/>
    <w:rsid w:val="00FA7C1E"/>
    <w:rsid w:val="00FA7D11"/>
    <w:rsid w:val="00FA7E6D"/>
    <w:rsid w:val="00FA7EB9"/>
    <w:rsid w:val="00FB006D"/>
    <w:rsid w:val="00FB0181"/>
    <w:rsid w:val="00FB023D"/>
    <w:rsid w:val="00FB0274"/>
    <w:rsid w:val="00FB03F2"/>
    <w:rsid w:val="00FB0440"/>
    <w:rsid w:val="00FB04C1"/>
    <w:rsid w:val="00FB055A"/>
    <w:rsid w:val="00FB05AB"/>
    <w:rsid w:val="00FB05F3"/>
    <w:rsid w:val="00FB069A"/>
    <w:rsid w:val="00FB06C6"/>
    <w:rsid w:val="00FB0733"/>
    <w:rsid w:val="00FB07E5"/>
    <w:rsid w:val="00FB0835"/>
    <w:rsid w:val="00FB0910"/>
    <w:rsid w:val="00FB099A"/>
    <w:rsid w:val="00FB09F0"/>
    <w:rsid w:val="00FB0B99"/>
    <w:rsid w:val="00FB0CFF"/>
    <w:rsid w:val="00FB0D24"/>
    <w:rsid w:val="00FB0F29"/>
    <w:rsid w:val="00FB105F"/>
    <w:rsid w:val="00FB11C9"/>
    <w:rsid w:val="00FB1306"/>
    <w:rsid w:val="00FB1369"/>
    <w:rsid w:val="00FB136B"/>
    <w:rsid w:val="00FB1388"/>
    <w:rsid w:val="00FB13BB"/>
    <w:rsid w:val="00FB1636"/>
    <w:rsid w:val="00FB18C9"/>
    <w:rsid w:val="00FB1D1D"/>
    <w:rsid w:val="00FB1D2C"/>
    <w:rsid w:val="00FB1E3A"/>
    <w:rsid w:val="00FB1E6B"/>
    <w:rsid w:val="00FB1F5F"/>
    <w:rsid w:val="00FB2331"/>
    <w:rsid w:val="00FB2432"/>
    <w:rsid w:val="00FB24EF"/>
    <w:rsid w:val="00FB254B"/>
    <w:rsid w:val="00FB2863"/>
    <w:rsid w:val="00FB2A0C"/>
    <w:rsid w:val="00FB2A2B"/>
    <w:rsid w:val="00FB2B86"/>
    <w:rsid w:val="00FB2EB2"/>
    <w:rsid w:val="00FB304B"/>
    <w:rsid w:val="00FB309E"/>
    <w:rsid w:val="00FB30A9"/>
    <w:rsid w:val="00FB32F9"/>
    <w:rsid w:val="00FB346D"/>
    <w:rsid w:val="00FB353A"/>
    <w:rsid w:val="00FB357F"/>
    <w:rsid w:val="00FB359A"/>
    <w:rsid w:val="00FB363A"/>
    <w:rsid w:val="00FB36BA"/>
    <w:rsid w:val="00FB37A9"/>
    <w:rsid w:val="00FB39F0"/>
    <w:rsid w:val="00FB3CC2"/>
    <w:rsid w:val="00FB40AC"/>
    <w:rsid w:val="00FB40F9"/>
    <w:rsid w:val="00FB415E"/>
    <w:rsid w:val="00FB4182"/>
    <w:rsid w:val="00FB41EE"/>
    <w:rsid w:val="00FB4263"/>
    <w:rsid w:val="00FB4503"/>
    <w:rsid w:val="00FB46C7"/>
    <w:rsid w:val="00FB46D7"/>
    <w:rsid w:val="00FB4751"/>
    <w:rsid w:val="00FB480A"/>
    <w:rsid w:val="00FB4879"/>
    <w:rsid w:val="00FB48D3"/>
    <w:rsid w:val="00FB4941"/>
    <w:rsid w:val="00FB495B"/>
    <w:rsid w:val="00FB4A35"/>
    <w:rsid w:val="00FB4A8B"/>
    <w:rsid w:val="00FB4AB4"/>
    <w:rsid w:val="00FB4B49"/>
    <w:rsid w:val="00FB4CA4"/>
    <w:rsid w:val="00FB4CC2"/>
    <w:rsid w:val="00FB4CF4"/>
    <w:rsid w:val="00FB4E1A"/>
    <w:rsid w:val="00FB4E3B"/>
    <w:rsid w:val="00FB4E81"/>
    <w:rsid w:val="00FB4F0B"/>
    <w:rsid w:val="00FB4F64"/>
    <w:rsid w:val="00FB5473"/>
    <w:rsid w:val="00FB5897"/>
    <w:rsid w:val="00FB590E"/>
    <w:rsid w:val="00FB5BBF"/>
    <w:rsid w:val="00FB5CB2"/>
    <w:rsid w:val="00FB5CC0"/>
    <w:rsid w:val="00FB5D1D"/>
    <w:rsid w:val="00FB5D76"/>
    <w:rsid w:val="00FB5ED3"/>
    <w:rsid w:val="00FB5F02"/>
    <w:rsid w:val="00FB5F82"/>
    <w:rsid w:val="00FB614F"/>
    <w:rsid w:val="00FB6218"/>
    <w:rsid w:val="00FB63FE"/>
    <w:rsid w:val="00FB6709"/>
    <w:rsid w:val="00FB671B"/>
    <w:rsid w:val="00FB6806"/>
    <w:rsid w:val="00FB689B"/>
    <w:rsid w:val="00FB6947"/>
    <w:rsid w:val="00FB696F"/>
    <w:rsid w:val="00FB698A"/>
    <w:rsid w:val="00FB6B59"/>
    <w:rsid w:val="00FB6BB4"/>
    <w:rsid w:val="00FB6BC5"/>
    <w:rsid w:val="00FB6BFD"/>
    <w:rsid w:val="00FB6CD2"/>
    <w:rsid w:val="00FB6E11"/>
    <w:rsid w:val="00FB6FC7"/>
    <w:rsid w:val="00FB6FC9"/>
    <w:rsid w:val="00FB7105"/>
    <w:rsid w:val="00FB73D2"/>
    <w:rsid w:val="00FB7457"/>
    <w:rsid w:val="00FB7466"/>
    <w:rsid w:val="00FB7558"/>
    <w:rsid w:val="00FB764D"/>
    <w:rsid w:val="00FB7858"/>
    <w:rsid w:val="00FB7923"/>
    <w:rsid w:val="00FB7C4A"/>
    <w:rsid w:val="00FB7CC2"/>
    <w:rsid w:val="00FB7D61"/>
    <w:rsid w:val="00FB7FA9"/>
    <w:rsid w:val="00FC000B"/>
    <w:rsid w:val="00FC0146"/>
    <w:rsid w:val="00FC0267"/>
    <w:rsid w:val="00FC02D2"/>
    <w:rsid w:val="00FC02E6"/>
    <w:rsid w:val="00FC0500"/>
    <w:rsid w:val="00FC0568"/>
    <w:rsid w:val="00FC0654"/>
    <w:rsid w:val="00FC070C"/>
    <w:rsid w:val="00FC0770"/>
    <w:rsid w:val="00FC07F1"/>
    <w:rsid w:val="00FC0843"/>
    <w:rsid w:val="00FC0A7B"/>
    <w:rsid w:val="00FC0B06"/>
    <w:rsid w:val="00FC0BE2"/>
    <w:rsid w:val="00FC0C21"/>
    <w:rsid w:val="00FC0C4E"/>
    <w:rsid w:val="00FC0CB2"/>
    <w:rsid w:val="00FC0D36"/>
    <w:rsid w:val="00FC0D4E"/>
    <w:rsid w:val="00FC0D94"/>
    <w:rsid w:val="00FC0E9E"/>
    <w:rsid w:val="00FC0FA7"/>
    <w:rsid w:val="00FC1019"/>
    <w:rsid w:val="00FC106D"/>
    <w:rsid w:val="00FC11D3"/>
    <w:rsid w:val="00FC1350"/>
    <w:rsid w:val="00FC1402"/>
    <w:rsid w:val="00FC14A7"/>
    <w:rsid w:val="00FC1695"/>
    <w:rsid w:val="00FC16E7"/>
    <w:rsid w:val="00FC1728"/>
    <w:rsid w:val="00FC1828"/>
    <w:rsid w:val="00FC18DF"/>
    <w:rsid w:val="00FC18F3"/>
    <w:rsid w:val="00FC1934"/>
    <w:rsid w:val="00FC1984"/>
    <w:rsid w:val="00FC1A65"/>
    <w:rsid w:val="00FC1F3D"/>
    <w:rsid w:val="00FC20B1"/>
    <w:rsid w:val="00FC20E4"/>
    <w:rsid w:val="00FC21FA"/>
    <w:rsid w:val="00FC230E"/>
    <w:rsid w:val="00FC2440"/>
    <w:rsid w:val="00FC24CB"/>
    <w:rsid w:val="00FC28F2"/>
    <w:rsid w:val="00FC2B3F"/>
    <w:rsid w:val="00FC2D7F"/>
    <w:rsid w:val="00FC2FDA"/>
    <w:rsid w:val="00FC2FF7"/>
    <w:rsid w:val="00FC30CB"/>
    <w:rsid w:val="00FC31A6"/>
    <w:rsid w:val="00FC3388"/>
    <w:rsid w:val="00FC354B"/>
    <w:rsid w:val="00FC3768"/>
    <w:rsid w:val="00FC378C"/>
    <w:rsid w:val="00FC385D"/>
    <w:rsid w:val="00FC3A63"/>
    <w:rsid w:val="00FC3A73"/>
    <w:rsid w:val="00FC3B5E"/>
    <w:rsid w:val="00FC3BD1"/>
    <w:rsid w:val="00FC4132"/>
    <w:rsid w:val="00FC4181"/>
    <w:rsid w:val="00FC420B"/>
    <w:rsid w:val="00FC4251"/>
    <w:rsid w:val="00FC4357"/>
    <w:rsid w:val="00FC43B9"/>
    <w:rsid w:val="00FC4420"/>
    <w:rsid w:val="00FC4465"/>
    <w:rsid w:val="00FC45E8"/>
    <w:rsid w:val="00FC4615"/>
    <w:rsid w:val="00FC466C"/>
    <w:rsid w:val="00FC46C6"/>
    <w:rsid w:val="00FC4904"/>
    <w:rsid w:val="00FC4A1B"/>
    <w:rsid w:val="00FC4B32"/>
    <w:rsid w:val="00FC4C61"/>
    <w:rsid w:val="00FC4CAF"/>
    <w:rsid w:val="00FC4CBC"/>
    <w:rsid w:val="00FC4DCA"/>
    <w:rsid w:val="00FC4E54"/>
    <w:rsid w:val="00FC4F70"/>
    <w:rsid w:val="00FC50F3"/>
    <w:rsid w:val="00FC535F"/>
    <w:rsid w:val="00FC549C"/>
    <w:rsid w:val="00FC54B3"/>
    <w:rsid w:val="00FC5515"/>
    <w:rsid w:val="00FC5552"/>
    <w:rsid w:val="00FC55D3"/>
    <w:rsid w:val="00FC5742"/>
    <w:rsid w:val="00FC5788"/>
    <w:rsid w:val="00FC57C0"/>
    <w:rsid w:val="00FC57C8"/>
    <w:rsid w:val="00FC57DA"/>
    <w:rsid w:val="00FC587D"/>
    <w:rsid w:val="00FC58B1"/>
    <w:rsid w:val="00FC5978"/>
    <w:rsid w:val="00FC5A22"/>
    <w:rsid w:val="00FC5C0D"/>
    <w:rsid w:val="00FC5C2B"/>
    <w:rsid w:val="00FC5C90"/>
    <w:rsid w:val="00FC5CA2"/>
    <w:rsid w:val="00FC5E14"/>
    <w:rsid w:val="00FC5E27"/>
    <w:rsid w:val="00FC5F30"/>
    <w:rsid w:val="00FC6081"/>
    <w:rsid w:val="00FC60AD"/>
    <w:rsid w:val="00FC60AF"/>
    <w:rsid w:val="00FC618B"/>
    <w:rsid w:val="00FC620A"/>
    <w:rsid w:val="00FC6238"/>
    <w:rsid w:val="00FC6468"/>
    <w:rsid w:val="00FC655C"/>
    <w:rsid w:val="00FC65D1"/>
    <w:rsid w:val="00FC66D5"/>
    <w:rsid w:val="00FC68F8"/>
    <w:rsid w:val="00FC69A9"/>
    <w:rsid w:val="00FC69CA"/>
    <w:rsid w:val="00FC6AA5"/>
    <w:rsid w:val="00FC6AB6"/>
    <w:rsid w:val="00FC6B71"/>
    <w:rsid w:val="00FC6CD3"/>
    <w:rsid w:val="00FC6CF9"/>
    <w:rsid w:val="00FC6D5B"/>
    <w:rsid w:val="00FC6E43"/>
    <w:rsid w:val="00FC6EAC"/>
    <w:rsid w:val="00FC6F1A"/>
    <w:rsid w:val="00FC6F46"/>
    <w:rsid w:val="00FC710E"/>
    <w:rsid w:val="00FC7207"/>
    <w:rsid w:val="00FC75C9"/>
    <w:rsid w:val="00FC7621"/>
    <w:rsid w:val="00FC76D7"/>
    <w:rsid w:val="00FC7753"/>
    <w:rsid w:val="00FC788F"/>
    <w:rsid w:val="00FC7AF3"/>
    <w:rsid w:val="00FC7B27"/>
    <w:rsid w:val="00FD003C"/>
    <w:rsid w:val="00FD00A6"/>
    <w:rsid w:val="00FD019B"/>
    <w:rsid w:val="00FD02D1"/>
    <w:rsid w:val="00FD0324"/>
    <w:rsid w:val="00FD05E9"/>
    <w:rsid w:val="00FD078A"/>
    <w:rsid w:val="00FD07FF"/>
    <w:rsid w:val="00FD0A20"/>
    <w:rsid w:val="00FD0A26"/>
    <w:rsid w:val="00FD0AC4"/>
    <w:rsid w:val="00FD0B9E"/>
    <w:rsid w:val="00FD0DA0"/>
    <w:rsid w:val="00FD0DE1"/>
    <w:rsid w:val="00FD0E5A"/>
    <w:rsid w:val="00FD0F57"/>
    <w:rsid w:val="00FD1164"/>
    <w:rsid w:val="00FD1329"/>
    <w:rsid w:val="00FD174E"/>
    <w:rsid w:val="00FD17E7"/>
    <w:rsid w:val="00FD187A"/>
    <w:rsid w:val="00FD18BB"/>
    <w:rsid w:val="00FD1953"/>
    <w:rsid w:val="00FD198D"/>
    <w:rsid w:val="00FD1A8B"/>
    <w:rsid w:val="00FD1BB8"/>
    <w:rsid w:val="00FD1BFE"/>
    <w:rsid w:val="00FD1CA5"/>
    <w:rsid w:val="00FD1CBE"/>
    <w:rsid w:val="00FD1D02"/>
    <w:rsid w:val="00FD1D10"/>
    <w:rsid w:val="00FD1EEB"/>
    <w:rsid w:val="00FD1F09"/>
    <w:rsid w:val="00FD1F85"/>
    <w:rsid w:val="00FD2014"/>
    <w:rsid w:val="00FD20D6"/>
    <w:rsid w:val="00FD21FC"/>
    <w:rsid w:val="00FD249E"/>
    <w:rsid w:val="00FD26A4"/>
    <w:rsid w:val="00FD27C4"/>
    <w:rsid w:val="00FD27D0"/>
    <w:rsid w:val="00FD28CC"/>
    <w:rsid w:val="00FD2A3B"/>
    <w:rsid w:val="00FD2B8F"/>
    <w:rsid w:val="00FD2C68"/>
    <w:rsid w:val="00FD2E1B"/>
    <w:rsid w:val="00FD2E77"/>
    <w:rsid w:val="00FD2F39"/>
    <w:rsid w:val="00FD303C"/>
    <w:rsid w:val="00FD30C9"/>
    <w:rsid w:val="00FD3262"/>
    <w:rsid w:val="00FD3271"/>
    <w:rsid w:val="00FD327E"/>
    <w:rsid w:val="00FD3337"/>
    <w:rsid w:val="00FD3710"/>
    <w:rsid w:val="00FD375D"/>
    <w:rsid w:val="00FD37C9"/>
    <w:rsid w:val="00FD3C9D"/>
    <w:rsid w:val="00FD3E7D"/>
    <w:rsid w:val="00FD3FF2"/>
    <w:rsid w:val="00FD406B"/>
    <w:rsid w:val="00FD4459"/>
    <w:rsid w:val="00FD450F"/>
    <w:rsid w:val="00FD461C"/>
    <w:rsid w:val="00FD4713"/>
    <w:rsid w:val="00FD49EA"/>
    <w:rsid w:val="00FD4B2A"/>
    <w:rsid w:val="00FD4BC6"/>
    <w:rsid w:val="00FD4C8F"/>
    <w:rsid w:val="00FD4C9F"/>
    <w:rsid w:val="00FD4F20"/>
    <w:rsid w:val="00FD4F85"/>
    <w:rsid w:val="00FD514A"/>
    <w:rsid w:val="00FD5217"/>
    <w:rsid w:val="00FD5401"/>
    <w:rsid w:val="00FD5624"/>
    <w:rsid w:val="00FD56F0"/>
    <w:rsid w:val="00FD5B4D"/>
    <w:rsid w:val="00FD5CBF"/>
    <w:rsid w:val="00FD5CF4"/>
    <w:rsid w:val="00FD5E08"/>
    <w:rsid w:val="00FD606F"/>
    <w:rsid w:val="00FD6187"/>
    <w:rsid w:val="00FD620F"/>
    <w:rsid w:val="00FD6355"/>
    <w:rsid w:val="00FD63E9"/>
    <w:rsid w:val="00FD6513"/>
    <w:rsid w:val="00FD6581"/>
    <w:rsid w:val="00FD65D3"/>
    <w:rsid w:val="00FD66C4"/>
    <w:rsid w:val="00FD66F9"/>
    <w:rsid w:val="00FD6756"/>
    <w:rsid w:val="00FD6757"/>
    <w:rsid w:val="00FD688C"/>
    <w:rsid w:val="00FD6A9D"/>
    <w:rsid w:val="00FD6AD8"/>
    <w:rsid w:val="00FD6B0B"/>
    <w:rsid w:val="00FD6BC3"/>
    <w:rsid w:val="00FD6C9E"/>
    <w:rsid w:val="00FD6D97"/>
    <w:rsid w:val="00FD6EF5"/>
    <w:rsid w:val="00FD6F5C"/>
    <w:rsid w:val="00FD701F"/>
    <w:rsid w:val="00FD704B"/>
    <w:rsid w:val="00FD754D"/>
    <w:rsid w:val="00FD75E2"/>
    <w:rsid w:val="00FD7654"/>
    <w:rsid w:val="00FD7B0F"/>
    <w:rsid w:val="00FD7BFF"/>
    <w:rsid w:val="00FDF724"/>
    <w:rsid w:val="00FE0022"/>
    <w:rsid w:val="00FE003A"/>
    <w:rsid w:val="00FE0236"/>
    <w:rsid w:val="00FE02A2"/>
    <w:rsid w:val="00FE0369"/>
    <w:rsid w:val="00FE04E8"/>
    <w:rsid w:val="00FE058D"/>
    <w:rsid w:val="00FE05E7"/>
    <w:rsid w:val="00FE06AA"/>
    <w:rsid w:val="00FE0781"/>
    <w:rsid w:val="00FE07C6"/>
    <w:rsid w:val="00FE087A"/>
    <w:rsid w:val="00FE0CDE"/>
    <w:rsid w:val="00FE0D24"/>
    <w:rsid w:val="00FE0EA3"/>
    <w:rsid w:val="00FE0EF8"/>
    <w:rsid w:val="00FE10F2"/>
    <w:rsid w:val="00FE1119"/>
    <w:rsid w:val="00FE12B7"/>
    <w:rsid w:val="00FE12F3"/>
    <w:rsid w:val="00FE13F7"/>
    <w:rsid w:val="00FE1674"/>
    <w:rsid w:val="00FE16C0"/>
    <w:rsid w:val="00FE198D"/>
    <w:rsid w:val="00FE1AC0"/>
    <w:rsid w:val="00FE1ADD"/>
    <w:rsid w:val="00FE1B27"/>
    <w:rsid w:val="00FE1B4F"/>
    <w:rsid w:val="00FE1DB6"/>
    <w:rsid w:val="00FE1DC1"/>
    <w:rsid w:val="00FE1DF6"/>
    <w:rsid w:val="00FE1E82"/>
    <w:rsid w:val="00FE1F3E"/>
    <w:rsid w:val="00FE211B"/>
    <w:rsid w:val="00FE21A9"/>
    <w:rsid w:val="00FE226D"/>
    <w:rsid w:val="00FE23EB"/>
    <w:rsid w:val="00FE247C"/>
    <w:rsid w:val="00FE24A8"/>
    <w:rsid w:val="00FE2614"/>
    <w:rsid w:val="00FE274E"/>
    <w:rsid w:val="00FE298A"/>
    <w:rsid w:val="00FE2B1D"/>
    <w:rsid w:val="00FE2B42"/>
    <w:rsid w:val="00FE2BDA"/>
    <w:rsid w:val="00FE2E35"/>
    <w:rsid w:val="00FE2F1E"/>
    <w:rsid w:val="00FE3059"/>
    <w:rsid w:val="00FE312C"/>
    <w:rsid w:val="00FE318B"/>
    <w:rsid w:val="00FE31C1"/>
    <w:rsid w:val="00FE32B1"/>
    <w:rsid w:val="00FE32C6"/>
    <w:rsid w:val="00FE35D3"/>
    <w:rsid w:val="00FE3612"/>
    <w:rsid w:val="00FE36F0"/>
    <w:rsid w:val="00FE3733"/>
    <w:rsid w:val="00FE3946"/>
    <w:rsid w:val="00FE3A80"/>
    <w:rsid w:val="00FE3B19"/>
    <w:rsid w:val="00FE3BEC"/>
    <w:rsid w:val="00FE3CCD"/>
    <w:rsid w:val="00FE3D97"/>
    <w:rsid w:val="00FE3F90"/>
    <w:rsid w:val="00FE40B0"/>
    <w:rsid w:val="00FE40DE"/>
    <w:rsid w:val="00FE4142"/>
    <w:rsid w:val="00FE43C6"/>
    <w:rsid w:val="00FE4538"/>
    <w:rsid w:val="00FE4809"/>
    <w:rsid w:val="00FE4873"/>
    <w:rsid w:val="00FE4888"/>
    <w:rsid w:val="00FE49D9"/>
    <w:rsid w:val="00FE4B79"/>
    <w:rsid w:val="00FE4C64"/>
    <w:rsid w:val="00FE4D78"/>
    <w:rsid w:val="00FE4D97"/>
    <w:rsid w:val="00FE504B"/>
    <w:rsid w:val="00FE50DB"/>
    <w:rsid w:val="00FE51AC"/>
    <w:rsid w:val="00FE5615"/>
    <w:rsid w:val="00FE5809"/>
    <w:rsid w:val="00FE5ACC"/>
    <w:rsid w:val="00FE5B1E"/>
    <w:rsid w:val="00FE5BA8"/>
    <w:rsid w:val="00FE5BDA"/>
    <w:rsid w:val="00FE5BE7"/>
    <w:rsid w:val="00FE5C84"/>
    <w:rsid w:val="00FE5DB1"/>
    <w:rsid w:val="00FE5E8A"/>
    <w:rsid w:val="00FE60F4"/>
    <w:rsid w:val="00FE61BA"/>
    <w:rsid w:val="00FE620C"/>
    <w:rsid w:val="00FE6342"/>
    <w:rsid w:val="00FE63F5"/>
    <w:rsid w:val="00FE6497"/>
    <w:rsid w:val="00FE6659"/>
    <w:rsid w:val="00FE66AF"/>
    <w:rsid w:val="00FE6757"/>
    <w:rsid w:val="00FE6901"/>
    <w:rsid w:val="00FE6A13"/>
    <w:rsid w:val="00FE6AD7"/>
    <w:rsid w:val="00FE6D08"/>
    <w:rsid w:val="00FE6D1D"/>
    <w:rsid w:val="00FE6DD2"/>
    <w:rsid w:val="00FE6DEB"/>
    <w:rsid w:val="00FE6E5E"/>
    <w:rsid w:val="00FE6F36"/>
    <w:rsid w:val="00FE706F"/>
    <w:rsid w:val="00FE71E1"/>
    <w:rsid w:val="00FE7263"/>
    <w:rsid w:val="00FE73F7"/>
    <w:rsid w:val="00FE73FF"/>
    <w:rsid w:val="00FE75A2"/>
    <w:rsid w:val="00FE760A"/>
    <w:rsid w:val="00FE76E5"/>
    <w:rsid w:val="00FE7736"/>
    <w:rsid w:val="00FE7762"/>
    <w:rsid w:val="00FE778D"/>
    <w:rsid w:val="00FE7838"/>
    <w:rsid w:val="00FE7887"/>
    <w:rsid w:val="00FE793D"/>
    <w:rsid w:val="00FE7AB3"/>
    <w:rsid w:val="00FE7B23"/>
    <w:rsid w:val="00FE7C0D"/>
    <w:rsid w:val="00FE7C58"/>
    <w:rsid w:val="00FE7CD1"/>
    <w:rsid w:val="00FE7CDD"/>
    <w:rsid w:val="00FE7F11"/>
    <w:rsid w:val="00FE7F6F"/>
    <w:rsid w:val="00FE7FF8"/>
    <w:rsid w:val="00FEA32E"/>
    <w:rsid w:val="00FF020D"/>
    <w:rsid w:val="00FF0236"/>
    <w:rsid w:val="00FF0459"/>
    <w:rsid w:val="00FF0602"/>
    <w:rsid w:val="00FF0686"/>
    <w:rsid w:val="00FF0833"/>
    <w:rsid w:val="00FF0952"/>
    <w:rsid w:val="00FF0A38"/>
    <w:rsid w:val="00FF0A90"/>
    <w:rsid w:val="00FF0AA7"/>
    <w:rsid w:val="00FF0B0B"/>
    <w:rsid w:val="00FF0F29"/>
    <w:rsid w:val="00FF0F49"/>
    <w:rsid w:val="00FF0FD5"/>
    <w:rsid w:val="00FF1037"/>
    <w:rsid w:val="00FF105E"/>
    <w:rsid w:val="00FF1238"/>
    <w:rsid w:val="00FF1595"/>
    <w:rsid w:val="00FF1605"/>
    <w:rsid w:val="00FF1694"/>
    <w:rsid w:val="00FF1697"/>
    <w:rsid w:val="00FF16BD"/>
    <w:rsid w:val="00FF1783"/>
    <w:rsid w:val="00FF18AC"/>
    <w:rsid w:val="00FF18C2"/>
    <w:rsid w:val="00FF1ACC"/>
    <w:rsid w:val="00FF1BB4"/>
    <w:rsid w:val="00FF1BCD"/>
    <w:rsid w:val="00FF1BD0"/>
    <w:rsid w:val="00FF1BF4"/>
    <w:rsid w:val="00FF1DD8"/>
    <w:rsid w:val="00FF1FB9"/>
    <w:rsid w:val="00FF202B"/>
    <w:rsid w:val="00FF20D0"/>
    <w:rsid w:val="00FF213F"/>
    <w:rsid w:val="00FF2212"/>
    <w:rsid w:val="00FF2448"/>
    <w:rsid w:val="00FF25F5"/>
    <w:rsid w:val="00FF2929"/>
    <w:rsid w:val="00FF2A36"/>
    <w:rsid w:val="00FF2C07"/>
    <w:rsid w:val="00FF2DF8"/>
    <w:rsid w:val="00FF2E8A"/>
    <w:rsid w:val="00FF352A"/>
    <w:rsid w:val="00FF35D9"/>
    <w:rsid w:val="00FF3631"/>
    <w:rsid w:val="00FF364A"/>
    <w:rsid w:val="00FF370E"/>
    <w:rsid w:val="00FF399F"/>
    <w:rsid w:val="00FF39C7"/>
    <w:rsid w:val="00FF3B55"/>
    <w:rsid w:val="00FF3D1C"/>
    <w:rsid w:val="00FF3D9B"/>
    <w:rsid w:val="00FF3DC0"/>
    <w:rsid w:val="00FF3EBE"/>
    <w:rsid w:val="00FF4075"/>
    <w:rsid w:val="00FF40A4"/>
    <w:rsid w:val="00FF40F8"/>
    <w:rsid w:val="00FF41C2"/>
    <w:rsid w:val="00FF41F3"/>
    <w:rsid w:val="00FF4231"/>
    <w:rsid w:val="00FF42F8"/>
    <w:rsid w:val="00FF43B9"/>
    <w:rsid w:val="00FF44AA"/>
    <w:rsid w:val="00FF45C8"/>
    <w:rsid w:val="00FF46DE"/>
    <w:rsid w:val="00FF47F0"/>
    <w:rsid w:val="00FF4891"/>
    <w:rsid w:val="00FF48D5"/>
    <w:rsid w:val="00FF4B16"/>
    <w:rsid w:val="00FF4B53"/>
    <w:rsid w:val="00FF4B78"/>
    <w:rsid w:val="00FF4BF9"/>
    <w:rsid w:val="00FF4C2F"/>
    <w:rsid w:val="00FF4CEA"/>
    <w:rsid w:val="00FF4D0F"/>
    <w:rsid w:val="00FF4D28"/>
    <w:rsid w:val="00FF4D7D"/>
    <w:rsid w:val="00FF4EB7"/>
    <w:rsid w:val="00FF4F1E"/>
    <w:rsid w:val="00FF4F9D"/>
    <w:rsid w:val="00FF5094"/>
    <w:rsid w:val="00FF5190"/>
    <w:rsid w:val="00FF5360"/>
    <w:rsid w:val="00FF54D6"/>
    <w:rsid w:val="00FF55DF"/>
    <w:rsid w:val="00FF56E6"/>
    <w:rsid w:val="00FF5A73"/>
    <w:rsid w:val="00FF5D7A"/>
    <w:rsid w:val="00FF5DB0"/>
    <w:rsid w:val="00FF5FAB"/>
    <w:rsid w:val="00FF62C7"/>
    <w:rsid w:val="00FF62E8"/>
    <w:rsid w:val="00FF64E5"/>
    <w:rsid w:val="00FF67F1"/>
    <w:rsid w:val="00FF6824"/>
    <w:rsid w:val="00FF68BC"/>
    <w:rsid w:val="00FF6945"/>
    <w:rsid w:val="00FF6E15"/>
    <w:rsid w:val="00FF6F32"/>
    <w:rsid w:val="00FF703D"/>
    <w:rsid w:val="00FF71E7"/>
    <w:rsid w:val="00FF728A"/>
    <w:rsid w:val="00FF7541"/>
    <w:rsid w:val="00FF7597"/>
    <w:rsid w:val="00FF77C1"/>
    <w:rsid w:val="00FF79A3"/>
    <w:rsid w:val="00FF7B5C"/>
    <w:rsid w:val="00FF7BA6"/>
    <w:rsid w:val="00FF7CEB"/>
    <w:rsid w:val="00FF7E91"/>
    <w:rsid w:val="00FFA4FE"/>
    <w:rsid w:val="01006B0F"/>
    <w:rsid w:val="01015C27"/>
    <w:rsid w:val="0101C7BC"/>
    <w:rsid w:val="0103DE7B"/>
    <w:rsid w:val="0104724B"/>
    <w:rsid w:val="01080FF8"/>
    <w:rsid w:val="0108AB9E"/>
    <w:rsid w:val="0110B376"/>
    <w:rsid w:val="0111FB3C"/>
    <w:rsid w:val="01123ED0"/>
    <w:rsid w:val="0112A034"/>
    <w:rsid w:val="01157FB2"/>
    <w:rsid w:val="011C1D13"/>
    <w:rsid w:val="011C5260"/>
    <w:rsid w:val="011D8884"/>
    <w:rsid w:val="0121AC86"/>
    <w:rsid w:val="0125F75F"/>
    <w:rsid w:val="0128D7F4"/>
    <w:rsid w:val="0128EB6A"/>
    <w:rsid w:val="012D41D0"/>
    <w:rsid w:val="012E499B"/>
    <w:rsid w:val="013002AB"/>
    <w:rsid w:val="01322CB1"/>
    <w:rsid w:val="01329370"/>
    <w:rsid w:val="0132C648"/>
    <w:rsid w:val="013F5574"/>
    <w:rsid w:val="0141D3D0"/>
    <w:rsid w:val="0146590E"/>
    <w:rsid w:val="014A5AD4"/>
    <w:rsid w:val="014D3ECD"/>
    <w:rsid w:val="014DA597"/>
    <w:rsid w:val="014E7C79"/>
    <w:rsid w:val="014EFD6E"/>
    <w:rsid w:val="015D3B9B"/>
    <w:rsid w:val="015F113C"/>
    <w:rsid w:val="0164259A"/>
    <w:rsid w:val="0164A25A"/>
    <w:rsid w:val="01679A90"/>
    <w:rsid w:val="0176C069"/>
    <w:rsid w:val="0177645B"/>
    <w:rsid w:val="0177918C"/>
    <w:rsid w:val="017A4ACE"/>
    <w:rsid w:val="017A636C"/>
    <w:rsid w:val="01802BE7"/>
    <w:rsid w:val="01809E09"/>
    <w:rsid w:val="0184486A"/>
    <w:rsid w:val="018953FF"/>
    <w:rsid w:val="0191492B"/>
    <w:rsid w:val="01925AC4"/>
    <w:rsid w:val="019BDBF3"/>
    <w:rsid w:val="01A25F28"/>
    <w:rsid w:val="01AF8E37"/>
    <w:rsid w:val="01B9CA94"/>
    <w:rsid w:val="01BAF11E"/>
    <w:rsid w:val="01C423FD"/>
    <w:rsid w:val="01C44A75"/>
    <w:rsid w:val="01C67F63"/>
    <w:rsid w:val="01C6C198"/>
    <w:rsid w:val="01CF4D56"/>
    <w:rsid w:val="01D36CF7"/>
    <w:rsid w:val="01D47DF7"/>
    <w:rsid w:val="01D4E197"/>
    <w:rsid w:val="01D5AEF1"/>
    <w:rsid w:val="01D66C1F"/>
    <w:rsid w:val="01DA0FDD"/>
    <w:rsid w:val="01DA9BAF"/>
    <w:rsid w:val="01DBFE2F"/>
    <w:rsid w:val="01DC691D"/>
    <w:rsid w:val="01DC99CF"/>
    <w:rsid w:val="01E2C8CA"/>
    <w:rsid w:val="01E60E8E"/>
    <w:rsid w:val="01F59484"/>
    <w:rsid w:val="01FDAC2B"/>
    <w:rsid w:val="0203EC30"/>
    <w:rsid w:val="02044772"/>
    <w:rsid w:val="0206D813"/>
    <w:rsid w:val="0208EC35"/>
    <w:rsid w:val="020BC04B"/>
    <w:rsid w:val="0216FE06"/>
    <w:rsid w:val="02189FAD"/>
    <w:rsid w:val="021E3C5A"/>
    <w:rsid w:val="0226F952"/>
    <w:rsid w:val="0228B538"/>
    <w:rsid w:val="02296DC3"/>
    <w:rsid w:val="0229C912"/>
    <w:rsid w:val="022DA0F8"/>
    <w:rsid w:val="022DAD7A"/>
    <w:rsid w:val="02316405"/>
    <w:rsid w:val="02342939"/>
    <w:rsid w:val="023F681B"/>
    <w:rsid w:val="023F6DD8"/>
    <w:rsid w:val="02418EB6"/>
    <w:rsid w:val="0241C3F8"/>
    <w:rsid w:val="0246B462"/>
    <w:rsid w:val="024E7AB3"/>
    <w:rsid w:val="02619146"/>
    <w:rsid w:val="0261C74E"/>
    <w:rsid w:val="0269AADB"/>
    <w:rsid w:val="02733423"/>
    <w:rsid w:val="027393F9"/>
    <w:rsid w:val="027E9A91"/>
    <w:rsid w:val="02896339"/>
    <w:rsid w:val="029274B3"/>
    <w:rsid w:val="0293F2D4"/>
    <w:rsid w:val="0294215F"/>
    <w:rsid w:val="029476DC"/>
    <w:rsid w:val="0294DB0F"/>
    <w:rsid w:val="02952AFF"/>
    <w:rsid w:val="02957B84"/>
    <w:rsid w:val="0298BBE3"/>
    <w:rsid w:val="02A558D6"/>
    <w:rsid w:val="02A5747D"/>
    <w:rsid w:val="02A5C9E4"/>
    <w:rsid w:val="02A687B5"/>
    <w:rsid w:val="02A6EB31"/>
    <w:rsid w:val="02A7CC64"/>
    <w:rsid w:val="02A9A227"/>
    <w:rsid w:val="02AAFE29"/>
    <w:rsid w:val="02AB2589"/>
    <w:rsid w:val="02B68990"/>
    <w:rsid w:val="02BF52B7"/>
    <w:rsid w:val="02C03CCB"/>
    <w:rsid w:val="02C545CE"/>
    <w:rsid w:val="02C8DC59"/>
    <w:rsid w:val="02C978F0"/>
    <w:rsid w:val="02D9A9CC"/>
    <w:rsid w:val="02DE7525"/>
    <w:rsid w:val="02E0505A"/>
    <w:rsid w:val="02E13AD2"/>
    <w:rsid w:val="02E32B72"/>
    <w:rsid w:val="02E4B16A"/>
    <w:rsid w:val="02E8103F"/>
    <w:rsid w:val="02EA848F"/>
    <w:rsid w:val="02EC4D58"/>
    <w:rsid w:val="02EE2BA1"/>
    <w:rsid w:val="02F72287"/>
    <w:rsid w:val="02F841E3"/>
    <w:rsid w:val="02FF0C76"/>
    <w:rsid w:val="03007EB0"/>
    <w:rsid w:val="0307270C"/>
    <w:rsid w:val="03072CFF"/>
    <w:rsid w:val="0309C989"/>
    <w:rsid w:val="030A0602"/>
    <w:rsid w:val="03112495"/>
    <w:rsid w:val="0317DA49"/>
    <w:rsid w:val="031A4D1F"/>
    <w:rsid w:val="0325CDB0"/>
    <w:rsid w:val="0328098A"/>
    <w:rsid w:val="032E39B4"/>
    <w:rsid w:val="032EA007"/>
    <w:rsid w:val="03303C96"/>
    <w:rsid w:val="03310765"/>
    <w:rsid w:val="0335E2FA"/>
    <w:rsid w:val="0336590A"/>
    <w:rsid w:val="033DC79F"/>
    <w:rsid w:val="03426D97"/>
    <w:rsid w:val="03467A58"/>
    <w:rsid w:val="0349BD6E"/>
    <w:rsid w:val="034D3F6E"/>
    <w:rsid w:val="035223A6"/>
    <w:rsid w:val="03541889"/>
    <w:rsid w:val="0365EE04"/>
    <w:rsid w:val="0366ACC7"/>
    <w:rsid w:val="03677094"/>
    <w:rsid w:val="036A525B"/>
    <w:rsid w:val="036F8344"/>
    <w:rsid w:val="0373169F"/>
    <w:rsid w:val="037344E6"/>
    <w:rsid w:val="037B0A82"/>
    <w:rsid w:val="0382CB7B"/>
    <w:rsid w:val="03844236"/>
    <w:rsid w:val="0385AF58"/>
    <w:rsid w:val="03882F43"/>
    <w:rsid w:val="038A7C9C"/>
    <w:rsid w:val="038AFAF3"/>
    <w:rsid w:val="038B0E00"/>
    <w:rsid w:val="038B452C"/>
    <w:rsid w:val="0395208E"/>
    <w:rsid w:val="0397A278"/>
    <w:rsid w:val="0399D53A"/>
    <w:rsid w:val="039C9D9A"/>
    <w:rsid w:val="03A1459A"/>
    <w:rsid w:val="03A3D090"/>
    <w:rsid w:val="03A4F074"/>
    <w:rsid w:val="03A564FE"/>
    <w:rsid w:val="03B00DBB"/>
    <w:rsid w:val="03B0266A"/>
    <w:rsid w:val="03B7BBFE"/>
    <w:rsid w:val="03B86D4F"/>
    <w:rsid w:val="03B8D920"/>
    <w:rsid w:val="03BA4E57"/>
    <w:rsid w:val="03BADD61"/>
    <w:rsid w:val="03BAF63A"/>
    <w:rsid w:val="03BCC981"/>
    <w:rsid w:val="03BCEFB2"/>
    <w:rsid w:val="03BE8901"/>
    <w:rsid w:val="03C09044"/>
    <w:rsid w:val="03C59E07"/>
    <w:rsid w:val="03CEEC72"/>
    <w:rsid w:val="03D192D4"/>
    <w:rsid w:val="03D40CC6"/>
    <w:rsid w:val="03D60D78"/>
    <w:rsid w:val="03D77A24"/>
    <w:rsid w:val="03DA3636"/>
    <w:rsid w:val="03DA4655"/>
    <w:rsid w:val="03E12453"/>
    <w:rsid w:val="03E7BBFA"/>
    <w:rsid w:val="03E7D4F8"/>
    <w:rsid w:val="03E847C1"/>
    <w:rsid w:val="03EA1B2A"/>
    <w:rsid w:val="03EF6E73"/>
    <w:rsid w:val="03F5DAC2"/>
    <w:rsid w:val="03F89DFF"/>
    <w:rsid w:val="03FA791D"/>
    <w:rsid w:val="0400FCE6"/>
    <w:rsid w:val="0401DFB1"/>
    <w:rsid w:val="04073275"/>
    <w:rsid w:val="040BFEBA"/>
    <w:rsid w:val="040D88CD"/>
    <w:rsid w:val="040E9F25"/>
    <w:rsid w:val="040EE440"/>
    <w:rsid w:val="04112116"/>
    <w:rsid w:val="041297CC"/>
    <w:rsid w:val="0416583A"/>
    <w:rsid w:val="04168AC5"/>
    <w:rsid w:val="041D832E"/>
    <w:rsid w:val="041DDAAF"/>
    <w:rsid w:val="041E474E"/>
    <w:rsid w:val="041EBFD4"/>
    <w:rsid w:val="04233040"/>
    <w:rsid w:val="0428085E"/>
    <w:rsid w:val="0428DE9E"/>
    <w:rsid w:val="0429B3CB"/>
    <w:rsid w:val="042EADED"/>
    <w:rsid w:val="043204CC"/>
    <w:rsid w:val="0433A557"/>
    <w:rsid w:val="04341CD5"/>
    <w:rsid w:val="04371025"/>
    <w:rsid w:val="043C7C4A"/>
    <w:rsid w:val="043FE408"/>
    <w:rsid w:val="044075E8"/>
    <w:rsid w:val="0440D2C1"/>
    <w:rsid w:val="044365CA"/>
    <w:rsid w:val="04440D64"/>
    <w:rsid w:val="0448193B"/>
    <w:rsid w:val="044A43BF"/>
    <w:rsid w:val="044D3E9F"/>
    <w:rsid w:val="0456F031"/>
    <w:rsid w:val="045CB0F9"/>
    <w:rsid w:val="045F30A9"/>
    <w:rsid w:val="0467F2F8"/>
    <w:rsid w:val="046C370F"/>
    <w:rsid w:val="046F32A5"/>
    <w:rsid w:val="04753E81"/>
    <w:rsid w:val="0476DA2A"/>
    <w:rsid w:val="04862E9C"/>
    <w:rsid w:val="0489B46F"/>
    <w:rsid w:val="048BBD95"/>
    <w:rsid w:val="048BD910"/>
    <w:rsid w:val="04901F16"/>
    <w:rsid w:val="04907932"/>
    <w:rsid w:val="049BA0F7"/>
    <w:rsid w:val="049F0872"/>
    <w:rsid w:val="04A2541E"/>
    <w:rsid w:val="04A26FC4"/>
    <w:rsid w:val="04A317BF"/>
    <w:rsid w:val="04A768E5"/>
    <w:rsid w:val="04AA66B6"/>
    <w:rsid w:val="04AB7F60"/>
    <w:rsid w:val="04B25815"/>
    <w:rsid w:val="04BC0A6E"/>
    <w:rsid w:val="04C222BC"/>
    <w:rsid w:val="04C4A612"/>
    <w:rsid w:val="04C8C1FA"/>
    <w:rsid w:val="04CE2400"/>
    <w:rsid w:val="04D1E65F"/>
    <w:rsid w:val="04D5A7AB"/>
    <w:rsid w:val="04D6E403"/>
    <w:rsid w:val="04D77DB6"/>
    <w:rsid w:val="04D8196E"/>
    <w:rsid w:val="04E15F49"/>
    <w:rsid w:val="04E1B33F"/>
    <w:rsid w:val="04E22C97"/>
    <w:rsid w:val="04E244CD"/>
    <w:rsid w:val="04E6BC3F"/>
    <w:rsid w:val="04E913C4"/>
    <w:rsid w:val="04F57994"/>
    <w:rsid w:val="04FE034E"/>
    <w:rsid w:val="0505ACA3"/>
    <w:rsid w:val="050642C7"/>
    <w:rsid w:val="0508870B"/>
    <w:rsid w:val="050EEA1F"/>
    <w:rsid w:val="0515E430"/>
    <w:rsid w:val="051B44BF"/>
    <w:rsid w:val="051D70F8"/>
    <w:rsid w:val="05215A68"/>
    <w:rsid w:val="052A2A6A"/>
    <w:rsid w:val="052AD138"/>
    <w:rsid w:val="052D87C9"/>
    <w:rsid w:val="05327EF1"/>
    <w:rsid w:val="0538BD90"/>
    <w:rsid w:val="053E2405"/>
    <w:rsid w:val="0542F3D1"/>
    <w:rsid w:val="05474750"/>
    <w:rsid w:val="0549F447"/>
    <w:rsid w:val="0550F1C7"/>
    <w:rsid w:val="0553A403"/>
    <w:rsid w:val="0554D186"/>
    <w:rsid w:val="05577DD0"/>
    <w:rsid w:val="0559EDC7"/>
    <w:rsid w:val="055F57C8"/>
    <w:rsid w:val="05642172"/>
    <w:rsid w:val="05685E38"/>
    <w:rsid w:val="05689F45"/>
    <w:rsid w:val="0572B148"/>
    <w:rsid w:val="0573016E"/>
    <w:rsid w:val="058178A5"/>
    <w:rsid w:val="0581C329"/>
    <w:rsid w:val="0584A3BC"/>
    <w:rsid w:val="058676D2"/>
    <w:rsid w:val="05883612"/>
    <w:rsid w:val="058ACCB5"/>
    <w:rsid w:val="058FA510"/>
    <w:rsid w:val="05917E93"/>
    <w:rsid w:val="05947A7C"/>
    <w:rsid w:val="059D9E2D"/>
    <w:rsid w:val="05A2E361"/>
    <w:rsid w:val="05A35F64"/>
    <w:rsid w:val="05A7B489"/>
    <w:rsid w:val="05A7C26D"/>
    <w:rsid w:val="05A82490"/>
    <w:rsid w:val="05AE144C"/>
    <w:rsid w:val="05AEB02D"/>
    <w:rsid w:val="05AF36EC"/>
    <w:rsid w:val="05B1AD2D"/>
    <w:rsid w:val="05B3E7A4"/>
    <w:rsid w:val="05B9D6A6"/>
    <w:rsid w:val="05B9ED00"/>
    <w:rsid w:val="05BD6CA7"/>
    <w:rsid w:val="05C4BE8A"/>
    <w:rsid w:val="05C66A14"/>
    <w:rsid w:val="05D1EB7F"/>
    <w:rsid w:val="05D60D27"/>
    <w:rsid w:val="05D94F31"/>
    <w:rsid w:val="05E01D1C"/>
    <w:rsid w:val="05E18D88"/>
    <w:rsid w:val="05EBF84B"/>
    <w:rsid w:val="05EC6F5F"/>
    <w:rsid w:val="05EC910D"/>
    <w:rsid w:val="05EDA3D9"/>
    <w:rsid w:val="05EEAE2F"/>
    <w:rsid w:val="05EFC1FA"/>
    <w:rsid w:val="05F1DD06"/>
    <w:rsid w:val="05F4D6EE"/>
    <w:rsid w:val="05F507B7"/>
    <w:rsid w:val="05FEB0EF"/>
    <w:rsid w:val="06018CC6"/>
    <w:rsid w:val="0602AC64"/>
    <w:rsid w:val="0605C119"/>
    <w:rsid w:val="0609394F"/>
    <w:rsid w:val="06094684"/>
    <w:rsid w:val="060C871D"/>
    <w:rsid w:val="060FB0A7"/>
    <w:rsid w:val="061A0369"/>
    <w:rsid w:val="061E781B"/>
    <w:rsid w:val="0622F9D2"/>
    <w:rsid w:val="06255388"/>
    <w:rsid w:val="06287D6E"/>
    <w:rsid w:val="0629FBB8"/>
    <w:rsid w:val="062A1E47"/>
    <w:rsid w:val="062C7384"/>
    <w:rsid w:val="06343DDB"/>
    <w:rsid w:val="063653F2"/>
    <w:rsid w:val="0637A367"/>
    <w:rsid w:val="06396600"/>
    <w:rsid w:val="063CE5EC"/>
    <w:rsid w:val="063D70F0"/>
    <w:rsid w:val="0642EDA7"/>
    <w:rsid w:val="0653DAB4"/>
    <w:rsid w:val="06550E9B"/>
    <w:rsid w:val="065EBD1D"/>
    <w:rsid w:val="065FFC03"/>
    <w:rsid w:val="06604F3F"/>
    <w:rsid w:val="06614070"/>
    <w:rsid w:val="0664AA23"/>
    <w:rsid w:val="066529C4"/>
    <w:rsid w:val="0667B9ED"/>
    <w:rsid w:val="066ACD0D"/>
    <w:rsid w:val="066CF1D5"/>
    <w:rsid w:val="066F98BF"/>
    <w:rsid w:val="067023E8"/>
    <w:rsid w:val="0674637A"/>
    <w:rsid w:val="067B7046"/>
    <w:rsid w:val="067CA0EC"/>
    <w:rsid w:val="0682C592"/>
    <w:rsid w:val="068467C0"/>
    <w:rsid w:val="0686914A"/>
    <w:rsid w:val="0687EA2F"/>
    <w:rsid w:val="0689CB44"/>
    <w:rsid w:val="068C7983"/>
    <w:rsid w:val="068D79E1"/>
    <w:rsid w:val="069007A2"/>
    <w:rsid w:val="06902A1B"/>
    <w:rsid w:val="0695E3C2"/>
    <w:rsid w:val="0699492C"/>
    <w:rsid w:val="069DB067"/>
    <w:rsid w:val="06A1E2B8"/>
    <w:rsid w:val="06B16FAC"/>
    <w:rsid w:val="06B1FEEC"/>
    <w:rsid w:val="06B4D3C3"/>
    <w:rsid w:val="06BB6487"/>
    <w:rsid w:val="06C309AF"/>
    <w:rsid w:val="06C321ED"/>
    <w:rsid w:val="06C3E228"/>
    <w:rsid w:val="06C5D15B"/>
    <w:rsid w:val="06C76FB8"/>
    <w:rsid w:val="06C793A8"/>
    <w:rsid w:val="06CB6F5C"/>
    <w:rsid w:val="06D0C70F"/>
    <w:rsid w:val="06D1E995"/>
    <w:rsid w:val="06D4AE9D"/>
    <w:rsid w:val="06D69842"/>
    <w:rsid w:val="06E46001"/>
    <w:rsid w:val="06E77353"/>
    <w:rsid w:val="06F1AE6C"/>
    <w:rsid w:val="06F338B5"/>
    <w:rsid w:val="06F4E79E"/>
    <w:rsid w:val="06F6A796"/>
    <w:rsid w:val="06F7DC5E"/>
    <w:rsid w:val="06FE9C4C"/>
    <w:rsid w:val="07068B64"/>
    <w:rsid w:val="0708CA36"/>
    <w:rsid w:val="070A4F31"/>
    <w:rsid w:val="070B8521"/>
    <w:rsid w:val="07158C7E"/>
    <w:rsid w:val="0717925A"/>
    <w:rsid w:val="0718C352"/>
    <w:rsid w:val="0719DA56"/>
    <w:rsid w:val="071BD654"/>
    <w:rsid w:val="071BECD2"/>
    <w:rsid w:val="071E7A7D"/>
    <w:rsid w:val="0724E6EA"/>
    <w:rsid w:val="072A7DCC"/>
    <w:rsid w:val="072ECA62"/>
    <w:rsid w:val="073BD3CD"/>
    <w:rsid w:val="073CBBB2"/>
    <w:rsid w:val="07429ACF"/>
    <w:rsid w:val="074719CA"/>
    <w:rsid w:val="074BEC39"/>
    <w:rsid w:val="074D28D4"/>
    <w:rsid w:val="074DCE0C"/>
    <w:rsid w:val="074DDE9B"/>
    <w:rsid w:val="074DE743"/>
    <w:rsid w:val="0751B064"/>
    <w:rsid w:val="0755AF25"/>
    <w:rsid w:val="07560C9E"/>
    <w:rsid w:val="0760908F"/>
    <w:rsid w:val="0764986C"/>
    <w:rsid w:val="076B455A"/>
    <w:rsid w:val="076B49E7"/>
    <w:rsid w:val="077323DB"/>
    <w:rsid w:val="07798773"/>
    <w:rsid w:val="077B33D1"/>
    <w:rsid w:val="0780EAAE"/>
    <w:rsid w:val="07810578"/>
    <w:rsid w:val="078D60A7"/>
    <w:rsid w:val="078F80CD"/>
    <w:rsid w:val="078FFF43"/>
    <w:rsid w:val="07958105"/>
    <w:rsid w:val="07961C51"/>
    <w:rsid w:val="079A1B24"/>
    <w:rsid w:val="079B654E"/>
    <w:rsid w:val="079DA717"/>
    <w:rsid w:val="07A5348C"/>
    <w:rsid w:val="07A88CD4"/>
    <w:rsid w:val="07A90EBC"/>
    <w:rsid w:val="07AE6020"/>
    <w:rsid w:val="07AF83BC"/>
    <w:rsid w:val="07B14595"/>
    <w:rsid w:val="07B6EA0B"/>
    <w:rsid w:val="07B8252E"/>
    <w:rsid w:val="07BF65C2"/>
    <w:rsid w:val="07C03D5C"/>
    <w:rsid w:val="07C0507B"/>
    <w:rsid w:val="07C08C27"/>
    <w:rsid w:val="07C4FF76"/>
    <w:rsid w:val="07C77D20"/>
    <w:rsid w:val="07CA8E6D"/>
    <w:rsid w:val="07CA8F07"/>
    <w:rsid w:val="07CB2B60"/>
    <w:rsid w:val="07CE6263"/>
    <w:rsid w:val="07D0F83A"/>
    <w:rsid w:val="07DA97C6"/>
    <w:rsid w:val="07DB804A"/>
    <w:rsid w:val="07E0B01D"/>
    <w:rsid w:val="07E40706"/>
    <w:rsid w:val="07E6F012"/>
    <w:rsid w:val="07E9EFA4"/>
    <w:rsid w:val="07EA8F9E"/>
    <w:rsid w:val="07ED0C85"/>
    <w:rsid w:val="07ED9F7A"/>
    <w:rsid w:val="07EF5D58"/>
    <w:rsid w:val="07F1EE82"/>
    <w:rsid w:val="07F7C59E"/>
    <w:rsid w:val="07FDAE5F"/>
    <w:rsid w:val="080144E6"/>
    <w:rsid w:val="0802633F"/>
    <w:rsid w:val="0802843D"/>
    <w:rsid w:val="080F912E"/>
    <w:rsid w:val="08107947"/>
    <w:rsid w:val="08118D3A"/>
    <w:rsid w:val="08124373"/>
    <w:rsid w:val="081BCF29"/>
    <w:rsid w:val="081C1887"/>
    <w:rsid w:val="081F41F8"/>
    <w:rsid w:val="0822068F"/>
    <w:rsid w:val="08229799"/>
    <w:rsid w:val="08249B7B"/>
    <w:rsid w:val="082E4BC9"/>
    <w:rsid w:val="08304CAA"/>
    <w:rsid w:val="083D02F2"/>
    <w:rsid w:val="084D4551"/>
    <w:rsid w:val="08506F9A"/>
    <w:rsid w:val="085359EB"/>
    <w:rsid w:val="0854EAAF"/>
    <w:rsid w:val="08551B87"/>
    <w:rsid w:val="0855DCFE"/>
    <w:rsid w:val="08574EAF"/>
    <w:rsid w:val="0858CB94"/>
    <w:rsid w:val="085D9EE3"/>
    <w:rsid w:val="085ECF96"/>
    <w:rsid w:val="085FAD85"/>
    <w:rsid w:val="086884BF"/>
    <w:rsid w:val="087473F8"/>
    <w:rsid w:val="087602D9"/>
    <w:rsid w:val="0878AA45"/>
    <w:rsid w:val="087BBBF1"/>
    <w:rsid w:val="088000BB"/>
    <w:rsid w:val="08814966"/>
    <w:rsid w:val="08828D18"/>
    <w:rsid w:val="08882A95"/>
    <w:rsid w:val="088C6BD4"/>
    <w:rsid w:val="088C86B9"/>
    <w:rsid w:val="088CB0B1"/>
    <w:rsid w:val="088FBAD4"/>
    <w:rsid w:val="0890966F"/>
    <w:rsid w:val="08945742"/>
    <w:rsid w:val="08988EA6"/>
    <w:rsid w:val="08994C1E"/>
    <w:rsid w:val="0899C5E9"/>
    <w:rsid w:val="0899FA76"/>
    <w:rsid w:val="08A65CD1"/>
    <w:rsid w:val="08AC6D08"/>
    <w:rsid w:val="08B06858"/>
    <w:rsid w:val="08BA201D"/>
    <w:rsid w:val="08BA9520"/>
    <w:rsid w:val="08BAC91F"/>
    <w:rsid w:val="08BC3462"/>
    <w:rsid w:val="08BC83DB"/>
    <w:rsid w:val="08BCDA4F"/>
    <w:rsid w:val="08BF046D"/>
    <w:rsid w:val="08C3D1D9"/>
    <w:rsid w:val="08C508C4"/>
    <w:rsid w:val="08C59490"/>
    <w:rsid w:val="08C62F60"/>
    <w:rsid w:val="08C9C566"/>
    <w:rsid w:val="08CEE8B2"/>
    <w:rsid w:val="08D4AC4E"/>
    <w:rsid w:val="08D921C2"/>
    <w:rsid w:val="08DE3211"/>
    <w:rsid w:val="08E3251F"/>
    <w:rsid w:val="08E374AF"/>
    <w:rsid w:val="08E995D1"/>
    <w:rsid w:val="08E998E5"/>
    <w:rsid w:val="08E9DC25"/>
    <w:rsid w:val="08EE85B4"/>
    <w:rsid w:val="08EF451E"/>
    <w:rsid w:val="08F393D4"/>
    <w:rsid w:val="08F4D27F"/>
    <w:rsid w:val="08F7692F"/>
    <w:rsid w:val="08F7DF05"/>
    <w:rsid w:val="09036AD7"/>
    <w:rsid w:val="0905DFD3"/>
    <w:rsid w:val="090A92A9"/>
    <w:rsid w:val="090CA629"/>
    <w:rsid w:val="090CFD04"/>
    <w:rsid w:val="090D6E12"/>
    <w:rsid w:val="090F56AC"/>
    <w:rsid w:val="09105AA7"/>
    <w:rsid w:val="091107DF"/>
    <w:rsid w:val="09150490"/>
    <w:rsid w:val="09173836"/>
    <w:rsid w:val="0918EA73"/>
    <w:rsid w:val="091A8B5E"/>
    <w:rsid w:val="091A9DF0"/>
    <w:rsid w:val="091C94AA"/>
    <w:rsid w:val="091D5546"/>
    <w:rsid w:val="09203ADA"/>
    <w:rsid w:val="09212E9C"/>
    <w:rsid w:val="09234BA4"/>
    <w:rsid w:val="0928E68E"/>
    <w:rsid w:val="092B3A98"/>
    <w:rsid w:val="092D77F4"/>
    <w:rsid w:val="09301E69"/>
    <w:rsid w:val="0931066C"/>
    <w:rsid w:val="093ACD75"/>
    <w:rsid w:val="093FDDEA"/>
    <w:rsid w:val="0946743F"/>
    <w:rsid w:val="0959EF90"/>
    <w:rsid w:val="0962F7B9"/>
    <w:rsid w:val="09712EE7"/>
    <w:rsid w:val="0971CEFF"/>
    <w:rsid w:val="09762C70"/>
    <w:rsid w:val="097A8479"/>
    <w:rsid w:val="0984F857"/>
    <w:rsid w:val="09850819"/>
    <w:rsid w:val="098639E3"/>
    <w:rsid w:val="0988B5A4"/>
    <w:rsid w:val="09958416"/>
    <w:rsid w:val="0996C389"/>
    <w:rsid w:val="099B45FC"/>
    <w:rsid w:val="099CDD39"/>
    <w:rsid w:val="099D912E"/>
    <w:rsid w:val="099F60B5"/>
    <w:rsid w:val="09A529F5"/>
    <w:rsid w:val="09A7C016"/>
    <w:rsid w:val="09A86BF7"/>
    <w:rsid w:val="09AC14A7"/>
    <w:rsid w:val="09AEED28"/>
    <w:rsid w:val="09B15C15"/>
    <w:rsid w:val="09B2B397"/>
    <w:rsid w:val="09B35468"/>
    <w:rsid w:val="09B6E8A2"/>
    <w:rsid w:val="09B96248"/>
    <w:rsid w:val="09BD80CA"/>
    <w:rsid w:val="09BDB689"/>
    <w:rsid w:val="09BFEE6A"/>
    <w:rsid w:val="09C12B3C"/>
    <w:rsid w:val="09C1B672"/>
    <w:rsid w:val="09D1981A"/>
    <w:rsid w:val="09D608E0"/>
    <w:rsid w:val="09D7302E"/>
    <w:rsid w:val="09DCA288"/>
    <w:rsid w:val="09DED232"/>
    <w:rsid w:val="09DF8763"/>
    <w:rsid w:val="09E34B14"/>
    <w:rsid w:val="09E81CCF"/>
    <w:rsid w:val="09ECB84D"/>
    <w:rsid w:val="09EE1842"/>
    <w:rsid w:val="09F154AB"/>
    <w:rsid w:val="09F301C8"/>
    <w:rsid w:val="09F6CB81"/>
    <w:rsid w:val="09F826CB"/>
    <w:rsid w:val="09FD0D79"/>
    <w:rsid w:val="0A09C57F"/>
    <w:rsid w:val="0A0C8F5B"/>
    <w:rsid w:val="0A0D979F"/>
    <w:rsid w:val="0A181B2F"/>
    <w:rsid w:val="0A196E76"/>
    <w:rsid w:val="0A224DFC"/>
    <w:rsid w:val="0A24FBE2"/>
    <w:rsid w:val="0A339313"/>
    <w:rsid w:val="0A3F34E7"/>
    <w:rsid w:val="0A458D89"/>
    <w:rsid w:val="0A460A64"/>
    <w:rsid w:val="0A48FDEB"/>
    <w:rsid w:val="0A4FE29C"/>
    <w:rsid w:val="0A507DFF"/>
    <w:rsid w:val="0A5503AF"/>
    <w:rsid w:val="0A579C4E"/>
    <w:rsid w:val="0A57BEA0"/>
    <w:rsid w:val="0A5D2DCD"/>
    <w:rsid w:val="0A616798"/>
    <w:rsid w:val="0A67DDD0"/>
    <w:rsid w:val="0A696637"/>
    <w:rsid w:val="0A6CF514"/>
    <w:rsid w:val="0A748438"/>
    <w:rsid w:val="0A7517FC"/>
    <w:rsid w:val="0A75D7FD"/>
    <w:rsid w:val="0A7C54BC"/>
    <w:rsid w:val="0A7C5509"/>
    <w:rsid w:val="0A7FF0CB"/>
    <w:rsid w:val="0A80A865"/>
    <w:rsid w:val="0A838E1E"/>
    <w:rsid w:val="0A869E15"/>
    <w:rsid w:val="0A916C5C"/>
    <w:rsid w:val="0A93BF4A"/>
    <w:rsid w:val="0A98C897"/>
    <w:rsid w:val="0A99C7C1"/>
    <w:rsid w:val="0A9D727E"/>
    <w:rsid w:val="0A9F815D"/>
    <w:rsid w:val="0AA1D0C2"/>
    <w:rsid w:val="0AA264DF"/>
    <w:rsid w:val="0AA2CD1A"/>
    <w:rsid w:val="0AA3687E"/>
    <w:rsid w:val="0AA5EB8A"/>
    <w:rsid w:val="0AA6E88A"/>
    <w:rsid w:val="0AAA78A2"/>
    <w:rsid w:val="0AB8C007"/>
    <w:rsid w:val="0ABDB83F"/>
    <w:rsid w:val="0ABF8419"/>
    <w:rsid w:val="0AC0937E"/>
    <w:rsid w:val="0AC22E09"/>
    <w:rsid w:val="0AC51166"/>
    <w:rsid w:val="0AC5BA67"/>
    <w:rsid w:val="0AD27151"/>
    <w:rsid w:val="0AD49682"/>
    <w:rsid w:val="0AD71A48"/>
    <w:rsid w:val="0ADBFCEE"/>
    <w:rsid w:val="0AE06BC4"/>
    <w:rsid w:val="0AE1FF58"/>
    <w:rsid w:val="0AE5CD1C"/>
    <w:rsid w:val="0AE82028"/>
    <w:rsid w:val="0AE9ADE8"/>
    <w:rsid w:val="0AEC598D"/>
    <w:rsid w:val="0AECDEBB"/>
    <w:rsid w:val="0AEE7491"/>
    <w:rsid w:val="0AF0CE47"/>
    <w:rsid w:val="0AFACD8C"/>
    <w:rsid w:val="0AFD0434"/>
    <w:rsid w:val="0B06E14A"/>
    <w:rsid w:val="0B07A908"/>
    <w:rsid w:val="0B086850"/>
    <w:rsid w:val="0B0883AB"/>
    <w:rsid w:val="0B0B4AD4"/>
    <w:rsid w:val="0B0D8C2B"/>
    <w:rsid w:val="0B181819"/>
    <w:rsid w:val="0B1B756B"/>
    <w:rsid w:val="0B1C277E"/>
    <w:rsid w:val="0B1F3450"/>
    <w:rsid w:val="0B2513AE"/>
    <w:rsid w:val="0B26828B"/>
    <w:rsid w:val="0B28696E"/>
    <w:rsid w:val="0B32F336"/>
    <w:rsid w:val="0B3993BE"/>
    <w:rsid w:val="0B3D16DB"/>
    <w:rsid w:val="0B4042C1"/>
    <w:rsid w:val="0B40BDF4"/>
    <w:rsid w:val="0B437841"/>
    <w:rsid w:val="0B44B0AE"/>
    <w:rsid w:val="0B48480E"/>
    <w:rsid w:val="0B523C72"/>
    <w:rsid w:val="0B52B447"/>
    <w:rsid w:val="0B53522A"/>
    <w:rsid w:val="0B536E41"/>
    <w:rsid w:val="0B557548"/>
    <w:rsid w:val="0B55B015"/>
    <w:rsid w:val="0B561A0E"/>
    <w:rsid w:val="0B585BBD"/>
    <w:rsid w:val="0B5ABF33"/>
    <w:rsid w:val="0B5B5312"/>
    <w:rsid w:val="0B5C4DEF"/>
    <w:rsid w:val="0B5DFD76"/>
    <w:rsid w:val="0B692B42"/>
    <w:rsid w:val="0B732CF1"/>
    <w:rsid w:val="0B78315F"/>
    <w:rsid w:val="0B7BAB9A"/>
    <w:rsid w:val="0B82BB52"/>
    <w:rsid w:val="0B85C7B6"/>
    <w:rsid w:val="0B8BBBA8"/>
    <w:rsid w:val="0B8DF12D"/>
    <w:rsid w:val="0B91A721"/>
    <w:rsid w:val="0B99F42A"/>
    <w:rsid w:val="0B9BC1D6"/>
    <w:rsid w:val="0BA371DF"/>
    <w:rsid w:val="0BA47611"/>
    <w:rsid w:val="0BA728E0"/>
    <w:rsid w:val="0BA762AC"/>
    <w:rsid w:val="0BA89045"/>
    <w:rsid w:val="0BA89DB1"/>
    <w:rsid w:val="0BAD4D69"/>
    <w:rsid w:val="0BADFC29"/>
    <w:rsid w:val="0BB5491E"/>
    <w:rsid w:val="0BB55050"/>
    <w:rsid w:val="0BB95D34"/>
    <w:rsid w:val="0BBE21AC"/>
    <w:rsid w:val="0BCB21A7"/>
    <w:rsid w:val="0BCF20B1"/>
    <w:rsid w:val="0BD34A2A"/>
    <w:rsid w:val="0BD49CE9"/>
    <w:rsid w:val="0BD4A228"/>
    <w:rsid w:val="0BD6D6B1"/>
    <w:rsid w:val="0BD87AB2"/>
    <w:rsid w:val="0BE1D5E0"/>
    <w:rsid w:val="0BEEB5F4"/>
    <w:rsid w:val="0BFB8D4C"/>
    <w:rsid w:val="0C022F2E"/>
    <w:rsid w:val="0C0BFC30"/>
    <w:rsid w:val="0C0F67FC"/>
    <w:rsid w:val="0C110401"/>
    <w:rsid w:val="0C16E549"/>
    <w:rsid w:val="0C1C56E4"/>
    <w:rsid w:val="0C1E54B9"/>
    <w:rsid w:val="0C242AD3"/>
    <w:rsid w:val="0C33AD0A"/>
    <w:rsid w:val="0C33E812"/>
    <w:rsid w:val="0C391716"/>
    <w:rsid w:val="0C39D7E6"/>
    <w:rsid w:val="0C3E1FAE"/>
    <w:rsid w:val="0C3E8A2C"/>
    <w:rsid w:val="0C3FF4A6"/>
    <w:rsid w:val="0C45D0B9"/>
    <w:rsid w:val="0C46D0A2"/>
    <w:rsid w:val="0C48AC87"/>
    <w:rsid w:val="0C4CCD3D"/>
    <w:rsid w:val="0C4E3EBB"/>
    <w:rsid w:val="0C4EAEA6"/>
    <w:rsid w:val="0C506E10"/>
    <w:rsid w:val="0C54CC6C"/>
    <w:rsid w:val="0C598F3C"/>
    <w:rsid w:val="0C5A2A2A"/>
    <w:rsid w:val="0C5B1358"/>
    <w:rsid w:val="0C5D069F"/>
    <w:rsid w:val="0C697671"/>
    <w:rsid w:val="0C6C68E0"/>
    <w:rsid w:val="0C6DC0A2"/>
    <w:rsid w:val="0C73511C"/>
    <w:rsid w:val="0C73CFD4"/>
    <w:rsid w:val="0C74F2AE"/>
    <w:rsid w:val="0C75EAAE"/>
    <w:rsid w:val="0C774164"/>
    <w:rsid w:val="0C8048E9"/>
    <w:rsid w:val="0C877629"/>
    <w:rsid w:val="0C8BED7C"/>
    <w:rsid w:val="0C97F4DC"/>
    <w:rsid w:val="0CA0D88E"/>
    <w:rsid w:val="0CA18C0C"/>
    <w:rsid w:val="0CA76BD6"/>
    <w:rsid w:val="0CA9B7D9"/>
    <w:rsid w:val="0CADFAC2"/>
    <w:rsid w:val="0CB24D0F"/>
    <w:rsid w:val="0CB9243E"/>
    <w:rsid w:val="0CB96226"/>
    <w:rsid w:val="0CBFBAC2"/>
    <w:rsid w:val="0CC03A9A"/>
    <w:rsid w:val="0CC12555"/>
    <w:rsid w:val="0CC480C5"/>
    <w:rsid w:val="0CC5A24F"/>
    <w:rsid w:val="0CC9A699"/>
    <w:rsid w:val="0CC9DC09"/>
    <w:rsid w:val="0CCA82A7"/>
    <w:rsid w:val="0CD058F8"/>
    <w:rsid w:val="0CD31875"/>
    <w:rsid w:val="0CD3B6D8"/>
    <w:rsid w:val="0CD4C21F"/>
    <w:rsid w:val="0CD65D74"/>
    <w:rsid w:val="0CE9B7B2"/>
    <w:rsid w:val="0CF54AA0"/>
    <w:rsid w:val="0CFC129B"/>
    <w:rsid w:val="0CFF64B6"/>
    <w:rsid w:val="0D01E461"/>
    <w:rsid w:val="0D0414FE"/>
    <w:rsid w:val="0D0483C9"/>
    <w:rsid w:val="0D04A619"/>
    <w:rsid w:val="0D0D7E33"/>
    <w:rsid w:val="0D177D74"/>
    <w:rsid w:val="0D17C886"/>
    <w:rsid w:val="0D1CD876"/>
    <w:rsid w:val="0D1D3935"/>
    <w:rsid w:val="0D1E4A03"/>
    <w:rsid w:val="0D24C1FE"/>
    <w:rsid w:val="0D275437"/>
    <w:rsid w:val="0D298B7A"/>
    <w:rsid w:val="0D361DB5"/>
    <w:rsid w:val="0D3875F7"/>
    <w:rsid w:val="0D392A5A"/>
    <w:rsid w:val="0D3C4331"/>
    <w:rsid w:val="0D3CB115"/>
    <w:rsid w:val="0D3FE81E"/>
    <w:rsid w:val="0D429E63"/>
    <w:rsid w:val="0D46FB47"/>
    <w:rsid w:val="0D477DC1"/>
    <w:rsid w:val="0D48E958"/>
    <w:rsid w:val="0D4C1E30"/>
    <w:rsid w:val="0D4DD0A4"/>
    <w:rsid w:val="0D546A2F"/>
    <w:rsid w:val="0D563C69"/>
    <w:rsid w:val="0D5E0412"/>
    <w:rsid w:val="0D5E2C95"/>
    <w:rsid w:val="0D5F0B16"/>
    <w:rsid w:val="0D5F4DF1"/>
    <w:rsid w:val="0D62F1AD"/>
    <w:rsid w:val="0D66A16C"/>
    <w:rsid w:val="0D684F39"/>
    <w:rsid w:val="0D692F4D"/>
    <w:rsid w:val="0D6D62C0"/>
    <w:rsid w:val="0D74F942"/>
    <w:rsid w:val="0D7A2F6F"/>
    <w:rsid w:val="0D7A5128"/>
    <w:rsid w:val="0D82B315"/>
    <w:rsid w:val="0D87883B"/>
    <w:rsid w:val="0D8BFCE1"/>
    <w:rsid w:val="0D8DEBEB"/>
    <w:rsid w:val="0D90E30B"/>
    <w:rsid w:val="0D917673"/>
    <w:rsid w:val="0D91BC18"/>
    <w:rsid w:val="0D97BB98"/>
    <w:rsid w:val="0D9C7F66"/>
    <w:rsid w:val="0DA4FE00"/>
    <w:rsid w:val="0DA95DC8"/>
    <w:rsid w:val="0DAF0498"/>
    <w:rsid w:val="0DB1FE6D"/>
    <w:rsid w:val="0DB4A3EF"/>
    <w:rsid w:val="0DB59AFD"/>
    <w:rsid w:val="0DB6F92E"/>
    <w:rsid w:val="0DB85DD2"/>
    <w:rsid w:val="0DB984E2"/>
    <w:rsid w:val="0DB9F338"/>
    <w:rsid w:val="0DBA49BB"/>
    <w:rsid w:val="0DBBB346"/>
    <w:rsid w:val="0DC1FA6D"/>
    <w:rsid w:val="0DC3AD2E"/>
    <w:rsid w:val="0DC6D81C"/>
    <w:rsid w:val="0DC7BCA2"/>
    <w:rsid w:val="0DC90AF0"/>
    <w:rsid w:val="0DCB576D"/>
    <w:rsid w:val="0DCD2994"/>
    <w:rsid w:val="0DCE1618"/>
    <w:rsid w:val="0DD78AA3"/>
    <w:rsid w:val="0DD90756"/>
    <w:rsid w:val="0DD96234"/>
    <w:rsid w:val="0DDAFDC3"/>
    <w:rsid w:val="0DDF5A36"/>
    <w:rsid w:val="0DE0697B"/>
    <w:rsid w:val="0DE3126B"/>
    <w:rsid w:val="0DE9D3EB"/>
    <w:rsid w:val="0DED1BBA"/>
    <w:rsid w:val="0DEDAB4C"/>
    <w:rsid w:val="0DF15790"/>
    <w:rsid w:val="0DF20B59"/>
    <w:rsid w:val="0DFEC456"/>
    <w:rsid w:val="0E0A491A"/>
    <w:rsid w:val="0E0CE788"/>
    <w:rsid w:val="0E176631"/>
    <w:rsid w:val="0E1771E9"/>
    <w:rsid w:val="0E1BEE94"/>
    <w:rsid w:val="0E1E110D"/>
    <w:rsid w:val="0E1F26CF"/>
    <w:rsid w:val="0E2428B3"/>
    <w:rsid w:val="0E2635B3"/>
    <w:rsid w:val="0E26480B"/>
    <w:rsid w:val="0E2D7EF6"/>
    <w:rsid w:val="0E2F8E8A"/>
    <w:rsid w:val="0E350078"/>
    <w:rsid w:val="0E353767"/>
    <w:rsid w:val="0E35F01C"/>
    <w:rsid w:val="0E391FD7"/>
    <w:rsid w:val="0E3BF16F"/>
    <w:rsid w:val="0E3E3DDB"/>
    <w:rsid w:val="0E41F731"/>
    <w:rsid w:val="0E445A5C"/>
    <w:rsid w:val="0E4FA79C"/>
    <w:rsid w:val="0E4FBE81"/>
    <w:rsid w:val="0E4FDAA5"/>
    <w:rsid w:val="0E50F350"/>
    <w:rsid w:val="0E514FB6"/>
    <w:rsid w:val="0E531DE4"/>
    <w:rsid w:val="0E598E3D"/>
    <w:rsid w:val="0E5C07C5"/>
    <w:rsid w:val="0E5C8337"/>
    <w:rsid w:val="0E5D02B9"/>
    <w:rsid w:val="0E5F18D0"/>
    <w:rsid w:val="0E697EE8"/>
    <w:rsid w:val="0E700E11"/>
    <w:rsid w:val="0E716CCF"/>
    <w:rsid w:val="0E74467B"/>
    <w:rsid w:val="0E760238"/>
    <w:rsid w:val="0E78677C"/>
    <w:rsid w:val="0E796F5A"/>
    <w:rsid w:val="0E7C3B64"/>
    <w:rsid w:val="0E7CCEBE"/>
    <w:rsid w:val="0E84B096"/>
    <w:rsid w:val="0E85B9A0"/>
    <w:rsid w:val="0E8665DC"/>
    <w:rsid w:val="0E87166F"/>
    <w:rsid w:val="0E87A51F"/>
    <w:rsid w:val="0E88351A"/>
    <w:rsid w:val="0E8CAA26"/>
    <w:rsid w:val="0E9310F4"/>
    <w:rsid w:val="0E935319"/>
    <w:rsid w:val="0E939A54"/>
    <w:rsid w:val="0E95775B"/>
    <w:rsid w:val="0E9936BE"/>
    <w:rsid w:val="0E9C377A"/>
    <w:rsid w:val="0EA46CB6"/>
    <w:rsid w:val="0EA4D015"/>
    <w:rsid w:val="0EB2825B"/>
    <w:rsid w:val="0EB2C3E8"/>
    <w:rsid w:val="0EB6517B"/>
    <w:rsid w:val="0EB6D2EA"/>
    <w:rsid w:val="0EBA5F00"/>
    <w:rsid w:val="0EBA711A"/>
    <w:rsid w:val="0EBAE1CD"/>
    <w:rsid w:val="0EBDDC7F"/>
    <w:rsid w:val="0EC02AAC"/>
    <w:rsid w:val="0EC3130A"/>
    <w:rsid w:val="0EC75454"/>
    <w:rsid w:val="0EC97ABF"/>
    <w:rsid w:val="0ECC7765"/>
    <w:rsid w:val="0ECFEA7B"/>
    <w:rsid w:val="0ED06B81"/>
    <w:rsid w:val="0ED9BD37"/>
    <w:rsid w:val="0EE0A0ED"/>
    <w:rsid w:val="0EE41639"/>
    <w:rsid w:val="0EE9B2EA"/>
    <w:rsid w:val="0EEA60D9"/>
    <w:rsid w:val="0EEEEB2C"/>
    <w:rsid w:val="0EFBF60E"/>
    <w:rsid w:val="0F01AF27"/>
    <w:rsid w:val="0F0B2FD6"/>
    <w:rsid w:val="0F0BE2AE"/>
    <w:rsid w:val="0F0DBA95"/>
    <w:rsid w:val="0F0EF68F"/>
    <w:rsid w:val="0F102A31"/>
    <w:rsid w:val="0F119D88"/>
    <w:rsid w:val="0F18DECA"/>
    <w:rsid w:val="0F198F3B"/>
    <w:rsid w:val="0F1AE613"/>
    <w:rsid w:val="0F1BBE78"/>
    <w:rsid w:val="0F1D1AB1"/>
    <w:rsid w:val="0F225153"/>
    <w:rsid w:val="0F2BDA9A"/>
    <w:rsid w:val="0F2C953C"/>
    <w:rsid w:val="0F2CBCF1"/>
    <w:rsid w:val="0F3554C5"/>
    <w:rsid w:val="0F3CB54E"/>
    <w:rsid w:val="0F403E7A"/>
    <w:rsid w:val="0F4FC3CA"/>
    <w:rsid w:val="0F576664"/>
    <w:rsid w:val="0F5D80E8"/>
    <w:rsid w:val="0F6284EF"/>
    <w:rsid w:val="0F62D6F0"/>
    <w:rsid w:val="0F644680"/>
    <w:rsid w:val="0F6AD55B"/>
    <w:rsid w:val="0F6CD76F"/>
    <w:rsid w:val="0F70E5FD"/>
    <w:rsid w:val="0F796B1A"/>
    <w:rsid w:val="0F7ADCD4"/>
    <w:rsid w:val="0F7AE310"/>
    <w:rsid w:val="0F7E0B44"/>
    <w:rsid w:val="0F7F881B"/>
    <w:rsid w:val="0F7FAE31"/>
    <w:rsid w:val="0F826E6F"/>
    <w:rsid w:val="0F89B79C"/>
    <w:rsid w:val="0F8FA46C"/>
    <w:rsid w:val="0F9252A5"/>
    <w:rsid w:val="0F93ABAA"/>
    <w:rsid w:val="0F942F2B"/>
    <w:rsid w:val="0F99048F"/>
    <w:rsid w:val="0FA1E8DB"/>
    <w:rsid w:val="0FA28DDE"/>
    <w:rsid w:val="0FA7E872"/>
    <w:rsid w:val="0FA7EB71"/>
    <w:rsid w:val="0FA80B02"/>
    <w:rsid w:val="0FA879F8"/>
    <w:rsid w:val="0FB0CAFE"/>
    <w:rsid w:val="0FB395D1"/>
    <w:rsid w:val="0FB53F46"/>
    <w:rsid w:val="0FB5A710"/>
    <w:rsid w:val="0FB7BD7C"/>
    <w:rsid w:val="0FB87566"/>
    <w:rsid w:val="0FBAAE8B"/>
    <w:rsid w:val="0FBE2950"/>
    <w:rsid w:val="0FBEF6CF"/>
    <w:rsid w:val="0FBF9C76"/>
    <w:rsid w:val="0FC00E0D"/>
    <w:rsid w:val="0FC6CD97"/>
    <w:rsid w:val="0FC9A813"/>
    <w:rsid w:val="0FCA7066"/>
    <w:rsid w:val="0FCDE72E"/>
    <w:rsid w:val="0FD17D37"/>
    <w:rsid w:val="0FD97676"/>
    <w:rsid w:val="0FDF9EF7"/>
    <w:rsid w:val="0FE39827"/>
    <w:rsid w:val="0FE65B41"/>
    <w:rsid w:val="0FE81CF2"/>
    <w:rsid w:val="0FE86CFF"/>
    <w:rsid w:val="0FEABD3D"/>
    <w:rsid w:val="0FEAC0E4"/>
    <w:rsid w:val="0FEDD2C1"/>
    <w:rsid w:val="0FF652D2"/>
    <w:rsid w:val="0FFF36DC"/>
    <w:rsid w:val="10024E94"/>
    <w:rsid w:val="10079C3D"/>
    <w:rsid w:val="1007B844"/>
    <w:rsid w:val="1007F9B6"/>
    <w:rsid w:val="100C4F0D"/>
    <w:rsid w:val="100EECD0"/>
    <w:rsid w:val="1013C847"/>
    <w:rsid w:val="101992BA"/>
    <w:rsid w:val="101A000D"/>
    <w:rsid w:val="101A20D8"/>
    <w:rsid w:val="1027CB14"/>
    <w:rsid w:val="102B51F6"/>
    <w:rsid w:val="1037A792"/>
    <w:rsid w:val="10392005"/>
    <w:rsid w:val="103B16C3"/>
    <w:rsid w:val="103DBEC8"/>
    <w:rsid w:val="10412C06"/>
    <w:rsid w:val="10471D09"/>
    <w:rsid w:val="104915ED"/>
    <w:rsid w:val="10497BBB"/>
    <w:rsid w:val="104A5C5C"/>
    <w:rsid w:val="10516187"/>
    <w:rsid w:val="10561E3C"/>
    <w:rsid w:val="105941EB"/>
    <w:rsid w:val="105B662D"/>
    <w:rsid w:val="106842C1"/>
    <w:rsid w:val="1068DF54"/>
    <w:rsid w:val="1068FA51"/>
    <w:rsid w:val="10709CBE"/>
    <w:rsid w:val="10720305"/>
    <w:rsid w:val="10728782"/>
    <w:rsid w:val="1073E5DE"/>
    <w:rsid w:val="1074CA26"/>
    <w:rsid w:val="1076A046"/>
    <w:rsid w:val="1077D0BB"/>
    <w:rsid w:val="107A114D"/>
    <w:rsid w:val="107BEDDD"/>
    <w:rsid w:val="107D2531"/>
    <w:rsid w:val="1083F7B6"/>
    <w:rsid w:val="108B2A6D"/>
    <w:rsid w:val="108E8907"/>
    <w:rsid w:val="108EC770"/>
    <w:rsid w:val="108F8AFC"/>
    <w:rsid w:val="10959066"/>
    <w:rsid w:val="1099AFFD"/>
    <w:rsid w:val="109B3714"/>
    <w:rsid w:val="109FF864"/>
    <w:rsid w:val="10A24D7F"/>
    <w:rsid w:val="10A7D107"/>
    <w:rsid w:val="10ADF00F"/>
    <w:rsid w:val="10B124AE"/>
    <w:rsid w:val="10B28FFB"/>
    <w:rsid w:val="10B3C3F9"/>
    <w:rsid w:val="10B5D28C"/>
    <w:rsid w:val="10B86B1B"/>
    <w:rsid w:val="10B88924"/>
    <w:rsid w:val="10BB06EE"/>
    <w:rsid w:val="10C1CA56"/>
    <w:rsid w:val="10CA98A3"/>
    <w:rsid w:val="10D415AB"/>
    <w:rsid w:val="10D4ACA4"/>
    <w:rsid w:val="10DBB1E4"/>
    <w:rsid w:val="10DD79C3"/>
    <w:rsid w:val="10E22038"/>
    <w:rsid w:val="10EAE510"/>
    <w:rsid w:val="10EBC641"/>
    <w:rsid w:val="10EC323F"/>
    <w:rsid w:val="10F03282"/>
    <w:rsid w:val="10FF5780"/>
    <w:rsid w:val="11056C1D"/>
    <w:rsid w:val="11079851"/>
    <w:rsid w:val="1109B79B"/>
    <w:rsid w:val="110ECC4C"/>
    <w:rsid w:val="110F093E"/>
    <w:rsid w:val="11107D06"/>
    <w:rsid w:val="11109C08"/>
    <w:rsid w:val="111AE783"/>
    <w:rsid w:val="111C5356"/>
    <w:rsid w:val="112166C5"/>
    <w:rsid w:val="11245F81"/>
    <w:rsid w:val="1127D7E2"/>
    <w:rsid w:val="112A3B71"/>
    <w:rsid w:val="1131AB5E"/>
    <w:rsid w:val="113D5157"/>
    <w:rsid w:val="113FD71E"/>
    <w:rsid w:val="11403827"/>
    <w:rsid w:val="11421E36"/>
    <w:rsid w:val="11483667"/>
    <w:rsid w:val="11511A24"/>
    <w:rsid w:val="11534C16"/>
    <w:rsid w:val="1156F52B"/>
    <w:rsid w:val="11599DFA"/>
    <w:rsid w:val="115D716C"/>
    <w:rsid w:val="1162FB9A"/>
    <w:rsid w:val="116424D7"/>
    <w:rsid w:val="11645ACC"/>
    <w:rsid w:val="1165FCAE"/>
    <w:rsid w:val="11661F88"/>
    <w:rsid w:val="11684EA9"/>
    <w:rsid w:val="1169BEAC"/>
    <w:rsid w:val="116DBB87"/>
    <w:rsid w:val="1170276F"/>
    <w:rsid w:val="11710541"/>
    <w:rsid w:val="1174A60F"/>
    <w:rsid w:val="117867B5"/>
    <w:rsid w:val="1179C6DE"/>
    <w:rsid w:val="117A42B0"/>
    <w:rsid w:val="117EA283"/>
    <w:rsid w:val="118020C7"/>
    <w:rsid w:val="118442F3"/>
    <w:rsid w:val="11851EEE"/>
    <w:rsid w:val="11881AD3"/>
    <w:rsid w:val="118C5461"/>
    <w:rsid w:val="1190708B"/>
    <w:rsid w:val="1192813F"/>
    <w:rsid w:val="1197A86F"/>
    <w:rsid w:val="119ADB3C"/>
    <w:rsid w:val="119D5F40"/>
    <w:rsid w:val="11A30FA8"/>
    <w:rsid w:val="11A32DD4"/>
    <w:rsid w:val="11A387D0"/>
    <w:rsid w:val="11ABD506"/>
    <w:rsid w:val="11B633A5"/>
    <w:rsid w:val="11B91678"/>
    <w:rsid w:val="11BBE323"/>
    <w:rsid w:val="11C1B505"/>
    <w:rsid w:val="11C75AF3"/>
    <w:rsid w:val="11C85F4E"/>
    <w:rsid w:val="11C8F77B"/>
    <w:rsid w:val="11CECCC6"/>
    <w:rsid w:val="11D889D2"/>
    <w:rsid w:val="11DF32CA"/>
    <w:rsid w:val="11EC94E4"/>
    <w:rsid w:val="11EDF55D"/>
    <w:rsid w:val="11F20E4A"/>
    <w:rsid w:val="11F25C27"/>
    <w:rsid w:val="11F95230"/>
    <w:rsid w:val="11FA03B8"/>
    <w:rsid w:val="11FE848D"/>
    <w:rsid w:val="1200E0C9"/>
    <w:rsid w:val="1206CCDF"/>
    <w:rsid w:val="12085D31"/>
    <w:rsid w:val="1208AC1F"/>
    <w:rsid w:val="120B3A1D"/>
    <w:rsid w:val="120F657D"/>
    <w:rsid w:val="12134767"/>
    <w:rsid w:val="12190372"/>
    <w:rsid w:val="1219D218"/>
    <w:rsid w:val="121D71B6"/>
    <w:rsid w:val="121F51F9"/>
    <w:rsid w:val="1220A52C"/>
    <w:rsid w:val="1221D32E"/>
    <w:rsid w:val="122788EB"/>
    <w:rsid w:val="122897D2"/>
    <w:rsid w:val="122F9EC0"/>
    <w:rsid w:val="122F9F1E"/>
    <w:rsid w:val="1231B150"/>
    <w:rsid w:val="1231BAEB"/>
    <w:rsid w:val="12320961"/>
    <w:rsid w:val="12324260"/>
    <w:rsid w:val="123476AF"/>
    <w:rsid w:val="12350370"/>
    <w:rsid w:val="12353386"/>
    <w:rsid w:val="123696DD"/>
    <w:rsid w:val="1238FDE0"/>
    <w:rsid w:val="123938E7"/>
    <w:rsid w:val="124322B9"/>
    <w:rsid w:val="12439821"/>
    <w:rsid w:val="12453604"/>
    <w:rsid w:val="124556F4"/>
    <w:rsid w:val="12459FC9"/>
    <w:rsid w:val="12470AE6"/>
    <w:rsid w:val="124A67AB"/>
    <w:rsid w:val="124A916A"/>
    <w:rsid w:val="124BF19F"/>
    <w:rsid w:val="124D4B36"/>
    <w:rsid w:val="124E4643"/>
    <w:rsid w:val="12523224"/>
    <w:rsid w:val="1252ACB8"/>
    <w:rsid w:val="12561972"/>
    <w:rsid w:val="125B3710"/>
    <w:rsid w:val="125DFFE8"/>
    <w:rsid w:val="126192FE"/>
    <w:rsid w:val="12657F04"/>
    <w:rsid w:val="1267C867"/>
    <w:rsid w:val="1271754C"/>
    <w:rsid w:val="1278A50E"/>
    <w:rsid w:val="1279522D"/>
    <w:rsid w:val="127A8E78"/>
    <w:rsid w:val="127F38D5"/>
    <w:rsid w:val="12831E9B"/>
    <w:rsid w:val="1284298B"/>
    <w:rsid w:val="128836E9"/>
    <w:rsid w:val="128C84E0"/>
    <w:rsid w:val="128D77F7"/>
    <w:rsid w:val="129E47F0"/>
    <w:rsid w:val="12A3846D"/>
    <w:rsid w:val="12A8D7F7"/>
    <w:rsid w:val="12A91E8B"/>
    <w:rsid w:val="12AA8BDB"/>
    <w:rsid w:val="12AD7EE7"/>
    <w:rsid w:val="12AE809A"/>
    <w:rsid w:val="12B725AB"/>
    <w:rsid w:val="12BC47DE"/>
    <w:rsid w:val="12C1A39B"/>
    <w:rsid w:val="12C513BF"/>
    <w:rsid w:val="12C89078"/>
    <w:rsid w:val="12D14516"/>
    <w:rsid w:val="12D3E7AD"/>
    <w:rsid w:val="12D4F4EA"/>
    <w:rsid w:val="12D60CD1"/>
    <w:rsid w:val="12D7556B"/>
    <w:rsid w:val="12DC7CF9"/>
    <w:rsid w:val="12E349DD"/>
    <w:rsid w:val="12E4DB68"/>
    <w:rsid w:val="12E561BF"/>
    <w:rsid w:val="12EA125F"/>
    <w:rsid w:val="12F1CF69"/>
    <w:rsid w:val="12FBD3DE"/>
    <w:rsid w:val="12FF1CE5"/>
    <w:rsid w:val="13013341"/>
    <w:rsid w:val="13021FCE"/>
    <w:rsid w:val="1305051B"/>
    <w:rsid w:val="1305F3F5"/>
    <w:rsid w:val="130718B2"/>
    <w:rsid w:val="13081DC6"/>
    <w:rsid w:val="13083F01"/>
    <w:rsid w:val="1308F3EB"/>
    <w:rsid w:val="130B4802"/>
    <w:rsid w:val="130CF5B7"/>
    <w:rsid w:val="130D4121"/>
    <w:rsid w:val="130F8E1F"/>
    <w:rsid w:val="131240A9"/>
    <w:rsid w:val="13142B32"/>
    <w:rsid w:val="1317233F"/>
    <w:rsid w:val="13196E72"/>
    <w:rsid w:val="131AB404"/>
    <w:rsid w:val="131E878D"/>
    <w:rsid w:val="131F2283"/>
    <w:rsid w:val="13226E00"/>
    <w:rsid w:val="13259ADA"/>
    <w:rsid w:val="1326DF09"/>
    <w:rsid w:val="132F7EBA"/>
    <w:rsid w:val="1336C62C"/>
    <w:rsid w:val="1337407F"/>
    <w:rsid w:val="133C1F9A"/>
    <w:rsid w:val="133C4D52"/>
    <w:rsid w:val="1340EE64"/>
    <w:rsid w:val="1343165E"/>
    <w:rsid w:val="13451A46"/>
    <w:rsid w:val="1352F4F9"/>
    <w:rsid w:val="135489ED"/>
    <w:rsid w:val="135785A3"/>
    <w:rsid w:val="135800B4"/>
    <w:rsid w:val="135AF808"/>
    <w:rsid w:val="135E3760"/>
    <w:rsid w:val="136455FB"/>
    <w:rsid w:val="1367AF45"/>
    <w:rsid w:val="136F9541"/>
    <w:rsid w:val="1371F7A3"/>
    <w:rsid w:val="137288D2"/>
    <w:rsid w:val="1374CFD0"/>
    <w:rsid w:val="1375B875"/>
    <w:rsid w:val="13835D62"/>
    <w:rsid w:val="1389C3E0"/>
    <w:rsid w:val="138C58F5"/>
    <w:rsid w:val="138CC89D"/>
    <w:rsid w:val="13910C5B"/>
    <w:rsid w:val="13936F66"/>
    <w:rsid w:val="1397585A"/>
    <w:rsid w:val="1397676A"/>
    <w:rsid w:val="139B2F81"/>
    <w:rsid w:val="139B891C"/>
    <w:rsid w:val="13A0A63B"/>
    <w:rsid w:val="13A127FE"/>
    <w:rsid w:val="13A6C75F"/>
    <w:rsid w:val="13AC1B51"/>
    <w:rsid w:val="13B47931"/>
    <w:rsid w:val="13B4F406"/>
    <w:rsid w:val="13B54C61"/>
    <w:rsid w:val="13BCBFE8"/>
    <w:rsid w:val="13BD2A96"/>
    <w:rsid w:val="13C051D9"/>
    <w:rsid w:val="13C0E9EC"/>
    <w:rsid w:val="13C8A77A"/>
    <w:rsid w:val="13CA7441"/>
    <w:rsid w:val="13CAD58F"/>
    <w:rsid w:val="13CB9411"/>
    <w:rsid w:val="13CC8DFF"/>
    <w:rsid w:val="13D038A8"/>
    <w:rsid w:val="13D208B5"/>
    <w:rsid w:val="13D883B5"/>
    <w:rsid w:val="13DFF709"/>
    <w:rsid w:val="13E30671"/>
    <w:rsid w:val="13E41A34"/>
    <w:rsid w:val="13E6405D"/>
    <w:rsid w:val="13E9B605"/>
    <w:rsid w:val="13EBF945"/>
    <w:rsid w:val="13ED19D4"/>
    <w:rsid w:val="13EFC080"/>
    <w:rsid w:val="13F39BB1"/>
    <w:rsid w:val="13F59333"/>
    <w:rsid w:val="13F60A92"/>
    <w:rsid w:val="13F6CC67"/>
    <w:rsid w:val="13F78EC3"/>
    <w:rsid w:val="13F8FB2B"/>
    <w:rsid w:val="13F97042"/>
    <w:rsid w:val="13FADA9E"/>
    <w:rsid w:val="13FC680B"/>
    <w:rsid w:val="1402FF3A"/>
    <w:rsid w:val="14037222"/>
    <w:rsid w:val="140A18B6"/>
    <w:rsid w:val="140A9BA8"/>
    <w:rsid w:val="140D01A8"/>
    <w:rsid w:val="141B7B1A"/>
    <w:rsid w:val="141D335A"/>
    <w:rsid w:val="141E4A88"/>
    <w:rsid w:val="141FF088"/>
    <w:rsid w:val="142805E7"/>
    <w:rsid w:val="1432D426"/>
    <w:rsid w:val="143AFA67"/>
    <w:rsid w:val="143EEE8D"/>
    <w:rsid w:val="14455E78"/>
    <w:rsid w:val="14486AC5"/>
    <w:rsid w:val="14491E18"/>
    <w:rsid w:val="144FA381"/>
    <w:rsid w:val="144FCE5B"/>
    <w:rsid w:val="14558B26"/>
    <w:rsid w:val="145AABC5"/>
    <w:rsid w:val="145C3E9A"/>
    <w:rsid w:val="145D7CE4"/>
    <w:rsid w:val="146192E1"/>
    <w:rsid w:val="146C6311"/>
    <w:rsid w:val="1471F01C"/>
    <w:rsid w:val="14789FB0"/>
    <w:rsid w:val="14794C76"/>
    <w:rsid w:val="14798906"/>
    <w:rsid w:val="147C77AB"/>
    <w:rsid w:val="1481AC3C"/>
    <w:rsid w:val="14849DB8"/>
    <w:rsid w:val="1487577D"/>
    <w:rsid w:val="1487EA70"/>
    <w:rsid w:val="14889CA3"/>
    <w:rsid w:val="148C846D"/>
    <w:rsid w:val="148CD9A8"/>
    <w:rsid w:val="149516DE"/>
    <w:rsid w:val="1499738F"/>
    <w:rsid w:val="14A0F76E"/>
    <w:rsid w:val="14A29E8C"/>
    <w:rsid w:val="14A9A37A"/>
    <w:rsid w:val="14ABB866"/>
    <w:rsid w:val="14AC7E24"/>
    <w:rsid w:val="14ADF493"/>
    <w:rsid w:val="14B2BE00"/>
    <w:rsid w:val="14B8018F"/>
    <w:rsid w:val="14BF1376"/>
    <w:rsid w:val="14C4746D"/>
    <w:rsid w:val="14CBD0A3"/>
    <w:rsid w:val="14CC0E63"/>
    <w:rsid w:val="14D97CDC"/>
    <w:rsid w:val="14DCEB11"/>
    <w:rsid w:val="14DD58F0"/>
    <w:rsid w:val="14E249B5"/>
    <w:rsid w:val="14E375B0"/>
    <w:rsid w:val="14E4B879"/>
    <w:rsid w:val="14E4DCF8"/>
    <w:rsid w:val="14F364A2"/>
    <w:rsid w:val="14F3E544"/>
    <w:rsid w:val="14F4A24F"/>
    <w:rsid w:val="14FE0368"/>
    <w:rsid w:val="15038E6A"/>
    <w:rsid w:val="150527F5"/>
    <w:rsid w:val="15058C98"/>
    <w:rsid w:val="15078357"/>
    <w:rsid w:val="150B79C1"/>
    <w:rsid w:val="150CD7AF"/>
    <w:rsid w:val="1512EF81"/>
    <w:rsid w:val="151594A8"/>
    <w:rsid w:val="15175130"/>
    <w:rsid w:val="1518B2A2"/>
    <w:rsid w:val="151C28F4"/>
    <w:rsid w:val="151EE081"/>
    <w:rsid w:val="1523F9B9"/>
    <w:rsid w:val="152A7F9F"/>
    <w:rsid w:val="152D4569"/>
    <w:rsid w:val="153F0B95"/>
    <w:rsid w:val="1545FE4C"/>
    <w:rsid w:val="15466AB3"/>
    <w:rsid w:val="154B12C5"/>
    <w:rsid w:val="154E7978"/>
    <w:rsid w:val="154F1982"/>
    <w:rsid w:val="154FC8AA"/>
    <w:rsid w:val="15539C82"/>
    <w:rsid w:val="1554FA48"/>
    <w:rsid w:val="155585BD"/>
    <w:rsid w:val="1559422F"/>
    <w:rsid w:val="155B3535"/>
    <w:rsid w:val="1560AD64"/>
    <w:rsid w:val="15620D90"/>
    <w:rsid w:val="1563031D"/>
    <w:rsid w:val="156A6C27"/>
    <w:rsid w:val="157302B1"/>
    <w:rsid w:val="157ACBE9"/>
    <w:rsid w:val="157BFB97"/>
    <w:rsid w:val="158275CF"/>
    <w:rsid w:val="1588EE2B"/>
    <w:rsid w:val="1589506F"/>
    <w:rsid w:val="158D06E3"/>
    <w:rsid w:val="15907729"/>
    <w:rsid w:val="15992EE3"/>
    <w:rsid w:val="15A6C300"/>
    <w:rsid w:val="15A8B06F"/>
    <w:rsid w:val="15AA4269"/>
    <w:rsid w:val="15AC639F"/>
    <w:rsid w:val="15AF43DC"/>
    <w:rsid w:val="15AFDECA"/>
    <w:rsid w:val="15B9AA10"/>
    <w:rsid w:val="15B9B352"/>
    <w:rsid w:val="15BB4F53"/>
    <w:rsid w:val="15C1FB5A"/>
    <w:rsid w:val="15C43DF9"/>
    <w:rsid w:val="15C7056A"/>
    <w:rsid w:val="15CAB67F"/>
    <w:rsid w:val="15CBD948"/>
    <w:rsid w:val="15D02A1B"/>
    <w:rsid w:val="15D2441D"/>
    <w:rsid w:val="15DB5822"/>
    <w:rsid w:val="15DB829F"/>
    <w:rsid w:val="15DE790E"/>
    <w:rsid w:val="15E7F1AD"/>
    <w:rsid w:val="15EC4159"/>
    <w:rsid w:val="15EC46DE"/>
    <w:rsid w:val="15F0AE5B"/>
    <w:rsid w:val="15FB2238"/>
    <w:rsid w:val="16006E05"/>
    <w:rsid w:val="16047654"/>
    <w:rsid w:val="1604F1E4"/>
    <w:rsid w:val="1607F75D"/>
    <w:rsid w:val="16100258"/>
    <w:rsid w:val="16177332"/>
    <w:rsid w:val="161A641C"/>
    <w:rsid w:val="1621259E"/>
    <w:rsid w:val="1625FBA9"/>
    <w:rsid w:val="16263334"/>
    <w:rsid w:val="162A871E"/>
    <w:rsid w:val="163DDEA9"/>
    <w:rsid w:val="16446E19"/>
    <w:rsid w:val="16461E7B"/>
    <w:rsid w:val="164938AB"/>
    <w:rsid w:val="165545A0"/>
    <w:rsid w:val="1658FB9B"/>
    <w:rsid w:val="1659D69D"/>
    <w:rsid w:val="165B9F5A"/>
    <w:rsid w:val="165C5861"/>
    <w:rsid w:val="165EF033"/>
    <w:rsid w:val="1660258F"/>
    <w:rsid w:val="166229BD"/>
    <w:rsid w:val="1665FBE1"/>
    <w:rsid w:val="1667E206"/>
    <w:rsid w:val="1668B4DA"/>
    <w:rsid w:val="166E35C4"/>
    <w:rsid w:val="16757384"/>
    <w:rsid w:val="1681976C"/>
    <w:rsid w:val="16853714"/>
    <w:rsid w:val="168A6A07"/>
    <w:rsid w:val="168C069E"/>
    <w:rsid w:val="168FEE79"/>
    <w:rsid w:val="1693E7A2"/>
    <w:rsid w:val="16969614"/>
    <w:rsid w:val="169BDA9D"/>
    <w:rsid w:val="169C6C41"/>
    <w:rsid w:val="16A083DD"/>
    <w:rsid w:val="16A4442A"/>
    <w:rsid w:val="16A62A3B"/>
    <w:rsid w:val="16A795F2"/>
    <w:rsid w:val="16A7A796"/>
    <w:rsid w:val="16A88BB9"/>
    <w:rsid w:val="16AD6E2C"/>
    <w:rsid w:val="16AE826C"/>
    <w:rsid w:val="16B37E9C"/>
    <w:rsid w:val="16B799C3"/>
    <w:rsid w:val="16BD7516"/>
    <w:rsid w:val="16BFBFBB"/>
    <w:rsid w:val="16C4ABE2"/>
    <w:rsid w:val="16C4BAB5"/>
    <w:rsid w:val="16C770C5"/>
    <w:rsid w:val="16D41950"/>
    <w:rsid w:val="16D919B5"/>
    <w:rsid w:val="16DA70B9"/>
    <w:rsid w:val="16DD9138"/>
    <w:rsid w:val="16DE97C2"/>
    <w:rsid w:val="16E38973"/>
    <w:rsid w:val="16E42AC1"/>
    <w:rsid w:val="16E48650"/>
    <w:rsid w:val="16E4CF38"/>
    <w:rsid w:val="16E4D11C"/>
    <w:rsid w:val="16E4EE1D"/>
    <w:rsid w:val="16E5F2F6"/>
    <w:rsid w:val="16E69E16"/>
    <w:rsid w:val="16E77BE6"/>
    <w:rsid w:val="16E93EEA"/>
    <w:rsid w:val="16F17DDD"/>
    <w:rsid w:val="16F4332B"/>
    <w:rsid w:val="16F5A073"/>
    <w:rsid w:val="16F5A760"/>
    <w:rsid w:val="16F97A6A"/>
    <w:rsid w:val="16FA9E85"/>
    <w:rsid w:val="16FDA338"/>
    <w:rsid w:val="17004982"/>
    <w:rsid w:val="17039C90"/>
    <w:rsid w:val="1708CA8F"/>
    <w:rsid w:val="170A2A9C"/>
    <w:rsid w:val="170CC2AF"/>
    <w:rsid w:val="170CE1BA"/>
    <w:rsid w:val="1711F55A"/>
    <w:rsid w:val="171A4AFA"/>
    <w:rsid w:val="171C30B6"/>
    <w:rsid w:val="171C7A66"/>
    <w:rsid w:val="1721410A"/>
    <w:rsid w:val="172386E8"/>
    <w:rsid w:val="17238F6E"/>
    <w:rsid w:val="1723CBCB"/>
    <w:rsid w:val="17252707"/>
    <w:rsid w:val="1728E430"/>
    <w:rsid w:val="1728F016"/>
    <w:rsid w:val="173AD2F0"/>
    <w:rsid w:val="174911DD"/>
    <w:rsid w:val="1749BCEA"/>
    <w:rsid w:val="174A97F2"/>
    <w:rsid w:val="174BA2C7"/>
    <w:rsid w:val="174BCABA"/>
    <w:rsid w:val="17563991"/>
    <w:rsid w:val="17568CA6"/>
    <w:rsid w:val="1759D59E"/>
    <w:rsid w:val="175C22E7"/>
    <w:rsid w:val="176173AE"/>
    <w:rsid w:val="17634657"/>
    <w:rsid w:val="176A9AB5"/>
    <w:rsid w:val="176D493D"/>
    <w:rsid w:val="1771ED9F"/>
    <w:rsid w:val="17743530"/>
    <w:rsid w:val="177488A0"/>
    <w:rsid w:val="1774F233"/>
    <w:rsid w:val="177A823C"/>
    <w:rsid w:val="177B300A"/>
    <w:rsid w:val="177B8D09"/>
    <w:rsid w:val="177F4F6B"/>
    <w:rsid w:val="17813CA3"/>
    <w:rsid w:val="17844319"/>
    <w:rsid w:val="178682BA"/>
    <w:rsid w:val="17889276"/>
    <w:rsid w:val="1789689E"/>
    <w:rsid w:val="1790BBB7"/>
    <w:rsid w:val="1793AD9D"/>
    <w:rsid w:val="1795AC98"/>
    <w:rsid w:val="1796E19F"/>
    <w:rsid w:val="1799C347"/>
    <w:rsid w:val="179B3B95"/>
    <w:rsid w:val="179DE683"/>
    <w:rsid w:val="179FE15C"/>
    <w:rsid w:val="17B8A32B"/>
    <w:rsid w:val="17B8A8A6"/>
    <w:rsid w:val="17BC0B38"/>
    <w:rsid w:val="17BC5C10"/>
    <w:rsid w:val="17BCD664"/>
    <w:rsid w:val="17BD91EC"/>
    <w:rsid w:val="17BFEAD4"/>
    <w:rsid w:val="17C04C65"/>
    <w:rsid w:val="17C253CF"/>
    <w:rsid w:val="17D135AF"/>
    <w:rsid w:val="17D18849"/>
    <w:rsid w:val="17D1BF7F"/>
    <w:rsid w:val="17D1FFAD"/>
    <w:rsid w:val="17D8B37F"/>
    <w:rsid w:val="17DB570A"/>
    <w:rsid w:val="17DBD478"/>
    <w:rsid w:val="17DF2811"/>
    <w:rsid w:val="17DFFCD0"/>
    <w:rsid w:val="17E6DBA3"/>
    <w:rsid w:val="17E9D6B9"/>
    <w:rsid w:val="17EEB3C0"/>
    <w:rsid w:val="17EEE898"/>
    <w:rsid w:val="17F790E4"/>
    <w:rsid w:val="17FAEA46"/>
    <w:rsid w:val="17FB43A0"/>
    <w:rsid w:val="17FCB233"/>
    <w:rsid w:val="1807B923"/>
    <w:rsid w:val="18096162"/>
    <w:rsid w:val="180A4C1D"/>
    <w:rsid w:val="180A683E"/>
    <w:rsid w:val="180D3F46"/>
    <w:rsid w:val="180F64B8"/>
    <w:rsid w:val="180F7712"/>
    <w:rsid w:val="18151D6A"/>
    <w:rsid w:val="18190D6C"/>
    <w:rsid w:val="181B6917"/>
    <w:rsid w:val="1821B9F5"/>
    <w:rsid w:val="18250E04"/>
    <w:rsid w:val="1825FA53"/>
    <w:rsid w:val="182B7BC6"/>
    <w:rsid w:val="182CC4AC"/>
    <w:rsid w:val="182CF98F"/>
    <w:rsid w:val="182EFB32"/>
    <w:rsid w:val="183CFBDD"/>
    <w:rsid w:val="183DD264"/>
    <w:rsid w:val="18407638"/>
    <w:rsid w:val="184563DE"/>
    <w:rsid w:val="18468029"/>
    <w:rsid w:val="18492002"/>
    <w:rsid w:val="184CDA60"/>
    <w:rsid w:val="184F7EBB"/>
    <w:rsid w:val="184F8E5C"/>
    <w:rsid w:val="184FCBC3"/>
    <w:rsid w:val="1853EE8E"/>
    <w:rsid w:val="18581F2E"/>
    <w:rsid w:val="18592A32"/>
    <w:rsid w:val="185ED658"/>
    <w:rsid w:val="18633A20"/>
    <w:rsid w:val="1865BB70"/>
    <w:rsid w:val="1869B272"/>
    <w:rsid w:val="18711B31"/>
    <w:rsid w:val="1876859B"/>
    <w:rsid w:val="187C9A2E"/>
    <w:rsid w:val="188601F8"/>
    <w:rsid w:val="188741C6"/>
    <w:rsid w:val="1888E4C7"/>
    <w:rsid w:val="188BF38E"/>
    <w:rsid w:val="188EB8C3"/>
    <w:rsid w:val="189A9F83"/>
    <w:rsid w:val="18A223C2"/>
    <w:rsid w:val="18A337E0"/>
    <w:rsid w:val="18A5EA90"/>
    <w:rsid w:val="18A90497"/>
    <w:rsid w:val="18A9508F"/>
    <w:rsid w:val="18AA68C9"/>
    <w:rsid w:val="18AFE24F"/>
    <w:rsid w:val="18B09DDE"/>
    <w:rsid w:val="18B10918"/>
    <w:rsid w:val="18B1BCF2"/>
    <w:rsid w:val="18B7637D"/>
    <w:rsid w:val="18C7013C"/>
    <w:rsid w:val="18C79E5C"/>
    <w:rsid w:val="18C9F7BD"/>
    <w:rsid w:val="18D7FDF4"/>
    <w:rsid w:val="18DB1407"/>
    <w:rsid w:val="18DD5FF8"/>
    <w:rsid w:val="18E731B5"/>
    <w:rsid w:val="18EC7510"/>
    <w:rsid w:val="18ED7C14"/>
    <w:rsid w:val="18EDF21A"/>
    <w:rsid w:val="18F36637"/>
    <w:rsid w:val="18F464CC"/>
    <w:rsid w:val="18F4EAF8"/>
    <w:rsid w:val="18FD8B20"/>
    <w:rsid w:val="1902E64C"/>
    <w:rsid w:val="1903953F"/>
    <w:rsid w:val="1907E323"/>
    <w:rsid w:val="19083C2F"/>
    <w:rsid w:val="19106340"/>
    <w:rsid w:val="191CE0E9"/>
    <w:rsid w:val="1921107D"/>
    <w:rsid w:val="19244055"/>
    <w:rsid w:val="19259EDF"/>
    <w:rsid w:val="1926523D"/>
    <w:rsid w:val="192AE6A9"/>
    <w:rsid w:val="192CCD9D"/>
    <w:rsid w:val="192CDB7A"/>
    <w:rsid w:val="192D079C"/>
    <w:rsid w:val="192D6192"/>
    <w:rsid w:val="192F6D8D"/>
    <w:rsid w:val="19324C37"/>
    <w:rsid w:val="19353E22"/>
    <w:rsid w:val="19358432"/>
    <w:rsid w:val="1937D954"/>
    <w:rsid w:val="193F59E9"/>
    <w:rsid w:val="1941DFDC"/>
    <w:rsid w:val="1946BD91"/>
    <w:rsid w:val="194A4E58"/>
    <w:rsid w:val="194A5069"/>
    <w:rsid w:val="194DBD87"/>
    <w:rsid w:val="1954C747"/>
    <w:rsid w:val="1956CD17"/>
    <w:rsid w:val="1959A2A6"/>
    <w:rsid w:val="195BD95C"/>
    <w:rsid w:val="195CC060"/>
    <w:rsid w:val="19688321"/>
    <w:rsid w:val="1969CF17"/>
    <w:rsid w:val="196CEE0C"/>
    <w:rsid w:val="1974C7CA"/>
    <w:rsid w:val="19788D70"/>
    <w:rsid w:val="1981AE58"/>
    <w:rsid w:val="1981F75F"/>
    <w:rsid w:val="1982F008"/>
    <w:rsid w:val="1983E0C6"/>
    <w:rsid w:val="19856EBD"/>
    <w:rsid w:val="1987733E"/>
    <w:rsid w:val="19881FC4"/>
    <w:rsid w:val="198C01E7"/>
    <w:rsid w:val="198CE0C1"/>
    <w:rsid w:val="1991623D"/>
    <w:rsid w:val="19939BD1"/>
    <w:rsid w:val="19978168"/>
    <w:rsid w:val="19988920"/>
    <w:rsid w:val="199A1F8A"/>
    <w:rsid w:val="199D2752"/>
    <w:rsid w:val="199D5545"/>
    <w:rsid w:val="199DD516"/>
    <w:rsid w:val="199EF359"/>
    <w:rsid w:val="19A03781"/>
    <w:rsid w:val="19A52F07"/>
    <w:rsid w:val="19A56079"/>
    <w:rsid w:val="19A85D5E"/>
    <w:rsid w:val="19A875AF"/>
    <w:rsid w:val="19A8E7A1"/>
    <w:rsid w:val="19A9BBB4"/>
    <w:rsid w:val="19AAAA53"/>
    <w:rsid w:val="19B24F4F"/>
    <w:rsid w:val="19B63725"/>
    <w:rsid w:val="19B77552"/>
    <w:rsid w:val="19B7A3D9"/>
    <w:rsid w:val="19B8C4D3"/>
    <w:rsid w:val="19BBE40D"/>
    <w:rsid w:val="19C07449"/>
    <w:rsid w:val="19C17144"/>
    <w:rsid w:val="19C3199D"/>
    <w:rsid w:val="19CE94E5"/>
    <w:rsid w:val="19D0F42C"/>
    <w:rsid w:val="19D1B61E"/>
    <w:rsid w:val="19D2F2B6"/>
    <w:rsid w:val="19DB2A4F"/>
    <w:rsid w:val="19E41116"/>
    <w:rsid w:val="19E4A7F9"/>
    <w:rsid w:val="19F0DDC5"/>
    <w:rsid w:val="19F925E8"/>
    <w:rsid w:val="19FC556C"/>
    <w:rsid w:val="1A011E76"/>
    <w:rsid w:val="1A08B0A3"/>
    <w:rsid w:val="1A0C9BCB"/>
    <w:rsid w:val="1A15B3CA"/>
    <w:rsid w:val="1A1852B5"/>
    <w:rsid w:val="1A1AF9B6"/>
    <w:rsid w:val="1A1EC32F"/>
    <w:rsid w:val="1A22CBB2"/>
    <w:rsid w:val="1A252426"/>
    <w:rsid w:val="1A254D61"/>
    <w:rsid w:val="1A2DA22A"/>
    <w:rsid w:val="1A2F7B68"/>
    <w:rsid w:val="1A32F908"/>
    <w:rsid w:val="1A371F56"/>
    <w:rsid w:val="1A3B78C1"/>
    <w:rsid w:val="1A4063F6"/>
    <w:rsid w:val="1A40E383"/>
    <w:rsid w:val="1A42AB7C"/>
    <w:rsid w:val="1A44DD92"/>
    <w:rsid w:val="1A45515F"/>
    <w:rsid w:val="1A4757D8"/>
    <w:rsid w:val="1A4B9A7F"/>
    <w:rsid w:val="1A4F6058"/>
    <w:rsid w:val="1A5346B3"/>
    <w:rsid w:val="1A55DE08"/>
    <w:rsid w:val="1A563328"/>
    <w:rsid w:val="1A563B03"/>
    <w:rsid w:val="1A5850D6"/>
    <w:rsid w:val="1A637ECB"/>
    <w:rsid w:val="1A69A026"/>
    <w:rsid w:val="1A6C18EC"/>
    <w:rsid w:val="1A790E04"/>
    <w:rsid w:val="1A79313B"/>
    <w:rsid w:val="1A7EFD01"/>
    <w:rsid w:val="1A7FF082"/>
    <w:rsid w:val="1A8065B1"/>
    <w:rsid w:val="1A857211"/>
    <w:rsid w:val="1A8591C6"/>
    <w:rsid w:val="1A883265"/>
    <w:rsid w:val="1A8B056D"/>
    <w:rsid w:val="1A8F0BBF"/>
    <w:rsid w:val="1A904E6A"/>
    <w:rsid w:val="1A945A41"/>
    <w:rsid w:val="1A99E36A"/>
    <w:rsid w:val="1A9D2AB3"/>
    <w:rsid w:val="1AA08A25"/>
    <w:rsid w:val="1AA451E9"/>
    <w:rsid w:val="1AAAC662"/>
    <w:rsid w:val="1AAC9203"/>
    <w:rsid w:val="1AB2CF53"/>
    <w:rsid w:val="1AB5D599"/>
    <w:rsid w:val="1AB67B6E"/>
    <w:rsid w:val="1AB8BB90"/>
    <w:rsid w:val="1AB99A5E"/>
    <w:rsid w:val="1ABA51DC"/>
    <w:rsid w:val="1AC2BED3"/>
    <w:rsid w:val="1AC4F17B"/>
    <w:rsid w:val="1ACA7FD9"/>
    <w:rsid w:val="1AD1A741"/>
    <w:rsid w:val="1AD1C97D"/>
    <w:rsid w:val="1AD5356B"/>
    <w:rsid w:val="1AD6A47A"/>
    <w:rsid w:val="1AD7A2A9"/>
    <w:rsid w:val="1AE65927"/>
    <w:rsid w:val="1AE6704D"/>
    <w:rsid w:val="1AEB359C"/>
    <w:rsid w:val="1AEC74F4"/>
    <w:rsid w:val="1AF1588F"/>
    <w:rsid w:val="1AF21687"/>
    <w:rsid w:val="1AF31A9F"/>
    <w:rsid w:val="1AF4444D"/>
    <w:rsid w:val="1AF6C285"/>
    <w:rsid w:val="1AFC1924"/>
    <w:rsid w:val="1AFFE603"/>
    <w:rsid w:val="1B07A989"/>
    <w:rsid w:val="1B0AAD63"/>
    <w:rsid w:val="1B0E53A4"/>
    <w:rsid w:val="1B10676D"/>
    <w:rsid w:val="1B11DE52"/>
    <w:rsid w:val="1B125AB3"/>
    <w:rsid w:val="1B154E2D"/>
    <w:rsid w:val="1B1D6E6E"/>
    <w:rsid w:val="1B2051B8"/>
    <w:rsid w:val="1B253C1A"/>
    <w:rsid w:val="1B2C589C"/>
    <w:rsid w:val="1B360758"/>
    <w:rsid w:val="1B3BAB25"/>
    <w:rsid w:val="1B3F9787"/>
    <w:rsid w:val="1B40958F"/>
    <w:rsid w:val="1B422843"/>
    <w:rsid w:val="1B45ECF9"/>
    <w:rsid w:val="1B480BED"/>
    <w:rsid w:val="1B4B8477"/>
    <w:rsid w:val="1B4D7DB0"/>
    <w:rsid w:val="1B4EB532"/>
    <w:rsid w:val="1B4EE538"/>
    <w:rsid w:val="1B503B3F"/>
    <w:rsid w:val="1B52773B"/>
    <w:rsid w:val="1B578EB8"/>
    <w:rsid w:val="1B57DA8E"/>
    <w:rsid w:val="1B5C4A5E"/>
    <w:rsid w:val="1B5D4DF3"/>
    <w:rsid w:val="1B60B01E"/>
    <w:rsid w:val="1B62302B"/>
    <w:rsid w:val="1B6822AC"/>
    <w:rsid w:val="1B701B91"/>
    <w:rsid w:val="1B740ACD"/>
    <w:rsid w:val="1B741FFA"/>
    <w:rsid w:val="1B86E7E4"/>
    <w:rsid w:val="1B87182D"/>
    <w:rsid w:val="1B87957E"/>
    <w:rsid w:val="1B8BE091"/>
    <w:rsid w:val="1B91773A"/>
    <w:rsid w:val="1B923B6C"/>
    <w:rsid w:val="1B989385"/>
    <w:rsid w:val="1B9C93E5"/>
    <w:rsid w:val="1BA32EA4"/>
    <w:rsid w:val="1BA60603"/>
    <w:rsid w:val="1BA6247C"/>
    <w:rsid w:val="1BAA9E34"/>
    <w:rsid w:val="1BAC12C4"/>
    <w:rsid w:val="1BAE2AA2"/>
    <w:rsid w:val="1BB0823B"/>
    <w:rsid w:val="1BB0CCE5"/>
    <w:rsid w:val="1BB20712"/>
    <w:rsid w:val="1BB40158"/>
    <w:rsid w:val="1BB43532"/>
    <w:rsid w:val="1BBA037E"/>
    <w:rsid w:val="1BBD412F"/>
    <w:rsid w:val="1BC2EE72"/>
    <w:rsid w:val="1BC4C5E3"/>
    <w:rsid w:val="1BC6936E"/>
    <w:rsid w:val="1BC6FAE4"/>
    <w:rsid w:val="1BC91690"/>
    <w:rsid w:val="1BCD3666"/>
    <w:rsid w:val="1BD166DB"/>
    <w:rsid w:val="1BD226C4"/>
    <w:rsid w:val="1BD57941"/>
    <w:rsid w:val="1BDB2A52"/>
    <w:rsid w:val="1BDE31B5"/>
    <w:rsid w:val="1BDEEA78"/>
    <w:rsid w:val="1BE5BB1B"/>
    <w:rsid w:val="1BE95795"/>
    <w:rsid w:val="1BECE5F6"/>
    <w:rsid w:val="1BFA2F5E"/>
    <w:rsid w:val="1BFBF1EE"/>
    <w:rsid w:val="1C07C063"/>
    <w:rsid w:val="1C090CFA"/>
    <w:rsid w:val="1C092F8E"/>
    <w:rsid w:val="1C0A4E46"/>
    <w:rsid w:val="1C0CE4CB"/>
    <w:rsid w:val="1C1156B8"/>
    <w:rsid w:val="1C14AE3A"/>
    <w:rsid w:val="1C14C2D8"/>
    <w:rsid w:val="1C1765BD"/>
    <w:rsid w:val="1C19B7A4"/>
    <w:rsid w:val="1C1B7B8E"/>
    <w:rsid w:val="1C1CE867"/>
    <w:rsid w:val="1C1D82BF"/>
    <w:rsid w:val="1C2054C4"/>
    <w:rsid w:val="1C23FCC7"/>
    <w:rsid w:val="1C278DAF"/>
    <w:rsid w:val="1C284D32"/>
    <w:rsid w:val="1C31C013"/>
    <w:rsid w:val="1C3455B5"/>
    <w:rsid w:val="1C35D1DE"/>
    <w:rsid w:val="1C37A5D1"/>
    <w:rsid w:val="1C3B2C86"/>
    <w:rsid w:val="1C3B5F82"/>
    <w:rsid w:val="1C3CE182"/>
    <w:rsid w:val="1C3D068A"/>
    <w:rsid w:val="1C3E715D"/>
    <w:rsid w:val="1C4445BB"/>
    <w:rsid w:val="1C4503F0"/>
    <w:rsid w:val="1C450A4D"/>
    <w:rsid w:val="1C4E369A"/>
    <w:rsid w:val="1C4F29DC"/>
    <w:rsid w:val="1C56FE63"/>
    <w:rsid w:val="1C57132E"/>
    <w:rsid w:val="1C5A066C"/>
    <w:rsid w:val="1C5B5984"/>
    <w:rsid w:val="1C5C01C8"/>
    <w:rsid w:val="1C5E2252"/>
    <w:rsid w:val="1C60FFE4"/>
    <w:rsid w:val="1C663669"/>
    <w:rsid w:val="1C6C00FB"/>
    <w:rsid w:val="1C6D546B"/>
    <w:rsid w:val="1C6DB8FB"/>
    <w:rsid w:val="1C8097FD"/>
    <w:rsid w:val="1C89330E"/>
    <w:rsid w:val="1C89E314"/>
    <w:rsid w:val="1C8AB98C"/>
    <w:rsid w:val="1C8CA99C"/>
    <w:rsid w:val="1C91BF77"/>
    <w:rsid w:val="1C9DABFB"/>
    <w:rsid w:val="1C9E29C8"/>
    <w:rsid w:val="1C9E6FB7"/>
    <w:rsid w:val="1CA24424"/>
    <w:rsid w:val="1CAADD43"/>
    <w:rsid w:val="1CAB4E6D"/>
    <w:rsid w:val="1CAB9AE5"/>
    <w:rsid w:val="1CADAE03"/>
    <w:rsid w:val="1CB44478"/>
    <w:rsid w:val="1CB5CB1E"/>
    <w:rsid w:val="1CBC0DC7"/>
    <w:rsid w:val="1CBFF1A8"/>
    <w:rsid w:val="1CC64273"/>
    <w:rsid w:val="1CCE5659"/>
    <w:rsid w:val="1CCEAD5B"/>
    <w:rsid w:val="1CD0EF20"/>
    <w:rsid w:val="1CD192A0"/>
    <w:rsid w:val="1CD1DE86"/>
    <w:rsid w:val="1CD69D26"/>
    <w:rsid w:val="1CD7EF3A"/>
    <w:rsid w:val="1CD81235"/>
    <w:rsid w:val="1CDE4755"/>
    <w:rsid w:val="1CDF2008"/>
    <w:rsid w:val="1CE37C1A"/>
    <w:rsid w:val="1CE64F3C"/>
    <w:rsid w:val="1CEF2274"/>
    <w:rsid w:val="1CF030BE"/>
    <w:rsid w:val="1CF6451A"/>
    <w:rsid w:val="1CF8140F"/>
    <w:rsid w:val="1CFF4840"/>
    <w:rsid w:val="1D047F25"/>
    <w:rsid w:val="1D07AEB3"/>
    <w:rsid w:val="1D07AEDE"/>
    <w:rsid w:val="1D0B0D34"/>
    <w:rsid w:val="1D0D8A92"/>
    <w:rsid w:val="1D0FA749"/>
    <w:rsid w:val="1D0FF393"/>
    <w:rsid w:val="1D125CD9"/>
    <w:rsid w:val="1D1282D1"/>
    <w:rsid w:val="1D193242"/>
    <w:rsid w:val="1D19EEF9"/>
    <w:rsid w:val="1D1C52D4"/>
    <w:rsid w:val="1D1EF263"/>
    <w:rsid w:val="1D23A4C6"/>
    <w:rsid w:val="1D24A49C"/>
    <w:rsid w:val="1D25DD8E"/>
    <w:rsid w:val="1D272CB5"/>
    <w:rsid w:val="1D289869"/>
    <w:rsid w:val="1D395636"/>
    <w:rsid w:val="1D3B382F"/>
    <w:rsid w:val="1D3F13C2"/>
    <w:rsid w:val="1D40D8D4"/>
    <w:rsid w:val="1D425652"/>
    <w:rsid w:val="1D4492CE"/>
    <w:rsid w:val="1D4A944F"/>
    <w:rsid w:val="1D4BEF85"/>
    <w:rsid w:val="1D4DC667"/>
    <w:rsid w:val="1D4DF8B0"/>
    <w:rsid w:val="1D4FB2EE"/>
    <w:rsid w:val="1D573C34"/>
    <w:rsid w:val="1D574B03"/>
    <w:rsid w:val="1D59D2CF"/>
    <w:rsid w:val="1D5A42EC"/>
    <w:rsid w:val="1D5A6FE4"/>
    <w:rsid w:val="1D5C2D90"/>
    <w:rsid w:val="1D5F904E"/>
    <w:rsid w:val="1D60900B"/>
    <w:rsid w:val="1D65F482"/>
    <w:rsid w:val="1D66D5B7"/>
    <w:rsid w:val="1D6805B0"/>
    <w:rsid w:val="1D6B9D27"/>
    <w:rsid w:val="1D6F0825"/>
    <w:rsid w:val="1D751613"/>
    <w:rsid w:val="1D7785F2"/>
    <w:rsid w:val="1D79E189"/>
    <w:rsid w:val="1D81AFD5"/>
    <w:rsid w:val="1D836033"/>
    <w:rsid w:val="1D859FB6"/>
    <w:rsid w:val="1D878A6D"/>
    <w:rsid w:val="1D923CFB"/>
    <w:rsid w:val="1D9CEC2A"/>
    <w:rsid w:val="1D9D9056"/>
    <w:rsid w:val="1DA34A19"/>
    <w:rsid w:val="1DAEA999"/>
    <w:rsid w:val="1DB5CBC7"/>
    <w:rsid w:val="1DBBBFA9"/>
    <w:rsid w:val="1DBF06E8"/>
    <w:rsid w:val="1DBF83BF"/>
    <w:rsid w:val="1DC1E7D2"/>
    <w:rsid w:val="1DC61F38"/>
    <w:rsid w:val="1DCCFF9B"/>
    <w:rsid w:val="1DCD377C"/>
    <w:rsid w:val="1DCE8262"/>
    <w:rsid w:val="1DD6963E"/>
    <w:rsid w:val="1DDDAB55"/>
    <w:rsid w:val="1DE6522D"/>
    <w:rsid w:val="1DE7FC77"/>
    <w:rsid w:val="1DF51F40"/>
    <w:rsid w:val="1DF93F9A"/>
    <w:rsid w:val="1E023690"/>
    <w:rsid w:val="1E060D88"/>
    <w:rsid w:val="1E0831AA"/>
    <w:rsid w:val="1E0BD6F3"/>
    <w:rsid w:val="1E113D9D"/>
    <w:rsid w:val="1E20CA5E"/>
    <w:rsid w:val="1E2A6F09"/>
    <w:rsid w:val="1E31D0EC"/>
    <w:rsid w:val="1E34D66C"/>
    <w:rsid w:val="1E44736A"/>
    <w:rsid w:val="1E487924"/>
    <w:rsid w:val="1E50F225"/>
    <w:rsid w:val="1E5621F6"/>
    <w:rsid w:val="1E56CC2B"/>
    <w:rsid w:val="1E5716E5"/>
    <w:rsid w:val="1E5743DB"/>
    <w:rsid w:val="1E57A3F0"/>
    <w:rsid w:val="1E58E950"/>
    <w:rsid w:val="1E597BA5"/>
    <w:rsid w:val="1E5D5B1E"/>
    <w:rsid w:val="1E5F3466"/>
    <w:rsid w:val="1E62CC22"/>
    <w:rsid w:val="1E62E667"/>
    <w:rsid w:val="1E635911"/>
    <w:rsid w:val="1E74C85D"/>
    <w:rsid w:val="1E755AB7"/>
    <w:rsid w:val="1E76B609"/>
    <w:rsid w:val="1E7BEE76"/>
    <w:rsid w:val="1E81C391"/>
    <w:rsid w:val="1E852404"/>
    <w:rsid w:val="1E86C1D7"/>
    <w:rsid w:val="1E8BC2D5"/>
    <w:rsid w:val="1E9415DF"/>
    <w:rsid w:val="1E94F9B2"/>
    <w:rsid w:val="1EA07D59"/>
    <w:rsid w:val="1EA3B28A"/>
    <w:rsid w:val="1EAFC279"/>
    <w:rsid w:val="1EB893F9"/>
    <w:rsid w:val="1EB98688"/>
    <w:rsid w:val="1EBF34DE"/>
    <w:rsid w:val="1EC09E44"/>
    <w:rsid w:val="1ECB8001"/>
    <w:rsid w:val="1ECFD0BB"/>
    <w:rsid w:val="1ED2A3AF"/>
    <w:rsid w:val="1ED3BDFF"/>
    <w:rsid w:val="1EDB5956"/>
    <w:rsid w:val="1EDCE383"/>
    <w:rsid w:val="1EDEBB92"/>
    <w:rsid w:val="1EE0C33F"/>
    <w:rsid w:val="1EE0EF56"/>
    <w:rsid w:val="1EE76853"/>
    <w:rsid w:val="1EE950F4"/>
    <w:rsid w:val="1EF1AB58"/>
    <w:rsid w:val="1EF3EB81"/>
    <w:rsid w:val="1EF7A133"/>
    <w:rsid w:val="1EFC8835"/>
    <w:rsid w:val="1EFD323A"/>
    <w:rsid w:val="1EFF0DDD"/>
    <w:rsid w:val="1F0CDEED"/>
    <w:rsid w:val="1F108C64"/>
    <w:rsid w:val="1F13F8C8"/>
    <w:rsid w:val="1F194E77"/>
    <w:rsid w:val="1F21F235"/>
    <w:rsid w:val="1F260B76"/>
    <w:rsid w:val="1F26B82C"/>
    <w:rsid w:val="1F2B8E3D"/>
    <w:rsid w:val="1F318F48"/>
    <w:rsid w:val="1F3190CE"/>
    <w:rsid w:val="1F3321DF"/>
    <w:rsid w:val="1F400546"/>
    <w:rsid w:val="1F41CD75"/>
    <w:rsid w:val="1F425FE2"/>
    <w:rsid w:val="1F439ECC"/>
    <w:rsid w:val="1F44716C"/>
    <w:rsid w:val="1F481F57"/>
    <w:rsid w:val="1F49F237"/>
    <w:rsid w:val="1F54BAE0"/>
    <w:rsid w:val="1F593CE3"/>
    <w:rsid w:val="1F5F0011"/>
    <w:rsid w:val="1F648D63"/>
    <w:rsid w:val="1F665179"/>
    <w:rsid w:val="1F67C959"/>
    <w:rsid w:val="1F6AF3CA"/>
    <w:rsid w:val="1F712D2F"/>
    <w:rsid w:val="1F72406D"/>
    <w:rsid w:val="1F76DE05"/>
    <w:rsid w:val="1F77EBE1"/>
    <w:rsid w:val="1F7A1A50"/>
    <w:rsid w:val="1F84306D"/>
    <w:rsid w:val="1F866D6E"/>
    <w:rsid w:val="1F8E919E"/>
    <w:rsid w:val="1F91EBE1"/>
    <w:rsid w:val="1F929FFE"/>
    <w:rsid w:val="1F9B1197"/>
    <w:rsid w:val="1F9BBB46"/>
    <w:rsid w:val="1F9C6664"/>
    <w:rsid w:val="1FA3B675"/>
    <w:rsid w:val="1FAD02CB"/>
    <w:rsid w:val="1FB05375"/>
    <w:rsid w:val="1FBB711F"/>
    <w:rsid w:val="1FBD2F5D"/>
    <w:rsid w:val="1FC13F46"/>
    <w:rsid w:val="1FC15EE4"/>
    <w:rsid w:val="1FC1E5A8"/>
    <w:rsid w:val="1FC4E4FA"/>
    <w:rsid w:val="1FC88C6E"/>
    <w:rsid w:val="1FCA38F7"/>
    <w:rsid w:val="1FD3D473"/>
    <w:rsid w:val="1FD5C7A3"/>
    <w:rsid w:val="1FDA917B"/>
    <w:rsid w:val="1FDD7029"/>
    <w:rsid w:val="1FDF0C2E"/>
    <w:rsid w:val="1FE1B1D7"/>
    <w:rsid w:val="1FE1EEF2"/>
    <w:rsid w:val="1FE5FCC0"/>
    <w:rsid w:val="1FEAEE1E"/>
    <w:rsid w:val="1FEE757A"/>
    <w:rsid w:val="1FF2DBEA"/>
    <w:rsid w:val="1FF8619C"/>
    <w:rsid w:val="1FFA89B5"/>
    <w:rsid w:val="1FFC79C1"/>
    <w:rsid w:val="2005FFC7"/>
    <w:rsid w:val="200C83FE"/>
    <w:rsid w:val="200E2DB5"/>
    <w:rsid w:val="20112C92"/>
    <w:rsid w:val="2011551D"/>
    <w:rsid w:val="2013EABB"/>
    <w:rsid w:val="2015E0E2"/>
    <w:rsid w:val="201C7233"/>
    <w:rsid w:val="20232047"/>
    <w:rsid w:val="20260ABE"/>
    <w:rsid w:val="202712FB"/>
    <w:rsid w:val="20285028"/>
    <w:rsid w:val="2029A392"/>
    <w:rsid w:val="202C8865"/>
    <w:rsid w:val="202D6D6C"/>
    <w:rsid w:val="202FA3D8"/>
    <w:rsid w:val="2034B012"/>
    <w:rsid w:val="2035CF6E"/>
    <w:rsid w:val="203C0923"/>
    <w:rsid w:val="203D524C"/>
    <w:rsid w:val="204FE0D9"/>
    <w:rsid w:val="2053F7BB"/>
    <w:rsid w:val="2054CF7F"/>
    <w:rsid w:val="205F6613"/>
    <w:rsid w:val="2060D13A"/>
    <w:rsid w:val="20638907"/>
    <w:rsid w:val="20648F63"/>
    <w:rsid w:val="20659A3B"/>
    <w:rsid w:val="20678758"/>
    <w:rsid w:val="20708D94"/>
    <w:rsid w:val="207353FA"/>
    <w:rsid w:val="2082CC34"/>
    <w:rsid w:val="2082F8F4"/>
    <w:rsid w:val="2085545E"/>
    <w:rsid w:val="2087879E"/>
    <w:rsid w:val="20889A81"/>
    <w:rsid w:val="208BAFE7"/>
    <w:rsid w:val="208D7F8A"/>
    <w:rsid w:val="208D8890"/>
    <w:rsid w:val="208F4E9A"/>
    <w:rsid w:val="209218C4"/>
    <w:rsid w:val="20947493"/>
    <w:rsid w:val="2096509C"/>
    <w:rsid w:val="20971C57"/>
    <w:rsid w:val="209A6A45"/>
    <w:rsid w:val="20A2C315"/>
    <w:rsid w:val="20A4F1E7"/>
    <w:rsid w:val="20A9D0D0"/>
    <w:rsid w:val="20ABBFE7"/>
    <w:rsid w:val="20AD4E8D"/>
    <w:rsid w:val="20B3845D"/>
    <w:rsid w:val="20B43794"/>
    <w:rsid w:val="20B62BC1"/>
    <w:rsid w:val="20B7B164"/>
    <w:rsid w:val="20B87E7C"/>
    <w:rsid w:val="20BB53A4"/>
    <w:rsid w:val="20BBDBFB"/>
    <w:rsid w:val="20BD1FFA"/>
    <w:rsid w:val="20C73D92"/>
    <w:rsid w:val="20C81E64"/>
    <w:rsid w:val="20CC96FC"/>
    <w:rsid w:val="20CCFEB7"/>
    <w:rsid w:val="20CF34C9"/>
    <w:rsid w:val="20D15A18"/>
    <w:rsid w:val="20DC4167"/>
    <w:rsid w:val="20E321DD"/>
    <w:rsid w:val="20E51EC7"/>
    <w:rsid w:val="20E935AF"/>
    <w:rsid w:val="20EAFE2A"/>
    <w:rsid w:val="20EC86BC"/>
    <w:rsid w:val="20ED1D4A"/>
    <w:rsid w:val="20F04982"/>
    <w:rsid w:val="20F82A96"/>
    <w:rsid w:val="20F946AB"/>
    <w:rsid w:val="20FD720A"/>
    <w:rsid w:val="2100D15B"/>
    <w:rsid w:val="21013412"/>
    <w:rsid w:val="2104096D"/>
    <w:rsid w:val="21063DD2"/>
    <w:rsid w:val="2108ABC5"/>
    <w:rsid w:val="2108DF15"/>
    <w:rsid w:val="210CB84D"/>
    <w:rsid w:val="210D653B"/>
    <w:rsid w:val="2110C43A"/>
    <w:rsid w:val="2110CC4D"/>
    <w:rsid w:val="21114C37"/>
    <w:rsid w:val="2116F6A3"/>
    <w:rsid w:val="21182461"/>
    <w:rsid w:val="211C4D8C"/>
    <w:rsid w:val="2120ECF0"/>
    <w:rsid w:val="2128212B"/>
    <w:rsid w:val="2128B1B7"/>
    <w:rsid w:val="212B99F0"/>
    <w:rsid w:val="212DC7DF"/>
    <w:rsid w:val="212EBCF1"/>
    <w:rsid w:val="212FC85E"/>
    <w:rsid w:val="2130F08B"/>
    <w:rsid w:val="2138EC76"/>
    <w:rsid w:val="213D3F96"/>
    <w:rsid w:val="213F6651"/>
    <w:rsid w:val="21479799"/>
    <w:rsid w:val="21489146"/>
    <w:rsid w:val="214AAEE6"/>
    <w:rsid w:val="214BD279"/>
    <w:rsid w:val="214E6979"/>
    <w:rsid w:val="215062DB"/>
    <w:rsid w:val="2151A2D4"/>
    <w:rsid w:val="2151D487"/>
    <w:rsid w:val="2157E0EE"/>
    <w:rsid w:val="215C19B9"/>
    <w:rsid w:val="215DB212"/>
    <w:rsid w:val="215EA203"/>
    <w:rsid w:val="215EB725"/>
    <w:rsid w:val="215FA047"/>
    <w:rsid w:val="216079B3"/>
    <w:rsid w:val="21632DA1"/>
    <w:rsid w:val="21645DE4"/>
    <w:rsid w:val="216BED35"/>
    <w:rsid w:val="216DF407"/>
    <w:rsid w:val="21721EDE"/>
    <w:rsid w:val="2178583A"/>
    <w:rsid w:val="217BF835"/>
    <w:rsid w:val="217DDB9C"/>
    <w:rsid w:val="217E28B5"/>
    <w:rsid w:val="2180A325"/>
    <w:rsid w:val="2180DC40"/>
    <w:rsid w:val="2180F8F4"/>
    <w:rsid w:val="21902605"/>
    <w:rsid w:val="2193F9FD"/>
    <w:rsid w:val="2194DA6E"/>
    <w:rsid w:val="2195CF0B"/>
    <w:rsid w:val="219E6A54"/>
    <w:rsid w:val="219FF04A"/>
    <w:rsid w:val="21A127F2"/>
    <w:rsid w:val="21A22659"/>
    <w:rsid w:val="21A3189F"/>
    <w:rsid w:val="21A75414"/>
    <w:rsid w:val="21A788C7"/>
    <w:rsid w:val="21A93E08"/>
    <w:rsid w:val="21AC2654"/>
    <w:rsid w:val="21B59DFE"/>
    <w:rsid w:val="21BA2D5F"/>
    <w:rsid w:val="21C3493B"/>
    <w:rsid w:val="21C60100"/>
    <w:rsid w:val="21CBDE79"/>
    <w:rsid w:val="21D0E1A1"/>
    <w:rsid w:val="21D556DD"/>
    <w:rsid w:val="21D7C571"/>
    <w:rsid w:val="21D9FFFA"/>
    <w:rsid w:val="21DF349E"/>
    <w:rsid w:val="21E6B5F4"/>
    <w:rsid w:val="21EA9E68"/>
    <w:rsid w:val="21F92103"/>
    <w:rsid w:val="21F9B2E0"/>
    <w:rsid w:val="21FB8430"/>
    <w:rsid w:val="21FC8E49"/>
    <w:rsid w:val="22014ADD"/>
    <w:rsid w:val="2201D73D"/>
    <w:rsid w:val="220517CD"/>
    <w:rsid w:val="2209278F"/>
    <w:rsid w:val="220A6E40"/>
    <w:rsid w:val="2212C28C"/>
    <w:rsid w:val="221A817F"/>
    <w:rsid w:val="221E6C14"/>
    <w:rsid w:val="22209C02"/>
    <w:rsid w:val="22242295"/>
    <w:rsid w:val="2227F661"/>
    <w:rsid w:val="222DEE8A"/>
    <w:rsid w:val="2230F3EB"/>
    <w:rsid w:val="22326964"/>
    <w:rsid w:val="2232C3C1"/>
    <w:rsid w:val="2233C9DF"/>
    <w:rsid w:val="2234F51A"/>
    <w:rsid w:val="2235ED11"/>
    <w:rsid w:val="2236FA8F"/>
    <w:rsid w:val="223CEB0A"/>
    <w:rsid w:val="223E7CAD"/>
    <w:rsid w:val="223F13B0"/>
    <w:rsid w:val="224210C2"/>
    <w:rsid w:val="225AC90F"/>
    <w:rsid w:val="225C2E20"/>
    <w:rsid w:val="225E11B5"/>
    <w:rsid w:val="225F9D61"/>
    <w:rsid w:val="2260AF83"/>
    <w:rsid w:val="2262CCA6"/>
    <w:rsid w:val="2267BCAF"/>
    <w:rsid w:val="2268C99B"/>
    <w:rsid w:val="226998F1"/>
    <w:rsid w:val="226A1A4D"/>
    <w:rsid w:val="226AE69A"/>
    <w:rsid w:val="22716142"/>
    <w:rsid w:val="22750628"/>
    <w:rsid w:val="22760B28"/>
    <w:rsid w:val="2276CE4F"/>
    <w:rsid w:val="22811F79"/>
    <w:rsid w:val="2281A145"/>
    <w:rsid w:val="2282DBDD"/>
    <w:rsid w:val="2287FBF0"/>
    <w:rsid w:val="228AF76D"/>
    <w:rsid w:val="2292697F"/>
    <w:rsid w:val="2292F08D"/>
    <w:rsid w:val="2299C3F8"/>
    <w:rsid w:val="22A1A0B7"/>
    <w:rsid w:val="22AA1A26"/>
    <w:rsid w:val="22AA4747"/>
    <w:rsid w:val="22ABA12A"/>
    <w:rsid w:val="22AE0CD4"/>
    <w:rsid w:val="22B101B6"/>
    <w:rsid w:val="22B323C8"/>
    <w:rsid w:val="22B42166"/>
    <w:rsid w:val="22BAB061"/>
    <w:rsid w:val="22BDCDE6"/>
    <w:rsid w:val="22BEE207"/>
    <w:rsid w:val="22BF2641"/>
    <w:rsid w:val="22C1B80E"/>
    <w:rsid w:val="22C27566"/>
    <w:rsid w:val="22C287C3"/>
    <w:rsid w:val="22C519DA"/>
    <w:rsid w:val="22CBCEA9"/>
    <w:rsid w:val="22D4F9CC"/>
    <w:rsid w:val="22DDFF9A"/>
    <w:rsid w:val="22E167C2"/>
    <w:rsid w:val="22E99A24"/>
    <w:rsid w:val="22E9A7BE"/>
    <w:rsid w:val="22EF57AC"/>
    <w:rsid w:val="22F52560"/>
    <w:rsid w:val="22F733B2"/>
    <w:rsid w:val="22FEA8BC"/>
    <w:rsid w:val="2304A01F"/>
    <w:rsid w:val="23052D9A"/>
    <w:rsid w:val="23060AB5"/>
    <w:rsid w:val="2307DBDD"/>
    <w:rsid w:val="23080A0F"/>
    <w:rsid w:val="230C1681"/>
    <w:rsid w:val="230D6B0D"/>
    <w:rsid w:val="230E23E0"/>
    <w:rsid w:val="230F0029"/>
    <w:rsid w:val="2315BA41"/>
    <w:rsid w:val="231966B3"/>
    <w:rsid w:val="231CB9C9"/>
    <w:rsid w:val="23226F53"/>
    <w:rsid w:val="2327F2B8"/>
    <w:rsid w:val="23281465"/>
    <w:rsid w:val="232D84ED"/>
    <w:rsid w:val="232EA96D"/>
    <w:rsid w:val="232EB2F7"/>
    <w:rsid w:val="2338C3E4"/>
    <w:rsid w:val="233E52DC"/>
    <w:rsid w:val="2340E300"/>
    <w:rsid w:val="23431EDA"/>
    <w:rsid w:val="23464912"/>
    <w:rsid w:val="2347EC24"/>
    <w:rsid w:val="234A49CC"/>
    <w:rsid w:val="234DCFB4"/>
    <w:rsid w:val="2351755D"/>
    <w:rsid w:val="23525C68"/>
    <w:rsid w:val="235DF202"/>
    <w:rsid w:val="235F494A"/>
    <w:rsid w:val="23630360"/>
    <w:rsid w:val="23644E8C"/>
    <w:rsid w:val="236603F8"/>
    <w:rsid w:val="236D7FCC"/>
    <w:rsid w:val="236FB8C0"/>
    <w:rsid w:val="2373AE5D"/>
    <w:rsid w:val="23747157"/>
    <w:rsid w:val="237CC264"/>
    <w:rsid w:val="2393A8B9"/>
    <w:rsid w:val="23980CE1"/>
    <w:rsid w:val="2398DFEC"/>
    <w:rsid w:val="239A24A2"/>
    <w:rsid w:val="239CCCFD"/>
    <w:rsid w:val="239FA353"/>
    <w:rsid w:val="23A2AA4C"/>
    <w:rsid w:val="23B183DD"/>
    <w:rsid w:val="23B4C5EA"/>
    <w:rsid w:val="23B5D6D8"/>
    <w:rsid w:val="23B641C8"/>
    <w:rsid w:val="23BAB05B"/>
    <w:rsid w:val="23BB72D1"/>
    <w:rsid w:val="23BC1147"/>
    <w:rsid w:val="23BF38C4"/>
    <w:rsid w:val="23C1B50F"/>
    <w:rsid w:val="23C5E1F1"/>
    <w:rsid w:val="23C94E2C"/>
    <w:rsid w:val="23CB57F0"/>
    <w:rsid w:val="23CC3E1C"/>
    <w:rsid w:val="23CD6563"/>
    <w:rsid w:val="23CDB3E1"/>
    <w:rsid w:val="23D602A2"/>
    <w:rsid w:val="23DA6BCE"/>
    <w:rsid w:val="23DCB55C"/>
    <w:rsid w:val="23E423BD"/>
    <w:rsid w:val="23E7EFCF"/>
    <w:rsid w:val="23EA3F66"/>
    <w:rsid w:val="23F4D368"/>
    <w:rsid w:val="23F95AF6"/>
    <w:rsid w:val="23F9658C"/>
    <w:rsid w:val="23F97D7C"/>
    <w:rsid w:val="23FC7B11"/>
    <w:rsid w:val="23FD0ADE"/>
    <w:rsid w:val="24021DAE"/>
    <w:rsid w:val="2402251D"/>
    <w:rsid w:val="24038BC7"/>
    <w:rsid w:val="2405A24C"/>
    <w:rsid w:val="2406233B"/>
    <w:rsid w:val="24084221"/>
    <w:rsid w:val="24098480"/>
    <w:rsid w:val="240A1A7C"/>
    <w:rsid w:val="240CC311"/>
    <w:rsid w:val="240FC32C"/>
    <w:rsid w:val="24113A13"/>
    <w:rsid w:val="24116B78"/>
    <w:rsid w:val="241448B5"/>
    <w:rsid w:val="241869A9"/>
    <w:rsid w:val="2421B457"/>
    <w:rsid w:val="2424C002"/>
    <w:rsid w:val="2425F4D8"/>
    <w:rsid w:val="2428273B"/>
    <w:rsid w:val="242A58E8"/>
    <w:rsid w:val="242B30CD"/>
    <w:rsid w:val="242D1059"/>
    <w:rsid w:val="243A0150"/>
    <w:rsid w:val="243A3293"/>
    <w:rsid w:val="24406CB8"/>
    <w:rsid w:val="2440D377"/>
    <w:rsid w:val="244ABB34"/>
    <w:rsid w:val="244C7D56"/>
    <w:rsid w:val="24512C3F"/>
    <w:rsid w:val="24519EDC"/>
    <w:rsid w:val="2455A186"/>
    <w:rsid w:val="2457A337"/>
    <w:rsid w:val="24580B29"/>
    <w:rsid w:val="245AD411"/>
    <w:rsid w:val="246157CF"/>
    <w:rsid w:val="2467F67A"/>
    <w:rsid w:val="246B279D"/>
    <w:rsid w:val="246C1E3F"/>
    <w:rsid w:val="247776DF"/>
    <w:rsid w:val="24785088"/>
    <w:rsid w:val="247A1003"/>
    <w:rsid w:val="247A8742"/>
    <w:rsid w:val="2482DA84"/>
    <w:rsid w:val="24843D9E"/>
    <w:rsid w:val="24859664"/>
    <w:rsid w:val="2487CA2E"/>
    <w:rsid w:val="24894145"/>
    <w:rsid w:val="249BEADF"/>
    <w:rsid w:val="249C214C"/>
    <w:rsid w:val="249DEE12"/>
    <w:rsid w:val="24A24291"/>
    <w:rsid w:val="24A5FCA4"/>
    <w:rsid w:val="24AB6A69"/>
    <w:rsid w:val="24B37DF3"/>
    <w:rsid w:val="24BC2C3C"/>
    <w:rsid w:val="24BC5EA8"/>
    <w:rsid w:val="24BD6ED3"/>
    <w:rsid w:val="24BE4202"/>
    <w:rsid w:val="24BFC997"/>
    <w:rsid w:val="24C02AE7"/>
    <w:rsid w:val="24C4C66E"/>
    <w:rsid w:val="24C6FA6B"/>
    <w:rsid w:val="24C75D59"/>
    <w:rsid w:val="24C93CD5"/>
    <w:rsid w:val="24D2FCBE"/>
    <w:rsid w:val="24DD1CCD"/>
    <w:rsid w:val="24DDF43B"/>
    <w:rsid w:val="24DF55A9"/>
    <w:rsid w:val="24E4F490"/>
    <w:rsid w:val="24EE84A7"/>
    <w:rsid w:val="24F3976C"/>
    <w:rsid w:val="24F75483"/>
    <w:rsid w:val="24F829F3"/>
    <w:rsid w:val="24FA5BDE"/>
    <w:rsid w:val="25022731"/>
    <w:rsid w:val="25023147"/>
    <w:rsid w:val="25032F30"/>
    <w:rsid w:val="25050126"/>
    <w:rsid w:val="250AF510"/>
    <w:rsid w:val="2515234C"/>
    <w:rsid w:val="251661B3"/>
    <w:rsid w:val="2516C035"/>
    <w:rsid w:val="25171791"/>
    <w:rsid w:val="251932B7"/>
    <w:rsid w:val="251B8C3C"/>
    <w:rsid w:val="251E1D95"/>
    <w:rsid w:val="25212E2D"/>
    <w:rsid w:val="2524BACD"/>
    <w:rsid w:val="25254402"/>
    <w:rsid w:val="2525EAE6"/>
    <w:rsid w:val="25264A00"/>
    <w:rsid w:val="25277506"/>
    <w:rsid w:val="252DA711"/>
    <w:rsid w:val="25349A21"/>
    <w:rsid w:val="25362FEB"/>
    <w:rsid w:val="253D0F8B"/>
    <w:rsid w:val="253D92F3"/>
    <w:rsid w:val="253E50C8"/>
    <w:rsid w:val="25419EED"/>
    <w:rsid w:val="25432D5C"/>
    <w:rsid w:val="254AE969"/>
    <w:rsid w:val="2552C0C0"/>
    <w:rsid w:val="2553B1BF"/>
    <w:rsid w:val="2554F69C"/>
    <w:rsid w:val="2556EA7C"/>
    <w:rsid w:val="2559CC3D"/>
    <w:rsid w:val="255B1FBE"/>
    <w:rsid w:val="2560150A"/>
    <w:rsid w:val="2563288A"/>
    <w:rsid w:val="25633052"/>
    <w:rsid w:val="25676E55"/>
    <w:rsid w:val="2569D7CB"/>
    <w:rsid w:val="256D4D4C"/>
    <w:rsid w:val="256F957F"/>
    <w:rsid w:val="25707A15"/>
    <w:rsid w:val="257211DD"/>
    <w:rsid w:val="2576D9AD"/>
    <w:rsid w:val="257756A5"/>
    <w:rsid w:val="25785749"/>
    <w:rsid w:val="2578DAFE"/>
    <w:rsid w:val="25796B9F"/>
    <w:rsid w:val="2579A322"/>
    <w:rsid w:val="2579B7A0"/>
    <w:rsid w:val="257AA69F"/>
    <w:rsid w:val="257B07D0"/>
    <w:rsid w:val="257D42F0"/>
    <w:rsid w:val="257DD54F"/>
    <w:rsid w:val="258CFF27"/>
    <w:rsid w:val="258D70C3"/>
    <w:rsid w:val="258E3108"/>
    <w:rsid w:val="2593D00E"/>
    <w:rsid w:val="259A9E67"/>
    <w:rsid w:val="25A71A71"/>
    <w:rsid w:val="25A73434"/>
    <w:rsid w:val="25A7736E"/>
    <w:rsid w:val="25ACFC5E"/>
    <w:rsid w:val="25AF5841"/>
    <w:rsid w:val="25B0237C"/>
    <w:rsid w:val="25B2C409"/>
    <w:rsid w:val="25B32E92"/>
    <w:rsid w:val="25B45116"/>
    <w:rsid w:val="25B4F498"/>
    <w:rsid w:val="25B6BD31"/>
    <w:rsid w:val="25B6F609"/>
    <w:rsid w:val="25BCB1F4"/>
    <w:rsid w:val="25C1EE24"/>
    <w:rsid w:val="25C5F25D"/>
    <w:rsid w:val="25C784A8"/>
    <w:rsid w:val="25C94D48"/>
    <w:rsid w:val="25C9A8BD"/>
    <w:rsid w:val="25CE74AB"/>
    <w:rsid w:val="25CEC65A"/>
    <w:rsid w:val="25CFF56B"/>
    <w:rsid w:val="25D3DEE0"/>
    <w:rsid w:val="25D73D52"/>
    <w:rsid w:val="25DE93EC"/>
    <w:rsid w:val="25DF2056"/>
    <w:rsid w:val="25E1682F"/>
    <w:rsid w:val="25E44701"/>
    <w:rsid w:val="25E4B477"/>
    <w:rsid w:val="25E94D47"/>
    <w:rsid w:val="25EE6E15"/>
    <w:rsid w:val="25F0C91E"/>
    <w:rsid w:val="25F15C35"/>
    <w:rsid w:val="25F2DC17"/>
    <w:rsid w:val="25F63456"/>
    <w:rsid w:val="25F95760"/>
    <w:rsid w:val="25FA4FC8"/>
    <w:rsid w:val="25FB31A9"/>
    <w:rsid w:val="260828E8"/>
    <w:rsid w:val="260A40DF"/>
    <w:rsid w:val="2610C890"/>
    <w:rsid w:val="2611EF75"/>
    <w:rsid w:val="261210A2"/>
    <w:rsid w:val="26137712"/>
    <w:rsid w:val="2615380F"/>
    <w:rsid w:val="26158341"/>
    <w:rsid w:val="26181966"/>
    <w:rsid w:val="261876D1"/>
    <w:rsid w:val="261B5178"/>
    <w:rsid w:val="261D06ED"/>
    <w:rsid w:val="2620CDBC"/>
    <w:rsid w:val="26242522"/>
    <w:rsid w:val="26242AC6"/>
    <w:rsid w:val="262D4EE0"/>
    <w:rsid w:val="262F88A2"/>
    <w:rsid w:val="263100AC"/>
    <w:rsid w:val="263329F0"/>
    <w:rsid w:val="2634A61F"/>
    <w:rsid w:val="2634D4D4"/>
    <w:rsid w:val="263C8611"/>
    <w:rsid w:val="263DFE58"/>
    <w:rsid w:val="2641EEB6"/>
    <w:rsid w:val="26471908"/>
    <w:rsid w:val="2649FF39"/>
    <w:rsid w:val="264B195E"/>
    <w:rsid w:val="26519396"/>
    <w:rsid w:val="26537828"/>
    <w:rsid w:val="26573B4F"/>
    <w:rsid w:val="2659D766"/>
    <w:rsid w:val="265F52C9"/>
    <w:rsid w:val="26605EB6"/>
    <w:rsid w:val="26615462"/>
    <w:rsid w:val="2665B497"/>
    <w:rsid w:val="26686536"/>
    <w:rsid w:val="266BB3B1"/>
    <w:rsid w:val="266F2957"/>
    <w:rsid w:val="26798196"/>
    <w:rsid w:val="267A4255"/>
    <w:rsid w:val="267BBC23"/>
    <w:rsid w:val="267CBDFB"/>
    <w:rsid w:val="26811B35"/>
    <w:rsid w:val="26815BC3"/>
    <w:rsid w:val="2682C040"/>
    <w:rsid w:val="26886320"/>
    <w:rsid w:val="268ABE2F"/>
    <w:rsid w:val="268ECAA6"/>
    <w:rsid w:val="268F1DD3"/>
    <w:rsid w:val="268F31B8"/>
    <w:rsid w:val="269352A9"/>
    <w:rsid w:val="269693D0"/>
    <w:rsid w:val="26993FE2"/>
    <w:rsid w:val="26A15203"/>
    <w:rsid w:val="26A3783F"/>
    <w:rsid w:val="26A70772"/>
    <w:rsid w:val="26A88416"/>
    <w:rsid w:val="26AB637F"/>
    <w:rsid w:val="26AC336C"/>
    <w:rsid w:val="26ACBE74"/>
    <w:rsid w:val="26AE8D3C"/>
    <w:rsid w:val="26AF1C42"/>
    <w:rsid w:val="26AFAEBD"/>
    <w:rsid w:val="26B04B3C"/>
    <w:rsid w:val="26B71085"/>
    <w:rsid w:val="26B77A5F"/>
    <w:rsid w:val="26B8EA66"/>
    <w:rsid w:val="26BB0D65"/>
    <w:rsid w:val="26BDAC0F"/>
    <w:rsid w:val="26BEAC7E"/>
    <w:rsid w:val="26C0052D"/>
    <w:rsid w:val="26C284DF"/>
    <w:rsid w:val="26C4C60F"/>
    <w:rsid w:val="26C797FD"/>
    <w:rsid w:val="26CF50B4"/>
    <w:rsid w:val="26CF5D10"/>
    <w:rsid w:val="26D0FB13"/>
    <w:rsid w:val="26D1C848"/>
    <w:rsid w:val="26D2B3D2"/>
    <w:rsid w:val="26D2EF8D"/>
    <w:rsid w:val="26D39550"/>
    <w:rsid w:val="26D3E28C"/>
    <w:rsid w:val="26D3E99B"/>
    <w:rsid w:val="26DB6677"/>
    <w:rsid w:val="26DD554B"/>
    <w:rsid w:val="26DD5CE2"/>
    <w:rsid w:val="26E144F2"/>
    <w:rsid w:val="26E42F5E"/>
    <w:rsid w:val="26ECAFB2"/>
    <w:rsid w:val="26ED788F"/>
    <w:rsid w:val="26EF288E"/>
    <w:rsid w:val="26F033CB"/>
    <w:rsid w:val="26F22574"/>
    <w:rsid w:val="26F3BAB6"/>
    <w:rsid w:val="26FD92C5"/>
    <w:rsid w:val="27012741"/>
    <w:rsid w:val="27029AD6"/>
    <w:rsid w:val="270314E7"/>
    <w:rsid w:val="270567CF"/>
    <w:rsid w:val="270851BF"/>
    <w:rsid w:val="270AB39A"/>
    <w:rsid w:val="270CCEC9"/>
    <w:rsid w:val="270F14DE"/>
    <w:rsid w:val="2712038C"/>
    <w:rsid w:val="2712A34C"/>
    <w:rsid w:val="271432E8"/>
    <w:rsid w:val="2715F6D9"/>
    <w:rsid w:val="271A592A"/>
    <w:rsid w:val="2726B412"/>
    <w:rsid w:val="272C9017"/>
    <w:rsid w:val="272D1061"/>
    <w:rsid w:val="272DA6B9"/>
    <w:rsid w:val="27320918"/>
    <w:rsid w:val="273335D2"/>
    <w:rsid w:val="273478BF"/>
    <w:rsid w:val="2745F6C7"/>
    <w:rsid w:val="274685DC"/>
    <w:rsid w:val="274AAE59"/>
    <w:rsid w:val="2750451E"/>
    <w:rsid w:val="275181DF"/>
    <w:rsid w:val="2753980D"/>
    <w:rsid w:val="27593050"/>
    <w:rsid w:val="275980A0"/>
    <w:rsid w:val="275D3131"/>
    <w:rsid w:val="2761DDA1"/>
    <w:rsid w:val="27661FAB"/>
    <w:rsid w:val="276B6336"/>
    <w:rsid w:val="276EBF13"/>
    <w:rsid w:val="27709934"/>
    <w:rsid w:val="27720076"/>
    <w:rsid w:val="277C870E"/>
    <w:rsid w:val="277E284D"/>
    <w:rsid w:val="277E694A"/>
    <w:rsid w:val="27819AE0"/>
    <w:rsid w:val="2783F3BA"/>
    <w:rsid w:val="27891119"/>
    <w:rsid w:val="278A4A08"/>
    <w:rsid w:val="278F80E6"/>
    <w:rsid w:val="2793263F"/>
    <w:rsid w:val="279A04D4"/>
    <w:rsid w:val="279E5275"/>
    <w:rsid w:val="27A847CD"/>
    <w:rsid w:val="27A8E98A"/>
    <w:rsid w:val="27AC692A"/>
    <w:rsid w:val="27B0EBD6"/>
    <w:rsid w:val="27B3F86B"/>
    <w:rsid w:val="27B52A3F"/>
    <w:rsid w:val="27B5C704"/>
    <w:rsid w:val="27B76A64"/>
    <w:rsid w:val="27BB2856"/>
    <w:rsid w:val="27C195DF"/>
    <w:rsid w:val="27C29B84"/>
    <w:rsid w:val="27C372DA"/>
    <w:rsid w:val="27C4CFD6"/>
    <w:rsid w:val="27C8D921"/>
    <w:rsid w:val="27C9750E"/>
    <w:rsid w:val="27CACAAE"/>
    <w:rsid w:val="27CCA0EF"/>
    <w:rsid w:val="27CD284B"/>
    <w:rsid w:val="27CEE52B"/>
    <w:rsid w:val="27D138F2"/>
    <w:rsid w:val="27D6428E"/>
    <w:rsid w:val="27D69B8D"/>
    <w:rsid w:val="27E4710F"/>
    <w:rsid w:val="27E843D6"/>
    <w:rsid w:val="27F0C4DC"/>
    <w:rsid w:val="27F2848E"/>
    <w:rsid w:val="27F8FEDB"/>
    <w:rsid w:val="27FBF0BD"/>
    <w:rsid w:val="27FC5B9C"/>
    <w:rsid w:val="27FDFB50"/>
    <w:rsid w:val="27FF733A"/>
    <w:rsid w:val="2803AC0D"/>
    <w:rsid w:val="28050162"/>
    <w:rsid w:val="28054D55"/>
    <w:rsid w:val="2805F8C1"/>
    <w:rsid w:val="280A4DCD"/>
    <w:rsid w:val="280F4313"/>
    <w:rsid w:val="28125528"/>
    <w:rsid w:val="2813666C"/>
    <w:rsid w:val="2814B005"/>
    <w:rsid w:val="28152053"/>
    <w:rsid w:val="28155FD1"/>
    <w:rsid w:val="2817211A"/>
    <w:rsid w:val="2824E869"/>
    <w:rsid w:val="28251C51"/>
    <w:rsid w:val="282A3146"/>
    <w:rsid w:val="282C5D0F"/>
    <w:rsid w:val="28308FE8"/>
    <w:rsid w:val="2831E441"/>
    <w:rsid w:val="2832C59A"/>
    <w:rsid w:val="28346A30"/>
    <w:rsid w:val="28432878"/>
    <w:rsid w:val="2846CC4A"/>
    <w:rsid w:val="284D00E1"/>
    <w:rsid w:val="28544DD4"/>
    <w:rsid w:val="285AB6D8"/>
    <w:rsid w:val="285B82BF"/>
    <w:rsid w:val="285BDA78"/>
    <w:rsid w:val="285ED24B"/>
    <w:rsid w:val="28632483"/>
    <w:rsid w:val="2864CDE9"/>
    <w:rsid w:val="28675772"/>
    <w:rsid w:val="287B3AEB"/>
    <w:rsid w:val="287C60CF"/>
    <w:rsid w:val="28825651"/>
    <w:rsid w:val="288275C2"/>
    <w:rsid w:val="2883EAF4"/>
    <w:rsid w:val="288735B0"/>
    <w:rsid w:val="2887DC96"/>
    <w:rsid w:val="288D60AC"/>
    <w:rsid w:val="288E1F98"/>
    <w:rsid w:val="289A6F79"/>
    <w:rsid w:val="289AE2AB"/>
    <w:rsid w:val="289C1B64"/>
    <w:rsid w:val="289D33BC"/>
    <w:rsid w:val="289E3D25"/>
    <w:rsid w:val="28A07A2F"/>
    <w:rsid w:val="28A317E5"/>
    <w:rsid w:val="28AAC950"/>
    <w:rsid w:val="28AD6178"/>
    <w:rsid w:val="28B35B16"/>
    <w:rsid w:val="28B51731"/>
    <w:rsid w:val="28B5A2EB"/>
    <w:rsid w:val="28B651A4"/>
    <w:rsid w:val="28B70258"/>
    <w:rsid w:val="28B77939"/>
    <w:rsid w:val="28B9C272"/>
    <w:rsid w:val="28BB8417"/>
    <w:rsid w:val="28C31664"/>
    <w:rsid w:val="28C6284C"/>
    <w:rsid w:val="28C8DF02"/>
    <w:rsid w:val="28CC15D5"/>
    <w:rsid w:val="28CD6E91"/>
    <w:rsid w:val="28D4C78C"/>
    <w:rsid w:val="28D9C31D"/>
    <w:rsid w:val="28E76062"/>
    <w:rsid w:val="28EDCA5A"/>
    <w:rsid w:val="28F0E8BB"/>
    <w:rsid w:val="28F27D30"/>
    <w:rsid w:val="28F4C253"/>
    <w:rsid w:val="28FE7164"/>
    <w:rsid w:val="2903544D"/>
    <w:rsid w:val="290BEA85"/>
    <w:rsid w:val="2917DC3B"/>
    <w:rsid w:val="291BA872"/>
    <w:rsid w:val="291C09A3"/>
    <w:rsid w:val="291C3615"/>
    <w:rsid w:val="291C79B3"/>
    <w:rsid w:val="2923106C"/>
    <w:rsid w:val="2924802D"/>
    <w:rsid w:val="292D312C"/>
    <w:rsid w:val="2936424D"/>
    <w:rsid w:val="2937C53C"/>
    <w:rsid w:val="29386981"/>
    <w:rsid w:val="293CDBB1"/>
    <w:rsid w:val="293DFC7D"/>
    <w:rsid w:val="2940B886"/>
    <w:rsid w:val="294697FA"/>
    <w:rsid w:val="2946F76D"/>
    <w:rsid w:val="294A0017"/>
    <w:rsid w:val="294B0CD0"/>
    <w:rsid w:val="294D6B5C"/>
    <w:rsid w:val="294E0670"/>
    <w:rsid w:val="294EB52E"/>
    <w:rsid w:val="294ED2F7"/>
    <w:rsid w:val="2950A838"/>
    <w:rsid w:val="2951746E"/>
    <w:rsid w:val="295368F5"/>
    <w:rsid w:val="29557A90"/>
    <w:rsid w:val="295F37A0"/>
    <w:rsid w:val="2965CE2F"/>
    <w:rsid w:val="2965DE27"/>
    <w:rsid w:val="29672F23"/>
    <w:rsid w:val="296B93BA"/>
    <w:rsid w:val="296D3EC6"/>
    <w:rsid w:val="296FF0E4"/>
    <w:rsid w:val="2972711A"/>
    <w:rsid w:val="297D41CD"/>
    <w:rsid w:val="297D7085"/>
    <w:rsid w:val="2983ECF9"/>
    <w:rsid w:val="2986819D"/>
    <w:rsid w:val="299511BF"/>
    <w:rsid w:val="299AFE50"/>
    <w:rsid w:val="299B982C"/>
    <w:rsid w:val="299C23C8"/>
    <w:rsid w:val="29AAE73A"/>
    <w:rsid w:val="29AB9598"/>
    <w:rsid w:val="29AC096A"/>
    <w:rsid w:val="29AEB686"/>
    <w:rsid w:val="29B03AEE"/>
    <w:rsid w:val="29B2EA42"/>
    <w:rsid w:val="29B3424C"/>
    <w:rsid w:val="29B34366"/>
    <w:rsid w:val="29B51BCB"/>
    <w:rsid w:val="29C2C07E"/>
    <w:rsid w:val="29C42E9D"/>
    <w:rsid w:val="29CBC7FE"/>
    <w:rsid w:val="29CE0790"/>
    <w:rsid w:val="29D0DA4C"/>
    <w:rsid w:val="29D3A6E4"/>
    <w:rsid w:val="29D45DDE"/>
    <w:rsid w:val="29D9419E"/>
    <w:rsid w:val="29DA9F34"/>
    <w:rsid w:val="29DE2620"/>
    <w:rsid w:val="29DFD0BE"/>
    <w:rsid w:val="29E3AEF1"/>
    <w:rsid w:val="29E96538"/>
    <w:rsid w:val="29E99011"/>
    <w:rsid w:val="29EA2606"/>
    <w:rsid w:val="29EDEBE8"/>
    <w:rsid w:val="29F4D315"/>
    <w:rsid w:val="29FD2C9A"/>
    <w:rsid w:val="2A052E75"/>
    <w:rsid w:val="2A059840"/>
    <w:rsid w:val="2A0888B1"/>
    <w:rsid w:val="2A10C61D"/>
    <w:rsid w:val="2A11C26C"/>
    <w:rsid w:val="2A212360"/>
    <w:rsid w:val="2A29B81D"/>
    <w:rsid w:val="2A2E6EE8"/>
    <w:rsid w:val="2A2E7B98"/>
    <w:rsid w:val="2A3949B3"/>
    <w:rsid w:val="2A411918"/>
    <w:rsid w:val="2A440628"/>
    <w:rsid w:val="2A45F16E"/>
    <w:rsid w:val="2A4C3CA1"/>
    <w:rsid w:val="2A54D880"/>
    <w:rsid w:val="2A56FD7A"/>
    <w:rsid w:val="2A5DA6DC"/>
    <w:rsid w:val="2A6118B1"/>
    <w:rsid w:val="2A63F329"/>
    <w:rsid w:val="2A6B5095"/>
    <w:rsid w:val="2A6DC809"/>
    <w:rsid w:val="2A6E6813"/>
    <w:rsid w:val="2A71AD26"/>
    <w:rsid w:val="2A723606"/>
    <w:rsid w:val="2A72AAE7"/>
    <w:rsid w:val="2A74D190"/>
    <w:rsid w:val="2A76D16A"/>
    <w:rsid w:val="2A779C54"/>
    <w:rsid w:val="2A7F730C"/>
    <w:rsid w:val="2A827860"/>
    <w:rsid w:val="2A86F1F4"/>
    <w:rsid w:val="2A875FC1"/>
    <w:rsid w:val="2A8807F6"/>
    <w:rsid w:val="2A882FA1"/>
    <w:rsid w:val="2A8B694F"/>
    <w:rsid w:val="2A8E9971"/>
    <w:rsid w:val="2A90C0C6"/>
    <w:rsid w:val="2A90C6A3"/>
    <w:rsid w:val="2A945978"/>
    <w:rsid w:val="2A96CEDA"/>
    <w:rsid w:val="2A997A50"/>
    <w:rsid w:val="2A9A8716"/>
    <w:rsid w:val="2A9C12C8"/>
    <w:rsid w:val="2AA62D19"/>
    <w:rsid w:val="2AA80D3E"/>
    <w:rsid w:val="2AAB291F"/>
    <w:rsid w:val="2AB199BC"/>
    <w:rsid w:val="2AB3C63F"/>
    <w:rsid w:val="2AB87BB8"/>
    <w:rsid w:val="2AB9A759"/>
    <w:rsid w:val="2ABFF24A"/>
    <w:rsid w:val="2AC56573"/>
    <w:rsid w:val="2AC69663"/>
    <w:rsid w:val="2AC7C4B5"/>
    <w:rsid w:val="2ACAF213"/>
    <w:rsid w:val="2ACB01DC"/>
    <w:rsid w:val="2ACBB351"/>
    <w:rsid w:val="2ACC0F50"/>
    <w:rsid w:val="2ACC278C"/>
    <w:rsid w:val="2ACE4A75"/>
    <w:rsid w:val="2ACFB4CB"/>
    <w:rsid w:val="2AD17E7F"/>
    <w:rsid w:val="2AD21DD3"/>
    <w:rsid w:val="2AD3F8BA"/>
    <w:rsid w:val="2ADF1998"/>
    <w:rsid w:val="2AE20CBD"/>
    <w:rsid w:val="2AE3B15A"/>
    <w:rsid w:val="2AE601FE"/>
    <w:rsid w:val="2AE96A5D"/>
    <w:rsid w:val="2AEB8EE5"/>
    <w:rsid w:val="2AEEEFF7"/>
    <w:rsid w:val="2AEFA17A"/>
    <w:rsid w:val="2AF2B409"/>
    <w:rsid w:val="2AF351DF"/>
    <w:rsid w:val="2AF369F7"/>
    <w:rsid w:val="2AF62257"/>
    <w:rsid w:val="2AFB15AF"/>
    <w:rsid w:val="2B021F0A"/>
    <w:rsid w:val="2B02C5FA"/>
    <w:rsid w:val="2B05676F"/>
    <w:rsid w:val="2B0A5651"/>
    <w:rsid w:val="2B151690"/>
    <w:rsid w:val="2B152E68"/>
    <w:rsid w:val="2B18B91F"/>
    <w:rsid w:val="2B21BD9C"/>
    <w:rsid w:val="2B2254FA"/>
    <w:rsid w:val="2B258F5E"/>
    <w:rsid w:val="2B2638E4"/>
    <w:rsid w:val="2B26711B"/>
    <w:rsid w:val="2B29F703"/>
    <w:rsid w:val="2B2CDC42"/>
    <w:rsid w:val="2B353A38"/>
    <w:rsid w:val="2B3837A8"/>
    <w:rsid w:val="2B3B9E67"/>
    <w:rsid w:val="2B3DB8B4"/>
    <w:rsid w:val="2B4627BD"/>
    <w:rsid w:val="2B473A51"/>
    <w:rsid w:val="2B47CD6F"/>
    <w:rsid w:val="2B48F3C7"/>
    <w:rsid w:val="2B492230"/>
    <w:rsid w:val="2B49B84D"/>
    <w:rsid w:val="2B49C146"/>
    <w:rsid w:val="2B4A903C"/>
    <w:rsid w:val="2B4A90B5"/>
    <w:rsid w:val="2B4B48F8"/>
    <w:rsid w:val="2B4C9EF7"/>
    <w:rsid w:val="2B4EBE3E"/>
    <w:rsid w:val="2B4F627A"/>
    <w:rsid w:val="2B4FB4FB"/>
    <w:rsid w:val="2B5A30F9"/>
    <w:rsid w:val="2B5A450F"/>
    <w:rsid w:val="2B5AB551"/>
    <w:rsid w:val="2B643A59"/>
    <w:rsid w:val="2B689B52"/>
    <w:rsid w:val="2B68D635"/>
    <w:rsid w:val="2B704C61"/>
    <w:rsid w:val="2B725CF5"/>
    <w:rsid w:val="2B72D833"/>
    <w:rsid w:val="2B741EF0"/>
    <w:rsid w:val="2B78A80F"/>
    <w:rsid w:val="2B79E120"/>
    <w:rsid w:val="2B7F4381"/>
    <w:rsid w:val="2B851CA0"/>
    <w:rsid w:val="2B8626F7"/>
    <w:rsid w:val="2B86360D"/>
    <w:rsid w:val="2B879A49"/>
    <w:rsid w:val="2B8D701E"/>
    <w:rsid w:val="2B91D672"/>
    <w:rsid w:val="2B929AED"/>
    <w:rsid w:val="2B9A5CBC"/>
    <w:rsid w:val="2B9C0FF9"/>
    <w:rsid w:val="2B9CD426"/>
    <w:rsid w:val="2B9F26ED"/>
    <w:rsid w:val="2BA1101A"/>
    <w:rsid w:val="2BA5A094"/>
    <w:rsid w:val="2BA73803"/>
    <w:rsid w:val="2BA91709"/>
    <w:rsid w:val="2BAA3029"/>
    <w:rsid w:val="2BAC3671"/>
    <w:rsid w:val="2BB0F1FA"/>
    <w:rsid w:val="2BB4E2B5"/>
    <w:rsid w:val="2BB592CC"/>
    <w:rsid w:val="2BB7BC05"/>
    <w:rsid w:val="2BB96707"/>
    <w:rsid w:val="2BBAEBC3"/>
    <w:rsid w:val="2BBD76AF"/>
    <w:rsid w:val="2BBD93A1"/>
    <w:rsid w:val="2BBED207"/>
    <w:rsid w:val="2BC2CEC5"/>
    <w:rsid w:val="2BC4374E"/>
    <w:rsid w:val="2BC694C0"/>
    <w:rsid w:val="2BCE74BB"/>
    <w:rsid w:val="2BD19D97"/>
    <w:rsid w:val="2BDCA9B2"/>
    <w:rsid w:val="2BDCBB57"/>
    <w:rsid w:val="2BDCF270"/>
    <w:rsid w:val="2BE0BDAD"/>
    <w:rsid w:val="2BE13969"/>
    <w:rsid w:val="2BE55FCD"/>
    <w:rsid w:val="2BE721FA"/>
    <w:rsid w:val="2BF4174B"/>
    <w:rsid w:val="2BFE74FA"/>
    <w:rsid w:val="2C05AC98"/>
    <w:rsid w:val="2C0CEFBC"/>
    <w:rsid w:val="2C0FFBAC"/>
    <w:rsid w:val="2C152791"/>
    <w:rsid w:val="2C1A2AC7"/>
    <w:rsid w:val="2C1C3ECE"/>
    <w:rsid w:val="2C1D132F"/>
    <w:rsid w:val="2C1F1197"/>
    <w:rsid w:val="2C229863"/>
    <w:rsid w:val="2C229A8B"/>
    <w:rsid w:val="2C249F90"/>
    <w:rsid w:val="2C27B235"/>
    <w:rsid w:val="2C292D4B"/>
    <w:rsid w:val="2C2A6912"/>
    <w:rsid w:val="2C2B81EE"/>
    <w:rsid w:val="2C2FF4E8"/>
    <w:rsid w:val="2C329A38"/>
    <w:rsid w:val="2C355EC0"/>
    <w:rsid w:val="2C402B8F"/>
    <w:rsid w:val="2C43BABE"/>
    <w:rsid w:val="2C455532"/>
    <w:rsid w:val="2C476929"/>
    <w:rsid w:val="2C4BDED1"/>
    <w:rsid w:val="2C500528"/>
    <w:rsid w:val="2C58B3BD"/>
    <w:rsid w:val="2C5E05AA"/>
    <w:rsid w:val="2C608DD2"/>
    <w:rsid w:val="2C615F79"/>
    <w:rsid w:val="2C622A6D"/>
    <w:rsid w:val="2C63BDE9"/>
    <w:rsid w:val="2C63CC93"/>
    <w:rsid w:val="2C64BB63"/>
    <w:rsid w:val="2C705BB6"/>
    <w:rsid w:val="2C7246F0"/>
    <w:rsid w:val="2C7A3E2C"/>
    <w:rsid w:val="2C7C8192"/>
    <w:rsid w:val="2C813321"/>
    <w:rsid w:val="2C82AEF8"/>
    <w:rsid w:val="2C82B330"/>
    <w:rsid w:val="2C85825D"/>
    <w:rsid w:val="2C8627FC"/>
    <w:rsid w:val="2C8D6888"/>
    <w:rsid w:val="2C8DA4CB"/>
    <w:rsid w:val="2C8F9A27"/>
    <w:rsid w:val="2C91EAC3"/>
    <w:rsid w:val="2C937065"/>
    <w:rsid w:val="2C9997EC"/>
    <w:rsid w:val="2C9A5791"/>
    <w:rsid w:val="2C9BC12A"/>
    <w:rsid w:val="2CA35D05"/>
    <w:rsid w:val="2CA58A33"/>
    <w:rsid w:val="2CA5A759"/>
    <w:rsid w:val="2CA85938"/>
    <w:rsid w:val="2CAF7166"/>
    <w:rsid w:val="2CB1710F"/>
    <w:rsid w:val="2CB26C0B"/>
    <w:rsid w:val="2CB607AD"/>
    <w:rsid w:val="2CB661F9"/>
    <w:rsid w:val="2CBB588F"/>
    <w:rsid w:val="2CBFA693"/>
    <w:rsid w:val="2CC0DF75"/>
    <w:rsid w:val="2CC44BDB"/>
    <w:rsid w:val="2CC6B1AC"/>
    <w:rsid w:val="2CC9450C"/>
    <w:rsid w:val="2CC9888E"/>
    <w:rsid w:val="2CCDD7B2"/>
    <w:rsid w:val="2CCE9BD4"/>
    <w:rsid w:val="2CD0DB6B"/>
    <w:rsid w:val="2CD13310"/>
    <w:rsid w:val="2CD6CDCC"/>
    <w:rsid w:val="2CD792F0"/>
    <w:rsid w:val="2CD7AA52"/>
    <w:rsid w:val="2CDADA16"/>
    <w:rsid w:val="2CDEA24A"/>
    <w:rsid w:val="2CE2FCCE"/>
    <w:rsid w:val="2CE35F66"/>
    <w:rsid w:val="2CF6B938"/>
    <w:rsid w:val="2CFA4685"/>
    <w:rsid w:val="2CFC7526"/>
    <w:rsid w:val="2CFCF65B"/>
    <w:rsid w:val="2D045425"/>
    <w:rsid w:val="2D06707A"/>
    <w:rsid w:val="2D073285"/>
    <w:rsid w:val="2D0865B0"/>
    <w:rsid w:val="2D08A96F"/>
    <w:rsid w:val="2D093F4E"/>
    <w:rsid w:val="2D09B374"/>
    <w:rsid w:val="2D0A0DEC"/>
    <w:rsid w:val="2D0BDD0B"/>
    <w:rsid w:val="2D0D8EB6"/>
    <w:rsid w:val="2D0F8186"/>
    <w:rsid w:val="2D11A90A"/>
    <w:rsid w:val="2D11CC43"/>
    <w:rsid w:val="2D138735"/>
    <w:rsid w:val="2D1663D3"/>
    <w:rsid w:val="2D1807F1"/>
    <w:rsid w:val="2D1BBA7F"/>
    <w:rsid w:val="2D214DC7"/>
    <w:rsid w:val="2D2304CE"/>
    <w:rsid w:val="2D267FD9"/>
    <w:rsid w:val="2D2F9FCE"/>
    <w:rsid w:val="2D3113D2"/>
    <w:rsid w:val="2D37EF44"/>
    <w:rsid w:val="2D3B0F43"/>
    <w:rsid w:val="2D3CAD1A"/>
    <w:rsid w:val="2D42FCEA"/>
    <w:rsid w:val="2D4D87C0"/>
    <w:rsid w:val="2D4F2CCF"/>
    <w:rsid w:val="2D4FB8C3"/>
    <w:rsid w:val="2D52E304"/>
    <w:rsid w:val="2D57FF2E"/>
    <w:rsid w:val="2D5D3EE7"/>
    <w:rsid w:val="2D5E9BD8"/>
    <w:rsid w:val="2D62BA40"/>
    <w:rsid w:val="2D65C7A9"/>
    <w:rsid w:val="2D661838"/>
    <w:rsid w:val="2D67EA2B"/>
    <w:rsid w:val="2D698783"/>
    <w:rsid w:val="2D6AC4BF"/>
    <w:rsid w:val="2D714C58"/>
    <w:rsid w:val="2D749EC6"/>
    <w:rsid w:val="2D74AA64"/>
    <w:rsid w:val="2D77E337"/>
    <w:rsid w:val="2D7A12A4"/>
    <w:rsid w:val="2D8023F3"/>
    <w:rsid w:val="2D8FB1FC"/>
    <w:rsid w:val="2D9069F0"/>
    <w:rsid w:val="2D93C5E6"/>
    <w:rsid w:val="2D9AF6CF"/>
    <w:rsid w:val="2D9BC9C1"/>
    <w:rsid w:val="2D9BEE15"/>
    <w:rsid w:val="2D9E535B"/>
    <w:rsid w:val="2D9E7012"/>
    <w:rsid w:val="2D9EE142"/>
    <w:rsid w:val="2DA2A754"/>
    <w:rsid w:val="2DACA0F6"/>
    <w:rsid w:val="2DADE927"/>
    <w:rsid w:val="2DAE4B30"/>
    <w:rsid w:val="2DB59D76"/>
    <w:rsid w:val="2DC296F3"/>
    <w:rsid w:val="2DC4B2C9"/>
    <w:rsid w:val="2DCE68C8"/>
    <w:rsid w:val="2DCEDBA2"/>
    <w:rsid w:val="2DCF4CEF"/>
    <w:rsid w:val="2DCF99DB"/>
    <w:rsid w:val="2DD0FA9A"/>
    <w:rsid w:val="2DD4673D"/>
    <w:rsid w:val="2DD8DAC0"/>
    <w:rsid w:val="2DDA5E23"/>
    <w:rsid w:val="2DDAF2C7"/>
    <w:rsid w:val="2DDBE32E"/>
    <w:rsid w:val="2DDDB06F"/>
    <w:rsid w:val="2DE9270E"/>
    <w:rsid w:val="2DEADC07"/>
    <w:rsid w:val="2DF44432"/>
    <w:rsid w:val="2DF63378"/>
    <w:rsid w:val="2DF7DE01"/>
    <w:rsid w:val="2E0048E8"/>
    <w:rsid w:val="2E07E2E9"/>
    <w:rsid w:val="2E0DBA05"/>
    <w:rsid w:val="2E0DFF13"/>
    <w:rsid w:val="2E12E128"/>
    <w:rsid w:val="2E1467F3"/>
    <w:rsid w:val="2E14A352"/>
    <w:rsid w:val="2E19E22A"/>
    <w:rsid w:val="2E1DB052"/>
    <w:rsid w:val="2E1E0703"/>
    <w:rsid w:val="2E1FDCC3"/>
    <w:rsid w:val="2E27C0C9"/>
    <w:rsid w:val="2E2B53EE"/>
    <w:rsid w:val="2E33D2D3"/>
    <w:rsid w:val="2E3BE6A5"/>
    <w:rsid w:val="2E3C8CBC"/>
    <w:rsid w:val="2E3CB3B2"/>
    <w:rsid w:val="2E3E6044"/>
    <w:rsid w:val="2E412165"/>
    <w:rsid w:val="2E413532"/>
    <w:rsid w:val="2E449943"/>
    <w:rsid w:val="2E46DE68"/>
    <w:rsid w:val="2E4C93DA"/>
    <w:rsid w:val="2E52EE6B"/>
    <w:rsid w:val="2E543290"/>
    <w:rsid w:val="2E58641E"/>
    <w:rsid w:val="2E5A3876"/>
    <w:rsid w:val="2E619AC0"/>
    <w:rsid w:val="2E621CC1"/>
    <w:rsid w:val="2E640EC2"/>
    <w:rsid w:val="2E6714E5"/>
    <w:rsid w:val="2E6D2737"/>
    <w:rsid w:val="2E7B71B2"/>
    <w:rsid w:val="2E82784C"/>
    <w:rsid w:val="2E83A3C7"/>
    <w:rsid w:val="2E84D192"/>
    <w:rsid w:val="2E8967F2"/>
    <w:rsid w:val="2E92C5A2"/>
    <w:rsid w:val="2E95311B"/>
    <w:rsid w:val="2E972ADB"/>
    <w:rsid w:val="2E9938C4"/>
    <w:rsid w:val="2E99635B"/>
    <w:rsid w:val="2E9A9570"/>
    <w:rsid w:val="2E9B9AEE"/>
    <w:rsid w:val="2E9EFDBB"/>
    <w:rsid w:val="2EBB85BE"/>
    <w:rsid w:val="2EBD4728"/>
    <w:rsid w:val="2EC21875"/>
    <w:rsid w:val="2EC72E26"/>
    <w:rsid w:val="2ECAD66D"/>
    <w:rsid w:val="2ED1481F"/>
    <w:rsid w:val="2ED3042B"/>
    <w:rsid w:val="2ED450E2"/>
    <w:rsid w:val="2ED6639D"/>
    <w:rsid w:val="2ED82F54"/>
    <w:rsid w:val="2EE540B9"/>
    <w:rsid w:val="2EE6FB4D"/>
    <w:rsid w:val="2EEA1421"/>
    <w:rsid w:val="2EF13641"/>
    <w:rsid w:val="2EF2A6AA"/>
    <w:rsid w:val="2EFF7A96"/>
    <w:rsid w:val="2F02476B"/>
    <w:rsid w:val="2F02B637"/>
    <w:rsid w:val="2F02D9F3"/>
    <w:rsid w:val="2F044DA9"/>
    <w:rsid w:val="2F0B4EDB"/>
    <w:rsid w:val="2F0D495F"/>
    <w:rsid w:val="2F0D7A1D"/>
    <w:rsid w:val="2F13E797"/>
    <w:rsid w:val="2F1CC848"/>
    <w:rsid w:val="2F1E30AD"/>
    <w:rsid w:val="2F26444F"/>
    <w:rsid w:val="2F2DE92A"/>
    <w:rsid w:val="2F2F6523"/>
    <w:rsid w:val="2F30833B"/>
    <w:rsid w:val="2F3760DA"/>
    <w:rsid w:val="2F41389A"/>
    <w:rsid w:val="2F4164F4"/>
    <w:rsid w:val="2F41F2AF"/>
    <w:rsid w:val="2F460612"/>
    <w:rsid w:val="2F479F38"/>
    <w:rsid w:val="2F48CBD8"/>
    <w:rsid w:val="2F522AC8"/>
    <w:rsid w:val="2F593FCA"/>
    <w:rsid w:val="2F5A512B"/>
    <w:rsid w:val="2F5CA476"/>
    <w:rsid w:val="2F5D8C93"/>
    <w:rsid w:val="2F5F51B5"/>
    <w:rsid w:val="2F5F8D82"/>
    <w:rsid w:val="2F62EE0E"/>
    <w:rsid w:val="2F66206D"/>
    <w:rsid w:val="2F674826"/>
    <w:rsid w:val="2F676E41"/>
    <w:rsid w:val="2F684CA5"/>
    <w:rsid w:val="2F6DDD76"/>
    <w:rsid w:val="2F7AE3AB"/>
    <w:rsid w:val="2F7DA95E"/>
    <w:rsid w:val="2F838CA7"/>
    <w:rsid w:val="2F8BA599"/>
    <w:rsid w:val="2F8C8D1F"/>
    <w:rsid w:val="2F911361"/>
    <w:rsid w:val="2F9B9696"/>
    <w:rsid w:val="2FA015D0"/>
    <w:rsid w:val="2FA1711F"/>
    <w:rsid w:val="2FA1F27E"/>
    <w:rsid w:val="2FA39687"/>
    <w:rsid w:val="2FA43EB6"/>
    <w:rsid w:val="2FA60828"/>
    <w:rsid w:val="2FA65106"/>
    <w:rsid w:val="2FA68056"/>
    <w:rsid w:val="2FA99FBC"/>
    <w:rsid w:val="2FAA4842"/>
    <w:rsid w:val="2FAB4FE1"/>
    <w:rsid w:val="2FAF66EB"/>
    <w:rsid w:val="2FB1A96C"/>
    <w:rsid w:val="2FB60857"/>
    <w:rsid w:val="2FBBD699"/>
    <w:rsid w:val="2FBD0C7C"/>
    <w:rsid w:val="2FBE4F9D"/>
    <w:rsid w:val="2FBFAF38"/>
    <w:rsid w:val="2FC2044D"/>
    <w:rsid w:val="2FC28259"/>
    <w:rsid w:val="2FC5656B"/>
    <w:rsid w:val="2FC87421"/>
    <w:rsid w:val="2FDDCC0E"/>
    <w:rsid w:val="2FE13577"/>
    <w:rsid w:val="2FE96C09"/>
    <w:rsid w:val="2FEA0977"/>
    <w:rsid w:val="2FEC7B52"/>
    <w:rsid w:val="2FECF0FC"/>
    <w:rsid w:val="2FED3B08"/>
    <w:rsid w:val="2FF1CCE8"/>
    <w:rsid w:val="2FF2AAB4"/>
    <w:rsid w:val="2FF310DE"/>
    <w:rsid w:val="2FF965E4"/>
    <w:rsid w:val="2FFB4AB2"/>
    <w:rsid w:val="2FFB98E1"/>
    <w:rsid w:val="2FFE2306"/>
    <w:rsid w:val="3000D333"/>
    <w:rsid w:val="3001D40A"/>
    <w:rsid w:val="30025DDA"/>
    <w:rsid w:val="30026CB3"/>
    <w:rsid w:val="300406AA"/>
    <w:rsid w:val="300C4D85"/>
    <w:rsid w:val="300D312A"/>
    <w:rsid w:val="30126E8C"/>
    <w:rsid w:val="301973E2"/>
    <w:rsid w:val="302151D7"/>
    <w:rsid w:val="3024210F"/>
    <w:rsid w:val="3028D030"/>
    <w:rsid w:val="302A2B45"/>
    <w:rsid w:val="302E262F"/>
    <w:rsid w:val="30313CD9"/>
    <w:rsid w:val="303828FF"/>
    <w:rsid w:val="303E80BB"/>
    <w:rsid w:val="30437E0F"/>
    <w:rsid w:val="3043F096"/>
    <w:rsid w:val="30440910"/>
    <w:rsid w:val="30448534"/>
    <w:rsid w:val="3046200A"/>
    <w:rsid w:val="30493425"/>
    <w:rsid w:val="3049DC19"/>
    <w:rsid w:val="3050AA79"/>
    <w:rsid w:val="30553612"/>
    <w:rsid w:val="3055F5EC"/>
    <w:rsid w:val="30586B72"/>
    <w:rsid w:val="3059771D"/>
    <w:rsid w:val="305E21D6"/>
    <w:rsid w:val="305EDECE"/>
    <w:rsid w:val="306BB35E"/>
    <w:rsid w:val="307317FD"/>
    <w:rsid w:val="3075F2EE"/>
    <w:rsid w:val="307855CB"/>
    <w:rsid w:val="307AAFBF"/>
    <w:rsid w:val="307D0365"/>
    <w:rsid w:val="307DD0F3"/>
    <w:rsid w:val="3081A1B1"/>
    <w:rsid w:val="30862F9D"/>
    <w:rsid w:val="308DD7E4"/>
    <w:rsid w:val="309E21FF"/>
    <w:rsid w:val="309FD9E2"/>
    <w:rsid w:val="30A06608"/>
    <w:rsid w:val="30A36F6D"/>
    <w:rsid w:val="30A3EEF6"/>
    <w:rsid w:val="30A6A465"/>
    <w:rsid w:val="30A7EDE7"/>
    <w:rsid w:val="30AEDC94"/>
    <w:rsid w:val="30AF95DD"/>
    <w:rsid w:val="30B52A86"/>
    <w:rsid w:val="30B7CBC8"/>
    <w:rsid w:val="30B85EBD"/>
    <w:rsid w:val="30B9731B"/>
    <w:rsid w:val="30BD4AE0"/>
    <w:rsid w:val="30BE6A0C"/>
    <w:rsid w:val="30BFD817"/>
    <w:rsid w:val="30C11500"/>
    <w:rsid w:val="30C20779"/>
    <w:rsid w:val="30CC2CC2"/>
    <w:rsid w:val="30CC73AC"/>
    <w:rsid w:val="30D0A74A"/>
    <w:rsid w:val="30DC47D9"/>
    <w:rsid w:val="30DDE2F2"/>
    <w:rsid w:val="30E1F9A1"/>
    <w:rsid w:val="30E3A27F"/>
    <w:rsid w:val="30E664F0"/>
    <w:rsid w:val="30E736C5"/>
    <w:rsid w:val="30E835ED"/>
    <w:rsid w:val="30E8A6C0"/>
    <w:rsid w:val="30E8DB9B"/>
    <w:rsid w:val="30EB8F67"/>
    <w:rsid w:val="30EBB740"/>
    <w:rsid w:val="30EC3F29"/>
    <w:rsid w:val="30ECA81A"/>
    <w:rsid w:val="30EDA82B"/>
    <w:rsid w:val="30EFA95E"/>
    <w:rsid w:val="30F36661"/>
    <w:rsid w:val="30FAC2EC"/>
    <w:rsid w:val="31065517"/>
    <w:rsid w:val="310A40A8"/>
    <w:rsid w:val="310AAA27"/>
    <w:rsid w:val="3111D314"/>
    <w:rsid w:val="31150D48"/>
    <w:rsid w:val="311738C0"/>
    <w:rsid w:val="31193E54"/>
    <w:rsid w:val="311A8469"/>
    <w:rsid w:val="3120EDBE"/>
    <w:rsid w:val="3127BDED"/>
    <w:rsid w:val="3127C7B5"/>
    <w:rsid w:val="31294AED"/>
    <w:rsid w:val="312C8625"/>
    <w:rsid w:val="312E2F4C"/>
    <w:rsid w:val="31314C71"/>
    <w:rsid w:val="31362BEA"/>
    <w:rsid w:val="31438532"/>
    <w:rsid w:val="314391AB"/>
    <w:rsid w:val="3146340D"/>
    <w:rsid w:val="3146D498"/>
    <w:rsid w:val="314920EF"/>
    <w:rsid w:val="3157B9C7"/>
    <w:rsid w:val="315B6BD5"/>
    <w:rsid w:val="315EFC9A"/>
    <w:rsid w:val="315F1FD3"/>
    <w:rsid w:val="316157B2"/>
    <w:rsid w:val="31652990"/>
    <w:rsid w:val="3167A85B"/>
    <w:rsid w:val="3168A401"/>
    <w:rsid w:val="316964A5"/>
    <w:rsid w:val="317054CB"/>
    <w:rsid w:val="3170AB91"/>
    <w:rsid w:val="31739465"/>
    <w:rsid w:val="317753EF"/>
    <w:rsid w:val="31776AA5"/>
    <w:rsid w:val="3177ED46"/>
    <w:rsid w:val="3186B767"/>
    <w:rsid w:val="318B6D51"/>
    <w:rsid w:val="3192AFBE"/>
    <w:rsid w:val="31964F47"/>
    <w:rsid w:val="3197420B"/>
    <w:rsid w:val="3197C973"/>
    <w:rsid w:val="319BCCBA"/>
    <w:rsid w:val="319F84BE"/>
    <w:rsid w:val="31A07F41"/>
    <w:rsid w:val="31A582E0"/>
    <w:rsid w:val="31AA4A25"/>
    <w:rsid w:val="31B6F012"/>
    <w:rsid w:val="31BB67B8"/>
    <w:rsid w:val="31BB9CC0"/>
    <w:rsid w:val="31BBDBF2"/>
    <w:rsid w:val="31C1D13C"/>
    <w:rsid w:val="31C22E32"/>
    <w:rsid w:val="31C9B373"/>
    <w:rsid w:val="31CE18E3"/>
    <w:rsid w:val="31D0CFB5"/>
    <w:rsid w:val="31D1E4F2"/>
    <w:rsid w:val="31D2C07E"/>
    <w:rsid w:val="31D8969D"/>
    <w:rsid w:val="31D9B194"/>
    <w:rsid w:val="31DDD2C8"/>
    <w:rsid w:val="31DE4762"/>
    <w:rsid w:val="31E36DDA"/>
    <w:rsid w:val="31E3AF31"/>
    <w:rsid w:val="31F10A2F"/>
    <w:rsid w:val="31FA2EA1"/>
    <w:rsid w:val="3201E169"/>
    <w:rsid w:val="3202326D"/>
    <w:rsid w:val="3207245D"/>
    <w:rsid w:val="3209CB65"/>
    <w:rsid w:val="320AFD84"/>
    <w:rsid w:val="3214E851"/>
    <w:rsid w:val="3215CE69"/>
    <w:rsid w:val="32197BBE"/>
    <w:rsid w:val="3219D07E"/>
    <w:rsid w:val="322038ED"/>
    <w:rsid w:val="32245FE8"/>
    <w:rsid w:val="32264D78"/>
    <w:rsid w:val="322744BD"/>
    <w:rsid w:val="3228E2FE"/>
    <w:rsid w:val="32299B0D"/>
    <w:rsid w:val="322D5758"/>
    <w:rsid w:val="3232D93F"/>
    <w:rsid w:val="32345972"/>
    <w:rsid w:val="32349EB1"/>
    <w:rsid w:val="323C0247"/>
    <w:rsid w:val="323D2B1A"/>
    <w:rsid w:val="323D88B2"/>
    <w:rsid w:val="3245896C"/>
    <w:rsid w:val="32459127"/>
    <w:rsid w:val="32479EBE"/>
    <w:rsid w:val="324AD23B"/>
    <w:rsid w:val="324EF393"/>
    <w:rsid w:val="3252E8E0"/>
    <w:rsid w:val="3259CBAF"/>
    <w:rsid w:val="32615932"/>
    <w:rsid w:val="3261AA1C"/>
    <w:rsid w:val="326482CC"/>
    <w:rsid w:val="326534D9"/>
    <w:rsid w:val="32667132"/>
    <w:rsid w:val="326691CB"/>
    <w:rsid w:val="32732C17"/>
    <w:rsid w:val="3274CA3B"/>
    <w:rsid w:val="32765C4F"/>
    <w:rsid w:val="32767686"/>
    <w:rsid w:val="3277F94C"/>
    <w:rsid w:val="3278ACC5"/>
    <w:rsid w:val="327D8BC9"/>
    <w:rsid w:val="3280EEBF"/>
    <w:rsid w:val="3286FF4B"/>
    <w:rsid w:val="328A4598"/>
    <w:rsid w:val="328F311C"/>
    <w:rsid w:val="3296E291"/>
    <w:rsid w:val="32978CCA"/>
    <w:rsid w:val="32994CF9"/>
    <w:rsid w:val="3299DFD1"/>
    <w:rsid w:val="329CA356"/>
    <w:rsid w:val="32A32BEB"/>
    <w:rsid w:val="32A41F06"/>
    <w:rsid w:val="32AA8C4C"/>
    <w:rsid w:val="32ABFB0B"/>
    <w:rsid w:val="32AC8C23"/>
    <w:rsid w:val="32AC962E"/>
    <w:rsid w:val="32AFDE54"/>
    <w:rsid w:val="32B0D507"/>
    <w:rsid w:val="32B42165"/>
    <w:rsid w:val="32B77002"/>
    <w:rsid w:val="32B84CC7"/>
    <w:rsid w:val="32B8CCB9"/>
    <w:rsid w:val="32B928EA"/>
    <w:rsid w:val="32BB8AAB"/>
    <w:rsid w:val="32BEC08B"/>
    <w:rsid w:val="32C065C7"/>
    <w:rsid w:val="32C093EB"/>
    <w:rsid w:val="32C417E1"/>
    <w:rsid w:val="32C5E454"/>
    <w:rsid w:val="32C81BAF"/>
    <w:rsid w:val="32C89572"/>
    <w:rsid w:val="32CCD6E0"/>
    <w:rsid w:val="32CCFFB0"/>
    <w:rsid w:val="32CF9296"/>
    <w:rsid w:val="32D14F6E"/>
    <w:rsid w:val="32D3F834"/>
    <w:rsid w:val="32D789D7"/>
    <w:rsid w:val="32DC6E91"/>
    <w:rsid w:val="32E1669F"/>
    <w:rsid w:val="32E4AD62"/>
    <w:rsid w:val="32F2F67B"/>
    <w:rsid w:val="32F3735D"/>
    <w:rsid w:val="32F63224"/>
    <w:rsid w:val="32F9550D"/>
    <w:rsid w:val="3301C41C"/>
    <w:rsid w:val="3305E261"/>
    <w:rsid w:val="3307EE2B"/>
    <w:rsid w:val="33088FF6"/>
    <w:rsid w:val="33089F5F"/>
    <w:rsid w:val="330A0F98"/>
    <w:rsid w:val="330CD0D3"/>
    <w:rsid w:val="33134C8B"/>
    <w:rsid w:val="33148EA7"/>
    <w:rsid w:val="331E1601"/>
    <w:rsid w:val="3322AA35"/>
    <w:rsid w:val="332C5563"/>
    <w:rsid w:val="3333D8DB"/>
    <w:rsid w:val="33356C2E"/>
    <w:rsid w:val="3337FA46"/>
    <w:rsid w:val="333945D6"/>
    <w:rsid w:val="33517E58"/>
    <w:rsid w:val="3354E1F5"/>
    <w:rsid w:val="33561C37"/>
    <w:rsid w:val="335A519D"/>
    <w:rsid w:val="335B8AD8"/>
    <w:rsid w:val="335D7D1F"/>
    <w:rsid w:val="33601F66"/>
    <w:rsid w:val="33635CD3"/>
    <w:rsid w:val="33687621"/>
    <w:rsid w:val="336B79A9"/>
    <w:rsid w:val="336C06B5"/>
    <w:rsid w:val="337651F2"/>
    <w:rsid w:val="3382D644"/>
    <w:rsid w:val="3383DB88"/>
    <w:rsid w:val="33845C70"/>
    <w:rsid w:val="3386A89B"/>
    <w:rsid w:val="3388BE3D"/>
    <w:rsid w:val="3388CCC6"/>
    <w:rsid w:val="338A4170"/>
    <w:rsid w:val="338B2052"/>
    <w:rsid w:val="338C6112"/>
    <w:rsid w:val="338DCEDB"/>
    <w:rsid w:val="3390EE19"/>
    <w:rsid w:val="339522F0"/>
    <w:rsid w:val="33969A9D"/>
    <w:rsid w:val="33971098"/>
    <w:rsid w:val="339D1B75"/>
    <w:rsid w:val="33A057A0"/>
    <w:rsid w:val="33A1CB0E"/>
    <w:rsid w:val="33A5F011"/>
    <w:rsid w:val="33A7FDC0"/>
    <w:rsid w:val="33ABA616"/>
    <w:rsid w:val="33AEE31E"/>
    <w:rsid w:val="33B0DC8D"/>
    <w:rsid w:val="33B6935E"/>
    <w:rsid w:val="33BB2246"/>
    <w:rsid w:val="33C1465C"/>
    <w:rsid w:val="33C32DCF"/>
    <w:rsid w:val="33C7CA2A"/>
    <w:rsid w:val="33C864C2"/>
    <w:rsid w:val="33C91940"/>
    <w:rsid w:val="33CDFBA2"/>
    <w:rsid w:val="33D37251"/>
    <w:rsid w:val="33D54E23"/>
    <w:rsid w:val="33DD1925"/>
    <w:rsid w:val="33DFEE47"/>
    <w:rsid w:val="33E7EECA"/>
    <w:rsid w:val="33E85187"/>
    <w:rsid w:val="33E86955"/>
    <w:rsid w:val="33F5F2FD"/>
    <w:rsid w:val="33F76062"/>
    <w:rsid w:val="33F9FE1B"/>
    <w:rsid w:val="33FB4E7D"/>
    <w:rsid w:val="33FC36B0"/>
    <w:rsid w:val="33FC5DAC"/>
    <w:rsid w:val="33FDADB8"/>
    <w:rsid w:val="33FE6DC7"/>
    <w:rsid w:val="33FE83D3"/>
    <w:rsid w:val="33FE9E52"/>
    <w:rsid w:val="3403C4D6"/>
    <w:rsid w:val="34056FF3"/>
    <w:rsid w:val="340AE79E"/>
    <w:rsid w:val="340B8385"/>
    <w:rsid w:val="3411A072"/>
    <w:rsid w:val="341293D9"/>
    <w:rsid w:val="3414A485"/>
    <w:rsid w:val="34196947"/>
    <w:rsid w:val="341A23C5"/>
    <w:rsid w:val="341DED45"/>
    <w:rsid w:val="341F20EC"/>
    <w:rsid w:val="3423C20B"/>
    <w:rsid w:val="3435D760"/>
    <w:rsid w:val="3436491A"/>
    <w:rsid w:val="3436BEF0"/>
    <w:rsid w:val="343D1403"/>
    <w:rsid w:val="344323EA"/>
    <w:rsid w:val="3443742A"/>
    <w:rsid w:val="3446E9CF"/>
    <w:rsid w:val="344A2537"/>
    <w:rsid w:val="34530410"/>
    <w:rsid w:val="34583045"/>
    <w:rsid w:val="3459E095"/>
    <w:rsid w:val="345DF289"/>
    <w:rsid w:val="345E467B"/>
    <w:rsid w:val="346189FE"/>
    <w:rsid w:val="3462D566"/>
    <w:rsid w:val="34644295"/>
    <w:rsid w:val="346A4FA3"/>
    <w:rsid w:val="346DF683"/>
    <w:rsid w:val="347943C7"/>
    <w:rsid w:val="34810E9B"/>
    <w:rsid w:val="3484F21E"/>
    <w:rsid w:val="3487B79C"/>
    <w:rsid w:val="348AC8EC"/>
    <w:rsid w:val="348CFC97"/>
    <w:rsid w:val="348D3D39"/>
    <w:rsid w:val="348F6D10"/>
    <w:rsid w:val="34902B4F"/>
    <w:rsid w:val="3492132D"/>
    <w:rsid w:val="34928585"/>
    <w:rsid w:val="34946EA7"/>
    <w:rsid w:val="34961FBE"/>
    <w:rsid w:val="34971656"/>
    <w:rsid w:val="349ABCDF"/>
    <w:rsid w:val="349AE2D8"/>
    <w:rsid w:val="349BF008"/>
    <w:rsid w:val="34A4D80E"/>
    <w:rsid w:val="34A79BCA"/>
    <w:rsid w:val="34A80F25"/>
    <w:rsid w:val="34ACF47A"/>
    <w:rsid w:val="34B1F6F6"/>
    <w:rsid w:val="34B4F6F6"/>
    <w:rsid w:val="34B627CE"/>
    <w:rsid w:val="34B76D8F"/>
    <w:rsid w:val="34B8C7AD"/>
    <w:rsid w:val="34B8D500"/>
    <w:rsid w:val="34C5AE48"/>
    <w:rsid w:val="34C7A05D"/>
    <w:rsid w:val="34C7DAE3"/>
    <w:rsid w:val="34CD4857"/>
    <w:rsid w:val="34CE175C"/>
    <w:rsid w:val="34D58D64"/>
    <w:rsid w:val="34D7676F"/>
    <w:rsid w:val="34D7B15A"/>
    <w:rsid w:val="34DBD46B"/>
    <w:rsid w:val="34DD9F9E"/>
    <w:rsid w:val="34E5FFEF"/>
    <w:rsid w:val="34E6B16B"/>
    <w:rsid w:val="34EC2224"/>
    <w:rsid w:val="34F25172"/>
    <w:rsid w:val="34F296A3"/>
    <w:rsid w:val="34F6B7BD"/>
    <w:rsid w:val="34F9D4BE"/>
    <w:rsid w:val="34FDB362"/>
    <w:rsid w:val="34FF0258"/>
    <w:rsid w:val="35003388"/>
    <w:rsid w:val="35049DE0"/>
    <w:rsid w:val="35077B7C"/>
    <w:rsid w:val="350AF5EE"/>
    <w:rsid w:val="350E91C2"/>
    <w:rsid w:val="350FE1BB"/>
    <w:rsid w:val="3511C9FB"/>
    <w:rsid w:val="3517FD80"/>
    <w:rsid w:val="35186B43"/>
    <w:rsid w:val="351AB7E3"/>
    <w:rsid w:val="351FCD81"/>
    <w:rsid w:val="352137B0"/>
    <w:rsid w:val="3526DBF0"/>
    <w:rsid w:val="35282FB2"/>
    <w:rsid w:val="35302550"/>
    <w:rsid w:val="3532161F"/>
    <w:rsid w:val="353661F9"/>
    <w:rsid w:val="3538DACD"/>
    <w:rsid w:val="353B0EF2"/>
    <w:rsid w:val="353DE3C9"/>
    <w:rsid w:val="3540ABDE"/>
    <w:rsid w:val="3544EDB5"/>
    <w:rsid w:val="3545E51E"/>
    <w:rsid w:val="3547FAD7"/>
    <w:rsid w:val="354B665D"/>
    <w:rsid w:val="354D050A"/>
    <w:rsid w:val="354F6821"/>
    <w:rsid w:val="355097A1"/>
    <w:rsid w:val="3552331B"/>
    <w:rsid w:val="355523DC"/>
    <w:rsid w:val="3557F901"/>
    <w:rsid w:val="35592C13"/>
    <w:rsid w:val="356110D7"/>
    <w:rsid w:val="35668241"/>
    <w:rsid w:val="3566A74A"/>
    <w:rsid w:val="35689E87"/>
    <w:rsid w:val="356A320F"/>
    <w:rsid w:val="356ADD28"/>
    <w:rsid w:val="356D6DA5"/>
    <w:rsid w:val="35706B71"/>
    <w:rsid w:val="3570F929"/>
    <w:rsid w:val="3573B7ED"/>
    <w:rsid w:val="3577BA66"/>
    <w:rsid w:val="3577F51D"/>
    <w:rsid w:val="35790661"/>
    <w:rsid w:val="357C6475"/>
    <w:rsid w:val="357C6CC3"/>
    <w:rsid w:val="357ED1C7"/>
    <w:rsid w:val="3580A7FB"/>
    <w:rsid w:val="35893C35"/>
    <w:rsid w:val="358B28C9"/>
    <w:rsid w:val="358F1D46"/>
    <w:rsid w:val="35991341"/>
    <w:rsid w:val="359A6870"/>
    <w:rsid w:val="35A3ACE8"/>
    <w:rsid w:val="35AFCC1B"/>
    <w:rsid w:val="35B0E60A"/>
    <w:rsid w:val="35BFB8FB"/>
    <w:rsid w:val="35C1961A"/>
    <w:rsid w:val="35C24C7E"/>
    <w:rsid w:val="35C3DD85"/>
    <w:rsid w:val="35C46832"/>
    <w:rsid w:val="35C5DAFE"/>
    <w:rsid w:val="35C74622"/>
    <w:rsid w:val="35CB19B3"/>
    <w:rsid w:val="35CBB2E0"/>
    <w:rsid w:val="35D5CBFE"/>
    <w:rsid w:val="35D89A3E"/>
    <w:rsid w:val="35DB3D14"/>
    <w:rsid w:val="35DB4D7B"/>
    <w:rsid w:val="35DC3756"/>
    <w:rsid w:val="35DD6FA7"/>
    <w:rsid w:val="35DDC123"/>
    <w:rsid w:val="35DEB970"/>
    <w:rsid w:val="35E388D0"/>
    <w:rsid w:val="35E87403"/>
    <w:rsid w:val="35EFC851"/>
    <w:rsid w:val="35F47592"/>
    <w:rsid w:val="35F9138D"/>
    <w:rsid w:val="36054DF5"/>
    <w:rsid w:val="360CC58F"/>
    <w:rsid w:val="360DF470"/>
    <w:rsid w:val="361124B4"/>
    <w:rsid w:val="3611B604"/>
    <w:rsid w:val="3617E517"/>
    <w:rsid w:val="361CD069"/>
    <w:rsid w:val="36210E19"/>
    <w:rsid w:val="36220119"/>
    <w:rsid w:val="3625E07A"/>
    <w:rsid w:val="3626BCF0"/>
    <w:rsid w:val="362B0E01"/>
    <w:rsid w:val="363106CC"/>
    <w:rsid w:val="3638BB4B"/>
    <w:rsid w:val="363A815C"/>
    <w:rsid w:val="363F8857"/>
    <w:rsid w:val="364026DD"/>
    <w:rsid w:val="3647E45D"/>
    <w:rsid w:val="364BFF69"/>
    <w:rsid w:val="36521F3A"/>
    <w:rsid w:val="3657B422"/>
    <w:rsid w:val="3657BFE1"/>
    <w:rsid w:val="3657CAEE"/>
    <w:rsid w:val="365B7FD8"/>
    <w:rsid w:val="365D2226"/>
    <w:rsid w:val="3660659B"/>
    <w:rsid w:val="36609967"/>
    <w:rsid w:val="3662EF1F"/>
    <w:rsid w:val="3663EE40"/>
    <w:rsid w:val="36652478"/>
    <w:rsid w:val="36652E4B"/>
    <w:rsid w:val="366A678D"/>
    <w:rsid w:val="366B85E8"/>
    <w:rsid w:val="366B89C6"/>
    <w:rsid w:val="366D371D"/>
    <w:rsid w:val="366E59CF"/>
    <w:rsid w:val="3670CAA3"/>
    <w:rsid w:val="367BC086"/>
    <w:rsid w:val="367BD886"/>
    <w:rsid w:val="36820E97"/>
    <w:rsid w:val="368319BA"/>
    <w:rsid w:val="36895F16"/>
    <w:rsid w:val="3689BA86"/>
    <w:rsid w:val="36939050"/>
    <w:rsid w:val="3696E9D3"/>
    <w:rsid w:val="3699C4AA"/>
    <w:rsid w:val="369B8B73"/>
    <w:rsid w:val="36A17E8C"/>
    <w:rsid w:val="36A21386"/>
    <w:rsid w:val="36A56CA5"/>
    <w:rsid w:val="36A5BB8C"/>
    <w:rsid w:val="36A78777"/>
    <w:rsid w:val="36A93B72"/>
    <w:rsid w:val="36AC66EB"/>
    <w:rsid w:val="36AFC81E"/>
    <w:rsid w:val="36B46B07"/>
    <w:rsid w:val="36B91321"/>
    <w:rsid w:val="36BA7C29"/>
    <w:rsid w:val="36BAD6EC"/>
    <w:rsid w:val="36BE29C0"/>
    <w:rsid w:val="36C49DFC"/>
    <w:rsid w:val="36CDA38B"/>
    <w:rsid w:val="36CE22B9"/>
    <w:rsid w:val="36D3E936"/>
    <w:rsid w:val="36D7C8D2"/>
    <w:rsid w:val="36DA42E8"/>
    <w:rsid w:val="36DAB5B6"/>
    <w:rsid w:val="36DAD8BB"/>
    <w:rsid w:val="36E311E6"/>
    <w:rsid w:val="36E5A05E"/>
    <w:rsid w:val="36EBBF40"/>
    <w:rsid w:val="36EE9D76"/>
    <w:rsid w:val="36F59E2B"/>
    <w:rsid w:val="36F65618"/>
    <w:rsid w:val="36F93387"/>
    <w:rsid w:val="36FA281F"/>
    <w:rsid w:val="36FA7AF2"/>
    <w:rsid w:val="36FBE7BA"/>
    <w:rsid w:val="36FC2FC3"/>
    <w:rsid w:val="36FD5752"/>
    <w:rsid w:val="36FE5C10"/>
    <w:rsid w:val="36FEC863"/>
    <w:rsid w:val="37002585"/>
    <w:rsid w:val="3700A8E7"/>
    <w:rsid w:val="3702A7F7"/>
    <w:rsid w:val="37036A48"/>
    <w:rsid w:val="3704CE04"/>
    <w:rsid w:val="370582D4"/>
    <w:rsid w:val="3707AD37"/>
    <w:rsid w:val="370918FF"/>
    <w:rsid w:val="370EDA2D"/>
    <w:rsid w:val="37133521"/>
    <w:rsid w:val="3713A7EF"/>
    <w:rsid w:val="371A9EEB"/>
    <w:rsid w:val="371B8027"/>
    <w:rsid w:val="3721224B"/>
    <w:rsid w:val="3721548B"/>
    <w:rsid w:val="37277D0A"/>
    <w:rsid w:val="3727BCAD"/>
    <w:rsid w:val="37284AC3"/>
    <w:rsid w:val="3728715F"/>
    <w:rsid w:val="372A6C5C"/>
    <w:rsid w:val="372BF8F5"/>
    <w:rsid w:val="3730AAE9"/>
    <w:rsid w:val="373AF665"/>
    <w:rsid w:val="373C1495"/>
    <w:rsid w:val="373C6FB0"/>
    <w:rsid w:val="374472F0"/>
    <w:rsid w:val="374483DF"/>
    <w:rsid w:val="37496763"/>
    <w:rsid w:val="3749D3A9"/>
    <w:rsid w:val="37544EB6"/>
    <w:rsid w:val="3757AC55"/>
    <w:rsid w:val="3758E4EC"/>
    <w:rsid w:val="375A576C"/>
    <w:rsid w:val="375C56C4"/>
    <w:rsid w:val="376B39BD"/>
    <w:rsid w:val="3779B5E1"/>
    <w:rsid w:val="3779EB0E"/>
    <w:rsid w:val="377B3F43"/>
    <w:rsid w:val="378874A8"/>
    <w:rsid w:val="379198B6"/>
    <w:rsid w:val="37935198"/>
    <w:rsid w:val="37935831"/>
    <w:rsid w:val="3795C474"/>
    <w:rsid w:val="379858ED"/>
    <w:rsid w:val="3799B562"/>
    <w:rsid w:val="379C6BE7"/>
    <w:rsid w:val="37A0302C"/>
    <w:rsid w:val="37A8162E"/>
    <w:rsid w:val="37A87863"/>
    <w:rsid w:val="37A94958"/>
    <w:rsid w:val="37ACA9E3"/>
    <w:rsid w:val="37B3C7A5"/>
    <w:rsid w:val="37B5808B"/>
    <w:rsid w:val="37B9BA5D"/>
    <w:rsid w:val="37C09EEA"/>
    <w:rsid w:val="37C0C0AF"/>
    <w:rsid w:val="37C2E0C5"/>
    <w:rsid w:val="37CE359B"/>
    <w:rsid w:val="37D2ACFF"/>
    <w:rsid w:val="37D3CBD4"/>
    <w:rsid w:val="37DD2EBB"/>
    <w:rsid w:val="37E04C66"/>
    <w:rsid w:val="37E07ADA"/>
    <w:rsid w:val="37E31B1B"/>
    <w:rsid w:val="37E5B510"/>
    <w:rsid w:val="37E84E6E"/>
    <w:rsid w:val="37EA8100"/>
    <w:rsid w:val="37EAAC5B"/>
    <w:rsid w:val="37F6A12F"/>
    <w:rsid w:val="37F9C576"/>
    <w:rsid w:val="37FA47CD"/>
    <w:rsid w:val="37FF0AF4"/>
    <w:rsid w:val="3806D7AD"/>
    <w:rsid w:val="38119695"/>
    <w:rsid w:val="3812E1F0"/>
    <w:rsid w:val="3813A89D"/>
    <w:rsid w:val="3814544F"/>
    <w:rsid w:val="3814D4D3"/>
    <w:rsid w:val="3815EF45"/>
    <w:rsid w:val="3816931F"/>
    <w:rsid w:val="381B3DB7"/>
    <w:rsid w:val="38211447"/>
    <w:rsid w:val="3826DD66"/>
    <w:rsid w:val="3828B135"/>
    <w:rsid w:val="38394143"/>
    <w:rsid w:val="383F0451"/>
    <w:rsid w:val="38404D64"/>
    <w:rsid w:val="38416720"/>
    <w:rsid w:val="384228D7"/>
    <w:rsid w:val="3843C4DF"/>
    <w:rsid w:val="384461BC"/>
    <w:rsid w:val="38494EAB"/>
    <w:rsid w:val="3849B502"/>
    <w:rsid w:val="384BFFD0"/>
    <w:rsid w:val="3851881C"/>
    <w:rsid w:val="38660BF7"/>
    <w:rsid w:val="3867CBEF"/>
    <w:rsid w:val="38688728"/>
    <w:rsid w:val="38690F82"/>
    <w:rsid w:val="3874BDD0"/>
    <w:rsid w:val="38759BCC"/>
    <w:rsid w:val="387D0010"/>
    <w:rsid w:val="387D9531"/>
    <w:rsid w:val="387F3E17"/>
    <w:rsid w:val="387FB686"/>
    <w:rsid w:val="38815BD9"/>
    <w:rsid w:val="3883936E"/>
    <w:rsid w:val="3883EA65"/>
    <w:rsid w:val="3886BCC3"/>
    <w:rsid w:val="388AB9D1"/>
    <w:rsid w:val="388EE505"/>
    <w:rsid w:val="3894F01C"/>
    <w:rsid w:val="389A526C"/>
    <w:rsid w:val="389D0969"/>
    <w:rsid w:val="38A08A67"/>
    <w:rsid w:val="38A1C769"/>
    <w:rsid w:val="38A29693"/>
    <w:rsid w:val="38A49C73"/>
    <w:rsid w:val="38A78BE9"/>
    <w:rsid w:val="38AB511D"/>
    <w:rsid w:val="38ABD90A"/>
    <w:rsid w:val="38AD848B"/>
    <w:rsid w:val="38AFF6A5"/>
    <w:rsid w:val="38B1CC5E"/>
    <w:rsid w:val="38B30609"/>
    <w:rsid w:val="38B6EBF7"/>
    <w:rsid w:val="38BB8EB9"/>
    <w:rsid w:val="38BB92E6"/>
    <w:rsid w:val="38BE4079"/>
    <w:rsid w:val="38BE8CAD"/>
    <w:rsid w:val="38C166EE"/>
    <w:rsid w:val="38C22C2A"/>
    <w:rsid w:val="38C4AD95"/>
    <w:rsid w:val="38C5BDD2"/>
    <w:rsid w:val="38CEB765"/>
    <w:rsid w:val="38D1826B"/>
    <w:rsid w:val="38D38B86"/>
    <w:rsid w:val="38D526BD"/>
    <w:rsid w:val="38DB3810"/>
    <w:rsid w:val="38DCD5DB"/>
    <w:rsid w:val="38DF8903"/>
    <w:rsid w:val="38DFCD58"/>
    <w:rsid w:val="38E18302"/>
    <w:rsid w:val="38E2C46E"/>
    <w:rsid w:val="38E37D04"/>
    <w:rsid w:val="38E75BA8"/>
    <w:rsid w:val="38E7FA17"/>
    <w:rsid w:val="38EF34B0"/>
    <w:rsid w:val="38F3148B"/>
    <w:rsid w:val="38F91FF7"/>
    <w:rsid w:val="38F9F932"/>
    <w:rsid w:val="38FE7050"/>
    <w:rsid w:val="38FFEFEB"/>
    <w:rsid w:val="39071461"/>
    <w:rsid w:val="3907BC14"/>
    <w:rsid w:val="390DF1C7"/>
    <w:rsid w:val="390E3217"/>
    <w:rsid w:val="390EBB03"/>
    <w:rsid w:val="390FD7D5"/>
    <w:rsid w:val="3911F52B"/>
    <w:rsid w:val="39143B08"/>
    <w:rsid w:val="3916C61C"/>
    <w:rsid w:val="3917EFA1"/>
    <w:rsid w:val="391D9781"/>
    <w:rsid w:val="3920E000"/>
    <w:rsid w:val="39216151"/>
    <w:rsid w:val="3929017B"/>
    <w:rsid w:val="392C1408"/>
    <w:rsid w:val="392DB136"/>
    <w:rsid w:val="392EF363"/>
    <w:rsid w:val="392F8D7B"/>
    <w:rsid w:val="392FCDED"/>
    <w:rsid w:val="39321141"/>
    <w:rsid w:val="3934EA05"/>
    <w:rsid w:val="39360683"/>
    <w:rsid w:val="39370FAC"/>
    <w:rsid w:val="393981C1"/>
    <w:rsid w:val="3939F962"/>
    <w:rsid w:val="3940161D"/>
    <w:rsid w:val="394175E4"/>
    <w:rsid w:val="394422F4"/>
    <w:rsid w:val="3945FC35"/>
    <w:rsid w:val="39463D33"/>
    <w:rsid w:val="3946E181"/>
    <w:rsid w:val="394B3A76"/>
    <w:rsid w:val="394CC2C7"/>
    <w:rsid w:val="39532007"/>
    <w:rsid w:val="3956BF97"/>
    <w:rsid w:val="3958B92B"/>
    <w:rsid w:val="3959359B"/>
    <w:rsid w:val="395D898B"/>
    <w:rsid w:val="395E931B"/>
    <w:rsid w:val="395EEAAB"/>
    <w:rsid w:val="39604041"/>
    <w:rsid w:val="3967C258"/>
    <w:rsid w:val="397296F2"/>
    <w:rsid w:val="3978BCA6"/>
    <w:rsid w:val="39795E87"/>
    <w:rsid w:val="397BE260"/>
    <w:rsid w:val="398843F2"/>
    <w:rsid w:val="398A7516"/>
    <w:rsid w:val="398E8422"/>
    <w:rsid w:val="399011E2"/>
    <w:rsid w:val="3990D5AC"/>
    <w:rsid w:val="39910D23"/>
    <w:rsid w:val="3996C537"/>
    <w:rsid w:val="399BA42C"/>
    <w:rsid w:val="399C20DC"/>
    <w:rsid w:val="399E34DB"/>
    <w:rsid w:val="39A5CC40"/>
    <w:rsid w:val="39A6DBCF"/>
    <w:rsid w:val="39AA80B4"/>
    <w:rsid w:val="39B4D94B"/>
    <w:rsid w:val="39B8A045"/>
    <w:rsid w:val="39B92A44"/>
    <w:rsid w:val="39BD76DC"/>
    <w:rsid w:val="39BF28C0"/>
    <w:rsid w:val="39C56E15"/>
    <w:rsid w:val="39CDCAD3"/>
    <w:rsid w:val="39D3076E"/>
    <w:rsid w:val="39D5F462"/>
    <w:rsid w:val="39D6E08E"/>
    <w:rsid w:val="39D7BAD4"/>
    <w:rsid w:val="39DCA127"/>
    <w:rsid w:val="39DEF25C"/>
    <w:rsid w:val="39E0179E"/>
    <w:rsid w:val="39E41CA3"/>
    <w:rsid w:val="39E4AB15"/>
    <w:rsid w:val="39ED8D52"/>
    <w:rsid w:val="39EE9E2C"/>
    <w:rsid w:val="39EF082F"/>
    <w:rsid w:val="39F0980B"/>
    <w:rsid w:val="39F465FE"/>
    <w:rsid w:val="39F50E34"/>
    <w:rsid w:val="39F851E5"/>
    <w:rsid w:val="3A0610D3"/>
    <w:rsid w:val="3A081EA3"/>
    <w:rsid w:val="3A0A77B5"/>
    <w:rsid w:val="3A0C38AC"/>
    <w:rsid w:val="3A0C3A2C"/>
    <w:rsid w:val="3A0EE29B"/>
    <w:rsid w:val="3A12862A"/>
    <w:rsid w:val="3A12881F"/>
    <w:rsid w:val="3A1292E5"/>
    <w:rsid w:val="3A1390EC"/>
    <w:rsid w:val="3A173BDD"/>
    <w:rsid w:val="3A246EB4"/>
    <w:rsid w:val="3A26826C"/>
    <w:rsid w:val="3A292502"/>
    <w:rsid w:val="3A2BC30F"/>
    <w:rsid w:val="3A37078F"/>
    <w:rsid w:val="3A440A44"/>
    <w:rsid w:val="3A45CD3D"/>
    <w:rsid w:val="3A4A78CE"/>
    <w:rsid w:val="3A4A8A1D"/>
    <w:rsid w:val="3A4E13DD"/>
    <w:rsid w:val="3A4F8550"/>
    <w:rsid w:val="3A52ABE0"/>
    <w:rsid w:val="3A57F864"/>
    <w:rsid w:val="3A62C270"/>
    <w:rsid w:val="3A687484"/>
    <w:rsid w:val="3A6ACFEF"/>
    <w:rsid w:val="3A6D489F"/>
    <w:rsid w:val="3A6DC7DA"/>
    <w:rsid w:val="3A71AD5A"/>
    <w:rsid w:val="3A736673"/>
    <w:rsid w:val="3A743AC8"/>
    <w:rsid w:val="3A79081F"/>
    <w:rsid w:val="3A79E039"/>
    <w:rsid w:val="3A7B7580"/>
    <w:rsid w:val="3A82CA1C"/>
    <w:rsid w:val="3A840B4A"/>
    <w:rsid w:val="3A87F62C"/>
    <w:rsid w:val="3A8DFFFB"/>
    <w:rsid w:val="3A918D59"/>
    <w:rsid w:val="3A93C0E2"/>
    <w:rsid w:val="3A96DF9C"/>
    <w:rsid w:val="3A98C2DF"/>
    <w:rsid w:val="3A9A74B3"/>
    <w:rsid w:val="3AA1FDBE"/>
    <w:rsid w:val="3AA4F525"/>
    <w:rsid w:val="3AAFC1C8"/>
    <w:rsid w:val="3AB16AF5"/>
    <w:rsid w:val="3AB500EA"/>
    <w:rsid w:val="3AB8698A"/>
    <w:rsid w:val="3ABE0BAE"/>
    <w:rsid w:val="3ACCB6C5"/>
    <w:rsid w:val="3ACDD01B"/>
    <w:rsid w:val="3AD004DD"/>
    <w:rsid w:val="3AD27929"/>
    <w:rsid w:val="3AD4A294"/>
    <w:rsid w:val="3AD77604"/>
    <w:rsid w:val="3ADE3FAD"/>
    <w:rsid w:val="3AE04DEE"/>
    <w:rsid w:val="3AE2422E"/>
    <w:rsid w:val="3AE514B3"/>
    <w:rsid w:val="3AE53A26"/>
    <w:rsid w:val="3AE6B6B9"/>
    <w:rsid w:val="3AEB1F98"/>
    <w:rsid w:val="3AEB2168"/>
    <w:rsid w:val="3AEBAF40"/>
    <w:rsid w:val="3AEC69D8"/>
    <w:rsid w:val="3AED4859"/>
    <w:rsid w:val="3AEF5ECB"/>
    <w:rsid w:val="3AF12EA2"/>
    <w:rsid w:val="3AF1A5D2"/>
    <w:rsid w:val="3AF20C42"/>
    <w:rsid w:val="3AF52F15"/>
    <w:rsid w:val="3AFBBDD4"/>
    <w:rsid w:val="3B075AC4"/>
    <w:rsid w:val="3B0A77AA"/>
    <w:rsid w:val="3B0E2BA7"/>
    <w:rsid w:val="3B14212D"/>
    <w:rsid w:val="3B1DCBAD"/>
    <w:rsid w:val="3B1F6C29"/>
    <w:rsid w:val="3B24B07C"/>
    <w:rsid w:val="3B273814"/>
    <w:rsid w:val="3B28C8CF"/>
    <w:rsid w:val="3B2CEF53"/>
    <w:rsid w:val="3B323859"/>
    <w:rsid w:val="3B36B90F"/>
    <w:rsid w:val="3B3C36BA"/>
    <w:rsid w:val="3B407B4F"/>
    <w:rsid w:val="3B461D49"/>
    <w:rsid w:val="3B489B44"/>
    <w:rsid w:val="3B55771A"/>
    <w:rsid w:val="3B5B3956"/>
    <w:rsid w:val="3B5CBDDF"/>
    <w:rsid w:val="3B5D472E"/>
    <w:rsid w:val="3B6060D6"/>
    <w:rsid w:val="3B625EB2"/>
    <w:rsid w:val="3B6572F5"/>
    <w:rsid w:val="3B754E1A"/>
    <w:rsid w:val="3B7662D5"/>
    <w:rsid w:val="3B767845"/>
    <w:rsid w:val="3B7AE22B"/>
    <w:rsid w:val="3B7C2557"/>
    <w:rsid w:val="3B7C6F81"/>
    <w:rsid w:val="3B843072"/>
    <w:rsid w:val="3B85D69F"/>
    <w:rsid w:val="3B863913"/>
    <w:rsid w:val="3B87C5B2"/>
    <w:rsid w:val="3B88DE61"/>
    <w:rsid w:val="3B8A25AE"/>
    <w:rsid w:val="3B8B8183"/>
    <w:rsid w:val="3B909461"/>
    <w:rsid w:val="3B977BD2"/>
    <w:rsid w:val="3B9883BB"/>
    <w:rsid w:val="3B9BAE54"/>
    <w:rsid w:val="3B9E562B"/>
    <w:rsid w:val="3B9F02A2"/>
    <w:rsid w:val="3BA1989B"/>
    <w:rsid w:val="3BA6E829"/>
    <w:rsid w:val="3BA8C403"/>
    <w:rsid w:val="3BAB49F7"/>
    <w:rsid w:val="3BACE9C0"/>
    <w:rsid w:val="3BACF962"/>
    <w:rsid w:val="3BAD91A3"/>
    <w:rsid w:val="3BAE47DC"/>
    <w:rsid w:val="3BB1E445"/>
    <w:rsid w:val="3BB3D400"/>
    <w:rsid w:val="3BB43DE3"/>
    <w:rsid w:val="3BB50499"/>
    <w:rsid w:val="3BB681EB"/>
    <w:rsid w:val="3BB70A68"/>
    <w:rsid w:val="3BBAA3FF"/>
    <w:rsid w:val="3BBE7E29"/>
    <w:rsid w:val="3BC0B353"/>
    <w:rsid w:val="3BC1BDA7"/>
    <w:rsid w:val="3BC22CC6"/>
    <w:rsid w:val="3BC280A6"/>
    <w:rsid w:val="3BC721F0"/>
    <w:rsid w:val="3BCC2D4B"/>
    <w:rsid w:val="3BD3D230"/>
    <w:rsid w:val="3BD4A4C9"/>
    <w:rsid w:val="3BDC0611"/>
    <w:rsid w:val="3BDF41DD"/>
    <w:rsid w:val="3BE0D7B8"/>
    <w:rsid w:val="3BE25C4A"/>
    <w:rsid w:val="3BE70AF8"/>
    <w:rsid w:val="3BE84865"/>
    <w:rsid w:val="3BEDBC33"/>
    <w:rsid w:val="3BF19D40"/>
    <w:rsid w:val="3BF26477"/>
    <w:rsid w:val="3BF821A4"/>
    <w:rsid w:val="3C03776B"/>
    <w:rsid w:val="3C0B44AF"/>
    <w:rsid w:val="3C0D3DBC"/>
    <w:rsid w:val="3C0D6D7E"/>
    <w:rsid w:val="3C0D9FA2"/>
    <w:rsid w:val="3C0E5BCF"/>
    <w:rsid w:val="3C1279EF"/>
    <w:rsid w:val="3C1639CF"/>
    <w:rsid w:val="3C193761"/>
    <w:rsid w:val="3C1A0401"/>
    <w:rsid w:val="3C1B80A3"/>
    <w:rsid w:val="3C28AFA8"/>
    <w:rsid w:val="3C2AF416"/>
    <w:rsid w:val="3C2D5615"/>
    <w:rsid w:val="3C2E9646"/>
    <w:rsid w:val="3C319734"/>
    <w:rsid w:val="3C31D0A4"/>
    <w:rsid w:val="3C3B65F1"/>
    <w:rsid w:val="3C3BECFC"/>
    <w:rsid w:val="3C43CB6B"/>
    <w:rsid w:val="3C450E2B"/>
    <w:rsid w:val="3C47EAFF"/>
    <w:rsid w:val="3C4AB911"/>
    <w:rsid w:val="3C501AE6"/>
    <w:rsid w:val="3C50DC98"/>
    <w:rsid w:val="3C577F34"/>
    <w:rsid w:val="3C57C02C"/>
    <w:rsid w:val="3C5979C3"/>
    <w:rsid w:val="3C598B5A"/>
    <w:rsid w:val="3C59EB55"/>
    <w:rsid w:val="3C5B1A9F"/>
    <w:rsid w:val="3C5CE69D"/>
    <w:rsid w:val="3C5F02B2"/>
    <w:rsid w:val="3C5F5F23"/>
    <w:rsid w:val="3C602B4A"/>
    <w:rsid w:val="3C66C4F1"/>
    <w:rsid w:val="3C6A7575"/>
    <w:rsid w:val="3C6A975F"/>
    <w:rsid w:val="3C77EB7B"/>
    <w:rsid w:val="3C796B75"/>
    <w:rsid w:val="3C7EF607"/>
    <w:rsid w:val="3C7F9894"/>
    <w:rsid w:val="3C82D848"/>
    <w:rsid w:val="3C84DBE8"/>
    <w:rsid w:val="3C87BD17"/>
    <w:rsid w:val="3C87EA80"/>
    <w:rsid w:val="3C8A6711"/>
    <w:rsid w:val="3C8CEE0C"/>
    <w:rsid w:val="3C8DF3BC"/>
    <w:rsid w:val="3C8E1CDA"/>
    <w:rsid w:val="3C937872"/>
    <w:rsid w:val="3C9B4502"/>
    <w:rsid w:val="3CA10B7F"/>
    <w:rsid w:val="3CA1E7FE"/>
    <w:rsid w:val="3CA5B919"/>
    <w:rsid w:val="3CA9321B"/>
    <w:rsid w:val="3CAF53E9"/>
    <w:rsid w:val="3CB158D3"/>
    <w:rsid w:val="3CB2AC53"/>
    <w:rsid w:val="3CB3BFAD"/>
    <w:rsid w:val="3CB4A9E0"/>
    <w:rsid w:val="3CB63357"/>
    <w:rsid w:val="3CB6C0C1"/>
    <w:rsid w:val="3CB9D3AE"/>
    <w:rsid w:val="3CC1A031"/>
    <w:rsid w:val="3CC255C3"/>
    <w:rsid w:val="3CCBCE4B"/>
    <w:rsid w:val="3CD42629"/>
    <w:rsid w:val="3CD5CF14"/>
    <w:rsid w:val="3CD76C7C"/>
    <w:rsid w:val="3CD7DC5C"/>
    <w:rsid w:val="3CD8F2E5"/>
    <w:rsid w:val="3CE3C211"/>
    <w:rsid w:val="3CE58D78"/>
    <w:rsid w:val="3CE6C2E7"/>
    <w:rsid w:val="3CE7190B"/>
    <w:rsid w:val="3CE91FC9"/>
    <w:rsid w:val="3CEEE5A7"/>
    <w:rsid w:val="3CF57CE4"/>
    <w:rsid w:val="3CF88CA6"/>
    <w:rsid w:val="3CF89181"/>
    <w:rsid w:val="3D014D10"/>
    <w:rsid w:val="3D06AB68"/>
    <w:rsid w:val="3D0BC638"/>
    <w:rsid w:val="3D0DF26F"/>
    <w:rsid w:val="3D0F3D6D"/>
    <w:rsid w:val="3D16EB16"/>
    <w:rsid w:val="3D183DFB"/>
    <w:rsid w:val="3D1C9582"/>
    <w:rsid w:val="3D1D23C9"/>
    <w:rsid w:val="3D24F39C"/>
    <w:rsid w:val="3D252B97"/>
    <w:rsid w:val="3D25A422"/>
    <w:rsid w:val="3D26D607"/>
    <w:rsid w:val="3D27E231"/>
    <w:rsid w:val="3D29325F"/>
    <w:rsid w:val="3D29E2EE"/>
    <w:rsid w:val="3D2D3BFD"/>
    <w:rsid w:val="3D3854CB"/>
    <w:rsid w:val="3D3B0BF3"/>
    <w:rsid w:val="3D3CA8FC"/>
    <w:rsid w:val="3D3E1EC4"/>
    <w:rsid w:val="3D3E99DB"/>
    <w:rsid w:val="3D407858"/>
    <w:rsid w:val="3D44A2D3"/>
    <w:rsid w:val="3D4C4455"/>
    <w:rsid w:val="3D4C4A7D"/>
    <w:rsid w:val="3D4E1B84"/>
    <w:rsid w:val="3D5000B7"/>
    <w:rsid w:val="3D52E00F"/>
    <w:rsid w:val="3D5628E0"/>
    <w:rsid w:val="3D57E103"/>
    <w:rsid w:val="3D580A76"/>
    <w:rsid w:val="3D593D2D"/>
    <w:rsid w:val="3D5B976F"/>
    <w:rsid w:val="3D5EB245"/>
    <w:rsid w:val="3D5ECD8F"/>
    <w:rsid w:val="3D606F7B"/>
    <w:rsid w:val="3D60E8D1"/>
    <w:rsid w:val="3D69FB9A"/>
    <w:rsid w:val="3D6C67AE"/>
    <w:rsid w:val="3D7384EE"/>
    <w:rsid w:val="3D781231"/>
    <w:rsid w:val="3D7F43A7"/>
    <w:rsid w:val="3D8072E1"/>
    <w:rsid w:val="3D831181"/>
    <w:rsid w:val="3D83BA76"/>
    <w:rsid w:val="3D854CF7"/>
    <w:rsid w:val="3D866E2A"/>
    <w:rsid w:val="3D87A272"/>
    <w:rsid w:val="3D8A0F51"/>
    <w:rsid w:val="3D8FB2AA"/>
    <w:rsid w:val="3D9021A7"/>
    <w:rsid w:val="3D932F17"/>
    <w:rsid w:val="3D952C5A"/>
    <w:rsid w:val="3D954E50"/>
    <w:rsid w:val="3D9AD29F"/>
    <w:rsid w:val="3DA0D245"/>
    <w:rsid w:val="3DA44301"/>
    <w:rsid w:val="3DA45D48"/>
    <w:rsid w:val="3DA6D980"/>
    <w:rsid w:val="3DA705AA"/>
    <w:rsid w:val="3DAAFE6A"/>
    <w:rsid w:val="3DADEA75"/>
    <w:rsid w:val="3DAF3AFE"/>
    <w:rsid w:val="3DAFBF8E"/>
    <w:rsid w:val="3DB62114"/>
    <w:rsid w:val="3DBE9CFB"/>
    <w:rsid w:val="3DC41EE8"/>
    <w:rsid w:val="3DCB95D1"/>
    <w:rsid w:val="3DCEC5C7"/>
    <w:rsid w:val="3DD09334"/>
    <w:rsid w:val="3DD0ABC0"/>
    <w:rsid w:val="3DD100C3"/>
    <w:rsid w:val="3DD23A8D"/>
    <w:rsid w:val="3DD2CAC0"/>
    <w:rsid w:val="3DD49252"/>
    <w:rsid w:val="3DD4B301"/>
    <w:rsid w:val="3DD4EC64"/>
    <w:rsid w:val="3DD72D3F"/>
    <w:rsid w:val="3DD76B78"/>
    <w:rsid w:val="3DDB5E11"/>
    <w:rsid w:val="3DDBD043"/>
    <w:rsid w:val="3DE4B8B3"/>
    <w:rsid w:val="3DE73170"/>
    <w:rsid w:val="3DEA5E88"/>
    <w:rsid w:val="3DECB063"/>
    <w:rsid w:val="3DF3E82D"/>
    <w:rsid w:val="3DF562BB"/>
    <w:rsid w:val="3DF73D6B"/>
    <w:rsid w:val="3DF752F3"/>
    <w:rsid w:val="3DF9B896"/>
    <w:rsid w:val="3DFC3518"/>
    <w:rsid w:val="3E00889C"/>
    <w:rsid w:val="3E023E4B"/>
    <w:rsid w:val="3E04BEA4"/>
    <w:rsid w:val="3E061706"/>
    <w:rsid w:val="3E0AF8DE"/>
    <w:rsid w:val="3E0BAB90"/>
    <w:rsid w:val="3E0F6872"/>
    <w:rsid w:val="3E1735A5"/>
    <w:rsid w:val="3E18173C"/>
    <w:rsid w:val="3E1FEB17"/>
    <w:rsid w:val="3E23D4CD"/>
    <w:rsid w:val="3E23E25E"/>
    <w:rsid w:val="3E24FADC"/>
    <w:rsid w:val="3E27BBEA"/>
    <w:rsid w:val="3E2B0A6E"/>
    <w:rsid w:val="3E2D2468"/>
    <w:rsid w:val="3E30CF2B"/>
    <w:rsid w:val="3E32DB6D"/>
    <w:rsid w:val="3E354CC6"/>
    <w:rsid w:val="3E35A6DE"/>
    <w:rsid w:val="3E3A661B"/>
    <w:rsid w:val="3E3C0105"/>
    <w:rsid w:val="3E3DDEF7"/>
    <w:rsid w:val="3E411F28"/>
    <w:rsid w:val="3E426AB1"/>
    <w:rsid w:val="3E42EC60"/>
    <w:rsid w:val="3E4312C3"/>
    <w:rsid w:val="3E437BFE"/>
    <w:rsid w:val="3E459842"/>
    <w:rsid w:val="3E4A59C3"/>
    <w:rsid w:val="3E5D15A5"/>
    <w:rsid w:val="3E5D4D0D"/>
    <w:rsid w:val="3E6057D7"/>
    <w:rsid w:val="3E62E73E"/>
    <w:rsid w:val="3E6833E4"/>
    <w:rsid w:val="3E7283BF"/>
    <w:rsid w:val="3E74F0DD"/>
    <w:rsid w:val="3E7775AD"/>
    <w:rsid w:val="3E78018A"/>
    <w:rsid w:val="3E786EF3"/>
    <w:rsid w:val="3E78F710"/>
    <w:rsid w:val="3E7B7C2C"/>
    <w:rsid w:val="3E83D82E"/>
    <w:rsid w:val="3E845DE8"/>
    <w:rsid w:val="3E85C878"/>
    <w:rsid w:val="3E867BDB"/>
    <w:rsid w:val="3E87F2C0"/>
    <w:rsid w:val="3E904589"/>
    <w:rsid w:val="3E917DFF"/>
    <w:rsid w:val="3E93879E"/>
    <w:rsid w:val="3E95458E"/>
    <w:rsid w:val="3E961881"/>
    <w:rsid w:val="3E96ACBD"/>
    <w:rsid w:val="3E97C2BF"/>
    <w:rsid w:val="3EA0142D"/>
    <w:rsid w:val="3EA16C0C"/>
    <w:rsid w:val="3EAAD7DB"/>
    <w:rsid w:val="3EAC3217"/>
    <w:rsid w:val="3EAE29D0"/>
    <w:rsid w:val="3EAE5E46"/>
    <w:rsid w:val="3EB38A69"/>
    <w:rsid w:val="3EB414AA"/>
    <w:rsid w:val="3EB50016"/>
    <w:rsid w:val="3EB981BB"/>
    <w:rsid w:val="3EBDEE88"/>
    <w:rsid w:val="3EBE6F93"/>
    <w:rsid w:val="3EBF4A6E"/>
    <w:rsid w:val="3EC0E2FF"/>
    <w:rsid w:val="3EC70103"/>
    <w:rsid w:val="3EC77E6F"/>
    <w:rsid w:val="3ECBF813"/>
    <w:rsid w:val="3ED17579"/>
    <w:rsid w:val="3ED1D9C4"/>
    <w:rsid w:val="3ED80216"/>
    <w:rsid w:val="3EDA2DEA"/>
    <w:rsid w:val="3EE048AC"/>
    <w:rsid w:val="3EE4037D"/>
    <w:rsid w:val="3EE4D76F"/>
    <w:rsid w:val="3EE5553E"/>
    <w:rsid w:val="3EEC109B"/>
    <w:rsid w:val="3EECD01D"/>
    <w:rsid w:val="3EF03E4C"/>
    <w:rsid w:val="3EF1775D"/>
    <w:rsid w:val="3EF2457C"/>
    <w:rsid w:val="3EF78E10"/>
    <w:rsid w:val="3EF8176D"/>
    <w:rsid w:val="3EFB919F"/>
    <w:rsid w:val="3EFD4D50"/>
    <w:rsid w:val="3EFE7C97"/>
    <w:rsid w:val="3F046C60"/>
    <w:rsid w:val="3F06DD46"/>
    <w:rsid w:val="3F08D219"/>
    <w:rsid w:val="3F0EFB11"/>
    <w:rsid w:val="3F123385"/>
    <w:rsid w:val="3F127CF3"/>
    <w:rsid w:val="3F128A5F"/>
    <w:rsid w:val="3F12D4D0"/>
    <w:rsid w:val="3F12F2C3"/>
    <w:rsid w:val="3F13EA67"/>
    <w:rsid w:val="3F14C819"/>
    <w:rsid w:val="3F193B07"/>
    <w:rsid w:val="3F194FE3"/>
    <w:rsid w:val="3F19D9BA"/>
    <w:rsid w:val="3F1A0ED2"/>
    <w:rsid w:val="3F1B65FA"/>
    <w:rsid w:val="3F1D517E"/>
    <w:rsid w:val="3F1DF3AF"/>
    <w:rsid w:val="3F219682"/>
    <w:rsid w:val="3F22243B"/>
    <w:rsid w:val="3F232762"/>
    <w:rsid w:val="3F25BE7B"/>
    <w:rsid w:val="3F2641CF"/>
    <w:rsid w:val="3F2985C4"/>
    <w:rsid w:val="3F2ED903"/>
    <w:rsid w:val="3F2FB1DD"/>
    <w:rsid w:val="3F31A730"/>
    <w:rsid w:val="3F32797B"/>
    <w:rsid w:val="3F38AB22"/>
    <w:rsid w:val="3F3AC32A"/>
    <w:rsid w:val="3F3F1B99"/>
    <w:rsid w:val="3F4007E1"/>
    <w:rsid w:val="3F4185E5"/>
    <w:rsid w:val="3F44BDA3"/>
    <w:rsid w:val="3F452048"/>
    <w:rsid w:val="3F46B20D"/>
    <w:rsid w:val="3F4AED40"/>
    <w:rsid w:val="3F58DC1A"/>
    <w:rsid w:val="3F5C4C72"/>
    <w:rsid w:val="3F61B1C3"/>
    <w:rsid w:val="3F6B0F87"/>
    <w:rsid w:val="3F6D6C8B"/>
    <w:rsid w:val="3F71751D"/>
    <w:rsid w:val="3F7183F1"/>
    <w:rsid w:val="3F751BFD"/>
    <w:rsid w:val="3F762562"/>
    <w:rsid w:val="3F7ACF88"/>
    <w:rsid w:val="3F7BAD50"/>
    <w:rsid w:val="3F7D3AFA"/>
    <w:rsid w:val="3F7E8B31"/>
    <w:rsid w:val="3F82A1D0"/>
    <w:rsid w:val="3F84326F"/>
    <w:rsid w:val="3F857EF7"/>
    <w:rsid w:val="3F8A222B"/>
    <w:rsid w:val="3F8D780F"/>
    <w:rsid w:val="3F9358CD"/>
    <w:rsid w:val="3F98131C"/>
    <w:rsid w:val="3F9977C2"/>
    <w:rsid w:val="3F9988CA"/>
    <w:rsid w:val="3F9E0558"/>
    <w:rsid w:val="3F9E8389"/>
    <w:rsid w:val="3FA269DA"/>
    <w:rsid w:val="3FAC1E88"/>
    <w:rsid w:val="3FAC7DFB"/>
    <w:rsid w:val="3FB026E4"/>
    <w:rsid w:val="3FB6D50C"/>
    <w:rsid w:val="3FB6E496"/>
    <w:rsid w:val="3FBAF5FB"/>
    <w:rsid w:val="3FBF1BD6"/>
    <w:rsid w:val="3FBF257F"/>
    <w:rsid w:val="3FBF9FFF"/>
    <w:rsid w:val="3FC261B9"/>
    <w:rsid w:val="3FC34559"/>
    <w:rsid w:val="3FC5E859"/>
    <w:rsid w:val="3FC695F9"/>
    <w:rsid w:val="3FC9E27E"/>
    <w:rsid w:val="3FCC401A"/>
    <w:rsid w:val="3FCDD076"/>
    <w:rsid w:val="3FD3FD53"/>
    <w:rsid w:val="3FD7EC83"/>
    <w:rsid w:val="3FD8FF43"/>
    <w:rsid w:val="3FDB6A40"/>
    <w:rsid w:val="3FDC13DB"/>
    <w:rsid w:val="3FDC6419"/>
    <w:rsid w:val="3FDCCF6E"/>
    <w:rsid w:val="3FECD47C"/>
    <w:rsid w:val="3FEE4CC4"/>
    <w:rsid w:val="3FF9459B"/>
    <w:rsid w:val="3FFDC841"/>
    <w:rsid w:val="3FFF5395"/>
    <w:rsid w:val="40017B42"/>
    <w:rsid w:val="400AE834"/>
    <w:rsid w:val="400D05E1"/>
    <w:rsid w:val="400D25E8"/>
    <w:rsid w:val="400EE14B"/>
    <w:rsid w:val="40166436"/>
    <w:rsid w:val="402155E0"/>
    <w:rsid w:val="40222EA7"/>
    <w:rsid w:val="402317BF"/>
    <w:rsid w:val="403336C5"/>
    <w:rsid w:val="403FF72F"/>
    <w:rsid w:val="404B6938"/>
    <w:rsid w:val="404BA922"/>
    <w:rsid w:val="404D5C0A"/>
    <w:rsid w:val="40545F14"/>
    <w:rsid w:val="4054F790"/>
    <w:rsid w:val="40584CB1"/>
    <w:rsid w:val="4059052A"/>
    <w:rsid w:val="405C35F1"/>
    <w:rsid w:val="405DA705"/>
    <w:rsid w:val="4060EA74"/>
    <w:rsid w:val="406BB708"/>
    <w:rsid w:val="406C8120"/>
    <w:rsid w:val="407629AD"/>
    <w:rsid w:val="407B9898"/>
    <w:rsid w:val="4080FFB4"/>
    <w:rsid w:val="4083C8E4"/>
    <w:rsid w:val="4088A54D"/>
    <w:rsid w:val="408A2080"/>
    <w:rsid w:val="408ACB88"/>
    <w:rsid w:val="408F7F05"/>
    <w:rsid w:val="40995D7C"/>
    <w:rsid w:val="409A7665"/>
    <w:rsid w:val="409A7D3D"/>
    <w:rsid w:val="409ADF8B"/>
    <w:rsid w:val="409BAF29"/>
    <w:rsid w:val="409C79FB"/>
    <w:rsid w:val="40A0AA17"/>
    <w:rsid w:val="40A14F52"/>
    <w:rsid w:val="40A40CC4"/>
    <w:rsid w:val="40A42E1D"/>
    <w:rsid w:val="40A5196A"/>
    <w:rsid w:val="40AAD2FF"/>
    <w:rsid w:val="40B023D9"/>
    <w:rsid w:val="40B39D5D"/>
    <w:rsid w:val="40B463BB"/>
    <w:rsid w:val="40B81844"/>
    <w:rsid w:val="40B82BF5"/>
    <w:rsid w:val="40B94F19"/>
    <w:rsid w:val="40BA0C61"/>
    <w:rsid w:val="40BC9AB8"/>
    <w:rsid w:val="40BD87B4"/>
    <w:rsid w:val="40C50BAD"/>
    <w:rsid w:val="40C9D285"/>
    <w:rsid w:val="40CDE4A8"/>
    <w:rsid w:val="40D1A5EB"/>
    <w:rsid w:val="40D34C98"/>
    <w:rsid w:val="40D6370F"/>
    <w:rsid w:val="40D930A3"/>
    <w:rsid w:val="40DEFE12"/>
    <w:rsid w:val="40E0BD6D"/>
    <w:rsid w:val="40E47410"/>
    <w:rsid w:val="40E6B1C8"/>
    <w:rsid w:val="40E92543"/>
    <w:rsid w:val="40ECFB7F"/>
    <w:rsid w:val="40EE4B52"/>
    <w:rsid w:val="40F09B06"/>
    <w:rsid w:val="40F0E546"/>
    <w:rsid w:val="40F74A3A"/>
    <w:rsid w:val="40F90F30"/>
    <w:rsid w:val="40FE5F4D"/>
    <w:rsid w:val="40FE7AAE"/>
    <w:rsid w:val="4103023B"/>
    <w:rsid w:val="41034D21"/>
    <w:rsid w:val="41088DEB"/>
    <w:rsid w:val="410D80D5"/>
    <w:rsid w:val="41103819"/>
    <w:rsid w:val="41166114"/>
    <w:rsid w:val="411A1E68"/>
    <w:rsid w:val="411AAC3D"/>
    <w:rsid w:val="41297CD1"/>
    <w:rsid w:val="413692B5"/>
    <w:rsid w:val="413CE5DF"/>
    <w:rsid w:val="413D3FFB"/>
    <w:rsid w:val="413DCDE8"/>
    <w:rsid w:val="414E7825"/>
    <w:rsid w:val="415226BC"/>
    <w:rsid w:val="41555C0D"/>
    <w:rsid w:val="4158FAF3"/>
    <w:rsid w:val="415E3A2C"/>
    <w:rsid w:val="4160AD99"/>
    <w:rsid w:val="41616A65"/>
    <w:rsid w:val="4161F998"/>
    <w:rsid w:val="416257A9"/>
    <w:rsid w:val="41676DA7"/>
    <w:rsid w:val="4167994F"/>
    <w:rsid w:val="4167AB80"/>
    <w:rsid w:val="416A11CE"/>
    <w:rsid w:val="416CD871"/>
    <w:rsid w:val="41710250"/>
    <w:rsid w:val="4172B9C3"/>
    <w:rsid w:val="417353D1"/>
    <w:rsid w:val="417625C2"/>
    <w:rsid w:val="4176A989"/>
    <w:rsid w:val="417B7B77"/>
    <w:rsid w:val="417C4AE5"/>
    <w:rsid w:val="417D9F45"/>
    <w:rsid w:val="417EC3B5"/>
    <w:rsid w:val="417F07A0"/>
    <w:rsid w:val="418E25D0"/>
    <w:rsid w:val="41918D1B"/>
    <w:rsid w:val="4191B8A2"/>
    <w:rsid w:val="41936614"/>
    <w:rsid w:val="41960F39"/>
    <w:rsid w:val="419770B6"/>
    <w:rsid w:val="41995EFD"/>
    <w:rsid w:val="419C691E"/>
    <w:rsid w:val="41A4FA41"/>
    <w:rsid w:val="41A6857D"/>
    <w:rsid w:val="41A78CF3"/>
    <w:rsid w:val="41AF6FED"/>
    <w:rsid w:val="41B0AA05"/>
    <w:rsid w:val="41B3EE61"/>
    <w:rsid w:val="41B45588"/>
    <w:rsid w:val="41B532F4"/>
    <w:rsid w:val="41B7E1FA"/>
    <w:rsid w:val="41B9DE6B"/>
    <w:rsid w:val="41BCAA4C"/>
    <w:rsid w:val="41BDD365"/>
    <w:rsid w:val="41BE2EB5"/>
    <w:rsid w:val="41C3A52A"/>
    <w:rsid w:val="41C453B9"/>
    <w:rsid w:val="41C63860"/>
    <w:rsid w:val="41C90250"/>
    <w:rsid w:val="41D026E6"/>
    <w:rsid w:val="41D62D60"/>
    <w:rsid w:val="41DA85F9"/>
    <w:rsid w:val="41DF4AC9"/>
    <w:rsid w:val="41E159F8"/>
    <w:rsid w:val="41E2DF9D"/>
    <w:rsid w:val="41F658C9"/>
    <w:rsid w:val="41FD3E1B"/>
    <w:rsid w:val="4200910D"/>
    <w:rsid w:val="42057E17"/>
    <w:rsid w:val="4207F716"/>
    <w:rsid w:val="42113F89"/>
    <w:rsid w:val="42116026"/>
    <w:rsid w:val="4211BDE1"/>
    <w:rsid w:val="4216533B"/>
    <w:rsid w:val="421AC95B"/>
    <w:rsid w:val="421AFFFB"/>
    <w:rsid w:val="421F6552"/>
    <w:rsid w:val="422038C6"/>
    <w:rsid w:val="4230200C"/>
    <w:rsid w:val="42355BE8"/>
    <w:rsid w:val="4238FB5F"/>
    <w:rsid w:val="4239CB2F"/>
    <w:rsid w:val="423D4992"/>
    <w:rsid w:val="42400B59"/>
    <w:rsid w:val="42409EBE"/>
    <w:rsid w:val="42435749"/>
    <w:rsid w:val="4243B7FB"/>
    <w:rsid w:val="424832D5"/>
    <w:rsid w:val="424FCC1D"/>
    <w:rsid w:val="424FDF32"/>
    <w:rsid w:val="4251C7E6"/>
    <w:rsid w:val="425E5816"/>
    <w:rsid w:val="425F832A"/>
    <w:rsid w:val="42632C7F"/>
    <w:rsid w:val="4268F50A"/>
    <w:rsid w:val="426ED4E7"/>
    <w:rsid w:val="4270B04D"/>
    <w:rsid w:val="42727397"/>
    <w:rsid w:val="42761FD8"/>
    <w:rsid w:val="427829EA"/>
    <w:rsid w:val="42857AC6"/>
    <w:rsid w:val="42883BE6"/>
    <w:rsid w:val="428871B6"/>
    <w:rsid w:val="428C3F2B"/>
    <w:rsid w:val="428E15FA"/>
    <w:rsid w:val="429525D5"/>
    <w:rsid w:val="4296B574"/>
    <w:rsid w:val="4299013D"/>
    <w:rsid w:val="42997D77"/>
    <w:rsid w:val="429F4066"/>
    <w:rsid w:val="42A1F944"/>
    <w:rsid w:val="42A5B49B"/>
    <w:rsid w:val="42A8B27A"/>
    <w:rsid w:val="42A9DA85"/>
    <w:rsid w:val="42AE89B9"/>
    <w:rsid w:val="42AF54C8"/>
    <w:rsid w:val="42B0C036"/>
    <w:rsid w:val="42B2D747"/>
    <w:rsid w:val="42BCF921"/>
    <w:rsid w:val="42BD2002"/>
    <w:rsid w:val="42BFB0B1"/>
    <w:rsid w:val="42C13B03"/>
    <w:rsid w:val="42C796E5"/>
    <w:rsid w:val="42C7DDE0"/>
    <w:rsid w:val="42CE0C28"/>
    <w:rsid w:val="42D145F9"/>
    <w:rsid w:val="42D32588"/>
    <w:rsid w:val="42D4934A"/>
    <w:rsid w:val="42D534ED"/>
    <w:rsid w:val="42D5719E"/>
    <w:rsid w:val="42D73898"/>
    <w:rsid w:val="42D7435B"/>
    <w:rsid w:val="42D97A29"/>
    <w:rsid w:val="42DDC16E"/>
    <w:rsid w:val="42DEBE2D"/>
    <w:rsid w:val="42DED678"/>
    <w:rsid w:val="42E03B71"/>
    <w:rsid w:val="42E2429F"/>
    <w:rsid w:val="42E53352"/>
    <w:rsid w:val="42E8AD87"/>
    <w:rsid w:val="42E975FE"/>
    <w:rsid w:val="42EAC957"/>
    <w:rsid w:val="42EAFF81"/>
    <w:rsid w:val="42F4A454"/>
    <w:rsid w:val="42F5170C"/>
    <w:rsid w:val="42F6D5BB"/>
    <w:rsid w:val="42F7AFED"/>
    <w:rsid w:val="42FFEB54"/>
    <w:rsid w:val="4304D8F7"/>
    <w:rsid w:val="43084351"/>
    <w:rsid w:val="430A598E"/>
    <w:rsid w:val="430CBCA6"/>
    <w:rsid w:val="430E7C5A"/>
    <w:rsid w:val="4313AEB8"/>
    <w:rsid w:val="43155241"/>
    <w:rsid w:val="4316B4E5"/>
    <w:rsid w:val="43181F66"/>
    <w:rsid w:val="43190EAE"/>
    <w:rsid w:val="431A237B"/>
    <w:rsid w:val="4329152A"/>
    <w:rsid w:val="432F89A3"/>
    <w:rsid w:val="4335921F"/>
    <w:rsid w:val="433AF0FD"/>
    <w:rsid w:val="4343C8E7"/>
    <w:rsid w:val="43458B07"/>
    <w:rsid w:val="43467CC9"/>
    <w:rsid w:val="4351CBE2"/>
    <w:rsid w:val="43526B60"/>
    <w:rsid w:val="435937B1"/>
    <w:rsid w:val="4359D2A0"/>
    <w:rsid w:val="435A2F5D"/>
    <w:rsid w:val="435C02DF"/>
    <w:rsid w:val="435C8BBF"/>
    <w:rsid w:val="43608DB1"/>
    <w:rsid w:val="43622054"/>
    <w:rsid w:val="4363D58D"/>
    <w:rsid w:val="4367BCF0"/>
    <w:rsid w:val="4367CD03"/>
    <w:rsid w:val="436968C2"/>
    <w:rsid w:val="436C5D08"/>
    <w:rsid w:val="436C9C04"/>
    <w:rsid w:val="43716062"/>
    <w:rsid w:val="437E0EC9"/>
    <w:rsid w:val="43806241"/>
    <w:rsid w:val="43867B63"/>
    <w:rsid w:val="4386EC08"/>
    <w:rsid w:val="4388DE2D"/>
    <w:rsid w:val="43908214"/>
    <w:rsid w:val="43AD4D61"/>
    <w:rsid w:val="43B35D51"/>
    <w:rsid w:val="43B590A6"/>
    <w:rsid w:val="43B5AF41"/>
    <w:rsid w:val="43B743BC"/>
    <w:rsid w:val="43B88907"/>
    <w:rsid w:val="43BE538C"/>
    <w:rsid w:val="43BF6175"/>
    <w:rsid w:val="43BF65F3"/>
    <w:rsid w:val="43C0964C"/>
    <w:rsid w:val="43C1193A"/>
    <w:rsid w:val="43C6A161"/>
    <w:rsid w:val="43C6E61B"/>
    <w:rsid w:val="43CFBC14"/>
    <w:rsid w:val="43D66BDC"/>
    <w:rsid w:val="43D7BAB3"/>
    <w:rsid w:val="43D831C2"/>
    <w:rsid w:val="43D8E8B1"/>
    <w:rsid w:val="43DB5072"/>
    <w:rsid w:val="43E25D89"/>
    <w:rsid w:val="43EA5C01"/>
    <w:rsid w:val="43EA76E9"/>
    <w:rsid w:val="43EE521E"/>
    <w:rsid w:val="43F0C514"/>
    <w:rsid w:val="43F328F3"/>
    <w:rsid w:val="43F43DD4"/>
    <w:rsid w:val="43FDE1CA"/>
    <w:rsid w:val="43FF0834"/>
    <w:rsid w:val="4402EF05"/>
    <w:rsid w:val="440312AF"/>
    <w:rsid w:val="44069336"/>
    <w:rsid w:val="4418F98A"/>
    <w:rsid w:val="441922BC"/>
    <w:rsid w:val="441AD45D"/>
    <w:rsid w:val="441E2001"/>
    <w:rsid w:val="44227589"/>
    <w:rsid w:val="4425BE20"/>
    <w:rsid w:val="4427DC7E"/>
    <w:rsid w:val="442F05AE"/>
    <w:rsid w:val="44326F15"/>
    <w:rsid w:val="44363C0E"/>
    <w:rsid w:val="4438A53B"/>
    <w:rsid w:val="4439202D"/>
    <w:rsid w:val="443DF87E"/>
    <w:rsid w:val="443F2DE2"/>
    <w:rsid w:val="443F7E4A"/>
    <w:rsid w:val="44451102"/>
    <w:rsid w:val="44457A0F"/>
    <w:rsid w:val="4446A462"/>
    <w:rsid w:val="44494C2A"/>
    <w:rsid w:val="444A197B"/>
    <w:rsid w:val="444D5CBD"/>
    <w:rsid w:val="444DE47A"/>
    <w:rsid w:val="444EC48C"/>
    <w:rsid w:val="445A0217"/>
    <w:rsid w:val="445AD828"/>
    <w:rsid w:val="445B6B80"/>
    <w:rsid w:val="445C7A1A"/>
    <w:rsid w:val="445C8A8C"/>
    <w:rsid w:val="445EC93E"/>
    <w:rsid w:val="44623694"/>
    <w:rsid w:val="446450AA"/>
    <w:rsid w:val="44648547"/>
    <w:rsid w:val="44666171"/>
    <w:rsid w:val="44688F63"/>
    <w:rsid w:val="446DBB94"/>
    <w:rsid w:val="446DBE14"/>
    <w:rsid w:val="446E1AE3"/>
    <w:rsid w:val="44738D05"/>
    <w:rsid w:val="44778BF7"/>
    <w:rsid w:val="4478FD2F"/>
    <w:rsid w:val="447F82AC"/>
    <w:rsid w:val="4480A441"/>
    <w:rsid w:val="448170E6"/>
    <w:rsid w:val="44831399"/>
    <w:rsid w:val="44832E47"/>
    <w:rsid w:val="448BAC27"/>
    <w:rsid w:val="449EE32A"/>
    <w:rsid w:val="44A148B5"/>
    <w:rsid w:val="44A548BC"/>
    <w:rsid w:val="44ADFBC1"/>
    <w:rsid w:val="44B16276"/>
    <w:rsid w:val="44B1B992"/>
    <w:rsid w:val="44B4CB43"/>
    <w:rsid w:val="44B5B6E7"/>
    <w:rsid w:val="44B6D454"/>
    <w:rsid w:val="44B85E52"/>
    <w:rsid w:val="44BA6F34"/>
    <w:rsid w:val="44BB630E"/>
    <w:rsid w:val="44BCB29C"/>
    <w:rsid w:val="44C22A61"/>
    <w:rsid w:val="44C4E790"/>
    <w:rsid w:val="44C50FAE"/>
    <w:rsid w:val="44C564AF"/>
    <w:rsid w:val="44C6B16C"/>
    <w:rsid w:val="44C74DD5"/>
    <w:rsid w:val="44CB7620"/>
    <w:rsid w:val="44CC9A53"/>
    <w:rsid w:val="44D06DB4"/>
    <w:rsid w:val="44D3B5CC"/>
    <w:rsid w:val="44D59818"/>
    <w:rsid w:val="44D75E3F"/>
    <w:rsid w:val="44DA4588"/>
    <w:rsid w:val="44DA751E"/>
    <w:rsid w:val="44E1DC7B"/>
    <w:rsid w:val="44E49608"/>
    <w:rsid w:val="44E4E833"/>
    <w:rsid w:val="44ECE995"/>
    <w:rsid w:val="44EE1B2D"/>
    <w:rsid w:val="44F1844F"/>
    <w:rsid w:val="44F7CFA1"/>
    <w:rsid w:val="44FA0CA9"/>
    <w:rsid w:val="44FA6341"/>
    <w:rsid w:val="44FA666B"/>
    <w:rsid w:val="44FECD84"/>
    <w:rsid w:val="4500111A"/>
    <w:rsid w:val="45012DFC"/>
    <w:rsid w:val="45046844"/>
    <w:rsid w:val="45104D4D"/>
    <w:rsid w:val="4524DBE6"/>
    <w:rsid w:val="4526D3E0"/>
    <w:rsid w:val="452B1CC6"/>
    <w:rsid w:val="452DAB70"/>
    <w:rsid w:val="45335F9D"/>
    <w:rsid w:val="45364E37"/>
    <w:rsid w:val="453A0623"/>
    <w:rsid w:val="453BF4BA"/>
    <w:rsid w:val="453FDC6E"/>
    <w:rsid w:val="454384F1"/>
    <w:rsid w:val="45483241"/>
    <w:rsid w:val="454BDF6F"/>
    <w:rsid w:val="45537DCC"/>
    <w:rsid w:val="45560909"/>
    <w:rsid w:val="455643CF"/>
    <w:rsid w:val="455DB814"/>
    <w:rsid w:val="4560658C"/>
    <w:rsid w:val="45607EE4"/>
    <w:rsid w:val="45621138"/>
    <w:rsid w:val="45628F5F"/>
    <w:rsid w:val="45632552"/>
    <w:rsid w:val="45691FBD"/>
    <w:rsid w:val="457FCD29"/>
    <w:rsid w:val="4581F47B"/>
    <w:rsid w:val="45821248"/>
    <w:rsid w:val="4585F023"/>
    <w:rsid w:val="458AC969"/>
    <w:rsid w:val="458D06F2"/>
    <w:rsid w:val="458DF394"/>
    <w:rsid w:val="459B0714"/>
    <w:rsid w:val="459D5492"/>
    <w:rsid w:val="45A07404"/>
    <w:rsid w:val="45A1C709"/>
    <w:rsid w:val="45A24427"/>
    <w:rsid w:val="45A319DA"/>
    <w:rsid w:val="45B058E1"/>
    <w:rsid w:val="45B0BC7A"/>
    <w:rsid w:val="45B871F1"/>
    <w:rsid w:val="45BA9CFD"/>
    <w:rsid w:val="45C9BC6A"/>
    <w:rsid w:val="45CB1804"/>
    <w:rsid w:val="45CC7A61"/>
    <w:rsid w:val="45CEE518"/>
    <w:rsid w:val="45CF4BBB"/>
    <w:rsid w:val="45CF68BB"/>
    <w:rsid w:val="45D0F0C3"/>
    <w:rsid w:val="45D4B92D"/>
    <w:rsid w:val="45D6C789"/>
    <w:rsid w:val="45D7ABCA"/>
    <w:rsid w:val="45D95FC2"/>
    <w:rsid w:val="45E0F386"/>
    <w:rsid w:val="45E180A2"/>
    <w:rsid w:val="45E4E655"/>
    <w:rsid w:val="45E909C7"/>
    <w:rsid w:val="45EAE752"/>
    <w:rsid w:val="45F2810A"/>
    <w:rsid w:val="45F32761"/>
    <w:rsid w:val="45F335CC"/>
    <w:rsid w:val="45F3384A"/>
    <w:rsid w:val="45F45C0E"/>
    <w:rsid w:val="45F58ECE"/>
    <w:rsid w:val="45F5A49C"/>
    <w:rsid w:val="45F6752A"/>
    <w:rsid w:val="45FD4E6B"/>
    <w:rsid w:val="4602605D"/>
    <w:rsid w:val="460394AC"/>
    <w:rsid w:val="46051240"/>
    <w:rsid w:val="46080FF9"/>
    <w:rsid w:val="4608D5B2"/>
    <w:rsid w:val="4613B965"/>
    <w:rsid w:val="46165392"/>
    <w:rsid w:val="461B1EEF"/>
    <w:rsid w:val="461FCA01"/>
    <w:rsid w:val="462136B7"/>
    <w:rsid w:val="46220D51"/>
    <w:rsid w:val="46230F03"/>
    <w:rsid w:val="462B8591"/>
    <w:rsid w:val="462BFD6A"/>
    <w:rsid w:val="462F85CF"/>
    <w:rsid w:val="46303400"/>
    <w:rsid w:val="46309E8D"/>
    <w:rsid w:val="463134D4"/>
    <w:rsid w:val="463888D2"/>
    <w:rsid w:val="463A2E9B"/>
    <w:rsid w:val="463BC15F"/>
    <w:rsid w:val="463D3A40"/>
    <w:rsid w:val="463F54C5"/>
    <w:rsid w:val="46482830"/>
    <w:rsid w:val="46482B17"/>
    <w:rsid w:val="46496736"/>
    <w:rsid w:val="464C34EB"/>
    <w:rsid w:val="465129C0"/>
    <w:rsid w:val="46534AFC"/>
    <w:rsid w:val="46550E7C"/>
    <w:rsid w:val="4655DEC0"/>
    <w:rsid w:val="4659B8E1"/>
    <w:rsid w:val="465D04F1"/>
    <w:rsid w:val="465D4BC8"/>
    <w:rsid w:val="465D9325"/>
    <w:rsid w:val="4662A26B"/>
    <w:rsid w:val="466635D5"/>
    <w:rsid w:val="466DC9E5"/>
    <w:rsid w:val="4672064B"/>
    <w:rsid w:val="4675DC3E"/>
    <w:rsid w:val="46792EC5"/>
    <w:rsid w:val="467975FD"/>
    <w:rsid w:val="467D9C38"/>
    <w:rsid w:val="468154C7"/>
    <w:rsid w:val="4684ECB8"/>
    <w:rsid w:val="468AE174"/>
    <w:rsid w:val="468BBEEB"/>
    <w:rsid w:val="4693B201"/>
    <w:rsid w:val="46944B92"/>
    <w:rsid w:val="4696C414"/>
    <w:rsid w:val="469A095E"/>
    <w:rsid w:val="469C9ABE"/>
    <w:rsid w:val="469DED1E"/>
    <w:rsid w:val="46A510F2"/>
    <w:rsid w:val="46A614C8"/>
    <w:rsid w:val="46A6E331"/>
    <w:rsid w:val="46A96498"/>
    <w:rsid w:val="46AA2A7E"/>
    <w:rsid w:val="46ABE8FE"/>
    <w:rsid w:val="46B1554E"/>
    <w:rsid w:val="46B6D9BA"/>
    <w:rsid w:val="46B78DDB"/>
    <w:rsid w:val="46B8796C"/>
    <w:rsid w:val="46B92211"/>
    <w:rsid w:val="46BBCF45"/>
    <w:rsid w:val="46BCE42D"/>
    <w:rsid w:val="46BDBF6D"/>
    <w:rsid w:val="46BDED79"/>
    <w:rsid w:val="46BE7103"/>
    <w:rsid w:val="46BF207B"/>
    <w:rsid w:val="46C0803C"/>
    <w:rsid w:val="46C54B15"/>
    <w:rsid w:val="46C7D940"/>
    <w:rsid w:val="46CF99BD"/>
    <w:rsid w:val="46D1AD22"/>
    <w:rsid w:val="46D417ED"/>
    <w:rsid w:val="46D5F68C"/>
    <w:rsid w:val="46D64889"/>
    <w:rsid w:val="46DF052B"/>
    <w:rsid w:val="46E0034B"/>
    <w:rsid w:val="46E7276C"/>
    <w:rsid w:val="46E957B0"/>
    <w:rsid w:val="46EB1153"/>
    <w:rsid w:val="46ED57C5"/>
    <w:rsid w:val="46EE17AF"/>
    <w:rsid w:val="46F0E9E2"/>
    <w:rsid w:val="46F26DA1"/>
    <w:rsid w:val="46F2AE4C"/>
    <w:rsid w:val="46F83C71"/>
    <w:rsid w:val="46F95647"/>
    <w:rsid w:val="46FEB306"/>
    <w:rsid w:val="4700E86D"/>
    <w:rsid w:val="470409A6"/>
    <w:rsid w:val="4705557F"/>
    <w:rsid w:val="470653DE"/>
    <w:rsid w:val="470667C2"/>
    <w:rsid w:val="4711F6FD"/>
    <w:rsid w:val="4714B978"/>
    <w:rsid w:val="4717F5C0"/>
    <w:rsid w:val="471B47C7"/>
    <w:rsid w:val="471CC73F"/>
    <w:rsid w:val="471CE238"/>
    <w:rsid w:val="471F0997"/>
    <w:rsid w:val="471F4575"/>
    <w:rsid w:val="472000FA"/>
    <w:rsid w:val="4726AD48"/>
    <w:rsid w:val="472ED421"/>
    <w:rsid w:val="4735FB46"/>
    <w:rsid w:val="4737F442"/>
    <w:rsid w:val="4741EC36"/>
    <w:rsid w:val="47426408"/>
    <w:rsid w:val="4745ED0C"/>
    <w:rsid w:val="47474E47"/>
    <w:rsid w:val="47482854"/>
    <w:rsid w:val="47486DA7"/>
    <w:rsid w:val="47494B79"/>
    <w:rsid w:val="474C26D9"/>
    <w:rsid w:val="474CA1DA"/>
    <w:rsid w:val="474D23EB"/>
    <w:rsid w:val="4750EC07"/>
    <w:rsid w:val="47545A54"/>
    <w:rsid w:val="4754FD08"/>
    <w:rsid w:val="47588A78"/>
    <w:rsid w:val="475A38D1"/>
    <w:rsid w:val="475B967A"/>
    <w:rsid w:val="475E8A3F"/>
    <w:rsid w:val="475F20E7"/>
    <w:rsid w:val="475FE3BC"/>
    <w:rsid w:val="47600736"/>
    <w:rsid w:val="47657662"/>
    <w:rsid w:val="476BBC94"/>
    <w:rsid w:val="476C4885"/>
    <w:rsid w:val="476D2757"/>
    <w:rsid w:val="477478B5"/>
    <w:rsid w:val="4777D2C1"/>
    <w:rsid w:val="47794FCB"/>
    <w:rsid w:val="477C246E"/>
    <w:rsid w:val="477CAE14"/>
    <w:rsid w:val="477CDA8F"/>
    <w:rsid w:val="477D9FC0"/>
    <w:rsid w:val="4781ADDC"/>
    <w:rsid w:val="4783C193"/>
    <w:rsid w:val="478847CD"/>
    <w:rsid w:val="478B2F3A"/>
    <w:rsid w:val="478E42C9"/>
    <w:rsid w:val="4791A55A"/>
    <w:rsid w:val="479646B4"/>
    <w:rsid w:val="479754FA"/>
    <w:rsid w:val="47996EE0"/>
    <w:rsid w:val="47998103"/>
    <w:rsid w:val="479DC680"/>
    <w:rsid w:val="479E1B7D"/>
    <w:rsid w:val="47A1BC8D"/>
    <w:rsid w:val="47A27A97"/>
    <w:rsid w:val="47A30077"/>
    <w:rsid w:val="47A4D6FB"/>
    <w:rsid w:val="47A56307"/>
    <w:rsid w:val="47AE8DD3"/>
    <w:rsid w:val="47B1503B"/>
    <w:rsid w:val="47B48AEF"/>
    <w:rsid w:val="47B81196"/>
    <w:rsid w:val="47BABA3E"/>
    <w:rsid w:val="47BE494F"/>
    <w:rsid w:val="47C5EE9F"/>
    <w:rsid w:val="47C8F770"/>
    <w:rsid w:val="47D01C0C"/>
    <w:rsid w:val="47D21109"/>
    <w:rsid w:val="47D35EAC"/>
    <w:rsid w:val="47DDBC31"/>
    <w:rsid w:val="47E50F20"/>
    <w:rsid w:val="47E73A42"/>
    <w:rsid w:val="47EF871A"/>
    <w:rsid w:val="47F3ACA4"/>
    <w:rsid w:val="47F3C9E1"/>
    <w:rsid w:val="47F40642"/>
    <w:rsid w:val="47F52799"/>
    <w:rsid w:val="4805DB6E"/>
    <w:rsid w:val="48074717"/>
    <w:rsid w:val="481BC4A2"/>
    <w:rsid w:val="481EE3AC"/>
    <w:rsid w:val="482002AD"/>
    <w:rsid w:val="48229B51"/>
    <w:rsid w:val="4824F2DA"/>
    <w:rsid w:val="48296A55"/>
    <w:rsid w:val="482C46A6"/>
    <w:rsid w:val="482DAEA2"/>
    <w:rsid w:val="482DE532"/>
    <w:rsid w:val="482F42E9"/>
    <w:rsid w:val="4837996E"/>
    <w:rsid w:val="483FC6A8"/>
    <w:rsid w:val="483FE2C9"/>
    <w:rsid w:val="484174F2"/>
    <w:rsid w:val="484187CD"/>
    <w:rsid w:val="484287CC"/>
    <w:rsid w:val="484650BC"/>
    <w:rsid w:val="48466123"/>
    <w:rsid w:val="484D4968"/>
    <w:rsid w:val="484E6397"/>
    <w:rsid w:val="4858F702"/>
    <w:rsid w:val="486261A1"/>
    <w:rsid w:val="4862A05B"/>
    <w:rsid w:val="48671CD7"/>
    <w:rsid w:val="487065DB"/>
    <w:rsid w:val="4870D166"/>
    <w:rsid w:val="48747B96"/>
    <w:rsid w:val="48761430"/>
    <w:rsid w:val="4877B3D6"/>
    <w:rsid w:val="487D07B9"/>
    <w:rsid w:val="487D1D67"/>
    <w:rsid w:val="487F39D7"/>
    <w:rsid w:val="4881B3F0"/>
    <w:rsid w:val="4883B842"/>
    <w:rsid w:val="4885B9C0"/>
    <w:rsid w:val="48866712"/>
    <w:rsid w:val="488734F8"/>
    <w:rsid w:val="4889FD41"/>
    <w:rsid w:val="488A54A3"/>
    <w:rsid w:val="488BA4FF"/>
    <w:rsid w:val="488F5D6D"/>
    <w:rsid w:val="4890D8B6"/>
    <w:rsid w:val="48912AA8"/>
    <w:rsid w:val="48940FF0"/>
    <w:rsid w:val="489E7FA8"/>
    <w:rsid w:val="48A380E9"/>
    <w:rsid w:val="48A5EE39"/>
    <w:rsid w:val="48A6F2A5"/>
    <w:rsid w:val="48A92E47"/>
    <w:rsid w:val="48ABE5D5"/>
    <w:rsid w:val="48AEC169"/>
    <w:rsid w:val="48AF71CB"/>
    <w:rsid w:val="48B08B8E"/>
    <w:rsid w:val="48B0E202"/>
    <w:rsid w:val="48B48E9F"/>
    <w:rsid w:val="48B8DDDB"/>
    <w:rsid w:val="48C41E0C"/>
    <w:rsid w:val="48C6D638"/>
    <w:rsid w:val="48CA4E30"/>
    <w:rsid w:val="48CF6ECB"/>
    <w:rsid w:val="48CFEADE"/>
    <w:rsid w:val="48D145DF"/>
    <w:rsid w:val="48DAB054"/>
    <w:rsid w:val="48DC6280"/>
    <w:rsid w:val="48E191A6"/>
    <w:rsid w:val="48EEC401"/>
    <w:rsid w:val="48F17AB8"/>
    <w:rsid w:val="48F91016"/>
    <w:rsid w:val="49023402"/>
    <w:rsid w:val="49073E0C"/>
    <w:rsid w:val="4907712B"/>
    <w:rsid w:val="49077344"/>
    <w:rsid w:val="490A6450"/>
    <w:rsid w:val="49118463"/>
    <w:rsid w:val="491279C5"/>
    <w:rsid w:val="49138B4A"/>
    <w:rsid w:val="4916C7B6"/>
    <w:rsid w:val="4918B3A3"/>
    <w:rsid w:val="491982A3"/>
    <w:rsid w:val="491F1AA4"/>
    <w:rsid w:val="4923B998"/>
    <w:rsid w:val="49284183"/>
    <w:rsid w:val="4929C1EA"/>
    <w:rsid w:val="492AF96B"/>
    <w:rsid w:val="492BED02"/>
    <w:rsid w:val="492C9DE2"/>
    <w:rsid w:val="492CB5B9"/>
    <w:rsid w:val="4937AB7F"/>
    <w:rsid w:val="493A4B73"/>
    <w:rsid w:val="4943428F"/>
    <w:rsid w:val="49463F76"/>
    <w:rsid w:val="4946D83C"/>
    <w:rsid w:val="494AB82E"/>
    <w:rsid w:val="494EBC16"/>
    <w:rsid w:val="494F31E2"/>
    <w:rsid w:val="49513FE5"/>
    <w:rsid w:val="495147BC"/>
    <w:rsid w:val="4953D49C"/>
    <w:rsid w:val="4966CD92"/>
    <w:rsid w:val="496769FD"/>
    <w:rsid w:val="496C31B8"/>
    <w:rsid w:val="49706E82"/>
    <w:rsid w:val="497718DA"/>
    <w:rsid w:val="4978CE3F"/>
    <w:rsid w:val="497ECBAA"/>
    <w:rsid w:val="4984F059"/>
    <w:rsid w:val="49890E67"/>
    <w:rsid w:val="498AA462"/>
    <w:rsid w:val="498FEC53"/>
    <w:rsid w:val="4990EC6F"/>
    <w:rsid w:val="4990EF34"/>
    <w:rsid w:val="4994B733"/>
    <w:rsid w:val="499681D7"/>
    <w:rsid w:val="499B61D4"/>
    <w:rsid w:val="499BFBA8"/>
    <w:rsid w:val="499DC21C"/>
    <w:rsid w:val="49A2897B"/>
    <w:rsid w:val="49A390D1"/>
    <w:rsid w:val="49A85CD2"/>
    <w:rsid w:val="49AAF8AF"/>
    <w:rsid w:val="49AE9668"/>
    <w:rsid w:val="49AF1811"/>
    <w:rsid w:val="49B2F25F"/>
    <w:rsid w:val="49B68392"/>
    <w:rsid w:val="49BA7F11"/>
    <w:rsid w:val="49C0CFCE"/>
    <w:rsid w:val="49C13CB0"/>
    <w:rsid w:val="49C1FC21"/>
    <w:rsid w:val="49C3440B"/>
    <w:rsid w:val="49CE1D57"/>
    <w:rsid w:val="49D08E84"/>
    <w:rsid w:val="49D51C7A"/>
    <w:rsid w:val="49D6539D"/>
    <w:rsid w:val="49D7C81E"/>
    <w:rsid w:val="49DE8CFB"/>
    <w:rsid w:val="49DED8A8"/>
    <w:rsid w:val="49E09234"/>
    <w:rsid w:val="49E4B572"/>
    <w:rsid w:val="49E67888"/>
    <w:rsid w:val="49E8C204"/>
    <w:rsid w:val="49EA1C1C"/>
    <w:rsid w:val="49EAB9AD"/>
    <w:rsid w:val="49EAC1F7"/>
    <w:rsid w:val="49F6F0E4"/>
    <w:rsid w:val="4A0516AE"/>
    <w:rsid w:val="4A07ACD2"/>
    <w:rsid w:val="4A143839"/>
    <w:rsid w:val="4A170A46"/>
    <w:rsid w:val="4A188D42"/>
    <w:rsid w:val="4A18A009"/>
    <w:rsid w:val="4A19EE14"/>
    <w:rsid w:val="4A1A44C4"/>
    <w:rsid w:val="4A1D620B"/>
    <w:rsid w:val="4A24FE9B"/>
    <w:rsid w:val="4A27701B"/>
    <w:rsid w:val="4A2F7DF7"/>
    <w:rsid w:val="4A2FEE84"/>
    <w:rsid w:val="4A356262"/>
    <w:rsid w:val="4A3B642B"/>
    <w:rsid w:val="4A43C07C"/>
    <w:rsid w:val="4A464C52"/>
    <w:rsid w:val="4A4E51D8"/>
    <w:rsid w:val="4A585083"/>
    <w:rsid w:val="4A58A1C0"/>
    <w:rsid w:val="4A58E14E"/>
    <w:rsid w:val="4A5A1070"/>
    <w:rsid w:val="4A5C10EC"/>
    <w:rsid w:val="4A6658FF"/>
    <w:rsid w:val="4A6B9778"/>
    <w:rsid w:val="4A6E8FBD"/>
    <w:rsid w:val="4A6EE0CE"/>
    <w:rsid w:val="4A7297EF"/>
    <w:rsid w:val="4A72E957"/>
    <w:rsid w:val="4A76DFAA"/>
    <w:rsid w:val="4A7D4C25"/>
    <w:rsid w:val="4A8084F8"/>
    <w:rsid w:val="4A816370"/>
    <w:rsid w:val="4A840880"/>
    <w:rsid w:val="4A88AC71"/>
    <w:rsid w:val="4A89525E"/>
    <w:rsid w:val="4A8D9F82"/>
    <w:rsid w:val="4A90D1DD"/>
    <w:rsid w:val="4A91B337"/>
    <w:rsid w:val="4A96D254"/>
    <w:rsid w:val="4A96FA90"/>
    <w:rsid w:val="4A97D749"/>
    <w:rsid w:val="4AA02285"/>
    <w:rsid w:val="4AAA2173"/>
    <w:rsid w:val="4AAD342E"/>
    <w:rsid w:val="4AB91443"/>
    <w:rsid w:val="4ABB41BB"/>
    <w:rsid w:val="4ABBEADC"/>
    <w:rsid w:val="4ABC25FD"/>
    <w:rsid w:val="4ABDE97F"/>
    <w:rsid w:val="4ABE3578"/>
    <w:rsid w:val="4ABF48C0"/>
    <w:rsid w:val="4AC3846A"/>
    <w:rsid w:val="4AC7E616"/>
    <w:rsid w:val="4ACA4C3E"/>
    <w:rsid w:val="4ADD9F50"/>
    <w:rsid w:val="4AE5A5AD"/>
    <w:rsid w:val="4AE7DF83"/>
    <w:rsid w:val="4AF30BF2"/>
    <w:rsid w:val="4AF4C1A4"/>
    <w:rsid w:val="4B003DB6"/>
    <w:rsid w:val="4B04EC60"/>
    <w:rsid w:val="4B097520"/>
    <w:rsid w:val="4B09ACE1"/>
    <w:rsid w:val="4B0BE920"/>
    <w:rsid w:val="4B0EE92B"/>
    <w:rsid w:val="4B129B2F"/>
    <w:rsid w:val="4B155792"/>
    <w:rsid w:val="4B1C881B"/>
    <w:rsid w:val="4B1DD213"/>
    <w:rsid w:val="4B1F9CAA"/>
    <w:rsid w:val="4B1FA57C"/>
    <w:rsid w:val="4B233C28"/>
    <w:rsid w:val="4B25D244"/>
    <w:rsid w:val="4B25E2E8"/>
    <w:rsid w:val="4B340A0B"/>
    <w:rsid w:val="4B340EA1"/>
    <w:rsid w:val="4B391798"/>
    <w:rsid w:val="4B39D41E"/>
    <w:rsid w:val="4B3B5A2D"/>
    <w:rsid w:val="4B3C48F4"/>
    <w:rsid w:val="4B3F4478"/>
    <w:rsid w:val="4B437494"/>
    <w:rsid w:val="4B4B9B9A"/>
    <w:rsid w:val="4B4DD1B0"/>
    <w:rsid w:val="4B4E96C6"/>
    <w:rsid w:val="4B552CF7"/>
    <w:rsid w:val="4B57CA4C"/>
    <w:rsid w:val="4B590D77"/>
    <w:rsid w:val="4B5C2F1B"/>
    <w:rsid w:val="4B5EE3E5"/>
    <w:rsid w:val="4B6457E6"/>
    <w:rsid w:val="4B67E76A"/>
    <w:rsid w:val="4B6C6FD8"/>
    <w:rsid w:val="4B6DF6D6"/>
    <w:rsid w:val="4B73F035"/>
    <w:rsid w:val="4B74F665"/>
    <w:rsid w:val="4B7745A5"/>
    <w:rsid w:val="4B7C3D4C"/>
    <w:rsid w:val="4B7C3E42"/>
    <w:rsid w:val="4B7CF2F4"/>
    <w:rsid w:val="4B7D093D"/>
    <w:rsid w:val="4B825259"/>
    <w:rsid w:val="4B83967F"/>
    <w:rsid w:val="4B8483C0"/>
    <w:rsid w:val="4B929AF7"/>
    <w:rsid w:val="4B980385"/>
    <w:rsid w:val="4B99FDDB"/>
    <w:rsid w:val="4B9A793A"/>
    <w:rsid w:val="4B9D7951"/>
    <w:rsid w:val="4BA120ED"/>
    <w:rsid w:val="4BA371F3"/>
    <w:rsid w:val="4BA3C844"/>
    <w:rsid w:val="4BA50EF5"/>
    <w:rsid w:val="4BA752CD"/>
    <w:rsid w:val="4BA897CB"/>
    <w:rsid w:val="4BACA37E"/>
    <w:rsid w:val="4BACD9EF"/>
    <w:rsid w:val="4BB18A5C"/>
    <w:rsid w:val="4BB423A8"/>
    <w:rsid w:val="4BB46166"/>
    <w:rsid w:val="4BB95060"/>
    <w:rsid w:val="4BBA8974"/>
    <w:rsid w:val="4BBF0BE2"/>
    <w:rsid w:val="4BC06B7E"/>
    <w:rsid w:val="4BC329E5"/>
    <w:rsid w:val="4BCA2B10"/>
    <w:rsid w:val="4BD249B8"/>
    <w:rsid w:val="4BD25C4C"/>
    <w:rsid w:val="4BD45D04"/>
    <w:rsid w:val="4BD84F4E"/>
    <w:rsid w:val="4BDA2F52"/>
    <w:rsid w:val="4BDB672D"/>
    <w:rsid w:val="4BDC5F6E"/>
    <w:rsid w:val="4BE41C4B"/>
    <w:rsid w:val="4BE5D430"/>
    <w:rsid w:val="4BE69A68"/>
    <w:rsid w:val="4BE9121D"/>
    <w:rsid w:val="4BE96AB2"/>
    <w:rsid w:val="4BEF37EB"/>
    <w:rsid w:val="4BF1B797"/>
    <w:rsid w:val="4BF29144"/>
    <w:rsid w:val="4C00DD6B"/>
    <w:rsid w:val="4C06C094"/>
    <w:rsid w:val="4C073862"/>
    <w:rsid w:val="4C07A147"/>
    <w:rsid w:val="4C0B3736"/>
    <w:rsid w:val="4C0B4489"/>
    <w:rsid w:val="4C11DC77"/>
    <w:rsid w:val="4C16F79C"/>
    <w:rsid w:val="4C17E0F8"/>
    <w:rsid w:val="4C18BDD5"/>
    <w:rsid w:val="4C1A4176"/>
    <w:rsid w:val="4C1D1C6B"/>
    <w:rsid w:val="4C2268F8"/>
    <w:rsid w:val="4C26A4FC"/>
    <w:rsid w:val="4C2B310E"/>
    <w:rsid w:val="4C2C9AA5"/>
    <w:rsid w:val="4C2DC9BE"/>
    <w:rsid w:val="4C35F126"/>
    <w:rsid w:val="4C3D1ACE"/>
    <w:rsid w:val="4C3D9596"/>
    <w:rsid w:val="4C3EDEF6"/>
    <w:rsid w:val="4C421BC8"/>
    <w:rsid w:val="4C43AB6F"/>
    <w:rsid w:val="4C489B34"/>
    <w:rsid w:val="4C4E676A"/>
    <w:rsid w:val="4C500477"/>
    <w:rsid w:val="4C5808FD"/>
    <w:rsid w:val="4C591FA0"/>
    <w:rsid w:val="4C5A6BC8"/>
    <w:rsid w:val="4C5A98D5"/>
    <w:rsid w:val="4C5B92BF"/>
    <w:rsid w:val="4C64D8EE"/>
    <w:rsid w:val="4C674FF2"/>
    <w:rsid w:val="4C722F9B"/>
    <w:rsid w:val="4C726DA8"/>
    <w:rsid w:val="4C778BB9"/>
    <w:rsid w:val="4C826CBD"/>
    <w:rsid w:val="4C899234"/>
    <w:rsid w:val="4C8B2707"/>
    <w:rsid w:val="4C8C0D7A"/>
    <w:rsid w:val="4C8F3D93"/>
    <w:rsid w:val="4C95183E"/>
    <w:rsid w:val="4C9855D8"/>
    <w:rsid w:val="4CA0AC01"/>
    <w:rsid w:val="4CA95EA7"/>
    <w:rsid w:val="4CAB61F4"/>
    <w:rsid w:val="4CAC3D50"/>
    <w:rsid w:val="4CAFF2F3"/>
    <w:rsid w:val="4CB546AB"/>
    <w:rsid w:val="4CB7840B"/>
    <w:rsid w:val="4CBD12D2"/>
    <w:rsid w:val="4CC1E8B6"/>
    <w:rsid w:val="4CC5BC5E"/>
    <w:rsid w:val="4CCBE74B"/>
    <w:rsid w:val="4CD0706C"/>
    <w:rsid w:val="4CD1F2E1"/>
    <w:rsid w:val="4CD2916A"/>
    <w:rsid w:val="4CD7DC12"/>
    <w:rsid w:val="4CD8163C"/>
    <w:rsid w:val="4CDA668A"/>
    <w:rsid w:val="4CDD7CC3"/>
    <w:rsid w:val="4CDEBD07"/>
    <w:rsid w:val="4CE0A2C0"/>
    <w:rsid w:val="4CE2C67C"/>
    <w:rsid w:val="4CE335AE"/>
    <w:rsid w:val="4CF473CB"/>
    <w:rsid w:val="4CFBF3F3"/>
    <w:rsid w:val="4CFC83B3"/>
    <w:rsid w:val="4D0089ED"/>
    <w:rsid w:val="4D017B7E"/>
    <w:rsid w:val="4D05245B"/>
    <w:rsid w:val="4D0C18BE"/>
    <w:rsid w:val="4D0C8541"/>
    <w:rsid w:val="4D181FD1"/>
    <w:rsid w:val="4D196DD4"/>
    <w:rsid w:val="4D240624"/>
    <w:rsid w:val="4D2A1D23"/>
    <w:rsid w:val="4D2CC368"/>
    <w:rsid w:val="4D36D80D"/>
    <w:rsid w:val="4D37F5EB"/>
    <w:rsid w:val="4D3B1F58"/>
    <w:rsid w:val="4D46E817"/>
    <w:rsid w:val="4D48B620"/>
    <w:rsid w:val="4D4DB8BF"/>
    <w:rsid w:val="4D547AA5"/>
    <w:rsid w:val="4D56D439"/>
    <w:rsid w:val="4D59ABF6"/>
    <w:rsid w:val="4D5D39B3"/>
    <w:rsid w:val="4D644270"/>
    <w:rsid w:val="4D6C29CB"/>
    <w:rsid w:val="4D6C71C5"/>
    <w:rsid w:val="4D7137C6"/>
    <w:rsid w:val="4D72186C"/>
    <w:rsid w:val="4D727BBE"/>
    <w:rsid w:val="4D75BB75"/>
    <w:rsid w:val="4D7C5ECB"/>
    <w:rsid w:val="4D7F976F"/>
    <w:rsid w:val="4D8203D6"/>
    <w:rsid w:val="4D85983E"/>
    <w:rsid w:val="4D92CE55"/>
    <w:rsid w:val="4D94416D"/>
    <w:rsid w:val="4D94BA7C"/>
    <w:rsid w:val="4D993BF5"/>
    <w:rsid w:val="4D9B0F8C"/>
    <w:rsid w:val="4D9F9F0E"/>
    <w:rsid w:val="4DA71838"/>
    <w:rsid w:val="4DAA40FE"/>
    <w:rsid w:val="4DAFE4FE"/>
    <w:rsid w:val="4DB0B01D"/>
    <w:rsid w:val="4DB28D67"/>
    <w:rsid w:val="4DB3170C"/>
    <w:rsid w:val="4DC3DFEB"/>
    <w:rsid w:val="4DC45B20"/>
    <w:rsid w:val="4DC72E41"/>
    <w:rsid w:val="4DC810C7"/>
    <w:rsid w:val="4DCCF53B"/>
    <w:rsid w:val="4DCE9FEC"/>
    <w:rsid w:val="4DD00DE3"/>
    <w:rsid w:val="4DD10D98"/>
    <w:rsid w:val="4DD380EB"/>
    <w:rsid w:val="4DE3A23A"/>
    <w:rsid w:val="4DE3C681"/>
    <w:rsid w:val="4DE4FBB3"/>
    <w:rsid w:val="4DFACEA4"/>
    <w:rsid w:val="4DFC5EC1"/>
    <w:rsid w:val="4DFD8731"/>
    <w:rsid w:val="4E062E30"/>
    <w:rsid w:val="4E06F5E9"/>
    <w:rsid w:val="4E0AD817"/>
    <w:rsid w:val="4E0C6116"/>
    <w:rsid w:val="4E0E8EF4"/>
    <w:rsid w:val="4E0F5E98"/>
    <w:rsid w:val="4E10F81F"/>
    <w:rsid w:val="4E17C776"/>
    <w:rsid w:val="4E1814F9"/>
    <w:rsid w:val="4E19CA8E"/>
    <w:rsid w:val="4E1AC51C"/>
    <w:rsid w:val="4E1C258B"/>
    <w:rsid w:val="4E1E4EA9"/>
    <w:rsid w:val="4E200389"/>
    <w:rsid w:val="4E269756"/>
    <w:rsid w:val="4E276E5E"/>
    <w:rsid w:val="4E2AD491"/>
    <w:rsid w:val="4E2F2529"/>
    <w:rsid w:val="4E2F47B6"/>
    <w:rsid w:val="4E31E4B0"/>
    <w:rsid w:val="4E362268"/>
    <w:rsid w:val="4E38357A"/>
    <w:rsid w:val="4E38D105"/>
    <w:rsid w:val="4E390E88"/>
    <w:rsid w:val="4E3B80F4"/>
    <w:rsid w:val="4E444B92"/>
    <w:rsid w:val="4E44E076"/>
    <w:rsid w:val="4E48A5EC"/>
    <w:rsid w:val="4E55B5B2"/>
    <w:rsid w:val="4E614D17"/>
    <w:rsid w:val="4E61FE1C"/>
    <w:rsid w:val="4E63C43B"/>
    <w:rsid w:val="4E642957"/>
    <w:rsid w:val="4E67A80C"/>
    <w:rsid w:val="4E695EF9"/>
    <w:rsid w:val="4E6E9AE0"/>
    <w:rsid w:val="4E6FDAA1"/>
    <w:rsid w:val="4E70B252"/>
    <w:rsid w:val="4E77DE94"/>
    <w:rsid w:val="4E7D5A5D"/>
    <w:rsid w:val="4E7DABE7"/>
    <w:rsid w:val="4E7DFCD7"/>
    <w:rsid w:val="4E7E1BB7"/>
    <w:rsid w:val="4E831285"/>
    <w:rsid w:val="4E85A886"/>
    <w:rsid w:val="4E897765"/>
    <w:rsid w:val="4E8AE947"/>
    <w:rsid w:val="4E934C55"/>
    <w:rsid w:val="4E93758F"/>
    <w:rsid w:val="4E99A3A9"/>
    <w:rsid w:val="4EA1C98C"/>
    <w:rsid w:val="4EA313A0"/>
    <w:rsid w:val="4EA3AC5B"/>
    <w:rsid w:val="4EAC65D5"/>
    <w:rsid w:val="4EAE126C"/>
    <w:rsid w:val="4EB195A9"/>
    <w:rsid w:val="4EBA9961"/>
    <w:rsid w:val="4EBFFCEA"/>
    <w:rsid w:val="4EC07DA7"/>
    <w:rsid w:val="4EC78834"/>
    <w:rsid w:val="4EC9B081"/>
    <w:rsid w:val="4ECDB333"/>
    <w:rsid w:val="4ECE672D"/>
    <w:rsid w:val="4ED1B6DF"/>
    <w:rsid w:val="4ED1FF90"/>
    <w:rsid w:val="4ED87396"/>
    <w:rsid w:val="4ED8ED2A"/>
    <w:rsid w:val="4EE17F7A"/>
    <w:rsid w:val="4EE3B74E"/>
    <w:rsid w:val="4EE50482"/>
    <w:rsid w:val="4EEAD102"/>
    <w:rsid w:val="4EF4A36C"/>
    <w:rsid w:val="4EF9DF47"/>
    <w:rsid w:val="4F013375"/>
    <w:rsid w:val="4F045EC5"/>
    <w:rsid w:val="4F082406"/>
    <w:rsid w:val="4F1282FB"/>
    <w:rsid w:val="4F146B80"/>
    <w:rsid w:val="4F18889F"/>
    <w:rsid w:val="4F1AEC05"/>
    <w:rsid w:val="4F2171F9"/>
    <w:rsid w:val="4F24A4AD"/>
    <w:rsid w:val="4F269803"/>
    <w:rsid w:val="4F27FC07"/>
    <w:rsid w:val="4F3913C8"/>
    <w:rsid w:val="4F3FB29D"/>
    <w:rsid w:val="4F427112"/>
    <w:rsid w:val="4F45E712"/>
    <w:rsid w:val="4F4844C1"/>
    <w:rsid w:val="4F49B38D"/>
    <w:rsid w:val="4F4C41F4"/>
    <w:rsid w:val="4F4F1748"/>
    <w:rsid w:val="4F4F7B78"/>
    <w:rsid w:val="4F549AFA"/>
    <w:rsid w:val="4F54D995"/>
    <w:rsid w:val="4F56CC24"/>
    <w:rsid w:val="4F5CDD78"/>
    <w:rsid w:val="4F61F1FB"/>
    <w:rsid w:val="4F667067"/>
    <w:rsid w:val="4F6A4CA8"/>
    <w:rsid w:val="4F72E96C"/>
    <w:rsid w:val="4F7C98BF"/>
    <w:rsid w:val="4F7E38FF"/>
    <w:rsid w:val="4F7FA2E2"/>
    <w:rsid w:val="4F81EF4B"/>
    <w:rsid w:val="4F81FBC3"/>
    <w:rsid w:val="4F83B659"/>
    <w:rsid w:val="4F840DC5"/>
    <w:rsid w:val="4F8CDEB4"/>
    <w:rsid w:val="4F8CF865"/>
    <w:rsid w:val="4F8D8644"/>
    <w:rsid w:val="4F8F8FEB"/>
    <w:rsid w:val="4F9603B2"/>
    <w:rsid w:val="4F971F4C"/>
    <w:rsid w:val="4F987D4B"/>
    <w:rsid w:val="4F993050"/>
    <w:rsid w:val="4F993B68"/>
    <w:rsid w:val="4F99BF57"/>
    <w:rsid w:val="4F9BAF7D"/>
    <w:rsid w:val="4F9C4991"/>
    <w:rsid w:val="4FA06CB9"/>
    <w:rsid w:val="4FA5BBF4"/>
    <w:rsid w:val="4FA93AF1"/>
    <w:rsid w:val="4FA9C1EF"/>
    <w:rsid w:val="4FAC80E9"/>
    <w:rsid w:val="4FAF579D"/>
    <w:rsid w:val="4FB364D3"/>
    <w:rsid w:val="4FB7D29F"/>
    <w:rsid w:val="4FBEECB8"/>
    <w:rsid w:val="4FC208BA"/>
    <w:rsid w:val="4FC5B636"/>
    <w:rsid w:val="4FC61FA2"/>
    <w:rsid w:val="4FC7C9E6"/>
    <w:rsid w:val="4FC9E572"/>
    <w:rsid w:val="4FCB6D61"/>
    <w:rsid w:val="4FD23977"/>
    <w:rsid w:val="4FD569D9"/>
    <w:rsid w:val="4FDC6038"/>
    <w:rsid w:val="4FDD66B9"/>
    <w:rsid w:val="4FDF19C9"/>
    <w:rsid w:val="4FEC4807"/>
    <w:rsid w:val="4FFEC63E"/>
    <w:rsid w:val="50013B6F"/>
    <w:rsid w:val="5009FA39"/>
    <w:rsid w:val="500E4062"/>
    <w:rsid w:val="50152D50"/>
    <w:rsid w:val="5018E973"/>
    <w:rsid w:val="501BECF9"/>
    <w:rsid w:val="501F4159"/>
    <w:rsid w:val="50204D92"/>
    <w:rsid w:val="5020A25C"/>
    <w:rsid w:val="502502BD"/>
    <w:rsid w:val="50269CFD"/>
    <w:rsid w:val="5026BAB8"/>
    <w:rsid w:val="502C1FB1"/>
    <w:rsid w:val="502C3C43"/>
    <w:rsid w:val="502EFCAE"/>
    <w:rsid w:val="5043CBAB"/>
    <w:rsid w:val="504868E4"/>
    <w:rsid w:val="5049D536"/>
    <w:rsid w:val="504C870D"/>
    <w:rsid w:val="504FBC28"/>
    <w:rsid w:val="50515E7D"/>
    <w:rsid w:val="50537DFC"/>
    <w:rsid w:val="50592F4E"/>
    <w:rsid w:val="505CE726"/>
    <w:rsid w:val="5060C5FB"/>
    <w:rsid w:val="506688AD"/>
    <w:rsid w:val="50681F02"/>
    <w:rsid w:val="50706A83"/>
    <w:rsid w:val="5074EA4B"/>
    <w:rsid w:val="50756AC9"/>
    <w:rsid w:val="5078663C"/>
    <w:rsid w:val="507A3768"/>
    <w:rsid w:val="507D1194"/>
    <w:rsid w:val="507D45F5"/>
    <w:rsid w:val="5082B081"/>
    <w:rsid w:val="5083DBF2"/>
    <w:rsid w:val="5086884D"/>
    <w:rsid w:val="5086A490"/>
    <w:rsid w:val="5088D5D1"/>
    <w:rsid w:val="50895D27"/>
    <w:rsid w:val="508A2DDD"/>
    <w:rsid w:val="508A43AD"/>
    <w:rsid w:val="508ACA4A"/>
    <w:rsid w:val="508ACE37"/>
    <w:rsid w:val="508D37C4"/>
    <w:rsid w:val="508F64EC"/>
    <w:rsid w:val="508FA606"/>
    <w:rsid w:val="50907737"/>
    <w:rsid w:val="5091429F"/>
    <w:rsid w:val="509195C0"/>
    <w:rsid w:val="50924EE1"/>
    <w:rsid w:val="509857D1"/>
    <w:rsid w:val="509A95DB"/>
    <w:rsid w:val="50A0AB79"/>
    <w:rsid w:val="50A39A5B"/>
    <w:rsid w:val="50A41D55"/>
    <w:rsid w:val="50A742CB"/>
    <w:rsid w:val="50AAEF7D"/>
    <w:rsid w:val="50AB82DB"/>
    <w:rsid w:val="50B0928E"/>
    <w:rsid w:val="50B92F94"/>
    <w:rsid w:val="50BED062"/>
    <w:rsid w:val="50C17DC6"/>
    <w:rsid w:val="50C3DAA6"/>
    <w:rsid w:val="50C6A74C"/>
    <w:rsid w:val="50C93359"/>
    <w:rsid w:val="50CA47E3"/>
    <w:rsid w:val="50CD35C9"/>
    <w:rsid w:val="50CF130B"/>
    <w:rsid w:val="50D1A608"/>
    <w:rsid w:val="50D5B408"/>
    <w:rsid w:val="50D7CFBF"/>
    <w:rsid w:val="50D9BC00"/>
    <w:rsid w:val="50E33772"/>
    <w:rsid w:val="50E50239"/>
    <w:rsid w:val="50E65BF9"/>
    <w:rsid w:val="50E94CFB"/>
    <w:rsid w:val="50EA00CF"/>
    <w:rsid w:val="50EA45D5"/>
    <w:rsid w:val="50EB1CBC"/>
    <w:rsid w:val="50ED9E69"/>
    <w:rsid w:val="50EF557C"/>
    <w:rsid w:val="50F1CF61"/>
    <w:rsid w:val="50FEAF0A"/>
    <w:rsid w:val="50FEDE5E"/>
    <w:rsid w:val="510382EC"/>
    <w:rsid w:val="510AE178"/>
    <w:rsid w:val="510B23D0"/>
    <w:rsid w:val="510DF2AC"/>
    <w:rsid w:val="510EB0DA"/>
    <w:rsid w:val="51150B01"/>
    <w:rsid w:val="51159BC0"/>
    <w:rsid w:val="5117A824"/>
    <w:rsid w:val="51195815"/>
    <w:rsid w:val="51224238"/>
    <w:rsid w:val="5125B3C7"/>
    <w:rsid w:val="5125EFB4"/>
    <w:rsid w:val="51325FBA"/>
    <w:rsid w:val="5136AE05"/>
    <w:rsid w:val="5137FC90"/>
    <w:rsid w:val="513C6F7B"/>
    <w:rsid w:val="51480E43"/>
    <w:rsid w:val="515124E2"/>
    <w:rsid w:val="515B1758"/>
    <w:rsid w:val="515BB3A3"/>
    <w:rsid w:val="515DD740"/>
    <w:rsid w:val="5160B309"/>
    <w:rsid w:val="5160BEF6"/>
    <w:rsid w:val="51610276"/>
    <w:rsid w:val="51614DEE"/>
    <w:rsid w:val="516257E7"/>
    <w:rsid w:val="5163C779"/>
    <w:rsid w:val="5164411C"/>
    <w:rsid w:val="5165A3A0"/>
    <w:rsid w:val="5166F0C4"/>
    <w:rsid w:val="51698DC0"/>
    <w:rsid w:val="5169B947"/>
    <w:rsid w:val="516B967A"/>
    <w:rsid w:val="517144B1"/>
    <w:rsid w:val="5178420B"/>
    <w:rsid w:val="517AFC3E"/>
    <w:rsid w:val="517D43B0"/>
    <w:rsid w:val="517D47B4"/>
    <w:rsid w:val="517E1A04"/>
    <w:rsid w:val="517E25A5"/>
    <w:rsid w:val="51801774"/>
    <w:rsid w:val="5188445F"/>
    <w:rsid w:val="5188E837"/>
    <w:rsid w:val="518AFB8E"/>
    <w:rsid w:val="518B3C34"/>
    <w:rsid w:val="518B75EE"/>
    <w:rsid w:val="51911820"/>
    <w:rsid w:val="5191FE6C"/>
    <w:rsid w:val="519228C6"/>
    <w:rsid w:val="51927E93"/>
    <w:rsid w:val="51968BCA"/>
    <w:rsid w:val="51979EEC"/>
    <w:rsid w:val="5198AA88"/>
    <w:rsid w:val="5198C0B2"/>
    <w:rsid w:val="51990EF6"/>
    <w:rsid w:val="51999CBA"/>
    <w:rsid w:val="519B0C62"/>
    <w:rsid w:val="51A4251C"/>
    <w:rsid w:val="51A6BDF6"/>
    <w:rsid w:val="51A778E4"/>
    <w:rsid w:val="51A95F03"/>
    <w:rsid w:val="51AC8632"/>
    <w:rsid w:val="51ACD176"/>
    <w:rsid w:val="51AE9766"/>
    <w:rsid w:val="51AEA8CC"/>
    <w:rsid w:val="51AFE29A"/>
    <w:rsid w:val="51B07489"/>
    <w:rsid w:val="51B46824"/>
    <w:rsid w:val="51B6F92E"/>
    <w:rsid w:val="51BC649C"/>
    <w:rsid w:val="51C35532"/>
    <w:rsid w:val="51C38954"/>
    <w:rsid w:val="51C4B9A5"/>
    <w:rsid w:val="51C5AFB6"/>
    <w:rsid w:val="51CA431A"/>
    <w:rsid w:val="51D36B90"/>
    <w:rsid w:val="51D6C85C"/>
    <w:rsid w:val="51D9370B"/>
    <w:rsid w:val="51E0F015"/>
    <w:rsid w:val="51E85D0F"/>
    <w:rsid w:val="51EC8A8D"/>
    <w:rsid w:val="51F324D3"/>
    <w:rsid w:val="51F6AC83"/>
    <w:rsid w:val="51FB4540"/>
    <w:rsid w:val="51FC55E8"/>
    <w:rsid w:val="51FEEA5D"/>
    <w:rsid w:val="51FFA867"/>
    <w:rsid w:val="51FFBEBB"/>
    <w:rsid w:val="52008219"/>
    <w:rsid w:val="52012D57"/>
    <w:rsid w:val="520227D2"/>
    <w:rsid w:val="52041CA3"/>
    <w:rsid w:val="520972F4"/>
    <w:rsid w:val="5211AD60"/>
    <w:rsid w:val="52162DDC"/>
    <w:rsid w:val="52198415"/>
    <w:rsid w:val="521B7429"/>
    <w:rsid w:val="521EBBB6"/>
    <w:rsid w:val="52215396"/>
    <w:rsid w:val="52217C3B"/>
    <w:rsid w:val="5222D42E"/>
    <w:rsid w:val="5223831A"/>
    <w:rsid w:val="522512EF"/>
    <w:rsid w:val="52276C81"/>
    <w:rsid w:val="52285B33"/>
    <w:rsid w:val="52289472"/>
    <w:rsid w:val="522B66A9"/>
    <w:rsid w:val="522BED65"/>
    <w:rsid w:val="5231DCBC"/>
    <w:rsid w:val="5232CCE1"/>
    <w:rsid w:val="5238B804"/>
    <w:rsid w:val="5238FBB7"/>
    <w:rsid w:val="52395FE3"/>
    <w:rsid w:val="5239EEAA"/>
    <w:rsid w:val="523B2E3F"/>
    <w:rsid w:val="523FA1F5"/>
    <w:rsid w:val="52460C11"/>
    <w:rsid w:val="524754DC"/>
    <w:rsid w:val="5248FE6F"/>
    <w:rsid w:val="524CE163"/>
    <w:rsid w:val="524D39DD"/>
    <w:rsid w:val="524DDF11"/>
    <w:rsid w:val="5253A8F7"/>
    <w:rsid w:val="5253D8F2"/>
    <w:rsid w:val="525F55F4"/>
    <w:rsid w:val="5261BF88"/>
    <w:rsid w:val="52674A74"/>
    <w:rsid w:val="5267C1F4"/>
    <w:rsid w:val="526C4E35"/>
    <w:rsid w:val="526D8202"/>
    <w:rsid w:val="5276D700"/>
    <w:rsid w:val="52784B9D"/>
    <w:rsid w:val="52813C5B"/>
    <w:rsid w:val="528AA833"/>
    <w:rsid w:val="52904310"/>
    <w:rsid w:val="5293FE23"/>
    <w:rsid w:val="5295B8D8"/>
    <w:rsid w:val="5296237F"/>
    <w:rsid w:val="52968DD0"/>
    <w:rsid w:val="52969556"/>
    <w:rsid w:val="5297B172"/>
    <w:rsid w:val="529B4BF3"/>
    <w:rsid w:val="529C7DFD"/>
    <w:rsid w:val="529D7ED5"/>
    <w:rsid w:val="52A033EC"/>
    <w:rsid w:val="52A08C39"/>
    <w:rsid w:val="52A48548"/>
    <w:rsid w:val="52A9FFC8"/>
    <w:rsid w:val="52AA5FA8"/>
    <w:rsid w:val="52AE9AC8"/>
    <w:rsid w:val="52B0C4C8"/>
    <w:rsid w:val="52B52078"/>
    <w:rsid w:val="52B8997C"/>
    <w:rsid w:val="52BE1E16"/>
    <w:rsid w:val="52BF2E5E"/>
    <w:rsid w:val="52C46548"/>
    <w:rsid w:val="52C6E218"/>
    <w:rsid w:val="52CE2B3A"/>
    <w:rsid w:val="52CE6173"/>
    <w:rsid w:val="52D0BB68"/>
    <w:rsid w:val="52D24A7F"/>
    <w:rsid w:val="52D7970D"/>
    <w:rsid w:val="52DA7063"/>
    <w:rsid w:val="52DA9178"/>
    <w:rsid w:val="52E35E1F"/>
    <w:rsid w:val="52E6954B"/>
    <w:rsid w:val="52E82C30"/>
    <w:rsid w:val="52EAB45F"/>
    <w:rsid w:val="52EB2662"/>
    <w:rsid w:val="52ED51AF"/>
    <w:rsid w:val="52EE888D"/>
    <w:rsid w:val="52F1B028"/>
    <w:rsid w:val="52F29CF6"/>
    <w:rsid w:val="52F36794"/>
    <w:rsid w:val="52F8F46B"/>
    <w:rsid w:val="52FD7604"/>
    <w:rsid w:val="53033699"/>
    <w:rsid w:val="530A011F"/>
    <w:rsid w:val="530D13C7"/>
    <w:rsid w:val="530F8A20"/>
    <w:rsid w:val="5312B791"/>
    <w:rsid w:val="5314233D"/>
    <w:rsid w:val="531ECCDF"/>
    <w:rsid w:val="531F736E"/>
    <w:rsid w:val="53263B4B"/>
    <w:rsid w:val="532BBD85"/>
    <w:rsid w:val="53315698"/>
    <w:rsid w:val="5333369A"/>
    <w:rsid w:val="53342070"/>
    <w:rsid w:val="533DF7C8"/>
    <w:rsid w:val="533EA337"/>
    <w:rsid w:val="533F94BE"/>
    <w:rsid w:val="534071AD"/>
    <w:rsid w:val="53433F18"/>
    <w:rsid w:val="5345C379"/>
    <w:rsid w:val="5347FFCD"/>
    <w:rsid w:val="5349EE90"/>
    <w:rsid w:val="534BBE9A"/>
    <w:rsid w:val="534FCCA3"/>
    <w:rsid w:val="53531326"/>
    <w:rsid w:val="5357CA8F"/>
    <w:rsid w:val="535BF75A"/>
    <w:rsid w:val="535E3F35"/>
    <w:rsid w:val="53604A63"/>
    <w:rsid w:val="5365D46C"/>
    <w:rsid w:val="53681BA0"/>
    <w:rsid w:val="536B602F"/>
    <w:rsid w:val="536D77CD"/>
    <w:rsid w:val="536DFC56"/>
    <w:rsid w:val="53764B3D"/>
    <w:rsid w:val="5377231F"/>
    <w:rsid w:val="537945B9"/>
    <w:rsid w:val="538304D4"/>
    <w:rsid w:val="5391EC2F"/>
    <w:rsid w:val="53932D69"/>
    <w:rsid w:val="5394AED8"/>
    <w:rsid w:val="53951967"/>
    <w:rsid w:val="5398D01B"/>
    <w:rsid w:val="539EB75F"/>
    <w:rsid w:val="53A11667"/>
    <w:rsid w:val="53A42286"/>
    <w:rsid w:val="53A52992"/>
    <w:rsid w:val="53A6F5EE"/>
    <w:rsid w:val="53A9CAA2"/>
    <w:rsid w:val="53AAC1C5"/>
    <w:rsid w:val="53B79CD6"/>
    <w:rsid w:val="53B8C7DC"/>
    <w:rsid w:val="53BAF95E"/>
    <w:rsid w:val="53BB05C3"/>
    <w:rsid w:val="53BE7C15"/>
    <w:rsid w:val="53C3309E"/>
    <w:rsid w:val="53C55544"/>
    <w:rsid w:val="53CAADE0"/>
    <w:rsid w:val="53CBA8F1"/>
    <w:rsid w:val="53CF385D"/>
    <w:rsid w:val="53D3C3CF"/>
    <w:rsid w:val="53D590E1"/>
    <w:rsid w:val="53D63D7C"/>
    <w:rsid w:val="53D8F2FE"/>
    <w:rsid w:val="53D98727"/>
    <w:rsid w:val="53DB898C"/>
    <w:rsid w:val="53DD5F3D"/>
    <w:rsid w:val="53DE70EA"/>
    <w:rsid w:val="53DF5DBD"/>
    <w:rsid w:val="53E4EB22"/>
    <w:rsid w:val="53E985E3"/>
    <w:rsid w:val="53F232EC"/>
    <w:rsid w:val="53F5866D"/>
    <w:rsid w:val="53F89464"/>
    <w:rsid w:val="53F9584D"/>
    <w:rsid w:val="53F964CB"/>
    <w:rsid w:val="53FA8D9C"/>
    <w:rsid w:val="53FB2219"/>
    <w:rsid w:val="5403A279"/>
    <w:rsid w:val="54069DA6"/>
    <w:rsid w:val="5408F2F9"/>
    <w:rsid w:val="54107972"/>
    <w:rsid w:val="54161D9A"/>
    <w:rsid w:val="541736CA"/>
    <w:rsid w:val="541A24D3"/>
    <w:rsid w:val="541A4362"/>
    <w:rsid w:val="541C7015"/>
    <w:rsid w:val="541E27D5"/>
    <w:rsid w:val="5420CC97"/>
    <w:rsid w:val="542327AF"/>
    <w:rsid w:val="5428AC78"/>
    <w:rsid w:val="542DAD99"/>
    <w:rsid w:val="542DD62C"/>
    <w:rsid w:val="542E24AC"/>
    <w:rsid w:val="543047A1"/>
    <w:rsid w:val="54304B0E"/>
    <w:rsid w:val="5432B577"/>
    <w:rsid w:val="543306A4"/>
    <w:rsid w:val="5436AAD4"/>
    <w:rsid w:val="543AE64F"/>
    <w:rsid w:val="543F0B77"/>
    <w:rsid w:val="544BB384"/>
    <w:rsid w:val="545500EA"/>
    <w:rsid w:val="5455488D"/>
    <w:rsid w:val="54590DBB"/>
    <w:rsid w:val="545933F2"/>
    <w:rsid w:val="545A2EBB"/>
    <w:rsid w:val="545E8860"/>
    <w:rsid w:val="545EF97C"/>
    <w:rsid w:val="5461DAB3"/>
    <w:rsid w:val="5462DA13"/>
    <w:rsid w:val="5468063A"/>
    <w:rsid w:val="546ACF13"/>
    <w:rsid w:val="546D0450"/>
    <w:rsid w:val="546EB9FE"/>
    <w:rsid w:val="54708619"/>
    <w:rsid w:val="547D813F"/>
    <w:rsid w:val="5481F27A"/>
    <w:rsid w:val="54840E3F"/>
    <w:rsid w:val="548622C5"/>
    <w:rsid w:val="548BA891"/>
    <w:rsid w:val="548E4FC7"/>
    <w:rsid w:val="54969814"/>
    <w:rsid w:val="5496D677"/>
    <w:rsid w:val="54999B6B"/>
    <w:rsid w:val="549C6452"/>
    <w:rsid w:val="54A800BF"/>
    <w:rsid w:val="54A800C8"/>
    <w:rsid w:val="54A9D9A2"/>
    <w:rsid w:val="54AF2535"/>
    <w:rsid w:val="54B0A5F6"/>
    <w:rsid w:val="54BB6B34"/>
    <w:rsid w:val="54BC1268"/>
    <w:rsid w:val="54BDDD0F"/>
    <w:rsid w:val="54C4EA99"/>
    <w:rsid w:val="54C4F888"/>
    <w:rsid w:val="54CCF025"/>
    <w:rsid w:val="54CD8E89"/>
    <w:rsid w:val="54CF4B07"/>
    <w:rsid w:val="54D2B186"/>
    <w:rsid w:val="54D9E201"/>
    <w:rsid w:val="54DA4835"/>
    <w:rsid w:val="54DF96EA"/>
    <w:rsid w:val="54E7D9E1"/>
    <w:rsid w:val="54F8DA59"/>
    <w:rsid w:val="54FABB1D"/>
    <w:rsid w:val="54FC9A27"/>
    <w:rsid w:val="550EA199"/>
    <w:rsid w:val="55153C20"/>
    <w:rsid w:val="5516C235"/>
    <w:rsid w:val="5517A7CD"/>
    <w:rsid w:val="55188F32"/>
    <w:rsid w:val="55194DAB"/>
    <w:rsid w:val="551FC028"/>
    <w:rsid w:val="5522DE33"/>
    <w:rsid w:val="55274670"/>
    <w:rsid w:val="55277344"/>
    <w:rsid w:val="552B8FAD"/>
    <w:rsid w:val="552C64A4"/>
    <w:rsid w:val="553936C4"/>
    <w:rsid w:val="553C0E90"/>
    <w:rsid w:val="55406692"/>
    <w:rsid w:val="55407B9B"/>
    <w:rsid w:val="554265F5"/>
    <w:rsid w:val="554296DF"/>
    <w:rsid w:val="5542EC4D"/>
    <w:rsid w:val="5546608E"/>
    <w:rsid w:val="554993CB"/>
    <w:rsid w:val="55499A1C"/>
    <w:rsid w:val="554FD072"/>
    <w:rsid w:val="5555CEE3"/>
    <w:rsid w:val="555916B0"/>
    <w:rsid w:val="555ACF64"/>
    <w:rsid w:val="555E12E0"/>
    <w:rsid w:val="555F2AF0"/>
    <w:rsid w:val="55650A78"/>
    <w:rsid w:val="556C33B9"/>
    <w:rsid w:val="556DF2A4"/>
    <w:rsid w:val="557377B8"/>
    <w:rsid w:val="557BE427"/>
    <w:rsid w:val="557DFDCC"/>
    <w:rsid w:val="558A11FE"/>
    <w:rsid w:val="558A9C2A"/>
    <w:rsid w:val="558F9569"/>
    <w:rsid w:val="5594C4A4"/>
    <w:rsid w:val="5595FA95"/>
    <w:rsid w:val="559749FC"/>
    <w:rsid w:val="5599CDF1"/>
    <w:rsid w:val="559C55BF"/>
    <w:rsid w:val="559D76E4"/>
    <w:rsid w:val="559F127A"/>
    <w:rsid w:val="55A2DA9A"/>
    <w:rsid w:val="55A3B16B"/>
    <w:rsid w:val="55A51BBA"/>
    <w:rsid w:val="55A69BF6"/>
    <w:rsid w:val="55A7B294"/>
    <w:rsid w:val="55ACC0B5"/>
    <w:rsid w:val="55B1FBF5"/>
    <w:rsid w:val="55B342B2"/>
    <w:rsid w:val="55B8FC06"/>
    <w:rsid w:val="55BA5FEE"/>
    <w:rsid w:val="55BDDB92"/>
    <w:rsid w:val="55C5D50E"/>
    <w:rsid w:val="55C803A7"/>
    <w:rsid w:val="55D11E0D"/>
    <w:rsid w:val="55D24DF2"/>
    <w:rsid w:val="55DAAC87"/>
    <w:rsid w:val="55DC966A"/>
    <w:rsid w:val="55DCE141"/>
    <w:rsid w:val="55E18E69"/>
    <w:rsid w:val="55E25E62"/>
    <w:rsid w:val="55E9928A"/>
    <w:rsid w:val="55EB91AB"/>
    <w:rsid w:val="55F7789A"/>
    <w:rsid w:val="55FF435F"/>
    <w:rsid w:val="560390DB"/>
    <w:rsid w:val="560BA859"/>
    <w:rsid w:val="560D5DF3"/>
    <w:rsid w:val="560E4427"/>
    <w:rsid w:val="561071B0"/>
    <w:rsid w:val="5612FA87"/>
    <w:rsid w:val="56184441"/>
    <w:rsid w:val="561D6473"/>
    <w:rsid w:val="5620107C"/>
    <w:rsid w:val="5624C9C5"/>
    <w:rsid w:val="5626B3DA"/>
    <w:rsid w:val="562BBDAF"/>
    <w:rsid w:val="562C513F"/>
    <w:rsid w:val="562E3289"/>
    <w:rsid w:val="562FA49E"/>
    <w:rsid w:val="56315853"/>
    <w:rsid w:val="5631855D"/>
    <w:rsid w:val="5632159A"/>
    <w:rsid w:val="56337E4F"/>
    <w:rsid w:val="5634212D"/>
    <w:rsid w:val="563713E4"/>
    <w:rsid w:val="563F235B"/>
    <w:rsid w:val="5641FB19"/>
    <w:rsid w:val="56424A54"/>
    <w:rsid w:val="5643A754"/>
    <w:rsid w:val="564B4A72"/>
    <w:rsid w:val="564C0528"/>
    <w:rsid w:val="564E3239"/>
    <w:rsid w:val="5657018C"/>
    <w:rsid w:val="565907AE"/>
    <w:rsid w:val="565B0CE5"/>
    <w:rsid w:val="5660652C"/>
    <w:rsid w:val="56615BEF"/>
    <w:rsid w:val="56617E3F"/>
    <w:rsid w:val="56668DF5"/>
    <w:rsid w:val="566F9873"/>
    <w:rsid w:val="567A8F55"/>
    <w:rsid w:val="567D6218"/>
    <w:rsid w:val="568368C7"/>
    <w:rsid w:val="5684793E"/>
    <w:rsid w:val="568CEDEA"/>
    <w:rsid w:val="568DD217"/>
    <w:rsid w:val="568E8F7E"/>
    <w:rsid w:val="56920B7E"/>
    <w:rsid w:val="5694BDF6"/>
    <w:rsid w:val="56A3FB49"/>
    <w:rsid w:val="56A451C7"/>
    <w:rsid w:val="56A56771"/>
    <w:rsid w:val="56A6272D"/>
    <w:rsid w:val="56A64EF9"/>
    <w:rsid w:val="56A66382"/>
    <w:rsid w:val="56A710DC"/>
    <w:rsid w:val="56A78833"/>
    <w:rsid w:val="56B196C3"/>
    <w:rsid w:val="56B69BA7"/>
    <w:rsid w:val="56B7B8DC"/>
    <w:rsid w:val="56B9B2A1"/>
    <w:rsid w:val="56BA3AE3"/>
    <w:rsid w:val="56BF346D"/>
    <w:rsid w:val="56BF4854"/>
    <w:rsid w:val="56BF934E"/>
    <w:rsid w:val="56C0112F"/>
    <w:rsid w:val="56C1B2B9"/>
    <w:rsid w:val="56C29F52"/>
    <w:rsid w:val="56CAB218"/>
    <w:rsid w:val="56CC9792"/>
    <w:rsid w:val="56D5326D"/>
    <w:rsid w:val="56D6FCAF"/>
    <w:rsid w:val="56D9CF2C"/>
    <w:rsid w:val="56DF54FA"/>
    <w:rsid w:val="56DF6D2D"/>
    <w:rsid w:val="56E2F88B"/>
    <w:rsid w:val="56E6035F"/>
    <w:rsid w:val="56E7AD07"/>
    <w:rsid w:val="56E7DED2"/>
    <w:rsid w:val="56F2CED1"/>
    <w:rsid w:val="56F47BD0"/>
    <w:rsid w:val="56F7EB93"/>
    <w:rsid w:val="56FC57FD"/>
    <w:rsid w:val="56FD1DD5"/>
    <w:rsid w:val="56FD99B5"/>
    <w:rsid w:val="56FF20D4"/>
    <w:rsid w:val="56FF7E82"/>
    <w:rsid w:val="56FFA5E2"/>
    <w:rsid w:val="57025C90"/>
    <w:rsid w:val="5702A980"/>
    <w:rsid w:val="570F9B12"/>
    <w:rsid w:val="57103F6D"/>
    <w:rsid w:val="5718FD01"/>
    <w:rsid w:val="57193CF8"/>
    <w:rsid w:val="571A2329"/>
    <w:rsid w:val="57251157"/>
    <w:rsid w:val="57263569"/>
    <w:rsid w:val="572CD72A"/>
    <w:rsid w:val="572ECC8A"/>
    <w:rsid w:val="572FE09A"/>
    <w:rsid w:val="57329333"/>
    <w:rsid w:val="573826B7"/>
    <w:rsid w:val="573B5E78"/>
    <w:rsid w:val="573E81CD"/>
    <w:rsid w:val="57418D9F"/>
    <w:rsid w:val="57419C73"/>
    <w:rsid w:val="57438FC0"/>
    <w:rsid w:val="5748158B"/>
    <w:rsid w:val="57494705"/>
    <w:rsid w:val="574B7527"/>
    <w:rsid w:val="574BF837"/>
    <w:rsid w:val="5753DF96"/>
    <w:rsid w:val="57553238"/>
    <w:rsid w:val="57583F7A"/>
    <w:rsid w:val="57598C4E"/>
    <w:rsid w:val="5759EAE9"/>
    <w:rsid w:val="5761253D"/>
    <w:rsid w:val="5765C94B"/>
    <w:rsid w:val="5768C1C8"/>
    <w:rsid w:val="576A44E1"/>
    <w:rsid w:val="576AC273"/>
    <w:rsid w:val="576AD04A"/>
    <w:rsid w:val="5770B57A"/>
    <w:rsid w:val="5770DFB7"/>
    <w:rsid w:val="57750A7F"/>
    <w:rsid w:val="57781E1A"/>
    <w:rsid w:val="577DA8C9"/>
    <w:rsid w:val="578AC6D4"/>
    <w:rsid w:val="578C5329"/>
    <w:rsid w:val="578DB8B6"/>
    <w:rsid w:val="57906C0B"/>
    <w:rsid w:val="5791991E"/>
    <w:rsid w:val="5792FA36"/>
    <w:rsid w:val="579480CD"/>
    <w:rsid w:val="5794FDCF"/>
    <w:rsid w:val="579B4FAF"/>
    <w:rsid w:val="579E83D3"/>
    <w:rsid w:val="579F024B"/>
    <w:rsid w:val="57A04F3D"/>
    <w:rsid w:val="57A05BAC"/>
    <w:rsid w:val="57A1447A"/>
    <w:rsid w:val="57A61E5C"/>
    <w:rsid w:val="57A7B239"/>
    <w:rsid w:val="57AA875D"/>
    <w:rsid w:val="57B2440C"/>
    <w:rsid w:val="57B6820B"/>
    <w:rsid w:val="57C23CBB"/>
    <w:rsid w:val="57C5BD6E"/>
    <w:rsid w:val="57C8ACE6"/>
    <w:rsid w:val="57CB0053"/>
    <w:rsid w:val="57D208E9"/>
    <w:rsid w:val="57D4BF23"/>
    <w:rsid w:val="57D95CFB"/>
    <w:rsid w:val="57DB0C62"/>
    <w:rsid w:val="57DC07C0"/>
    <w:rsid w:val="57DFE854"/>
    <w:rsid w:val="57E11FFD"/>
    <w:rsid w:val="57E55114"/>
    <w:rsid w:val="57EB1098"/>
    <w:rsid w:val="57EE2603"/>
    <w:rsid w:val="57F1278E"/>
    <w:rsid w:val="57F35E1F"/>
    <w:rsid w:val="57F6D864"/>
    <w:rsid w:val="57F96335"/>
    <w:rsid w:val="57FBFE2B"/>
    <w:rsid w:val="57FD2F02"/>
    <w:rsid w:val="57FF9CE5"/>
    <w:rsid w:val="580087FF"/>
    <w:rsid w:val="580128E0"/>
    <w:rsid w:val="58036733"/>
    <w:rsid w:val="5806BCE6"/>
    <w:rsid w:val="580CF180"/>
    <w:rsid w:val="5811E13E"/>
    <w:rsid w:val="58149264"/>
    <w:rsid w:val="58176B2B"/>
    <w:rsid w:val="5819DD9C"/>
    <w:rsid w:val="5825CA92"/>
    <w:rsid w:val="582981C2"/>
    <w:rsid w:val="582AC053"/>
    <w:rsid w:val="582C5BDB"/>
    <w:rsid w:val="583486E6"/>
    <w:rsid w:val="5839338B"/>
    <w:rsid w:val="5839415F"/>
    <w:rsid w:val="583C4879"/>
    <w:rsid w:val="5843AAA7"/>
    <w:rsid w:val="5847186E"/>
    <w:rsid w:val="58481900"/>
    <w:rsid w:val="5852B38A"/>
    <w:rsid w:val="586073C2"/>
    <w:rsid w:val="586BDC92"/>
    <w:rsid w:val="586D52BB"/>
    <w:rsid w:val="5870A69F"/>
    <w:rsid w:val="5874A0E4"/>
    <w:rsid w:val="587628D2"/>
    <w:rsid w:val="587811C7"/>
    <w:rsid w:val="5881146D"/>
    <w:rsid w:val="58861F8A"/>
    <w:rsid w:val="58866D1F"/>
    <w:rsid w:val="588DA43F"/>
    <w:rsid w:val="588EC456"/>
    <w:rsid w:val="588FA613"/>
    <w:rsid w:val="589238C8"/>
    <w:rsid w:val="589637EE"/>
    <w:rsid w:val="5896C05B"/>
    <w:rsid w:val="5896D455"/>
    <w:rsid w:val="5897FE2C"/>
    <w:rsid w:val="5898CB12"/>
    <w:rsid w:val="589DC196"/>
    <w:rsid w:val="589DEDFC"/>
    <w:rsid w:val="58A30D94"/>
    <w:rsid w:val="58AA5CC6"/>
    <w:rsid w:val="58AAD7B4"/>
    <w:rsid w:val="58AD9B6B"/>
    <w:rsid w:val="58AE2160"/>
    <w:rsid w:val="58B54954"/>
    <w:rsid w:val="58BBBC89"/>
    <w:rsid w:val="58BD4636"/>
    <w:rsid w:val="58C7F096"/>
    <w:rsid w:val="58D000E3"/>
    <w:rsid w:val="58D0DC7F"/>
    <w:rsid w:val="58D72161"/>
    <w:rsid w:val="58E83E1A"/>
    <w:rsid w:val="58EC023E"/>
    <w:rsid w:val="58ECC650"/>
    <w:rsid w:val="58F5E97A"/>
    <w:rsid w:val="58F63325"/>
    <w:rsid w:val="58F7A44F"/>
    <w:rsid w:val="58FE1A12"/>
    <w:rsid w:val="5905B464"/>
    <w:rsid w:val="590A9DC1"/>
    <w:rsid w:val="590AB410"/>
    <w:rsid w:val="591178E2"/>
    <w:rsid w:val="5911C72E"/>
    <w:rsid w:val="5911FE67"/>
    <w:rsid w:val="5915D2E1"/>
    <w:rsid w:val="59195FBF"/>
    <w:rsid w:val="591C22BC"/>
    <w:rsid w:val="59213077"/>
    <w:rsid w:val="592404CC"/>
    <w:rsid w:val="5928CAF2"/>
    <w:rsid w:val="592E47AB"/>
    <w:rsid w:val="5933D13C"/>
    <w:rsid w:val="5934F2B8"/>
    <w:rsid w:val="593564F1"/>
    <w:rsid w:val="593A409E"/>
    <w:rsid w:val="593EC589"/>
    <w:rsid w:val="593F2CD4"/>
    <w:rsid w:val="594159D5"/>
    <w:rsid w:val="594277C9"/>
    <w:rsid w:val="594B0D77"/>
    <w:rsid w:val="594D8B2C"/>
    <w:rsid w:val="59533A78"/>
    <w:rsid w:val="595A92F7"/>
    <w:rsid w:val="59624745"/>
    <w:rsid w:val="5968B89F"/>
    <w:rsid w:val="5973E6FB"/>
    <w:rsid w:val="59746A88"/>
    <w:rsid w:val="5974BC5C"/>
    <w:rsid w:val="597A35B9"/>
    <w:rsid w:val="597A72A8"/>
    <w:rsid w:val="597E05E8"/>
    <w:rsid w:val="597EE810"/>
    <w:rsid w:val="5980F5F2"/>
    <w:rsid w:val="5982DB48"/>
    <w:rsid w:val="59895282"/>
    <w:rsid w:val="598B928F"/>
    <w:rsid w:val="598E3A2F"/>
    <w:rsid w:val="59902708"/>
    <w:rsid w:val="59907B18"/>
    <w:rsid w:val="59915245"/>
    <w:rsid w:val="59949E9E"/>
    <w:rsid w:val="5997CFED"/>
    <w:rsid w:val="59A591DF"/>
    <w:rsid w:val="59A779A5"/>
    <w:rsid w:val="59B3B6BC"/>
    <w:rsid w:val="59B645E1"/>
    <w:rsid w:val="59C0FDD3"/>
    <w:rsid w:val="59C1241A"/>
    <w:rsid w:val="59C230D9"/>
    <w:rsid w:val="59C80816"/>
    <w:rsid w:val="59C8D0E5"/>
    <w:rsid w:val="59CA844B"/>
    <w:rsid w:val="59CD0AB9"/>
    <w:rsid w:val="59CF1DDE"/>
    <w:rsid w:val="59D9A9AF"/>
    <w:rsid w:val="59DA71EC"/>
    <w:rsid w:val="59DD92A3"/>
    <w:rsid w:val="59DE978B"/>
    <w:rsid w:val="59E1BC26"/>
    <w:rsid w:val="59E2DFDD"/>
    <w:rsid w:val="59E904B9"/>
    <w:rsid w:val="59ED0F66"/>
    <w:rsid w:val="59F09E9B"/>
    <w:rsid w:val="59F65E3D"/>
    <w:rsid w:val="59FB4C02"/>
    <w:rsid w:val="59FD22A0"/>
    <w:rsid w:val="59FDD230"/>
    <w:rsid w:val="59FDEA4A"/>
    <w:rsid w:val="59FEEFB0"/>
    <w:rsid w:val="5A00C0F1"/>
    <w:rsid w:val="5A079337"/>
    <w:rsid w:val="5A07C884"/>
    <w:rsid w:val="5A090B45"/>
    <w:rsid w:val="5A11A803"/>
    <w:rsid w:val="5A126589"/>
    <w:rsid w:val="5A12F559"/>
    <w:rsid w:val="5A15493D"/>
    <w:rsid w:val="5A16A708"/>
    <w:rsid w:val="5A180AF1"/>
    <w:rsid w:val="5A1B501C"/>
    <w:rsid w:val="5A1D9A15"/>
    <w:rsid w:val="5A1DCD82"/>
    <w:rsid w:val="5A1E2A62"/>
    <w:rsid w:val="5A200344"/>
    <w:rsid w:val="5A233762"/>
    <w:rsid w:val="5A262511"/>
    <w:rsid w:val="5A2DBC2E"/>
    <w:rsid w:val="5A30ECE5"/>
    <w:rsid w:val="5A369952"/>
    <w:rsid w:val="5A39B1F0"/>
    <w:rsid w:val="5A3CEC71"/>
    <w:rsid w:val="5A3FAD52"/>
    <w:rsid w:val="5A425F10"/>
    <w:rsid w:val="5A451C29"/>
    <w:rsid w:val="5A4CAAF1"/>
    <w:rsid w:val="5A528874"/>
    <w:rsid w:val="5A52C035"/>
    <w:rsid w:val="5A53218F"/>
    <w:rsid w:val="5A56294A"/>
    <w:rsid w:val="5A583D78"/>
    <w:rsid w:val="5A60279B"/>
    <w:rsid w:val="5A68970C"/>
    <w:rsid w:val="5A69B4B9"/>
    <w:rsid w:val="5A724328"/>
    <w:rsid w:val="5A786E45"/>
    <w:rsid w:val="5A7958A3"/>
    <w:rsid w:val="5A7D6921"/>
    <w:rsid w:val="5A7FDDA8"/>
    <w:rsid w:val="5A82B331"/>
    <w:rsid w:val="5A84CAA6"/>
    <w:rsid w:val="5A863354"/>
    <w:rsid w:val="5A871BFF"/>
    <w:rsid w:val="5A894BE1"/>
    <w:rsid w:val="5A89B1DD"/>
    <w:rsid w:val="5A8B8506"/>
    <w:rsid w:val="5A954D4E"/>
    <w:rsid w:val="5A99667A"/>
    <w:rsid w:val="5A9AD6D8"/>
    <w:rsid w:val="5A9B4697"/>
    <w:rsid w:val="5A9FB4B3"/>
    <w:rsid w:val="5A9FEAEF"/>
    <w:rsid w:val="5AA14FFD"/>
    <w:rsid w:val="5AA309EF"/>
    <w:rsid w:val="5AA3BD4C"/>
    <w:rsid w:val="5AAD3D50"/>
    <w:rsid w:val="5AAD620D"/>
    <w:rsid w:val="5AAEC1FF"/>
    <w:rsid w:val="5AB07AA0"/>
    <w:rsid w:val="5ABAC822"/>
    <w:rsid w:val="5ABADE92"/>
    <w:rsid w:val="5ABC0125"/>
    <w:rsid w:val="5ABCABD9"/>
    <w:rsid w:val="5ACEA395"/>
    <w:rsid w:val="5ACFEB95"/>
    <w:rsid w:val="5AD11BA8"/>
    <w:rsid w:val="5AD1F437"/>
    <w:rsid w:val="5AD48B00"/>
    <w:rsid w:val="5AD6D50D"/>
    <w:rsid w:val="5ADD81D8"/>
    <w:rsid w:val="5AE4EE69"/>
    <w:rsid w:val="5AEAEBE7"/>
    <w:rsid w:val="5AED0EE4"/>
    <w:rsid w:val="5AEEF7B1"/>
    <w:rsid w:val="5AF05306"/>
    <w:rsid w:val="5AF073F9"/>
    <w:rsid w:val="5AF1FB4A"/>
    <w:rsid w:val="5AF6E62B"/>
    <w:rsid w:val="5AF83793"/>
    <w:rsid w:val="5AFDC747"/>
    <w:rsid w:val="5B079831"/>
    <w:rsid w:val="5B20F6FE"/>
    <w:rsid w:val="5B2465AC"/>
    <w:rsid w:val="5B277DF6"/>
    <w:rsid w:val="5B2A40AD"/>
    <w:rsid w:val="5B2F1EF9"/>
    <w:rsid w:val="5B2F5E14"/>
    <w:rsid w:val="5B32BBDF"/>
    <w:rsid w:val="5B38A74C"/>
    <w:rsid w:val="5B3AE003"/>
    <w:rsid w:val="5B3BB41B"/>
    <w:rsid w:val="5B3C723E"/>
    <w:rsid w:val="5B3C78D1"/>
    <w:rsid w:val="5B4A0774"/>
    <w:rsid w:val="5B4FB60D"/>
    <w:rsid w:val="5B50E266"/>
    <w:rsid w:val="5B51EBE7"/>
    <w:rsid w:val="5B53C261"/>
    <w:rsid w:val="5B54F835"/>
    <w:rsid w:val="5B57B764"/>
    <w:rsid w:val="5B581167"/>
    <w:rsid w:val="5B5EE0EE"/>
    <w:rsid w:val="5B628116"/>
    <w:rsid w:val="5B689AA8"/>
    <w:rsid w:val="5B7161CF"/>
    <w:rsid w:val="5B773250"/>
    <w:rsid w:val="5B788187"/>
    <w:rsid w:val="5B7B2DC4"/>
    <w:rsid w:val="5B7EBFF7"/>
    <w:rsid w:val="5B7ECA7A"/>
    <w:rsid w:val="5B8631D6"/>
    <w:rsid w:val="5B88F8A1"/>
    <w:rsid w:val="5B8F92C9"/>
    <w:rsid w:val="5B90AB57"/>
    <w:rsid w:val="5B916F25"/>
    <w:rsid w:val="5BA0357E"/>
    <w:rsid w:val="5BA28CAE"/>
    <w:rsid w:val="5BA34945"/>
    <w:rsid w:val="5BA519CE"/>
    <w:rsid w:val="5BA84F6D"/>
    <w:rsid w:val="5BBA8ED8"/>
    <w:rsid w:val="5BC0866D"/>
    <w:rsid w:val="5BC2FE09"/>
    <w:rsid w:val="5BC7210C"/>
    <w:rsid w:val="5BC92527"/>
    <w:rsid w:val="5BC93F56"/>
    <w:rsid w:val="5BD0B6D9"/>
    <w:rsid w:val="5BD2C6B4"/>
    <w:rsid w:val="5BD7B178"/>
    <w:rsid w:val="5BDCA2BB"/>
    <w:rsid w:val="5BDD2324"/>
    <w:rsid w:val="5BDE7531"/>
    <w:rsid w:val="5BE2E32C"/>
    <w:rsid w:val="5BE8D803"/>
    <w:rsid w:val="5BEBB703"/>
    <w:rsid w:val="5BEE0F3C"/>
    <w:rsid w:val="5BF1B346"/>
    <w:rsid w:val="5BFAD9C5"/>
    <w:rsid w:val="5BFE9BED"/>
    <w:rsid w:val="5BFEA60A"/>
    <w:rsid w:val="5BFEEEB9"/>
    <w:rsid w:val="5C007E8A"/>
    <w:rsid w:val="5C055088"/>
    <w:rsid w:val="5C060D4E"/>
    <w:rsid w:val="5C068F63"/>
    <w:rsid w:val="5C072BB0"/>
    <w:rsid w:val="5C08E065"/>
    <w:rsid w:val="5C100966"/>
    <w:rsid w:val="5C123BDB"/>
    <w:rsid w:val="5C1464B6"/>
    <w:rsid w:val="5C17180B"/>
    <w:rsid w:val="5C174B74"/>
    <w:rsid w:val="5C189CD7"/>
    <w:rsid w:val="5C1DB661"/>
    <w:rsid w:val="5C1E41DF"/>
    <w:rsid w:val="5C1E95C3"/>
    <w:rsid w:val="5C1E9D9F"/>
    <w:rsid w:val="5C316160"/>
    <w:rsid w:val="5C32B574"/>
    <w:rsid w:val="5C3600AC"/>
    <w:rsid w:val="5C3E3BC9"/>
    <w:rsid w:val="5C40CC04"/>
    <w:rsid w:val="5C4651D0"/>
    <w:rsid w:val="5C476C09"/>
    <w:rsid w:val="5C492B68"/>
    <w:rsid w:val="5C4F6BED"/>
    <w:rsid w:val="5C510A95"/>
    <w:rsid w:val="5C522D57"/>
    <w:rsid w:val="5C534282"/>
    <w:rsid w:val="5C59002A"/>
    <w:rsid w:val="5C5C2E25"/>
    <w:rsid w:val="5C61E3A5"/>
    <w:rsid w:val="5C61E65E"/>
    <w:rsid w:val="5C68903D"/>
    <w:rsid w:val="5C6D2EA9"/>
    <w:rsid w:val="5C6DC1FE"/>
    <w:rsid w:val="5C6E94B5"/>
    <w:rsid w:val="5C75528A"/>
    <w:rsid w:val="5C835417"/>
    <w:rsid w:val="5C86584D"/>
    <w:rsid w:val="5C889BCA"/>
    <w:rsid w:val="5C8988CC"/>
    <w:rsid w:val="5C8A9419"/>
    <w:rsid w:val="5C8AF305"/>
    <w:rsid w:val="5C92BAE1"/>
    <w:rsid w:val="5C98A4DB"/>
    <w:rsid w:val="5C9A015E"/>
    <w:rsid w:val="5C9E0B85"/>
    <w:rsid w:val="5C9FD32F"/>
    <w:rsid w:val="5CA2C928"/>
    <w:rsid w:val="5CB746D8"/>
    <w:rsid w:val="5CB77D5C"/>
    <w:rsid w:val="5CBAA1CD"/>
    <w:rsid w:val="5CBC48AC"/>
    <w:rsid w:val="5CC0E571"/>
    <w:rsid w:val="5CC336D2"/>
    <w:rsid w:val="5CC8CA88"/>
    <w:rsid w:val="5CCFC5B3"/>
    <w:rsid w:val="5CD23607"/>
    <w:rsid w:val="5CD257A4"/>
    <w:rsid w:val="5CD71C30"/>
    <w:rsid w:val="5CDB82E6"/>
    <w:rsid w:val="5CDE4DC3"/>
    <w:rsid w:val="5CE19B6F"/>
    <w:rsid w:val="5CEF5BB1"/>
    <w:rsid w:val="5CF36F60"/>
    <w:rsid w:val="5CF53211"/>
    <w:rsid w:val="5CFAD608"/>
    <w:rsid w:val="5D0003A5"/>
    <w:rsid w:val="5D018EAC"/>
    <w:rsid w:val="5D031FAA"/>
    <w:rsid w:val="5D06DEF4"/>
    <w:rsid w:val="5D07AC1E"/>
    <w:rsid w:val="5D07E002"/>
    <w:rsid w:val="5D0AEC43"/>
    <w:rsid w:val="5D0C203D"/>
    <w:rsid w:val="5D0D8986"/>
    <w:rsid w:val="5D0ED2AE"/>
    <w:rsid w:val="5D0FADC3"/>
    <w:rsid w:val="5D155B05"/>
    <w:rsid w:val="5D163DA9"/>
    <w:rsid w:val="5D216E6A"/>
    <w:rsid w:val="5D31F528"/>
    <w:rsid w:val="5D37723C"/>
    <w:rsid w:val="5D399C56"/>
    <w:rsid w:val="5D403804"/>
    <w:rsid w:val="5D45A15B"/>
    <w:rsid w:val="5D466D5E"/>
    <w:rsid w:val="5D488B6D"/>
    <w:rsid w:val="5D4A8159"/>
    <w:rsid w:val="5D507365"/>
    <w:rsid w:val="5D526FBB"/>
    <w:rsid w:val="5D527C8A"/>
    <w:rsid w:val="5D5A5118"/>
    <w:rsid w:val="5D5E99BD"/>
    <w:rsid w:val="5D61C364"/>
    <w:rsid w:val="5D6969FC"/>
    <w:rsid w:val="5D6AC2A4"/>
    <w:rsid w:val="5D6C0CA2"/>
    <w:rsid w:val="5D6FA5EE"/>
    <w:rsid w:val="5D7019CC"/>
    <w:rsid w:val="5D73E0F3"/>
    <w:rsid w:val="5D75D30B"/>
    <w:rsid w:val="5D779E17"/>
    <w:rsid w:val="5D8042FB"/>
    <w:rsid w:val="5D8680AA"/>
    <w:rsid w:val="5D8BF04D"/>
    <w:rsid w:val="5D8CBB65"/>
    <w:rsid w:val="5D8EABA0"/>
    <w:rsid w:val="5D91E06D"/>
    <w:rsid w:val="5D94E9EE"/>
    <w:rsid w:val="5D98A893"/>
    <w:rsid w:val="5D9C48DF"/>
    <w:rsid w:val="5D9DC14E"/>
    <w:rsid w:val="5DA0BD8E"/>
    <w:rsid w:val="5DA16AA6"/>
    <w:rsid w:val="5DA3007E"/>
    <w:rsid w:val="5DA5D953"/>
    <w:rsid w:val="5DA80556"/>
    <w:rsid w:val="5DA9A54F"/>
    <w:rsid w:val="5DB814BF"/>
    <w:rsid w:val="5DBB8255"/>
    <w:rsid w:val="5DBEDA34"/>
    <w:rsid w:val="5DBF8FE2"/>
    <w:rsid w:val="5DC84AF1"/>
    <w:rsid w:val="5DC930B2"/>
    <w:rsid w:val="5DD3C927"/>
    <w:rsid w:val="5DD4A350"/>
    <w:rsid w:val="5DD7F0C6"/>
    <w:rsid w:val="5DDA3D62"/>
    <w:rsid w:val="5DDAF7AC"/>
    <w:rsid w:val="5DDB3E6F"/>
    <w:rsid w:val="5DE12A12"/>
    <w:rsid w:val="5DE76FCE"/>
    <w:rsid w:val="5DEE3C91"/>
    <w:rsid w:val="5DF2E390"/>
    <w:rsid w:val="5DF9DC7C"/>
    <w:rsid w:val="5E071F6D"/>
    <w:rsid w:val="5E0B3158"/>
    <w:rsid w:val="5E0B5FA3"/>
    <w:rsid w:val="5E0DB101"/>
    <w:rsid w:val="5E10FF0F"/>
    <w:rsid w:val="5E1276DA"/>
    <w:rsid w:val="5E1396BF"/>
    <w:rsid w:val="5E1444C0"/>
    <w:rsid w:val="5E1490DD"/>
    <w:rsid w:val="5E1922D0"/>
    <w:rsid w:val="5E1E6CE6"/>
    <w:rsid w:val="5E211A40"/>
    <w:rsid w:val="5E2336C6"/>
    <w:rsid w:val="5E27F641"/>
    <w:rsid w:val="5E287CCA"/>
    <w:rsid w:val="5E2CFFED"/>
    <w:rsid w:val="5E2D3A2F"/>
    <w:rsid w:val="5E31A041"/>
    <w:rsid w:val="5E346F67"/>
    <w:rsid w:val="5E38F4F8"/>
    <w:rsid w:val="5E412172"/>
    <w:rsid w:val="5E42604C"/>
    <w:rsid w:val="5E459233"/>
    <w:rsid w:val="5E4C5806"/>
    <w:rsid w:val="5E4CD82A"/>
    <w:rsid w:val="5E4E249A"/>
    <w:rsid w:val="5E508E17"/>
    <w:rsid w:val="5E517C05"/>
    <w:rsid w:val="5E53C3B7"/>
    <w:rsid w:val="5E56BDAF"/>
    <w:rsid w:val="5E59207A"/>
    <w:rsid w:val="5E5D4A45"/>
    <w:rsid w:val="5E634C7B"/>
    <w:rsid w:val="5E673AD6"/>
    <w:rsid w:val="5E6F3E23"/>
    <w:rsid w:val="5E6F8DA0"/>
    <w:rsid w:val="5E71160B"/>
    <w:rsid w:val="5E73A717"/>
    <w:rsid w:val="5E767DDA"/>
    <w:rsid w:val="5E76CB15"/>
    <w:rsid w:val="5E7BCAC5"/>
    <w:rsid w:val="5E7BE6A7"/>
    <w:rsid w:val="5E7D6938"/>
    <w:rsid w:val="5E7F07DC"/>
    <w:rsid w:val="5E8494DC"/>
    <w:rsid w:val="5E8569E9"/>
    <w:rsid w:val="5E86D334"/>
    <w:rsid w:val="5E89804D"/>
    <w:rsid w:val="5E8D5B4A"/>
    <w:rsid w:val="5E8DF2C7"/>
    <w:rsid w:val="5E8FF4FE"/>
    <w:rsid w:val="5E934EE6"/>
    <w:rsid w:val="5E9BCE3A"/>
    <w:rsid w:val="5E9D4C86"/>
    <w:rsid w:val="5E9EFF0B"/>
    <w:rsid w:val="5EA1F89D"/>
    <w:rsid w:val="5EA252A0"/>
    <w:rsid w:val="5EA4FB47"/>
    <w:rsid w:val="5EA7626E"/>
    <w:rsid w:val="5EB422D5"/>
    <w:rsid w:val="5EB62536"/>
    <w:rsid w:val="5EB7B86F"/>
    <w:rsid w:val="5EBFBA64"/>
    <w:rsid w:val="5EC2FE49"/>
    <w:rsid w:val="5EC8886B"/>
    <w:rsid w:val="5ECB35D5"/>
    <w:rsid w:val="5ECC2898"/>
    <w:rsid w:val="5ED760D4"/>
    <w:rsid w:val="5ED94F1E"/>
    <w:rsid w:val="5EDD0CB8"/>
    <w:rsid w:val="5EDF2B72"/>
    <w:rsid w:val="5EE02E88"/>
    <w:rsid w:val="5EE124CE"/>
    <w:rsid w:val="5EEE5F24"/>
    <w:rsid w:val="5EEF8311"/>
    <w:rsid w:val="5EF1894A"/>
    <w:rsid w:val="5EF2063A"/>
    <w:rsid w:val="5EF2CF07"/>
    <w:rsid w:val="5EF5DBFC"/>
    <w:rsid w:val="5EF862F8"/>
    <w:rsid w:val="5EFC7CA9"/>
    <w:rsid w:val="5EFCA68A"/>
    <w:rsid w:val="5EFD9BFD"/>
    <w:rsid w:val="5F069F83"/>
    <w:rsid w:val="5F0C86A7"/>
    <w:rsid w:val="5F0F047A"/>
    <w:rsid w:val="5F1BF038"/>
    <w:rsid w:val="5F23C6E5"/>
    <w:rsid w:val="5F2E681F"/>
    <w:rsid w:val="5F35B42E"/>
    <w:rsid w:val="5F3632BC"/>
    <w:rsid w:val="5F4253DA"/>
    <w:rsid w:val="5F425F0F"/>
    <w:rsid w:val="5F46A9C3"/>
    <w:rsid w:val="5F48B226"/>
    <w:rsid w:val="5F4FB3D6"/>
    <w:rsid w:val="5F53BE48"/>
    <w:rsid w:val="5F53C3FB"/>
    <w:rsid w:val="5F5F9A4D"/>
    <w:rsid w:val="5F6782FF"/>
    <w:rsid w:val="5F67C2B1"/>
    <w:rsid w:val="5F68E63E"/>
    <w:rsid w:val="5F75E9B8"/>
    <w:rsid w:val="5F797B59"/>
    <w:rsid w:val="5F7CB121"/>
    <w:rsid w:val="5F7EBBBA"/>
    <w:rsid w:val="5F801D7D"/>
    <w:rsid w:val="5F823B34"/>
    <w:rsid w:val="5F827A68"/>
    <w:rsid w:val="5F82ED17"/>
    <w:rsid w:val="5F897F7D"/>
    <w:rsid w:val="5F917A77"/>
    <w:rsid w:val="5F926A1B"/>
    <w:rsid w:val="5F97538C"/>
    <w:rsid w:val="5F97801B"/>
    <w:rsid w:val="5F994FEC"/>
    <w:rsid w:val="5F9EEBD8"/>
    <w:rsid w:val="5F9F3E73"/>
    <w:rsid w:val="5FA95E5E"/>
    <w:rsid w:val="5FAC62FA"/>
    <w:rsid w:val="5FACB7CC"/>
    <w:rsid w:val="5FAD221F"/>
    <w:rsid w:val="5FAD3E8D"/>
    <w:rsid w:val="5FB2DDF0"/>
    <w:rsid w:val="5FB41868"/>
    <w:rsid w:val="5FB65CCF"/>
    <w:rsid w:val="5FC4CF19"/>
    <w:rsid w:val="5FC6B881"/>
    <w:rsid w:val="5FC9DB5F"/>
    <w:rsid w:val="5FCDD3C4"/>
    <w:rsid w:val="5FCE17F9"/>
    <w:rsid w:val="5FCE830C"/>
    <w:rsid w:val="5FD4F005"/>
    <w:rsid w:val="5FDCA92C"/>
    <w:rsid w:val="5FE06A1A"/>
    <w:rsid w:val="5FE430D1"/>
    <w:rsid w:val="5FE5BB09"/>
    <w:rsid w:val="5FEE5DF4"/>
    <w:rsid w:val="5FF0F8D0"/>
    <w:rsid w:val="5FF1DE09"/>
    <w:rsid w:val="5FF48F65"/>
    <w:rsid w:val="5FF6FD14"/>
    <w:rsid w:val="6001E956"/>
    <w:rsid w:val="600BC389"/>
    <w:rsid w:val="6010D34A"/>
    <w:rsid w:val="601548B6"/>
    <w:rsid w:val="60154C24"/>
    <w:rsid w:val="60188BE0"/>
    <w:rsid w:val="60189640"/>
    <w:rsid w:val="601A1712"/>
    <w:rsid w:val="601F1BF5"/>
    <w:rsid w:val="60252D00"/>
    <w:rsid w:val="602772AB"/>
    <w:rsid w:val="602AFFB0"/>
    <w:rsid w:val="60345F83"/>
    <w:rsid w:val="6038F0C5"/>
    <w:rsid w:val="6041E680"/>
    <w:rsid w:val="604463F6"/>
    <w:rsid w:val="6051F7A5"/>
    <w:rsid w:val="6052BA43"/>
    <w:rsid w:val="6054866B"/>
    <w:rsid w:val="6059E439"/>
    <w:rsid w:val="605B2228"/>
    <w:rsid w:val="605D9BE2"/>
    <w:rsid w:val="605E9A28"/>
    <w:rsid w:val="605F8949"/>
    <w:rsid w:val="6062D132"/>
    <w:rsid w:val="606457AF"/>
    <w:rsid w:val="606D7ABD"/>
    <w:rsid w:val="606E9F96"/>
    <w:rsid w:val="60700AB3"/>
    <w:rsid w:val="6072BD46"/>
    <w:rsid w:val="6075124F"/>
    <w:rsid w:val="607D015B"/>
    <w:rsid w:val="607D0A3A"/>
    <w:rsid w:val="607DC502"/>
    <w:rsid w:val="608300F0"/>
    <w:rsid w:val="60837815"/>
    <w:rsid w:val="6087E15F"/>
    <w:rsid w:val="6088A129"/>
    <w:rsid w:val="608939D8"/>
    <w:rsid w:val="608E54C7"/>
    <w:rsid w:val="6094546E"/>
    <w:rsid w:val="6097F132"/>
    <w:rsid w:val="6098788B"/>
    <w:rsid w:val="609A6374"/>
    <w:rsid w:val="609C4E34"/>
    <w:rsid w:val="609D2DDD"/>
    <w:rsid w:val="609D3542"/>
    <w:rsid w:val="609D6422"/>
    <w:rsid w:val="60A89C6B"/>
    <w:rsid w:val="60A945EB"/>
    <w:rsid w:val="60A98CF6"/>
    <w:rsid w:val="60ADDACC"/>
    <w:rsid w:val="60B02AF9"/>
    <w:rsid w:val="60B14E33"/>
    <w:rsid w:val="60B5E112"/>
    <w:rsid w:val="60BAA07E"/>
    <w:rsid w:val="60C35715"/>
    <w:rsid w:val="60C4D90F"/>
    <w:rsid w:val="60C73165"/>
    <w:rsid w:val="60C9263F"/>
    <w:rsid w:val="60D2A75D"/>
    <w:rsid w:val="60D506CC"/>
    <w:rsid w:val="60D5F1A5"/>
    <w:rsid w:val="60D9F870"/>
    <w:rsid w:val="60E4D4AB"/>
    <w:rsid w:val="60EC0A95"/>
    <w:rsid w:val="60EC3F94"/>
    <w:rsid w:val="60EC3FC7"/>
    <w:rsid w:val="60EDEFA0"/>
    <w:rsid w:val="60F316E3"/>
    <w:rsid w:val="60F49ACF"/>
    <w:rsid w:val="61001981"/>
    <w:rsid w:val="61019F3C"/>
    <w:rsid w:val="61074A3B"/>
    <w:rsid w:val="6107AE3A"/>
    <w:rsid w:val="610E5861"/>
    <w:rsid w:val="61162B6A"/>
    <w:rsid w:val="6119D017"/>
    <w:rsid w:val="611D7D40"/>
    <w:rsid w:val="61202094"/>
    <w:rsid w:val="61249653"/>
    <w:rsid w:val="61263D6B"/>
    <w:rsid w:val="6128879C"/>
    <w:rsid w:val="612974F7"/>
    <w:rsid w:val="612A4840"/>
    <w:rsid w:val="612D0A60"/>
    <w:rsid w:val="612F80C5"/>
    <w:rsid w:val="6133285D"/>
    <w:rsid w:val="61348721"/>
    <w:rsid w:val="6134BFAF"/>
    <w:rsid w:val="613A0F38"/>
    <w:rsid w:val="613C2A00"/>
    <w:rsid w:val="613EE1DF"/>
    <w:rsid w:val="613F0C53"/>
    <w:rsid w:val="613F933F"/>
    <w:rsid w:val="61400EAA"/>
    <w:rsid w:val="6148AE18"/>
    <w:rsid w:val="6148E632"/>
    <w:rsid w:val="6149FB86"/>
    <w:rsid w:val="614B2FD8"/>
    <w:rsid w:val="614BC361"/>
    <w:rsid w:val="614BC789"/>
    <w:rsid w:val="6150EA38"/>
    <w:rsid w:val="615ABF34"/>
    <w:rsid w:val="6165D6D5"/>
    <w:rsid w:val="616952ED"/>
    <w:rsid w:val="616A5159"/>
    <w:rsid w:val="616C20B6"/>
    <w:rsid w:val="616DF8BB"/>
    <w:rsid w:val="616EDCB1"/>
    <w:rsid w:val="617186B7"/>
    <w:rsid w:val="617219C8"/>
    <w:rsid w:val="61794E86"/>
    <w:rsid w:val="617BEF65"/>
    <w:rsid w:val="617ED3B5"/>
    <w:rsid w:val="6181C805"/>
    <w:rsid w:val="618212D4"/>
    <w:rsid w:val="6182AF75"/>
    <w:rsid w:val="618B138D"/>
    <w:rsid w:val="618D805B"/>
    <w:rsid w:val="61962C2C"/>
    <w:rsid w:val="61968B2D"/>
    <w:rsid w:val="61986716"/>
    <w:rsid w:val="619BAE36"/>
    <w:rsid w:val="619D87BC"/>
    <w:rsid w:val="619DE561"/>
    <w:rsid w:val="61A0FB08"/>
    <w:rsid w:val="61A3A1A1"/>
    <w:rsid w:val="61A7B05C"/>
    <w:rsid w:val="61ABA21D"/>
    <w:rsid w:val="61ABD5BB"/>
    <w:rsid w:val="61B1F238"/>
    <w:rsid w:val="61BBC287"/>
    <w:rsid w:val="61C0E62A"/>
    <w:rsid w:val="61C23B16"/>
    <w:rsid w:val="61C2FCB3"/>
    <w:rsid w:val="61C489B7"/>
    <w:rsid w:val="61C58668"/>
    <w:rsid w:val="61C5EBDD"/>
    <w:rsid w:val="61C85F4D"/>
    <w:rsid w:val="61CB0E23"/>
    <w:rsid w:val="61CE4039"/>
    <w:rsid w:val="61D6E266"/>
    <w:rsid w:val="61D824DB"/>
    <w:rsid w:val="61E0FAB5"/>
    <w:rsid w:val="61E39123"/>
    <w:rsid w:val="61E760B8"/>
    <w:rsid w:val="61EF5C4F"/>
    <w:rsid w:val="61EF8506"/>
    <w:rsid w:val="61F1E6C8"/>
    <w:rsid w:val="61F9D1ED"/>
    <w:rsid w:val="62010AF5"/>
    <w:rsid w:val="6205CCF5"/>
    <w:rsid w:val="62065F18"/>
    <w:rsid w:val="620A66D1"/>
    <w:rsid w:val="620BB0D8"/>
    <w:rsid w:val="620C53B3"/>
    <w:rsid w:val="620F71BC"/>
    <w:rsid w:val="62108491"/>
    <w:rsid w:val="6217A70F"/>
    <w:rsid w:val="6218E1A1"/>
    <w:rsid w:val="621DEA38"/>
    <w:rsid w:val="62224F20"/>
    <w:rsid w:val="62236137"/>
    <w:rsid w:val="622596F1"/>
    <w:rsid w:val="6226910C"/>
    <w:rsid w:val="622990EB"/>
    <w:rsid w:val="622B54BF"/>
    <w:rsid w:val="6231DE64"/>
    <w:rsid w:val="62351902"/>
    <w:rsid w:val="62360DBB"/>
    <w:rsid w:val="6239296D"/>
    <w:rsid w:val="623B8A46"/>
    <w:rsid w:val="623E51F7"/>
    <w:rsid w:val="62409CEE"/>
    <w:rsid w:val="6241B80B"/>
    <w:rsid w:val="62464A72"/>
    <w:rsid w:val="62482407"/>
    <w:rsid w:val="6249BAFB"/>
    <w:rsid w:val="6249F363"/>
    <w:rsid w:val="624BC9F8"/>
    <w:rsid w:val="624C5642"/>
    <w:rsid w:val="624EF986"/>
    <w:rsid w:val="62506811"/>
    <w:rsid w:val="6254C090"/>
    <w:rsid w:val="62553559"/>
    <w:rsid w:val="6258BC3F"/>
    <w:rsid w:val="625A5D7B"/>
    <w:rsid w:val="6267CEC9"/>
    <w:rsid w:val="626C2840"/>
    <w:rsid w:val="626CC790"/>
    <w:rsid w:val="626E7D3A"/>
    <w:rsid w:val="6273AC04"/>
    <w:rsid w:val="627A84C7"/>
    <w:rsid w:val="627BF978"/>
    <w:rsid w:val="627C92EF"/>
    <w:rsid w:val="628D3051"/>
    <w:rsid w:val="62903818"/>
    <w:rsid w:val="6294B158"/>
    <w:rsid w:val="629C1F07"/>
    <w:rsid w:val="62A4ED4E"/>
    <w:rsid w:val="62A7A258"/>
    <w:rsid w:val="62A806A0"/>
    <w:rsid w:val="62AB36D5"/>
    <w:rsid w:val="62AEF721"/>
    <w:rsid w:val="62AF27A3"/>
    <w:rsid w:val="62B2A385"/>
    <w:rsid w:val="62BEC85F"/>
    <w:rsid w:val="62BED401"/>
    <w:rsid w:val="62C237D5"/>
    <w:rsid w:val="62CCCE61"/>
    <w:rsid w:val="62CD1758"/>
    <w:rsid w:val="62D126DB"/>
    <w:rsid w:val="62D21EC7"/>
    <w:rsid w:val="62D2A644"/>
    <w:rsid w:val="62D39748"/>
    <w:rsid w:val="62D4537B"/>
    <w:rsid w:val="62DADF07"/>
    <w:rsid w:val="62DD368A"/>
    <w:rsid w:val="62E2738A"/>
    <w:rsid w:val="62E4A0F8"/>
    <w:rsid w:val="62EB83B8"/>
    <w:rsid w:val="62EBD075"/>
    <w:rsid w:val="62ECB063"/>
    <w:rsid w:val="62EFB79B"/>
    <w:rsid w:val="62F00930"/>
    <w:rsid w:val="62F11FC7"/>
    <w:rsid w:val="62F565C3"/>
    <w:rsid w:val="62F68A43"/>
    <w:rsid w:val="62F69DF7"/>
    <w:rsid w:val="62FF93EF"/>
    <w:rsid w:val="63049ED7"/>
    <w:rsid w:val="63115778"/>
    <w:rsid w:val="6320E22C"/>
    <w:rsid w:val="63212CB0"/>
    <w:rsid w:val="6323880B"/>
    <w:rsid w:val="6323B4E9"/>
    <w:rsid w:val="63274652"/>
    <w:rsid w:val="632758A9"/>
    <w:rsid w:val="6328EDC3"/>
    <w:rsid w:val="632B10F3"/>
    <w:rsid w:val="632D1AEF"/>
    <w:rsid w:val="632D4411"/>
    <w:rsid w:val="632D99DD"/>
    <w:rsid w:val="63300594"/>
    <w:rsid w:val="6331000D"/>
    <w:rsid w:val="6331F231"/>
    <w:rsid w:val="63399F2C"/>
    <w:rsid w:val="633E88E4"/>
    <w:rsid w:val="63401566"/>
    <w:rsid w:val="634080BC"/>
    <w:rsid w:val="6347687C"/>
    <w:rsid w:val="63479E87"/>
    <w:rsid w:val="6349AF54"/>
    <w:rsid w:val="634B4CA2"/>
    <w:rsid w:val="63511ECC"/>
    <w:rsid w:val="6355EC00"/>
    <w:rsid w:val="63562371"/>
    <w:rsid w:val="635A2F2C"/>
    <w:rsid w:val="635B7F2F"/>
    <w:rsid w:val="635EEFF6"/>
    <w:rsid w:val="6361B0CA"/>
    <w:rsid w:val="636277B4"/>
    <w:rsid w:val="63690BB1"/>
    <w:rsid w:val="636A6436"/>
    <w:rsid w:val="636B81EA"/>
    <w:rsid w:val="63727DAF"/>
    <w:rsid w:val="63729F60"/>
    <w:rsid w:val="6376CEFD"/>
    <w:rsid w:val="637A7626"/>
    <w:rsid w:val="63885753"/>
    <w:rsid w:val="638E412A"/>
    <w:rsid w:val="638F4D7C"/>
    <w:rsid w:val="639178A4"/>
    <w:rsid w:val="6397B57A"/>
    <w:rsid w:val="6397BDB7"/>
    <w:rsid w:val="6398C674"/>
    <w:rsid w:val="639B1D37"/>
    <w:rsid w:val="639CB54C"/>
    <w:rsid w:val="639CF680"/>
    <w:rsid w:val="63A0C29F"/>
    <w:rsid w:val="63A0C9D9"/>
    <w:rsid w:val="63A18906"/>
    <w:rsid w:val="63A2BBF3"/>
    <w:rsid w:val="63A6BE5F"/>
    <w:rsid w:val="63A8C942"/>
    <w:rsid w:val="63B258A7"/>
    <w:rsid w:val="63B2C486"/>
    <w:rsid w:val="63B2F67F"/>
    <w:rsid w:val="63B53B67"/>
    <w:rsid w:val="63B68F67"/>
    <w:rsid w:val="63B7CC5D"/>
    <w:rsid w:val="63BB5883"/>
    <w:rsid w:val="63BB5FE3"/>
    <w:rsid w:val="63BCB8FC"/>
    <w:rsid w:val="63C17A26"/>
    <w:rsid w:val="63C6704B"/>
    <w:rsid w:val="63C6A745"/>
    <w:rsid w:val="63C83150"/>
    <w:rsid w:val="63CA8A52"/>
    <w:rsid w:val="63CD3F1E"/>
    <w:rsid w:val="63CE79DB"/>
    <w:rsid w:val="63CF785B"/>
    <w:rsid w:val="63D879C3"/>
    <w:rsid w:val="63EA5D44"/>
    <w:rsid w:val="63EFA1F2"/>
    <w:rsid w:val="63F6834B"/>
    <w:rsid w:val="63F883F6"/>
    <w:rsid w:val="63F8F74C"/>
    <w:rsid w:val="63FB456C"/>
    <w:rsid w:val="640305D6"/>
    <w:rsid w:val="640B3869"/>
    <w:rsid w:val="640B43F8"/>
    <w:rsid w:val="640E8195"/>
    <w:rsid w:val="640E9580"/>
    <w:rsid w:val="641AE9B0"/>
    <w:rsid w:val="641C7E86"/>
    <w:rsid w:val="641D179A"/>
    <w:rsid w:val="641D6C7F"/>
    <w:rsid w:val="641DB652"/>
    <w:rsid w:val="6427A43F"/>
    <w:rsid w:val="642A0052"/>
    <w:rsid w:val="642D6947"/>
    <w:rsid w:val="6434C761"/>
    <w:rsid w:val="6437E45D"/>
    <w:rsid w:val="643C5A52"/>
    <w:rsid w:val="64415F66"/>
    <w:rsid w:val="6441BE04"/>
    <w:rsid w:val="64425920"/>
    <w:rsid w:val="64465762"/>
    <w:rsid w:val="644C733F"/>
    <w:rsid w:val="644E00B8"/>
    <w:rsid w:val="644E9D48"/>
    <w:rsid w:val="6450CCAA"/>
    <w:rsid w:val="64544FE3"/>
    <w:rsid w:val="6458FF49"/>
    <w:rsid w:val="64592D3E"/>
    <w:rsid w:val="645934B8"/>
    <w:rsid w:val="6465F0EB"/>
    <w:rsid w:val="6479BCFF"/>
    <w:rsid w:val="647CF13B"/>
    <w:rsid w:val="647EB9E8"/>
    <w:rsid w:val="6484EEEC"/>
    <w:rsid w:val="648C2171"/>
    <w:rsid w:val="648EE36F"/>
    <w:rsid w:val="648F1C8C"/>
    <w:rsid w:val="64914EC4"/>
    <w:rsid w:val="649245D7"/>
    <w:rsid w:val="6493BE01"/>
    <w:rsid w:val="649507DD"/>
    <w:rsid w:val="649568B2"/>
    <w:rsid w:val="64985337"/>
    <w:rsid w:val="649B0994"/>
    <w:rsid w:val="649E2435"/>
    <w:rsid w:val="64A127CF"/>
    <w:rsid w:val="64AB3101"/>
    <w:rsid w:val="64B5D914"/>
    <w:rsid w:val="64B94356"/>
    <w:rsid w:val="64B9B004"/>
    <w:rsid w:val="64BB1C87"/>
    <w:rsid w:val="64BBE6C8"/>
    <w:rsid w:val="64BC1FA5"/>
    <w:rsid w:val="64BF4C42"/>
    <w:rsid w:val="64C283F8"/>
    <w:rsid w:val="64C3D692"/>
    <w:rsid w:val="64C4C06C"/>
    <w:rsid w:val="64C536CC"/>
    <w:rsid w:val="64D501D1"/>
    <w:rsid w:val="64D51911"/>
    <w:rsid w:val="64D72892"/>
    <w:rsid w:val="64DDE6F8"/>
    <w:rsid w:val="64E1E751"/>
    <w:rsid w:val="64E42710"/>
    <w:rsid w:val="64E8E309"/>
    <w:rsid w:val="64E9648F"/>
    <w:rsid w:val="64EB642E"/>
    <w:rsid w:val="64EBEEA1"/>
    <w:rsid w:val="64ED585B"/>
    <w:rsid w:val="64EECF12"/>
    <w:rsid w:val="64FA4B29"/>
    <w:rsid w:val="64FC1A7E"/>
    <w:rsid w:val="64FCEF74"/>
    <w:rsid w:val="64FDD1FC"/>
    <w:rsid w:val="64FE3871"/>
    <w:rsid w:val="64FF8D86"/>
    <w:rsid w:val="6503719D"/>
    <w:rsid w:val="6507607E"/>
    <w:rsid w:val="650ED23C"/>
    <w:rsid w:val="6514494C"/>
    <w:rsid w:val="651537A9"/>
    <w:rsid w:val="651849DD"/>
    <w:rsid w:val="651ADA24"/>
    <w:rsid w:val="6523C770"/>
    <w:rsid w:val="6526DA08"/>
    <w:rsid w:val="652BE615"/>
    <w:rsid w:val="6531396E"/>
    <w:rsid w:val="6531F037"/>
    <w:rsid w:val="653C2180"/>
    <w:rsid w:val="653C8E1D"/>
    <w:rsid w:val="653CC28C"/>
    <w:rsid w:val="654163B1"/>
    <w:rsid w:val="65460193"/>
    <w:rsid w:val="6546DB7A"/>
    <w:rsid w:val="6549306F"/>
    <w:rsid w:val="654F9920"/>
    <w:rsid w:val="6551F884"/>
    <w:rsid w:val="65543E49"/>
    <w:rsid w:val="6554CDE1"/>
    <w:rsid w:val="655577D5"/>
    <w:rsid w:val="656207F3"/>
    <w:rsid w:val="6569336B"/>
    <w:rsid w:val="657B6B33"/>
    <w:rsid w:val="657C2E55"/>
    <w:rsid w:val="657D4ECC"/>
    <w:rsid w:val="657FDFFB"/>
    <w:rsid w:val="6583FD04"/>
    <w:rsid w:val="65848125"/>
    <w:rsid w:val="65853CC8"/>
    <w:rsid w:val="65865A11"/>
    <w:rsid w:val="6588EDD9"/>
    <w:rsid w:val="658A2661"/>
    <w:rsid w:val="65A00677"/>
    <w:rsid w:val="65A5F624"/>
    <w:rsid w:val="65AC8014"/>
    <w:rsid w:val="65BA97F9"/>
    <w:rsid w:val="65BB479A"/>
    <w:rsid w:val="65BE5088"/>
    <w:rsid w:val="65C20B53"/>
    <w:rsid w:val="65C5BBFA"/>
    <w:rsid w:val="65C67FD1"/>
    <w:rsid w:val="65C9E398"/>
    <w:rsid w:val="65CC9D35"/>
    <w:rsid w:val="65D60D93"/>
    <w:rsid w:val="65D6861E"/>
    <w:rsid w:val="65D8ABE3"/>
    <w:rsid w:val="65DD5BB6"/>
    <w:rsid w:val="65EB532E"/>
    <w:rsid w:val="65ECF089"/>
    <w:rsid w:val="65F4ED40"/>
    <w:rsid w:val="65F8813F"/>
    <w:rsid w:val="65FAC6D9"/>
    <w:rsid w:val="65FF0A4F"/>
    <w:rsid w:val="66023A04"/>
    <w:rsid w:val="66027BB6"/>
    <w:rsid w:val="660461EC"/>
    <w:rsid w:val="6605F369"/>
    <w:rsid w:val="6609A431"/>
    <w:rsid w:val="660A536B"/>
    <w:rsid w:val="660FC266"/>
    <w:rsid w:val="660FEF38"/>
    <w:rsid w:val="6610BECB"/>
    <w:rsid w:val="66119573"/>
    <w:rsid w:val="6611A0B4"/>
    <w:rsid w:val="6612D3F2"/>
    <w:rsid w:val="6618177D"/>
    <w:rsid w:val="661B7184"/>
    <w:rsid w:val="6625128A"/>
    <w:rsid w:val="66261FC5"/>
    <w:rsid w:val="6629CA35"/>
    <w:rsid w:val="662C3CF9"/>
    <w:rsid w:val="6630C988"/>
    <w:rsid w:val="663A0021"/>
    <w:rsid w:val="663C5A30"/>
    <w:rsid w:val="663E3A3D"/>
    <w:rsid w:val="6642E933"/>
    <w:rsid w:val="664583E0"/>
    <w:rsid w:val="664ED991"/>
    <w:rsid w:val="665934EE"/>
    <w:rsid w:val="665D01F9"/>
    <w:rsid w:val="665E1058"/>
    <w:rsid w:val="665E7DC8"/>
    <w:rsid w:val="666246EB"/>
    <w:rsid w:val="6662C283"/>
    <w:rsid w:val="66642A4D"/>
    <w:rsid w:val="6664521D"/>
    <w:rsid w:val="6664BC53"/>
    <w:rsid w:val="666502A4"/>
    <w:rsid w:val="66651C8D"/>
    <w:rsid w:val="66669D76"/>
    <w:rsid w:val="66673F8F"/>
    <w:rsid w:val="666A8F3B"/>
    <w:rsid w:val="666C9F30"/>
    <w:rsid w:val="666F4425"/>
    <w:rsid w:val="66747694"/>
    <w:rsid w:val="66769CF0"/>
    <w:rsid w:val="6678E5FB"/>
    <w:rsid w:val="667E6119"/>
    <w:rsid w:val="66825768"/>
    <w:rsid w:val="668259DA"/>
    <w:rsid w:val="66838C92"/>
    <w:rsid w:val="66848AFD"/>
    <w:rsid w:val="6685D980"/>
    <w:rsid w:val="668D9740"/>
    <w:rsid w:val="668FCE9B"/>
    <w:rsid w:val="669066EA"/>
    <w:rsid w:val="66933BFA"/>
    <w:rsid w:val="66954E52"/>
    <w:rsid w:val="6696ECCB"/>
    <w:rsid w:val="669E522A"/>
    <w:rsid w:val="66A4FB87"/>
    <w:rsid w:val="66A5A646"/>
    <w:rsid w:val="66AA7930"/>
    <w:rsid w:val="66ADC819"/>
    <w:rsid w:val="66AE7574"/>
    <w:rsid w:val="66B17AA8"/>
    <w:rsid w:val="66B50CED"/>
    <w:rsid w:val="66B58229"/>
    <w:rsid w:val="66B6735B"/>
    <w:rsid w:val="66BB6C4E"/>
    <w:rsid w:val="66C0758C"/>
    <w:rsid w:val="66C47924"/>
    <w:rsid w:val="66C52BF6"/>
    <w:rsid w:val="66C6DD7C"/>
    <w:rsid w:val="66CBFAD8"/>
    <w:rsid w:val="66CC2161"/>
    <w:rsid w:val="66CD9347"/>
    <w:rsid w:val="66D19233"/>
    <w:rsid w:val="66D39645"/>
    <w:rsid w:val="66D4FEB0"/>
    <w:rsid w:val="66D5F169"/>
    <w:rsid w:val="66D705F1"/>
    <w:rsid w:val="66DB8FAA"/>
    <w:rsid w:val="66DD7111"/>
    <w:rsid w:val="66DE29BB"/>
    <w:rsid w:val="66E01A97"/>
    <w:rsid w:val="66E3AD24"/>
    <w:rsid w:val="66E69388"/>
    <w:rsid w:val="66E6AE48"/>
    <w:rsid w:val="66ED170D"/>
    <w:rsid w:val="66EED43E"/>
    <w:rsid w:val="66F12A8C"/>
    <w:rsid w:val="66F3E433"/>
    <w:rsid w:val="67016B15"/>
    <w:rsid w:val="67080026"/>
    <w:rsid w:val="6709FD55"/>
    <w:rsid w:val="670B7086"/>
    <w:rsid w:val="670E266D"/>
    <w:rsid w:val="67138858"/>
    <w:rsid w:val="6715B340"/>
    <w:rsid w:val="671DA45B"/>
    <w:rsid w:val="67200418"/>
    <w:rsid w:val="672379F8"/>
    <w:rsid w:val="672C46CB"/>
    <w:rsid w:val="6730CDA7"/>
    <w:rsid w:val="6737BCC4"/>
    <w:rsid w:val="673D8548"/>
    <w:rsid w:val="67404B02"/>
    <w:rsid w:val="674A5D91"/>
    <w:rsid w:val="674B3AF2"/>
    <w:rsid w:val="674E9794"/>
    <w:rsid w:val="67505E0E"/>
    <w:rsid w:val="67616B3E"/>
    <w:rsid w:val="67631B78"/>
    <w:rsid w:val="676546E2"/>
    <w:rsid w:val="676A7340"/>
    <w:rsid w:val="676B1925"/>
    <w:rsid w:val="676E85F0"/>
    <w:rsid w:val="677142C3"/>
    <w:rsid w:val="6771B96F"/>
    <w:rsid w:val="6774E9B1"/>
    <w:rsid w:val="67772F04"/>
    <w:rsid w:val="67842FB4"/>
    <w:rsid w:val="6789576C"/>
    <w:rsid w:val="678C1A85"/>
    <w:rsid w:val="6793B101"/>
    <w:rsid w:val="679BCBFB"/>
    <w:rsid w:val="679E3A9D"/>
    <w:rsid w:val="67A15BA2"/>
    <w:rsid w:val="67A47531"/>
    <w:rsid w:val="67A4F823"/>
    <w:rsid w:val="67A88F8D"/>
    <w:rsid w:val="67AB15BC"/>
    <w:rsid w:val="67AEAFF0"/>
    <w:rsid w:val="67B02ACE"/>
    <w:rsid w:val="67B41225"/>
    <w:rsid w:val="67B6054F"/>
    <w:rsid w:val="67B7AB91"/>
    <w:rsid w:val="67BA9378"/>
    <w:rsid w:val="67BDACA4"/>
    <w:rsid w:val="67C4AD35"/>
    <w:rsid w:val="67C84C43"/>
    <w:rsid w:val="67CBD875"/>
    <w:rsid w:val="67CD7204"/>
    <w:rsid w:val="67CFCD1D"/>
    <w:rsid w:val="67D06E3F"/>
    <w:rsid w:val="67D76D07"/>
    <w:rsid w:val="67D8491D"/>
    <w:rsid w:val="67DBF27C"/>
    <w:rsid w:val="67DC0933"/>
    <w:rsid w:val="67DE1E9F"/>
    <w:rsid w:val="67E68069"/>
    <w:rsid w:val="67E6EB2D"/>
    <w:rsid w:val="67F076EF"/>
    <w:rsid w:val="67F30A85"/>
    <w:rsid w:val="67F63EA3"/>
    <w:rsid w:val="67F98036"/>
    <w:rsid w:val="67FBB07A"/>
    <w:rsid w:val="67FD1DA2"/>
    <w:rsid w:val="67FD2422"/>
    <w:rsid w:val="67FE1858"/>
    <w:rsid w:val="67FF7699"/>
    <w:rsid w:val="6800043C"/>
    <w:rsid w:val="68026E9F"/>
    <w:rsid w:val="6803AFE3"/>
    <w:rsid w:val="6804B14C"/>
    <w:rsid w:val="6809F853"/>
    <w:rsid w:val="6811CBC5"/>
    <w:rsid w:val="68138046"/>
    <w:rsid w:val="68149E4F"/>
    <w:rsid w:val="6817BF2F"/>
    <w:rsid w:val="6829DCF2"/>
    <w:rsid w:val="682B467B"/>
    <w:rsid w:val="682C41E6"/>
    <w:rsid w:val="683108B9"/>
    <w:rsid w:val="68349CE2"/>
    <w:rsid w:val="68363E4D"/>
    <w:rsid w:val="684076CF"/>
    <w:rsid w:val="684251BD"/>
    <w:rsid w:val="6842CFA2"/>
    <w:rsid w:val="68497528"/>
    <w:rsid w:val="685269C7"/>
    <w:rsid w:val="68568480"/>
    <w:rsid w:val="6856D677"/>
    <w:rsid w:val="685CA7BD"/>
    <w:rsid w:val="6865F80A"/>
    <w:rsid w:val="68736A9C"/>
    <w:rsid w:val="687452AC"/>
    <w:rsid w:val="68819136"/>
    <w:rsid w:val="6882D9C0"/>
    <w:rsid w:val="688DBFF0"/>
    <w:rsid w:val="688F75DF"/>
    <w:rsid w:val="689006FD"/>
    <w:rsid w:val="6890E19F"/>
    <w:rsid w:val="68920EDC"/>
    <w:rsid w:val="6892349F"/>
    <w:rsid w:val="68963E56"/>
    <w:rsid w:val="689B4DCA"/>
    <w:rsid w:val="68A1A8A5"/>
    <w:rsid w:val="68A23C23"/>
    <w:rsid w:val="68AA8075"/>
    <w:rsid w:val="68AF2730"/>
    <w:rsid w:val="68B67096"/>
    <w:rsid w:val="68B91564"/>
    <w:rsid w:val="68BF00DF"/>
    <w:rsid w:val="68C943E8"/>
    <w:rsid w:val="68CA224E"/>
    <w:rsid w:val="68CDDBC2"/>
    <w:rsid w:val="68D076AE"/>
    <w:rsid w:val="68D3761E"/>
    <w:rsid w:val="68D52EB4"/>
    <w:rsid w:val="68D61206"/>
    <w:rsid w:val="68DEC414"/>
    <w:rsid w:val="68E45B84"/>
    <w:rsid w:val="68E75B88"/>
    <w:rsid w:val="68EDD789"/>
    <w:rsid w:val="68EF939A"/>
    <w:rsid w:val="68F015C7"/>
    <w:rsid w:val="68F20137"/>
    <w:rsid w:val="68F301BA"/>
    <w:rsid w:val="68F7CB7D"/>
    <w:rsid w:val="68F971CF"/>
    <w:rsid w:val="68FB9C1A"/>
    <w:rsid w:val="6902225A"/>
    <w:rsid w:val="6906302F"/>
    <w:rsid w:val="690A5CDB"/>
    <w:rsid w:val="690A5CE9"/>
    <w:rsid w:val="690E7206"/>
    <w:rsid w:val="6911FCB9"/>
    <w:rsid w:val="691458F0"/>
    <w:rsid w:val="69187FC1"/>
    <w:rsid w:val="691AFB26"/>
    <w:rsid w:val="691D23DA"/>
    <w:rsid w:val="691D37B6"/>
    <w:rsid w:val="6924127B"/>
    <w:rsid w:val="692B50A8"/>
    <w:rsid w:val="692D582F"/>
    <w:rsid w:val="693545C3"/>
    <w:rsid w:val="69372E56"/>
    <w:rsid w:val="693797F5"/>
    <w:rsid w:val="693A67B3"/>
    <w:rsid w:val="69429647"/>
    <w:rsid w:val="6942D92D"/>
    <w:rsid w:val="6949E2A6"/>
    <w:rsid w:val="694A743B"/>
    <w:rsid w:val="694DD31D"/>
    <w:rsid w:val="695FE310"/>
    <w:rsid w:val="69616936"/>
    <w:rsid w:val="696260A7"/>
    <w:rsid w:val="696A01A3"/>
    <w:rsid w:val="696E506C"/>
    <w:rsid w:val="6972EFD6"/>
    <w:rsid w:val="6976F474"/>
    <w:rsid w:val="69780C2C"/>
    <w:rsid w:val="69798AC3"/>
    <w:rsid w:val="6979C34D"/>
    <w:rsid w:val="697B2A1F"/>
    <w:rsid w:val="697B6314"/>
    <w:rsid w:val="697C693C"/>
    <w:rsid w:val="697E3C32"/>
    <w:rsid w:val="697FEC35"/>
    <w:rsid w:val="6981FEFB"/>
    <w:rsid w:val="69828B90"/>
    <w:rsid w:val="6985ECC3"/>
    <w:rsid w:val="69865432"/>
    <w:rsid w:val="69896A9D"/>
    <w:rsid w:val="698B8F2D"/>
    <w:rsid w:val="6990048D"/>
    <w:rsid w:val="6997BA94"/>
    <w:rsid w:val="699DB421"/>
    <w:rsid w:val="69A2B701"/>
    <w:rsid w:val="69A31421"/>
    <w:rsid w:val="69A64E4D"/>
    <w:rsid w:val="69A7CACF"/>
    <w:rsid w:val="69A84A8E"/>
    <w:rsid w:val="69A8CAB1"/>
    <w:rsid w:val="69ADEFCB"/>
    <w:rsid w:val="69ADFF69"/>
    <w:rsid w:val="69B056E5"/>
    <w:rsid w:val="69B19934"/>
    <w:rsid w:val="69B1A384"/>
    <w:rsid w:val="69B1C0B1"/>
    <w:rsid w:val="69B200BD"/>
    <w:rsid w:val="69B277B1"/>
    <w:rsid w:val="69B35789"/>
    <w:rsid w:val="69B50741"/>
    <w:rsid w:val="69C2F513"/>
    <w:rsid w:val="69C40FBC"/>
    <w:rsid w:val="69C5A9F3"/>
    <w:rsid w:val="69C77F8D"/>
    <w:rsid w:val="69CC4E02"/>
    <w:rsid w:val="69D15523"/>
    <w:rsid w:val="69D3C6B6"/>
    <w:rsid w:val="69D4200C"/>
    <w:rsid w:val="69D4346C"/>
    <w:rsid w:val="69D95EC9"/>
    <w:rsid w:val="69DE07E1"/>
    <w:rsid w:val="69DF24C3"/>
    <w:rsid w:val="69E23E42"/>
    <w:rsid w:val="69E6C287"/>
    <w:rsid w:val="69E71423"/>
    <w:rsid w:val="69EDF171"/>
    <w:rsid w:val="69F087C4"/>
    <w:rsid w:val="69F534C3"/>
    <w:rsid w:val="69FD628E"/>
    <w:rsid w:val="69FE1BC9"/>
    <w:rsid w:val="6A03452F"/>
    <w:rsid w:val="6A0B5C8F"/>
    <w:rsid w:val="6A1AF5A0"/>
    <w:rsid w:val="6A1F12AE"/>
    <w:rsid w:val="6A1F9D04"/>
    <w:rsid w:val="6A2333B1"/>
    <w:rsid w:val="6A29596B"/>
    <w:rsid w:val="6A2D629B"/>
    <w:rsid w:val="6A2DBE7A"/>
    <w:rsid w:val="6A368767"/>
    <w:rsid w:val="6A397F66"/>
    <w:rsid w:val="6A3A8403"/>
    <w:rsid w:val="6A3D2FA4"/>
    <w:rsid w:val="6A3F1749"/>
    <w:rsid w:val="6A472920"/>
    <w:rsid w:val="6A4854B5"/>
    <w:rsid w:val="6A4BD042"/>
    <w:rsid w:val="6A56216F"/>
    <w:rsid w:val="6A58FE8F"/>
    <w:rsid w:val="6A59A746"/>
    <w:rsid w:val="6A5DDA46"/>
    <w:rsid w:val="6A5F8FFA"/>
    <w:rsid w:val="6A60E49C"/>
    <w:rsid w:val="6A6268CD"/>
    <w:rsid w:val="6A6389D5"/>
    <w:rsid w:val="6A6510D9"/>
    <w:rsid w:val="6A6A6609"/>
    <w:rsid w:val="6A6C9A80"/>
    <w:rsid w:val="6A6F2AA6"/>
    <w:rsid w:val="6A6F61D6"/>
    <w:rsid w:val="6A74EA75"/>
    <w:rsid w:val="6A760EF9"/>
    <w:rsid w:val="6A79C905"/>
    <w:rsid w:val="6A7A28BA"/>
    <w:rsid w:val="6A80D370"/>
    <w:rsid w:val="6A80FDCE"/>
    <w:rsid w:val="6A8E630C"/>
    <w:rsid w:val="6A96188B"/>
    <w:rsid w:val="6A965B7D"/>
    <w:rsid w:val="6A980A33"/>
    <w:rsid w:val="6A998A5E"/>
    <w:rsid w:val="6A9A6E68"/>
    <w:rsid w:val="6AA49EFD"/>
    <w:rsid w:val="6AA6A0F8"/>
    <w:rsid w:val="6AAA7384"/>
    <w:rsid w:val="6AAB9127"/>
    <w:rsid w:val="6AADEB18"/>
    <w:rsid w:val="6AAEAE02"/>
    <w:rsid w:val="6AB33BB6"/>
    <w:rsid w:val="6AB4BD94"/>
    <w:rsid w:val="6AB4F232"/>
    <w:rsid w:val="6AB52E8E"/>
    <w:rsid w:val="6AB6AA5C"/>
    <w:rsid w:val="6AB82694"/>
    <w:rsid w:val="6AB9B682"/>
    <w:rsid w:val="6AC65C16"/>
    <w:rsid w:val="6ACAB981"/>
    <w:rsid w:val="6AD02C96"/>
    <w:rsid w:val="6AD25144"/>
    <w:rsid w:val="6AD88578"/>
    <w:rsid w:val="6ADD1325"/>
    <w:rsid w:val="6AE1AE50"/>
    <w:rsid w:val="6AE6020E"/>
    <w:rsid w:val="6AE7EEA9"/>
    <w:rsid w:val="6AE9C4DB"/>
    <w:rsid w:val="6AEB5256"/>
    <w:rsid w:val="6AED227D"/>
    <w:rsid w:val="6AEE6283"/>
    <w:rsid w:val="6AF86870"/>
    <w:rsid w:val="6AFAC021"/>
    <w:rsid w:val="6AFEA4E8"/>
    <w:rsid w:val="6B068021"/>
    <w:rsid w:val="6B09DCD0"/>
    <w:rsid w:val="6B0B2F5C"/>
    <w:rsid w:val="6B0F064E"/>
    <w:rsid w:val="6B14FCDD"/>
    <w:rsid w:val="6B19E8C8"/>
    <w:rsid w:val="6B1D3ADB"/>
    <w:rsid w:val="6B291699"/>
    <w:rsid w:val="6B2EDF0C"/>
    <w:rsid w:val="6B329DC6"/>
    <w:rsid w:val="6B33BDEA"/>
    <w:rsid w:val="6B376F42"/>
    <w:rsid w:val="6B380039"/>
    <w:rsid w:val="6B431FC0"/>
    <w:rsid w:val="6B444F3E"/>
    <w:rsid w:val="6B488D18"/>
    <w:rsid w:val="6B4D4621"/>
    <w:rsid w:val="6B4F3731"/>
    <w:rsid w:val="6B50B17E"/>
    <w:rsid w:val="6B5C277C"/>
    <w:rsid w:val="6B64309A"/>
    <w:rsid w:val="6B65AEA8"/>
    <w:rsid w:val="6B686210"/>
    <w:rsid w:val="6B69BCCE"/>
    <w:rsid w:val="6B6AAD2A"/>
    <w:rsid w:val="6B6DF42D"/>
    <w:rsid w:val="6B6ECAEC"/>
    <w:rsid w:val="6B702B4A"/>
    <w:rsid w:val="6B70D3A6"/>
    <w:rsid w:val="6B7231E5"/>
    <w:rsid w:val="6B77B63F"/>
    <w:rsid w:val="6B7BFFF8"/>
    <w:rsid w:val="6B7C9E68"/>
    <w:rsid w:val="6B7EBBAD"/>
    <w:rsid w:val="6B7FE123"/>
    <w:rsid w:val="6B86A942"/>
    <w:rsid w:val="6B88CB9A"/>
    <w:rsid w:val="6B969307"/>
    <w:rsid w:val="6B9E285F"/>
    <w:rsid w:val="6BA82602"/>
    <w:rsid w:val="6BA86EED"/>
    <w:rsid w:val="6BA8C57B"/>
    <w:rsid w:val="6BA93B83"/>
    <w:rsid w:val="6BAA8A2A"/>
    <w:rsid w:val="6BAD7B31"/>
    <w:rsid w:val="6BB30B9E"/>
    <w:rsid w:val="6BB4CB88"/>
    <w:rsid w:val="6BB60F36"/>
    <w:rsid w:val="6BBBFBF3"/>
    <w:rsid w:val="6BBC0683"/>
    <w:rsid w:val="6BC412C1"/>
    <w:rsid w:val="6BC7EC04"/>
    <w:rsid w:val="6BCB3AF0"/>
    <w:rsid w:val="6BCCA66B"/>
    <w:rsid w:val="6BCD5D70"/>
    <w:rsid w:val="6BCF99A3"/>
    <w:rsid w:val="6BD41CE7"/>
    <w:rsid w:val="6BD74600"/>
    <w:rsid w:val="6BDE82B6"/>
    <w:rsid w:val="6BE4DC5D"/>
    <w:rsid w:val="6BE8D195"/>
    <w:rsid w:val="6BFBD523"/>
    <w:rsid w:val="6C014CAB"/>
    <w:rsid w:val="6C03ED9E"/>
    <w:rsid w:val="6C08EBF8"/>
    <w:rsid w:val="6C0C7C45"/>
    <w:rsid w:val="6C0D016C"/>
    <w:rsid w:val="6C0ED4E1"/>
    <w:rsid w:val="6C115AA4"/>
    <w:rsid w:val="6C1344BA"/>
    <w:rsid w:val="6C137C2A"/>
    <w:rsid w:val="6C1868FD"/>
    <w:rsid w:val="6C196BB7"/>
    <w:rsid w:val="6C19CEB1"/>
    <w:rsid w:val="6C1C3A46"/>
    <w:rsid w:val="6C1E4549"/>
    <w:rsid w:val="6C204EBF"/>
    <w:rsid w:val="6C20A9DD"/>
    <w:rsid w:val="6C28D017"/>
    <w:rsid w:val="6C2C8D08"/>
    <w:rsid w:val="6C2E6544"/>
    <w:rsid w:val="6C31EE79"/>
    <w:rsid w:val="6C344CC7"/>
    <w:rsid w:val="6C3C2C16"/>
    <w:rsid w:val="6C3D062A"/>
    <w:rsid w:val="6C3F7BD8"/>
    <w:rsid w:val="6C404C9B"/>
    <w:rsid w:val="6C41C4E0"/>
    <w:rsid w:val="6C4766C5"/>
    <w:rsid w:val="6C47EA18"/>
    <w:rsid w:val="6C4E07F2"/>
    <w:rsid w:val="6C503A60"/>
    <w:rsid w:val="6C50AE92"/>
    <w:rsid w:val="6C51A4C5"/>
    <w:rsid w:val="6C52308E"/>
    <w:rsid w:val="6C52D7FB"/>
    <w:rsid w:val="6C530DDD"/>
    <w:rsid w:val="6C53404A"/>
    <w:rsid w:val="6C53E7B1"/>
    <w:rsid w:val="6C53F337"/>
    <w:rsid w:val="6C543091"/>
    <w:rsid w:val="6C5AE740"/>
    <w:rsid w:val="6C5E53F1"/>
    <w:rsid w:val="6C60E1E4"/>
    <w:rsid w:val="6C62C2FE"/>
    <w:rsid w:val="6C62E138"/>
    <w:rsid w:val="6C66780F"/>
    <w:rsid w:val="6C6C28A0"/>
    <w:rsid w:val="6C6C9BD0"/>
    <w:rsid w:val="6C70CCE2"/>
    <w:rsid w:val="6C70E173"/>
    <w:rsid w:val="6C740120"/>
    <w:rsid w:val="6C794CAD"/>
    <w:rsid w:val="6C7D72D0"/>
    <w:rsid w:val="6C812EEF"/>
    <w:rsid w:val="6C82D8B7"/>
    <w:rsid w:val="6C82F66D"/>
    <w:rsid w:val="6C83068B"/>
    <w:rsid w:val="6C8399FF"/>
    <w:rsid w:val="6C8D11B8"/>
    <w:rsid w:val="6C8E91DB"/>
    <w:rsid w:val="6C97B775"/>
    <w:rsid w:val="6C98B8C7"/>
    <w:rsid w:val="6C9C0963"/>
    <w:rsid w:val="6CA08646"/>
    <w:rsid w:val="6CA145CE"/>
    <w:rsid w:val="6CA2F957"/>
    <w:rsid w:val="6CA31754"/>
    <w:rsid w:val="6CA41AC1"/>
    <w:rsid w:val="6CA46455"/>
    <w:rsid w:val="6CA5E5F9"/>
    <w:rsid w:val="6CA75E21"/>
    <w:rsid w:val="6CA97682"/>
    <w:rsid w:val="6CAF75A7"/>
    <w:rsid w:val="6CB1C579"/>
    <w:rsid w:val="6CB46E76"/>
    <w:rsid w:val="6CB7BAA0"/>
    <w:rsid w:val="6CB81C1A"/>
    <w:rsid w:val="6CBC31C5"/>
    <w:rsid w:val="6CBF313E"/>
    <w:rsid w:val="6CC0ECF9"/>
    <w:rsid w:val="6CC1253A"/>
    <w:rsid w:val="6CC4CFA9"/>
    <w:rsid w:val="6CC5B964"/>
    <w:rsid w:val="6CD31F75"/>
    <w:rsid w:val="6CD583DB"/>
    <w:rsid w:val="6CDAABE3"/>
    <w:rsid w:val="6CDEE409"/>
    <w:rsid w:val="6CDF93F6"/>
    <w:rsid w:val="6CE101BC"/>
    <w:rsid w:val="6CE26067"/>
    <w:rsid w:val="6CE28891"/>
    <w:rsid w:val="6CE43AC1"/>
    <w:rsid w:val="6CE88BA4"/>
    <w:rsid w:val="6CEB4744"/>
    <w:rsid w:val="6CECCF83"/>
    <w:rsid w:val="6CF06594"/>
    <w:rsid w:val="6CF24DB5"/>
    <w:rsid w:val="6CF30BCC"/>
    <w:rsid w:val="6CF31795"/>
    <w:rsid w:val="6CF46B0B"/>
    <w:rsid w:val="6CF747B8"/>
    <w:rsid w:val="6CF8603B"/>
    <w:rsid w:val="6CF91979"/>
    <w:rsid w:val="6CFBE227"/>
    <w:rsid w:val="6CFEF9EC"/>
    <w:rsid w:val="6D00C171"/>
    <w:rsid w:val="6D041199"/>
    <w:rsid w:val="6D0411AA"/>
    <w:rsid w:val="6D093AA9"/>
    <w:rsid w:val="6D0D3179"/>
    <w:rsid w:val="6D1DC5E9"/>
    <w:rsid w:val="6D2519C9"/>
    <w:rsid w:val="6D2CD107"/>
    <w:rsid w:val="6D2D3E39"/>
    <w:rsid w:val="6D346577"/>
    <w:rsid w:val="6D366D81"/>
    <w:rsid w:val="6D381080"/>
    <w:rsid w:val="6D385ECC"/>
    <w:rsid w:val="6D3A19E9"/>
    <w:rsid w:val="6D3D3B20"/>
    <w:rsid w:val="6D475C7F"/>
    <w:rsid w:val="6D4940C7"/>
    <w:rsid w:val="6D4A203F"/>
    <w:rsid w:val="6D4CA0B2"/>
    <w:rsid w:val="6D50DE2D"/>
    <w:rsid w:val="6D517AB6"/>
    <w:rsid w:val="6D544520"/>
    <w:rsid w:val="6D549265"/>
    <w:rsid w:val="6D57145D"/>
    <w:rsid w:val="6D59B26D"/>
    <w:rsid w:val="6D5E3513"/>
    <w:rsid w:val="6D5EE46A"/>
    <w:rsid w:val="6D5F141B"/>
    <w:rsid w:val="6D6A24FE"/>
    <w:rsid w:val="6D6D233E"/>
    <w:rsid w:val="6D6D70A9"/>
    <w:rsid w:val="6D7689D3"/>
    <w:rsid w:val="6D76B2B4"/>
    <w:rsid w:val="6D78112B"/>
    <w:rsid w:val="6D788EEE"/>
    <w:rsid w:val="6D78E07A"/>
    <w:rsid w:val="6D798EBB"/>
    <w:rsid w:val="6D7A4D79"/>
    <w:rsid w:val="6D7AB40F"/>
    <w:rsid w:val="6D7BD469"/>
    <w:rsid w:val="6D7DB23C"/>
    <w:rsid w:val="6D7DD646"/>
    <w:rsid w:val="6D7F878D"/>
    <w:rsid w:val="6D8040AF"/>
    <w:rsid w:val="6D848C1F"/>
    <w:rsid w:val="6D8A3F0F"/>
    <w:rsid w:val="6D8DE5FA"/>
    <w:rsid w:val="6D902EFA"/>
    <w:rsid w:val="6D91F94E"/>
    <w:rsid w:val="6D959647"/>
    <w:rsid w:val="6D9646B2"/>
    <w:rsid w:val="6D9690B9"/>
    <w:rsid w:val="6D9B202B"/>
    <w:rsid w:val="6D9BAAFB"/>
    <w:rsid w:val="6DA50D84"/>
    <w:rsid w:val="6DA550BC"/>
    <w:rsid w:val="6DA5A6B9"/>
    <w:rsid w:val="6DA78043"/>
    <w:rsid w:val="6DA9414F"/>
    <w:rsid w:val="6DAFD79C"/>
    <w:rsid w:val="6DB4F44E"/>
    <w:rsid w:val="6DB5A5FF"/>
    <w:rsid w:val="6DB72393"/>
    <w:rsid w:val="6DB7F4F0"/>
    <w:rsid w:val="6DB96CB1"/>
    <w:rsid w:val="6DBA4567"/>
    <w:rsid w:val="6DBB27FB"/>
    <w:rsid w:val="6DBC7F26"/>
    <w:rsid w:val="6DBCDAE3"/>
    <w:rsid w:val="6DBEDEF6"/>
    <w:rsid w:val="6DC00439"/>
    <w:rsid w:val="6DC052C0"/>
    <w:rsid w:val="6DC38281"/>
    <w:rsid w:val="6DC794D5"/>
    <w:rsid w:val="6DCACCEF"/>
    <w:rsid w:val="6DCB5208"/>
    <w:rsid w:val="6DCCD432"/>
    <w:rsid w:val="6DCEA2F3"/>
    <w:rsid w:val="6DD1A42E"/>
    <w:rsid w:val="6DD20085"/>
    <w:rsid w:val="6DD4D323"/>
    <w:rsid w:val="6DDA0BB7"/>
    <w:rsid w:val="6DDBDB9E"/>
    <w:rsid w:val="6DDF77B7"/>
    <w:rsid w:val="6DE0DA4D"/>
    <w:rsid w:val="6DE39E5F"/>
    <w:rsid w:val="6DE8544E"/>
    <w:rsid w:val="6DEC83A5"/>
    <w:rsid w:val="6DEF2E27"/>
    <w:rsid w:val="6E00827C"/>
    <w:rsid w:val="6E06FC45"/>
    <w:rsid w:val="6E0944E7"/>
    <w:rsid w:val="6E0DD159"/>
    <w:rsid w:val="6E0EC2DC"/>
    <w:rsid w:val="6E0FC847"/>
    <w:rsid w:val="6E10B299"/>
    <w:rsid w:val="6E11C1C7"/>
    <w:rsid w:val="6E13C969"/>
    <w:rsid w:val="6E140CD3"/>
    <w:rsid w:val="6E1730CB"/>
    <w:rsid w:val="6E1A919A"/>
    <w:rsid w:val="6E2038D4"/>
    <w:rsid w:val="6E215835"/>
    <w:rsid w:val="6E21E449"/>
    <w:rsid w:val="6E22289A"/>
    <w:rsid w:val="6E2AB189"/>
    <w:rsid w:val="6E2B0282"/>
    <w:rsid w:val="6E2C4CAB"/>
    <w:rsid w:val="6E3DD331"/>
    <w:rsid w:val="6E3F7FA2"/>
    <w:rsid w:val="6E40C181"/>
    <w:rsid w:val="6E418A13"/>
    <w:rsid w:val="6E431A54"/>
    <w:rsid w:val="6E48FB2D"/>
    <w:rsid w:val="6E4B0F93"/>
    <w:rsid w:val="6E549021"/>
    <w:rsid w:val="6E5B6D8B"/>
    <w:rsid w:val="6E5FB4F0"/>
    <w:rsid w:val="6E6014EB"/>
    <w:rsid w:val="6E6275BF"/>
    <w:rsid w:val="6E64558A"/>
    <w:rsid w:val="6E65E257"/>
    <w:rsid w:val="6E670986"/>
    <w:rsid w:val="6E67C141"/>
    <w:rsid w:val="6E68B61E"/>
    <w:rsid w:val="6E68F4D0"/>
    <w:rsid w:val="6E6C412C"/>
    <w:rsid w:val="6E6C6BB7"/>
    <w:rsid w:val="6E70819C"/>
    <w:rsid w:val="6E718D25"/>
    <w:rsid w:val="6E72CD39"/>
    <w:rsid w:val="6E7339E8"/>
    <w:rsid w:val="6E7359AB"/>
    <w:rsid w:val="6E758612"/>
    <w:rsid w:val="6E774591"/>
    <w:rsid w:val="6E7D3E1C"/>
    <w:rsid w:val="6E886A39"/>
    <w:rsid w:val="6E8A3ED7"/>
    <w:rsid w:val="6E8B204A"/>
    <w:rsid w:val="6E960C8E"/>
    <w:rsid w:val="6E9AF4D7"/>
    <w:rsid w:val="6EA1659D"/>
    <w:rsid w:val="6EA565C1"/>
    <w:rsid w:val="6EA5B5CA"/>
    <w:rsid w:val="6EAB6AD8"/>
    <w:rsid w:val="6EAC519E"/>
    <w:rsid w:val="6EB02D3A"/>
    <w:rsid w:val="6EB07283"/>
    <w:rsid w:val="6EB0ED3F"/>
    <w:rsid w:val="6EB184C3"/>
    <w:rsid w:val="6EC257BB"/>
    <w:rsid w:val="6EC8A2A7"/>
    <w:rsid w:val="6ECF153A"/>
    <w:rsid w:val="6ED08A72"/>
    <w:rsid w:val="6ED4B770"/>
    <w:rsid w:val="6ED95495"/>
    <w:rsid w:val="6EDACC53"/>
    <w:rsid w:val="6EE70658"/>
    <w:rsid w:val="6EEEC7E2"/>
    <w:rsid w:val="6EF1FAD1"/>
    <w:rsid w:val="6EF54F6D"/>
    <w:rsid w:val="6EF74B45"/>
    <w:rsid w:val="6EF837F8"/>
    <w:rsid w:val="6EFA2AFD"/>
    <w:rsid w:val="6F0A5889"/>
    <w:rsid w:val="6F0AD3DC"/>
    <w:rsid w:val="6F0D902B"/>
    <w:rsid w:val="6F110CA8"/>
    <w:rsid w:val="6F11CC01"/>
    <w:rsid w:val="6F174875"/>
    <w:rsid w:val="6F196C47"/>
    <w:rsid w:val="6F19A0FE"/>
    <w:rsid w:val="6F19FBEB"/>
    <w:rsid w:val="6F1BDFC7"/>
    <w:rsid w:val="6F1E999F"/>
    <w:rsid w:val="6F262590"/>
    <w:rsid w:val="6F2AEC79"/>
    <w:rsid w:val="6F2C4B03"/>
    <w:rsid w:val="6F2CD69B"/>
    <w:rsid w:val="6F2E1505"/>
    <w:rsid w:val="6F31A261"/>
    <w:rsid w:val="6F33B593"/>
    <w:rsid w:val="6F3870DF"/>
    <w:rsid w:val="6F39995B"/>
    <w:rsid w:val="6F3F8E13"/>
    <w:rsid w:val="6F3FA368"/>
    <w:rsid w:val="6F428582"/>
    <w:rsid w:val="6F4825A9"/>
    <w:rsid w:val="6F490ACC"/>
    <w:rsid w:val="6F495427"/>
    <w:rsid w:val="6F49985D"/>
    <w:rsid w:val="6F4A9B8D"/>
    <w:rsid w:val="6F51811D"/>
    <w:rsid w:val="6F52C0BC"/>
    <w:rsid w:val="6F532F40"/>
    <w:rsid w:val="6F578D84"/>
    <w:rsid w:val="6F5CD770"/>
    <w:rsid w:val="6F5EFAD4"/>
    <w:rsid w:val="6F625AB0"/>
    <w:rsid w:val="6F636520"/>
    <w:rsid w:val="6F636691"/>
    <w:rsid w:val="6F66B0F6"/>
    <w:rsid w:val="6F6945E3"/>
    <w:rsid w:val="6F71F1C1"/>
    <w:rsid w:val="6F723EAA"/>
    <w:rsid w:val="6F895BF2"/>
    <w:rsid w:val="6F8A178A"/>
    <w:rsid w:val="6F8D08D7"/>
    <w:rsid w:val="6F8D5175"/>
    <w:rsid w:val="6F9309B8"/>
    <w:rsid w:val="6F990F87"/>
    <w:rsid w:val="6F9B1017"/>
    <w:rsid w:val="6F9D40C8"/>
    <w:rsid w:val="6F9E9192"/>
    <w:rsid w:val="6F9F1E85"/>
    <w:rsid w:val="6FA2BEC5"/>
    <w:rsid w:val="6FAB4FA5"/>
    <w:rsid w:val="6FAB7E1B"/>
    <w:rsid w:val="6FB024F5"/>
    <w:rsid w:val="6FB5234A"/>
    <w:rsid w:val="6FB851CD"/>
    <w:rsid w:val="6FBE1AF2"/>
    <w:rsid w:val="6FC5D396"/>
    <w:rsid w:val="6FC8A31F"/>
    <w:rsid w:val="6FCA79E0"/>
    <w:rsid w:val="6FCC24EC"/>
    <w:rsid w:val="6FCD0A49"/>
    <w:rsid w:val="6FD16598"/>
    <w:rsid w:val="6FD310AC"/>
    <w:rsid w:val="6FD6A88B"/>
    <w:rsid w:val="6FD9A4E5"/>
    <w:rsid w:val="6FDA7569"/>
    <w:rsid w:val="6FE069AC"/>
    <w:rsid w:val="6FE17866"/>
    <w:rsid w:val="6FE4E694"/>
    <w:rsid w:val="6FE4F23F"/>
    <w:rsid w:val="6FE6C65B"/>
    <w:rsid w:val="6FE847EA"/>
    <w:rsid w:val="6FE8E7DF"/>
    <w:rsid w:val="6FEB1084"/>
    <w:rsid w:val="6FEB1B07"/>
    <w:rsid w:val="6FF37E9B"/>
    <w:rsid w:val="6FF5D905"/>
    <w:rsid w:val="6FF7F640"/>
    <w:rsid w:val="6FF94A27"/>
    <w:rsid w:val="6FFAD116"/>
    <w:rsid w:val="6FFD4F6C"/>
    <w:rsid w:val="6FFD932C"/>
    <w:rsid w:val="6FFF6845"/>
    <w:rsid w:val="70011F74"/>
    <w:rsid w:val="70079C77"/>
    <w:rsid w:val="70091BAD"/>
    <w:rsid w:val="700F2716"/>
    <w:rsid w:val="70171915"/>
    <w:rsid w:val="701A291F"/>
    <w:rsid w:val="70207655"/>
    <w:rsid w:val="702360EA"/>
    <w:rsid w:val="702478AD"/>
    <w:rsid w:val="7027D502"/>
    <w:rsid w:val="702B4B88"/>
    <w:rsid w:val="703408B0"/>
    <w:rsid w:val="70340985"/>
    <w:rsid w:val="70351390"/>
    <w:rsid w:val="7035D587"/>
    <w:rsid w:val="7039E6DA"/>
    <w:rsid w:val="703DF4A3"/>
    <w:rsid w:val="703F2E84"/>
    <w:rsid w:val="70400E1B"/>
    <w:rsid w:val="7040ED80"/>
    <w:rsid w:val="7046CD2B"/>
    <w:rsid w:val="704846F3"/>
    <w:rsid w:val="704D0DF4"/>
    <w:rsid w:val="704DF7BB"/>
    <w:rsid w:val="704E5464"/>
    <w:rsid w:val="704EED15"/>
    <w:rsid w:val="704FEF37"/>
    <w:rsid w:val="7052A958"/>
    <w:rsid w:val="7053B027"/>
    <w:rsid w:val="706A68AE"/>
    <w:rsid w:val="706B1B07"/>
    <w:rsid w:val="706D0917"/>
    <w:rsid w:val="70700D14"/>
    <w:rsid w:val="70728CA0"/>
    <w:rsid w:val="7077C73D"/>
    <w:rsid w:val="7078824C"/>
    <w:rsid w:val="707BF94E"/>
    <w:rsid w:val="707CEBD7"/>
    <w:rsid w:val="7080FB17"/>
    <w:rsid w:val="70811CBB"/>
    <w:rsid w:val="708294B2"/>
    <w:rsid w:val="7084046E"/>
    <w:rsid w:val="70846398"/>
    <w:rsid w:val="7088B8E1"/>
    <w:rsid w:val="708C05D2"/>
    <w:rsid w:val="708CE66E"/>
    <w:rsid w:val="708D47D2"/>
    <w:rsid w:val="708F6F1F"/>
    <w:rsid w:val="7091F9F9"/>
    <w:rsid w:val="709290D1"/>
    <w:rsid w:val="70962BFB"/>
    <w:rsid w:val="709CADCA"/>
    <w:rsid w:val="70A1185F"/>
    <w:rsid w:val="70A561BA"/>
    <w:rsid w:val="70A5A541"/>
    <w:rsid w:val="70A74E48"/>
    <w:rsid w:val="70AF5F5C"/>
    <w:rsid w:val="70AFEDF1"/>
    <w:rsid w:val="70B09216"/>
    <w:rsid w:val="70B15844"/>
    <w:rsid w:val="70B613DD"/>
    <w:rsid w:val="70CB2D52"/>
    <w:rsid w:val="70CB796A"/>
    <w:rsid w:val="70CE2166"/>
    <w:rsid w:val="70D344AF"/>
    <w:rsid w:val="70D36988"/>
    <w:rsid w:val="70DBD595"/>
    <w:rsid w:val="70DDAAA5"/>
    <w:rsid w:val="70E8FA51"/>
    <w:rsid w:val="70F73EC5"/>
    <w:rsid w:val="70F9E079"/>
    <w:rsid w:val="71085F57"/>
    <w:rsid w:val="710A6A8D"/>
    <w:rsid w:val="710AB1B2"/>
    <w:rsid w:val="710B8220"/>
    <w:rsid w:val="710CB6A6"/>
    <w:rsid w:val="71128540"/>
    <w:rsid w:val="7112A531"/>
    <w:rsid w:val="7115AC7A"/>
    <w:rsid w:val="71172E14"/>
    <w:rsid w:val="711BB8C7"/>
    <w:rsid w:val="71246409"/>
    <w:rsid w:val="71291647"/>
    <w:rsid w:val="71294404"/>
    <w:rsid w:val="71303377"/>
    <w:rsid w:val="7131C51D"/>
    <w:rsid w:val="7133195E"/>
    <w:rsid w:val="713404EF"/>
    <w:rsid w:val="71342186"/>
    <w:rsid w:val="7136DCF9"/>
    <w:rsid w:val="71372AF3"/>
    <w:rsid w:val="71380378"/>
    <w:rsid w:val="713EE8A4"/>
    <w:rsid w:val="7143A6AD"/>
    <w:rsid w:val="7143F678"/>
    <w:rsid w:val="7144296C"/>
    <w:rsid w:val="7152DA0E"/>
    <w:rsid w:val="71539C60"/>
    <w:rsid w:val="7153AF30"/>
    <w:rsid w:val="71576180"/>
    <w:rsid w:val="7158B0A1"/>
    <w:rsid w:val="71593F38"/>
    <w:rsid w:val="715BC5DD"/>
    <w:rsid w:val="715E1A77"/>
    <w:rsid w:val="715F224F"/>
    <w:rsid w:val="715F4B70"/>
    <w:rsid w:val="71621211"/>
    <w:rsid w:val="716234EC"/>
    <w:rsid w:val="716AEB7E"/>
    <w:rsid w:val="716BF58F"/>
    <w:rsid w:val="716C311B"/>
    <w:rsid w:val="716CA046"/>
    <w:rsid w:val="716D3F21"/>
    <w:rsid w:val="716DF02D"/>
    <w:rsid w:val="716E1D7A"/>
    <w:rsid w:val="717048B0"/>
    <w:rsid w:val="7170DE4F"/>
    <w:rsid w:val="7178AC20"/>
    <w:rsid w:val="717AB084"/>
    <w:rsid w:val="717C670D"/>
    <w:rsid w:val="717CAFDC"/>
    <w:rsid w:val="718247B3"/>
    <w:rsid w:val="7189D1C7"/>
    <w:rsid w:val="718A16CF"/>
    <w:rsid w:val="718C7C3F"/>
    <w:rsid w:val="718E077F"/>
    <w:rsid w:val="719382C6"/>
    <w:rsid w:val="71963A8B"/>
    <w:rsid w:val="719EA385"/>
    <w:rsid w:val="71A2BC73"/>
    <w:rsid w:val="71A4DE48"/>
    <w:rsid w:val="71A8914A"/>
    <w:rsid w:val="71A9FAAE"/>
    <w:rsid w:val="71AC275F"/>
    <w:rsid w:val="71AD34D3"/>
    <w:rsid w:val="71AE208E"/>
    <w:rsid w:val="71B64A84"/>
    <w:rsid w:val="71B6BEAA"/>
    <w:rsid w:val="71BEA98E"/>
    <w:rsid w:val="71C60106"/>
    <w:rsid w:val="71C8C91F"/>
    <w:rsid w:val="71CAED5D"/>
    <w:rsid w:val="71CC527C"/>
    <w:rsid w:val="71D35230"/>
    <w:rsid w:val="71D905FA"/>
    <w:rsid w:val="71DAF42D"/>
    <w:rsid w:val="71DC0B51"/>
    <w:rsid w:val="71E07FDC"/>
    <w:rsid w:val="71E6AFB2"/>
    <w:rsid w:val="71E71D19"/>
    <w:rsid w:val="71EB9828"/>
    <w:rsid w:val="71EBA85A"/>
    <w:rsid w:val="71F8D444"/>
    <w:rsid w:val="71F99F35"/>
    <w:rsid w:val="71FE5591"/>
    <w:rsid w:val="7200B77C"/>
    <w:rsid w:val="72042F69"/>
    <w:rsid w:val="7207E421"/>
    <w:rsid w:val="72088047"/>
    <w:rsid w:val="72098D5B"/>
    <w:rsid w:val="72108B3E"/>
    <w:rsid w:val="7213B585"/>
    <w:rsid w:val="721B84F4"/>
    <w:rsid w:val="721C04AD"/>
    <w:rsid w:val="721D79BC"/>
    <w:rsid w:val="72204F1F"/>
    <w:rsid w:val="72264C9B"/>
    <w:rsid w:val="722BBA2E"/>
    <w:rsid w:val="722C07B0"/>
    <w:rsid w:val="722D025F"/>
    <w:rsid w:val="72343CE5"/>
    <w:rsid w:val="7234DDA8"/>
    <w:rsid w:val="72373D3F"/>
    <w:rsid w:val="72379DF5"/>
    <w:rsid w:val="72391FDC"/>
    <w:rsid w:val="723AB41B"/>
    <w:rsid w:val="723EF5B4"/>
    <w:rsid w:val="723F49CE"/>
    <w:rsid w:val="72430252"/>
    <w:rsid w:val="7247DA89"/>
    <w:rsid w:val="7252601B"/>
    <w:rsid w:val="7252FE26"/>
    <w:rsid w:val="72542FD9"/>
    <w:rsid w:val="7266348F"/>
    <w:rsid w:val="726FC230"/>
    <w:rsid w:val="727130AF"/>
    <w:rsid w:val="7271BBA2"/>
    <w:rsid w:val="72788C79"/>
    <w:rsid w:val="727A2FF6"/>
    <w:rsid w:val="72814A87"/>
    <w:rsid w:val="7283E87D"/>
    <w:rsid w:val="7288CEFB"/>
    <w:rsid w:val="728BD743"/>
    <w:rsid w:val="728EDB3F"/>
    <w:rsid w:val="7291D08E"/>
    <w:rsid w:val="7293880C"/>
    <w:rsid w:val="72939894"/>
    <w:rsid w:val="7296F627"/>
    <w:rsid w:val="729B808A"/>
    <w:rsid w:val="729BC188"/>
    <w:rsid w:val="729E31F5"/>
    <w:rsid w:val="72A2E815"/>
    <w:rsid w:val="72A8EC15"/>
    <w:rsid w:val="72AB2B37"/>
    <w:rsid w:val="72AB9534"/>
    <w:rsid w:val="72AE66C8"/>
    <w:rsid w:val="72AF793B"/>
    <w:rsid w:val="72B37F5A"/>
    <w:rsid w:val="72B4475D"/>
    <w:rsid w:val="72B4C2C9"/>
    <w:rsid w:val="72B92CE4"/>
    <w:rsid w:val="72B994B0"/>
    <w:rsid w:val="72C050D6"/>
    <w:rsid w:val="72C14BE2"/>
    <w:rsid w:val="72C26D75"/>
    <w:rsid w:val="72C2F393"/>
    <w:rsid w:val="72C34BB4"/>
    <w:rsid w:val="72C44874"/>
    <w:rsid w:val="72C55562"/>
    <w:rsid w:val="72C83EDE"/>
    <w:rsid w:val="72C8C05D"/>
    <w:rsid w:val="72CCDABA"/>
    <w:rsid w:val="72D55F22"/>
    <w:rsid w:val="72D7EBED"/>
    <w:rsid w:val="72DD4D2D"/>
    <w:rsid w:val="72E01848"/>
    <w:rsid w:val="72E29B35"/>
    <w:rsid w:val="72E3B526"/>
    <w:rsid w:val="72E44A69"/>
    <w:rsid w:val="72EABC00"/>
    <w:rsid w:val="72EF03C3"/>
    <w:rsid w:val="72F12617"/>
    <w:rsid w:val="72F6AACE"/>
    <w:rsid w:val="72F74BAD"/>
    <w:rsid w:val="72F90950"/>
    <w:rsid w:val="72FBC3D1"/>
    <w:rsid w:val="7302F13D"/>
    <w:rsid w:val="7302F7BE"/>
    <w:rsid w:val="730DCBAB"/>
    <w:rsid w:val="730EBF4A"/>
    <w:rsid w:val="73119705"/>
    <w:rsid w:val="7315934B"/>
    <w:rsid w:val="731631C6"/>
    <w:rsid w:val="731A31D1"/>
    <w:rsid w:val="731DAB5F"/>
    <w:rsid w:val="731E90FE"/>
    <w:rsid w:val="7323DA3F"/>
    <w:rsid w:val="7329795D"/>
    <w:rsid w:val="732AD431"/>
    <w:rsid w:val="732F7DBC"/>
    <w:rsid w:val="7335331A"/>
    <w:rsid w:val="7335573C"/>
    <w:rsid w:val="73417F92"/>
    <w:rsid w:val="7341C20C"/>
    <w:rsid w:val="734A0E7A"/>
    <w:rsid w:val="734EF3BF"/>
    <w:rsid w:val="7351F394"/>
    <w:rsid w:val="7352F9ED"/>
    <w:rsid w:val="735705C8"/>
    <w:rsid w:val="735985FA"/>
    <w:rsid w:val="735B5DDE"/>
    <w:rsid w:val="735EE53F"/>
    <w:rsid w:val="73617A70"/>
    <w:rsid w:val="7367AF66"/>
    <w:rsid w:val="736EEE56"/>
    <w:rsid w:val="73726FDB"/>
    <w:rsid w:val="737490A1"/>
    <w:rsid w:val="73751DE9"/>
    <w:rsid w:val="7375E8F8"/>
    <w:rsid w:val="737742A2"/>
    <w:rsid w:val="7377CBA0"/>
    <w:rsid w:val="737C6737"/>
    <w:rsid w:val="737C894E"/>
    <w:rsid w:val="73852453"/>
    <w:rsid w:val="7387BF8E"/>
    <w:rsid w:val="73894565"/>
    <w:rsid w:val="738CD186"/>
    <w:rsid w:val="738FDA26"/>
    <w:rsid w:val="7398C719"/>
    <w:rsid w:val="739918B0"/>
    <w:rsid w:val="739B570B"/>
    <w:rsid w:val="739CB77A"/>
    <w:rsid w:val="73A54323"/>
    <w:rsid w:val="73A5A180"/>
    <w:rsid w:val="73B4AEDA"/>
    <w:rsid w:val="73B6975B"/>
    <w:rsid w:val="73B9F51D"/>
    <w:rsid w:val="73BE95DE"/>
    <w:rsid w:val="73C3B1BB"/>
    <w:rsid w:val="73C5EF1E"/>
    <w:rsid w:val="73C7D287"/>
    <w:rsid w:val="73CB5501"/>
    <w:rsid w:val="73CBB2EA"/>
    <w:rsid w:val="73D397D8"/>
    <w:rsid w:val="73D6C70F"/>
    <w:rsid w:val="73DE5EA3"/>
    <w:rsid w:val="73E03789"/>
    <w:rsid w:val="73E511B3"/>
    <w:rsid w:val="73E53940"/>
    <w:rsid w:val="73E7087C"/>
    <w:rsid w:val="73E7B004"/>
    <w:rsid w:val="73E980AE"/>
    <w:rsid w:val="73EAB2DF"/>
    <w:rsid w:val="73EAC226"/>
    <w:rsid w:val="73EC0BCA"/>
    <w:rsid w:val="73ED9F32"/>
    <w:rsid w:val="73F2C977"/>
    <w:rsid w:val="73F392DB"/>
    <w:rsid w:val="73FC04A9"/>
    <w:rsid w:val="73FD6006"/>
    <w:rsid w:val="73FE3C31"/>
    <w:rsid w:val="74046E80"/>
    <w:rsid w:val="7407ED3A"/>
    <w:rsid w:val="740A6702"/>
    <w:rsid w:val="740A87FF"/>
    <w:rsid w:val="740FD032"/>
    <w:rsid w:val="7416359B"/>
    <w:rsid w:val="7418FD26"/>
    <w:rsid w:val="741B7F69"/>
    <w:rsid w:val="741BD8C1"/>
    <w:rsid w:val="741C9732"/>
    <w:rsid w:val="741D3F9F"/>
    <w:rsid w:val="741E4576"/>
    <w:rsid w:val="741EDA9E"/>
    <w:rsid w:val="741EEDF0"/>
    <w:rsid w:val="741F6CC2"/>
    <w:rsid w:val="7423664E"/>
    <w:rsid w:val="742B74B8"/>
    <w:rsid w:val="743C3CE8"/>
    <w:rsid w:val="7441218B"/>
    <w:rsid w:val="74438256"/>
    <w:rsid w:val="74454987"/>
    <w:rsid w:val="7445C5CA"/>
    <w:rsid w:val="7449AAEB"/>
    <w:rsid w:val="744E2A39"/>
    <w:rsid w:val="745D57BC"/>
    <w:rsid w:val="746296BE"/>
    <w:rsid w:val="7471F394"/>
    <w:rsid w:val="747C0268"/>
    <w:rsid w:val="747DE2FA"/>
    <w:rsid w:val="7482D46B"/>
    <w:rsid w:val="74854CDE"/>
    <w:rsid w:val="74869A6B"/>
    <w:rsid w:val="7487336F"/>
    <w:rsid w:val="7488EB6C"/>
    <w:rsid w:val="748938FB"/>
    <w:rsid w:val="748BE6B7"/>
    <w:rsid w:val="748C6874"/>
    <w:rsid w:val="748F7143"/>
    <w:rsid w:val="74907FDB"/>
    <w:rsid w:val="74953130"/>
    <w:rsid w:val="74955AB8"/>
    <w:rsid w:val="7496A6E1"/>
    <w:rsid w:val="7498C186"/>
    <w:rsid w:val="749E6787"/>
    <w:rsid w:val="74A0CA5D"/>
    <w:rsid w:val="74A3A6FD"/>
    <w:rsid w:val="74A6AFAB"/>
    <w:rsid w:val="74AAB933"/>
    <w:rsid w:val="74AB40D5"/>
    <w:rsid w:val="74ACC60B"/>
    <w:rsid w:val="74B2EC4F"/>
    <w:rsid w:val="74B46E4D"/>
    <w:rsid w:val="74B4D49D"/>
    <w:rsid w:val="74B4ECCA"/>
    <w:rsid w:val="74BCDC43"/>
    <w:rsid w:val="74BD525D"/>
    <w:rsid w:val="74BF1607"/>
    <w:rsid w:val="74C08845"/>
    <w:rsid w:val="74C1BFE9"/>
    <w:rsid w:val="74C7CCAC"/>
    <w:rsid w:val="74C951AE"/>
    <w:rsid w:val="74C9C364"/>
    <w:rsid w:val="74CB6032"/>
    <w:rsid w:val="74D17434"/>
    <w:rsid w:val="74D51238"/>
    <w:rsid w:val="74D7B9FA"/>
    <w:rsid w:val="74E9D511"/>
    <w:rsid w:val="74EB91BF"/>
    <w:rsid w:val="74F2DC48"/>
    <w:rsid w:val="74F76830"/>
    <w:rsid w:val="74F89622"/>
    <w:rsid w:val="74FB0A15"/>
    <w:rsid w:val="74FDCA11"/>
    <w:rsid w:val="74FF93D5"/>
    <w:rsid w:val="74FF93EB"/>
    <w:rsid w:val="74FFB189"/>
    <w:rsid w:val="75020F17"/>
    <w:rsid w:val="75062E42"/>
    <w:rsid w:val="750B26F5"/>
    <w:rsid w:val="750B810C"/>
    <w:rsid w:val="7512E321"/>
    <w:rsid w:val="7516941E"/>
    <w:rsid w:val="751CE6E9"/>
    <w:rsid w:val="751F3B3B"/>
    <w:rsid w:val="75204F6B"/>
    <w:rsid w:val="75207250"/>
    <w:rsid w:val="7520CA30"/>
    <w:rsid w:val="7522EE06"/>
    <w:rsid w:val="75244E5B"/>
    <w:rsid w:val="7525CD21"/>
    <w:rsid w:val="75275D81"/>
    <w:rsid w:val="752EF54C"/>
    <w:rsid w:val="7530D8D4"/>
    <w:rsid w:val="75321DFD"/>
    <w:rsid w:val="75329FF7"/>
    <w:rsid w:val="753FC8BE"/>
    <w:rsid w:val="754744BC"/>
    <w:rsid w:val="75475E46"/>
    <w:rsid w:val="7549FA0E"/>
    <w:rsid w:val="754A52E7"/>
    <w:rsid w:val="754BDA91"/>
    <w:rsid w:val="754C9918"/>
    <w:rsid w:val="754E5210"/>
    <w:rsid w:val="755071FA"/>
    <w:rsid w:val="75526547"/>
    <w:rsid w:val="7554622A"/>
    <w:rsid w:val="7554A9FE"/>
    <w:rsid w:val="7554DA80"/>
    <w:rsid w:val="755CE211"/>
    <w:rsid w:val="7562F41A"/>
    <w:rsid w:val="7563873A"/>
    <w:rsid w:val="7566D62C"/>
    <w:rsid w:val="756EB9A9"/>
    <w:rsid w:val="7575CC47"/>
    <w:rsid w:val="75795203"/>
    <w:rsid w:val="758724E8"/>
    <w:rsid w:val="7587B97F"/>
    <w:rsid w:val="758E71ED"/>
    <w:rsid w:val="7591F5F1"/>
    <w:rsid w:val="759350EB"/>
    <w:rsid w:val="7594843C"/>
    <w:rsid w:val="75980BD5"/>
    <w:rsid w:val="75A0B8D3"/>
    <w:rsid w:val="75A109B8"/>
    <w:rsid w:val="75A40F5C"/>
    <w:rsid w:val="75AADEE9"/>
    <w:rsid w:val="75ADC4C7"/>
    <w:rsid w:val="75B9CE37"/>
    <w:rsid w:val="75BF6FDF"/>
    <w:rsid w:val="75C31A30"/>
    <w:rsid w:val="75C3BCB2"/>
    <w:rsid w:val="75CAF550"/>
    <w:rsid w:val="75CED265"/>
    <w:rsid w:val="75D171D4"/>
    <w:rsid w:val="75D5E184"/>
    <w:rsid w:val="75DD9FE9"/>
    <w:rsid w:val="75DE378B"/>
    <w:rsid w:val="75DE781A"/>
    <w:rsid w:val="75E0F5B8"/>
    <w:rsid w:val="75E41B9E"/>
    <w:rsid w:val="75EAEF88"/>
    <w:rsid w:val="75EAFD9F"/>
    <w:rsid w:val="75ED30D2"/>
    <w:rsid w:val="75EECDC1"/>
    <w:rsid w:val="75F2BD88"/>
    <w:rsid w:val="75F2CB7E"/>
    <w:rsid w:val="75F4F88E"/>
    <w:rsid w:val="75F6762C"/>
    <w:rsid w:val="75F76735"/>
    <w:rsid w:val="75FC08FB"/>
    <w:rsid w:val="75FF189A"/>
    <w:rsid w:val="761B0EB8"/>
    <w:rsid w:val="761E021D"/>
    <w:rsid w:val="7621043C"/>
    <w:rsid w:val="76219DDD"/>
    <w:rsid w:val="7623BD47"/>
    <w:rsid w:val="76287907"/>
    <w:rsid w:val="76307BA1"/>
    <w:rsid w:val="76323017"/>
    <w:rsid w:val="76334D26"/>
    <w:rsid w:val="7636E225"/>
    <w:rsid w:val="763EB8D8"/>
    <w:rsid w:val="76400010"/>
    <w:rsid w:val="76402F94"/>
    <w:rsid w:val="7644DB4A"/>
    <w:rsid w:val="7648CAC3"/>
    <w:rsid w:val="76495D8B"/>
    <w:rsid w:val="7649DE0E"/>
    <w:rsid w:val="76525B9F"/>
    <w:rsid w:val="7659F03A"/>
    <w:rsid w:val="765CD642"/>
    <w:rsid w:val="765EA46B"/>
    <w:rsid w:val="7663B311"/>
    <w:rsid w:val="76667043"/>
    <w:rsid w:val="766B0F9D"/>
    <w:rsid w:val="766D2502"/>
    <w:rsid w:val="7671C67E"/>
    <w:rsid w:val="7673F917"/>
    <w:rsid w:val="76764C38"/>
    <w:rsid w:val="767767DA"/>
    <w:rsid w:val="7681057F"/>
    <w:rsid w:val="76844B03"/>
    <w:rsid w:val="76892978"/>
    <w:rsid w:val="76899F50"/>
    <w:rsid w:val="7689AEF6"/>
    <w:rsid w:val="768A27ED"/>
    <w:rsid w:val="768CCB22"/>
    <w:rsid w:val="768D4293"/>
    <w:rsid w:val="768E817A"/>
    <w:rsid w:val="768F1944"/>
    <w:rsid w:val="7691A788"/>
    <w:rsid w:val="7692E652"/>
    <w:rsid w:val="7695F4ED"/>
    <w:rsid w:val="76968618"/>
    <w:rsid w:val="76970BA5"/>
    <w:rsid w:val="7698162F"/>
    <w:rsid w:val="7698707F"/>
    <w:rsid w:val="7698B4B9"/>
    <w:rsid w:val="769954CF"/>
    <w:rsid w:val="769F468E"/>
    <w:rsid w:val="769FE467"/>
    <w:rsid w:val="76A17263"/>
    <w:rsid w:val="76A1BC88"/>
    <w:rsid w:val="76A57F43"/>
    <w:rsid w:val="76A79572"/>
    <w:rsid w:val="76B0015E"/>
    <w:rsid w:val="76B14688"/>
    <w:rsid w:val="76B19883"/>
    <w:rsid w:val="76B1C113"/>
    <w:rsid w:val="76B4C2D4"/>
    <w:rsid w:val="76B4DD7F"/>
    <w:rsid w:val="76B539DA"/>
    <w:rsid w:val="76B74811"/>
    <w:rsid w:val="76B930DF"/>
    <w:rsid w:val="76BBCBB9"/>
    <w:rsid w:val="76BC3C14"/>
    <w:rsid w:val="76C8F431"/>
    <w:rsid w:val="76C9B475"/>
    <w:rsid w:val="76CE2C67"/>
    <w:rsid w:val="76D039BA"/>
    <w:rsid w:val="76D3E246"/>
    <w:rsid w:val="76D7B506"/>
    <w:rsid w:val="76E3E733"/>
    <w:rsid w:val="76E7E913"/>
    <w:rsid w:val="76E813DB"/>
    <w:rsid w:val="76E86BD4"/>
    <w:rsid w:val="76EC9DA1"/>
    <w:rsid w:val="76F17FC4"/>
    <w:rsid w:val="76F99739"/>
    <w:rsid w:val="76FBAC23"/>
    <w:rsid w:val="76FFFFE7"/>
    <w:rsid w:val="77016ADC"/>
    <w:rsid w:val="770D1038"/>
    <w:rsid w:val="770F5956"/>
    <w:rsid w:val="771340D7"/>
    <w:rsid w:val="77198FE0"/>
    <w:rsid w:val="771A0F27"/>
    <w:rsid w:val="771B804D"/>
    <w:rsid w:val="771B849D"/>
    <w:rsid w:val="7728B477"/>
    <w:rsid w:val="772CC270"/>
    <w:rsid w:val="7730295F"/>
    <w:rsid w:val="7733B1D0"/>
    <w:rsid w:val="7734A2AC"/>
    <w:rsid w:val="773C830A"/>
    <w:rsid w:val="773CB85A"/>
    <w:rsid w:val="773E0BC4"/>
    <w:rsid w:val="774096DA"/>
    <w:rsid w:val="77438EA0"/>
    <w:rsid w:val="77488826"/>
    <w:rsid w:val="774C065F"/>
    <w:rsid w:val="774C42D2"/>
    <w:rsid w:val="774E1049"/>
    <w:rsid w:val="775123A5"/>
    <w:rsid w:val="775802D5"/>
    <w:rsid w:val="7758614E"/>
    <w:rsid w:val="775A09DB"/>
    <w:rsid w:val="7761D304"/>
    <w:rsid w:val="77629D31"/>
    <w:rsid w:val="77644AB1"/>
    <w:rsid w:val="77659789"/>
    <w:rsid w:val="7772C2C7"/>
    <w:rsid w:val="777348FD"/>
    <w:rsid w:val="77757D1D"/>
    <w:rsid w:val="7775E23C"/>
    <w:rsid w:val="77794A18"/>
    <w:rsid w:val="777E81F1"/>
    <w:rsid w:val="7781FAE3"/>
    <w:rsid w:val="778EAF99"/>
    <w:rsid w:val="7794E818"/>
    <w:rsid w:val="779CA2A1"/>
    <w:rsid w:val="77A0A8E8"/>
    <w:rsid w:val="77A2E8CA"/>
    <w:rsid w:val="77A3766E"/>
    <w:rsid w:val="77A49C1A"/>
    <w:rsid w:val="77ABB552"/>
    <w:rsid w:val="77AC7765"/>
    <w:rsid w:val="77AF3891"/>
    <w:rsid w:val="77B0D3EF"/>
    <w:rsid w:val="77B286F2"/>
    <w:rsid w:val="77B400BB"/>
    <w:rsid w:val="77B8F87B"/>
    <w:rsid w:val="77BDD6DD"/>
    <w:rsid w:val="77C1DE2C"/>
    <w:rsid w:val="77C2E50F"/>
    <w:rsid w:val="77C389AE"/>
    <w:rsid w:val="77C7A377"/>
    <w:rsid w:val="77CE2DEA"/>
    <w:rsid w:val="77D22A10"/>
    <w:rsid w:val="77E0E8D6"/>
    <w:rsid w:val="77E6FFB8"/>
    <w:rsid w:val="77EE2A2D"/>
    <w:rsid w:val="77F1231D"/>
    <w:rsid w:val="77F41FB4"/>
    <w:rsid w:val="77F65E1E"/>
    <w:rsid w:val="77F9A673"/>
    <w:rsid w:val="77FC13A4"/>
    <w:rsid w:val="77FC288C"/>
    <w:rsid w:val="77FD2FE9"/>
    <w:rsid w:val="7803DAB1"/>
    <w:rsid w:val="780489B5"/>
    <w:rsid w:val="780A8E26"/>
    <w:rsid w:val="780CBAC0"/>
    <w:rsid w:val="7810368D"/>
    <w:rsid w:val="7814B7D3"/>
    <w:rsid w:val="78172E1E"/>
    <w:rsid w:val="7817F3E6"/>
    <w:rsid w:val="7818444C"/>
    <w:rsid w:val="78184E88"/>
    <w:rsid w:val="78188AE9"/>
    <w:rsid w:val="781BEAA7"/>
    <w:rsid w:val="781D48DC"/>
    <w:rsid w:val="781EEE86"/>
    <w:rsid w:val="782A49AC"/>
    <w:rsid w:val="782F57DE"/>
    <w:rsid w:val="78330B5A"/>
    <w:rsid w:val="783805C2"/>
    <w:rsid w:val="783B24AA"/>
    <w:rsid w:val="783E44B3"/>
    <w:rsid w:val="783ED4C0"/>
    <w:rsid w:val="783F1D66"/>
    <w:rsid w:val="7840017A"/>
    <w:rsid w:val="7842BB54"/>
    <w:rsid w:val="7844FD2F"/>
    <w:rsid w:val="78478247"/>
    <w:rsid w:val="784A2BFD"/>
    <w:rsid w:val="78524D45"/>
    <w:rsid w:val="78552A70"/>
    <w:rsid w:val="78572F11"/>
    <w:rsid w:val="78588777"/>
    <w:rsid w:val="785B6E24"/>
    <w:rsid w:val="785EEBF0"/>
    <w:rsid w:val="7865DBBB"/>
    <w:rsid w:val="78664F92"/>
    <w:rsid w:val="786A9C90"/>
    <w:rsid w:val="786E3BDF"/>
    <w:rsid w:val="7870E7BE"/>
    <w:rsid w:val="7875CA3F"/>
    <w:rsid w:val="7880D0B0"/>
    <w:rsid w:val="7882212B"/>
    <w:rsid w:val="7884AE4C"/>
    <w:rsid w:val="78857416"/>
    <w:rsid w:val="7885DFC9"/>
    <w:rsid w:val="7885FE49"/>
    <w:rsid w:val="7892CA87"/>
    <w:rsid w:val="7895C9FB"/>
    <w:rsid w:val="78966DA4"/>
    <w:rsid w:val="789C749E"/>
    <w:rsid w:val="789E7DD6"/>
    <w:rsid w:val="78A1629B"/>
    <w:rsid w:val="78A56B24"/>
    <w:rsid w:val="78A9EA5C"/>
    <w:rsid w:val="78AC53C8"/>
    <w:rsid w:val="78AD708D"/>
    <w:rsid w:val="78ADD912"/>
    <w:rsid w:val="78AE18AA"/>
    <w:rsid w:val="78AEDB63"/>
    <w:rsid w:val="78B11ABD"/>
    <w:rsid w:val="78B30AE1"/>
    <w:rsid w:val="78BEB9E9"/>
    <w:rsid w:val="78C09579"/>
    <w:rsid w:val="78C31D66"/>
    <w:rsid w:val="78C71D79"/>
    <w:rsid w:val="78C8F13B"/>
    <w:rsid w:val="78CD05DA"/>
    <w:rsid w:val="78D5E857"/>
    <w:rsid w:val="78DB5034"/>
    <w:rsid w:val="78E473CE"/>
    <w:rsid w:val="78E4EAA2"/>
    <w:rsid w:val="78E8A318"/>
    <w:rsid w:val="78F3A914"/>
    <w:rsid w:val="78FA1C07"/>
    <w:rsid w:val="78FD83BF"/>
    <w:rsid w:val="78FE32FB"/>
    <w:rsid w:val="7902A757"/>
    <w:rsid w:val="7906FCA4"/>
    <w:rsid w:val="7908AE78"/>
    <w:rsid w:val="79093559"/>
    <w:rsid w:val="790F9454"/>
    <w:rsid w:val="79168ADF"/>
    <w:rsid w:val="791D600B"/>
    <w:rsid w:val="7921765D"/>
    <w:rsid w:val="7922F952"/>
    <w:rsid w:val="7924CB1C"/>
    <w:rsid w:val="7929394E"/>
    <w:rsid w:val="792F3F2D"/>
    <w:rsid w:val="79330BAE"/>
    <w:rsid w:val="7935008B"/>
    <w:rsid w:val="7935A57A"/>
    <w:rsid w:val="7936CC28"/>
    <w:rsid w:val="7938F350"/>
    <w:rsid w:val="79401C60"/>
    <w:rsid w:val="794432B8"/>
    <w:rsid w:val="7945C7A7"/>
    <w:rsid w:val="79472313"/>
    <w:rsid w:val="79515B4A"/>
    <w:rsid w:val="79575ECE"/>
    <w:rsid w:val="79584543"/>
    <w:rsid w:val="7958E3D8"/>
    <w:rsid w:val="79599ED8"/>
    <w:rsid w:val="795B3FAF"/>
    <w:rsid w:val="7962A95E"/>
    <w:rsid w:val="79692E61"/>
    <w:rsid w:val="796B62E9"/>
    <w:rsid w:val="796FCF1F"/>
    <w:rsid w:val="7970FEC1"/>
    <w:rsid w:val="7971D6CA"/>
    <w:rsid w:val="7972F44C"/>
    <w:rsid w:val="79754C0A"/>
    <w:rsid w:val="7979E6B0"/>
    <w:rsid w:val="797A5496"/>
    <w:rsid w:val="797AB2EE"/>
    <w:rsid w:val="798744F8"/>
    <w:rsid w:val="798993F6"/>
    <w:rsid w:val="798D6A22"/>
    <w:rsid w:val="798F013F"/>
    <w:rsid w:val="798FBEEE"/>
    <w:rsid w:val="79916E95"/>
    <w:rsid w:val="79925FF4"/>
    <w:rsid w:val="79934A5B"/>
    <w:rsid w:val="7993B376"/>
    <w:rsid w:val="799ED078"/>
    <w:rsid w:val="79A05B8D"/>
    <w:rsid w:val="79A1312C"/>
    <w:rsid w:val="79A42E3C"/>
    <w:rsid w:val="79A74968"/>
    <w:rsid w:val="79AA74D6"/>
    <w:rsid w:val="79B1A2A4"/>
    <w:rsid w:val="79B9B9AE"/>
    <w:rsid w:val="79B9EEE1"/>
    <w:rsid w:val="79BC2C69"/>
    <w:rsid w:val="79BCE901"/>
    <w:rsid w:val="79BD4C17"/>
    <w:rsid w:val="79CE9FDF"/>
    <w:rsid w:val="79CF2002"/>
    <w:rsid w:val="79D0792F"/>
    <w:rsid w:val="79D19D9A"/>
    <w:rsid w:val="79D5B42B"/>
    <w:rsid w:val="79D5BE71"/>
    <w:rsid w:val="79DA372D"/>
    <w:rsid w:val="79DA8163"/>
    <w:rsid w:val="79DAFC18"/>
    <w:rsid w:val="79DC45E4"/>
    <w:rsid w:val="79DEA46F"/>
    <w:rsid w:val="79E0E208"/>
    <w:rsid w:val="79E17EA4"/>
    <w:rsid w:val="79E2C2F4"/>
    <w:rsid w:val="79E58250"/>
    <w:rsid w:val="79E6425C"/>
    <w:rsid w:val="79EE83B1"/>
    <w:rsid w:val="79F560F4"/>
    <w:rsid w:val="79F66E8F"/>
    <w:rsid w:val="79FA85B2"/>
    <w:rsid w:val="79FB83AA"/>
    <w:rsid w:val="79FC5EBC"/>
    <w:rsid w:val="79FC6A7E"/>
    <w:rsid w:val="79FFF6FA"/>
    <w:rsid w:val="7A015605"/>
    <w:rsid w:val="7A029E98"/>
    <w:rsid w:val="7A061178"/>
    <w:rsid w:val="7A08CED5"/>
    <w:rsid w:val="7A105FA9"/>
    <w:rsid w:val="7A111D6F"/>
    <w:rsid w:val="7A18ED5A"/>
    <w:rsid w:val="7A217AB7"/>
    <w:rsid w:val="7A21D92E"/>
    <w:rsid w:val="7A24F147"/>
    <w:rsid w:val="7A255AC2"/>
    <w:rsid w:val="7A25BA44"/>
    <w:rsid w:val="7A2613B1"/>
    <w:rsid w:val="7A2809A4"/>
    <w:rsid w:val="7A2CB50F"/>
    <w:rsid w:val="7A383BE5"/>
    <w:rsid w:val="7A3CB4ED"/>
    <w:rsid w:val="7A4078AB"/>
    <w:rsid w:val="7A4290A9"/>
    <w:rsid w:val="7A439FA3"/>
    <w:rsid w:val="7A4E5A4B"/>
    <w:rsid w:val="7A520FF2"/>
    <w:rsid w:val="7A5F4C8D"/>
    <w:rsid w:val="7A6343ED"/>
    <w:rsid w:val="7A6478E9"/>
    <w:rsid w:val="7A6561B5"/>
    <w:rsid w:val="7A6ABF2A"/>
    <w:rsid w:val="7A72E848"/>
    <w:rsid w:val="7A7B6BDA"/>
    <w:rsid w:val="7A7CF128"/>
    <w:rsid w:val="7A7FD34C"/>
    <w:rsid w:val="7A804CD6"/>
    <w:rsid w:val="7A8D9E50"/>
    <w:rsid w:val="7A916646"/>
    <w:rsid w:val="7A91AC08"/>
    <w:rsid w:val="7A93A6CF"/>
    <w:rsid w:val="7A964BB0"/>
    <w:rsid w:val="7A9655FC"/>
    <w:rsid w:val="7A97C57B"/>
    <w:rsid w:val="7A980476"/>
    <w:rsid w:val="7AA63E73"/>
    <w:rsid w:val="7AB27472"/>
    <w:rsid w:val="7AB8748C"/>
    <w:rsid w:val="7ABB0F01"/>
    <w:rsid w:val="7AD0991D"/>
    <w:rsid w:val="7AD99F3B"/>
    <w:rsid w:val="7AD9FBCB"/>
    <w:rsid w:val="7ADAD288"/>
    <w:rsid w:val="7AE000FD"/>
    <w:rsid w:val="7AE1078F"/>
    <w:rsid w:val="7AE46BBC"/>
    <w:rsid w:val="7AEA8B16"/>
    <w:rsid w:val="7AECC0CD"/>
    <w:rsid w:val="7AEE65F1"/>
    <w:rsid w:val="7AEF94BA"/>
    <w:rsid w:val="7AF3E938"/>
    <w:rsid w:val="7AF80691"/>
    <w:rsid w:val="7AFAD224"/>
    <w:rsid w:val="7AFCC5B3"/>
    <w:rsid w:val="7AFEDCBD"/>
    <w:rsid w:val="7B01352E"/>
    <w:rsid w:val="7B01E876"/>
    <w:rsid w:val="7B027C25"/>
    <w:rsid w:val="7B02F47A"/>
    <w:rsid w:val="7B045992"/>
    <w:rsid w:val="7B04E638"/>
    <w:rsid w:val="7B07E3FB"/>
    <w:rsid w:val="7B0ABF43"/>
    <w:rsid w:val="7B0E6248"/>
    <w:rsid w:val="7B1047D8"/>
    <w:rsid w:val="7B11401E"/>
    <w:rsid w:val="7B119C0F"/>
    <w:rsid w:val="7B1347A4"/>
    <w:rsid w:val="7B13AE8C"/>
    <w:rsid w:val="7B1525BE"/>
    <w:rsid w:val="7B1652F3"/>
    <w:rsid w:val="7B16BBB9"/>
    <w:rsid w:val="7B187682"/>
    <w:rsid w:val="7B1AAA26"/>
    <w:rsid w:val="7B1B346C"/>
    <w:rsid w:val="7B1B56D0"/>
    <w:rsid w:val="7B1BDFB6"/>
    <w:rsid w:val="7B1C8846"/>
    <w:rsid w:val="7B1F2EDD"/>
    <w:rsid w:val="7B20AD3F"/>
    <w:rsid w:val="7B21EC11"/>
    <w:rsid w:val="7B25805D"/>
    <w:rsid w:val="7B258D7F"/>
    <w:rsid w:val="7B27CAC0"/>
    <w:rsid w:val="7B29CB91"/>
    <w:rsid w:val="7B2BB2A6"/>
    <w:rsid w:val="7B2CBE4D"/>
    <w:rsid w:val="7B2D2937"/>
    <w:rsid w:val="7B2E72F2"/>
    <w:rsid w:val="7B37FE19"/>
    <w:rsid w:val="7B3B743E"/>
    <w:rsid w:val="7B407040"/>
    <w:rsid w:val="7B4943FB"/>
    <w:rsid w:val="7B4C8B62"/>
    <w:rsid w:val="7B4E4622"/>
    <w:rsid w:val="7B4F702A"/>
    <w:rsid w:val="7B51CFD9"/>
    <w:rsid w:val="7B54E7C7"/>
    <w:rsid w:val="7B5560B7"/>
    <w:rsid w:val="7B56A288"/>
    <w:rsid w:val="7B591F2B"/>
    <w:rsid w:val="7B5AD3E7"/>
    <w:rsid w:val="7B5B67F9"/>
    <w:rsid w:val="7B5BCB5A"/>
    <w:rsid w:val="7B5FF851"/>
    <w:rsid w:val="7B5FFB89"/>
    <w:rsid w:val="7B60AD6A"/>
    <w:rsid w:val="7B60D581"/>
    <w:rsid w:val="7B62DA4B"/>
    <w:rsid w:val="7B6706CA"/>
    <w:rsid w:val="7B6AB812"/>
    <w:rsid w:val="7B6AFD08"/>
    <w:rsid w:val="7B7D29C7"/>
    <w:rsid w:val="7B87BE68"/>
    <w:rsid w:val="7B8D3449"/>
    <w:rsid w:val="7B8ECF57"/>
    <w:rsid w:val="7B9C9AED"/>
    <w:rsid w:val="7B9EE095"/>
    <w:rsid w:val="7BA06DA0"/>
    <w:rsid w:val="7BA51EF7"/>
    <w:rsid w:val="7BACC0F7"/>
    <w:rsid w:val="7BAFB765"/>
    <w:rsid w:val="7BAFFFEF"/>
    <w:rsid w:val="7BB22335"/>
    <w:rsid w:val="7BB3372E"/>
    <w:rsid w:val="7BB58822"/>
    <w:rsid w:val="7BB902D6"/>
    <w:rsid w:val="7BBA43A6"/>
    <w:rsid w:val="7BBCBEB3"/>
    <w:rsid w:val="7BC1AF67"/>
    <w:rsid w:val="7BC1C3B1"/>
    <w:rsid w:val="7BD3DA5E"/>
    <w:rsid w:val="7BD41791"/>
    <w:rsid w:val="7BD4F67C"/>
    <w:rsid w:val="7BD55991"/>
    <w:rsid w:val="7BDAC205"/>
    <w:rsid w:val="7BDAC26D"/>
    <w:rsid w:val="7BE1BC7E"/>
    <w:rsid w:val="7BE256D6"/>
    <w:rsid w:val="7BE340DF"/>
    <w:rsid w:val="7BE42589"/>
    <w:rsid w:val="7BE88037"/>
    <w:rsid w:val="7BE9CBC6"/>
    <w:rsid w:val="7BF0545E"/>
    <w:rsid w:val="7BF1195C"/>
    <w:rsid w:val="7BF560D6"/>
    <w:rsid w:val="7BF80F7F"/>
    <w:rsid w:val="7BFC44C6"/>
    <w:rsid w:val="7C0330B3"/>
    <w:rsid w:val="7C050008"/>
    <w:rsid w:val="7C057CF9"/>
    <w:rsid w:val="7C09495E"/>
    <w:rsid w:val="7C10796F"/>
    <w:rsid w:val="7C1304FD"/>
    <w:rsid w:val="7C14F27B"/>
    <w:rsid w:val="7C191641"/>
    <w:rsid w:val="7C19944C"/>
    <w:rsid w:val="7C1AF381"/>
    <w:rsid w:val="7C1CF586"/>
    <w:rsid w:val="7C1E5197"/>
    <w:rsid w:val="7C20F340"/>
    <w:rsid w:val="7C221967"/>
    <w:rsid w:val="7C2252D3"/>
    <w:rsid w:val="7C22B61C"/>
    <w:rsid w:val="7C285570"/>
    <w:rsid w:val="7C28842A"/>
    <w:rsid w:val="7C28CC3D"/>
    <w:rsid w:val="7C2AA6CB"/>
    <w:rsid w:val="7C2ACD64"/>
    <w:rsid w:val="7C2BD5C2"/>
    <w:rsid w:val="7C2D6FC3"/>
    <w:rsid w:val="7C303013"/>
    <w:rsid w:val="7C30A51A"/>
    <w:rsid w:val="7C31ED41"/>
    <w:rsid w:val="7C321241"/>
    <w:rsid w:val="7C391924"/>
    <w:rsid w:val="7C3933FB"/>
    <w:rsid w:val="7C3E9669"/>
    <w:rsid w:val="7C3EE458"/>
    <w:rsid w:val="7C4195A3"/>
    <w:rsid w:val="7C42BF01"/>
    <w:rsid w:val="7C42D670"/>
    <w:rsid w:val="7C446B61"/>
    <w:rsid w:val="7C5096D1"/>
    <w:rsid w:val="7C54207A"/>
    <w:rsid w:val="7C56201A"/>
    <w:rsid w:val="7C576524"/>
    <w:rsid w:val="7C610F54"/>
    <w:rsid w:val="7C629860"/>
    <w:rsid w:val="7C63EDB4"/>
    <w:rsid w:val="7C6BA8BA"/>
    <w:rsid w:val="7C6C98B8"/>
    <w:rsid w:val="7C6CF70F"/>
    <w:rsid w:val="7C719FE0"/>
    <w:rsid w:val="7C72548E"/>
    <w:rsid w:val="7C72794A"/>
    <w:rsid w:val="7C753A02"/>
    <w:rsid w:val="7C769305"/>
    <w:rsid w:val="7C779855"/>
    <w:rsid w:val="7C77B453"/>
    <w:rsid w:val="7C7B9716"/>
    <w:rsid w:val="7C7DCAE0"/>
    <w:rsid w:val="7C823856"/>
    <w:rsid w:val="7C839035"/>
    <w:rsid w:val="7C86A6FD"/>
    <w:rsid w:val="7C878B43"/>
    <w:rsid w:val="7C8C7C44"/>
    <w:rsid w:val="7C8E0BFC"/>
    <w:rsid w:val="7C8E19C5"/>
    <w:rsid w:val="7C8E3DE5"/>
    <w:rsid w:val="7C9098EE"/>
    <w:rsid w:val="7C90D32E"/>
    <w:rsid w:val="7C9508DB"/>
    <w:rsid w:val="7C96F2ED"/>
    <w:rsid w:val="7C98EB07"/>
    <w:rsid w:val="7CA06A67"/>
    <w:rsid w:val="7CA07C80"/>
    <w:rsid w:val="7CAE2F4A"/>
    <w:rsid w:val="7CAEC717"/>
    <w:rsid w:val="7CB1D47E"/>
    <w:rsid w:val="7CB8130C"/>
    <w:rsid w:val="7CBD4A43"/>
    <w:rsid w:val="7CBD6F84"/>
    <w:rsid w:val="7CBF4CBB"/>
    <w:rsid w:val="7CC36D5B"/>
    <w:rsid w:val="7CC3811F"/>
    <w:rsid w:val="7CC6232F"/>
    <w:rsid w:val="7CCC81DA"/>
    <w:rsid w:val="7CD2ADC2"/>
    <w:rsid w:val="7CD8E564"/>
    <w:rsid w:val="7CDF5544"/>
    <w:rsid w:val="7CE17356"/>
    <w:rsid w:val="7CE3B7F1"/>
    <w:rsid w:val="7CE4C07B"/>
    <w:rsid w:val="7CE6D5C0"/>
    <w:rsid w:val="7CE7E987"/>
    <w:rsid w:val="7CE804F8"/>
    <w:rsid w:val="7CEC27E9"/>
    <w:rsid w:val="7CF13AA5"/>
    <w:rsid w:val="7CF2E20D"/>
    <w:rsid w:val="7CF825AA"/>
    <w:rsid w:val="7CF92497"/>
    <w:rsid w:val="7CFA445F"/>
    <w:rsid w:val="7CFE0CF4"/>
    <w:rsid w:val="7D011C3E"/>
    <w:rsid w:val="7D023B66"/>
    <w:rsid w:val="7D031393"/>
    <w:rsid w:val="7D058F1F"/>
    <w:rsid w:val="7D09F1FC"/>
    <w:rsid w:val="7D0A5DFC"/>
    <w:rsid w:val="7D0B9E91"/>
    <w:rsid w:val="7D15638C"/>
    <w:rsid w:val="7D20FE20"/>
    <w:rsid w:val="7D21C097"/>
    <w:rsid w:val="7D22B644"/>
    <w:rsid w:val="7D283D77"/>
    <w:rsid w:val="7D2910C5"/>
    <w:rsid w:val="7D2A6BE4"/>
    <w:rsid w:val="7D33A724"/>
    <w:rsid w:val="7D38C336"/>
    <w:rsid w:val="7D3A46F0"/>
    <w:rsid w:val="7D3D2468"/>
    <w:rsid w:val="7D3E38DA"/>
    <w:rsid w:val="7D4F5FA2"/>
    <w:rsid w:val="7D530377"/>
    <w:rsid w:val="7D5D6359"/>
    <w:rsid w:val="7D5EEE61"/>
    <w:rsid w:val="7D60C9D1"/>
    <w:rsid w:val="7D63E3E8"/>
    <w:rsid w:val="7D67943B"/>
    <w:rsid w:val="7D68864D"/>
    <w:rsid w:val="7D6977F7"/>
    <w:rsid w:val="7D6A8498"/>
    <w:rsid w:val="7D6D8EA3"/>
    <w:rsid w:val="7D6DAA08"/>
    <w:rsid w:val="7D705B27"/>
    <w:rsid w:val="7D7B8158"/>
    <w:rsid w:val="7D7F3EFD"/>
    <w:rsid w:val="7D82265D"/>
    <w:rsid w:val="7D83A5CC"/>
    <w:rsid w:val="7D87712B"/>
    <w:rsid w:val="7D8AABB8"/>
    <w:rsid w:val="7D8F89DA"/>
    <w:rsid w:val="7D91E73B"/>
    <w:rsid w:val="7D925BA6"/>
    <w:rsid w:val="7D956086"/>
    <w:rsid w:val="7D97E2E8"/>
    <w:rsid w:val="7D9F1908"/>
    <w:rsid w:val="7D9F9F7F"/>
    <w:rsid w:val="7DA4D889"/>
    <w:rsid w:val="7DA8DE2E"/>
    <w:rsid w:val="7DAA4A54"/>
    <w:rsid w:val="7DAEA2E9"/>
    <w:rsid w:val="7DAF64FF"/>
    <w:rsid w:val="7DB45144"/>
    <w:rsid w:val="7DB4E259"/>
    <w:rsid w:val="7DB67FC8"/>
    <w:rsid w:val="7DB70050"/>
    <w:rsid w:val="7DB74438"/>
    <w:rsid w:val="7DBB8394"/>
    <w:rsid w:val="7DBE2A05"/>
    <w:rsid w:val="7DBF7DE7"/>
    <w:rsid w:val="7DC52334"/>
    <w:rsid w:val="7DC8E2F1"/>
    <w:rsid w:val="7DCA6AB1"/>
    <w:rsid w:val="7DCEC1CE"/>
    <w:rsid w:val="7DE7818F"/>
    <w:rsid w:val="7DEA78DB"/>
    <w:rsid w:val="7DF2B1FF"/>
    <w:rsid w:val="7DF3189D"/>
    <w:rsid w:val="7DF4862B"/>
    <w:rsid w:val="7DF51DB3"/>
    <w:rsid w:val="7DF7BE43"/>
    <w:rsid w:val="7DFE7B3D"/>
    <w:rsid w:val="7DFEF57B"/>
    <w:rsid w:val="7E004D53"/>
    <w:rsid w:val="7E0C247C"/>
    <w:rsid w:val="7E11C359"/>
    <w:rsid w:val="7E18639D"/>
    <w:rsid w:val="7E18BF5E"/>
    <w:rsid w:val="7E1DE058"/>
    <w:rsid w:val="7E202E8B"/>
    <w:rsid w:val="7E208E00"/>
    <w:rsid w:val="7E25F19A"/>
    <w:rsid w:val="7E26159A"/>
    <w:rsid w:val="7E36B326"/>
    <w:rsid w:val="7E36E40C"/>
    <w:rsid w:val="7E372D17"/>
    <w:rsid w:val="7E3AA605"/>
    <w:rsid w:val="7E3BD129"/>
    <w:rsid w:val="7E466E7A"/>
    <w:rsid w:val="7E472C05"/>
    <w:rsid w:val="7E4BE9F9"/>
    <w:rsid w:val="7E513DD8"/>
    <w:rsid w:val="7E520DBB"/>
    <w:rsid w:val="7E525935"/>
    <w:rsid w:val="7E53E33A"/>
    <w:rsid w:val="7E55977D"/>
    <w:rsid w:val="7E600A6A"/>
    <w:rsid w:val="7E602547"/>
    <w:rsid w:val="7E638FF9"/>
    <w:rsid w:val="7E7012BD"/>
    <w:rsid w:val="7E7502A0"/>
    <w:rsid w:val="7E79EE47"/>
    <w:rsid w:val="7E7DE8A9"/>
    <w:rsid w:val="7E812AAC"/>
    <w:rsid w:val="7E81FA41"/>
    <w:rsid w:val="7E847934"/>
    <w:rsid w:val="7E8599D4"/>
    <w:rsid w:val="7E8B7095"/>
    <w:rsid w:val="7E8CF698"/>
    <w:rsid w:val="7E910A13"/>
    <w:rsid w:val="7E9B1D98"/>
    <w:rsid w:val="7E9DD359"/>
    <w:rsid w:val="7EA46F21"/>
    <w:rsid w:val="7EA4E3CD"/>
    <w:rsid w:val="7EA60FE5"/>
    <w:rsid w:val="7EA695FE"/>
    <w:rsid w:val="7EAA40BE"/>
    <w:rsid w:val="7EAB0B1F"/>
    <w:rsid w:val="7EB81999"/>
    <w:rsid w:val="7EB898C8"/>
    <w:rsid w:val="7EBAF04C"/>
    <w:rsid w:val="7EC16504"/>
    <w:rsid w:val="7EC5BCB9"/>
    <w:rsid w:val="7EC6D52D"/>
    <w:rsid w:val="7ECA07D7"/>
    <w:rsid w:val="7ECAAB18"/>
    <w:rsid w:val="7ECC3B1A"/>
    <w:rsid w:val="7ECE50E9"/>
    <w:rsid w:val="7ECEB607"/>
    <w:rsid w:val="7ED2E2E3"/>
    <w:rsid w:val="7EDCA500"/>
    <w:rsid w:val="7EDE989B"/>
    <w:rsid w:val="7EDF27DA"/>
    <w:rsid w:val="7EE73A25"/>
    <w:rsid w:val="7EE9F04D"/>
    <w:rsid w:val="7EE9FA3A"/>
    <w:rsid w:val="7EEB5792"/>
    <w:rsid w:val="7EFF23E1"/>
    <w:rsid w:val="7F00F266"/>
    <w:rsid w:val="7F07A7E2"/>
    <w:rsid w:val="7F098977"/>
    <w:rsid w:val="7F0DB6CA"/>
    <w:rsid w:val="7F0F31E8"/>
    <w:rsid w:val="7F0F972F"/>
    <w:rsid w:val="7F1271F6"/>
    <w:rsid w:val="7F16CC74"/>
    <w:rsid w:val="7F1CE4C0"/>
    <w:rsid w:val="7F1E11F9"/>
    <w:rsid w:val="7F20977E"/>
    <w:rsid w:val="7F263C71"/>
    <w:rsid w:val="7F26F3D3"/>
    <w:rsid w:val="7F2D3873"/>
    <w:rsid w:val="7F30B6A9"/>
    <w:rsid w:val="7F3572E7"/>
    <w:rsid w:val="7F3BCCE6"/>
    <w:rsid w:val="7F3D200E"/>
    <w:rsid w:val="7F3D2C21"/>
    <w:rsid w:val="7F3FAEC4"/>
    <w:rsid w:val="7F458E7A"/>
    <w:rsid w:val="7F468121"/>
    <w:rsid w:val="7F47D1F5"/>
    <w:rsid w:val="7F485D65"/>
    <w:rsid w:val="7F4B63B4"/>
    <w:rsid w:val="7F4CAE57"/>
    <w:rsid w:val="7F529F47"/>
    <w:rsid w:val="7F559678"/>
    <w:rsid w:val="7F55B408"/>
    <w:rsid w:val="7F591710"/>
    <w:rsid w:val="7F59C847"/>
    <w:rsid w:val="7F5F9A00"/>
    <w:rsid w:val="7F6202A1"/>
    <w:rsid w:val="7F659C44"/>
    <w:rsid w:val="7F686104"/>
    <w:rsid w:val="7F6AF094"/>
    <w:rsid w:val="7F6B15EF"/>
    <w:rsid w:val="7F6EBEC2"/>
    <w:rsid w:val="7F79140C"/>
    <w:rsid w:val="7F799591"/>
    <w:rsid w:val="7F7B14B5"/>
    <w:rsid w:val="7F8119DF"/>
    <w:rsid w:val="7F839F5B"/>
    <w:rsid w:val="7F84FA70"/>
    <w:rsid w:val="7F87172F"/>
    <w:rsid w:val="7F880BDA"/>
    <w:rsid w:val="7F92BF26"/>
    <w:rsid w:val="7F944611"/>
    <w:rsid w:val="7F945AE5"/>
    <w:rsid w:val="7F9482FB"/>
    <w:rsid w:val="7FA1F250"/>
    <w:rsid w:val="7FABACCC"/>
    <w:rsid w:val="7FAEFA91"/>
    <w:rsid w:val="7FAFC03C"/>
    <w:rsid w:val="7FB3B2CE"/>
    <w:rsid w:val="7FB94074"/>
    <w:rsid w:val="7FB983B8"/>
    <w:rsid w:val="7FB99063"/>
    <w:rsid w:val="7FBBFAA3"/>
    <w:rsid w:val="7FC2BC01"/>
    <w:rsid w:val="7FC4E027"/>
    <w:rsid w:val="7FC8F189"/>
    <w:rsid w:val="7FC98EA4"/>
    <w:rsid w:val="7FD288EC"/>
    <w:rsid w:val="7FD2C346"/>
    <w:rsid w:val="7FD37F2A"/>
    <w:rsid w:val="7FD42135"/>
    <w:rsid w:val="7FD62C10"/>
    <w:rsid w:val="7FD69205"/>
    <w:rsid w:val="7FE58E4C"/>
    <w:rsid w:val="7FE607EF"/>
    <w:rsid w:val="7FE7956F"/>
    <w:rsid w:val="7FEE2BCC"/>
    <w:rsid w:val="7FFAB259"/>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738334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ListParagraph"/>
    <w:next w:val="Normal"/>
    <w:link w:val="Heading1Char"/>
    <w:uiPriority w:val="9"/>
    <w:qFormat/>
    <w:rsid w:val="001930AE"/>
    <w:pPr>
      <w:numPr>
        <w:numId w:val="2"/>
      </w:numPr>
      <w:jc w:val="both"/>
      <w:outlineLvl w:val="0"/>
    </w:pPr>
    <w:rPr>
      <w:rFonts w:ascii="Times New Roman" w:hAnsi="Times New Roman" w:cs="Times New Roman"/>
      <w:b/>
      <w:bCs/>
      <w:sz w:val="24"/>
      <w:szCs w:val="24"/>
    </w:rPr>
  </w:style>
  <w:style w:type="paragraph" w:styleId="Heading2">
    <w:name w:val="heading 2"/>
    <w:basedOn w:val="ListParagraph"/>
    <w:next w:val="Normal"/>
    <w:link w:val="Heading2Char"/>
    <w:uiPriority w:val="9"/>
    <w:unhideWhenUsed/>
    <w:qFormat/>
    <w:rsid w:val="001930AE"/>
    <w:pPr>
      <w:numPr>
        <w:ilvl w:val="1"/>
        <w:numId w:val="3"/>
      </w:numPr>
      <w:jc w:val="both"/>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semiHidden/>
    <w:unhideWhenUsed/>
    <w:qFormat/>
    <w:rsid w:val="00872A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2A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2A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2A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2A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2A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2A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30AE"/>
    <w:rPr>
      <w:rFonts w:ascii="Times New Roman" w:hAnsi="Times New Roman" w:cs="Times New Roman"/>
      <w:b/>
      <w:bCs/>
      <w:sz w:val="24"/>
      <w:szCs w:val="24"/>
      <w:lang w:val="fr-FR"/>
    </w:rPr>
  </w:style>
  <w:style w:type="character" w:customStyle="1" w:styleId="Heading2Char">
    <w:name w:val="Heading 2 Char"/>
    <w:basedOn w:val="DefaultParagraphFont"/>
    <w:link w:val="Heading2"/>
    <w:uiPriority w:val="9"/>
    <w:rsid w:val="001930AE"/>
    <w:rPr>
      <w:rFonts w:ascii="Times New Roman" w:hAnsi="Times New Roman" w:cs="Times New Roman"/>
      <w:b/>
      <w:bCs/>
      <w:sz w:val="24"/>
      <w:szCs w:val="24"/>
      <w:lang w:val="fr-FR"/>
    </w:rPr>
  </w:style>
  <w:style w:type="character" w:customStyle="1" w:styleId="Heading3Char">
    <w:name w:val="Heading 3 Char"/>
    <w:basedOn w:val="DefaultParagraphFont"/>
    <w:link w:val="Heading3"/>
    <w:uiPriority w:val="9"/>
    <w:semiHidden/>
    <w:rsid w:val="00872A56"/>
    <w:rPr>
      <w:rFonts w:eastAsiaTheme="majorEastAsia" w:cstheme="majorBidi"/>
      <w:color w:val="0F4761" w:themeColor="accent1" w:themeShade="BF"/>
      <w:sz w:val="28"/>
      <w:szCs w:val="28"/>
      <w:lang w:val="fr-FR"/>
    </w:rPr>
  </w:style>
  <w:style w:type="character" w:customStyle="1" w:styleId="Heading4Char">
    <w:name w:val="Heading 4 Char"/>
    <w:basedOn w:val="DefaultParagraphFont"/>
    <w:link w:val="Heading4"/>
    <w:uiPriority w:val="9"/>
    <w:semiHidden/>
    <w:rsid w:val="00872A56"/>
    <w:rPr>
      <w:rFonts w:eastAsiaTheme="majorEastAsia" w:cstheme="majorBidi"/>
      <w:i/>
      <w:iCs/>
      <w:color w:val="0F4761" w:themeColor="accent1" w:themeShade="BF"/>
      <w:lang w:val="fr-FR"/>
    </w:rPr>
  </w:style>
  <w:style w:type="character" w:customStyle="1" w:styleId="Heading5Char">
    <w:name w:val="Heading 5 Char"/>
    <w:basedOn w:val="DefaultParagraphFont"/>
    <w:link w:val="Heading5"/>
    <w:uiPriority w:val="9"/>
    <w:semiHidden/>
    <w:rsid w:val="00872A56"/>
    <w:rPr>
      <w:rFonts w:eastAsiaTheme="majorEastAsia" w:cstheme="majorBidi"/>
      <w:color w:val="0F4761" w:themeColor="accent1" w:themeShade="BF"/>
      <w:lang w:val="fr-FR"/>
    </w:rPr>
  </w:style>
  <w:style w:type="character" w:customStyle="1" w:styleId="Heading6Char">
    <w:name w:val="Heading 6 Char"/>
    <w:basedOn w:val="DefaultParagraphFont"/>
    <w:link w:val="Heading6"/>
    <w:uiPriority w:val="9"/>
    <w:semiHidden/>
    <w:rsid w:val="00872A56"/>
    <w:rPr>
      <w:rFonts w:eastAsiaTheme="majorEastAsia" w:cstheme="majorBidi"/>
      <w:i/>
      <w:iCs/>
      <w:color w:val="595959" w:themeColor="text1" w:themeTint="A6"/>
      <w:lang w:val="fr-FR"/>
    </w:rPr>
  </w:style>
  <w:style w:type="character" w:customStyle="1" w:styleId="Heading7Char">
    <w:name w:val="Heading 7 Char"/>
    <w:basedOn w:val="DefaultParagraphFont"/>
    <w:link w:val="Heading7"/>
    <w:uiPriority w:val="9"/>
    <w:semiHidden/>
    <w:rsid w:val="00872A56"/>
    <w:rPr>
      <w:rFonts w:eastAsiaTheme="majorEastAsia" w:cstheme="majorBidi"/>
      <w:color w:val="595959" w:themeColor="text1" w:themeTint="A6"/>
      <w:lang w:val="fr-FR"/>
    </w:rPr>
  </w:style>
  <w:style w:type="character" w:customStyle="1" w:styleId="Heading8Char">
    <w:name w:val="Heading 8 Char"/>
    <w:basedOn w:val="DefaultParagraphFont"/>
    <w:link w:val="Heading8"/>
    <w:uiPriority w:val="9"/>
    <w:semiHidden/>
    <w:rsid w:val="00872A56"/>
    <w:rPr>
      <w:rFonts w:eastAsiaTheme="majorEastAsia" w:cstheme="majorBidi"/>
      <w:i/>
      <w:iCs/>
      <w:color w:val="272727" w:themeColor="text1" w:themeTint="D8"/>
      <w:lang w:val="fr-FR"/>
    </w:rPr>
  </w:style>
  <w:style w:type="character" w:customStyle="1" w:styleId="Heading9Char">
    <w:name w:val="Heading 9 Char"/>
    <w:basedOn w:val="DefaultParagraphFont"/>
    <w:link w:val="Heading9"/>
    <w:uiPriority w:val="9"/>
    <w:semiHidden/>
    <w:rsid w:val="00872A56"/>
    <w:rPr>
      <w:rFonts w:eastAsiaTheme="majorEastAsia" w:cstheme="majorBidi"/>
      <w:color w:val="272727" w:themeColor="text1" w:themeTint="D8"/>
      <w:lang w:val="fr-FR"/>
    </w:rPr>
  </w:style>
  <w:style w:type="paragraph" w:styleId="Title">
    <w:name w:val="Title"/>
    <w:basedOn w:val="Normal"/>
    <w:next w:val="Normal"/>
    <w:link w:val="TitleChar"/>
    <w:uiPriority w:val="10"/>
    <w:qFormat/>
    <w:rsid w:val="00872A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2A56"/>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872A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2A56"/>
    <w:rPr>
      <w:rFonts w:eastAsiaTheme="majorEastAsia" w:cstheme="majorBidi"/>
      <w:color w:val="595959" w:themeColor="text1" w:themeTint="A6"/>
      <w:spacing w:val="15"/>
      <w:sz w:val="28"/>
      <w:szCs w:val="28"/>
      <w:lang w:val="fr-FR"/>
    </w:rPr>
  </w:style>
  <w:style w:type="paragraph" w:styleId="Quote">
    <w:name w:val="Quote"/>
    <w:basedOn w:val="Normal"/>
    <w:next w:val="Normal"/>
    <w:link w:val="QuoteChar"/>
    <w:uiPriority w:val="29"/>
    <w:qFormat/>
    <w:rsid w:val="00872A56"/>
    <w:pPr>
      <w:spacing w:before="160"/>
      <w:jc w:val="center"/>
    </w:pPr>
    <w:rPr>
      <w:i/>
      <w:iCs/>
      <w:color w:val="404040" w:themeColor="text1" w:themeTint="BF"/>
    </w:rPr>
  </w:style>
  <w:style w:type="character" w:customStyle="1" w:styleId="QuoteChar">
    <w:name w:val="Quote Char"/>
    <w:basedOn w:val="DefaultParagraphFont"/>
    <w:link w:val="Quote"/>
    <w:uiPriority w:val="29"/>
    <w:rsid w:val="00872A56"/>
    <w:rPr>
      <w:i/>
      <w:iCs/>
      <w:color w:val="404040" w:themeColor="text1" w:themeTint="BF"/>
      <w:lang w:val="fr-FR"/>
    </w:rPr>
  </w:style>
  <w:style w:type="paragraph" w:styleId="ListParagraph">
    <w:name w:val="List Paragraph"/>
    <w:basedOn w:val="Normal"/>
    <w:uiPriority w:val="34"/>
    <w:qFormat/>
    <w:rsid w:val="00872A56"/>
    <w:pPr>
      <w:ind w:left="720"/>
      <w:contextualSpacing/>
    </w:pPr>
  </w:style>
  <w:style w:type="character" w:styleId="IntenseEmphasis">
    <w:name w:val="Intense Emphasis"/>
    <w:basedOn w:val="DefaultParagraphFont"/>
    <w:uiPriority w:val="21"/>
    <w:qFormat/>
    <w:rsid w:val="00872A56"/>
    <w:rPr>
      <w:i/>
      <w:iCs/>
      <w:color w:val="0F4761" w:themeColor="accent1" w:themeShade="BF"/>
    </w:rPr>
  </w:style>
  <w:style w:type="paragraph" w:styleId="IntenseQuote">
    <w:name w:val="Intense Quote"/>
    <w:basedOn w:val="Normal"/>
    <w:next w:val="Normal"/>
    <w:link w:val="IntenseQuoteChar"/>
    <w:uiPriority w:val="30"/>
    <w:qFormat/>
    <w:rsid w:val="00872A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2A56"/>
    <w:rPr>
      <w:i/>
      <w:iCs/>
      <w:color w:val="0F4761" w:themeColor="accent1" w:themeShade="BF"/>
      <w:lang w:val="fr-FR"/>
    </w:rPr>
  </w:style>
  <w:style w:type="character" w:styleId="IntenseReference">
    <w:name w:val="Intense Reference"/>
    <w:basedOn w:val="DefaultParagraphFont"/>
    <w:uiPriority w:val="32"/>
    <w:qFormat/>
    <w:rsid w:val="00872A56"/>
    <w:rPr>
      <w:b/>
      <w:bCs/>
      <w:smallCaps/>
      <w:color w:val="0F4761" w:themeColor="accent1" w:themeShade="BF"/>
      <w:spacing w:val="5"/>
    </w:rPr>
  </w:style>
  <w:style w:type="character" w:customStyle="1" w:styleId="Marker">
    <w:name w:val="Marker"/>
    <w:basedOn w:val="DefaultParagraphFont"/>
    <w:rsid w:val="00872A56"/>
    <w:rPr>
      <w:color w:val="0000FF"/>
      <w:shd w:val="clear" w:color="auto" w:fill="auto"/>
    </w:rPr>
  </w:style>
  <w:style w:type="paragraph" w:styleId="Header">
    <w:name w:val="header"/>
    <w:basedOn w:val="Normal"/>
    <w:link w:val="HeaderChar"/>
    <w:uiPriority w:val="99"/>
    <w:unhideWhenUsed/>
    <w:rsid w:val="00872A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872A56"/>
    <w:rPr>
      <w:lang w:val="fr-FR"/>
    </w:rPr>
  </w:style>
  <w:style w:type="paragraph" w:styleId="Footer">
    <w:name w:val="footer"/>
    <w:basedOn w:val="Normal"/>
    <w:link w:val="FooterChar"/>
    <w:uiPriority w:val="99"/>
    <w:unhideWhenUsed/>
    <w:rsid w:val="00872A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872A56"/>
    <w:rPr>
      <w:lang w:val="fr-FR"/>
    </w:rPr>
  </w:style>
  <w:style w:type="paragraph" w:customStyle="1" w:styleId="Pagedecouverture">
    <w:name w:val="Page de couverture"/>
    <w:basedOn w:val="Normal"/>
    <w:next w:val="Normal"/>
    <w:rsid w:val="00872A56"/>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872A56"/>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872A56"/>
    <w:rPr>
      <w:rFonts w:ascii="Times New Roman" w:hAnsi="Times New Roman" w:cs="Times New Roman"/>
      <w:sz w:val="24"/>
    </w:rPr>
  </w:style>
  <w:style w:type="paragraph" w:customStyle="1" w:styleId="FooterSensitivity">
    <w:name w:val="Footer Sensitivity"/>
    <w:basedOn w:val="Normal"/>
    <w:link w:val="FooterSensitivityChar"/>
    <w:rsid w:val="00872A56"/>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872A56"/>
    <w:rPr>
      <w:rFonts w:ascii="Times New Roman" w:hAnsi="Times New Roman" w:cs="Times New Roman"/>
      <w:b/>
      <w:sz w:val="32"/>
    </w:rPr>
  </w:style>
  <w:style w:type="paragraph" w:customStyle="1" w:styleId="HeaderCoverPage">
    <w:name w:val="Header Cover Page"/>
    <w:basedOn w:val="Normal"/>
    <w:link w:val="HeaderCoverPageChar"/>
    <w:rsid w:val="00872A56"/>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872A56"/>
    <w:rPr>
      <w:rFonts w:ascii="Times New Roman" w:hAnsi="Times New Roman" w:cs="Times New Roman"/>
      <w:sz w:val="24"/>
    </w:rPr>
  </w:style>
  <w:style w:type="paragraph" w:customStyle="1" w:styleId="HeaderSensitivity">
    <w:name w:val="Header Sensitivity"/>
    <w:basedOn w:val="Normal"/>
    <w:link w:val="HeaderSensitivityChar"/>
    <w:rsid w:val="00872A56"/>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872A56"/>
    <w:rPr>
      <w:rFonts w:ascii="Times New Roman" w:hAnsi="Times New Roman" w:cs="Times New Roman"/>
      <w:b/>
      <w:sz w:val="32"/>
    </w:rPr>
  </w:style>
  <w:style w:type="paragraph" w:customStyle="1" w:styleId="HeaderSensitivityRight">
    <w:name w:val="Header Sensitivity Right"/>
    <w:basedOn w:val="Normal"/>
    <w:link w:val="HeaderSensitivityRightChar"/>
    <w:rsid w:val="006E6089"/>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872A56"/>
    <w:rPr>
      <w:rFonts w:ascii="Times New Roman" w:hAnsi="Times New Roman" w:cs="Times New Roman"/>
      <w:sz w:val="28"/>
    </w:rPr>
  </w:style>
  <w:style w:type="character" w:styleId="Hyperlink">
    <w:name w:val="Hyperlink"/>
    <w:basedOn w:val="DefaultParagraphFont"/>
    <w:uiPriority w:val="99"/>
    <w:unhideWhenUsed/>
    <w:rsid w:val="00A67AA8"/>
    <w:rPr>
      <w:color w:val="467886" w:themeColor="hyperlink"/>
      <w:u w:val="single"/>
    </w:rPr>
  </w:style>
  <w:style w:type="character" w:customStyle="1" w:styleId="UnresolvedMention1">
    <w:name w:val="Unresolved Mention1"/>
    <w:basedOn w:val="DefaultParagraphFont"/>
    <w:uiPriority w:val="99"/>
    <w:semiHidden/>
    <w:unhideWhenUsed/>
    <w:rsid w:val="00A67AA8"/>
    <w:rPr>
      <w:color w:val="605E5C"/>
      <w:shd w:val="clear" w:color="auto" w:fill="E1DFDD"/>
    </w:rPr>
  </w:style>
  <w:style w:type="paragraph" w:customStyle="1" w:styleId="L1">
    <w:name w:val="L1"/>
    <w:basedOn w:val="Normal"/>
    <w:next w:val="ListParagraph"/>
    <w:link w:val="ListParagraphChar"/>
    <w:uiPriority w:val="34"/>
    <w:qFormat/>
    <w:rsid w:val="00BC5DD9"/>
    <w:pPr>
      <w:ind w:left="720"/>
      <w:contextualSpacing/>
    </w:pPr>
    <w:rPr>
      <w:rFonts w:ascii="Aptos" w:eastAsia="Aptos" w:hAnsi="Aptos" w:cs="Times New Roman"/>
    </w:rPr>
  </w:style>
  <w:style w:type="character" w:customStyle="1" w:styleId="ListParagraphChar">
    <w:name w:val="List Paragraph Char"/>
    <w:aliases w:val="Fiche List Paragraph Char,OBC Bullet Char,Dot pt Char,F5 List Paragraph Char,List Paragraph1 Char,No Spacing1 Char,List Paragraph Char Char Char Char,Indicator Text Char,Colorful List - Accent 11 Char,Numbered Para 1 Char,2 Char"/>
    <w:basedOn w:val="DefaultParagraphFont"/>
    <w:link w:val="L1"/>
    <w:uiPriority w:val="34"/>
    <w:qFormat/>
    <w:rsid w:val="00BC5DD9"/>
    <w:rPr>
      <w:rFonts w:ascii="Aptos" w:eastAsia="Aptos" w:hAnsi="Aptos" w:cs="Times New Roman"/>
      <w:lang w:val="fr-FR"/>
    </w:rPr>
  </w:style>
  <w:style w:type="character" w:styleId="FollowedHyperlink">
    <w:name w:val="FollowedHyperlink"/>
    <w:basedOn w:val="DefaultParagraphFont"/>
    <w:uiPriority w:val="99"/>
    <w:semiHidden/>
    <w:unhideWhenUsed/>
    <w:rsid w:val="00D96D62"/>
    <w:rPr>
      <w:color w:val="96607D" w:themeColor="followedHyperlink"/>
      <w:u w:val="single"/>
    </w:rPr>
  </w:style>
  <w:style w:type="paragraph" w:styleId="NormalWeb">
    <w:name w:val="Normal (Web)"/>
    <w:basedOn w:val="Normal"/>
    <w:uiPriority w:val="99"/>
    <w:semiHidden/>
    <w:unhideWhenUsed/>
    <w:rsid w:val="001D0024"/>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1D0024"/>
    <w:rPr>
      <w:b/>
      <w:bCs/>
    </w:rPr>
  </w:style>
  <w:style w:type="character" w:styleId="CommentReference">
    <w:name w:val="annotation reference"/>
    <w:basedOn w:val="DefaultParagraphFont"/>
    <w:uiPriority w:val="99"/>
    <w:semiHidden/>
    <w:unhideWhenUsed/>
    <w:qFormat/>
    <w:rsid w:val="002A2A19"/>
    <w:rPr>
      <w:sz w:val="16"/>
      <w:szCs w:val="16"/>
    </w:rPr>
  </w:style>
  <w:style w:type="paragraph" w:styleId="CommentText">
    <w:name w:val="annotation text"/>
    <w:basedOn w:val="Normal"/>
    <w:link w:val="CommentTextChar"/>
    <w:uiPriority w:val="99"/>
    <w:unhideWhenUsed/>
    <w:rsid w:val="002A2A19"/>
    <w:pPr>
      <w:spacing w:line="240" w:lineRule="auto"/>
    </w:pPr>
    <w:rPr>
      <w:sz w:val="20"/>
      <w:szCs w:val="20"/>
    </w:rPr>
  </w:style>
  <w:style w:type="character" w:customStyle="1" w:styleId="CommentTextChar">
    <w:name w:val="Comment Text Char"/>
    <w:basedOn w:val="DefaultParagraphFont"/>
    <w:link w:val="CommentText"/>
    <w:uiPriority w:val="99"/>
    <w:rsid w:val="002A2A19"/>
    <w:rPr>
      <w:sz w:val="20"/>
      <w:szCs w:val="20"/>
      <w:lang w:val="fr-FR"/>
    </w:rPr>
  </w:style>
  <w:style w:type="paragraph" w:styleId="CommentSubject">
    <w:name w:val="annotation subject"/>
    <w:basedOn w:val="CommentText"/>
    <w:next w:val="CommentText"/>
    <w:link w:val="CommentSubjectChar"/>
    <w:uiPriority w:val="99"/>
    <w:semiHidden/>
    <w:unhideWhenUsed/>
    <w:rsid w:val="002A2A19"/>
    <w:rPr>
      <w:b/>
      <w:bCs/>
    </w:rPr>
  </w:style>
  <w:style w:type="character" w:customStyle="1" w:styleId="CommentSubjectChar">
    <w:name w:val="Comment Subject Char"/>
    <w:basedOn w:val="CommentTextChar"/>
    <w:link w:val="CommentSubject"/>
    <w:uiPriority w:val="99"/>
    <w:semiHidden/>
    <w:rsid w:val="002A2A19"/>
    <w:rPr>
      <w:b/>
      <w:bCs/>
      <w:sz w:val="20"/>
      <w:szCs w:val="20"/>
      <w:lang w:val="fr-FR"/>
    </w:rPr>
  </w:style>
  <w:style w:type="paragraph" w:styleId="Revision">
    <w:name w:val="Revision"/>
    <w:hidden/>
    <w:uiPriority w:val="99"/>
    <w:semiHidden/>
    <w:rsid w:val="00E62E8F"/>
    <w:pPr>
      <w:spacing w:after="0" w:line="240" w:lineRule="auto"/>
    </w:pPr>
  </w:style>
  <w:style w:type="paragraph" w:styleId="FootnoteText">
    <w:name w:val="footnote text"/>
    <w:basedOn w:val="Normal"/>
    <w:link w:val="FootnoteTextChar"/>
    <w:uiPriority w:val="99"/>
    <w:semiHidden/>
    <w:unhideWhenUsed/>
    <w:rsid w:val="003B75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758B"/>
    <w:rPr>
      <w:sz w:val="20"/>
      <w:szCs w:val="20"/>
      <w:lang w:val="fr-FR"/>
    </w:rPr>
  </w:style>
  <w:style w:type="character" w:styleId="FootnoteReference">
    <w:name w:val="footnote reference"/>
    <w:basedOn w:val="DefaultParagraphFont"/>
    <w:uiPriority w:val="99"/>
    <w:semiHidden/>
    <w:unhideWhenUsed/>
    <w:rsid w:val="003B758B"/>
    <w:rPr>
      <w:vertAlign w:val="superscript"/>
    </w:rPr>
  </w:style>
  <w:style w:type="character" w:customStyle="1" w:styleId="Mention1">
    <w:name w:val="Mention1"/>
    <w:basedOn w:val="DefaultParagraphFont"/>
    <w:uiPriority w:val="99"/>
    <w:unhideWhenUsed/>
    <w:rsid w:val="00076E21"/>
    <w:rPr>
      <w:color w:val="2B579A"/>
      <w:shd w:val="clear" w:color="auto" w:fill="E1DFDD"/>
    </w:rPr>
  </w:style>
  <w:style w:type="character" w:customStyle="1" w:styleId="normaltextrun">
    <w:name w:val="normaltextrun"/>
    <w:basedOn w:val="DefaultParagraphFont"/>
    <w:rsid w:val="00D82B92"/>
  </w:style>
  <w:style w:type="paragraph" w:styleId="ListBullet">
    <w:name w:val="List Bullet"/>
    <w:basedOn w:val="Normal"/>
    <w:rsid w:val="00D05DA1"/>
    <w:pPr>
      <w:tabs>
        <w:tab w:val="num" w:pos="283"/>
      </w:tabs>
      <w:spacing w:after="240" w:line="240" w:lineRule="auto"/>
      <w:ind w:left="283" w:hanging="283"/>
      <w:jc w:val="both"/>
    </w:pPr>
    <w:rPr>
      <w:rFonts w:ascii="Times New Roman" w:eastAsia="Times New Roman" w:hAnsi="Times New Roman" w:cs="Times New Roman"/>
      <w:sz w:val="24"/>
      <w:szCs w:val="20"/>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Caption">
    <w:name w:val="caption"/>
    <w:basedOn w:val="Normal"/>
    <w:next w:val="Normal"/>
    <w:uiPriority w:val="35"/>
    <w:unhideWhenUsed/>
    <w:qFormat/>
    <w:rsid w:val="000A2739"/>
    <w:pPr>
      <w:spacing w:after="200" w:line="240" w:lineRule="auto"/>
    </w:pPr>
    <w:rPr>
      <w:i/>
      <w:iCs/>
      <w:color w:val="0E2841" w:themeColor="text2"/>
      <w:sz w:val="18"/>
      <w:szCs w:val="18"/>
    </w:rPr>
  </w:style>
  <w:style w:type="paragraph" w:styleId="EndnoteText">
    <w:name w:val="endnote text"/>
    <w:basedOn w:val="Normal"/>
    <w:uiPriority w:val="99"/>
    <w:semiHidden/>
    <w:unhideWhenUsed/>
    <w:rsid w:val="182CF98F"/>
    <w:pPr>
      <w:spacing w:after="0" w:line="240" w:lineRule="auto"/>
    </w:pPr>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paragraph">
    <w:name w:val="paragraph"/>
    <w:basedOn w:val="Normal"/>
    <w:rsid w:val="00D67269"/>
    <w:pPr>
      <w:spacing w:before="100" w:beforeAutospacing="1" w:after="100" w:afterAutospacing="1" w:line="240" w:lineRule="auto"/>
    </w:pPr>
    <w:rPr>
      <w:rFonts w:ascii="Times New Roman" w:eastAsia="Times New Roman" w:hAnsi="Times New Roman" w:cs="Times New Roman"/>
      <w:sz w:val="24"/>
      <w:szCs w:val="24"/>
      <w:lang w:eastAsia="en-IE"/>
    </w:rPr>
  </w:style>
  <w:style w:type="paragraph" w:customStyle="1" w:styleId="Disclaimer">
    <w:name w:val="Disclaimer"/>
    <w:basedOn w:val="Normal"/>
    <w:rsid w:val="006E6089"/>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6E6089"/>
    <w:pPr>
      <w:spacing w:after="0" w:line="276" w:lineRule="auto"/>
      <w:ind w:left="5103"/>
    </w:pPr>
    <w:rPr>
      <w:rFonts w:ascii="Times New Roman" w:hAnsi="Times New Roman" w:cs="Times New Roman"/>
      <w:sz w:val="28"/>
    </w:rPr>
  </w:style>
  <w:style w:type="paragraph" w:customStyle="1" w:styleId="DateMarking">
    <w:name w:val="DateMarking"/>
    <w:basedOn w:val="Normal"/>
    <w:rsid w:val="006E6089"/>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6E6089"/>
    <w:pPr>
      <w:spacing w:after="0" w:line="276" w:lineRule="auto"/>
      <w:ind w:left="5103"/>
    </w:pPr>
    <w:rPr>
      <w:rFonts w:ascii="Times New Roman" w:hAnsi="Times New Roman" w:cs="Times New Roman"/>
      <w:i/>
      <w:sz w:val="28"/>
    </w:rPr>
  </w:style>
  <w:style w:type="character" w:customStyle="1" w:styleId="UnresolvedMention">
    <w:name w:val="Unresolved Mention"/>
    <w:basedOn w:val="DefaultParagraphFont"/>
    <w:uiPriority w:val="99"/>
    <w:semiHidden/>
    <w:unhideWhenUsed/>
    <w:rsid w:val="00766D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17863">
      <w:bodyDiv w:val="1"/>
      <w:marLeft w:val="0"/>
      <w:marRight w:val="0"/>
      <w:marTop w:val="0"/>
      <w:marBottom w:val="0"/>
      <w:divBdr>
        <w:top w:val="none" w:sz="0" w:space="0" w:color="auto"/>
        <w:left w:val="none" w:sz="0" w:space="0" w:color="auto"/>
        <w:bottom w:val="none" w:sz="0" w:space="0" w:color="auto"/>
        <w:right w:val="none" w:sz="0" w:space="0" w:color="auto"/>
      </w:divBdr>
      <w:divsChild>
        <w:div w:id="223836455">
          <w:marLeft w:val="0"/>
          <w:marRight w:val="0"/>
          <w:marTop w:val="0"/>
          <w:marBottom w:val="0"/>
          <w:divBdr>
            <w:top w:val="none" w:sz="0" w:space="0" w:color="auto"/>
            <w:left w:val="none" w:sz="0" w:space="0" w:color="auto"/>
            <w:bottom w:val="none" w:sz="0" w:space="0" w:color="auto"/>
            <w:right w:val="none" w:sz="0" w:space="0" w:color="auto"/>
          </w:divBdr>
          <w:divsChild>
            <w:div w:id="242110481">
              <w:marLeft w:val="0"/>
              <w:marRight w:val="0"/>
              <w:marTop w:val="0"/>
              <w:marBottom w:val="0"/>
              <w:divBdr>
                <w:top w:val="none" w:sz="0" w:space="0" w:color="auto"/>
                <w:left w:val="none" w:sz="0" w:space="0" w:color="auto"/>
                <w:bottom w:val="none" w:sz="0" w:space="0" w:color="auto"/>
                <w:right w:val="none" w:sz="0" w:space="0" w:color="auto"/>
              </w:divBdr>
            </w:div>
            <w:div w:id="81240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78111">
      <w:bodyDiv w:val="1"/>
      <w:marLeft w:val="0"/>
      <w:marRight w:val="0"/>
      <w:marTop w:val="0"/>
      <w:marBottom w:val="0"/>
      <w:divBdr>
        <w:top w:val="none" w:sz="0" w:space="0" w:color="auto"/>
        <w:left w:val="none" w:sz="0" w:space="0" w:color="auto"/>
        <w:bottom w:val="none" w:sz="0" w:space="0" w:color="auto"/>
        <w:right w:val="none" w:sz="0" w:space="0" w:color="auto"/>
      </w:divBdr>
    </w:div>
    <w:div w:id="42221813">
      <w:bodyDiv w:val="1"/>
      <w:marLeft w:val="0"/>
      <w:marRight w:val="0"/>
      <w:marTop w:val="0"/>
      <w:marBottom w:val="0"/>
      <w:divBdr>
        <w:top w:val="none" w:sz="0" w:space="0" w:color="auto"/>
        <w:left w:val="none" w:sz="0" w:space="0" w:color="auto"/>
        <w:bottom w:val="none" w:sz="0" w:space="0" w:color="auto"/>
        <w:right w:val="none" w:sz="0" w:space="0" w:color="auto"/>
      </w:divBdr>
      <w:divsChild>
        <w:div w:id="382600779">
          <w:marLeft w:val="0"/>
          <w:marRight w:val="0"/>
          <w:marTop w:val="0"/>
          <w:marBottom w:val="0"/>
          <w:divBdr>
            <w:top w:val="none" w:sz="0" w:space="0" w:color="auto"/>
            <w:left w:val="none" w:sz="0" w:space="0" w:color="auto"/>
            <w:bottom w:val="none" w:sz="0" w:space="0" w:color="auto"/>
            <w:right w:val="none" w:sz="0" w:space="0" w:color="auto"/>
          </w:divBdr>
          <w:divsChild>
            <w:div w:id="1798985841">
              <w:marLeft w:val="0"/>
              <w:marRight w:val="0"/>
              <w:marTop w:val="0"/>
              <w:marBottom w:val="0"/>
              <w:divBdr>
                <w:top w:val="none" w:sz="0" w:space="0" w:color="auto"/>
                <w:left w:val="none" w:sz="0" w:space="0" w:color="auto"/>
                <w:bottom w:val="none" w:sz="0" w:space="0" w:color="auto"/>
                <w:right w:val="none" w:sz="0" w:space="0" w:color="auto"/>
              </w:divBdr>
            </w:div>
            <w:div w:id="2020350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2582">
      <w:bodyDiv w:val="1"/>
      <w:marLeft w:val="0"/>
      <w:marRight w:val="0"/>
      <w:marTop w:val="0"/>
      <w:marBottom w:val="0"/>
      <w:divBdr>
        <w:top w:val="none" w:sz="0" w:space="0" w:color="auto"/>
        <w:left w:val="none" w:sz="0" w:space="0" w:color="auto"/>
        <w:bottom w:val="none" w:sz="0" w:space="0" w:color="auto"/>
        <w:right w:val="none" w:sz="0" w:space="0" w:color="auto"/>
      </w:divBdr>
    </w:div>
    <w:div w:id="64229006">
      <w:bodyDiv w:val="1"/>
      <w:marLeft w:val="0"/>
      <w:marRight w:val="0"/>
      <w:marTop w:val="0"/>
      <w:marBottom w:val="0"/>
      <w:divBdr>
        <w:top w:val="none" w:sz="0" w:space="0" w:color="auto"/>
        <w:left w:val="none" w:sz="0" w:space="0" w:color="auto"/>
        <w:bottom w:val="none" w:sz="0" w:space="0" w:color="auto"/>
        <w:right w:val="none" w:sz="0" w:space="0" w:color="auto"/>
      </w:divBdr>
    </w:div>
    <w:div w:id="66194113">
      <w:bodyDiv w:val="1"/>
      <w:marLeft w:val="0"/>
      <w:marRight w:val="0"/>
      <w:marTop w:val="0"/>
      <w:marBottom w:val="0"/>
      <w:divBdr>
        <w:top w:val="none" w:sz="0" w:space="0" w:color="auto"/>
        <w:left w:val="none" w:sz="0" w:space="0" w:color="auto"/>
        <w:bottom w:val="none" w:sz="0" w:space="0" w:color="auto"/>
        <w:right w:val="none" w:sz="0" w:space="0" w:color="auto"/>
      </w:divBdr>
    </w:div>
    <w:div w:id="72286946">
      <w:bodyDiv w:val="1"/>
      <w:marLeft w:val="0"/>
      <w:marRight w:val="0"/>
      <w:marTop w:val="0"/>
      <w:marBottom w:val="0"/>
      <w:divBdr>
        <w:top w:val="none" w:sz="0" w:space="0" w:color="auto"/>
        <w:left w:val="none" w:sz="0" w:space="0" w:color="auto"/>
        <w:bottom w:val="none" w:sz="0" w:space="0" w:color="auto"/>
        <w:right w:val="none" w:sz="0" w:space="0" w:color="auto"/>
      </w:divBdr>
    </w:div>
    <w:div w:id="73093547">
      <w:bodyDiv w:val="1"/>
      <w:marLeft w:val="0"/>
      <w:marRight w:val="0"/>
      <w:marTop w:val="0"/>
      <w:marBottom w:val="0"/>
      <w:divBdr>
        <w:top w:val="none" w:sz="0" w:space="0" w:color="auto"/>
        <w:left w:val="none" w:sz="0" w:space="0" w:color="auto"/>
        <w:bottom w:val="none" w:sz="0" w:space="0" w:color="auto"/>
        <w:right w:val="none" w:sz="0" w:space="0" w:color="auto"/>
      </w:divBdr>
    </w:div>
    <w:div w:id="77753235">
      <w:bodyDiv w:val="1"/>
      <w:marLeft w:val="0"/>
      <w:marRight w:val="0"/>
      <w:marTop w:val="0"/>
      <w:marBottom w:val="0"/>
      <w:divBdr>
        <w:top w:val="none" w:sz="0" w:space="0" w:color="auto"/>
        <w:left w:val="none" w:sz="0" w:space="0" w:color="auto"/>
        <w:bottom w:val="none" w:sz="0" w:space="0" w:color="auto"/>
        <w:right w:val="none" w:sz="0" w:space="0" w:color="auto"/>
      </w:divBdr>
    </w:div>
    <w:div w:id="98567419">
      <w:bodyDiv w:val="1"/>
      <w:marLeft w:val="0"/>
      <w:marRight w:val="0"/>
      <w:marTop w:val="0"/>
      <w:marBottom w:val="0"/>
      <w:divBdr>
        <w:top w:val="none" w:sz="0" w:space="0" w:color="auto"/>
        <w:left w:val="none" w:sz="0" w:space="0" w:color="auto"/>
        <w:bottom w:val="none" w:sz="0" w:space="0" w:color="auto"/>
        <w:right w:val="none" w:sz="0" w:space="0" w:color="auto"/>
      </w:divBdr>
    </w:div>
    <w:div w:id="100032659">
      <w:bodyDiv w:val="1"/>
      <w:marLeft w:val="0"/>
      <w:marRight w:val="0"/>
      <w:marTop w:val="0"/>
      <w:marBottom w:val="0"/>
      <w:divBdr>
        <w:top w:val="none" w:sz="0" w:space="0" w:color="auto"/>
        <w:left w:val="none" w:sz="0" w:space="0" w:color="auto"/>
        <w:bottom w:val="none" w:sz="0" w:space="0" w:color="auto"/>
        <w:right w:val="none" w:sz="0" w:space="0" w:color="auto"/>
      </w:divBdr>
      <w:divsChild>
        <w:div w:id="1147744269">
          <w:marLeft w:val="0"/>
          <w:marRight w:val="0"/>
          <w:marTop w:val="0"/>
          <w:marBottom w:val="0"/>
          <w:divBdr>
            <w:top w:val="none" w:sz="0" w:space="0" w:color="auto"/>
            <w:left w:val="none" w:sz="0" w:space="0" w:color="auto"/>
            <w:bottom w:val="none" w:sz="0" w:space="0" w:color="auto"/>
            <w:right w:val="none" w:sz="0" w:space="0" w:color="auto"/>
          </w:divBdr>
          <w:divsChild>
            <w:div w:id="1403139641">
              <w:marLeft w:val="0"/>
              <w:marRight w:val="0"/>
              <w:marTop w:val="0"/>
              <w:marBottom w:val="0"/>
              <w:divBdr>
                <w:top w:val="none" w:sz="0" w:space="0" w:color="auto"/>
                <w:left w:val="none" w:sz="0" w:space="0" w:color="auto"/>
                <w:bottom w:val="none" w:sz="0" w:space="0" w:color="auto"/>
                <w:right w:val="none" w:sz="0" w:space="0" w:color="auto"/>
              </w:divBdr>
              <w:divsChild>
                <w:div w:id="332143680">
                  <w:marLeft w:val="0"/>
                  <w:marRight w:val="0"/>
                  <w:marTop w:val="0"/>
                  <w:marBottom w:val="0"/>
                  <w:divBdr>
                    <w:top w:val="none" w:sz="0" w:space="0" w:color="auto"/>
                    <w:left w:val="none" w:sz="0" w:space="0" w:color="auto"/>
                    <w:bottom w:val="none" w:sz="0" w:space="0" w:color="auto"/>
                    <w:right w:val="none" w:sz="0" w:space="0" w:color="auto"/>
                  </w:divBdr>
                  <w:divsChild>
                    <w:div w:id="339698939">
                      <w:marLeft w:val="0"/>
                      <w:marRight w:val="0"/>
                      <w:marTop w:val="0"/>
                      <w:marBottom w:val="0"/>
                      <w:divBdr>
                        <w:top w:val="none" w:sz="0" w:space="0" w:color="auto"/>
                        <w:left w:val="none" w:sz="0" w:space="0" w:color="auto"/>
                        <w:bottom w:val="none" w:sz="0" w:space="0" w:color="auto"/>
                        <w:right w:val="none" w:sz="0" w:space="0" w:color="auto"/>
                      </w:divBdr>
                      <w:divsChild>
                        <w:div w:id="1999725245">
                          <w:marLeft w:val="0"/>
                          <w:marRight w:val="0"/>
                          <w:marTop w:val="0"/>
                          <w:marBottom w:val="0"/>
                          <w:divBdr>
                            <w:top w:val="none" w:sz="0" w:space="0" w:color="auto"/>
                            <w:left w:val="none" w:sz="0" w:space="0" w:color="auto"/>
                            <w:bottom w:val="none" w:sz="0" w:space="0" w:color="auto"/>
                            <w:right w:val="none" w:sz="0" w:space="0" w:color="auto"/>
                          </w:divBdr>
                          <w:divsChild>
                            <w:div w:id="1311981629">
                              <w:marLeft w:val="0"/>
                              <w:marRight w:val="0"/>
                              <w:marTop w:val="0"/>
                              <w:marBottom w:val="0"/>
                              <w:divBdr>
                                <w:top w:val="none" w:sz="0" w:space="0" w:color="auto"/>
                                <w:left w:val="none" w:sz="0" w:space="0" w:color="auto"/>
                                <w:bottom w:val="none" w:sz="0" w:space="0" w:color="auto"/>
                                <w:right w:val="none" w:sz="0" w:space="0" w:color="auto"/>
                              </w:divBdr>
                              <w:divsChild>
                                <w:div w:id="660886119">
                                  <w:marLeft w:val="0"/>
                                  <w:marRight w:val="0"/>
                                  <w:marTop w:val="0"/>
                                  <w:marBottom w:val="0"/>
                                  <w:divBdr>
                                    <w:top w:val="none" w:sz="0" w:space="0" w:color="auto"/>
                                    <w:left w:val="none" w:sz="0" w:space="0" w:color="auto"/>
                                    <w:bottom w:val="none" w:sz="0" w:space="0" w:color="auto"/>
                                    <w:right w:val="none" w:sz="0" w:space="0" w:color="auto"/>
                                  </w:divBdr>
                                  <w:divsChild>
                                    <w:div w:id="93520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729878">
      <w:bodyDiv w:val="1"/>
      <w:marLeft w:val="0"/>
      <w:marRight w:val="0"/>
      <w:marTop w:val="0"/>
      <w:marBottom w:val="0"/>
      <w:divBdr>
        <w:top w:val="none" w:sz="0" w:space="0" w:color="auto"/>
        <w:left w:val="none" w:sz="0" w:space="0" w:color="auto"/>
        <w:bottom w:val="none" w:sz="0" w:space="0" w:color="auto"/>
        <w:right w:val="none" w:sz="0" w:space="0" w:color="auto"/>
      </w:divBdr>
      <w:divsChild>
        <w:div w:id="586571462">
          <w:marLeft w:val="0"/>
          <w:marRight w:val="0"/>
          <w:marTop w:val="0"/>
          <w:marBottom w:val="0"/>
          <w:divBdr>
            <w:top w:val="none" w:sz="0" w:space="0" w:color="auto"/>
            <w:left w:val="none" w:sz="0" w:space="0" w:color="auto"/>
            <w:bottom w:val="none" w:sz="0" w:space="0" w:color="auto"/>
            <w:right w:val="none" w:sz="0" w:space="0" w:color="auto"/>
          </w:divBdr>
          <w:divsChild>
            <w:div w:id="874197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71135">
      <w:bodyDiv w:val="1"/>
      <w:marLeft w:val="0"/>
      <w:marRight w:val="0"/>
      <w:marTop w:val="0"/>
      <w:marBottom w:val="0"/>
      <w:divBdr>
        <w:top w:val="none" w:sz="0" w:space="0" w:color="auto"/>
        <w:left w:val="none" w:sz="0" w:space="0" w:color="auto"/>
        <w:bottom w:val="none" w:sz="0" w:space="0" w:color="auto"/>
        <w:right w:val="none" w:sz="0" w:space="0" w:color="auto"/>
      </w:divBdr>
    </w:div>
    <w:div w:id="113253534">
      <w:bodyDiv w:val="1"/>
      <w:marLeft w:val="0"/>
      <w:marRight w:val="0"/>
      <w:marTop w:val="0"/>
      <w:marBottom w:val="0"/>
      <w:divBdr>
        <w:top w:val="none" w:sz="0" w:space="0" w:color="auto"/>
        <w:left w:val="none" w:sz="0" w:space="0" w:color="auto"/>
        <w:bottom w:val="none" w:sz="0" w:space="0" w:color="auto"/>
        <w:right w:val="none" w:sz="0" w:space="0" w:color="auto"/>
      </w:divBdr>
      <w:divsChild>
        <w:div w:id="211234015">
          <w:marLeft w:val="0"/>
          <w:marRight w:val="0"/>
          <w:marTop w:val="0"/>
          <w:marBottom w:val="0"/>
          <w:divBdr>
            <w:top w:val="none" w:sz="0" w:space="0" w:color="auto"/>
            <w:left w:val="none" w:sz="0" w:space="0" w:color="auto"/>
            <w:bottom w:val="none" w:sz="0" w:space="0" w:color="auto"/>
            <w:right w:val="none" w:sz="0" w:space="0" w:color="auto"/>
          </w:divBdr>
          <w:divsChild>
            <w:div w:id="1268997634">
              <w:marLeft w:val="0"/>
              <w:marRight w:val="0"/>
              <w:marTop w:val="0"/>
              <w:marBottom w:val="0"/>
              <w:divBdr>
                <w:top w:val="none" w:sz="0" w:space="0" w:color="auto"/>
                <w:left w:val="none" w:sz="0" w:space="0" w:color="auto"/>
                <w:bottom w:val="none" w:sz="0" w:space="0" w:color="auto"/>
                <w:right w:val="none" w:sz="0" w:space="0" w:color="auto"/>
              </w:divBdr>
              <w:divsChild>
                <w:div w:id="2082218822">
                  <w:marLeft w:val="0"/>
                  <w:marRight w:val="0"/>
                  <w:marTop w:val="0"/>
                  <w:marBottom w:val="0"/>
                  <w:divBdr>
                    <w:top w:val="none" w:sz="0" w:space="0" w:color="auto"/>
                    <w:left w:val="none" w:sz="0" w:space="0" w:color="auto"/>
                    <w:bottom w:val="none" w:sz="0" w:space="0" w:color="auto"/>
                    <w:right w:val="none" w:sz="0" w:space="0" w:color="auto"/>
                  </w:divBdr>
                  <w:divsChild>
                    <w:div w:id="130904158">
                      <w:marLeft w:val="0"/>
                      <w:marRight w:val="0"/>
                      <w:marTop w:val="0"/>
                      <w:marBottom w:val="0"/>
                      <w:divBdr>
                        <w:top w:val="none" w:sz="0" w:space="0" w:color="auto"/>
                        <w:left w:val="none" w:sz="0" w:space="0" w:color="auto"/>
                        <w:bottom w:val="none" w:sz="0" w:space="0" w:color="auto"/>
                        <w:right w:val="none" w:sz="0" w:space="0" w:color="auto"/>
                      </w:divBdr>
                      <w:divsChild>
                        <w:div w:id="1678196313">
                          <w:marLeft w:val="0"/>
                          <w:marRight w:val="0"/>
                          <w:marTop w:val="0"/>
                          <w:marBottom w:val="0"/>
                          <w:divBdr>
                            <w:top w:val="none" w:sz="0" w:space="0" w:color="auto"/>
                            <w:left w:val="none" w:sz="0" w:space="0" w:color="auto"/>
                            <w:bottom w:val="none" w:sz="0" w:space="0" w:color="auto"/>
                            <w:right w:val="none" w:sz="0" w:space="0" w:color="auto"/>
                          </w:divBdr>
                          <w:divsChild>
                            <w:div w:id="1068310803">
                              <w:marLeft w:val="0"/>
                              <w:marRight w:val="0"/>
                              <w:marTop w:val="0"/>
                              <w:marBottom w:val="0"/>
                              <w:divBdr>
                                <w:top w:val="none" w:sz="0" w:space="0" w:color="auto"/>
                                <w:left w:val="none" w:sz="0" w:space="0" w:color="auto"/>
                                <w:bottom w:val="none" w:sz="0" w:space="0" w:color="auto"/>
                                <w:right w:val="none" w:sz="0" w:space="0" w:color="auto"/>
                              </w:divBdr>
                              <w:divsChild>
                                <w:div w:id="701445672">
                                  <w:marLeft w:val="0"/>
                                  <w:marRight w:val="0"/>
                                  <w:marTop w:val="0"/>
                                  <w:marBottom w:val="0"/>
                                  <w:divBdr>
                                    <w:top w:val="none" w:sz="0" w:space="0" w:color="auto"/>
                                    <w:left w:val="none" w:sz="0" w:space="0" w:color="auto"/>
                                    <w:bottom w:val="none" w:sz="0" w:space="0" w:color="auto"/>
                                    <w:right w:val="none" w:sz="0" w:space="0" w:color="auto"/>
                                  </w:divBdr>
                                  <w:divsChild>
                                    <w:div w:id="11372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9055006">
      <w:bodyDiv w:val="1"/>
      <w:marLeft w:val="0"/>
      <w:marRight w:val="0"/>
      <w:marTop w:val="0"/>
      <w:marBottom w:val="0"/>
      <w:divBdr>
        <w:top w:val="none" w:sz="0" w:space="0" w:color="auto"/>
        <w:left w:val="none" w:sz="0" w:space="0" w:color="auto"/>
        <w:bottom w:val="none" w:sz="0" w:space="0" w:color="auto"/>
        <w:right w:val="none" w:sz="0" w:space="0" w:color="auto"/>
      </w:divBdr>
    </w:div>
    <w:div w:id="147135618">
      <w:bodyDiv w:val="1"/>
      <w:marLeft w:val="0"/>
      <w:marRight w:val="0"/>
      <w:marTop w:val="0"/>
      <w:marBottom w:val="0"/>
      <w:divBdr>
        <w:top w:val="none" w:sz="0" w:space="0" w:color="auto"/>
        <w:left w:val="none" w:sz="0" w:space="0" w:color="auto"/>
        <w:bottom w:val="none" w:sz="0" w:space="0" w:color="auto"/>
        <w:right w:val="none" w:sz="0" w:space="0" w:color="auto"/>
      </w:divBdr>
    </w:div>
    <w:div w:id="148600953">
      <w:bodyDiv w:val="1"/>
      <w:marLeft w:val="0"/>
      <w:marRight w:val="0"/>
      <w:marTop w:val="0"/>
      <w:marBottom w:val="0"/>
      <w:divBdr>
        <w:top w:val="none" w:sz="0" w:space="0" w:color="auto"/>
        <w:left w:val="none" w:sz="0" w:space="0" w:color="auto"/>
        <w:bottom w:val="none" w:sz="0" w:space="0" w:color="auto"/>
        <w:right w:val="none" w:sz="0" w:space="0" w:color="auto"/>
      </w:divBdr>
    </w:div>
    <w:div w:id="150564100">
      <w:bodyDiv w:val="1"/>
      <w:marLeft w:val="0"/>
      <w:marRight w:val="0"/>
      <w:marTop w:val="0"/>
      <w:marBottom w:val="0"/>
      <w:divBdr>
        <w:top w:val="none" w:sz="0" w:space="0" w:color="auto"/>
        <w:left w:val="none" w:sz="0" w:space="0" w:color="auto"/>
        <w:bottom w:val="none" w:sz="0" w:space="0" w:color="auto"/>
        <w:right w:val="none" w:sz="0" w:space="0" w:color="auto"/>
      </w:divBdr>
    </w:div>
    <w:div w:id="153185910">
      <w:bodyDiv w:val="1"/>
      <w:marLeft w:val="0"/>
      <w:marRight w:val="0"/>
      <w:marTop w:val="0"/>
      <w:marBottom w:val="0"/>
      <w:divBdr>
        <w:top w:val="none" w:sz="0" w:space="0" w:color="auto"/>
        <w:left w:val="none" w:sz="0" w:space="0" w:color="auto"/>
        <w:bottom w:val="none" w:sz="0" w:space="0" w:color="auto"/>
        <w:right w:val="none" w:sz="0" w:space="0" w:color="auto"/>
      </w:divBdr>
    </w:div>
    <w:div w:id="157766322">
      <w:bodyDiv w:val="1"/>
      <w:marLeft w:val="0"/>
      <w:marRight w:val="0"/>
      <w:marTop w:val="0"/>
      <w:marBottom w:val="0"/>
      <w:divBdr>
        <w:top w:val="none" w:sz="0" w:space="0" w:color="auto"/>
        <w:left w:val="none" w:sz="0" w:space="0" w:color="auto"/>
        <w:bottom w:val="none" w:sz="0" w:space="0" w:color="auto"/>
        <w:right w:val="none" w:sz="0" w:space="0" w:color="auto"/>
      </w:divBdr>
    </w:div>
    <w:div w:id="158884786">
      <w:bodyDiv w:val="1"/>
      <w:marLeft w:val="0"/>
      <w:marRight w:val="0"/>
      <w:marTop w:val="0"/>
      <w:marBottom w:val="0"/>
      <w:divBdr>
        <w:top w:val="none" w:sz="0" w:space="0" w:color="auto"/>
        <w:left w:val="none" w:sz="0" w:space="0" w:color="auto"/>
        <w:bottom w:val="none" w:sz="0" w:space="0" w:color="auto"/>
        <w:right w:val="none" w:sz="0" w:space="0" w:color="auto"/>
      </w:divBdr>
    </w:div>
    <w:div w:id="187454068">
      <w:bodyDiv w:val="1"/>
      <w:marLeft w:val="0"/>
      <w:marRight w:val="0"/>
      <w:marTop w:val="0"/>
      <w:marBottom w:val="0"/>
      <w:divBdr>
        <w:top w:val="none" w:sz="0" w:space="0" w:color="auto"/>
        <w:left w:val="none" w:sz="0" w:space="0" w:color="auto"/>
        <w:bottom w:val="none" w:sz="0" w:space="0" w:color="auto"/>
        <w:right w:val="none" w:sz="0" w:space="0" w:color="auto"/>
      </w:divBdr>
    </w:div>
    <w:div w:id="211237976">
      <w:bodyDiv w:val="1"/>
      <w:marLeft w:val="0"/>
      <w:marRight w:val="0"/>
      <w:marTop w:val="0"/>
      <w:marBottom w:val="0"/>
      <w:divBdr>
        <w:top w:val="none" w:sz="0" w:space="0" w:color="auto"/>
        <w:left w:val="none" w:sz="0" w:space="0" w:color="auto"/>
        <w:bottom w:val="none" w:sz="0" w:space="0" w:color="auto"/>
        <w:right w:val="none" w:sz="0" w:space="0" w:color="auto"/>
      </w:divBdr>
    </w:div>
    <w:div w:id="216208623">
      <w:bodyDiv w:val="1"/>
      <w:marLeft w:val="0"/>
      <w:marRight w:val="0"/>
      <w:marTop w:val="0"/>
      <w:marBottom w:val="0"/>
      <w:divBdr>
        <w:top w:val="none" w:sz="0" w:space="0" w:color="auto"/>
        <w:left w:val="none" w:sz="0" w:space="0" w:color="auto"/>
        <w:bottom w:val="none" w:sz="0" w:space="0" w:color="auto"/>
        <w:right w:val="none" w:sz="0" w:space="0" w:color="auto"/>
      </w:divBdr>
    </w:div>
    <w:div w:id="221647136">
      <w:bodyDiv w:val="1"/>
      <w:marLeft w:val="0"/>
      <w:marRight w:val="0"/>
      <w:marTop w:val="0"/>
      <w:marBottom w:val="0"/>
      <w:divBdr>
        <w:top w:val="none" w:sz="0" w:space="0" w:color="auto"/>
        <w:left w:val="none" w:sz="0" w:space="0" w:color="auto"/>
        <w:bottom w:val="none" w:sz="0" w:space="0" w:color="auto"/>
        <w:right w:val="none" w:sz="0" w:space="0" w:color="auto"/>
      </w:divBdr>
    </w:div>
    <w:div w:id="225066380">
      <w:bodyDiv w:val="1"/>
      <w:marLeft w:val="0"/>
      <w:marRight w:val="0"/>
      <w:marTop w:val="0"/>
      <w:marBottom w:val="0"/>
      <w:divBdr>
        <w:top w:val="none" w:sz="0" w:space="0" w:color="auto"/>
        <w:left w:val="none" w:sz="0" w:space="0" w:color="auto"/>
        <w:bottom w:val="none" w:sz="0" w:space="0" w:color="auto"/>
        <w:right w:val="none" w:sz="0" w:space="0" w:color="auto"/>
      </w:divBdr>
    </w:div>
    <w:div w:id="228619118">
      <w:bodyDiv w:val="1"/>
      <w:marLeft w:val="0"/>
      <w:marRight w:val="0"/>
      <w:marTop w:val="0"/>
      <w:marBottom w:val="0"/>
      <w:divBdr>
        <w:top w:val="none" w:sz="0" w:space="0" w:color="auto"/>
        <w:left w:val="none" w:sz="0" w:space="0" w:color="auto"/>
        <w:bottom w:val="none" w:sz="0" w:space="0" w:color="auto"/>
        <w:right w:val="none" w:sz="0" w:space="0" w:color="auto"/>
      </w:divBdr>
    </w:div>
    <w:div w:id="232618573">
      <w:bodyDiv w:val="1"/>
      <w:marLeft w:val="0"/>
      <w:marRight w:val="0"/>
      <w:marTop w:val="0"/>
      <w:marBottom w:val="0"/>
      <w:divBdr>
        <w:top w:val="none" w:sz="0" w:space="0" w:color="auto"/>
        <w:left w:val="none" w:sz="0" w:space="0" w:color="auto"/>
        <w:bottom w:val="none" w:sz="0" w:space="0" w:color="auto"/>
        <w:right w:val="none" w:sz="0" w:space="0" w:color="auto"/>
      </w:divBdr>
    </w:div>
    <w:div w:id="242184342">
      <w:bodyDiv w:val="1"/>
      <w:marLeft w:val="0"/>
      <w:marRight w:val="0"/>
      <w:marTop w:val="0"/>
      <w:marBottom w:val="0"/>
      <w:divBdr>
        <w:top w:val="none" w:sz="0" w:space="0" w:color="auto"/>
        <w:left w:val="none" w:sz="0" w:space="0" w:color="auto"/>
        <w:bottom w:val="none" w:sz="0" w:space="0" w:color="auto"/>
        <w:right w:val="none" w:sz="0" w:space="0" w:color="auto"/>
      </w:divBdr>
    </w:div>
    <w:div w:id="260065117">
      <w:bodyDiv w:val="1"/>
      <w:marLeft w:val="0"/>
      <w:marRight w:val="0"/>
      <w:marTop w:val="0"/>
      <w:marBottom w:val="0"/>
      <w:divBdr>
        <w:top w:val="none" w:sz="0" w:space="0" w:color="auto"/>
        <w:left w:val="none" w:sz="0" w:space="0" w:color="auto"/>
        <w:bottom w:val="none" w:sz="0" w:space="0" w:color="auto"/>
        <w:right w:val="none" w:sz="0" w:space="0" w:color="auto"/>
      </w:divBdr>
      <w:divsChild>
        <w:div w:id="2094859792">
          <w:marLeft w:val="0"/>
          <w:marRight w:val="0"/>
          <w:marTop w:val="0"/>
          <w:marBottom w:val="0"/>
          <w:divBdr>
            <w:top w:val="none" w:sz="0" w:space="0" w:color="auto"/>
            <w:left w:val="none" w:sz="0" w:space="0" w:color="auto"/>
            <w:bottom w:val="none" w:sz="0" w:space="0" w:color="auto"/>
            <w:right w:val="none" w:sz="0" w:space="0" w:color="auto"/>
          </w:divBdr>
          <w:divsChild>
            <w:div w:id="1253736237">
              <w:marLeft w:val="0"/>
              <w:marRight w:val="0"/>
              <w:marTop w:val="0"/>
              <w:marBottom w:val="0"/>
              <w:divBdr>
                <w:top w:val="none" w:sz="0" w:space="0" w:color="auto"/>
                <w:left w:val="none" w:sz="0" w:space="0" w:color="auto"/>
                <w:bottom w:val="none" w:sz="0" w:space="0" w:color="auto"/>
                <w:right w:val="none" w:sz="0" w:space="0" w:color="auto"/>
              </w:divBdr>
              <w:divsChild>
                <w:div w:id="816457232">
                  <w:marLeft w:val="0"/>
                  <w:marRight w:val="0"/>
                  <w:marTop w:val="0"/>
                  <w:marBottom w:val="0"/>
                  <w:divBdr>
                    <w:top w:val="none" w:sz="0" w:space="0" w:color="auto"/>
                    <w:left w:val="none" w:sz="0" w:space="0" w:color="auto"/>
                    <w:bottom w:val="none" w:sz="0" w:space="0" w:color="auto"/>
                    <w:right w:val="none" w:sz="0" w:space="0" w:color="auto"/>
                  </w:divBdr>
                  <w:divsChild>
                    <w:div w:id="441413711">
                      <w:marLeft w:val="0"/>
                      <w:marRight w:val="0"/>
                      <w:marTop w:val="0"/>
                      <w:marBottom w:val="0"/>
                      <w:divBdr>
                        <w:top w:val="none" w:sz="0" w:space="0" w:color="auto"/>
                        <w:left w:val="none" w:sz="0" w:space="0" w:color="auto"/>
                        <w:bottom w:val="none" w:sz="0" w:space="0" w:color="auto"/>
                        <w:right w:val="none" w:sz="0" w:space="0" w:color="auto"/>
                      </w:divBdr>
                      <w:divsChild>
                        <w:div w:id="877276724">
                          <w:marLeft w:val="0"/>
                          <w:marRight w:val="0"/>
                          <w:marTop w:val="0"/>
                          <w:marBottom w:val="0"/>
                          <w:divBdr>
                            <w:top w:val="none" w:sz="0" w:space="0" w:color="auto"/>
                            <w:left w:val="none" w:sz="0" w:space="0" w:color="auto"/>
                            <w:bottom w:val="none" w:sz="0" w:space="0" w:color="auto"/>
                            <w:right w:val="none" w:sz="0" w:space="0" w:color="auto"/>
                          </w:divBdr>
                          <w:divsChild>
                            <w:div w:id="1280524043">
                              <w:marLeft w:val="0"/>
                              <w:marRight w:val="0"/>
                              <w:marTop w:val="0"/>
                              <w:marBottom w:val="0"/>
                              <w:divBdr>
                                <w:top w:val="none" w:sz="0" w:space="0" w:color="auto"/>
                                <w:left w:val="none" w:sz="0" w:space="0" w:color="auto"/>
                                <w:bottom w:val="none" w:sz="0" w:space="0" w:color="auto"/>
                                <w:right w:val="none" w:sz="0" w:space="0" w:color="auto"/>
                              </w:divBdr>
                              <w:divsChild>
                                <w:div w:id="159004397">
                                  <w:marLeft w:val="0"/>
                                  <w:marRight w:val="0"/>
                                  <w:marTop w:val="0"/>
                                  <w:marBottom w:val="0"/>
                                  <w:divBdr>
                                    <w:top w:val="none" w:sz="0" w:space="0" w:color="auto"/>
                                    <w:left w:val="none" w:sz="0" w:space="0" w:color="auto"/>
                                    <w:bottom w:val="none" w:sz="0" w:space="0" w:color="auto"/>
                                    <w:right w:val="none" w:sz="0" w:space="0" w:color="auto"/>
                                  </w:divBdr>
                                  <w:divsChild>
                                    <w:div w:id="85230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4194334">
      <w:bodyDiv w:val="1"/>
      <w:marLeft w:val="0"/>
      <w:marRight w:val="0"/>
      <w:marTop w:val="0"/>
      <w:marBottom w:val="0"/>
      <w:divBdr>
        <w:top w:val="none" w:sz="0" w:space="0" w:color="auto"/>
        <w:left w:val="none" w:sz="0" w:space="0" w:color="auto"/>
        <w:bottom w:val="none" w:sz="0" w:space="0" w:color="auto"/>
        <w:right w:val="none" w:sz="0" w:space="0" w:color="auto"/>
      </w:divBdr>
    </w:div>
    <w:div w:id="271474426">
      <w:bodyDiv w:val="1"/>
      <w:marLeft w:val="0"/>
      <w:marRight w:val="0"/>
      <w:marTop w:val="0"/>
      <w:marBottom w:val="0"/>
      <w:divBdr>
        <w:top w:val="none" w:sz="0" w:space="0" w:color="auto"/>
        <w:left w:val="none" w:sz="0" w:space="0" w:color="auto"/>
        <w:bottom w:val="none" w:sz="0" w:space="0" w:color="auto"/>
        <w:right w:val="none" w:sz="0" w:space="0" w:color="auto"/>
      </w:divBdr>
    </w:div>
    <w:div w:id="287662212">
      <w:bodyDiv w:val="1"/>
      <w:marLeft w:val="0"/>
      <w:marRight w:val="0"/>
      <w:marTop w:val="0"/>
      <w:marBottom w:val="0"/>
      <w:divBdr>
        <w:top w:val="none" w:sz="0" w:space="0" w:color="auto"/>
        <w:left w:val="none" w:sz="0" w:space="0" w:color="auto"/>
        <w:bottom w:val="none" w:sz="0" w:space="0" w:color="auto"/>
        <w:right w:val="none" w:sz="0" w:space="0" w:color="auto"/>
      </w:divBdr>
    </w:div>
    <w:div w:id="314262463">
      <w:bodyDiv w:val="1"/>
      <w:marLeft w:val="0"/>
      <w:marRight w:val="0"/>
      <w:marTop w:val="0"/>
      <w:marBottom w:val="0"/>
      <w:divBdr>
        <w:top w:val="none" w:sz="0" w:space="0" w:color="auto"/>
        <w:left w:val="none" w:sz="0" w:space="0" w:color="auto"/>
        <w:bottom w:val="none" w:sz="0" w:space="0" w:color="auto"/>
        <w:right w:val="none" w:sz="0" w:space="0" w:color="auto"/>
      </w:divBdr>
    </w:div>
    <w:div w:id="318732349">
      <w:bodyDiv w:val="1"/>
      <w:marLeft w:val="0"/>
      <w:marRight w:val="0"/>
      <w:marTop w:val="0"/>
      <w:marBottom w:val="0"/>
      <w:divBdr>
        <w:top w:val="none" w:sz="0" w:space="0" w:color="auto"/>
        <w:left w:val="none" w:sz="0" w:space="0" w:color="auto"/>
        <w:bottom w:val="none" w:sz="0" w:space="0" w:color="auto"/>
        <w:right w:val="none" w:sz="0" w:space="0" w:color="auto"/>
      </w:divBdr>
    </w:div>
    <w:div w:id="321084392">
      <w:bodyDiv w:val="1"/>
      <w:marLeft w:val="0"/>
      <w:marRight w:val="0"/>
      <w:marTop w:val="0"/>
      <w:marBottom w:val="0"/>
      <w:divBdr>
        <w:top w:val="none" w:sz="0" w:space="0" w:color="auto"/>
        <w:left w:val="none" w:sz="0" w:space="0" w:color="auto"/>
        <w:bottom w:val="none" w:sz="0" w:space="0" w:color="auto"/>
        <w:right w:val="none" w:sz="0" w:space="0" w:color="auto"/>
      </w:divBdr>
    </w:div>
    <w:div w:id="326174961">
      <w:bodyDiv w:val="1"/>
      <w:marLeft w:val="0"/>
      <w:marRight w:val="0"/>
      <w:marTop w:val="0"/>
      <w:marBottom w:val="0"/>
      <w:divBdr>
        <w:top w:val="none" w:sz="0" w:space="0" w:color="auto"/>
        <w:left w:val="none" w:sz="0" w:space="0" w:color="auto"/>
        <w:bottom w:val="none" w:sz="0" w:space="0" w:color="auto"/>
        <w:right w:val="none" w:sz="0" w:space="0" w:color="auto"/>
      </w:divBdr>
    </w:div>
    <w:div w:id="327949793">
      <w:bodyDiv w:val="1"/>
      <w:marLeft w:val="0"/>
      <w:marRight w:val="0"/>
      <w:marTop w:val="0"/>
      <w:marBottom w:val="0"/>
      <w:divBdr>
        <w:top w:val="none" w:sz="0" w:space="0" w:color="auto"/>
        <w:left w:val="none" w:sz="0" w:space="0" w:color="auto"/>
        <w:bottom w:val="none" w:sz="0" w:space="0" w:color="auto"/>
        <w:right w:val="none" w:sz="0" w:space="0" w:color="auto"/>
      </w:divBdr>
    </w:div>
    <w:div w:id="328795179">
      <w:bodyDiv w:val="1"/>
      <w:marLeft w:val="0"/>
      <w:marRight w:val="0"/>
      <w:marTop w:val="0"/>
      <w:marBottom w:val="0"/>
      <w:divBdr>
        <w:top w:val="none" w:sz="0" w:space="0" w:color="auto"/>
        <w:left w:val="none" w:sz="0" w:space="0" w:color="auto"/>
        <w:bottom w:val="none" w:sz="0" w:space="0" w:color="auto"/>
        <w:right w:val="none" w:sz="0" w:space="0" w:color="auto"/>
      </w:divBdr>
    </w:div>
    <w:div w:id="349137996">
      <w:bodyDiv w:val="1"/>
      <w:marLeft w:val="0"/>
      <w:marRight w:val="0"/>
      <w:marTop w:val="0"/>
      <w:marBottom w:val="0"/>
      <w:divBdr>
        <w:top w:val="none" w:sz="0" w:space="0" w:color="auto"/>
        <w:left w:val="none" w:sz="0" w:space="0" w:color="auto"/>
        <w:bottom w:val="none" w:sz="0" w:space="0" w:color="auto"/>
        <w:right w:val="none" w:sz="0" w:space="0" w:color="auto"/>
      </w:divBdr>
    </w:div>
    <w:div w:id="388577411">
      <w:bodyDiv w:val="1"/>
      <w:marLeft w:val="0"/>
      <w:marRight w:val="0"/>
      <w:marTop w:val="0"/>
      <w:marBottom w:val="0"/>
      <w:divBdr>
        <w:top w:val="none" w:sz="0" w:space="0" w:color="auto"/>
        <w:left w:val="none" w:sz="0" w:space="0" w:color="auto"/>
        <w:bottom w:val="none" w:sz="0" w:space="0" w:color="auto"/>
        <w:right w:val="none" w:sz="0" w:space="0" w:color="auto"/>
      </w:divBdr>
    </w:div>
    <w:div w:id="389035823">
      <w:bodyDiv w:val="1"/>
      <w:marLeft w:val="0"/>
      <w:marRight w:val="0"/>
      <w:marTop w:val="0"/>
      <w:marBottom w:val="0"/>
      <w:divBdr>
        <w:top w:val="none" w:sz="0" w:space="0" w:color="auto"/>
        <w:left w:val="none" w:sz="0" w:space="0" w:color="auto"/>
        <w:bottom w:val="none" w:sz="0" w:space="0" w:color="auto"/>
        <w:right w:val="none" w:sz="0" w:space="0" w:color="auto"/>
      </w:divBdr>
      <w:divsChild>
        <w:div w:id="505901161">
          <w:marLeft w:val="0"/>
          <w:marRight w:val="0"/>
          <w:marTop w:val="0"/>
          <w:marBottom w:val="0"/>
          <w:divBdr>
            <w:top w:val="none" w:sz="0" w:space="0" w:color="auto"/>
            <w:left w:val="none" w:sz="0" w:space="0" w:color="auto"/>
            <w:bottom w:val="none" w:sz="0" w:space="0" w:color="auto"/>
            <w:right w:val="none" w:sz="0" w:space="0" w:color="auto"/>
          </w:divBdr>
          <w:divsChild>
            <w:div w:id="604582546">
              <w:marLeft w:val="0"/>
              <w:marRight w:val="0"/>
              <w:marTop w:val="0"/>
              <w:marBottom w:val="0"/>
              <w:divBdr>
                <w:top w:val="none" w:sz="0" w:space="0" w:color="auto"/>
                <w:left w:val="none" w:sz="0" w:space="0" w:color="auto"/>
                <w:bottom w:val="none" w:sz="0" w:space="0" w:color="auto"/>
                <w:right w:val="none" w:sz="0" w:space="0" w:color="auto"/>
              </w:divBdr>
              <w:divsChild>
                <w:div w:id="1618635577">
                  <w:marLeft w:val="0"/>
                  <w:marRight w:val="0"/>
                  <w:marTop w:val="0"/>
                  <w:marBottom w:val="0"/>
                  <w:divBdr>
                    <w:top w:val="none" w:sz="0" w:space="0" w:color="auto"/>
                    <w:left w:val="none" w:sz="0" w:space="0" w:color="auto"/>
                    <w:bottom w:val="none" w:sz="0" w:space="0" w:color="auto"/>
                    <w:right w:val="none" w:sz="0" w:space="0" w:color="auto"/>
                  </w:divBdr>
                  <w:divsChild>
                    <w:div w:id="607154623">
                      <w:marLeft w:val="0"/>
                      <w:marRight w:val="0"/>
                      <w:marTop w:val="0"/>
                      <w:marBottom w:val="0"/>
                      <w:divBdr>
                        <w:top w:val="none" w:sz="0" w:space="0" w:color="auto"/>
                        <w:left w:val="none" w:sz="0" w:space="0" w:color="auto"/>
                        <w:bottom w:val="none" w:sz="0" w:space="0" w:color="auto"/>
                        <w:right w:val="none" w:sz="0" w:space="0" w:color="auto"/>
                      </w:divBdr>
                      <w:divsChild>
                        <w:div w:id="975796010">
                          <w:marLeft w:val="0"/>
                          <w:marRight w:val="0"/>
                          <w:marTop w:val="0"/>
                          <w:marBottom w:val="0"/>
                          <w:divBdr>
                            <w:top w:val="none" w:sz="0" w:space="0" w:color="auto"/>
                            <w:left w:val="none" w:sz="0" w:space="0" w:color="auto"/>
                            <w:bottom w:val="none" w:sz="0" w:space="0" w:color="auto"/>
                            <w:right w:val="none" w:sz="0" w:space="0" w:color="auto"/>
                          </w:divBdr>
                          <w:divsChild>
                            <w:div w:id="383719247">
                              <w:marLeft w:val="0"/>
                              <w:marRight w:val="0"/>
                              <w:marTop w:val="0"/>
                              <w:marBottom w:val="0"/>
                              <w:divBdr>
                                <w:top w:val="none" w:sz="0" w:space="0" w:color="auto"/>
                                <w:left w:val="none" w:sz="0" w:space="0" w:color="auto"/>
                                <w:bottom w:val="none" w:sz="0" w:space="0" w:color="auto"/>
                                <w:right w:val="none" w:sz="0" w:space="0" w:color="auto"/>
                              </w:divBdr>
                              <w:divsChild>
                                <w:div w:id="817771541">
                                  <w:marLeft w:val="0"/>
                                  <w:marRight w:val="0"/>
                                  <w:marTop w:val="0"/>
                                  <w:marBottom w:val="0"/>
                                  <w:divBdr>
                                    <w:top w:val="none" w:sz="0" w:space="0" w:color="auto"/>
                                    <w:left w:val="none" w:sz="0" w:space="0" w:color="auto"/>
                                    <w:bottom w:val="none" w:sz="0" w:space="0" w:color="auto"/>
                                    <w:right w:val="none" w:sz="0" w:space="0" w:color="auto"/>
                                  </w:divBdr>
                                  <w:divsChild>
                                    <w:div w:id="54147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3167351">
      <w:bodyDiv w:val="1"/>
      <w:marLeft w:val="0"/>
      <w:marRight w:val="0"/>
      <w:marTop w:val="0"/>
      <w:marBottom w:val="0"/>
      <w:divBdr>
        <w:top w:val="none" w:sz="0" w:space="0" w:color="auto"/>
        <w:left w:val="none" w:sz="0" w:space="0" w:color="auto"/>
        <w:bottom w:val="none" w:sz="0" w:space="0" w:color="auto"/>
        <w:right w:val="none" w:sz="0" w:space="0" w:color="auto"/>
      </w:divBdr>
    </w:div>
    <w:div w:id="404374157">
      <w:bodyDiv w:val="1"/>
      <w:marLeft w:val="0"/>
      <w:marRight w:val="0"/>
      <w:marTop w:val="0"/>
      <w:marBottom w:val="0"/>
      <w:divBdr>
        <w:top w:val="none" w:sz="0" w:space="0" w:color="auto"/>
        <w:left w:val="none" w:sz="0" w:space="0" w:color="auto"/>
        <w:bottom w:val="none" w:sz="0" w:space="0" w:color="auto"/>
        <w:right w:val="none" w:sz="0" w:space="0" w:color="auto"/>
      </w:divBdr>
    </w:div>
    <w:div w:id="419255483">
      <w:bodyDiv w:val="1"/>
      <w:marLeft w:val="0"/>
      <w:marRight w:val="0"/>
      <w:marTop w:val="0"/>
      <w:marBottom w:val="0"/>
      <w:divBdr>
        <w:top w:val="none" w:sz="0" w:space="0" w:color="auto"/>
        <w:left w:val="none" w:sz="0" w:space="0" w:color="auto"/>
        <w:bottom w:val="none" w:sz="0" w:space="0" w:color="auto"/>
        <w:right w:val="none" w:sz="0" w:space="0" w:color="auto"/>
      </w:divBdr>
    </w:div>
    <w:div w:id="425077883">
      <w:bodyDiv w:val="1"/>
      <w:marLeft w:val="0"/>
      <w:marRight w:val="0"/>
      <w:marTop w:val="0"/>
      <w:marBottom w:val="0"/>
      <w:divBdr>
        <w:top w:val="none" w:sz="0" w:space="0" w:color="auto"/>
        <w:left w:val="none" w:sz="0" w:space="0" w:color="auto"/>
        <w:bottom w:val="none" w:sz="0" w:space="0" w:color="auto"/>
        <w:right w:val="none" w:sz="0" w:space="0" w:color="auto"/>
      </w:divBdr>
    </w:div>
    <w:div w:id="432866794">
      <w:bodyDiv w:val="1"/>
      <w:marLeft w:val="0"/>
      <w:marRight w:val="0"/>
      <w:marTop w:val="0"/>
      <w:marBottom w:val="0"/>
      <w:divBdr>
        <w:top w:val="none" w:sz="0" w:space="0" w:color="auto"/>
        <w:left w:val="none" w:sz="0" w:space="0" w:color="auto"/>
        <w:bottom w:val="none" w:sz="0" w:space="0" w:color="auto"/>
        <w:right w:val="none" w:sz="0" w:space="0" w:color="auto"/>
      </w:divBdr>
    </w:div>
    <w:div w:id="440996983">
      <w:bodyDiv w:val="1"/>
      <w:marLeft w:val="0"/>
      <w:marRight w:val="0"/>
      <w:marTop w:val="0"/>
      <w:marBottom w:val="0"/>
      <w:divBdr>
        <w:top w:val="none" w:sz="0" w:space="0" w:color="auto"/>
        <w:left w:val="none" w:sz="0" w:space="0" w:color="auto"/>
        <w:bottom w:val="none" w:sz="0" w:space="0" w:color="auto"/>
        <w:right w:val="none" w:sz="0" w:space="0" w:color="auto"/>
      </w:divBdr>
    </w:div>
    <w:div w:id="447817446">
      <w:bodyDiv w:val="1"/>
      <w:marLeft w:val="0"/>
      <w:marRight w:val="0"/>
      <w:marTop w:val="0"/>
      <w:marBottom w:val="0"/>
      <w:divBdr>
        <w:top w:val="none" w:sz="0" w:space="0" w:color="auto"/>
        <w:left w:val="none" w:sz="0" w:space="0" w:color="auto"/>
        <w:bottom w:val="none" w:sz="0" w:space="0" w:color="auto"/>
        <w:right w:val="none" w:sz="0" w:space="0" w:color="auto"/>
      </w:divBdr>
    </w:div>
    <w:div w:id="452409877">
      <w:bodyDiv w:val="1"/>
      <w:marLeft w:val="0"/>
      <w:marRight w:val="0"/>
      <w:marTop w:val="0"/>
      <w:marBottom w:val="0"/>
      <w:divBdr>
        <w:top w:val="none" w:sz="0" w:space="0" w:color="auto"/>
        <w:left w:val="none" w:sz="0" w:space="0" w:color="auto"/>
        <w:bottom w:val="none" w:sz="0" w:space="0" w:color="auto"/>
        <w:right w:val="none" w:sz="0" w:space="0" w:color="auto"/>
      </w:divBdr>
    </w:div>
    <w:div w:id="454760111">
      <w:bodyDiv w:val="1"/>
      <w:marLeft w:val="0"/>
      <w:marRight w:val="0"/>
      <w:marTop w:val="0"/>
      <w:marBottom w:val="0"/>
      <w:divBdr>
        <w:top w:val="none" w:sz="0" w:space="0" w:color="auto"/>
        <w:left w:val="none" w:sz="0" w:space="0" w:color="auto"/>
        <w:bottom w:val="none" w:sz="0" w:space="0" w:color="auto"/>
        <w:right w:val="none" w:sz="0" w:space="0" w:color="auto"/>
      </w:divBdr>
      <w:divsChild>
        <w:div w:id="688409079">
          <w:marLeft w:val="0"/>
          <w:marRight w:val="0"/>
          <w:marTop w:val="0"/>
          <w:marBottom w:val="0"/>
          <w:divBdr>
            <w:top w:val="none" w:sz="0" w:space="0" w:color="auto"/>
            <w:left w:val="none" w:sz="0" w:space="0" w:color="auto"/>
            <w:bottom w:val="none" w:sz="0" w:space="0" w:color="auto"/>
            <w:right w:val="none" w:sz="0" w:space="0" w:color="auto"/>
          </w:divBdr>
          <w:divsChild>
            <w:div w:id="404423097">
              <w:marLeft w:val="0"/>
              <w:marRight w:val="0"/>
              <w:marTop w:val="0"/>
              <w:marBottom w:val="0"/>
              <w:divBdr>
                <w:top w:val="none" w:sz="0" w:space="0" w:color="auto"/>
                <w:left w:val="none" w:sz="0" w:space="0" w:color="auto"/>
                <w:bottom w:val="none" w:sz="0" w:space="0" w:color="auto"/>
                <w:right w:val="none" w:sz="0" w:space="0" w:color="auto"/>
              </w:divBdr>
              <w:divsChild>
                <w:div w:id="482820431">
                  <w:marLeft w:val="0"/>
                  <w:marRight w:val="0"/>
                  <w:marTop w:val="0"/>
                  <w:marBottom w:val="0"/>
                  <w:divBdr>
                    <w:top w:val="none" w:sz="0" w:space="0" w:color="auto"/>
                    <w:left w:val="none" w:sz="0" w:space="0" w:color="auto"/>
                    <w:bottom w:val="none" w:sz="0" w:space="0" w:color="auto"/>
                    <w:right w:val="none" w:sz="0" w:space="0" w:color="auto"/>
                  </w:divBdr>
                  <w:divsChild>
                    <w:div w:id="882862762">
                      <w:marLeft w:val="0"/>
                      <w:marRight w:val="0"/>
                      <w:marTop w:val="0"/>
                      <w:marBottom w:val="0"/>
                      <w:divBdr>
                        <w:top w:val="none" w:sz="0" w:space="0" w:color="auto"/>
                        <w:left w:val="none" w:sz="0" w:space="0" w:color="auto"/>
                        <w:bottom w:val="none" w:sz="0" w:space="0" w:color="auto"/>
                        <w:right w:val="none" w:sz="0" w:space="0" w:color="auto"/>
                      </w:divBdr>
                      <w:divsChild>
                        <w:div w:id="999383562">
                          <w:marLeft w:val="0"/>
                          <w:marRight w:val="0"/>
                          <w:marTop w:val="0"/>
                          <w:marBottom w:val="0"/>
                          <w:divBdr>
                            <w:top w:val="none" w:sz="0" w:space="0" w:color="auto"/>
                            <w:left w:val="none" w:sz="0" w:space="0" w:color="auto"/>
                            <w:bottom w:val="none" w:sz="0" w:space="0" w:color="auto"/>
                            <w:right w:val="none" w:sz="0" w:space="0" w:color="auto"/>
                          </w:divBdr>
                          <w:divsChild>
                            <w:div w:id="928077531">
                              <w:marLeft w:val="0"/>
                              <w:marRight w:val="0"/>
                              <w:marTop w:val="0"/>
                              <w:marBottom w:val="0"/>
                              <w:divBdr>
                                <w:top w:val="none" w:sz="0" w:space="0" w:color="auto"/>
                                <w:left w:val="none" w:sz="0" w:space="0" w:color="auto"/>
                                <w:bottom w:val="none" w:sz="0" w:space="0" w:color="auto"/>
                                <w:right w:val="none" w:sz="0" w:space="0" w:color="auto"/>
                              </w:divBdr>
                              <w:divsChild>
                                <w:div w:id="224416692">
                                  <w:marLeft w:val="0"/>
                                  <w:marRight w:val="0"/>
                                  <w:marTop w:val="0"/>
                                  <w:marBottom w:val="0"/>
                                  <w:divBdr>
                                    <w:top w:val="none" w:sz="0" w:space="0" w:color="auto"/>
                                    <w:left w:val="none" w:sz="0" w:space="0" w:color="auto"/>
                                    <w:bottom w:val="none" w:sz="0" w:space="0" w:color="auto"/>
                                    <w:right w:val="none" w:sz="0" w:space="0" w:color="auto"/>
                                  </w:divBdr>
                                  <w:divsChild>
                                    <w:div w:id="44524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9961750">
      <w:bodyDiv w:val="1"/>
      <w:marLeft w:val="0"/>
      <w:marRight w:val="0"/>
      <w:marTop w:val="0"/>
      <w:marBottom w:val="0"/>
      <w:divBdr>
        <w:top w:val="none" w:sz="0" w:space="0" w:color="auto"/>
        <w:left w:val="none" w:sz="0" w:space="0" w:color="auto"/>
        <w:bottom w:val="none" w:sz="0" w:space="0" w:color="auto"/>
        <w:right w:val="none" w:sz="0" w:space="0" w:color="auto"/>
      </w:divBdr>
    </w:div>
    <w:div w:id="468402807">
      <w:bodyDiv w:val="1"/>
      <w:marLeft w:val="0"/>
      <w:marRight w:val="0"/>
      <w:marTop w:val="0"/>
      <w:marBottom w:val="0"/>
      <w:divBdr>
        <w:top w:val="none" w:sz="0" w:space="0" w:color="auto"/>
        <w:left w:val="none" w:sz="0" w:space="0" w:color="auto"/>
        <w:bottom w:val="none" w:sz="0" w:space="0" w:color="auto"/>
        <w:right w:val="none" w:sz="0" w:space="0" w:color="auto"/>
      </w:divBdr>
    </w:div>
    <w:div w:id="470101197">
      <w:bodyDiv w:val="1"/>
      <w:marLeft w:val="0"/>
      <w:marRight w:val="0"/>
      <w:marTop w:val="0"/>
      <w:marBottom w:val="0"/>
      <w:divBdr>
        <w:top w:val="none" w:sz="0" w:space="0" w:color="auto"/>
        <w:left w:val="none" w:sz="0" w:space="0" w:color="auto"/>
        <w:bottom w:val="none" w:sz="0" w:space="0" w:color="auto"/>
        <w:right w:val="none" w:sz="0" w:space="0" w:color="auto"/>
      </w:divBdr>
    </w:div>
    <w:div w:id="475417587">
      <w:bodyDiv w:val="1"/>
      <w:marLeft w:val="0"/>
      <w:marRight w:val="0"/>
      <w:marTop w:val="0"/>
      <w:marBottom w:val="0"/>
      <w:divBdr>
        <w:top w:val="none" w:sz="0" w:space="0" w:color="auto"/>
        <w:left w:val="none" w:sz="0" w:space="0" w:color="auto"/>
        <w:bottom w:val="none" w:sz="0" w:space="0" w:color="auto"/>
        <w:right w:val="none" w:sz="0" w:space="0" w:color="auto"/>
      </w:divBdr>
    </w:div>
    <w:div w:id="477067589">
      <w:bodyDiv w:val="1"/>
      <w:marLeft w:val="0"/>
      <w:marRight w:val="0"/>
      <w:marTop w:val="0"/>
      <w:marBottom w:val="0"/>
      <w:divBdr>
        <w:top w:val="none" w:sz="0" w:space="0" w:color="auto"/>
        <w:left w:val="none" w:sz="0" w:space="0" w:color="auto"/>
        <w:bottom w:val="none" w:sz="0" w:space="0" w:color="auto"/>
        <w:right w:val="none" w:sz="0" w:space="0" w:color="auto"/>
      </w:divBdr>
      <w:divsChild>
        <w:div w:id="21521211">
          <w:marLeft w:val="0"/>
          <w:marRight w:val="0"/>
          <w:marTop w:val="0"/>
          <w:marBottom w:val="0"/>
          <w:divBdr>
            <w:top w:val="none" w:sz="0" w:space="0" w:color="auto"/>
            <w:left w:val="none" w:sz="0" w:space="0" w:color="auto"/>
            <w:bottom w:val="none" w:sz="0" w:space="0" w:color="auto"/>
            <w:right w:val="none" w:sz="0" w:space="0" w:color="auto"/>
          </w:divBdr>
        </w:div>
        <w:div w:id="131338564">
          <w:marLeft w:val="0"/>
          <w:marRight w:val="0"/>
          <w:marTop w:val="0"/>
          <w:marBottom w:val="0"/>
          <w:divBdr>
            <w:top w:val="none" w:sz="0" w:space="0" w:color="auto"/>
            <w:left w:val="none" w:sz="0" w:space="0" w:color="auto"/>
            <w:bottom w:val="none" w:sz="0" w:space="0" w:color="auto"/>
            <w:right w:val="none" w:sz="0" w:space="0" w:color="auto"/>
          </w:divBdr>
        </w:div>
        <w:div w:id="350960742">
          <w:marLeft w:val="0"/>
          <w:marRight w:val="0"/>
          <w:marTop w:val="0"/>
          <w:marBottom w:val="0"/>
          <w:divBdr>
            <w:top w:val="none" w:sz="0" w:space="0" w:color="auto"/>
            <w:left w:val="none" w:sz="0" w:space="0" w:color="auto"/>
            <w:bottom w:val="none" w:sz="0" w:space="0" w:color="auto"/>
            <w:right w:val="none" w:sz="0" w:space="0" w:color="auto"/>
          </w:divBdr>
        </w:div>
        <w:div w:id="400760744">
          <w:marLeft w:val="0"/>
          <w:marRight w:val="0"/>
          <w:marTop w:val="0"/>
          <w:marBottom w:val="0"/>
          <w:divBdr>
            <w:top w:val="none" w:sz="0" w:space="0" w:color="auto"/>
            <w:left w:val="none" w:sz="0" w:space="0" w:color="auto"/>
            <w:bottom w:val="none" w:sz="0" w:space="0" w:color="auto"/>
            <w:right w:val="none" w:sz="0" w:space="0" w:color="auto"/>
          </w:divBdr>
        </w:div>
        <w:div w:id="575167318">
          <w:marLeft w:val="0"/>
          <w:marRight w:val="0"/>
          <w:marTop w:val="0"/>
          <w:marBottom w:val="0"/>
          <w:divBdr>
            <w:top w:val="none" w:sz="0" w:space="0" w:color="auto"/>
            <w:left w:val="none" w:sz="0" w:space="0" w:color="auto"/>
            <w:bottom w:val="none" w:sz="0" w:space="0" w:color="auto"/>
            <w:right w:val="none" w:sz="0" w:space="0" w:color="auto"/>
          </w:divBdr>
        </w:div>
        <w:div w:id="1558276433">
          <w:marLeft w:val="0"/>
          <w:marRight w:val="0"/>
          <w:marTop w:val="0"/>
          <w:marBottom w:val="0"/>
          <w:divBdr>
            <w:top w:val="none" w:sz="0" w:space="0" w:color="auto"/>
            <w:left w:val="none" w:sz="0" w:space="0" w:color="auto"/>
            <w:bottom w:val="none" w:sz="0" w:space="0" w:color="auto"/>
            <w:right w:val="none" w:sz="0" w:space="0" w:color="auto"/>
          </w:divBdr>
        </w:div>
        <w:div w:id="1710376929">
          <w:marLeft w:val="0"/>
          <w:marRight w:val="0"/>
          <w:marTop w:val="0"/>
          <w:marBottom w:val="0"/>
          <w:divBdr>
            <w:top w:val="none" w:sz="0" w:space="0" w:color="auto"/>
            <w:left w:val="none" w:sz="0" w:space="0" w:color="auto"/>
            <w:bottom w:val="none" w:sz="0" w:space="0" w:color="auto"/>
            <w:right w:val="none" w:sz="0" w:space="0" w:color="auto"/>
          </w:divBdr>
        </w:div>
        <w:div w:id="1790008794">
          <w:marLeft w:val="0"/>
          <w:marRight w:val="0"/>
          <w:marTop w:val="0"/>
          <w:marBottom w:val="0"/>
          <w:divBdr>
            <w:top w:val="none" w:sz="0" w:space="0" w:color="auto"/>
            <w:left w:val="none" w:sz="0" w:space="0" w:color="auto"/>
            <w:bottom w:val="none" w:sz="0" w:space="0" w:color="auto"/>
            <w:right w:val="none" w:sz="0" w:space="0" w:color="auto"/>
          </w:divBdr>
        </w:div>
      </w:divsChild>
    </w:div>
    <w:div w:id="485705020">
      <w:bodyDiv w:val="1"/>
      <w:marLeft w:val="0"/>
      <w:marRight w:val="0"/>
      <w:marTop w:val="0"/>
      <w:marBottom w:val="0"/>
      <w:divBdr>
        <w:top w:val="none" w:sz="0" w:space="0" w:color="auto"/>
        <w:left w:val="none" w:sz="0" w:space="0" w:color="auto"/>
        <w:bottom w:val="none" w:sz="0" w:space="0" w:color="auto"/>
        <w:right w:val="none" w:sz="0" w:space="0" w:color="auto"/>
      </w:divBdr>
    </w:div>
    <w:div w:id="493571917">
      <w:bodyDiv w:val="1"/>
      <w:marLeft w:val="0"/>
      <w:marRight w:val="0"/>
      <w:marTop w:val="0"/>
      <w:marBottom w:val="0"/>
      <w:divBdr>
        <w:top w:val="none" w:sz="0" w:space="0" w:color="auto"/>
        <w:left w:val="none" w:sz="0" w:space="0" w:color="auto"/>
        <w:bottom w:val="none" w:sz="0" w:space="0" w:color="auto"/>
        <w:right w:val="none" w:sz="0" w:space="0" w:color="auto"/>
      </w:divBdr>
    </w:div>
    <w:div w:id="497500806">
      <w:bodyDiv w:val="1"/>
      <w:marLeft w:val="0"/>
      <w:marRight w:val="0"/>
      <w:marTop w:val="0"/>
      <w:marBottom w:val="0"/>
      <w:divBdr>
        <w:top w:val="none" w:sz="0" w:space="0" w:color="auto"/>
        <w:left w:val="none" w:sz="0" w:space="0" w:color="auto"/>
        <w:bottom w:val="none" w:sz="0" w:space="0" w:color="auto"/>
        <w:right w:val="none" w:sz="0" w:space="0" w:color="auto"/>
      </w:divBdr>
    </w:div>
    <w:div w:id="503518581">
      <w:bodyDiv w:val="1"/>
      <w:marLeft w:val="0"/>
      <w:marRight w:val="0"/>
      <w:marTop w:val="0"/>
      <w:marBottom w:val="0"/>
      <w:divBdr>
        <w:top w:val="none" w:sz="0" w:space="0" w:color="auto"/>
        <w:left w:val="none" w:sz="0" w:space="0" w:color="auto"/>
        <w:bottom w:val="none" w:sz="0" w:space="0" w:color="auto"/>
        <w:right w:val="none" w:sz="0" w:space="0" w:color="auto"/>
      </w:divBdr>
    </w:div>
    <w:div w:id="519397946">
      <w:bodyDiv w:val="1"/>
      <w:marLeft w:val="0"/>
      <w:marRight w:val="0"/>
      <w:marTop w:val="0"/>
      <w:marBottom w:val="0"/>
      <w:divBdr>
        <w:top w:val="none" w:sz="0" w:space="0" w:color="auto"/>
        <w:left w:val="none" w:sz="0" w:space="0" w:color="auto"/>
        <w:bottom w:val="none" w:sz="0" w:space="0" w:color="auto"/>
        <w:right w:val="none" w:sz="0" w:space="0" w:color="auto"/>
      </w:divBdr>
      <w:divsChild>
        <w:div w:id="1842037438">
          <w:marLeft w:val="0"/>
          <w:marRight w:val="0"/>
          <w:marTop w:val="0"/>
          <w:marBottom w:val="0"/>
          <w:divBdr>
            <w:top w:val="none" w:sz="0" w:space="0" w:color="auto"/>
            <w:left w:val="none" w:sz="0" w:space="0" w:color="auto"/>
            <w:bottom w:val="none" w:sz="0" w:space="0" w:color="auto"/>
            <w:right w:val="none" w:sz="0" w:space="0" w:color="auto"/>
          </w:divBdr>
          <w:divsChild>
            <w:div w:id="1477258983">
              <w:marLeft w:val="0"/>
              <w:marRight w:val="0"/>
              <w:marTop w:val="0"/>
              <w:marBottom w:val="0"/>
              <w:divBdr>
                <w:top w:val="none" w:sz="0" w:space="0" w:color="auto"/>
                <w:left w:val="none" w:sz="0" w:space="0" w:color="auto"/>
                <w:bottom w:val="none" w:sz="0" w:space="0" w:color="auto"/>
                <w:right w:val="none" w:sz="0" w:space="0" w:color="auto"/>
              </w:divBdr>
              <w:divsChild>
                <w:div w:id="1244535208">
                  <w:marLeft w:val="0"/>
                  <w:marRight w:val="0"/>
                  <w:marTop w:val="0"/>
                  <w:marBottom w:val="0"/>
                  <w:divBdr>
                    <w:top w:val="none" w:sz="0" w:space="0" w:color="auto"/>
                    <w:left w:val="none" w:sz="0" w:space="0" w:color="auto"/>
                    <w:bottom w:val="none" w:sz="0" w:space="0" w:color="auto"/>
                    <w:right w:val="none" w:sz="0" w:space="0" w:color="auto"/>
                  </w:divBdr>
                  <w:divsChild>
                    <w:div w:id="1183741909">
                      <w:marLeft w:val="0"/>
                      <w:marRight w:val="0"/>
                      <w:marTop w:val="0"/>
                      <w:marBottom w:val="0"/>
                      <w:divBdr>
                        <w:top w:val="none" w:sz="0" w:space="0" w:color="auto"/>
                        <w:left w:val="none" w:sz="0" w:space="0" w:color="auto"/>
                        <w:bottom w:val="none" w:sz="0" w:space="0" w:color="auto"/>
                        <w:right w:val="none" w:sz="0" w:space="0" w:color="auto"/>
                      </w:divBdr>
                      <w:divsChild>
                        <w:div w:id="84688245">
                          <w:marLeft w:val="0"/>
                          <w:marRight w:val="0"/>
                          <w:marTop w:val="0"/>
                          <w:marBottom w:val="0"/>
                          <w:divBdr>
                            <w:top w:val="none" w:sz="0" w:space="0" w:color="auto"/>
                            <w:left w:val="none" w:sz="0" w:space="0" w:color="auto"/>
                            <w:bottom w:val="none" w:sz="0" w:space="0" w:color="auto"/>
                            <w:right w:val="none" w:sz="0" w:space="0" w:color="auto"/>
                          </w:divBdr>
                          <w:divsChild>
                            <w:div w:id="2025982380">
                              <w:marLeft w:val="0"/>
                              <w:marRight w:val="0"/>
                              <w:marTop w:val="0"/>
                              <w:marBottom w:val="0"/>
                              <w:divBdr>
                                <w:top w:val="none" w:sz="0" w:space="0" w:color="auto"/>
                                <w:left w:val="none" w:sz="0" w:space="0" w:color="auto"/>
                                <w:bottom w:val="none" w:sz="0" w:space="0" w:color="auto"/>
                                <w:right w:val="none" w:sz="0" w:space="0" w:color="auto"/>
                              </w:divBdr>
                              <w:divsChild>
                                <w:div w:id="1867021791">
                                  <w:marLeft w:val="0"/>
                                  <w:marRight w:val="0"/>
                                  <w:marTop w:val="0"/>
                                  <w:marBottom w:val="0"/>
                                  <w:divBdr>
                                    <w:top w:val="none" w:sz="0" w:space="0" w:color="auto"/>
                                    <w:left w:val="none" w:sz="0" w:space="0" w:color="auto"/>
                                    <w:bottom w:val="none" w:sz="0" w:space="0" w:color="auto"/>
                                    <w:right w:val="none" w:sz="0" w:space="0" w:color="auto"/>
                                  </w:divBdr>
                                  <w:divsChild>
                                    <w:div w:id="125662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19585738">
      <w:bodyDiv w:val="1"/>
      <w:marLeft w:val="0"/>
      <w:marRight w:val="0"/>
      <w:marTop w:val="0"/>
      <w:marBottom w:val="0"/>
      <w:divBdr>
        <w:top w:val="none" w:sz="0" w:space="0" w:color="auto"/>
        <w:left w:val="none" w:sz="0" w:space="0" w:color="auto"/>
        <w:bottom w:val="none" w:sz="0" w:space="0" w:color="auto"/>
        <w:right w:val="none" w:sz="0" w:space="0" w:color="auto"/>
      </w:divBdr>
    </w:div>
    <w:div w:id="539056104">
      <w:bodyDiv w:val="1"/>
      <w:marLeft w:val="0"/>
      <w:marRight w:val="0"/>
      <w:marTop w:val="0"/>
      <w:marBottom w:val="0"/>
      <w:divBdr>
        <w:top w:val="none" w:sz="0" w:space="0" w:color="auto"/>
        <w:left w:val="none" w:sz="0" w:space="0" w:color="auto"/>
        <w:bottom w:val="none" w:sz="0" w:space="0" w:color="auto"/>
        <w:right w:val="none" w:sz="0" w:space="0" w:color="auto"/>
      </w:divBdr>
    </w:div>
    <w:div w:id="570120666">
      <w:bodyDiv w:val="1"/>
      <w:marLeft w:val="0"/>
      <w:marRight w:val="0"/>
      <w:marTop w:val="0"/>
      <w:marBottom w:val="0"/>
      <w:divBdr>
        <w:top w:val="none" w:sz="0" w:space="0" w:color="auto"/>
        <w:left w:val="none" w:sz="0" w:space="0" w:color="auto"/>
        <w:bottom w:val="none" w:sz="0" w:space="0" w:color="auto"/>
        <w:right w:val="none" w:sz="0" w:space="0" w:color="auto"/>
      </w:divBdr>
    </w:div>
    <w:div w:id="587346664">
      <w:bodyDiv w:val="1"/>
      <w:marLeft w:val="0"/>
      <w:marRight w:val="0"/>
      <w:marTop w:val="0"/>
      <w:marBottom w:val="0"/>
      <w:divBdr>
        <w:top w:val="none" w:sz="0" w:space="0" w:color="auto"/>
        <w:left w:val="none" w:sz="0" w:space="0" w:color="auto"/>
        <w:bottom w:val="none" w:sz="0" w:space="0" w:color="auto"/>
        <w:right w:val="none" w:sz="0" w:space="0" w:color="auto"/>
      </w:divBdr>
    </w:div>
    <w:div w:id="592737877">
      <w:bodyDiv w:val="1"/>
      <w:marLeft w:val="0"/>
      <w:marRight w:val="0"/>
      <w:marTop w:val="0"/>
      <w:marBottom w:val="0"/>
      <w:divBdr>
        <w:top w:val="none" w:sz="0" w:space="0" w:color="auto"/>
        <w:left w:val="none" w:sz="0" w:space="0" w:color="auto"/>
        <w:bottom w:val="none" w:sz="0" w:space="0" w:color="auto"/>
        <w:right w:val="none" w:sz="0" w:space="0" w:color="auto"/>
      </w:divBdr>
    </w:div>
    <w:div w:id="594360380">
      <w:bodyDiv w:val="1"/>
      <w:marLeft w:val="0"/>
      <w:marRight w:val="0"/>
      <w:marTop w:val="0"/>
      <w:marBottom w:val="0"/>
      <w:divBdr>
        <w:top w:val="none" w:sz="0" w:space="0" w:color="auto"/>
        <w:left w:val="none" w:sz="0" w:space="0" w:color="auto"/>
        <w:bottom w:val="none" w:sz="0" w:space="0" w:color="auto"/>
        <w:right w:val="none" w:sz="0" w:space="0" w:color="auto"/>
      </w:divBdr>
      <w:divsChild>
        <w:div w:id="1554735754">
          <w:marLeft w:val="0"/>
          <w:marRight w:val="0"/>
          <w:marTop w:val="0"/>
          <w:marBottom w:val="150"/>
          <w:divBdr>
            <w:top w:val="none" w:sz="0" w:space="0" w:color="auto"/>
            <w:left w:val="none" w:sz="0" w:space="0" w:color="auto"/>
            <w:bottom w:val="none" w:sz="0" w:space="0" w:color="auto"/>
            <w:right w:val="none" w:sz="0" w:space="0" w:color="auto"/>
          </w:divBdr>
          <w:divsChild>
            <w:div w:id="1688629959">
              <w:marLeft w:val="0"/>
              <w:marRight w:val="0"/>
              <w:marTop w:val="0"/>
              <w:marBottom w:val="0"/>
              <w:divBdr>
                <w:top w:val="none" w:sz="0" w:space="0" w:color="auto"/>
                <w:left w:val="none" w:sz="0" w:space="0" w:color="auto"/>
                <w:bottom w:val="none" w:sz="0" w:space="0" w:color="auto"/>
                <w:right w:val="none" w:sz="0" w:space="0" w:color="auto"/>
              </w:divBdr>
              <w:divsChild>
                <w:div w:id="912813083">
                  <w:marLeft w:val="0"/>
                  <w:marRight w:val="0"/>
                  <w:marTop w:val="0"/>
                  <w:marBottom w:val="0"/>
                  <w:divBdr>
                    <w:top w:val="none" w:sz="0" w:space="0" w:color="auto"/>
                    <w:left w:val="none" w:sz="0" w:space="0" w:color="auto"/>
                    <w:bottom w:val="none" w:sz="0" w:space="0" w:color="auto"/>
                    <w:right w:val="none" w:sz="0" w:space="0" w:color="auto"/>
                  </w:divBdr>
                  <w:divsChild>
                    <w:div w:id="1018702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4365539">
          <w:marLeft w:val="0"/>
          <w:marRight w:val="0"/>
          <w:marTop w:val="0"/>
          <w:marBottom w:val="0"/>
          <w:divBdr>
            <w:top w:val="none" w:sz="0" w:space="0" w:color="auto"/>
            <w:left w:val="none" w:sz="0" w:space="0" w:color="auto"/>
            <w:bottom w:val="none" w:sz="0" w:space="0" w:color="auto"/>
            <w:right w:val="none" w:sz="0" w:space="0" w:color="auto"/>
          </w:divBdr>
          <w:divsChild>
            <w:div w:id="779494552">
              <w:marLeft w:val="0"/>
              <w:marRight w:val="345"/>
              <w:marTop w:val="0"/>
              <w:marBottom w:val="0"/>
              <w:divBdr>
                <w:top w:val="none" w:sz="0" w:space="0" w:color="auto"/>
                <w:left w:val="none" w:sz="0" w:space="0" w:color="auto"/>
                <w:bottom w:val="none" w:sz="0" w:space="0" w:color="auto"/>
                <w:right w:val="none" w:sz="0" w:space="0" w:color="auto"/>
              </w:divBdr>
              <w:divsChild>
                <w:div w:id="104934256">
                  <w:marLeft w:val="0"/>
                  <w:marRight w:val="0"/>
                  <w:marTop w:val="0"/>
                  <w:marBottom w:val="0"/>
                  <w:divBdr>
                    <w:top w:val="none" w:sz="0" w:space="0" w:color="auto"/>
                    <w:left w:val="none" w:sz="0" w:space="0" w:color="auto"/>
                    <w:bottom w:val="none" w:sz="0" w:space="0" w:color="auto"/>
                    <w:right w:val="none" w:sz="0" w:space="0" w:color="auto"/>
                  </w:divBdr>
                  <w:divsChild>
                    <w:div w:id="283925464">
                      <w:marLeft w:val="0"/>
                      <w:marRight w:val="0"/>
                      <w:marTop w:val="0"/>
                      <w:marBottom w:val="0"/>
                      <w:divBdr>
                        <w:top w:val="none" w:sz="0" w:space="0" w:color="auto"/>
                        <w:left w:val="none" w:sz="0" w:space="0" w:color="auto"/>
                        <w:bottom w:val="none" w:sz="0" w:space="0" w:color="auto"/>
                        <w:right w:val="none" w:sz="0" w:space="0" w:color="auto"/>
                      </w:divBdr>
                      <w:divsChild>
                        <w:div w:id="194775214">
                          <w:marLeft w:val="0"/>
                          <w:marRight w:val="0"/>
                          <w:marTop w:val="0"/>
                          <w:marBottom w:val="0"/>
                          <w:divBdr>
                            <w:top w:val="none" w:sz="0" w:space="0" w:color="auto"/>
                            <w:left w:val="none" w:sz="0" w:space="0" w:color="auto"/>
                            <w:bottom w:val="none" w:sz="0" w:space="0" w:color="auto"/>
                            <w:right w:val="none" w:sz="0" w:space="0" w:color="auto"/>
                          </w:divBdr>
                          <w:divsChild>
                            <w:div w:id="212739595">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290864834">
                  <w:marLeft w:val="0"/>
                  <w:marRight w:val="0"/>
                  <w:marTop w:val="0"/>
                  <w:marBottom w:val="0"/>
                  <w:divBdr>
                    <w:top w:val="none" w:sz="0" w:space="0" w:color="auto"/>
                    <w:left w:val="none" w:sz="0" w:space="0" w:color="auto"/>
                    <w:bottom w:val="none" w:sz="0" w:space="0" w:color="auto"/>
                    <w:right w:val="none" w:sz="0" w:space="0" w:color="auto"/>
                  </w:divBdr>
                  <w:divsChild>
                    <w:div w:id="1326931024">
                      <w:marLeft w:val="0"/>
                      <w:marRight w:val="0"/>
                      <w:marTop w:val="0"/>
                      <w:marBottom w:val="0"/>
                      <w:divBdr>
                        <w:top w:val="none" w:sz="0" w:space="0" w:color="auto"/>
                        <w:left w:val="none" w:sz="0" w:space="0" w:color="auto"/>
                        <w:bottom w:val="none" w:sz="0" w:space="0" w:color="auto"/>
                        <w:right w:val="none" w:sz="0" w:space="0" w:color="auto"/>
                      </w:divBdr>
                      <w:divsChild>
                        <w:div w:id="133645502">
                          <w:marLeft w:val="0"/>
                          <w:marRight w:val="0"/>
                          <w:marTop w:val="0"/>
                          <w:marBottom w:val="0"/>
                          <w:divBdr>
                            <w:top w:val="none" w:sz="0" w:space="0" w:color="auto"/>
                            <w:left w:val="none" w:sz="0" w:space="0" w:color="auto"/>
                            <w:bottom w:val="none" w:sz="0" w:space="0" w:color="auto"/>
                            <w:right w:val="none" w:sz="0" w:space="0" w:color="auto"/>
                          </w:divBdr>
                          <w:divsChild>
                            <w:div w:id="678434544">
                              <w:marLeft w:val="0"/>
                              <w:marRight w:val="0"/>
                              <w:marTop w:val="0"/>
                              <w:marBottom w:val="0"/>
                              <w:divBdr>
                                <w:top w:val="none" w:sz="0" w:space="0" w:color="auto"/>
                                <w:left w:val="none" w:sz="0" w:space="0" w:color="auto"/>
                                <w:bottom w:val="none" w:sz="0" w:space="0" w:color="auto"/>
                                <w:right w:val="none" w:sz="0" w:space="0" w:color="auto"/>
                              </w:divBdr>
                              <w:divsChild>
                                <w:div w:id="1091007090">
                                  <w:marLeft w:val="0"/>
                                  <w:marRight w:val="0"/>
                                  <w:marTop w:val="0"/>
                                  <w:marBottom w:val="0"/>
                                  <w:divBdr>
                                    <w:top w:val="none" w:sz="0" w:space="0" w:color="auto"/>
                                    <w:left w:val="none" w:sz="0" w:space="0" w:color="auto"/>
                                    <w:bottom w:val="none" w:sz="0" w:space="0" w:color="auto"/>
                                    <w:right w:val="none" w:sz="0" w:space="0" w:color="auto"/>
                                  </w:divBdr>
                                  <w:divsChild>
                                    <w:div w:id="1756248920">
                                      <w:marLeft w:val="0"/>
                                      <w:marRight w:val="0"/>
                                      <w:marTop w:val="0"/>
                                      <w:marBottom w:val="0"/>
                                      <w:divBdr>
                                        <w:top w:val="none" w:sz="0" w:space="0" w:color="auto"/>
                                        <w:left w:val="none" w:sz="0" w:space="0" w:color="auto"/>
                                        <w:bottom w:val="none" w:sz="0" w:space="0" w:color="auto"/>
                                        <w:right w:val="none" w:sz="0" w:space="0" w:color="auto"/>
                                      </w:divBdr>
                                      <w:divsChild>
                                        <w:div w:id="1563910644">
                                          <w:marLeft w:val="0"/>
                                          <w:marRight w:val="0"/>
                                          <w:marTop w:val="0"/>
                                          <w:marBottom w:val="0"/>
                                          <w:divBdr>
                                            <w:top w:val="none" w:sz="0" w:space="0" w:color="auto"/>
                                            <w:left w:val="none" w:sz="0" w:space="0" w:color="auto"/>
                                            <w:bottom w:val="none" w:sz="0" w:space="0" w:color="auto"/>
                                            <w:right w:val="none" w:sz="0" w:space="0" w:color="auto"/>
                                          </w:divBdr>
                                          <w:divsChild>
                                            <w:div w:id="533347131">
                                              <w:marLeft w:val="0"/>
                                              <w:marRight w:val="0"/>
                                              <w:marTop w:val="0"/>
                                              <w:marBottom w:val="0"/>
                                              <w:divBdr>
                                                <w:top w:val="none" w:sz="0" w:space="0" w:color="auto"/>
                                                <w:left w:val="none" w:sz="0" w:space="0" w:color="auto"/>
                                                <w:bottom w:val="none" w:sz="0" w:space="0" w:color="auto"/>
                                                <w:right w:val="none" w:sz="0" w:space="0" w:color="auto"/>
                                              </w:divBdr>
                                              <w:divsChild>
                                                <w:div w:id="997533526">
                                                  <w:marLeft w:val="0"/>
                                                  <w:marRight w:val="0"/>
                                                  <w:marTop w:val="0"/>
                                                  <w:marBottom w:val="0"/>
                                                  <w:divBdr>
                                                    <w:top w:val="none" w:sz="0" w:space="0" w:color="auto"/>
                                                    <w:left w:val="none" w:sz="0" w:space="0" w:color="auto"/>
                                                    <w:bottom w:val="none" w:sz="0" w:space="0" w:color="auto"/>
                                                    <w:right w:val="none" w:sz="0" w:space="0" w:color="auto"/>
                                                  </w:divBdr>
                                                  <w:divsChild>
                                                    <w:div w:id="1629237029">
                                                      <w:marLeft w:val="0"/>
                                                      <w:marRight w:val="0"/>
                                                      <w:marTop w:val="0"/>
                                                      <w:marBottom w:val="0"/>
                                                      <w:divBdr>
                                                        <w:top w:val="none" w:sz="0" w:space="0" w:color="auto"/>
                                                        <w:left w:val="none" w:sz="0" w:space="0" w:color="auto"/>
                                                        <w:bottom w:val="none" w:sz="0" w:space="0" w:color="auto"/>
                                                        <w:right w:val="none" w:sz="0" w:space="0" w:color="auto"/>
                                                      </w:divBdr>
                                                      <w:divsChild>
                                                        <w:div w:id="194194814">
                                                          <w:marLeft w:val="0"/>
                                                          <w:marRight w:val="0"/>
                                                          <w:marTop w:val="0"/>
                                                          <w:marBottom w:val="0"/>
                                                          <w:divBdr>
                                                            <w:top w:val="none" w:sz="0" w:space="0" w:color="auto"/>
                                                            <w:left w:val="none" w:sz="0" w:space="0" w:color="auto"/>
                                                            <w:bottom w:val="none" w:sz="0" w:space="0" w:color="auto"/>
                                                            <w:right w:val="none" w:sz="0" w:space="0" w:color="auto"/>
                                                          </w:divBdr>
                                                          <w:divsChild>
                                                            <w:div w:id="585040773">
                                                              <w:marLeft w:val="0"/>
                                                              <w:marRight w:val="0"/>
                                                              <w:marTop w:val="0"/>
                                                              <w:marBottom w:val="0"/>
                                                              <w:divBdr>
                                                                <w:top w:val="none" w:sz="0" w:space="0" w:color="auto"/>
                                                                <w:left w:val="none" w:sz="0" w:space="0" w:color="auto"/>
                                                                <w:bottom w:val="none" w:sz="0" w:space="0" w:color="auto"/>
                                                                <w:right w:val="none" w:sz="0" w:space="0" w:color="auto"/>
                                                              </w:divBdr>
                                                              <w:divsChild>
                                                                <w:div w:id="770204652">
                                                                  <w:marLeft w:val="0"/>
                                                                  <w:marRight w:val="0"/>
                                                                  <w:marTop w:val="0"/>
                                                                  <w:marBottom w:val="150"/>
                                                                  <w:divBdr>
                                                                    <w:top w:val="none" w:sz="0" w:space="0" w:color="auto"/>
                                                                    <w:left w:val="none" w:sz="0" w:space="0" w:color="auto"/>
                                                                    <w:bottom w:val="single" w:sz="6" w:space="8" w:color="D6D6D6"/>
                                                                    <w:right w:val="none" w:sz="0" w:space="0" w:color="auto"/>
                                                                  </w:divBdr>
                                                                </w:div>
                                                                <w:div w:id="1792743833">
                                                                  <w:marLeft w:val="0"/>
                                                                  <w:marRight w:val="0"/>
                                                                  <w:marTop w:val="225"/>
                                                                  <w:marBottom w:val="225"/>
                                                                  <w:divBdr>
                                                                    <w:top w:val="none" w:sz="0" w:space="0" w:color="auto"/>
                                                                    <w:left w:val="none" w:sz="0" w:space="0" w:color="auto"/>
                                                                    <w:bottom w:val="none" w:sz="0" w:space="0" w:color="auto"/>
                                                                    <w:right w:val="none" w:sz="0" w:space="0" w:color="auto"/>
                                                                  </w:divBdr>
                                                                </w:div>
                                                                <w:div w:id="181287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3427570">
                  <w:marLeft w:val="0"/>
                  <w:marRight w:val="0"/>
                  <w:marTop w:val="0"/>
                  <w:marBottom w:val="0"/>
                  <w:divBdr>
                    <w:top w:val="none" w:sz="0" w:space="0" w:color="auto"/>
                    <w:left w:val="none" w:sz="0" w:space="0" w:color="auto"/>
                    <w:bottom w:val="none" w:sz="0" w:space="0" w:color="auto"/>
                    <w:right w:val="none" w:sz="0" w:space="0" w:color="auto"/>
                  </w:divBdr>
                  <w:divsChild>
                    <w:div w:id="839078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2589917">
      <w:bodyDiv w:val="1"/>
      <w:marLeft w:val="0"/>
      <w:marRight w:val="0"/>
      <w:marTop w:val="0"/>
      <w:marBottom w:val="0"/>
      <w:divBdr>
        <w:top w:val="none" w:sz="0" w:space="0" w:color="auto"/>
        <w:left w:val="none" w:sz="0" w:space="0" w:color="auto"/>
        <w:bottom w:val="none" w:sz="0" w:space="0" w:color="auto"/>
        <w:right w:val="none" w:sz="0" w:space="0" w:color="auto"/>
      </w:divBdr>
    </w:div>
    <w:div w:id="620458602">
      <w:bodyDiv w:val="1"/>
      <w:marLeft w:val="0"/>
      <w:marRight w:val="0"/>
      <w:marTop w:val="0"/>
      <w:marBottom w:val="0"/>
      <w:divBdr>
        <w:top w:val="none" w:sz="0" w:space="0" w:color="auto"/>
        <w:left w:val="none" w:sz="0" w:space="0" w:color="auto"/>
        <w:bottom w:val="none" w:sz="0" w:space="0" w:color="auto"/>
        <w:right w:val="none" w:sz="0" w:space="0" w:color="auto"/>
      </w:divBdr>
    </w:div>
    <w:div w:id="629555238">
      <w:bodyDiv w:val="1"/>
      <w:marLeft w:val="0"/>
      <w:marRight w:val="0"/>
      <w:marTop w:val="0"/>
      <w:marBottom w:val="0"/>
      <w:divBdr>
        <w:top w:val="none" w:sz="0" w:space="0" w:color="auto"/>
        <w:left w:val="none" w:sz="0" w:space="0" w:color="auto"/>
        <w:bottom w:val="none" w:sz="0" w:space="0" w:color="auto"/>
        <w:right w:val="none" w:sz="0" w:space="0" w:color="auto"/>
      </w:divBdr>
    </w:div>
    <w:div w:id="638337370">
      <w:bodyDiv w:val="1"/>
      <w:marLeft w:val="0"/>
      <w:marRight w:val="0"/>
      <w:marTop w:val="0"/>
      <w:marBottom w:val="0"/>
      <w:divBdr>
        <w:top w:val="none" w:sz="0" w:space="0" w:color="auto"/>
        <w:left w:val="none" w:sz="0" w:space="0" w:color="auto"/>
        <w:bottom w:val="none" w:sz="0" w:space="0" w:color="auto"/>
        <w:right w:val="none" w:sz="0" w:space="0" w:color="auto"/>
      </w:divBdr>
      <w:divsChild>
        <w:div w:id="1156801510">
          <w:marLeft w:val="0"/>
          <w:marRight w:val="0"/>
          <w:marTop w:val="0"/>
          <w:marBottom w:val="0"/>
          <w:divBdr>
            <w:top w:val="none" w:sz="0" w:space="0" w:color="auto"/>
            <w:left w:val="none" w:sz="0" w:space="0" w:color="auto"/>
            <w:bottom w:val="none" w:sz="0" w:space="0" w:color="auto"/>
            <w:right w:val="none" w:sz="0" w:space="0" w:color="auto"/>
          </w:divBdr>
          <w:divsChild>
            <w:div w:id="80650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538503">
      <w:bodyDiv w:val="1"/>
      <w:marLeft w:val="0"/>
      <w:marRight w:val="0"/>
      <w:marTop w:val="0"/>
      <w:marBottom w:val="0"/>
      <w:divBdr>
        <w:top w:val="none" w:sz="0" w:space="0" w:color="auto"/>
        <w:left w:val="none" w:sz="0" w:space="0" w:color="auto"/>
        <w:bottom w:val="none" w:sz="0" w:space="0" w:color="auto"/>
        <w:right w:val="none" w:sz="0" w:space="0" w:color="auto"/>
      </w:divBdr>
    </w:div>
    <w:div w:id="649946583">
      <w:bodyDiv w:val="1"/>
      <w:marLeft w:val="0"/>
      <w:marRight w:val="0"/>
      <w:marTop w:val="0"/>
      <w:marBottom w:val="0"/>
      <w:divBdr>
        <w:top w:val="none" w:sz="0" w:space="0" w:color="auto"/>
        <w:left w:val="none" w:sz="0" w:space="0" w:color="auto"/>
        <w:bottom w:val="none" w:sz="0" w:space="0" w:color="auto"/>
        <w:right w:val="none" w:sz="0" w:space="0" w:color="auto"/>
      </w:divBdr>
    </w:div>
    <w:div w:id="657225593">
      <w:bodyDiv w:val="1"/>
      <w:marLeft w:val="0"/>
      <w:marRight w:val="0"/>
      <w:marTop w:val="0"/>
      <w:marBottom w:val="0"/>
      <w:divBdr>
        <w:top w:val="none" w:sz="0" w:space="0" w:color="auto"/>
        <w:left w:val="none" w:sz="0" w:space="0" w:color="auto"/>
        <w:bottom w:val="none" w:sz="0" w:space="0" w:color="auto"/>
        <w:right w:val="none" w:sz="0" w:space="0" w:color="auto"/>
      </w:divBdr>
    </w:div>
    <w:div w:id="659577587">
      <w:bodyDiv w:val="1"/>
      <w:marLeft w:val="0"/>
      <w:marRight w:val="0"/>
      <w:marTop w:val="0"/>
      <w:marBottom w:val="0"/>
      <w:divBdr>
        <w:top w:val="none" w:sz="0" w:space="0" w:color="auto"/>
        <w:left w:val="none" w:sz="0" w:space="0" w:color="auto"/>
        <w:bottom w:val="none" w:sz="0" w:space="0" w:color="auto"/>
        <w:right w:val="none" w:sz="0" w:space="0" w:color="auto"/>
      </w:divBdr>
      <w:divsChild>
        <w:div w:id="586236537">
          <w:marLeft w:val="0"/>
          <w:marRight w:val="0"/>
          <w:marTop w:val="0"/>
          <w:marBottom w:val="0"/>
          <w:divBdr>
            <w:top w:val="none" w:sz="0" w:space="0" w:color="auto"/>
            <w:left w:val="none" w:sz="0" w:space="0" w:color="auto"/>
            <w:bottom w:val="none" w:sz="0" w:space="0" w:color="auto"/>
            <w:right w:val="none" w:sz="0" w:space="0" w:color="auto"/>
          </w:divBdr>
          <w:divsChild>
            <w:div w:id="32571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103069">
      <w:bodyDiv w:val="1"/>
      <w:marLeft w:val="0"/>
      <w:marRight w:val="0"/>
      <w:marTop w:val="0"/>
      <w:marBottom w:val="0"/>
      <w:divBdr>
        <w:top w:val="none" w:sz="0" w:space="0" w:color="auto"/>
        <w:left w:val="none" w:sz="0" w:space="0" w:color="auto"/>
        <w:bottom w:val="none" w:sz="0" w:space="0" w:color="auto"/>
        <w:right w:val="none" w:sz="0" w:space="0" w:color="auto"/>
      </w:divBdr>
      <w:divsChild>
        <w:div w:id="963198154">
          <w:marLeft w:val="0"/>
          <w:marRight w:val="0"/>
          <w:marTop w:val="0"/>
          <w:marBottom w:val="0"/>
          <w:divBdr>
            <w:top w:val="none" w:sz="0" w:space="0" w:color="auto"/>
            <w:left w:val="none" w:sz="0" w:space="0" w:color="auto"/>
            <w:bottom w:val="none" w:sz="0" w:space="0" w:color="auto"/>
            <w:right w:val="none" w:sz="0" w:space="0" w:color="auto"/>
          </w:divBdr>
          <w:divsChild>
            <w:div w:id="1502042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472269">
      <w:bodyDiv w:val="1"/>
      <w:marLeft w:val="0"/>
      <w:marRight w:val="0"/>
      <w:marTop w:val="0"/>
      <w:marBottom w:val="0"/>
      <w:divBdr>
        <w:top w:val="none" w:sz="0" w:space="0" w:color="auto"/>
        <w:left w:val="none" w:sz="0" w:space="0" w:color="auto"/>
        <w:bottom w:val="none" w:sz="0" w:space="0" w:color="auto"/>
        <w:right w:val="none" w:sz="0" w:space="0" w:color="auto"/>
      </w:divBdr>
    </w:div>
    <w:div w:id="712193718">
      <w:bodyDiv w:val="1"/>
      <w:marLeft w:val="0"/>
      <w:marRight w:val="0"/>
      <w:marTop w:val="0"/>
      <w:marBottom w:val="0"/>
      <w:divBdr>
        <w:top w:val="none" w:sz="0" w:space="0" w:color="auto"/>
        <w:left w:val="none" w:sz="0" w:space="0" w:color="auto"/>
        <w:bottom w:val="none" w:sz="0" w:space="0" w:color="auto"/>
        <w:right w:val="none" w:sz="0" w:space="0" w:color="auto"/>
      </w:divBdr>
    </w:div>
    <w:div w:id="721905300">
      <w:bodyDiv w:val="1"/>
      <w:marLeft w:val="0"/>
      <w:marRight w:val="0"/>
      <w:marTop w:val="0"/>
      <w:marBottom w:val="0"/>
      <w:divBdr>
        <w:top w:val="none" w:sz="0" w:space="0" w:color="auto"/>
        <w:left w:val="none" w:sz="0" w:space="0" w:color="auto"/>
        <w:bottom w:val="none" w:sz="0" w:space="0" w:color="auto"/>
        <w:right w:val="none" w:sz="0" w:space="0" w:color="auto"/>
      </w:divBdr>
      <w:divsChild>
        <w:div w:id="303505194">
          <w:marLeft w:val="0"/>
          <w:marRight w:val="0"/>
          <w:marTop w:val="0"/>
          <w:marBottom w:val="0"/>
          <w:divBdr>
            <w:top w:val="none" w:sz="0" w:space="0" w:color="auto"/>
            <w:left w:val="none" w:sz="0" w:space="0" w:color="auto"/>
            <w:bottom w:val="none" w:sz="0" w:space="0" w:color="auto"/>
            <w:right w:val="none" w:sz="0" w:space="0" w:color="auto"/>
          </w:divBdr>
        </w:div>
        <w:div w:id="1348601773">
          <w:marLeft w:val="0"/>
          <w:marRight w:val="0"/>
          <w:marTop w:val="0"/>
          <w:marBottom w:val="0"/>
          <w:divBdr>
            <w:top w:val="none" w:sz="0" w:space="0" w:color="auto"/>
            <w:left w:val="none" w:sz="0" w:space="0" w:color="auto"/>
            <w:bottom w:val="none" w:sz="0" w:space="0" w:color="auto"/>
            <w:right w:val="none" w:sz="0" w:space="0" w:color="auto"/>
          </w:divBdr>
        </w:div>
        <w:div w:id="1733692826">
          <w:marLeft w:val="0"/>
          <w:marRight w:val="0"/>
          <w:marTop w:val="0"/>
          <w:marBottom w:val="0"/>
          <w:divBdr>
            <w:top w:val="none" w:sz="0" w:space="0" w:color="auto"/>
            <w:left w:val="none" w:sz="0" w:space="0" w:color="auto"/>
            <w:bottom w:val="none" w:sz="0" w:space="0" w:color="auto"/>
            <w:right w:val="none" w:sz="0" w:space="0" w:color="auto"/>
          </w:divBdr>
        </w:div>
      </w:divsChild>
    </w:div>
    <w:div w:id="722872492">
      <w:bodyDiv w:val="1"/>
      <w:marLeft w:val="0"/>
      <w:marRight w:val="0"/>
      <w:marTop w:val="0"/>
      <w:marBottom w:val="0"/>
      <w:divBdr>
        <w:top w:val="none" w:sz="0" w:space="0" w:color="auto"/>
        <w:left w:val="none" w:sz="0" w:space="0" w:color="auto"/>
        <w:bottom w:val="none" w:sz="0" w:space="0" w:color="auto"/>
        <w:right w:val="none" w:sz="0" w:space="0" w:color="auto"/>
      </w:divBdr>
    </w:div>
    <w:div w:id="730422436">
      <w:bodyDiv w:val="1"/>
      <w:marLeft w:val="0"/>
      <w:marRight w:val="0"/>
      <w:marTop w:val="0"/>
      <w:marBottom w:val="0"/>
      <w:divBdr>
        <w:top w:val="none" w:sz="0" w:space="0" w:color="auto"/>
        <w:left w:val="none" w:sz="0" w:space="0" w:color="auto"/>
        <w:bottom w:val="none" w:sz="0" w:space="0" w:color="auto"/>
        <w:right w:val="none" w:sz="0" w:space="0" w:color="auto"/>
      </w:divBdr>
    </w:div>
    <w:div w:id="737022759">
      <w:bodyDiv w:val="1"/>
      <w:marLeft w:val="0"/>
      <w:marRight w:val="0"/>
      <w:marTop w:val="0"/>
      <w:marBottom w:val="0"/>
      <w:divBdr>
        <w:top w:val="none" w:sz="0" w:space="0" w:color="auto"/>
        <w:left w:val="none" w:sz="0" w:space="0" w:color="auto"/>
        <w:bottom w:val="none" w:sz="0" w:space="0" w:color="auto"/>
        <w:right w:val="none" w:sz="0" w:space="0" w:color="auto"/>
      </w:divBdr>
      <w:divsChild>
        <w:div w:id="404304377">
          <w:marLeft w:val="0"/>
          <w:marRight w:val="0"/>
          <w:marTop w:val="0"/>
          <w:marBottom w:val="0"/>
          <w:divBdr>
            <w:top w:val="none" w:sz="0" w:space="0" w:color="auto"/>
            <w:left w:val="none" w:sz="0" w:space="0" w:color="auto"/>
            <w:bottom w:val="none" w:sz="0" w:space="0" w:color="auto"/>
            <w:right w:val="none" w:sz="0" w:space="0" w:color="auto"/>
          </w:divBdr>
          <w:divsChild>
            <w:div w:id="2027633415">
              <w:marLeft w:val="0"/>
              <w:marRight w:val="0"/>
              <w:marTop w:val="0"/>
              <w:marBottom w:val="0"/>
              <w:divBdr>
                <w:top w:val="none" w:sz="0" w:space="0" w:color="auto"/>
                <w:left w:val="none" w:sz="0" w:space="0" w:color="auto"/>
                <w:bottom w:val="none" w:sz="0" w:space="0" w:color="auto"/>
                <w:right w:val="none" w:sz="0" w:space="0" w:color="auto"/>
              </w:divBdr>
              <w:divsChild>
                <w:div w:id="1136604724">
                  <w:marLeft w:val="0"/>
                  <w:marRight w:val="0"/>
                  <w:marTop w:val="0"/>
                  <w:marBottom w:val="0"/>
                  <w:divBdr>
                    <w:top w:val="none" w:sz="0" w:space="0" w:color="auto"/>
                    <w:left w:val="none" w:sz="0" w:space="0" w:color="auto"/>
                    <w:bottom w:val="none" w:sz="0" w:space="0" w:color="auto"/>
                    <w:right w:val="none" w:sz="0" w:space="0" w:color="auto"/>
                  </w:divBdr>
                  <w:divsChild>
                    <w:div w:id="1630941209">
                      <w:marLeft w:val="0"/>
                      <w:marRight w:val="0"/>
                      <w:marTop w:val="0"/>
                      <w:marBottom w:val="0"/>
                      <w:divBdr>
                        <w:top w:val="none" w:sz="0" w:space="0" w:color="auto"/>
                        <w:left w:val="none" w:sz="0" w:space="0" w:color="auto"/>
                        <w:bottom w:val="none" w:sz="0" w:space="0" w:color="auto"/>
                        <w:right w:val="none" w:sz="0" w:space="0" w:color="auto"/>
                      </w:divBdr>
                      <w:divsChild>
                        <w:div w:id="2103649735">
                          <w:marLeft w:val="0"/>
                          <w:marRight w:val="0"/>
                          <w:marTop w:val="0"/>
                          <w:marBottom w:val="0"/>
                          <w:divBdr>
                            <w:top w:val="none" w:sz="0" w:space="0" w:color="auto"/>
                            <w:left w:val="none" w:sz="0" w:space="0" w:color="auto"/>
                            <w:bottom w:val="none" w:sz="0" w:space="0" w:color="auto"/>
                            <w:right w:val="none" w:sz="0" w:space="0" w:color="auto"/>
                          </w:divBdr>
                          <w:divsChild>
                            <w:div w:id="115413810">
                              <w:marLeft w:val="0"/>
                              <w:marRight w:val="0"/>
                              <w:marTop w:val="0"/>
                              <w:marBottom w:val="0"/>
                              <w:divBdr>
                                <w:top w:val="none" w:sz="0" w:space="0" w:color="auto"/>
                                <w:left w:val="none" w:sz="0" w:space="0" w:color="auto"/>
                                <w:bottom w:val="none" w:sz="0" w:space="0" w:color="auto"/>
                                <w:right w:val="none" w:sz="0" w:space="0" w:color="auto"/>
                              </w:divBdr>
                              <w:divsChild>
                                <w:div w:id="175703210">
                                  <w:marLeft w:val="0"/>
                                  <w:marRight w:val="0"/>
                                  <w:marTop w:val="0"/>
                                  <w:marBottom w:val="0"/>
                                  <w:divBdr>
                                    <w:top w:val="none" w:sz="0" w:space="0" w:color="auto"/>
                                    <w:left w:val="none" w:sz="0" w:space="0" w:color="auto"/>
                                    <w:bottom w:val="none" w:sz="0" w:space="0" w:color="auto"/>
                                    <w:right w:val="none" w:sz="0" w:space="0" w:color="auto"/>
                                  </w:divBdr>
                                  <w:divsChild>
                                    <w:div w:id="36302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8695544">
      <w:bodyDiv w:val="1"/>
      <w:marLeft w:val="0"/>
      <w:marRight w:val="0"/>
      <w:marTop w:val="0"/>
      <w:marBottom w:val="0"/>
      <w:divBdr>
        <w:top w:val="none" w:sz="0" w:space="0" w:color="auto"/>
        <w:left w:val="none" w:sz="0" w:space="0" w:color="auto"/>
        <w:bottom w:val="none" w:sz="0" w:space="0" w:color="auto"/>
        <w:right w:val="none" w:sz="0" w:space="0" w:color="auto"/>
      </w:divBdr>
    </w:div>
    <w:div w:id="748963584">
      <w:bodyDiv w:val="1"/>
      <w:marLeft w:val="0"/>
      <w:marRight w:val="0"/>
      <w:marTop w:val="0"/>
      <w:marBottom w:val="0"/>
      <w:divBdr>
        <w:top w:val="none" w:sz="0" w:space="0" w:color="auto"/>
        <w:left w:val="none" w:sz="0" w:space="0" w:color="auto"/>
        <w:bottom w:val="none" w:sz="0" w:space="0" w:color="auto"/>
        <w:right w:val="none" w:sz="0" w:space="0" w:color="auto"/>
      </w:divBdr>
    </w:div>
    <w:div w:id="749816484">
      <w:bodyDiv w:val="1"/>
      <w:marLeft w:val="0"/>
      <w:marRight w:val="0"/>
      <w:marTop w:val="0"/>
      <w:marBottom w:val="0"/>
      <w:divBdr>
        <w:top w:val="none" w:sz="0" w:space="0" w:color="auto"/>
        <w:left w:val="none" w:sz="0" w:space="0" w:color="auto"/>
        <w:bottom w:val="none" w:sz="0" w:space="0" w:color="auto"/>
        <w:right w:val="none" w:sz="0" w:space="0" w:color="auto"/>
      </w:divBdr>
    </w:div>
    <w:div w:id="750585117">
      <w:bodyDiv w:val="1"/>
      <w:marLeft w:val="0"/>
      <w:marRight w:val="0"/>
      <w:marTop w:val="0"/>
      <w:marBottom w:val="0"/>
      <w:divBdr>
        <w:top w:val="none" w:sz="0" w:space="0" w:color="auto"/>
        <w:left w:val="none" w:sz="0" w:space="0" w:color="auto"/>
        <w:bottom w:val="none" w:sz="0" w:space="0" w:color="auto"/>
        <w:right w:val="none" w:sz="0" w:space="0" w:color="auto"/>
      </w:divBdr>
    </w:div>
    <w:div w:id="757294118">
      <w:bodyDiv w:val="1"/>
      <w:marLeft w:val="0"/>
      <w:marRight w:val="0"/>
      <w:marTop w:val="0"/>
      <w:marBottom w:val="0"/>
      <w:divBdr>
        <w:top w:val="none" w:sz="0" w:space="0" w:color="auto"/>
        <w:left w:val="none" w:sz="0" w:space="0" w:color="auto"/>
        <w:bottom w:val="none" w:sz="0" w:space="0" w:color="auto"/>
        <w:right w:val="none" w:sz="0" w:space="0" w:color="auto"/>
      </w:divBdr>
    </w:div>
    <w:div w:id="770977380">
      <w:bodyDiv w:val="1"/>
      <w:marLeft w:val="0"/>
      <w:marRight w:val="0"/>
      <w:marTop w:val="0"/>
      <w:marBottom w:val="0"/>
      <w:divBdr>
        <w:top w:val="none" w:sz="0" w:space="0" w:color="auto"/>
        <w:left w:val="none" w:sz="0" w:space="0" w:color="auto"/>
        <w:bottom w:val="none" w:sz="0" w:space="0" w:color="auto"/>
        <w:right w:val="none" w:sz="0" w:space="0" w:color="auto"/>
      </w:divBdr>
      <w:divsChild>
        <w:div w:id="1500802604">
          <w:marLeft w:val="0"/>
          <w:marRight w:val="0"/>
          <w:marTop w:val="0"/>
          <w:marBottom w:val="0"/>
          <w:divBdr>
            <w:top w:val="none" w:sz="0" w:space="0" w:color="auto"/>
            <w:left w:val="none" w:sz="0" w:space="0" w:color="auto"/>
            <w:bottom w:val="none" w:sz="0" w:space="0" w:color="auto"/>
            <w:right w:val="none" w:sz="0" w:space="0" w:color="auto"/>
          </w:divBdr>
          <w:divsChild>
            <w:div w:id="1794471860">
              <w:marLeft w:val="0"/>
              <w:marRight w:val="0"/>
              <w:marTop w:val="0"/>
              <w:marBottom w:val="0"/>
              <w:divBdr>
                <w:top w:val="none" w:sz="0" w:space="0" w:color="auto"/>
                <w:left w:val="none" w:sz="0" w:space="0" w:color="auto"/>
                <w:bottom w:val="none" w:sz="0" w:space="0" w:color="auto"/>
                <w:right w:val="none" w:sz="0" w:space="0" w:color="auto"/>
              </w:divBdr>
              <w:divsChild>
                <w:div w:id="1036394731">
                  <w:marLeft w:val="0"/>
                  <w:marRight w:val="0"/>
                  <w:marTop w:val="0"/>
                  <w:marBottom w:val="0"/>
                  <w:divBdr>
                    <w:top w:val="none" w:sz="0" w:space="0" w:color="auto"/>
                    <w:left w:val="none" w:sz="0" w:space="0" w:color="auto"/>
                    <w:bottom w:val="none" w:sz="0" w:space="0" w:color="auto"/>
                    <w:right w:val="none" w:sz="0" w:space="0" w:color="auto"/>
                  </w:divBdr>
                  <w:divsChild>
                    <w:div w:id="481894978">
                      <w:marLeft w:val="0"/>
                      <w:marRight w:val="0"/>
                      <w:marTop w:val="0"/>
                      <w:marBottom w:val="0"/>
                      <w:divBdr>
                        <w:top w:val="none" w:sz="0" w:space="0" w:color="auto"/>
                        <w:left w:val="none" w:sz="0" w:space="0" w:color="auto"/>
                        <w:bottom w:val="none" w:sz="0" w:space="0" w:color="auto"/>
                        <w:right w:val="none" w:sz="0" w:space="0" w:color="auto"/>
                      </w:divBdr>
                      <w:divsChild>
                        <w:div w:id="1535382290">
                          <w:marLeft w:val="0"/>
                          <w:marRight w:val="0"/>
                          <w:marTop w:val="0"/>
                          <w:marBottom w:val="0"/>
                          <w:divBdr>
                            <w:top w:val="none" w:sz="0" w:space="0" w:color="auto"/>
                            <w:left w:val="none" w:sz="0" w:space="0" w:color="auto"/>
                            <w:bottom w:val="none" w:sz="0" w:space="0" w:color="auto"/>
                            <w:right w:val="none" w:sz="0" w:space="0" w:color="auto"/>
                          </w:divBdr>
                          <w:divsChild>
                            <w:div w:id="1244146013">
                              <w:marLeft w:val="0"/>
                              <w:marRight w:val="0"/>
                              <w:marTop w:val="0"/>
                              <w:marBottom w:val="0"/>
                              <w:divBdr>
                                <w:top w:val="none" w:sz="0" w:space="0" w:color="auto"/>
                                <w:left w:val="none" w:sz="0" w:space="0" w:color="auto"/>
                                <w:bottom w:val="none" w:sz="0" w:space="0" w:color="auto"/>
                                <w:right w:val="none" w:sz="0" w:space="0" w:color="auto"/>
                              </w:divBdr>
                              <w:divsChild>
                                <w:div w:id="1041631755">
                                  <w:marLeft w:val="0"/>
                                  <w:marRight w:val="0"/>
                                  <w:marTop w:val="0"/>
                                  <w:marBottom w:val="0"/>
                                  <w:divBdr>
                                    <w:top w:val="none" w:sz="0" w:space="0" w:color="auto"/>
                                    <w:left w:val="none" w:sz="0" w:space="0" w:color="auto"/>
                                    <w:bottom w:val="none" w:sz="0" w:space="0" w:color="auto"/>
                                    <w:right w:val="none" w:sz="0" w:space="0" w:color="auto"/>
                                  </w:divBdr>
                                  <w:divsChild>
                                    <w:div w:id="760373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7481122">
      <w:bodyDiv w:val="1"/>
      <w:marLeft w:val="0"/>
      <w:marRight w:val="0"/>
      <w:marTop w:val="0"/>
      <w:marBottom w:val="0"/>
      <w:divBdr>
        <w:top w:val="none" w:sz="0" w:space="0" w:color="auto"/>
        <w:left w:val="none" w:sz="0" w:space="0" w:color="auto"/>
        <w:bottom w:val="none" w:sz="0" w:space="0" w:color="auto"/>
        <w:right w:val="none" w:sz="0" w:space="0" w:color="auto"/>
      </w:divBdr>
    </w:div>
    <w:div w:id="804933441">
      <w:bodyDiv w:val="1"/>
      <w:marLeft w:val="0"/>
      <w:marRight w:val="0"/>
      <w:marTop w:val="0"/>
      <w:marBottom w:val="0"/>
      <w:divBdr>
        <w:top w:val="none" w:sz="0" w:space="0" w:color="auto"/>
        <w:left w:val="none" w:sz="0" w:space="0" w:color="auto"/>
        <w:bottom w:val="none" w:sz="0" w:space="0" w:color="auto"/>
        <w:right w:val="none" w:sz="0" w:space="0" w:color="auto"/>
      </w:divBdr>
      <w:divsChild>
        <w:div w:id="1830513042">
          <w:marLeft w:val="0"/>
          <w:marRight w:val="0"/>
          <w:marTop w:val="0"/>
          <w:marBottom w:val="0"/>
          <w:divBdr>
            <w:top w:val="none" w:sz="0" w:space="0" w:color="auto"/>
            <w:left w:val="none" w:sz="0" w:space="0" w:color="auto"/>
            <w:bottom w:val="none" w:sz="0" w:space="0" w:color="auto"/>
            <w:right w:val="none" w:sz="0" w:space="0" w:color="auto"/>
          </w:divBdr>
          <w:divsChild>
            <w:div w:id="1630864193">
              <w:marLeft w:val="0"/>
              <w:marRight w:val="0"/>
              <w:marTop w:val="0"/>
              <w:marBottom w:val="0"/>
              <w:divBdr>
                <w:top w:val="none" w:sz="0" w:space="0" w:color="auto"/>
                <w:left w:val="none" w:sz="0" w:space="0" w:color="auto"/>
                <w:bottom w:val="none" w:sz="0" w:space="0" w:color="auto"/>
                <w:right w:val="none" w:sz="0" w:space="0" w:color="auto"/>
              </w:divBdr>
              <w:divsChild>
                <w:div w:id="983509134">
                  <w:marLeft w:val="0"/>
                  <w:marRight w:val="0"/>
                  <w:marTop w:val="0"/>
                  <w:marBottom w:val="0"/>
                  <w:divBdr>
                    <w:top w:val="none" w:sz="0" w:space="0" w:color="auto"/>
                    <w:left w:val="none" w:sz="0" w:space="0" w:color="auto"/>
                    <w:bottom w:val="none" w:sz="0" w:space="0" w:color="auto"/>
                    <w:right w:val="none" w:sz="0" w:space="0" w:color="auto"/>
                  </w:divBdr>
                  <w:divsChild>
                    <w:div w:id="812675682">
                      <w:marLeft w:val="0"/>
                      <w:marRight w:val="0"/>
                      <w:marTop w:val="0"/>
                      <w:marBottom w:val="0"/>
                      <w:divBdr>
                        <w:top w:val="none" w:sz="0" w:space="0" w:color="auto"/>
                        <w:left w:val="none" w:sz="0" w:space="0" w:color="auto"/>
                        <w:bottom w:val="none" w:sz="0" w:space="0" w:color="auto"/>
                        <w:right w:val="none" w:sz="0" w:space="0" w:color="auto"/>
                      </w:divBdr>
                      <w:divsChild>
                        <w:div w:id="1934508091">
                          <w:marLeft w:val="0"/>
                          <w:marRight w:val="0"/>
                          <w:marTop w:val="0"/>
                          <w:marBottom w:val="0"/>
                          <w:divBdr>
                            <w:top w:val="none" w:sz="0" w:space="0" w:color="auto"/>
                            <w:left w:val="none" w:sz="0" w:space="0" w:color="auto"/>
                            <w:bottom w:val="none" w:sz="0" w:space="0" w:color="auto"/>
                            <w:right w:val="none" w:sz="0" w:space="0" w:color="auto"/>
                          </w:divBdr>
                          <w:divsChild>
                            <w:div w:id="874385162">
                              <w:marLeft w:val="0"/>
                              <w:marRight w:val="0"/>
                              <w:marTop w:val="0"/>
                              <w:marBottom w:val="0"/>
                              <w:divBdr>
                                <w:top w:val="none" w:sz="0" w:space="0" w:color="auto"/>
                                <w:left w:val="none" w:sz="0" w:space="0" w:color="auto"/>
                                <w:bottom w:val="none" w:sz="0" w:space="0" w:color="auto"/>
                                <w:right w:val="none" w:sz="0" w:space="0" w:color="auto"/>
                              </w:divBdr>
                              <w:divsChild>
                                <w:div w:id="293095794">
                                  <w:marLeft w:val="0"/>
                                  <w:marRight w:val="0"/>
                                  <w:marTop w:val="0"/>
                                  <w:marBottom w:val="0"/>
                                  <w:divBdr>
                                    <w:top w:val="none" w:sz="0" w:space="0" w:color="auto"/>
                                    <w:left w:val="none" w:sz="0" w:space="0" w:color="auto"/>
                                    <w:bottom w:val="none" w:sz="0" w:space="0" w:color="auto"/>
                                    <w:right w:val="none" w:sz="0" w:space="0" w:color="auto"/>
                                  </w:divBdr>
                                  <w:divsChild>
                                    <w:div w:id="1194617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9006115">
      <w:bodyDiv w:val="1"/>
      <w:marLeft w:val="0"/>
      <w:marRight w:val="0"/>
      <w:marTop w:val="0"/>
      <w:marBottom w:val="0"/>
      <w:divBdr>
        <w:top w:val="none" w:sz="0" w:space="0" w:color="auto"/>
        <w:left w:val="none" w:sz="0" w:space="0" w:color="auto"/>
        <w:bottom w:val="none" w:sz="0" w:space="0" w:color="auto"/>
        <w:right w:val="none" w:sz="0" w:space="0" w:color="auto"/>
      </w:divBdr>
    </w:div>
    <w:div w:id="820972739">
      <w:bodyDiv w:val="1"/>
      <w:marLeft w:val="0"/>
      <w:marRight w:val="0"/>
      <w:marTop w:val="0"/>
      <w:marBottom w:val="0"/>
      <w:divBdr>
        <w:top w:val="none" w:sz="0" w:space="0" w:color="auto"/>
        <w:left w:val="none" w:sz="0" w:space="0" w:color="auto"/>
        <w:bottom w:val="none" w:sz="0" w:space="0" w:color="auto"/>
        <w:right w:val="none" w:sz="0" w:space="0" w:color="auto"/>
      </w:divBdr>
    </w:div>
    <w:div w:id="835534236">
      <w:bodyDiv w:val="1"/>
      <w:marLeft w:val="0"/>
      <w:marRight w:val="0"/>
      <w:marTop w:val="0"/>
      <w:marBottom w:val="0"/>
      <w:divBdr>
        <w:top w:val="none" w:sz="0" w:space="0" w:color="auto"/>
        <w:left w:val="none" w:sz="0" w:space="0" w:color="auto"/>
        <w:bottom w:val="none" w:sz="0" w:space="0" w:color="auto"/>
        <w:right w:val="none" w:sz="0" w:space="0" w:color="auto"/>
      </w:divBdr>
    </w:div>
    <w:div w:id="842427798">
      <w:bodyDiv w:val="1"/>
      <w:marLeft w:val="0"/>
      <w:marRight w:val="0"/>
      <w:marTop w:val="0"/>
      <w:marBottom w:val="0"/>
      <w:divBdr>
        <w:top w:val="none" w:sz="0" w:space="0" w:color="auto"/>
        <w:left w:val="none" w:sz="0" w:space="0" w:color="auto"/>
        <w:bottom w:val="none" w:sz="0" w:space="0" w:color="auto"/>
        <w:right w:val="none" w:sz="0" w:space="0" w:color="auto"/>
      </w:divBdr>
    </w:div>
    <w:div w:id="856499481">
      <w:bodyDiv w:val="1"/>
      <w:marLeft w:val="0"/>
      <w:marRight w:val="0"/>
      <w:marTop w:val="0"/>
      <w:marBottom w:val="0"/>
      <w:divBdr>
        <w:top w:val="none" w:sz="0" w:space="0" w:color="auto"/>
        <w:left w:val="none" w:sz="0" w:space="0" w:color="auto"/>
        <w:bottom w:val="none" w:sz="0" w:space="0" w:color="auto"/>
        <w:right w:val="none" w:sz="0" w:space="0" w:color="auto"/>
      </w:divBdr>
    </w:div>
    <w:div w:id="857623603">
      <w:bodyDiv w:val="1"/>
      <w:marLeft w:val="0"/>
      <w:marRight w:val="0"/>
      <w:marTop w:val="0"/>
      <w:marBottom w:val="0"/>
      <w:divBdr>
        <w:top w:val="none" w:sz="0" w:space="0" w:color="auto"/>
        <w:left w:val="none" w:sz="0" w:space="0" w:color="auto"/>
        <w:bottom w:val="none" w:sz="0" w:space="0" w:color="auto"/>
        <w:right w:val="none" w:sz="0" w:space="0" w:color="auto"/>
      </w:divBdr>
    </w:div>
    <w:div w:id="858398669">
      <w:bodyDiv w:val="1"/>
      <w:marLeft w:val="0"/>
      <w:marRight w:val="0"/>
      <w:marTop w:val="0"/>
      <w:marBottom w:val="0"/>
      <w:divBdr>
        <w:top w:val="none" w:sz="0" w:space="0" w:color="auto"/>
        <w:left w:val="none" w:sz="0" w:space="0" w:color="auto"/>
        <w:bottom w:val="none" w:sz="0" w:space="0" w:color="auto"/>
        <w:right w:val="none" w:sz="0" w:space="0" w:color="auto"/>
      </w:divBdr>
      <w:divsChild>
        <w:div w:id="627862347">
          <w:marLeft w:val="0"/>
          <w:marRight w:val="0"/>
          <w:marTop w:val="0"/>
          <w:marBottom w:val="0"/>
          <w:divBdr>
            <w:top w:val="none" w:sz="0" w:space="0" w:color="auto"/>
            <w:left w:val="none" w:sz="0" w:space="0" w:color="auto"/>
            <w:bottom w:val="none" w:sz="0" w:space="0" w:color="auto"/>
            <w:right w:val="none" w:sz="0" w:space="0" w:color="auto"/>
          </w:divBdr>
          <w:divsChild>
            <w:div w:id="1304038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951115">
      <w:bodyDiv w:val="1"/>
      <w:marLeft w:val="0"/>
      <w:marRight w:val="0"/>
      <w:marTop w:val="0"/>
      <w:marBottom w:val="0"/>
      <w:divBdr>
        <w:top w:val="none" w:sz="0" w:space="0" w:color="auto"/>
        <w:left w:val="none" w:sz="0" w:space="0" w:color="auto"/>
        <w:bottom w:val="none" w:sz="0" w:space="0" w:color="auto"/>
        <w:right w:val="none" w:sz="0" w:space="0" w:color="auto"/>
      </w:divBdr>
      <w:divsChild>
        <w:div w:id="988172819">
          <w:marLeft w:val="0"/>
          <w:marRight w:val="0"/>
          <w:marTop w:val="0"/>
          <w:marBottom w:val="0"/>
          <w:divBdr>
            <w:top w:val="none" w:sz="0" w:space="0" w:color="auto"/>
            <w:left w:val="none" w:sz="0" w:space="0" w:color="auto"/>
            <w:bottom w:val="none" w:sz="0" w:space="0" w:color="auto"/>
            <w:right w:val="none" w:sz="0" w:space="0" w:color="auto"/>
          </w:divBdr>
          <w:divsChild>
            <w:div w:id="780998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89621">
      <w:bodyDiv w:val="1"/>
      <w:marLeft w:val="0"/>
      <w:marRight w:val="0"/>
      <w:marTop w:val="0"/>
      <w:marBottom w:val="0"/>
      <w:divBdr>
        <w:top w:val="none" w:sz="0" w:space="0" w:color="auto"/>
        <w:left w:val="none" w:sz="0" w:space="0" w:color="auto"/>
        <w:bottom w:val="none" w:sz="0" w:space="0" w:color="auto"/>
        <w:right w:val="none" w:sz="0" w:space="0" w:color="auto"/>
      </w:divBdr>
    </w:div>
    <w:div w:id="909509594">
      <w:bodyDiv w:val="1"/>
      <w:marLeft w:val="0"/>
      <w:marRight w:val="0"/>
      <w:marTop w:val="0"/>
      <w:marBottom w:val="0"/>
      <w:divBdr>
        <w:top w:val="none" w:sz="0" w:space="0" w:color="auto"/>
        <w:left w:val="none" w:sz="0" w:space="0" w:color="auto"/>
        <w:bottom w:val="none" w:sz="0" w:space="0" w:color="auto"/>
        <w:right w:val="none" w:sz="0" w:space="0" w:color="auto"/>
      </w:divBdr>
    </w:div>
    <w:div w:id="914971529">
      <w:bodyDiv w:val="1"/>
      <w:marLeft w:val="0"/>
      <w:marRight w:val="0"/>
      <w:marTop w:val="0"/>
      <w:marBottom w:val="0"/>
      <w:divBdr>
        <w:top w:val="none" w:sz="0" w:space="0" w:color="auto"/>
        <w:left w:val="none" w:sz="0" w:space="0" w:color="auto"/>
        <w:bottom w:val="none" w:sz="0" w:space="0" w:color="auto"/>
        <w:right w:val="none" w:sz="0" w:space="0" w:color="auto"/>
      </w:divBdr>
    </w:div>
    <w:div w:id="921722511">
      <w:bodyDiv w:val="1"/>
      <w:marLeft w:val="0"/>
      <w:marRight w:val="0"/>
      <w:marTop w:val="0"/>
      <w:marBottom w:val="0"/>
      <w:divBdr>
        <w:top w:val="none" w:sz="0" w:space="0" w:color="auto"/>
        <w:left w:val="none" w:sz="0" w:space="0" w:color="auto"/>
        <w:bottom w:val="none" w:sz="0" w:space="0" w:color="auto"/>
        <w:right w:val="none" w:sz="0" w:space="0" w:color="auto"/>
      </w:divBdr>
    </w:div>
    <w:div w:id="924269760">
      <w:bodyDiv w:val="1"/>
      <w:marLeft w:val="0"/>
      <w:marRight w:val="0"/>
      <w:marTop w:val="0"/>
      <w:marBottom w:val="0"/>
      <w:divBdr>
        <w:top w:val="none" w:sz="0" w:space="0" w:color="auto"/>
        <w:left w:val="none" w:sz="0" w:space="0" w:color="auto"/>
        <w:bottom w:val="none" w:sz="0" w:space="0" w:color="auto"/>
        <w:right w:val="none" w:sz="0" w:space="0" w:color="auto"/>
      </w:divBdr>
    </w:div>
    <w:div w:id="938100592">
      <w:bodyDiv w:val="1"/>
      <w:marLeft w:val="0"/>
      <w:marRight w:val="0"/>
      <w:marTop w:val="0"/>
      <w:marBottom w:val="0"/>
      <w:divBdr>
        <w:top w:val="none" w:sz="0" w:space="0" w:color="auto"/>
        <w:left w:val="none" w:sz="0" w:space="0" w:color="auto"/>
        <w:bottom w:val="none" w:sz="0" w:space="0" w:color="auto"/>
        <w:right w:val="none" w:sz="0" w:space="0" w:color="auto"/>
      </w:divBdr>
    </w:div>
    <w:div w:id="944772856">
      <w:bodyDiv w:val="1"/>
      <w:marLeft w:val="0"/>
      <w:marRight w:val="0"/>
      <w:marTop w:val="0"/>
      <w:marBottom w:val="0"/>
      <w:divBdr>
        <w:top w:val="none" w:sz="0" w:space="0" w:color="auto"/>
        <w:left w:val="none" w:sz="0" w:space="0" w:color="auto"/>
        <w:bottom w:val="none" w:sz="0" w:space="0" w:color="auto"/>
        <w:right w:val="none" w:sz="0" w:space="0" w:color="auto"/>
      </w:divBdr>
    </w:div>
    <w:div w:id="946078710">
      <w:bodyDiv w:val="1"/>
      <w:marLeft w:val="0"/>
      <w:marRight w:val="0"/>
      <w:marTop w:val="0"/>
      <w:marBottom w:val="0"/>
      <w:divBdr>
        <w:top w:val="none" w:sz="0" w:space="0" w:color="auto"/>
        <w:left w:val="none" w:sz="0" w:space="0" w:color="auto"/>
        <w:bottom w:val="none" w:sz="0" w:space="0" w:color="auto"/>
        <w:right w:val="none" w:sz="0" w:space="0" w:color="auto"/>
      </w:divBdr>
      <w:divsChild>
        <w:div w:id="747311958">
          <w:marLeft w:val="0"/>
          <w:marRight w:val="0"/>
          <w:marTop w:val="0"/>
          <w:marBottom w:val="0"/>
          <w:divBdr>
            <w:top w:val="none" w:sz="0" w:space="0" w:color="auto"/>
            <w:left w:val="none" w:sz="0" w:space="0" w:color="auto"/>
            <w:bottom w:val="none" w:sz="0" w:space="0" w:color="auto"/>
            <w:right w:val="none" w:sz="0" w:space="0" w:color="auto"/>
          </w:divBdr>
          <w:divsChild>
            <w:div w:id="978803759">
              <w:marLeft w:val="-225"/>
              <w:marRight w:val="-225"/>
              <w:marTop w:val="0"/>
              <w:marBottom w:val="0"/>
              <w:divBdr>
                <w:top w:val="none" w:sz="0" w:space="0" w:color="auto"/>
                <w:left w:val="none" w:sz="0" w:space="0" w:color="auto"/>
                <w:bottom w:val="none" w:sz="0" w:space="0" w:color="auto"/>
                <w:right w:val="none" w:sz="0" w:space="0" w:color="auto"/>
              </w:divBdr>
              <w:divsChild>
                <w:div w:id="106505500">
                  <w:marLeft w:val="0"/>
                  <w:marRight w:val="0"/>
                  <w:marTop w:val="0"/>
                  <w:marBottom w:val="0"/>
                  <w:divBdr>
                    <w:top w:val="none" w:sz="0" w:space="0" w:color="auto"/>
                    <w:left w:val="none" w:sz="0" w:space="0" w:color="auto"/>
                    <w:bottom w:val="none" w:sz="0" w:space="0" w:color="auto"/>
                    <w:right w:val="none" w:sz="0" w:space="0" w:color="auto"/>
                  </w:divBdr>
                  <w:divsChild>
                    <w:div w:id="95638487">
                      <w:marLeft w:val="0"/>
                      <w:marRight w:val="0"/>
                      <w:marTop w:val="0"/>
                      <w:marBottom w:val="0"/>
                      <w:divBdr>
                        <w:top w:val="none" w:sz="0" w:space="0" w:color="auto"/>
                        <w:left w:val="none" w:sz="0" w:space="0" w:color="auto"/>
                        <w:bottom w:val="none" w:sz="0" w:space="0" w:color="auto"/>
                        <w:right w:val="none" w:sz="0" w:space="0" w:color="auto"/>
                      </w:divBdr>
                      <w:divsChild>
                        <w:div w:id="88140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302257">
      <w:bodyDiv w:val="1"/>
      <w:marLeft w:val="0"/>
      <w:marRight w:val="0"/>
      <w:marTop w:val="0"/>
      <w:marBottom w:val="0"/>
      <w:divBdr>
        <w:top w:val="none" w:sz="0" w:space="0" w:color="auto"/>
        <w:left w:val="none" w:sz="0" w:space="0" w:color="auto"/>
        <w:bottom w:val="none" w:sz="0" w:space="0" w:color="auto"/>
        <w:right w:val="none" w:sz="0" w:space="0" w:color="auto"/>
      </w:divBdr>
    </w:div>
    <w:div w:id="1009143595">
      <w:bodyDiv w:val="1"/>
      <w:marLeft w:val="0"/>
      <w:marRight w:val="0"/>
      <w:marTop w:val="0"/>
      <w:marBottom w:val="0"/>
      <w:divBdr>
        <w:top w:val="none" w:sz="0" w:space="0" w:color="auto"/>
        <w:left w:val="none" w:sz="0" w:space="0" w:color="auto"/>
        <w:bottom w:val="none" w:sz="0" w:space="0" w:color="auto"/>
        <w:right w:val="none" w:sz="0" w:space="0" w:color="auto"/>
      </w:divBdr>
    </w:div>
    <w:div w:id="1010528994">
      <w:bodyDiv w:val="1"/>
      <w:marLeft w:val="0"/>
      <w:marRight w:val="0"/>
      <w:marTop w:val="0"/>
      <w:marBottom w:val="0"/>
      <w:divBdr>
        <w:top w:val="none" w:sz="0" w:space="0" w:color="auto"/>
        <w:left w:val="none" w:sz="0" w:space="0" w:color="auto"/>
        <w:bottom w:val="none" w:sz="0" w:space="0" w:color="auto"/>
        <w:right w:val="none" w:sz="0" w:space="0" w:color="auto"/>
      </w:divBdr>
    </w:div>
    <w:div w:id="1016923704">
      <w:bodyDiv w:val="1"/>
      <w:marLeft w:val="0"/>
      <w:marRight w:val="0"/>
      <w:marTop w:val="0"/>
      <w:marBottom w:val="0"/>
      <w:divBdr>
        <w:top w:val="none" w:sz="0" w:space="0" w:color="auto"/>
        <w:left w:val="none" w:sz="0" w:space="0" w:color="auto"/>
        <w:bottom w:val="none" w:sz="0" w:space="0" w:color="auto"/>
        <w:right w:val="none" w:sz="0" w:space="0" w:color="auto"/>
      </w:divBdr>
    </w:div>
    <w:div w:id="1019041350">
      <w:bodyDiv w:val="1"/>
      <w:marLeft w:val="0"/>
      <w:marRight w:val="0"/>
      <w:marTop w:val="0"/>
      <w:marBottom w:val="0"/>
      <w:divBdr>
        <w:top w:val="none" w:sz="0" w:space="0" w:color="auto"/>
        <w:left w:val="none" w:sz="0" w:space="0" w:color="auto"/>
        <w:bottom w:val="none" w:sz="0" w:space="0" w:color="auto"/>
        <w:right w:val="none" w:sz="0" w:space="0" w:color="auto"/>
      </w:divBdr>
    </w:div>
    <w:div w:id="1022170392">
      <w:bodyDiv w:val="1"/>
      <w:marLeft w:val="0"/>
      <w:marRight w:val="0"/>
      <w:marTop w:val="0"/>
      <w:marBottom w:val="0"/>
      <w:divBdr>
        <w:top w:val="none" w:sz="0" w:space="0" w:color="auto"/>
        <w:left w:val="none" w:sz="0" w:space="0" w:color="auto"/>
        <w:bottom w:val="none" w:sz="0" w:space="0" w:color="auto"/>
        <w:right w:val="none" w:sz="0" w:space="0" w:color="auto"/>
      </w:divBdr>
    </w:div>
    <w:div w:id="1028143126">
      <w:bodyDiv w:val="1"/>
      <w:marLeft w:val="0"/>
      <w:marRight w:val="0"/>
      <w:marTop w:val="0"/>
      <w:marBottom w:val="0"/>
      <w:divBdr>
        <w:top w:val="none" w:sz="0" w:space="0" w:color="auto"/>
        <w:left w:val="none" w:sz="0" w:space="0" w:color="auto"/>
        <w:bottom w:val="none" w:sz="0" w:space="0" w:color="auto"/>
        <w:right w:val="none" w:sz="0" w:space="0" w:color="auto"/>
      </w:divBdr>
    </w:div>
    <w:div w:id="1058698983">
      <w:bodyDiv w:val="1"/>
      <w:marLeft w:val="0"/>
      <w:marRight w:val="0"/>
      <w:marTop w:val="0"/>
      <w:marBottom w:val="0"/>
      <w:divBdr>
        <w:top w:val="none" w:sz="0" w:space="0" w:color="auto"/>
        <w:left w:val="none" w:sz="0" w:space="0" w:color="auto"/>
        <w:bottom w:val="none" w:sz="0" w:space="0" w:color="auto"/>
        <w:right w:val="none" w:sz="0" w:space="0" w:color="auto"/>
      </w:divBdr>
    </w:div>
    <w:div w:id="1060052382">
      <w:bodyDiv w:val="1"/>
      <w:marLeft w:val="0"/>
      <w:marRight w:val="0"/>
      <w:marTop w:val="0"/>
      <w:marBottom w:val="0"/>
      <w:divBdr>
        <w:top w:val="none" w:sz="0" w:space="0" w:color="auto"/>
        <w:left w:val="none" w:sz="0" w:space="0" w:color="auto"/>
        <w:bottom w:val="none" w:sz="0" w:space="0" w:color="auto"/>
        <w:right w:val="none" w:sz="0" w:space="0" w:color="auto"/>
      </w:divBdr>
    </w:div>
    <w:div w:id="1075318481">
      <w:bodyDiv w:val="1"/>
      <w:marLeft w:val="0"/>
      <w:marRight w:val="0"/>
      <w:marTop w:val="0"/>
      <w:marBottom w:val="0"/>
      <w:divBdr>
        <w:top w:val="none" w:sz="0" w:space="0" w:color="auto"/>
        <w:left w:val="none" w:sz="0" w:space="0" w:color="auto"/>
        <w:bottom w:val="none" w:sz="0" w:space="0" w:color="auto"/>
        <w:right w:val="none" w:sz="0" w:space="0" w:color="auto"/>
      </w:divBdr>
    </w:div>
    <w:div w:id="1089817128">
      <w:bodyDiv w:val="1"/>
      <w:marLeft w:val="0"/>
      <w:marRight w:val="0"/>
      <w:marTop w:val="0"/>
      <w:marBottom w:val="0"/>
      <w:divBdr>
        <w:top w:val="none" w:sz="0" w:space="0" w:color="auto"/>
        <w:left w:val="none" w:sz="0" w:space="0" w:color="auto"/>
        <w:bottom w:val="none" w:sz="0" w:space="0" w:color="auto"/>
        <w:right w:val="none" w:sz="0" w:space="0" w:color="auto"/>
      </w:divBdr>
      <w:divsChild>
        <w:div w:id="831723269">
          <w:marLeft w:val="0"/>
          <w:marRight w:val="0"/>
          <w:marTop w:val="0"/>
          <w:marBottom w:val="0"/>
          <w:divBdr>
            <w:top w:val="none" w:sz="0" w:space="0" w:color="auto"/>
            <w:left w:val="none" w:sz="0" w:space="0" w:color="auto"/>
            <w:bottom w:val="none" w:sz="0" w:space="0" w:color="auto"/>
            <w:right w:val="none" w:sz="0" w:space="0" w:color="auto"/>
          </w:divBdr>
        </w:div>
        <w:div w:id="852576163">
          <w:marLeft w:val="0"/>
          <w:marRight w:val="0"/>
          <w:marTop w:val="0"/>
          <w:marBottom w:val="0"/>
          <w:divBdr>
            <w:top w:val="none" w:sz="0" w:space="0" w:color="auto"/>
            <w:left w:val="none" w:sz="0" w:space="0" w:color="auto"/>
            <w:bottom w:val="none" w:sz="0" w:space="0" w:color="auto"/>
            <w:right w:val="none" w:sz="0" w:space="0" w:color="auto"/>
          </w:divBdr>
        </w:div>
        <w:div w:id="1188374323">
          <w:marLeft w:val="0"/>
          <w:marRight w:val="0"/>
          <w:marTop w:val="0"/>
          <w:marBottom w:val="0"/>
          <w:divBdr>
            <w:top w:val="none" w:sz="0" w:space="0" w:color="auto"/>
            <w:left w:val="none" w:sz="0" w:space="0" w:color="auto"/>
            <w:bottom w:val="none" w:sz="0" w:space="0" w:color="auto"/>
            <w:right w:val="none" w:sz="0" w:space="0" w:color="auto"/>
          </w:divBdr>
        </w:div>
        <w:div w:id="1898586263">
          <w:marLeft w:val="0"/>
          <w:marRight w:val="0"/>
          <w:marTop w:val="0"/>
          <w:marBottom w:val="0"/>
          <w:divBdr>
            <w:top w:val="none" w:sz="0" w:space="0" w:color="auto"/>
            <w:left w:val="none" w:sz="0" w:space="0" w:color="auto"/>
            <w:bottom w:val="none" w:sz="0" w:space="0" w:color="auto"/>
            <w:right w:val="none" w:sz="0" w:space="0" w:color="auto"/>
          </w:divBdr>
        </w:div>
      </w:divsChild>
    </w:div>
    <w:div w:id="1095177562">
      <w:bodyDiv w:val="1"/>
      <w:marLeft w:val="0"/>
      <w:marRight w:val="0"/>
      <w:marTop w:val="0"/>
      <w:marBottom w:val="0"/>
      <w:divBdr>
        <w:top w:val="none" w:sz="0" w:space="0" w:color="auto"/>
        <w:left w:val="none" w:sz="0" w:space="0" w:color="auto"/>
        <w:bottom w:val="none" w:sz="0" w:space="0" w:color="auto"/>
        <w:right w:val="none" w:sz="0" w:space="0" w:color="auto"/>
      </w:divBdr>
    </w:div>
    <w:div w:id="1096708504">
      <w:bodyDiv w:val="1"/>
      <w:marLeft w:val="0"/>
      <w:marRight w:val="0"/>
      <w:marTop w:val="0"/>
      <w:marBottom w:val="0"/>
      <w:divBdr>
        <w:top w:val="none" w:sz="0" w:space="0" w:color="auto"/>
        <w:left w:val="none" w:sz="0" w:space="0" w:color="auto"/>
        <w:bottom w:val="none" w:sz="0" w:space="0" w:color="auto"/>
        <w:right w:val="none" w:sz="0" w:space="0" w:color="auto"/>
      </w:divBdr>
    </w:div>
    <w:div w:id="1107120635">
      <w:bodyDiv w:val="1"/>
      <w:marLeft w:val="0"/>
      <w:marRight w:val="0"/>
      <w:marTop w:val="0"/>
      <w:marBottom w:val="0"/>
      <w:divBdr>
        <w:top w:val="none" w:sz="0" w:space="0" w:color="auto"/>
        <w:left w:val="none" w:sz="0" w:space="0" w:color="auto"/>
        <w:bottom w:val="none" w:sz="0" w:space="0" w:color="auto"/>
        <w:right w:val="none" w:sz="0" w:space="0" w:color="auto"/>
      </w:divBdr>
    </w:div>
    <w:div w:id="1107894375">
      <w:bodyDiv w:val="1"/>
      <w:marLeft w:val="0"/>
      <w:marRight w:val="0"/>
      <w:marTop w:val="0"/>
      <w:marBottom w:val="0"/>
      <w:divBdr>
        <w:top w:val="none" w:sz="0" w:space="0" w:color="auto"/>
        <w:left w:val="none" w:sz="0" w:space="0" w:color="auto"/>
        <w:bottom w:val="none" w:sz="0" w:space="0" w:color="auto"/>
        <w:right w:val="none" w:sz="0" w:space="0" w:color="auto"/>
      </w:divBdr>
    </w:div>
    <w:div w:id="1115631949">
      <w:bodyDiv w:val="1"/>
      <w:marLeft w:val="0"/>
      <w:marRight w:val="0"/>
      <w:marTop w:val="0"/>
      <w:marBottom w:val="0"/>
      <w:divBdr>
        <w:top w:val="none" w:sz="0" w:space="0" w:color="auto"/>
        <w:left w:val="none" w:sz="0" w:space="0" w:color="auto"/>
        <w:bottom w:val="none" w:sz="0" w:space="0" w:color="auto"/>
        <w:right w:val="none" w:sz="0" w:space="0" w:color="auto"/>
      </w:divBdr>
      <w:divsChild>
        <w:div w:id="260530026">
          <w:marLeft w:val="0"/>
          <w:marRight w:val="0"/>
          <w:marTop w:val="0"/>
          <w:marBottom w:val="0"/>
          <w:divBdr>
            <w:top w:val="none" w:sz="0" w:space="0" w:color="auto"/>
            <w:left w:val="none" w:sz="0" w:space="0" w:color="auto"/>
            <w:bottom w:val="none" w:sz="0" w:space="0" w:color="auto"/>
            <w:right w:val="none" w:sz="0" w:space="0" w:color="auto"/>
          </w:divBdr>
        </w:div>
        <w:div w:id="273903853">
          <w:marLeft w:val="0"/>
          <w:marRight w:val="0"/>
          <w:marTop w:val="0"/>
          <w:marBottom w:val="0"/>
          <w:divBdr>
            <w:top w:val="none" w:sz="0" w:space="0" w:color="auto"/>
            <w:left w:val="none" w:sz="0" w:space="0" w:color="auto"/>
            <w:bottom w:val="none" w:sz="0" w:space="0" w:color="auto"/>
            <w:right w:val="none" w:sz="0" w:space="0" w:color="auto"/>
          </w:divBdr>
        </w:div>
        <w:div w:id="949050473">
          <w:marLeft w:val="0"/>
          <w:marRight w:val="0"/>
          <w:marTop w:val="0"/>
          <w:marBottom w:val="0"/>
          <w:divBdr>
            <w:top w:val="none" w:sz="0" w:space="0" w:color="auto"/>
            <w:left w:val="none" w:sz="0" w:space="0" w:color="auto"/>
            <w:bottom w:val="none" w:sz="0" w:space="0" w:color="auto"/>
            <w:right w:val="none" w:sz="0" w:space="0" w:color="auto"/>
          </w:divBdr>
        </w:div>
        <w:div w:id="1420173356">
          <w:marLeft w:val="0"/>
          <w:marRight w:val="0"/>
          <w:marTop w:val="0"/>
          <w:marBottom w:val="0"/>
          <w:divBdr>
            <w:top w:val="none" w:sz="0" w:space="0" w:color="auto"/>
            <w:left w:val="none" w:sz="0" w:space="0" w:color="auto"/>
            <w:bottom w:val="none" w:sz="0" w:space="0" w:color="auto"/>
            <w:right w:val="none" w:sz="0" w:space="0" w:color="auto"/>
          </w:divBdr>
        </w:div>
      </w:divsChild>
    </w:div>
    <w:div w:id="1116949950">
      <w:bodyDiv w:val="1"/>
      <w:marLeft w:val="0"/>
      <w:marRight w:val="0"/>
      <w:marTop w:val="0"/>
      <w:marBottom w:val="0"/>
      <w:divBdr>
        <w:top w:val="none" w:sz="0" w:space="0" w:color="auto"/>
        <w:left w:val="none" w:sz="0" w:space="0" w:color="auto"/>
        <w:bottom w:val="none" w:sz="0" w:space="0" w:color="auto"/>
        <w:right w:val="none" w:sz="0" w:space="0" w:color="auto"/>
      </w:divBdr>
    </w:div>
    <w:div w:id="1117528547">
      <w:bodyDiv w:val="1"/>
      <w:marLeft w:val="0"/>
      <w:marRight w:val="0"/>
      <w:marTop w:val="0"/>
      <w:marBottom w:val="0"/>
      <w:divBdr>
        <w:top w:val="none" w:sz="0" w:space="0" w:color="auto"/>
        <w:left w:val="none" w:sz="0" w:space="0" w:color="auto"/>
        <w:bottom w:val="none" w:sz="0" w:space="0" w:color="auto"/>
        <w:right w:val="none" w:sz="0" w:space="0" w:color="auto"/>
      </w:divBdr>
    </w:div>
    <w:div w:id="1122309071">
      <w:bodyDiv w:val="1"/>
      <w:marLeft w:val="0"/>
      <w:marRight w:val="0"/>
      <w:marTop w:val="0"/>
      <w:marBottom w:val="0"/>
      <w:divBdr>
        <w:top w:val="none" w:sz="0" w:space="0" w:color="auto"/>
        <w:left w:val="none" w:sz="0" w:space="0" w:color="auto"/>
        <w:bottom w:val="none" w:sz="0" w:space="0" w:color="auto"/>
        <w:right w:val="none" w:sz="0" w:space="0" w:color="auto"/>
      </w:divBdr>
    </w:div>
    <w:div w:id="1128402146">
      <w:bodyDiv w:val="1"/>
      <w:marLeft w:val="0"/>
      <w:marRight w:val="0"/>
      <w:marTop w:val="0"/>
      <w:marBottom w:val="0"/>
      <w:divBdr>
        <w:top w:val="none" w:sz="0" w:space="0" w:color="auto"/>
        <w:left w:val="none" w:sz="0" w:space="0" w:color="auto"/>
        <w:bottom w:val="none" w:sz="0" w:space="0" w:color="auto"/>
        <w:right w:val="none" w:sz="0" w:space="0" w:color="auto"/>
      </w:divBdr>
      <w:divsChild>
        <w:div w:id="1108044572">
          <w:marLeft w:val="0"/>
          <w:marRight w:val="0"/>
          <w:marTop w:val="0"/>
          <w:marBottom w:val="0"/>
          <w:divBdr>
            <w:top w:val="none" w:sz="0" w:space="0" w:color="auto"/>
            <w:left w:val="none" w:sz="0" w:space="0" w:color="auto"/>
            <w:bottom w:val="none" w:sz="0" w:space="0" w:color="auto"/>
            <w:right w:val="none" w:sz="0" w:space="0" w:color="auto"/>
          </w:divBdr>
          <w:divsChild>
            <w:div w:id="771127780">
              <w:marLeft w:val="0"/>
              <w:marRight w:val="0"/>
              <w:marTop w:val="0"/>
              <w:marBottom w:val="0"/>
              <w:divBdr>
                <w:top w:val="none" w:sz="0" w:space="0" w:color="auto"/>
                <w:left w:val="none" w:sz="0" w:space="0" w:color="auto"/>
                <w:bottom w:val="none" w:sz="0" w:space="0" w:color="auto"/>
                <w:right w:val="none" w:sz="0" w:space="0" w:color="auto"/>
              </w:divBdr>
              <w:divsChild>
                <w:div w:id="385228867">
                  <w:marLeft w:val="0"/>
                  <w:marRight w:val="0"/>
                  <w:marTop w:val="0"/>
                  <w:marBottom w:val="0"/>
                  <w:divBdr>
                    <w:top w:val="none" w:sz="0" w:space="0" w:color="auto"/>
                    <w:left w:val="none" w:sz="0" w:space="0" w:color="auto"/>
                    <w:bottom w:val="none" w:sz="0" w:space="0" w:color="auto"/>
                    <w:right w:val="none" w:sz="0" w:space="0" w:color="auto"/>
                  </w:divBdr>
                  <w:divsChild>
                    <w:div w:id="1416173900">
                      <w:marLeft w:val="0"/>
                      <w:marRight w:val="0"/>
                      <w:marTop w:val="0"/>
                      <w:marBottom w:val="0"/>
                      <w:divBdr>
                        <w:top w:val="none" w:sz="0" w:space="0" w:color="auto"/>
                        <w:left w:val="none" w:sz="0" w:space="0" w:color="auto"/>
                        <w:bottom w:val="none" w:sz="0" w:space="0" w:color="auto"/>
                        <w:right w:val="none" w:sz="0" w:space="0" w:color="auto"/>
                      </w:divBdr>
                      <w:divsChild>
                        <w:div w:id="785806156">
                          <w:marLeft w:val="0"/>
                          <w:marRight w:val="0"/>
                          <w:marTop w:val="0"/>
                          <w:marBottom w:val="0"/>
                          <w:divBdr>
                            <w:top w:val="none" w:sz="0" w:space="0" w:color="auto"/>
                            <w:left w:val="none" w:sz="0" w:space="0" w:color="auto"/>
                            <w:bottom w:val="none" w:sz="0" w:space="0" w:color="auto"/>
                            <w:right w:val="none" w:sz="0" w:space="0" w:color="auto"/>
                          </w:divBdr>
                          <w:divsChild>
                            <w:div w:id="992755734">
                              <w:marLeft w:val="0"/>
                              <w:marRight w:val="0"/>
                              <w:marTop w:val="0"/>
                              <w:marBottom w:val="0"/>
                              <w:divBdr>
                                <w:top w:val="none" w:sz="0" w:space="0" w:color="auto"/>
                                <w:left w:val="none" w:sz="0" w:space="0" w:color="auto"/>
                                <w:bottom w:val="none" w:sz="0" w:space="0" w:color="auto"/>
                                <w:right w:val="none" w:sz="0" w:space="0" w:color="auto"/>
                              </w:divBdr>
                              <w:divsChild>
                                <w:div w:id="1547569064">
                                  <w:marLeft w:val="0"/>
                                  <w:marRight w:val="0"/>
                                  <w:marTop w:val="0"/>
                                  <w:marBottom w:val="0"/>
                                  <w:divBdr>
                                    <w:top w:val="none" w:sz="0" w:space="0" w:color="auto"/>
                                    <w:left w:val="none" w:sz="0" w:space="0" w:color="auto"/>
                                    <w:bottom w:val="none" w:sz="0" w:space="0" w:color="auto"/>
                                    <w:right w:val="none" w:sz="0" w:space="0" w:color="auto"/>
                                  </w:divBdr>
                                  <w:divsChild>
                                    <w:div w:id="199514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9513959">
      <w:bodyDiv w:val="1"/>
      <w:marLeft w:val="0"/>
      <w:marRight w:val="0"/>
      <w:marTop w:val="0"/>
      <w:marBottom w:val="0"/>
      <w:divBdr>
        <w:top w:val="none" w:sz="0" w:space="0" w:color="auto"/>
        <w:left w:val="none" w:sz="0" w:space="0" w:color="auto"/>
        <w:bottom w:val="none" w:sz="0" w:space="0" w:color="auto"/>
        <w:right w:val="none" w:sz="0" w:space="0" w:color="auto"/>
      </w:divBdr>
      <w:divsChild>
        <w:div w:id="1556088270">
          <w:marLeft w:val="0"/>
          <w:marRight w:val="0"/>
          <w:marTop w:val="0"/>
          <w:marBottom w:val="0"/>
          <w:divBdr>
            <w:top w:val="none" w:sz="0" w:space="0" w:color="auto"/>
            <w:left w:val="none" w:sz="0" w:space="0" w:color="auto"/>
            <w:bottom w:val="none" w:sz="0" w:space="0" w:color="auto"/>
            <w:right w:val="none" w:sz="0" w:space="0" w:color="auto"/>
          </w:divBdr>
          <w:divsChild>
            <w:div w:id="864557550">
              <w:marLeft w:val="0"/>
              <w:marRight w:val="0"/>
              <w:marTop w:val="0"/>
              <w:marBottom w:val="0"/>
              <w:divBdr>
                <w:top w:val="none" w:sz="0" w:space="0" w:color="auto"/>
                <w:left w:val="none" w:sz="0" w:space="0" w:color="auto"/>
                <w:bottom w:val="none" w:sz="0" w:space="0" w:color="auto"/>
                <w:right w:val="none" w:sz="0" w:space="0" w:color="auto"/>
              </w:divBdr>
              <w:divsChild>
                <w:div w:id="1793787312">
                  <w:marLeft w:val="0"/>
                  <w:marRight w:val="0"/>
                  <w:marTop w:val="0"/>
                  <w:marBottom w:val="0"/>
                  <w:divBdr>
                    <w:top w:val="none" w:sz="0" w:space="0" w:color="auto"/>
                    <w:left w:val="none" w:sz="0" w:space="0" w:color="auto"/>
                    <w:bottom w:val="none" w:sz="0" w:space="0" w:color="auto"/>
                    <w:right w:val="none" w:sz="0" w:space="0" w:color="auto"/>
                  </w:divBdr>
                  <w:divsChild>
                    <w:div w:id="273290691">
                      <w:marLeft w:val="0"/>
                      <w:marRight w:val="0"/>
                      <w:marTop w:val="0"/>
                      <w:marBottom w:val="0"/>
                      <w:divBdr>
                        <w:top w:val="none" w:sz="0" w:space="0" w:color="auto"/>
                        <w:left w:val="none" w:sz="0" w:space="0" w:color="auto"/>
                        <w:bottom w:val="none" w:sz="0" w:space="0" w:color="auto"/>
                        <w:right w:val="none" w:sz="0" w:space="0" w:color="auto"/>
                      </w:divBdr>
                      <w:divsChild>
                        <w:div w:id="1239900687">
                          <w:marLeft w:val="0"/>
                          <w:marRight w:val="0"/>
                          <w:marTop w:val="0"/>
                          <w:marBottom w:val="0"/>
                          <w:divBdr>
                            <w:top w:val="none" w:sz="0" w:space="0" w:color="auto"/>
                            <w:left w:val="none" w:sz="0" w:space="0" w:color="auto"/>
                            <w:bottom w:val="none" w:sz="0" w:space="0" w:color="auto"/>
                            <w:right w:val="none" w:sz="0" w:space="0" w:color="auto"/>
                          </w:divBdr>
                          <w:divsChild>
                            <w:div w:id="502284468">
                              <w:marLeft w:val="0"/>
                              <w:marRight w:val="0"/>
                              <w:marTop w:val="0"/>
                              <w:marBottom w:val="0"/>
                              <w:divBdr>
                                <w:top w:val="none" w:sz="0" w:space="0" w:color="auto"/>
                                <w:left w:val="none" w:sz="0" w:space="0" w:color="auto"/>
                                <w:bottom w:val="none" w:sz="0" w:space="0" w:color="auto"/>
                                <w:right w:val="none" w:sz="0" w:space="0" w:color="auto"/>
                              </w:divBdr>
                              <w:divsChild>
                                <w:div w:id="595600714">
                                  <w:marLeft w:val="0"/>
                                  <w:marRight w:val="0"/>
                                  <w:marTop w:val="0"/>
                                  <w:marBottom w:val="0"/>
                                  <w:divBdr>
                                    <w:top w:val="none" w:sz="0" w:space="0" w:color="auto"/>
                                    <w:left w:val="none" w:sz="0" w:space="0" w:color="auto"/>
                                    <w:bottom w:val="none" w:sz="0" w:space="0" w:color="auto"/>
                                    <w:right w:val="none" w:sz="0" w:space="0" w:color="auto"/>
                                  </w:divBdr>
                                  <w:divsChild>
                                    <w:div w:id="103719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45197710">
      <w:bodyDiv w:val="1"/>
      <w:marLeft w:val="0"/>
      <w:marRight w:val="0"/>
      <w:marTop w:val="0"/>
      <w:marBottom w:val="0"/>
      <w:divBdr>
        <w:top w:val="none" w:sz="0" w:space="0" w:color="auto"/>
        <w:left w:val="none" w:sz="0" w:space="0" w:color="auto"/>
        <w:bottom w:val="none" w:sz="0" w:space="0" w:color="auto"/>
        <w:right w:val="none" w:sz="0" w:space="0" w:color="auto"/>
      </w:divBdr>
      <w:divsChild>
        <w:div w:id="213858869">
          <w:marLeft w:val="0"/>
          <w:marRight w:val="0"/>
          <w:marTop w:val="0"/>
          <w:marBottom w:val="0"/>
          <w:divBdr>
            <w:top w:val="none" w:sz="0" w:space="0" w:color="auto"/>
            <w:left w:val="none" w:sz="0" w:space="0" w:color="auto"/>
            <w:bottom w:val="none" w:sz="0" w:space="0" w:color="auto"/>
            <w:right w:val="none" w:sz="0" w:space="0" w:color="auto"/>
          </w:divBdr>
        </w:div>
        <w:div w:id="730541648">
          <w:marLeft w:val="0"/>
          <w:marRight w:val="0"/>
          <w:marTop w:val="0"/>
          <w:marBottom w:val="0"/>
          <w:divBdr>
            <w:top w:val="none" w:sz="0" w:space="0" w:color="auto"/>
            <w:left w:val="none" w:sz="0" w:space="0" w:color="auto"/>
            <w:bottom w:val="none" w:sz="0" w:space="0" w:color="auto"/>
            <w:right w:val="none" w:sz="0" w:space="0" w:color="auto"/>
          </w:divBdr>
        </w:div>
        <w:div w:id="1413815830">
          <w:marLeft w:val="0"/>
          <w:marRight w:val="0"/>
          <w:marTop w:val="0"/>
          <w:marBottom w:val="0"/>
          <w:divBdr>
            <w:top w:val="none" w:sz="0" w:space="0" w:color="auto"/>
            <w:left w:val="none" w:sz="0" w:space="0" w:color="auto"/>
            <w:bottom w:val="none" w:sz="0" w:space="0" w:color="auto"/>
            <w:right w:val="none" w:sz="0" w:space="0" w:color="auto"/>
          </w:divBdr>
        </w:div>
      </w:divsChild>
    </w:div>
    <w:div w:id="1151752803">
      <w:bodyDiv w:val="1"/>
      <w:marLeft w:val="0"/>
      <w:marRight w:val="0"/>
      <w:marTop w:val="0"/>
      <w:marBottom w:val="0"/>
      <w:divBdr>
        <w:top w:val="none" w:sz="0" w:space="0" w:color="auto"/>
        <w:left w:val="none" w:sz="0" w:space="0" w:color="auto"/>
        <w:bottom w:val="none" w:sz="0" w:space="0" w:color="auto"/>
        <w:right w:val="none" w:sz="0" w:space="0" w:color="auto"/>
      </w:divBdr>
      <w:divsChild>
        <w:div w:id="1241060932">
          <w:marLeft w:val="0"/>
          <w:marRight w:val="0"/>
          <w:marTop w:val="0"/>
          <w:marBottom w:val="0"/>
          <w:divBdr>
            <w:top w:val="none" w:sz="0" w:space="0" w:color="auto"/>
            <w:left w:val="none" w:sz="0" w:space="0" w:color="auto"/>
            <w:bottom w:val="none" w:sz="0" w:space="0" w:color="auto"/>
            <w:right w:val="none" w:sz="0" w:space="0" w:color="auto"/>
          </w:divBdr>
          <w:divsChild>
            <w:div w:id="332727932">
              <w:marLeft w:val="0"/>
              <w:marRight w:val="0"/>
              <w:marTop w:val="0"/>
              <w:marBottom w:val="0"/>
              <w:divBdr>
                <w:top w:val="none" w:sz="0" w:space="0" w:color="auto"/>
                <w:left w:val="none" w:sz="0" w:space="0" w:color="auto"/>
                <w:bottom w:val="none" w:sz="0" w:space="0" w:color="auto"/>
                <w:right w:val="none" w:sz="0" w:space="0" w:color="auto"/>
              </w:divBdr>
              <w:divsChild>
                <w:div w:id="1211071954">
                  <w:marLeft w:val="0"/>
                  <w:marRight w:val="0"/>
                  <w:marTop w:val="0"/>
                  <w:marBottom w:val="0"/>
                  <w:divBdr>
                    <w:top w:val="none" w:sz="0" w:space="0" w:color="auto"/>
                    <w:left w:val="none" w:sz="0" w:space="0" w:color="auto"/>
                    <w:bottom w:val="none" w:sz="0" w:space="0" w:color="auto"/>
                    <w:right w:val="none" w:sz="0" w:space="0" w:color="auto"/>
                  </w:divBdr>
                  <w:divsChild>
                    <w:div w:id="695931583">
                      <w:marLeft w:val="0"/>
                      <w:marRight w:val="0"/>
                      <w:marTop w:val="0"/>
                      <w:marBottom w:val="0"/>
                      <w:divBdr>
                        <w:top w:val="none" w:sz="0" w:space="0" w:color="auto"/>
                        <w:left w:val="none" w:sz="0" w:space="0" w:color="auto"/>
                        <w:bottom w:val="none" w:sz="0" w:space="0" w:color="auto"/>
                        <w:right w:val="none" w:sz="0" w:space="0" w:color="auto"/>
                      </w:divBdr>
                      <w:divsChild>
                        <w:div w:id="1435134097">
                          <w:marLeft w:val="0"/>
                          <w:marRight w:val="0"/>
                          <w:marTop w:val="0"/>
                          <w:marBottom w:val="0"/>
                          <w:divBdr>
                            <w:top w:val="none" w:sz="0" w:space="0" w:color="auto"/>
                            <w:left w:val="none" w:sz="0" w:space="0" w:color="auto"/>
                            <w:bottom w:val="none" w:sz="0" w:space="0" w:color="auto"/>
                            <w:right w:val="none" w:sz="0" w:space="0" w:color="auto"/>
                          </w:divBdr>
                          <w:divsChild>
                            <w:div w:id="1189562515">
                              <w:marLeft w:val="0"/>
                              <w:marRight w:val="0"/>
                              <w:marTop w:val="0"/>
                              <w:marBottom w:val="0"/>
                              <w:divBdr>
                                <w:top w:val="none" w:sz="0" w:space="0" w:color="auto"/>
                                <w:left w:val="none" w:sz="0" w:space="0" w:color="auto"/>
                                <w:bottom w:val="none" w:sz="0" w:space="0" w:color="auto"/>
                                <w:right w:val="none" w:sz="0" w:space="0" w:color="auto"/>
                              </w:divBdr>
                              <w:divsChild>
                                <w:div w:id="1655334327">
                                  <w:marLeft w:val="0"/>
                                  <w:marRight w:val="0"/>
                                  <w:marTop w:val="0"/>
                                  <w:marBottom w:val="0"/>
                                  <w:divBdr>
                                    <w:top w:val="none" w:sz="0" w:space="0" w:color="auto"/>
                                    <w:left w:val="none" w:sz="0" w:space="0" w:color="auto"/>
                                    <w:bottom w:val="none" w:sz="0" w:space="0" w:color="auto"/>
                                    <w:right w:val="none" w:sz="0" w:space="0" w:color="auto"/>
                                  </w:divBdr>
                                  <w:divsChild>
                                    <w:div w:id="134231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6994835">
      <w:bodyDiv w:val="1"/>
      <w:marLeft w:val="0"/>
      <w:marRight w:val="0"/>
      <w:marTop w:val="0"/>
      <w:marBottom w:val="0"/>
      <w:divBdr>
        <w:top w:val="none" w:sz="0" w:space="0" w:color="auto"/>
        <w:left w:val="none" w:sz="0" w:space="0" w:color="auto"/>
        <w:bottom w:val="none" w:sz="0" w:space="0" w:color="auto"/>
        <w:right w:val="none" w:sz="0" w:space="0" w:color="auto"/>
      </w:divBdr>
    </w:div>
    <w:div w:id="1157258595">
      <w:bodyDiv w:val="1"/>
      <w:marLeft w:val="0"/>
      <w:marRight w:val="0"/>
      <w:marTop w:val="0"/>
      <w:marBottom w:val="0"/>
      <w:divBdr>
        <w:top w:val="none" w:sz="0" w:space="0" w:color="auto"/>
        <w:left w:val="none" w:sz="0" w:space="0" w:color="auto"/>
        <w:bottom w:val="none" w:sz="0" w:space="0" w:color="auto"/>
        <w:right w:val="none" w:sz="0" w:space="0" w:color="auto"/>
      </w:divBdr>
    </w:div>
    <w:div w:id="1175223316">
      <w:bodyDiv w:val="1"/>
      <w:marLeft w:val="0"/>
      <w:marRight w:val="0"/>
      <w:marTop w:val="0"/>
      <w:marBottom w:val="0"/>
      <w:divBdr>
        <w:top w:val="none" w:sz="0" w:space="0" w:color="auto"/>
        <w:left w:val="none" w:sz="0" w:space="0" w:color="auto"/>
        <w:bottom w:val="none" w:sz="0" w:space="0" w:color="auto"/>
        <w:right w:val="none" w:sz="0" w:space="0" w:color="auto"/>
      </w:divBdr>
    </w:div>
    <w:div w:id="1175417920">
      <w:bodyDiv w:val="1"/>
      <w:marLeft w:val="0"/>
      <w:marRight w:val="0"/>
      <w:marTop w:val="0"/>
      <w:marBottom w:val="0"/>
      <w:divBdr>
        <w:top w:val="none" w:sz="0" w:space="0" w:color="auto"/>
        <w:left w:val="none" w:sz="0" w:space="0" w:color="auto"/>
        <w:bottom w:val="none" w:sz="0" w:space="0" w:color="auto"/>
        <w:right w:val="none" w:sz="0" w:space="0" w:color="auto"/>
      </w:divBdr>
    </w:div>
    <w:div w:id="1185362286">
      <w:bodyDiv w:val="1"/>
      <w:marLeft w:val="0"/>
      <w:marRight w:val="0"/>
      <w:marTop w:val="0"/>
      <w:marBottom w:val="0"/>
      <w:divBdr>
        <w:top w:val="none" w:sz="0" w:space="0" w:color="auto"/>
        <w:left w:val="none" w:sz="0" w:space="0" w:color="auto"/>
        <w:bottom w:val="none" w:sz="0" w:space="0" w:color="auto"/>
        <w:right w:val="none" w:sz="0" w:space="0" w:color="auto"/>
      </w:divBdr>
    </w:div>
    <w:div w:id="1192038599">
      <w:bodyDiv w:val="1"/>
      <w:marLeft w:val="0"/>
      <w:marRight w:val="0"/>
      <w:marTop w:val="0"/>
      <w:marBottom w:val="0"/>
      <w:divBdr>
        <w:top w:val="none" w:sz="0" w:space="0" w:color="auto"/>
        <w:left w:val="none" w:sz="0" w:space="0" w:color="auto"/>
        <w:bottom w:val="none" w:sz="0" w:space="0" w:color="auto"/>
        <w:right w:val="none" w:sz="0" w:space="0" w:color="auto"/>
      </w:divBdr>
      <w:divsChild>
        <w:div w:id="928463501">
          <w:marLeft w:val="0"/>
          <w:marRight w:val="0"/>
          <w:marTop w:val="0"/>
          <w:marBottom w:val="0"/>
          <w:divBdr>
            <w:top w:val="none" w:sz="0" w:space="0" w:color="auto"/>
            <w:left w:val="none" w:sz="0" w:space="0" w:color="auto"/>
            <w:bottom w:val="none" w:sz="0" w:space="0" w:color="auto"/>
            <w:right w:val="none" w:sz="0" w:space="0" w:color="auto"/>
          </w:divBdr>
          <w:divsChild>
            <w:div w:id="1016032558">
              <w:marLeft w:val="0"/>
              <w:marRight w:val="0"/>
              <w:marTop w:val="0"/>
              <w:marBottom w:val="0"/>
              <w:divBdr>
                <w:top w:val="none" w:sz="0" w:space="0" w:color="auto"/>
                <w:left w:val="none" w:sz="0" w:space="0" w:color="auto"/>
                <w:bottom w:val="none" w:sz="0" w:space="0" w:color="auto"/>
                <w:right w:val="none" w:sz="0" w:space="0" w:color="auto"/>
              </w:divBdr>
              <w:divsChild>
                <w:div w:id="903832274">
                  <w:marLeft w:val="0"/>
                  <w:marRight w:val="0"/>
                  <w:marTop w:val="0"/>
                  <w:marBottom w:val="0"/>
                  <w:divBdr>
                    <w:top w:val="none" w:sz="0" w:space="0" w:color="auto"/>
                    <w:left w:val="none" w:sz="0" w:space="0" w:color="auto"/>
                    <w:bottom w:val="none" w:sz="0" w:space="0" w:color="auto"/>
                    <w:right w:val="none" w:sz="0" w:space="0" w:color="auto"/>
                  </w:divBdr>
                  <w:divsChild>
                    <w:div w:id="1849250243">
                      <w:marLeft w:val="0"/>
                      <w:marRight w:val="0"/>
                      <w:marTop w:val="0"/>
                      <w:marBottom w:val="0"/>
                      <w:divBdr>
                        <w:top w:val="none" w:sz="0" w:space="0" w:color="auto"/>
                        <w:left w:val="none" w:sz="0" w:space="0" w:color="auto"/>
                        <w:bottom w:val="none" w:sz="0" w:space="0" w:color="auto"/>
                        <w:right w:val="none" w:sz="0" w:space="0" w:color="auto"/>
                      </w:divBdr>
                      <w:divsChild>
                        <w:div w:id="1459645323">
                          <w:marLeft w:val="0"/>
                          <w:marRight w:val="0"/>
                          <w:marTop w:val="0"/>
                          <w:marBottom w:val="0"/>
                          <w:divBdr>
                            <w:top w:val="none" w:sz="0" w:space="0" w:color="auto"/>
                            <w:left w:val="none" w:sz="0" w:space="0" w:color="auto"/>
                            <w:bottom w:val="none" w:sz="0" w:space="0" w:color="auto"/>
                            <w:right w:val="none" w:sz="0" w:space="0" w:color="auto"/>
                          </w:divBdr>
                          <w:divsChild>
                            <w:div w:id="1157451520">
                              <w:marLeft w:val="0"/>
                              <w:marRight w:val="0"/>
                              <w:marTop w:val="0"/>
                              <w:marBottom w:val="0"/>
                              <w:divBdr>
                                <w:top w:val="none" w:sz="0" w:space="0" w:color="auto"/>
                                <w:left w:val="none" w:sz="0" w:space="0" w:color="auto"/>
                                <w:bottom w:val="none" w:sz="0" w:space="0" w:color="auto"/>
                                <w:right w:val="none" w:sz="0" w:space="0" w:color="auto"/>
                              </w:divBdr>
                              <w:divsChild>
                                <w:div w:id="656149059">
                                  <w:marLeft w:val="0"/>
                                  <w:marRight w:val="0"/>
                                  <w:marTop w:val="0"/>
                                  <w:marBottom w:val="0"/>
                                  <w:divBdr>
                                    <w:top w:val="none" w:sz="0" w:space="0" w:color="auto"/>
                                    <w:left w:val="none" w:sz="0" w:space="0" w:color="auto"/>
                                    <w:bottom w:val="none" w:sz="0" w:space="0" w:color="auto"/>
                                    <w:right w:val="none" w:sz="0" w:space="0" w:color="auto"/>
                                  </w:divBdr>
                                  <w:divsChild>
                                    <w:div w:id="2387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2403357">
      <w:bodyDiv w:val="1"/>
      <w:marLeft w:val="0"/>
      <w:marRight w:val="0"/>
      <w:marTop w:val="0"/>
      <w:marBottom w:val="0"/>
      <w:divBdr>
        <w:top w:val="none" w:sz="0" w:space="0" w:color="auto"/>
        <w:left w:val="none" w:sz="0" w:space="0" w:color="auto"/>
        <w:bottom w:val="none" w:sz="0" w:space="0" w:color="auto"/>
        <w:right w:val="none" w:sz="0" w:space="0" w:color="auto"/>
      </w:divBdr>
      <w:divsChild>
        <w:div w:id="1368987701">
          <w:marLeft w:val="0"/>
          <w:marRight w:val="0"/>
          <w:marTop w:val="0"/>
          <w:marBottom w:val="0"/>
          <w:divBdr>
            <w:top w:val="none" w:sz="0" w:space="0" w:color="auto"/>
            <w:left w:val="none" w:sz="0" w:space="0" w:color="auto"/>
            <w:bottom w:val="none" w:sz="0" w:space="0" w:color="auto"/>
            <w:right w:val="none" w:sz="0" w:space="0" w:color="auto"/>
          </w:divBdr>
          <w:divsChild>
            <w:div w:id="328674432">
              <w:marLeft w:val="0"/>
              <w:marRight w:val="0"/>
              <w:marTop w:val="0"/>
              <w:marBottom w:val="0"/>
              <w:divBdr>
                <w:top w:val="none" w:sz="0" w:space="0" w:color="auto"/>
                <w:left w:val="none" w:sz="0" w:space="0" w:color="auto"/>
                <w:bottom w:val="none" w:sz="0" w:space="0" w:color="auto"/>
                <w:right w:val="none" w:sz="0" w:space="0" w:color="auto"/>
              </w:divBdr>
            </w:div>
            <w:div w:id="1737703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750266">
      <w:bodyDiv w:val="1"/>
      <w:marLeft w:val="0"/>
      <w:marRight w:val="0"/>
      <w:marTop w:val="0"/>
      <w:marBottom w:val="0"/>
      <w:divBdr>
        <w:top w:val="none" w:sz="0" w:space="0" w:color="auto"/>
        <w:left w:val="none" w:sz="0" w:space="0" w:color="auto"/>
        <w:bottom w:val="none" w:sz="0" w:space="0" w:color="auto"/>
        <w:right w:val="none" w:sz="0" w:space="0" w:color="auto"/>
      </w:divBdr>
      <w:divsChild>
        <w:div w:id="100076413">
          <w:marLeft w:val="0"/>
          <w:marRight w:val="0"/>
          <w:marTop w:val="0"/>
          <w:marBottom w:val="0"/>
          <w:divBdr>
            <w:top w:val="none" w:sz="0" w:space="0" w:color="auto"/>
            <w:left w:val="none" w:sz="0" w:space="0" w:color="auto"/>
            <w:bottom w:val="none" w:sz="0" w:space="0" w:color="auto"/>
            <w:right w:val="none" w:sz="0" w:space="0" w:color="auto"/>
          </w:divBdr>
          <w:divsChild>
            <w:div w:id="613293498">
              <w:marLeft w:val="0"/>
              <w:marRight w:val="0"/>
              <w:marTop w:val="0"/>
              <w:marBottom w:val="0"/>
              <w:divBdr>
                <w:top w:val="none" w:sz="0" w:space="0" w:color="auto"/>
                <w:left w:val="none" w:sz="0" w:space="0" w:color="auto"/>
                <w:bottom w:val="none" w:sz="0" w:space="0" w:color="auto"/>
                <w:right w:val="none" w:sz="0" w:space="0" w:color="auto"/>
              </w:divBdr>
            </w:div>
            <w:div w:id="735589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494672">
      <w:bodyDiv w:val="1"/>
      <w:marLeft w:val="0"/>
      <w:marRight w:val="0"/>
      <w:marTop w:val="0"/>
      <w:marBottom w:val="0"/>
      <w:divBdr>
        <w:top w:val="none" w:sz="0" w:space="0" w:color="auto"/>
        <w:left w:val="none" w:sz="0" w:space="0" w:color="auto"/>
        <w:bottom w:val="none" w:sz="0" w:space="0" w:color="auto"/>
        <w:right w:val="none" w:sz="0" w:space="0" w:color="auto"/>
      </w:divBdr>
    </w:div>
    <w:div w:id="1230657439">
      <w:bodyDiv w:val="1"/>
      <w:marLeft w:val="0"/>
      <w:marRight w:val="0"/>
      <w:marTop w:val="0"/>
      <w:marBottom w:val="0"/>
      <w:divBdr>
        <w:top w:val="none" w:sz="0" w:space="0" w:color="auto"/>
        <w:left w:val="none" w:sz="0" w:space="0" w:color="auto"/>
        <w:bottom w:val="none" w:sz="0" w:space="0" w:color="auto"/>
        <w:right w:val="none" w:sz="0" w:space="0" w:color="auto"/>
      </w:divBdr>
    </w:div>
    <w:div w:id="1233393974">
      <w:bodyDiv w:val="1"/>
      <w:marLeft w:val="0"/>
      <w:marRight w:val="0"/>
      <w:marTop w:val="0"/>
      <w:marBottom w:val="0"/>
      <w:divBdr>
        <w:top w:val="none" w:sz="0" w:space="0" w:color="auto"/>
        <w:left w:val="none" w:sz="0" w:space="0" w:color="auto"/>
        <w:bottom w:val="none" w:sz="0" w:space="0" w:color="auto"/>
        <w:right w:val="none" w:sz="0" w:space="0" w:color="auto"/>
      </w:divBdr>
    </w:div>
    <w:div w:id="1236009147">
      <w:bodyDiv w:val="1"/>
      <w:marLeft w:val="0"/>
      <w:marRight w:val="0"/>
      <w:marTop w:val="0"/>
      <w:marBottom w:val="0"/>
      <w:divBdr>
        <w:top w:val="none" w:sz="0" w:space="0" w:color="auto"/>
        <w:left w:val="none" w:sz="0" w:space="0" w:color="auto"/>
        <w:bottom w:val="none" w:sz="0" w:space="0" w:color="auto"/>
        <w:right w:val="none" w:sz="0" w:space="0" w:color="auto"/>
      </w:divBdr>
    </w:div>
    <w:div w:id="1266382498">
      <w:bodyDiv w:val="1"/>
      <w:marLeft w:val="0"/>
      <w:marRight w:val="0"/>
      <w:marTop w:val="0"/>
      <w:marBottom w:val="0"/>
      <w:divBdr>
        <w:top w:val="none" w:sz="0" w:space="0" w:color="auto"/>
        <w:left w:val="none" w:sz="0" w:space="0" w:color="auto"/>
        <w:bottom w:val="none" w:sz="0" w:space="0" w:color="auto"/>
        <w:right w:val="none" w:sz="0" w:space="0" w:color="auto"/>
      </w:divBdr>
    </w:div>
    <w:div w:id="1271744636">
      <w:bodyDiv w:val="1"/>
      <w:marLeft w:val="0"/>
      <w:marRight w:val="0"/>
      <w:marTop w:val="0"/>
      <w:marBottom w:val="0"/>
      <w:divBdr>
        <w:top w:val="none" w:sz="0" w:space="0" w:color="auto"/>
        <w:left w:val="none" w:sz="0" w:space="0" w:color="auto"/>
        <w:bottom w:val="none" w:sz="0" w:space="0" w:color="auto"/>
        <w:right w:val="none" w:sz="0" w:space="0" w:color="auto"/>
      </w:divBdr>
    </w:div>
    <w:div w:id="1276905411">
      <w:bodyDiv w:val="1"/>
      <w:marLeft w:val="0"/>
      <w:marRight w:val="0"/>
      <w:marTop w:val="0"/>
      <w:marBottom w:val="0"/>
      <w:divBdr>
        <w:top w:val="none" w:sz="0" w:space="0" w:color="auto"/>
        <w:left w:val="none" w:sz="0" w:space="0" w:color="auto"/>
        <w:bottom w:val="none" w:sz="0" w:space="0" w:color="auto"/>
        <w:right w:val="none" w:sz="0" w:space="0" w:color="auto"/>
      </w:divBdr>
    </w:div>
    <w:div w:id="1299066301">
      <w:bodyDiv w:val="1"/>
      <w:marLeft w:val="0"/>
      <w:marRight w:val="0"/>
      <w:marTop w:val="0"/>
      <w:marBottom w:val="0"/>
      <w:divBdr>
        <w:top w:val="none" w:sz="0" w:space="0" w:color="auto"/>
        <w:left w:val="none" w:sz="0" w:space="0" w:color="auto"/>
        <w:bottom w:val="none" w:sz="0" w:space="0" w:color="auto"/>
        <w:right w:val="none" w:sz="0" w:space="0" w:color="auto"/>
      </w:divBdr>
    </w:div>
    <w:div w:id="1299215380">
      <w:bodyDiv w:val="1"/>
      <w:marLeft w:val="0"/>
      <w:marRight w:val="0"/>
      <w:marTop w:val="0"/>
      <w:marBottom w:val="0"/>
      <w:divBdr>
        <w:top w:val="none" w:sz="0" w:space="0" w:color="auto"/>
        <w:left w:val="none" w:sz="0" w:space="0" w:color="auto"/>
        <w:bottom w:val="none" w:sz="0" w:space="0" w:color="auto"/>
        <w:right w:val="none" w:sz="0" w:space="0" w:color="auto"/>
      </w:divBdr>
    </w:div>
    <w:div w:id="1309288553">
      <w:bodyDiv w:val="1"/>
      <w:marLeft w:val="0"/>
      <w:marRight w:val="0"/>
      <w:marTop w:val="0"/>
      <w:marBottom w:val="0"/>
      <w:divBdr>
        <w:top w:val="none" w:sz="0" w:space="0" w:color="auto"/>
        <w:left w:val="none" w:sz="0" w:space="0" w:color="auto"/>
        <w:bottom w:val="none" w:sz="0" w:space="0" w:color="auto"/>
        <w:right w:val="none" w:sz="0" w:space="0" w:color="auto"/>
      </w:divBdr>
    </w:div>
    <w:div w:id="1315530082">
      <w:bodyDiv w:val="1"/>
      <w:marLeft w:val="0"/>
      <w:marRight w:val="0"/>
      <w:marTop w:val="0"/>
      <w:marBottom w:val="0"/>
      <w:divBdr>
        <w:top w:val="none" w:sz="0" w:space="0" w:color="auto"/>
        <w:left w:val="none" w:sz="0" w:space="0" w:color="auto"/>
        <w:bottom w:val="none" w:sz="0" w:space="0" w:color="auto"/>
        <w:right w:val="none" w:sz="0" w:space="0" w:color="auto"/>
      </w:divBdr>
    </w:div>
    <w:div w:id="1322541543">
      <w:bodyDiv w:val="1"/>
      <w:marLeft w:val="0"/>
      <w:marRight w:val="0"/>
      <w:marTop w:val="0"/>
      <w:marBottom w:val="0"/>
      <w:divBdr>
        <w:top w:val="none" w:sz="0" w:space="0" w:color="auto"/>
        <w:left w:val="none" w:sz="0" w:space="0" w:color="auto"/>
        <w:bottom w:val="none" w:sz="0" w:space="0" w:color="auto"/>
        <w:right w:val="none" w:sz="0" w:space="0" w:color="auto"/>
      </w:divBdr>
    </w:div>
    <w:div w:id="1326592406">
      <w:bodyDiv w:val="1"/>
      <w:marLeft w:val="0"/>
      <w:marRight w:val="0"/>
      <w:marTop w:val="0"/>
      <w:marBottom w:val="0"/>
      <w:divBdr>
        <w:top w:val="none" w:sz="0" w:space="0" w:color="auto"/>
        <w:left w:val="none" w:sz="0" w:space="0" w:color="auto"/>
        <w:bottom w:val="none" w:sz="0" w:space="0" w:color="auto"/>
        <w:right w:val="none" w:sz="0" w:space="0" w:color="auto"/>
      </w:divBdr>
      <w:divsChild>
        <w:div w:id="1911764691">
          <w:marLeft w:val="0"/>
          <w:marRight w:val="0"/>
          <w:marTop w:val="0"/>
          <w:marBottom w:val="0"/>
          <w:divBdr>
            <w:top w:val="none" w:sz="0" w:space="0" w:color="auto"/>
            <w:left w:val="none" w:sz="0" w:space="0" w:color="auto"/>
            <w:bottom w:val="none" w:sz="0" w:space="0" w:color="auto"/>
            <w:right w:val="none" w:sz="0" w:space="0" w:color="auto"/>
          </w:divBdr>
          <w:divsChild>
            <w:div w:id="951131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583705">
      <w:bodyDiv w:val="1"/>
      <w:marLeft w:val="0"/>
      <w:marRight w:val="0"/>
      <w:marTop w:val="0"/>
      <w:marBottom w:val="0"/>
      <w:divBdr>
        <w:top w:val="none" w:sz="0" w:space="0" w:color="auto"/>
        <w:left w:val="none" w:sz="0" w:space="0" w:color="auto"/>
        <w:bottom w:val="none" w:sz="0" w:space="0" w:color="auto"/>
        <w:right w:val="none" w:sz="0" w:space="0" w:color="auto"/>
      </w:divBdr>
      <w:divsChild>
        <w:div w:id="554314253">
          <w:marLeft w:val="0"/>
          <w:marRight w:val="0"/>
          <w:marTop w:val="0"/>
          <w:marBottom w:val="0"/>
          <w:divBdr>
            <w:top w:val="none" w:sz="0" w:space="0" w:color="auto"/>
            <w:left w:val="none" w:sz="0" w:space="0" w:color="auto"/>
            <w:bottom w:val="none" w:sz="0" w:space="0" w:color="auto"/>
            <w:right w:val="none" w:sz="0" w:space="0" w:color="auto"/>
          </w:divBdr>
          <w:divsChild>
            <w:div w:id="556892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227379">
      <w:bodyDiv w:val="1"/>
      <w:marLeft w:val="0"/>
      <w:marRight w:val="0"/>
      <w:marTop w:val="0"/>
      <w:marBottom w:val="0"/>
      <w:divBdr>
        <w:top w:val="none" w:sz="0" w:space="0" w:color="auto"/>
        <w:left w:val="none" w:sz="0" w:space="0" w:color="auto"/>
        <w:bottom w:val="none" w:sz="0" w:space="0" w:color="auto"/>
        <w:right w:val="none" w:sz="0" w:space="0" w:color="auto"/>
      </w:divBdr>
    </w:div>
    <w:div w:id="1379277987">
      <w:bodyDiv w:val="1"/>
      <w:marLeft w:val="0"/>
      <w:marRight w:val="0"/>
      <w:marTop w:val="0"/>
      <w:marBottom w:val="0"/>
      <w:divBdr>
        <w:top w:val="none" w:sz="0" w:space="0" w:color="auto"/>
        <w:left w:val="none" w:sz="0" w:space="0" w:color="auto"/>
        <w:bottom w:val="none" w:sz="0" w:space="0" w:color="auto"/>
        <w:right w:val="none" w:sz="0" w:space="0" w:color="auto"/>
      </w:divBdr>
    </w:div>
    <w:div w:id="1379433009">
      <w:bodyDiv w:val="1"/>
      <w:marLeft w:val="0"/>
      <w:marRight w:val="0"/>
      <w:marTop w:val="0"/>
      <w:marBottom w:val="0"/>
      <w:divBdr>
        <w:top w:val="none" w:sz="0" w:space="0" w:color="auto"/>
        <w:left w:val="none" w:sz="0" w:space="0" w:color="auto"/>
        <w:bottom w:val="none" w:sz="0" w:space="0" w:color="auto"/>
        <w:right w:val="none" w:sz="0" w:space="0" w:color="auto"/>
      </w:divBdr>
    </w:div>
    <w:div w:id="1409034935">
      <w:bodyDiv w:val="1"/>
      <w:marLeft w:val="0"/>
      <w:marRight w:val="0"/>
      <w:marTop w:val="0"/>
      <w:marBottom w:val="0"/>
      <w:divBdr>
        <w:top w:val="none" w:sz="0" w:space="0" w:color="auto"/>
        <w:left w:val="none" w:sz="0" w:space="0" w:color="auto"/>
        <w:bottom w:val="none" w:sz="0" w:space="0" w:color="auto"/>
        <w:right w:val="none" w:sz="0" w:space="0" w:color="auto"/>
      </w:divBdr>
      <w:divsChild>
        <w:div w:id="177430644">
          <w:marLeft w:val="0"/>
          <w:marRight w:val="0"/>
          <w:marTop w:val="0"/>
          <w:marBottom w:val="0"/>
          <w:divBdr>
            <w:top w:val="none" w:sz="0" w:space="0" w:color="auto"/>
            <w:left w:val="none" w:sz="0" w:space="0" w:color="auto"/>
            <w:bottom w:val="none" w:sz="0" w:space="0" w:color="auto"/>
            <w:right w:val="none" w:sz="0" w:space="0" w:color="auto"/>
          </w:divBdr>
          <w:divsChild>
            <w:div w:id="337974320">
              <w:marLeft w:val="0"/>
              <w:marRight w:val="0"/>
              <w:marTop w:val="0"/>
              <w:marBottom w:val="0"/>
              <w:divBdr>
                <w:top w:val="none" w:sz="0" w:space="0" w:color="auto"/>
                <w:left w:val="none" w:sz="0" w:space="0" w:color="auto"/>
                <w:bottom w:val="none" w:sz="0" w:space="0" w:color="auto"/>
                <w:right w:val="none" w:sz="0" w:space="0" w:color="auto"/>
              </w:divBdr>
              <w:divsChild>
                <w:div w:id="301160014">
                  <w:marLeft w:val="0"/>
                  <w:marRight w:val="0"/>
                  <w:marTop w:val="0"/>
                  <w:marBottom w:val="0"/>
                  <w:divBdr>
                    <w:top w:val="none" w:sz="0" w:space="0" w:color="auto"/>
                    <w:left w:val="none" w:sz="0" w:space="0" w:color="auto"/>
                    <w:bottom w:val="none" w:sz="0" w:space="0" w:color="auto"/>
                    <w:right w:val="none" w:sz="0" w:space="0" w:color="auto"/>
                  </w:divBdr>
                  <w:divsChild>
                    <w:div w:id="1532300533">
                      <w:marLeft w:val="0"/>
                      <w:marRight w:val="0"/>
                      <w:marTop w:val="0"/>
                      <w:marBottom w:val="0"/>
                      <w:divBdr>
                        <w:top w:val="none" w:sz="0" w:space="0" w:color="auto"/>
                        <w:left w:val="none" w:sz="0" w:space="0" w:color="auto"/>
                        <w:bottom w:val="none" w:sz="0" w:space="0" w:color="auto"/>
                        <w:right w:val="none" w:sz="0" w:space="0" w:color="auto"/>
                      </w:divBdr>
                      <w:divsChild>
                        <w:div w:id="801464759">
                          <w:marLeft w:val="0"/>
                          <w:marRight w:val="0"/>
                          <w:marTop w:val="0"/>
                          <w:marBottom w:val="0"/>
                          <w:divBdr>
                            <w:top w:val="none" w:sz="0" w:space="0" w:color="auto"/>
                            <w:left w:val="none" w:sz="0" w:space="0" w:color="auto"/>
                            <w:bottom w:val="none" w:sz="0" w:space="0" w:color="auto"/>
                            <w:right w:val="none" w:sz="0" w:space="0" w:color="auto"/>
                          </w:divBdr>
                          <w:divsChild>
                            <w:div w:id="309141060">
                              <w:marLeft w:val="0"/>
                              <w:marRight w:val="0"/>
                              <w:marTop w:val="0"/>
                              <w:marBottom w:val="0"/>
                              <w:divBdr>
                                <w:top w:val="none" w:sz="0" w:space="0" w:color="auto"/>
                                <w:left w:val="none" w:sz="0" w:space="0" w:color="auto"/>
                                <w:bottom w:val="none" w:sz="0" w:space="0" w:color="auto"/>
                                <w:right w:val="none" w:sz="0" w:space="0" w:color="auto"/>
                              </w:divBdr>
                              <w:divsChild>
                                <w:div w:id="1224564416">
                                  <w:marLeft w:val="0"/>
                                  <w:marRight w:val="0"/>
                                  <w:marTop w:val="0"/>
                                  <w:marBottom w:val="0"/>
                                  <w:divBdr>
                                    <w:top w:val="none" w:sz="0" w:space="0" w:color="auto"/>
                                    <w:left w:val="none" w:sz="0" w:space="0" w:color="auto"/>
                                    <w:bottom w:val="none" w:sz="0" w:space="0" w:color="auto"/>
                                    <w:right w:val="none" w:sz="0" w:space="0" w:color="auto"/>
                                  </w:divBdr>
                                  <w:divsChild>
                                    <w:div w:id="1174421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0154538">
      <w:bodyDiv w:val="1"/>
      <w:marLeft w:val="0"/>
      <w:marRight w:val="0"/>
      <w:marTop w:val="0"/>
      <w:marBottom w:val="0"/>
      <w:divBdr>
        <w:top w:val="none" w:sz="0" w:space="0" w:color="auto"/>
        <w:left w:val="none" w:sz="0" w:space="0" w:color="auto"/>
        <w:bottom w:val="none" w:sz="0" w:space="0" w:color="auto"/>
        <w:right w:val="none" w:sz="0" w:space="0" w:color="auto"/>
      </w:divBdr>
    </w:div>
    <w:div w:id="1410349116">
      <w:bodyDiv w:val="1"/>
      <w:marLeft w:val="0"/>
      <w:marRight w:val="0"/>
      <w:marTop w:val="0"/>
      <w:marBottom w:val="0"/>
      <w:divBdr>
        <w:top w:val="none" w:sz="0" w:space="0" w:color="auto"/>
        <w:left w:val="none" w:sz="0" w:space="0" w:color="auto"/>
        <w:bottom w:val="none" w:sz="0" w:space="0" w:color="auto"/>
        <w:right w:val="none" w:sz="0" w:space="0" w:color="auto"/>
      </w:divBdr>
    </w:div>
    <w:div w:id="1411464976">
      <w:bodyDiv w:val="1"/>
      <w:marLeft w:val="0"/>
      <w:marRight w:val="0"/>
      <w:marTop w:val="0"/>
      <w:marBottom w:val="0"/>
      <w:divBdr>
        <w:top w:val="none" w:sz="0" w:space="0" w:color="auto"/>
        <w:left w:val="none" w:sz="0" w:space="0" w:color="auto"/>
        <w:bottom w:val="none" w:sz="0" w:space="0" w:color="auto"/>
        <w:right w:val="none" w:sz="0" w:space="0" w:color="auto"/>
      </w:divBdr>
      <w:divsChild>
        <w:div w:id="270826257">
          <w:marLeft w:val="0"/>
          <w:marRight w:val="0"/>
          <w:marTop w:val="0"/>
          <w:marBottom w:val="0"/>
          <w:divBdr>
            <w:top w:val="none" w:sz="0" w:space="0" w:color="auto"/>
            <w:left w:val="none" w:sz="0" w:space="0" w:color="auto"/>
            <w:bottom w:val="none" w:sz="0" w:space="0" w:color="auto"/>
            <w:right w:val="none" w:sz="0" w:space="0" w:color="auto"/>
          </w:divBdr>
        </w:div>
        <w:div w:id="340358081">
          <w:marLeft w:val="0"/>
          <w:marRight w:val="0"/>
          <w:marTop w:val="0"/>
          <w:marBottom w:val="0"/>
          <w:divBdr>
            <w:top w:val="none" w:sz="0" w:space="0" w:color="auto"/>
            <w:left w:val="none" w:sz="0" w:space="0" w:color="auto"/>
            <w:bottom w:val="none" w:sz="0" w:space="0" w:color="auto"/>
            <w:right w:val="none" w:sz="0" w:space="0" w:color="auto"/>
          </w:divBdr>
        </w:div>
        <w:div w:id="642857254">
          <w:marLeft w:val="0"/>
          <w:marRight w:val="0"/>
          <w:marTop w:val="0"/>
          <w:marBottom w:val="0"/>
          <w:divBdr>
            <w:top w:val="none" w:sz="0" w:space="0" w:color="auto"/>
            <w:left w:val="none" w:sz="0" w:space="0" w:color="auto"/>
            <w:bottom w:val="none" w:sz="0" w:space="0" w:color="auto"/>
            <w:right w:val="none" w:sz="0" w:space="0" w:color="auto"/>
          </w:divBdr>
        </w:div>
        <w:div w:id="701056821">
          <w:marLeft w:val="0"/>
          <w:marRight w:val="0"/>
          <w:marTop w:val="0"/>
          <w:marBottom w:val="0"/>
          <w:divBdr>
            <w:top w:val="none" w:sz="0" w:space="0" w:color="auto"/>
            <w:left w:val="none" w:sz="0" w:space="0" w:color="auto"/>
            <w:bottom w:val="none" w:sz="0" w:space="0" w:color="auto"/>
            <w:right w:val="none" w:sz="0" w:space="0" w:color="auto"/>
          </w:divBdr>
        </w:div>
        <w:div w:id="857819548">
          <w:marLeft w:val="0"/>
          <w:marRight w:val="0"/>
          <w:marTop w:val="0"/>
          <w:marBottom w:val="0"/>
          <w:divBdr>
            <w:top w:val="none" w:sz="0" w:space="0" w:color="auto"/>
            <w:left w:val="none" w:sz="0" w:space="0" w:color="auto"/>
            <w:bottom w:val="none" w:sz="0" w:space="0" w:color="auto"/>
            <w:right w:val="none" w:sz="0" w:space="0" w:color="auto"/>
          </w:divBdr>
        </w:div>
        <w:div w:id="1546061625">
          <w:marLeft w:val="0"/>
          <w:marRight w:val="0"/>
          <w:marTop w:val="0"/>
          <w:marBottom w:val="0"/>
          <w:divBdr>
            <w:top w:val="none" w:sz="0" w:space="0" w:color="auto"/>
            <w:left w:val="none" w:sz="0" w:space="0" w:color="auto"/>
            <w:bottom w:val="none" w:sz="0" w:space="0" w:color="auto"/>
            <w:right w:val="none" w:sz="0" w:space="0" w:color="auto"/>
          </w:divBdr>
        </w:div>
        <w:div w:id="1641302812">
          <w:marLeft w:val="0"/>
          <w:marRight w:val="0"/>
          <w:marTop w:val="0"/>
          <w:marBottom w:val="0"/>
          <w:divBdr>
            <w:top w:val="none" w:sz="0" w:space="0" w:color="auto"/>
            <w:left w:val="none" w:sz="0" w:space="0" w:color="auto"/>
            <w:bottom w:val="none" w:sz="0" w:space="0" w:color="auto"/>
            <w:right w:val="none" w:sz="0" w:space="0" w:color="auto"/>
          </w:divBdr>
        </w:div>
        <w:div w:id="2058579507">
          <w:marLeft w:val="0"/>
          <w:marRight w:val="0"/>
          <w:marTop w:val="0"/>
          <w:marBottom w:val="0"/>
          <w:divBdr>
            <w:top w:val="none" w:sz="0" w:space="0" w:color="auto"/>
            <w:left w:val="none" w:sz="0" w:space="0" w:color="auto"/>
            <w:bottom w:val="none" w:sz="0" w:space="0" w:color="auto"/>
            <w:right w:val="none" w:sz="0" w:space="0" w:color="auto"/>
          </w:divBdr>
        </w:div>
      </w:divsChild>
    </w:div>
    <w:div w:id="1417937975">
      <w:bodyDiv w:val="1"/>
      <w:marLeft w:val="0"/>
      <w:marRight w:val="0"/>
      <w:marTop w:val="0"/>
      <w:marBottom w:val="0"/>
      <w:divBdr>
        <w:top w:val="none" w:sz="0" w:space="0" w:color="auto"/>
        <w:left w:val="none" w:sz="0" w:space="0" w:color="auto"/>
        <w:bottom w:val="none" w:sz="0" w:space="0" w:color="auto"/>
        <w:right w:val="none" w:sz="0" w:space="0" w:color="auto"/>
      </w:divBdr>
    </w:div>
    <w:div w:id="1418474822">
      <w:bodyDiv w:val="1"/>
      <w:marLeft w:val="0"/>
      <w:marRight w:val="0"/>
      <w:marTop w:val="0"/>
      <w:marBottom w:val="0"/>
      <w:divBdr>
        <w:top w:val="none" w:sz="0" w:space="0" w:color="auto"/>
        <w:left w:val="none" w:sz="0" w:space="0" w:color="auto"/>
        <w:bottom w:val="none" w:sz="0" w:space="0" w:color="auto"/>
        <w:right w:val="none" w:sz="0" w:space="0" w:color="auto"/>
      </w:divBdr>
    </w:div>
    <w:div w:id="1418554349">
      <w:bodyDiv w:val="1"/>
      <w:marLeft w:val="0"/>
      <w:marRight w:val="0"/>
      <w:marTop w:val="0"/>
      <w:marBottom w:val="0"/>
      <w:divBdr>
        <w:top w:val="none" w:sz="0" w:space="0" w:color="auto"/>
        <w:left w:val="none" w:sz="0" w:space="0" w:color="auto"/>
        <w:bottom w:val="none" w:sz="0" w:space="0" w:color="auto"/>
        <w:right w:val="none" w:sz="0" w:space="0" w:color="auto"/>
      </w:divBdr>
      <w:divsChild>
        <w:div w:id="2054309178">
          <w:marLeft w:val="0"/>
          <w:marRight w:val="0"/>
          <w:marTop w:val="0"/>
          <w:marBottom w:val="0"/>
          <w:divBdr>
            <w:top w:val="none" w:sz="0" w:space="0" w:color="auto"/>
            <w:left w:val="none" w:sz="0" w:space="0" w:color="auto"/>
            <w:bottom w:val="none" w:sz="0" w:space="0" w:color="auto"/>
            <w:right w:val="none" w:sz="0" w:space="0" w:color="auto"/>
          </w:divBdr>
          <w:divsChild>
            <w:div w:id="2083678058">
              <w:marLeft w:val="0"/>
              <w:marRight w:val="0"/>
              <w:marTop w:val="0"/>
              <w:marBottom w:val="0"/>
              <w:divBdr>
                <w:top w:val="none" w:sz="0" w:space="0" w:color="auto"/>
                <w:left w:val="none" w:sz="0" w:space="0" w:color="auto"/>
                <w:bottom w:val="none" w:sz="0" w:space="0" w:color="auto"/>
                <w:right w:val="none" w:sz="0" w:space="0" w:color="auto"/>
              </w:divBdr>
              <w:divsChild>
                <w:div w:id="1483232295">
                  <w:marLeft w:val="0"/>
                  <w:marRight w:val="0"/>
                  <w:marTop w:val="0"/>
                  <w:marBottom w:val="0"/>
                  <w:divBdr>
                    <w:top w:val="none" w:sz="0" w:space="0" w:color="auto"/>
                    <w:left w:val="none" w:sz="0" w:space="0" w:color="auto"/>
                    <w:bottom w:val="none" w:sz="0" w:space="0" w:color="auto"/>
                    <w:right w:val="none" w:sz="0" w:space="0" w:color="auto"/>
                  </w:divBdr>
                  <w:divsChild>
                    <w:div w:id="2087847068">
                      <w:marLeft w:val="0"/>
                      <w:marRight w:val="0"/>
                      <w:marTop w:val="0"/>
                      <w:marBottom w:val="0"/>
                      <w:divBdr>
                        <w:top w:val="none" w:sz="0" w:space="0" w:color="auto"/>
                        <w:left w:val="none" w:sz="0" w:space="0" w:color="auto"/>
                        <w:bottom w:val="none" w:sz="0" w:space="0" w:color="auto"/>
                        <w:right w:val="none" w:sz="0" w:space="0" w:color="auto"/>
                      </w:divBdr>
                      <w:divsChild>
                        <w:div w:id="789127293">
                          <w:marLeft w:val="0"/>
                          <w:marRight w:val="0"/>
                          <w:marTop w:val="0"/>
                          <w:marBottom w:val="0"/>
                          <w:divBdr>
                            <w:top w:val="none" w:sz="0" w:space="0" w:color="auto"/>
                            <w:left w:val="none" w:sz="0" w:space="0" w:color="auto"/>
                            <w:bottom w:val="none" w:sz="0" w:space="0" w:color="auto"/>
                            <w:right w:val="none" w:sz="0" w:space="0" w:color="auto"/>
                          </w:divBdr>
                          <w:divsChild>
                            <w:div w:id="1897354160">
                              <w:marLeft w:val="0"/>
                              <w:marRight w:val="0"/>
                              <w:marTop w:val="0"/>
                              <w:marBottom w:val="0"/>
                              <w:divBdr>
                                <w:top w:val="none" w:sz="0" w:space="0" w:color="auto"/>
                                <w:left w:val="none" w:sz="0" w:space="0" w:color="auto"/>
                                <w:bottom w:val="none" w:sz="0" w:space="0" w:color="auto"/>
                                <w:right w:val="none" w:sz="0" w:space="0" w:color="auto"/>
                              </w:divBdr>
                              <w:divsChild>
                                <w:div w:id="464785709">
                                  <w:marLeft w:val="0"/>
                                  <w:marRight w:val="0"/>
                                  <w:marTop w:val="0"/>
                                  <w:marBottom w:val="0"/>
                                  <w:divBdr>
                                    <w:top w:val="none" w:sz="0" w:space="0" w:color="auto"/>
                                    <w:left w:val="none" w:sz="0" w:space="0" w:color="auto"/>
                                    <w:bottom w:val="none" w:sz="0" w:space="0" w:color="auto"/>
                                    <w:right w:val="none" w:sz="0" w:space="0" w:color="auto"/>
                                  </w:divBdr>
                                  <w:divsChild>
                                    <w:div w:id="12512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20905377">
      <w:bodyDiv w:val="1"/>
      <w:marLeft w:val="0"/>
      <w:marRight w:val="0"/>
      <w:marTop w:val="0"/>
      <w:marBottom w:val="0"/>
      <w:divBdr>
        <w:top w:val="none" w:sz="0" w:space="0" w:color="auto"/>
        <w:left w:val="none" w:sz="0" w:space="0" w:color="auto"/>
        <w:bottom w:val="none" w:sz="0" w:space="0" w:color="auto"/>
        <w:right w:val="none" w:sz="0" w:space="0" w:color="auto"/>
      </w:divBdr>
    </w:div>
    <w:div w:id="1438872471">
      <w:bodyDiv w:val="1"/>
      <w:marLeft w:val="0"/>
      <w:marRight w:val="0"/>
      <w:marTop w:val="0"/>
      <w:marBottom w:val="0"/>
      <w:divBdr>
        <w:top w:val="none" w:sz="0" w:space="0" w:color="auto"/>
        <w:left w:val="none" w:sz="0" w:space="0" w:color="auto"/>
        <w:bottom w:val="none" w:sz="0" w:space="0" w:color="auto"/>
        <w:right w:val="none" w:sz="0" w:space="0" w:color="auto"/>
      </w:divBdr>
    </w:div>
    <w:div w:id="1439449766">
      <w:bodyDiv w:val="1"/>
      <w:marLeft w:val="0"/>
      <w:marRight w:val="0"/>
      <w:marTop w:val="0"/>
      <w:marBottom w:val="0"/>
      <w:divBdr>
        <w:top w:val="none" w:sz="0" w:space="0" w:color="auto"/>
        <w:left w:val="none" w:sz="0" w:space="0" w:color="auto"/>
        <w:bottom w:val="none" w:sz="0" w:space="0" w:color="auto"/>
        <w:right w:val="none" w:sz="0" w:space="0" w:color="auto"/>
      </w:divBdr>
    </w:div>
    <w:div w:id="1443265483">
      <w:bodyDiv w:val="1"/>
      <w:marLeft w:val="0"/>
      <w:marRight w:val="0"/>
      <w:marTop w:val="0"/>
      <w:marBottom w:val="0"/>
      <w:divBdr>
        <w:top w:val="none" w:sz="0" w:space="0" w:color="auto"/>
        <w:left w:val="none" w:sz="0" w:space="0" w:color="auto"/>
        <w:bottom w:val="none" w:sz="0" w:space="0" w:color="auto"/>
        <w:right w:val="none" w:sz="0" w:space="0" w:color="auto"/>
      </w:divBdr>
      <w:divsChild>
        <w:div w:id="214321565">
          <w:marLeft w:val="0"/>
          <w:marRight w:val="0"/>
          <w:marTop w:val="0"/>
          <w:marBottom w:val="0"/>
          <w:divBdr>
            <w:top w:val="none" w:sz="0" w:space="0" w:color="auto"/>
            <w:left w:val="none" w:sz="0" w:space="0" w:color="auto"/>
            <w:bottom w:val="none" w:sz="0" w:space="0" w:color="auto"/>
            <w:right w:val="none" w:sz="0" w:space="0" w:color="auto"/>
          </w:divBdr>
          <w:divsChild>
            <w:div w:id="854660234">
              <w:marLeft w:val="-225"/>
              <w:marRight w:val="-225"/>
              <w:marTop w:val="0"/>
              <w:marBottom w:val="0"/>
              <w:divBdr>
                <w:top w:val="none" w:sz="0" w:space="0" w:color="auto"/>
                <w:left w:val="none" w:sz="0" w:space="0" w:color="auto"/>
                <w:bottom w:val="none" w:sz="0" w:space="0" w:color="auto"/>
                <w:right w:val="none" w:sz="0" w:space="0" w:color="auto"/>
              </w:divBdr>
              <w:divsChild>
                <w:div w:id="164131963">
                  <w:marLeft w:val="0"/>
                  <w:marRight w:val="0"/>
                  <w:marTop w:val="0"/>
                  <w:marBottom w:val="0"/>
                  <w:divBdr>
                    <w:top w:val="none" w:sz="0" w:space="0" w:color="auto"/>
                    <w:left w:val="none" w:sz="0" w:space="0" w:color="auto"/>
                    <w:bottom w:val="none" w:sz="0" w:space="0" w:color="auto"/>
                    <w:right w:val="none" w:sz="0" w:space="0" w:color="auto"/>
                  </w:divBdr>
                  <w:divsChild>
                    <w:div w:id="376243894">
                      <w:marLeft w:val="0"/>
                      <w:marRight w:val="0"/>
                      <w:marTop w:val="0"/>
                      <w:marBottom w:val="0"/>
                      <w:divBdr>
                        <w:top w:val="none" w:sz="0" w:space="0" w:color="auto"/>
                        <w:left w:val="none" w:sz="0" w:space="0" w:color="auto"/>
                        <w:bottom w:val="none" w:sz="0" w:space="0" w:color="auto"/>
                        <w:right w:val="none" w:sz="0" w:space="0" w:color="auto"/>
                      </w:divBdr>
                      <w:divsChild>
                        <w:div w:id="1326781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020332">
      <w:bodyDiv w:val="1"/>
      <w:marLeft w:val="0"/>
      <w:marRight w:val="0"/>
      <w:marTop w:val="0"/>
      <w:marBottom w:val="0"/>
      <w:divBdr>
        <w:top w:val="none" w:sz="0" w:space="0" w:color="auto"/>
        <w:left w:val="none" w:sz="0" w:space="0" w:color="auto"/>
        <w:bottom w:val="none" w:sz="0" w:space="0" w:color="auto"/>
        <w:right w:val="none" w:sz="0" w:space="0" w:color="auto"/>
      </w:divBdr>
    </w:div>
    <w:div w:id="1457602170">
      <w:bodyDiv w:val="1"/>
      <w:marLeft w:val="0"/>
      <w:marRight w:val="0"/>
      <w:marTop w:val="0"/>
      <w:marBottom w:val="0"/>
      <w:divBdr>
        <w:top w:val="none" w:sz="0" w:space="0" w:color="auto"/>
        <w:left w:val="none" w:sz="0" w:space="0" w:color="auto"/>
        <w:bottom w:val="none" w:sz="0" w:space="0" w:color="auto"/>
        <w:right w:val="none" w:sz="0" w:space="0" w:color="auto"/>
      </w:divBdr>
    </w:div>
    <w:div w:id="1461611208">
      <w:bodyDiv w:val="1"/>
      <w:marLeft w:val="0"/>
      <w:marRight w:val="0"/>
      <w:marTop w:val="0"/>
      <w:marBottom w:val="0"/>
      <w:divBdr>
        <w:top w:val="none" w:sz="0" w:space="0" w:color="auto"/>
        <w:left w:val="none" w:sz="0" w:space="0" w:color="auto"/>
        <w:bottom w:val="none" w:sz="0" w:space="0" w:color="auto"/>
        <w:right w:val="none" w:sz="0" w:space="0" w:color="auto"/>
      </w:divBdr>
    </w:div>
    <w:div w:id="1467771050">
      <w:bodyDiv w:val="1"/>
      <w:marLeft w:val="0"/>
      <w:marRight w:val="0"/>
      <w:marTop w:val="0"/>
      <w:marBottom w:val="0"/>
      <w:divBdr>
        <w:top w:val="none" w:sz="0" w:space="0" w:color="auto"/>
        <w:left w:val="none" w:sz="0" w:space="0" w:color="auto"/>
        <w:bottom w:val="none" w:sz="0" w:space="0" w:color="auto"/>
        <w:right w:val="none" w:sz="0" w:space="0" w:color="auto"/>
      </w:divBdr>
    </w:div>
    <w:div w:id="1473869523">
      <w:bodyDiv w:val="1"/>
      <w:marLeft w:val="0"/>
      <w:marRight w:val="0"/>
      <w:marTop w:val="0"/>
      <w:marBottom w:val="0"/>
      <w:divBdr>
        <w:top w:val="none" w:sz="0" w:space="0" w:color="auto"/>
        <w:left w:val="none" w:sz="0" w:space="0" w:color="auto"/>
        <w:bottom w:val="none" w:sz="0" w:space="0" w:color="auto"/>
        <w:right w:val="none" w:sz="0" w:space="0" w:color="auto"/>
      </w:divBdr>
    </w:div>
    <w:div w:id="1489324085">
      <w:bodyDiv w:val="1"/>
      <w:marLeft w:val="0"/>
      <w:marRight w:val="0"/>
      <w:marTop w:val="0"/>
      <w:marBottom w:val="0"/>
      <w:divBdr>
        <w:top w:val="none" w:sz="0" w:space="0" w:color="auto"/>
        <w:left w:val="none" w:sz="0" w:space="0" w:color="auto"/>
        <w:bottom w:val="none" w:sz="0" w:space="0" w:color="auto"/>
        <w:right w:val="none" w:sz="0" w:space="0" w:color="auto"/>
      </w:divBdr>
    </w:div>
    <w:div w:id="1509830596">
      <w:bodyDiv w:val="1"/>
      <w:marLeft w:val="0"/>
      <w:marRight w:val="0"/>
      <w:marTop w:val="0"/>
      <w:marBottom w:val="0"/>
      <w:divBdr>
        <w:top w:val="none" w:sz="0" w:space="0" w:color="auto"/>
        <w:left w:val="none" w:sz="0" w:space="0" w:color="auto"/>
        <w:bottom w:val="none" w:sz="0" w:space="0" w:color="auto"/>
        <w:right w:val="none" w:sz="0" w:space="0" w:color="auto"/>
      </w:divBdr>
    </w:div>
    <w:div w:id="1522891703">
      <w:bodyDiv w:val="1"/>
      <w:marLeft w:val="0"/>
      <w:marRight w:val="0"/>
      <w:marTop w:val="0"/>
      <w:marBottom w:val="0"/>
      <w:divBdr>
        <w:top w:val="none" w:sz="0" w:space="0" w:color="auto"/>
        <w:left w:val="none" w:sz="0" w:space="0" w:color="auto"/>
        <w:bottom w:val="none" w:sz="0" w:space="0" w:color="auto"/>
        <w:right w:val="none" w:sz="0" w:space="0" w:color="auto"/>
      </w:divBdr>
    </w:div>
    <w:div w:id="1531917445">
      <w:bodyDiv w:val="1"/>
      <w:marLeft w:val="0"/>
      <w:marRight w:val="0"/>
      <w:marTop w:val="0"/>
      <w:marBottom w:val="0"/>
      <w:divBdr>
        <w:top w:val="none" w:sz="0" w:space="0" w:color="auto"/>
        <w:left w:val="none" w:sz="0" w:space="0" w:color="auto"/>
        <w:bottom w:val="none" w:sz="0" w:space="0" w:color="auto"/>
        <w:right w:val="none" w:sz="0" w:space="0" w:color="auto"/>
      </w:divBdr>
      <w:divsChild>
        <w:div w:id="445731115">
          <w:marLeft w:val="547"/>
          <w:marRight w:val="0"/>
          <w:marTop w:val="240"/>
          <w:marBottom w:val="0"/>
          <w:divBdr>
            <w:top w:val="none" w:sz="0" w:space="0" w:color="auto"/>
            <w:left w:val="none" w:sz="0" w:space="0" w:color="auto"/>
            <w:bottom w:val="none" w:sz="0" w:space="0" w:color="auto"/>
            <w:right w:val="none" w:sz="0" w:space="0" w:color="auto"/>
          </w:divBdr>
        </w:div>
        <w:div w:id="648364491">
          <w:marLeft w:val="547"/>
          <w:marRight w:val="0"/>
          <w:marTop w:val="240"/>
          <w:marBottom w:val="0"/>
          <w:divBdr>
            <w:top w:val="none" w:sz="0" w:space="0" w:color="auto"/>
            <w:left w:val="none" w:sz="0" w:space="0" w:color="auto"/>
            <w:bottom w:val="none" w:sz="0" w:space="0" w:color="auto"/>
            <w:right w:val="none" w:sz="0" w:space="0" w:color="auto"/>
          </w:divBdr>
        </w:div>
        <w:div w:id="938216906">
          <w:marLeft w:val="547"/>
          <w:marRight w:val="0"/>
          <w:marTop w:val="240"/>
          <w:marBottom w:val="0"/>
          <w:divBdr>
            <w:top w:val="none" w:sz="0" w:space="0" w:color="auto"/>
            <w:left w:val="none" w:sz="0" w:space="0" w:color="auto"/>
            <w:bottom w:val="none" w:sz="0" w:space="0" w:color="auto"/>
            <w:right w:val="none" w:sz="0" w:space="0" w:color="auto"/>
          </w:divBdr>
        </w:div>
        <w:div w:id="1004043939">
          <w:marLeft w:val="547"/>
          <w:marRight w:val="0"/>
          <w:marTop w:val="240"/>
          <w:marBottom w:val="0"/>
          <w:divBdr>
            <w:top w:val="none" w:sz="0" w:space="0" w:color="auto"/>
            <w:left w:val="none" w:sz="0" w:space="0" w:color="auto"/>
            <w:bottom w:val="none" w:sz="0" w:space="0" w:color="auto"/>
            <w:right w:val="none" w:sz="0" w:space="0" w:color="auto"/>
          </w:divBdr>
        </w:div>
        <w:div w:id="1026516414">
          <w:marLeft w:val="547"/>
          <w:marRight w:val="0"/>
          <w:marTop w:val="240"/>
          <w:marBottom w:val="0"/>
          <w:divBdr>
            <w:top w:val="none" w:sz="0" w:space="0" w:color="auto"/>
            <w:left w:val="none" w:sz="0" w:space="0" w:color="auto"/>
            <w:bottom w:val="none" w:sz="0" w:space="0" w:color="auto"/>
            <w:right w:val="none" w:sz="0" w:space="0" w:color="auto"/>
          </w:divBdr>
        </w:div>
        <w:div w:id="1029449473">
          <w:marLeft w:val="547"/>
          <w:marRight w:val="0"/>
          <w:marTop w:val="240"/>
          <w:marBottom w:val="0"/>
          <w:divBdr>
            <w:top w:val="none" w:sz="0" w:space="0" w:color="auto"/>
            <w:left w:val="none" w:sz="0" w:space="0" w:color="auto"/>
            <w:bottom w:val="none" w:sz="0" w:space="0" w:color="auto"/>
            <w:right w:val="none" w:sz="0" w:space="0" w:color="auto"/>
          </w:divBdr>
        </w:div>
        <w:div w:id="1208880254">
          <w:marLeft w:val="547"/>
          <w:marRight w:val="0"/>
          <w:marTop w:val="240"/>
          <w:marBottom w:val="0"/>
          <w:divBdr>
            <w:top w:val="none" w:sz="0" w:space="0" w:color="auto"/>
            <w:left w:val="none" w:sz="0" w:space="0" w:color="auto"/>
            <w:bottom w:val="none" w:sz="0" w:space="0" w:color="auto"/>
            <w:right w:val="none" w:sz="0" w:space="0" w:color="auto"/>
          </w:divBdr>
        </w:div>
        <w:div w:id="1282878114">
          <w:marLeft w:val="547"/>
          <w:marRight w:val="0"/>
          <w:marTop w:val="240"/>
          <w:marBottom w:val="0"/>
          <w:divBdr>
            <w:top w:val="none" w:sz="0" w:space="0" w:color="auto"/>
            <w:left w:val="none" w:sz="0" w:space="0" w:color="auto"/>
            <w:bottom w:val="none" w:sz="0" w:space="0" w:color="auto"/>
            <w:right w:val="none" w:sz="0" w:space="0" w:color="auto"/>
          </w:divBdr>
        </w:div>
        <w:div w:id="1889023714">
          <w:marLeft w:val="547"/>
          <w:marRight w:val="0"/>
          <w:marTop w:val="240"/>
          <w:marBottom w:val="0"/>
          <w:divBdr>
            <w:top w:val="none" w:sz="0" w:space="0" w:color="auto"/>
            <w:left w:val="none" w:sz="0" w:space="0" w:color="auto"/>
            <w:bottom w:val="none" w:sz="0" w:space="0" w:color="auto"/>
            <w:right w:val="none" w:sz="0" w:space="0" w:color="auto"/>
          </w:divBdr>
        </w:div>
      </w:divsChild>
    </w:div>
    <w:div w:id="1534339769">
      <w:bodyDiv w:val="1"/>
      <w:marLeft w:val="0"/>
      <w:marRight w:val="0"/>
      <w:marTop w:val="0"/>
      <w:marBottom w:val="0"/>
      <w:divBdr>
        <w:top w:val="none" w:sz="0" w:space="0" w:color="auto"/>
        <w:left w:val="none" w:sz="0" w:space="0" w:color="auto"/>
        <w:bottom w:val="none" w:sz="0" w:space="0" w:color="auto"/>
        <w:right w:val="none" w:sz="0" w:space="0" w:color="auto"/>
      </w:divBdr>
      <w:divsChild>
        <w:div w:id="1609893384">
          <w:marLeft w:val="0"/>
          <w:marRight w:val="0"/>
          <w:marTop w:val="0"/>
          <w:marBottom w:val="0"/>
          <w:divBdr>
            <w:top w:val="none" w:sz="0" w:space="0" w:color="auto"/>
            <w:left w:val="none" w:sz="0" w:space="0" w:color="auto"/>
            <w:bottom w:val="none" w:sz="0" w:space="0" w:color="auto"/>
            <w:right w:val="none" w:sz="0" w:space="0" w:color="auto"/>
          </w:divBdr>
          <w:divsChild>
            <w:div w:id="471866469">
              <w:marLeft w:val="0"/>
              <w:marRight w:val="0"/>
              <w:marTop w:val="0"/>
              <w:marBottom w:val="0"/>
              <w:divBdr>
                <w:top w:val="none" w:sz="0" w:space="0" w:color="auto"/>
                <w:left w:val="none" w:sz="0" w:space="0" w:color="auto"/>
                <w:bottom w:val="none" w:sz="0" w:space="0" w:color="auto"/>
                <w:right w:val="none" w:sz="0" w:space="0" w:color="auto"/>
              </w:divBdr>
              <w:divsChild>
                <w:div w:id="871068390">
                  <w:marLeft w:val="0"/>
                  <w:marRight w:val="0"/>
                  <w:marTop w:val="0"/>
                  <w:marBottom w:val="0"/>
                  <w:divBdr>
                    <w:top w:val="none" w:sz="0" w:space="0" w:color="auto"/>
                    <w:left w:val="none" w:sz="0" w:space="0" w:color="auto"/>
                    <w:bottom w:val="none" w:sz="0" w:space="0" w:color="auto"/>
                    <w:right w:val="none" w:sz="0" w:space="0" w:color="auto"/>
                  </w:divBdr>
                  <w:divsChild>
                    <w:div w:id="1900049047">
                      <w:marLeft w:val="0"/>
                      <w:marRight w:val="0"/>
                      <w:marTop w:val="0"/>
                      <w:marBottom w:val="0"/>
                      <w:divBdr>
                        <w:top w:val="none" w:sz="0" w:space="0" w:color="auto"/>
                        <w:left w:val="none" w:sz="0" w:space="0" w:color="auto"/>
                        <w:bottom w:val="none" w:sz="0" w:space="0" w:color="auto"/>
                        <w:right w:val="none" w:sz="0" w:space="0" w:color="auto"/>
                      </w:divBdr>
                      <w:divsChild>
                        <w:div w:id="1633906989">
                          <w:marLeft w:val="0"/>
                          <w:marRight w:val="0"/>
                          <w:marTop w:val="0"/>
                          <w:marBottom w:val="0"/>
                          <w:divBdr>
                            <w:top w:val="none" w:sz="0" w:space="0" w:color="auto"/>
                            <w:left w:val="none" w:sz="0" w:space="0" w:color="auto"/>
                            <w:bottom w:val="none" w:sz="0" w:space="0" w:color="auto"/>
                            <w:right w:val="none" w:sz="0" w:space="0" w:color="auto"/>
                          </w:divBdr>
                          <w:divsChild>
                            <w:div w:id="971057154">
                              <w:marLeft w:val="0"/>
                              <w:marRight w:val="0"/>
                              <w:marTop w:val="0"/>
                              <w:marBottom w:val="0"/>
                              <w:divBdr>
                                <w:top w:val="none" w:sz="0" w:space="0" w:color="auto"/>
                                <w:left w:val="none" w:sz="0" w:space="0" w:color="auto"/>
                                <w:bottom w:val="none" w:sz="0" w:space="0" w:color="auto"/>
                                <w:right w:val="none" w:sz="0" w:space="0" w:color="auto"/>
                              </w:divBdr>
                              <w:divsChild>
                                <w:div w:id="1575823314">
                                  <w:marLeft w:val="0"/>
                                  <w:marRight w:val="0"/>
                                  <w:marTop w:val="0"/>
                                  <w:marBottom w:val="0"/>
                                  <w:divBdr>
                                    <w:top w:val="none" w:sz="0" w:space="0" w:color="auto"/>
                                    <w:left w:val="none" w:sz="0" w:space="0" w:color="auto"/>
                                    <w:bottom w:val="none" w:sz="0" w:space="0" w:color="auto"/>
                                    <w:right w:val="none" w:sz="0" w:space="0" w:color="auto"/>
                                  </w:divBdr>
                                  <w:divsChild>
                                    <w:div w:id="851336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34804756">
      <w:bodyDiv w:val="1"/>
      <w:marLeft w:val="0"/>
      <w:marRight w:val="0"/>
      <w:marTop w:val="0"/>
      <w:marBottom w:val="0"/>
      <w:divBdr>
        <w:top w:val="none" w:sz="0" w:space="0" w:color="auto"/>
        <w:left w:val="none" w:sz="0" w:space="0" w:color="auto"/>
        <w:bottom w:val="none" w:sz="0" w:space="0" w:color="auto"/>
        <w:right w:val="none" w:sz="0" w:space="0" w:color="auto"/>
      </w:divBdr>
    </w:div>
    <w:div w:id="1563516913">
      <w:bodyDiv w:val="1"/>
      <w:marLeft w:val="0"/>
      <w:marRight w:val="0"/>
      <w:marTop w:val="0"/>
      <w:marBottom w:val="0"/>
      <w:divBdr>
        <w:top w:val="none" w:sz="0" w:space="0" w:color="auto"/>
        <w:left w:val="none" w:sz="0" w:space="0" w:color="auto"/>
        <w:bottom w:val="none" w:sz="0" w:space="0" w:color="auto"/>
        <w:right w:val="none" w:sz="0" w:space="0" w:color="auto"/>
      </w:divBdr>
    </w:div>
    <w:div w:id="1580676681">
      <w:bodyDiv w:val="1"/>
      <w:marLeft w:val="0"/>
      <w:marRight w:val="0"/>
      <w:marTop w:val="0"/>
      <w:marBottom w:val="0"/>
      <w:divBdr>
        <w:top w:val="none" w:sz="0" w:space="0" w:color="auto"/>
        <w:left w:val="none" w:sz="0" w:space="0" w:color="auto"/>
        <w:bottom w:val="none" w:sz="0" w:space="0" w:color="auto"/>
        <w:right w:val="none" w:sz="0" w:space="0" w:color="auto"/>
      </w:divBdr>
    </w:div>
    <w:div w:id="1590964426">
      <w:bodyDiv w:val="1"/>
      <w:marLeft w:val="0"/>
      <w:marRight w:val="0"/>
      <w:marTop w:val="0"/>
      <w:marBottom w:val="0"/>
      <w:divBdr>
        <w:top w:val="none" w:sz="0" w:space="0" w:color="auto"/>
        <w:left w:val="none" w:sz="0" w:space="0" w:color="auto"/>
        <w:bottom w:val="none" w:sz="0" w:space="0" w:color="auto"/>
        <w:right w:val="none" w:sz="0" w:space="0" w:color="auto"/>
      </w:divBdr>
    </w:div>
    <w:div w:id="1598294320">
      <w:bodyDiv w:val="1"/>
      <w:marLeft w:val="0"/>
      <w:marRight w:val="0"/>
      <w:marTop w:val="0"/>
      <w:marBottom w:val="0"/>
      <w:divBdr>
        <w:top w:val="none" w:sz="0" w:space="0" w:color="auto"/>
        <w:left w:val="none" w:sz="0" w:space="0" w:color="auto"/>
        <w:bottom w:val="none" w:sz="0" w:space="0" w:color="auto"/>
        <w:right w:val="none" w:sz="0" w:space="0" w:color="auto"/>
      </w:divBdr>
      <w:divsChild>
        <w:div w:id="1982998076">
          <w:marLeft w:val="0"/>
          <w:marRight w:val="0"/>
          <w:marTop w:val="0"/>
          <w:marBottom w:val="0"/>
          <w:divBdr>
            <w:top w:val="none" w:sz="0" w:space="0" w:color="auto"/>
            <w:left w:val="none" w:sz="0" w:space="0" w:color="auto"/>
            <w:bottom w:val="none" w:sz="0" w:space="0" w:color="auto"/>
            <w:right w:val="none" w:sz="0" w:space="0" w:color="auto"/>
          </w:divBdr>
          <w:divsChild>
            <w:div w:id="845560686">
              <w:marLeft w:val="0"/>
              <w:marRight w:val="0"/>
              <w:marTop w:val="0"/>
              <w:marBottom w:val="0"/>
              <w:divBdr>
                <w:top w:val="none" w:sz="0" w:space="0" w:color="auto"/>
                <w:left w:val="none" w:sz="0" w:space="0" w:color="auto"/>
                <w:bottom w:val="none" w:sz="0" w:space="0" w:color="auto"/>
                <w:right w:val="none" w:sz="0" w:space="0" w:color="auto"/>
              </w:divBdr>
              <w:divsChild>
                <w:div w:id="1421826893">
                  <w:marLeft w:val="0"/>
                  <w:marRight w:val="0"/>
                  <w:marTop w:val="0"/>
                  <w:marBottom w:val="0"/>
                  <w:divBdr>
                    <w:top w:val="none" w:sz="0" w:space="0" w:color="auto"/>
                    <w:left w:val="none" w:sz="0" w:space="0" w:color="auto"/>
                    <w:bottom w:val="none" w:sz="0" w:space="0" w:color="auto"/>
                    <w:right w:val="none" w:sz="0" w:space="0" w:color="auto"/>
                  </w:divBdr>
                  <w:divsChild>
                    <w:div w:id="916329422">
                      <w:marLeft w:val="0"/>
                      <w:marRight w:val="0"/>
                      <w:marTop w:val="0"/>
                      <w:marBottom w:val="0"/>
                      <w:divBdr>
                        <w:top w:val="none" w:sz="0" w:space="0" w:color="auto"/>
                        <w:left w:val="none" w:sz="0" w:space="0" w:color="auto"/>
                        <w:bottom w:val="none" w:sz="0" w:space="0" w:color="auto"/>
                        <w:right w:val="none" w:sz="0" w:space="0" w:color="auto"/>
                      </w:divBdr>
                      <w:divsChild>
                        <w:div w:id="395318401">
                          <w:marLeft w:val="0"/>
                          <w:marRight w:val="0"/>
                          <w:marTop w:val="0"/>
                          <w:marBottom w:val="0"/>
                          <w:divBdr>
                            <w:top w:val="none" w:sz="0" w:space="0" w:color="auto"/>
                            <w:left w:val="none" w:sz="0" w:space="0" w:color="auto"/>
                            <w:bottom w:val="none" w:sz="0" w:space="0" w:color="auto"/>
                            <w:right w:val="none" w:sz="0" w:space="0" w:color="auto"/>
                          </w:divBdr>
                          <w:divsChild>
                            <w:div w:id="168833455">
                              <w:marLeft w:val="0"/>
                              <w:marRight w:val="0"/>
                              <w:marTop w:val="0"/>
                              <w:marBottom w:val="0"/>
                              <w:divBdr>
                                <w:top w:val="none" w:sz="0" w:space="0" w:color="auto"/>
                                <w:left w:val="none" w:sz="0" w:space="0" w:color="auto"/>
                                <w:bottom w:val="none" w:sz="0" w:space="0" w:color="auto"/>
                                <w:right w:val="none" w:sz="0" w:space="0" w:color="auto"/>
                              </w:divBdr>
                              <w:divsChild>
                                <w:div w:id="799886081">
                                  <w:marLeft w:val="0"/>
                                  <w:marRight w:val="0"/>
                                  <w:marTop w:val="0"/>
                                  <w:marBottom w:val="0"/>
                                  <w:divBdr>
                                    <w:top w:val="none" w:sz="0" w:space="0" w:color="auto"/>
                                    <w:left w:val="none" w:sz="0" w:space="0" w:color="auto"/>
                                    <w:bottom w:val="none" w:sz="0" w:space="0" w:color="auto"/>
                                    <w:right w:val="none" w:sz="0" w:space="0" w:color="auto"/>
                                  </w:divBdr>
                                  <w:divsChild>
                                    <w:div w:id="1603076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0942929">
      <w:bodyDiv w:val="1"/>
      <w:marLeft w:val="0"/>
      <w:marRight w:val="0"/>
      <w:marTop w:val="0"/>
      <w:marBottom w:val="0"/>
      <w:divBdr>
        <w:top w:val="none" w:sz="0" w:space="0" w:color="auto"/>
        <w:left w:val="none" w:sz="0" w:space="0" w:color="auto"/>
        <w:bottom w:val="none" w:sz="0" w:space="0" w:color="auto"/>
        <w:right w:val="none" w:sz="0" w:space="0" w:color="auto"/>
      </w:divBdr>
    </w:div>
    <w:div w:id="1608268290">
      <w:bodyDiv w:val="1"/>
      <w:marLeft w:val="0"/>
      <w:marRight w:val="0"/>
      <w:marTop w:val="0"/>
      <w:marBottom w:val="0"/>
      <w:divBdr>
        <w:top w:val="none" w:sz="0" w:space="0" w:color="auto"/>
        <w:left w:val="none" w:sz="0" w:space="0" w:color="auto"/>
        <w:bottom w:val="none" w:sz="0" w:space="0" w:color="auto"/>
        <w:right w:val="none" w:sz="0" w:space="0" w:color="auto"/>
      </w:divBdr>
      <w:divsChild>
        <w:div w:id="439183106">
          <w:marLeft w:val="0"/>
          <w:marRight w:val="0"/>
          <w:marTop w:val="0"/>
          <w:marBottom w:val="0"/>
          <w:divBdr>
            <w:top w:val="none" w:sz="0" w:space="0" w:color="auto"/>
            <w:left w:val="none" w:sz="0" w:space="0" w:color="auto"/>
            <w:bottom w:val="none" w:sz="0" w:space="0" w:color="auto"/>
            <w:right w:val="none" w:sz="0" w:space="0" w:color="auto"/>
          </w:divBdr>
          <w:divsChild>
            <w:div w:id="1745494459">
              <w:marLeft w:val="0"/>
              <w:marRight w:val="0"/>
              <w:marTop w:val="0"/>
              <w:marBottom w:val="0"/>
              <w:divBdr>
                <w:top w:val="none" w:sz="0" w:space="0" w:color="auto"/>
                <w:left w:val="none" w:sz="0" w:space="0" w:color="auto"/>
                <w:bottom w:val="none" w:sz="0" w:space="0" w:color="auto"/>
                <w:right w:val="none" w:sz="0" w:space="0" w:color="auto"/>
              </w:divBdr>
              <w:divsChild>
                <w:div w:id="1048801387">
                  <w:marLeft w:val="0"/>
                  <w:marRight w:val="0"/>
                  <w:marTop w:val="0"/>
                  <w:marBottom w:val="0"/>
                  <w:divBdr>
                    <w:top w:val="none" w:sz="0" w:space="0" w:color="auto"/>
                    <w:left w:val="none" w:sz="0" w:space="0" w:color="auto"/>
                    <w:bottom w:val="none" w:sz="0" w:space="0" w:color="auto"/>
                    <w:right w:val="none" w:sz="0" w:space="0" w:color="auto"/>
                  </w:divBdr>
                  <w:divsChild>
                    <w:div w:id="1091198320">
                      <w:marLeft w:val="0"/>
                      <w:marRight w:val="0"/>
                      <w:marTop w:val="0"/>
                      <w:marBottom w:val="0"/>
                      <w:divBdr>
                        <w:top w:val="none" w:sz="0" w:space="0" w:color="auto"/>
                        <w:left w:val="none" w:sz="0" w:space="0" w:color="auto"/>
                        <w:bottom w:val="none" w:sz="0" w:space="0" w:color="auto"/>
                        <w:right w:val="none" w:sz="0" w:space="0" w:color="auto"/>
                      </w:divBdr>
                      <w:divsChild>
                        <w:div w:id="647707604">
                          <w:marLeft w:val="0"/>
                          <w:marRight w:val="0"/>
                          <w:marTop w:val="0"/>
                          <w:marBottom w:val="0"/>
                          <w:divBdr>
                            <w:top w:val="none" w:sz="0" w:space="0" w:color="auto"/>
                            <w:left w:val="none" w:sz="0" w:space="0" w:color="auto"/>
                            <w:bottom w:val="none" w:sz="0" w:space="0" w:color="auto"/>
                            <w:right w:val="none" w:sz="0" w:space="0" w:color="auto"/>
                          </w:divBdr>
                          <w:divsChild>
                            <w:div w:id="738019080">
                              <w:marLeft w:val="0"/>
                              <w:marRight w:val="0"/>
                              <w:marTop w:val="0"/>
                              <w:marBottom w:val="0"/>
                              <w:divBdr>
                                <w:top w:val="none" w:sz="0" w:space="0" w:color="auto"/>
                                <w:left w:val="none" w:sz="0" w:space="0" w:color="auto"/>
                                <w:bottom w:val="none" w:sz="0" w:space="0" w:color="auto"/>
                                <w:right w:val="none" w:sz="0" w:space="0" w:color="auto"/>
                              </w:divBdr>
                              <w:divsChild>
                                <w:div w:id="1107845261">
                                  <w:marLeft w:val="0"/>
                                  <w:marRight w:val="0"/>
                                  <w:marTop w:val="0"/>
                                  <w:marBottom w:val="0"/>
                                  <w:divBdr>
                                    <w:top w:val="none" w:sz="0" w:space="0" w:color="auto"/>
                                    <w:left w:val="none" w:sz="0" w:space="0" w:color="auto"/>
                                    <w:bottom w:val="none" w:sz="0" w:space="0" w:color="auto"/>
                                    <w:right w:val="none" w:sz="0" w:space="0" w:color="auto"/>
                                  </w:divBdr>
                                  <w:divsChild>
                                    <w:div w:id="149291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08273384">
      <w:bodyDiv w:val="1"/>
      <w:marLeft w:val="0"/>
      <w:marRight w:val="0"/>
      <w:marTop w:val="0"/>
      <w:marBottom w:val="0"/>
      <w:divBdr>
        <w:top w:val="none" w:sz="0" w:space="0" w:color="auto"/>
        <w:left w:val="none" w:sz="0" w:space="0" w:color="auto"/>
        <w:bottom w:val="none" w:sz="0" w:space="0" w:color="auto"/>
        <w:right w:val="none" w:sz="0" w:space="0" w:color="auto"/>
      </w:divBdr>
    </w:div>
    <w:div w:id="1642075687">
      <w:bodyDiv w:val="1"/>
      <w:marLeft w:val="0"/>
      <w:marRight w:val="0"/>
      <w:marTop w:val="0"/>
      <w:marBottom w:val="0"/>
      <w:divBdr>
        <w:top w:val="none" w:sz="0" w:space="0" w:color="auto"/>
        <w:left w:val="none" w:sz="0" w:space="0" w:color="auto"/>
        <w:bottom w:val="none" w:sz="0" w:space="0" w:color="auto"/>
        <w:right w:val="none" w:sz="0" w:space="0" w:color="auto"/>
      </w:divBdr>
      <w:divsChild>
        <w:div w:id="1184515039">
          <w:marLeft w:val="0"/>
          <w:marRight w:val="0"/>
          <w:marTop w:val="0"/>
          <w:marBottom w:val="0"/>
          <w:divBdr>
            <w:top w:val="none" w:sz="0" w:space="0" w:color="auto"/>
            <w:left w:val="none" w:sz="0" w:space="0" w:color="auto"/>
            <w:bottom w:val="none" w:sz="0" w:space="0" w:color="auto"/>
            <w:right w:val="none" w:sz="0" w:space="0" w:color="auto"/>
          </w:divBdr>
          <w:divsChild>
            <w:div w:id="1387028462">
              <w:marLeft w:val="0"/>
              <w:marRight w:val="0"/>
              <w:marTop w:val="0"/>
              <w:marBottom w:val="0"/>
              <w:divBdr>
                <w:top w:val="none" w:sz="0" w:space="0" w:color="auto"/>
                <w:left w:val="none" w:sz="0" w:space="0" w:color="auto"/>
                <w:bottom w:val="none" w:sz="0" w:space="0" w:color="auto"/>
                <w:right w:val="none" w:sz="0" w:space="0" w:color="auto"/>
              </w:divBdr>
              <w:divsChild>
                <w:div w:id="1521353380">
                  <w:marLeft w:val="0"/>
                  <w:marRight w:val="0"/>
                  <w:marTop w:val="0"/>
                  <w:marBottom w:val="0"/>
                  <w:divBdr>
                    <w:top w:val="none" w:sz="0" w:space="0" w:color="auto"/>
                    <w:left w:val="none" w:sz="0" w:space="0" w:color="auto"/>
                    <w:bottom w:val="none" w:sz="0" w:space="0" w:color="auto"/>
                    <w:right w:val="none" w:sz="0" w:space="0" w:color="auto"/>
                  </w:divBdr>
                  <w:divsChild>
                    <w:div w:id="363872930">
                      <w:marLeft w:val="0"/>
                      <w:marRight w:val="0"/>
                      <w:marTop w:val="0"/>
                      <w:marBottom w:val="0"/>
                      <w:divBdr>
                        <w:top w:val="none" w:sz="0" w:space="0" w:color="auto"/>
                        <w:left w:val="none" w:sz="0" w:space="0" w:color="auto"/>
                        <w:bottom w:val="none" w:sz="0" w:space="0" w:color="auto"/>
                        <w:right w:val="none" w:sz="0" w:space="0" w:color="auto"/>
                      </w:divBdr>
                      <w:divsChild>
                        <w:div w:id="682165666">
                          <w:marLeft w:val="0"/>
                          <w:marRight w:val="0"/>
                          <w:marTop w:val="0"/>
                          <w:marBottom w:val="0"/>
                          <w:divBdr>
                            <w:top w:val="none" w:sz="0" w:space="0" w:color="auto"/>
                            <w:left w:val="none" w:sz="0" w:space="0" w:color="auto"/>
                            <w:bottom w:val="none" w:sz="0" w:space="0" w:color="auto"/>
                            <w:right w:val="none" w:sz="0" w:space="0" w:color="auto"/>
                          </w:divBdr>
                          <w:divsChild>
                            <w:div w:id="169219732">
                              <w:marLeft w:val="0"/>
                              <w:marRight w:val="0"/>
                              <w:marTop w:val="0"/>
                              <w:marBottom w:val="0"/>
                              <w:divBdr>
                                <w:top w:val="none" w:sz="0" w:space="0" w:color="auto"/>
                                <w:left w:val="none" w:sz="0" w:space="0" w:color="auto"/>
                                <w:bottom w:val="none" w:sz="0" w:space="0" w:color="auto"/>
                                <w:right w:val="none" w:sz="0" w:space="0" w:color="auto"/>
                              </w:divBdr>
                              <w:divsChild>
                                <w:div w:id="602802854">
                                  <w:marLeft w:val="0"/>
                                  <w:marRight w:val="0"/>
                                  <w:marTop w:val="0"/>
                                  <w:marBottom w:val="0"/>
                                  <w:divBdr>
                                    <w:top w:val="none" w:sz="0" w:space="0" w:color="auto"/>
                                    <w:left w:val="none" w:sz="0" w:space="0" w:color="auto"/>
                                    <w:bottom w:val="none" w:sz="0" w:space="0" w:color="auto"/>
                                    <w:right w:val="none" w:sz="0" w:space="0" w:color="auto"/>
                                  </w:divBdr>
                                  <w:divsChild>
                                    <w:div w:id="1180244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4191860">
      <w:bodyDiv w:val="1"/>
      <w:marLeft w:val="0"/>
      <w:marRight w:val="0"/>
      <w:marTop w:val="0"/>
      <w:marBottom w:val="0"/>
      <w:divBdr>
        <w:top w:val="none" w:sz="0" w:space="0" w:color="auto"/>
        <w:left w:val="none" w:sz="0" w:space="0" w:color="auto"/>
        <w:bottom w:val="none" w:sz="0" w:space="0" w:color="auto"/>
        <w:right w:val="none" w:sz="0" w:space="0" w:color="auto"/>
      </w:divBdr>
      <w:divsChild>
        <w:div w:id="1805851869">
          <w:marLeft w:val="0"/>
          <w:marRight w:val="0"/>
          <w:marTop w:val="0"/>
          <w:marBottom w:val="0"/>
          <w:divBdr>
            <w:top w:val="none" w:sz="0" w:space="0" w:color="auto"/>
            <w:left w:val="none" w:sz="0" w:space="0" w:color="auto"/>
            <w:bottom w:val="none" w:sz="0" w:space="0" w:color="auto"/>
            <w:right w:val="none" w:sz="0" w:space="0" w:color="auto"/>
          </w:divBdr>
          <w:divsChild>
            <w:div w:id="514461286">
              <w:marLeft w:val="0"/>
              <w:marRight w:val="0"/>
              <w:marTop w:val="0"/>
              <w:marBottom w:val="0"/>
              <w:divBdr>
                <w:top w:val="none" w:sz="0" w:space="0" w:color="auto"/>
                <w:left w:val="none" w:sz="0" w:space="0" w:color="auto"/>
                <w:bottom w:val="none" w:sz="0" w:space="0" w:color="auto"/>
                <w:right w:val="none" w:sz="0" w:space="0" w:color="auto"/>
              </w:divBdr>
              <w:divsChild>
                <w:div w:id="715471503">
                  <w:marLeft w:val="0"/>
                  <w:marRight w:val="0"/>
                  <w:marTop w:val="0"/>
                  <w:marBottom w:val="0"/>
                  <w:divBdr>
                    <w:top w:val="none" w:sz="0" w:space="0" w:color="auto"/>
                    <w:left w:val="none" w:sz="0" w:space="0" w:color="auto"/>
                    <w:bottom w:val="none" w:sz="0" w:space="0" w:color="auto"/>
                    <w:right w:val="none" w:sz="0" w:space="0" w:color="auto"/>
                  </w:divBdr>
                  <w:divsChild>
                    <w:div w:id="1320226551">
                      <w:marLeft w:val="0"/>
                      <w:marRight w:val="0"/>
                      <w:marTop w:val="0"/>
                      <w:marBottom w:val="0"/>
                      <w:divBdr>
                        <w:top w:val="none" w:sz="0" w:space="0" w:color="auto"/>
                        <w:left w:val="none" w:sz="0" w:space="0" w:color="auto"/>
                        <w:bottom w:val="none" w:sz="0" w:space="0" w:color="auto"/>
                        <w:right w:val="none" w:sz="0" w:space="0" w:color="auto"/>
                      </w:divBdr>
                      <w:divsChild>
                        <w:div w:id="962006653">
                          <w:marLeft w:val="0"/>
                          <w:marRight w:val="0"/>
                          <w:marTop w:val="0"/>
                          <w:marBottom w:val="0"/>
                          <w:divBdr>
                            <w:top w:val="none" w:sz="0" w:space="0" w:color="auto"/>
                            <w:left w:val="none" w:sz="0" w:space="0" w:color="auto"/>
                            <w:bottom w:val="none" w:sz="0" w:space="0" w:color="auto"/>
                            <w:right w:val="none" w:sz="0" w:space="0" w:color="auto"/>
                          </w:divBdr>
                          <w:divsChild>
                            <w:div w:id="941106904">
                              <w:marLeft w:val="0"/>
                              <w:marRight w:val="0"/>
                              <w:marTop w:val="0"/>
                              <w:marBottom w:val="0"/>
                              <w:divBdr>
                                <w:top w:val="none" w:sz="0" w:space="0" w:color="auto"/>
                                <w:left w:val="none" w:sz="0" w:space="0" w:color="auto"/>
                                <w:bottom w:val="none" w:sz="0" w:space="0" w:color="auto"/>
                                <w:right w:val="none" w:sz="0" w:space="0" w:color="auto"/>
                              </w:divBdr>
                              <w:divsChild>
                                <w:div w:id="1754469649">
                                  <w:marLeft w:val="0"/>
                                  <w:marRight w:val="0"/>
                                  <w:marTop w:val="0"/>
                                  <w:marBottom w:val="0"/>
                                  <w:divBdr>
                                    <w:top w:val="none" w:sz="0" w:space="0" w:color="auto"/>
                                    <w:left w:val="none" w:sz="0" w:space="0" w:color="auto"/>
                                    <w:bottom w:val="none" w:sz="0" w:space="0" w:color="auto"/>
                                    <w:right w:val="none" w:sz="0" w:space="0" w:color="auto"/>
                                  </w:divBdr>
                                  <w:divsChild>
                                    <w:div w:id="130901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074887">
      <w:bodyDiv w:val="1"/>
      <w:marLeft w:val="0"/>
      <w:marRight w:val="0"/>
      <w:marTop w:val="0"/>
      <w:marBottom w:val="0"/>
      <w:divBdr>
        <w:top w:val="none" w:sz="0" w:space="0" w:color="auto"/>
        <w:left w:val="none" w:sz="0" w:space="0" w:color="auto"/>
        <w:bottom w:val="none" w:sz="0" w:space="0" w:color="auto"/>
        <w:right w:val="none" w:sz="0" w:space="0" w:color="auto"/>
      </w:divBdr>
    </w:div>
    <w:div w:id="1668244342">
      <w:bodyDiv w:val="1"/>
      <w:marLeft w:val="0"/>
      <w:marRight w:val="0"/>
      <w:marTop w:val="0"/>
      <w:marBottom w:val="0"/>
      <w:divBdr>
        <w:top w:val="none" w:sz="0" w:space="0" w:color="auto"/>
        <w:left w:val="none" w:sz="0" w:space="0" w:color="auto"/>
        <w:bottom w:val="none" w:sz="0" w:space="0" w:color="auto"/>
        <w:right w:val="none" w:sz="0" w:space="0" w:color="auto"/>
      </w:divBdr>
    </w:div>
    <w:div w:id="1682245526">
      <w:bodyDiv w:val="1"/>
      <w:marLeft w:val="0"/>
      <w:marRight w:val="0"/>
      <w:marTop w:val="0"/>
      <w:marBottom w:val="0"/>
      <w:divBdr>
        <w:top w:val="none" w:sz="0" w:space="0" w:color="auto"/>
        <w:left w:val="none" w:sz="0" w:space="0" w:color="auto"/>
        <w:bottom w:val="none" w:sz="0" w:space="0" w:color="auto"/>
        <w:right w:val="none" w:sz="0" w:space="0" w:color="auto"/>
      </w:divBdr>
    </w:div>
    <w:div w:id="1687830519">
      <w:bodyDiv w:val="1"/>
      <w:marLeft w:val="0"/>
      <w:marRight w:val="0"/>
      <w:marTop w:val="0"/>
      <w:marBottom w:val="0"/>
      <w:divBdr>
        <w:top w:val="none" w:sz="0" w:space="0" w:color="auto"/>
        <w:left w:val="none" w:sz="0" w:space="0" w:color="auto"/>
        <w:bottom w:val="none" w:sz="0" w:space="0" w:color="auto"/>
        <w:right w:val="none" w:sz="0" w:space="0" w:color="auto"/>
      </w:divBdr>
    </w:div>
    <w:div w:id="1692489593">
      <w:bodyDiv w:val="1"/>
      <w:marLeft w:val="0"/>
      <w:marRight w:val="0"/>
      <w:marTop w:val="0"/>
      <w:marBottom w:val="0"/>
      <w:divBdr>
        <w:top w:val="none" w:sz="0" w:space="0" w:color="auto"/>
        <w:left w:val="none" w:sz="0" w:space="0" w:color="auto"/>
        <w:bottom w:val="none" w:sz="0" w:space="0" w:color="auto"/>
        <w:right w:val="none" w:sz="0" w:space="0" w:color="auto"/>
      </w:divBdr>
    </w:div>
    <w:div w:id="1713188606">
      <w:bodyDiv w:val="1"/>
      <w:marLeft w:val="0"/>
      <w:marRight w:val="0"/>
      <w:marTop w:val="0"/>
      <w:marBottom w:val="0"/>
      <w:divBdr>
        <w:top w:val="none" w:sz="0" w:space="0" w:color="auto"/>
        <w:left w:val="none" w:sz="0" w:space="0" w:color="auto"/>
        <w:bottom w:val="none" w:sz="0" w:space="0" w:color="auto"/>
        <w:right w:val="none" w:sz="0" w:space="0" w:color="auto"/>
      </w:divBdr>
    </w:div>
    <w:div w:id="1713534328">
      <w:bodyDiv w:val="1"/>
      <w:marLeft w:val="0"/>
      <w:marRight w:val="0"/>
      <w:marTop w:val="0"/>
      <w:marBottom w:val="0"/>
      <w:divBdr>
        <w:top w:val="none" w:sz="0" w:space="0" w:color="auto"/>
        <w:left w:val="none" w:sz="0" w:space="0" w:color="auto"/>
        <w:bottom w:val="none" w:sz="0" w:space="0" w:color="auto"/>
        <w:right w:val="none" w:sz="0" w:space="0" w:color="auto"/>
      </w:divBdr>
    </w:div>
    <w:div w:id="1722746824">
      <w:bodyDiv w:val="1"/>
      <w:marLeft w:val="0"/>
      <w:marRight w:val="0"/>
      <w:marTop w:val="0"/>
      <w:marBottom w:val="0"/>
      <w:divBdr>
        <w:top w:val="none" w:sz="0" w:space="0" w:color="auto"/>
        <w:left w:val="none" w:sz="0" w:space="0" w:color="auto"/>
        <w:bottom w:val="none" w:sz="0" w:space="0" w:color="auto"/>
        <w:right w:val="none" w:sz="0" w:space="0" w:color="auto"/>
      </w:divBdr>
    </w:div>
    <w:div w:id="1730496230">
      <w:bodyDiv w:val="1"/>
      <w:marLeft w:val="0"/>
      <w:marRight w:val="0"/>
      <w:marTop w:val="0"/>
      <w:marBottom w:val="0"/>
      <w:divBdr>
        <w:top w:val="none" w:sz="0" w:space="0" w:color="auto"/>
        <w:left w:val="none" w:sz="0" w:space="0" w:color="auto"/>
        <w:bottom w:val="none" w:sz="0" w:space="0" w:color="auto"/>
        <w:right w:val="none" w:sz="0" w:space="0" w:color="auto"/>
      </w:divBdr>
    </w:div>
    <w:div w:id="1745449540">
      <w:bodyDiv w:val="1"/>
      <w:marLeft w:val="0"/>
      <w:marRight w:val="0"/>
      <w:marTop w:val="0"/>
      <w:marBottom w:val="0"/>
      <w:divBdr>
        <w:top w:val="none" w:sz="0" w:space="0" w:color="auto"/>
        <w:left w:val="none" w:sz="0" w:space="0" w:color="auto"/>
        <w:bottom w:val="none" w:sz="0" w:space="0" w:color="auto"/>
        <w:right w:val="none" w:sz="0" w:space="0" w:color="auto"/>
      </w:divBdr>
    </w:div>
    <w:div w:id="1748502748">
      <w:bodyDiv w:val="1"/>
      <w:marLeft w:val="0"/>
      <w:marRight w:val="0"/>
      <w:marTop w:val="0"/>
      <w:marBottom w:val="0"/>
      <w:divBdr>
        <w:top w:val="none" w:sz="0" w:space="0" w:color="auto"/>
        <w:left w:val="none" w:sz="0" w:space="0" w:color="auto"/>
        <w:bottom w:val="none" w:sz="0" w:space="0" w:color="auto"/>
        <w:right w:val="none" w:sz="0" w:space="0" w:color="auto"/>
      </w:divBdr>
    </w:div>
    <w:div w:id="1750884776">
      <w:bodyDiv w:val="1"/>
      <w:marLeft w:val="0"/>
      <w:marRight w:val="0"/>
      <w:marTop w:val="0"/>
      <w:marBottom w:val="0"/>
      <w:divBdr>
        <w:top w:val="none" w:sz="0" w:space="0" w:color="auto"/>
        <w:left w:val="none" w:sz="0" w:space="0" w:color="auto"/>
        <w:bottom w:val="none" w:sz="0" w:space="0" w:color="auto"/>
        <w:right w:val="none" w:sz="0" w:space="0" w:color="auto"/>
      </w:divBdr>
    </w:div>
    <w:div w:id="1754275559">
      <w:bodyDiv w:val="1"/>
      <w:marLeft w:val="0"/>
      <w:marRight w:val="0"/>
      <w:marTop w:val="0"/>
      <w:marBottom w:val="0"/>
      <w:divBdr>
        <w:top w:val="none" w:sz="0" w:space="0" w:color="auto"/>
        <w:left w:val="none" w:sz="0" w:space="0" w:color="auto"/>
        <w:bottom w:val="none" w:sz="0" w:space="0" w:color="auto"/>
        <w:right w:val="none" w:sz="0" w:space="0" w:color="auto"/>
      </w:divBdr>
    </w:div>
    <w:div w:id="1767848506">
      <w:bodyDiv w:val="1"/>
      <w:marLeft w:val="0"/>
      <w:marRight w:val="0"/>
      <w:marTop w:val="0"/>
      <w:marBottom w:val="0"/>
      <w:divBdr>
        <w:top w:val="none" w:sz="0" w:space="0" w:color="auto"/>
        <w:left w:val="none" w:sz="0" w:space="0" w:color="auto"/>
        <w:bottom w:val="none" w:sz="0" w:space="0" w:color="auto"/>
        <w:right w:val="none" w:sz="0" w:space="0" w:color="auto"/>
      </w:divBdr>
    </w:div>
    <w:div w:id="1770003424">
      <w:bodyDiv w:val="1"/>
      <w:marLeft w:val="0"/>
      <w:marRight w:val="0"/>
      <w:marTop w:val="0"/>
      <w:marBottom w:val="0"/>
      <w:divBdr>
        <w:top w:val="none" w:sz="0" w:space="0" w:color="auto"/>
        <w:left w:val="none" w:sz="0" w:space="0" w:color="auto"/>
        <w:bottom w:val="none" w:sz="0" w:space="0" w:color="auto"/>
        <w:right w:val="none" w:sz="0" w:space="0" w:color="auto"/>
      </w:divBdr>
    </w:div>
    <w:div w:id="1777363798">
      <w:bodyDiv w:val="1"/>
      <w:marLeft w:val="0"/>
      <w:marRight w:val="0"/>
      <w:marTop w:val="0"/>
      <w:marBottom w:val="0"/>
      <w:divBdr>
        <w:top w:val="none" w:sz="0" w:space="0" w:color="auto"/>
        <w:left w:val="none" w:sz="0" w:space="0" w:color="auto"/>
        <w:bottom w:val="none" w:sz="0" w:space="0" w:color="auto"/>
        <w:right w:val="none" w:sz="0" w:space="0" w:color="auto"/>
      </w:divBdr>
    </w:div>
    <w:div w:id="1787583085">
      <w:bodyDiv w:val="1"/>
      <w:marLeft w:val="0"/>
      <w:marRight w:val="0"/>
      <w:marTop w:val="0"/>
      <w:marBottom w:val="0"/>
      <w:divBdr>
        <w:top w:val="none" w:sz="0" w:space="0" w:color="auto"/>
        <w:left w:val="none" w:sz="0" w:space="0" w:color="auto"/>
        <w:bottom w:val="none" w:sz="0" w:space="0" w:color="auto"/>
        <w:right w:val="none" w:sz="0" w:space="0" w:color="auto"/>
      </w:divBdr>
    </w:div>
    <w:div w:id="1793935324">
      <w:bodyDiv w:val="1"/>
      <w:marLeft w:val="0"/>
      <w:marRight w:val="0"/>
      <w:marTop w:val="0"/>
      <w:marBottom w:val="0"/>
      <w:divBdr>
        <w:top w:val="none" w:sz="0" w:space="0" w:color="auto"/>
        <w:left w:val="none" w:sz="0" w:space="0" w:color="auto"/>
        <w:bottom w:val="none" w:sz="0" w:space="0" w:color="auto"/>
        <w:right w:val="none" w:sz="0" w:space="0" w:color="auto"/>
      </w:divBdr>
      <w:divsChild>
        <w:div w:id="1802504075">
          <w:marLeft w:val="0"/>
          <w:marRight w:val="0"/>
          <w:marTop w:val="0"/>
          <w:marBottom w:val="0"/>
          <w:divBdr>
            <w:top w:val="none" w:sz="0" w:space="0" w:color="auto"/>
            <w:left w:val="none" w:sz="0" w:space="0" w:color="auto"/>
            <w:bottom w:val="none" w:sz="0" w:space="0" w:color="auto"/>
            <w:right w:val="none" w:sz="0" w:space="0" w:color="auto"/>
          </w:divBdr>
          <w:divsChild>
            <w:div w:id="1172136229">
              <w:marLeft w:val="0"/>
              <w:marRight w:val="0"/>
              <w:marTop w:val="0"/>
              <w:marBottom w:val="0"/>
              <w:divBdr>
                <w:top w:val="none" w:sz="0" w:space="0" w:color="auto"/>
                <w:left w:val="none" w:sz="0" w:space="0" w:color="auto"/>
                <w:bottom w:val="none" w:sz="0" w:space="0" w:color="auto"/>
                <w:right w:val="none" w:sz="0" w:space="0" w:color="auto"/>
              </w:divBdr>
              <w:divsChild>
                <w:div w:id="1409421278">
                  <w:marLeft w:val="0"/>
                  <w:marRight w:val="0"/>
                  <w:marTop w:val="0"/>
                  <w:marBottom w:val="0"/>
                  <w:divBdr>
                    <w:top w:val="none" w:sz="0" w:space="0" w:color="auto"/>
                    <w:left w:val="none" w:sz="0" w:space="0" w:color="auto"/>
                    <w:bottom w:val="none" w:sz="0" w:space="0" w:color="auto"/>
                    <w:right w:val="none" w:sz="0" w:space="0" w:color="auto"/>
                  </w:divBdr>
                  <w:divsChild>
                    <w:div w:id="431899852">
                      <w:marLeft w:val="0"/>
                      <w:marRight w:val="0"/>
                      <w:marTop w:val="0"/>
                      <w:marBottom w:val="0"/>
                      <w:divBdr>
                        <w:top w:val="none" w:sz="0" w:space="0" w:color="auto"/>
                        <w:left w:val="none" w:sz="0" w:space="0" w:color="auto"/>
                        <w:bottom w:val="none" w:sz="0" w:space="0" w:color="auto"/>
                        <w:right w:val="none" w:sz="0" w:space="0" w:color="auto"/>
                      </w:divBdr>
                      <w:divsChild>
                        <w:div w:id="763570556">
                          <w:marLeft w:val="0"/>
                          <w:marRight w:val="0"/>
                          <w:marTop w:val="0"/>
                          <w:marBottom w:val="0"/>
                          <w:divBdr>
                            <w:top w:val="none" w:sz="0" w:space="0" w:color="auto"/>
                            <w:left w:val="none" w:sz="0" w:space="0" w:color="auto"/>
                            <w:bottom w:val="none" w:sz="0" w:space="0" w:color="auto"/>
                            <w:right w:val="none" w:sz="0" w:space="0" w:color="auto"/>
                          </w:divBdr>
                          <w:divsChild>
                            <w:div w:id="579799772">
                              <w:marLeft w:val="0"/>
                              <w:marRight w:val="0"/>
                              <w:marTop w:val="0"/>
                              <w:marBottom w:val="0"/>
                              <w:divBdr>
                                <w:top w:val="none" w:sz="0" w:space="0" w:color="auto"/>
                                <w:left w:val="none" w:sz="0" w:space="0" w:color="auto"/>
                                <w:bottom w:val="none" w:sz="0" w:space="0" w:color="auto"/>
                                <w:right w:val="none" w:sz="0" w:space="0" w:color="auto"/>
                              </w:divBdr>
                              <w:divsChild>
                                <w:div w:id="947275371">
                                  <w:marLeft w:val="0"/>
                                  <w:marRight w:val="0"/>
                                  <w:marTop w:val="0"/>
                                  <w:marBottom w:val="0"/>
                                  <w:divBdr>
                                    <w:top w:val="none" w:sz="0" w:space="0" w:color="auto"/>
                                    <w:left w:val="none" w:sz="0" w:space="0" w:color="auto"/>
                                    <w:bottom w:val="none" w:sz="0" w:space="0" w:color="auto"/>
                                    <w:right w:val="none" w:sz="0" w:space="0" w:color="auto"/>
                                  </w:divBdr>
                                  <w:divsChild>
                                    <w:div w:id="111101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1999344">
      <w:bodyDiv w:val="1"/>
      <w:marLeft w:val="0"/>
      <w:marRight w:val="0"/>
      <w:marTop w:val="0"/>
      <w:marBottom w:val="0"/>
      <w:divBdr>
        <w:top w:val="none" w:sz="0" w:space="0" w:color="auto"/>
        <w:left w:val="none" w:sz="0" w:space="0" w:color="auto"/>
        <w:bottom w:val="none" w:sz="0" w:space="0" w:color="auto"/>
        <w:right w:val="none" w:sz="0" w:space="0" w:color="auto"/>
      </w:divBdr>
      <w:divsChild>
        <w:div w:id="1904676781">
          <w:marLeft w:val="0"/>
          <w:marRight w:val="0"/>
          <w:marTop w:val="0"/>
          <w:marBottom w:val="0"/>
          <w:divBdr>
            <w:top w:val="none" w:sz="0" w:space="0" w:color="auto"/>
            <w:left w:val="none" w:sz="0" w:space="0" w:color="auto"/>
            <w:bottom w:val="none" w:sz="0" w:space="0" w:color="auto"/>
            <w:right w:val="none" w:sz="0" w:space="0" w:color="auto"/>
          </w:divBdr>
          <w:divsChild>
            <w:div w:id="291522571">
              <w:marLeft w:val="0"/>
              <w:marRight w:val="0"/>
              <w:marTop w:val="0"/>
              <w:marBottom w:val="0"/>
              <w:divBdr>
                <w:top w:val="none" w:sz="0" w:space="0" w:color="auto"/>
                <w:left w:val="none" w:sz="0" w:space="0" w:color="auto"/>
                <w:bottom w:val="none" w:sz="0" w:space="0" w:color="auto"/>
                <w:right w:val="none" w:sz="0" w:space="0" w:color="auto"/>
              </w:divBdr>
              <w:divsChild>
                <w:div w:id="1244607262">
                  <w:marLeft w:val="0"/>
                  <w:marRight w:val="0"/>
                  <w:marTop w:val="0"/>
                  <w:marBottom w:val="0"/>
                  <w:divBdr>
                    <w:top w:val="none" w:sz="0" w:space="0" w:color="auto"/>
                    <w:left w:val="none" w:sz="0" w:space="0" w:color="auto"/>
                    <w:bottom w:val="none" w:sz="0" w:space="0" w:color="auto"/>
                    <w:right w:val="none" w:sz="0" w:space="0" w:color="auto"/>
                  </w:divBdr>
                  <w:divsChild>
                    <w:div w:id="570888475">
                      <w:marLeft w:val="0"/>
                      <w:marRight w:val="0"/>
                      <w:marTop w:val="0"/>
                      <w:marBottom w:val="0"/>
                      <w:divBdr>
                        <w:top w:val="none" w:sz="0" w:space="0" w:color="auto"/>
                        <w:left w:val="none" w:sz="0" w:space="0" w:color="auto"/>
                        <w:bottom w:val="none" w:sz="0" w:space="0" w:color="auto"/>
                        <w:right w:val="none" w:sz="0" w:space="0" w:color="auto"/>
                      </w:divBdr>
                      <w:divsChild>
                        <w:div w:id="154422765">
                          <w:marLeft w:val="0"/>
                          <w:marRight w:val="0"/>
                          <w:marTop w:val="0"/>
                          <w:marBottom w:val="0"/>
                          <w:divBdr>
                            <w:top w:val="none" w:sz="0" w:space="0" w:color="auto"/>
                            <w:left w:val="none" w:sz="0" w:space="0" w:color="auto"/>
                            <w:bottom w:val="none" w:sz="0" w:space="0" w:color="auto"/>
                            <w:right w:val="none" w:sz="0" w:space="0" w:color="auto"/>
                          </w:divBdr>
                          <w:divsChild>
                            <w:div w:id="476534954">
                              <w:marLeft w:val="0"/>
                              <w:marRight w:val="0"/>
                              <w:marTop w:val="0"/>
                              <w:marBottom w:val="0"/>
                              <w:divBdr>
                                <w:top w:val="none" w:sz="0" w:space="0" w:color="auto"/>
                                <w:left w:val="none" w:sz="0" w:space="0" w:color="auto"/>
                                <w:bottom w:val="none" w:sz="0" w:space="0" w:color="auto"/>
                                <w:right w:val="none" w:sz="0" w:space="0" w:color="auto"/>
                              </w:divBdr>
                              <w:divsChild>
                                <w:div w:id="262422309">
                                  <w:marLeft w:val="0"/>
                                  <w:marRight w:val="0"/>
                                  <w:marTop w:val="0"/>
                                  <w:marBottom w:val="0"/>
                                  <w:divBdr>
                                    <w:top w:val="none" w:sz="0" w:space="0" w:color="auto"/>
                                    <w:left w:val="none" w:sz="0" w:space="0" w:color="auto"/>
                                    <w:bottom w:val="none" w:sz="0" w:space="0" w:color="auto"/>
                                    <w:right w:val="none" w:sz="0" w:space="0" w:color="auto"/>
                                  </w:divBdr>
                                  <w:divsChild>
                                    <w:div w:id="54016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06893121">
      <w:bodyDiv w:val="1"/>
      <w:marLeft w:val="0"/>
      <w:marRight w:val="0"/>
      <w:marTop w:val="0"/>
      <w:marBottom w:val="0"/>
      <w:divBdr>
        <w:top w:val="none" w:sz="0" w:space="0" w:color="auto"/>
        <w:left w:val="none" w:sz="0" w:space="0" w:color="auto"/>
        <w:bottom w:val="none" w:sz="0" w:space="0" w:color="auto"/>
        <w:right w:val="none" w:sz="0" w:space="0" w:color="auto"/>
      </w:divBdr>
    </w:div>
    <w:div w:id="1832603773">
      <w:bodyDiv w:val="1"/>
      <w:marLeft w:val="0"/>
      <w:marRight w:val="0"/>
      <w:marTop w:val="0"/>
      <w:marBottom w:val="0"/>
      <w:divBdr>
        <w:top w:val="none" w:sz="0" w:space="0" w:color="auto"/>
        <w:left w:val="none" w:sz="0" w:space="0" w:color="auto"/>
        <w:bottom w:val="none" w:sz="0" w:space="0" w:color="auto"/>
        <w:right w:val="none" w:sz="0" w:space="0" w:color="auto"/>
      </w:divBdr>
      <w:divsChild>
        <w:div w:id="1227035388">
          <w:marLeft w:val="0"/>
          <w:marRight w:val="0"/>
          <w:marTop w:val="0"/>
          <w:marBottom w:val="0"/>
          <w:divBdr>
            <w:top w:val="none" w:sz="0" w:space="0" w:color="auto"/>
            <w:left w:val="none" w:sz="0" w:space="0" w:color="auto"/>
            <w:bottom w:val="none" w:sz="0" w:space="0" w:color="auto"/>
            <w:right w:val="none" w:sz="0" w:space="0" w:color="auto"/>
          </w:divBdr>
          <w:divsChild>
            <w:div w:id="304508400">
              <w:marLeft w:val="0"/>
              <w:marRight w:val="0"/>
              <w:marTop w:val="0"/>
              <w:marBottom w:val="0"/>
              <w:divBdr>
                <w:top w:val="none" w:sz="0" w:space="0" w:color="auto"/>
                <w:left w:val="none" w:sz="0" w:space="0" w:color="auto"/>
                <w:bottom w:val="none" w:sz="0" w:space="0" w:color="auto"/>
                <w:right w:val="none" w:sz="0" w:space="0" w:color="auto"/>
              </w:divBdr>
              <w:divsChild>
                <w:div w:id="728767630">
                  <w:marLeft w:val="0"/>
                  <w:marRight w:val="0"/>
                  <w:marTop w:val="0"/>
                  <w:marBottom w:val="0"/>
                  <w:divBdr>
                    <w:top w:val="none" w:sz="0" w:space="0" w:color="auto"/>
                    <w:left w:val="none" w:sz="0" w:space="0" w:color="auto"/>
                    <w:bottom w:val="none" w:sz="0" w:space="0" w:color="auto"/>
                    <w:right w:val="none" w:sz="0" w:space="0" w:color="auto"/>
                  </w:divBdr>
                  <w:divsChild>
                    <w:div w:id="1118454963">
                      <w:marLeft w:val="0"/>
                      <w:marRight w:val="0"/>
                      <w:marTop w:val="0"/>
                      <w:marBottom w:val="0"/>
                      <w:divBdr>
                        <w:top w:val="none" w:sz="0" w:space="0" w:color="auto"/>
                        <w:left w:val="none" w:sz="0" w:space="0" w:color="auto"/>
                        <w:bottom w:val="none" w:sz="0" w:space="0" w:color="auto"/>
                        <w:right w:val="none" w:sz="0" w:space="0" w:color="auto"/>
                      </w:divBdr>
                      <w:divsChild>
                        <w:div w:id="12849779">
                          <w:marLeft w:val="0"/>
                          <w:marRight w:val="0"/>
                          <w:marTop w:val="0"/>
                          <w:marBottom w:val="0"/>
                          <w:divBdr>
                            <w:top w:val="none" w:sz="0" w:space="0" w:color="auto"/>
                            <w:left w:val="none" w:sz="0" w:space="0" w:color="auto"/>
                            <w:bottom w:val="none" w:sz="0" w:space="0" w:color="auto"/>
                            <w:right w:val="none" w:sz="0" w:space="0" w:color="auto"/>
                          </w:divBdr>
                          <w:divsChild>
                            <w:div w:id="1501459237">
                              <w:marLeft w:val="0"/>
                              <w:marRight w:val="0"/>
                              <w:marTop w:val="0"/>
                              <w:marBottom w:val="0"/>
                              <w:divBdr>
                                <w:top w:val="none" w:sz="0" w:space="0" w:color="auto"/>
                                <w:left w:val="none" w:sz="0" w:space="0" w:color="auto"/>
                                <w:bottom w:val="none" w:sz="0" w:space="0" w:color="auto"/>
                                <w:right w:val="none" w:sz="0" w:space="0" w:color="auto"/>
                              </w:divBdr>
                              <w:divsChild>
                                <w:div w:id="1907639256">
                                  <w:marLeft w:val="0"/>
                                  <w:marRight w:val="0"/>
                                  <w:marTop w:val="0"/>
                                  <w:marBottom w:val="0"/>
                                  <w:divBdr>
                                    <w:top w:val="none" w:sz="0" w:space="0" w:color="auto"/>
                                    <w:left w:val="none" w:sz="0" w:space="0" w:color="auto"/>
                                    <w:bottom w:val="none" w:sz="0" w:space="0" w:color="auto"/>
                                    <w:right w:val="none" w:sz="0" w:space="0" w:color="auto"/>
                                  </w:divBdr>
                                  <w:divsChild>
                                    <w:div w:id="165217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3616625">
      <w:bodyDiv w:val="1"/>
      <w:marLeft w:val="0"/>
      <w:marRight w:val="0"/>
      <w:marTop w:val="0"/>
      <w:marBottom w:val="0"/>
      <w:divBdr>
        <w:top w:val="none" w:sz="0" w:space="0" w:color="auto"/>
        <w:left w:val="none" w:sz="0" w:space="0" w:color="auto"/>
        <w:bottom w:val="none" w:sz="0" w:space="0" w:color="auto"/>
        <w:right w:val="none" w:sz="0" w:space="0" w:color="auto"/>
      </w:divBdr>
    </w:div>
    <w:div w:id="1849561616">
      <w:bodyDiv w:val="1"/>
      <w:marLeft w:val="0"/>
      <w:marRight w:val="0"/>
      <w:marTop w:val="0"/>
      <w:marBottom w:val="0"/>
      <w:divBdr>
        <w:top w:val="none" w:sz="0" w:space="0" w:color="auto"/>
        <w:left w:val="none" w:sz="0" w:space="0" w:color="auto"/>
        <w:bottom w:val="none" w:sz="0" w:space="0" w:color="auto"/>
        <w:right w:val="none" w:sz="0" w:space="0" w:color="auto"/>
      </w:divBdr>
    </w:div>
    <w:div w:id="1873153413">
      <w:bodyDiv w:val="1"/>
      <w:marLeft w:val="0"/>
      <w:marRight w:val="0"/>
      <w:marTop w:val="0"/>
      <w:marBottom w:val="0"/>
      <w:divBdr>
        <w:top w:val="none" w:sz="0" w:space="0" w:color="auto"/>
        <w:left w:val="none" w:sz="0" w:space="0" w:color="auto"/>
        <w:bottom w:val="none" w:sz="0" w:space="0" w:color="auto"/>
        <w:right w:val="none" w:sz="0" w:space="0" w:color="auto"/>
      </w:divBdr>
    </w:div>
    <w:div w:id="1877623960">
      <w:bodyDiv w:val="1"/>
      <w:marLeft w:val="0"/>
      <w:marRight w:val="0"/>
      <w:marTop w:val="0"/>
      <w:marBottom w:val="0"/>
      <w:divBdr>
        <w:top w:val="none" w:sz="0" w:space="0" w:color="auto"/>
        <w:left w:val="none" w:sz="0" w:space="0" w:color="auto"/>
        <w:bottom w:val="none" w:sz="0" w:space="0" w:color="auto"/>
        <w:right w:val="none" w:sz="0" w:space="0" w:color="auto"/>
      </w:divBdr>
    </w:div>
    <w:div w:id="1886717620">
      <w:bodyDiv w:val="1"/>
      <w:marLeft w:val="0"/>
      <w:marRight w:val="0"/>
      <w:marTop w:val="0"/>
      <w:marBottom w:val="0"/>
      <w:divBdr>
        <w:top w:val="none" w:sz="0" w:space="0" w:color="auto"/>
        <w:left w:val="none" w:sz="0" w:space="0" w:color="auto"/>
        <w:bottom w:val="none" w:sz="0" w:space="0" w:color="auto"/>
        <w:right w:val="none" w:sz="0" w:space="0" w:color="auto"/>
      </w:divBdr>
    </w:div>
    <w:div w:id="1894656828">
      <w:bodyDiv w:val="1"/>
      <w:marLeft w:val="0"/>
      <w:marRight w:val="0"/>
      <w:marTop w:val="0"/>
      <w:marBottom w:val="0"/>
      <w:divBdr>
        <w:top w:val="none" w:sz="0" w:space="0" w:color="auto"/>
        <w:left w:val="none" w:sz="0" w:space="0" w:color="auto"/>
        <w:bottom w:val="none" w:sz="0" w:space="0" w:color="auto"/>
        <w:right w:val="none" w:sz="0" w:space="0" w:color="auto"/>
      </w:divBdr>
    </w:div>
    <w:div w:id="1899708672">
      <w:bodyDiv w:val="1"/>
      <w:marLeft w:val="0"/>
      <w:marRight w:val="0"/>
      <w:marTop w:val="0"/>
      <w:marBottom w:val="0"/>
      <w:divBdr>
        <w:top w:val="none" w:sz="0" w:space="0" w:color="auto"/>
        <w:left w:val="none" w:sz="0" w:space="0" w:color="auto"/>
        <w:bottom w:val="none" w:sz="0" w:space="0" w:color="auto"/>
        <w:right w:val="none" w:sz="0" w:space="0" w:color="auto"/>
      </w:divBdr>
    </w:div>
    <w:div w:id="1900938089">
      <w:bodyDiv w:val="1"/>
      <w:marLeft w:val="0"/>
      <w:marRight w:val="0"/>
      <w:marTop w:val="0"/>
      <w:marBottom w:val="0"/>
      <w:divBdr>
        <w:top w:val="none" w:sz="0" w:space="0" w:color="auto"/>
        <w:left w:val="none" w:sz="0" w:space="0" w:color="auto"/>
        <w:bottom w:val="none" w:sz="0" w:space="0" w:color="auto"/>
        <w:right w:val="none" w:sz="0" w:space="0" w:color="auto"/>
      </w:divBdr>
    </w:div>
    <w:div w:id="1903982837">
      <w:bodyDiv w:val="1"/>
      <w:marLeft w:val="0"/>
      <w:marRight w:val="0"/>
      <w:marTop w:val="0"/>
      <w:marBottom w:val="0"/>
      <w:divBdr>
        <w:top w:val="none" w:sz="0" w:space="0" w:color="auto"/>
        <w:left w:val="none" w:sz="0" w:space="0" w:color="auto"/>
        <w:bottom w:val="none" w:sz="0" w:space="0" w:color="auto"/>
        <w:right w:val="none" w:sz="0" w:space="0" w:color="auto"/>
      </w:divBdr>
      <w:divsChild>
        <w:div w:id="873274089">
          <w:marLeft w:val="0"/>
          <w:marRight w:val="0"/>
          <w:marTop w:val="0"/>
          <w:marBottom w:val="0"/>
          <w:divBdr>
            <w:top w:val="none" w:sz="0" w:space="0" w:color="auto"/>
            <w:left w:val="none" w:sz="0" w:space="0" w:color="auto"/>
            <w:bottom w:val="none" w:sz="0" w:space="0" w:color="auto"/>
            <w:right w:val="none" w:sz="0" w:space="0" w:color="auto"/>
          </w:divBdr>
          <w:divsChild>
            <w:div w:id="287977146">
              <w:marLeft w:val="0"/>
              <w:marRight w:val="0"/>
              <w:marTop w:val="0"/>
              <w:marBottom w:val="0"/>
              <w:divBdr>
                <w:top w:val="none" w:sz="0" w:space="0" w:color="auto"/>
                <w:left w:val="none" w:sz="0" w:space="0" w:color="auto"/>
                <w:bottom w:val="none" w:sz="0" w:space="0" w:color="auto"/>
                <w:right w:val="none" w:sz="0" w:space="0" w:color="auto"/>
              </w:divBdr>
              <w:divsChild>
                <w:div w:id="739518274">
                  <w:marLeft w:val="0"/>
                  <w:marRight w:val="0"/>
                  <w:marTop w:val="0"/>
                  <w:marBottom w:val="0"/>
                  <w:divBdr>
                    <w:top w:val="none" w:sz="0" w:space="0" w:color="auto"/>
                    <w:left w:val="none" w:sz="0" w:space="0" w:color="auto"/>
                    <w:bottom w:val="none" w:sz="0" w:space="0" w:color="auto"/>
                    <w:right w:val="none" w:sz="0" w:space="0" w:color="auto"/>
                  </w:divBdr>
                  <w:divsChild>
                    <w:div w:id="149493105">
                      <w:marLeft w:val="0"/>
                      <w:marRight w:val="0"/>
                      <w:marTop w:val="0"/>
                      <w:marBottom w:val="0"/>
                      <w:divBdr>
                        <w:top w:val="none" w:sz="0" w:space="0" w:color="auto"/>
                        <w:left w:val="none" w:sz="0" w:space="0" w:color="auto"/>
                        <w:bottom w:val="none" w:sz="0" w:space="0" w:color="auto"/>
                        <w:right w:val="none" w:sz="0" w:space="0" w:color="auto"/>
                      </w:divBdr>
                      <w:divsChild>
                        <w:div w:id="55592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651314">
      <w:bodyDiv w:val="1"/>
      <w:marLeft w:val="0"/>
      <w:marRight w:val="0"/>
      <w:marTop w:val="0"/>
      <w:marBottom w:val="0"/>
      <w:divBdr>
        <w:top w:val="none" w:sz="0" w:space="0" w:color="auto"/>
        <w:left w:val="none" w:sz="0" w:space="0" w:color="auto"/>
        <w:bottom w:val="none" w:sz="0" w:space="0" w:color="auto"/>
        <w:right w:val="none" w:sz="0" w:space="0" w:color="auto"/>
      </w:divBdr>
    </w:div>
    <w:div w:id="1915973440">
      <w:bodyDiv w:val="1"/>
      <w:marLeft w:val="0"/>
      <w:marRight w:val="0"/>
      <w:marTop w:val="0"/>
      <w:marBottom w:val="0"/>
      <w:divBdr>
        <w:top w:val="none" w:sz="0" w:space="0" w:color="auto"/>
        <w:left w:val="none" w:sz="0" w:space="0" w:color="auto"/>
        <w:bottom w:val="none" w:sz="0" w:space="0" w:color="auto"/>
        <w:right w:val="none" w:sz="0" w:space="0" w:color="auto"/>
      </w:divBdr>
    </w:div>
    <w:div w:id="1919900321">
      <w:bodyDiv w:val="1"/>
      <w:marLeft w:val="0"/>
      <w:marRight w:val="0"/>
      <w:marTop w:val="0"/>
      <w:marBottom w:val="0"/>
      <w:divBdr>
        <w:top w:val="none" w:sz="0" w:space="0" w:color="auto"/>
        <w:left w:val="none" w:sz="0" w:space="0" w:color="auto"/>
        <w:bottom w:val="none" w:sz="0" w:space="0" w:color="auto"/>
        <w:right w:val="none" w:sz="0" w:space="0" w:color="auto"/>
      </w:divBdr>
      <w:divsChild>
        <w:div w:id="1557624546">
          <w:marLeft w:val="0"/>
          <w:marRight w:val="0"/>
          <w:marTop w:val="0"/>
          <w:marBottom w:val="0"/>
          <w:divBdr>
            <w:top w:val="none" w:sz="0" w:space="0" w:color="auto"/>
            <w:left w:val="none" w:sz="0" w:space="0" w:color="auto"/>
            <w:bottom w:val="none" w:sz="0" w:space="0" w:color="auto"/>
            <w:right w:val="none" w:sz="0" w:space="0" w:color="auto"/>
          </w:divBdr>
          <w:divsChild>
            <w:div w:id="532183965">
              <w:marLeft w:val="0"/>
              <w:marRight w:val="0"/>
              <w:marTop w:val="0"/>
              <w:marBottom w:val="0"/>
              <w:divBdr>
                <w:top w:val="none" w:sz="0" w:space="0" w:color="auto"/>
                <w:left w:val="none" w:sz="0" w:space="0" w:color="auto"/>
                <w:bottom w:val="none" w:sz="0" w:space="0" w:color="auto"/>
                <w:right w:val="none" w:sz="0" w:space="0" w:color="auto"/>
              </w:divBdr>
              <w:divsChild>
                <w:div w:id="82650142">
                  <w:marLeft w:val="0"/>
                  <w:marRight w:val="0"/>
                  <w:marTop w:val="0"/>
                  <w:marBottom w:val="0"/>
                  <w:divBdr>
                    <w:top w:val="none" w:sz="0" w:space="0" w:color="auto"/>
                    <w:left w:val="none" w:sz="0" w:space="0" w:color="auto"/>
                    <w:bottom w:val="none" w:sz="0" w:space="0" w:color="auto"/>
                    <w:right w:val="none" w:sz="0" w:space="0" w:color="auto"/>
                  </w:divBdr>
                  <w:divsChild>
                    <w:div w:id="1075976317">
                      <w:marLeft w:val="0"/>
                      <w:marRight w:val="0"/>
                      <w:marTop w:val="0"/>
                      <w:marBottom w:val="0"/>
                      <w:divBdr>
                        <w:top w:val="none" w:sz="0" w:space="0" w:color="auto"/>
                        <w:left w:val="none" w:sz="0" w:space="0" w:color="auto"/>
                        <w:bottom w:val="none" w:sz="0" w:space="0" w:color="auto"/>
                        <w:right w:val="none" w:sz="0" w:space="0" w:color="auto"/>
                      </w:divBdr>
                      <w:divsChild>
                        <w:div w:id="28766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4874156">
      <w:bodyDiv w:val="1"/>
      <w:marLeft w:val="0"/>
      <w:marRight w:val="0"/>
      <w:marTop w:val="0"/>
      <w:marBottom w:val="0"/>
      <w:divBdr>
        <w:top w:val="none" w:sz="0" w:space="0" w:color="auto"/>
        <w:left w:val="none" w:sz="0" w:space="0" w:color="auto"/>
        <w:bottom w:val="none" w:sz="0" w:space="0" w:color="auto"/>
        <w:right w:val="none" w:sz="0" w:space="0" w:color="auto"/>
      </w:divBdr>
    </w:div>
    <w:div w:id="1937782436">
      <w:bodyDiv w:val="1"/>
      <w:marLeft w:val="0"/>
      <w:marRight w:val="0"/>
      <w:marTop w:val="0"/>
      <w:marBottom w:val="0"/>
      <w:divBdr>
        <w:top w:val="none" w:sz="0" w:space="0" w:color="auto"/>
        <w:left w:val="none" w:sz="0" w:space="0" w:color="auto"/>
        <w:bottom w:val="none" w:sz="0" w:space="0" w:color="auto"/>
        <w:right w:val="none" w:sz="0" w:space="0" w:color="auto"/>
      </w:divBdr>
    </w:div>
    <w:div w:id="1947879576">
      <w:bodyDiv w:val="1"/>
      <w:marLeft w:val="0"/>
      <w:marRight w:val="0"/>
      <w:marTop w:val="0"/>
      <w:marBottom w:val="0"/>
      <w:divBdr>
        <w:top w:val="none" w:sz="0" w:space="0" w:color="auto"/>
        <w:left w:val="none" w:sz="0" w:space="0" w:color="auto"/>
        <w:bottom w:val="none" w:sz="0" w:space="0" w:color="auto"/>
        <w:right w:val="none" w:sz="0" w:space="0" w:color="auto"/>
      </w:divBdr>
    </w:div>
    <w:div w:id="1962228380">
      <w:bodyDiv w:val="1"/>
      <w:marLeft w:val="0"/>
      <w:marRight w:val="0"/>
      <w:marTop w:val="0"/>
      <w:marBottom w:val="0"/>
      <w:divBdr>
        <w:top w:val="none" w:sz="0" w:space="0" w:color="auto"/>
        <w:left w:val="none" w:sz="0" w:space="0" w:color="auto"/>
        <w:bottom w:val="none" w:sz="0" w:space="0" w:color="auto"/>
        <w:right w:val="none" w:sz="0" w:space="0" w:color="auto"/>
      </w:divBdr>
    </w:div>
    <w:div w:id="1975868930">
      <w:bodyDiv w:val="1"/>
      <w:marLeft w:val="0"/>
      <w:marRight w:val="0"/>
      <w:marTop w:val="0"/>
      <w:marBottom w:val="0"/>
      <w:divBdr>
        <w:top w:val="none" w:sz="0" w:space="0" w:color="auto"/>
        <w:left w:val="none" w:sz="0" w:space="0" w:color="auto"/>
        <w:bottom w:val="none" w:sz="0" w:space="0" w:color="auto"/>
        <w:right w:val="none" w:sz="0" w:space="0" w:color="auto"/>
      </w:divBdr>
    </w:div>
    <w:div w:id="1976176763">
      <w:bodyDiv w:val="1"/>
      <w:marLeft w:val="0"/>
      <w:marRight w:val="0"/>
      <w:marTop w:val="0"/>
      <w:marBottom w:val="0"/>
      <w:divBdr>
        <w:top w:val="none" w:sz="0" w:space="0" w:color="auto"/>
        <w:left w:val="none" w:sz="0" w:space="0" w:color="auto"/>
        <w:bottom w:val="none" w:sz="0" w:space="0" w:color="auto"/>
        <w:right w:val="none" w:sz="0" w:space="0" w:color="auto"/>
      </w:divBdr>
    </w:div>
    <w:div w:id="1984578653">
      <w:bodyDiv w:val="1"/>
      <w:marLeft w:val="0"/>
      <w:marRight w:val="0"/>
      <w:marTop w:val="0"/>
      <w:marBottom w:val="0"/>
      <w:divBdr>
        <w:top w:val="none" w:sz="0" w:space="0" w:color="auto"/>
        <w:left w:val="none" w:sz="0" w:space="0" w:color="auto"/>
        <w:bottom w:val="none" w:sz="0" w:space="0" w:color="auto"/>
        <w:right w:val="none" w:sz="0" w:space="0" w:color="auto"/>
      </w:divBdr>
    </w:div>
    <w:div w:id="1989548667">
      <w:bodyDiv w:val="1"/>
      <w:marLeft w:val="0"/>
      <w:marRight w:val="0"/>
      <w:marTop w:val="0"/>
      <w:marBottom w:val="0"/>
      <w:divBdr>
        <w:top w:val="none" w:sz="0" w:space="0" w:color="auto"/>
        <w:left w:val="none" w:sz="0" w:space="0" w:color="auto"/>
        <w:bottom w:val="none" w:sz="0" w:space="0" w:color="auto"/>
        <w:right w:val="none" w:sz="0" w:space="0" w:color="auto"/>
      </w:divBdr>
    </w:div>
    <w:div w:id="2001035426">
      <w:bodyDiv w:val="1"/>
      <w:marLeft w:val="0"/>
      <w:marRight w:val="0"/>
      <w:marTop w:val="0"/>
      <w:marBottom w:val="0"/>
      <w:divBdr>
        <w:top w:val="none" w:sz="0" w:space="0" w:color="auto"/>
        <w:left w:val="none" w:sz="0" w:space="0" w:color="auto"/>
        <w:bottom w:val="none" w:sz="0" w:space="0" w:color="auto"/>
        <w:right w:val="none" w:sz="0" w:space="0" w:color="auto"/>
      </w:divBdr>
    </w:div>
    <w:div w:id="2002537389">
      <w:bodyDiv w:val="1"/>
      <w:marLeft w:val="0"/>
      <w:marRight w:val="0"/>
      <w:marTop w:val="0"/>
      <w:marBottom w:val="0"/>
      <w:divBdr>
        <w:top w:val="none" w:sz="0" w:space="0" w:color="auto"/>
        <w:left w:val="none" w:sz="0" w:space="0" w:color="auto"/>
        <w:bottom w:val="none" w:sz="0" w:space="0" w:color="auto"/>
        <w:right w:val="none" w:sz="0" w:space="0" w:color="auto"/>
      </w:divBdr>
    </w:div>
    <w:div w:id="2014841312">
      <w:bodyDiv w:val="1"/>
      <w:marLeft w:val="0"/>
      <w:marRight w:val="0"/>
      <w:marTop w:val="0"/>
      <w:marBottom w:val="0"/>
      <w:divBdr>
        <w:top w:val="none" w:sz="0" w:space="0" w:color="auto"/>
        <w:left w:val="none" w:sz="0" w:space="0" w:color="auto"/>
        <w:bottom w:val="none" w:sz="0" w:space="0" w:color="auto"/>
        <w:right w:val="none" w:sz="0" w:space="0" w:color="auto"/>
      </w:divBdr>
    </w:div>
    <w:div w:id="2018649865">
      <w:bodyDiv w:val="1"/>
      <w:marLeft w:val="0"/>
      <w:marRight w:val="0"/>
      <w:marTop w:val="0"/>
      <w:marBottom w:val="0"/>
      <w:divBdr>
        <w:top w:val="none" w:sz="0" w:space="0" w:color="auto"/>
        <w:left w:val="none" w:sz="0" w:space="0" w:color="auto"/>
        <w:bottom w:val="none" w:sz="0" w:space="0" w:color="auto"/>
        <w:right w:val="none" w:sz="0" w:space="0" w:color="auto"/>
      </w:divBdr>
    </w:div>
    <w:div w:id="2019775328">
      <w:bodyDiv w:val="1"/>
      <w:marLeft w:val="0"/>
      <w:marRight w:val="0"/>
      <w:marTop w:val="0"/>
      <w:marBottom w:val="0"/>
      <w:divBdr>
        <w:top w:val="none" w:sz="0" w:space="0" w:color="auto"/>
        <w:left w:val="none" w:sz="0" w:space="0" w:color="auto"/>
        <w:bottom w:val="none" w:sz="0" w:space="0" w:color="auto"/>
        <w:right w:val="none" w:sz="0" w:space="0" w:color="auto"/>
      </w:divBdr>
      <w:divsChild>
        <w:div w:id="1233734257">
          <w:marLeft w:val="0"/>
          <w:marRight w:val="0"/>
          <w:marTop w:val="0"/>
          <w:marBottom w:val="0"/>
          <w:divBdr>
            <w:top w:val="none" w:sz="0" w:space="0" w:color="auto"/>
            <w:left w:val="none" w:sz="0" w:space="0" w:color="auto"/>
            <w:bottom w:val="none" w:sz="0" w:space="0" w:color="auto"/>
            <w:right w:val="none" w:sz="0" w:space="0" w:color="auto"/>
          </w:divBdr>
          <w:divsChild>
            <w:div w:id="818113128">
              <w:marLeft w:val="0"/>
              <w:marRight w:val="0"/>
              <w:marTop w:val="0"/>
              <w:marBottom w:val="0"/>
              <w:divBdr>
                <w:top w:val="none" w:sz="0" w:space="0" w:color="auto"/>
                <w:left w:val="none" w:sz="0" w:space="0" w:color="auto"/>
                <w:bottom w:val="none" w:sz="0" w:space="0" w:color="auto"/>
                <w:right w:val="none" w:sz="0" w:space="0" w:color="auto"/>
              </w:divBdr>
              <w:divsChild>
                <w:div w:id="1963532325">
                  <w:marLeft w:val="0"/>
                  <w:marRight w:val="0"/>
                  <w:marTop w:val="0"/>
                  <w:marBottom w:val="0"/>
                  <w:divBdr>
                    <w:top w:val="none" w:sz="0" w:space="0" w:color="auto"/>
                    <w:left w:val="none" w:sz="0" w:space="0" w:color="auto"/>
                    <w:bottom w:val="none" w:sz="0" w:space="0" w:color="auto"/>
                    <w:right w:val="none" w:sz="0" w:space="0" w:color="auto"/>
                  </w:divBdr>
                  <w:divsChild>
                    <w:div w:id="1807315325">
                      <w:marLeft w:val="0"/>
                      <w:marRight w:val="0"/>
                      <w:marTop w:val="0"/>
                      <w:marBottom w:val="0"/>
                      <w:divBdr>
                        <w:top w:val="none" w:sz="0" w:space="0" w:color="auto"/>
                        <w:left w:val="none" w:sz="0" w:space="0" w:color="auto"/>
                        <w:bottom w:val="none" w:sz="0" w:space="0" w:color="auto"/>
                        <w:right w:val="none" w:sz="0" w:space="0" w:color="auto"/>
                      </w:divBdr>
                      <w:divsChild>
                        <w:div w:id="533928504">
                          <w:marLeft w:val="0"/>
                          <w:marRight w:val="0"/>
                          <w:marTop w:val="0"/>
                          <w:marBottom w:val="0"/>
                          <w:divBdr>
                            <w:top w:val="none" w:sz="0" w:space="0" w:color="auto"/>
                            <w:left w:val="none" w:sz="0" w:space="0" w:color="auto"/>
                            <w:bottom w:val="none" w:sz="0" w:space="0" w:color="auto"/>
                            <w:right w:val="none" w:sz="0" w:space="0" w:color="auto"/>
                          </w:divBdr>
                          <w:divsChild>
                            <w:div w:id="831605059">
                              <w:marLeft w:val="0"/>
                              <w:marRight w:val="0"/>
                              <w:marTop w:val="0"/>
                              <w:marBottom w:val="0"/>
                              <w:divBdr>
                                <w:top w:val="none" w:sz="0" w:space="0" w:color="auto"/>
                                <w:left w:val="none" w:sz="0" w:space="0" w:color="auto"/>
                                <w:bottom w:val="none" w:sz="0" w:space="0" w:color="auto"/>
                                <w:right w:val="none" w:sz="0" w:space="0" w:color="auto"/>
                              </w:divBdr>
                              <w:divsChild>
                                <w:div w:id="17119370">
                                  <w:marLeft w:val="0"/>
                                  <w:marRight w:val="0"/>
                                  <w:marTop w:val="0"/>
                                  <w:marBottom w:val="0"/>
                                  <w:divBdr>
                                    <w:top w:val="none" w:sz="0" w:space="0" w:color="auto"/>
                                    <w:left w:val="none" w:sz="0" w:space="0" w:color="auto"/>
                                    <w:bottom w:val="none" w:sz="0" w:space="0" w:color="auto"/>
                                    <w:right w:val="none" w:sz="0" w:space="0" w:color="auto"/>
                                  </w:divBdr>
                                  <w:divsChild>
                                    <w:div w:id="101583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3772768">
      <w:bodyDiv w:val="1"/>
      <w:marLeft w:val="0"/>
      <w:marRight w:val="0"/>
      <w:marTop w:val="0"/>
      <w:marBottom w:val="0"/>
      <w:divBdr>
        <w:top w:val="none" w:sz="0" w:space="0" w:color="auto"/>
        <w:left w:val="none" w:sz="0" w:space="0" w:color="auto"/>
        <w:bottom w:val="none" w:sz="0" w:space="0" w:color="auto"/>
        <w:right w:val="none" w:sz="0" w:space="0" w:color="auto"/>
      </w:divBdr>
      <w:divsChild>
        <w:div w:id="880284070">
          <w:marLeft w:val="0"/>
          <w:marRight w:val="0"/>
          <w:marTop w:val="0"/>
          <w:marBottom w:val="150"/>
          <w:divBdr>
            <w:top w:val="none" w:sz="0" w:space="0" w:color="auto"/>
            <w:left w:val="none" w:sz="0" w:space="0" w:color="auto"/>
            <w:bottom w:val="none" w:sz="0" w:space="0" w:color="auto"/>
            <w:right w:val="none" w:sz="0" w:space="0" w:color="auto"/>
          </w:divBdr>
          <w:divsChild>
            <w:div w:id="2046174515">
              <w:marLeft w:val="0"/>
              <w:marRight w:val="0"/>
              <w:marTop w:val="0"/>
              <w:marBottom w:val="0"/>
              <w:divBdr>
                <w:top w:val="none" w:sz="0" w:space="0" w:color="auto"/>
                <w:left w:val="none" w:sz="0" w:space="0" w:color="auto"/>
                <w:bottom w:val="none" w:sz="0" w:space="0" w:color="auto"/>
                <w:right w:val="none" w:sz="0" w:space="0" w:color="auto"/>
              </w:divBdr>
              <w:divsChild>
                <w:div w:id="2075814345">
                  <w:marLeft w:val="0"/>
                  <w:marRight w:val="0"/>
                  <w:marTop w:val="0"/>
                  <w:marBottom w:val="0"/>
                  <w:divBdr>
                    <w:top w:val="none" w:sz="0" w:space="0" w:color="auto"/>
                    <w:left w:val="none" w:sz="0" w:space="0" w:color="auto"/>
                    <w:bottom w:val="none" w:sz="0" w:space="0" w:color="auto"/>
                    <w:right w:val="none" w:sz="0" w:space="0" w:color="auto"/>
                  </w:divBdr>
                  <w:divsChild>
                    <w:div w:id="139153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7679406">
          <w:marLeft w:val="0"/>
          <w:marRight w:val="0"/>
          <w:marTop w:val="0"/>
          <w:marBottom w:val="0"/>
          <w:divBdr>
            <w:top w:val="none" w:sz="0" w:space="0" w:color="auto"/>
            <w:left w:val="none" w:sz="0" w:space="0" w:color="auto"/>
            <w:bottom w:val="none" w:sz="0" w:space="0" w:color="auto"/>
            <w:right w:val="none" w:sz="0" w:space="0" w:color="auto"/>
          </w:divBdr>
          <w:divsChild>
            <w:div w:id="593589932">
              <w:marLeft w:val="0"/>
              <w:marRight w:val="345"/>
              <w:marTop w:val="0"/>
              <w:marBottom w:val="0"/>
              <w:divBdr>
                <w:top w:val="none" w:sz="0" w:space="0" w:color="auto"/>
                <w:left w:val="none" w:sz="0" w:space="0" w:color="auto"/>
                <w:bottom w:val="none" w:sz="0" w:space="0" w:color="auto"/>
                <w:right w:val="none" w:sz="0" w:space="0" w:color="auto"/>
              </w:divBdr>
              <w:divsChild>
                <w:div w:id="1123885196">
                  <w:marLeft w:val="0"/>
                  <w:marRight w:val="0"/>
                  <w:marTop w:val="0"/>
                  <w:marBottom w:val="0"/>
                  <w:divBdr>
                    <w:top w:val="none" w:sz="0" w:space="0" w:color="auto"/>
                    <w:left w:val="none" w:sz="0" w:space="0" w:color="auto"/>
                    <w:bottom w:val="none" w:sz="0" w:space="0" w:color="auto"/>
                    <w:right w:val="none" w:sz="0" w:space="0" w:color="auto"/>
                  </w:divBdr>
                  <w:divsChild>
                    <w:div w:id="67390164">
                      <w:marLeft w:val="0"/>
                      <w:marRight w:val="0"/>
                      <w:marTop w:val="0"/>
                      <w:marBottom w:val="0"/>
                      <w:divBdr>
                        <w:top w:val="none" w:sz="0" w:space="0" w:color="auto"/>
                        <w:left w:val="none" w:sz="0" w:space="0" w:color="auto"/>
                        <w:bottom w:val="none" w:sz="0" w:space="0" w:color="auto"/>
                        <w:right w:val="none" w:sz="0" w:space="0" w:color="auto"/>
                      </w:divBdr>
                      <w:divsChild>
                        <w:div w:id="246691897">
                          <w:marLeft w:val="0"/>
                          <w:marRight w:val="0"/>
                          <w:marTop w:val="0"/>
                          <w:marBottom w:val="0"/>
                          <w:divBdr>
                            <w:top w:val="none" w:sz="0" w:space="0" w:color="auto"/>
                            <w:left w:val="none" w:sz="0" w:space="0" w:color="auto"/>
                            <w:bottom w:val="none" w:sz="0" w:space="0" w:color="auto"/>
                            <w:right w:val="none" w:sz="0" w:space="0" w:color="auto"/>
                          </w:divBdr>
                          <w:divsChild>
                            <w:div w:id="939801211">
                              <w:marLeft w:val="0"/>
                              <w:marRight w:val="0"/>
                              <w:marTop w:val="0"/>
                              <w:marBottom w:val="0"/>
                              <w:divBdr>
                                <w:top w:val="none" w:sz="0" w:space="0" w:color="auto"/>
                                <w:left w:val="none" w:sz="0" w:space="0" w:color="auto"/>
                                <w:bottom w:val="none" w:sz="0" w:space="0" w:color="auto"/>
                                <w:right w:val="none" w:sz="0" w:space="0" w:color="auto"/>
                              </w:divBdr>
                              <w:divsChild>
                                <w:div w:id="2083601520">
                                  <w:marLeft w:val="0"/>
                                  <w:marRight w:val="0"/>
                                  <w:marTop w:val="0"/>
                                  <w:marBottom w:val="0"/>
                                  <w:divBdr>
                                    <w:top w:val="none" w:sz="0" w:space="0" w:color="auto"/>
                                    <w:left w:val="none" w:sz="0" w:space="0" w:color="auto"/>
                                    <w:bottom w:val="none" w:sz="0" w:space="0" w:color="auto"/>
                                    <w:right w:val="none" w:sz="0" w:space="0" w:color="auto"/>
                                  </w:divBdr>
                                  <w:divsChild>
                                    <w:div w:id="16545583">
                                      <w:marLeft w:val="0"/>
                                      <w:marRight w:val="0"/>
                                      <w:marTop w:val="0"/>
                                      <w:marBottom w:val="0"/>
                                      <w:divBdr>
                                        <w:top w:val="none" w:sz="0" w:space="0" w:color="auto"/>
                                        <w:left w:val="none" w:sz="0" w:space="0" w:color="auto"/>
                                        <w:bottom w:val="none" w:sz="0" w:space="0" w:color="auto"/>
                                        <w:right w:val="none" w:sz="0" w:space="0" w:color="auto"/>
                                      </w:divBdr>
                                      <w:divsChild>
                                        <w:div w:id="1648704770">
                                          <w:marLeft w:val="0"/>
                                          <w:marRight w:val="0"/>
                                          <w:marTop w:val="0"/>
                                          <w:marBottom w:val="0"/>
                                          <w:divBdr>
                                            <w:top w:val="none" w:sz="0" w:space="0" w:color="auto"/>
                                            <w:left w:val="none" w:sz="0" w:space="0" w:color="auto"/>
                                            <w:bottom w:val="none" w:sz="0" w:space="0" w:color="auto"/>
                                            <w:right w:val="none" w:sz="0" w:space="0" w:color="auto"/>
                                          </w:divBdr>
                                          <w:divsChild>
                                            <w:div w:id="1352611139">
                                              <w:marLeft w:val="0"/>
                                              <w:marRight w:val="0"/>
                                              <w:marTop w:val="0"/>
                                              <w:marBottom w:val="0"/>
                                              <w:divBdr>
                                                <w:top w:val="none" w:sz="0" w:space="0" w:color="auto"/>
                                                <w:left w:val="none" w:sz="0" w:space="0" w:color="auto"/>
                                                <w:bottom w:val="none" w:sz="0" w:space="0" w:color="auto"/>
                                                <w:right w:val="none" w:sz="0" w:space="0" w:color="auto"/>
                                              </w:divBdr>
                                              <w:divsChild>
                                                <w:div w:id="834536637">
                                                  <w:marLeft w:val="0"/>
                                                  <w:marRight w:val="0"/>
                                                  <w:marTop w:val="0"/>
                                                  <w:marBottom w:val="0"/>
                                                  <w:divBdr>
                                                    <w:top w:val="none" w:sz="0" w:space="0" w:color="auto"/>
                                                    <w:left w:val="none" w:sz="0" w:space="0" w:color="auto"/>
                                                    <w:bottom w:val="none" w:sz="0" w:space="0" w:color="auto"/>
                                                    <w:right w:val="none" w:sz="0" w:space="0" w:color="auto"/>
                                                  </w:divBdr>
                                                  <w:divsChild>
                                                    <w:div w:id="1806046948">
                                                      <w:marLeft w:val="0"/>
                                                      <w:marRight w:val="0"/>
                                                      <w:marTop w:val="0"/>
                                                      <w:marBottom w:val="0"/>
                                                      <w:divBdr>
                                                        <w:top w:val="none" w:sz="0" w:space="0" w:color="auto"/>
                                                        <w:left w:val="none" w:sz="0" w:space="0" w:color="auto"/>
                                                        <w:bottom w:val="none" w:sz="0" w:space="0" w:color="auto"/>
                                                        <w:right w:val="none" w:sz="0" w:space="0" w:color="auto"/>
                                                      </w:divBdr>
                                                      <w:divsChild>
                                                        <w:div w:id="1970896404">
                                                          <w:marLeft w:val="0"/>
                                                          <w:marRight w:val="0"/>
                                                          <w:marTop w:val="0"/>
                                                          <w:marBottom w:val="0"/>
                                                          <w:divBdr>
                                                            <w:top w:val="none" w:sz="0" w:space="0" w:color="auto"/>
                                                            <w:left w:val="none" w:sz="0" w:space="0" w:color="auto"/>
                                                            <w:bottom w:val="none" w:sz="0" w:space="0" w:color="auto"/>
                                                            <w:right w:val="none" w:sz="0" w:space="0" w:color="auto"/>
                                                          </w:divBdr>
                                                          <w:divsChild>
                                                            <w:div w:id="135533419">
                                                              <w:marLeft w:val="0"/>
                                                              <w:marRight w:val="0"/>
                                                              <w:marTop w:val="0"/>
                                                              <w:marBottom w:val="0"/>
                                                              <w:divBdr>
                                                                <w:top w:val="none" w:sz="0" w:space="0" w:color="auto"/>
                                                                <w:left w:val="none" w:sz="0" w:space="0" w:color="auto"/>
                                                                <w:bottom w:val="none" w:sz="0" w:space="0" w:color="auto"/>
                                                                <w:right w:val="none" w:sz="0" w:space="0" w:color="auto"/>
                                                              </w:divBdr>
                                                              <w:divsChild>
                                                                <w:div w:id="8070462">
                                                                  <w:marLeft w:val="0"/>
                                                                  <w:marRight w:val="0"/>
                                                                  <w:marTop w:val="0"/>
                                                                  <w:marBottom w:val="150"/>
                                                                  <w:divBdr>
                                                                    <w:top w:val="none" w:sz="0" w:space="0" w:color="auto"/>
                                                                    <w:left w:val="none" w:sz="0" w:space="0" w:color="auto"/>
                                                                    <w:bottom w:val="single" w:sz="6" w:space="8" w:color="D6D6D6"/>
                                                                    <w:right w:val="none" w:sz="0" w:space="0" w:color="auto"/>
                                                                  </w:divBdr>
                                                                </w:div>
                                                                <w:div w:id="749499841">
                                                                  <w:marLeft w:val="0"/>
                                                                  <w:marRight w:val="0"/>
                                                                  <w:marTop w:val="225"/>
                                                                  <w:marBottom w:val="225"/>
                                                                  <w:divBdr>
                                                                    <w:top w:val="none" w:sz="0" w:space="0" w:color="auto"/>
                                                                    <w:left w:val="none" w:sz="0" w:space="0" w:color="auto"/>
                                                                    <w:bottom w:val="none" w:sz="0" w:space="0" w:color="auto"/>
                                                                    <w:right w:val="none" w:sz="0" w:space="0" w:color="auto"/>
                                                                  </w:divBdr>
                                                                </w:div>
                                                                <w:div w:id="1463503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86081154">
                  <w:marLeft w:val="0"/>
                  <w:marRight w:val="0"/>
                  <w:marTop w:val="0"/>
                  <w:marBottom w:val="0"/>
                  <w:divBdr>
                    <w:top w:val="none" w:sz="0" w:space="0" w:color="auto"/>
                    <w:left w:val="none" w:sz="0" w:space="0" w:color="auto"/>
                    <w:bottom w:val="none" w:sz="0" w:space="0" w:color="auto"/>
                    <w:right w:val="none" w:sz="0" w:space="0" w:color="auto"/>
                  </w:divBdr>
                  <w:divsChild>
                    <w:div w:id="761754988">
                      <w:marLeft w:val="0"/>
                      <w:marRight w:val="0"/>
                      <w:marTop w:val="0"/>
                      <w:marBottom w:val="0"/>
                      <w:divBdr>
                        <w:top w:val="none" w:sz="0" w:space="0" w:color="auto"/>
                        <w:left w:val="none" w:sz="0" w:space="0" w:color="auto"/>
                        <w:bottom w:val="none" w:sz="0" w:space="0" w:color="auto"/>
                        <w:right w:val="none" w:sz="0" w:space="0" w:color="auto"/>
                      </w:divBdr>
                      <w:divsChild>
                        <w:div w:id="1326586639">
                          <w:marLeft w:val="0"/>
                          <w:marRight w:val="0"/>
                          <w:marTop w:val="0"/>
                          <w:marBottom w:val="0"/>
                          <w:divBdr>
                            <w:top w:val="none" w:sz="0" w:space="0" w:color="auto"/>
                            <w:left w:val="none" w:sz="0" w:space="0" w:color="auto"/>
                            <w:bottom w:val="none" w:sz="0" w:space="0" w:color="auto"/>
                            <w:right w:val="none" w:sz="0" w:space="0" w:color="auto"/>
                          </w:divBdr>
                          <w:divsChild>
                            <w:div w:id="871109061">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 w:id="1484464087">
                  <w:marLeft w:val="0"/>
                  <w:marRight w:val="0"/>
                  <w:marTop w:val="0"/>
                  <w:marBottom w:val="0"/>
                  <w:divBdr>
                    <w:top w:val="none" w:sz="0" w:space="0" w:color="auto"/>
                    <w:left w:val="none" w:sz="0" w:space="0" w:color="auto"/>
                    <w:bottom w:val="none" w:sz="0" w:space="0" w:color="auto"/>
                    <w:right w:val="none" w:sz="0" w:space="0" w:color="auto"/>
                  </w:divBdr>
                  <w:divsChild>
                    <w:div w:id="1512792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6059755">
      <w:bodyDiv w:val="1"/>
      <w:marLeft w:val="0"/>
      <w:marRight w:val="0"/>
      <w:marTop w:val="0"/>
      <w:marBottom w:val="0"/>
      <w:divBdr>
        <w:top w:val="none" w:sz="0" w:space="0" w:color="auto"/>
        <w:left w:val="none" w:sz="0" w:space="0" w:color="auto"/>
        <w:bottom w:val="none" w:sz="0" w:space="0" w:color="auto"/>
        <w:right w:val="none" w:sz="0" w:space="0" w:color="auto"/>
      </w:divBdr>
    </w:div>
    <w:div w:id="2047876356">
      <w:bodyDiv w:val="1"/>
      <w:marLeft w:val="0"/>
      <w:marRight w:val="0"/>
      <w:marTop w:val="0"/>
      <w:marBottom w:val="0"/>
      <w:divBdr>
        <w:top w:val="none" w:sz="0" w:space="0" w:color="auto"/>
        <w:left w:val="none" w:sz="0" w:space="0" w:color="auto"/>
        <w:bottom w:val="none" w:sz="0" w:space="0" w:color="auto"/>
        <w:right w:val="none" w:sz="0" w:space="0" w:color="auto"/>
      </w:divBdr>
      <w:divsChild>
        <w:div w:id="231896536">
          <w:marLeft w:val="0"/>
          <w:marRight w:val="0"/>
          <w:marTop w:val="0"/>
          <w:marBottom w:val="0"/>
          <w:divBdr>
            <w:top w:val="none" w:sz="0" w:space="0" w:color="auto"/>
            <w:left w:val="none" w:sz="0" w:space="0" w:color="auto"/>
            <w:bottom w:val="none" w:sz="0" w:space="0" w:color="auto"/>
            <w:right w:val="none" w:sz="0" w:space="0" w:color="auto"/>
          </w:divBdr>
          <w:divsChild>
            <w:div w:id="1708292725">
              <w:marLeft w:val="0"/>
              <w:marRight w:val="0"/>
              <w:marTop w:val="0"/>
              <w:marBottom w:val="0"/>
              <w:divBdr>
                <w:top w:val="none" w:sz="0" w:space="0" w:color="auto"/>
                <w:left w:val="none" w:sz="0" w:space="0" w:color="auto"/>
                <w:bottom w:val="none" w:sz="0" w:space="0" w:color="auto"/>
                <w:right w:val="none" w:sz="0" w:space="0" w:color="auto"/>
              </w:divBdr>
              <w:divsChild>
                <w:div w:id="1672484845">
                  <w:marLeft w:val="0"/>
                  <w:marRight w:val="0"/>
                  <w:marTop w:val="0"/>
                  <w:marBottom w:val="0"/>
                  <w:divBdr>
                    <w:top w:val="none" w:sz="0" w:space="0" w:color="auto"/>
                    <w:left w:val="none" w:sz="0" w:space="0" w:color="auto"/>
                    <w:bottom w:val="none" w:sz="0" w:space="0" w:color="auto"/>
                    <w:right w:val="none" w:sz="0" w:space="0" w:color="auto"/>
                  </w:divBdr>
                  <w:divsChild>
                    <w:div w:id="495268877">
                      <w:marLeft w:val="0"/>
                      <w:marRight w:val="0"/>
                      <w:marTop w:val="0"/>
                      <w:marBottom w:val="0"/>
                      <w:divBdr>
                        <w:top w:val="none" w:sz="0" w:space="0" w:color="auto"/>
                        <w:left w:val="none" w:sz="0" w:space="0" w:color="auto"/>
                        <w:bottom w:val="none" w:sz="0" w:space="0" w:color="auto"/>
                        <w:right w:val="none" w:sz="0" w:space="0" w:color="auto"/>
                      </w:divBdr>
                      <w:divsChild>
                        <w:div w:id="527987787">
                          <w:marLeft w:val="0"/>
                          <w:marRight w:val="0"/>
                          <w:marTop w:val="0"/>
                          <w:marBottom w:val="0"/>
                          <w:divBdr>
                            <w:top w:val="none" w:sz="0" w:space="0" w:color="auto"/>
                            <w:left w:val="none" w:sz="0" w:space="0" w:color="auto"/>
                            <w:bottom w:val="none" w:sz="0" w:space="0" w:color="auto"/>
                            <w:right w:val="none" w:sz="0" w:space="0" w:color="auto"/>
                          </w:divBdr>
                          <w:divsChild>
                            <w:div w:id="1083992979">
                              <w:marLeft w:val="0"/>
                              <w:marRight w:val="0"/>
                              <w:marTop w:val="0"/>
                              <w:marBottom w:val="0"/>
                              <w:divBdr>
                                <w:top w:val="none" w:sz="0" w:space="0" w:color="auto"/>
                                <w:left w:val="none" w:sz="0" w:space="0" w:color="auto"/>
                                <w:bottom w:val="none" w:sz="0" w:space="0" w:color="auto"/>
                                <w:right w:val="none" w:sz="0" w:space="0" w:color="auto"/>
                              </w:divBdr>
                              <w:divsChild>
                                <w:div w:id="1148598341">
                                  <w:marLeft w:val="0"/>
                                  <w:marRight w:val="0"/>
                                  <w:marTop w:val="0"/>
                                  <w:marBottom w:val="0"/>
                                  <w:divBdr>
                                    <w:top w:val="none" w:sz="0" w:space="0" w:color="auto"/>
                                    <w:left w:val="none" w:sz="0" w:space="0" w:color="auto"/>
                                    <w:bottom w:val="none" w:sz="0" w:space="0" w:color="auto"/>
                                    <w:right w:val="none" w:sz="0" w:space="0" w:color="auto"/>
                                  </w:divBdr>
                                  <w:divsChild>
                                    <w:div w:id="96358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8020810">
      <w:bodyDiv w:val="1"/>
      <w:marLeft w:val="0"/>
      <w:marRight w:val="0"/>
      <w:marTop w:val="0"/>
      <w:marBottom w:val="0"/>
      <w:divBdr>
        <w:top w:val="none" w:sz="0" w:space="0" w:color="auto"/>
        <w:left w:val="none" w:sz="0" w:space="0" w:color="auto"/>
        <w:bottom w:val="none" w:sz="0" w:space="0" w:color="auto"/>
        <w:right w:val="none" w:sz="0" w:space="0" w:color="auto"/>
      </w:divBdr>
    </w:div>
    <w:div w:id="2077974576">
      <w:bodyDiv w:val="1"/>
      <w:marLeft w:val="0"/>
      <w:marRight w:val="0"/>
      <w:marTop w:val="0"/>
      <w:marBottom w:val="0"/>
      <w:divBdr>
        <w:top w:val="none" w:sz="0" w:space="0" w:color="auto"/>
        <w:left w:val="none" w:sz="0" w:space="0" w:color="auto"/>
        <w:bottom w:val="none" w:sz="0" w:space="0" w:color="auto"/>
        <w:right w:val="none" w:sz="0" w:space="0" w:color="auto"/>
      </w:divBdr>
    </w:div>
    <w:div w:id="2082754132">
      <w:bodyDiv w:val="1"/>
      <w:marLeft w:val="0"/>
      <w:marRight w:val="0"/>
      <w:marTop w:val="0"/>
      <w:marBottom w:val="0"/>
      <w:divBdr>
        <w:top w:val="none" w:sz="0" w:space="0" w:color="auto"/>
        <w:left w:val="none" w:sz="0" w:space="0" w:color="auto"/>
        <w:bottom w:val="none" w:sz="0" w:space="0" w:color="auto"/>
        <w:right w:val="none" w:sz="0" w:space="0" w:color="auto"/>
      </w:divBdr>
    </w:div>
    <w:div w:id="2086997999">
      <w:bodyDiv w:val="1"/>
      <w:marLeft w:val="0"/>
      <w:marRight w:val="0"/>
      <w:marTop w:val="0"/>
      <w:marBottom w:val="0"/>
      <w:divBdr>
        <w:top w:val="none" w:sz="0" w:space="0" w:color="auto"/>
        <w:left w:val="none" w:sz="0" w:space="0" w:color="auto"/>
        <w:bottom w:val="none" w:sz="0" w:space="0" w:color="auto"/>
        <w:right w:val="none" w:sz="0" w:space="0" w:color="auto"/>
      </w:divBdr>
    </w:div>
    <w:div w:id="2091465055">
      <w:bodyDiv w:val="1"/>
      <w:marLeft w:val="0"/>
      <w:marRight w:val="0"/>
      <w:marTop w:val="0"/>
      <w:marBottom w:val="0"/>
      <w:divBdr>
        <w:top w:val="none" w:sz="0" w:space="0" w:color="auto"/>
        <w:left w:val="none" w:sz="0" w:space="0" w:color="auto"/>
        <w:bottom w:val="none" w:sz="0" w:space="0" w:color="auto"/>
        <w:right w:val="none" w:sz="0" w:space="0" w:color="auto"/>
      </w:divBdr>
    </w:div>
    <w:div w:id="2093776076">
      <w:bodyDiv w:val="1"/>
      <w:marLeft w:val="0"/>
      <w:marRight w:val="0"/>
      <w:marTop w:val="0"/>
      <w:marBottom w:val="0"/>
      <w:divBdr>
        <w:top w:val="none" w:sz="0" w:space="0" w:color="auto"/>
        <w:left w:val="none" w:sz="0" w:space="0" w:color="auto"/>
        <w:bottom w:val="none" w:sz="0" w:space="0" w:color="auto"/>
        <w:right w:val="none" w:sz="0" w:space="0" w:color="auto"/>
      </w:divBdr>
    </w:div>
    <w:div w:id="2101414658">
      <w:bodyDiv w:val="1"/>
      <w:marLeft w:val="0"/>
      <w:marRight w:val="0"/>
      <w:marTop w:val="0"/>
      <w:marBottom w:val="0"/>
      <w:divBdr>
        <w:top w:val="none" w:sz="0" w:space="0" w:color="auto"/>
        <w:left w:val="none" w:sz="0" w:space="0" w:color="auto"/>
        <w:bottom w:val="none" w:sz="0" w:space="0" w:color="auto"/>
        <w:right w:val="none" w:sz="0" w:space="0" w:color="auto"/>
      </w:divBdr>
      <w:divsChild>
        <w:div w:id="1973560689">
          <w:marLeft w:val="0"/>
          <w:marRight w:val="0"/>
          <w:marTop w:val="0"/>
          <w:marBottom w:val="0"/>
          <w:divBdr>
            <w:top w:val="none" w:sz="0" w:space="0" w:color="auto"/>
            <w:left w:val="none" w:sz="0" w:space="0" w:color="auto"/>
            <w:bottom w:val="none" w:sz="0" w:space="0" w:color="auto"/>
            <w:right w:val="none" w:sz="0" w:space="0" w:color="auto"/>
          </w:divBdr>
          <w:divsChild>
            <w:div w:id="754473490">
              <w:marLeft w:val="0"/>
              <w:marRight w:val="0"/>
              <w:marTop w:val="0"/>
              <w:marBottom w:val="0"/>
              <w:divBdr>
                <w:top w:val="none" w:sz="0" w:space="0" w:color="auto"/>
                <w:left w:val="none" w:sz="0" w:space="0" w:color="auto"/>
                <w:bottom w:val="none" w:sz="0" w:space="0" w:color="auto"/>
                <w:right w:val="none" w:sz="0" w:space="0" w:color="auto"/>
              </w:divBdr>
              <w:divsChild>
                <w:div w:id="1174564125">
                  <w:marLeft w:val="0"/>
                  <w:marRight w:val="0"/>
                  <w:marTop w:val="0"/>
                  <w:marBottom w:val="0"/>
                  <w:divBdr>
                    <w:top w:val="none" w:sz="0" w:space="0" w:color="auto"/>
                    <w:left w:val="none" w:sz="0" w:space="0" w:color="auto"/>
                    <w:bottom w:val="none" w:sz="0" w:space="0" w:color="auto"/>
                    <w:right w:val="none" w:sz="0" w:space="0" w:color="auto"/>
                  </w:divBdr>
                  <w:divsChild>
                    <w:div w:id="1305936407">
                      <w:marLeft w:val="0"/>
                      <w:marRight w:val="0"/>
                      <w:marTop w:val="0"/>
                      <w:marBottom w:val="0"/>
                      <w:divBdr>
                        <w:top w:val="none" w:sz="0" w:space="0" w:color="auto"/>
                        <w:left w:val="none" w:sz="0" w:space="0" w:color="auto"/>
                        <w:bottom w:val="none" w:sz="0" w:space="0" w:color="auto"/>
                        <w:right w:val="none" w:sz="0" w:space="0" w:color="auto"/>
                      </w:divBdr>
                      <w:divsChild>
                        <w:div w:id="321545458">
                          <w:marLeft w:val="0"/>
                          <w:marRight w:val="0"/>
                          <w:marTop w:val="0"/>
                          <w:marBottom w:val="0"/>
                          <w:divBdr>
                            <w:top w:val="none" w:sz="0" w:space="0" w:color="auto"/>
                            <w:left w:val="none" w:sz="0" w:space="0" w:color="auto"/>
                            <w:bottom w:val="none" w:sz="0" w:space="0" w:color="auto"/>
                            <w:right w:val="none" w:sz="0" w:space="0" w:color="auto"/>
                          </w:divBdr>
                          <w:divsChild>
                            <w:div w:id="266305198">
                              <w:marLeft w:val="0"/>
                              <w:marRight w:val="0"/>
                              <w:marTop w:val="0"/>
                              <w:marBottom w:val="0"/>
                              <w:divBdr>
                                <w:top w:val="none" w:sz="0" w:space="0" w:color="auto"/>
                                <w:left w:val="none" w:sz="0" w:space="0" w:color="auto"/>
                                <w:bottom w:val="none" w:sz="0" w:space="0" w:color="auto"/>
                                <w:right w:val="none" w:sz="0" w:space="0" w:color="auto"/>
                              </w:divBdr>
                              <w:divsChild>
                                <w:div w:id="1221868695">
                                  <w:marLeft w:val="0"/>
                                  <w:marRight w:val="0"/>
                                  <w:marTop w:val="0"/>
                                  <w:marBottom w:val="0"/>
                                  <w:divBdr>
                                    <w:top w:val="none" w:sz="0" w:space="0" w:color="auto"/>
                                    <w:left w:val="none" w:sz="0" w:space="0" w:color="auto"/>
                                    <w:bottom w:val="none" w:sz="0" w:space="0" w:color="auto"/>
                                    <w:right w:val="none" w:sz="0" w:space="0" w:color="auto"/>
                                  </w:divBdr>
                                  <w:divsChild>
                                    <w:div w:id="915163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7265607">
      <w:bodyDiv w:val="1"/>
      <w:marLeft w:val="0"/>
      <w:marRight w:val="0"/>
      <w:marTop w:val="0"/>
      <w:marBottom w:val="0"/>
      <w:divBdr>
        <w:top w:val="none" w:sz="0" w:space="0" w:color="auto"/>
        <w:left w:val="none" w:sz="0" w:space="0" w:color="auto"/>
        <w:bottom w:val="none" w:sz="0" w:space="0" w:color="auto"/>
        <w:right w:val="none" w:sz="0" w:space="0" w:color="auto"/>
      </w:divBdr>
    </w:div>
    <w:div w:id="2113478453">
      <w:bodyDiv w:val="1"/>
      <w:marLeft w:val="0"/>
      <w:marRight w:val="0"/>
      <w:marTop w:val="0"/>
      <w:marBottom w:val="0"/>
      <w:divBdr>
        <w:top w:val="none" w:sz="0" w:space="0" w:color="auto"/>
        <w:left w:val="none" w:sz="0" w:space="0" w:color="auto"/>
        <w:bottom w:val="none" w:sz="0" w:space="0" w:color="auto"/>
        <w:right w:val="none" w:sz="0" w:space="0" w:color="auto"/>
      </w:divBdr>
    </w:div>
    <w:div w:id="2122144251">
      <w:bodyDiv w:val="1"/>
      <w:marLeft w:val="0"/>
      <w:marRight w:val="0"/>
      <w:marTop w:val="0"/>
      <w:marBottom w:val="0"/>
      <w:divBdr>
        <w:top w:val="none" w:sz="0" w:space="0" w:color="auto"/>
        <w:left w:val="none" w:sz="0" w:space="0" w:color="auto"/>
        <w:bottom w:val="none" w:sz="0" w:space="0" w:color="auto"/>
        <w:right w:val="none" w:sz="0" w:space="0" w:color="auto"/>
      </w:divBdr>
    </w:div>
    <w:div w:id="2128350569">
      <w:bodyDiv w:val="1"/>
      <w:marLeft w:val="0"/>
      <w:marRight w:val="0"/>
      <w:marTop w:val="0"/>
      <w:marBottom w:val="0"/>
      <w:divBdr>
        <w:top w:val="none" w:sz="0" w:space="0" w:color="auto"/>
        <w:left w:val="none" w:sz="0" w:space="0" w:color="auto"/>
        <w:bottom w:val="none" w:sz="0" w:space="0" w:color="auto"/>
        <w:right w:val="none" w:sz="0" w:space="0" w:color="auto"/>
      </w:divBdr>
    </w:div>
    <w:div w:id="2133816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reports.weforum.org/docs/WEF_Global_Risks_Report_2025.pdf" TargetMode="External"/><Relationship Id="rId13" Type="http://schemas.openxmlformats.org/officeDocument/2006/relationships/hyperlink" Target="https://health.ec.europa.eu/health-security-and-infectious-diseases/surveillance-and-early-warning/eu-reference-laboratories-public-health_en" TargetMode="External"/><Relationship Id="rId18" Type="http://schemas.openxmlformats.org/officeDocument/2006/relationships/hyperlink" Target="https://hadea.ec.europa.eu/news/eu4health-call-tenders-set-framework-contracts-speed-development-next-generation-influenza-vaccines-2025-03-27_en" TargetMode="External"/><Relationship Id="rId26" Type="http://schemas.openxmlformats.org/officeDocument/2006/relationships/hyperlink" Target="https://eur-lex.europa.eu/legal-content/FR/TXT/PDF/?uri=CELEX:52025JC0120" TargetMode="External"/><Relationship Id="rId3" Type="http://schemas.openxmlformats.org/officeDocument/2006/relationships/hyperlink" Target="https://commission.europa.eu/document/download/5bb2881f-9e29-42f2-8b77-8739b19d047c_en?filename=2024_Niinisto-report_Book_VF.pdf" TargetMode="External"/><Relationship Id="rId21" Type="http://schemas.openxmlformats.org/officeDocument/2006/relationships/hyperlink" Target="https://eur-lex.europa.eu/eli/reg/2022/2372/oj/fra" TargetMode="External"/><Relationship Id="rId7" Type="http://schemas.openxmlformats.org/officeDocument/2006/relationships/hyperlink" Target="https://www.eea.europa.eu/en/analysis/publications/european-climate-risk-assessment" TargetMode="External"/><Relationship Id="rId12" Type="http://schemas.openxmlformats.org/officeDocument/2006/relationships/hyperlink" Target="https://eur-lex.europa.eu/legal-content/FR/TXT/PDF/?uri=CELEX:32022R2371" TargetMode="External"/><Relationship Id="rId17" Type="http://schemas.openxmlformats.org/officeDocument/2006/relationships/hyperlink" Target="https://eur-lex.europa.eu/legal-content/FR/TXT/?uri=COM%3A2025%3A0102%3AFIN" TargetMode="External"/><Relationship Id="rId25" Type="http://schemas.openxmlformats.org/officeDocument/2006/relationships/hyperlink" Target="https://www.glopid-r.org/" TargetMode="External"/><Relationship Id="rId2" Type="http://schemas.openxmlformats.org/officeDocument/2006/relationships/hyperlink" Target="https://commission.europa.eu/topics/justice-and-fundamental-rights/equality-and-inclusion_fr" TargetMode="External"/><Relationship Id="rId16" Type="http://schemas.openxmlformats.org/officeDocument/2006/relationships/hyperlink" Target="https://eur-lex.europa.eu/legal-content/FR/TXT/?uri=celex:52025DC0270" TargetMode="External"/><Relationship Id="rId20" Type="http://schemas.openxmlformats.org/officeDocument/2006/relationships/hyperlink" Target="https://eur-lex.europa.eu/eli/reg/2024/2747/oj/fra" TargetMode="External"/><Relationship Id="rId1" Type="http://schemas.openxmlformats.org/officeDocument/2006/relationships/hyperlink" Target="https://eur-lex.europa.eu/legal-content/FR/AUTO/?uri=celex:32022R2371" TargetMode="External"/><Relationship Id="rId6" Type="http://schemas.openxmlformats.org/officeDocument/2006/relationships/hyperlink" Target="https://eur-lex.europa.eu/legal-content/FR/TXT/PDF/?uri=CELEX:52025DC0030" TargetMode="External"/><Relationship Id="rId11" Type="http://schemas.openxmlformats.org/officeDocument/2006/relationships/hyperlink" Target="https://eur-lex.europa.eu/eli/dir/2024/3019/oj/fra" TargetMode="External"/><Relationship Id="rId24" Type="http://schemas.openxmlformats.org/officeDocument/2006/relationships/hyperlink" Target="https://www.global-health-edctp3.europa.eu/index_en" TargetMode="External"/><Relationship Id="rId5" Type="http://schemas.openxmlformats.org/officeDocument/2006/relationships/hyperlink" Target="https://eur-lex.europa.eu/legal-content/FR/TXT/HTML/?uri=CELEX:52025JC0130" TargetMode="External"/><Relationship Id="rId15" Type="http://schemas.openxmlformats.org/officeDocument/2006/relationships/hyperlink" Target="https://research-and-innovation.ec.europa.eu/document/download/411698e8-6062-41af-96e5-af54474d70f5_en" TargetMode="External"/><Relationship Id="rId23" Type="http://schemas.openxmlformats.org/officeDocument/2006/relationships/hyperlink" Target="https://eur-lex.europa.eu/legal-content/FR/TXT/?uri=celex:52025DC0147" TargetMode="External"/><Relationship Id="rId28" Type="http://schemas.openxmlformats.org/officeDocument/2006/relationships/hyperlink" Target="https://eur-lex.europa.eu/legal-content/FR/TXT/?uri=celex:52025DC0090" TargetMode="External"/><Relationship Id="rId10" Type="http://schemas.openxmlformats.org/officeDocument/2006/relationships/hyperlink" Target="https://eur-lex.europa.eu/legal-content/FR/TXT/PDF/?uri=CELEX:32022R2372" TargetMode="External"/><Relationship Id="rId19" Type="http://schemas.openxmlformats.org/officeDocument/2006/relationships/hyperlink" Target="https://eu-jamrai.eu/" TargetMode="External"/><Relationship Id="rId4" Type="http://schemas.openxmlformats.org/officeDocument/2006/relationships/hyperlink" Target="https://commission.europa.eu/document/download/97e481fd-2dc3-412d-be4c-f152a8232961_fr?filename=The%20future%20of%20European%20competitiveness%20_%20A%20competitiveness%20strategy%20for%20Europe.pdf" TargetMode="External"/><Relationship Id="rId9" Type="http://schemas.openxmlformats.org/officeDocument/2006/relationships/hyperlink" Target="https://pandemichub.who.int/" TargetMode="External"/><Relationship Id="rId14" Type="http://schemas.openxmlformats.org/officeDocument/2006/relationships/hyperlink" Target="https://durableproject.org/" TargetMode="External"/><Relationship Id="rId22" Type="http://schemas.openxmlformats.org/officeDocument/2006/relationships/hyperlink" Target="https://eur-lex.europa.eu/legal-content/FR/TXT/?uri=CELEX%3A52025JC0130" TargetMode="External"/><Relationship Id="rId27" Type="http://schemas.openxmlformats.org/officeDocument/2006/relationships/hyperlink" Target="https://health.ec.europa.eu/antimicrobial-resistance/eu-action-antimicrobial-resistance_f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506BE9-36A9-41C8-997E-BD3940E1F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10120</Words>
  <Characters>57688</Characters>
  <Application>Microsoft Office Word</Application>
  <DocSecurity>0</DocSecurity>
  <Lines>480</Lines>
  <Paragraphs>135</Paragraphs>
  <ScaleCrop>false</ScaleCrop>
  <Manager/>
  <Company/>
  <LinksUpToDate>false</LinksUpToDate>
  <CharactersWithSpaces>67673</CharactersWithSpaces>
  <SharedDoc>false</SharedDoc>
  <HLinks>
    <vt:vector size="216" baseType="variant">
      <vt:variant>
        <vt:i4>589841</vt:i4>
      </vt:variant>
      <vt:variant>
        <vt:i4>78</vt:i4>
      </vt:variant>
      <vt:variant>
        <vt:i4>0</vt:i4>
      </vt:variant>
      <vt:variant>
        <vt:i4>5</vt:i4>
      </vt:variant>
      <vt:variant>
        <vt:lpwstr>https://eur-lex.europa.eu/legal-content/EN/TXT/?uri=celex:52025DC0090</vt:lpwstr>
      </vt:variant>
      <vt:variant>
        <vt:lpwstr/>
      </vt:variant>
      <vt:variant>
        <vt:i4>7798900</vt:i4>
      </vt:variant>
      <vt:variant>
        <vt:i4>72</vt:i4>
      </vt:variant>
      <vt:variant>
        <vt:i4>0</vt:i4>
      </vt:variant>
      <vt:variant>
        <vt:i4>5</vt:i4>
      </vt:variant>
      <vt:variant>
        <vt:lpwstr>https://eur-lex.europa.eu/eli/dec/2013/1082/oj/eng</vt:lpwstr>
      </vt:variant>
      <vt:variant>
        <vt:lpwstr/>
      </vt:variant>
      <vt:variant>
        <vt:i4>4784161</vt:i4>
      </vt:variant>
      <vt:variant>
        <vt:i4>69</vt:i4>
      </vt:variant>
      <vt:variant>
        <vt:i4>0</vt:i4>
      </vt:variant>
      <vt:variant>
        <vt:i4>5</vt:i4>
      </vt:variant>
      <vt:variant>
        <vt:lpwstr>https://commission.europa.eu/document/download/e6d5db69-e0ab-4bec-9dc0-3867b4373019_en?filename=White%20paper%20for%20European%20defence%20%E2%80%93%20Readiness%202030.pdf</vt:lpwstr>
      </vt:variant>
      <vt:variant>
        <vt:lpwstr/>
      </vt:variant>
      <vt:variant>
        <vt:i4>131147</vt:i4>
      </vt:variant>
      <vt:variant>
        <vt:i4>66</vt:i4>
      </vt:variant>
      <vt:variant>
        <vt:i4>0</vt:i4>
      </vt:variant>
      <vt:variant>
        <vt:i4>5</vt:i4>
      </vt:variant>
      <vt:variant>
        <vt:lpwstr>https://op.europa.eu/en/publication-detail/-/publication/616cce9c-39e5-11f0-8a44-01aa75ed71a1</vt:lpwstr>
      </vt:variant>
      <vt:variant>
        <vt:lpwstr/>
      </vt:variant>
      <vt:variant>
        <vt:i4>262160</vt:i4>
      </vt:variant>
      <vt:variant>
        <vt:i4>63</vt:i4>
      </vt:variant>
      <vt:variant>
        <vt:i4>0</vt:i4>
      </vt:variant>
      <vt:variant>
        <vt:i4>5</vt:i4>
      </vt:variant>
      <vt:variant>
        <vt:lpwstr>https://eur-lex.europa.eu/legal-content/EN/TXT/?uri=celex:52025DC0147</vt:lpwstr>
      </vt:variant>
      <vt:variant>
        <vt:lpwstr/>
      </vt:variant>
      <vt:variant>
        <vt:i4>7536675</vt:i4>
      </vt:variant>
      <vt:variant>
        <vt:i4>60</vt:i4>
      </vt:variant>
      <vt:variant>
        <vt:i4>0</vt:i4>
      </vt:variant>
      <vt:variant>
        <vt:i4>5</vt:i4>
      </vt:variant>
      <vt:variant>
        <vt:lpwstr>https://eur-lex.europa.eu/legal-content/EN/TXT/?uri=CELEX%3A52025JC0130</vt:lpwstr>
      </vt:variant>
      <vt:variant>
        <vt:lpwstr/>
      </vt:variant>
      <vt:variant>
        <vt:i4>7995494</vt:i4>
      </vt:variant>
      <vt:variant>
        <vt:i4>57</vt:i4>
      </vt:variant>
      <vt:variant>
        <vt:i4>0</vt:i4>
      </vt:variant>
      <vt:variant>
        <vt:i4>5</vt:i4>
      </vt:variant>
      <vt:variant>
        <vt:lpwstr>https://eur-lex.europa.eu/eli/reg/2022/2372/oj/eng</vt:lpwstr>
      </vt:variant>
      <vt:variant>
        <vt:lpwstr/>
      </vt:variant>
      <vt:variant>
        <vt:i4>8323175</vt:i4>
      </vt:variant>
      <vt:variant>
        <vt:i4>54</vt:i4>
      </vt:variant>
      <vt:variant>
        <vt:i4>0</vt:i4>
      </vt:variant>
      <vt:variant>
        <vt:i4>5</vt:i4>
      </vt:variant>
      <vt:variant>
        <vt:lpwstr>https://eur-lex.europa.eu/eli/reg/2024/2747/oj/eng</vt:lpwstr>
      </vt:variant>
      <vt:variant>
        <vt:lpwstr/>
      </vt:variant>
      <vt:variant>
        <vt:i4>4390952</vt:i4>
      </vt:variant>
      <vt:variant>
        <vt:i4>51</vt:i4>
      </vt:variant>
      <vt:variant>
        <vt:i4>0</vt:i4>
      </vt:variant>
      <vt:variant>
        <vt:i4>5</vt:i4>
      </vt:variant>
      <vt:variant>
        <vt:lpwstr>https://hadea.ec.europa.eu/news/eu4health-call-tenders-set-framework-contracts-speed-development-next-generation-influenza-vaccines-2025-03-27_en</vt:lpwstr>
      </vt:variant>
      <vt:variant>
        <vt:lpwstr/>
      </vt:variant>
      <vt:variant>
        <vt:i4>7209002</vt:i4>
      </vt:variant>
      <vt:variant>
        <vt:i4>48</vt:i4>
      </vt:variant>
      <vt:variant>
        <vt:i4>0</vt:i4>
      </vt:variant>
      <vt:variant>
        <vt:i4>5</vt:i4>
      </vt:variant>
      <vt:variant>
        <vt:lpwstr>https://eur-lex.europa.eu/legal-content/EN/TXT/?uri=COM%3A2025%3A0102%3AFIN</vt:lpwstr>
      </vt:variant>
      <vt:variant>
        <vt:lpwstr/>
      </vt:variant>
      <vt:variant>
        <vt:i4>458771</vt:i4>
      </vt:variant>
      <vt:variant>
        <vt:i4>45</vt:i4>
      </vt:variant>
      <vt:variant>
        <vt:i4>0</vt:i4>
      </vt:variant>
      <vt:variant>
        <vt:i4>5</vt:i4>
      </vt:variant>
      <vt:variant>
        <vt:lpwstr>https://eur-lex.europa.eu/legal-content/EN/TXT/?uri=celex:52025DC0270</vt:lpwstr>
      </vt:variant>
      <vt:variant>
        <vt:lpwstr/>
      </vt:variant>
      <vt:variant>
        <vt:i4>7798893</vt:i4>
      </vt:variant>
      <vt:variant>
        <vt:i4>42</vt:i4>
      </vt:variant>
      <vt:variant>
        <vt:i4>0</vt:i4>
      </vt:variant>
      <vt:variant>
        <vt:i4>5</vt:i4>
      </vt:variant>
      <vt:variant>
        <vt:lpwstr>https://eur-lex.europa.eu/eli/dir/2024/3019/oj/eng</vt:lpwstr>
      </vt:variant>
      <vt:variant>
        <vt:lpwstr/>
      </vt:variant>
      <vt:variant>
        <vt:i4>65549</vt:i4>
      </vt:variant>
      <vt:variant>
        <vt:i4>39</vt:i4>
      </vt:variant>
      <vt:variant>
        <vt:i4>0</vt:i4>
      </vt:variant>
      <vt:variant>
        <vt:i4>5</vt:i4>
      </vt:variant>
      <vt:variant>
        <vt:lpwstr>https://eur-lex.europa.eu/legal-content/EN/TXT/PDF/?uri=CELEX:32022R2372</vt:lpwstr>
      </vt:variant>
      <vt:variant>
        <vt:lpwstr/>
      </vt:variant>
      <vt:variant>
        <vt:i4>196621</vt:i4>
      </vt:variant>
      <vt:variant>
        <vt:i4>36</vt:i4>
      </vt:variant>
      <vt:variant>
        <vt:i4>0</vt:i4>
      </vt:variant>
      <vt:variant>
        <vt:i4>5</vt:i4>
      </vt:variant>
      <vt:variant>
        <vt:lpwstr>https://eur-lex.europa.eu/legal-content/EN/TXT/PDF/?uri=CELEX:32022R2370</vt:lpwstr>
      </vt:variant>
      <vt:variant>
        <vt:lpwstr/>
      </vt:variant>
      <vt:variant>
        <vt:i4>2031645</vt:i4>
      </vt:variant>
      <vt:variant>
        <vt:i4>33</vt:i4>
      </vt:variant>
      <vt:variant>
        <vt:i4>0</vt:i4>
      </vt:variant>
      <vt:variant>
        <vt:i4>5</vt:i4>
      </vt:variant>
      <vt:variant>
        <vt:lpwstr>https://reports.weforum.org/docs/WEF_Global_Risks_Report_2025.pdf</vt:lpwstr>
      </vt:variant>
      <vt:variant>
        <vt:lpwstr/>
      </vt:variant>
      <vt:variant>
        <vt:i4>6422577</vt:i4>
      </vt:variant>
      <vt:variant>
        <vt:i4>30</vt:i4>
      </vt:variant>
      <vt:variant>
        <vt:i4>0</vt:i4>
      </vt:variant>
      <vt:variant>
        <vt:i4>5</vt:i4>
      </vt:variant>
      <vt:variant>
        <vt:lpwstr>https://www.eea.europa.eu/en/analysis/publications/european-climate-risk-assessment</vt:lpwstr>
      </vt:variant>
      <vt:variant>
        <vt:lpwstr/>
      </vt:variant>
      <vt:variant>
        <vt:i4>7536663</vt:i4>
      </vt:variant>
      <vt:variant>
        <vt:i4>27</vt:i4>
      </vt:variant>
      <vt:variant>
        <vt:i4>0</vt:i4>
      </vt:variant>
      <vt:variant>
        <vt:i4>5</vt:i4>
      </vt:variant>
      <vt:variant>
        <vt:lpwstr>https://environment.ec.europa.eu/publications/european-water-resilience-strategy_en</vt:lpwstr>
      </vt:variant>
      <vt:variant>
        <vt:lpwstr/>
      </vt:variant>
      <vt:variant>
        <vt:i4>4915233</vt:i4>
      </vt:variant>
      <vt:variant>
        <vt:i4>24</vt:i4>
      </vt:variant>
      <vt:variant>
        <vt:i4>0</vt:i4>
      </vt:variant>
      <vt:variant>
        <vt:i4>5</vt:i4>
      </vt:variant>
      <vt:variant>
        <vt:lpwstr>https://research-and-innovation.ec.europa.eu/strategy/strategy-research-and-innovation/jobs-and-economy/towards-strategy-european-life-sciences_en</vt:lpwstr>
      </vt:variant>
      <vt:variant>
        <vt:lpwstr/>
      </vt:variant>
      <vt:variant>
        <vt:i4>458771</vt:i4>
      </vt:variant>
      <vt:variant>
        <vt:i4>21</vt:i4>
      </vt:variant>
      <vt:variant>
        <vt:i4>0</vt:i4>
      </vt:variant>
      <vt:variant>
        <vt:i4>5</vt:i4>
      </vt:variant>
      <vt:variant>
        <vt:lpwstr>https://eur-lex.europa.eu/legal-content/EN/TXT/?uri=celex:52025DC0270</vt:lpwstr>
      </vt:variant>
      <vt:variant>
        <vt:lpwstr/>
      </vt:variant>
      <vt:variant>
        <vt:i4>4784161</vt:i4>
      </vt:variant>
      <vt:variant>
        <vt:i4>18</vt:i4>
      </vt:variant>
      <vt:variant>
        <vt:i4>0</vt:i4>
      </vt:variant>
      <vt:variant>
        <vt:i4>5</vt:i4>
      </vt:variant>
      <vt:variant>
        <vt:lpwstr>https://commission.europa.eu/document/download/e6d5db69-e0ab-4bec-9dc0-3867b4373019_en?filename=White%20paper%20for%20European%20defence%20%E2%80%93%20Readiness%202030.pdf</vt:lpwstr>
      </vt:variant>
      <vt:variant>
        <vt:lpwstr/>
      </vt:variant>
      <vt:variant>
        <vt:i4>7995427</vt:i4>
      </vt:variant>
      <vt:variant>
        <vt:i4>15</vt:i4>
      </vt:variant>
      <vt:variant>
        <vt:i4>0</vt:i4>
      </vt:variant>
      <vt:variant>
        <vt:i4>5</vt:i4>
      </vt:variant>
      <vt:variant>
        <vt:lpwstr>https://eur-lex.europa.eu/legal-content/EN/TXT/?uri=CELEX%3A52025DC0148</vt:lpwstr>
      </vt:variant>
      <vt:variant>
        <vt:lpwstr/>
      </vt:variant>
      <vt:variant>
        <vt:i4>7864358</vt:i4>
      </vt:variant>
      <vt:variant>
        <vt:i4>12</vt:i4>
      </vt:variant>
      <vt:variant>
        <vt:i4>0</vt:i4>
      </vt:variant>
      <vt:variant>
        <vt:i4>5</vt:i4>
      </vt:variant>
      <vt:variant>
        <vt:lpwstr>https://commission.europa.eu/document/download/10017eb1-4722-4333-add2-e0ed18105a34_en?filename=Communication_1.pdf</vt:lpwstr>
      </vt:variant>
      <vt:variant>
        <vt:lpwstr/>
      </vt:variant>
      <vt:variant>
        <vt:i4>917517</vt:i4>
      </vt:variant>
      <vt:variant>
        <vt:i4>9</vt:i4>
      </vt:variant>
      <vt:variant>
        <vt:i4>0</vt:i4>
      </vt:variant>
      <vt:variant>
        <vt:i4>5</vt:i4>
      </vt:variant>
      <vt:variant>
        <vt:lpwstr>https://webgate.ec.europa.eu/circabc-ewpp/d/d/workspace/SpacesStore/b81316ab-a513-49a1-b520-b6a6e0de6986/file.bin</vt:lpwstr>
      </vt:variant>
      <vt:variant>
        <vt:lpwstr/>
      </vt:variant>
      <vt:variant>
        <vt:i4>7798889</vt:i4>
      </vt:variant>
      <vt:variant>
        <vt:i4>6</vt:i4>
      </vt:variant>
      <vt:variant>
        <vt:i4>0</vt:i4>
      </vt:variant>
      <vt:variant>
        <vt:i4>5</vt:i4>
      </vt:variant>
      <vt:variant>
        <vt:lpwstr>https://commission.europa.eu/document/download/97e481fd-2dc3-412d-be4c-f152a8232961_en?filename=The%20future%20of%20European%20competitiveness%20_%20A%20competitiveness%20strategy%20for%20Europe.pdf</vt:lpwstr>
      </vt:variant>
      <vt:variant>
        <vt:lpwstr/>
      </vt:variant>
      <vt:variant>
        <vt:i4>4325401</vt:i4>
      </vt:variant>
      <vt:variant>
        <vt:i4>3</vt:i4>
      </vt:variant>
      <vt:variant>
        <vt:i4>0</vt:i4>
      </vt:variant>
      <vt:variant>
        <vt:i4>5</vt:i4>
      </vt:variant>
      <vt:variant>
        <vt:lpwstr>https://commission.europa.eu/document/download/5bb2881f-9e29-42f2-8b77-8739b19d047c_en?filename=2024_Niinisto-report_Book_VF.pdf</vt:lpwstr>
      </vt:variant>
      <vt:variant>
        <vt:lpwstr/>
      </vt:variant>
      <vt:variant>
        <vt:i4>917517</vt:i4>
      </vt:variant>
      <vt:variant>
        <vt:i4>0</vt:i4>
      </vt:variant>
      <vt:variant>
        <vt:i4>0</vt:i4>
      </vt:variant>
      <vt:variant>
        <vt:i4>5</vt:i4>
      </vt:variant>
      <vt:variant>
        <vt:lpwstr>https://webgate.ec.europa.eu/circabc-ewpp/d/d/workspace/SpacesStore/b81316ab-a513-49a1-b520-b6a6e0de6986/file.bin</vt:lpwstr>
      </vt:variant>
      <vt:variant>
        <vt:lpwstr/>
      </vt:variant>
      <vt:variant>
        <vt:i4>458786</vt:i4>
      </vt:variant>
      <vt:variant>
        <vt:i4>27</vt:i4>
      </vt:variant>
      <vt:variant>
        <vt:i4>0</vt:i4>
      </vt:variant>
      <vt:variant>
        <vt:i4>5</vt:i4>
      </vt:variant>
      <vt:variant>
        <vt:lpwstr>mailto:Olivier.GIRARD@ec.europa.eu</vt:lpwstr>
      </vt:variant>
      <vt:variant>
        <vt:lpwstr/>
      </vt:variant>
      <vt:variant>
        <vt:i4>2031652</vt:i4>
      </vt:variant>
      <vt:variant>
        <vt:i4>24</vt:i4>
      </vt:variant>
      <vt:variant>
        <vt:i4>0</vt:i4>
      </vt:variant>
      <vt:variant>
        <vt:i4>5</vt:i4>
      </vt:variant>
      <vt:variant>
        <vt:lpwstr>mailto:Antoine.CORPORANDY@ec.europa.eu</vt:lpwstr>
      </vt:variant>
      <vt:variant>
        <vt:lpwstr/>
      </vt:variant>
      <vt:variant>
        <vt:i4>458786</vt:i4>
      </vt:variant>
      <vt:variant>
        <vt:i4>21</vt:i4>
      </vt:variant>
      <vt:variant>
        <vt:i4>0</vt:i4>
      </vt:variant>
      <vt:variant>
        <vt:i4>5</vt:i4>
      </vt:variant>
      <vt:variant>
        <vt:lpwstr>mailto:Olivier.GIRARD@ec.europa.eu</vt:lpwstr>
      </vt:variant>
      <vt:variant>
        <vt:lpwstr/>
      </vt:variant>
      <vt:variant>
        <vt:i4>6553694</vt:i4>
      </vt:variant>
      <vt:variant>
        <vt:i4>18</vt:i4>
      </vt:variant>
      <vt:variant>
        <vt:i4>0</vt:i4>
      </vt:variant>
      <vt:variant>
        <vt:i4>5</vt:i4>
      </vt:variant>
      <vt:variant>
        <vt:lpwstr>mailto:Laura.JANSEN@ec.europa.eu</vt:lpwstr>
      </vt:variant>
      <vt:variant>
        <vt:lpwstr/>
      </vt:variant>
      <vt:variant>
        <vt:i4>1376296</vt:i4>
      </vt:variant>
      <vt:variant>
        <vt:i4>15</vt:i4>
      </vt:variant>
      <vt:variant>
        <vt:i4>0</vt:i4>
      </vt:variant>
      <vt:variant>
        <vt:i4>5</vt:i4>
      </vt:variant>
      <vt:variant>
        <vt:lpwstr>mailto:Csaba.GALI@ec.europa.eu</vt:lpwstr>
      </vt:variant>
      <vt:variant>
        <vt:lpwstr/>
      </vt:variant>
      <vt:variant>
        <vt:i4>3014686</vt:i4>
      </vt:variant>
      <vt:variant>
        <vt:i4>12</vt:i4>
      </vt:variant>
      <vt:variant>
        <vt:i4>0</vt:i4>
      </vt:variant>
      <vt:variant>
        <vt:i4>5</vt:i4>
      </vt:variant>
      <vt:variant>
        <vt:lpwstr>mailto:Joao.MADEIRA@ec.europa.eu</vt:lpwstr>
      </vt:variant>
      <vt:variant>
        <vt:lpwstr/>
      </vt:variant>
      <vt:variant>
        <vt:i4>7733277</vt:i4>
      </vt:variant>
      <vt:variant>
        <vt:i4>9</vt:i4>
      </vt:variant>
      <vt:variant>
        <vt:i4>0</vt:i4>
      </vt:variant>
      <vt:variant>
        <vt:i4>5</vt:i4>
      </vt:variant>
      <vt:variant>
        <vt:lpwstr>mailto:Maria.LOUREIRO1@ec.europa.eu</vt:lpwstr>
      </vt:variant>
      <vt:variant>
        <vt:lpwstr/>
      </vt:variant>
      <vt:variant>
        <vt:i4>2818150</vt:i4>
      </vt:variant>
      <vt:variant>
        <vt:i4>6</vt:i4>
      </vt:variant>
      <vt:variant>
        <vt:i4>0</vt:i4>
      </vt:variant>
      <vt:variant>
        <vt:i4>5</vt:i4>
      </vt:variant>
      <vt:variant>
        <vt:lpwstr>https://doi.org/10.1098/rsif.2014.0950</vt:lpwstr>
      </vt:variant>
      <vt:variant>
        <vt:lpwstr/>
      </vt:variant>
      <vt:variant>
        <vt:i4>262161</vt:i4>
      </vt:variant>
      <vt:variant>
        <vt:i4>3</vt:i4>
      </vt:variant>
      <vt:variant>
        <vt:i4>0</vt:i4>
      </vt:variant>
      <vt:variant>
        <vt:i4>5</vt:i4>
      </vt:variant>
      <vt:variant>
        <vt:lpwstr>https://doi.org/10.1136/bmjgh-2023-012026</vt:lpwstr>
      </vt:variant>
      <vt:variant>
        <vt:lpwstr/>
      </vt:variant>
      <vt:variant>
        <vt:i4>3932267</vt:i4>
      </vt:variant>
      <vt:variant>
        <vt:i4>0</vt:i4>
      </vt:variant>
      <vt:variant>
        <vt:i4>0</vt:i4>
      </vt:variant>
      <vt:variant>
        <vt:i4>5</vt:i4>
      </vt:variant>
      <vt:variant>
        <vt:lpwstr>https://doi.org/10.1073/pnas.2105482118</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2025-07-07T14:46:00Z</dcterms:created>
  <dcterms:modified xsi:type="dcterms:W3CDTF">2025-08-29T14:33:00Z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9.1, Build 20240808</vt:lpwstr>
  </property>
  <property fmtid="{D5CDD505-2E9C-101B-9397-08002B2CF9AE}" pid="4" name="MSIP_Label_6bd9ddd1-4d20-43f6-abfa-fc3c07406f94_Enabled">
    <vt:lpwstr>true</vt:lpwstr>
  </property>
  <property fmtid="{D5CDD505-2E9C-101B-9397-08002B2CF9AE}" pid="5" name="MSIP_Label_6bd9ddd1-4d20-43f6-abfa-fc3c07406f94_SetDate">
    <vt:lpwstr>2025-07-05T12:22:03Z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e931599c-bcf5-4d78-b943-43ddc2456127</vt:lpwstr>
  </property>
  <property fmtid="{D5CDD505-2E9C-101B-9397-08002B2CF9AE}" pid="10" name="MSIP_Label_6bd9ddd1-4d20-43f6-abfa-fc3c07406f94_ContentBits">
    <vt:lpwstr>0</vt:lpwstr>
  </property>
  <property fmtid="{D5CDD505-2E9C-101B-9397-08002B2CF9AE}" pid="11" name="Level of sensitivity">
    <vt:lpwstr>Standard treatment</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CP-014</vt:lpwstr>
  </property>
</Properties>
</file>