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01D44" w14:textId="7E0AF637" w:rsidR="009476AE" w:rsidRDefault="003B51D8" w:rsidP="003B51D8">
      <w:pPr>
        <w:pStyle w:val="Pagedecouverture"/>
        <w:rPr>
          <w:noProof/>
        </w:rPr>
      </w:pPr>
      <w:bookmarkStart w:id="0" w:name="LW_BM_COVERPAGE"/>
      <w:r>
        <w:rPr>
          <w:noProof/>
        </w:rPr>
        <w:pict w14:anchorId="6B7F0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0C710F-B6A1-4419-B784-E948AE43B704" style="width:455.25pt;height:351.75pt">
            <v:imagedata r:id="rId11" o:title=""/>
          </v:shape>
        </w:pict>
      </w:r>
    </w:p>
    <w:bookmarkEnd w:id="0"/>
    <w:p w14:paraId="13EA04BB" w14:textId="77777777" w:rsidR="009476AE" w:rsidRDefault="009476AE" w:rsidP="009476AE">
      <w:pPr>
        <w:rPr>
          <w:noProof/>
        </w:rPr>
        <w:sectPr w:rsidR="009476AE" w:rsidSect="003B51D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CE6AEE" w14:textId="3576AC53" w:rsidR="00660C61" w:rsidRPr="000D6231" w:rsidRDefault="6DC56626" w:rsidP="51489DC9">
      <w:pPr>
        <w:pStyle w:val="ListParagraph"/>
        <w:numPr>
          <w:ilvl w:val="0"/>
          <w:numId w:val="34"/>
        </w:numPr>
        <w:spacing w:after="24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INTRODUCTION</w:t>
      </w:r>
    </w:p>
    <w:p w14:paraId="19756163" w14:textId="24BDB2BD" w:rsidR="00F916BD" w:rsidRPr="000D6231" w:rsidRDefault="00E842E0" w:rsidP="00084F91">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 cadre financier pluriannuel 2028-2034 sera bien plus qu’un simple plan financier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 sera une déclaration stratégique de la volonté politique collective de l’Union de mettre en œuvre ses priorités et d’agir avec force et unité sur la scène mondiale au cours de la décennie à venir. Le budget de l’UE est le moteur de l’Union. Il a montré à maintes reprises qu’il était vecteur de changement, agissant comme catalyseur pour l’investissement et la croissance et en tant qu’expression forte de la solidarité européenne. Rien qu’au cours des cinq dernières années, il a contribué à sauver des vies et à assurer des moyens de subsistance pendant la pandémie, a permis à l’Union de surmonter les crises de l’énergie et de la chaîne d’approvisionnement et a appuyé le soutien sans faille de l’Union envers l’Ukraine.</w:t>
      </w:r>
    </w:p>
    <w:p w14:paraId="38FC84BC" w14:textId="48A85DB4" w:rsidR="00745C7D" w:rsidRDefault="00AB44F5" w:rsidP="00105E2C">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 xml:space="preserve">Il est temps de construire une Europe plus indépendante, car l’Union ne peut compter uniquement sur d’autres acteurs pour assurer sa sécurité et sa prospérité à long terme. </w:t>
      </w:r>
      <w:r>
        <w:rPr>
          <w:rFonts w:ascii="Times New Roman" w:hAnsi="Times New Roman"/>
          <w:noProof/>
          <w:sz w:val="24"/>
        </w:rPr>
        <w:t>La guerre d’agression menée par la Russie aux frontières de l’Union, l’instabilité géopolitique grandissante et la perturbation des relations commerciales à l’échelle mondiale ont constitué un signal d’alarme considérable pour l’Europe. Ces bouleversements nous ont contraints à réévaluer nos priorités stratégiques et à prendre des mesures urgentes pour réduire les dépendances et remédier aux vulnérabilités face à une multitude de menaces pesant sur notre sécurité et notre mode de vie. Pour ce faire, il était nécessaire de mettre l’accent sur la compétitivité, la sécurité, la défense, la migration, la sécurité alimentaire, l’autonomie stratégique, ainsi que sur nos préparatifs en vue du futur élargissement de l’Union. Cela a renforcé notre attachement aux principes et aux valeurs qui unissent l’Europe et font de l’Union un modèle de stabilité et de progrès dans un monde instable.</w:t>
      </w:r>
    </w:p>
    <w:p w14:paraId="4F1B7EA4" w14:textId="5357A07B" w:rsidR="00D226C3" w:rsidRPr="000D6231" w:rsidRDefault="00DF6746" w:rsidP="00105E2C">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Prendre en main notre avenir commun signifie doter l’Union d’un budget ambitieux, tant par sa taille que dans sa conception</w:t>
      </w:r>
      <w:r>
        <w:rPr>
          <w:rFonts w:ascii="Times New Roman" w:hAnsi="Times New Roman"/>
          <w:noProof/>
          <w:sz w:val="24"/>
        </w:rPr>
        <w:t>. Pour créer des possibilités pour les générations actuelles et à venir d’Européens et pour aider les personnes dans le besoin. Pour défendre nos intérêts stratégiques et nos valeurs. Pour exploiter le potentiel du marché unique et exploiter les nouvelles technologies afin de stimuler la croissance et l’innovation. Pour atteindre nos objectifs climatiques et soutenir les entreprises, notamment les petites entreprises, et les citoyens dans la transition vers une économie à émissions nulles. Pour protéger notre environnement, préserver nos ressources naturelles, promouvoir la circularité et renforcer la compétitivité et la résilience de l’Europe, et notamment la résilience dans le domaine de l’eau. Pour assurer notre sécurité collective, rétablir l’avantage concurrentiel de l’Europe, renforcer la cohésion économique, sociale et territoriale et gérer les retombées des tendances démographiques. Pour renforcer les frontières extérieures de l’UE, gérer les migrations et assurer le bon fonctionnement de l’espace Schengen. Pour saisir l’occasion historique de renforcer encore l’Union que représente l’élargissement. Et enfin pour mettre en place des partenariats stratégiques mondiaux qui font de l’Union un acteur fort et fiable sur la scène mondiale, solidement ancré dans les principes du commerce international fondé sur des règles.</w:t>
      </w:r>
    </w:p>
    <w:p w14:paraId="125F2045" w14:textId="744CD71C" w:rsidR="00D36A18" w:rsidRDefault="004A7B65" w:rsidP="00E80660">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L’Europe doit maintenant agir différemment, et notamment en ce qui concerne le budget de l’Union.</w:t>
      </w:r>
      <w:r>
        <w:rPr>
          <w:rFonts w:ascii="Times New Roman" w:hAnsi="Times New Roman"/>
          <w:noProof/>
          <w:sz w:val="24"/>
        </w:rPr>
        <w:t xml:space="preserve"> En cette période d’incertitude géopolitique et économique accrue, l’Union fait l’objet d’attentes considérables quant aux réponses à apporter à une série de défis générationnels. Les exigences sont plus élevées que jamais et la taille du budget de l’UE doit être à la mesure des responsabilités grandissantes de l’Union. Cependant, les ressources sont limitées. Les budgets nationaux sont mis à rude épreuve et ne permettent pas de relever seuls les défis transfrontières. L’emprunt conjoint permettant de financer NextGenerationEU devra être remboursé dans les années à venir. Cela signifie que nous devons optimiser l’utilisation de chaque euro du budget de l’UE pour investir dans les domaines où la valeur ajoutée de l’UE est la plus élevée et pour attirer les investissements privés et publics.</w:t>
      </w:r>
    </w:p>
    <w:p w14:paraId="2F95D625" w14:textId="5F1AA55D" w:rsidR="5CADB370" w:rsidRDefault="12396855" w:rsidP="00C93A00">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L’Union a besoin d’un budget plus ambitieux, qui sera à la fois plus simple, plus flexible et plus stratégique</w:t>
      </w:r>
      <w:r>
        <w:rPr>
          <w:rFonts w:ascii="Times New Roman" w:hAnsi="Times New Roman"/>
          <w:noProof/>
          <w:sz w:val="24"/>
        </w:rPr>
        <w:t xml:space="preserve">. </w:t>
      </w:r>
      <w:r>
        <w:rPr>
          <w:rFonts w:ascii="Times New Roman" w:hAnsi="Times New Roman"/>
          <w:b/>
          <w:noProof/>
          <w:sz w:val="24"/>
        </w:rPr>
        <w:t>Et surtout, le budget de l’UE doit produire des résultats</w:t>
      </w:r>
      <w:r>
        <w:rPr>
          <w:rFonts w:ascii="Times New Roman" w:hAnsi="Times New Roman"/>
          <w:noProof/>
          <w:sz w:val="24"/>
        </w:rPr>
        <w:t>. Tel est le message qui ressort massivement des grandes consultations publiques lancées par la Commission sur le futur cadre financier pluriannuel</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des recommandations d’un panel de citoyens européens consacré à ce thème</w:t>
      </w:r>
      <w:r>
        <w:rPr>
          <w:rStyle w:val="FootnoteReference"/>
          <w:rFonts w:ascii="Times New Roman" w:eastAsia="Calibri" w:hAnsi="Times New Roman" w:cs="Times New Roman"/>
          <w:noProof/>
          <w:sz w:val="24"/>
          <w:szCs w:val="24"/>
        </w:rPr>
        <w:footnoteReference w:id="3"/>
      </w:r>
      <w:r>
        <w:rPr>
          <w:rFonts w:ascii="Times New Roman" w:hAnsi="Times New Roman"/>
          <w:noProof/>
          <w:sz w:val="24"/>
        </w:rPr>
        <w:t xml:space="preserve"> et des vastes consultations menées aux niveaux européen, national, régional et local. Il est temps à présent de mettre ces enseignements en pratique et de doter l’Union d’un budget moderne dans un monde en mutation rapide.</w:t>
      </w:r>
    </w:p>
    <w:p w14:paraId="6D5ACA8D" w14:textId="15C7632A" w:rsidR="00D12F2C" w:rsidRPr="000D6231" w:rsidRDefault="00067DFD" w:rsidP="00114357">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L’expérience montre que la flexibilité est essentielle.</w:t>
      </w:r>
      <w:r>
        <w:rPr>
          <w:rFonts w:ascii="Times New Roman" w:hAnsi="Times New Roman"/>
          <w:noProof/>
          <w:sz w:val="24"/>
        </w:rPr>
        <w:t xml:space="preserve"> Le cadre financier pluriannuel apporte la stabilité et la prévisibilité qui font du budget de l’UE un moteur d’investissement à long terme aussi puissant. Toutefois, dans un monde incertain et instable, le budget de l’UE doit également disposer d’une capacité structurelle beaucoup plus forte pour s’adapter à l’imprévu. Trop souvent, la réponse budgétaire aux crises et à l’évolution des besoins a été ponctuelle et improvisée. Il ne s’agit pas là d’une base solide pour mener une politique à longue échéance. C’est la raison pour laquelle la Commission propose un budget plus souple et mieux préparé à faire face aux événements tant prévisibles qu’imprévisibles. Le rôle de pilotage du budget par le Parlement européen et le Conseil assurera à tout moment un niveau élevé de contrôle politique, de transparence et de responsabilité démocratique.</w:t>
      </w:r>
    </w:p>
    <w:p w14:paraId="2F73BE92" w14:textId="70940FD6" w:rsidR="00C54AE9" w:rsidRPr="000D6231" w:rsidRDefault="00C9461F" w:rsidP="003A648E">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La Commission s’est engagée dans un effort de simplification de l’Europe sans précédent, ce qui doit inclure le budget de l’UE</w:t>
      </w:r>
      <w:r>
        <w:rPr>
          <w:rFonts w:ascii="Times New Roman" w:hAnsi="Times New Roman"/>
          <w:noProof/>
          <w:sz w:val="24"/>
        </w:rPr>
        <w:t>. Les consultations publiques ont confirmé que les programmes financiers de l’UE sont devenus trop fragmentés, avec des chevauchements, des lacunes et des règles divergentes, ce qui est source de confusion et réduit l’accessibilité, la flexibilité et l’efficacité des programmes. La Commission propose de rationaliser et d’harmoniser les programmes financiers de l’UE, ce qui permettrait de faciliter considérablement l’identification des possibilités de financement, de libérer des synergies et de créer un budget rationalisé, transparent et cohérent au service de tous les Européens.</w:t>
      </w:r>
    </w:p>
    <w:p w14:paraId="2F7F3907" w14:textId="6462D89F" w:rsidR="00A21541" w:rsidRDefault="130286CF" w:rsidP="7290A835">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 prochain budget à long terme de l’UE représente une occasion de réaffirmer l’attachement de l’Europe à nos valeurs et objectifs communs</w:t>
      </w:r>
      <w:r>
        <w:rPr>
          <w:rFonts w:ascii="Times New Roman" w:hAnsi="Times New Roman"/>
          <w:noProof/>
          <w:sz w:val="24"/>
        </w:rPr>
        <w:t>. Les propositions de la Commission ont pour objectif que les investissements de l’UE soient guidés par nos priorités politiques et produisent de meilleurs résultats que les États membres lorsqu’ils agissent seuls. Elles sont ancrées dans le respect de l’état de droit et témoignent d’une volonté forte de veiller à ce que les fonds de l’UE soient dépensés à bon escient et dans le respect des normes les plus élevées en matière de bonne gestion financière.</w:t>
      </w:r>
    </w:p>
    <w:p w14:paraId="0A39B671" w14:textId="1C7EBFA6" w:rsidR="0019047E" w:rsidRDefault="00A62F5E" w:rsidP="00AB4A31">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La Commission propose un budget ambitieux de 1 980 milliards d’EUR pour la période 2028-2034, équivalent à 1,26 % du RNB de l’UE. </w:t>
      </w:r>
      <w:r>
        <w:rPr>
          <w:rFonts w:ascii="Times New Roman" w:hAnsi="Times New Roman"/>
          <w:noProof/>
          <w:sz w:val="24"/>
        </w:rPr>
        <w:t>Seul un budget suffisant peut permettre à l’Union de se montrer à la hauteur de ses ambitions. Ce budget permettra à l’Union de s’appuyer sur la dynamique créée par NextGenerationEU et de s’acquitter des tâches et des responsabilités qui lui ont été confiées.</w:t>
      </w:r>
    </w:p>
    <w:p w14:paraId="249989C7" w14:textId="458B059E" w:rsidR="00F5099D" w:rsidRPr="000D6231" w:rsidRDefault="006821D1" w:rsidP="00E96B7D">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La modernisation du financement du budget de l’UE est un élément essentiel de ce train de mesures, qui permettra de maintenir des contributions nationales stables malgré l’augmentation de la taille du budget. </w:t>
      </w:r>
      <w:r>
        <w:rPr>
          <w:rFonts w:ascii="Times New Roman" w:hAnsi="Times New Roman"/>
          <w:noProof/>
          <w:sz w:val="24"/>
        </w:rPr>
        <w:t>Un budget ambitieux axé sur les priorités européennes devrait reposer sur un système de recettes plus moderne et européen. À cette fin, la Commission propose un nouveau train de mesures renforcé relatif à de nouvelles ressources propres, qui comprend des ajustements à la proposition de 2023 relative à de nouvelles ressources propres et à des candidats supplémentaires. Les recettes ainsi générées permettront au budget de l’UE d’être conforme aux ambitions tout en respectant les obligations de l’Union en ce qui concerne le remboursement des emprunts NextGenerationEU.</w:t>
      </w:r>
    </w:p>
    <w:p w14:paraId="07207E52" w14:textId="0775BB2A" w:rsidR="00414C8E" w:rsidRPr="00716AB6" w:rsidRDefault="001E6B3A" w:rsidP="003A648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cadre financier pluriannuel 2028-2034 est une occasion unique de remanier notre budget à long terme pour l’adapter à un monde en constante évolution. </w:t>
      </w:r>
      <w:r>
        <w:rPr>
          <w:rFonts w:ascii="Times New Roman" w:hAnsi="Times New Roman"/>
          <w:noProof/>
          <w:sz w:val="24"/>
        </w:rPr>
        <w:t>Le budget de l’UE et les politiques communes qu’il soutient font partie de l’architecture de notre Union. Les principes et objectifs fondamentaux qui ont façonné le budget de l’UE depuis sa création ne changeront pas, mais les défis auxquels l’Union est confrontée sont tels qu’un statu quo n’est pas envisageable. En rendant le budget de l’UE et ses programmes plus simples, plus flexibles et plus adaptés stratégiquement aux priorités d’aujourd’hui et de demain, nous donnerons à l’Union le budget moderne dont elle a besoin pour protéger ses citoyens, aider les entreprises européennes à prospérer et renforcer le modèle social européen. Et pour encourager les citoyens, les chercheurs et les entreprises de l’UE et d’ailleurs à choisir l’Europe.</w:t>
      </w:r>
    </w:p>
    <w:p w14:paraId="453C515F" w14:textId="5356CADF" w:rsidR="00946024" w:rsidRDefault="0034294A" w:rsidP="00087308">
      <w:pPr>
        <w:spacing w:after="240" w:line="240" w:lineRule="auto"/>
        <w:jc w:val="both"/>
        <w:rPr>
          <w:rFonts w:ascii="Times New Roman" w:hAnsi="Times New Roman" w:cs="Times New Roman"/>
          <w:noProof/>
          <w:sz w:val="24"/>
          <w:szCs w:val="24"/>
        </w:rPr>
      </w:pPr>
      <w:r>
        <w:rPr>
          <w:rFonts w:ascii="Times New Roman" w:hAnsi="Times New Roman"/>
          <w:b/>
          <w:noProof/>
          <w:sz w:val="24"/>
        </w:rPr>
        <w:t>Bref, il s’agit de construire une Europe indépendante capable de façonner son propre destin.</w:t>
      </w:r>
    </w:p>
    <w:p w14:paraId="1F1FA40E" w14:textId="77777777" w:rsidR="00F95D44" w:rsidRPr="000D6231" w:rsidRDefault="00F95D44" w:rsidP="003A648E">
      <w:pPr>
        <w:spacing w:after="240" w:line="240" w:lineRule="auto"/>
        <w:jc w:val="both"/>
        <w:rPr>
          <w:rFonts w:ascii="Times New Roman" w:hAnsi="Times New Roman" w:cs="Times New Roman"/>
          <w:noProof/>
          <w:sz w:val="24"/>
          <w:szCs w:val="24"/>
        </w:rPr>
      </w:pPr>
    </w:p>
    <w:p w14:paraId="5A423692" w14:textId="65225C7B" w:rsidR="00660C61" w:rsidRPr="00B326BB" w:rsidRDefault="00D1721F" w:rsidP="003A648E">
      <w:pPr>
        <w:pStyle w:val="ListParagraph"/>
        <w:numPr>
          <w:ilvl w:val="0"/>
          <w:numId w:val="34"/>
        </w:numPr>
        <w:spacing w:after="240" w:line="240" w:lineRule="auto"/>
        <w:contextualSpacing w:val="0"/>
        <w:jc w:val="both"/>
        <w:rPr>
          <w:rFonts w:ascii="Times New Roman" w:hAnsi="Times New Roman" w:cs="Times New Roman"/>
          <w:b/>
          <w:noProof/>
          <w:sz w:val="24"/>
          <w:szCs w:val="24"/>
          <w:u w:val="single"/>
        </w:rPr>
      </w:pPr>
      <w:r>
        <w:rPr>
          <w:rFonts w:ascii="Times New Roman" w:hAnsi="Times New Roman"/>
          <w:b/>
          <w:noProof/>
          <w:sz w:val="24"/>
        </w:rPr>
        <w:t>LE BUDGET DE L’UE: LES PRIORITÉS DE L’UE EN ACTION</w:t>
      </w:r>
    </w:p>
    <w:p w14:paraId="72C6F4C5" w14:textId="58B661AB" w:rsidR="00597B49" w:rsidRDefault="00415548" w:rsidP="000C3A3A">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Le nouveau budget de l’UE sera un </w:t>
      </w:r>
      <w:r>
        <w:rPr>
          <w:rFonts w:ascii="Times New Roman" w:hAnsi="Times New Roman"/>
          <w:b/>
          <w:noProof/>
          <w:sz w:val="24"/>
        </w:rPr>
        <w:t>budget fondé sur les politiques</w:t>
      </w:r>
      <w:r>
        <w:rPr>
          <w:rFonts w:ascii="Times New Roman" w:hAnsi="Times New Roman"/>
          <w:noProof/>
          <w:sz w:val="24"/>
        </w:rPr>
        <w:t>. La prochaine génération de programmes financiers de l’UE doit former un ensemble cohérent, afin que ces programmes œuvrent de concert pour porter la coopération européenne au niveau supérieur dans des domaines prioritaires tels que la compétitivité, la sécurité, la décarbonation, la durabilité et la cohésion économique, sociale et territoriale. Les programmes du budget de l’UE révisé sont conçus pour être complémentaires, ce qui permettra de combiner les ressources allouées au soutien des priorités européennes, tant au sein de l’Union qu’à l’échelle mondiale.</w:t>
      </w:r>
    </w:p>
    <w:p w14:paraId="3FA790DC" w14:textId="77777777" w:rsidR="00365FB8" w:rsidRDefault="00365FB8" w:rsidP="000C3A3A">
      <w:pPr>
        <w:spacing w:after="240" w:line="240" w:lineRule="auto"/>
        <w:jc w:val="both"/>
        <w:rPr>
          <w:rFonts w:ascii="Times New Roman" w:hAnsi="Times New Roman" w:cs="Times New Roman"/>
          <w:bCs/>
          <w:noProof/>
          <w:sz w:val="24"/>
          <w:szCs w:val="24"/>
        </w:rPr>
      </w:pPr>
    </w:p>
    <w:p w14:paraId="2C7B50C9" w14:textId="0BB78F14" w:rsidR="00660C61" w:rsidRPr="000D6231" w:rsidRDefault="00660C61" w:rsidP="29F06BFF">
      <w:pPr>
        <w:pStyle w:val="ListParagraph"/>
        <w:numPr>
          <w:ilvl w:val="0"/>
          <w:numId w:val="35"/>
        </w:numPr>
        <w:spacing w:after="240" w:line="240" w:lineRule="auto"/>
        <w:jc w:val="both"/>
        <w:rPr>
          <w:rFonts w:ascii="Times New Roman" w:hAnsi="Times New Roman" w:cs="Times New Roman"/>
          <w:b/>
          <w:bCs/>
          <w:noProof/>
          <w:sz w:val="24"/>
          <w:szCs w:val="24"/>
        </w:rPr>
      </w:pPr>
      <w:r>
        <w:rPr>
          <w:rFonts w:ascii="Times New Roman" w:hAnsi="Times New Roman"/>
          <w:b/>
          <w:noProof/>
          <w:sz w:val="24"/>
        </w:rPr>
        <w:t>Favoriser la prospérité, la durabilité et la sécurité – investissements et réformes sur mesure au moyen de plans de partenariat nationaux et régionaux</w:t>
      </w:r>
    </w:p>
    <w:p w14:paraId="748FDBEE" w14:textId="658E0F2A" w:rsidR="00CD2EE1" w:rsidRPr="00A40F83" w:rsidRDefault="00A26ADE" w:rsidP="003A648E">
      <w:pPr>
        <w:spacing w:after="240" w:line="240" w:lineRule="auto"/>
        <w:jc w:val="center"/>
        <w:rPr>
          <w:rFonts w:ascii="Times New Roman" w:hAnsi="Times New Roman" w:cs="Times New Roman"/>
          <w:noProof/>
          <w:sz w:val="24"/>
          <w:szCs w:val="24"/>
        </w:rPr>
      </w:pPr>
      <w:r w:rsidRPr="00A26ADE">
        <w:rPr>
          <w:rFonts w:ascii="Times New Roman" w:hAnsi="Times New Roman" w:cs="Times New Roman"/>
          <w:noProof/>
          <w:sz w:val="24"/>
          <w:szCs w:val="24"/>
          <w:lang w:val="en-GB" w:eastAsia="en-GB"/>
        </w:rPr>
        <w:drawing>
          <wp:inline distT="0" distB="0" distL="0" distR="0" wp14:anchorId="15E89A7F" wp14:editId="3FD24F8B">
            <wp:extent cx="5880399" cy="3244850"/>
            <wp:effectExtent l="0" t="0" r="6350" b="0"/>
            <wp:docPr id="31807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79465" name=""/>
                    <pic:cNvPicPr/>
                  </pic:nvPicPr>
                  <pic:blipFill>
                    <a:blip r:embed="rId18"/>
                    <a:stretch>
                      <a:fillRect/>
                    </a:stretch>
                  </pic:blipFill>
                  <pic:spPr>
                    <a:xfrm>
                      <a:off x="0" y="0"/>
                      <a:ext cx="5882515" cy="3246018"/>
                    </a:xfrm>
                    <a:prstGeom prst="rect">
                      <a:avLst/>
                    </a:prstGeom>
                  </pic:spPr>
                </pic:pic>
              </a:graphicData>
            </a:graphic>
          </wp:inline>
        </w:drawing>
      </w:r>
    </w:p>
    <w:p w14:paraId="0373008E" w14:textId="01634EBA" w:rsidR="00C90FB5" w:rsidRPr="00B334AE" w:rsidRDefault="00CC5E7F" w:rsidP="002B7764">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Les plans de partenariat nationaux et régionaux combineront les fonds de l’UE mis en œuvre par les États membres et les régions au moyen d’un processus de planification cohérent et ajusté, pleinement aligné sur les priorités communes de l’Union. Ils maximiseront l’incidence de chaque euro dépensé, offriront davantage de flexibilité pour s’adapter aux besoins régionaux et locaux et simplifieront les règles pour les États membres et les régions.</w:t>
      </w:r>
    </w:p>
    <w:p w14:paraId="269DEFA5" w14:textId="59CFDE41" w:rsidR="003117A4" w:rsidRDefault="000462F2" w:rsidP="00BB3D11">
      <w:pPr>
        <w:spacing w:after="240" w:line="240" w:lineRule="auto"/>
        <w:jc w:val="both"/>
        <w:rPr>
          <w:rFonts w:ascii="Times New Roman" w:hAnsi="Times New Roman"/>
          <w:noProof/>
          <w:sz w:val="24"/>
        </w:rPr>
      </w:pPr>
      <w:r>
        <w:rPr>
          <w:rFonts w:ascii="Times New Roman" w:hAnsi="Times New Roman"/>
          <w:b/>
          <w:noProof/>
          <w:sz w:val="24"/>
        </w:rPr>
        <w:t xml:space="preserve">Les nouveaux plans de partenariat nationaux et régionaux pour les investissements et les réformes s’appuieront sur les performances remarquables des politiques communes de l’Europe pour les rendre plus fortes et plus efficaces. </w:t>
      </w:r>
      <w:r>
        <w:rPr>
          <w:rFonts w:ascii="Times New Roman" w:hAnsi="Times New Roman"/>
          <w:noProof/>
          <w:sz w:val="24"/>
        </w:rPr>
        <w:t>Les partenariats renforceront les synergies entre les politiques actuelles visant à soutenir les priorités européennes, renforçant ainsi la cohésion économique, sociale et territoriale. En outre, ils stimuleront l’action de l’UE visant à supprimer les obstacles au marché intérieur. Avec une enveloppe de 865 milliards d’EUR (dont 50 milliards d’euros provenant du Fonds social pour le climat), les plans assureront un soutien continu aux politiques communes de l’Europe selon une approche modernisée.</w:t>
      </w:r>
    </w:p>
    <w:p w14:paraId="4171AAF2" w14:textId="204FC123" w:rsidR="00206BBE" w:rsidRDefault="00206BBE">
      <w:pPr>
        <w:rPr>
          <w:rFonts w:ascii="Times New Roman" w:hAnsi="Times New Roman"/>
          <w:noProof/>
          <w:sz w:val="24"/>
        </w:rPr>
      </w:pPr>
      <w:r>
        <w:rPr>
          <w:rFonts w:ascii="Times New Roman" w:hAnsi="Times New Roman"/>
          <w:noProof/>
          <w:sz w:val="24"/>
        </w:rPr>
        <w:br w:type="page"/>
      </w:r>
    </w:p>
    <w:p w14:paraId="4BD36716" w14:textId="623B1536" w:rsidR="00B164A3" w:rsidRPr="002B7764" w:rsidRDefault="00BD07CD" w:rsidP="002B7764">
      <w:pPr>
        <w:spacing w:after="240" w:line="240" w:lineRule="auto"/>
        <w:jc w:val="center"/>
        <w:rPr>
          <w:rFonts w:ascii="Times New Roman" w:hAnsi="Times New Roman" w:cs="Times New Roman"/>
          <w:b/>
          <w:noProof/>
          <w:sz w:val="24"/>
          <w:szCs w:val="24"/>
        </w:rPr>
      </w:pPr>
      <w:r>
        <w:rPr>
          <w:rFonts w:ascii="Times New Roman" w:hAnsi="Times New Roman"/>
          <w:b/>
          <w:noProof/>
          <w:sz w:val="24"/>
        </w:rPr>
        <w:t>L’enveloppe des plans de partenariat nationaux et régionaux 2028-2034</w:t>
      </w:r>
    </w:p>
    <w:p w14:paraId="21EAA199" w14:textId="72374E99" w:rsidR="00B179C2" w:rsidRPr="00B179C2" w:rsidRDefault="00206BBE" w:rsidP="00B179C2">
      <w:pPr>
        <w:spacing w:after="240"/>
        <w:jc w:val="center"/>
        <w:rPr>
          <w:noProof/>
        </w:rPr>
      </w:pPr>
      <w:r>
        <w:rPr>
          <w:noProof/>
          <w:lang w:val="en-GB" w:eastAsia="en-GB"/>
        </w:rPr>
        <w:drawing>
          <wp:inline distT="0" distB="0" distL="0" distR="0" wp14:anchorId="4ECF4A3A" wp14:editId="51DA01BA">
            <wp:extent cx="2768600" cy="5029200"/>
            <wp:effectExtent l="0" t="0" r="12700" b="0"/>
            <wp:docPr id="1183625619" name="Chart 1">
              <a:extLst xmlns:a="http://schemas.openxmlformats.org/drawingml/2006/main">
                <a:ext uri="{FF2B5EF4-FFF2-40B4-BE49-F238E27FC236}">
                  <a16:creationId xmlns:a16="http://schemas.microsoft.com/office/drawing/2014/main" id="{17E34206-F50A-451A-9772-F09362006B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EA6AE35" w14:textId="168E55A8" w:rsidR="00071134" w:rsidRPr="00616ACE" w:rsidRDefault="00C53039" w:rsidP="00616ACE">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Les plans de partenariat seront ancrés dans les priorités européennes, mais adaptés aux besoins spécifiques des États membres et des régions. </w:t>
      </w:r>
      <w:r>
        <w:rPr>
          <w:rFonts w:ascii="Times New Roman" w:hAnsi="Times New Roman"/>
          <w:noProof/>
          <w:sz w:val="24"/>
        </w:rPr>
        <w:t xml:space="preserve">Les plans répondront aux principales priorités et aux principaux défis mis en évidence, y compris dans le cadre du Semestre européen. Ils seront assumés et mis en œuvre en partenariat avec les autorités nationales et régionales. Le nouveau système de mise en œuvre tiendra compte de la diversité des États membres, en leur offrant une certaine souplesse dans l’élaboration des chapitres nationaux, sectoriels et, le cas échéant, régionaux et territoriaux, comme le prévoient les règles actuelles, en fonction des structures et traditions constitutionnelles de chaque État membre. Les plans apporteront un soutien ciblé, couvrant l’ensemble des politiques de l’UE, aux besoins urgents, tels que les défis auxquels sont confrontées les régions frontalières orientales les plus touchées par la guerre d’agression menée par la Russie contre l’Ukraine. De manière générale, les partenariats seront moins contraignants quant à la </w:t>
      </w:r>
      <w:r>
        <w:rPr>
          <w:rFonts w:ascii="Times New Roman" w:hAnsi="Times New Roman"/>
          <w:i/>
          <w:noProof/>
          <w:sz w:val="24"/>
        </w:rPr>
        <w:t>manière</w:t>
      </w:r>
      <w:r>
        <w:rPr>
          <w:rFonts w:ascii="Times New Roman" w:hAnsi="Times New Roman"/>
          <w:noProof/>
          <w:sz w:val="24"/>
        </w:rPr>
        <w:t xml:space="preserve"> d’atteindre les objectifs communs, mais plus exigeants quant aux </w:t>
      </w:r>
      <w:r>
        <w:rPr>
          <w:rFonts w:ascii="Times New Roman" w:hAnsi="Times New Roman"/>
          <w:i/>
          <w:noProof/>
          <w:sz w:val="24"/>
        </w:rPr>
        <w:t>résultats</w:t>
      </w:r>
      <w:r>
        <w:rPr>
          <w:rFonts w:ascii="Times New Roman" w:hAnsi="Times New Roman"/>
          <w:noProof/>
          <w:sz w:val="24"/>
        </w:rPr>
        <w:t xml:space="preserve"> à atteindre, en veillant au plein respect du principe de subsidiarité.</w:t>
      </w:r>
    </w:p>
    <w:p w14:paraId="159F8DCB" w14:textId="6D78DE80" w:rsidR="00C17603" w:rsidRDefault="00C17603" w:rsidP="00C17603">
      <w:pPr>
        <w:spacing w:after="240" w:line="240" w:lineRule="auto"/>
        <w:jc w:val="both"/>
        <w:rPr>
          <w:rFonts w:ascii="Times New Roman" w:hAnsi="Times New Roman" w:cs="Times New Roman"/>
          <w:noProof/>
          <w:sz w:val="24"/>
          <w:szCs w:val="24"/>
        </w:rPr>
      </w:pPr>
      <w:r>
        <w:rPr>
          <w:rFonts w:ascii="Times New Roman" w:hAnsi="Times New Roman"/>
          <w:b/>
          <w:noProof/>
          <w:sz w:val="24"/>
        </w:rPr>
        <w:t>Les plans de partenariat nationaux et régionaux</w:t>
      </w:r>
      <w:r>
        <w:rPr>
          <w:rFonts w:ascii="Times New Roman" w:hAnsi="Times New Roman"/>
          <w:noProof/>
          <w:sz w:val="24"/>
        </w:rPr>
        <w:t xml:space="preserve"> regrouperont 14 fonds existants et assureront une cohérence ainsi qu’une programmation conjointe entre ces fonds, tout en tenant compte de leurs spécificités. Cela permettra de rationaliser des processus de programmation complexes, de réduire la longueur des procédures de validation et de créer de nouvelles possibilités de synergies.</w:t>
      </w:r>
    </w:p>
    <w:p w14:paraId="4A0C87C5" w14:textId="448C7B4F" w:rsidR="005742B3" w:rsidRDefault="00EA28B7"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noProof/>
          <w:sz w:val="24"/>
          <w:szCs w:val="24"/>
        </w:rPr>
      </w:pPr>
      <w:r>
        <w:rPr>
          <w:rFonts w:ascii="Times New Roman" w:hAnsi="Times New Roman"/>
          <w:b/>
          <w:noProof/>
          <w:sz w:val="24"/>
        </w:rPr>
        <w:t>L’agriculture et les zones rurales restent une priorité, car elles permettent de renforcer l’autonomie stratégique, la sécurité alimentaire et la durabilité de l’UE</w:t>
      </w:r>
      <w:r>
        <w:rPr>
          <w:rFonts w:ascii="Times New Roman" w:hAnsi="Times New Roman"/>
          <w:noProof/>
          <w:sz w:val="24"/>
        </w:rPr>
        <w:t>. Les partenariats sont l’occasion pour la politique agricole commune d’évoluer vers un cadre d’action plus simple, plus ciblé et plus efficace, afin de trouver le juste équilibre entre les incitations, les investissements et la réglementation. Les agriculteurs continueront à bénéficier de la prévisibilité et de la stabilité de l’aide au revenu octroyée par le budget de l’UE, tout en jouissant de possibilités supplémentaires d’investissement et d’actions conjointes en faveur des zones rurales. Les États membres seront en mesure de créer des synergies pour mieux relever les défis auxquels sont confrontés les agriculteurs et les communautés rurales, en offrant des possibilités aux jeunes agriculteurs et en promouvant le renouvellement des générations, tout en assurant la sécurité alimentaire sur le long terme. L’UE promouvra davantage les produits agricoles de l’UE afin de créer de nouveaux débouchés commerciaux. Face à l’incertitude croissante sur les marchés agricoles, l’UE protégera les agriculteurs et stabilisera les marchés en cas de perturbations de ces derniers grâce au filet de sécurité commun.</w:t>
      </w:r>
    </w:p>
    <w:p w14:paraId="38017616" w14:textId="77777777" w:rsidR="00005FB4" w:rsidRDefault="00005FB4"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776B44EE" w14:textId="5C635CC4" w:rsidR="00EA28B7" w:rsidRDefault="00EA28B7" w:rsidP="00C36008">
      <w:pPr>
        <w:pStyle w:val="ListParagraph"/>
        <w:numPr>
          <w:ilvl w:val="0"/>
          <w:numId w:val="117"/>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jc w:val="both"/>
        <w:rPr>
          <w:rFonts w:ascii="Times New Roman" w:hAnsi="Times New Roman" w:cs="Times New Roman"/>
          <w:noProof/>
          <w:sz w:val="24"/>
          <w:szCs w:val="24"/>
        </w:rPr>
      </w:pPr>
      <w:r>
        <w:rPr>
          <w:rFonts w:ascii="Times New Roman" w:hAnsi="Times New Roman"/>
          <w:b/>
          <w:noProof/>
          <w:sz w:val="24"/>
        </w:rPr>
        <w:t>La politique de cohésion sera renforcée, modernisée et centrée sur les régions,</w:t>
      </w:r>
      <w:r>
        <w:rPr>
          <w:rFonts w:ascii="Times New Roman" w:hAnsi="Times New Roman"/>
          <w:noProof/>
          <w:sz w:val="24"/>
        </w:rPr>
        <w:t xml:space="preserve"> et elle continuera à défendre ses principes fondamentaux de partenariat, de gouvernance multi-niveaux et d’action territorialisée. Elle fonctionnera en synergie avec les autres politiques et produira des retombées plus importantes grâce à des investissements et des réformes ciblés, tout en continuant à promouvoir une Europe plus cohérente, en veillant à ce que tous les Européens, quel que soit leur lieu de résidence, aient accès à des perspectives économiques et à une meilleure qualité de vie. Elle aidera les régions moins développées à rattraper leur retard et les régions en transition juste à faire en sorte que personne ne soit laissé pour compte. Elle accordera une attention particulière aux régions ultrapériphériques, en reconnaissant leurs défis et leur potentiel uniques.</w:t>
      </w:r>
    </w:p>
    <w:p w14:paraId="27970BFA" w14:textId="77777777" w:rsidR="00C36008" w:rsidRPr="00005FB4" w:rsidRDefault="00C36008"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rFonts w:ascii="Times New Roman" w:hAnsi="Times New Roman" w:cs="Times New Roman"/>
          <w:noProof/>
          <w:sz w:val="24"/>
          <w:szCs w:val="24"/>
        </w:rPr>
      </w:pPr>
    </w:p>
    <w:p w14:paraId="54D9369F" w14:textId="50FCD7D9" w:rsidR="00EA28B7" w:rsidRDefault="00EA28B7" w:rsidP="002B7764">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rPr>
      </w:pPr>
      <w:r>
        <w:rPr>
          <w:rFonts w:ascii="Times New Roman" w:hAnsi="Times New Roman"/>
          <w:b/>
          <w:noProof/>
          <w:sz w:val="24"/>
        </w:rPr>
        <w:t>La force de l’Europe dépend de la capacité de ses citoyens à agir, et c’est pourquoi la question du soutien aux citoyens et au modèle social européen occupera une place centrale dans les plans.</w:t>
      </w:r>
      <w:r>
        <w:rPr>
          <w:rFonts w:ascii="Times New Roman" w:hAnsi="Times New Roman"/>
          <w:noProof/>
          <w:sz w:val="24"/>
        </w:rPr>
        <w:t xml:space="preserve"> </w:t>
      </w:r>
      <w:r>
        <w:rPr>
          <w:rFonts w:ascii="Times New Roman" w:hAnsi="Times New Roman"/>
          <w:b/>
          <w:noProof/>
          <w:sz w:val="24"/>
        </w:rPr>
        <w:t>Un objectif social de 14 % s’appliquera aux plans de partenariat nationaux et régionaux afin d’orienter des investissements importants vers</w:t>
      </w:r>
      <w:r>
        <w:rPr>
          <w:rFonts w:ascii="Times New Roman" w:hAnsi="Times New Roman"/>
          <w:noProof/>
          <w:sz w:val="24"/>
        </w:rPr>
        <w:t xml:space="preserve"> la mise en œuvre du socle européen des droits sociaux, favorisant ainsi les emplois de qualité, les compétences, l’inclusion sociale et le logement dans tous les États membres, régions et secteurs.</w:t>
      </w:r>
    </w:p>
    <w:p w14:paraId="07EDDDA7" w14:textId="77777777" w:rsidR="008D2341" w:rsidRPr="004B7CC4" w:rsidRDefault="008D2341" w:rsidP="002B7764">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jc w:val="both"/>
        <w:rPr>
          <w:noProof/>
          <w:lang w:val="fr-BE"/>
        </w:rPr>
      </w:pPr>
    </w:p>
    <w:p w14:paraId="2C115066" w14:textId="629BA3F5" w:rsidR="00EA28B7"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noProof/>
        </w:rPr>
      </w:pPr>
      <w:r>
        <w:rPr>
          <w:rFonts w:ascii="Times New Roman" w:hAnsi="Times New Roman"/>
          <w:b/>
          <w:noProof/>
          <w:sz w:val="24"/>
        </w:rPr>
        <w:t xml:space="preserve">Les partenariats veilleront à ce que le soutien de l’UE aux défis en matière de migration, de gestion des frontières et de sécurité soit adapté aux besoins de chaque État membre et de ses régions. </w:t>
      </w:r>
      <w:r>
        <w:rPr>
          <w:rFonts w:ascii="Times New Roman" w:hAnsi="Times New Roman"/>
          <w:noProof/>
          <w:sz w:val="24"/>
        </w:rPr>
        <w:t>Le lien entre les réformes et les investissements incitera davantage les États membres à mettre en œuvre le pacte sur la migration et l’asile et la stratégie de sécurité intérieure de l’UE. La facilité de l’UE assurera une réponse flexible et commune de l’UE aux besoins urgents et aux nouveaux défis.</w:t>
      </w:r>
    </w:p>
    <w:p w14:paraId="2F461C57" w14:textId="77777777" w:rsidR="00EA28B7" w:rsidRPr="004B7CC4" w:rsidRDefault="00EA28B7" w:rsidP="00C36008">
      <w:pPr>
        <w:pStyle w:val="ListParagraph"/>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0"/>
        <w:rPr>
          <w:noProof/>
          <w:lang w:val="fr-BE"/>
        </w:rPr>
      </w:pPr>
    </w:p>
    <w:p w14:paraId="2FBA13CB" w14:textId="0EF189B6" w:rsidR="00EA28B7" w:rsidRPr="006A444D" w:rsidRDefault="00EA28B7" w:rsidP="00C36008">
      <w:pPr>
        <w:pStyle w:val="ListParagraph"/>
        <w:numPr>
          <w:ilvl w:val="0"/>
          <w:numId w:val="109"/>
        </w:numPr>
        <w:pBdr>
          <w:top w:val="single" w:sz="4" w:space="1" w:color="auto"/>
          <w:left w:val="single" w:sz="4" w:space="1" w:color="auto"/>
          <w:bottom w:val="single" w:sz="4" w:space="1" w:color="auto"/>
          <w:right w:val="single" w:sz="4" w:space="1" w:color="auto"/>
        </w:pBdr>
        <w:shd w:val="clear" w:color="auto" w:fill="F2F2F2" w:themeFill="background1" w:themeFillShade="F2"/>
        <w:spacing w:line="240" w:lineRule="auto"/>
        <w:ind w:left="357" w:hanging="357"/>
        <w:jc w:val="both"/>
        <w:rPr>
          <w:rFonts w:ascii="Times New Roman" w:hAnsi="Times New Roman" w:cs="Times New Roman"/>
          <w:b/>
          <w:bCs/>
          <w:noProof/>
          <w:sz w:val="24"/>
          <w:szCs w:val="24"/>
        </w:rPr>
      </w:pPr>
      <w:r>
        <w:rPr>
          <w:rFonts w:ascii="Times New Roman" w:hAnsi="Times New Roman"/>
          <w:b/>
          <w:noProof/>
          <w:sz w:val="24"/>
        </w:rPr>
        <w:t xml:space="preserve">La pêche restera la pierre angulaire de nos communautés et de nos économies côtières. </w:t>
      </w:r>
      <w:r>
        <w:rPr>
          <w:rFonts w:ascii="Times New Roman" w:hAnsi="Times New Roman"/>
          <w:noProof/>
          <w:sz w:val="24"/>
        </w:rPr>
        <w:t>Les partenariats établiront un lien plus étroit entre la politique relative aux océans et la politique de la pêche de l’UE, la politique de cohésion et la politique agricole commune, afin de renforcer le soutien apporté à nos pêcheurs et à nos pêcheuses, tout en contribuant à stimuler les activités économiques telles que l’aquaculture, le tourisme et le transport maritime, en créant des emplois et en améliorant les moyens de subsistance dans les régions côtières.</w:t>
      </w:r>
    </w:p>
    <w:p w14:paraId="641DD9E6" w14:textId="633CB17B" w:rsidR="00175825" w:rsidRPr="00616ACE" w:rsidRDefault="00175825" w:rsidP="00537B76">
      <w:pPr>
        <w:spacing w:after="240" w:line="240" w:lineRule="auto"/>
        <w:jc w:val="both"/>
        <w:rPr>
          <w:rFonts w:ascii="Times New Roman" w:hAnsi="Times New Roman" w:cs="Times New Roman"/>
          <w:bCs/>
          <w:noProof/>
          <w:sz w:val="24"/>
          <w:szCs w:val="24"/>
        </w:rPr>
      </w:pPr>
      <w:r>
        <w:rPr>
          <w:rFonts w:ascii="Times New Roman" w:hAnsi="Times New Roman"/>
          <w:b/>
          <w:noProof/>
          <w:sz w:val="24"/>
        </w:rPr>
        <w:t xml:space="preserve">Les plans de partenariat nationaux et régionaux, parallèlement à d’autres programmes de l’UE, aideront l’Union à maintenir le cap afin de respecter notre engagement à décarboner l’Europe à l’horizon 2050. </w:t>
      </w:r>
      <w:r>
        <w:rPr>
          <w:rFonts w:ascii="Times New Roman" w:hAnsi="Times New Roman"/>
          <w:noProof/>
          <w:sz w:val="24"/>
        </w:rPr>
        <w:t>Les investissements et les réformes soutenus par le plan stimuleront l’innovation, accroîtront la résilience face aux impacts du changement climatique, amélioreront la connectivité et aideront l’Europe à devenir plus indépendante sur le plan énergétique. Ils aideront les entreprises et les citoyens de toutes les régions de l’Union à relever les défis de la transition vers une économie propre et à saisir les possibilités qu’elle offre, tout en veillant à ce que personne ne soit laissé pour compte.</w:t>
      </w:r>
    </w:p>
    <w:p w14:paraId="700ECB0F" w14:textId="2F772BD9" w:rsidR="00BD07CD" w:rsidRPr="002B7764" w:rsidRDefault="00BD07CD" w:rsidP="002B7764">
      <w:pPr>
        <w:spacing w:after="240" w:line="240" w:lineRule="auto"/>
        <w:jc w:val="center"/>
        <w:rPr>
          <w:rFonts w:ascii="Times New Roman" w:hAnsi="Times New Roman" w:cs="Times New Roman"/>
          <w:b/>
          <w:noProof/>
          <w:sz w:val="24"/>
          <w:szCs w:val="24"/>
        </w:rPr>
      </w:pPr>
      <w:r>
        <w:rPr>
          <w:rFonts w:ascii="Times New Roman" w:hAnsi="Times New Roman"/>
          <w:b/>
          <w:noProof/>
          <w:sz w:val="24"/>
        </w:rPr>
        <w:t>Financement de la migration et de la gestion des frontières dans le budget 2028-2034</w:t>
      </w:r>
    </w:p>
    <w:p w14:paraId="5AC09C79" w14:textId="6AE7F740" w:rsidR="00E81136" w:rsidRPr="00616ACE" w:rsidRDefault="00703E37" w:rsidP="002B7764">
      <w:pPr>
        <w:spacing w:after="240" w:line="240" w:lineRule="auto"/>
        <w:jc w:val="center"/>
        <w:rPr>
          <w:rFonts w:ascii="Times New Roman" w:hAnsi="Times New Roman" w:cs="Times New Roman"/>
          <w:bCs/>
          <w:noProof/>
          <w:sz w:val="24"/>
          <w:szCs w:val="24"/>
        </w:rPr>
      </w:pPr>
      <w:r w:rsidRPr="00703E37">
        <w:rPr>
          <w:rFonts w:ascii="Times New Roman" w:hAnsi="Times New Roman" w:cs="Times New Roman"/>
          <w:bCs/>
          <w:noProof/>
          <w:sz w:val="24"/>
          <w:szCs w:val="24"/>
          <w:lang w:val="en-GB" w:eastAsia="en-GB"/>
        </w:rPr>
        <w:drawing>
          <wp:inline distT="0" distB="0" distL="0" distR="0" wp14:anchorId="60054ED9" wp14:editId="68AF4D75">
            <wp:extent cx="5511058" cy="3784600"/>
            <wp:effectExtent l="0" t="0" r="0" b="6350"/>
            <wp:docPr id="925839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39707" name=""/>
                    <pic:cNvPicPr/>
                  </pic:nvPicPr>
                  <pic:blipFill>
                    <a:blip r:embed="rId20"/>
                    <a:stretch>
                      <a:fillRect/>
                    </a:stretch>
                  </pic:blipFill>
                  <pic:spPr>
                    <a:xfrm>
                      <a:off x="0" y="0"/>
                      <a:ext cx="5519175" cy="3790174"/>
                    </a:xfrm>
                    <a:prstGeom prst="rect">
                      <a:avLst/>
                    </a:prstGeom>
                  </pic:spPr>
                </pic:pic>
              </a:graphicData>
            </a:graphic>
          </wp:inline>
        </w:drawing>
      </w:r>
    </w:p>
    <w:p w14:paraId="0A88FE8C" w14:textId="2A719586" w:rsidR="00F821AC" w:rsidRPr="005C4743" w:rsidRDefault="006F49CF" w:rsidP="00537B76">
      <w:pPr>
        <w:spacing w:after="240" w:line="240" w:lineRule="auto"/>
        <w:jc w:val="both"/>
        <w:rPr>
          <w:rFonts w:ascii="Times New Roman" w:hAnsi="Times New Roman"/>
          <w:noProof/>
          <w:sz w:val="24"/>
        </w:rPr>
      </w:pPr>
      <w:r>
        <w:rPr>
          <w:rFonts w:ascii="Times New Roman" w:hAnsi="Times New Roman"/>
          <w:b/>
          <w:noProof/>
          <w:sz w:val="24"/>
        </w:rPr>
        <w:t xml:space="preserve">La réalisation des objectifs fondée sur les résultats et la combinaison d’investissements se renforçant mutuellement et de réformes produiront des effets plus importants et représenteront un meilleur rapport qualité-prix. </w:t>
      </w:r>
      <w:r>
        <w:rPr>
          <w:rFonts w:ascii="Times New Roman" w:hAnsi="Times New Roman"/>
          <w:noProof/>
          <w:sz w:val="24"/>
        </w:rPr>
        <w:t>Les paiements seront subordonnés à la réalisation des jalons et des cibles en matière d’investissement et de réforme liés aux priorités convenues, ce qui devrait permettre d’allouer des fonds et d’obtenir des résultats plus rapidement et plus efficacement. Ainsi, l’accent sera mis au bon endroit: sur les résultats des dépenses de l’UE. Des dispositions solides en matière d’audit et de contrôle garantiront que les plans de partenariat seront mis en œuvre conformément aux normes les plus élevées en matière de bonne gestion financière.</w:t>
      </w:r>
    </w:p>
    <w:p w14:paraId="74DB0871" w14:textId="4848F6F5" w:rsidR="00643A18" w:rsidRDefault="00643A18" w:rsidP="00105E2C">
      <w:pPr>
        <w:spacing w:after="240" w:line="240" w:lineRule="auto"/>
        <w:jc w:val="both"/>
        <w:rPr>
          <w:rFonts w:ascii="Times New Roman" w:hAnsi="Times New Roman" w:cs="Times New Roman"/>
          <w:b/>
          <w:bCs/>
          <w:noProof/>
          <w:sz w:val="24"/>
          <w:szCs w:val="24"/>
        </w:rPr>
      </w:pPr>
      <w:r>
        <w:rPr>
          <w:rFonts w:ascii="Times New Roman" w:hAnsi="Times New Roman"/>
          <w:b/>
          <w:noProof/>
          <w:sz w:val="24"/>
        </w:rPr>
        <w:t>Les principes de l’état de droit et de la charte des droits fondamentaux ne sont pas négociables</w:t>
      </w:r>
      <w:r>
        <w:rPr>
          <w:rFonts w:ascii="Times New Roman" w:hAnsi="Times New Roman"/>
          <w:noProof/>
          <w:sz w:val="24"/>
        </w:rPr>
        <w:t>. Le règlement sur la conditionnalité liée à l’état de droit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continuera de s’appliquer à l’ensemble du budget de l’UE (voir section 5). Les plans de partenariat nationaux et régionaux renforceront le lien entre les recommandations du rapport sur l’état de droit et le soutien financier. Si des fonds sont perdus pour un État membre en raison de violations persistantes de l’état de droit ou de la charte des droits fondamentaux, ils pourront être utilisés dans le cadre de programmes en gestion directe ou indirecte, en particulier ceux qui contribuent à soutenir la démocratie et la société civile en Europe, ainsi que les valeurs de l’Union ou la lutte contre la corruption.</w:t>
      </w:r>
    </w:p>
    <w:p w14:paraId="2C025ECE" w14:textId="638BC724" w:rsidR="000B2C25" w:rsidRDefault="00CC5E7F" w:rsidP="00875291">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Une facilité de l’UE soutiendra la mise en œuvre aux niveaux national et régional. </w:t>
      </w:r>
      <w:r>
        <w:rPr>
          <w:rFonts w:ascii="Times New Roman" w:hAnsi="Times New Roman"/>
          <w:noProof/>
          <w:sz w:val="24"/>
        </w:rPr>
        <w:t>La facilité soutiendra des actions pouvant être menées plus efficacement au niveau de l’Union, en complément des projets mis en œuvre par les États membres et les régions. Il s’agira notamment de mettre en œuvre les compétences exclusives de l’Union dans des domaines tels que la conservation des ressources biologiques de la mer dans le cadre de la politique commune de la pêche, de soutenir la politique relative aux océans, de promouvoir les actions sociales et les investissements dans les infrastructures sociales et dans l’économie sociale au niveau de l’UE, y compris au moyen d’instruments de garantie, et de favoriser la coopération interrégionale ou interurbaine. La facilité contribuera à faire face aux catastrophes naturelles ou d’origine humaine, en créant des synergies avec d’autres domaines d’action couverts par les partenariats, tels que l’agriculture. Une réserve de fonds non alloués offrira la possibilité de réagir plus efficacement aux événements imprévus et aux catastrophes dans les États membres, si les flexibilités prévues dans le cadre des dotations nationales et régionales ne sont pas suffisantes.</w:t>
      </w:r>
    </w:p>
    <w:p w14:paraId="677095E6" w14:textId="0E078E22" w:rsidR="00AE04D7" w:rsidRDefault="006A078D" w:rsidP="00875291">
      <w:pPr>
        <w:spacing w:after="240" w:line="240" w:lineRule="auto"/>
        <w:jc w:val="both"/>
        <w:rPr>
          <w:rFonts w:ascii="Times New Roman" w:hAnsi="Times New Roman"/>
          <w:noProof/>
          <w:sz w:val="24"/>
        </w:rPr>
      </w:pPr>
      <w:r>
        <w:rPr>
          <w:rFonts w:ascii="Times New Roman" w:hAnsi="Times New Roman"/>
          <w:noProof/>
          <w:sz w:val="24"/>
        </w:rPr>
        <w:t xml:space="preserve">L’UE continuera également d’apporter un soutien fort à la </w:t>
      </w:r>
      <w:r>
        <w:rPr>
          <w:rFonts w:ascii="Times New Roman" w:hAnsi="Times New Roman"/>
          <w:b/>
          <w:noProof/>
          <w:sz w:val="24"/>
        </w:rPr>
        <w:t>communauté chypriote turque</w:t>
      </w:r>
      <w:r>
        <w:rPr>
          <w:rFonts w:ascii="Times New Roman" w:hAnsi="Times New Roman"/>
          <w:noProof/>
          <w:sz w:val="24"/>
        </w:rPr>
        <w:t xml:space="preserve"> au moyen d’un instrument spécifique.</w:t>
      </w:r>
    </w:p>
    <w:p w14:paraId="3F4B8BC1" w14:textId="77777777" w:rsidR="00DB583B" w:rsidRPr="00AE04D7" w:rsidRDefault="00DB583B" w:rsidP="00875291">
      <w:pPr>
        <w:spacing w:after="240" w:line="240" w:lineRule="auto"/>
        <w:jc w:val="both"/>
        <w:rPr>
          <w:rFonts w:ascii="Times New Roman" w:hAnsi="Times New Roman" w:cs="Times New Roman"/>
          <w:noProof/>
          <w:sz w:val="24"/>
          <w:szCs w:val="24"/>
        </w:rPr>
      </w:pPr>
    </w:p>
    <w:p w14:paraId="0BC08023" w14:textId="77777777" w:rsidR="00DB583B" w:rsidRPr="000D6231" w:rsidRDefault="00DB583B" w:rsidP="00DB583B">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b/>
          <w:noProof/>
          <w:sz w:val="24"/>
        </w:rPr>
        <w:t>Stimuler la compétitivité européenne: le Fonds européen pour la compétitivité et Horizon Europe</w:t>
      </w:r>
    </w:p>
    <w:p w14:paraId="73008705" w14:textId="77777777" w:rsidR="00DB583B" w:rsidRDefault="00DB583B" w:rsidP="00DB583B">
      <w:pPr>
        <w:spacing w:after="0" w:line="240" w:lineRule="auto"/>
        <w:jc w:val="center"/>
        <w:rPr>
          <w:rFonts w:ascii="Times New Roman" w:hAnsi="Times New Roman" w:cs="Times New Roman"/>
          <w:noProof/>
          <w:sz w:val="24"/>
          <w:szCs w:val="24"/>
        </w:rPr>
      </w:pPr>
      <w:r w:rsidRPr="002B3E36">
        <w:rPr>
          <w:rFonts w:ascii="Times New Roman" w:hAnsi="Times New Roman" w:cs="Times New Roman"/>
          <w:noProof/>
          <w:sz w:val="24"/>
          <w:szCs w:val="24"/>
          <w:lang w:val="en-GB" w:eastAsia="en-GB"/>
        </w:rPr>
        <w:drawing>
          <wp:inline distT="0" distB="0" distL="0" distR="0" wp14:anchorId="02153852" wp14:editId="031E6275">
            <wp:extent cx="5604644" cy="2425700"/>
            <wp:effectExtent l="0" t="0" r="0" b="0"/>
            <wp:docPr id="11267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1095" name=""/>
                    <pic:cNvPicPr/>
                  </pic:nvPicPr>
                  <pic:blipFill>
                    <a:blip r:embed="rId21"/>
                    <a:stretch>
                      <a:fillRect/>
                    </a:stretch>
                  </pic:blipFill>
                  <pic:spPr>
                    <a:xfrm>
                      <a:off x="0" y="0"/>
                      <a:ext cx="5626999" cy="2435375"/>
                    </a:xfrm>
                    <a:prstGeom prst="rect">
                      <a:avLst/>
                    </a:prstGeom>
                  </pic:spPr>
                </pic:pic>
              </a:graphicData>
            </a:graphic>
          </wp:inline>
        </w:drawing>
      </w:r>
    </w:p>
    <w:p w14:paraId="7648AF84" w14:textId="77777777" w:rsidR="00DB583B" w:rsidRPr="000D6231" w:rsidRDefault="00DB583B" w:rsidP="00DB583B">
      <w:pPr>
        <w:spacing w:after="0" w:line="240" w:lineRule="auto"/>
        <w:jc w:val="center"/>
        <w:rPr>
          <w:rFonts w:ascii="Times New Roman" w:hAnsi="Times New Roman" w:cs="Times New Roman"/>
          <w:noProof/>
          <w:sz w:val="24"/>
          <w:szCs w:val="24"/>
        </w:rPr>
      </w:pPr>
    </w:p>
    <w:p w14:paraId="5D825FF3" w14:textId="77777777" w:rsidR="00DB583B" w:rsidRPr="007D5A74" w:rsidRDefault="00DB583B" w:rsidP="00DB583B">
      <w:pPr>
        <w:spacing w:after="240" w:line="240" w:lineRule="auto"/>
        <w:jc w:val="center"/>
        <w:rPr>
          <w:rFonts w:ascii="Times New Roman" w:hAnsi="Times New Roman" w:cs="Times New Roman"/>
          <w:i/>
          <w:iCs/>
          <w:noProof/>
          <w:sz w:val="24"/>
          <w:szCs w:val="24"/>
        </w:rPr>
      </w:pPr>
      <w:r>
        <w:rPr>
          <w:rFonts w:ascii="Times New Roman" w:hAnsi="Times New Roman"/>
          <w:i/>
          <w:noProof/>
          <w:sz w:val="24"/>
        </w:rPr>
        <w:t>(*) R&amp;I collaborative compatible avec les activités menées dans le cadre du Fonds pour la compétitivité</w:t>
      </w:r>
    </w:p>
    <w:p w14:paraId="6DA7D700" w14:textId="77777777" w:rsidR="00DB583B" w:rsidRDefault="00DB583B" w:rsidP="00DB583B">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Le nouveau Fonds européen pour la compétitivité, qui fonctionnera en synergie avec Horizon Europe, permettra d’apporter un soutien ininterrompu aux innovateurs européens, de la recherche au déploiement, de l’idée initiale à la jeune pousse, puis à l’entreprise en expansion. Il contribuera financièrement à la mise en œuvre de la boussole pour la compétitivité et aidera l’Union à acquérir un avantage concurrentiel dans des secteurs stratégiques, notamment en facilitant les projets plurinationaux et transfrontières à forte valeur ajoutée européenne. Il stimulera ainsi la prospérité et la création d’emplois de qualité.</w:t>
      </w:r>
    </w:p>
    <w:p w14:paraId="5AF00027"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prochain budget à long terme de l’UE doit faire avancer radicalement la manière dont l’Union soutient la compétitivité</w:t>
      </w:r>
      <w:r>
        <w:rPr>
          <w:rFonts w:ascii="Times New Roman" w:hAnsi="Times New Roman"/>
          <w:noProof/>
          <w:sz w:val="24"/>
        </w:rPr>
        <w:t>. L’Europe est le berceau de l’innovation, du progrès scientifique et de l’esprit d’entreprise. Elle possède une implantation industrielle de classe mondiale. Toutefois, sa compétitivité et sa sécurité économique sont entravées par des obstacles au marché unique, la fragmentation des marchés des capitaux, une numérisation insuffisante, une concurrence internationale déloyale, les prix élevés de l’énergie, des pénuries de compétences et de main-d’œuvre, le faible taux de concrétisation de la recherche en résultats commercialisables et des difficultés à rapprocher les projets des financements dont ils pourraient bénéficier.</w:t>
      </w:r>
    </w:p>
    <w:p w14:paraId="4442BA66" w14:textId="77777777" w:rsidR="00DB583B" w:rsidRPr="007E5F5F"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L’Europe doit faire beaucoup mieux pour créer les conditions permettant à ses meilleurs projets et entreprises de prospérer et de se développer</w:t>
      </w:r>
      <w:r>
        <w:rPr>
          <w:rFonts w:ascii="Times New Roman" w:hAnsi="Times New Roman"/>
          <w:noProof/>
          <w:sz w:val="24"/>
        </w:rPr>
        <w:t>, comme le soulignent les rapports Draghi</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et Letta</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ainsi que la boussole pour la compétitivité</w:t>
      </w:r>
      <w:r>
        <w:rPr>
          <w:rStyle w:val="FootnoteReference"/>
          <w:rFonts w:ascii="Times New Roman" w:hAnsi="Times New Roman" w:cs="Times New Roman"/>
          <w:noProof/>
          <w:sz w:val="24"/>
          <w:szCs w:val="24"/>
        </w:rPr>
        <w:footnoteReference w:id="7"/>
      </w:r>
      <w:r>
        <w:rPr>
          <w:rFonts w:ascii="Times New Roman" w:hAnsi="Times New Roman"/>
          <w:noProof/>
          <w:sz w:val="24"/>
        </w:rPr>
        <w:t>. Comme indiqué dans le pacte pour une industrie propre, il sera essentiel d’allier décarbonation et croissance économique grâce à des prix de l’énergie abordables, à un soutien aux produits propres fabriqués dans l’UE (au moyen de l’acte législatif visant à accélérer la décarbonation de l’industrie), à des emplois de qualité et à un renforcement du financement, notamment par l’intermédiaire de la Banque pour la décarbonation de l’industrie. Le renforcement de la sécurité économique de l’Europe doit également être un objectif essentiel. Il convient à cet égard de veiller à ce que les secteurs clés restent résilients et compétitifs face aux bouleversements géopolitiques et aux mutations technologiques.</w:t>
      </w:r>
      <w:r>
        <w:rPr>
          <w:rFonts w:ascii="Times New Roman" w:hAnsi="Times New Roman"/>
          <w:i/>
          <w:noProof/>
          <w:sz w:val="24"/>
        </w:rPr>
        <w:t xml:space="preserve"> </w:t>
      </w:r>
      <w:r>
        <w:rPr>
          <w:rFonts w:ascii="Times New Roman" w:hAnsi="Times New Roman"/>
          <w:noProof/>
          <w:sz w:val="24"/>
        </w:rPr>
        <w:t>Par ailleurs, l’UE doit donner la priorité aux investissements dans les technologies de pointe qui seront essentielles à l’avenir, telles que l’espace, l’intelligence artificielle et l’informatique quantique. Pour que l’Europe reste compétitive, autonome et sûre, il est nécessaire qu’elle construise des infrastructures numériques de classe mondiale et sécurisées, telles que des réseaux à haute capacité et des gigafabriques d’IA.</w:t>
      </w:r>
    </w:p>
    <w:p w14:paraId="4EF5B9EA" w14:textId="77777777" w:rsidR="00DB583B" w:rsidRPr="007D5A74"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Doté d’une enveloppe totale de 409 milliards d’euros (qui comprend Horizon Europe), le Fonds européen pour la compétitivité permettra un renforcement sans précédent de l’appui budgétaire de l’UE en faveur de la recherche, de l’innovation, du développement et du déploiement</w:t>
      </w:r>
      <w:r>
        <w:rPr>
          <w:rStyle w:val="FootnoteReference"/>
          <w:rFonts w:ascii="Times New Roman" w:hAnsi="Times New Roman" w:cs="Times New Roman"/>
          <w:b/>
          <w:bCs/>
          <w:noProof/>
          <w:sz w:val="24"/>
          <w:szCs w:val="24"/>
        </w:rPr>
        <w:footnoteReference w:id="8"/>
      </w:r>
      <w:r>
        <w:rPr>
          <w:noProof/>
        </w:rPr>
        <w:t>.</w:t>
      </w:r>
    </w:p>
    <w:p w14:paraId="43EA1E33"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nouveau Fonds européen pour la compétitivité concentrera la force de frappe en matière d’investissement au niveau de l’UE afin d’accélérer l’expansion, la fabrication et le déploiement de technologies stratégiques en Europe. </w:t>
      </w:r>
      <w:r>
        <w:rPr>
          <w:rFonts w:ascii="Times New Roman" w:hAnsi="Times New Roman"/>
          <w:noProof/>
          <w:sz w:val="24"/>
        </w:rPr>
        <w:t>Il deviendra</w:t>
      </w:r>
      <w:r>
        <w:rPr>
          <w:rFonts w:ascii="Times New Roman" w:hAnsi="Times New Roman"/>
          <w:b/>
          <w:noProof/>
          <w:sz w:val="24"/>
        </w:rPr>
        <w:t xml:space="preserve"> </w:t>
      </w:r>
      <w:r>
        <w:rPr>
          <w:rFonts w:ascii="Times New Roman" w:hAnsi="Times New Roman"/>
          <w:noProof/>
          <w:sz w:val="24"/>
        </w:rPr>
        <w:t>un outil essentiel pour renforcer la compétitivité des entreprises européennes et la base industrielle de l’UE, notamment grâce au soutien qu’il apportera aux technologies, produits et services «fabriqués en Europe». En remplaçant la mosaïque actuelle de programmes qui se chevauchent, le Fonds, régi par un corpus réglementaire unique, permettra un accès nettement plus facile et rapide au financement de l’UE, y compris pour les petites entreprises. Il permettra à l’UE d’investir là où cela compte – et d’investir de manière efficace. Il prévoira des procédures de sélection, d’évaluation et d’attribution simplifiées et accélérées, ainsi que des exigences simplifiées en matière de rapports pour les bénéficiaires de financements de l’UE, ce qui permettra de financer plus rapidement les promoteurs de projets.</w:t>
      </w:r>
    </w:p>
    <w:p w14:paraId="07955C5A"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Eu égard à la recommandation formulée dans le rapport Draghi, le Fonds européen pour la compétitivité sera axé sur les biens publics de l’UE. </w:t>
      </w:r>
      <w:r>
        <w:rPr>
          <w:rFonts w:ascii="Times New Roman" w:hAnsi="Times New Roman"/>
          <w:noProof/>
          <w:sz w:val="24"/>
        </w:rPr>
        <w:t>Il soutiendra des domaines essentiels à la compétitivité de l’UE: la transition propre et la décarbonation; le leadership numérique; la résilience et la sécurité, l’industrie de la défense et de l’espace; et la santé, les biotechnologies, l’agriculture et la bioéconomie. Il offrira également des services de conseil aux promoteurs de projets.</w:t>
      </w:r>
    </w:p>
    <w:p w14:paraId="0804A9A9"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L’investissement public au niveau européen a un rôle essentiel à jouer en tant que catalyseur de l’investissement privé. </w:t>
      </w:r>
      <w:r>
        <w:rPr>
          <w:rFonts w:ascii="Times New Roman" w:hAnsi="Times New Roman"/>
          <w:noProof/>
          <w:sz w:val="24"/>
        </w:rPr>
        <w:t>Le Fonds européen pour la compétitivité prévoira une boîte à outils de financement complète visant à attirer les investissements privés.</w:t>
      </w:r>
      <w:r>
        <w:rPr>
          <w:rFonts w:ascii="Times New Roman" w:hAnsi="Times New Roman"/>
          <w:b/>
          <w:noProof/>
          <w:sz w:val="24"/>
        </w:rPr>
        <w:t xml:space="preserve"> </w:t>
      </w:r>
      <w:r>
        <w:rPr>
          <w:rFonts w:ascii="Times New Roman" w:hAnsi="Times New Roman"/>
          <w:noProof/>
          <w:sz w:val="24"/>
        </w:rPr>
        <w:t>Chaque projet</w:t>
      </w:r>
      <w:r>
        <w:rPr>
          <w:rFonts w:ascii="Times New Roman" w:hAnsi="Times New Roman"/>
          <w:b/>
          <w:noProof/>
          <w:sz w:val="24"/>
        </w:rPr>
        <w:t xml:space="preserve"> </w:t>
      </w:r>
      <w:r>
        <w:rPr>
          <w:rFonts w:ascii="Times New Roman" w:hAnsi="Times New Roman"/>
          <w:noProof/>
          <w:sz w:val="24"/>
        </w:rPr>
        <w:t>sélectionné se verra ainsi attribuer la forme de soutien la plus appropriée, qu’il s’agisse de subventions ou de prêts, de marchés publics ou d’instruments financiers (y compris des investissements en fonds propres). Il est important de noter que la force de frappe avérée d’</w:t>
      </w:r>
      <w:r>
        <w:rPr>
          <w:rFonts w:ascii="Times New Roman" w:hAnsi="Times New Roman"/>
          <w:b/>
          <w:noProof/>
          <w:sz w:val="24"/>
        </w:rPr>
        <w:t>InvestEU</w:t>
      </w:r>
      <w:r>
        <w:rPr>
          <w:rFonts w:ascii="Times New Roman" w:hAnsi="Times New Roman"/>
          <w:noProof/>
          <w:sz w:val="24"/>
        </w:rPr>
        <w:t xml:space="preserve"> permettra de mobiliser des investissements publics et privés en faveur des secteurs prioritaires de l’UE, en étroite coopération avec ses partenaires chargés de la mise en œuvre, à savoir la Banque européenne d’investissement et d’autres banques nationales de développement. Le Fonds soutiendra également les partenariats public-privé, y compris les projets importants d’intérêt européen commun.</w:t>
      </w:r>
    </w:p>
    <w:p w14:paraId="35ED7E61" w14:textId="3DD9DDD6" w:rsidR="00DB583B" w:rsidRPr="00E81638" w:rsidRDefault="00D72309" w:rsidP="00DB583B">
      <w:pPr>
        <w:spacing w:after="240"/>
        <w:jc w:val="center"/>
        <w:rPr>
          <w:noProof/>
        </w:rPr>
      </w:pPr>
      <w:r>
        <w:rPr>
          <w:noProof/>
          <w:lang w:val="en-GB" w:eastAsia="en-GB"/>
        </w:rPr>
        <w:drawing>
          <wp:inline distT="0" distB="0" distL="0" distR="0" wp14:anchorId="52ACFB10" wp14:editId="7A379715">
            <wp:extent cx="4739354" cy="4694555"/>
            <wp:effectExtent l="0" t="0" r="4445" b="0"/>
            <wp:docPr id="10464039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6274" cy="4701409"/>
                    </a:xfrm>
                    <a:prstGeom prst="rect">
                      <a:avLst/>
                    </a:prstGeom>
                    <a:noFill/>
                  </pic:spPr>
                </pic:pic>
              </a:graphicData>
            </a:graphic>
          </wp:inline>
        </w:drawing>
      </w:r>
    </w:p>
    <w:p w14:paraId="73161BBD"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Horizon Europe, le programme de renommée mondiale pour la recherche et l’innovation, continuera d’investir dans la recherche fondamentale et collaborative d’avant-garde ainsi que dans l’innovation de rupture dans des domaines stratégiques.</w:t>
      </w:r>
      <w:r>
        <w:rPr>
          <w:rFonts w:ascii="Times New Roman" w:hAnsi="Times New Roman"/>
          <w:noProof/>
          <w:sz w:val="24"/>
        </w:rPr>
        <w:t xml:space="preserve"> Il fonctionnera comme un programme autonome étroitement lié au Fonds européen pour la compétitivité au moyen de programmes de travail intégrés de recherche collaborative et d’un corpus réglementaire commun. Le nouveau programme Horizon Europe sera simplifié et renforcé. Grâce à des règles plus claires et des procédures plus transparentes pour les demandeurs et les parties prenantes, il permettra des dépenses de l’UE plus rapides et plus stratégiques. Par ailleurs, en s’appuyant sur son approche bien établie axée sur l’excellence et en préparant les futurs moteurs de croissance et de primauté technologique, il soutiendra des actions transsectorielles de recherche fondamentale. Horizon Europe s’articulera autour de quatre piliers: Science d’excellence, Compétitivité et société, Innovation et Espace européen de la recherche. Un Conseil européen de la recherche élargi permettra de promouvoir la science fondamentale et le soutien aux jeunes pousses fourni par le Conseil européen de l’innovation sera renforcé. Le programme Euratom de recherche et de formation financera les activités de recherche et de formation dans le domaine nucléaire et contribuera au projet ITER sur la fusion nucléaire.</w:t>
      </w:r>
    </w:p>
    <w:p w14:paraId="32330CF5" w14:textId="77777777" w:rsidR="00DB583B" w:rsidRPr="00025AA6" w:rsidRDefault="00DB583B" w:rsidP="00DB583B">
      <w:pPr>
        <w:spacing w:after="240" w:line="240" w:lineRule="auto"/>
        <w:jc w:val="both"/>
        <w:rPr>
          <w:rFonts w:ascii="Times New Roman" w:hAnsi="Times New Roman" w:cs="Times New Roman"/>
          <w:noProof/>
          <w:sz w:val="24"/>
          <w:szCs w:val="24"/>
          <w:lang w:val="fr-BE"/>
        </w:rPr>
      </w:pPr>
    </w:p>
    <w:p w14:paraId="6B84F109" w14:textId="77777777" w:rsidR="00DB583B" w:rsidRPr="000D6231" w:rsidRDefault="00DB583B" w:rsidP="00DB583B">
      <w:pPr>
        <w:pStyle w:val="ListParagraph"/>
        <w:numPr>
          <w:ilvl w:val="0"/>
          <w:numId w:val="35"/>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Construire une union européenne de la défense</w:t>
      </w:r>
    </w:p>
    <w:p w14:paraId="661FE4E5" w14:textId="77777777" w:rsidR="00DB583B" w:rsidRPr="000D6231" w:rsidRDefault="00DB583B" w:rsidP="00DB583B">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575773E8" wp14:editId="51066412">
            <wp:extent cx="5378416" cy="2552700"/>
            <wp:effectExtent l="0" t="0" r="0" b="0"/>
            <wp:docPr id="1639037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4863" cy="2560506"/>
                    </a:xfrm>
                    <a:prstGeom prst="rect">
                      <a:avLst/>
                    </a:prstGeom>
                    <a:noFill/>
                  </pic:spPr>
                </pic:pic>
              </a:graphicData>
            </a:graphic>
          </wp:inline>
        </w:drawing>
      </w:r>
    </w:p>
    <w:p w14:paraId="709D247E" w14:textId="77777777" w:rsidR="00DB583B" w:rsidRPr="00B334AE" w:rsidRDefault="00DB583B" w:rsidP="00DB583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Le nouveau budget à long terme de l’UE fera franchir un palier à l’union européenne de la défense, une priorité urgente dans un contexte de menaces et d’incertitudes croissantes. Les financements provenant du Fonds européen pour la compétitivité, des plans de partenariat nationaux et régionaux et du mécanisme pour l’interconnexion en Europe ainsi que les financements extérieurs apporteront, ensemble, une valeur ajoutée européenne sans précédent aux dépenses nationales consacrées à la défense.</w:t>
      </w:r>
    </w:p>
    <w:p w14:paraId="578DE6EA"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futur budget de l’UE doit donner un nouvel élan à la création d’une véritable union européenne de la défense.</w:t>
      </w:r>
      <w:r>
        <w:rPr>
          <w:rFonts w:ascii="Times New Roman" w:hAnsi="Times New Roman"/>
          <w:noProof/>
          <w:sz w:val="24"/>
        </w:rPr>
        <w:t xml:space="preserve"> Alors que la guerre d’agression menée par la Russie contre l’Ukraine a ramené la guerre sur le sol européen, l’actuel budget à long terme de l’UE a renforcé la capacité de l’Union à financer la préparation de la défense, notamment au moyen de la nouvelle action de soutien à la production de munitions, de l’instrument pour des acquisitions conjointes dans le domaine de la défense et du renforcement de la facilité européenne pour la paix.</w:t>
      </w:r>
    </w:p>
    <w:p w14:paraId="79E083A2" w14:textId="77777777" w:rsidR="00DB583B" w:rsidRPr="005C4743" w:rsidRDefault="00DB583B" w:rsidP="00DB583B">
      <w:pPr>
        <w:spacing w:after="240" w:line="240" w:lineRule="auto"/>
        <w:jc w:val="both"/>
        <w:rPr>
          <w:rFonts w:ascii="Times New Roman" w:hAnsi="Times New Roman"/>
          <w:noProof/>
          <w:sz w:val="24"/>
        </w:rPr>
      </w:pPr>
      <w:r>
        <w:rPr>
          <w:rFonts w:ascii="Times New Roman" w:hAnsi="Times New Roman"/>
          <w:b/>
          <w:noProof/>
          <w:sz w:val="24"/>
        </w:rPr>
        <w:t>Le livre blanc pour une défense européenne – Préparation à l’horizon 2030 prévoit les actions que l’Union peut entreprendre pour soutenir et coordonner les efforts consentis par les États membres afin de renforcer la base industrielle de défense et la préparation globale de l’UE en matière de défense</w:t>
      </w:r>
      <w:r>
        <w:rPr>
          <w:rFonts w:ascii="Times New Roman" w:hAnsi="Times New Roman"/>
          <w:noProof/>
          <w:sz w:val="24"/>
        </w:rPr>
        <w:t>. Dans ce cadre, les États membres disposeront d’une plus grande marge de manœuvre budgétaire pour augmenter les dépenses de défense, notamment au moyen de prêts supplémentaires financés par des emprunts communs (l’instrument «Agir pour la sécurité de l’Europe»</w:t>
      </w:r>
      <w:r>
        <w:rPr>
          <w:rStyle w:val="FootnoteReference"/>
          <w:rFonts w:ascii="Times New Roman" w:hAnsi="Times New Roman" w:cs="Times New Roman"/>
          <w:noProof/>
          <w:sz w:val="24"/>
          <w:szCs w:val="24"/>
        </w:rPr>
        <w:footnoteReference w:id="9"/>
      </w:r>
      <w:r>
        <w:rPr>
          <w:rFonts w:ascii="Times New Roman" w:hAnsi="Times New Roman"/>
          <w:noProof/>
          <w:sz w:val="24"/>
        </w:rPr>
        <w:t>). Toutefois, cela ne suffit pas. Le prochain budget doit marquer le début d’une nouvelle ère d’investissements stratégiques en faveur des capacités et de la préparation de l’Europe en matière de défense, y compris le développement conjoint de capacités européennes de défense critiques. Une priorité particulière sera accordée à la réponse aux défis auxquels sont confrontés les États membres les plus exposés aux menaces militaires conventionnelles. Cette réponse sera fournie au moyen de projets communs tels que le bouclier pour la frontière orientale.</w:t>
      </w:r>
    </w:p>
    <w:p w14:paraId="3526DBE2"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Fonds européen pour la compétitivité apportera un soutien important aux investissements dans les domaines de la défense, de la sécurité et de l’espace.</w:t>
      </w:r>
      <w:r>
        <w:rPr>
          <w:rFonts w:ascii="Times New Roman" w:hAnsi="Times New Roman"/>
          <w:noProof/>
          <w:sz w:val="24"/>
        </w:rPr>
        <w:t xml:space="preserve"> La Commission propose d’augmenter sensiblement le financement par rapport à celui fourni au titre du cadre financier actuel. Il s’agit également d’une évolution importante sur le plan de l’approche adoptée, dans la mesure où le soutien sera fourni tout au long du parcours d’investissement, c’est-à-dire de la recherche au déploiement en passant par le développement et la fabrication, au moyen d’un instrument unique. Cette approche contribuera en outre à atténuer les risques liés aux projets de défense communs. Le soutien qui en découle, apporté aux applications à double usage et à la cybersécurité, permettra de renforcer la coordination. L’UE continuera de mettre à niveau ses systèmes spatiaux, notamment Galileo, EGNOS, Copernicus et IRIS², tout en développant de nouvelles capacités, notamment un service gouvernemental d’observation de la Terre et un positionnement, une navigation et une synchronisation en orbite terrestre basse.</w:t>
      </w:r>
    </w:p>
    <w:p w14:paraId="2ECE34A9" w14:textId="77777777" w:rsidR="00DB583B" w:rsidRPr="000D6231"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L’intégration du financement de la défense et de l’espace au sein du Fonds européen pour la compétitivité présente plusieurs avantages.</w:t>
      </w:r>
      <w:r>
        <w:rPr>
          <w:rFonts w:ascii="Times New Roman" w:hAnsi="Times New Roman"/>
          <w:noProof/>
          <w:sz w:val="24"/>
        </w:rPr>
        <w:t xml:space="preserve"> Premièrement, elle permet de veiller à ce que les bénéficiaires soient soumis à des règles cohérentes, facilitant ainsi l’accès au financement. Deuxièmement, elle exploite les synergies entre le soutien apporté à l’industrie de la défense et celui fourni à l’industrie spatiale, étant donné que ces industries offrent des possibilités d’enrichissement mutuel,</w:t>
      </w:r>
      <w:bookmarkStart w:id="2" w:name="_Hlk203075244"/>
      <w:r>
        <w:rPr>
          <w:rFonts w:ascii="Times New Roman" w:hAnsi="Times New Roman"/>
          <w:noProof/>
          <w:sz w:val="24"/>
        </w:rPr>
        <w:t xml:space="preserve"> tout en assurant un soutien continu et résolu en faveur des investissements de l’UE dans les infrastructures spatiales et les principaux moyens spatiaux européens</w:t>
      </w:r>
      <w:bookmarkEnd w:id="2"/>
      <w:r>
        <w:rPr>
          <w:rFonts w:ascii="Times New Roman" w:hAnsi="Times New Roman"/>
          <w:noProof/>
          <w:sz w:val="24"/>
        </w:rPr>
        <w:t>. Troisièmement, afin de proposer une approche plus ajustée, elle donne accès à l’ensemble des outils financiers qui seront disponibles dans le cadre du Fonds européen pour la compétitivité.</w:t>
      </w:r>
    </w:p>
    <w:p w14:paraId="37C6FCC7" w14:textId="77777777" w:rsidR="00DB583B" w:rsidRDefault="00DB583B" w:rsidP="00DB583B">
      <w:pPr>
        <w:spacing w:after="240" w:line="240" w:lineRule="auto"/>
        <w:jc w:val="both"/>
        <w:rPr>
          <w:rFonts w:ascii="Calibri" w:eastAsia="Calibri" w:hAnsi="Calibri" w:cs="Calibri"/>
          <w:b/>
          <w:noProof/>
        </w:rPr>
      </w:pPr>
      <w:r>
        <w:rPr>
          <w:rFonts w:ascii="Times New Roman" w:hAnsi="Times New Roman"/>
          <w:b/>
          <w:noProof/>
          <w:sz w:val="24"/>
        </w:rPr>
        <w:t>Les États membres et les régions seront également en mesure de soutenir les investissements et les réformes dans le domaine des capacités de défense et des projets de sécurité de l’Union au moyen du financement qu’ils pourront fournir au titre des plans de partenariat nationaux et régionaux</w:t>
      </w:r>
      <w:r>
        <w:rPr>
          <w:rFonts w:ascii="Times New Roman" w:hAnsi="Times New Roman"/>
          <w:noProof/>
          <w:sz w:val="24"/>
        </w:rPr>
        <w:t>, conformément aux priorités de l’UE et en synergie avec le financement de l’UE. Ces mesures</w:t>
      </w:r>
      <w:r>
        <w:rPr>
          <w:rFonts w:ascii="Times New Roman" w:hAnsi="Times New Roman"/>
          <w:b/>
          <w:noProof/>
          <w:sz w:val="24"/>
        </w:rPr>
        <w:t xml:space="preserve"> </w:t>
      </w:r>
      <w:r>
        <w:rPr>
          <w:rFonts w:ascii="Times New Roman" w:hAnsi="Times New Roman"/>
          <w:noProof/>
          <w:sz w:val="24"/>
        </w:rPr>
        <w:t>contribueront à renforcer la compétitivité de la base industrielle européenne dans les domaines de la défense, de la sécurité et des technologies et à soutenir la préparation, la détection des menaces et la réaction face aux crises de l’Union, notamment en renforçant la cybersécurité et en garantissant la résilience des infrastructures critiques. Les États membres pourront également financer les parties nationales des réseaux transeuropéens de transport, les réseaux nationaux de transport et de distribution de l’énergie et les projets importants d’intérêt européen commun (notamment dans le domaine de la défense) dans le cadre des plans de partenariat nationaux et régionaux.</w:t>
      </w:r>
    </w:p>
    <w:p w14:paraId="67DC3FC6" w14:textId="0EF4FC51" w:rsidR="00DB583B" w:rsidRPr="00360546" w:rsidRDefault="00282A43" w:rsidP="00DB583B">
      <w:pPr>
        <w:spacing w:after="240" w:line="240" w:lineRule="auto"/>
        <w:jc w:val="center"/>
        <w:rPr>
          <w:rFonts w:ascii="Times New Roman" w:hAnsi="Times New Roman" w:cs="Times New Roman"/>
          <w:noProof/>
          <w:sz w:val="24"/>
          <w:szCs w:val="24"/>
        </w:rPr>
      </w:pPr>
      <w:r w:rsidRPr="00282A43">
        <w:rPr>
          <w:rFonts w:ascii="Times New Roman" w:hAnsi="Times New Roman" w:cs="Times New Roman"/>
          <w:noProof/>
          <w:sz w:val="24"/>
          <w:szCs w:val="24"/>
          <w:lang w:val="en-GB" w:eastAsia="en-GB"/>
        </w:rPr>
        <w:drawing>
          <wp:inline distT="0" distB="0" distL="0" distR="0" wp14:anchorId="678067FF" wp14:editId="737E5B6A">
            <wp:extent cx="5591559" cy="3810000"/>
            <wp:effectExtent l="0" t="0" r="9525" b="0"/>
            <wp:docPr id="256317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17919" name=""/>
                    <pic:cNvPicPr/>
                  </pic:nvPicPr>
                  <pic:blipFill>
                    <a:blip r:embed="rId24"/>
                    <a:stretch>
                      <a:fillRect/>
                    </a:stretch>
                  </pic:blipFill>
                  <pic:spPr>
                    <a:xfrm>
                      <a:off x="0" y="0"/>
                      <a:ext cx="5595836" cy="3812914"/>
                    </a:xfrm>
                    <a:prstGeom prst="rect">
                      <a:avLst/>
                    </a:prstGeom>
                  </pic:spPr>
                </pic:pic>
              </a:graphicData>
            </a:graphic>
          </wp:inline>
        </w:drawing>
      </w:r>
    </w:p>
    <w:p w14:paraId="078774D6" w14:textId="77777777" w:rsidR="00DB583B" w:rsidRPr="00E2464D" w:rsidRDefault="00DB583B" w:rsidP="00DB583B">
      <w:pPr>
        <w:spacing w:after="240" w:line="240" w:lineRule="auto"/>
        <w:jc w:val="both"/>
        <w:rPr>
          <w:rFonts w:ascii="Calibri" w:eastAsia="Calibri" w:hAnsi="Calibri" w:cs="Calibri"/>
          <w:b/>
          <w:noProof/>
        </w:rPr>
      </w:pPr>
      <w:r>
        <w:rPr>
          <w:rFonts w:ascii="Times New Roman" w:hAnsi="Times New Roman"/>
          <w:b/>
          <w:noProof/>
          <w:sz w:val="24"/>
        </w:rPr>
        <w:t>La guerre d’agression menée par la Russie contre l’Ukraine a mis en évidence l’importance d’investir dans la mobilité militaire</w:t>
      </w:r>
      <w:r>
        <w:rPr>
          <w:rFonts w:ascii="Times New Roman" w:hAnsi="Times New Roman"/>
          <w:noProof/>
          <w:sz w:val="24"/>
        </w:rPr>
        <w:t xml:space="preserve"> afin de veiller à ce que les forces des États membres soient en mesure de réagir rapidement et dans des proportions suffisantes aux crises qui éclatent aux frontières extérieures de l’UE et au-delà. Le mécanisme pour l’interconnexion en Europe renforcé mettra donc davantage l’accent sur les corridors de mobilité militaire et maximisera les synergies avec d’autres investissements dans le réseau de transport. Les investissements soutiendront le transport de troupes et d’équipements par voies ferrées, routes, aéroports, ports maritimes, voies navigables intérieures et terminaux multimodaux.</w:t>
      </w:r>
    </w:p>
    <w:p w14:paraId="7299EA6A" w14:textId="77777777" w:rsidR="00DB583B" w:rsidRPr="00B7095B" w:rsidDel="000B78BD"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La facilité européenne pour la paix continuera à fonctionner en tant qu’instrument extrabudgétaire, contribuant aux efforts déployés par l’Union pour préserver la paix, prévenir les conflits et renforcer la sécurité internationale.</w:t>
      </w:r>
      <w:r>
        <w:rPr>
          <w:rFonts w:ascii="Times New Roman" w:hAnsi="Times New Roman"/>
          <w:noProof/>
          <w:sz w:val="24"/>
        </w:rPr>
        <w:t xml:space="preserve"> La facilité financera des actions décidées par le Conseil et relevant de deux piliers: les coûts communs d’opérations et missions militaires et les mesures d’assistance</w:t>
      </w:r>
      <w:r>
        <w:rPr>
          <w:rStyle w:val="FootnoteReference"/>
          <w:rFonts w:ascii="Times New Roman" w:eastAsia="Times New Roman" w:hAnsi="Times New Roman" w:cs="Times New Roman"/>
          <w:noProof/>
          <w:sz w:val="24"/>
          <w:szCs w:val="24"/>
        </w:rPr>
        <w:footnoteReference w:id="10"/>
      </w:r>
      <w:r>
        <w:rPr>
          <w:noProof/>
        </w:rPr>
        <w:t>.</w:t>
      </w:r>
      <w:r>
        <w:rPr>
          <w:rFonts w:ascii="Times New Roman" w:hAnsi="Times New Roman"/>
          <w:noProof/>
          <w:sz w:val="24"/>
        </w:rPr>
        <w:t xml:space="preserve"> Dans la perspective d’un environnement géopolitique en constante mutation, la facilité devrait pouvoir continuer à soutenir ses partenaires à l’échelle mondiale, y compris l’Ukraine, tout au long du calendrier du prochain cadre financier. Elle devrait par ailleurs être renforcée pour atteindre 30,5 milliards d’euros.</w:t>
      </w:r>
    </w:p>
    <w:p w14:paraId="15C2D8F3" w14:textId="77777777" w:rsidR="00DB583B" w:rsidRPr="000D6231" w:rsidRDefault="00DB583B" w:rsidP="00DB583B">
      <w:pPr>
        <w:spacing w:after="240" w:line="240" w:lineRule="auto"/>
        <w:jc w:val="both"/>
        <w:rPr>
          <w:rFonts w:ascii="Times New Roman" w:hAnsi="Times New Roman" w:cs="Times New Roman"/>
          <w:noProof/>
          <w:sz w:val="24"/>
          <w:szCs w:val="24"/>
        </w:rPr>
      </w:pPr>
    </w:p>
    <w:p w14:paraId="6F09A03E" w14:textId="77777777" w:rsidR="00DB583B" w:rsidRPr="000D6231" w:rsidRDefault="00DB583B" w:rsidP="00DB583B">
      <w:pPr>
        <w:pStyle w:val="ListParagraph"/>
        <w:keepNext/>
        <w:numPr>
          <w:ilvl w:val="0"/>
          <w:numId w:val="35"/>
        </w:numPr>
        <w:spacing w:after="240" w:line="240" w:lineRule="auto"/>
        <w:ind w:left="1077"/>
        <w:contextualSpacing w:val="0"/>
        <w:jc w:val="both"/>
        <w:rPr>
          <w:rFonts w:ascii="Times New Roman" w:hAnsi="Times New Roman" w:cs="Times New Roman"/>
          <w:noProof/>
          <w:sz w:val="24"/>
          <w:szCs w:val="24"/>
        </w:rPr>
      </w:pPr>
      <w:r>
        <w:rPr>
          <w:rFonts w:ascii="Times New Roman" w:hAnsi="Times New Roman"/>
          <w:b/>
          <w:noProof/>
          <w:sz w:val="24"/>
        </w:rPr>
        <w:t>Renforcer le marché unique européen</w:t>
      </w:r>
    </w:p>
    <w:p w14:paraId="5F554CAE" w14:textId="77777777" w:rsidR="00DB583B" w:rsidRPr="000D6231" w:rsidRDefault="00DB583B" w:rsidP="00DB583B">
      <w:pPr>
        <w:spacing w:after="240" w:line="240" w:lineRule="auto"/>
        <w:jc w:val="center"/>
        <w:rPr>
          <w:rFonts w:ascii="Times New Roman" w:hAnsi="Times New Roman" w:cs="Times New Roman"/>
          <w:i/>
          <w:iCs/>
          <w:noProof/>
          <w:sz w:val="24"/>
          <w:szCs w:val="24"/>
        </w:rPr>
      </w:pPr>
      <w:r>
        <w:rPr>
          <w:rFonts w:ascii="Times New Roman" w:hAnsi="Times New Roman" w:cs="Times New Roman"/>
          <w:i/>
          <w:iCs/>
          <w:noProof/>
          <w:sz w:val="24"/>
          <w:szCs w:val="24"/>
          <w:lang w:val="en-GB" w:eastAsia="en-GB"/>
        </w:rPr>
        <w:drawing>
          <wp:inline distT="0" distB="0" distL="0" distR="0" wp14:anchorId="08AE0A72" wp14:editId="17D36EB7">
            <wp:extent cx="5774798" cy="3302000"/>
            <wp:effectExtent l="0" t="0" r="0" b="0"/>
            <wp:docPr id="1527369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1292" cy="3311431"/>
                    </a:xfrm>
                    <a:prstGeom prst="rect">
                      <a:avLst/>
                    </a:prstGeom>
                    <a:noFill/>
                  </pic:spPr>
                </pic:pic>
              </a:graphicData>
            </a:graphic>
          </wp:inline>
        </w:drawing>
      </w:r>
    </w:p>
    <w:p w14:paraId="666B8740" w14:textId="77777777" w:rsidR="00DB583B" w:rsidRPr="00B334AE" w:rsidRDefault="00DB583B" w:rsidP="00DB583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i/>
          <w:noProof/>
          <w:sz w:val="24"/>
          <w:szCs w:val="24"/>
        </w:rPr>
      </w:pPr>
      <w:r>
        <w:rPr>
          <w:rFonts w:ascii="Times New Roman" w:hAnsi="Times New Roman"/>
          <w:b/>
          <w:i/>
          <w:noProof/>
          <w:sz w:val="24"/>
        </w:rPr>
        <w:t>Le marché unique est l’une des réalisations emblématiques de l’Union. Pourtant, la récente stratégie pour le marché unique</w:t>
      </w:r>
      <w:r>
        <w:rPr>
          <w:rStyle w:val="FootnoteReference"/>
          <w:rFonts w:ascii="Times New Roman" w:hAnsi="Times New Roman" w:cs="Times New Roman"/>
          <w:b/>
          <w:i/>
          <w:noProof/>
          <w:sz w:val="24"/>
          <w:szCs w:val="24"/>
        </w:rPr>
        <w:footnoteReference w:id="11"/>
      </w:r>
      <w:r>
        <w:rPr>
          <w:rFonts w:ascii="Times New Roman" w:hAnsi="Times New Roman"/>
          <w:b/>
          <w:i/>
          <w:noProof/>
          <w:sz w:val="24"/>
        </w:rPr>
        <w:t xml:space="preserve"> a une fois de plus montré que le marché unique était loin d’être achevé. Les investissements provenant du budget de l’UE qui apportent la plus grande valeur ajoutée sont ceux qui contribuent à supprimer des obstacles et à créer des liens. Le nouveau budget de l’UE est conçu dans cet esprit.</w:t>
      </w:r>
    </w:p>
    <w:p w14:paraId="46308C80" w14:textId="77777777" w:rsidR="00DB583B" w:rsidRPr="000D6231"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budget de l’UE a toujours soutenu l’élargissement et l’approfondissement du marché unique européen. </w:t>
      </w:r>
      <w:r>
        <w:rPr>
          <w:rFonts w:ascii="Times New Roman" w:hAnsi="Times New Roman"/>
          <w:noProof/>
          <w:sz w:val="24"/>
        </w:rPr>
        <w:t>Ce soutien est apporté au moyen de politiques communes telles que la politique de cohésion et la politique agricole commune, mais également grâce à des investissements dans les infrastructures physiques, qui font des réseaux transeuropéens une réalité, et dans les infrastructures administratives, qui créent les conditions nécessaires à la réussite du marché unique.</w:t>
      </w:r>
    </w:p>
    <w:p w14:paraId="4F8AD3B4" w14:textId="77777777" w:rsidR="00DB583B" w:rsidRDefault="00DB583B" w:rsidP="00DB583B">
      <w:pPr>
        <w:spacing w:after="240" w:line="240" w:lineRule="auto"/>
        <w:jc w:val="both"/>
        <w:rPr>
          <w:rFonts w:ascii="Times New Roman" w:hAnsi="Times New Roman"/>
          <w:noProof/>
          <w:sz w:val="24"/>
        </w:rPr>
      </w:pPr>
      <w:r>
        <w:rPr>
          <w:rFonts w:ascii="Times New Roman" w:hAnsi="Times New Roman"/>
          <w:b/>
          <w:noProof/>
          <w:sz w:val="24"/>
        </w:rPr>
        <w:t xml:space="preserve">Le nouveau mécanisme pour l’interconnexion en Europe financera l’achèvement des réseaux transeuropéens et favorisera la transition propre de l’UE dans les domaines de l’énergie et des transports. </w:t>
      </w:r>
      <w:r>
        <w:rPr>
          <w:rFonts w:ascii="Times New Roman" w:hAnsi="Times New Roman"/>
          <w:noProof/>
          <w:sz w:val="24"/>
        </w:rPr>
        <w:t xml:space="preserve">La guerre d’agression menée par la Russie contre l’Ukraine et la nécessité de s’émanciper des combustibles fossiles russes ont montré à quel point il était vital de construire une véritable union de l’énergie et de disposer de réseaux d’infrastructures de l’UE bien intégrés. Toutefois, les progrès concernant les infrastructures essentielles, telles que les liaisons ferroviaires et les interconnecteurs transfrontières, ont été trop lents. La facilité donnera un nouvel élan à ces investissements essentiels dans la résilience et la sécurité de l’Europe, notamment en soutenant des projets dans les régions les moins connectées de l’Union, telles que les îles et les régions ultrapériphériques. Elle investira dans les interconnexions et les réseaux transfrontières, les liaisons de transport transfrontières, les réseaux en mer, les sources d’énergie renouvelables et le stockage des énergies renouvelables, et les infrastructures pour carburants alternatifs, soutenant ainsi les ambitions de l’Union en matière de climat. La facilité financera des projets de transport à double usage civil et militaire afin de permettre une </w:t>
      </w:r>
      <w:r>
        <w:rPr>
          <w:rFonts w:ascii="Times New Roman" w:hAnsi="Times New Roman"/>
          <w:b/>
          <w:noProof/>
          <w:sz w:val="24"/>
        </w:rPr>
        <w:t>mobilité militaire</w:t>
      </w:r>
      <w:r>
        <w:rPr>
          <w:rFonts w:ascii="Times New Roman" w:hAnsi="Times New Roman"/>
          <w:noProof/>
          <w:sz w:val="24"/>
        </w:rPr>
        <w:t xml:space="preserve"> fluide dans l’ensemble de l’UE, condition préalable à une union européenne de la défense plus forte et mieux préparée.</w:t>
      </w:r>
    </w:p>
    <w:p w14:paraId="1BE88BFD" w14:textId="2B0BA01D" w:rsidR="00DB583B" w:rsidRPr="000D6231" w:rsidRDefault="00F62E73" w:rsidP="00DB583B">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7982A11A" wp14:editId="719C23C9">
            <wp:extent cx="3191420" cy="3435350"/>
            <wp:effectExtent l="0" t="0" r="9525" b="0"/>
            <wp:docPr id="12931140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94957" cy="3439157"/>
                    </a:xfrm>
                    <a:prstGeom prst="rect">
                      <a:avLst/>
                    </a:prstGeom>
                    <a:noFill/>
                    <a:ln>
                      <a:noFill/>
                    </a:ln>
                  </pic:spPr>
                </pic:pic>
              </a:graphicData>
            </a:graphic>
          </wp:inline>
        </w:drawing>
      </w:r>
    </w:p>
    <w:p w14:paraId="434F3C75"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nouveau programme pour le marché unique centralisera les mesures financées par le budget de l’UE pour supprimer les obstacles transfrontaliers et transnationaux et favoriser la coopération entre les administrations nationales.</w:t>
      </w:r>
      <w:r>
        <w:rPr>
          <w:rFonts w:ascii="Times New Roman" w:hAnsi="Times New Roman"/>
          <w:noProof/>
          <w:sz w:val="24"/>
        </w:rPr>
        <w:t xml:space="preserve"> Il contribuera au contrôle de l’application de la législation de l’UE relative au marché unique et de la politique de concurrence, aux mesures de normalisation, à la protection des consommateurs et à la coopération entre les autorités statistiques en matière de statistiques de grande qualité qui viendront étayer la conception, le suivi et l’évaluation de toutes les politiques de l’Union. En outre, il supprimera la fragmentation des financements de l’UE qui subsiste dans ce secteur afin de soutenir la coopération entre les administrations nationales et de réduire la charge administrative dans les domaines des douanes, de la fiscalité et de la lutte contre la fraude, tous essentiels au bon fonctionnement du marché unique. Il contribuera par ailleurs à la mise en œuvre de l’union de l’épargne et des investissements et de la réforme douanière de l’UE, une fois qu’elle sera adoptée.</w:t>
      </w:r>
    </w:p>
    <w:p w14:paraId="51CF1C49" w14:textId="3A8D17C7" w:rsidR="00DB583B" w:rsidRPr="000D6231" w:rsidRDefault="004B0346" w:rsidP="00DB583B">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104B1191" wp14:editId="35B6A2B7">
            <wp:extent cx="4723765" cy="3409315"/>
            <wp:effectExtent l="0" t="0" r="635" b="635"/>
            <wp:docPr id="5819025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23765" cy="3409315"/>
                    </a:xfrm>
                    <a:prstGeom prst="rect">
                      <a:avLst/>
                    </a:prstGeom>
                    <a:noFill/>
                  </pic:spPr>
                </pic:pic>
              </a:graphicData>
            </a:graphic>
          </wp:inline>
        </w:drawing>
      </w:r>
    </w:p>
    <w:p w14:paraId="117CF6D0" w14:textId="77777777" w:rsidR="00DB583B" w:rsidRPr="000D6231" w:rsidRDefault="00DB583B" w:rsidP="00DB583B">
      <w:pPr>
        <w:spacing w:after="240" w:line="240" w:lineRule="auto"/>
        <w:jc w:val="center"/>
        <w:rPr>
          <w:rFonts w:ascii="Times New Roman" w:hAnsi="Times New Roman" w:cs="Times New Roman"/>
          <w:noProof/>
          <w:sz w:val="24"/>
          <w:szCs w:val="24"/>
        </w:rPr>
      </w:pPr>
    </w:p>
    <w:p w14:paraId="4AC86ADC" w14:textId="07D6B558" w:rsidR="00660C61" w:rsidRPr="000D6231" w:rsidRDefault="00660C61" w:rsidP="003A648E">
      <w:pPr>
        <w:spacing w:after="240" w:line="240" w:lineRule="auto"/>
        <w:jc w:val="both"/>
        <w:rPr>
          <w:rFonts w:ascii="Times New Roman" w:hAnsi="Times New Roman" w:cs="Times New Roman"/>
          <w:noProof/>
          <w:sz w:val="24"/>
          <w:szCs w:val="24"/>
        </w:rPr>
      </w:pPr>
    </w:p>
    <w:p w14:paraId="6B7A570B" w14:textId="77777777" w:rsidR="00DB583B" w:rsidRPr="00404780" w:rsidRDefault="00DB583B" w:rsidP="00DB583B">
      <w:pPr>
        <w:pStyle w:val="ListParagraph"/>
        <w:numPr>
          <w:ilvl w:val="0"/>
          <w:numId w:val="35"/>
        </w:numPr>
        <w:spacing w:after="240" w:line="240" w:lineRule="auto"/>
        <w:jc w:val="both"/>
        <w:rPr>
          <w:rFonts w:ascii="Times New Roman" w:hAnsi="Times New Roman" w:cs="Times New Roman"/>
          <w:noProof/>
          <w:sz w:val="24"/>
          <w:szCs w:val="24"/>
        </w:rPr>
      </w:pPr>
      <w:r>
        <w:rPr>
          <w:rFonts w:ascii="Times New Roman" w:hAnsi="Times New Roman"/>
          <w:b/>
          <w:noProof/>
          <w:sz w:val="24"/>
        </w:rPr>
        <w:t>Une Europe forte dans un monde incertain: l’instrument «Europe dans le monde»</w:t>
      </w:r>
    </w:p>
    <w:p w14:paraId="4F6A28FF" w14:textId="77777777" w:rsidR="00DB583B" w:rsidRPr="000D6231" w:rsidRDefault="00DB583B" w:rsidP="00DB583B">
      <w:pPr>
        <w:spacing w:after="240"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lang w:val="en-GB" w:eastAsia="en-GB"/>
        </w:rPr>
        <w:drawing>
          <wp:inline distT="0" distB="0" distL="0" distR="0" wp14:anchorId="3E489D0D" wp14:editId="02BDCD40">
            <wp:extent cx="5591121" cy="2940050"/>
            <wp:effectExtent l="0" t="0" r="0" b="0"/>
            <wp:docPr id="73244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23760" cy="2957213"/>
                    </a:xfrm>
                    <a:prstGeom prst="rect">
                      <a:avLst/>
                    </a:prstGeom>
                    <a:noFill/>
                  </pic:spPr>
                </pic:pic>
              </a:graphicData>
            </a:graphic>
          </wp:inline>
        </w:drawing>
      </w:r>
    </w:p>
    <w:p w14:paraId="36B39CF9" w14:textId="77777777" w:rsidR="00DB583B" w:rsidRPr="00B334AE" w:rsidRDefault="00DB583B" w:rsidP="00DB583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«Europe dans le monde» orientera de manière plus stratégique les fonds de l’UE vers des priorités clés, en ajustant le soutien selon les besoins des partenaires de l’Europe et les intérêts de l’Union, et en s’adaptant avec souplesse à l’évolution des conditions locales, régionales et mondiales. Il apportera un soutien résolu aux pays candidats sur leur trajectoire européenne et favorisera la stabilité dans le voisinage immédiat de l’Union. L’instrument «Europe dans le monde» poursuivra le soutien sans faille de l’Union en faveur de l’Ukraine et aidera l’Union à relever des défis tels que les conflits au Moyen-Orient et leurs conséquences.</w:t>
      </w:r>
    </w:p>
    <w:p w14:paraId="2399CA3C"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paysage politique et économique mondial est de plus en plus instable et imprévisible</w:t>
      </w:r>
      <w:r>
        <w:rPr>
          <w:rFonts w:ascii="Times New Roman" w:hAnsi="Times New Roman"/>
          <w:noProof/>
          <w:sz w:val="24"/>
        </w:rPr>
        <w:t>. Il est marqué par des conflits en cours et émergents, une concurrence déloyale et une position économique et géopolitique plus affirmée de la part de certains acteurs internationaux. D’autres facteurs tels que le changement climatique, les pressions migratoires et les menaces pour la sécurité continuent de poser des défis importants à l’UE et à ses partenaires dans le monde entier.</w:t>
      </w:r>
    </w:p>
    <w:p w14:paraId="5DF0281A"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Dans ce contexte, l’UE doit repenser et renforcer son financement de l’action extérieure dans le prochain cadre financier</w:t>
      </w:r>
      <w:r>
        <w:rPr>
          <w:rFonts w:ascii="Times New Roman" w:hAnsi="Times New Roman"/>
          <w:noProof/>
          <w:sz w:val="24"/>
        </w:rPr>
        <w:t>. L’action extérieure de l’UE doit être mieux ciblée sur nos partenaires et répondre aux besoins urgents sur le terrain. Elle devrait soutenir les intérêts stratégiques de l’Union sur la scène mondiale en orientant les fonds vers des priorités politiques clés et en s’adaptant avec souplesse à l’évolution de la situation. Le renforcement de l’instrument «Europe dans le monde», doté de 200 milliards d’euros, sera le moteur de cette action. Sur ce montant, un montant indicatif de 25 milliards d’euros devrait être consacré à l’aide humanitaire.</w:t>
      </w:r>
    </w:p>
    <w:p w14:paraId="613F5226" w14:textId="2437C772" w:rsidR="00DB583B" w:rsidRDefault="0069153C" w:rsidP="00DB583B">
      <w:pPr>
        <w:spacing w:after="240" w:line="240" w:lineRule="auto"/>
        <w:jc w:val="center"/>
        <w:rPr>
          <w:rFonts w:ascii="Times New Roman" w:hAnsi="Times New Roman" w:cs="Times New Roman"/>
          <w:b/>
          <w:bCs/>
          <w:noProof/>
          <w:sz w:val="24"/>
          <w:szCs w:val="24"/>
        </w:rPr>
      </w:pPr>
      <w:r>
        <w:rPr>
          <w:noProof/>
          <w:lang w:val="en-GB" w:eastAsia="en-GB"/>
        </w:rPr>
        <w:drawing>
          <wp:inline distT="0" distB="0" distL="0" distR="0" wp14:anchorId="13F6461D" wp14:editId="03123E00">
            <wp:extent cx="5321584" cy="4813300"/>
            <wp:effectExtent l="0" t="0" r="0" b="6350"/>
            <wp:docPr id="132965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2789" cy="4823434"/>
                    </a:xfrm>
                    <a:prstGeom prst="rect">
                      <a:avLst/>
                    </a:prstGeom>
                    <a:noFill/>
                    <a:ln>
                      <a:noFill/>
                    </a:ln>
                  </pic:spPr>
                </pic:pic>
              </a:graphicData>
            </a:graphic>
          </wp:inline>
        </w:drawing>
      </w:r>
    </w:p>
    <w:p w14:paraId="553F5A70" w14:textId="77777777" w:rsidR="00DB583B" w:rsidRPr="00FA6D39"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nouvel instrument «Europe dans le monde» optimisera, consolidera et rationalisera le financement de l’action extérieure de l’UE dans le cadre du prochain budget à long terme</w:t>
      </w:r>
      <w:r>
        <w:rPr>
          <w:rFonts w:ascii="Times New Roman" w:hAnsi="Times New Roman"/>
          <w:noProof/>
          <w:sz w:val="24"/>
        </w:rPr>
        <w:t>. Afin que la prévisibilité pour les partenaires de l’Union soit garantie, chaque macrorégion disposera d’une dotation financière indicative, assortie d’une certaine souplesse permettant de réaffecter les fonds entre les enveloppes et de mobiliser une réserve globale non affectée pour répondre aux besoins émergents et aux nouvelles priorités. «Europe dans le monde» comportera également un pilier mondial pour des actions qui, par essence, ont une portée mondiale, par exemple le financement d’initiatives par l’intermédiaire d’organisations internationales telles que les Nations unies et sur des questions telles que la lutte contre le terrorisme, la santé mondiale, la cybersécurité, les activités de manipulation de l'information et d'ingérence menées depuis l'étranger ainsi que la gouvernance internationale en matière de climat et pour les océans.</w:t>
      </w:r>
    </w:p>
    <w:p w14:paraId="7A7D6455"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Tous les instruments de politique extérieure pourront être mis à contribution aux fins de l’orientation du soutien de l’UE vers chaque macrorégion. </w:t>
      </w:r>
      <w:r>
        <w:rPr>
          <w:rFonts w:ascii="Times New Roman" w:hAnsi="Times New Roman"/>
          <w:noProof/>
          <w:sz w:val="24"/>
        </w:rPr>
        <w:t>L’instrument «Europe dans le monde» comprendra des programmes de coopération pluriannuels avec des partenaires ainsi que des actions de nature non programmable, telles que l’aide humanitaire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et les réponses aux besoins en matière de crise, de paix et de politique étrangère. En outre, il fournira une assistance fondée sur des conditions relatives aux politiques à mener, y compris des réformes et des investissements. «Europe dans le monde» permettra à l’UE de déployer la combinaison appropriée d’outils stratégiques conçus pour répondre de la manière la plus efficace à l’évolution des objectifs de politique étrangère et aux besoins spécifiques des partenaires de l’UE.</w:t>
      </w:r>
    </w:p>
    <w:p w14:paraId="377F156E" w14:textId="77777777" w:rsidR="00DB583B" w:rsidRPr="00C92B86"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L’UE proposera des partenariats globaux complets et mutuellement bénéfiques afin de parvenir à un financement plus efficace et plus ciblé de l’action extérieure.</w:t>
      </w:r>
      <w:r>
        <w:rPr>
          <w:rFonts w:ascii="Times New Roman" w:hAnsi="Times New Roman"/>
          <w:noProof/>
          <w:sz w:val="24"/>
        </w:rPr>
        <w:t xml:space="preserve"> Les partenariats globaux seront adaptés aux partenaires ou aux régions, en mobilisant l’ensemble approprié de moyens d’intervention pour maximiser l’efficacité de l’action de l’UE sur le terrain, défendre les intérêts stratégiques de l’UE et améliorer la visibilité et la compréhension de l’action extérieure de l’UE. Cela fera progresser </w:t>
      </w:r>
      <w:r>
        <w:rPr>
          <w:rFonts w:ascii="Times New Roman" w:hAnsi="Times New Roman"/>
          <w:b/>
          <w:noProof/>
          <w:sz w:val="24"/>
        </w:rPr>
        <w:t>une nouvelle politique économique étrangère européenne</w:t>
      </w:r>
      <w:r>
        <w:rPr>
          <w:rFonts w:ascii="Times New Roman" w:hAnsi="Times New Roman"/>
          <w:noProof/>
          <w:sz w:val="24"/>
        </w:rPr>
        <w:t>, en renforçant l’alignement sur les priorités internes de l’UE, telles que la sécurité économique, les échanges commerciaux et la compétitivité, la sécurité énergétique et la décarbonation, la sécurité alimentaire, la gestion des migrations, les liaisons de transport, la protection du climat et de l’environnement, la production d’énergie renouvelable, la connectivité proposée par des fournisseurs de confiance et l’accès aux matières premières critiques.</w:t>
      </w:r>
    </w:p>
    <w:p w14:paraId="2165DCE1" w14:textId="77777777" w:rsidR="00DB583B" w:rsidRPr="005C4743" w:rsidRDefault="00DB583B" w:rsidP="00DB583B">
      <w:pPr>
        <w:spacing w:after="240" w:line="240" w:lineRule="auto"/>
        <w:jc w:val="both"/>
        <w:rPr>
          <w:rFonts w:ascii="Times New Roman" w:hAnsi="Times New Roman"/>
          <w:noProof/>
          <w:sz w:val="24"/>
        </w:rPr>
      </w:pPr>
      <w:r>
        <w:rPr>
          <w:rFonts w:ascii="Times New Roman" w:hAnsi="Times New Roman"/>
          <w:b/>
          <w:noProof/>
          <w:sz w:val="24"/>
        </w:rPr>
        <w:t>L’élargissement est un impératif politique et géostratégique</w:t>
      </w:r>
      <w:r>
        <w:rPr>
          <w:rFonts w:ascii="Times New Roman" w:hAnsi="Times New Roman"/>
          <w:noProof/>
          <w:sz w:val="24"/>
        </w:rPr>
        <w:t>. Vingt ans après le plus grand élargissement de l’histoire de l’UE, le processus reste un investissement essentiel dans la sécurité à long terme, la paix, la stabilité et la prospérité durable en Europe. La guerre d’agression menée par la Russie contre l’Ukraine a démontré l’importance de l’intégration européenne et la nécessité d’une Union plus grande et plus forte pour relever les défis mondiaux. L’Union est fermement déterminée à aider les pays candidats et les candidats potentiels dans leurs efforts de préparation à l’adhésion, dans le plein respect du processus fondé sur le mérite et avec la ferme conviction que leur avenir se trouve dans l’Union européenne. L’instrument «Europe dans le monde» apportera un soutien financier et politique essentiel pour aider les pays candidats et les candidats potentiels à progresser dans cette voie.</w:t>
      </w:r>
    </w:p>
    <w:p w14:paraId="5BD754E4" w14:textId="77777777" w:rsidR="00DB583B"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 xml:space="preserve">L’UE soutiendra l’Ukraine aussi longtemps qu’il le faudra. </w:t>
      </w:r>
      <w:r>
        <w:rPr>
          <w:rFonts w:ascii="Times New Roman" w:hAnsi="Times New Roman"/>
          <w:noProof/>
          <w:sz w:val="24"/>
        </w:rPr>
        <w:t>Qu’il s’agisse de l’aide apportée dans le cadre du processus d’adhésion à la reconstruction à plus long terme, l’UE se tiendra aux côtés de l’Ukraine.</w:t>
      </w:r>
      <w:r>
        <w:rPr>
          <w:rFonts w:ascii="Times New Roman" w:hAnsi="Times New Roman"/>
          <w:b/>
          <w:noProof/>
          <w:sz w:val="24"/>
        </w:rPr>
        <w:t xml:space="preserve"> </w:t>
      </w:r>
      <w:r>
        <w:rPr>
          <w:rFonts w:ascii="Times New Roman" w:hAnsi="Times New Roman"/>
          <w:noProof/>
          <w:sz w:val="24"/>
        </w:rPr>
        <w:t>Cette aide comprendra des prêts financés par des emprunts communs de l’UE couverts par la marge de manœuvre du budget de l’UE. Le soutien à l’Ukraine sera mis en œuvre au titre du pilier géographique d’«Europe dans le monde» et proviendra d’une réserve spéciale spécifique, au-delà des plafonds du budget, compte tenu de l’ampleur et de l’incertitude des besoins.</w:t>
      </w:r>
    </w:p>
    <w:p w14:paraId="6EE08EA9" w14:textId="77777777" w:rsidR="00DB583B" w:rsidRPr="00067439"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«Europe dans le monde» sera complété par d’autres types d’action extérieure de l’UE</w:t>
      </w:r>
      <w:r>
        <w:rPr>
          <w:rFonts w:ascii="Times New Roman" w:hAnsi="Times New Roman"/>
          <w:noProof/>
          <w:sz w:val="24"/>
        </w:rPr>
        <w:t xml:space="preserve"> qui, pour des raisons juridiques, doivent être financés dans le cadre de programmes distincts.</w:t>
      </w:r>
      <w:r>
        <w:rPr>
          <w:rFonts w:ascii="Times New Roman" w:hAnsi="Times New Roman"/>
          <w:b/>
          <w:noProof/>
          <w:sz w:val="24"/>
        </w:rPr>
        <w:t xml:space="preserve"> </w:t>
      </w:r>
      <w:r>
        <w:rPr>
          <w:rFonts w:ascii="Times New Roman" w:hAnsi="Times New Roman"/>
          <w:noProof/>
          <w:sz w:val="24"/>
        </w:rPr>
        <w:t>Le prochain budget à long terme de l’UE renforcera le soutien aux pays et territoires d’outre-mer</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et continuera de financer des actions relevant de la politique étrangère et de sécurité commune.</w:t>
      </w:r>
    </w:p>
    <w:p w14:paraId="37CDCF73" w14:textId="77777777" w:rsidR="00DB583B" w:rsidRPr="000D6231" w:rsidRDefault="00DB583B" w:rsidP="00DB583B">
      <w:pPr>
        <w:spacing w:after="240" w:line="240" w:lineRule="auto"/>
        <w:jc w:val="both"/>
        <w:rPr>
          <w:rFonts w:ascii="Times New Roman" w:hAnsi="Times New Roman" w:cs="Times New Roman"/>
          <w:noProof/>
          <w:sz w:val="24"/>
          <w:szCs w:val="24"/>
          <w:highlight w:val="yellow"/>
        </w:rPr>
      </w:pPr>
    </w:p>
    <w:p w14:paraId="6D9C3189" w14:textId="77777777" w:rsidR="00DB583B" w:rsidRPr="00FC4062" w:rsidRDefault="00DB583B" w:rsidP="00DB583B">
      <w:pPr>
        <w:pStyle w:val="ListParagraph"/>
        <w:numPr>
          <w:ilvl w:val="0"/>
          <w:numId w:val="35"/>
        </w:numPr>
        <w:spacing w:after="240" w:line="240" w:lineRule="auto"/>
        <w:contextualSpacing w:val="0"/>
        <w:jc w:val="both"/>
        <w:rPr>
          <w:rFonts w:ascii="Times New Roman" w:hAnsi="Times New Roman" w:cs="Times New Roman"/>
          <w:noProof/>
          <w:sz w:val="24"/>
          <w:szCs w:val="24"/>
        </w:rPr>
      </w:pPr>
      <w:r>
        <w:rPr>
          <w:rFonts w:ascii="Times New Roman" w:hAnsi="Times New Roman"/>
          <w:b/>
          <w:noProof/>
          <w:sz w:val="24"/>
        </w:rPr>
        <w:t>Investissement dans l’éducation, la démocratie et les valeurs européennes</w:t>
      </w:r>
    </w:p>
    <w:p w14:paraId="1C254EE8" w14:textId="77777777" w:rsidR="00DB583B" w:rsidRPr="006A444D" w:rsidRDefault="00DB583B" w:rsidP="00DB583B">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0A5437EA" wp14:editId="5BF1AF99">
            <wp:extent cx="5772150" cy="2770632"/>
            <wp:effectExtent l="0" t="0" r="0" b="0"/>
            <wp:docPr id="77505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07766" cy="2787728"/>
                    </a:xfrm>
                    <a:prstGeom prst="rect">
                      <a:avLst/>
                    </a:prstGeom>
                    <a:noFill/>
                  </pic:spPr>
                </pic:pic>
              </a:graphicData>
            </a:graphic>
          </wp:inline>
        </w:drawing>
      </w:r>
    </w:p>
    <w:p w14:paraId="5E50D0C1" w14:textId="77777777" w:rsidR="00DB583B" w:rsidRPr="00B334AE" w:rsidRDefault="00DB583B" w:rsidP="00DB583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Le nouveau budget à long terme de l’Union sera un budget pour tous les Européens. Il augmentera les investissements dans l’éducation et les compétences afin d’aider les étudiants et les travailleurs de l’UE à saisir les possibilités offertes dans toute l’UE. Il continuera à promouvoir la richesse de la diversité culturelle, les valeurs démocratiques et les libertés de l’Europe. Il sera ancré dans le respect des droits et des valeurs qui définissent notre Union.</w:t>
      </w:r>
    </w:p>
    <w:p w14:paraId="5D6557F9" w14:textId="77777777" w:rsidR="00DB583B"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Soutenir l’éducation, la culture, les médias et les valeurs démocratiques, c’est investir dans notre avenir commun.</w:t>
      </w:r>
      <w:r>
        <w:rPr>
          <w:rFonts w:ascii="Times New Roman" w:hAnsi="Times New Roman"/>
          <w:noProof/>
          <w:sz w:val="24"/>
        </w:rPr>
        <w:t xml:space="preserve"> Le budget de l’UE a été la pierre angulaire de ce soutien dans le cadre de ses programmes.</w:t>
      </w:r>
      <w:r>
        <w:rPr>
          <w:rFonts w:ascii="Times New Roman" w:hAnsi="Times New Roman"/>
          <w:b/>
          <w:noProof/>
          <w:sz w:val="24"/>
        </w:rPr>
        <w:t xml:space="preserve"> </w:t>
      </w:r>
      <w:r>
        <w:rPr>
          <w:rFonts w:ascii="Times New Roman" w:hAnsi="Times New Roman"/>
          <w:noProof/>
          <w:sz w:val="24"/>
        </w:rPr>
        <w:t>Il contribue à la collaboration transnationale pour le développement des compétences, à la prise en compte et au développement d’un sentiment de citoyenneté de l’Union et de compréhension mutuelle, en promouvant les valeurs de l’UE, en soutenant la résilience démocratique et sociétale, l’échange culturel, l’éducation financière et un espace d’information digne de confiance</w:t>
      </w:r>
      <w:r>
        <w:rPr>
          <w:rFonts w:ascii="Times New Roman" w:hAnsi="Times New Roman"/>
          <w:b/>
          <w:noProof/>
          <w:sz w:val="24"/>
        </w:rPr>
        <w:t>.</w:t>
      </w:r>
    </w:p>
    <w:p w14:paraId="13ECDFD3" w14:textId="78AC3DAC" w:rsidR="00DB583B" w:rsidRDefault="005F4062" w:rsidP="00DB583B">
      <w:pPr>
        <w:spacing w:after="240" w:line="240" w:lineRule="auto"/>
        <w:jc w:val="center"/>
        <w:rPr>
          <w:rFonts w:ascii="Times New Roman" w:hAnsi="Times New Roman" w:cs="Times New Roman"/>
          <w:noProof/>
          <w:sz w:val="24"/>
          <w:szCs w:val="24"/>
        </w:rPr>
      </w:pPr>
      <w:r>
        <w:rPr>
          <w:noProof/>
          <w:lang w:val="en-GB" w:eastAsia="en-GB"/>
        </w:rPr>
        <w:drawing>
          <wp:inline distT="0" distB="0" distL="0" distR="0" wp14:anchorId="32A0A439" wp14:editId="32A67324">
            <wp:extent cx="5562600" cy="3092450"/>
            <wp:effectExtent l="0" t="0" r="0" b="0"/>
            <wp:docPr id="677728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62600" cy="3092450"/>
                    </a:xfrm>
                    <a:prstGeom prst="rect">
                      <a:avLst/>
                    </a:prstGeom>
                    <a:noFill/>
                    <a:ln>
                      <a:noFill/>
                    </a:ln>
                  </pic:spPr>
                </pic:pic>
              </a:graphicData>
            </a:graphic>
          </wp:inline>
        </w:drawing>
      </w:r>
    </w:p>
    <w:p w14:paraId="73387EEF" w14:textId="77777777" w:rsidR="00865FC3" w:rsidRDefault="00865FC3" w:rsidP="00865FC3">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nouveau programme Erasmus+, qui combine le programme Erasmus+ actuel et le corps européen de solidarité, sera renforcé, ce qui témoignera de la place qu’il occupe parmi les programmes les plus emblématiques de l’UE. </w:t>
      </w:r>
      <w:r>
        <w:rPr>
          <w:rFonts w:ascii="Times New Roman" w:hAnsi="Times New Roman"/>
          <w:noProof/>
          <w:sz w:val="24"/>
        </w:rPr>
        <w:t xml:space="preserve">Erasmus+ continuera de soutenir l’enseignement et les formations de qualité, ce qui favorisera la mobilité à des fins d’apprentissage des jeunes désireux de développer leurs compétences et de créer des expériences communes. En investissant dans </w:t>
      </w:r>
      <w:r>
        <w:rPr>
          <w:rFonts w:ascii="Times New Roman" w:hAnsi="Times New Roman"/>
          <w:b/>
          <w:noProof/>
          <w:sz w:val="24"/>
        </w:rPr>
        <w:t>la jeunesse, le bénévolat et le sport</w:t>
      </w:r>
      <w:r>
        <w:rPr>
          <w:rFonts w:ascii="Times New Roman" w:hAnsi="Times New Roman"/>
          <w:noProof/>
          <w:sz w:val="24"/>
        </w:rPr>
        <w:t>, Erasmus+ contribuera à construire des sociétés plus fortes et plus connectées, à encourager l’engagement civique et démocratique et à contribuer à la cohésion sociale à tous les niveaux. Les plans</w:t>
      </w:r>
      <w:r>
        <w:rPr>
          <w:rFonts w:ascii="Times New Roman" w:hAnsi="Times New Roman"/>
          <w:b/>
          <w:noProof/>
          <w:sz w:val="24"/>
        </w:rPr>
        <w:t xml:space="preserve"> </w:t>
      </w:r>
      <w:r>
        <w:rPr>
          <w:rFonts w:ascii="Times New Roman" w:hAnsi="Times New Roman"/>
          <w:noProof/>
          <w:sz w:val="24"/>
        </w:rPr>
        <w:t xml:space="preserve">de partenariat nationaux et régionaux apporteront également un soutien solide aux réformes et aux investissements en faveur du développement des compétences et des structures associées, dans le droit fil des recommandations par pays. </w:t>
      </w:r>
    </w:p>
    <w:p w14:paraId="7576FED6"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nouveau programme AgoraEU soutiendra les piliers d’une démocratie forte, à savoir notamment la culture, les médias et la société civile. </w:t>
      </w:r>
      <w:r>
        <w:rPr>
          <w:rFonts w:ascii="Times New Roman" w:hAnsi="Times New Roman"/>
          <w:noProof/>
          <w:sz w:val="24"/>
        </w:rPr>
        <w:t>Le secteur de la culture, de la création, de l’audiovisuel et des médias de</w:t>
      </w:r>
      <w:r>
        <w:rPr>
          <w:rFonts w:ascii="Times New Roman" w:hAnsi="Times New Roman"/>
          <w:b/>
          <w:noProof/>
          <w:sz w:val="24"/>
        </w:rPr>
        <w:t xml:space="preserve"> </w:t>
      </w:r>
      <w:r>
        <w:rPr>
          <w:rFonts w:ascii="Times New Roman" w:hAnsi="Times New Roman"/>
          <w:noProof/>
          <w:sz w:val="24"/>
        </w:rPr>
        <w:t>l’UE</w:t>
      </w:r>
      <w:r>
        <w:rPr>
          <w:rFonts w:ascii="Times New Roman" w:hAnsi="Times New Roman"/>
          <w:b/>
          <w:noProof/>
          <w:sz w:val="24"/>
        </w:rPr>
        <w:t xml:space="preserve"> </w:t>
      </w:r>
      <w:r>
        <w:rPr>
          <w:rFonts w:ascii="Times New Roman" w:hAnsi="Times New Roman"/>
          <w:noProof/>
          <w:sz w:val="24"/>
        </w:rPr>
        <w:t>est un pilier important de l’économie et de la société de l’UE. Le secteur audiovisuel doit faire face à une forte concurrence de l’étranger et à des défis liés au rôle accru des plateformes. Dans le domaine des médias d’information, la diminution du pluralisme des médias et la désinformation deviennent une menace pour le projet européen et la démocratie. L’Europe est également confrontée à des défis liés à la participation démocratique, à l’égalité, à la diversité culturelle et aux menaces qui pèsent sur la liberté artistique. Un soutien financier bien conçu et renforcé au niveau européen est primordial pour contrebalancer ces tendances. La diversité culturelle et linguistique, notre patrimoine culturel ainsi que nos valeurs communes d’égalité et de démocratie définissent l’identité européenne et continueront d’être soutenus dans le prochain budget à long terme. Le regroupement du soutien à la culture, aux médias et à la société civile dans le cadre d’AgoraEU garantira un accès plus simple pour les bénéficiaires au moyen de règles et de modalités de financement communes.</w:t>
      </w:r>
    </w:p>
    <w:p w14:paraId="711B5DDD" w14:textId="77777777" w:rsidR="00DB583B" w:rsidRPr="000D6231" w:rsidRDefault="00DB583B" w:rsidP="00DB583B">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 programme «Justice» contribuera à la mise en place d’un espace européen de justice efficace, inclusif et résilient.</w:t>
      </w:r>
      <w:r>
        <w:rPr>
          <w:rFonts w:ascii="Times New Roman" w:hAnsi="Times New Roman"/>
          <w:noProof/>
          <w:sz w:val="24"/>
        </w:rPr>
        <w:t xml:space="preserve"> Il soutiendra également la transition numérique de la justice au niveau de l’UE.</w:t>
      </w:r>
    </w:p>
    <w:p w14:paraId="41ECD1E9" w14:textId="77777777" w:rsidR="00DB583B" w:rsidRPr="000D6231" w:rsidRDefault="00DB583B" w:rsidP="00DB583B">
      <w:pPr>
        <w:spacing w:after="240" w:line="240" w:lineRule="auto"/>
        <w:jc w:val="both"/>
        <w:rPr>
          <w:rFonts w:ascii="Times New Roman" w:hAnsi="Times New Roman" w:cs="Times New Roman"/>
          <w:noProof/>
          <w:sz w:val="24"/>
          <w:szCs w:val="24"/>
        </w:rPr>
      </w:pPr>
    </w:p>
    <w:p w14:paraId="353D9D67" w14:textId="77777777" w:rsidR="00DB583B" w:rsidRPr="000D6231" w:rsidRDefault="00DB583B" w:rsidP="00DB583B">
      <w:pPr>
        <w:pStyle w:val="ListParagraph"/>
        <w:numPr>
          <w:ilvl w:val="0"/>
          <w:numId w:val="35"/>
        </w:numPr>
        <w:spacing w:after="240" w:line="240" w:lineRule="auto"/>
        <w:contextualSpacing w:val="0"/>
        <w:jc w:val="both"/>
        <w:rPr>
          <w:rFonts w:ascii="Times New Roman" w:hAnsi="Times New Roman" w:cs="Times New Roman"/>
          <w:noProof/>
          <w:sz w:val="24"/>
          <w:szCs w:val="24"/>
        </w:rPr>
      </w:pPr>
      <w:r>
        <w:rPr>
          <w:rFonts w:ascii="Times New Roman" w:hAnsi="Times New Roman"/>
          <w:b/>
          <w:noProof/>
          <w:sz w:val="24"/>
        </w:rPr>
        <w:t>Protéger les personnes et renforcer la préparation et la résilience</w:t>
      </w:r>
    </w:p>
    <w:p w14:paraId="17CC5661" w14:textId="77777777" w:rsidR="00DB583B" w:rsidRPr="006A444D" w:rsidRDefault="00DB583B" w:rsidP="00DB583B">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67806E09" wp14:editId="450A2CB5">
            <wp:extent cx="5792424" cy="2146300"/>
            <wp:effectExtent l="0" t="0" r="0" b="6350"/>
            <wp:docPr id="71452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2995" cy="2150217"/>
                    </a:xfrm>
                    <a:prstGeom prst="rect">
                      <a:avLst/>
                    </a:prstGeom>
                    <a:noFill/>
                  </pic:spPr>
                </pic:pic>
              </a:graphicData>
            </a:graphic>
          </wp:inline>
        </w:drawing>
      </w:r>
    </w:p>
    <w:p w14:paraId="151A988A" w14:textId="77777777" w:rsidR="00DB583B" w:rsidRPr="00B334AE" w:rsidRDefault="00DB583B" w:rsidP="00DB583B">
      <w:pPr>
        <w:pBdr>
          <w:top w:val="single" w:sz="8" w:space="1" w:color="auto"/>
          <w:left w:val="single" w:sz="8" w:space="4" w:color="auto"/>
          <w:bottom w:val="single" w:sz="8" w:space="1" w:color="auto"/>
          <w:right w:val="single" w:sz="8" w:space="4" w:color="auto"/>
        </w:pBdr>
        <w:shd w:val="clear" w:color="auto" w:fill="F2F2F2" w:themeFill="background1" w:themeFillShade="F2"/>
        <w:spacing w:after="240" w:line="240" w:lineRule="auto"/>
        <w:jc w:val="both"/>
        <w:rPr>
          <w:rFonts w:ascii="Times New Roman" w:hAnsi="Times New Roman" w:cs="Times New Roman"/>
          <w:i/>
          <w:noProof/>
          <w:sz w:val="24"/>
          <w:szCs w:val="24"/>
        </w:rPr>
      </w:pPr>
      <w:r>
        <w:rPr>
          <w:rFonts w:ascii="Times New Roman" w:hAnsi="Times New Roman"/>
          <w:b/>
          <w:i/>
          <w:noProof/>
          <w:sz w:val="24"/>
        </w:rPr>
        <w:t>Le nouveau budget à long terme de l’UE fournira les instruments permettant de mettre en œuvre la stratégie d’union de la préparation et la stratégie européenne de sécurité intérieure (ProtectEU).</w:t>
      </w:r>
      <w:r>
        <w:rPr>
          <w:i/>
          <w:noProof/>
          <w:vertAlign w:val="superscript"/>
        </w:rPr>
        <w:footnoteReference w:id="14"/>
      </w:r>
      <w:r>
        <w:rPr>
          <w:rStyle w:val="FootnoteReference"/>
          <w:noProof/>
        </w:rPr>
        <w:footnoteReference w:id="15"/>
      </w:r>
      <w:r>
        <w:rPr>
          <w:rFonts w:ascii="Times New Roman" w:hAnsi="Times New Roman"/>
          <w:b/>
          <w:i/>
          <w:noProof/>
          <w:sz w:val="24"/>
        </w:rPr>
        <w:t xml:space="preserve"> Les crises et catastrophes récentes, y compris la pandémie, la guerre en Ukraine et les crises de l’énergie, ainsi que les nombreuses menaces pour la sécurité ont montré la valeur ajoutée d’une action coordonnée de l’UE et des États membres aux fins du renforcement de la préparation et de la sauvegarde de la sécurité intérieure. Le prochain budget à long terme de l’UE renforcera la capacité de prévention,</w:t>
      </w:r>
      <w:r>
        <w:rPr>
          <w:rFonts w:ascii="Times New Roman" w:hAnsi="Times New Roman"/>
          <w:i/>
          <w:noProof/>
          <w:sz w:val="24"/>
        </w:rPr>
        <w:t xml:space="preserve"> </w:t>
      </w:r>
      <w:r>
        <w:rPr>
          <w:rFonts w:ascii="Times New Roman" w:hAnsi="Times New Roman"/>
          <w:b/>
          <w:i/>
          <w:noProof/>
          <w:sz w:val="24"/>
        </w:rPr>
        <w:t>de préparation et de réaction de l’UE et investira dans une Europe sûre et sécurisée.</w:t>
      </w:r>
    </w:p>
    <w:p w14:paraId="385A9CAE" w14:textId="77777777" w:rsidR="00DB583B" w:rsidRPr="000D6231"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rapport Niinistö</w:t>
      </w:r>
      <w:r>
        <w:rPr>
          <w:rStyle w:val="FootnoteReference"/>
          <w:rFonts w:ascii="Times New Roman" w:hAnsi="Times New Roman" w:cs="Times New Roman"/>
          <w:b/>
          <w:bCs/>
          <w:noProof/>
          <w:sz w:val="24"/>
          <w:szCs w:val="24"/>
        </w:rPr>
        <w:footnoteReference w:id="16"/>
      </w:r>
      <w:r>
        <w:rPr>
          <w:rFonts w:ascii="Times New Roman" w:hAnsi="Times New Roman"/>
          <w:b/>
          <w:noProof/>
          <w:sz w:val="24"/>
        </w:rPr>
        <w:t xml:space="preserve"> a mis en évidence les nombreuses menaces auxquelles l’Union est confrontée</w:t>
      </w:r>
      <w:r>
        <w:rPr>
          <w:rFonts w:ascii="Times New Roman" w:hAnsi="Times New Roman"/>
          <w:noProof/>
          <w:sz w:val="24"/>
        </w:rPr>
        <w:t xml:space="preserve"> et a formulé des recommandations concrètes sur la manière de prévenir les crises majeures qui menacent l’UE ou certains de ses États membres et d’y réagir lorsqu’elles surviennent. Le futur budget à long terme abordera, au moyen d’un financement important, tous les aspects de la gestion des crises, à savoir la prévention, la préparation, la réaction et le rétablissement, ainsi que la mise à niveau de la boîte à outils de préparation de l’UE.</w:t>
      </w:r>
    </w:p>
    <w:p w14:paraId="0739A20C"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nouveau mécanisme de protection civile de l’Union et le soutien de l’Union en matière de préparation et de réaction aux situations d’urgence sanitaire exploiteront les synergies entre l’action de l’UE en matière de protection civile et la préparation et la réaction aux situations d’urgence sanitaire. </w:t>
      </w:r>
      <w:r>
        <w:rPr>
          <w:rFonts w:ascii="Times New Roman" w:hAnsi="Times New Roman"/>
          <w:noProof/>
          <w:sz w:val="24"/>
        </w:rPr>
        <w:t>En vue de disposer d’un CFP fondé sur le principe de «préparation dès la conception», la Commission propose de quintupler le financement dans ce domaine, pour le porter à 10,7 milliards d’euros. Le nouveau mécanisme de protection civile de l’Union veillera à ce que les capacités de réaction, y compris les stocks, soient développées et maintenues au niveau de l’UE dans tous les secteurs et régions concernés, en complément des efforts nationaux. Le renforcement considérable du mécanisme de protection civile de l’Union, conjugué à la préparation et à la réaction aux situations d’urgence sanitaire, garantira une meilleure coordination intersectorielle et comblera les lacunes en matière de capacités dans les situations d’urgence causées, par exemple, par le changement climatique, l’évolution du paysage sécuritaire, y compris en ce qui concerne les infrastructures critiques, et l’évolution du paysage sanitaire mondial.</w:t>
      </w:r>
    </w:p>
    <w:p w14:paraId="490A49E0" w14:textId="33654209" w:rsidR="00DB583B" w:rsidRDefault="004B0346" w:rsidP="00DB583B">
      <w:pPr>
        <w:spacing w:after="24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22C03821" wp14:editId="2F07D4D9">
            <wp:extent cx="5888355" cy="2813131"/>
            <wp:effectExtent l="0" t="0" r="0" b="6350"/>
            <wp:docPr id="15472434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18485" cy="2827525"/>
                    </a:xfrm>
                    <a:prstGeom prst="rect">
                      <a:avLst/>
                    </a:prstGeom>
                    <a:noFill/>
                  </pic:spPr>
                </pic:pic>
              </a:graphicData>
            </a:graphic>
          </wp:inline>
        </w:drawing>
      </w:r>
    </w:p>
    <w:p w14:paraId="2AC0F3F6"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prochain cadre financier traduira l’objectif de «préparation dès la conception» dans sa structure. </w:t>
      </w:r>
      <w:r>
        <w:rPr>
          <w:rFonts w:ascii="Times New Roman" w:hAnsi="Times New Roman"/>
          <w:noProof/>
          <w:sz w:val="24"/>
        </w:rPr>
        <w:t>Outre la capacité centrale de l’UE fournie par le mécanisme de protection civile de l’Union, les plans de partenariat nationaux et régionaux soutiendront les investissements et les réformes visant à améliorer la prévention des crises ainsi que la résilience et la préparation face au changement climatique au niveau des États membres et au niveau régional. La facilité de l’UE financera la réaction aux catastrophes et aux événements imprévus, afin de compléter les dotations financières nationales ou de financer des actions directement au niveau de l’UE. Le Fonds européen pour la compétitivité renforcera la préparation et l’autonomie stratégique de l’UE dans des secteurs, technologies et infrastructures clés. Il soutiendra le renforcement des capacités industrielles et des technologies de pointe (par exemple, les outils de crise Copernicus,</w:t>
      </w:r>
      <w:r>
        <w:rPr>
          <w:rFonts w:ascii="Aptos" w:hAnsi="Aptos"/>
          <w:noProof/>
        </w:rPr>
        <w:t xml:space="preserve"> </w:t>
      </w:r>
      <w:r>
        <w:rPr>
          <w:rFonts w:ascii="Times New Roman" w:hAnsi="Times New Roman"/>
          <w:noProof/>
          <w:sz w:val="24"/>
        </w:rPr>
        <w:t>Galileo et IRIS²; l’innovation et la fabrication dans le domaine de la santé), ce qui contribuera au renforcement de la résilience de l’UE, notamment à l’aide d’investissements dans la protection des infrastructures critiques. «Europe dans le monde» offrira une panoplie complète d’instruments d’action dans les pays tiers.</w:t>
      </w:r>
    </w:p>
    <w:p w14:paraId="475BF930" w14:textId="77777777" w:rsidR="00DB583B" w:rsidRPr="002F64C8"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La sécurité est le socle sur lequel se construisent toutes nos libertés.</w:t>
      </w:r>
      <w:r>
        <w:rPr>
          <w:rFonts w:ascii="Times New Roman" w:hAnsi="Times New Roman"/>
          <w:noProof/>
          <w:sz w:val="24"/>
        </w:rPr>
        <w:t xml:space="preserve"> La capacité des États membres de l’UE à garantir la sécurité de leurs citoyens dépend d’une approche européenne unifiée de la protection de notre sécurité intérieure. Le nouveau budget à long terme de l’UE aidera l’Europe à tenir sa promesse durable de paix et de stabilité. La stratégie ProtectEU expose l’engagement de l’UE visant à offrir une Europe plus sûre et plus sécurisée à tous ses citoyens.</w:t>
      </w:r>
    </w:p>
    <w:p w14:paraId="2E737198" w14:textId="77777777" w:rsidR="00DB583B" w:rsidRPr="006A444D"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futur budget à long terme soutiendra l’engagement en faveur d’une Europe plus sûre et plus sécurisée. </w:t>
      </w:r>
      <w:r>
        <w:rPr>
          <w:rFonts w:ascii="Times New Roman" w:hAnsi="Times New Roman"/>
          <w:noProof/>
          <w:sz w:val="24"/>
        </w:rPr>
        <w:t>Pour ce faire, il soutiendra la résilience des infrastructures critiques, permettra la coopération entre les services d’urgence des États membres dans le cadre de leur réaction face aux menaces pesant sur la sécurité intérieure de l’UE, modernisera les systèmes d’échange d’informations et de coopération et favorisera la mise en place d’une réaction commune aux formes graves de criminalité, y compris le terrorisme et la criminalité organisée. Par ailleurs, le nouveau budget à long terme de l’UE permettra à l’Union de coopérer plus étroitement avec les pays tiers à l’appui de sa sécurité intérieure, par l’intermédiaire d’«Europe dans le monde».</w:t>
      </w:r>
    </w:p>
    <w:p w14:paraId="1DD98ED1" w14:textId="77777777" w:rsidR="00DB583B" w:rsidRPr="000D6231"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L’Union continuera d’apporter son soutien à la sûreté nucléaire.</w:t>
      </w:r>
      <w:r>
        <w:rPr>
          <w:rFonts w:ascii="Times New Roman" w:hAnsi="Times New Roman"/>
          <w:noProof/>
          <w:sz w:val="24"/>
        </w:rPr>
        <w:t xml:space="preserve"> Il s’agira notamment de la coopération internationale en matière de sûreté nucléaire, ainsi que du déclassement des activités nucléaires en Lituanie et des propres installations nucléaires de l’UE. La contribution de l’UE en faveur du déclassement des installations nucléaires en Bulgarie et en Slovaquie devrait arriver à son terme d’ici à 2027. Un financement provenant du budget de l’UE contribuera à soutenir la santé des travailleurs et du grand public, à garantir la sûreté nucléaire et à prévenir la dégradation de l’environnement.</w:t>
      </w:r>
    </w:p>
    <w:p w14:paraId="4F3EFFCD" w14:textId="77777777" w:rsidR="00DB583B" w:rsidRPr="000D6231" w:rsidRDefault="00DB583B" w:rsidP="00DB583B">
      <w:pPr>
        <w:pStyle w:val="ListParagraph"/>
        <w:numPr>
          <w:ilvl w:val="0"/>
          <w:numId w:val="35"/>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Une administration publique moderne et efficace pour l’Europe</w:t>
      </w:r>
    </w:p>
    <w:p w14:paraId="3EE84160" w14:textId="77777777" w:rsidR="00DB583B" w:rsidRPr="00E136A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Une réduction de 5 % des effectifs au cours des années 2013 à 2017, suivie d’une période prolongée de stabilité des effectifs, a permis de réaliser des économies considérables dans les dépenses administratives, mais a également dessiné un important déficit dans les capacités de la Commission et a exposé celle-ci à des risques pour la continuité des activités</w:t>
      </w:r>
      <w:r>
        <w:rPr>
          <w:rFonts w:ascii="Times New Roman" w:hAnsi="Times New Roman"/>
          <w:noProof/>
          <w:sz w:val="24"/>
        </w:rPr>
        <w:t>. L’évolution rapide du paysage économique et de la situation dans le monde a généré de nouveaux besoins opérationnels et la Commission s’est vu confier de nouvelles initiatives et tâches qui nécessitent des ressources supplémentaires. Pour mener à bien ces nouvelles tâches, la Commission doit disposer du niveau adéquat d’effectifs, ayant le bon profil. Cela signifie également que la Commission doit être en mesure d’attirer les meilleurs talents et d’améliorer l’équilibre géographique de ses effectifs.</w:t>
      </w:r>
    </w:p>
    <w:p w14:paraId="6F20DAE9"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Au moment de la révision à mi-parcours du cadre financier 2021-2027</w:t>
      </w:r>
      <w:r w:rsidRPr="000E3616">
        <w:rPr>
          <w:rStyle w:val="FootnoteReference"/>
          <w:rFonts w:ascii="Times New Roman" w:hAnsi="Times New Roman" w:cs="Times New Roman"/>
          <w:b/>
          <w:bCs/>
          <w:noProof/>
          <w:sz w:val="24"/>
          <w:szCs w:val="24"/>
        </w:rPr>
        <w:footnoteReference w:id="17"/>
      </w:r>
      <w:r>
        <w:rPr>
          <w:rFonts w:ascii="Times New Roman" w:hAnsi="Times New Roman"/>
          <w:b/>
          <w:noProof/>
          <w:sz w:val="24"/>
        </w:rPr>
        <w:t>, la Commission avait évalué les besoins de toutes les institutions de l’UE résultant des nouvelles tâches ainsi que le besoin d’expertise en matière de cybersécurité.</w:t>
      </w:r>
      <w:r>
        <w:rPr>
          <w:rFonts w:ascii="Times New Roman" w:hAnsi="Times New Roman"/>
          <w:noProof/>
          <w:sz w:val="24"/>
        </w:rPr>
        <w:t xml:space="preserve"> Depuis que la proposition de révision à mi-parcours a été présentée, d’autres initiatives législatives ont été adoptées, sans être assorties du renforcement correspondant. Les autres institutions de l’UE ont également fait face à de nouveaux défis, notamment en matière de sécurité, d’IA et de nouvelles obligations réglementaires qui mobilisent leurs capacités à leur niveau maximal. Le manque d’effectif est également important dans le domaine de la cybersécurité, compte tenu de l’augmentation du nombre d’attaques et de leur gravité.</w:t>
      </w:r>
    </w:p>
    <w:p w14:paraId="5A7B1115" w14:textId="77777777" w:rsidR="00DB583B" w:rsidRPr="00E136A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Il est donc proposé d’intégrer une augmentation des effectifs de 2 500 postes dans la rubrique «Administration» sur les trois premières années de la nouvelle période, couvrant les besoins établis et les évolutions potentielles jusqu’en 2027, conformément aux propositions législatives présentées.</w:t>
      </w:r>
      <w:r>
        <w:rPr>
          <w:rFonts w:ascii="Times New Roman" w:hAnsi="Times New Roman"/>
          <w:noProof/>
          <w:sz w:val="24"/>
        </w:rPr>
        <w:t xml:space="preserve"> Grâce à cet accroissement progressif au cours des premières années de la prochaine période, la Commission disposerait des ressources nécessaires pour assurer la bonne mise en œuvre et la clôture des programmes en cours, ainsi que pour accélérer le démarrage de la nouvelle génération de programmes et préparer l’Union aux futurs élargissements. À l’avenir, la simplification proposée et la réduction du nombre de programmes devraient entraîner des gains d’efficacité, ce qui contribuera à faire de la place pour les nouvelles tâches qui pourraient advenir au cours du prochain budget à long terme. Ces éléments, conjugués à l’examen à grande échelle de l’organisation et du fonctionnement de la Commission, devraient conduire à une situation dans laquelle l’institution pourra relever les défis futurs énergiquement, armée de la meilleure structure de personnel et de la plus grande flexibilité d’action possibles.</w:t>
      </w:r>
    </w:p>
    <w:p w14:paraId="3E4B36F5"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En ce qui concerne les dépenses non liées aux rémunérations, une augmentation annuelle de 2 % au cours du prochain cadre financier reste réalisable, à condition que le point de départ tienne compte des besoins réels. </w:t>
      </w:r>
      <w:r>
        <w:rPr>
          <w:rFonts w:ascii="Times New Roman" w:hAnsi="Times New Roman"/>
          <w:noProof/>
          <w:sz w:val="24"/>
        </w:rPr>
        <w:t>Plusieurs institutions prévoient d’importants travaux de construction au cours des prochaines années. Des investissements appropriés dans l’informatique, y compris dans la cybersécurité, sont nécessaires, et ils contribueront, à terme, à rationaliser les coûts futurs. Enfin, le Service européen pour l’action extérieure doit être en mesure de garantir la sécurité des délégations. Le prochain budget à long terme doit tenir compte de l’incertitude dans l’évolution des prix, qui a des répercussions notamment sur les coûts fixes et d’autres obligations juridiques (voir section 3).</w:t>
      </w:r>
    </w:p>
    <w:p w14:paraId="66883728" w14:textId="77777777" w:rsidR="00DB583B" w:rsidRPr="000D6231" w:rsidRDefault="00DB583B" w:rsidP="00DB583B">
      <w:pPr>
        <w:spacing w:after="240" w:line="240" w:lineRule="auto"/>
        <w:jc w:val="both"/>
        <w:rPr>
          <w:rFonts w:ascii="Times New Roman" w:hAnsi="Times New Roman" w:cs="Times New Roman"/>
          <w:noProof/>
          <w:sz w:val="24"/>
          <w:szCs w:val="24"/>
        </w:rPr>
      </w:pPr>
    </w:p>
    <w:p w14:paraId="12B8F7CA" w14:textId="77777777" w:rsidR="00DB583B" w:rsidRPr="000D6231" w:rsidRDefault="00DB583B" w:rsidP="00DB583B">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u w:val="single"/>
        </w:rPr>
      </w:pPr>
      <w:r>
        <w:rPr>
          <w:rFonts w:ascii="Times New Roman" w:hAnsi="Times New Roman"/>
          <w:b/>
          <w:noProof/>
          <w:sz w:val="24"/>
        </w:rPr>
        <w:t>UN BUDGET DE L’UE PLUS ADAPTABLE</w:t>
      </w:r>
    </w:p>
    <w:p w14:paraId="5D06B654" w14:textId="77777777" w:rsidR="00DB583B" w:rsidRPr="00E2464D" w:rsidRDefault="00DB583B" w:rsidP="00DB583B">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Le prochain budget à long terme de l’UE sera un budget plus adaptable, associant stabilité et prévisibilité à une capacité plus structurelle d’adaptation à l’évolution des besoins et des priorités. Le prochain budget à long terme de l’UE doit constituer le budget adéquat non seulement le 1</w:t>
      </w:r>
      <w:r>
        <w:rPr>
          <w:rFonts w:ascii="Times New Roman" w:hAnsi="Times New Roman"/>
          <w:b/>
          <w:i/>
          <w:noProof/>
          <w:sz w:val="24"/>
          <w:vertAlign w:val="superscript"/>
        </w:rPr>
        <w:t>er</w:t>
      </w:r>
      <w:r>
        <w:rPr>
          <w:rFonts w:ascii="Times New Roman" w:hAnsi="Times New Roman"/>
          <w:b/>
          <w:i/>
          <w:noProof/>
          <w:sz w:val="24"/>
        </w:rPr>
        <w:t> janvier 2028, mais aussi tout au long de sa mise en œuvre jusqu’en 2034 et au-delà: il doit être adapté à l’avenir.</w:t>
      </w:r>
    </w:p>
    <w:p w14:paraId="658DAC53" w14:textId="77777777" w:rsidR="00DB583B" w:rsidRPr="00B334AE" w:rsidRDefault="00DB583B" w:rsidP="00DB583B">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La flexibilité sera une caractéristique déterminante du prochain budget à long terme</w:t>
      </w:r>
      <w:r>
        <w:rPr>
          <w:rFonts w:ascii="Times New Roman" w:hAnsi="Times New Roman"/>
          <w:noProof/>
          <w:sz w:val="24"/>
        </w:rPr>
        <w:t>. La flexibilité est essentielle pour faire en sorte que le budget de l’UE soit à l’épreuve du temps, réactif et adapté pendant toute sa durée. Le prochain budget à long terme doit trouver un meilleur équilibre entre prévisibilité pour les investissements et flexibilité afin de pouvoir réorienter les dépenses et répondre aux besoins imprévus et aux crises. La prévisibilité sera toujours garantie concernant les investissements comme les investissements importants dans le domaine de l’énergie et des transports</w:t>
      </w:r>
      <w:r>
        <w:rPr>
          <w:rFonts w:ascii="Times New Roman" w:hAnsi="Times New Roman"/>
          <w:i/>
          <w:noProof/>
          <w:sz w:val="24"/>
        </w:rPr>
        <w:t xml:space="preserve"> </w:t>
      </w:r>
      <w:r>
        <w:rPr>
          <w:rFonts w:ascii="Times New Roman" w:hAnsi="Times New Roman"/>
          <w:noProof/>
          <w:sz w:val="24"/>
        </w:rPr>
        <w:t>ainsi que</w:t>
      </w:r>
      <w:r>
        <w:rPr>
          <w:rFonts w:ascii="Times New Roman" w:hAnsi="Times New Roman"/>
          <w:i/>
          <w:noProof/>
          <w:sz w:val="24"/>
        </w:rPr>
        <w:t xml:space="preserve"> </w:t>
      </w:r>
      <w:r>
        <w:rPr>
          <w:rFonts w:ascii="Times New Roman" w:hAnsi="Times New Roman"/>
          <w:noProof/>
          <w:sz w:val="24"/>
        </w:rPr>
        <w:t xml:space="preserve">les investissements dans la recherche et l’innovation, qui nécessitent une planification à long terme pour nos bénéficiaires, promoteurs de projets et autorités de gestion. Dans le même temps, la réduction du nombre de rubriques et de programmes facilitera le redéploiement de ressources qui ne sont pas préprogrammées, au sein des programmes et entre ceux-ci. Il y aura davantage de possibilités de </w:t>
      </w:r>
      <w:r>
        <w:rPr>
          <w:rFonts w:ascii="Times New Roman" w:hAnsi="Times New Roman"/>
          <w:noProof/>
          <w:color w:val="000000" w:themeColor="text1"/>
          <w:sz w:val="24"/>
        </w:rPr>
        <w:t>transfert de ressources entre les domaines ou les volets des programmes du budget de l’UE. En outre, les outils et instruments de flexibilité dédiés seront renforcés.</w:t>
      </w:r>
    </w:p>
    <w:p w14:paraId="0718D701" w14:textId="77777777" w:rsidR="00DB583B" w:rsidRDefault="00DB583B" w:rsidP="00DB583B">
      <w:pPr>
        <w:spacing w:after="240" w:line="240" w:lineRule="auto"/>
        <w:jc w:val="center"/>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lang w:val="en-GB" w:eastAsia="en-GB"/>
        </w:rPr>
        <w:drawing>
          <wp:inline distT="0" distB="0" distL="0" distR="0" wp14:anchorId="4FF822C9" wp14:editId="7D5B5D45">
            <wp:extent cx="5543424" cy="2146300"/>
            <wp:effectExtent l="0" t="0" r="635" b="6350"/>
            <wp:docPr id="970227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62844" cy="2153819"/>
                    </a:xfrm>
                    <a:prstGeom prst="rect">
                      <a:avLst/>
                    </a:prstGeom>
                    <a:noFill/>
                  </pic:spPr>
                </pic:pic>
              </a:graphicData>
            </a:graphic>
          </wp:inline>
        </w:drawing>
      </w:r>
    </w:p>
    <w:p w14:paraId="5EFCF596" w14:textId="77777777" w:rsidR="00DB583B" w:rsidRDefault="00DB583B" w:rsidP="00DB583B">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sz w:val="24"/>
        </w:rPr>
        <w:t>Le prochain cadre financier sera doté d’une architecture plus simple</w:t>
      </w:r>
      <w:r>
        <w:rPr>
          <w:rFonts w:ascii="Times New Roman" w:hAnsi="Times New Roman"/>
          <w:noProof/>
          <w:sz w:val="24"/>
        </w:rPr>
        <w:t xml:space="preserve">, composée de moins de programmes, d’une part plus importante de montants non programmés, ainsi que de mécanismes et de réserves intégrées permettant une réponse plus efficace, plus rapide et moins déstabilisante à l’évolution des besoins. </w:t>
      </w:r>
      <w:r>
        <w:rPr>
          <w:rFonts w:ascii="Times New Roman" w:hAnsi="Times New Roman"/>
          <w:noProof/>
          <w:color w:val="000000" w:themeColor="text1"/>
          <w:sz w:val="24"/>
        </w:rPr>
        <w:t>Les redéploiements au sein des programmes et entre ceux-ci seront facilités par la diminution des rigidités intrinsèques du budget; celui-ci continuera néanmoins de créer des conditions stables pour les investissements à long terme. La réaction aux catastrophes sera réorganisée en intégrant les outils actuels dans les limites des plafonds du cadre financier et dans les programmes, sous la forme de réserves et de coussins, ainsi que par des procédures simplifiées de réorientation des financements. Les instruments spéciaux allant «au-delà» des plafonds seront rationalisés: l’instrument de flexibilité apportera un soutien aux besoins nouveaux ou imprévus lorsque d’autres flexibilités ne seront pas disponibles. Outre un montant annuel fixe, l’instrument de flexibilité comprendra des montants équivalents aux dégagements effectués l’année précédente ainsi qu’aux amendes nettes inscrites au budget de l’année précédente</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color w:val="000000" w:themeColor="text1"/>
          <w:sz w:val="24"/>
        </w:rPr>
        <w:t>.</w:t>
      </w:r>
    </w:p>
    <w:p w14:paraId="29666C7C" w14:textId="77777777" w:rsidR="00DB583B" w:rsidRDefault="00DB583B" w:rsidP="00DB583B">
      <w:pPr>
        <w:spacing w:after="240" w:line="240" w:lineRule="auto"/>
        <w:jc w:val="both"/>
        <w:rPr>
          <w:rFonts w:ascii="Times New Roman" w:eastAsia="Times New Roman" w:hAnsi="Times New Roman" w:cs="Times New Roman"/>
          <w:noProof/>
          <w:sz w:val="24"/>
          <w:szCs w:val="24"/>
        </w:rPr>
      </w:pPr>
      <w:r>
        <w:rPr>
          <w:rFonts w:ascii="Times New Roman" w:hAnsi="Times New Roman"/>
          <w:b/>
          <w:noProof/>
          <w:color w:val="000000" w:themeColor="text1"/>
          <w:sz w:val="24"/>
        </w:rPr>
        <w:t>Ces dernières années ont également montré que la fréquence, la gravité et l’ampleur des crises majeures, des difficultés et des menaces ont augmenté</w:t>
      </w:r>
      <w:r>
        <w:rPr>
          <w:rFonts w:ascii="Times New Roman" w:hAnsi="Times New Roman"/>
          <w:noProof/>
          <w:color w:val="000000" w:themeColor="text1"/>
          <w:sz w:val="24"/>
        </w:rPr>
        <w:t>. La rigidité de la structure budgétaire actuelle a limité l’Union dans la réponse qu’elle a pu apporter à ces crises. Cette situation a mis en évidence l’importance de veiller à ce que l’Union soit structurellement dotée d’outils souples et appropriés pour y répondre.</w:t>
      </w:r>
    </w:p>
    <w:p w14:paraId="595CA796" w14:textId="77777777" w:rsidR="00DB583B" w:rsidRPr="007F40C0" w:rsidRDefault="00DB583B" w:rsidP="00DB583B">
      <w:pPr>
        <w:spacing w:after="240" w:line="240" w:lineRule="auto"/>
        <w:jc w:val="both"/>
        <w:rPr>
          <w:rFonts w:ascii="Times New Roman" w:eastAsia="Times New Roman" w:hAnsi="Times New Roman" w:cs="Times New Roman"/>
          <w:noProof/>
          <w:color w:val="000000" w:themeColor="text1"/>
          <w:sz w:val="24"/>
          <w:szCs w:val="24"/>
        </w:rPr>
      </w:pPr>
      <w:bookmarkStart w:id="4" w:name="_Hlk203220511"/>
      <w:r>
        <w:rPr>
          <w:rFonts w:ascii="Times New Roman" w:hAnsi="Times New Roman"/>
          <w:b/>
          <w:noProof/>
          <w:color w:val="000000" w:themeColor="text1"/>
          <w:sz w:val="24"/>
        </w:rPr>
        <w:t>Un nouveau mécanisme extraordinaire et temporaire sera mis en place pour faire face aux conséquences des crises, difficultés ou menaces graves touchant l’Union ou ses États membres</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Cet outil de crise extraordinaire fournira des prêts aux États membres adossés à des emprunts de l’UE uniquement pour la période du prochain budget à long terme, et ce en cas de crise grave. L’activation de cet outil de réaction aux crises extraordinaire et ciblé sera décidée par le Conseil, après avoir obtenu l’approbation du Parlement européen et compte tenu des spécificités et des besoins de la crise. Le Conseil autorisera la Commission à emprunter, sur les marchés des capitaux, le montant des prêts aux États membres, selon les besoins et selon les circonstances. Le prochain budget à long terme doit permettre de réagir rapidement et efficacement en cas de crise majeure. La mise en œuvre de cet outil de réaction aux crises garantira l’équilibre institutionnel, notamment grâce à une participation appropriée du Parlement européen.</w:t>
      </w:r>
    </w:p>
    <w:bookmarkEnd w:id="4"/>
    <w:p w14:paraId="52961DD4" w14:textId="77777777" w:rsidR="00DB583B" w:rsidRDefault="00DB583B" w:rsidP="00DB583B">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Un nouveau mécanisme d’orientation des politiques permettra une gouvernance interinstitutionnelle solide concernant l’allocation des ressources flexibles.</w:t>
      </w:r>
      <w:r>
        <w:rPr>
          <w:rFonts w:ascii="Times New Roman" w:hAnsi="Times New Roman"/>
          <w:noProof/>
          <w:sz w:val="24"/>
        </w:rPr>
        <w:t xml:space="preserve"> La flexibilité se fondera sur une gouvernance solide et un processus transparent, le Parlement européen et le Conseil orientant les priorités d’investissement pour les programmes de l’UE. Comme il y a une plus grande flexibilité budgétaire, il est nécessaire que les institutions de l’UE recensent les priorités essentielles à financer, qui sous-tendront ensuite la procédure budgétaire annuelle. Le mécanisme d’orientation permettra de mieux aligner le budget de l’UE sur les priorités de l’Union et de réagir de manière plus souple à une réalité qui évolue rapidement. Il s’appuiera sur un rapport stratégique intégré, élaboré sur la base des processus et rapports sectoriels existants, tels que le Semestre européen, le nouvel outil de coordination de la compétitivité, l’état de l’union de l’énergie, les plans nationaux en matière d’énergie et de climat</w:t>
      </w:r>
      <w:r>
        <w:rPr>
          <w:rFonts w:ascii="Times New Roman" w:hAnsi="Times New Roman"/>
          <w:i/>
          <w:noProof/>
          <w:sz w:val="24"/>
        </w:rPr>
        <w:t xml:space="preserve">, </w:t>
      </w:r>
      <w:r>
        <w:rPr>
          <w:rFonts w:ascii="Times New Roman" w:hAnsi="Times New Roman"/>
          <w:noProof/>
          <w:sz w:val="24"/>
        </w:rPr>
        <w:t>l’examen de la mise en œuvre de la politique environnementale</w:t>
      </w:r>
      <w:r>
        <w:rPr>
          <w:rFonts w:ascii="Times New Roman" w:hAnsi="Times New Roman"/>
          <w:i/>
          <w:noProof/>
          <w:sz w:val="24"/>
        </w:rPr>
        <w:t xml:space="preserve"> </w:t>
      </w:r>
      <w:r>
        <w:rPr>
          <w:rFonts w:ascii="Times New Roman" w:hAnsi="Times New Roman"/>
          <w:noProof/>
          <w:sz w:val="24"/>
        </w:rPr>
        <w:t>et le rapport sur le marché unique et la compétitivité. Articulé autour des principaux domaines d’action, le rapport définira les priorités au niveau de l’UE qui seront examinées et approuvées par le Parlement européen, le Conseil et la Commission.</w:t>
      </w:r>
    </w:p>
    <w:p w14:paraId="64031CEA" w14:textId="77777777" w:rsidR="00DB583B" w:rsidRDefault="00DB583B" w:rsidP="00DB583B">
      <w:p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color w:val="000000" w:themeColor="text1"/>
          <w:sz w:val="24"/>
        </w:rPr>
        <w:t xml:space="preserve">La capacité du budget ne devrait pas être tributaire des chocs inflationnistes imprévus. </w:t>
      </w:r>
      <w:r>
        <w:rPr>
          <w:rFonts w:ascii="Times New Roman" w:hAnsi="Times New Roman"/>
          <w:noProof/>
          <w:color w:val="000000" w:themeColor="text1"/>
          <w:sz w:val="24"/>
        </w:rPr>
        <w:t>Ces dernières années, l’inflation élevée a lourdement pesé sur le pouvoir d’achat du budget de l’UE.</w:t>
      </w:r>
      <w:r w:rsidRPr="000D6231">
        <w:rPr>
          <w:rStyle w:val="FootnoteReference"/>
          <w:rFonts w:ascii="Times New Roman" w:eastAsia="Times New Roman" w:hAnsi="Times New Roman" w:cs="Times New Roman"/>
          <w:noProof/>
          <w:color w:val="000000" w:themeColor="text1"/>
          <w:sz w:val="24"/>
          <w:szCs w:val="24"/>
        </w:rPr>
        <w:footnoteReference w:id="19"/>
      </w:r>
      <w:r>
        <w:rPr>
          <w:rFonts w:ascii="Times New Roman" w:hAnsi="Times New Roman"/>
          <w:noProof/>
          <w:color w:val="000000" w:themeColor="text1"/>
          <w:sz w:val="24"/>
        </w:rPr>
        <w:t xml:space="preserve"> En conséquence, les autorités régionales, les agriculteurs ou les chercheurs ont vu leur budget diminuer. Pour le prochain budget à long terme, la Commission propose que les plafonds continuent d’être basés sur un déflateur fixe de 2 % lorsque l’inflation dans l’UE est comprise entre 1 % et 3 %. Si l’inflation réelle est inférieure à 1 % ou supérieure à 3 %, un ajustement sera effectué sur la base de cette inflation réelle, en veillant à ce que la capacité du budget de l’UE ne soit pas indûment altérée.</w:t>
      </w:r>
    </w:p>
    <w:p w14:paraId="6679211C" w14:textId="77777777" w:rsidR="00DB583B" w:rsidRPr="000D6231"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Si la flexibilité permet de s’adapter à l’évolution de la situation, la prévisibilité est nécessaire pour les bénéficiaires ainsi que pour les États membres et leur planification financière. </w:t>
      </w:r>
      <w:r>
        <w:rPr>
          <w:rFonts w:ascii="Times New Roman" w:hAnsi="Times New Roman"/>
          <w:noProof/>
          <w:sz w:val="24"/>
        </w:rPr>
        <w:t xml:space="preserve">Plusieurs </w:t>
      </w:r>
      <w:r>
        <w:rPr>
          <w:rFonts w:ascii="Times New Roman" w:hAnsi="Times New Roman"/>
          <w:noProof/>
          <w:color w:val="000000" w:themeColor="text1"/>
          <w:sz w:val="24"/>
        </w:rPr>
        <w:t>éléments des propositions de la Commission amélioreront la prévisibilité dans le cadre du prochain budget à long terme, en commençant par une réduction et une rationalisation des instruments au-delà des plafonds. Le remboursement au titre de NextGenerationEU sera plus prévisible qu’au cours de la période actuelle, étant donné qu’il n’y aura pas d’émission nette de nouvelles obligations. La volatilité restante due aux opérations de refinancement sera intégralement couverte par une enveloppe annuelle fixe pour le remboursement au titre de NextGenerationEU, englobant à la fois les intérêts et le principal.</w:t>
      </w:r>
    </w:p>
    <w:p w14:paraId="43530A03" w14:textId="77777777" w:rsidR="007E17F9" w:rsidRPr="00DB583B" w:rsidRDefault="007E17F9" w:rsidP="003A648E">
      <w:pPr>
        <w:spacing w:after="240" w:line="240" w:lineRule="auto"/>
        <w:ind w:left="720"/>
        <w:jc w:val="both"/>
        <w:rPr>
          <w:rFonts w:ascii="Times New Roman" w:hAnsi="Times New Roman" w:cs="Times New Roman"/>
          <w:noProof/>
          <w:sz w:val="24"/>
          <w:szCs w:val="24"/>
        </w:rPr>
      </w:pPr>
    </w:p>
    <w:p w14:paraId="55900719" w14:textId="77777777" w:rsidR="00DB583B" w:rsidRDefault="00DB583B" w:rsidP="00DB583B">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Pr>
          <w:rFonts w:ascii="Times New Roman" w:hAnsi="Times New Roman"/>
          <w:b/>
          <w:noProof/>
          <w:sz w:val="24"/>
        </w:rPr>
        <w:t>UN BUDGET DE L’UE PLUS SIMPLE ET PLUS EFFICACE</w:t>
      </w:r>
    </w:p>
    <w:p w14:paraId="116D3BD4"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budget de l’UE a été conçu d'abord et avant tout en ayant à l’esprit ses bénéficiaires finaux.</w:t>
      </w:r>
      <w:r>
        <w:rPr>
          <w:rFonts w:ascii="Times New Roman" w:hAnsi="Times New Roman"/>
          <w:noProof/>
          <w:sz w:val="24"/>
        </w:rPr>
        <w:t xml:space="preserve"> Le fait de simplifier et d’harmoniser les règles et les procédures d’accès aux financements de l’UE réduit les charges des destinataires et des bénéficiaires de ces fonds, en particulier des petites entreprises. Grâce à cette simplification des règles et des modalités d’audit, les promoteurs de projets pourront se concentrer sur l’obtention de résultats.</w:t>
      </w:r>
    </w:p>
    <w:p w14:paraId="269CDD27"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L’accès des bénéficiaires aux fonds de l’UE sera facilité. </w:t>
      </w:r>
      <w:r>
        <w:rPr>
          <w:rFonts w:ascii="Times New Roman" w:hAnsi="Times New Roman"/>
          <w:noProof/>
          <w:sz w:val="24"/>
        </w:rPr>
        <w:t>Un portail unique, inspiré de l’expérience du portail pour les financements et appels d’offres et du portail STEP, regroupera l’information sur les possibilités de financement, offrant ainsi aux promoteurs de projets de l’UE une seule porte d’entrée pour un accès plus simple à l’information. Les services de conseil et de soutien aux entreprises seront rationalisés. Il leur faudra ainsi moins de temps pour trouver des informations pertinentes sur leurs possibilités de financement.</w:t>
      </w:r>
    </w:p>
    <w:p w14:paraId="6ADCF04A"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prochain cadre financier se caractérisera par une architecture plus simple, comportant moins de programmes, ce qui réduira la charge administrative.</w:t>
      </w:r>
      <w:r>
        <w:rPr>
          <w:rFonts w:ascii="Times New Roman" w:hAnsi="Times New Roman"/>
          <w:noProof/>
          <w:sz w:val="24"/>
        </w:rPr>
        <w:t xml:space="preserve"> Cela permettra de limiter les chevauchements, de maximiser les synergies et les économies d’échelle et d’améliorer la lisibilité du budget, pour les citoyens comme pour les parties prenantes. La création de cadres réglementaires stables pour la gestion partagée, directe et indirecte contribuera aussi à alléger la charge administrative. Grâce aux plans de partenariat nationaux et régionaux, nous pourrons réduire sensiblement la quantité de documents de programmation, par rapport à la multiplication actuelle des plans et des programmes de travail relevant de plusieurs fonds, ce qui réduira la charge pesant sur les administrations nationales et régionales.</w:t>
      </w:r>
    </w:p>
    <w:p w14:paraId="38FB3FE5"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Pour plus d’efficacité, le nouveau budget à long terme de l’UE fera une très large part au financement fondé sur les résultats. </w:t>
      </w:r>
      <w:r>
        <w:rPr>
          <w:rFonts w:ascii="Times New Roman" w:hAnsi="Times New Roman"/>
          <w:noProof/>
          <w:sz w:val="24"/>
        </w:rPr>
        <w:t>Il sera ainsi recentré sur l’essentiel: veiller à ce que les investissements produisent les résultats escomptés. Grâce à ce mode de financement basé sur les résultats, dans lequel c’est l’achèvement d’étapes intermédiaires qui permet le décaissement des fonds, les financements de l’UE parviendront plus vite à l’économie réelle. Une utilisation plus large des options de coûts simplifiés et du financement non lié aux coûts réduira significativement les obligations déclaratives des bénéficiaires de fonds, en faisant porter les vérifications et les contrôles sur les résultats des projets, plutôt que sur les coûts.</w:t>
      </w:r>
    </w:p>
    <w:p w14:paraId="19CEF528" w14:textId="77777777" w:rsidR="00DB583B" w:rsidRDefault="00DB583B" w:rsidP="00DB583B">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Un recours accru aux instruments financiers et aux garanties budgétaires augmentera l’effet de levier et permettra au budget de l’UE de jouer un rôle plus important</w:t>
      </w:r>
      <w:r>
        <w:rPr>
          <w:rFonts w:ascii="Times New Roman" w:hAnsi="Times New Roman"/>
          <w:noProof/>
          <w:color w:val="000000" w:themeColor="text1"/>
          <w:sz w:val="24"/>
        </w:rPr>
        <w:t xml:space="preserve"> dans la réduction des risques liés à l’investissement privé et dans le déblocage de financements par les investisseurs institutionnels.</w:t>
      </w:r>
      <w:r>
        <w:rPr>
          <w:rFonts w:ascii="Times New Roman" w:hAnsi="Times New Roman"/>
          <w:b/>
          <w:noProof/>
          <w:color w:val="000000" w:themeColor="text1"/>
          <w:sz w:val="24"/>
        </w:rPr>
        <w:t xml:space="preserve"> </w:t>
      </w:r>
      <w:r>
        <w:rPr>
          <w:rFonts w:ascii="Times New Roman" w:hAnsi="Times New Roman"/>
          <w:noProof/>
          <w:color w:val="000000" w:themeColor="text1"/>
          <w:sz w:val="24"/>
        </w:rPr>
        <w:t>Les partenariats avec des acteurs privés et les investissements du secteur privé sont de plus en plus pertinents pour tout un éventail de politiques et de programmes. C’est pourquoi les garanties budgétaires, les instruments financiers et les opérations de mixage (qui associent un soutien remboursable et une composante «subvention») feront désormais partie intégrante des outils de financement et serviront d’appui à des produits tels que le capital-risque, les prêts et les investissements en fonds propres.</w:t>
      </w:r>
    </w:p>
    <w:p w14:paraId="339FC584" w14:textId="77777777" w:rsidR="00DB583B" w:rsidRDefault="00DB583B" w:rsidP="00DB583B">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Le recours accru à des instruments financiers et à des garanties budgétaires s’accompagnera d’une simplification de la gouvernance.</w:t>
      </w:r>
      <w:r>
        <w:rPr>
          <w:rFonts w:ascii="Times New Roman" w:hAnsi="Times New Roman"/>
          <w:noProof/>
          <w:color w:val="000000" w:themeColor="text1"/>
          <w:sz w:val="24"/>
        </w:rPr>
        <w:t xml:space="preserve"> Un ensemble harmonisé de règles techniques pour les programmes tant internes qu’externes renforcera la cohérence de l’ensemble du budget et réduira la charge administrative des partenaires chargés de sa mise en œuvre. Une garantie budgétaire unique pour les politiques internes sera constituée dans le cadre du Fonds européen pour la compétitivité, mais elle sera accessible à d’autres programmes. Elle s’accompagnera d’une garantie distincte pour les politiques extérieures, mise en place dans le cadre de l’instrument «Europe dans le monde». Une architecture ouverte - permettant de coopérer avec diverses institutions financières internationales, telles que la Banque européenne d’investissement, la Banque européenne pour la reconstruction et le développement, les banques nationales de développement et les institutions de financement du développement - restera l’une des principales caractéristiques du budget à long terme de l’UE.</w:t>
      </w:r>
    </w:p>
    <w:p w14:paraId="13692575" w14:textId="77777777" w:rsidR="00DB583B" w:rsidRPr="00060545" w:rsidRDefault="00DB583B" w:rsidP="00DB583B">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Les effets du prochain budget à long terme de l’UE seront encore amplifiés par l'octroi aux États membres et, dans le cadre de l’instrument «Europe dans le monde», à des pays tiers, de prêts stratégiques qui profiteront davantage du levier offert par l’architecture financière de l’UE.</w:t>
      </w:r>
      <w:r>
        <w:rPr>
          <w:rFonts w:ascii="Times New Roman" w:hAnsi="Times New Roman"/>
          <w:noProof/>
          <w:color w:val="000000" w:themeColor="text1"/>
          <w:sz w:val="24"/>
        </w:rPr>
        <w:t xml:space="preserve"> L’UE accroîtra ainsi les effets de son budget en consacrant à ses objectifs stratégiques des ressources financières supplémentaires, sous forme de prêts financés par des emprunts, tout en répondant aux défis propres à chaque pays. Ce soutien supplémentaire sera mis à la disposition des États membres lors de l’élaboration de leur plan initial, afin qu'ils puissent obtenir un montant de financement adapté à leurs besoins et à leurs ambitions.</w:t>
      </w:r>
    </w:p>
    <w:p w14:paraId="43CEBE70" w14:textId="77777777" w:rsidR="00DB583B" w:rsidRPr="000D6231" w:rsidRDefault="00DB583B" w:rsidP="00DB583B">
      <w:pPr>
        <w:spacing w:after="240" w:line="240" w:lineRule="auto"/>
        <w:jc w:val="both"/>
        <w:rPr>
          <w:rFonts w:ascii="Times New Roman" w:eastAsiaTheme="minorEastAsia" w:hAnsi="Times New Roman" w:cs="Times New Roman"/>
          <w:noProof/>
          <w:sz w:val="24"/>
          <w:szCs w:val="24"/>
        </w:rPr>
      </w:pPr>
      <w:r>
        <w:rPr>
          <w:rFonts w:ascii="Times New Roman" w:hAnsi="Times New Roman"/>
          <w:b/>
          <w:noProof/>
          <w:sz w:val="24"/>
        </w:rPr>
        <w:t xml:space="preserve">Une plus grande cohérence entre les priorités d’investissement de l’UE et des États membres maximisera l’incidence et l’efficacité des financements. </w:t>
      </w:r>
      <w:r>
        <w:rPr>
          <w:rFonts w:ascii="Times New Roman" w:hAnsi="Times New Roman"/>
          <w:noProof/>
          <w:sz w:val="24"/>
        </w:rPr>
        <w:t>Les futurs plans de partenariats nationaux et régionaux aideront l’UE, les États membres et les régions à aligner leurs priorités en matière d’investissements et de réformes. Ces partenariats conjugueront des cofinancements européens et nationaux pour financer des initiatives qui serviront les priorités de l’UE tout en répondant aux besoins locaux.</w:t>
      </w:r>
    </w:p>
    <w:p w14:paraId="6D6CACB8" w14:textId="77777777" w:rsidR="00DB583B" w:rsidRDefault="00DB583B" w:rsidP="00DB583B">
      <w:pPr>
        <w:spacing w:after="240" w:line="240" w:lineRule="auto"/>
        <w:jc w:val="both"/>
        <w:rPr>
          <w:rFonts w:ascii="Times New Roman" w:eastAsiaTheme="minorEastAsia" w:hAnsi="Times New Roman" w:cs="Times New Roman"/>
          <w:noProof/>
          <w:sz w:val="24"/>
          <w:szCs w:val="24"/>
        </w:rPr>
      </w:pPr>
      <w:r>
        <w:rPr>
          <w:rFonts w:ascii="Times New Roman" w:hAnsi="Times New Roman"/>
          <w:b/>
          <w:noProof/>
          <w:sz w:val="24"/>
        </w:rPr>
        <w:t>Ce cadre davantage axé sur les performances facilitera la réalisation des priorités stratégiques de l’UE et apportera plus de transparence.</w:t>
      </w:r>
      <w:r>
        <w:rPr>
          <w:rFonts w:ascii="Times New Roman" w:hAnsi="Times New Roman"/>
          <w:noProof/>
          <w:sz w:val="24"/>
        </w:rPr>
        <w:t xml:space="preserve"> Il garantira le respect systématique des priorités horizontales dans l'ensemble du budget de l’UE, notamment en ce qui concerne le climat et la biodiversité, le principe consistant à «ne pas causer de préjudice important», les politiques sociales et l'égalité de genre.</w:t>
      </w:r>
    </w:p>
    <w:p w14:paraId="7D2B0D78" w14:textId="77777777" w:rsidR="00DB583B"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Un objectif global de dépenses pour le climat et l’environnement d'au moins 35 % du montant total du budget aidera à orienter les soutiens vers les objectifs du pacte vert pour l’Europe.</w:t>
      </w:r>
      <w:r>
        <w:rPr>
          <w:rFonts w:ascii="Times New Roman" w:hAnsi="Times New Roman"/>
          <w:noProof/>
          <w:sz w:val="24"/>
        </w:rPr>
        <w:t xml:space="preserve"> Ce cadre basé sur les performances fournira aussi un corpus unique et proportionné de règles pour l’application à tous les programmes de l’UE du principe consistant à «ne pas causer de préjudice important». </w:t>
      </w:r>
    </w:p>
    <w:p w14:paraId="77B0B3E5" w14:textId="77777777" w:rsidR="00DB583B" w:rsidRPr="005C4743" w:rsidRDefault="00DB583B" w:rsidP="00DB583B">
      <w:pPr>
        <w:spacing w:after="240" w:line="240" w:lineRule="auto"/>
        <w:jc w:val="both"/>
        <w:rPr>
          <w:rFonts w:ascii="Times New Roman" w:hAnsi="Times New Roman"/>
          <w:noProof/>
          <w:sz w:val="24"/>
        </w:rPr>
      </w:pPr>
      <w:r>
        <w:rPr>
          <w:rFonts w:ascii="Times New Roman" w:hAnsi="Times New Roman"/>
          <w:b/>
          <w:noProof/>
          <w:sz w:val="24"/>
        </w:rPr>
        <w:t>Ce cadre axé sur les performances représentera une simplification majeure, qui réduira la charge administrative liée au suivi et aux obligations de rapport</w:t>
      </w:r>
      <w:r>
        <w:rPr>
          <w:rFonts w:ascii="Times New Roman" w:hAnsi="Times New Roman"/>
          <w:noProof/>
          <w:sz w:val="24"/>
        </w:rPr>
        <w:t>. Tous les programmes concernés seront soumis à un système unique de suivi des dépenses et des performances, ce qui permettra d'avoir une vision exhaustive de l’affectation des fonds de l’UE et de ses résultats. Ce cadre remplacera plus de 5 000 indicateurs par un ensemble rationalisé d’environ 900 indicateurs de réalisations et de résultats, il regroupera 32 rapports consacrés aux différents programmes en un seul rapport annuel sur la gestion et la performance du budget de l’UE et il réunira plus de 30 portails en ligne contenant des informations sur le budget en un seul point d'accès convivial (le «portail unique»), ce qui allégera la charge des bénéficiaires et améliorera l'accès du public à ces informations. Conformément aux recommandations de la Cour des comptes européenne, ce système assurera une évaluation cohérente de l’efficacité et de l’efficience du budget de l’UE</w:t>
      </w:r>
      <w:r>
        <w:rPr>
          <w:rStyle w:val="FootnoteReference"/>
          <w:rFonts w:ascii="Times New Roman" w:eastAsia="Times New Roman" w:hAnsi="Times New Roman" w:cs="Times New Roman"/>
          <w:noProof/>
          <w:sz w:val="24"/>
          <w:szCs w:val="24"/>
        </w:rPr>
        <w:footnoteReference w:id="20"/>
      </w:r>
      <w:r>
        <w:rPr>
          <w:noProof/>
        </w:rPr>
        <w:t>.</w:t>
      </w:r>
    </w:p>
    <w:p w14:paraId="50F24968" w14:textId="77777777" w:rsidR="00DB583B" w:rsidRPr="000D6231" w:rsidRDefault="00DB583B" w:rsidP="00DB583B">
      <w:pPr>
        <w:spacing w:after="240" w:line="240" w:lineRule="auto"/>
        <w:jc w:val="both"/>
        <w:rPr>
          <w:rFonts w:ascii="Times New Roman" w:hAnsi="Times New Roman" w:cs="Times New Roman"/>
          <w:noProof/>
          <w:sz w:val="24"/>
          <w:szCs w:val="24"/>
        </w:rPr>
      </w:pPr>
    </w:p>
    <w:p w14:paraId="79F7064D" w14:textId="77777777" w:rsidR="00DB583B" w:rsidRDefault="00DB583B" w:rsidP="00DB583B">
      <w:pPr>
        <w:pStyle w:val="ListParagraph"/>
        <w:numPr>
          <w:ilvl w:val="0"/>
          <w:numId w:val="34"/>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ÉTAT DE DROIT, DROITS FONDAMENTAUX ET PROTECTION DES INTÉRÊTS FINANCIERS DE L’UNION</w:t>
      </w:r>
    </w:p>
    <w:p w14:paraId="14B9AAEA" w14:textId="77777777" w:rsidR="00DB583B" w:rsidRPr="00076DDE"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respect de l’état de droit est un impératif pour tous les fonds. </w:t>
      </w:r>
      <w:r>
        <w:rPr>
          <w:rFonts w:ascii="Times New Roman" w:hAnsi="Times New Roman"/>
          <w:noProof/>
          <w:sz w:val="24"/>
        </w:rPr>
        <w:t xml:space="preserve">Il est essentiel, pour assurer la protection des intérêts financiers de l’UE, que les dépenses de l’Union aillent de pair avec des garanties solides en matière d’état de droit. Au demeurant, l’expérience acquise avec les instruments de financement actuels montre que le soutien financier de l’UE aux investissements et aux réformes qui renforcent l’état de droit peut avoir une réelle valeur ajoutée. </w:t>
      </w:r>
      <w:r>
        <w:rPr>
          <w:rFonts w:ascii="Times New Roman" w:hAnsi="Times New Roman"/>
          <w:noProof/>
          <w:color w:val="000000" w:themeColor="text1"/>
          <w:sz w:val="24"/>
        </w:rPr>
        <w:t xml:space="preserve">Grâce aux plans de partenariat nationaux et régionaux, il existera un lien fort entre les recommandations du rapport sur l’état de droit et le soutien financier destiné à des réformes et mesures ciblées qui renforcent la capacité des institutions et de la société civile à faire respecter l’état de droit. </w:t>
      </w:r>
      <w:r>
        <w:rPr>
          <w:rFonts w:ascii="Times New Roman" w:hAnsi="Times New Roman"/>
          <w:noProof/>
          <w:sz w:val="24"/>
        </w:rPr>
        <w:t>La combinaison d’un soutien financier aux réformes en faveur de l’état de droit et d’une application stricte des règles de garantie et de conditionnalité assurera la protection du budget de l’UE et son utilisation au profit d’une Union fondée sur la démocratie, l’état de droit et les droits fondamentaux.</w:t>
      </w:r>
    </w:p>
    <w:p w14:paraId="31DE9F10" w14:textId="77777777" w:rsidR="00DB583B" w:rsidRPr="00076DDE" w:rsidRDefault="00DB583B" w:rsidP="00DB583B">
      <w:pPr>
        <w:spacing w:after="240" w:line="240" w:lineRule="auto"/>
        <w:jc w:val="both"/>
        <w:rPr>
          <w:rFonts w:ascii="Times New Roman" w:hAnsi="Times New Roman" w:cs="Times New Roman"/>
          <w:b/>
          <w:noProof/>
          <w:sz w:val="24"/>
          <w:szCs w:val="24"/>
        </w:rPr>
      </w:pPr>
      <w:r>
        <w:rPr>
          <w:rFonts w:ascii="Times New Roman" w:hAnsi="Times New Roman"/>
          <w:b/>
          <w:noProof/>
          <w:sz w:val="24"/>
        </w:rPr>
        <w:t>Les partenariats nationaux et régionaux exigeront des États membres qu’ils respectent les principes de l’état de droit et la charte des droits fondamentaux.</w:t>
      </w:r>
      <w:r>
        <w:rPr>
          <w:rFonts w:ascii="Times New Roman" w:hAnsi="Times New Roman"/>
          <w:noProof/>
          <w:sz w:val="24"/>
        </w:rPr>
        <w:t xml:space="preserve"> Cette exigence, basée sur des éléments du règlement portant dispositions communes et de la facilité pour la reprise et la résilience, permettra le versement des fonds lorsque seront remplies des conditions essentielles relatives au respect des principes de l’état de droit et de la charte des droits fondamentaux. Le prochain cadre financier devrait comporter, comme c’est le cas aujourd’hui de NextGenerationEU, la possibilité de bloquer des versements en cas d’insuffisances systémiques en matière d’état de droit, par exemple de suspendre les financements au profit d’établissements d’enseignement qui poseraient des problèmes de respect du droit fondamental lié à la liberté académique.</w:t>
      </w:r>
    </w:p>
    <w:p w14:paraId="4488EA4D" w14:textId="77777777" w:rsidR="00DB583B" w:rsidRPr="00076DDE" w:rsidRDefault="00DB583B" w:rsidP="00DB583B">
      <w:pPr>
        <w:spacing w:after="240" w:line="240" w:lineRule="auto"/>
        <w:jc w:val="both"/>
        <w:rPr>
          <w:rFonts w:ascii="Times New Roman" w:hAnsi="Times New Roman" w:cs="Times New Roman"/>
          <w:b/>
          <w:noProof/>
          <w:sz w:val="24"/>
          <w:szCs w:val="24"/>
        </w:rPr>
      </w:pPr>
      <w:r>
        <w:rPr>
          <w:rFonts w:ascii="Times New Roman" w:hAnsi="Times New Roman"/>
          <w:b/>
          <w:noProof/>
          <w:sz w:val="24"/>
        </w:rPr>
        <w:t>Le budget de l’UE soutiendra lui aussi les réformes qui renforcent l’état de droit dans les États membres,</w:t>
      </w:r>
      <w:r>
        <w:rPr>
          <w:rFonts w:ascii="Times New Roman" w:hAnsi="Times New Roman"/>
          <w:noProof/>
          <w:sz w:val="24"/>
        </w:rPr>
        <w:t xml:space="preserve"> conformément aux recommandations du rapport annuel sur l’état de droit. Cela incitera tous les États membres à renforcer les capacités dont ils disposent pour faire respecter l’état de droit, en veillant à la préservation et à la poursuite du développement de sociétés ouvertes, fondées sur les droits, démocratiques, égalitaires et inclusives, en promouvant et en défendant l’état de droit grâce au renforcement des systèmes judiciaires, des cadres de lutte contre la corruption, du pluralisme des médias et de l’équilibre effectif des pouvoirs, et en renforçant l’efficacité des administrations publiques et les capacités institutionnelles.</w:t>
      </w:r>
    </w:p>
    <w:p w14:paraId="53915C5F" w14:textId="77777777" w:rsidR="00DB583B" w:rsidRPr="00BD6EAE"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Le règlement financier assure la protection des intérêts financiers de l’Union </w:t>
      </w:r>
      <w:r>
        <w:rPr>
          <w:rFonts w:ascii="Times New Roman" w:hAnsi="Times New Roman"/>
          <w:noProof/>
          <w:sz w:val="24"/>
        </w:rPr>
        <w:t xml:space="preserve">et impose aux États membres de veiller au respect de la </w:t>
      </w:r>
      <w:r>
        <w:rPr>
          <w:rFonts w:ascii="Times New Roman" w:hAnsi="Times New Roman"/>
          <w:b/>
          <w:noProof/>
          <w:sz w:val="24"/>
        </w:rPr>
        <w:t>charte des droits fondamentaux</w:t>
      </w:r>
      <w:r>
        <w:rPr>
          <w:rFonts w:ascii="Times New Roman" w:hAnsi="Times New Roman"/>
          <w:noProof/>
          <w:sz w:val="24"/>
        </w:rPr>
        <w:t xml:space="preserve"> et de respecter les valeurs de l’Union consacrées par l’article 2 du TUE qui sont pertinentes pour l’exécution du budget. En outre, le </w:t>
      </w:r>
      <w:r>
        <w:rPr>
          <w:rFonts w:ascii="Times New Roman" w:hAnsi="Times New Roman"/>
          <w:b/>
          <w:noProof/>
          <w:sz w:val="24"/>
        </w:rPr>
        <w:t>règlement relatif à la conditionnalité</w:t>
      </w:r>
      <w:r>
        <w:rPr>
          <w:rFonts w:ascii="Times New Roman" w:hAnsi="Times New Roman"/>
          <w:noProof/>
          <w:sz w:val="24"/>
        </w:rPr>
        <w:t>, qui est applicable sans limite de temps, continuera de protéger le budget de l’UE contre les violations des principes de l’état de droit. S’appliquant à tous les programmes de l’UE, il constituera notre dernière ligne de défense.</w:t>
      </w:r>
    </w:p>
    <w:p w14:paraId="0A917E88" w14:textId="77777777" w:rsidR="00DB583B" w:rsidRPr="00076DDE" w:rsidRDefault="00DB583B" w:rsidP="00DB583B">
      <w:pPr>
        <w:spacing w:after="240" w:line="240" w:lineRule="auto"/>
        <w:jc w:val="both"/>
        <w:rPr>
          <w:rFonts w:ascii="Times New Roman" w:hAnsi="Times New Roman" w:cs="Times New Roman"/>
          <w:b/>
          <w:noProof/>
          <w:sz w:val="24"/>
          <w:szCs w:val="24"/>
        </w:rPr>
      </w:pPr>
      <w:r>
        <w:rPr>
          <w:rFonts w:ascii="Times New Roman" w:hAnsi="Times New Roman"/>
          <w:b/>
          <w:noProof/>
          <w:sz w:val="24"/>
        </w:rPr>
        <w:t>La transparence sera renforcée en ce qui concerne les bénéficiaires du budget de l’UE.</w:t>
      </w:r>
      <w:r>
        <w:rPr>
          <w:rFonts w:ascii="Times New Roman" w:hAnsi="Times New Roman"/>
          <w:noProof/>
          <w:sz w:val="24"/>
        </w:rPr>
        <w:t xml:space="preserve"> À partir de 2028, les informations relatives aux bénéficiaires de fonds de l’UE seront publiées dans une base de données centralisée sur le site web de la Commission. En outre, afin de protéger le budget de l’UE, en particulier contre le détournement de fonds visant à promouvoir des opinions radicales ou extrémistes dans les États membres, la Commission est disposée à étudier de nouveaux processus ou de nouvelles mesures permettant un examen approfondi, fondé sur les risques, des bénéficiaires de financements de l’UE, afin d’écarter tout risque pour la sécurité et toute incompatibilité avec les valeurs de l’UE. Conformément au règlement financier tel que modifié en 2024, la condamnation pour incitation à la discrimination, à la haine ou à la violence constitue un nouveau motif d’exclusion des financements de l’UE, qui fera l'objet d'une application rigoureuse.</w:t>
      </w:r>
      <w:r>
        <w:rPr>
          <w:rFonts w:ascii="Times New Roman" w:hAnsi="Times New Roman"/>
          <w:i/>
          <w:noProof/>
          <w:sz w:val="24"/>
        </w:rPr>
        <w:t xml:space="preserve"> </w:t>
      </w:r>
      <w:r>
        <w:rPr>
          <w:rFonts w:ascii="Times New Roman" w:hAnsi="Times New Roman"/>
          <w:noProof/>
          <w:sz w:val="24"/>
        </w:rPr>
        <w:t>Le système de détection rapide et d’exclusion, qui protège le budget de l’UE contre la fraude et les irrégularités, sera étendu aux fonds relevant d’une gestion partagée.</w:t>
      </w:r>
    </w:p>
    <w:p w14:paraId="0AAFEEF7" w14:textId="77777777" w:rsidR="00DB583B" w:rsidRPr="00076DDE" w:rsidRDefault="00DB583B" w:rsidP="00DB583B">
      <w:pP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Le budget de l’UE doit s’appuyer sur une stratégie solide en matière d’audit et de contrôle</w:t>
      </w:r>
      <w:r>
        <w:rPr>
          <w:rFonts w:ascii="Times New Roman" w:hAnsi="Times New Roman"/>
          <w:noProof/>
          <w:sz w:val="24"/>
        </w:rPr>
        <w:t>, et notamment sur une coopération étroite entre la Commission et la Cour des comptes européenne, permettant de s'assurer que les fonds de l’UE sont dépensés conformément aux règles applicables.</w:t>
      </w:r>
      <w:r>
        <w:rPr>
          <w:rFonts w:ascii="Times New Roman" w:hAnsi="Times New Roman"/>
          <w:b/>
          <w:noProof/>
          <w:sz w:val="24"/>
        </w:rPr>
        <w:t xml:space="preserve"> </w:t>
      </w:r>
      <w:r>
        <w:rPr>
          <w:rFonts w:ascii="Times New Roman" w:hAnsi="Times New Roman"/>
          <w:noProof/>
          <w:sz w:val="24"/>
        </w:rPr>
        <w:t>En ce qui concerne les partenariats nationaux et régionaux, la Commission s’appuiera sur les contrôles effectués par les États membres, qu’elle complétera par ses propres contrôles, axés sur les systèmes mis en place par les États membres pour garantir une protection rigoureuse des intérêts financiers de l’UE. Elle associera aussi des contrôles ex ante et des contrôles ex post de la légalité et de la régularité des paiements, c’est-à-dire du respect satisfaisant des jalons et des cibles, en commençant par l’analyse des plans présentés par les États membres, puis en contrôlant les demandes de paiement soumises et, enfin, en procédant à des audits ex post.</w:t>
      </w:r>
    </w:p>
    <w:p w14:paraId="1A6F3F1E" w14:textId="77777777" w:rsidR="00DB583B" w:rsidRPr="00076DDE" w:rsidRDefault="00DB583B" w:rsidP="00DB583B">
      <w:pPr>
        <w:spacing w:after="120" w:line="240" w:lineRule="auto"/>
        <w:jc w:val="both"/>
        <w:rPr>
          <w:rFonts w:ascii="Times New Roman" w:hAnsi="Times New Roman" w:cs="Times New Roman"/>
          <w:noProof/>
          <w:sz w:val="24"/>
          <w:szCs w:val="24"/>
        </w:rPr>
      </w:pPr>
      <w:r>
        <w:rPr>
          <w:rFonts w:ascii="Times New Roman" w:hAnsi="Times New Roman"/>
          <w:b/>
          <w:noProof/>
          <w:sz w:val="24"/>
        </w:rPr>
        <w:t>Le réexamen en cours de l’architecture de lutte contre la fraude</w:t>
      </w:r>
      <w:r>
        <w:rPr>
          <w:rFonts w:ascii="Times New Roman" w:hAnsi="Times New Roman"/>
          <w:noProof/>
          <w:sz w:val="24"/>
        </w:rPr>
        <w:t xml:space="preserve"> garantira une collaboration plus étroite de tous les acteurs concernés, notamment de l’OLAF, du Parquet européen et d’Europol, dans la lutte contre les irrégularités, la fraude et la corruption portant atteinte au budget de l’UE. Ce réexamen exhaustif, auquel participent tous les acteurs concernés au sein de cette architecture mise en place par l’UE, créera davantage de synergies et permettra de gagner en efficience, en évitant les doubles emplois à chaque étape du cycle de lutte contre la fraude: prévention, détection, enquête, correction de la fraude et recouvrement des montants concernés, notamment de ceux qui doivent revenir au budget de l’UE.</w:t>
      </w:r>
    </w:p>
    <w:p w14:paraId="38D51D05" w14:textId="77777777" w:rsidR="00DB583B" w:rsidRPr="000D6231" w:rsidRDefault="00DB583B" w:rsidP="00DB583B">
      <w:pPr>
        <w:spacing w:after="240" w:line="240" w:lineRule="auto"/>
        <w:jc w:val="both"/>
        <w:rPr>
          <w:rFonts w:ascii="Times New Roman" w:hAnsi="Times New Roman" w:cs="Times New Roman"/>
          <w:noProof/>
          <w:sz w:val="24"/>
          <w:szCs w:val="24"/>
        </w:rPr>
      </w:pPr>
    </w:p>
    <w:p w14:paraId="62C7085B" w14:textId="77777777" w:rsidR="00DB583B" w:rsidRPr="00241AE0" w:rsidRDefault="00DB583B" w:rsidP="00DB583B">
      <w:pPr>
        <w:pStyle w:val="ListParagraph"/>
        <w:numPr>
          <w:ilvl w:val="0"/>
          <w:numId w:val="34"/>
        </w:numPr>
        <w:spacing w:after="240" w:line="240" w:lineRule="auto"/>
        <w:contextualSpacing w:val="0"/>
        <w:jc w:val="both"/>
        <w:rPr>
          <w:rFonts w:ascii="Times New Roman" w:hAnsi="Times New Roman" w:cs="Times New Roman"/>
          <w:b/>
          <w:bCs/>
          <w:noProof/>
        </w:rPr>
      </w:pPr>
      <w:r>
        <w:rPr>
          <w:rFonts w:ascii="Times New Roman" w:hAnsi="Times New Roman"/>
          <w:b/>
          <w:noProof/>
          <w:sz w:val="24"/>
        </w:rPr>
        <w:t>UN BUDGET DE L’UE AMBITIEUX, FINANCÉ PAR UN SYSTÈME DE RECETTES PLUS MODERNE</w:t>
      </w:r>
    </w:p>
    <w:p w14:paraId="0898661A"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La force de frappe financière de son budget doit être à la hauteur des ambitions de l’Union. </w:t>
      </w:r>
      <w:r>
        <w:rPr>
          <w:rFonts w:ascii="Times New Roman" w:hAnsi="Times New Roman"/>
          <w:noProof/>
          <w:sz w:val="24"/>
        </w:rPr>
        <w:t>L’ampleur des défis internes auxquels est confrontée l’Union, conjuguée à une montée des incertitudes géopolitiques et à une concurrence accrue, signifie que l’Union doit disposer d’un budget d’une ampleur suffisante pour avoir une incidence réelle dans les différents domaines prioritaires que décrit la présente communication. Et ce, en tenant compte de l’obligation de rembourser les emprunts NextGenerationEU à partir de 2028.</w:t>
      </w:r>
    </w:p>
    <w:p w14:paraId="59919B28" w14:textId="77777777" w:rsidR="00DB583B" w:rsidRDefault="00DB583B" w:rsidP="00DB583B">
      <w:pPr>
        <w:spacing w:after="240" w:line="240" w:lineRule="auto"/>
        <w:jc w:val="both"/>
        <w:rPr>
          <w:rFonts w:ascii="Times New Roman" w:hAnsi="Times New Roman" w:cs="Times New Roman"/>
          <w:b/>
          <w:bCs/>
          <w:noProof/>
          <w:sz w:val="24"/>
          <w:szCs w:val="24"/>
        </w:rPr>
      </w:pPr>
      <w:r>
        <w:rPr>
          <w:rFonts w:ascii="Times New Roman" w:hAnsi="Times New Roman"/>
          <w:b/>
          <w:noProof/>
          <w:sz w:val="24"/>
        </w:rPr>
        <w:t>La Commission propose de doter l’UE d’un budget à long terme de 1 980 milliards d’EUR, ce qui équivaut à 1,26 % du RNB de l’UE.</w:t>
      </w:r>
      <w:r>
        <w:rPr>
          <w:rFonts w:ascii="Times New Roman" w:hAnsi="Times New Roman"/>
          <w:noProof/>
          <w:sz w:val="24"/>
        </w:rPr>
        <w:t xml:space="preserve"> </w:t>
      </w:r>
      <w:r>
        <w:rPr>
          <w:rFonts w:ascii="Times New Roman" w:hAnsi="Times New Roman"/>
          <w:b/>
          <w:noProof/>
          <w:sz w:val="24"/>
        </w:rPr>
        <w:t xml:space="preserve">Les volets «dépenses» et «recettes» du budget de l’UE constituent les deux faces d’une même pièce. </w:t>
      </w:r>
      <w:r>
        <w:rPr>
          <w:rFonts w:ascii="Times New Roman" w:hAnsi="Times New Roman"/>
          <w:noProof/>
          <w:sz w:val="24"/>
        </w:rPr>
        <w:t>La combinaison inédite de défis pressants et de contraintes financières rigoureuses est une occasion unique de procéder à la modernisation, si urgemment nécessaire, de ces deux volets.</w:t>
      </w:r>
    </w:p>
    <w:p w14:paraId="41FA31B6"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Pour soutenir un cadre financier pluriannuel plus ambitieux, qui serve effectivement les priorités stratégiques de l’Union, et pour permettre le remboursement des emprunts de NextGenerationEU, il est essentiel de disposer de nouvelles ressources propres.</w:t>
      </w:r>
      <w:r>
        <w:rPr>
          <w:rFonts w:ascii="Times New Roman" w:hAnsi="Times New Roman"/>
          <w:noProof/>
          <w:sz w:val="24"/>
        </w:rPr>
        <w:t xml:space="preserve"> L’Union a besoin d’un effort financier collectif, qui ne peut être fourni par les seules contributions nationales. L’introduction de nouvelles ressources propres réduira la charge pesant sur les États membres et garantira le financement durable des politiques communes de l’UE, tout en maintenant l’ensemble des contributions nationales à un niveau stable. Le budget de l’UE vise à créer une valeur ajoutée européenne pour tous, ce qui nécessite aussi un financement conjoint des priorités communes.</w:t>
      </w:r>
    </w:p>
    <w:p w14:paraId="3651E756"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La Commission propose donc, dans le cadre de sa proposition de nouveau budget à long terme, une nouvelle décision relative aux ressources propres.</w:t>
      </w:r>
      <w:r>
        <w:rPr>
          <w:rFonts w:ascii="Times New Roman" w:hAnsi="Times New Roman"/>
          <w:noProof/>
          <w:sz w:val="24"/>
        </w:rPr>
        <w:t xml:space="preserve"> Cette proposition de décision porte sur la modernisation et la diversification des sources de recettes du budget de l’UE. En même temps, la Commission propose de porter les plafonds des ressources propres pour les paiements à 1,75 % du revenu national brut de l’UE à 27, afin de tenir compte de l’augmentation des besoins de financement et de la nécessité de disposer d’une marge suffisante pour que l’Union puisse, quelles que soient les circonstances, honorer ses obligations financières.</w:t>
      </w:r>
    </w:p>
    <w:p w14:paraId="7F24AE5F"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L’accord interinstitutionnel visait à encadrer et à orienter les négociations sur de nouvelles ressources propres après 2020. Ces négociations sont au point mort. </w:t>
      </w:r>
      <w:r>
        <w:rPr>
          <w:rFonts w:ascii="Times New Roman" w:hAnsi="Times New Roman"/>
          <w:noProof/>
          <w:sz w:val="24"/>
        </w:rPr>
        <w:t>Pour les relancer, la Commission a revu l’ensemble du volet «recettes» du budget de l’UE.</w:t>
      </w:r>
      <w:r>
        <w:rPr>
          <w:rFonts w:ascii="Times New Roman" w:hAnsi="Times New Roman"/>
          <w:b/>
          <w:noProof/>
          <w:sz w:val="24"/>
        </w:rPr>
        <w:t xml:space="preserve"> </w:t>
      </w:r>
      <w:r>
        <w:rPr>
          <w:rFonts w:ascii="Times New Roman" w:hAnsi="Times New Roman"/>
          <w:noProof/>
          <w:sz w:val="24"/>
        </w:rPr>
        <w:t>Il s’agit notamment d’introduire de nouvelles catégories de ressources propres et de proposer des ajustements ciblés des ressources propres existantes. Le financement du budget de l’UE peut aussi être renforcé par l’ajout d’autres sources de recettes.</w:t>
      </w:r>
      <w:r>
        <w:rPr>
          <w:rFonts w:ascii="Times New Roman" w:hAnsi="Times New Roman"/>
          <w:b/>
          <w:noProof/>
          <w:sz w:val="24"/>
        </w:rPr>
        <w:t xml:space="preserve"> </w:t>
      </w:r>
      <w:r>
        <w:rPr>
          <w:rFonts w:ascii="Times New Roman" w:hAnsi="Times New Roman"/>
          <w:noProof/>
          <w:sz w:val="24"/>
        </w:rPr>
        <w:t>Le train de mesures proposé est en phase avec les priorités politiques de l’UE, il est basé sur la législation existante ou sur la décision relative aux ressources propres elle-même, et il peut être mis en œuvre sans entraîner une charge administrative déraisonnable.</w:t>
      </w:r>
    </w:p>
    <w:p w14:paraId="3D427470" w14:textId="77777777" w:rsidR="00DB583B" w:rsidRPr="006A444D" w:rsidRDefault="00DB583B" w:rsidP="00DB583B">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De nouvelles ressources propres pour financer les priorités de l’UE</w:t>
      </w:r>
    </w:p>
    <w:p w14:paraId="3979C554"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La ressource propre basée sur le système d’échange de quotas d’émission est étroitement liée aux objectifs climatiques de l’Union et peut procurer d’importantes recettes.</w:t>
      </w:r>
      <w:r>
        <w:rPr>
          <w:rFonts w:ascii="Times New Roman" w:hAnsi="Times New Roman"/>
          <w:noProof/>
          <w:sz w:val="24"/>
        </w:rPr>
        <w:t xml:space="preserve"> Une ressource propre reposant sur le système d’échange de quotas d’émission présenterait des avantages uniques en ce sens qu’elle serait immédiatement disponible et suffisamment abondante. Le budget de l’UE recevrait 30 % des recettes provenant de la mise aux enchères de quotas d’émission, mais la plus grande partie de ces recettes continuerait d’être versée aux budgets nationaux.</w:t>
      </w:r>
    </w:p>
    <w:p w14:paraId="0F93FCCA"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Le mécanisme d’ajustement carbone aux frontières peut être considéré comme la «dimension extérieure» du système d’échange de quotas d’émission, et la ressource propre correspondante reste donc une composante à part entière du train de mesures proposé.</w:t>
      </w:r>
      <w:r>
        <w:rPr>
          <w:rFonts w:ascii="Times New Roman" w:hAnsi="Times New Roman"/>
          <w:noProof/>
          <w:sz w:val="24"/>
        </w:rPr>
        <w:t xml:space="preserve"> Ce mécanisme consiste à soumettre les importations dans l’UE à un prix du carbone équivalent à celui supporté pour la production des mêmes marchandises dans l’UE.</w:t>
      </w:r>
    </w:p>
    <w:p w14:paraId="3B55799F"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Une nouvelle ressource propre fondée sur la quantité de déchets électroniques non collectés aurait des effets positifs pour l’environnement, tout en contribuant à l’autonomie stratégique de l’Union en termes de matières premières critiques.</w:t>
      </w:r>
      <w:r>
        <w:rPr>
          <w:rFonts w:ascii="Times New Roman" w:hAnsi="Times New Roman"/>
          <w:noProof/>
          <w:sz w:val="24"/>
        </w:rPr>
        <w:t xml:space="preserve"> Les déchets d’équipements électriques et électroniques («déchets électroniques»), font partie des déchets dont le volume augmente le plus rapidement. Du fait qu’ils contiennent d’importantes matières premières critiques, leur recyclage et leur réemploi ont un rôle non négligeable à jouer dans la réduction de notre dépendance à l’égard de fournisseurs étrangers. Or, malgré des progrès notables en matière de recyclage, leur taux de collecte reste nettement inférieur aux objectifs de l’Union. L’instauration d’une contribution nationale basée sur les déchets électroniques non collectés déclarés par les États membres sera une incitation à réduire ces déchets et à les collecter séparément.</w:t>
      </w:r>
    </w:p>
    <w:p w14:paraId="592790FE"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Une ressource pour l’Europe provenant des entreprises (Corporate Resource for Europe) est proposée, au titre de laquelle les entreprises contribueront au financement du budget de l’UE.</w:t>
      </w:r>
      <w:r>
        <w:rPr>
          <w:rFonts w:ascii="Times New Roman" w:hAnsi="Times New Roman"/>
          <w:noProof/>
          <w:sz w:val="24"/>
        </w:rPr>
        <w:t xml:space="preserve"> Plusieurs programmes de financement de l’UE aident les entreprises à se moderniser, à innover et à se développer. Le nouveau budget à long terme de l’UE stimulera la compétitivité et la croissance économique et améliorera l’environnement des entreprises, grâce à des investissements à long terme, notamment par l’intermédiaire du Fonds européen pour la compétitivité. Cette ressource propre ne concernera en principe pas les PME.</w:t>
      </w:r>
    </w:p>
    <w:p w14:paraId="5DF23E02" w14:textId="77777777" w:rsidR="00DB583B" w:rsidRPr="00723C43" w:rsidRDefault="00DB583B" w:rsidP="00DB583B">
      <w:pPr>
        <w:spacing w:after="240" w:line="240" w:lineRule="auto"/>
        <w:jc w:val="both"/>
        <w:rPr>
          <w:rFonts w:ascii="Times New Roman" w:hAnsi="Times New Roman" w:cs="Times New Roman"/>
          <w:noProof/>
          <w:sz w:val="24"/>
          <w:szCs w:val="24"/>
        </w:rPr>
      </w:pPr>
      <w:r>
        <w:rPr>
          <w:rFonts w:ascii="Times New Roman" w:hAnsi="Times New Roman"/>
          <w:b/>
          <w:noProof/>
          <w:sz w:val="24"/>
        </w:rPr>
        <w:t>Une ressource propre fondée sur les droits d’accise sur le tabac soutiendrait les objectifs de la politique de santé de l’UE, tout en générant des recettes pour son budget.</w:t>
      </w:r>
      <w:r>
        <w:rPr>
          <w:rFonts w:ascii="Times New Roman" w:hAnsi="Times New Roman"/>
          <w:noProof/>
          <w:sz w:val="24"/>
        </w:rPr>
        <w:t xml:space="preserve"> Les divergences qui existent entre les régimes fiscaux dans l’Union ont des effets négatifs sur les politiques des États membres censées décourager la consommation de tabac par la fiscalité. La proposition relative à une ressource propre relative aux droits d’accise sur le tabac complète la refonte à venir de la directive relative aux accises sur le tabac, qui prévoit d’adapter les droits d’accise minimaux de l’UE et certaines catégories de produits du tabac traditionnels afin de garantir des conditions de concurrence équitables au sein du marché unique.</w:t>
      </w:r>
    </w:p>
    <w:p w14:paraId="3141B57C" w14:textId="77777777" w:rsidR="00DB583B" w:rsidRPr="006A444D" w:rsidRDefault="00DB583B" w:rsidP="00DB583B">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Ajustements apportés aux ressources propres existantes</w:t>
      </w:r>
    </w:p>
    <w:p w14:paraId="40DC18F5" w14:textId="77777777" w:rsidR="00DB583B" w:rsidRPr="003B646D" w:rsidRDefault="00DB583B" w:rsidP="00DB583B">
      <w:pPr>
        <w:spacing w:after="240" w:line="240" w:lineRule="auto"/>
        <w:jc w:val="both"/>
        <w:rPr>
          <w:rFonts w:ascii="Times New Roman" w:eastAsia="Calibri" w:hAnsi="Times New Roman" w:cs="Times New Roman"/>
          <w:noProof/>
          <w:color w:val="000000" w:themeColor="text1"/>
          <w:sz w:val="24"/>
          <w:szCs w:val="24"/>
        </w:rPr>
      </w:pPr>
      <w:r>
        <w:rPr>
          <w:rFonts w:ascii="Times New Roman" w:hAnsi="Times New Roman"/>
          <w:b/>
          <w:noProof/>
          <w:sz w:val="24"/>
        </w:rPr>
        <w:t xml:space="preserve">Il est proposé d’apporter des ajustements ciblés aux ressources propres existantes afin de préserver l’assiette des recettes du budget de l’UE. </w:t>
      </w:r>
      <w:r>
        <w:rPr>
          <w:rFonts w:ascii="Times New Roman" w:hAnsi="Times New Roman"/>
          <w:noProof/>
          <w:sz w:val="24"/>
        </w:rPr>
        <w:t>Les ressources propres traditionnelles, qui consistent principalement en droits de douane, sont perçues par les États membres au nom de l’Union. Par ailleurs, il est proposé d’augmenter le taux d’appel de la ressource propre fondée sur les déchets d’emballages en plastique non recyclés, mise en place au début du cadre financier actuel, afin de tenir compte de l’évolution de l’inflation.</w:t>
      </w:r>
    </w:p>
    <w:p w14:paraId="56B650B6" w14:textId="77777777" w:rsidR="00DB583B" w:rsidRDefault="00DB583B" w:rsidP="00DB583B">
      <w:pPr>
        <w:spacing w:after="240" w:line="240" w:lineRule="auto"/>
        <w:jc w:val="both"/>
        <w:rPr>
          <w:rFonts w:ascii="Times New Roman" w:hAnsi="Times New Roman" w:cs="Times New Roman"/>
          <w:b/>
          <w:bCs/>
          <w:i/>
          <w:iCs/>
          <w:noProof/>
          <w:sz w:val="24"/>
          <w:szCs w:val="24"/>
        </w:rPr>
      </w:pPr>
      <w:r>
        <w:rPr>
          <w:rFonts w:ascii="Times New Roman" w:hAnsi="Times New Roman"/>
          <w:b/>
          <w:i/>
          <w:noProof/>
          <w:sz w:val="24"/>
        </w:rPr>
        <w:t>Autres recettes</w:t>
      </w:r>
    </w:p>
    <w:p w14:paraId="2B432A90" w14:textId="77777777" w:rsidR="00DB583B" w:rsidRDefault="00DB583B" w:rsidP="00DB583B">
      <w:pPr>
        <w:spacing w:after="480" w:line="240" w:lineRule="auto"/>
        <w:jc w:val="both"/>
        <w:rPr>
          <w:rFonts w:ascii="Times New Roman" w:hAnsi="Times New Roman" w:cs="Times New Roman"/>
          <w:noProof/>
          <w:sz w:val="24"/>
          <w:szCs w:val="24"/>
        </w:rPr>
      </w:pPr>
      <w:r>
        <w:rPr>
          <w:rFonts w:ascii="Times New Roman" w:hAnsi="Times New Roman"/>
          <w:b/>
          <w:noProof/>
          <w:sz w:val="24"/>
        </w:rPr>
        <w:t>Le budget de l’UE peut aussi être financé par d’autres recettes.</w:t>
      </w:r>
      <w:r>
        <w:rPr>
          <w:rFonts w:ascii="Times New Roman" w:hAnsi="Times New Roman"/>
          <w:noProof/>
          <w:sz w:val="24"/>
        </w:rPr>
        <w:t xml:space="preserve"> D’autres recettes viennent compléter les ressources propres. Elles sont directement versées au budget de l’UE, ce qui réduit la pression qui pèse sur les contributions nationales des États membres. Il viendra s’y ajouter, par exemple, une augmentation du niveau des droits ETIAS en vigueur, qui seront alignés sur ceux perçus dans d’autres pays. La Commission continuera également de travailler à l’instauration de nouveaux droits liés aux politiques de l’Union.</w:t>
      </w:r>
    </w:p>
    <w:p w14:paraId="4AC4A4FD" w14:textId="77777777" w:rsidR="00DB583B" w:rsidRPr="00B334AE" w:rsidRDefault="00DB583B" w:rsidP="00DB583B">
      <w:pPr>
        <w:pStyle w:val="ListParagraph"/>
        <w:numPr>
          <w:ilvl w:val="0"/>
          <w:numId w:val="34"/>
        </w:numPr>
        <w:spacing w:after="240" w:line="240" w:lineRule="auto"/>
        <w:contextualSpacing w:val="0"/>
        <w:jc w:val="both"/>
        <w:rPr>
          <w:rFonts w:ascii="Times New Roman" w:hAnsi="Times New Roman" w:cs="Times New Roman"/>
          <w:b/>
          <w:bCs/>
          <w:noProof/>
          <w:color w:val="FF0000"/>
          <w:sz w:val="24"/>
          <w:szCs w:val="24"/>
        </w:rPr>
      </w:pPr>
      <w:r>
        <w:rPr>
          <w:rFonts w:ascii="Times New Roman" w:hAnsi="Times New Roman"/>
          <w:b/>
          <w:noProof/>
          <w:sz w:val="24"/>
        </w:rPr>
        <w:t>CONCLUSION</w:t>
      </w:r>
    </w:p>
    <w:p w14:paraId="74FA4D1B" w14:textId="77777777" w:rsidR="00DB583B" w:rsidRDefault="00DB583B" w:rsidP="00DB583B">
      <w:pPr>
        <w:pStyle w:val="NormalWeb"/>
        <w:spacing w:before="0" w:beforeAutospacing="0" w:after="240" w:afterAutospacing="0"/>
        <w:jc w:val="both"/>
        <w:rPr>
          <w:noProof/>
          <w:color w:val="0E101A"/>
        </w:rPr>
      </w:pPr>
      <w:r>
        <w:rPr>
          <w:rStyle w:val="Strong"/>
          <w:noProof/>
          <w:color w:val="0E101A"/>
        </w:rPr>
        <w:t>Les négociations sur le cadre financier pluriannuel 2028-2034 sont l’occasion pour l’Union de faire preuve d’unité et de se doter des moyens de concrétiser ses ambitions collectives.</w:t>
      </w:r>
    </w:p>
    <w:p w14:paraId="416D04C9" w14:textId="77777777" w:rsidR="00DB583B" w:rsidRDefault="00DB583B" w:rsidP="00DB583B">
      <w:pPr>
        <w:pStyle w:val="NormalWeb"/>
        <w:spacing w:before="0" w:beforeAutospacing="0" w:after="240" w:afterAutospacing="0"/>
        <w:jc w:val="both"/>
        <w:rPr>
          <w:noProof/>
          <w:color w:val="0E101A"/>
        </w:rPr>
      </w:pPr>
      <w:r>
        <w:rPr>
          <w:b/>
          <w:noProof/>
          <w:color w:val="0E101A"/>
        </w:rPr>
        <w:t>Le budget à long terme que la Commission propose pour l’UE est un budget ambitieux, adaptable et tourné vers l’avenir.</w:t>
      </w:r>
      <w:r>
        <w:rPr>
          <w:noProof/>
          <w:color w:val="0E101A"/>
        </w:rPr>
        <w:t xml:space="preserve"> Elle est partie des points forts et des principes fondamentaux du cadre actuel, qu’elle a rendu plus simple, plus flexible et plus efficace. Des modifications à la marge ne suffiront pas pour résoudre une équation budgétaire complexe, qui veut que l’Union réponde à des attentes énormes tout en respectant ses obligations financières au titre de NextGenerationEU.</w:t>
      </w:r>
      <w:r>
        <w:rPr>
          <w:b/>
          <w:noProof/>
          <w:color w:val="0E101A"/>
        </w:rPr>
        <w:t xml:space="preserve"> </w:t>
      </w:r>
      <w:r>
        <w:rPr>
          <w:noProof/>
          <w:color w:val="0E101A"/>
        </w:rPr>
        <w:t>Il faut donc oser faire les choses différemment, en veillant à ce que chaque euro dépensé contribue à faire avancer l’Europe.</w:t>
      </w:r>
    </w:p>
    <w:p w14:paraId="0E5D7627" w14:textId="77777777" w:rsidR="00DB583B" w:rsidRPr="00345746" w:rsidRDefault="00DB583B" w:rsidP="00DB583B">
      <w:pPr>
        <w:pStyle w:val="NormalWeb"/>
        <w:spacing w:before="0" w:beforeAutospacing="0" w:after="240" w:afterAutospacing="0"/>
        <w:jc w:val="both"/>
        <w:rPr>
          <w:noProof/>
          <w:color w:val="0E101A"/>
        </w:rPr>
      </w:pPr>
      <w:r>
        <w:rPr>
          <w:b/>
          <w:noProof/>
          <w:color w:val="0E101A"/>
        </w:rPr>
        <w:t>Une gouvernance solide, la transparence et un contrôle politique rigoureux</w:t>
      </w:r>
      <w:r>
        <w:rPr>
          <w:noProof/>
          <w:color w:val="0E101A"/>
        </w:rPr>
        <w:t xml:space="preserve"> font partie intégrante de toutes ces propositions. La Commission travaillera en étroite collaboration avec le Parlement européen et le Conseil pour parvenir rapidement à un accord ambitieux et équilibré sur le </w:t>
      </w:r>
      <w:r>
        <w:rPr>
          <w:rStyle w:val="Strong"/>
          <w:b w:val="0"/>
          <w:noProof/>
          <w:color w:val="0E101A"/>
        </w:rPr>
        <w:t>prochain cadre financier pluriannuel et sur les programmes sectoriels.</w:t>
      </w:r>
      <w:r>
        <w:rPr>
          <w:noProof/>
          <w:color w:val="0E101A"/>
        </w:rPr>
        <w:t xml:space="preserve"> En tant qu’autorités budgétaires, le Parlement européen et le Conseil définiront l’orientation du budget à long terme, en veillant à ce qu’il reste parfaitement conforme à nos priorités communes sur toute sa durée.</w:t>
      </w:r>
    </w:p>
    <w:p w14:paraId="328A758F" w14:textId="77777777" w:rsidR="00DB583B" w:rsidRDefault="00DB583B" w:rsidP="00DB583B">
      <w:pPr>
        <w:pStyle w:val="NormalWeb"/>
        <w:spacing w:before="0" w:beforeAutospacing="0" w:after="240" w:afterAutospacing="0"/>
        <w:jc w:val="both"/>
        <w:rPr>
          <w:noProof/>
          <w:color w:val="0E101A"/>
        </w:rPr>
      </w:pPr>
      <w:r>
        <w:rPr>
          <w:b/>
          <w:noProof/>
          <w:color w:val="0E101A"/>
        </w:rPr>
        <w:t>Une Europe plus indépendante est une Europe qui doit être prête à prendre son destin en main.</w:t>
      </w:r>
      <w:r>
        <w:rPr>
          <w:noProof/>
          <w:color w:val="0E101A"/>
        </w:rPr>
        <w:t xml:space="preserve"> L’Union ne peut pas uniquement s’en remettre à d’autres pour défendre ses intérêts et ses valeurs. Cela signifie que nous devons utiliser tous les outils à notre disposition pour poursuivre nos priorités communes et concrétiser nos ambitions. Le budget de l’UE a le pouvoir de libérer les investissements et les réformes indispensables pour assurer la prospérité, la cohésion, la sécurité et la durabilité futures de l’Union.</w:t>
      </w:r>
    </w:p>
    <w:p w14:paraId="04CCBC0E" w14:textId="77777777" w:rsidR="00DB583B" w:rsidRDefault="00DB583B" w:rsidP="00DB583B">
      <w:pPr>
        <w:pStyle w:val="NormalWeb"/>
        <w:spacing w:before="0" w:beforeAutospacing="0" w:after="240" w:afterAutospacing="0"/>
        <w:jc w:val="both"/>
        <w:rPr>
          <w:noProof/>
          <w:color w:val="0E101A"/>
        </w:rPr>
      </w:pPr>
      <w:r>
        <w:rPr>
          <w:noProof/>
          <w:color w:val="0E101A"/>
        </w:rPr>
        <w:t>Il est temps d’unir nos efforts pour en faire une réalité.</w:t>
      </w:r>
    </w:p>
    <w:p w14:paraId="3D57150A" w14:textId="77777777" w:rsidR="00DB583B" w:rsidRPr="008E73E8" w:rsidRDefault="00DB583B" w:rsidP="00DB583B">
      <w:pPr>
        <w:pStyle w:val="NormalWeb"/>
        <w:spacing w:before="0" w:beforeAutospacing="0" w:after="240" w:afterAutospacing="0"/>
        <w:jc w:val="both"/>
        <w:rPr>
          <w:rFonts w:asciiTheme="minorHAnsi" w:eastAsiaTheme="minorEastAsia" w:hAnsiTheme="minorHAnsi" w:cstheme="minorBidi"/>
          <w:noProof/>
          <w:color w:val="0E101A"/>
          <w:kern w:val="2"/>
          <w:sz w:val="22"/>
          <w:szCs w:val="22"/>
          <w:lang w:val="fr-BE" w:eastAsia="en-US"/>
          <w14:ligatures w14:val="standardContextual"/>
        </w:rPr>
      </w:pPr>
    </w:p>
    <w:p w14:paraId="50CF0410" w14:textId="77777777" w:rsidR="00DB583B" w:rsidDel="0011499A" w:rsidRDefault="00DB583B" w:rsidP="00DB583B">
      <w:pPr>
        <w:rPr>
          <w:rFonts w:eastAsiaTheme="minorEastAsia"/>
          <w:noProof/>
          <w:color w:val="0E101A"/>
        </w:rPr>
      </w:pPr>
      <w:r>
        <w:rPr>
          <w:noProof/>
        </w:rPr>
        <w:br w:type="page"/>
      </w:r>
    </w:p>
    <w:p w14:paraId="30DBB514" w14:textId="77777777" w:rsidR="00DB583B" w:rsidRPr="000D6231" w:rsidRDefault="00DB583B" w:rsidP="00DB583B">
      <w:pPr>
        <w:spacing w:after="240" w:line="240" w:lineRule="auto"/>
        <w:jc w:val="center"/>
        <w:rPr>
          <w:rFonts w:ascii="Times New Roman" w:hAnsi="Times New Roman" w:cs="Times New Roman"/>
          <w:b/>
          <w:bCs/>
          <w:noProof/>
          <w:sz w:val="24"/>
          <w:szCs w:val="24"/>
        </w:rPr>
      </w:pPr>
      <w:r>
        <w:rPr>
          <w:rFonts w:ascii="Times New Roman" w:hAnsi="Times New Roman"/>
          <w:b/>
          <w:noProof/>
          <w:sz w:val="24"/>
        </w:rPr>
        <w:t>Annexe. Le cadre financier pluriannuel 2028-2034 – Tableaux</w:t>
      </w:r>
    </w:p>
    <w:p w14:paraId="77BE7CE1" w14:textId="30427F15" w:rsidR="00DB583B" w:rsidRPr="000D6231" w:rsidRDefault="00DE744A" w:rsidP="00DB583B">
      <w:pPr>
        <w:spacing w:after="240" w:line="240" w:lineRule="auto"/>
        <w:rPr>
          <w:rFonts w:ascii="Times New Roman" w:hAnsi="Times New Roman" w:cs="Times New Roman"/>
          <w:b/>
          <w:bCs/>
          <w:noProof/>
          <w:sz w:val="24"/>
          <w:szCs w:val="24"/>
        </w:rPr>
      </w:pPr>
      <w:r w:rsidRPr="00DE744A">
        <w:rPr>
          <w:noProof/>
          <w:lang w:val="en-GB" w:eastAsia="en-GB"/>
        </w:rPr>
        <w:drawing>
          <wp:inline distT="0" distB="0" distL="0" distR="0" wp14:anchorId="41A7A0D9" wp14:editId="5FC7FAFD">
            <wp:extent cx="5760720" cy="7825740"/>
            <wp:effectExtent l="0" t="0" r="0" b="3810"/>
            <wp:docPr id="10480472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7825740"/>
                    </a:xfrm>
                    <a:prstGeom prst="rect">
                      <a:avLst/>
                    </a:prstGeom>
                    <a:noFill/>
                    <a:ln>
                      <a:noFill/>
                    </a:ln>
                  </pic:spPr>
                </pic:pic>
              </a:graphicData>
            </a:graphic>
          </wp:inline>
        </w:drawing>
      </w:r>
    </w:p>
    <w:p w14:paraId="61C9C1EA" w14:textId="6C510F68" w:rsidR="00DB583B" w:rsidRPr="000D6231" w:rsidRDefault="00DE744A" w:rsidP="00DB583B">
      <w:pPr>
        <w:spacing w:after="240" w:line="240" w:lineRule="auto"/>
        <w:rPr>
          <w:rFonts w:ascii="Times New Roman" w:hAnsi="Times New Roman" w:cs="Times New Roman"/>
          <w:b/>
          <w:bCs/>
          <w:noProof/>
          <w:sz w:val="24"/>
          <w:szCs w:val="24"/>
        </w:rPr>
      </w:pPr>
      <w:r w:rsidRPr="00DE744A">
        <w:rPr>
          <w:noProof/>
          <w:lang w:val="en-GB" w:eastAsia="en-GB"/>
        </w:rPr>
        <w:drawing>
          <wp:inline distT="0" distB="0" distL="0" distR="0" wp14:anchorId="73F070CA" wp14:editId="24BFC764">
            <wp:extent cx="5760720" cy="7740015"/>
            <wp:effectExtent l="0" t="0" r="0" b="0"/>
            <wp:docPr id="558496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7740015"/>
                    </a:xfrm>
                    <a:prstGeom prst="rect">
                      <a:avLst/>
                    </a:prstGeom>
                    <a:noFill/>
                    <a:ln>
                      <a:noFill/>
                    </a:ln>
                  </pic:spPr>
                </pic:pic>
              </a:graphicData>
            </a:graphic>
          </wp:inline>
        </w:drawing>
      </w:r>
    </w:p>
    <w:sectPr w:rsidR="00DB583B" w:rsidRPr="000D6231" w:rsidSect="009476AE">
      <w:headerReference w:type="even" r:id="rId37"/>
      <w:headerReference w:type="default" r:id="rId38"/>
      <w:footerReference w:type="even" r:id="rId39"/>
      <w:footerReference w:type="default" r:id="rId40"/>
      <w:headerReference w:type="first" r:id="rId41"/>
      <w:footerReference w:type="first" r:id="rId4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C81FE5" w14:textId="77777777" w:rsidR="000F510B" w:rsidRDefault="000F510B" w:rsidP="00660C61">
      <w:pPr>
        <w:spacing w:after="0" w:line="240" w:lineRule="auto"/>
      </w:pPr>
      <w:r>
        <w:separator/>
      </w:r>
    </w:p>
  </w:endnote>
  <w:endnote w:type="continuationSeparator" w:id="0">
    <w:p w14:paraId="70CA91CC" w14:textId="77777777" w:rsidR="000F510B" w:rsidRDefault="000F510B" w:rsidP="00660C61">
      <w:pPr>
        <w:spacing w:after="0" w:line="240" w:lineRule="auto"/>
      </w:pPr>
      <w:r>
        <w:continuationSeparator/>
      </w:r>
    </w:p>
  </w:endnote>
  <w:endnote w:type="continuationNotice" w:id="1">
    <w:p w14:paraId="3BDFDB53" w14:textId="77777777" w:rsidR="000F510B" w:rsidRDefault="000F5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4798F" w14:textId="51CA48D4" w:rsidR="003B51D8" w:rsidRPr="003B51D8" w:rsidRDefault="003B51D8" w:rsidP="003B51D8">
    <w:pPr>
      <w:pStyle w:val="FooterCoverPage"/>
      <w:rPr>
        <w:rFonts w:ascii="Arial" w:hAnsi="Arial" w:cs="Arial"/>
        <w:b/>
        <w:sz w:val="48"/>
      </w:rPr>
    </w:pPr>
    <w:r w:rsidRPr="003B51D8">
      <w:rPr>
        <w:rFonts w:ascii="Arial" w:hAnsi="Arial" w:cs="Arial"/>
        <w:b/>
        <w:sz w:val="48"/>
      </w:rPr>
      <w:t>FR</w:t>
    </w:r>
    <w:r w:rsidRPr="003B51D8">
      <w:rPr>
        <w:rFonts w:ascii="Arial" w:hAnsi="Arial" w:cs="Arial"/>
        <w:b/>
        <w:sz w:val="48"/>
      </w:rPr>
      <w:tab/>
    </w:r>
    <w:r w:rsidRPr="003B51D8">
      <w:rPr>
        <w:rFonts w:ascii="Arial" w:hAnsi="Arial" w:cs="Arial"/>
        <w:b/>
        <w:sz w:val="48"/>
      </w:rPr>
      <w:tab/>
    </w:r>
    <w:r w:rsidRPr="003B51D8">
      <w:tab/>
    </w:r>
    <w:r w:rsidRPr="003B51D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DAB9" w14:textId="384BFCB0" w:rsidR="003B51D8" w:rsidRPr="003B51D8" w:rsidRDefault="003B51D8" w:rsidP="003B51D8">
    <w:pPr>
      <w:pStyle w:val="FooterCoverPage"/>
      <w:rPr>
        <w:rFonts w:ascii="Arial" w:hAnsi="Arial" w:cs="Arial"/>
        <w:b/>
        <w:sz w:val="48"/>
      </w:rPr>
    </w:pPr>
    <w:r w:rsidRPr="003B51D8">
      <w:rPr>
        <w:rFonts w:ascii="Arial" w:hAnsi="Arial" w:cs="Arial"/>
        <w:b/>
        <w:sz w:val="48"/>
      </w:rPr>
      <w:t>FR</w:t>
    </w:r>
    <w:r w:rsidRPr="003B51D8">
      <w:rPr>
        <w:rFonts w:ascii="Arial" w:hAnsi="Arial" w:cs="Arial"/>
        <w:b/>
        <w:sz w:val="48"/>
      </w:rPr>
      <w:tab/>
    </w:r>
    <w:r w:rsidRPr="003B51D8">
      <w:rPr>
        <w:rFonts w:ascii="Arial" w:hAnsi="Arial" w:cs="Arial"/>
        <w:b/>
        <w:sz w:val="48"/>
      </w:rPr>
      <w:tab/>
    </w:r>
    <w:r w:rsidRPr="003B51D8">
      <w:tab/>
    </w:r>
    <w:r w:rsidRPr="003B51D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2C022" w14:textId="77777777" w:rsidR="003B51D8" w:rsidRPr="003B51D8" w:rsidRDefault="003B51D8" w:rsidP="003B51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EFDDA" w14:textId="77777777" w:rsidR="009476AE" w:rsidRDefault="009476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76393"/>
      <w:docPartObj>
        <w:docPartGallery w:val="Page Numbers (Bottom of Page)"/>
        <w:docPartUnique/>
      </w:docPartObj>
    </w:sdtPr>
    <w:sdtEndPr>
      <w:rPr>
        <w:noProof/>
      </w:rPr>
    </w:sdtEndPr>
    <w:sdtContent>
      <w:p w14:paraId="0C103475" w14:textId="560AE30C" w:rsidR="009476AE" w:rsidRDefault="009476AE">
        <w:pPr>
          <w:pStyle w:val="Footer"/>
          <w:jc w:val="center"/>
        </w:pPr>
        <w:r>
          <w:fldChar w:fldCharType="begin"/>
        </w:r>
        <w:r>
          <w:instrText xml:space="preserve"> PAGE   \* MERGEFORMAT </w:instrText>
        </w:r>
        <w:r>
          <w:fldChar w:fldCharType="separate"/>
        </w:r>
        <w:r w:rsidR="003B51D8">
          <w:rPr>
            <w:noProof/>
          </w:rPr>
          <w:t>1</w:t>
        </w:r>
        <w:r>
          <w:fldChar w:fldCharType="end"/>
        </w:r>
      </w:p>
    </w:sdtContent>
  </w:sdt>
  <w:p w14:paraId="64B92CCA" w14:textId="77777777" w:rsidR="009476AE" w:rsidRDefault="009476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7A054" w14:textId="77777777" w:rsidR="009476AE" w:rsidRDefault="00947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3A821" w14:textId="77777777" w:rsidR="000F510B" w:rsidRDefault="000F510B" w:rsidP="00660C61">
      <w:pPr>
        <w:spacing w:after="0" w:line="240" w:lineRule="auto"/>
      </w:pPr>
      <w:r>
        <w:separator/>
      </w:r>
    </w:p>
  </w:footnote>
  <w:footnote w:type="continuationSeparator" w:id="0">
    <w:p w14:paraId="34774B32" w14:textId="77777777" w:rsidR="000F510B" w:rsidRDefault="000F510B" w:rsidP="00660C61">
      <w:pPr>
        <w:spacing w:after="0" w:line="240" w:lineRule="auto"/>
      </w:pPr>
      <w:r>
        <w:continuationSeparator/>
      </w:r>
    </w:p>
  </w:footnote>
  <w:footnote w:type="continuationNotice" w:id="1">
    <w:p w14:paraId="2D64CBBD" w14:textId="77777777" w:rsidR="000F510B" w:rsidRDefault="000F510B">
      <w:pPr>
        <w:spacing w:after="0" w:line="240" w:lineRule="auto"/>
      </w:pPr>
    </w:p>
  </w:footnote>
  <w:footnote w:id="2">
    <w:p w14:paraId="6770D4AE" w14:textId="1B57B64D" w:rsidR="00565B55" w:rsidRPr="00A10832" w:rsidRDefault="00565B55">
      <w:pPr>
        <w:pStyle w:val="FootnoteText"/>
        <w:rPr>
          <w:rFonts w:ascii="Times New Roman" w:hAnsi="Times New Roman" w:cs="Times New Roman"/>
        </w:rPr>
      </w:pPr>
      <w:r>
        <w:rPr>
          <w:rStyle w:val="FootnoteReference"/>
          <w:rFonts w:ascii="Times New Roman" w:hAnsi="Times New Roman" w:cs="Times New Roman"/>
        </w:rPr>
        <w:footnoteRef/>
      </w:r>
      <w:r>
        <w:tab/>
      </w:r>
      <w:hyperlink r:id="rId1" w:history="1">
        <w:r>
          <w:rPr>
            <w:rStyle w:val="Hyperlink"/>
            <w:rFonts w:ascii="Times New Roman" w:hAnsi="Times New Roman"/>
          </w:rPr>
          <w:t>Prochain budget à long terme de l’UE (CFP) – Mise en œuvre du financement de l’UE avec les États membres et les régions</w:t>
        </w:r>
      </w:hyperlink>
      <w:r>
        <w:t>,</w:t>
      </w:r>
    </w:p>
  </w:footnote>
  <w:footnote w:id="3">
    <w:p w14:paraId="74F43998" w14:textId="37B5B973" w:rsidR="00565B55" w:rsidRPr="00A10832" w:rsidRDefault="00565B5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Panel de citoyens européens sur le nouveau budget européen – Commission européenne</w:t>
        </w:r>
      </w:hyperlink>
    </w:p>
  </w:footnote>
  <w:footnote w:id="4">
    <w:p w14:paraId="3A1190EA" w14:textId="3596FA47" w:rsidR="00F821C6" w:rsidRPr="00327E4C" w:rsidRDefault="00F821C6" w:rsidP="00F821C6">
      <w:pPr>
        <w:pStyle w:val="FootnoteText"/>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rPr>
        <w:tab/>
        <w:t>Règlement (UE, Euratom) 2020/2092 du Parlement européen et du Conseil du 16 décembre 2020 relatif à un régime général de conditionnalité pour la protection du budget de l’Union.</w:t>
      </w:r>
    </w:p>
  </w:footnote>
  <w:footnote w:id="5">
    <w:p w14:paraId="25ECAE77" w14:textId="77777777" w:rsidR="00DB583B" w:rsidRPr="00A10832"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Draghi, M. (2024), «</w:t>
      </w:r>
      <w:hyperlink r:id="rId3" w:history="1">
        <w:r>
          <w:rPr>
            <w:rStyle w:val="Hyperlink"/>
            <w:rFonts w:ascii="Times New Roman" w:hAnsi="Times New Roman"/>
          </w:rPr>
          <w:t>A competitiveness strategy for Europe</w:t>
        </w:r>
      </w:hyperlink>
      <w:r>
        <w:rPr>
          <w:rFonts w:ascii="Times New Roman" w:hAnsi="Times New Roman"/>
        </w:rPr>
        <w:t>» (Une stratégie de compétitivité pour l’Europe).</w:t>
      </w:r>
    </w:p>
  </w:footnote>
  <w:footnote w:id="6">
    <w:p w14:paraId="03EDC022" w14:textId="77777777" w:rsidR="00DB583B" w:rsidRPr="00A10832"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Letta, E. (2024),</w:t>
      </w:r>
      <w:r>
        <w:t xml:space="preserve"> </w:t>
      </w:r>
      <w:r>
        <w:rPr>
          <w:rFonts w:ascii="Times New Roman" w:hAnsi="Times New Roman" w:cs="Times New Roman"/>
        </w:rPr>
        <w:fldChar w:fldCharType="begin"/>
      </w:r>
      <w:r>
        <w:rPr>
          <w:rFonts w:ascii="Times New Roman" w:hAnsi="Times New Roman" w:cs="Times New Roman"/>
        </w:rPr>
        <w:fldChar w:fldCharType="separate"/>
      </w:r>
      <w:r>
        <w:rPr>
          <w:rStyle w:val="Hyperlink"/>
          <w:rFonts w:ascii="Times New Roman" w:hAnsi="Times New Roman" w:cs="Times New Roman"/>
        </w:rPr>
        <w:t>Much more than a market</w:t>
      </w:r>
      <w:r>
        <w:rPr>
          <w:rFonts w:ascii="Times New Roman" w:hAnsi="Times New Roman" w:cs="Times New Roman"/>
        </w:rPr>
        <w:fldChar w:fldCharType="end"/>
      </w:r>
      <w:r>
        <w:t>«</w:t>
      </w:r>
      <w:hyperlink r:id="rId4" w:history="1">
        <w:r>
          <w:rPr>
            <w:rStyle w:val="Hyperlink"/>
            <w:rFonts w:ascii="Times New Roman" w:hAnsi="Times New Roman"/>
          </w:rPr>
          <w:t>Much more than a market</w:t>
        </w:r>
      </w:hyperlink>
      <w:r>
        <w:rPr>
          <w:rFonts w:ascii="Times New Roman" w:hAnsi="Times New Roman"/>
        </w:rPr>
        <w:t>» (Bien plus qu’un marché).</w:t>
      </w:r>
    </w:p>
  </w:footnote>
  <w:footnote w:id="7">
    <w:p w14:paraId="52F094F8" w14:textId="77777777" w:rsidR="00DB583B" w:rsidRPr="00F66228"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au Parlement européen, au Conseil européen, au Conseil, au Comité économique et social européen et au Comité des régions, «Une boussole pour la compétitivité de l’UE», COM(2025) 30 final.</w:t>
      </w:r>
    </w:p>
  </w:footnote>
  <w:footnote w:id="8">
    <w:p w14:paraId="728FC5E8" w14:textId="77777777" w:rsidR="00DB583B" w:rsidRPr="007D5A74"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ajoutant le soutien apporté par le Fonds pour l’innovation, le Fonds européen pour la compétitivité et Horizon Europe représentent, ensemble, un montant total de 450,8 milliards d’euros.</w:t>
      </w:r>
    </w:p>
  </w:footnote>
  <w:footnote w:id="9">
    <w:p w14:paraId="10A850FE" w14:textId="77777777" w:rsidR="00DB583B" w:rsidRPr="00D35665"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2025/1106 du Conseil du Conseil du 27 mai 2025 établissant l’instrument «Agir pour la sécurité de l’Europe par le renforcement de l’industrie européenne de la défense» («instrument SAFE»).</w:t>
      </w:r>
    </w:p>
  </w:footnote>
  <w:footnote w:id="10">
    <w:p w14:paraId="2437CF8E" w14:textId="77777777" w:rsidR="00DB583B" w:rsidRPr="00D35665" w:rsidRDefault="00DB583B" w:rsidP="00DB58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Conformément à la décision (PESC) 2021/509 du Conseil.</w:t>
      </w:r>
    </w:p>
  </w:footnote>
  <w:footnote w:id="11">
    <w:p w14:paraId="0C2245AB" w14:textId="77777777" w:rsidR="00DB583B" w:rsidRPr="00440D4D" w:rsidRDefault="00DB583B" w:rsidP="00DB583B">
      <w:pPr>
        <w:pStyle w:val="FootnoteText"/>
      </w:pPr>
      <w:r>
        <w:rPr>
          <w:rStyle w:val="FootnoteReference"/>
        </w:rPr>
        <w:footnoteRef/>
      </w:r>
      <w:r>
        <w:t xml:space="preserve"> </w:t>
      </w:r>
      <w:r>
        <w:rPr>
          <w:rFonts w:ascii="Times New Roman" w:hAnsi="Times New Roman"/>
        </w:rPr>
        <w:t>Communication de la Commission au Parlement européen, au Conseil, au Comité économique et social européen et au Comité des régions – Le marché unique: notre marché intérieur européen dans un monde incertain, COM(2025) 500.</w:t>
      </w:r>
    </w:p>
  </w:footnote>
  <w:footnote w:id="12">
    <w:p w14:paraId="6FE0F2E1" w14:textId="77777777" w:rsidR="00DB583B" w:rsidRPr="00A366A5" w:rsidRDefault="00DB583B" w:rsidP="00DB58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(CE) nº 1257/96 du Conseil du 20 juin 1996 concernant l’aide humanitaire.</w:t>
      </w:r>
    </w:p>
  </w:footnote>
  <w:footnote w:id="13">
    <w:p w14:paraId="23D28445" w14:textId="77777777" w:rsidR="00DB583B" w:rsidRPr="006A444D" w:rsidRDefault="00DB583B" w:rsidP="00DB58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Décision (UE) </w:t>
      </w:r>
      <w:bookmarkStart w:id="3" w:name="_Hlk202902685"/>
      <w:r>
        <w:rPr>
          <w:rFonts w:ascii="Times New Roman" w:hAnsi="Times New Roman"/>
        </w:rPr>
        <w:t>2021/1764 du Conseil du 5 octobre 2021 relative à l’association des pays et territoires d’outre-mer à l’Union européenne, y compris les relations entre l’Union européenne, d’une part, et le Groenland et le Royaume de Danemark, d’autre part (décision d’association outre-mer, y compris le Groenland) (JO L 355 du 7.10.2021, p. 6, ELI: </w:t>
      </w:r>
      <w:bookmarkEnd w:id="3"/>
      <w:r>
        <w:rPr>
          <w:rFonts w:ascii="Times New Roman" w:hAnsi="Times New Roman" w:cs="Times New Roman"/>
        </w:rPr>
        <w:fldChar w:fldCharType="begin"/>
      </w:r>
      <w:r>
        <w:rPr>
          <w:rFonts w:ascii="Times New Roman" w:hAnsi="Times New Roman" w:cs="Times New Roman"/>
        </w:rPr>
        <w:instrText>HYPERLINK "http://data.europa.eu/eli/dec/2021/1764/oj" \o "Donne accès à ce document par l’intermédiaire de son URI ELI."</w:instrText>
      </w:r>
      <w:r>
        <w:rPr>
          <w:rFonts w:ascii="Times New Roman" w:hAnsi="Times New Roman" w:cs="Times New Roman"/>
        </w:rPr>
        <w:fldChar w:fldCharType="separate"/>
      </w:r>
      <w:r>
        <w:rPr>
          <w:rStyle w:val="Hyperlink"/>
          <w:rFonts w:ascii="Times New Roman" w:hAnsi="Times New Roman"/>
        </w:rPr>
        <w:t>http://data.europa.eu/eli/dec/2021/1764/oj</w:t>
      </w:r>
      <w:r>
        <w:rPr>
          <w:rFonts w:ascii="Times New Roman" w:hAnsi="Times New Roman" w:cs="Times New Roman"/>
        </w:rPr>
        <w:fldChar w:fldCharType="end"/>
      </w:r>
      <w:r>
        <w:rPr>
          <w:rFonts w:ascii="Times New Roman" w:hAnsi="Times New Roman"/>
        </w:rPr>
        <w:t>).</w:t>
      </w:r>
    </w:p>
  </w:footnote>
  <w:footnote w:id="14">
    <w:p w14:paraId="5E291F82" w14:textId="77777777" w:rsidR="00DB583B" w:rsidRPr="00800B21"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conjointe au Parlement européen, au Conseil européen, au Conseil, au Comité économique et social européen et au Comité des régions sur la stratégie européenne pour une union de la préparation, JOIN(2025) 130 final.</w:t>
      </w:r>
    </w:p>
  </w:footnote>
  <w:footnote w:id="15">
    <w:p w14:paraId="6AAAB343" w14:textId="77777777" w:rsidR="00DB583B" w:rsidRPr="005C4743" w:rsidRDefault="00DB583B" w:rsidP="00DB583B">
      <w:pPr>
        <w:pStyle w:val="FootnoteText"/>
        <w:jc w:val="both"/>
      </w:pPr>
      <w:r>
        <w:rPr>
          <w:rStyle w:val="FootnoteReference"/>
        </w:rPr>
        <w:footnoteRef/>
      </w:r>
      <w:r>
        <w:rPr>
          <w:rFonts w:ascii="Times New Roman" w:hAnsi="Times New Roman"/>
        </w:rPr>
        <w:t xml:space="preserve"> Communication de la Commission au Parlement européen, au Conseil, au Comité économique et social européen et au Comité des régions intitulée «ProtectEU: une stratégie européenne de sécurité intérieure», COM(2025) 148 final.</w:t>
      </w:r>
    </w:p>
  </w:footnote>
  <w:footnote w:id="16">
    <w:p w14:paraId="31AC06E7" w14:textId="77777777" w:rsidR="00DB583B" w:rsidRPr="00B334AE" w:rsidRDefault="00DB583B" w:rsidP="00DB58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Niinistö, S. (2024),</w:t>
      </w:r>
      <w:r>
        <w:t xml:space="preserve"> </w:t>
      </w:r>
      <w:hyperlink r:id="rId5" w:history="1">
        <w:r>
          <w:rPr>
            <w:rStyle w:val="Hyperlink"/>
            <w:rFonts w:ascii="Times New Roman" w:hAnsi="Times New Roman"/>
          </w:rPr>
          <w:t>Safer together — Strengthening Europe’s Civilian and Military Preparedness and Readiness</w:t>
        </w:r>
      </w:hyperlink>
      <w:r>
        <w:t xml:space="preserve"> (Plus en sécurité ensemble – renforcer la préparation et l’état de préparation civils et militaires de l’Europe).</w:t>
      </w:r>
    </w:p>
  </w:footnote>
  <w:footnote w:id="17">
    <w:p w14:paraId="3516219E" w14:textId="77777777" w:rsidR="00DB583B" w:rsidRPr="00EE6F80"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SWD(2023) 336 final.</w:t>
      </w:r>
    </w:p>
  </w:footnote>
  <w:footnote w:id="18">
    <w:p w14:paraId="2D14867D" w14:textId="77777777" w:rsidR="00DB583B" w:rsidRPr="004F2C50" w:rsidRDefault="00DB583B" w:rsidP="00DB583B">
      <w:pPr>
        <w:pStyle w:val="FootnoteText"/>
      </w:pPr>
      <w:r>
        <w:rPr>
          <w:rStyle w:val="FootnoteReference"/>
        </w:rPr>
        <w:footnoteRef/>
      </w:r>
      <w:r>
        <w:t xml:space="preserve"> </w:t>
      </w:r>
      <w:r>
        <w:rPr>
          <w:rFonts w:ascii="Times New Roman" w:hAnsi="Times New Roman"/>
        </w:rPr>
        <w:t>La Commission proposera en temps utile une modification du règlement financier prolongeant au-delà de 2027 le traitement des recettes négatives prévu à son article 48, paragraphe 2.</w:t>
      </w:r>
    </w:p>
  </w:footnote>
  <w:footnote w:id="19">
    <w:p w14:paraId="077825F5" w14:textId="77777777" w:rsidR="00DB583B" w:rsidRPr="00B334AE" w:rsidRDefault="00DB583B" w:rsidP="00DB58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Cour des comptes européenne a souligné cet état de fait dans son</w:t>
      </w:r>
      <w:r>
        <w:t xml:space="preserve"> </w:t>
      </w:r>
      <w:hyperlink r:id="rId6">
        <w:r>
          <w:rPr>
            <w:rStyle w:val="Hyperlink"/>
            <w:rFonts w:ascii="Times New Roman" w:hAnsi="Times New Roman"/>
          </w:rPr>
          <w:t>rapport annuel sur l’exécution du budget de l’UE relatif à l’exercice 2022 et son rapport annuel sur les activités relevant des neuvième, dixième et onzième Fonds européens de développement (FED), relatifs à l’exercice 2022</w:t>
        </w:r>
      </w:hyperlink>
    </w:p>
  </w:footnote>
  <w:footnote w:id="20">
    <w:p w14:paraId="04BFB6B0" w14:textId="77777777" w:rsidR="00DB583B" w:rsidRPr="00B334AE" w:rsidRDefault="00DB583B" w:rsidP="00DB583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Avis 03/2025 de la Cour des comptes européenne: «Opportunities for the post-2027 Multiannual Financial 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CD36D" w14:textId="77777777" w:rsidR="003B51D8" w:rsidRPr="003B51D8" w:rsidRDefault="003B51D8" w:rsidP="003B51D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B9C8" w14:textId="77777777" w:rsidR="003B51D8" w:rsidRPr="003B51D8" w:rsidRDefault="003B51D8" w:rsidP="003B51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4E671" w14:textId="77777777" w:rsidR="003B51D8" w:rsidRPr="003B51D8" w:rsidRDefault="003B51D8" w:rsidP="003B51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745A" w14:textId="77777777" w:rsidR="009476AE" w:rsidRDefault="009476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1BC" w14:textId="77777777" w:rsidR="009476AE" w:rsidRDefault="009476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65EE6" w14:textId="77777777" w:rsidR="009476AE" w:rsidRDefault="009476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863"/>
    <w:multiLevelType w:val="hybridMultilevel"/>
    <w:tmpl w:val="456CD798"/>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A65083"/>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1627C5"/>
    <w:multiLevelType w:val="multilevel"/>
    <w:tmpl w:val="E46220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65AEE"/>
    <w:multiLevelType w:val="multilevel"/>
    <w:tmpl w:val="5D3637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4084A87"/>
    <w:multiLevelType w:val="multilevel"/>
    <w:tmpl w:val="CDE6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4B7135"/>
    <w:multiLevelType w:val="multilevel"/>
    <w:tmpl w:val="A17EF01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15:restartNumberingAfterBreak="0">
    <w:nsid w:val="04D91BA6"/>
    <w:multiLevelType w:val="multilevel"/>
    <w:tmpl w:val="BC30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073607"/>
    <w:multiLevelType w:val="multilevel"/>
    <w:tmpl w:val="CD38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436A94"/>
    <w:multiLevelType w:val="multilevel"/>
    <w:tmpl w:val="586CA26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0B101729"/>
    <w:multiLevelType w:val="multilevel"/>
    <w:tmpl w:val="4C92E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B2367DF"/>
    <w:multiLevelType w:val="multilevel"/>
    <w:tmpl w:val="4134E4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F37867"/>
    <w:multiLevelType w:val="multilevel"/>
    <w:tmpl w:val="C85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904445"/>
    <w:multiLevelType w:val="multilevel"/>
    <w:tmpl w:val="9A867F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5F96E0"/>
    <w:multiLevelType w:val="hybridMultilevel"/>
    <w:tmpl w:val="FFFFFFFF"/>
    <w:lvl w:ilvl="0" w:tplc="1CB6D998">
      <w:numFmt w:val="none"/>
      <w:lvlText w:val=""/>
      <w:lvlJc w:val="left"/>
      <w:pPr>
        <w:tabs>
          <w:tab w:val="num" w:pos="360"/>
        </w:tabs>
      </w:pPr>
    </w:lvl>
    <w:lvl w:ilvl="1" w:tplc="262E1D70">
      <w:start w:val="1"/>
      <w:numFmt w:val="lowerLetter"/>
      <w:lvlText w:val="%2."/>
      <w:lvlJc w:val="left"/>
      <w:pPr>
        <w:ind w:left="1440" w:hanging="360"/>
      </w:pPr>
    </w:lvl>
    <w:lvl w:ilvl="2" w:tplc="ABDCBFDA">
      <w:start w:val="1"/>
      <w:numFmt w:val="lowerRoman"/>
      <w:lvlText w:val="%3."/>
      <w:lvlJc w:val="right"/>
      <w:pPr>
        <w:ind w:left="2160" w:hanging="180"/>
      </w:pPr>
    </w:lvl>
    <w:lvl w:ilvl="3" w:tplc="C956A00E">
      <w:start w:val="1"/>
      <w:numFmt w:val="decimal"/>
      <w:lvlText w:val="%4."/>
      <w:lvlJc w:val="left"/>
      <w:pPr>
        <w:ind w:left="2880" w:hanging="360"/>
      </w:pPr>
    </w:lvl>
    <w:lvl w:ilvl="4" w:tplc="C33C7FA6">
      <w:start w:val="1"/>
      <w:numFmt w:val="lowerLetter"/>
      <w:lvlText w:val="%5."/>
      <w:lvlJc w:val="left"/>
      <w:pPr>
        <w:ind w:left="3600" w:hanging="360"/>
      </w:pPr>
    </w:lvl>
    <w:lvl w:ilvl="5" w:tplc="7AE8A1F2">
      <w:start w:val="1"/>
      <w:numFmt w:val="lowerRoman"/>
      <w:lvlText w:val="%6."/>
      <w:lvlJc w:val="right"/>
      <w:pPr>
        <w:ind w:left="4320" w:hanging="180"/>
      </w:pPr>
    </w:lvl>
    <w:lvl w:ilvl="6" w:tplc="35CA10DE">
      <w:start w:val="1"/>
      <w:numFmt w:val="decimal"/>
      <w:lvlText w:val="%7."/>
      <w:lvlJc w:val="left"/>
      <w:pPr>
        <w:ind w:left="5040" w:hanging="360"/>
      </w:pPr>
    </w:lvl>
    <w:lvl w:ilvl="7" w:tplc="94F29B7A">
      <w:start w:val="1"/>
      <w:numFmt w:val="lowerLetter"/>
      <w:lvlText w:val="%8."/>
      <w:lvlJc w:val="left"/>
      <w:pPr>
        <w:ind w:left="5760" w:hanging="360"/>
      </w:pPr>
    </w:lvl>
    <w:lvl w:ilvl="8" w:tplc="22687BBA">
      <w:start w:val="1"/>
      <w:numFmt w:val="lowerRoman"/>
      <w:lvlText w:val="%9."/>
      <w:lvlJc w:val="right"/>
      <w:pPr>
        <w:ind w:left="6480" w:hanging="180"/>
      </w:pPr>
    </w:lvl>
  </w:abstractNum>
  <w:abstractNum w:abstractNumId="14" w15:restartNumberingAfterBreak="0">
    <w:nsid w:val="13C97F88"/>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5242F65"/>
    <w:multiLevelType w:val="multilevel"/>
    <w:tmpl w:val="D78244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7257948"/>
    <w:multiLevelType w:val="hybridMultilevel"/>
    <w:tmpl w:val="FFFFFFFF"/>
    <w:lvl w:ilvl="0" w:tplc="986E412C">
      <w:numFmt w:val="none"/>
      <w:lvlText w:val=""/>
      <w:lvlJc w:val="left"/>
      <w:pPr>
        <w:tabs>
          <w:tab w:val="num" w:pos="360"/>
        </w:tabs>
      </w:pPr>
    </w:lvl>
    <w:lvl w:ilvl="1" w:tplc="7F9AA118">
      <w:start w:val="1"/>
      <w:numFmt w:val="lowerLetter"/>
      <w:lvlText w:val="%2."/>
      <w:lvlJc w:val="left"/>
      <w:pPr>
        <w:ind w:left="1440" w:hanging="360"/>
      </w:pPr>
    </w:lvl>
    <w:lvl w:ilvl="2" w:tplc="BD38BEA6">
      <w:start w:val="1"/>
      <w:numFmt w:val="lowerRoman"/>
      <w:lvlText w:val="%3."/>
      <w:lvlJc w:val="right"/>
      <w:pPr>
        <w:ind w:left="2160" w:hanging="180"/>
      </w:pPr>
    </w:lvl>
    <w:lvl w:ilvl="3" w:tplc="7DC6B2B2">
      <w:start w:val="1"/>
      <w:numFmt w:val="decimal"/>
      <w:lvlText w:val="%4."/>
      <w:lvlJc w:val="left"/>
      <w:pPr>
        <w:ind w:left="2880" w:hanging="360"/>
      </w:pPr>
    </w:lvl>
    <w:lvl w:ilvl="4" w:tplc="E8EAD6AE">
      <w:start w:val="1"/>
      <w:numFmt w:val="lowerLetter"/>
      <w:lvlText w:val="%5."/>
      <w:lvlJc w:val="left"/>
      <w:pPr>
        <w:ind w:left="3600" w:hanging="360"/>
      </w:pPr>
    </w:lvl>
    <w:lvl w:ilvl="5" w:tplc="84F8B94E">
      <w:start w:val="1"/>
      <w:numFmt w:val="lowerRoman"/>
      <w:lvlText w:val="%6."/>
      <w:lvlJc w:val="right"/>
      <w:pPr>
        <w:ind w:left="4320" w:hanging="180"/>
      </w:pPr>
    </w:lvl>
    <w:lvl w:ilvl="6" w:tplc="62C6D64C">
      <w:start w:val="1"/>
      <w:numFmt w:val="decimal"/>
      <w:lvlText w:val="%7."/>
      <w:lvlJc w:val="left"/>
      <w:pPr>
        <w:ind w:left="5040" w:hanging="360"/>
      </w:pPr>
    </w:lvl>
    <w:lvl w:ilvl="7" w:tplc="AF7823BA">
      <w:start w:val="1"/>
      <w:numFmt w:val="lowerLetter"/>
      <w:lvlText w:val="%8."/>
      <w:lvlJc w:val="left"/>
      <w:pPr>
        <w:ind w:left="5760" w:hanging="360"/>
      </w:pPr>
    </w:lvl>
    <w:lvl w:ilvl="8" w:tplc="05CCD82A">
      <w:start w:val="1"/>
      <w:numFmt w:val="lowerRoman"/>
      <w:lvlText w:val="%9."/>
      <w:lvlJc w:val="right"/>
      <w:pPr>
        <w:ind w:left="6480" w:hanging="180"/>
      </w:pPr>
    </w:lvl>
  </w:abstractNum>
  <w:abstractNum w:abstractNumId="17" w15:restartNumberingAfterBreak="0">
    <w:nsid w:val="17391E70"/>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C54588"/>
    <w:multiLevelType w:val="multilevel"/>
    <w:tmpl w:val="4F12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B4200"/>
    <w:multiLevelType w:val="hybridMultilevel"/>
    <w:tmpl w:val="9BE400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B693FCF"/>
    <w:multiLevelType w:val="hybridMultilevel"/>
    <w:tmpl w:val="6DE084A8"/>
    <w:lvl w:ilvl="0" w:tplc="637C024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1D6309E4"/>
    <w:multiLevelType w:val="multilevel"/>
    <w:tmpl w:val="423C74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DCA789C"/>
    <w:multiLevelType w:val="multilevel"/>
    <w:tmpl w:val="865E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73B40B"/>
    <w:multiLevelType w:val="hybridMultilevel"/>
    <w:tmpl w:val="FFFFFFFF"/>
    <w:lvl w:ilvl="0" w:tplc="3ABCC722">
      <w:numFmt w:val="none"/>
      <w:lvlText w:val=""/>
      <w:lvlJc w:val="left"/>
      <w:pPr>
        <w:tabs>
          <w:tab w:val="num" w:pos="360"/>
        </w:tabs>
      </w:pPr>
    </w:lvl>
    <w:lvl w:ilvl="1" w:tplc="02C0D8A8">
      <w:start w:val="1"/>
      <w:numFmt w:val="lowerLetter"/>
      <w:lvlText w:val="%2."/>
      <w:lvlJc w:val="left"/>
      <w:pPr>
        <w:ind w:left="1440" w:hanging="360"/>
      </w:pPr>
    </w:lvl>
    <w:lvl w:ilvl="2" w:tplc="2714A136">
      <w:start w:val="1"/>
      <w:numFmt w:val="lowerRoman"/>
      <w:lvlText w:val="%3."/>
      <w:lvlJc w:val="right"/>
      <w:pPr>
        <w:ind w:left="2160" w:hanging="180"/>
      </w:pPr>
    </w:lvl>
    <w:lvl w:ilvl="3" w:tplc="FE66338E">
      <w:start w:val="1"/>
      <w:numFmt w:val="decimal"/>
      <w:lvlText w:val="%4."/>
      <w:lvlJc w:val="left"/>
      <w:pPr>
        <w:ind w:left="2880" w:hanging="360"/>
      </w:pPr>
    </w:lvl>
    <w:lvl w:ilvl="4" w:tplc="54E0ACDC">
      <w:start w:val="1"/>
      <w:numFmt w:val="lowerLetter"/>
      <w:lvlText w:val="%5."/>
      <w:lvlJc w:val="left"/>
      <w:pPr>
        <w:ind w:left="3600" w:hanging="360"/>
      </w:pPr>
    </w:lvl>
    <w:lvl w:ilvl="5" w:tplc="E7DECAA0">
      <w:start w:val="1"/>
      <w:numFmt w:val="lowerRoman"/>
      <w:lvlText w:val="%6."/>
      <w:lvlJc w:val="right"/>
      <w:pPr>
        <w:ind w:left="4320" w:hanging="180"/>
      </w:pPr>
    </w:lvl>
    <w:lvl w:ilvl="6" w:tplc="E7BC9B16">
      <w:start w:val="1"/>
      <w:numFmt w:val="decimal"/>
      <w:lvlText w:val="%7."/>
      <w:lvlJc w:val="left"/>
      <w:pPr>
        <w:ind w:left="5040" w:hanging="360"/>
      </w:pPr>
    </w:lvl>
    <w:lvl w:ilvl="7" w:tplc="3862936C">
      <w:start w:val="1"/>
      <w:numFmt w:val="lowerLetter"/>
      <w:lvlText w:val="%8."/>
      <w:lvlJc w:val="left"/>
      <w:pPr>
        <w:ind w:left="5760" w:hanging="360"/>
      </w:pPr>
    </w:lvl>
    <w:lvl w:ilvl="8" w:tplc="301AA828">
      <w:start w:val="1"/>
      <w:numFmt w:val="lowerRoman"/>
      <w:lvlText w:val="%9."/>
      <w:lvlJc w:val="right"/>
      <w:pPr>
        <w:ind w:left="6480" w:hanging="180"/>
      </w:pPr>
    </w:lvl>
  </w:abstractNum>
  <w:abstractNum w:abstractNumId="24" w15:restartNumberingAfterBreak="0">
    <w:nsid w:val="1FAB4BE5"/>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FCC7C9D"/>
    <w:multiLevelType w:val="multilevel"/>
    <w:tmpl w:val="E730B3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201E515C"/>
    <w:multiLevelType w:val="multilevel"/>
    <w:tmpl w:val="F5AE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FAF953"/>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18D5127"/>
    <w:multiLevelType w:val="hybridMultilevel"/>
    <w:tmpl w:val="2FECFAE0"/>
    <w:lvl w:ilvl="0" w:tplc="12769D8E">
      <w:start w:val="1"/>
      <w:numFmt w:val="bullet"/>
      <w:lvlText w:val="o"/>
      <w:lvlJc w:val="left"/>
      <w:pPr>
        <w:ind w:left="720" w:hanging="360"/>
      </w:pPr>
      <w:rPr>
        <w:rFonts w:ascii="Courier New" w:hAnsi="Courier New" w:hint="default"/>
      </w:rPr>
    </w:lvl>
    <w:lvl w:ilvl="1" w:tplc="F3B4C712" w:tentative="1">
      <w:start w:val="1"/>
      <w:numFmt w:val="bullet"/>
      <w:lvlText w:val="o"/>
      <w:lvlJc w:val="left"/>
      <w:pPr>
        <w:ind w:left="1440" w:hanging="360"/>
      </w:pPr>
      <w:rPr>
        <w:rFonts w:ascii="Courier New" w:hAnsi="Courier New" w:hint="default"/>
      </w:rPr>
    </w:lvl>
    <w:lvl w:ilvl="2" w:tplc="77A697CA" w:tentative="1">
      <w:start w:val="1"/>
      <w:numFmt w:val="bullet"/>
      <w:lvlText w:val=""/>
      <w:lvlJc w:val="left"/>
      <w:pPr>
        <w:ind w:left="2160" w:hanging="360"/>
      </w:pPr>
      <w:rPr>
        <w:rFonts w:ascii="Wingdings" w:hAnsi="Wingdings" w:hint="default"/>
      </w:rPr>
    </w:lvl>
    <w:lvl w:ilvl="3" w:tplc="C8CE2A34" w:tentative="1">
      <w:start w:val="1"/>
      <w:numFmt w:val="bullet"/>
      <w:lvlText w:val=""/>
      <w:lvlJc w:val="left"/>
      <w:pPr>
        <w:ind w:left="2880" w:hanging="360"/>
      </w:pPr>
      <w:rPr>
        <w:rFonts w:ascii="Symbol" w:hAnsi="Symbol" w:hint="default"/>
      </w:rPr>
    </w:lvl>
    <w:lvl w:ilvl="4" w:tplc="7608AC34" w:tentative="1">
      <w:start w:val="1"/>
      <w:numFmt w:val="bullet"/>
      <w:lvlText w:val="o"/>
      <w:lvlJc w:val="left"/>
      <w:pPr>
        <w:ind w:left="3600" w:hanging="360"/>
      </w:pPr>
      <w:rPr>
        <w:rFonts w:ascii="Courier New" w:hAnsi="Courier New" w:hint="default"/>
      </w:rPr>
    </w:lvl>
    <w:lvl w:ilvl="5" w:tplc="D5E66872" w:tentative="1">
      <w:start w:val="1"/>
      <w:numFmt w:val="bullet"/>
      <w:lvlText w:val=""/>
      <w:lvlJc w:val="left"/>
      <w:pPr>
        <w:ind w:left="4320" w:hanging="360"/>
      </w:pPr>
      <w:rPr>
        <w:rFonts w:ascii="Wingdings" w:hAnsi="Wingdings" w:hint="default"/>
      </w:rPr>
    </w:lvl>
    <w:lvl w:ilvl="6" w:tplc="74A8BBFC" w:tentative="1">
      <w:start w:val="1"/>
      <w:numFmt w:val="bullet"/>
      <w:lvlText w:val=""/>
      <w:lvlJc w:val="left"/>
      <w:pPr>
        <w:ind w:left="5040" w:hanging="360"/>
      </w:pPr>
      <w:rPr>
        <w:rFonts w:ascii="Symbol" w:hAnsi="Symbol" w:hint="default"/>
      </w:rPr>
    </w:lvl>
    <w:lvl w:ilvl="7" w:tplc="53E84530" w:tentative="1">
      <w:start w:val="1"/>
      <w:numFmt w:val="bullet"/>
      <w:lvlText w:val="o"/>
      <w:lvlJc w:val="left"/>
      <w:pPr>
        <w:ind w:left="5760" w:hanging="360"/>
      </w:pPr>
      <w:rPr>
        <w:rFonts w:ascii="Courier New" w:hAnsi="Courier New" w:hint="default"/>
      </w:rPr>
    </w:lvl>
    <w:lvl w:ilvl="8" w:tplc="94BEC8CC" w:tentative="1">
      <w:start w:val="1"/>
      <w:numFmt w:val="bullet"/>
      <w:lvlText w:val=""/>
      <w:lvlJc w:val="left"/>
      <w:pPr>
        <w:ind w:left="6480" w:hanging="360"/>
      </w:pPr>
      <w:rPr>
        <w:rFonts w:ascii="Wingdings" w:hAnsi="Wingdings" w:hint="default"/>
      </w:rPr>
    </w:lvl>
  </w:abstractNum>
  <w:abstractNum w:abstractNumId="29" w15:restartNumberingAfterBreak="0">
    <w:nsid w:val="22750FD2"/>
    <w:multiLevelType w:val="multilevel"/>
    <w:tmpl w:val="29D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88AE1E"/>
    <w:multiLevelType w:val="hybridMultilevel"/>
    <w:tmpl w:val="FFFFFFFF"/>
    <w:lvl w:ilvl="0" w:tplc="DEA284CC">
      <w:numFmt w:val="none"/>
      <w:lvlText w:val=""/>
      <w:lvlJc w:val="left"/>
      <w:pPr>
        <w:tabs>
          <w:tab w:val="num" w:pos="360"/>
        </w:tabs>
      </w:pPr>
    </w:lvl>
    <w:lvl w:ilvl="1" w:tplc="130C09A8">
      <w:start w:val="1"/>
      <w:numFmt w:val="lowerLetter"/>
      <w:lvlText w:val="%2."/>
      <w:lvlJc w:val="left"/>
      <w:pPr>
        <w:ind w:left="1440" w:hanging="360"/>
      </w:pPr>
    </w:lvl>
    <w:lvl w:ilvl="2" w:tplc="CAB2C214">
      <w:start w:val="1"/>
      <w:numFmt w:val="lowerRoman"/>
      <w:lvlText w:val="%3."/>
      <w:lvlJc w:val="right"/>
      <w:pPr>
        <w:ind w:left="2160" w:hanging="180"/>
      </w:pPr>
    </w:lvl>
    <w:lvl w:ilvl="3" w:tplc="34E4931E">
      <w:start w:val="1"/>
      <w:numFmt w:val="decimal"/>
      <w:lvlText w:val="%4."/>
      <w:lvlJc w:val="left"/>
      <w:pPr>
        <w:ind w:left="2880" w:hanging="360"/>
      </w:pPr>
    </w:lvl>
    <w:lvl w:ilvl="4" w:tplc="84F29D42">
      <w:start w:val="1"/>
      <w:numFmt w:val="lowerLetter"/>
      <w:lvlText w:val="%5."/>
      <w:lvlJc w:val="left"/>
      <w:pPr>
        <w:ind w:left="3600" w:hanging="360"/>
      </w:pPr>
    </w:lvl>
    <w:lvl w:ilvl="5" w:tplc="968852A6">
      <w:start w:val="1"/>
      <w:numFmt w:val="lowerRoman"/>
      <w:lvlText w:val="%6."/>
      <w:lvlJc w:val="right"/>
      <w:pPr>
        <w:ind w:left="4320" w:hanging="180"/>
      </w:pPr>
    </w:lvl>
    <w:lvl w:ilvl="6" w:tplc="05200DFC">
      <w:start w:val="1"/>
      <w:numFmt w:val="decimal"/>
      <w:lvlText w:val="%7."/>
      <w:lvlJc w:val="left"/>
      <w:pPr>
        <w:ind w:left="5040" w:hanging="360"/>
      </w:pPr>
    </w:lvl>
    <w:lvl w:ilvl="7" w:tplc="F3FCCE12">
      <w:start w:val="1"/>
      <w:numFmt w:val="lowerLetter"/>
      <w:lvlText w:val="%8."/>
      <w:lvlJc w:val="left"/>
      <w:pPr>
        <w:ind w:left="5760" w:hanging="360"/>
      </w:pPr>
    </w:lvl>
    <w:lvl w:ilvl="8" w:tplc="3370A52A">
      <w:start w:val="1"/>
      <w:numFmt w:val="lowerRoman"/>
      <w:lvlText w:val="%9."/>
      <w:lvlJc w:val="right"/>
      <w:pPr>
        <w:ind w:left="6480" w:hanging="180"/>
      </w:pPr>
    </w:lvl>
  </w:abstractNum>
  <w:abstractNum w:abstractNumId="31" w15:restartNumberingAfterBreak="0">
    <w:nsid w:val="22B29957"/>
    <w:multiLevelType w:val="hybridMultilevel"/>
    <w:tmpl w:val="FFFFFFFF"/>
    <w:lvl w:ilvl="0" w:tplc="1ABCFF48">
      <w:numFmt w:val="none"/>
      <w:lvlText w:val=""/>
      <w:lvlJc w:val="left"/>
      <w:pPr>
        <w:tabs>
          <w:tab w:val="num" w:pos="360"/>
        </w:tabs>
      </w:pPr>
    </w:lvl>
    <w:lvl w:ilvl="1" w:tplc="25F6AF60">
      <w:start w:val="1"/>
      <w:numFmt w:val="lowerLetter"/>
      <w:lvlText w:val="%2."/>
      <w:lvlJc w:val="left"/>
      <w:pPr>
        <w:ind w:left="1440" w:hanging="360"/>
      </w:pPr>
    </w:lvl>
    <w:lvl w:ilvl="2" w:tplc="653ACAB2">
      <w:start w:val="1"/>
      <w:numFmt w:val="lowerRoman"/>
      <w:lvlText w:val="%3."/>
      <w:lvlJc w:val="right"/>
      <w:pPr>
        <w:ind w:left="2160" w:hanging="180"/>
      </w:pPr>
    </w:lvl>
    <w:lvl w:ilvl="3" w:tplc="B86A5078">
      <w:start w:val="1"/>
      <w:numFmt w:val="decimal"/>
      <w:lvlText w:val="%4."/>
      <w:lvlJc w:val="left"/>
      <w:pPr>
        <w:ind w:left="2880" w:hanging="360"/>
      </w:pPr>
    </w:lvl>
    <w:lvl w:ilvl="4" w:tplc="6220E25C">
      <w:start w:val="1"/>
      <w:numFmt w:val="lowerLetter"/>
      <w:lvlText w:val="%5."/>
      <w:lvlJc w:val="left"/>
      <w:pPr>
        <w:ind w:left="3600" w:hanging="360"/>
      </w:pPr>
    </w:lvl>
    <w:lvl w:ilvl="5" w:tplc="697C309E">
      <w:start w:val="1"/>
      <w:numFmt w:val="lowerRoman"/>
      <w:lvlText w:val="%6."/>
      <w:lvlJc w:val="right"/>
      <w:pPr>
        <w:ind w:left="4320" w:hanging="180"/>
      </w:pPr>
    </w:lvl>
    <w:lvl w:ilvl="6" w:tplc="9E54A6EC">
      <w:start w:val="1"/>
      <w:numFmt w:val="decimal"/>
      <w:lvlText w:val="%7."/>
      <w:lvlJc w:val="left"/>
      <w:pPr>
        <w:ind w:left="5040" w:hanging="360"/>
      </w:pPr>
    </w:lvl>
    <w:lvl w:ilvl="7" w:tplc="57D89484">
      <w:start w:val="1"/>
      <w:numFmt w:val="lowerLetter"/>
      <w:lvlText w:val="%8."/>
      <w:lvlJc w:val="left"/>
      <w:pPr>
        <w:ind w:left="5760" w:hanging="360"/>
      </w:pPr>
    </w:lvl>
    <w:lvl w:ilvl="8" w:tplc="1334F77A">
      <w:start w:val="1"/>
      <w:numFmt w:val="lowerRoman"/>
      <w:lvlText w:val="%9."/>
      <w:lvlJc w:val="right"/>
      <w:pPr>
        <w:ind w:left="6480" w:hanging="180"/>
      </w:pPr>
    </w:lvl>
  </w:abstractNum>
  <w:abstractNum w:abstractNumId="32" w15:restartNumberingAfterBreak="0">
    <w:nsid w:val="24DB1591"/>
    <w:multiLevelType w:val="multilevel"/>
    <w:tmpl w:val="3424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DB299B"/>
    <w:multiLevelType w:val="multilevel"/>
    <w:tmpl w:val="992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6253C9"/>
    <w:multiLevelType w:val="multilevel"/>
    <w:tmpl w:val="15A0FA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6DA30E8"/>
    <w:multiLevelType w:val="multilevel"/>
    <w:tmpl w:val="0726A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086A4F"/>
    <w:multiLevelType w:val="multilevel"/>
    <w:tmpl w:val="27C4D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8FAA5AD"/>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97823CE"/>
    <w:multiLevelType w:val="multilevel"/>
    <w:tmpl w:val="7C404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BF80675"/>
    <w:multiLevelType w:val="hybridMultilevel"/>
    <w:tmpl w:val="EDC65E0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C1A1F23"/>
    <w:multiLevelType w:val="multilevel"/>
    <w:tmpl w:val="8D7C58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DD44C9F"/>
    <w:multiLevelType w:val="multilevel"/>
    <w:tmpl w:val="4B12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5D5233"/>
    <w:multiLevelType w:val="multilevel"/>
    <w:tmpl w:val="8E4ECC7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3" w15:restartNumberingAfterBreak="0">
    <w:nsid w:val="312B0825"/>
    <w:multiLevelType w:val="multilevel"/>
    <w:tmpl w:val="5DCC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CD7158"/>
    <w:multiLevelType w:val="hybridMultilevel"/>
    <w:tmpl w:val="FFFFFFFF"/>
    <w:lvl w:ilvl="0" w:tplc="D86A109E">
      <w:numFmt w:val="none"/>
      <w:lvlText w:val=""/>
      <w:lvlJc w:val="left"/>
      <w:pPr>
        <w:tabs>
          <w:tab w:val="num" w:pos="360"/>
        </w:tabs>
      </w:pPr>
    </w:lvl>
    <w:lvl w:ilvl="1" w:tplc="BB427C8E">
      <w:start w:val="1"/>
      <w:numFmt w:val="lowerLetter"/>
      <w:lvlText w:val="%2."/>
      <w:lvlJc w:val="left"/>
      <w:pPr>
        <w:ind w:left="1440" w:hanging="360"/>
      </w:pPr>
    </w:lvl>
    <w:lvl w:ilvl="2" w:tplc="DE341262">
      <w:start w:val="1"/>
      <w:numFmt w:val="lowerRoman"/>
      <w:lvlText w:val="%3."/>
      <w:lvlJc w:val="right"/>
      <w:pPr>
        <w:ind w:left="2160" w:hanging="180"/>
      </w:pPr>
    </w:lvl>
    <w:lvl w:ilvl="3" w:tplc="79A669F4">
      <w:start w:val="1"/>
      <w:numFmt w:val="decimal"/>
      <w:lvlText w:val="%4."/>
      <w:lvlJc w:val="left"/>
      <w:pPr>
        <w:ind w:left="2880" w:hanging="360"/>
      </w:pPr>
    </w:lvl>
    <w:lvl w:ilvl="4" w:tplc="28A6BAF8">
      <w:start w:val="1"/>
      <w:numFmt w:val="lowerLetter"/>
      <w:lvlText w:val="%5."/>
      <w:lvlJc w:val="left"/>
      <w:pPr>
        <w:ind w:left="3600" w:hanging="360"/>
      </w:pPr>
    </w:lvl>
    <w:lvl w:ilvl="5" w:tplc="5A96A7AE">
      <w:start w:val="1"/>
      <w:numFmt w:val="lowerRoman"/>
      <w:lvlText w:val="%6."/>
      <w:lvlJc w:val="right"/>
      <w:pPr>
        <w:ind w:left="4320" w:hanging="180"/>
      </w:pPr>
    </w:lvl>
    <w:lvl w:ilvl="6" w:tplc="58C040B4">
      <w:start w:val="1"/>
      <w:numFmt w:val="decimal"/>
      <w:lvlText w:val="%7."/>
      <w:lvlJc w:val="left"/>
      <w:pPr>
        <w:ind w:left="5040" w:hanging="360"/>
      </w:pPr>
    </w:lvl>
    <w:lvl w:ilvl="7" w:tplc="CE7AB32C">
      <w:start w:val="1"/>
      <w:numFmt w:val="lowerLetter"/>
      <w:lvlText w:val="%8."/>
      <w:lvlJc w:val="left"/>
      <w:pPr>
        <w:ind w:left="5760" w:hanging="360"/>
      </w:pPr>
    </w:lvl>
    <w:lvl w:ilvl="8" w:tplc="3B2435F8">
      <w:start w:val="1"/>
      <w:numFmt w:val="lowerRoman"/>
      <w:lvlText w:val="%9."/>
      <w:lvlJc w:val="right"/>
      <w:pPr>
        <w:ind w:left="6480" w:hanging="180"/>
      </w:pPr>
    </w:lvl>
  </w:abstractNum>
  <w:abstractNum w:abstractNumId="45" w15:restartNumberingAfterBreak="0">
    <w:nsid w:val="35664AFA"/>
    <w:multiLevelType w:val="multilevel"/>
    <w:tmpl w:val="29B802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 w15:restartNumberingAfterBreak="0">
    <w:nsid w:val="374E6B67"/>
    <w:multiLevelType w:val="hybridMultilevel"/>
    <w:tmpl w:val="2D7ECA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A42FDA"/>
    <w:multiLevelType w:val="multilevel"/>
    <w:tmpl w:val="DBB6703A"/>
    <w:lvl w:ilvl="0">
      <w:start w:val="1"/>
      <w:numFmt w:val="decimal"/>
      <w:lvlText w:val="%1."/>
      <w:lvlJc w:val="left"/>
      <w:pPr>
        <w:ind w:left="720" w:hanging="360"/>
      </w:pPr>
      <w:rPr>
        <w:rFonts w:hint="default"/>
        <w:color w:val="auto"/>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9110F30"/>
    <w:multiLevelType w:val="multilevel"/>
    <w:tmpl w:val="AC5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B835DED"/>
    <w:multiLevelType w:val="multilevel"/>
    <w:tmpl w:val="13B2EE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3CD448E7"/>
    <w:multiLevelType w:val="multilevel"/>
    <w:tmpl w:val="277049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CD51EAE"/>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D326243"/>
    <w:multiLevelType w:val="hybridMultilevel"/>
    <w:tmpl w:val="04349E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3E71837B"/>
    <w:multiLevelType w:val="hybridMultilevel"/>
    <w:tmpl w:val="FFFFFFFF"/>
    <w:lvl w:ilvl="0" w:tplc="52747C0E">
      <w:numFmt w:val="none"/>
      <w:lvlText w:val=""/>
      <w:lvlJc w:val="left"/>
      <w:pPr>
        <w:tabs>
          <w:tab w:val="num" w:pos="360"/>
        </w:tabs>
      </w:pPr>
    </w:lvl>
    <w:lvl w:ilvl="1" w:tplc="900C9472">
      <w:start w:val="1"/>
      <w:numFmt w:val="lowerLetter"/>
      <w:lvlText w:val="%2."/>
      <w:lvlJc w:val="left"/>
      <w:pPr>
        <w:ind w:left="1440" w:hanging="360"/>
      </w:pPr>
    </w:lvl>
    <w:lvl w:ilvl="2" w:tplc="72CC586A">
      <w:start w:val="1"/>
      <w:numFmt w:val="lowerRoman"/>
      <w:lvlText w:val="%3."/>
      <w:lvlJc w:val="right"/>
      <w:pPr>
        <w:ind w:left="2160" w:hanging="180"/>
      </w:pPr>
    </w:lvl>
    <w:lvl w:ilvl="3" w:tplc="4E5C8DA6">
      <w:start w:val="1"/>
      <w:numFmt w:val="decimal"/>
      <w:lvlText w:val="%4."/>
      <w:lvlJc w:val="left"/>
      <w:pPr>
        <w:ind w:left="2880" w:hanging="360"/>
      </w:pPr>
    </w:lvl>
    <w:lvl w:ilvl="4" w:tplc="8F540C4C">
      <w:start w:val="1"/>
      <w:numFmt w:val="lowerLetter"/>
      <w:lvlText w:val="%5."/>
      <w:lvlJc w:val="left"/>
      <w:pPr>
        <w:ind w:left="3600" w:hanging="360"/>
      </w:pPr>
    </w:lvl>
    <w:lvl w:ilvl="5" w:tplc="0C488936">
      <w:start w:val="1"/>
      <w:numFmt w:val="lowerRoman"/>
      <w:lvlText w:val="%6."/>
      <w:lvlJc w:val="right"/>
      <w:pPr>
        <w:ind w:left="4320" w:hanging="180"/>
      </w:pPr>
    </w:lvl>
    <w:lvl w:ilvl="6" w:tplc="820A1E44">
      <w:start w:val="1"/>
      <w:numFmt w:val="decimal"/>
      <w:lvlText w:val="%7."/>
      <w:lvlJc w:val="left"/>
      <w:pPr>
        <w:ind w:left="5040" w:hanging="360"/>
      </w:pPr>
    </w:lvl>
    <w:lvl w:ilvl="7" w:tplc="8EB063DC">
      <w:start w:val="1"/>
      <w:numFmt w:val="lowerLetter"/>
      <w:lvlText w:val="%8."/>
      <w:lvlJc w:val="left"/>
      <w:pPr>
        <w:ind w:left="5760" w:hanging="360"/>
      </w:pPr>
    </w:lvl>
    <w:lvl w:ilvl="8" w:tplc="6186A5B8">
      <w:start w:val="1"/>
      <w:numFmt w:val="lowerRoman"/>
      <w:lvlText w:val="%9."/>
      <w:lvlJc w:val="right"/>
      <w:pPr>
        <w:ind w:left="6480" w:hanging="180"/>
      </w:pPr>
    </w:lvl>
  </w:abstractNum>
  <w:abstractNum w:abstractNumId="54" w15:restartNumberingAfterBreak="0">
    <w:nsid w:val="3FB364EB"/>
    <w:multiLevelType w:val="multilevel"/>
    <w:tmpl w:val="B34029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40693A71"/>
    <w:multiLevelType w:val="hybridMultilevel"/>
    <w:tmpl w:val="D2DE2D92"/>
    <w:lvl w:ilvl="0" w:tplc="8F6A637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0B9425C"/>
    <w:multiLevelType w:val="multilevel"/>
    <w:tmpl w:val="2FFACF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7" w15:restartNumberingAfterBreak="0">
    <w:nsid w:val="40D97470"/>
    <w:multiLevelType w:val="multilevel"/>
    <w:tmpl w:val="6C30DA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18258F3"/>
    <w:multiLevelType w:val="hybridMultilevel"/>
    <w:tmpl w:val="4044DA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9" w15:restartNumberingAfterBreak="0">
    <w:nsid w:val="42DEA335"/>
    <w:multiLevelType w:val="multilevel"/>
    <w:tmpl w:val="FFFFFFFF"/>
    <w:lvl w:ilvl="0">
      <w:start w:val="4"/>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38742B8"/>
    <w:multiLevelType w:val="multilevel"/>
    <w:tmpl w:val="FDBA7CD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DF7D01"/>
    <w:multiLevelType w:val="multilevel"/>
    <w:tmpl w:val="D01E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6876138"/>
    <w:multiLevelType w:val="multilevel"/>
    <w:tmpl w:val="F7840E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47747C37"/>
    <w:multiLevelType w:val="multilevel"/>
    <w:tmpl w:val="3C3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875717F"/>
    <w:multiLevelType w:val="multilevel"/>
    <w:tmpl w:val="D3E0B53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5" w15:restartNumberingAfterBreak="0">
    <w:nsid w:val="4994F16A"/>
    <w:multiLevelType w:val="hybridMultilevel"/>
    <w:tmpl w:val="FFFFFFFF"/>
    <w:lvl w:ilvl="0" w:tplc="6B4A544E">
      <w:numFmt w:val="none"/>
      <w:lvlText w:val=""/>
      <w:lvlJc w:val="left"/>
      <w:pPr>
        <w:tabs>
          <w:tab w:val="num" w:pos="360"/>
        </w:tabs>
      </w:pPr>
    </w:lvl>
    <w:lvl w:ilvl="1" w:tplc="B8EE2F50">
      <w:start w:val="1"/>
      <w:numFmt w:val="lowerLetter"/>
      <w:lvlText w:val="%2."/>
      <w:lvlJc w:val="left"/>
      <w:pPr>
        <w:ind w:left="1440" w:hanging="360"/>
      </w:pPr>
    </w:lvl>
    <w:lvl w:ilvl="2" w:tplc="58B20646">
      <w:start w:val="1"/>
      <w:numFmt w:val="lowerRoman"/>
      <w:lvlText w:val="%3."/>
      <w:lvlJc w:val="right"/>
      <w:pPr>
        <w:ind w:left="2160" w:hanging="180"/>
      </w:pPr>
    </w:lvl>
    <w:lvl w:ilvl="3" w:tplc="17185714">
      <w:start w:val="1"/>
      <w:numFmt w:val="decimal"/>
      <w:lvlText w:val="%4."/>
      <w:lvlJc w:val="left"/>
      <w:pPr>
        <w:ind w:left="2880" w:hanging="360"/>
      </w:pPr>
    </w:lvl>
    <w:lvl w:ilvl="4" w:tplc="209AF9EA">
      <w:start w:val="1"/>
      <w:numFmt w:val="lowerLetter"/>
      <w:lvlText w:val="%5."/>
      <w:lvlJc w:val="left"/>
      <w:pPr>
        <w:ind w:left="3600" w:hanging="360"/>
      </w:pPr>
    </w:lvl>
    <w:lvl w:ilvl="5" w:tplc="1638DD9E">
      <w:start w:val="1"/>
      <w:numFmt w:val="lowerRoman"/>
      <w:lvlText w:val="%6."/>
      <w:lvlJc w:val="right"/>
      <w:pPr>
        <w:ind w:left="4320" w:hanging="180"/>
      </w:pPr>
    </w:lvl>
    <w:lvl w:ilvl="6" w:tplc="A858D6BC">
      <w:start w:val="1"/>
      <w:numFmt w:val="decimal"/>
      <w:lvlText w:val="%7."/>
      <w:lvlJc w:val="left"/>
      <w:pPr>
        <w:ind w:left="5040" w:hanging="360"/>
      </w:pPr>
    </w:lvl>
    <w:lvl w:ilvl="7" w:tplc="65EA3C5E">
      <w:start w:val="1"/>
      <w:numFmt w:val="lowerLetter"/>
      <w:lvlText w:val="%8."/>
      <w:lvlJc w:val="left"/>
      <w:pPr>
        <w:ind w:left="5760" w:hanging="360"/>
      </w:pPr>
    </w:lvl>
    <w:lvl w:ilvl="8" w:tplc="555C1788">
      <w:start w:val="1"/>
      <w:numFmt w:val="lowerRoman"/>
      <w:lvlText w:val="%9."/>
      <w:lvlJc w:val="right"/>
      <w:pPr>
        <w:ind w:left="6480" w:hanging="180"/>
      </w:pPr>
    </w:lvl>
  </w:abstractNum>
  <w:abstractNum w:abstractNumId="66" w15:restartNumberingAfterBreak="0">
    <w:nsid w:val="4A4921FC"/>
    <w:multiLevelType w:val="multilevel"/>
    <w:tmpl w:val="D58E23B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ADD55C0"/>
    <w:multiLevelType w:val="multilevel"/>
    <w:tmpl w:val="B7E0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B25EB91"/>
    <w:multiLevelType w:val="hybridMultilevel"/>
    <w:tmpl w:val="FFFFFFFF"/>
    <w:lvl w:ilvl="0" w:tplc="D08C022C">
      <w:numFmt w:val="none"/>
      <w:lvlText w:val=""/>
      <w:lvlJc w:val="left"/>
      <w:pPr>
        <w:tabs>
          <w:tab w:val="num" w:pos="360"/>
        </w:tabs>
      </w:pPr>
    </w:lvl>
    <w:lvl w:ilvl="1" w:tplc="D4EAAB20">
      <w:start w:val="1"/>
      <w:numFmt w:val="lowerLetter"/>
      <w:lvlText w:val="%2."/>
      <w:lvlJc w:val="left"/>
      <w:pPr>
        <w:ind w:left="1440" w:hanging="360"/>
      </w:pPr>
    </w:lvl>
    <w:lvl w:ilvl="2" w:tplc="65001826">
      <w:start w:val="1"/>
      <w:numFmt w:val="lowerRoman"/>
      <w:lvlText w:val="%3."/>
      <w:lvlJc w:val="right"/>
      <w:pPr>
        <w:ind w:left="2160" w:hanging="180"/>
      </w:pPr>
    </w:lvl>
    <w:lvl w:ilvl="3" w:tplc="C90EA1F0">
      <w:start w:val="1"/>
      <w:numFmt w:val="decimal"/>
      <w:lvlText w:val="%4."/>
      <w:lvlJc w:val="left"/>
      <w:pPr>
        <w:ind w:left="2880" w:hanging="360"/>
      </w:pPr>
    </w:lvl>
    <w:lvl w:ilvl="4" w:tplc="0DC0BFF8">
      <w:start w:val="1"/>
      <w:numFmt w:val="lowerLetter"/>
      <w:lvlText w:val="%5."/>
      <w:lvlJc w:val="left"/>
      <w:pPr>
        <w:ind w:left="3600" w:hanging="360"/>
      </w:pPr>
    </w:lvl>
    <w:lvl w:ilvl="5" w:tplc="46DCF6E6">
      <w:start w:val="1"/>
      <w:numFmt w:val="lowerRoman"/>
      <w:lvlText w:val="%6."/>
      <w:lvlJc w:val="right"/>
      <w:pPr>
        <w:ind w:left="4320" w:hanging="180"/>
      </w:pPr>
    </w:lvl>
    <w:lvl w:ilvl="6" w:tplc="61883696">
      <w:start w:val="1"/>
      <w:numFmt w:val="decimal"/>
      <w:lvlText w:val="%7."/>
      <w:lvlJc w:val="left"/>
      <w:pPr>
        <w:ind w:left="5040" w:hanging="360"/>
      </w:pPr>
    </w:lvl>
    <w:lvl w:ilvl="7" w:tplc="8960B5D6">
      <w:start w:val="1"/>
      <w:numFmt w:val="lowerLetter"/>
      <w:lvlText w:val="%8."/>
      <w:lvlJc w:val="left"/>
      <w:pPr>
        <w:ind w:left="5760" w:hanging="360"/>
      </w:pPr>
    </w:lvl>
    <w:lvl w:ilvl="8" w:tplc="4BCAD288">
      <w:start w:val="1"/>
      <w:numFmt w:val="lowerRoman"/>
      <w:lvlText w:val="%9."/>
      <w:lvlJc w:val="right"/>
      <w:pPr>
        <w:ind w:left="6480" w:hanging="180"/>
      </w:pPr>
    </w:lvl>
  </w:abstractNum>
  <w:abstractNum w:abstractNumId="69" w15:restartNumberingAfterBreak="0">
    <w:nsid w:val="4B4554C4"/>
    <w:multiLevelType w:val="multilevel"/>
    <w:tmpl w:val="789EC9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4C9B9917"/>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505100B7"/>
    <w:multiLevelType w:val="hybridMultilevel"/>
    <w:tmpl w:val="2AB47EFA"/>
    <w:lvl w:ilvl="0" w:tplc="0809000B">
      <w:start w:val="1"/>
      <w:numFmt w:val="bullet"/>
      <w:lvlText w:val=""/>
      <w:lvlJc w:val="left"/>
      <w:pPr>
        <w:ind w:left="-1422" w:hanging="360"/>
      </w:pPr>
      <w:rPr>
        <w:rFonts w:ascii="Wingdings" w:hAnsi="Wingdings"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abstractNum w:abstractNumId="72" w15:restartNumberingAfterBreak="0">
    <w:nsid w:val="51512B8C"/>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15F00B2"/>
    <w:multiLevelType w:val="multilevel"/>
    <w:tmpl w:val="AC36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0B95D3"/>
    <w:multiLevelType w:val="hybridMultilevel"/>
    <w:tmpl w:val="FFFFFFFF"/>
    <w:lvl w:ilvl="0" w:tplc="1152BBDE">
      <w:numFmt w:val="none"/>
      <w:lvlText w:val=""/>
      <w:lvlJc w:val="left"/>
      <w:pPr>
        <w:tabs>
          <w:tab w:val="num" w:pos="360"/>
        </w:tabs>
      </w:pPr>
    </w:lvl>
    <w:lvl w:ilvl="1" w:tplc="A87C0A46">
      <w:start w:val="1"/>
      <w:numFmt w:val="lowerLetter"/>
      <w:lvlText w:val="%2."/>
      <w:lvlJc w:val="left"/>
      <w:pPr>
        <w:ind w:left="1440" w:hanging="360"/>
      </w:pPr>
    </w:lvl>
    <w:lvl w:ilvl="2" w:tplc="7C4CFB74">
      <w:start w:val="1"/>
      <w:numFmt w:val="lowerRoman"/>
      <w:lvlText w:val="%3."/>
      <w:lvlJc w:val="right"/>
      <w:pPr>
        <w:ind w:left="2160" w:hanging="180"/>
      </w:pPr>
    </w:lvl>
    <w:lvl w:ilvl="3" w:tplc="5A8C42E4">
      <w:start w:val="1"/>
      <w:numFmt w:val="decimal"/>
      <w:lvlText w:val="%4."/>
      <w:lvlJc w:val="left"/>
      <w:pPr>
        <w:ind w:left="2880" w:hanging="360"/>
      </w:pPr>
    </w:lvl>
    <w:lvl w:ilvl="4" w:tplc="B6127EC8">
      <w:start w:val="1"/>
      <w:numFmt w:val="lowerLetter"/>
      <w:lvlText w:val="%5."/>
      <w:lvlJc w:val="left"/>
      <w:pPr>
        <w:ind w:left="3600" w:hanging="360"/>
      </w:pPr>
    </w:lvl>
    <w:lvl w:ilvl="5" w:tplc="20C8F660">
      <w:start w:val="1"/>
      <w:numFmt w:val="lowerRoman"/>
      <w:lvlText w:val="%6."/>
      <w:lvlJc w:val="right"/>
      <w:pPr>
        <w:ind w:left="4320" w:hanging="180"/>
      </w:pPr>
    </w:lvl>
    <w:lvl w:ilvl="6" w:tplc="72B64A7E">
      <w:start w:val="1"/>
      <w:numFmt w:val="decimal"/>
      <w:lvlText w:val="%7."/>
      <w:lvlJc w:val="left"/>
      <w:pPr>
        <w:ind w:left="5040" w:hanging="360"/>
      </w:pPr>
    </w:lvl>
    <w:lvl w:ilvl="7" w:tplc="2D30FE92">
      <w:start w:val="1"/>
      <w:numFmt w:val="lowerLetter"/>
      <w:lvlText w:val="%8."/>
      <w:lvlJc w:val="left"/>
      <w:pPr>
        <w:ind w:left="5760" w:hanging="360"/>
      </w:pPr>
    </w:lvl>
    <w:lvl w:ilvl="8" w:tplc="AA40C6FE">
      <w:start w:val="1"/>
      <w:numFmt w:val="lowerRoman"/>
      <w:lvlText w:val="%9."/>
      <w:lvlJc w:val="right"/>
      <w:pPr>
        <w:ind w:left="6480" w:hanging="180"/>
      </w:pPr>
    </w:lvl>
  </w:abstractNum>
  <w:abstractNum w:abstractNumId="75" w15:restartNumberingAfterBreak="0">
    <w:nsid w:val="533552C3"/>
    <w:multiLevelType w:val="multilevel"/>
    <w:tmpl w:val="8E32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4E05A9C"/>
    <w:multiLevelType w:val="multilevel"/>
    <w:tmpl w:val="F104C51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69F589"/>
    <w:multiLevelType w:val="hybridMultilevel"/>
    <w:tmpl w:val="FFFFFFFF"/>
    <w:lvl w:ilvl="0" w:tplc="56BA6F52">
      <w:numFmt w:val="none"/>
      <w:lvlText w:val=""/>
      <w:lvlJc w:val="left"/>
      <w:pPr>
        <w:tabs>
          <w:tab w:val="num" w:pos="360"/>
        </w:tabs>
      </w:pPr>
    </w:lvl>
    <w:lvl w:ilvl="1" w:tplc="180851BA">
      <w:start w:val="1"/>
      <w:numFmt w:val="lowerLetter"/>
      <w:lvlText w:val="%2."/>
      <w:lvlJc w:val="left"/>
      <w:pPr>
        <w:ind w:left="1440" w:hanging="360"/>
      </w:pPr>
    </w:lvl>
    <w:lvl w:ilvl="2" w:tplc="A5D44396">
      <w:start w:val="1"/>
      <w:numFmt w:val="lowerRoman"/>
      <w:lvlText w:val="%3."/>
      <w:lvlJc w:val="right"/>
      <w:pPr>
        <w:ind w:left="2160" w:hanging="180"/>
      </w:pPr>
    </w:lvl>
    <w:lvl w:ilvl="3" w:tplc="2786C47C">
      <w:start w:val="1"/>
      <w:numFmt w:val="decimal"/>
      <w:lvlText w:val="%4."/>
      <w:lvlJc w:val="left"/>
      <w:pPr>
        <w:ind w:left="2880" w:hanging="360"/>
      </w:pPr>
    </w:lvl>
    <w:lvl w:ilvl="4" w:tplc="5B2ADC62">
      <w:start w:val="1"/>
      <w:numFmt w:val="lowerLetter"/>
      <w:lvlText w:val="%5."/>
      <w:lvlJc w:val="left"/>
      <w:pPr>
        <w:ind w:left="3600" w:hanging="360"/>
      </w:pPr>
    </w:lvl>
    <w:lvl w:ilvl="5" w:tplc="3B8E0EEC">
      <w:start w:val="1"/>
      <w:numFmt w:val="lowerRoman"/>
      <w:lvlText w:val="%6."/>
      <w:lvlJc w:val="right"/>
      <w:pPr>
        <w:ind w:left="4320" w:hanging="180"/>
      </w:pPr>
    </w:lvl>
    <w:lvl w:ilvl="6" w:tplc="C3564E86">
      <w:start w:val="1"/>
      <w:numFmt w:val="decimal"/>
      <w:lvlText w:val="%7."/>
      <w:lvlJc w:val="left"/>
      <w:pPr>
        <w:ind w:left="5040" w:hanging="360"/>
      </w:pPr>
    </w:lvl>
    <w:lvl w:ilvl="7" w:tplc="EB3AAB04">
      <w:start w:val="1"/>
      <w:numFmt w:val="lowerLetter"/>
      <w:lvlText w:val="%8."/>
      <w:lvlJc w:val="left"/>
      <w:pPr>
        <w:ind w:left="5760" w:hanging="360"/>
      </w:pPr>
    </w:lvl>
    <w:lvl w:ilvl="8" w:tplc="4B60F4EE">
      <w:start w:val="1"/>
      <w:numFmt w:val="lowerRoman"/>
      <w:lvlText w:val="%9."/>
      <w:lvlJc w:val="right"/>
      <w:pPr>
        <w:ind w:left="6480" w:hanging="180"/>
      </w:pPr>
    </w:lvl>
  </w:abstractNum>
  <w:abstractNum w:abstractNumId="78" w15:restartNumberingAfterBreak="0">
    <w:nsid w:val="57192437"/>
    <w:multiLevelType w:val="hybridMultilevel"/>
    <w:tmpl w:val="2EAABF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8E45AA6"/>
    <w:multiLevelType w:val="hybridMultilevel"/>
    <w:tmpl w:val="C194C9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94FD28B"/>
    <w:multiLevelType w:val="multilevel"/>
    <w:tmpl w:val="FFFFFFFF"/>
    <w:lvl w:ilvl="0">
      <w:start w:val="5"/>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9C51F34"/>
    <w:multiLevelType w:val="multilevel"/>
    <w:tmpl w:val="89F0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150DF2"/>
    <w:multiLevelType w:val="multilevel"/>
    <w:tmpl w:val="74044A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5A814AA4"/>
    <w:multiLevelType w:val="multilevel"/>
    <w:tmpl w:val="7380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B8518D0"/>
    <w:multiLevelType w:val="multilevel"/>
    <w:tmpl w:val="FFFFFFFF"/>
    <w:lvl w:ilvl="0">
      <w:start w:val="2"/>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D704A03"/>
    <w:multiLevelType w:val="multilevel"/>
    <w:tmpl w:val="317859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6" w15:restartNumberingAfterBreak="0">
    <w:nsid w:val="5F757A71"/>
    <w:multiLevelType w:val="hybridMultilevel"/>
    <w:tmpl w:val="FFFFFFFF"/>
    <w:lvl w:ilvl="0" w:tplc="7B165CAA">
      <w:numFmt w:val="none"/>
      <w:lvlText w:val=""/>
      <w:lvlJc w:val="left"/>
      <w:pPr>
        <w:tabs>
          <w:tab w:val="num" w:pos="360"/>
        </w:tabs>
      </w:pPr>
    </w:lvl>
    <w:lvl w:ilvl="1" w:tplc="677A2F4C">
      <w:start w:val="1"/>
      <w:numFmt w:val="lowerLetter"/>
      <w:lvlText w:val="%2."/>
      <w:lvlJc w:val="left"/>
      <w:pPr>
        <w:ind w:left="1440" w:hanging="360"/>
      </w:pPr>
    </w:lvl>
    <w:lvl w:ilvl="2" w:tplc="03927974">
      <w:start w:val="1"/>
      <w:numFmt w:val="lowerRoman"/>
      <w:lvlText w:val="%3."/>
      <w:lvlJc w:val="right"/>
      <w:pPr>
        <w:ind w:left="2160" w:hanging="180"/>
      </w:pPr>
    </w:lvl>
    <w:lvl w:ilvl="3" w:tplc="DDFE0850">
      <w:start w:val="1"/>
      <w:numFmt w:val="decimal"/>
      <w:lvlText w:val="%4."/>
      <w:lvlJc w:val="left"/>
      <w:pPr>
        <w:ind w:left="2880" w:hanging="360"/>
      </w:pPr>
    </w:lvl>
    <w:lvl w:ilvl="4" w:tplc="48C65158">
      <w:start w:val="1"/>
      <w:numFmt w:val="lowerLetter"/>
      <w:lvlText w:val="%5."/>
      <w:lvlJc w:val="left"/>
      <w:pPr>
        <w:ind w:left="3600" w:hanging="360"/>
      </w:pPr>
    </w:lvl>
    <w:lvl w:ilvl="5" w:tplc="17F47286">
      <w:start w:val="1"/>
      <w:numFmt w:val="lowerRoman"/>
      <w:lvlText w:val="%6."/>
      <w:lvlJc w:val="right"/>
      <w:pPr>
        <w:ind w:left="4320" w:hanging="180"/>
      </w:pPr>
    </w:lvl>
    <w:lvl w:ilvl="6" w:tplc="EA16E3C2">
      <w:start w:val="1"/>
      <w:numFmt w:val="decimal"/>
      <w:lvlText w:val="%7."/>
      <w:lvlJc w:val="left"/>
      <w:pPr>
        <w:ind w:left="5040" w:hanging="360"/>
      </w:pPr>
    </w:lvl>
    <w:lvl w:ilvl="7" w:tplc="456CCFA6">
      <w:start w:val="1"/>
      <w:numFmt w:val="lowerLetter"/>
      <w:lvlText w:val="%8."/>
      <w:lvlJc w:val="left"/>
      <w:pPr>
        <w:ind w:left="5760" w:hanging="360"/>
      </w:pPr>
    </w:lvl>
    <w:lvl w:ilvl="8" w:tplc="B1241DF2">
      <w:start w:val="1"/>
      <w:numFmt w:val="lowerRoman"/>
      <w:lvlText w:val="%9."/>
      <w:lvlJc w:val="right"/>
      <w:pPr>
        <w:ind w:left="6480" w:hanging="180"/>
      </w:pPr>
    </w:lvl>
  </w:abstractNum>
  <w:abstractNum w:abstractNumId="87" w15:restartNumberingAfterBreak="0">
    <w:nsid w:val="60487083"/>
    <w:multiLevelType w:val="multilevel"/>
    <w:tmpl w:val="229042B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8" w15:restartNumberingAfterBreak="0">
    <w:nsid w:val="631C62F1"/>
    <w:multiLevelType w:val="multilevel"/>
    <w:tmpl w:val="1414BD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643C22E2"/>
    <w:multiLevelType w:val="multilevel"/>
    <w:tmpl w:val="A4D283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rPr>
    </w:lvl>
    <w:lvl w:ilvl="2">
      <w:start w:val="1"/>
      <w:numFmt w:val="bullet"/>
      <w:lvlText w:val="-"/>
      <w:lvlJc w:val="left"/>
      <w:pPr>
        <w:ind w:left="2160" w:hanging="360"/>
      </w:pPr>
      <w:rPr>
        <w:rFonts w:ascii="Aptos" w:hAnsi="Apto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4CF2D36"/>
    <w:multiLevelType w:val="multilevel"/>
    <w:tmpl w:val="4F807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65571899"/>
    <w:multiLevelType w:val="multilevel"/>
    <w:tmpl w:val="BD2A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5461E1"/>
    <w:multiLevelType w:val="multilevel"/>
    <w:tmpl w:val="6714EC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66593317"/>
    <w:multiLevelType w:val="multilevel"/>
    <w:tmpl w:val="81B6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75D26D2"/>
    <w:multiLevelType w:val="multilevel"/>
    <w:tmpl w:val="F984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7A93265"/>
    <w:multiLevelType w:val="hybridMultilevel"/>
    <w:tmpl w:val="FFFFFFFF"/>
    <w:lvl w:ilvl="0" w:tplc="00B22616">
      <w:numFmt w:val="none"/>
      <w:lvlText w:val=""/>
      <w:lvlJc w:val="left"/>
      <w:pPr>
        <w:tabs>
          <w:tab w:val="num" w:pos="360"/>
        </w:tabs>
      </w:pPr>
    </w:lvl>
    <w:lvl w:ilvl="1" w:tplc="A3EE56DE">
      <w:start w:val="1"/>
      <w:numFmt w:val="lowerLetter"/>
      <w:lvlText w:val="%2."/>
      <w:lvlJc w:val="left"/>
      <w:pPr>
        <w:ind w:left="1440" w:hanging="360"/>
      </w:pPr>
    </w:lvl>
    <w:lvl w:ilvl="2" w:tplc="15E43FFA">
      <w:start w:val="1"/>
      <w:numFmt w:val="lowerRoman"/>
      <w:lvlText w:val="%3."/>
      <w:lvlJc w:val="right"/>
      <w:pPr>
        <w:ind w:left="2160" w:hanging="180"/>
      </w:pPr>
    </w:lvl>
    <w:lvl w:ilvl="3" w:tplc="E834C758">
      <w:start w:val="1"/>
      <w:numFmt w:val="decimal"/>
      <w:lvlText w:val="%4."/>
      <w:lvlJc w:val="left"/>
      <w:pPr>
        <w:ind w:left="2880" w:hanging="360"/>
      </w:pPr>
    </w:lvl>
    <w:lvl w:ilvl="4" w:tplc="FF924FC0">
      <w:start w:val="1"/>
      <w:numFmt w:val="lowerLetter"/>
      <w:lvlText w:val="%5."/>
      <w:lvlJc w:val="left"/>
      <w:pPr>
        <w:ind w:left="3600" w:hanging="360"/>
      </w:pPr>
    </w:lvl>
    <w:lvl w:ilvl="5" w:tplc="F77269DE">
      <w:start w:val="1"/>
      <w:numFmt w:val="lowerRoman"/>
      <w:lvlText w:val="%6."/>
      <w:lvlJc w:val="right"/>
      <w:pPr>
        <w:ind w:left="4320" w:hanging="180"/>
      </w:pPr>
    </w:lvl>
    <w:lvl w:ilvl="6" w:tplc="C0B0A3E6">
      <w:start w:val="1"/>
      <w:numFmt w:val="decimal"/>
      <w:lvlText w:val="%7."/>
      <w:lvlJc w:val="left"/>
      <w:pPr>
        <w:ind w:left="5040" w:hanging="360"/>
      </w:pPr>
    </w:lvl>
    <w:lvl w:ilvl="7" w:tplc="5CB86FD6">
      <w:start w:val="1"/>
      <w:numFmt w:val="lowerLetter"/>
      <w:lvlText w:val="%8."/>
      <w:lvlJc w:val="left"/>
      <w:pPr>
        <w:ind w:left="5760" w:hanging="360"/>
      </w:pPr>
    </w:lvl>
    <w:lvl w:ilvl="8" w:tplc="BCC0A1CA">
      <w:start w:val="1"/>
      <w:numFmt w:val="lowerRoman"/>
      <w:lvlText w:val="%9."/>
      <w:lvlJc w:val="right"/>
      <w:pPr>
        <w:ind w:left="6480" w:hanging="180"/>
      </w:pPr>
    </w:lvl>
  </w:abstractNum>
  <w:abstractNum w:abstractNumId="96" w15:restartNumberingAfterBreak="0">
    <w:nsid w:val="68AD7AFC"/>
    <w:multiLevelType w:val="hybridMultilevel"/>
    <w:tmpl w:val="456CD798"/>
    <w:lvl w:ilvl="0" w:tplc="A13603B2">
      <w:start w:val="1"/>
      <w:numFmt w:val="upp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95C6C9C"/>
    <w:multiLevelType w:val="hybridMultilevel"/>
    <w:tmpl w:val="FFFFFFFF"/>
    <w:lvl w:ilvl="0" w:tplc="F7B8E2C2">
      <w:numFmt w:val="none"/>
      <w:lvlText w:val=""/>
      <w:lvlJc w:val="left"/>
      <w:pPr>
        <w:tabs>
          <w:tab w:val="num" w:pos="360"/>
        </w:tabs>
      </w:pPr>
    </w:lvl>
    <w:lvl w:ilvl="1" w:tplc="CCE62CCA">
      <w:start w:val="1"/>
      <w:numFmt w:val="lowerLetter"/>
      <w:lvlText w:val="%2."/>
      <w:lvlJc w:val="left"/>
      <w:pPr>
        <w:ind w:left="1440" w:hanging="360"/>
      </w:pPr>
    </w:lvl>
    <w:lvl w:ilvl="2" w:tplc="A2A89C08">
      <w:start w:val="1"/>
      <w:numFmt w:val="lowerRoman"/>
      <w:lvlText w:val="%3."/>
      <w:lvlJc w:val="right"/>
      <w:pPr>
        <w:ind w:left="2160" w:hanging="180"/>
      </w:pPr>
    </w:lvl>
    <w:lvl w:ilvl="3" w:tplc="61F2EE02">
      <w:start w:val="1"/>
      <w:numFmt w:val="decimal"/>
      <w:lvlText w:val="%4."/>
      <w:lvlJc w:val="left"/>
      <w:pPr>
        <w:ind w:left="2880" w:hanging="360"/>
      </w:pPr>
    </w:lvl>
    <w:lvl w:ilvl="4" w:tplc="8A7E9DFC">
      <w:start w:val="1"/>
      <w:numFmt w:val="lowerLetter"/>
      <w:lvlText w:val="%5."/>
      <w:lvlJc w:val="left"/>
      <w:pPr>
        <w:ind w:left="3600" w:hanging="360"/>
      </w:pPr>
    </w:lvl>
    <w:lvl w:ilvl="5" w:tplc="53706A2C">
      <w:start w:val="1"/>
      <w:numFmt w:val="lowerRoman"/>
      <w:lvlText w:val="%6."/>
      <w:lvlJc w:val="right"/>
      <w:pPr>
        <w:ind w:left="4320" w:hanging="180"/>
      </w:pPr>
    </w:lvl>
    <w:lvl w:ilvl="6" w:tplc="AAC23F36">
      <w:start w:val="1"/>
      <w:numFmt w:val="decimal"/>
      <w:lvlText w:val="%7."/>
      <w:lvlJc w:val="left"/>
      <w:pPr>
        <w:ind w:left="5040" w:hanging="360"/>
      </w:pPr>
    </w:lvl>
    <w:lvl w:ilvl="7" w:tplc="75EE89DE">
      <w:start w:val="1"/>
      <w:numFmt w:val="lowerLetter"/>
      <w:lvlText w:val="%8."/>
      <w:lvlJc w:val="left"/>
      <w:pPr>
        <w:ind w:left="5760" w:hanging="360"/>
      </w:pPr>
    </w:lvl>
    <w:lvl w:ilvl="8" w:tplc="9EC4603A">
      <w:start w:val="1"/>
      <w:numFmt w:val="lowerRoman"/>
      <w:lvlText w:val="%9."/>
      <w:lvlJc w:val="right"/>
      <w:pPr>
        <w:ind w:left="6480" w:hanging="180"/>
      </w:pPr>
    </w:lvl>
  </w:abstractNum>
  <w:abstractNum w:abstractNumId="98" w15:restartNumberingAfterBreak="0">
    <w:nsid w:val="699B337F"/>
    <w:multiLevelType w:val="multilevel"/>
    <w:tmpl w:val="3BCC5CE8"/>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A0A42B0"/>
    <w:multiLevelType w:val="multilevel"/>
    <w:tmpl w:val="473C2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AD379D6"/>
    <w:multiLevelType w:val="hybridMultilevel"/>
    <w:tmpl w:val="F1C6F45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6B9C0A05"/>
    <w:multiLevelType w:val="multilevel"/>
    <w:tmpl w:val="092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BE62FA4"/>
    <w:multiLevelType w:val="multilevel"/>
    <w:tmpl w:val="FFFFFFFF"/>
    <w:lvl w:ilvl="0">
      <w:start w:val="1"/>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E3784E7"/>
    <w:multiLevelType w:val="multilevel"/>
    <w:tmpl w:val="FFFFFFFF"/>
    <w:lvl w:ilvl="0">
      <w:start w:val="3"/>
      <w:numFmt w:val="decimal"/>
      <w:lvlText w:val="%1."/>
      <w:lvlJc w:val="left"/>
      <w:pPr>
        <w:ind w:left="720" w:hanging="360"/>
      </w:pPr>
      <w:rPr>
        <w:rFonts w:ascii="Aptos" w:hAnsi="Apto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11F0ED3"/>
    <w:multiLevelType w:val="multilevel"/>
    <w:tmpl w:val="C6FE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3A606D3"/>
    <w:multiLevelType w:val="hybridMultilevel"/>
    <w:tmpl w:val="E7EA9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5484461"/>
    <w:multiLevelType w:val="hybridMultilevel"/>
    <w:tmpl w:val="FFFFFFFF"/>
    <w:lvl w:ilvl="0" w:tplc="B3E87366">
      <w:numFmt w:val="none"/>
      <w:lvlText w:val=""/>
      <w:lvlJc w:val="left"/>
      <w:pPr>
        <w:tabs>
          <w:tab w:val="num" w:pos="360"/>
        </w:tabs>
      </w:pPr>
    </w:lvl>
    <w:lvl w:ilvl="1" w:tplc="B0149C9C">
      <w:start w:val="1"/>
      <w:numFmt w:val="lowerLetter"/>
      <w:lvlText w:val="%2."/>
      <w:lvlJc w:val="left"/>
      <w:pPr>
        <w:ind w:left="1440" w:hanging="360"/>
      </w:pPr>
    </w:lvl>
    <w:lvl w:ilvl="2" w:tplc="90522FEC">
      <w:start w:val="1"/>
      <w:numFmt w:val="lowerRoman"/>
      <w:lvlText w:val="%3."/>
      <w:lvlJc w:val="right"/>
      <w:pPr>
        <w:ind w:left="2160" w:hanging="180"/>
      </w:pPr>
    </w:lvl>
    <w:lvl w:ilvl="3" w:tplc="FB1053BE">
      <w:start w:val="1"/>
      <w:numFmt w:val="decimal"/>
      <w:lvlText w:val="%4."/>
      <w:lvlJc w:val="left"/>
      <w:pPr>
        <w:ind w:left="2880" w:hanging="360"/>
      </w:pPr>
    </w:lvl>
    <w:lvl w:ilvl="4" w:tplc="3284379C">
      <w:start w:val="1"/>
      <w:numFmt w:val="lowerLetter"/>
      <w:lvlText w:val="%5."/>
      <w:lvlJc w:val="left"/>
      <w:pPr>
        <w:ind w:left="3600" w:hanging="360"/>
      </w:pPr>
    </w:lvl>
    <w:lvl w:ilvl="5" w:tplc="D638CADA">
      <w:start w:val="1"/>
      <w:numFmt w:val="lowerRoman"/>
      <w:lvlText w:val="%6."/>
      <w:lvlJc w:val="right"/>
      <w:pPr>
        <w:ind w:left="4320" w:hanging="180"/>
      </w:pPr>
    </w:lvl>
    <w:lvl w:ilvl="6" w:tplc="BD98F3F0">
      <w:start w:val="1"/>
      <w:numFmt w:val="decimal"/>
      <w:lvlText w:val="%7."/>
      <w:lvlJc w:val="left"/>
      <w:pPr>
        <w:ind w:left="5040" w:hanging="360"/>
      </w:pPr>
    </w:lvl>
    <w:lvl w:ilvl="7" w:tplc="F1CCAD82">
      <w:start w:val="1"/>
      <w:numFmt w:val="lowerLetter"/>
      <w:lvlText w:val="%8."/>
      <w:lvlJc w:val="left"/>
      <w:pPr>
        <w:ind w:left="5760" w:hanging="360"/>
      </w:pPr>
    </w:lvl>
    <w:lvl w:ilvl="8" w:tplc="C4CAF09A">
      <w:start w:val="1"/>
      <w:numFmt w:val="lowerRoman"/>
      <w:lvlText w:val="%9."/>
      <w:lvlJc w:val="right"/>
      <w:pPr>
        <w:ind w:left="6480" w:hanging="180"/>
      </w:pPr>
    </w:lvl>
  </w:abstractNum>
  <w:abstractNum w:abstractNumId="107" w15:restartNumberingAfterBreak="0">
    <w:nsid w:val="76515448"/>
    <w:multiLevelType w:val="hybridMultilevel"/>
    <w:tmpl w:val="1ED060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75AC08A"/>
    <w:multiLevelType w:val="hybridMultilevel"/>
    <w:tmpl w:val="FFFFFFFF"/>
    <w:lvl w:ilvl="0" w:tplc="BC64C854">
      <w:numFmt w:val="none"/>
      <w:lvlText w:val=""/>
      <w:lvlJc w:val="left"/>
      <w:pPr>
        <w:tabs>
          <w:tab w:val="num" w:pos="360"/>
        </w:tabs>
      </w:pPr>
    </w:lvl>
    <w:lvl w:ilvl="1" w:tplc="B10A5DF0">
      <w:start w:val="1"/>
      <w:numFmt w:val="lowerLetter"/>
      <w:lvlText w:val="%2."/>
      <w:lvlJc w:val="left"/>
      <w:pPr>
        <w:ind w:left="1440" w:hanging="360"/>
      </w:pPr>
    </w:lvl>
    <w:lvl w:ilvl="2" w:tplc="40321EEA">
      <w:start w:val="1"/>
      <w:numFmt w:val="lowerRoman"/>
      <w:lvlText w:val="%3."/>
      <w:lvlJc w:val="right"/>
      <w:pPr>
        <w:ind w:left="2160" w:hanging="180"/>
      </w:pPr>
    </w:lvl>
    <w:lvl w:ilvl="3" w:tplc="65B41A82">
      <w:start w:val="1"/>
      <w:numFmt w:val="decimal"/>
      <w:lvlText w:val="%4."/>
      <w:lvlJc w:val="left"/>
      <w:pPr>
        <w:ind w:left="2880" w:hanging="360"/>
      </w:pPr>
    </w:lvl>
    <w:lvl w:ilvl="4" w:tplc="6C06AD88">
      <w:start w:val="1"/>
      <w:numFmt w:val="lowerLetter"/>
      <w:lvlText w:val="%5."/>
      <w:lvlJc w:val="left"/>
      <w:pPr>
        <w:ind w:left="3600" w:hanging="360"/>
      </w:pPr>
    </w:lvl>
    <w:lvl w:ilvl="5" w:tplc="AE8A7C8A">
      <w:start w:val="1"/>
      <w:numFmt w:val="lowerRoman"/>
      <w:lvlText w:val="%6."/>
      <w:lvlJc w:val="right"/>
      <w:pPr>
        <w:ind w:left="4320" w:hanging="180"/>
      </w:pPr>
    </w:lvl>
    <w:lvl w:ilvl="6" w:tplc="5004368E">
      <w:start w:val="1"/>
      <w:numFmt w:val="decimal"/>
      <w:lvlText w:val="%7."/>
      <w:lvlJc w:val="left"/>
      <w:pPr>
        <w:ind w:left="5040" w:hanging="360"/>
      </w:pPr>
    </w:lvl>
    <w:lvl w:ilvl="7" w:tplc="64CEAEAE">
      <w:start w:val="1"/>
      <w:numFmt w:val="lowerLetter"/>
      <w:lvlText w:val="%8."/>
      <w:lvlJc w:val="left"/>
      <w:pPr>
        <w:ind w:left="5760" w:hanging="360"/>
      </w:pPr>
    </w:lvl>
    <w:lvl w:ilvl="8" w:tplc="DBA83B08">
      <w:start w:val="1"/>
      <w:numFmt w:val="lowerRoman"/>
      <w:lvlText w:val="%9."/>
      <w:lvlJc w:val="right"/>
      <w:pPr>
        <w:ind w:left="6480" w:hanging="180"/>
      </w:pPr>
    </w:lvl>
  </w:abstractNum>
  <w:abstractNum w:abstractNumId="109" w15:restartNumberingAfterBreak="0">
    <w:nsid w:val="77791FFA"/>
    <w:multiLevelType w:val="multilevel"/>
    <w:tmpl w:val="08BA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80B1205"/>
    <w:multiLevelType w:val="multilevel"/>
    <w:tmpl w:val="F6E0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A2D510B"/>
    <w:multiLevelType w:val="multilevel"/>
    <w:tmpl w:val="AA0E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AA15268"/>
    <w:multiLevelType w:val="hybridMultilevel"/>
    <w:tmpl w:val="5A3C105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3" w15:restartNumberingAfterBreak="0">
    <w:nsid w:val="7BF23371"/>
    <w:multiLevelType w:val="multilevel"/>
    <w:tmpl w:val="65A84F4E"/>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4" w15:restartNumberingAfterBreak="0">
    <w:nsid w:val="7D823291"/>
    <w:multiLevelType w:val="multilevel"/>
    <w:tmpl w:val="2B3E4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D8B0FBB"/>
    <w:multiLevelType w:val="multilevel"/>
    <w:tmpl w:val="3BA6B8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7EDC09CE"/>
    <w:multiLevelType w:val="multilevel"/>
    <w:tmpl w:val="A702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3"/>
  </w:num>
  <w:num w:numId="2">
    <w:abstractNumId w:val="99"/>
  </w:num>
  <w:num w:numId="3">
    <w:abstractNumId w:val="26"/>
  </w:num>
  <w:num w:numId="4">
    <w:abstractNumId w:val="61"/>
  </w:num>
  <w:num w:numId="5">
    <w:abstractNumId w:val="93"/>
  </w:num>
  <w:num w:numId="6">
    <w:abstractNumId w:val="111"/>
  </w:num>
  <w:num w:numId="7">
    <w:abstractNumId w:val="101"/>
  </w:num>
  <w:num w:numId="8">
    <w:abstractNumId w:val="33"/>
  </w:num>
  <w:num w:numId="9">
    <w:abstractNumId w:val="81"/>
  </w:num>
  <w:num w:numId="10">
    <w:abstractNumId w:val="6"/>
  </w:num>
  <w:num w:numId="11">
    <w:abstractNumId w:val="45"/>
  </w:num>
  <w:num w:numId="12">
    <w:abstractNumId w:val="89"/>
  </w:num>
  <w:num w:numId="13">
    <w:abstractNumId w:val="22"/>
  </w:num>
  <w:num w:numId="14">
    <w:abstractNumId w:val="76"/>
  </w:num>
  <w:num w:numId="15">
    <w:abstractNumId w:val="60"/>
  </w:num>
  <w:num w:numId="16">
    <w:abstractNumId w:val="98"/>
  </w:num>
  <w:num w:numId="17">
    <w:abstractNumId w:val="87"/>
  </w:num>
  <w:num w:numId="18">
    <w:abstractNumId w:val="8"/>
  </w:num>
  <w:num w:numId="19">
    <w:abstractNumId w:val="28"/>
  </w:num>
  <w:num w:numId="20">
    <w:abstractNumId w:val="103"/>
  </w:num>
  <w:num w:numId="21">
    <w:abstractNumId w:val="27"/>
  </w:num>
  <w:num w:numId="22">
    <w:abstractNumId w:val="102"/>
  </w:num>
  <w:num w:numId="23">
    <w:abstractNumId w:val="24"/>
  </w:num>
  <w:num w:numId="24">
    <w:abstractNumId w:val="14"/>
  </w:num>
  <w:num w:numId="25">
    <w:abstractNumId w:val="80"/>
  </w:num>
  <w:num w:numId="26">
    <w:abstractNumId w:val="17"/>
  </w:num>
  <w:num w:numId="27">
    <w:abstractNumId w:val="84"/>
  </w:num>
  <w:num w:numId="28">
    <w:abstractNumId w:val="51"/>
  </w:num>
  <w:num w:numId="29">
    <w:abstractNumId w:val="72"/>
  </w:num>
  <w:num w:numId="30">
    <w:abstractNumId w:val="59"/>
  </w:num>
  <w:num w:numId="31">
    <w:abstractNumId w:val="1"/>
  </w:num>
  <w:num w:numId="32">
    <w:abstractNumId w:val="37"/>
  </w:num>
  <w:num w:numId="33">
    <w:abstractNumId w:val="70"/>
  </w:num>
  <w:num w:numId="34">
    <w:abstractNumId w:val="47"/>
  </w:num>
  <w:num w:numId="35">
    <w:abstractNumId w:val="96"/>
  </w:num>
  <w:num w:numId="36">
    <w:abstractNumId w:val="104"/>
  </w:num>
  <w:num w:numId="37">
    <w:abstractNumId w:val="36"/>
  </w:num>
  <w:num w:numId="38">
    <w:abstractNumId w:val="21"/>
  </w:num>
  <w:num w:numId="39">
    <w:abstractNumId w:val="66"/>
  </w:num>
  <w:num w:numId="40">
    <w:abstractNumId w:val="38"/>
  </w:num>
  <w:num w:numId="41">
    <w:abstractNumId w:val="2"/>
  </w:num>
  <w:num w:numId="42">
    <w:abstractNumId w:val="30"/>
  </w:num>
  <w:num w:numId="43">
    <w:abstractNumId w:val="31"/>
  </w:num>
  <w:num w:numId="44">
    <w:abstractNumId w:val="74"/>
  </w:num>
  <w:num w:numId="45">
    <w:abstractNumId w:val="106"/>
  </w:num>
  <w:num w:numId="46">
    <w:abstractNumId w:val="65"/>
  </w:num>
  <w:num w:numId="47">
    <w:abstractNumId w:val="97"/>
  </w:num>
  <w:num w:numId="48">
    <w:abstractNumId w:val="86"/>
  </w:num>
  <w:num w:numId="49">
    <w:abstractNumId w:val="68"/>
  </w:num>
  <w:num w:numId="50">
    <w:abstractNumId w:val="95"/>
  </w:num>
  <w:num w:numId="51">
    <w:abstractNumId w:val="108"/>
  </w:num>
  <w:num w:numId="52">
    <w:abstractNumId w:val="16"/>
  </w:num>
  <w:num w:numId="53">
    <w:abstractNumId w:val="13"/>
  </w:num>
  <w:num w:numId="54">
    <w:abstractNumId w:val="44"/>
  </w:num>
  <w:num w:numId="55">
    <w:abstractNumId w:val="53"/>
  </w:num>
  <w:num w:numId="56">
    <w:abstractNumId w:val="23"/>
  </w:num>
  <w:num w:numId="57">
    <w:abstractNumId w:val="77"/>
  </w:num>
  <w:num w:numId="58">
    <w:abstractNumId w:val="42"/>
  </w:num>
  <w:num w:numId="59">
    <w:abstractNumId w:val="5"/>
  </w:num>
  <w:num w:numId="60">
    <w:abstractNumId w:val="113"/>
  </w:num>
  <w:num w:numId="61">
    <w:abstractNumId w:val="64"/>
  </w:num>
  <w:num w:numId="62">
    <w:abstractNumId w:val="0"/>
  </w:num>
  <w:num w:numId="63">
    <w:abstractNumId w:val="67"/>
  </w:num>
  <w:num w:numId="64">
    <w:abstractNumId w:val="73"/>
  </w:num>
  <w:num w:numId="65">
    <w:abstractNumId w:val="18"/>
  </w:num>
  <w:num w:numId="66">
    <w:abstractNumId w:val="91"/>
  </w:num>
  <w:num w:numId="67">
    <w:abstractNumId w:val="110"/>
  </w:num>
  <w:num w:numId="68">
    <w:abstractNumId w:val="94"/>
  </w:num>
  <w:num w:numId="69">
    <w:abstractNumId w:val="32"/>
  </w:num>
  <w:num w:numId="70">
    <w:abstractNumId w:val="4"/>
  </w:num>
  <w:num w:numId="71">
    <w:abstractNumId w:val="29"/>
  </w:num>
  <w:num w:numId="72">
    <w:abstractNumId w:val="109"/>
  </w:num>
  <w:num w:numId="73">
    <w:abstractNumId w:val="48"/>
  </w:num>
  <w:num w:numId="74">
    <w:abstractNumId w:val="115"/>
  </w:num>
  <w:num w:numId="75">
    <w:abstractNumId w:val="25"/>
  </w:num>
  <w:num w:numId="76">
    <w:abstractNumId w:val="40"/>
  </w:num>
  <w:num w:numId="77">
    <w:abstractNumId w:val="9"/>
  </w:num>
  <w:num w:numId="78">
    <w:abstractNumId w:val="15"/>
  </w:num>
  <w:num w:numId="79">
    <w:abstractNumId w:val="83"/>
  </w:num>
  <w:num w:numId="80">
    <w:abstractNumId w:val="41"/>
  </w:num>
  <w:num w:numId="81">
    <w:abstractNumId w:val="49"/>
  </w:num>
  <w:num w:numId="82">
    <w:abstractNumId w:val="88"/>
  </w:num>
  <w:num w:numId="83">
    <w:abstractNumId w:val="85"/>
  </w:num>
  <w:num w:numId="84">
    <w:abstractNumId w:val="3"/>
  </w:num>
  <w:num w:numId="85">
    <w:abstractNumId w:val="69"/>
  </w:num>
  <w:num w:numId="86">
    <w:abstractNumId w:val="116"/>
  </w:num>
  <w:num w:numId="87">
    <w:abstractNumId w:val="50"/>
  </w:num>
  <w:num w:numId="88">
    <w:abstractNumId w:val="82"/>
  </w:num>
  <w:num w:numId="89">
    <w:abstractNumId w:val="10"/>
  </w:num>
  <w:num w:numId="90">
    <w:abstractNumId w:val="35"/>
  </w:num>
  <w:num w:numId="91">
    <w:abstractNumId w:val="54"/>
  </w:num>
  <w:num w:numId="92">
    <w:abstractNumId w:val="92"/>
  </w:num>
  <w:num w:numId="93">
    <w:abstractNumId w:val="90"/>
  </w:num>
  <w:num w:numId="94">
    <w:abstractNumId w:val="11"/>
  </w:num>
  <w:num w:numId="95">
    <w:abstractNumId w:val="7"/>
  </w:num>
  <w:num w:numId="96">
    <w:abstractNumId w:val="56"/>
  </w:num>
  <w:num w:numId="97">
    <w:abstractNumId w:val="62"/>
  </w:num>
  <w:num w:numId="98">
    <w:abstractNumId w:val="75"/>
  </w:num>
  <w:num w:numId="99">
    <w:abstractNumId w:val="63"/>
  </w:num>
  <w:num w:numId="100">
    <w:abstractNumId w:val="114"/>
  </w:num>
  <w:num w:numId="101">
    <w:abstractNumId w:val="57"/>
  </w:num>
  <w:num w:numId="102">
    <w:abstractNumId w:val="12"/>
  </w:num>
  <w:num w:numId="103">
    <w:abstractNumId w:val="34"/>
  </w:num>
  <w:num w:numId="104">
    <w:abstractNumId w:val="20"/>
  </w:num>
  <w:num w:numId="105">
    <w:abstractNumId w:val="79"/>
  </w:num>
  <w:num w:numId="106">
    <w:abstractNumId w:val="58"/>
  </w:num>
  <w:num w:numId="107">
    <w:abstractNumId w:val="78"/>
  </w:num>
  <w:num w:numId="108">
    <w:abstractNumId w:val="112"/>
  </w:num>
  <w:num w:numId="109">
    <w:abstractNumId w:val="71"/>
  </w:num>
  <w:num w:numId="110">
    <w:abstractNumId w:val="46"/>
  </w:num>
  <w:num w:numId="111">
    <w:abstractNumId w:val="52"/>
  </w:num>
  <w:num w:numId="112">
    <w:abstractNumId w:val="55"/>
  </w:num>
  <w:num w:numId="113">
    <w:abstractNumId w:val="105"/>
  </w:num>
  <w:num w:numId="114">
    <w:abstractNumId w:val="107"/>
  </w:num>
  <w:num w:numId="115">
    <w:abstractNumId w:val="19"/>
  </w:num>
  <w:num w:numId="116">
    <w:abstractNumId w:val="39"/>
  </w:num>
  <w:num w:numId="117">
    <w:abstractNumId w:val="10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EPKit_DocumentHasBeenSaved" w:val="true"/>
    <w:docVar w:name="LW_CORRIGENDUM" w:val="&lt;UNUSED&gt;"/>
    <w:docVar w:name="LW_COVERPAGE_EXISTS" w:val="True"/>
    <w:docVar w:name="LW_COVERPAGE_GUID" w:val="2E0C710F-B6A1-4419-B784-E948AE43B704"/>
    <w:docVar w:name="LW_COVERPAGE_TYPE" w:val="1"/>
    <w:docVar w:name="LW_CROSSREFERENCE" w:val="{SWD(2025) 570 final} - {SWD(2025) 571 final}"/>
    <w:docVar w:name="LW_DocType" w:val="NORMAL"/>
    <w:docVar w:name="LW_EMISSION" w:val="16.7.2025"/>
    <w:docVar w:name="LW_EMISSION_ISODATE" w:val="2025-07-16"/>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budget de l'UE dynamique au service des priorités de l'avenir - Le cadre financier pluriannuel 2028-2034"/>
    <w:docVar w:name="LW_TYPE.DOC.CP" w:val="COMMUNICATION DE LA COMMISSION"/>
    <w:docVar w:name="LW_TYPE.DOC.CP.USERTEXT" w:val="AU PARLEMENT EUROPÉEN, AU CONSEIL EUROPÉEN, AU CONSEIL, AU COMITÉ ÉCONOMIQUE ET SOCIAL EUROPÉEN ET AU COMITÉ DES RÉGIONS"/>
    <w:docVar w:name="LwApiVersions" w:val="LW4CoDe 1.24.5.0; LW 9.0, Build 20240221"/>
  </w:docVars>
  <w:rsids>
    <w:rsidRoot w:val="00660C61"/>
    <w:rsid w:val="00000026"/>
    <w:rsid w:val="00000367"/>
    <w:rsid w:val="0000039A"/>
    <w:rsid w:val="00000465"/>
    <w:rsid w:val="000005E7"/>
    <w:rsid w:val="00000806"/>
    <w:rsid w:val="00000851"/>
    <w:rsid w:val="000008C5"/>
    <w:rsid w:val="0000094D"/>
    <w:rsid w:val="000009FD"/>
    <w:rsid w:val="00000A87"/>
    <w:rsid w:val="00000B26"/>
    <w:rsid w:val="00000BAE"/>
    <w:rsid w:val="00000BB8"/>
    <w:rsid w:val="00000BFF"/>
    <w:rsid w:val="00000D10"/>
    <w:rsid w:val="00000E0E"/>
    <w:rsid w:val="00000E45"/>
    <w:rsid w:val="00000EF6"/>
    <w:rsid w:val="00001053"/>
    <w:rsid w:val="0000107C"/>
    <w:rsid w:val="000010FA"/>
    <w:rsid w:val="00001168"/>
    <w:rsid w:val="000011BC"/>
    <w:rsid w:val="00001259"/>
    <w:rsid w:val="00001497"/>
    <w:rsid w:val="00001539"/>
    <w:rsid w:val="00001613"/>
    <w:rsid w:val="00001660"/>
    <w:rsid w:val="0000166F"/>
    <w:rsid w:val="00001679"/>
    <w:rsid w:val="000016DD"/>
    <w:rsid w:val="0000172E"/>
    <w:rsid w:val="0000175F"/>
    <w:rsid w:val="000017B8"/>
    <w:rsid w:val="00001806"/>
    <w:rsid w:val="000018A3"/>
    <w:rsid w:val="000019D7"/>
    <w:rsid w:val="00001AB1"/>
    <w:rsid w:val="00001AD4"/>
    <w:rsid w:val="00001B48"/>
    <w:rsid w:val="00001C69"/>
    <w:rsid w:val="00001DC3"/>
    <w:rsid w:val="00001E18"/>
    <w:rsid w:val="00001F45"/>
    <w:rsid w:val="00001F75"/>
    <w:rsid w:val="000020DA"/>
    <w:rsid w:val="00002146"/>
    <w:rsid w:val="00002337"/>
    <w:rsid w:val="00002358"/>
    <w:rsid w:val="000023BB"/>
    <w:rsid w:val="000023C9"/>
    <w:rsid w:val="000023FF"/>
    <w:rsid w:val="00002588"/>
    <w:rsid w:val="00002676"/>
    <w:rsid w:val="00002772"/>
    <w:rsid w:val="000027D9"/>
    <w:rsid w:val="0000287B"/>
    <w:rsid w:val="00002C2A"/>
    <w:rsid w:val="00002C2D"/>
    <w:rsid w:val="00002C7F"/>
    <w:rsid w:val="00002CFB"/>
    <w:rsid w:val="00002E38"/>
    <w:rsid w:val="0000309F"/>
    <w:rsid w:val="000031A4"/>
    <w:rsid w:val="0000326F"/>
    <w:rsid w:val="000032AF"/>
    <w:rsid w:val="000033FF"/>
    <w:rsid w:val="0000340A"/>
    <w:rsid w:val="0000348A"/>
    <w:rsid w:val="000034E0"/>
    <w:rsid w:val="00003606"/>
    <w:rsid w:val="00003652"/>
    <w:rsid w:val="0000386C"/>
    <w:rsid w:val="000038CC"/>
    <w:rsid w:val="000038E7"/>
    <w:rsid w:val="00003969"/>
    <w:rsid w:val="00003974"/>
    <w:rsid w:val="00003A24"/>
    <w:rsid w:val="00003B76"/>
    <w:rsid w:val="00003CF4"/>
    <w:rsid w:val="0000400F"/>
    <w:rsid w:val="00004235"/>
    <w:rsid w:val="000043B5"/>
    <w:rsid w:val="000044EB"/>
    <w:rsid w:val="00004523"/>
    <w:rsid w:val="00004551"/>
    <w:rsid w:val="000045D4"/>
    <w:rsid w:val="000045DF"/>
    <w:rsid w:val="0000461A"/>
    <w:rsid w:val="000047D2"/>
    <w:rsid w:val="00004873"/>
    <w:rsid w:val="000048B5"/>
    <w:rsid w:val="000048DE"/>
    <w:rsid w:val="00004A36"/>
    <w:rsid w:val="00004C02"/>
    <w:rsid w:val="00004D3C"/>
    <w:rsid w:val="000050D0"/>
    <w:rsid w:val="00005274"/>
    <w:rsid w:val="000053C1"/>
    <w:rsid w:val="00005479"/>
    <w:rsid w:val="0000551D"/>
    <w:rsid w:val="000055F6"/>
    <w:rsid w:val="0000561F"/>
    <w:rsid w:val="00005620"/>
    <w:rsid w:val="00005735"/>
    <w:rsid w:val="00005817"/>
    <w:rsid w:val="0000589D"/>
    <w:rsid w:val="0000597F"/>
    <w:rsid w:val="000059A7"/>
    <w:rsid w:val="000059B8"/>
    <w:rsid w:val="00005AAF"/>
    <w:rsid w:val="00005AD5"/>
    <w:rsid w:val="00005B46"/>
    <w:rsid w:val="00005BC3"/>
    <w:rsid w:val="00005F0D"/>
    <w:rsid w:val="00005FB4"/>
    <w:rsid w:val="00006096"/>
    <w:rsid w:val="000060E1"/>
    <w:rsid w:val="00006275"/>
    <w:rsid w:val="000062AC"/>
    <w:rsid w:val="00006337"/>
    <w:rsid w:val="00006399"/>
    <w:rsid w:val="00006551"/>
    <w:rsid w:val="000065CF"/>
    <w:rsid w:val="00006799"/>
    <w:rsid w:val="000067BD"/>
    <w:rsid w:val="000067F4"/>
    <w:rsid w:val="00006838"/>
    <w:rsid w:val="000068CE"/>
    <w:rsid w:val="000069DF"/>
    <w:rsid w:val="00006A07"/>
    <w:rsid w:val="00006C75"/>
    <w:rsid w:val="00006D62"/>
    <w:rsid w:val="0000715E"/>
    <w:rsid w:val="000071C0"/>
    <w:rsid w:val="0000739C"/>
    <w:rsid w:val="0000739E"/>
    <w:rsid w:val="0000753F"/>
    <w:rsid w:val="00007757"/>
    <w:rsid w:val="000077F2"/>
    <w:rsid w:val="00007836"/>
    <w:rsid w:val="0000789F"/>
    <w:rsid w:val="000078D3"/>
    <w:rsid w:val="00007A44"/>
    <w:rsid w:val="00007A9A"/>
    <w:rsid w:val="00007B93"/>
    <w:rsid w:val="00007CAD"/>
    <w:rsid w:val="00007CD9"/>
    <w:rsid w:val="00007D08"/>
    <w:rsid w:val="00007D4F"/>
    <w:rsid w:val="00007E97"/>
    <w:rsid w:val="00007ECD"/>
    <w:rsid w:val="00010048"/>
    <w:rsid w:val="00010138"/>
    <w:rsid w:val="00010252"/>
    <w:rsid w:val="000103DE"/>
    <w:rsid w:val="0001046D"/>
    <w:rsid w:val="00010522"/>
    <w:rsid w:val="00010541"/>
    <w:rsid w:val="000105BA"/>
    <w:rsid w:val="000106E1"/>
    <w:rsid w:val="0001088D"/>
    <w:rsid w:val="00010B0E"/>
    <w:rsid w:val="00010B7C"/>
    <w:rsid w:val="00010BB6"/>
    <w:rsid w:val="00010C47"/>
    <w:rsid w:val="00010DFD"/>
    <w:rsid w:val="00010EC5"/>
    <w:rsid w:val="00011162"/>
    <w:rsid w:val="000111CA"/>
    <w:rsid w:val="00011236"/>
    <w:rsid w:val="000113A6"/>
    <w:rsid w:val="000113E6"/>
    <w:rsid w:val="00011808"/>
    <w:rsid w:val="000118A8"/>
    <w:rsid w:val="0001197F"/>
    <w:rsid w:val="00011A6C"/>
    <w:rsid w:val="00011B56"/>
    <w:rsid w:val="00011CDF"/>
    <w:rsid w:val="00011D44"/>
    <w:rsid w:val="00011ED3"/>
    <w:rsid w:val="00011EF9"/>
    <w:rsid w:val="0001204C"/>
    <w:rsid w:val="0001207A"/>
    <w:rsid w:val="000120AA"/>
    <w:rsid w:val="0001211C"/>
    <w:rsid w:val="0001214F"/>
    <w:rsid w:val="00012264"/>
    <w:rsid w:val="00012350"/>
    <w:rsid w:val="00012506"/>
    <w:rsid w:val="0001255B"/>
    <w:rsid w:val="000125B3"/>
    <w:rsid w:val="000125BD"/>
    <w:rsid w:val="00012626"/>
    <w:rsid w:val="00012784"/>
    <w:rsid w:val="00012804"/>
    <w:rsid w:val="000128EA"/>
    <w:rsid w:val="00012BF8"/>
    <w:rsid w:val="00012E1E"/>
    <w:rsid w:val="00012E88"/>
    <w:rsid w:val="00012EAB"/>
    <w:rsid w:val="00012FD3"/>
    <w:rsid w:val="00012FDC"/>
    <w:rsid w:val="0001310A"/>
    <w:rsid w:val="000131DE"/>
    <w:rsid w:val="000133A9"/>
    <w:rsid w:val="000134A4"/>
    <w:rsid w:val="0001359F"/>
    <w:rsid w:val="0001368C"/>
    <w:rsid w:val="00013697"/>
    <w:rsid w:val="0001369E"/>
    <w:rsid w:val="0001374B"/>
    <w:rsid w:val="0001379F"/>
    <w:rsid w:val="00013A66"/>
    <w:rsid w:val="00013B3D"/>
    <w:rsid w:val="00013ED1"/>
    <w:rsid w:val="00013EF5"/>
    <w:rsid w:val="00013F27"/>
    <w:rsid w:val="000140C4"/>
    <w:rsid w:val="000140E8"/>
    <w:rsid w:val="00014250"/>
    <w:rsid w:val="00014388"/>
    <w:rsid w:val="00014502"/>
    <w:rsid w:val="0001454A"/>
    <w:rsid w:val="00014555"/>
    <w:rsid w:val="00014752"/>
    <w:rsid w:val="00014782"/>
    <w:rsid w:val="000147B9"/>
    <w:rsid w:val="0001494C"/>
    <w:rsid w:val="00014DEC"/>
    <w:rsid w:val="00014EE9"/>
    <w:rsid w:val="00014F30"/>
    <w:rsid w:val="00014FB3"/>
    <w:rsid w:val="000150C5"/>
    <w:rsid w:val="000151AA"/>
    <w:rsid w:val="000151E5"/>
    <w:rsid w:val="0001526A"/>
    <w:rsid w:val="000152B7"/>
    <w:rsid w:val="000152FD"/>
    <w:rsid w:val="000153A1"/>
    <w:rsid w:val="000153D0"/>
    <w:rsid w:val="000154DF"/>
    <w:rsid w:val="000155B9"/>
    <w:rsid w:val="000155BB"/>
    <w:rsid w:val="0001561E"/>
    <w:rsid w:val="000157B2"/>
    <w:rsid w:val="00015807"/>
    <w:rsid w:val="000158BC"/>
    <w:rsid w:val="0001597D"/>
    <w:rsid w:val="000159D0"/>
    <w:rsid w:val="00015A16"/>
    <w:rsid w:val="00015A48"/>
    <w:rsid w:val="00015ABF"/>
    <w:rsid w:val="00015BF2"/>
    <w:rsid w:val="00015C0B"/>
    <w:rsid w:val="00015C3D"/>
    <w:rsid w:val="00015CFE"/>
    <w:rsid w:val="00015D4A"/>
    <w:rsid w:val="00015D91"/>
    <w:rsid w:val="00015E50"/>
    <w:rsid w:val="00015EFC"/>
    <w:rsid w:val="00015F04"/>
    <w:rsid w:val="00016069"/>
    <w:rsid w:val="000161A9"/>
    <w:rsid w:val="000162FD"/>
    <w:rsid w:val="0001631F"/>
    <w:rsid w:val="00016342"/>
    <w:rsid w:val="000163E2"/>
    <w:rsid w:val="00016468"/>
    <w:rsid w:val="00016482"/>
    <w:rsid w:val="000165E3"/>
    <w:rsid w:val="00016650"/>
    <w:rsid w:val="0001666A"/>
    <w:rsid w:val="000167B4"/>
    <w:rsid w:val="00016857"/>
    <w:rsid w:val="0001689F"/>
    <w:rsid w:val="000168A2"/>
    <w:rsid w:val="00016917"/>
    <w:rsid w:val="00016928"/>
    <w:rsid w:val="0001697B"/>
    <w:rsid w:val="00016985"/>
    <w:rsid w:val="000169CA"/>
    <w:rsid w:val="00016B1B"/>
    <w:rsid w:val="00016BAF"/>
    <w:rsid w:val="00016D8F"/>
    <w:rsid w:val="00016E91"/>
    <w:rsid w:val="00017100"/>
    <w:rsid w:val="00017118"/>
    <w:rsid w:val="0001714B"/>
    <w:rsid w:val="000172AD"/>
    <w:rsid w:val="00017384"/>
    <w:rsid w:val="0001746E"/>
    <w:rsid w:val="00017494"/>
    <w:rsid w:val="0001750A"/>
    <w:rsid w:val="0001757B"/>
    <w:rsid w:val="00017601"/>
    <w:rsid w:val="00017641"/>
    <w:rsid w:val="0001767C"/>
    <w:rsid w:val="00017686"/>
    <w:rsid w:val="0001777E"/>
    <w:rsid w:val="000177E0"/>
    <w:rsid w:val="00017957"/>
    <w:rsid w:val="000179F5"/>
    <w:rsid w:val="00017AE6"/>
    <w:rsid w:val="00017B8A"/>
    <w:rsid w:val="00017B91"/>
    <w:rsid w:val="00017D0C"/>
    <w:rsid w:val="00017D8D"/>
    <w:rsid w:val="00017DF9"/>
    <w:rsid w:val="000200DF"/>
    <w:rsid w:val="0002010A"/>
    <w:rsid w:val="000201BC"/>
    <w:rsid w:val="0002031C"/>
    <w:rsid w:val="0002046E"/>
    <w:rsid w:val="00020490"/>
    <w:rsid w:val="000204F0"/>
    <w:rsid w:val="00020539"/>
    <w:rsid w:val="0002055F"/>
    <w:rsid w:val="0002068A"/>
    <w:rsid w:val="000206E3"/>
    <w:rsid w:val="000208A2"/>
    <w:rsid w:val="0002092D"/>
    <w:rsid w:val="000209CC"/>
    <w:rsid w:val="000209D5"/>
    <w:rsid w:val="00020C53"/>
    <w:rsid w:val="00020CF6"/>
    <w:rsid w:val="00020D24"/>
    <w:rsid w:val="00020F33"/>
    <w:rsid w:val="00020FBA"/>
    <w:rsid w:val="00021056"/>
    <w:rsid w:val="00021177"/>
    <w:rsid w:val="000211D5"/>
    <w:rsid w:val="00021218"/>
    <w:rsid w:val="0002138D"/>
    <w:rsid w:val="000214B2"/>
    <w:rsid w:val="0002153C"/>
    <w:rsid w:val="0002162C"/>
    <w:rsid w:val="00021649"/>
    <w:rsid w:val="0002166C"/>
    <w:rsid w:val="000216B4"/>
    <w:rsid w:val="000216CD"/>
    <w:rsid w:val="000218B6"/>
    <w:rsid w:val="000218F6"/>
    <w:rsid w:val="00021A7B"/>
    <w:rsid w:val="00021B0D"/>
    <w:rsid w:val="00021B20"/>
    <w:rsid w:val="00021BB5"/>
    <w:rsid w:val="00021C11"/>
    <w:rsid w:val="00021C40"/>
    <w:rsid w:val="00021D52"/>
    <w:rsid w:val="00021D6D"/>
    <w:rsid w:val="00021D84"/>
    <w:rsid w:val="00021E0D"/>
    <w:rsid w:val="00021E13"/>
    <w:rsid w:val="00021EB0"/>
    <w:rsid w:val="00021FE5"/>
    <w:rsid w:val="00022047"/>
    <w:rsid w:val="000220B0"/>
    <w:rsid w:val="000221F2"/>
    <w:rsid w:val="0002223A"/>
    <w:rsid w:val="000223AA"/>
    <w:rsid w:val="000223C5"/>
    <w:rsid w:val="000223E1"/>
    <w:rsid w:val="000224DB"/>
    <w:rsid w:val="00022507"/>
    <w:rsid w:val="00022558"/>
    <w:rsid w:val="000226C7"/>
    <w:rsid w:val="000226C8"/>
    <w:rsid w:val="000226F8"/>
    <w:rsid w:val="00022725"/>
    <w:rsid w:val="000227E6"/>
    <w:rsid w:val="0002283C"/>
    <w:rsid w:val="0002286B"/>
    <w:rsid w:val="000228AE"/>
    <w:rsid w:val="0002296A"/>
    <w:rsid w:val="000229DF"/>
    <w:rsid w:val="000229F9"/>
    <w:rsid w:val="00022A19"/>
    <w:rsid w:val="00022A34"/>
    <w:rsid w:val="00022B66"/>
    <w:rsid w:val="00022BA5"/>
    <w:rsid w:val="00022BA9"/>
    <w:rsid w:val="00022C71"/>
    <w:rsid w:val="00022CAA"/>
    <w:rsid w:val="00022CD0"/>
    <w:rsid w:val="00022D99"/>
    <w:rsid w:val="00022E38"/>
    <w:rsid w:val="00022ED6"/>
    <w:rsid w:val="00022F92"/>
    <w:rsid w:val="00022F9B"/>
    <w:rsid w:val="00023025"/>
    <w:rsid w:val="0002313C"/>
    <w:rsid w:val="000231ED"/>
    <w:rsid w:val="000232C8"/>
    <w:rsid w:val="00023426"/>
    <w:rsid w:val="0002369C"/>
    <w:rsid w:val="00023844"/>
    <w:rsid w:val="0002386F"/>
    <w:rsid w:val="00023873"/>
    <w:rsid w:val="000239ED"/>
    <w:rsid w:val="00023A10"/>
    <w:rsid w:val="00023AC8"/>
    <w:rsid w:val="00023C82"/>
    <w:rsid w:val="00023CA5"/>
    <w:rsid w:val="00023D48"/>
    <w:rsid w:val="00023DB0"/>
    <w:rsid w:val="00023F77"/>
    <w:rsid w:val="00024025"/>
    <w:rsid w:val="00024171"/>
    <w:rsid w:val="000241C4"/>
    <w:rsid w:val="000241F4"/>
    <w:rsid w:val="0002421A"/>
    <w:rsid w:val="00024244"/>
    <w:rsid w:val="000242C7"/>
    <w:rsid w:val="000242E5"/>
    <w:rsid w:val="00024498"/>
    <w:rsid w:val="000244B6"/>
    <w:rsid w:val="000244CB"/>
    <w:rsid w:val="00024513"/>
    <w:rsid w:val="000246B5"/>
    <w:rsid w:val="0002473F"/>
    <w:rsid w:val="00024878"/>
    <w:rsid w:val="00024A54"/>
    <w:rsid w:val="00024DAD"/>
    <w:rsid w:val="00024DB6"/>
    <w:rsid w:val="00024E01"/>
    <w:rsid w:val="00024E05"/>
    <w:rsid w:val="00024EF7"/>
    <w:rsid w:val="00024EFD"/>
    <w:rsid w:val="0002517B"/>
    <w:rsid w:val="0002521C"/>
    <w:rsid w:val="00025221"/>
    <w:rsid w:val="0002526E"/>
    <w:rsid w:val="00025277"/>
    <w:rsid w:val="0002527A"/>
    <w:rsid w:val="0002542C"/>
    <w:rsid w:val="00025523"/>
    <w:rsid w:val="00025585"/>
    <w:rsid w:val="0002567A"/>
    <w:rsid w:val="000256B0"/>
    <w:rsid w:val="000257E6"/>
    <w:rsid w:val="00025A3B"/>
    <w:rsid w:val="00025C38"/>
    <w:rsid w:val="00025D3F"/>
    <w:rsid w:val="00025DD8"/>
    <w:rsid w:val="00025ECF"/>
    <w:rsid w:val="00025F51"/>
    <w:rsid w:val="0002604E"/>
    <w:rsid w:val="00026207"/>
    <w:rsid w:val="00026303"/>
    <w:rsid w:val="000263F1"/>
    <w:rsid w:val="0002642E"/>
    <w:rsid w:val="00026590"/>
    <w:rsid w:val="00026638"/>
    <w:rsid w:val="000266EA"/>
    <w:rsid w:val="000268DE"/>
    <w:rsid w:val="00026905"/>
    <w:rsid w:val="0002692C"/>
    <w:rsid w:val="00026A29"/>
    <w:rsid w:val="00026A56"/>
    <w:rsid w:val="00026AE5"/>
    <w:rsid w:val="00026B0A"/>
    <w:rsid w:val="00026C6C"/>
    <w:rsid w:val="00026C87"/>
    <w:rsid w:val="00026CD3"/>
    <w:rsid w:val="00026D83"/>
    <w:rsid w:val="00026EC5"/>
    <w:rsid w:val="00026F91"/>
    <w:rsid w:val="00026FEF"/>
    <w:rsid w:val="000270B4"/>
    <w:rsid w:val="000270EA"/>
    <w:rsid w:val="00027111"/>
    <w:rsid w:val="00027122"/>
    <w:rsid w:val="0002718A"/>
    <w:rsid w:val="0002723D"/>
    <w:rsid w:val="00027247"/>
    <w:rsid w:val="000272CE"/>
    <w:rsid w:val="00027371"/>
    <w:rsid w:val="000273EF"/>
    <w:rsid w:val="00027436"/>
    <w:rsid w:val="000274D4"/>
    <w:rsid w:val="0002757F"/>
    <w:rsid w:val="000275AF"/>
    <w:rsid w:val="00027636"/>
    <w:rsid w:val="00027653"/>
    <w:rsid w:val="000276DD"/>
    <w:rsid w:val="00027732"/>
    <w:rsid w:val="0002775C"/>
    <w:rsid w:val="0002776D"/>
    <w:rsid w:val="00027780"/>
    <w:rsid w:val="000277B5"/>
    <w:rsid w:val="00027907"/>
    <w:rsid w:val="00027950"/>
    <w:rsid w:val="00027A1F"/>
    <w:rsid w:val="00027A65"/>
    <w:rsid w:val="00027B85"/>
    <w:rsid w:val="00027D5F"/>
    <w:rsid w:val="00027D65"/>
    <w:rsid w:val="00027D9F"/>
    <w:rsid w:val="00027DFB"/>
    <w:rsid w:val="00027E39"/>
    <w:rsid w:val="00030217"/>
    <w:rsid w:val="00030223"/>
    <w:rsid w:val="00030288"/>
    <w:rsid w:val="000303C0"/>
    <w:rsid w:val="0003045D"/>
    <w:rsid w:val="0003050F"/>
    <w:rsid w:val="0003069D"/>
    <w:rsid w:val="000306AE"/>
    <w:rsid w:val="000306AF"/>
    <w:rsid w:val="00030713"/>
    <w:rsid w:val="000308CF"/>
    <w:rsid w:val="00030999"/>
    <w:rsid w:val="00030A29"/>
    <w:rsid w:val="00030A3D"/>
    <w:rsid w:val="00030ABD"/>
    <w:rsid w:val="00030C71"/>
    <w:rsid w:val="00030CDB"/>
    <w:rsid w:val="00030D3C"/>
    <w:rsid w:val="00030DD7"/>
    <w:rsid w:val="00030EA8"/>
    <w:rsid w:val="00030ED9"/>
    <w:rsid w:val="000310DC"/>
    <w:rsid w:val="00031111"/>
    <w:rsid w:val="0003112D"/>
    <w:rsid w:val="00031137"/>
    <w:rsid w:val="00031167"/>
    <w:rsid w:val="00031185"/>
    <w:rsid w:val="000311FF"/>
    <w:rsid w:val="0003129B"/>
    <w:rsid w:val="000312D2"/>
    <w:rsid w:val="00031305"/>
    <w:rsid w:val="0003138B"/>
    <w:rsid w:val="0003146D"/>
    <w:rsid w:val="0003155E"/>
    <w:rsid w:val="000315C3"/>
    <w:rsid w:val="000315ED"/>
    <w:rsid w:val="000316B2"/>
    <w:rsid w:val="000316EE"/>
    <w:rsid w:val="00031753"/>
    <w:rsid w:val="00031828"/>
    <w:rsid w:val="000319A6"/>
    <w:rsid w:val="000319DA"/>
    <w:rsid w:val="00031A1D"/>
    <w:rsid w:val="00031EE8"/>
    <w:rsid w:val="00031FAA"/>
    <w:rsid w:val="00031FC3"/>
    <w:rsid w:val="000320FE"/>
    <w:rsid w:val="0003211F"/>
    <w:rsid w:val="000323A2"/>
    <w:rsid w:val="000324F6"/>
    <w:rsid w:val="0003256C"/>
    <w:rsid w:val="0003259C"/>
    <w:rsid w:val="000325A6"/>
    <w:rsid w:val="00032787"/>
    <w:rsid w:val="0003293F"/>
    <w:rsid w:val="00032985"/>
    <w:rsid w:val="00032AA0"/>
    <w:rsid w:val="00032ADB"/>
    <w:rsid w:val="00032B5B"/>
    <w:rsid w:val="00032D9C"/>
    <w:rsid w:val="00032DB1"/>
    <w:rsid w:val="00032DBC"/>
    <w:rsid w:val="00032DFB"/>
    <w:rsid w:val="00032E14"/>
    <w:rsid w:val="00032E25"/>
    <w:rsid w:val="00032E5D"/>
    <w:rsid w:val="00032F01"/>
    <w:rsid w:val="00032FB5"/>
    <w:rsid w:val="00033056"/>
    <w:rsid w:val="00033087"/>
    <w:rsid w:val="0003313E"/>
    <w:rsid w:val="00033211"/>
    <w:rsid w:val="000332EA"/>
    <w:rsid w:val="00033306"/>
    <w:rsid w:val="0003339E"/>
    <w:rsid w:val="000333E2"/>
    <w:rsid w:val="0003383A"/>
    <w:rsid w:val="0003389F"/>
    <w:rsid w:val="00033B0D"/>
    <w:rsid w:val="00033C38"/>
    <w:rsid w:val="00033E55"/>
    <w:rsid w:val="00033F39"/>
    <w:rsid w:val="00033F58"/>
    <w:rsid w:val="00033F86"/>
    <w:rsid w:val="00033FFE"/>
    <w:rsid w:val="00034085"/>
    <w:rsid w:val="0003409B"/>
    <w:rsid w:val="000342AB"/>
    <w:rsid w:val="000343C0"/>
    <w:rsid w:val="0003448B"/>
    <w:rsid w:val="000344CD"/>
    <w:rsid w:val="000345C5"/>
    <w:rsid w:val="000346EB"/>
    <w:rsid w:val="0003470F"/>
    <w:rsid w:val="000347A1"/>
    <w:rsid w:val="000347AD"/>
    <w:rsid w:val="00034866"/>
    <w:rsid w:val="0003487E"/>
    <w:rsid w:val="00034C9C"/>
    <w:rsid w:val="00034CB9"/>
    <w:rsid w:val="00034DE2"/>
    <w:rsid w:val="000350BD"/>
    <w:rsid w:val="0003519B"/>
    <w:rsid w:val="00035206"/>
    <w:rsid w:val="00035405"/>
    <w:rsid w:val="0003545C"/>
    <w:rsid w:val="000354DA"/>
    <w:rsid w:val="000354E2"/>
    <w:rsid w:val="0003559C"/>
    <w:rsid w:val="000355A9"/>
    <w:rsid w:val="000355EB"/>
    <w:rsid w:val="0003566B"/>
    <w:rsid w:val="000356A8"/>
    <w:rsid w:val="000356B1"/>
    <w:rsid w:val="00035823"/>
    <w:rsid w:val="00035827"/>
    <w:rsid w:val="00035938"/>
    <w:rsid w:val="00035957"/>
    <w:rsid w:val="000359D4"/>
    <w:rsid w:val="00035A98"/>
    <w:rsid w:val="00035AA8"/>
    <w:rsid w:val="00035B9D"/>
    <w:rsid w:val="00035C7E"/>
    <w:rsid w:val="00035D4F"/>
    <w:rsid w:val="00035D54"/>
    <w:rsid w:val="00035D6B"/>
    <w:rsid w:val="00035E55"/>
    <w:rsid w:val="00035EF5"/>
    <w:rsid w:val="00035EFA"/>
    <w:rsid w:val="00035F32"/>
    <w:rsid w:val="00035F95"/>
    <w:rsid w:val="00035FA1"/>
    <w:rsid w:val="0003601E"/>
    <w:rsid w:val="000362A2"/>
    <w:rsid w:val="000362CB"/>
    <w:rsid w:val="000363AA"/>
    <w:rsid w:val="000363AC"/>
    <w:rsid w:val="000363CB"/>
    <w:rsid w:val="00036488"/>
    <w:rsid w:val="00036566"/>
    <w:rsid w:val="000365A9"/>
    <w:rsid w:val="000365DA"/>
    <w:rsid w:val="000366A2"/>
    <w:rsid w:val="000366C5"/>
    <w:rsid w:val="00036808"/>
    <w:rsid w:val="0003681F"/>
    <w:rsid w:val="00036A58"/>
    <w:rsid w:val="00036A5E"/>
    <w:rsid w:val="00036AD0"/>
    <w:rsid w:val="00036AF6"/>
    <w:rsid w:val="00036B49"/>
    <w:rsid w:val="00036C47"/>
    <w:rsid w:val="00036D08"/>
    <w:rsid w:val="00036EC2"/>
    <w:rsid w:val="00036F40"/>
    <w:rsid w:val="00037188"/>
    <w:rsid w:val="000371F5"/>
    <w:rsid w:val="00037468"/>
    <w:rsid w:val="00037661"/>
    <w:rsid w:val="000376CC"/>
    <w:rsid w:val="00037720"/>
    <w:rsid w:val="00037847"/>
    <w:rsid w:val="000378A5"/>
    <w:rsid w:val="000379CD"/>
    <w:rsid w:val="00037A7A"/>
    <w:rsid w:val="00037ACE"/>
    <w:rsid w:val="00037B3E"/>
    <w:rsid w:val="00037B8E"/>
    <w:rsid w:val="00037C05"/>
    <w:rsid w:val="00037CCE"/>
    <w:rsid w:val="00037D21"/>
    <w:rsid w:val="00037DFF"/>
    <w:rsid w:val="00037F83"/>
    <w:rsid w:val="00037FE3"/>
    <w:rsid w:val="000400E2"/>
    <w:rsid w:val="00040113"/>
    <w:rsid w:val="00040516"/>
    <w:rsid w:val="000406A4"/>
    <w:rsid w:val="000406C0"/>
    <w:rsid w:val="000406C8"/>
    <w:rsid w:val="0004072E"/>
    <w:rsid w:val="000408FD"/>
    <w:rsid w:val="000408FF"/>
    <w:rsid w:val="0004098B"/>
    <w:rsid w:val="000409F1"/>
    <w:rsid w:val="00040A97"/>
    <w:rsid w:val="00040D15"/>
    <w:rsid w:val="00040DBA"/>
    <w:rsid w:val="00040E8C"/>
    <w:rsid w:val="00040EBC"/>
    <w:rsid w:val="00040FA2"/>
    <w:rsid w:val="00041100"/>
    <w:rsid w:val="00041214"/>
    <w:rsid w:val="00041292"/>
    <w:rsid w:val="000412C2"/>
    <w:rsid w:val="000414A4"/>
    <w:rsid w:val="0004153E"/>
    <w:rsid w:val="000415AC"/>
    <w:rsid w:val="000415F7"/>
    <w:rsid w:val="00041631"/>
    <w:rsid w:val="000416BA"/>
    <w:rsid w:val="00041860"/>
    <w:rsid w:val="00041C3B"/>
    <w:rsid w:val="00041CFE"/>
    <w:rsid w:val="00041D11"/>
    <w:rsid w:val="00041EF2"/>
    <w:rsid w:val="00041F5B"/>
    <w:rsid w:val="00042026"/>
    <w:rsid w:val="000420D7"/>
    <w:rsid w:val="000421FA"/>
    <w:rsid w:val="000422A1"/>
    <w:rsid w:val="0004241C"/>
    <w:rsid w:val="0004252C"/>
    <w:rsid w:val="00042550"/>
    <w:rsid w:val="00042668"/>
    <w:rsid w:val="0004277B"/>
    <w:rsid w:val="00042A39"/>
    <w:rsid w:val="00042A5F"/>
    <w:rsid w:val="00042A90"/>
    <w:rsid w:val="00042B20"/>
    <w:rsid w:val="00042B69"/>
    <w:rsid w:val="00042B6B"/>
    <w:rsid w:val="00042C3A"/>
    <w:rsid w:val="00042CCF"/>
    <w:rsid w:val="00042E04"/>
    <w:rsid w:val="00042E1D"/>
    <w:rsid w:val="00042F5D"/>
    <w:rsid w:val="00042F61"/>
    <w:rsid w:val="00043123"/>
    <w:rsid w:val="00043147"/>
    <w:rsid w:val="00043450"/>
    <w:rsid w:val="00043451"/>
    <w:rsid w:val="000434AA"/>
    <w:rsid w:val="000434DA"/>
    <w:rsid w:val="000434F9"/>
    <w:rsid w:val="0004355C"/>
    <w:rsid w:val="000435AE"/>
    <w:rsid w:val="0004376E"/>
    <w:rsid w:val="0004378A"/>
    <w:rsid w:val="00043812"/>
    <w:rsid w:val="00043894"/>
    <w:rsid w:val="000439C4"/>
    <w:rsid w:val="00043B13"/>
    <w:rsid w:val="00043BC7"/>
    <w:rsid w:val="00043BD4"/>
    <w:rsid w:val="00043E39"/>
    <w:rsid w:val="000440C9"/>
    <w:rsid w:val="0004412C"/>
    <w:rsid w:val="00044163"/>
    <w:rsid w:val="000442CA"/>
    <w:rsid w:val="000443D0"/>
    <w:rsid w:val="00044432"/>
    <w:rsid w:val="0004448A"/>
    <w:rsid w:val="000444A1"/>
    <w:rsid w:val="0004456D"/>
    <w:rsid w:val="00044846"/>
    <w:rsid w:val="00044903"/>
    <w:rsid w:val="00044B43"/>
    <w:rsid w:val="00044C9B"/>
    <w:rsid w:val="00044D20"/>
    <w:rsid w:val="00044E26"/>
    <w:rsid w:val="00044E37"/>
    <w:rsid w:val="00044FA3"/>
    <w:rsid w:val="00044FD8"/>
    <w:rsid w:val="000452EE"/>
    <w:rsid w:val="00045465"/>
    <w:rsid w:val="000454AF"/>
    <w:rsid w:val="000454C1"/>
    <w:rsid w:val="00045646"/>
    <w:rsid w:val="00045689"/>
    <w:rsid w:val="00045702"/>
    <w:rsid w:val="00045964"/>
    <w:rsid w:val="000459A8"/>
    <w:rsid w:val="00045A33"/>
    <w:rsid w:val="00045AD1"/>
    <w:rsid w:val="00045B84"/>
    <w:rsid w:val="00045C21"/>
    <w:rsid w:val="00045C78"/>
    <w:rsid w:val="00045C7A"/>
    <w:rsid w:val="00045CA5"/>
    <w:rsid w:val="00045D19"/>
    <w:rsid w:val="00045D8A"/>
    <w:rsid w:val="00045DFC"/>
    <w:rsid w:val="00045EB3"/>
    <w:rsid w:val="00045F55"/>
    <w:rsid w:val="00045F7A"/>
    <w:rsid w:val="00045FCF"/>
    <w:rsid w:val="00046062"/>
    <w:rsid w:val="00046084"/>
    <w:rsid w:val="000460A9"/>
    <w:rsid w:val="000460C2"/>
    <w:rsid w:val="000461EB"/>
    <w:rsid w:val="0004627E"/>
    <w:rsid w:val="000462F2"/>
    <w:rsid w:val="000463D7"/>
    <w:rsid w:val="00046423"/>
    <w:rsid w:val="00046493"/>
    <w:rsid w:val="000464B9"/>
    <w:rsid w:val="00046667"/>
    <w:rsid w:val="00046845"/>
    <w:rsid w:val="00046901"/>
    <w:rsid w:val="00046991"/>
    <w:rsid w:val="000469D9"/>
    <w:rsid w:val="00046AA5"/>
    <w:rsid w:val="00046ADE"/>
    <w:rsid w:val="00046B77"/>
    <w:rsid w:val="00046C6A"/>
    <w:rsid w:val="00046D9E"/>
    <w:rsid w:val="00046FFB"/>
    <w:rsid w:val="0004702C"/>
    <w:rsid w:val="000470E8"/>
    <w:rsid w:val="0004711B"/>
    <w:rsid w:val="00047155"/>
    <w:rsid w:val="000471E8"/>
    <w:rsid w:val="000473D4"/>
    <w:rsid w:val="000474A1"/>
    <w:rsid w:val="000477A5"/>
    <w:rsid w:val="000478AB"/>
    <w:rsid w:val="000479C9"/>
    <w:rsid w:val="00047B34"/>
    <w:rsid w:val="00047B6E"/>
    <w:rsid w:val="00047BDC"/>
    <w:rsid w:val="00047D28"/>
    <w:rsid w:val="00047E68"/>
    <w:rsid w:val="00050144"/>
    <w:rsid w:val="00050295"/>
    <w:rsid w:val="0005030B"/>
    <w:rsid w:val="00050334"/>
    <w:rsid w:val="00050409"/>
    <w:rsid w:val="000504AD"/>
    <w:rsid w:val="00050542"/>
    <w:rsid w:val="00050850"/>
    <w:rsid w:val="000508BD"/>
    <w:rsid w:val="000508DC"/>
    <w:rsid w:val="000509E1"/>
    <w:rsid w:val="00050A0A"/>
    <w:rsid w:val="00050A3A"/>
    <w:rsid w:val="00050C17"/>
    <w:rsid w:val="00050CB5"/>
    <w:rsid w:val="00050CB8"/>
    <w:rsid w:val="00050CEF"/>
    <w:rsid w:val="00050DEF"/>
    <w:rsid w:val="00050E66"/>
    <w:rsid w:val="00051265"/>
    <w:rsid w:val="00051292"/>
    <w:rsid w:val="000512F5"/>
    <w:rsid w:val="00051474"/>
    <w:rsid w:val="00051477"/>
    <w:rsid w:val="0005157B"/>
    <w:rsid w:val="000515B0"/>
    <w:rsid w:val="000516A6"/>
    <w:rsid w:val="0005177C"/>
    <w:rsid w:val="00051A1E"/>
    <w:rsid w:val="00051C69"/>
    <w:rsid w:val="00051C70"/>
    <w:rsid w:val="00051E34"/>
    <w:rsid w:val="00051E3B"/>
    <w:rsid w:val="00051EBD"/>
    <w:rsid w:val="00051FE3"/>
    <w:rsid w:val="000523FC"/>
    <w:rsid w:val="0005246C"/>
    <w:rsid w:val="000524BF"/>
    <w:rsid w:val="0005251B"/>
    <w:rsid w:val="00052548"/>
    <w:rsid w:val="00052A3D"/>
    <w:rsid w:val="00052B3E"/>
    <w:rsid w:val="00052D1E"/>
    <w:rsid w:val="00052D7E"/>
    <w:rsid w:val="00052E5F"/>
    <w:rsid w:val="00052FB3"/>
    <w:rsid w:val="0005301B"/>
    <w:rsid w:val="00053079"/>
    <w:rsid w:val="0005310B"/>
    <w:rsid w:val="00053217"/>
    <w:rsid w:val="0005334C"/>
    <w:rsid w:val="00053719"/>
    <w:rsid w:val="00053733"/>
    <w:rsid w:val="00053949"/>
    <w:rsid w:val="00053A28"/>
    <w:rsid w:val="00053B29"/>
    <w:rsid w:val="00053C1E"/>
    <w:rsid w:val="00053C98"/>
    <w:rsid w:val="00053CBB"/>
    <w:rsid w:val="00053D22"/>
    <w:rsid w:val="00053D74"/>
    <w:rsid w:val="00053F01"/>
    <w:rsid w:val="00053FE3"/>
    <w:rsid w:val="00054171"/>
    <w:rsid w:val="0005438A"/>
    <w:rsid w:val="0005438F"/>
    <w:rsid w:val="000543A1"/>
    <w:rsid w:val="00054420"/>
    <w:rsid w:val="0005449A"/>
    <w:rsid w:val="00054588"/>
    <w:rsid w:val="000547B4"/>
    <w:rsid w:val="000547D3"/>
    <w:rsid w:val="000548A6"/>
    <w:rsid w:val="000549B9"/>
    <w:rsid w:val="00054A73"/>
    <w:rsid w:val="00054A8D"/>
    <w:rsid w:val="00054B5E"/>
    <w:rsid w:val="00054BC1"/>
    <w:rsid w:val="00054D50"/>
    <w:rsid w:val="00054D6A"/>
    <w:rsid w:val="00054DA1"/>
    <w:rsid w:val="00054E22"/>
    <w:rsid w:val="00054E30"/>
    <w:rsid w:val="00054EAC"/>
    <w:rsid w:val="00054F1F"/>
    <w:rsid w:val="00054F51"/>
    <w:rsid w:val="00054FA7"/>
    <w:rsid w:val="0005508E"/>
    <w:rsid w:val="000550AC"/>
    <w:rsid w:val="00055164"/>
    <w:rsid w:val="0005523F"/>
    <w:rsid w:val="000553DD"/>
    <w:rsid w:val="000554A7"/>
    <w:rsid w:val="00055524"/>
    <w:rsid w:val="0005556D"/>
    <w:rsid w:val="000555E3"/>
    <w:rsid w:val="000557F8"/>
    <w:rsid w:val="00055841"/>
    <w:rsid w:val="00055994"/>
    <w:rsid w:val="00055A9D"/>
    <w:rsid w:val="00055B09"/>
    <w:rsid w:val="00055B2A"/>
    <w:rsid w:val="00055B72"/>
    <w:rsid w:val="00055C0E"/>
    <w:rsid w:val="00055DD0"/>
    <w:rsid w:val="00055E6E"/>
    <w:rsid w:val="00055EF1"/>
    <w:rsid w:val="00055F0C"/>
    <w:rsid w:val="00055F3F"/>
    <w:rsid w:val="00056072"/>
    <w:rsid w:val="000560B8"/>
    <w:rsid w:val="00056118"/>
    <w:rsid w:val="00056196"/>
    <w:rsid w:val="0005631F"/>
    <w:rsid w:val="00056365"/>
    <w:rsid w:val="00056411"/>
    <w:rsid w:val="0005642B"/>
    <w:rsid w:val="00056475"/>
    <w:rsid w:val="000564AC"/>
    <w:rsid w:val="000564FA"/>
    <w:rsid w:val="0005681C"/>
    <w:rsid w:val="0005681F"/>
    <w:rsid w:val="00056852"/>
    <w:rsid w:val="0005693D"/>
    <w:rsid w:val="000569AD"/>
    <w:rsid w:val="00056C32"/>
    <w:rsid w:val="00056C76"/>
    <w:rsid w:val="00056CCF"/>
    <w:rsid w:val="00056D2D"/>
    <w:rsid w:val="00056DE9"/>
    <w:rsid w:val="00056EE6"/>
    <w:rsid w:val="00056F6B"/>
    <w:rsid w:val="00056F96"/>
    <w:rsid w:val="00056FF3"/>
    <w:rsid w:val="00056FF8"/>
    <w:rsid w:val="000570F0"/>
    <w:rsid w:val="000572E2"/>
    <w:rsid w:val="0005731D"/>
    <w:rsid w:val="00057367"/>
    <w:rsid w:val="000573AE"/>
    <w:rsid w:val="000573D0"/>
    <w:rsid w:val="000574A1"/>
    <w:rsid w:val="00057536"/>
    <w:rsid w:val="000575D4"/>
    <w:rsid w:val="000575D5"/>
    <w:rsid w:val="0005770C"/>
    <w:rsid w:val="00057815"/>
    <w:rsid w:val="000578F3"/>
    <w:rsid w:val="00057917"/>
    <w:rsid w:val="0005793C"/>
    <w:rsid w:val="00057AC7"/>
    <w:rsid w:val="00057C1B"/>
    <w:rsid w:val="00057CEA"/>
    <w:rsid w:val="00057FF2"/>
    <w:rsid w:val="00060132"/>
    <w:rsid w:val="00060142"/>
    <w:rsid w:val="0006020A"/>
    <w:rsid w:val="0006024F"/>
    <w:rsid w:val="00060253"/>
    <w:rsid w:val="0006033A"/>
    <w:rsid w:val="0006033E"/>
    <w:rsid w:val="0006037A"/>
    <w:rsid w:val="0006046F"/>
    <w:rsid w:val="00060485"/>
    <w:rsid w:val="000604FB"/>
    <w:rsid w:val="00060545"/>
    <w:rsid w:val="00060630"/>
    <w:rsid w:val="00060B3B"/>
    <w:rsid w:val="00060BC1"/>
    <w:rsid w:val="00060DB7"/>
    <w:rsid w:val="00060E17"/>
    <w:rsid w:val="00060FA1"/>
    <w:rsid w:val="00060FFA"/>
    <w:rsid w:val="00061037"/>
    <w:rsid w:val="00061111"/>
    <w:rsid w:val="0006115D"/>
    <w:rsid w:val="000611CA"/>
    <w:rsid w:val="000612E7"/>
    <w:rsid w:val="000613F4"/>
    <w:rsid w:val="00061404"/>
    <w:rsid w:val="00061455"/>
    <w:rsid w:val="0006151A"/>
    <w:rsid w:val="0006161F"/>
    <w:rsid w:val="0006163C"/>
    <w:rsid w:val="0006163D"/>
    <w:rsid w:val="00061AF8"/>
    <w:rsid w:val="00061B2B"/>
    <w:rsid w:val="00061BC6"/>
    <w:rsid w:val="00061C3B"/>
    <w:rsid w:val="00061C42"/>
    <w:rsid w:val="00061F1B"/>
    <w:rsid w:val="00061F40"/>
    <w:rsid w:val="00061F4B"/>
    <w:rsid w:val="0006204B"/>
    <w:rsid w:val="000620BE"/>
    <w:rsid w:val="00062151"/>
    <w:rsid w:val="00062279"/>
    <w:rsid w:val="0006233C"/>
    <w:rsid w:val="00062352"/>
    <w:rsid w:val="00062497"/>
    <w:rsid w:val="0006255F"/>
    <w:rsid w:val="00062567"/>
    <w:rsid w:val="0006259A"/>
    <w:rsid w:val="0006268A"/>
    <w:rsid w:val="00062772"/>
    <w:rsid w:val="000627E5"/>
    <w:rsid w:val="0006288B"/>
    <w:rsid w:val="00062950"/>
    <w:rsid w:val="00062957"/>
    <w:rsid w:val="000629A0"/>
    <w:rsid w:val="000629D8"/>
    <w:rsid w:val="000629FC"/>
    <w:rsid w:val="00062AEE"/>
    <w:rsid w:val="00062B3E"/>
    <w:rsid w:val="00062B4E"/>
    <w:rsid w:val="00062C46"/>
    <w:rsid w:val="00062D00"/>
    <w:rsid w:val="00062F69"/>
    <w:rsid w:val="00062FBE"/>
    <w:rsid w:val="00062FC4"/>
    <w:rsid w:val="00063185"/>
    <w:rsid w:val="000632A1"/>
    <w:rsid w:val="000632EE"/>
    <w:rsid w:val="00063307"/>
    <w:rsid w:val="000633F1"/>
    <w:rsid w:val="00063451"/>
    <w:rsid w:val="00063484"/>
    <w:rsid w:val="00063715"/>
    <w:rsid w:val="00063973"/>
    <w:rsid w:val="00063A24"/>
    <w:rsid w:val="00063A91"/>
    <w:rsid w:val="00063AC2"/>
    <w:rsid w:val="00063ACC"/>
    <w:rsid w:val="00063C03"/>
    <w:rsid w:val="00063C23"/>
    <w:rsid w:val="00063C5D"/>
    <w:rsid w:val="00063E54"/>
    <w:rsid w:val="00063E92"/>
    <w:rsid w:val="00063EF3"/>
    <w:rsid w:val="00064050"/>
    <w:rsid w:val="000643AB"/>
    <w:rsid w:val="000643CE"/>
    <w:rsid w:val="0006445C"/>
    <w:rsid w:val="000644A2"/>
    <w:rsid w:val="000644D4"/>
    <w:rsid w:val="00064817"/>
    <w:rsid w:val="00064891"/>
    <w:rsid w:val="000649CA"/>
    <w:rsid w:val="00064C67"/>
    <w:rsid w:val="00064E89"/>
    <w:rsid w:val="00064EAC"/>
    <w:rsid w:val="00064F18"/>
    <w:rsid w:val="00064F2C"/>
    <w:rsid w:val="00065002"/>
    <w:rsid w:val="0006504F"/>
    <w:rsid w:val="00065157"/>
    <w:rsid w:val="0006523E"/>
    <w:rsid w:val="00065381"/>
    <w:rsid w:val="00065461"/>
    <w:rsid w:val="00065484"/>
    <w:rsid w:val="0006553E"/>
    <w:rsid w:val="00065555"/>
    <w:rsid w:val="00065593"/>
    <w:rsid w:val="000655ED"/>
    <w:rsid w:val="000656C8"/>
    <w:rsid w:val="00065700"/>
    <w:rsid w:val="00065746"/>
    <w:rsid w:val="0006576C"/>
    <w:rsid w:val="0006589E"/>
    <w:rsid w:val="000658E0"/>
    <w:rsid w:val="000658F0"/>
    <w:rsid w:val="000659DC"/>
    <w:rsid w:val="00065B92"/>
    <w:rsid w:val="00065CDE"/>
    <w:rsid w:val="00065CE1"/>
    <w:rsid w:val="00065E41"/>
    <w:rsid w:val="00065EC9"/>
    <w:rsid w:val="00066042"/>
    <w:rsid w:val="000661B7"/>
    <w:rsid w:val="00066209"/>
    <w:rsid w:val="0006622E"/>
    <w:rsid w:val="00066494"/>
    <w:rsid w:val="0006650C"/>
    <w:rsid w:val="00066630"/>
    <w:rsid w:val="0006671A"/>
    <w:rsid w:val="00066789"/>
    <w:rsid w:val="00066807"/>
    <w:rsid w:val="000668A8"/>
    <w:rsid w:val="00066936"/>
    <w:rsid w:val="00066A3B"/>
    <w:rsid w:val="00066C1D"/>
    <w:rsid w:val="00066CDF"/>
    <w:rsid w:val="00066DFE"/>
    <w:rsid w:val="00066EBB"/>
    <w:rsid w:val="00066F1A"/>
    <w:rsid w:val="00066F75"/>
    <w:rsid w:val="00066FC4"/>
    <w:rsid w:val="00067084"/>
    <w:rsid w:val="00067155"/>
    <w:rsid w:val="0006722F"/>
    <w:rsid w:val="00067309"/>
    <w:rsid w:val="000673E1"/>
    <w:rsid w:val="00067439"/>
    <w:rsid w:val="00067564"/>
    <w:rsid w:val="000675F0"/>
    <w:rsid w:val="00067623"/>
    <w:rsid w:val="00067707"/>
    <w:rsid w:val="00067725"/>
    <w:rsid w:val="000677B5"/>
    <w:rsid w:val="000677FD"/>
    <w:rsid w:val="00067975"/>
    <w:rsid w:val="00067980"/>
    <w:rsid w:val="000679E3"/>
    <w:rsid w:val="000679E4"/>
    <w:rsid w:val="00067B6C"/>
    <w:rsid w:val="00067C6E"/>
    <w:rsid w:val="00067C97"/>
    <w:rsid w:val="00067D60"/>
    <w:rsid w:val="00067DD1"/>
    <w:rsid w:val="00067DFD"/>
    <w:rsid w:val="00067E44"/>
    <w:rsid w:val="00067F3C"/>
    <w:rsid w:val="000700D1"/>
    <w:rsid w:val="000701A3"/>
    <w:rsid w:val="000701AD"/>
    <w:rsid w:val="000701F7"/>
    <w:rsid w:val="00070260"/>
    <w:rsid w:val="00070290"/>
    <w:rsid w:val="00070315"/>
    <w:rsid w:val="00070405"/>
    <w:rsid w:val="00070425"/>
    <w:rsid w:val="000704A6"/>
    <w:rsid w:val="00070508"/>
    <w:rsid w:val="00070584"/>
    <w:rsid w:val="000706DB"/>
    <w:rsid w:val="000707BE"/>
    <w:rsid w:val="0007087C"/>
    <w:rsid w:val="000709CB"/>
    <w:rsid w:val="00070BAB"/>
    <w:rsid w:val="00070DF9"/>
    <w:rsid w:val="00070E26"/>
    <w:rsid w:val="00070E3F"/>
    <w:rsid w:val="00070E55"/>
    <w:rsid w:val="00070EF9"/>
    <w:rsid w:val="00070F2C"/>
    <w:rsid w:val="00070F42"/>
    <w:rsid w:val="00070F4A"/>
    <w:rsid w:val="00070FFA"/>
    <w:rsid w:val="00071032"/>
    <w:rsid w:val="000710E1"/>
    <w:rsid w:val="00071134"/>
    <w:rsid w:val="00071170"/>
    <w:rsid w:val="00071313"/>
    <w:rsid w:val="00071345"/>
    <w:rsid w:val="00071574"/>
    <w:rsid w:val="00071601"/>
    <w:rsid w:val="00071639"/>
    <w:rsid w:val="00071780"/>
    <w:rsid w:val="00071A50"/>
    <w:rsid w:val="00071CDE"/>
    <w:rsid w:val="00071CE1"/>
    <w:rsid w:val="00071DC8"/>
    <w:rsid w:val="00071E64"/>
    <w:rsid w:val="00071EA5"/>
    <w:rsid w:val="000720E1"/>
    <w:rsid w:val="00072442"/>
    <w:rsid w:val="0007249B"/>
    <w:rsid w:val="000724C2"/>
    <w:rsid w:val="000725D7"/>
    <w:rsid w:val="00072617"/>
    <w:rsid w:val="00072631"/>
    <w:rsid w:val="00072676"/>
    <w:rsid w:val="000726B3"/>
    <w:rsid w:val="000727C2"/>
    <w:rsid w:val="000727D1"/>
    <w:rsid w:val="00072925"/>
    <w:rsid w:val="0007296C"/>
    <w:rsid w:val="000729B9"/>
    <w:rsid w:val="00072AAF"/>
    <w:rsid w:val="00072C93"/>
    <w:rsid w:val="00072D5F"/>
    <w:rsid w:val="00072D71"/>
    <w:rsid w:val="00072DDE"/>
    <w:rsid w:val="00072DE2"/>
    <w:rsid w:val="00072ED6"/>
    <w:rsid w:val="00072EFE"/>
    <w:rsid w:val="0007303C"/>
    <w:rsid w:val="000730BC"/>
    <w:rsid w:val="0007313E"/>
    <w:rsid w:val="00073241"/>
    <w:rsid w:val="00073299"/>
    <w:rsid w:val="00073364"/>
    <w:rsid w:val="0007344A"/>
    <w:rsid w:val="0007355F"/>
    <w:rsid w:val="0007387E"/>
    <w:rsid w:val="000738C9"/>
    <w:rsid w:val="000738FF"/>
    <w:rsid w:val="0007392C"/>
    <w:rsid w:val="0007397F"/>
    <w:rsid w:val="00073999"/>
    <w:rsid w:val="000739CC"/>
    <w:rsid w:val="000739EB"/>
    <w:rsid w:val="000739ED"/>
    <w:rsid w:val="00073A41"/>
    <w:rsid w:val="00073A74"/>
    <w:rsid w:val="00073ACF"/>
    <w:rsid w:val="00073AED"/>
    <w:rsid w:val="00073B3C"/>
    <w:rsid w:val="00073C4A"/>
    <w:rsid w:val="00073CBA"/>
    <w:rsid w:val="00073CC4"/>
    <w:rsid w:val="0007401F"/>
    <w:rsid w:val="000740D6"/>
    <w:rsid w:val="000741F1"/>
    <w:rsid w:val="00074272"/>
    <w:rsid w:val="000742FC"/>
    <w:rsid w:val="00074314"/>
    <w:rsid w:val="00074385"/>
    <w:rsid w:val="00074540"/>
    <w:rsid w:val="00074559"/>
    <w:rsid w:val="0007477A"/>
    <w:rsid w:val="00074874"/>
    <w:rsid w:val="00074A5A"/>
    <w:rsid w:val="00074D2B"/>
    <w:rsid w:val="00074F19"/>
    <w:rsid w:val="000750C0"/>
    <w:rsid w:val="0007515C"/>
    <w:rsid w:val="000751B2"/>
    <w:rsid w:val="00075431"/>
    <w:rsid w:val="000755B7"/>
    <w:rsid w:val="00075875"/>
    <w:rsid w:val="00075938"/>
    <w:rsid w:val="00075ABB"/>
    <w:rsid w:val="00075AD2"/>
    <w:rsid w:val="00075BA6"/>
    <w:rsid w:val="00075BEF"/>
    <w:rsid w:val="00075C54"/>
    <w:rsid w:val="00075D99"/>
    <w:rsid w:val="00075FE9"/>
    <w:rsid w:val="00076085"/>
    <w:rsid w:val="00076109"/>
    <w:rsid w:val="0007614F"/>
    <w:rsid w:val="000761E9"/>
    <w:rsid w:val="0007635B"/>
    <w:rsid w:val="00076405"/>
    <w:rsid w:val="0007656C"/>
    <w:rsid w:val="000766A3"/>
    <w:rsid w:val="0007676E"/>
    <w:rsid w:val="000767BA"/>
    <w:rsid w:val="0007684E"/>
    <w:rsid w:val="000768E2"/>
    <w:rsid w:val="000768F5"/>
    <w:rsid w:val="00076B03"/>
    <w:rsid w:val="00076B7A"/>
    <w:rsid w:val="00076DDE"/>
    <w:rsid w:val="00076DE8"/>
    <w:rsid w:val="00076FED"/>
    <w:rsid w:val="000770A4"/>
    <w:rsid w:val="000770B1"/>
    <w:rsid w:val="000770C3"/>
    <w:rsid w:val="00077263"/>
    <w:rsid w:val="00077300"/>
    <w:rsid w:val="0007765A"/>
    <w:rsid w:val="0007780A"/>
    <w:rsid w:val="000778D8"/>
    <w:rsid w:val="00077932"/>
    <w:rsid w:val="0007794A"/>
    <w:rsid w:val="00077A14"/>
    <w:rsid w:val="00077B2F"/>
    <w:rsid w:val="00077B3A"/>
    <w:rsid w:val="00077C99"/>
    <w:rsid w:val="00077D69"/>
    <w:rsid w:val="00077DDF"/>
    <w:rsid w:val="00077E14"/>
    <w:rsid w:val="00077EB1"/>
    <w:rsid w:val="00077F50"/>
    <w:rsid w:val="0008029C"/>
    <w:rsid w:val="000802AB"/>
    <w:rsid w:val="0008035E"/>
    <w:rsid w:val="0008041B"/>
    <w:rsid w:val="00080476"/>
    <w:rsid w:val="00080632"/>
    <w:rsid w:val="00080975"/>
    <w:rsid w:val="0008098E"/>
    <w:rsid w:val="00080997"/>
    <w:rsid w:val="00080A4D"/>
    <w:rsid w:val="00080B5E"/>
    <w:rsid w:val="00080B81"/>
    <w:rsid w:val="00080DE0"/>
    <w:rsid w:val="00080E29"/>
    <w:rsid w:val="00080F62"/>
    <w:rsid w:val="00080F75"/>
    <w:rsid w:val="00081044"/>
    <w:rsid w:val="00081075"/>
    <w:rsid w:val="00081200"/>
    <w:rsid w:val="00081201"/>
    <w:rsid w:val="0008139C"/>
    <w:rsid w:val="000813FF"/>
    <w:rsid w:val="0008154D"/>
    <w:rsid w:val="0008161A"/>
    <w:rsid w:val="0008166F"/>
    <w:rsid w:val="000819E0"/>
    <w:rsid w:val="00081A09"/>
    <w:rsid w:val="00081A1C"/>
    <w:rsid w:val="00081B33"/>
    <w:rsid w:val="00081CB8"/>
    <w:rsid w:val="00081DCB"/>
    <w:rsid w:val="00081E09"/>
    <w:rsid w:val="00081E39"/>
    <w:rsid w:val="00081EA0"/>
    <w:rsid w:val="00081F58"/>
    <w:rsid w:val="00081F89"/>
    <w:rsid w:val="0008203E"/>
    <w:rsid w:val="000820B7"/>
    <w:rsid w:val="00082322"/>
    <w:rsid w:val="000825D9"/>
    <w:rsid w:val="00082736"/>
    <w:rsid w:val="00082991"/>
    <w:rsid w:val="00082AE8"/>
    <w:rsid w:val="00082D13"/>
    <w:rsid w:val="00082D1A"/>
    <w:rsid w:val="00082DB3"/>
    <w:rsid w:val="00082EC4"/>
    <w:rsid w:val="000830B3"/>
    <w:rsid w:val="0008326D"/>
    <w:rsid w:val="00083285"/>
    <w:rsid w:val="000832D0"/>
    <w:rsid w:val="00083348"/>
    <w:rsid w:val="000834AE"/>
    <w:rsid w:val="000834DA"/>
    <w:rsid w:val="0008350E"/>
    <w:rsid w:val="000835C8"/>
    <w:rsid w:val="0008367D"/>
    <w:rsid w:val="00083681"/>
    <w:rsid w:val="00083686"/>
    <w:rsid w:val="0008382A"/>
    <w:rsid w:val="000839CA"/>
    <w:rsid w:val="00083A06"/>
    <w:rsid w:val="00083AD3"/>
    <w:rsid w:val="00083B25"/>
    <w:rsid w:val="00083B3C"/>
    <w:rsid w:val="00083C15"/>
    <w:rsid w:val="00083C19"/>
    <w:rsid w:val="00083CFD"/>
    <w:rsid w:val="00083DE8"/>
    <w:rsid w:val="00083E42"/>
    <w:rsid w:val="00083FA5"/>
    <w:rsid w:val="00083FE0"/>
    <w:rsid w:val="0008401C"/>
    <w:rsid w:val="000842A8"/>
    <w:rsid w:val="000842AE"/>
    <w:rsid w:val="000843E2"/>
    <w:rsid w:val="00084481"/>
    <w:rsid w:val="00084504"/>
    <w:rsid w:val="000845E0"/>
    <w:rsid w:val="000846E5"/>
    <w:rsid w:val="00084789"/>
    <w:rsid w:val="00084934"/>
    <w:rsid w:val="00084A3C"/>
    <w:rsid w:val="00084AC3"/>
    <w:rsid w:val="00084BAE"/>
    <w:rsid w:val="00084C20"/>
    <w:rsid w:val="00084CEA"/>
    <w:rsid w:val="00084E1E"/>
    <w:rsid w:val="00084EDA"/>
    <w:rsid w:val="00084F12"/>
    <w:rsid w:val="00084F91"/>
    <w:rsid w:val="00085082"/>
    <w:rsid w:val="0008508A"/>
    <w:rsid w:val="00085096"/>
    <w:rsid w:val="0008509A"/>
    <w:rsid w:val="000850D6"/>
    <w:rsid w:val="00085271"/>
    <w:rsid w:val="00085412"/>
    <w:rsid w:val="0008547C"/>
    <w:rsid w:val="000855EF"/>
    <w:rsid w:val="00085604"/>
    <w:rsid w:val="000858FC"/>
    <w:rsid w:val="00085AB1"/>
    <w:rsid w:val="00085C85"/>
    <w:rsid w:val="00085C8A"/>
    <w:rsid w:val="00085CCC"/>
    <w:rsid w:val="00085DFC"/>
    <w:rsid w:val="00085F0F"/>
    <w:rsid w:val="00085F4F"/>
    <w:rsid w:val="00085F71"/>
    <w:rsid w:val="00085FA7"/>
    <w:rsid w:val="000862A9"/>
    <w:rsid w:val="000862E6"/>
    <w:rsid w:val="000865CD"/>
    <w:rsid w:val="00086751"/>
    <w:rsid w:val="00086891"/>
    <w:rsid w:val="000868B1"/>
    <w:rsid w:val="000869EE"/>
    <w:rsid w:val="00086A28"/>
    <w:rsid w:val="00086A84"/>
    <w:rsid w:val="00086C22"/>
    <w:rsid w:val="00086C62"/>
    <w:rsid w:val="00086E52"/>
    <w:rsid w:val="00086EE3"/>
    <w:rsid w:val="00086F0E"/>
    <w:rsid w:val="0008706F"/>
    <w:rsid w:val="0008712A"/>
    <w:rsid w:val="00087292"/>
    <w:rsid w:val="00087305"/>
    <w:rsid w:val="00087308"/>
    <w:rsid w:val="0008744B"/>
    <w:rsid w:val="000874FB"/>
    <w:rsid w:val="00087531"/>
    <w:rsid w:val="0008758B"/>
    <w:rsid w:val="000876F8"/>
    <w:rsid w:val="000878B2"/>
    <w:rsid w:val="00087988"/>
    <w:rsid w:val="000879E6"/>
    <w:rsid w:val="00087A17"/>
    <w:rsid w:val="00087BE8"/>
    <w:rsid w:val="00087C27"/>
    <w:rsid w:val="00087CB9"/>
    <w:rsid w:val="00087E9B"/>
    <w:rsid w:val="00087EA3"/>
    <w:rsid w:val="00087EFF"/>
    <w:rsid w:val="00087F8B"/>
    <w:rsid w:val="00087FD0"/>
    <w:rsid w:val="0009005A"/>
    <w:rsid w:val="00090095"/>
    <w:rsid w:val="00090107"/>
    <w:rsid w:val="000901E8"/>
    <w:rsid w:val="000901F1"/>
    <w:rsid w:val="00090275"/>
    <w:rsid w:val="00090404"/>
    <w:rsid w:val="00090420"/>
    <w:rsid w:val="00090538"/>
    <w:rsid w:val="00090675"/>
    <w:rsid w:val="00090726"/>
    <w:rsid w:val="0009093D"/>
    <w:rsid w:val="00090B2F"/>
    <w:rsid w:val="00090B61"/>
    <w:rsid w:val="00090CBE"/>
    <w:rsid w:val="00091052"/>
    <w:rsid w:val="0009114E"/>
    <w:rsid w:val="0009127C"/>
    <w:rsid w:val="00091444"/>
    <w:rsid w:val="000914BD"/>
    <w:rsid w:val="00091521"/>
    <w:rsid w:val="000917D0"/>
    <w:rsid w:val="00091A62"/>
    <w:rsid w:val="00091B5C"/>
    <w:rsid w:val="00091CB4"/>
    <w:rsid w:val="00091D6D"/>
    <w:rsid w:val="00091F52"/>
    <w:rsid w:val="00091FF7"/>
    <w:rsid w:val="0009203F"/>
    <w:rsid w:val="000920D1"/>
    <w:rsid w:val="000922D2"/>
    <w:rsid w:val="0009234D"/>
    <w:rsid w:val="0009244F"/>
    <w:rsid w:val="00092540"/>
    <w:rsid w:val="000925CD"/>
    <w:rsid w:val="00092674"/>
    <w:rsid w:val="000926D5"/>
    <w:rsid w:val="0009276B"/>
    <w:rsid w:val="0009277E"/>
    <w:rsid w:val="00092975"/>
    <w:rsid w:val="00092A0F"/>
    <w:rsid w:val="00092A5D"/>
    <w:rsid w:val="00092BB1"/>
    <w:rsid w:val="00093089"/>
    <w:rsid w:val="00093487"/>
    <w:rsid w:val="000934B3"/>
    <w:rsid w:val="000934C4"/>
    <w:rsid w:val="000936C7"/>
    <w:rsid w:val="00093769"/>
    <w:rsid w:val="0009377A"/>
    <w:rsid w:val="000938DD"/>
    <w:rsid w:val="00093923"/>
    <w:rsid w:val="00093966"/>
    <w:rsid w:val="00093A15"/>
    <w:rsid w:val="00093F2E"/>
    <w:rsid w:val="00093F74"/>
    <w:rsid w:val="00094023"/>
    <w:rsid w:val="00094193"/>
    <w:rsid w:val="000942BE"/>
    <w:rsid w:val="00094555"/>
    <w:rsid w:val="00094826"/>
    <w:rsid w:val="00094869"/>
    <w:rsid w:val="000948A8"/>
    <w:rsid w:val="00094A3D"/>
    <w:rsid w:val="00094A5A"/>
    <w:rsid w:val="00094B45"/>
    <w:rsid w:val="00094B6C"/>
    <w:rsid w:val="00094C94"/>
    <w:rsid w:val="00094D24"/>
    <w:rsid w:val="00094D4F"/>
    <w:rsid w:val="00094D5A"/>
    <w:rsid w:val="00094D93"/>
    <w:rsid w:val="00094D96"/>
    <w:rsid w:val="00094E2A"/>
    <w:rsid w:val="00094EC6"/>
    <w:rsid w:val="00094FB3"/>
    <w:rsid w:val="0009502C"/>
    <w:rsid w:val="00095288"/>
    <w:rsid w:val="000952A4"/>
    <w:rsid w:val="0009552D"/>
    <w:rsid w:val="0009555F"/>
    <w:rsid w:val="00095796"/>
    <w:rsid w:val="00095884"/>
    <w:rsid w:val="00095936"/>
    <w:rsid w:val="00095AED"/>
    <w:rsid w:val="00095B86"/>
    <w:rsid w:val="00095BA1"/>
    <w:rsid w:val="00095CEB"/>
    <w:rsid w:val="00095D4A"/>
    <w:rsid w:val="00095DEB"/>
    <w:rsid w:val="00095E76"/>
    <w:rsid w:val="00095F8E"/>
    <w:rsid w:val="00095F97"/>
    <w:rsid w:val="00095FED"/>
    <w:rsid w:val="0009604F"/>
    <w:rsid w:val="00096225"/>
    <w:rsid w:val="0009628D"/>
    <w:rsid w:val="0009635B"/>
    <w:rsid w:val="00096363"/>
    <w:rsid w:val="000963BD"/>
    <w:rsid w:val="000963D5"/>
    <w:rsid w:val="000964E4"/>
    <w:rsid w:val="000966AF"/>
    <w:rsid w:val="00096781"/>
    <w:rsid w:val="00096839"/>
    <w:rsid w:val="0009687E"/>
    <w:rsid w:val="000968B3"/>
    <w:rsid w:val="000968F9"/>
    <w:rsid w:val="000969FA"/>
    <w:rsid w:val="00096AA8"/>
    <w:rsid w:val="00096B23"/>
    <w:rsid w:val="00096C1F"/>
    <w:rsid w:val="00096C35"/>
    <w:rsid w:val="00096C72"/>
    <w:rsid w:val="00096D0E"/>
    <w:rsid w:val="0009712E"/>
    <w:rsid w:val="0009717B"/>
    <w:rsid w:val="000971D5"/>
    <w:rsid w:val="000972EF"/>
    <w:rsid w:val="00097345"/>
    <w:rsid w:val="0009738B"/>
    <w:rsid w:val="0009744B"/>
    <w:rsid w:val="00097488"/>
    <w:rsid w:val="0009756B"/>
    <w:rsid w:val="0009758E"/>
    <w:rsid w:val="00097755"/>
    <w:rsid w:val="0009775E"/>
    <w:rsid w:val="00097806"/>
    <w:rsid w:val="0009795D"/>
    <w:rsid w:val="00097A86"/>
    <w:rsid w:val="00097C9A"/>
    <w:rsid w:val="00097CB0"/>
    <w:rsid w:val="00097FE2"/>
    <w:rsid w:val="000A0148"/>
    <w:rsid w:val="000A01C4"/>
    <w:rsid w:val="000A02C2"/>
    <w:rsid w:val="000A02C9"/>
    <w:rsid w:val="000A02CC"/>
    <w:rsid w:val="000A02D5"/>
    <w:rsid w:val="000A03F9"/>
    <w:rsid w:val="000A05CF"/>
    <w:rsid w:val="000A0617"/>
    <w:rsid w:val="000A0840"/>
    <w:rsid w:val="000A0B0B"/>
    <w:rsid w:val="000A0CAE"/>
    <w:rsid w:val="000A0E8D"/>
    <w:rsid w:val="000A0F04"/>
    <w:rsid w:val="000A0FDA"/>
    <w:rsid w:val="000A10C3"/>
    <w:rsid w:val="000A1107"/>
    <w:rsid w:val="000A1110"/>
    <w:rsid w:val="000A1111"/>
    <w:rsid w:val="000A124B"/>
    <w:rsid w:val="000A1290"/>
    <w:rsid w:val="000A12C6"/>
    <w:rsid w:val="000A12C7"/>
    <w:rsid w:val="000A12FB"/>
    <w:rsid w:val="000A151E"/>
    <w:rsid w:val="000A169C"/>
    <w:rsid w:val="000A16D3"/>
    <w:rsid w:val="000A179A"/>
    <w:rsid w:val="000A17E2"/>
    <w:rsid w:val="000A18A3"/>
    <w:rsid w:val="000A18BB"/>
    <w:rsid w:val="000A1A31"/>
    <w:rsid w:val="000A1A42"/>
    <w:rsid w:val="000A1C9B"/>
    <w:rsid w:val="000A1CDD"/>
    <w:rsid w:val="000A1D1B"/>
    <w:rsid w:val="000A1DE7"/>
    <w:rsid w:val="000A1EDA"/>
    <w:rsid w:val="000A1FB8"/>
    <w:rsid w:val="000A206A"/>
    <w:rsid w:val="000A206F"/>
    <w:rsid w:val="000A2216"/>
    <w:rsid w:val="000A2251"/>
    <w:rsid w:val="000A23A8"/>
    <w:rsid w:val="000A24B5"/>
    <w:rsid w:val="000A2A0F"/>
    <w:rsid w:val="000A2A75"/>
    <w:rsid w:val="000A2AF0"/>
    <w:rsid w:val="000A2B24"/>
    <w:rsid w:val="000A2BF5"/>
    <w:rsid w:val="000A2C1B"/>
    <w:rsid w:val="000A2D43"/>
    <w:rsid w:val="000A2DD6"/>
    <w:rsid w:val="000A2DE7"/>
    <w:rsid w:val="000A2EE9"/>
    <w:rsid w:val="000A2F1D"/>
    <w:rsid w:val="000A304A"/>
    <w:rsid w:val="000A3057"/>
    <w:rsid w:val="000A30A6"/>
    <w:rsid w:val="000A30EE"/>
    <w:rsid w:val="000A3222"/>
    <w:rsid w:val="000A326B"/>
    <w:rsid w:val="000A3277"/>
    <w:rsid w:val="000A33EC"/>
    <w:rsid w:val="000A3401"/>
    <w:rsid w:val="000A3532"/>
    <w:rsid w:val="000A3537"/>
    <w:rsid w:val="000A3616"/>
    <w:rsid w:val="000A3674"/>
    <w:rsid w:val="000A36F6"/>
    <w:rsid w:val="000A3889"/>
    <w:rsid w:val="000A389E"/>
    <w:rsid w:val="000A3925"/>
    <w:rsid w:val="000A3C7A"/>
    <w:rsid w:val="000A3D65"/>
    <w:rsid w:val="000A3DCD"/>
    <w:rsid w:val="000A3E8B"/>
    <w:rsid w:val="000A3EF0"/>
    <w:rsid w:val="000A3F54"/>
    <w:rsid w:val="000A3FDD"/>
    <w:rsid w:val="000A401E"/>
    <w:rsid w:val="000A4034"/>
    <w:rsid w:val="000A4087"/>
    <w:rsid w:val="000A412B"/>
    <w:rsid w:val="000A4170"/>
    <w:rsid w:val="000A42DC"/>
    <w:rsid w:val="000A42F6"/>
    <w:rsid w:val="000A4352"/>
    <w:rsid w:val="000A4389"/>
    <w:rsid w:val="000A438A"/>
    <w:rsid w:val="000A43EA"/>
    <w:rsid w:val="000A4473"/>
    <w:rsid w:val="000A4638"/>
    <w:rsid w:val="000A4677"/>
    <w:rsid w:val="000A49CB"/>
    <w:rsid w:val="000A4A3E"/>
    <w:rsid w:val="000A4A6F"/>
    <w:rsid w:val="000A4A88"/>
    <w:rsid w:val="000A4A9E"/>
    <w:rsid w:val="000A4AEC"/>
    <w:rsid w:val="000A4CCB"/>
    <w:rsid w:val="000A4CD7"/>
    <w:rsid w:val="000A4E08"/>
    <w:rsid w:val="000A4E1D"/>
    <w:rsid w:val="000A4F06"/>
    <w:rsid w:val="000A4F6E"/>
    <w:rsid w:val="000A4FE3"/>
    <w:rsid w:val="000A501D"/>
    <w:rsid w:val="000A5198"/>
    <w:rsid w:val="000A5221"/>
    <w:rsid w:val="000A5286"/>
    <w:rsid w:val="000A5370"/>
    <w:rsid w:val="000A5411"/>
    <w:rsid w:val="000A56B1"/>
    <w:rsid w:val="000A578D"/>
    <w:rsid w:val="000A587D"/>
    <w:rsid w:val="000A58B6"/>
    <w:rsid w:val="000A59F9"/>
    <w:rsid w:val="000A5A08"/>
    <w:rsid w:val="000A5A50"/>
    <w:rsid w:val="000A5AD4"/>
    <w:rsid w:val="000A5B9B"/>
    <w:rsid w:val="000A5C5E"/>
    <w:rsid w:val="000A5CA4"/>
    <w:rsid w:val="000A5CF4"/>
    <w:rsid w:val="000A5E55"/>
    <w:rsid w:val="000A5F82"/>
    <w:rsid w:val="000A5FD3"/>
    <w:rsid w:val="000A6043"/>
    <w:rsid w:val="000A6265"/>
    <w:rsid w:val="000A6332"/>
    <w:rsid w:val="000A6481"/>
    <w:rsid w:val="000A64E1"/>
    <w:rsid w:val="000A6590"/>
    <w:rsid w:val="000A65BF"/>
    <w:rsid w:val="000A660C"/>
    <w:rsid w:val="000A667E"/>
    <w:rsid w:val="000A682F"/>
    <w:rsid w:val="000A686F"/>
    <w:rsid w:val="000A68B1"/>
    <w:rsid w:val="000A694F"/>
    <w:rsid w:val="000A6AF2"/>
    <w:rsid w:val="000A6B57"/>
    <w:rsid w:val="000A6C2A"/>
    <w:rsid w:val="000A6CA1"/>
    <w:rsid w:val="000A6D66"/>
    <w:rsid w:val="000A6E8C"/>
    <w:rsid w:val="000A6F3B"/>
    <w:rsid w:val="000A7135"/>
    <w:rsid w:val="000A714A"/>
    <w:rsid w:val="000A71C2"/>
    <w:rsid w:val="000A7247"/>
    <w:rsid w:val="000A7272"/>
    <w:rsid w:val="000A7349"/>
    <w:rsid w:val="000A761D"/>
    <w:rsid w:val="000A765F"/>
    <w:rsid w:val="000A76A6"/>
    <w:rsid w:val="000A77C9"/>
    <w:rsid w:val="000A785B"/>
    <w:rsid w:val="000A7BC9"/>
    <w:rsid w:val="000A7CEE"/>
    <w:rsid w:val="000A7EE0"/>
    <w:rsid w:val="000B0206"/>
    <w:rsid w:val="000B022A"/>
    <w:rsid w:val="000B028C"/>
    <w:rsid w:val="000B02CF"/>
    <w:rsid w:val="000B0431"/>
    <w:rsid w:val="000B0698"/>
    <w:rsid w:val="000B070A"/>
    <w:rsid w:val="000B0734"/>
    <w:rsid w:val="000B07AB"/>
    <w:rsid w:val="000B08FA"/>
    <w:rsid w:val="000B0911"/>
    <w:rsid w:val="000B09B3"/>
    <w:rsid w:val="000B0BF0"/>
    <w:rsid w:val="000B0D99"/>
    <w:rsid w:val="000B1092"/>
    <w:rsid w:val="000B116D"/>
    <w:rsid w:val="000B1172"/>
    <w:rsid w:val="000B122F"/>
    <w:rsid w:val="000B127A"/>
    <w:rsid w:val="000B14BE"/>
    <w:rsid w:val="000B1577"/>
    <w:rsid w:val="000B15A6"/>
    <w:rsid w:val="000B1732"/>
    <w:rsid w:val="000B1892"/>
    <w:rsid w:val="000B18CB"/>
    <w:rsid w:val="000B1906"/>
    <w:rsid w:val="000B1923"/>
    <w:rsid w:val="000B1988"/>
    <w:rsid w:val="000B1C95"/>
    <w:rsid w:val="000B1D6D"/>
    <w:rsid w:val="000B1D95"/>
    <w:rsid w:val="000B1DA4"/>
    <w:rsid w:val="000B1E66"/>
    <w:rsid w:val="000B1E68"/>
    <w:rsid w:val="000B1E9A"/>
    <w:rsid w:val="000B205E"/>
    <w:rsid w:val="000B2073"/>
    <w:rsid w:val="000B2088"/>
    <w:rsid w:val="000B21E1"/>
    <w:rsid w:val="000B2313"/>
    <w:rsid w:val="000B2344"/>
    <w:rsid w:val="000B24BD"/>
    <w:rsid w:val="000B264F"/>
    <w:rsid w:val="000B2747"/>
    <w:rsid w:val="000B2755"/>
    <w:rsid w:val="000B2808"/>
    <w:rsid w:val="000B2866"/>
    <w:rsid w:val="000B291A"/>
    <w:rsid w:val="000B29A1"/>
    <w:rsid w:val="000B2A58"/>
    <w:rsid w:val="000B2A7F"/>
    <w:rsid w:val="000B2AD7"/>
    <w:rsid w:val="000B2B18"/>
    <w:rsid w:val="000B2B46"/>
    <w:rsid w:val="000B2B7F"/>
    <w:rsid w:val="000B2BB8"/>
    <w:rsid w:val="000B2BC9"/>
    <w:rsid w:val="000B2C25"/>
    <w:rsid w:val="000B2C5B"/>
    <w:rsid w:val="000B2C6D"/>
    <w:rsid w:val="000B2D61"/>
    <w:rsid w:val="000B2FB3"/>
    <w:rsid w:val="000B3042"/>
    <w:rsid w:val="000B30D4"/>
    <w:rsid w:val="000B3126"/>
    <w:rsid w:val="000B34A6"/>
    <w:rsid w:val="000B3506"/>
    <w:rsid w:val="000B35E7"/>
    <w:rsid w:val="000B36BF"/>
    <w:rsid w:val="000B37F8"/>
    <w:rsid w:val="000B39A0"/>
    <w:rsid w:val="000B39F6"/>
    <w:rsid w:val="000B3BF5"/>
    <w:rsid w:val="000B3C18"/>
    <w:rsid w:val="000B3C54"/>
    <w:rsid w:val="000B3C61"/>
    <w:rsid w:val="000B3D48"/>
    <w:rsid w:val="000B3DC8"/>
    <w:rsid w:val="000B3E6F"/>
    <w:rsid w:val="000B414A"/>
    <w:rsid w:val="000B42ED"/>
    <w:rsid w:val="000B433A"/>
    <w:rsid w:val="000B4492"/>
    <w:rsid w:val="000B44EC"/>
    <w:rsid w:val="000B451A"/>
    <w:rsid w:val="000B45C6"/>
    <w:rsid w:val="000B45D4"/>
    <w:rsid w:val="000B46B0"/>
    <w:rsid w:val="000B4772"/>
    <w:rsid w:val="000B4834"/>
    <w:rsid w:val="000B486A"/>
    <w:rsid w:val="000B4889"/>
    <w:rsid w:val="000B48AB"/>
    <w:rsid w:val="000B4A34"/>
    <w:rsid w:val="000B4B2E"/>
    <w:rsid w:val="000B4B30"/>
    <w:rsid w:val="000B4B47"/>
    <w:rsid w:val="000B4C5A"/>
    <w:rsid w:val="000B4C8E"/>
    <w:rsid w:val="000B4CF5"/>
    <w:rsid w:val="000B4D46"/>
    <w:rsid w:val="000B50CF"/>
    <w:rsid w:val="000B50EA"/>
    <w:rsid w:val="000B5103"/>
    <w:rsid w:val="000B51EB"/>
    <w:rsid w:val="000B51ED"/>
    <w:rsid w:val="000B520B"/>
    <w:rsid w:val="000B5215"/>
    <w:rsid w:val="000B5279"/>
    <w:rsid w:val="000B5468"/>
    <w:rsid w:val="000B5485"/>
    <w:rsid w:val="000B55CE"/>
    <w:rsid w:val="000B5718"/>
    <w:rsid w:val="000B5764"/>
    <w:rsid w:val="000B59C0"/>
    <w:rsid w:val="000B5A09"/>
    <w:rsid w:val="000B5A76"/>
    <w:rsid w:val="000B5AA8"/>
    <w:rsid w:val="000B5B68"/>
    <w:rsid w:val="000B5B82"/>
    <w:rsid w:val="000B5C0B"/>
    <w:rsid w:val="000B5CF7"/>
    <w:rsid w:val="000B5D6E"/>
    <w:rsid w:val="000B5DCB"/>
    <w:rsid w:val="000B5DEC"/>
    <w:rsid w:val="000B5EA7"/>
    <w:rsid w:val="000B5EB5"/>
    <w:rsid w:val="000B5F94"/>
    <w:rsid w:val="000B6297"/>
    <w:rsid w:val="000B6347"/>
    <w:rsid w:val="000B67C6"/>
    <w:rsid w:val="000B686E"/>
    <w:rsid w:val="000B689C"/>
    <w:rsid w:val="000B6A4E"/>
    <w:rsid w:val="000B6AA9"/>
    <w:rsid w:val="000B6B2F"/>
    <w:rsid w:val="000B6C21"/>
    <w:rsid w:val="000B7131"/>
    <w:rsid w:val="000B7258"/>
    <w:rsid w:val="000B72FC"/>
    <w:rsid w:val="000B736D"/>
    <w:rsid w:val="000B73D4"/>
    <w:rsid w:val="000B7518"/>
    <w:rsid w:val="000B7581"/>
    <w:rsid w:val="000B75D5"/>
    <w:rsid w:val="000B7731"/>
    <w:rsid w:val="000B773C"/>
    <w:rsid w:val="000B776A"/>
    <w:rsid w:val="000B77FE"/>
    <w:rsid w:val="000B78BD"/>
    <w:rsid w:val="000B79A1"/>
    <w:rsid w:val="000B7A97"/>
    <w:rsid w:val="000B7B20"/>
    <w:rsid w:val="000B7C1A"/>
    <w:rsid w:val="000B7C1B"/>
    <w:rsid w:val="000B7C4E"/>
    <w:rsid w:val="000B7D8E"/>
    <w:rsid w:val="000B7DF7"/>
    <w:rsid w:val="000B7E53"/>
    <w:rsid w:val="000B7F23"/>
    <w:rsid w:val="000B7F7F"/>
    <w:rsid w:val="000C00C5"/>
    <w:rsid w:val="000C011D"/>
    <w:rsid w:val="000C0159"/>
    <w:rsid w:val="000C0317"/>
    <w:rsid w:val="000C03DC"/>
    <w:rsid w:val="000C040C"/>
    <w:rsid w:val="000C05F7"/>
    <w:rsid w:val="000C0650"/>
    <w:rsid w:val="000C06C4"/>
    <w:rsid w:val="000C0865"/>
    <w:rsid w:val="000C0A29"/>
    <w:rsid w:val="000C0AAF"/>
    <w:rsid w:val="000C0BAA"/>
    <w:rsid w:val="000C0D5D"/>
    <w:rsid w:val="000C0EFD"/>
    <w:rsid w:val="000C0F60"/>
    <w:rsid w:val="000C0F64"/>
    <w:rsid w:val="000C1084"/>
    <w:rsid w:val="000C10C0"/>
    <w:rsid w:val="000C1144"/>
    <w:rsid w:val="000C1159"/>
    <w:rsid w:val="000C1225"/>
    <w:rsid w:val="000C12CC"/>
    <w:rsid w:val="000C13BC"/>
    <w:rsid w:val="000C13D4"/>
    <w:rsid w:val="000C13DF"/>
    <w:rsid w:val="000C147A"/>
    <w:rsid w:val="000C159D"/>
    <w:rsid w:val="000C15D9"/>
    <w:rsid w:val="000C1689"/>
    <w:rsid w:val="000C17DF"/>
    <w:rsid w:val="000C1845"/>
    <w:rsid w:val="000C1965"/>
    <w:rsid w:val="000C1DCC"/>
    <w:rsid w:val="000C1E62"/>
    <w:rsid w:val="000C1EDC"/>
    <w:rsid w:val="000C1FB4"/>
    <w:rsid w:val="000C1FDE"/>
    <w:rsid w:val="000C2157"/>
    <w:rsid w:val="000C22C5"/>
    <w:rsid w:val="000C22CC"/>
    <w:rsid w:val="000C23AA"/>
    <w:rsid w:val="000C243B"/>
    <w:rsid w:val="000C244E"/>
    <w:rsid w:val="000C24FF"/>
    <w:rsid w:val="000C2509"/>
    <w:rsid w:val="000C2558"/>
    <w:rsid w:val="000C2618"/>
    <w:rsid w:val="000C2630"/>
    <w:rsid w:val="000C2706"/>
    <w:rsid w:val="000C27A9"/>
    <w:rsid w:val="000C2813"/>
    <w:rsid w:val="000C28F5"/>
    <w:rsid w:val="000C29EB"/>
    <w:rsid w:val="000C2CA8"/>
    <w:rsid w:val="000C2D0A"/>
    <w:rsid w:val="000C2D12"/>
    <w:rsid w:val="000C31D5"/>
    <w:rsid w:val="000C322F"/>
    <w:rsid w:val="000C333D"/>
    <w:rsid w:val="000C35E5"/>
    <w:rsid w:val="000C380B"/>
    <w:rsid w:val="000C39C5"/>
    <w:rsid w:val="000C3A3A"/>
    <w:rsid w:val="000C3A4F"/>
    <w:rsid w:val="000C3AAE"/>
    <w:rsid w:val="000C3AB0"/>
    <w:rsid w:val="000C3B20"/>
    <w:rsid w:val="000C3B42"/>
    <w:rsid w:val="000C3B9A"/>
    <w:rsid w:val="000C3D94"/>
    <w:rsid w:val="000C3E31"/>
    <w:rsid w:val="000C3E5E"/>
    <w:rsid w:val="000C3F18"/>
    <w:rsid w:val="000C3FAA"/>
    <w:rsid w:val="000C402B"/>
    <w:rsid w:val="000C4102"/>
    <w:rsid w:val="000C4109"/>
    <w:rsid w:val="000C41AB"/>
    <w:rsid w:val="000C41BF"/>
    <w:rsid w:val="000C4213"/>
    <w:rsid w:val="000C444A"/>
    <w:rsid w:val="000C4454"/>
    <w:rsid w:val="000C44BF"/>
    <w:rsid w:val="000C450D"/>
    <w:rsid w:val="000C45A0"/>
    <w:rsid w:val="000C45D1"/>
    <w:rsid w:val="000C465A"/>
    <w:rsid w:val="000C467E"/>
    <w:rsid w:val="000C46A9"/>
    <w:rsid w:val="000C46E6"/>
    <w:rsid w:val="000C476E"/>
    <w:rsid w:val="000C48A5"/>
    <w:rsid w:val="000C492E"/>
    <w:rsid w:val="000C4939"/>
    <w:rsid w:val="000C4A93"/>
    <w:rsid w:val="000C4B5F"/>
    <w:rsid w:val="000C4C58"/>
    <w:rsid w:val="000C4CB6"/>
    <w:rsid w:val="000C4CE5"/>
    <w:rsid w:val="000C4DD0"/>
    <w:rsid w:val="000C4E5A"/>
    <w:rsid w:val="000C4EE1"/>
    <w:rsid w:val="000C4F48"/>
    <w:rsid w:val="000C4F76"/>
    <w:rsid w:val="000C5147"/>
    <w:rsid w:val="000C5168"/>
    <w:rsid w:val="000C5174"/>
    <w:rsid w:val="000C51EC"/>
    <w:rsid w:val="000C5285"/>
    <w:rsid w:val="000C52F2"/>
    <w:rsid w:val="000C54B4"/>
    <w:rsid w:val="000C550E"/>
    <w:rsid w:val="000C569F"/>
    <w:rsid w:val="000C56EB"/>
    <w:rsid w:val="000C5750"/>
    <w:rsid w:val="000C5756"/>
    <w:rsid w:val="000C5774"/>
    <w:rsid w:val="000C57FD"/>
    <w:rsid w:val="000C584B"/>
    <w:rsid w:val="000C58E3"/>
    <w:rsid w:val="000C5934"/>
    <w:rsid w:val="000C595E"/>
    <w:rsid w:val="000C59CB"/>
    <w:rsid w:val="000C5A65"/>
    <w:rsid w:val="000C5C6E"/>
    <w:rsid w:val="000C5C8F"/>
    <w:rsid w:val="000C5CF7"/>
    <w:rsid w:val="000C5DD1"/>
    <w:rsid w:val="000C5FF0"/>
    <w:rsid w:val="000C608F"/>
    <w:rsid w:val="000C61A6"/>
    <w:rsid w:val="000C620D"/>
    <w:rsid w:val="000C62E5"/>
    <w:rsid w:val="000C63CC"/>
    <w:rsid w:val="000C64C0"/>
    <w:rsid w:val="000C64E4"/>
    <w:rsid w:val="000C6530"/>
    <w:rsid w:val="000C65E1"/>
    <w:rsid w:val="000C65E9"/>
    <w:rsid w:val="000C66B2"/>
    <w:rsid w:val="000C6AA1"/>
    <w:rsid w:val="000C6BB9"/>
    <w:rsid w:val="000C6F7D"/>
    <w:rsid w:val="000C6FAE"/>
    <w:rsid w:val="000C6FB9"/>
    <w:rsid w:val="000C711C"/>
    <w:rsid w:val="000C722C"/>
    <w:rsid w:val="000C745B"/>
    <w:rsid w:val="000C745C"/>
    <w:rsid w:val="000C752E"/>
    <w:rsid w:val="000C755E"/>
    <w:rsid w:val="000C7617"/>
    <w:rsid w:val="000C78E8"/>
    <w:rsid w:val="000C7B2C"/>
    <w:rsid w:val="000C7B9C"/>
    <w:rsid w:val="000C7CD1"/>
    <w:rsid w:val="000C7D3C"/>
    <w:rsid w:val="000C7D47"/>
    <w:rsid w:val="000C7F8E"/>
    <w:rsid w:val="000D011A"/>
    <w:rsid w:val="000D0160"/>
    <w:rsid w:val="000D018F"/>
    <w:rsid w:val="000D019D"/>
    <w:rsid w:val="000D029E"/>
    <w:rsid w:val="000D03AC"/>
    <w:rsid w:val="000D0416"/>
    <w:rsid w:val="000D0496"/>
    <w:rsid w:val="000D0608"/>
    <w:rsid w:val="000D064D"/>
    <w:rsid w:val="000D06FE"/>
    <w:rsid w:val="000D0991"/>
    <w:rsid w:val="000D09A3"/>
    <w:rsid w:val="000D0B2B"/>
    <w:rsid w:val="000D0C0F"/>
    <w:rsid w:val="000D0D65"/>
    <w:rsid w:val="000D0D9D"/>
    <w:rsid w:val="000D0DD5"/>
    <w:rsid w:val="000D0EE6"/>
    <w:rsid w:val="000D10E2"/>
    <w:rsid w:val="000D10E4"/>
    <w:rsid w:val="000D1145"/>
    <w:rsid w:val="000D117E"/>
    <w:rsid w:val="000D13DA"/>
    <w:rsid w:val="000D1542"/>
    <w:rsid w:val="000D16B3"/>
    <w:rsid w:val="000D18E8"/>
    <w:rsid w:val="000D1A84"/>
    <w:rsid w:val="000D1AC6"/>
    <w:rsid w:val="000D1B0C"/>
    <w:rsid w:val="000D1B1D"/>
    <w:rsid w:val="000D1B5C"/>
    <w:rsid w:val="000D1BF2"/>
    <w:rsid w:val="000D1E74"/>
    <w:rsid w:val="000D1E8B"/>
    <w:rsid w:val="000D1FC4"/>
    <w:rsid w:val="000D2034"/>
    <w:rsid w:val="000D2045"/>
    <w:rsid w:val="000D20D9"/>
    <w:rsid w:val="000D2186"/>
    <w:rsid w:val="000D21BA"/>
    <w:rsid w:val="000D21C5"/>
    <w:rsid w:val="000D2330"/>
    <w:rsid w:val="000D236E"/>
    <w:rsid w:val="000D2631"/>
    <w:rsid w:val="000D2633"/>
    <w:rsid w:val="000D26FC"/>
    <w:rsid w:val="000D2844"/>
    <w:rsid w:val="000D2971"/>
    <w:rsid w:val="000D2A7C"/>
    <w:rsid w:val="000D2AC2"/>
    <w:rsid w:val="000D2C09"/>
    <w:rsid w:val="000D2C19"/>
    <w:rsid w:val="000D2C34"/>
    <w:rsid w:val="000D2CD7"/>
    <w:rsid w:val="000D2D8A"/>
    <w:rsid w:val="000D3074"/>
    <w:rsid w:val="000D3124"/>
    <w:rsid w:val="000D3148"/>
    <w:rsid w:val="000D3277"/>
    <w:rsid w:val="000D3394"/>
    <w:rsid w:val="000D33E3"/>
    <w:rsid w:val="000D341D"/>
    <w:rsid w:val="000D347C"/>
    <w:rsid w:val="000D34A1"/>
    <w:rsid w:val="000D34DF"/>
    <w:rsid w:val="000D3540"/>
    <w:rsid w:val="000D3573"/>
    <w:rsid w:val="000D3591"/>
    <w:rsid w:val="000D35C8"/>
    <w:rsid w:val="000D369C"/>
    <w:rsid w:val="000D369F"/>
    <w:rsid w:val="000D3774"/>
    <w:rsid w:val="000D37A6"/>
    <w:rsid w:val="000D3887"/>
    <w:rsid w:val="000D396E"/>
    <w:rsid w:val="000D3B1C"/>
    <w:rsid w:val="000D3B35"/>
    <w:rsid w:val="000D3B36"/>
    <w:rsid w:val="000D3BFF"/>
    <w:rsid w:val="000D3C02"/>
    <w:rsid w:val="000D3F86"/>
    <w:rsid w:val="000D41D6"/>
    <w:rsid w:val="000D420C"/>
    <w:rsid w:val="000D4285"/>
    <w:rsid w:val="000D430F"/>
    <w:rsid w:val="000D435C"/>
    <w:rsid w:val="000D4430"/>
    <w:rsid w:val="000D44D0"/>
    <w:rsid w:val="000D4692"/>
    <w:rsid w:val="000D46A0"/>
    <w:rsid w:val="000D4714"/>
    <w:rsid w:val="000D4775"/>
    <w:rsid w:val="000D4779"/>
    <w:rsid w:val="000D47A0"/>
    <w:rsid w:val="000D47DC"/>
    <w:rsid w:val="000D4A64"/>
    <w:rsid w:val="000D4BFD"/>
    <w:rsid w:val="000D4C48"/>
    <w:rsid w:val="000D4CB6"/>
    <w:rsid w:val="000D4D2D"/>
    <w:rsid w:val="000D4DE0"/>
    <w:rsid w:val="000D4ED1"/>
    <w:rsid w:val="000D4F38"/>
    <w:rsid w:val="000D4F5D"/>
    <w:rsid w:val="000D5021"/>
    <w:rsid w:val="000D50FF"/>
    <w:rsid w:val="000D5437"/>
    <w:rsid w:val="000D54E8"/>
    <w:rsid w:val="000D5560"/>
    <w:rsid w:val="000D57E3"/>
    <w:rsid w:val="000D5835"/>
    <w:rsid w:val="000D5B17"/>
    <w:rsid w:val="000D5B36"/>
    <w:rsid w:val="000D5BC4"/>
    <w:rsid w:val="000D5BED"/>
    <w:rsid w:val="000D5C28"/>
    <w:rsid w:val="000D5DBA"/>
    <w:rsid w:val="000D5E17"/>
    <w:rsid w:val="000D5F18"/>
    <w:rsid w:val="000D6009"/>
    <w:rsid w:val="000D60B0"/>
    <w:rsid w:val="000D610E"/>
    <w:rsid w:val="000D6186"/>
    <w:rsid w:val="000D6195"/>
    <w:rsid w:val="000D61D2"/>
    <w:rsid w:val="000D6231"/>
    <w:rsid w:val="000D62E6"/>
    <w:rsid w:val="000D6329"/>
    <w:rsid w:val="000D6514"/>
    <w:rsid w:val="000D65C7"/>
    <w:rsid w:val="000D6623"/>
    <w:rsid w:val="000D6881"/>
    <w:rsid w:val="000D68C8"/>
    <w:rsid w:val="000D69BB"/>
    <w:rsid w:val="000D6A0F"/>
    <w:rsid w:val="000D6BED"/>
    <w:rsid w:val="000D6D53"/>
    <w:rsid w:val="000D6D7B"/>
    <w:rsid w:val="000D6E0A"/>
    <w:rsid w:val="000D6E73"/>
    <w:rsid w:val="000D6F29"/>
    <w:rsid w:val="000D6F4E"/>
    <w:rsid w:val="000D6F66"/>
    <w:rsid w:val="000D702D"/>
    <w:rsid w:val="000D71CD"/>
    <w:rsid w:val="000D7312"/>
    <w:rsid w:val="000D74A8"/>
    <w:rsid w:val="000D74D2"/>
    <w:rsid w:val="000D757D"/>
    <w:rsid w:val="000D7632"/>
    <w:rsid w:val="000D769D"/>
    <w:rsid w:val="000D774D"/>
    <w:rsid w:val="000D7796"/>
    <w:rsid w:val="000D7820"/>
    <w:rsid w:val="000D7912"/>
    <w:rsid w:val="000D79B7"/>
    <w:rsid w:val="000D79C8"/>
    <w:rsid w:val="000D7B09"/>
    <w:rsid w:val="000D7BAE"/>
    <w:rsid w:val="000D7E40"/>
    <w:rsid w:val="000D7E6B"/>
    <w:rsid w:val="000D7F0D"/>
    <w:rsid w:val="000D7F5D"/>
    <w:rsid w:val="000E00BD"/>
    <w:rsid w:val="000E00D2"/>
    <w:rsid w:val="000E015E"/>
    <w:rsid w:val="000E03B0"/>
    <w:rsid w:val="000E040C"/>
    <w:rsid w:val="000E048D"/>
    <w:rsid w:val="000E0668"/>
    <w:rsid w:val="000E0732"/>
    <w:rsid w:val="000E07B2"/>
    <w:rsid w:val="000E081E"/>
    <w:rsid w:val="000E0953"/>
    <w:rsid w:val="000E0B6A"/>
    <w:rsid w:val="000E0BB9"/>
    <w:rsid w:val="000E0D5D"/>
    <w:rsid w:val="000E0DD5"/>
    <w:rsid w:val="000E0E24"/>
    <w:rsid w:val="000E0FB9"/>
    <w:rsid w:val="000E1051"/>
    <w:rsid w:val="000E11D3"/>
    <w:rsid w:val="000E12AC"/>
    <w:rsid w:val="000E13DB"/>
    <w:rsid w:val="000E1501"/>
    <w:rsid w:val="000E152E"/>
    <w:rsid w:val="000E155A"/>
    <w:rsid w:val="000E156E"/>
    <w:rsid w:val="000E158C"/>
    <w:rsid w:val="000E1613"/>
    <w:rsid w:val="000E164D"/>
    <w:rsid w:val="000E177A"/>
    <w:rsid w:val="000E1A19"/>
    <w:rsid w:val="000E1AD5"/>
    <w:rsid w:val="000E1AE3"/>
    <w:rsid w:val="000E1B6C"/>
    <w:rsid w:val="000E1B9F"/>
    <w:rsid w:val="000E1DD6"/>
    <w:rsid w:val="000E1E13"/>
    <w:rsid w:val="000E1EBD"/>
    <w:rsid w:val="000E1F1A"/>
    <w:rsid w:val="000E2028"/>
    <w:rsid w:val="000E2103"/>
    <w:rsid w:val="000E2238"/>
    <w:rsid w:val="000E2271"/>
    <w:rsid w:val="000E22F4"/>
    <w:rsid w:val="000E238D"/>
    <w:rsid w:val="000E23B8"/>
    <w:rsid w:val="000E241C"/>
    <w:rsid w:val="000E247F"/>
    <w:rsid w:val="000E24EB"/>
    <w:rsid w:val="000E2500"/>
    <w:rsid w:val="000E2554"/>
    <w:rsid w:val="000E26AE"/>
    <w:rsid w:val="000E28E6"/>
    <w:rsid w:val="000E2902"/>
    <w:rsid w:val="000E2945"/>
    <w:rsid w:val="000E29FD"/>
    <w:rsid w:val="000E2BB4"/>
    <w:rsid w:val="000E2D21"/>
    <w:rsid w:val="000E2D66"/>
    <w:rsid w:val="000E2DA0"/>
    <w:rsid w:val="000E2DB6"/>
    <w:rsid w:val="000E2F43"/>
    <w:rsid w:val="000E3072"/>
    <w:rsid w:val="000E3078"/>
    <w:rsid w:val="000E31D2"/>
    <w:rsid w:val="000E31D5"/>
    <w:rsid w:val="000E31E8"/>
    <w:rsid w:val="000E325A"/>
    <w:rsid w:val="000E331D"/>
    <w:rsid w:val="000E3354"/>
    <w:rsid w:val="000E35FB"/>
    <w:rsid w:val="000E3616"/>
    <w:rsid w:val="000E3905"/>
    <w:rsid w:val="000E3906"/>
    <w:rsid w:val="000E3940"/>
    <w:rsid w:val="000E39EC"/>
    <w:rsid w:val="000E3AD7"/>
    <w:rsid w:val="000E3BE7"/>
    <w:rsid w:val="000E3E62"/>
    <w:rsid w:val="000E4019"/>
    <w:rsid w:val="000E407B"/>
    <w:rsid w:val="000E4177"/>
    <w:rsid w:val="000E43FE"/>
    <w:rsid w:val="000E44C5"/>
    <w:rsid w:val="000E45C6"/>
    <w:rsid w:val="000E4623"/>
    <w:rsid w:val="000E4661"/>
    <w:rsid w:val="000E47B6"/>
    <w:rsid w:val="000E48EE"/>
    <w:rsid w:val="000E497B"/>
    <w:rsid w:val="000E498C"/>
    <w:rsid w:val="000E49E9"/>
    <w:rsid w:val="000E4A5E"/>
    <w:rsid w:val="000E4AE4"/>
    <w:rsid w:val="000E4C19"/>
    <w:rsid w:val="000E4C2F"/>
    <w:rsid w:val="000E4D95"/>
    <w:rsid w:val="000E4DC2"/>
    <w:rsid w:val="000E4E3C"/>
    <w:rsid w:val="000E4E4E"/>
    <w:rsid w:val="000E4E98"/>
    <w:rsid w:val="000E4F07"/>
    <w:rsid w:val="000E4F1D"/>
    <w:rsid w:val="000E4FCB"/>
    <w:rsid w:val="000E5177"/>
    <w:rsid w:val="000E5201"/>
    <w:rsid w:val="000E529E"/>
    <w:rsid w:val="000E534D"/>
    <w:rsid w:val="000E5386"/>
    <w:rsid w:val="000E538E"/>
    <w:rsid w:val="000E54C5"/>
    <w:rsid w:val="000E557F"/>
    <w:rsid w:val="000E55B9"/>
    <w:rsid w:val="000E56A8"/>
    <w:rsid w:val="000E5707"/>
    <w:rsid w:val="000E5789"/>
    <w:rsid w:val="000E57A4"/>
    <w:rsid w:val="000E589B"/>
    <w:rsid w:val="000E5C11"/>
    <w:rsid w:val="000E5D33"/>
    <w:rsid w:val="000E5EC1"/>
    <w:rsid w:val="000E5EFB"/>
    <w:rsid w:val="000E6522"/>
    <w:rsid w:val="000E666F"/>
    <w:rsid w:val="000E6670"/>
    <w:rsid w:val="000E684B"/>
    <w:rsid w:val="000E6892"/>
    <w:rsid w:val="000E68CD"/>
    <w:rsid w:val="000E6B43"/>
    <w:rsid w:val="000E6B49"/>
    <w:rsid w:val="000E6C13"/>
    <w:rsid w:val="000E6C6A"/>
    <w:rsid w:val="000E6C7C"/>
    <w:rsid w:val="000E6CAC"/>
    <w:rsid w:val="000E6CEF"/>
    <w:rsid w:val="000E6D7C"/>
    <w:rsid w:val="000E6E26"/>
    <w:rsid w:val="000E6E42"/>
    <w:rsid w:val="000E6FC9"/>
    <w:rsid w:val="000E6FE2"/>
    <w:rsid w:val="000E7096"/>
    <w:rsid w:val="000E70EB"/>
    <w:rsid w:val="000E7112"/>
    <w:rsid w:val="000E7155"/>
    <w:rsid w:val="000E72F9"/>
    <w:rsid w:val="000E734D"/>
    <w:rsid w:val="000E73ED"/>
    <w:rsid w:val="000E7438"/>
    <w:rsid w:val="000E7497"/>
    <w:rsid w:val="000E74CA"/>
    <w:rsid w:val="000E74F6"/>
    <w:rsid w:val="000E7561"/>
    <w:rsid w:val="000E75C6"/>
    <w:rsid w:val="000E75DD"/>
    <w:rsid w:val="000E772B"/>
    <w:rsid w:val="000E7938"/>
    <w:rsid w:val="000E7994"/>
    <w:rsid w:val="000E79F8"/>
    <w:rsid w:val="000E7A4F"/>
    <w:rsid w:val="000E7B77"/>
    <w:rsid w:val="000E7BFB"/>
    <w:rsid w:val="000E7C5B"/>
    <w:rsid w:val="000E7C8E"/>
    <w:rsid w:val="000E7D15"/>
    <w:rsid w:val="000E7D4F"/>
    <w:rsid w:val="000E7DB8"/>
    <w:rsid w:val="000E7EB9"/>
    <w:rsid w:val="000E7ED3"/>
    <w:rsid w:val="000E7F7F"/>
    <w:rsid w:val="000F00C0"/>
    <w:rsid w:val="000F022F"/>
    <w:rsid w:val="000F03A3"/>
    <w:rsid w:val="000F0431"/>
    <w:rsid w:val="000F0643"/>
    <w:rsid w:val="000F078E"/>
    <w:rsid w:val="000F087D"/>
    <w:rsid w:val="000F09A6"/>
    <w:rsid w:val="000F0A2C"/>
    <w:rsid w:val="000F0B82"/>
    <w:rsid w:val="000F0C8B"/>
    <w:rsid w:val="000F0EAF"/>
    <w:rsid w:val="000F0F0F"/>
    <w:rsid w:val="000F0F56"/>
    <w:rsid w:val="000F0FAF"/>
    <w:rsid w:val="000F100F"/>
    <w:rsid w:val="000F11FB"/>
    <w:rsid w:val="000F12A8"/>
    <w:rsid w:val="000F14DF"/>
    <w:rsid w:val="000F1527"/>
    <w:rsid w:val="000F154F"/>
    <w:rsid w:val="000F15B7"/>
    <w:rsid w:val="000F187D"/>
    <w:rsid w:val="000F1885"/>
    <w:rsid w:val="000F1891"/>
    <w:rsid w:val="000F1911"/>
    <w:rsid w:val="000F1A8B"/>
    <w:rsid w:val="000F1ABB"/>
    <w:rsid w:val="000F1BB4"/>
    <w:rsid w:val="000F1BCF"/>
    <w:rsid w:val="000F1D84"/>
    <w:rsid w:val="000F1F4B"/>
    <w:rsid w:val="000F2004"/>
    <w:rsid w:val="000F200E"/>
    <w:rsid w:val="000F226D"/>
    <w:rsid w:val="000F228B"/>
    <w:rsid w:val="000F24B8"/>
    <w:rsid w:val="000F25EF"/>
    <w:rsid w:val="000F2640"/>
    <w:rsid w:val="000F2675"/>
    <w:rsid w:val="000F26E3"/>
    <w:rsid w:val="000F2853"/>
    <w:rsid w:val="000F289D"/>
    <w:rsid w:val="000F2943"/>
    <w:rsid w:val="000F2995"/>
    <w:rsid w:val="000F2A6B"/>
    <w:rsid w:val="000F2BFC"/>
    <w:rsid w:val="000F2D8B"/>
    <w:rsid w:val="000F2E12"/>
    <w:rsid w:val="000F2EA3"/>
    <w:rsid w:val="000F2EB1"/>
    <w:rsid w:val="000F308B"/>
    <w:rsid w:val="000F31A4"/>
    <w:rsid w:val="000F333D"/>
    <w:rsid w:val="000F341A"/>
    <w:rsid w:val="000F342B"/>
    <w:rsid w:val="000F34D1"/>
    <w:rsid w:val="000F3569"/>
    <w:rsid w:val="000F36FC"/>
    <w:rsid w:val="000F371A"/>
    <w:rsid w:val="000F3A76"/>
    <w:rsid w:val="000F3A87"/>
    <w:rsid w:val="000F3B2E"/>
    <w:rsid w:val="000F3B41"/>
    <w:rsid w:val="000F3CE8"/>
    <w:rsid w:val="000F3E9B"/>
    <w:rsid w:val="000F3ECF"/>
    <w:rsid w:val="000F3F21"/>
    <w:rsid w:val="000F4003"/>
    <w:rsid w:val="000F419A"/>
    <w:rsid w:val="000F4294"/>
    <w:rsid w:val="000F430B"/>
    <w:rsid w:val="000F43C4"/>
    <w:rsid w:val="000F445A"/>
    <w:rsid w:val="000F4512"/>
    <w:rsid w:val="000F453F"/>
    <w:rsid w:val="000F463D"/>
    <w:rsid w:val="000F467B"/>
    <w:rsid w:val="000F48B3"/>
    <w:rsid w:val="000F4A87"/>
    <w:rsid w:val="000F4AD7"/>
    <w:rsid w:val="000F4AE9"/>
    <w:rsid w:val="000F4B0E"/>
    <w:rsid w:val="000F4B61"/>
    <w:rsid w:val="000F4B66"/>
    <w:rsid w:val="000F4C68"/>
    <w:rsid w:val="000F4EDA"/>
    <w:rsid w:val="000F4F62"/>
    <w:rsid w:val="000F4FA9"/>
    <w:rsid w:val="000F510B"/>
    <w:rsid w:val="000F517C"/>
    <w:rsid w:val="000F51BE"/>
    <w:rsid w:val="000F52B3"/>
    <w:rsid w:val="000F5351"/>
    <w:rsid w:val="000F53FD"/>
    <w:rsid w:val="000F541A"/>
    <w:rsid w:val="000F5455"/>
    <w:rsid w:val="000F55A9"/>
    <w:rsid w:val="000F5617"/>
    <w:rsid w:val="000F561D"/>
    <w:rsid w:val="000F5715"/>
    <w:rsid w:val="000F574F"/>
    <w:rsid w:val="000F5768"/>
    <w:rsid w:val="000F5A46"/>
    <w:rsid w:val="000F5ADB"/>
    <w:rsid w:val="000F5B40"/>
    <w:rsid w:val="000F5C2E"/>
    <w:rsid w:val="000F5DE3"/>
    <w:rsid w:val="000F5DEA"/>
    <w:rsid w:val="000F5F2D"/>
    <w:rsid w:val="000F6087"/>
    <w:rsid w:val="000F6157"/>
    <w:rsid w:val="000F6266"/>
    <w:rsid w:val="000F6449"/>
    <w:rsid w:val="000F6472"/>
    <w:rsid w:val="000F66DF"/>
    <w:rsid w:val="000F6815"/>
    <w:rsid w:val="000F687D"/>
    <w:rsid w:val="000F696A"/>
    <w:rsid w:val="000F6AC4"/>
    <w:rsid w:val="000F6CB2"/>
    <w:rsid w:val="000F6CD6"/>
    <w:rsid w:val="000F6E69"/>
    <w:rsid w:val="000F6EA5"/>
    <w:rsid w:val="000F6FD9"/>
    <w:rsid w:val="000F718B"/>
    <w:rsid w:val="000F7209"/>
    <w:rsid w:val="000F72B8"/>
    <w:rsid w:val="000F72EF"/>
    <w:rsid w:val="000F72F7"/>
    <w:rsid w:val="000F7329"/>
    <w:rsid w:val="000F737C"/>
    <w:rsid w:val="000F76F9"/>
    <w:rsid w:val="000F773C"/>
    <w:rsid w:val="000F7818"/>
    <w:rsid w:val="000F78A6"/>
    <w:rsid w:val="000F78F3"/>
    <w:rsid w:val="000F7955"/>
    <w:rsid w:val="000F7A69"/>
    <w:rsid w:val="000F7A90"/>
    <w:rsid w:val="000F7C2E"/>
    <w:rsid w:val="000F7C98"/>
    <w:rsid w:val="000F7E4E"/>
    <w:rsid w:val="000F7E75"/>
    <w:rsid w:val="000F7EE1"/>
    <w:rsid w:val="00100195"/>
    <w:rsid w:val="001001AD"/>
    <w:rsid w:val="001001B4"/>
    <w:rsid w:val="00100313"/>
    <w:rsid w:val="001003A9"/>
    <w:rsid w:val="00100442"/>
    <w:rsid w:val="0010048E"/>
    <w:rsid w:val="001004FD"/>
    <w:rsid w:val="00100588"/>
    <w:rsid w:val="001006E4"/>
    <w:rsid w:val="00100804"/>
    <w:rsid w:val="001008EC"/>
    <w:rsid w:val="001008F6"/>
    <w:rsid w:val="001009C2"/>
    <w:rsid w:val="00100A59"/>
    <w:rsid w:val="00100A5E"/>
    <w:rsid w:val="00100AB0"/>
    <w:rsid w:val="00100B8F"/>
    <w:rsid w:val="00100BB9"/>
    <w:rsid w:val="00100C90"/>
    <w:rsid w:val="00100D80"/>
    <w:rsid w:val="00100DC7"/>
    <w:rsid w:val="00100DD7"/>
    <w:rsid w:val="001011E7"/>
    <w:rsid w:val="00101315"/>
    <w:rsid w:val="00101377"/>
    <w:rsid w:val="0010149F"/>
    <w:rsid w:val="001015F2"/>
    <w:rsid w:val="0010161C"/>
    <w:rsid w:val="001016CF"/>
    <w:rsid w:val="001017C0"/>
    <w:rsid w:val="001018A7"/>
    <w:rsid w:val="001018AA"/>
    <w:rsid w:val="00101993"/>
    <w:rsid w:val="00101AB3"/>
    <w:rsid w:val="00101B0E"/>
    <w:rsid w:val="00101C11"/>
    <w:rsid w:val="00101C33"/>
    <w:rsid w:val="00101C54"/>
    <w:rsid w:val="00101CBB"/>
    <w:rsid w:val="00101CED"/>
    <w:rsid w:val="00101D90"/>
    <w:rsid w:val="00101DDF"/>
    <w:rsid w:val="00101E09"/>
    <w:rsid w:val="00101EAA"/>
    <w:rsid w:val="00102146"/>
    <w:rsid w:val="00102160"/>
    <w:rsid w:val="00102166"/>
    <w:rsid w:val="001021DB"/>
    <w:rsid w:val="0010244A"/>
    <w:rsid w:val="00102517"/>
    <w:rsid w:val="00102561"/>
    <w:rsid w:val="00102578"/>
    <w:rsid w:val="001027AD"/>
    <w:rsid w:val="00102812"/>
    <w:rsid w:val="0010292D"/>
    <w:rsid w:val="001029E7"/>
    <w:rsid w:val="00102A26"/>
    <w:rsid w:val="00102AAD"/>
    <w:rsid w:val="00102B6A"/>
    <w:rsid w:val="00102BB8"/>
    <w:rsid w:val="00102CFF"/>
    <w:rsid w:val="00102ED3"/>
    <w:rsid w:val="00102FD4"/>
    <w:rsid w:val="001030C8"/>
    <w:rsid w:val="001030DA"/>
    <w:rsid w:val="00103154"/>
    <w:rsid w:val="00103241"/>
    <w:rsid w:val="001032ED"/>
    <w:rsid w:val="00103364"/>
    <w:rsid w:val="001033B2"/>
    <w:rsid w:val="0010340E"/>
    <w:rsid w:val="001034B4"/>
    <w:rsid w:val="001034E5"/>
    <w:rsid w:val="00103552"/>
    <w:rsid w:val="00103573"/>
    <w:rsid w:val="0010362D"/>
    <w:rsid w:val="00103670"/>
    <w:rsid w:val="00103923"/>
    <w:rsid w:val="00103A14"/>
    <w:rsid w:val="00103B21"/>
    <w:rsid w:val="00103BB3"/>
    <w:rsid w:val="00103C6E"/>
    <w:rsid w:val="00103E49"/>
    <w:rsid w:val="00103E80"/>
    <w:rsid w:val="00103F7B"/>
    <w:rsid w:val="00103FA5"/>
    <w:rsid w:val="001040A1"/>
    <w:rsid w:val="001041CF"/>
    <w:rsid w:val="0010421F"/>
    <w:rsid w:val="00104295"/>
    <w:rsid w:val="001042E0"/>
    <w:rsid w:val="00104658"/>
    <w:rsid w:val="001046EE"/>
    <w:rsid w:val="00104877"/>
    <w:rsid w:val="001048E9"/>
    <w:rsid w:val="00104A83"/>
    <w:rsid w:val="00104C82"/>
    <w:rsid w:val="00104CC6"/>
    <w:rsid w:val="00104D01"/>
    <w:rsid w:val="00104D51"/>
    <w:rsid w:val="00104D99"/>
    <w:rsid w:val="00104E4F"/>
    <w:rsid w:val="00104EDD"/>
    <w:rsid w:val="00104F0C"/>
    <w:rsid w:val="00104F22"/>
    <w:rsid w:val="001051BA"/>
    <w:rsid w:val="0010525A"/>
    <w:rsid w:val="001052BE"/>
    <w:rsid w:val="00105466"/>
    <w:rsid w:val="00105571"/>
    <w:rsid w:val="0010557D"/>
    <w:rsid w:val="00105633"/>
    <w:rsid w:val="00105699"/>
    <w:rsid w:val="00105739"/>
    <w:rsid w:val="00105745"/>
    <w:rsid w:val="001057F4"/>
    <w:rsid w:val="00105891"/>
    <w:rsid w:val="00105942"/>
    <w:rsid w:val="001059EF"/>
    <w:rsid w:val="00105BE1"/>
    <w:rsid w:val="00105E2C"/>
    <w:rsid w:val="00105E4D"/>
    <w:rsid w:val="00105FFA"/>
    <w:rsid w:val="001060A2"/>
    <w:rsid w:val="00106103"/>
    <w:rsid w:val="00106142"/>
    <w:rsid w:val="0010658B"/>
    <w:rsid w:val="001066B9"/>
    <w:rsid w:val="00106703"/>
    <w:rsid w:val="0010676E"/>
    <w:rsid w:val="0010677D"/>
    <w:rsid w:val="00106797"/>
    <w:rsid w:val="001067BA"/>
    <w:rsid w:val="0010696F"/>
    <w:rsid w:val="00106A04"/>
    <w:rsid w:val="00106A30"/>
    <w:rsid w:val="00106AD1"/>
    <w:rsid w:val="00106C43"/>
    <w:rsid w:val="00106C6D"/>
    <w:rsid w:val="00106D07"/>
    <w:rsid w:val="00106D35"/>
    <w:rsid w:val="00106E2F"/>
    <w:rsid w:val="00106E33"/>
    <w:rsid w:val="00106F13"/>
    <w:rsid w:val="001070A4"/>
    <w:rsid w:val="00107277"/>
    <w:rsid w:val="001072A6"/>
    <w:rsid w:val="001072CB"/>
    <w:rsid w:val="0010730B"/>
    <w:rsid w:val="00107375"/>
    <w:rsid w:val="001073A4"/>
    <w:rsid w:val="001073C5"/>
    <w:rsid w:val="00107475"/>
    <w:rsid w:val="0010775B"/>
    <w:rsid w:val="00107781"/>
    <w:rsid w:val="001077B8"/>
    <w:rsid w:val="001078AD"/>
    <w:rsid w:val="00107A5B"/>
    <w:rsid w:val="00107A6C"/>
    <w:rsid w:val="00107AB1"/>
    <w:rsid w:val="00107AFD"/>
    <w:rsid w:val="00107B1C"/>
    <w:rsid w:val="00107B6C"/>
    <w:rsid w:val="00107B86"/>
    <w:rsid w:val="00107C74"/>
    <w:rsid w:val="00107E05"/>
    <w:rsid w:val="00107E2C"/>
    <w:rsid w:val="00107F2C"/>
    <w:rsid w:val="00107F38"/>
    <w:rsid w:val="00110108"/>
    <w:rsid w:val="001102FC"/>
    <w:rsid w:val="00110345"/>
    <w:rsid w:val="0011036B"/>
    <w:rsid w:val="0011037B"/>
    <w:rsid w:val="001103DA"/>
    <w:rsid w:val="001103DD"/>
    <w:rsid w:val="001104A3"/>
    <w:rsid w:val="001104CB"/>
    <w:rsid w:val="0011062A"/>
    <w:rsid w:val="0011078C"/>
    <w:rsid w:val="0011087A"/>
    <w:rsid w:val="0011096F"/>
    <w:rsid w:val="001109CD"/>
    <w:rsid w:val="001109D6"/>
    <w:rsid w:val="00110B96"/>
    <w:rsid w:val="00110CC9"/>
    <w:rsid w:val="00110D85"/>
    <w:rsid w:val="00110E5B"/>
    <w:rsid w:val="00110E94"/>
    <w:rsid w:val="00110ED1"/>
    <w:rsid w:val="00111008"/>
    <w:rsid w:val="00111040"/>
    <w:rsid w:val="00111096"/>
    <w:rsid w:val="00111198"/>
    <w:rsid w:val="001111F1"/>
    <w:rsid w:val="0011122D"/>
    <w:rsid w:val="001112E6"/>
    <w:rsid w:val="001113B2"/>
    <w:rsid w:val="001113D9"/>
    <w:rsid w:val="0011149C"/>
    <w:rsid w:val="00111531"/>
    <w:rsid w:val="00111560"/>
    <w:rsid w:val="00111678"/>
    <w:rsid w:val="00111778"/>
    <w:rsid w:val="001117E5"/>
    <w:rsid w:val="0011187D"/>
    <w:rsid w:val="001119BF"/>
    <w:rsid w:val="00111A97"/>
    <w:rsid w:val="00111CCD"/>
    <w:rsid w:val="00111D95"/>
    <w:rsid w:val="00111F11"/>
    <w:rsid w:val="00112105"/>
    <w:rsid w:val="00112196"/>
    <w:rsid w:val="00112268"/>
    <w:rsid w:val="00112381"/>
    <w:rsid w:val="001123E1"/>
    <w:rsid w:val="00112428"/>
    <w:rsid w:val="001125E6"/>
    <w:rsid w:val="00112638"/>
    <w:rsid w:val="001126B8"/>
    <w:rsid w:val="001126D6"/>
    <w:rsid w:val="001127DF"/>
    <w:rsid w:val="00112860"/>
    <w:rsid w:val="0011289D"/>
    <w:rsid w:val="00112919"/>
    <w:rsid w:val="00112972"/>
    <w:rsid w:val="00112DDD"/>
    <w:rsid w:val="00112E9E"/>
    <w:rsid w:val="00112EAC"/>
    <w:rsid w:val="00112FEF"/>
    <w:rsid w:val="0011307A"/>
    <w:rsid w:val="00113122"/>
    <w:rsid w:val="0011319C"/>
    <w:rsid w:val="00113223"/>
    <w:rsid w:val="001132C0"/>
    <w:rsid w:val="001132FE"/>
    <w:rsid w:val="001135AE"/>
    <w:rsid w:val="001137FC"/>
    <w:rsid w:val="001138D8"/>
    <w:rsid w:val="00113AE9"/>
    <w:rsid w:val="00113B2C"/>
    <w:rsid w:val="00113C35"/>
    <w:rsid w:val="00113C62"/>
    <w:rsid w:val="00113DBA"/>
    <w:rsid w:val="00113E4C"/>
    <w:rsid w:val="00113F12"/>
    <w:rsid w:val="00113F81"/>
    <w:rsid w:val="00114137"/>
    <w:rsid w:val="00114160"/>
    <w:rsid w:val="00114227"/>
    <w:rsid w:val="00114295"/>
    <w:rsid w:val="00114357"/>
    <w:rsid w:val="00114367"/>
    <w:rsid w:val="00114397"/>
    <w:rsid w:val="001143A9"/>
    <w:rsid w:val="001144AE"/>
    <w:rsid w:val="001144E2"/>
    <w:rsid w:val="001145CD"/>
    <w:rsid w:val="001145D0"/>
    <w:rsid w:val="001145F2"/>
    <w:rsid w:val="001147D3"/>
    <w:rsid w:val="0011491F"/>
    <w:rsid w:val="0011499A"/>
    <w:rsid w:val="00114A3C"/>
    <w:rsid w:val="00114ABB"/>
    <w:rsid w:val="00114C58"/>
    <w:rsid w:val="00114CCF"/>
    <w:rsid w:val="00114DB6"/>
    <w:rsid w:val="00114E7C"/>
    <w:rsid w:val="00114EE2"/>
    <w:rsid w:val="00114F70"/>
    <w:rsid w:val="00115051"/>
    <w:rsid w:val="00115104"/>
    <w:rsid w:val="001151A8"/>
    <w:rsid w:val="00115249"/>
    <w:rsid w:val="00115307"/>
    <w:rsid w:val="0011537D"/>
    <w:rsid w:val="00115380"/>
    <w:rsid w:val="00115430"/>
    <w:rsid w:val="001154FD"/>
    <w:rsid w:val="001155DF"/>
    <w:rsid w:val="001156A4"/>
    <w:rsid w:val="00115877"/>
    <w:rsid w:val="001158CC"/>
    <w:rsid w:val="00115B1F"/>
    <w:rsid w:val="00115BDB"/>
    <w:rsid w:val="00115EE3"/>
    <w:rsid w:val="001163E7"/>
    <w:rsid w:val="0011647E"/>
    <w:rsid w:val="00116572"/>
    <w:rsid w:val="001165E0"/>
    <w:rsid w:val="00116766"/>
    <w:rsid w:val="0011682D"/>
    <w:rsid w:val="00116858"/>
    <w:rsid w:val="00116963"/>
    <w:rsid w:val="00116974"/>
    <w:rsid w:val="00116AD1"/>
    <w:rsid w:val="00116B0A"/>
    <w:rsid w:val="00116B96"/>
    <w:rsid w:val="00116C39"/>
    <w:rsid w:val="00116E69"/>
    <w:rsid w:val="00116EE3"/>
    <w:rsid w:val="0011719D"/>
    <w:rsid w:val="00117221"/>
    <w:rsid w:val="0011735A"/>
    <w:rsid w:val="0011746E"/>
    <w:rsid w:val="0011755F"/>
    <w:rsid w:val="00117560"/>
    <w:rsid w:val="001177E3"/>
    <w:rsid w:val="001179F9"/>
    <w:rsid w:val="00117C8A"/>
    <w:rsid w:val="00117D45"/>
    <w:rsid w:val="00117EA6"/>
    <w:rsid w:val="00117EC4"/>
    <w:rsid w:val="00117ED8"/>
    <w:rsid w:val="00117F19"/>
    <w:rsid w:val="001200FF"/>
    <w:rsid w:val="001201F2"/>
    <w:rsid w:val="00120223"/>
    <w:rsid w:val="0012038E"/>
    <w:rsid w:val="00120400"/>
    <w:rsid w:val="00120660"/>
    <w:rsid w:val="001206A3"/>
    <w:rsid w:val="001206C2"/>
    <w:rsid w:val="00120809"/>
    <w:rsid w:val="0012093F"/>
    <w:rsid w:val="00120941"/>
    <w:rsid w:val="00120A1A"/>
    <w:rsid w:val="00120AED"/>
    <w:rsid w:val="00120B97"/>
    <w:rsid w:val="00120C1E"/>
    <w:rsid w:val="00120D09"/>
    <w:rsid w:val="00120D21"/>
    <w:rsid w:val="00120D88"/>
    <w:rsid w:val="00120DDC"/>
    <w:rsid w:val="00120E97"/>
    <w:rsid w:val="00120FDD"/>
    <w:rsid w:val="001210DD"/>
    <w:rsid w:val="00121140"/>
    <w:rsid w:val="00121197"/>
    <w:rsid w:val="0012124D"/>
    <w:rsid w:val="001212CA"/>
    <w:rsid w:val="001212FE"/>
    <w:rsid w:val="0012130C"/>
    <w:rsid w:val="00121360"/>
    <w:rsid w:val="0012144D"/>
    <w:rsid w:val="0012147D"/>
    <w:rsid w:val="00121521"/>
    <w:rsid w:val="001216E0"/>
    <w:rsid w:val="001217FC"/>
    <w:rsid w:val="0012184A"/>
    <w:rsid w:val="0012194A"/>
    <w:rsid w:val="001219A7"/>
    <w:rsid w:val="00121A80"/>
    <w:rsid w:val="00121B8F"/>
    <w:rsid w:val="00121BB7"/>
    <w:rsid w:val="00121CD5"/>
    <w:rsid w:val="00121EB0"/>
    <w:rsid w:val="00121EBD"/>
    <w:rsid w:val="00121F90"/>
    <w:rsid w:val="0012210E"/>
    <w:rsid w:val="00122145"/>
    <w:rsid w:val="001221AB"/>
    <w:rsid w:val="00122266"/>
    <w:rsid w:val="0012246C"/>
    <w:rsid w:val="001224A6"/>
    <w:rsid w:val="0012258D"/>
    <w:rsid w:val="0012264B"/>
    <w:rsid w:val="00122A48"/>
    <w:rsid w:val="00122A5D"/>
    <w:rsid w:val="00122BC6"/>
    <w:rsid w:val="00122DEE"/>
    <w:rsid w:val="00122DF6"/>
    <w:rsid w:val="00122EDA"/>
    <w:rsid w:val="00122FF7"/>
    <w:rsid w:val="00123016"/>
    <w:rsid w:val="0012302B"/>
    <w:rsid w:val="001230C8"/>
    <w:rsid w:val="0012329B"/>
    <w:rsid w:val="0012344F"/>
    <w:rsid w:val="00123564"/>
    <w:rsid w:val="001235A2"/>
    <w:rsid w:val="001235E2"/>
    <w:rsid w:val="001236BD"/>
    <w:rsid w:val="001238BA"/>
    <w:rsid w:val="00123984"/>
    <w:rsid w:val="00123A64"/>
    <w:rsid w:val="00123B9D"/>
    <w:rsid w:val="00123BC6"/>
    <w:rsid w:val="00123C46"/>
    <w:rsid w:val="00123DB1"/>
    <w:rsid w:val="00123F4C"/>
    <w:rsid w:val="00124076"/>
    <w:rsid w:val="001241DE"/>
    <w:rsid w:val="00124363"/>
    <w:rsid w:val="00124367"/>
    <w:rsid w:val="00124419"/>
    <w:rsid w:val="0012441A"/>
    <w:rsid w:val="00124511"/>
    <w:rsid w:val="001246B3"/>
    <w:rsid w:val="0012472D"/>
    <w:rsid w:val="00124736"/>
    <w:rsid w:val="001249C4"/>
    <w:rsid w:val="00124A00"/>
    <w:rsid w:val="00124A0F"/>
    <w:rsid w:val="00124A53"/>
    <w:rsid w:val="00124B67"/>
    <w:rsid w:val="00124C0B"/>
    <w:rsid w:val="00124D4E"/>
    <w:rsid w:val="00124DC2"/>
    <w:rsid w:val="00124DC5"/>
    <w:rsid w:val="00124EFA"/>
    <w:rsid w:val="00125019"/>
    <w:rsid w:val="00125023"/>
    <w:rsid w:val="00125090"/>
    <w:rsid w:val="0012509C"/>
    <w:rsid w:val="001250AE"/>
    <w:rsid w:val="001250BD"/>
    <w:rsid w:val="0012515C"/>
    <w:rsid w:val="0012517C"/>
    <w:rsid w:val="001251CC"/>
    <w:rsid w:val="001251D5"/>
    <w:rsid w:val="00125279"/>
    <w:rsid w:val="0012549A"/>
    <w:rsid w:val="00125508"/>
    <w:rsid w:val="0012561D"/>
    <w:rsid w:val="0012568E"/>
    <w:rsid w:val="001256AF"/>
    <w:rsid w:val="0012572E"/>
    <w:rsid w:val="001257D3"/>
    <w:rsid w:val="0012594C"/>
    <w:rsid w:val="00125974"/>
    <w:rsid w:val="001259AE"/>
    <w:rsid w:val="00125AC4"/>
    <w:rsid w:val="00125B7A"/>
    <w:rsid w:val="00125BD0"/>
    <w:rsid w:val="00125BE9"/>
    <w:rsid w:val="00125EEB"/>
    <w:rsid w:val="00125F49"/>
    <w:rsid w:val="001260DC"/>
    <w:rsid w:val="001260F5"/>
    <w:rsid w:val="001263C5"/>
    <w:rsid w:val="00126428"/>
    <w:rsid w:val="0012643A"/>
    <w:rsid w:val="0012695A"/>
    <w:rsid w:val="00126A4A"/>
    <w:rsid w:val="00126A62"/>
    <w:rsid w:val="00126A9D"/>
    <w:rsid w:val="00126C94"/>
    <w:rsid w:val="00126DCF"/>
    <w:rsid w:val="00126E2B"/>
    <w:rsid w:val="00126F90"/>
    <w:rsid w:val="00126FA3"/>
    <w:rsid w:val="0012703F"/>
    <w:rsid w:val="00127222"/>
    <w:rsid w:val="00127234"/>
    <w:rsid w:val="001272B9"/>
    <w:rsid w:val="0012734A"/>
    <w:rsid w:val="00127370"/>
    <w:rsid w:val="001273C8"/>
    <w:rsid w:val="00127450"/>
    <w:rsid w:val="001275EA"/>
    <w:rsid w:val="00127705"/>
    <w:rsid w:val="001277A0"/>
    <w:rsid w:val="001277BB"/>
    <w:rsid w:val="00127931"/>
    <w:rsid w:val="00127952"/>
    <w:rsid w:val="00127953"/>
    <w:rsid w:val="001279A6"/>
    <w:rsid w:val="00127C63"/>
    <w:rsid w:val="00127D2A"/>
    <w:rsid w:val="00127D50"/>
    <w:rsid w:val="00127DA9"/>
    <w:rsid w:val="00127E14"/>
    <w:rsid w:val="00127E2D"/>
    <w:rsid w:val="00127EED"/>
    <w:rsid w:val="00130153"/>
    <w:rsid w:val="00130182"/>
    <w:rsid w:val="00130291"/>
    <w:rsid w:val="00130365"/>
    <w:rsid w:val="001303B3"/>
    <w:rsid w:val="001303D0"/>
    <w:rsid w:val="001303FB"/>
    <w:rsid w:val="001305CA"/>
    <w:rsid w:val="00130656"/>
    <w:rsid w:val="00130738"/>
    <w:rsid w:val="00130849"/>
    <w:rsid w:val="0013088C"/>
    <w:rsid w:val="001309FF"/>
    <w:rsid w:val="00130B32"/>
    <w:rsid w:val="00130B37"/>
    <w:rsid w:val="00130DE3"/>
    <w:rsid w:val="00130F25"/>
    <w:rsid w:val="00131146"/>
    <w:rsid w:val="0013126B"/>
    <w:rsid w:val="0013129F"/>
    <w:rsid w:val="0013130C"/>
    <w:rsid w:val="00131378"/>
    <w:rsid w:val="0013139C"/>
    <w:rsid w:val="001314C2"/>
    <w:rsid w:val="00131518"/>
    <w:rsid w:val="001319F0"/>
    <w:rsid w:val="00131ACD"/>
    <w:rsid w:val="00131D5D"/>
    <w:rsid w:val="00131FEE"/>
    <w:rsid w:val="0013208A"/>
    <w:rsid w:val="001320C6"/>
    <w:rsid w:val="001320E8"/>
    <w:rsid w:val="00132144"/>
    <w:rsid w:val="00132231"/>
    <w:rsid w:val="00132296"/>
    <w:rsid w:val="001324B6"/>
    <w:rsid w:val="00132569"/>
    <w:rsid w:val="00132787"/>
    <w:rsid w:val="00132856"/>
    <w:rsid w:val="0013286D"/>
    <w:rsid w:val="001328CE"/>
    <w:rsid w:val="001328E1"/>
    <w:rsid w:val="00132928"/>
    <w:rsid w:val="00132A17"/>
    <w:rsid w:val="00132C68"/>
    <w:rsid w:val="00132D3A"/>
    <w:rsid w:val="00132D41"/>
    <w:rsid w:val="00133232"/>
    <w:rsid w:val="0013330A"/>
    <w:rsid w:val="0013336A"/>
    <w:rsid w:val="00133379"/>
    <w:rsid w:val="001334C0"/>
    <w:rsid w:val="001334C7"/>
    <w:rsid w:val="001334D6"/>
    <w:rsid w:val="00133516"/>
    <w:rsid w:val="001335B9"/>
    <w:rsid w:val="001335DE"/>
    <w:rsid w:val="00133A00"/>
    <w:rsid w:val="00133A52"/>
    <w:rsid w:val="00133C73"/>
    <w:rsid w:val="00133D5F"/>
    <w:rsid w:val="00133E99"/>
    <w:rsid w:val="00134031"/>
    <w:rsid w:val="00134433"/>
    <w:rsid w:val="00134464"/>
    <w:rsid w:val="00134481"/>
    <w:rsid w:val="0013467E"/>
    <w:rsid w:val="001346C5"/>
    <w:rsid w:val="00134726"/>
    <w:rsid w:val="001347D6"/>
    <w:rsid w:val="0013485A"/>
    <w:rsid w:val="00134937"/>
    <w:rsid w:val="00134A89"/>
    <w:rsid w:val="00134AA0"/>
    <w:rsid w:val="00134AFE"/>
    <w:rsid w:val="00134CDC"/>
    <w:rsid w:val="00134D60"/>
    <w:rsid w:val="00134D7D"/>
    <w:rsid w:val="00134F0B"/>
    <w:rsid w:val="00134F9B"/>
    <w:rsid w:val="00135046"/>
    <w:rsid w:val="00135095"/>
    <w:rsid w:val="0013520D"/>
    <w:rsid w:val="0013531F"/>
    <w:rsid w:val="00135449"/>
    <w:rsid w:val="001355D0"/>
    <w:rsid w:val="0013567B"/>
    <w:rsid w:val="0013587F"/>
    <w:rsid w:val="0013596F"/>
    <w:rsid w:val="00135A5C"/>
    <w:rsid w:val="00135A74"/>
    <w:rsid w:val="00135D2B"/>
    <w:rsid w:val="00135DA6"/>
    <w:rsid w:val="00135E8E"/>
    <w:rsid w:val="001362AF"/>
    <w:rsid w:val="00136352"/>
    <w:rsid w:val="00136490"/>
    <w:rsid w:val="00136597"/>
    <w:rsid w:val="001365D5"/>
    <w:rsid w:val="001366A5"/>
    <w:rsid w:val="0013674A"/>
    <w:rsid w:val="00136763"/>
    <w:rsid w:val="001367CE"/>
    <w:rsid w:val="0013693F"/>
    <w:rsid w:val="00136A96"/>
    <w:rsid w:val="00136BA8"/>
    <w:rsid w:val="00136C76"/>
    <w:rsid w:val="00136D02"/>
    <w:rsid w:val="00136DEF"/>
    <w:rsid w:val="00136F23"/>
    <w:rsid w:val="00136FAD"/>
    <w:rsid w:val="00136FD5"/>
    <w:rsid w:val="00137038"/>
    <w:rsid w:val="00137091"/>
    <w:rsid w:val="001370C5"/>
    <w:rsid w:val="001370C9"/>
    <w:rsid w:val="00137147"/>
    <w:rsid w:val="0013725F"/>
    <w:rsid w:val="00137268"/>
    <w:rsid w:val="001372F3"/>
    <w:rsid w:val="00137341"/>
    <w:rsid w:val="00137362"/>
    <w:rsid w:val="0013751E"/>
    <w:rsid w:val="001376BE"/>
    <w:rsid w:val="0013777D"/>
    <w:rsid w:val="00137F56"/>
    <w:rsid w:val="00137F71"/>
    <w:rsid w:val="00140093"/>
    <w:rsid w:val="00140161"/>
    <w:rsid w:val="0014046A"/>
    <w:rsid w:val="001407CA"/>
    <w:rsid w:val="0014087A"/>
    <w:rsid w:val="001408EA"/>
    <w:rsid w:val="00140ADE"/>
    <w:rsid w:val="00140B51"/>
    <w:rsid w:val="00140B6A"/>
    <w:rsid w:val="00140CBA"/>
    <w:rsid w:val="00140D72"/>
    <w:rsid w:val="00140ECB"/>
    <w:rsid w:val="00141086"/>
    <w:rsid w:val="001410F8"/>
    <w:rsid w:val="00141127"/>
    <w:rsid w:val="0014119E"/>
    <w:rsid w:val="001411A8"/>
    <w:rsid w:val="001412D5"/>
    <w:rsid w:val="00141379"/>
    <w:rsid w:val="00141431"/>
    <w:rsid w:val="001415CC"/>
    <w:rsid w:val="001415E0"/>
    <w:rsid w:val="001415F3"/>
    <w:rsid w:val="001416D6"/>
    <w:rsid w:val="001416F6"/>
    <w:rsid w:val="0014179E"/>
    <w:rsid w:val="001417B5"/>
    <w:rsid w:val="001417DE"/>
    <w:rsid w:val="001418CD"/>
    <w:rsid w:val="001419CC"/>
    <w:rsid w:val="001419EF"/>
    <w:rsid w:val="00141B58"/>
    <w:rsid w:val="00141BE2"/>
    <w:rsid w:val="00141BE8"/>
    <w:rsid w:val="00141CD5"/>
    <w:rsid w:val="00141D48"/>
    <w:rsid w:val="00141D81"/>
    <w:rsid w:val="00141DC7"/>
    <w:rsid w:val="00141DD0"/>
    <w:rsid w:val="00141ED4"/>
    <w:rsid w:val="00141F02"/>
    <w:rsid w:val="00141F49"/>
    <w:rsid w:val="00141F5E"/>
    <w:rsid w:val="00141FE2"/>
    <w:rsid w:val="00142001"/>
    <w:rsid w:val="00142008"/>
    <w:rsid w:val="00142141"/>
    <w:rsid w:val="001421A6"/>
    <w:rsid w:val="00142278"/>
    <w:rsid w:val="00142488"/>
    <w:rsid w:val="001424EE"/>
    <w:rsid w:val="00142515"/>
    <w:rsid w:val="00142525"/>
    <w:rsid w:val="001425F6"/>
    <w:rsid w:val="0014266C"/>
    <w:rsid w:val="0014269D"/>
    <w:rsid w:val="001426C9"/>
    <w:rsid w:val="001426E3"/>
    <w:rsid w:val="00142703"/>
    <w:rsid w:val="00142763"/>
    <w:rsid w:val="001428D3"/>
    <w:rsid w:val="00142910"/>
    <w:rsid w:val="00142968"/>
    <w:rsid w:val="00142A17"/>
    <w:rsid w:val="00142A23"/>
    <w:rsid w:val="00142B06"/>
    <w:rsid w:val="00142B4E"/>
    <w:rsid w:val="00142B70"/>
    <w:rsid w:val="00142BB5"/>
    <w:rsid w:val="00142C86"/>
    <w:rsid w:val="00142CF9"/>
    <w:rsid w:val="00142DA3"/>
    <w:rsid w:val="00142DF0"/>
    <w:rsid w:val="00142EB6"/>
    <w:rsid w:val="00142EDA"/>
    <w:rsid w:val="00142F6F"/>
    <w:rsid w:val="00142FB0"/>
    <w:rsid w:val="001430AB"/>
    <w:rsid w:val="0014323D"/>
    <w:rsid w:val="00143267"/>
    <w:rsid w:val="001433BB"/>
    <w:rsid w:val="001433C4"/>
    <w:rsid w:val="00143547"/>
    <w:rsid w:val="00143995"/>
    <w:rsid w:val="00143A22"/>
    <w:rsid w:val="00143B57"/>
    <w:rsid w:val="00143D11"/>
    <w:rsid w:val="00143E3B"/>
    <w:rsid w:val="00143F1F"/>
    <w:rsid w:val="00143F9A"/>
    <w:rsid w:val="00144106"/>
    <w:rsid w:val="00144301"/>
    <w:rsid w:val="0014440B"/>
    <w:rsid w:val="00144447"/>
    <w:rsid w:val="0014451D"/>
    <w:rsid w:val="00144565"/>
    <w:rsid w:val="0014460F"/>
    <w:rsid w:val="0014478B"/>
    <w:rsid w:val="0014486F"/>
    <w:rsid w:val="001448EE"/>
    <w:rsid w:val="00144A18"/>
    <w:rsid w:val="00144A30"/>
    <w:rsid w:val="00144A58"/>
    <w:rsid w:val="00144AA2"/>
    <w:rsid w:val="00144B8F"/>
    <w:rsid w:val="00144CBA"/>
    <w:rsid w:val="00144CD2"/>
    <w:rsid w:val="00144D25"/>
    <w:rsid w:val="00144FEC"/>
    <w:rsid w:val="00144FF8"/>
    <w:rsid w:val="0014538C"/>
    <w:rsid w:val="00145440"/>
    <w:rsid w:val="00145589"/>
    <w:rsid w:val="0014558A"/>
    <w:rsid w:val="0014569A"/>
    <w:rsid w:val="00145906"/>
    <w:rsid w:val="00145981"/>
    <w:rsid w:val="00145997"/>
    <w:rsid w:val="00145A01"/>
    <w:rsid w:val="00145A0C"/>
    <w:rsid w:val="00145A53"/>
    <w:rsid w:val="00145AB8"/>
    <w:rsid w:val="00145AC1"/>
    <w:rsid w:val="00145B5E"/>
    <w:rsid w:val="00145C08"/>
    <w:rsid w:val="00145C20"/>
    <w:rsid w:val="00145C6D"/>
    <w:rsid w:val="00145D8E"/>
    <w:rsid w:val="00145ED5"/>
    <w:rsid w:val="00145ED9"/>
    <w:rsid w:val="00145F36"/>
    <w:rsid w:val="00146135"/>
    <w:rsid w:val="001461A1"/>
    <w:rsid w:val="001461DB"/>
    <w:rsid w:val="0014629E"/>
    <w:rsid w:val="0014643A"/>
    <w:rsid w:val="001465F9"/>
    <w:rsid w:val="00146608"/>
    <w:rsid w:val="00146646"/>
    <w:rsid w:val="0014664A"/>
    <w:rsid w:val="0014679E"/>
    <w:rsid w:val="001467F1"/>
    <w:rsid w:val="001468E8"/>
    <w:rsid w:val="001469D6"/>
    <w:rsid w:val="00146A09"/>
    <w:rsid w:val="00146B30"/>
    <w:rsid w:val="00146B70"/>
    <w:rsid w:val="00146B78"/>
    <w:rsid w:val="00146D14"/>
    <w:rsid w:val="00146DD9"/>
    <w:rsid w:val="00146F36"/>
    <w:rsid w:val="00146F4B"/>
    <w:rsid w:val="00146F9C"/>
    <w:rsid w:val="00146FDD"/>
    <w:rsid w:val="00147082"/>
    <w:rsid w:val="0014731F"/>
    <w:rsid w:val="001474D9"/>
    <w:rsid w:val="00147632"/>
    <w:rsid w:val="0014765B"/>
    <w:rsid w:val="0014766D"/>
    <w:rsid w:val="001478EB"/>
    <w:rsid w:val="00147929"/>
    <w:rsid w:val="00147AEB"/>
    <w:rsid w:val="00147AEE"/>
    <w:rsid w:val="00147CD4"/>
    <w:rsid w:val="00147D3C"/>
    <w:rsid w:val="00147F08"/>
    <w:rsid w:val="00147F1A"/>
    <w:rsid w:val="00147FD3"/>
    <w:rsid w:val="00147FD9"/>
    <w:rsid w:val="00147FDA"/>
    <w:rsid w:val="001501FF"/>
    <w:rsid w:val="0015022C"/>
    <w:rsid w:val="0015031C"/>
    <w:rsid w:val="00150338"/>
    <w:rsid w:val="001503C1"/>
    <w:rsid w:val="0015058B"/>
    <w:rsid w:val="0015060D"/>
    <w:rsid w:val="00150611"/>
    <w:rsid w:val="00150622"/>
    <w:rsid w:val="00150798"/>
    <w:rsid w:val="001507BD"/>
    <w:rsid w:val="0015090F"/>
    <w:rsid w:val="0015091E"/>
    <w:rsid w:val="00150944"/>
    <w:rsid w:val="00150979"/>
    <w:rsid w:val="00150995"/>
    <w:rsid w:val="00150BA8"/>
    <w:rsid w:val="00150D28"/>
    <w:rsid w:val="00150D9E"/>
    <w:rsid w:val="00150DE4"/>
    <w:rsid w:val="00150F1A"/>
    <w:rsid w:val="00150F75"/>
    <w:rsid w:val="00151042"/>
    <w:rsid w:val="00151106"/>
    <w:rsid w:val="0015111E"/>
    <w:rsid w:val="0015132B"/>
    <w:rsid w:val="001513F1"/>
    <w:rsid w:val="00151491"/>
    <w:rsid w:val="00151563"/>
    <w:rsid w:val="001515BB"/>
    <w:rsid w:val="001516C1"/>
    <w:rsid w:val="00151714"/>
    <w:rsid w:val="00151813"/>
    <w:rsid w:val="00151832"/>
    <w:rsid w:val="00151889"/>
    <w:rsid w:val="001518BE"/>
    <w:rsid w:val="001518E3"/>
    <w:rsid w:val="00151A24"/>
    <w:rsid w:val="00151A81"/>
    <w:rsid w:val="00151BA1"/>
    <w:rsid w:val="00151C61"/>
    <w:rsid w:val="00151CCD"/>
    <w:rsid w:val="00151D03"/>
    <w:rsid w:val="00151D1A"/>
    <w:rsid w:val="00151D64"/>
    <w:rsid w:val="001520A3"/>
    <w:rsid w:val="00152104"/>
    <w:rsid w:val="00152150"/>
    <w:rsid w:val="0015228C"/>
    <w:rsid w:val="0015242C"/>
    <w:rsid w:val="00152537"/>
    <w:rsid w:val="00152538"/>
    <w:rsid w:val="0015259E"/>
    <w:rsid w:val="00152928"/>
    <w:rsid w:val="001529A9"/>
    <w:rsid w:val="001529CE"/>
    <w:rsid w:val="001529F7"/>
    <w:rsid w:val="00152A1D"/>
    <w:rsid w:val="00152A70"/>
    <w:rsid w:val="00152AEB"/>
    <w:rsid w:val="00152AF1"/>
    <w:rsid w:val="00152B96"/>
    <w:rsid w:val="00152E1F"/>
    <w:rsid w:val="00152E31"/>
    <w:rsid w:val="00152E3E"/>
    <w:rsid w:val="00152F30"/>
    <w:rsid w:val="00153019"/>
    <w:rsid w:val="00153254"/>
    <w:rsid w:val="0015327F"/>
    <w:rsid w:val="001532C7"/>
    <w:rsid w:val="00153301"/>
    <w:rsid w:val="0015340C"/>
    <w:rsid w:val="00153508"/>
    <w:rsid w:val="0015350B"/>
    <w:rsid w:val="001536AF"/>
    <w:rsid w:val="001537A5"/>
    <w:rsid w:val="00153809"/>
    <w:rsid w:val="001538F4"/>
    <w:rsid w:val="00153948"/>
    <w:rsid w:val="00153AFF"/>
    <w:rsid w:val="00153B6B"/>
    <w:rsid w:val="00153C9B"/>
    <w:rsid w:val="00153D78"/>
    <w:rsid w:val="00154011"/>
    <w:rsid w:val="00154101"/>
    <w:rsid w:val="001541BF"/>
    <w:rsid w:val="001541D4"/>
    <w:rsid w:val="00154277"/>
    <w:rsid w:val="001542A9"/>
    <w:rsid w:val="001542B8"/>
    <w:rsid w:val="001543AB"/>
    <w:rsid w:val="0015453F"/>
    <w:rsid w:val="0015465D"/>
    <w:rsid w:val="001546BE"/>
    <w:rsid w:val="0015485F"/>
    <w:rsid w:val="001548A4"/>
    <w:rsid w:val="0015493F"/>
    <w:rsid w:val="00154995"/>
    <w:rsid w:val="00154A09"/>
    <w:rsid w:val="00154A40"/>
    <w:rsid w:val="00154A68"/>
    <w:rsid w:val="00154BA3"/>
    <w:rsid w:val="00154C5B"/>
    <w:rsid w:val="00154D1D"/>
    <w:rsid w:val="00154D86"/>
    <w:rsid w:val="00154DB5"/>
    <w:rsid w:val="00155005"/>
    <w:rsid w:val="001550FD"/>
    <w:rsid w:val="0015514A"/>
    <w:rsid w:val="001551A0"/>
    <w:rsid w:val="00155254"/>
    <w:rsid w:val="001552E0"/>
    <w:rsid w:val="00155347"/>
    <w:rsid w:val="00155353"/>
    <w:rsid w:val="0015563B"/>
    <w:rsid w:val="001556B2"/>
    <w:rsid w:val="00155991"/>
    <w:rsid w:val="001559D2"/>
    <w:rsid w:val="00155B32"/>
    <w:rsid w:val="00155BB1"/>
    <w:rsid w:val="00155D19"/>
    <w:rsid w:val="00155F03"/>
    <w:rsid w:val="001560CA"/>
    <w:rsid w:val="00156171"/>
    <w:rsid w:val="00156249"/>
    <w:rsid w:val="001562DA"/>
    <w:rsid w:val="00156359"/>
    <w:rsid w:val="0015648A"/>
    <w:rsid w:val="00156651"/>
    <w:rsid w:val="001566FA"/>
    <w:rsid w:val="0015678F"/>
    <w:rsid w:val="00156802"/>
    <w:rsid w:val="00156822"/>
    <w:rsid w:val="00156842"/>
    <w:rsid w:val="001568CB"/>
    <w:rsid w:val="00156ABE"/>
    <w:rsid w:val="00156BE5"/>
    <w:rsid w:val="00156C7B"/>
    <w:rsid w:val="00156D5F"/>
    <w:rsid w:val="00156F70"/>
    <w:rsid w:val="001570CF"/>
    <w:rsid w:val="00157156"/>
    <w:rsid w:val="00157174"/>
    <w:rsid w:val="00157353"/>
    <w:rsid w:val="00157411"/>
    <w:rsid w:val="00157534"/>
    <w:rsid w:val="001575D5"/>
    <w:rsid w:val="0015762F"/>
    <w:rsid w:val="001576B1"/>
    <w:rsid w:val="00157754"/>
    <w:rsid w:val="00157A33"/>
    <w:rsid w:val="00157A3F"/>
    <w:rsid w:val="00157A6F"/>
    <w:rsid w:val="00157AD9"/>
    <w:rsid w:val="00157B53"/>
    <w:rsid w:val="00157BF2"/>
    <w:rsid w:val="00157C10"/>
    <w:rsid w:val="00157CBF"/>
    <w:rsid w:val="00157CDA"/>
    <w:rsid w:val="00157D30"/>
    <w:rsid w:val="00157D6A"/>
    <w:rsid w:val="00157F91"/>
    <w:rsid w:val="001601E4"/>
    <w:rsid w:val="00160294"/>
    <w:rsid w:val="00160396"/>
    <w:rsid w:val="0016045F"/>
    <w:rsid w:val="0016049A"/>
    <w:rsid w:val="001605AD"/>
    <w:rsid w:val="001605D3"/>
    <w:rsid w:val="00160659"/>
    <w:rsid w:val="00160846"/>
    <w:rsid w:val="001608DD"/>
    <w:rsid w:val="001608E4"/>
    <w:rsid w:val="0016091A"/>
    <w:rsid w:val="00160C7E"/>
    <w:rsid w:val="00160D47"/>
    <w:rsid w:val="00160E68"/>
    <w:rsid w:val="00160F2C"/>
    <w:rsid w:val="001610C7"/>
    <w:rsid w:val="0016112C"/>
    <w:rsid w:val="0016132A"/>
    <w:rsid w:val="0016141A"/>
    <w:rsid w:val="0016145B"/>
    <w:rsid w:val="0016146F"/>
    <w:rsid w:val="0016147B"/>
    <w:rsid w:val="0016149B"/>
    <w:rsid w:val="001614F0"/>
    <w:rsid w:val="00161823"/>
    <w:rsid w:val="001619B4"/>
    <w:rsid w:val="001619F7"/>
    <w:rsid w:val="00161D40"/>
    <w:rsid w:val="00161D4D"/>
    <w:rsid w:val="00161EAD"/>
    <w:rsid w:val="00162003"/>
    <w:rsid w:val="00162028"/>
    <w:rsid w:val="00162046"/>
    <w:rsid w:val="0016208A"/>
    <w:rsid w:val="001620CB"/>
    <w:rsid w:val="0016214A"/>
    <w:rsid w:val="001621D0"/>
    <w:rsid w:val="001621F0"/>
    <w:rsid w:val="00162228"/>
    <w:rsid w:val="00162392"/>
    <w:rsid w:val="001624AC"/>
    <w:rsid w:val="00162524"/>
    <w:rsid w:val="0016261F"/>
    <w:rsid w:val="00162673"/>
    <w:rsid w:val="0016277A"/>
    <w:rsid w:val="001627B7"/>
    <w:rsid w:val="0016281F"/>
    <w:rsid w:val="00162872"/>
    <w:rsid w:val="001629BF"/>
    <w:rsid w:val="001629C6"/>
    <w:rsid w:val="00162ACE"/>
    <w:rsid w:val="00162BC7"/>
    <w:rsid w:val="00162C39"/>
    <w:rsid w:val="00162CA2"/>
    <w:rsid w:val="00162CE8"/>
    <w:rsid w:val="00162FA2"/>
    <w:rsid w:val="00162FB7"/>
    <w:rsid w:val="00163080"/>
    <w:rsid w:val="00163102"/>
    <w:rsid w:val="001631B5"/>
    <w:rsid w:val="001631D5"/>
    <w:rsid w:val="001631EA"/>
    <w:rsid w:val="001633A8"/>
    <w:rsid w:val="0016344D"/>
    <w:rsid w:val="00163523"/>
    <w:rsid w:val="00163533"/>
    <w:rsid w:val="001635C0"/>
    <w:rsid w:val="001635D1"/>
    <w:rsid w:val="001636A7"/>
    <w:rsid w:val="00163776"/>
    <w:rsid w:val="0016385C"/>
    <w:rsid w:val="00163904"/>
    <w:rsid w:val="00163971"/>
    <w:rsid w:val="001639D1"/>
    <w:rsid w:val="00163A3B"/>
    <w:rsid w:val="00163CB0"/>
    <w:rsid w:val="00163EAD"/>
    <w:rsid w:val="00163EBB"/>
    <w:rsid w:val="00163F01"/>
    <w:rsid w:val="00163FE4"/>
    <w:rsid w:val="00164062"/>
    <w:rsid w:val="00164134"/>
    <w:rsid w:val="001641FF"/>
    <w:rsid w:val="00164325"/>
    <w:rsid w:val="00164341"/>
    <w:rsid w:val="00164344"/>
    <w:rsid w:val="00164399"/>
    <w:rsid w:val="00164475"/>
    <w:rsid w:val="0016448E"/>
    <w:rsid w:val="00164598"/>
    <w:rsid w:val="00164699"/>
    <w:rsid w:val="001647C6"/>
    <w:rsid w:val="00164905"/>
    <w:rsid w:val="00164A49"/>
    <w:rsid w:val="00164A94"/>
    <w:rsid w:val="00164BD1"/>
    <w:rsid w:val="00164E04"/>
    <w:rsid w:val="00164E2E"/>
    <w:rsid w:val="00164E43"/>
    <w:rsid w:val="00164F9D"/>
    <w:rsid w:val="00164FC9"/>
    <w:rsid w:val="0016504F"/>
    <w:rsid w:val="0016512A"/>
    <w:rsid w:val="00165339"/>
    <w:rsid w:val="00165397"/>
    <w:rsid w:val="00165400"/>
    <w:rsid w:val="001656C0"/>
    <w:rsid w:val="001657C8"/>
    <w:rsid w:val="00165877"/>
    <w:rsid w:val="00165921"/>
    <w:rsid w:val="001659CF"/>
    <w:rsid w:val="00165AA9"/>
    <w:rsid w:val="00165ABD"/>
    <w:rsid w:val="00165B11"/>
    <w:rsid w:val="00165BEC"/>
    <w:rsid w:val="00165BF6"/>
    <w:rsid w:val="00165BF9"/>
    <w:rsid w:val="00165C12"/>
    <w:rsid w:val="00165CA9"/>
    <w:rsid w:val="00165D52"/>
    <w:rsid w:val="00165F84"/>
    <w:rsid w:val="00166035"/>
    <w:rsid w:val="00166150"/>
    <w:rsid w:val="00166195"/>
    <w:rsid w:val="001661B1"/>
    <w:rsid w:val="00166344"/>
    <w:rsid w:val="00166368"/>
    <w:rsid w:val="00166556"/>
    <w:rsid w:val="00166572"/>
    <w:rsid w:val="001665FA"/>
    <w:rsid w:val="001666D1"/>
    <w:rsid w:val="00166734"/>
    <w:rsid w:val="0016678D"/>
    <w:rsid w:val="001667B6"/>
    <w:rsid w:val="001668D8"/>
    <w:rsid w:val="001669C8"/>
    <w:rsid w:val="00166B39"/>
    <w:rsid w:val="00166BB5"/>
    <w:rsid w:val="00166BCC"/>
    <w:rsid w:val="00166C52"/>
    <w:rsid w:val="00166C87"/>
    <w:rsid w:val="00166D07"/>
    <w:rsid w:val="00166D9F"/>
    <w:rsid w:val="00166DBD"/>
    <w:rsid w:val="00166FCA"/>
    <w:rsid w:val="0016705E"/>
    <w:rsid w:val="0016725F"/>
    <w:rsid w:val="0016730B"/>
    <w:rsid w:val="00167318"/>
    <w:rsid w:val="0016745F"/>
    <w:rsid w:val="0016746D"/>
    <w:rsid w:val="00167594"/>
    <w:rsid w:val="00167604"/>
    <w:rsid w:val="0016760F"/>
    <w:rsid w:val="0016766B"/>
    <w:rsid w:val="001676D7"/>
    <w:rsid w:val="00167762"/>
    <w:rsid w:val="0016777F"/>
    <w:rsid w:val="0016783C"/>
    <w:rsid w:val="001678C0"/>
    <w:rsid w:val="00167950"/>
    <w:rsid w:val="00167961"/>
    <w:rsid w:val="00167A95"/>
    <w:rsid w:val="00167AD5"/>
    <w:rsid w:val="00167B10"/>
    <w:rsid w:val="00167B84"/>
    <w:rsid w:val="00167FEE"/>
    <w:rsid w:val="00170003"/>
    <w:rsid w:val="00170020"/>
    <w:rsid w:val="00170168"/>
    <w:rsid w:val="00170323"/>
    <w:rsid w:val="0017038E"/>
    <w:rsid w:val="001703B8"/>
    <w:rsid w:val="00170557"/>
    <w:rsid w:val="001706DC"/>
    <w:rsid w:val="001708EE"/>
    <w:rsid w:val="00170961"/>
    <w:rsid w:val="00170B4A"/>
    <w:rsid w:val="00170B84"/>
    <w:rsid w:val="00170C5B"/>
    <w:rsid w:val="00170C6B"/>
    <w:rsid w:val="00170C90"/>
    <w:rsid w:val="00170F7A"/>
    <w:rsid w:val="00170FCD"/>
    <w:rsid w:val="00170FCE"/>
    <w:rsid w:val="00171109"/>
    <w:rsid w:val="0017126B"/>
    <w:rsid w:val="001713E5"/>
    <w:rsid w:val="001715F3"/>
    <w:rsid w:val="001716FC"/>
    <w:rsid w:val="001717F2"/>
    <w:rsid w:val="0017195C"/>
    <w:rsid w:val="001719EA"/>
    <w:rsid w:val="00171BE0"/>
    <w:rsid w:val="00171BE6"/>
    <w:rsid w:val="00171BF7"/>
    <w:rsid w:val="00171C0A"/>
    <w:rsid w:val="00171C1D"/>
    <w:rsid w:val="00171D58"/>
    <w:rsid w:val="00171E53"/>
    <w:rsid w:val="00171E5B"/>
    <w:rsid w:val="00171F8B"/>
    <w:rsid w:val="00172061"/>
    <w:rsid w:val="0017206D"/>
    <w:rsid w:val="00172115"/>
    <w:rsid w:val="001721CE"/>
    <w:rsid w:val="0017259C"/>
    <w:rsid w:val="00172694"/>
    <w:rsid w:val="001726C1"/>
    <w:rsid w:val="00172711"/>
    <w:rsid w:val="00172752"/>
    <w:rsid w:val="00172875"/>
    <w:rsid w:val="00172ADB"/>
    <w:rsid w:val="00172BC3"/>
    <w:rsid w:val="00172BCD"/>
    <w:rsid w:val="00172BE7"/>
    <w:rsid w:val="00172BF6"/>
    <w:rsid w:val="00172C71"/>
    <w:rsid w:val="00172E5F"/>
    <w:rsid w:val="00172F54"/>
    <w:rsid w:val="001730E2"/>
    <w:rsid w:val="00173243"/>
    <w:rsid w:val="00173456"/>
    <w:rsid w:val="00173731"/>
    <w:rsid w:val="001737F9"/>
    <w:rsid w:val="00173819"/>
    <w:rsid w:val="0017386A"/>
    <w:rsid w:val="0017387B"/>
    <w:rsid w:val="00173899"/>
    <w:rsid w:val="00173963"/>
    <w:rsid w:val="001739EE"/>
    <w:rsid w:val="00173AE4"/>
    <w:rsid w:val="00173BC9"/>
    <w:rsid w:val="00173C7F"/>
    <w:rsid w:val="00173D9A"/>
    <w:rsid w:val="00173DD9"/>
    <w:rsid w:val="00173DE5"/>
    <w:rsid w:val="00173E09"/>
    <w:rsid w:val="00173FF4"/>
    <w:rsid w:val="00174057"/>
    <w:rsid w:val="001741F5"/>
    <w:rsid w:val="001742B5"/>
    <w:rsid w:val="001742E4"/>
    <w:rsid w:val="001744E5"/>
    <w:rsid w:val="00174537"/>
    <w:rsid w:val="0017468C"/>
    <w:rsid w:val="0017471D"/>
    <w:rsid w:val="0017476A"/>
    <w:rsid w:val="001747FD"/>
    <w:rsid w:val="001749FD"/>
    <w:rsid w:val="00174A7E"/>
    <w:rsid w:val="00174B58"/>
    <w:rsid w:val="00174C7C"/>
    <w:rsid w:val="00174D60"/>
    <w:rsid w:val="00174E12"/>
    <w:rsid w:val="00174E9C"/>
    <w:rsid w:val="00174F09"/>
    <w:rsid w:val="00174FC0"/>
    <w:rsid w:val="001751CC"/>
    <w:rsid w:val="001751E7"/>
    <w:rsid w:val="001752D2"/>
    <w:rsid w:val="001752EB"/>
    <w:rsid w:val="00175314"/>
    <w:rsid w:val="0017532B"/>
    <w:rsid w:val="0017564C"/>
    <w:rsid w:val="001757AB"/>
    <w:rsid w:val="001757B5"/>
    <w:rsid w:val="00175825"/>
    <w:rsid w:val="00175853"/>
    <w:rsid w:val="0017591E"/>
    <w:rsid w:val="00175AD5"/>
    <w:rsid w:val="00175DD7"/>
    <w:rsid w:val="00175ED7"/>
    <w:rsid w:val="00175F5A"/>
    <w:rsid w:val="001761CE"/>
    <w:rsid w:val="0017642C"/>
    <w:rsid w:val="0017646F"/>
    <w:rsid w:val="00176498"/>
    <w:rsid w:val="0017651E"/>
    <w:rsid w:val="00176577"/>
    <w:rsid w:val="00176585"/>
    <w:rsid w:val="00176641"/>
    <w:rsid w:val="001768AC"/>
    <w:rsid w:val="001768B9"/>
    <w:rsid w:val="001768F5"/>
    <w:rsid w:val="00176964"/>
    <w:rsid w:val="001769DD"/>
    <w:rsid w:val="00176B23"/>
    <w:rsid w:val="00176BB7"/>
    <w:rsid w:val="00176CE5"/>
    <w:rsid w:val="00176EB1"/>
    <w:rsid w:val="00176FE1"/>
    <w:rsid w:val="00177021"/>
    <w:rsid w:val="00177056"/>
    <w:rsid w:val="001770B4"/>
    <w:rsid w:val="00177166"/>
    <w:rsid w:val="001771B3"/>
    <w:rsid w:val="001771BE"/>
    <w:rsid w:val="001771D3"/>
    <w:rsid w:val="00177218"/>
    <w:rsid w:val="00177267"/>
    <w:rsid w:val="001773A9"/>
    <w:rsid w:val="00177546"/>
    <w:rsid w:val="00177566"/>
    <w:rsid w:val="0017784D"/>
    <w:rsid w:val="001779C8"/>
    <w:rsid w:val="00177B21"/>
    <w:rsid w:val="00177B80"/>
    <w:rsid w:val="00177B82"/>
    <w:rsid w:val="00177B9B"/>
    <w:rsid w:val="00177BC4"/>
    <w:rsid w:val="00177CC6"/>
    <w:rsid w:val="00177DD0"/>
    <w:rsid w:val="00177E7B"/>
    <w:rsid w:val="00177F2A"/>
    <w:rsid w:val="00180096"/>
    <w:rsid w:val="00180137"/>
    <w:rsid w:val="0018026F"/>
    <w:rsid w:val="001803A2"/>
    <w:rsid w:val="001803F2"/>
    <w:rsid w:val="001804FF"/>
    <w:rsid w:val="0018051D"/>
    <w:rsid w:val="00180596"/>
    <w:rsid w:val="001805C7"/>
    <w:rsid w:val="00180645"/>
    <w:rsid w:val="0018067E"/>
    <w:rsid w:val="00180688"/>
    <w:rsid w:val="0018068B"/>
    <w:rsid w:val="0018082A"/>
    <w:rsid w:val="001809BD"/>
    <w:rsid w:val="00180A33"/>
    <w:rsid w:val="00180AD8"/>
    <w:rsid w:val="00180C9F"/>
    <w:rsid w:val="00180DB5"/>
    <w:rsid w:val="00180E49"/>
    <w:rsid w:val="00180E6F"/>
    <w:rsid w:val="00181294"/>
    <w:rsid w:val="00181381"/>
    <w:rsid w:val="001813C3"/>
    <w:rsid w:val="00181402"/>
    <w:rsid w:val="0018153E"/>
    <w:rsid w:val="00181632"/>
    <w:rsid w:val="0018164D"/>
    <w:rsid w:val="001816E2"/>
    <w:rsid w:val="001817C8"/>
    <w:rsid w:val="001817CF"/>
    <w:rsid w:val="00181805"/>
    <w:rsid w:val="00181851"/>
    <w:rsid w:val="00181905"/>
    <w:rsid w:val="00181C04"/>
    <w:rsid w:val="00181C07"/>
    <w:rsid w:val="00181C31"/>
    <w:rsid w:val="00181C67"/>
    <w:rsid w:val="00181CCF"/>
    <w:rsid w:val="00181DBD"/>
    <w:rsid w:val="00181DFB"/>
    <w:rsid w:val="00181E14"/>
    <w:rsid w:val="00181E66"/>
    <w:rsid w:val="00181EC2"/>
    <w:rsid w:val="00181F5E"/>
    <w:rsid w:val="00182039"/>
    <w:rsid w:val="00182089"/>
    <w:rsid w:val="0018215B"/>
    <w:rsid w:val="001821D2"/>
    <w:rsid w:val="00182380"/>
    <w:rsid w:val="001823B0"/>
    <w:rsid w:val="0018249D"/>
    <w:rsid w:val="001824F0"/>
    <w:rsid w:val="0018253C"/>
    <w:rsid w:val="001825AA"/>
    <w:rsid w:val="001827B0"/>
    <w:rsid w:val="00182825"/>
    <w:rsid w:val="00182924"/>
    <w:rsid w:val="00182A80"/>
    <w:rsid w:val="00182B0C"/>
    <w:rsid w:val="00182BD7"/>
    <w:rsid w:val="00182BF0"/>
    <w:rsid w:val="00182BF4"/>
    <w:rsid w:val="00182CA2"/>
    <w:rsid w:val="00182CC8"/>
    <w:rsid w:val="00182E07"/>
    <w:rsid w:val="00182EA9"/>
    <w:rsid w:val="00182F79"/>
    <w:rsid w:val="001830C4"/>
    <w:rsid w:val="00183309"/>
    <w:rsid w:val="001833E9"/>
    <w:rsid w:val="00183413"/>
    <w:rsid w:val="0018353F"/>
    <w:rsid w:val="00183550"/>
    <w:rsid w:val="001835AF"/>
    <w:rsid w:val="001836F4"/>
    <w:rsid w:val="00183781"/>
    <w:rsid w:val="001837FE"/>
    <w:rsid w:val="001838E5"/>
    <w:rsid w:val="001839EB"/>
    <w:rsid w:val="00183A24"/>
    <w:rsid w:val="00183AFE"/>
    <w:rsid w:val="00183B75"/>
    <w:rsid w:val="00183BA9"/>
    <w:rsid w:val="00183CCC"/>
    <w:rsid w:val="00183CEF"/>
    <w:rsid w:val="00183D1D"/>
    <w:rsid w:val="00183E63"/>
    <w:rsid w:val="00183F44"/>
    <w:rsid w:val="00183F92"/>
    <w:rsid w:val="001840D9"/>
    <w:rsid w:val="00184151"/>
    <w:rsid w:val="00184377"/>
    <w:rsid w:val="00184378"/>
    <w:rsid w:val="001844BB"/>
    <w:rsid w:val="0018456A"/>
    <w:rsid w:val="001845B5"/>
    <w:rsid w:val="00184710"/>
    <w:rsid w:val="001848E7"/>
    <w:rsid w:val="001849BE"/>
    <w:rsid w:val="00184ADC"/>
    <w:rsid w:val="00184E5E"/>
    <w:rsid w:val="00184E84"/>
    <w:rsid w:val="00184FE5"/>
    <w:rsid w:val="00185160"/>
    <w:rsid w:val="00185175"/>
    <w:rsid w:val="001851DD"/>
    <w:rsid w:val="00185203"/>
    <w:rsid w:val="001852C9"/>
    <w:rsid w:val="00185444"/>
    <w:rsid w:val="00185457"/>
    <w:rsid w:val="0018545C"/>
    <w:rsid w:val="00185547"/>
    <w:rsid w:val="0018566F"/>
    <w:rsid w:val="0018568F"/>
    <w:rsid w:val="0018570C"/>
    <w:rsid w:val="00185729"/>
    <w:rsid w:val="001857DC"/>
    <w:rsid w:val="0018583E"/>
    <w:rsid w:val="001858B0"/>
    <w:rsid w:val="00185950"/>
    <w:rsid w:val="001859FF"/>
    <w:rsid w:val="00185BCA"/>
    <w:rsid w:val="00185CF8"/>
    <w:rsid w:val="001862DB"/>
    <w:rsid w:val="00186342"/>
    <w:rsid w:val="0018636D"/>
    <w:rsid w:val="0018650D"/>
    <w:rsid w:val="00186547"/>
    <w:rsid w:val="00186831"/>
    <w:rsid w:val="001868E0"/>
    <w:rsid w:val="00186ABB"/>
    <w:rsid w:val="00186AC3"/>
    <w:rsid w:val="00186B59"/>
    <w:rsid w:val="00186CE5"/>
    <w:rsid w:val="00186E9E"/>
    <w:rsid w:val="00186EFE"/>
    <w:rsid w:val="00186FE0"/>
    <w:rsid w:val="00187023"/>
    <w:rsid w:val="001872F6"/>
    <w:rsid w:val="00187365"/>
    <w:rsid w:val="001874CF"/>
    <w:rsid w:val="00187509"/>
    <w:rsid w:val="00187526"/>
    <w:rsid w:val="001875E9"/>
    <w:rsid w:val="001875FF"/>
    <w:rsid w:val="0018776A"/>
    <w:rsid w:val="00187795"/>
    <w:rsid w:val="00187833"/>
    <w:rsid w:val="00187849"/>
    <w:rsid w:val="001878E4"/>
    <w:rsid w:val="00187993"/>
    <w:rsid w:val="00187B6F"/>
    <w:rsid w:val="00187C63"/>
    <w:rsid w:val="00187EA5"/>
    <w:rsid w:val="00187FC8"/>
    <w:rsid w:val="0019006E"/>
    <w:rsid w:val="00190093"/>
    <w:rsid w:val="00190306"/>
    <w:rsid w:val="0019047E"/>
    <w:rsid w:val="001904B1"/>
    <w:rsid w:val="001904F1"/>
    <w:rsid w:val="001905A9"/>
    <w:rsid w:val="001906C3"/>
    <w:rsid w:val="001906D1"/>
    <w:rsid w:val="001909FD"/>
    <w:rsid w:val="00190BAC"/>
    <w:rsid w:val="00190C83"/>
    <w:rsid w:val="00190D1A"/>
    <w:rsid w:val="00190D5B"/>
    <w:rsid w:val="00190DD1"/>
    <w:rsid w:val="00190ED4"/>
    <w:rsid w:val="00190F29"/>
    <w:rsid w:val="0019106B"/>
    <w:rsid w:val="001910CD"/>
    <w:rsid w:val="0019113B"/>
    <w:rsid w:val="0019119F"/>
    <w:rsid w:val="001911BA"/>
    <w:rsid w:val="0019123B"/>
    <w:rsid w:val="001912F2"/>
    <w:rsid w:val="00191362"/>
    <w:rsid w:val="00191390"/>
    <w:rsid w:val="001913E0"/>
    <w:rsid w:val="0019152F"/>
    <w:rsid w:val="0019158A"/>
    <w:rsid w:val="00191591"/>
    <w:rsid w:val="00191712"/>
    <w:rsid w:val="001917A1"/>
    <w:rsid w:val="001917AB"/>
    <w:rsid w:val="00191817"/>
    <w:rsid w:val="001918C1"/>
    <w:rsid w:val="001918F3"/>
    <w:rsid w:val="00191B9C"/>
    <w:rsid w:val="00191BB1"/>
    <w:rsid w:val="00191BBB"/>
    <w:rsid w:val="00191C06"/>
    <w:rsid w:val="00191F7B"/>
    <w:rsid w:val="0019201E"/>
    <w:rsid w:val="00192086"/>
    <w:rsid w:val="001920C2"/>
    <w:rsid w:val="001922C2"/>
    <w:rsid w:val="00192398"/>
    <w:rsid w:val="0019243F"/>
    <w:rsid w:val="00192455"/>
    <w:rsid w:val="0019245A"/>
    <w:rsid w:val="001924DC"/>
    <w:rsid w:val="001927FE"/>
    <w:rsid w:val="00192978"/>
    <w:rsid w:val="00192A0A"/>
    <w:rsid w:val="00192BA0"/>
    <w:rsid w:val="00192BBA"/>
    <w:rsid w:val="00192C5A"/>
    <w:rsid w:val="00192CEA"/>
    <w:rsid w:val="00192D31"/>
    <w:rsid w:val="00192D88"/>
    <w:rsid w:val="00192EB9"/>
    <w:rsid w:val="00192EF0"/>
    <w:rsid w:val="00192FE9"/>
    <w:rsid w:val="00193049"/>
    <w:rsid w:val="001931F4"/>
    <w:rsid w:val="00193269"/>
    <w:rsid w:val="00193381"/>
    <w:rsid w:val="001933AF"/>
    <w:rsid w:val="001933F0"/>
    <w:rsid w:val="001934B2"/>
    <w:rsid w:val="001934D6"/>
    <w:rsid w:val="0019358B"/>
    <w:rsid w:val="00193735"/>
    <w:rsid w:val="00193790"/>
    <w:rsid w:val="001937AD"/>
    <w:rsid w:val="0019390A"/>
    <w:rsid w:val="0019392D"/>
    <w:rsid w:val="001939A0"/>
    <w:rsid w:val="00193A64"/>
    <w:rsid w:val="00193BAD"/>
    <w:rsid w:val="00193DA5"/>
    <w:rsid w:val="00193DD4"/>
    <w:rsid w:val="00193DE9"/>
    <w:rsid w:val="00193E46"/>
    <w:rsid w:val="00193F02"/>
    <w:rsid w:val="00194184"/>
    <w:rsid w:val="0019427D"/>
    <w:rsid w:val="001942C0"/>
    <w:rsid w:val="00194386"/>
    <w:rsid w:val="0019439D"/>
    <w:rsid w:val="0019454A"/>
    <w:rsid w:val="001946AE"/>
    <w:rsid w:val="0019474E"/>
    <w:rsid w:val="001947EB"/>
    <w:rsid w:val="0019480A"/>
    <w:rsid w:val="0019485F"/>
    <w:rsid w:val="00194B44"/>
    <w:rsid w:val="00194B67"/>
    <w:rsid w:val="00194B6D"/>
    <w:rsid w:val="00194D15"/>
    <w:rsid w:val="00194D8A"/>
    <w:rsid w:val="00194E8B"/>
    <w:rsid w:val="00194F58"/>
    <w:rsid w:val="00195041"/>
    <w:rsid w:val="00195095"/>
    <w:rsid w:val="001950A4"/>
    <w:rsid w:val="00195422"/>
    <w:rsid w:val="001954CE"/>
    <w:rsid w:val="00195904"/>
    <w:rsid w:val="0019596F"/>
    <w:rsid w:val="00195A00"/>
    <w:rsid w:val="00195AB2"/>
    <w:rsid w:val="00195B69"/>
    <w:rsid w:val="00195BB2"/>
    <w:rsid w:val="00195C29"/>
    <w:rsid w:val="00195C58"/>
    <w:rsid w:val="00195D19"/>
    <w:rsid w:val="00195D33"/>
    <w:rsid w:val="00195FEB"/>
    <w:rsid w:val="0019603A"/>
    <w:rsid w:val="0019620E"/>
    <w:rsid w:val="0019634A"/>
    <w:rsid w:val="0019643D"/>
    <w:rsid w:val="001964A3"/>
    <w:rsid w:val="001964A4"/>
    <w:rsid w:val="001964A7"/>
    <w:rsid w:val="001965C0"/>
    <w:rsid w:val="001965E2"/>
    <w:rsid w:val="00196608"/>
    <w:rsid w:val="00196754"/>
    <w:rsid w:val="00196781"/>
    <w:rsid w:val="001967AE"/>
    <w:rsid w:val="0019683C"/>
    <w:rsid w:val="001968A2"/>
    <w:rsid w:val="0019695F"/>
    <w:rsid w:val="00196967"/>
    <w:rsid w:val="00196998"/>
    <w:rsid w:val="00196BA9"/>
    <w:rsid w:val="00196CFF"/>
    <w:rsid w:val="00196DEF"/>
    <w:rsid w:val="00196F84"/>
    <w:rsid w:val="00196F9C"/>
    <w:rsid w:val="00197163"/>
    <w:rsid w:val="0019727B"/>
    <w:rsid w:val="00197465"/>
    <w:rsid w:val="00197642"/>
    <w:rsid w:val="001977B3"/>
    <w:rsid w:val="00197A0D"/>
    <w:rsid w:val="00197A21"/>
    <w:rsid w:val="00197A25"/>
    <w:rsid w:val="00197A93"/>
    <w:rsid w:val="00197C01"/>
    <w:rsid w:val="00197CD0"/>
    <w:rsid w:val="00197DFD"/>
    <w:rsid w:val="00197F40"/>
    <w:rsid w:val="001A0016"/>
    <w:rsid w:val="001A003E"/>
    <w:rsid w:val="001A00C9"/>
    <w:rsid w:val="001A0132"/>
    <w:rsid w:val="001A025E"/>
    <w:rsid w:val="001A02FE"/>
    <w:rsid w:val="001A033D"/>
    <w:rsid w:val="001A03D7"/>
    <w:rsid w:val="001A03FB"/>
    <w:rsid w:val="001A0405"/>
    <w:rsid w:val="001A04BF"/>
    <w:rsid w:val="001A062F"/>
    <w:rsid w:val="001A067E"/>
    <w:rsid w:val="001A081B"/>
    <w:rsid w:val="001A08D1"/>
    <w:rsid w:val="001A0AE9"/>
    <w:rsid w:val="001A0BCC"/>
    <w:rsid w:val="001A0C68"/>
    <w:rsid w:val="001A0CED"/>
    <w:rsid w:val="001A0D01"/>
    <w:rsid w:val="001A0D44"/>
    <w:rsid w:val="001A0DBD"/>
    <w:rsid w:val="001A0E65"/>
    <w:rsid w:val="001A0FC7"/>
    <w:rsid w:val="001A1004"/>
    <w:rsid w:val="001A10DB"/>
    <w:rsid w:val="001A1368"/>
    <w:rsid w:val="001A1493"/>
    <w:rsid w:val="001A152B"/>
    <w:rsid w:val="001A1636"/>
    <w:rsid w:val="001A169C"/>
    <w:rsid w:val="001A174C"/>
    <w:rsid w:val="001A1760"/>
    <w:rsid w:val="001A183D"/>
    <w:rsid w:val="001A186D"/>
    <w:rsid w:val="001A1B1A"/>
    <w:rsid w:val="001A1B78"/>
    <w:rsid w:val="001A1C14"/>
    <w:rsid w:val="001A1D08"/>
    <w:rsid w:val="001A1E09"/>
    <w:rsid w:val="001A1E22"/>
    <w:rsid w:val="001A1FAA"/>
    <w:rsid w:val="001A2024"/>
    <w:rsid w:val="001A2283"/>
    <w:rsid w:val="001A2289"/>
    <w:rsid w:val="001A22BB"/>
    <w:rsid w:val="001A2327"/>
    <w:rsid w:val="001A2374"/>
    <w:rsid w:val="001A23BF"/>
    <w:rsid w:val="001A25A2"/>
    <w:rsid w:val="001A2607"/>
    <w:rsid w:val="001A27CC"/>
    <w:rsid w:val="001A284F"/>
    <w:rsid w:val="001A2955"/>
    <w:rsid w:val="001A298C"/>
    <w:rsid w:val="001A2A36"/>
    <w:rsid w:val="001A2D1A"/>
    <w:rsid w:val="001A2FBC"/>
    <w:rsid w:val="001A2FC9"/>
    <w:rsid w:val="001A302C"/>
    <w:rsid w:val="001A303B"/>
    <w:rsid w:val="001A307E"/>
    <w:rsid w:val="001A3143"/>
    <w:rsid w:val="001A3172"/>
    <w:rsid w:val="001A3266"/>
    <w:rsid w:val="001A33C1"/>
    <w:rsid w:val="001A347E"/>
    <w:rsid w:val="001A35FB"/>
    <w:rsid w:val="001A36CA"/>
    <w:rsid w:val="001A3715"/>
    <w:rsid w:val="001A3821"/>
    <w:rsid w:val="001A3854"/>
    <w:rsid w:val="001A38B1"/>
    <w:rsid w:val="001A3A1F"/>
    <w:rsid w:val="001A3BA2"/>
    <w:rsid w:val="001A3D06"/>
    <w:rsid w:val="001A3E55"/>
    <w:rsid w:val="001A3F4D"/>
    <w:rsid w:val="001A3FED"/>
    <w:rsid w:val="001A4173"/>
    <w:rsid w:val="001A4276"/>
    <w:rsid w:val="001A42E3"/>
    <w:rsid w:val="001A4383"/>
    <w:rsid w:val="001A462D"/>
    <w:rsid w:val="001A463F"/>
    <w:rsid w:val="001A46A4"/>
    <w:rsid w:val="001A46E8"/>
    <w:rsid w:val="001A472B"/>
    <w:rsid w:val="001A4778"/>
    <w:rsid w:val="001A4AE3"/>
    <w:rsid w:val="001A4B67"/>
    <w:rsid w:val="001A4CB9"/>
    <w:rsid w:val="001A4D44"/>
    <w:rsid w:val="001A4E66"/>
    <w:rsid w:val="001A5043"/>
    <w:rsid w:val="001A507D"/>
    <w:rsid w:val="001A50DA"/>
    <w:rsid w:val="001A514C"/>
    <w:rsid w:val="001A51FE"/>
    <w:rsid w:val="001A521B"/>
    <w:rsid w:val="001A54C0"/>
    <w:rsid w:val="001A5583"/>
    <w:rsid w:val="001A55EF"/>
    <w:rsid w:val="001A56FD"/>
    <w:rsid w:val="001A578E"/>
    <w:rsid w:val="001A57E0"/>
    <w:rsid w:val="001A5849"/>
    <w:rsid w:val="001A5AFC"/>
    <w:rsid w:val="001A5B7F"/>
    <w:rsid w:val="001A5BA6"/>
    <w:rsid w:val="001A5C90"/>
    <w:rsid w:val="001A5E27"/>
    <w:rsid w:val="001A5F1B"/>
    <w:rsid w:val="001A5F2C"/>
    <w:rsid w:val="001A5F6B"/>
    <w:rsid w:val="001A5FAA"/>
    <w:rsid w:val="001A5FC8"/>
    <w:rsid w:val="001A5FDD"/>
    <w:rsid w:val="001A5FEA"/>
    <w:rsid w:val="001A60DD"/>
    <w:rsid w:val="001A60DE"/>
    <w:rsid w:val="001A6148"/>
    <w:rsid w:val="001A6358"/>
    <w:rsid w:val="001A6482"/>
    <w:rsid w:val="001A653B"/>
    <w:rsid w:val="001A6691"/>
    <w:rsid w:val="001A6773"/>
    <w:rsid w:val="001A6978"/>
    <w:rsid w:val="001A6A16"/>
    <w:rsid w:val="001A6A75"/>
    <w:rsid w:val="001A6C60"/>
    <w:rsid w:val="001A6CB9"/>
    <w:rsid w:val="001A6CC4"/>
    <w:rsid w:val="001A6D79"/>
    <w:rsid w:val="001A6E3A"/>
    <w:rsid w:val="001A6E62"/>
    <w:rsid w:val="001A6F2A"/>
    <w:rsid w:val="001A702F"/>
    <w:rsid w:val="001A7146"/>
    <w:rsid w:val="001A714A"/>
    <w:rsid w:val="001A7272"/>
    <w:rsid w:val="001A72A8"/>
    <w:rsid w:val="001A750D"/>
    <w:rsid w:val="001A7522"/>
    <w:rsid w:val="001A75D4"/>
    <w:rsid w:val="001A7684"/>
    <w:rsid w:val="001A7733"/>
    <w:rsid w:val="001A7916"/>
    <w:rsid w:val="001A799F"/>
    <w:rsid w:val="001A7A23"/>
    <w:rsid w:val="001A7ABA"/>
    <w:rsid w:val="001A7BDA"/>
    <w:rsid w:val="001A7C4D"/>
    <w:rsid w:val="001A7C5B"/>
    <w:rsid w:val="001A7DDA"/>
    <w:rsid w:val="001A7EA9"/>
    <w:rsid w:val="001A7FE6"/>
    <w:rsid w:val="001A7FEA"/>
    <w:rsid w:val="001B00A7"/>
    <w:rsid w:val="001B021E"/>
    <w:rsid w:val="001B0264"/>
    <w:rsid w:val="001B028D"/>
    <w:rsid w:val="001B02D3"/>
    <w:rsid w:val="001B0517"/>
    <w:rsid w:val="001B069A"/>
    <w:rsid w:val="001B0719"/>
    <w:rsid w:val="001B0728"/>
    <w:rsid w:val="001B07A5"/>
    <w:rsid w:val="001B0848"/>
    <w:rsid w:val="001B0864"/>
    <w:rsid w:val="001B090E"/>
    <w:rsid w:val="001B09CD"/>
    <w:rsid w:val="001B0A4F"/>
    <w:rsid w:val="001B0A5F"/>
    <w:rsid w:val="001B0A8A"/>
    <w:rsid w:val="001B0A8F"/>
    <w:rsid w:val="001B0A95"/>
    <w:rsid w:val="001B0B54"/>
    <w:rsid w:val="001B0B6D"/>
    <w:rsid w:val="001B0B82"/>
    <w:rsid w:val="001B0EE4"/>
    <w:rsid w:val="001B0F56"/>
    <w:rsid w:val="001B1136"/>
    <w:rsid w:val="001B12FC"/>
    <w:rsid w:val="001B1497"/>
    <w:rsid w:val="001B158B"/>
    <w:rsid w:val="001B15F8"/>
    <w:rsid w:val="001B1A0D"/>
    <w:rsid w:val="001B1B11"/>
    <w:rsid w:val="001B1C9F"/>
    <w:rsid w:val="001B1D0B"/>
    <w:rsid w:val="001B1E98"/>
    <w:rsid w:val="001B1F35"/>
    <w:rsid w:val="001B1F52"/>
    <w:rsid w:val="001B1F78"/>
    <w:rsid w:val="001B1FB3"/>
    <w:rsid w:val="001B2086"/>
    <w:rsid w:val="001B2096"/>
    <w:rsid w:val="001B20DA"/>
    <w:rsid w:val="001B2127"/>
    <w:rsid w:val="001B2188"/>
    <w:rsid w:val="001B23F7"/>
    <w:rsid w:val="001B2523"/>
    <w:rsid w:val="001B2538"/>
    <w:rsid w:val="001B2602"/>
    <w:rsid w:val="001B2606"/>
    <w:rsid w:val="001B27CA"/>
    <w:rsid w:val="001B281E"/>
    <w:rsid w:val="001B29B0"/>
    <w:rsid w:val="001B2B89"/>
    <w:rsid w:val="001B2BC4"/>
    <w:rsid w:val="001B2D3E"/>
    <w:rsid w:val="001B2D47"/>
    <w:rsid w:val="001B3016"/>
    <w:rsid w:val="001B3140"/>
    <w:rsid w:val="001B33CE"/>
    <w:rsid w:val="001B346E"/>
    <w:rsid w:val="001B3497"/>
    <w:rsid w:val="001B35C6"/>
    <w:rsid w:val="001B3657"/>
    <w:rsid w:val="001B3683"/>
    <w:rsid w:val="001B36A1"/>
    <w:rsid w:val="001B36D7"/>
    <w:rsid w:val="001B3809"/>
    <w:rsid w:val="001B38E6"/>
    <w:rsid w:val="001B3983"/>
    <w:rsid w:val="001B3A5A"/>
    <w:rsid w:val="001B3B14"/>
    <w:rsid w:val="001B3C15"/>
    <w:rsid w:val="001B3C5A"/>
    <w:rsid w:val="001B3EE0"/>
    <w:rsid w:val="001B3FC6"/>
    <w:rsid w:val="001B3FDF"/>
    <w:rsid w:val="001B3FE5"/>
    <w:rsid w:val="001B4016"/>
    <w:rsid w:val="001B40C3"/>
    <w:rsid w:val="001B41C1"/>
    <w:rsid w:val="001B422D"/>
    <w:rsid w:val="001B4232"/>
    <w:rsid w:val="001B42B7"/>
    <w:rsid w:val="001B4494"/>
    <w:rsid w:val="001B44BB"/>
    <w:rsid w:val="001B45CF"/>
    <w:rsid w:val="001B472F"/>
    <w:rsid w:val="001B48D5"/>
    <w:rsid w:val="001B49DD"/>
    <w:rsid w:val="001B4B41"/>
    <w:rsid w:val="001B4C51"/>
    <w:rsid w:val="001B4C5B"/>
    <w:rsid w:val="001B4D14"/>
    <w:rsid w:val="001B4D9B"/>
    <w:rsid w:val="001B4F1E"/>
    <w:rsid w:val="001B4F75"/>
    <w:rsid w:val="001B50A3"/>
    <w:rsid w:val="001B510E"/>
    <w:rsid w:val="001B51AA"/>
    <w:rsid w:val="001B5261"/>
    <w:rsid w:val="001B53A3"/>
    <w:rsid w:val="001B54B7"/>
    <w:rsid w:val="001B54D2"/>
    <w:rsid w:val="001B55AC"/>
    <w:rsid w:val="001B5694"/>
    <w:rsid w:val="001B56BB"/>
    <w:rsid w:val="001B58A9"/>
    <w:rsid w:val="001B597A"/>
    <w:rsid w:val="001B5E54"/>
    <w:rsid w:val="001B5EA5"/>
    <w:rsid w:val="001B5EC3"/>
    <w:rsid w:val="001B5F31"/>
    <w:rsid w:val="001B5FF9"/>
    <w:rsid w:val="001B60F8"/>
    <w:rsid w:val="001B61CD"/>
    <w:rsid w:val="001B63DC"/>
    <w:rsid w:val="001B63EF"/>
    <w:rsid w:val="001B6408"/>
    <w:rsid w:val="001B6626"/>
    <w:rsid w:val="001B676C"/>
    <w:rsid w:val="001B67A8"/>
    <w:rsid w:val="001B6867"/>
    <w:rsid w:val="001B68E8"/>
    <w:rsid w:val="001B68EB"/>
    <w:rsid w:val="001B6A11"/>
    <w:rsid w:val="001B6B12"/>
    <w:rsid w:val="001B6C36"/>
    <w:rsid w:val="001B6C5D"/>
    <w:rsid w:val="001B6D52"/>
    <w:rsid w:val="001B6DA2"/>
    <w:rsid w:val="001B6DDB"/>
    <w:rsid w:val="001B6E75"/>
    <w:rsid w:val="001B6FC3"/>
    <w:rsid w:val="001B7033"/>
    <w:rsid w:val="001B712F"/>
    <w:rsid w:val="001B7185"/>
    <w:rsid w:val="001B7337"/>
    <w:rsid w:val="001B7394"/>
    <w:rsid w:val="001B743A"/>
    <w:rsid w:val="001B755E"/>
    <w:rsid w:val="001B7688"/>
    <w:rsid w:val="001B76C1"/>
    <w:rsid w:val="001B7759"/>
    <w:rsid w:val="001B77C2"/>
    <w:rsid w:val="001B77FA"/>
    <w:rsid w:val="001B7892"/>
    <w:rsid w:val="001B78CF"/>
    <w:rsid w:val="001B7975"/>
    <w:rsid w:val="001B79EB"/>
    <w:rsid w:val="001B7B95"/>
    <w:rsid w:val="001B7C91"/>
    <w:rsid w:val="001B7CF8"/>
    <w:rsid w:val="001B7E41"/>
    <w:rsid w:val="001B7E63"/>
    <w:rsid w:val="001B7E7E"/>
    <w:rsid w:val="001B7E89"/>
    <w:rsid w:val="001B7F8A"/>
    <w:rsid w:val="001B7F8B"/>
    <w:rsid w:val="001B7F8C"/>
    <w:rsid w:val="001C000B"/>
    <w:rsid w:val="001C016D"/>
    <w:rsid w:val="001C0280"/>
    <w:rsid w:val="001C02CB"/>
    <w:rsid w:val="001C02DA"/>
    <w:rsid w:val="001C02FF"/>
    <w:rsid w:val="001C0313"/>
    <w:rsid w:val="001C03A5"/>
    <w:rsid w:val="001C03F2"/>
    <w:rsid w:val="001C04C1"/>
    <w:rsid w:val="001C06E3"/>
    <w:rsid w:val="001C06EC"/>
    <w:rsid w:val="001C079B"/>
    <w:rsid w:val="001C07C2"/>
    <w:rsid w:val="001C07DB"/>
    <w:rsid w:val="001C07FF"/>
    <w:rsid w:val="001C08CE"/>
    <w:rsid w:val="001C0918"/>
    <w:rsid w:val="001C09D2"/>
    <w:rsid w:val="001C0BDF"/>
    <w:rsid w:val="001C1134"/>
    <w:rsid w:val="001C1144"/>
    <w:rsid w:val="001C1151"/>
    <w:rsid w:val="001C1169"/>
    <w:rsid w:val="001C1173"/>
    <w:rsid w:val="001C1248"/>
    <w:rsid w:val="001C12D7"/>
    <w:rsid w:val="001C1467"/>
    <w:rsid w:val="001C1521"/>
    <w:rsid w:val="001C1666"/>
    <w:rsid w:val="001C1697"/>
    <w:rsid w:val="001C16B3"/>
    <w:rsid w:val="001C18A8"/>
    <w:rsid w:val="001C1A61"/>
    <w:rsid w:val="001C1B75"/>
    <w:rsid w:val="001C1C0B"/>
    <w:rsid w:val="001C1CB6"/>
    <w:rsid w:val="001C1D8D"/>
    <w:rsid w:val="001C1EBD"/>
    <w:rsid w:val="001C1F06"/>
    <w:rsid w:val="001C1F66"/>
    <w:rsid w:val="001C1F7D"/>
    <w:rsid w:val="001C20D8"/>
    <w:rsid w:val="001C2160"/>
    <w:rsid w:val="001C2274"/>
    <w:rsid w:val="001C2291"/>
    <w:rsid w:val="001C2297"/>
    <w:rsid w:val="001C23C6"/>
    <w:rsid w:val="001C2446"/>
    <w:rsid w:val="001C2606"/>
    <w:rsid w:val="001C263D"/>
    <w:rsid w:val="001C2822"/>
    <w:rsid w:val="001C285E"/>
    <w:rsid w:val="001C2A36"/>
    <w:rsid w:val="001C2A93"/>
    <w:rsid w:val="001C2B7B"/>
    <w:rsid w:val="001C2CB4"/>
    <w:rsid w:val="001C2D6F"/>
    <w:rsid w:val="001C2D72"/>
    <w:rsid w:val="001C2DCD"/>
    <w:rsid w:val="001C2FF0"/>
    <w:rsid w:val="001C3037"/>
    <w:rsid w:val="001C30AF"/>
    <w:rsid w:val="001C312B"/>
    <w:rsid w:val="001C3156"/>
    <w:rsid w:val="001C3167"/>
    <w:rsid w:val="001C31E9"/>
    <w:rsid w:val="001C3233"/>
    <w:rsid w:val="001C332B"/>
    <w:rsid w:val="001C345D"/>
    <w:rsid w:val="001C348F"/>
    <w:rsid w:val="001C3628"/>
    <w:rsid w:val="001C36C0"/>
    <w:rsid w:val="001C3774"/>
    <w:rsid w:val="001C3882"/>
    <w:rsid w:val="001C3A30"/>
    <w:rsid w:val="001C3A42"/>
    <w:rsid w:val="001C3A4A"/>
    <w:rsid w:val="001C3B72"/>
    <w:rsid w:val="001C3B9E"/>
    <w:rsid w:val="001C3BC1"/>
    <w:rsid w:val="001C3C4A"/>
    <w:rsid w:val="001C3C69"/>
    <w:rsid w:val="001C3C78"/>
    <w:rsid w:val="001C3CE9"/>
    <w:rsid w:val="001C3CF5"/>
    <w:rsid w:val="001C3E2D"/>
    <w:rsid w:val="001C40FA"/>
    <w:rsid w:val="001C416B"/>
    <w:rsid w:val="001C4201"/>
    <w:rsid w:val="001C4223"/>
    <w:rsid w:val="001C42EC"/>
    <w:rsid w:val="001C439C"/>
    <w:rsid w:val="001C43DF"/>
    <w:rsid w:val="001C43FD"/>
    <w:rsid w:val="001C4492"/>
    <w:rsid w:val="001C4499"/>
    <w:rsid w:val="001C44B0"/>
    <w:rsid w:val="001C44E2"/>
    <w:rsid w:val="001C4686"/>
    <w:rsid w:val="001C469D"/>
    <w:rsid w:val="001C4722"/>
    <w:rsid w:val="001C47D1"/>
    <w:rsid w:val="001C4963"/>
    <w:rsid w:val="001C4A73"/>
    <w:rsid w:val="001C4B38"/>
    <w:rsid w:val="001C4B40"/>
    <w:rsid w:val="001C4B96"/>
    <w:rsid w:val="001C4C48"/>
    <w:rsid w:val="001C4C83"/>
    <w:rsid w:val="001C4CBE"/>
    <w:rsid w:val="001C4DF7"/>
    <w:rsid w:val="001C4E65"/>
    <w:rsid w:val="001C5066"/>
    <w:rsid w:val="001C5250"/>
    <w:rsid w:val="001C526C"/>
    <w:rsid w:val="001C52FA"/>
    <w:rsid w:val="001C5381"/>
    <w:rsid w:val="001C5390"/>
    <w:rsid w:val="001C540E"/>
    <w:rsid w:val="001C55A0"/>
    <w:rsid w:val="001C56F5"/>
    <w:rsid w:val="001C5875"/>
    <w:rsid w:val="001C5883"/>
    <w:rsid w:val="001C5AAB"/>
    <w:rsid w:val="001C5D1F"/>
    <w:rsid w:val="001C5DA5"/>
    <w:rsid w:val="001C5DDE"/>
    <w:rsid w:val="001C5ECA"/>
    <w:rsid w:val="001C5ECD"/>
    <w:rsid w:val="001C603A"/>
    <w:rsid w:val="001C6056"/>
    <w:rsid w:val="001C60F7"/>
    <w:rsid w:val="001C623A"/>
    <w:rsid w:val="001C634E"/>
    <w:rsid w:val="001C640B"/>
    <w:rsid w:val="001C64A2"/>
    <w:rsid w:val="001C64B9"/>
    <w:rsid w:val="001C64DD"/>
    <w:rsid w:val="001C6672"/>
    <w:rsid w:val="001C66EE"/>
    <w:rsid w:val="001C6D51"/>
    <w:rsid w:val="001C6D55"/>
    <w:rsid w:val="001C6D89"/>
    <w:rsid w:val="001C702A"/>
    <w:rsid w:val="001C7222"/>
    <w:rsid w:val="001C72DE"/>
    <w:rsid w:val="001C74AC"/>
    <w:rsid w:val="001C75DD"/>
    <w:rsid w:val="001C75FA"/>
    <w:rsid w:val="001C761F"/>
    <w:rsid w:val="001C763B"/>
    <w:rsid w:val="001C76E6"/>
    <w:rsid w:val="001C78CE"/>
    <w:rsid w:val="001C78EA"/>
    <w:rsid w:val="001C7914"/>
    <w:rsid w:val="001C7A97"/>
    <w:rsid w:val="001C7ADB"/>
    <w:rsid w:val="001C7B55"/>
    <w:rsid w:val="001C7B87"/>
    <w:rsid w:val="001C7C2C"/>
    <w:rsid w:val="001C7C31"/>
    <w:rsid w:val="001C7C9A"/>
    <w:rsid w:val="001C7D03"/>
    <w:rsid w:val="001C7DCF"/>
    <w:rsid w:val="001C7FBA"/>
    <w:rsid w:val="001D00BD"/>
    <w:rsid w:val="001D0112"/>
    <w:rsid w:val="001D01B5"/>
    <w:rsid w:val="001D032C"/>
    <w:rsid w:val="001D0373"/>
    <w:rsid w:val="001D0675"/>
    <w:rsid w:val="001D0990"/>
    <w:rsid w:val="001D09EB"/>
    <w:rsid w:val="001D0ACF"/>
    <w:rsid w:val="001D0CAD"/>
    <w:rsid w:val="001D0CBD"/>
    <w:rsid w:val="001D0E9B"/>
    <w:rsid w:val="001D0EBA"/>
    <w:rsid w:val="001D0FF3"/>
    <w:rsid w:val="001D109C"/>
    <w:rsid w:val="001D111D"/>
    <w:rsid w:val="001D130C"/>
    <w:rsid w:val="001D133C"/>
    <w:rsid w:val="001D1394"/>
    <w:rsid w:val="001D14E8"/>
    <w:rsid w:val="001D15F9"/>
    <w:rsid w:val="001D164D"/>
    <w:rsid w:val="001D1670"/>
    <w:rsid w:val="001D17E1"/>
    <w:rsid w:val="001D185D"/>
    <w:rsid w:val="001D18D6"/>
    <w:rsid w:val="001D1967"/>
    <w:rsid w:val="001D19A6"/>
    <w:rsid w:val="001D19DD"/>
    <w:rsid w:val="001D1ACA"/>
    <w:rsid w:val="001D1C3E"/>
    <w:rsid w:val="001D1F51"/>
    <w:rsid w:val="001D1F91"/>
    <w:rsid w:val="001D1FB6"/>
    <w:rsid w:val="001D21E2"/>
    <w:rsid w:val="001D2308"/>
    <w:rsid w:val="001D2445"/>
    <w:rsid w:val="001D2572"/>
    <w:rsid w:val="001D2784"/>
    <w:rsid w:val="001D28A3"/>
    <w:rsid w:val="001D292E"/>
    <w:rsid w:val="001D29E6"/>
    <w:rsid w:val="001D2A73"/>
    <w:rsid w:val="001D2B46"/>
    <w:rsid w:val="001D2BA2"/>
    <w:rsid w:val="001D2BE4"/>
    <w:rsid w:val="001D2C23"/>
    <w:rsid w:val="001D2CF7"/>
    <w:rsid w:val="001D2D38"/>
    <w:rsid w:val="001D2D94"/>
    <w:rsid w:val="001D2DB6"/>
    <w:rsid w:val="001D2E71"/>
    <w:rsid w:val="001D2F87"/>
    <w:rsid w:val="001D31DD"/>
    <w:rsid w:val="001D322C"/>
    <w:rsid w:val="001D327F"/>
    <w:rsid w:val="001D353B"/>
    <w:rsid w:val="001D3553"/>
    <w:rsid w:val="001D3652"/>
    <w:rsid w:val="001D3730"/>
    <w:rsid w:val="001D393E"/>
    <w:rsid w:val="001D39AF"/>
    <w:rsid w:val="001D3A52"/>
    <w:rsid w:val="001D3A81"/>
    <w:rsid w:val="001D3A84"/>
    <w:rsid w:val="001D3AEF"/>
    <w:rsid w:val="001D3BE0"/>
    <w:rsid w:val="001D3BEB"/>
    <w:rsid w:val="001D3C98"/>
    <w:rsid w:val="001D3D34"/>
    <w:rsid w:val="001D3F55"/>
    <w:rsid w:val="001D401E"/>
    <w:rsid w:val="001D4075"/>
    <w:rsid w:val="001D419E"/>
    <w:rsid w:val="001D4232"/>
    <w:rsid w:val="001D43F5"/>
    <w:rsid w:val="001D4448"/>
    <w:rsid w:val="001D4454"/>
    <w:rsid w:val="001D44CB"/>
    <w:rsid w:val="001D4605"/>
    <w:rsid w:val="001D4641"/>
    <w:rsid w:val="001D47E5"/>
    <w:rsid w:val="001D4869"/>
    <w:rsid w:val="001D4916"/>
    <w:rsid w:val="001D4942"/>
    <w:rsid w:val="001D49C8"/>
    <w:rsid w:val="001D4BC4"/>
    <w:rsid w:val="001D4C14"/>
    <w:rsid w:val="001D4CFA"/>
    <w:rsid w:val="001D4F35"/>
    <w:rsid w:val="001D5124"/>
    <w:rsid w:val="001D5244"/>
    <w:rsid w:val="001D5260"/>
    <w:rsid w:val="001D5538"/>
    <w:rsid w:val="001D5629"/>
    <w:rsid w:val="001D5679"/>
    <w:rsid w:val="001D56D5"/>
    <w:rsid w:val="001D56EE"/>
    <w:rsid w:val="001D5775"/>
    <w:rsid w:val="001D5860"/>
    <w:rsid w:val="001D5870"/>
    <w:rsid w:val="001D59C1"/>
    <w:rsid w:val="001D5B59"/>
    <w:rsid w:val="001D5B7D"/>
    <w:rsid w:val="001D5BE3"/>
    <w:rsid w:val="001D5C21"/>
    <w:rsid w:val="001D5D89"/>
    <w:rsid w:val="001D5D97"/>
    <w:rsid w:val="001D5FAB"/>
    <w:rsid w:val="001D60D4"/>
    <w:rsid w:val="001D6127"/>
    <w:rsid w:val="001D615B"/>
    <w:rsid w:val="001D61AA"/>
    <w:rsid w:val="001D63C0"/>
    <w:rsid w:val="001D6496"/>
    <w:rsid w:val="001D68A7"/>
    <w:rsid w:val="001D68FF"/>
    <w:rsid w:val="001D6955"/>
    <w:rsid w:val="001D6975"/>
    <w:rsid w:val="001D6A47"/>
    <w:rsid w:val="001D6AB6"/>
    <w:rsid w:val="001D6B0A"/>
    <w:rsid w:val="001D6C0C"/>
    <w:rsid w:val="001D6F2D"/>
    <w:rsid w:val="001D7004"/>
    <w:rsid w:val="001D731E"/>
    <w:rsid w:val="001D73E0"/>
    <w:rsid w:val="001D74AA"/>
    <w:rsid w:val="001D74BE"/>
    <w:rsid w:val="001D761E"/>
    <w:rsid w:val="001D7728"/>
    <w:rsid w:val="001D7760"/>
    <w:rsid w:val="001D7901"/>
    <w:rsid w:val="001D7B55"/>
    <w:rsid w:val="001D7B86"/>
    <w:rsid w:val="001D7BF0"/>
    <w:rsid w:val="001D7D53"/>
    <w:rsid w:val="001D7E3E"/>
    <w:rsid w:val="001D7F2E"/>
    <w:rsid w:val="001D7FB1"/>
    <w:rsid w:val="001D7FF0"/>
    <w:rsid w:val="001E00FD"/>
    <w:rsid w:val="001E02D2"/>
    <w:rsid w:val="001E03E7"/>
    <w:rsid w:val="001E04BE"/>
    <w:rsid w:val="001E04F6"/>
    <w:rsid w:val="001E054E"/>
    <w:rsid w:val="001E05DF"/>
    <w:rsid w:val="001E0640"/>
    <w:rsid w:val="001E070F"/>
    <w:rsid w:val="001E0718"/>
    <w:rsid w:val="001E0786"/>
    <w:rsid w:val="001E089F"/>
    <w:rsid w:val="001E09B9"/>
    <w:rsid w:val="001E09BF"/>
    <w:rsid w:val="001E09EC"/>
    <w:rsid w:val="001E09F6"/>
    <w:rsid w:val="001E0A0D"/>
    <w:rsid w:val="001E0A7C"/>
    <w:rsid w:val="001E0AF8"/>
    <w:rsid w:val="001E0B7A"/>
    <w:rsid w:val="001E0BDA"/>
    <w:rsid w:val="001E0C50"/>
    <w:rsid w:val="001E0CA0"/>
    <w:rsid w:val="001E0D11"/>
    <w:rsid w:val="001E0D36"/>
    <w:rsid w:val="001E10AC"/>
    <w:rsid w:val="001E10B5"/>
    <w:rsid w:val="001E112F"/>
    <w:rsid w:val="001E1132"/>
    <w:rsid w:val="001E1430"/>
    <w:rsid w:val="001E18DF"/>
    <w:rsid w:val="001E1B1F"/>
    <w:rsid w:val="001E1B34"/>
    <w:rsid w:val="001E1B3E"/>
    <w:rsid w:val="001E1B41"/>
    <w:rsid w:val="001E1B8E"/>
    <w:rsid w:val="001E1D34"/>
    <w:rsid w:val="001E1DBC"/>
    <w:rsid w:val="001E20E2"/>
    <w:rsid w:val="001E2250"/>
    <w:rsid w:val="001E2428"/>
    <w:rsid w:val="001E25E0"/>
    <w:rsid w:val="001E261B"/>
    <w:rsid w:val="001E26ED"/>
    <w:rsid w:val="001E2781"/>
    <w:rsid w:val="001E2953"/>
    <w:rsid w:val="001E2ABC"/>
    <w:rsid w:val="001E2B3B"/>
    <w:rsid w:val="001E2C46"/>
    <w:rsid w:val="001E2CB3"/>
    <w:rsid w:val="001E2D97"/>
    <w:rsid w:val="001E2EB4"/>
    <w:rsid w:val="001E2F78"/>
    <w:rsid w:val="001E2FD5"/>
    <w:rsid w:val="001E307F"/>
    <w:rsid w:val="001E3175"/>
    <w:rsid w:val="001E3181"/>
    <w:rsid w:val="001E34C1"/>
    <w:rsid w:val="001E351D"/>
    <w:rsid w:val="001E371A"/>
    <w:rsid w:val="001E3808"/>
    <w:rsid w:val="001E3975"/>
    <w:rsid w:val="001E3A93"/>
    <w:rsid w:val="001E3A9D"/>
    <w:rsid w:val="001E3B5C"/>
    <w:rsid w:val="001E3BCE"/>
    <w:rsid w:val="001E3CA1"/>
    <w:rsid w:val="001E3E38"/>
    <w:rsid w:val="001E3FA1"/>
    <w:rsid w:val="001E4088"/>
    <w:rsid w:val="001E409F"/>
    <w:rsid w:val="001E4193"/>
    <w:rsid w:val="001E41E3"/>
    <w:rsid w:val="001E4335"/>
    <w:rsid w:val="001E442D"/>
    <w:rsid w:val="001E4558"/>
    <w:rsid w:val="001E455E"/>
    <w:rsid w:val="001E46DE"/>
    <w:rsid w:val="001E470A"/>
    <w:rsid w:val="001E4777"/>
    <w:rsid w:val="001E479A"/>
    <w:rsid w:val="001E4909"/>
    <w:rsid w:val="001E4999"/>
    <w:rsid w:val="001E4A4C"/>
    <w:rsid w:val="001E4A99"/>
    <w:rsid w:val="001E4C74"/>
    <w:rsid w:val="001E4E6C"/>
    <w:rsid w:val="001E4EB7"/>
    <w:rsid w:val="001E4EBF"/>
    <w:rsid w:val="001E4FE2"/>
    <w:rsid w:val="001E50BA"/>
    <w:rsid w:val="001E51D9"/>
    <w:rsid w:val="001E52FF"/>
    <w:rsid w:val="001E5302"/>
    <w:rsid w:val="001E537B"/>
    <w:rsid w:val="001E542D"/>
    <w:rsid w:val="001E54F2"/>
    <w:rsid w:val="001E57B1"/>
    <w:rsid w:val="001E586B"/>
    <w:rsid w:val="001E598B"/>
    <w:rsid w:val="001E5A40"/>
    <w:rsid w:val="001E5A8D"/>
    <w:rsid w:val="001E5C8D"/>
    <w:rsid w:val="001E5E6C"/>
    <w:rsid w:val="001E5EEF"/>
    <w:rsid w:val="001E5F0F"/>
    <w:rsid w:val="001E63C4"/>
    <w:rsid w:val="001E661B"/>
    <w:rsid w:val="001E665D"/>
    <w:rsid w:val="001E66E1"/>
    <w:rsid w:val="001E67A1"/>
    <w:rsid w:val="001E68C6"/>
    <w:rsid w:val="001E695B"/>
    <w:rsid w:val="001E6A43"/>
    <w:rsid w:val="001E6AA7"/>
    <w:rsid w:val="001E6B3A"/>
    <w:rsid w:val="001E6C26"/>
    <w:rsid w:val="001E6C5A"/>
    <w:rsid w:val="001E6D12"/>
    <w:rsid w:val="001E6E3B"/>
    <w:rsid w:val="001E6E98"/>
    <w:rsid w:val="001E70D1"/>
    <w:rsid w:val="001E7361"/>
    <w:rsid w:val="001E7368"/>
    <w:rsid w:val="001E7591"/>
    <w:rsid w:val="001E7634"/>
    <w:rsid w:val="001E768A"/>
    <w:rsid w:val="001E7733"/>
    <w:rsid w:val="001E774B"/>
    <w:rsid w:val="001E78F2"/>
    <w:rsid w:val="001E79C5"/>
    <w:rsid w:val="001E7A48"/>
    <w:rsid w:val="001E7AB9"/>
    <w:rsid w:val="001E7AD6"/>
    <w:rsid w:val="001E7B16"/>
    <w:rsid w:val="001E7BAE"/>
    <w:rsid w:val="001E7C3A"/>
    <w:rsid w:val="001E7CE8"/>
    <w:rsid w:val="001E7D65"/>
    <w:rsid w:val="001F0029"/>
    <w:rsid w:val="001F01AB"/>
    <w:rsid w:val="001F021F"/>
    <w:rsid w:val="001F0390"/>
    <w:rsid w:val="001F04BF"/>
    <w:rsid w:val="001F04D1"/>
    <w:rsid w:val="001F0561"/>
    <w:rsid w:val="001F06B5"/>
    <w:rsid w:val="001F06DF"/>
    <w:rsid w:val="001F072A"/>
    <w:rsid w:val="001F085E"/>
    <w:rsid w:val="001F096A"/>
    <w:rsid w:val="001F0A00"/>
    <w:rsid w:val="001F0A47"/>
    <w:rsid w:val="001F0ABB"/>
    <w:rsid w:val="001F0B71"/>
    <w:rsid w:val="001F0C51"/>
    <w:rsid w:val="001F0D73"/>
    <w:rsid w:val="001F0EDA"/>
    <w:rsid w:val="001F0F02"/>
    <w:rsid w:val="001F0F45"/>
    <w:rsid w:val="001F0F9B"/>
    <w:rsid w:val="001F0FB0"/>
    <w:rsid w:val="001F0FB3"/>
    <w:rsid w:val="001F0FE1"/>
    <w:rsid w:val="001F1056"/>
    <w:rsid w:val="001F1210"/>
    <w:rsid w:val="001F12B6"/>
    <w:rsid w:val="001F12F8"/>
    <w:rsid w:val="001F1482"/>
    <w:rsid w:val="001F14C8"/>
    <w:rsid w:val="001F14FD"/>
    <w:rsid w:val="001F1573"/>
    <w:rsid w:val="001F164B"/>
    <w:rsid w:val="001F16ED"/>
    <w:rsid w:val="001F1803"/>
    <w:rsid w:val="001F181D"/>
    <w:rsid w:val="001F185B"/>
    <w:rsid w:val="001F197A"/>
    <w:rsid w:val="001F1A7C"/>
    <w:rsid w:val="001F1BE5"/>
    <w:rsid w:val="001F1BEA"/>
    <w:rsid w:val="001F1C6B"/>
    <w:rsid w:val="001F1D08"/>
    <w:rsid w:val="001F201C"/>
    <w:rsid w:val="001F2031"/>
    <w:rsid w:val="001F209E"/>
    <w:rsid w:val="001F210B"/>
    <w:rsid w:val="001F21A8"/>
    <w:rsid w:val="001F224E"/>
    <w:rsid w:val="001F2272"/>
    <w:rsid w:val="001F22C0"/>
    <w:rsid w:val="001F2347"/>
    <w:rsid w:val="001F2565"/>
    <w:rsid w:val="001F2574"/>
    <w:rsid w:val="001F25AF"/>
    <w:rsid w:val="001F2647"/>
    <w:rsid w:val="001F27F3"/>
    <w:rsid w:val="001F281F"/>
    <w:rsid w:val="001F2A2B"/>
    <w:rsid w:val="001F2AA7"/>
    <w:rsid w:val="001F2B0C"/>
    <w:rsid w:val="001F2B43"/>
    <w:rsid w:val="001F2C75"/>
    <w:rsid w:val="001F2C8C"/>
    <w:rsid w:val="001F2CB8"/>
    <w:rsid w:val="001F2D78"/>
    <w:rsid w:val="001F2D96"/>
    <w:rsid w:val="001F2EFA"/>
    <w:rsid w:val="001F309F"/>
    <w:rsid w:val="001F30FF"/>
    <w:rsid w:val="001F319A"/>
    <w:rsid w:val="001F3213"/>
    <w:rsid w:val="001F327B"/>
    <w:rsid w:val="001F32C7"/>
    <w:rsid w:val="001F32ED"/>
    <w:rsid w:val="001F33C0"/>
    <w:rsid w:val="001F3473"/>
    <w:rsid w:val="001F3480"/>
    <w:rsid w:val="001F3573"/>
    <w:rsid w:val="001F362B"/>
    <w:rsid w:val="001F3701"/>
    <w:rsid w:val="001F3770"/>
    <w:rsid w:val="001F37F3"/>
    <w:rsid w:val="001F388B"/>
    <w:rsid w:val="001F38EB"/>
    <w:rsid w:val="001F39E5"/>
    <w:rsid w:val="001F3A01"/>
    <w:rsid w:val="001F3B3E"/>
    <w:rsid w:val="001F3B5E"/>
    <w:rsid w:val="001F3D61"/>
    <w:rsid w:val="001F3DD0"/>
    <w:rsid w:val="001F3E65"/>
    <w:rsid w:val="001F3F36"/>
    <w:rsid w:val="001F3FF8"/>
    <w:rsid w:val="001F40A4"/>
    <w:rsid w:val="001F429D"/>
    <w:rsid w:val="001F42A7"/>
    <w:rsid w:val="001F44A1"/>
    <w:rsid w:val="001F4653"/>
    <w:rsid w:val="001F4693"/>
    <w:rsid w:val="001F4873"/>
    <w:rsid w:val="001F4935"/>
    <w:rsid w:val="001F4A04"/>
    <w:rsid w:val="001F4A87"/>
    <w:rsid w:val="001F4B4D"/>
    <w:rsid w:val="001F4D0E"/>
    <w:rsid w:val="001F4D77"/>
    <w:rsid w:val="001F4DCC"/>
    <w:rsid w:val="001F4DDE"/>
    <w:rsid w:val="001F4F78"/>
    <w:rsid w:val="001F4FDB"/>
    <w:rsid w:val="001F509C"/>
    <w:rsid w:val="001F50A2"/>
    <w:rsid w:val="001F5112"/>
    <w:rsid w:val="001F5143"/>
    <w:rsid w:val="001F5189"/>
    <w:rsid w:val="001F5220"/>
    <w:rsid w:val="001F5396"/>
    <w:rsid w:val="001F53AB"/>
    <w:rsid w:val="001F5477"/>
    <w:rsid w:val="001F54C8"/>
    <w:rsid w:val="001F54F2"/>
    <w:rsid w:val="001F5735"/>
    <w:rsid w:val="001F573F"/>
    <w:rsid w:val="001F57FB"/>
    <w:rsid w:val="001F58D1"/>
    <w:rsid w:val="001F59C7"/>
    <w:rsid w:val="001F59F7"/>
    <w:rsid w:val="001F5A05"/>
    <w:rsid w:val="001F5AB9"/>
    <w:rsid w:val="001F5DD3"/>
    <w:rsid w:val="001F5E5E"/>
    <w:rsid w:val="001F5FDA"/>
    <w:rsid w:val="001F5FE9"/>
    <w:rsid w:val="001F5FFA"/>
    <w:rsid w:val="001F61D4"/>
    <w:rsid w:val="001F6253"/>
    <w:rsid w:val="001F6357"/>
    <w:rsid w:val="001F6409"/>
    <w:rsid w:val="001F6421"/>
    <w:rsid w:val="001F64B5"/>
    <w:rsid w:val="001F64FE"/>
    <w:rsid w:val="001F658D"/>
    <w:rsid w:val="001F66E4"/>
    <w:rsid w:val="001F6738"/>
    <w:rsid w:val="001F685D"/>
    <w:rsid w:val="001F6984"/>
    <w:rsid w:val="001F698D"/>
    <w:rsid w:val="001F6A75"/>
    <w:rsid w:val="001F6B34"/>
    <w:rsid w:val="001F6C42"/>
    <w:rsid w:val="001F6DA2"/>
    <w:rsid w:val="001F6EC7"/>
    <w:rsid w:val="001F6F95"/>
    <w:rsid w:val="001F71C6"/>
    <w:rsid w:val="001F71D8"/>
    <w:rsid w:val="001F7248"/>
    <w:rsid w:val="001F7316"/>
    <w:rsid w:val="001F746B"/>
    <w:rsid w:val="001F7487"/>
    <w:rsid w:val="001F748A"/>
    <w:rsid w:val="001F7494"/>
    <w:rsid w:val="001F7589"/>
    <w:rsid w:val="001F77D5"/>
    <w:rsid w:val="001F7849"/>
    <w:rsid w:val="001F7857"/>
    <w:rsid w:val="001F78A9"/>
    <w:rsid w:val="001F78C4"/>
    <w:rsid w:val="001F78DE"/>
    <w:rsid w:val="001F7B43"/>
    <w:rsid w:val="001F7BD0"/>
    <w:rsid w:val="001F7C9D"/>
    <w:rsid w:val="001F7CB1"/>
    <w:rsid w:val="001F7E1C"/>
    <w:rsid w:val="001F7FE7"/>
    <w:rsid w:val="00200024"/>
    <w:rsid w:val="00200062"/>
    <w:rsid w:val="002000BD"/>
    <w:rsid w:val="00200332"/>
    <w:rsid w:val="00200526"/>
    <w:rsid w:val="00200646"/>
    <w:rsid w:val="00200688"/>
    <w:rsid w:val="0020070F"/>
    <w:rsid w:val="002008A0"/>
    <w:rsid w:val="002008B9"/>
    <w:rsid w:val="0020090B"/>
    <w:rsid w:val="002009C9"/>
    <w:rsid w:val="00200A28"/>
    <w:rsid w:val="00200A69"/>
    <w:rsid w:val="00200A73"/>
    <w:rsid w:val="00200B5C"/>
    <w:rsid w:val="00200B74"/>
    <w:rsid w:val="00200BC4"/>
    <w:rsid w:val="00200D52"/>
    <w:rsid w:val="00200DD3"/>
    <w:rsid w:val="00200EA9"/>
    <w:rsid w:val="00200FA4"/>
    <w:rsid w:val="00201233"/>
    <w:rsid w:val="0020129D"/>
    <w:rsid w:val="00201667"/>
    <w:rsid w:val="002017D2"/>
    <w:rsid w:val="002017DE"/>
    <w:rsid w:val="0020185D"/>
    <w:rsid w:val="00201916"/>
    <w:rsid w:val="00201978"/>
    <w:rsid w:val="00201BB8"/>
    <w:rsid w:val="00201D36"/>
    <w:rsid w:val="00201F67"/>
    <w:rsid w:val="0020201E"/>
    <w:rsid w:val="00202067"/>
    <w:rsid w:val="00202156"/>
    <w:rsid w:val="002021B4"/>
    <w:rsid w:val="0020220D"/>
    <w:rsid w:val="0020230C"/>
    <w:rsid w:val="00202337"/>
    <w:rsid w:val="002023A5"/>
    <w:rsid w:val="0020247C"/>
    <w:rsid w:val="0020251C"/>
    <w:rsid w:val="00202593"/>
    <w:rsid w:val="002025A5"/>
    <w:rsid w:val="002025D2"/>
    <w:rsid w:val="00202689"/>
    <w:rsid w:val="00202769"/>
    <w:rsid w:val="002027EA"/>
    <w:rsid w:val="00202939"/>
    <w:rsid w:val="002029ED"/>
    <w:rsid w:val="00202A78"/>
    <w:rsid w:val="00202BFB"/>
    <w:rsid w:val="00202DC0"/>
    <w:rsid w:val="00202E14"/>
    <w:rsid w:val="00202EF2"/>
    <w:rsid w:val="00202FB2"/>
    <w:rsid w:val="0020303F"/>
    <w:rsid w:val="00203090"/>
    <w:rsid w:val="00203114"/>
    <w:rsid w:val="00203258"/>
    <w:rsid w:val="0020334F"/>
    <w:rsid w:val="002033C3"/>
    <w:rsid w:val="002035EE"/>
    <w:rsid w:val="002036DD"/>
    <w:rsid w:val="00203751"/>
    <w:rsid w:val="0020386A"/>
    <w:rsid w:val="00203903"/>
    <w:rsid w:val="00203979"/>
    <w:rsid w:val="00203989"/>
    <w:rsid w:val="00203A35"/>
    <w:rsid w:val="00203B03"/>
    <w:rsid w:val="00203BD7"/>
    <w:rsid w:val="00203CF0"/>
    <w:rsid w:val="00203CF2"/>
    <w:rsid w:val="00203D31"/>
    <w:rsid w:val="00203D94"/>
    <w:rsid w:val="00203DDE"/>
    <w:rsid w:val="00203F73"/>
    <w:rsid w:val="00203FBC"/>
    <w:rsid w:val="00203FD0"/>
    <w:rsid w:val="002042A8"/>
    <w:rsid w:val="002044AC"/>
    <w:rsid w:val="00204623"/>
    <w:rsid w:val="0020468D"/>
    <w:rsid w:val="0020474B"/>
    <w:rsid w:val="0020481B"/>
    <w:rsid w:val="002049A7"/>
    <w:rsid w:val="00204AC6"/>
    <w:rsid w:val="00204B2D"/>
    <w:rsid w:val="00204B46"/>
    <w:rsid w:val="00204C6B"/>
    <w:rsid w:val="00204D2B"/>
    <w:rsid w:val="00204E80"/>
    <w:rsid w:val="00204E94"/>
    <w:rsid w:val="00204EE8"/>
    <w:rsid w:val="00204F0B"/>
    <w:rsid w:val="00205089"/>
    <w:rsid w:val="002050CD"/>
    <w:rsid w:val="00205145"/>
    <w:rsid w:val="00205199"/>
    <w:rsid w:val="002051B2"/>
    <w:rsid w:val="00205282"/>
    <w:rsid w:val="00205334"/>
    <w:rsid w:val="00205392"/>
    <w:rsid w:val="002054E9"/>
    <w:rsid w:val="00205710"/>
    <w:rsid w:val="00205739"/>
    <w:rsid w:val="0020574A"/>
    <w:rsid w:val="002057FD"/>
    <w:rsid w:val="00205951"/>
    <w:rsid w:val="00205A24"/>
    <w:rsid w:val="00205A38"/>
    <w:rsid w:val="00205A48"/>
    <w:rsid w:val="00205C15"/>
    <w:rsid w:val="00205E12"/>
    <w:rsid w:val="00205F6B"/>
    <w:rsid w:val="00206102"/>
    <w:rsid w:val="0020619C"/>
    <w:rsid w:val="002062CF"/>
    <w:rsid w:val="0020630E"/>
    <w:rsid w:val="00206445"/>
    <w:rsid w:val="00206561"/>
    <w:rsid w:val="0020658D"/>
    <w:rsid w:val="002065CC"/>
    <w:rsid w:val="0020672D"/>
    <w:rsid w:val="00206855"/>
    <w:rsid w:val="0020692A"/>
    <w:rsid w:val="00206B93"/>
    <w:rsid w:val="00206BBE"/>
    <w:rsid w:val="00206BE3"/>
    <w:rsid w:val="00206C75"/>
    <w:rsid w:val="00206C81"/>
    <w:rsid w:val="00206CAA"/>
    <w:rsid w:val="00206E6F"/>
    <w:rsid w:val="00206F5E"/>
    <w:rsid w:val="00207041"/>
    <w:rsid w:val="0020708D"/>
    <w:rsid w:val="002072DD"/>
    <w:rsid w:val="0020745B"/>
    <w:rsid w:val="002074A7"/>
    <w:rsid w:val="00207621"/>
    <w:rsid w:val="00207655"/>
    <w:rsid w:val="002076B9"/>
    <w:rsid w:val="00207766"/>
    <w:rsid w:val="002077F1"/>
    <w:rsid w:val="002079F4"/>
    <w:rsid w:val="00207A81"/>
    <w:rsid w:val="00207B55"/>
    <w:rsid w:val="00207C73"/>
    <w:rsid w:val="00207C7F"/>
    <w:rsid w:val="00207C94"/>
    <w:rsid w:val="00207D10"/>
    <w:rsid w:val="00207DAC"/>
    <w:rsid w:val="00207DC4"/>
    <w:rsid w:val="00207DE9"/>
    <w:rsid w:val="00207DF0"/>
    <w:rsid w:val="00210094"/>
    <w:rsid w:val="002100E1"/>
    <w:rsid w:val="0021016E"/>
    <w:rsid w:val="0021028C"/>
    <w:rsid w:val="002102C7"/>
    <w:rsid w:val="002103A3"/>
    <w:rsid w:val="0021043A"/>
    <w:rsid w:val="002105AC"/>
    <w:rsid w:val="002105EB"/>
    <w:rsid w:val="002107ED"/>
    <w:rsid w:val="00210800"/>
    <w:rsid w:val="0021083E"/>
    <w:rsid w:val="00210921"/>
    <w:rsid w:val="002109E2"/>
    <w:rsid w:val="00210A9C"/>
    <w:rsid w:val="00210AE6"/>
    <w:rsid w:val="00210B59"/>
    <w:rsid w:val="00210B67"/>
    <w:rsid w:val="00210CEA"/>
    <w:rsid w:val="00210D52"/>
    <w:rsid w:val="00210D9E"/>
    <w:rsid w:val="00210E48"/>
    <w:rsid w:val="00210EE2"/>
    <w:rsid w:val="00210F1D"/>
    <w:rsid w:val="00211017"/>
    <w:rsid w:val="00211060"/>
    <w:rsid w:val="00211073"/>
    <w:rsid w:val="0021121B"/>
    <w:rsid w:val="00211238"/>
    <w:rsid w:val="00211307"/>
    <w:rsid w:val="00211308"/>
    <w:rsid w:val="002113D2"/>
    <w:rsid w:val="002115B7"/>
    <w:rsid w:val="0021167F"/>
    <w:rsid w:val="0021172F"/>
    <w:rsid w:val="00211745"/>
    <w:rsid w:val="00211785"/>
    <w:rsid w:val="002117A8"/>
    <w:rsid w:val="0021189B"/>
    <w:rsid w:val="002119CC"/>
    <w:rsid w:val="00211A34"/>
    <w:rsid w:val="00211AA5"/>
    <w:rsid w:val="00211ABE"/>
    <w:rsid w:val="00211BB8"/>
    <w:rsid w:val="00211C12"/>
    <w:rsid w:val="00211C58"/>
    <w:rsid w:val="00211CA4"/>
    <w:rsid w:val="00211DBB"/>
    <w:rsid w:val="00211DF3"/>
    <w:rsid w:val="00211FFF"/>
    <w:rsid w:val="00212141"/>
    <w:rsid w:val="002121A8"/>
    <w:rsid w:val="0021234B"/>
    <w:rsid w:val="002123FE"/>
    <w:rsid w:val="00212537"/>
    <w:rsid w:val="002126B7"/>
    <w:rsid w:val="00212737"/>
    <w:rsid w:val="00212792"/>
    <w:rsid w:val="002128A7"/>
    <w:rsid w:val="00212903"/>
    <w:rsid w:val="00212A6A"/>
    <w:rsid w:val="00212B29"/>
    <w:rsid w:val="00212D13"/>
    <w:rsid w:val="00212D9D"/>
    <w:rsid w:val="00213085"/>
    <w:rsid w:val="002130E9"/>
    <w:rsid w:val="0021316E"/>
    <w:rsid w:val="002132C1"/>
    <w:rsid w:val="002132EA"/>
    <w:rsid w:val="00213369"/>
    <w:rsid w:val="00213641"/>
    <w:rsid w:val="002136CC"/>
    <w:rsid w:val="002136D2"/>
    <w:rsid w:val="00213A79"/>
    <w:rsid w:val="00213ACF"/>
    <w:rsid w:val="00213C00"/>
    <w:rsid w:val="00213D79"/>
    <w:rsid w:val="00213DA6"/>
    <w:rsid w:val="00213E3E"/>
    <w:rsid w:val="00213E93"/>
    <w:rsid w:val="00213EF7"/>
    <w:rsid w:val="00213F71"/>
    <w:rsid w:val="00213FFC"/>
    <w:rsid w:val="0021402F"/>
    <w:rsid w:val="00214030"/>
    <w:rsid w:val="00214071"/>
    <w:rsid w:val="00214086"/>
    <w:rsid w:val="0021443B"/>
    <w:rsid w:val="0021455D"/>
    <w:rsid w:val="002145E0"/>
    <w:rsid w:val="002145F0"/>
    <w:rsid w:val="00214601"/>
    <w:rsid w:val="002146D3"/>
    <w:rsid w:val="002149C8"/>
    <w:rsid w:val="00214A39"/>
    <w:rsid w:val="00214AD0"/>
    <w:rsid w:val="00214B6C"/>
    <w:rsid w:val="00214E7E"/>
    <w:rsid w:val="00214E93"/>
    <w:rsid w:val="00214FDF"/>
    <w:rsid w:val="00215088"/>
    <w:rsid w:val="002150D8"/>
    <w:rsid w:val="0021512D"/>
    <w:rsid w:val="0021515D"/>
    <w:rsid w:val="002151C4"/>
    <w:rsid w:val="002151FE"/>
    <w:rsid w:val="00215200"/>
    <w:rsid w:val="0021526E"/>
    <w:rsid w:val="0021536A"/>
    <w:rsid w:val="00215397"/>
    <w:rsid w:val="00215411"/>
    <w:rsid w:val="002156E3"/>
    <w:rsid w:val="00215828"/>
    <w:rsid w:val="002158DF"/>
    <w:rsid w:val="00215B00"/>
    <w:rsid w:val="00215B25"/>
    <w:rsid w:val="00215BA0"/>
    <w:rsid w:val="00215C3D"/>
    <w:rsid w:val="00215C99"/>
    <w:rsid w:val="00215CB3"/>
    <w:rsid w:val="00215F7F"/>
    <w:rsid w:val="00215F8C"/>
    <w:rsid w:val="00216044"/>
    <w:rsid w:val="002160F0"/>
    <w:rsid w:val="002162F7"/>
    <w:rsid w:val="002162FF"/>
    <w:rsid w:val="0021648A"/>
    <w:rsid w:val="0021654C"/>
    <w:rsid w:val="00216634"/>
    <w:rsid w:val="00216660"/>
    <w:rsid w:val="00216727"/>
    <w:rsid w:val="00216851"/>
    <w:rsid w:val="002168D5"/>
    <w:rsid w:val="002169BF"/>
    <w:rsid w:val="002169ED"/>
    <w:rsid w:val="002169F6"/>
    <w:rsid w:val="00216A32"/>
    <w:rsid w:val="00216AA5"/>
    <w:rsid w:val="00216B49"/>
    <w:rsid w:val="00216D09"/>
    <w:rsid w:val="00216D61"/>
    <w:rsid w:val="00216F11"/>
    <w:rsid w:val="00216FEC"/>
    <w:rsid w:val="00217000"/>
    <w:rsid w:val="002170DD"/>
    <w:rsid w:val="00217190"/>
    <w:rsid w:val="002171C4"/>
    <w:rsid w:val="00217210"/>
    <w:rsid w:val="002174A2"/>
    <w:rsid w:val="00217571"/>
    <w:rsid w:val="002175D7"/>
    <w:rsid w:val="0021760C"/>
    <w:rsid w:val="002176A5"/>
    <w:rsid w:val="002178B2"/>
    <w:rsid w:val="002178D7"/>
    <w:rsid w:val="002178F2"/>
    <w:rsid w:val="00217913"/>
    <w:rsid w:val="0021799C"/>
    <w:rsid w:val="002179E8"/>
    <w:rsid w:val="002179F1"/>
    <w:rsid w:val="00217B60"/>
    <w:rsid w:val="00217C19"/>
    <w:rsid w:val="00217D6E"/>
    <w:rsid w:val="00217DB0"/>
    <w:rsid w:val="00217F6C"/>
    <w:rsid w:val="0022007E"/>
    <w:rsid w:val="00220218"/>
    <w:rsid w:val="0022024C"/>
    <w:rsid w:val="002202D8"/>
    <w:rsid w:val="002203B0"/>
    <w:rsid w:val="00220467"/>
    <w:rsid w:val="002204AB"/>
    <w:rsid w:val="00220590"/>
    <w:rsid w:val="00220765"/>
    <w:rsid w:val="002207A7"/>
    <w:rsid w:val="00220802"/>
    <w:rsid w:val="00220A2C"/>
    <w:rsid w:val="00220ACA"/>
    <w:rsid w:val="00220ACD"/>
    <w:rsid w:val="00220BC5"/>
    <w:rsid w:val="00220E62"/>
    <w:rsid w:val="00220E7A"/>
    <w:rsid w:val="00220F00"/>
    <w:rsid w:val="00220FCF"/>
    <w:rsid w:val="00220FE4"/>
    <w:rsid w:val="00221077"/>
    <w:rsid w:val="002210D2"/>
    <w:rsid w:val="002212B3"/>
    <w:rsid w:val="0022133D"/>
    <w:rsid w:val="002213AE"/>
    <w:rsid w:val="002214A8"/>
    <w:rsid w:val="002214D5"/>
    <w:rsid w:val="00221593"/>
    <w:rsid w:val="002215F4"/>
    <w:rsid w:val="00221631"/>
    <w:rsid w:val="00221756"/>
    <w:rsid w:val="0022181C"/>
    <w:rsid w:val="002218E2"/>
    <w:rsid w:val="00221AAB"/>
    <w:rsid w:val="00221C29"/>
    <w:rsid w:val="00221CC7"/>
    <w:rsid w:val="00221CFF"/>
    <w:rsid w:val="00221D28"/>
    <w:rsid w:val="00221E20"/>
    <w:rsid w:val="00221EC0"/>
    <w:rsid w:val="00221EDA"/>
    <w:rsid w:val="00221F06"/>
    <w:rsid w:val="002220BE"/>
    <w:rsid w:val="002220F1"/>
    <w:rsid w:val="00222172"/>
    <w:rsid w:val="00222207"/>
    <w:rsid w:val="002222BF"/>
    <w:rsid w:val="00222390"/>
    <w:rsid w:val="002224D8"/>
    <w:rsid w:val="002224EA"/>
    <w:rsid w:val="0022252C"/>
    <w:rsid w:val="0022252E"/>
    <w:rsid w:val="00222549"/>
    <w:rsid w:val="00222642"/>
    <w:rsid w:val="00222664"/>
    <w:rsid w:val="002226C9"/>
    <w:rsid w:val="002226D0"/>
    <w:rsid w:val="00222B31"/>
    <w:rsid w:val="00222B72"/>
    <w:rsid w:val="00222C1F"/>
    <w:rsid w:val="00222C8C"/>
    <w:rsid w:val="00222CB2"/>
    <w:rsid w:val="00222D01"/>
    <w:rsid w:val="00222E2A"/>
    <w:rsid w:val="00222E2B"/>
    <w:rsid w:val="00223103"/>
    <w:rsid w:val="0022323F"/>
    <w:rsid w:val="00223266"/>
    <w:rsid w:val="0022327A"/>
    <w:rsid w:val="0022333D"/>
    <w:rsid w:val="0022346F"/>
    <w:rsid w:val="002234EB"/>
    <w:rsid w:val="002234F2"/>
    <w:rsid w:val="002236CF"/>
    <w:rsid w:val="00223885"/>
    <w:rsid w:val="0022388B"/>
    <w:rsid w:val="00223924"/>
    <w:rsid w:val="00223A4D"/>
    <w:rsid w:val="00223A78"/>
    <w:rsid w:val="00223BE2"/>
    <w:rsid w:val="00223C72"/>
    <w:rsid w:val="00223E4C"/>
    <w:rsid w:val="0022423F"/>
    <w:rsid w:val="002242EB"/>
    <w:rsid w:val="002242F9"/>
    <w:rsid w:val="0022435C"/>
    <w:rsid w:val="00224559"/>
    <w:rsid w:val="002245F1"/>
    <w:rsid w:val="002247AE"/>
    <w:rsid w:val="002247BE"/>
    <w:rsid w:val="002247E1"/>
    <w:rsid w:val="00224826"/>
    <w:rsid w:val="002248CE"/>
    <w:rsid w:val="00224BDC"/>
    <w:rsid w:val="00224C7C"/>
    <w:rsid w:val="00224D29"/>
    <w:rsid w:val="00224DCE"/>
    <w:rsid w:val="00224EB8"/>
    <w:rsid w:val="00224EC0"/>
    <w:rsid w:val="00224F37"/>
    <w:rsid w:val="00224F79"/>
    <w:rsid w:val="00224FE0"/>
    <w:rsid w:val="00224FFD"/>
    <w:rsid w:val="002250A9"/>
    <w:rsid w:val="002251DD"/>
    <w:rsid w:val="00225275"/>
    <w:rsid w:val="0022539F"/>
    <w:rsid w:val="00225475"/>
    <w:rsid w:val="002254AC"/>
    <w:rsid w:val="00225625"/>
    <w:rsid w:val="0022569E"/>
    <w:rsid w:val="002256EF"/>
    <w:rsid w:val="00225746"/>
    <w:rsid w:val="0022589D"/>
    <w:rsid w:val="002259CD"/>
    <w:rsid w:val="00225AD6"/>
    <w:rsid w:val="00225B62"/>
    <w:rsid w:val="00225BB6"/>
    <w:rsid w:val="00225C0C"/>
    <w:rsid w:val="00225C55"/>
    <w:rsid w:val="00225CA0"/>
    <w:rsid w:val="00225DC5"/>
    <w:rsid w:val="00225DFD"/>
    <w:rsid w:val="00225EA3"/>
    <w:rsid w:val="00226007"/>
    <w:rsid w:val="00226369"/>
    <w:rsid w:val="002263EF"/>
    <w:rsid w:val="00226415"/>
    <w:rsid w:val="002264C3"/>
    <w:rsid w:val="002265AB"/>
    <w:rsid w:val="002265F6"/>
    <w:rsid w:val="00226675"/>
    <w:rsid w:val="0022696C"/>
    <w:rsid w:val="00226A41"/>
    <w:rsid w:val="00226C12"/>
    <w:rsid w:val="00226C9F"/>
    <w:rsid w:val="00226D4C"/>
    <w:rsid w:val="00226D8B"/>
    <w:rsid w:val="00226E2B"/>
    <w:rsid w:val="00226F31"/>
    <w:rsid w:val="00226F59"/>
    <w:rsid w:val="0022714F"/>
    <w:rsid w:val="002271B2"/>
    <w:rsid w:val="00227240"/>
    <w:rsid w:val="00227266"/>
    <w:rsid w:val="002273FF"/>
    <w:rsid w:val="00227409"/>
    <w:rsid w:val="0022747B"/>
    <w:rsid w:val="002274A3"/>
    <w:rsid w:val="002275DA"/>
    <w:rsid w:val="00227652"/>
    <w:rsid w:val="00227673"/>
    <w:rsid w:val="002276B6"/>
    <w:rsid w:val="002277F4"/>
    <w:rsid w:val="00227825"/>
    <w:rsid w:val="00227A13"/>
    <w:rsid w:val="00227A80"/>
    <w:rsid w:val="00227C09"/>
    <w:rsid w:val="00227C51"/>
    <w:rsid w:val="00227C95"/>
    <w:rsid w:val="00227C97"/>
    <w:rsid w:val="00227D01"/>
    <w:rsid w:val="00227E55"/>
    <w:rsid w:val="00227EAA"/>
    <w:rsid w:val="00227F0B"/>
    <w:rsid w:val="00230296"/>
    <w:rsid w:val="00230474"/>
    <w:rsid w:val="0023058C"/>
    <w:rsid w:val="002305D6"/>
    <w:rsid w:val="0023085C"/>
    <w:rsid w:val="002308CF"/>
    <w:rsid w:val="0023094F"/>
    <w:rsid w:val="0023096D"/>
    <w:rsid w:val="00230A2E"/>
    <w:rsid w:val="00230AD7"/>
    <w:rsid w:val="00230AF9"/>
    <w:rsid w:val="00230B30"/>
    <w:rsid w:val="00230BDE"/>
    <w:rsid w:val="00230CC0"/>
    <w:rsid w:val="00230E0F"/>
    <w:rsid w:val="00230EA0"/>
    <w:rsid w:val="00230FC8"/>
    <w:rsid w:val="002310A7"/>
    <w:rsid w:val="002310AD"/>
    <w:rsid w:val="002311B9"/>
    <w:rsid w:val="002313E9"/>
    <w:rsid w:val="0023150D"/>
    <w:rsid w:val="00231650"/>
    <w:rsid w:val="00231651"/>
    <w:rsid w:val="002316D8"/>
    <w:rsid w:val="002317F4"/>
    <w:rsid w:val="00231944"/>
    <w:rsid w:val="002319A1"/>
    <w:rsid w:val="00231B76"/>
    <w:rsid w:val="00231BDD"/>
    <w:rsid w:val="00231C20"/>
    <w:rsid w:val="00231CD0"/>
    <w:rsid w:val="00231F6C"/>
    <w:rsid w:val="002320D3"/>
    <w:rsid w:val="0023218F"/>
    <w:rsid w:val="002322F1"/>
    <w:rsid w:val="00232323"/>
    <w:rsid w:val="0023234A"/>
    <w:rsid w:val="002323CC"/>
    <w:rsid w:val="002324CD"/>
    <w:rsid w:val="002324DF"/>
    <w:rsid w:val="00232588"/>
    <w:rsid w:val="002325D8"/>
    <w:rsid w:val="002327DB"/>
    <w:rsid w:val="002327ED"/>
    <w:rsid w:val="00232802"/>
    <w:rsid w:val="0023280E"/>
    <w:rsid w:val="0023282F"/>
    <w:rsid w:val="00232893"/>
    <w:rsid w:val="002328F8"/>
    <w:rsid w:val="00232A0C"/>
    <w:rsid w:val="00232ACF"/>
    <w:rsid w:val="00232AF6"/>
    <w:rsid w:val="00232BA2"/>
    <w:rsid w:val="00232C1C"/>
    <w:rsid w:val="00232D0E"/>
    <w:rsid w:val="00232DD3"/>
    <w:rsid w:val="00232EB2"/>
    <w:rsid w:val="00232F9B"/>
    <w:rsid w:val="002331EC"/>
    <w:rsid w:val="0023330B"/>
    <w:rsid w:val="002333F4"/>
    <w:rsid w:val="0023367F"/>
    <w:rsid w:val="00233687"/>
    <w:rsid w:val="002336A5"/>
    <w:rsid w:val="0023379A"/>
    <w:rsid w:val="00233938"/>
    <w:rsid w:val="00233BF2"/>
    <w:rsid w:val="00233C43"/>
    <w:rsid w:val="00233CD4"/>
    <w:rsid w:val="00233ECA"/>
    <w:rsid w:val="00233FF2"/>
    <w:rsid w:val="002340C0"/>
    <w:rsid w:val="002341FA"/>
    <w:rsid w:val="002342DB"/>
    <w:rsid w:val="002343A1"/>
    <w:rsid w:val="00234454"/>
    <w:rsid w:val="00234545"/>
    <w:rsid w:val="00234549"/>
    <w:rsid w:val="00234556"/>
    <w:rsid w:val="002345E8"/>
    <w:rsid w:val="00234696"/>
    <w:rsid w:val="00234773"/>
    <w:rsid w:val="002347B8"/>
    <w:rsid w:val="00234876"/>
    <w:rsid w:val="0023487B"/>
    <w:rsid w:val="00234918"/>
    <w:rsid w:val="0023494F"/>
    <w:rsid w:val="002349FD"/>
    <w:rsid w:val="00234A8F"/>
    <w:rsid w:val="00234AE5"/>
    <w:rsid w:val="00234B29"/>
    <w:rsid w:val="00234BE1"/>
    <w:rsid w:val="00234C82"/>
    <w:rsid w:val="00234D40"/>
    <w:rsid w:val="00234E92"/>
    <w:rsid w:val="00234F33"/>
    <w:rsid w:val="00235398"/>
    <w:rsid w:val="002353E9"/>
    <w:rsid w:val="00235562"/>
    <w:rsid w:val="002357CF"/>
    <w:rsid w:val="00235A94"/>
    <w:rsid w:val="00235AF8"/>
    <w:rsid w:val="00235B26"/>
    <w:rsid w:val="00235BE1"/>
    <w:rsid w:val="00235BF4"/>
    <w:rsid w:val="00235E77"/>
    <w:rsid w:val="00235EBA"/>
    <w:rsid w:val="00235FF6"/>
    <w:rsid w:val="00236031"/>
    <w:rsid w:val="0023604C"/>
    <w:rsid w:val="00236105"/>
    <w:rsid w:val="002363A0"/>
    <w:rsid w:val="00236585"/>
    <w:rsid w:val="002365AA"/>
    <w:rsid w:val="002366D3"/>
    <w:rsid w:val="00236791"/>
    <w:rsid w:val="002368AD"/>
    <w:rsid w:val="0023692B"/>
    <w:rsid w:val="00236C4B"/>
    <w:rsid w:val="00236C71"/>
    <w:rsid w:val="00236EB5"/>
    <w:rsid w:val="00237113"/>
    <w:rsid w:val="00237160"/>
    <w:rsid w:val="002372BA"/>
    <w:rsid w:val="00237344"/>
    <w:rsid w:val="002373EB"/>
    <w:rsid w:val="0023765D"/>
    <w:rsid w:val="002376A3"/>
    <w:rsid w:val="002376D3"/>
    <w:rsid w:val="002376FA"/>
    <w:rsid w:val="002376FB"/>
    <w:rsid w:val="00237873"/>
    <w:rsid w:val="002378B2"/>
    <w:rsid w:val="00237A03"/>
    <w:rsid w:val="00237A68"/>
    <w:rsid w:val="00237B98"/>
    <w:rsid w:val="00237C2A"/>
    <w:rsid w:val="00237DC6"/>
    <w:rsid w:val="00237F00"/>
    <w:rsid w:val="00240054"/>
    <w:rsid w:val="002401EE"/>
    <w:rsid w:val="00240360"/>
    <w:rsid w:val="00240453"/>
    <w:rsid w:val="00240721"/>
    <w:rsid w:val="00240808"/>
    <w:rsid w:val="00240849"/>
    <w:rsid w:val="002408C3"/>
    <w:rsid w:val="002408F8"/>
    <w:rsid w:val="00240917"/>
    <w:rsid w:val="002409A2"/>
    <w:rsid w:val="00240A0C"/>
    <w:rsid w:val="00240AB6"/>
    <w:rsid w:val="00240B13"/>
    <w:rsid w:val="00240B1D"/>
    <w:rsid w:val="00240B3E"/>
    <w:rsid w:val="00240DF2"/>
    <w:rsid w:val="00240EA0"/>
    <w:rsid w:val="00240EAD"/>
    <w:rsid w:val="00240ED4"/>
    <w:rsid w:val="00240F0E"/>
    <w:rsid w:val="00240F6F"/>
    <w:rsid w:val="0024108B"/>
    <w:rsid w:val="00241414"/>
    <w:rsid w:val="0024145C"/>
    <w:rsid w:val="0024146F"/>
    <w:rsid w:val="002414A7"/>
    <w:rsid w:val="00241697"/>
    <w:rsid w:val="00241A92"/>
    <w:rsid w:val="00241AE0"/>
    <w:rsid w:val="00241AFC"/>
    <w:rsid w:val="00241BDE"/>
    <w:rsid w:val="00241D63"/>
    <w:rsid w:val="00241E13"/>
    <w:rsid w:val="00242045"/>
    <w:rsid w:val="0024209D"/>
    <w:rsid w:val="00242101"/>
    <w:rsid w:val="00242148"/>
    <w:rsid w:val="002421A4"/>
    <w:rsid w:val="0024220F"/>
    <w:rsid w:val="00242317"/>
    <w:rsid w:val="00242321"/>
    <w:rsid w:val="002423A8"/>
    <w:rsid w:val="002423FD"/>
    <w:rsid w:val="0024245B"/>
    <w:rsid w:val="00242511"/>
    <w:rsid w:val="00242516"/>
    <w:rsid w:val="002427E1"/>
    <w:rsid w:val="002428CF"/>
    <w:rsid w:val="002429BF"/>
    <w:rsid w:val="00242AE0"/>
    <w:rsid w:val="00242B98"/>
    <w:rsid w:val="00242C15"/>
    <w:rsid w:val="00242C94"/>
    <w:rsid w:val="00242D0F"/>
    <w:rsid w:val="00242D11"/>
    <w:rsid w:val="00242D2D"/>
    <w:rsid w:val="00242DD2"/>
    <w:rsid w:val="00242DD9"/>
    <w:rsid w:val="00242E9A"/>
    <w:rsid w:val="00243150"/>
    <w:rsid w:val="00243313"/>
    <w:rsid w:val="00243322"/>
    <w:rsid w:val="00243355"/>
    <w:rsid w:val="0024335D"/>
    <w:rsid w:val="002434D1"/>
    <w:rsid w:val="00243520"/>
    <w:rsid w:val="0024359F"/>
    <w:rsid w:val="002435D7"/>
    <w:rsid w:val="002436CC"/>
    <w:rsid w:val="0024374E"/>
    <w:rsid w:val="002437FF"/>
    <w:rsid w:val="00243803"/>
    <w:rsid w:val="0024387E"/>
    <w:rsid w:val="0024398A"/>
    <w:rsid w:val="002439C6"/>
    <w:rsid w:val="002439DB"/>
    <w:rsid w:val="00243B97"/>
    <w:rsid w:val="00243DC8"/>
    <w:rsid w:val="00243EEF"/>
    <w:rsid w:val="0024400E"/>
    <w:rsid w:val="002440C8"/>
    <w:rsid w:val="002440F8"/>
    <w:rsid w:val="0024410A"/>
    <w:rsid w:val="002441AD"/>
    <w:rsid w:val="00244263"/>
    <w:rsid w:val="002442AF"/>
    <w:rsid w:val="00244389"/>
    <w:rsid w:val="00244574"/>
    <w:rsid w:val="00244663"/>
    <w:rsid w:val="0024469B"/>
    <w:rsid w:val="00244895"/>
    <w:rsid w:val="002448DE"/>
    <w:rsid w:val="002448F7"/>
    <w:rsid w:val="00244A0D"/>
    <w:rsid w:val="00244A63"/>
    <w:rsid w:val="00244AE6"/>
    <w:rsid w:val="00244BBD"/>
    <w:rsid w:val="00244C77"/>
    <w:rsid w:val="00244DAA"/>
    <w:rsid w:val="00244FEE"/>
    <w:rsid w:val="002450DB"/>
    <w:rsid w:val="002451B2"/>
    <w:rsid w:val="00245264"/>
    <w:rsid w:val="002452F0"/>
    <w:rsid w:val="002453E8"/>
    <w:rsid w:val="00245491"/>
    <w:rsid w:val="00245500"/>
    <w:rsid w:val="002456AB"/>
    <w:rsid w:val="0024577C"/>
    <w:rsid w:val="002457CA"/>
    <w:rsid w:val="00245903"/>
    <w:rsid w:val="00245A6E"/>
    <w:rsid w:val="00245A9B"/>
    <w:rsid w:val="00245CBF"/>
    <w:rsid w:val="00245CF7"/>
    <w:rsid w:val="00245ECF"/>
    <w:rsid w:val="00246140"/>
    <w:rsid w:val="002462DE"/>
    <w:rsid w:val="002463FE"/>
    <w:rsid w:val="002464A9"/>
    <w:rsid w:val="00246826"/>
    <w:rsid w:val="00246847"/>
    <w:rsid w:val="002468B3"/>
    <w:rsid w:val="002469C4"/>
    <w:rsid w:val="00246A99"/>
    <w:rsid w:val="00246C5C"/>
    <w:rsid w:val="00246C89"/>
    <w:rsid w:val="00246C92"/>
    <w:rsid w:val="00246D80"/>
    <w:rsid w:val="00246DFD"/>
    <w:rsid w:val="00246E01"/>
    <w:rsid w:val="00246E13"/>
    <w:rsid w:val="00246E9E"/>
    <w:rsid w:val="00246F30"/>
    <w:rsid w:val="00246FF1"/>
    <w:rsid w:val="00247170"/>
    <w:rsid w:val="00247244"/>
    <w:rsid w:val="00247426"/>
    <w:rsid w:val="002474BA"/>
    <w:rsid w:val="002478C0"/>
    <w:rsid w:val="002478C2"/>
    <w:rsid w:val="002479F6"/>
    <w:rsid w:val="00247AED"/>
    <w:rsid w:val="00247B36"/>
    <w:rsid w:val="00247B7B"/>
    <w:rsid w:val="00247BFB"/>
    <w:rsid w:val="00247CC2"/>
    <w:rsid w:val="00247D26"/>
    <w:rsid w:val="00247D7E"/>
    <w:rsid w:val="00247DC2"/>
    <w:rsid w:val="00247E31"/>
    <w:rsid w:val="00250017"/>
    <w:rsid w:val="002500EE"/>
    <w:rsid w:val="002501A6"/>
    <w:rsid w:val="00250248"/>
    <w:rsid w:val="002503B3"/>
    <w:rsid w:val="0025041E"/>
    <w:rsid w:val="002505B3"/>
    <w:rsid w:val="00250807"/>
    <w:rsid w:val="00250920"/>
    <w:rsid w:val="00250945"/>
    <w:rsid w:val="002509A9"/>
    <w:rsid w:val="00250A21"/>
    <w:rsid w:val="00250A69"/>
    <w:rsid w:val="00250A80"/>
    <w:rsid w:val="00250BF8"/>
    <w:rsid w:val="00250C60"/>
    <w:rsid w:val="00250CA9"/>
    <w:rsid w:val="00250CCA"/>
    <w:rsid w:val="00250CE6"/>
    <w:rsid w:val="00250E88"/>
    <w:rsid w:val="00250EA8"/>
    <w:rsid w:val="00250EAB"/>
    <w:rsid w:val="00250F3E"/>
    <w:rsid w:val="00250F50"/>
    <w:rsid w:val="00250F5E"/>
    <w:rsid w:val="002510D7"/>
    <w:rsid w:val="0025113F"/>
    <w:rsid w:val="00251243"/>
    <w:rsid w:val="002512FD"/>
    <w:rsid w:val="002514C5"/>
    <w:rsid w:val="00251547"/>
    <w:rsid w:val="00251690"/>
    <w:rsid w:val="002516E7"/>
    <w:rsid w:val="00251846"/>
    <w:rsid w:val="00251A11"/>
    <w:rsid w:val="00251A1C"/>
    <w:rsid w:val="00251A89"/>
    <w:rsid w:val="00251AED"/>
    <w:rsid w:val="00251CB7"/>
    <w:rsid w:val="00251CE8"/>
    <w:rsid w:val="00251D3C"/>
    <w:rsid w:val="00251D73"/>
    <w:rsid w:val="00251E09"/>
    <w:rsid w:val="00252060"/>
    <w:rsid w:val="00252120"/>
    <w:rsid w:val="002523CF"/>
    <w:rsid w:val="002523E0"/>
    <w:rsid w:val="00252488"/>
    <w:rsid w:val="00252515"/>
    <w:rsid w:val="0025259F"/>
    <w:rsid w:val="002528F1"/>
    <w:rsid w:val="00252969"/>
    <w:rsid w:val="00252BF6"/>
    <w:rsid w:val="00252C6C"/>
    <w:rsid w:val="00252CBC"/>
    <w:rsid w:val="00252D9D"/>
    <w:rsid w:val="00253009"/>
    <w:rsid w:val="0025312D"/>
    <w:rsid w:val="00253166"/>
    <w:rsid w:val="00253216"/>
    <w:rsid w:val="002532AD"/>
    <w:rsid w:val="002533FC"/>
    <w:rsid w:val="00253443"/>
    <w:rsid w:val="002534FD"/>
    <w:rsid w:val="0025356E"/>
    <w:rsid w:val="00253583"/>
    <w:rsid w:val="00253633"/>
    <w:rsid w:val="00253873"/>
    <w:rsid w:val="002538D7"/>
    <w:rsid w:val="002538D9"/>
    <w:rsid w:val="00253987"/>
    <w:rsid w:val="002539B0"/>
    <w:rsid w:val="002539DE"/>
    <w:rsid w:val="00253A7E"/>
    <w:rsid w:val="00253BD8"/>
    <w:rsid w:val="00253C48"/>
    <w:rsid w:val="00253CB4"/>
    <w:rsid w:val="00253F50"/>
    <w:rsid w:val="00253F9E"/>
    <w:rsid w:val="00253FC4"/>
    <w:rsid w:val="00253FF6"/>
    <w:rsid w:val="00254120"/>
    <w:rsid w:val="00254130"/>
    <w:rsid w:val="00254175"/>
    <w:rsid w:val="0025421E"/>
    <w:rsid w:val="002542E5"/>
    <w:rsid w:val="002542FF"/>
    <w:rsid w:val="00254589"/>
    <w:rsid w:val="00254628"/>
    <w:rsid w:val="00254982"/>
    <w:rsid w:val="002549C8"/>
    <w:rsid w:val="00254B6C"/>
    <w:rsid w:val="00254BCD"/>
    <w:rsid w:val="00254CA3"/>
    <w:rsid w:val="00254D05"/>
    <w:rsid w:val="00254DE0"/>
    <w:rsid w:val="00254ED6"/>
    <w:rsid w:val="002550E9"/>
    <w:rsid w:val="00255189"/>
    <w:rsid w:val="002552F7"/>
    <w:rsid w:val="00255387"/>
    <w:rsid w:val="00255394"/>
    <w:rsid w:val="0025540F"/>
    <w:rsid w:val="00255469"/>
    <w:rsid w:val="00255485"/>
    <w:rsid w:val="002554BA"/>
    <w:rsid w:val="002554BD"/>
    <w:rsid w:val="0025553D"/>
    <w:rsid w:val="002555A8"/>
    <w:rsid w:val="002557EF"/>
    <w:rsid w:val="0025590A"/>
    <w:rsid w:val="002559AA"/>
    <w:rsid w:val="00255B56"/>
    <w:rsid w:val="00255D5A"/>
    <w:rsid w:val="00255E0E"/>
    <w:rsid w:val="00255E1C"/>
    <w:rsid w:val="00256113"/>
    <w:rsid w:val="00256264"/>
    <w:rsid w:val="0025630F"/>
    <w:rsid w:val="0025631D"/>
    <w:rsid w:val="002563C4"/>
    <w:rsid w:val="002564A6"/>
    <w:rsid w:val="00256534"/>
    <w:rsid w:val="00256625"/>
    <w:rsid w:val="00256668"/>
    <w:rsid w:val="00256692"/>
    <w:rsid w:val="0025695D"/>
    <w:rsid w:val="00256BA6"/>
    <w:rsid w:val="00256C13"/>
    <w:rsid w:val="00256C5B"/>
    <w:rsid w:val="00256DC0"/>
    <w:rsid w:val="00256EC3"/>
    <w:rsid w:val="00256F34"/>
    <w:rsid w:val="00256F6B"/>
    <w:rsid w:val="002570BC"/>
    <w:rsid w:val="002570D2"/>
    <w:rsid w:val="00257138"/>
    <w:rsid w:val="00257140"/>
    <w:rsid w:val="00257239"/>
    <w:rsid w:val="00257253"/>
    <w:rsid w:val="002572CB"/>
    <w:rsid w:val="00257595"/>
    <w:rsid w:val="0025767B"/>
    <w:rsid w:val="002576F2"/>
    <w:rsid w:val="0025786F"/>
    <w:rsid w:val="00257924"/>
    <w:rsid w:val="00257B70"/>
    <w:rsid w:val="00257BE2"/>
    <w:rsid w:val="00257BF5"/>
    <w:rsid w:val="00257C13"/>
    <w:rsid w:val="00257C7C"/>
    <w:rsid w:val="00257E27"/>
    <w:rsid w:val="00257E8D"/>
    <w:rsid w:val="00257F9A"/>
    <w:rsid w:val="002602EC"/>
    <w:rsid w:val="002603F2"/>
    <w:rsid w:val="002608CA"/>
    <w:rsid w:val="002609D8"/>
    <w:rsid w:val="002609FB"/>
    <w:rsid w:val="00260AB1"/>
    <w:rsid w:val="00260AEA"/>
    <w:rsid w:val="00260BD9"/>
    <w:rsid w:val="00260DD5"/>
    <w:rsid w:val="00260DF4"/>
    <w:rsid w:val="00260E14"/>
    <w:rsid w:val="00260F5E"/>
    <w:rsid w:val="00260FB0"/>
    <w:rsid w:val="00261308"/>
    <w:rsid w:val="00261426"/>
    <w:rsid w:val="0026151E"/>
    <w:rsid w:val="002615CA"/>
    <w:rsid w:val="0026169A"/>
    <w:rsid w:val="0026170D"/>
    <w:rsid w:val="00261805"/>
    <w:rsid w:val="00261866"/>
    <w:rsid w:val="00261875"/>
    <w:rsid w:val="00261948"/>
    <w:rsid w:val="00261A9D"/>
    <w:rsid w:val="00261AD3"/>
    <w:rsid w:val="00261E3D"/>
    <w:rsid w:val="00261E84"/>
    <w:rsid w:val="00261F19"/>
    <w:rsid w:val="00261FD0"/>
    <w:rsid w:val="002620AD"/>
    <w:rsid w:val="00262143"/>
    <w:rsid w:val="00262268"/>
    <w:rsid w:val="002623A1"/>
    <w:rsid w:val="0026253A"/>
    <w:rsid w:val="002626D3"/>
    <w:rsid w:val="00262857"/>
    <w:rsid w:val="00262B68"/>
    <w:rsid w:val="00262BAA"/>
    <w:rsid w:val="00262CC8"/>
    <w:rsid w:val="00262D16"/>
    <w:rsid w:val="00262D2A"/>
    <w:rsid w:val="00262D61"/>
    <w:rsid w:val="00262D63"/>
    <w:rsid w:val="00262E55"/>
    <w:rsid w:val="00262F1B"/>
    <w:rsid w:val="00262F1E"/>
    <w:rsid w:val="00263002"/>
    <w:rsid w:val="00263003"/>
    <w:rsid w:val="00263109"/>
    <w:rsid w:val="00263174"/>
    <w:rsid w:val="0026325E"/>
    <w:rsid w:val="00263374"/>
    <w:rsid w:val="002633DD"/>
    <w:rsid w:val="002634C6"/>
    <w:rsid w:val="002636E7"/>
    <w:rsid w:val="00263827"/>
    <w:rsid w:val="002639C4"/>
    <w:rsid w:val="00263A60"/>
    <w:rsid w:val="00263AF2"/>
    <w:rsid w:val="00263B0B"/>
    <w:rsid w:val="00263B7F"/>
    <w:rsid w:val="00263C23"/>
    <w:rsid w:val="00263C38"/>
    <w:rsid w:val="00263CEC"/>
    <w:rsid w:val="00263E6D"/>
    <w:rsid w:val="002640D2"/>
    <w:rsid w:val="00264161"/>
    <w:rsid w:val="002641DC"/>
    <w:rsid w:val="00264277"/>
    <w:rsid w:val="002642CB"/>
    <w:rsid w:val="002644AF"/>
    <w:rsid w:val="00264588"/>
    <w:rsid w:val="002645B9"/>
    <w:rsid w:val="0026460A"/>
    <w:rsid w:val="002647AD"/>
    <w:rsid w:val="0026481D"/>
    <w:rsid w:val="00264864"/>
    <w:rsid w:val="0026488A"/>
    <w:rsid w:val="002648C7"/>
    <w:rsid w:val="002648D9"/>
    <w:rsid w:val="00264A03"/>
    <w:rsid w:val="00264A7A"/>
    <w:rsid w:val="00264A7E"/>
    <w:rsid w:val="00264ABE"/>
    <w:rsid w:val="00264AEB"/>
    <w:rsid w:val="00264C2F"/>
    <w:rsid w:val="00264C52"/>
    <w:rsid w:val="00264DE5"/>
    <w:rsid w:val="00264E1F"/>
    <w:rsid w:val="00264ECE"/>
    <w:rsid w:val="00264ECF"/>
    <w:rsid w:val="00264FF5"/>
    <w:rsid w:val="00265184"/>
    <w:rsid w:val="002651FF"/>
    <w:rsid w:val="00265353"/>
    <w:rsid w:val="002653AA"/>
    <w:rsid w:val="002653FD"/>
    <w:rsid w:val="0026540A"/>
    <w:rsid w:val="00265462"/>
    <w:rsid w:val="0026554C"/>
    <w:rsid w:val="002655D5"/>
    <w:rsid w:val="00265612"/>
    <w:rsid w:val="0026568A"/>
    <w:rsid w:val="002656BF"/>
    <w:rsid w:val="00265748"/>
    <w:rsid w:val="002658A5"/>
    <w:rsid w:val="002658B8"/>
    <w:rsid w:val="00265ACC"/>
    <w:rsid w:val="00265BA4"/>
    <w:rsid w:val="00265E34"/>
    <w:rsid w:val="00265E7E"/>
    <w:rsid w:val="00265FC7"/>
    <w:rsid w:val="00265FED"/>
    <w:rsid w:val="002661FB"/>
    <w:rsid w:val="002662DE"/>
    <w:rsid w:val="00266326"/>
    <w:rsid w:val="00266468"/>
    <w:rsid w:val="00266524"/>
    <w:rsid w:val="002665DB"/>
    <w:rsid w:val="00266731"/>
    <w:rsid w:val="002667C2"/>
    <w:rsid w:val="00266802"/>
    <w:rsid w:val="0026694B"/>
    <w:rsid w:val="0026696F"/>
    <w:rsid w:val="002669A1"/>
    <w:rsid w:val="002669E7"/>
    <w:rsid w:val="00266A77"/>
    <w:rsid w:val="00266ACD"/>
    <w:rsid w:val="00266AFD"/>
    <w:rsid w:val="00266BAB"/>
    <w:rsid w:val="00266C1D"/>
    <w:rsid w:val="00266D9D"/>
    <w:rsid w:val="00266DFA"/>
    <w:rsid w:val="00266E1D"/>
    <w:rsid w:val="00266E96"/>
    <w:rsid w:val="00266EAD"/>
    <w:rsid w:val="0026719E"/>
    <w:rsid w:val="00267288"/>
    <w:rsid w:val="002674EC"/>
    <w:rsid w:val="00267528"/>
    <w:rsid w:val="0026759D"/>
    <w:rsid w:val="0026761F"/>
    <w:rsid w:val="00267676"/>
    <w:rsid w:val="0026771A"/>
    <w:rsid w:val="002677B6"/>
    <w:rsid w:val="00267814"/>
    <w:rsid w:val="002678BF"/>
    <w:rsid w:val="002678D6"/>
    <w:rsid w:val="00267AF6"/>
    <w:rsid w:val="00267B0B"/>
    <w:rsid w:val="00267B29"/>
    <w:rsid w:val="00267D66"/>
    <w:rsid w:val="00267D98"/>
    <w:rsid w:val="00267E16"/>
    <w:rsid w:val="00267E95"/>
    <w:rsid w:val="00267F7E"/>
    <w:rsid w:val="00270053"/>
    <w:rsid w:val="002700E0"/>
    <w:rsid w:val="002701E1"/>
    <w:rsid w:val="00270303"/>
    <w:rsid w:val="002703DE"/>
    <w:rsid w:val="00270448"/>
    <w:rsid w:val="002704E2"/>
    <w:rsid w:val="002705E7"/>
    <w:rsid w:val="002706C6"/>
    <w:rsid w:val="00270BB3"/>
    <w:rsid w:val="00270CA5"/>
    <w:rsid w:val="00270D0E"/>
    <w:rsid w:val="00270D2E"/>
    <w:rsid w:val="00270E03"/>
    <w:rsid w:val="00270E26"/>
    <w:rsid w:val="00270E97"/>
    <w:rsid w:val="00270F1F"/>
    <w:rsid w:val="00270F7D"/>
    <w:rsid w:val="00270FA5"/>
    <w:rsid w:val="002714D3"/>
    <w:rsid w:val="0027151B"/>
    <w:rsid w:val="00271540"/>
    <w:rsid w:val="00271576"/>
    <w:rsid w:val="00271625"/>
    <w:rsid w:val="00271678"/>
    <w:rsid w:val="0027168F"/>
    <w:rsid w:val="00271863"/>
    <w:rsid w:val="0027189F"/>
    <w:rsid w:val="00271A8A"/>
    <w:rsid w:val="00271AEC"/>
    <w:rsid w:val="00271BC7"/>
    <w:rsid w:val="00271C62"/>
    <w:rsid w:val="00271CE7"/>
    <w:rsid w:val="00271D8C"/>
    <w:rsid w:val="00271E19"/>
    <w:rsid w:val="00271EBA"/>
    <w:rsid w:val="00272149"/>
    <w:rsid w:val="0027214D"/>
    <w:rsid w:val="002721D5"/>
    <w:rsid w:val="00272229"/>
    <w:rsid w:val="0027229C"/>
    <w:rsid w:val="00272409"/>
    <w:rsid w:val="002724D2"/>
    <w:rsid w:val="00272531"/>
    <w:rsid w:val="002726CA"/>
    <w:rsid w:val="00272811"/>
    <w:rsid w:val="0027283A"/>
    <w:rsid w:val="00272857"/>
    <w:rsid w:val="0027289C"/>
    <w:rsid w:val="0027290C"/>
    <w:rsid w:val="00272983"/>
    <w:rsid w:val="002729FB"/>
    <w:rsid w:val="00272C1F"/>
    <w:rsid w:val="00272CF8"/>
    <w:rsid w:val="00272D1E"/>
    <w:rsid w:val="00272F59"/>
    <w:rsid w:val="00272FF2"/>
    <w:rsid w:val="0027301E"/>
    <w:rsid w:val="00273076"/>
    <w:rsid w:val="002730D8"/>
    <w:rsid w:val="00273111"/>
    <w:rsid w:val="00273126"/>
    <w:rsid w:val="0027326A"/>
    <w:rsid w:val="0027327B"/>
    <w:rsid w:val="002733AE"/>
    <w:rsid w:val="00273485"/>
    <w:rsid w:val="00273525"/>
    <w:rsid w:val="00273758"/>
    <w:rsid w:val="0027381A"/>
    <w:rsid w:val="00273B21"/>
    <w:rsid w:val="00273B88"/>
    <w:rsid w:val="00273C7D"/>
    <w:rsid w:val="00273E68"/>
    <w:rsid w:val="00273E88"/>
    <w:rsid w:val="00273ECB"/>
    <w:rsid w:val="00273FBD"/>
    <w:rsid w:val="0027420D"/>
    <w:rsid w:val="00274211"/>
    <w:rsid w:val="0027421C"/>
    <w:rsid w:val="0027422C"/>
    <w:rsid w:val="002742CB"/>
    <w:rsid w:val="002743AB"/>
    <w:rsid w:val="002743E4"/>
    <w:rsid w:val="0027443D"/>
    <w:rsid w:val="0027462E"/>
    <w:rsid w:val="0027467C"/>
    <w:rsid w:val="002746FA"/>
    <w:rsid w:val="00274707"/>
    <w:rsid w:val="00274800"/>
    <w:rsid w:val="0027482B"/>
    <w:rsid w:val="002749A9"/>
    <w:rsid w:val="002749AC"/>
    <w:rsid w:val="00274A0F"/>
    <w:rsid w:val="00274B79"/>
    <w:rsid w:val="00274B89"/>
    <w:rsid w:val="00274B90"/>
    <w:rsid w:val="00274CCB"/>
    <w:rsid w:val="00274D96"/>
    <w:rsid w:val="00274DB6"/>
    <w:rsid w:val="00275050"/>
    <w:rsid w:val="00275188"/>
    <w:rsid w:val="00275239"/>
    <w:rsid w:val="0027529F"/>
    <w:rsid w:val="00275345"/>
    <w:rsid w:val="00275379"/>
    <w:rsid w:val="00275565"/>
    <w:rsid w:val="00275570"/>
    <w:rsid w:val="0027559E"/>
    <w:rsid w:val="00275621"/>
    <w:rsid w:val="002757D8"/>
    <w:rsid w:val="00275830"/>
    <w:rsid w:val="00275857"/>
    <w:rsid w:val="00275AD6"/>
    <w:rsid w:val="00275B29"/>
    <w:rsid w:val="00275BBF"/>
    <w:rsid w:val="00275BFE"/>
    <w:rsid w:val="00275C40"/>
    <w:rsid w:val="00275E15"/>
    <w:rsid w:val="00275EBF"/>
    <w:rsid w:val="00275EC3"/>
    <w:rsid w:val="00275F23"/>
    <w:rsid w:val="00275F48"/>
    <w:rsid w:val="00275F7B"/>
    <w:rsid w:val="00275FEF"/>
    <w:rsid w:val="002762EE"/>
    <w:rsid w:val="00276310"/>
    <w:rsid w:val="0027632F"/>
    <w:rsid w:val="00276438"/>
    <w:rsid w:val="0027659A"/>
    <w:rsid w:val="002765A2"/>
    <w:rsid w:val="0027671A"/>
    <w:rsid w:val="00276770"/>
    <w:rsid w:val="002767E2"/>
    <w:rsid w:val="00276855"/>
    <w:rsid w:val="0027687B"/>
    <w:rsid w:val="0027687F"/>
    <w:rsid w:val="00276B9C"/>
    <w:rsid w:val="00276C15"/>
    <w:rsid w:val="00276CFB"/>
    <w:rsid w:val="00276D01"/>
    <w:rsid w:val="00276D3F"/>
    <w:rsid w:val="00276E58"/>
    <w:rsid w:val="00276F86"/>
    <w:rsid w:val="00276FBD"/>
    <w:rsid w:val="00277058"/>
    <w:rsid w:val="002770A0"/>
    <w:rsid w:val="002772B4"/>
    <w:rsid w:val="00277393"/>
    <w:rsid w:val="002773B2"/>
    <w:rsid w:val="002773EE"/>
    <w:rsid w:val="00277635"/>
    <w:rsid w:val="002776F9"/>
    <w:rsid w:val="00277780"/>
    <w:rsid w:val="002777D0"/>
    <w:rsid w:val="00277808"/>
    <w:rsid w:val="0027798C"/>
    <w:rsid w:val="002779D4"/>
    <w:rsid w:val="00277A31"/>
    <w:rsid w:val="00277B21"/>
    <w:rsid w:val="00277C9F"/>
    <w:rsid w:val="00277E42"/>
    <w:rsid w:val="00277F99"/>
    <w:rsid w:val="0028004F"/>
    <w:rsid w:val="0028057E"/>
    <w:rsid w:val="00280868"/>
    <w:rsid w:val="00280936"/>
    <w:rsid w:val="00280A3E"/>
    <w:rsid w:val="00280A65"/>
    <w:rsid w:val="00280AB4"/>
    <w:rsid w:val="00280AC6"/>
    <w:rsid w:val="00280EAE"/>
    <w:rsid w:val="00280EC4"/>
    <w:rsid w:val="0028127E"/>
    <w:rsid w:val="0028131E"/>
    <w:rsid w:val="002813BE"/>
    <w:rsid w:val="00281401"/>
    <w:rsid w:val="002815B7"/>
    <w:rsid w:val="002815EA"/>
    <w:rsid w:val="002817CE"/>
    <w:rsid w:val="00281883"/>
    <w:rsid w:val="002818EA"/>
    <w:rsid w:val="0028198D"/>
    <w:rsid w:val="002819C7"/>
    <w:rsid w:val="00281A13"/>
    <w:rsid w:val="00281BAB"/>
    <w:rsid w:val="00281C95"/>
    <w:rsid w:val="00281DAE"/>
    <w:rsid w:val="00281EA6"/>
    <w:rsid w:val="00282036"/>
    <w:rsid w:val="002821BA"/>
    <w:rsid w:val="002821F7"/>
    <w:rsid w:val="00282217"/>
    <w:rsid w:val="002822D5"/>
    <w:rsid w:val="002823EB"/>
    <w:rsid w:val="002823F4"/>
    <w:rsid w:val="002824A4"/>
    <w:rsid w:val="00282526"/>
    <w:rsid w:val="002825E3"/>
    <w:rsid w:val="002825E8"/>
    <w:rsid w:val="00282638"/>
    <w:rsid w:val="0028275E"/>
    <w:rsid w:val="00282890"/>
    <w:rsid w:val="0028290A"/>
    <w:rsid w:val="002829A9"/>
    <w:rsid w:val="00282A43"/>
    <w:rsid w:val="00282B62"/>
    <w:rsid w:val="00282B68"/>
    <w:rsid w:val="00282BBA"/>
    <w:rsid w:val="00282C7F"/>
    <w:rsid w:val="00282DD7"/>
    <w:rsid w:val="00282E13"/>
    <w:rsid w:val="00282F82"/>
    <w:rsid w:val="00283085"/>
    <w:rsid w:val="002830DC"/>
    <w:rsid w:val="002832ED"/>
    <w:rsid w:val="002833B5"/>
    <w:rsid w:val="0028345F"/>
    <w:rsid w:val="00283484"/>
    <w:rsid w:val="0028357D"/>
    <w:rsid w:val="0028383F"/>
    <w:rsid w:val="002838A1"/>
    <w:rsid w:val="00283A9A"/>
    <w:rsid w:val="00283B54"/>
    <w:rsid w:val="00283C5A"/>
    <w:rsid w:val="00283D62"/>
    <w:rsid w:val="00283DA5"/>
    <w:rsid w:val="00283DB7"/>
    <w:rsid w:val="00283EFF"/>
    <w:rsid w:val="00283F8D"/>
    <w:rsid w:val="00284041"/>
    <w:rsid w:val="0028409B"/>
    <w:rsid w:val="00284264"/>
    <w:rsid w:val="002842FB"/>
    <w:rsid w:val="00284459"/>
    <w:rsid w:val="002844C2"/>
    <w:rsid w:val="002844EB"/>
    <w:rsid w:val="00284619"/>
    <w:rsid w:val="00284632"/>
    <w:rsid w:val="00284752"/>
    <w:rsid w:val="00284828"/>
    <w:rsid w:val="002849E8"/>
    <w:rsid w:val="00284A52"/>
    <w:rsid w:val="00284AD5"/>
    <w:rsid w:val="00284B56"/>
    <w:rsid w:val="00284BC3"/>
    <w:rsid w:val="00285024"/>
    <w:rsid w:val="00285167"/>
    <w:rsid w:val="00285168"/>
    <w:rsid w:val="002851E9"/>
    <w:rsid w:val="00285206"/>
    <w:rsid w:val="00285280"/>
    <w:rsid w:val="002852AD"/>
    <w:rsid w:val="0028538E"/>
    <w:rsid w:val="00285398"/>
    <w:rsid w:val="002853E4"/>
    <w:rsid w:val="0028540B"/>
    <w:rsid w:val="0028541E"/>
    <w:rsid w:val="002854C8"/>
    <w:rsid w:val="002854FF"/>
    <w:rsid w:val="00285697"/>
    <w:rsid w:val="002856B3"/>
    <w:rsid w:val="002856FC"/>
    <w:rsid w:val="002857AE"/>
    <w:rsid w:val="002857E4"/>
    <w:rsid w:val="00285915"/>
    <w:rsid w:val="00285A2C"/>
    <w:rsid w:val="00285A9C"/>
    <w:rsid w:val="00285BBF"/>
    <w:rsid w:val="00285BCF"/>
    <w:rsid w:val="00285D5D"/>
    <w:rsid w:val="00285E38"/>
    <w:rsid w:val="00285FDE"/>
    <w:rsid w:val="00286036"/>
    <w:rsid w:val="00286091"/>
    <w:rsid w:val="00286114"/>
    <w:rsid w:val="00286290"/>
    <w:rsid w:val="002862CB"/>
    <w:rsid w:val="0028632A"/>
    <w:rsid w:val="00286368"/>
    <w:rsid w:val="00286441"/>
    <w:rsid w:val="00286484"/>
    <w:rsid w:val="002867A4"/>
    <w:rsid w:val="002867EE"/>
    <w:rsid w:val="0028682E"/>
    <w:rsid w:val="002869C9"/>
    <w:rsid w:val="00286A70"/>
    <w:rsid w:val="00286B7A"/>
    <w:rsid w:val="00286BB6"/>
    <w:rsid w:val="00286BF7"/>
    <w:rsid w:val="00286DEE"/>
    <w:rsid w:val="00286E52"/>
    <w:rsid w:val="0028704F"/>
    <w:rsid w:val="002871BB"/>
    <w:rsid w:val="0028734F"/>
    <w:rsid w:val="00287428"/>
    <w:rsid w:val="00287493"/>
    <w:rsid w:val="0028757F"/>
    <w:rsid w:val="00287614"/>
    <w:rsid w:val="0028766E"/>
    <w:rsid w:val="002876A7"/>
    <w:rsid w:val="002876B2"/>
    <w:rsid w:val="002876DA"/>
    <w:rsid w:val="00287A65"/>
    <w:rsid w:val="00287B4F"/>
    <w:rsid w:val="00287C2E"/>
    <w:rsid w:val="00287CC2"/>
    <w:rsid w:val="0029003E"/>
    <w:rsid w:val="00290174"/>
    <w:rsid w:val="00290221"/>
    <w:rsid w:val="00290257"/>
    <w:rsid w:val="00290592"/>
    <w:rsid w:val="002905E2"/>
    <w:rsid w:val="00290639"/>
    <w:rsid w:val="002906D6"/>
    <w:rsid w:val="00290757"/>
    <w:rsid w:val="00290826"/>
    <w:rsid w:val="00290872"/>
    <w:rsid w:val="002909C0"/>
    <w:rsid w:val="002909D1"/>
    <w:rsid w:val="00290B3F"/>
    <w:rsid w:val="00290F27"/>
    <w:rsid w:val="00291038"/>
    <w:rsid w:val="002910F6"/>
    <w:rsid w:val="00291231"/>
    <w:rsid w:val="00291246"/>
    <w:rsid w:val="00291267"/>
    <w:rsid w:val="00291418"/>
    <w:rsid w:val="002915E3"/>
    <w:rsid w:val="00291609"/>
    <w:rsid w:val="00291637"/>
    <w:rsid w:val="002916F3"/>
    <w:rsid w:val="002918D8"/>
    <w:rsid w:val="002918F2"/>
    <w:rsid w:val="00291D45"/>
    <w:rsid w:val="00291D91"/>
    <w:rsid w:val="00291FAC"/>
    <w:rsid w:val="00291FC6"/>
    <w:rsid w:val="00292112"/>
    <w:rsid w:val="002921C6"/>
    <w:rsid w:val="00292323"/>
    <w:rsid w:val="0029234E"/>
    <w:rsid w:val="00292397"/>
    <w:rsid w:val="002923B4"/>
    <w:rsid w:val="002923B5"/>
    <w:rsid w:val="002923D5"/>
    <w:rsid w:val="0029245A"/>
    <w:rsid w:val="0029245F"/>
    <w:rsid w:val="00292543"/>
    <w:rsid w:val="002927DE"/>
    <w:rsid w:val="00292858"/>
    <w:rsid w:val="00292878"/>
    <w:rsid w:val="0029293D"/>
    <w:rsid w:val="0029295F"/>
    <w:rsid w:val="00292B98"/>
    <w:rsid w:val="00292C54"/>
    <w:rsid w:val="00292C5D"/>
    <w:rsid w:val="00292C60"/>
    <w:rsid w:val="00292D0D"/>
    <w:rsid w:val="00292E12"/>
    <w:rsid w:val="00292EA3"/>
    <w:rsid w:val="00293149"/>
    <w:rsid w:val="00293167"/>
    <w:rsid w:val="0029316A"/>
    <w:rsid w:val="00293174"/>
    <w:rsid w:val="00293230"/>
    <w:rsid w:val="0029326A"/>
    <w:rsid w:val="00293397"/>
    <w:rsid w:val="00293521"/>
    <w:rsid w:val="002936CE"/>
    <w:rsid w:val="00293867"/>
    <w:rsid w:val="0029386D"/>
    <w:rsid w:val="0029386E"/>
    <w:rsid w:val="00293942"/>
    <w:rsid w:val="002939F9"/>
    <w:rsid w:val="00293A9B"/>
    <w:rsid w:val="00293DFC"/>
    <w:rsid w:val="00293E7A"/>
    <w:rsid w:val="00293F30"/>
    <w:rsid w:val="00294070"/>
    <w:rsid w:val="0029417B"/>
    <w:rsid w:val="00294199"/>
    <w:rsid w:val="002941AD"/>
    <w:rsid w:val="00294241"/>
    <w:rsid w:val="002945C0"/>
    <w:rsid w:val="002946B1"/>
    <w:rsid w:val="0029474F"/>
    <w:rsid w:val="00294963"/>
    <w:rsid w:val="00294BCC"/>
    <w:rsid w:val="00294D79"/>
    <w:rsid w:val="00294E4C"/>
    <w:rsid w:val="00294F28"/>
    <w:rsid w:val="00294F48"/>
    <w:rsid w:val="0029507F"/>
    <w:rsid w:val="0029516B"/>
    <w:rsid w:val="002951BB"/>
    <w:rsid w:val="0029522F"/>
    <w:rsid w:val="00295278"/>
    <w:rsid w:val="002953DF"/>
    <w:rsid w:val="00295451"/>
    <w:rsid w:val="0029551F"/>
    <w:rsid w:val="00295598"/>
    <w:rsid w:val="002956BE"/>
    <w:rsid w:val="002956E7"/>
    <w:rsid w:val="002956EA"/>
    <w:rsid w:val="0029594C"/>
    <w:rsid w:val="002959D7"/>
    <w:rsid w:val="00295A6B"/>
    <w:rsid w:val="00295C10"/>
    <w:rsid w:val="00295D53"/>
    <w:rsid w:val="00295E94"/>
    <w:rsid w:val="0029625A"/>
    <w:rsid w:val="0029633C"/>
    <w:rsid w:val="0029638C"/>
    <w:rsid w:val="0029640E"/>
    <w:rsid w:val="002964D0"/>
    <w:rsid w:val="002964E1"/>
    <w:rsid w:val="002964F7"/>
    <w:rsid w:val="00296565"/>
    <w:rsid w:val="002965B5"/>
    <w:rsid w:val="0029661E"/>
    <w:rsid w:val="0029677E"/>
    <w:rsid w:val="00296825"/>
    <w:rsid w:val="0029699B"/>
    <w:rsid w:val="00296C82"/>
    <w:rsid w:val="00296D19"/>
    <w:rsid w:val="00296D27"/>
    <w:rsid w:val="00296F4D"/>
    <w:rsid w:val="00296F63"/>
    <w:rsid w:val="00296FB8"/>
    <w:rsid w:val="00296FFB"/>
    <w:rsid w:val="00297071"/>
    <w:rsid w:val="002970F0"/>
    <w:rsid w:val="002971C8"/>
    <w:rsid w:val="002972D0"/>
    <w:rsid w:val="00297358"/>
    <w:rsid w:val="0029735A"/>
    <w:rsid w:val="00297386"/>
    <w:rsid w:val="00297818"/>
    <w:rsid w:val="00297892"/>
    <w:rsid w:val="002979CE"/>
    <w:rsid w:val="002979FF"/>
    <w:rsid w:val="00297A94"/>
    <w:rsid w:val="00297B99"/>
    <w:rsid w:val="00297C24"/>
    <w:rsid w:val="00297D52"/>
    <w:rsid w:val="00297E05"/>
    <w:rsid w:val="00297F6E"/>
    <w:rsid w:val="00297F98"/>
    <w:rsid w:val="00297FE9"/>
    <w:rsid w:val="002A006F"/>
    <w:rsid w:val="002A00C7"/>
    <w:rsid w:val="002A00F5"/>
    <w:rsid w:val="002A048B"/>
    <w:rsid w:val="002A04B3"/>
    <w:rsid w:val="002A0923"/>
    <w:rsid w:val="002A0950"/>
    <w:rsid w:val="002A0A39"/>
    <w:rsid w:val="002A0A52"/>
    <w:rsid w:val="002A0A57"/>
    <w:rsid w:val="002A0C05"/>
    <w:rsid w:val="002A0C7E"/>
    <w:rsid w:val="002A0CA7"/>
    <w:rsid w:val="002A0CD4"/>
    <w:rsid w:val="002A0DD9"/>
    <w:rsid w:val="002A0F5C"/>
    <w:rsid w:val="002A0FE6"/>
    <w:rsid w:val="002A1060"/>
    <w:rsid w:val="002A10FC"/>
    <w:rsid w:val="002A130E"/>
    <w:rsid w:val="002A1470"/>
    <w:rsid w:val="002A16A6"/>
    <w:rsid w:val="002A175A"/>
    <w:rsid w:val="002A1760"/>
    <w:rsid w:val="002A17CB"/>
    <w:rsid w:val="002A18BC"/>
    <w:rsid w:val="002A18CD"/>
    <w:rsid w:val="002A1AB6"/>
    <w:rsid w:val="002A1BAF"/>
    <w:rsid w:val="002A1BD7"/>
    <w:rsid w:val="002A1C21"/>
    <w:rsid w:val="002A1DF1"/>
    <w:rsid w:val="002A1E96"/>
    <w:rsid w:val="002A20A0"/>
    <w:rsid w:val="002A2218"/>
    <w:rsid w:val="002A233E"/>
    <w:rsid w:val="002A2369"/>
    <w:rsid w:val="002A238B"/>
    <w:rsid w:val="002A2405"/>
    <w:rsid w:val="002A2562"/>
    <w:rsid w:val="002A27A6"/>
    <w:rsid w:val="002A2801"/>
    <w:rsid w:val="002A293D"/>
    <w:rsid w:val="002A2B37"/>
    <w:rsid w:val="002A2BDA"/>
    <w:rsid w:val="002A2D7D"/>
    <w:rsid w:val="002A2DF8"/>
    <w:rsid w:val="002A2EB6"/>
    <w:rsid w:val="002A2ED2"/>
    <w:rsid w:val="002A2F81"/>
    <w:rsid w:val="002A2FFE"/>
    <w:rsid w:val="002A3204"/>
    <w:rsid w:val="002A3285"/>
    <w:rsid w:val="002A32CB"/>
    <w:rsid w:val="002A332E"/>
    <w:rsid w:val="002A3437"/>
    <w:rsid w:val="002A3529"/>
    <w:rsid w:val="002A3573"/>
    <w:rsid w:val="002A3666"/>
    <w:rsid w:val="002A37B1"/>
    <w:rsid w:val="002A3828"/>
    <w:rsid w:val="002A3AFA"/>
    <w:rsid w:val="002A3BD2"/>
    <w:rsid w:val="002A3C4B"/>
    <w:rsid w:val="002A3DA0"/>
    <w:rsid w:val="002A3DE6"/>
    <w:rsid w:val="002A3E58"/>
    <w:rsid w:val="002A3EDC"/>
    <w:rsid w:val="002A3EE7"/>
    <w:rsid w:val="002A3EEA"/>
    <w:rsid w:val="002A3F12"/>
    <w:rsid w:val="002A3FCF"/>
    <w:rsid w:val="002A3FF1"/>
    <w:rsid w:val="002A4060"/>
    <w:rsid w:val="002A408F"/>
    <w:rsid w:val="002A423C"/>
    <w:rsid w:val="002A42B7"/>
    <w:rsid w:val="002A42C6"/>
    <w:rsid w:val="002A4330"/>
    <w:rsid w:val="002A44E2"/>
    <w:rsid w:val="002A4682"/>
    <w:rsid w:val="002A476D"/>
    <w:rsid w:val="002A4776"/>
    <w:rsid w:val="002A4789"/>
    <w:rsid w:val="002A498E"/>
    <w:rsid w:val="002A4A48"/>
    <w:rsid w:val="002A4BB2"/>
    <w:rsid w:val="002A4BEC"/>
    <w:rsid w:val="002A4D05"/>
    <w:rsid w:val="002A4D70"/>
    <w:rsid w:val="002A4ED0"/>
    <w:rsid w:val="002A4FA8"/>
    <w:rsid w:val="002A5077"/>
    <w:rsid w:val="002A5287"/>
    <w:rsid w:val="002A54BC"/>
    <w:rsid w:val="002A553F"/>
    <w:rsid w:val="002A561D"/>
    <w:rsid w:val="002A5631"/>
    <w:rsid w:val="002A563D"/>
    <w:rsid w:val="002A56FE"/>
    <w:rsid w:val="002A57B0"/>
    <w:rsid w:val="002A580E"/>
    <w:rsid w:val="002A5847"/>
    <w:rsid w:val="002A58BF"/>
    <w:rsid w:val="002A5A0A"/>
    <w:rsid w:val="002A5AAA"/>
    <w:rsid w:val="002A5BDE"/>
    <w:rsid w:val="002A5C27"/>
    <w:rsid w:val="002A5CAB"/>
    <w:rsid w:val="002A5CCA"/>
    <w:rsid w:val="002A5D0E"/>
    <w:rsid w:val="002A5F02"/>
    <w:rsid w:val="002A6053"/>
    <w:rsid w:val="002A6153"/>
    <w:rsid w:val="002A61E9"/>
    <w:rsid w:val="002A62D2"/>
    <w:rsid w:val="002A633E"/>
    <w:rsid w:val="002A642E"/>
    <w:rsid w:val="002A6563"/>
    <w:rsid w:val="002A65A0"/>
    <w:rsid w:val="002A65E3"/>
    <w:rsid w:val="002A6690"/>
    <w:rsid w:val="002A67B9"/>
    <w:rsid w:val="002A67FF"/>
    <w:rsid w:val="002A6815"/>
    <w:rsid w:val="002A68D3"/>
    <w:rsid w:val="002A6968"/>
    <w:rsid w:val="002A6972"/>
    <w:rsid w:val="002A69D4"/>
    <w:rsid w:val="002A6AFA"/>
    <w:rsid w:val="002A6B50"/>
    <w:rsid w:val="002A6B58"/>
    <w:rsid w:val="002A6BDB"/>
    <w:rsid w:val="002A6BDD"/>
    <w:rsid w:val="002A6BE4"/>
    <w:rsid w:val="002A6C2F"/>
    <w:rsid w:val="002A6CD2"/>
    <w:rsid w:val="002A6CE6"/>
    <w:rsid w:val="002A6ECA"/>
    <w:rsid w:val="002A6EDB"/>
    <w:rsid w:val="002A71B1"/>
    <w:rsid w:val="002A71E3"/>
    <w:rsid w:val="002A7235"/>
    <w:rsid w:val="002A7237"/>
    <w:rsid w:val="002A7261"/>
    <w:rsid w:val="002A7318"/>
    <w:rsid w:val="002A7327"/>
    <w:rsid w:val="002A748C"/>
    <w:rsid w:val="002A74F8"/>
    <w:rsid w:val="002A7615"/>
    <w:rsid w:val="002A7680"/>
    <w:rsid w:val="002A76A8"/>
    <w:rsid w:val="002A774A"/>
    <w:rsid w:val="002A77D6"/>
    <w:rsid w:val="002A785F"/>
    <w:rsid w:val="002A78EC"/>
    <w:rsid w:val="002A7993"/>
    <w:rsid w:val="002A7ACE"/>
    <w:rsid w:val="002A7AE8"/>
    <w:rsid w:val="002A7C24"/>
    <w:rsid w:val="002A7C39"/>
    <w:rsid w:val="002A7D35"/>
    <w:rsid w:val="002A7F2B"/>
    <w:rsid w:val="002A7FD9"/>
    <w:rsid w:val="002B015E"/>
    <w:rsid w:val="002B0182"/>
    <w:rsid w:val="002B0197"/>
    <w:rsid w:val="002B01B4"/>
    <w:rsid w:val="002B01B7"/>
    <w:rsid w:val="002B02FB"/>
    <w:rsid w:val="002B03F5"/>
    <w:rsid w:val="002B03FB"/>
    <w:rsid w:val="002B0437"/>
    <w:rsid w:val="002B04BD"/>
    <w:rsid w:val="002B0626"/>
    <w:rsid w:val="002B067D"/>
    <w:rsid w:val="002B0779"/>
    <w:rsid w:val="002B087B"/>
    <w:rsid w:val="002B08B2"/>
    <w:rsid w:val="002B0AB5"/>
    <w:rsid w:val="002B0AE1"/>
    <w:rsid w:val="002B0D27"/>
    <w:rsid w:val="002B0E53"/>
    <w:rsid w:val="002B0E61"/>
    <w:rsid w:val="002B0E83"/>
    <w:rsid w:val="002B0FBC"/>
    <w:rsid w:val="002B1021"/>
    <w:rsid w:val="002B1283"/>
    <w:rsid w:val="002B12AA"/>
    <w:rsid w:val="002B14BD"/>
    <w:rsid w:val="002B14F8"/>
    <w:rsid w:val="002B1531"/>
    <w:rsid w:val="002B1645"/>
    <w:rsid w:val="002B1754"/>
    <w:rsid w:val="002B175D"/>
    <w:rsid w:val="002B1864"/>
    <w:rsid w:val="002B18AB"/>
    <w:rsid w:val="002B18EF"/>
    <w:rsid w:val="002B1A82"/>
    <w:rsid w:val="002B1AF5"/>
    <w:rsid w:val="002B1D4F"/>
    <w:rsid w:val="002B1EBA"/>
    <w:rsid w:val="002B200C"/>
    <w:rsid w:val="002B2279"/>
    <w:rsid w:val="002B22F2"/>
    <w:rsid w:val="002B262C"/>
    <w:rsid w:val="002B27F4"/>
    <w:rsid w:val="002B282E"/>
    <w:rsid w:val="002B294A"/>
    <w:rsid w:val="002B2963"/>
    <w:rsid w:val="002B2B04"/>
    <w:rsid w:val="002B2B71"/>
    <w:rsid w:val="002B2C1F"/>
    <w:rsid w:val="002B2DA1"/>
    <w:rsid w:val="002B2DFC"/>
    <w:rsid w:val="002B2EDA"/>
    <w:rsid w:val="002B2F4A"/>
    <w:rsid w:val="002B3005"/>
    <w:rsid w:val="002B3139"/>
    <w:rsid w:val="002B3207"/>
    <w:rsid w:val="002B3284"/>
    <w:rsid w:val="002B3319"/>
    <w:rsid w:val="002B3451"/>
    <w:rsid w:val="002B34AB"/>
    <w:rsid w:val="002B34D0"/>
    <w:rsid w:val="002B35BA"/>
    <w:rsid w:val="002B3642"/>
    <w:rsid w:val="002B376A"/>
    <w:rsid w:val="002B3782"/>
    <w:rsid w:val="002B3784"/>
    <w:rsid w:val="002B37C5"/>
    <w:rsid w:val="002B3946"/>
    <w:rsid w:val="002B394B"/>
    <w:rsid w:val="002B395B"/>
    <w:rsid w:val="002B3AB3"/>
    <w:rsid w:val="002B3BB5"/>
    <w:rsid w:val="002B3CA1"/>
    <w:rsid w:val="002B3DB2"/>
    <w:rsid w:val="002B3EF9"/>
    <w:rsid w:val="002B3FCD"/>
    <w:rsid w:val="002B419C"/>
    <w:rsid w:val="002B41B3"/>
    <w:rsid w:val="002B42C2"/>
    <w:rsid w:val="002B43CF"/>
    <w:rsid w:val="002B444C"/>
    <w:rsid w:val="002B4606"/>
    <w:rsid w:val="002B4641"/>
    <w:rsid w:val="002B4B32"/>
    <w:rsid w:val="002B4BD0"/>
    <w:rsid w:val="002B4D24"/>
    <w:rsid w:val="002B4E2C"/>
    <w:rsid w:val="002B50C5"/>
    <w:rsid w:val="002B50CE"/>
    <w:rsid w:val="002B5190"/>
    <w:rsid w:val="002B52D7"/>
    <w:rsid w:val="002B5415"/>
    <w:rsid w:val="002B54DE"/>
    <w:rsid w:val="002B5510"/>
    <w:rsid w:val="002B57B4"/>
    <w:rsid w:val="002B57D4"/>
    <w:rsid w:val="002B58AF"/>
    <w:rsid w:val="002B592A"/>
    <w:rsid w:val="002B5992"/>
    <w:rsid w:val="002B5AB1"/>
    <w:rsid w:val="002B5CB4"/>
    <w:rsid w:val="002B5D03"/>
    <w:rsid w:val="002B5D3D"/>
    <w:rsid w:val="002B5DDC"/>
    <w:rsid w:val="002B5E8D"/>
    <w:rsid w:val="002B5EDF"/>
    <w:rsid w:val="002B5F5C"/>
    <w:rsid w:val="002B627A"/>
    <w:rsid w:val="002B62AF"/>
    <w:rsid w:val="002B62D3"/>
    <w:rsid w:val="002B635B"/>
    <w:rsid w:val="002B6404"/>
    <w:rsid w:val="002B6441"/>
    <w:rsid w:val="002B646B"/>
    <w:rsid w:val="002B64B1"/>
    <w:rsid w:val="002B651E"/>
    <w:rsid w:val="002B6550"/>
    <w:rsid w:val="002B6642"/>
    <w:rsid w:val="002B664C"/>
    <w:rsid w:val="002B67BE"/>
    <w:rsid w:val="002B681F"/>
    <w:rsid w:val="002B685D"/>
    <w:rsid w:val="002B6995"/>
    <w:rsid w:val="002B69AA"/>
    <w:rsid w:val="002B6C0C"/>
    <w:rsid w:val="002B6C5B"/>
    <w:rsid w:val="002B6C6C"/>
    <w:rsid w:val="002B6CAD"/>
    <w:rsid w:val="002B6CE7"/>
    <w:rsid w:val="002B6DED"/>
    <w:rsid w:val="002B6EC4"/>
    <w:rsid w:val="002B6F5B"/>
    <w:rsid w:val="002B717E"/>
    <w:rsid w:val="002B71D7"/>
    <w:rsid w:val="002B72A4"/>
    <w:rsid w:val="002B731B"/>
    <w:rsid w:val="002B73AB"/>
    <w:rsid w:val="002B73D9"/>
    <w:rsid w:val="002B743A"/>
    <w:rsid w:val="002B74F3"/>
    <w:rsid w:val="002B7569"/>
    <w:rsid w:val="002B76B6"/>
    <w:rsid w:val="002B7737"/>
    <w:rsid w:val="002B7764"/>
    <w:rsid w:val="002B786A"/>
    <w:rsid w:val="002B7972"/>
    <w:rsid w:val="002B79C5"/>
    <w:rsid w:val="002B79C8"/>
    <w:rsid w:val="002B7CBE"/>
    <w:rsid w:val="002B7EB5"/>
    <w:rsid w:val="002B7F30"/>
    <w:rsid w:val="002B7F67"/>
    <w:rsid w:val="002C00A7"/>
    <w:rsid w:val="002C014E"/>
    <w:rsid w:val="002C0257"/>
    <w:rsid w:val="002C04A0"/>
    <w:rsid w:val="002C0622"/>
    <w:rsid w:val="002C07C1"/>
    <w:rsid w:val="002C08CB"/>
    <w:rsid w:val="002C0B9F"/>
    <w:rsid w:val="002C0BC0"/>
    <w:rsid w:val="002C0BD7"/>
    <w:rsid w:val="002C0C31"/>
    <w:rsid w:val="002C0CAE"/>
    <w:rsid w:val="002C0CCE"/>
    <w:rsid w:val="002C0D0D"/>
    <w:rsid w:val="002C0D3E"/>
    <w:rsid w:val="002C0D64"/>
    <w:rsid w:val="002C0EA5"/>
    <w:rsid w:val="002C0EEA"/>
    <w:rsid w:val="002C0F71"/>
    <w:rsid w:val="002C0FF9"/>
    <w:rsid w:val="002C10AC"/>
    <w:rsid w:val="002C1144"/>
    <w:rsid w:val="002C1263"/>
    <w:rsid w:val="002C14FD"/>
    <w:rsid w:val="002C1561"/>
    <w:rsid w:val="002C16F7"/>
    <w:rsid w:val="002C171A"/>
    <w:rsid w:val="002C172D"/>
    <w:rsid w:val="002C1778"/>
    <w:rsid w:val="002C1826"/>
    <w:rsid w:val="002C19BB"/>
    <w:rsid w:val="002C1B31"/>
    <w:rsid w:val="002C1C9E"/>
    <w:rsid w:val="002C1CAE"/>
    <w:rsid w:val="002C1D06"/>
    <w:rsid w:val="002C1F26"/>
    <w:rsid w:val="002C20AC"/>
    <w:rsid w:val="002C2144"/>
    <w:rsid w:val="002C220A"/>
    <w:rsid w:val="002C2221"/>
    <w:rsid w:val="002C23C7"/>
    <w:rsid w:val="002C23CC"/>
    <w:rsid w:val="002C2573"/>
    <w:rsid w:val="002C26F1"/>
    <w:rsid w:val="002C27A3"/>
    <w:rsid w:val="002C281E"/>
    <w:rsid w:val="002C2842"/>
    <w:rsid w:val="002C2946"/>
    <w:rsid w:val="002C2A94"/>
    <w:rsid w:val="002C2A99"/>
    <w:rsid w:val="002C2AA3"/>
    <w:rsid w:val="002C2AAC"/>
    <w:rsid w:val="002C2C44"/>
    <w:rsid w:val="002C2D35"/>
    <w:rsid w:val="002C2D59"/>
    <w:rsid w:val="002C2E8D"/>
    <w:rsid w:val="002C2E96"/>
    <w:rsid w:val="002C2F00"/>
    <w:rsid w:val="002C2FD3"/>
    <w:rsid w:val="002C2FE4"/>
    <w:rsid w:val="002C30D0"/>
    <w:rsid w:val="002C33E1"/>
    <w:rsid w:val="002C3507"/>
    <w:rsid w:val="002C379D"/>
    <w:rsid w:val="002C37BD"/>
    <w:rsid w:val="002C38AB"/>
    <w:rsid w:val="002C3929"/>
    <w:rsid w:val="002C39A3"/>
    <w:rsid w:val="002C3A0D"/>
    <w:rsid w:val="002C3AD8"/>
    <w:rsid w:val="002C3B4B"/>
    <w:rsid w:val="002C3C56"/>
    <w:rsid w:val="002C3C81"/>
    <w:rsid w:val="002C3CDD"/>
    <w:rsid w:val="002C3CE1"/>
    <w:rsid w:val="002C3DA1"/>
    <w:rsid w:val="002C3E0A"/>
    <w:rsid w:val="002C3E88"/>
    <w:rsid w:val="002C3FD6"/>
    <w:rsid w:val="002C40B6"/>
    <w:rsid w:val="002C411F"/>
    <w:rsid w:val="002C419E"/>
    <w:rsid w:val="002C4264"/>
    <w:rsid w:val="002C42A5"/>
    <w:rsid w:val="002C4633"/>
    <w:rsid w:val="002C467C"/>
    <w:rsid w:val="002C4715"/>
    <w:rsid w:val="002C4A3C"/>
    <w:rsid w:val="002C4AAC"/>
    <w:rsid w:val="002C4AAE"/>
    <w:rsid w:val="002C4BF2"/>
    <w:rsid w:val="002C4C0A"/>
    <w:rsid w:val="002C4C8E"/>
    <w:rsid w:val="002C4CEE"/>
    <w:rsid w:val="002C4D23"/>
    <w:rsid w:val="002C4E1D"/>
    <w:rsid w:val="002C4E9E"/>
    <w:rsid w:val="002C4ECE"/>
    <w:rsid w:val="002C51BF"/>
    <w:rsid w:val="002C51FD"/>
    <w:rsid w:val="002C520A"/>
    <w:rsid w:val="002C528F"/>
    <w:rsid w:val="002C52C8"/>
    <w:rsid w:val="002C5339"/>
    <w:rsid w:val="002C53A5"/>
    <w:rsid w:val="002C53BD"/>
    <w:rsid w:val="002C542B"/>
    <w:rsid w:val="002C5439"/>
    <w:rsid w:val="002C5529"/>
    <w:rsid w:val="002C5646"/>
    <w:rsid w:val="002C58AF"/>
    <w:rsid w:val="002C5A33"/>
    <w:rsid w:val="002C5B09"/>
    <w:rsid w:val="002C5B41"/>
    <w:rsid w:val="002C5DC8"/>
    <w:rsid w:val="002C5F0D"/>
    <w:rsid w:val="002C5F2B"/>
    <w:rsid w:val="002C6106"/>
    <w:rsid w:val="002C6178"/>
    <w:rsid w:val="002C623E"/>
    <w:rsid w:val="002C62A9"/>
    <w:rsid w:val="002C6384"/>
    <w:rsid w:val="002C6530"/>
    <w:rsid w:val="002C6574"/>
    <w:rsid w:val="002C6687"/>
    <w:rsid w:val="002C66E7"/>
    <w:rsid w:val="002C6836"/>
    <w:rsid w:val="002C68D5"/>
    <w:rsid w:val="002C6A26"/>
    <w:rsid w:val="002C6A3E"/>
    <w:rsid w:val="002C6B3A"/>
    <w:rsid w:val="002C6D8A"/>
    <w:rsid w:val="002C7055"/>
    <w:rsid w:val="002C7174"/>
    <w:rsid w:val="002C719A"/>
    <w:rsid w:val="002C71A7"/>
    <w:rsid w:val="002C7352"/>
    <w:rsid w:val="002C735F"/>
    <w:rsid w:val="002C7436"/>
    <w:rsid w:val="002C7502"/>
    <w:rsid w:val="002C754A"/>
    <w:rsid w:val="002C7583"/>
    <w:rsid w:val="002C7594"/>
    <w:rsid w:val="002C76AC"/>
    <w:rsid w:val="002C76DE"/>
    <w:rsid w:val="002C7750"/>
    <w:rsid w:val="002C77ED"/>
    <w:rsid w:val="002C77F7"/>
    <w:rsid w:val="002C7828"/>
    <w:rsid w:val="002C782F"/>
    <w:rsid w:val="002C784C"/>
    <w:rsid w:val="002C78C0"/>
    <w:rsid w:val="002C7CCC"/>
    <w:rsid w:val="002C7D87"/>
    <w:rsid w:val="002C7EB2"/>
    <w:rsid w:val="002C7EBB"/>
    <w:rsid w:val="002C7F24"/>
    <w:rsid w:val="002C7F38"/>
    <w:rsid w:val="002C7F50"/>
    <w:rsid w:val="002C7FB4"/>
    <w:rsid w:val="002C7FD7"/>
    <w:rsid w:val="002D0034"/>
    <w:rsid w:val="002D0048"/>
    <w:rsid w:val="002D019D"/>
    <w:rsid w:val="002D02BF"/>
    <w:rsid w:val="002D02E9"/>
    <w:rsid w:val="002D0351"/>
    <w:rsid w:val="002D03C2"/>
    <w:rsid w:val="002D0418"/>
    <w:rsid w:val="002D05CD"/>
    <w:rsid w:val="002D05D7"/>
    <w:rsid w:val="002D0624"/>
    <w:rsid w:val="002D064B"/>
    <w:rsid w:val="002D076D"/>
    <w:rsid w:val="002D0791"/>
    <w:rsid w:val="002D0872"/>
    <w:rsid w:val="002D08DD"/>
    <w:rsid w:val="002D093C"/>
    <w:rsid w:val="002D09A7"/>
    <w:rsid w:val="002D0AFE"/>
    <w:rsid w:val="002D0B17"/>
    <w:rsid w:val="002D0B65"/>
    <w:rsid w:val="002D0C40"/>
    <w:rsid w:val="002D0CD2"/>
    <w:rsid w:val="002D0CDA"/>
    <w:rsid w:val="002D0D0A"/>
    <w:rsid w:val="002D0D7E"/>
    <w:rsid w:val="002D0DE4"/>
    <w:rsid w:val="002D0EB9"/>
    <w:rsid w:val="002D0F50"/>
    <w:rsid w:val="002D1043"/>
    <w:rsid w:val="002D1132"/>
    <w:rsid w:val="002D11E0"/>
    <w:rsid w:val="002D135C"/>
    <w:rsid w:val="002D1380"/>
    <w:rsid w:val="002D151C"/>
    <w:rsid w:val="002D161E"/>
    <w:rsid w:val="002D179F"/>
    <w:rsid w:val="002D18B7"/>
    <w:rsid w:val="002D18BB"/>
    <w:rsid w:val="002D18C3"/>
    <w:rsid w:val="002D1C78"/>
    <w:rsid w:val="002D1C7B"/>
    <w:rsid w:val="002D2058"/>
    <w:rsid w:val="002D205D"/>
    <w:rsid w:val="002D20E4"/>
    <w:rsid w:val="002D2120"/>
    <w:rsid w:val="002D214A"/>
    <w:rsid w:val="002D216F"/>
    <w:rsid w:val="002D2199"/>
    <w:rsid w:val="002D233F"/>
    <w:rsid w:val="002D23C3"/>
    <w:rsid w:val="002D2481"/>
    <w:rsid w:val="002D2552"/>
    <w:rsid w:val="002D257C"/>
    <w:rsid w:val="002D25EA"/>
    <w:rsid w:val="002D2670"/>
    <w:rsid w:val="002D27B5"/>
    <w:rsid w:val="002D27E6"/>
    <w:rsid w:val="002D2996"/>
    <w:rsid w:val="002D2B7F"/>
    <w:rsid w:val="002D2CF6"/>
    <w:rsid w:val="002D2D00"/>
    <w:rsid w:val="002D2E5D"/>
    <w:rsid w:val="002D2EB7"/>
    <w:rsid w:val="002D2F56"/>
    <w:rsid w:val="002D30D3"/>
    <w:rsid w:val="002D312D"/>
    <w:rsid w:val="002D31D2"/>
    <w:rsid w:val="002D3356"/>
    <w:rsid w:val="002D3399"/>
    <w:rsid w:val="002D3461"/>
    <w:rsid w:val="002D34D9"/>
    <w:rsid w:val="002D35C7"/>
    <w:rsid w:val="002D35CC"/>
    <w:rsid w:val="002D3639"/>
    <w:rsid w:val="002D3660"/>
    <w:rsid w:val="002D36C3"/>
    <w:rsid w:val="002D3723"/>
    <w:rsid w:val="002D3742"/>
    <w:rsid w:val="002D37F7"/>
    <w:rsid w:val="002D3819"/>
    <w:rsid w:val="002D3833"/>
    <w:rsid w:val="002D39A2"/>
    <w:rsid w:val="002D3A28"/>
    <w:rsid w:val="002D3B4C"/>
    <w:rsid w:val="002D3D93"/>
    <w:rsid w:val="002D3E79"/>
    <w:rsid w:val="002D3FB0"/>
    <w:rsid w:val="002D4091"/>
    <w:rsid w:val="002D40F0"/>
    <w:rsid w:val="002D4243"/>
    <w:rsid w:val="002D427E"/>
    <w:rsid w:val="002D45A1"/>
    <w:rsid w:val="002D467F"/>
    <w:rsid w:val="002D47C8"/>
    <w:rsid w:val="002D4875"/>
    <w:rsid w:val="002D4880"/>
    <w:rsid w:val="002D4944"/>
    <w:rsid w:val="002D49CC"/>
    <w:rsid w:val="002D4A40"/>
    <w:rsid w:val="002D4BA5"/>
    <w:rsid w:val="002D4DF7"/>
    <w:rsid w:val="002D4DFC"/>
    <w:rsid w:val="002D4E09"/>
    <w:rsid w:val="002D4F1D"/>
    <w:rsid w:val="002D4FB1"/>
    <w:rsid w:val="002D5031"/>
    <w:rsid w:val="002D5047"/>
    <w:rsid w:val="002D50E5"/>
    <w:rsid w:val="002D51C2"/>
    <w:rsid w:val="002D52DD"/>
    <w:rsid w:val="002D5341"/>
    <w:rsid w:val="002D53CB"/>
    <w:rsid w:val="002D541A"/>
    <w:rsid w:val="002D5424"/>
    <w:rsid w:val="002D5512"/>
    <w:rsid w:val="002D55C0"/>
    <w:rsid w:val="002D55C3"/>
    <w:rsid w:val="002D55F6"/>
    <w:rsid w:val="002D5601"/>
    <w:rsid w:val="002D5725"/>
    <w:rsid w:val="002D5792"/>
    <w:rsid w:val="002D599A"/>
    <w:rsid w:val="002D5AA0"/>
    <w:rsid w:val="002D5AF5"/>
    <w:rsid w:val="002D5B34"/>
    <w:rsid w:val="002D5B54"/>
    <w:rsid w:val="002D5CCF"/>
    <w:rsid w:val="002D5CE5"/>
    <w:rsid w:val="002D5D27"/>
    <w:rsid w:val="002D5DFE"/>
    <w:rsid w:val="002D5E60"/>
    <w:rsid w:val="002D5E81"/>
    <w:rsid w:val="002D5EE7"/>
    <w:rsid w:val="002D5F5C"/>
    <w:rsid w:val="002D5FAE"/>
    <w:rsid w:val="002D601F"/>
    <w:rsid w:val="002D612F"/>
    <w:rsid w:val="002D6322"/>
    <w:rsid w:val="002D635C"/>
    <w:rsid w:val="002D6395"/>
    <w:rsid w:val="002D64F9"/>
    <w:rsid w:val="002D663B"/>
    <w:rsid w:val="002D664E"/>
    <w:rsid w:val="002D6668"/>
    <w:rsid w:val="002D68F1"/>
    <w:rsid w:val="002D6B70"/>
    <w:rsid w:val="002D6C94"/>
    <w:rsid w:val="002D6D8A"/>
    <w:rsid w:val="002D6E17"/>
    <w:rsid w:val="002D6E6D"/>
    <w:rsid w:val="002D6EA3"/>
    <w:rsid w:val="002D70D0"/>
    <w:rsid w:val="002D70D1"/>
    <w:rsid w:val="002D70EB"/>
    <w:rsid w:val="002D7102"/>
    <w:rsid w:val="002D711E"/>
    <w:rsid w:val="002D7181"/>
    <w:rsid w:val="002D734D"/>
    <w:rsid w:val="002D7373"/>
    <w:rsid w:val="002D76DA"/>
    <w:rsid w:val="002D76F8"/>
    <w:rsid w:val="002D77C6"/>
    <w:rsid w:val="002D7917"/>
    <w:rsid w:val="002D795B"/>
    <w:rsid w:val="002D7962"/>
    <w:rsid w:val="002D7992"/>
    <w:rsid w:val="002D7A52"/>
    <w:rsid w:val="002D7A5C"/>
    <w:rsid w:val="002D7B19"/>
    <w:rsid w:val="002D7B60"/>
    <w:rsid w:val="002D7C0A"/>
    <w:rsid w:val="002D7D1D"/>
    <w:rsid w:val="002D7DD6"/>
    <w:rsid w:val="002D7DFF"/>
    <w:rsid w:val="002D7EA8"/>
    <w:rsid w:val="002D7ED6"/>
    <w:rsid w:val="002E0084"/>
    <w:rsid w:val="002E00BA"/>
    <w:rsid w:val="002E0526"/>
    <w:rsid w:val="002E0566"/>
    <w:rsid w:val="002E0577"/>
    <w:rsid w:val="002E07E9"/>
    <w:rsid w:val="002E07EA"/>
    <w:rsid w:val="002E07F5"/>
    <w:rsid w:val="002E0802"/>
    <w:rsid w:val="002E091A"/>
    <w:rsid w:val="002E094C"/>
    <w:rsid w:val="002E0AD4"/>
    <w:rsid w:val="002E0B6B"/>
    <w:rsid w:val="002E0B81"/>
    <w:rsid w:val="002E0BE6"/>
    <w:rsid w:val="002E0C1C"/>
    <w:rsid w:val="002E0C1D"/>
    <w:rsid w:val="002E0C74"/>
    <w:rsid w:val="002E0DB0"/>
    <w:rsid w:val="002E117B"/>
    <w:rsid w:val="002E1294"/>
    <w:rsid w:val="002E1464"/>
    <w:rsid w:val="002E14C6"/>
    <w:rsid w:val="002E15B1"/>
    <w:rsid w:val="002E15DE"/>
    <w:rsid w:val="002E162F"/>
    <w:rsid w:val="002E168F"/>
    <w:rsid w:val="002E1AE9"/>
    <w:rsid w:val="002E1B35"/>
    <w:rsid w:val="002E1BCD"/>
    <w:rsid w:val="002E1C56"/>
    <w:rsid w:val="002E1C66"/>
    <w:rsid w:val="002E1C86"/>
    <w:rsid w:val="002E1C8B"/>
    <w:rsid w:val="002E1CFD"/>
    <w:rsid w:val="002E1D92"/>
    <w:rsid w:val="002E1E20"/>
    <w:rsid w:val="002E1EA6"/>
    <w:rsid w:val="002E1EE4"/>
    <w:rsid w:val="002E1F4A"/>
    <w:rsid w:val="002E20D6"/>
    <w:rsid w:val="002E21B7"/>
    <w:rsid w:val="002E2250"/>
    <w:rsid w:val="002E22B3"/>
    <w:rsid w:val="002E2440"/>
    <w:rsid w:val="002E246D"/>
    <w:rsid w:val="002E24CC"/>
    <w:rsid w:val="002E259A"/>
    <w:rsid w:val="002E25EA"/>
    <w:rsid w:val="002E2659"/>
    <w:rsid w:val="002E27C8"/>
    <w:rsid w:val="002E28D0"/>
    <w:rsid w:val="002E2B13"/>
    <w:rsid w:val="002E2B2D"/>
    <w:rsid w:val="002E2B69"/>
    <w:rsid w:val="002E2BDC"/>
    <w:rsid w:val="002E2D09"/>
    <w:rsid w:val="002E2D53"/>
    <w:rsid w:val="002E2E17"/>
    <w:rsid w:val="002E2EB7"/>
    <w:rsid w:val="002E2EB8"/>
    <w:rsid w:val="002E303E"/>
    <w:rsid w:val="002E312B"/>
    <w:rsid w:val="002E3230"/>
    <w:rsid w:val="002E3238"/>
    <w:rsid w:val="002E3272"/>
    <w:rsid w:val="002E3283"/>
    <w:rsid w:val="002E3393"/>
    <w:rsid w:val="002E33F8"/>
    <w:rsid w:val="002E340A"/>
    <w:rsid w:val="002E363B"/>
    <w:rsid w:val="002E36FC"/>
    <w:rsid w:val="002E372D"/>
    <w:rsid w:val="002E3745"/>
    <w:rsid w:val="002E378E"/>
    <w:rsid w:val="002E37B0"/>
    <w:rsid w:val="002E37FF"/>
    <w:rsid w:val="002E38C0"/>
    <w:rsid w:val="002E390F"/>
    <w:rsid w:val="002E39EC"/>
    <w:rsid w:val="002E3A3A"/>
    <w:rsid w:val="002E3B98"/>
    <w:rsid w:val="002E3BC8"/>
    <w:rsid w:val="002E3C0C"/>
    <w:rsid w:val="002E3DF6"/>
    <w:rsid w:val="002E3EA8"/>
    <w:rsid w:val="002E3F7B"/>
    <w:rsid w:val="002E3FB8"/>
    <w:rsid w:val="002E406D"/>
    <w:rsid w:val="002E4088"/>
    <w:rsid w:val="002E42BA"/>
    <w:rsid w:val="002E42C0"/>
    <w:rsid w:val="002E43AC"/>
    <w:rsid w:val="002E44F7"/>
    <w:rsid w:val="002E44FF"/>
    <w:rsid w:val="002E45D3"/>
    <w:rsid w:val="002E4611"/>
    <w:rsid w:val="002E465E"/>
    <w:rsid w:val="002E4878"/>
    <w:rsid w:val="002E4913"/>
    <w:rsid w:val="002E4970"/>
    <w:rsid w:val="002E4BA8"/>
    <w:rsid w:val="002E4D1B"/>
    <w:rsid w:val="002E4D22"/>
    <w:rsid w:val="002E4E6F"/>
    <w:rsid w:val="002E4E70"/>
    <w:rsid w:val="002E4F85"/>
    <w:rsid w:val="002E4FEE"/>
    <w:rsid w:val="002E501D"/>
    <w:rsid w:val="002E5107"/>
    <w:rsid w:val="002E5130"/>
    <w:rsid w:val="002E51F8"/>
    <w:rsid w:val="002E521E"/>
    <w:rsid w:val="002E52EB"/>
    <w:rsid w:val="002E52F9"/>
    <w:rsid w:val="002E53C7"/>
    <w:rsid w:val="002E5403"/>
    <w:rsid w:val="002E5568"/>
    <w:rsid w:val="002E5574"/>
    <w:rsid w:val="002E56AD"/>
    <w:rsid w:val="002E578D"/>
    <w:rsid w:val="002E58D1"/>
    <w:rsid w:val="002E596E"/>
    <w:rsid w:val="002E5979"/>
    <w:rsid w:val="002E59FE"/>
    <w:rsid w:val="002E5A66"/>
    <w:rsid w:val="002E5ABD"/>
    <w:rsid w:val="002E5B34"/>
    <w:rsid w:val="002E5BD9"/>
    <w:rsid w:val="002E5CAA"/>
    <w:rsid w:val="002E5CEA"/>
    <w:rsid w:val="002E5D93"/>
    <w:rsid w:val="002E5D9B"/>
    <w:rsid w:val="002E5D9E"/>
    <w:rsid w:val="002E5E4D"/>
    <w:rsid w:val="002E5EC3"/>
    <w:rsid w:val="002E6084"/>
    <w:rsid w:val="002E608D"/>
    <w:rsid w:val="002E6156"/>
    <w:rsid w:val="002E6222"/>
    <w:rsid w:val="002E6227"/>
    <w:rsid w:val="002E62B4"/>
    <w:rsid w:val="002E62CE"/>
    <w:rsid w:val="002E635F"/>
    <w:rsid w:val="002E640F"/>
    <w:rsid w:val="002E64C5"/>
    <w:rsid w:val="002E64FF"/>
    <w:rsid w:val="002E660D"/>
    <w:rsid w:val="002E6736"/>
    <w:rsid w:val="002E679C"/>
    <w:rsid w:val="002E67B5"/>
    <w:rsid w:val="002E6B12"/>
    <w:rsid w:val="002E6B65"/>
    <w:rsid w:val="002E6BDC"/>
    <w:rsid w:val="002E6C48"/>
    <w:rsid w:val="002E6C52"/>
    <w:rsid w:val="002E6CCC"/>
    <w:rsid w:val="002E6CED"/>
    <w:rsid w:val="002E6DDB"/>
    <w:rsid w:val="002E6DE6"/>
    <w:rsid w:val="002E6FD6"/>
    <w:rsid w:val="002E71E0"/>
    <w:rsid w:val="002E74C8"/>
    <w:rsid w:val="002E7514"/>
    <w:rsid w:val="002E7602"/>
    <w:rsid w:val="002E764D"/>
    <w:rsid w:val="002E76D6"/>
    <w:rsid w:val="002E7779"/>
    <w:rsid w:val="002E77BA"/>
    <w:rsid w:val="002E78BD"/>
    <w:rsid w:val="002E79D9"/>
    <w:rsid w:val="002E7AC0"/>
    <w:rsid w:val="002E7E17"/>
    <w:rsid w:val="002E7EBC"/>
    <w:rsid w:val="002E7FAC"/>
    <w:rsid w:val="002F020C"/>
    <w:rsid w:val="002F02A3"/>
    <w:rsid w:val="002F03BA"/>
    <w:rsid w:val="002F03FC"/>
    <w:rsid w:val="002F054B"/>
    <w:rsid w:val="002F06E1"/>
    <w:rsid w:val="002F0829"/>
    <w:rsid w:val="002F08FC"/>
    <w:rsid w:val="002F0988"/>
    <w:rsid w:val="002F0AFB"/>
    <w:rsid w:val="002F0B98"/>
    <w:rsid w:val="002F0BD6"/>
    <w:rsid w:val="002F0C9B"/>
    <w:rsid w:val="002F0CE6"/>
    <w:rsid w:val="002F0F2B"/>
    <w:rsid w:val="002F0F36"/>
    <w:rsid w:val="002F0FC0"/>
    <w:rsid w:val="002F1054"/>
    <w:rsid w:val="002F1264"/>
    <w:rsid w:val="002F13E3"/>
    <w:rsid w:val="002F13F4"/>
    <w:rsid w:val="002F148E"/>
    <w:rsid w:val="002F159E"/>
    <w:rsid w:val="002F15B3"/>
    <w:rsid w:val="002F1671"/>
    <w:rsid w:val="002F1868"/>
    <w:rsid w:val="002F194A"/>
    <w:rsid w:val="002F1990"/>
    <w:rsid w:val="002F19BC"/>
    <w:rsid w:val="002F1A2F"/>
    <w:rsid w:val="002F1C15"/>
    <w:rsid w:val="002F1C3C"/>
    <w:rsid w:val="002F1D17"/>
    <w:rsid w:val="002F2156"/>
    <w:rsid w:val="002F224A"/>
    <w:rsid w:val="002F22A7"/>
    <w:rsid w:val="002F22BD"/>
    <w:rsid w:val="002F22F2"/>
    <w:rsid w:val="002F231F"/>
    <w:rsid w:val="002F23A2"/>
    <w:rsid w:val="002F23F1"/>
    <w:rsid w:val="002F24FE"/>
    <w:rsid w:val="002F25A7"/>
    <w:rsid w:val="002F2626"/>
    <w:rsid w:val="002F26FC"/>
    <w:rsid w:val="002F2792"/>
    <w:rsid w:val="002F2794"/>
    <w:rsid w:val="002F2836"/>
    <w:rsid w:val="002F291F"/>
    <w:rsid w:val="002F2965"/>
    <w:rsid w:val="002F2DF7"/>
    <w:rsid w:val="002F2E02"/>
    <w:rsid w:val="002F2E90"/>
    <w:rsid w:val="002F2ED2"/>
    <w:rsid w:val="002F308F"/>
    <w:rsid w:val="002F3163"/>
    <w:rsid w:val="002F3202"/>
    <w:rsid w:val="002F32FD"/>
    <w:rsid w:val="002F331A"/>
    <w:rsid w:val="002F339E"/>
    <w:rsid w:val="002F33D2"/>
    <w:rsid w:val="002F3417"/>
    <w:rsid w:val="002F3547"/>
    <w:rsid w:val="002F35C0"/>
    <w:rsid w:val="002F36ED"/>
    <w:rsid w:val="002F37DF"/>
    <w:rsid w:val="002F3805"/>
    <w:rsid w:val="002F38D6"/>
    <w:rsid w:val="002F3981"/>
    <w:rsid w:val="002F39AD"/>
    <w:rsid w:val="002F3B00"/>
    <w:rsid w:val="002F3B2A"/>
    <w:rsid w:val="002F3BA4"/>
    <w:rsid w:val="002F3CC9"/>
    <w:rsid w:val="002F3D20"/>
    <w:rsid w:val="002F3D44"/>
    <w:rsid w:val="002F3DD6"/>
    <w:rsid w:val="002F3E02"/>
    <w:rsid w:val="002F3E07"/>
    <w:rsid w:val="002F3ED3"/>
    <w:rsid w:val="002F40DD"/>
    <w:rsid w:val="002F40DE"/>
    <w:rsid w:val="002F415B"/>
    <w:rsid w:val="002F4385"/>
    <w:rsid w:val="002F4482"/>
    <w:rsid w:val="002F4487"/>
    <w:rsid w:val="002F45D7"/>
    <w:rsid w:val="002F4658"/>
    <w:rsid w:val="002F4728"/>
    <w:rsid w:val="002F48C8"/>
    <w:rsid w:val="002F4973"/>
    <w:rsid w:val="002F4A97"/>
    <w:rsid w:val="002F4AC5"/>
    <w:rsid w:val="002F4B7F"/>
    <w:rsid w:val="002F4C25"/>
    <w:rsid w:val="002F4C4A"/>
    <w:rsid w:val="002F4D0E"/>
    <w:rsid w:val="002F4E57"/>
    <w:rsid w:val="002F5083"/>
    <w:rsid w:val="002F52B7"/>
    <w:rsid w:val="002F533D"/>
    <w:rsid w:val="002F534B"/>
    <w:rsid w:val="002F53EF"/>
    <w:rsid w:val="002F5444"/>
    <w:rsid w:val="002F544C"/>
    <w:rsid w:val="002F5514"/>
    <w:rsid w:val="002F5551"/>
    <w:rsid w:val="002F5844"/>
    <w:rsid w:val="002F58CC"/>
    <w:rsid w:val="002F592E"/>
    <w:rsid w:val="002F5984"/>
    <w:rsid w:val="002F59B3"/>
    <w:rsid w:val="002F5A19"/>
    <w:rsid w:val="002F5C1D"/>
    <w:rsid w:val="002F5C2A"/>
    <w:rsid w:val="002F5D94"/>
    <w:rsid w:val="002F60A3"/>
    <w:rsid w:val="002F60D2"/>
    <w:rsid w:val="002F6328"/>
    <w:rsid w:val="002F6340"/>
    <w:rsid w:val="002F64C8"/>
    <w:rsid w:val="002F65D2"/>
    <w:rsid w:val="002F65DF"/>
    <w:rsid w:val="002F6647"/>
    <w:rsid w:val="002F669A"/>
    <w:rsid w:val="002F66D2"/>
    <w:rsid w:val="002F682E"/>
    <w:rsid w:val="002F68F1"/>
    <w:rsid w:val="002F69C4"/>
    <w:rsid w:val="002F69CA"/>
    <w:rsid w:val="002F6A3F"/>
    <w:rsid w:val="002F6C23"/>
    <w:rsid w:val="002F6D1C"/>
    <w:rsid w:val="002F6DC5"/>
    <w:rsid w:val="002F6E30"/>
    <w:rsid w:val="002F7042"/>
    <w:rsid w:val="002F70E6"/>
    <w:rsid w:val="002F70FA"/>
    <w:rsid w:val="002F712D"/>
    <w:rsid w:val="002F71BB"/>
    <w:rsid w:val="002F7219"/>
    <w:rsid w:val="002F7240"/>
    <w:rsid w:val="002F7246"/>
    <w:rsid w:val="002F73B9"/>
    <w:rsid w:val="002F747E"/>
    <w:rsid w:val="002F761A"/>
    <w:rsid w:val="002F7662"/>
    <w:rsid w:val="002F76C9"/>
    <w:rsid w:val="002F7711"/>
    <w:rsid w:val="002F7841"/>
    <w:rsid w:val="002F785C"/>
    <w:rsid w:val="002F785D"/>
    <w:rsid w:val="002F786F"/>
    <w:rsid w:val="002F7C10"/>
    <w:rsid w:val="002F7CE4"/>
    <w:rsid w:val="002F7D6B"/>
    <w:rsid w:val="002F7DD0"/>
    <w:rsid w:val="002F7E6F"/>
    <w:rsid w:val="002F7E7A"/>
    <w:rsid w:val="002F7F9F"/>
    <w:rsid w:val="0030010C"/>
    <w:rsid w:val="0030022F"/>
    <w:rsid w:val="00300401"/>
    <w:rsid w:val="00300520"/>
    <w:rsid w:val="0030055E"/>
    <w:rsid w:val="003005D7"/>
    <w:rsid w:val="0030065E"/>
    <w:rsid w:val="00300704"/>
    <w:rsid w:val="00300752"/>
    <w:rsid w:val="0030076B"/>
    <w:rsid w:val="003007E9"/>
    <w:rsid w:val="003008BF"/>
    <w:rsid w:val="00300938"/>
    <w:rsid w:val="003009C0"/>
    <w:rsid w:val="00300A2A"/>
    <w:rsid w:val="00300B70"/>
    <w:rsid w:val="00300CC4"/>
    <w:rsid w:val="00300D71"/>
    <w:rsid w:val="00300ECA"/>
    <w:rsid w:val="00300EE3"/>
    <w:rsid w:val="00300F42"/>
    <w:rsid w:val="0030112E"/>
    <w:rsid w:val="0030112F"/>
    <w:rsid w:val="00301373"/>
    <w:rsid w:val="003013D9"/>
    <w:rsid w:val="0030140A"/>
    <w:rsid w:val="003014B3"/>
    <w:rsid w:val="00301504"/>
    <w:rsid w:val="00301545"/>
    <w:rsid w:val="0030154E"/>
    <w:rsid w:val="003015CC"/>
    <w:rsid w:val="0030161D"/>
    <w:rsid w:val="00301636"/>
    <w:rsid w:val="0030166C"/>
    <w:rsid w:val="003016E4"/>
    <w:rsid w:val="003017CF"/>
    <w:rsid w:val="003018C6"/>
    <w:rsid w:val="003018E0"/>
    <w:rsid w:val="00301972"/>
    <w:rsid w:val="0030199A"/>
    <w:rsid w:val="00301B55"/>
    <w:rsid w:val="00301C86"/>
    <w:rsid w:val="00301EA3"/>
    <w:rsid w:val="003020FC"/>
    <w:rsid w:val="003022E8"/>
    <w:rsid w:val="00302362"/>
    <w:rsid w:val="00302522"/>
    <w:rsid w:val="003025FC"/>
    <w:rsid w:val="0030282F"/>
    <w:rsid w:val="00302929"/>
    <w:rsid w:val="0030298C"/>
    <w:rsid w:val="00302AC8"/>
    <w:rsid w:val="00302B8F"/>
    <w:rsid w:val="00302BB6"/>
    <w:rsid w:val="00302CB2"/>
    <w:rsid w:val="00302ED2"/>
    <w:rsid w:val="00302F9E"/>
    <w:rsid w:val="003032A1"/>
    <w:rsid w:val="0030331D"/>
    <w:rsid w:val="003033CC"/>
    <w:rsid w:val="00303657"/>
    <w:rsid w:val="00303707"/>
    <w:rsid w:val="003038C0"/>
    <w:rsid w:val="003038CE"/>
    <w:rsid w:val="00303932"/>
    <w:rsid w:val="0030395C"/>
    <w:rsid w:val="003039CF"/>
    <w:rsid w:val="00303A68"/>
    <w:rsid w:val="00303AC2"/>
    <w:rsid w:val="00303AE5"/>
    <w:rsid w:val="00303B3A"/>
    <w:rsid w:val="00303B96"/>
    <w:rsid w:val="00303BCC"/>
    <w:rsid w:val="00303CF3"/>
    <w:rsid w:val="00303D0D"/>
    <w:rsid w:val="00303D1B"/>
    <w:rsid w:val="00303D1D"/>
    <w:rsid w:val="00303D29"/>
    <w:rsid w:val="00303F25"/>
    <w:rsid w:val="003041E4"/>
    <w:rsid w:val="003042F7"/>
    <w:rsid w:val="003044B1"/>
    <w:rsid w:val="00304856"/>
    <w:rsid w:val="00304B64"/>
    <w:rsid w:val="00304B78"/>
    <w:rsid w:val="00304B8E"/>
    <w:rsid w:val="00304BBD"/>
    <w:rsid w:val="00304C34"/>
    <w:rsid w:val="00304CCD"/>
    <w:rsid w:val="00304DF1"/>
    <w:rsid w:val="00304FAE"/>
    <w:rsid w:val="00305028"/>
    <w:rsid w:val="00305083"/>
    <w:rsid w:val="003051C8"/>
    <w:rsid w:val="0030525B"/>
    <w:rsid w:val="003052B4"/>
    <w:rsid w:val="00305385"/>
    <w:rsid w:val="00305387"/>
    <w:rsid w:val="0030547A"/>
    <w:rsid w:val="003054E5"/>
    <w:rsid w:val="003056D0"/>
    <w:rsid w:val="003057F0"/>
    <w:rsid w:val="003059A6"/>
    <w:rsid w:val="00305A84"/>
    <w:rsid w:val="00305B23"/>
    <w:rsid w:val="00305C1E"/>
    <w:rsid w:val="00305C30"/>
    <w:rsid w:val="00305D63"/>
    <w:rsid w:val="00305DCD"/>
    <w:rsid w:val="00305ECA"/>
    <w:rsid w:val="00305F8B"/>
    <w:rsid w:val="0030602B"/>
    <w:rsid w:val="00306051"/>
    <w:rsid w:val="0030605B"/>
    <w:rsid w:val="00306396"/>
    <w:rsid w:val="0030644E"/>
    <w:rsid w:val="00306539"/>
    <w:rsid w:val="00306589"/>
    <w:rsid w:val="00306683"/>
    <w:rsid w:val="003066EB"/>
    <w:rsid w:val="00306884"/>
    <w:rsid w:val="003068D5"/>
    <w:rsid w:val="003068DA"/>
    <w:rsid w:val="003069DC"/>
    <w:rsid w:val="003069F9"/>
    <w:rsid w:val="00306A0F"/>
    <w:rsid w:val="00306A25"/>
    <w:rsid w:val="00306BD5"/>
    <w:rsid w:val="00306D0C"/>
    <w:rsid w:val="00306EF4"/>
    <w:rsid w:val="00306F84"/>
    <w:rsid w:val="00307045"/>
    <w:rsid w:val="00307092"/>
    <w:rsid w:val="003070DC"/>
    <w:rsid w:val="0030713C"/>
    <w:rsid w:val="003071BE"/>
    <w:rsid w:val="0030721A"/>
    <w:rsid w:val="0030728C"/>
    <w:rsid w:val="00307353"/>
    <w:rsid w:val="003073B1"/>
    <w:rsid w:val="003073E1"/>
    <w:rsid w:val="003074BC"/>
    <w:rsid w:val="003075F7"/>
    <w:rsid w:val="0030790E"/>
    <w:rsid w:val="003079B2"/>
    <w:rsid w:val="00307AB9"/>
    <w:rsid w:val="00307DDD"/>
    <w:rsid w:val="00307DE2"/>
    <w:rsid w:val="00307F23"/>
    <w:rsid w:val="00307FDD"/>
    <w:rsid w:val="0030ED24"/>
    <w:rsid w:val="00310038"/>
    <w:rsid w:val="00310082"/>
    <w:rsid w:val="003100DA"/>
    <w:rsid w:val="00310137"/>
    <w:rsid w:val="003101C7"/>
    <w:rsid w:val="003101CC"/>
    <w:rsid w:val="00310245"/>
    <w:rsid w:val="00310280"/>
    <w:rsid w:val="003102CD"/>
    <w:rsid w:val="003102E3"/>
    <w:rsid w:val="003104AF"/>
    <w:rsid w:val="0031050D"/>
    <w:rsid w:val="00310510"/>
    <w:rsid w:val="00310525"/>
    <w:rsid w:val="00310608"/>
    <w:rsid w:val="003106BA"/>
    <w:rsid w:val="00310728"/>
    <w:rsid w:val="0031080C"/>
    <w:rsid w:val="003108B3"/>
    <w:rsid w:val="003108E1"/>
    <w:rsid w:val="00310926"/>
    <w:rsid w:val="003109ED"/>
    <w:rsid w:val="00310A91"/>
    <w:rsid w:val="00310B34"/>
    <w:rsid w:val="00310B56"/>
    <w:rsid w:val="00310BB4"/>
    <w:rsid w:val="00310BD0"/>
    <w:rsid w:val="00310CC9"/>
    <w:rsid w:val="00310D14"/>
    <w:rsid w:val="00310D1F"/>
    <w:rsid w:val="00310E3A"/>
    <w:rsid w:val="00310EDF"/>
    <w:rsid w:val="00311111"/>
    <w:rsid w:val="0031111A"/>
    <w:rsid w:val="003111C0"/>
    <w:rsid w:val="003111C6"/>
    <w:rsid w:val="00311223"/>
    <w:rsid w:val="003112B1"/>
    <w:rsid w:val="00311303"/>
    <w:rsid w:val="0031136E"/>
    <w:rsid w:val="0031139B"/>
    <w:rsid w:val="00311421"/>
    <w:rsid w:val="0031145F"/>
    <w:rsid w:val="00311462"/>
    <w:rsid w:val="003114BC"/>
    <w:rsid w:val="003114BD"/>
    <w:rsid w:val="0031157C"/>
    <w:rsid w:val="0031162F"/>
    <w:rsid w:val="0031179C"/>
    <w:rsid w:val="003117A4"/>
    <w:rsid w:val="00311A3B"/>
    <w:rsid w:val="00311AC4"/>
    <w:rsid w:val="00311B61"/>
    <w:rsid w:val="00311BD4"/>
    <w:rsid w:val="00311C8C"/>
    <w:rsid w:val="00311EE1"/>
    <w:rsid w:val="00311F20"/>
    <w:rsid w:val="00311FE9"/>
    <w:rsid w:val="00311FF5"/>
    <w:rsid w:val="00312084"/>
    <w:rsid w:val="0031216E"/>
    <w:rsid w:val="003121B0"/>
    <w:rsid w:val="003121E9"/>
    <w:rsid w:val="003122D2"/>
    <w:rsid w:val="00312384"/>
    <w:rsid w:val="0031257F"/>
    <w:rsid w:val="003125DA"/>
    <w:rsid w:val="003125FC"/>
    <w:rsid w:val="00312651"/>
    <w:rsid w:val="003126A5"/>
    <w:rsid w:val="003127B0"/>
    <w:rsid w:val="003127BC"/>
    <w:rsid w:val="00312878"/>
    <w:rsid w:val="0031289E"/>
    <w:rsid w:val="00312A83"/>
    <w:rsid w:val="00312AE9"/>
    <w:rsid w:val="00312CA1"/>
    <w:rsid w:val="00312D8F"/>
    <w:rsid w:val="00312E8F"/>
    <w:rsid w:val="00312FFD"/>
    <w:rsid w:val="00313079"/>
    <w:rsid w:val="003130CC"/>
    <w:rsid w:val="00313348"/>
    <w:rsid w:val="003133A9"/>
    <w:rsid w:val="003133F3"/>
    <w:rsid w:val="0031357E"/>
    <w:rsid w:val="0031359E"/>
    <w:rsid w:val="003136B9"/>
    <w:rsid w:val="00313841"/>
    <w:rsid w:val="003139A2"/>
    <w:rsid w:val="00313A17"/>
    <w:rsid w:val="00313A19"/>
    <w:rsid w:val="00313A1E"/>
    <w:rsid w:val="00313A72"/>
    <w:rsid w:val="00313E08"/>
    <w:rsid w:val="00313E5B"/>
    <w:rsid w:val="00313F38"/>
    <w:rsid w:val="00314082"/>
    <w:rsid w:val="003140DC"/>
    <w:rsid w:val="00314132"/>
    <w:rsid w:val="00314205"/>
    <w:rsid w:val="0031443C"/>
    <w:rsid w:val="00314443"/>
    <w:rsid w:val="00314585"/>
    <w:rsid w:val="003145D4"/>
    <w:rsid w:val="003146AD"/>
    <w:rsid w:val="003146AE"/>
    <w:rsid w:val="003146B0"/>
    <w:rsid w:val="003146B1"/>
    <w:rsid w:val="003146FD"/>
    <w:rsid w:val="00314A00"/>
    <w:rsid w:val="00314A8A"/>
    <w:rsid w:val="00314CB0"/>
    <w:rsid w:val="00314E58"/>
    <w:rsid w:val="00314F38"/>
    <w:rsid w:val="00315178"/>
    <w:rsid w:val="0031529F"/>
    <w:rsid w:val="003152F6"/>
    <w:rsid w:val="00315311"/>
    <w:rsid w:val="00315334"/>
    <w:rsid w:val="0031540D"/>
    <w:rsid w:val="0031547C"/>
    <w:rsid w:val="0031550B"/>
    <w:rsid w:val="00315580"/>
    <w:rsid w:val="0031559B"/>
    <w:rsid w:val="003155D3"/>
    <w:rsid w:val="003155F5"/>
    <w:rsid w:val="00315C17"/>
    <w:rsid w:val="00315D67"/>
    <w:rsid w:val="00315D94"/>
    <w:rsid w:val="00315E32"/>
    <w:rsid w:val="00315E98"/>
    <w:rsid w:val="00315EC7"/>
    <w:rsid w:val="00315EF1"/>
    <w:rsid w:val="0031600E"/>
    <w:rsid w:val="00316037"/>
    <w:rsid w:val="0031604D"/>
    <w:rsid w:val="003160C9"/>
    <w:rsid w:val="00316328"/>
    <w:rsid w:val="003163A4"/>
    <w:rsid w:val="0031643C"/>
    <w:rsid w:val="003165E7"/>
    <w:rsid w:val="0031660B"/>
    <w:rsid w:val="00316616"/>
    <w:rsid w:val="00316664"/>
    <w:rsid w:val="00316682"/>
    <w:rsid w:val="003166FF"/>
    <w:rsid w:val="003167EB"/>
    <w:rsid w:val="00316912"/>
    <w:rsid w:val="00316922"/>
    <w:rsid w:val="003169B2"/>
    <w:rsid w:val="00316C84"/>
    <w:rsid w:val="00316CC3"/>
    <w:rsid w:val="00316D12"/>
    <w:rsid w:val="00316DD8"/>
    <w:rsid w:val="00316DE9"/>
    <w:rsid w:val="00316E50"/>
    <w:rsid w:val="00316EC1"/>
    <w:rsid w:val="00316FFE"/>
    <w:rsid w:val="003172BD"/>
    <w:rsid w:val="003173D8"/>
    <w:rsid w:val="003173DD"/>
    <w:rsid w:val="0031753A"/>
    <w:rsid w:val="00317670"/>
    <w:rsid w:val="00317674"/>
    <w:rsid w:val="00317699"/>
    <w:rsid w:val="003176FB"/>
    <w:rsid w:val="00317720"/>
    <w:rsid w:val="0031773F"/>
    <w:rsid w:val="00317825"/>
    <w:rsid w:val="00317840"/>
    <w:rsid w:val="003178FD"/>
    <w:rsid w:val="00317939"/>
    <w:rsid w:val="003179A4"/>
    <w:rsid w:val="00317A9E"/>
    <w:rsid w:val="00317B44"/>
    <w:rsid w:val="00317C28"/>
    <w:rsid w:val="00317E65"/>
    <w:rsid w:val="00317EFA"/>
    <w:rsid w:val="00317F63"/>
    <w:rsid w:val="00317FFD"/>
    <w:rsid w:val="003200D0"/>
    <w:rsid w:val="003200DE"/>
    <w:rsid w:val="00320151"/>
    <w:rsid w:val="00320294"/>
    <w:rsid w:val="003202C0"/>
    <w:rsid w:val="00320468"/>
    <w:rsid w:val="0032047E"/>
    <w:rsid w:val="003205FE"/>
    <w:rsid w:val="003205FF"/>
    <w:rsid w:val="003206D4"/>
    <w:rsid w:val="00320763"/>
    <w:rsid w:val="0032080B"/>
    <w:rsid w:val="0032099E"/>
    <w:rsid w:val="00320AC0"/>
    <w:rsid w:val="00320B62"/>
    <w:rsid w:val="00320C7D"/>
    <w:rsid w:val="00320CBD"/>
    <w:rsid w:val="00320D40"/>
    <w:rsid w:val="00320E65"/>
    <w:rsid w:val="003210EB"/>
    <w:rsid w:val="0032110D"/>
    <w:rsid w:val="00321127"/>
    <w:rsid w:val="0032124D"/>
    <w:rsid w:val="003212A7"/>
    <w:rsid w:val="00321354"/>
    <w:rsid w:val="003213C0"/>
    <w:rsid w:val="00321476"/>
    <w:rsid w:val="00321488"/>
    <w:rsid w:val="00321489"/>
    <w:rsid w:val="003214CC"/>
    <w:rsid w:val="003214E5"/>
    <w:rsid w:val="003215BF"/>
    <w:rsid w:val="00321645"/>
    <w:rsid w:val="0032172E"/>
    <w:rsid w:val="00321820"/>
    <w:rsid w:val="00321822"/>
    <w:rsid w:val="0032185B"/>
    <w:rsid w:val="0032193B"/>
    <w:rsid w:val="00321BE5"/>
    <w:rsid w:val="00321CBB"/>
    <w:rsid w:val="00321CC3"/>
    <w:rsid w:val="00321DB6"/>
    <w:rsid w:val="00321E2C"/>
    <w:rsid w:val="00321EAD"/>
    <w:rsid w:val="00321F84"/>
    <w:rsid w:val="00321FC1"/>
    <w:rsid w:val="00321FD9"/>
    <w:rsid w:val="00322077"/>
    <w:rsid w:val="00322089"/>
    <w:rsid w:val="003220F0"/>
    <w:rsid w:val="00322110"/>
    <w:rsid w:val="00322111"/>
    <w:rsid w:val="00322143"/>
    <w:rsid w:val="003221C1"/>
    <w:rsid w:val="00322384"/>
    <w:rsid w:val="00322401"/>
    <w:rsid w:val="00322423"/>
    <w:rsid w:val="00322478"/>
    <w:rsid w:val="003224A8"/>
    <w:rsid w:val="00322545"/>
    <w:rsid w:val="003225C2"/>
    <w:rsid w:val="00322620"/>
    <w:rsid w:val="0032266A"/>
    <w:rsid w:val="0032268B"/>
    <w:rsid w:val="003228AB"/>
    <w:rsid w:val="003228DF"/>
    <w:rsid w:val="003229AF"/>
    <w:rsid w:val="00322B37"/>
    <w:rsid w:val="00322DEC"/>
    <w:rsid w:val="00322F5E"/>
    <w:rsid w:val="00322F68"/>
    <w:rsid w:val="00323141"/>
    <w:rsid w:val="003232D7"/>
    <w:rsid w:val="0032337F"/>
    <w:rsid w:val="00323424"/>
    <w:rsid w:val="003234DB"/>
    <w:rsid w:val="0032381C"/>
    <w:rsid w:val="00323889"/>
    <w:rsid w:val="003239C6"/>
    <w:rsid w:val="003239CA"/>
    <w:rsid w:val="00323B24"/>
    <w:rsid w:val="00323B88"/>
    <w:rsid w:val="00323B8A"/>
    <w:rsid w:val="00323B99"/>
    <w:rsid w:val="00323C98"/>
    <w:rsid w:val="00323D40"/>
    <w:rsid w:val="00323D52"/>
    <w:rsid w:val="00323E7E"/>
    <w:rsid w:val="00323F89"/>
    <w:rsid w:val="00323FD3"/>
    <w:rsid w:val="0032400E"/>
    <w:rsid w:val="00324192"/>
    <w:rsid w:val="003242CF"/>
    <w:rsid w:val="00324315"/>
    <w:rsid w:val="0032437E"/>
    <w:rsid w:val="00324404"/>
    <w:rsid w:val="00324467"/>
    <w:rsid w:val="003244AF"/>
    <w:rsid w:val="00324518"/>
    <w:rsid w:val="00324666"/>
    <w:rsid w:val="003246C9"/>
    <w:rsid w:val="00324704"/>
    <w:rsid w:val="003248FF"/>
    <w:rsid w:val="00324A81"/>
    <w:rsid w:val="00324B77"/>
    <w:rsid w:val="00324C52"/>
    <w:rsid w:val="00324D06"/>
    <w:rsid w:val="00324E14"/>
    <w:rsid w:val="00324E22"/>
    <w:rsid w:val="00324F04"/>
    <w:rsid w:val="00324F37"/>
    <w:rsid w:val="0032502F"/>
    <w:rsid w:val="00325175"/>
    <w:rsid w:val="00325182"/>
    <w:rsid w:val="003251D4"/>
    <w:rsid w:val="0032522B"/>
    <w:rsid w:val="0032528E"/>
    <w:rsid w:val="00325427"/>
    <w:rsid w:val="00325531"/>
    <w:rsid w:val="00325536"/>
    <w:rsid w:val="0032578B"/>
    <w:rsid w:val="003257BA"/>
    <w:rsid w:val="00325853"/>
    <w:rsid w:val="003258BF"/>
    <w:rsid w:val="003258E7"/>
    <w:rsid w:val="00325963"/>
    <w:rsid w:val="003259D1"/>
    <w:rsid w:val="003259FB"/>
    <w:rsid w:val="00325B24"/>
    <w:rsid w:val="00325B6C"/>
    <w:rsid w:val="00325C31"/>
    <w:rsid w:val="00325D1F"/>
    <w:rsid w:val="00325D24"/>
    <w:rsid w:val="00325D25"/>
    <w:rsid w:val="00325D86"/>
    <w:rsid w:val="00325DBC"/>
    <w:rsid w:val="00325DE0"/>
    <w:rsid w:val="00325E01"/>
    <w:rsid w:val="00325F6B"/>
    <w:rsid w:val="00326006"/>
    <w:rsid w:val="0032601E"/>
    <w:rsid w:val="00326306"/>
    <w:rsid w:val="00326370"/>
    <w:rsid w:val="003268AF"/>
    <w:rsid w:val="00326B81"/>
    <w:rsid w:val="00326C0E"/>
    <w:rsid w:val="00326C19"/>
    <w:rsid w:val="00326DBC"/>
    <w:rsid w:val="00327133"/>
    <w:rsid w:val="0032714D"/>
    <w:rsid w:val="003271E0"/>
    <w:rsid w:val="00327580"/>
    <w:rsid w:val="00327604"/>
    <w:rsid w:val="00327650"/>
    <w:rsid w:val="00327722"/>
    <w:rsid w:val="0032788E"/>
    <w:rsid w:val="00327890"/>
    <w:rsid w:val="0032792C"/>
    <w:rsid w:val="00327A6B"/>
    <w:rsid w:val="00327B33"/>
    <w:rsid w:val="00327DF1"/>
    <w:rsid w:val="00327E4C"/>
    <w:rsid w:val="00327E8C"/>
    <w:rsid w:val="00327F02"/>
    <w:rsid w:val="00327F4D"/>
    <w:rsid w:val="00327FB7"/>
    <w:rsid w:val="00330127"/>
    <w:rsid w:val="0033016A"/>
    <w:rsid w:val="003301AE"/>
    <w:rsid w:val="0033025C"/>
    <w:rsid w:val="00330269"/>
    <w:rsid w:val="00330414"/>
    <w:rsid w:val="00330423"/>
    <w:rsid w:val="003304C4"/>
    <w:rsid w:val="0033054C"/>
    <w:rsid w:val="003305DA"/>
    <w:rsid w:val="00330762"/>
    <w:rsid w:val="00330901"/>
    <w:rsid w:val="00330A15"/>
    <w:rsid w:val="00330AF0"/>
    <w:rsid w:val="00330BC9"/>
    <w:rsid w:val="00330C81"/>
    <w:rsid w:val="00330EDE"/>
    <w:rsid w:val="00330EF3"/>
    <w:rsid w:val="00330F77"/>
    <w:rsid w:val="0033116E"/>
    <w:rsid w:val="00331201"/>
    <w:rsid w:val="00331371"/>
    <w:rsid w:val="003313DF"/>
    <w:rsid w:val="00331416"/>
    <w:rsid w:val="00331421"/>
    <w:rsid w:val="00331877"/>
    <w:rsid w:val="00331915"/>
    <w:rsid w:val="00331A1A"/>
    <w:rsid w:val="00331BEC"/>
    <w:rsid w:val="00331C22"/>
    <w:rsid w:val="00331C6D"/>
    <w:rsid w:val="00331CAE"/>
    <w:rsid w:val="00331DC9"/>
    <w:rsid w:val="00331DDD"/>
    <w:rsid w:val="00331DFA"/>
    <w:rsid w:val="00331EF9"/>
    <w:rsid w:val="00331F65"/>
    <w:rsid w:val="00331FBD"/>
    <w:rsid w:val="00332009"/>
    <w:rsid w:val="00332026"/>
    <w:rsid w:val="003320DC"/>
    <w:rsid w:val="00332262"/>
    <w:rsid w:val="0033226E"/>
    <w:rsid w:val="0033228B"/>
    <w:rsid w:val="00332363"/>
    <w:rsid w:val="003324F4"/>
    <w:rsid w:val="0033251F"/>
    <w:rsid w:val="00332550"/>
    <w:rsid w:val="003325CB"/>
    <w:rsid w:val="0033262B"/>
    <w:rsid w:val="0033262E"/>
    <w:rsid w:val="00332665"/>
    <w:rsid w:val="0033272D"/>
    <w:rsid w:val="003327CB"/>
    <w:rsid w:val="00332823"/>
    <w:rsid w:val="003328E1"/>
    <w:rsid w:val="0033293F"/>
    <w:rsid w:val="00332CEF"/>
    <w:rsid w:val="00332DF2"/>
    <w:rsid w:val="00332E0D"/>
    <w:rsid w:val="00332E38"/>
    <w:rsid w:val="0033302D"/>
    <w:rsid w:val="003332BF"/>
    <w:rsid w:val="003332C2"/>
    <w:rsid w:val="003334DD"/>
    <w:rsid w:val="00333633"/>
    <w:rsid w:val="00333751"/>
    <w:rsid w:val="003338F8"/>
    <w:rsid w:val="00333A4F"/>
    <w:rsid w:val="00333B08"/>
    <w:rsid w:val="00333BF1"/>
    <w:rsid w:val="00333C10"/>
    <w:rsid w:val="00333E31"/>
    <w:rsid w:val="00333E79"/>
    <w:rsid w:val="00333ED5"/>
    <w:rsid w:val="00333F91"/>
    <w:rsid w:val="00333FCD"/>
    <w:rsid w:val="00334038"/>
    <w:rsid w:val="00334087"/>
    <w:rsid w:val="00334095"/>
    <w:rsid w:val="003340C2"/>
    <w:rsid w:val="00334135"/>
    <w:rsid w:val="003341D4"/>
    <w:rsid w:val="0033423C"/>
    <w:rsid w:val="003342A9"/>
    <w:rsid w:val="0033430C"/>
    <w:rsid w:val="00334398"/>
    <w:rsid w:val="00334418"/>
    <w:rsid w:val="0033447D"/>
    <w:rsid w:val="00334862"/>
    <w:rsid w:val="00334866"/>
    <w:rsid w:val="0033487D"/>
    <w:rsid w:val="00334935"/>
    <w:rsid w:val="0033494A"/>
    <w:rsid w:val="003349CC"/>
    <w:rsid w:val="00334A39"/>
    <w:rsid w:val="00334A98"/>
    <w:rsid w:val="00334ABE"/>
    <w:rsid w:val="00334B49"/>
    <w:rsid w:val="00334D92"/>
    <w:rsid w:val="003350B9"/>
    <w:rsid w:val="00335344"/>
    <w:rsid w:val="003353AD"/>
    <w:rsid w:val="00335455"/>
    <w:rsid w:val="00335480"/>
    <w:rsid w:val="003354D3"/>
    <w:rsid w:val="00335508"/>
    <w:rsid w:val="00335556"/>
    <w:rsid w:val="003355E1"/>
    <w:rsid w:val="003356EA"/>
    <w:rsid w:val="00335961"/>
    <w:rsid w:val="003359D7"/>
    <w:rsid w:val="00335A15"/>
    <w:rsid w:val="00335AE0"/>
    <w:rsid w:val="00335B2F"/>
    <w:rsid w:val="00335C5F"/>
    <w:rsid w:val="00335D9F"/>
    <w:rsid w:val="00335DBE"/>
    <w:rsid w:val="00335E51"/>
    <w:rsid w:val="00335E73"/>
    <w:rsid w:val="00335F40"/>
    <w:rsid w:val="00335F7D"/>
    <w:rsid w:val="00336170"/>
    <w:rsid w:val="00336191"/>
    <w:rsid w:val="00336199"/>
    <w:rsid w:val="003361A4"/>
    <w:rsid w:val="003361CC"/>
    <w:rsid w:val="00336200"/>
    <w:rsid w:val="00336203"/>
    <w:rsid w:val="0033621B"/>
    <w:rsid w:val="00336229"/>
    <w:rsid w:val="00336358"/>
    <w:rsid w:val="003364BF"/>
    <w:rsid w:val="003364F6"/>
    <w:rsid w:val="0033655D"/>
    <w:rsid w:val="00336616"/>
    <w:rsid w:val="00336677"/>
    <w:rsid w:val="0033667A"/>
    <w:rsid w:val="00336757"/>
    <w:rsid w:val="0033677C"/>
    <w:rsid w:val="00336843"/>
    <w:rsid w:val="003368C3"/>
    <w:rsid w:val="00336908"/>
    <w:rsid w:val="00336D20"/>
    <w:rsid w:val="00336D54"/>
    <w:rsid w:val="00336D7E"/>
    <w:rsid w:val="00336E02"/>
    <w:rsid w:val="00336F14"/>
    <w:rsid w:val="00336FF5"/>
    <w:rsid w:val="00337011"/>
    <w:rsid w:val="003371A8"/>
    <w:rsid w:val="00337255"/>
    <w:rsid w:val="003372F5"/>
    <w:rsid w:val="0033731E"/>
    <w:rsid w:val="0033732A"/>
    <w:rsid w:val="003373BA"/>
    <w:rsid w:val="0033754B"/>
    <w:rsid w:val="003376B7"/>
    <w:rsid w:val="00337776"/>
    <w:rsid w:val="003378BA"/>
    <w:rsid w:val="003378FD"/>
    <w:rsid w:val="00337971"/>
    <w:rsid w:val="00337A17"/>
    <w:rsid w:val="00337AF1"/>
    <w:rsid w:val="00337B80"/>
    <w:rsid w:val="00337BF4"/>
    <w:rsid w:val="00337C0F"/>
    <w:rsid w:val="00337DE9"/>
    <w:rsid w:val="00337DFD"/>
    <w:rsid w:val="00337E9E"/>
    <w:rsid w:val="00337F96"/>
    <w:rsid w:val="0034004D"/>
    <w:rsid w:val="00340132"/>
    <w:rsid w:val="0034016A"/>
    <w:rsid w:val="003401A0"/>
    <w:rsid w:val="003401F4"/>
    <w:rsid w:val="0034028C"/>
    <w:rsid w:val="00340317"/>
    <w:rsid w:val="003403B2"/>
    <w:rsid w:val="003404B1"/>
    <w:rsid w:val="0034054D"/>
    <w:rsid w:val="0034057F"/>
    <w:rsid w:val="0034065B"/>
    <w:rsid w:val="00340663"/>
    <w:rsid w:val="003406AF"/>
    <w:rsid w:val="0034084F"/>
    <w:rsid w:val="00340A4F"/>
    <w:rsid w:val="00340A92"/>
    <w:rsid w:val="00340C9C"/>
    <w:rsid w:val="00340D2B"/>
    <w:rsid w:val="00340E3F"/>
    <w:rsid w:val="00340EFB"/>
    <w:rsid w:val="0034101C"/>
    <w:rsid w:val="003411CB"/>
    <w:rsid w:val="0034123C"/>
    <w:rsid w:val="003412D7"/>
    <w:rsid w:val="003412F7"/>
    <w:rsid w:val="00341304"/>
    <w:rsid w:val="0034134C"/>
    <w:rsid w:val="003413FA"/>
    <w:rsid w:val="00341458"/>
    <w:rsid w:val="003414D8"/>
    <w:rsid w:val="00341607"/>
    <w:rsid w:val="003416A2"/>
    <w:rsid w:val="003416C0"/>
    <w:rsid w:val="00341934"/>
    <w:rsid w:val="0034194A"/>
    <w:rsid w:val="00341951"/>
    <w:rsid w:val="0034199C"/>
    <w:rsid w:val="00341AA5"/>
    <w:rsid w:val="00341B3E"/>
    <w:rsid w:val="00341B9E"/>
    <w:rsid w:val="00341C27"/>
    <w:rsid w:val="00341C71"/>
    <w:rsid w:val="00341CE0"/>
    <w:rsid w:val="00341D61"/>
    <w:rsid w:val="00341DBB"/>
    <w:rsid w:val="003421BD"/>
    <w:rsid w:val="003422C6"/>
    <w:rsid w:val="003422DA"/>
    <w:rsid w:val="0034237E"/>
    <w:rsid w:val="0034256F"/>
    <w:rsid w:val="003426AA"/>
    <w:rsid w:val="003428A4"/>
    <w:rsid w:val="0034294A"/>
    <w:rsid w:val="00342959"/>
    <w:rsid w:val="003429B4"/>
    <w:rsid w:val="00342A77"/>
    <w:rsid w:val="00342C0B"/>
    <w:rsid w:val="00342C34"/>
    <w:rsid w:val="00342C53"/>
    <w:rsid w:val="00342C78"/>
    <w:rsid w:val="00342D16"/>
    <w:rsid w:val="00342D23"/>
    <w:rsid w:val="00342F0C"/>
    <w:rsid w:val="00342F18"/>
    <w:rsid w:val="00342F68"/>
    <w:rsid w:val="00342F89"/>
    <w:rsid w:val="003431BA"/>
    <w:rsid w:val="0034324C"/>
    <w:rsid w:val="003434E7"/>
    <w:rsid w:val="003435B4"/>
    <w:rsid w:val="00343816"/>
    <w:rsid w:val="00343882"/>
    <w:rsid w:val="003438B8"/>
    <w:rsid w:val="003439B4"/>
    <w:rsid w:val="00343A0B"/>
    <w:rsid w:val="00343A4B"/>
    <w:rsid w:val="00343AD3"/>
    <w:rsid w:val="00343AE2"/>
    <w:rsid w:val="00343D35"/>
    <w:rsid w:val="00343D78"/>
    <w:rsid w:val="00343DA0"/>
    <w:rsid w:val="00343DF4"/>
    <w:rsid w:val="00343E46"/>
    <w:rsid w:val="00343F16"/>
    <w:rsid w:val="00343F74"/>
    <w:rsid w:val="00344047"/>
    <w:rsid w:val="0034408F"/>
    <w:rsid w:val="00344234"/>
    <w:rsid w:val="00344340"/>
    <w:rsid w:val="003443B4"/>
    <w:rsid w:val="003443F4"/>
    <w:rsid w:val="003446BF"/>
    <w:rsid w:val="00344793"/>
    <w:rsid w:val="0034481A"/>
    <w:rsid w:val="00344846"/>
    <w:rsid w:val="003449BF"/>
    <w:rsid w:val="00344BA9"/>
    <w:rsid w:val="00344C72"/>
    <w:rsid w:val="00344CC2"/>
    <w:rsid w:val="00344D36"/>
    <w:rsid w:val="00344DF8"/>
    <w:rsid w:val="00344EDA"/>
    <w:rsid w:val="00344F47"/>
    <w:rsid w:val="00344FC2"/>
    <w:rsid w:val="003451BC"/>
    <w:rsid w:val="003451DD"/>
    <w:rsid w:val="003451E2"/>
    <w:rsid w:val="0034524F"/>
    <w:rsid w:val="00345254"/>
    <w:rsid w:val="0034526A"/>
    <w:rsid w:val="00345532"/>
    <w:rsid w:val="00345542"/>
    <w:rsid w:val="00345628"/>
    <w:rsid w:val="003456F1"/>
    <w:rsid w:val="00345746"/>
    <w:rsid w:val="003457A8"/>
    <w:rsid w:val="003457D5"/>
    <w:rsid w:val="003458BF"/>
    <w:rsid w:val="00345AA9"/>
    <w:rsid w:val="00345B96"/>
    <w:rsid w:val="00345C2D"/>
    <w:rsid w:val="00345CEB"/>
    <w:rsid w:val="00345D6C"/>
    <w:rsid w:val="00345E41"/>
    <w:rsid w:val="00345E56"/>
    <w:rsid w:val="00345EB2"/>
    <w:rsid w:val="00345EC9"/>
    <w:rsid w:val="00345F6A"/>
    <w:rsid w:val="00346020"/>
    <w:rsid w:val="003460C6"/>
    <w:rsid w:val="003460F0"/>
    <w:rsid w:val="003462A7"/>
    <w:rsid w:val="003463C1"/>
    <w:rsid w:val="003466DD"/>
    <w:rsid w:val="00346713"/>
    <w:rsid w:val="003467E5"/>
    <w:rsid w:val="00346806"/>
    <w:rsid w:val="003468C4"/>
    <w:rsid w:val="003469F4"/>
    <w:rsid w:val="00346A2E"/>
    <w:rsid w:val="00346B79"/>
    <w:rsid w:val="00346DA2"/>
    <w:rsid w:val="00346F51"/>
    <w:rsid w:val="00347071"/>
    <w:rsid w:val="00347082"/>
    <w:rsid w:val="003470D8"/>
    <w:rsid w:val="003472EF"/>
    <w:rsid w:val="003473C9"/>
    <w:rsid w:val="0034741A"/>
    <w:rsid w:val="003475C8"/>
    <w:rsid w:val="00347613"/>
    <w:rsid w:val="00347763"/>
    <w:rsid w:val="003477AC"/>
    <w:rsid w:val="003477DC"/>
    <w:rsid w:val="00347837"/>
    <w:rsid w:val="003478A2"/>
    <w:rsid w:val="003478FF"/>
    <w:rsid w:val="00347985"/>
    <w:rsid w:val="003479D2"/>
    <w:rsid w:val="00347AA9"/>
    <w:rsid w:val="00347AB3"/>
    <w:rsid w:val="00347B7C"/>
    <w:rsid w:val="00347BD9"/>
    <w:rsid w:val="00347C58"/>
    <w:rsid w:val="00347CD0"/>
    <w:rsid w:val="00347D19"/>
    <w:rsid w:val="00347D55"/>
    <w:rsid w:val="00347D69"/>
    <w:rsid w:val="00347D6E"/>
    <w:rsid w:val="00347E39"/>
    <w:rsid w:val="00347EBC"/>
    <w:rsid w:val="003500A4"/>
    <w:rsid w:val="003500DD"/>
    <w:rsid w:val="00350178"/>
    <w:rsid w:val="003501B8"/>
    <w:rsid w:val="00350239"/>
    <w:rsid w:val="0035028F"/>
    <w:rsid w:val="003502BF"/>
    <w:rsid w:val="0035043B"/>
    <w:rsid w:val="0035058C"/>
    <w:rsid w:val="00350802"/>
    <w:rsid w:val="00350A41"/>
    <w:rsid w:val="00350A89"/>
    <w:rsid w:val="00350C37"/>
    <w:rsid w:val="00350D89"/>
    <w:rsid w:val="00350DDA"/>
    <w:rsid w:val="00350DE9"/>
    <w:rsid w:val="00350FA2"/>
    <w:rsid w:val="00351074"/>
    <w:rsid w:val="00351097"/>
    <w:rsid w:val="003513D5"/>
    <w:rsid w:val="00351463"/>
    <w:rsid w:val="00351724"/>
    <w:rsid w:val="003517A1"/>
    <w:rsid w:val="003517E1"/>
    <w:rsid w:val="0035181B"/>
    <w:rsid w:val="0035197D"/>
    <w:rsid w:val="00351A52"/>
    <w:rsid w:val="00351AEB"/>
    <w:rsid w:val="00351C50"/>
    <w:rsid w:val="00351C56"/>
    <w:rsid w:val="00351CC1"/>
    <w:rsid w:val="00351D86"/>
    <w:rsid w:val="00351DD9"/>
    <w:rsid w:val="00351DF7"/>
    <w:rsid w:val="00351FE2"/>
    <w:rsid w:val="00352039"/>
    <w:rsid w:val="003520C0"/>
    <w:rsid w:val="003520E1"/>
    <w:rsid w:val="00352445"/>
    <w:rsid w:val="00352603"/>
    <w:rsid w:val="0035266B"/>
    <w:rsid w:val="00352712"/>
    <w:rsid w:val="003527B4"/>
    <w:rsid w:val="003527E9"/>
    <w:rsid w:val="00352836"/>
    <w:rsid w:val="003528B6"/>
    <w:rsid w:val="003528EB"/>
    <w:rsid w:val="003529CA"/>
    <w:rsid w:val="00352A94"/>
    <w:rsid w:val="00352AC9"/>
    <w:rsid w:val="00352C38"/>
    <w:rsid w:val="00352C3A"/>
    <w:rsid w:val="00352C58"/>
    <w:rsid w:val="00352D4E"/>
    <w:rsid w:val="00352EA5"/>
    <w:rsid w:val="00352F72"/>
    <w:rsid w:val="003530BA"/>
    <w:rsid w:val="00353225"/>
    <w:rsid w:val="003532F0"/>
    <w:rsid w:val="003533EC"/>
    <w:rsid w:val="00353495"/>
    <w:rsid w:val="003534E4"/>
    <w:rsid w:val="00353512"/>
    <w:rsid w:val="003535C1"/>
    <w:rsid w:val="00353788"/>
    <w:rsid w:val="003537E1"/>
    <w:rsid w:val="00353830"/>
    <w:rsid w:val="0035393A"/>
    <w:rsid w:val="00353A50"/>
    <w:rsid w:val="00353A8C"/>
    <w:rsid w:val="00353B0C"/>
    <w:rsid w:val="00353B2E"/>
    <w:rsid w:val="00353CD5"/>
    <w:rsid w:val="00353D0D"/>
    <w:rsid w:val="00353D40"/>
    <w:rsid w:val="00353E64"/>
    <w:rsid w:val="00353F35"/>
    <w:rsid w:val="00353FE7"/>
    <w:rsid w:val="003540E1"/>
    <w:rsid w:val="003540E5"/>
    <w:rsid w:val="003541C6"/>
    <w:rsid w:val="0035422D"/>
    <w:rsid w:val="00354252"/>
    <w:rsid w:val="00354257"/>
    <w:rsid w:val="00354341"/>
    <w:rsid w:val="00354396"/>
    <w:rsid w:val="003543A3"/>
    <w:rsid w:val="00354444"/>
    <w:rsid w:val="0035459B"/>
    <w:rsid w:val="0035466A"/>
    <w:rsid w:val="003546A0"/>
    <w:rsid w:val="00354734"/>
    <w:rsid w:val="003547D6"/>
    <w:rsid w:val="00354A9C"/>
    <w:rsid w:val="00354AF8"/>
    <w:rsid w:val="00354E67"/>
    <w:rsid w:val="00354ECB"/>
    <w:rsid w:val="00354EE6"/>
    <w:rsid w:val="00354F0D"/>
    <w:rsid w:val="00354FB2"/>
    <w:rsid w:val="0035506B"/>
    <w:rsid w:val="003550AC"/>
    <w:rsid w:val="0035527B"/>
    <w:rsid w:val="003553A2"/>
    <w:rsid w:val="00355502"/>
    <w:rsid w:val="0035569B"/>
    <w:rsid w:val="0035580D"/>
    <w:rsid w:val="00355960"/>
    <w:rsid w:val="00355964"/>
    <w:rsid w:val="00355A3D"/>
    <w:rsid w:val="00355AEE"/>
    <w:rsid w:val="00355DEF"/>
    <w:rsid w:val="00355E41"/>
    <w:rsid w:val="00355E8C"/>
    <w:rsid w:val="00355ED8"/>
    <w:rsid w:val="00356043"/>
    <w:rsid w:val="0035607D"/>
    <w:rsid w:val="00356151"/>
    <w:rsid w:val="00356176"/>
    <w:rsid w:val="003561C5"/>
    <w:rsid w:val="0035621B"/>
    <w:rsid w:val="0035625D"/>
    <w:rsid w:val="0035649E"/>
    <w:rsid w:val="003565B5"/>
    <w:rsid w:val="00356802"/>
    <w:rsid w:val="0035685E"/>
    <w:rsid w:val="003568CE"/>
    <w:rsid w:val="003568EC"/>
    <w:rsid w:val="00356950"/>
    <w:rsid w:val="003569A0"/>
    <w:rsid w:val="00356A2E"/>
    <w:rsid w:val="00356A48"/>
    <w:rsid w:val="00356A95"/>
    <w:rsid w:val="00356AB3"/>
    <w:rsid w:val="00356ABF"/>
    <w:rsid w:val="00356B41"/>
    <w:rsid w:val="00356E02"/>
    <w:rsid w:val="00356E91"/>
    <w:rsid w:val="00356E9D"/>
    <w:rsid w:val="00356F91"/>
    <w:rsid w:val="003570C0"/>
    <w:rsid w:val="0035712C"/>
    <w:rsid w:val="003571A6"/>
    <w:rsid w:val="003571CE"/>
    <w:rsid w:val="00357223"/>
    <w:rsid w:val="003572EC"/>
    <w:rsid w:val="003573D2"/>
    <w:rsid w:val="003573E8"/>
    <w:rsid w:val="00357599"/>
    <w:rsid w:val="003575AA"/>
    <w:rsid w:val="003575C5"/>
    <w:rsid w:val="00357773"/>
    <w:rsid w:val="003577A8"/>
    <w:rsid w:val="0035783B"/>
    <w:rsid w:val="00357851"/>
    <w:rsid w:val="0035787F"/>
    <w:rsid w:val="003578E5"/>
    <w:rsid w:val="003579BD"/>
    <w:rsid w:val="003579E0"/>
    <w:rsid w:val="00357AD8"/>
    <w:rsid w:val="00357B23"/>
    <w:rsid w:val="00357B26"/>
    <w:rsid w:val="00357B2C"/>
    <w:rsid w:val="00357B75"/>
    <w:rsid w:val="00357BA3"/>
    <w:rsid w:val="00357C07"/>
    <w:rsid w:val="00357C4B"/>
    <w:rsid w:val="00357C50"/>
    <w:rsid w:val="00357CD4"/>
    <w:rsid w:val="00357E0A"/>
    <w:rsid w:val="00357F8E"/>
    <w:rsid w:val="00360163"/>
    <w:rsid w:val="00360320"/>
    <w:rsid w:val="003603CA"/>
    <w:rsid w:val="00360436"/>
    <w:rsid w:val="00360437"/>
    <w:rsid w:val="003604EE"/>
    <w:rsid w:val="00360546"/>
    <w:rsid w:val="0036054B"/>
    <w:rsid w:val="00360553"/>
    <w:rsid w:val="003606BF"/>
    <w:rsid w:val="003606F7"/>
    <w:rsid w:val="0036072B"/>
    <w:rsid w:val="00360BA6"/>
    <w:rsid w:val="00360C5C"/>
    <w:rsid w:val="00360D17"/>
    <w:rsid w:val="00360D18"/>
    <w:rsid w:val="00360F44"/>
    <w:rsid w:val="00360FFB"/>
    <w:rsid w:val="0036102F"/>
    <w:rsid w:val="00361042"/>
    <w:rsid w:val="00361044"/>
    <w:rsid w:val="003610FB"/>
    <w:rsid w:val="003611CD"/>
    <w:rsid w:val="00361337"/>
    <w:rsid w:val="003613A7"/>
    <w:rsid w:val="003613F6"/>
    <w:rsid w:val="00361470"/>
    <w:rsid w:val="003614DB"/>
    <w:rsid w:val="00361768"/>
    <w:rsid w:val="003617B1"/>
    <w:rsid w:val="003617FE"/>
    <w:rsid w:val="0036183B"/>
    <w:rsid w:val="00361886"/>
    <w:rsid w:val="00361898"/>
    <w:rsid w:val="00361BE0"/>
    <w:rsid w:val="00361CF4"/>
    <w:rsid w:val="00361DDC"/>
    <w:rsid w:val="00361F30"/>
    <w:rsid w:val="00361F76"/>
    <w:rsid w:val="00361F7B"/>
    <w:rsid w:val="00361FFB"/>
    <w:rsid w:val="00362003"/>
    <w:rsid w:val="0036208E"/>
    <w:rsid w:val="00362090"/>
    <w:rsid w:val="003620E5"/>
    <w:rsid w:val="00362130"/>
    <w:rsid w:val="00362135"/>
    <w:rsid w:val="003622A4"/>
    <w:rsid w:val="00362338"/>
    <w:rsid w:val="00362376"/>
    <w:rsid w:val="00362384"/>
    <w:rsid w:val="00362394"/>
    <w:rsid w:val="003623E7"/>
    <w:rsid w:val="0036241B"/>
    <w:rsid w:val="003624AB"/>
    <w:rsid w:val="003624EB"/>
    <w:rsid w:val="003625C2"/>
    <w:rsid w:val="0036269E"/>
    <w:rsid w:val="003626F8"/>
    <w:rsid w:val="00362756"/>
    <w:rsid w:val="0036277E"/>
    <w:rsid w:val="003627DD"/>
    <w:rsid w:val="00362843"/>
    <w:rsid w:val="00362854"/>
    <w:rsid w:val="0036295E"/>
    <w:rsid w:val="0036297D"/>
    <w:rsid w:val="003629F6"/>
    <w:rsid w:val="00362A69"/>
    <w:rsid w:val="00362AD6"/>
    <w:rsid w:val="00362BC7"/>
    <w:rsid w:val="00362CDE"/>
    <w:rsid w:val="00362D49"/>
    <w:rsid w:val="00362F4C"/>
    <w:rsid w:val="00362F8D"/>
    <w:rsid w:val="00362FE9"/>
    <w:rsid w:val="00363077"/>
    <w:rsid w:val="00363088"/>
    <w:rsid w:val="003630F7"/>
    <w:rsid w:val="003631A9"/>
    <w:rsid w:val="00363266"/>
    <w:rsid w:val="003633D0"/>
    <w:rsid w:val="00363470"/>
    <w:rsid w:val="003634D2"/>
    <w:rsid w:val="00363552"/>
    <w:rsid w:val="00363749"/>
    <w:rsid w:val="00363A3C"/>
    <w:rsid w:val="00363A83"/>
    <w:rsid w:val="00363B4A"/>
    <w:rsid w:val="00363C14"/>
    <w:rsid w:val="00363D50"/>
    <w:rsid w:val="00363D9F"/>
    <w:rsid w:val="00363DC4"/>
    <w:rsid w:val="00363E5A"/>
    <w:rsid w:val="00364106"/>
    <w:rsid w:val="0036428A"/>
    <w:rsid w:val="003642E2"/>
    <w:rsid w:val="003642E8"/>
    <w:rsid w:val="0036437B"/>
    <w:rsid w:val="003643E8"/>
    <w:rsid w:val="003644B2"/>
    <w:rsid w:val="00364579"/>
    <w:rsid w:val="0036461B"/>
    <w:rsid w:val="003646B2"/>
    <w:rsid w:val="003646DB"/>
    <w:rsid w:val="0036487F"/>
    <w:rsid w:val="00364881"/>
    <w:rsid w:val="00364912"/>
    <w:rsid w:val="003649C3"/>
    <w:rsid w:val="003649D9"/>
    <w:rsid w:val="003649E8"/>
    <w:rsid w:val="00364B0C"/>
    <w:rsid w:val="00364C05"/>
    <w:rsid w:val="00364C4D"/>
    <w:rsid w:val="00364CDA"/>
    <w:rsid w:val="00364D7E"/>
    <w:rsid w:val="00364E54"/>
    <w:rsid w:val="00364F2A"/>
    <w:rsid w:val="00364F54"/>
    <w:rsid w:val="00364F83"/>
    <w:rsid w:val="00365017"/>
    <w:rsid w:val="00365049"/>
    <w:rsid w:val="00365161"/>
    <w:rsid w:val="0036521E"/>
    <w:rsid w:val="00365254"/>
    <w:rsid w:val="00365331"/>
    <w:rsid w:val="0036533D"/>
    <w:rsid w:val="003653A4"/>
    <w:rsid w:val="00365428"/>
    <w:rsid w:val="00365534"/>
    <w:rsid w:val="003655B4"/>
    <w:rsid w:val="003658D9"/>
    <w:rsid w:val="003659A9"/>
    <w:rsid w:val="003659EA"/>
    <w:rsid w:val="00365B12"/>
    <w:rsid w:val="00365CC9"/>
    <w:rsid w:val="00365CD3"/>
    <w:rsid w:val="00365D32"/>
    <w:rsid w:val="00365FB8"/>
    <w:rsid w:val="00366037"/>
    <w:rsid w:val="0036605A"/>
    <w:rsid w:val="00366234"/>
    <w:rsid w:val="00366288"/>
    <w:rsid w:val="00366392"/>
    <w:rsid w:val="00366479"/>
    <w:rsid w:val="00366664"/>
    <w:rsid w:val="0036670F"/>
    <w:rsid w:val="00366726"/>
    <w:rsid w:val="0036675D"/>
    <w:rsid w:val="003668AB"/>
    <w:rsid w:val="00366B93"/>
    <w:rsid w:val="00366BA8"/>
    <w:rsid w:val="00366D08"/>
    <w:rsid w:val="00366D50"/>
    <w:rsid w:val="00366DAC"/>
    <w:rsid w:val="00366DB3"/>
    <w:rsid w:val="00366E58"/>
    <w:rsid w:val="00366F16"/>
    <w:rsid w:val="00367173"/>
    <w:rsid w:val="00367178"/>
    <w:rsid w:val="00367292"/>
    <w:rsid w:val="003672EA"/>
    <w:rsid w:val="00367376"/>
    <w:rsid w:val="00367435"/>
    <w:rsid w:val="00367514"/>
    <w:rsid w:val="0036761F"/>
    <w:rsid w:val="0036763F"/>
    <w:rsid w:val="0036768F"/>
    <w:rsid w:val="003676E0"/>
    <w:rsid w:val="0036783A"/>
    <w:rsid w:val="00367896"/>
    <w:rsid w:val="003678F0"/>
    <w:rsid w:val="003679C6"/>
    <w:rsid w:val="00367A33"/>
    <w:rsid w:val="00367A3F"/>
    <w:rsid w:val="00367A83"/>
    <w:rsid w:val="00367B4D"/>
    <w:rsid w:val="00367F98"/>
    <w:rsid w:val="00367FFD"/>
    <w:rsid w:val="00370005"/>
    <w:rsid w:val="00370028"/>
    <w:rsid w:val="0037015C"/>
    <w:rsid w:val="003702D9"/>
    <w:rsid w:val="003702F0"/>
    <w:rsid w:val="0037034D"/>
    <w:rsid w:val="003703A8"/>
    <w:rsid w:val="003703CF"/>
    <w:rsid w:val="003705FF"/>
    <w:rsid w:val="00370618"/>
    <w:rsid w:val="0037062A"/>
    <w:rsid w:val="003706FE"/>
    <w:rsid w:val="00370764"/>
    <w:rsid w:val="003707D6"/>
    <w:rsid w:val="00370867"/>
    <w:rsid w:val="003709B6"/>
    <w:rsid w:val="00370A2C"/>
    <w:rsid w:val="00370A6C"/>
    <w:rsid w:val="00370B4E"/>
    <w:rsid w:val="00370B99"/>
    <w:rsid w:val="00370BF2"/>
    <w:rsid w:val="00370F23"/>
    <w:rsid w:val="00370FFA"/>
    <w:rsid w:val="00371060"/>
    <w:rsid w:val="003710DB"/>
    <w:rsid w:val="003710DD"/>
    <w:rsid w:val="00371150"/>
    <w:rsid w:val="00371189"/>
    <w:rsid w:val="003711E9"/>
    <w:rsid w:val="00371285"/>
    <w:rsid w:val="003713D1"/>
    <w:rsid w:val="003713E1"/>
    <w:rsid w:val="00371445"/>
    <w:rsid w:val="0037148F"/>
    <w:rsid w:val="003714FF"/>
    <w:rsid w:val="0037153C"/>
    <w:rsid w:val="00371617"/>
    <w:rsid w:val="00371650"/>
    <w:rsid w:val="003716CE"/>
    <w:rsid w:val="00371770"/>
    <w:rsid w:val="003718A8"/>
    <w:rsid w:val="003718B2"/>
    <w:rsid w:val="00371B09"/>
    <w:rsid w:val="00371F96"/>
    <w:rsid w:val="00371FBE"/>
    <w:rsid w:val="00371FCB"/>
    <w:rsid w:val="00371FFB"/>
    <w:rsid w:val="0037207A"/>
    <w:rsid w:val="0037222C"/>
    <w:rsid w:val="0037227A"/>
    <w:rsid w:val="003724D9"/>
    <w:rsid w:val="0037252E"/>
    <w:rsid w:val="00372676"/>
    <w:rsid w:val="0037272E"/>
    <w:rsid w:val="0037279B"/>
    <w:rsid w:val="003728F2"/>
    <w:rsid w:val="00372909"/>
    <w:rsid w:val="00372A32"/>
    <w:rsid w:val="00372AF7"/>
    <w:rsid w:val="00372CF6"/>
    <w:rsid w:val="00372D94"/>
    <w:rsid w:val="00372E0B"/>
    <w:rsid w:val="00372E0F"/>
    <w:rsid w:val="00372E98"/>
    <w:rsid w:val="00372EDA"/>
    <w:rsid w:val="00372F31"/>
    <w:rsid w:val="00372F5B"/>
    <w:rsid w:val="00372FA9"/>
    <w:rsid w:val="003732A2"/>
    <w:rsid w:val="003732D6"/>
    <w:rsid w:val="00373398"/>
    <w:rsid w:val="00373426"/>
    <w:rsid w:val="0037346E"/>
    <w:rsid w:val="0037363B"/>
    <w:rsid w:val="0037369C"/>
    <w:rsid w:val="003736A6"/>
    <w:rsid w:val="003736E2"/>
    <w:rsid w:val="00373743"/>
    <w:rsid w:val="00373B9D"/>
    <w:rsid w:val="00373BF3"/>
    <w:rsid w:val="00373CBB"/>
    <w:rsid w:val="00373DA7"/>
    <w:rsid w:val="00373E2A"/>
    <w:rsid w:val="00373E9E"/>
    <w:rsid w:val="00373F1E"/>
    <w:rsid w:val="00373FA6"/>
    <w:rsid w:val="0037400F"/>
    <w:rsid w:val="0037402D"/>
    <w:rsid w:val="00374169"/>
    <w:rsid w:val="00374223"/>
    <w:rsid w:val="00374265"/>
    <w:rsid w:val="003742E3"/>
    <w:rsid w:val="003743AF"/>
    <w:rsid w:val="003743FD"/>
    <w:rsid w:val="00374473"/>
    <w:rsid w:val="00374481"/>
    <w:rsid w:val="003744B8"/>
    <w:rsid w:val="003744C6"/>
    <w:rsid w:val="00374632"/>
    <w:rsid w:val="003746A9"/>
    <w:rsid w:val="00374745"/>
    <w:rsid w:val="003747D5"/>
    <w:rsid w:val="003748B4"/>
    <w:rsid w:val="003749CE"/>
    <w:rsid w:val="00374F09"/>
    <w:rsid w:val="003750E2"/>
    <w:rsid w:val="003750E6"/>
    <w:rsid w:val="00375540"/>
    <w:rsid w:val="003755A3"/>
    <w:rsid w:val="003755EE"/>
    <w:rsid w:val="00375753"/>
    <w:rsid w:val="00375812"/>
    <w:rsid w:val="00375907"/>
    <w:rsid w:val="00375944"/>
    <w:rsid w:val="00375993"/>
    <w:rsid w:val="00375BB8"/>
    <w:rsid w:val="00375BC3"/>
    <w:rsid w:val="00375BF8"/>
    <w:rsid w:val="00375D25"/>
    <w:rsid w:val="00375D37"/>
    <w:rsid w:val="00375DE3"/>
    <w:rsid w:val="00375EDC"/>
    <w:rsid w:val="00375F34"/>
    <w:rsid w:val="00375F86"/>
    <w:rsid w:val="003761B1"/>
    <w:rsid w:val="003761DE"/>
    <w:rsid w:val="003764C9"/>
    <w:rsid w:val="003765C7"/>
    <w:rsid w:val="00376659"/>
    <w:rsid w:val="0037671C"/>
    <w:rsid w:val="00376739"/>
    <w:rsid w:val="0037688E"/>
    <w:rsid w:val="003768FF"/>
    <w:rsid w:val="00376905"/>
    <w:rsid w:val="0037691F"/>
    <w:rsid w:val="00376927"/>
    <w:rsid w:val="00376980"/>
    <w:rsid w:val="003769FA"/>
    <w:rsid w:val="00376A76"/>
    <w:rsid w:val="00376CC2"/>
    <w:rsid w:val="00376DA0"/>
    <w:rsid w:val="00376E67"/>
    <w:rsid w:val="0037700F"/>
    <w:rsid w:val="00377092"/>
    <w:rsid w:val="003770AA"/>
    <w:rsid w:val="00377100"/>
    <w:rsid w:val="0037710A"/>
    <w:rsid w:val="0037726A"/>
    <w:rsid w:val="003772D6"/>
    <w:rsid w:val="00377396"/>
    <w:rsid w:val="00377492"/>
    <w:rsid w:val="003775EC"/>
    <w:rsid w:val="00377624"/>
    <w:rsid w:val="0037763F"/>
    <w:rsid w:val="0037769F"/>
    <w:rsid w:val="00377704"/>
    <w:rsid w:val="0037797B"/>
    <w:rsid w:val="003779B9"/>
    <w:rsid w:val="003779D0"/>
    <w:rsid w:val="00377A99"/>
    <w:rsid w:val="00377C66"/>
    <w:rsid w:val="00377E70"/>
    <w:rsid w:val="00377FE3"/>
    <w:rsid w:val="00380005"/>
    <w:rsid w:val="0038001E"/>
    <w:rsid w:val="0038007C"/>
    <w:rsid w:val="0038007E"/>
    <w:rsid w:val="00380086"/>
    <w:rsid w:val="0038011F"/>
    <w:rsid w:val="0038018B"/>
    <w:rsid w:val="003801F9"/>
    <w:rsid w:val="0038029E"/>
    <w:rsid w:val="003802DB"/>
    <w:rsid w:val="003802FE"/>
    <w:rsid w:val="0038034F"/>
    <w:rsid w:val="0038047E"/>
    <w:rsid w:val="00380487"/>
    <w:rsid w:val="0038066D"/>
    <w:rsid w:val="0038087C"/>
    <w:rsid w:val="00380989"/>
    <w:rsid w:val="00380ABA"/>
    <w:rsid w:val="00380AE1"/>
    <w:rsid w:val="00380B30"/>
    <w:rsid w:val="00380C2B"/>
    <w:rsid w:val="00380E14"/>
    <w:rsid w:val="00380E7D"/>
    <w:rsid w:val="00380E87"/>
    <w:rsid w:val="00380EA1"/>
    <w:rsid w:val="00380F1A"/>
    <w:rsid w:val="00380FC8"/>
    <w:rsid w:val="003811C0"/>
    <w:rsid w:val="003812B3"/>
    <w:rsid w:val="003812BF"/>
    <w:rsid w:val="0038182A"/>
    <w:rsid w:val="00381872"/>
    <w:rsid w:val="00381A59"/>
    <w:rsid w:val="00381B05"/>
    <w:rsid w:val="00381C65"/>
    <w:rsid w:val="00381D3B"/>
    <w:rsid w:val="00381D81"/>
    <w:rsid w:val="00381E78"/>
    <w:rsid w:val="00381EF4"/>
    <w:rsid w:val="00381F10"/>
    <w:rsid w:val="00381F6E"/>
    <w:rsid w:val="003820C0"/>
    <w:rsid w:val="00382127"/>
    <w:rsid w:val="0038225E"/>
    <w:rsid w:val="003824B0"/>
    <w:rsid w:val="003824DB"/>
    <w:rsid w:val="003824E6"/>
    <w:rsid w:val="003824FF"/>
    <w:rsid w:val="0038250A"/>
    <w:rsid w:val="0038254B"/>
    <w:rsid w:val="00382665"/>
    <w:rsid w:val="00382837"/>
    <w:rsid w:val="00382A38"/>
    <w:rsid w:val="00382A3A"/>
    <w:rsid w:val="00382A90"/>
    <w:rsid w:val="00382A97"/>
    <w:rsid w:val="00382AEE"/>
    <w:rsid w:val="00382BD9"/>
    <w:rsid w:val="00382CE6"/>
    <w:rsid w:val="00382E0D"/>
    <w:rsid w:val="00382E12"/>
    <w:rsid w:val="00382E40"/>
    <w:rsid w:val="00382E5F"/>
    <w:rsid w:val="00382F1D"/>
    <w:rsid w:val="00382FCF"/>
    <w:rsid w:val="003830AC"/>
    <w:rsid w:val="003830B1"/>
    <w:rsid w:val="003830B6"/>
    <w:rsid w:val="003830F0"/>
    <w:rsid w:val="00383216"/>
    <w:rsid w:val="00383399"/>
    <w:rsid w:val="003835C1"/>
    <w:rsid w:val="0038374D"/>
    <w:rsid w:val="0038375B"/>
    <w:rsid w:val="003837CD"/>
    <w:rsid w:val="003838BF"/>
    <w:rsid w:val="00383A49"/>
    <w:rsid w:val="00383A4B"/>
    <w:rsid w:val="00383B0B"/>
    <w:rsid w:val="00383DA7"/>
    <w:rsid w:val="00383E01"/>
    <w:rsid w:val="00383EBD"/>
    <w:rsid w:val="00383F44"/>
    <w:rsid w:val="00383FCF"/>
    <w:rsid w:val="0038408E"/>
    <w:rsid w:val="0038412F"/>
    <w:rsid w:val="0038414E"/>
    <w:rsid w:val="003841D5"/>
    <w:rsid w:val="0038431F"/>
    <w:rsid w:val="00384321"/>
    <w:rsid w:val="00384487"/>
    <w:rsid w:val="0038473E"/>
    <w:rsid w:val="00384742"/>
    <w:rsid w:val="0038498F"/>
    <w:rsid w:val="003849DE"/>
    <w:rsid w:val="00384A2D"/>
    <w:rsid w:val="00384C02"/>
    <w:rsid w:val="00384C14"/>
    <w:rsid w:val="00384C65"/>
    <w:rsid w:val="00384CE5"/>
    <w:rsid w:val="00384CEF"/>
    <w:rsid w:val="00384D56"/>
    <w:rsid w:val="00384E77"/>
    <w:rsid w:val="00384E90"/>
    <w:rsid w:val="0038517F"/>
    <w:rsid w:val="00385250"/>
    <w:rsid w:val="003852AD"/>
    <w:rsid w:val="0038537B"/>
    <w:rsid w:val="0038570D"/>
    <w:rsid w:val="00385728"/>
    <w:rsid w:val="00385771"/>
    <w:rsid w:val="003857A5"/>
    <w:rsid w:val="00385870"/>
    <w:rsid w:val="00385D6F"/>
    <w:rsid w:val="00385F20"/>
    <w:rsid w:val="003862F4"/>
    <w:rsid w:val="00386350"/>
    <w:rsid w:val="00386367"/>
    <w:rsid w:val="003863CE"/>
    <w:rsid w:val="003863F9"/>
    <w:rsid w:val="00386472"/>
    <w:rsid w:val="0038648F"/>
    <w:rsid w:val="003864C4"/>
    <w:rsid w:val="003864CD"/>
    <w:rsid w:val="003865AC"/>
    <w:rsid w:val="003865E4"/>
    <w:rsid w:val="00386610"/>
    <w:rsid w:val="00386673"/>
    <w:rsid w:val="003866AE"/>
    <w:rsid w:val="003866E5"/>
    <w:rsid w:val="003866FB"/>
    <w:rsid w:val="0038675B"/>
    <w:rsid w:val="00386832"/>
    <w:rsid w:val="00386984"/>
    <w:rsid w:val="00386A2D"/>
    <w:rsid w:val="00386A87"/>
    <w:rsid w:val="00386ADB"/>
    <w:rsid w:val="00386B1B"/>
    <w:rsid w:val="00386BEE"/>
    <w:rsid w:val="00386CB2"/>
    <w:rsid w:val="00386D74"/>
    <w:rsid w:val="00386EB9"/>
    <w:rsid w:val="00386FBB"/>
    <w:rsid w:val="0038718B"/>
    <w:rsid w:val="00387262"/>
    <w:rsid w:val="003872D9"/>
    <w:rsid w:val="00387692"/>
    <w:rsid w:val="00387770"/>
    <w:rsid w:val="0038777E"/>
    <w:rsid w:val="003877C8"/>
    <w:rsid w:val="00387805"/>
    <w:rsid w:val="00387921"/>
    <w:rsid w:val="003879BB"/>
    <w:rsid w:val="00387ABE"/>
    <w:rsid w:val="00387B36"/>
    <w:rsid w:val="00387B4D"/>
    <w:rsid w:val="00387BB6"/>
    <w:rsid w:val="00387D1D"/>
    <w:rsid w:val="00387DD7"/>
    <w:rsid w:val="00387DFF"/>
    <w:rsid w:val="00387F2B"/>
    <w:rsid w:val="00387FE8"/>
    <w:rsid w:val="003900AC"/>
    <w:rsid w:val="003900BB"/>
    <w:rsid w:val="00390137"/>
    <w:rsid w:val="0039016F"/>
    <w:rsid w:val="003903CB"/>
    <w:rsid w:val="0039046E"/>
    <w:rsid w:val="00390896"/>
    <w:rsid w:val="003909C5"/>
    <w:rsid w:val="00390AF3"/>
    <w:rsid w:val="00390D7B"/>
    <w:rsid w:val="00390E6F"/>
    <w:rsid w:val="00390ECD"/>
    <w:rsid w:val="00390EE0"/>
    <w:rsid w:val="00391020"/>
    <w:rsid w:val="00391077"/>
    <w:rsid w:val="003911CF"/>
    <w:rsid w:val="00391353"/>
    <w:rsid w:val="003913C9"/>
    <w:rsid w:val="003913DE"/>
    <w:rsid w:val="00391501"/>
    <w:rsid w:val="0039164C"/>
    <w:rsid w:val="00391ACC"/>
    <w:rsid w:val="00391BD4"/>
    <w:rsid w:val="00391BDC"/>
    <w:rsid w:val="00391D06"/>
    <w:rsid w:val="00391E46"/>
    <w:rsid w:val="00391EEA"/>
    <w:rsid w:val="0039207A"/>
    <w:rsid w:val="0039208C"/>
    <w:rsid w:val="0039211C"/>
    <w:rsid w:val="00392260"/>
    <w:rsid w:val="003922D5"/>
    <w:rsid w:val="0039249B"/>
    <w:rsid w:val="00392556"/>
    <w:rsid w:val="0039261E"/>
    <w:rsid w:val="00392651"/>
    <w:rsid w:val="00392670"/>
    <w:rsid w:val="003926A3"/>
    <w:rsid w:val="003926F6"/>
    <w:rsid w:val="00392741"/>
    <w:rsid w:val="00392853"/>
    <w:rsid w:val="003928F7"/>
    <w:rsid w:val="00392A33"/>
    <w:rsid w:val="00392A56"/>
    <w:rsid w:val="00392AA4"/>
    <w:rsid w:val="00392C27"/>
    <w:rsid w:val="00392C9E"/>
    <w:rsid w:val="00392E62"/>
    <w:rsid w:val="00393049"/>
    <w:rsid w:val="00393136"/>
    <w:rsid w:val="0039335A"/>
    <w:rsid w:val="00393440"/>
    <w:rsid w:val="003937C8"/>
    <w:rsid w:val="0039380A"/>
    <w:rsid w:val="00393941"/>
    <w:rsid w:val="00393B0A"/>
    <w:rsid w:val="00393B95"/>
    <w:rsid w:val="00393D65"/>
    <w:rsid w:val="00393DF3"/>
    <w:rsid w:val="00393E2A"/>
    <w:rsid w:val="00393EC0"/>
    <w:rsid w:val="00393F1A"/>
    <w:rsid w:val="00393F3B"/>
    <w:rsid w:val="003941CB"/>
    <w:rsid w:val="003942B6"/>
    <w:rsid w:val="003943AB"/>
    <w:rsid w:val="003947C0"/>
    <w:rsid w:val="00394844"/>
    <w:rsid w:val="00394A27"/>
    <w:rsid w:val="00394DA1"/>
    <w:rsid w:val="00394DDD"/>
    <w:rsid w:val="003950F8"/>
    <w:rsid w:val="00395141"/>
    <w:rsid w:val="003951ED"/>
    <w:rsid w:val="003952C5"/>
    <w:rsid w:val="00395344"/>
    <w:rsid w:val="003953BE"/>
    <w:rsid w:val="003953FF"/>
    <w:rsid w:val="00395434"/>
    <w:rsid w:val="003959C7"/>
    <w:rsid w:val="003959E4"/>
    <w:rsid w:val="00395A41"/>
    <w:rsid w:val="00395AF7"/>
    <w:rsid w:val="00395D22"/>
    <w:rsid w:val="00395E43"/>
    <w:rsid w:val="00395E82"/>
    <w:rsid w:val="00395EF3"/>
    <w:rsid w:val="00395F43"/>
    <w:rsid w:val="00395F46"/>
    <w:rsid w:val="003960CF"/>
    <w:rsid w:val="003960D4"/>
    <w:rsid w:val="003963AB"/>
    <w:rsid w:val="0039646A"/>
    <w:rsid w:val="003964C0"/>
    <w:rsid w:val="003964EC"/>
    <w:rsid w:val="00396552"/>
    <w:rsid w:val="00396556"/>
    <w:rsid w:val="003965D7"/>
    <w:rsid w:val="0039664A"/>
    <w:rsid w:val="0039675B"/>
    <w:rsid w:val="00396830"/>
    <w:rsid w:val="00396863"/>
    <w:rsid w:val="00396A43"/>
    <w:rsid w:val="00396A75"/>
    <w:rsid w:val="00396AE8"/>
    <w:rsid w:val="00396B64"/>
    <w:rsid w:val="00396B76"/>
    <w:rsid w:val="00396C58"/>
    <w:rsid w:val="00396E49"/>
    <w:rsid w:val="00396E95"/>
    <w:rsid w:val="00396F74"/>
    <w:rsid w:val="00397037"/>
    <w:rsid w:val="003970FF"/>
    <w:rsid w:val="00397255"/>
    <w:rsid w:val="003972E7"/>
    <w:rsid w:val="0039737E"/>
    <w:rsid w:val="0039737F"/>
    <w:rsid w:val="003973B5"/>
    <w:rsid w:val="003974F8"/>
    <w:rsid w:val="00397658"/>
    <w:rsid w:val="003976D2"/>
    <w:rsid w:val="00397719"/>
    <w:rsid w:val="0039794E"/>
    <w:rsid w:val="00397C93"/>
    <w:rsid w:val="00397CB1"/>
    <w:rsid w:val="00397CDE"/>
    <w:rsid w:val="00397E40"/>
    <w:rsid w:val="00397E65"/>
    <w:rsid w:val="00397ED8"/>
    <w:rsid w:val="00397EE3"/>
    <w:rsid w:val="00397FA0"/>
    <w:rsid w:val="003A00D9"/>
    <w:rsid w:val="003A01CA"/>
    <w:rsid w:val="003A01DB"/>
    <w:rsid w:val="003A0201"/>
    <w:rsid w:val="003A0491"/>
    <w:rsid w:val="003A04D4"/>
    <w:rsid w:val="003A0520"/>
    <w:rsid w:val="003A0713"/>
    <w:rsid w:val="003A074C"/>
    <w:rsid w:val="003A0959"/>
    <w:rsid w:val="003A0B40"/>
    <w:rsid w:val="003A0B45"/>
    <w:rsid w:val="003A0B71"/>
    <w:rsid w:val="003A0B9F"/>
    <w:rsid w:val="003A0C2A"/>
    <w:rsid w:val="003A0DEC"/>
    <w:rsid w:val="003A0E0C"/>
    <w:rsid w:val="003A0FCD"/>
    <w:rsid w:val="003A105E"/>
    <w:rsid w:val="003A12A2"/>
    <w:rsid w:val="003A1371"/>
    <w:rsid w:val="003A1421"/>
    <w:rsid w:val="003A14DD"/>
    <w:rsid w:val="003A153E"/>
    <w:rsid w:val="003A166C"/>
    <w:rsid w:val="003A16E1"/>
    <w:rsid w:val="003A193C"/>
    <w:rsid w:val="003A1951"/>
    <w:rsid w:val="003A19C4"/>
    <w:rsid w:val="003A1A4B"/>
    <w:rsid w:val="003A1AF5"/>
    <w:rsid w:val="003A1AFC"/>
    <w:rsid w:val="003A1C06"/>
    <w:rsid w:val="003A1CED"/>
    <w:rsid w:val="003A1E7F"/>
    <w:rsid w:val="003A1F22"/>
    <w:rsid w:val="003A1FEA"/>
    <w:rsid w:val="003A200C"/>
    <w:rsid w:val="003A20DC"/>
    <w:rsid w:val="003A22A2"/>
    <w:rsid w:val="003A23D3"/>
    <w:rsid w:val="003A2437"/>
    <w:rsid w:val="003A2476"/>
    <w:rsid w:val="003A2525"/>
    <w:rsid w:val="003A252C"/>
    <w:rsid w:val="003A258E"/>
    <w:rsid w:val="003A2619"/>
    <w:rsid w:val="003A266B"/>
    <w:rsid w:val="003A27CC"/>
    <w:rsid w:val="003A2819"/>
    <w:rsid w:val="003A2829"/>
    <w:rsid w:val="003A2836"/>
    <w:rsid w:val="003A2862"/>
    <w:rsid w:val="003A2885"/>
    <w:rsid w:val="003A2A40"/>
    <w:rsid w:val="003A2ADA"/>
    <w:rsid w:val="003A2B40"/>
    <w:rsid w:val="003A2BAB"/>
    <w:rsid w:val="003A2BFC"/>
    <w:rsid w:val="003A2C37"/>
    <w:rsid w:val="003A2C3B"/>
    <w:rsid w:val="003A2D04"/>
    <w:rsid w:val="003A2E01"/>
    <w:rsid w:val="003A301F"/>
    <w:rsid w:val="003A3090"/>
    <w:rsid w:val="003A32BF"/>
    <w:rsid w:val="003A32F8"/>
    <w:rsid w:val="003A3338"/>
    <w:rsid w:val="003A333A"/>
    <w:rsid w:val="003A33C7"/>
    <w:rsid w:val="003A3483"/>
    <w:rsid w:val="003A34AF"/>
    <w:rsid w:val="003A34B6"/>
    <w:rsid w:val="003A3540"/>
    <w:rsid w:val="003A3648"/>
    <w:rsid w:val="003A365C"/>
    <w:rsid w:val="003A3840"/>
    <w:rsid w:val="003A38AE"/>
    <w:rsid w:val="003A3931"/>
    <w:rsid w:val="003A3BD1"/>
    <w:rsid w:val="003A3CF2"/>
    <w:rsid w:val="003A3E4E"/>
    <w:rsid w:val="003A3E94"/>
    <w:rsid w:val="003A3F06"/>
    <w:rsid w:val="003A4041"/>
    <w:rsid w:val="003A4154"/>
    <w:rsid w:val="003A41A1"/>
    <w:rsid w:val="003A421A"/>
    <w:rsid w:val="003A42C8"/>
    <w:rsid w:val="003A44CD"/>
    <w:rsid w:val="003A45E8"/>
    <w:rsid w:val="003A4695"/>
    <w:rsid w:val="003A46BD"/>
    <w:rsid w:val="003A471B"/>
    <w:rsid w:val="003A47C7"/>
    <w:rsid w:val="003A48CC"/>
    <w:rsid w:val="003A493B"/>
    <w:rsid w:val="003A49C6"/>
    <w:rsid w:val="003A4A32"/>
    <w:rsid w:val="003A4ADB"/>
    <w:rsid w:val="003A4B56"/>
    <w:rsid w:val="003A4C28"/>
    <w:rsid w:val="003A4CCF"/>
    <w:rsid w:val="003A4D60"/>
    <w:rsid w:val="003A4E87"/>
    <w:rsid w:val="003A4F21"/>
    <w:rsid w:val="003A4F8A"/>
    <w:rsid w:val="003A4FA1"/>
    <w:rsid w:val="003A50B3"/>
    <w:rsid w:val="003A50C9"/>
    <w:rsid w:val="003A50F3"/>
    <w:rsid w:val="003A5416"/>
    <w:rsid w:val="003A55C6"/>
    <w:rsid w:val="003A5615"/>
    <w:rsid w:val="003A568A"/>
    <w:rsid w:val="003A56A9"/>
    <w:rsid w:val="003A573D"/>
    <w:rsid w:val="003A57B0"/>
    <w:rsid w:val="003A58F8"/>
    <w:rsid w:val="003A593B"/>
    <w:rsid w:val="003A5A8B"/>
    <w:rsid w:val="003A5AFD"/>
    <w:rsid w:val="003A5B7F"/>
    <w:rsid w:val="003A5BBD"/>
    <w:rsid w:val="003A5BE5"/>
    <w:rsid w:val="003A5C9E"/>
    <w:rsid w:val="003A5CDC"/>
    <w:rsid w:val="003A5CF3"/>
    <w:rsid w:val="003A5D4E"/>
    <w:rsid w:val="003A5D8B"/>
    <w:rsid w:val="003A6006"/>
    <w:rsid w:val="003A6087"/>
    <w:rsid w:val="003A6102"/>
    <w:rsid w:val="003A617D"/>
    <w:rsid w:val="003A617E"/>
    <w:rsid w:val="003A625B"/>
    <w:rsid w:val="003A62E3"/>
    <w:rsid w:val="003A6380"/>
    <w:rsid w:val="003A6439"/>
    <w:rsid w:val="003A646A"/>
    <w:rsid w:val="003A648E"/>
    <w:rsid w:val="003A6527"/>
    <w:rsid w:val="003A6669"/>
    <w:rsid w:val="003A66C5"/>
    <w:rsid w:val="003A6735"/>
    <w:rsid w:val="003A68F5"/>
    <w:rsid w:val="003A6963"/>
    <w:rsid w:val="003A696F"/>
    <w:rsid w:val="003A6A86"/>
    <w:rsid w:val="003A6B2D"/>
    <w:rsid w:val="003A6B9E"/>
    <w:rsid w:val="003A6BF7"/>
    <w:rsid w:val="003A6BFA"/>
    <w:rsid w:val="003A6E39"/>
    <w:rsid w:val="003A6FF1"/>
    <w:rsid w:val="003A6FF9"/>
    <w:rsid w:val="003A71EA"/>
    <w:rsid w:val="003A7209"/>
    <w:rsid w:val="003A7254"/>
    <w:rsid w:val="003A72CB"/>
    <w:rsid w:val="003A73C9"/>
    <w:rsid w:val="003A7505"/>
    <w:rsid w:val="003A7585"/>
    <w:rsid w:val="003A7674"/>
    <w:rsid w:val="003A7858"/>
    <w:rsid w:val="003A7A25"/>
    <w:rsid w:val="003A7A33"/>
    <w:rsid w:val="003A7A91"/>
    <w:rsid w:val="003A7AA9"/>
    <w:rsid w:val="003A7CDA"/>
    <w:rsid w:val="003A7D98"/>
    <w:rsid w:val="003A7F9F"/>
    <w:rsid w:val="003B015B"/>
    <w:rsid w:val="003B0208"/>
    <w:rsid w:val="003B0220"/>
    <w:rsid w:val="003B0224"/>
    <w:rsid w:val="003B027B"/>
    <w:rsid w:val="003B02C3"/>
    <w:rsid w:val="003B04D8"/>
    <w:rsid w:val="003B054D"/>
    <w:rsid w:val="003B0643"/>
    <w:rsid w:val="003B074C"/>
    <w:rsid w:val="003B075B"/>
    <w:rsid w:val="003B0810"/>
    <w:rsid w:val="003B08FE"/>
    <w:rsid w:val="003B0907"/>
    <w:rsid w:val="003B0A7F"/>
    <w:rsid w:val="003B0A91"/>
    <w:rsid w:val="003B0AB7"/>
    <w:rsid w:val="003B0BDA"/>
    <w:rsid w:val="003B0C79"/>
    <w:rsid w:val="003B0ECA"/>
    <w:rsid w:val="003B1119"/>
    <w:rsid w:val="003B1167"/>
    <w:rsid w:val="003B1216"/>
    <w:rsid w:val="003B14BD"/>
    <w:rsid w:val="003B1588"/>
    <w:rsid w:val="003B1633"/>
    <w:rsid w:val="003B1793"/>
    <w:rsid w:val="003B195F"/>
    <w:rsid w:val="003B19BE"/>
    <w:rsid w:val="003B19E4"/>
    <w:rsid w:val="003B1AE0"/>
    <w:rsid w:val="003B1AFE"/>
    <w:rsid w:val="003B1B4E"/>
    <w:rsid w:val="003B1D67"/>
    <w:rsid w:val="003B1EC3"/>
    <w:rsid w:val="003B1FC4"/>
    <w:rsid w:val="003B2009"/>
    <w:rsid w:val="003B20A2"/>
    <w:rsid w:val="003B20E0"/>
    <w:rsid w:val="003B2146"/>
    <w:rsid w:val="003B21B2"/>
    <w:rsid w:val="003B23BB"/>
    <w:rsid w:val="003B2607"/>
    <w:rsid w:val="003B2619"/>
    <w:rsid w:val="003B26D8"/>
    <w:rsid w:val="003B2A4A"/>
    <w:rsid w:val="003B2A9F"/>
    <w:rsid w:val="003B2D11"/>
    <w:rsid w:val="003B2DB7"/>
    <w:rsid w:val="003B2E51"/>
    <w:rsid w:val="003B2E57"/>
    <w:rsid w:val="003B2F57"/>
    <w:rsid w:val="003B309B"/>
    <w:rsid w:val="003B3244"/>
    <w:rsid w:val="003B3267"/>
    <w:rsid w:val="003B3294"/>
    <w:rsid w:val="003B33E2"/>
    <w:rsid w:val="003B3452"/>
    <w:rsid w:val="003B3897"/>
    <w:rsid w:val="003B38C2"/>
    <w:rsid w:val="003B38F2"/>
    <w:rsid w:val="003B3A13"/>
    <w:rsid w:val="003B3A37"/>
    <w:rsid w:val="003B3ABC"/>
    <w:rsid w:val="003B3ACC"/>
    <w:rsid w:val="003B3B81"/>
    <w:rsid w:val="003B3BF5"/>
    <w:rsid w:val="003B3BFF"/>
    <w:rsid w:val="003B3C1B"/>
    <w:rsid w:val="003B3CD1"/>
    <w:rsid w:val="003B3E2A"/>
    <w:rsid w:val="003B3EDE"/>
    <w:rsid w:val="003B3F85"/>
    <w:rsid w:val="003B4098"/>
    <w:rsid w:val="003B417F"/>
    <w:rsid w:val="003B4312"/>
    <w:rsid w:val="003B43BE"/>
    <w:rsid w:val="003B4473"/>
    <w:rsid w:val="003B448D"/>
    <w:rsid w:val="003B4619"/>
    <w:rsid w:val="003B464D"/>
    <w:rsid w:val="003B46C5"/>
    <w:rsid w:val="003B4767"/>
    <w:rsid w:val="003B484A"/>
    <w:rsid w:val="003B4A77"/>
    <w:rsid w:val="003B4AEB"/>
    <w:rsid w:val="003B4D5D"/>
    <w:rsid w:val="003B5082"/>
    <w:rsid w:val="003B50B1"/>
    <w:rsid w:val="003B50D6"/>
    <w:rsid w:val="003B515B"/>
    <w:rsid w:val="003B51D8"/>
    <w:rsid w:val="003B52E8"/>
    <w:rsid w:val="003B533E"/>
    <w:rsid w:val="003B539A"/>
    <w:rsid w:val="003B5483"/>
    <w:rsid w:val="003B5692"/>
    <w:rsid w:val="003B5746"/>
    <w:rsid w:val="003B58CB"/>
    <w:rsid w:val="003B5A34"/>
    <w:rsid w:val="003B5B68"/>
    <w:rsid w:val="003B5D02"/>
    <w:rsid w:val="003B5D0B"/>
    <w:rsid w:val="003B5D8F"/>
    <w:rsid w:val="003B5E0F"/>
    <w:rsid w:val="003B5ECF"/>
    <w:rsid w:val="003B5EE0"/>
    <w:rsid w:val="003B5F30"/>
    <w:rsid w:val="003B5FB6"/>
    <w:rsid w:val="003B5FDD"/>
    <w:rsid w:val="003B6332"/>
    <w:rsid w:val="003B6365"/>
    <w:rsid w:val="003B6366"/>
    <w:rsid w:val="003B63C9"/>
    <w:rsid w:val="003B649A"/>
    <w:rsid w:val="003B6576"/>
    <w:rsid w:val="003B6758"/>
    <w:rsid w:val="003B6759"/>
    <w:rsid w:val="003B68FA"/>
    <w:rsid w:val="003B6A78"/>
    <w:rsid w:val="003B6A9C"/>
    <w:rsid w:val="003B6BD6"/>
    <w:rsid w:val="003B6CDB"/>
    <w:rsid w:val="003B6D74"/>
    <w:rsid w:val="003B6E18"/>
    <w:rsid w:val="003B6E1F"/>
    <w:rsid w:val="003B6E9A"/>
    <w:rsid w:val="003B6EED"/>
    <w:rsid w:val="003B6EF9"/>
    <w:rsid w:val="003B6F14"/>
    <w:rsid w:val="003B6FF8"/>
    <w:rsid w:val="003B703E"/>
    <w:rsid w:val="003B7078"/>
    <w:rsid w:val="003B707B"/>
    <w:rsid w:val="003B70C8"/>
    <w:rsid w:val="003B73D3"/>
    <w:rsid w:val="003B746C"/>
    <w:rsid w:val="003B7844"/>
    <w:rsid w:val="003B78FC"/>
    <w:rsid w:val="003B7A8A"/>
    <w:rsid w:val="003B7BC7"/>
    <w:rsid w:val="003B7F1C"/>
    <w:rsid w:val="003B7F6F"/>
    <w:rsid w:val="003C01D1"/>
    <w:rsid w:val="003C022F"/>
    <w:rsid w:val="003C0255"/>
    <w:rsid w:val="003C0293"/>
    <w:rsid w:val="003C043C"/>
    <w:rsid w:val="003C04B1"/>
    <w:rsid w:val="003C0624"/>
    <w:rsid w:val="003C075B"/>
    <w:rsid w:val="003C0949"/>
    <w:rsid w:val="003C0995"/>
    <w:rsid w:val="003C0999"/>
    <w:rsid w:val="003C09AF"/>
    <w:rsid w:val="003C0A58"/>
    <w:rsid w:val="003C0B38"/>
    <w:rsid w:val="003C0C62"/>
    <w:rsid w:val="003C0D14"/>
    <w:rsid w:val="003C0D72"/>
    <w:rsid w:val="003C0F48"/>
    <w:rsid w:val="003C0FD8"/>
    <w:rsid w:val="003C10A0"/>
    <w:rsid w:val="003C10D9"/>
    <w:rsid w:val="003C12B9"/>
    <w:rsid w:val="003C1361"/>
    <w:rsid w:val="003C178E"/>
    <w:rsid w:val="003C1841"/>
    <w:rsid w:val="003C1966"/>
    <w:rsid w:val="003C19CC"/>
    <w:rsid w:val="003C1A08"/>
    <w:rsid w:val="003C1BFD"/>
    <w:rsid w:val="003C1CA4"/>
    <w:rsid w:val="003C1D4F"/>
    <w:rsid w:val="003C1DAA"/>
    <w:rsid w:val="003C200D"/>
    <w:rsid w:val="003C20F3"/>
    <w:rsid w:val="003C2117"/>
    <w:rsid w:val="003C232B"/>
    <w:rsid w:val="003C2346"/>
    <w:rsid w:val="003C23B4"/>
    <w:rsid w:val="003C23E7"/>
    <w:rsid w:val="003C251D"/>
    <w:rsid w:val="003C2628"/>
    <w:rsid w:val="003C2659"/>
    <w:rsid w:val="003C26DC"/>
    <w:rsid w:val="003C27A9"/>
    <w:rsid w:val="003C2847"/>
    <w:rsid w:val="003C28D8"/>
    <w:rsid w:val="003C2A2B"/>
    <w:rsid w:val="003C2AEA"/>
    <w:rsid w:val="003C2B6E"/>
    <w:rsid w:val="003C2D3F"/>
    <w:rsid w:val="003C2DB9"/>
    <w:rsid w:val="003C2E12"/>
    <w:rsid w:val="003C2E27"/>
    <w:rsid w:val="003C2E3E"/>
    <w:rsid w:val="003C2FF8"/>
    <w:rsid w:val="003C30D0"/>
    <w:rsid w:val="003C311B"/>
    <w:rsid w:val="003C3374"/>
    <w:rsid w:val="003C339F"/>
    <w:rsid w:val="003C3404"/>
    <w:rsid w:val="003C34B9"/>
    <w:rsid w:val="003C35D6"/>
    <w:rsid w:val="003C35EA"/>
    <w:rsid w:val="003C36A3"/>
    <w:rsid w:val="003C36F8"/>
    <w:rsid w:val="003C3731"/>
    <w:rsid w:val="003C3863"/>
    <w:rsid w:val="003C3885"/>
    <w:rsid w:val="003C3953"/>
    <w:rsid w:val="003C3A4A"/>
    <w:rsid w:val="003C3AE1"/>
    <w:rsid w:val="003C3C44"/>
    <w:rsid w:val="003C3E42"/>
    <w:rsid w:val="003C3EF3"/>
    <w:rsid w:val="003C4044"/>
    <w:rsid w:val="003C4432"/>
    <w:rsid w:val="003C44B0"/>
    <w:rsid w:val="003C457A"/>
    <w:rsid w:val="003C474F"/>
    <w:rsid w:val="003C47BF"/>
    <w:rsid w:val="003C48BB"/>
    <w:rsid w:val="003C4A10"/>
    <w:rsid w:val="003C4A68"/>
    <w:rsid w:val="003C4BC9"/>
    <w:rsid w:val="003C4CA1"/>
    <w:rsid w:val="003C4DB3"/>
    <w:rsid w:val="003C4F3C"/>
    <w:rsid w:val="003C5068"/>
    <w:rsid w:val="003C5123"/>
    <w:rsid w:val="003C519D"/>
    <w:rsid w:val="003C51BD"/>
    <w:rsid w:val="003C529B"/>
    <w:rsid w:val="003C535E"/>
    <w:rsid w:val="003C5408"/>
    <w:rsid w:val="003C5428"/>
    <w:rsid w:val="003C5476"/>
    <w:rsid w:val="003C5504"/>
    <w:rsid w:val="003C5649"/>
    <w:rsid w:val="003C5742"/>
    <w:rsid w:val="003C5769"/>
    <w:rsid w:val="003C579D"/>
    <w:rsid w:val="003C58ED"/>
    <w:rsid w:val="003C590F"/>
    <w:rsid w:val="003C59DF"/>
    <w:rsid w:val="003C5BEE"/>
    <w:rsid w:val="003C5C34"/>
    <w:rsid w:val="003C5E13"/>
    <w:rsid w:val="003C5E85"/>
    <w:rsid w:val="003C5F08"/>
    <w:rsid w:val="003C5F3E"/>
    <w:rsid w:val="003C604A"/>
    <w:rsid w:val="003C6259"/>
    <w:rsid w:val="003C6304"/>
    <w:rsid w:val="003C63BB"/>
    <w:rsid w:val="003C63C4"/>
    <w:rsid w:val="003C63CD"/>
    <w:rsid w:val="003C6447"/>
    <w:rsid w:val="003C6544"/>
    <w:rsid w:val="003C6548"/>
    <w:rsid w:val="003C65D2"/>
    <w:rsid w:val="003C6609"/>
    <w:rsid w:val="003C665D"/>
    <w:rsid w:val="003C6667"/>
    <w:rsid w:val="003C67CC"/>
    <w:rsid w:val="003C68D5"/>
    <w:rsid w:val="003C6AE0"/>
    <w:rsid w:val="003C6DCD"/>
    <w:rsid w:val="003C6E57"/>
    <w:rsid w:val="003C72B6"/>
    <w:rsid w:val="003C7458"/>
    <w:rsid w:val="003C7470"/>
    <w:rsid w:val="003C7474"/>
    <w:rsid w:val="003C756E"/>
    <w:rsid w:val="003C7899"/>
    <w:rsid w:val="003C79F7"/>
    <w:rsid w:val="003C7A58"/>
    <w:rsid w:val="003C7AD5"/>
    <w:rsid w:val="003C7B21"/>
    <w:rsid w:val="003C7BAC"/>
    <w:rsid w:val="003C7C3B"/>
    <w:rsid w:val="003C7D63"/>
    <w:rsid w:val="003C7F1C"/>
    <w:rsid w:val="003C7F27"/>
    <w:rsid w:val="003C7FAE"/>
    <w:rsid w:val="003C7FDE"/>
    <w:rsid w:val="003D004B"/>
    <w:rsid w:val="003D0067"/>
    <w:rsid w:val="003D00D3"/>
    <w:rsid w:val="003D0136"/>
    <w:rsid w:val="003D014B"/>
    <w:rsid w:val="003D014C"/>
    <w:rsid w:val="003D0215"/>
    <w:rsid w:val="003D0300"/>
    <w:rsid w:val="003D03A6"/>
    <w:rsid w:val="003D03EA"/>
    <w:rsid w:val="003D0535"/>
    <w:rsid w:val="003D055F"/>
    <w:rsid w:val="003D0590"/>
    <w:rsid w:val="003D05B1"/>
    <w:rsid w:val="003D05BA"/>
    <w:rsid w:val="003D0635"/>
    <w:rsid w:val="003D07F1"/>
    <w:rsid w:val="003D0859"/>
    <w:rsid w:val="003D08C5"/>
    <w:rsid w:val="003D09F9"/>
    <w:rsid w:val="003D0A15"/>
    <w:rsid w:val="003D0A38"/>
    <w:rsid w:val="003D0AD1"/>
    <w:rsid w:val="003D0AE3"/>
    <w:rsid w:val="003D0C36"/>
    <w:rsid w:val="003D0D1D"/>
    <w:rsid w:val="003D0E29"/>
    <w:rsid w:val="003D0E3F"/>
    <w:rsid w:val="003D0E95"/>
    <w:rsid w:val="003D0EA6"/>
    <w:rsid w:val="003D0EA8"/>
    <w:rsid w:val="003D0F69"/>
    <w:rsid w:val="003D0FC6"/>
    <w:rsid w:val="003D1106"/>
    <w:rsid w:val="003D1141"/>
    <w:rsid w:val="003D128C"/>
    <w:rsid w:val="003D129F"/>
    <w:rsid w:val="003D1308"/>
    <w:rsid w:val="003D1589"/>
    <w:rsid w:val="003D160E"/>
    <w:rsid w:val="003D1B7C"/>
    <w:rsid w:val="003D1CA2"/>
    <w:rsid w:val="003D1CC3"/>
    <w:rsid w:val="003D1D88"/>
    <w:rsid w:val="003D1DF1"/>
    <w:rsid w:val="003D1EE6"/>
    <w:rsid w:val="003D1FF0"/>
    <w:rsid w:val="003D22DF"/>
    <w:rsid w:val="003D2326"/>
    <w:rsid w:val="003D235D"/>
    <w:rsid w:val="003D2455"/>
    <w:rsid w:val="003D2594"/>
    <w:rsid w:val="003D276E"/>
    <w:rsid w:val="003D278D"/>
    <w:rsid w:val="003D27D3"/>
    <w:rsid w:val="003D27F7"/>
    <w:rsid w:val="003D281D"/>
    <w:rsid w:val="003D2878"/>
    <w:rsid w:val="003D292F"/>
    <w:rsid w:val="003D2956"/>
    <w:rsid w:val="003D2A79"/>
    <w:rsid w:val="003D2B92"/>
    <w:rsid w:val="003D2BAD"/>
    <w:rsid w:val="003D2BB8"/>
    <w:rsid w:val="003D2C0F"/>
    <w:rsid w:val="003D2E84"/>
    <w:rsid w:val="003D3292"/>
    <w:rsid w:val="003D32D6"/>
    <w:rsid w:val="003D3491"/>
    <w:rsid w:val="003D35C3"/>
    <w:rsid w:val="003D366B"/>
    <w:rsid w:val="003D3686"/>
    <w:rsid w:val="003D36F3"/>
    <w:rsid w:val="003D38CE"/>
    <w:rsid w:val="003D38EF"/>
    <w:rsid w:val="003D39E4"/>
    <w:rsid w:val="003D3A5C"/>
    <w:rsid w:val="003D3CF0"/>
    <w:rsid w:val="003D3E9A"/>
    <w:rsid w:val="003D3F73"/>
    <w:rsid w:val="003D4029"/>
    <w:rsid w:val="003D413D"/>
    <w:rsid w:val="003D41F4"/>
    <w:rsid w:val="003D42EC"/>
    <w:rsid w:val="003D4461"/>
    <w:rsid w:val="003D4586"/>
    <w:rsid w:val="003D4606"/>
    <w:rsid w:val="003D46E9"/>
    <w:rsid w:val="003D46EF"/>
    <w:rsid w:val="003D470A"/>
    <w:rsid w:val="003D477D"/>
    <w:rsid w:val="003D4B2D"/>
    <w:rsid w:val="003D4BCC"/>
    <w:rsid w:val="003D4BD2"/>
    <w:rsid w:val="003D4BF5"/>
    <w:rsid w:val="003D4D4E"/>
    <w:rsid w:val="003D4FCD"/>
    <w:rsid w:val="003D5134"/>
    <w:rsid w:val="003D5144"/>
    <w:rsid w:val="003D52BB"/>
    <w:rsid w:val="003D52BF"/>
    <w:rsid w:val="003D52D6"/>
    <w:rsid w:val="003D532B"/>
    <w:rsid w:val="003D5442"/>
    <w:rsid w:val="003D5652"/>
    <w:rsid w:val="003D5697"/>
    <w:rsid w:val="003D5797"/>
    <w:rsid w:val="003D5883"/>
    <w:rsid w:val="003D5B8D"/>
    <w:rsid w:val="003D5BAD"/>
    <w:rsid w:val="003D5DD2"/>
    <w:rsid w:val="003D5E90"/>
    <w:rsid w:val="003D5FD2"/>
    <w:rsid w:val="003D5FE1"/>
    <w:rsid w:val="003D6178"/>
    <w:rsid w:val="003D6439"/>
    <w:rsid w:val="003D654D"/>
    <w:rsid w:val="003D6653"/>
    <w:rsid w:val="003D6909"/>
    <w:rsid w:val="003D69B1"/>
    <w:rsid w:val="003D69F3"/>
    <w:rsid w:val="003D6B25"/>
    <w:rsid w:val="003D6C04"/>
    <w:rsid w:val="003D6C6C"/>
    <w:rsid w:val="003D6C6E"/>
    <w:rsid w:val="003D6CD5"/>
    <w:rsid w:val="003D6CF9"/>
    <w:rsid w:val="003D6E6D"/>
    <w:rsid w:val="003D6F82"/>
    <w:rsid w:val="003D720F"/>
    <w:rsid w:val="003D7549"/>
    <w:rsid w:val="003D771B"/>
    <w:rsid w:val="003D785B"/>
    <w:rsid w:val="003D7860"/>
    <w:rsid w:val="003D7B49"/>
    <w:rsid w:val="003D7E05"/>
    <w:rsid w:val="003D7F44"/>
    <w:rsid w:val="003D7FF8"/>
    <w:rsid w:val="003E0143"/>
    <w:rsid w:val="003E02AA"/>
    <w:rsid w:val="003E04AD"/>
    <w:rsid w:val="003E05B9"/>
    <w:rsid w:val="003E071A"/>
    <w:rsid w:val="003E0741"/>
    <w:rsid w:val="003E07A0"/>
    <w:rsid w:val="003E0809"/>
    <w:rsid w:val="003E082A"/>
    <w:rsid w:val="003E09E3"/>
    <w:rsid w:val="003E0B1F"/>
    <w:rsid w:val="003E0CDD"/>
    <w:rsid w:val="003E0EF9"/>
    <w:rsid w:val="003E0EFB"/>
    <w:rsid w:val="003E0F4A"/>
    <w:rsid w:val="003E0F9A"/>
    <w:rsid w:val="003E10A2"/>
    <w:rsid w:val="003E11B5"/>
    <w:rsid w:val="003E11EA"/>
    <w:rsid w:val="003E12DC"/>
    <w:rsid w:val="003E15B3"/>
    <w:rsid w:val="003E1686"/>
    <w:rsid w:val="003E17BC"/>
    <w:rsid w:val="003E17D3"/>
    <w:rsid w:val="003E19C9"/>
    <w:rsid w:val="003E19DA"/>
    <w:rsid w:val="003E19E7"/>
    <w:rsid w:val="003E1CAE"/>
    <w:rsid w:val="003E1D67"/>
    <w:rsid w:val="003E1DE7"/>
    <w:rsid w:val="003E203A"/>
    <w:rsid w:val="003E219B"/>
    <w:rsid w:val="003E2215"/>
    <w:rsid w:val="003E2261"/>
    <w:rsid w:val="003E230B"/>
    <w:rsid w:val="003E233F"/>
    <w:rsid w:val="003E2349"/>
    <w:rsid w:val="003E23AD"/>
    <w:rsid w:val="003E25A1"/>
    <w:rsid w:val="003E25B7"/>
    <w:rsid w:val="003E2627"/>
    <w:rsid w:val="003E2662"/>
    <w:rsid w:val="003E274D"/>
    <w:rsid w:val="003E27D2"/>
    <w:rsid w:val="003E282D"/>
    <w:rsid w:val="003E2936"/>
    <w:rsid w:val="003E297A"/>
    <w:rsid w:val="003E2A1C"/>
    <w:rsid w:val="003E2A53"/>
    <w:rsid w:val="003E2ACC"/>
    <w:rsid w:val="003E2B21"/>
    <w:rsid w:val="003E2BA9"/>
    <w:rsid w:val="003E2BC5"/>
    <w:rsid w:val="003E2C4B"/>
    <w:rsid w:val="003E2CB9"/>
    <w:rsid w:val="003E2D21"/>
    <w:rsid w:val="003E2D9A"/>
    <w:rsid w:val="003E2DE6"/>
    <w:rsid w:val="003E2DF7"/>
    <w:rsid w:val="003E2E87"/>
    <w:rsid w:val="003E2EC6"/>
    <w:rsid w:val="003E2FFF"/>
    <w:rsid w:val="003E3036"/>
    <w:rsid w:val="003E309D"/>
    <w:rsid w:val="003E33A5"/>
    <w:rsid w:val="003E3420"/>
    <w:rsid w:val="003E3452"/>
    <w:rsid w:val="003E3480"/>
    <w:rsid w:val="003E36C3"/>
    <w:rsid w:val="003E36C9"/>
    <w:rsid w:val="003E3713"/>
    <w:rsid w:val="003E3891"/>
    <w:rsid w:val="003E395F"/>
    <w:rsid w:val="003E3ADB"/>
    <w:rsid w:val="003E3B71"/>
    <w:rsid w:val="003E3B7A"/>
    <w:rsid w:val="003E3CB6"/>
    <w:rsid w:val="003E3CE4"/>
    <w:rsid w:val="003E3DB7"/>
    <w:rsid w:val="003E3DB9"/>
    <w:rsid w:val="003E3DE4"/>
    <w:rsid w:val="003E3F2E"/>
    <w:rsid w:val="003E3FBC"/>
    <w:rsid w:val="003E400B"/>
    <w:rsid w:val="003E4033"/>
    <w:rsid w:val="003E42A7"/>
    <w:rsid w:val="003E4535"/>
    <w:rsid w:val="003E46FE"/>
    <w:rsid w:val="003E4ADF"/>
    <w:rsid w:val="003E4B0F"/>
    <w:rsid w:val="003E4C36"/>
    <w:rsid w:val="003E4C56"/>
    <w:rsid w:val="003E4F66"/>
    <w:rsid w:val="003E4FA1"/>
    <w:rsid w:val="003E519B"/>
    <w:rsid w:val="003E5260"/>
    <w:rsid w:val="003E52B4"/>
    <w:rsid w:val="003E540B"/>
    <w:rsid w:val="003E5479"/>
    <w:rsid w:val="003E548C"/>
    <w:rsid w:val="003E5502"/>
    <w:rsid w:val="003E5518"/>
    <w:rsid w:val="003E5534"/>
    <w:rsid w:val="003E559C"/>
    <w:rsid w:val="003E55B1"/>
    <w:rsid w:val="003E5727"/>
    <w:rsid w:val="003E5753"/>
    <w:rsid w:val="003E57EA"/>
    <w:rsid w:val="003E57F7"/>
    <w:rsid w:val="003E5843"/>
    <w:rsid w:val="003E58E6"/>
    <w:rsid w:val="003E5A15"/>
    <w:rsid w:val="003E5A74"/>
    <w:rsid w:val="003E5C1E"/>
    <w:rsid w:val="003E5C85"/>
    <w:rsid w:val="003E5D2B"/>
    <w:rsid w:val="003E5D40"/>
    <w:rsid w:val="003E5DD6"/>
    <w:rsid w:val="003E5F34"/>
    <w:rsid w:val="003E60A5"/>
    <w:rsid w:val="003E60E0"/>
    <w:rsid w:val="003E6191"/>
    <w:rsid w:val="003E62CC"/>
    <w:rsid w:val="003E6415"/>
    <w:rsid w:val="003E646A"/>
    <w:rsid w:val="003E6653"/>
    <w:rsid w:val="003E66D3"/>
    <w:rsid w:val="003E66E0"/>
    <w:rsid w:val="003E67DE"/>
    <w:rsid w:val="003E67F0"/>
    <w:rsid w:val="003E683E"/>
    <w:rsid w:val="003E69B1"/>
    <w:rsid w:val="003E69B7"/>
    <w:rsid w:val="003E69C4"/>
    <w:rsid w:val="003E69E1"/>
    <w:rsid w:val="003E6E26"/>
    <w:rsid w:val="003E6E31"/>
    <w:rsid w:val="003E7056"/>
    <w:rsid w:val="003E707E"/>
    <w:rsid w:val="003E708C"/>
    <w:rsid w:val="003E70E6"/>
    <w:rsid w:val="003E714A"/>
    <w:rsid w:val="003E72EC"/>
    <w:rsid w:val="003E7313"/>
    <w:rsid w:val="003E7345"/>
    <w:rsid w:val="003E7354"/>
    <w:rsid w:val="003E74F1"/>
    <w:rsid w:val="003E7623"/>
    <w:rsid w:val="003E773A"/>
    <w:rsid w:val="003E7759"/>
    <w:rsid w:val="003E77B3"/>
    <w:rsid w:val="003E7823"/>
    <w:rsid w:val="003E7833"/>
    <w:rsid w:val="003E78B1"/>
    <w:rsid w:val="003E78C6"/>
    <w:rsid w:val="003E791F"/>
    <w:rsid w:val="003E798A"/>
    <w:rsid w:val="003E79C1"/>
    <w:rsid w:val="003E7AA0"/>
    <w:rsid w:val="003E7AF0"/>
    <w:rsid w:val="003E7B49"/>
    <w:rsid w:val="003E7C28"/>
    <w:rsid w:val="003E7D31"/>
    <w:rsid w:val="003E7DE4"/>
    <w:rsid w:val="003E7EB3"/>
    <w:rsid w:val="003F0222"/>
    <w:rsid w:val="003F0236"/>
    <w:rsid w:val="003F0396"/>
    <w:rsid w:val="003F0538"/>
    <w:rsid w:val="003F0574"/>
    <w:rsid w:val="003F0838"/>
    <w:rsid w:val="003F099D"/>
    <w:rsid w:val="003F09A2"/>
    <w:rsid w:val="003F09EE"/>
    <w:rsid w:val="003F0A7B"/>
    <w:rsid w:val="003F0C15"/>
    <w:rsid w:val="003F0D0C"/>
    <w:rsid w:val="003F0DD0"/>
    <w:rsid w:val="003F0E0E"/>
    <w:rsid w:val="003F0E79"/>
    <w:rsid w:val="003F0F17"/>
    <w:rsid w:val="003F0F95"/>
    <w:rsid w:val="003F10AD"/>
    <w:rsid w:val="003F10DE"/>
    <w:rsid w:val="003F11FB"/>
    <w:rsid w:val="003F1203"/>
    <w:rsid w:val="003F122F"/>
    <w:rsid w:val="003F13CE"/>
    <w:rsid w:val="003F1467"/>
    <w:rsid w:val="003F151F"/>
    <w:rsid w:val="003F1568"/>
    <w:rsid w:val="003F1789"/>
    <w:rsid w:val="003F17AC"/>
    <w:rsid w:val="003F19D0"/>
    <w:rsid w:val="003F1A5E"/>
    <w:rsid w:val="003F1BD9"/>
    <w:rsid w:val="003F1C39"/>
    <w:rsid w:val="003F1C67"/>
    <w:rsid w:val="003F1F08"/>
    <w:rsid w:val="003F210E"/>
    <w:rsid w:val="003F226F"/>
    <w:rsid w:val="003F23CC"/>
    <w:rsid w:val="003F2408"/>
    <w:rsid w:val="003F24BC"/>
    <w:rsid w:val="003F2516"/>
    <w:rsid w:val="003F2543"/>
    <w:rsid w:val="003F262C"/>
    <w:rsid w:val="003F2791"/>
    <w:rsid w:val="003F27C4"/>
    <w:rsid w:val="003F2AE4"/>
    <w:rsid w:val="003F2BCF"/>
    <w:rsid w:val="003F2E27"/>
    <w:rsid w:val="003F2EBD"/>
    <w:rsid w:val="003F304A"/>
    <w:rsid w:val="003F309D"/>
    <w:rsid w:val="003F3181"/>
    <w:rsid w:val="003F32F8"/>
    <w:rsid w:val="003F33ED"/>
    <w:rsid w:val="003F3460"/>
    <w:rsid w:val="003F3510"/>
    <w:rsid w:val="003F35CD"/>
    <w:rsid w:val="003F35F2"/>
    <w:rsid w:val="003F3603"/>
    <w:rsid w:val="003F366E"/>
    <w:rsid w:val="003F36D6"/>
    <w:rsid w:val="003F37F6"/>
    <w:rsid w:val="003F38ED"/>
    <w:rsid w:val="003F3964"/>
    <w:rsid w:val="003F3A29"/>
    <w:rsid w:val="003F3ABC"/>
    <w:rsid w:val="003F3B6A"/>
    <w:rsid w:val="003F3B6C"/>
    <w:rsid w:val="003F3BFE"/>
    <w:rsid w:val="003F3C45"/>
    <w:rsid w:val="003F3F49"/>
    <w:rsid w:val="003F400E"/>
    <w:rsid w:val="003F4124"/>
    <w:rsid w:val="003F415E"/>
    <w:rsid w:val="003F41F3"/>
    <w:rsid w:val="003F4415"/>
    <w:rsid w:val="003F44D3"/>
    <w:rsid w:val="003F4500"/>
    <w:rsid w:val="003F4586"/>
    <w:rsid w:val="003F4619"/>
    <w:rsid w:val="003F47CA"/>
    <w:rsid w:val="003F47FA"/>
    <w:rsid w:val="003F4990"/>
    <w:rsid w:val="003F49F9"/>
    <w:rsid w:val="003F4AAC"/>
    <w:rsid w:val="003F4C8B"/>
    <w:rsid w:val="003F4CC3"/>
    <w:rsid w:val="003F4E13"/>
    <w:rsid w:val="003F4EFD"/>
    <w:rsid w:val="003F4F25"/>
    <w:rsid w:val="003F4F32"/>
    <w:rsid w:val="003F503F"/>
    <w:rsid w:val="003F505C"/>
    <w:rsid w:val="003F526C"/>
    <w:rsid w:val="003F5306"/>
    <w:rsid w:val="003F5447"/>
    <w:rsid w:val="003F545F"/>
    <w:rsid w:val="003F548D"/>
    <w:rsid w:val="003F54BD"/>
    <w:rsid w:val="003F5662"/>
    <w:rsid w:val="003F5737"/>
    <w:rsid w:val="003F5752"/>
    <w:rsid w:val="003F57B2"/>
    <w:rsid w:val="003F5853"/>
    <w:rsid w:val="003F587E"/>
    <w:rsid w:val="003F5985"/>
    <w:rsid w:val="003F5987"/>
    <w:rsid w:val="003F59E5"/>
    <w:rsid w:val="003F5A81"/>
    <w:rsid w:val="003F5A85"/>
    <w:rsid w:val="003F5AE4"/>
    <w:rsid w:val="003F5B5C"/>
    <w:rsid w:val="003F5D83"/>
    <w:rsid w:val="003F5FAC"/>
    <w:rsid w:val="003F6041"/>
    <w:rsid w:val="003F61D7"/>
    <w:rsid w:val="003F62B5"/>
    <w:rsid w:val="003F642B"/>
    <w:rsid w:val="003F6569"/>
    <w:rsid w:val="003F65E8"/>
    <w:rsid w:val="003F6663"/>
    <w:rsid w:val="003F6673"/>
    <w:rsid w:val="003F670C"/>
    <w:rsid w:val="003F67BD"/>
    <w:rsid w:val="003F69BC"/>
    <w:rsid w:val="003F6A5D"/>
    <w:rsid w:val="003F6B58"/>
    <w:rsid w:val="003F6C30"/>
    <w:rsid w:val="003F6DFA"/>
    <w:rsid w:val="003F70A6"/>
    <w:rsid w:val="003F71D0"/>
    <w:rsid w:val="003F7327"/>
    <w:rsid w:val="003F7499"/>
    <w:rsid w:val="003F7604"/>
    <w:rsid w:val="003F7625"/>
    <w:rsid w:val="003F7731"/>
    <w:rsid w:val="003F77A1"/>
    <w:rsid w:val="003F77FB"/>
    <w:rsid w:val="003F7867"/>
    <w:rsid w:val="003F7887"/>
    <w:rsid w:val="003F78B0"/>
    <w:rsid w:val="003F794C"/>
    <w:rsid w:val="003F7BE6"/>
    <w:rsid w:val="003F7D02"/>
    <w:rsid w:val="003F7D61"/>
    <w:rsid w:val="003F7DF1"/>
    <w:rsid w:val="003F7E64"/>
    <w:rsid w:val="003F7F98"/>
    <w:rsid w:val="0040000F"/>
    <w:rsid w:val="00400044"/>
    <w:rsid w:val="004001A0"/>
    <w:rsid w:val="004001AF"/>
    <w:rsid w:val="00400227"/>
    <w:rsid w:val="0040023E"/>
    <w:rsid w:val="0040028C"/>
    <w:rsid w:val="004003B6"/>
    <w:rsid w:val="00400410"/>
    <w:rsid w:val="00400542"/>
    <w:rsid w:val="00400568"/>
    <w:rsid w:val="0040060F"/>
    <w:rsid w:val="00400830"/>
    <w:rsid w:val="00400867"/>
    <w:rsid w:val="004008A7"/>
    <w:rsid w:val="004009D5"/>
    <w:rsid w:val="00400B1E"/>
    <w:rsid w:val="00400BA0"/>
    <w:rsid w:val="00400BAD"/>
    <w:rsid w:val="00400BC4"/>
    <w:rsid w:val="00400DE5"/>
    <w:rsid w:val="00400E97"/>
    <w:rsid w:val="00400EC6"/>
    <w:rsid w:val="00400ED1"/>
    <w:rsid w:val="00400F91"/>
    <w:rsid w:val="004010DF"/>
    <w:rsid w:val="0040113F"/>
    <w:rsid w:val="0040114E"/>
    <w:rsid w:val="004011F8"/>
    <w:rsid w:val="00401228"/>
    <w:rsid w:val="00401267"/>
    <w:rsid w:val="00401276"/>
    <w:rsid w:val="004012DC"/>
    <w:rsid w:val="004012FA"/>
    <w:rsid w:val="00401330"/>
    <w:rsid w:val="00401379"/>
    <w:rsid w:val="00401470"/>
    <w:rsid w:val="004014B7"/>
    <w:rsid w:val="004014E5"/>
    <w:rsid w:val="004015E7"/>
    <w:rsid w:val="004016D9"/>
    <w:rsid w:val="0040177B"/>
    <w:rsid w:val="004018E2"/>
    <w:rsid w:val="00401904"/>
    <w:rsid w:val="0040193D"/>
    <w:rsid w:val="00401AB8"/>
    <w:rsid w:val="00401B87"/>
    <w:rsid w:val="00401CAA"/>
    <w:rsid w:val="00401F44"/>
    <w:rsid w:val="00402095"/>
    <w:rsid w:val="004020B2"/>
    <w:rsid w:val="00402385"/>
    <w:rsid w:val="0040238D"/>
    <w:rsid w:val="00402441"/>
    <w:rsid w:val="00402498"/>
    <w:rsid w:val="004024C0"/>
    <w:rsid w:val="004024D5"/>
    <w:rsid w:val="0040251D"/>
    <w:rsid w:val="0040253B"/>
    <w:rsid w:val="0040255C"/>
    <w:rsid w:val="00402686"/>
    <w:rsid w:val="0040268E"/>
    <w:rsid w:val="004026BC"/>
    <w:rsid w:val="00402727"/>
    <w:rsid w:val="0040278B"/>
    <w:rsid w:val="0040287A"/>
    <w:rsid w:val="004029C9"/>
    <w:rsid w:val="004029F5"/>
    <w:rsid w:val="00402BAA"/>
    <w:rsid w:val="00402BD5"/>
    <w:rsid w:val="00402D7B"/>
    <w:rsid w:val="00402E06"/>
    <w:rsid w:val="00403029"/>
    <w:rsid w:val="00403080"/>
    <w:rsid w:val="0040313E"/>
    <w:rsid w:val="00403140"/>
    <w:rsid w:val="00403170"/>
    <w:rsid w:val="00403197"/>
    <w:rsid w:val="00403330"/>
    <w:rsid w:val="0040343F"/>
    <w:rsid w:val="00403566"/>
    <w:rsid w:val="004035B0"/>
    <w:rsid w:val="00403641"/>
    <w:rsid w:val="004036AE"/>
    <w:rsid w:val="0040383B"/>
    <w:rsid w:val="004039A4"/>
    <w:rsid w:val="00403A2D"/>
    <w:rsid w:val="00403B95"/>
    <w:rsid w:val="00403BE3"/>
    <w:rsid w:val="00403C36"/>
    <w:rsid w:val="00403C5C"/>
    <w:rsid w:val="00403D8E"/>
    <w:rsid w:val="00403E8A"/>
    <w:rsid w:val="0040404B"/>
    <w:rsid w:val="00404109"/>
    <w:rsid w:val="004042E6"/>
    <w:rsid w:val="004044A3"/>
    <w:rsid w:val="00404652"/>
    <w:rsid w:val="0040471F"/>
    <w:rsid w:val="00404780"/>
    <w:rsid w:val="00404785"/>
    <w:rsid w:val="004047A5"/>
    <w:rsid w:val="004048B6"/>
    <w:rsid w:val="00404974"/>
    <w:rsid w:val="00404980"/>
    <w:rsid w:val="0040499C"/>
    <w:rsid w:val="00404A93"/>
    <w:rsid w:val="00404ADF"/>
    <w:rsid w:val="00404D01"/>
    <w:rsid w:val="00404FDA"/>
    <w:rsid w:val="0040514E"/>
    <w:rsid w:val="00405208"/>
    <w:rsid w:val="0040530C"/>
    <w:rsid w:val="00405611"/>
    <w:rsid w:val="0040565F"/>
    <w:rsid w:val="004056B3"/>
    <w:rsid w:val="00405786"/>
    <w:rsid w:val="00405922"/>
    <w:rsid w:val="00405983"/>
    <w:rsid w:val="00405AB0"/>
    <w:rsid w:val="00405AB6"/>
    <w:rsid w:val="00405ADB"/>
    <w:rsid w:val="00405B64"/>
    <w:rsid w:val="00405BCB"/>
    <w:rsid w:val="00405BE8"/>
    <w:rsid w:val="00405BEC"/>
    <w:rsid w:val="00405C36"/>
    <w:rsid w:val="00405E99"/>
    <w:rsid w:val="00405F73"/>
    <w:rsid w:val="00405FB8"/>
    <w:rsid w:val="00405FE4"/>
    <w:rsid w:val="0040607A"/>
    <w:rsid w:val="00406112"/>
    <w:rsid w:val="00406119"/>
    <w:rsid w:val="0040625A"/>
    <w:rsid w:val="00406281"/>
    <w:rsid w:val="00406663"/>
    <w:rsid w:val="0040676C"/>
    <w:rsid w:val="004067B1"/>
    <w:rsid w:val="0040681A"/>
    <w:rsid w:val="004068B2"/>
    <w:rsid w:val="004068B6"/>
    <w:rsid w:val="00406C00"/>
    <w:rsid w:val="00406C4E"/>
    <w:rsid w:val="00406D8A"/>
    <w:rsid w:val="00406ECC"/>
    <w:rsid w:val="00406FF3"/>
    <w:rsid w:val="00406FF4"/>
    <w:rsid w:val="0040704F"/>
    <w:rsid w:val="00407086"/>
    <w:rsid w:val="00407178"/>
    <w:rsid w:val="00407352"/>
    <w:rsid w:val="00407460"/>
    <w:rsid w:val="004074F6"/>
    <w:rsid w:val="004075D5"/>
    <w:rsid w:val="004076F1"/>
    <w:rsid w:val="0040772D"/>
    <w:rsid w:val="00407848"/>
    <w:rsid w:val="00407ACF"/>
    <w:rsid w:val="00407B06"/>
    <w:rsid w:val="00407B32"/>
    <w:rsid w:val="00407B3C"/>
    <w:rsid w:val="00407BEF"/>
    <w:rsid w:val="00407EFD"/>
    <w:rsid w:val="00410161"/>
    <w:rsid w:val="00410347"/>
    <w:rsid w:val="00410382"/>
    <w:rsid w:val="00410449"/>
    <w:rsid w:val="0041053D"/>
    <w:rsid w:val="00410648"/>
    <w:rsid w:val="004107BB"/>
    <w:rsid w:val="004107FA"/>
    <w:rsid w:val="00410930"/>
    <w:rsid w:val="0041095A"/>
    <w:rsid w:val="00410A13"/>
    <w:rsid w:val="00410A40"/>
    <w:rsid w:val="00410B44"/>
    <w:rsid w:val="00410BFE"/>
    <w:rsid w:val="00410DBB"/>
    <w:rsid w:val="00410DC3"/>
    <w:rsid w:val="00410E75"/>
    <w:rsid w:val="00410F0F"/>
    <w:rsid w:val="004112E5"/>
    <w:rsid w:val="004113A2"/>
    <w:rsid w:val="00411408"/>
    <w:rsid w:val="00411428"/>
    <w:rsid w:val="00411482"/>
    <w:rsid w:val="004114D4"/>
    <w:rsid w:val="0041155F"/>
    <w:rsid w:val="0041159D"/>
    <w:rsid w:val="004117AF"/>
    <w:rsid w:val="00411813"/>
    <w:rsid w:val="004118D8"/>
    <w:rsid w:val="00411B58"/>
    <w:rsid w:val="00411B92"/>
    <w:rsid w:val="00411B99"/>
    <w:rsid w:val="00411C2B"/>
    <w:rsid w:val="00411C72"/>
    <w:rsid w:val="00411DD0"/>
    <w:rsid w:val="00411E11"/>
    <w:rsid w:val="00411EAC"/>
    <w:rsid w:val="00411EEE"/>
    <w:rsid w:val="00411F3F"/>
    <w:rsid w:val="00411FAC"/>
    <w:rsid w:val="00411FF6"/>
    <w:rsid w:val="00412113"/>
    <w:rsid w:val="0041213C"/>
    <w:rsid w:val="00412143"/>
    <w:rsid w:val="0041216E"/>
    <w:rsid w:val="00412171"/>
    <w:rsid w:val="004121CF"/>
    <w:rsid w:val="00412243"/>
    <w:rsid w:val="004122E5"/>
    <w:rsid w:val="0041237A"/>
    <w:rsid w:val="004124D0"/>
    <w:rsid w:val="0041252D"/>
    <w:rsid w:val="0041256C"/>
    <w:rsid w:val="0041269B"/>
    <w:rsid w:val="00412748"/>
    <w:rsid w:val="004127D9"/>
    <w:rsid w:val="00412903"/>
    <w:rsid w:val="00412928"/>
    <w:rsid w:val="004129EA"/>
    <w:rsid w:val="00412A62"/>
    <w:rsid w:val="00412A64"/>
    <w:rsid w:val="00412A99"/>
    <w:rsid w:val="00412BA4"/>
    <w:rsid w:val="00412BB3"/>
    <w:rsid w:val="00412C6B"/>
    <w:rsid w:val="00412D4D"/>
    <w:rsid w:val="00412DBB"/>
    <w:rsid w:val="004130D1"/>
    <w:rsid w:val="004130D7"/>
    <w:rsid w:val="00413161"/>
    <w:rsid w:val="004132ED"/>
    <w:rsid w:val="004133C1"/>
    <w:rsid w:val="0041354C"/>
    <w:rsid w:val="004135B1"/>
    <w:rsid w:val="00413612"/>
    <w:rsid w:val="004137D2"/>
    <w:rsid w:val="00413804"/>
    <w:rsid w:val="00413937"/>
    <w:rsid w:val="00413992"/>
    <w:rsid w:val="004139B6"/>
    <w:rsid w:val="00413A56"/>
    <w:rsid w:val="00413A87"/>
    <w:rsid w:val="00413AC5"/>
    <w:rsid w:val="00413B3F"/>
    <w:rsid w:val="00413C1B"/>
    <w:rsid w:val="00413C3B"/>
    <w:rsid w:val="00413C7F"/>
    <w:rsid w:val="00413CA6"/>
    <w:rsid w:val="00413D6D"/>
    <w:rsid w:val="00413DDF"/>
    <w:rsid w:val="00413FCA"/>
    <w:rsid w:val="00414003"/>
    <w:rsid w:val="00414038"/>
    <w:rsid w:val="00414097"/>
    <w:rsid w:val="0041422A"/>
    <w:rsid w:val="0041459D"/>
    <w:rsid w:val="0041462E"/>
    <w:rsid w:val="00414707"/>
    <w:rsid w:val="00414824"/>
    <w:rsid w:val="00414826"/>
    <w:rsid w:val="00414836"/>
    <w:rsid w:val="00414947"/>
    <w:rsid w:val="00414A07"/>
    <w:rsid w:val="00414ADD"/>
    <w:rsid w:val="00414C8E"/>
    <w:rsid w:val="00414CA8"/>
    <w:rsid w:val="00414D03"/>
    <w:rsid w:val="00414DA3"/>
    <w:rsid w:val="00414E77"/>
    <w:rsid w:val="00415004"/>
    <w:rsid w:val="004150F3"/>
    <w:rsid w:val="00415104"/>
    <w:rsid w:val="0041526B"/>
    <w:rsid w:val="0041527D"/>
    <w:rsid w:val="00415338"/>
    <w:rsid w:val="0041534B"/>
    <w:rsid w:val="0041546A"/>
    <w:rsid w:val="0041549B"/>
    <w:rsid w:val="00415502"/>
    <w:rsid w:val="00415548"/>
    <w:rsid w:val="00415654"/>
    <w:rsid w:val="00415696"/>
    <w:rsid w:val="0041573F"/>
    <w:rsid w:val="004157D9"/>
    <w:rsid w:val="00415819"/>
    <w:rsid w:val="00415B7A"/>
    <w:rsid w:val="00415B84"/>
    <w:rsid w:val="00415C18"/>
    <w:rsid w:val="00415C75"/>
    <w:rsid w:val="00415E48"/>
    <w:rsid w:val="00415F30"/>
    <w:rsid w:val="00415F87"/>
    <w:rsid w:val="00415FA1"/>
    <w:rsid w:val="004161A5"/>
    <w:rsid w:val="00416356"/>
    <w:rsid w:val="00416380"/>
    <w:rsid w:val="004163B2"/>
    <w:rsid w:val="004164BE"/>
    <w:rsid w:val="004164DD"/>
    <w:rsid w:val="004166B9"/>
    <w:rsid w:val="004166D7"/>
    <w:rsid w:val="00416833"/>
    <w:rsid w:val="0041685E"/>
    <w:rsid w:val="004168A3"/>
    <w:rsid w:val="00416901"/>
    <w:rsid w:val="00416A2B"/>
    <w:rsid w:val="00416AC1"/>
    <w:rsid w:val="00416B5F"/>
    <w:rsid w:val="00416B65"/>
    <w:rsid w:val="00416BEF"/>
    <w:rsid w:val="00416C34"/>
    <w:rsid w:val="00416C8E"/>
    <w:rsid w:val="00416DF0"/>
    <w:rsid w:val="00416F65"/>
    <w:rsid w:val="00416F66"/>
    <w:rsid w:val="00416FB1"/>
    <w:rsid w:val="00416FD2"/>
    <w:rsid w:val="004170C0"/>
    <w:rsid w:val="0041710A"/>
    <w:rsid w:val="00417149"/>
    <w:rsid w:val="00417289"/>
    <w:rsid w:val="00417332"/>
    <w:rsid w:val="0041733D"/>
    <w:rsid w:val="004173CD"/>
    <w:rsid w:val="004173E4"/>
    <w:rsid w:val="0041756A"/>
    <w:rsid w:val="00417899"/>
    <w:rsid w:val="0041791C"/>
    <w:rsid w:val="00417AE7"/>
    <w:rsid w:val="00417AFF"/>
    <w:rsid w:val="00417B2E"/>
    <w:rsid w:val="00417BC1"/>
    <w:rsid w:val="00417DFB"/>
    <w:rsid w:val="00417E15"/>
    <w:rsid w:val="00417E5B"/>
    <w:rsid w:val="00420009"/>
    <w:rsid w:val="00420101"/>
    <w:rsid w:val="00420167"/>
    <w:rsid w:val="004201B5"/>
    <w:rsid w:val="004201C0"/>
    <w:rsid w:val="004201F1"/>
    <w:rsid w:val="00420372"/>
    <w:rsid w:val="00420395"/>
    <w:rsid w:val="00420401"/>
    <w:rsid w:val="004204B5"/>
    <w:rsid w:val="00420587"/>
    <w:rsid w:val="004205F6"/>
    <w:rsid w:val="0042066D"/>
    <w:rsid w:val="00420736"/>
    <w:rsid w:val="0042099F"/>
    <w:rsid w:val="00420A96"/>
    <w:rsid w:val="00420AC8"/>
    <w:rsid w:val="00420DB0"/>
    <w:rsid w:val="00420DEE"/>
    <w:rsid w:val="00420EF4"/>
    <w:rsid w:val="00420F43"/>
    <w:rsid w:val="0042104F"/>
    <w:rsid w:val="00421088"/>
    <w:rsid w:val="004210B0"/>
    <w:rsid w:val="004212F9"/>
    <w:rsid w:val="00421334"/>
    <w:rsid w:val="00421414"/>
    <w:rsid w:val="0042161B"/>
    <w:rsid w:val="0042167F"/>
    <w:rsid w:val="004216A2"/>
    <w:rsid w:val="00421864"/>
    <w:rsid w:val="004218FD"/>
    <w:rsid w:val="00421917"/>
    <w:rsid w:val="00421A51"/>
    <w:rsid w:val="00421D38"/>
    <w:rsid w:val="00421D3D"/>
    <w:rsid w:val="00421D8A"/>
    <w:rsid w:val="00421DD6"/>
    <w:rsid w:val="00421ECE"/>
    <w:rsid w:val="00421EEA"/>
    <w:rsid w:val="00421F2F"/>
    <w:rsid w:val="00422015"/>
    <w:rsid w:val="004220D0"/>
    <w:rsid w:val="004221AF"/>
    <w:rsid w:val="004221F7"/>
    <w:rsid w:val="0042220F"/>
    <w:rsid w:val="00422358"/>
    <w:rsid w:val="0042241D"/>
    <w:rsid w:val="00422486"/>
    <w:rsid w:val="0042255B"/>
    <w:rsid w:val="00422567"/>
    <w:rsid w:val="0042257F"/>
    <w:rsid w:val="00422611"/>
    <w:rsid w:val="00422818"/>
    <w:rsid w:val="0042291A"/>
    <w:rsid w:val="004229BA"/>
    <w:rsid w:val="004229D8"/>
    <w:rsid w:val="004229E0"/>
    <w:rsid w:val="00422D22"/>
    <w:rsid w:val="00422D48"/>
    <w:rsid w:val="00422E9E"/>
    <w:rsid w:val="004230C0"/>
    <w:rsid w:val="00423179"/>
    <w:rsid w:val="0042323A"/>
    <w:rsid w:val="00423297"/>
    <w:rsid w:val="004232A2"/>
    <w:rsid w:val="00423352"/>
    <w:rsid w:val="0042346C"/>
    <w:rsid w:val="00423507"/>
    <w:rsid w:val="0042351D"/>
    <w:rsid w:val="0042387F"/>
    <w:rsid w:val="00423934"/>
    <w:rsid w:val="004239FD"/>
    <w:rsid w:val="00423A8E"/>
    <w:rsid w:val="00423AB6"/>
    <w:rsid w:val="00423B18"/>
    <w:rsid w:val="00423C24"/>
    <w:rsid w:val="00423DA5"/>
    <w:rsid w:val="00423E4B"/>
    <w:rsid w:val="00423E6F"/>
    <w:rsid w:val="00423E95"/>
    <w:rsid w:val="00423FB1"/>
    <w:rsid w:val="00423FEA"/>
    <w:rsid w:val="0042404A"/>
    <w:rsid w:val="004241F3"/>
    <w:rsid w:val="0042428C"/>
    <w:rsid w:val="0042431E"/>
    <w:rsid w:val="00424349"/>
    <w:rsid w:val="00424534"/>
    <w:rsid w:val="0042455F"/>
    <w:rsid w:val="0042490B"/>
    <w:rsid w:val="00424984"/>
    <w:rsid w:val="004249FE"/>
    <w:rsid w:val="00424A5A"/>
    <w:rsid w:val="00424B03"/>
    <w:rsid w:val="00424B3F"/>
    <w:rsid w:val="00424BE0"/>
    <w:rsid w:val="00424C33"/>
    <w:rsid w:val="00424D0C"/>
    <w:rsid w:val="00424D49"/>
    <w:rsid w:val="00424DBF"/>
    <w:rsid w:val="00424EC5"/>
    <w:rsid w:val="00424FE2"/>
    <w:rsid w:val="0042504B"/>
    <w:rsid w:val="00425095"/>
    <w:rsid w:val="004251F0"/>
    <w:rsid w:val="0042520A"/>
    <w:rsid w:val="00425372"/>
    <w:rsid w:val="004253F6"/>
    <w:rsid w:val="00425405"/>
    <w:rsid w:val="004254A1"/>
    <w:rsid w:val="00425562"/>
    <w:rsid w:val="004255C4"/>
    <w:rsid w:val="004256E2"/>
    <w:rsid w:val="004257D7"/>
    <w:rsid w:val="004257FA"/>
    <w:rsid w:val="00425901"/>
    <w:rsid w:val="00425A79"/>
    <w:rsid w:val="00425BAA"/>
    <w:rsid w:val="00425D64"/>
    <w:rsid w:val="00425E11"/>
    <w:rsid w:val="00425E1A"/>
    <w:rsid w:val="00425EF3"/>
    <w:rsid w:val="00425FE2"/>
    <w:rsid w:val="00426035"/>
    <w:rsid w:val="00426070"/>
    <w:rsid w:val="00426246"/>
    <w:rsid w:val="004262A5"/>
    <w:rsid w:val="00426445"/>
    <w:rsid w:val="00426474"/>
    <w:rsid w:val="004264B5"/>
    <w:rsid w:val="004264F9"/>
    <w:rsid w:val="00426558"/>
    <w:rsid w:val="0042663A"/>
    <w:rsid w:val="00426A2E"/>
    <w:rsid w:val="00426AC8"/>
    <w:rsid w:val="00426C19"/>
    <w:rsid w:val="00426D28"/>
    <w:rsid w:val="00426EF0"/>
    <w:rsid w:val="00426F68"/>
    <w:rsid w:val="00427077"/>
    <w:rsid w:val="0042709E"/>
    <w:rsid w:val="00427173"/>
    <w:rsid w:val="004271C9"/>
    <w:rsid w:val="004272B7"/>
    <w:rsid w:val="004273E3"/>
    <w:rsid w:val="00427442"/>
    <w:rsid w:val="0042748B"/>
    <w:rsid w:val="00427756"/>
    <w:rsid w:val="004277F3"/>
    <w:rsid w:val="004277FD"/>
    <w:rsid w:val="0042783E"/>
    <w:rsid w:val="004278CC"/>
    <w:rsid w:val="00427C70"/>
    <w:rsid w:val="00427E85"/>
    <w:rsid w:val="00427F6B"/>
    <w:rsid w:val="00427F7A"/>
    <w:rsid w:val="00427FBC"/>
    <w:rsid w:val="0043016F"/>
    <w:rsid w:val="004301AF"/>
    <w:rsid w:val="004301F9"/>
    <w:rsid w:val="00430226"/>
    <w:rsid w:val="0043045E"/>
    <w:rsid w:val="0043049B"/>
    <w:rsid w:val="00430564"/>
    <w:rsid w:val="0043065D"/>
    <w:rsid w:val="004306B3"/>
    <w:rsid w:val="004307B1"/>
    <w:rsid w:val="0043087C"/>
    <w:rsid w:val="00430916"/>
    <w:rsid w:val="004309F7"/>
    <w:rsid w:val="00430AA8"/>
    <w:rsid w:val="00430B03"/>
    <w:rsid w:val="00430B21"/>
    <w:rsid w:val="00430B2E"/>
    <w:rsid w:val="00430B79"/>
    <w:rsid w:val="00430CF3"/>
    <w:rsid w:val="00430D33"/>
    <w:rsid w:val="00430F56"/>
    <w:rsid w:val="00430FE8"/>
    <w:rsid w:val="00431019"/>
    <w:rsid w:val="004314C9"/>
    <w:rsid w:val="00431520"/>
    <w:rsid w:val="004315A3"/>
    <w:rsid w:val="00431885"/>
    <w:rsid w:val="004318B3"/>
    <w:rsid w:val="00431909"/>
    <w:rsid w:val="00431965"/>
    <w:rsid w:val="00431AB6"/>
    <w:rsid w:val="00431B42"/>
    <w:rsid w:val="00431B51"/>
    <w:rsid w:val="00431B63"/>
    <w:rsid w:val="00431B67"/>
    <w:rsid w:val="00431B96"/>
    <w:rsid w:val="00431B99"/>
    <w:rsid w:val="00431C0E"/>
    <w:rsid w:val="00431D35"/>
    <w:rsid w:val="00431E35"/>
    <w:rsid w:val="00431FD5"/>
    <w:rsid w:val="00432274"/>
    <w:rsid w:val="004322AD"/>
    <w:rsid w:val="00432322"/>
    <w:rsid w:val="004323EA"/>
    <w:rsid w:val="00432490"/>
    <w:rsid w:val="0043252F"/>
    <w:rsid w:val="004325A5"/>
    <w:rsid w:val="004326F9"/>
    <w:rsid w:val="0043273C"/>
    <w:rsid w:val="004328BE"/>
    <w:rsid w:val="0043292F"/>
    <w:rsid w:val="00432A10"/>
    <w:rsid w:val="00432A82"/>
    <w:rsid w:val="00432ABF"/>
    <w:rsid w:val="00432ADF"/>
    <w:rsid w:val="00432C34"/>
    <w:rsid w:val="00432CAB"/>
    <w:rsid w:val="00432D1E"/>
    <w:rsid w:val="00432E15"/>
    <w:rsid w:val="00432E1D"/>
    <w:rsid w:val="00432F07"/>
    <w:rsid w:val="00433170"/>
    <w:rsid w:val="0043319B"/>
    <w:rsid w:val="004332E7"/>
    <w:rsid w:val="00433504"/>
    <w:rsid w:val="004336BB"/>
    <w:rsid w:val="00433741"/>
    <w:rsid w:val="004337FF"/>
    <w:rsid w:val="0043392D"/>
    <w:rsid w:val="004339E3"/>
    <w:rsid w:val="00433A3E"/>
    <w:rsid w:val="00433A66"/>
    <w:rsid w:val="00433A9A"/>
    <w:rsid w:val="00433AF1"/>
    <w:rsid w:val="00433BCF"/>
    <w:rsid w:val="00433E01"/>
    <w:rsid w:val="00433E5D"/>
    <w:rsid w:val="00433ED2"/>
    <w:rsid w:val="00433EDE"/>
    <w:rsid w:val="004340EB"/>
    <w:rsid w:val="00434271"/>
    <w:rsid w:val="00434383"/>
    <w:rsid w:val="004344CC"/>
    <w:rsid w:val="0043452A"/>
    <w:rsid w:val="00434682"/>
    <w:rsid w:val="00434738"/>
    <w:rsid w:val="004347CC"/>
    <w:rsid w:val="004347EF"/>
    <w:rsid w:val="00434979"/>
    <w:rsid w:val="00434A71"/>
    <w:rsid w:val="00434AA3"/>
    <w:rsid w:val="00434B21"/>
    <w:rsid w:val="00434BBF"/>
    <w:rsid w:val="00434CD6"/>
    <w:rsid w:val="00434CF4"/>
    <w:rsid w:val="00434D68"/>
    <w:rsid w:val="00434E7B"/>
    <w:rsid w:val="00434EBB"/>
    <w:rsid w:val="00434FF6"/>
    <w:rsid w:val="004351C1"/>
    <w:rsid w:val="00435207"/>
    <w:rsid w:val="004352D9"/>
    <w:rsid w:val="004352ED"/>
    <w:rsid w:val="00435374"/>
    <w:rsid w:val="00435386"/>
    <w:rsid w:val="00435404"/>
    <w:rsid w:val="0043544F"/>
    <w:rsid w:val="0043548D"/>
    <w:rsid w:val="004354E0"/>
    <w:rsid w:val="004355D6"/>
    <w:rsid w:val="00435681"/>
    <w:rsid w:val="00435768"/>
    <w:rsid w:val="00435945"/>
    <w:rsid w:val="00435951"/>
    <w:rsid w:val="004359C2"/>
    <w:rsid w:val="00435A1E"/>
    <w:rsid w:val="00435AB1"/>
    <w:rsid w:val="00435AF5"/>
    <w:rsid w:val="00435B13"/>
    <w:rsid w:val="00435BD5"/>
    <w:rsid w:val="00435D3A"/>
    <w:rsid w:val="00435D93"/>
    <w:rsid w:val="00435DDE"/>
    <w:rsid w:val="00435E39"/>
    <w:rsid w:val="0043607C"/>
    <w:rsid w:val="004360EA"/>
    <w:rsid w:val="00436131"/>
    <w:rsid w:val="004361C1"/>
    <w:rsid w:val="004361F5"/>
    <w:rsid w:val="004362C0"/>
    <w:rsid w:val="0043634B"/>
    <w:rsid w:val="00436447"/>
    <w:rsid w:val="004364EF"/>
    <w:rsid w:val="004366F5"/>
    <w:rsid w:val="00436807"/>
    <w:rsid w:val="0043689E"/>
    <w:rsid w:val="0043697B"/>
    <w:rsid w:val="004369F9"/>
    <w:rsid w:val="00436A06"/>
    <w:rsid w:val="00436AC8"/>
    <w:rsid w:val="00436B73"/>
    <w:rsid w:val="00436C49"/>
    <w:rsid w:val="00436D5E"/>
    <w:rsid w:val="00436D76"/>
    <w:rsid w:val="00436E18"/>
    <w:rsid w:val="00436E85"/>
    <w:rsid w:val="00436F47"/>
    <w:rsid w:val="00437015"/>
    <w:rsid w:val="0043702B"/>
    <w:rsid w:val="00437090"/>
    <w:rsid w:val="00437135"/>
    <w:rsid w:val="004371FC"/>
    <w:rsid w:val="00437313"/>
    <w:rsid w:val="004373A1"/>
    <w:rsid w:val="004373D3"/>
    <w:rsid w:val="0043753B"/>
    <w:rsid w:val="00437547"/>
    <w:rsid w:val="004375BB"/>
    <w:rsid w:val="004375DF"/>
    <w:rsid w:val="0043761C"/>
    <w:rsid w:val="00437723"/>
    <w:rsid w:val="00437862"/>
    <w:rsid w:val="004379A4"/>
    <w:rsid w:val="004379F6"/>
    <w:rsid w:val="00437BA9"/>
    <w:rsid w:val="00437BBD"/>
    <w:rsid w:val="00437C69"/>
    <w:rsid w:val="00437C9C"/>
    <w:rsid w:val="00437D1C"/>
    <w:rsid w:val="00437D8C"/>
    <w:rsid w:val="00437F0E"/>
    <w:rsid w:val="00437F6B"/>
    <w:rsid w:val="0044005B"/>
    <w:rsid w:val="00440146"/>
    <w:rsid w:val="00440274"/>
    <w:rsid w:val="0044027C"/>
    <w:rsid w:val="0044032A"/>
    <w:rsid w:val="00440697"/>
    <w:rsid w:val="0044073F"/>
    <w:rsid w:val="00440842"/>
    <w:rsid w:val="004409A0"/>
    <w:rsid w:val="00440A54"/>
    <w:rsid w:val="00440BFA"/>
    <w:rsid w:val="00440C48"/>
    <w:rsid w:val="00440D4D"/>
    <w:rsid w:val="00440E0F"/>
    <w:rsid w:val="00440E2B"/>
    <w:rsid w:val="00440F8B"/>
    <w:rsid w:val="0044104B"/>
    <w:rsid w:val="00441084"/>
    <w:rsid w:val="00441096"/>
    <w:rsid w:val="00441336"/>
    <w:rsid w:val="0044153D"/>
    <w:rsid w:val="00441907"/>
    <w:rsid w:val="0044191A"/>
    <w:rsid w:val="00441943"/>
    <w:rsid w:val="0044198B"/>
    <w:rsid w:val="00441A05"/>
    <w:rsid w:val="00441AED"/>
    <w:rsid w:val="00441BE0"/>
    <w:rsid w:val="00441C5E"/>
    <w:rsid w:val="00441CB6"/>
    <w:rsid w:val="00441CCE"/>
    <w:rsid w:val="00441D7E"/>
    <w:rsid w:val="00441DCE"/>
    <w:rsid w:val="00441E0F"/>
    <w:rsid w:val="00441E27"/>
    <w:rsid w:val="00441E8D"/>
    <w:rsid w:val="00441F88"/>
    <w:rsid w:val="00441F9D"/>
    <w:rsid w:val="00441FA6"/>
    <w:rsid w:val="00441FEB"/>
    <w:rsid w:val="00442004"/>
    <w:rsid w:val="00442035"/>
    <w:rsid w:val="004420CC"/>
    <w:rsid w:val="00442186"/>
    <w:rsid w:val="00442247"/>
    <w:rsid w:val="004423BB"/>
    <w:rsid w:val="00442526"/>
    <w:rsid w:val="0044258C"/>
    <w:rsid w:val="004425FC"/>
    <w:rsid w:val="0044273D"/>
    <w:rsid w:val="00442777"/>
    <w:rsid w:val="004427F1"/>
    <w:rsid w:val="00442811"/>
    <w:rsid w:val="0044290E"/>
    <w:rsid w:val="00442A74"/>
    <w:rsid w:val="00442A91"/>
    <w:rsid w:val="00442AFF"/>
    <w:rsid w:val="00442B1E"/>
    <w:rsid w:val="00442B8E"/>
    <w:rsid w:val="00442C1D"/>
    <w:rsid w:val="00442CC5"/>
    <w:rsid w:val="00442E63"/>
    <w:rsid w:val="00442FAF"/>
    <w:rsid w:val="004430EE"/>
    <w:rsid w:val="004430FD"/>
    <w:rsid w:val="00443114"/>
    <w:rsid w:val="004431B8"/>
    <w:rsid w:val="00443249"/>
    <w:rsid w:val="004432CD"/>
    <w:rsid w:val="004433B3"/>
    <w:rsid w:val="0044349D"/>
    <w:rsid w:val="004434A5"/>
    <w:rsid w:val="00443500"/>
    <w:rsid w:val="004435C6"/>
    <w:rsid w:val="004439AD"/>
    <w:rsid w:val="00443D94"/>
    <w:rsid w:val="00443E02"/>
    <w:rsid w:val="00443E4E"/>
    <w:rsid w:val="00443ECB"/>
    <w:rsid w:val="00443F15"/>
    <w:rsid w:val="0044409C"/>
    <w:rsid w:val="0044416E"/>
    <w:rsid w:val="0044419E"/>
    <w:rsid w:val="0044421E"/>
    <w:rsid w:val="0044423A"/>
    <w:rsid w:val="00444290"/>
    <w:rsid w:val="0044435D"/>
    <w:rsid w:val="004443DD"/>
    <w:rsid w:val="004446FB"/>
    <w:rsid w:val="00444736"/>
    <w:rsid w:val="00444751"/>
    <w:rsid w:val="0044498B"/>
    <w:rsid w:val="00444B27"/>
    <w:rsid w:val="00444B68"/>
    <w:rsid w:val="00444BAF"/>
    <w:rsid w:val="00444D66"/>
    <w:rsid w:val="00444DC7"/>
    <w:rsid w:val="00444E9D"/>
    <w:rsid w:val="00444EE0"/>
    <w:rsid w:val="00444FB3"/>
    <w:rsid w:val="00444FDC"/>
    <w:rsid w:val="00444FE1"/>
    <w:rsid w:val="004450B7"/>
    <w:rsid w:val="004450E2"/>
    <w:rsid w:val="00445264"/>
    <w:rsid w:val="00445268"/>
    <w:rsid w:val="0044550D"/>
    <w:rsid w:val="00445786"/>
    <w:rsid w:val="004458C7"/>
    <w:rsid w:val="004458F3"/>
    <w:rsid w:val="00445AF4"/>
    <w:rsid w:val="00445B0F"/>
    <w:rsid w:val="00445C04"/>
    <w:rsid w:val="00445C1B"/>
    <w:rsid w:val="00445C25"/>
    <w:rsid w:val="00445C3F"/>
    <w:rsid w:val="00445E58"/>
    <w:rsid w:val="00445EC3"/>
    <w:rsid w:val="00445EC4"/>
    <w:rsid w:val="00445F0A"/>
    <w:rsid w:val="00445F6A"/>
    <w:rsid w:val="00446030"/>
    <w:rsid w:val="00446093"/>
    <w:rsid w:val="004460A0"/>
    <w:rsid w:val="004461C1"/>
    <w:rsid w:val="0044635F"/>
    <w:rsid w:val="00446610"/>
    <w:rsid w:val="004466B2"/>
    <w:rsid w:val="00446702"/>
    <w:rsid w:val="00446735"/>
    <w:rsid w:val="004467B2"/>
    <w:rsid w:val="004468CB"/>
    <w:rsid w:val="00446B1F"/>
    <w:rsid w:val="00446CD8"/>
    <w:rsid w:val="00446D99"/>
    <w:rsid w:val="00446DCB"/>
    <w:rsid w:val="00446E37"/>
    <w:rsid w:val="00446ECD"/>
    <w:rsid w:val="00446F36"/>
    <w:rsid w:val="00447168"/>
    <w:rsid w:val="004471ED"/>
    <w:rsid w:val="004472A3"/>
    <w:rsid w:val="004472DD"/>
    <w:rsid w:val="00447435"/>
    <w:rsid w:val="004475F5"/>
    <w:rsid w:val="0044780F"/>
    <w:rsid w:val="0044795B"/>
    <w:rsid w:val="004479B1"/>
    <w:rsid w:val="004479BC"/>
    <w:rsid w:val="004479F0"/>
    <w:rsid w:val="00447BDE"/>
    <w:rsid w:val="00447C4C"/>
    <w:rsid w:val="00447D4C"/>
    <w:rsid w:val="00447D64"/>
    <w:rsid w:val="00447E00"/>
    <w:rsid w:val="00447E98"/>
    <w:rsid w:val="00447FBE"/>
    <w:rsid w:val="00447FD4"/>
    <w:rsid w:val="00447FE8"/>
    <w:rsid w:val="00450058"/>
    <w:rsid w:val="0045005C"/>
    <w:rsid w:val="004501C0"/>
    <w:rsid w:val="004501DF"/>
    <w:rsid w:val="0045022A"/>
    <w:rsid w:val="0045042B"/>
    <w:rsid w:val="00450441"/>
    <w:rsid w:val="004504B6"/>
    <w:rsid w:val="0045051C"/>
    <w:rsid w:val="0045051F"/>
    <w:rsid w:val="00450592"/>
    <w:rsid w:val="0045070C"/>
    <w:rsid w:val="00450784"/>
    <w:rsid w:val="004507B5"/>
    <w:rsid w:val="00450961"/>
    <w:rsid w:val="00450A1D"/>
    <w:rsid w:val="00450B8A"/>
    <w:rsid w:val="00450C93"/>
    <w:rsid w:val="00450D73"/>
    <w:rsid w:val="00450D79"/>
    <w:rsid w:val="00450E54"/>
    <w:rsid w:val="00450F48"/>
    <w:rsid w:val="00451043"/>
    <w:rsid w:val="00451129"/>
    <w:rsid w:val="00451299"/>
    <w:rsid w:val="004513F7"/>
    <w:rsid w:val="0045142D"/>
    <w:rsid w:val="00451486"/>
    <w:rsid w:val="004515B0"/>
    <w:rsid w:val="00451671"/>
    <w:rsid w:val="004516AB"/>
    <w:rsid w:val="0045178C"/>
    <w:rsid w:val="004517A5"/>
    <w:rsid w:val="00451889"/>
    <w:rsid w:val="00451A57"/>
    <w:rsid w:val="00451A60"/>
    <w:rsid w:val="00451A8B"/>
    <w:rsid w:val="00451AA3"/>
    <w:rsid w:val="00451D3E"/>
    <w:rsid w:val="00451DCB"/>
    <w:rsid w:val="00451DEF"/>
    <w:rsid w:val="00451EE2"/>
    <w:rsid w:val="00451F75"/>
    <w:rsid w:val="00451FD2"/>
    <w:rsid w:val="00451FE0"/>
    <w:rsid w:val="00452295"/>
    <w:rsid w:val="00452348"/>
    <w:rsid w:val="00452465"/>
    <w:rsid w:val="00452522"/>
    <w:rsid w:val="004525C6"/>
    <w:rsid w:val="004526CA"/>
    <w:rsid w:val="00452898"/>
    <w:rsid w:val="004528A4"/>
    <w:rsid w:val="00452923"/>
    <w:rsid w:val="00452A91"/>
    <w:rsid w:val="00452B11"/>
    <w:rsid w:val="00452BA3"/>
    <w:rsid w:val="00452C33"/>
    <w:rsid w:val="00452D95"/>
    <w:rsid w:val="00452E79"/>
    <w:rsid w:val="00452EDF"/>
    <w:rsid w:val="00452F71"/>
    <w:rsid w:val="00452F72"/>
    <w:rsid w:val="00453149"/>
    <w:rsid w:val="0045325E"/>
    <w:rsid w:val="0045326F"/>
    <w:rsid w:val="0045329C"/>
    <w:rsid w:val="004532B9"/>
    <w:rsid w:val="0045336A"/>
    <w:rsid w:val="00453602"/>
    <w:rsid w:val="00453658"/>
    <w:rsid w:val="004536AE"/>
    <w:rsid w:val="00453705"/>
    <w:rsid w:val="00453722"/>
    <w:rsid w:val="004538E5"/>
    <w:rsid w:val="0045399D"/>
    <w:rsid w:val="00453A69"/>
    <w:rsid w:val="00453BBC"/>
    <w:rsid w:val="00453C02"/>
    <w:rsid w:val="00453E6B"/>
    <w:rsid w:val="00453F75"/>
    <w:rsid w:val="00453FEE"/>
    <w:rsid w:val="0045413F"/>
    <w:rsid w:val="0045429D"/>
    <w:rsid w:val="00454337"/>
    <w:rsid w:val="004543EA"/>
    <w:rsid w:val="00454503"/>
    <w:rsid w:val="00454527"/>
    <w:rsid w:val="00454726"/>
    <w:rsid w:val="004547A5"/>
    <w:rsid w:val="00454837"/>
    <w:rsid w:val="00454A52"/>
    <w:rsid w:val="00454A5D"/>
    <w:rsid w:val="00454A68"/>
    <w:rsid w:val="00454B60"/>
    <w:rsid w:val="00454C08"/>
    <w:rsid w:val="00454D10"/>
    <w:rsid w:val="00454DCA"/>
    <w:rsid w:val="00454DF2"/>
    <w:rsid w:val="00454F00"/>
    <w:rsid w:val="0045508E"/>
    <w:rsid w:val="004550B1"/>
    <w:rsid w:val="004550FB"/>
    <w:rsid w:val="0045517C"/>
    <w:rsid w:val="00455193"/>
    <w:rsid w:val="00455210"/>
    <w:rsid w:val="004553D1"/>
    <w:rsid w:val="0045544C"/>
    <w:rsid w:val="00455514"/>
    <w:rsid w:val="00455584"/>
    <w:rsid w:val="004555CE"/>
    <w:rsid w:val="00455705"/>
    <w:rsid w:val="00455796"/>
    <w:rsid w:val="004557AD"/>
    <w:rsid w:val="0045580F"/>
    <w:rsid w:val="0045597B"/>
    <w:rsid w:val="004559B1"/>
    <w:rsid w:val="00455AA1"/>
    <w:rsid w:val="00455CD4"/>
    <w:rsid w:val="00455CF9"/>
    <w:rsid w:val="00455D23"/>
    <w:rsid w:val="0045601A"/>
    <w:rsid w:val="00456074"/>
    <w:rsid w:val="00456149"/>
    <w:rsid w:val="00456252"/>
    <w:rsid w:val="0045625D"/>
    <w:rsid w:val="0045649B"/>
    <w:rsid w:val="00456525"/>
    <w:rsid w:val="00456669"/>
    <w:rsid w:val="004566BB"/>
    <w:rsid w:val="0045670C"/>
    <w:rsid w:val="00456752"/>
    <w:rsid w:val="0045676C"/>
    <w:rsid w:val="00456826"/>
    <w:rsid w:val="00456837"/>
    <w:rsid w:val="00456866"/>
    <w:rsid w:val="00456B94"/>
    <w:rsid w:val="00456BAB"/>
    <w:rsid w:val="00456C14"/>
    <w:rsid w:val="00457032"/>
    <w:rsid w:val="004570A9"/>
    <w:rsid w:val="004570DA"/>
    <w:rsid w:val="004570F4"/>
    <w:rsid w:val="004574BC"/>
    <w:rsid w:val="004574DD"/>
    <w:rsid w:val="004575BB"/>
    <w:rsid w:val="004575FA"/>
    <w:rsid w:val="004575FD"/>
    <w:rsid w:val="0045761A"/>
    <w:rsid w:val="0045766E"/>
    <w:rsid w:val="00457AFD"/>
    <w:rsid w:val="00457B16"/>
    <w:rsid w:val="00457B9C"/>
    <w:rsid w:val="00457C98"/>
    <w:rsid w:val="00457CAE"/>
    <w:rsid w:val="00457CDA"/>
    <w:rsid w:val="00457CE1"/>
    <w:rsid w:val="00457D63"/>
    <w:rsid w:val="00457EE2"/>
    <w:rsid w:val="0045BE25"/>
    <w:rsid w:val="00460740"/>
    <w:rsid w:val="00460759"/>
    <w:rsid w:val="00460787"/>
    <w:rsid w:val="004607D3"/>
    <w:rsid w:val="00460B47"/>
    <w:rsid w:val="00460B5E"/>
    <w:rsid w:val="00460DBC"/>
    <w:rsid w:val="004610C4"/>
    <w:rsid w:val="00461125"/>
    <w:rsid w:val="0046114F"/>
    <w:rsid w:val="004612B3"/>
    <w:rsid w:val="00461312"/>
    <w:rsid w:val="00461394"/>
    <w:rsid w:val="004614B9"/>
    <w:rsid w:val="004614D7"/>
    <w:rsid w:val="004614F3"/>
    <w:rsid w:val="00461633"/>
    <w:rsid w:val="004617D8"/>
    <w:rsid w:val="004618E2"/>
    <w:rsid w:val="0046194E"/>
    <w:rsid w:val="004619AB"/>
    <w:rsid w:val="00461A66"/>
    <w:rsid w:val="00461B75"/>
    <w:rsid w:val="00461B7E"/>
    <w:rsid w:val="00461C99"/>
    <w:rsid w:val="00461CFA"/>
    <w:rsid w:val="00461CFC"/>
    <w:rsid w:val="00461D3E"/>
    <w:rsid w:val="00461E57"/>
    <w:rsid w:val="00461F3C"/>
    <w:rsid w:val="00461FA1"/>
    <w:rsid w:val="004620DF"/>
    <w:rsid w:val="004620F5"/>
    <w:rsid w:val="0046213A"/>
    <w:rsid w:val="004621C1"/>
    <w:rsid w:val="00462289"/>
    <w:rsid w:val="004622D5"/>
    <w:rsid w:val="004622E4"/>
    <w:rsid w:val="004622EB"/>
    <w:rsid w:val="00462307"/>
    <w:rsid w:val="004623D2"/>
    <w:rsid w:val="0046245C"/>
    <w:rsid w:val="00462655"/>
    <w:rsid w:val="00462761"/>
    <w:rsid w:val="00462781"/>
    <w:rsid w:val="00462800"/>
    <w:rsid w:val="00462993"/>
    <w:rsid w:val="00462BEE"/>
    <w:rsid w:val="00462CA9"/>
    <w:rsid w:val="00462DFA"/>
    <w:rsid w:val="00462E07"/>
    <w:rsid w:val="00463093"/>
    <w:rsid w:val="0046310D"/>
    <w:rsid w:val="00463126"/>
    <w:rsid w:val="00463370"/>
    <w:rsid w:val="00463398"/>
    <w:rsid w:val="004633E1"/>
    <w:rsid w:val="0046342F"/>
    <w:rsid w:val="004635FE"/>
    <w:rsid w:val="00463618"/>
    <w:rsid w:val="004638E4"/>
    <w:rsid w:val="0046394E"/>
    <w:rsid w:val="00463AF5"/>
    <w:rsid w:val="00463B0A"/>
    <w:rsid w:val="00463E63"/>
    <w:rsid w:val="00463EE0"/>
    <w:rsid w:val="0046402B"/>
    <w:rsid w:val="004640FD"/>
    <w:rsid w:val="00464163"/>
    <w:rsid w:val="00464183"/>
    <w:rsid w:val="00464335"/>
    <w:rsid w:val="00464393"/>
    <w:rsid w:val="004643B8"/>
    <w:rsid w:val="00464491"/>
    <w:rsid w:val="004644FE"/>
    <w:rsid w:val="0046467E"/>
    <w:rsid w:val="004646A6"/>
    <w:rsid w:val="0046475D"/>
    <w:rsid w:val="004647A6"/>
    <w:rsid w:val="0046495E"/>
    <w:rsid w:val="00464986"/>
    <w:rsid w:val="00464B90"/>
    <w:rsid w:val="00464D32"/>
    <w:rsid w:val="00464D94"/>
    <w:rsid w:val="00464FA4"/>
    <w:rsid w:val="00464FAD"/>
    <w:rsid w:val="004651AE"/>
    <w:rsid w:val="004651C8"/>
    <w:rsid w:val="00465213"/>
    <w:rsid w:val="00465225"/>
    <w:rsid w:val="0046531C"/>
    <w:rsid w:val="00465328"/>
    <w:rsid w:val="00465343"/>
    <w:rsid w:val="004653CD"/>
    <w:rsid w:val="00465462"/>
    <w:rsid w:val="004654AB"/>
    <w:rsid w:val="00465639"/>
    <w:rsid w:val="004656FB"/>
    <w:rsid w:val="004656FE"/>
    <w:rsid w:val="00465721"/>
    <w:rsid w:val="004658AC"/>
    <w:rsid w:val="00465963"/>
    <w:rsid w:val="00465A1F"/>
    <w:rsid w:val="00465A6B"/>
    <w:rsid w:val="00465A95"/>
    <w:rsid w:val="00465B38"/>
    <w:rsid w:val="00465B65"/>
    <w:rsid w:val="00465BCC"/>
    <w:rsid w:val="00465D5F"/>
    <w:rsid w:val="004660FC"/>
    <w:rsid w:val="004661F7"/>
    <w:rsid w:val="004662BF"/>
    <w:rsid w:val="00466369"/>
    <w:rsid w:val="0046646D"/>
    <w:rsid w:val="00466478"/>
    <w:rsid w:val="00466554"/>
    <w:rsid w:val="0046655E"/>
    <w:rsid w:val="00466580"/>
    <w:rsid w:val="00466823"/>
    <w:rsid w:val="0046688B"/>
    <w:rsid w:val="00466892"/>
    <w:rsid w:val="0046693D"/>
    <w:rsid w:val="00466A09"/>
    <w:rsid w:val="00466B13"/>
    <w:rsid w:val="00466BB9"/>
    <w:rsid w:val="00466CBA"/>
    <w:rsid w:val="00466E61"/>
    <w:rsid w:val="00466EC3"/>
    <w:rsid w:val="0046714E"/>
    <w:rsid w:val="00467165"/>
    <w:rsid w:val="00467184"/>
    <w:rsid w:val="00467275"/>
    <w:rsid w:val="004672D7"/>
    <w:rsid w:val="00467324"/>
    <w:rsid w:val="00467625"/>
    <w:rsid w:val="00467720"/>
    <w:rsid w:val="0046780C"/>
    <w:rsid w:val="00467865"/>
    <w:rsid w:val="004678A5"/>
    <w:rsid w:val="00467919"/>
    <w:rsid w:val="004679DF"/>
    <w:rsid w:val="00467A65"/>
    <w:rsid w:val="00467A93"/>
    <w:rsid w:val="00467A96"/>
    <w:rsid w:val="00467AAC"/>
    <w:rsid w:val="00467B3F"/>
    <w:rsid w:val="00467B8F"/>
    <w:rsid w:val="00467BDF"/>
    <w:rsid w:val="00467C8E"/>
    <w:rsid w:val="00467DA3"/>
    <w:rsid w:val="00467EC4"/>
    <w:rsid w:val="00467F87"/>
    <w:rsid w:val="00467FB3"/>
    <w:rsid w:val="0047007B"/>
    <w:rsid w:val="004701ED"/>
    <w:rsid w:val="0047028A"/>
    <w:rsid w:val="004702B0"/>
    <w:rsid w:val="0047064A"/>
    <w:rsid w:val="0047071A"/>
    <w:rsid w:val="00470942"/>
    <w:rsid w:val="004709D9"/>
    <w:rsid w:val="00470A34"/>
    <w:rsid w:val="00470ADD"/>
    <w:rsid w:val="00470AFA"/>
    <w:rsid w:val="00470BB7"/>
    <w:rsid w:val="00470E2B"/>
    <w:rsid w:val="00470EDE"/>
    <w:rsid w:val="00470F1F"/>
    <w:rsid w:val="00470F25"/>
    <w:rsid w:val="00471126"/>
    <w:rsid w:val="00471135"/>
    <w:rsid w:val="00471171"/>
    <w:rsid w:val="004711DE"/>
    <w:rsid w:val="0047121A"/>
    <w:rsid w:val="0047129A"/>
    <w:rsid w:val="004712A0"/>
    <w:rsid w:val="004712E8"/>
    <w:rsid w:val="004713B3"/>
    <w:rsid w:val="004713FE"/>
    <w:rsid w:val="00471528"/>
    <w:rsid w:val="00471638"/>
    <w:rsid w:val="00471670"/>
    <w:rsid w:val="004716AF"/>
    <w:rsid w:val="004716E3"/>
    <w:rsid w:val="004717EB"/>
    <w:rsid w:val="004717F1"/>
    <w:rsid w:val="00471B13"/>
    <w:rsid w:val="00471B85"/>
    <w:rsid w:val="00471BE5"/>
    <w:rsid w:val="00471CC2"/>
    <w:rsid w:val="00471DA0"/>
    <w:rsid w:val="00472031"/>
    <w:rsid w:val="00472035"/>
    <w:rsid w:val="004720D8"/>
    <w:rsid w:val="0047217F"/>
    <w:rsid w:val="004721BD"/>
    <w:rsid w:val="004722C4"/>
    <w:rsid w:val="00472398"/>
    <w:rsid w:val="00472792"/>
    <w:rsid w:val="00472866"/>
    <w:rsid w:val="00472A17"/>
    <w:rsid w:val="00472A79"/>
    <w:rsid w:val="00472AB0"/>
    <w:rsid w:val="00472AF6"/>
    <w:rsid w:val="00472B25"/>
    <w:rsid w:val="00472ED4"/>
    <w:rsid w:val="00472F13"/>
    <w:rsid w:val="0047313E"/>
    <w:rsid w:val="00473478"/>
    <w:rsid w:val="00473499"/>
    <w:rsid w:val="004736B2"/>
    <w:rsid w:val="00473713"/>
    <w:rsid w:val="00473776"/>
    <w:rsid w:val="004739AA"/>
    <w:rsid w:val="00473B30"/>
    <w:rsid w:val="00473BCB"/>
    <w:rsid w:val="00473BDA"/>
    <w:rsid w:val="00473DDE"/>
    <w:rsid w:val="00473E46"/>
    <w:rsid w:val="00473EFD"/>
    <w:rsid w:val="004740E2"/>
    <w:rsid w:val="004740F4"/>
    <w:rsid w:val="0047432A"/>
    <w:rsid w:val="00474372"/>
    <w:rsid w:val="004744EB"/>
    <w:rsid w:val="004744EC"/>
    <w:rsid w:val="00474514"/>
    <w:rsid w:val="004746DF"/>
    <w:rsid w:val="0047477E"/>
    <w:rsid w:val="004747DC"/>
    <w:rsid w:val="004747EB"/>
    <w:rsid w:val="0047485B"/>
    <w:rsid w:val="004748EE"/>
    <w:rsid w:val="00474963"/>
    <w:rsid w:val="00474B11"/>
    <w:rsid w:val="00474D4B"/>
    <w:rsid w:val="00474DA1"/>
    <w:rsid w:val="00474E81"/>
    <w:rsid w:val="00474E88"/>
    <w:rsid w:val="00474EB1"/>
    <w:rsid w:val="00474F14"/>
    <w:rsid w:val="00474F3A"/>
    <w:rsid w:val="00474F46"/>
    <w:rsid w:val="00475074"/>
    <w:rsid w:val="00475086"/>
    <w:rsid w:val="0047509F"/>
    <w:rsid w:val="00475146"/>
    <w:rsid w:val="004751AE"/>
    <w:rsid w:val="004753A0"/>
    <w:rsid w:val="00475450"/>
    <w:rsid w:val="004754C0"/>
    <w:rsid w:val="00475722"/>
    <w:rsid w:val="0047574E"/>
    <w:rsid w:val="00475805"/>
    <w:rsid w:val="00475950"/>
    <w:rsid w:val="00475992"/>
    <w:rsid w:val="00475A20"/>
    <w:rsid w:val="00475B86"/>
    <w:rsid w:val="00475B91"/>
    <w:rsid w:val="00475C50"/>
    <w:rsid w:val="00475C8F"/>
    <w:rsid w:val="00475F12"/>
    <w:rsid w:val="00475F4E"/>
    <w:rsid w:val="0047613E"/>
    <w:rsid w:val="004761EB"/>
    <w:rsid w:val="0047628F"/>
    <w:rsid w:val="004765BA"/>
    <w:rsid w:val="0047672C"/>
    <w:rsid w:val="004767CD"/>
    <w:rsid w:val="004768F1"/>
    <w:rsid w:val="00476914"/>
    <w:rsid w:val="00476967"/>
    <w:rsid w:val="00476998"/>
    <w:rsid w:val="004769FA"/>
    <w:rsid w:val="00476A19"/>
    <w:rsid w:val="00476A3F"/>
    <w:rsid w:val="00476ABF"/>
    <w:rsid w:val="00476B3B"/>
    <w:rsid w:val="00476B5E"/>
    <w:rsid w:val="00476C14"/>
    <w:rsid w:val="00476C1B"/>
    <w:rsid w:val="00476D6B"/>
    <w:rsid w:val="00476F2A"/>
    <w:rsid w:val="00476F5B"/>
    <w:rsid w:val="00476FF6"/>
    <w:rsid w:val="00477012"/>
    <w:rsid w:val="00477186"/>
    <w:rsid w:val="0047718D"/>
    <w:rsid w:val="0047743E"/>
    <w:rsid w:val="0047759B"/>
    <w:rsid w:val="00477803"/>
    <w:rsid w:val="00477855"/>
    <w:rsid w:val="0047785D"/>
    <w:rsid w:val="004778B7"/>
    <w:rsid w:val="0047798C"/>
    <w:rsid w:val="00477B65"/>
    <w:rsid w:val="00477CAE"/>
    <w:rsid w:val="00477D23"/>
    <w:rsid w:val="00477EBD"/>
    <w:rsid w:val="00477F1E"/>
    <w:rsid w:val="00477F3E"/>
    <w:rsid w:val="00480013"/>
    <w:rsid w:val="004801FF"/>
    <w:rsid w:val="004802F6"/>
    <w:rsid w:val="00480344"/>
    <w:rsid w:val="0048039E"/>
    <w:rsid w:val="004804F3"/>
    <w:rsid w:val="00480706"/>
    <w:rsid w:val="0048074A"/>
    <w:rsid w:val="004808BA"/>
    <w:rsid w:val="004809C1"/>
    <w:rsid w:val="00480A21"/>
    <w:rsid w:val="00480A91"/>
    <w:rsid w:val="00480C30"/>
    <w:rsid w:val="00480C3C"/>
    <w:rsid w:val="00480C84"/>
    <w:rsid w:val="00480D44"/>
    <w:rsid w:val="00480F93"/>
    <w:rsid w:val="00481028"/>
    <w:rsid w:val="004810DF"/>
    <w:rsid w:val="004810E8"/>
    <w:rsid w:val="0048115F"/>
    <w:rsid w:val="00481352"/>
    <w:rsid w:val="004813C9"/>
    <w:rsid w:val="0048146D"/>
    <w:rsid w:val="00481490"/>
    <w:rsid w:val="00481878"/>
    <w:rsid w:val="0048189C"/>
    <w:rsid w:val="00481949"/>
    <w:rsid w:val="0048199E"/>
    <w:rsid w:val="00481A72"/>
    <w:rsid w:val="00481B36"/>
    <w:rsid w:val="00481B88"/>
    <w:rsid w:val="00481C2D"/>
    <w:rsid w:val="00481C34"/>
    <w:rsid w:val="00481D01"/>
    <w:rsid w:val="00481D6E"/>
    <w:rsid w:val="00481EA6"/>
    <w:rsid w:val="00481FF6"/>
    <w:rsid w:val="0048201A"/>
    <w:rsid w:val="0048232A"/>
    <w:rsid w:val="004823EF"/>
    <w:rsid w:val="004824A8"/>
    <w:rsid w:val="00482534"/>
    <w:rsid w:val="004825A8"/>
    <w:rsid w:val="004825E5"/>
    <w:rsid w:val="004828B2"/>
    <w:rsid w:val="0048298C"/>
    <w:rsid w:val="004829C9"/>
    <w:rsid w:val="004829D7"/>
    <w:rsid w:val="00482B1F"/>
    <w:rsid w:val="00482E92"/>
    <w:rsid w:val="00482EBB"/>
    <w:rsid w:val="00482F1D"/>
    <w:rsid w:val="00482F5A"/>
    <w:rsid w:val="00482FFD"/>
    <w:rsid w:val="00483027"/>
    <w:rsid w:val="004830B9"/>
    <w:rsid w:val="0048315F"/>
    <w:rsid w:val="0048319A"/>
    <w:rsid w:val="004832B9"/>
    <w:rsid w:val="00483307"/>
    <w:rsid w:val="00483317"/>
    <w:rsid w:val="00483327"/>
    <w:rsid w:val="00483330"/>
    <w:rsid w:val="0048369A"/>
    <w:rsid w:val="004836D2"/>
    <w:rsid w:val="004836E4"/>
    <w:rsid w:val="00483779"/>
    <w:rsid w:val="00483796"/>
    <w:rsid w:val="00483930"/>
    <w:rsid w:val="00483AA1"/>
    <w:rsid w:val="00483BE3"/>
    <w:rsid w:val="00483C23"/>
    <w:rsid w:val="00483D5D"/>
    <w:rsid w:val="00483E60"/>
    <w:rsid w:val="00483F08"/>
    <w:rsid w:val="00483F19"/>
    <w:rsid w:val="00483FE0"/>
    <w:rsid w:val="00483FE9"/>
    <w:rsid w:val="00483FFB"/>
    <w:rsid w:val="00484012"/>
    <w:rsid w:val="00484072"/>
    <w:rsid w:val="004840D9"/>
    <w:rsid w:val="0048421D"/>
    <w:rsid w:val="0048423E"/>
    <w:rsid w:val="00484287"/>
    <w:rsid w:val="00484329"/>
    <w:rsid w:val="00484412"/>
    <w:rsid w:val="00484420"/>
    <w:rsid w:val="00484437"/>
    <w:rsid w:val="0048451E"/>
    <w:rsid w:val="004845B1"/>
    <w:rsid w:val="00484689"/>
    <w:rsid w:val="0048468E"/>
    <w:rsid w:val="0048473F"/>
    <w:rsid w:val="00484777"/>
    <w:rsid w:val="004848CF"/>
    <w:rsid w:val="004848EF"/>
    <w:rsid w:val="004849CF"/>
    <w:rsid w:val="00484A08"/>
    <w:rsid w:val="00484B76"/>
    <w:rsid w:val="00484D40"/>
    <w:rsid w:val="00484EFD"/>
    <w:rsid w:val="00484FD7"/>
    <w:rsid w:val="004851F8"/>
    <w:rsid w:val="0048531A"/>
    <w:rsid w:val="004855EF"/>
    <w:rsid w:val="004856BB"/>
    <w:rsid w:val="004857AD"/>
    <w:rsid w:val="00485858"/>
    <w:rsid w:val="004858F8"/>
    <w:rsid w:val="00485A44"/>
    <w:rsid w:val="00485AA4"/>
    <w:rsid w:val="00485B6B"/>
    <w:rsid w:val="00485B83"/>
    <w:rsid w:val="00485B88"/>
    <w:rsid w:val="00485D47"/>
    <w:rsid w:val="00485DB3"/>
    <w:rsid w:val="00485F5B"/>
    <w:rsid w:val="00485F7C"/>
    <w:rsid w:val="004860D5"/>
    <w:rsid w:val="004860EE"/>
    <w:rsid w:val="00486104"/>
    <w:rsid w:val="0048619E"/>
    <w:rsid w:val="004862B6"/>
    <w:rsid w:val="004862D4"/>
    <w:rsid w:val="004862EE"/>
    <w:rsid w:val="00486457"/>
    <w:rsid w:val="00486465"/>
    <w:rsid w:val="00486472"/>
    <w:rsid w:val="00486488"/>
    <w:rsid w:val="004864D6"/>
    <w:rsid w:val="00486505"/>
    <w:rsid w:val="0048654C"/>
    <w:rsid w:val="0048669E"/>
    <w:rsid w:val="00486798"/>
    <w:rsid w:val="00486820"/>
    <w:rsid w:val="0048683A"/>
    <w:rsid w:val="0048689D"/>
    <w:rsid w:val="00486A5D"/>
    <w:rsid w:val="00486D31"/>
    <w:rsid w:val="00486D58"/>
    <w:rsid w:val="00486E86"/>
    <w:rsid w:val="004870AE"/>
    <w:rsid w:val="004870B5"/>
    <w:rsid w:val="00487142"/>
    <w:rsid w:val="004871EF"/>
    <w:rsid w:val="00487224"/>
    <w:rsid w:val="0048745A"/>
    <w:rsid w:val="00487611"/>
    <w:rsid w:val="004876BA"/>
    <w:rsid w:val="00487836"/>
    <w:rsid w:val="0048791C"/>
    <w:rsid w:val="0048797E"/>
    <w:rsid w:val="00487AF6"/>
    <w:rsid w:val="00487B10"/>
    <w:rsid w:val="00487C48"/>
    <w:rsid w:val="00487CFB"/>
    <w:rsid w:val="00487D1A"/>
    <w:rsid w:val="00487DC0"/>
    <w:rsid w:val="00487E6C"/>
    <w:rsid w:val="00487EEC"/>
    <w:rsid w:val="004900B2"/>
    <w:rsid w:val="00490183"/>
    <w:rsid w:val="00490236"/>
    <w:rsid w:val="00490243"/>
    <w:rsid w:val="004903C2"/>
    <w:rsid w:val="00490419"/>
    <w:rsid w:val="0049069B"/>
    <w:rsid w:val="004907C6"/>
    <w:rsid w:val="004908F9"/>
    <w:rsid w:val="00490978"/>
    <w:rsid w:val="00490A54"/>
    <w:rsid w:val="00490A6C"/>
    <w:rsid w:val="00490AA2"/>
    <w:rsid w:val="0049122E"/>
    <w:rsid w:val="004912E6"/>
    <w:rsid w:val="00491406"/>
    <w:rsid w:val="00491494"/>
    <w:rsid w:val="0049151A"/>
    <w:rsid w:val="0049153B"/>
    <w:rsid w:val="00491641"/>
    <w:rsid w:val="00491652"/>
    <w:rsid w:val="00491663"/>
    <w:rsid w:val="004916B4"/>
    <w:rsid w:val="00491773"/>
    <w:rsid w:val="004917B3"/>
    <w:rsid w:val="004917E3"/>
    <w:rsid w:val="00491802"/>
    <w:rsid w:val="00491842"/>
    <w:rsid w:val="0049193E"/>
    <w:rsid w:val="004919E2"/>
    <w:rsid w:val="00491A5C"/>
    <w:rsid w:val="00491B07"/>
    <w:rsid w:val="00491CB9"/>
    <w:rsid w:val="00491D08"/>
    <w:rsid w:val="00491DFF"/>
    <w:rsid w:val="00491E11"/>
    <w:rsid w:val="00491E39"/>
    <w:rsid w:val="00491E93"/>
    <w:rsid w:val="004920AE"/>
    <w:rsid w:val="004922A9"/>
    <w:rsid w:val="004922D5"/>
    <w:rsid w:val="00492449"/>
    <w:rsid w:val="004926FC"/>
    <w:rsid w:val="0049276D"/>
    <w:rsid w:val="00492789"/>
    <w:rsid w:val="004928F1"/>
    <w:rsid w:val="0049297F"/>
    <w:rsid w:val="00492A4B"/>
    <w:rsid w:val="00492B72"/>
    <w:rsid w:val="00492D0D"/>
    <w:rsid w:val="00492D2E"/>
    <w:rsid w:val="00492DBF"/>
    <w:rsid w:val="00492E1C"/>
    <w:rsid w:val="00492E20"/>
    <w:rsid w:val="00492E85"/>
    <w:rsid w:val="00492FA7"/>
    <w:rsid w:val="00493018"/>
    <w:rsid w:val="004932CD"/>
    <w:rsid w:val="00493309"/>
    <w:rsid w:val="004933EE"/>
    <w:rsid w:val="00493820"/>
    <w:rsid w:val="00493839"/>
    <w:rsid w:val="004938A7"/>
    <w:rsid w:val="00493A52"/>
    <w:rsid w:val="00493A6F"/>
    <w:rsid w:val="00493BD0"/>
    <w:rsid w:val="00493D66"/>
    <w:rsid w:val="00493EDD"/>
    <w:rsid w:val="00493F0C"/>
    <w:rsid w:val="00493F80"/>
    <w:rsid w:val="004940C9"/>
    <w:rsid w:val="004940FB"/>
    <w:rsid w:val="004941F2"/>
    <w:rsid w:val="0049422C"/>
    <w:rsid w:val="0049425D"/>
    <w:rsid w:val="0049440F"/>
    <w:rsid w:val="0049447B"/>
    <w:rsid w:val="004944F3"/>
    <w:rsid w:val="00494655"/>
    <w:rsid w:val="0049466F"/>
    <w:rsid w:val="00494853"/>
    <w:rsid w:val="00494882"/>
    <w:rsid w:val="004948C8"/>
    <w:rsid w:val="004948D5"/>
    <w:rsid w:val="004949D9"/>
    <w:rsid w:val="00494A22"/>
    <w:rsid w:val="00494B11"/>
    <w:rsid w:val="00494B7A"/>
    <w:rsid w:val="00494BB6"/>
    <w:rsid w:val="00494C39"/>
    <w:rsid w:val="00494C72"/>
    <w:rsid w:val="00494CC8"/>
    <w:rsid w:val="00494CDD"/>
    <w:rsid w:val="00494CE9"/>
    <w:rsid w:val="00494E7D"/>
    <w:rsid w:val="0049500D"/>
    <w:rsid w:val="004950BA"/>
    <w:rsid w:val="004951A9"/>
    <w:rsid w:val="004952E1"/>
    <w:rsid w:val="0049537D"/>
    <w:rsid w:val="004953A4"/>
    <w:rsid w:val="004953C2"/>
    <w:rsid w:val="00495465"/>
    <w:rsid w:val="004957F7"/>
    <w:rsid w:val="0049581B"/>
    <w:rsid w:val="00495921"/>
    <w:rsid w:val="00495970"/>
    <w:rsid w:val="00495BCF"/>
    <w:rsid w:val="00495C7A"/>
    <w:rsid w:val="00495C7E"/>
    <w:rsid w:val="00495C97"/>
    <w:rsid w:val="00495E79"/>
    <w:rsid w:val="00496019"/>
    <w:rsid w:val="00496094"/>
    <w:rsid w:val="004961B4"/>
    <w:rsid w:val="00496281"/>
    <w:rsid w:val="004962D0"/>
    <w:rsid w:val="0049653D"/>
    <w:rsid w:val="0049678E"/>
    <w:rsid w:val="004967ED"/>
    <w:rsid w:val="00496852"/>
    <w:rsid w:val="00496899"/>
    <w:rsid w:val="004969CF"/>
    <w:rsid w:val="00496A42"/>
    <w:rsid w:val="00496B40"/>
    <w:rsid w:val="00496C05"/>
    <w:rsid w:val="00496CE1"/>
    <w:rsid w:val="00496D88"/>
    <w:rsid w:val="00496E86"/>
    <w:rsid w:val="00497015"/>
    <w:rsid w:val="00497094"/>
    <w:rsid w:val="0049713F"/>
    <w:rsid w:val="004971F7"/>
    <w:rsid w:val="00497246"/>
    <w:rsid w:val="00497286"/>
    <w:rsid w:val="0049734A"/>
    <w:rsid w:val="00497377"/>
    <w:rsid w:val="00497418"/>
    <w:rsid w:val="004974B2"/>
    <w:rsid w:val="0049754E"/>
    <w:rsid w:val="0049755D"/>
    <w:rsid w:val="00497560"/>
    <w:rsid w:val="00497599"/>
    <w:rsid w:val="00497680"/>
    <w:rsid w:val="004976E4"/>
    <w:rsid w:val="004978C2"/>
    <w:rsid w:val="004979A5"/>
    <w:rsid w:val="004979C3"/>
    <w:rsid w:val="00497A63"/>
    <w:rsid w:val="00497B6A"/>
    <w:rsid w:val="00497B9F"/>
    <w:rsid w:val="00497CAF"/>
    <w:rsid w:val="00497D96"/>
    <w:rsid w:val="00497DD5"/>
    <w:rsid w:val="00497E04"/>
    <w:rsid w:val="004A009C"/>
    <w:rsid w:val="004A0214"/>
    <w:rsid w:val="004A0246"/>
    <w:rsid w:val="004A0254"/>
    <w:rsid w:val="004A02F7"/>
    <w:rsid w:val="004A031C"/>
    <w:rsid w:val="004A0415"/>
    <w:rsid w:val="004A0613"/>
    <w:rsid w:val="004A0659"/>
    <w:rsid w:val="004A06F4"/>
    <w:rsid w:val="004A0715"/>
    <w:rsid w:val="004A07C6"/>
    <w:rsid w:val="004A0982"/>
    <w:rsid w:val="004A09DE"/>
    <w:rsid w:val="004A0A4E"/>
    <w:rsid w:val="004A0A90"/>
    <w:rsid w:val="004A0BDA"/>
    <w:rsid w:val="004A0E18"/>
    <w:rsid w:val="004A0F22"/>
    <w:rsid w:val="004A0FA2"/>
    <w:rsid w:val="004A0FA6"/>
    <w:rsid w:val="004A1048"/>
    <w:rsid w:val="004A1068"/>
    <w:rsid w:val="004A107E"/>
    <w:rsid w:val="004A10C5"/>
    <w:rsid w:val="004A1105"/>
    <w:rsid w:val="004A118A"/>
    <w:rsid w:val="004A120C"/>
    <w:rsid w:val="004A1340"/>
    <w:rsid w:val="004A1353"/>
    <w:rsid w:val="004A136B"/>
    <w:rsid w:val="004A13AB"/>
    <w:rsid w:val="004A1479"/>
    <w:rsid w:val="004A15E7"/>
    <w:rsid w:val="004A164F"/>
    <w:rsid w:val="004A1848"/>
    <w:rsid w:val="004A1A0D"/>
    <w:rsid w:val="004A1A83"/>
    <w:rsid w:val="004A1B4D"/>
    <w:rsid w:val="004A1C72"/>
    <w:rsid w:val="004A1CE0"/>
    <w:rsid w:val="004A1D73"/>
    <w:rsid w:val="004A1D7A"/>
    <w:rsid w:val="004A1F7A"/>
    <w:rsid w:val="004A21FA"/>
    <w:rsid w:val="004A2292"/>
    <w:rsid w:val="004A22C7"/>
    <w:rsid w:val="004A2306"/>
    <w:rsid w:val="004A235C"/>
    <w:rsid w:val="004A2366"/>
    <w:rsid w:val="004A25B2"/>
    <w:rsid w:val="004A2659"/>
    <w:rsid w:val="004A27DC"/>
    <w:rsid w:val="004A280A"/>
    <w:rsid w:val="004A2937"/>
    <w:rsid w:val="004A2B1F"/>
    <w:rsid w:val="004A2B39"/>
    <w:rsid w:val="004A2C5E"/>
    <w:rsid w:val="004A2D31"/>
    <w:rsid w:val="004A3050"/>
    <w:rsid w:val="004A330A"/>
    <w:rsid w:val="004A331B"/>
    <w:rsid w:val="004A33B2"/>
    <w:rsid w:val="004A3570"/>
    <w:rsid w:val="004A357B"/>
    <w:rsid w:val="004A359A"/>
    <w:rsid w:val="004A35A7"/>
    <w:rsid w:val="004A362E"/>
    <w:rsid w:val="004A368F"/>
    <w:rsid w:val="004A373A"/>
    <w:rsid w:val="004A374D"/>
    <w:rsid w:val="004A3752"/>
    <w:rsid w:val="004A37F2"/>
    <w:rsid w:val="004A3860"/>
    <w:rsid w:val="004A38B7"/>
    <w:rsid w:val="004A395B"/>
    <w:rsid w:val="004A39B0"/>
    <w:rsid w:val="004A3A47"/>
    <w:rsid w:val="004A3FE7"/>
    <w:rsid w:val="004A4061"/>
    <w:rsid w:val="004A4096"/>
    <w:rsid w:val="004A40CF"/>
    <w:rsid w:val="004A40E6"/>
    <w:rsid w:val="004A42F8"/>
    <w:rsid w:val="004A434D"/>
    <w:rsid w:val="004A43E9"/>
    <w:rsid w:val="004A444D"/>
    <w:rsid w:val="004A445E"/>
    <w:rsid w:val="004A44DB"/>
    <w:rsid w:val="004A454A"/>
    <w:rsid w:val="004A456F"/>
    <w:rsid w:val="004A46D3"/>
    <w:rsid w:val="004A475F"/>
    <w:rsid w:val="004A4892"/>
    <w:rsid w:val="004A4902"/>
    <w:rsid w:val="004A4951"/>
    <w:rsid w:val="004A495D"/>
    <w:rsid w:val="004A4988"/>
    <w:rsid w:val="004A4A5A"/>
    <w:rsid w:val="004A4B34"/>
    <w:rsid w:val="004A4C3D"/>
    <w:rsid w:val="004A4DBE"/>
    <w:rsid w:val="004A501C"/>
    <w:rsid w:val="004A5097"/>
    <w:rsid w:val="004A509A"/>
    <w:rsid w:val="004A511F"/>
    <w:rsid w:val="004A517A"/>
    <w:rsid w:val="004A5418"/>
    <w:rsid w:val="004A54C3"/>
    <w:rsid w:val="004A5719"/>
    <w:rsid w:val="004A5754"/>
    <w:rsid w:val="004A58D5"/>
    <w:rsid w:val="004A59F0"/>
    <w:rsid w:val="004A5BAF"/>
    <w:rsid w:val="004A5C3A"/>
    <w:rsid w:val="004A5D55"/>
    <w:rsid w:val="004A5DA3"/>
    <w:rsid w:val="004A5E73"/>
    <w:rsid w:val="004A5F33"/>
    <w:rsid w:val="004A6020"/>
    <w:rsid w:val="004A607A"/>
    <w:rsid w:val="004A60B7"/>
    <w:rsid w:val="004A6213"/>
    <w:rsid w:val="004A6275"/>
    <w:rsid w:val="004A62A2"/>
    <w:rsid w:val="004A6317"/>
    <w:rsid w:val="004A632A"/>
    <w:rsid w:val="004A634C"/>
    <w:rsid w:val="004A6353"/>
    <w:rsid w:val="004A64B8"/>
    <w:rsid w:val="004A6522"/>
    <w:rsid w:val="004A6621"/>
    <w:rsid w:val="004A6697"/>
    <w:rsid w:val="004A6736"/>
    <w:rsid w:val="004A6921"/>
    <w:rsid w:val="004A69EA"/>
    <w:rsid w:val="004A6A4B"/>
    <w:rsid w:val="004A6B87"/>
    <w:rsid w:val="004A6D93"/>
    <w:rsid w:val="004A6E1E"/>
    <w:rsid w:val="004A6F1B"/>
    <w:rsid w:val="004A6F4A"/>
    <w:rsid w:val="004A70B9"/>
    <w:rsid w:val="004A74BC"/>
    <w:rsid w:val="004A74DB"/>
    <w:rsid w:val="004A756E"/>
    <w:rsid w:val="004A78A6"/>
    <w:rsid w:val="004A78BD"/>
    <w:rsid w:val="004A79A0"/>
    <w:rsid w:val="004A7A7F"/>
    <w:rsid w:val="004A7A98"/>
    <w:rsid w:val="004A7B65"/>
    <w:rsid w:val="004A7C89"/>
    <w:rsid w:val="004A7CAE"/>
    <w:rsid w:val="004A7EB5"/>
    <w:rsid w:val="004A7F50"/>
    <w:rsid w:val="004B02A0"/>
    <w:rsid w:val="004B0302"/>
    <w:rsid w:val="004B0346"/>
    <w:rsid w:val="004B0405"/>
    <w:rsid w:val="004B0998"/>
    <w:rsid w:val="004B09B5"/>
    <w:rsid w:val="004B09E0"/>
    <w:rsid w:val="004B0AC7"/>
    <w:rsid w:val="004B0BE7"/>
    <w:rsid w:val="004B0E25"/>
    <w:rsid w:val="004B0E59"/>
    <w:rsid w:val="004B111B"/>
    <w:rsid w:val="004B1131"/>
    <w:rsid w:val="004B1161"/>
    <w:rsid w:val="004B1299"/>
    <w:rsid w:val="004B130F"/>
    <w:rsid w:val="004B14D1"/>
    <w:rsid w:val="004B1572"/>
    <w:rsid w:val="004B1625"/>
    <w:rsid w:val="004B1726"/>
    <w:rsid w:val="004B1751"/>
    <w:rsid w:val="004B18CD"/>
    <w:rsid w:val="004B199F"/>
    <w:rsid w:val="004B1B04"/>
    <w:rsid w:val="004B1CE0"/>
    <w:rsid w:val="004B1D55"/>
    <w:rsid w:val="004B1D77"/>
    <w:rsid w:val="004B1E93"/>
    <w:rsid w:val="004B1EF1"/>
    <w:rsid w:val="004B1FB1"/>
    <w:rsid w:val="004B20CC"/>
    <w:rsid w:val="004B2119"/>
    <w:rsid w:val="004B2288"/>
    <w:rsid w:val="004B2530"/>
    <w:rsid w:val="004B2549"/>
    <w:rsid w:val="004B25DB"/>
    <w:rsid w:val="004B2772"/>
    <w:rsid w:val="004B27A8"/>
    <w:rsid w:val="004B27D0"/>
    <w:rsid w:val="004B2808"/>
    <w:rsid w:val="004B2928"/>
    <w:rsid w:val="004B299F"/>
    <w:rsid w:val="004B2A9E"/>
    <w:rsid w:val="004B2C98"/>
    <w:rsid w:val="004B2CA0"/>
    <w:rsid w:val="004B2D52"/>
    <w:rsid w:val="004B2E0D"/>
    <w:rsid w:val="004B2E20"/>
    <w:rsid w:val="004B2ECB"/>
    <w:rsid w:val="004B315F"/>
    <w:rsid w:val="004B3262"/>
    <w:rsid w:val="004B3300"/>
    <w:rsid w:val="004B333B"/>
    <w:rsid w:val="004B3364"/>
    <w:rsid w:val="004B338E"/>
    <w:rsid w:val="004B354B"/>
    <w:rsid w:val="004B3637"/>
    <w:rsid w:val="004B3AA5"/>
    <w:rsid w:val="004B3AD1"/>
    <w:rsid w:val="004B3BB4"/>
    <w:rsid w:val="004B3C26"/>
    <w:rsid w:val="004B3E0E"/>
    <w:rsid w:val="004B3E14"/>
    <w:rsid w:val="004B3E3B"/>
    <w:rsid w:val="004B3E8A"/>
    <w:rsid w:val="004B3F7E"/>
    <w:rsid w:val="004B3F97"/>
    <w:rsid w:val="004B3F9E"/>
    <w:rsid w:val="004B3FA2"/>
    <w:rsid w:val="004B3FA8"/>
    <w:rsid w:val="004B405D"/>
    <w:rsid w:val="004B40B3"/>
    <w:rsid w:val="004B41BD"/>
    <w:rsid w:val="004B423B"/>
    <w:rsid w:val="004B4373"/>
    <w:rsid w:val="004B449E"/>
    <w:rsid w:val="004B4585"/>
    <w:rsid w:val="004B45F7"/>
    <w:rsid w:val="004B45FF"/>
    <w:rsid w:val="004B462F"/>
    <w:rsid w:val="004B473B"/>
    <w:rsid w:val="004B477D"/>
    <w:rsid w:val="004B47BC"/>
    <w:rsid w:val="004B487E"/>
    <w:rsid w:val="004B494A"/>
    <w:rsid w:val="004B4A76"/>
    <w:rsid w:val="004B4AEC"/>
    <w:rsid w:val="004B4D03"/>
    <w:rsid w:val="004B4DA7"/>
    <w:rsid w:val="004B4DB5"/>
    <w:rsid w:val="004B4E91"/>
    <w:rsid w:val="004B4FBB"/>
    <w:rsid w:val="004B50EC"/>
    <w:rsid w:val="004B522E"/>
    <w:rsid w:val="004B5262"/>
    <w:rsid w:val="004B5469"/>
    <w:rsid w:val="004B54FB"/>
    <w:rsid w:val="004B552B"/>
    <w:rsid w:val="004B55BA"/>
    <w:rsid w:val="004B55DB"/>
    <w:rsid w:val="004B575B"/>
    <w:rsid w:val="004B5797"/>
    <w:rsid w:val="004B57B0"/>
    <w:rsid w:val="004B57CC"/>
    <w:rsid w:val="004B58A1"/>
    <w:rsid w:val="004B5917"/>
    <w:rsid w:val="004B5986"/>
    <w:rsid w:val="004B5BA5"/>
    <w:rsid w:val="004B5BB5"/>
    <w:rsid w:val="004B5C46"/>
    <w:rsid w:val="004B5EAA"/>
    <w:rsid w:val="004B5EF3"/>
    <w:rsid w:val="004B5FE0"/>
    <w:rsid w:val="004B60C2"/>
    <w:rsid w:val="004B60F6"/>
    <w:rsid w:val="004B611D"/>
    <w:rsid w:val="004B6120"/>
    <w:rsid w:val="004B612B"/>
    <w:rsid w:val="004B6195"/>
    <w:rsid w:val="004B6200"/>
    <w:rsid w:val="004B6249"/>
    <w:rsid w:val="004B636F"/>
    <w:rsid w:val="004B64C4"/>
    <w:rsid w:val="004B64E8"/>
    <w:rsid w:val="004B6504"/>
    <w:rsid w:val="004B6682"/>
    <w:rsid w:val="004B66F1"/>
    <w:rsid w:val="004B67EA"/>
    <w:rsid w:val="004B697F"/>
    <w:rsid w:val="004B6ABE"/>
    <w:rsid w:val="004B6B49"/>
    <w:rsid w:val="004B6C7E"/>
    <w:rsid w:val="004B6DFF"/>
    <w:rsid w:val="004B6E00"/>
    <w:rsid w:val="004B6F97"/>
    <w:rsid w:val="004B7000"/>
    <w:rsid w:val="004B7075"/>
    <w:rsid w:val="004B715C"/>
    <w:rsid w:val="004B7235"/>
    <w:rsid w:val="004B72B5"/>
    <w:rsid w:val="004B7307"/>
    <w:rsid w:val="004B7381"/>
    <w:rsid w:val="004B73AE"/>
    <w:rsid w:val="004B740C"/>
    <w:rsid w:val="004B74A6"/>
    <w:rsid w:val="004B74BC"/>
    <w:rsid w:val="004B76D2"/>
    <w:rsid w:val="004B774A"/>
    <w:rsid w:val="004B7767"/>
    <w:rsid w:val="004B7846"/>
    <w:rsid w:val="004B78A3"/>
    <w:rsid w:val="004B7965"/>
    <w:rsid w:val="004B7AAD"/>
    <w:rsid w:val="004B7AB0"/>
    <w:rsid w:val="004B7CC4"/>
    <w:rsid w:val="004B7D6E"/>
    <w:rsid w:val="004B7E44"/>
    <w:rsid w:val="004C0145"/>
    <w:rsid w:val="004C019B"/>
    <w:rsid w:val="004C01C5"/>
    <w:rsid w:val="004C0258"/>
    <w:rsid w:val="004C0296"/>
    <w:rsid w:val="004C033D"/>
    <w:rsid w:val="004C03A1"/>
    <w:rsid w:val="004C047A"/>
    <w:rsid w:val="004C05F6"/>
    <w:rsid w:val="004C066F"/>
    <w:rsid w:val="004C076A"/>
    <w:rsid w:val="004C0883"/>
    <w:rsid w:val="004C0A6B"/>
    <w:rsid w:val="004C0AF9"/>
    <w:rsid w:val="004C0B97"/>
    <w:rsid w:val="004C0CFF"/>
    <w:rsid w:val="004C0D01"/>
    <w:rsid w:val="004C0E3E"/>
    <w:rsid w:val="004C0E69"/>
    <w:rsid w:val="004C0F10"/>
    <w:rsid w:val="004C0FF9"/>
    <w:rsid w:val="004C10C0"/>
    <w:rsid w:val="004C111A"/>
    <w:rsid w:val="004C117A"/>
    <w:rsid w:val="004C1185"/>
    <w:rsid w:val="004C11BC"/>
    <w:rsid w:val="004C122F"/>
    <w:rsid w:val="004C1248"/>
    <w:rsid w:val="004C13C5"/>
    <w:rsid w:val="004C144F"/>
    <w:rsid w:val="004C1A84"/>
    <w:rsid w:val="004C1AF5"/>
    <w:rsid w:val="004C1B3D"/>
    <w:rsid w:val="004C1C7F"/>
    <w:rsid w:val="004C1C88"/>
    <w:rsid w:val="004C1DDF"/>
    <w:rsid w:val="004C1ED7"/>
    <w:rsid w:val="004C2022"/>
    <w:rsid w:val="004C2071"/>
    <w:rsid w:val="004C20E6"/>
    <w:rsid w:val="004C224D"/>
    <w:rsid w:val="004C2328"/>
    <w:rsid w:val="004C25E1"/>
    <w:rsid w:val="004C28AA"/>
    <w:rsid w:val="004C29CA"/>
    <w:rsid w:val="004C2A1F"/>
    <w:rsid w:val="004C2E0B"/>
    <w:rsid w:val="004C2EDD"/>
    <w:rsid w:val="004C2F6C"/>
    <w:rsid w:val="004C2F6D"/>
    <w:rsid w:val="004C2FBB"/>
    <w:rsid w:val="004C303D"/>
    <w:rsid w:val="004C31E4"/>
    <w:rsid w:val="004C346E"/>
    <w:rsid w:val="004C34D3"/>
    <w:rsid w:val="004C3633"/>
    <w:rsid w:val="004C37C1"/>
    <w:rsid w:val="004C380F"/>
    <w:rsid w:val="004C3866"/>
    <w:rsid w:val="004C3884"/>
    <w:rsid w:val="004C38D2"/>
    <w:rsid w:val="004C38F4"/>
    <w:rsid w:val="004C3A06"/>
    <w:rsid w:val="004C3AC5"/>
    <w:rsid w:val="004C3C57"/>
    <w:rsid w:val="004C3D4D"/>
    <w:rsid w:val="004C3E81"/>
    <w:rsid w:val="004C411C"/>
    <w:rsid w:val="004C419B"/>
    <w:rsid w:val="004C4241"/>
    <w:rsid w:val="004C42D8"/>
    <w:rsid w:val="004C42DE"/>
    <w:rsid w:val="004C43E1"/>
    <w:rsid w:val="004C4445"/>
    <w:rsid w:val="004C45C1"/>
    <w:rsid w:val="004C45D4"/>
    <w:rsid w:val="004C4666"/>
    <w:rsid w:val="004C498C"/>
    <w:rsid w:val="004C4A7A"/>
    <w:rsid w:val="004C4C82"/>
    <w:rsid w:val="004C51AA"/>
    <w:rsid w:val="004C51CF"/>
    <w:rsid w:val="004C52B7"/>
    <w:rsid w:val="004C53BE"/>
    <w:rsid w:val="004C54C2"/>
    <w:rsid w:val="004C5529"/>
    <w:rsid w:val="004C5590"/>
    <w:rsid w:val="004C559D"/>
    <w:rsid w:val="004C563B"/>
    <w:rsid w:val="004C56DF"/>
    <w:rsid w:val="004C5711"/>
    <w:rsid w:val="004C58D9"/>
    <w:rsid w:val="004C597F"/>
    <w:rsid w:val="004C59D6"/>
    <w:rsid w:val="004C59F2"/>
    <w:rsid w:val="004C59FA"/>
    <w:rsid w:val="004C5A04"/>
    <w:rsid w:val="004C5A62"/>
    <w:rsid w:val="004C5ABB"/>
    <w:rsid w:val="004C5C23"/>
    <w:rsid w:val="004C5C5D"/>
    <w:rsid w:val="004C5CED"/>
    <w:rsid w:val="004C5D88"/>
    <w:rsid w:val="004C5DBE"/>
    <w:rsid w:val="004C6021"/>
    <w:rsid w:val="004C6080"/>
    <w:rsid w:val="004C6081"/>
    <w:rsid w:val="004C6322"/>
    <w:rsid w:val="004C6330"/>
    <w:rsid w:val="004C63F8"/>
    <w:rsid w:val="004C643D"/>
    <w:rsid w:val="004C64D2"/>
    <w:rsid w:val="004C65DC"/>
    <w:rsid w:val="004C69CA"/>
    <w:rsid w:val="004C6AA8"/>
    <w:rsid w:val="004C6AD8"/>
    <w:rsid w:val="004C6B47"/>
    <w:rsid w:val="004C6BC6"/>
    <w:rsid w:val="004C6CED"/>
    <w:rsid w:val="004C6E50"/>
    <w:rsid w:val="004C6F5D"/>
    <w:rsid w:val="004C7400"/>
    <w:rsid w:val="004C7454"/>
    <w:rsid w:val="004C7479"/>
    <w:rsid w:val="004C74D0"/>
    <w:rsid w:val="004C75DE"/>
    <w:rsid w:val="004C75EC"/>
    <w:rsid w:val="004C7874"/>
    <w:rsid w:val="004C787F"/>
    <w:rsid w:val="004C795B"/>
    <w:rsid w:val="004C799D"/>
    <w:rsid w:val="004C7AA9"/>
    <w:rsid w:val="004C7BB0"/>
    <w:rsid w:val="004C7C9F"/>
    <w:rsid w:val="004C7CA1"/>
    <w:rsid w:val="004C7CAD"/>
    <w:rsid w:val="004C7D09"/>
    <w:rsid w:val="004C7D10"/>
    <w:rsid w:val="004C7DD2"/>
    <w:rsid w:val="004C7E35"/>
    <w:rsid w:val="004C7EB2"/>
    <w:rsid w:val="004D00C9"/>
    <w:rsid w:val="004D00E7"/>
    <w:rsid w:val="004D00F4"/>
    <w:rsid w:val="004D011C"/>
    <w:rsid w:val="004D012C"/>
    <w:rsid w:val="004D049E"/>
    <w:rsid w:val="004D04EF"/>
    <w:rsid w:val="004D066A"/>
    <w:rsid w:val="004D07D6"/>
    <w:rsid w:val="004D0818"/>
    <w:rsid w:val="004D08AA"/>
    <w:rsid w:val="004D08F9"/>
    <w:rsid w:val="004D09A7"/>
    <w:rsid w:val="004D0A58"/>
    <w:rsid w:val="004D0A71"/>
    <w:rsid w:val="004D0B2A"/>
    <w:rsid w:val="004D0B37"/>
    <w:rsid w:val="004D0BCB"/>
    <w:rsid w:val="004D0BDD"/>
    <w:rsid w:val="004D0C12"/>
    <w:rsid w:val="004D0C75"/>
    <w:rsid w:val="004D10F1"/>
    <w:rsid w:val="004D10FB"/>
    <w:rsid w:val="004D1242"/>
    <w:rsid w:val="004D1277"/>
    <w:rsid w:val="004D1344"/>
    <w:rsid w:val="004D1380"/>
    <w:rsid w:val="004D1393"/>
    <w:rsid w:val="004D1436"/>
    <w:rsid w:val="004D143E"/>
    <w:rsid w:val="004D14AF"/>
    <w:rsid w:val="004D157B"/>
    <w:rsid w:val="004D1623"/>
    <w:rsid w:val="004D1726"/>
    <w:rsid w:val="004D1741"/>
    <w:rsid w:val="004D17C9"/>
    <w:rsid w:val="004D1887"/>
    <w:rsid w:val="004D18B9"/>
    <w:rsid w:val="004D18F7"/>
    <w:rsid w:val="004D18FC"/>
    <w:rsid w:val="004D195D"/>
    <w:rsid w:val="004D1A57"/>
    <w:rsid w:val="004D1B16"/>
    <w:rsid w:val="004D1B58"/>
    <w:rsid w:val="004D1BFC"/>
    <w:rsid w:val="004D1C77"/>
    <w:rsid w:val="004D1CB5"/>
    <w:rsid w:val="004D1CDF"/>
    <w:rsid w:val="004D1DCD"/>
    <w:rsid w:val="004D1DFD"/>
    <w:rsid w:val="004D1F2E"/>
    <w:rsid w:val="004D1F9B"/>
    <w:rsid w:val="004D2017"/>
    <w:rsid w:val="004D2040"/>
    <w:rsid w:val="004D20C4"/>
    <w:rsid w:val="004D20F0"/>
    <w:rsid w:val="004D21C8"/>
    <w:rsid w:val="004D2209"/>
    <w:rsid w:val="004D2256"/>
    <w:rsid w:val="004D23AA"/>
    <w:rsid w:val="004D2416"/>
    <w:rsid w:val="004D24DA"/>
    <w:rsid w:val="004D2550"/>
    <w:rsid w:val="004D2720"/>
    <w:rsid w:val="004D2766"/>
    <w:rsid w:val="004D27AE"/>
    <w:rsid w:val="004D2828"/>
    <w:rsid w:val="004D2861"/>
    <w:rsid w:val="004D2A5C"/>
    <w:rsid w:val="004D2B03"/>
    <w:rsid w:val="004D2B0F"/>
    <w:rsid w:val="004D2D48"/>
    <w:rsid w:val="004D2E5F"/>
    <w:rsid w:val="004D2E65"/>
    <w:rsid w:val="004D2FFF"/>
    <w:rsid w:val="004D30A8"/>
    <w:rsid w:val="004D3254"/>
    <w:rsid w:val="004D32CB"/>
    <w:rsid w:val="004D34A9"/>
    <w:rsid w:val="004D3509"/>
    <w:rsid w:val="004D360C"/>
    <w:rsid w:val="004D3772"/>
    <w:rsid w:val="004D380B"/>
    <w:rsid w:val="004D3922"/>
    <w:rsid w:val="004D3977"/>
    <w:rsid w:val="004D39BB"/>
    <w:rsid w:val="004D3C1E"/>
    <w:rsid w:val="004D3CF4"/>
    <w:rsid w:val="004D3D2F"/>
    <w:rsid w:val="004D3D37"/>
    <w:rsid w:val="004D3E27"/>
    <w:rsid w:val="004D3EAA"/>
    <w:rsid w:val="004D3EE2"/>
    <w:rsid w:val="004D3F1D"/>
    <w:rsid w:val="004D40D4"/>
    <w:rsid w:val="004D40E6"/>
    <w:rsid w:val="004D4120"/>
    <w:rsid w:val="004D4320"/>
    <w:rsid w:val="004D43EC"/>
    <w:rsid w:val="004D43ED"/>
    <w:rsid w:val="004D4561"/>
    <w:rsid w:val="004D456C"/>
    <w:rsid w:val="004D45CF"/>
    <w:rsid w:val="004D46DB"/>
    <w:rsid w:val="004D476E"/>
    <w:rsid w:val="004D480E"/>
    <w:rsid w:val="004D4A0C"/>
    <w:rsid w:val="004D4A85"/>
    <w:rsid w:val="004D4B23"/>
    <w:rsid w:val="004D4C6F"/>
    <w:rsid w:val="004D4CE7"/>
    <w:rsid w:val="004D4D24"/>
    <w:rsid w:val="004D4E5A"/>
    <w:rsid w:val="004D4F46"/>
    <w:rsid w:val="004D4F95"/>
    <w:rsid w:val="004D5172"/>
    <w:rsid w:val="004D51D2"/>
    <w:rsid w:val="004D5246"/>
    <w:rsid w:val="004D5291"/>
    <w:rsid w:val="004D55DF"/>
    <w:rsid w:val="004D55F2"/>
    <w:rsid w:val="004D5697"/>
    <w:rsid w:val="004D5744"/>
    <w:rsid w:val="004D5819"/>
    <w:rsid w:val="004D59CA"/>
    <w:rsid w:val="004D5A76"/>
    <w:rsid w:val="004D5B44"/>
    <w:rsid w:val="004D5E1D"/>
    <w:rsid w:val="004D5F45"/>
    <w:rsid w:val="004D5FA1"/>
    <w:rsid w:val="004D6011"/>
    <w:rsid w:val="004D604B"/>
    <w:rsid w:val="004D60FE"/>
    <w:rsid w:val="004D62C4"/>
    <w:rsid w:val="004D64E6"/>
    <w:rsid w:val="004D64E8"/>
    <w:rsid w:val="004D6567"/>
    <w:rsid w:val="004D663A"/>
    <w:rsid w:val="004D6659"/>
    <w:rsid w:val="004D66EB"/>
    <w:rsid w:val="004D67C7"/>
    <w:rsid w:val="004D691D"/>
    <w:rsid w:val="004D69DE"/>
    <w:rsid w:val="004D6AB5"/>
    <w:rsid w:val="004D6BF4"/>
    <w:rsid w:val="004D6E85"/>
    <w:rsid w:val="004D7017"/>
    <w:rsid w:val="004D70C7"/>
    <w:rsid w:val="004D7103"/>
    <w:rsid w:val="004D732F"/>
    <w:rsid w:val="004D741B"/>
    <w:rsid w:val="004D74E1"/>
    <w:rsid w:val="004D75D0"/>
    <w:rsid w:val="004D7639"/>
    <w:rsid w:val="004D767E"/>
    <w:rsid w:val="004D76C0"/>
    <w:rsid w:val="004D77FE"/>
    <w:rsid w:val="004D78EA"/>
    <w:rsid w:val="004D7997"/>
    <w:rsid w:val="004D79F9"/>
    <w:rsid w:val="004D7A1B"/>
    <w:rsid w:val="004D7A77"/>
    <w:rsid w:val="004D7AA1"/>
    <w:rsid w:val="004D7CE2"/>
    <w:rsid w:val="004D7CE6"/>
    <w:rsid w:val="004D7D54"/>
    <w:rsid w:val="004D7DAF"/>
    <w:rsid w:val="004D7DB7"/>
    <w:rsid w:val="004D7E1C"/>
    <w:rsid w:val="004D7ECD"/>
    <w:rsid w:val="004D7F40"/>
    <w:rsid w:val="004E004D"/>
    <w:rsid w:val="004E0140"/>
    <w:rsid w:val="004E03CE"/>
    <w:rsid w:val="004E0440"/>
    <w:rsid w:val="004E0492"/>
    <w:rsid w:val="004E0715"/>
    <w:rsid w:val="004E0820"/>
    <w:rsid w:val="004E0866"/>
    <w:rsid w:val="004E0875"/>
    <w:rsid w:val="004E08B1"/>
    <w:rsid w:val="004E08C7"/>
    <w:rsid w:val="004E08CB"/>
    <w:rsid w:val="004E099B"/>
    <w:rsid w:val="004E09B4"/>
    <w:rsid w:val="004E09FE"/>
    <w:rsid w:val="004E0A34"/>
    <w:rsid w:val="004E0C3A"/>
    <w:rsid w:val="004E0C7E"/>
    <w:rsid w:val="004E0DE0"/>
    <w:rsid w:val="004E0ED1"/>
    <w:rsid w:val="004E0F71"/>
    <w:rsid w:val="004E0FD1"/>
    <w:rsid w:val="004E12E9"/>
    <w:rsid w:val="004E13B8"/>
    <w:rsid w:val="004E13E4"/>
    <w:rsid w:val="004E1487"/>
    <w:rsid w:val="004E14B4"/>
    <w:rsid w:val="004E156B"/>
    <w:rsid w:val="004E1590"/>
    <w:rsid w:val="004E15F1"/>
    <w:rsid w:val="004E16F2"/>
    <w:rsid w:val="004E1723"/>
    <w:rsid w:val="004E1752"/>
    <w:rsid w:val="004E1798"/>
    <w:rsid w:val="004E18F4"/>
    <w:rsid w:val="004E18F7"/>
    <w:rsid w:val="004E1911"/>
    <w:rsid w:val="004E19D5"/>
    <w:rsid w:val="004E1B1B"/>
    <w:rsid w:val="004E1C2C"/>
    <w:rsid w:val="004E1C69"/>
    <w:rsid w:val="004E1D41"/>
    <w:rsid w:val="004E1DEC"/>
    <w:rsid w:val="004E1E6E"/>
    <w:rsid w:val="004E1F1E"/>
    <w:rsid w:val="004E2083"/>
    <w:rsid w:val="004E22C6"/>
    <w:rsid w:val="004E244E"/>
    <w:rsid w:val="004E24EB"/>
    <w:rsid w:val="004E2599"/>
    <w:rsid w:val="004E2798"/>
    <w:rsid w:val="004E283C"/>
    <w:rsid w:val="004E287E"/>
    <w:rsid w:val="004E28E8"/>
    <w:rsid w:val="004E298D"/>
    <w:rsid w:val="004E29A3"/>
    <w:rsid w:val="004E2B25"/>
    <w:rsid w:val="004E2BEA"/>
    <w:rsid w:val="004E2D16"/>
    <w:rsid w:val="004E2E47"/>
    <w:rsid w:val="004E2E5E"/>
    <w:rsid w:val="004E2E98"/>
    <w:rsid w:val="004E2E9F"/>
    <w:rsid w:val="004E301D"/>
    <w:rsid w:val="004E3281"/>
    <w:rsid w:val="004E32F9"/>
    <w:rsid w:val="004E33EF"/>
    <w:rsid w:val="004E3447"/>
    <w:rsid w:val="004E3460"/>
    <w:rsid w:val="004E3475"/>
    <w:rsid w:val="004E34C7"/>
    <w:rsid w:val="004E34E4"/>
    <w:rsid w:val="004E34F5"/>
    <w:rsid w:val="004E3550"/>
    <w:rsid w:val="004E35A8"/>
    <w:rsid w:val="004E36F0"/>
    <w:rsid w:val="004E397E"/>
    <w:rsid w:val="004E39CD"/>
    <w:rsid w:val="004E39E7"/>
    <w:rsid w:val="004E3A73"/>
    <w:rsid w:val="004E3A8A"/>
    <w:rsid w:val="004E3B25"/>
    <w:rsid w:val="004E3B94"/>
    <w:rsid w:val="004E3B97"/>
    <w:rsid w:val="004E3BB5"/>
    <w:rsid w:val="004E3FEA"/>
    <w:rsid w:val="004E4069"/>
    <w:rsid w:val="004E427F"/>
    <w:rsid w:val="004E43B3"/>
    <w:rsid w:val="004E4613"/>
    <w:rsid w:val="004E461D"/>
    <w:rsid w:val="004E4650"/>
    <w:rsid w:val="004E4653"/>
    <w:rsid w:val="004E477B"/>
    <w:rsid w:val="004E4784"/>
    <w:rsid w:val="004E484D"/>
    <w:rsid w:val="004E48C8"/>
    <w:rsid w:val="004E4A1E"/>
    <w:rsid w:val="004E4A66"/>
    <w:rsid w:val="004E4B6E"/>
    <w:rsid w:val="004E4CD0"/>
    <w:rsid w:val="004E4DE6"/>
    <w:rsid w:val="004E4EDB"/>
    <w:rsid w:val="004E4F45"/>
    <w:rsid w:val="004E50DA"/>
    <w:rsid w:val="004E5122"/>
    <w:rsid w:val="004E519F"/>
    <w:rsid w:val="004E51BB"/>
    <w:rsid w:val="004E5469"/>
    <w:rsid w:val="004E55B0"/>
    <w:rsid w:val="004E5748"/>
    <w:rsid w:val="004E58F8"/>
    <w:rsid w:val="004E5915"/>
    <w:rsid w:val="004E593E"/>
    <w:rsid w:val="004E596A"/>
    <w:rsid w:val="004E59E5"/>
    <w:rsid w:val="004E5D22"/>
    <w:rsid w:val="004E5E34"/>
    <w:rsid w:val="004E5E5D"/>
    <w:rsid w:val="004E5EAB"/>
    <w:rsid w:val="004E5FA9"/>
    <w:rsid w:val="004E608F"/>
    <w:rsid w:val="004E60C4"/>
    <w:rsid w:val="004E60DB"/>
    <w:rsid w:val="004E6115"/>
    <w:rsid w:val="004E64E1"/>
    <w:rsid w:val="004E6567"/>
    <w:rsid w:val="004E6617"/>
    <w:rsid w:val="004E66B2"/>
    <w:rsid w:val="004E6768"/>
    <w:rsid w:val="004E681E"/>
    <w:rsid w:val="004E685B"/>
    <w:rsid w:val="004E6967"/>
    <w:rsid w:val="004E6A84"/>
    <w:rsid w:val="004E6C52"/>
    <w:rsid w:val="004E6CE4"/>
    <w:rsid w:val="004E6E4B"/>
    <w:rsid w:val="004E6ED4"/>
    <w:rsid w:val="004E6F10"/>
    <w:rsid w:val="004E6F67"/>
    <w:rsid w:val="004E6FB1"/>
    <w:rsid w:val="004E70A6"/>
    <w:rsid w:val="004E7563"/>
    <w:rsid w:val="004E76EE"/>
    <w:rsid w:val="004E77AA"/>
    <w:rsid w:val="004E7A62"/>
    <w:rsid w:val="004E7D6B"/>
    <w:rsid w:val="004E7D9A"/>
    <w:rsid w:val="004E7E45"/>
    <w:rsid w:val="004F0085"/>
    <w:rsid w:val="004F00D6"/>
    <w:rsid w:val="004F016B"/>
    <w:rsid w:val="004F01FD"/>
    <w:rsid w:val="004F027D"/>
    <w:rsid w:val="004F028A"/>
    <w:rsid w:val="004F03AB"/>
    <w:rsid w:val="004F03EE"/>
    <w:rsid w:val="004F0476"/>
    <w:rsid w:val="004F04A4"/>
    <w:rsid w:val="004F05EF"/>
    <w:rsid w:val="004F05FF"/>
    <w:rsid w:val="004F09B2"/>
    <w:rsid w:val="004F0A62"/>
    <w:rsid w:val="004F0A6A"/>
    <w:rsid w:val="004F0BA0"/>
    <w:rsid w:val="004F0C22"/>
    <w:rsid w:val="004F0C71"/>
    <w:rsid w:val="004F0CC6"/>
    <w:rsid w:val="004F0DE6"/>
    <w:rsid w:val="004F1035"/>
    <w:rsid w:val="004F1090"/>
    <w:rsid w:val="004F117B"/>
    <w:rsid w:val="004F117C"/>
    <w:rsid w:val="004F11F4"/>
    <w:rsid w:val="004F1286"/>
    <w:rsid w:val="004F132A"/>
    <w:rsid w:val="004F1381"/>
    <w:rsid w:val="004F13AD"/>
    <w:rsid w:val="004F13EB"/>
    <w:rsid w:val="004F15A5"/>
    <w:rsid w:val="004F16EE"/>
    <w:rsid w:val="004F1728"/>
    <w:rsid w:val="004F1751"/>
    <w:rsid w:val="004F181F"/>
    <w:rsid w:val="004F1A3B"/>
    <w:rsid w:val="004F1AEB"/>
    <w:rsid w:val="004F1BB3"/>
    <w:rsid w:val="004F1BE0"/>
    <w:rsid w:val="004F1C65"/>
    <w:rsid w:val="004F1C7C"/>
    <w:rsid w:val="004F1CAB"/>
    <w:rsid w:val="004F1CE7"/>
    <w:rsid w:val="004F1D52"/>
    <w:rsid w:val="004F1D73"/>
    <w:rsid w:val="004F1DA2"/>
    <w:rsid w:val="004F1E30"/>
    <w:rsid w:val="004F1FAF"/>
    <w:rsid w:val="004F204D"/>
    <w:rsid w:val="004F2078"/>
    <w:rsid w:val="004F20FA"/>
    <w:rsid w:val="004F2205"/>
    <w:rsid w:val="004F2278"/>
    <w:rsid w:val="004F22FB"/>
    <w:rsid w:val="004F232F"/>
    <w:rsid w:val="004F2355"/>
    <w:rsid w:val="004F24E7"/>
    <w:rsid w:val="004F2525"/>
    <w:rsid w:val="004F2543"/>
    <w:rsid w:val="004F270C"/>
    <w:rsid w:val="004F2808"/>
    <w:rsid w:val="004F298F"/>
    <w:rsid w:val="004F29A5"/>
    <w:rsid w:val="004F2A13"/>
    <w:rsid w:val="004F2B4B"/>
    <w:rsid w:val="004F2B7A"/>
    <w:rsid w:val="004F2C50"/>
    <w:rsid w:val="004F2CB8"/>
    <w:rsid w:val="004F2D3F"/>
    <w:rsid w:val="004F2DF6"/>
    <w:rsid w:val="004F2E52"/>
    <w:rsid w:val="004F2F66"/>
    <w:rsid w:val="004F3014"/>
    <w:rsid w:val="004F305D"/>
    <w:rsid w:val="004F30C6"/>
    <w:rsid w:val="004F3141"/>
    <w:rsid w:val="004F3289"/>
    <w:rsid w:val="004F328D"/>
    <w:rsid w:val="004F3337"/>
    <w:rsid w:val="004F33C1"/>
    <w:rsid w:val="004F3530"/>
    <w:rsid w:val="004F355D"/>
    <w:rsid w:val="004F356E"/>
    <w:rsid w:val="004F36FD"/>
    <w:rsid w:val="004F38C6"/>
    <w:rsid w:val="004F39E8"/>
    <w:rsid w:val="004F3A1F"/>
    <w:rsid w:val="004F3A38"/>
    <w:rsid w:val="004F3AC1"/>
    <w:rsid w:val="004F3BDA"/>
    <w:rsid w:val="004F3CA3"/>
    <w:rsid w:val="004F3D40"/>
    <w:rsid w:val="004F3EE0"/>
    <w:rsid w:val="004F4065"/>
    <w:rsid w:val="004F4069"/>
    <w:rsid w:val="004F40F3"/>
    <w:rsid w:val="004F41BD"/>
    <w:rsid w:val="004F4263"/>
    <w:rsid w:val="004F4379"/>
    <w:rsid w:val="004F45C0"/>
    <w:rsid w:val="004F46B9"/>
    <w:rsid w:val="004F47AA"/>
    <w:rsid w:val="004F484A"/>
    <w:rsid w:val="004F4880"/>
    <w:rsid w:val="004F4A2B"/>
    <w:rsid w:val="004F4BD3"/>
    <w:rsid w:val="004F4CC4"/>
    <w:rsid w:val="004F4D42"/>
    <w:rsid w:val="004F4DA5"/>
    <w:rsid w:val="004F4DE7"/>
    <w:rsid w:val="004F4F67"/>
    <w:rsid w:val="004F508D"/>
    <w:rsid w:val="004F518B"/>
    <w:rsid w:val="004F51A8"/>
    <w:rsid w:val="004F51E7"/>
    <w:rsid w:val="004F53F1"/>
    <w:rsid w:val="004F54A8"/>
    <w:rsid w:val="004F54C8"/>
    <w:rsid w:val="004F54CD"/>
    <w:rsid w:val="004F5724"/>
    <w:rsid w:val="004F573E"/>
    <w:rsid w:val="004F5770"/>
    <w:rsid w:val="004F59AC"/>
    <w:rsid w:val="004F5A2C"/>
    <w:rsid w:val="004F5ABE"/>
    <w:rsid w:val="004F5B30"/>
    <w:rsid w:val="004F5BC3"/>
    <w:rsid w:val="004F5BD1"/>
    <w:rsid w:val="004F5CE4"/>
    <w:rsid w:val="004F5D34"/>
    <w:rsid w:val="004F5FCD"/>
    <w:rsid w:val="004F604C"/>
    <w:rsid w:val="004F606A"/>
    <w:rsid w:val="004F619B"/>
    <w:rsid w:val="004F623E"/>
    <w:rsid w:val="004F63B9"/>
    <w:rsid w:val="004F63D7"/>
    <w:rsid w:val="004F64CA"/>
    <w:rsid w:val="004F6509"/>
    <w:rsid w:val="004F65ED"/>
    <w:rsid w:val="004F6624"/>
    <w:rsid w:val="004F6693"/>
    <w:rsid w:val="004F669A"/>
    <w:rsid w:val="004F6791"/>
    <w:rsid w:val="004F6814"/>
    <w:rsid w:val="004F6AD3"/>
    <w:rsid w:val="004F6C0E"/>
    <w:rsid w:val="004F6C71"/>
    <w:rsid w:val="004F6C7A"/>
    <w:rsid w:val="004F6C8D"/>
    <w:rsid w:val="004F6CAA"/>
    <w:rsid w:val="004F6CC8"/>
    <w:rsid w:val="004F6E91"/>
    <w:rsid w:val="004F6EC2"/>
    <w:rsid w:val="004F6F54"/>
    <w:rsid w:val="004F6FE6"/>
    <w:rsid w:val="004F7205"/>
    <w:rsid w:val="004F7226"/>
    <w:rsid w:val="004F727C"/>
    <w:rsid w:val="004F7337"/>
    <w:rsid w:val="004F740F"/>
    <w:rsid w:val="004F7649"/>
    <w:rsid w:val="004F7668"/>
    <w:rsid w:val="004F7722"/>
    <w:rsid w:val="004F7777"/>
    <w:rsid w:val="004F786F"/>
    <w:rsid w:val="004F7941"/>
    <w:rsid w:val="004F7A49"/>
    <w:rsid w:val="004F7A65"/>
    <w:rsid w:val="004F7AB0"/>
    <w:rsid w:val="004F7BD7"/>
    <w:rsid w:val="004F7C06"/>
    <w:rsid w:val="004F7D06"/>
    <w:rsid w:val="004F7D64"/>
    <w:rsid w:val="004F7E63"/>
    <w:rsid w:val="004F7FAE"/>
    <w:rsid w:val="0050024B"/>
    <w:rsid w:val="005002C8"/>
    <w:rsid w:val="005004A6"/>
    <w:rsid w:val="005006A4"/>
    <w:rsid w:val="005006D8"/>
    <w:rsid w:val="0050073A"/>
    <w:rsid w:val="00500798"/>
    <w:rsid w:val="005008A8"/>
    <w:rsid w:val="00500A02"/>
    <w:rsid w:val="00500A7C"/>
    <w:rsid w:val="00500AB2"/>
    <w:rsid w:val="00500CA4"/>
    <w:rsid w:val="00500CB9"/>
    <w:rsid w:val="00500D51"/>
    <w:rsid w:val="00500DFC"/>
    <w:rsid w:val="00500FF3"/>
    <w:rsid w:val="0050108B"/>
    <w:rsid w:val="005010B3"/>
    <w:rsid w:val="005010D6"/>
    <w:rsid w:val="00501114"/>
    <w:rsid w:val="005012F7"/>
    <w:rsid w:val="00501371"/>
    <w:rsid w:val="005015B5"/>
    <w:rsid w:val="00501868"/>
    <w:rsid w:val="00501924"/>
    <w:rsid w:val="00501987"/>
    <w:rsid w:val="005019BE"/>
    <w:rsid w:val="005019F5"/>
    <w:rsid w:val="00501B80"/>
    <w:rsid w:val="00501F5C"/>
    <w:rsid w:val="00501F89"/>
    <w:rsid w:val="00502089"/>
    <w:rsid w:val="005021B6"/>
    <w:rsid w:val="005021E3"/>
    <w:rsid w:val="00502202"/>
    <w:rsid w:val="0050220B"/>
    <w:rsid w:val="005022F9"/>
    <w:rsid w:val="0050231A"/>
    <w:rsid w:val="0050239C"/>
    <w:rsid w:val="00502451"/>
    <w:rsid w:val="00502549"/>
    <w:rsid w:val="005026BB"/>
    <w:rsid w:val="00502729"/>
    <w:rsid w:val="00502897"/>
    <w:rsid w:val="00502995"/>
    <w:rsid w:val="005029A8"/>
    <w:rsid w:val="005029FF"/>
    <w:rsid w:val="00502B46"/>
    <w:rsid w:val="00502BA5"/>
    <w:rsid w:val="00502CFA"/>
    <w:rsid w:val="00502D76"/>
    <w:rsid w:val="00502F50"/>
    <w:rsid w:val="005030B2"/>
    <w:rsid w:val="00503156"/>
    <w:rsid w:val="005031AE"/>
    <w:rsid w:val="005031B5"/>
    <w:rsid w:val="00503526"/>
    <w:rsid w:val="005035B3"/>
    <w:rsid w:val="0050362B"/>
    <w:rsid w:val="00503662"/>
    <w:rsid w:val="0050370D"/>
    <w:rsid w:val="00503725"/>
    <w:rsid w:val="00503759"/>
    <w:rsid w:val="005037A4"/>
    <w:rsid w:val="005037CF"/>
    <w:rsid w:val="005037D7"/>
    <w:rsid w:val="0050385F"/>
    <w:rsid w:val="00503918"/>
    <w:rsid w:val="00503B88"/>
    <w:rsid w:val="00503C7A"/>
    <w:rsid w:val="00503DE0"/>
    <w:rsid w:val="00503EC0"/>
    <w:rsid w:val="00504074"/>
    <w:rsid w:val="00504198"/>
    <w:rsid w:val="00504269"/>
    <w:rsid w:val="00504431"/>
    <w:rsid w:val="00504448"/>
    <w:rsid w:val="00504534"/>
    <w:rsid w:val="00504551"/>
    <w:rsid w:val="00504574"/>
    <w:rsid w:val="0050465F"/>
    <w:rsid w:val="005047F9"/>
    <w:rsid w:val="0050487B"/>
    <w:rsid w:val="00504B2D"/>
    <w:rsid w:val="00504B5D"/>
    <w:rsid w:val="00504B7B"/>
    <w:rsid w:val="00504C85"/>
    <w:rsid w:val="00504E27"/>
    <w:rsid w:val="00504E3A"/>
    <w:rsid w:val="00504EFA"/>
    <w:rsid w:val="00504F48"/>
    <w:rsid w:val="00504F73"/>
    <w:rsid w:val="00504FF1"/>
    <w:rsid w:val="005050F5"/>
    <w:rsid w:val="005050FA"/>
    <w:rsid w:val="00505184"/>
    <w:rsid w:val="0050522B"/>
    <w:rsid w:val="005052F5"/>
    <w:rsid w:val="005053C3"/>
    <w:rsid w:val="005053C7"/>
    <w:rsid w:val="005054BC"/>
    <w:rsid w:val="005054C9"/>
    <w:rsid w:val="00505568"/>
    <w:rsid w:val="005055FF"/>
    <w:rsid w:val="005058B8"/>
    <w:rsid w:val="00505987"/>
    <w:rsid w:val="00505A19"/>
    <w:rsid w:val="00505A25"/>
    <w:rsid w:val="00505B0F"/>
    <w:rsid w:val="00505E96"/>
    <w:rsid w:val="0050600D"/>
    <w:rsid w:val="00506056"/>
    <w:rsid w:val="005060BC"/>
    <w:rsid w:val="00506179"/>
    <w:rsid w:val="0050620E"/>
    <w:rsid w:val="0050625D"/>
    <w:rsid w:val="00506631"/>
    <w:rsid w:val="00506634"/>
    <w:rsid w:val="00506728"/>
    <w:rsid w:val="00506759"/>
    <w:rsid w:val="00506892"/>
    <w:rsid w:val="005068DF"/>
    <w:rsid w:val="00506ACE"/>
    <w:rsid w:val="00506B46"/>
    <w:rsid w:val="00506BBF"/>
    <w:rsid w:val="00506BC1"/>
    <w:rsid w:val="00506C04"/>
    <w:rsid w:val="00506C9A"/>
    <w:rsid w:val="00506D3C"/>
    <w:rsid w:val="00506DDC"/>
    <w:rsid w:val="00506EA1"/>
    <w:rsid w:val="00506FB8"/>
    <w:rsid w:val="0050712F"/>
    <w:rsid w:val="0050717C"/>
    <w:rsid w:val="00507235"/>
    <w:rsid w:val="00507333"/>
    <w:rsid w:val="0050741A"/>
    <w:rsid w:val="0050744A"/>
    <w:rsid w:val="00507526"/>
    <w:rsid w:val="0050757A"/>
    <w:rsid w:val="005075B1"/>
    <w:rsid w:val="00507784"/>
    <w:rsid w:val="005077DF"/>
    <w:rsid w:val="00507832"/>
    <w:rsid w:val="0050785F"/>
    <w:rsid w:val="005078EC"/>
    <w:rsid w:val="005079C1"/>
    <w:rsid w:val="005079DA"/>
    <w:rsid w:val="00507A2D"/>
    <w:rsid w:val="00507C4A"/>
    <w:rsid w:val="00507C5F"/>
    <w:rsid w:val="00507D1C"/>
    <w:rsid w:val="00507D27"/>
    <w:rsid w:val="00507D96"/>
    <w:rsid w:val="00507F79"/>
    <w:rsid w:val="00507FB5"/>
    <w:rsid w:val="00507FD4"/>
    <w:rsid w:val="00507FF3"/>
    <w:rsid w:val="005100F8"/>
    <w:rsid w:val="0051011E"/>
    <w:rsid w:val="00510136"/>
    <w:rsid w:val="00510174"/>
    <w:rsid w:val="00510237"/>
    <w:rsid w:val="0051032C"/>
    <w:rsid w:val="005103BF"/>
    <w:rsid w:val="00510696"/>
    <w:rsid w:val="005106A4"/>
    <w:rsid w:val="0051070D"/>
    <w:rsid w:val="00510A8D"/>
    <w:rsid w:val="00510AA4"/>
    <w:rsid w:val="00510B96"/>
    <w:rsid w:val="00510D11"/>
    <w:rsid w:val="00510E25"/>
    <w:rsid w:val="00510F7D"/>
    <w:rsid w:val="00510FBB"/>
    <w:rsid w:val="00510FDA"/>
    <w:rsid w:val="00511058"/>
    <w:rsid w:val="00511542"/>
    <w:rsid w:val="005115C4"/>
    <w:rsid w:val="00511638"/>
    <w:rsid w:val="00511697"/>
    <w:rsid w:val="0051169A"/>
    <w:rsid w:val="0051170D"/>
    <w:rsid w:val="005117EA"/>
    <w:rsid w:val="005118DC"/>
    <w:rsid w:val="00511A83"/>
    <w:rsid w:val="00511B7F"/>
    <w:rsid w:val="00511B86"/>
    <w:rsid w:val="00511BD5"/>
    <w:rsid w:val="00511FBC"/>
    <w:rsid w:val="00511FD7"/>
    <w:rsid w:val="0051209E"/>
    <w:rsid w:val="005120D8"/>
    <w:rsid w:val="005120F5"/>
    <w:rsid w:val="005121EC"/>
    <w:rsid w:val="00512322"/>
    <w:rsid w:val="00512455"/>
    <w:rsid w:val="0051245A"/>
    <w:rsid w:val="005124F7"/>
    <w:rsid w:val="005125CB"/>
    <w:rsid w:val="005126DA"/>
    <w:rsid w:val="005128FE"/>
    <w:rsid w:val="00512B8D"/>
    <w:rsid w:val="00512BEF"/>
    <w:rsid w:val="00512F59"/>
    <w:rsid w:val="00512F90"/>
    <w:rsid w:val="00512FFE"/>
    <w:rsid w:val="00513074"/>
    <w:rsid w:val="00513097"/>
    <w:rsid w:val="005130A1"/>
    <w:rsid w:val="0051326D"/>
    <w:rsid w:val="00513340"/>
    <w:rsid w:val="005133D2"/>
    <w:rsid w:val="005133EB"/>
    <w:rsid w:val="005135B8"/>
    <w:rsid w:val="0051367A"/>
    <w:rsid w:val="0051375C"/>
    <w:rsid w:val="005137B4"/>
    <w:rsid w:val="005138A4"/>
    <w:rsid w:val="005138C1"/>
    <w:rsid w:val="00513A0C"/>
    <w:rsid w:val="00513A5D"/>
    <w:rsid w:val="00513A7C"/>
    <w:rsid w:val="00513ADD"/>
    <w:rsid w:val="00513B2D"/>
    <w:rsid w:val="00513B69"/>
    <w:rsid w:val="00513BF4"/>
    <w:rsid w:val="00513C57"/>
    <w:rsid w:val="00513DEB"/>
    <w:rsid w:val="00513E6F"/>
    <w:rsid w:val="00513F67"/>
    <w:rsid w:val="0051402D"/>
    <w:rsid w:val="0051405D"/>
    <w:rsid w:val="005141D8"/>
    <w:rsid w:val="00514296"/>
    <w:rsid w:val="00514298"/>
    <w:rsid w:val="0051432F"/>
    <w:rsid w:val="005143C7"/>
    <w:rsid w:val="005143D3"/>
    <w:rsid w:val="0051442B"/>
    <w:rsid w:val="00514685"/>
    <w:rsid w:val="005146BF"/>
    <w:rsid w:val="005146F6"/>
    <w:rsid w:val="00514965"/>
    <w:rsid w:val="00514A2B"/>
    <w:rsid w:val="00514A64"/>
    <w:rsid w:val="00514BEB"/>
    <w:rsid w:val="00514C80"/>
    <w:rsid w:val="00514DD6"/>
    <w:rsid w:val="005151C1"/>
    <w:rsid w:val="00515285"/>
    <w:rsid w:val="00515372"/>
    <w:rsid w:val="005153DF"/>
    <w:rsid w:val="00515587"/>
    <w:rsid w:val="005155B8"/>
    <w:rsid w:val="00515814"/>
    <w:rsid w:val="00515976"/>
    <w:rsid w:val="005159E0"/>
    <w:rsid w:val="00515AC9"/>
    <w:rsid w:val="00515C25"/>
    <w:rsid w:val="00515D98"/>
    <w:rsid w:val="00515FDC"/>
    <w:rsid w:val="00516033"/>
    <w:rsid w:val="0051634F"/>
    <w:rsid w:val="00516375"/>
    <w:rsid w:val="005166B1"/>
    <w:rsid w:val="005167D0"/>
    <w:rsid w:val="005167FF"/>
    <w:rsid w:val="005168FB"/>
    <w:rsid w:val="00516AB4"/>
    <w:rsid w:val="00516C15"/>
    <w:rsid w:val="00516C48"/>
    <w:rsid w:val="00516C4E"/>
    <w:rsid w:val="00516CC2"/>
    <w:rsid w:val="00516DB9"/>
    <w:rsid w:val="00516F79"/>
    <w:rsid w:val="00517061"/>
    <w:rsid w:val="00517231"/>
    <w:rsid w:val="005173DA"/>
    <w:rsid w:val="0051741A"/>
    <w:rsid w:val="0051747A"/>
    <w:rsid w:val="00517539"/>
    <w:rsid w:val="0051763E"/>
    <w:rsid w:val="00517674"/>
    <w:rsid w:val="005176A0"/>
    <w:rsid w:val="0051778E"/>
    <w:rsid w:val="00517795"/>
    <w:rsid w:val="00517849"/>
    <w:rsid w:val="0051788E"/>
    <w:rsid w:val="00517929"/>
    <w:rsid w:val="00517935"/>
    <w:rsid w:val="005179D2"/>
    <w:rsid w:val="00517BD1"/>
    <w:rsid w:val="00517C62"/>
    <w:rsid w:val="00517E07"/>
    <w:rsid w:val="00517EDB"/>
    <w:rsid w:val="00520038"/>
    <w:rsid w:val="0052006E"/>
    <w:rsid w:val="00520075"/>
    <w:rsid w:val="005201D8"/>
    <w:rsid w:val="00520249"/>
    <w:rsid w:val="0052033A"/>
    <w:rsid w:val="005205D3"/>
    <w:rsid w:val="005206C4"/>
    <w:rsid w:val="0052077D"/>
    <w:rsid w:val="00520811"/>
    <w:rsid w:val="00520936"/>
    <w:rsid w:val="005209C5"/>
    <w:rsid w:val="00520C8C"/>
    <w:rsid w:val="00520CA5"/>
    <w:rsid w:val="00520CFA"/>
    <w:rsid w:val="00520DD8"/>
    <w:rsid w:val="00520E89"/>
    <w:rsid w:val="00520F0A"/>
    <w:rsid w:val="00520FAD"/>
    <w:rsid w:val="005210E7"/>
    <w:rsid w:val="00521123"/>
    <w:rsid w:val="0052114E"/>
    <w:rsid w:val="0052121D"/>
    <w:rsid w:val="005212E0"/>
    <w:rsid w:val="005214F1"/>
    <w:rsid w:val="0052178C"/>
    <w:rsid w:val="00521A22"/>
    <w:rsid w:val="00521A4D"/>
    <w:rsid w:val="00521A89"/>
    <w:rsid w:val="00521B3F"/>
    <w:rsid w:val="00521BD9"/>
    <w:rsid w:val="00521BF7"/>
    <w:rsid w:val="00521CAF"/>
    <w:rsid w:val="00521CFA"/>
    <w:rsid w:val="00521D03"/>
    <w:rsid w:val="00521E0E"/>
    <w:rsid w:val="005220AC"/>
    <w:rsid w:val="00522115"/>
    <w:rsid w:val="00522169"/>
    <w:rsid w:val="005224FE"/>
    <w:rsid w:val="0052254F"/>
    <w:rsid w:val="0052256C"/>
    <w:rsid w:val="0052258B"/>
    <w:rsid w:val="005225A0"/>
    <w:rsid w:val="00522616"/>
    <w:rsid w:val="005226EF"/>
    <w:rsid w:val="00522710"/>
    <w:rsid w:val="00522728"/>
    <w:rsid w:val="0052288C"/>
    <w:rsid w:val="005228BB"/>
    <w:rsid w:val="00522AA9"/>
    <w:rsid w:val="00522B3F"/>
    <w:rsid w:val="00522BEB"/>
    <w:rsid w:val="00522C12"/>
    <w:rsid w:val="00522C20"/>
    <w:rsid w:val="00522C5F"/>
    <w:rsid w:val="00522EEA"/>
    <w:rsid w:val="00522F0B"/>
    <w:rsid w:val="00522FB6"/>
    <w:rsid w:val="005230C9"/>
    <w:rsid w:val="0052315A"/>
    <w:rsid w:val="005232B1"/>
    <w:rsid w:val="005232BA"/>
    <w:rsid w:val="00523321"/>
    <w:rsid w:val="00523329"/>
    <w:rsid w:val="005233CA"/>
    <w:rsid w:val="0052366A"/>
    <w:rsid w:val="00523696"/>
    <w:rsid w:val="00523747"/>
    <w:rsid w:val="005237D5"/>
    <w:rsid w:val="00523834"/>
    <w:rsid w:val="005238C9"/>
    <w:rsid w:val="00523940"/>
    <w:rsid w:val="005239DE"/>
    <w:rsid w:val="00523AEE"/>
    <w:rsid w:val="00523B1A"/>
    <w:rsid w:val="00523B53"/>
    <w:rsid w:val="00523C43"/>
    <w:rsid w:val="00523D45"/>
    <w:rsid w:val="00523DA3"/>
    <w:rsid w:val="00523E44"/>
    <w:rsid w:val="00523EA9"/>
    <w:rsid w:val="00523FBB"/>
    <w:rsid w:val="00523FED"/>
    <w:rsid w:val="005241C7"/>
    <w:rsid w:val="00524383"/>
    <w:rsid w:val="0052445C"/>
    <w:rsid w:val="00524568"/>
    <w:rsid w:val="005246D3"/>
    <w:rsid w:val="00524785"/>
    <w:rsid w:val="0052478C"/>
    <w:rsid w:val="005247F9"/>
    <w:rsid w:val="00524A02"/>
    <w:rsid w:val="00524B3C"/>
    <w:rsid w:val="00524BFB"/>
    <w:rsid w:val="00524C07"/>
    <w:rsid w:val="00524D5F"/>
    <w:rsid w:val="00524F67"/>
    <w:rsid w:val="00525157"/>
    <w:rsid w:val="005251AC"/>
    <w:rsid w:val="005251EA"/>
    <w:rsid w:val="005251EF"/>
    <w:rsid w:val="00525246"/>
    <w:rsid w:val="005252B7"/>
    <w:rsid w:val="00525342"/>
    <w:rsid w:val="00525438"/>
    <w:rsid w:val="00525450"/>
    <w:rsid w:val="005254A6"/>
    <w:rsid w:val="005255A2"/>
    <w:rsid w:val="0052564C"/>
    <w:rsid w:val="00525C14"/>
    <w:rsid w:val="00525CC3"/>
    <w:rsid w:val="00525E91"/>
    <w:rsid w:val="00525E94"/>
    <w:rsid w:val="00525F59"/>
    <w:rsid w:val="00525F64"/>
    <w:rsid w:val="00525F66"/>
    <w:rsid w:val="00525F77"/>
    <w:rsid w:val="00525FBA"/>
    <w:rsid w:val="0052600A"/>
    <w:rsid w:val="00526075"/>
    <w:rsid w:val="005260CF"/>
    <w:rsid w:val="00526178"/>
    <w:rsid w:val="00526204"/>
    <w:rsid w:val="0052623F"/>
    <w:rsid w:val="0052629B"/>
    <w:rsid w:val="0052636A"/>
    <w:rsid w:val="005263D4"/>
    <w:rsid w:val="00526431"/>
    <w:rsid w:val="005265A3"/>
    <w:rsid w:val="005265D3"/>
    <w:rsid w:val="00526629"/>
    <w:rsid w:val="00526671"/>
    <w:rsid w:val="005266A4"/>
    <w:rsid w:val="00526860"/>
    <w:rsid w:val="00526983"/>
    <w:rsid w:val="005269AA"/>
    <w:rsid w:val="005269B4"/>
    <w:rsid w:val="00526AA5"/>
    <w:rsid w:val="00526AD6"/>
    <w:rsid w:val="00526B83"/>
    <w:rsid w:val="00526B9C"/>
    <w:rsid w:val="00526D40"/>
    <w:rsid w:val="00526E21"/>
    <w:rsid w:val="00526E73"/>
    <w:rsid w:val="00526EA6"/>
    <w:rsid w:val="00526F88"/>
    <w:rsid w:val="00526F89"/>
    <w:rsid w:val="0052727D"/>
    <w:rsid w:val="00527305"/>
    <w:rsid w:val="005273AD"/>
    <w:rsid w:val="00527472"/>
    <w:rsid w:val="005274A5"/>
    <w:rsid w:val="005275CA"/>
    <w:rsid w:val="0052770D"/>
    <w:rsid w:val="00527974"/>
    <w:rsid w:val="00527A1E"/>
    <w:rsid w:val="00527B54"/>
    <w:rsid w:val="00527BC1"/>
    <w:rsid w:val="00527CEA"/>
    <w:rsid w:val="00527D74"/>
    <w:rsid w:val="00527D79"/>
    <w:rsid w:val="00530013"/>
    <w:rsid w:val="005301A5"/>
    <w:rsid w:val="005301EE"/>
    <w:rsid w:val="00530207"/>
    <w:rsid w:val="005302DC"/>
    <w:rsid w:val="005302EA"/>
    <w:rsid w:val="005303DE"/>
    <w:rsid w:val="0053044D"/>
    <w:rsid w:val="0053064C"/>
    <w:rsid w:val="00530685"/>
    <w:rsid w:val="0053073E"/>
    <w:rsid w:val="005307A4"/>
    <w:rsid w:val="005309A9"/>
    <w:rsid w:val="005309D6"/>
    <w:rsid w:val="00530A2E"/>
    <w:rsid w:val="00530B78"/>
    <w:rsid w:val="00530B95"/>
    <w:rsid w:val="00530C3E"/>
    <w:rsid w:val="00530C48"/>
    <w:rsid w:val="00530C78"/>
    <w:rsid w:val="00530CAA"/>
    <w:rsid w:val="00530CF7"/>
    <w:rsid w:val="00530E31"/>
    <w:rsid w:val="00530EA7"/>
    <w:rsid w:val="00530F2E"/>
    <w:rsid w:val="00530F89"/>
    <w:rsid w:val="00530F99"/>
    <w:rsid w:val="00531257"/>
    <w:rsid w:val="005312E7"/>
    <w:rsid w:val="005313C9"/>
    <w:rsid w:val="0053142A"/>
    <w:rsid w:val="0053155E"/>
    <w:rsid w:val="00531583"/>
    <w:rsid w:val="005315C4"/>
    <w:rsid w:val="00531999"/>
    <w:rsid w:val="00531A1B"/>
    <w:rsid w:val="00531A87"/>
    <w:rsid w:val="00531A99"/>
    <w:rsid w:val="00531AC9"/>
    <w:rsid w:val="00531B18"/>
    <w:rsid w:val="00531C38"/>
    <w:rsid w:val="00531D09"/>
    <w:rsid w:val="00531EAF"/>
    <w:rsid w:val="005320C8"/>
    <w:rsid w:val="0053219E"/>
    <w:rsid w:val="005321DD"/>
    <w:rsid w:val="005321FC"/>
    <w:rsid w:val="0053229A"/>
    <w:rsid w:val="0053231D"/>
    <w:rsid w:val="0053232F"/>
    <w:rsid w:val="0053233D"/>
    <w:rsid w:val="005324CF"/>
    <w:rsid w:val="005324DA"/>
    <w:rsid w:val="005325BA"/>
    <w:rsid w:val="005325E3"/>
    <w:rsid w:val="005325F0"/>
    <w:rsid w:val="0053265F"/>
    <w:rsid w:val="00532709"/>
    <w:rsid w:val="005327F7"/>
    <w:rsid w:val="0053282F"/>
    <w:rsid w:val="00532A16"/>
    <w:rsid w:val="00532AB7"/>
    <w:rsid w:val="00532D03"/>
    <w:rsid w:val="00532D32"/>
    <w:rsid w:val="00532DE3"/>
    <w:rsid w:val="00532E04"/>
    <w:rsid w:val="00532EA6"/>
    <w:rsid w:val="00532F62"/>
    <w:rsid w:val="00532F8E"/>
    <w:rsid w:val="0053305B"/>
    <w:rsid w:val="00533155"/>
    <w:rsid w:val="005331B2"/>
    <w:rsid w:val="0053321B"/>
    <w:rsid w:val="005332D2"/>
    <w:rsid w:val="00533435"/>
    <w:rsid w:val="0053347A"/>
    <w:rsid w:val="00533593"/>
    <w:rsid w:val="005335D2"/>
    <w:rsid w:val="00533679"/>
    <w:rsid w:val="005336CF"/>
    <w:rsid w:val="005339F7"/>
    <w:rsid w:val="005339F8"/>
    <w:rsid w:val="00533A44"/>
    <w:rsid w:val="00533A94"/>
    <w:rsid w:val="00533AB0"/>
    <w:rsid w:val="00533ACE"/>
    <w:rsid w:val="00533B3E"/>
    <w:rsid w:val="00533B4A"/>
    <w:rsid w:val="00533CEB"/>
    <w:rsid w:val="00533D6B"/>
    <w:rsid w:val="00533D79"/>
    <w:rsid w:val="00533D9C"/>
    <w:rsid w:val="00533E3E"/>
    <w:rsid w:val="00533EC9"/>
    <w:rsid w:val="00534084"/>
    <w:rsid w:val="00534156"/>
    <w:rsid w:val="0053444C"/>
    <w:rsid w:val="00534465"/>
    <w:rsid w:val="005344C4"/>
    <w:rsid w:val="005344D9"/>
    <w:rsid w:val="005344FD"/>
    <w:rsid w:val="005346F9"/>
    <w:rsid w:val="005347D4"/>
    <w:rsid w:val="0053494C"/>
    <w:rsid w:val="005349CF"/>
    <w:rsid w:val="005349DB"/>
    <w:rsid w:val="00534A37"/>
    <w:rsid w:val="00534C32"/>
    <w:rsid w:val="00534D4D"/>
    <w:rsid w:val="00534DD5"/>
    <w:rsid w:val="00534DED"/>
    <w:rsid w:val="00534F69"/>
    <w:rsid w:val="0053500F"/>
    <w:rsid w:val="00535121"/>
    <w:rsid w:val="00535208"/>
    <w:rsid w:val="00535290"/>
    <w:rsid w:val="0053542B"/>
    <w:rsid w:val="005354C4"/>
    <w:rsid w:val="005355AE"/>
    <w:rsid w:val="005355CC"/>
    <w:rsid w:val="0053560B"/>
    <w:rsid w:val="0053561C"/>
    <w:rsid w:val="0053564A"/>
    <w:rsid w:val="005356AC"/>
    <w:rsid w:val="0053587C"/>
    <w:rsid w:val="00535909"/>
    <w:rsid w:val="0053597B"/>
    <w:rsid w:val="005359B6"/>
    <w:rsid w:val="005359FE"/>
    <w:rsid w:val="00535A44"/>
    <w:rsid w:val="00535B14"/>
    <w:rsid w:val="00535B15"/>
    <w:rsid w:val="00535B2E"/>
    <w:rsid w:val="00535D39"/>
    <w:rsid w:val="00535D4F"/>
    <w:rsid w:val="00535D5B"/>
    <w:rsid w:val="00535D9F"/>
    <w:rsid w:val="00535F42"/>
    <w:rsid w:val="00535FAB"/>
    <w:rsid w:val="00536053"/>
    <w:rsid w:val="0053614F"/>
    <w:rsid w:val="00536150"/>
    <w:rsid w:val="00536157"/>
    <w:rsid w:val="005361CE"/>
    <w:rsid w:val="00536380"/>
    <w:rsid w:val="005364D0"/>
    <w:rsid w:val="00536637"/>
    <w:rsid w:val="00536652"/>
    <w:rsid w:val="00536680"/>
    <w:rsid w:val="005366C1"/>
    <w:rsid w:val="00536742"/>
    <w:rsid w:val="005368CD"/>
    <w:rsid w:val="0053693E"/>
    <w:rsid w:val="00536B66"/>
    <w:rsid w:val="00536BD5"/>
    <w:rsid w:val="00536BE0"/>
    <w:rsid w:val="00536C9C"/>
    <w:rsid w:val="00536D77"/>
    <w:rsid w:val="00536DB8"/>
    <w:rsid w:val="00536E22"/>
    <w:rsid w:val="00536E86"/>
    <w:rsid w:val="005370B9"/>
    <w:rsid w:val="005371F0"/>
    <w:rsid w:val="0053738C"/>
    <w:rsid w:val="00537490"/>
    <w:rsid w:val="00537546"/>
    <w:rsid w:val="00537570"/>
    <w:rsid w:val="00537573"/>
    <w:rsid w:val="00537727"/>
    <w:rsid w:val="005377AF"/>
    <w:rsid w:val="00537938"/>
    <w:rsid w:val="00537AC7"/>
    <w:rsid w:val="00537B12"/>
    <w:rsid w:val="00537B35"/>
    <w:rsid w:val="00537B38"/>
    <w:rsid w:val="00537B76"/>
    <w:rsid w:val="00537CAB"/>
    <w:rsid w:val="00540051"/>
    <w:rsid w:val="005400D6"/>
    <w:rsid w:val="005402B6"/>
    <w:rsid w:val="0054034E"/>
    <w:rsid w:val="00540454"/>
    <w:rsid w:val="00540482"/>
    <w:rsid w:val="005404BA"/>
    <w:rsid w:val="00540573"/>
    <w:rsid w:val="005405C0"/>
    <w:rsid w:val="0054077C"/>
    <w:rsid w:val="0054083C"/>
    <w:rsid w:val="00540A57"/>
    <w:rsid w:val="00540AF4"/>
    <w:rsid w:val="00540C62"/>
    <w:rsid w:val="00540C98"/>
    <w:rsid w:val="00540D2E"/>
    <w:rsid w:val="00540FE6"/>
    <w:rsid w:val="00540FFA"/>
    <w:rsid w:val="00541064"/>
    <w:rsid w:val="005410A5"/>
    <w:rsid w:val="005410C0"/>
    <w:rsid w:val="005411B5"/>
    <w:rsid w:val="0054122C"/>
    <w:rsid w:val="00541231"/>
    <w:rsid w:val="00541248"/>
    <w:rsid w:val="005412A8"/>
    <w:rsid w:val="005414D8"/>
    <w:rsid w:val="0054152D"/>
    <w:rsid w:val="00541564"/>
    <w:rsid w:val="00541646"/>
    <w:rsid w:val="0054165E"/>
    <w:rsid w:val="00541814"/>
    <w:rsid w:val="00541823"/>
    <w:rsid w:val="0054186E"/>
    <w:rsid w:val="0054187F"/>
    <w:rsid w:val="0054190A"/>
    <w:rsid w:val="00541984"/>
    <w:rsid w:val="005419C4"/>
    <w:rsid w:val="00541C24"/>
    <w:rsid w:val="00541C51"/>
    <w:rsid w:val="00541EAD"/>
    <w:rsid w:val="0054238D"/>
    <w:rsid w:val="00542500"/>
    <w:rsid w:val="0054250F"/>
    <w:rsid w:val="005425AE"/>
    <w:rsid w:val="005425C5"/>
    <w:rsid w:val="00542623"/>
    <w:rsid w:val="0054265B"/>
    <w:rsid w:val="005427BE"/>
    <w:rsid w:val="005427BF"/>
    <w:rsid w:val="0054284E"/>
    <w:rsid w:val="005428C8"/>
    <w:rsid w:val="00542D4C"/>
    <w:rsid w:val="00542DD6"/>
    <w:rsid w:val="00542E3F"/>
    <w:rsid w:val="00542EB2"/>
    <w:rsid w:val="005431ED"/>
    <w:rsid w:val="0054322B"/>
    <w:rsid w:val="005433B6"/>
    <w:rsid w:val="00543506"/>
    <w:rsid w:val="0054353D"/>
    <w:rsid w:val="0054354B"/>
    <w:rsid w:val="005435C2"/>
    <w:rsid w:val="0054364D"/>
    <w:rsid w:val="005436AD"/>
    <w:rsid w:val="00543726"/>
    <w:rsid w:val="0054389D"/>
    <w:rsid w:val="00543913"/>
    <w:rsid w:val="00543A70"/>
    <w:rsid w:val="00543AF3"/>
    <w:rsid w:val="00543B32"/>
    <w:rsid w:val="00543C07"/>
    <w:rsid w:val="00543DBB"/>
    <w:rsid w:val="00543E09"/>
    <w:rsid w:val="00543E58"/>
    <w:rsid w:val="005440C7"/>
    <w:rsid w:val="005440D3"/>
    <w:rsid w:val="0054418B"/>
    <w:rsid w:val="005441D5"/>
    <w:rsid w:val="0054427E"/>
    <w:rsid w:val="00544460"/>
    <w:rsid w:val="00544702"/>
    <w:rsid w:val="00544760"/>
    <w:rsid w:val="005447A3"/>
    <w:rsid w:val="00544898"/>
    <w:rsid w:val="005448C4"/>
    <w:rsid w:val="005449F0"/>
    <w:rsid w:val="00544C8D"/>
    <w:rsid w:val="00544D8B"/>
    <w:rsid w:val="00544DAA"/>
    <w:rsid w:val="00544DAB"/>
    <w:rsid w:val="00544F75"/>
    <w:rsid w:val="00544FD2"/>
    <w:rsid w:val="00545098"/>
    <w:rsid w:val="005450C2"/>
    <w:rsid w:val="00545191"/>
    <w:rsid w:val="005452C0"/>
    <w:rsid w:val="005452EA"/>
    <w:rsid w:val="005453C1"/>
    <w:rsid w:val="005453C6"/>
    <w:rsid w:val="00545413"/>
    <w:rsid w:val="00545479"/>
    <w:rsid w:val="005455A8"/>
    <w:rsid w:val="005455E0"/>
    <w:rsid w:val="00545607"/>
    <w:rsid w:val="00545632"/>
    <w:rsid w:val="00545661"/>
    <w:rsid w:val="00545710"/>
    <w:rsid w:val="005457C7"/>
    <w:rsid w:val="00545969"/>
    <w:rsid w:val="005459F6"/>
    <w:rsid w:val="00545AAE"/>
    <w:rsid w:val="00545BC1"/>
    <w:rsid w:val="00545C7D"/>
    <w:rsid w:val="00545D20"/>
    <w:rsid w:val="00545DB5"/>
    <w:rsid w:val="00545EB5"/>
    <w:rsid w:val="00545F41"/>
    <w:rsid w:val="00545F9D"/>
    <w:rsid w:val="00545FA2"/>
    <w:rsid w:val="0054623A"/>
    <w:rsid w:val="005463E1"/>
    <w:rsid w:val="00546463"/>
    <w:rsid w:val="00546465"/>
    <w:rsid w:val="0054648E"/>
    <w:rsid w:val="0054649D"/>
    <w:rsid w:val="005464A7"/>
    <w:rsid w:val="0054654E"/>
    <w:rsid w:val="005465EB"/>
    <w:rsid w:val="0054663D"/>
    <w:rsid w:val="00546645"/>
    <w:rsid w:val="005466D3"/>
    <w:rsid w:val="005466F6"/>
    <w:rsid w:val="0054688C"/>
    <w:rsid w:val="00546922"/>
    <w:rsid w:val="00546991"/>
    <w:rsid w:val="00546A66"/>
    <w:rsid w:val="00546B70"/>
    <w:rsid w:val="00546B92"/>
    <w:rsid w:val="00546BF9"/>
    <w:rsid w:val="00546D11"/>
    <w:rsid w:val="00546EBA"/>
    <w:rsid w:val="00546FAF"/>
    <w:rsid w:val="005470DF"/>
    <w:rsid w:val="0054712A"/>
    <w:rsid w:val="00547155"/>
    <w:rsid w:val="0054724C"/>
    <w:rsid w:val="005472A8"/>
    <w:rsid w:val="005472DE"/>
    <w:rsid w:val="00547305"/>
    <w:rsid w:val="005473A0"/>
    <w:rsid w:val="00547422"/>
    <w:rsid w:val="00547436"/>
    <w:rsid w:val="00547477"/>
    <w:rsid w:val="005474A7"/>
    <w:rsid w:val="00547638"/>
    <w:rsid w:val="00547663"/>
    <w:rsid w:val="005476BA"/>
    <w:rsid w:val="00547952"/>
    <w:rsid w:val="00547973"/>
    <w:rsid w:val="00547976"/>
    <w:rsid w:val="005479C8"/>
    <w:rsid w:val="00547A37"/>
    <w:rsid w:val="00547A81"/>
    <w:rsid w:val="00547BC5"/>
    <w:rsid w:val="00547CD5"/>
    <w:rsid w:val="00547D83"/>
    <w:rsid w:val="00547DF9"/>
    <w:rsid w:val="00547F5B"/>
    <w:rsid w:val="00550044"/>
    <w:rsid w:val="00550066"/>
    <w:rsid w:val="0055006B"/>
    <w:rsid w:val="0055022C"/>
    <w:rsid w:val="00550307"/>
    <w:rsid w:val="00550460"/>
    <w:rsid w:val="0055049D"/>
    <w:rsid w:val="0055059E"/>
    <w:rsid w:val="0055078A"/>
    <w:rsid w:val="005507A5"/>
    <w:rsid w:val="0055098F"/>
    <w:rsid w:val="00550A3B"/>
    <w:rsid w:val="00550BDC"/>
    <w:rsid w:val="00550DAB"/>
    <w:rsid w:val="00550E7B"/>
    <w:rsid w:val="00550FFC"/>
    <w:rsid w:val="0055101F"/>
    <w:rsid w:val="00551148"/>
    <w:rsid w:val="0055117A"/>
    <w:rsid w:val="00551234"/>
    <w:rsid w:val="00551352"/>
    <w:rsid w:val="0055140A"/>
    <w:rsid w:val="0055147C"/>
    <w:rsid w:val="005514DF"/>
    <w:rsid w:val="00551555"/>
    <w:rsid w:val="0055166A"/>
    <w:rsid w:val="00551713"/>
    <w:rsid w:val="00551859"/>
    <w:rsid w:val="005519A5"/>
    <w:rsid w:val="00551A33"/>
    <w:rsid w:val="00551B39"/>
    <w:rsid w:val="00551B3A"/>
    <w:rsid w:val="00551C70"/>
    <w:rsid w:val="00551CA2"/>
    <w:rsid w:val="00551D81"/>
    <w:rsid w:val="00551DD4"/>
    <w:rsid w:val="00551FC3"/>
    <w:rsid w:val="00552067"/>
    <w:rsid w:val="00552194"/>
    <w:rsid w:val="005521F3"/>
    <w:rsid w:val="0055245C"/>
    <w:rsid w:val="005524BA"/>
    <w:rsid w:val="0055279C"/>
    <w:rsid w:val="005528B6"/>
    <w:rsid w:val="005528D8"/>
    <w:rsid w:val="00552957"/>
    <w:rsid w:val="00552974"/>
    <w:rsid w:val="00552A2E"/>
    <w:rsid w:val="00552A77"/>
    <w:rsid w:val="00552B33"/>
    <w:rsid w:val="00552B61"/>
    <w:rsid w:val="00552C12"/>
    <w:rsid w:val="00552C24"/>
    <w:rsid w:val="00552C3E"/>
    <w:rsid w:val="00552C70"/>
    <w:rsid w:val="00552CC8"/>
    <w:rsid w:val="00552CDE"/>
    <w:rsid w:val="00552D00"/>
    <w:rsid w:val="00552DB0"/>
    <w:rsid w:val="00552DE2"/>
    <w:rsid w:val="00552ED8"/>
    <w:rsid w:val="00553062"/>
    <w:rsid w:val="0055306C"/>
    <w:rsid w:val="00553110"/>
    <w:rsid w:val="00553256"/>
    <w:rsid w:val="00553263"/>
    <w:rsid w:val="005533CF"/>
    <w:rsid w:val="005533D6"/>
    <w:rsid w:val="0055346A"/>
    <w:rsid w:val="0055356F"/>
    <w:rsid w:val="00553570"/>
    <w:rsid w:val="005535AC"/>
    <w:rsid w:val="005536E9"/>
    <w:rsid w:val="00553888"/>
    <w:rsid w:val="00553947"/>
    <w:rsid w:val="00553A99"/>
    <w:rsid w:val="00553B34"/>
    <w:rsid w:val="00553B57"/>
    <w:rsid w:val="00553C07"/>
    <w:rsid w:val="00553C53"/>
    <w:rsid w:val="00553F49"/>
    <w:rsid w:val="00553F8E"/>
    <w:rsid w:val="005540E2"/>
    <w:rsid w:val="005540EB"/>
    <w:rsid w:val="0055416F"/>
    <w:rsid w:val="005542B6"/>
    <w:rsid w:val="0055447B"/>
    <w:rsid w:val="00554668"/>
    <w:rsid w:val="005546D6"/>
    <w:rsid w:val="00554744"/>
    <w:rsid w:val="0055474F"/>
    <w:rsid w:val="0055479B"/>
    <w:rsid w:val="005547A8"/>
    <w:rsid w:val="00554848"/>
    <w:rsid w:val="00554969"/>
    <w:rsid w:val="00554993"/>
    <w:rsid w:val="00554BC6"/>
    <w:rsid w:val="00554BF7"/>
    <w:rsid w:val="00554C2C"/>
    <w:rsid w:val="00554C3C"/>
    <w:rsid w:val="00554CF9"/>
    <w:rsid w:val="00554D33"/>
    <w:rsid w:val="00554D3B"/>
    <w:rsid w:val="00554D9F"/>
    <w:rsid w:val="00554EBB"/>
    <w:rsid w:val="00554EBE"/>
    <w:rsid w:val="00554F5E"/>
    <w:rsid w:val="00554F93"/>
    <w:rsid w:val="00554FED"/>
    <w:rsid w:val="0055500D"/>
    <w:rsid w:val="005551B7"/>
    <w:rsid w:val="005551B9"/>
    <w:rsid w:val="0055526E"/>
    <w:rsid w:val="0055529C"/>
    <w:rsid w:val="00555320"/>
    <w:rsid w:val="00555425"/>
    <w:rsid w:val="0055573F"/>
    <w:rsid w:val="00555991"/>
    <w:rsid w:val="00555A9A"/>
    <w:rsid w:val="00555AF7"/>
    <w:rsid w:val="00555B43"/>
    <w:rsid w:val="00555BCD"/>
    <w:rsid w:val="00555CE7"/>
    <w:rsid w:val="00555D8D"/>
    <w:rsid w:val="00556406"/>
    <w:rsid w:val="00556419"/>
    <w:rsid w:val="005564B3"/>
    <w:rsid w:val="005565C8"/>
    <w:rsid w:val="00556655"/>
    <w:rsid w:val="0055677D"/>
    <w:rsid w:val="005567F7"/>
    <w:rsid w:val="0055682F"/>
    <w:rsid w:val="0055684A"/>
    <w:rsid w:val="005568F8"/>
    <w:rsid w:val="00556BBD"/>
    <w:rsid w:val="00556BEB"/>
    <w:rsid w:val="00556C21"/>
    <w:rsid w:val="00556F2A"/>
    <w:rsid w:val="00556FB6"/>
    <w:rsid w:val="00557003"/>
    <w:rsid w:val="00557008"/>
    <w:rsid w:val="0055726A"/>
    <w:rsid w:val="00557313"/>
    <w:rsid w:val="00557400"/>
    <w:rsid w:val="005574A5"/>
    <w:rsid w:val="0055755B"/>
    <w:rsid w:val="005575A2"/>
    <w:rsid w:val="005575E5"/>
    <w:rsid w:val="0055777C"/>
    <w:rsid w:val="0055780D"/>
    <w:rsid w:val="00557891"/>
    <w:rsid w:val="005579DD"/>
    <w:rsid w:val="00557ACC"/>
    <w:rsid w:val="00557BE6"/>
    <w:rsid w:val="00557CE2"/>
    <w:rsid w:val="00557D07"/>
    <w:rsid w:val="00557D0B"/>
    <w:rsid w:val="00557DC7"/>
    <w:rsid w:val="00557E05"/>
    <w:rsid w:val="00557E32"/>
    <w:rsid w:val="00557EF4"/>
    <w:rsid w:val="00557F0E"/>
    <w:rsid w:val="00557F57"/>
    <w:rsid w:val="00557F7E"/>
    <w:rsid w:val="0056005A"/>
    <w:rsid w:val="0056005D"/>
    <w:rsid w:val="00560469"/>
    <w:rsid w:val="00560519"/>
    <w:rsid w:val="00560619"/>
    <w:rsid w:val="005606F1"/>
    <w:rsid w:val="005607CA"/>
    <w:rsid w:val="00560A65"/>
    <w:rsid w:val="00560AA0"/>
    <w:rsid w:val="00560BEA"/>
    <w:rsid w:val="00560FEB"/>
    <w:rsid w:val="005612CF"/>
    <w:rsid w:val="00561401"/>
    <w:rsid w:val="0056168F"/>
    <w:rsid w:val="00561727"/>
    <w:rsid w:val="00561792"/>
    <w:rsid w:val="00561826"/>
    <w:rsid w:val="005619EF"/>
    <w:rsid w:val="00561AC5"/>
    <w:rsid w:val="00561AD7"/>
    <w:rsid w:val="00561AE5"/>
    <w:rsid w:val="00561C6A"/>
    <w:rsid w:val="00561CDB"/>
    <w:rsid w:val="00561D3B"/>
    <w:rsid w:val="00561E7C"/>
    <w:rsid w:val="00561F2C"/>
    <w:rsid w:val="00561FCB"/>
    <w:rsid w:val="00561FF7"/>
    <w:rsid w:val="0056201B"/>
    <w:rsid w:val="00562154"/>
    <w:rsid w:val="0056223B"/>
    <w:rsid w:val="0056236D"/>
    <w:rsid w:val="0056244A"/>
    <w:rsid w:val="00562465"/>
    <w:rsid w:val="005625CA"/>
    <w:rsid w:val="0056260E"/>
    <w:rsid w:val="00562668"/>
    <w:rsid w:val="00562681"/>
    <w:rsid w:val="00562799"/>
    <w:rsid w:val="005628A3"/>
    <w:rsid w:val="00562A6D"/>
    <w:rsid w:val="00562A98"/>
    <w:rsid w:val="00562BA4"/>
    <w:rsid w:val="00562CD5"/>
    <w:rsid w:val="00562D3D"/>
    <w:rsid w:val="00562E38"/>
    <w:rsid w:val="00562E54"/>
    <w:rsid w:val="00562E8B"/>
    <w:rsid w:val="00562EA8"/>
    <w:rsid w:val="00562EFD"/>
    <w:rsid w:val="00563100"/>
    <w:rsid w:val="0056325D"/>
    <w:rsid w:val="005632B2"/>
    <w:rsid w:val="005632BF"/>
    <w:rsid w:val="0056333B"/>
    <w:rsid w:val="005635FD"/>
    <w:rsid w:val="00563800"/>
    <w:rsid w:val="005638D2"/>
    <w:rsid w:val="005638E3"/>
    <w:rsid w:val="00563A40"/>
    <w:rsid w:val="00563AB5"/>
    <w:rsid w:val="00563B2F"/>
    <w:rsid w:val="00563BC0"/>
    <w:rsid w:val="00563C81"/>
    <w:rsid w:val="00563D94"/>
    <w:rsid w:val="00563EDD"/>
    <w:rsid w:val="00563F73"/>
    <w:rsid w:val="00563FF4"/>
    <w:rsid w:val="0056401A"/>
    <w:rsid w:val="00564028"/>
    <w:rsid w:val="00564047"/>
    <w:rsid w:val="005640BB"/>
    <w:rsid w:val="00564155"/>
    <w:rsid w:val="005642A0"/>
    <w:rsid w:val="005643D2"/>
    <w:rsid w:val="00564421"/>
    <w:rsid w:val="00564469"/>
    <w:rsid w:val="005644F5"/>
    <w:rsid w:val="00564595"/>
    <w:rsid w:val="00564676"/>
    <w:rsid w:val="005646FD"/>
    <w:rsid w:val="0056477C"/>
    <w:rsid w:val="0056489D"/>
    <w:rsid w:val="0056490B"/>
    <w:rsid w:val="005649AD"/>
    <w:rsid w:val="00564AA8"/>
    <w:rsid w:val="00564ACD"/>
    <w:rsid w:val="00564BF8"/>
    <w:rsid w:val="00564C83"/>
    <w:rsid w:val="00564D14"/>
    <w:rsid w:val="0056505C"/>
    <w:rsid w:val="005650DE"/>
    <w:rsid w:val="00565239"/>
    <w:rsid w:val="0056529D"/>
    <w:rsid w:val="00565328"/>
    <w:rsid w:val="0056533E"/>
    <w:rsid w:val="00565555"/>
    <w:rsid w:val="00565687"/>
    <w:rsid w:val="005656A7"/>
    <w:rsid w:val="005656EF"/>
    <w:rsid w:val="0056572E"/>
    <w:rsid w:val="0056581C"/>
    <w:rsid w:val="00565A8E"/>
    <w:rsid w:val="00565B55"/>
    <w:rsid w:val="00565BBF"/>
    <w:rsid w:val="00565DC2"/>
    <w:rsid w:val="00565DED"/>
    <w:rsid w:val="00565DF7"/>
    <w:rsid w:val="00565F1B"/>
    <w:rsid w:val="00565F98"/>
    <w:rsid w:val="005660B4"/>
    <w:rsid w:val="005661B6"/>
    <w:rsid w:val="0056625B"/>
    <w:rsid w:val="005662C8"/>
    <w:rsid w:val="0056631E"/>
    <w:rsid w:val="00566321"/>
    <w:rsid w:val="005663BE"/>
    <w:rsid w:val="005667BC"/>
    <w:rsid w:val="00566839"/>
    <w:rsid w:val="0056693A"/>
    <w:rsid w:val="00566966"/>
    <w:rsid w:val="0056696B"/>
    <w:rsid w:val="005669A4"/>
    <w:rsid w:val="00566A71"/>
    <w:rsid w:val="00566AFE"/>
    <w:rsid w:val="00566B36"/>
    <w:rsid w:val="00566CD1"/>
    <w:rsid w:val="00566DA3"/>
    <w:rsid w:val="00566F0F"/>
    <w:rsid w:val="00566FA8"/>
    <w:rsid w:val="0056720C"/>
    <w:rsid w:val="00567390"/>
    <w:rsid w:val="005673B9"/>
    <w:rsid w:val="00567473"/>
    <w:rsid w:val="005674FC"/>
    <w:rsid w:val="00567503"/>
    <w:rsid w:val="005676D6"/>
    <w:rsid w:val="0056779D"/>
    <w:rsid w:val="005677DB"/>
    <w:rsid w:val="005679D9"/>
    <w:rsid w:val="005679F0"/>
    <w:rsid w:val="00567B29"/>
    <w:rsid w:val="00567C82"/>
    <w:rsid w:val="00567D15"/>
    <w:rsid w:val="00567D85"/>
    <w:rsid w:val="00567DBA"/>
    <w:rsid w:val="00567E4D"/>
    <w:rsid w:val="00567E63"/>
    <w:rsid w:val="00567F17"/>
    <w:rsid w:val="0057006D"/>
    <w:rsid w:val="005702D5"/>
    <w:rsid w:val="00570343"/>
    <w:rsid w:val="005703A2"/>
    <w:rsid w:val="00570518"/>
    <w:rsid w:val="00570595"/>
    <w:rsid w:val="00570634"/>
    <w:rsid w:val="00570785"/>
    <w:rsid w:val="0057081C"/>
    <w:rsid w:val="00570A80"/>
    <w:rsid w:val="00570B37"/>
    <w:rsid w:val="00570BCC"/>
    <w:rsid w:val="00570CA4"/>
    <w:rsid w:val="00570D46"/>
    <w:rsid w:val="00570D76"/>
    <w:rsid w:val="00570D7D"/>
    <w:rsid w:val="00570DE7"/>
    <w:rsid w:val="00570ECD"/>
    <w:rsid w:val="00571105"/>
    <w:rsid w:val="00571237"/>
    <w:rsid w:val="00571275"/>
    <w:rsid w:val="0057130F"/>
    <w:rsid w:val="00571345"/>
    <w:rsid w:val="005716E2"/>
    <w:rsid w:val="00571781"/>
    <w:rsid w:val="005717B9"/>
    <w:rsid w:val="005717CC"/>
    <w:rsid w:val="005718EA"/>
    <w:rsid w:val="00571924"/>
    <w:rsid w:val="005719D3"/>
    <w:rsid w:val="00571AE5"/>
    <w:rsid w:val="00571C2F"/>
    <w:rsid w:val="00571CDB"/>
    <w:rsid w:val="00571D8C"/>
    <w:rsid w:val="00571DA2"/>
    <w:rsid w:val="00572001"/>
    <w:rsid w:val="0057201D"/>
    <w:rsid w:val="005720B0"/>
    <w:rsid w:val="005721A7"/>
    <w:rsid w:val="00572241"/>
    <w:rsid w:val="00572318"/>
    <w:rsid w:val="005723CA"/>
    <w:rsid w:val="005723D3"/>
    <w:rsid w:val="00572512"/>
    <w:rsid w:val="00572C88"/>
    <w:rsid w:val="00572CE9"/>
    <w:rsid w:val="00572D91"/>
    <w:rsid w:val="00572D9E"/>
    <w:rsid w:val="00573201"/>
    <w:rsid w:val="0057335D"/>
    <w:rsid w:val="00573399"/>
    <w:rsid w:val="00573525"/>
    <w:rsid w:val="005736CE"/>
    <w:rsid w:val="00573807"/>
    <w:rsid w:val="005738C2"/>
    <w:rsid w:val="005739C2"/>
    <w:rsid w:val="005739FB"/>
    <w:rsid w:val="00573B62"/>
    <w:rsid w:val="00573BE8"/>
    <w:rsid w:val="00573E12"/>
    <w:rsid w:val="00573E65"/>
    <w:rsid w:val="00573F45"/>
    <w:rsid w:val="00573F6D"/>
    <w:rsid w:val="00574180"/>
    <w:rsid w:val="005741A5"/>
    <w:rsid w:val="005741E6"/>
    <w:rsid w:val="00574272"/>
    <w:rsid w:val="0057429A"/>
    <w:rsid w:val="005742B3"/>
    <w:rsid w:val="00574324"/>
    <w:rsid w:val="00574407"/>
    <w:rsid w:val="00574520"/>
    <w:rsid w:val="00574743"/>
    <w:rsid w:val="00574B35"/>
    <w:rsid w:val="00574C53"/>
    <w:rsid w:val="00574E04"/>
    <w:rsid w:val="00574F4A"/>
    <w:rsid w:val="00574FA7"/>
    <w:rsid w:val="005751E6"/>
    <w:rsid w:val="00575300"/>
    <w:rsid w:val="0057545F"/>
    <w:rsid w:val="00575576"/>
    <w:rsid w:val="005755F7"/>
    <w:rsid w:val="0057567B"/>
    <w:rsid w:val="005756AB"/>
    <w:rsid w:val="00575766"/>
    <w:rsid w:val="005757B7"/>
    <w:rsid w:val="005759CD"/>
    <w:rsid w:val="00575A6E"/>
    <w:rsid w:val="00575BE0"/>
    <w:rsid w:val="00575C87"/>
    <w:rsid w:val="00575C9C"/>
    <w:rsid w:val="00575D74"/>
    <w:rsid w:val="00575E2F"/>
    <w:rsid w:val="00575F5C"/>
    <w:rsid w:val="00575FEB"/>
    <w:rsid w:val="0057602E"/>
    <w:rsid w:val="005760D4"/>
    <w:rsid w:val="00576170"/>
    <w:rsid w:val="00576184"/>
    <w:rsid w:val="005761A0"/>
    <w:rsid w:val="005762A8"/>
    <w:rsid w:val="005763E2"/>
    <w:rsid w:val="005763FF"/>
    <w:rsid w:val="005764C7"/>
    <w:rsid w:val="005764E3"/>
    <w:rsid w:val="00576593"/>
    <w:rsid w:val="005765AC"/>
    <w:rsid w:val="0057660A"/>
    <w:rsid w:val="00576650"/>
    <w:rsid w:val="00576773"/>
    <w:rsid w:val="00576899"/>
    <w:rsid w:val="005768BF"/>
    <w:rsid w:val="00576A75"/>
    <w:rsid w:val="00576B32"/>
    <w:rsid w:val="00576B9C"/>
    <w:rsid w:val="00576D5B"/>
    <w:rsid w:val="00576ED8"/>
    <w:rsid w:val="00576EE3"/>
    <w:rsid w:val="005771A9"/>
    <w:rsid w:val="005771ED"/>
    <w:rsid w:val="00577263"/>
    <w:rsid w:val="00577276"/>
    <w:rsid w:val="00577279"/>
    <w:rsid w:val="00577328"/>
    <w:rsid w:val="005773D8"/>
    <w:rsid w:val="005773F3"/>
    <w:rsid w:val="00577468"/>
    <w:rsid w:val="005774BA"/>
    <w:rsid w:val="0057779A"/>
    <w:rsid w:val="005778CC"/>
    <w:rsid w:val="00577A86"/>
    <w:rsid w:val="00577B1C"/>
    <w:rsid w:val="00577BF1"/>
    <w:rsid w:val="00577DBF"/>
    <w:rsid w:val="00577E02"/>
    <w:rsid w:val="00577E6A"/>
    <w:rsid w:val="00577E7C"/>
    <w:rsid w:val="00577E9E"/>
    <w:rsid w:val="00577FB6"/>
    <w:rsid w:val="00577FD9"/>
    <w:rsid w:val="0058020B"/>
    <w:rsid w:val="005803E1"/>
    <w:rsid w:val="00580413"/>
    <w:rsid w:val="00580576"/>
    <w:rsid w:val="005805A2"/>
    <w:rsid w:val="00580601"/>
    <w:rsid w:val="005807A1"/>
    <w:rsid w:val="0058084F"/>
    <w:rsid w:val="005808DB"/>
    <w:rsid w:val="0058092B"/>
    <w:rsid w:val="00580934"/>
    <w:rsid w:val="00580A2A"/>
    <w:rsid w:val="00580A94"/>
    <w:rsid w:val="00580AE0"/>
    <w:rsid w:val="00580AF4"/>
    <w:rsid w:val="00580B16"/>
    <w:rsid w:val="00580BF6"/>
    <w:rsid w:val="00580BFD"/>
    <w:rsid w:val="00580D13"/>
    <w:rsid w:val="00580E0E"/>
    <w:rsid w:val="00580E50"/>
    <w:rsid w:val="00580ED3"/>
    <w:rsid w:val="00580F43"/>
    <w:rsid w:val="0058104F"/>
    <w:rsid w:val="005810ED"/>
    <w:rsid w:val="005811B9"/>
    <w:rsid w:val="00581357"/>
    <w:rsid w:val="0058139C"/>
    <w:rsid w:val="0058147B"/>
    <w:rsid w:val="00581530"/>
    <w:rsid w:val="00581568"/>
    <w:rsid w:val="0058173C"/>
    <w:rsid w:val="0058188C"/>
    <w:rsid w:val="005819B9"/>
    <w:rsid w:val="005819EF"/>
    <w:rsid w:val="00581A1E"/>
    <w:rsid w:val="00581B69"/>
    <w:rsid w:val="00581DD0"/>
    <w:rsid w:val="00581F63"/>
    <w:rsid w:val="00582350"/>
    <w:rsid w:val="005823A4"/>
    <w:rsid w:val="00582437"/>
    <w:rsid w:val="0058245C"/>
    <w:rsid w:val="00582493"/>
    <w:rsid w:val="00582567"/>
    <w:rsid w:val="005825E9"/>
    <w:rsid w:val="00582AA3"/>
    <w:rsid w:val="00582B8B"/>
    <w:rsid w:val="00582CC7"/>
    <w:rsid w:val="00582CE6"/>
    <w:rsid w:val="00582D3A"/>
    <w:rsid w:val="00582D89"/>
    <w:rsid w:val="00582DFD"/>
    <w:rsid w:val="00582E83"/>
    <w:rsid w:val="00582F93"/>
    <w:rsid w:val="0058304C"/>
    <w:rsid w:val="005830F7"/>
    <w:rsid w:val="0058314F"/>
    <w:rsid w:val="0058329D"/>
    <w:rsid w:val="00583395"/>
    <w:rsid w:val="005836D0"/>
    <w:rsid w:val="005836F2"/>
    <w:rsid w:val="0058372B"/>
    <w:rsid w:val="005837F0"/>
    <w:rsid w:val="00583994"/>
    <w:rsid w:val="00583B0D"/>
    <w:rsid w:val="00583D2F"/>
    <w:rsid w:val="00583D36"/>
    <w:rsid w:val="00584249"/>
    <w:rsid w:val="005842A3"/>
    <w:rsid w:val="005842B6"/>
    <w:rsid w:val="005845DD"/>
    <w:rsid w:val="005845F1"/>
    <w:rsid w:val="00584618"/>
    <w:rsid w:val="00584776"/>
    <w:rsid w:val="00584888"/>
    <w:rsid w:val="005848F6"/>
    <w:rsid w:val="00584B41"/>
    <w:rsid w:val="00584BCB"/>
    <w:rsid w:val="00584C56"/>
    <w:rsid w:val="00584CCC"/>
    <w:rsid w:val="00584D0A"/>
    <w:rsid w:val="00584E3C"/>
    <w:rsid w:val="00584EF4"/>
    <w:rsid w:val="00584F8D"/>
    <w:rsid w:val="00585131"/>
    <w:rsid w:val="00585143"/>
    <w:rsid w:val="00585206"/>
    <w:rsid w:val="00585246"/>
    <w:rsid w:val="0058525A"/>
    <w:rsid w:val="00585386"/>
    <w:rsid w:val="005854AF"/>
    <w:rsid w:val="005855C9"/>
    <w:rsid w:val="005855E2"/>
    <w:rsid w:val="00585637"/>
    <w:rsid w:val="00585832"/>
    <w:rsid w:val="00585A1F"/>
    <w:rsid w:val="00585A68"/>
    <w:rsid w:val="00585A8F"/>
    <w:rsid w:val="00585BDF"/>
    <w:rsid w:val="00585E8B"/>
    <w:rsid w:val="00585F18"/>
    <w:rsid w:val="00585FB4"/>
    <w:rsid w:val="0058605F"/>
    <w:rsid w:val="005860A6"/>
    <w:rsid w:val="0058617D"/>
    <w:rsid w:val="005862E7"/>
    <w:rsid w:val="005862F7"/>
    <w:rsid w:val="00586304"/>
    <w:rsid w:val="005863AD"/>
    <w:rsid w:val="005863D6"/>
    <w:rsid w:val="00586475"/>
    <w:rsid w:val="005865C1"/>
    <w:rsid w:val="005865C6"/>
    <w:rsid w:val="00586619"/>
    <w:rsid w:val="0058681A"/>
    <w:rsid w:val="00586844"/>
    <w:rsid w:val="00586884"/>
    <w:rsid w:val="005868E8"/>
    <w:rsid w:val="005868F2"/>
    <w:rsid w:val="00586996"/>
    <w:rsid w:val="00586A7D"/>
    <w:rsid w:val="00586CDD"/>
    <w:rsid w:val="00586D21"/>
    <w:rsid w:val="00586DFC"/>
    <w:rsid w:val="00586F31"/>
    <w:rsid w:val="00586FDC"/>
    <w:rsid w:val="00587137"/>
    <w:rsid w:val="0058718E"/>
    <w:rsid w:val="005871BD"/>
    <w:rsid w:val="0058723A"/>
    <w:rsid w:val="005872AF"/>
    <w:rsid w:val="005874EA"/>
    <w:rsid w:val="005876ED"/>
    <w:rsid w:val="005876FB"/>
    <w:rsid w:val="005877B9"/>
    <w:rsid w:val="00587873"/>
    <w:rsid w:val="00587924"/>
    <w:rsid w:val="00587A85"/>
    <w:rsid w:val="00587A93"/>
    <w:rsid w:val="00587C52"/>
    <w:rsid w:val="00587D90"/>
    <w:rsid w:val="0059008C"/>
    <w:rsid w:val="00590170"/>
    <w:rsid w:val="005902C4"/>
    <w:rsid w:val="005902F3"/>
    <w:rsid w:val="00590369"/>
    <w:rsid w:val="00590620"/>
    <w:rsid w:val="00590655"/>
    <w:rsid w:val="005906A6"/>
    <w:rsid w:val="00590713"/>
    <w:rsid w:val="005907F9"/>
    <w:rsid w:val="00590918"/>
    <w:rsid w:val="005909E3"/>
    <w:rsid w:val="00590A7D"/>
    <w:rsid w:val="00590A9F"/>
    <w:rsid w:val="00590BF1"/>
    <w:rsid w:val="00590C54"/>
    <w:rsid w:val="00590E8F"/>
    <w:rsid w:val="00591072"/>
    <w:rsid w:val="0059107B"/>
    <w:rsid w:val="005910AF"/>
    <w:rsid w:val="0059115F"/>
    <w:rsid w:val="005911A9"/>
    <w:rsid w:val="0059129B"/>
    <w:rsid w:val="00591311"/>
    <w:rsid w:val="00591335"/>
    <w:rsid w:val="00591617"/>
    <w:rsid w:val="005916E0"/>
    <w:rsid w:val="0059171C"/>
    <w:rsid w:val="0059190A"/>
    <w:rsid w:val="0059199A"/>
    <w:rsid w:val="00591A54"/>
    <w:rsid w:val="00591B09"/>
    <w:rsid w:val="00591B3C"/>
    <w:rsid w:val="00591B5A"/>
    <w:rsid w:val="00591D52"/>
    <w:rsid w:val="00591E28"/>
    <w:rsid w:val="00591E4C"/>
    <w:rsid w:val="00592009"/>
    <w:rsid w:val="00592143"/>
    <w:rsid w:val="00592377"/>
    <w:rsid w:val="00592529"/>
    <w:rsid w:val="00592542"/>
    <w:rsid w:val="00592560"/>
    <w:rsid w:val="0059257F"/>
    <w:rsid w:val="005927D2"/>
    <w:rsid w:val="005927E1"/>
    <w:rsid w:val="005927F0"/>
    <w:rsid w:val="005928A0"/>
    <w:rsid w:val="00592B9F"/>
    <w:rsid w:val="00592BBD"/>
    <w:rsid w:val="00592C0C"/>
    <w:rsid w:val="00592D3B"/>
    <w:rsid w:val="00592D3D"/>
    <w:rsid w:val="00592E97"/>
    <w:rsid w:val="00592FFD"/>
    <w:rsid w:val="0059302E"/>
    <w:rsid w:val="005931EC"/>
    <w:rsid w:val="00593222"/>
    <w:rsid w:val="00593282"/>
    <w:rsid w:val="0059328F"/>
    <w:rsid w:val="0059337C"/>
    <w:rsid w:val="005933DE"/>
    <w:rsid w:val="005934EA"/>
    <w:rsid w:val="005934FC"/>
    <w:rsid w:val="0059350C"/>
    <w:rsid w:val="00593532"/>
    <w:rsid w:val="00593892"/>
    <w:rsid w:val="0059392E"/>
    <w:rsid w:val="00593AC2"/>
    <w:rsid w:val="00593B0A"/>
    <w:rsid w:val="00593C5A"/>
    <w:rsid w:val="00593C94"/>
    <w:rsid w:val="00593CA4"/>
    <w:rsid w:val="00593D7E"/>
    <w:rsid w:val="00593E31"/>
    <w:rsid w:val="00593E4C"/>
    <w:rsid w:val="00593E54"/>
    <w:rsid w:val="00593EAF"/>
    <w:rsid w:val="00593F79"/>
    <w:rsid w:val="00594021"/>
    <w:rsid w:val="0059405A"/>
    <w:rsid w:val="005940D4"/>
    <w:rsid w:val="005940D6"/>
    <w:rsid w:val="00594167"/>
    <w:rsid w:val="005941A8"/>
    <w:rsid w:val="005941EC"/>
    <w:rsid w:val="005943DB"/>
    <w:rsid w:val="005943F3"/>
    <w:rsid w:val="005943FC"/>
    <w:rsid w:val="00594487"/>
    <w:rsid w:val="0059466A"/>
    <w:rsid w:val="005948C5"/>
    <w:rsid w:val="005948F9"/>
    <w:rsid w:val="00594949"/>
    <w:rsid w:val="00594986"/>
    <w:rsid w:val="00594AD0"/>
    <w:rsid w:val="00594AD5"/>
    <w:rsid w:val="00594AE9"/>
    <w:rsid w:val="00594C44"/>
    <w:rsid w:val="00594CE7"/>
    <w:rsid w:val="00594CE9"/>
    <w:rsid w:val="00594D9D"/>
    <w:rsid w:val="00594E72"/>
    <w:rsid w:val="00594F46"/>
    <w:rsid w:val="00594FB9"/>
    <w:rsid w:val="005951CF"/>
    <w:rsid w:val="005951DA"/>
    <w:rsid w:val="00595237"/>
    <w:rsid w:val="00595301"/>
    <w:rsid w:val="00595337"/>
    <w:rsid w:val="00595572"/>
    <w:rsid w:val="005957AB"/>
    <w:rsid w:val="0059582D"/>
    <w:rsid w:val="00595909"/>
    <w:rsid w:val="00595A0A"/>
    <w:rsid w:val="00595AA2"/>
    <w:rsid w:val="00595AB4"/>
    <w:rsid w:val="00595B64"/>
    <w:rsid w:val="00595BA6"/>
    <w:rsid w:val="00595C1E"/>
    <w:rsid w:val="00595E09"/>
    <w:rsid w:val="00596000"/>
    <w:rsid w:val="00596165"/>
    <w:rsid w:val="00596400"/>
    <w:rsid w:val="0059641D"/>
    <w:rsid w:val="005965C6"/>
    <w:rsid w:val="005965C8"/>
    <w:rsid w:val="005965D6"/>
    <w:rsid w:val="00596601"/>
    <w:rsid w:val="00596635"/>
    <w:rsid w:val="005966E3"/>
    <w:rsid w:val="005966EE"/>
    <w:rsid w:val="005966FF"/>
    <w:rsid w:val="0059673C"/>
    <w:rsid w:val="00596774"/>
    <w:rsid w:val="005967E0"/>
    <w:rsid w:val="005968CF"/>
    <w:rsid w:val="00596948"/>
    <w:rsid w:val="00596953"/>
    <w:rsid w:val="00596967"/>
    <w:rsid w:val="005969A8"/>
    <w:rsid w:val="00596A03"/>
    <w:rsid w:val="00596A97"/>
    <w:rsid w:val="00596ABC"/>
    <w:rsid w:val="00596ACA"/>
    <w:rsid w:val="00596AD0"/>
    <w:rsid w:val="00596AE6"/>
    <w:rsid w:val="00596B51"/>
    <w:rsid w:val="00596C00"/>
    <w:rsid w:val="00596C3B"/>
    <w:rsid w:val="00596CE9"/>
    <w:rsid w:val="00596D39"/>
    <w:rsid w:val="00596FA9"/>
    <w:rsid w:val="00596FCB"/>
    <w:rsid w:val="0059707A"/>
    <w:rsid w:val="00597080"/>
    <w:rsid w:val="005971A4"/>
    <w:rsid w:val="0059725D"/>
    <w:rsid w:val="0059732E"/>
    <w:rsid w:val="00597579"/>
    <w:rsid w:val="00597611"/>
    <w:rsid w:val="0059774D"/>
    <w:rsid w:val="00597889"/>
    <w:rsid w:val="00597A6D"/>
    <w:rsid w:val="00597B2A"/>
    <w:rsid w:val="00597B49"/>
    <w:rsid w:val="00597B55"/>
    <w:rsid w:val="00597BA6"/>
    <w:rsid w:val="00597C19"/>
    <w:rsid w:val="00597D40"/>
    <w:rsid w:val="00597D6A"/>
    <w:rsid w:val="00597E4D"/>
    <w:rsid w:val="00597F28"/>
    <w:rsid w:val="00597F6C"/>
    <w:rsid w:val="005A0042"/>
    <w:rsid w:val="005A03D6"/>
    <w:rsid w:val="005A0519"/>
    <w:rsid w:val="005A066A"/>
    <w:rsid w:val="005A0695"/>
    <w:rsid w:val="005A0A42"/>
    <w:rsid w:val="005A0BA9"/>
    <w:rsid w:val="005A0C04"/>
    <w:rsid w:val="005A0C3E"/>
    <w:rsid w:val="005A0C7A"/>
    <w:rsid w:val="005A0E65"/>
    <w:rsid w:val="005A0EDC"/>
    <w:rsid w:val="005A102B"/>
    <w:rsid w:val="005A109E"/>
    <w:rsid w:val="005A110D"/>
    <w:rsid w:val="005A13E0"/>
    <w:rsid w:val="005A14B9"/>
    <w:rsid w:val="005A1540"/>
    <w:rsid w:val="005A15C7"/>
    <w:rsid w:val="005A15DA"/>
    <w:rsid w:val="005A1600"/>
    <w:rsid w:val="005A173D"/>
    <w:rsid w:val="005A1815"/>
    <w:rsid w:val="005A1818"/>
    <w:rsid w:val="005A1A75"/>
    <w:rsid w:val="005A1A96"/>
    <w:rsid w:val="005A1B37"/>
    <w:rsid w:val="005A1BBE"/>
    <w:rsid w:val="005A1C44"/>
    <w:rsid w:val="005A1C4C"/>
    <w:rsid w:val="005A1C6D"/>
    <w:rsid w:val="005A1C89"/>
    <w:rsid w:val="005A1E4A"/>
    <w:rsid w:val="005A1F11"/>
    <w:rsid w:val="005A1FBE"/>
    <w:rsid w:val="005A20F9"/>
    <w:rsid w:val="005A2252"/>
    <w:rsid w:val="005A2382"/>
    <w:rsid w:val="005A25E4"/>
    <w:rsid w:val="005A2A5A"/>
    <w:rsid w:val="005A2BD2"/>
    <w:rsid w:val="005A2E98"/>
    <w:rsid w:val="005A2FD7"/>
    <w:rsid w:val="005A307A"/>
    <w:rsid w:val="005A316F"/>
    <w:rsid w:val="005A331A"/>
    <w:rsid w:val="005A33B6"/>
    <w:rsid w:val="005A33CF"/>
    <w:rsid w:val="005A35B4"/>
    <w:rsid w:val="005A375A"/>
    <w:rsid w:val="005A37BE"/>
    <w:rsid w:val="005A3867"/>
    <w:rsid w:val="005A392B"/>
    <w:rsid w:val="005A3960"/>
    <w:rsid w:val="005A3A5E"/>
    <w:rsid w:val="005A3AD1"/>
    <w:rsid w:val="005A3BB7"/>
    <w:rsid w:val="005A3C0F"/>
    <w:rsid w:val="005A3C70"/>
    <w:rsid w:val="005A3D71"/>
    <w:rsid w:val="005A3EB8"/>
    <w:rsid w:val="005A3F1C"/>
    <w:rsid w:val="005A4036"/>
    <w:rsid w:val="005A40F0"/>
    <w:rsid w:val="005A4240"/>
    <w:rsid w:val="005A4242"/>
    <w:rsid w:val="005A432E"/>
    <w:rsid w:val="005A451C"/>
    <w:rsid w:val="005A459A"/>
    <w:rsid w:val="005A466F"/>
    <w:rsid w:val="005A46B3"/>
    <w:rsid w:val="005A475D"/>
    <w:rsid w:val="005A4915"/>
    <w:rsid w:val="005A4918"/>
    <w:rsid w:val="005A4999"/>
    <w:rsid w:val="005A4B0F"/>
    <w:rsid w:val="005A4D67"/>
    <w:rsid w:val="005A4DD8"/>
    <w:rsid w:val="005A4E24"/>
    <w:rsid w:val="005A4E85"/>
    <w:rsid w:val="005A4F19"/>
    <w:rsid w:val="005A4F82"/>
    <w:rsid w:val="005A4F84"/>
    <w:rsid w:val="005A501C"/>
    <w:rsid w:val="005A5079"/>
    <w:rsid w:val="005A50A6"/>
    <w:rsid w:val="005A50BB"/>
    <w:rsid w:val="005A50C0"/>
    <w:rsid w:val="005A50D7"/>
    <w:rsid w:val="005A521A"/>
    <w:rsid w:val="005A5226"/>
    <w:rsid w:val="005A52E3"/>
    <w:rsid w:val="005A5635"/>
    <w:rsid w:val="005A5AF0"/>
    <w:rsid w:val="005A5AF7"/>
    <w:rsid w:val="005A5B17"/>
    <w:rsid w:val="005A5CC0"/>
    <w:rsid w:val="005A5DA3"/>
    <w:rsid w:val="005A5DAE"/>
    <w:rsid w:val="005A5E17"/>
    <w:rsid w:val="005A5E9A"/>
    <w:rsid w:val="005A5F64"/>
    <w:rsid w:val="005A5FC7"/>
    <w:rsid w:val="005A617B"/>
    <w:rsid w:val="005A632D"/>
    <w:rsid w:val="005A6543"/>
    <w:rsid w:val="005A65EE"/>
    <w:rsid w:val="005A66A7"/>
    <w:rsid w:val="005A680B"/>
    <w:rsid w:val="005A68AD"/>
    <w:rsid w:val="005A6C8F"/>
    <w:rsid w:val="005A6CBC"/>
    <w:rsid w:val="005A6CC6"/>
    <w:rsid w:val="005A6CED"/>
    <w:rsid w:val="005A6F94"/>
    <w:rsid w:val="005A7401"/>
    <w:rsid w:val="005A7790"/>
    <w:rsid w:val="005A77C8"/>
    <w:rsid w:val="005A794A"/>
    <w:rsid w:val="005A79EE"/>
    <w:rsid w:val="005A7B4C"/>
    <w:rsid w:val="005A7B50"/>
    <w:rsid w:val="005A7C61"/>
    <w:rsid w:val="005A7E00"/>
    <w:rsid w:val="005A7E87"/>
    <w:rsid w:val="005A7ED1"/>
    <w:rsid w:val="005B0192"/>
    <w:rsid w:val="005B02B8"/>
    <w:rsid w:val="005B041B"/>
    <w:rsid w:val="005B051D"/>
    <w:rsid w:val="005B055E"/>
    <w:rsid w:val="005B08B7"/>
    <w:rsid w:val="005B091F"/>
    <w:rsid w:val="005B0924"/>
    <w:rsid w:val="005B0BF8"/>
    <w:rsid w:val="005B0E43"/>
    <w:rsid w:val="005B1051"/>
    <w:rsid w:val="005B10FA"/>
    <w:rsid w:val="005B112E"/>
    <w:rsid w:val="005B12FF"/>
    <w:rsid w:val="005B1341"/>
    <w:rsid w:val="005B13F5"/>
    <w:rsid w:val="005B1433"/>
    <w:rsid w:val="005B1448"/>
    <w:rsid w:val="005B156C"/>
    <w:rsid w:val="005B160E"/>
    <w:rsid w:val="005B167F"/>
    <w:rsid w:val="005B16FF"/>
    <w:rsid w:val="005B1708"/>
    <w:rsid w:val="005B177E"/>
    <w:rsid w:val="005B18D5"/>
    <w:rsid w:val="005B1903"/>
    <w:rsid w:val="005B1906"/>
    <w:rsid w:val="005B1983"/>
    <w:rsid w:val="005B19F5"/>
    <w:rsid w:val="005B1A01"/>
    <w:rsid w:val="005B1C9A"/>
    <w:rsid w:val="005B1D02"/>
    <w:rsid w:val="005B1D1A"/>
    <w:rsid w:val="005B20D1"/>
    <w:rsid w:val="005B2144"/>
    <w:rsid w:val="005B22B4"/>
    <w:rsid w:val="005B236A"/>
    <w:rsid w:val="005B244F"/>
    <w:rsid w:val="005B2576"/>
    <w:rsid w:val="005B26E4"/>
    <w:rsid w:val="005B277E"/>
    <w:rsid w:val="005B27E0"/>
    <w:rsid w:val="005B2A29"/>
    <w:rsid w:val="005B2B03"/>
    <w:rsid w:val="005B2C68"/>
    <w:rsid w:val="005B2D0E"/>
    <w:rsid w:val="005B2DB0"/>
    <w:rsid w:val="005B2E95"/>
    <w:rsid w:val="005B2E97"/>
    <w:rsid w:val="005B3087"/>
    <w:rsid w:val="005B3223"/>
    <w:rsid w:val="005B3259"/>
    <w:rsid w:val="005B342D"/>
    <w:rsid w:val="005B343C"/>
    <w:rsid w:val="005B3785"/>
    <w:rsid w:val="005B379D"/>
    <w:rsid w:val="005B37EE"/>
    <w:rsid w:val="005B394A"/>
    <w:rsid w:val="005B3B36"/>
    <w:rsid w:val="005B3CE0"/>
    <w:rsid w:val="005B3D32"/>
    <w:rsid w:val="005B3EA6"/>
    <w:rsid w:val="005B3F97"/>
    <w:rsid w:val="005B42D5"/>
    <w:rsid w:val="005B436E"/>
    <w:rsid w:val="005B4430"/>
    <w:rsid w:val="005B469B"/>
    <w:rsid w:val="005B48F3"/>
    <w:rsid w:val="005B4934"/>
    <w:rsid w:val="005B4991"/>
    <w:rsid w:val="005B4A58"/>
    <w:rsid w:val="005B4AD2"/>
    <w:rsid w:val="005B4CA9"/>
    <w:rsid w:val="005B4D76"/>
    <w:rsid w:val="005B4E7A"/>
    <w:rsid w:val="005B4E8F"/>
    <w:rsid w:val="005B4FAF"/>
    <w:rsid w:val="005B4FD6"/>
    <w:rsid w:val="005B501C"/>
    <w:rsid w:val="005B526D"/>
    <w:rsid w:val="005B5289"/>
    <w:rsid w:val="005B52DF"/>
    <w:rsid w:val="005B5345"/>
    <w:rsid w:val="005B537F"/>
    <w:rsid w:val="005B539D"/>
    <w:rsid w:val="005B53DE"/>
    <w:rsid w:val="005B5547"/>
    <w:rsid w:val="005B557D"/>
    <w:rsid w:val="005B56A9"/>
    <w:rsid w:val="005B5791"/>
    <w:rsid w:val="005B5A0A"/>
    <w:rsid w:val="005B5A44"/>
    <w:rsid w:val="005B5AA6"/>
    <w:rsid w:val="005B5BAD"/>
    <w:rsid w:val="005B5D10"/>
    <w:rsid w:val="005B5D9F"/>
    <w:rsid w:val="005B60DA"/>
    <w:rsid w:val="005B61B6"/>
    <w:rsid w:val="005B62A4"/>
    <w:rsid w:val="005B62EB"/>
    <w:rsid w:val="005B63C1"/>
    <w:rsid w:val="005B6479"/>
    <w:rsid w:val="005B64E7"/>
    <w:rsid w:val="005B666B"/>
    <w:rsid w:val="005B66DF"/>
    <w:rsid w:val="005B6732"/>
    <w:rsid w:val="005B6756"/>
    <w:rsid w:val="005B68CF"/>
    <w:rsid w:val="005B6902"/>
    <w:rsid w:val="005B6AD1"/>
    <w:rsid w:val="005B6B3C"/>
    <w:rsid w:val="005B6C31"/>
    <w:rsid w:val="005B6D3A"/>
    <w:rsid w:val="005B6E8D"/>
    <w:rsid w:val="005B6F46"/>
    <w:rsid w:val="005B7218"/>
    <w:rsid w:val="005B722E"/>
    <w:rsid w:val="005B7233"/>
    <w:rsid w:val="005B729B"/>
    <w:rsid w:val="005B73C2"/>
    <w:rsid w:val="005B74F9"/>
    <w:rsid w:val="005B7508"/>
    <w:rsid w:val="005B7576"/>
    <w:rsid w:val="005B7686"/>
    <w:rsid w:val="005B78BA"/>
    <w:rsid w:val="005B7AEA"/>
    <w:rsid w:val="005B7C67"/>
    <w:rsid w:val="005B7D22"/>
    <w:rsid w:val="005B7DC7"/>
    <w:rsid w:val="005B7FCD"/>
    <w:rsid w:val="005C00C8"/>
    <w:rsid w:val="005C01B1"/>
    <w:rsid w:val="005C01BA"/>
    <w:rsid w:val="005C0222"/>
    <w:rsid w:val="005C02F0"/>
    <w:rsid w:val="005C0327"/>
    <w:rsid w:val="005C03B1"/>
    <w:rsid w:val="005C03B7"/>
    <w:rsid w:val="005C046B"/>
    <w:rsid w:val="005C0535"/>
    <w:rsid w:val="005C0562"/>
    <w:rsid w:val="005C0570"/>
    <w:rsid w:val="005C06A4"/>
    <w:rsid w:val="005C07FB"/>
    <w:rsid w:val="005C0A8E"/>
    <w:rsid w:val="005C0B4E"/>
    <w:rsid w:val="005C0BE5"/>
    <w:rsid w:val="005C0C9D"/>
    <w:rsid w:val="005C0DCF"/>
    <w:rsid w:val="005C0F32"/>
    <w:rsid w:val="005C102E"/>
    <w:rsid w:val="005C1040"/>
    <w:rsid w:val="005C119D"/>
    <w:rsid w:val="005C1207"/>
    <w:rsid w:val="005C1303"/>
    <w:rsid w:val="005C1365"/>
    <w:rsid w:val="005C13AA"/>
    <w:rsid w:val="005C1410"/>
    <w:rsid w:val="005C14D3"/>
    <w:rsid w:val="005C15C4"/>
    <w:rsid w:val="005C15EA"/>
    <w:rsid w:val="005C17A4"/>
    <w:rsid w:val="005C17C1"/>
    <w:rsid w:val="005C185A"/>
    <w:rsid w:val="005C186F"/>
    <w:rsid w:val="005C1894"/>
    <w:rsid w:val="005C1980"/>
    <w:rsid w:val="005C199E"/>
    <w:rsid w:val="005C1BF1"/>
    <w:rsid w:val="005C1C80"/>
    <w:rsid w:val="005C1CAF"/>
    <w:rsid w:val="005C1CBC"/>
    <w:rsid w:val="005C1D1D"/>
    <w:rsid w:val="005C1D50"/>
    <w:rsid w:val="005C1DFF"/>
    <w:rsid w:val="005C1E07"/>
    <w:rsid w:val="005C1ED2"/>
    <w:rsid w:val="005C2014"/>
    <w:rsid w:val="005C2095"/>
    <w:rsid w:val="005C20C9"/>
    <w:rsid w:val="005C214B"/>
    <w:rsid w:val="005C2181"/>
    <w:rsid w:val="005C219C"/>
    <w:rsid w:val="005C2218"/>
    <w:rsid w:val="005C2563"/>
    <w:rsid w:val="005C2583"/>
    <w:rsid w:val="005C2773"/>
    <w:rsid w:val="005C279E"/>
    <w:rsid w:val="005C2A76"/>
    <w:rsid w:val="005C2B0E"/>
    <w:rsid w:val="005C2BAB"/>
    <w:rsid w:val="005C2C37"/>
    <w:rsid w:val="005C2C91"/>
    <w:rsid w:val="005C2DB7"/>
    <w:rsid w:val="005C2EA6"/>
    <w:rsid w:val="005C2EB8"/>
    <w:rsid w:val="005C2EEF"/>
    <w:rsid w:val="005C301A"/>
    <w:rsid w:val="005C305E"/>
    <w:rsid w:val="005C3130"/>
    <w:rsid w:val="005C3190"/>
    <w:rsid w:val="005C3315"/>
    <w:rsid w:val="005C331D"/>
    <w:rsid w:val="005C33BE"/>
    <w:rsid w:val="005C3527"/>
    <w:rsid w:val="005C35C2"/>
    <w:rsid w:val="005C365D"/>
    <w:rsid w:val="005C3807"/>
    <w:rsid w:val="005C381F"/>
    <w:rsid w:val="005C3865"/>
    <w:rsid w:val="005C3902"/>
    <w:rsid w:val="005C39AD"/>
    <w:rsid w:val="005C3AB5"/>
    <w:rsid w:val="005C3AC1"/>
    <w:rsid w:val="005C3B2B"/>
    <w:rsid w:val="005C3B83"/>
    <w:rsid w:val="005C3BCB"/>
    <w:rsid w:val="005C3E0D"/>
    <w:rsid w:val="005C3F27"/>
    <w:rsid w:val="005C410D"/>
    <w:rsid w:val="005C41AC"/>
    <w:rsid w:val="005C428F"/>
    <w:rsid w:val="005C4290"/>
    <w:rsid w:val="005C42D7"/>
    <w:rsid w:val="005C42F5"/>
    <w:rsid w:val="005C4374"/>
    <w:rsid w:val="005C4442"/>
    <w:rsid w:val="005C446A"/>
    <w:rsid w:val="005C4743"/>
    <w:rsid w:val="005C49C0"/>
    <w:rsid w:val="005C4B71"/>
    <w:rsid w:val="005C4E0D"/>
    <w:rsid w:val="005C4E21"/>
    <w:rsid w:val="005C4E7B"/>
    <w:rsid w:val="005C4F6A"/>
    <w:rsid w:val="005C512B"/>
    <w:rsid w:val="005C51CF"/>
    <w:rsid w:val="005C51F6"/>
    <w:rsid w:val="005C53BA"/>
    <w:rsid w:val="005C5400"/>
    <w:rsid w:val="005C556D"/>
    <w:rsid w:val="005C560B"/>
    <w:rsid w:val="005C5621"/>
    <w:rsid w:val="005C56E1"/>
    <w:rsid w:val="005C57C0"/>
    <w:rsid w:val="005C57E5"/>
    <w:rsid w:val="005C59CB"/>
    <w:rsid w:val="005C5A7E"/>
    <w:rsid w:val="005C5AD3"/>
    <w:rsid w:val="005C5B9D"/>
    <w:rsid w:val="005C5BC8"/>
    <w:rsid w:val="005C5DA2"/>
    <w:rsid w:val="005C5EBD"/>
    <w:rsid w:val="005C60B6"/>
    <w:rsid w:val="005C60C4"/>
    <w:rsid w:val="005C60C9"/>
    <w:rsid w:val="005C612A"/>
    <w:rsid w:val="005C613C"/>
    <w:rsid w:val="005C6203"/>
    <w:rsid w:val="005C634D"/>
    <w:rsid w:val="005C639F"/>
    <w:rsid w:val="005C641A"/>
    <w:rsid w:val="005C643D"/>
    <w:rsid w:val="005C665F"/>
    <w:rsid w:val="005C66D0"/>
    <w:rsid w:val="005C6808"/>
    <w:rsid w:val="005C6872"/>
    <w:rsid w:val="005C692A"/>
    <w:rsid w:val="005C6954"/>
    <w:rsid w:val="005C69AA"/>
    <w:rsid w:val="005C6A62"/>
    <w:rsid w:val="005C6AAB"/>
    <w:rsid w:val="005C6C88"/>
    <w:rsid w:val="005C6D5F"/>
    <w:rsid w:val="005C6D78"/>
    <w:rsid w:val="005C6E00"/>
    <w:rsid w:val="005C6EDF"/>
    <w:rsid w:val="005C6F38"/>
    <w:rsid w:val="005C6F92"/>
    <w:rsid w:val="005C7046"/>
    <w:rsid w:val="005C7075"/>
    <w:rsid w:val="005C718B"/>
    <w:rsid w:val="005C71E1"/>
    <w:rsid w:val="005C71FA"/>
    <w:rsid w:val="005C72A5"/>
    <w:rsid w:val="005C7348"/>
    <w:rsid w:val="005C73D1"/>
    <w:rsid w:val="005C751D"/>
    <w:rsid w:val="005C76B3"/>
    <w:rsid w:val="005C7877"/>
    <w:rsid w:val="005C78C8"/>
    <w:rsid w:val="005C791B"/>
    <w:rsid w:val="005C79E1"/>
    <w:rsid w:val="005C7BAB"/>
    <w:rsid w:val="005C7D52"/>
    <w:rsid w:val="005C7D9F"/>
    <w:rsid w:val="005C7F44"/>
    <w:rsid w:val="005C7FD5"/>
    <w:rsid w:val="005D00AB"/>
    <w:rsid w:val="005D01FB"/>
    <w:rsid w:val="005D02F7"/>
    <w:rsid w:val="005D0490"/>
    <w:rsid w:val="005D05B6"/>
    <w:rsid w:val="005D061F"/>
    <w:rsid w:val="005D073E"/>
    <w:rsid w:val="005D0861"/>
    <w:rsid w:val="005D0A0D"/>
    <w:rsid w:val="005D0AE5"/>
    <w:rsid w:val="005D0AF4"/>
    <w:rsid w:val="005D0C7D"/>
    <w:rsid w:val="005D0CDE"/>
    <w:rsid w:val="005D0CE3"/>
    <w:rsid w:val="005D0F2A"/>
    <w:rsid w:val="005D0F46"/>
    <w:rsid w:val="005D10A0"/>
    <w:rsid w:val="005D116D"/>
    <w:rsid w:val="005D123E"/>
    <w:rsid w:val="005D1353"/>
    <w:rsid w:val="005D14D0"/>
    <w:rsid w:val="005D1523"/>
    <w:rsid w:val="005D1560"/>
    <w:rsid w:val="005D162D"/>
    <w:rsid w:val="005D1889"/>
    <w:rsid w:val="005D19E2"/>
    <w:rsid w:val="005D1B40"/>
    <w:rsid w:val="005D1C21"/>
    <w:rsid w:val="005D1CC9"/>
    <w:rsid w:val="005D1D2E"/>
    <w:rsid w:val="005D1D53"/>
    <w:rsid w:val="005D1D86"/>
    <w:rsid w:val="005D1DAC"/>
    <w:rsid w:val="005D1E2D"/>
    <w:rsid w:val="005D1EFC"/>
    <w:rsid w:val="005D1F24"/>
    <w:rsid w:val="005D1F80"/>
    <w:rsid w:val="005D1FA1"/>
    <w:rsid w:val="005D1FC8"/>
    <w:rsid w:val="005D20A2"/>
    <w:rsid w:val="005D2205"/>
    <w:rsid w:val="005D224E"/>
    <w:rsid w:val="005D239F"/>
    <w:rsid w:val="005D23EC"/>
    <w:rsid w:val="005D2460"/>
    <w:rsid w:val="005D24D7"/>
    <w:rsid w:val="005D251B"/>
    <w:rsid w:val="005D256B"/>
    <w:rsid w:val="005D2585"/>
    <w:rsid w:val="005D2847"/>
    <w:rsid w:val="005D2868"/>
    <w:rsid w:val="005D2891"/>
    <w:rsid w:val="005D2961"/>
    <w:rsid w:val="005D299D"/>
    <w:rsid w:val="005D2AF6"/>
    <w:rsid w:val="005D2B33"/>
    <w:rsid w:val="005D2CE2"/>
    <w:rsid w:val="005D2EC1"/>
    <w:rsid w:val="005D2EC5"/>
    <w:rsid w:val="005D2FC4"/>
    <w:rsid w:val="005D3006"/>
    <w:rsid w:val="005D310C"/>
    <w:rsid w:val="005D3142"/>
    <w:rsid w:val="005D32A0"/>
    <w:rsid w:val="005D3333"/>
    <w:rsid w:val="005D34B1"/>
    <w:rsid w:val="005D34B4"/>
    <w:rsid w:val="005D36F5"/>
    <w:rsid w:val="005D3707"/>
    <w:rsid w:val="005D3733"/>
    <w:rsid w:val="005D37FB"/>
    <w:rsid w:val="005D3806"/>
    <w:rsid w:val="005D38E0"/>
    <w:rsid w:val="005D38E7"/>
    <w:rsid w:val="005D3AC2"/>
    <w:rsid w:val="005D3AC6"/>
    <w:rsid w:val="005D3B33"/>
    <w:rsid w:val="005D3B93"/>
    <w:rsid w:val="005D3C32"/>
    <w:rsid w:val="005D3CCF"/>
    <w:rsid w:val="005D3CDA"/>
    <w:rsid w:val="005D3D36"/>
    <w:rsid w:val="005D3E8E"/>
    <w:rsid w:val="005D3EDE"/>
    <w:rsid w:val="005D3F0D"/>
    <w:rsid w:val="005D3FA9"/>
    <w:rsid w:val="005D406D"/>
    <w:rsid w:val="005D40E8"/>
    <w:rsid w:val="005D415A"/>
    <w:rsid w:val="005D4199"/>
    <w:rsid w:val="005D423E"/>
    <w:rsid w:val="005D43EC"/>
    <w:rsid w:val="005D446D"/>
    <w:rsid w:val="005D4560"/>
    <w:rsid w:val="005D45AC"/>
    <w:rsid w:val="005D462D"/>
    <w:rsid w:val="005D467B"/>
    <w:rsid w:val="005D4734"/>
    <w:rsid w:val="005D480C"/>
    <w:rsid w:val="005D4816"/>
    <w:rsid w:val="005D48B5"/>
    <w:rsid w:val="005D4B08"/>
    <w:rsid w:val="005D4C8B"/>
    <w:rsid w:val="005D4D4C"/>
    <w:rsid w:val="005D4D5B"/>
    <w:rsid w:val="005D4D85"/>
    <w:rsid w:val="005D4E48"/>
    <w:rsid w:val="005D4EC4"/>
    <w:rsid w:val="005D4ECB"/>
    <w:rsid w:val="005D4ECC"/>
    <w:rsid w:val="005D4EE2"/>
    <w:rsid w:val="005D4F71"/>
    <w:rsid w:val="005D5117"/>
    <w:rsid w:val="005D51EA"/>
    <w:rsid w:val="005D525C"/>
    <w:rsid w:val="005D5324"/>
    <w:rsid w:val="005D54EF"/>
    <w:rsid w:val="005D5504"/>
    <w:rsid w:val="005D551C"/>
    <w:rsid w:val="005D552A"/>
    <w:rsid w:val="005D5536"/>
    <w:rsid w:val="005D5616"/>
    <w:rsid w:val="005D5655"/>
    <w:rsid w:val="005D575B"/>
    <w:rsid w:val="005D579D"/>
    <w:rsid w:val="005D57F8"/>
    <w:rsid w:val="005D58AE"/>
    <w:rsid w:val="005D58F9"/>
    <w:rsid w:val="005D5919"/>
    <w:rsid w:val="005D5A1A"/>
    <w:rsid w:val="005D5B5A"/>
    <w:rsid w:val="005D5C49"/>
    <w:rsid w:val="005D5DD2"/>
    <w:rsid w:val="005D5E32"/>
    <w:rsid w:val="005D5E4E"/>
    <w:rsid w:val="005D5EE1"/>
    <w:rsid w:val="005D6024"/>
    <w:rsid w:val="005D614F"/>
    <w:rsid w:val="005D61C9"/>
    <w:rsid w:val="005D622E"/>
    <w:rsid w:val="005D6245"/>
    <w:rsid w:val="005D64D2"/>
    <w:rsid w:val="005D65F5"/>
    <w:rsid w:val="005D663F"/>
    <w:rsid w:val="005D66C2"/>
    <w:rsid w:val="005D66D5"/>
    <w:rsid w:val="005D6783"/>
    <w:rsid w:val="005D680C"/>
    <w:rsid w:val="005D6857"/>
    <w:rsid w:val="005D6A9D"/>
    <w:rsid w:val="005D6AC3"/>
    <w:rsid w:val="005D6BAE"/>
    <w:rsid w:val="005D6D3D"/>
    <w:rsid w:val="005D6E2F"/>
    <w:rsid w:val="005D6F38"/>
    <w:rsid w:val="005D6FB4"/>
    <w:rsid w:val="005D6FEC"/>
    <w:rsid w:val="005D70E4"/>
    <w:rsid w:val="005D715B"/>
    <w:rsid w:val="005D71B1"/>
    <w:rsid w:val="005D72D8"/>
    <w:rsid w:val="005D740A"/>
    <w:rsid w:val="005D7455"/>
    <w:rsid w:val="005D7543"/>
    <w:rsid w:val="005D77D8"/>
    <w:rsid w:val="005D78EB"/>
    <w:rsid w:val="005D79FD"/>
    <w:rsid w:val="005D7A81"/>
    <w:rsid w:val="005D7A8B"/>
    <w:rsid w:val="005D7EEC"/>
    <w:rsid w:val="005E0015"/>
    <w:rsid w:val="005E0088"/>
    <w:rsid w:val="005E013A"/>
    <w:rsid w:val="005E0267"/>
    <w:rsid w:val="005E032C"/>
    <w:rsid w:val="005E035D"/>
    <w:rsid w:val="005E03E1"/>
    <w:rsid w:val="005E04C8"/>
    <w:rsid w:val="005E0515"/>
    <w:rsid w:val="005E05F4"/>
    <w:rsid w:val="005E060F"/>
    <w:rsid w:val="005E064D"/>
    <w:rsid w:val="005E06B3"/>
    <w:rsid w:val="005E074D"/>
    <w:rsid w:val="005E07AE"/>
    <w:rsid w:val="005E0918"/>
    <w:rsid w:val="005E09AA"/>
    <w:rsid w:val="005E0A67"/>
    <w:rsid w:val="005E0AB0"/>
    <w:rsid w:val="005E0B5A"/>
    <w:rsid w:val="005E0B74"/>
    <w:rsid w:val="005E0CE1"/>
    <w:rsid w:val="005E0D5F"/>
    <w:rsid w:val="005E0D6A"/>
    <w:rsid w:val="005E0DB4"/>
    <w:rsid w:val="005E1083"/>
    <w:rsid w:val="005E10A8"/>
    <w:rsid w:val="005E10DF"/>
    <w:rsid w:val="005E1253"/>
    <w:rsid w:val="005E1273"/>
    <w:rsid w:val="005E12F6"/>
    <w:rsid w:val="005E132F"/>
    <w:rsid w:val="005E1473"/>
    <w:rsid w:val="005E152C"/>
    <w:rsid w:val="005E15FB"/>
    <w:rsid w:val="005E162A"/>
    <w:rsid w:val="005E17B4"/>
    <w:rsid w:val="005E17BA"/>
    <w:rsid w:val="005E18B8"/>
    <w:rsid w:val="005E1914"/>
    <w:rsid w:val="005E1997"/>
    <w:rsid w:val="005E199A"/>
    <w:rsid w:val="005E1A0A"/>
    <w:rsid w:val="005E1AC8"/>
    <w:rsid w:val="005E1B1D"/>
    <w:rsid w:val="005E1B3F"/>
    <w:rsid w:val="005E1B8A"/>
    <w:rsid w:val="005E1BA2"/>
    <w:rsid w:val="005E1BD5"/>
    <w:rsid w:val="005E1DA6"/>
    <w:rsid w:val="005E1DD2"/>
    <w:rsid w:val="005E1FA1"/>
    <w:rsid w:val="005E200F"/>
    <w:rsid w:val="005E2099"/>
    <w:rsid w:val="005E22CE"/>
    <w:rsid w:val="005E2301"/>
    <w:rsid w:val="005E2500"/>
    <w:rsid w:val="005E25E0"/>
    <w:rsid w:val="005E26F0"/>
    <w:rsid w:val="005E2939"/>
    <w:rsid w:val="005E2B2A"/>
    <w:rsid w:val="005E2C2A"/>
    <w:rsid w:val="005E2E6C"/>
    <w:rsid w:val="005E2EE7"/>
    <w:rsid w:val="005E2EEB"/>
    <w:rsid w:val="005E2F9C"/>
    <w:rsid w:val="005E3078"/>
    <w:rsid w:val="005E30D1"/>
    <w:rsid w:val="005E3187"/>
    <w:rsid w:val="005E31B2"/>
    <w:rsid w:val="005E336B"/>
    <w:rsid w:val="005E33DE"/>
    <w:rsid w:val="005E3414"/>
    <w:rsid w:val="005E3425"/>
    <w:rsid w:val="005E343B"/>
    <w:rsid w:val="005E34AC"/>
    <w:rsid w:val="005E35C1"/>
    <w:rsid w:val="005E35CA"/>
    <w:rsid w:val="005E35EC"/>
    <w:rsid w:val="005E3647"/>
    <w:rsid w:val="005E37E8"/>
    <w:rsid w:val="005E390F"/>
    <w:rsid w:val="005E3AFC"/>
    <w:rsid w:val="005E3BB2"/>
    <w:rsid w:val="005E3C7E"/>
    <w:rsid w:val="005E3D55"/>
    <w:rsid w:val="005E3DCE"/>
    <w:rsid w:val="005E3FAD"/>
    <w:rsid w:val="005E403A"/>
    <w:rsid w:val="005E40AA"/>
    <w:rsid w:val="005E41F0"/>
    <w:rsid w:val="005E4201"/>
    <w:rsid w:val="005E4283"/>
    <w:rsid w:val="005E4533"/>
    <w:rsid w:val="005E4559"/>
    <w:rsid w:val="005E460A"/>
    <w:rsid w:val="005E478F"/>
    <w:rsid w:val="005E49CC"/>
    <w:rsid w:val="005E4B19"/>
    <w:rsid w:val="005E4B52"/>
    <w:rsid w:val="005E4C46"/>
    <w:rsid w:val="005E4C4D"/>
    <w:rsid w:val="005E4C93"/>
    <w:rsid w:val="005E4C9C"/>
    <w:rsid w:val="005E4D9D"/>
    <w:rsid w:val="005E4E2D"/>
    <w:rsid w:val="005E4E43"/>
    <w:rsid w:val="005E5070"/>
    <w:rsid w:val="005E517F"/>
    <w:rsid w:val="005E5187"/>
    <w:rsid w:val="005E5222"/>
    <w:rsid w:val="005E5304"/>
    <w:rsid w:val="005E539F"/>
    <w:rsid w:val="005E54D0"/>
    <w:rsid w:val="005E5537"/>
    <w:rsid w:val="005E55B6"/>
    <w:rsid w:val="005E55FB"/>
    <w:rsid w:val="005E5705"/>
    <w:rsid w:val="005E579C"/>
    <w:rsid w:val="005E5864"/>
    <w:rsid w:val="005E5928"/>
    <w:rsid w:val="005E5934"/>
    <w:rsid w:val="005E5AA0"/>
    <w:rsid w:val="005E5B05"/>
    <w:rsid w:val="005E5BBF"/>
    <w:rsid w:val="005E5C07"/>
    <w:rsid w:val="005E5D13"/>
    <w:rsid w:val="005E5D83"/>
    <w:rsid w:val="005E5D9D"/>
    <w:rsid w:val="005E5F85"/>
    <w:rsid w:val="005E5F9C"/>
    <w:rsid w:val="005E5FCD"/>
    <w:rsid w:val="005E601B"/>
    <w:rsid w:val="005E6028"/>
    <w:rsid w:val="005E6059"/>
    <w:rsid w:val="005E6094"/>
    <w:rsid w:val="005E6140"/>
    <w:rsid w:val="005E615C"/>
    <w:rsid w:val="005E61BA"/>
    <w:rsid w:val="005E6253"/>
    <w:rsid w:val="005E64A5"/>
    <w:rsid w:val="005E660B"/>
    <w:rsid w:val="005E6619"/>
    <w:rsid w:val="005E66B3"/>
    <w:rsid w:val="005E681B"/>
    <w:rsid w:val="005E68DC"/>
    <w:rsid w:val="005E698C"/>
    <w:rsid w:val="005E6BD7"/>
    <w:rsid w:val="005E6CCA"/>
    <w:rsid w:val="005E6E1B"/>
    <w:rsid w:val="005E6EFA"/>
    <w:rsid w:val="005E6F12"/>
    <w:rsid w:val="005E6F93"/>
    <w:rsid w:val="005E706E"/>
    <w:rsid w:val="005E743B"/>
    <w:rsid w:val="005E74C1"/>
    <w:rsid w:val="005E7589"/>
    <w:rsid w:val="005E77D8"/>
    <w:rsid w:val="005E789C"/>
    <w:rsid w:val="005E793E"/>
    <w:rsid w:val="005E79D4"/>
    <w:rsid w:val="005E79F7"/>
    <w:rsid w:val="005E7BFA"/>
    <w:rsid w:val="005E7CDA"/>
    <w:rsid w:val="005E7FBD"/>
    <w:rsid w:val="005F0011"/>
    <w:rsid w:val="005F0174"/>
    <w:rsid w:val="005F01EF"/>
    <w:rsid w:val="005F02A7"/>
    <w:rsid w:val="005F02C7"/>
    <w:rsid w:val="005F02EF"/>
    <w:rsid w:val="005F0477"/>
    <w:rsid w:val="005F0483"/>
    <w:rsid w:val="005F05DA"/>
    <w:rsid w:val="005F07CE"/>
    <w:rsid w:val="005F0909"/>
    <w:rsid w:val="005F0BC6"/>
    <w:rsid w:val="005F0BF5"/>
    <w:rsid w:val="005F0F97"/>
    <w:rsid w:val="005F10A3"/>
    <w:rsid w:val="005F11CA"/>
    <w:rsid w:val="005F12DA"/>
    <w:rsid w:val="005F13DF"/>
    <w:rsid w:val="005F146A"/>
    <w:rsid w:val="005F14D7"/>
    <w:rsid w:val="005F14F8"/>
    <w:rsid w:val="005F159D"/>
    <w:rsid w:val="005F1763"/>
    <w:rsid w:val="005F1940"/>
    <w:rsid w:val="005F1976"/>
    <w:rsid w:val="005F19ED"/>
    <w:rsid w:val="005F1B10"/>
    <w:rsid w:val="005F1CD6"/>
    <w:rsid w:val="005F1D0E"/>
    <w:rsid w:val="005F1F1D"/>
    <w:rsid w:val="005F206E"/>
    <w:rsid w:val="005F20BE"/>
    <w:rsid w:val="005F21EC"/>
    <w:rsid w:val="005F21EE"/>
    <w:rsid w:val="005F2372"/>
    <w:rsid w:val="005F2375"/>
    <w:rsid w:val="005F2735"/>
    <w:rsid w:val="005F2787"/>
    <w:rsid w:val="005F28DB"/>
    <w:rsid w:val="005F2970"/>
    <w:rsid w:val="005F29C6"/>
    <w:rsid w:val="005F2A40"/>
    <w:rsid w:val="005F2A76"/>
    <w:rsid w:val="005F2C63"/>
    <w:rsid w:val="005F2C76"/>
    <w:rsid w:val="005F2CA6"/>
    <w:rsid w:val="005F2CF0"/>
    <w:rsid w:val="005F2D21"/>
    <w:rsid w:val="005F2D52"/>
    <w:rsid w:val="005F2E7E"/>
    <w:rsid w:val="005F2EA6"/>
    <w:rsid w:val="005F2EB0"/>
    <w:rsid w:val="005F2FEB"/>
    <w:rsid w:val="005F32E9"/>
    <w:rsid w:val="005F33E1"/>
    <w:rsid w:val="005F3457"/>
    <w:rsid w:val="005F34E5"/>
    <w:rsid w:val="005F356A"/>
    <w:rsid w:val="005F35EC"/>
    <w:rsid w:val="005F35F9"/>
    <w:rsid w:val="005F3767"/>
    <w:rsid w:val="005F3AA4"/>
    <w:rsid w:val="005F3AC1"/>
    <w:rsid w:val="005F3C2C"/>
    <w:rsid w:val="005F3D5E"/>
    <w:rsid w:val="005F3D74"/>
    <w:rsid w:val="005F3F01"/>
    <w:rsid w:val="005F402C"/>
    <w:rsid w:val="005F4062"/>
    <w:rsid w:val="005F4097"/>
    <w:rsid w:val="005F4147"/>
    <w:rsid w:val="005F41C3"/>
    <w:rsid w:val="005F428B"/>
    <w:rsid w:val="005F4486"/>
    <w:rsid w:val="005F46B4"/>
    <w:rsid w:val="005F46EF"/>
    <w:rsid w:val="005F46F4"/>
    <w:rsid w:val="005F4970"/>
    <w:rsid w:val="005F49C5"/>
    <w:rsid w:val="005F4A3D"/>
    <w:rsid w:val="005F4A8B"/>
    <w:rsid w:val="005F4B20"/>
    <w:rsid w:val="005F4B59"/>
    <w:rsid w:val="005F4BB6"/>
    <w:rsid w:val="005F515D"/>
    <w:rsid w:val="005F539F"/>
    <w:rsid w:val="005F5452"/>
    <w:rsid w:val="005F55EE"/>
    <w:rsid w:val="005F5780"/>
    <w:rsid w:val="005F57D0"/>
    <w:rsid w:val="005F5814"/>
    <w:rsid w:val="005F58F7"/>
    <w:rsid w:val="005F5958"/>
    <w:rsid w:val="005F5AAF"/>
    <w:rsid w:val="005F5CD5"/>
    <w:rsid w:val="005F5D1A"/>
    <w:rsid w:val="005F5F51"/>
    <w:rsid w:val="005F6116"/>
    <w:rsid w:val="005F6262"/>
    <w:rsid w:val="005F62CE"/>
    <w:rsid w:val="005F63C7"/>
    <w:rsid w:val="005F652C"/>
    <w:rsid w:val="005F6760"/>
    <w:rsid w:val="005F6902"/>
    <w:rsid w:val="005F6986"/>
    <w:rsid w:val="005F6A80"/>
    <w:rsid w:val="005F6BA4"/>
    <w:rsid w:val="005F6BD1"/>
    <w:rsid w:val="005F6C23"/>
    <w:rsid w:val="005F6D50"/>
    <w:rsid w:val="005F6D65"/>
    <w:rsid w:val="005F6E0C"/>
    <w:rsid w:val="005F6F53"/>
    <w:rsid w:val="005F6F6E"/>
    <w:rsid w:val="005F6F89"/>
    <w:rsid w:val="005F73CA"/>
    <w:rsid w:val="005F75F3"/>
    <w:rsid w:val="005F7611"/>
    <w:rsid w:val="005F7622"/>
    <w:rsid w:val="005F772A"/>
    <w:rsid w:val="005F772B"/>
    <w:rsid w:val="005F777B"/>
    <w:rsid w:val="005F7815"/>
    <w:rsid w:val="005F78F6"/>
    <w:rsid w:val="005F7A4C"/>
    <w:rsid w:val="005F7B2D"/>
    <w:rsid w:val="005F7BC7"/>
    <w:rsid w:val="005F7BD0"/>
    <w:rsid w:val="005F7C20"/>
    <w:rsid w:val="005F7C98"/>
    <w:rsid w:val="005F7CF0"/>
    <w:rsid w:val="005F7D83"/>
    <w:rsid w:val="005F7D8E"/>
    <w:rsid w:val="005F7EDA"/>
    <w:rsid w:val="005F7FC3"/>
    <w:rsid w:val="005F7FD1"/>
    <w:rsid w:val="0060001B"/>
    <w:rsid w:val="0060018A"/>
    <w:rsid w:val="00600193"/>
    <w:rsid w:val="006003B7"/>
    <w:rsid w:val="00600416"/>
    <w:rsid w:val="0060052F"/>
    <w:rsid w:val="0060071E"/>
    <w:rsid w:val="0060072C"/>
    <w:rsid w:val="00600741"/>
    <w:rsid w:val="0060080B"/>
    <w:rsid w:val="00600824"/>
    <w:rsid w:val="0060088E"/>
    <w:rsid w:val="006008B9"/>
    <w:rsid w:val="00600963"/>
    <w:rsid w:val="006009C7"/>
    <w:rsid w:val="00600AA4"/>
    <w:rsid w:val="00600AC6"/>
    <w:rsid w:val="00600AD0"/>
    <w:rsid w:val="00600ADF"/>
    <w:rsid w:val="00600D90"/>
    <w:rsid w:val="00600E59"/>
    <w:rsid w:val="00600E6D"/>
    <w:rsid w:val="00600E75"/>
    <w:rsid w:val="00601005"/>
    <w:rsid w:val="006010F2"/>
    <w:rsid w:val="006010FD"/>
    <w:rsid w:val="0060124E"/>
    <w:rsid w:val="006012AB"/>
    <w:rsid w:val="006012C7"/>
    <w:rsid w:val="00601360"/>
    <w:rsid w:val="0060144D"/>
    <w:rsid w:val="00601471"/>
    <w:rsid w:val="0060164A"/>
    <w:rsid w:val="006016B9"/>
    <w:rsid w:val="00601942"/>
    <w:rsid w:val="00601A02"/>
    <w:rsid w:val="00601B99"/>
    <w:rsid w:val="00601CE7"/>
    <w:rsid w:val="00601E6B"/>
    <w:rsid w:val="0060207E"/>
    <w:rsid w:val="00602205"/>
    <w:rsid w:val="00602216"/>
    <w:rsid w:val="0060236D"/>
    <w:rsid w:val="006023EE"/>
    <w:rsid w:val="00602429"/>
    <w:rsid w:val="0060255D"/>
    <w:rsid w:val="00602586"/>
    <w:rsid w:val="006025C4"/>
    <w:rsid w:val="00602929"/>
    <w:rsid w:val="006029FE"/>
    <w:rsid w:val="00602A82"/>
    <w:rsid w:val="00602BC5"/>
    <w:rsid w:val="00602BDE"/>
    <w:rsid w:val="00602E0E"/>
    <w:rsid w:val="00602EE0"/>
    <w:rsid w:val="0060301C"/>
    <w:rsid w:val="00603056"/>
    <w:rsid w:val="00603147"/>
    <w:rsid w:val="0060314B"/>
    <w:rsid w:val="00603151"/>
    <w:rsid w:val="00603463"/>
    <w:rsid w:val="006034B1"/>
    <w:rsid w:val="00603616"/>
    <w:rsid w:val="006039AB"/>
    <w:rsid w:val="006039DA"/>
    <w:rsid w:val="00603D77"/>
    <w:rsid w:val="006040E2"/>
    <w:rsid w:val="006041A0"/>
    <w:rsid w:val="0060422E"/>
    <w:rsid w:val="006042CB"/>
    <w:rsid w:val="00604707"/>
    <w:rsid w:val="00604799"/>
    <w:rsid w:val="006047E8"/>
    <w:rsid w:val="0060480D"/>
    <w:rsid w:val="00604839"/>
    <w:rsid w:val="006048E7"/>
    <w:rsid w:val="006049D1"/>
    <w:rsid w:val="00604B1B"/>
    <w:rsid w:val="00604B8A"/>
    <w:rsid w:val="00604BC5"/>
    <w:rsid w:val="00604BEA"/>
    <w:rsid w:val="00604C50"/>
    <w:rsid w:val="00604D3A"/>
    <w:rsid w:val="00604D61"/>
    <w:rsid w:val="00604EBE"/>
    <w:rsid w:val="00604EFB"/>
    <w:rsid w:val="00604F0B"/>
    <w:rsid w:val="00604F1D"/>
    <w:rsid w:val="00604F6E"/>
    <w:rsid w:val="00604FAF"/>
    <w:rsid w:val="00605155"/>
    <w:rsid w:val="0060523E"/>
    <w:rsid w:val="006052D1"/>
    <w:rsid w:val="00605337"/>
    <w:rsid w:val="00605393"/>
    <w:rsid w:val="006053DD"/>
    <w:rsid w:val="00605425"/>
    <w:rsid w:val="006055E2"/>
    <w:rsid w:val="0060565A"/>
    <w:rsid w:val="0060570D"/>
    <w:rsid w:val="00605723"/>
    <w:rsid w:val="006057CB"/>
    <w:rsid w:val="0060590C"/>
    <w:rsid w:val="00605976"/>
    <w:rsid w:val="00605980"/>
    <w:rsid w:val="00605995"/>
    <w:rsid w:val="00605A09"/>
    <w:rsid w:val="00605A8B"/>
    <w:rsid w:val="00605B2B"/>
    <w:rsid w:val="00605D36"/>
    <w:rsid w:val="00605DC2"/>
    <w:rsid w:val="00605F81"/>
    <w:rsid w:val="00605FCC"/>
    <w:rsid w:val="006061C3"/>
    <w:rsid w:val="0060627A"/>
    <w:rsid w:val="00606317"/>
    <w:rsid w:val="0060633A"/>
    <w:rsid w:val="00606343"/>
    <w:rsid w:val="006063B7"/>
    <w:rsid w:val="00606531"/>
    <w:rsid w:val="00606549"/>
    <w:rsid w:val="00606593"/>
    <w:rsid w:val="0060673A"/>
    <w:rsid w:val="0060685B"/>
    <w:rsid w:val="00606872"/>
    <w:rsid w:val="00606908"/>
    <w:rsid w:val="00606910"/>
    <w:rsid w:val="006069B2"/>
    <w:rsid w:val="00606B83"/>
    <w:rsid w:val="00606BA7"/>
    <w:rsid w:val="00606C0A"/>
    <w:rsid w:val="00606D8B"/>
    <w:rsid w:val="00606F56"/>
    <w:rsid w:val="00606FAB"/>
    <w:rsid w:val="006070D2"/>
    <w:rsid w:val="00607153"/>
    <w:rsid w:val="0060715E"/>
    <w:rsid w:val="00607192"/>
    <w:rsid w:val="006071F2"/>
    <w:rsid w:val="006072B1"/>
    <w:rsid w:val="00607348"/>
    <w:rsid w:val="006073E1"/>
    <w:rsid w:val="00607459"/>
    <w:rsid w:val="00607692"/>
    <w:rsid w:val="00607A7A"/>
    <w:rsid w:val="00607B53"/>
    <w:rsid w:val="00607B6D"/>
    <w:rsid w:val="00607B93"/>
    <w:rsid w:val="00607C2B"/>
    <w:rsid w:val="00607D49"/>
    <w:rsid w:val="00607F2F"/>
    <w:rsid w:val="00610034"/>
    <w:rsid w:val="00610167"/>
    <w:rsid w:val="006101C8"/>
    <w:rsid w:val="00610254"/>
    <w:rsid w:val="00610294"/>
    <w:rsid w:val="0061031C"/>
    <w:rsid w:val="00610470"/>
    <w:rsid w:val="0061056D"/>
    <w:rsid w:val="006105A1"/>
    <w:rsid w:val="006105CE"/>
    <w:rsid w:val="0061065E"/>
    <w:rsid w:val="006107F1"/>
    <w:rsid w:val="006108AE"/>
    <w:rsid w:val="00610EF1"/>
    <w:rsid w:val="00610FC4"/>
    <w:rsid w:val="0061101F"/>
    <w:rsid w:val="00611072"/>
    <w:rsid w:val="00611225"/>
    <w:rsid w:val="00611259"/>
    <w:rsid w:val="00611355"/>
    <w:rsid w:val="0061147D"/>
    <w:rsid w:val="00611567"/>
    <w:rsid w:val="006115AE"/>
    <w:rsid w:val="006115D6"/>
    <w:rsid w:val="006115DD"/>
    <w:rsid w:val="006115F0"/>
    <w:rsid w:val="006115F4"/>
    <w:rsid w:val="00611629"/>
    <w:rsid w:val="0061166A"/>
    <w:rsid w:val="006116FC"/>
    <w:rsid w:val="006116FD"/>
    <w:rsid w:val="0061170B"/>
    <w:rsid w:val="00611831"/>
    <w:rsid w:val="0061196B"/>
    <w:rsid w:val="00611A33"/>
    <w:rsid w:val="00611ADB"/>
    <w:rsid w:val="00611B0C"/>
    <w:rsid w:val="00611D99"/>
    <w:rsid w:val="00611D9A"/>
    <w:rsid w:val="00611E48"/>
    <w:rsid w:val="0061240F"/>
    <w:rsid w:val="0061248B"/>
    <w:rsid w:val="006124F9"/>
    <w:rsid w:val="006124FB"/>
    <w:rsid w:val="00612529"/>
    <w:rsid w:val="006125FE"/>
    <w:rsid w:val="0061268F"/>
    <w:rsid w:val="0061287B"/>
    <w:rsid w:val="00612906"/>
    <w:rsid w:val="00612925"/>
    <w:rsid w:val="00612949"/>
    <w:rsid w:val="00612A32"/>
    <w:rsid w:val="00612B69"/>
    <w:rsid w:val="00612DD7"/>
    <w:rsid w:val="00612E91"/>
    <w:rsid w:val="00612F14"/>
    <w:rsid w:val="00612F37"/>
    <w:rsid w:val="00613006"/>
    <w:rsid w:val="00613029"/>
    <w:rsid w:val="0061304B"/>
    <w:rsid w:val="006130C1"/>
    <w:rsid w:val="006131DA"/>
    <w:rsid w:val="00613303"/>
    <w:rsid w:val="00613323"/>
    <w:rsid w:val="00613462"/>
    <w:rsid w:val="006134F2"/>
    <w:rsid w:val="00613503"/>
    <w:rsid w:val="006137E9"/>
    <w:rsid w:val="006138BA"/>
    <w:rsid w:val="006139AB"/>
    <w:rsid w:val="00613AD9"/>
    <w:rsid w:val="00613AF3"/>
    <w:rsid w:val="00613AF8"/>
    <w:rsid w:val="00613B0C"/>
    <w:rsid w:val="00613B70"/>
    <w:rsid w:val="00613B81"/>
    <w:rsid w:val="00613B9E"/>
    <w:rsid w:val="00613C35"/>
    <w:rsid w:val="00613C7E"/>
    <w:rsid w:val="00613D3C"/>
    <w:rsid w:val="00613D4B"/>
    <w:rsid w:val="00613D4D"/>
    <w:rsid w:val="00613DDE"/>
    <w:rsid w:val="00613F3F"/>
    <w:rsid w:val="00613F4A"/>
    <w:rsid w:val="00614008"/>
    <w:rsid w:val="00614150"/>
    <w:rsid w:val="00614244"/>
    <w:rsid w:val="0061431A"/>
    <w:rsid w:val="00614336"/>
    <w:rsid w:val="00614668"/>
    <w:rsid w:val="00614778"/>
    <w:rsid w:val="006147B0"/>
    <w:rsid w:val="00614873"/>
    <w:rsid w:val="00614A01"/>
    <w:rsid w:val="00614AC1"/>
    <w:rsid w:val="00614CBA"/>
    <w:rsid w:val="00614F59"/>
    <w:rsid w:val="00614FBF"/>
    <w:rsid w:val="006152DB"/>
    <w:rsid w:val="00615411"/>
    <w:rsid w:val="0061547A"/>
    <w:rsid w:val="006154BB"/>
    <w:rsid w:val="006155AE"/>
    <w:rsid w:val="006155F9"/>
    <w:rsid w:val="006156FE"/>
    <w:rsid w:val="0061577E"/>
    <w:rsid w:val="0061594E"/>
    <w:rsid w:val="00615A74"/>
    <w:rsid w:val="00615BD7"/>
    <w:rsid w:val="00615CE6"/>
    <w:rsid w:val="00615DB8"/>
    <w:rsid w:val="00615DE1"/>
    <w:rsid w:val="00615FC6"/>
    <w:rsid w:val="00616035"/>
    <w:rsid w:val="00616130"/>
    <w:rsid w:val="00616250"/>
    <w:rsid w:val="00616277"/>
    <w:rsid w:val="0061627D"/>
    <w:rsid w:val="006166F3"/>
    <w:rsid w:val="00616819"/>
    <w:rsid w:val="0061695D"/>
    <w:rsid w:val="00616999"/>
    <w:rsid w:val="006169D9"/>
    <w:rsid w:val="00616ACE"/>
    <w:rsid w:val="00616AE6"/>
    <w:rsid w:val="00616BD3"/>
    <w:rsid w:val="00616C66"/>
    <w:rsid w:val="00616D40"/>
    <w:rsid w:val="00616D5C"/>
    <w:rsid w:val="00616D71"/>
    <w:rsid w:val="00616DAE"/>
    <w:rsid w:val="00616E2B"/>
    <w:rsid w:val="00616EA9"/>
    <w:rsid w:val="00616F7D"/>
    <w:rsid w:val="00616FB4"/>
    <w:rsid w:val="0061714B"/>
    <w:rsid w:val="0061719C"/>
    <w:rsid w:val="0061723E"/>
    <w:rsid w:val="0061725F"/>
    <w:rsid w:val="00617305"/>
    <w:rsid w:val="00617576"/>
    <w:rsid w:val="006175E9"/>
    <w:rsid w:val="00617604"/>
    <w:rsid w:val="00617689"/>
    <w:rsid w:val="00617722"/>
    <w:rsid w:val="006177E0"/>
    <w:rsid w:val="00617823"/>
    <w:rsid w:val="00617ABF"/>
    <w:rsid w:val="00617BCB"/>
    <w:rsid w:val="00617C61"/>
    <w:rsid w:val="00617FF3"/>
    <w:rsid w:val="00620037"/>
    <w:rsid w:val="00620094"/>
    <w:rsid w:val="006200BD"/>
    <w:rsid w:val="006201B3"/>
    <w:rsid w:val="00620229"/>
    <w:rsid w:val="0062024A"/>
    <w:rsid w:val="0062025D"/>
    <w:rsid w:val="00620586"/>
    <w:rsid w:val="00620638"/>
    <w:rsid w:val="00620649"/>
    <w:rsid w:val="00620689"/>
    <w:rsid w:val="00620754"/>
    <w:rsid w:val="00620937"/>
    <w:rsid w:val="006209B1"/>
    <w:rsid w:val="00620A14"/>
    <w:rsid w:val="00620A7B"/>
    <w:rsid w:val="00620CBD"/>
    <w:rsid w:val="00620DC8"/>
    <w:rsid w:val="00620E2B"/>
    <w:rsid w:val="00620EE6"/>
    <w:rsid w:val="00620FF5"/>
    <w:rsid w:val="0062102B"/>
    <w:rsid w:val="0062122F"/>
    <w:rsid w:val="0062130D"/>
    <w:rsid w:val="006213A8"/>
    <w:rsid w:val="0062148B"/>
    <w:rsid w:val="00621491"/>
    <w:rsid w:val="00621674"/>
    <w:rsid w:val="0062176F"/>
    <w:rsid w:val="0062178F"/>
    <w:rsid w:val="006217FD"/>
    <w:rsid w:val="00621937"/>
    <w:rsid w:val="00621998"/>
    <w:rsid w:val="00621BBB"/>
    <w:rsid w:val="00621C06"/>
    <w:rsid w:val="00621C62"/>
    <w:rsid w:val="00621D5B"/>
    <w:rsid w:val="00621E15"/>
    <w:rsid w:val="00621EB1"/>
    <w:rsid w:val="00621FF0"/>
    <w:rsid w:val="0062211E"/>
    <w:rsid w:val="006221D0"/>
    <w:rsid w:val="006221E4"/>
    <w:rsid w:val="00622335"/>
    <w:rsid w:val="0062236B"/>
    <w:rsid w:val="00622595"/>
    <w:rsid w:val="00622694"/>
    <w:rsid w:val="0062279B"/>
    <w:rsid w:val="006228AC"/>
    <w:rsid w:val="006228BE"/>
    <w:rsid w:val="006228E2"/>
    <w:rsid w:val="0062293A"/>
    <w:rsid w:val="00622971"/>
    <w:rsid w:val="00622974"/>
    <w:rsid w:val="006229DA"/>
    <w:rsid w:val="00622A9B"/>
    <w:rsid w:val="00622B6E"/>
    <w:rsid w:val="00622C4C"/>
    <w:rsid w:val="00622C76"/>
    <w:rsid w:val="00622DA0"/>
    <w:rsid w:val="00622EA8"/>
    <w:rsid w:val="00622EE2"/>
    <w:rsid w:val="00623029"/>
    <w:rsid w:val="00623151"/>
    <w:rsid w:val="0062318B"/>
    <w:rsid w:val="006231B3"/>
    <w:rsid w:val="006232E8"/>
    <w:rsid w:val="0062343E"/>
    <w:rsid w:val="00623473"/>
    <w:rsid w:val="0062357F"/>
    <w:rsid w:val="006235FB"/>
    <w:rsid w:val="006236A0"/>
    <w:rsid w:val="006236D8"/>
    <w:rsid w:val="00623706"/>
    <w:rsid w:val="006237F6"/>
    <w:rsid w:val="00623872"/>
    <w:rsid w:val="00623930"/>
    <w:rsid w:val="0062398E"/>
    <w:rsid w:val="00623A3E"/>
    <w:rsid w:val="00623A5E"/>
    <w:rsid w:val="00623B7E"/>
    <w:rsid w:val="006241A7"/>
    <w:rsid w:val="006242BC"/>
    <w:rsid w:val="006244EA"/>
    <w:rsid w:val="006244F7"/>
    <w:rsid w:val="00624520"/>
    <w:rsid w:val="0062465C"/>
    <w:rsid w:val="00624857"/>
    <w:rsid w:val="00624B32"/>
    <w:rsid w:val="00624B59"/>
    <w:rsid w:val="00624BA9"/>
    <w:rsid w:val="00624D44"/>
    <w:rsid w:val="00624E48"/>
    <w:rsid w:val="00624E8F"/>
    <w:rsid w:val="00625036"/>
    <w:rsid w:val="0062504E"/>
    <w:rsid w:val="006250BF"/>
    <w:rsid w:val="0062510C"/>
    <w:rsid w:val="00625136"/>
    <w:rsid w:val="006252B0"/>
    <w:rsid w:val="006253D5"/>
    <w:rsid w:val="006254AA"/>
    <w:rsid w:val="006254FD"/>
    <w:rsid w:val="00625516"/>
    <w:rsid w:val="00625520"/>
    <w:rsid w:val="00625541"/>
    <w:rsid w:val="0062572C"/>
    <w:rsid w:val="00625747"/>
    <w:rsid w:val="00625884"/>
    <w:rsid w:val="00625889"/>
    <w:rsid w:val="00625891"/>
    <w:rsid w:val="00625938"/>
    <w:rsid w:val="006259A7"/>
    <w:rsid w:val="006259F5"/>
    <w:rsid w:val="006259FF"/>
    <w:rsid w:val="00625A03"/>
    <w:rsid w:val="00625A7E"/>
    <w:rsid w:val="00625B00"/>
    <w:rsid w:val="00625C55"/>
    <w:rsid w:val="00625DF1"/>
    <w:rsid w:val="00625DF9"/>
    <w:rsid w:val="00625EF4"/>
    <w:rsid w:val="00625F37"/>
    <w:rsid w:val="0062623E"/>
    <w:rsid w:val="00626297"/>
    <w:rsid w:val="006266B6"/>
    <w:rsid w:val="006266DE"/>
    <w:rsid w:val="00626719"/>
    <w:rsid w:val="00626744"/>
    <w:rsid w:val="00626821"/>
    <w:rsid w:val="006268E5"/>
    <w:rsid w:val="006268EF"/>
    <w:rsid w:val="00626B78"/>
    <w:rsid w:val="00626B99"/>
    <w:rsid w:val="00626BBE"/>
    <w:rsid w:val="00626C77"/>
    <w:rsid w:val="00626E92"/>
    <w:rsid w:val="00626FFA"/>
    <w:rsid w:val="006270A6"/>
    <w:rsid w:val="0062712E"/>
    <w:rsid w:val="006271BD"/>
    <w:rsid w:val="006271C2"/>
    <w:rsid w:val="006271E5"/>
    <w:rsid w:val="006272C4"/>
    <w:rsid w:val="00627362"/>
    <w:rsid w:val="006275DB"/>
    <w:rsid w:val="00627603"/>
    <w:rsid w:val="0062765B"/>
    <w:rsid w:val="00627740"/>
    <w:rsid w:val="006277CB"/>
    <w:rsid w:val="00627957"/>
    <w:rsid w:val="00627A4B"/>
    <w:rsid w:val="00627BDB"/>
    <w:rsid w:val="00627E26"/>
    <w:rsid w:val="00627E49"/>
    <w:rsid w:val="00627FA2"/>
    <w:rsid w:val="00630044"/>
    <w:rsid w:val="0063013F"/>
    <w:rsid w:val="006301A1"/>
    <w:rsid w:val="006301F2"/>
    <w:rsid w:val="00630269"/>
    <w:rsid w:val="00630402"/>
    <w:rsid w:val="006305DF"/>
    <w:rsid w:val="006306D7"/>
    <w:rsid w:val="006308A7"/>
    <w:rsid w:val="00630900"/>
    <w:rsid w:val="006309F2"/>
    <w:rsid w:val="00630A65"/>
    <w:rsid w:val="00630BF2"/>
    <w:rsid w:val="00630C2F"/>
    <w:rsid w:val="00630D25"/>
    <w:rsid w:val="00630D39"/>
    <w:rsid w:val="00630E00"/>
    <w:rsid w:val="00630E17"/>
    <w:rsid w:val="00630FDC"/>
    <w:rsid w:val="00631028"/>
    <w:rsid w:val="006310C6"/>
    <w:rsid w:val="00631154"/>
    <w:rsid w:val="006311DD"/>
    <w:rsid w:val="00631203"/>
    <w:rsid w:val="00631334"/>
    <w:rsid w:val="00631346"/>
    <w:rsid w:val="006314B2"/>
    <w:rsid w:val="00631557"/>
    <w:rsid w:val="006315CB"/>
    <w:rsid w:val="00631610"/>
    <w:rsid w:val="006316B7"/>
    <w:rsid w:val="00631710"/>
    <w:rsid w:val="0063187C"/>
    <w:rsid w:val="006318B7"/>
    <w:rsid w:val="006318FB"/>
    <w:rsid w:val="00631AA1"/>
    <w:rsid w:val="00631B57"/>
    <w:rsid w:val="00631C4C"/>
    <w:rsid w:val="00631CDB"/>
    <w:rsid w:val="00631D48"/>
    <w:rsid w:val="00631D7B"/>
    <w:rsid w:val="00631F3A"/>
    <w:rsid w:val="006320A0"/>
    <w:rsid w:val="0063212A"/>
    <w:rsid w:val="0063212C"/>
    <w:rsid w:val="006322A6"/>
    <w:rsid w:val="0063239E"/>
    <w:rsid w:val="00632411"/>
    <w:rsid w:val="0063242C"/>
    <w:rsid w:val="00632510"/>
    <w:rsid w:val="006325A1"/>
    <w:rsid w:val="006325FE"/>
    <w:rsid w:val="0063261C"/>
    <w:rsid w:val="006326BB"/>
    <w:rsid w:val="0063291E"/>
    <w:rsid w:val="006329E1"/>
    <w:rsid w:val="00632A1A"/>
    <w:rsid w:val="00632B86"/>
    <w:rsid w:val="00632BC6"/>
    <w:rsid w:val="00632CC8"/>
    <w:rsid w:val="00632D35"/>
    <w:rsid w:val="00632DE1"/>
    <w:rsid w:val="00633192"/>
    <w:rsid w:val="00633199"/>
    <w:rsid w:val="006331B5"/>
    <w:rsid w:val="00633461"/>
    <w:rsid w:val="0063346E"/>
    <w:rsid w:val="0063348E"/>
    <w:rsid w:val="006334E6"/>
    <w:rsid w:val="00633663"/>
    <w:rsid w:val="006337BA"/>
    <w:rsid w:val="00633821"/>
    <w:rsid w:val="006338D2"/>
    <w:rsid w:val="006339FE"/>
    <w:rsid w:val="00633BDE"/>
    <w:rsid w:val="00633C58"/>
    <w:rsid w:val="00633C96"/>
    <w:rsid w:val="00633D9D"/>
    <w:rsid w:val="00633DD1"/>
    <w:rsid w:val="00633EBD"/>
    <w:rsid w:val="00633F56"/>
    <w:rsid w:val="00633F7B"/>
    <w:rsid w:val="00633F82"/>
    <w:rsid w:val="00634021"/>
    <w:rsid w:val="006340DD"/>
    <w:rsid w:val="00634259"/>
    <w:rsid w:val="00634267"/>
    <w:rsid w:val="006342B4"/>
    <w:rsid w:val="00634400"/>
    <w:rsid w:val="0063447A"/>
    <w:rsid w:val="006345A4"/>
    <w:rsid w:val="0063489A"/>
    <w:rsid w:val="0063495A"/>
    <w:rsid w:val="00634A4F"/>
    <w:rsid w:val="00634A56"/>
    <w:rsid w:val="00634B0D"/>
    <w:rsid w:val="00634B3A"/>
    <w:rsid w:val="00634C34"/>
    <w:rsid w:val="00634C38"/>
    <w:rsid w:val="00634CB5"/>
    <w:rsid w:val="00634CFD"/>
    <w:rsid w:val="00634E4B"/>
    <w:rsid w:val="00634F26"/>
    <w:rsid w:val="00634F2F"/>
    <w:rsid w:val="00634F5F"/>
    <w:rsid w:val="0063501A"/>
    <w:rsid w:val="00635157"/>
    <w:rsid w:val="006351C1"/>
    <w:rsid w:val="00635206"/>
    <w:rsid w:val="0063521E"/>
    <w:rsid w:val="0063539E"/>
    <w:rsid w:val="00635509"/>
    <w:rsid w:val="0063551F"/>
    <w:rsid w:val="0063560B"/>
    <w:rsid w:val="006357AA"/>
    <w:rsid w:val="0063589F"/>
    <w:rsid w:val="006358FC"/>
    <w:rsid w:val="00635A22"/>
    <w:rsid w:val="00635AA3"/>
    <w:rsid w:val="00635AAB"/>
    <w:rsid w:val="00635B26"/>
    <w:rsid w:val="00635E84"/>
    <w:rsid w:val="00635E8D"/>
    <w:rsid w:val="00635EAD"/>
    <w:rsid w:val="00636082"/>
    <w:rsid w:val="006362A7"/>
    <w:rsid w:val="006362F3"/>
    <w:rsid w:val="00636450"/>
    <w:rsid w:val="0063650B"/>
    <w:rsid w:val="00636596"/>
    <w:rsid w:val="006365A3"/>
    <w:rsid w:val="006365C4"/>
    <w:rsid w:val="00636AF6"/>
    <w:rsid w:val="00636BB6"/>
    <w:rsid w:val="00636D75"/>
    <w:rsid w:val="00636DC2"/>
    <w:rsid w:val="00636DFD"/>
    <w:rsid w:val="00636ECC"/>
    <w:rsid w:val="00636ED8"/>
    <w:rsid w:val="00636EEB"/>
    <w:rsid w:val="00637276"/>
    <w:rsid w:val="00637435"/>
    <w:rsid w:val="00637464"/>
    <w:rsid w:val="0063746A"/>
    <w:rsid w:val="00637600"/>
    <w:rsid w:val="00637637"/>
    <w:rsid w:val="0063765D"/>
    <w:rsid w:val="00637668"/>
    <w:rsid w:val="006377A1"/>
    <w:rsid w:val="0063786A"/>
    <w:rsid w:val="006378CF"/>
    <w:rsid w:val="006378E8"/>
    <w:rsid w:val="0063797F"/>
    <w:rsid w:val="00637994"/>
    <w:rsid w:val="00637B77"/>
    <w:rsid w:val="00637BA0"/>
    <w:rsid w:val="00637C01"/>
    <w:rsid w:val="00637CD9"/>
    <w:rsid w:val="00637DB4"/>
    <w:rsid w:val="00637DEE"/>
    <w:rsid w:val="00637EA7"/>
    <w:rsid w:val="00640033"/>
    <w:rsid w:val="006401E5"/>
    <w:rsid w:val="00640254"/>
    <w:rsid w:val="006402D2"/>
    <w:rsid w:val="006402D4"/>
    <w:rsid w:val="00640300"/>
    <w:rsid w:val="00640302"/>
    <w:rsid w:val="0064033E"/>
    <w:rsid w:val="006404D1"/>
    <w:rsid w:val="006404DB"/>
    <w:rsid w:val="006404F2"/>
    <w:rsid w:val="00640504"/>
    <w:rsid w:val="0064050F"/>
    <w:rsid w:val="00640576"/>
    <w:rsid w:val="006405BC"/>
    <w:rsid w:val="006407C5"/>
    <w:rsid w:val="00640884"/>
    <w:rsid w:val="006408BD"/>
    <w:rsid w:val="0064091A"/>
    <w:rsid w:val="00640AB0"/>
    <w:rsid w:val="00640DB5"/>
    <w:rsid w:val="00640E86"/>
    <w:rsid w:val="006410C7"/>
    <w:rsid w:val="006410DA"/>
    <w:rsid w:val="0064115A"/>
    <w:rsid w:val="00641270"/>
    <w:rsid w:val="0064133D"/>
    <w:rsid w:val="00641385"/>
    <w:rsid w:val="0064141A"/>
    <w:rsid w:val="006415FC"/>
    <w:rsid w:val="0064167C"/>
    <w:rsid w:val="00641686"/>
    <w:rsid w:val="006416AC"/>
    <w:rsid w:val="006416D9"/>
    <w:rsid w:val="006416FD"/>
    <w:rsid w:val="006417E3"/>
    <w:rsid w:val="0064182A"/>
    <w:rsid w:val="00641924"/>
    <w:rsid w:val="00641979"/>
    <w:rsid w:val="00641A30"/>
    <w:rsid w:val="00641A3E"/>
    <w:rsid w:val="00641B94"/>
    <w:rsid w:val="00641FB3"/>
    <w:rsid w:val="00641FE7"/>
    <w:rsid w:val="0064204B"/>
    <w:rsid w:val="006420A2"/>
    <w:rsid w:val="006421E8"/>
    <w:rsid w:val="0064221F"/>
    <w:rsid w:val="00642263"/>
    <w:rsid w:val="006422A5"/>
    <w:rsid w:val="006422B3"/>
    <w:rsid w:val="006422BC"/>
    <w:rsid w:val="006422DF"/>
    <w:rsid w:val="0064232E"/>
    <w:rsid w:val="00642345"/>
    <w:rsid w:val="006423CF"/>
    <w:rsid w:val="00642465"/>
    <w:rsid w:val="0064246A"/>
    <w:rsid w:val="006424E4"/>
    <w:rsid w:val="0064273D"/>
    <w:rsid w:val="006427A9"/>
    <w:rsid w:val="006427C3"/>
    <w:rsid w:val="00642820"/>
    <w:rsid w:val="00642A09"/>
    <w:rsid w:val="00642A0A"/>
    <w:rsid w:val="00642AF5"/>
    <w:rsid w:val="00642F09"/>
    <w:rsid w:val="006430CD"/>
    <w:rsid w:val="006430CE"/>
    <w:rsid w:val="0064325D"/>
    <w:rsid w:val="006432BC"/>
    <w:rsid w:val="00643398"/>
    <w:rsid w:val="00643426"/>
    <w:rsid w:val="00643500"/>
    <w:rsid w:val="00643556"/>
    <w:rsid w:val="006435A3"/>
    <w:rsid w:val="006435ED"/>
    <w:rsid w:val="0064360E"/>
    <w:rsid w:val="0064380B"/>
    <w:rsid w:val="00643859"/>
    <w:rsid w:val="00643969"/>
    <w:rsid w:val="006439A1"/>
    <w:rsid w:val="00643A18"/>
    <w:rsid w:val="00643C08"/>
    <w:rsid w:val="00643CE5"/>
    <w:rsid w:val="00643E7D"/>
    <w:rsid w:val="00643EB1"/>
    <w:rsid w:val="00643F14"/>
    <w:rsid w:val="0064412A"/>
    <w:rsid w:val="006441B4"/>
    <w:rsid w:val="006441E2"/>
    <w:rsid w:val="006444DF"/>
    <w:rsid w:val="0064477E"/>
    <w:rsid w:val="0064487C"/>
    <w:rsid w:val="00644988"/>
    <w:rsid w:val="00644AE6"/>
    <w:rsid w:val="00644B11"/>
    <w:rsid w:val="00644BA4"/>
    <w:rsid w:val="00644CB9"/>
    <w:rsid w:val="00644D6D"/>
    <w:rsid w:val="00644DA6"/>
    <w:rsid w:val="00644E23"/>
    <w:rsid w:val="00644E5F"/>
    <w:rsid w:val="00644E97"/>
    <w:rsid w:val="00645008"/>
    <w:rsid w:val="0064508D"/>
    <w:rsid w:val="006450A2"/>
    <w:rsid w:val="006450D7"/>
    <w:rsid w:val="00645104"/>
    <w:rsid w:val="00645123"/>
    <w:rsid w:val="00645186"/>
    <w:rsid w:val="00645289"/>
    <w:rsid w:val="0064528A"/>
    <w:rsid w:val="0064529B"/>
    <w:rsid w:val="006452A0"/>
    <w:rsid w:val="006452BA"/>
    <w:rsid w:val="006452CC"/>
    <w:rsid w:val="006452DC"/>
    <w:rsid w:val="0064535B"/>
    <w:rsid w:val="00645399"/>
    <w:rsid w:val="00645475"/>
    <w:rsid w:val="00645485"/>
    <w:rsid w:val="006454FB"/>
    <w:rsid w:val="0064550B"/>
    <w:rsid w:val="00645521"/>
    <w:rsid w:val="006455D9"/>
    <w:rsid w:val="006456C5"/>
    <w:rsid w:val="00645756"/>
    <w:rsid w:val="0064580C"/>
    <w:rsid w:val="00645946"/>
    <w:rsid w:val="0064599E"/>
    <w:rsid w:val="00645A0A"/>
    <w:rsid w:val="00645AD7"/>
    <w:rsid w:val="00645B99"/>
    <w:rsid w:val="00645BF0"/>
    <w:rsid w:val="00645C14"/>
    <w:rsid w:val="00645C37"/>
    <w:rsid w:val="00645CB6"/>
    <w:rsid w:val="00645CEF"/>
    <w:rsid w:val="00645EEB"/>
    <w:rsid w:val="00645F57"/>
    <w:rsid w:val="00645F77"/>
    <w:rsid w:val="00645FA5"/>
    <w:rsid w:val="00645FB1"/>
    <w:rsid w:val="00646059"/>
    <w:rsid w:val="0064606D"/>
    <w:rsid w:val="006460D5"/>
    <w:rsid w:val="0064612E"/>
    <w:rsid w:val="00646187"/>
    <w:rsid w:val="0064629F"/>
    <w:rsid w:val="006462B2"/>
    <w:rsid w:val="00646373"/>
    <w:rsid w:val="00646546"/>
    <w:rsid w:val="0064655D"/>
    <w:rsid w:val="006465D0"/>
    <w:rsid w:val="0064669C"/>
    <w:rsid w:val="006466EE"/>
    <w:rsid w:val="0064673A"/>
    <w:rsid w:val="00646795"/>
    <w:rsid w:val="006468AE"/>
    <w:rsid w:val="006468EB"/>
    <w:rsid w:val="00646946"/>
    <w:rsid w:val="006469FC"/>
    <w:rsid w:val="00646A89"/>
    <w:rsid w:val="00646B98"/>
    <w:rsid w:val="00646BFF"/>
    <w:rsid w:val="00646E56"/>
    <w:rsid w:val="00646EA4"/>
    <w:rsid w:val="00646EE8"/>
    <w:rsid w:val="00646FE5"/>
    <w:rsid w:val="00647086"/>
    <w:rsid w:val="00647104"/>
    <w:rsid w:val="00647201"/>
    <w:rsid w:val="0064747A"/>
    <w:rsid w:val="006474A6"/>
    <w:rsid w:val="006474BE"/>
    <w:rsid w:val="006474EC"/>
    <w:rsid w:val="00647540"/>
    <w:rsid w:val="0064758B"/>
    <w:rsid w:val="006475FC"/>
    <w:rsid w:val="00647715"/>
    <w:rsid w:val="006477FE"/>
    <w:rsid w:val="0064785A"/>
    <w:rsid w:val="006478C4"/>
    <w:rsid w:val="00647970"/>
    <w:rsid w:val="00647A2B"/>
    <w:rsid w:val="00647AB4"/>
    <w:rsid w:val="00647B3D"/>
    <w:rsid w:val="00647BE4"/>
    <w:rsid w:val="00647C28"/>
    <w:rsid w:val="00647C8E"/>
    <w:rsid w:val="00647CAF"/>
    <w:rsid w:val="00647CB5"/>
    <w:rsid w:val="00647CFD"/>
    <w:rsid w:val="00647ED1"/>
    <w:rsid w:val="00647EDD"/>
    <w:rsid w:val="00647EF2"/>
    <w:rsid w:val="00647FC3"/>
    <w:rsid w:val="0065000C"/>
    <w:rsid w:val="00650200"/>
    <w:rsid w:val="00650210"/>
    <w:rsid w:val="006502A3"/>
    <w:rsid w:val="006503D3"/>
    <w:rsid w:val="006504A8"/>
    <w:rsid w:val="006504C6"/>
    <w:rsid w:val="006504DE"/>
    <w:rsid w:val="00650592"/>
    <w:rsid w:val="00650624"/>
    <w:rsid w:val="00650851"/>
    <w:rsid w:val="006508A2"/>
    <w:rsid w:val="006508C6"/>
    <w:rsid w:val="006508E0"/>
    <w:rsid w:val="0065093A"/>
    <w:rsid w:val="00650B23"/>
    <w:rsid w:val="00650BC3"/>
    <w:rsid w:val="00650CBE"/>
    <w:rsid w:val="00650DF9"/>
    <w:rsid w:val="00650E31"/>
    <w:rsid w:val="00650EA4"/>
    <w:rsid w:val="00650EDA"/>
    <w:rsid w:val="00650F4D"/>
    <w:rsid w:val="00650FCB"/>
    <w:rsid w:val="00650FD7"/>
    <w:rsid w:val="006513A8"/>
    <w:rsid w:val="00651431"/>
    <w:rsid w:val="00651463"/>
    <w:rsid w:val="00651494"/>
    <w:rsid w:val="006514AB"/>
    <w:rsid w:val="00651652"/>
    <w:rsid w:val="006516A4"/>
    <w:rsid w:val="006516BA"/>
    <w:rsid w:val="0065183D"/>
    <w:rsid w:val="0065193F"/>
    <w:rsid w:val="00651969"/>
    <w:rsid w:val="00651BAC"/>
    <w:rsid w:val="00651C2F"/>
    <w:rsid w:val="00651C31"/>
    <w:rsid w:val="00651D24"/>
    <w:rsid w:val="00651DAA"/>
    <w:rsid w:val="00651E06"/>
    <w:rsid w:val="00651E49"/>
    <w:rsid w:val="00651F18"/>
    <w:rsid w:val="00651F6F"/>
    <w:rsid w:val="00652000"/>
    <w:rsid w:val="006520B0"/>
    <w:rsid w:val="006520ED"/>
    <w:rsid w:val="006521B7"/>
    <w:rsid w:val="0065223A"/>
    <w:rsid w:val="00652395"/>
    <w:rsid w:val="006523AA"/>
    <w:rsid w:val="006523FD"/>
    <w:rsid w:val="0065246A"/>
    <w:rsid w:val="00652495"/>
    <w:rsid w:val="006525AB"/>
    <w:rsid w:val="00652629"/>
    <w:rsid w:val="00652645"/>
    <w:rsid w:val="0065282E"/>
    <w:rsid w:val="006528B0"/>
    <w:rsid w:val="00652924"/>
    <w:rsid w:val="006529F1"/>
    <w:rsid w:val="00652ABF"/>
    <w:rsid w:val="00652B3F"/>
    <w:rsid w:val="00652B51"/>
    <w:rsid w:val="00652CE4"/>
    <w:rsid w:val="00652D19"/>
    <w:rsid w:val="00652D78"/>
    <w:rsid w:val="00652DF2"/>
    <w:rsid w:val="00652E01"/>
    <w:rsid w:val="00652E81"/>
    <w:rsid w:val="00652F9A"/>
    <w:rsid w:val="00653016"/>
    <w:rsid w:val="006530A4"/>
    <w:rsid w:val="00653291"/>
    <w:rsid w:val="006532A2"/>
    <w:rsid w:val="00653416"/>
    <w:rsid w:val="0065346A"/>
    <w:rsid w:val="00653510"/>
    <w:rsid w:val="00653614"/>
    <w:rsid w:val="0065366C"/>
    <w:rsid w:val="0065371D"/>
    <w:rsid w:val="00653769"/>
    <w:rsid w:val="00653838"/>
    <w:rsid w:val="0065384F"/>
    <w:rsid w:val="006538FD"/>
    <w:rsid w:val="00653AF0"/>
    <w:rsid w:val="00653D12"/>
    <w:rsid w:val="00653D30"/>
    <w:rsid w:val="00653D7A"/>
    <w:rsid w:val="0065403B"/>
    <w:rsid w:val="0065404C"/>
    <w:rsid w:val="0065414D"/>
    <w:rsid w:val="00654208"/>
    <w:rsid w:val="0065426A"/>
    <w:rsid w:val="006544C0"/>
    <w:rsid w:val="006544C5"/>
    <w:rsid w:val="006544E9"/>
    <w:rsid w:val="0065452E"/>
    <w:rsid w:val="006546BE"/>
    <w:rsid w:val="00654831"/>
    <w:rsid w:val="00654847"/>
    <w:rsid w:val="00654960"/>
    <w:rsid w:val="0065497B"/>
    <w:rsid w:val="006549C6"/>
    <w:rsid w:val="00654B25"/>
    <w:rsid w:val="00654B8B"/>
    <w:rsid w:val="00654C2B"/>
    <w:rsid w:val="00654EB1"/>
    <w:rsid w:val="00654F5C"/>
    <w:rsid w:val="00655012"/>
    <w:rsid w:val="006552CE"/>
    <w:rsid w:val="006552ED"/>
    <w:rsid w:val="00655432"/>
    <w:rsid w:val="006554F8"/>
    <w:rsid w:val="00655551"/>
    <w:rsid w:val="006555A2"/>
    <w:rsid w:val="0065562C"/>
    <w:rsid w:val="00655731"/>
    <w:rsid w:val="00655788"/>
    <w:rsid w:val="0065587D"/>
    <w:rsid w:val="00655ADE"/>
    <w:rsid w:val="00655C69"/>
    <w:rsid w:val="00655CA8"/>
    <w:rsid w:val="00655CCA"/>
    <w:rsid w:val="00655D0C"/>
    <w:rsid w:val="00655D8C"/>
    <w:rsid w:val="00655DB4"/>
    <w:rsid w:val="00655F66"/>
    <w:rsid w:val="00656082"/>
    <w:rsid w:val="006560C9"/>
    <w:rsid w:val="006561D8"/>
    <w:rsid w:val="00656365"/>
    <w:rsid w:val="00656483"/>
    <w:rsid w:val="0065649C"/>
    <w:rsid w:val="00656706"/>
    <w:rsid w:val="00656A51"/>
    <w:rsid w:val="00656A73"/>
    <w:rsid w:val="00656AB9"/>
    <w:rsid w:val="00656B1D"/>
    <w:rsid w:val="00656B59"/>
    <w:rsid w:val="00656CC3"/>
    <w:rsid w:val="00656D2F"/>
    <w:rsid w:val="00656DC0"/>
    <w:rsid w:val="00656EBA"/>
    <w:rsid w:val="00656F56"/>
    <w:rsid w:val="00656FC2"/>
    <w:rsid w:val="00657035"/>
    <w:rsid w:val="006570F1"/>
    <w:rsid w:val="00657192"/>
    <w:rsid w:val="006572A1"/>
    <w:rsid w:val="00657461"/>
    <w:rsid w:val="006574A4"/>
    <w:rsid w:val="006575BA"/>
    <w:rsid w:val="006575D3"/>
    <w:rsid w:val="0065794E"/>
    <w:rsid w:val="006579A9"/>
    <w:rsid w:val="00657BBD"/>
    <w:rsid w:val="00657D27"/>
    <w:rsid w:val="00657D62"/>
    <w:rsid w:val="00657E38"/>
    <w:rsid w:val="00657E3C"/>
    <w:rsid w:val="00657E3F"/>
    <w:rsid w:val="00657EC8"/>
    <w:rsid w:val="006600DB"/>
    <w:rsid w:val="006601C2"/>
    <w:rsid w:val="006602EE"/>
    <w:rsid w:val="006604AF"/>
    <w:rsid w:val="006605ED"/>
    <w:rsid w:val="0066066C"/>
    <w:rsid w:val="0066069F"/>
    <w:rsid w:val="00660722"/>
    <w:rsid w:val="0066083B"/>
    <w:rsid w:val="006608B0"/>
    <w:rsid w:val="006608CE"/>
    <w:rsid w:val="006608EF"/>
    <w:rsid w:val="00660950"/>
    <w:rsid w:val="00660BD7"/>
    <w:rsid w:val="00660C61"/>
    <w:rsid w:val="00660DCA"/>
    <w:rsid w:val="00660EC0"/>
    <w:rsid w:val="00660FEF"/>
    <w:rsid w:val="006610A8"/>
    <w:rsid w:val="00661297"/>
    <w:rsid w:val="00661355"/>
    <w:rsid w:val="0066161F"/>
    <w:rsid w:val="00661644"/>
    <w:rsid w:val="0066166D"/>
    <w:rsid w:val="00661678"/>
    <w:rsid w:val="006616ED"/>
    <w:rsid w:val="006617C2"/>
    <w:rsid w:val="006617EB"/>
    <w:rsid w:val="00661822"/>
    <w:rsid w:val="00661880"/>
    <w:rsid w:val="00661A0E"/>
    <w:rsid w:val="00661A0F"/>
    <w:rsid w:val="00661CF6"/>
    <w:rsid w:val="00661CFC"/>
    <w:rsid w:val="00661DEC"/>
    <w:rsid w:val="00661E0D"/>
    <w:rsid w:val="00661EBD"/>
    <w:rsid w:val="006623F8"/>
    <w:rsid w:val="00662613"/>
    <w:rsid w:val="006627D2"/>
    <w:rsid w:val="006627D9"/>
    <w:rsid w:val="00662A2D"/>
    <w:rsid w:val="00662A5C"/>
    <w:rsid w:val="00662AD2"/>
    <w:rsid w:val="00662B0D"/>
    <w:rsid w:val="00662B4D"/>
    <w:rsid w:val="00662BB5"/>
    <w:rsid w:val="00662C35"/>
    <w:rsid w:val="00662C71"/>
    <w:rsid w:val="00662D2C"/>
    <w:rsid w:val="00662E7B"/>
    <w:rsid w:val="00662E8C"/>
    <w:rsid w:val="00662F63"/>
    <w:rsid w:val="00662FFA"/>
    <w:rsid w:val="0066322D"/>
    <w:rsid w:val="006632CF"/>
    <w:rsid w:val="00663357"/>
    <w:rsid w:val="00663370"/>
    <w:rsid w:val="0066337A"/>
    <w:rsid w:val="00663422"/>
    <w:rsid w:val="006634A8"/>
    <w:rsid w:val="00663600"/>
    <w:rsid w:val="00663615"/>
    <w:rsid w:val="0066361A"/>
    <w:rsid w:val="006637C3"/>
    <w:rsid w:val="006637F8"/>
    <w:rsid w:val="00663842"/>
    <w:rsid w:val="00663893"/>
    <w:rsid w:val="00663AAA"/>
    <w:rsid w:val="00663B2D"/>
    <w:rsid w:val="00663B2E"/>
    <w:rsid w:val="00663BEE"/>
    <w:rsid w:val="00663C2C"/>
    <w:rsid w:val="00663DB4"/>
    <w:rsid w:val="00664039"/>
    <w:rsid w:val="0066424E"/>
    <w:rsid w:val="0066437B"/>
    <w:rsid w:val="00664381"/>
    <w:rsid w:val="006643FD"/>
    <w:rsid w:val="0066444B"/>
    <w:rsid w:val="00664600"/>
    <w:rsid w:val="0066479B"/>
    <w:rsid w:val="006648D9"/>
    <w:rsid w:val="00664922"/>
    <w:rsid w:val="0066493E"/>
    <w:rsid w:val="00664988"/>
    <w:rsid w:val="006649EB"/>
    <w:rsid w:val="00664A3E"/>
    <w:rsid w:val="00664CFA"/>
    <w:rsid w:val="00664E07"/>
    <w:rsid w:val="00664EA6"/>
    <w:rsid w:val="00664EEC"/>
    <w:rsid w:val="0066505D"/>
    <w:rsid w:val="006653E2"/>
    <w:rsid w:val="006653EE"/>
    <w:rsid w:val="0066542C"/>
    <w:rsid w:val="00665430"/>
    <w:rsid w:val="00665440"/>
    <w:rsid w:val="006654C6"/>
    <w:rsid w:val="0066573F"/>
    <w:rsid w:val="0066583D"/>
    <w:rsid w:val="0066592E"/>
    <w:rsid w:val="00665B19"/>
    <w:rsid w:val="00665BF3"/>
    <w:rsid w:val="00665C88"/>
    <w:rsid w:val="00665C97"/>
    <w:rsid w:val="00665D44"/>
    <w:rsid w:val="00665D8E"/>
    <w:rsid w:val="00665D92"/>
    <w:rsid w:val="00665DAF"/>
    <w:rsid w:val="00665DD9"/>
    <w:rsid w:val="00665EC1"/>
    <w:rsid w:val="00665ED8"/>
    <w:rsid w:val="00665F5C"/>
    <w:rsid w:val="006660B4"/>
    <w:rsid w:val="006660D0"/>
    <w:rsid w:val="00666122"/>
    <w:rsid w:val="00666173"/>
    <w:rsid w:val="0066619D"/>
    <w:rsid w:val="00666463"/>
    <w:rsid w:val="0066651B"/>
    <w:rsid w:val="0066659C"/>
    <w:rsid w:val="006665D5"/>
    <w:rsid w:val="00666632"/>
    <w:rsid w:val="00666687"/>
    <w:rsid w:val="0066669D"/>
    <w:rsid w:val="006666E5"/>
    <w:rsid w:val="00666779"/>
    <w:rsid w:val="006667EA"/>
    <w:rsid w:val="00666A8A"/>
    <w:rsid w:val="00666AF8"/>
    <w:rsid w:val="00666B78"/>
    <w:rsid w:val="00666BC0"/>
    <w:rsid w:val="00666C7B"/>
    <w:rsid w:val="00666D2F"/>
    <w:rsid w:val="00666D8D"/>
    <w:rsid w:val="00666E0F"/>
    <w:rsid w:val="00666EBC"/>
    <w:rsid w:val="00667050"/>
    <w:rsid w:val="00667063"/>
    <w:rsid w:val="0066711F"/>
    <w:rsid w:val="0066713A"/>
    <w:rsid w:val="00667190"/>
    <w:rsid w:val="006671EC"/>
    <w:rsid w:val="00667205"/>
    <w:rsid w:val="00667312"/>
    <w:rsid w:val="00667402"/>
    <w:rsid w:val="0066755E"/>
    <w:rsid w:val="0066774B"/>
    <w:rsid w:val="006678DA"/>
    <w:rsid w:val="00667A6D"/>
    <w:rsid w:val="00667A76"/>
    <w:rsid w:val="00667BAA"/>
    <w:rsid w:val="00667C01"/>
    <w:rsid w:val="00667C2B"/>
    <w:rsid w:val="006700CC"/>
    <w:rsid w:val="00670470"/>
    <w:rsid w:val="006704B5"/>
    <w:rsid w:val="00670537"/>
    <w:rsid w:val="0067053C"/>
    <w:rsid w:val="0067067F"/>
    <w:rsid w:val="006708ED"/>
    <w:rsid w:val="00670BC5"/>
    <w:rsid w:val="00670D59"/>
    <w:rsid w:val="00670E97"/>
    <w:rsid w:val="00670ED4"/>
    <w:rsid w:val="00671317"/>
    <w:rsid w:val="00671367"/>
    <w:rsid w:val="006713DB"/>
    <w:rsid w:val="0067144D"/>
    <w:rsid w:val="0067151F"/>
    <w:rsid w:val="0067160A"/>
    <w:rsid w:val="00671699"/>
    <w:rsid w:val="006716E2"/>
    <w:rsid w:val="0067198C"/>
    <w:rsid w:val="00671A1B"/>
    <w:rsid w:val="00671A5A"/>
    <w:rsid w:val="00671BA6"/>
    <w:rsid w:val="00671D92"/>
    <w:rsid w:val="00671DEE"/>
    <w:rsid w:val="00671E00"/>
    <w:rsid w:val="00671E4D"/>
    <w:rsid w:val="00671EF3"/>
    <w:rsid w:val="00671F0D"/>
    <w:rsid w:val="00672281"/>
    <w:rsid w:val="006723AD"/>
    <w:rsid w:val="00672435"/>
    <w:rsid w:val="00672519"/>
    <w:rsid w:val="0067264A"/>
    <w:rsid w:val="006726DB"/>
    <w:rsid w:val="0067274A"/>
    <w:rsid w:val="00672832"/>
    <w:rsid w:val="00672835"/>
    <w:rsid w:val="00672B1D"/>
    <w:rsid w:val="00672BCE"/>
    <w:rsid w:val="00672BDB"/>
    <w:rsid w:val="00672CFD"/>
    <w:rsid w:val="00672D6C"/>
    <w:rsid w:val="00672D82"/>
    <w:rsid w:val="00672E6C"/>
    <w:rsid w:val="0067300E"/>
    <w:rsid w:val="00673033"/>
    <w:rsid w:val="00673098"/>
    <w:rsid w:val="00673191"/>
    <w:rsid w:val="006731B4"/>
    <w:rsid w:val="0067326F"/>
    <w:rsid w:val="006732CA"/>
    <w:rsid w:val="00673363"/>
    <w:rsid w:val="00673395"/>
    <w:rsid w:val="006734CC"/>
    <w:rsid w:val="006734D7"/>
    <w:rsid w:val="00673555"/>
    <w:rsid w:val="00673720"/>
    <w:rsid w:val="006738D4"/>
    <w:rsid w:val="00673A6F"/>
    <w:rsid w:val="00673BDE"/>
    <w:rsid w:val="00673C35"/>
    <w:rsid w:val="00673C5C"/>
    <w:rsid w:val="00673C88"/>
    <w:rsid w:val="00673DE5"/>
    <w:rsid w:val="0067413E"/>
    <w:rsid w:val="006741EF"/>
    <w:rsid w:val="006741F9"/>
    <w:rsid w:val="00674329"/>
    <w:rsid w:val="00674429"/>
    <w:rsid w:val="006744BD"/>
    <w:rsid w:val="0067462D"/>
    <w:rsid w:val="00674769"/>
    <w:rsid w:val="00674803"/>
    <w:rsid w:val="00674843"/>
    <w:rsid w:val="006748D7"/>
    <w:rsid w:val="0067498B"/>
    <w:rsid w:val="00674A34"/>
    <w:rsid w:val="00674A44"/>
    <w:rsid w:val="00674AE3"/>
    <w:rsid w:val="00674B46"/>
    <w:rsid w:val="00674CE7"/>
    <w:rsid w:val="00674F8C"/>
    <w:rsid w:val="00674FA3"/>
    <w:rsid w:val="00675148"/>
    <w:rsid w:val="00675191"/>
    <w:rsid w:val="006752B3"/>
    <w:rsid w:val="0067532F"/>
    <w:rsid w:val="0067537C"/>
    <w:rsid w:val="006753F0"/>
    <w:rsid w:val="006754D7"/>
    <w:rsid w:val="0067550C"/>
    <w:rsid w:val="0067555F"/>
    <w:rsid w:val="00675609"/>
    <w:rsid w:val="006756B5"/>
    <w:rsid w:val="006756F2"/>
    <w:rsid w:val="0067573D"/>
    <w:rsid w:val="006757B1"/>
    <w:rsid w:val="00675954"/>
    <w:rsid w:val="00675A33"/>
    <w:rsid w:val="00675A79"/>
    <w:rsid w:val="00675D80"/>
    <w:rsid w:val="00675D8A"/>
    <w:rsid w:val="00675E95"/>
    <w:rsid w:val="00676016"/>
    <w:rsid w:val="006761B7"/>
    <w:rsid w:val="006761B9"/>
    <w:rsid w:val="006762EA"/>
    <w:rsid w:val="0067633D"/>
    <w:rsid w:val="006763FC"/>
    <w:rsid w:val="00676437"/>
    <w:rsid w:val="006764C3"/>
    <w:rsid w:val="00676596"/>
    <w:rsid w:val="0067663C"/>
    <w:rsid w:val="00676864"/>
    <w:rsid w:val="0067692C"/>
    <w:rsid w:val="006769F0"/>
    <w:rsid w:val="006769F9"/>
    <w:rsid w:val="00676B9D"/>
    <w:rsid w:val="00676C75"/>
    <w:rsid w:val="00676CE4"/>
    <w:rsid w:val="00676D24"/>
    <w:rsid w:val="00676E00"/>
    <w:rsid w:val="00676E38"/>
    <w:rsid w:val="00676EA1"/>
    <w:rsid w:val="00676EDE"/>
    <w:rsid w:val="00676FDC"/>
    <w:rsid w:val="00677007"/>
    <w:rsid w:val="0067700D"/>
    <w:rsid w:val="006770D8"/>
    <w:rsid w:val="00677175"/>
    <w:rsid w:val="006771DE"/>
    <w:rsid w:val="00677397"/>
    <w:rsid w:val="006773A9"/>
    <w:rsid w:val="006773CD"/>
    <w:rsid w:val="006773FC"/>
    <w:rsid w:val="006774BA"/>
    <w:rsid w:val="00677674"/>
    <w:rsid w:val="006776AB"/>
    <w:rsid w:val="00677712"/>
    <w:rsid w:val="006778E8"/>
    <w:rsid w:val="0067790D"/>
    <w:rsid w:val="0067795E"/>
    <w:rsid w:val="006779DE"/>
    <w:rsid w:val="006779F7"/>
    <w:rsid w:val="00677A5A"/>
    <w:rsid w:val="00677AEA"/>
    <w:rsid w:val="00677B34"/>
    <w:rsid w:val="00677C71"/>
    <w:rsid w:val="00677DF2"/>
    <w:rsid w:val="00677FFC"/>
    <w:rsid w:val="0068017D"/>
    <w:rsid w:val="00680208"/>
    <w:rsid w:val="0068065F"/>
    <w:rsid w:val="0068067C"/>
    <w:rsid w:val="006806D1"/>
    <w:rsid w:val="00680767"/>
    <w:rsid w:val="00680909"/>
    <w:rsid w:val="0068091B"/>
    <w:rsid w:val="0068093C"/>
    <w:rsid w:val="00680A05"/>
    <w:rsid w:val="00680A51"/>
    <w:rsid w:val="00680AA3"/>
    <w:rsid w:val="00680ABC"/>
    <w:rsid w:val="00680B25"/>
    <w:rsid w:val="00680B4E"/>
    <w:rsid w:val="00680C45"/>
    <w:rsid w:val="00680C70"/>
    <w:rsid w:val="00680FA2"/>
    <w:rsid w:val="0068100C"/>
    <w:rsid w:val="0068120F"/>
    <w:rsid w:val="006812A7"/>
    <w:rsid w:val="006812EE"/>
    <w:rsid w:val="00681393"/>
    <w:rsid w:val="00681421"/>
    <w:rsid w:val="00681428"/>
    <w:rsid w:val="00681701"/>
    <w:rsid w:val="006817DA"/>
    <w:rsid w:val="0068188A"/>
    <w:rsid w:val="006818DC"/>
    <w:rsid w:val="00681918"/>
    <w:rsid w:val="00681939"/>
    <w:rsid w:val="0068199A"/>
    <w:rsid w:val="00681A34"/>
    <w:rsid w:val="00681A8C"/>
    <w:rsid w:val="00681CE3"/>
    <w:rsid w:val="00681D6E"/>
    <w:rsid w:val="00681E69"/>
    <w:rsid w:val="00681F93"/>
    <w:rsid w:val="0068202B"/>
    <w:rsid w:val="0068203C"/>
    <w:rsid w:val="0068213B"/>
    <w:rsid w:val="006821D1"/>
    <w:rsid w:val="006821DC"/>
    <w:rsid w:val="006824B6"/>
    <w:rsid w:val="006824CF"/>
    <w:rsid w:val="0068262F"/>
    <w:rsid w:val="00682753"/>
    <w:rsid w:val="0068284A"/>
    <w:rsid w:val="00682AAC"/>
    <w:rsid w:val="00682B28"/>
    <w:rsid w:val="00682D7D"/>
    <w:rsid w:val="00682EF8"/>
    <w:rsid w:val="00682F43"/>
    <w:rsid w:val="00682FAE"/>
    <w:rsid w:val="00683069"/>
    <w:rsid w:val="0068306B"/>
    <w:rsid w:val="00683184"/>
    <w:rsid w:val="0068324F"/>
    <w:rsid w:val="00683258"/>
    <w:rsid w:val="00683276"/>
    <w:rsid w:val="006832C6"/>
    <w:rsid w:val="00683356"/>
    <w:rsid w:val="006833B6"/>
    <w:rsid w:val="006838FB"/>
    <w:rsid w:val="0068397D"/>
    <w:rsid w:val="006839C2"/>
    <w:rsid w:val="00683A88"/>
    <w:rsid w:val="00683C0B"/>
    <w:rsid w:val="00683C1E"/>
    <w:rsid w:val="00683D32"/>
    <w:rsid w:val="00683E13"/>
    <w:rsid w:val="00683E8F"/>
    <w:rsid w:val="00683FDC"/>
    <w:rsid w:val="0068407B"/>
    <w:rsid w:val="00684083"/>
    <w:rsid w:val="006842EC"/>
    <w:rsid w:val="0068440F"/>
    <w:rsid w:val="00684623"/>
    <w:rsid w:val="0068472A"/>
    <w:rsid w:val="0068480E"/>
    <w:rsid w:val="0068483E"/>
    <w:rsid w:val="006849A2"/>
    <w:rsid w:val="006849DF"/>
    <w:rsid w:val="00684D1A"/>
    <w:rsid w:val="00684DBB"/>
    <w:rsid w:val="00684EBA"/>
    <w:rsid w:val="00684F48"/>
    <w:rsid w:val="00684F83"/>
    <w:rsid w:val="006850EE"/>
    <w:rsid w:val="006851DD"/>
    <w:rsid w:val="0068546C"/>
    <w:rsid w:val="0068546D"/>
    <w:rsid w:val="00685490"/>
    <w:rsid w:val="00685493"/>
    <w:rsid w:val="0068557D"/>
    <w:rsid w:val="0068562F"/>
    <w:rsid w:val="0068577D"/>
    <w:rsid w:val="006857F1"/>
    <w:rsid w:val="006859EC"/>
    <w:rsid w:val="00685A6A"/>
    <w:rsid w:val="00685B40"/>
    <w:rsid w:val="00685B57"/>
    <w:rsid w:val="00685B74"/>
    <w:rsid w:val="00685BBF"/>
    <w:rsid w:val="00685BE0"/>
    <w:rsid w:val="00685C8C"/>
    <w:rsid w:val="00685E17"/>
    <w:rsid w:val="00685EB5"/>
    <w:rsid w:val="00685F4D"/>
    <w:rsid w:val="00685F7B"/>
    <w:rsid w:val="00685F9B"/>
    <w:rsid w:val="00685FEB"/>
    <w:rsid w:val="00686051"/>
    <w:rsid w:val="00686117"/>
    <w:rsid w:val="00686177"/>
    <w:rsid w:val="00686198"/>
    <w:rsid w:val="00686271"/>
    <w:rsid w:val="0068629F"/>
    <w:rsid w:val="006862F1"/>
    <w:rsid w:val="006863CC"/>
    <w:rsid w:val="006864CD"/>
    <w:rsid w:val="0068651D"/>
    <w:rsid w:val="00686599"/>
    <w:rsid w:val="006865A6"/>
    <w:rsid w:val="006865C4"/>
    <w:rsid w:val="00686666"/>
    <w:rsid w:val="006866C8"/>
    <w:rsid w:val="0068672D"/>
    <w:rsid w:val="00686739"/>
    <w:rsid w:val="0068674C"/>
    <w:rsid w:val="006868DC"/>
    <w:rsid w:val="00686971"/>
    <w:rsid w:val="006869D5"/>
    <w:rsid w:val="00686A5A"/>
    <w:rsid w:val="00686B25"/>
    <w:rsid w:val="00686D57"/>
    <w:rsid w:val="00686E05"/>
    <w:rsid w:val="00686F33"/>
    <w:rsid w:val="00686F5E"/>
    <w:rsid w:val="00687191"/>
    <w:rsid w:val="006871DB"/>
    <w:rsid w:val="006871F9"/>
    <w:rsid w:val="00687327"/>
    <w:rsid w:val="006873C2"/>
    <w:rsid w:val="006875B3"/>
    <w:rsid w:val="0068761C"/>
    <w:rsid w:val="0068770A"/>
    <w:rsid w:val="0068772D"/>
    <w:rsid w:val="00687814"/>
    <w:rsid w:val="00687967"/>
    <w:rsid w:val="00687A1E"/>
    <w:rsid w:val="00687B3D"/>
    <w:rsid w:val="00687BD8"/>
    <w:rsid w:val="00687C52"/>
    <w:rsid w:val="00687CE6"/>
    <w:rsid w:val="00687E37"/>
    <w:rsid w:val="00687F40"/>
    <w:rsid w:val="00687F5A"/>
    <w:rsid w:val="00690182"/>
    <w:rsid w:val="0069024D"/>
    <w:rsid w:val="00690401"/>
    <w:rsid w:val="006905A4"/>
    <w:rsid w:val="00690625"/>
    <w:rsid w:val="006906F4"/>
    <w:rsid w:val="00690878"/>
    <w:rsid w:val="0069092C"/>
    <w:rsid w:val="006909FB"/>
    <w:rsid w:val="00690B6E"/>
    <w:rsid w:val="00690BC9"/>
    <w:rsid w:val="00690CCE"/>
    <w:rsid w:val="00690CFC"/>
    <w:rsid w:val="00690D9D"/>
    <w:rsid w:val="00690F1F"/>
    <w:rsid w:val="00690FC3"/>
    <w:rsid w:val="00691071"/>
    <w:rsid w:val="00691099"/>
    <w:rsid w:val="00691104"/>
    <w:rsid w:val="006911A3"/>
    <w:rsid w:val="00691211"/>
    <w:rsid w:val="006913C9"/>
    <w:rsid w:val="0069153C"/>
    <w:rsid w:val="006915DC"/>
    <w:rsid w:val="006915E5"/>
    <w:rsid w:val="00691663"/>
    <w:rsid w:val="006917A9"/>
    <w:rsid w:val="00691836"/>
    <w:rsid w:val="00691867"/>
    <w:rsid w:val="00691980"/>
    <w:rsid w:val="006919A2"/>
    <w:rsid w:val="006919CE"/>
    <w:rsid w:val="00691A67"/>
    <w:rsid w:val="00691A9B"/>
    <w:rsid w:val="00691AA2"/>
    <w:rsid w:val="00691B92"/>
    <w:rsid w:val="00691D68"/>
    <w:rsid w:val="00691E60"/>
    <w:rsid w:val="00691E68"/>
    <w:rsid w:val="00691ED0"/>
    <w:rsid w:val="00691ED9"/>
    <w:rsid w:val="00691F1C"/>
    <w:rsid w:val="00691F9A"/>
    <w:rsid w:val="00691FBA"/>
    <w:rsid w:val="00691FDE"/>
    <w:rsid w:val="0069209D"/>
    <w:rsid w:val="006922CC"/>
    <w:rsid w:val="006922E9"/>
    <w:rsid w:val="0069235F"/>
    <w:rsid w:val="00692361"/>
    <w:rsid w:val="006923D1"/>
    <w:rsid w:val="00692496"/>
    <w:rsid w:val="006924AB"/>
    <w:rsid w:val="006924E1"/>
    <w:rsid w:val="0069250D"/>
    <w:rsid w:val="006925B4"/>
    <w:rsid w:val="006925D8"/>
    <w:rsid w:val="006928D4"/>
    <w:rsid w:val="00692B9D"/>
    <w:rsid w:val="00692BD7"/>
    <w:rsid w:val="00692E88"/>
    <w:rsid w:val="00692EC1"/>
    <w:rsid w:val="00692EDC"/>
    <w:rsid w:val="00692EEA"/>
    <w:rsid w:val="00692F26"/>
    <w:rsid w:val="00692F78"/>
    <w:rsid w:val="00692F98"/>
    <w:rsid w:val="0069305A"/>
    <w:rsid w:val="006930E7"/>
    <w:rsid w:val="00693118"/>
    <w:rsid w:val="00693211"/>
    <w:rsid w:val="0069324C"/>
    <w:rsid w:val="00693415"/>
    <w:rsid w:val="0069343B"/>
    <w:rsid w:val="006934A5"/>
    <w:rsid w:val="0069365B"/>
    <w:rsid w:val="006936B0"/>
    <w:rsid w:val="00693936"/>
    <w:rsid w:val="006939E6"/>
    <w:rsid w:val="00693B01"/>
    <w:rsid w:val="00693BE8"/>
    <w:rsid w:val="00693CD1"/>
    <w:rsid w:val="00693E8C"/>
    <w:rsid w:val="00693FD2"/>
    <w:rsid w:val="006940FF"/>
    <w:rsid w:val="0069410A"/>
    <w:rsid w:val="0069421F"/>
    <w:rsid w:val="00694269"/>
    <w:rsid w:val="00694277"/>
    <w:rsid w:val="0069452C"/>
    <w:rsid w:val="006949AC"/>
    <w:rsid w:val="00694A04"/>
    <w:rsid w:val="00694BEA"/>
    <w:rsid w:val="00694CC9"/>
    <w:rsid w:val="00694CEF"/>
    <w:rsid w:val="00694D0C"/>
    <w:rsid w:val="00694D44"/>
    <w:rsid w:val="00694D67"/>
    <w:rsid w:val="00694D82"/>
    <w:rsid w:val="00694DA5"/>
    <w:rsid w:val="00695125"/>
    <w:rsid w:val="00695402"/>
    <w:rsid w:val="006954DA"/>
    <w:rsid w:val="00695580"/>
    <w:rsid w:val="00695582"/>
    <w:rsid w:val="00695676"/>
    <w:rsid w:val="006956E3"/>
    <w:rsid w:val="0069570C"/>
    <w:rsid w:val="00695877"/>
    <w:rsid w:val="006959DF"/>
    <w:rsid w:val="006959F2"/>
    <w:rsid w:val="00695C86"/>
    <w:rsid w:val="00695D7B"/>
    <w:rsid w:val="00695DA1"/>
    <w:rsid w:val="00695EC0"/>
    <w:rsid w:val="00696147"/>
    <w:rsid w:val="0069616C"/>
    <w:rsid w:val="0069618C"/>
    <w:rsid w:val="0069632F"/>
    <w:rsid w:val="00696382"/>
    <w:rsid w:val="006963D5"/>
    <w:rsid w:val="006964A9"/>
    <w:rsid w:val="006964DD"/>
    <w:rsid w:val="00696522"/>
    <w:rsid w:val="006965AF"/>
    <w:rsid w:val="006965FC"/>
    <w:rsid w:val="0069681E"/>
    <w:rsid w:val="00696822"/>
    <w:rsid w:val="006968A3"/>
    <w:rsid w:val="00696912"/>
    <w:rsid w:val="00696A0B"/>
    <w:rsid w:val="00696B10"/>
    <w:rsid w:val="00696C63"/>
    <w:rsid w:val="00696D34"/>
    <w:rsid w:val="00696E40"/>
    <w:rsid w:val="00696F11"/>
    <w:rsid w:val="00696F36"/>
    <w:rsid w:val="00696F8E"/>
    <w:rsid w:val="006970C8"/>
    <w:rsid w:val="0069711F"/>
    <w:rsid w:val="00697157"/>
    <w:rsid w:val="0069718D"/>
    <w:rsid w:val="006971D1"/>
    <w:rsid w:val="0069724B"/>
    <w:rsid w:val="00697256"/>
    <w:rsid w:val="00697276"/>
    <w:rsid w:val="00697285"/>
    <w:rsid w:val="00697307"/>
    <w:rsid w:val="006973CE"/>
    <w:rsid w:val="006975EE"/>
    <w:rsid w:val="006977AE"/>
    <w:rsid w:val="00697862"/>
    <w:rsid w:val="006978AC"/>
    <w:rsid w:val="00697979"/>
    <w:rsid w:val="00697ACC"/>
    <w:rsid w:val="00697C93"/>
    <w:rsid w:val="00697CBA"/>
    <w:rsid w:val="006A023C"/>
    <w:rsid w:val="006A02FD"/>
    <w:rsid w:val="006A033C"/>
    <w:rsid w:val="006A04CA"/>
    <w:rsid w:val="006A04CD"/>
    <w:rsid w:val="006A0672"/>
    <w:rsid w:val="006A070D"/>
    <w:rsid w:val="006A0739"/>
    <w:rsid w:val="006A0761"/>
    <w:rsid w:val="006A078D"/>
    <w:rsid w:val="006A07DE"/>
    <w:rsid w:val="006A081B"/>
    <w:rsid w:val="006A084C"/>
    <w:rsid w:val="006A0861"/>
    <w:rsid w:val="006A08AC"/>
    <w:rsid w:val="006A0911"/>
    <w:rsid w:val="006A0A34"/>
    <w:rsid w:val="006A0AAF"/>
    <w:rsid w:val="006A0B08"/>
    <w:rsid w:val="006A0DA0"/>
    <w:rsid w:val="006A0EE9"/>
    <w:rsid w:val="006A0F6C"/>
    <w:rsid w:val="006A1070"/>
    <w:rsid w:val="006A113A"/>
    <w:rsid w:val="006A117D"/>
    <w:rsid w:val="006A12D4"/>
    <w:rsid w:val="006A145E"/>
    <w:rsid w:val="006A1480"/>
    <w:rsid w:val="006A155F"/>
    <w:rsid w:val="006A15C0"/>
    <w:rsid w:val="006A1657"/>
    <w:rsid w:val="006A17C3"/>
    <w:rsid w:val="006A184D"/>
    <w:rsid w:val="006A1952"/>
    <w:rsid w:val="006A1AA9"/>
    <w:rsid w:val="006A1B7E"/>
    <w:rsid w:val="006A1B87"/>
    <w:rsid w:val="006A1C81"/>
    <w:rsid w:val="006A1C85"/>
    <w:rsid w:val="006A1CC0"/>
    <w:rsid w:val="006A1CD2"/>
    <w:rsid w:val="006A1DE2"/>
    <w:rsid w:val="006A1DE6"/>
    <w:rsid w:val="006A1E2C"/>
    <w:rsid w:val="006A1E3F"/>
    <w:rsid w:val="006A1F8D"/>
    <w:rsid w:val="006A2010"/>
    <w:rsid w:val="006A2084"/>
    <w:rsid w:val="006A219C"/>
    <w:rsid w:val="006A22F6"/>
    <w:rsid w:val="006A2344"/>
    <w:rsid w:val="006A23AE"/>
    <w:rsid w:val="006A23D6"/>
    <w:rsid w:val="006A241D"/>
    <w:rsid w:val="006A25A3"/>
    <w:rsid w:val="006A261C"/>
    <w:rsid w:val="006A262A"/>
    <w:rsid w:val="006A2662"/>
    <w:rsid w:val="006A2858"/>
    <w:rsid w:val="006A289B"/>
    <w:rsid w:val="006A2A84"/>
    <w:rsid w:val="006A2C62"/>
    <w:rsid w:val="006A2CEC"/>
    <w:rsid w:val="006A2D91"/>
    <w:rsid w:val="006A2E8D"/>
    <w:rsid w:val="006A30B2"/>
    <w:rsid w:val="006A324C"/>
    <w:rsid w:val="006A33BE"/>
    <w:rsid w:val="006A3427"/>
    <w:rsid w:val="006A3428"/>
    <w:rsid w:val="006A3467"/>
    <w:rsid w:val="006A356D"/>
    <w:rsid w:val="006A366E"/>
    <w:rsid w:val="006A3716"/>
    <w:rsid w:val="006A377E"/>
    <w:rsid w:val="006A387E"/>
    <w:rsid w:val="006A3D1D"/>
    <w:rsid w:val="006A3D6B"/>
    <w:rsid w:val="006A3E38"/>
    <w:rsid w:val="006A3F1D"/>
    <w:rsid w:val="006A3F84"/>
    <w:rsid w:val="006A3FC9"/>
    <w:rsid w:val="006A409A"/>
    <w:rsid w:val="006A40CC"/>
    <w:rsid w:val="006A4286"/>
    <w:rsid w:val="006A4378"/>
    <w:rsid w:val="006A43AA"/>
    <w:rsid w:val="006A4446"/>
    <w:rsid w:val="006A444D"/>
    <w:rsid w:val="006A4497"/>
    <w:rsid w:val="006A44DB"/>
    <w:rsid w:val="006A4588"/>
    <w:rsid w:val="006A4660"/>
    <w:rsid w:val="006A46A2"/>
    <w:rsid w:val="006A4708"/>
    <w:rsid w:val="006A4804"/>
    <w:rsid w:val="006A486B"/>
    <w:rsid w:val="006A4982"/>
    <w:rsid w:val="006A4CF4"/>
    <w:rsid w:val="006A4DA1"/>
    <w:rsid w:val="006A4DCB"/>
    <w:rsid w:val="006A4E23"/>
    <w:rsid w:val="006A4E4E"/>
    <w:rsid w:val="006A5019"/>
    <w:rsid w:val="006A52A7"/>
    <w:rsid w:val="006A52B0"/>
    <w:rsid w:val="006A5392"/>
    <w:rsid w:val="006A539F"/>
    <w:rsid w:val="006A5508"/>
    <w:rsid w:val="006A5573"/>
    <w:rsid w:val="006A59D3"/>
    <w:rsid w:val="006A5A2B"/>
    <w:rsid w:val="006A5A33"/>
    <w:rsid w:val="006A5A94"/>
    <w:rsid w:val="006A5BA6"/>
    <w:rsid w:val="006A5CEB"/>
    <w:rsid w:val="006A5D25"/>
    <w:rsid w:val="006A5F22"/>
    <w:rsid w:val="006A601C"/>
    <w:rsid w:val="006A60BB"/>
    <w:rsid w:val="006A61C9"/>
    <w:rsid w:val="006A61F7"/>
    <w:rsid w:val="006A620D"/>
    <w:rsid w:val="006A6305"/>
    <w:rsid w:val="006A63F7"/>
    <w:rsid w:val="006A6411"/>
    <w:rsid w:val="006A643E"/>
    <w:rsid w:val="006A649F"/>
    <w:rsid w:val="006A6637"/>
    <w:rsid w:val="006A6641"/>
    <w:rsid w:val="006A6657"/>
    <w:rsid w:val="006A6867"/>
    <w:rsid w:val="006A6A13"/>
    <w:rsid w:val="006A6A53"/>
    <w:rsid w:val="006A6A75"/>
    <w:rsid w:val="006A6B2A"/>
    <w:rsid w:val="006A6C15"/>
    <w:rsid w:val="006A6D2A"/>
    <w:rsid w:val="006A6EA9"/>
    <w:rsid w:val="006A7169"/>
    <w:rsid w:val="006A72EC"/>
    <w:rsid w:val="006A735B"/>
    <w:rsid w:val="006A7392"/>
    <w:rsid w:val="006A74FD"/>
    <w:rsid w:val="006A7526"/>
    <w:rsid w:val="006A7627"/>
    <w:rsid w:val="006A76CD"/>
    <w:rsid w:val="006A79CE"/>
    <w:rsid w:val="006A7AD6"/>
    <w:rsid w:val="006A7BD3"/>
    <w:rsid w:val="006A7BE2"/>
    <w:rsid w:val="006A7C4D"/>
    <w:rsid w:val="006A7DB2"/>
    <w:rsid w:val="006A7F2A"/>
    <w:rsid w:val="006A7F91"/>
    <w:rsid w:val="006A7F9E"/>
    <w:rsid w:val="006B0006"/>
    <w:rsid w:val="006B01BF"/>
    <w:rsid w:val="006B01D0"/>
    <w:rsid w:val="006B02A5"/>
    <w:rsid w:val="006B03B7"/>
    <w:rsid w:val="006B040C"/>
    <w:rsid w:val="006B0443"/>
    <w:rsid w:val="006B0578"/>
    <w:rsid w:val="006B05F7"/>
    <w:rsid w:val="006B07ED"/>
    <w:rsid w:val="006B085A"/>
    <w:rsid w:val="006B097C"/>
    <w:rsid w:val="006B09AB"/>
    <w:rsid w:val="006B0A15"/>
    <w:rsid w:val="006B0B8D"/>
    <w:rsid w:val="006B0BCC"/>
    <w:rsid w:val="006B0C77"/>
    <w:rsid w:val="006B0E6D"/>
    <w:rsid w:val="006B0FBA"/>
    <w:rsid w:val="006B101F"/>
    <w:rsid w:val="006B10EA"/>
    <w:rsid w:val="006B1176"/>
    <w:rsid w:val="006B12E8"/>
    <w:rsid w:val="006B13CE"/>
    <w:rsid w:val="006B14A7"/>
    <w:rsid w:val="006B14EA"/>
    <w:rsid w:val="006B15BC"/>
    <w:rsid w:val="006B169D"/>
    <w:rsid w:val="006B16CE"/>
    <w:rsid w:val="006B1718"/>
    <w:rsid w:val="006B172E"/>
    <w:rsid w:val="006B1776"/>
    <w:rsid w:val="006B1793"/>
    <w:rsid w:val="006B187A"/>
    <w:rsid w:val="006B18A8"/>
    <w:rsid w:val="006B195E"/>
    <w:rsid w:val="006B1CA2"/>
    <w:rsid w:val="006B1DBC"/>
    <w:rsid w:val="006B1EA2"/>
    <w:rsid w:val="006B1F21"/>
    <w:rsid w:val="006B1F50"/>
    <w:rsid w:val="006B2088"/>
    <w:rsid w:val="006B20B9"/>
    <w:rsid w:val="006B22A0"/>
    <w:rsid w:val="006B22A9"/>
    <w:rsid w:val="006B22F5"/>
    <w:rsid w:val="006B2568"/>
    <w:rsid w:val="006B2582"/>
    <w:rsid w:val="006B25A4"/>
    <w:rsid w:val="006B25C0"/>
    <w:rsid w:val="006B2892"/>
    <w:rsid w:val="006B292F"/>
    <w:rsid w:val="006B2970"/>
    <w:rsid w:val="006B29A1"/>
    <w:rsid w:val="006B29AE"/>
    <w:rsid w:val="006B2BA5"/>
    <w:rsid w:val="006B2C67"/>
    <w:rsid w:val="006B2EB4"/>
    <w:rsid w:val="006B2EED"/>
    <w:rsid w:val="006B2F26"/>
    <w:rsid w:val="006B304D"/>
    <w:rsid w:val="006B3080"/>
    <w:rsid w:val="006B30C0"/>
    <w:rsid w:val="006B3110"/>
    <w:rsid w:val="006B3185"/>
    <w:rsid w:val="006B31FB"/>
    <w:rsid w:val="006B3464"/>
    <w:rsid w:val="006B35D3"/>
    <w:rsid w:val="006B36F1"/>
    <w:rsid w:val="006B3836"/>
    <w:rsid w:val="006B39B4"/>
    <w:rsid w:val="006B3A96"/>
    <w:rsid w:val="006B3B83"/>
    <w:rsid w:val="006B3C53"/>
    <w:rsid w:val="006B3E35"/>
    <w:rsid w:val="006B3F6E"/>
    <w:rsid w:val="006B3F79"/>
    <w:rsid w:val="006B3FE0"/>
    <w:rsid w:val="006B43C2"/>
    <w:rsid w:val="006B43FE"/>
    <w:rsid w:val="006B471B"/>
    <w:rsid w:val="006B48C4"/>
    <w:rsid w:val="006B48D8"/>
    <w:rsid w:val="006B4925"/>
    <w:rsid w:val="006B4A83"/>
    <w:rsid w:val="006B4CDC"/>
    <w:rsid w:val="006B4DFA"/>
    <w:rsid w:val="006B4F92"/>
    <w:rsid w:val="006B509B"/>
    <w:rsid w:val="006B51AE"/>
    <w:rsid w:val="006B51CA"/>
    <w:rsid w:val="006B5267"/>
    <w:rsid w:val="006B5393"/>
    <w:rsid w:val="006B5411"/>
    <w:rsid w:val="006B569E"/>
    <w:rsid w:val="006B56EC"/>
    <w:rsid w:val="006B5705"/>
    <w:rsid w:val="006B5733"/>
    <w:rsid w:val="006B57D9"/>
    <w:rsid w:val="006B591E"/>
    <w:rsid w:val="006B5B69"/>
    <w:rsid w:val="006B5C15"/>
    <w:rsid w:val="006B5CB0"/>
    <w:rsid w:val="006B5F94"/>
    <w:rsid w:val="006B5FC2"/>
    <w:rsid w:val="006B604D"/>
    <w:rsid w:val="006B6109"/>
    <w:rsid w:val="006B6189"/>
    <w:rsid w:val="006B624B"/>
    <w:rsid w:val="006B62CD"/>
    <w:rsid w:val="006B6306"/>
    <w:rsid w:val="006B6370"/>
    <w:rsid w:val="006B63CD"/>
    <w:rsid w:val="006B6417"/>
    <w:rsid w:val="006B64C4"/>
    <w:rsid w:val="006B64E9"/>
    <w:rsid w:val="006B653D"/>
    <w:rsid w:val="006B662D"/>
    <w:rsid w:val="006B6640"/>
    <w:rsid w:val="006B6750"/>
    <w:rsid w:val="006B6809"/>
    <w:rsid w:val="006B6894"/>
    <w:rsid w:val="006B68F8"/>
    <w:rsid w:val="006B6965"/>
    <w:rsid w:val="006B6A63"/>
    <w:rsid w:val="006B6BF2"/>
    <w:rsid w:val="006B6D89"/>
    <w:rsid w:val="006B6EBD"/>
    <w:rsid w:val="006B6F0E"/>
    <w:rsid w:val="006B70F9"/>
    <w:rsid w:val="006B727D"/>
    <w:rsid w:val="006B739A"/>
    <w:rsid w:val="006B74F6"/>
    <w:rsid w:val="006B772C"/>
    <w:rsid w:val="006B77D5"/>
    <w:rsid w:val="006B79AA"/>
    <w:rsid w:val="006B7A45"/>
    <w:rsid w:val="006B7B66"/>
    <w:rsid w:val="006B7BA6"/>
    <w:rsid w:val="006B7CFD"/>
    <w:rsid w:val="006B7D2A"/>
    <w:rsid w:val="006B7DDF"/>
    <w:rsid w:val="006B7FD5"/>
    <w:rsid w:val="006C007D"/>
    <w:rsid w:val="006C01F5"/>
    <w:rsid w:val="006C0356"/>
    <w:rsid w:val="006C03DC"/>
    <w:rsid w:val="006C04A6"/>
    <w:rsid w:val="006C04DD"/>
    <w:rsid w:val="006C0525"/>
    <w:rsid w:val="006C05E0"/>
    <w:rsid w:val="006C084B"/>
    <w:rsid w:val="006C093E"/>
    <w:rsid w:val="006C09A5"/>
    <w:rsid w:val="006C0A42"/>
    <w:rsid w:val="006C0BA0"/>
    <w:rsid w:val="006C0D2D"/>
    <w:rsid w:val="006C0E1A"/>
    <w:rsid w:val="006C0E70"/>
    <w:rsid w:val="006C0EA3"/>
    <w:rsid w:val="006C0EA5"/>
    <w:rsid w:val="006C0EE5"/>
    <w:rsid w:val="006C0EFD"/>
    <w:rsid w:val="006C1143"/>
    <w:rsid w:val="006C1254"/>
    <w:rsid w:val="006C1411"/>
    <w:rsid w:val="006C1573"/>
    <w:rsid w:val="006C157F"/>
    <w:rsid w:val="006C15F7"/>
    <w:rsid w:val="006C1601"/>
    <w:rsid w:val="006C182E"/>
    <w:rsid w:val="006C18AD"/>
    <w:rsid w:val="006C1929"/>
    <w:rsid w:val="006C196C"/>
    <w:rsid w:val="006C1970"/>
    <w:rsid w:val="006C1981"/>
    <w:rsid w:val="006C1ADD"/>
    <w:rsid w:val="006C1B42"/>
    <w:rsid w:val="006C1B45"/>
    <w:rsid w:val="006C1B67"/>
    <w:rsid w:val="006C1BB5"/>
    <w:rsid w:val="006C1D16"/>
    <w:rsid w:val="006C1F2E"/>
    <w:rsid w:val="006C1FD7"/>
    <w:rsid w:val="006C2109"/>
    <w:rsid w:val="006C231C"/>
    <w:rsid w:val="006C233D"/>
    <w:rsid w:val="006C255B"/>
    <w:rsid w:val="006C274E"/>
    <w:rsid w:val="006C27F0"/>
    <w:rsid w:val="006C28A3"/>
    <w:rsid w:val="006C2907"/>
    <w:rsid w:val="006C29EA"/>
    <w:rsid w:val="006C2A6F"/>
    <w:rsid w:val="006C2C45"/>
    <w:rsid w:val="006C2C65"/>
    <w:rsid w:val="006C2CF2"/>
    <w:rsid w:val="006C2DEC"/>
    <w:rsid w:val="006C2FD9"/>
    <w:rsid w:val="006C30D1"/>
    <w:rsid w:val="006C314E"/>
    <w:rsid w:val="006C318B"/>
    <w:rsid w:val="006C33CB"/>
    <w:rsid w:val="006C340F"/>
    <w:rsid w:val="006C3525"/>
    <w:rsid w:val="006C36BB"/>
    <w:rsid w:val="006C37DA"/>
    <w:rsid w:val="006C39F9"/>
    <w:rsid w:val="006C3A31"/>
    <w:rsid w:val="006C3AD1"/>
    <w:rsid w:val="006C3B2A"/>
    <w:rsid w:val="006C3B36"/>
    <w:rsid w:val="006C3B6A"/>
    <w:rsid w:val="006C3C2B"/>
    <w:rsid w:val="006C3C6B"/>
    <w:rsid w:val="006C3C7A"/>
    <w:rsid w:val="006C3DD7"/>
    <w:rsid w:val="006C3E06"/>
    <w:rsid w:val="006C3FC6"/>
    <w:rsid w:val="006C405F"/>
    <w:rsid w:val="006C40FE"/>
    <w:rsid w:val="006C41B5"/>
    <w:rsid w:val="006C42BC"/>
    <w:rsid w:val="006C442A"/>
    <w:rsid w:val="006C44CC"/>
    <w:rsid w:val="006C44EA"/>
    <w:rsid w:val="006C4528"/>
    <w:rsid w:val="006C455B"/>
    <w:rsid w:val="006C45F0"/>
    <w:rsid w:val="006C4601"/>
    <w:rsid w:val="006C473A"/>
    <w:rsid w:val="006C47FD"/>
    <w:rsid w:val="006C4875"/>
    <w:rsid w:val="006C4883"/>
    <w:rsid w:val="006C48B5"/>
    <w:rsid w:val="006C4909"/>
    <w:rsid w:val="006C49AD"/>
    <w:rsid w:val="006C4C94"/>
    <w:rsid w:val="006C4D62"/>
    <w:rsid w:val="006C4FEF"/>
    <w:rsid w:val="006C5016"/>
    <w:rsid w:val="006C5106"/>
    <w:rsid w:val="006C5117"/>
    <w:rsid w:val="006C51AB"/>
    <w:rsid w:val="006C5208"/>
    <w:rsid w:val="006C52F4"/>
    <w:rsid w:val="006C53D1"/>
    <w:rsid w:val="006C5573"/>
    <w:rsid w:val="006C55F6"/>
    <w:rsid w:val="006C5629"/>
    <w:rsid w:val="006C587C"/>
    <w:rsid w:val="006C58AD"/>
    <w:rsid w:val="006C598B"/>
    <w:rsid w:val="006C5A6D"/>
    <w:rsid w:val="006C5A86"/>
    <w:rsid w:val="006C5B19"/>
    <w:rsid w:val="006C5BB4"/>
    <w:rsid w:val="006C5CCE"/>
    <w:rsid w:val="006C5D62"/>
    <w:rsid w:val="006C5E9D"/>
    <w:rsid w:val="006C5EE3"/>
    <w:rsid w:val="006C5F36"/>
    <w:rsid w:val="006C5F66"/>
    <w:rsid w:val="006C5F95"/>
    <w:rsid w:val="006C60B5"/>
    <w:rsid w:val="006C62E4"/>
    <w:rsid w:val="006C634F"/>
    <w:rsid w:val="006C64AC"/>
    <w:rsid w:val="006C65B7"/>
    <w:rsid w:val="006C65EE"/>
    <w:rsid w:val="006C6605"/>
    <w:rsid w:val="006C669F"/>
    <w:rsid w:val="006C68C8"/>
    <w:rsid w:val="006C690F"/>
    <w:rsid w:val="006C6B95"/>
    <w:rsid w:val="006C6C56"/>
    <w:rsid w:val="006C6DB5"/>
    <w:rsid w:val="006C6F62"/>
    <w:rsid w:val="006C6F86"/>
    <w:rsid w:val="006C7045"/>
    <w:rsid w:val="006C719D"/>
    <w:rsid w:val="006C726C"/>
    <w:rsid w:val="006C7330"/>
    <w:rsid w:val="006C741A"/>
    <w:rsid w:val="006C74C2"/>
    <w:rsid w:val="006C765D"/>
    <w:rsid w:val="006C7727"/>
    <w:rsid w:val="006C78A2"/>
    <w:rsid w:val="006C7A13"/>
    <w:rsid w:val="006C7A5D"/>
    <w:rsid w:val="006C7A89"/>
    <w:rsid w:val="006C7B33"/>
    <w:rsid w:val="006C7B9C"/>
    <w:rsid w:val="006C7C0C"/>
    <w:rsid w:val="006C7C64"/>
    <w:rsid w:val="006C7C92"/>
    <w:rsid w:val="006C7E04"/>
    <w:rsid w:val="006C7EB8"/>
    <w:rsid w:val="006D006F"/>
    <w:rsid w:val="006D00A0"/>
    <w:rsid w:val="006D015E"/>
    <w:rsid w:val="006D01D9"/>
    <w:rsid w:val="006D0246"/>
    <w:rsid w:val="006D02BC"/>
    <w:rsid w:val="006D0335"/>
    <w:rsid w:val="006D0386"/>
    <w:rsid w:val="006D05D6"/>
    <w:rsid w:val="006D061A"/>
    <w:rsid w:val="006D0784"/>
    <w:rsid w:val="006D0827"/>
    <w:rsid w:val="006D086F"/>
    <w:rsid w:val="006D0971"/>
    <w:rsid w:val="006D0A39"/>
    <w:rsid w:val="006D0B00"/>
    <w:rsid w:val="006D0B64"/>
    <w:rsid w:val="006D0DCB"/>
    <w:rsid w:val="006D0E4F"/>
    <w:rsid w:val="006D0FC1"/>
    <w:rsid w:val="006D100B"/>
    <w:rsid w:val="006D10CA"/>
    <w:rsid w:val="006D11B6"/>
    <w:rsid w:val="006D13FF"/>
    <w:rsid w:val="006D15B2"/>
    <w:rsid w:val="006D16F1"/>
    <w:rsid w:val="006D17CE"/>
    <w:rsid w:val="006D19C0"/>
    <w:rsid w:val="006D1C98"/>
    <w:rsid w:val="006D1D3E"/>
    <w:rsid w:val="006D1D70"/>
    <w:rsid w:val="006D1E2B"/>
    <w:rsid w:val="006D1ECE"/>
    <w:rsid w:val="006D1EE4"/>
    <w:rsid w:val="006D2105"/>
    <w:rsid w:val="006D236D"/>
    <w:rsid w:val="006D236E"/>
    <w:rsid w:val="006D23B2"/>
    <w:rsid w:val="006D24A0"/>
    <w:rsid w:val="006D270F"/>
    <w:rsid w:val="006D27B6"/>
    <w:rsid w:val="006D2A2D"/>
    <w:rsid w:val="006D2F5E"/>
    <w:rsid w:val="006D3386"/>
    <w:rsid w:val="006D350E"/>
    <w:rsid w:val="006D3654"/>
    <w:rsid w:val="006D372A"/>
    <w:rsid w:val="006D37A3"/>
    <w:rsid w:val="006D3816"/>
    <w:rsid w:val="006D3869"/>
    <w:rsid w:val="006D389A"/>
    <w:rsid w:val="006D38DD"/>
    <w:rsid w:val="006D3A9A"/>
    <w:rsid w:val="006D3BBF"/>
    <w:rsid w:val="006D3BE1"/>
    <w:rsid w:val="006D3C6D"/>
    <w:rsid w:val="006D3C8C"/>
    <w:rsid w:val="006D3DA6"/>
    <w:rsid w:val="006D3F17"/>
    <w:rsid w:val="006D3F6B"/>
    <w:rsid w:val="006D3FFB"/>
    <w:rsid w:val="006D400F"/>
    <w:rsid w:val="006D409E"/>
    <w:rsid w:val="006D413C"/>
    <w:rsid w:val="006D4310"/>
    <w:rsid w:val="006D434C"/>
    <w:rsid w:val="006D438E"/>
    <w:rsid w:val="006D4399"/>
    <w:rsid w:val="006D443E"/>
    <w:rsid w:val="006D4573"/>
    <w:rsid w:val="006D4582"/>
    <w:rsid w:val="006D45B1"/>
    <w:rsid w:val="006D4602"/>
    <w:rsid w:val="006D460A"/>
    <w:rsid w:val="006D4636"/>
    <w:rsid w:val="006D48C2"/>
    <w:rsid w:val="006D4955"/>
    <w:rsid w:val="006D4A29"/>
    <w:rsid w:val="006D4A5C"/>
    <w:rsid w:val="006D4C1A"/>
    <w:rsid w:val="006D4C63"/>
    <w:rsid w:val="006D4CAB"/>
    <w:rsid w:val="006D4E28"/>
    <w:rsid w:val="006D4E84"/>
    <w:rsid w:val="006D4F78"/>
    <w:rsid w:val="006D534D"/>
    <w:rsid w:val="006D546F"/>
    <w:rsid w:val="006D54C6"/>
    <w:rsid w:val="006D566E"/>
    <w:rsid w:val="006D5718"/>
    <w:rsid w:val="006D5733"/>
    <w:rsid w:val="006D5862"/>
    <w:rsid w:val="006D58B4"/>
    <w:rsid w:val="006D5930"/>
    <w:rsid w:val="006D5941"/>
    <w:rsid w:val="006D59ED"/>
    <w:rsid w:val="006D5A73"/>
    <w:rsid w:val="006D5B06"/>
    <w:rsid w:val="006D5B72"/>
    <w:rsid w:val="006D5BB4"/>
    <w:rsid w:val="006D5C50"/>
    <w:rsid w:val="006D5C63"/>
    <w:rsid w:val="006D5CCD"/>
    <w:rsid w:val="006D5CFB"/>
    <w:rsid w:val="006D5E8C"/>
    <w:rsid w:val="006D5F35"/>
    <w:rsid w:val="006D6092"/>
    <w:rsid w:val="006D6277"/>
    <w:rsid w:val="006D6279"/>
    <w:rsid w:val="006D646B"/>
    <w:rsid w:val="006D64FC"/>
    <w:rsid w:val="006D6557"/>
    <w:rsid w:val="006D6585"/>
    <w:rsid w:val="006D662F"/>
    <w:rsid w:val="006D6791"/>
    <w:rsid w:val="006D685F"/>
    <w:rsid w:val="006D690F"/>
    <w:rsid w:val="006D6994"/>
    <w:rsid w:val="006D6A9D"/>
    <w:rsid w:val="006D6B20"/>
    <w:rsid w:val="006D6BE3"/>
    <w:rsid w:val="006D6C61"/>
    <w:rsid w:val="006D6CC0"/>
    <w:rsid w:val="006D6D4E"/>
    <w:rsid w:val="006D6E8A"/>
    <w:rsid w:val="006D6FEA"/>
    <w:rsid w:val="006D7122"/>
    <w:rsid w:val="006D715C"/>
    <w:rsid w:val="006D725B"/>
    <w:rsid w:val="006D7297"/>
    <w:rsid w:val="006D72D5"/>
    <w:rsid w:val="006D72E9"/>
    <w:rsid w:val="006D73BF"/>
    <w:rsid w:val="006D7597"/>
    <w:rsid w:val="006D75DD"/>
    <w:rsid w:val="006D75E5"/>
    <w:rsid w:val="006D769D"/>
    <w:rsid w:val="006D7710"/>
    <w:rsid w:val="006D7742"/>
    <w:rsid w:val="006D79F7"/>
    <w:rsid w:val="006D7A45"/>
    <w:rsid w:val="006D7B14"/>
    <w:rsid w:val="006D7B44"/>
    <w:rsid w:val="006D7BC8"/>
    <w:rsid w:val="006D7C73"/>
    <w:rsid w:val="006D7DC3"/>
    <w:rsid w:val="006E009B"/>
    <w:rsid w:val="006E013F"/>
    <w:rsid w:val="006E0266"/>
    <w:rsid w:val="006E02B7"/>
    <w:rsid w:val="006E0428"/>
    <w:rsid w:val="006E0458"/>
    <w:rsid w:val="006E05B9"/>
    <w:rsid w:val="006E07CF"/>
    <w:rsid w:val="006E07EE"/>
    <w:rsid w:val="006E085F"/>
    <w:rsid w:val="006E0A1A"/>
    <w:rsid w:val="006E0C09"/>
    <w:rsid w:val="006E0D15"/>
    <w:rsid w:val="006E0F69"/>
    <w:rsid w:val="006E0F9A"/>
    <w:rsid w:val="006E1173"/>
    <w:rsid w:val="006E122A"/>
    <w:rsid w:val="006E1371"/>
    <w:rsid w:val="006E139B"/>
    <w:rsid w:val="006E1685"/>
    <w:rsid w:val="006E1686"/>
    <w:rsid w:val="006E16F4"/>
    <w:rsid w:val="006E17AD"/>
    <w:rsid w:val="006E17AF"/>
    <w:rsid w:val="006E1814"/>
    <w:rsid w:val="006E18FD"/>
    <w:rsid w:val="006E1A14"/>
    <w:rsid w:val="006E1ADD"/>
    <w:rsid w:val="006E1BCB"/>
    <w:rsid w:val="006E1DCE"/>
    <w:rsid w:val="006E1DFB"/>
    <w:rsid w:val="006E1EC5"/>
    <w:rsid w:val="006E20AA"/>
    <w:rsid w:val="006E20FA"/>
    <w:rsid w:val="006E21C7"/>
    <w:rsid w:val="006E225B"/>
    <w:rsid w:val="006E22C9"/>
    <w:rsid w:val="006E2300"/>
    <w:rsid w:val="006E2459"/>
    <w:rsid w:val="006E282E"/>
    <w:rsid w:val="006E2835"/>
    <w:rsid w:val="006E2843"/>
    <w:rsid w:val="006E2AA8"/>
    <w:rsid w:val="006E2AB1"/>
    <w:rsid w:val="006E2B15"/>
    <w:rsid w:val="006E2B5B"/>
    <w:rsid w:val="006E2D9A"/>
    <w:rsid w:val="006E2EBC"/>
    <w:rsid w:val="006E3009"/>
    <w:rsid w:val="006E300A"/>
    <w:rsid w:val="006E3094"/>
    <w:rsid w:val="006E309C"/>
    <w:rsid w:val="006E3103"/>
    <w:rsid w:val="006E3228"/>
    <w:rsid w:val="006E33A2"/>
    <w:rsid w:val="006E34FE"/>
    <w:rsid w:val="006E35C0"/>
    <w:rsid w:val="006E3764"/>
    <w:rsid w:val="006E38EE"/>
    <w:rsid w:val="006E391D"/>
    <w:rsid w:val="006E3A7A"/>
    <w:rsid w:val="006E3B7C"/>
    <w:rsid w:val="006E3BBA"/>
    <w:rsid w:val="006E3BF6"/>
    <w:rsid w:val="006E3E5F"/>
    <w:rsid w:val="006E3FA2"/>
    <w:rsid w:val="006E415C"/>
    <w:rsid w:val="006E4197"/>
    <w:rsid w:val="006E42AA"/>
    <w:rsid w:val="006E4305"/>
    <w:rsid w:val="006E43F2"/>
    <w:rsid w:val="006E44CF"/>
    <w:rsid w:val="006E44F4"/>
    <w:rsid w:val="006E4672"/>
    <w:rsid w:val="006E46C6"/>
    <w:rsid w:val="006E4706"/>
    <w:rsid w:val="006E48BF"/>
    <w:rsid w:val="006E48C7"/>
    <w:rsid w:val="006E496E"/>
    <w:rsid w:val="006E4C35"/>
    <w:rsid w:val="006E4C38"/>
    <w:rsid w:val="006E4CC7"/>
    <w:rsid w:val="006E4CD3"/>
    <w:rsid w:val="006E4D73"/>
    <w:rsid w:val="006E4DD4"/>
    <w:rsid w:val="006E5129"/>
    <w:rsid w:val="006E5135"/>
    <w:rsid w:val="006E53A0"/>
    <w:rsid w:val="006E53F7"/>
    <w:rsid w:val="006E5442"/>
    <w:rsid w:val="006E5456"/>
    <w:rsid w:val="006E5694"/>
    <w:rsid w:val="006E57D1"/>
    <w:rsid w:val="006E582D"/>
    <w:rsid w:val="006E5831"/>
    <w:rsid w:val="006E5857"/>
    <w:rsid w:val="006E5900"/>
    <w:rsid w:val="006E59C6"/>
    <w:rsid w:val="006E59E2"/>
    <w:rsid w:val="006E5A1F"/>
    <w:rsid w:val="006E5AC0"/>
    <w:rsid w:val="006E5B4B"/>
    <w:rsid w:val="006E5C08"/>
    <w:rsid w:val="006E5E33"/>
    <w:rsid w:val="006E5FB5"/>
    <w:rsid w:val="006E5FEB"/>
    <w:rsid w:val="006E61C0"/>
    <w:rsid w:val="006E621B"/>
    <w:rsid w:val="006E62D9"/>
    <w:rsid w:val="006E6322"/>
    <w:rsid w:val="006E6336"/>
    <w:rsid w:val="006E644E"/>
    <w:rsid w:val="006E6519"/>
    <w:rsid w:val="006E656F"/>
    <w:rsid w:val="006E65D2"/>
    <w:rsid w:val="006E66C9"/>
    <w:rsid w:val="006E680B"/>
    <w:rsid w:val="006E6827"/>
    <w:rsid w:val="006E68C1"/>
    <w:rsid w:val="006E6957"/>
    <w:rsid w:val="006E6A40"/>
    <w:rsid w:val="006E6A89"/>
    <w:rsid w:val="006E6ADE"/>
    <w:rsid w:val="006E6B36"/>
    <w:rsid w:val="006E6B4D"/>
    <w:rsid w:val="006E6BBB"/>
    <w:rsid w:val="006E6D85"/>
    <w:rsid w:val="006E6E70"/>
    <w:rsid w:val="006E6F67"/>
    <w:rsid w:val="006E6FC4"/>
    <w:rsid w:val="006E6FCD"/>
    <w:rsid w:val="006E7039"/>
    <w:rsid w:val="006E70AD"/>
    <w:rsid w:val="006E711D"/>
    <w:rsid w:val="006E71AB"/>
    <w:rsid w:val="006E71FA"/>
    <w:rsid w:val="006E737F"/>
    <w:rsid w:val="006E73A1"/>
    <w:rsid w:val="006E7406"/>
    <w:rsid w:val="006E7435"/>
    <w:rsid w:val="006E745E"/>
    <w:rsid w:val="006E755F"/>
    <w:rsid w:val="006E7561"/>
    <w:rsid w:val="006E75CD"/>
    <w:rsid w:val="006E7712"/>
    <w:rsid w:val="006E775A"/>
    <w:rsid w:val="006E777D"/>
    <w:rsid w:val="006E7828"/>
    <w:rsid w:val="006E78B7"/>
    <w:rsid w:val="006E7900"/>
    <w:rsid w:val="006E7925"/>
    <w:rsid w:val="006E7AEE"/>
    <w:rsid w:val="006E7B2F"/>
    <w:rsid w:val="006E7DEA"/>
    <w:rsid w:val="006F00C7"/>
    <w:rsid w:val="006F00FA"/>
    <w:rsid w:val="006F0117"/>
    <w:rsid w:val="006F027A"/>
    <w:rsid w:val="006F0502"/>
    <w:rsid w:val="006F059B"/>
    <w:rsid w:val="006F05A7"/>
    <w:rsid w:val="006F067A"/>
    <w:rsid w:val="006F06B0"/>
    <w:rsid w:val="006F07A6"/>
    <w:rsid w:val="006F07BE"/>
    <w:rsid w:val="006F0868"/>
    <w:rsid w:val="006F09EC"/>
    <w:rsid w:val="006F09FA"/>
    <w:rsid w:val="006F0A5D"/>
    <w:rsid w:val="006F0BAF"/>
    <w:rsid w:val="006F0C54"/>
    <w:rsid w:val="006F0C9D"/>
    <w:rsid w:val="006F0CA0"/>
    <w:rsid w:val="006F0CE5"/>
    <w:rsid w:val="006F0E3A"/>
    <w:rsid w:val="006F0EE9"/>
    <w:rsid w:val="006F1067"/>
    <w:rsid w:val="006F10CD"/>
    <w:rsid w:val="006F110E"/>
    <w:rsid w:val="006F1401"/>
    <w:rsid w:val="006F14B8"/>
    <w:rsid w:val="006F1521"/>
    <w:rsid w:val="006F15AC"/>
    <w:rsid w:val="006F1626"/>
    <w:rsid w:val="006F167D"/>
    <w:rsid w:val="006F16A8"/>
    <w:rsid w:val="006F16B5"/>
    <w:rsid w:val="006F17C1"/>
    <w:rsid w:val="006F1878"/>
    <w:rsid w:val="006F18D3"/>
    <w:rsid w:val="006F18FE"/>
    <w:rsid w:val="006F19C9"/>
    <w:rsid w:val="006F1A3D"/>
    <w:rsid w:val="006F1A5B"/>
    <w:rsid w:val="006F1B62"/>
    <w:rsid w:val="006F1B94"/>
    <w:rsid w:val="006F1B9B"/>
    <w:rsid w:val="006F1DC6"/>
    <w:rsid w:val="006F1F15"/>
    <w:rsid w:val="006F1F8A"/>
    <w:rsid w:val="006F2084"/>
    <w:rsid w:val="006F20FC"/>
    <w:rsid w:val="006F21B8"/>
    <w:rsid w:val="006F2383"/>
    <w:rsid w:val="006F2552"/>
    <w:rsid w:val="006F2603"/>
    <w:rsid w:val="006F27BC"/>
    <w:rsid w:val="006F28E9"/>
    <w:rsid w:val="006F2A72"/>
    <w:rsid w:val="006F2B87"/>
    <w:rsid w:val="006F2C5F"/>
    <w:rsid w:val="006F2C74"/>
    <w:rsid w:val="006F2E57"/>
    <w:rsid w:val="006F3029"/>
    <w:rsid w:val="006F3044"/>
    <w:rsid w:val="006F3079"/>
    <w:rsid w:val="006F313A"/>
    <w:rsid w:val="006F31F6"/>
    <w:rsid w:val="006F3230"/>
    <w:rsid w:val="006F323F"/>
    <w:rsid w:val="006F335D"/>
    <w:rsid w:val="006F3360"/>
    <w:rsid w:val="006F3378"/>
    <w:rsid w:val="006F33EC"/>
    <w:rsid w:val="006F34A3"/>
    <w:rsid w:val="006F34B8"/>
    <w:rsid w:val="006F35D4"/>
    <w:rsid w:val="006F39B1"/>
    <w:rsid w:val="006F3A23"/>
    <w:rsid w:val="006F3AA1"/>
    <w:rsid w:val="006F3B06"/>
    <w:rsid w:val="006F3BD5"/>
    <w:rsid w:val="006F3C40"/>
    <w:rsid w:val="006F3C73"/>
    <w:rsid w:val="006F3CC5"/>
    <w:rsid w:val="006F3CEE"/>
    <w:rsid w:val="006F3D6E"/>
    <w:rsid w:val="006F4067"/>
    <w:rsid w:val="006F4123"/>
    <w:rsid w:val="006F441A"/>
    <w:rsid w:val="006F4674"/>
    <w:rsid w:val="006F46B2"/>
    <w:rsid w:val="006F4743"/>
    <w:rsid w:val="006F47FF"/>
    <w:rsid w:val="006F48F5"/>
    <w:rsid w:val="006F49CF"/>
    <w:rsid w:val="006F4A3B"/>
    <w:rsid w:val="006F4AF1"/>
    <w:rsid w:val="006F4B18"/>
    <w:rsid w:val="006F4C50"/>
    <w:rsid w:val="006F4CBE"/>
    <w:rsid w:val="006F4D68"/>
    <w:rsid w:val="006F5017"/>
    <w:rsid w:val="006F5048"/>
    <w:rsid w:val="006F507E"/>
    <w:rsid w:val="006F50FD"/>
    <w:rsid w:val="006F51BD"/>
    <w:rsid w:val="006F527A"/>
    <w:rsid w:val="006F534B"/>
    <w:rsid w:val="006F53A9"/>
    <w:rsid w:val="006F56DA"/>
    <w:rsid w:val="006F56E7"/>
    <w:rsid w:val="006F575A"/>
    <w:rsid w:val="006F57DD"/>
    <w:rsid w:val="006F5891"/>
    <w:rsid w:val="006F596D"/>
    <w:rsid w:val="006F5A2A"/>
    <w:rsid w:val="006F5BAD"/>
    <w:rsid w:val="006F5E7A"/>
    <w:rsid w:val="006F5F3F"/>
    <w:rsid w:val="006F5F8C"/>
    <w:rsid w:val="006F5FA9"/>
    <w:rsid w:val="006F60F9"/>
    <w:rsid w:val="006F611C"/>
    <w:rsid w:val="006F6311"/>
    <w:rsid w:val="006F6429"/>
    <w:rsid w:val="006F64A0"/>
    <w:rsid w:val="006F64AB"/>
    <w:rsid w:val="006F6889"/>
    <w:rsid w:val="006F6A26"/>
    <w:rsid w:val="006F6A55"/>
    <w:rsid w:val="006F6B01"/>
    <w:rsid w:val="006F6B5C"/>
    <w:rsid w:val="006F6B61"/>
    <w:rsid w:val="006F6C29"/>
    <w:rsid w:val="006F6C97"/>
    <w:rsid w:val="006F6C9B"/>
    <w:rsid w:val="006F6DB7"/>
    <w:rsid w:val="006F6E21"/>
    <w:rsid w:val="006F6E4E"/>
    <w:rsid w:val="006F6EE8"/>
    <w:rsid w:val="006F6F0C"/>
    <w:rsid w:val="006F6FB6"/>
    <w:rsid w:val="006F70EE"/>
    <w:rsid w:val="006F710F"/>
    <w:rsid w:val="006F7154"/>
    <w:rsid w:val="006F723C"/>
    <w:rsid w:val="006F7325"/>
    <w:rsid w:val="006F73BF"/>
    <w:rsid w:val="006F741F"/>
    <w:rsid w:val="006F74A3"/>
    <w:rsid w:val="006F74A7"/>
    <w:rsid w:val="006F7612"/>
    <w:rsid w:val="006F762D"/>
    <w:rsid w:val="006F77DC"/>
    <w:rsid w:val="006F7869"/>
    <w:rsid w:val="006F791F"/>
    <w:rsid w:val="006F797A"/>
    <w:rsid w:val="006F7A38"/>
    <w:rsid w:val="006F7A7E"/>
    <w:rsid w:val="006F7A85"/>
    <w:rsid w:val="006F7A8C"/>
    <w:rsid w:val="006F7AB6"/>
    <w:rsid w:val="006F7B64"/>
    <w:rsid w:val="006F7BD0"/>
    <w:rsid w:val="006F7CB6"/>
    <w:rsid w:val="006F7CF3"/>
    <w:rsid w:val="006F7D88"/>
    <w:rsid w:val="006F7FAE"/>
    <w:rsid w:val="006FE140"/>
    <w:rsid w:val="00700024"/>
    <w:rsid w:val="00700078"/>
    <w:rsid w:val="007000AF"/>
    <w:rsid w:val="007000C3"/>
    <w:rsid w:val="00700134"/>
    <w:rsid w:val="00700150"/>
    <w:rsid w:val="007001E6"/>
    <w:rsid w:val="00700226"/>
    <w:rsid w:val="007004C3"/>
    <w:rsid w:val="0070054C"/>
    <w:rsid w:val="00700899"/>
    <w:rsid w:val="007008D4"/>
    <w:rsid w:val="0070094D"/>
    <w:rsid w:val="00700977"/>
    <w:rsid w:val="007009B9"/>
    <w:rsid w:val="00700B0C"/>
    <w:rsid w:val="00700D2B"/>
    <w:rsid w:val="00700F21"/>
    <w:rsid w:val="00700F86"/>
    <w:rsid w:val="00701090"/>
    <w:rsid w:val="007011AD"/>
    <w:rsid w:val="007011BB"/>
    <w:rsid w:val="0070128B"/>
    <w:rsid w:val="007012BB"/>
    <w:rsid w:val="007012D7"/>
    <w:rsid w:val="007014C7"/>
    <w:rsid w:val="0070152E"/>
    <w:rsid w:val="0070153A"/>
    <w:rsid w:val="0070163C"/>
    <w:rsid w:val="00701651"/>
    <w:rsid w:val="00701689"/>
    <w:rsid w:val="007016D6"/>
    <w:rsid w:val="0070170B"/>
    <w:rsid w:val="00701782"/>
    <w:rsid w:val="0070178B"/>
    <w:rsid w:val="0070178C"/>
    <w:rsid w:val="00701936"/>
    <w:rsid w:val="00701993"/>
    <w:rsid w:val="00701B3E"/>
    <w:rsid w:val="00701CFA"/>
    <w:rsid w:val="00701ED5"/>
    <w:rsid w:val="00701F12"/>
    <w:rsid w:val="00701F17"/>
    <w:rsid w:val="00701F50"/>
    <w:rsid w:val="0070207D"/>
    <w:rsid w:val="007022AF"/>
    <w:rsid w:val="00702401"/>
    <w:rsid w:val="0070258D"/>
    <w:rsid w:val="007025BE"/>
    <w:rsid w:val="007026C2"/>
    <w:rsid w:val="00702705"/>
    <w:rsid w:val="0070273A"/>
    <w:rsid w:val="00702981"/>
    <w:rsid w:val="007029EA"/>
    <w:rsid w:val="00702A1C"/>
    <w:rsid w:val="00702A23"/>
    <w:rsid w:val="00702B55"/>
    <w:rsid w:val="00702BAF"/>
    <w:rsid w:val="00702C51"/>
    <w:rsid w:val="00702D08"/>
    <w:rsid w:val="00702D19"/>
    <w:rsid w:val="00702D25"/>
    <w:rsid w:val="00702E00"/>
    <w:rsid w:val="00702F5E"/>
    <w:rsid w:val="007031A7"/>
    <w:rsid w:val="007031FD"/>
    <w:rsid w:val="00703204"/>
    <w:rsid w:val="007032D8"/>
    <w:rsid w:val="0070333C"/>
    <w:rsid w:val="00703479"/>
    <w:rsid w:val="007034C9"/>
    <w:rsid w:val="007034D8"/>
    <w:rsid w:val="00703702"/>
    <w:rsid w:val="0070371E"/>
    <w:rsid w:val="00703811"/>
    <w:rsid w:val="007038DF"/>
    <w:rsid w:val="00703ABF"/>
    <w:rsid w:val="00703B18"/>
    <w:rsid w:val="00703B6B"/>
    <w:rsid w:val="00703C41"/>
    <w:rsid w:val="00703C49"/>
    <w:rsid w:val="00703C58"/>
    <w:rsid w:val="00703C8A"/>
    <w:rsid w:val="00703E0C"/>
    <w:rsid w:val="00703E37"/>
    <w:rsid w:val="00703EC2"/>
    <w:rsid w:val="00703F76"/>
    <w:rsid w:val="00703FD3"/>
    <w:rsid w:val="007040B2"/>
    <w:rsid w:val="007040D4"/>
    <w:rsid w:val="007041F2"/>
    <w:rsid w:val="007042E7"/>
    <w:rsid w:val="0070440A"/>
    <w:rsid w:val="00704416"/>
    <w:rsid w:val="00704A37"/>
    <w:rsid w:val="00704D50"/>
    <w:rsid w:val="00704D80"/>
    <w:rsid w:val="00704E35"/>
    <w:rsid w:val="00704F09"/>
    <w:rsid w:val="00704F91"/>
    <w:rsid w:val="00704FE7"/>
    <w:rsid w:val="007050D1"/>
    <w:rsid w:val="007050EB"/>
    <w:rsid w:val="00705155"/>
    <w:rsid w:val="0070535C"/>
    <w:rsid w:val="007054A0"/>
    <w:rsid w:val="007055D6"/>
    <w:rsid w:val="007057FA"/>
    <w:rsid w:val="0070586F"/>
    <w:rsid w:val="007058CA"/>
    <w:rsid w:val="0070590E"/>
    <w:rsid w:val="0070591C"/>
    <w:rsid w:val="007059D5"/>
    <w:rsid w:val="00705AD0"/>
    <w:rsid w:val="00705B3B"/>
    <w:rsid w:val="00705B51"/>
    <w:rsid w:val="00705C89"/>
    <w:rsid w:val="00705D67"/>
    <w:rsid w:val="00705DFD"/>
    <w:rsid w:val="00705F45"/>
    <w:rsid w:val="00706163"/>
    <w:rsid w:val="00706204"/>
    <w:rsid w:val="0070624C"/>
    <w:rsid w:val="0070639A"/>
    <w:rsid w:val="007064E9"/>
    <w:rsid w:val="0070658E"/>
    <w:rsid w:val="007065B5"/>
    <w:rsid w:val="007067BD"/>
    <w:rsid w:val="00706893"/>
    <w:rsid w:val="0070690F"/>
    <w:rsid w:val="007069E8"/>
    <w:rsid w:val="00706A8D"/>
    <w:rsid w:val="00706ACD"/>
    <w:rsid w:val="00706B67"/>
    <w:rsid w:val="00706B8D"/>
    <w:rsid w:val="00706BE2"/>
    <w:rsid w:val="00706C7C"/>
    <w:rsid w:val="00706D83"/>
    <w:rsid w:val="00706DE9"/>
    <w:rsid w:val="00706E7D"/>
    <w:rsid w:val="00706F9D"/>
    <w:rsid w:val="00707001"/>
    <w:rsid w:val="0070701E"/>
    <w:rsid w:val="00707044"/>
    <w:rsid w:val="0070709D"/>
    <w:rsid w:val="0070711B"/>
    <w:rsid w:val="007071BA"/>
    <w:rsid w:val="007071C8"/>
    <w:rsid w:val="007071D9"/>
    <w:rsid w:val="007071FC"/>
    <w:rsid w:val="00707427"/>
    <w:rsid w:val="00707480"/>
    <w:rsid w:val="00707611"/>
    <w:rsid w:val="0070788F"/>
    <w:rsid w:val="00707921"/>
    <w:rsid w:val="00707B82"/>
    <w:rsid w:val="00707C15"/>
    <w:rsid w:val="00707C9F"/>
    <w:rsid w:val="00707CC7"/>
    <w:rsid w:val="00707E75"/>
    <w:rsid w:val="00707EEC"/>
    <w:rsid w:val="00707F29"/>
    <w:rsid w:val="00707F31"/>
    <w:rsid w:val="00707F9C"/>
    <w:rsid w:val="00710073"/>
    <w:rsid w:val="00710203"/>
    <w:rsid w:val="00710295"/>
    <w:rsid w:val="00710329"/>
    <w:rsid w:val="007104DD"/>
    <w:rsid w:val="0071055C"/>
    <w:rsid w:val="00710562"/>
    <w:rsid w:val="00710564"/>
    <w:rsid w:val="0071069D"/>
    <w:rsid w:val="00710872"/>
    <w:rsid w:val="007108C9"/>
    <w:rsid w:val="007108DC"/>
    <w:rsid w:val="00710922"/>
    <w:rsid w:val="00710997"/>
    <w:rsid w:val="007109C1"/>
    <w:rsid w:val="00710A9D"/>
    <w:rsid w:val="00710AF5"/>
    <w:rsid w:val="00710C3F"/>
    <w:rsid w:val="00710CE9"/>
    <w:rsid w:val="00710D73"/>
    <w:rsid w:val="00710F67"/>
    <w:rsid w:val="00711005"/>
    <w:rsid w:val="007110D2"/>
    <w:rsid w:val="0071112A"/>
    <w:rsid w:val="00711181"/>
    <w:rsid w:val="007111D7"/>
    <w:rsid w:val="00711298"/>
    <w:rsid w:val="007112A2"/>
    <w:rsid w:val="007112F6"/>
    <w:rsid w:val="007113CB"/>
    <w:rsid w:val="00711433"/>
    <w:rsid w:val="00711450"/>
    <w:rsid w:val="0071155A"/>
    <w:rsid w:val="007116D6"/>
    <w:rsid w:val="007116EF"/>
    <w:rsid w:val="00711817"/>
    <w:rsid w:val="00711834"/>
    <w:rsid w:val="00711965"/>
    <w:rsid w:val="00711A9B"/>
    <w:rsid w:val="00711B1D"/>
    <w:rsid w:val="00711B59"/>
    <w:rsid w:val="00711D7F"/>
    <w:rsid w:val="00711DB7"/>
    <w:rsid w:val="00711DF8"/>
    <w:rsid w:val="00711EA2"/>
    <w:rsid w:val="00711EB4"/>
    <w:rsid w:val="00711F71"/>
    <w:rsid w:val="0071211B"/>
    <w:rsid w:val="00712283"/>
    <w:rsid w:val="00712309"/>
    <w:rsid w:val="00712360"/>
    <w:rsid w:val="007123CF"/>
    <w:rsid w:val="00712402"/>
    <w:rsid w:val="007124A8"/>
    <w:rsid w:val="007126D6"/>
    <w:rsid w:val="0071277A"/>
    <w:rsid w:val="007129AE"/>
    <w:rsid w:val="00712C45"/>
    <w:rsid w:val="00712D55"/>
    <w:rsid w:val="00712D70"/>
    <w:rsid w:val="00713003"/>
    <w:rsid w:val="0071318B"/>
    <w:rsid w:val="00713374"/>
    <w:rsid w:val="007133E0"/>
    <w:rsid w:val="00713416"/>
    <w:rsid w:val="0071362A"/>
    <w:rsid w:val="00713658"/>
    <w:rsid w:val="00713790"/>
    <w:rsid w:val="00713976"/>
    <w:rsid w:val="007139DC"/>
    <w:rsid w:val="00713A2F"/>
    <w:rsid w:val="00713AFF"/>
    <w:rsid w:val="00713B3C"/>
    <w:rsid w:val="00713B60"/>
    <w:rsid w:val="00713BF1"/>
    <w:rsid w:val="00713D04"/>
    <w:rsid w:val="00713E5F"/>
    <w:rsid w:val="00713FB5"/>
    <w:rsid w:val="007140AC"/>
    <w:rsid w:val="00714338"/>
    <w:rsid w:val="0071446E"/>
    <w:rsid w:val="00714553"/>
    <w:rsid w:val="00714587"/>
    <w:rsid w:val="0071467C"/>
    <w:rsid w:val="0071476B"/>
    <w:rsid w:val="0071486F"/>
    <w:rsid w:val="00714905"/>
    <w:rsid w:val="00714A5C"/>
    <w:rsid w:val="00714A82"/>
    <w:rsid w:val="00714AEE"/>
    <w:rsid w:val="00714B79"/>
    <w:rsid w:val="00714B9E"/>
    <w:rsid w:val="00714C1A"/>
    <w:rsid w:val="00714C41"/>
    <w:rsid w:val="00714C79"/>
    <w:rsid w:val="00714DB8"/>
    <w:rsid w:val="00714FF6"/>
    <w:rsid w:val="007150F8"/>
    <w:rsid w:val="0071513D"/>
    <w:rsid w:val="0071533D"/>
    <w:rsid w:val="00715506"/>
    <w:rsid w:val="0071553F"/>
    <w:rsid w:val="0071555D"/>
    <w:rsid w:val="00715567"/>
    <w:rsid w:val="0071576C"/>
    <w:rsid w:val="00715772"/>
    <w:rsid w:val="00715857"/>
    <w:rsid w:val="0071587C"/>
    <w:rsid w:val="007159EE"/>
    <w:rsid w:val="00715B0C"/>
    <w:rsid w:val="00715B2D"/>
    <w:rsid w:val="00715B3E"/>
    <w:rsid w:val="00715DEF"/>
    <w:rsid w:val="00715F7B"/>
    <w:rsid w:val="00716095"/>
    <w:rsid w:val="00716189"/>
    <w:rsid w:val="007161F1"/>
    <w:rsid w:val="00716264"/>
    <w:rsid w:val="00716356"/>
    <w:rsid w:val="00716357"/>
    <w:rsid w:val="0071639F"/>
    <w:rsid w:val="007164B5"/>
    <w:rsid w:val="00716501"/>
    <w:rsid w:val="00716558"/>
    <w:rsid w:val="0071659F"/>
    <w:rsid w:val="0071672C"/>
    <w:rsid w:val="007168B5"/>
    <w:rsid w:val="00716AB6"/>
    <w:rsid w:val="00716CFC"/>
    <w:rsid w:val="00716D87"/>
    <w:rsid w:val="00716F62"/>
    <w:rsid w:val="00716FC7"/>
    <w:rsid w:val="0071703C"/>
    <w:rsid w:val="00717041"/>
    <w:rsid w:val="0071704E"/>
    <w:rsid w:val="0071720B"/>
    <w:rsid w:val="007172F7"/>
    <w:rsid w:val="0071744E"/>
    <w:rsid w:val="007176DE"/>
    <w:rsid w:val="00717882"/>
    <w:rsid w:val="007178F3"/>
    <w:rsid w:val="00717933"/>
    <w:rsid w:val="0071797A"/>
    <w:rsid w:val="00717A99"/>
    <w:rsid w:val="00717C7B"/>
    <w:rsid w:val="00717CDF"/>
    <w:rsid w:val="00717F88"/>
    <w:rsid w:val="00717FE4"/>
    <w:rsid w:val="00720069"/>
    <w:rsid w:val="00720086"/>
    <w:rsid w:val="007201CD"/>
    <w:rsid w:val="007201EA"/>
    <w:rsid w:val="00720272"/>
    <w:rsid w:val="007202E9"/>
    <w:rsid w:val="007206AB"/>
    <w:rsid w:val="007207F9"/>
    <w:rsid w:val="007208EF"/>
    <w:rsid w:val="00720AAF"/>
    <w:rsid w:val="00720AC8"/>
    <w:rsid w:val="00720B47"/>
    <w:rsid w:val="00720B9C"/>
    <w:rsid w:val="00720CD2"/>
    <w:rsid w:val="00720D64"/>
    <w:rsid w:val="00721136"/>
    <w:rsid w:val="007211FB"/>
    <w:rsid w:val="00721247"/>
    <w:rsid w:val="007212C5"/>
    <w:rsid w:val="0072139C"/>
    <w:rsid w:val="0072162B"/>
    <w:rsid w:val="007216DE"/>
    <w:rsid w:val="00721781"/>
    <w:rsid w:val="00721782"/>
    <w:rsid w:val="007217AB"/>
    <w:rsid w:val="00721813"/>
    <w:rsid w:val="00721841"/>
    <w:rsid w:val="0072198A"/>
    <w:rsid w:val="00721A6D"/>
    <w:rsid w:val="00721AF1"/>
    <w:rsid w:val="00721B0E"/>
    <w:rsid w:val="00721CD4"/>
    <w:rsid w:val="00721D58"/>
    <w:rsid w:val="00721E45"/>
    <w:rsid w:val="00721EFA"/>
    <w:rsid w:val="0072200C"/>
    <w:rsid w:val="00722011"/>
    <w:rsid w:val="007221FE"/>
    <w:rsid w:val="00722206"/>
    <w:rsid w:val="0072272D"/>
    <w:rsid w:val="0072288C"/>
    <w:rsid w:val="00722A24"/>
    <w:rsid w:val="00722A96"/>
    <w:rsid w:val="00722B60"/>
    <w:rsid w:val="00722C33"/>
    <w:rsid w:val="00722D60"/>
    <w:rsid w:val="00722D6B"/>
    <w:rsid w:val="00722F35"/>
    <w:rsid w:val="00723112"/>
    <w:rsid w:val="0072313C"/>
    <w:rsid w:val="00723287"/>
    <w:rsid w:val="00723309"/>
    <w:rsid w:val="007233A1"/>
    <w:rsid w:val="007233C3"/>
    <w:rsid w:val="00723655"/>
    <w:rsid w:val="00723668"/>
    <w:rsid w:val="007236E3"/>
    <w:rsid w:val="0072374C"/>
    <w:rsid w:val="00723751"/>
    <w:rsid w:val="007237E3"/>
    <w:rsid w:val="00723910"/>
    <w:rsid w:val="007239CF"/>
    <w:rsid w:val="00723B1E"/>
    <w:rsid w:val="00723B7E"/>
    <w:rsid w:val="00723C2D"/>
    <w:rsid w:val="00723C43"/>
    <w:rsid w:val="00723C7D"/>
    <w:rsid w:val="00723CC8"/>
    <w:rsid w:val="00723CCD"/>
    <w:rsid w:val="00723D96"/>
    <w:rsid w:val="00723E26"/>
    <w:rsid w:val="00723EB7"/>
    <w:rsid w:val="0072400B"/>
    <w:rsid w:val="0072401D"/>
    <w:rsid w:val="00724057"/>
    <w:rsid w:val="007240B0"/>
    <w:rsid w:val="007240E6"/>
    <w:rsid w:val="007241A3"/>
    <w:rsid w:val="0072442C"/>
    <w:rsid w:val="00724475"/>
    <w:rsid w:val="0072456E"/>
    <w:rsid w:val="007245C3"/>
    <w:rsid w:val="00724606"/>
    <w:rsid w:val="00724646"/>
    <w:rsid w:val="00724743"/>
    <w:rsid w:val="0072484B"/>
    <w:rsid w:val="00724997"/>
    <w:rsid w:val="00724A9F"/>
    <w:rsid w:val="00724ABC"/>
    <w:rsid w:val="00724CA3"/>
    <w:rsid w:val="00724DB9"/>
    <w:rsid w:val="00724E33"/>
    <w:rsid w:val="00724E6E"/>
    <w:rsid w:val="00724E70"/>
    <w:rsid w:val="00724EEF"/>
    <w:rsid w:val="00724F1B"/>
    <w:rsid w:val="00724F2E"/>
    <w:rsid w:val="00724F72"/>
    <w:rsid w:val="00725001"/>
    <w:rsid w:val="00725093"/>
    <w:rsid w:val="007250C9"/>
    <w:rsid w:val="007251C5"/>
    <w:rsid w:val="007251CC"/>
    <w:rsid w:val="007251D8"/>
    <w:rsid w:val="007252D2"/>
    <w:rsid w:val="00725301"/>
    <w:rsid w:val="0072549C"/>
    <w:rsid w:val="007254AE"/>
    <w:rsid w:val="007257D4"/>
    <w:rsid w:val="007258C7"/>
    <w:rsid w:val="00725A8A"/>
    <w:rsid w:val="00725B1E"/>
    <w:rsid w:val="00725B26"/>
    <w:rsid w:val="00725B54"/>
    <w:rsid w:val="00725C15"/>
    <w:rsid w:val="00725CB5"/>
    <w:rsid w:val="00725D59"/>
    <w:rsid w:val="00725E3F"/>
    <w:rsid w:val="007260BD"/>
    <w:rsid w:val="007263F8"/>
    <w:rsid w:val="00726408"/>
    <w:rsid w:val="007264DB"/>
    <w:rsid w:val="00726519"/>
    <w:rsid w:val="0072685D"/>
    <w:rsid w:val="00726BBD"/>
    <w:rsid w:val="00726C26"/>
    <w:rsid w:val="00726CF8"/>
    <w:rsid w:val="00726D3C"/>
    <w:rsid w:val="00726D5A"/>
    <w:rsid w:val="00726DCE"/>
    <w:rsid w:val="00726E5C"/>
    <w:rsid w:val="00726E7C"/>
    <w:rsid w:val="00726F0F"/>
    <w:rsid w:val="00726F32"/>
    <w:rsid w:val="007270FD"/>
    <w:rsid w:val="00727229"/>
    <w:rsid w:val="007272CC"/>
    <w:rsid w:val="00727397"/>
    <w:rsid w:val="00727472"/>
    <w:rsid w:val="0072752E"/>
    <w:rsid w:val="00727533"/>
    <w:rsid w:val="00727543"/>
    <w:rsid w:val="007275A1"/>
    <w:rsid w:val="0072761F"/>
    <w:rsid w:val="00727867"/>
    <w:rsid w:val="007279E6"/>
    <w:rsid w:val="00727B15"/>
    <w:rsid w:val="00727C90"/>
    <w:rsid w:val="00727CF8"/>
    <w:rsid w:val="00727D1D"/>
    <w:rsid w:val="00727E0A"/>
    <w:rsid w:val="00727E14"/>
    <w:rsid w:val="00727E9E"/>
    <w:rsid w:val="00727EF2"/>
    <w:rsid w:val="00727FB8"/>
    <w:rsid w:val="0073000B"/>
    <w:rsid w:val="00730017"/>
    <w:rsid w:val="00730027"/>
    <w:rsid w:val="0073011C"/>
    <w:rsid w:val="00730186"/>
    <w:rsid w:val="00730293"/>
    <w:rsid w:val="0073034D"/>
    <w:rsid w:val="007303B4"/>
    <w:rsid w:val="00730479"/>
    <w:rsid w:val="007305C6"/>
    <w:rsid w:val="00730709"/>
    <w:rsid w:val="00730731"/>
    <w:rsid w:val="00730865"/>
    <w:rsid w:val="007309D2"/>
    <w:rsid w:val="00730A62"/>
    <w:rsid w:val="00730A9A"/>
    <w:rsid w:val="00730B81"/>
    <w:rsid w:val="00730BF2"/>
    <w:rsid w:val="00730DBE"/>
    <w:rsid w:val="00730E1F"/>
    <w:rsid w:val="00730E2C"/>
    <w:rsid w:val="00730E35"/>
    <w:rsid w:val="00730EC5"/>
    <w:rsid w:val="00730ECE"/>
    <w:rsid w:val="00730F31"/>
    <w:rsid w:val="00730F77"/>
    <w:rsid w:val="00730F9D"/>
    <w:rsid w:val="00731348"/>
    <w:rsid w:val="00731489"/>
    <w:rsid w:val="007314E3"/>
    <w:rsid w:val="007316B3"/>
    <w:rsid w:val="007317E4"/>
    <w:rsid w:val="0073180F"/>
    <w:rsid w:val="007318D3"/>
    <w:rsid w:val="00731900"/>
    <w:rsid w:val="007319DC"/>
    <w:rsid w:val="007319DF"/>
    <w:rsid w:val="00731B09"/>
    <w:rsid w:val="00731BC5"/>
    <w:rsid w:val="00731C8A"/>
    <w:rsid w:val="00731D42"/>
    <w:rsid w:val="00731D7C"/>
    <w:rsid w:val="00731E20"/>
    <w:rsid w:val="00731E83"/>
    <w:rsid w:val="00731F4C"/>
    <w:rsid w:val="00731F4E"/>
    <w:rsid w:val="00732257"/>
    <w:rsid w:val="0073233B"/>
    <w:rsid w:val="00732348"/>
    <w:rsid w:val="00732366"/>
    <w:rsid w:val="007323C8"/>
    <w:rsid w:val="007323F1"/>
    <w:rsid w:val="0073260B"/>
    <w:rsid w:val="0073266F"/>
    <w:rsid w:val="00732732"/>
    <w:rsid w:val="0073274D"/>
    <w:rsid w:val="00732816"/>
    <w:rsid w:val="00732ADA"/>
    <w:rsid w:val="00732BC6"/>
    <w:rsid w:val="00732CC1"/>
    <w:rsid w:val="00732CDC"/>
    <w:rsid w:val="00732EA8"/>
    <w:rsid w:val="00732EE6"/>
    <w:rsid w:val="00732F35"/>
    <w:rsid w:val="00733084"/>
    <w:rsid w:val="00733678"/>
    <w:rsid w:val="00733687"/>
    <w:rsid w:val="007336B2"/>
    <w:rsid w:val="0073385C"/>
    <w:rsid w:val="00733864"/>
    <w:rsid w:val="00733952"/>
    <w:rsid w:val="00733A32"/>
    <w:rsid w:val="00733A6C"/>
    <w:rsid w:val="00733A79"/>
    <w:rsid w:val="00733A9D"/>
    <w:rsid w:val="00733B76"/>
    <w:rsid w:val="00733CD1"/>
    <w:rsid w:val="00733DC2"/>
    <w:rsid w:val="00733FBA"/>
    <w:rsid w:val="007340C3"/>
    <w:rsid w:val="007341C4"/>
    <w:rsid w:val="0073430C"/>
    <w:rsid w:val="00734490"/>
    <w:rsid w:val="00734596"/>
    <w:rsid w:val="007345B9"/>
    <w:rsid w:val="007345DF"/>
    <w:rsid w:val="0073489B"/>
    <w:rsid w:val="00734975"/>
    <w:rsid w:val="00734D91"/>
    <w:rsid w:val="00734FB1"/>
    <w:rsid w:val="007350E2"/>
    <w:rsid w:val="00735330"/>
    <w:rsid w:val="00735361"/>
    <w:rsid w:val="007353B5"/>
    <w:rsid w:val="00735564"/>
    <w:rsid w:val="00735628"/>
    <w:rsid w:val="00735647"/>
    <w:rsid w:val="00735A37"/>
    <w:rsid w:val="00735A6A"/>
    <w:rsid w:val="00735CEE"/>
    <w:rsid w:val="00735E8D"/>
    <w:rsid w:val="00735E8F"/>
    <w:rsid w:val="00735F3A"/>
    <w:rsid w:val="00736009"/>
    <w:rsid w:val="00736181"/>
    <w:rsid w:val="0073632F"/>
    <w:rsid w:val="00736349"/>
    <w:rsid w:val="0073637F"/>
    <w:rsid w:val="00736587"/>
    <w:rsid w:val="007365DC"/>
    <w:rsid w:val="00736611"/>
    <w:rsid w:val="00736612"/>
    <w:rsid w:val="00736661"/>
    <w:rsid w:val="007366F1"/>
    <w:rsid w:val="00736762"/>
    <w:rsid w:val="00736779"/>
    <w:rsid w:val="007367A0"/>
    <w:rsid w:val="007367C1"/>
    <w:rsid w:val="00736886"/>
    <w:rsid w:val="00736A02"/>
    <w:rsid w:val="00736A07"/>
    <w:rsid w:val="00736BC2"/>
    <w:rsid w:val="00736C0B"/>
    <w:rsid w:val="00736CA1"/>
    <w:rsid w:val="00736D9F"/>
    <w:rsid w:val="00736DF5"/>
    <w:rsid w:val="00736E38"/>
    <w:rsid w:val="00736E7B"/>
    <w:rsid w:val="00736E9F"/>
    <w:rsid w:val="00736FEB"/>
    <w:rsid w:val="007370F8"/>
    <w:rsid w:val="007371A3"/>
    <w:rsid w:val="00737216"/>
    <w:rsid w:val="007374DD"/>
    <w:rsid w:val="007374EF"/>
    <w:rsid w:val="0073758B"/>
    <w:rsid w:val="0073759E"/>
    <w:rsid w:val="00737602"/>
    <w:rsid w:val="00737622"/>
    <w:rsid w:val="0073770B"/>
    <w:rsid w:val="00737814"/>
    <w:rsid w:val="0073794C"/>
    <w:rsid w:val="00737A4D"/>
    <w:rsid w:val="00737DC9"/>
    <w:rsid w:val="00737DE7"/>
    <w:rsid w:val="00737F26"/>
    <w:rsid w:val="00740024"/>
    <w:rsid w:val="00740093"/>
    <w:rsid w:val="00740193"/>
    <w:rsid w:val="007401FB"/>
    <w:rsid w:val="00740250"/>
    <w:rsid w:val="007402D0"/>
    <w:rsid w:val="007403C7"/>
    <w:rsid w:val="007403E3"/>
    <w:rsid w:val="007404FF"/>
    <w:rsid w:val="00740590"/>
    <w:rsid w:val="007405D8"/>
    <w:rsid w:val="007405E2"/>
    <w:rsid w:val="007405EA"/>
    <w:rsid w:val="00740715"/>
    <w:rsid w:val="0074073A"/>
    <w:rsid w:val="0074086B"/>
    <w:rsid w:val="007408B9"/>
    <w:rsid w:val="007408D0"/>
    <w:rsid w:val="007408E9"/>
    <w:rsid w:val="00740966"/>
    <w:rsid w:val="00740971"/>
    <w:rsid w:val="00740AB9"/>
    <w:rsid w:val="00740ACF"/>
    <w:rsid w:val="00740B43"/>
    <w:rsid w:val="00740BC3"/>
    <w:rsid w:val="00740C9B"/>
    <w:rsid w:val="00740DA9"/>
    <w:rsid w:val="00740DBA"/>
    <w:rsid w:val="00740EAE"/>
    <w:rsid w:val="00740F63"/>
    <w:rsid w:val="0074147E"/>
    <w:rsid w:val="007414A4"/>
    <w:rsid w:val="007414E4"/>
    <w:rsid w:val="00741667"/>
    <w:rsid w:val="00741678"/>
    <w:rsid w:val="007418A8"/>
    <w:rsid w:val="007418C5"/>
    <w:rsid w:val="007419F5"/>
    <w:rsid w:val="00741B68"/>
    <w:rsid w:val="00741B8B"/>
    <w:rsid w:val="00741D66"/>
    <w:rsid w:val="00741DB9"/>
    <w:rsid w:val="00741FA1"/>
    <w:rsid w:val="00742289"/>
    <w:rsid w:val="007422C2"/>
    <w:rsid w:val="007422CD"/>
    <w:rsid w:val="0074240A"/>
    <w:rsid w:val="0074251B"/>
    <w:rsid w:val="007425ED"/>
    <w:rsid w:val="0074276B"/>
    <w:rsid w:val="00742940"/>
    <w:rsid w:val="00742985"/>
    <w:rsid w:val="00742A53"/>
    <w:rsid w:val="00742A99"/>
    <w:rsid w:val="00742AD5"/>
    <w:rsid w:val="00742BC5"/>
    <w:rsid w:val="00742EA1"/>
    <w:rsid w:val="00743088"/>
    <w:rsid w:val="00743202"/>
    <w:rsid w:val="00743240"/>
    <w:rsid w:val="0074325C"/>
    <w:rsid w:val="00743265"/>
    <w:rsid w:val="00743322"/>
    <w:rsid w:val="007433FC"/>
    <w:rsid w:val="007435A6"/>
    <w:rsid w:val="0074377A"/>
    <w:rsid w:val="007438BB"/>
    <w:rsid w:val="00743908"/>
    <w:rsid w:val="00743A1F"/>
    <w:rsid w:val="00743A56"/>
    <w:rsid w:val="00743B82"/>
    <w:rsid w:val="00743D7A"/>
    <w:rsid w:val="00743D99"/>
    <w:rsid w:val="00743E27"/>
    <w:rsid w:val="00743F24"/>
    <w:rsid w:val="007440D4"/>
    <w:rsid w:val="0074410A"/>
    <w:rsid w:val="00744153"/>
    <w:rsid w:val="00744241"/>
    <w:rsid w:val="007442F3"/>
    <w:rsid w:val="00744357"/>
    <w:rsid w:val="007443C3"/>
    <w:rsid w:val="007443E6"/>
    <w:rsid w:val="007444E6"/>
    <w:rsid w:val="007445C9"/>
    <w:rsid w:val="007446F7"/>
    <w:rsid w:val="007449E3"/>
    <w:rsid w:val="007449E4"/>
    <w:rsid w:val="00744A17"/>
    <w:rsid w:val="00744AE7"/>
    <w:rsid w:val="00744B04"/>
    <w:rsid w:val="00744C44"/>
    <w:rsid w:val="00744D23"/>
    <w:rsid w:val="00744D4A"/>
    <w:rsid w:val="00744DAF"/>
    <w:rsid w:val="00744DD6"/>
    <w:rsid w:val="00744E23"/>
    <w:rsid w:val="00744E4F"/>
    <w:rsid w:val="00744F56"/>
    <w:rsid w:val="00745259"/>
    <w:rsid w:val="007452AC"/>
    <w:rsid w:val="007452AD"/>
    <w:rsid w:val="007452CF"/>
    <w:rsid w:val="007452DE"/>
    <w:rsid w:val="007453BB"/>
    <w:rsid w:val="00745436"/>
    <w:rsid w:val="007455EF"/>
    <w:rsid w:val="0074565A"/>
    <w:rsid w:val="0074573D"/>
    <w:rsid w:val="00745863"/>
    <w:rsid w:val="00745914"/>
    <w:rsid w:val="00745C7D"/>
    <w:rsid w:val="00745CFC"/>
    <w:rsid w:val="00745D1A"/>
    <w:rsid w:val="00745D9C"/>
    <w:rsid w:val="00745E2F"/>
    <w:rsid w:val="00745E72"/>
    <w:rsid w:val="00745F6F"/>
    <w:rsid w:val="00746011"/>
    <w:rsid w:val="0074616D"/>
    <w:rsid w:val="00746194"/>
    <w:rsid w:val="007461D7"/>
    <w:rsid w:val="00746253"/>
    <w:rsid w:val="0074647A"/>
    <w:rsid w:val="00746593"/>
    <w:rsid w:val="007466A8"/>
    <w:rsid w:val="00746805"/>
    <w:rsid w:val="00746978"/>
    <w:rsid w:val="007469F2"/>
    <w:rsid w:val="007469F8"/>
    <w:rsid w:val="00746A5C"/>
    <w:rsid w:val="00746AF2"/>
    <w:rsid w:val="00746BFF"/>
    <w:rsid w:val="00746CA3"/>
    <w:rsid w:val="00746FE6"/>
    <w:rsid w:val="00747108"/>
    <w:rsid w:val="00747220"/>
    <w:rsid w:val="007473CE"/>
    <w:rsid w:val="007474E5"/>
    <w:rsid w:val="00747595"/>
    <w:rsid w:val="00747639"/>
    <w:rsid w:val="00747709"/>
    <w:rsid w:val="00747814"/>
    <w:rsid w:val="007478BC"/>
    <w:rsid w:val="00747A07"/>
    <w:rsid w:val="00747ADF"/>
    <w:rsid w:val="00747B26"/>
    <w:rsid w:val="00747B31"/>
    <w:rsid w:val="00747BDE"/>
    <w:rsid w:val="00747E49"/>
    <w:rsid w:val="00747F22"/>
    <w:rsid w:val="007503CD"/>
    <w:rsid w:val="00750425"/>
    <w:rsid w:val="00750456"/>
    <w:rsid w:val="0075057C"/>
    <w:rsid w:val="007505E1"/>
    <w:rsid w:val="00750783"/>
    <w:rsid w:val="00750826"/>
    <w:rsid w:val="007508DF"/>
    <w:rsid w:val="00750AC0"/>
    <w:rsid w:val="00750BFB"/>
    <w:rsid w:val="00750C9F"/>
    <w:rsid w:val="0075102B"/>
    <w:rsid w:val="00751037"/>
    <w:rsid w:val="0075108A"/>
    <w:rsid w:val="007510AA"/>
    <w:rsid w:val="007510CD"/>
    <w:rsid w:val="007512BE"/>
    <w:rsid w:val="0075148E"/>
    <w:rsid w:val="007514DC"/>
    <w:rsid w:val="0075163F"/>
    <w:rsid w:val="00751665"/>
    <w:rsid w:val="0075168E"/>
    <w:rsid w:val="007516D7"/>
    <w:rsid w:val="007516F6"/>
    <w:rsid w:val="007517CB"/>
    <w:rsid w:val="0075181A"/>
    <w:rsid w:val="00751831"/>
    <w:rsid w:val="007518B9"/>
    <w:rsid w:val="0075190A"/>
    <w:rsid w:val="00751A39"/>
    <w:rsid w:val="00751B01"/>
    <w:rsid w:val="00751B5E"/>
    <w:rsid w:val="00751BBE"/>
    <w:rsid w:val="00751C84"/>
    <w:rsid w:val="00751CF6"/>
    <w:rsid w:val="00751E5D"/>
    <w:rsid w:val="00751EAA"/>
    <w:rsid w:val="00751F1E"/>
    <w:rsid w:val="00751F6C"/>
    <w:rsid w:val="00751FC7"/>
    <w:rsid w:val="00752076"/>
    <w:rsid w:val="00752245"/>
    <w:rsid w:val="007525C8"/>
    <w:rsid w:val="007526A2"/>
    <w:rsid w:val="007528B0"/>
    <w:rsid w:val="0075295D"/>
    <w:rsid w:val="0075299B"/>
    <w:rsid w:val="00752A35"/>
    <w:rsid w:val="00752A55"/>
    <w:rsid w:val="00752A9F"/>
    <w:rsid w:val="00752AD9"/>
    <w:rsid w:val="00752AFB"/>
    <w:rsid w:val="00752B0B"/>
    <w:rsid w:val="00752B72"/>
    <w:rsid w:val="00752CF0"/>
    <w:rsid w:val="00752E87"/>
    <w:rsid w:val="00752F1D"/>
    <w:rsid w:val="00752F4E"/>
    <w:rsid w:val="00752F83"/>
    <w:rsid w:val="00752F8D"/>
    <w:rsid w:val="00753073"/>
    <w:rsid w:val="007530A9"/>
    <w:rsid w:val="0075310C"/>
    <w:rsid w:val="00753262"/>
    <w:rsid w:val="007532A0"/>
    <w:rsid w:val="007532E9"/>
    <w:rsid w:val="007534A9"/>
    <w:rsid w:val="007536B9"/>
    <w:rsid w:val="007536BD"/>
    <w:rsid w:val="00753889"/>
    <w:rsid w:val="00753955"/>
    <w:rsid w:val="00753A8C"/>
    <w:rsid w:val="00753A94"/>
    <w:rsid w:val="00753B78"/>
    <w:rsid w:val="00753BDA"/>
    <w:rsid w:val="00753C96"/>
    <w:rsid w:val="00753D80"/>
    <w:rsid w:val="00754004"/>
    <w:rsid w:val="007540AC"/>
    <w:rsid w:val="0075427B"/>
    <w:rsid w:val="00754312"/>
    <w:rsid w:val="0075439A"/>
    <w:rsid w:val="0075463A"/>
    <w:rsid w:val="0075482D"/>
    <w:rsid w:val="0075484E"/>
    <w:rsid w:val="007548EB"/>
    <w:rsid w:val="007549E7"/>
    <w:rsid w:val="00754A2D"/>
    <w:rsid w:val="00754A96"/>
    <w:rsid w:val="00754BA8"/>
    <w:rsid w:val="00754FEE"/>
    <w:rsid w:val="00755205"/>
    <w:rsid w:val="0075528C"/>
    <w:rsid w:val="0075532F"/>
    <w:rsid w:val="00755357"/>
    <w:rsid w:val="007553C6"/>
    <w:rsid w:val="007554D5"/>
    <w:rsid w:val="007554F2"/>
    <w:rsid w:val="0075552F"/>
    <w:rsid w:val="00755833"/>
    <w:rsid w:val="0075584B"/>
    <w:rsid w:val="0075588A"/>
    <w:rsid w:val="00755A57"/>
    <w:rsid w:val="00755A74"/>
    <w:rsid w:val="00755B7E"/>
    <w:rsid w:val="00755BF0"/>
    <w:rsid w:val="00755CFD"/>
    <w:rsid w:val="00755DAE"/>
    <w:rsid w:val="00755DE6"/>
    <w:rsid w:val="00755E67"/>
    <w:rsid w:val="00755F12"/>
    <w:rsid w:val="00756015"/>
    <w:rsid w:val="0075606F"/>
    <w:rsid w:val="0075621C"/>
    <w:rsid w:val="0075622C"/>
    <w:rsid w:val="00756260"/>
    <w:rsid w:val="007563CE"/>
    <w:rsid w:val="0075642D"/>
    <w:rsid w:val="007564B4"/>
    <w:rsid w:val="00756535"/>
    <w:rsid w:val="00756598"/>
    <w:rsid w:val="007565CA"/>
    <w:rsid w:val="007567B2"/>
    <w:rsid w:val="007568FC"/>
    <w:rsid w:val="00756933"/>
    <w:rsid w:val="00756C66"/>
    <w:rsid w:val="00756CDE"/>
    <w:rsid w:val="00756D10"/>
    <w:rsid w:val="00756F25"/>
    <w:rsid w:val="00756F3B"/>
    <w:rsid w:val="00756FA3"/>
    <w:rsid w:val="0075711F"/>
    <w:rsid w:val="007573B7"/>
    <w:rsid w:val="00757404"/>
    <w:rsid w:val="00757466"/>
    <w:rsid w:val="00757782"/>
    <w:rsid w:val="007577E1"/>
    <w:rsid w:val="00757833"/>
    <w:rsid w:val="007578FC"/>
    <w:rsid w:val="0075791D"/>
    <w:rsid w:val="00757921"/>
    <w:rsid w:val="0075792F"/>
    <w:rsid w:val="00757A6E"/>
    <w:rsid w:val="00757B14"/>
    <w:rsid w:val="00757B29"/>
    <w:rsid w:val="00757BB9"/>
    <w:rsid w:val="00757BD8"/>
    <w:rsid w:val="00757C6F"/>
    <w:rsid w:val="00757CE6"/>
    <w:rsid w:val="00757D03"/>
    <w:rsid w:val="00757D9F"/>
    <w:rsid w:val="00757F99"/>
    <w:rsid w:val="00760115"/>
    <w:rsid w:val="0076029C"/>
    <w:rsid w:val="007603EB"/>
    <w:rsid w:val="00760431"/>
    <w:rsid w:val="00760636"/>
    <w:rsid w:val="007606F2"/>
    <w:rsid w:val="0076079C"/>
    <w:rsid w:val="00760914"/>
    <w:rsid w:val="00760951"/>
    <w:rsid w:val="00760B0D"/>
    <w:rsid w:val="00760B1B"/>
    <w:rsid w:val="00760B31"/>
    <w:rsid w:val="00760B46"/>
    <w:rsid w:val="00760C26"/>
    <w:rsid w:val="00760CB0"/>
    <w:rsid w:val="00760D34"/>
    <w:rsid w:val="00760E14"/>
    <w:rsid w:val="00760E18"/>
    <w:rsid w:val="00760EEA"/>
    <w:rsid w:val="00760F82"/>
    <w:rsid w:val="00761055"/>
    <w:rsid w:val="007612CA"/>
    <w:rsid w:val="00761516"/>
    <w:rsid w:val="007615D7"/>
    <w:rsid w:val="00761629"/>
    <w:rsid w:val="00761655"/>
    <w:rsid w:val="007616B8"/>
    <w:rsid w:val="00761812"/>
    <w:rsid w:val="007618D6"/>
    <w:rsid w:val="007619FF"/>
    <w:rsid w:val="00761A7E"/>
    <w:rsid w:val="00761BF3"/>
    <w:rsid w:val="00762191"/>
    <w:rsid w:val="00762352"/>
    <w:rsid w:val="0076238F"/>
    <w:rsid w:val="007623B0"/>
    <w:rsid w:val="007624B0"/>
    <w:rsid w:val="007624DC"/>
    <w:rsid w:val="0076256A"/>
    <w:rsid w:val="007625E1"/>
    <w:rsid w:val="0076268D"/>
    <w:rsid w:val="007626BE"/>
    <w:rsid w:val="007626F3"/>
    <w:rsid w:val="007627B6"/>
    <w:rsid w:val="007627BC"/>
    <w:rsid w:val="007628AC"/>
    <w:rsid w:val="00762A22"/>
    <w:rsid w:val="00762B5D"/>
    <w:rsid w:val="00762CD1"/>
    <w:rsid w:val="00762D18"/>
    <w:rsid w:val="00762EE5"/>
    <w:rsid w:val="00762F27"/>
    <w:rsid w:val="00762F43"/>
    <w:rsid w:val="00762FA4"/>
    <w:rsid w:val="00763107"/>
    <w:rsid w:val="00763146"/>
    <w:rsid w:val="00763159"/>
    <w:rsid w:val="00763231"/>
    <w:rsid w:val="0076329E"/>
    <w:rsid w:val="00763305"/>
    <w:rsid w:val="0076337F"/>
    <w:rsid w:val="007633D4"/>
    <w:rsid w:val="0076358C"/>
    <w:rsid w:val="007635FE"/>
    <w:rsid w:val="00763615"/>
    <w:rsid w:val="0076377B"/>
    <w:rsid w:val="00763865"/>
    <w:rsid w:val="0076389B"/>
    <w:rsid w:val="0076389D"/>
    <w:rsid w:val="007639E5"/>
    <w:rsid w:val="00763A66"/>
    <w:rsid w:val="00763B11"/>
    <w:rsid w:val="00763B39"/>
    <w:rsid w:val="00763B7A"/>
    <w:rsid w:val="00763BB7"/>
    <w:rsid w:val="00763C2E"/>
    <w:rsid w:val="00763CE2"/>
    <w:rsid w:val="00763D0C"/>
    <w:rsid w:val="00763E21"/>
    <w:rsid w:val="00763F85"/>
    <w:rsid w:val="0076406B"/>
    <w:rsid w:val="007640C2"/>
    <w:rsid w:val="00764108"/>
    <w:rsid w:val="00764138"/>
    <w:rsid w:val="00764248"/>
    <w:rsid w:val="007642E5"/>
    <w:rsid w:val="007642EC"/>
    <w:rsid w:val="0076441F"/>
    <w:rsid w:val="00764420"/>
    <w:rsid w:val="0076447A"/>
    <w:rsid w:val="0076448C"/>
    <w:rsid w:val="007644A4"/>
    <w:rsid w:val="007644FB"/>
    <w:rsid w:val="007646D1"/>
    <w:rsid w:val="00764922"/>
    <w:rsid w:val="00764988"/>
    <w:rsid w:val="00764A59"/>
    <w:rsid w:val="00764B0B"/>
    <w:rsid w:val="00764B78"/>
    <w:rsid w:val="00764BD4"/>
    <w:rsid w:val="00764BEC"/>
    <w:rsid w:val="00764C0C"/>
    <w:rsid w:val="00764C45"/>
    <w:rsid w:val="00764D87"/>
    <w:rsid w:val="00764E76"/>
    <w:rsid w:val="00765080"/>
    <w:rsid w:val="00765163"/>
    <w:rsid w:val="00765203"/>
    <w:rsid w:val="007652AB"/>
    <w:rsid w:val="007656A8"/>
    <w:rsid w:val="007656DC"/>
    <w:rsid w:val="0076576B"/>
    <w:rsid w:val="00765A25"/>
    <w:rsid w:val="00765BFE"/>
    <w:rsid w:val="00765C13"/>
    <w:rsid w:val="00765C66"/>
    <w:rsid w:val="00765D9E"/>
    <w:rsid w:val="00765E4F"/>
    <w:rsid w:val="00765FC9"/>
    <w:rsid w:val="00765FCB"/>
    <w:rsid w:val="00765FFF"/>
    <w:rsid w:val="00766147"/>
    <w:rsid w:val="00766358"/>
    <w:rsid w:val="0076636F"/>
    <w:rsid w:val="00766477"/>
    <w:rsid w:val="00766560"/>
    <w:rsid w:val="007665C3"/>
    <w:rsid w:val="007665F6"/>
    <w:rsid w:val="00766617"/>
    <w:rsid w:val="007666F0"/>
    <w:rsid w:val="007666F6"/>
    <w:rsid w:val="0076672E"/>
    <w:rsid w:val="00766735"/>
    <w:rsid w:val="00766818"/>
    <w:rsid w:val="0076687F"/>
    <w:rsid w:val="007669A3"/>
    <w:rsid w:val="00766B62"/>
    <w:rsid w:val="00766C4C"/>
    <w:rsid w:val="00766D08"/>
    <w:rsid w:val="00766D60"/>
    <w:rsid w:val="00766D85"/>
    <w:rsid w:val="00766E15"/>
    <w:rsid w:val="00766F28"/>
    <w:rsid w:val="00767036"/>
    <w:rsid w:val="007670E0"/>
    <w:rsid w:val="0076711A"/>
    <w:rsid w:val="00767147"/>
    <w:rsid w:val="007672B4"/>
    <w:rsid w:val="007673CC"/>
    <w:rsid w:val="0076740B"/>
    <w:rsid w:val="007675B5"/>
    <w:rsid w:val="00767657"/>
    <w:rsid w:val="007677A8"/>
    <w:rsid w:val="0076797C"/>
    <w:rsid w:val="00767B45"/>
    <w:rsid w:val="00767B66"/>
    <w:rsid w:val="00767B6F"/>
    <w:rsid w:val="00767C96"/>
    <w:rsid w:val="00767D0E"/>
    <w:rsid w:val="00767EF8"/>
    <w:rsid w:val="007700F7"/>
    <w:rsid w:val="0077011D"/>
    <w:rsid w:val="0077021B"/>
    <w:rsid w:val="0077024B"/>
    <w:rsid w:val="0077037B"/>
    <w:rsid w:val="007703B9"/>
    <w:rsid w:val="0077048C"/>
    <w:rsid w:val="007706A3"/>
    <w:rsid w:val="007707A4"/>
    <w:rsid w:val="007707D8"/>
    <w:rsid w:val="00770967"/>
    <w:rsid w:val="00770C23"/>
    <w:rsid w:val="00770C4D"/>
    <w:rsid w:val="00770D40"/>
    <w:rsid w:val="00770D77"/>
    <w:rsid w:val="00770F43"/>
    <w:rsid w:val="00770FE2"/>
    <w:rsid w:val="0077107E"/>
    <w:rsid w:val="00771081"/>
    <w:rsid w:val="00771086"/>
    <w:rsid w:val="00771339"/>
    <w:rsid w:val="00771350"/>
    <w:rsid w:val="0077149F"/>
    <w:rsid w:val="007714F1"/>
    <w:rsid w:val="00771544"/>
    <w:rsid w:val="00771643"/>
    <w:rsid w:val="007716B7"/>
    <w:rsid w:val="0077170B"/>
    <w:rsid w:val="0077175E"/>
    <w:rsid w:val="00771826"/>
    <w:rsid w:val="007718B2"/>
    <w:rsid w:val="007719BF"/>
    <w:rsid w:val="00771A7B"/>
    <w:rsid w:val="00771BAE"/>
    <w:rsid w:val="00771C51"/>
    <w:rsid w:val="00771C71"/>
    <w:rsid w:val="00771C82"/>
    <w:rsid w:val="00771DDC"/>
    <w:rsid w:val="00771E82"/>
    <w:rsid w:val="00771E8D"/>
    <w:rsid w:val="00772150"/>
    <w:rsid w:val="007721F0"/>
    <w:rsid w:val="00772225"/>
    <w:rsid w:val="007722EA"/>
    <w:rsid w:val="00772316"/>
    <w:rsid w:val="00772351"/>
    <w:rsid w:val="0077245C"/>
    <w:rsid w:val="007724DD"/>
    <w:rsid w:val="00772523"/>
    <w:rsid w:val="0077253F"/>
    <w:rsid w:val="007727EF"/>
    <w:rsid w:val="007727F1"/>
    <w:rsid w:val="007727FB"/>
    <w:rsid w:val="00772D1C"/>
    <w:rsid w:val="00772D51"/>
    <w:rsid w:val="00772D84"/>
    <w:rsid w:val="00772E59"/>
    <w:rsid w:val="00772ED6"/>
    <w:rsid w:val="007730C2"/>
    <w:rsid w:val="007732CE"/>
    <w:rsid w:val="00773368"/>
    <w:rsid w:val="0077344C"/>
    <w:rsid w:val="007734FB"/>
    <w:rsid w:val="00773581"/>
    <w:rsid w:val="00773699"/>
    <w:rsid w:val="00773790"/>
    <w:rsid w:val="00773870"/>
    <w:rsid w:val="00773932"/>
    <w:rsid w:val="0077398F"/>
    <w:rsid w:val="007739C7"/>
    <w:rsid w:val="00773A85"/>
    <w:rsid w:val="00773BE9"/>
    <w:rsid w:val="00773C0B"/>
    <w:rsid w:val="00773E32"/>
    <w:rsid w:val="00773F49"/>
    <w:rsid w:val="00773F68"/>
    <w:rsid w:val="007741D6"/>
    <w:rsid w:val="00774229"/>
    <w:rsid w:val="00774247"/>
    <w:rsid w:val="007742CB"/>
    <w:rsid w:val="00774352"/>
    <w:rsid w:val="0077436E"/>
    <w:rsid w:val="00774391"/>
    <w:rsid w:val="007743E3"/>
    <w:rsid w:val="0077449D"/>
    <w:rsid w:val="00774563"/>
    <w:rsid w:val="007745CF"/>
    <w:rsid w:val="00774617"/>
    <w:rsid w:val="0077467F"/>
    <w:rsid w:val="0077473A"/>
    <w:rsid w:val="007748CD"/>
    <w:rsid w:val="00774B02"/>
    <w:rsid w:val="00774BC8"/>
    <w:rsid w:val="00774C7D"/>
    <w:rsid w:val="00774D69"/>
    <w:rsid w:val="00774E21"/>
    <w:rsid w:val="00774EF8"/>
    <w:rsid w:val="00774F49"/>
    <w:rsid w:val="00775095"/>
    <w:rsid w:val="0077524C"/>
    <w:rsid w:val="00775286"/>
    <w:rsid w:val="007752E5"/>
    <w:rsid w:val="00775375"/>
    <w:rsid w:val="00775376"/>
    <w:rsid w:val="00775391"/>
    <w:rsid w:val="00775395"/>
    <w:rsid w:val="00775527"/>
    <w:rsid w:val="0077561D"/>
    <w:rsid w:val="0077564D"/>
    <w:rsid w:val="007756B6"/>
    <w:rsid w:val="007757DA"/>
    <w:rsid w:val="007758DD"/>
    <w:rsid w:val="00775A35"/>
    <w:rsid w:val="00775B4B"/>
    <w:rsid w:val="00775B80"/>
    <w:rsid w:val="00775B9E"/>
    <w:rsid w:val="00775BA1"/>
    <w:rsid w:val="00775C4C"/>
    <w:rsid w:val="00775C6D"/>
    <w:rsid w:val="00775C97"/>
    <w:rsid w:val="00775D66"/>
    <w:rsid w:val="00775EED"/>
    <w:rsid w:val="007760BF"/>
    <w:rsid w:val="00776129"/>
    <w:rsid w:val="007761AB"/>
    <w:rsid w:val="007762F0"/>
    <w:rsid w:val="0077631E"/>
    <w:rsid w:val="00776340"/>
    <w:rsid w:val="007763AB"/>
    <w:rsid w:val="007763B4"/>
    <w:rsid w:val="007765AB"/>
    <w:rsid w:val="0077685C"/>
    <w:rsid w:val="007768B2"/>
    <w:rsid w:val="00776930"/>
    <w:rsid w:val="00776950"/>
    <w:rsid w:val="007769C0"/>
    <w:rsid w:val="00776A80"/>
    <w:rsid w:val="00776B84"/>
    <w:rsid w:val="00776DC9"/>
    <w:rsid w:val="00776DFA"/>
    <w:rsid w:val="00776E21"/>
    <w:rsid w:val="00776ED6"/>
    <w:rsid w:val="00776F80"/>
    <w:rsid w:val="00776F8D"/>
    <w:rsid w:val="00776FF9"/>
    <w:rsid w:val="00777087"/>
    <w:rsid w:val="007770FD"/>
    <w:rsid w:val="00777152"/>
    <w:rsid w:val="007773DE"/>
    <w:rsid w:val="00777429"/>
    <w:rsid w:val="00777A75"/>
    <w:rsid w:val="00777B39"/>
    <w:rsid w:val="00777B3E"/>
    <w:rsid w:val="00777B73"/>
    <w:rsid w:val="00777C87"/>
    <w:rsid w:val="00777CA2"/>
    <w:rsid w:val="00777E4E"/>
    <w:rsid w:val="00777FCE"/>
    <w:rsid w:val="00780079"/>
    <w:rsid w:val="0078008F"/>
    <w:rsid w:val="007800EC"/>
    <w:rsid w:val="00780185"/>
    <w:rsid w:val="00780266"/>
    <w:rsid w:val="007802D0"/>
    <w:rsid w:val="00780421"/>
    <w:rsid w:val="0078049B"/>
    <w:rsid w:val="0078055D"/>
    <w:rsid w:val="0078057D"/>
    <w:rsid w:val="007805D7"/>
    <w:rsid w:val="00780A8F"/>
    <w:rsid w:val="00780AFB"/>
    <w:rsid w:val="00780C19"/>
    <w:rsid w:val="00780D66"/>
    <w:rsid w:val="00780E02"/>
    <w:rsid w:val="00780EE3"/>
    <w:rsid w:val="007812E7"/>
    <w:rsid w:val="00781555"/>
    <w:rsid w:val="00781562"/>
    <w:rsid w:val="00781710"/>
    <w:rsid w:val="0078174C"/>
    <w:rsid w:val="0078175E"/>
    <w:rsid w:val="00781771"/>
    <w:rsid w:val="00781826"/>
    <w:rsid w:val="007818AD"/>
    <w:rsid w:val="00781926"/>
    <w:rsid w:val="0078197E"/>
    <w:rsid w:val="00781988"/>
    <w:rsid w:val="007819ED"/>
    <w:rsid w:val="00781B28"/>
    <w:rsid w:val="00781BC5"/>
    <w:rsid w:val="00781C1B"/>
    <w:rsid w:val="00781D32"/>
    <w:rsid w:val="00781D69"/>
    <w:rsid w:val="00781E0B"/>
    <w:rsid w:val="00781E2A"/>
    <w:rsid w:val="00781F7D"/>
    <w:rsid w:val="00782121"/>
    <w:rsid w:val="007822D2"/>
    <w:rsid w:val="007822D7"/>
    <w:rsid w:val="00782375"/>
    <w:rsid w:val="00782443"/>
    <w:rsid w:val="007824B6"/>
    <w:rsid w:val="00782590"/>
    <w:rsid w:val="0078263D"/>
    <w:rsid w:val="0078266A"/>
    <w:rsid w:val="007826D5"/>
    <w:rsid w:val="00782803"/>
    <w:rsid w:val="0078287F"/>
    <w:rsid w:val="00782BDA"/>
    <w:rsid w:val="00782DD1"/>
    <w:rsid w:val="00782EDD"/>
    <w:rsid w:val="00782FD6"/>
    <w:rsid w:val="007830B5"/>
    <w:rsid w:val="007830D1"/>
    <w:rsid w:val="00783122"/>
    <w:rsid w:val="00783163"/>
    <w:rsid w:val="00783219"/>
    <w:rsid w:val="007833C8"/>
    <w:rsid w:val="007834BD"/>
    <w:rsid w:val="0078351A"/>
    <w:rsid w:val="00783593"/>
    <w:rsid w:val="00783644"/>
    <w:rsid w:val="0078369E"/>
    <w:rsid w:val="00783885"/>
    <w:rsid w:val="00783A8D"/>
    <w:rsid w:val="00783AD3"/>
    <w:rsid w:val="00783B41"/>
    <w:rsid w:val="00783B7F"/>
    <w:rsid w:val="00783BCB"/>
    <w:rsid w:val="00783BD4"/>
    <w:rsid w:val="00783C0B"/>
    <w:rsid w:val="00783C35"/>
    <w:rsid w:val="00783E44"/>
    <w:rsid w:val="00783F7C"/>
    <w:rsid w:val="00783F98"/>
    <w:rsid w:val="00783FBF"/>
    <w:rsid w:val="00783FD0"/>
    <w:rsid w:val="00783FEE"/>
    <w:rsid w:val="00784035"/>
    <w:rsid w:val="00784082"/>
    <w:rsid w:val="007840DC"/>
    <w:rsid w:val="00784309"/>
    <w:rsid w:val="00784359"/>
    <w:rsid w:val="007843F7"/>
    <w:rsid w:val="0078449F"/>
    <w:rsid w:val="007844BB"/>
    <w:rsid w:val="007844F4"/>
    <w:rsid w:val="0078453C"/>
    <w:rsid w:val="007845D6"/>
    <w:rsid w:val="00784693"/>
    <w:rsid w:val="0078477A"/>
    <w:rsid w:val="00784800"/>
    <w:rsid w:val="0078487B"/>
    <w:rsid w:val="00784892"/>
    <w:rsid w:val="00784ABB"/>
    <w:rsid w:val="00784C5C"/>
    <w:rsid w:val="00784F2C"/>
    <w:rsid w:val="0078502B"/>
    <w:rsid w:val="00785035"/>
    <w:rsid w:val="00785065"/>
    <w:rsid w:val="0078506A"/>
    <w:rsid w:val="0078523E"/>
    <w:rsid w:val="007852B3"/>
    <w:rsid w:val="00785330"/>
    <w:rsid w:val="00785381"/>
    <w:rsid w:val="007853B3"/>
    <w:rsid w:val="00785407"/>
    <w:rsid w:val="0078543D"/>
    <w:rsid w:val="007856A9"/>
    <w:rsid w:val="007856C8"/>
    <w:rsid w:val="007856E0"/>
    <w:rsid w:val="00785857"/>
    <w:rsid w:val="00785A0D"/>
    <w:rsid w:val="00785B09"/>
    <w:rsid w:val="00785C2B"/>
    <w:rsid w:val="00785C37"/>
    <w:rsid w:val="00785E97"/>
    <w:rsid w:val="00785E9E"/>
    <w:rsid w:val="00785EC8"/>
    <w:rsid w:val="00785FE9"/>
    <w:rsid w:val="00786073"/>
    <w:rsid w:val="00786114"/>
    <w:rsid w:val="00786201"/>
    <w:rsid w:val="007862BE"/>
    <w:rsid w:val="00786476"/>
    <w:rsid w:val="007864D1"/>
    <w:rsid w:val="007865A9"/>
    <w:rsid w:val="007865BD"/>
    <w:rsid w:val="007865CC"/>
    <w:rsid w:val="007866CE"/>
    <w:rsid w:val="0078675B"/>
    <w:rsid w:val="00786794"/>
    <w:rsid w:val="00786803"/>
    <w:rsid w:val="00786806"/>
    <w:rsid w:val="00786C5E"/>
    <w:rsid w:val="00786C7D"/>
    <w:rsid w:val="00786D28"/>
    <w:rsid w:val="00786DEF"/>
    <w:rsid w:val="00786EDA"/>
    <w:rsid w:val="00787052"/>
    <w:rsid w:val="0078708F"/>
    <w:rsid w:val="00787235"/>
    <w:rsid w:val="00787240"/>
    <w:rsid w:val="00787320"/>
    <w:rsid w:val="007873E9"/>
    <w:rsid w:val="0078743D"/>
    <w:rsid w:val="00787487"/>
    <w:rsid w:val="00787522"/>
    <w:rsid w:val="0078765E"/>
    <w:rsid w:val="00787814"/>
    <w:rsid w:val="00787836"/>
    <w:rsid w:val="007879FE"/>
    <w:rsid w:val="00787AB4"/>
    <w:rsid w:val="00787BE7"/>
    <w:rsid w:val="00787BF6"/>
    <w:rsid w:val="00787CE3"/>
    <w:rsid w:val="00787D2E"/>
    <w:rsid w:val="00787DD0"/>
    <w:rsid w:val="00790142"/>
    <w:rsid w:val="0079017B"/>
    <w:rsid w:val="00790212"/>
    <w:rsid w:val="0079024D"/>
    <w:rsid w:val="0079035A"/>
    <w:rsid w:val="00790393"/>
    <w:rsid w:val="007904FB"/>
    <w:rsid w:val="0079058A"/>
    <w:rsid w:val="007905BA"/>
    <w:rsid w:val="007906AE"/>
    <w:rsid w:val="007906C5"/>
    <w:rsid w:val="00790789"/>
    <w:rsid w:val="007907AF"/>
    <w:rsid w:val="007907D7"/>
    <w:rsid w:val="0079082E"/>
    <w:rsid w:val="007908AB"/>
    <w:rsid w:val="007909B7"/>
    <w:rsid w:val="00790C3A"/>
    <w:rsid w:val="00790CED"/>
    <w:rsid w:val="00790D75"/>
    <w:rsid w:val="00790EDC"/>
    <w:rsid w:val="00790EF0"/>
    <w:rsid w:val="00790FD3"/>
    <w:rsid w:val="00790FF1"/>
    <w:rsid w:val="0079100A"/>
    <w:rsid w:val="00791040"/>
    <w:rsid w:val="00791121"/>
    <w:rsid w:val="00791219"/>
    <w:rsid w:val="007914B7"/>
    <w:rsid w:val="00791543"/>
    <w:rsid w:val="00791580"/>
    <w:rsid w:val="007915C1"/>
    <w:rsid w:val="007915DA"/>
    <w:rsid w:val="007915DC"/>
    <w:rsid w:val="0079165C"/>
    <w:rsid w:val="0079182E"/>
    <w:rsid w:val="00791871"/>
    <w:rsid w:val="00791882"/>
    <w:rsid w:val="007918CE"/>
    <w:rsid w:val="0079191C"/>
    <w:rsid w:val="00791AFF"/>
    <w:rsid w:val="00791C1E"/>
    <w:rsid w:val="00791CA0"/>
    <w:rsid w:val="00791E45"/>
    <w:rsid w:val="00791FEC"/>
    <w:rsid w:val="00792052"/>
    <w:rsid w:val="00792082"/>
    <w:rsid w:val="007920C6"/>
    <w:rsid w:val="0079213B"/>
    <w:rsid w:val="007921C8"/>
    <w:rsid w:val="007921D6"/>
    <w:rsid w:val="007921E1"/>
    <w:rsid w:val="00792318"/>
    <w:rsid w:val="0079251D"/>
    <w:rsid w:val="00792541"/>
    <w:rsid w:val="0079254F"/>
    <w:rsid w:val="00792593"/>
    <w:rsid w:val="00792612"/>
    <w:rsid w:val="007926C8"/>
    <w:rsid w:val="007926E7"/>
    <w:rsid w:val="007929DC"/>
    <w:rsid w:val="00792A39"/>
    <w:rsid w:val="00792B32"/>
    <w:rsid w:val="00792C82"/>
    <w:rsid w:val="00792CAE"/>
    <w:rsid w:val="00792E74"/>
    <w:rsid w:val="00792E96"/>
    <w:rsid w:val="00792EC4"/>
    <w:rsid w:val="00792F76"/>
    <w:rsid w:val="00793055"/>
    <w:rsid w:val="0079308F"/>
    <w:rsid w:val="007930B5"/>
    <w:rsid w:val="0079313C"/>
    <w:rsid w:val="00793174"/>
    <w:rsid w:val="007931E1"/>
    <w:rsid w:val="0079324B"/>
    <w:rsid w:val="00793374"/>
    <w:rsid w:val="00793462"/>
    <w:rsid w:val="007935A2"/>
    <w:rsid w:val="00793601"/>
    <w:rsid w:val="007936E3"/>
    <w:rsid w:val="0079375F"/>
    <w:rsid w:val="007937ED"/>
    <w:rsid w:val="00793852"/>
    <w:rsid w:val="0079390A"/>
    <w:rsid w:val="00793A76"/>
    <w:rsid w:val="00793B47"/>
    <w:rsid w:val="00793BC2"/>
    <w:rsid w:val="00793D3F"/>
    <w:rsid w:val="00793E61"/>
    <w:rsid w:val="00793E88"/>
    <w:rsid w:val="00793F1C"/>
    <w:rsid w:val="00793F49"/>
    <w:rsid w:val="00794044"/>
    <w:rsid w:val="0079407C"/>
    <w:rsid w:val="00794121"/>
    <w:rsid w:val="007941EC"/>
    <w:rsid w:val="00794384"/>
    <w:rsid w:val="00794421"/>
    <w:rsid w:val="00794471"/>
    <w:rsid w:val="0079451B"/>
    <w:rsid w:val="0079456E"/>
    <w:rsid w:val="00794579"/>
    <w:rsid w:val="0079458B"/>
    <w:rsid w:val="0079459A"/>
    <w:rsid w:val="007945B4"/>
    <w:rsid w:val="00794762"/>
    <w:rsid w:val="007948A3"/>
    <w:rsid w:val="00794912"/>
    <w:rsid w:val="00794974"/>
    <w:rsid w:val="00794AEB"/>
    <w:rsid w:val="00794B0A"/>
    <w:rsid w:val="00794B0F"/>
    <w:rsid w:val="00794B25"/>
    <w:rsid w:val="00794C9D"/>
    <w:rsid w:val="00794D08"/>
    <w:rsid w:val="00794D09"/>
    <w:rsid w:val="00794D3C"/>
    <w:rsid w:val="00794D40"/>
    <w:rsid w:val="00794DA0"/>
    <w:rsid w:val="00794E27"/>
    <w:rsid w:val="007950D1"/>
    <w:rsid w:val="00795175"/>
    <w:rsid w:val="007951A9"/>
    <w:rsid w:val="007951E1"/>
    <w:rsid w:val="00795214"/>
    <w:rsid w:val="00795347"/>
    <w:rsid w:val="00795755"/>
    <w:rsid w:val="007959B8"/>
    <w:rsid w:val="00795A93"/>
    <w:rsid w:val="00795B44"/>
    <w:rsid w:val="00795B4E"/>
    <w:rsid w:val="00795F17"/>
    <w:rsid w:val="00795F1B"/>
    <w:rsid w:val="00795FA8"/>
    <w:rsid w:val="0079613C"/>
    <w:rsid w:val="00796149"/>
    <w:rsid w:val="007961B5"/>
    <w:rsid w:val="00796207"/>
    <w:rsid w:val="007962EE"/>
    <w:rsid w:val="00796364"/>
    <w:rsid w:val="007964FE"/>
    <w:rsid w:val="00796693"/>
    <w:rsid w:val="007966BE"/>
    <w:rsid w:val="007966CF"/>
    <w:rsid w:val="007966E0"/>
    <w:rsid w:val="00796ACD"/>
    <w:rsid w:val="00796B46"/>
    <w:rsid w:val="00796B9A"/>
    <w:rsid w:val="00796C06"/>
    <w:rsid w:val="00796C59"/>
    <w:rsid w:val="00796C97"/>
    <w:rsid w:val="00796D15"/>
    <w:rsid w:val="00796F29"/>
    <w:rsid w:val="00796FA4"/>
    <w:rsid w:val="00796FBB"/>
    <w:rsid w:val="007970EA"/>
    <w:rsid w:val="007972AD"/>
    <w:rsid w:val="0079731C"/>
    <w:rsid w:val="007973FB"/>
    <w:rsid w:val="00797421"/>
    <w:rsid w:val="007974EB"/>
    <w:rsid w:val="00797509"/>
    <w:rsid w:val="0079765A"/>
    <w:rsid w:val="00797662"/>
    <w:rsid w:val="00797725"/>
    <w:rsid w:val="007977E8"/>
    <w:rsid w:val="007978B3"/>
    <w:rsid w:val="007978B7"/>
    <w:rsid w:val="007978EE"/>
    <w:rsid w:val="007979E1"/>
    <w:rsid w:val="007979F5"/>
    <w:rsid w:val="00797A46"/>
    <w:rsid w:val="00797A82"/>
    <w:rsid w:val="00797CE5"/>
    <w:rsid w:val="00797DDA"/>
    <w:rsid w:val="00797E36"/>
    <w:rsid w:val="00797F04"/>
    <w:rsid w:val="007A00B6"/>
    <w:rsid w:val="007A00D5"/>
    <w:rsid w:val="007A00FF"/>
    <w:rsid w:val="007A01BF"/>
    <w:rsid w:val="007A02C3"/>
    <w:rsid w:val="007A02D1"/>
    <w:rsid w:val="007A040C"/>
    <w:rsid w:val="007A05A6"/>
    <w:rsid w:val="007A0644"/>
    <w:rsid w:val="007A072B"/>
    <w:rsid w:val="007A0735"/>
    <w:rsid w:val="007A0787"/>
    <w:rsid w:val="007A07D8"/>
    <w:rsid w:val="007A0822"/>
    <w:rsid w:val="007A0829"/>
    <w:rsid w:val="007A0975"/>
    <w:rsid w:val="007A0A2A"/>
    <w:rsid w:val="007A0AF0"/>
    <w:rsid w:val="007A0B73"/>
    <w:rsid w:val="007A0C13"/>
    <w:rsid w:val="007A0C69"/>
    <w:rsid w:val="007A0C85"/>
    <w:rsid w:val="007A0D24"/>
    <w:rsid w:val="007A0E1A"/>
    <w:rsid w:val="007A0ED8"/>
    <w:rsid w:val="007A0FA9"/>
    <w:rsid w:val="007A115B"/>
    <w:rsid w:val="007A1204"/>
    <w:rsid w:val="007A122C"/>
    <w:rsid w:val="007A1282"/>
    <w:rsid w:val="007A12EA"/>
    <w:rsid w:val="007A1487"/>
    <w:rsid w:val="007A148E"/>
    <w:rsid w:val="007A14DF"/>
    <w:rsid w:val="007A1541"/>
    <w:rsid w:val="007A16F4"/>
    <w:rsid w:val="007A1787"/>
    <w:rsid w:val="007A17F6"/>
    <w:rsid w:val="007A19FF"/>
    <w:rsid w:val="007A1B92"/>
    <w:rsid w:val="007A1DF1"/>
    <w:rsid w:val="007A1E6D"/>
    <w:rsid w:val="007A1E8E"/>
    <w:rsid w:val="007A2035"/>
    <w:rsid w:val="007A2044"/>
    <w:rsid w:val="007A21D5"/>
    <w:rsid w:val="007A230E"/>
    <w:rsid w:val="007A241C"/>
    <w:rsid w:val="007A24F4"/>
    <w:rsid w:val="007A280C"/>
    <w:rsid w:val="007A29B5"/>
    <w:rsid w:val="007A29C8"/>
    <w:rsid w:val="007A2A02"/>
    <w:rsid w:val="007A2AB8"/>
    <w:rsid w:val="007A2E7C"/>
    <w:rsid w:val="007A2F3C"/>
    <w:rsid w:val="007A2F5B"/>
    <w:rsid w:val="007A2FD8"/>
    <w:rsid w:val="007A2FDE"/>
    <w:rsid w:val="007A3195"/>
    <w:rsid w:val="007A3333"/>
    <w:rsid w:val="007A3386"/>
    <w:rsid w:val="007A3403"/>
    <w:rsid w:val="007A3445"/>
    <w:rsid w:val="007A34F4"/>
    <w:rsid w:val="007A3548"/>
    <w:rsid w:val="007A35C7"/>
    <w:rsid w:val="007A37A3"/>
    <w:rsid w:val="007A37A8"/>
    <w:rsid w:val="007A37F2"/>
    <w:rsid w:val="007A38C2"/>
    <w:rsid w:val="007A38FE"/>
    <w:rsid w:val="007A3954"/>
    <w:rsid w:val="007A397D"/>
    <w:rsid w:val="007A3A81"/>
    <w:rsid w:val="007A3BDE"/>
    <w:rsid w:val="007A3C96"/>
    <w:rsid w:val="007A3E5E"/>
    <w:rsid w:val="007A3EF5"/>
    <w:rsid w:val="007A3FF1"/>
    <w:rsid w:val="007A42D6"/>
    <w:rsid w:val="007A449E"/>
    <w:rsid w:val="007A4586"/>
    <w:rsid w:val="007A468A"/>
    <w:rsid w:val="007A47F4"/>
    <w:rsid w:val="007A4835"/>
    <w:rsid w:val="007A4836"/>
    <w:rsid w:val="007A491E"/>
    <w:rsid w:val="007A49D4"/>
    <w:rsid w:val="007A4B40"/>
    <w:rsid w:val="007A4C00"/>
    <w:rsid w:val="007A4CFE"/>
    <w:rsid w:val="007A4D16"/>
    <w:rsid w:val="007A4D56"/>
    <w:rsid w:val="007A5069"/>
    <w:rsid w:val="007A5114"/>
    <w:rsid w:val="007A5444"/>
    <w:rsid w:val="007A547B"/>
    <w:rsid w:val="007A5535"/>
    <w:rsid w:val="007A5594"/>
    <w:rsid w:val="007A55DF"/>
    <w:rsid w:val="007A56DD"/>
    <w:rsid w:val="007A581E"/>
    <w:rsid w:val="007A5860"/>
    <w:rsid w:val="007A5AEC"/>
    <w:rsid w:val="007A5BD8"/>
    <w:rsid w:val="007A5C28"/>
    <w:rsid w:val="007A5CAB"/>
    <w:rsid w:val="007A5D01"/>
    <w:rsid w:val="007A5FB5"/>
    <w:rsid w:val="007A603D"/>
    <w:rsid w:val="007A6059"/>
    <w:rsid w:val="007A60CC"/>
    <w:rsid w:val="007A60ED"/>
    <w:rsid w:val="007A60F9"/>
    <w:rsid w:val="007A61E3"/>
    <w:rsid w:val="007A6225"/>
    <w:rsid w:val="007A627D"/>
    <w:rsid w:val="007A643D"/>
    <w:rsid w:val="007A6536"/>
    <w:rsid w:val="007A66A6"/>
    <w:rsid w:val="007A66D1"/>
    <w:rsid w:val="007A66F5"/>
    <w:rsid w:val="007A6979"/>
    <w:rsid w:val="007A697A"/>
    <w:rsid w:val="007A6A9C"/>
    <w:rsid w:val="007A6AD9"/>
    <w:rsid w:val="007A6B10"/>
    <w:rsid w:val="007A6B73"/>
    <w:rsid w:val="007A6C5A"/>
    <w:rsid w:val="007A6D37"/>
    <w:rsid w:val="007A6D6E"/>
    <w:rsid w:val="007A6D96"/>
    <w:rsid w:val="007A6F10"/>
    <w:rsid w:val="007A7061"/>
    <w:rsid w:val="007A7173"/>
    <w:rsid w:val="007A71CE"/>
    <w:rsid w:val="007A71FE"/>
    <w:rsid w:val="007A7212"/>
    <w:rsid w:val="007A723A"/>
    <w:rsid w:val="007A7261"/>
    <w:rsid w:val="007A7288"/>
    <w:rsid w:val="007A73A3"/>
    <w:rsid w:val="007A73F2"/>
    <w:rsid w:val="007A7484"/>
    <w:rsid w:val="007A75E8"/>
    <w:rsid w:val="007A76D6"/>
    <w:rsid w:val="007A7873"/>
    <w:rsid w:val="007A78F8"/>
    <w:rsid w:val="007A792C"/>
    <w:rsid w:val="007A7C84"/>
    <w:rsid w:val="007A7CE1"/>
    <w:rsid w:val="007A7E16"/>
    <w:rsid w:val="007A7F14"/>
    <w:rsid w:val="007B0153"/>
    <w:rsid w:val="007B0266"/>
    <w:rsid w:val="007B0271"/>
    <w:rsid w:val="007B0513"/>
    <w:rsid w:val="007B0619"/>
    <w:rsid w:val="007B0661"/>
    <w:rsid w:val="007B06CE"/>
    <w:rsid w:val="007B0716"/>
    <w:rsid w:val="007B074F"/>
    <w:rsid w:val="007B08D7"/>
    <w:rsid w:val="007B08F3"/>
    <w:rsid w:val="007B0B12"/>
    <w:rsid w:val="007B0BA5"/>
    <w:rsid w:val="007B0BBF"/>
    <w:rsid w:val="007B0C41"/>
    <w:rsid w:val="007B0CC8"/>
    <w:rsid w:val="007B0E97"/>
    <w:rsid w:val="007B0F58"/>
    <w:rsid w:val="007B0F90"/>
    <w:rsid w:val="007B0FEE"/>
    <w:rsid w:val="007B1315"/>
    <w:rsid w:val="007B13A8"/>
    <w:rsid w:val="007B1456"/>
    <w:rsid w:val="007B1569"/>
    <w:rsid w:val="007B1608"/>
    <w:rsid w:val="007B1620"/>
    <w:rsid w:val="007B166F"/>
    <w:rsid w:val="007B16D5"/>
    <w:rsid w:val="007B190C"/>
    <w:rsid w:val="007B1A67"/>
    <w:rsid w:val="007B1AAA"/>
    <w:rsid w:val="007B1B5B"/>
    <w:rsid w:val="007B1B6D"/>
    <w:rsid w:val="007B1BE1"/>
    <w:rsid w:val="007B1DCD"/>
    <w:rsid w:val="007B1DDA"/>
    <w:rsid w:val="007B20F8"/>
    <w:rsid w:val="007B2190"/>
    <w:rsid w:val="007B228B"/>
    <w:rsid w:val="007B2452"/>
    <w:rsid w:val="007B2695"/>
    <w:rsid w:val="007B27EC"/>
    <w:rsid w:val="007B27F9"/>
    <w:rsid w:val="007B27FE"/>
    <w:rsid w:val="007B2885"/>
    <w:rsid w:val="007B28B7"/>
    <w:rsid w:val="007B2B2D"/>
    <w:rsid w:val="007B2BE8"/>
    <w:rsid w:val="007B2D17"/>
    <w:rsid w:val="007B2D40"/>
    <w:rsid w:val="007B2E10"/>
    <w:rsid w:val="007B2F19"/>
    <w:rsid w:val="007B2F55"/>
    <w:rsid w:val="007B310B"/>
    <w:rsid w:val="007B312E"/>
    <w:rsid w:val="007B3164"/>
    <w:rsid w:val="007B31D3"/>
    <w:rsid w:val="007B3214"/>
    <w:rsid w:val="007B3269"/>
    <w:rsid w:val="007B3279"/>
    <w:rsid w:val="007B3476"/>
    <w:rsid w:val="007B348D"/>
    <w:rsid w:val="007B34DF"/>
    <w:rsid w:val="007B35C1"/>
    <w:rsid w:val="007B35D7"/>
    <w:rsid w:val="007B35E7"/>
    <w:rsid w:val="007B361F"/>
    <w:rsid w:val="007B3780"/>
    <w:rsid w:val="007B388E"/>
    <w:rsid w:val="007B38A1"/>
    <w:rsid w:val="007B399E"/>
    <w:rsid w:val="007B3ABD"/>
    <w:rsid w:val="007B3ABE"/>
    <w:rsid w:val="007B3C12"/>
    <w:rsid w:val="007B3C9F"/>
    <w:rsid w:val="007B3D29"/>
    <w:rsid w:val="007B3D84"/>
    <w:rsid w:val="007B3ECD"/>
    <w:rsid w:val="007B3ED6"/>
    <w:rsid w:val="007B3FAC"/>
    <w:rsid w:val="007B4183"/>
    <w:rsid w:val="007B418E"/>
    <w:rsid w:val="007B41B3"/>
    <w:rsid w:val="007B4220"/>
    <w:rsid w:val="007B45E3"/>
    <w:rsid w:val="007B4879"/>
    <w:rsid w:val="007B4C16"/>
    <w:rsid w:val="007B4CD1"/>
    <w:rsid w:val="007B4CFC"/>
    <w:rsid w:val="007B4F83"/>
    <w:rsid w:val="007B5252"/>
    <w:rsid w:val="007B52E5"/>
    <w:rsid w:val="007B53B8"/>
    <w:rsid w:val="007B5545"/>
    <w:rsid w:val="007B559F"/>
    <w:rsid w:val="007B56BF"/>
    <w:rsid w:val="007B5770"/>
    <w:rsid w:val="007B59EC"/>
    <w:rsid w:val="007B5B8C"/>
    <w:rsid w:val="007B5C63"/>
    <w:rsid w:val="007B5C64"/>
    <w:rsid w:val="007B5C9A"/>
    <w:rsid w:val="007B5CCB"/>
    <w:rsid w:val="007B5FA2"/>
    <w:rsid w:val="007B6032"/>
    <w:rsid w:val="007B6140"/>
    <w:rsid w:val="007B6166"/>
    <w:rsid w:val="007B6175"/>
    <w:rsid w:val="007B6183"/>
    <w:rsid w:val="007B6205"/>
    <w:rsid w:val="007B6225"/>
    <w:rsid w:val="007B627C"/>
    <w:rsid w:val="007B63E2"/>
    <w:rsid w:val="007B641F"/>
    <w:rsid w:val="007B6445"/>
    <w:rsid w:val="007B6478"/>
    <w:rsid w:val="007B64A0"/>
    <w:rsid w:val="007B6798"/>
    <w:rsid w:val="007B69B9"/>
    <w:rsid w:val="007B6C63"/>
    <w:rsid w:val="007B6CB1"/>
    <w:rsid w:val="007B6D3E"/>
    <w:rsid w:val="007B6DD1"/>
    <w:rsid w:val="007B6E9C"/>
    <w:rsid w:val="007B6EF3"/>
    <w:rsid w:val="007B6F37"/>
    <w:rsid w:val="007B707C"/>
    <w:rsid w:val="007B7194"/>
    <w:rsid w:val="007B7231"/>
    <w:rsid w:val="007B73E7"/>
    <w:rsid w:val="007B7595"/>
    <w:rsid w:val="007B7660"/>
    <w:rsid w:val="007B7747"/>
    <w:rsid w:val="007B791C"/>
    <w:rsid w:val="007B7B6C"/>
    <w:rsid w:val="007B7BC2"/>
    <w:rsid w:val="007B7C05"/>
    <w:rsid w:val="007B7CD3"/>
    <w:rsid w:val="007B7D38"/>
    <w:rsid w:val="007C00BC"/>
    <w:rsid w:val="007C02AB"/>
    <w:rsid w:val="007C03A8"/>
    <w:rsid w:val="007C03E3"/>
    <w:rsid w:val="007C0406"/>
    <w:rsid w:val="007C0437"/>
    <w:rsid w:val="007C048D"/>
    <w:rsid w:val="007C051B"/>
    <w:rsid w:val="007C054D"/>
    <w:rsid w:val="007C0714"/>
    <w:rsid w:val="007C0870"/>
    <w:rsid w:val="007C08B0"/>
    <w:rsid w:val="007C09A2"/>
    <w:rsid w:val="007C0B28"/>
    <w:rsid w:val="007C0C3B"/>
    <w:rsid w:val="007C0D8C"/>
    <w:rsid w:val="007C0DF2"/>
    <w:rsid w:val="007C0E17"/>
    <w:rsid w:val="007C0E5B"/>
    <w:rsid w:val="007C0F29"/>
    <w:rsid w:val="007C0FF8"/>
    <w:rsid w:val="007C101D"/>
    <w:rsid w:val="007C106F"/>
    <w:rsid w:val="007C10A9"/>
    <w:rsid w:val="007C1124"/>
    <w:rsid w:val="007C127F"/>
    <w:rsid w:val="007C132A"/>
    <w:rsid w:val="007C1362"/>
    <w:rsid w:val="007C1367"/>
    <w:rsid w:val="007C1575"/>
    <w:rsid w:val="007C15E7"/>
    <w:rsid w:val="007C16D9"/>
    <w:rsid w:val="007C1773"/>
    <w:rsid w:val="007C1855"/>
    <w:rsid w:val="007C195D"/>
    <w:rsid w:val="007C1985"/>
    <w:rsid w:val="007C1B4B"/>
    <w:rsid w:val="007C1C5D"/>
    <w:rsid w:val="007C1C6C"/>
    <w:rsid w:val="007C1C6D"/>
    <w:rsid w:val="007C1DD4"/>
    <w:rsid w:val="007C1F23"/>
    <w:rsid w:val="007C2067"/>
    <w:rsid w:val="007C2151"/>
    <w:rsid w:val="007C2166"/>
    <w:rsid w:val="007C2170"/>
    <w:rsid w:val="007C223A"/>
    <w:rsid w:val="007C2314"/>
    <w:rsid w:val="007C237F"/>
    <w:rsid w:val="007C2426"/>
    <w:rsid w:val="007C2429"/>
    <w:rsid w:val="007C245B"/>
    <w:rsid w:val="007C25A0"/>
    <w:rsid w:val="007C266C"/>
    <w:rsid w:val="007C268A"/>
    <w:rsid w:val="007C2768"/>
    <w:rsid w:val="007C28C1"/>
    <w:rsid w:val="007C2A79"/>
    <w:rsid w:val="007C2AFD"/>
    <w:rsid w:val="007C2C61"/>
    <w:rsid w:val="007C2D6A"/>
    <w:rsid w:val="007C2D97"/>
    <w:rsid w:val="007C2E50"/>
    <w:rsid w:val="007C2F11"/>
    <w:rsid w:val="007C2F28"/>
    <w:rsid w:val="007C3172"/>
    <w:rsid w:val="007C3192"/>
    <w:rsid w:val="007C3381"/>
    <w:rsid w:val="007C3596"/>
    <w:rsid w:val="007C35C1"/>
    <w:rsid w:val="007C36F8"/>
    <w:rsid w:val="007C384C"/>
    <w:rsid w:val="007C38A6"/>
    <w:rsid w:val="007C397E"/>
    <w:rsid w:val="007C3A16"/>
    <w:rsid w:val="007C3BB1"/>
    <w:rsid w:val="007C3D44"/>
    <w:rsid w:val="007C3DC5"/>
    <w:rsid w:val="007C3E6B"/>
    <w:rsid w:val="007C3FA4"/>
    <w:rsid w:val="007C4061"/>
    <w:rsid w:val="007C409F"/>
    <w:rsid w:val="007C40C3"/>
    <w:rsid w:val="007C414C"/>
    <w:rsid w:val="007C4198"/>
    <w:rsid w:val="007C4254"/>
    <w:rsid w:val="007C42BB"/>
    <w:rsid w:val="007C44D4"/>
    <w:rsid w:val="007C4515"/>
    <w:rsid w:val="007C46D7"/>
    <w:rsid w:val="007C4717"/>
    <w:rsid w:val="007C474E"/>
    <w:rsid w:val="007C479D"/>
    <w:rsid w:val="007C48CB"/>
    <w:rsid w:val="007C49EA"/>
    <w:rsid w:val="007C4A1B"/>
    <w:rsid w:val="007C4A3D"/>
    <w:rsid w:val="007C4EEF"/>
    <w:rsid w:val="007C5034"/>
    <w:rsid w:val="007C50D3"/>
    <w:rsid w:val="007C5262"/>
    <w:rsid w:val="007C527B"/>
    <w:rsid w:val="007C5282"/>
    <w:rsid w:val="007C52E6"/>
    <w:rsid w:val="007C531B"/>
    <w:rsid w:val="007C5328"/>
    <w:rsid w:val="007C543C"/>
    <w:rsid w:val="007C5442"/>
    <w:rsid w:val="007C57F2"/>
    <w:rsid w:val="007C5809"/>
    <w:rsid w:val="007C587E"/>
    <w:rsid w:val="007C58D6"/>
    <w:rsid w:val="007C5991"/>
    <w:rsid w:val="007C59FC"/>
    <w:rsid w:val="007C5A64"/>
    <w:rsid w:val="007C5B28"/>
    <w:rsid w:val="007C5B49"/>
    <w:rsid w:val="007C5BC4"/>
    <w:rsid w:val="007C5BDD"/>
    <w:rsid w:val="007C5D05"/>
    <w:rsid w:val="007C5D62"/>
    <w:rsid w:val="007C5D92"/>
    <w:rsid w:val="007C5E08"/>
    <w:rsid w:val="007C5EB6"/>
    <w:rsid w:val="007C5EE0"/>
    <w:rsid w:val="007C60C2"/>
    <w:rsid w:val="007C617C"/>
    <w:rsid w:val="007C61EE"/>
    <w:rsid w:val="007C622E"/>
    <w:rsid w:val="007C6297"/>
    <w:rsid w:val="007C6327"/>
    <w:rsid w:val="007C6552"/>
    <w:rsid w:val="007C6638"/>
    <w:rsid w:val="007C693E"/>
    <w:rsid w:val="007C6978"/>
    <w:rsid w:val="007C69A4"/>
    <w:rsid w:val="007C69F2"/>
    <w:rsid w:val="007C6B34"/>
    <w:rsid w:val="007C6C2F"/>
    <w:rsid w:val="007C6C8F"/>
    <w:rsid w:val="007C6D3A"/>
    <w:rsid w:val="007C6E6D"/>
    <w:rsid w:val="007C6EBE"/>
    <w:rsid w:val="007C6F83"/>
    <w:rsid w:val="007C7038"/>
    <w:rsid w:val="007C7095"/>
    <w:rsid w:val="007C70F1"/>
    <w:rsid w:val="007C70FF"/>
    <w:rsid w:val="007C7192"/>
    <w:rsid w:val="007C71F7"/>
    <w:rsid w:val="007C72F7"/>
    <w:rsid w:val="007C741D"/>
    <w:rsid w:val="007C74AF"/>
    <w:rsid w:val="007C74D0"/>
    <w:rsid w:val="007C77FD"/>
    <w:rsid w:val="007C7833"/>
    <w:rsid w:val="007C7862"/>
    <w:rsid w:val="007C7896"/>
    <w:rsid w:val="007C79F6"/>
    <w:rsid w:val="007C7A0E"/>
    <w:rsid w:val="007C7B67"/>
    <w:rsid w:val="007C7BF4"/>
    <w:rsid w:val="007C7C07"/>
    <w:rsid w:val="007C7CFC"/>
    <w:rsid w:val="007C7D7C"/>
    <w:rsid w:val="007C7DCD"/>
    <w:rsid w:val="007C7E24"/>
    <w:rsid w:val="007C7F69"/>
    <w:rsid w:val="007D00A2"/>
    <w:rsid w:val="007D01AC"/>
    <w:rsid w:val="007D01C7"/>
    <w:rsid w:val="007D0279"/>
    <w:rsid w:val="007D0332"/>
    <w:rsid w:val="007D0370"/>
    <w:rsid w:val="007D03E7"/>
    <w:rsid w:val="007D0417"/>
    <w:rsid w:val="007D0685"/>
    <w:rsid w:val="007D0A47"/>
    <w:rsid w:val="007D0A5C"/>
    <w:rsid w:val="007D0A96"/>
    <w:rsid w:val="007D0ADB"/>
    <w:rsid w:val="007D0B4C"/>
    <w:rsid w:val="007D0C31"/>
    <w:rsid w:val="007D0C46"/>
    <w:rsid w:val="007D0DE0"/>
    <w:rsid w:val="007D0E30"/>
    <w:rsid w:val="007D0F3A"/>
    <w:rsid w:val="007D1770"/>
    <w:rsid w:val="007D183E"/>
    <w:rsid w:val="007D197D"/>
    <w:rsid w:val="007D19E0"/>
    <w:rsid w:val="007D1BE4"/>
    <w:rsid w:val="007D1D6D"/>
    <w:rsid w:val="007D1EDD"/>
    <w:rsid w:val="007D1EF8"/>
    <w:rsid w:val="007D1F99"/>
    <w:rsid w:val="007D1FB9"/>
    <w:rsid w:val="007D2147"/>
    <w:rsid w:val="007D21C0"/>
    <w:rsid w:val="007D21C2"/>
    <w:rsid w:val="007D2212"/>
    <w:rsid w:val="007D2254"/>
    <w:rsid w:val="007D2281"/>
    <w:rsid w:val="007D2401"/>
    <w:rsid w:val="007D24E4"/>
    <w:rsid w:val="007D2512"/>
    <w:rsid w:val="007D27F5"/>
    <w:rsid w:val="007D283B"/>
    <w:rsid w:val="007D285D"/>
    <w:rsid w:val="007D2924"/>
    <w:rsid w:val="007D293B"/>
    <w:rsid w:val="007D2A26"/>
    <w:rsid w:val="007D2BD6"/>
    <w:rsid w:val="007D2CC9"/>
    <w:rsid w:val="007D2D3C"/>
    <w:rsid w:val="007D2DB3"/>
    <w:rsid w:val="007D2E96"/>
    <w:rsid w:val="007D2EE0"/>
    <w:rsid w:val="007D303B"/>
    <w:rsid w:val="007D31ED"/>
    <w:rsid w:val="007D344C"/>
    <w:rsid w:val="007D356B"/>
    <w:rsid w:val="007D35CE"/>
    <w:rsid w:val="007D35E9"/>
    <w:rsid w:val="007D37C0"/>
    <w:rsid w:val="007D3896"/>
    <w:rsid w:val="007D38C7"/>
    <w:rsid w:val="007D390F"/>
    <w:rsid w:val="007D391F"/>
    <w:rsid w:val="007D3929"/>
    <w:rsid w:val="007D3A69"/>
    <w:rsid w:val="007D3BBC"/>
    <w:rsid w:val="007D3C5F"/>
    <w:rsid w:val="007D3D7F"/>
    <w:rsid w:val="007D3D87"/>
    <w:rsid w:val="007D3E66"/>
    <w:rsid w:val="007D3F34"/>
    <w:rsid w:val="007D3F45"/>
    <w:rsid w:val="007D3F94"/>
    <w:rsid w:val="007D3F9B"/>
    <w:rsid w:val="007D417C"/>
    <w:rsid w:val="007D428B"/>
    <w:rsid w:val="007D4336"/>
    <w:rsid w:val="007D442B"/>
    <w:rsid w:val="007D44A2"/>
    <w:rsid w:val="007D4524"/>
    <w:rsid w:val="007D457D"/>
    <w:rsid w:val="007D461A"/>
    <w:rsid w:val="007D468A"/>
    <w:rsid w:val="007D46F2"/>
    <w:rsid w:val="007D49D5"/>
    <w:rsid w:val="007D49F1"/>
    <w:rsid w:val="007D4A53"/>
    <w:rsid w:val="007D4B62"/>
    <w:rsid w:val="007D4D22"/>
    <w:rsid w:val="007D4E41"/>
    <w:rsid w:val="007D4E83"/>
    <w:rsid w:val="007D4F83"/>
    <w:rsid w:val="007D4FC2"/>
    <w:rsid w:val="007D5000"/>
    <w:rsid w:val="007D5196"/>
    <w:rsid w:val="007D51C1"/>
    <w:rsid w:val="007D5537"/>
    <w:rsid w:val="007D562A"/>
    <w:rsid w:val="007D5667"/>
    <w:rsid w:val="007D56F8"/>
    <w:rsid w:val="007D57E4"/>
    <w:rsid w:val="007D5837"/>
    <w:rsid w:val="007D5A1E"/>
    <w:rsid w:val="007D5AD1"/>
    <w:rsid w:val="007D5BDC"/>
    <w:rsid w:val="007D5C3B"/>
    <w:rsid w:val="007D5D98"/>
    <w:rsid w:val="007D5E69"/>
    <w:rsid w:val="007D5EF9"/>
    <w:rsid w:val="007D5F04"/>
    <w:rsid w:val="007D5F34"/>
    <w:rsid w:val="007D5F78"/>
    <w:rsid w:val="007D5F79"/>
    <w:rsid w:val="007D60E1"/>
    <w:rsid w:val="007D611A"/>
    <w:rsid w:val="007D62DC"/>
    <w:rsid w:val="007D6340"/>
    <w:rsid w:val="007D63E7"/>
    <w:rsid w:val="007D6416"/>
    <w:rsid w:val="007D641B"/>
    <w:rsid w:val="007D65C1"/>
    <w:rsid w:val="007D65FF"/>
    <w:rsid w:val="007D6638"/>
    <w:rsid w:val="007D66BA"/>
    <w:rsid w:val="007D67CE"/>
    <w:rsid w:val="007D67EF"/>
    <w:rsid w:val="007D6A2A"/>
    <w:rsid w:val="007D6ACD"/>
    <w:rsid w:val="007D6D3C"/>
    <w:rsid w:val="007D6D78"/>
    <w:rsid w:val="007D6E3C"/>
    <w:rsid w:val="007D6ED2"/>
    <w:rsid w:val="007D6FB8"/>
    <w:rsid w:val="007D6FD4"/>
    <w:rsid w:val="007D70FC"/>
    <w:rsid w:val="007D7282"/>
    <w:rsid w:val="007D7357"/>
    <w:rsid w:val="007D743D"/>
    <w:rsid w:val="007D745D"/>
    <w:rsid w:val="007D749A"/>
    <w:rsid w:val="007D754B"/>
    <w:rsid w:val="007D755E"/>
    <w:rsid w:val="007D7678"/>
    <w:rsid w:val="007D76A8"/>
    <w:rsid w:val="007D7797"/>
    <w:rsid w:val="007D77C9"/>
    <w:rsid w:val="007D7A21"/>
    <w:rsid w:val="007D7A50"/>
    <w:rsid w:val="007D7AA1"/>
    <w:rsid w:val="007D7B86"/>
    <w:rsid w:val="007D7BA1"/>
    <w:rsid w:val="007D7BA4"/>
    <w:rsid w:val="007D7C66"/>
    <w:rsid w:val="007D7C9C"/>
    <w:rsid w:val="007E0029"/>
    <w:rsid w:val="007E007B"/>
    <w:rsid w:val="007E037E"/>
    <w:rsid w:val="007E04F2"/>
    <w:rsid w:val="007E04F7"/>
    <w:rsid w:val="007E059D"/>
    <w:rsid w:val="007E0616"/>
    <w:rsid w:val="007E06F9"/>
    <w:rsid w:val="007E0786"/>
    <w:rsid w:val="007E085E"/>
    <w:rsid w:val="007E08ED"/>
    <w:rsid w:val="007E0987"/>
    <w:rsid w:val="007E0AC1"/>
    <w:rsid w:val="007E0AD3"/>
    <w:rsid w:val="007E0B82"/>
    <w:rsid w:val="007E0C22"/>
    <w:rsid w:val="007E0CFC"/>
    <w:rsid w:val="007E0E7B"/>
    <w:rsid w:val="007E0EFE"/>
    <w:rsid w:val="007E0F72"/>
    <w:rsid w:val="007E0FAD"/>
    <w:rsid w:val="007E0FFE"/>
    <w:rsid w:val="007E10C2"/>
    <w:rsid w:val="007E113A"/>
    <w:rsid w:val="007E115C"/>
    <w:rsid w:val="007E1190"/>
    <w:rsid w:val="007E1210"/>
    <w:rsid w:val="007E1221"/>
    <w:rsid w:val="007E12A1"/>
    <w:rsid w:val="007E134B"/>
    <w:rsid w:val="007E136B"/>
    <w:rsid w:val="007E1392"/>
    <w:rsid w:val="007E1445"/>
    <w:rsid w:val="007E14F0"/>
    <w:rsid w:val="007E1595"/>
    <w:rsid w:val="007E16C7"/>
    <w:rsid w:val="007E17F9"/>
    <w:rsid w:val="007E1828"/>
    <w:rsid w:val="007E187B"/>
    <w:rsid w:val="007E18EC"/>
    <w:rsid w:val="007E199D"/>
    <w:rsid w:val="007E19BC"/>
    <w:rsid w:val="007E1C6D"/>
    <w:rsid w:val="007E1CA0"/>
    <w:rsid w:val="007E1D20"/>
    <w:rsid w:val="007E1E88"/>
    <w:rsid w:val="007E2283"/>
    <w:rsid w:val="007E22B2"/>
    <w:rsid w:val="007E22EC"/>
    <w:rsid w:val="007E233B"/>
    <w:rsid w:val="007E237E"/>
    <w:rsid w:val="007E270D"/>
    <w:rsid w:val="007E2758"/>
    <w:rsid w:val="007E27EC"/>
    <w:rsid w:val="007E283C"/>
    <w:rsid w:val="007E2962"/>
    <w:rsid w:val="007E2A81"/>
    <w:rsid w:val="007E2AC5"/>
    <w:rsid w:val="007E2D54"/>
    <w:rsid w:val="007E3166"/>
    <w:rsid w:val="007E31DE"/>
    <w:rsid w:val="007E3335"/>
    <w:rsid w:val="007E33A4"/>
    <w:rsid w:val="007E35B1"/>
    <w:rsid w:val="007E3653"/>
    <w:rsid w:val="007E3770"/>
    <w:rsid w:val="007E3884"/>
    <w:rsid w:val="007E3895"/>
    <w:rsid w:val="007E38DD"/>
    <w:rsid w:val="007E3A16"/>
    <w:rsid w:val="007E3A20"/>
    <w:rsid w:val="007E3A7D"/>
    <w:rsid w:val="007E3B8D"/>
    <w:rsid w:val="007E3D27"/>
    <w:rsid w:val="007E3E6F"/>
    <w:rsid w:val="007E3EE6"/>
    <w:rsid w:val="007E4196"/>
    <w:rsid w:val="007E41FC"/>
    <w:rsid w:val="007E448B"/>
    <w:rsid w:val="007E448D"/>
    <w:rsid w:val="007E44A6"/>
    <w:rsid w:val="007E4553"/>
    <w:rsid w:val="007E4743"/>
    <w:rsid w:val="007E47A0"/>
    <w:rsid w:val="007E47C8"/>
    <w:rsid w:val="007E4800"/>
    <w:rsid w:val="007E4AF5"/>
    <w:rsid w:val="007E4B5F"/>
    <w:rsid w:val="007E4D6B"/>
    <w:rsid w:val="007E4DF9"/>
    <w:rsid w:val="007E4EF2"/>
    <w:rsid w:val="007E4F81"/>
    <w:rsid w:val="007E506B"/>
    <w:rsid w:val="007E5089"/>
    <w:rsid w:val="007E5116"/>
    <w:rsid w:val="007E51E2"/>
    <w:rsid w:val="007E51F6"/>
    <w:rsid w:val="007E5233"/>
    <w:rsid w:val="007E52AC"/>
    <w:rsid w:val="007E52F7"/>
    <w:rsid w:val="007E5379"/>
    <w:rsid w:val="007E53E7"/>
    <w:rsid w:val="007E5422"/>
    <w:rsid w:val="007E5452"/>
    <w:rsid w:val="007E56E1"/>
    <w:rsid w:val="007E5754"/>
    <w:rsid w:val="007E5AC1"/>
    <w:rsid w:val="007E5B14"/>
    <w:rsid w:val="007E5C4C"/>
    <w:rsid w:val="007E5D9E"/>
    <w:rsid w:val="007E5F5F"/>
    <w:rsid w:val="007E5FC7"/>
    <w:rsid w:val="007E6073"/>
    <w:rsid w:val="007E60C2"/>
    <w:rsid w:val="007E648C"/>
    <w:rsid w:val="007E6496"/>
    <w:rsid w:val="007E655A"/>
    <w:rsid w:val="007E65F8"/>
    <w:rsid w:val="007E66D7"/>
    <w:rsid w:val="007E67AE"/>
    <w:rsid w:val="007E6923"/>
    <w:rsid w:val="007E699E"/>
    <w:rsid w:val="007E69D3"/>
    <w:rsid w:val="007E6A49"/>
    <w:rsid w:val="007E6ACA"/>
    <w:rsid w:val="007E6AD1"/>
    <w:rsid w:val="007E6B19"/>
    <w:rsid w:val="007E6BD3"/>
    <w:rsid w:val="007E6DBE"/>
    <w:rsid w:val="007E6EF7"/>
    <w:rsid w:val="007E7016"/>
    <w:rsid w:val="007E7123"/>
    <w:rsid w:val="007E7150"/>
    <w:rsid w:val="007E71AD"/>
    <w:rsid w:val="007E7244"/>
    <w:rsid w:val="007E7262"/>
    <w:rsid w:val="007E72DA"/>
    <w:rsid w:val="007E7424"/>
    <w:rsid w:val="007E752F"/>
    <w:rsid w:val="007E756E"/>
    <w:rsid w:val="007E763F"/>
    <w:rsid w:val="007E77B3"/>
    <w:rsid w:val="007E786D"/>
    <w:rsid w:val="007E78F4"/>
    <w:rsid w:val="007E7946"/>
    <w:rsid w:val="007E795A"/>
    <w:rsid w:val="007E79A0"/>
    <w:rsid w:val="007E7A40"/>
    <w:rsid w:val="007E7A47"/>
    <w:rsid w:val="007E7ABA"/>
    <w:rsid w:val="007E7B45"/>
    <w:rsid w:val="007E7CB6"/>
    <w:rsid w:val="007E7D6B"/>
    <w:rsid w:val="007E7D7F"/>
    <w:rsid w:val="007E7DB3"/>
    <w:rsid w:val="007E7EAC"/>
    <w:rsid w:val="007E7EAE"/>
    <w:rsid w:val="007E7EB6"/>
    <w:rsid w:val="007E7EF5"/>
    <w:rsid w:val="007E7EF8"/>
    <w:rsid w:val="007E7F51"/>
    <w:rsid w:val="007E7FE5"/>
    <w:rsid w:val="007F01D1"/>
    <w:rsid w:val="007F0221"/>
    <w:rsid w:val="007F024D"/>
    <w:rsid w:val="007F0309"/>
    <w:rsid w:val="007F034B"/>
    <w:rsid w:val="007F036C"/>
    <w:rsid w:val="007F0380"/>
    <w:rsid w:val="007F0542"/>
    <w:rsid w:val="007F05A5"/>
    <w:rsid w:val="007F07A9"/>
    <w:rsid w:val="007F09E9"/>
    <w:rsid w:val="007F0A3E"/>
    <w:rsid w:val="007F0B07"/>
    <w:rsid w:val="007F0BBC"/>
    <w:rsid w:val="007F0C5B"/>
    <w:rsid w:val="007F0C64"/>
    <w:rsid w:val="007F0CCE"/>
    <w:rsid w:val="007F0CEA"/>
    <w:rsid w:val="007F0D41"/>
    <w:rsid w:val="007F0DC3"/>
    <w:rsid w:val="007F0E59"/>
    <w:rsid w:val="007F0F89"/>
    <w:rsid w:val="007F0FAB"/>
    <w:rsid w:val="007F10EF"/>
    <w:rsid w:val="007F10F8"/>
    <w:rsid w:val="007F1108"/>
    <w:rsid w:val="007F1300"/>
    <w:rsid w:val="007F1360"/>
    <w:rsid w:val="007F13E6"/>
    <w:rsid w:val="007F13FF"/>
    <w:rsid w:val="007F14BD"/>
    <w:rsid w:val="007F14D7"/>
    <w:rsid w:val="007F156A"/>
    <w:rsid w:val="007F15CD"/>
    <w:rsid w:val="007F15F9"/>
    <w:rsid w:val="007F1676"/>
    <w:rsid w:val="007F1694"/>
    <w:rsid w:val="007F1713"/>
    <w:rsid w:val="007F17BF"/>
    <w:rsid w:val="007F18FF"/>
    <w:rsid w:val="007F19B2"/>
    <w:rsid w:val="007F1A8F"/>
    <w:rsid w:val="007F1C97"/>
    <w:rsid w:val="007F1CFB"/>
    <w:rsid w:val="007F1E93"/>
    <w:rsid w:val="007F1F67"/>
    <w:rsid w:val="007F1F74"/>
    <w:rsid w:val="007F204E"/>
    <w:rsid w:val="007F20A6"/>
    <w:rsid w:val="007F2146"/>
    <w:rsid w:val="007F2231"/>
    <w:rsid w:val="007F237E"/>
    <w:rsid w:val="007F23A9"/>
    <w:rsid w:val="007F2424"/>
    <w:rsid w:val="007F2517"/>
    <w:rsid w:val="007F2602"/>
    <w:rsid w:val="007F2699"/>
    <w:rsid w:val="007F26EA"/>
    <w:rsid w:val="007F2778"/>
    <w:rsid w:val="007F29B8"/>
    <w:rsid w:val="007F2D6A"/>
    <w:rsid w:val="007F2D88"/>
    <w:rsid w:val="007F2D96"/>
    <w:rsid w:val="007F2FAD"/>
    <w:rsid w:val="007F2FDD"/>
    <w:rsid w:val="007F311D"/>
    <w:rsid w:val="007F316C"/>
    <w:rsid w:val="007F3249"/>
    <w:rsid w:val="007F3371"/>
    <w:rsid w:val="007F341A"/>
    <w:rsid w:val="007F36A9"/>
    <w:rsid w:val="007F37CE"/>
    <w:rsid w:val="007F3896"/>
    <w:rsid w:val="007F390C"/>
    <w:rsid w:val="007F3AAF"/>
    <w:rsid w:val="007F3BEA"/>
    <w:rsid w:val="007F3C74"/>
    <w:rsid w:val="007F3CDF"/>
    <w:rsid w:val="007F3D15"/>
    <w:rsid w:val="007F3FDD"/>
    <w:rsid w:val="007F406A"/>
    <w:rsid w:val="007F40C0"/>
    <w:rsid w:val="007F40CE"/>
    <w:rsid w:val="007F4145"/>
    <w:rsid w:val="007F4242"/>
    <w:rsid w:val="007F46D3"/>
    <w:rsid w:val="007F46EE"/>
    <w:rsid w:val="007F4757"/>
    <w:rsid w:val="007F4788"/>
    <w:rsid w:val="007F47C5"/>
    <w:rsid w:val="007F4A67"/>
    <w:rsid w:val="007F4CB6"/>
    <w:rsid w:val="007F4D03"/>
    <w:rsid w:val="007F4DB6"/>
    <w:rsid w:val="007F4E17"/>
    <w:rsid w:val="007F5168"/>
    <w:rsid w:val="007F51FB"/>
    <w:rsid w:val="007F5264"/>
    <w:rsid w:val="007F53E3"/>
    <w:rsid w:val="007F54CD"/>
    <w:rsid w:val="007F5517"/>
    <w:rsid w:val="007F5581"/>
    <w:rsid w:val="007F5619"/>
    <w:rsid w:val="007F565E"/>
    <w:rsid w:val="007F5762"/>
    <w:rsid w:val="007F57F0"/>
    <w:rsid w:val="007F5950"/>
    <w:rsid w:val="007F595E"/>
    <w:rsid w:val="007F5A1A"/>
    <w:rsid w:val="007F5AD9"/>
    <w:rsid w:val="007F5B5C"/>
    <w:rsid w:val="007F5C17"/>
    <w:rsid w:val="007F5C58"/>
    <w:rsid w:val="007F5D0B"/>
    <w:rsid w:val="007F5E67"/>
    <w:rsid w:val="007F5E93"/>
    <w:rsid w:val="007F5EF0"/>
    <w:rsid w:val="007F6061"/>
    <w:rsid w:val="007F60D0"/>
    <w:rsid w:val="007F617B"/>
    <w:rsid w:val="007F61AB"/>
    <w:rsid w:val="007F6203"/>
    <w:rsid w:val="007F6221"/>
    <w:rsid w:val="007F62AD"/>
    <w:rsid w:val="007F63DB"/>
    <w:rsid w:val="007F63FD"/>
    <w:rsid w:val="007F6446"/>
    <w:rsid w:val="007F6466"/>
    <w:rsid w:val="007F6483"/>
    <w:rsid w:val="007F6656"/>
    <w:rsid w:val="007F6720"/>
    <w:rsid w:val="007F676B"/>
    <w:rsid w:val="007F6778"/>
    <w:rsid w:val="007F6934"/>
    <w:rsid w:val="007F6A52"/>
    <w:rsid w:val="007F6ABC"/>
    <w:rsid w:val="007F6B1B"/>
    <w:rsid w:val="007F6C90"/>
    <w:rsid w:val="007F6D50"/>
    <w:rsid w:val="007F6ED8"/>
    <w:rsid w:val="007F6F1C"/>
    <w:rsid w:val="007F71AC"/>
    <w:rsid w:val="007F72A5"/>
    <w:rsid w:val="007F736E"/>
    <w:rsid w:val="007F73ED"/>
    <w:rsid w:val="007F746B"/>
    <w:rsid w:val="007F747B"/>
    <w:rsid w:val="007F74F3"/>
    <w:rsid w:val="007F7826"/>
    <w:rsid w:val="007F787C"/>
    <w:rsid w:val="007F78F5"/>
    <w:rsid w:val="007F7A0A"/>
    <w:rsid w:val="007F7A8F"/>
    <w:rsid w:val="007F7B94"/>
    <w:rsid w:val="007F7BE6"/>
    <w:rsid w:val="007F7BF7"/>
    <w:rsid w:val="007F7C3B"/>
    <w:rsid w:val="007F7C50"/>
    <w:rsid w:val="007F7D69"/>
    <w:rsid w:val="007F7D9E"/>
    <w:rsid w:val="007F7E57"/>
    <w:rsid w:val="007F7F22"/>
    <w:rsid w:val="007F7F8F"/>
    <w:rsid w:val="00800209"/>
    <w:rsid w:val="00800233"/>
    <w:rsid w:val="008002FE"/>
    <w:rsid w:val="00800551"/>
    <w:rsid w:val="008007F1"/>
    <w:rsid w:val="0080080D"/>
    <w:rsid w:val="00800819"/>
    <w:rsid w:val="00800A2A"/>
    <w:rsid w:val="00800A41"/>
    <w:rsid w:val="00800A5D"/>
    <w:rsid w:val="00800B21"/>
    <w:rsid w:val="00800B9F"/>
    <w:rsid w:val="00800BC6"/>
    <w:rsid w:val="00800C34"/>
    <w:rsid w:val="00800CF0"/>
    <w:rsid w:val="00800E66"/>
    <w:rsid w:val="00800E8F"/>
    <w:rsid w:val="00801042"/>
    <w:rsid w:val="0080105F"/>
    <w:rsid w:val="00801085"/>
    <w:rsid w:val="008010B5"/>
    <w:rsid w:val="008011CE"/>
    <w:rsid w:val="0080120A"/>
    <w:rsid w:val="0080132D"/>
    <w:rsid w:val="00801378"/>
    <w:rsid w:val="008013BD"/>
    <w:rsid w:val="00801430"/>
    <w:rsid w:val="00801453"/>
    <w:rsid w:val="00801643"/>
    <w:rsid w:val="008016BD"/>
    <w:rsid w:val="0080182C"/>
    <w:rsid w:val="00801864"/>
    <w:rsid w:val="0080193F"/>
    <w:rsid w:val="00801987"/>
    <w:rsid w:val="00801A3B"/>
    <w:rsid w:val="00801AAC"/>
    <w:rsid w:val="00801B6F"/>
    <w:rsid w:val="00801B8A"/>
    <w:rsid w:val="00801B9E"/>
    <w:rsid w:val="00801E2C"/>
    <w:rsid w:val="00801E55"/>
    <w:rsid w:val="00801FDF"/>
    <w:rsid w:val="00802046"/>
    <w:rsid w:val="00802133"/>
    <w:rsid w:val="0080219C"/>
    <w:rsid w:val="00802283"/>
    <w:rsid w:val="0080232F"/>
    <w:rsid w:val="00802376"/>
    <w:rsid w:val="0080240D"/>
    <w:rsid w:val="0080245A"/>
    <w:rsid w:val="008024F1"/>
    <w:rsid w:val="00802504"/>
    <w:rsid w:val="008026AE"/>
    <w:rsid w:val="00802904"/>
    <w:rsid w:val="008029C8"/>
    <w:rsid w:val="00802A14"/>
    <w:rsid w:val="00802CA1"/>
    <w:rsid w:val="00802CE8"/>
    <w:rsid w:val="00802D04"/>
    <w:rsid w:val="00802DAC"/>
    <w:rsid w:val="00802EF1"/>
    <w:rsid w:val="00802F45"/>
    <w:rsid w:val="00802F80"/>
    <w:rsid w:val="00803124"/>
    <w:rsid w:val="00803286"/>
    <w:rsid w:val="00803329"/>
    <w:rsid w:val="00803381"/>
    <w:rsid w:val="008033A9"/>
    <w:rsid w:val="008033F3"/>
    <w:rsid w:val="00803783"/>
    <w:rsid w:val="00803804"/>
    <w:rsid w:val="0080394B"/>
    <w:rsid w:val="00803967"/>
    <w:rsid w:val="008039DE"/>
    <w:rsid w:val="00803D6F"/>
    <w:rsid w:val="00803EEC"/>
    <w:rsid w:val="00803F3A"/>
    <w:rsid w:val="00803FB1"/>
    <w:rsid w:val="00804165"/>
    <w:rsid w:val="008041A8"/>
    <w:rsid w:val="008041CE"/>
    <w:rsid w:val="00804268"/>
    <w:rsid w:val="0080432E"/>
    <w:rsid w:val="0080433F"/>
    <w:rsid w:val="008045A3"/>
    <w:rsid w:val="008046D5"/>
    <w:rsid w:val="00804716"/>
    <w:rsid w:val="00804725"/>
    <w:rsid w:val="00804810"/>
    <w:rsid w:val="008048B5"/>
    <w:rsid w:val="008048C6"/>
    <w:rsid w:val="00804933"/>
    <w:rsid w:val="00804950"/>
    <w:rsid w:val="008049A9"/>
    <w:rsid w:val="00804A80"/>
    <w:rsid w:val="00804B7C"/>
    <w:rsid w:val="00804C5A"/>
    <w:rsid w:val="00804CE1"/>
    <w:rsid w:val="00804CE2"/>
    <w:rsid w:val="00804E06"/>
    <w:rsid w:val="00804E49"/>
    <w:rsid w:val="00804EB5"/>
    <w:rsid w:val="00804FAC"/>
    <w:rsid w:val="00805053"/>
    <w:rsid w:val="0080506F"/>
    <w:rsid w:val="0080509C"/>
    <w:rsid w:val="008050E0"/>
    <w:rsid w:val="0080513E"/>
    <w:rsid w:val="008052AC"/>
    <w:rsid w:val="008052C5"/>
    <w:rsid w:val="00805323"/>
    <w:rsid w:val="0080534C"/>
    <w:rsid w:val="00805395"/>
    <w:rsid w:val="008053ED"/>
    <w:rsid w:val="00805748"/>
    <w:rsid w:val="00805755"/>
    <w:rsid w:val="008057AC"/>
    <w:rsid w:val="00805969"/>
    <w:rsid w:val="00805AB7"/>
    <w:rsid w:val="00805ACB"/>
    <w:rsid w:val="00805BDE"/>
    <w:rsid w:val="00805CE2"/>
    <w:rsid w:val="00805D17"/>
    <w:rsid w:val="00805ED4"/>
    <w:rsid w:val="00805ED7"/>
    <w:rsid w:val="00806146"/>
    <w:rsid w:val="0080615C"/>
    <w:rsid w:val="00806245"/>
    <w:rsid w:val="008062E9"/>
    <w:rsid w:val="00806344"/>
    <w:rsid w:val="00806397"/>
    <w:rsid w:val="008063F5"/>
    <w:rsid w:val="00806568"/>
    <w:rsid w:val="00806585"/>
    <w:rsid w:val="008067B1"/>
    <w:rsid w:val="00806802"/>
    <w:rsid w:val="00806892"/>
    <w:rsid w:val="008068F6"/>
    <w:rsid w:val="008069E6"/>
    <w:rsid w:val="00806B24"/>
    <w:rsid w:val="00806BA8"/>
    <w:rsid w:val="00806C15"/>
    <w:rsid w:val="00806C78"/>
    <w:rsid w:val="00806EE8"/>
    <w:rsid w:val="00806F2E"/>
    <w:rsid w:val="00806F40"/>
    <w:rsid w:val="0080703B"/>
    <w:rsid w:val="00807192"/>
    <w:rsid w:val="0080720B"/>
    <w:rsid w:val="00807304"/>
    <w:rsid w:val="0080733F"/>
    <w:rsid w:val="00807409"/>
    <w:rsid w:val="0080755F"/>
    <w:rsid w:val="008075EC"/>
    <w:rsid w:val="00807604"/>
    <w:rsid w:val="0080773C"/>
    <w:rsid w:val="0080777C"/>
    <w:rsid w:val="008078EA"/>
    <w:rsid w:val="008079DE"/>
    <w:rsid w:val="00807A15"/>
    <w:rsid w:val="00807A49"/>
    <w:rsid w:val="00807AA7"/>
    <w:rsid w:val="00807B21"/>
    <w:rsid w:val="00807D17"/>
    <w:rsid w:val="00807DBB"/>
    <w:rsid w:val="00807DD2"/>
    <w:rsid w:val="00807E79"/>
    <w:rsid w:val="00807F35"/>
    <w:rsid w:val="00807F53"/>
    <w:rsid w:val="0081000C"/>
    <w:rsid w:val="00810135"/>
    <w:rsid w:val="0081029B"/>
    <w:rsid w:val="008102DE"/>
    <w:rsid w:val="00810315"/>
    <w:rsid w:val="0081041F"/>
    <w:rsid w:val="00810528"/>
    <w:rsid w:val="0081068B"/>
    <w:rsid w:val="008106BF"/>
    <w:rsid w:val="00810727"/>
    <w:rsid w:val="00810A5E"/>
    <w:rsid w:val="00810B64"/>
    <w:rsid w:val="00810B74"/>
    <w:rsid w:val="00810BC5"/>
    <w:rsid w:val="00810D4F"/>
    <w:rsid w:val="00810E35"/>
    <w:rsid w:val="00810E3A"/>
    <w:rsid w:val="00810EA3"/>
    <w:rsid w:val="00810F97"/>
    <w:rsid w:val="008111A7"/>
    <w:rsid w:val="00811295"/>
    <w:rsid w:val="00811307"/>
    <w:rsid w:val="00811396"/>
    <w:rsid w:val="0081152A"/>
    <w:rsid w:val="00811561"/>
    <w:rsid w:val="008115B5"/>
    <w:rsid w:val="00811662"/>
    <w:rsid w:val="00811688"/>
    <w:rsid w:val="008116B8"/>
    <w:rsid w:val="0081189A"/>
    <w:rsid w:val="0081189E"/>
    <w:rsid w:val="008119D8"/>
    <w:rsid w:val="00811A24"/>
    <w:rsid w:val="00811AAA"/>
    <w:rsid w:val="00811AFD"/>
    <w:rsid w:val="00811D68"/>
    <w:rsid w:val="00811DCF"/>
    <w:rsid w:val="00811E53"/>
    <w:rsid w:val="00811ED9"/>
    <w:rsid w:val="00811F36"/>
    <w:rsid w:val="00811F79"/>
    <w:rsid w:val="00811FDA"/>
    <w:rsid w:val="008120FA"/>
    <w:rsid w:val="0081231A"/>
    <w:rsid w:val="00812385"/>
    <w:rsid w:val="00812569"/>
    <w:rsid w:val="0081260D"/>
    <w:rsid w:val="008126AE"/>
    <w:rsid w:val="00812711"/>
    <w:rsid w:val="00812726"/>
    <w:rsid w:val="008127C4"/>
    <w:rsid w:val="00812997"/>
    <w:rsid w:val="008129BB"/>
    <w:rsid w:val="008129EC"/>
    <w:rsid w:val="00812A0A"/>
    <w:rsid w:val="00812AE9"/>
    <w:rsid w:val="00812BE0"/>
    <w:rsid w:val="00812C66"/>
    <w:rsid w:val="00812E54"/>
    <w:rsid w:val="00812EB8"/>
    <w:rsid w:val="00812EE6"/>
    <w:rsid w:val="00812F6A"/>
    <w:rsid w:val="008130A9"/>
    <w:rsid w:val="00813123"/>
    <w:rsid w:val="00813206"/>
    <w:rsid w:val="00813261"/>
    <w:rsid w:val="00813373"/>
    <w:rsid w:val="008133A5"/>
    <w:rsid w:val="008133AA"/>
    <w:rsid w:val="00813440"/>
    <w:rsid w:val="0081354C"/>
    <w:rsid w:val="0081354D"/>
    <w:rsid w:val="00813630"/>
    <w:rsid w:val="0081366C"/>
    <w:rsid w:val="00813670"/>
    <w:rsid w:val="0081370B"/>
    <w:rsid w:val="0081371C"/>
    <w:rsid w:val="008137B9"/>
    <w:rsid w:val="008137CB"/>
    <w:rsid w:val="0081381D"/>
    <w:rsid w:val="00813835"/>
    <w:rsid w:val="0081397B"/>
    <w:rsid w:val="00813ABD"/>
    <w:rsid w:val="00813AE3"/>
    <w:rsid w:val="00813BD8"/>
    <w:rsid w:val="00813C1A"/>
    <w:rsid w:val="00813D20"/>
    <w:rsid w:val="00813D2C"/>
    <w:rsid w:val="00813D5D"/>
    <w:rsid w:val="00813D6C"/>
    <w:rsid w:val="00813DAA"/>
    <w:rsid w:val="00813DC0"/>
    <w:rsid w:val="00813DF3"/>
    <w:rsid w:val="00813E41"/>
    <w:rsid w:val="00813E51"/>
    <w:rsid w:val="00813F93"/>
    <w:rsid w:val="00813FDC"/>
    <w:rsid w:val="00813FF1"/>
    <w:rsid w:val="008140C6"/>
    <w:rsid w:val="00814159"/>
    <w:rsid w:val="008142F5"/>
    <w:rsid w:val="008145E7"/>
    <w:rsid w:val="0081480B"/>
    <w:rsid w:val="008148F3"/>
    <w:rsid w:val="00814968"/>
    <w:rsid w:val="00814A21"/>
    <w:rsid w:val="00814A6C"/>
    <w:rsid w:val="00814AAF"/>
    <w:rsid w:val="00814AE1"/>
    <w:rsid w:val="00814B08"/>
    <w:rsid w:val="00814C84"/>
    <w:rsid w:val="00814E71"/>
    <w:rsid w:val="00814EFE"/>
    <w:rsid w:val="0081502E"/>
    <w:rsid w:val="00815147"/>
    <w:rsid w:val="0081515B"/>
    <w:rsid w:val="008151B5"/>
    <w:rsid w:val="008151DB"/>
    <w:rsid w:val="008151E6"/>
    <w:rsid w:val="0081548B"/>
    <w:rsid w:val="008154B9"/>
    <w:rsid w:val="00815570"/>
    <w:rsid w:val="0081562E"/>
    <w:rsid w:val="008156D4"/>
    <w:rsid w:val="008157EE"/>
    <w:rsid w:val="0081586C"/>
    <w:rsid w:val="0081588A"/>
    <w:rsid w:val="0081593B"/>
    <w:rsid w:val="00815A36"/>
    <w:rsid w:val="00815B6E"/>
    <w:rsid w:val="00815BC7"/>
    <w:rsid w:val="00815C6B"/>
    <w:rsid w:val="00815CF0"/>
    <w:rsid w:val="00815D21"/>
    <w:rsid w:val="00815D3B"/>
    <w:rsid w:val="00815F6F"/>
    <w:rsid w:val="00816215"/>
    <w:rsid w:val="00816689"/>
    <w:rsid w:val="00816798"/>
    <w:rsid w:val="008168CD"/>
    <w:rsid w:val="00816920"/>
    <w:rsid w:val="0081698C"/>
    <w:rsid w:val="008169D9"/>
    <w:rsid w:val="00816A37"/>
    <w:rsid w:val="00816A40"/>
    <w:rsid w:val="00816C43"/>
    <w:rsid w:val="00816C81"/>
    <w:rsid w:val="00816CCD"/>
    <w:rsid w:val="00816DD6"/>
    <w:rsid w:val="00816E40"/>
    <w:rsid w:val="00816EC2"/>
    <w:rsid w:val="00816F3D"/>
    <w:rsid w:val="00816FDA"/>
    <w:rsid w:val="008171E3"/>
    <w:rsid w:val="00817202"/>
    <w:rsid w:val="0081728F"/>
    <w:rsid w:val="008172E3"/>
    <w:rsid w:val="008172EC"/>
    <w:rsid w:val="00817303"/>
    <w:rsid w:val="0081735A"/>
    <w:rsid w:val="0081738A"/>
    <w:rsid w:val="008173A7"/>
    <w:rsid w:val="008173D7"/>
    <w:rsid w:val="008173DA"/>
    <w:rsid w:val="00817455"/>
    <w:rsid w:val="008174A4"/>
    <w:rsid w:val="00817587"/>
    <w:rsid w:val="0081765A"/>
    <w:rsid w:val="00817691"/>
    <w:rsid w:val="0081782A"/>
    <w:rsid w:val="00817880"/>
    <w:rsid w:val="00817963"/>
    <w:rsid w:val="008179F7"/>
    <w:rsid w:val="00817B1B"/>
    <w:rsid w:val="00817E87"/>
    <w:rsid w:val="0082003E"/>
    <w:rsid w:val="0082006F"/>
    <w:rsid w:val="00820397"/>
    <w:rsid w:val="008203F5"/>
    <w:rsid w:val="0082048E"/>
    <w:rsid w:val="00820551"/>
    <w:rsid w:val="008205B1"/>
    <w:rsid w:val="008206E1"/>
    <w:rsid w:val="00820709"/>
    <w:rsid w:val="0082072D"/>
    <w:rsid w:val="008209A3"/>
    <w:rsid w:val="00820BC8"/>
    <w:rsid w:val="00820C9E"/>
    <w:rsid w:val="00820DAB"/>
    <w:rsid w:val="00820DBE"/>
    <w:rsid w:val="00820DF6"/>
    <w:rsid w:val="00820E30"/>
    <w:rsid w:val="00820EF9"/>
    <w:rsid w:val="00820F46"/>
    <w:rsid w:val="0082109C"/>
    <w:rsid w:val="00821156"/>
    <w:rsid w:val="0082116A"/>
    <w:rsid w:val="00821179"/>
    <w:rsid w:val="0082117E"/>
    <w:rsid w:val="0082128C"/>
    <w:rsid w:val="00821390"/>
    <w:rsid w:val="00821540"/>
    <w:rsid w:val="008215AA"/>
    <w:rsid w:val="0082166C"/>
    <w:rsid w:val="008217F4"/>
    <w:rsid w:val="0082185B"/>
    <w:rsid w:val="00821885"/>
    <w:rsid w:val="008218CB"/>
    <w:rsid w:val="008218D9"/>
    <w:rsid w:val="008218E6"/>
    <w:rsid w:val="00821947"/>
    <w:rsid w:val="00821A2F"/>
    <w:rsid w:val="00821D1E"/>
    <w:rsid w:val="00821D62"/>
    <w:rsid w:val="00822026"/>
    <w:rsid w:val="0082205B"/>
    <w:rsid w:val="008220C0"/>
    <w:rsid w:val="00822159"/>
    <w:rsid w:val="00822206"/>
    <w:rsid w:val="00822361"/>
    <w:rsid w:val="008223AB"/>
    <w:rsid w:val="008225A4"/>
    <w:rsid w:val="00822890"/>
    <w:rsid w:val="00822894"/>
    <w:rsid w:val="008229EF"/>
    <w:rsid w:val="00822BA2"/>
    <w:rsid w:val="00822E68"/>
    <w:rsid w:val="00822EC5"/>
    <w:rsid w:val="00822EFF"/>
    <w:rsid w:val="00822F4D"/>
    <w:rsid w:val="0082317E"/>
    <w:rsid w:val="008231AF"/>
    <w:rsid w:val="008232E1"/>
    <w:rsid w:val="0082336C"/>
    <w:rsid w:val="0082349F"/>
    <w:rsid w:val="00823569"/>
    <w:rsid w:val="00823675"/>
    <w:rsid w:val="00823997"/>
    <w:rsid w:val="008239FB"/>
    <w:rsid w:val="00823BC9"/>
    <w:rsid w:val="00823DCB"/>
    <w:rsid w:val="00823FC2"/>
    <w:rsid w:val="0082403E"/>
    <w:rsid w:val="0082408F"/>
    <w:rsid w:val="008240B6"/>
    <w:rsid w:val="00824120"/>
    <w:rsid w:val="0082416B"/>
    <w:rsid w:val="008241A1"/>
    <w:rsid w:val="008241B9"/>
    <w:rsid w:val="00824204"/>
    <w:rsid w:val="008243B9"/>
    <w:rsid w:val="008243CE"/>
    <w:rsid w:val="00824584"/>
    <w:rsid w:val="008245D4"/>
    <w:rsid w:val="0082460F"/>
    <w:rsid w:val="0082462A"/>
    <w:rsid w:val="00824676"/>
    <w:rsid w:val="0082467F"/>
    <w:rsid w:val="008246C7"/>
    <w:rsid w:val="0082472D"/>
    <w:rsid w:val="00824750"/>
    <w:rsid w:val="00824751"/>
    <w:rsid w:val="008247D9"/>
    <w:rsid w:val="00824833"/>
    <w:rsid w:val="008248DF"/>
    <w:rsid w:val="008249A7"/>
    <w:rsid w:val="00824A47"/>
    <w:rsid w:val="00824ABA"/>
    <w:rsid w:val="00824B5A"/>
    <w:rsid w:val="00824C0C"/>
    <w:rsid w:val="00824C87"/>
    <w:rsid w:val="00824CEC"/>
    <w:rsid w:val="00824D92"/>
    <w:rsid w:val="00824E00"/>
    <w:rsid w:val="00824E37"/>
    <w:rsid w:val="00824F4A"/>
    <w:rsid w:val="008250FB"/>
    <w:rsid w:val="00825194"/>
    <w:rsid w:val="00825354"/>
    <w:rsid w:val="008253CF"/>
    <w:rsid w:val="00825544"/>
    <w:rsid w:val="008256C7"/>
    <w:rsid w:val="008256E5"/>
    <w:rsid w:val="008256F7"/>
    <w:rsid w:val="00825809"/>
    <w:rsid w:val="00825993"/>
    <w:rsid w:val="00825CCD"/>
    <w:rsid w:val="00825CED"/>
    <w:rsid w:val="00825EDA"/>
    <w:rsid w:val="00825EF5"/>
    <w:rsid w:val="00825F06"/>
    <w:rsid w:val="00825F66"/>
    <w:rsid w:val="008260DD"/>
    <w:rsid w:val="00826124"/>
    <w:rsid w:val="008263E5"/>
    <w:rsid w:val="0082643F"/>
    <w:rsid w:val="0082650C"/>
    <w:rsid w:val="00826535"/>
    <w:rsid w:val="008265DB"/>
    <w:rsid w:val="008266B4"/>
    <w:rsid w:val="0082670B"/>
    <w:rsid w:val="0082678B"/>
    <w:rsid w:val="00826A54"/>
    <w:rsid w:val="00826B27"/>
    <w:rsid w:val="00826C2F"/>
    <w:rsid w:val="00826CA3"/>
    <w:rsid w:val="00826CD8"/>
    <w:rsid w:val="00826CE1"/>
    <w:rsid w:val="00826EA2"/>
    <w:rsid w:val="00826F3B"/>
    <w:rsid w:val="00826F8B"/>
    <w:rsid w:val="00827106"/>
    <w:rsid w:val="0082717C"/>
    <w:rsid w:val="0082718D"/>
    <w:rsid w:val="0082722B"/>
    <w:rsid w:val="008273E1"/>
    <w:rsid w:val="0082745A"/>
    <w:rsid w:val="0082753C"/>
    <w:rsid w:val="0082758B"/>
    <w:rsid w:val="00827615"/>
    <w:rsid w:val="0082776E"/>
    <w:rsid w:val="0082777A"/>
    <w:rsid w:val="00827787"/>
    <w:rsid w:val="0082787B"/>
    <w:rsid w:val="0082796B"/>
    <w:rsid w:val="00827A4B"/>
    <w:rsid w:val="00827A54"/>
    <w:rsid w:val="00827A98"/>
    <w:rsid w:val="00827AC2"/>
    <w:rsid w:val="00827B6C"/>
    <w:rsid w:val="00827C60"/>
    <w:rsid w:val="00827C8A"/>
    <w:rsid w:val="00827C9A"/>
    <w:rsid w:val="00827D46"/>
    <w:rsid w:val="00827E61"/>
    <w:rsid w:val="00827F5F"/>
    <w:rsid w:val="00827FD3"/>
    <w:rsid w:val="00827FF2"/>
    <w:rsid w:val="0083005A"/>
    <w:rsid w:val="0083006F"/>
    <w:rsid w:val="008300BB"/>
    <w:rsid w:val="0083012E"/>
    <w:rsid w:val="0083015B"/>
    <w:rsid w:val="008304C9"/>
    <w:rsid w:val="0083056E"/>
    <w:rsid w:val="00830676"/>
    <w:rsid w:val="0083076F"/>
    <w:rsid w:val="00830771"/>
    <w:rsid w:val="008307EA"/>
    <w:rsid w:val="00830829"/>
    <w:rsid w:val="0083092A"/>
    <w:rsid w:val="0083095E"/>
    <w:rsid w:val="008309C5"/>
    <w:rsid w:val="00830AD0"/>
    <w:rsid w:val="00830BDD"/>
    <w:rsid w:val="00830CE6"/>
    <w:rsid w:val="00830D5A"/>
    <w:rsid w:val="00830E34"/>
    <w:rsid w:val="00830E7A"/>
    <w:rsid w:val="00830EC3"/>
    <w:rsid w:val="00830EF0"/>
    <w:rsid w:val="00830EFC"/>
    <w:rsid w:val="00831027"/>
    <w:rsid w:val="0083106D"/>
    <w:rsid w:val="00831100"/>
    <w:rsid w:val="0083119B"/>
    <w:rsid w:val="00831310"/>
    <w:rsid w:val="0083142E"/>
    <w:rsid w:val="00831509"/>
    <w:rsid w:val="0083150A"/>
    <w:rsid w:val="00831648"/>
    <w:rsid w:val="00831653"/>
    <w:rsid w:val="008316F4"/>
    <w:rsid w:val="008317AD"/>
    <w:rsid w:val="008319B0"/>
    <w:rsid w:val="00831A5C"/>
    <w:rsid w:val="00831AD8"/>
    <w:rsid w:val="00831B95"/>
    <w:rsid w:val="00831C0E"/>
    <w:rsid w:val="00831C4B"/>
    <w:rsid w:val="00831DEF"/>
    <w:rsid w:val="0083217F"/>
    <w:rsid w:val="008322E1"/>
    <w:rsid w:val="008323AF"/>
    <w:rsid w:val="008323BB"/>
    <w:rsid w:val="008324D4"/>
    <w:rsid w:val="0083251F"/>
    <w:rsid w:val="0083259A"/>
    <w:rsid w:val="008325F6"/>
    <w:rsid w:val="008329E4"/>
    <w:rsid w:val="00832A26"/>
    <w:rsid w:val="00832AD9"/>
    <w:rsid w:val="00832AEE"/>
    <w:rsid w:val="00832B6C"/>
    <w:rsid w:val="00832D55"/>
    <w:rsid w:val="00832DF6"/>
    <w:rsid w:val="00832FA1"/>
    <w:rsid w:val="00833051"/>
    <w:rsid w:val="0083306D"/>
    <w:rsid w:val="008331B1"/>
    <w:rsid w:val="008331C9"/>
    <w:rsid w:val="008332B5"/>
    <w:rsid w:val="0083334E"/>
    <w:rsid w:val="008333ED"/>
    <w:rsid w:val="00833428"/>
    <w:rsid w:val="0083353B"/>
    <w:rsid w:val="00833583"/>
    <w:rsid w:val="008335B6"/>
    <w:rsid w:val="0083369F"/>
    <w:rsid w:val="0083380C"/>
    <w:rsid w:val="00833A4E"/>
    <w:rsid w:val="00833C57"/>
    <w:rsid w:val="00833C82"/>
    <w:rsid w:val="00833D0B"/>
    <w:rsid w:val="00833D92"/>
    <w:rsid w:val="00833F06"/>
    <w:rsid w:val="00833F46"/>
    <w:rsid w:val="00834036"/>
    <w:rsid w:val="008341CA"/>
    <w:rsid w:val="008341CC"/>
    <w:rsid w:val="0083420E"/>
    <w:rsid w:val="008342F8"/>
    <w:rsid w:val="0083433C"/>
    <w:rsid w:val="008343B5"/>
    <w:rsid w:val="00834431"/>
    <w:rsid w:val="00834474"/>
    <w:rsid w:val="00834485"/>
    <w:rsid w:val="0083472E"/>
    <w:rsid w:val="008347C2"/>
    <w:rsid w:val="0083481D"/>
    <w:rsid w:val="00834843"/>
    <w:rsid w:val="00834847"/>
    <w:rsid w:val="0083495E"/>
    <w:rsid w:val="00834B52"/>
    <w:rsid w:val="00834BF3"/>
    <w:rsid w:val="00834C06"/>
    <w:rsid w:val="00834D21"/>
    <w:rsid w:val="00834D2F"/>
    <w:rsid w:val="00834D52"/>
    <w:rsid w:val="00834DB4"/>
    <w:rsid w:val="00834E12"/>
    <w:rsid w:val="00834E8C"/>
    <w:rsid w:val="00834EA3"/>
    <w:rsid w:val="00834EB9"/>
    <w:rsid w:val="008350EC"/>
    <w:rsid w:val="008350F4"/>
    <w:rsid w:val="00835186"/>
    <w:rsid w:val="0083523C"/>
    <w:rsid w:val="00835271"/>
    <w:rsid w:val="00835358"/>
    <w:rsid w:val="00835375"/>
    <w:rsid w:val="00835438"/>
    <w:rsid w:val="00835487"/>
    <w:rsid w:val="008355EC"/>
    <w:rsid w:val="0083561D"/>
    <w:rsid w:val="00835696"/>
    <w:rsid w:val="0083578C"/>
    <w:rsid w:val="00835857"/>
    <w:rsid w:val="008358E2"/>
    <w:rsid w:val="00835A88"/>
    <w:rsid w:val="00835A95"/>
    <w:rsid w:val="00835D20"/>
    <w:rsid w:val="00835DE1"/>
    <w:rsid w:val="00835E9B"/>
    <w:rsid w:val="00835EB9"/>
    <w:rsid w:val="0083604F"/>
    <w:rsid w:val="008360AD"/>
    <w:rsid w:val="00836116"/>
    <w:rsid w:val="00836173"/>
    <w:rsid w:val="008361DC"/>
    <w:rsid w:val="0083642D"/>
    <w:rsid w:val="0083656F"/>
    <w:rsid w:val="00836682"/>
    <w:rsid w:val="008366C2"/>
    <w:rsid w:val="008367D4"/>
    <w:rsid w:val="00836843"/>
    <w:rsid w:val="0083691E"/>
    <w:rsid w:val="0083699D"/>
    <w:rsid w:val="00836A57"/>
    <w:rsid w:val="00836B82"/>
    <w:rsid w:val="00836BF6"/>
    <w:rsid w:val="00836E13"/>
    <w:rsid w:val="00836EA2"/>
    <w:rsid w:val="00836EB3"/>
    <w:rsid w:val="008370F4"/>
    <w:rsid w:val="008373EF"/>
    <w:rsid w:val="00837458"/>
    <w:rsid w:val="0083748E"/>
    <w:rsid w:val="0083774F"/>
    <w:rsid w:val="0083788C"/>
    <w:rsid w:val="008378C9"/>
    <w:rsid w:val="008379DD"/>
    <w:rsid w:val="00837A45"/>
    <w:rsid w:val="00837CDB"/>
    <w:rsid w:val="00837CE7"/>
    <w:rsid w:val="00837D08"/>
    <w:rsid w:val="00837E0A"/>
    <w:rsid w:val="00837ED3"/>
    <w:rsid w:val="00837ED7"/>
    <w:rsid w:val="00837FFE"/>
    <w:rsid w:val="0084002C"/>
    <w:rsid w:val="008401C8"/>
    <w:rsid w:val="008402BC"/>
    <w:rsid w:val="0084046F"/>
    <w:rsid w:val="00840496"/>
    <w:rsid w:val="0084060E"/>
    <w:rsid w:val="00840727"/>
    <w:rsid w:val="00840740"/>
    <w:rsid w:val="008407B1"/>
    <w:rsid w:val="008407CA"/>
    <w:rsid w:val="008407D6"/>
    <w:rsid w:val="008407F6"/>
    <w:rsid w:val="0084090C"/>
    <w:rsid w:val="00840987"/>
    <w:rsid w:val="008409BA"/>
    <w:rsid w:val="008409E5"/>
    <w:rsid w:val="00840AE8"/>
    <w:rsid w:val="00840B18"/>
    <w:rsid w:val="00840BB7"/>
    <w:rsid w:val="00840E6E"/>
    <w:rsid w:val="00840EC4"/>
    <w:rsid w:val="00840EC8"/>
    <w:rsid w:val="00840F33"/>
    <w:rsid w:val="00840F5F"/>
    <w:rsid w:val="00840FCF"/>
    <w:rsid w:val="008410B2"/>
    <w:rsid w:val="00841199"/>
    <w:rsid w:val="008411E5"/>
    <w:rsid w:val="00841202"/>
    <w:rsid w:val="008412F5"/>
    <w:rsid w:val="00841442"/>
    <w:rsid w:val="008414BA"/>
    <w:rsid w:val="008416A0"/>
    <w:rsid w:val="00841914"/>
    <w:rsid w:val="008419D4"/>
    <w:rsid w:val="00841A3D"/>
    <w:rsid w:val="00841B11"/>
    <w:rsid w:val="00841C0F"/>
    <w:rsid w:val="00841C2C"/>
    <w:rsid w:val="00841D0A"/>
    <w:rsid w:val="00841D11"/>
    <w:rsid w:val="00841D35"/>
    <w:rsid w:val="00841DF7"/>
    <w:rsid w:val="00841F98"/>
    <w:rsid w:val="008420BD"/>
    <w:rsid w:val="008420C2"/>
    <w:rsid w:val="008420F4"/>
    <w:rsid w:val="00842122"/>
    <w:rsid w:val="0084214B"/>
    <w:rsid w:val="0084233E"/>
    <w:rsid w:val="008423D0"/>
    <w:rsid w:val="008424DD"/>
    <w:rsid w:val="00842545"/>
    <w:rsid w:val="0084255B"/>
    <w:rsid w:val="00842576"/>
    <w:rsid w:val="008425B0"/>
    <w:rsid w:val="008425B6"/>
    <w:rsid w:val="0084268F"/>
    <w:rsid w:val="00842788"/>
    <w:rsid w:val="00842806"/>
    <w:rsid w:val="0084280A"/>
    <w:rsid w:val="00842921"/>
    <w:rsid w:val="00842946"/>
    <w:rsid w:val="008429CF"/>
    <w:rsid w:val="00842C06"/>
    <w:rsid w:val="00842C77"/>
    <w:rsid w:val="00842DFF"/>
    <w:rsid w:val="00842E2C"/>
    <w:rsid w:val="00842E5D"/>
    <w:rsid w:val="00842FBF"/>
    <w:rsid w:val="00842FF8"/>
    <w:rsid w:val="00843039"/>
    <w:rsid w:val="00843040"/>
    <w:rsid w:val="008430C5"/>
    <w:rsid w:val="008430E0"/>
    <w:rsid w:val="008431D3"/>
    <w:rsid w:val="008431D7"/>
    <w:rsid w:val="0084335B"/>
    <w:rsid w:val="00843439"/>
    <w:rsid w:val="00843489"/>
    <w:rsid w:val="008434DE"/>
    <w:rsid w:val="00843508"/>
    <w:rsid w:val="0084369A"/>
    <w:rsid w:val="00843707"/>
    <w:rsid w:val="0084373A"/>
    <w:rsid w:val="00843768"/>
    <w:rsid w:val="008437B7"/>
    <w:rsid w:val="008437ED"/>
    <w:rsid w:val="008437F0"/>
    <w:rsid w:val="008438C6"/>
    <w:rsid w:val="008438FC"/>
    <w:rsid w:val="00843A1F"/>
    <w:rsid w:val="00843A4D"/>
    <w:rsid w:val="00843B05"/>
    <w:rsid w:val="00843B17"/>
    <w:rsid w:val="00843B28"/>
    <w:rsid w:val="00843CC7"/>
    <w:rsid w:val="00843D17"/>
    <w:rsid w:val="00843D4E"/>
    <w:rsid w:val="00843D8F"/>
    <w:rsid w:val="00843E25"/>
    <w:rsid w:val="00843EE0"/>
    <w:rsid w:val="00843F49"/>
    <w:rsid w:val="0084400F"/>
    <w:rsid w:val="0084401C"/>
    <w:rsid w:val="008440FC"/>
    <w:rsid w:val="0084425A"/>
    <w:rsid w:val="008442EA"/>
    <w:rsid w:val="00844328"/>
    <w:rsid w:val="00844458"/>
    <w:rsid w:val="008444F6"/>
    <w:rsid w:val="00844645"/>
    <w:rsid w:val="008446FB"/>
    <w:rsid w:val="00844861"/>
    <w:rsid w:val="00844A3F"/>
    <w:rsid w:val="00844AC4"/>
    <w:rsid w:val="00844B70"/>
    <w:rsid w:val="00844BB2"/>
    <w:rsid w:val="00844BD5"/>
    <w:rsid w:val="00844C26"/>
    <w:rsid w:val="00844DBA"/>
    <w:rsid w:val="00844DFE"/>
    <w:rsid w:val="00844E04"/>
    <w:rsid w:val="00844E33"/>
    <w:rsid w:val="00844FA9"/>
    <w:rsid w:val="008450B0"/>
    <w:rsid w:val="00845433"/>
    <w:rsid w:val="00845486"/>
    <w:rsid w:val="00845514"/>
    <w:rsid w:val="00845517"/>
    <w:rsid w:val="0084563C"/>
    <w:rsid w:val="008457CC"/>
    <w:rsid w:val="00845963"/>
    <w:rsid w:val="0084599E"/>
    <w:rsid w:val="00845B19"/>
    <w:rsid w:val="00845C51"/>
    <w:rsid w:val="00845D38"/>
    <w:rsid w:val="00845DD0"/>
    <w:rsid w:val="00845DE5"/>
    <w:rsid w:val="00845E26"/>
    <w:rsid w:val="00845E72"/>
    <w:rsid w:val="00846033"/>
    <w:rsid w:val="00846158"/>
    <w:rsid w:val="008461B5"/>
    <w:rsid w:val="008461F0"/>
    <w:rsid w:val="00846363"/>
    <w:rsid w:val="00846533"/>
    <w:rsid w:val="00846584"/>
    <w:rsid w:val="008466F7"/>
    <w:rsid w:val="00846751"/>
    <w:rsid w:val="0084676E"/>
    <w:rsid w:val="00846848"/>
    <w:rsid w:val="008469A9"/>
    <w:rsid w:val="00846A34"/>
    <w:rsid w:val="00846C32"/>
    <w:rsid w:val="00846C3D"/>
    <w:rsid w:val="00846CEB"/>
    <w:rsid w:val="00846DE6"/>
    <w:rsid w:val="00846E5E"/>
    <w:rsid w:val="00846FD4"/>
    <w:rsid w:val="008471E3"/>
    <w:rsid w:val="00847219"/>
    <w:rsid w:val="00847220"/>
    <w:rsid w:val="00847277"/>
    <w:rsid w:val="008472D3"/>
    <w:rsid w:val="00847334"/>
    <w:rsid w:val="008473A7"/>
    <w:rsid w:val="008473C0"/>
    <w:rsid w:val="0084745D"/>
    <w:rsid w:val="00847468"/>
    <w:rsid w:val="00847542"/>
    <w:rsid w:val="008475BB"/>
    <w:rsid w:val="0084768F"/>
    <w:rsid w:val="0084774F"/>
    <w:rsid w:val="008478B9"/>
    <w:rsid w:val="00847935"/>
    <w:rsid w:val="00847984"/>
    <w:rsid w:val="00847A66"/>
    <w:rsid w:val="00847AF6"/>
    <w:rsid w:val="00847C48"/>
    <w:rsid w:val="00847C8C"/>
    <w:rsid w:val="00847D3B"/>
    <w:rsid w:val="00847DED"/>
    <w:rsid w:val="00847EC8"/>
    <w:rsid w:val="00847EEE"/>
    <w:rsid w:val="0085006A"/>
    <w:rsid w:val="008500A3"/>
    <w:rsid w:val="008500E8"/>
    <w:rsid w:val="008501BF"/>
    <w:rsid w:val="00850251"/>
    <w:rsid w:val="00850687"/>
    <w:rsid w:val="00850878"/>
    <w:rsid w:val="00850880"/>
    <w:rsid w:val="00850888"/>
    <w:rsid w:val="008508AF"/>
    <w:rsid w:val="008509A0"/>
    <w:rsid w:val="008509BF"/>
    <w:rsid w:val="008509F8"/>
    <w:rsid w:val="00850B0C"/>
    <w:rsid w:val="00850B7D"/>
    <w:rsid w:val="00850CA9"/>
    <w:rsid w:val="00850CEF"/>
    <w:rsid w:val="00850D75"/>
    <w:rsid w:val="00850D8D"/>
    <w:rsid w:val="00850DA4"/>
    <w:rsid w:val="00850DB6"/>
    <w:rsid w:val="00850F6F"/>
    <w:rsid w:val="00850F80"/>
    <w:rsid w:val="0085124D"/>
    <w:rsid w:val="00851251"/>
    <w:rsid w:val="00851289"/>
    <w:rsid w:val="0085141F"/>
    <w:rsid w:val="00851480"/>
    <w:rsid w:val="008514FE"/>
    <w:rsid w:val="00851649"/>
    <w:rsid w:val="00851654"/>
    <w:rsid w:val="0085181F"/>
    <w:rsid w:val="0085183D"/>
    <w:rsid w:val="00851894"/>
    <w:rsid w:val="008518CE"/>
    <w:rsid w:val="00851A9D"/>
    <w:rsid w:val="00851C3C"/>
    <w:rsid w:val="00851E54"/>
    <w:rsid w:val="00851F32"/>
    <w:rsid w:val="00852033"/>
    <w:rsid w:val="00852185"/>
    <w:rsid w:val="008521B5"/>
    <w:rsid w:val="008522DC"/>
    <w:rsid w:val="008523C8"/>
    <w:rsid w:val="008523D6"/>
    <w:rsid w:val="0085244F"/>
    <w:rsid w:val="00852466"/>
    <w:rsid w:val="008524FE"/>
    <w:rsid w:val="0085251D"/>
    <w:rsid w:val="00852651"/>
    <w:rsid w:val="008526B2"/>
    <w:rsid w:val="008527C1"/>
    <w:rsid w:val="00852831"/>
    <w:rsid w:val="008528C2"/>
    <w:rsid w:val="008529E7"/>
    <w:rsid w:val="00852A3E"/>
    <w:rsid w:val="00852ACB"/>
    <w:rsid w:val="00852C47"/>
    <w:rsid w:val="00852C48"/>
    <w:rsid w:val="00852C67"/>
    <w:rsid w:val="00852D9A"/>
    <w:rsid w:val="00852E1F"/>
    <w:rsid w:val="00852E6D"/>
    <w:rsid w:val="00852E87"/>
    <w:rsid w:val="00852EA1"/>
    <w:rsid w:val="00852FA7"/>
    <w:rsid w:val="00853082"/>
    <w:rsid w:val="00853235"/>
    <w:rsid w:val="0085329C"/>
    <w:rsid w:val="008532A4"/>
    <w:rsid w:val="008533CF"/>
    <w:rsid w:val="00853641"/>
    <w:rsid w:val="0085366C"/>
    <w:rsid w:val="008536B7"/>
    <w:rsid w:val="00853783"/>
    <w:rsid w:val="008538A5"/>
    <w:rsid w:val="008538B3"/>
    <w:rsid w:val="00853E2E"/>
    <w:rsid w:val="00853F4E"/>
    <w:rsid w:val="00853FE7"/>
    <w:rsid w:val="00854049"/>
    <w:rsid w:val="008540C7"/>
    <w:rsid w:val="0085413E"/>
    <w:rsid w:val="008541BA"/>
    <w:rsid w:val="0085453A"/>
    <w:rsid w:val="00854594"/>
    <w:rsid w:val="0085459D"/>
    <w:rsid w:val="0085461E"/>
    <w:rsid w:val="00854669"/>
    <w:rsid w:val="0085472E"/>
    <w:rsid w:val="0085477B"/>
    <w:rsid w:val="0085494C"/>
    <w:rsid w:val="008549C3"/>
    <w:rsid w:val="00854D93"/>
    <w:rsid w:val="00854DD0"/>
    <w:rsid w:val="00854DDC"/>
    <w:rsid w:val="00854E43"/>
    <w:rsid w:val="00854EC4"/>
    <w:rsid w:val="00854ED1"/>
    <w:rsid w:val="00854EF5"/>
    <w:rsid w:val="00854EFE"/>
    <w:rsid w:val="00854F2D"/>
    <w:rsid w:val="008550CF"/>
    <w:rsid w:val="00855145"/>
    <w:rsid w:val="00855153"/>
    <w:rsid w:val="008551C8"/>
    <w:rsid w:val="0085520A"/>
    <w:rsid w:val="008552EC"/>
    <w:rsid w:val="00855375"/>
    <w:rsid w:val="008553BD"/>
    <w:rsid w:val="00855498"/>
    <w:rsid w:val="00855608"/>
    <w:rsid w:val="008556AD"/>
    <w:rsid w:val="008556FE"/>
    <w:rsid w:val="0085581D"/>
    <w:rsid w:val="0085582E"/>
    <w:rsid w:val="008558C1"/>
    <w:rsid w:val="00855A57"/>
    <w:rsid w:val="00855B0B"/>
    <w:rsid w:val="00855B93"/>
    <w:rsid w:val="00855CCF"/>
    <w:rsid w:val="00855E14"/>
    <w:rsid w:val="00855EEF"/>
    <w:rsid w:val="00855FCF"/>
    <w:rsid w:val="008560AC"/>
    <w:rsid w:val="00856128"/>
    <w:rsid w:val="0085612E"/>
    <w:rsid w:val="0085613E"/>
    <w:rsid w:val="00856317"/>
    <w:rsid w:val="00856328"/>
    <w:rsid w:val="008563B4"/>
    <w:rsid w:val="00856476"/>
    <w:rsid w:val="008564C9"/>
    <w:rsid w:val="008567E0"/>
    <w:rsid w:val="0085682D"/>
    <w:rsid w:val="008568DC"/>
    <w:rsid w:val="0085696A"/>
    <w:rsid w:val="008569D5"/>
    <w:rsid w:val="00856A0D"/>
    <w:rsid w:val="00856A10"/>
    <w:rsid w:val="00856A26"/>
    <w:rsid w:val="00856A2D"/>
    <w:rsid w:val="00856AC8"/>
    <w:rsid w:val="00856BD7"/>
    <w:rsid w:val="00856C85"/>
    <w:rsid w:val="00856CCA"/>
    <w:rsid w:val="00856CFE"/>
    <w:rsid w:val="00856D6A"/>
    <w:rsid w:val="00856DE6"/>
    <w:rsid w:val="00856F1A"/>
    <w:rsid w:val="00857015"/>
    <w:rsid w:val="00857035"/>
    <w:rsid w:val="008570E3"/>
    <w:rsid w:val="00857112"/>
    <w:rsid w:val="0085715F"/>
    <w:rsid w:val="00857520"/>
    <w:rsid w:val="00857533"/>
    <w:rsid w:val="008575EA"/>
    <w:rsid w:val="0085764B"/>
    <w:rsid w:val="008579C6"/>
    <w:rsid w:val="00857A89"/>
    <w:rsid w:val="00857BA5"/>
    <w:rsid w:val="00857BFD"/>
    <w:rsid w:val="00857CE8"/>
    <w:rsid w:val="00857F0C"/>
    <w:rsid w:val="00857F4F"/>
    <w:rsid w:val="00857FB0"/>
    <w:rsid w:val="00860067"/>
    <w:rsid w:val="008601E9"/>
    <w:rsid w:val="008603CC"/>
    <w:rsid w:val="0086043E"/>
    <w:rsid w:val="0086053D"/>
    <w:rsid w:val="008605D0"/>
    <w:rsid w:val="00860774"/>
    <w:rsid w:val="00860810"/>
    <w:rsid w:val="0086083F"/>
    <w:rsid w:val="008608CC"/>
    <w:rsid w:val="0086098A"/>
    <w:rsid w:val="008609C9"/>
    <w:rsid w:val="00860A50"/>
    <w:rsid w:val="00860AF2"/>
    <w:rsid w:val="00860BD9"/>
    <w:rsid w:val="00860CE8"/>
    <w:rsid w:val="00861036"/>
    <w:rsid w:val="00861259"/>
    <w:rsid w:val="008612E8"/>
    <w:rsid w:val="0086133A"/>
    <w:rsid w:val="008613EB"/>
    <w:rsid w:val="0086149A"/>
    <w:rsid w:val="00861512"/>
    <w:rsid w:val="00861529"/>
    <w:rsid w:val="00861546"/>
    <w:rsid w:val="00861613"/>
    <w:rsid w:val="0086168B"/>
    <w:rsid w:val="00861785"/>
    <w:rsid w:val="00861873"/>
    <w:rsid w:val="0086192B"/>
    <w:rsid w:val="00861B22"/>
    <w:rsid w:val="00861C8D"/>
    <w:rsid w:val="00861CB3"/>
    <w:rsid w:val="00861CB6"/>
    <w:rsid w:val="00861CBD"/>
    <w:rsid w:val="00861E30"/>
    <w:rsid w:val="00861E59"/>
    <w:rsid w:val="00861E7D"/>
    <w:rsid w:val="00862030"/>
    <w:rsid w:val="0086211B"/>
    <w:rsid w:val="008622D2"/>
    <w:rsid w:val="008623EE"/>
    <w:rsid w:val="008624F4"/>
    <w:rsid w:val="00862545"/>
    <w:rsid w:val="0086276B"/>
    <w:rsid w:val="00862790"/>
    <w:rsid w:val="008627E6"/>
    <w:rsid w:val="008628B8"/>
    <w:rsid w:val="00862910"/>
    <w:rsid w:val="00862AD0"/>
    <w:rsid w:val="00862B65"/>
    <w:rsid w:val="00862D76"/>
    <w:rsid w:val="00862DAC"/>
    <w:rsid w:val="00862F2B"/>
    <w:rsid w:val="00863073"/>
    <w:rsid w:val="00863099"/>
    <w:rsid w:val="008630C4"/>
    <w:rsid w:val="0086311E"/>
    <w:rsid w:val="008631B7"/>
    <w:rsid w:val="008631D4"/>
    <w:rsid w:val="008631E5"/>
    <w:rsid w:val="00863341"/>
    <w:rsid w:val="008635B6"/>
    <w:rsid w:val="0086365C"/>
    <w:rsid w:val="008636E8"/>
    <w:rsid w:val="00863877"/>
    <w:rsid w:val="00863938"/>
    <w:rsid w:val="00863954"/>
    <w:rsid w:val="00863987"/>
    <w:rsid w:val="00863A76"/>
    <w:rsid w:val="00863B5B"/>
    <w:rsid w:val="00863CE1"/>
    <w:rsid w:val="00863F91"/>
    <w:rsid w:val="0086409B"/>
    <w:rsid w:val="008640C3"/>
    <w:rsid w:val="008642BA"/>
    <w:rsid w:val="00864568"/>
    <w:rsid w:val="008646E8"/>
    <w:rsid w:val="008646F7"/>
    <w:rsid w:val="00864729"/>
    <w:rsid w:val="00864827"/>
    <w:rsid w:val="008648DC"/>
    <w:rsid w:val="00864966"/>
    <w:rsid w:val="008649A4"/>
    <w:rsid w:val="00864B40"/>
    <w:rsid w:val="00864B65"/>
    <w:rsid w:val="00864BFF"/>
    <w:rsid w:val="00864CAC"/>
    <w:rsid w:val="00864CCE"/>
    <w:rsid w:val="00864D19"/>
    <w:rsid w:val="00864DE0"/>
    <w:rsid w:val="00864F10"/>
    <w:rsid w:val="00864FA3"/>
    <w:rsid w:val="00864FAD"/>
    <w:rsid w:val="00864FB0"/>
    <w:rsid w:val="0086521F"/>
    <w:rsid w:val="00865287"/>
    <w:rsid w:val="008654AB"/>
    <w:rsid w:val="00865578"/>
    <w:rsid w:val="00865583"/>
    <w:rsid w:val="00865605"/>
    <w:rsid w:val="00865741"/>
    <w:rsid w:val="008657AA"/>
    <w:rsid w:val="00865C6E"/>
    <w:rsid w:val="00865C72"/>
    <w:rsid w:val="00865CF7"/>
    <w:rsid w:val="00865D60"/>
    <w:rsid w:val="00865DC3"/>
    <w:rsid w:val="00865EC4"/>
    <w:rsid w:val="00865F04"/>
    <w:rsid w:val="00865FC3"/>
    <w:rsid w:val="00866025"/>
    <w:rsid w:val="00866072"/>
    <w:rsid w:val="0086607F"/>
    <w:rsid w:val="008662BB"/>
    <w:rsid w:val="00866306"/>
    <w:rsid w:val="00866325"/>
    <w:rsid w:val="0086636A"/>
    <w:rsid w:val="0086637A"/>
    <w:rsid w:val="0086654B"/>
    <w:rsid w:val="008667A7"/>
    <w:rsid w:val="0086694F"/>
    <w:rsid w:val="0086698C"/>
    <w:rsid w:val="00866B30"/>
    <w:rsid w:val="00866BE2"/>
    <w:rsid w:val="00866C32"/>
    <w:rsid w:val="00866D74"/>
    <w:rsid w:val="00866D7D"/>
    <w:rsid w:val="00866FA1"/>
    <w:rsid w:val="00867092"/>
    <w:rsid w:val="008671D4"/>
    <w:rsid w:val="0086723B"/>
    <w:rsid w:val="0086726B"/>
    <w:rsid w:val="0086729B"/>
    <w:rsid w:val="0086729E"/>
    <w:rsid w:val="00867436"/>
    <w:rsid w:val="008674BF"/>
    <w:rsid w:val="008674EE"/>
    <w:rsid w:val="00867541"/>
    <w:rsid w:val="008675BF"/>
    <w:rsid w:val="008675EE"/>
    <w:rsid w:val="00867634"/>
    <w:rsid w:val="00867659"/>
    <w:rsid w:val="008676F9"/>
    <w:rsid w:val="00867705"/>
    <w:rsid w:val="0086777E"/>
    <w:rsid w:val="008677BD"/>
    <w:rsid w:val="008677FE"/>
    <w:rsid w:val="00867887"/>
    <w:rsid w:val="008678A5"/>
    <w:rsid w:val="008678C7"/>
    <w:rsid w:val="00867A44"/>
    <w:rsid w:val="00867B3E"/>
    <w:rsid w:val="00867BE4"/>
    <w:rsid w:val="00867C57"/>
    <w:rsid w:val="00867C66"/>
    <w:rsid w:val="00867C6D"/>
    <w:rsid w:val="00867D03"/>
    <w:rsid w:val="00867DC9"/>
    <w:rsid w:val="00867E9A"/>
    <w:rsid w:val="00867F20"/>
    <w:rsid w:val="00867F4C"/>
    <w:rsid w:val="00870009"/>
    <w:rsid w:val="00870080"/>
    <w:rsid w:val="00870096"/>
    <w:rsid w:val="00870117"/>
    <w:rsid w:val="00870144"/>
    <w:rsid w:val="008701C4"/>
    <w:rsid w:val="008702F3"/>
    <w:rsid w:val="008703BB"/>
    <w:rsid w:val="008703D8"/>
    <w:rsid w:val="0087047D"/>
    <w:rsid w:val="00870505"/>
    <w:rsid w:val="00870509"/>
    <w:rsid w:val="008705F7"/>
    <w:rsid w:val="00870654"/>
    <w:rsid w:val="008706F5"/>
    <w:rsid w:val="008706F8"/>
    <w:rsid w:val="00870878"/>
    <w:rsid w:val="008708EE"/>
    <w:rsid w:val="00870953"/>
    <w:rsid w:val="00870A83"/>
    <w:rsid w:val="00870B28"/>
    <w:rsid w:val="00870C94"/>
    <w:rsid w:val="00870D0A"/>
    <w:rsid w:val="00870DF0"/>
    <w:rsid w:val="00870F89"/>
    <w:rsid w:val="00871095"/>
    <w:rsid w:val="008710B2"/>
    <w:rsid w:val="008711E1"/>
    <w:rsid w:val="00871200"/>
    <w:rsid w:val="00871244"/>
    <w:rsid w:val="008713A8"/>
    <w:rsid w:val="00871519"/>
    <w:rsid w:val="00871540"/>
    <w:rsid w:val="00871568"/>
    <w:rsid w:val="0087157C"/>
    <w:rsid w:val="00871614"/>
    <w:rsid w:val="0087174C"/>
    <w:rsid w:val="0087175B"/>
    <w:rsid w:val="0087191B"/>
    <w:rsid w:val="0087194D"/>
    <w:rsid w:val="00871951"/>
    <w:rsid w:val="00871974"/>
    <w:rsid w:val="00871DA5"/>
    <w:rsid w:val="00871DAF"/>
    <w:rsid w:val="00871DD4"/>
    <w:rsid w:val="0087204F"/>
    <w:rsid w:val="008721CF"/>
    <w:rsid w:val="0087220A"/>
    <w:rsid w:val="008722E3"/>
    <w:rsid w:val="00872332"/>
    <w:rsid w:val="0087239D"/>
    <w:rsid w:val="00872482"/>
    <w:rsid w:val="00872483"/>
    <w:rsid w:val="008725AE"/>
    <w:rsid w:val="008725CF"/>
    <w:rsid w:val="00872676"/>
    <w:rsid w:val="00872683"/>
    <w:rsid w:val="0087275D"/>
    <w:rsid w:val="008727AC"/>
    <w:rsid w:val="008727EC"/>
    <w:rsid w:val="008727EF"/>
    <w:rsid w:val="00872819"/>
    <w:rsid w:val="00872853"/>
    <w:rsid w:val="008728E6"/>
    <w:rsid w:val="008728E8"/>
    <w:rsid w:val="0087297F"/>
    <w:rsid w:val="00872AFB"/>
    <w:rsid w:val="00872B9A"/>
    <w:rsid w:val="00872CE7"/>
    <w:rsid w:val="00872D06"/>
    <w:rsid w:val="00872D36"/>
    <w:rsid w:val="00872D9D"/>
    <w:rsid w:val="00872DAF"/>
    <w:rsid w:val="00872DB1"/>
    <w:rsid w:val="00872DEA"/>
    <w:rsid w:val="00872E09"/>
    <w:rsid w:val="00872E23"/>
    <w:rsid w:val="00872EAA"/>
    <w:rsid w:val="00872EB5"/>
    <w:rsid w:val="00873156"/>
    <w:rsid w:val="008732EC"/>
    <w:rsid w:val="008733A3"/>
    <w:rsid w:val="008735C2"/>
    <w:rsid w:val="00873641"/>
    <w:rsid w:val="008736C4"/>
    <w:rsid w:val="008736C5"/>
    <w:rsid w:val="00873758"/>
    <w:rsid w:val="00873762"/>
    <w:rsid w:val="008737C3"/>
    <w:rsid w:val="008737F7"/>
    <w:rsid w:val="00873825"/>
    <w:rsid w:val="00873962"/>
    <w:rsid w:val="00873A16"/>
    <w:rsid w:val="00873AA1"/>
    <w:rsid w:val="00873B0F"/>
    <w:rsid w:val="00873B2C"/>
    <w:rsid w:val="00873D88"/>
    <w:rsid w:val="00873DDB"/>
    <w:rsid w:val="00873DF7"/>
    <w:rsid w:val="00873E6E"/>
    <w:rsid w:val="00873EB0"/>
    <w:rsid w:val="00873F42"/>
    <w:rsid w:val="00873F81"/>
    <w:rsid w:val="00873FEA"/>
    <w:rsid w:val="0087412B"/>
    <w:rsid w:val="008742FE"/>
    <w:rsid w:val="00874488"/>
    <w:rsid w:val="008744F1"/>
    <w:rsid w:val="00874500"/>
    <w:rsid w:val="008745D0"/>
    <w:rsid w:val="008745F8"/>
    <w:rsid w:val="0087467A"/>
    <w:rsid w:val="008746ED"/>
    <w:rsid w:val="00874779"/>
    <w:rsid w:val="008747D2"/>
    <w:rsid w:val="00874907"/>
    <w:rsid w:val="0087493F"/>
    <w:rsid w:val="0087499F"/>
    <w:rsid w:val="00874B36"/>
    <w:rsid w:val="00874B4D"/>
    <w:rsid w:val="00874BC9"/>
    <w:rsid w:val="00874C83"/>
    <w:rsid w:val="00874C89"/>
    <w:rsid w:val="00874C98"/>
    <w:rsid w:val="00874CAE"/>
    <w:rsid w:val="0087511B"/>
    <w:rsid w:val="00875181"/>
    <w:rsid w:val="00875291"/>
    <w:rsid w:val="008752DA"/>
    <w:rsid w:val="008752DD"/>
    <w:rsid w:val="0087531A"/>
    <w:rsid w:val="008753DC"/>
    <w:rsid w:val="00875503"/>
    <w:rsid w:val="0087565D"/>
    <w:rsid w:val="00875939"/>
    <w:rsid w:val="008759B0"/>
    <w:rsid w:val="00875AAB"/>
    <w:rsid w:val="00875ACC"/>
    <w:rsid w:val="00875BB5"/>
    <w:rsid w:val="00875C2F"/>
    <w:rsid w:val="00875D41"/>
    <w:rsid w:val="00875EF6"/>
    <w:rsid w:val="00875F29"/>
    <w:rsid w:val="00875F55"/>
    <w:rsid w:val="00875F68"/>
    <w:rsid w:val="00876046"/>
    <w:rsid w:val="008760A8"/>
    <w:rsid w:val="008760B3"/>
    <w:rsid w:val="00876107"/>
    <w:rsid w:val="00876136"/>
    <w:rsid w:val="008761A3"/>
    <w:rsid w:val="008761DC"/>
    <w:rsid w:val="00876290"/>
    <w:rsid w:val="0087631D"/>
    <w:rsid w:val="00876321"/>
    <w:rsid w:val="00876429"/>
    <w:rsid w:val="0087646B"/>
    <w:rsid w:val="008764E5"/>
    <w:rsid w:val="0087657C"/>
    <w:rsid w:val="008765C5"/>
    <w:rsid w:val="008766A9"/>
    <w:rsid w:val="008766BD"/>
    <w:rsid w:val="00876961"/>
    <w:rsid w:val="00876995"/>
    <w:rsid w:val="00876A68"/>
    <w:rsid w:val="00876AA8"/>
    <w:rsid w:val="00876B50"/>
    <w:rsid w:val="00876DFD"/>
    <w:rsid w:val="00876E47"/>
    <w:rsid w:val="00876E51"/>
    <w:rsid w:val="00876FD0"/>
    <w:rsid w:val="00877127"/>
    <w:rsid w:val="00877180"/>
    <w:rsid w:val="008771CF"/>
    <w:rsid w:val="008771FF"/>
    <w:rsid w:val="00877235"/>
    <w:rsid w:val="008772E4"/>
    <w:rsid w:val="0087764D"/>
    <w:rsid w:val="008776AB"/>
    <w:rsid w:val="00877742"/>
    <w:rsid w:val="008777E0"/>
    <w:rsid w:val="00877890"/>
    <w:rsid w:val="008779C7"/>
    <w:rsid w:val="00877A40"/>
    <w:rsid w:val="00877AE1"/>
    <w:rsid w:val="00877B17"/>
    <w:rsid w:val="00877BE8"/>
    <w:rsid w:val="00877BF3"/>
    <w:rsid w:val="00877D19"/>
    <w:rsid w:val="00877F15"/>
    <w:rsid w:val="00880076"/>
    <w:rsid w:val="0088015D"/>
    <w:rsid w:val="00880184"/>
    <w:rsid w:val="00880237"/>
    <w:rsid w:val="00880442"/>
    <w:rsid w:val="008804CE"/>
    <w:rsid w:val="008804EA"/>
    <w:rsid w:val="0088053F"/>
    <w:rsid w:val="008805FF"/>
    <w:rsid w:val="00880676"/>
    <w:rsid w:val="008806F7"/>
    <w:rsid w:val="0088077A"/>
    <w:rsid w:val="00880874"/>
    <w:rsid w:val="00880894"/>
    <w:rsid w:val="008808FB"/>
    <w:rsid w:val="008809E5"/>
    <w:rsid w:val="00880B72"/>
    <w:rsid w:val="00880BC0"/>
    <w:rsid w:val="00880CF8"/>
    <w:rsid w:val="00880E01"/>
    <w:rsid w:val="00880E5A"/>
    <w:rsid w:val="00880EA1"/>
    <w:rsid w:val="00880F46"/>
    <w:rsid w:val="00880FCB"/>
    <w:rsid w:val="0088107F"/>
    <w:rsid w:val="0088110A"/>
    <w:rsid w:val="008813E7"/>
    <w:rsid w:val="008813ED"/>
    <w:rsid w:val="0088140C"/>
    <w:rsid w:val="008814D4"/>
    <w:rsid w:val="0088150C"/>
    <w:rsid w:val="00881565"/>
    <w:rsid w:val="00881601"/>
    <w:rsid w:val="00881945"/>
    <w:rsid w:val="00881A02"/>
    <w:rsid w:val="00881B1D"/>
    <w:rsid w:val="00881C56"/>
    <w:rsid w:val="00881E01"/>
    <w:rsid w:val="00881ED1"/>
    <w:rsid w:val="00881F09"/>
    <w:rsid w:val="00881FA0"/>
    <w:rsid w:val="00881FD5"/>
    <w:rsid w:val="008820BE"/>
    <w:rsid w:val="0088232C"/>
    <w:rsid w:val="00882413"/>
    <w:rsid w:val="00882519"/>
    <w:rsid w:val="0088270D"/>
    <w:rsid w:val="00882717"/>
    <w:rsid w:val="00882881"/>
    <w:rsid w:val="008828AA"/>
    <w:rsid w:val="00882A0B"/>
    <w:rsid w:val="00882A6D"/>
    <w:rsid w:val="00882BAA"/>
    <w:rsid w:val="00882D71"/>
    <w:rsid w:val="00882DB7"/>
    <w:rsid w:val="00882DD2"/>
    <w:rsid w:val="00882E58"/>
    <w:rsid w:val="00882F00"/>
    <w:rsid w:val="00882FB1"/>
    <w:rsid w:val="00882FDD"/>
    <w:rsid w:val="0088307D"/>
    <w:rsid w:val="008831C4"/>
    <w:rsid w:val="00883329"/>
    <w:rsid w:val="0088341A"/>
    <w:rsid w:val="008834C8"/>
    <w:rsid w:val="0088350A"/>
    <w:rsid w:val="0088376E"/>
    <w:rsid w:val="008839FD"/>
    <w:rsid w:val="00883D95"/>
    <w:rsid w:val="00883E15"/>
    <w:rsid w:val="00883F73"/>
    <w:rsid w:val="008840BC"/>
    <w:rsid w:val="008840E5"/>
    <w:rsid w:val="00884137"/>
    <w:rsid w:val="00884161"/>
    <w:rsid w:val="00884164"/>
    <w:rsid w:val="008841C2"/>
    <w:rsid w:val="008843CA"/>
    <w:rsid w:val="008843EE"/>
    <w:rsid w:val="00884426"/>
    <w:rsid w:val="008844BB"/>
    <w:rsid w:val="00884696"/>
    <w:rsid w:val="0088469E"/>
    <w:rsid w:val="008847A4"/>
    <w:rsid w:val="0088492B"/>
    <w:rsid w:val="00884BE2"/>
    <w:rsid w:val="00884BF0"/>
    <w:rsid w:val="00884D26"/>
    <w:rsid w:val="00885059"/>
    <w:rsid w:val="008850D4"/>
    <w:rsid w:val="00885226"/>
    <w:rsid w:val="008853A7"/>
    <w:rsid w:val="008854AC"/>
    <w:rsid w:val="00885530"/>
    <w:rsid w:val="008855FA"/>
    <w:rsid w:val="0088568B"/>
    <w:rsid w:val="00885725"/>
    <w:rsid w:val="00885767"/>
    <w:rsid w:val="0088585C"/>
    <w:rsid w:val="00885863"/>
    <w:rsid w:val="0088591F"/>
    <w:rsid w:val="0088595B"/>
    <w:rsid w:val="008859A1"/>
    <w:rsid w:val="00885A44"/>
    <w:rsid w:val="00885AF0"/>
    <w:rsid w:val="00885B1B"/>
    <w:rsid w:val="00885D95"/>
    <w:rsid w:val="00885F24"/>
    <w:rsid w:val="00885F4E"/>
    <w:rsid w:val="00885FE8"/>
    <w:rsid w:val="00886097"/>
    <w:rsid w:val="008860EF"/>
    <w:rsid w:val="00886282"/>
    <w:rsid w:val="00886356"/>
    <w:rsid w:val="00886389"/>
    <w:rsid w:val="008865C9"/>
    <w:rsid w:val="008865FD"/>
    <w:rsid w:val="00886632"/>
    <w:rsid w:val="00886846"/>
    <w:rsid w:val="00886917"/>
    <w:rsid w:val="00886A22"/>
    <w:rsid w:val="00886AD6"/>
    <w:rsid w:val="00886B2E"/>
    <w:rsid w:val="00886CF1"/>
    <w:rsid w:val="00886CF7"/>
    <w:rsid w:val="00886DBB"/>
    <w:rsid w:val="00886DE9"/>
    <w:rsid w:val="00886E90"/>
    <w:rsid w:val="00886F29"/>
    <w:rsid w:val="00887053"/>
    <w:rsid w:val="0088711C"/>
    <w:rsid w:val="0088723E"/>
    <w:rsid w:val="00887251"/>
    <w:rsid w:val="0088744F"/>
    <w:rsid w:val="008874AE"/>
    <w:rsid w:val="00887563"/>
    <w:rsid w:val="008875BE"/>
    <w:rsid w:val="0088769C"/>
    <w:rsid w:val="00887747"/>
    <w:rsid w:val="00887756"/>
    <w:rsid w:val="0088791B"/>
    <w:rsid w:val="008879DB"/>
    <w:rsid w:val="008879EF"/>
    <w:rsid w:val="00887A8E"/>
    <w:rsid w:val="00887BEC"/>
    <w:rsid w:val="00887C35"/>
    <w:rsid w:val="00887F05"/>
    <w:rsid w:val="00887F8A"/>
    <w:rsid w:val="00890016"/>
    <w:rsid w:val="008900A0"/>
    <w:rsid w:val="00890146"/>
    <w:rsid w:val="00890172"/>
    <w:rsid w:val="00890251"/>
    <w:rsid w:val="008902C3"/>
    <w:rsid w:val="00890318"/>
    <w:rsid w:val="008903A6"/>
    <w:rsid w:val="0089048F"/>
    <w:rsid w:val="008904CF"/>
    <w:rsid w:val="008904D2"/>
    <w:rsid w:val="008905C0"/>
    <w:rsid w:val="00890647"/>
    <w:rsid w:val="00890657"/>
    <w:rsid w:val="00890709"/>
    <w:rsid w:val="00890816"/>
    <w:rsid w:val="008909AA"/>
    <w:rsid w:val="008909B9"/>
    <w:rsid w:val="00890AA9"/>
    <w:rsid w:val="00890B9E"/>
    <w:rsid w:val="00890D08"/>
    <w:rsid w:val="00891031"/>
    <w:rsid w:val="008910D7"/>
    <w:rsid w:val="008910DE"/>
    <w:rsid w:val="00891192"/>
    <w:rsid w:val="00891265"/>
    <w:rsid w:val="00891279"/>
    <w:rsid w:val="008912A0"/>
    <w:rsid w:val="008912BA"/>
    <w:rsid w:val="00891335"/>
    <w:rsid w:val="00891425"/>
    <w:rsid w:val="00891539"/>
    <w:rsid w:val="008915FA"/>
    <w:rsid w:val="00891666"/>
    <w:rsid w:val="0089182A"/>
    <w:rsid w:val="00891912"/>
    <w:rsid w:val="0089195A"/>
    <w:rsid w:val="00891964"/>
    <w:rsid w:val="00891A41"/>
    <w:rsid w:val="00891A89"/>
    <w:rsid w:val="00891AC5"/>
    <w:rsid w:val="00891C9E"/>
    <w:rsid w:val="00891CF1"/>
    <w:rsid w:val="00891EA8"/>
    <w:rsid w:val="00891F34"/>
    <w:rsid w:val="0089202A"/>
    <w:rsid w:val="00892095"/>
    <w:rsid w:val="00892200"/>
    <w:rsid w:val="00892304"/>
    <w:rsid w:val="00892481"/>
    <w:rsid w:val="008924E4"/>
    <w:rsid w:val="00892518"/>
    <w:rsid w:val="0089269C"/>
    <w:rsid w:val="008926E1"/>
    <w:rsid w:val="0089286D"/>
    <w:rsid w:val="0089288A"/>
    <w:rsid w:val="008929B2"/>
    <w:rsid w:val="00892A19"/>
    <w:rsid w:val="00892ABE"/>
    <w:rsid w:val="00892D50"/>
    <w:rsid w:val="0089307D"/>
    <w:rsid w:val="0089316B"/>
    <w:rsid w:val="008931E5"/>
    <w:rsid w:val="0089351C"/>
    <w:rsid w:val="00893688"/>
    <w:rsid w:val="00893957"/>
    <w:rsid w:val="00893C02"/>
    <w:rsid w:val="00893C50"/>
    <w:rsid w:val="00893FA6"/>
    <w:rsid w:val="008941AA"/>
    <w:rsid w:val="00894480"/>
    <w:rsid w:val="008945DE"/>
    <w:rsid w:val="00894716"/>
    <w:rsid w:val="008948C2"/>
    <w:rsid w:val="00894910"/>
    <w:rsid w:val="0089493A"/>
    <w:rsid w:val="00894973"/>
    <w:rsid w:val="008949F1"/>
    <w:rsid w:val="00894AA7"/>
    <w:rsid w:val="00894ABA"/>
    <w:rsid w:val="00894BC9"/>
    <w:rsid w:val="00894C9F"/>
    <w:rsid w:val="00894D2C"/>
    <w:rsid w:val="00894E0F"/>
    <w:rsid w:val="00894EA8"/>
    <w:rsid w:val="00895074"/>
    <w:rsid w:val="0089508E"/>
    <w:rsid w:val="0089510E"/>
    <w:rsid w:val="008952D2"/>
    <w:rsid w:val="00895356"/>
    <w:rsid w:val="00895402"/>
    <w:rsid w:val="0089550C"/>
    <w:rsid w:val="00895533"/>
    <w:rsid w:val="008957CA"/>
    <w:rsid w:val="008957DA"/>
    <w:rsid w:val="00895838"/>
    <w:rsid w:val="008958AB"/>
    <w:rsid w:val="0089597F"/>
    <w:rsid w:val="00895C53"/>
    <w:rsid w:val="00895CCD"/>
    <w:rsid w:val="00895D4C"/>
    <w:rsid w:val="00895DA5"/>
    <w:rsid w:val="00895DA9"/>
    <w:rsid w:val="00895DC2"/>
    <w:rsid w:val="00895EA9"/>
    <w:rsid w:val="00895ED0"/>
    <w:rsid w:val="00895FDD"/>
    <w:rsid w:val="00896139"/>
    <w:rsid w:val="0089613E"/>
    <w:rsid w:val="008961CB"/>
    <w:rsid w:val="00896377"/>
    <w:rsid w:val="0089639C"/>
    <w:rsid w:val="008963BE"/>
    <w:rsid w:val="0089660F"/>
    <w:rsid w:val="00896780"/>
    <w:rsid w:val="00896851"/>
    <w:rsid w:val="00896A3B"/>
    <w:rsid w:val="00896B3A"/>
    <w:rsid w:val="00896D54"/>
    <w:rsid w:val="00896D61"/>
    <w:rsid w:val="00896DFA"/>
    <w:rsid w:val="00896E5A"/>
    <w:rsid w:val="00896F3A"/>
    <w:rsid w:val="00896FAC"/>
    <w:rsid w:val="00896FD7"/>
    <w:rsid w:val="0089711D"/>
    <w:rsid w:val="00897125"/>
    <w:rsid w:val="00897138"/>
    <w:rsid w:val="00897179"/>
    <w:rsid w:val="008972E9"/>
    <w:rsid w:val="00897533"/>
    <w:rsid w:val="008975AE"/>
    <w:rsid w:val="00897607"/>
    <w:rsid w:val="0089777F"/>
    <w:rsid w:val="00897811"/>
    <w:rsid w:val="008978B1"/>
    <w:rsid w:val="00897A62"/>
    <w:rsid w:val="00897D45"/>
    <w:rsid w:val="00897E46"/>
    <w:rsid w:val="00897EBD"/>
    <w:rsid w:val="00897F21"/>
    <w:rsid w:val="00897F99"/>
    <w:rsid w:val="008A0176"/>
    <w:rsid w:val="008A01E6"/>
    <w:rsid w:val="008A034B"/>
    <w:rsid w:val="008A03C6"/>
    <w:rsid w:val="008A0698"/>
    <w:rsid w:val="008A0A9D"/>
    <w:rsid w:val="008A0B91"/>
    <w:rsid w:val="008A0B99"/>
    <w:rsid w:val="008A0C3F"/>
    <w:rsid w:val="008A0D73"/>
    <w:rsid w:val="008A0E05"/>
    <w:rsid w:val="008A0F2A"/>
    <w:rsid w:val="008A1141"/>
    <w:rsid w:val="008A1414"/>
    <w:rsid w:val="008A1423"/>
    <w:rsid w:val="008A143D"/>
    <w:rsid w:val="008A14BB"/>
    <w:rsid w:val="008A1566"/>
    <w:rsid w:val="008A1677"/>
    <w:rsid w:val="008A16AE"/>
    <w:rsid w:val="008A184D"/>
    <w:rsid w:val="008A187C"/>
    <w:rsid w:val="008A1A46"/>
    <w:rsid w:val="008A1ADC"/>
    <w:rsid w:val="008A1AF6"/>
    <w:rsid w:val="008A1B5C"/>
    <w:rsid w:val="008A1E33"/>
    <w:rsid w:val="008A1F47"/>
    <w:rsid w:val="008A1F96"/>
    <w:rsid w:val="008A2134"/>
    <w:rsid w:val="008A21D5"/>
    <w:rsid w:val="008A21D8"/>
    <w:rsid w:val="008A21FC"/>
    <w:rsid w:val="008A2375"/>
    <w:rsid w:val="008A23EC"/>
    <w:rsid w:val="008A2530"/>
    <w:rsid w:val="008A253A"/>
    <w:rsid w:val="008A253F"/>
    <w:rsid w:val="008A25E9"/>
    <w:rsid w:val="008A2683"/>
    <w:rsid w:val="008A26E8"/>
    <w:rsid w:val="008A2711"/>
    <w:rsid w:val="008A27ED"/>
    <w:rsid w:val="008A29BC"/>
    <w:rsid w:val="008A29F9"/>
    <w:rsid w:val="008A2AC7"/>
    <w:rsid w:val="008A2B25"/>
    <w:rsid w:val="008A2D1A"/>
    <w:rsid w:val="008A2DE3"/>
    <w:rsid w:val="008A2EF0"/>
    <w:rsid w:val="008A3002"/>
    <w:rsid w:val="008A3133"/>
    <w:rsid w:val="008A3168"/>
    <w:rsid w:val="008A3296"/>
    <w:rsid w:val="008A33B3"/>
    <w:rsid w:val="008A3500"/>
    <w:rsid w:val="008A362A"/>
    <w:rsid w:val="008A3659"/>
    <w:rsid w:val="008A3B41"/>
    <w:rsid w:val="008A3C66"/>
    <w:rsid w:val="008A3F5E"/>
    <w:rsid w:val="008A409C"/>
    <w:rsid w:val="008A412C"/>
    <w:rsid w:val="008A41F7"/>
    <w:rsid w:val="008A4285"/>
    <w:rsid w:val="008A42BD"/>
    <w:rsid w:val="008A43A4"/>
    <w:rsid w:val="008A4495"/>
    <w:rsid w:val="008A4521"/>
    <w:rsid w:val="008A48C7"/>
    <w:rsid w:val="008A4963"/>
    <w:rsid w:val="008A4998"/>
    <w:rsid w:val="008A4A2E"/>
    <w:rsid w:val="008A4AD6"/>
    <w:rsid w:val="008A4B5B"/>
    <w:rsid w:val="008A4E07"/>
    <w:rsid w:val="008A4E83"/>
    <w:rsid w:val="008A50B2"/>
    <w:rsid w:val="008A50C7"/>
    <w:rsid w:val="008A521B"/>
    <w:rsid w:val="008A52FE"/>
    <w:rsid w:val="008A5318"/>
    <w:rsid w:val="008A538C"/>
    <w:rsid w:val="008A5490"/>
    <w:rsid w:val="008A5587"/>
    <w:rsid w:val="008A5882"/>
    <w:rsid w:val="008A5919"/>
    <w:rsid w:val="008A5993"/>
    <w:rsid w:val="008A5A27"/>
    <w:rsid w:val="008A5A30"/>
    <w:rsid w:val="008A5A99"/>
    <w:rsid w:val="008A5ACB"/>
    <w:rsid w:val="008A5BE5"/>
    <w:rsid w:val="008A5C5E"/>
    <w:rsid w:val="008A61D3"/>
    <w:rsid w:val="008A621F"/>
    <w:rsid w:val="008A63F9"/>
    <w:rsid w:val="008A65A2"/>
    <w:rsid w:val="008A662B"/>
    <w:rsid w:val="008A6753"/>
    <w:rsid w:val="008A6769"/>
    <w:rsid w:val="008A685A"/>
    <w:rsid w:val="008A689B"/>
    <w:rsid w:val="008A695B"/>
    <w:rsid w:val="008A6991"/>
    <w:rsid w:val="008A6A42"/>
    <w:rsid w:val="008A6AB8"/>
    <w:rsid w:val="008A6BE3"/>
    <w:rsid w:val="008A6C0B"/>
    <w:rsid w:val="008A6C31"/>
    <w:rsid w:val="008A6DD0"/>
    <w:rsid w:val="008A6EF3"/>
    <w:rsid w:val="008A7119"/>
    <w:rsid w:val="008A7151"/>
    <w:rsid w:val="008A717E"/>
    <w:rsid w:val="008A7219"/>
    <w:rsid w:val="008A73D2"/>
    <w:rsid w:val="008A74F4"/>
    <w:rsid w:val="008A76DB"/>
    <w:rsid w:val="008A7786"/>
    <w:rsid w:val="008A7825"/>
    <w:rsid w:val="008A79B4"/>
    <w:rsid w:val="008A79C9"/>
    <w:rsid w:val="008A7AB0"/>
    <w:rsid w:val="008A7B91"/>
    <w:rsid w:val="008A7BB6"/>
    <w:rsid w:val="008A7C00"/>
    <w:rsid w:val="008A7C98"/>
    <w:rsid w:val="008A7DFC"/>
    <w:rsid w:val="008A7F11"/>
    <w:rsid w:val="008B0086"/>
    <w:rsid w:val="008B008C"/>
    <w:rsid w:val="008B0131"/>
    <w:rsid w:val="008B0206"/>
    <w:rsid w:val="008B0272"/>
    <w:rsid w:val="008B042C"/>
    <w:rsid w:val="008B047D"/>
    <w:rsid w:val="008B04FE"/>
    <w:rsid w:val="008B054A"/>
    <w:rsid w:val="008B0550"/>
    <w:rsid w:val="008B05B1"/>
    <w:rsid w:val="008B05F1"/>
    <w:rsid w:val="008B074B"/>
    <w:rsid w:val="008B0850"/>
    <w:rsid w:val="008B0BC8"/>
    <w:rsid w:val="008B0CDE"/>
    <w:rsid w:val="008B0D9C"/>
    <w:rsid w:val="008B0EFC"/>
    <w:rsid w:val="008B0F5C"/>
    <w:rsid w:val="008B0FDF"/>
    <w:rsid w:val="008B1050"/>
    <w:rsid w:val="008B1139"/>
    <w:rsid w:val="008B1239"/>
    <w:rsid w:val="008B1331"/>
    <w:rsid w:val="008B13E4"/>
    <w:rsid w:val="008B13E8"/>
    <w:rsid w:val="008B1559"/>
    <w:rsid w:val="008B1635"/>
    <w:rsid w:val="008B16E9"/>
    <w:rsid w:val="008B187A"/>
    <w:rsid w:val="008B1942"/>
    <w:rsid w:val="008B197B"/>
    <w:rsid w:val="008B19A6"/>
    <w:rsid w:val="008B1A4B"/>
    <w:rsid w:val="008B1ACD"/>
    <w:rsid w:val="008B1AFE"/>
    <w:rsid w:val="008B1B32"/>
    <w:rsid w:val="008B1C2A"/>
    <w:rsid w:val="008B1C30"/>
    <w:rsid w:val="008B1C31"/>
    <w:rsid w:val="008B1C3C"/>
    <w:rsid w:val="008B1C4C"/>
    <w:rsid w:val="008B1C6E"/>
    <w:rsid w:val="008B1CC6"/>
    <w:rsid w:val="008B1EC1"/>
    <w:rsid w:val="008B212E"/>
    <w:rsid w:val="008B223B"/>
    <w:rsid w:val="008B23E5"/>
    <w:rsid w:val="008B24D6"/>
    <w:rsid w:val="008B284D"/>
    <w:rsid w:val="008B286C"/>
    <w:rsid w:val="008B2A4C"/>
    <w:rsid w:val="008B2B8D"/>
    <w:rsid w:val="008B2D40"/>
    <w:rsid w:val="008B2D73"/>
    <w:rsid w:val="008B2F4A"/>
    <w:rsid w:val="008B3017"/>
    <w:rsid w:val="008B301E"/>
    <w:rsid w:val="008B305D"/>
    <w:rsid w:val="008B3178"/>
    <w:rsid w:val="008B31C7"/>
    <w:rsid w:val="008B31D5"/>
    <w:rsid w:val="008B32BD"/>
    <w:rsid w:val="008B33B4"/>
    <w:rsid w:val="008B3414"/>
    <w:rsid w:val="008B3449"/>
    <w:rsid w:val="008B34DF"/>
    <w:rsid w:val="008B3544"/>
    <w:rsid w:val="008B35A7"/>
    <w:rsid w:val="008B36EA"/>
    <w:rsid w:val="008B373C"/>
    <w:rsid w:val="008B37F6"/>
    <w:rsid w:val="008B391B"/>
    <w:rsid w:val="008B39AF"/>
    <w:rsid w:val="008B39C4"/>
    <w:rsid w:val="008B3A6F"/>
    <w:rsid w:val="008B3A8B"/>
    <w:rsid w:val="008B3B3A"/>
    <w:rsid w:val="008B3C4E"/>
    <w:rsid w:val="008B3D4F"/>
    <w:rsid w:val="008B3D51"/>
    <w:rsid w:val="008B3E59"/>
    <w:rsid w:val="008B4031"/>
    <w:rsid w:val="008B40AF"/>
    <w:rsid w:val="008B4129"/>
    <w:rsid w:val="008B4164"/>
    <w:rsid w:val="008B41FD"/>
    <w:rsid w:val="008B422C"/>
    <w:rsid w:val="008B42EF"/>
    <w:rsid w:val="008B431A"/>
    <w:rsid w:val="008B43C2"/>
    <w:rsid w:val="008B4400"/>
    <w:rsid w:val="008B443D"/>
    <w:rsid w:val="008B4647"/>
    <w:rsid w:val="008B4838"/>
    <w:rsid w:val="008B4882"/>
    <w:rsid w:val="008B4AB5"/>
    <w:rsid w:val="008B4B92"/>
    <w:rsid w:val="008B4BAD"/>
    <w:rsid w:val="008B4CA1"/>
    <w:rsid w:val="008B4D33"/>
    <w:rsid w:val="008B4D82"/>
    <w:rsid w:val="008B4DC7"/>
    <w:rsid w:val="008B4E84"/>
    <w:rsid w:val="008B4EE9"/>
    <w:rsid w:val="008B4F12"/>
    <w:rsid w:val="008B4F50"/>
    <w:rsid w:val="008B4FBE"/>
    <w:rsid w:val="008B4FC0"/>
    <w:rsid w:val="008B5155"/>
    <w:rsid w:val="008B5246"/>
    <w:rsid w:val="008B5271"/>
    <w:rsid w:val="008B52A0"/>
    <w:rsid w:val="008B537C"/>
    <w:rsid w:val="008B53DC"/>
    <w:rsid w:val="008B5512"/>
    <w:rsid w:val="008B552C"/>
    <w:rsid w:val="008B560D"/>
    <w:rsid w:val="008B5620"/>
    <w:rsid w:val="008B571B"/>
    <w:rsid w:val="008B5846"/>
    <w:rsid w:val="008B5995"/>
    <w:rsid w:val="008B5D32"/>
    <w:rsid w:val="008B5D44"/>
    <w:rsid w:val="008B5ECD"/>
    <w:rsid w:val="008B6014"/>
    <w:rsid w:val="008B603F"/>
    <w:rsid w:val="008B61F3"/>
    <w:rsid w:val="008B61F9"/>
    <w:rsid w:val="008B6220"/>
    <w:rsid w:val="008B62CA"/>
    <w:rsid w:val="008B644A"/>
    <w:rsid w:val="008B64B5"/>
    <w:rsid w:val="008B6508"/>
    <w:rsid w:val="008B65F0"/>
    <w:rsid w:val="008B66A6"/>
    <w:rsid w:val="008B66F6"/>
    <w:rsid w:val="008B672B"/>
    <w:rsid w:val="008B6812"/>
    <w:rsid w:val="008B69A4"/>
    <w:rsid w:val="008B6B52"/>
    <w:rsid w:val="008B6BC0"/>
    <w:rsid w:val="008B6C12"/>
    <w:rsid w:val="008B6C69"/>
    <w:rsid w:val="008B6C7B"/>
    <w:rsid w:val="008B6E14"/>
    <w:rsid w:val="008B6EFE"/>
    <w:rsid w:val="008B6F7D"/>
    <w:rsid w:val="008B6FAB"/>
    <w:rsid w:val="008B712E"/>
    <w:rsid w:val="008B7304"/>
    <w:rsid w:val="008B731F"/>
    <w:rsid w:val="008B7367"/>
    <w:rsid w:val="008B73CB"/>
    <w:rsid w:val="008B7449"/>
    <w:rsid w:val="008B74D1"/>
    <w:rsid w:val="008B7519"/>
    <w:rsid w:val="008B7564"/>
    <w:rsid w:val="008B75DE"/>
    <w:rsid w:val="008B764A"/>
    <w:rsid w:val="008B766F"/>
    <w:rsid w:val="008B7726"/>
    <w:rsid w:val="008B77E1"/>
    <w:rsid w:val="008B781D"/>
    <w:rsid w:val="008B7B0F"/>
    <w:rsid w:val="008B7B66"/>
    <w:rsid w:val="008B7BD7"/>
    <w:rsid w:val="008B7F09"/>
    <w:rsid w:val="008B7F1E"/>
    <w:rsid w:val="008B7F3F"/>
    <w:rsid w:val="008B7F8C"/>
    <w:rsid w:val="008B7F9A"/>
    <w:rsid w:val="008BA2D0"/>
    <w:rsid w:val="008C0036"/>
    <w:rsid w:val="008C00DC"/>
    <w:rsid w:val="008C02A5"/>
    <w:rsid w:val="008C0338"/>
    <w:rsid w:val="008C036C"/>
    <w:rsid w:val="008C0581"/>
    <w:rsid w:val="008C067F"/>
    <w:rsid w:val="008C07D4"/>
    <w:rsid w:val="008C0840"/>
    <w:rsid w:val="008C0848"/>
    <w:rsid w:val="008C08C1"/>
    <w:rsid w:val="008C08EE"/>
    <w:rsid w:val="008C0ADC"/>
    <w:rsid w:val="008C0C0D"/>
    <w:rsid w:val="008C0C27"/>
    <w:rsid w:val="008C0C35"/>
    <w:rsid w:val="008C0C6F"/>
    <w:rsid w:val="008C0DB1"/>
    <w:rsid w:val="008C0E14"/>
    <w:rsid w:val="008C0E77"/>
    <w:rsid w:val="008C1094"/>
    <w:rsid w:val="008C1154"/>
    <w:rsid w:val="008C1182"/>
    <w:rsid w:val="008C11B4"/>
    <w:rsid w:val="008C1475"/>
    <w:rsid w:val="008C1655"/>
    <w:rsid w:val="008C1741"/>
    <w:rsid w:val="008C1969"/>
    <w:rsid w:val="008C19CE"/>
    <w:rsid w:val="008C1A67"/>
    <w:rsid w:val="008C1B59"/>
    <w:rsid w:val="008C1B5B"/>
    <w:rsid w:val="008C1BD4"/>
    <w:rsid w:val="008C1D2B"/>
    <w:rsid w:val="008C1DA4"/>
    <w:rsid w:val="008C1EDB"/>
    <w:rsid w:val="008C1F67"/>
    <w:rsid w:val="008C1F87"/>
    <w:rsid w:val="008C20B3"/>
    <w:rsid w:val="008C20D7"/>
    <w:rsid w:val="008C23AF"/>
    <w:rsid w:val="008C2782"/>
    <w:rsid w:val="008C2797"/>
    <w:rsid w:val="008C2821"/>
    <w:rsid w:val="008C2856"/>
    <w:rsid w:val="008C2958"/>
    <w:rsid w:val="008C2A37"/>
    <w:rsid w:val="008C2A91"/>
    <w:rsid w:val="008C2BFC"/>
    <w:rsid w:val="008C2C89"/>
    <w:rsid w:val="008C2D38"/>
    <w:rsid w:val="008C2E67"/>
    <w:rsid w:val="008C2F88"/>
    <w:rsid w:val="008C2FB2"/>
    <w:rsid w:val="008C2FCC"/>
    <w:rsid w:val="008C2FCE"/>
    <w:rsid w:val="008C30BB"/>
    <w:rsid w:val="008C30E1"/>
    <w:rsid w:val="008C30F5"/>
    <w:rsid w:val="008C3164"/>
    <w:rsid w:val="008C317B"/>
    <w:rsid w:val="008C31CA"/>
    <w:rsid w:val="008C3289"/>
    <w:rsid w:val="008C33FF"/>
    <w:rsid w:val="008C34D3"/>
    <w:rsid w:val="008C35B5"/>
    <w:rsid w:val="008C35E3"/>
    <w:rsid w:val="008C363E"/>
    <w:rsid w:val="008C3748"/>
    <w:rsid w:val="008C382B"/>
    <w:rsid w:val="008C3837"/>
    <w:rsid w:val="008C385C"/>
    <w:rsid w:val="008C3881"/>
    <w:rsid w:val="008C3883"/>
    <w:rsid w:val="008C393C"/>
    <w:rsid w:val="008C3975"/>
    <w:rsid w:val="008C3A39"/>
    <w:rsid w:val="008C3A80"/>
    <w:rsid w:val="008C3AA1"/>
    <w:rsid w:val="008C3CD0"/>
    <w:rsid w:val="008C3CE2"/>
    <w:rsid w:val="008C3D1F"/>
    <w:rsid w:val="008C3D3E"/>
    <w:rsid w:val="008C3D80"/>
    <w:rsid w:val="008C3E0E"/>
    <w:rsid w:val="008C3E14"/>
    <w:rsid w:val="008C3F15"/>
    <w:rsid w:val="008C4017"/>
    <w:rsid w:val="008C40D1"/>
    <w:rsid w:val="008C4262"/>
    <w:rsid w:val="008C42E0"/>
    <w:rsid w:val="008C42E1"/>
    <w:rsid w:val="008C43CF"/>
    <w:rsid w:val="008C456B"/>
    <w:rsid w:val="008C4638"/>
    <w:rsid w:val="008C470C"/>
    <w:rsid w:val="008C4820"/>
    <w:rsid w:val="008C4865"/>
    <w:rsid w:val="008C4BF5"/>
    <w:rsid w:val="008C4C13"/>
    <w:rsid w:val="008C4C7A"/>
    <w:rsid w:val="008C4D3A"/>
    <w:rsid w:val="008C4DF8"/>
    <w:rsid w:val="008C5016"/>
    <w:rsid w:val="008C5119"/>
    <w:rsid w:val="008C51B1"/>
    <w:rsid w:val="008C5221"/>
    <w:rsid w:val="008C531C"/>
    <w:rsid w:val="008C53A1"/>
    <w:rsid w:val="008C5484"/>
    <w:rsid w:val="008C5590"/>
    <w:rsid w:val="008C55BA"/>
    <w:rsid w:val="008C565B"/>
    <w:rsid w:val="008C56B6"/>
    <w:rsid w:val="008C57C8"/>
    <w:rsid w:val="008C585C"/>
    <w:rsid w:val="008C59F9"/>
    <w:rsid w:val="008C5ABF"/>
    <w:rsid w:val="008C5CB0"/>
    <w:rsid w:val="008C5D28"/>
    <w:rsid w:val="008C5D44"/>
    <w:rsid w:val="008C5D51"/>
    <w:rsid w:val="008C5D89"/>
    <w:rsid w:val="008C5E18"/>
    <w:rsid w:val="008C5F33"/>
    <w:rsid w:val="008C610D"/>
    <w:rsid w:val="008C6219"/>
    <w:rsid w:val="008C64B2"/>
    <w:rsid w:val="008C650E"/>
    <w:rsid w:val="008C6759"/>
    <w:rsid w:val="008C6870"/>
    <w:rsid w:val="008C6A45"/>
    <w:rsid w:val="008C6AAD"/>
    <w:rsid w:val="008C6B2A"/>
    <w:rsid w:val="008C6BB4"/>
    <w:rsid w:val="008C6BE0"/>
    <w:rsid w:val="008C6CEB"/>
    <w:rsid w:val="008C6D4D"/>
    <w:rsid w:val="008C6D80"/>
    <w:rsid w:val="008C6D8C"/>
    <w:rsid w:val="008C6E14"/>
    <w:rsid w:val="008C6E33"/>
    <w:rsid w:val="008C6EB8"/>
    <w:rsid w:val="008C724A"/>
    <w:rsid w:val="008C728B"/>
    <w:rsid w:val="008C7359"/>
    <w:rsid w:val="008C73C2"/>
    <w:rsid w:val="008C757C"/>
    <w:rsid w:val="008C75B6"/>
    <w:rsid w:val="008C7715"/>
    <w:rsid w:val="008C77AF"/>
    <w:rsid w:val="008C79E5"/>
    <w:rsid w:val="008C7B75"/>
    <w:rsid w:val="008C7D46"/>
    <w:rsid w:val="008C7F42"/>
    <w:rsid w:val="008D01B3"/>
    <w:rsid w:val="008D038E"/>
    <w:rsid w:val="008D04A2"/>
    <w:rsid w:val="008D04ED"/>
    <w:rsid w:val="008D05C8"/>
    <w:rsid w:val="008D05DA"/>
    <w:rsid w:val="008D089A"/>
    <w:rsid w:val="008D08BD"/>
    <w:rsid w:val="008D0920"/>
    <w:rsid w:val="008D093A"/>
    <w:rsid w:val="008D0972"/>
    <w:rsid w:val="008D0AB1"/>
    <w:rsid w:val="008D0CAA"/>
    <w:rsid w:val="008D0CFA"/>
    <w:rsid w:val="008D0D78"/>
    <w:rsid w:val="008D0E99"/>
    <w:rsid w:val="008D0EC6"/>
    <w:rsid w:val="008D0F24"/>
    <w:rsid w:val="008D0F42"/>
    <w:rsid w:val="008D105A"/>
    <w:rsid w:val="008D129D"/>
    <w:rsid w:val="008D12CD"/>
    <w:rsid w:val="008D137F"/>
    <w:rsid w:val="008D1480"/>
    <w:rsid w:val="008D1510"/>
    <w:rsid w:val="008D1617"/>
    <w:rsid w:val="008D1704"/>
    <w:rsid w:val="008D1822"/>
    <w:rsid w:val="008D194F"/>
    <w:rsid w:val="008D198A"/>
    <w:rsid w:val="008D19A6"/>
    <w:rsid w:val="008D19B8"/>
    <w:rsid w:val="008D1A66"/>
    <w:rsid w:val="008D1B57"/>
    <w:rsid w:val="008D1B5A"/>
    <w:rsid w:val="008D1BC0"/>
    <w:rsid w:val="008D1CBF"/>
    <w:rsid w:val="008D1D69"/>
    <w:rsid w:val="008D1DD5"/>
    <w:rsid w:val="008D1FDF"/>
    <w:rsid w:val="008D2007"/>
    <w:rsid w:val="008D21D4"/>
    <w:rsid w:val="008D221A"/>
    <w:rsid w:val="008D2278"/>
    <w:rsid w:val="008D2341"/>
    <w:rsid w:val="008D242A"/>
    <w:rsid w:val="008D2455"/>
    <w:rsid w:val="008D245D"/>
    <w:rsid w:val="008D2501"/>
    <w:rsid w:val="008D25FA"/>
    <w:rsid w:val="008D290C"/>
    <w:rsid w:val="008D2947"/>
    <w:rsid w:val="008D2B05"/>
    <w:rsid w:val="008D2B51"/>
    <w:rsid w:val="008D2DF4"/>
    <w:rsid w:val="008D2EC5"/>
    <w:rsid w:val="008D2FE8"/>
    <w:rsid w:val="008D3027"/>
    <w:rsid w:val="008D3174"/>
    <w:rsid w:val="008D32E9"/>
    <w:rsid w:val="008D33FC"/>
    <w:rsid w:val="008D3437"/>
    <w:rsid w:val="008D3630"/>
    <w:rsid w:val="008D3872"/>
    <w:rsid w:val="008D389B"/>
    <w:rsid w:val="008D39C4"/>
    <w:rsid w:val="008D3A04"/>
    <w:rsid w:val="008D3A18"/>
    <w:rsid w:val="008D3A9F"/>
    <w:rsid w:val="008D3B44"/>
    <w:rsid w:val="008D3C09"/>
    <w:rsid w:val="008D3CE1"/>
    <w:rsid w:val="008D3D3D"/>
    <w:rsid w:val="008D3DBD"/>
    <w:rsid w:val="008D3E85"/>
    <w:rsid w:val="008D3F3B"/>
    <w:rsid w:val="008D3F3F"/>
    <w:rsid w:val="008D3FAE"/>
    <w:rsid w:val="008D3FDC"/>
    <w:rsid w:val="008D4102"/>
    <w:rsid w:val="008D4114"/>
    <w:rsid w:val="008D419F"/>
    <w:rsid w:val="008D4438"/>
    <w:rsid w:val="008D44C4"/>
    <w:rsid w:val="008D4542"/>
    <w:rsid w:val="008D45AB"/>
    <w:rsid w:val="008D45BC"/>
    <w:rsid w:val="008D48B1"/>
    <w:rsid w:val="008D4939"/>
    <w:rsid w:val="008D496B"/>
    <w:rsid w:val="008D4975"/>
    <w:rsid w:val="008D4A71"/>
    <w:rsid w:val="008D4CB2"/>
    <w:rsid w:val="008D4CBA"/>
    <w:rsid w:val="008D4DF1"/>
    <w:rsid w:val="008D4F11"/>
    <w:rsid w:val="008D4F97"/>
    <w:rsid w:val="008D4FE5"/>
    <w:rsid w:val="008D511B"/>
    <w:rsid w:val="008D5198"/>
    <w:rsid w:val="008D5352"/>
    <w:rsid w:val="008D552A"/>
    <w:rsid w:val="008D55C0"/>
    <w:rsid w:val="008D56CA"/>
    <w:rsid w:val="008D5724"/>
    <w:rsid w:val="008D572A"/>
    <w:rsid w:val="008D5747"/>
    <w:rsid w:val="008D5776"/>
    <w:rsid w:val="008D5896"/>
    <w:rsid w:val="008D5953"/>
    <w:rsid w:val="008D5A22"/>
    <w:rsid w:val="008D5B24"/>
    <w:rsid w:val="008D5D7F"/>
    <w:rsid w:val="008D5F6F"/>
    <w:rsid w:val="008D5F70"/>
    <w:rsid w:val="008D60FF"/>
    <w:rsid w:val="008D6134"/>
    <w:rsid w:val="008D622E"/>
    <w:rsid w:val="008D634C"/>
    <w:rsid w:val="008D6444"/>
    <w:rsid w:val="008D661D"/>
    <w:rsid w:val="008D6725"/>
    <w:rsid w:val="008D6761"/>
    <w:rsid w:val="008D680B"/>
    <w:rsid w:val="008D685B"/>
    <w:rsid w:val="008D689D"/>
    <w:rsid w:val="008D68BE"/>
    <w:rsid w:val="008D69E6"/>
    <w:rsid w:val="008D6A1E"/>
    <w:rsid w:val="008D6A34"/>
    <w:rsid w:val="008D6AF9"/>
    <w:rsid w:val="008D6BAB"/>
    <w:rsid w:val="008D6C00"/>
    <w:rsid w:val="008D6D9D"/>
    <w:rsid w:val="008D6DEA"/>
    <w:rsid w:val="008D6E81"/>
    <w:rsid w:val="008D6F0A"/>
    <w:rsid w:val="008D6F29"/>
    <w:rsid w:val="008D6F54"/>
    <w:rsid w:val="008D7154"/>
    <w:rsid w:val="008D720C"/>
    <w:rsid w:val="008D73FB"/>
    <w:rsid w:val="008D74B4"/>
    <w:rsid w:val="008D74D1"/>
    <w:rsid w:val="008D7512"/>
    <w:rsid w:val="008D7572"/>
    <w:rsid w:val="008D7580"/>
    <w:rsid w:val="008D7715"/>
    <w:rsid w:val="008D7719"/>
    <w:rsid w:val="008D77FA"/>
    <w:rsid w:val="008D7866"/>
    <w:rsid w:val="008D793C"/>
    <w:rsid w:val="008D7A45"/>
    <w:rsid w:val="008D7A7C"/>
    <w:rsid w:val="008D7AA5"/>
    <w:rsid w:val="008D7AE3"/>
    <w:rsid w:val="008D7D1A"/>
    <w:rsid w:val="008D7D8D"/>
    <w:rsid w:val="008D7DA9"/>
    <w:rsid w:val="008D7EAE"/>
    <w:rsid w:val="008D7EB4"/>
    <w:rsid w:val="008D7FD5"/>
    <w:rsid w:val="008E005D"/>
    <w:rsid w:val="008E01AC"/>
    <w:rsid w:val="008E03CB"/>
    <w:rsid w:val="008E03D3"/>
    <w:rsid w:val="008E0671"/>
    <w:rsid w:val="008E07FA"/>
    <w:rsid w:val="008E085C"/>
    <w:rsid w:val="008E09E7"/>
    <w:rsid w:val="008E0A27"/>
    <w:rsid w:val="008E0B0E"/>
    <w:rsid w:val="008E0C98"/>
    <w:rsid w:val="008E0CA2"/>
    <w:rsid w:val="008E0CC6"/>
    <w:rsid w:val="008E0D94"/>
    <w:rsid w:val="008E0DC6"/>
    <w:rsid w:val="008E0ED8"/>
    <w:rsid w:val="008E0F45"/>
    <w:rsid w:val="008E0FD9"/>
    <w:rsid w:val="008E0FFE"/>
    <w:rsid w:val="008E1008"/>
    <w:rsid w:val="008E1046"/>
    <w:rsid w:val="008E1091"/>
    <w:rsid w:val="008E1092"/>
    <w:rsid w:val="008E10A7"/>
    <w:rsid w:val="008E110B"/>
    <w:rsid w:val="008E11E2"/>
    <w:rsid w:val="008E1262"/>
    <w:rsid w:val="008E1373"/>
    <w:rsid w:val="008E1383"/>
    <w:rsid w:val="008E13B5"/>
    <w:rsid w:val="008E1458"/>
    <w:rsid w:val="008E1579"/>
    <w:rsid w:val="008E164E"/>
    <w:rsid w:val="008E16FE"/>
    <w:rsid w:val="008E1717"/>
    <w:rsid w:val="008E172C"/>
    <w:rsid w:val="008E1795"/>
    <w:rsid w:val="008E17EC"/>
    <w:rsid w:val="008E18E9"/>
    <w:rsid w:val="008E19B3"/>
    <w:rsid w:val="008E1E29"/>
    <w:rsid w:val="008E1E54"/>
    <w:rsid w:val="008E1E65"/>
    <w:rsid w:val="008E1EE5"/>
    <w:rsid w:val="008E1F4C"/>
    <w:rsid w:val="008E1F78"/>
    <w:rsid w:val="008E1FAD"/>
    <w:rsid w:val="008E20E3"/>
    <w:rsid w:val="008E21A1"/>
    <w:rsid w:val="008E2358"/>
    <w:rsid w:val="008E23A3"/>
    <w:rsid w:val="008E23F7"/>
    <w:rsid w:val="008E252C"/>
    <w:rsid w:val="008E2555"/>
    <w:rsid w:val="008E264D"/>
    <w:rsid w:val="008E2699"/>
    <w:rsid w:val="008E275C"/>
    <w:rsid w:val="008E284C"/>
    <w:rsid w:val="008E28A6"/>
    <w:rsid w:val="008E2AD3"/>
    <w:rsid w:val="008E2C72"/>
    <w:rsid w:val="008E2C8E"/>
    <w:rsid w:val="008E2DBB"/>
    <w:rsid w:val="008E2E78"/>
    <w:rsid w:val="008E2F1C"/>
    <w:rsid w:val="008E2F20"/>
    <w:rsid w:val="008E2F8C"/>
    <w:rsid w:val="008E2FD5"/>
    <w:rsid w:val="008E3110"/>
    <w:rsid w:val="008E31B8"/>
    <w:rsid w:val="008E31F6"/>
    <w:rsid w:val="008E3232"/>
    <w:rsid w:val="008E332A"/>
    <w:rsid w:val="008E34DE"/>
    <w:rsid w:val="008E3638"/>
    <w:rsid w:val="008E3640"/>
    <w:rsid w:val="008E37B7"/>
    <w:rsid w:val="008E38E4"/>
    <w:rsid w:val="008E39B2"/>
    <w:rsid w:val="008E39B4"/>
    <w:rsid w:val="008E3A34"/>
    <w:rsid w:val="008E3B9D"/>
    <w:rsid w:val="008E3CC2"/>
    <w:rsid w:val="008E3F2B"/>
    <w:rsid w:val="008E3FC7"/>
    <w:rsid w:val="008E4138"/>
    <w:rsid w:val="008E42A8"/>
    <w:rsid w:val="008E437C"/>
    <w:rsid w:val="008E4597"/>
    <w:rsid w:val="008E46A9"/>
    <w:rsid w:val="008E4710"/>
    <w:rsid w:val="008E476E"/>
    <w:rsid w:val="008E4771"/>
    <w:rsid w:val="008E4843"/>
    <w:rsid w:val="008E48D6"/>
    <w:rsid w:val="008E4916"/>
    <w:rsid w:val="008E4985"/>
    <w:rsid w:val="008E4B30"/>
    <w:rsid w:val="008E4B76"/>
    <w:rsid w:val="008E4BA7"/>
    <w:rsid w:val="008E4C11"/>
    <w:rsid w:val="008E4DBD"/>
    <w:rsid w:val="008E4E55"/>
    <w:rsid w:val="008E4E79"/>
    <w:rsid w:val="008E4ED6"/>
    <w:rsid w:val="008E4F85"/>
    <w:rsid w:val="008E4FB9"/>
    <w:rsid w:val="008E5328"/>
    <w:rsid w:val="008E542F"/>
    <w:rsid w:val="008E55DF"/>
    <w:rsid w:val="008E5715"/>
    <w:rsid w:val="008E590A"/>
    <w:rsid w:val="008E59FC"/>
    <w:rsid w:val="008E5A65"/>
    <w:rsid w:val="008E5B6D"/>
    <w:rsid w:val="008E5C24"/>
    <w:rsid w:val="008E5C49"/>
    <w:rsid w:val="008E5C50"/>
    <w:rsid w:val="008E5DEC"/>
    <w:rsid w:val="008E5EEB"/>
    <w:rsid w:val="008E5FC0"/>
    <w:rsid w:val="008E601E"/>
    <w:rsid w:val="008E60F4"/>
    <w:rsid w:val="008E6150"/>
    <w:rsid w:val="008E6186"/>
    <w:rsid w:val="008E637A"/>
    <w:rsid w:val="008E6492"/>
    <w:rsid w:val="008E64F3"/>
    <w:rsid w:val="008E688B"/>
    <w:rsid w:val="008E6901"/>
    <w:rsid w:val="008E69B5"/>
    <w:rsid w:val="008E6ADD"/>
    <w:rsid w:val="008E6EBF"/>
    <w:rsid w:val="008E6F3B"/>
    <w:rsid w:val="008E6FFF"/>
    <w:rsid w:val="008E711F"/>
    <w:rsid w:val="008E7140"/>
    <w:rsid w:val="008E73CB"/>
    <w:rsid w:val="008E746E"/>
    <w:rsid w:val="008E74A8"/>
    <w:rsid w:val="008E7659"/>
    <w:rsid w:val="008E7661"/>
    <w:rsid w:val="008E77DE"/>
    <w:rsid w:val="008E77FD"/>
    <w:rsid w:val="008E78BC"/>
    <w:rsid w:val="008E7A0F"/>
    <w:rsid w:val="008E7A2A"/>
    <w:rsid w:val="008E7A2C"/>
    <w:rsid w:val="008E7BE8"/>
    <w:rsid w:val="008E7BF8"/>
    <w:rsid w:val="008E7C43"/>
    <w:rsid w:val="008E7E55"/>
    <w:rsid w:val="008F002C"/>
    <w:rsid w:val="008F002E"/>
    <w:rsid w:val="008F0125"/>
    <w:rsid w:val="008F01BD"/>
    <w:rsid w:val="008F0211"/>
    <w:rsid w:val="008F0399"/>
    <w:rsid w:val="008F03DC"/>
    <w:rsid w:val="008F0526"/>
    <w:rsid w:val="008F05E4"/>
    <w:rsid w:val="008F0720"/>
    <w:rsid w:val="008F0751"/>
    <w:rsid w:val="008F0863"/>
    <w:rsid w:val="008F0B24"/>
    <w:rsid w:val="008F0BC7"/>
    <w:rsid w:val="008F0BDF"/>
    <w:rsid w:val="008F0CAE"/>
    <w:rsid w:val="008F0E2F"/>
    <w:rsid w:val="008F10AE"/>
    <w:rsid w:val="008F10BE"/>
    <w:rsid w:val="008F1100"/>
    <w:rsid w:val="008F1147"/>
    <w:rsid w:val="008F124B"/>
    <w:rsid w:val="008F1263"/>
    <w:rsid w:val="008F12F9"/>
    <w:rsid w:val="008F1329"/>
    <w:rsid w:val="008F1408"/>
    <w:rsid w:val="008F1553"/>
    <w:rsid w:val="008F15ED"/>
    <w:rsid w:val="008F1710"/>
    <w:rsid w:val="008F1796"/>
    <w:rsid w:val="008F17C4"/>
    <w:rsid w:val="008F18E1"/>
    <w:rsid w:val="008F198B"/>
    <w:rsid w:val="008F19EA"/>
    <w:rsid w:val="008F1A4E"/>
    <w:rsid w:val="008F1A4F"/>
    <w:rsid w:val="008F1AB9"/>
    <w:rsid w:val="008F1D3F"/>
    <w:rsid w:val="008F1DDA"/>
    <w:rsid w:val="008F1DE5"/>
    <w:rsid w:val="008F1DF0"/>
    <w:rsid w:val="008F1DFC"/>
    <w:rsid w:val="008F1E9D"/>
    <w:rsid w:val="008F1F91"/>
    <w:rsid w:val="008F1FC8"/>
    <w:rsid w:val="008F20A8"/>
    <w:rsid w:val="008F2186"/>
    <w:rsid w:val="008F221C"/>
    <w:rsid w:val="008F2294"/>
    <w:rsid w:val="008F22B3"/>
    <w:rsid w:val="008F22E7"/>
    <w:rsid w:val="008F2435"/>
    <w:rsid w:val="008F24A7"/>
    <w:rsid w:val="008F24D5"/>
    <w:rsid w:val="008F29C1"/>
    <w:rsid w:val="008F2AD8"/>
    <w:rsid w:val="008F2B1D"/>
    <w:rsid w:val="008F2B53"/>
    <w:rsid w:val="008F2C5A"/>
    <w:rsid w:val="008F2C92"/>
    <w:rsid w:val="008F2E31"/>
    <w:rsid w:val="008F2E4A"/>
    <w:rsid w:val="008F2E91"/>
    <w:rsid w:val="008F2F52"/>
    <w:rsid w:val="008F2F9A"/>
    <w:rsid w:val="008F3062"/>
    <w:rsid w:val="008F309E"/>
    <w:rsid w:val="008F30E3"/>
    <w:rsid w:val="008F3105"/>
    <w:rsid w:val="008F32C6"/>
    <w:rsid w:val="008F3307"/>
    <w:rsid w:val="008F347D"/>
    <w:rsid w:val="008F34BC"/>
    <w:rsid w:val="008F34D7"/>
    <w:rsid w:val="008F34EC"/>
    <w:rsid w:val="008F3570"/>
    <w:rsid w:val="008F3710"/>
    <w:rsid w:val="008F396D"/>
    <w:rsid w:val="008F3ACB"/>
    <w:rsid w:val="008F3CF4"/>
    <w:rsid w:val="008F3D2A"/>
    <w:rsid w:val="008F3D46"/>
    <w:rsid w:val="008F411A"/>
    <w:rsid w:val="008F422D"/>
    <w:rsid w:val="008F42C0"/>
    <w:rsid w:val="008F4316"/>
    <w:rsid w:val="008F4403"/>
    <w:rsid w:val="008F4492"/>
    <w:rsid w:val="008F44CA"/>
    <w:rsid w:val="008F44EA"/>
    <w:rsid w:val="008F46F7"/>
    <w:rsid w:val="008F47AF"/>
    <w:rsid w:val="008F47B1"/>
    <w:rsid w:val="008F487E"/>
    <w:rsid w:val="008F4952"/>
    <w:rsid w:val="008F496A"/>
    <w:rsid w:val="008F4B28"/>
    <w:rsid w:val="008F4D4B"/>
    <w:rsid w:val="008F4DE4"/>
    <w:rsid w:val="008F4DF8"/>
    <w:rsid w:val="008F5278"/>
    <w:rsid w:val="008F52AE"/>
    <w:rsid w:val="008F52C7"/>
    <w:rsid w:val="008F5442"/>
    <w:rsid w:val="008F55C9"/>
    <w:rsid w:val="008F55CB"/>
    <w:rsid w:val="008F5617"/>
    <w:rsid w:val="008F5919"/>
    <w:rsid w:val="008F59AE"/>
    <w:rsid w:val="008F5ACE"/>
    <w:rsid w:val="008F5AFE"/>
    <w:rsid w:val="008F5E1F"/>
    <w:rsid w:val="008F5F04"/>
    <w:rsid w:val="008F60AC"/>
    <w:rsid w:val="008F6120"/>
    <w:rsid w:val="008F61D2"/>
    <w:rsid w:val="008F6287"/>
    <w:rsid w:val="008F62CA"/>
    <w:rsid w:val="008F6531"/>
    <w:rsid w:val="008F65BB"/>
    <w:rsid w:val="008F65E8"/>
    <w:rsid w:val="008F6833"/>
    <w:rsid w:val="008F6887"/>
    <w:rsid w:val="008F6961"/>
    <w:rsid w:val="008F69B8"/>
    <w:rsid w:val="008F6C45"/>
    <w:rsid w:val="008F6C5C"/>
    <w:rsid w:val="008F6C83"/>
    <w:rsid w:val="008F6CDF"/>
    <w:rsid w:val="008F6CEA"/>
    <w:rsid w:val="008F6DDB"/>
    <w:rsid w:val="008F6EEA"/>
    <w:rsid w:val="008F722A"/>
    <w:rsid w:val="008F723F"/>
    <w:rsid w:val="008F72A7"/>
    <w:rsid w:val="008F7392"/>
    <w:rsid w:val="008F73A1"/>
    <w:rsid w:val="008F73FE"/>
    <w:rsid w:val="008F741B"/>
    <w:rsid w:val="008F767F"/>
    <w:rsid w:val="008F76FD"/>
    <w:rsid w:val="008F774C"/>
    <w:rsid w:val="008F7789"/>
    <w:rsid w:val="008F77BF"/>
    <w:rsid w:val="008F7914"/>
    <w:rsid w:val="008F793D"/>
    <w:rsid w:val="008F7945"/>
    <w:rsid w:val="008F794D"/>
    <w:rsid w:val="008F79F6"/>
    <w:rsid w:val="008F7BA1"/>
    <w:rsid w:val="008F7BD8"/>
    <w:rsid w:val="008F7BEC"/>
    <w:rsid w:val="008F7C01"/>
    <w:rsid w:val="008F7C56"/>
    <w:rsid w:val="008F7D64"/>
    <w:rsid w:val="008F7DFC"/>
    <w:rsid w:val="008F7ED6"/>
    <w:rsid w:val="009001F4"/>
    <w:rsid w:val="009002A0"/>
    <w:rsid w:val="0090035E"/>
    <w:rsid w:val="00900418"/>
    <w:rsid w:val="00900706"/>
    <w:rsid w:val="009007D5"/>
    <w:rsid w:val="0090095E"/>
    <w:rsid w:val="009009FB"/>
    <w:rsid w:val="00900A30"/>
    <w:rsid w:val="00900A43"/>
    <w:rsid w:val="00900A6A"/>
    <w:rsid w:val="00900A79"/>
    <w:rsid w:val="00900AB2"/>
    <w:rsid w:val="00900B25"/>
    <w:rsid w:val="00900B90"/>
    <w:rsid w:val="00900C57"/>
    <w:rsid w:val="00900C9F"/>
    <w:rsid w:val="00900CDD"/>
    <w:rsid w:val="00900D35"/>
    <w:rsid w:val="00900D59"/>
    <w:rsid w:val="00900D85"/>
    <w:rsid w:val="00900DE7"/>
    <w:rsid w:val="00900E8E"/>
    <w:rsid w:val="00900FDB"/>
    <w:rsid w:val="00900FFD"/>
    <w:rsid w:val="009010CA"/>
    <w:rsid w:val="009010CC"/>
    <w:rsid w:val="00901201"/>
    <w:rsid w:val="00901263"/>
    <w:rsid w:val="00901351"/>
    <w:rsid w:val="009014FD"/>
    <w:rsid w:val="009015B8"/>
    <w:rsid w:val="00901605"/>
    <w:rsid w:val="00901645"/>
    <w:rsid w:val="009016FD"/>
    <w:rsid w:val="0090175C"/>
    <w:rsid w:val="009017B7"/>
    <w:rsid w:val="00901802"/>
    <w:rsid w:val="00901878"/>
    <w:rsid w:val="00901A0F"/>
    <w:rsid w:val="00901A81"/>
    <w:rsid w:val="00901ABD"/>
    <w:rsid w:val="00901BF4"/>
    <w:rsid w:val="00901C5D"/>
    <w:rsid w:val="00901DC6"/>
    <w:rsid w:val="00901F5E"/>
    <w:rsid w:val="009020EF"/>
    <w:rsid w:val="00902100"/>
    <w:rsid w:val="009021E8"/>
    <w:rsid w:val="009025CE"/>
    <w:rsid w:val="00902617"/>
    <w:rsid w:val="009027D0"/>
    <w:rsid w:val="009028B6"/>
    <w:rsid w:val="009028E5"/>
    <w:rsid w:val="009028FC"/>
    <w:rsid w:val="00902949"/>
    <w:rsid w:val="00902BDF"/>
    <w:rsid w:val="00902BF6"/>
    <w:rsid w:val="00902BFE"/>
    <w:rsid w:val="00902E8F"/>
    <w:rsid w:val="00902F69"/>
    <w:rsid w:val="00902FB4"/>
    <w:rsid w:val="009030CB"/>
    <w:rsid w:val="00903142"/>
    <w:rsid w:val="0090314A"/>
    <w:rsid w:val="009031DD"/>
    <w:rsid w:val="0090329F"/>
    <w:rsid w:val="009032BF"/>
    <w:rsid w:val="009034D3"/>
    <w:rsid w:val="00903500"/>
    <w:rsid w:val="009035D7"/>
    <w:rsid w:val="00903649"/>
    <w:rsid w:val="00903750"/>
    <w:rsid w:val="00903805"/>
    <w:rsid w:val="00903888"/>
    <w:rsid w:val="00903912"/>
    <w:rsid w:val="0090392B"/>
    <w:rsid w:val="00903975"/>
    <w:rsid w:val="00903A4B"/>
    <w:rsid w:val="00903B6F"/>
    <w:rsid w:val="00903BF4"/>
    <w:rsid w:val="00903C19"/>
    <w:rsid w:val="00903DEC"/>
    <w:rsid w:val="00903E1B"/>
    <w:rsid w:val="00903E31"/>
    <w:rsid w:val="00903F5A"/>
    <w:rsid w:val="00904091"/>
    <w:rsid w:val="009041C8"/>
    <w:rsid w:val="009042A7"/>
    <w:rsid w:val="009042AE"/>
    <w:rsid w:val="009043EC"/>
    <w:rsid w:val="00904418"/>
    <w:rsid w:val="009044CB"/>
    <w:rsid w:val="00904503"/>
    <w:rsid w:val="009045F1"/>
    <w:rsid w:val="009046B3"/>
    <w:rsid w:val="009046F6"/>
    <w:rsid w:val="00904761"/>
    <w:rsid w:val="00904826"/>
    <w:rsid w:val="0090488B"/>
    <w:rsid w:val="009048B9"/>
    <w:rsid w:val="00904B2E"/>
    <w:rsid w:val="00904DA0"/>
    <w:rsid w:val="00904E99"/>
    <w:rsid w:val="00904F19"/>
    <w:rsid w:val="00904FCD"/>
    <w:rsid w:val="0090503B"/>
    <w:rsid w:val="009050CB"/>
    <w:rsid w:val="009052F6"/>
    <w:rsid w:val="00905300"/>
    <w:rsid w:val="00905578"/>
    <w:rsid w:val="009055F0"/>
    <w:rsid w:val="0090562A"/>
    <w:rsid w:val="00905667"/>
    <w:rsid w:val="009057DB"/>
    <w:rsid w:val="00905868"/>
    <w:rsid w:val="00905BA9"/>
    <w:rsid w:val="00905C1B"/>
    <w:rsid w:val="00905CB4"/>
    <w:rsid w:val="00905CB8"/>
    <w:rsid w:val="00905CD4"/>
    <w:rsid w:val="00905D31"/>
    <w:rsid w:val="00905D33"/>
    <w:rsid w:val="00905DC3"/>
    <w:rsid w:val="00905E0E"/>
    <w:rsid w:val="00905E94"/>
    <w:rsid w:val="00905EA7"/>
    <w:rsid w:val="00905FA9"/>
    <w:rsid w:val="00906046"/>
    <w:rsid w:val="0090606C"/>
    <w:rsid w:val="00906096"/>
    <w:rsid w:val="009060A0"/>
    <w:rsid w:val="009061A9"/>
    <w:rsid w:val="00906284"/>
    <w:rsid w:val="00906303"/>
    <w:rsid w:val="0090640D"/>
    <w:rsid w:val="00906616"/>
    <w:rsid w:val="009067E8"/>
    <w:rsid w:val="009068EE"/>
    <w:rsid w:val="00906A60"/>
    <w:rsid w:val="00906C67"/>
    <w:rsid w:val="00906CA3"/>
    <w:rsid w:val="00906D8E"/>
    <w:rsid w:val="00906EA5"/>
    <w:rsid w:val="00906EAC"/>
    <w:rsid w:val="009071B8"/>
    <w:rsid w:val="009072AA"/>
    <w:rsid w:val="00907363"/>
    <w:rsid w:val="00907575"/>
    <w:rsid w:val="0090767D"/>
    <w:rsid w:val="00907682"/>
    <w:rsid w:val="00907684"/>
    <w:rsid w:val="009076E8"/>
    <w:rsid w:val="0090779B"/>
    <w:rsid w:val="00907810"/>
    <w:rsid w:val="009078F4"/>
    <w:rsid w:val="009079BB"/>
    <w:rsid w:val="00907BC3"/>
    <w:rsid w:val="00907D6A"/>
    <w:rsid w:val="00907F51"/>
    <w:rsid w:val="00907F6C"/>
    <w:rsid w:val="00907F75"/>
    <w:rsid w:val="00910060"/>
    <w:rsid w:val="00910086"/>
    <w:rsid w:val="0091016C"/>
    <w:rsid w:val="009101FB"/>
    <w:rsid w:val="0091030F"/>
    <w:rsid w:val="00910332"/>
    <w:rsid w:val="00910402"/>
    <w:rsid w:val="00910595"/>
    <w:rsid w:val="009105F7"/>
    <w:rsid w:val="0091066D"/>
    <w:rsid w:val="0091076C"/>
    <w:rsid w:val="009108DC"/>
    <w:rsid w:val="0091098E"/>
    <w:rsid w:val="009109C5"/>
    <w:rsid w:val="00910E36"/>
    <w:rsid w:val="00910E88"/>
    <w:rsid w:val="00910ECC"/>
    <w:rsid w:val="00910EEB"/>
    <w:rsid w:val="00910F9A"/>
    <w:rsid w:val="00910F9C"/>
    <w:rsid w:val="00910FAA"/>
    <w:rsid w:val="0091104A"/>
    <w:rsid w:val="0091105D"/>
    <w:rsid w:val="009110CA"/>
    <w:rsid w:val="00911120"/>
    <w:rsid w:val="00911202"/>
    <w:rsid w:val="0091120B"/>
    <w:rsid w:val="0091123E"/>
    <w:rsid w:val="0091127E"/>
    <w:rsid w:val="00911673"/>
    <w:rsid w:val="0091174F"/>
    <w:rsid w:val="0091194E"/>
    <w:rsid w:val="009119AE"/>
    <w:rsid w:val="009119AF"/>
    <w:rsid w:val="009119D9"/>
    <w:rsid w:val="009119ED"/>
    <w:rsid w:val="00911A62"/>
    <w:rsid w:val="00911B06"/>
    <w:rsid w:val="00911B0F"/>
    <w:rsid w:val="00911B62"/>
    <w:rsid w:val="00911D75"/>
    <w:rsid w:val="00911E64"/>
    <w:rsid w:val="00911F03"/>
    <w:rsid w:val="009120D7"/>
    <w:rsid w:val="009120F6"/>
    <w:rsid w:val="00912134"/>
    <w:rsid w:val="0091213B"/>
    <w:rsid w:val="0091213F"/>
    <w:rsid w:val="00912205"/>
    <w:rsid w:val="00912376"/>
    <w:rsid w:val="00912402"/>
    <w:rsid w:val="009124AE"/>
    <w:rsid w:val="009124EB"/>
    <w:rsid w:val="009124F5"/>
    <w:rsid w:val="009127E8"/>
    <w:rsid w:val="00912858"/>
    <w:rsid w:val="009128BA"/>
    <w:rsid w:val="00912904"/>
    <w:rsid w:val="009129DC"/>
    <w:rsid w:val="00912B6B"/>
    <w:rsid w:val="00912BF4"/>
    <w:rsid w:val="00912C6F"/>
    <w:rsid w:val="00912E13"/>
    <w:rsid w:val="00912E72"/>
    <w:rsid w:val="00912ED2"/>
    <w:rsid w:val="00912FB6"/>
    <w:rsid w:val="009130C6"/>
    <w:rsid w:val="009131F9"/>
    <w:rsid w:val="00913210"/>
    <w:rsid w:val="0091326C"/>
    <w:rsid w:val="0091327F"/>
    <w:rsid w:val="009132B8"/>
    <w:rsid w:val="009132CE"/>
    <w:rsid w:val="00913518"/>
    <w:rsid w:val="00913521"/>
    <w:rsid w:val="0091354C"/>
    <w:rsid w:val="009135E4"/>
    <w:rsid w:val="009137D6"/>
    <w:rsid w:val="00913847"/>
    <w:rsid w:val="00913945"/>
    <w:rsid w:val="009139F1"/>
    <w:rsid w:val="00913A96"/>
    <w:rsid w:val="00913D78"/>
    <w:rsid w:val="00913D97"/>
    <w:rsid w:val="00913DE4"/>
    <w:rsid w:val="00913DE7"/>
    <w:rsid w:val="00913E28"/>
    <w:rsid w:val="00913E35"/>
    <w:rsid w:val="00913EB5"/>
    <w:rsid w:val="009141F8"/>
    <w:rsid w:val="00914299"/>
    <w:rsid w:val="00914335"/>
    <w:rsid w:val="00914339"/>
    <w:rsid w:val="009143CE"/>
    <w:rsid w:val="00914575"/>
    <w:rsid w:val="009145AF"/>
    <w:rsid w:val="00914610"/>
    <w:rsid w:val="00914646"/>
    <w:rsid w:val="00914824"/>
    <w:rsid w:val="0091493D"/>
    <w:rsid w:val="009149F9"/>
    <w:rsid w:val="00914B27"/>
    <w:rsid w:val="00914BFD"/>
    <w:rsid w:val="00914C0D"/>
    <w:rsid w:val="00914C68"/>
    <w:rsid w:val="00914C81"/>
    <w:rsid w:val="00914D4E"/>
    <w:rsid w:val="00914DA0"/>
    <w:rsid w:val="00914E14"/>
    <w:rsid w:val="00914E85"/>
    <w:rsid w:val="00914EF8"/>
    <w:rsid w:val="00914F45"/>
    <w:rsid w:val="00915176"/>
    <w:rsid w:val="00915189"/>
    <w:rsid w:val="00915228"/>
    <w:rsid w:val="00915341"/>
    <w:rsid w:val="00915353"/>
    <w:rsid w:val="00915502"/>
    <w:rsid w:val="00915593"/>
    <w:rsid w:val="009155CC"/>
    <w:rsid w:val="0091561B"/>
    <w:rsid w:val="00915940"/>
    <w:rsid w:val="0091595D"/>
    <w:rsid w:val="00915972"/>
    <w:rsid w:val="00915976"/>
    <w:rsid w:val="0091597D"/>
    <w:rsid w:val="00915985"/>
    <w:rsid w:val="0091598F"/>
    <w:rsid w:val="00915A98"/>
    <w:rsid w:val="00915C28"/>
    <w:rsid w:val="00915CBA"/>
    <w:rsid w:val="00915CED"/>
    <w:rsid w:val="00915DAA"/>
    <w:rsid w:val="00916085"/>
    <w:rsid w:val="00916148"/>
    <w:rsid w:val="009161F1"/>
    <w:rsid w:val="00916240"/>
    <w:rsid w:val="009163C9"/>
    <w:rsid w:val="009163CA"/>
    <w:rsid w:val="009163EA"/>
    <w:rsid w:val="009164C9"/>
    <w:rsid w:val="0091650D"/>
    <w:rsid w:val="00916519"/>
    <w:rsid w:val="0091657A"/>
    <w:rsid w:val="009165DD"/>
    <w:rsid w:val="009167C8"/>
    <w:rsid w:val="00916817"/>
    <w:rsid w:val="00916829"/>
    <w:rsid w:val="0091684D"/>
    <w:rsid w:val="00916963"/>
    <w:rsid w:val="009169E9"/>
    <w:rsid w:val="00916A0C"/>
    <w:rsid w:val="00916B00"/>
    <w:rsid w:val="00916B14"/>
    <w:rsid w:val="00916B2B"/>
    <w:rsid w:val="00916B56"/>
    <w:rsid w:val="00916C1A"/>
    <w:rsid w:val="00916D57"/>
    <w:rsid w:val="00916E45"/>
    <w:rsid w:val="00916EF6"/>
    <w:rsid w:val="009170A8"/>
    <w:rsid w:val="00917154"/>
    <w:rsid w:val="00917171"/>
    <w:rsid w:val="0091717F"/>
    <w:rsid w:val="00917234"/>
    <w:rsid w:val="00917270"/>
    <w:rsid w:val="00917367"/>
    <w:rsid w:val="00917376"/>
    <w:rsid w:val="009173DF"/>
    <w:rsid w:val="009173EE"/>
    <w:rsid w:val="00917561"/>
    <w:rsid w:val="0091756A"/>
    <w:rsid w:val="0091767F"/>
    <w:rsid w:val="00917725"/>
    <w:rsid w:val="00917790"/>
    <w:rsid w:val="00917891"/>
    <w:rsid w:val="009178B2"/>
    <w:rsid w:val="00917927"/>
    <w:rsid w:val="00917942"/>
    <w:rsid w:val="009179B1"/>
    <w:rsid w:val="009179DF"/>
    <w:rsid w:val="00917A34"/>
    <w:rsid w:val="00917A3B"/>
    <w:rsid w:val="00917ADD"/>
    <w:rsid w:val="00917B3F"/>
    <w:rsid w:val="00917E9A"/>
    <w:rsid w:val="00917FE6"/>
    <w:rsid w:val="00920050"/>
    <w:rsid w:val="0092007D"/>
    <w:rsid w:val="00920160"/>
    <w:rsid w:val="009201B9"/>
    <w:rsid w:val="00920351"/>
    <w:rsid w:val="00920366"/>
    <w:rsid w:val="009203CA"/>
    <w:rsid w:val="009205B4"/>
    <w:rsid w:val="009205E3"/>
    <w:rsid w:val="009207C0"/>
    <w:rsid w:val="00920826"/>
    <w:rsid w:val="0092082D"/>
    <w:rsid w:val="00920860"/>
    <w:rsid w:val="00920945"/>
    <w:rsid w:val="00920A07"/>
    <w:rsid w:val="00920B8B"/>
    <w:rsid w:val="00920CE0"/>
    <w:rsid w:val="00920D72"/>
    <w:rsid w:val="00920E6D"/>
    <w:rsid w:val="00920ECA"/>
    <w:rsid w:val="00921015"/>
    <w:rsid w:val="009212D4"/>
    <w:rsid w:val="009214C2"/>
    <w:rsid w:val="009215B9"/>
    <w:rsid w:val="0092165C"/>
    <w:rsid w:val="009216A2"/>
    <w:rsid w:val="009216D2"/>
    <w:rsid w:val="00921787"/>
    <w:rsid w:val="0092190C"/>
    <w:rsid w:val="009219D2"/>
    <w:rsid w:val="00921A24"/>
    <w:rsid w:val="00921A2C"/>
    <w:rsid w:val="00921A5D"/>
    <w:rsid w:val="00921B0C"/>
    <w:rsid w:val="00921C40"/>
    <w:rsid w:val="00921ECA"/>
    <w:rsid w:val="00921F69"/>
    <w:rsid w:val="0092200B"/>
    <w:rsid w:val="0092203C"/>
    <w:rsid w:val="0092206F"/>
    <w:rsid w:val="009220D8"/>
    <w:rsid w:val="009222BD"/>
    <w:rsid w:val="0092231A"/>
    <w:rsid w:val="0092233C"/>
    <w:rsid w:val="009223C3"/>
    <w:rsid w:val="0092241F"/>
    <w:rsid w:val="00922571"/>
    <w:rsid w:val="0092279C"/>
    <w:rsid w:val="00922C90"/>
    <w:rsid w:val="00922D0C"/>
    <w:rsid w:val="00922D66"/>
    <w:rsid w:val="00922D71"/>
    <w:rsid w:val="00923005"/>
    <w:rsid w:val="0092305C"/>
    <w:rsid w:val="009230D3"/>
    <w:rsid w:val="00923163"/>
    <w:rsid w:val="009231B4"/>
    <w:rsid w:val="0092325B"/>
    <w:rsid w:val="009233DE"/>
    <w:rsid w:val="009233E0"/>
    <w:rsid w:val="009235F6"/>
    <w:rsid w:val="0092361C"/>
    <w:rsid w:val="00923A78"/>
    <w:rsid w:val="00923BA3"/>
    <w:rsid w:val="00923BF0"/>
    <w:rsid w:val="00923CB0"/>
    <w:rsid w:val="00923CBA"/>
    <w:rsid w:val="00923D01"/>
    <w:rsid w:val="00923D3A"/>
    <w:rsid w:val="00923DB6"/>
    <w:rsid w:val="00923E2F"/>
    <w:rsid w:val="00923F72"/>
    <w:rsid w:val="00924082"/>
    <w:rsid w:val="00924199"/>
    <w:rsid w:val="009241D9"/>
    <w:rsid w:val="009241DB"/>
    <w:rsid w:val="009241DF"/>
    <w:rsid w:val="00924345"/>
    <w:rsid w:val="009243DC"/>
    <w:rsid w:val="009243E9"/>
    <w:rsid w:val="00924424"/>
    <w:rsid w:val="0092449B"/>
    <w:rsid w:val="009244D1"/>
    <w:rsid w:val="00924533"/>
    <w:rsid w:val="009245D3"/>
    <w:rsid w:val="009245DF"/>
    <w:rsid w:val="009246A4"/>
    <w:rsid w:val="00924772"/>
    <w:rsid w:val="009247C0"/>
    <w:rsid w:val="00924864"/>
    <w:rsid w:val="00924B5B"/>
    <w:rsid w:val="00924C9A"/>
    <w:rsid w:val="00924D0F"/>
    <w:rsid w:val="00924D88"/>
    <w:rsid w:val="00924DBB"/>
    <w:rsid w:val="00924E94"/>
    <w:rsid w:val="00924EFD"/>
    <w:rsid w:val="00925043"/>
    <w:rsid w:val="009252A3"/>
    <w:rsid w:val="00925372"/>
    <w:rsid w:val="009253B6"/>
    <w:rsid w:val="00925515"/>
    <w:rsid w:val="0092553D"/>
    <w:rsid w:val="00925624"/>
    <w:rsid w:val="009256A6"/>
    <w:rsid w:val="00925798"/>
    <w:rsid w:val="0092579E"/>
    <w:rsid w:val="00925855"/>
    <w:rsid w:val="009259C5"/>
    <w:rsid w:val="00925A1A"/>
    <w:rsid w:val="00925A55"/>
    <w:rsid w:val="00925AA7"/>
    <w:rsid w:val="00925BA9"/>
    <w:rsid w:val="00925BB5"/>
    <w:rsid w:val="00925BD3"/>
    <w:rsid w:val="00925C03"/>
    <w:rsid w:val="00925C69"/>
    <w:rsid w:val="00925CFD"/>
    <w:rsid w:val="00925D8B"/>
    <w:rsid w:val="00925F58"/>
    <w:rsid w:val="00926004"/>
    <w:rsid w:val="009260EF"/>
    <w:rsid w:val="00926295"/>
    <w:rsid w:val="009263BE"/>
    <w:rsid w:val="009263D6"/>
    <w:rsid w:val="00926449"/>
    <w:rsid w:val="009264DB"/>
    <w:rsid w:val="0092658F"/>
    <w:rsid w:val="00926683"/>
    <w:rsid w:val="009266FE"/>
    <w:rsid w:val="00926757"/>
    <w:rsid w:val="00926782"/>
    <w:rsid w:val="009268CC"/>
    <w:rsid w:val="009269DE"/>
    <w:rsid w:val="00926A25"/>
    <w:rsid w:val="00926AA4"/>
    <w:rsid w:val="00926ABD"/>
    <w:rsid w:val="00926B0E"/>
    <w:rsid w:val="00926B1E"/>
    <w:rsid w:val="00926B22"/>
    <w:rsid w:val="00926B31"/>
    <w:rsid w:val="00926C57"/>
    <w:rsid w:val="00926EA8"/>
    <w:rsid w:val="00926F47"/>
    <w:rsid w:val="00926F72"/>
    <w:rsid w:val="0092704F"/>
    <w:rsid w:val="009271B3"/>
    <w:rsid w:val="009271DD"/>
    <w:rsid w:val="00927238"/>
    <w:rsid w:val="0092733E"/>
    <w:rsid w:val="00927381"/>
    <w:rsid w:val="0092753E"/>
    <w:rsid w:val="0092758E"/>
    <w:rsid w:val="009275D7"/>
    <w:rsid w:val="00927633"/>
    <w:rsid w:val="0092764E"/>
    <w:rsid w:val="0092768A"/>
    <w:rsid w:val="00927690"/>
    <w:rsid w:val="009277BC"/>
    <w:rsid w:val="00927923"/>
    <w:rsid w:val="00927968"/>
    <w:rsid w:val="00927A5C"/>
    <w:rsid w:val="00927B72"/>
    <w:rsid w:val="00927C85"/>
    <w:rsid w:val="00927D0A"/>
    <w:rsid w:val="00927D4F"/>
    <w:rsid w:val="00927F30"/>
    <w:rsid w:val="00930074"/>
    <w:rsid w:val="009300A9"/>
    <w:rsid w:val="00930214"/>
    <w:rsid w:val="0093025F"/>
    <w:rsid w:val="0093046D"/>
    <w:rsid w:val="00930502"/>
    <w:rsid w:val="0093053A"/>
    <w:rsid w:val="009306E4"/>
    <w:rsid w:val="00930715"/>
    <w:rsid w:val="00930832"/>
    <w:rsid w:val="009308EE"/>
    <w:rsid w:val="00930908"/>
    <w:rsid w:val="00930928"/>
    <w:rsid w:val="00930999"/>
    <w:rsid w:val="009309FC"/>
    <w:rsid w:val="00930A67"/>
    <w:rsid w:val="00930B20"/>
    <w:rsid w:val="00930B5F"/>
    <w:rsid w:val="00930C35"/>
    <w:rsid w:val="00930D66"/>
    <w:rsid w:val="00930D7A"/>
    <w:rsid w:val="00930DB1"/>
    <w:rsid w:val="00930F6D"/>
    <w:rsid w:val="00930FF3"/>
    <w:rsid w:val="0093109D"/>
    <w:rsid w:val="00931140"/>
    <w:rsid w:val="009312CB"/>
    <w:rsid w:val="009314D4"/>
    <w:rsid w:val="009315AD"/>
    <w:rsid w:val="00931661"/>
    <w:rsid w:val="00931677"/>
    <w:rsid w:val="009316D6"/>
    <w:rsid w:val="009317BE"/>
    <w:rsid w:val="00931816"/>
    <w:rsid w:val="009319E4"/>
    <w:rsid w:val="00931A23"/>
    <w:rsid w:val="00931A7D"/>
    <w:rsid w:val="00931ADA"/>
    <w:rsid w:val="00931BAD"/>
    <w:rsid w:val="00931C32"/>
    <w:rsid w:val="00931D10"/>
    <w:rsid w:val="00931F06"/>
    <w:rsid w:val="00931F3D"/>
    <w:rsid w:val="0093204C"/>
    <w:rsid w:val="0093219C"/>
    <w:rsid w:val="009321B0"/>
    <w:rsid w:val="009321F6"/>
    <w:rsid w:val="0093245A"/>
    <w:rsid w:val="009324B2"/>
    <w:rsid w:val="00932735"/>
    <w:rsid w:val="009327FD"/>
    <w:rsid w:val="00932928"/>
    <w:rsid w:val="009329FC"/>
    <w:rsid w:val="00932AA6"/>
    <w:rsid w:val="00932C95"/>
    <w:rsid w:val="00932CC6"/>
    <w:rsid w:val="00932CDA"/>
    <w:rsid w:val="00932D08"/>
    <w:rsid w:val="00932D69"/>
    <w:rsid w:val="00932E93"/>
    <w:rsid w:val="00932FB6"/>
    <w:rsid w:val="0093319F"/>
    <w:rsid w:val="0093329E"/>
    <w:rsid w:val="00933648"/>
    <w:rsid w:val="009336F0"/>
    <w:rsid w:val="009337DA"/>
    <w:rsid w:val="0093381A"/>
    <w:rsid w:val="00933B12"/>
    <w:rsid w:val="00933C6B"/>
    <w:rsid w:val="00933C8B"/>
    <w:rsid w:val="00933DC1"/>
    <w:rsid w:val="00933E41"/>
    <w:rsid w:val="00933EBD"/>
    <w:rsid w:val="00934133"/>
    <w:rsid w:val="009341E8"/>
    <w:rsid w:val="009341EE"/>
    <w:rsid w:val="009343C0"/>
    <w:rsid w:val="00934444"/>
    <w:rsid w:val="00934448"/>
    <w:rsid w:val="0093444A"/>
    <w:rsid w:val="0093456D"/>
    <w:rsid w:val="00934603"/>
    <w:rsid w:val="009346CF"/>
    <w:rsid w:val="00934709"/>
    <w:rsid w:val="009347DF"/>
    <w:rsid w:val="00934925"/>
    <w:rsid w:val="00934976"/>
    <w:rsid w:val="00934979"/>
    <w:rsid w:val="00934A41"/>
    <w:rsid w:val="00934A8D"/>
    <w:rsid w:val="00934ADE"/>
    <w:rsid w:val="00934BCA"/>
    <w:rsid w:val="00934C77"/>
    <w:rsid w:val="00934D25"/>
    <w:rsid w:val="00934DAF"/>
    <w:rsid w:val="00934DB4"/>
    <w:rsid w:val="00934F25"/>
    <w:rsid w:val="00934F41"/>
    <w:rsid w:val="00934F85"/>
    <w:rsid w:val="0093507B"/>
    <w:rsid w:val="009350BB"/>
    <w:rsid w:val="009350C7"/>
    <w:rsid w:val="0093520C"/>
    <w:rsid w:val="00935220"/>
    <w:rsid w:val="0093525C"/>
    <w:rsid w:val="009352D8"/>
    <w:rsid w:val="009352F9"/>
    <w:rsid w:val="009353E1"/>
    <w:rsid w:val="00935454"/>
    <w:rsid w:val="009354AD"/>
    <w:rsid w:val="0093560F"/>
    <w:rsid w:val="0093565B"/>
    <w:rsid w:val="00935707"/>
    <w:rsid w:val="009358AC"/>
    <w:rsid w:val="00935AA7"/>
    <w:rsid w:val="00935B95"/>
    <w:rsid w:val="00935CBE"/>
    <w:rsid w:val="00935CDD"/>
    <w:rsid w:val="00935CDF"/>
    <w:rsid w:val="00935CE4"/>
    <w:rsid w:val="00935D18"/>
    <w:rsid w:val="00935EC1"/>
    <w:rsid w:val="00935EC3"/>
    <w:rsid w:val="00935F33"/>
    <w:rsid w:val="00935FD4"/>
    <w:rsid w:val="00936019"/>
    <w:rsid w:val="00936134"/>
    <w:rsid w:val="00936139"/>
    <w:rsid w:val="00936167"/>
    <w:rsid w:val="009361E9"/>
    <w:rsid w:val="00936254"/>
    <w:rsid w:val="0093626A"/>
    <w:rsid w:val="00936284"/>
    <w:rsid w:val="0093628C"/>
    <w:rsid w:val="009363AE"/>
    <w:rsid w:val="0093648D"/>
    <w:rsid w:val="0093655B"/>
    <w:rsid w:val="009367A5"/>
    <w:rsid w:val="009367B6"/>
    <w:rsid w:val="0093681B"/>
    <w:rsid w:val="00936857"/>
    <w:rsid w:val="00936858"/>
    <w:rsid w:val="00936870"/>
    <w:rsid w:val="0093688E"/>
    <w:rsid w:val="00936942"/>
    <w:rsid w:val="0093696E"/>
    <w:rsid w:val="00936A00"/>
    <w:rsid w:val="00936AD1"/>
    <w:rsid w:val="00936B97"/>
    <w:rsid w:val="00936BA0"/>
    <w:rsid w:val="00936C2C"/>
    <w:rsid w:val="00936D49"/>
    <w:rsid w:val="00936E2A"/>
    <w:rsid w:val="00936F4A"/>
    <w:rsid w:val="0093705C"/>
    <w:rsid w:val="009371CE"/>
    <w:rsid w:val="00937402"/>
    <w:rsid w:val="009374F8"/>
    <w:rsid w:val="00937516"/>
    <w:rsid w:val="00937532"/>
    <w:rsid w:val="00937591"/>
    <w:rsid w:val="009375AE"/>
    <w:rsid w:val="009376B3"/>
    <w:rsid w:val="0093785D"/>
    <w:rsid w:val="009378C3"/>
    <w:rsid w:val="009378E6"/>
    <w:rsid w:val="00937AC7"/>
    <w:rsid w:val="00937AF6"/>
    <w:rsid w:val="00937C35"/>
    <w:rsid w:val="00937C5D"/>
    <w:rsid w:val="00937C84"/>
    <w:rsid w:val="00937CFD"/>
    <w:rsid w:val="00937E9F"/>
    <w:rsid w:val="00940017"/>
    <w:rsid w:val="0094003C"/>
    <w:rsid w:val="00940043"/>
    <w:rsid w:val="009400A4"/>
    <w:rsid w:val="009400A8"/>
    <w:rsid w:val="0094022D"/>
    <w:rsid w:val="009402A5"/>
    <w:rsid w:val="009402B7"/>
    <w:rsid w:val="009402C1"/>
    <w:rsid w:val="0094036F"/>
    <w:rsid w:val="009403EA"/>
    <w:rsid w:val="00940496"/>
    <w:rsid w:val="009404E9"/>
    <w:rsid w:val="009405A7"/>
    <w:rsid w:val="0094061A"/>
    <w:rsid w:val="009407AC"/>
    <w:rsid w:val="009409C6"/>
    <w:rsid w:val="00940BAC"/>
    <w:rsid w:val="00940C6D"/>
    <w:rsid w:val="00940CEA"/>
    <w:rsid w:val="00940D8A"/>
    <w:rsid w:val="00940DED"/>
    <w:rsid w:val="00940F26"/>
    <w:rsid w:val="0094104B"/>
    <w:rsid w:val="009411C8"/>
    <w:rsid w:val="009413B0"/>
    <w:rsid w:val="00941667"/>
    <w:rsid w:val="009416B7"/>
    <w:rsid w:val="0094199D"/>
    <w:rsid w:val="00941B40"/>
    <w:rsid w:val="00941C66"/>
    <w:rsid w:val="00941C9F"/>
    <w:rsid w:val="00941CE2"/>
    <w:rsid w:val="00941D06"/>
    <w:rsid w:val="00941D34"/>
    <w:rsid w:val="00941D77"/>
    <w:rsid w:val="00941E33"/>
    <w:rsid w:val="00941E42"/>
    <w:rsid w:val="00941FBF"/>
    <w:rsid w:val="009422A1"/>
    <w:rsid w:val="0094243F"/>
    <w:rsid w:val="0094249F"/>
    <w:rsid w:val="009425ED"/>
    <w:rsid w:val="00942758"/>
    <w:rsid w:val="00942766"/>
    <w:rsid w:val="00942788"/>
    <w:rsid w:val="009427A0"/>
    <w:rsid w:val="009427EE"/>
    <w:rsid w:val="009428F8"/>
    <w:rsid w:val="00942BBD"/>
    <w:rsid w:val="00942C3C"/>
    <w:rsid w:val="00942CEB"/>
    <w:rsid w:val="00942E2B"/>
    <w:rsid w:val="00942ED6"/>
    <w:rsid w:val="00942FA2"/>
    <w:rsid w:val="00942FA4"/>
    <w:rsid w:val="00943109"/>
    <w:rsid w:val="00943168"/>
    <w:rsid w:val="009431B9"/>
    <w:rsid w:val="0094329C"/>
    <w:rsid w:val="0094331B"/>
    <w:rsid w:val="00943411"/>
    <w:rsid w:val="00943539"/>
    <w:rsid w:val="00943570"/>
    <w:rsid w:val="00943749"/>
    <w:rsid w:val="0094376B"/>
    <w:rsid w:val="009437DE"/>
    <w:rsid w:val="00943829"/>
    <w:rsid w:val="00943861"/>
    <w:rsid w:val="00943871"/>
    <w:rsid w:val="00943B31"/>
    <w:rsid w:val="00943B60"/>
    <w:rsid w:val="00943B8D"/>
    <w:rsid w:val="00943C77"/>
    <w:rsid w:val="00943C80"/>
    <w:rsid w:val="00943E94"/>
    <w:rsid w:val="00943EE8"/>
    <w:rsid w:val="00943F4F"/>
    <w:rsid w:val="00943F62"/>
    <w:rsid w:val="00943FC9"/>
    <w:rsid w:val="00944004"/>
    <w:rsid w:val="00944135"/>
    <w:rsid w:val="009442DC"/>
    <w:rsid w:val="009445C3"/>
    <w:rsid w:val="00944756"/>
    <w:rsid w:val="009448C2"/>
    <w:rsid w:val="009448F1"/>
    <w:rsid w:val="00944ACB"/>
    <w:rsid w:val="00944ADF"/>
    <w:rsid w:val="00944BC5"/>
    <w:rsid w:val="00944DD7"/>
    <w:rsid w:val="00944DDE"/>
    <w:rsid w:val="00944E0D"/>
    <w:rsid w:val="00944E69"/>
    <w:rsid w:val="00944EA5"/>
    <w:rsid w:val="00944F72"/>
    <w:rsid w:val="00944F91"/>
    <w:rsid w:val="0094506B"/>
    <w:rsid w:val="00945123"/>
    <w:rsid w:val="009453CB"/>
    <w:rsid w:val="009453DF"/>
    <w:rsid w:val="0094542D"/>
    <w:rsid w:val="00945543"/>
    <w:rsid w:val="009455FC"/>
    <w:rsid w:val="00945688"/>
    <w:rsid w:val="0094580C"/>
    <w:rsid w:val="0094586C"/>
    <w:rsid w:val="009458D6"/>
    <w:rsid w:val="00945942"/>
    <w:rsid w:val="00945A29"/>
    <w:rsid w:val="00945AE8"/>
    <w:rsid w:val="00945B2C"/>
    <w:rsid w:val="00945C82"/>
    <w:rsid w:val="00945D86"/>
    <w:rsid w:val="00945E37"/>
    <w:rsid w:val="00946024"/>
    <w:rsid w:val="00946052"/>
    <w:rsid w:val="00946072"/>
    <w:rsid w:val="0094609B"/>
    <w:rsid w:val="0094612D"/>
    <w:rsid w:val="00946178"/>
    <w:rsid w:val="00946194"/>
    <w:rsid w:val="009461B7"/>
    <w:rsid w:val="009462BB"/>
    <w:rsid w:val="00946401"/>
    <w:rsid w:val="0094640F"/>
    <w:rsid w:val="00946455"/>
    <w:rsid w:val="009464C5"/>
    <w:rsid w:val="0094669E"/>
    <w:rsid w:val="00946775"/>
    <w:rsid w:val="009467EE"/>
    <w:rsid w:val="0094699C"/>
    <w:rsid w:val="00946A03"/>
    <w:rsid w:val="00946B75"/>
    <w:rsid w:val="00946BE5"/>
    <w:rsid w:val="00946C19"/>
    <w:rsid w:val="00946C8A"/>
    <w:rsid w:val="00946CA6"/>
    <w:rsid w:val="00946D4A"/>
    <w:rsid w:val="00946DEF"/>
    <w:rsid w:val="00946E10"/>
    <w:rsid w:val="00946E72"/>
    <w:rsid w:val="00946F1B"/>
    <w:rsid w:val="00946FF0"/>
    <w:rsid w:val="009471F2"/>
    <w:rsid w:val="00947247"/>
    <w:rsid w:val="009474DB"/>
    <w:rsid w:val="0094753B"/>
    <w:rsid w:val="0094754B"/>
    <w:rsid w:val="009475A5"/>
    <w:rsid w:val="00947603"/>
    <w:rsid w:val="009476AE"/>
    <w:rsid w:val="009476B0"/>
    <w:rsid w:val="0094785D"/>
    <w:rsid w:val="0094787C"/>
    <w:rsid w:val="009478A6"/>
    <w:rsid w:val="0094791D"/>
    <w:rsid w:val="009479C8"/>
    <w:rsid w:val="00947A63"/>
    <w:rsid w:val="00947AFA"/>
    <w:rsid w:val="00947B67"/>
    <w:rsid w:val="00947C68"/>
    <w:rsid w:val="00947C99"/>
    <w:rsid w:val="00947CAC"/>
    <w:rsid w:val="00947CBD"/>
    <w:rsid w:val="009501C1"/>
    <w:rsid w:val="009501CA"/>
    <w:rsid w:val="009501DC"/>
    <w:rsid w:val="00950221"/>
    <w:rsid w:val="009503B0"/>
    <w:rsid w:val="009504A9"/>
    <w:rsid w:val="009504B3"/>
    <w:rsid w:val="009504DD"/>
    <w:rsid w:val="00950527"/>
    <w:rsid w:val="009506D5"/>
    <w:rsid w:val="00950791"/>
    <w:rsid w:val="009507F6"/>
    <w:rsid w:val="00950930"/>
    <w:rsid w:val="00950976"/>
    <w:rsid w:val="00950991"/>
    <w:rsid w:val="009509FD"/>
    <w:rsid w:val="00950AEB"/>
    <w:rsid w:val="00950BD2"/>
    <w:rsid w:val="00950D1A"/>
    <w:rsid w:val="00950D97"/>
    <w:rsid w:val="00950DC8"/>
    <w:rsid w:val="00950F73"/>
    <w:rsid w:val="0095102D"/>
    <w:rsid w:val="00951059"/>
    <w:rsid w:val="0095105A"/>
    <w:rsid w:val="00951180"/>
    <w:rsid w:val="009514EA"/>
    <w:rsid w:val="009515A9"/>
    <w:rsid w:val="009515C1"/>
    <w:rsid w:val="00951751"/>
    <w:rsid w:val="00951BA2"/>
    <w:rsid w:val="00951C39"/>
    <w:rsid w:val="00951F05"/>
    <w:rsid w:val="00951F0A"/>
    <w:rsid w:val="00951F4C"/>
    <w:rsid w:val="00952044"/>
    <w:rsid w:val="00952146"/>
    <w:rsid w:val="00952224"/>
    <w:rsid w:val="00952311"/>
    <w:rsid w:val="009523A9"/>
    <w:rsid w:val="009523BC"/>
    <w:rsid w:val="009524C5"/>
    <w:rsid w:val="009525A9"/>
    <w:rsid w:val="0095263B"/>
    <w:rsid w:val="009526E5"/>
    <w:rsid w:val="009527E0"/>
    <w:rsid w:val="009528A4"/>
    <w:rsid w:val="0095295B"/>
    <w:rsid w:val="00952AA9"/>
    <w:rsid w:val="00952AB6"/>
    <w:rsid w:val="00952E8E"/>
    <w:rsid w:val="0095307B"/>
    <w:rsid w:val="0095310D"/>
    <w:rsid w:val="009534F0"/>
    <w:rsid w:val="0095367C"/>
    <w:rsid w:val="00953826"/>
    <w:rsid w:val="00953829"/>
    <w:rsid w:val="00953893"/>
    <w:rsid w:val="009539EB"/>
    <w:rsid w:val="00953A7B"/>
    <w:rsid w:val="00953A87"/>
    <w:rsid w:val="00953A95"/>
    <w:rsid w:val="00953B56"/>
    <w:rsid w:val="00953CEB"/>
    <w:rsid w:val="00953D2D"/>
    <w:rsid w:val="00953D60"/>
    <w:rsid w:val="00953DD6"/>
    <w:rsid w:val="00953DF9"/>
    <w:rsid w:val="00953EEA"/>
    <w:rsid w:val="00953F85"/>
    <w:rsid w:val="00954101"/>
    <w:rsid w:val="009541F9"/>
    <w:rsid w:val="009541FC"/>
    <w:rsid w:val="009543E7"/>
    <w:rsid w:val="009543FA"/>
    <w:rsid w:val="0095447A"/>
    <w:rsid w:val="0095448D"/>
    <w:rsid w:val="00954530"/>
    <w:rsid w:val="00954626"/>
    <w:rsid w:val="00954760"/>
    <w:rsid w:val="0095477B"/>
    <w:rsid w:val="009548DB"/>
    <w:rsid w:val="009548EB"/>
    <w:rsid w:val="0095490F"/>
    <w:rsid w:val="00954939"/>
    <w:rsid w:val="00954A44"/>
    <w:rsid w:val="00954B91"/>
    <w:rsid w:val="00954BAB"/>
    <w:rsid w:val="00954CFC"/>
    <w:rsid w:val="00954F3F"/>
    <w:rsid w:val="0095500A"/>
    <w:rsid w:val="0095501C"/>
    <w:rsid w:val="009550E2"/>
    <w:rsid w:val="0095519F"/>
    <w:rsid w:val="0095524A"/>
    <w:rsid w:val="00955325"/>
    <w:rsid w:val="00955370"/>
    <w:rsid w:val="0095537C"/>
    <w:rsid w:val="0095542E"/>
    <w:rsid w:val="0095557F"/>
    <w:rsid w:val="009556E7"/>
    <w:rsid w:val="0095571B"/>
    <w:rsid w:val="009557B3"/>
    <w:rsid w:val="00955805"/>
    <w:rsid w:val="00955997"/>
    <w:rsid w:val="00955B44"/>
    <w:rsid w:val="00955D29"/>
    <w:rsid w:val="00955F65"/>
    <w:rsid w:val="009561BC"/>
    <w:rsid w:val="0095631C"/>
    <w:rsid w:val="009563CF"/>
    <w:rsid w:val="0095646F"/>
    <w:rsid w:val="00956526"/>
    <w:rsid w:val="00956544"/>
    <w:rsid w:val="009565C3"/>
    <w:rsid w:val="009566A4"/>
    <w:rsid w:val="009566F6"/>
    <w:rsid w:val="0095678B"/>
    <w:rsid w:val="009567A0"/>
    <w:rsid w:val="0095681D"/>
    <w:rsid w:val="009568AF"/>
    <w:rsid w:val="00956966"/>
    <w:rsid w:val="00956C79"/>
    <w:rsid w:val="00956C8E"/>
    <w:rsid w:val="00956D02"/>
    <w:rsid w:val="00956DCF"/>
    <w:rsid w:val="00956E83"/>
    <w:rsid w:val="00957073"/>
    <w:rsid w:val="0095713D"/>
    <w:rsid w:val="009571AA"/>
    <w:rsid w:val="009571B8"/>
    <w:rsid w:val="009571CB"/>
    <w:rsid w:val="00957308"/>
    <w:rsid w:val="00957481"/>
    <w:rsid w:val="00957502"/>
    <w:rsid w:val="0095759A"/>
    <w:rsid w:val="009575CF"/>
    <w:rsid w:val="0095762F"/>
    <w:rsid w:val="00957676"/>
    <w:rsid w:val="00957679"/>
    <w:rsid w:val="0095769A"/>
    <w:rsid w:val="0095776A"/>
    <w:rsid w:val="00957787"/>
    <w:rsid w:val="009577D0"/>
    <w:rsid w:val="0095782C"/>
    <w:rsid w:val="00957851"/>
    <w:rsid w:val="009578C7"/>
    <w:rsid w:val="009578CF"/>
    <w:rsid w:val="009578E2"/>
    <w:rsid w:val="00957A60"/>
    <w:rsid w:val="00957AE6"/>
    <w:rsid w:val="00957C51"/>
    <w:rsid w:val="00957CE7"/>
    <w:rsid w:val="00957CE9"/>
    <w:rsid w:val="00957D42"/>
    <w:rsid w:val="00957D65"/>
    <w:rsid w:val="00957F12"/>
    <w:rsid w:val="00960086"/>
    <w:rsid w:val="009600F2"/>
    <w:rsid w:val="009603D8"/>
    <w:rsid w:val="009603DA"/>
    <w:rsid w:val="009603EC"/>
    <w:rsid w:val="00960589"/>
    <w:rsid w:val="0096066E"/>
    <w:rsid w:val="009606BB"/>
    <w:rsid w:val="0096076F"/>
    <w:rsid w:val="00960807"/>
    <w:rsid w:val="00960811"/>
    <w:rsid w:val="00960B5B"/>
    <w:rsid w:val="00960B60"/>
    <w:rsid w:val="00960C8E"/>
    <w:rsid w:val="00960CBA"/>
    <w:rsid w:val="00960DC8"/>
    <w:rsid w:val="00960E81"/>
    <w:rsid w:val="00960EB4"/>
    <w:rsid w:val="00960EDA"/>
    <w:rsid w:val="00960FC6"/>
    <w:rsid w:val="0096103E"/>
    <w:rsid w:val="00961048"/>
    <w:rsid w:val="00961138"/>
    <w:rsid w:val="00961228"/>
    <w:rsid w:val="009612C6"/>
    <w:rsid w:val="00961388"/>
    <w:rsid w:val="00961460"/>
    <w:rsid w:val="00961525"/>
    <w:rsid w:val="0096180B"/>
    <w:rsid w:val="0096186C"/>
    <w:rsid w:val="009618F3"/>
    <w:rsid w:val="0096196D"/>
    <w:rsid w:val="00961976"/>
    <w:rsid w:val="00961ADE"/>
    <w:rsid w:val="00961C62"/>
    <w:rsid w:val="00961D2D"/>
    <w:rsid w:val="00961D81"/>
    <w:rsid w:val="00961DCB"/>
    <w:rsid w:val="00962184"/>
    <w:rsid w:val="009621D9"/>
    <w:rsid w:val="00962239"/>
    <w:rsid w:val="00962282"/>
    <w:rsid w:val="00962290"/>
    <w:rsid w:val="00962300"/>
    <w:rsid w:val="00962303"/>
    <w:rsid w:val="00962401"/>
    <w:rsid w:val="00962511"/>
    <w:rsid w:val="009626AC"/>
    <w:rsid w:val="00962741"/>
    <w:rsid w:val="009627F1"/>
    <w:rsid w:val="009628EF"/>
    <w:rsid w:val="009629CA"/>
    <w:rsid w:val="00962B3C"/>
    <w:rsid w:val="00962BAB"/>
    <w:rsid w:val="00962C4A"/>
    <w:rsid w:val="00962D21"/>
    <w:rsid w:val="00962DE5"/>
    <w:rsid w:val="00962DF2"/>
    <w:rsid w:val="00962F56"/>
    <w:rsid w:val="00962FDC"/>
    <w:rsid w:val="00963115"/>
    <w:rsid w:val="0096322B"/>
    <w:rsid w:val="0096324E"/>
    <w:rsid w:val="00963285"/>
    <w:rsid w:val="0096333A"/>
    <w:rsid w:val="00963500"/>
    <w:rsid w:val="00963572"/>
    <w:rsid w:val="009635E5"/>
    <w:rsid w:val="00963625"/>
    <w:rsid w:val="00963642"/>
    <w:rsid w:val="009636AA"/>
    <w:rsid w:val="009637B3"/>
    <w:rsid w:val="0096382F"/>
    <w:rsid w:val="00963841"/>
    <w:rsid w:val="009638F7"/>
    <w:rsid w:val="00963A89"/>
    <w:rsid w:val="00963AD8"/>
    <w:rsid w:val="00963AE6"/>
    <w:rsid w:val="00963B4C"/>
    <w:rsid w:val="00963C02"/>
    <w:rsid w:val="00963CC7"/>
    <w:rsid w:val="00963CCE"/>
    <w:rsid w:val="00963CE6"/>
    <w:rsid w:val="00963E8B"/>
    <w:rsid w:val="00963ED3"/>
    <w:rsid w:val="00963FA3"/>
    <w:rsid w:val="00963FF6"/>
    <w:rsid w:val="0096407D"/>
    <w:rsid w:val="0096418E"/>
    <w:rsid w:val="0096437E"/>
    <w:rsid w:val="0096439F"/>
    <w:rsid w:val="009643C0"/>
    <w:rsid w:val="009646B2"/>
    <w:rsid w:val="00964702"/>
    <w:rsid w:val="0096474B"/>
    <w:rsid w:val="00964867"/>
    <w:rsid w:val="009648B5"/>
    <w:rsid w:val="009649A9"/>
    <w:rsid w:val="00964A49"/>
    <w:rsid w:val="00964A70"/>
    <w:rsid w:val="00964AA2"/>
    <w:rsid w:val="00964BE7"/>
    <w:rsid w:val="00964D1A"/>
    <w:rsid w:val="00964DB1"/>
    <w:rsid w:val="00964E43"/>
    <w:rsid w:val="00965009"/>
    <w:rsid w:val="0096510A"/>
    <w:rsid w:val="0096511D"/>
    <w:rsid w:val="009651D4"/>
    <w:rsid w:val="009651E2"/>
    <w:rsid w:val="0096526D"/>
    <w:rsid w:val="009652FA"/>
    <w:rsid w:val="00965388"/>
    <w:rsid w:val="00965528"/>
    <w:rsid w:val="0096554F"/>
    <w:rsid w:val="009656A9"/>
    <w:rsid w:val="00965761"/>
    <w:rsid w:val="00965787"/>
    <w:rsid w:val="00965807"/>
    <w:rsid w:val="0096582F"/>
    <w:rsid w:val="009658BE"/>
    <w:rsid w:val="009658C3"/>
    <w:rsid w:val="009658F8"/>
    <w:rsid w:val="00965B66"/>
    <w:rsid w:val="00965BAD"/>
    <w:rsid w:val="00965C0F"/>
    <w:rsid w:val="00965C39"/>
    <w:rsid w:val="00965EAE"/>
    <w:rsid w:val="00965EC6"/>
    <w:rsid w:val="00965EE4"/>
    <w:rsid w:val="00965EE7"/>
    <w:rsid w:val="00965F90"/>
    <w:rsid w:val="00965FE4"/>
    <w:rsid w:val="0096619C"/>
    <w:rsid w:val="0096628E"/>
    <w:rsid w:val="00966292"/>
    <w:rsid w:val="0096632C"/>
    <w:rsid w:val="00966364"/>
    <w:rsid w:val="009663A1"/>
    <w:rsid w:val="009663C1"/>
    <w:rsid w:val="00966453"/>
    <w:rsid w:val="00966473"/>
    <w:rsid w:val="0096654B"/>
    <w:rsid w:val="0096655F"/>
    <w:rsid w:val="009666A2"/>
    <w:rsid w:val="00966879"/>
    <w:rsid w:val="0096694D"/>
    <w:rsid w:val="00966A50"/>
    <w:rsid w:val="00966B06"/>
    <w:rsid w:val="00966C25"/>
    <w:rsid w:val="00966C4B"/>
    <w:rsid w:val="009670C6"/>
    <w:rsid w:val="009670F1"/>
    <w:rsid w:val="00967174"/>
    <w:rsid w:val="00967237"/>
    <w:rsid w:val="009672E2"/>
    <w:rsid w:val="00967306"/>
    <w:rsid w:val="0096730D"/>
    <w:rsid w:val="0096745E"/>
    <w:rsid w:val="0096776D"/>
    <w:rsid w:val="009677F5"/>
    <w:rsid w:val="00967A79"/>
    <w:rsid w:val="00967AFB"/>
    <w:rsid w:val="00967B40"/>
    <w:rsid w:val="00967BBC"/>
    <w:rsid w:val="00967BF7"/>
    <w:rsid w:val="00967C71"/>
    <w:rsid w:val="00967DEB"/>
    <w:rsid w:val="00967F37"/>
    <w:rsid w:val="00967F52"/>
    <w:rsid w:val="0097009E"/>
    <w:rsid w:val="009700EA"/>
    <w:rsid w:val="00970191"/>
    <w:rsid w:val="0097022D"/>
    <w:rsid w:val="00970392"/>
    <w:rsid w:val="0097055E"/>
    <w:rsid w:val="00970606"/>
    <w:rsid w:val="00970698"/>
    <w:rsid w:val="00970742"/>
    <w:rsid w:val="0097091C"/>
    <w:rsid w:val="00970922"/>
    <w:rsid w:val="00970BBD"/>
    <w:rsid w:val="00970C07"/>
    <w:rsid w:val="00970C5C"/>
    <w:rsid w:val="00970DE9"/>
    <w:rsid w:val="00970F18"/>
    <w:rsid w:val="00970F56"/>
    <w:rsid w:val="00970FE4"/>
    <w:rsid w:val="0097108F"/>
    <w:rsid w:val="0097119E"/>
    <w:rsid w:val="009711D8"/>
    <w:rsid w:val="0097145D"/>
    <w:rsid w:val="009715B0"/>
    <w:rsid w:val="009716F4"/>
    <w:rsid w:val="0097183A"/>
    <w:rsid w:val="0097183D"/>
    <w:rsid w:val="00971920"/>
    <w:rsid w:val="009719B1"/>
    <w:rsid w:val="00971AEE"/>
    <w:rsid w:val="00971B55"/>
    <w:rsid w:val="00971C6E"/>
    <w:rsid w:val="00971D0D"/>
    <w:rsid w:val="00971D58"/>
    <w:rsid w:val="00971E6D"/>
    <w:rsid w:val="00971FA1"/>
    <w:rsid w:val="009721F5"/>
    <w:rsid w:val="0097229B"/>
    <w:rsid w:val="009722B4"/>
    <w:rsid w:val="00972403"/>
    <w:rsid w:val="0097251B"/>
    <w:rsid w:val="0097252D"/>
    <w:rsid w:val="00972579"/>
    <w:rsid w:val="0097260C"/>
    <w:rsid w:val="009726F2"/>
    <w:rsid w:val="00972814"/>
    <w:rsid w:val="009728D9"/>
    <w:rsid w:val="00972959"/>
    <w:rsid w:val="009729D7"/>
    <w:rsid w:val="009729EB"/>
    <w:rsid w:val="00972A77"/>
    <w:rsid w:val="00972B53"/>
    <w:rsid w:val="00972C69"/>
    <w:rsid w:val="00972CFC"/>
    <w:rsid w:val="00972D4C"/>
    <w:rsid w:val="00972DFC"/>
    <w:rsid w:val="00972EE4"/>
    <w:rsid w:val="00973097"/>
    <w:rsid w:val="0097310B"/>
    <w:rsid w:val="0097316B"/>
    <w:rsid w:val="0097349D"/>
    <w:rsid w:val="00973505"/>
    <w:rsid w:val="0097361A"/>
    <w:rsid w:val="0097369E"/>
    <w:rsid w:val="009736EE"/>
    <w:rsid w:val="009736F1"/>
    <w:rsid w:val="00973824"/>
    <w:rsid w:val="00973ADD"/>
    <w:rsid w:val="00973B46"/>
    <w:rsid w:val="00973BA3"/>
    <w:rsid w:val="00973BB2"/>
    <w:rsid w:val="00973BE6"/>
    <w:rsid w:val="00973CDE"/>
    <w:rsid w:val="00973D49"/>
    <w:rsid w:val="00973DA0"/>
    <w:rsid w:val="00973DAA"/>
    <w:rsid w:val="00973FBC"/>
    <w:rsid w:val="0097411D"/>
    <w:rsid w:val="0097413A"/>
    <w:rsid w:val="009741DF"/>
    <w:rsid w:val="00974321"/>
    <w:rsid w:val="00974424"/>
    <w:rsid w:val="009744DB"/>
    <w:rsid w:val="009744F6"/>
    <w:rsid w:val="009746C5"/>
    <w:rsid w:val="0097484B"/>
    <w:rsid w:val="00974865"/>
    <w:rsid w:val="00974A57"/>
    <w:rsid w:val="00974AA4"/>
    <w:rsid w:val="00974B01"/>
    <w:rsid w:val="00974B10"/>
    <w:rsid w:val="00974BA5"/>
    <w:rsid w:val="00974C8E"/>
    <w:rsid w:val="00974F4A"/>
    <w:rsid w:val="0097528F"/>
    <w:rsid w:val="00975382"/>
    <w:rsid w:val="009753A7"/>
    <w:rsid w:val="00975419"/>
    <w:rsid w:val="009754B3"/>
    <w:rsid w:val="009754ED"/>
    <w:rsid w:val="009756D8"/>
    <w:rsid w:val="009757E0"/>
    <w:rsid w:val="009757FB"/>
    <w:rsid w:val="00975848"/>
    <w:rsid w:val="0097589C"/>
    <w:rsid w:val="00975932"/>
    <w:rsid w:val="00975938"/>
    <w:rsid w:val="00975A86"/>
    <w:rsid w:val="00975C29"/>
    <w:rsid w:val="00975F2F"/>
    <w:rsid w:val="00976039"/>
    <w:rsid w:val="009760E6"/>
    <w:rsid w:val="00976212"/>
    <w:rsid w:val="009762FD"/>
    <w:rsid w:val="00976329"/>
    <w:rsid w:val="009763A3"/>
    <w:rsid w:val="009763D9"/>
    <w:rsid w:val="00976410"/>
    <w:rsid w:val="00976432"/>
    <w:rsid w:val="00976453"/>
    <w:rsid w:val="009764E4"/>
    <w:rsid w:val="00976584"/>
    <w:rsid w:val="009765E7"/>
    <w:rsid w:val="0097670D"/>
    <w:rsid w:val="0097677A"/>
    <w:rsid w:val="009767B1"/>
    <w:rsid w:val="0097686E"/>
    <w:rsid w:val="009768DA"/>
    <w:rsid w:val="00976A9B"/>
    <w:rsid w:val="00976C35"/>
    <w:rsid w:val="00976DFD"/>
    <w:rsid w:val="00976EB8"/>
    <w:rsid w:val="00976F16"/>
    <w:rsid w:val="00976F45"/>
    <w:rsid w:val="00976FC9"/>
    <w:rsid w:val="00976FF1"/>
    <w:rsid w:val="00977009"/>
    <w:rsid w:val="0097701B"/>
    <w:rsid w:val="00977078"/>
    <w:rsid w:val="00977082"/>
    <w:rsid w:val="00977100"/>
    <w:rsid w:val="0097713E"/>
    <w:rsid w:val="00977181"/>
    <w:rsid w:val="009772C7"/>
    <w:rsid w:val="0097731A"/>
    <w:rsid w:val="009773D5"/>
    <w:rsid w:val="00977606"/>
    <w:rsid w:val="009776D5"/>
    <w:rsid w:val="00977745"/>
    <w:rsid w:val="009778DE"/>
    <w:rsid w:val="00977939"/>
    <w:rsid w:val="00977A39"/>
    <w:rsid w:val="00977A43"/>
    <w:rsid w:val="00977ABE"/>
    <w:rsid w:val="00977C46"/>
    <w:rsid w:val="00977E9B"/>
    <w:rsid w:val="00977F93"/>
    <w:rsid w:val="00977FEE"/>
    <w:rsid w:val="00980014"/>
    <w:rsid w:val="0098013F"/>
    <w:rsid w:val="00980285"/>
    <w:rsid w:val="009802EE"/>
    <w:rsid w:val="009803B0"/>
    <w:rsid w:val="00980707"/>
    <w:rsid w:val="0098072D"/>
    <w:rsid w:val="00980759"/>
    <w:rsid w:val="009807AC"/>
    <w:rsid w:val="0098080B"/>
    <w:rsid w:val="0098092F"/>
    <w:rsid w:val="009809F7"/>
    <w:rsid w:val="00980D88"/>
    <w:rsid w:val="00980EC4"/>
    <w:rsid w:val="00980FB5"/>
    <w:rsid w:val="0098104A"/>
    <w:rsid w:val="0098115B"/>
    <w:rsid w:val="0098130B"/>
    <w:rsid w:val="0098136B"/>
    <w:rsid w:val="009813C5"/>
    <w:rsid w:val="00981444"/>
    <w:rsid w:val="0098154E"/>
    <w:rsid w:val="00981559"/>
    <w:rsid w:val="0098157D"/>
    <w:rsid w:val="009815F0"/>
    <w:rsid w:val="0098171F"/>
    <w:rsid w:val="00981822"/>
    <w:rsid w:val="009818CB"/>
    <w:rsid w:val="009819ED"/>
    <w:rsid w:val="00981A4D"/>
    <w:rsid w:val="00981AA1"/>
    <w:rsid w:val="00981ADD"/>
    <w:rsid w:val="00981CAC"/>
    <w:rsid w:val="00981D23"/>
    <w:rsid w:val="00981EA8"/>
    <w:rsid w:val="00981F73"/>
    <w:rsid w:val="00981FE5"/>
    <w:rsid w:val="00982084"/>
    <w:rsid w:val="009820A7"/>
    <w:rsid w:val="0098214A"/>
    <w:rsid w:val="00982173"/>
    <w:rsid w:val="009821E4"/>
    <w:rsid w:val="0098220E"/>
    <w:rsid w:val="0098228B"/>
    <w:rsid w:val="0098233F"/>
    <w:rsid w:val="0098235D"/>
    <w:rsid w:val="009823C6"/>
    <w:rsid w:val="009824E5"/>
    <w:rsid w:val="009825A5"/>
    <w:rsid w:val="00982607"/>
    <w:rsid w:val="00982633"/>
    <w:rsid w:val="00982692"/>
    <w:rsid w:val="0098272E"/>
    <w:rsid w:val="009827F3"/>
    <w:rsid w:val="00982812"/>
    <w:rsid w:val="00982A0A"/>
    <w:rsid w:val="00982A4A"/>
    <w:rsid w:val="00982B5F"/>
    <w:rsid w:val="00982CB1"/>
    <w:rsid w:val="00982DA2"/>
    <w:rsid w:val="00982DC4"/>
    <w:rsid w:val="00982DD8"/>
    <w:rsid w:val="00982EC2"/>
    <w:rsid w:val="00983018"/>
    <w:rsid w:val="0098303A"/>
    <w:rsid w:val="0098329F"/>
    <w:rsid w:val="009832C6"/>
    <w:rsid w:val="0098335B"/>
    <w:rsid w:val="00983425"/>
    <w:rsid w:val="0098375B"/>
    <w:rsid w:val="00983761"/>
    <w:rsid w:val="009837F7"/>
    <w:rsid w:val="00983A2F"/>
    <w:rsid w:val="00983AD7"/>
    <w:rsid w:val="00983AEF"/>
    <w:rsid w:val="00983BAB"/>
    <w:rsid w:val="00983BCE"/>
    <w:rsid w:val="00983C06"/>
    <w:rsid w:val="00983DE7"/>
    <w:rsid w:val="00983E8C"/>
    <w:rsid w:val="00983FC9"/>
    <w:rsid w:val="00984063"/>
    <w:rsid w:val="009840B5"/>
    <w:rsid w:val="009840D3"/>
    <w:rsid w:val="00984288"/>
    <w:rsid w:val="009843BB"/>
    <w:rsid w:val="009843D4"/>
    <w:rsid w:val="009844A7"/>
    <w:rsid w:val="009844F9"/>
    <w:rsid w:val="009845B3"/>
    <w:rsid w:val="0098473E"/>
    <w:rsid w:val="00984796"/>
    <w:rsid w:val="009848C2"/>
    <w:rsid w:val="009848CC"/>
    <w:rsid w:val="009849E0"/>
    <w:rsid w:val="00984A84"/>
    <w:rsid w:val="00984B1F"/>
    <w:rsid w:val="00984BFA"/>
    <w:rsid w:val="00984C57"/>
    <w:rsid w:val="00984E56"/>
    <w:rsid w:val="00984F0A"/>
    <w:rsid w:val="00985032"/>
    <w:rsid w:val="00985173"/>
    <w:rsid w:val="00985269"/>
    <w:rsid w:val="009852AA"/>
    <w:rsid w:val="00985379"/>
    <w:rsid w:val="00985391"/>
    <w:rsid w:val="00985423"/>
    <w:rsid w:val="009857AC"/>
    <w:rsid w:val="00985807"/>
    <w:rsid w:val="0098595C"/>
    <w:rsid w:val="00985A01"/>
    <w:rsid w:val="00985A19"/>
    <w:rsid w:val="00985ABA"/>
    <w:rsid w:val="00985DA0"/>
    <w:rsid w:val="00985EA0"/>
    <w:rsid w:val="00985EA6"/>
    <w:rsid w:val="00985ED0"/>
    <w:rsid w:val="00985F86"/>
    <w:rsid w:val="00985FEF"/>
    <w:rsid w:val="009860DD"/>
    <w:rsid w:val="009860F7"/>
    <w:rsid w:val="009861A6"/>
    <w:rsid w:val="009861C9"/>
    <w:rsid w:val="0098620F"/>
    <w:rsid w:val="0098627A"/>
    <w:rsid w:val="009862EC"/>
    <w:rsid w:val="00986430"/>
    <w:rsid w:val="00986432"/>
    <w:rsid w:val="00986520"/>
    <w:rsid w:val="0098674A"/>
    <w:rsid w:val="00986824"/>
    <w:rsid w:val="00986831"/>
    <w:rsid w:val="0098684A"/>
    <w:rsid w:val="009869C2"/>
    <w:rsid w:val="00986A1F"/>
    <w:rsid w:val="00986A35"/>
    <w:rsid w:val="00986AD8"/>
    <w:rsid w:val="00986AE1"/>
    <w:rsid w:val="00986CF8"/>
    <w:rsid w:val="00986D12"/>
    <w:rsid w:val="00986FD2"/>
    <w:rsid w:val="0098703B"/>
    <w:rsid w:val="00987060"/>
    <w:rsid w:val="00987173"/>
    <w:rsid w:val="009871A6"/>
    <w:rsid w:val="009871DD"/>
    <w:rsid w:val="0098727B"/>
    <w:rsid w:val="00987297"/>
    <w:rsid w:val="0098731A"/>
    <w:rsid w:val="009874D6"/>
    <w:rsid w:val="009874F5"/>
    <w:rsid w:val="00987772"/>
    <w:rsid w:val="009878C4"/>
    <w:rsid w:val="0098794C"/>
    <w:rsid w:val="0098794F"/>
    <w:rsid w:val="009879E0"/>
    <w:rsid w:val="00987A75"/>
    <w:rsid w:val="00987A8E"/>
    <w:rsid w:val="00987DD6"/>
    <w:rsid w:val="00987DEF"/>
    <w:rsid w:val="00987E31"/>
    <w:rsid w:val="00987E8F"/>
    <w:rsid w:val="00987ECB"/>
    <w:rsid w:val="00990078"/>
    <w:rsid w:val="0099008D"/>
    <w:rsid w:val="00990107"/>
    <w:rsid w:val="0099019F"/>
    <w:rsid w:val="009902B0"/>
    <w:rsid w:val="009902CD"/>
    <w:rsid w:val="009902DE"/>
    <w:rsid w:val="0099035B"/>
    <w:rsid w:val="00990453"/>
    <w:rsid w:val="009904A3"/>
    <w:rsid w:val="009904DC"/>
    <w:rsid w:val="009904FE"/>
    <w:rsid w:val="00990565"/>
    <w:rsid w:val="0099067F"/>
    <w:rsid w:val="0099075A"/>
    <w:rsid w:val="009907A0"/>
    <w:rsid w:val="00990858"/>
    <w:rsid w:val="00990982"/>
    <w:rsid w:val="009909E5"/>
    <w:rsid w:val="00990B50"/>
    <w:rsid w:val="00990D33"/>
    <w:rsid w:val="00990D8C"/>
    <w:rsid w:val="00990DF6"/>
    <w:rsid w:val="00990E87"/>
    <w:rsid w:val="00990ECE"/>
    <w:rsid w:val="00990EDD"/>
    <w:rsid w:val="00990FFF"/>
    <w:rsid w:val="00991035"/>
    <w:rsid w:val="009911E9"/>
    <w:rsid w:val="0099125B"/>
    <w:rsid w:val="009912AA"/>
    <w:rsid w:val="009912BB"/>
    <w:rsid w:val="0099151A"/>
    <w:rsid w:val="0099154E"/>
    <w:rsid w:val="009918CE"/>
    <w:rsid w:val="009918E4"/>
    <w:rsid w:val="00991913"/>
    <w:rsid w:val="00991A3B"/>
    <w:rsid w:val="00991AA8"/>
    <w:rsid w:val="00991C4A"/>
    <w:rsid w:val="00991D54"/>
    <w:rsid w:val="00991E26"/>
    <w:rsid w:val="00991F4A"/>
    <w:rsid w:val="00991F91"/>
    <w:rsid w:val="00992371"/>
    <w:rsid w:val="00992425"/>
    <w:rsid w:val="009924C3"/>
    <w:rsid w:val="00992760"/>
    <w:rsid w:val="00992788"/>
    <w:rsid w:val="009927D8"/>
    <w:rsid w:val="0099281D"/>
    <w:rsid w:val="009928DE"/>
    <w:rsid w:val="00992A73"/>
    <w:rsid w:val="00992A7C"/>
    <w:rsid w:val="00992B0F"/>
    <w:rsid w:val="00992B58"/>
    <w:rsid w:val="00992B87"/>
    <w:rsid w:val="00992C33"/>
    <w:rsid w:val="00992D9C"/>
    <w:rsid w:val="00992DA2"/>
    <w:rsid w:val="00992E09"/>
    <w:rsid w:val="00992F93"/>
    <w:rsid w:val="009930E2"/>
    <w:rsid w:val="00993246"/>
    <w:rsid w:val="009932B2"/>
    <w:rsid w:val="0099343B"/>
    <w:rsid w:val="009934B7"/>
    <w:rsid w:val="009939BB"/>
    <w:rsid w:val="009939DA"/>
    <w:rsid w:val="00993AF2"/>
    <w:rsid w:val="00993B14"/>
    <w:rsid w:val="00993B89"/>
    <w:rsid w:val="00993C64"/>
    <w:rsid w:val="00993C8A"/>
    <w:rsid w:val="00993C9A"/>
    <w:rsid w:val="00993E3E"/>
    <w:rsid w:val="00993E93"/>
    <w:rsid w:val="00993F36"/>
    <w:rsid w:val="00993FCF"/>
    <w:rsid w:val="00994004"/>
    <w:rsid w:val="0099408D"/>
    <w:rsid w:val="009940F6"/>
    <w:rsid w:val="00994174"/>
    <w:rsid w:val="009941EC"/>
    <w:rsid w:val="0099423D"/>
    <w:rsid w:val="009942A5"/>
    <w:rsid w:val="00994362"/>
    <w:rsid w:val="009946B9"/>
    <w:rsid w:val="009949B4"/>
    <w:rsid w:val="00994A29"/>
    <w:rsid w:val="00994A71"/>
    <w:rsid w:val="00994ADB"/>
    <w:rsid w:val="00994B05"/>
    <w:rsid w:val="00994C02"/>
    <w:rsid w:val="00994CA4"/>
    <w:rsid w:val="00994CD6"/>
    <w:rsid w:val="00994D3A"/>
    <w:rsid w:val="00994D70"/>
    <w:rsid w:val="00994DC6"/>
    <w:rsid w:val="009950B1"/>
    <w:rsid w:val="0099528E"/>
    <w:rsid w:val="00995431"/>
    <w:rsid w:val="009954D1"/>
    <w:rsid w:val="00995607"/>
    <w:rsid w:val="00995615"/>
    <w:rsid w:val="00995632"/>
    <w:rsid w:val="00995658"/>
    <w:rsid w:val="009956FA"/>
    <w:rsid w:val="00995726"/>
    <w:rsid w:val="00995989"/>
    <w:rsid w:val="00995AF5"/>
    <w:rsid w:val="00995BB0"/>
    <w:rsid w:val="00995D8E"/>
    <w:rsid w:val="00995E64"/>
    <w:rsid w:val="00995EA9"/>
    <w:rsid w:val="00995F19"/>
    <w:rsid w:val="00995F66"/>
    <w:rsid w:val="00995FA2"/>
    <w:rsid w:val="00995FFE"/>
    <w:rsid w:val="009961AF"/>
    <w:rsid w:val="009962E6"/>
    <w:rsid w:val="00996317"/>
    <w:rsid w:val="00996627"/>
    <w:rsid w:val="00996832"/>
    <w:rsid w:val="009968B6"/>
    <w:rsid w:val="00996C35"/>
    <w:rsid w:val="00996D35"/>
    <w:rsid w:val="00996E86"/>
    <w:rsid w:val="00996ECF"/>
    <w:rsid w:val="00996F3E"/>
    <w:rsid w:val="0099705A"/>
    <w:rsid w:val="0099706B"/>
    <w:rsid w:val="0099725E"/>
    <w:rsid w:val="00997287"/>
    <w:rsid w:val="0099755C"/>
    <w:rsid w:val="0099767C"/>
    <w:rsid w:val="009976CE"/>
    <w:rsid w:val="00997740"/>
    <w:rsid w:val="0099784E"/>
    <w:rsid w:val="00997940"/>
    <w:rsid w:val="0099794A"/>
    <w:rsid w:val="009979AB"/>
    <w:rsid w:val="009979D9"/>
    <w:rsid w:val="00997BAB"/>
    <w:rsid w:val="00997C78"/>
    <w:rsid w:val="00997D2E"/>
    <w:rsid w:val="00997DE7"/>
    <w:rsid w:val="009A004F"/>
    <w:rsid w:val="009A00B4"/>
    <w:rsid w:val="009A00B6"/>
    <w:rsid w:val="009A00E1"/>
    <w:rsid w:val="009A0105"/>
    <w:rsid w:val="009A01AA"/>
    <w:rsid w:val="009A01D6"/>
    <w:rsid w:val="009A02AF"/>
    <w:rsid w:val="009A0386"/>
    <w:rsid w:val="009A03F0"/>
    <w:rsid w:val="009A040F"/>
    <w:rsid w:val="009A0583"/>
    <w:rsid w:val="009A0717"/>
    <w:rsid w:val="009A0736"/>
    <w:rsid w:val="009A0768"/>
    <w:rsid w:val="009A086C"/>
    <w:rsid w:val="009A08A4"/>
    <w:rsid w:val="009A08D7"/>
    <w:rsid w:val="009A0906"/>
    <w:rsid w:val="009A0960"/>
    <w:rsid w:val="009A0994"/>
    <w:rsid w:val="009A0A1A"/>
    <w:rsid w:val="009A0A97"/>
    <w:rsid w:val="009A0B65"/>
    <w:rsid w:val="009A0CCD"/>
    <w:rsid w:val="009A0D2F"/>
    <w:rsid w:val="009A0DDF"/>
    <w:rsid w:val="009A0EFD"/>
    <w:rsid w:val="009A0F7D"/>
    <w:rsid w:val="009A0FC2"/>
    <w:rsid w:val="009A0FD7"/>
    <w:rsid w:val="009A1054"/>
    <w:rsid w:val="009A1126"/>
    <w:rsid w:val="009A1240"/>
    <w:rsid w:val="009A125D"/>
    <w:rsid w:val="009A144F"/>
    <w:rsid w:val="009A1604"/>
    <w:rsid w:val="009A1878"/>
    <w:rsid w:val="009A1898"/>
    <w:rsid w:val="009A1AB2"/>
    <w:rsid w:val="009A1B83"/>
    <w:rsid w:val="009A1C1F"/>
    <w:rsid w:val="009A1DA6"/>
    <w:rsid w:val="009A1E87"/>
    <w:rsid w:val="009A1F20"/>
    <w:rsid w:val="009A1FBE"/>
    <w:rsid w:val="009A2072"/>
    <w:rsid w:val="009A2154"/>
    <w:rsid w:val="009A217F"/>
    <w:rsid w:val="009A22A7"/>
    <w:rsid w:val="009A22F3"/>
    <w:rsid w:val="009A2325"/>
    <w:rsid w:val="009A2342"/>
    <w:rsid w:val="009A2373"/>
    <w:rsid w:val="009A25C8"/>
    <w:rsid w:val="009A25D1"/>
    <w:rsid w:val="009A271B"/>
    <w:rsid w:val="009A29B9"/>
    <w:rsid w:val="009A2A0A"/>
    <w:rsid w:val="009A2A2C"/>
    <w:rsid w:val="009A2AD0"/>
    <w:rsid w:val="009A2BBC"/>
    <w:rsid w:val="009A2C7F"/>
    <w:rsid w:val="009A2EE0"/>
    <w:rsid w:val="009A2F0E"/>
    <w:rsid w:val="009A2FC9"/>
    <w:rsid w:val="009A3023"/>
    <w:rsid w:val="009A327F"/>
    <w:rsid w:val="009A32B6"/>
    <w:rsid w:val="009A3305"/>
    <w:rsid w:val="009A3462"/>
    <w:rsid w:val="009A35C7"/>
    <w:rsid w:val="009A37CB"/>
    <w:rsid w:val="009A3819"/>
    <w:rsid w:val="009A3850"/>
    <w:rsid w:val="009A392A"/>
    <w:rsid w:val="009A3A13"/>
    <w:rsid w:val="009A3AFD"/>
    <w:rsid w:val="009A3C09"/>
    <w:rsid w:val="009A3C6C"/>
    <w:rsid w:val="009A3D35"/>
    <w:rsid w:val="009A3DA1"/>
    <w:rsid w:val="009A3DE3"/>
    <w:rsid w:val="009A3E8C"/>
    <w:rsid w:val="009A4133"/>
    <w:rsid w:val="009A41C9"/>
    <w:rsid w:val="009A4231"/>
    <w:rsid w:val="009A4393"/>
    <w:rsid w:val="009A43A5"/>
    <w:rsid w:val="009A4580"/>
    <w:rsid w:val="009A4640"/>
    <w:rsid w:val="009A4642"/>
    <w:rsid w:val="009A4665"/>
    <w:rsid w:val="009A46FE"/>
    <w:rsid w:val="009A4761"/>
    <w:rsid w:val="009A47B4"/>
    <w:rsid w:val="009A48B8"/>
    <w:rsid w:val="009A49AD"/>
    <w:rsid w:val="009A4C51"/>
    <w:rsid w:val="009A4C82"/>
    <w:rsid w:val="009A4D5A"/>
    <w:rsid w:val="009A4D89"/>
    <w:rsid w:val="009A4DEF"/>
    <w:rsid w:val="009A4E02"/>
    <w:rsid w:val="009A4E5F"/>
    <w:rsid w:val="009A4F1D"/>
    <w:rsid w:val="009A507E"/>
    <w:rsid w:val="009A5082"/>
    <w:rsid w:val="009A50AE"/>
    <w:rsid w:val="009A521E"/>
    <w:rsid w:val="009A521F"/>
    <w:rsid w:val="009A529A"/>
    <w:rsid w:val="009A52B0"/>
    <w:rsid w:val="009A5427"/>
    <w:rsid w:val="009A54F9"/>
    <w:rsid w:val="009A554A"/>
    <w:rsid w:val="009A55E6"/>
    <w:rsid w:val="009A56B4"/>
    <w:rsid w:val="009A5701"/>
    <w:rsid w:val="009A575E"/>
    <w:rsid w:val="009A58B7"/>
    <w:rsid w:val="009A5955"/>
    <w:rsid w:val="009A5984"/>
    <w:rsid w:val="009A5A71"/>
    <w:rsid w:val="009A5A8F"/>
    <w:rsid w:val="009A5B0E"/>
    <w:rsid w:val="009A5B58"/>
    <w:rsid w:val="009A5D35"/>
    <w:rsid w:val="009A5E5C"/>
    <w:rsid w:val="009A5E95"/>
    <w:rsid w:val="009A5F45"/>
    <w:rsid w:val="009A6069"/>
    <w:rsid w:val="009A60FD"/>
    <w:rsid w:val="009A6199"/>
    <w:rsid w:val="009A619C"/>
    <w:rsid w:val="009A62EA"/>
    <w:rsid w:val="009A62F5"/>
    <w:rsid w:val="009A634D"/>
    <w:rsid w:val="009A6357"/>
    <w:rsid w:val="009A63C3"/>
    <w:rsid w:val="009A6418"/>
    <w:rsid w:val="009A65B9"/>
    <w:rsid w:val="009A65CF"/>
    <w:rsid w:val="009A65D9"/>
    <w:rsid w:val="009A673E"/>
    <w:rsid w:val="009A67CF"/>
    <w:rsid w:val="009A6811"/>
    <w:rsid w:val="009A681F"/>
    <w:rsid w:val="009A69AE"/>
    <w:rsid w:val="009A69CC"/>
    <w:rsid w:val="009A6A07"/>
    <w:rsid w:val="009A6A9F"/>
    <w:rsid w:val="009A6C90"/>
    <w:rsid w:val="009A6DC2"/>
    <w:rsid w:val="009A6E2B"/>
    <w:rsid w:val="009A6E6D"/>
    <w:rsid w:val="009A70B2"/>
    <w:rsid w:val="009A70E6"/>
    <w:rsid w:val="009A73D9"/>
    <w:rsid w:val="009A7738"/>
    <w:rsid w:val="009A78F2"/>
    <w:rsid w:val="009A7BCD"/>
    <w:rsid w:val="009A7C9D"/>
    <w:rsid w:val="009A7DD1"/>
    <w:rsid w:val="009A7FA0"/>
    <w:rsid w:val="009B0017"/>
    <w:rsid w:val="009B00E0"/>
    <w:rsid w:val="009B00EA"/>
    <w:rsid w:val="009B0209"/>
    <w:rsid w:val="009B023A"/>
    <w:rsid w:val="009B02ED"/>
    <w:rsid w:val="009B04CE"/>
    <w:rsid w:val="009B062E"/>
    <w:rsid w:val="009B06F8"/>
    <w:rsid w:val="009B07B0"/>
    <w:rsid w:val="009B083D"/>
    <w:rsid w:val="009B0848"/>
    <w:rsid w:val="009B0B6B"/>
    <w:rsid w:val="009B0D1C"/>
    <w:rsid w:val="009B0FE7"/>
    <w:rsid w:val="009B103E"/>
    <w:rsid w:val="009B107D"/>
    <w:rsid w:val="009B10CC"/>
    <w:rsid w:val="009B111D"/>
    <w:rsid w:val="009B1152"/>
    <w:rsid w:val="009B1185"/>
    <w:rsid w:val="009B12C2"/>
    <w:rsid w:val="009B14FD"/>
    <w:rsid w:val="009B17DD"/>
    <w:rsid w:val="009B184F"/>
    <w:rsid w:val="009B1858"/>
    <w:rsid w:val="009B18AE"/>
    <w:rsid w:val="009B19F7"/>
    <w:rsid w:val="009B1A02"/>
    <w:rsid w:val="009B1A37"/>
    <w:rsid w:val="009B1B19"/>
    <w:rsid w:val="009B1B91"/>
    <w:rsid w:val="009B1B9F"/>
    <w:rsid w:val="009B1C05"/>
    <w:rsid w:val="009B1C57"/>
    <w:rsid w:val="009B1C7F"/>
    <w:rsid w:val="009B1D40"/>
    <w:rsid w:val="009B1D7A"/>
    <w:rsid w:val="009B1DCE"/>
    <w:rsid w:val="009B1DF2"/>
    <w:rsid w:val="009B1FC1"/>
    <w:rsid w:val="009B2046"/>
    <w:rsid w:val="009B2078"/>
    <w:rsid w:val="009B2186"/>
    <w:rsid w:val="009B21E7"/>
    <w:rsid w:val="009B2226"/>
    <w:rsid w:val="009B22F5"/>
    <w:rsid w:val="009B2357"/>
    <w:rsid w:val="009B2401"/>
    <w:rsid w:val="009B2461"/>
    <w:rsid w:val="009B24A1"/>
    <w:rsid w:val="009B2627"/>
    <w:rsid w:val="009B27EE"/>
    <w:rsid w:val="009B2840"/>
    <w:rsid w:val="009B28E9"/>
    <w:rsid w:val="009B28F1"/>
    <w:rsid w:val="009B2A06"/>
    <w:rsid w:val="009B2C8A"/>
    <w:rsid w:val="009B2D74"/>
    <w:rsid w:val="009B2EB9"/>
    <w:rsid w:val="009B2EE7"/>
    <w:rsid w:val="009B2F31"/>
    <w:rsid w:val="009B323A"/>
    <w:rsid w:val="009B32AE"/>
    <w:rsid w:val="009B3377"/>
    <w:rsid w:val="009B33D9"/>
    <w:rsid w:val="009B358E"/>
    <w:rsid w:val="009B35FA"/>
    <w:rsid w:val="009B36D3"/>
    <w:rsid w:val="009B3802"/>
    <w:rsid w:val="009B38A3"/>
    <w:rsid w:val="009B395F"/>
    <w:rsid w:val="009B3CAF"/>
    <w:rsid w:val="009B3D4A"/>
    <w:rsid w:val="009B3F76"/>
    <w:rsid w:val="009B4012"/>
    <w:rsid w:val="009B421D"/>
    <w:rsid w:val="009B426D"/>
    <w:rsid w:val="009B431F"/>
    <w:rsid w:val="009B4329"/>
    <w:rsid w:val="009B44F5"/>
    <w:rsid w:val="009B47B9"/>
    <w:rsid w:val="009B4804"/>
    <w:rsid w:val="009B4823"/>
    <w:rsid w:val="009B499C"/>
    <w:rsid w:val="009B4BB2"/>
    <w:rsid w:val="009B4C09"/>
    <w:rsid w:val="009B4C5B"/>
    <w:rsid w:val="009B4C9C"/>
    <w:rsid w:val="009B4DDC"/>
    <w:rsid w:val="009B4E9E"/>
    <w:rsid w:val="009B518A"/>
    <w:rsid w:val="009B51D4"/>
    <w:rsid w:val="009B521F"/>
    <w:rsid w:val="009B526B"/>
    <w:rsid w:val="009B52FD"/>
    <w:rsid w:val="009B532D"/>
    <w:rsid w:val="009B5492"/>
    <w:rsid w:val="009B55C8"/>
    <w:rsid w:val="009B55F8"/>
    <w:rsid w:val="009B58E6"/>
    <w:rsid w:val="009B5D46"/>
    <w:rsid w:val="009B5DB1"/>
    <w:rsid w:val="009B6031"/>
    <w:rsid w:val="009B62DA"/>
    <w:rsid w:val="009B633E"/>
    <w:rsid w:val="009B6392"/>
    <w:rsid w:val="009B63B7"/>
    <w:rsid w:val="009B64BA"/>
    <w:rsid w:val="009B65EB"/>
    <w:rsid w:val="009B69BB"/>
    <w:rsid w:val="009B69BD"/>
    <w:rsid w:val="009B69C9"/>
    <w:rsid w:val="009B69E8"/>
    <w:rsid w:val="009B6AD8"/>
    <w:rsid w:val="009B6C8A"/>
    <w:rsid w:val="009B6D31"/>
    <w:rsid w:val="009B6D47"/>
    <w:rsid w:val="009B6E0E"/>
    <w:rsid w:val="009B6EDC"/>
    <w:rsid w:val="009B71EA"/>
    <w:rsid w:val="009B720A"/>
    <w:rsid w:val="009B726A"/>
    <w:rsid w:val="009B72E5"/>
    <w:rsid w:val="009B7366"/>
    <w:rsid w:val="009B73BF"/>
    <w:rsid w:val="009B7431"/>
    <w:rsid w:val="009B749B"/>
    <w:rsid w:val="009B74E6"/>
    <w:rsid w:val="009B759F"/>
    <w:rsid w:val="009B7611"/>
    <w:rsid w:val="009B7752"/>
    <w:rsid w:val="009B7908"/>
    <w:rsid w:val="009B7955"/>
    <w:rsid w:val="009B79D5"/>
    <w:rsid w:val="009B7B67"/>
    <w:rsid w:val="009B7C06"/>
    <w:rsid w:val="009B7C60"/>
    <w:rsid w:val="009B7D18"/>
    <w:rsid w:val="009B7DD0"/>
    <w:rsid w:val="009B7F2D"/>
    <w:rsid w:val="009B7FB7"/>
    <w:rsid w:val="009C006B"/>
    <w:rsid w:val="009C0101"/>
    <w:rsid w:val="009C023F"/>
    <w:rsid w:val="009C040A"/>
    <w:rsid w:val="009C0801"/>
    <w:rsid w:val="009C0844"/>
    <w:rsid w:val="009C0A9B"/>
    <w:rsid w:val="009C0EA3"/>
    <w:rsid w:val="009C0EAA"/>
    <w:rsid w:val="009C0FA8"/>
    <w:rsid w:val="009C1016"/>
    <w:rsid w:val="009C1034"/>
    <w:rsid w:val="009C10C9"/>
    <w:rsid w:val="009C1134"/>
    <w:rsid w:val="009C11AA"/>
    <w:rsid w:val="009C144F"/>
    <w:rsid w:val="009C1543"/>
    <w:rsid w:val="009C17A6"/>
    <w:rsid w:val="009C17B6"/>
    <w:rsid w:val="009C189D"/>
    <w:rsid w:val="009C195D"/>
    <w:rsid w:val="009C198E"/>
    <w:rsid w:val="009C19CA"/>
    <w:rsid w:val="009C19F1"/>
    <w:rsid w:val="009C1A97"/>
    <w:rsid w:val="009C1ACB"/>
    <w:rsid w:val="009C1B2F"/>
    <w:rsid w:val="009C1BFD"/>
    <w:rsid w:val="009C1CD3"/>
    <w:rsid w:val="009C1DF6"/>
    <w:rsid w:val="009C1E5D"/>
    <w:rsid w:val="009C2014"/>
    <w:rsid w:val="009C218B"/>
    <w:rsid w:val="009C21A2"/>
    <w:rsid w:val="009C21F8"/>
    <w:rsid w:val="009C233D"/>
    <w:rsid w:val="009C2520"/>
    <w:rsid w:val="009C270F"/>
    <w:rsid w:val="009C272F"/>
    <w:rsid w:val="009C278A"/>
    <w:rsid w:val="009C27AA"/>
    <w:rsid w:val="009C27AB"/>
    <w:rsid w:val="009C2844"/>
    <w:rsid w:val="009C284D"/>
    <w:rsid w:val="009C285F"/>
    <w:rsid w:val="009C297F"/>
    <w:rsid w:val="009C2B2A"/>
    <w:rsid w:val="009C2B3C"/>
    <w:rsid w:val="009C2C39"/>
    <w:rsid w:val="009C2CF7"/>
    <w:rsid w:val="009C2D1B"/>
    <w:rsid w:val="009C2E0A"/>
    <w:rsid w:val="009C2E37"/>
    <w:rsid w:val="009C2F7C"/>
    <w:rsid w:val="009C30D6"/>
    <w:rsid w:val="009C313F"/>
    <w:rsid w:val="009C3245"/>
    <w:rsid w:val="009C32F0"/>
    <w:rsid w:val="009C337C"/>
    <w:rsid w:val="009C350C"/>
    <w:rsid w:val="009C36D7"/>
    <w:rsid w:val="009C373B"/>
    <w:rsid w:val="009C37C7"/>
    <w:rsid w:val="009C3873"/>
    <w:rsid w:val="009C3889"/>
    <w:rsid w:val="009C3989"/>
    <w:rsid w:val="009C39D2"/>
    <w:rsid w:val="009C39E2"/>
    <w:rsid w:val="009C3A7D"/>
    <w:rsid w:val="009C3AA8"/>
    <w:rsid w:val="009C3B6C"/>
    <w:rsid w:val="009C3C39"/>
    <w:rsid w:val="009C3D05"/>
    <w:rsid w:val="009C3EA6"/>
    <w:rsid w:val="009C3F4C"/>
    <w:rsid w:val="009C40DE"/>
    <w:rsid w:val="009C41D2"/>
    <w:rsid w:val="009C4200"/>
    <w:rsid w:val="009C42E9"/>
    <w:rsid w:val="009C42EB"/>
    <w:rsid w:val="009C43AC"/>
    <w:rsid w:val="009C4437"/>
    <w:rsid w:val="009C4636"/>
    <w:rsid w:val="009C47F9"/>
    <w:rsid w:val="009C48C2"/>
    <w:rsid w:val="009C48E9"/>
    <w:rsid w:val="009C4960"/>
    <w:rsid w:val="009C49FD"/>
    <w:rsid w:val="009C4AD7"/>
    <w:rsid w:val="009C4BA6"/>
    <w:rsid w:val="009C4D28"/>
    <w:rsid w:val="009C4D8A"/>
    <w:rsid w:val="009C4D94"/>
    <w:rsid w:val="009C4F42"/>
    <w:rsid w:val="009C4F73"/>
    <w:rsid w:val="009C4FA8"/>
    <w:rsid w:val="009C500F"/>
    <w:rsid w:val="009C5063"/>
    <w:rsid w:val="009C50CA"/>
    <w:rsid w:val="009C519C"/>
    <w:rsid w:val="009C5228"/>
    <w:rsid w:val="009C5465"/>
    <w:rsid w:val="009C5583"/>
    <w:rsid w:val="009C5665"/>
    <w:rsid w:val="009C56AF"/>
    <w:rsid w:val="009C56CB"/>
    <w:rsid w:val="009C5830"/>
    <w:rsid w:val="009C5919"/>
    <w:rsid w:val="009C593B"/>
    <w:rsid w:val="009C5AA4"/>
    <w:rsid w:val="009C5C10"/>
    <w:rsid w:val="009C5C71"/>
    <w:rsid w:val="009C5CC1"/>
    <w:rsid w:val="009C5D3D"/>
    <w:rsid w:val="009C5D49"/>
    <w:rsid w:val="009C5D5B"/>
    <w:rsid w:val="009C5F2F"/>
    <w:rsid w:val="009C6010"/>
    <w:rsid w:val="009C60F2"/>
    <w:rsid w:val="009C61FC"/>
    <w:rsid w:val="009C62C2"/>
    <w:rsid w:val="009C62D4"/>
    <w:rsid w:val="009C63B1"/>
    <w:rsid w:val="009C641C"/>
    <w:rsid w:val="009C6439"/>
    <w:rsid w:val="009C6479"/>
    <w:rsid w:val="009C647C"/>
    <w:rsid w:val="009C64B1"/>
    <w:rsid w:val="009C64B6"/>
    <w:rsid w:val="009C654B"/>
    <w:rsid w:val="009C65D1"/>
    <w:rsid w:val="009C65F6"/>
    <w:rsid w:val="009C6621"/>
    <w:rsid w:val="009C6664"/>
    <w:rsid w:val="009C6693"/>
    <w:rsid w:val="009C66A2"/>
    <w:rsid w:val="009C67D4"/>
    <w:rsid w:val="009C69CD"/>
    <w:rsid w:val="009C69F8"/>
    <w:rsid w:val="009C69FB"/>
    <w:rsid w:val="009C6A35"/>
    <w:rsid w:val="009C6A91"/>
    <w:rsid w:val="009C6AC1"/>
    <w:rsid w:val="009C6C70"/>
    <w:rsid w:val="009C6FCF"/>
    <w:rsid w:val="009C7004"/>
    <w:rsid w:val="009C7180"/>
    <w:rsid w:val="009C71BB"/>
    <w:rsid w:val="009C71C9"/>
    <w:rsid w:val="009C71D2"/>
    <w:rsid w:val="009C723B"/>
    <w:rsid w:val="009C724C"/>
    <w:rsid w:val="009C7492"/>
    <w:rsid w:val="009C75F6"/>
    <w:rsid w:val="009C7779"/>
    <w:rsid w:val="009C77AB"/>
    <w:rsid w:val="009C77D2"/>
    <w:rsid w:val="009C7810"/>
    <w:rsid w:val="009C7876"/>
    <w:rsid w:val="009C78A5"/>
    <w:rsid w:val="009C7936"/>
    <w:rsid w:val="009C79A6"/>
    <w:rsid w:val="009C7BC4"/>
    <w:rsid w:val="009C7D38"/>
    <w:rsid w:val="009C7E76"/>
    <w:rsid w:val="009C7F5D"/>
    <w:rsid w:val="009C7F78"/>
    <w:rsid w:val="009D00BC"/>
    <w:rsid w:val="009D00BD"/>
    <w:rsid w:val="009D00F2"/>
    <w:rsid w:val="009D0228"/>
    <w:rsid w:val="009D0255"/>
    <w:rsid w:val="009D032A"/>
    <w:rsid w:val="009D03AA"/>
    <w:rsid w:val="009D05D5"/>
    <w:rsid w:val="009D06F6"/>
    <w:rsid w:val="009D0B06"/>
    <w:rsid w:val="009D0D3B"/>
    <w:rsid w:val="009D0DA1"/>
    <w:rsid w:val="009D0EF0"/>
    <w:rsid w:val="009D0F58"/>
    <w:rsid w:val="009D1021"/>
    <w:rsid w:val="009D107E"/>
    <w:rsid w:val="009D1317"/>
    <w:rsid w:val="009D132B"/>
    <w:rsid w:val="009D1464"/>
    <w:rsid w:val="009D1572"/>
    <w:rsid w:val="009D15FC"/>
    <w:rsid w:val="009D1667"/>
    <w:rsid w:val="009D169B"/>
    <w:rsid w:val="009D170B"/>
    <w:rsid w:val="009D17B5"/>
    <w:rsid w:val="009D17EF"/>
    <w:rsid w:val="009D17FA"/>
    <w:rsid w:val="009D1859"/>
    <w:rsid w:val="009D1CA8"/>
    <w:rsid w:val="009D1DD5"/>
    <w:rsid w:val="009D1E5A"/>
    <w:rsid w:val="009D1F49"/>
    <w:rsid w:val="009D2055"/>
    <w:rsid w:val="009D20C6"/>
    <w:rsid w:val="009D20DE"/>
    <w:rsid w:val="009D2130"/>
    <w:rsid w:val="009D2211"/>
    <w:rsid w:val="009D2259"/>
    <w:rsid w:val="009D22DF"/>
    <w:rsid w:val="009D2307"/>
    <w:rsid w:val="009D2309"/>
    <w:rsid w:val="009D230C"/>
    <w:rsid w:val="009D23AD"/>
    <w:rsid w:val="009D24AD"/>
    <w:rsid w:val="009D24BB"/>
    <w:rsid w:val="009D2519"/>
    <w:rsid w:val="009D2590"/>
    <w:rsid w:val="009D25E3"/>
    <w:rsid w:val="009D264D"/>
    <w:rsid w:val="009D26CD"/>
    <w:rsid w:val="009D2722"/>
    <w:rsid w:val="009D27A4"/>
    <w:rsid w:val="009D2829"/>
    <w:rsid w:val="009D28DC"/>
    <w:rsid w:val="009D2974"/>
    <w:rsid w:val="009D2A6A"/>
    <w:rsid w:val="009D2B84"/>
    <w:rsid w:val="009D2D64"/>
    <w:rsid w:val="009D2F23"/>
    <w:rsid w:val="009D2F8D"/>
    <w:rsid w:val="009D314D"/>
    <w:rsid w:val="009D314F"/>
    <w:rsid w:val="009D3284"/>
    <w:rsid w:val="009D33D3"/>
    <w:rsid w:val="009D3422"/>
    <w:rsid w:val="009D343E"/>
    <w:rsid w:val="009D360A"/>
    <w:rsid w:val="009D366F"/>
    <w:rsid w:val="009D36B5"/>
    <w:rsid w:val="009D36F2"/>
    <w:rsid w:val="009D3811"/>
    <w:rsid w:val="009D38ED"/>
    <w:rsid w:val="009D393B"/>
    <w:rsid w:val="009D3AFB"/>
    <w:rsid w:val="009D3CB9"/>
    <w:rsid w:val="009D3D91"/>
    <w:rsid w:val="009D3DE2"/>
    <w:rsid w:val="009D3E3B"/>
    <w:rsid w:val="009D3E52"/>
    <w:rsid w:val="009D3ED6"/>
    <w:rsid w:val="009D3EE3"/>
    <w:rsid w:val="009D3F64"/>
    <w:rsid w:val="009D3F8D"/>
    <w:rsid w:val="009D3FED"/>
    <w:rsid w:val="009D4083"/>
    <w:rsid w:val="009D4129"/>
    <w:rsid w:val="009D4150"/>
    <w:rsid w:val="009D4168"/>
    <w:rsid w:val="009D422E"/>
    <w:rsid w:val="009D424A"/>
    <w:rsid w:val="009D4253"/>
    <w:rsid w:val="009D446A"/>
    <w:rsid w:val="009D451B"/>
    <w:rsid w:val="009D4522"/>
    <w:rsid w:val="009D4640"/>
    <w:rsid w:val="009D46E1"/>
    <w:rsid w:val="009D4938"/>
    <w:rsid w:val="009D49CC"/>
    <w:rsid w:val="009D49EB"/>
    <w:rsid w:val="009D4AC4"/>
    <w:rsid w:val="009D4CD6"/>
    <w:rsid w:val="009D4F07"/>
    <w:rsid w:val="009D4FA9"/>
    <w:rsid w:val="009D5E6B"/>
    <w:rsid w:val="009D5F25"/>
    <w:rsid w:val="009D603F"/>
    <w:rsid w:val="009D6086"/>
    <w:rsid w:val="009D61B4"/>
    <w:rsid w:val="009D61BC"/>
    <w:rsid w:val="009D61F5"/>
    <w:rsid w:val="009D6362"/>
    <w:rsid w:val="009D6499"/>
    <w:rsid w:val="009D6592"/>
    <w:rsid w:val="009D6923"/>
    <w:rsid w:val="009D6A0B"/>
    <w:rsid w:val="009D6B32"/>
    <w:rsid w:val="009D6BFC"/>
    <w:rsid w:val="009D6C34"/>
    <w:rsid w:val="009D6CC7"/>
    <w:rsid w:val="009D6D47"/>
    <w:rsid w:val="009D6DD2"/>
    <w:rsid w:val="009D6FEB"/>
    <w:rsid w:val="009D70F8"/>
    <w:rsid w:val="009D7168"/>
    <w:rsid w:val="009D727D"/>
    <w:rsid w:val="009D73B5"/>
    <w:rsid w:val="009D73E5"/>
    <w:rsid w:val="009D7431"/>
    <w:rsid w:val="009D7445"/>
    <w:rsid w:val="009D754F"/>
    <w:rsid w:val="009D7672"/>
    <w:rsid w:val="009D768B"/>
    <w:rsid w:val="009D76B3"/>
    <w:rsid w:val="009D76D5"/>
    <w:rsid w:val="009D77FD"/>
    <w:rsid w:val="009D79DB"/>
    <w:rsid w:val="009D7A2B"/>
    <w:rsid w:val="009D7A45"/>
    <w:rsid w:val="009D7B3C"/>
    <w:rsid w:val="009D7BE4"/>
    <w:rsid w:val="009D7CA0"/>
    <w:rsid w:val="009D7DAE"/>
    <w:rsid w:val="009D7EFF"/>
    <w:rsid w:val="009D7F47"/>
    <w:rsid w:val="009E008C"/>
    <w:rsid w:val="009E0154"/>
    <w:rsid w:val="009E01EE"/>
    <w:rsid w:val="009E023C"/>
    <w:rsid w:val="009E0255"/>
    <w:rsid w:val="009E02A0"/>
    <w:rsid w:val="009E037F"/>
    <w:rsid w:val="009E0394"/>
    <w:rsid w:val="009E0403"/>
    <w:rsid w:val="009E04AD"/>
    <w:rsid w:val="009E0557"/>
    <w:rsid w:val="009E06E7"/>
    <w:rsid w:val="009E08B2"/>
    <w:rsid w:val="009E08C7"/>
    <w:rsid w:val="009E09C2"/>
    <w:rsid w:val="009E0A66"/>
    <w:rsid w:val="009E0CF1"/>
    <w:rsid w:val="009E0EB2"/>
    <w:rsid w:val="009E112F"/>
    <w:rsid w:val="009E11DB"/>
    <w:rsid w:val="009E123D"/>
    <w:rsid w:val="009E125C"/>
    <w:rsid w:val="009E13F8"/>
    <w:rsid w:val="009E1570"/>
    <w:rsid w:val="009E15EA"/>
    <w:rsid w:val="009E170D"/>
    <w:rsid w:val="009E1786"/>
    <w:rsid w:val="009E17C2"/>
    <w:rsid w:val="009E1835"/>
    <w:rsid w:val="009E1839"/>
    <w:rsid w:val="009E1858"/>
    <w:rsid w:val="009E1921"/>
    <w:rsid w:val="009E194F"/>
    <w:rsid w:val="009E199C"/>
    <w:rsid w:val="009E19BD"/>
    <w:rsid w:val="009E19F2"/>
    <w:rsid w:val="009E1A16"/>
    <w:rsid w:val="009E1A22"/>
    <w:rsid w:val="009E1A86"/>
    <w:rsid w:val="009E1D43"/>
    <w:rsid w:val="009E2027"/>
    <w:rsid w:val="009E206D"/>
    <w:rsid w:val="009E2086"/>
    <w:rsid w:val="009E20AB"/>
    <w:rsid w:val="009E20C0"/>
    <w:rsid w:val="009E20CE"/>
    <w:rsid w:val="009E216F"/>
    <w:rsid w:val="009E2208"/>
    <w:rsid w:val="009E22BC"/>
    <w:rsid w:val="009E22FF"/>
    <w:rsid w:val="009E2339"/>
    <w:rsid w:val="009E235D"/>
    <w:rsid w:val="009E239E"/>
    <w:rsid w:val="009E240F"/>
    <w:rsid w:val="009E24F0"/>
    <w:rsid w:val="009E24F4"/>
    <w:rsid w:val="009E2503"/>
    <w:rsid w:val="009E2627"/>
    <w:rsid w:val="009E2867"/>
    <w:rsid w:val="009E28DF"/>
    <w:rsid w:val="009E2A88"/>
    <w:rsid w:val="009E2B6D"/>
    <w:rsid w:val="009E2C5A"/>
    <w:rsid w:val="009E2F8D"/>
    <w:rsid w:val="009E2FC2"/>
    <w:rsid w:val="009E3089"/>
    <w:rsid w:val="009E30E6"/>
    <w:rsid w:val="009E3122"/>
    <w:rsid w:val="009E317C"/>
    <w:rsid w:val="009E31FB"/>
    <w:rsid w:val="009E32A9"/>
    <w:rsid w:val="009E32ED"/>
    <w:rsid w:val="009E334F"/>
    <w:rsid w:val="009E3373"/>
    <w:rsid w:val="009E356C"/>
    <w:rsid w:val="009E3718"/>
    <w:rsid w:val="009E3729"/>
    <w:rsid w:val="009E3750"/>
    <w:rsid w:val="009E386A"/>
    <w:rsid w:val="009E3948"/>
    <w:rsid w:val="009E39C8"/>
    <w:rsid w:val="009E3A7E"/>
    <w:rsid w:val="009E3B22"/>
    <w:rsid w:val="009E3B46"/>
    <w:rsid w:val="009E3BD3"/>
    <w:rsid w:val="009E3BD6"/>
    <w:rsid w:val="009E3C0C"/>
    <w:rsid w:val="009E3CBE"/>
    <w:rsid w:val="009E3FBF"/>
    <w:rsid w:val="009E3FFD"/>
    <w:rsid w:val="009E407B"/>
    <w:rsid w:val="009E40CC"/>
    <w:rsid w:val="009E4152"/>
    <w:rsid w:val="009E41D9"/>
    <w:rsid w:val="009E41E4"/>
    <w:rsid w:val="009E42C9"/>
    <w:rsid w:val="009E4582"/>
    <w:rsid w:val="009E45EF"/>
    <w:rsid w:val="009E4645"/>
    <w:rsid w:val="009E46EA"/>
    <w:rsid w:val="009E47B2"/>
    <w:rsid w:val="009E4805"/>
    <w:rsid w:val="009E4B15"/>
    <w:rsid w:val="009E4B85"/>
    <w:rsid w:val="009E4CAA"/>
    <w:rsid w:val="009E4E39"/>
    <w:rsid w:val="009E4F10"/>
    <w:rsid w:val="009E4F95"/>
    <w:rsid w:val="009E4FB8"/>
    <w:rsid w:val="009E52D5"/>
    <w:rsid w:val="009E53AE"/>
    <w:rsid w:val="009E54C3"/>
    <w:rsid w:val="009E54C4"/>
    <w:rsid w:val="009E5550"/>
    <w:rsid w:val="009E5558"/>
    <w:rsid w:val="009E55FD"/>
    <w:rsid w:val="009E5762"/>
    <w:rsid w:val="009E58BA"/>
    <w:rsid w:val="009E58C7"/>
    <w:rsid w:val="009E5AA4"/>
    <w:rsid w:val="009E5AC3"/>
    <w:rsid w:val="009E5C05"/>
    <w:rsid w:val="009E5C0A"/>
    <w:rsid w:val="009E5D36"/>
    <w:rsid w:val="009E5E28"/>
    <w:rsid w:val="009E5EA9"/>
    <w:rsid w:val="009E5ED1"/>
    <w:rsid w:val="009E5EDE"/>
    <w:rsid w:val="009E5F6D"/>
    <w:rsid w:val="009E6174"/>
    <w:rsid w:val="009E61EE"/>
    <w:rsid w:val="009E6381"/>
    <w:rsid w:val="009E66EF"/>
    <w:rsid w:val="009E6761"/>
    <w:rsid w:val="009E67AB"/>
    <w:rsid w:val="009E67B3"/>
    <w:rsid w:val="009E6808"/>
    <w:rsid w:val="009E68B5"/>
    <w:rsid w:val="009E68C8"/>
    <w:rsid w:val="009E690D"/>
    <w:rsid w:val="009E6D12"/>
    <w:rsid w:val="009E6F04"/>
    <w:rsid w:val="009E702E"/>
    <w:rsid w:val="009E70F6"/>
    <w:rsid w:val="009E7134"/>
    <w:rsid w:val="009E7509"/>
    <w:rsid w:val="009E77D4"/>
    <w:rsid w:val="009E7894"/>
    <w:rsid w:val="009E791E"/>
    <w:rsid w:val="009E7B1B"/>
    <w:rsid w:val="009E7C0B"/>
    <w:rsid w:val="009E7E4D"/>
    <w:rsid w:val="009E7F14"/>
    <w:rsid w:val="009F0161"/>
    <w:rsid w:val="009F022B"/>
    <w:rsid w:val="009F031F"/>
    <w:rsid w:val="009F038D"/>
    <w:rsid w:val="009F0393"/>
    <w:rsid w:val="009F03A5"/>
    <w:rsid w:val="009F0437"/>
    <w:rsid w:val="009F05A2"/>
    <w:rsid w:val="009F069F"/>
    <w:rsid w:val="009F071B"/>
    <w:rsid w:val="009F0808"/>
    <w:rsid w:val="009F08AD"/>
    <w:rsid w:val="009F08C8"/>
    <w:rsid w:val="009F09AA"/>
    <w:rsid w:val="009F0A8D"/>
    <w:rsid w:val="009F0B93"/>
    <w:rsid w:val="009F0CB2"/>
    <w:rsid w:val="009F0D69"/>
    <w:rsid w:val="009F0D87"/>
    <w:rsid w:val="009F0F26"/>
    <w:rsid w:val="009F0F8A"/>
    <w:rsid w:val="009F1045"/>
    <w:rsid w:val="009F11B7"/>
    <w:rsid w:val="009F1242"/>
    <w:rsid w:val="009F12CE"/>
    <w:rsid w:val="009F1332"/>
    <w:rsid w:val="009F13A5"/>
    <w:rsid w:val="009F145D"/>
    <w:rsid w:val="009F150B"/>
    <w:rsid w:val="009F155A"/>
    <w:rsid w:val="009F1594"/>
    <w:rsid w:val="009F1627"/>
    <w:rsid w:val="009F16FF"/>
    <w:rsid w:val="009F1763"/>
    <w:rsid w:val="009F1817"/>
    <w:rsid w:val="009F1CD9"/>
    <w:rsid w:val="009F1DC4"/>
    <w:rsid w:val="009F1FDF"/>
    <w:rsid w:val="009F2002"/>
    <w:rsid w:val="009F208B"/>
    <w:rsid w:val="009F212F"/>
    <w:rsid w:val="009F2155"/>
    <w:rsid w:val="009F2167"/>
    <w:rsid w:val="009F2192"/>
    <w:rsid w:val="009F21DA"/>
    <w:rsid w:val="009F2209"/>
    <w:rsid w:val="009F22BE"/>
    <w:rsid w:val="009F2361"/>
    <w:rsid w:val="009F23D0"/>
    <w:rsid w:val="009F23FB"/>
    <w:rsid w:val="009F25C2"/>
    <w:rsid w:val="009F26BB"/>
    <w:rsid w:val="009F26FE"/>
    <w:rsid w:val="009F2726"/>
    <w:rsid w:val="009F273A"/>
    <w:rsid w:val="009F29EF"/>
    <w:rsid w:val="009F2A78"/>
    <w:rsid w:val="009F2B0E"/>
    <w:rsid w:val="009F2B2F"/>
    <w:rsid w:val="009F2BB0"/>
    <w:rsid w:val="009F2BBD"/>
    <w:rsid w:val="009F2C56"/>
    <w:rsid w:val="009F2D0B"/>
    <w:rsid w:val="009F2D1E"/>
    <w:rsid w:val="009F2FAA"/>
    <w:rsid w:val="009F2FD1"/>
    <w:rsid w:val="009F3010"/>
    <w:rsid w:val="009F32C5"/>
    <w:rsid w:val="009F3309"/>
    <w:rsid w:val="009F3375"/>
    <w:rsid w:val="009F33D8"/>
    <w:rsid w:val="009F3451"/>
    <w:rsid w:val="009F34BF"/>
    <w:rsid w:val="009F350E"/>
    <w:rsid w:val="009F3593"/>
    <w:rsid w:val="009F35BD"/>
    <w:rsid w:val="009F3678"/>
    <w:rsid w:val="009F3686"/>
    <w:rsid w:val="009F3847"/>
    <w:rsid w:val="009F3A25"/>
    <w:rsid w:val="009F3C11"/>
    <w:rsid w:val="009F3D1F"/>
    <w:rsid w:val="009F3E2E"/>
    <w:rsid w:val="009F3E88"/>
    <w:rsid w:val="009F3EA4"/>
    <w:rsid w:val="009F3EB3"/>
    <w:rsid w:val="009F3FB9"/>
    <w:rsid w:val="009F4010"/>
    <w:rsid w:val="009F4052"/>
    <w:rsid w:val="009F40D1"/>
    <w:rsid w:val="009F4266"/>
    <w:rsid w:val="009F4268"/>
    <w:rsid w:val="009F44D3"/>
    <w:rsid w:val="009F4556"/>
    <w:rsid w:val="009F4973"/>
    <w:rsid w:val="009F49ED"/>
    <w:rsid w:val="009F4A50"/>
    <w:rsid w:val="009F4B4A"/>
    <w:rsid w:val="009F4B61"/>
    <w:rsid w:val="009F4BFB"/>
    <w:rsid w:val="009F4BFC"/>
    <w:rsid w:val="009F4D6B"/>
    <w:rsid w:val="009F4DA6"/>
    <w:rsid w:val="009F4E68"/>
    <w:rsid w:val="009F4F57"/>
    <w:rsid w:val="009F4F62"/>
    <w:rsid w:val="009F4FCB"/>
    <w:rsid w:val="009F504D"/>
    <w:rsid w:val="009F5108"/>
    <w:rsid w:val="009F5174"/>
    <w:rsid w:val="009F5212"/>
    <w:rsid w:val="009F5268"/>
    <w:rsid w:val="009F5330"/>
    <w:rsid w:val="009F5383"/>
    <w:rsid w:val="009F5532"/>
    <w:rsid w:val="009F555E"/>
    <w:rsid w:val="009F55C0"/>
    <w:rsid w:val="009F57FC"/>
    <w:rsid w:val="009F58E7"/>
    <w:rsid w:val="009F59EC"/>
    <w:rsid w:val="009F5A62"/>
    <w:rsid w:val="009F5ABD"/>
    <w:rsid w:val="009F5B84"/>
    <w:rsid w:val="009F5C07"/>
    <w:rsid w:val="009F5C39"/>
    <w:rsid w:val="009F5C8D"/>
    <w:rsid w:val="009F5CDE"/>
    <w:rsid w:val="009F5E37"/>
    <w:rsid w:val="009F5F5F"/>
    <w:rsid w:val="009F6008"/>
    <w:rsid w:val="009F60D3"/>
    <w:rsid w:val="009F61C4"/>
    <w:rsid w:val="009F61E3"/>
    <w:rsid w:val="009F633F"/>
    <w:rsid w:val="009F63FC"/>
    <w:rsid w:val="009F644B"/>
    <w:rsid w:val="009F6512"/>
    <w:rsid w:val="009F6518"/>
    <w:rsid w:val="009F655D"/>
    <w:rsid w:val="009F662F"/>
    <w:rsid w:val="009F66E9"/>
    <w:rsid w:val="009F6754"/>
    <w:rsid w:val="009F6757"/>
    <w:rsid w:val="009F69A3"/>
    <w:rsid w:val="009F6A8D"/>
    <w:rsid w:val="009F6BA1"/>
    <w:rsid w:val="009F6BFF"/>
    <w:rsid w:val="009F6DF5"/>
    <w:rsid w:val="009F6E4E"/>
    <w:rsid w:val="009F6E85"/>
    <w:rsid w:val="009F70A7"/>
    <w:rsid w:val="009F71D8"/>
    <w:rsid w:val="009F7233"/>
    <w:rsid w:val="009F7290"/>
    <w:rsid w:val="009F72AF"/>
    <w:rsid w:val="009F7386"/>
    <w:rsid w:val="009F73D8"/>
    <w:rsid w:val="009F746F"/>
    <w:rsid w:val="009F74FB"/>
    <w:rsid w:val="009F752B"/>
    <w:rsid w:val="009F7574"/>
    <w:rsid w:val="009F75EA"/>
    <w:rsid w:val="009F7608"/>
    <w:rsid w:val="009F7852"/>
    <w:rsid w:val="009F7985"/>
    <w:rsid w:val="009F798D"/>
    <w:rsid w:val="009F7A20"/>
    <w:rsid w:val="009F7AD6"/>
    <w:rsid w:val="009F7AF9"/>
    <w:rsid w:val="009F7C69"/>
    <w:rsid w:val="009F7CB7"/>
    <w:rsid w:val="009F7D51"/>
    <w:rsid w:val="009F7D76"/>
    <w:rsid w:val="009F7D87"/>
    <w:rsid w:val="009F7F12"/>
    <w:rsid w:val="009F7FC3"/>
    <w:rsid w:val="009F7FD3"/>
    <w:rsid w:val="00A00028"/>
    <w:rsid w:val="00A00267"/>
    <w:rsid w:val="00A0035E"/>
    <w:rsid w:val="00A0036A"/>
    <w:rsid w:val="00A00529"/>
    <w:rsid w:val="00A00544"/>
    <w:rsid w:val="00A005F5"/>
    <w:rsid w:val="00A00610"/>
    <w:rsid w:val="00A00646"/>
    <w:rsid w:val="00A0067F"/>
    <w:rsid w:val="00A00734"/>
    <w:rsid w:val="00A00753"/>
    <w:rsid w:val="00A0076C"/>
    <w:rsid w:val="00A0077B"/>
    <w:rsid w:val="00A007E5"/>
    <w:rsid w:val="00A008C4"/>
    <w:rsid w:val="00A00943"/>
    <w:rsid w:val="00A00A7A"/>
    <w:rsid w:val="00A00BB0"/>
    <w:rsid w:val="00A00C6C"/>
    <w:rsid w:val="00A00C96"/>
    <w:rsid w:val="00A00CDF"/>
    <w:rsid w:val="00A00D2C"/>
    <w:rsid w:val="00A00DCA"/>
    <w:rsid w:val="00A010EC"/>
    <w:rsid w:val="00A01266"/>
    <w:rsid w:val="00A012B8"/>
    <w:rsid w:val="00A0132B"/>
    <w:rsid w:val="00A01384"/>
    <w:rsid w:val="00A013F1"/>
    <w:rsid w:val="00A01431"/>
    <w:rsid w:val="00A014A2"/>
    <w:rsid w:val="00A014EC"/>
    <w:rsid w:val="00A0157A"/>
    <w:rsid w:val="00A0159E"/>
    <w:rsid w:val="00A01819"/>
    <w:rsid w:val="00A018AC"/>
    <w:rsid w:val="00A018C4"/>
    <w:rsid w:val="00A018C8"/>
    <w:rsid w:val="00A01B7D"/>
    <w:rsid w:val="00A01CA7"/>
    <w:rsid w:val="00A01D09"/>
    <w:rsid w:val="00A01D11"/>
    <w:rsid w:val="00A01F32"/>
    <w:rsid w:val="00A01F8B"/>
    <w:rsid w:val="00A02017"/>
    <w:rsid w:val="00A02109"/>
    <w:rsid w:val="00A022ED"/>
    <w:rsid w:val="00A02338"/>
    <w:rsid w:val="00A023B5"/>
    <w:rsid w:val="00A0240F"/>
    <w:rsid w:val="00A02425"/>
    <w:rsid w:val="00A024DD"/>
    <w:rsid w:val="00A02B42"/>
    <w:rsid w:val="00A02C22"/>
    <w:rsid w:val="00A02D7E"/>
    <w:rsid w:val="00A02E37"/>
    <w:rsid w:val="00A02F7B"/>
    <w:rsid w:val="00A03061"/>
    <w:rsid w:val="00A03081"/>
    <w:rsid w:val="00A030CC"/>
    <w:rsid w:val="00A031BA"/>
    <w:rsid w:val="00A03201"/>
    <w:rsid w:val="00A03263"/>
    <w:rsid w:val="00A03326"/>
    <w:rsid w:val="00A0347A"/>
    <w:rsid w:val="00A0367D"/>
    <w:rsid w:val="00A036C5"/>
    <w:rsid w:val="00A03721"/>
    <w:rsid w:val="00A03751"/>
    <w:rsid w:val="00A037C1"/>
    <w:rsid w:val="00A038D8"/>
    <w:rsid w:val="00A039AF"/>
    <w:rsid w:val="00A03ABE"/>
    <w:rsid w:val="00A03AEB"/>
    <w:rsid w:val="00A03B0E"/>
    <w:rsid w:val="00A03B20"/>
    <w:rsid w:val="00A03B2A"/>
    <w:rsid w:val="00A03B8C"/>
    <w:rsid w:val="00A03BDB"/>
    <w:rsid w:val="00A03C3E"/>
    <w:rsid w:val="00A03C64"/>
    <w:rsid w:val="00A03D75"/>
    <w:rsid w:val="00A03F0A"/>
    <w:rsid w:val="00A03F5F"/>
    <w:rsid w:val="00A03FB3"/>
    <w:rsid w:val="00A04072"/>
    <w:rsid w:val="00A0419B"/>
    <w:rsid w:val="00A04473"/>
    <w:rsid w:val="00A044E2"/>
    <w:rsid w:val="00A045A0"/>
    <w:rsid w:val="00A045F3"/>
    <w:rsid w:val="00A0470D"/>
    <w:rsid w:val="00A04769"/>
    <w:rsid w:val="00A04872"/>
    <w:rsid w:val="00A048DC"/>
    <w:rsid w:val="00A04A80"/>
    <w:rsid w:val="00A04B82"/>
    <w:rsid w:val="00A04B8B"/>
    <w:rsid w:val="00A04D0F"/>
    <w:rsid w:val="00A04D32"/>
    <w:rsid w:val="00A04F14"/>
    <w:rsid w:val="00A04F9B"/>
    <w:rsid w:val="00A04FF4"/>
    <w:rsid w:val="00A0500B"/>
    <w:rsid w:val="00A0520B"/>
    <w:rsid w:val="00A052A6"/>
    <w:rsid w:val="00A052E8"/>
    <w:rsid w:val="00A05310"/>
    <w:rsid w:val="00A05398"/>
    <w:rsid w:val="00A053F6"/>
    <w:rsid w:val="00A05489"/>
    <w:rsid w:val="00A054D0"/>
    <w:rsid w:val="00A054DA"/>
    <w:rsid w:val="00A0591F"/>
    <w:rsid w:val="00A059D0"/>
    <w:rsid w:val="00A05AFE"/>
    <w:rsid w:val="00A05B83"/>
    <w:rsid w:val="00A05BE5"/>
    <w:rsid w:val="00A05C16"/>
    <w:rsid w:val="00A05C95"/>
    <w:rsid w:val="00A05D09"/>
    <w:rsid w:val="00A05E30"/>
    <w:rsid w:val="00A05EBD"/>
    <w:rsid w:val="00A060A4"/>
    <w:rsid w:val="00A06126"/>
    <w:rsid w:val="00A06153"/>
    <w:rsid w:val="00A06186"/>
    <w:rsid w:val="00A06241"/>
    <w:rsid w:val="00A062C2"/>
    <w:rsid w:val="00A0639F"/>
    <w:rsid w:val="00A0642B"/>
    <w:rsid w:val="00A06434"/>
    <w:rsid w:val="00A0657D"/>
    <w:rsid w:val="00A065AD"/>
    <w:rsid w:val="00A065D4"/>
    <w:rsid w:val="00A066CF"/>
    <w:rsid w:val="00A06757"/>
    <w:rsid w:val="00A06799"/>
    <w:rsid w:val="00A067A4"/>
    <w:rsid w:val="00A067AE"/>
    <w:rsid w:val="00A068A2"/>
    <w:rsid w:val="00A06A44"/>
    <w:rsid w:val="00A06A5C"/>
    <w:rsid w:val="00A06BC0"/>
    <w:rsid w:val="00A06C3D"/>
    <w:rsid w:val="00A06C62"/>
    <w:rsid w:val="00A06C8F"/>
    <w:rsid w:val="00A06D64"/>
    <w:rsid w:val="00A0702C"/>
    <w:rsid w:val="00A07060"/>
    <w:rsid w:val="00A07073"/>
    <w:rsid w:val="00A072E4"/>
    <w:rsid w:val="00A07335"/>
    <w:rsid w:val="00A073F4"/>
    <w:rsid w:val="00A0744E"/>
    <w:rsid w:val="00A074DE"/>
    <w:rsid w:val="00A0752E"/>
    <w:rsid w:val="00A076C8"/>
    <w:rsid w:val="00A077ED"/>
    <w:rsid w:val="00A07806"/>
    <w:rsid w:val="00A07831"/>
    <w:rsid w:val="00A078D9"/>
    <w:rsid w:val="00A0793C"/>
    <w:rsid w:val="00A079A5"/>
    <w:rsid w:val="00A07B53"/>
    <w:rsid w:val="00A07CC8"/>
    <w:rsid w:val="00A07D41"/>
    <w:rsid w:val="00A07D97"/>
    <w:rsid w:val="00A10055"/>
    <w:rsid w:val="00A101A3"/>
    <w:rsid w:val="00A1024C"/>
    <w:rsid w:val="00A102B7"/>
    <w:rsid w:val="00A10367"/>
    <w:rsid w:val="00A10389"/>
    <w:rsid w:val="00A10397"/>
    <w:rsid w:val="00A10535"/>
    <w:rsid w:val="00A10683"/>
    <w:rsid w:val="00A107FF"/>
    <w:rsid w:val="00A10832"/>
    <w:rsid w:val="00A10947"/>
    <w:rsid w:val="00A109CA"/>
    <w:rsid w:val="00A10AB1"/>
    <w:rsid w:val="00A10B08"/>
    <w:rsid w:val="00A10B9A"/>
    <w:rsid w:val="00A10DB9"/>
    <w:rsid w:val="00A10F34"/>
    <w:rsid w:val="00A110EF"/>
    <w:rsid w:val="00A110F4"/>
    <w:rsid w:val="00A113A4"/>
    <w:rsid w:val="00A113D1"/>
    <w:rsid w:val="00A11517"/>
    <w:rsid w:val="00A11583"/>
    <w:rsid w:val="00A115A7"/>
    <w:rsid w:val="00A1162F"/>
    <w:rsid w:val="00A116B6"/>
    <w:rsid w:val="00A117EA"/>
    <w:rsid w:val="00A11957"/>
    <w:rsid w:val="00A119A5"/>
    <w:rsid w:val="00A11A43"/>
    <w:rsid w:val="00A11A87"/>
    <w:rsid w:val="00A11AEA"/>
    <w:rsid w:val="00A11C25"/>
    <w:rsid w:val="00A11CB1"/>
    <w:rsid w:val="00A11CE8"/>
    <w:rsid w:val="00A11DF1"/>
    <w:rsid w:val="00A11E4E"/>
    <w:rsid w:val="00A11EE0"/>
    <w:rsid w:val="00A11F95"/>
    <w:rsid w:val="00A120B4"/>
    <w:rsid w:val="00A12145"/>
    <w:rsid w:val="00A1217B"/>
    <w:rsid w:val="00A1237D"/>
    <w:rsid w:val="00A1249B"/>
    <w:rsid w:val="00A124AE"/>
    <w:rsid w:val="00A124E5"/>
    <w:rsid w:val="00A128B1"/>
    <w:rsid w:val="00A128D1"/>
    <w:rsid w:val="00A1290C"/>
    <w:rsid w:val="00A12911"/>
    <w:rsid w:val="00A12959"/>
    <w:rsid w:val="00A129C2"/>
    <w:rsid w:val="00A12A27"/>
    <w:rsid w:val="00A12A5F"/>
    <w:rsid w:val="00A12A6A"/>
    <w:rsid w:val="00A12A70"/>
    <w:rsid w:val="00A12ABC"/>
    <w:rsid w:val="00A12BD4"/>
    <w:rsid w:val="00A12BF7"/>
    <w:rsid w:val="00A12C4D"/>
    <w:rsid w:val="00A12D44"/>
    <w:rsid w:val="00A12E4C"/>
    <w:rsid w:val="00A12FB2"/>
    <w:rsid w:val="00A12FDF"/>
    <w:rsid w:val="00A1302F"/>
    <w:rsid w:val="00A131D0"/>
    <w:rsid w:val="00A1336E"/>
    <w:rsid w:val="00A1344E"/>
    <w:rsid w:val="00A135EF"/>
    <w:rsid w:val="00A1361D"/>
    <w:rsid w:val="00A136ED"/>
    <w:rsid w:val="00A13806"/>
    <w:rsid w:val="00A13819"/>
    <w:rsid w:val="00A13887"/>
    <w:rsid w:val="00A138DD"/>
    <w:rsid w:val="00A139DB"/>
    <w:rsid w:val="00A13A5A"/>
    <w:rsid w:val="00A13AA2"/>
    <w:rsid w:val="00A13AE4"/>
    <w:rsid w:val="00A13B76"/>
    <w:rsid w:val="00A13D27"/>
    <w:rsid w:val="00A13DE5"/>
    <w:rsid w:val="00A13E2A"/>
    <w:rsid w:val="00A13F50"/>
    <w:rsid w:val="00A13FF6"/>
    <w:rsid w:val="00A14054"/>
    <w:rsid w:val="00A1419B"/>
    <w:rsid w:val="00A14231"/>
    <w:rsid w:val="00A142BE"/>
    <w:rsid w:val="00A1438E"/>
    <w:rsid w:val="00A14397"/>
    <w:rsid w:val="00A143E3"/>
    <w:rsid w:val="00A1457E"/>
    <w:rsid w:val="00A145B0"/>
    <w:rsid w:val="00A14665"/>
    <w:rsid w:val="00A1468E"/>
    <w:rsid w:val="00A146BB"/>
    <w:rsid w:val="00A147C1"/>
    <w:rsid w:val="00A14A0A"/>
    <w:rsid w:val="00A14B6C"/>
    <w:rsid w:val="00A14BB4"/>
    <w:rsid w:val="00A14C26"/>
    <w:rsid w:val="00A14FD5"/>
    <w:rsid w:val="00A15247"/>
    <w:rsid w:val="00A15386"/>
    <w:rsid w:val="00A15408"/>
    <w:rsid w:val="00A15429"/>
    <w:rsid w:val="00A15477"/>
    <w:rsid w:val="00A1550A"/>
    <w:rsid w:val="00A15652"/>
    <w:rsid w:val="00A15671"/>
    <w:rsid w:val="00A15695"/>
    <w:rsid w:val="00A15731"/>
    <w:rsid w:val="00A15967"/>
    <w:rsid w:val="00A15998"/>
    <w:rsid w:val="00A15A04"/>
    <w:rsid w:val="00A15AC5"/>
    <w:rsid w:val="00A15CDF"/>
    <w:rsid w:val="00A160B0"/>
    <w:rsid w:val="00A16201"/>
    <w:rsid w:val="00A1656C"/>
    <w:rsid w:val="00A166B3"/>
    <w:rsid w:val="00A1690F"/>
    <w:rsid w:val="00A16A31"/>
    <w:rsid w:val="00A16BD2"/>
    <w:rsid w:val="00A16BEF"/>
    <w:rsid w:val="00A16C8A"/>
    <w:rsid w:val="00A16D1A"/>
    <w:rsid w:val="00A16D7C"/>
    <w:rsid w:val="00A16E1B"/>
    <w:rsid w:val="00A16E40"/>
    <w:rsid w:val="00A16F49"/>
    <w:rsid w:val="00A170FB"/>
    <w:rsid w:val="00A17130"/>
    <w:rsid w:val="00A171B9"/>
    <w:rsid w:val="00A17237"/>
    <w:rsid w:val="00A172A8"/>
    <w:rsid w:val="00A17301"/>
    <w:rsid w:val="00A17399"/>
    <w:rsid w:val="00A173E4"/>
    <w:rsid w:val="00A17598"/>
    <w:rsid w:val="00A17961"/>
    <w:rsid w:val="00A17996"/>
    <w:rsid w:val="00A179A5"/>
    <w:rsid w:val="00A179CA"/>
    <w:rsid w:val="00A17A4E"/>
    <w:rsid w:val="00A17B53"/>
    <w:rsid w:val="00A17D0E"/>
    <w:rsid w:val="00A17EC4"/>
    <w:rsid w:val="00A17F17"/>
    <w:rsid w:val="00A17F36"/>
    <w:rsid w:val="00A17FE1"/>
    <w:rsid w:val="00A17FEB"/>
    <w:rsid w:val="00A20111"/>
    <w:rsid w:val="00A20225"/>
    <w:rsid w:val="00A20488"/>
    <w:rsid w:val="00A204C0"/>
    <w:rsid w:val="00A205C8"/>
    <w:rsid w:val="00A205F9"/>
    <w:rsid w:val="00A20646"/>
    <w:rsid w:val="00A20695"/>
    <w:rsid w:val="00A206C5"/>
    <w:rsid w:val="00A20721"/>
    <w:rsid w:val="00A2084C"/>
    <w:rsid w:val="00A20957"/>
    <w:rsid w:val="00A20A65"/>
    <w:rsid w:val="00A20ABE"/>
    <w:rsid w:val="00A20B6C"/>
    <w:rsid w:val="00A20B7C"/>
    <w:rsid w:val="00A20B9C"/>
    <w:rsid w:val="00A20CA2"/>
    <w:rsid w:val="00A20D18"/>
    <w:rsid w:val="00A20E91"/>
    <w:rsid w:val="00A20F45"/>
    <w:rsid w:val="00A20FE6"/>
    <w:rsid w:val="00A211A6"/>
    <w:rsid w:val="00A211AB"/>
    <w:rsid w:val="00A212DA"/>
    <w:rsid w:val="00A21541"/>
    <w:rsid w:val="00A215C1"/>
    <w:rsid w:val="00A217D1"/>
    <w:rsid w:val="00A21852"/>
    <w:rsid w:val="00A219CE"/>
    <w:rsid w:val="00A21AC2"/>
    <w:rsid w:val="00A21B18"/>
    <w:rsid w:val="00A21D32"/>
    <w:rsid w:val="00A21E71"/>
    <w:rsid w:val="00A21F35"/>
    <w:rsid w:val="00A22091"/>
    <w:rsid w:val="00A22169"/>
    <w:rsid w:val="00A22219"/>
    <w:rsid w:val="00A22265"/>
    <w:rsid w:val="00A2260E"/>
    <w:rsid w:val="00A2261D"/>
    <w:rsid w:val="00A2269E"/>
    <w:rsid w:val="00A227C8"/>
    <w:rsid w:val="00A2282E"/>
    <w:rsid w:val="00A22957"/>
    <w:rsid w:val="00A229F7"/>
    <w:rsid w:val="00A22A07"/>
    <w:rsid w:val="00A22A8D"/>
    <w:rsid w:val="00A22C5B"/>
    <w:rsid w:val="00A22CE3"/>
    <w:rsid w:val="00A22DC4"/>
    <w:rsid w:val="00A22E54"/>
    <w:rsid w:val="00A22E82"/>
    <w:rsid w:val="00A230CC"/>
    <w:rsid w:val="00A23179"/>
    <w:rsid w:val="00A23236"/>
    <w:rsid w:val="00A2325C"/>
    <w:rsid w:val="00A233D8"/>
    <w:rsid w:val="00A2348E"/>
    <w:rsid w:val="00A234E1"/>
    <w:rsid w:val="00A23653"/>
    <w:rsid w:val="00A236E2"/>
    <w:rsid w:val="00A237DE"/>
    <w:rsid w:val="00A23943"/>
    <w:rsid w:val="00A23B68"/>
    <w:rsid w:val="00A23BDC"/>
    <w:rsid w:val="00A23D23"/>
    <w:rsid w:val="00A23D94"/>
    <w:rsid w:val="00A23F9A"/>
    <w:rsid w:val="00A24093"/>
    <w:rsid w:val="00A2409E"/>
    <w:rsid w:val="00A24114"/>
    <w:rsid w:val="00A242FD"/>
    <w:rsid w:val="00A24505"/>
    <w:rsid w:val="00A24512"/>
    <w:rsid w:val="00A2459F"/>
    <w:rsid w:val="00A245CC"/>
    <w:rsid w:val="00A246FD"/>
    <w:rsid w:val="00A24708"/>
    <w:rsid w:val="00A247E0"/>
    <w:rsid w:val="00A24858"/>
    <w:rsid w:val="00A249F0"/>
    <w:rsid w:val="00A24A6F"/>
    <w:rsid w:val="00A24ABE"/>
    <w:rsid w:val="00A24B49"/>
    <w:rsid w:val="00A24D88"/>
    <w:rsid w:val="00A250CA"/>
    <w:rsid w:val="00A251B4"/>
    <w:rsid w:val="00A2523A"/>
    <w:rsid w:val="00A2531B"/>
    <w:rsid w:val="00A25358"/>
    <w:rsid w:val="00A25410"/>
    <w:rsid w:val="00A2549D"/>
    <w:rsid w:val="00A25502"/>
    <w:rsid w:val="00A25A70"/>
    <w:rsid w:val="00A25B21"/>
    <w:rsid w:val="00A25CCD"/>
    <w:rsid w:val="00A25CE8"/>
    <w:rsid w:val="00A25E55"/>
    <w:rsid w:val="00A25ED8"/>
    <w:rsid w:val="00A25F51"/>
    <w:rsid w:val="00A25FFA"/>
    <w:rsid w:val="00A26266"/>
    <w:rsid w:val="00A26553"/>
    <w:rsid w:val="00A26640"/>
    <w:rsid w:val="00A2677E"/>
    <w:rsid w:val="00A26797"/>
    <w:rsid w:val="00A26802"/>
    <w:rsid w:val="00A268CB"/>
    <w:rsid w:val="00A26ADE"/>
    <w:rsid w:val="00A26B32"/>
    <w:rsid w:val="00A26BB2"/>
    <w:rsid w:val="00A26BD3"/>
    <w:rsid w:val="00A26C26"/>
    <w:rsid w:val="00A26CBE"/>
    <w:rsid w:val="00A26CDA"/>
    <w:rsid w:val="00A26CFC"/>
    <w:rsid w:val="00A26D88"/>
    <w:rsid w:val="00A26DC6"/>
    <w:rsid w:val="00A26E70"/>
    <w:rsid w:val="00A26EB2"/>
    <w:rsid w:val="00A26F5C"/>
    <w:rsid w:val="00A26FD5"/>
    <w:rsid w:val="00A27007"/>
    <w:rsid w:val="00A2706A"/>
    <w:rsid w:val="00A2708D"/>
    <w:rsid w:val="00A27110"/>
    <w:rsid w:val="00A2727E"/>
    <w:rsid w:val="00A274C6"/>
    <w:rsid w:val="00A27548"/>
    <w:rsid w:val="00A27672"/>
    <w:rsid w:val="00A27683"/>
    <w:rsid w:val="00A277F0"/>
    <w:rsid w:val="00A277F4"/>
    <w:rsid w:val="00A2783E"/>
    <w:rsid w:val="00A278CE"/>
    <w:rsid w:val="00A278F4"/>
    <w:rsid w:val="00A27ABA"/>
    <w:rsid w:val="00A27BDA"/>
    <w:rsid w:val="00A27C8A"/>
    <w:rsid w:val="00A27D01"/>
    <w:rsid w:val="00A27D07"/>
    <w:rsid w:val="00A27F43"/>
    <w:rsid w:val="00A27F8A"/>
    <w:rsid w:val="00A27F9D"/>
    <w:rsid w:val="00A3006C"/>
    <w:rsid w:val="00A3013C"/>
    <w:rsid w:val="00A30213"/>
    <w:rsid w:val="00A302A4"/>
    <w:rsid w:val="00A30496"/>
    <w:rsid w:val="00A304FF"/>
    <w:rsid w:val="00A30522"/>
    <w:rsid w:val="00A3059C"/>
    <w:rsid w:val="00A30603"/>
    <w:rsid w:val="00A306CE"/>
    <w:rsid w:val="00A30904"/>
    <w:rsid w:val="00A3097C"/>
    <w:rsid w:val="00A309DB"/>
    <w:rsid w:val="00A30A0D"/>
    <w:rsid w:val="00A30A5B"/>
    <w:rsid w:val="00A30AA4"/>
    <w:rsid w:val="00A30C59"/>
    <w:rsid w:val="00A30C7C"/>
    <w:rsid w:val="00A30E46"/>
    <w:rsid w:val="00A30F3D"/>
    <w:rsid w:val="00A30F44"/>
    <w:rsid w:val="00A31209"/>
    <w:rsid w:val="00A312D3"/>
    <w:rsid w:val="00A314C4"/>
    <w:rsid w:val="00A314EA"/>
    <w:rsid w:val="00A31786"/>
    <w:rsid w:val="00A3184B"/>
    <w:rsid w:val="00A31A72"/>
    <w:rsid w:val="00A31AC6"/>
    <w:rsid w:val="00A31AE5"/>
    <w:rsid w:val="00A31B24"/>
    <w:rsid w:val="00A31C15"/>
    <w:rsid w:val="00A31D25"/>
    <w:rsid w:val="00A31D74"/>
    <w:rsid w:val="00A31D9D"/>
    <w:rsid w:val="00A31D9F"/>
    <w:rsid w:val="00A31DDF"/>
    <w:rsid w:val="00A31E64"/>
    <w:rsid w:val="00A31ECC"/>
    <w:rsid w:val="00A32001"/>
    <w:rsid w:val="00A3232C"/>
    <w:rsid w:val="00A324D6"/>
    <w:rsid w:val="00A324F3"/>
    <w:rsid w:val="00A32521"/>
    <w:rsid w:val="00A32598"/>
    <w:rsid w:val="00A325BA"/>
    <w:rsid w:val="00A325F4"/>
    <w:rsid w:val="00A32615"/>
    <w:rsid w:val="00A32673"/>
    <w:rsid w:val="00A32780"/>
    <w:rsid w:val="00A327B3"/>
    <w:rsid w:val="00A328AA"/>
    <w:rsid w:val="00A329C2"/>
    <w:rsid w:val="00A329C7"/>
    <w:rsid w:val="00A32A9D"/>
    <w:rsid w:val="00A32AA5"/>
    <w:rsid w:val="00A32C05"/>
    <w:rsid w:val="00A32C46"/>
    <w:rsid w:val="00A32C95"/>
    <w:rsid w:val="00A32D46"/>
    <w:rsid w:val="00A32DA0"/>
    <w:rsid w:val="00A32DB9"/>
    <w:rsid w:val="00A32DC2"/>
    <w:rsid w:val="00A32DD5"/>
    <w:rsid w:val="00A32F32"/>
    <w:rsid w:val="00A32F46"/>
    <w:rsid w:val="00A32FDA"/>
    <w:rsid w:val="00A33053"/>
    <w:rsid w:val="00A33123"/>
    <w:rsid w:val="00A33646"/>
    <w:rsid w:val="00A337A5"/>
    <w:rsid w:val="00A3389A"/>
    <w:rsid w:val="00A3391D"/>
    <w:rsid w:val="00A3392F"/>
    <w:rsid w:val="00A33D42"/>
    <w:rsid w:val="00A33D82"/>
    <w:rsid w:val="00A33E27"/>
    <w:rsid w:val="00A341D0"/>
    <w:rsid w:val="00A3420A"/>
    <w:rsid w:val="00A34211"/>
    <w:rsid w:val="00A34220"/>
    <w:rsid w:val="00A343DB"/>
    <w:rsid w:val="00A3446B"/>
    <w:rsid w:val="00A3447E"/>
    <w:rsid w:val="00A34516"/>
    <w:rsid w:val="00A34556"/>
    <w:rsid w:val="00A3457C"/>
    <w:rsid w:val="00A34601"/>
    <w:rsid w:val="00A34748"/>
    <w:rsid w:val="00A347D3"/>
    <w:rsid w:val="00A34850"/>
    <w:rsid w:val="00A349E1"/>
    <w:rsid w:val="00A34A11"/>
    <w:rsid w:val="00A34A67"/>
    <w:rsid w:val="00A34AC4"/>
    <w:rsid w:val="00A34B3B"/>
    <w:rsid w:val="00A34CB1"/>
    <w:rsid w:val="00A34E50"/>
    <w:rsid w:val="00A34F49"/>
    <w:rsid w:val="00A34F61"/>
    <w:rsid w:val="00A351CC"/>
    <w:rsid w:val="00A353DF"/>
    <w:rsid w:val="00A35551"/>
    <w:rsid w:val="00A355BB"/>
    <w:rsid w:val="00A3565B"/>
    <w:rsid w:val="00A35867"/>
    <w:rsid w:val="00A35A3E"/>
    <w:rsid w:val="00A35B1E"/>
    <w:rsid w:val="00A35D74"/>
    <w:rsid w:val="00A35E5C"/>
    <w:rsid w:val="00A35EFE"/>
    <w:rsid w:val="00A3615A"/>
    <w:rsid w:val="00A361F8"/>
    <w:rsid w:val="00A3624E"/>
    <w:rsid w:val="00A36297"/>
    <w:rsid w:val="00A362F9"/>
    <w:rsid w:val="00A36446"/>
    <w:rsid w:val="00A3645A"/>
    <w:rsid w:val="00A3645C"/>
    <w:rsid w:val="00A36502"/>
    <w:rsid w:val="00A36674"/>
    <w:rsid w:val="00A366A5"/>
    <w:rsid w:val="00A36720"/>
    <w:rsid w:val="00A36732"/>
    <w:rsid w:val="00A3675E"/>
    <w:rsid w:val="00A3679F"/>
    <w:rsid w:val="00A367AB"/>
    <w:rsid w:val="00A36844"/>
    <w:rsid w:val="00A368BB"/>
    <w:rsid w:val="00A36A8B"/>
    <w:rsid w:val="00A36AEE"/>
    <w:rsid w:val="00A36B1B"/>
    <w:rsid w:val="00A36B95"/>
    <w:rsid w:val="00A36D56"/>
    <w:rsid w:val="00A36E35"/>
    <w:rsid w:val="00A36EC7"/>
    <w:rsid w:val="00A36F0B"/>
    <w:rsid w:val="00A37068"/>
    <w:rsid w:val="00A37221"/>
    <w:rsid w:val="00A37280"/>
    <w:rsid w:val="00A372C6"/>
    <w:rsid w:val="00A3734F"/>
    <w:rsid w:val="00A37415"/>
    <w:rsid w:val="00A37418"/>
    <w:rsid w:val="00A3750D"/>
    <w:rsid w:val="00A3751F"/>
    <w:rsid w:val="00A375D9"/>
    <w:rsid w:val="00A37635"/>
    <w:rsid w:val="00A3778F"/>
    <w:rsid w:val="00A37932"/>
    <w:rsid w:val="00A37B17"/>
    <w:rsid w:val="00A37B57"/>
    <w:rsid w:val="00A37BAA"/>
    <w:rsid w:val="00A37E37"/>
    <w:rsid w:val="00A37F41"/>
    <w:rsid w:val="00A37FC6"/>
    <w:rsid w:val="00A40058"/>
    <w:rsid w:val="00A400F6"/>
    <w:rsid w:val="00A4012A"/>
    <w:rsid w:val="00A4012C"/>
    <w:rsid w:val="00A40247"/>
    <w:rsid w:val="00A4035A"/>
    <w:rsid w:val="00A403FC"/>
    <w:rsid w:val="00A404CD"/>
    <w:rsid w:val="00A40530"/>
    <w:rsid w:val="00A40675"/>
    <w:rsid w:val="00A4067F"/>
    <w:rsid w:val="00A406C7"/>
    <w:rsid w:val="00A4079E"/>
    <w:rsid w:val="00A4082F"/>
    <w:rsid w:val="00A408A7"/>
    <w:rsid w:val="00A408CE"/>
    <w:rsid w:val="00A408FF"/>
    <w:rsid w:val="00A40B05"/>
    <w:rsid w:val="00A40C37"/>
    <w:rsid w:val="00A40F83"/>
    <w:rsid w:val="00A40FA7"/>
    <w:rsid w:val="00A41057"/>
    <w:rsid w:val="00A410EA"/>
    <w:rsid w:val="00A41130"/>
    <w:rsid w:val="00A41267"/>
    <w:rsid w:val="00A4127B"/>
    <w:rsid w:val="00A41319"/>
    <w:rsid w:val="00A413A4"/>
    <w:rsid w:val="00A4142B"/>
    <w:rsid w:val="00A4148F"/>
    <w:rsid w:val="00A41627"/>
    <w:rsid w:val="00A416B8"/>
    <w:rsid w:val="00A41712"/>
    <w:rsid w:val="00A418EA"/>
    <w:rsid w:val="00A41914"/>
    <w:rsid w:val="00A41958"/>
    <w:rsid w:val="00A4197A"/>
    <w:rsid w:val="00A41990"/>
    <w:rsid w:val="00A41A55"/>
    <w:rsid w:val="00A41ADF"/>
    <w:rsid w:val="00A41B15"/>
    <w:rsid w:val="00A41B83"/>
    <w:rsid w:val="00A41C0C"/>
    <w:rsid w:val="00A41C65"/>
    <w:rsid w:val="00A41C80"/>
    <w:rsid w:val="00A41E1A"/>
    <w:rsid w:val="00A41EC5"/>
    <w:rsid w:val="00A420EC"/>
    <w:rsid w:val="00A4215B"/>
    <w:rsid w:val="00A421DB"/>
    <w:rsid w:val="00A42267"/>
    <w:rsid w:val="00A423D2"/>
    <w:rsid w:val="00A423FA"/>
    <w:rsid w:val="00A42411"/>
    <w:rsid w:val="00A424CF"/>
    <w:rsid w:val="00A4256C"/>
    <w:rsid w:val="00A42655"/>
    <w:rsid w:val="00A4269B"/>
    <w:rsid w:val="00A428C7"/>
    <w:rsid w:val="00A42912"/>
    <w:rsid w:val="00A42976"/>
    <w:rsid w:val="00A42BDE"/>
    <w:rsid w:val="00A42DC0"/>
    <w:rsid w:val="00A42DE6"/>
    <w:rsid w:val="00A42E03"/>
    <w:rsid w:val="00A42EC7"/>
    <w:rsid w:val="00A431A9"/>
    <w:rsid w:val="00A433B5"/>
    <w:rsid w:val="00A4345C"/>
    <w:rsid w:val="00A43549"/>
    <w:rsid w:val="00A435FC"/>
    <w:rsid w:val="00A4362D"/>
    <w:rsid w:val="00A43670"/>
    <w:rsid w:val="00A436AA"/>
    <w:rsid w:val="00A438E8"/>
    <w:rsid w:val="00A4398F"/>
    <w:rsid w:val="00A43B69"/>
    <w:rsid w:val="00A43DF1"/>
    <w:rsid w:val="00A43EAC"/>
    <w:rsid w:val="00A43FF1"/>
    <w:rsid w:val="00A43FFE"/>
    <w:rsid w:val="00A440CC"/>
    <w:rsid w:val="00A44158"/>
    <w:rsid w:val="00A441BD"/>
    <w:rsid w:val="00A44391"/>
    <w:rsid w:val="00A443E1"/>
    <w:rsid w:val="00A44477"/>
    <w:rsid w:val="00A44824"/>
    <w:rsid w:val="00A4486B"/>
    <w:rsid w:val="00A448D7"/>
    <w:rsid w:val="00A44A01"/>
    <w:rsid w:val="00A44AB1"/>
    <w:rsid w:val="00A44B7D"/>
    <w:rsid w:val="00A44C08"/>
    <w:rsid w:val="00A44D07"/>
    <w:rsid w:val="00A44E3C"/>
    <w:rsid w:val="00A44FD4"/>
    <w:rsid w:val="00A44FDB"/>
    <w:rsid w:val="00A45023"/>
    <w:rsid w:val="00A450F7"/>
    <w:rsid w:val="00A45188"/>
    <w:rsid w:val="00A4518F"/>
    <w:rsid w:val="00A451F0"/>
    <w:rsid w:val="00A454E4"/>
    <w:rsid w:val="00A45595"/>
    <w:rsid w:val="00A456A4"/>
    <w:rsid w:val="00A456F7"/>
    <w:rsid w:val="00A45876"/>
    <w:rsid w:val="00A45887"/>
    <w:rsid w:val="00A4588D"/>
    <w:rsid w:val="00A45B05"/>
    <w:rsid w:val="00A45B54"/>
    <w:rsid w:val="00A45B82"/>
    <w:rsid w:val="00A45F15"/>
    <w:rsid w:val="00A4609B"/>
    <w:rsid w:val="00A460F7"/>
    <w:rsid w:val="00A4611A"/>
    <w:rsid w:val="00A462C8"/>
    <w:rsid w:val="00A46438"/>
    <w:rsid w:val="00A4684D"/>
    <w:rsid w:val="00A468E0"/>
    <w:rsid w:val="00A46921"/>
    <w:rsid w:val="00A46953"/>
    <w:rsid w:val="00A4695C"/>
    <w:rsid w:val="00A469F1"/>
    <w:rsid w:val="00A46B52"/>
    <w:rsid w:val="00A46B70"/>
    <w:rsid w:val="00A46BB6"/>
    <w:rsid w:val="00A46C9A"/>
    <w:rsid w:val="00A46D66"/>
    <w:rsid w:val="00A46D95"/>
    <w:rsid w:val="00A46E57"/>
    <w:rsid w:val="00A46EFC"/>
    <w:rsid w:val="00A46F3A"/>
    <w:rsid w:val="00A46F97"/>
    <w:rsid w:val="00A4701D"/>
    <w:rsid w:val="00A470CA"/>
    <w:rsid w:val="00A47271"/>
    <w:rsid w:val="00A47381"/>
    <w:rsid w:val="00A4761B"/>
    <w:rsid w:val="00A4774F"/>
    <w:rsid w:val="00A47920"/>
    <w:rsid w:val="00A47AEC"/>
    <w:rsid w:val="00A47CED"/>
    <w:rsid w:val="00A47D3F"/>
    <w:rsid w:val="00A47D9C"/>
    <w:rsid w:val="00A47ED6"/>
    <w:rsid w:val="00A47EF7"/>
    <w:rsid w:val="00A50029"/>
    <w:rsid w:val="00A5012B"/>
    <w:rsid w:val="00A5016D"/>
    <w:rsid w:val="00A501A4"/>
    <w:rsid w:val="00A503C7"/>
    <w:rsid w:val="00A50424"/>
    <w:rsid w:val="00A505BD"/>
    <w:rsid w:val="00A50714"/>
    <w:rsid w:val="00A509EA"/>
    <w:rsid w:val="00A50A83"/>
    <w:rsid w:val="00A50C41"/>
    <w:rsid w:val="00A50CDA"/>
    <w:rsid w:val="00A50D21"/>
    <w:rsid w:val="00A50DA1"/>
    <w:rsid w:val="00A50F0E"/>
    <w:rsid w:val="00A50F29"/>
    <w:rsid w:val="00A50FB8"/>
    <w:rsid w:val="00A50FCA"/>
    <w:rsid w:val="00A51052"/>
    <w:rsid w:val="00A510DE"/>
    <w:rsid w:val="00A510E3"/>
    <w:rsid w:val="00A5119A"/>
    <w:rsid w:val="00A512E9"/>
    <w:rsid w:val="00A5133D"/>
    <w:rsid w:val="00A5169A"/>
    <w:rsid w:val="00A5174E"/>
    <w:rsid w:val="00A518AA"/>
    <w:rsid w:val="00A51A7D"/>
    <w:rsid w:val="00A51AA6"/>
    <w:rsid w:val="00A51BB6"/>
    <w:rsid w:val="00A51D8C"/>
    <w:rsid w:val="00A51DBA"/>
    <w:rsid w:val="00A51EBE"/>
    <w:rsid w:val="00A51EF5"/>
    <w:rsid w:val="00A51FB2"/>
    <w:rsid w:val="00A52068"/>
    <w:rsid w:val="00A52163"/>
    <w:rsid w:val="00A52296"/>
    <w:rsid w:val="00A522F0"/>
    <w:rsid w:val="00A522FF"/>
    <w:rsid w:val="00A524B6"/>
    <w:rsid w:val="00A525F2"/>
    <w:rsid w:val="00A52608"/>
    <w:rsid w:val="00A52696"/>
    <w:rsid w:val="00A526D0"/>
    <w:rsid w:val="00A526D4"/>
    <w:rsid w:val="00A52867"/>
    <w:rsid w:val="00A528C4"/>
    <w:rsid w:val="00A52A4E"/>
    <w:rsid w:val="00A52ABA"/>
    <w:rsid w:val="00A52B25"/>
    <w:rsid w:val="00A52B87"/>
    <w:rsid w:val="00A52E26"/>
    <w:rsid w:val="00A52F63"/>
    <w:rsid w:val="00A52F87"/>
    <w:rsid w:val="00A52FB1"/>
    <w:rsid w:val="00A52FC2"/>
    <w:rsid w:val="00A531F5"/>
    <w:rsid w:val="00A5322A"/>
    <w:rsid w:val="00A532EC"/>
    <w:rsid w:val="00A53332"/>
    <w:rsid w:val="00A53380"/>
    <w:rsid w:val="00A53463"/>
    <w:rsid w:val="00A53780"/>
    <w:rsid w:val="00A53942"/>
    <w:rsid w:val="00A53955"/>
    <w:rsid w:val="00A53A43"/>
    <w:rsid w:val="00A53B4D"/>
    <w:rsid w:val="00A53B67"/>
    <w:rsid w:val="00A53B8D"/>
    <w:rsid w:val="00A53BD7"/>
    <w:rsid w:val="00A53BF6"/>
    <w:rsid w:val="00A53C48"/>
    <w:rsid w:val="00A53C7D"/>
    <w:rsid w:val="00A53CA2"/>
    <w:rsid w:val="00A53DDF"/>
    <w:rsid w:val="00A53FD5"/>
    <w:rsid w:val="00A540A1"/>
    <w:rsid w:val="00A54124"/>
    <w:rsid w:val="00A542C0"/>
    <w:rsid w:val="00A544D8"/>
    <w:rsid w:val="00A54517"/>
    <w:rsid w:val="00A54540"/>
    <w:rsid w:val="00A54A9F"/>
    <w:rsid w:val="00A54AF3"/>
    <w:rsid w:val="00A54B12"/>
    <w:rsid w:val="00A54B8A"/>
    <w:rsid w:val="00A54BF6"/>
    <w:rsid w:val="00A54CF4"/>
    <w:rsid w:val="00A54D27"/>
    <w:rsid w:val="00A54D79"/>
    <w:rsid w:val="00A54DCE"/>
    <w:rsid w:val="00A54E8B"/>
    <w:rsid w:val="00A54EB2"/>
    <w:rsid w:val="00A55011"/>
    <w:rsid w:val="00A5502D"/>
    <w:rsid w:val="00A5504D"/>
    <w:rsid w:val="00A55304"/>
    <w:rsid w:val="00A553A9"/>
    <w:rsid w:val="00A553EE"/>
    <w:rsid w:val="00A5563E"/>
    <w:rsid w:val="00A559BC"/>
    <w:rsid w:val="00A559F5"/>
    <w:rsid w:val="00A55A11"/>
    <w:rsid w:val="00A55C2F"/>
    <w:rsid w:val="00A55C4D"/>
    <w:rsid w:val="00A55E78"/>
    <w:rsid w:val="00A55EDF"/>
    <w:rsid w:val="00A55FDE"/>
    <w:rsid w:val="00A56098"/>
    <w:rsid w:val="00A5629B"/>
    <w:rsid w:val="00A5657F"/>
    <w:rsid w:val="00A5660C"/>
    <w:rsid w:val="00A56625"/>
    <w:rsid w:val="00A56696"/>
    <w:rsid w:val="00A566E8"/>
    <w:rsid w:val="00A56771"/>
    <w:rsid w:val="00A567C7"/>
    <w:rsid w:val="00A569E0"/>
    <w:rsid w:val="00A56BD3"/>
    <w:rsid w:val="00A56BD8"/>
    <w:rsid w:val="00A56BFB"/>
    <w:rsid w:val="00A56E40"/>
    <w:rsid w:val="00A56F6B"/>
    <w:rsid w:val="00A56FEA"/>
    <w:rsid w:val="00A56FEE"/>
    <w:rsid w:val="00A57117"/>
    <w:rsid w:val="00A5715F"/>
    <w:rsid w:val="00A57353"/>
    <w:rsid w:val="00A57473"/>
    <w:rsid w:val="00A576C8"/>
    <w:rsid w:val="00A57739"/>
    <w:rsid w:val="00A57770"/>
    <w:rsid w:val="00A57776"/>
    <w:rsid w:val="00A57832"/>
    <w:rsid w:val="00A57902"/>
    <w:rsid w:val="00A57957"/>
    <w:rsid w:val="00A57A2C"/>
    <w:rsid w:val="00A57B1A"/>
    <w:rsid w:val="00A57BC2"/>
    <w:rsid w:val="00A57BE4"/>
    <w:rsid w:val="00A57CBC"/>
    <w:rsid w:val="00A57CBD"/>
    <w:rsid w:val="00A57D29"/>
    <w:rsid w:val="00A57D3B"/>
    <w:rsid w:val="00A57D6E"/>
    <w:rsid w:val="00A57DE2"/>
    <w:rsid w:val="00A57E21"/>
    <w:rsid w:val="00A57E4A"/>
    <w:rsid w:val="00A57FA6"/>
    <w:rsid w:val="00A6000B"/>
    <w:rsid w:val="00A60028"/>
    <w:rsid w:val="00A600C6"/>
    <w:rsid w:val="00A60340"/>
    <w:rsid w:val="00A603A2"/>
    <w:rsid w:val="00A6041D"/>
    <w:rsid w:val="00A60529"/>
    <w:rsid w:val="00A60599"/>
    <w:rsid w:val="00A605A2"/>
    <w:rsid w:val="00A606F8"/>
    <w:rsid w:val="00A6096F"/>
    <w:rsid w:val="00A6098F"/>
    <w:rsid w:val="00A60999"/>
    <w:rsid w:val="00A60A48"/>
    <w:rsid w:val="00A60AF0"/>
    <w:rsid w:val="00A60D3A"/>
    <w:rsid w:val="00A60E53"/>
    <w:rsid w:val="00A60E69"/>
    <w:rsid w:val="00A60FE3"/>
    <w:rsid w:val="00A60FE9"/>
    <w:rsid w:val="00A6104E"/>
    <w:rsid w:val="00A61392"/>
    <w:rsid w:val="00A613DC"/>
    <w:rsid w:val="00A613DD"/>
    <w:rsid w:val="00A61425"/>
    <w:rsid w:val="00A6155E"/>
    <w:rsid w:val="00A61569"/>
    <w:rsid w:val="00A616E6"/>
    <w:rsid w:val="00A61757"/>
    <w:rsid w:val="00A61764"/>
    <w:rsid w:val="00A617FE"/>
    <w:rsid w:val="00A61841"/>
    <w:rsid w:val="00A618B9"/>
    <w:rsid w:val="00A6198A"/>
    <w:rsid w:val="00A61992"/>
    <w:rsid w:val="00A61D26"/>
    <w:rsid w:val="00A61EAB"/>
    <w:rsid w:val="00A61EF1"/>
    <w:rsid w:val="00A61F56"/>
    <w:rsid w:val="00A61FAB"/>
    <w:rsid w:val="00A6206C"/>
    <w:rsid w:val="00A62139"/>
    <w:rsid w:val="00A62376"/>
    <w:rsid w:val="00A6238E"/>
    <w:rsid w:val="00A625CF"/>
    <w:rsid w:val="00A62749"/>
    <w:rsid w:val="00A627BD"/>
    <w:rsid w:val="00A628B4"/>
    <w:rsid w:val="00A628CA"/>
    <w:rsid w:val="00A62B80"/>
    <w:rsid w:val="00A62C31"/>
    <w:rsid w:val="00A62C47"/>
    <w:rsid w:val="00A62CD2"/>
    <w:rsid w:val="00A62DB4"/>
    <w:rsid w:val="00A62E27"/>
    <w:rsid w:val="00A62EE5"/>
    <w:rsid w:val="00A62F5E"/>
    <w:rsid w:val="00A62FB5"/>
    <w:rsid w:val="00A6315E"/>
    <w:rsid w:val="00A6328E"/>
    <w:rsid w:val="00A6330B"/>
    <w:rsid w:val="00A6337A"/>
    <w:rsid w:val="00A63387"/>
    <w:rsid w:val="00A6353B"/>
    <w:rsid w:val="00A63576"/>
    <w:rsid w:val="00A63707"/>
    <w:rsid w:val="00A63740"/>
    <w:rsid w:val="00A637D9"/>
    <w:rsid w:val="00A6386F"/>
    <w:rsid w:val="00A63A35"/>
    <w:rsid w:val="00A63A4A"/>
    <w:rsid w:val="00A63BAF"/>
    <w:rsid w:val="00A63C04"/>
    <w:rsid w:val="00A63C40"/>
    <w:rsid w:val="00A63C68"/>
    <w:rsid w:val="00A63D1C"/>
    <w:rsid w:val="00A63D6C"/>
    <w:rsid w:val="00A63DBC"/>
    <w:rsid w:val="00A63E7D"/>
    <w:rsid w:val="00A63F49"/>
    <w:rsid w:val="00A6403E"/>
    <w:rsid w:val="00A640F7"/>
    <w:rsid w:val="00A6423A"/>
    <w:rsid w:val="00A64852"/>
    <w:rsid w:val="00A64918"/>
    <w:rsid w:val="00A64997"/>
    <w:rsid w:val="00A649E1"/>
    <w:rsid w:val="00A64B38"/>
    <w:rsid w:val="00A64D3C"/>
    <w:rsid w:val="00A64E46"/>
    <w:rsid w:val="00A64F68"/>
    <w:rsid w:val="00A65097"/>
    <w:rsid w:val="00A6515E"/>
    <w:rsid w:val="00A65245"/>
    <w:rsid w:val="00A6534E"/>
    <w:rsid w:val="00A6538A"/>
    <w:rsid w:val="00A6543A"/>
    <w:rsid w:val="00A65441"/>
    <w:rsid w:val="00A65535"/>
    <w:rsid w:val="00A655EA"/>
    <w:rsid w:val="00A65641"/>
    <w:rsid w:val="00A65AFA"/>
    <w:rsid w:val="00A65B30"/>
    <w:rsid w:val="00A65BAC"/>
    <w:rsid w:val="00A65C12"/>
    <w:rsid w:val="00A65C66"/>
    <w:rsid w:val="00A65E1D"/>
    <w:rsid w:val="00A65ED9"/>
    <w:rsid w:val="00A65F96"/>
    <w:rsid w:val="00A660CB"/>
    <w:rsid w:val="00A66246"/>
    <w:rsid w:val="00A663AD"/>
    <w:rsid w:val="00A663FB"/>
    <w:rsid w:val="00A66599"/>
    <w:rsid w:val="00A6665D"/>
    <w:rsid w:val="00A666C4"/>
    <w:rsid w:val="00A667AC"/>
    <w:rsid w:val="00A66807"/>
    <w:rsid w:val="00A66849"/>
    <w:rsid w:val="00A66AE2"/>
    <w:rsid w:val="00A66C7B"/>
    <w:rsid w:val="00A66D11"/>
    <w:rsid w:val="00A66D50"/>
    <w:rsid w:val="00A66DA8"/>
    <w:rsid w:val="00A66DB1"/>
    <w:rsid w:val="00A66E30"/>
    <w:rsid w:val="00A66F3D"/>
    <w:rsid w:val="00A67188"/>
    <w:rsid w:val="00A671A4"/>
    <w:rsid w:val="00A671B5"/>
    <w:rsid w:val="00A67232"/>
    <w:rsid w:val="00A6735B"/>
    <w:rsid w:val="00A673F4"/>
    <w:rsid w:val="00A674A3"/>
    <w:rsid w:val="00A6755B"/>
    <w:rsid w:val="00A6757C"/>
    <w:rsid w:val="00A67748"/>
    <w:rsid w:val="00A67B39"/>
    <w:rsid w:val="00A67B6F"/>
    <w:rsid w:val="00A67C42"/>
    <w:rsid w:val="00A67D84"/>
    <w:rsid w:val="00A67E26"/>
    <w:rsid w:val="00A67F59"/>
    <w:rsid w:val="00A7017C"/>
    <w:rsid w:val="00A702C9"/>
    <w:rsid w:val="00A702FE"/>
    <w:rsid w:val="00A70314"/>
    <w:rsid w:val="00A7037F"/>
    <w:rsid w:val="00A703F9"/>
    <w:rsid w:val="00A70407"/>
    <w:rsid w:val="00A70498"/>
    <w:rsid w:val="00A704CD"/>
    <w:rsid w:val="00A70525"/>
    <w:rsid w:val="00A7062E"/>
    <w:rsid w:val="00A706B7"/>
    <w:rsid w:val="00A70727"/>
    <w:rsid w:val="00A70890"/>
    <w:rsid w:val="00A708BA"/>
    <w:rsid w:val="00A708F3"/>
    <w:rsid w:val="00A70966"/>
    <w:rsid w:val="00A70972"/>
    <w:rsid w:val="00A709FE"/>
    <w:rsid w:val="00A70AAB"/>
    <w:rsid w:val="00A70D6B"/>
    <w:rsid w:val="00A70E93"/>
    <w:rsid w:val="00A71080"/>
    <w:rsid w:val="00A710DF"/>
    <w:rsid w:val="00A71204"/>
    <w:rsid w:val="00A71224"/>
    <w:rsid w:val="00A713E0"/>
    <w:rsid w:val="00A71400"/>
    <w:rsid w:val="00A7140E"/>
    <w:rsid w:val="00A71419"/>
    <w:rsid w:val="00A71453"/>
    <w:rsid w:val="00A714D0"/>
    <w:rsid w:val="00A7165D"/>
    <w:rsid w:val="00A716A0"/>
    <w:rsid w:val="00A71736"/>
    <w:rsid w:val="00A71737"/>
    <w:rsid w:val="00A7175C"/>
    <w:rsid w:val="00A71788"/>
    <w:rsid w:val="00A71865"/>
    <w:rsid w:val="00A719E2"/>
    <w:rsid w:val="00A71A2B"/>
    <w:rsid w:val="00A71ABF"/>
    <w:rsid w:val="00A71C19"/>
    <w:rsid w:val="00A71D0D"/>
    <w:rsid w:val="00A71E43"/>
    <w:rsid w:val="00A720AB"/>
    <w:rsid w:val="00A72197"/>
    <w:rsid w:val="00A721E6"/>
    <w:rsid w:val="00A721EB"/>
    <w:rsid w:val="00A72225"/>
    <w:rsid w:val="00A72277"/>
    <w:rsid w:val="00A722AB"/>
    <w:rsid w:val="00A72310"/>
    <w:rsid w:val="00A723FF"/>
    <w:rsid w:val="00A72591"/>
    <w:rsid w:val="00A72776"/>
    <w:rsid w:val="00A72799"/>
    <w:rsid w:val="00A729F2"/>
    <w:rsid w:val="00A72AD1"/>
    <w:rsid w:val="00A72B18"/>
    <w:rsid w:val="00A72BFE"/>
    <w:rsid w:val="00A72C04"/>
    <w:rsid w:val="00A72C28"/>
    <w:rsid w:val="00A72DF4"/>
    <w:rsid w:val="00A72E42"/>
    <w:rsid w:val="00A72F1A"/>
    <w:rsid w:val="00A73172"/>
    <w:rsid w:val="00A732D6"/>
    <w:rsid w:val="00A73376"/>
    <w:rsid w:val="00A733E2"/>
    <w:rsid w:val="00A733E6"/>
    <w:rsid w:val="00A734E3"/>
    <w:rsid w:val="00A734FE"/>
    <w:rsid w:val="00A73531"/>
    <w:rsid w:val="00A73631"/>
    <w:rsid w:val="00A7370F"/>
    <w:rsid w:val="00A737E0"/>
    <w:rsid w:val="00A738AD"/>
    <w:rsid w:val="00A738BE"/>
    <w:rsid w:val="00A738DA"/>
    <w:rsid w:val="00A7397C"/>
    <w:rsid w:val="00A7399D"/>
    <w:rsid w:val="00A73AA3"/>
    <w:rsid w:val="00A73AAD"/>
    <w:rsid w:val="00A73AE5"/>
    <w:rsid w:val="00A73B23"/>
    <w:rsid w:val="00A73B98"/>
    <w:rsid w:val="00A73C45"/>
    <w:rsid w:val="00A73D47"/>
    <w:rsid w:val="00A73E12"/>
    <w:rsid w:val="00A73EA2"/>
    <w:rsid w:val="00A73F1D"/>
    <w:rsid w:val="00A73F21"/>
    <w:rsid w:val="00A740F7"/>
    <w:rsid w:val="00A7414B"/>
    <w:rsid w:val="00A7414C"/>
    <w:rsid w:val="00A74200"/>
    <w:rsid w:val="00A74307"/>
    <w:rsid w:val="00A74402"/>
    <w:rsid w:val="00A74732"/>
    <w:rsid w:val="00A7475A"/>
    <w:rsid w:val="00A747D2"/>
    <w:rsid w:val="00A748E1"/>
    <w:rsid w:val="00A7499F"/>
    <w:rsid w:val="00A749C1"/>
    <w:rsid w:val="00A749D9"/>
    <w:rsid w:val="00A74A72"/>
    <w:rsid w:val="00A74AA5"/>
    <w:rsid w:val="00A74BA7"/>
    <w:rsid w:val="00A74CDF"/>
    <w:rsid w:val="00A74D49"/>
    <w:rsid w:val="00A74EF2"/>
    <w:rsid w:val="00A74F6D"/>
    <w:rsid w:val="00A74FBF"/>
    <w:rsid w:val="00A75028"/>
    <w:rsid w:val="00A75061"/>
    <w:rsid w:val="00A75107"/>
    <w:rsid w:val="00A75364"/>
    <w:rsid w:val="00A75473"/>
    <w:rsid w:val="00A75476"/>
    <w:rsid w:val="00A75526"/>
    <w:rsid w:val="00A7561A"/>
    <w:rsid w:val="00A758D2"/>
    <w:rsid w:val="00A75979"/>
    <w:rsid w:val="00A75A72"/>
    <w:rsid w:val="00A75AAD"/>
    <w:rsid w:val="00A75AE1"/>
    <w:rsid w:val="00A75D14"/>
    <w:rsid w:val="00A75DA7"/>
    <w:rsid w:val="00A75DB0"/>
    <w:rsid w:val="00A76053"/>
    <w:rsid w:val="00A763BB"/>
    <w:rsid w:val="00A76411"/>
    <w:rsid w:val="00A764E2"/>
    <w:rsid w:val="00A767DA"/>
    <w:rsid w:val="00A767E0"/>
    <w:rsid w:val="00A76882"/>
    <w:rsid w:val="00A76994"/>
    <w:rsid w:val="00A76B0C"/>
    <w:rsid w:val="00A76B16"/>
    <w:rsid w:val="00A76C18"/>
    <w:rsid w:val="00A76CC9"/>
    <w:rsid w:val="00A76E1E"/>
    <w:rsid w:val="00A76FFC"/>
    <w:rsid w:val="00A7712A"/>
    <w:rsid w:val="00A771BB"/>
    <w:rsid w:val="00A77214"/>
    <w:rsid w:val="00A77280"/>
    <w:rsid w:val="00A7732E"/>
    <w:rsid w:val="00A77553"/>
    <w:rsid w:val="00A77611"/>
    <w:rsid w:val="00A7784F"/>
    <w:rsid w:val="00A77903"/>
    <w:rsid w:val="00A77955"/>
    <w:rsid w:val="00A77974"/>
    <w:rsid w:val="00A77993"/>
    <w:rsid w:val="00A77A33"/>
    <w:rsid w:val="00A77AE2"/>
    <w:rsid w:val="00A77AF9"/>
    <w:rsid w:val="00A77DEE"/>
    <w:rsid w:val="00A77E66"/>
    <w:rsid w:val="00A8003F"/>
    <w:rsid w:val="00A80056"/>
    <w:rsid w:val="00A80091"/>
    <w:rsid w:val="00A800CC"/>
    <w:rsid w:val="00A80117"/>
    <w:rsid w:val="00A8072C"/>
    <w:rsid w:val="00A8075D"/>
    <w:rsid w:val="00A80936"/>
    <w:rsid w:val="00A8099E"/>
    <w:rsid w:val="00A80A8D"/>
    <w:rsid w:val="00A80AD0"/>
    <w:rsid w:val="00A80B17"/>
    <w:rsid w:val="00A80B18"/>
    <w:rsid w:val="00A80C13"/>
    <w:rsid w:val="00A80C20"/>
    <w:rsid w:val="00A80CB1"/>
    <w:rsid w:val="00A80D3E"/>
    <w:rsid w:val="00A80D65"/>
    <w:rsid w:val="00A80D69"/>
    <w:rsid w:val="00A81012"/>
    <w:rsid w:val="00A812CC"/>
    <w:rsid w:val="00A81344"/>
    <w:rsid w:val="00A81389"/>
    <w:rsid w:val="00A814EC"/>
    <w:rsid w:val="00A81566"/>
    <w:rsid w:val="00A816BF"/>
    <w:rsid w:val="00A818E7"/>
    <w:rsid w:val="00A8191C"/>
    <w:rsid w:val="00A81A18"/>
    <w:rsid w:val="00A81A55"/>
    <w:rsid w:val="00A81A69"/>
    <w:rsid w:val="00A81AA5"/>
    <w:rsid w:val="00A81AFA"/>
    <w:rsid w:val="00A81BD2"/>
    <w:rsid w:val="00A81C1E"/>
    <w:rsid w:val="00A81D61"/>
    <w:rsid w:val="00A821BA"/>
    <w:rsid w:val="00A821DD"/>
    <w:rsid w:val="00A821FC"/>
    <w:rsid w:val="00A82397"/>
    <w:rsid w:val="00A8246F"/>
    <w:rsid w:val="00A82485"/>
    <w:rsid w:val="00A824B4"/>
    <w:rsid w:val="00A825C6"/>
    <w:rsid w:val="00A82836"/>
    <w:rsid w:val="00A828FC"/>
    <w:rsid w:val="00A82A86"/>
    <w:rsid w:val="00A82A8F"/>
    <w:rsid w:val="00A82BBD"/>
    <w:rsid w:val="00A82CEA"/>
    <w:rsid w:val="00A82E3C"/>
    <w:rsid w:val="00A82EE9"/>
    <w:rsid w:val="00A82EEB"/>
    <w:rsid w:val="00A83002"/>
    <w:rsid w:val="00A83030"/>
    <w:rsid w:val="00A8317A"/>
    <w:rsid w:val="00A832FE"/>
    <w:rsid w:val="00A83358"/>
    <w:rsid w:val="00A83453"/>
    <w:rsid w:val="00A834B7"/>
    <w:rsid w:val="00A83527"/>
    <w:rsid w:val="00A835A7"/>
    <w:rsid w:val="00A836AD"/>
    <w:rsid w:val="00A83731"/>
    <w:rsid w:val="00A837BD"/>
    <w:rsid w:val="00A8395C"/>
    <w:rsid w:val="00A83985"/>
    <w:rsid w:val="00A839A5"/>
    <w:rsid w:val="00A839B2"/>
    <w:rsid w:val="00A839D9"/>
    <w:rsid w:val="00A83A09"/>
    <w:rsid w:val="00A83B15"/>
    <w:rsid w:val="00A83B1F"/>
    <w:rsid w:val="00A83B52"/>
    <w:rsid w:val="00A83C2A"/>
    <w:rsid w:val="00A83D0B"/>
    <w:rsid w:val="00A83DA3"/>
    <w:rsid w:val="00A83DB5"/>
    <w:rsid w:val="00A83DB9"/>
    <w:rsid w:val="00A83E8A"/>
    <w:rsid w:val="00A83EB4"/>
    <w:rsid w:val="00A83EC6"/>
    <w:rsid w:val="00A83EE0"/>
    <w:rsid w:val="00A83F23"/>
    <w:rsid w:val="00A83F88"/>
    <w:rsid w:val="00A8416C"/>
    <w:rsid w:val="00A8416F"/>
    <w:rsid w:val="00A84290"/>
    <w:rsid w:val="00A842B1"/>
    <w:rsid w:val="00A84317"/>
    <w:rsid w:val="00A844D8"/>
    <w:rsid w:val="00A8452C"/>
    <w:rsid w:val="00A84586"/>
    <w:rsid w:val="00A84922"/>
    <w:rsid w:val="00A849E1"/>
    <w:rsid w:val="00A84A92"/>
    <w:rsid w:val="00A84AF8"/>
    <w:rsid w:val="00A84B17"/>
    <w:rsid w:val="00A84BCA"/>
    <w:rsid w:val="00A84BDA"/>
    <w:rsid w:val="00A84C7D"/>
    <w:rsid w:val="00A84CA6"/>
    <w:rsid w:val="00A84D04"/>
    <w:rsid w:val="00A84E2C"/>
    <w:rsid w:val="00A84FF5"/>
    <w:rsid w:val="00A8505C"/>
    <w:rsid w:val="00A850FF"/>
    <w:rsid w:val="00A85123"/>
    <w:rsid w:val="00A8537F"/>
    <w:rsid w:val="00A853D6"/>
    <w:rsid w:val="00A85434"/>
    <w:rsid w:val="00A8543F"/>
    <w:rsid w:val="00A85452"/>
    <w:rsid w:val="00A85559"/>
    <w:rsid w:val="00A8558A"/>
    <w:rsid w:val="00A85698"/>
    <w:rsid w:val="00A8569C"/>
    <w:rsid w:val="00A8588C"/>
    <w:rsid w:val="00A859BE"/>
    <w:rsid w:val="00A85A19"/>
    <w:rsid w:val="00A85A7C"/>
    <w:rsid w:val="00A85D70"/>
    <w:rsid w:val="00A85D8F"/>
    <w:rsid w:val="00A85E8B"/>
    <w:rsid w:val="00A85EE5"/>
    <w:rsid w:val="00A8600E"/>
    <w:rsid w:val="00A86015"/>
    <w:rsid w:val="00A8613D"/>
    <w:rsid w:val="00A86153"/>
    <w:rsid w:val="00A86326"/>
    <w:rsid w:val="00A8639C"/>
    <w:rsid w:val="00A863A9"/>
    <w:rsid w:val="00A86559"/>
    <w:rsid w:val="00A865B4"/>
    <w:rsid w:val="00A86759"/>
    <w:rsid w:val="00A86775"/>
    <w:rsid w:val="00A867A5"/>
    <w:rsid w:val="00A86866"/>
    <w:rsid w:val="00A868AE"/>
    <w:rsid w:val="00A86A17"/>
    <w:rsid w:val="00A86A23"/>
    <w:rsid w:val="00A86B45"/>
    <w:rsid w:val="00A86F77"/>
    <w:rsid w:val="00A86F99"/>
    <w:rsid w:val="00A87035"/>
    <w:rsid w:val="00A87050"/>
    <w:rsid w:val="00A870A9"/>
    <w:rsid w:val="00A8717C"/>
    <w:rsid w:val="00A87346"/>
    <w:rsid w:val="00A87524"/>
    <w:rsid w:val="00A87589"/>
    <w:rsid w:val="00A876DC"/>
    <w:rsid w:val="00A87807"/>
    <w:rsid w:val="00A8788F"/>
    <w:rsid w:val="00A87901"/>
    <w:rsid w:val="00A8797D"/>
    <w:rsid w:val="00A87995"/>
    <w:rsid w:val="00A87AA2"/>
    <w:rsid w:val="00A87B0A"/>
    <w:rsid w:val="00A87B40"/>
    <w:rsid w:val="00A87BCE"/>
    <w:rsid w:val="00A87D29"/>
    <w:rsid w:val="00A87DA1"/>
    <w:rsid w:val="00A87E2C"/>
    <w:rsid w:val="00A90282"/>
    <w:rsid w:val="00A9038B"/>
    <w:rsid w:val="00A903A9"/>
    <w:rsid w:val="00A90410"/>
    <w:rsid w:val="00A90889"/>
    <w:rsid w:val="00A90940"/>
    <w:rsid w:val="00A909E9"/>
    <w:rsid w:val="00A90B74"/>
    <w:rsid w:val="00A90BAF"/>
    <w:rsid w:val="00A90DAA"/>
    <w:rsid w:val="00A90E49"/>
    <w:rsid w:val="00A90EE3"/>
    <w:rsid w:val="00A90F07"/>
    <w:rsid w:val="00A90F6E"/>
    <w:rsid w:val="00A90FC3"/>
    <w:rsid w:val="00A9101E"/>
    <w:rsid w:val="00A91021"/>
    <w:rsid w:val="00A9107A"/>
    <w:rsid w:val="00A9119E"/>
    <w:rsid w:val="00A91299"/>
    <w:rsid w:val="00A912C8"/>
    <w:rsid w:val="00A9136E"/>
    <w:rsid w:val="00A91394"/>
    <w:rsid w:val="00A913EC"/>
    <w:rsid w:val="00A914F7"/>
    <w:rsid w:val="00A91579"/>
    <w:rsid w:val="00A915C9"/>
    <w:rsid w:val="00A916AA"/>
    <w:rsid w:val="00A917D8"/>
    <w:rsid w:val="00A91889"/>
    <w:rsid w:val="00A9197C"/>
    <w:rsid w:val="00A919F1"/>
    <w:rsid w:val="00A91B1D"/>
    <w:rsid w:val="00A91C01"/>
    <w:rsid w:val="00A91C72"/>
    <w:rsid w:val="00A91D55"/>
    <w:rsid w:val="00A91E8E"/>
    <w:rsid w:val="00A91ED1"/>
    <w:rsid w:val="00A91EE6"/>
    <w:rsid w:val="00A91F77"/>
    <w:rsid w:val="00A9244A"/>
    <w:rsid w:val="00A924BF"/>
    <w:rsid w:val="00A924D4"/>
    <w:rsid w:val="00A924EB"/>
    <w:rsid w:val="00A92585"/>
    <w:rsid w:val="00A92589"/>
    <w:rsid w:val="00A925FE"/>
    <w:rsid w:val="00A92629"/>
    <w:rsid w:val="00A9265F"/>
    <w:rsid w:val="00A927EF"/>
    <w:rsid w:val="00A92810"/>
    <w:rsid w:val="00A92829"/>
    <w:rsid w:val="00A92A80"/>
    <w:rsid w:val="00A92C71"/>
    <w:rsid w:val="00A92C98"/>
    <w:rsid w:val="00A92DAD"/>
    <w:rsid w:val="00A92E04"/>
    <w:rsid w:val="00A92E99"/>
    <w:rsid w:val="00A92F6B"/>
    <w:rsid w:val="00A92F75"/>
    <w:rsid w:val="00A92FF0"/>
    <w:rsid w:val="00A930EA"/>
    <w:rsid w:val="00A93232"/>
    <w:rsid w:val="00A93238"/>
    <w:rsid w:val="00A93321"/>
    <w:rsid w:val="00A9339E"/>
    <w:rsid w:val="00A93592"/>
    <w:rsid w:val="00A935EB"/>
    <w:rsid w:val="00A9362D"/>
    <w:rsid w:val="00A93701"/>
    <w:rsid w:val="00A937ED"/>
    <w:rsid w:val="00A93A12"/>
    <w:rsid w:val="00A93DA1"/>
    <w:rsid w:val="00A93F8A"/>
    <w:rsid w:val="00A93FBA"/>
    <w:rsid w:val="00A93FE0"/>
    <w:rsid w:val="00A940C5"/>
    <w:rsid w:val="00A9411A"/>
    <w:rsid w:val="00A941B0"/>
    <w:rsid w:val="00A94366"/>
    <w:rsid w:val="00A943BE"/>
    <w:rsid w:val="00A94408"/>
    <w:rsid w:val="00A9449C"/>
    <w:rsid w:val="00A945C1"/>
    <w:rsid w:val="00A945C6"/>
    <w:rsid w:val="00A94701"/>
    <w:rsid w:val="00A948E6"/>
    <w:rsid w:val="00A94941"/>
    <w:rsid w:val="00A94984"/>
    <w:rsid w:val="00A94B4D"/>
    <w:rsid w:val="00A94B62"/>
    <w:rsid w:val="00A94B75"/>
    <w:rsid w:val="00A94BFF"/>
    <w:rsid w:val="00A94DE2"/>
    <w:rsid w:val="00A94E9F"/>
    <w:rsid w:val="00A94EB0"/>
    <w:rsid w:val="00A950F3"/>
    <w:rsid w:val="00A95313"/>
    <w:rsid w:val="00A953FF"/>
    <w:rsid w:val="00A95522"/>
    <w:rsid w:val="00A95649"/>
    <w:rsid w:val="00A9568A"/>
    <w:rsid w:val="00A956CC"/>
    <w:rsid w:val="00A95731"/>
    <w:rsid w:val="00A95734"/>
    <w:rsid w:val="00A9599A"/>
    <w:rsid w:val="00A95A8D"/>
    <w:rsid w:val="00A95D89"/>
    <w:rsid w:val="00A95F40"/>
    <w:rsid w:val="00A96001"/>
    <w:rsid w:val="00A9604E"/>
    <w:rsid w:val="00A96074"/>
    <w:rsid w:val="00A960CA"/>
    <w:rsid w:val="00A9619F"/>
    <w:rsid w:val="00A961D7"/>
    <w:rsid w:val="00A96238"/>
    <w:rsid w:val="00A9629C"/>
    <w:rsid w:val="00A962F7"/>
    <w:rsid w:val="00A96321"/>
    <w:rsid w:val="00A96327"/>
    <w:rsid w:val="00A96332"/>
    <w:rsid w:val="00A963B4"/>
    <w:rsid w:val="00A964EB"/>
    <w:rsid w:val="00A9651E"/>
    <w:rsid w:val="00A9653D"/>
    <w:rsid w:val="00A965F0"/>
    <w:rsid w:val="00A966B4"/>
    <w:rsid w:val="00A966E6"/>
    <w:rsid w:val="00A969B8"/>
    <w:rsid w:val="00A96A1C"/>
    <w:rsid w:val="00A96C22"/>
    <w:rsid w:val="00A96D63"/>
    <w:rsid w:val="00A96E11"/>
    <w:rsid w:val="00A96F49"/>
    <w:rsid w:val="00A96F4B"/>
    <w:rsid w:val="00A973C7"/>
    <w:rsid w:val="00A9743A"/>
    <w:rsid w:val="00A9783B"/>
    <w:rsid w:val="00A97984"/>
    <w:rsid w:val="00A97B6C"/>
    <w:rsid w:val="00A97BD5"/>
    <w:rsid w:val="00A97C50"/>
    <w:rsid w:val="00A97F1C"/>
    <w:rsid w:val="00A97F33"/>
    <w:rsid w:val="00A97FD1"/>
    <w:rsid w:val="00AA023A"/>
    <w:rsid w:val="00AA0337"/>
    <w:rsid w:val="00AA033E"/>
    <w:rsid w:val="00AA0369"/>
    <w:rsid w:val="00AA03B1"/>
    <w:rsid w:val="00AA0423"/>
    <w:rsid w:val="00AA049C"/>
    <w:rsid w:val="00AA052B"/>
    <w:rsid w:val="00AA0934"/>
    <w:rsid w:val="00AA0CDF"/>
    <w:rsid w:val="00AA0E38"/>
    <w:rsid w:val="00AA0EFF"/>
    <w:rsid w:val="00AA0FBA"/>
    <w:rsid w:val="00AA103D"/>
    <w:rsid w:val="00AA10CF"/>
    <w:rsid w:val="00AA119F"/>
    <w:rsid w:val="00AA1239"/>
    <w:rsid w:val="00AA1244"/>
    <w:rsid w:val="00AA12BD"/>
    <w:rsid w:val="00AA1526"/>
    <w:rsid w:val="00AA155F"/>
    <w:rsid w:val="00AA15F9"/>
    <w:rsid w:val="00AA1656"/>
    <w:rsid w:val="00AA1665"/>
    <w:rsid w:val="00AA1695"/>
    <w:rsid w:val="00AA17E8"/>
    <w:rsid w:val="00AA184C"/>
    <w:rsid w:val="00AA1B90"/>
    <w:rsid w:val="00AA1D50"/>
    <w:rsid w:val="00AA1E2D"/>
    <w:rsid w:val="00AA1FBB"/>
    <w:rsid w:val="00AA1FE0"/>
    <w:rsid w:val="00AA2010"/>
    <w:rsid w:val="00AA2079"/>
    <w:rsid w:val="00AA22C8"/>
    <w:rsid w:val="00AA2459"/>
    <w:rsid w:val="00AA250E"/>
    <w:rsid w:val="00AA25C9"/>
    <w:rsid w:val="00AA266C"/>
    <w:rsid w:val="00AA2676"/>
    <w:rsid w:val="00AA27BE"/>
    <w:rsid w:val="00AA287C"/>
    <w:rsid w:val="00AA2900"/>
    <w:rsid w:val="00AA294E"/>
    <w:rsid w:val="00AA2978"/>
    <w:rsid w:val="00AA29E5"/>
    <w:rsid w:val="00AA2CA1"/>
    <w:rsid w:val="00AA2F17"/>
    <w:rsid w:val="00AA2F4B"/>
    <w:rsid w:val="00AA2FA8"/>
    <w:rsid w:val="00AA3186"/>
    <w:rsid w:val="00AA31EC"/>
    <w:rsid w:val="00AA3244"/>
    <w:rsid w:val="00AA341D"/>
    <w:rsid w:val="00AA36E7"/>
    <w:rsid w:val="00AA36E9"/>
    <w:rsid w:val="00AA3928"/>
    <w:rsid w:val="00AA396A"/>
    <w:rsid w:val="00AA3A58"/>
    <w:rsid w:val="00AA3AC5"/>
    <w:rsid w:val="00AA3C07"/>
    <w:rsid w:val="00AA3C49"/>
    <w:rsid w:val="00AA3C65"/>
    <w:rsid w:val="00AA3CD0"/>
    <w:rsid w:val="00AA3CF7"/>
    <w:rsid w:val="00AA3D10"/>
    <w:rsid w:val="00AA3DB8"/>
    <w:rsid w:val="00AA3E5C"/>
    <w:rsid w:val="00AA3F0B"/>
    <w:rsid w:val="00AA3F23"/>
    <w:rsid w:val="00AA41E7"/>
    <w:rsid w:val="00AA4277"/>
    <w:rsid w:val="00AA4534"/>
    <w:rsid w:val="00AA45EE"/>
    <w:rsid w:val="00AA465A"/>
    <w:rsid w:val="00AA47D4"/>
    <w:rsid w:val="00AA4864"/>
    <w:rsid w:val="00AA4A6F"/>
    <w:rsid w:val="00AA4BD8"/>
    <w:rsid w:val="00AA4BFB"/>
    <w:rsid w:val="00AA4C64"/>
    <w:rsid w:val="00AA4C91"/>
    <w:rsid w:val="00AA4D1C"/>
    <w:rsid w:val="00AA4E3A"/>
    <w:rsid w:val="00AA4E82"/>
    <w:rsid w:val="00AA4EE8"/>
    <w:rsid w:val="00AA4F0F"/>
    <w:rsid w:val="00AA4FA9"/>
    <w:rsid w:val="00AA5076"/>
    <w:rsid w:val="00AA5159"/>
    <w:rsid w:val="00AA5265"/>
    <w:rsid w:val="00AA5400"/>
    <w:rsid w:val="00AA5667"/>
    <w:rsid w:val="00AA575D"/>
    <w:rsid w:val="00AA58DB"/>
    <w:rsid w:val="00AA59D9"/>
    <w:rsid w:val="00AA5A2D"/>
    <w:rsid w:val="00AA5A54"/>
    <w:rsid w:val="00AA5AE9"/>
    <w:rsid w:val="00AA5B13"/>
    <w:rsid w:val="00AA5B22"/>
    <w:rsid w:val="00AA5B25"/>
    <w:rsid w:val="00AA5C6A"/>
    <w:rsid w:val="00AA5C8D"/>
    <w:rsid w:val="00AA5D1D"/>
    <w:rsid w:val="00AA5EB2"/>
    <w:rsid w:val="00AA5F2D"/>
    <w:rsid w:val="00AA6019"/>
    <w:rsid w:val="00AA6147"/>
    <w:rsid w:val="00AA6394"/>
    <w:rsid w:val="00AA6420"/>
    <w:rsid w:val="00AA6579"/>
    <w:rsid w:val="00AA67F1"/>
    <w:rsid w:val="00AA682E"/>
    <w:rsid w:val="00AA69A9"/>
    <w:rsid w:val="00AA6B0E"/>
    <w:rsid w:val="00AA6B1A"/>
    <w:rsid w:val="00AA6B5A"/>
    <w:rsid w:val="00AA6BE5"/>
    <w:rsid w:val="00AA6C0A"/>
    <w:rsid w:val="00AA6CAF"/>
    <w:rsid w:val="00AA6CC1"/>
    <w:rsid w:val="00AA6EBB"/>
    <w:rsid w:val="00AA6F1C"/>
    <w:rsid w:val="00AA70F0"/>
    <w:rsid w:val="00AA716C"/>
    <w:rsid w:val="00AA7254"/>
    <w:rsid w:val="00AA72A9"/>
    <w:rsid w:val="00AA7504"/>
    <w:rsid w:val="00AA7593"/>
    <w:rsid w:val="00AA763C"/>
    <w:rsid w:val="00AA770F"/>
    <w:rsid w:val="00AA7819"/>
    <w:rsid w:val="00AA798D"/>
    <w:rsid w:val="00AA7B20"/>
    <w:rsid w:val="00AA7CCA"/>
    <w:rsid w:val="00AA7DC1"/>
    <w:rsid w:val="00AA7DFC"/>
    <w:rsid w:val="00AA7E25"/>
    <w:rsid w:val="00AA7E3D"/>
    <w:rsid w:val="00AB01DC"/>
    <w:rsid w:val="00AB041B"/>
    <w:rsid w:val="00AB0531"/>
    <w:rsid w:val="00AB0562"/>
    <w:rsid w:val="00AB0573"/>
    <w:rsid w:val="00AB0696"/>
    <w:rsid w:val="00AB08D7"/>
    <w:rsid w:val="00AB0A32"/>
    <w:rsid w:val="00AB0A3C"/>
    <w:rsid w:val="00AB0AC8"/>
    <w:rsid w:val="00AB0ADC"/>
    <w:rsid w:val="00AB0B1E"/>
    <w:rsid w:val="00AB0B74"/>
    <w:rsid w:val="00AB0C6D"/>
    <w:rsid w:val="00AB0D5A"/>
    <w:rsid w:val="00AB0E7D"/>
    <w:rsid w:val="00AB0F51"/>
    <w:rsid w:val="00AB0FD9"/>
    <w:rsid w:val="00AB100D"/>
    <w:rsid w:val="00AB10AB"/>
    <w:rsid w:val="00AB10F9"/>
    <w:rsid w:val="00AB1286"/>
    <w:rsid w:val="00AB139A"/>
    <w:rsid w:val="00AB159D"/>
    <w:rsid w:val="00AB1678"/>
    <w:rsid w:val="00AB1704"/>
    <w:rsid w:val="00AB172E"/>
    <w:rsid w:val="00AB181F"/>
    <w:rsid w:val="00AB1921"/>
    <w:rsid w:val="00AB192D"/>
    <w:rsid w:val="00AB1BB5"/>
    <w:rsid w:val="00AB1CF6"/>
    <w:rsid w:val="00AB1D79"/>
    <w:rsid w:val="00AB1EA4"/>
    <w:rsid w:val="00AB1ED0"/>
    <w:rsid w:val="00AB1EEC"/>
    <w:rsid w:val="00AB1F66"/>
    <w:rsid w:val="00AB1FB4"/>
    <w:rsid w:val="00AB1FDA"/>
    <w:rsid w:val="00AB2006"/>
    <w:rsid w:val="00AB202F"/>
    <w:rsid w:val="00AB2360"/>
    <w:rsid w:val="00AB23DB"/>
    <w:rsid w:val="00AB23EC"/>
    <w:rsid w:val="00AB23F7"/>
    <w:rsid w:val="00AB2412"/>
    <w:rsid w:val="00AB247D"/>
    <w:rsid w:val="00AB24DD"/>
    <w:rsid w:val="00AB251A"/>
    <w:rsid w:val="00AB25AF"/>
    <w:rsid w:val="00AB25B7"/>
    <w:rsid w:val="00AB26D8"/>
    <w:rsid w:val="00AB2782"/>
    <w:rsid w:val="00AB28F6"/>
    <w:rsid w:val="00AB29C4"/>
    <w:rsid w:val="00AB2A37"/>
    <w:rsid w:val="00AB2A8C"/>
    <w:rsid w:val="00AB2AC3"/>
    <w:rsid w:val="00AB2BA0"/>
    <w:rsid w:val="00AB2C14"/>
    <w:rsid w:val="00AB2C89"/>
    <w:rsid w:val="00AB2D26"/>
    <w:rsid w:val="00AB2D2B"/>
    <w:rsid w:val="00AB2DAE"/>
    <w:rsid w:val="00AB2EAB"/>
    <w:rsid w:val="00AB2F21"/>
    <w:rsid w:val="00AB2F85"/>
    <w:rsid w:val="00AB3059"/>
    <w:rsid w:val="00AB3078"/>
    <w:rsid w:val="00AB309A"/>
    <w:rsid w:val="00AB3110"/>
    <w:rsid w:val="00AB3481"/>
    <w:rsid w:val="00AB36D9"/>
    <w:rsid w:val="00AB3767"/>
    <w:rsid w:val="00AB37DA"/>
    <w:rsid w:val="00AB38AA"/>
    <w:rsid w:val="00AB38CA"/>
    <w:rsid w:val="00AB38FA"/>
    <w:rsid w:val="00AB393F"/>
    <w:rsid w:val="00AB3B7A"/>
    <w:rsid w:val="00AB3B8C"/>
    <w:rsid w:val="00AB3B96"/>
    <w:rsid w:val="00AB3C02"/>
    <w:rsid w:val="00AB3D1A"/>
    <w:rsid w:val="00AB3D4F"/>
    <w:rsid w:val="00AB3D54"/>
    <w:rsid w:val="00AB3D89"/>
    <w:rsid w:val="00AB3D9A"/>
    <w:rsid w:val="00AB3E0C"/>
    <w:rsid w:val="00AB3EF7"/>
    <w:rsid w:val="00AB402B"/>
    <w:rsid w:val="00AB4135"/>
    <w:rsid w:val="00AB417B"/>
    <w:rsid w:val="00AB419C"/>
    <w:rsid w:val="00AB43A2"/>
    <w:rsid w:val="00AB43C9"/>
    <w:rsid w:val="00AB44F5"/>
    <w:rsid w:val="00AB471F"/>
    <w:rsid w:val="00AB48D0"/>
    <w:rsid w:val="00AB4A31"/>
    <w:rsid w:val="00AB4A3B"/>
    <w:rsid w:val="00AB4A6A"/>
    <w:rsid w:val="00AB4B27"/>
    <w:rsid w:val="00AB4BA6"/>
    <w:rsid w:val="00AB4C3A"/>
    <w:rsid w:val="00AB4CFF"/>
    <w:rsid w:val="00AB4D16"/>
    <w:rsid w:val="00AB4DFB"/>
    <w:rsid w:val="00AB5075"/>
    <w:rsid w:val="00AB5370"/>
    <w:rsid w:val="00AB53DA"/>
    <w:rsid w:val="00AB5476"/>
    <w:rsid w:val="00AB54E3"/>
    <w:rsid w:val="00AB5776"/>
    <w:rsid w:val="00AB57D5"/>
    <w:rsid w:val="00AB57E5"/>
    <w:rsid w:val="00AB5889"/>
    <w:rsid w:val="00AB592B"/>
    <w:rsid w:val="00AB594C"/>
    <w:rsid w:val="00AB59B9"/>
    <w:rsid w:val="00AB5AA8"/>
    <w:rsid w:val="00AB5B2A"/>
    <w:rsid w:val="00AB5B45"/>
    <w:rsid w:val="00AB5C66"/>
    <w:rsid w:val="00AB5C76"/>
    <w:rsid w:val="00AB5D05"/>
    <w:rsid w:val="00AB5E21"/>
    <w:rsid w:val="00AB5E90"/>
    <w:rsid w:val="00AB600B"/>
    <w:rsid w:val="00AB616C"/>
    <w:rsid w:val="00AB618A"/>
    <w:rsid w:val="00AB626C"/>
    <w:rsid w:val="00AB62E9"/>
    <w:rsid w:val="00AB642F"/>
    <w:rsid w:val="00AB64DE"/>
    <w:rsid w:val="00AB65B9"/>
    <w:rsid w:val="00AB6692"/>
    <w:rsid w:val="00AB6AF4"/>
    <w:rsid w:val="00AB6BA4"/>
    <w:rsid w:val="00AB6C70"/>
    <w:rsid w:val="00AB6C92"/>
    <w:rsid w:val="00AB6D8C"/>
    <w:rsid w:val="00AB6E05"/>
    <w:rsid w:val="00AB6E52"/>
    <w:rsid w:val="00AB7064"/>
    <w:rsid w:val="00AB718E"/>
    <w:rsid w:val="00AB722E"/>
    <w:rsid w:val="00AB72A1"/>
    <w:rsid w:val="00AB72B4"/>
    <w:rsid w:val="00AB74E3"/>
    <w:rsid w:val="00AB7530"/>
    <w:rsid w:val="00AB758D"/>
    <w:rsid w:val="00AB765B"/>
    <w:rsid w:val="00AB76B9"/>
    <w:rsid w:val="00AB78E1"/>
    <w:rsid w:val="00AB7CD8"/>
    <w:rsid w:val="00AB7D82"/>
    <w:rsid w:val="00AB7FA1"/>
    <w:rsid w:val="00AC002E"/>
    <w:rsid w:val="00AC0097"/>
    <w:rsid w:val="00AC01E0"/>
    <w:rsid w:val="00AC01EE"/>
    <w:rsid w:val="00AC0235"/>
    <w:rsid w:val="00AC0267"/>
    <w:rsid w:val="00AC026C"/>
    <w:rsid w:val="00AC0373"/>
    <w:rsid w:val="00AC0460"/>
    <w:rsid w:val="00AC04E3"/>
    <w:rsid w:val="00AC05FB"/>
    <w:rsid w:val="00AC060D"/>
    <w:rsid w:val="00AC062A"/>
    <w:rsid w:val="00AC06BE"/>
    <w:rsid w:val="00AC06F7"/>
    <w:rsid w:val="00AC074F"/>
    <w:rsid w:val="00AC07B6"/>
    <w:rsid w:val="00AC0801"/>
    <w:rsid w:val="00AC0902"/>
    <w:rsid w:val="00AC091F"/>
    <w:rsid w:val="00AC0977"/>
    <w:rsid w:val="00AC09B7"/>
    <w:rsid w:val="00AC09D8"/>
    <w:rsid w:val="00AC09ED"/>
    <w:rsid w:val="00AC0A0D"/>
    <w:rsid w:val="00AC0A15"/>
    <w:rsid w:val="00AC0A4F"/>
    <w:rsid w:val="00AC0A50"/>
    <w:rsid w:val="00AC0A71"/>
    <w:rsid w:val="00AC0BA4"/>
    <w:rsid w:val="00AC0BEA"/>
    <w:rsid w:val="00AC0D07"/>
    <w:rsid w:val="00AC0DCA"/>
    <w:rsid w:val="00AC0F40"/>
    <w:rsid w:val="00AC10E8"/>
    <w:rsid w:val="00AC1312"/>
    <w:rsid w:val="00AC13DA"/>
    <w:rsid w:val="00AC13F0"/>
    <w:rsid w:val="00AC164A"/>
    <w:rsid w:val="00AC1670"/>
    <w:rsid w:val="00AC16B2"/>
    <w:rsid w:val="00AC1745"/>
    <w:rsid w:val="00AC1799"/>
    <w:rsid w:val="00AC1849"/>
    <w:rsid w:val="00AC19B3"/>
    <w:rsid w:val="00AC1B32"/>
    <w:rsid w:val="00AC1D3D"/>
    <w:rsid w:val="00AC1D46"/>
    <w:rsid w:val="00AC1D70"/>
    <w:rsid w:val="00AC1D7B"/>
    <w:rsid w:val="00AC1D8E"/>
    <w:rsid w:val="00AC1E38"/>
    <w:rsid w:val="00AC1F0C"/>
    <w:rsid w:val="00AC1FFA"/>
    <w:rsid w:val="00AC20A1"/>
    <w:rsid w:val="00AC23EE"/>
    <w:rsid w:val="00AC2728"/>
    <w:rsid w:val="00AC2780"/>
    <w:rsid w:val="00AC2847"/>
    <w:rsid w:val="00AC28A6"/>
    <w:rsid w:val="00AC29AE"/>
    <w:rsid w:val="00AC29F7"/>
    <w:rsid w:val="00AC2AC3"/>
    <w:rsid w:val="00AC2B37"/>
    <w:rsid w:val="00AC2C64"/>
    <w:rsid w:val="00AC2CBF"/>
    <w:rsid w:val="00AC2CC0"/>
    <w:rsid w:val="00AC2FC4"/>
    <w:rsid w:val="00AC2FF8"/>
    <w:rsid w:val="00AC3125"/>
    <w:rsid w:val="00AC3141"/>
    <w:rsid w:val="00AC314B"/>
    <w:rsid w:val="00AC330D"/>
    <w:rsid w:val="00AC33C2"/>
    <w:rsid w:val="00AC33C4"/>
    <w:rsid w:val="00AC34DD"/>
    <w:rsid w:val="00AC359B"/>
    <w:rsid w:val="00AC35E3"/>
    <w:rsid w:val="00AC3633"/>
    <w:rsid w:val="00AC3641"/>
    <w:rsid w:val="00AC3718"/>
    <w:rsid w:val="00AC37A4"/>
    <w:rsid w:val="00AC37B4"/>
    <w:rsid w:val="00AC37D4"/>
    <w:rsid w:val="00AC38C1"/>
    <w:rsid w:val="00AC38ED"/>
    <w:rsid w:val="00AC3A22"/>
    <w:rsid w:val="00AC3A97"/>
    <w:rsid w:val="00AC3BAD"/>
    <w:rsid w:val="00AC3BF8"/>
    <w:rsid w:val="00AC3CC9"/>
    <w:rsid w:val="00AC3D19"/>
    <w:rsid w:val="00AC3DC8"/>
    <w:rsid w:val="00AC3E5D"/>
    <w:rsid w:val="00AC3F00"/>
    <w:rsid w:val="00AC3FFA"/>
    <w:rsid w:val="00AC406D"/>
    <w:rsid w:val="00AC4154"/>
    <w:rsid w:val="00AC42FA"/>
    <w:rsid w:val="00AC4553"/>
    <w:rsid w:val="00AC46A9"/>
    <w:rsid w:val="00AC474B"/>
    <w:rsid w:val="00AC476B"/>
    <w:rsid w:val="00AC477E"/>
    <w:rsid w:val="00AC4851"/>
    <w:rsid w:val="00AC48AC"/>
    <w:rsid w:val="00AC48B4"/>
    <w:rsid w:val="00AC48F5"/>
    <w:rsid w:val="00AC497E"/>
    <w:rsid w:val="00AC49C5"/>
    <w:rsid w:val="00AC49F7"/>
    <w:rsid w:val="00AC4AC8"/>
    <w:rsid w:val="00AC4B71"/>
    <w:rsid w:val="00AC4BF6"/>
    <w:rsid w:val="00AC4C4C"/>
    <w:rsid w:val="00AC4CA7"/>
    <w:rsid w:val="00AC4E82"/>
    <w:rsid w:val="00AC4EA0"/>
    <w:rsid w:val="00AC4F8E"/>
    <w:rsid w:val="00AC510D"/>
    <w:rsid w:val="00AC510F"/>
    <w:rsid w:val="00AC5165"/>
    <w:rsid w:val="00AC5176"/>
    <w:rsid w:val="00AC518A"/>
    <w:rsid w:val="00AC51AC"/>
    <w:rsid w:val="00AC52BC"/>
    <w:rsid w:val="00AC52D8"/>
    <w:rsid w:val="00AC5329"/>
    <w:rsid w:val="00AC555D"/>
    <w:rsid w:val="00AC576B"/>
    <w:rsid w:val="00AC5770"/>
    <w:rsid w:val="00AC57A1"/>
    <w:rsid w:val="00AC57B1"/>
    <w:rsid w:val="00AC58E6"/>
    <w:rsid w:val="00AC5983"/>
    <w:rsid w:val="00AC59E3"/>
    <w:rsid w:val="00AC5AB2"/>
    <w:rsid w:val="00AC5ABB"/>
    <w:rsid w:val="00AC5B31"/>
    <w:rsid w:val="00AC5C64"/>
    <w:rsid w:val="00AC5C6E"/>
    <w:rsid w:val="00AC5D89"/>
    <w:rsid w:val="00AC5DA9"/>
    <w:rsid w:val="00AC5DCC"/>
    <w:rsid w:val="00AC5E18"/>
    <w:rsid w:val="00AC5F1C"/>
    <w:rsid w:val="00AC5FAD"/>
    <w:rsid w:val="00AC600A"/>
    <w:rsid w:val="00AC60BE"/>
    <w:rsid w:val="00AC64B9"/>
    <w:rsid w:val="00AC6566"/>
    <w:rsid w:val="00AC6673"/>
    <w:rsid w:val="00AC66D1"/>
    <w:rsid w:val="00AC6823"/>
    <w:rsid w:val="00AC687C"/>
    <w:rsid w:val="00AC6995"/>
    <w:rsid w:val="00AC69B9"/>
    <w:rsid w:val="00AC69D3"/>
    <w:rsid w:val="00AC6AD2"/>
    <w:rsid w:val="00AC6B69"/>
    <w:rsid w:val="00AC6B7A"/>
    <w:rsid w:val="00AC6B81"/>
    <w:rsid w:val="00AC6C17"/>
    <w:rsid w:val="00AC6C69"/>
    <w:rsid w:val="00AC6CE4"/>
    <w:rsid w:val="00AC6D44"/>
    <w:rsid w:val="00AC706A"/>
    <w:rsid w:val="00AC7072"/>
    <w:rsid w:val="00AC70D3"/>
    <w:rsid w:val="00AC7118"/>
    <w:rsid w:val="00AC72AD"/>
    <w:rsid w:val="00AC731E"/>
    <w:rsid w:val="00AC73ED"/>
    <w:rsid w:val="00AC73F0"/>
    <w:rsid w:val="00AC73FA"/>
    <w:rsid w:val="00AC74A3"/>
    <w:rsid w:val="00AC74AF"/>
    <w:rsid w:val="00AC74B9"/>
    <w:rsid w:val="00AC75E9"/>
    <w:rsid w:val="00AC7655"/>
    <w:rsid w:val="00AC765F"/>
    <w:rsid w:val="00AC76C3"/>
    <w:rsid w:val="00AC77B2"/>
    <w:rsid w:val="00AC7A83"/>
    <w:rsid w:val="00AC7AB4"/>
    <w:rsid w:val="00AC7C23"/>
    <w:rsid w:val="00AC7C2C"/>
    <w:rsid w:val="00AC7D5E"/>
    <w:rsid w:val="00AC7DC2"/>
    <w:rsid w:val="00AC7E47"/>
    <w:rsid w:val="00AD02AC"/>
    <w:rsid w:val="00AD02FA"/>
    <w:rsid w:val="00AD034D"/>
    <w:rsid w:val="00AD0686"/>
    <w:rsid w:val="00AD07C5"/>
    <w:rsid w:val="00AD0858"/>
    <w:rsid w:val="00AD0873"/>
    <w:rsid w:val="00AD08E2"/>
    <w:rsid w:val="00AD0B86"/>
    <w:rsid w:val="00AD0C8B"/>
    <w:rsid w:val="00AD0D91"/>
    <w:rsid w:val="00AD0EAA"/>
    <w:rsid w:val="00AD0F0B"/>
    <w:rsid w:val="00AD0F52"/>
    <w:rsid w:val="00AD0F65"/>
    <w:rsid w:val="00AD0F6E"/>
    <w:rsid w:val="00AD1012"/>
    <w:rsid w:val="00AD1090"/>
    <w:rsid w:val="00AD10C1"/>
    <w:rsid w:val="00AD10E3"/>
    <w:rsid w:val="00AD12C7"/>
    <w:rsid w:val="00AD12C9"/>
    <w:rsid w:val="00AD1426"/>
    <w:rsid w:val="00AD17CA"/>
    <w:rsid w:val="00AD1863"/>
    <w:rsid w:val="00AD1881"/>
    <w:rsid w:val="00AD1A05"/>
    <w:rsid w:val="00AD1ADA"/>
    <w:rsid w:val="00AD1B80"/>
    <w:rsid w:val="00AD1BB0"/>
    <w:rsid w:val="00AD1C97"/>
    <w:rsid w:val="00AD1D00"/>
    <w:rsid w:val="00AD1E78"/>
    <w:rsid w:val="00AD1E7B"/>
    <w:rsid w:val="00AD2162"/>
    <w:rsid w:val="00AD21A8"/>
    <w:rsid w:val="00AD21EC"/>
    <w:rsid w:val="00AD2373"/>
    <w:rsid w:val="00AD2433"/>
    <w:rsid w:val="00AD249D"/>
    <w:rsid w:val="00AD255F"/>
    <w:rsid w:val="00AD2577"/>
    <w:rsid w:val="00AD2679"/>
    <w:rsid w:val="00AD286F"/>
    <w:rsid w:val="00AD28C6"/>
    <w:rsid w:val="00AD2B03"/>
    <w:rsid w:val="00AD2BD4"/>
    <w:rsid w:val="00AD2E0A"/>
    <w:rsid w:val="00AD2E78"/>
    <w:rsid w:val="00AD2F57"/>
    <w:rsid w:val="00AD2FF2"/>
    <w:rsid w:val="00AD3225"/>
    <w:rsid w:val="00AD32A9"/>
    <w:rsid w:val="00AD3305"/>
    <w:rsid w:val="00AD3327"/>
    <w:rsid w:val="00AD3383"/>
    <w:rsid w:val="00AD3446"/>
    <w:rsid w:val="00AD353A"/>
    <w:rsid w:val="00AD35A3"/>
    <w:rsid w:val="00AD374F"/>
    <w:rsid w:val="00AD37A0"/>
    <w:rsid w:val="00AD3834"/>
    <w:rsid w:val="00AD3902"/>
    <w:rsid w:val="00AD395F"/>
    <w:rsid w:val="00AD39BE"/>
    <w:rsid w:val="00AD3A17"/>
    <w:rsid w:val="00AD3C1F"/>
    <w:rsid w:val="00AD3C2B"/>
    <w:rsid w:val="00AD3D1F"/>
    <w:rsid w:val="00AD3F98"/>
    <w:rsid w:val="00AD401E"/>
    <w:rsid w:val="00AD4036"/>
    <w:rsid w:val="00AD40A0"/>
    <w:rsid w:val="00AD4140"/>
    <w:rsid w:val="00AD421F"/>
    <w:rsid w:val="00AD422D"/>
    <w:rsid w:val="00AD424F"/>
    <w:rsid w:val="00AD42F9"/>
    <w:rsid w:val="00AD43F9"/>
    <w:rsid w:val="00AD4457"/>
    <w:rsid w:val="00AD456C"/>
    <w:rsid w:val="00AD4609"/>
    <w:rsid w:val="00AD4612"/>
    <w:rsid w:val="00AD461F"/>
    <w:rsid w:val="00AD4684"/>
    <w:rsid w:val="00AD469A"/>
    <w:rsid w:val="00AD47F4"/>
    <w:rsid w:val="00AD4965"/>
    <w:rsid w:val="00AD496B"/>
    <w:rsid w:val="00AD49AF"/>
    <w:rsid w:val="00AD4A8C"/>
    <w:rsid w:val="00AD4ADF"/>
    <w:rsid w:val="00AD4B63"/>
    <w:rsid w:val="00AD4B76"/>
    <w:rsid w:val="00AD4C9F"/>
    <w:rsid w:val="00AD4CDD"/>
    <w:rsid w:val="00AD4D33"/>
    <w:rsid w:val="00AD50D9"/>
    <w:rsid w:val="00AD5234"/>
    <w:rsid w:val="00AD5303"/>
    <w:rsid w:val="00AD53A6"/>
    <w:rsid w:val="00AD54AB"/>
    <w:rsid w:val="00AD550F"/>
    <w:rsid w:val="00AD55DC"/>
    <w:rsid w:val="00AD581C"/>
    <w:rsid w:val="00AD5877"/>
    <w:rsid w:val="00AD587D"/>
    <w:rsid w:val="00AD5A6E"/>
    <w:rsid w:val="00AD5B8D"/>
    <w:rsid w:val="00AD5C97"/>
    <w:rsid w:val="00AD5D1F"/>
    <w:rsid w:val="00AD5DED"/>
    <w:rsid w:val="00AD5E10"/>
    <w:rsid w:val="00AD5E4E"/>
    <w:rsid w:val="00AD5E74"/>
    <w:rsid w:val="00AD5F30"/>
    <w:rsid w:val="00AD6070"/>
    <w:rsid w:val="00AD62EA"/>
    <w:rsid w:val="00AD6346"/>
    <w:rsid w:val="00AD63B2"/>
    <w:rsid w:val="00AD63BC"/>
    <w:rsid w:val="00AD645A"/>
    <w:rsid w:val="00AD6490"/>
    <w:rsid w:val="00AD64E3"/>
    <w:rsid w:val="00AD6527"/>
    <w:rsid w:val="00AD66DA"/>
    <w:rsid w:val="00AD683B"/>
    <w:rsid w:val="00AD6A6A"/>
    <w:rsid w:val="00AD6C4A"/>
    <w:rsid w:val="00AD6FDB"/>
    <w:rsid w:val="00AD705F"/>
    <w:rsid w:val="00AD70CB"/>
    <w:rsid w:val="00AD71D1"/>
    <w:rsid w:val="00AD721A"/>
    <w:rsid w:val="00AD727D"/>
    <w:rsid w:val="00AD73A2"/>
    <w:rsid w:val="00AD74A0"/>
    <w:rsid w:val="00AD74B1"/>
    <w:rsid w:val="00AD74BD"/>
    <w:rsid w:val="00AD7740"/>
    <w:rsid w:val="00AD782D"/>
    <w:rsid w:val="00AD782E"/>
    <w:rsid w:val="00AD7899"/>
    <w:rsid w:val="00AD78E3"/>
    <w:rsid w:val="00AD7972"/>
    <w:rsid w:val="00AD7980"/>
    <w:rsid w:val="00AD7A92"/>
    <w:rsid w:val="00AD7AC2"/>
    <w:rsid w:val="00AD7AF0"/>
    <w:rsid w:val="00AD7C1F"/>
    <w:rsid w:val="00AD7CED"/>
    <w:rsid w:val="00AD7E37"/>
    <w:rsid w:val="00AD7E4F"/>
    <w:rsid w:val="00AD7E53"/>
    <w:rsid w:val="00AE041D"/>
    <w:rsid w:val="00AE0435"/>
    <w:rsid w:val="00AE04D7"/>
    <w:rsid w:val="00AE04EA"/>
    <w:rsid w:val="00AE0719"/>
    <w:rsid w:val="00AE07E8"/>
    <w:rsid w:val="00AE09DB"/>
    <w:rsid w:val="00AE0E15"/>
    <w:rsid w:val="00AE0E30"/>
    <w:rsid w:val="00AE0E46"/>
    <w:rsid w:val="00AE0EDE"/>
    <w:rsid w:val="00AE0FC6"/>
    <w:rsid w:val="00AE126F"/>
    <w:rsid w:val="00AE12BC"/>
    <w:rsid w:val="00AE130F"/>
    <w:rsid w:val="00AE13B5"/>
    <w:rsid w:val="00AE14CA"/>
    <w:rsid w:val="00AE15E5"/>
    <w:rsid w:val="00AE16E1"/>
    <w:rsid w:val="00AE17AE"/>
    <w:rsid w:val="00AE17AF"/>
    <w:rsid w:val="00AE187C"/>
    <w:rsid w:val="00AE1938"/>
    <w:rsid w:val="00AE1A05"/>
    <w:rsid w:val="00AE1A85"/>
    <w:rsid w:val="00AE1C93"/>
    <w:rsid w:val="00AE1DE4"/>
    <w:rsid w:val="00AE1EA4"/>
    <w:rsid w:val="00AE1FAA"/>
    <w:rsid w:val="00AE239E"/>
    <w:rsid w:val="00AE25A7"/>
    <w:rsid w:val="00AE25C4"/>
    <w:rsid w:val="00AE26C5"/>
    <w:rsid w:val="00AE27FB"/>
    <w:rsid w:val="00AE2830"/>
    <w:rsid w:val="00AE28A3"/>
    <w:rsid w:val="00AE28BD"/>
    <w:rsid w:val="00AE2A8D"/>
    <w:rsid w:val="00AE2B0F"/>
    <w:rsid w:val="00AE2B8F"/>
    <w:rsid w:val="00AE2C21"/>
    <w:rsid w:val="00AE2D56"/>
    <w:rsid w:val="00AE2D6F"/>
    <w:rsid w:val="00AE2DA4"/>
    <w:rsid w:val="00AE2DC3"/>
    <w:rsid w:val="00AE2E06"/>
    <w:rsid w:val="00AE2E6F"/>
    <w:rsid w:val="00AE30DD"/>
    <w:rsid w:val="00AE3292"/>
    <w:rsid w:val="00AE34F0"/>
    <w:rsid w:val="00AE35A7"/>
    <w:rsid w:val="00AE35A9"/>
    <w:rsid w:val="00AE3906"/>
    <w:rsid w:val="00AE391B"/>
    <w:rsid w:val="00AE3941"/>
    <w:rsid w:val="00AE39F8"/>
    <w:rsid w:val="00AE3A69"/>
    <w:rsid w:val="00AE3BCF"/>
    <w:rsid w:val="00AE3CE9"/>
    <w:rsid w:val="00AE3D18"/>
    <w:rsid w:val="00AE3E70"/>
    <w:rsid w:val="00AE3EE2"/>
    <w:rsid w:val="00AE3F8D"/>
    <w:rsid w:val="00AE3FAE"/>
    <w:rsid w:val="00AE3FC0"/>
    <w:rsid w:val="00AE3FCD"/>
    <w:rsid w:val="00AE4139"/>
    <w:rsid w:val="00AE437C"/>
    <w:rsid w:val="00AE43C2"/>
    <w:rsid w:val="00AE4409"/>
    <w:rsid w:val="00AE444C"/>
    <w:rsid w:val="00AE45C6"/>
    <w:rsid w:val="00AE46C3"/>
    <w:rsid w:val="00AE46C9"/>
    <w:rsid w:val="00AE46CC"/>
    <w:rsid w:val="00AE473D"/>
    <w:rsid w:val="00AE4744"/>
    <w:rsid w:val="00AE4765"/>
    <w:rsid w:val="00AE486D"/>
    <w:rsid w:val="00AE489A"/>
    <w:rsid w:val="00AE4930"/>
    <w:rsid w:val="00AE4952"/>
    <w:rsid w:val="00AE4B27"/>
    <w:rsid w:val="00AE4BD0"/>
    <w:rsid w:val="00AE4C0B"/>
    <w:rsid w:val="00AE4C79"/>
    <w:rsid w:val="00AE4D0D"/>
    <w:rsid w:val="00AE4E56"/>
    <w:rsid w:val="00AE4E68"/>
    <w:rsid w:val="00AE4FCA"/>
    <w:rsid w:val="00AE52AA"/>
    <w:rsid w:val="00AE52B1"/>
    <w:rsid w:val="00AE54F2"/>
    <w:rsid w:val="00AE5570"/>
    <w:rsid w:val="00AE57B0"/>
    <w:rsid w:val="00AE591B"/>
    <w:rsid w:val="00AE5962"/>
    <w:rsid w:val="00AE5A5B"/>
    <w:rsid w:val="00AE5A6D"/>
    <w:rsid w:val="00AE5A80"/>
    <w:rsid w:val="00AE5B73"/>
    <w:rsid w:val="00AE5C0C"/>
    <w:rsid w:val="00AE5CD3"/>
    <w:rsid w:val="00AE5CFB"/>
    <w:rsid w:val="00AE5E0B"/>
    <w:rsid w:val="00AE5EA1"/>
    <w:rsid w:val="00AE5EDB"/>
    <w:rsid w:val="00AE5F3A"/>
    <w:rsid w:val="00AE5FF3"/>
    <w:rsid w:val="00AE60CE"/>
    <w:rsid w:val="00AE60E4"/>
    <w:rsid w:val="00AE6206"/>
    <w:rsid w:val="00AE6386"/>
    <w:rsid w:val="00AE646C"/>
    <w:rsid w:val="00AE691E"/>
    <w:rsid w:val="00AE6998"/>
    <w:rsid w:val="00AE6BD2"/>
    <w:rsid w:val="00AE6D48"/>
    <w:rsid w:val="00AE6F31"/>
    <w:rsid w:val="00AE701C"/>
    <w:rsid w:val="00AE733F"/>
    <w:rsid w:val="00AE73AF"/>
    <w:rsid w:val="00AE75B2"/>
    <w:rsid w:val="00AE763C"/>
    <w:rsid w:val="00AE76F9"/>
    <w:rsid w:val="00AE78D4"/>
    <w:rsid w:val="00AE7B3D"/>
    <w:rsid w:val="00AE7BCF"/>
    <w:rsid w:val="00AE7E10"/>
    <w:rsid w:val="00AE7E55"/>
    <w:rsid w:val="00AE7FA8"/>
    <w:rsid w:val="00AF0041"/>
    <w:rsid w:val="00AF02FA"/>
    <w:rsid w:val="00AF0441"/>
    <w:rsid w:val="00AF04EF"/>
    <w:rsid w:val="00AF04FC"/>
    <w:rsid w:val="00AF050E"/>
    <w:rsid w:val="00AF0535"/>
    <w:rsid w:val="00AF058B"/>
    <w:rsid w:val="00AF0718"/>
    <w:rsid w:val="00AF08B3"/>
    <w:rsid w:val="00AF08E1"/>
    <w:rsid w:val="00AF0936"/>
    <w:rsid w:val="00AF0CD7"/>
    <w:rsid w:val="00AF0E27"/>
    <w:rsid w:val="00AF0E50"/>
    <w:rsid w:val="00AF0F50"/>
    <w:rsid w:val="00AF0F83"/>
    <w:rsid w:val="00AF0F98"/>
    <w:rsid w:val="00AF0FB2"/>
    <w:rsid w:val="00AF0FE5"/>
    <w:rsid w:val="00AF1013"/>
    <w:rsid w:val="00AF1050"/>
    <w:rsid w:val="00AF110F"/>
    <w:rsid w:val="00AF1353"/>
    <w:rsid w:val="00AF14C6"/>
    <w:rsid w:val="00AF14C9"/>
    <w:rsid w:val="00AF15CC"/>
    <w:rsid w:val="00AF1762"/>
    <w:rsid w:val="00AF188F"/>
    <w:rsid w:val="00AF193B"/>
    <w:rsid w:val="00AF1989"/>
    <w:rsid w:val="00AF1A96"/>
    <w:rsid w:val="00AF1AC8"/>
    <w:rsid w:val="00AF1B25"/>
    <w:rsid w:val="00AF1CCE"/>
    <w:rsid w:val="00AF1D3D"/>
    <w:rsid w:val="00AF1D77"/>
    <w:rsid w:val="00AF1EB4"/>
    <w:rsid w:val="00AF206D"/>
    <w:rsid w:val="00AF219E"/>
    <w:rsid w:val="00AF21C2"/>
    <w:rsid w:val="00AF22DE"/>
    <w:rsid w:val="00AF2340"/>
    <w:rsid w:val="00AF2637"/>
    <w:rsid w:val="00AF26C5"/>
    <w:rsid w:val="00AF26D9"/>
    <w:rsid w:val="00AF270F"/>
    <w:rsid w:val="00AF27FD"/>
    <w:rsid w:val="00AF288A"/>
    <w:rsid w:val="00AF292C"/>
    <w:rsid w:val="00AF29C7"/>
    <w:rsid w:val="00AF2BAA"/>
    <w:rsid w:val="00AF2CEA"/>
    <w:rsid w:val="00AF2E6B"/>
    <w:rsid w:val="00AF2FDE"/>
    <w:rsid w:val="00AF30D7"/>
    <w:rsid w:val="00AF3195"/>
    <w:rsid w:val="00AF31CD"/>
    <w:rsid w:val="00AF32F5"/>
    <w:rsid w:val="00AF35B1"/>
    <w:rsid w:val="00AF36C3"/>
    <w:rsid w:val="00AF3781"/>
    <w:rsid w:val="00AF3807"/>
    <w:rsid w:val="00AF383E"/>
    <w:rsid w:val="00AF3846"/>
    <w:rsid w:val="00AF397D"/>
    <w:rsid w:val="00AF39AF"/>
    <w:rsid w:val="00AF3A1E"/>
    <w:rsid w:val="00AF3BF7"/>
    <w:rsid w:val="00AF3C38"/>
    <w:rsid w:val="00AF3CDE"/>
    <w:rsid w:val="00AF3CFA"/>
    <w:rsid w:val="00AF3D2C"/>
    <w:rsid w:val="00AF3DDF"/>
    <w:rsid w:val="00AF3F08"/>
    <w:rsid w:val="00AF3F4F"/>
    <w:rsid w:val="00AF40A1"/>
    <w:rsid w:val="00AF414A"/>
    <w:rsid w:val="00AF41C8"/>
    <w:rsid w:val="00AF4280"/>
    <w:rsid w:val="00AF45B1"/>
    <w:rsid w:val="00AF45EF"/>
    <w:rsid w:val="00AF45F8"/>
    <w:rsid w:val="00AF466F"/>
    <w:rsid w:val="00AF46AD"/>
    <w:rsid w:val="00AF46B2"/>
    <w:rsid w:val="00AF46D3"/>
    <w:rsid w:val="00AF47F4"/>
    <w:rsid w:val="00AF4A08"/>
    <w:rsid w:val="00AF4A68"/>
    <w:rsid w:val="00AF4B29"/>
    <w:rsid w:val="00AF4B45"/>
    <w:rsid w:val="00AF4BB4"/>
    <w:rsid w:val="00AF4EE4"/>
    <w:rsid w:val="00AF4F3A"/>
    <w:rsid w:val="00AF5055"/>
    <w:rsid w:val="00AF51EC"/>
    <w:rsid w:val="00AF533E"/>
    <w:rsid w:val="00AF542F"/>
    <w:rsid w:val="00AF5480"/>
    <w:rsid w:val="00AF54F8"/>
    <w:rsid w:val="00AF55A5"/>
    <w:rsid w:val="00AF567F"/>
    <w:rsid w:val="00AF57DA"/>
    <w:rsid w:val="00AF58DD"/>
    <w:rsid w:val="00AF5A06"/>
    <w:rsid w:val="00AF5B46"/>
    <w:rsid w:val="00AF5C20"/>
    <w:rsid w:val="00AF5C51"/>
    <w:rsid w:val="00AF5E8C"/>
    <w:rsid w:val="00AF5ED5"/>
    <w:rsid w:val="00AF5F5B"/>
    <w:rsid w:val="00AF5FEA"/>
    <w:rsid w:val="00AF6296"/>
    <w:rsid w:val="00AF62E3"/>
    <w:rsid w:val="00AF6341"/>
    <w:rsid w:val="00AF6405"/>
    <w:rsid w:val="00AF645A"/>
    <w:rsid w:val="00AF6526"/>
    <w:rsid w:val="00AF6677"/>
    <w:rsid w:val="00AF6710"/>
    <w:rsid w:val="00AF6748"/>
    <w:rsid w:val="00AF67F7"/>
    <w:rsid w:val="00AF69AC"/>
    <w:rsid w:val="00AF6A81"/>
    <w:rsid w:val="00AF6B19"/>
    <w:rsid w:val="00AF6D35"/>
    <w:rsid w:val="00AF6EAD"/>
    <w:rsid w:val="00AF7023"/>
    <w:rsid w:val="00AF70BD"/>
    <w:rsid w:val="00AF7123"/>
    <w:rsid w:val="00AF7209"/>
    <w:rsid w:val="00AF7253"/>
    <w:rsid w:val="00AF72A8"/>
    <w:rsid w:val="00AF72B6"/>
    <w:rsid w:val="00AF72C7"/>
    <w:rsid w:val="00AF72E1"/>
    <w:rsid w:val="00AF7314"/>
    <w:rsid w:val="00AF7350"/>
    <w:rsid w:val="00AF7370"/>
    <w:rsid w:val="00AF73A2"/>
    <w:rsid w:val="00AF73D5"/>
    <w:rsid w:val="00AF73DA"/>
    <w:rsid w:val="00AF74EB"/>
    <w:rsid w:val="00AF759F"/>
    <w:rsid w:val="00AF75C3"/>
    <w:rsid w:val="00AF769A"/>
    <w:rsid w:val="00AF76D9"/>
    <w:rsid w:val="00AF76EF"/>
    <w:rsid w:val="00AF772A"/>
    <w:rsid w:val="00AF77A8"/>
    <w:rsid w:val="00AF793E"/>
    <w:rsid w:val="00AF79FD"/>
    <w:rsid w:val="00AF79FF"/>
    <w:rsid w:val="00AF7B0B"/>
    <w:rsid w:val="00AF7B0F"/>
    <w:rsid w:val="00AF7BE2"/>
    <w:rsid w:val="00AF7BE5"/>
    <w:rsid w:val="00AF7C95"/>
    <w:rsid w:val="00AF7DF2"/>
    <w:rsid w:val="00AF7E16"/>
    <w:rsid w:val="00AF7E71"/>
    <w:rsid w:val="00AF7F05"/>
    <w:rsid w:val="00AF7FDA"/>
    <w:rsid w:val="00B00022"/>
    <w:rsid w:val="00B000A7"/>
    <w:rsid w:val="00B00195"/>
    <w:rsid w:val="00B001A8"/>
    <w:rsid w:val="00B001C9"/>
    <w:rsid w:val="00B00248"/>
    <w:rsid w:val="00B0040D"/>
    <w:rsid w:val="00B00488"/>
    <w:rsid w:val="00B0052B"/>
    <w:rsid w:val="00B0071A"/>
    <w:rsid w:val="00B00733"/>
    <w:rsid w:val="00B0085F"/>
    <w:rsid w:val="00B009A7"/>
    <w:rsid w:val="00B00A44"/>
    <w:rsid w:val="00B00A7B"/>
    <w:rsid w:val="00B00BF1"/>
    <w:rsid w:val="00B00E9B"/>
    <w:rsid w:val="00B00FF7"/>
    <w:rsid w:val="00B01122"/>
    <w:rsid w:val="00B0120F"/>
    <w:rsid w:val="00B01277"/>
    <w:rsid w:val="00B01425"/>
    <w:rsid w:val="00B01724"/>
    <w:rsid w:val="00B017CB"/>
    <w:rsid w:val="00B019C4"/>
    <w:rsid w:val="00B01C4C"/>
    <w:rsid w:val="00B01D72"/>
    <w:rsid w:val="00B01F56"/>
    <w:rsid w:val="00B01FF5"/>
    <w:rsid w:val="00B02042"/>
    <w:rsid w:val="00B02185"/>
    <w:rsid w:val="00B021B2"/>
    <w:rsid w:val="00B021DA"/>
    <w:rsid w:val="00B0237E"/>
    <w:rsid w:val="00B0253D"/>
    <w:rsid w:val="00B0259C"/>
    <w:rsid w:val="00B025CA"/>
    <w:rsid w:val="00B02753"/>
    <w:rsid w:val="00B027FF"/>
    <w:rsid w:val="00B02847"/>
    <w:rsid w:val="00B028A3"/>
    <w:rsid w:val="00B02950"/>
    <w:rsid w:val="00B02AD0"/>
    <w:rsid w:val="00B02AE0"/>
    <w:rsid w:val="00B02B3A"/>
    <w:rsid w:val="00B02CD0"/>
    <w:rsid w:val="00B02D04"/>
    <w:rsid w:val="00B02D2E"/>
    <w:rsid w:val="00B02E2A"/>
    <w:rsid w:val="00B02E8E"/>
    <w:rsid w:val="00B02EAB"/>
    <w:rsid w:val="00B02EEA"/>
    <w:rsid w:val="00B02F36"/>
    <w:rsid w:val="00B03028"/>
    <w:rsid w:val="00B0303B"/>
    <w:rsid w:val="00B0313C"/>
    <w:rsid w:val="00B0324F"/>
    <w:rsid w:val="00B0328C"/>
    <w:rsid w:val="00B032FD"/>
    <w:rsid w:val="00B033DC"/>
    <w:rsid w:val="00B036D7"/>
    <w:rsid w:val="00B03785"/>
    <w:rsid w:val="00B037B0"/>
    <w:rsid w:val="00B038F5"/>
    <w:rsid w:val="00B0392A"/>
    <w:rsid w:val="00B03972"/>
    <w:rsid w:val="00B03A1E"/>
    <w:rsid w:val="00B03A1F"/>
    <w:rsid w:val="00B03A59"/>
    <w:rsid w:val="00B03B9D"/>
    <w:rsid w:val="00B03BC3"/>
    <w:rsid w:val="00B03BFE"/>
    <w:rsid w:val="00B03C78"/>
    <w:rsid w:val="00B03D9C"/>
    <w:rsid w:val="00B03FAC"/>
    <w:rsid w:val="00B03FFC"/>
    <w:rsid w:val="00B04091"/>
    <w:rsid w:val="00B042A2"/>
    <w:rsid w:val="00B0430C"/>
    <w:rsid w:val="00B043D1"/>
    <w:rsid w:val="00B04409"/>
    <w:rsid w:val="00B045EA"/>
    <w:rsid w:val="00B0476A"/>
    <w:rsid w:val="00B0483D"/>
    <w:rsid w:val="00B04A9D"/>
    <w:rsid w:val="00B04B1A"/>
    <w:rsid w:val="00B04B2F"/>
    <w:rsid w:val="00B04B83"/>
    <w:rsid w:val="00B04CDD"/>
    <w:rsid w:val="00B04D4F"/>
    <w:rsid w:val="00B04F85"/>
    <w:rsid w:val="00B04FF6"/>
    <w:rsid w:val="00B0516B"/>
    <w:rsid w:val="00B05175"/>
    <w:rsid w:val="00B051EB"/>
    <w:rsid w:val="00B051FD"/>
    <w:rsid w:val="00B052E9"/>
    <w:rsid w:val="00B05356"/>
    <w:rsid w:val="00B053F1"/>
    <w:rsid w:val="00B055EE"/>
    <w:rsid w:val="00B05802"/>
    <w:rsid w:val="00B05810"/>
    <w:rsid w:val="00B05B02"/>
    <w:rsid w:val="00B05B85"/>
    <w:rsid w:val="00B05CEF"/>
    <w:rsid w:val="00B05D41"/>
    <w:rsid w:val="00B05F28"/>
    <w:rsid w:val="00B05F91"/>
    <w:rsid w:val="00B05FAB"/>
    <w:rsid w:val="00B0603D"/>
    <w:rsid w:val="00B0604A"/>
    <w:rsid w:val="00B060F8"/>
    <w:rsid w:val="00B06144"/>
    <w:rsid w:val="00B0636D"/>
    <w:rsid w:val="00B0649E"/>
    <w:rsid w:val="00B06501"/>
    <w:rsid w:val="00B06512"/>
    <w:rsid w:val="00B06567"/>
    <w:rsid w:val="00B06629"/>
    <w:rsid w:val="00B0665C"/>
    <w:rsid w:val="00B067FF"/>
    <w:rsid w:val="00B06AFD"/>
    <w:rsid w:val="00B06B22"/>
    <w:rsid w:val="00B06C4E"/>
    <w:rsid w:val="00B06CC8"/>
    <w:rsid w:val="00B07015"/>
    <w:rsid w:val="00B0729C"/>
    <w:rsid w:val="00B073FA"/>
    <w:rsid w:val="00B0742E"/>
    <w:rsid w:val="00B07739"/>
    <w:rsid w:val="00B07898"/>
    <w:rsid w:val="00B078F7"/>
    <w:rsid w:val="00B079DD"/>
    <w:rsid w:val="00B07AE6"/>
    <w:rsid w:val="00B07C3F"/>
    <w:rsid w:val="00B07C62"/>
    <w:rsid w:val="00B07CF6"/>
    <w:rsid w:val="00B07CFD"/>
    <w:rsid w:val="00B07D7A"/>
    <w:rsid w:val="00B07DE0"/>
    <w:rsid w:val="00B07F8D"/>
    <w:rsid w:val="00B07FCA"/>
    <w:rsid w:val="00B07FDD"/>
    <w:rsid w:val="00B1002E"/>
    <w:rsid w:val="00B1007B"/>
    <w:rsid w:val="00B1020F"/>
    <w:rsid w:val="00B1030E"/>
    <w:rsid w:val="00B10627"/>
    <w:rsid w:val="00B1064A"/>
    <w:rsid w:val="00B10722"/>
    <w:rsid w:val="00B108CE"/>
    <w:rsid w:val="00B109D2"/>
    <w:rsid w:val="00B10A90"/>
    <w:rsid w:val="00B10AE4"/>
    <w:rsid w:val="00B10D9B"/>
    <w:rsid w:val="00B10E29"/>
    <w:rsid w:val="00B10F55"/>
    <w:rsid w:val="00B112D3"/>
    <w:rsid w:val="00B112DE"/>
    <w:rsid w:val="00B11473"/>
    <w:rsid w:val="00B1152F"/>
    <w:rsid w:val="00B115AD"/>
    <w:rsid w:val="00B118E7"/>
    <w:rsid w:val="00B1198A"/>
    <w:rsid w:val="00B11B23"/>
    <w:rsid w:val="00B11C61"/>
    <w:rsid w:val="00B11CC1"/>
    <w:rsid w:val="00B11EF3"/>
    <w:rsid w:val="00B12051"/>
    <w:rsid w:val="00B12067"/>
    <w:rsid w:val="00B12179"/>
    <w:rsid w:val="00B12307"/>
    <w:rsid w:val="00B12411"/>
    <w:rsid w:val="00B124D6"/>
    <w:rsid w:val="00B125F9"/>
    <w:rsid w:val="00B12635"/>
    <w:rsid w:val="00B1263E"/>
    <w:rsid w:val="00B12708"/>
    <w:rsid w:val="00B128C0"/>
    <w:rsid w:val="00B1293E"/>
    <w:rsid w:val="00B12A9A"/>
    <w:rsid w:val="00B12AAC"/>
    <w:rsid w:val="00B12AF1"/>
    <w:rsid w:val="00B12B82"/>
    <w:rsid w:val="00B12BDF"/>
    <w:rsid w:val="00B12C9B"/>
    <w:rsid w:val="00B12E86"/>
    <w:rsid w:val="00B12FA8"/>
    <w:rsid w:val="00B1300C"/>
    <w:rsid w:val="00B1302D"/>
    <w:rsid w:val="00B1305C"/>
    <w:rsid w:val="00B13150"/>
    <w:rsid w:val="00B131AA"/>
    <w:rsid w:val="00B133C1"/>
    <w:rsid w:val="00B1346C"/>
    <w:rsid w:val="00B135D4"/>
    <w:rsid w:val="00B138EE"/>
    <w:rsid w:val="00B1393D"/>
    <w:rsid w:val="00B13B4C"/>
    <w:rsid w:val="00B13BC1"/>
    <w:rsid w:val="00B13C01"/>
    <w:rsid w:val="00B13EF1"/>
    <w:rsid w:val="00B13F35"/>
    <w:rsid w:val="00B13F4D"/>
    <w:rsid w:val="00B13FBD"/>
    <w:rsid w:val="00B14096"/>
    <w:rsid w:val="00B14168"/>
    <w:rsid w:val="00B1418B"/>
    <w:rsid w:val="00B143C2"/>
    <w:rsid w:val="00B144A2"/>
    <w:rsid w:val="00B14535"/>
    <w:rsid w:val="00B14585"/>
    <w:rsid w:val="00B14593"/>
    <w:rsid w:val="00B147BD"/>
    <w:rsid w:val="00B14872"/>
    <w:rsid w:val="00B148B6"/>
    <w:rsid w:val="00B14975"/>
    <w:rsid w:val="00B14A42"/>
    <w:rsid w:val="00B14B42"/>
    <w:rsid w:val="00B14D32"/>
    <w:rsid w:val="00B14D65"/>
    <w:rsid w:val="00B14DFA"/>
    <w:rsid w:val="00B14E00"/>
    <w:rsid w:val="00B14E78"/>
    <w:rsid w:val="00B14E7D"/>
    <w:rsid w:val="00B1514C"/>
    <w:rsid w:val="00B15198"/>
    <w:rsid w:val="00B151F4"/>
    <w:rsid w:val="00B15298"/>
    <w:rsid w:val="00B152E0"/>
    <w:rsid w:val="00B1539B"/>
    <w:rsid w:val="00B154D7"/>
    <w:rsid w:val="00B1567C"/>
    <w:rsid w:val="00B1574B"/>
    <w:rsid w:val="00B159BA"/>
    <w:rsid w:val="00B15A1E"/>
    <w:rsid w:val="00B15A67"/>
    <w:rsid w:val="00B15B07"/>
    <w:rsid w:val="00B15B22"/>
    <w:rsid w:val="00B15BE1"/>
    <w:rsid w:val="00B15CEE"/>
    <w:rsid w:val="00B15CFC"/>
    <w:rsid w:val="00B15D1E"/>
    <w:rsid w:val="00B15E68"/>
    <w:rsid w:val="00B16027"/>
    <w:rsid w:val="00B1603C"/>
    <w:rsid w:val="00B16317"/>
    <w:rsid w:val="00B163B2"/>
    <w:rsid w:val="00B164A3"/>
    <w:rsid w:val="00B164E9"/>
    <w:rsid w:val="00B1658F"/>
    <w:rsid w:val="00B165AB"/>
    <w:rsid w:val="00B1674F"/>
    <w:rsid w:val="00B167DC"/>
    <w:rsid w:val="00B1682C"/>
    <w:rsid w:val="00B16832"/>
    <w:rsid w:val="00B16846"/>
    <w:rsid w:val="00B169C1"/>
    <w:rsid w:val="00B16A6D"/>
    <w:rsid w:val="00B16B0B"/>
    <w:rsid w:val="00B16CC5"/>
    <w:rsid w:val="00B16D5F"/>
    <w:rsid w:val="00B16F0B"/>
    <w:rsid w:val="00B1709A"/>
    <w:rsid w:val="00B17234"/>
    <w:rsid w:val="00B1737F"/>
    <w:rsid w:val="00B17450"/>
    <w:rsid w:val="00B17484"/>
    <w:rsid w:val="00B17529"/>
    <w:rsid w:val="00B17544"/>
    <w:rsid w:val="00B1760C"/>
    <w:rsid w:val="00B1773B"/>
    <w:rsid w:val="00B17820"/>
    <w:rsid w:val="00B17921"/>
    <w:rsid w:val="00B17927"/>
    <w:rsid w:val="00B17962"/>
    <w:rsid w:val="00B179B9"/>
    <w:rsid w:val="00B179C2"/>
    <w:rsid w:val="00B17AAA"/>
    <w:rsid w:val="00B17CC8"/>
    <w:rsid w:val="00B17D4F"/>
    <w:rsid w:val="00B20201"/>
    <w:rsid w:val="00B20668"/>
    <w:rsid w:val="00B206AD"/>
    <w:rsid w:val="00B206DE"/>
    <w:rsid w:val="00B207B5"/>
    <w:rsid w:val="00B207D4"/>
    <w:rsid w:val="00B2098A"/>
    <w:rsid w:val="00B20A3F"/>
    <w:rsid w:val="00B20BC4"/>
    <w:rsid w:val="00B20C66"/>
    <w:rsid w:val="00B20D80"/>
    <w:rsid w:val="00B20DCD"/>
    <w:rsid w:val="00B20E7E"/>
    <w:rsid w:val="00B20E8A"/>
    <w:rsid w:val="00B20E8C"/>
    <w:rsid w:val="00B20EDD"/>
    <w:rsid w:val="00B20EF9"/>
    <w:rsid w:val="00B21066"/>
    <w:rsid w:val="00B21101"/>
    <w:rsid w:val="00B21156"/>
    <w:rsid w:val="00B2118E"/>
    <w:rsid w:val="00B211EE"/>
    <w:rsid w:val="00B212C1"/>
    <w:rsid w:val="00B21334"/>
    <w:rsid w:val="00B2136D"/>
    <w:rsid w:val="00B21524"/>
    <w:rsid w:val="00B215F9"/>
    <w:rsid w:val="00B216B1"/>
    <w:rsid w:val="00B21746"/>
    <w:rsid w:val="00B217CC"/>
    <w:rsid w:val="00B21961"/>
    <w:rsid w:val="00B21AAA"/>
    <w:rsid w:val="00B21D8A"/>
    <w:rsid w:val="00B21DA0"/>
    <w:rsid w:val="00B21DF2"/>
    <w:rsid w:val="00B21FDF"/>
    <w:rsid w:val="00B22006"/>
    <w:rsid w:val="00B22172"/>
    <w:rsid w:val="00B221B7"/>
    <w:rsid w:val="00B222EF"/>
    <w:rsid w:val="00B2245E"/>
    <w:rsid w:val="00B224BE"/>
    <w:rsid w:val="00B224C3"/>
    <w:rsid w:val="00B2255E"/>
    <w:rsid w:val="00B22573"/>
    <w:rsid w:val="00B2269C"/>
    <w:rsid w:val="00B22710"/>
    <w:rsid w:val="00B22722"/>
    <w:rsid w:val="00B227A2"/>
    <w:rsid w:val="00B227DA"/>
    <w:rsid w:val="00B22849"/>
    <w:rsid w:val="00B228BC"/>
    <w:rsid w:val="00B228CD"/>
    <w:rsid w:val="00B2291C"/>
    <w:rsid w:val="00B22995"/>
    <w:rsid w:val="00B229A9"/>
    <w:rsid w:val="00B22AC9"/>
    <w:rsid w:val="00B22B52"/>
    <w:rsid w:val="00B22BE0"/>
    <w:rsid w:val="00B22C45"/>
    <w:rsid w:val="00B22C54"/>
    <w:rsid w:val="00B22CB2"/>
    <w:rsid w:val="00B22E6F"/>
    <w:rsid w:val="00B22F18"/>
    <w:rsid w:val="00B23180"/>
    <w:rsid w:val="00B2323F"/>
    <w:rsid w:val="00B233ED"/>
    <w:rsid w:val="00B23583"/>
    <w:rsid w:val="00B235AA"/>
    <w:rsid w:val="00B235B9"/>
    <w:rsid w:val="00B23644"/>
    <w:rsid w:val="00B236A8"/>
    <w:rsid w:val="00B236F6"/>
    <w:rsid w:val="00B2378C"/>
    <w:rsid w:val="00B237C8"/>
    <w:rsid w:val="00B23828"/>
    <w:rsid w:val="00B23DC0"/>
    <w:rsid w:val="00B23F79"/>
    <w:rsid w:val="00B23F91"/>
    <w:rsid w:val="00B23F92"/>
    <w:rsid w:val="00B240AE"/>
    <w:rsid w:val="00B24167"/>
    <w:rsid w:val="00B2417E"/>
    <w:rsid w:val="00B242C6"/>
    <w:rsid w:val="00B24320"/>
    <w:rsid w:val="00B243F3"/>
    <w:rsid w:val="00B243FA"/>
    <w:rsid w:val="00B244E6"/>
    <w:rsid w:val="00B2459E"/>
    <w:rsid w:val="00B246B1"/>
    <w:rsid w:val="00B246D7"/>
    <w:rsid w:val="00B24891"/>
    <w:rsid w:val="00B24A06"/>
    <w:rsid w:val="00B24BFA"/>
    <w:rsid w:val="00B24C1A"/>
    <w:rsid w:val="00B24DC7"/>
    <w:rsid w:val="00B24E60"/>
    <w:rsid w:val="00B25053"/>
    <w:rsid w:val="00B2510F"/>
    <w:rsid w:val="00B25172"/>
    <w:rsid w:val="00B2522F"/>
    <w:rsid w:val="00B252B1"/>
    <w:rsid w:val="00B2534E"/>
    <w:rsid w:val="00B253E9"/>
    <w:rsid w:val="00B254CA"/>
    <w:rsid w:val="00B255BC"/>
    <w:rsid w:val="00B255CA"/>
    <w:rsid w:val="00B255DA"/>
    <w:rsid w:val="00B258B6"/>
    <w:rsid w:val="00B258C5"/>
    <w:rsid w:val="00B258C6"/>
    <w:rsid w:val="00B25A35"/>
    <w:rsid w:val="00B25AE6"/>
    <w:rsid w:val="00B25AF2"/>
    <w:rsid w:val="00B25B54"/>
    <w:rsid w:val="00B25D98"/>
    <w:rsid w:val="00B25E83"/>
    <w:rsid w:val="00B25F0C"/>
    <w:rsid w:val="00B25FC7"/>
    <w:rsid w:val="00B26017"/>
    <w:rsid w:val="00B2609D"/>
    <w:rsid w:val="00B260F0"/>
    <w:rsid w:val="00B2635D"/>
    <w:rsid w:val="00B2641D"/>
    <w:rsid w:val="00B26604"/>
    <w:rsid w:val="00B266F3"/>
    <w:rsid w:val="00B267C4"/>
    <w:rsid w:val="00B26806"/>
    <w:rsid w:val="00B26889"/>
    <w:rsid w:val="00B26898"/>
    <w:rsid w:val="00B26A86"/>
    <w:rsid w:val="00B26B85"/>
    <w:rsid w:val="00B26BDB"/>
    <w:rsid w:val="00B26BEA"/>
    <w:rsid w:val="00B26DFD"/>
    <w:rsid w:val="00B26E66"/>
    <w:rsid w:val="00B26E87"/>
    <w:rsid w:val="00B27005"/>
    <w:rsid w:val="00B2707C"/>
    <w:rsid w:val="00B2714D"/>
    <w:rsid w:val="00B27235"/>
    <w:rsid w:val="00B27396"/>
    <w:rsid w:val="00B27537"/>
    <w:rsid w:val="00B27577"/>
    <w:rsid w:val="00B2758D"/>
    <w:rsid w:val="00B277D4"/>
    <w:rsid w:val="00B2785F"/>
    <w:rsid w:val="00B278C5"/>
    <w:rsid w:val="00B278F3"/>
    <w:rsid w:val="00B27900"/>
    <w:rsid w:val="00B27905"/>
    <w:rsid w:val="00B279AE"/>
    <w:rsid w:val="00B279C2"/>
    <w:rsid w:val="00B27A20"/>
    <w:rsid w:val="00B27A8B"/>
    <w:rsid w:val="00B27AA2"/>
    <w:rsid w:val="00B27AD0"/>
    <w:rsid w:val="00B27B7C"/>
    <w:rsid w:val="00B27C15"/>
    <w:rsid w:val="00B27D37"/>
    <w:rsid w:val="00B27DA8"/>
    <w:rsid w:val="00B27E94"/>
    <w:rsid w:val="00B27F38"/>
    <w:rsid w:val="00B30060"/>
    <w:rsid w:val="00B30218"/>
    <w:rsid w:val="00B3026C"/>
    <w:rsid w:val="00B304B3"/>
    <w:rsid w:val="00B304C2"/>
    <w:rsid w:val="00B306A2"/>
    <w:rsid w:val="00B30806"/>
    <w:rsid w:val="00B30859"/>
    <w:rsid w:val="00B30970"/>
    <w:rsid w:val="00B30A56"/>
    <w:rsid w:val="00B30A59"/>
    <w:rsid w:val="00B30C31"/>
    <w:rsid w:val="00B30C45"/>
    <w:rsid w:val="00B30D76"/>
    <w:rsid w:val="00B30E07"/>
    <w:rsid w:val="00B30EE1"/>
    <w:rsid w:val="00B310BD"/>
    <w:rsid w:val="00B3114C"/>
    <w:rsid w:val="00B31189"/>
    <w:rsid w:val="00B31372"/>
    <w:rsid w:val="00B31501"/>
    <w:rsid w:val="00B31580"/>
    <w:rsid w:val="00B31975"/>
    <w:rsid w:val="00B31989"/>
    <w:rsid w:val="00B31A94"/>
    <w:rsid w:val="00B31C58"/>
    <w:rsid w:val="00B31D36"/>
    <w:rsid w:val="00B31D68"/>
    <w:rsid w:val="00B31FE9"/>
    <w:rsid w:val="00B32220"/>
    <w:rsid w:val="00B32487"/>
    <w:rsid w:val="00B324D6"/>
    <w:rsid w:val="00B324DF"/>
    <w:rsid w:val="00B326BB"/>
    <w:rsid w:val="00B326C2"/>
    <w:rsid w:val="00B32736"/>
    <w:rsid w:val="00B32832"/>
    <w:rsid w:val="00B32CCB"/>
    <w:rsid w:val="00B32CDC"/>
    <w:rsid w:val="00B32E38"/>
    <w:rsid w:val="00B32E4A"/>
    <w:rsid w:val="00B32E79"/>
    <w:rsid w:val="00B32F1D"/>
    <w:rsid w:val="00B3318F"/>
    <w:rsid w:val="00B3322B"/>
    <w:rsid w:val="00B33339"/>
    <w:rsid w:val="00B3338B"/>
    <w:rsid w:val="00B334AE"/>
    <w:rsid w:val="00B3352F"/>
    <w:rsid w:val="00B33606"/>
    <w:rsid w:val="00B3360A"/>
    <w:rsid w:val="00B3361B"/>
    <w:rsid w:val="00B33620"/>
    <w:rsid w:val="00B33668"/>
    <w:rsid w:val="00B3377F"/>
    <w:rsid w:val="00B33D19"/>
    <w:rsid w:val="00B33F19"/>
    <w:rsid w:val="00B33F3B"/>
    <w:rsid w:val="00B33F60"/>
    <w:rsid w:val="00B34019"/>
    <w:rsid w:val="00B34192"/>
    <w:rsid w:val="00B342C4"/>
    <w:rsid w:val="00B34386"/>
    <w:rsid w:val="00B343EB"/>
    <w:rsid w:val="00B343EF"/>
    <w:rsid w:val="00B344DB"/>
    <w:rsid w:val="00B34546"/>
    <w:rsid w:val="00B34614"/>
    <w:rsid w:val="00B34658"/>
    <w:rsid w:val="00B34787"/>
    <w:rsid w:val="00B347B7"/>
    <w:rsid w:val="00B349F0"/>
    <w:rsid w:val="00B34A66"/>
    <w:rsid w:val="00B34ACB"/>
    <w:rsid w:val="00B34C32"/>
    <w:rsid w:val="00B34C4B"/>
    <w:rsid w:val="00B34C67"/>
    <w:rsid w:val="00B34C7F"/>
    <w:rsid w:val="00B34CA4"/>
    <w:rsid w:val="00B34E8C"/>
    <w:rsid w:val="00B34F4F"/>
    <w:rsid w:val="00B34F85"/>
    <w:rsid w:val="00B34FA4"/>
    <w:rsid w:val="00B35225"/>
    <w:rsid w:val="00B35267"/>
    <w:rsid w:val="00B353C0"/>
    <w:rsid w:val="00B353F3"/>
    <w:rsid w:val="00B35527"/>
    <w:rsid w:val="00B35717"/>
    <w:rsid w:val="00B357AD"/>
    <w:rsid w:val="00B358E2"/>
    <w:rsid w:val="00B35912"/>
    <w:rsid w:val="00B359A4"/>
    <w:rsid w:val="00B35A59"/>
    <w:rsid w:val="00B35BC3"/>
    <w:rsid w:val="00B35BF2"/>
    <w:rsid w:val="00B35C17"/>
    <w:rsid w:val="00B35CD0"/>
    <w:rsid w:val="00B35DC3"/>
    <w:rsid w:val="00B35EC7"/>
    <w:rsid w:val="00B35F3E"/>
    <w:rsid w:val="00B35F83"/>
    <w:rsid w:val="00B35F9D"/>
    <w:rsid w:val="00B35FA0"/>
    <w:rsid w:val="00B36185"/>
    <w:rsid w:val="00B363AE"/>
    <w:rsid w:val="00B36407"/>
    <w:rsid w:val="00B3657E"/>
    <w:rsid w:val="00B3667A"/>
    <w:rsid w:val="00B36760"/>
    <w:rsid w:val="00B3681A"/>
    <w:rsid w:val="00B3688D"/>
    <w:rsid w:val="00B36938"/>
    <w:rsid w:val="00B3698A"/>
    <w:rsid w:val="00B36AB6"/>
    <w:rsid w:val="00B36B65"/>
    <w:rsid w:val="00B36BE3"/>
    <w:rsid w:val="00B36D56"/>
    <w:rsid w:val="00B36DC6"/>
    <w:rsid w:val="00B36F03"/>
    <w:rsid w:val="00B36F8B"/>
    <w:rsid w:val="00B37018"/>
    <w:rsid w:val="00B3706A"/>
    <w:rsid w:val="00B37087"/>
    <w:rsid w:val="00B3712D"/>
    <w:rsid w:val="00B37178"/>
    <w:rsid w:val="00B37494"/>
    <w:rsid w:val="00B374EE"/>
    <w:rsid w:val="00B375C2"/>
    <w:rsid w:val="00B37642"/>
    <w:rsid w:val="00B37683"/>
    <w:rsid w:val="00B3770C"/>
    <w:rsid w:val="00B37800"/>
    <w:rsid w:val="00B3783F"/>
    <w:rsid w:val="00B3787E"/>
    <w:rsid w:val="00B378A5"/>
    <w:rsid w:val="00B378D8"/>
    <w:rsid w:val="00B3795C"/>
    <w:rsid w:val="00B37A84"/>
    <w:rsid w:val="00B37B71"/>
    <w:rsid w:val="00B37B82"/>
    <w:rsid w:val="00B37C3F"/>
    <w:rsid w:val="00B37E28"/>
    <w:rsid w:val="00B37E82"/>
    <w:rsid w:val="00B37F41"/>
    <w:rsid w:val="00B40242"/>
    <w:rsid w:val="00B40282"/>
    <w:rsid w:val="00B402EA"/>
    <w:rsid w:val="00B402FF"/>
    <w:rsid w:val="00B40320"/>
    <w:rsid w:val="00B403BB"/>
    <w:rsid w:val="00B40415"/>
    <w:rsid w:val="00B40503"/>
    <w:rsid w:val="00B40507"/>
    <w:rsid w:val="00B40552"/>
    <w:rsid w:val="00B406BF"/>
    <w:rsid w:val="00B4087F"/>
    <w:rsid w:val="00B40934"/>
    <w:rsid w:val="00B40A5C"/>
    <w:rsid w:val="00B40B93"/>
    <w:rsid w:val="00B40EB5"/>
    <w:rsid w:val="00B40F09"/>
    <w:rsid w:val="00B410F0"/>
    <w:rsid w:val="00B41171"/>
    <w:rsid w:val="00B41276"/>
    <w:rsid w:val="00B41470"/>
    <w:rsid w:val="00B41473"/>
    <w:rsid w:val="00B4165D"/>
    <w:rsid w:val="00B4175B"/>
    <w:rsid w:val="00B417C2"/>
    <w:rsid w:val="00B417D5"/>
    <w:rsid w:val="00B41916"/>
    <w:rsid w:val="00B41A0D"/>
    <w:rsid w:val="00B41A56"/>
    <w:rsid w:val="00B41AC8"/>
    <w:rsid w:val="00B41B12"/>
    <w:rsid w:val="00B41B24"/>
    <w:rsid w:val="00B41B54"/>
    <w:rsid w:val="00B41C48"/>
    <w:rsid w:val="00B41C54"/>
    <w:rsid w:val="00B41D3F"/>
    <w:rsid w:val="00B41E0B"/>
    <w:rsid w:val="00B41FE7"/>
    <w:rsid w:val="00B42019"/>
    <w:rsid w:val="00B420B6"/>
    <w:rsid w:val="00B4215D"/>
    <w:rsid w:val="00B42276"/>
    <w:rsid w:val="00B422EC"/>
    <w:rsid w:val="00B42345"/>
    <w:rsid w:val="00B424B3"/>
    <w:rsid w:val="00B424F0"/>
    <w:rsid w:val="00B4267B"/>
    <w:rsid w:val="00B4273B"/>
    <w:rsid w:val="00B427EE"/>
    <w:rsid w:val="00B42802"/>
    <w:rsid w:val="00B428D4"/>
    <w:rsid w:val="00B429F0"/>
    <w:rsid w:val="00B42A86"/>
    <w:rsid w:val="00B42BF3"/>
    <w:rsid w:val="00B42C22"/>
    <w:rsid w:val="00B42C50"/>
    <w:rsid w:val="00B42CEF"/>
    <w:rsid w:val="00B42DDB"/>
    <w:rsid w:val="00B42E4F"/>
    <w:rsid w:val="00B42EB8"/>
    <w:rsid w:val="00B42EC9"/>
    <w:rsid w:val="00B43014"/>
    <w:rsid w:val="00B4304A"/>
    <w:rsid w:val="00B43115"/>
    <w:rsid w:val="00B431A2"/>
    <w:rsid w:val="00B431B1"/>
    <w:rsid w:val="00B4324C"/>
    <w:rsid w:val="00B432FD"/>
    <w:rsid w:val="00B43474"/>
    <w:rsid w:val="00B43522"/>
    <w:rsid w:val="00B43557"/>
    <w:rsid w:val="00B43580"/>
    <w:rsid w:val="00B435FA"/>
    <w:rsid w:val="00B43646"/>
    <w:rsid w:val="00B437CA"/>
    <w:rsid w:val="00B4398D"/>
    <w:rsid w:val="00B43A54"/>
    <w:rsid w:val="00B43A5D"/>
    <w:rsid w:val="00B43B10"/>
    <w:rsid w:val="00B43B1B"/>
    <w:rsid w:val="00B43F98"/>
    <w:rsid w:val="00B4405E"/>
    <w:rsid w:val="00B440CF"/>
    <w:rsid w:val="00B44109"/>
    <w:rsid w:val="00B441A5"/>
    <w:rsid w:val="00B44214"/>
    <w:rsid w:val="00B44298"/>
    <w:rsid w:val="00B44341"/>
    <w:rsid w:val="00B44460"/>
    <w:rsid w:val="00B44542"/>
    <w:rsid w:val="00B445DF"/>
    <w:rsid w:val="00B44648"/>
    <w:rsid w:val="00B447EE"/>
    <w:rsid w:val="00B44823"/>
    <w:rsid w:val="00B44829"/>
    <w:rsid w:val="00B448B4"/>
    <w:rsid w:val="00B448F5"/>
    <w:rsid w:val="00B44A8A"/>
    <w:rsid w:val="00B44ABC"/>
    <w:rsid w:val="00B44AE4"/>
    <w:rsid w:val="00B44B01"/>
    <w:rsid w:val="00B44B51"/>
    <w:rsid w:val="00B44C9C"/>
    <w:rsid w:val="00B44CCB"/>
    <w:rsid w:val="00B44D32"/>
    <w:rsid w:val="00B44D33"/>
    <w:rsid w:val="00B44D75"/>
    <w:rsid w:val="00B45009"/>
    <w:rsid w:val="00B45018"/>
    <w:rsid w:val="00B4502F"/>
    <w:rsid w:val="00B45114"/>
    <w:rsid w:val="00B451F9"/>
    <w:rsid w:val="00B4525B"/>
    <w:rsid w:val="00B4534A"/>
    <w:rsid w:val="00B45351"/>
    <w:rsid w:val="00B454F1"/>
    <w:rsid w:val="00B45512"/>
    <w:rsid w:val="00B45521"/>
    <w:rsid w:val="00B4563F"/>
    <w:rsid w:val="00B457F7"/>
    <w:rsid w:val="00B458AE"/>
    <w:rsid w:val="00B4599E"/>
    <w:rsid w:val="00B459C6"/>
    <w:rsid w:val="00B45ABA"/>
    <w:rsid w:val="00B45B5D"/>
    <w:rsid w:val="00B45E90"/>
    <w:rsid w:val="00B46022"/>
    <w:rsid w:val="00B4609F"/>
    <w:rsid w:val="00B460E5"/>
    <w:rsid w:val="00B46322"/>
    <w:rsid w:val="00B4636C"/>
    <w:rsid w:val="00B463C3"/>
    <w:rsid w:val="00B46457"/>
    <w:rsid w:val="00B464BB"/>
    <w:rsid w:val="00B464EA"/>
    <w:rsid w:val="00B464FC"/>
    <w:rsid w:val="00B46861"/>
    <w:rsid w:val="00B468E5"/>
    <w:rsid w:val="00B46901"/>
    <w:rsid w:val="00B46BD9"/>
    <w:rsid w:val="00B46CC9"/>
    <w:rsid w:val="00B46E34"/>
    <w:rsid w:val="00B46EAE"/>
    <w:rsid w:val="00B46EE9"/>
    <w:rsid w:val="00B46FA6"/>
    <w:rsid w:val="00B47083"/>
    <w:rsid w:val="00B470EF"/>
    <w:rsid w:val="00B47230"/>
    <w:rsid w:val="00B47253"/>
    <w:rsid w:val="00B47286"/>
    <w:rsid w:val="00B4748C"/>
    <w:rsid w:val="00B47526"/>
    <w:rsid w:val="00B47551"/>
    <w:rsid w:val="00B4757C"/>
    <w:rsid w:val="00B475F2"/>
    <w:rsid w:val="00B47A85"/>
    <w:rsid w:val="00B47AA8"/>
    <w:rsid w:val="00B47C29"/>
    <w:rsid w:val="00B47E18"/>
    <w:rsid w:val="00B47ED2"/>
    <w:rsid w:val="00B50011"/>
    <w:rsid w:val="00B50079"/>
    <w:rsid w:val="00B50138"/>
    <w:rsid w:val="00B50178"/>
    <w:rsid w:val="00B502DB"/>
    <w:rsid w:val="00B504B6"/>
    <w:rsid w:val="00B505EE"/>
    <w:rsid w:val="00B5069E"/>
    <w:rsid w:val="00B5073F"/>
    <w:rsid w:val="00B50863"/>
    <w:rsid w:val="00B508F4"/>
    <w:rsid w:val="00B50982"/>
    <w:rsid w:val="00B50B89"/>
    <w:rsid w:val="00B50E50"/>
    <w:rsid w:val="00B50EFD"/>
    <w:rsid w:val="00B5100C"/>
    <w:rsid w:val="00B510A1"/>
    <w:rsid w:val="00B511A4"/>
    <w:rsid w:val="00B513D4"/>
    <w:rsid w:val="00B51634"/>
    <w:rsid w:val="00B5166D"/>
    <w:rsid w:val="00B516D0"/>
    <w:rsid w:val="00B516E2"/>
    <w:rsid w:val="00B5177B"/>
    <w:rsid w:val="00B517E8"/>
    <w:rsid w:val="00B5182B"/>
    <w:rsid w:val="00B51AFD"/>
    <w:rsid w:val="00B51AFF"/>
    <w:rsid w:val="00B51B31"/>
    <w:rsid w:val="00B51BD5"/>
    <w:rsid w:val="00B51BEE"/>
    <w:rsid w:val="00B51E12"/>
    <w:rsid w:val="00B51E95"/>
    <w:rsid w:val="00B51EE6"/>
    <w:rsid w:val="00B51F7B"/>
    <w:rsid w:val="00B52175"/>
    <w:rsid w:val="00B523A8"/>
    <w:rsid w:val="00B52431"/>
    <w:rsid w:val="00B524A3"/>
    <w:rsid w:val="00B525CE"/>
    <w:rsid w:val="00B52606"/>
    <w:rsid w:val="00B5268D"/>
    <w:rsid w:val="00B52745"/>
    <w:rsid w:val="00B5281D"/>
    <w:rsid w:val="00B529B2"/>
    <w:rsid w:val="00B52B07"/>
    <w:rsid w:val="00B52B0F"/>
    <w:rsid w:val="00B52CF9"/>
    <w:rsid w:val="00B52D73"/>
    <w:rsid w:val="00B52DA2"/>
    <w:rsid w:val="00B52DD4"/>
    <w:rsid w:val="00B52E7F"/>
    <w:rsid w:val="00B52F86"/>
    <w:rsid w:val="00B52FE7"/>
    <w:rsid w:val="00B530B2"/>
    <w:rsid w:val="00B531F5"/>
    <w:rsid w:val="00B53274"/>
    <w:rsid w:val="00B532F4"/>
    <w:rsid w:val="00B53425"/>
    <w:rsid w:val="00B534DE"/>
    <w:rsid w:val="00B53522"/>
    <w:rsid w:val="00B53647"/>
    <w:rsid w:val="00B536CC"/>
    <w:rsid w:val="00B53864"/>
    <w:rsid w:val="00B5398D"/>
    <w:rsid w:val="00B53AE1"/>
    <w:rsid w:val="00B53B85"/>
    <w:rsid w:val="00B53C61"/>
    <w:rsid w:val="00B53D82"/>
    <w:rsid w:val="00B53D88"/>
    <w:rsid w:val="00B53E09"/>
    <w:rsid w:val="00B53EF2"/>
    <w:rsid w:val="00B53F11"/>
    <w:rsid w:val="00B53F1C"/>
    <w:rsid w:val="00B53F66"/>
    <w:rsid w:val="00B53FB0"/>
    <w:rsid w:val="00B54038"/>
    <w:rsid w:val="00B5413D"/>
    <w:rsid w:val="00B54287"/>
    <w:rsid w:val="00B542CC"/>
    <w:rsid w:val="00B542E4"/>
    <w:rsid w:val="00B5441C"/>
    <w:rsid w:val="00B5455E"/>
    <w:rsid w:val="00B545F1"/>
    <w:rsid w:val="00B54658"/>
    <w:rsid w:val="00B546AA"/>
    <w:rsid w:val="00B546E8"/>
    <w:rsid w:val="00B5480C"/>
    <w:rsid w:val="00B54BAF"/>
    <w:rsid w:val="00B54CE2"/>
    <w:rsid w:val="00B54D12"/>
    <w:rsid w:val="00B54FA5"/>
    <w:rsid w:val="00B54FB0"/>
    <w:rsid w:val="00B54FD9"/>
    <w:rsid w:val="00B55029"/>
    <w:rsid w:val="00B5520A"/>
    <w:rsid w:val="00B552DB"/>
    <w:rsid w:val="00B553AF"/>
    <w:rsid w:val="00B553EF"/>
    <w:rsid w:val="00B55445"/>
    <w:rsid w:val="00B555F2"/>
    <w:rsid w:val="00B5581D"/>
    <w:rsid w:val="00B558D7"/>
    <w:rsid w:val="00B558FE"/>
    <w:rsid w:val="00B55993"/>
    <w:rsid w:val="00B559D6"/>
    <w:rsid w:val="00B55B69"/>
    <w:rsid w:val="00B55BE6"/>
    <w:rsid w:val="00B55BF1"/>
    <w:rsid w:val="00B55C0B"/>
    <w:rsid w:val="00B55CAC"/>
    <w:rsid w:val="00B55CBA"/>
    <w:rsid w:val="00B55EA2"/>
    <w:rsid w:val="00B55EED"/>
    <w:rsid w:val="00B560E6"/>
    <w:rsid w:val="00B560EA"/>
    <w:rsid w:val="00B56118"/>
    <w:rsid w:val="00B56148"/>
    <w:rsid w:val="00B56497"/>
    <w:rsid w:val="00B564BE"/>
    <w:rsid w:val="00B56608"/>
    <w:rsid w:val="00B5671A"/>
    <w:rsid w:val="00B56755"/>
    <w:rsid w:val="00B5689C"/>
    <w:rsid w:val="00B568E4"/>
    <w:rsid w:val="00B5693D"/>
    <w:rsid w:val="00B56A3F"/>
    <w:rsid w:val="00B56A59"/>
    <w:rsid w:val="00B56BBC"/>
    <w:rsid w:val="00B56C07"/>
    <w:rsid w:val="00B56CBD"/>
    <w:rsid w:val="00B56CCF"/>
    <w:rsid w:val="00B56CF0"/>
    <w:rsid w:val="00B56D0F"/>
    <w:rsid w:val="00B56D72"/>
    <w:rsid w:val="00B56D79"/>
    <w:rsid w:val="00B56E4C"/>
    <w:rsid w:val="00B56E6E"/>
    <w:rsid w:val="00B56F2E"/>
    <w:rsid w:val="00B57017"/>
    <w:rsid w:val="00B571FE"/>
    <w:rsid w:val="00B572A4"/>
    <w:rsid w:val="00B57340"/>
    <w:rsid w:val="00B573E8"/>
    <w:rsid w:val="00B57668"/>
    <w:rsid w:val="00B57833"/>
    <w:rsid w:val="00B57978"/>
    <w:rsid w:val="00B57AD0"/>
    <w:rsid w:val="00B57D2B"/>
    <w:rsid w:val="00B57D40"/>
    <w:rsid w:val="00B57D4F"/>
    <w:rsid w:val="00B57DF3"/>
    <w:rsid w:val="00B57F4A"/>
    <w:rsid w:val="00B5ED3F"/>
    <w:rsid w:val="00B601DF"/>
    <w:rsid w:val="00B602DD"/>
    <w:rsid w:val="00B6046B"/>
    <w:rsid w:val="00B604C9"/>
    <w:rsid w:val="00B60631"/>
    <w:rsid w:val="00B608CA"/>
    <w:rsid w:val="00B6095B"/>
    <w:rsid w:val="00B609A3"/>
    <w:rsid w:val="00B60A1C"/>
    <w:rsid w:val="00B60ACA"/>
    <w:rsid w:val="00B60B3A"/>
    <w:rsid w:val="00B60BBB"/>
    <w:rsid w:val="00B60C84"/>
    <w:rsid w:val="00B60CB2"/>
    <w:rsid w:val="00B60D2E"/>
    <w:rsid w:val="00B60DD5"/>
    <w:rsid w:val="00B60E31"/>
    <w:rsid w:val="00B60E39"/>
    <w:rsid w:val="00B61081"/>
    <w:rsid w:val="00B611A4"/>
    <w:rsid w:val="00B61303"/>
    <w:rsid w:val="00B61674"/>
    <w:rsid w:val="00B6170A"/>
    <w:rsid w:val="00B618CB"/>
    <w:rsid w:val="00B6190E"/>
    <w:rsid w:val="00B61965"/>
    <w:rsid w:val="00B619AA"/>
    <w:rsid w:val="00B61A5E"/>
    <w:rsid w:val="00B61AD9"/>
    <w:rsid w:val="00B61B3F"/>
    <w:rsid w:val="00B61B56"/>
    <w:rsid w:val="00B61C39"/>
    <w:rsid w:val="00B61C95"/>
    <w:rsid w:val="00B61D0B"/>
    <w:rsid w:val="00B61DF4"/>
    <w:rsid w:val="00B61E53"/>
    <w:rsid w:val="00B61EF2"/>
    <w:rsid w:val="00B6223D"/>
    <w:rsid w:val="00B6228B"/>
    <w:rsid w:val="00B622D4"/>
    <w:rsid w:val="00B62421"/>
    <w:rsid w:val="00B62469"/>
    <w:rsid w:val="00B62584"/>
    <w:rsid w:val="00B6259E"/>
    <w:rsid w:val="00B62645"/>
    <w:rsid w:val="00B62741"/>
    <w:rsid w:val="00B62790"/>
    <w:rsid w:val="00B627E2"/>
    <w:rsid w:val="00B628E1"/>
    <w:rsid w:val="00B6291F"/>
    <w:rsid w:val="00B62960"/>
    <w:rsid w:val="00B62A29"/>
    <w:rsid w:val="00B62AD3"/>
    <w:rsid w:val="00B62ADC"/>
    <w:rsid w:val="00B62C61"/>
    <w:rsid w:val="00B62CFC"/>
    <w:rsid w:val="00B62DB3"/>
    <w:rsid w:val="00B62ECF"/>
    <w:rsid w:val="00B6309E"/>
    <w:rsid w:val="00B6318C"/>
    <w:rsid w:val="00B631D3"/>
    <w:rsid w:val="00B63238"/>
    <w:rsid w:val="00B63469"/>
    <w:rsid w:val="00B634CD"/>
    <w:rsid w:val="00B6352D"/>
    <w:rsid w:val="00B63636"/>
    <w:rsid w:val="00B6363E"/>
    <w:rsid w:val="00B6397A"/>
    <w:rsid w:val="00B63A2C"/>
    <w:rsid w:val="00B63C02"/>
    <w:rsid w:val="00B63C8D"/>
    <w:rsid w:val="00B63DC9"/>
    <w:rsid w:val="00B63DE7"/>
    <w:rsid w:val="00B64005"/>
    <w:rsid w:val="00B640A5"/>
    <w:rsid w:val="00B642D9"/>
    <w:rsid w:val="00B64354"/>
    <w:rsid w:val="00B6438B"/>
    <w:rsid w:val="00B6442A"/>
    <w:rsid w:val="00B64487"/>
    <w:rsid w:val="00B6462E"/>
    <w:rsid w:val="00B64775"/>
    <w:rsid w:val="00B648E4"/>
    <w:rsid w:val="00B64923"/>
    <w:rsid w:val="00B64A6F"/>
    <w:rsid w:val="00B64B60"/>
    <w:rsid w:val="00B64C17"/>
    <w:rsid w:val="00B64C7C"/>
    <w:rsid w:val="00B65370"/>
    <w:rsid w:val="00B653D0"/>
    <w:rsid w:val="00B654B5"/>
    <w:rsid w:val="00B654EE"/>
    <w:rsid w:val="00B6554A"/>
    <w:rsid w:val="00B65568"/>
    <w:rsid w:val="00B6562A"/>
    <w:rsid w:val="00B6573B"/>
    <w:rsid w:val="00B6581F"/>
    <w:rsid w:val="00B65855"/>
    <w:rsid w:val="00B659C3"/>
    <w:rsid w:val="00B65A2C"/>
    <w:rsid w:val="00B65A41"/>
    <w:rsid w:val="00B65A4C"/>
    <w:rsid w:val="00B65AE4"/>
    <w:rsid w:val="00B65B9B"/>
    <w:rsid w:val="00B65BED"/>
    <w:rsid w:val="00B65D2B"/>
    <w:rsid w:val="00B65EB9"/>
    <w:rsid w:val="00B65F6F"/>
    <w:rsid w:val="00B6605E"/>
    <w:rsid w:val="00B660B5"/>
    <w:rsid w:val="00B66106"/>
    <w:rsid w:val="00B662CD"/>
    <w:rsid w:val="00B662F0"/>
    <w:rsid w:val="00B66301"/>
    <w:rsid w:val="00B66328"/>
    <w:rsid w:val="00B66348"/>
    <w:rsid w:val="00B664AA"/>
    <w:rsid w:val="00B664E7"/>
    <w:rsid w:val="00B666FB"/>
    <w:rsid w:val="00B66750"/>
    <w:rsid w:val="00B667FA"/>
    <w:rsid w:val="00B6693C"/>
    <w:rsid w:val="00B66986"/>
    <w:rsid w:val="00B66A8A"/>
    <w:rsid w:val="00B66BBB"/>
    <w:rsid w:val="00B66C33"/>
    <w:rsid w:val="00B66C47"/>
    <w:rsid w:val="00B66CF1"/>
    <w:rsid w:val="00B66D53"/>
    <w:rsid w:val="00B66EA4"/>
    <w:rsid w:val="00B66F74"/>
    <w:rsid w:val="00B66FAA"/>
    <w:rsid w:val="00B67038"/>
    <w:rsid w:val="00B670B0"/>
    <w:rsid w:val="00B6721B"/>
    <w:rsid w:val="00B67305"/>
    <w:rsid w:val="00B673C2"/>
    <w:rsid w:val="00B673F7"/>
    <w:rsid w:val="00B67444"/>
    <w:rsid w:val="00B67564"/>
    <w:rsid w:val="00B6760A"/>
    <w:rsid w:val="00B67648"/>
    <w:rsid w:val="00B67768"/>
    <w:rsid w:val="00B677D8"/>
    <w:rsid w:val="00B678D7"/>
    <w:rsid w:val="00B67BED"/>
    <w:rsid w:val="00B67C20"/>
    <w:rsid w:val="00B67C42"/>
    <w:rsid w:val="00B67CB3"/>
    <w:rsid w:val="00B67DA1"/>
    <w:rsid w:val="00B67F56"/>
    <w:rsid w:val="00B67FD7"/>
    <w:rsid w:val="00B70015"/>
    <w:rsid w:val="00B70159"/>
    <w:rsid w:val="00B70310"/>
    <w:rsid w:val="00B7032C"/>
    <w:rsid w:val="00B70449"/>
    <w:rsid w:val="00B704F4"/>
    <w:rsid w:val="00B7052F"/>
    <w:rsid w:val="00B706D0"/>
    <w:rsid w:val="00B706FD"/>
    <w:rsid w:val="00B70707"/>
    <w:rsid w:val="00B708F8"/>
    <w:rsid w:val="00B708FB"/>
    <w:rsid w:val="00B709CB"/>
    <w:rsid w:val="00B70A04"/>
    <w:rsid w:val="00B70B99"/>
    <w:rsid w:val="00B70BDB"/>
    <w:rsid w:val="00B70C00"/>
    <w:rsid w:val="00B70C18"/>
    <w:rsid w:val="00B70DBA"/>
    <w:rsid w:val="00B70EE1"/>
    <w:rsid w:val="00B70FC1"/>
    <w:rsid w:val="00B710F3"/>
    <w:rsid w:val="00B71132"/>
    <w:rsid w:val="00B712C2"/>
    <w:rsid w:val="00B713CD"/>
    <w:rsid w:val="00B71485"/>
    <w:rsid w:val="00B7149C"/>
    <w:rsid w:val="00B714E0"/>
    <w:rsid w:val="00B715DC"/>
    <w:rsid w:val="00B716C7"/>
    <w:rsid w:val="00B7172A"/>
    <w:rsid w:val="00B717BD"/>
    <w:rsid w:val="00B719E3"/>
    <w:rsid w:val="00B71ACA"/>
    <w:rsid w:val="00B71B90"/>
    <w:rsid w:val="00B71BDF"/>
    <w:rsid w:val="00B71C8C"/>
    <w:rsid w:val="00B71D3B"/>
    <w:rsid w:val="00B71DBD"/>
    <w:rsid w:val="00B71E5B"/>
    <w:rsid w:val="00B71FC0"/>
    <w:rsid w:val="00B72096"/>
    <w:rsid w:val="00B720E3"/>
    <w:rsid w:val="00B7238C"/>
    <w:rsid w:val="00B723F2"/>
    <w:rsid w:val="00B7241E"/>
    <w:rsid w:val="00B7248A"/>
    <w:rsid w:val="00B725B4"/>
    <w:rsid w:val="00B725C5"/>
    <w:rsid w:val="00B7288D"/>
    <w:rsid w:val="00B72AB2"/>
    <w:rsid w:val="00B72C11"/>
    <w:rsid w:val="00B72D21"/>
    <w:rsid w:val="00B72E88"/>
    <w:rsid w:val="00B72EBC"/>
    <w:rsid w:val="00B72EC1"/>
    <w:rsid w:val="00B72F2F"/>
    <w:rsid w:val="00B73140"/>
    <w:rsid w:val="00B7323D"/>
    <w:rsid w:val="00B7339B"/>
    <w:rsid w:val="00B7340E"/>
    <w:rsid w:val="00B735C5"/>
    <w:rsid w:val="00B73600"/>
    <w:rsid w:val="00B73660"/>
    <w:rsid w:val="00B73668"/>
    <w:rsid w:val="00B73694"/>
    <w:rsid w:val="00B7378E"/>
    <w:rsid w:val="00B73843"/>
    <w:rsid w:val="00B738F6"/>
    <w:rsid w:val="00B73916"/>
    <w:rsid w:val="00B73A63"/>
    <w:rsid w:val="00B73AAA"/>
    <w:rsid w:val="00B73B79"/>
    <w:rsid w:val="00B73BEB"/>
    <w:rsid w:val="00B73C4D"/>
    <w:rsid w:val="00B73DF7"/>
    <w:rsid w:val="00B73E24"/>
    <w:rsid w:val="00B73FC9"/>
    <w:rsid w:val="00B7400D"/>
    <w:rsid w:val="00B7401E"/>
    <w:rsid w:val="00B74120"/>
    <w:rsid w:val="00B742EB"/>
    <w:rsid w:val="00B743B7"/>
    <w:rsid w:val="00B743DE"/>
    <w:rsid w:val="00B7463D"/>
    <w:rsid w:val="00B746AA"/>
    <w:rsid w:val="00B74794"/>
    <w:rsid w:val="00B747AE"/>
    <w:rsid w:val="00B74835"/>
    <w:rsid w:val="00B7485E"/>
    <w:rsid w:val="00B748ED"/>
    <w:rsid w:val="00B74A98"/>
    <w:rsid w:val="00B74C54"/>
    <w:rsid w:val="00B74D5D"/>
    <w:rsid w:val="00B74DBA"/>
    <w:rsid w:val="00B74DBD"/>
    <w:rsid w:val="00B74E33"/>
    <w:rsid w:val="00B7526C"/>
    <w:rsid w:val="00B752A5"/>
    <w:rsid w:val="00B752A9"/>
    <w:rsid w:val="00B7536C"/>
    <w:rsid w:val="00B754AA"/>
    <w:rsid w:val="00B754EC"/>
    <w:rsid w:val="00B754F7"/>
    <w:rsid w:val="00B75516"/>
    <w:rsid w:val="00B75598"/>
    <w:rsid w:val="00B75642"/>
    <w:rsid w:val="00B757FE"/>
    <w:rsid w:val="00B75840"/>
    <w:rsid w:val="00B75868"/>
    <w:rsid w:val="00B75916"/>
    <w:rsid w:val="00B759E9"/>
    <w:rsid w:val="00B75B30"/>
    <w:rsid w:val="00B75B4D"/>
    <w:rsid w:val="00B75B66"/>
    <w:rsid w:val="00B75B9A"/>
    <w:rsid w:val="00B75BFE"/>
    <w:rsid w:val="00B75C0D"/>
    <w:rsid w:val="00B75CB6"/>
    <w:rsid w:val="00B75D4F"/>
    <w:rsid w:val="00B75DCF"/>
    <w:rsid w:val="00B75E67"/>
    <w:rsid w:val="00B75F1B"/>
    <w:rsid w:val="00B761D3"/>
    <w:rsid w:val="00B762FE"/>
    <w:rsid w:val="00B76532"/>
    <w:rsid w:val="00B7655A"/>
    <w:rsid w:val="00B7655B"/>
    <w:rsid w:val="00B76655"/>
    <w:rsid w:val="00B766E2"/>
    <w:rsid w:val="00B767AE"/>
    <w:rsid w:val="00B768EB"/>
    <w:rsid w:val="00B76983"/>
    <w:rsid w:val="00B76985"/>
    <w:rsid w:val="00B76AA2"/>
    <w:rsid w:val="00B76B06"/>
    <w:rsid w:val="00B76B4B"/>
    <w:rsid w:val="00B76DC4"/>
    <w:rsid w:val="00B76E42"/>
    <w:rsid w:val="00B76FEC"/>
    <w:rsid w:val="00B77018"/>
    <w:rsid w:val="00B7705B"/>
    <w:rsid w:val="00B77144"/>
    <w:rsid w:val="00B773A1"/>
    <w:rsid w:val="00B774AC"/>
    <w:rsid w:val="00B775AA"/>
    <w:rsid w:val="00B775EB"/>
    <w:rsid w:val="00B77719"/>
    <w:rsid w:val="00B77831"/>
    <w:rsid w:val="00B778CE"/>
    <w:rsid w:val="00B77959"/>
    <w:rsid w:val="00B779CA"/>
    <w:rsid w:val="00B779D9"/>
    <w:rsid w:val="00B779F3"/>
    <w:rsid w:val="00B77AB1"/>
    <w:rsid w:val="00B77AFB"/>
    <w:rsid w:val="00B77B46"/>
    <w:rsid w:val="00B77BC2"/>
    <w:rsid w:val="00B77BCD"/>
    <w:rsid w:val="00B77C28"/>
    <w:rsid w:val="00B77CE7"/>
    <w:rsid w:val="00B77D40"/>
    <w:rsid w:val="00B77D48"/>
    <w:rsid w:val="00B77D5A"/>
    <w:rsid w:val="00B77DBC"/>
    <w:rsid w:val="00B77EB2"/>
    <w:rsid w:val="00B77ECD"/>
    <w:rsid w:val="00B77EFB"/>
    <w:rsid w:val="00B77F18"/>
    <w:rsid w:val="00B77F34"/>
    <w:rsid w:val="00B80008"/>
    <w:rsid w:val="00B80025"/>
    <w:rsid w:val="00B800EE"/>
    <w:rsid w:val="00B80122"/>
    <w:rsid w:val="00B80189"/>
    <w:rsid w:val="00B801AE"/>
    <w:rsid w:val="00B80238"/>
    <w:rsid w:val="00B803B5"/>
    <w:rsid w:val="00B8050C"/>
    <w:rsid w:val="00B805A7"/>
    <w:rsid w:val="00B806CB"/>
    <w:rsid w:val="00B807AF"/>
    <w:rsid w:val="00B80840"/>
    <w:rsid w:val="00B80847"/>
    <w:rsid w:val="00B8084B"/>
    <w:rsid w:val="00B80968"/>
    <w:rsid w:val="00B809D9"/>
    <w:rsid w:val="00B80A8E"/>
    <w:rsid w:val="00B80AAE"/>
    <w:rsid w:val="00B80B67"/>
    <w:rsid w:val="00B80B78"/>
    <w:rsid w:val="00B80BB5"/>
    <w:rsid w:val="00B80C12"/>
    <w:rsid w:val="00B80C7E"/>
    <w:rsid w:val="00B80DA4"/>
    <w:rsid w:val="00B80ED5"/>
    <w:rsid w:val="00B80F3E"/>
    <w:rsid w:val="00B80F86"/>
    <w:rsid w:val="00B80FAC"/>
    <w:rsid w:val="00B80FF3"/>
    <w:rsid w:val="00B81078"/>
    <w:rsid w:val="00B810D5"/>
    <w:rsid w:val="00B8122F"/>
    <w:rsid w:val="00B81300"/>
    <w:rsid w:val="00B81308"/>
    <w:rsid w:val="00B81377"/>
    <w:rsid w:val="00B813BB"/>
    <w:rsid w:val="00B81471"/>
    <w:rsid w:val="00B814C6"/>
    <w:rsid w:val="00B81730"/>
    <w:rsid w:val="00B81764"/>
    <w:rsid w:val="00B817F6"/>
    <w:rsid w:val="00B81830"/>
    <w:rsid w:val="00B8185E"/>
    <w:rsid w:val="00B818E4"/>
    <w:rsid w:val="00B819BA"/>
    <w:rsid w:val="00B81C41"/>
    <w:rsid w:val="00B81CA3"/>
    <w:rsid w:val="00B81CEA"/>
    <w:rsid w:val="00B81D4F"/>
    <w:rsid w:val="00B81E37"/>
    <w:rsid w:val="00B81E5D"/>
    <w:rsid w:val="00B820EB"/>
    <w:rsid w:val="00B821C6"/>
    <w:rsid w:val="00B822D3"/>
    <w:rsid w:val="00B825CF"/>
    <w:rsid w:val="00B827B1"/>
    <w:rsid w:val="00B82A0C"/>
    <w:rsid w:val="00B82A41"/>
    <w:rsid w:val="00B82BBA"/>
    <w:rsid w:val="00B82DED"/>
    <w:rsid w:val="00B82E4E"/>
    <w:rsid w:val="00B8313C"/>
    <w:rsid w:val="00B831BA"/>
    <w:rsid w:val="00B831C7"/>
    <w:rsid w:val="00B8334A"/>
    <w:rsid w:val="00B83380"/>
    <w:rsid w:val="00B83480"/>
    <w:rsid w:val="00B83601"/>
    <w:rsid w:val="00B83604"/>
    <w:rsid w:val="00B83633"/>
    <w:rsid w:val="00B836B3"/>
    <w:rsid w:val="00B8373E"/>
    <w:rsid w:val="00B83767"/>
    <w:rsid w:val="00B8379A"/>
    <w:rsid w:val="00B83A68"/>
    <w:rsid w:val="00B83A71"/>
    <w:rsid w:val="00B83AA5"/>
    <w:rsid w:val="00B83B21"/>
    <w:rsid w:val="00B83B22"/>
    <w:rsid w:val="00B83DD5"/>
    <w:rsid w:val="00B83FA3"/>
    <w:rsid w:val="00B84000"/>
    <w:rsid w:val="00B84045"/>
    <w:rsid w:val="00B84071"/>
    <w:rsid w:val="00B840E8"/>
    <w:rsid w:val="00B842D4"/>
    <w:rsid w:val="00B84347"/>
    <w:rsid w:val="00B8438B"/>
    <w:rsid w:val="00B843E2"/>
    <w:rsid w:val="00B8454E"/>
    <w:rsid w:val="00B84632"/>
    <w:rsid w:val="00B84841"/>
    <w:rsid w:val="00B849BC"/>
    <w:rsid w:val="00B84B8B"/>
    <w:rsid w:val="00B84C9B"/>
    <w:rsid w:val="00B84CCA"/>
    <w:rsid w:val="00B84E07"/>
    <w:rsid w:val="00B84ECA"/>
    <w:rsid w:val="00B84FE8"/>
    <w:rsid w:val="00B8500D"/>
    <w:rsid w:val="00B851C8"/>
    <w:rsid w:val="00B8526D"/>
    <w:rsid w:val="00B852A5"/>
    <w:rsid w:val="00B8538D"/>
    <w:rsid w:val="00B853AF"/>
    <w:rsid w:val="00B853D5"/>
    <w:rsid w:val="00B85434"/>
    <w:rsid w:val="00B8558C"/>
    <w:rsid w:val="00B856EC"/>
    <w:rsid w:val="00B8577F"/>
    <w:rsid w:val="00B85978"/>
    <w:rsid w:val="00B85982"/>
    <w:rsid w:val="00B85A42"/>
    <w:rsid w:val="00B85E63"/>
    <w:rsid w:val="00B85ED6"/>
    <w:rsid w:val="00B86117"/>
    <w:rsid w:val="00B86134"/>
    <w:rsid w:val="00B86234"/>
    <w:rsid w:val="00B863E6"/>
    <w:rsid w:val="00B863EE"/>
    <w:rsid w:val="00B86411"/>
    <w:rsid w:val="00B8645A"/>
    <w:rsid w:val="00B864E8"/>
    <w:rsid w:val="00B865AB"/>
    <w:rsid w:val="00B867E9"/>
    <w:rsid w:val="00B86851"/>
    <w:rsid w:val="00B86893"/>
    <w:rsid w:val="00B868E6"/>
    <w:rsid w:val="00B869EC"/>
    <w:rsid w:val="00B86B80"/>
    <w:rsid w:val="00B86BB8"/>
    <w:rsid w:val="00B86C92"/>
    <w:rsid w:val="00B86C9C"/>
    <w:rsid w:val="00B86D91"/>
    <w:rsid w:val="00B86D93"/>
    <w:rsid w:val="00B86F7E"/>
    <w:rsid w:val="00B87134"/>
    <w:rsid w:val="00B87214"/>
    <w:rsid w:val="00B8724F"/>
    <w:rsid w:val="00B8754A"/>
    <w:rsid w:val="00B8754F"/>
    <w:rsid w:val="00B876AF"/>
    <w:rsid w:val="00B8771A"/>
    <w:rsid w:val="00B8774B"/>
    <w:rsid w:val="00B878B1"/>
    <w:rsid w:val="00B8792A"/>
    <w:rsid w:val="00B8797D"/>
    <w:rsid w:val="00B879F7"/>
    <w:rsid w:val="00B87AA5"/>
    <w:rsid w:val="00B87C20"/>
    <w:rsid w:val="00B87C8E"/>
    <w:rsid w:val="00B87D76"/>
    <w:rsid w:val="00B87DFE"/>
    <w:rsid w:val="00B87E00"/>
    <w:rsid w:val="00B900C8"/>
    <w:rsid w:val="00B9039E"/>
    <w:rsid w:val="00B9040B"/>
    <w:rsid w:val="00B90527"/>
    <w:rsid w:val="00B90530"/>
    <w:rsid w:val="00B9059D"/>
    <w:rsid w:val="00B905E5"/>
    <w:rsid w:val="00B90755"/>
    <w:rsid w:val="00B907C8"/>
    <w:rsid w:val="00B908D0"/>
    <w:rsid w:val="00B909FB"/>
    <w:rsid w:val="00B90A13"/>
    <w:rsid w:val="00B90B64"/>
    <w:rsid w:val="00B90BEF"/>
    <w:rsid w:val="00B90EE1"/>
    <w:rsid w:val="00B90F04"/>
    <w:rsid w:val="00B90FC3"/>
    <w:rsid w:val="00B90FC5"/>
    <w:rsid w:val="00B90FEF"/>
    <w:rsid w:val="00B90FF3"/>
    <w:rsid w:val="00B91005"/>
    <w:rsid w:val="00B91119"/>
    <w:rsid w:val="00B9118E"/>
    <w:rsid w:val="00B9119B"/>
    <w:rsid w:val="00B91417"/>
    <w:rsid w:val="00B91424"/>
    <w:rsid w:val="00B914E2"/>
    <w:rsid w:val="00B9159C"/>
    <w:rsid w:val="00B91707"/>
    <w:rsid w:val="00B917F5"/>
    <w:rsid w:val="00B917FE"/>
    <w:rsid w:val="00B91848"/>
    <w:rsid w:val="00B91923"/>
    <w:rsid w:val="00B91B82"/>
    <w:rsid w:val="00B91BB1"/>
    <w:rsid w:val="00B91C94"/>
    <w:rsid w:val="00B91D30"/>
    <w:rsid w:val="00B91ED6"/>
    <w:rsid w:val="00B91EDE"/>
    <w:rsid w:val="00B91F71"/>
    <w:rsid w:val="00B91FE8"/>
    <w:rsid w:val="00B92213"/>
    <w:rsid w:val="00B923D4"/>
    <w:rsid w:val="00B92458"/>
    <w:rsid w:val="00B926F0"/>
    <w:rsid w:val="00B92862"/>
    <w:rsid w:val="00B9295F"/>
    <w:rsid w:val="00B92A1B"/>
    <w:rsid w:val="00B92A21"/>
    <w:rsid w:val="00B92B0E"/>
    <w:rsid w:val="00B92EB9"/>
    <w:rsid w:val="00B93061"/>
    <w:rsid w:val="00B9324E"/>
    <w:rsid w:val="00B932EC"/>
    <w:rsid w:val="00B9337F"/>
    <w:rsid w:val="00B934CE"/>
    <w:rsid w:val="00B934E1"/>
    <w:rsid w:val="00B935DA"/>
    <w:rsid w:val="00B935DB"/>
    <w:rsid w:val="00B9366B"/>
    <w:rsid w:val="00B93671"/>
    <w:rsid w:val="00B93684"/>
    <w:rsid w:val="00B937BD"/>
    <w:rsid w:val="00B9380C"/>
    <w:rsid w:val="00B93830"/>
    <w:rsid w:val="00B9383A"/>
    <w:rsid w:val="00B938F4"/>
    <w:rsid w:val="00B93956"/>
    <w:rsid w:val="00B939E8"/>
    <w:rsid w:val="00B93BF7"/>
    <w:rsid w:val="00B93C37"/>
    <w:rsid w:val="00B93D2A"/>
    <w:rsid w:val="00B93DE3"/>
    <w:rsid w:val="00B93FB6"/>
    <w:rsid w:val="00B941A6"/>
    <w:rsid w:val="00B942DF"/>
    <w:rsid w:val="00B94333"/>
    <w:rsid w:val="00B94479"/>
    <w:rsid w:val="00B944CC"/>
    <w:rsid w:val="00B94563"/>
    <w:rsid w:val="00B945C1"/>
    <w:rsid w:val="00B9466F"/>
    <w:rsid w:val="00B946B8"/>
    <w:rsid w:val="00B94788"/>
    <w:rsid w:val="00B947B5"/>
    <w:rsid w:val="00B94854"/>
    <w:rsid w:val="00B949F7"/>
    <w:rsid w:val="00B94BF5"/>
    <w:rsid w:val="00B94D3A"/>
    <w:rsid w:val="00B94D75"/>
    <w:rsid w:val="00B94DF0"/>
    <w:rsid w:val="00B94F14"/>
    <w:rsid w:val="00B94F5D"/>
    <w:rsid w:val="00B94FA9"/>
    <w:rsid w:val="00B94FD4"/>
    <w:rsid w:val="00B951A2"/>
    <w:rsid w:val="00B9528F"/>
    <w:rsid w:val="00B952A7"/>
    <w:rsid w:val="00B952B5"/>
    <w:rsid w:val="00B953F1"/>
    <w:rsid w:val="00B954C7"/>
    <w:rsid w:val="00B954F5"/>
    <w:rsid w:val="00B9573A"/>
    <w:rsid w:val="00B95A40"/>
    <w:rsid w:val="00B95A42"/>
    <w:rsid w:val="00B95A63"/>
    <w:rsid w:val="00B95B8B"/>
    <w:rsid w:val="00B95BB2"/>
    <w:rsid w:val="00B95C8B"/>
    <w:rsid w:val="00B95C90"/>
    <w:rsid w:val="00B95D3D"/>
    <w:rsid w:val="00B95D80"/>
    <w:rsid w:val="00B95E1B"/>
    <w:rsid w:val="00B95E56"/>
    <w:rsid w:val="00B95EA9"/>
    <w:rsid w:val="00B96182"/>
    <w:rsid w:val="00B96223"/>
    <w:rsid w:val="00B9627A"/>
    <w:rsid w:val="00B962A6"/>
    <w:rsid w:val="00B9632E"/>
    <w:rsid w:val="00B963D1"/>
    <w:rsid w:val="00B964F7"/>
    <w:rsid w:val="00B96520"/>
    <w:rsid w:val="00B96589"/>
    <w:rsid w:val="00B9664B"/>
    <w:rsid w:val="00B96676"/>
    <w:rsid w:val="00B966BB"/>
    <w:rsid w:val="00B9687F"/>
    <w:rsid w:val="00B969B1"/>
    <w:rsid w:val="00B96A25"/>
    <w:rsid w:val="00B96AFB"/>
    <w:rsid w:val="00B96B5F"/>
    <w:rsid w:val="00B96B9F"/>
    <w:rsid w:val="00B96BC2"/>
    <w:rsid w:val="00B96CE7"/>
    <w:rsid w:val="00B96D37"/>
    <w:rsid w:val="00B96F85"/>
    <w:rsid w:val="00B96F98"/>
    <w:rsid w:val="00B97042"/>
    <w:rsid w:val="00B97075"/>
    <w:rsid w:val="00B97443"/>
    <w:rsid w:val="00B9747F"/>
    <w:rsid w:val="00B97696"/>
    <w:rsid w:val="00B976B6"/>
    <w:rsid w:val="00B9786C"/>
    <w:rsid w:val="00B9791D"/>
    <w:rsid w:val="00B9798B"/>
    <w:rsid w:val="00B979C6"/>
    <w:rsid w:val="00B97A33"/>
    <w:rsid w:val="00B97B39"/>
    <w:rsid w:val="00B97D54"/>
    <w:rsid w:val="00B97D8A"/>
    <w:rsid w:val="00B97E64"/>
    <w:rsid w:val="00B97EBA"/>
    <w:rsid w:val="00B97F62"/>
    <w:rsid w:val="00BA0001"/>
    <w:rsid w:val="00BA00FE"/>
    <w:rsid w:val="00BA023B"/>
    <w:rsid w:val="00BA0345"/>
    <w:rsid w:val="00BA044F"/>
    <w:rsid w:val="00BA0488"/>
    <w:rsid w:val="00BA064D"/>
    <w:rsid w:val="00BA0677"/>
    <w:rsid w:val="00BA0915"/>
    <w:rsid w:val="00BA0AB5"/>
    <w:rsid w:val="00BA0BAB"/>
    <w:rsid w:val="00BA0BD0"/>
    <w:rsid w:val="00BA0CB3"/>
    <w:rsid w:val="00BA0D91"/>
    <w:rsid w:val="00BA0D94"/>
    <w:rsid w:val="00BA1041"/>
    <w:rsid w:val="00BA10A3"/>
    <w:rsid w:val="00BA10B9"/>
    <w:rsid w:val="00BA1420"/>
    <w:rsid w:val="00BA142E"/>
    <w:rsid w:val="00BA1579"/>
    <w:rsid w:val="00BA166F"/>
    <w:rsid w:val="00BA1690"/>
    <w:rsid w:val="00BA16D4"/>
    <w:rsid w:val="00BA172F"/>
    <w:rsid w:val="00BA180B"/>
    <w:rsid w:val="00BA18DE"/>
    <w:rsid w:val="00BA1A1B"/>
    <w:rsid w:val="00BA1CD5"/>
    <w:rsid w:val="00BA1CFE"/>
    <w:rsid w:val="00BA1D02"/>
    <w:rsid w:val="00BA1D25"/>
    <w:rsid w:val="00BA1D6D"/>
    <w:rsid w:val="00BA1EE2"/>
    <w:rsid w:val="00BA1F50"/>
    <w:rsid w:val="00BA2035"/>
    <w:rsid w:val="00BA2057"/>
    <w:rsid w:val="00BA20FE"/>
    <w:rsid w:val="00BA2179"/>
    <w:rsid w:val="00BA22BC"/>
    <w:rsid w:val="00BA22C9"/>
    <w:rsid w:val="00BA238D"/>
    <w:rsid w:val="00BA23E2"/>
    <w:rsid w:val="00BA23FB"/>
    <w:rsid w:val="00BA2468"/>
    <w:rsid w:val="00BA24A9"/>
    <w:rsid w:val="00BA24CD"/>
    <w:rsid w:val="00BA2680"/>
    <w:rsid w:val="00BA26F9"/>
    <w:rsid w:val="00BA29E6"/>
    <w:rsid w:val="00BA2A04"/>
    <w:rsid w:val="00BA2A41"/>
    <w:rsid w:val="00BA2D01"/>
    <w:rsid w:val="00BA2D99"/>
    <w:rsid w:val="00BA2E08"/>
    <w:rsid w:val="00BA2E82"/>
    <w:rsid w:val="00BA2F47"/>
    <w:rsid w:val="00BA305C"/>
    <w:rsid w:val="00BA3102"/>
    <w:rsid w:val="00BA3106"/>
    <w:rsid w:val="00BA318E"/>
    <w:rsid w:val="00BA32AF"/>
    <w:rsid w:val="00BA330B"/>
    <w:rsid w:val="00BA333D"/>
    <w:rsid w:val="00BA3342"/>
    <w:rsid w:val="00BA3356"/>
    <w:rsid w:val="00BA35AC"/>
    <w:rsid w:val="00BA3622"/>
    <w:rsid w:val="00BA3699"/>
    <w:rsid w:val="00BA36B7"/>
    <w:rsid w:val="00BA3733"/>
    <w:rsid w:val="00BA3758"/>
    <w:rsid w:val="00BA37A5"/>
    <w:rsid w:val="00BA3883"/>
    <w:rsid w:val="00BA3943"/>
    <w:rsid w:val="00BA3A94"/>
    <w:rsid w:val="00BA3C21"/>
    <w:rsid w:val="00BA3DED"/>
    <w:rsid w:val="00BA3E85"/>
    <w:rsid w:val="00BA3E8F"/>
    <w:rsid w:val="00BA3E92"/>
    <w:rsid w:val="00BA3F15"/>
    <w:rsid w:val="00BA3F21"/>
    <w:rsid w:val="00BA3FF9"/>
    <w:rsid w:val="00BA4012"/>
    <w:rsid w:val="00BA4085"/>
    <w:rsid w:val="00BA4189"/>
    <w:rsid w:val="00BA41A9"/>
    <w:rsid w:val="00BA41DB"/>
    <w:rsid w:val="00BA44E4"/>
    <w:rsid w:val="00BA4679"/>
    <w:rsid w:val="00BA478E"/>
    <w:rsid w:val="00BA47A0"/>
    <w:rsid w:val="00BA482D"/>
    <w:rsid w:val="00BA48B3"/>
    <w:rsid w:val="00BA48DB"/>
    <w:rsid w:val="00BA4924"/>
    <w:rsid w:val="00BA4B23"/>
    <w:rsid w:val="00BA4B3B"/>
    <w:rsid w:val="00BA4B7E"/>
    <w:rsid w:val="00BA4B99"/>
    <w:rsid w:val="00BA4BDB"/>
    <w:rsid w:val="00BA4C45"/>
    <w:rsid w:val="00BA4C51"/>
    <w:rsid w:val="00BA4C69"/>
    <w:rsid w:val="00BA4D42"/>
    <w:rsid w:val="00BA4D52"/>
    <w:rsid w:val="00BA4DB0"/>
    <w:rsid w:val="00BA4EB0"/>
    <w:rsid w:val="00BA5166"/>
    <w:rsid w:val="00BA52E6"/>
    <w:rsid w:val="00BA53D8"/>
    <w:rsid w:val="00BA5447"/>
    <w:rsid w:val="00BA5761"/>
    <w:rsid w:val="00BA5977"/>
    <w:rsid w:val="00BA5A41"/>
    <w:rsid w:val="00BA5B0E"/>
    <w:rsid w:val="00BA5B5C"/>
    <w:rsid w:val="00BA5BC9"/>
    <w:rsid w:val="00BA5BE4"/>
    <w:rsid w:val="00BA5C5A"/>
    <w:rsid w:val="00BA5D4C"/>
    <w:rsid w:val="00BA5DC0"/>
    <w:rsid w:val="00BA5DDA"/>
    <w:rsid w:val="00BA5DF4"/>
    <w:rsid w:val="00BA5E27"/>
    <w:rsid w:val="00BA5E52"/>
    <w:rsid w:val="00BA5E6D"/>
    <w:rsid w:val="00BA5E90"/>
    <w:rsid w:val="00BA5FB1"/>
    <w:rsid w:val="00BA6059"/>
    <w:rsid w:val="00BA605E"/>
    <w:rsid w:val="00BA616C"/>
    <w:rsid w:val="00BA6229"/>
    <w:rsid w:val="00BA6258"/>
    <w:rsid w:val="00BA6290"/>
    <w:rsid w:val="00BA62A2"/>
    <w:rsid w:val="00BA62BA"/>
    <w:rsid w:val="00BA633B"/>
    <w:rsid w:val="00BA656D"/>
    <w:rsid w:val="00BA6579"/>
    <w:rsid w:val="00BA65B7"/>
    <w:rsid w:val="00BA67C6"/>
    <w:rsid w:val="00BA693B"/>
    <w:rsid w:val="00BA6AB2"/>
    <w:rsid w:val="00BA6B12"/>
    <w:rsid w:val="00BA6BCF"/>
    <w:rsid w:val="00BA6CAB"/>
    <w:rsid w:val="00BA6CE3"/>
    <w:rsid w:val="00BA6D05"/>
    <w:rsid w:val="00BA6DB4"/>
    <w:rsid w:val="00BA6E5D"/>
    <w:rsid w:val="00BA6FB4"/>
    <w:rsid w:val="00BA709B"/>
    <w:rsid w:val="00BA70E2"/>
    <w:rsid w:val="00BA72BD"/>
    <w:rsid w:val="00BA72DC"/>
    <w:rsid w:val="00BA7348"/>
    <w:rsid w:val="00BA73D9"/>
    <w:rsid w:val="00BA747B"/>
    <w:rsid w:val="00BA75F3"/>
    <w:rsid w:val="00BA762F"/>
    <w:rsid w:val="00BA79EE"/>
    <w:rsid w:val="00BA79FD"/>
    <w:rsid w:val="00BA7A49"/>
    <w:rsid w:val="00BA7B99"/>
    <w:rsid w:val="00BA7BB5"/>
    <w:rsid w:val="00BA7C1A"/>
    <w:rsid w:val="00BA7C30"/>
    <w:rsid w:val="00BA7C6B"/>
    <w:rsid w:val="00BA7C80"/>
    <w:rsid w:val="00BA7E04"/>
    <w:rsid w:val="00BA7E25"/>
    <w:rsid w:val="00BA7FE9"/>
    <w:rsid w:val="00BB0073"/>
    <w:rsid w:val="00BB00BB"/>
    <w:rsid w:val="00BB0130"/>
    <w:rsid w:val="00BB0137"/>
    <w:rsid w:val="00BB02ED"/>
    <w:rsid w:val="00BB054D"/>
    <w:rsid w:val="00BB063D"/>
    <w:rsid w:val="00BB065A"/>
    <w:rsid w:val="00BB0762"/>
    <w:rsid w:val="00BB07B7"/>
    <w:rsid w:val="00BB0887"/>
    <w:rsid w:val="00BB08BA"/>
    <w:rsid w:val="00BB093E"/>
    <w:rsid w:val="00BB09A4"/>
    <w:rsid w:val="00BB0A73"/>
    <w:rsid w:val="00BB0A95"/>
    <w:rsid w:val="00BB0B43"/>
    <w:rsid w:val="00BB0C21"/>
    <w:rsid w:val="00BB0CA7"/>
    <w:rsid w:val="00BB0CB5"/>
    <w:rsid w:val="00BB0D1E"/>
    <w:rsid w:val="00BB0D5E"/>
    <w:rsid w:val="00BB101F"/>
    <w:rsid w:val="00BB10E5"/>
    <w:rsid w:val="00BB1106"/>
    <w:rsid w:val="00BB116D"/>
    <w:rsid w:val="00BB1198"/>
    <w:rsid w:val="00BB119E"/>
    <w:rsid w:val="00BB1366"/>
    <w:rsid w:val="00BB1534"/>
    <w:rsid w:val="00BB1600"/>
    <w:rsid w:val="00BB161B"/>
    <w:rsid w:val="00BB16BD"/>
    <w:rsid w:val="00BB17DD"/>
    <w:rsid w:val="00BB1926"/>
    <w:rsid w:val="00BB1B37"/>
    <w:rsid w:val="00BB1B52"/>
    <w:rsid w:val="00BB1CB1"/>
    <w:rsid w:val="00BB1D09"/>
    <w:rsid w:val="00BB1D41"/>
    <w:rsid w:val="00BB1D62"/>
    <w:rsid w:val="00BB1E57"/>
    <w:rsid w:val="00BB1F2E"/>
    <w:rsid w:val="00BB1FFC"/>
    <w:rsid w:val="00BB1FFD"/>
    <w:rsid w:val="00BB2127"/>
    <w:rsid w:val="00BB2151"/>
    <w:rsid w:val="00BB2191"/>
    <w:rsid w:val="00BB2221"/>
    <w:rsid w:val="00BB23DD"/>
    <w:rsid w:val="00BB24C5"/>
    <w:rsid w:val="00BB251D"/>
    <w:rsid w:val="00BB25A3"/>
    <w:rsid w:val="00BB26A1"/>
    <w:rsid w:val="00BB26D7"/>
    <w:rsid w:val="00BB26E3"/>
    <w:rsid w:val="00BB273A"/>
    <w:rsid w:val="00BB27F7"/>
    <w:rsid w:val="00BB288D"/>
    <w:rsid w:val="00BB2982"/>
    <w:rsid w:val="00BB29DE"/>
    <w:rsid w:val="00BB2A95"/>
    <w:rsid w:val="00BB2AE9"/>
    <w:rsid w:val="00BB2BAA"/>
    <w:rsid w:val="00BB2C23"/>
    <w:rsid w:val="00BB2C31"/>
    <w:rsid w:val="00BB2D53"/>
    <w:rsid w:val="00BB2DA7"/>
    <w:rsid w:val="00BB2E81"/>
    <w:rsid w:val="00BB2EA3"/>
    <w:rsid w:val="00BB300E"/>
    <w:rsid w:val="00BB300F"/>
    <w:rsid w:val="00BB30E6"/>
    <w:rsid w:val="00BB3162"/>
    <w:rsid w:val="00BB31CD"/>
    <w:rsid w:val="00BB32EC"/>
    <w:rsid w:val="00BB3369"/>
    <w:rsid w:val="00BB3536"/>
    <w:rsid w:val="00BB3574"/>
    <w:rsid w:val="00BB365A"/>
    <w:rsid w:val="00BB370D"/>
    <w:rsid w:val="00BB3731"/>
    <w:rsid w:val="00BB3735"/>
    <w:rsid w:val="00BB38FF"/>
    <w:rsid w:val="00BB390E"/>
    <w:rsid w:val="00BB3962"/>
    <w:rsid w:val="00BB3D11"/>
    <w:rsid w:val="00BB3E1F"/>
    <w:rsid w:val="00BB3F46"/>
    <w:rsid w:val="00BB4075"/>
    <w:rsid w:val="00BB416A"/>
    <w:rsid w:val="00BB41E2"/>
    <w:rsid w:val="00BB42A0"/>
    <w:rsid w:val="00BB4450"/>
    <w:rsid w:val="00BB4617"/>
    <w:rsid w:val="00BB4736"/>
    <w:rsid w:val="00BB49B9"/>
    <w:rsid w:val="00BB4A55"/>
    <w:rsid w:val="00BB4B08"/>
    <w:rsid w:val="00BB4B54"/>
    <w:rsid w:val="00BB4C0B"/>
    <w:rsid w:val="00BB4E3E"/>
    <w:rsid w:val="00BB4E44"/>
    <w:rsid w:val="00BB4E78"/>
    <w:rsid w:val="00BB5000"/>
    <w:rsid w:val="00BB5007"/>
    <w:rsid w:val="00BB5020"/>
    <w:rsid w:val="00BB5160"/>
    <w:rsid w:val="00BB521C"/>
    <w:rsid w:val="00BB523C"/>
    <w:rsid w:val="00BB527F"/>
    <w:rsid w:val="00BB5474"/>
    <w:rsid w:val="00BB5546"/>
    <w:rsid w:val="00BB55BE"/>
    <w:rsid w:val="00BB55DF"/>
    <w:rsid w:val="00BB563D"/>
    <w:rsid w:val="00BB56D5"/>
    <w:rsid w:val="00BB56E3"/>
    <w:rsid w:val="00BB576B"/>
    <w:rsid w:val="00BB57A4"/>
    <w:rsid w:val="00BB57E8"/>
    <w:rsid w:val="00BB5816"/>
    <w:rsid w:val="00BB5894"/>
    <w:rsid w:val="00BB59E5"/>
    <w:rsid w:val="00BB5A22"/>
    <w:rsid w:val="00BB5A42"/>
    <w:rsid w:val="00BB5BFF"/>
    <w:rsid w:val="00BB5E8F"/>
    <w:rsid w:val="00BB5F10"/>
    <w:rsid w:val="00BB61D2"/>
    <w:rsid w:val="00BB61FC"/>
    <w:rsid w:val="00BB6500"/>
    <w:rsid w:val="00BB6634"/>
    <w:rsid w:val="00BB683F"/>
    <w:rsid w:val="00BB68CB"/>
    <w:rsid w:val="00BB6928"/>
    <w:rsid w:val="00BB6A4E"/>
    <w:rsid w:val="00BB6C29"/>
    <w:rsid w:val="00BB6C6E"/>
    <w:rsid w:val="00BB6C83"/>
    <w:rsid w:val="00BB6D67"/>
    <w:rsid w:val="00BB6E19"/>
    <w:rsid w:val="00BB6EF7"/>
    <w:rsid w:val="00BB6F0F"/>
    <w:rsid w:val="00BB6F68"/>
    <w:rsid w:val="00BB70C8"/>
    <w:rsid w:val="00BB72F4"/>
    <w:rsid w:val="00BB74D7"/>
    <w:rsid w:val="00BB7577"/>
    <w:rsid w:val="00BB75BA"/>
    <w:rsid w:val="00BB75CC"/>
    <w:rsid w:val="00BB764B"/>
    <w:rsid w:val="00BB768D"/>
    <w:rsid w:val="00BB76B8"/>
    <w:rsid w:val="00BB76E3"/>
    <w:rsid w:val="00BB77BC"/>
    <w:rsid w:val="00BB7897"/>
    <w:rsid w:val="00BB78CC"/>
    <w:rsid w:val="00BB78F6"/>
    <w:rsid w:val="00BB7AD5"/>
    <w:rsid w:val="00BB7ADA"/>
    <w:rsid w:val="00BB7B70"/>
    <w:rsid w:val="00BB7BB4"/>
    <w:rsid w:val="00BB7CE4"/>
    <w:rsid w:val="00BB7E5D"/>
    <w:rsid w:val="00BB7EF9"/>
    <w:rsid w:val="00BB7FD0"/>
    <w:rsid w:val="00BC0087"/>
    <w:rsid w:val="00BC0185"/>
    <w:rsid w:val="00BC01D3"/>
    <w:rsid w:val="00BC02FE"/>
    <w:rsid w:val="00BC031F"/>
    <w:rsid w:val="00BC03BB"/>
    <w:rsid w:val="00BC071B"/>
    <w:rsid w:val="00BC0808"/>
    <w:rsid w:val="00BC08F1"/>
    <w:rsid w:val="00BC0A17"/>
    <w:rsid w:val="00BC0A53"/>
    <w:rsid w:val="00BC0B44"/>
    <w:rsid w:val="00BC0C11"/>
    <w:rsid w:val="00BC0C59"/>
    <w:rsid w:val="00BC0D37"/>
    <w:rsid w:val="00BC0D69"/>
    <w:rsid w:val="00BC0E60"/>
    <w:rsid w:val="00BC0F2E"/>
    <w:rsid w:val="00BC0F9B"/>
    <w:rsid w:val="00BC1068"/>
    <w:rsid w:val="00BC1122"/>
    <w:rsid w:val="00BC119D"/>
    <w:rsid w:val="00BC148D"/>
    <w:rsid w:val="00BC14C2"/>
    <w:rsid w:val="00BC1505"/>
    <w:rsid w:val="00BC16E6"/>
    <w:rsid w:val="00BC178C"/>
    <w:rsid w:val="00BC1866"/>
    <w:rsid w:val="00BC18DE"/>
    <w:rsid w:val="00BC1966"/>
    <w:rsid w:val="00BC197C"/>
    <w:rsid w:val="00BC1A13"/>
    <w:rsid w:val="00BC1BE4"/>
    <w:rsid w:val="00BC1C85"/>
    <w:rsid w:val="00BC1EB1"/>
    <w:rsid w:val="00BC2079"/>
    <w:rsid w:val="00BC2181"/>
    <w:rsid w:val="00BC2240"/>
    <w:rsid w:val="00BC2287"/>
    <w:rsid w:val="00BC231B"/>
    <w:rsid w:val="00BC24FD"/>
    <w:rsid w:val="00BC261E"/>
    <w:rsid w:val="00BC2670"/>
    <w:rsid w:val="00BC26AD"/>
    <w:rsid w:val="00BC27EE"/>
    <w:rsid w:val="00BC28B3"/>
    <w:rsid w:val="00BC295F"/>
    <w:rsid w:val="00BC29F7"/>
    <w:rsid w:val="00BC2A8B"/>
    <w:rsid w:val="00BC2B1F"/>
    <w:rsid w:val="00BC2BE1"/>
    <w:rsid w:val="00BC2CA1"/>
    <w:rsid w:val="00BC2D57"/>
    <w:rsid w:val="00BC2F74"/>
    <w:rsid w:val="00BC2F8C"/>
    <w:rsid w:val="00BC2FFE"/>
    <w:rsid w:val="00BC3079"/>
    <w:rsid w:val="00BC307F"/>
    <w:rsid w:val="00BC30FF"/>
    <w:rsid w:val="00BC310F"/>
    <w:rsid w:val="00BC3165"/>
    <w:rsid w:val="00BC3350"/>
    <w:rsid w:val="00BC347B"/>
    <w:rsid w:val="00BC35EC"/>
    <w:rsid w:val="00BC35F6"/>
    <w:rsid w:val="00BC3770"/>
    <w:rsid w:val="00BC37B1"/>
    <w:rsid w:val="00BC384D"/>
    <w:rsid w:val="00BC3A6F"/>
    <w:rsid w:val="00BC3B02"/>
    <w:rsid w:val="00BC3B72"/>
    <w:rsid w:val="00BC3BD6"/>
    <w:rsid w:val="00BC3C80"/>
    <w:rsid w:val="00BC3C9E"/>
    <w:rsid w:val="00BC3DF1"/>
    <w:rsid w:val="00BC3E74"/>
    <w:rsid w:val="00BC3EE1"/>
    <w:rsid w:val="00BC3FC3"/>
    <w:rsid w:val="00BC4067"/>
    <w:rsid w:val="00BC422D"/>
    <w:rsid w:val="00BC4472"/>
    <w:rsid w:val="00BC447A"/>
    <w:rsid w:val="00BC44D0"/>
    <w:rsid w:val="00BC4506"/>
    <w:rsid w:val="00BC4549"/>
    <w:rsid w:val="00BC4566"/>
    <w:rsid w:val="00BC477F"/>
    <w:rsid w:val="00BC47FA"/>
    <w:rsid w:val="00BC4813"/>
    <w:rsid w:val="00BC4816"/>
    <w:rsid w:val="00BC4967"/>
    <w:rsid w:val="00BC4A0E"/>
    <w:rsid w:val="00BC4A2A"/>
    <w:rsid w:val="00BC4A34"/>
    <w:rsid w:val="00BC4AC2"/>
    <w:rsid w:val="00BC4AF6"/>
    <w:rsid w:val="00BC4C5E"/>
    <w:rsid w:val="00BC50E4"/>
    <w:rsid w:val="00BC5119"/>
    <w:rsid w:val="00BC51B9"/>
    <w:rsid w:val="00BC51C8"/>
    <w:rsid w:val="00BC5232"/>
    <w:rsid w:val="00BC5399"/>
    <w:rsid w:val="00BC53CA"/>
    <w:rsid w:val="00BC53D8"/>
    <w:rsid w:val="00BC53EB"/>
    <w:rsid w:val="00BC545C"/>
    <w:rsid w:val="00BC5580"/>
    <w:rsid w:val="00BC55D1"/>
    <w:rsid w:val="00BC5838"/>
    <w:rsid w:val="00BC59BE"/>
    <w:rsid w:val="00BC5A4C"/>
    <w:rsid w:val="00BC5BA5"/>
    <w:rsid w:val="00BC5BCF"/>
    <w:rsid w:val="00BC5C22"/>
    <w:rsid w:val="00BC5C46"/>
    <w:rsid w:val="00BC5CF8"/>
    <w:rsid w:val="00BC5D14"/>
    <w:rsid w:val="00BC5D97"/>
    <w:rsid w:val="00BC5D9E"/>
    <w:rsid w:val="00BC5E29"/>
    <w:rsid w:val="00BC5FB1"/>
    <w:rsid w:val="00BC62F0"/>
    <w:rsid w:val="00BC6383"/>
    <w:rsid w:val="00BC6535"/>
    <w:rsid w:val="00BC66E9"/>
    <w:rsid w:val="00BC6759"/>
    <w:rsid w:val="00BC69F2"/>
    <w:rsid w:val="00BC6A08"/>
    <w:rsid w:val="00BC6A82"/>
    <w:rsid w:val="00BC6A8A"/>
    <w:rsid w:val="00BC6B2F"/>
    <w:rsid w:val="00BC6C29"/>
    <w:rsid w:val="00BC6CE9"/>
    <w:rsid w:val="00BC6D7A"/>
    <w:rsid w:val="00BC7000"/>
    <w:rsid w:val="00BC7030"/>
    <w:rsid w:val="00BC70FB"/>
    <w:rsid w:val="00BC719D"/>
    <w:rsid w:val="00BC721B"/>
    <w:rsid w:val="00BC7421"/>
    <w:rsid w:val="00BC74BD"/>
    <w:rsid w:val="00BC768A"/>
    <w:rsid w:val="00BC7968"/>
    <w:rsid w:val="00BC79F2"/>
    <w:rsid w:val="00BC7A06"/>
    <w:rsid w:val="00BC7A93"/>
    <w:rsid w:val="00BC7B3F"/>
    <w:rsid w:val="00BC7BAD"/>
    <w:rsid w:val="00BC7C0A"/>
    <w:rsid w:val="00BC7C0C"/>
    <w:rsid w:val="00BC7D24"/>
    <w:rsid w:val="00BC7E26"/>
    <w:rsid w:val="00BC7F2C"/>
    <w:rsid w:val="00BD00BE"/>
    <w:rsid w:val="00BD00C8"/>
    <w:rsid w:val="00BD011F"/>
    <w:rsid w:val="00BD01F6"/>
    <w:rsid w:val="00BD03D5"/>
    <w:rsid w:val="00BD03D9"/>
    <w:rsid w:val="00BD03EA"/>
    <w:rsid w:val="00BD04FE"/>
    <w:rsid w:val="00BD0535"/>
    <w:rsid w:val="00BD0582"/>
    <w:rsid w:val="00BD059A"/>
    <w:rsid w:val="00BD065A"/>
    <w:rsid w:val="00BD0749"/>
    <w:rsid w:val="00BD07CA"/>
    <w:rsid w:val="00BD07CD"/>
    <w:rsid w:val="00BD0982"/>
    <w:rsid w:val="00BD0A22"/>
    <w:rsid w:val="00BD0C3D"/>
    <w:rsid w:val="00BD0E0A"/>
    <w:rsid w:val="00BD0E39"/>
    <w:rsid w:val="00BD0E50"/>
    <w:rsid w:val="00BD0F18"/>
    <w:rsid w:val="00BD0FDE"/>
    <w:rsid w:val="00BD0FFD"/>
    <w:rsid w:val="00BD106E"/>
    <w:rsid w:val="00BD111E"/>
    <w:rsid w:val="00BD1156"/>
    <w:rsid w:val="00BD1487"/>
    <w:rsid w:val="00BD1497"/>
    <w:rsid w:val="00BD1562"/>
    <w:rsid w:val="00BD162E"/>
    <w:rsid w:val="00BD168A"/>
    <w:rsid w:val="00BD173D"/>
    <w:rsid w:val="00BD176D"/>
    <w:rsid w:val="00BD1978"/>
    <w:rsid w:val="00BD1A1F"/>
    <w:rsid w:val="00BD1A88"/>
    <w:rsid w:val="00BD1BF1"/>
    <w:rsid w:val="00BD1C3D"/>
    <w:rsid w:val="00BD1CE2"/>
    <w:rsid w:val="00BD1D7D"/>
    <w:rsid w:val="00BD2059"/>
    <w:rsid w:val="00BD21A0"/>
    <w:rsid w:val="00BD21AC"/>
    <w:rsid w:val="00BD21F1"/>
    <w:rsid w:val="00BD21F5"/>
    <w:rsid w:val="00BD2290"/>
    <w:rsid w:val="00BD23D3"/>
    <w:rsid w:val="00BD2431"/>
    <w:rsid w:val="00BD266C"/>
    <w:rsid w:val="00BD27F9"/>
    <w:rsid w:val="00BD2824"/>
    <w:rsid w:val="00BD282C"/>
    <w:rsid w:val="00BD28D2"/>
    <w:rsid w:val="00BD28EE"/>
    <w:rsid w:val="00BD29F9"/>
    <w:rsid w:val="00BD2BEE"/>
    <w:rsid w:val="00BD2E37"/>
    <w:rsid w:val="00BD2F4C"/>
    <w:rsid w:val="00BD2FC4"/>
    <w:rsid w:val="00BD3073"/>
    <w:rsid w:val="00BD32B9"/>
    <w:rsid w:val="00BD3329"/>
    <w:rsid w:val="00BD33BD"/>
    <w:rsid w:val="00BD33E1"/>
    <w:rsid w:val="00BD3481"/>
    <w:rsid w:val="00BD3614"/>
    <w:rsid w:val="00BD3774"/>
    <w:rsid w:val="00BD38A4"/>
    <w:rsid w:val="00BD3AFB"/>
    <w:rsid w:val="00BD3B89"/>
    <w:rsid w:val="00BD3BA7"/>
    <w:rsid w:val="00BD3C4E"/>
    <w:rsid w:val="00BD3C64"/>
    <w:rsid w:val="00BD3CB1"/>
    <w:rsid w:val="00BD3D36"/>
    <w:rsid w:val="00BD3D6E"/>
    <w:rsid w:val="00BD3D91"/>
    <w:rsid w:val="00BD4040"/>
    <w:rsid w:val="00BD407A"/>
    <w:rsid w:val="00BD41EA"/>
    <w:rsid w:val="00BD41FB"/>
    <w:rsid w:val="00BD42C2"/>
    <w:rsid w:val="00BD43D4"/>
    <w:rsid w:val="00BD440D"/>
    <w:rsid w:val="00BD44CB"/>
    <w:rsid w:val="00BD45E0"/>
    <w:rsid w:val="00BD466D"/>
    <w:rsid w:val="00BD46FE"/>
    <w:rsid w:val="00BD4727"/>
    <w:rsid w:val="00BD478B"/>
    <w:rsid w:val="00BD4804"/>
    <w:rsid w:val="00BD4878"/>
    <w:rsid w:val="00BD48C9"/>
    <w:rsid w:val="00BD48FA"/>
    <w:rsid w:val="00BD4925"/>
    <w:rsid w:val="00BD4A60"/>
    <w:rsid w:val="00BD4BAB"/>
    <w:rsid w:val="00BD4CCD"/>
    <w:rsid w:val="00BD4D97"/>
    <w:rsid w:val="00BD4E57"/>
    <w:rsid w:val="00BD50C1"/>
    <w:rsid w:val="00BD5175"/>
    <w:rsid w:val="00BD523E"/>
    <w:rsid w:val="00BD5362"/>
    <w:rsid w:val="00BD551E"/>
    <w:rsid w:val="00BD55A4"/>
    <w:rsid w:val="00BD55F5"/>
    <w:rsid w:val="00BD583F"/>
    <w:rsid w:val="00BD5881"/>
    <w:rsid w:val="00BD5951"/>
    <w:rsid w:val="00BD5AD6"/>
    <w:rsid w:val="00BD5C68"/>
    <w:rsid w:val="00BD5E6F"/>
    <w:rsid w:val="00BD6129"/>
    <w:rsid w:val="00BD6170"/>
    <w:rsid w:val="00BD61AF"/>
    <w:rsid w:val="00BD61EF"/>
    <w:rsid w:val="00BD622D"/>
    <w:rsid w:val="00BD6274"/>
    <w:rsid w:val="00BD6276"/>
    <w:rsid w:val="00BD63D6"/>
    <w:rsid w:val="00BD640B"/>
    <w:rsid w:val="00BD6413"/>
    <w:rsid w:val="00BD665A"/>
    <w:rsid w:val="00BD673A"/>
    <w:rsid w:val="00BD6816"/>
    <w:rsid w:val="00BD6A41"/>
    <w:rsid w:val="00BD6A52"/>
    <w:rsid w:val="00BD6AC0"/>
    <w:rsid w:val="00BD6AD5"/>
    <w:rsid w:val="00BD6BA7"/>
    <w:rsid w:val="00BD6C20"/>
    <w:rsid w:val="00BD6CDF"/>
    <w:rsid w:val="00BD6E0A"/>
    <w:rsid w:val="00BD6EAE"/>
    <w:rsid w:val="00BD6F0A"/>
    <w:rsid w:val="00BD6F1E"/>
    <w:rsid w:val="00BD6F4F"/>
    <w:rsid w:val="00BD6F8C"/>
    <w:rsid w:val="00BD6F9E"/>
    <w:rsid w:val="00BD709A"/>
    <w:rsid w:val="00BD70DD"/>
    <w:rsid w:val="00BD7138"/>
    <w:rsid w:val="00BD72B6"/>
    <w:rsid w:val="00BD7327"/>
    <w:rsid w:val="00BD7361"/>
    <w:rsid w:val="00BD7382"/>
    <w:rsid w:val="00BD7534"/>
    <w:rsid w:val="00BD76D0"/>
    <w:rsid w:val="00BD7732"/>
    <w:rsid w:val="00BD7A67"/>
    <w:rsid w:val="00BD7B04"/>
    <w:rsid w:val="00BD7D93"/>
    <w:rsid w:val="00BD7E05"/>
    <w:rsid w:val="00BD7F8B"/>
    <w:rsid w:val="00BD7FF8"/>
    <w:rsid w:val="00BE00B9"/>
    <w:rsid w:val="00BE0127"/>
    <w:rsid w:val="00BE01C6"/>
    <w:rsid w:val="00BE0411"/>
    <w:rsid w:val="00BE0522"/>
    <w:rsid w:val="00BE058A"/>
    <w:rsid w:val="00BE0899"/>
    <w:rsid w:val="00BE0941"/>
    <w:rsid w:val="00BE095F"/>
    <w:rsid w:val="00BE0A23"/>
    <w:rsid w:val="00BE0A77"/>
    <w:rsid w:val="00BE0B8E"/>
    <w:rsid w:val="00BE0E9E"/>
    <w:rsid w:val="00BE1032"/>
    <w:rsid w:val="00BE11BE"/>
    <w:rsid w:val="00BE12E4"/>
    <w:rsid w:val="00BE130F"/>
    <w:rsid w:val="00BE134D"/>
    <w:rsid w:val="00BE1537"/>
    <w:rsid w:val="00BE16DF"/>
    <w:rsid w:val="00BE1855"/>
    <w:rsid w:val="00BE1910"/>
    <w:rsid w:val="00BE19B6"/>
    <w:rsid w:val="00BE1B5E"/>
    <w:rsid w:val="00BE1BEB"/>
    <w:rsid w:val="00BE1C58"/>
    <w:rsid w:val="00BE1D9A"/>
    <w:rsid w:val="00BE1DB7"/>
    <w:rsid w:val="00BE1E74"/>
    <w:rsid w:val="00BE1E94"/>
    <w:rsid w:val="00BE1F52"/>
    <w:rsid w:val="00BE2028"/>
    <w:rsid w:val="00BE209A"/>
    <w:rsid w:val="00BE211D"/>
    <w:rsid w:val="00BE216F"/>
    <w:rsid w:val="00BE2222"/>
    <w:rsid w:val="00BE22C5"/>
    <w:rsid w:val="00BE2570"/>
    <w:rsid w:val="00BE2717"/>
    <w:rsid w:val="00BE27AF"/>
    <w:rsid w:val="00BE2A9D"/>
    <w:rsid w:val="00BE2AC2"/>
    <w:rsid w:val="00BE2CBE"/>
    <w:rsid w:val="00BE2EBC"/>
    <w:rsid w:val="00BE2EED"/>
    <w:rsid w:val="00BE2FC0"/>
    <w:rsid w:val="00BE308F"/>
    <w:rsid w:val="00BE30D8"/>
    <w:rsid w:val="00BE32BC"/>
    <w:rsid w:val="00BE3396"/>
    <w:rsid w:val="00BE3650"/>
    <w:rsid w:val="00BE37D3"/>
    <w:rsid w:val="00BE3835"/>
    <w:rsid w:val="00BE3876"/>
    <w:rsid w:val="00BE38F0"/>
    <w:rsid w:val="00BE38F3"/>
    <w:rsid w:val="00BE3A01"/>
    <w:rsid w:val="00BE3ABD"/>
    <w:rsid w:val="00BE3AF0"/>
    <w:rsid w:val="00BE3B7C"/>
    <w:rsid w:val="00BE3CCB"/>
    <w:rsid w:val="00BE3D5E"/>
    <w:rsid w:val="00BE3DA9"/>
    <w:rsid w:val="00BE3DCB"/>
    <w:rsid w:val="00BE3E1A"/>
    <w:rsid w:val="00BE3F21"/>
    <w:rsid w:val="00BE3F51"/>
    <w:rsid w:val="00BE3F93"/>
    <w:rsid w:val="00BE43E5"/>
    <w:rsid w:val="00BE458D"/>
    <w:rsid w:val="00BE4635"/>
    <w:rsid w:val="00BE46FE"/>
    <w:rsid w:val="00BE470D"/>
    <w:rsid w:val="00BE494D"/>
    <w:rsid w:val="00BE4A7A"/>
    <w:rsid w:val="00BE4B9F"/>
    <w:rsid w:val="00BE4C62"/>
    <w:rsid w:val="00BE4DB8"/>
    <w:rsid w:val="00BE4E3B"/>
    <w:rsid w:val="00BE4ED6"/>
    <w:rsid w:val="00BE5006"/>
    <w:rsid w:val="00BE51B7"/>
    <w:rsid w:val="00BE53E6"/>
    <w:rsid w:val="00BE53EC"/>
    <w:rsid w:val="00BE54AE"/>
    <w:rsid w:val="00BE5555"/>
    <w:rsid w:val="00BE5564"/>
    <w:rsid w:val="00BE5581"/>
    <w:rsid w:val="00BE55AD"/>
    <w:rsid w:val="00BE5630"/>
    <w:rsid w:val="00BE56D1"/>
    <w:rsid w:val="00BE57DE"/>
    <w:rsid w:val="00BE586C"/>
    <w:rsid w:val="00BE58BE"/>
    <w:rsid w:val="00BE59D3"/>
    <w:rsid w:val="00BE5A15"/>
    <w:rsid w:val="00BE5A88"/>
    <w:rsid w:val="00BE5AAC"/>
    <w:rsid w:val="00BE5B28"/>
    <w:rsid w:val="00BE5C9A"/>
    <w:rsid w:val="00BE5D2A"/>
    <w:rsid w:val="00BE5D4E"/>
    <w:rsid w:val="00BE5D90"/>
    <w:rsid w:val="00BE5DAA"/>
    <w:rsid w:val="00BE5E4F"/>
    <w:rsid w:val="00BE5E8C"/>
    <w:rsid w:val="00BE5EDB"/>
    <w:rsid w:val="00BE5EED"/>
    <w:rsid w:val="00BE5F22"/>
    <w:rsid w:val="00BE5FCA"/>
    <w:rsid w:val="00BE5FCB"/>
    <w:rsid w:val="00BE603E"/>
    <w:rsid w:val="00BE60A5"/>
    <w:rsid w:val="00BE6343"/>
    <w:rsid w:val="00BE6390"/>
    <w:rsid w:val="00BE64AE"/>
    <w:rsid w:val="00BE64EE"/>
    <w:rsid w:val="00BE6525"/>
    <w:rsid w:val="00BE6571"/>
    <w:rsid w:val="00BE677C"/>
    <w:rsid w:val="00BE682B"/>
    <w:rsid w:val="00BE6834"/>
    <w:rsid w:val="00BE6989"/>
    <w:rsid w:val="00BE69F5"/>
    <w:rsid w:val="00BE6A64"/>
    <w:rsid w:val="00BE6B10"/>
    <w:rsid w:val="00BE6C54"/>
    <w:rsid w:val="00BE6C81"/>
    <w:rsid w:val="00BE6CA9"/>
    <w:rsid w:val="00BE6D29"/>
    <w:rsid w:val="00BE6DDC"/>
    <w:rsid w:val="00BE6E96"/>
    <w:rsid w:val="00BE6EEB"/>
    <w:rsid w:val="00BE6F3A"/>
    <w:rsid w:val="00BE6FC7"/>
    <w:rsid w:val="00BE7050"/>
    <w:rsid w:val="00BE70A0"/>
    <w:rsid w:val="00BE71C3"/>
    <w:rsid w:val="00BE71FF"/>
    <w:rsid w:val="00BE7272"/>
    <w:rsid w:val="00BE729E"/>
    <w:rsid w:val="00BE72D5"/>
    <w:rsid w:val="00BE72E1"/>
    <w:rsid w:val="00BE73A9"/>
    <w:rsid w:val="00BE73B7"/>
    <w:rsid w:val="00BE7467"/>
    <w:rsid w:val="00BE7475"/>
    <w:rsid w:val="00BE74AA"/>
    <w:rsid w:val="00BE74D4"/>
    <w:rsid w:val="00BE7534"/>
    <w:rsid w:val="00BE76BE"/>
    <w:rsid w:val="00BE776D"/>
    <w:rsid w:val="00BE777A"/>
    <w:rsid w:val="00BE779A"/>
    <w:rsid w:val="00BE7870"/>
    <w:rsid w:val="00BE79A5"/>
    <w:rsid w:val="00BE79E2"/>
    <w:rsid w:val="00BE7A57"/>
    <w:rsid w:val="00BE7B1C"/>
    <w:rsid w:val="00BE7BA4"/>
    <w:rsid w:val="00BE7C83"/>
    <w:rsid w:val="00BE7D12"/>
    <w:rsid w:val="00BE7D1D"/>
    <w:rsid w:val="00BE7DEE"/>
    <w:rsid w:val="00BE7E7D"/>
    <w:rsid w:val="00BE7F90"/>
    <w:rsid w:val="00BE7FB4"/>
    <w:rsid w:val="00BF0259"/>
    <w:rsid w:val="00BF032F"/>
    <w:rsid w:val="00BF0381"/>
    <w:rsid w:val="00BF03BC"/>
    <w:rsid w:val="00BF03F5"/>
    <w:rsid w:val="00BF04C6"/>
    <w:rsid w:val="00BF04DC"/>
    <w:rsid w:val="00BF0568"/>
    <w:rsid w:val="00BF056C"/>
    <w:rsid w:val="00BF0572"/>
    <w:rsid w:val="00BF05EF"/>
    <w:rsid w:val="00BF0604"/>
    <w:rsid w:val="00BF0676"/>
    <w:rsid w:val="00BF08AB"/>
    <w:rsid w:val="00BF09AC"/>
    <w:rsid w:val="00BF0AE3"/>
    <w:rsid w:val="00BF0BD7"/>
    <w:rsid w:val="00BF0C93"/>
    <w:rsid w:val="00BF0E4D"/>
    <w:rsid w:val="00BF0F3E"/>
    <w:rsid w:val="00BF0FF6"/>
    <w:rsid w:val="00BF10FD"/>
    <w:rsid w:val="00BF1306"/>
    <w:rsid w:val="00BF1372"/>
    <w:rsid w:val="00BF138E"/>
    <w:rsid w:val="00BF13DC"/>
    <w:rsid w:val="00BF13FE"/>
    <w:rsid w:val="00BF1418"/>
    <w:rsid w:val="00BF1430"/>
    <w:rsid w:val="00BF159A"/>
    <w:rsid w:val="00BF15C5"/>
    <w:rsid w:val="00BF1645"/>
    <w:rsid w:val="00BF17B1"/>
    <w:rsid w:val="00BF185B"/>
    <w:rsid w:val="00BF18BD"/>
    <w:rsid w:val="00BF197C"/>
    <w:rsid w:val="00BF199E"/>
    <w:rsid w:val="00BF19AC"/>
    <w:rsid w:val="00BF1A6B"/>
    <w:rsid w:val="00BF1ABF"/>
    <w:rsid w:val="00BF1C12"/>
    <w:rsid w:val="00BF1D31"/>
    <w:rsid w:val="00BF1D7F"/>
    <w:rsid w:val="00BF1F07"/>
    <w:rsid w:val="00BF1F5B"/>
    <w:rsid w:val="00BF20D4"/>
    <w:rsid w:val="00BF2175"/>
    <w:rsid w:val="00BF22D5"/>
    <w:rsid w:val="00BF2336"/>
    <w:rsid w:val="00BF235C"/>
    <w:rsid w:val="00BF2364"/>
    <w:rsid w:val="00BF23A3"/>
    <w:rsid w:val="00BF23CF"/>
    <w:rsid w:val="00BF23F4"/>
    <w:rsid w:val="00BF245F"/>
    <w:rsid w:val="00BF2479"/>
    <w:rsid w:val="00BF24FB"/>
    <w:rsid w:val="00BF2557"/>
    <w:rsid w:val="00BF2609"/>
    <w:rsid w:val="00BF2625"/>
    <w:rsid w:val="00BF2661"/>
    <w:rsid w:val="00BF267E"/>
    <w:rsid w:val="00BF2839"/>
    <w:rsid w:val="00BF29DC"/>
    <w:rsid w:val="00BF2BD1"/>
    <w:rsid w:val="00BF3139"/>
    <w:rsid w:val="00BF3144"/>
    <w:rsid w:val="00BF3197"/>
    <w:rsid w:val="00BF3227"/>
    <w:rsid w:val="00BF32A4"/>
    <w:rsid w:val="00BF3305"/>
    <w:rsid w:val="00BF333E"/>
    <w:rsid w:val="00BF3348"/>
    <w:rsid w:val="00BF3382"/>
    <w:rsid w:val="00BF33B5"/>
    <w:rsid w:val="00BF3468"/>
    <w:rsid w:val="00BF35A7"/>
    <w:rsid w:val="00BF376E"/>
    <w:rsid w:val="00BF37BF"/>
    <w:rsid w:val="00BF3879"/>
    <w:rsid w:val="00BF38D0"/>
    <w:rsid w:val="00BF39A5"/>
    <w:rsid w:val="00BF3B45"/>
    <w:rsid w:val="00BF3B55"/>
    <w:rsid w:val="00BF3B6B"/>
    <w:rsid w:val="00BF3C10"/>
    <w:rsid w:val="00BF3E19"/>
    <w:rsid w:val="00BF3FE7"/>
    <w:rsid w:val="00BF3FEC"/>
    <w:rsid w:val="00BF40FB"/>
    <w:rsid w:val="00BF41A4"/>
    <w:rsid w:val="00BF41BC"/>
    <w:rsid w:val="00BF43E2"/>
    <w:rsid w:val="00BF4550"/>
    <w:rsid w:val="00BF45CB"/>
    <w:rsid w:val="00BF45DD"/>
    <w:rsid w:val="00BF46A8"/>
    <w:rsid w:val="00BF47EA"/>
    <w:rsid w:val="00BF48C2"/>
    <w:rsid w:val="00BF4977"/>
    <w:rsid w:val="00BF49DC"/>
    <w:rsid w:val="00BF4AB0"/>
    <w:rsid w:val="00BF4D52"/>
    <w:rsid w:val="00BF4D99"/>
    <w:rsid w:val="00BF4DE9"/>
    <w:rsid w:val="00BF4EC7"/>
    <w:rsid w:val="00BF4FF1"/>
    <w:rsid w:val="00BF50C8"/>
    <w:rsid w:val="00BF51DC"/>
    <w:rsid w:val="00BF54DC"/>
    <w:rsid w:val="00BF54F3"/>
    <w:rsid w:val="00BF5576"/>
    <w:rsid w:val="00BF560C"/>
    <w:rsid w:val="00BF56EB"/>
    <w:rsid w:val="00BF57D6"/>
    <w:rsid w:val="00BF5889"/>
    <w:rsid w:val="00BF5920"/>
    <w:rsid w:val="00BF59AB"/>
    <w:rsid w:val="00BF5AED"/>
    <w:rsid w:val="00BF5C00"/>
    <w:rsid w:val="00BF5E0E"/>
    <w:rsid w:val="00BF5EE2"/>
    <w:rsid w:val="00BF5F89"/>
    <w:rsid w:val="00BF610E"/>
    <w:rsid w:val="00BF615C"/>
    <w:rsid w:val="00BF62A7"/>
    <w:rsid w:val="00BF6324"/>
    <w:rsid w:val="00BF63A0"/>
    <w:rsid w:val="00BF6481"/>
    <w:rsid w:val="00BF65B1"/>
    <w:rsid w:val="00BF678C"/>
    <w:rsid w:val="00BF68EB"/>
    <w:rsid w:val="00BF6914"/>
    <w:rsid w:val="00BF696F"/>
    <w:rsid w:val="00BF69C5"/>
    <w:rsid w:val="00BF6A94"/>
    <w:rsid w:val="00BF6BC0"/>
    <w:rsid w:val="00BF6BCB"/>
    <w:rsid w:val="00BF6BEE"/>
    <w:rsid w:val="00BF6DA5"/>
    <w:rsid w:val="00BF6DEE"/>
    <w:rsid w:val="00BF6E88"/>
    <w:rsid w:val="00BF6ECD"/>
    <w:rsid w:val="00BF6F30"/>
    <w:rsid w:val="00BF6F88"/>
    <w:rsid w:val="00BF7104"/>
    <w:rsid w:val="00BF7173"/>
    <w:rsid w:val="00BF732E"/>
    <w:rsid w:val="00BF73E9"/>
    <w:rsid w:val="00BF769D"/>
    <w:rsid w:val="00BF7714"/>
    <w:rsid w:val="00BF772D"/>
    <w:rsid w:val="00BF77C0"/>
    <w:rsid w:val="00BF78E4"/>
    <w:rsid w:val="00BF7943"/>
    <w:rsid w:val="00BF79F0"/>
    <w:rsid w:val="00BF7AB4"/>
    <w:rsid w:val="00BF7BAD"/>
    <w:rsid w:val="00BF7D4C"/>
    <w:rsid w:val="00BF7DDC"/>
    <w:rsid w:val="00BF7EAB"/>
    <w:rsid w:val="00BF7FC9"/>
    <w:rsid w:val="00BFF12B"/>
    <w:rsid w:val="00C0003C"/>
    <w:rsid w:val="00C00064"/>
    <w:rsid w:val="00C00073"/>
    <w:rsid w:val="00C000A5"/>
    <w:rsid w:val="00C00434"/>
    <w:rsid w:val="00C004A5"/>
    <w:rsid w:val="00C005E1"/>
    <w:rsid w:val="00C0067D"/>
    <w:rsid w:val="00C0068D"/>
    <w:rsid w:val="00C007B7"/>
    <w:rsid w:val="00C009A2"/>
    <w:rsid w:val="00C00B21"/>
    <w:rsid w:val="00C00C6A"/>
    <w:rsid w:val="00C00C83"/>
    <w:rsid w:val="00C00CE6"/>
    <w:rsid w:val="00C00D18"/>
    <w:rsid w:val="00C00D72"/>
    <w:rsid w:val="00C00D7D"/>
    <w:rsid w:val="00C00E56"/>
    <w:rsid w:val="00C00F71"/>
    <w:rsid w:val="00C00F84"/>
    <w:rsid w:val="00C01022"/>
    <w:rsid w:val="00C01094"/>
    <w:rsid w:val="00C01188"/>
    <w:rsid w:val="00C012D9"/>
    <w:rsid w:val="00C012E3"/>
    <w:rsid w:val="00C01319"/>
    <w:rsid w:val="00C01429"/>
    <w:rsid w:val="00C0145B"/>
    <w:rsid w:val="00C0149E"/>
    <w:rsid w:val="00C014A2"/>
    <w:rsid w:val="00C01610"/>
    <w:rsid w:val="00C016C0"/>
    <w:rsid w:val="00C017AA"/>
    <w:rsid w:val="00C01810"/>
    <w:rsid w:val="00C0190A"/>
    <w:rsid w:val="00C01B3C"/>
    <w:rsid w:val="00C01E51"/>
    <w:rsid w:val="00C01FD6"/>
    <w:rsid w:val="00C02021"/>
    <w:rsid w:val="00C02273"/>
    <w:rsid w:val="00C02291"/>
    <w:rsid w:val="00C022EE"/>
    <w:rsid w:val="00C0232C"/>
    <w:rsid w:val="00C024A9"/>
    <w:rsid w:val="00C024DF"/>
    <w:rsid w:val="00C02545"/>
    <w:rsid w:val="00C025EC"/>
    <w:rsid w:val="00C027F7"/>
    <w:rsid w:val="00C0294D"/>
    <w:rsid w:val="00C02988"/>
    <w:rsid w:val="00C02A38"/>
    <w:rsid w:val="00C02AAE"/>
    <w:rsid w:val="00C02B2E"/>
    <w:rsid w:val="00C02DF0"/>
    <w:rsid w:val="00C03170"/>
    <w:rsid w:val="00C031BE"/>
    <w:rsid w:val="00C03293"/>
    <w:rsid w:val="00C032EB"/>
    <w:rsid w:val="00C03343"/>
    <w:rsid w:val="00C03344"/>
    <w:rsid w:val="00C03358"/>
    <w:rsid w:val="00C0338B"/>
    <w:rsid w:val="00C0339F"/>
    <w:rsid w:val="00C033BD"/>
    <w:rsid w:val="00C033F4"/>
    <w:rsid w:val="00C03414"/>
    <w:rsid w:val="00C0343E"/>
    <w:rsid w:val="00C03625"/>
    <w:rsid w:val="00C03683"/>
    <w:rsid w:val="00C037EB"/>
    <w:rsid w:val="00C037FA"/>
    <w:rsid w:val="00C038AA"/>
    <w:rsid w:val="00C03BB6"/>
    <w:rsid w:val="00C03D1F"/>
    <w:rsid w:val="00C03DBB"/>
    <w:rsid w:val="00C03EE1"/>
    <w:rsid w:val="00C03FFA"/>
    <w:rsid w:val="00C0401D"/>
    <w:rsid w:val="00C04030"/>
    <w:rsid w:val="00C040D7"/>
    <w:rsid w:val="00C0415C"/>
    <w:rsid w:val="00C041DC"/>
    <w:rsid w:val="00C041EA"/>
    <w:rsid w:val="00C0428D"/>
    <w:rsid w:val="00C04346"/>
    <w:rsid w:val="00C04357"/>
    <w:rsid w:val="00C044A6"/>
    <w:rsid w:val="00C044C4"/>
    <w:rsid w:val="00C045AD"/>
    <w:rsid w:val="00C045E1"/>
    <w:rsid w:val="00C0477D"/>
    <w:rsid w:val="00C0493A"/>
    <w:rsid w:val="00C04A5B"/>
    <w:rsid w:val="00C04B23"/>
    <w:rsid w:val="00C04B62"/>
    <w:rsid w:val="00C04D94"/>
    <w:rsid w:val="00C04E06"/>
    <w:rsid w:val="00C05021"/>
    <w:rsid w:val="00C050F6"/>
    <w:rsid w:val="00C0520C"/>
    <w:rsid w:val="00C0527A"/>
    <w:rsid w:val="00C0533F"/>
    <w:rsid w:val="00C054AF"/>
    <w:rsid w:val="00C054B0"/>
    <w:rsid w:val="00C054F2"/>
    <w:rsid w:val="00C05549"/>
    <w:rsid w:val="00C0554E"/>
    <w:rsid w:val="00C05577"/>
    <w:rsid w:val="00C055C7"/>
    <w:rsid w:val="00C05696"/>
    <w:rsid w:val="00C05857"/>
    <w:rsid w:val="00C05A16"/>
    <w:rsid w:val="00C05B01"/>
    <w:rsid w:val="00C05DCA"/>
    <w:rsid w:val="00C05DFF"/>
    <w:rsid w:val="00C05E32"/>
    <w:rsid w:val="00C05EAE"/>
    <w:rsid w:val="00C05EE8"/>
    <w:rsid w:val="00C05FA2"/>
    <w:rsid w:val="00C0600D"/>
    <w:rsid w:val="00C06014"/>
    <w:rsid w:val="00C060F7"/>
    <w:rsid w:val="00C061DE"/>
    <w:rsid w:val="00C0622A"/>
    <w:rsid w:val="00C06330"/>
    <w:rsid w:val="00C06569"/>
    <w:rsid w:val="00C065A7"/>
    <w:rsid w:val="00C067C3"/>
    <w:rsid w:val="00C06825"/>
    <w:rsid w:val="00C068C3"/>
    <w:rsid w:val="00C068E8"/>
    <w:rsid w:val="00C0694A"/>
    <w:rsid w:val="00C06AC8"/>
    <w:rsid w:val="00C06AFC"/>
    <w:rsid w:val="00C06B06"/>
    <w:rsid w:val="00C06B64"/>
    <w:rsid w:val="00C06DA2"/>
    <w:rsid w:val="00C06DAB"/>
    <w:rsid w:val="00C06E33"/>
    <w:rsid w:val="00C06E9B"/>
    <w:rsid w:val="00C06EF8"/>
    <w:rsid w:val="00C06F7E"/>
    <w:rsid w:val="00C0703F"/>
    <w:rsid w:val="00C07092"/>
    <w:rsid w:val="00C07095"/>
    <w:rsid w:val="00C070AC"/>
    <w:rsid w:val="00C07125"/>
    <w:rsid w:val="00C07163"/>
    <w:rsid w:val="00C07175"/>
    <w:rsid w:val="00C07213"/>
    <w:rsid w:val="00C0724C"/>
    <w:rsid w:val="00C0733B"/>
    <w:rsid w:val="00C073A6"/>
    <w:rsid w:val="00C07497"/>
    <w:rsid w:val="00C074B3"/>
    <w:rsid w:val="00C074B6"/>
    <w:rsid w:val="00C07517"/>
    <w:rsid w:val="00C07530"/>
    <w:rsid w:val="00C07B57"/>
    <w:rsid w:val="00C07BA0"/>
    <w:rsid w:val="00C07CC1"/>
    <w:rsid w:val="00C07CD4"/>
    <w:rsid w:val="00C07D9B"/>
    <w:rsid w:val="00C07DFA"/>
    <w:rsid w:val="00C07F75"/>
    <w:rsid w:val="00C101E1"/>
    <w:rsid w:val="00C10288"/>
    <w:rsid w:val="00C10342"/>
    <w:rsid w:val="00C10412"/>
    <w:rsid w:val="00C104EE"/>
    <w:rsid w:val="00C1050B"/>
    <w:rsid w:val="00C1062A"/>
    <w:rsid w:val="00C10642"/>
    <w:rsid w:val="00C106E0"/>
    <w:rsid w:val="00C1085B"/>
    <w:rsid w:val="00C108AD"/>
    <w:rsid w:val="00C109F1"/>
    <w:rsid w:val="00C10A12"/>
    <w:rsid w:val="00C10BF4"/>
    <w:rsid w:val="00C10D45"/>
    <w:rsid w:val="00C10D99"/>
    <w:rsid w:val="00C10FFB"/>
    <w:rsid w:val="00C11272"/>
    <w:rsid w:val="00C1128B"/>
    <w:rsid w:val="00C11328"/>
    <w:rsid w:val="00C1133E"/>
    <w:rsid w:val="00C113E2"/>
    <w:rsid w:val="00C1141A"/>
    <w:rsid w:val="00C115F9"/>
    <w:rsid w:val="00C117C8"/>
    <w:rsid w:val="00C11A6F"/>
    <w:rsid w:val="00C11A8F"/>
    <w:rsid w:val="00C11B26"/>
    <w:rsid w:val="00C11BDD"/>
    <w:rsid w:val="00C11C56"/>
    <w:rsid w:val="00C11FCF"/>
    <w:rsid w:val="00C12039"/>
    <w:rsid w:val="00C12173"/>
    <w:rsid w:val="00C121B9"/>
    <w:rsid w:val="00C12251"/>
    <w:rsid w:val="00C12320"/>
    <w:rsid w:val="00C123F2"/>
    <w:rsid w:val="00C1250F"/>
    <w:rsid w:val="00C12869"/>
    <w:rsid w:val="00C12928"/>
    <w:rsid w:val="00C1299A"/>
    <w:rsid w:val="00C129B6"/>
    <w:rsid w:val="00C129FD"/>
    <w:rsid w:val="00C12B66"/>
    <w:rsid w:val="00C12BF3"/>
    <w:rsid w:val="00C12DA9"/>
    <w:rsid w:val="00C12EFE"/>
    <w:rsid w:val="00C12F61"/>
    <w:rsid w:val="00C1309B"/>
    <w:rsid w:val="00C1313C"/>
    <w:rsid w:val="00C13175"/>
    <w:rsid w:val="00C132EB"/>
    <w:rsid w:val="00C133B2"/>
    <w:rsid w:val="00C133C9"/>
    <w:rsid w:val="00C133FB"/>
    <w:rsid w:val="00C13577"/>
    <w:rsid w:val="00C135B2"/>
    <w:rsid w:val="00C136B7"/>
    <w:rsid w:val="00C1376D"/>
    <w:rsid w:val="00C137E8"/>
    <w:rsid w:val="00C13835"/>
    <w:rsid w:val="00C13A68"/>
    <w:rsid w:val="00C13C63"/>
    <w:rsid w:val="00C13C7D"/>
    <w:rsid w:val="00C13EB1"/>
    <w:rsid w:val="00C13EE4"/>
    <w:rsid w:val="00C14091"/>
    <w:rsid w:val="00C140C4"/>
    <w:rsid w:val="00C142EB"/>
    <w:rsid w:val="00C14310"/>
    <w:rsid w:val="00C1454E"/>
    <w:rsid w:val="00C1458F"/>
    <w:rsid w:val="00C14650"/>
    <w:rsid w:val="00C146F7"/>
    <w:rsid w:val="00C14867"/>
    <w:rsid w:val="00C1486E"/>
    <w:rsid w:val="00C14888"/>
    <w:rsid w:val="00C148CA"/>
    <w:rsid w:val="00C149CE"/>
    <w:rsid w:val="00C14A95"/>
    <w:rsid w:val="00C14BBC"/>
    <w:rsid w:val="00C14C2D"/>
    <w:rsid w:val="00C14CA8"/>
    <w:rsid w:val="00C14DA6"/>
    <w:rsid w:val="00C14F26"/>
    <w:rsid w:val="00C1500F"/>
    <w:rsid w:val="00C15182"/>
    <w:rsid w:val="00C1523C"/>
    <w:rsid w:val="00C15249"/>
    <w:rsid w:val="00C153E9"/>
    <w:rsid w:val="00C15421"/>
    <w:rsid w:val="00C1560D"/>
    <w:rsid w:val="00C1567C"/>
    <w:rsid w:val="00C158FE"/>
    <w:rsid w:val="00C15CD4"/>
    <w:rsid w:val="00C15D0F"/>
    <w:rsid w:val="00C15E02"/>
    <w:rsid w:val="00C15EF5"/>
    <w:rsid w:val="00C15F07"/>
    <w:rsid w:val="00C16081"/>
    <w:rsid w:val="00C16099"/>
    <w:rsid w:val="00C161BD"/>
    <w:rsid w:val="00C1621E"/>
    <w:rsid w:val="00C16276"/>
    <w:rsid w:val="00C162D9"/>
    <w:rsid w:val="00C163B6"/>
    <w:rsid w:val="00C163EB"/>
    <w:rsid w:val="00C16478"/>
    <w:rsid w:val="00C168AE"/>
    <w:rsid w:val="00C168B3"/>
    <w:rsid w:val="00C169D6"/>
    <w:rsid w:val="00C16A52"/>
    <w:rsid w:val="00C16BF0"/>
    <w:rsid w:val="00C16CE2"/>
    <w:rsid w:val="00C16E8E"/>
    <w:rsid w:val="00C16F65"/>
    <w:rsid w:val="00C17011"/>
    <w:rsid w:val="00C17013"/>
    <w:rsid w:val="00C170A0"/>
    <w:rsid w:val="00C170C2"/>
    <w:rsid w:val="00C17119"/>
    <w:rsid w:val="00C17144"/>
    <w:rsid w:val="00C17191"/>
    <w:rsid w:val="00C17213"/>
    <w:rsid w:val="00C172AD"/>
    <w:rsid w:val="00C17315"/>
    <w:rsid w:val="00C173E7"/>
    <w:rsid w:val="00C17598"/>
    <w:rsid w:val="00C17603"/>
    <w:rsid w:val="00C17672"/>
    <w:rsid w:val="00C176F9"/>
    <w:rsid w:val="00C17752"/>
    <w:rsid w:val="00C17783"/>
    <w:rsid w:val="00C177D4"/>
    <w:rsid w:val="00C1794A"/>
    <w:rsid w:val="00C1798D"/>
    <w:rsid w:val="00C17A79"/>
    <w:rsid w:val="00C17A9C"/>
    <w:rsid w:val="00C17AB3"/>
    <w:rsid w:val="00C17BB5"/>
    <w:rsid w:val="00C17C7E"/>
    <w:rsid w:val="00C17D8A"/>
    <w:rsid w:val="00C17F7A"/>
    <w:rsid w:val="00C17FBD"/>
    <w:rsid w:val="00C20005"/>
    <w:rsid w:val="00C20207"/>
    <w:rsid w:val="00C20384"/>
    <w:rsid w:val="00C204EE"/>
    <w:rsid w:val="00C206AC"/>
    <w:rsid w:val="00C20757"/>
    <w:rsid w:val="00C2095C"/>
    <w:rsid w:val="00C20A58"/>
    <w:rsid w:val="00C20AA3"/>
    <w:rsid w:val="00C20B1F"/>
    <w:rsid w:val="00C20B22"/>
    <w:rsid w:val="00C20B54"/>
    <w:rsid w:val="00C20C95"/>
    <w:rsid w:val="00C20CBF"/>
    <w:rsid w:val="00C20D15"/>
    <w:rsid w:val="00C20E3F"/>
    <w:rsid w:val="00C20E44"/>
    <w:rsid w:val="00C20EA2"/>
    <w:rsid w:val="00C20EE8"/>
    <w:rsid w:val="00C21227"/>
    <w:rsid w:val="00C2127E"/>
    <w:rsid w:val="00C2131D"/>
    <w:rsid w:val="00C21442"/>
    <w:rsid w:val="00C21516"/>
    <w:rsid w:val="00C2179C"/>
    <w:rsid w:val="00C217D2"/>
    <w:rsid w:val="00C21826"/>
    <w:rsid w:val="00C219A1"/>
    <w:rsid w:val="00C21A76"/>
    <w:rsid w:val="00C21B8A"/>
    <w:rsid w:val="00C21BC3"/>
    <w:rsid w:val="00C21BE5"/>
    <w:rsid w:val="00C21D3D"/>
    <w:rsid w:val="00C21DC5"/>
    <w:rsid w:val="00C21F0F"/>
    <w:rsid w:val="00C2217B"/>
    <w:rsid w:val="00C221AF"/>
    <w:rsid w:val="00C2226A"/>
    <w:rsid w:val="00C22350"/>
    <w:rsid w:val="00C22383"/>
    <w:rsid w:val="00C224EA"/>
    <w:rsid w:val="00C22526"/>
    <w:rsid w:val="00C2267A"/>
    <w:rsid w:val="00C227BA"/>
    <w:rsid w:val="00C22A15"/>
    <w:rsid w:val="00C22A58"/>
    <w:rsid w:val="00C22A75"/>
    <w:rsid w:val="00C22CCE"/>
    <w:rsid w:val="00C22F55"/>
    <w:rsid w:val="00C22F99"/>
    <w:rsid w:val="00C2301B"/>
    <w:rsid w:val="00C2306A"/>
    <w:rsid w:val="00C2330B"/>
    <w:rsid w:val="00C23420"/>
    <w:rsid w:val="00C23442"/>
    <w:rsid w:val="00C23495"/>
    <w:rsid w:val="00C23569"/>
    <w:rsid w:val="00C2368A"/>
    <w:rsid w:val="00C236E2"/>
    <w:rsid w:val="00C23731"/>
    <w:rsid w:val="00C23880"/>
    <w:rsid w:val="00C238A6"/>
    <w:rsid w:val="00C238CC"/>
    <w:rsid w:val="00C23920"/>
    <w:rsid w:val="00C23935"/>
    <w:rsid w:val="00C23A88"/>
    <w:rsid w:val="00C23AF5"/>
    <w:rsid w:val="00C23CE0"/>
    <w:rsid w:val="00C23DE6"/>
    <w:rsid w:val="00C23E58"/>
    <w:rsid w:val="00C23E6E"/>
    <w:rsid w:val="00C23E7B"/>
    <w:rsid w:val="00C23F14"/>
    <w:rsid w:val="00C23FB1"/>
    <w:rsid w:val="00C23FC1"/>
    <w:rsid w:val="00C240A0"/>
    <w:rsid w:val="00C24218"/>
    <w:rsid w:val="00C2423E"/>
    <w:rsid w:val="00C24290"/>
    <w:rsid w:val="00C244FA"/>
    <w:rsid w:val="00C245B7"/>
    <w:rsid w:val="00C245DB"/>
    <w:rsid w:val="00C2462E"/>
    <w:rsid w:val="00C24703"/>
    <w:rsid w:val="00C24867"/>
    <w:rsid w:val="00C248D0"/>
    <w:rsid w:val="00C249D2"/>
    <w:rsid w:val="00C24A23"/>
    <w:rsid w:val="00C24A62"/>
    <w:rsid w:val="00C24AC0"/>
    <w:rsid w:val="00C24AE2"/>
    <w:rsid w:val="00C24B42"/>
    <w:rsid w:val="00C24BBD"/>
    <w:rsid w:val="00C24D2E"/>
    <w:rsid w:val="00C24E2C"/>
    <w:rsid w:val="00C25171"/>
    <w:rsid w:val="00C2527F"/>
    <w:rsid w:val="00C25361"/>
    <w:rsid w:val="00C25392"/>
    <w:rsid w:val="00C253B9"/>
    <w:rsid w:val="00C253C2"/>
    <w:rsid w:val="00C25447"/>
    <w:rsid w:val="00C254FF"/>
    <w:rsid w:val="00C25644"/>
    <w:rsid w:val="00C25A41"/>
    <w:rsid w:val="00C25AC8"/>
    <w:rsid w:val="00C25BB6"/>
    <w:rsid w:val="00C25D89"/>
    <w:rsid w:val="00C2605E"/>
    <w:rsid w:val="00C26093"/>
    <w:rsid w:val="00C26161"/>
    <w:rsid w:val="00C262D1"/>
    <w:rsid w:val="00C26397"/>
    <w:rsid w:val="00C2659F"/>
    <w:rsid w:val="00C265C6"/>
    <w:rsid w:val="00C26716"/>
    <w:rsid w:val="00C26890"/>
    <w:rsid w:val="00C26925"/>
    <w:rsid w:val="00C2692D"/>
    <w:rsid w:val="00C26B5D"/>
    <w:rsid w:val="00C26B79"/>
    <w:rsid w:val="00C26BA9"/>
    <w:rsid w:val="00C26CAB"/>
    <w:rsid w:val="00C26CEF"/>
    <w:rsid w:val="00C26F29"/>
    <w:rsid w:val="00C26FF8"/>
    <w:rsid w:val="00C27076"/>
    <w:rsid w:val="00C270AC"/>
    <w:rsid w:val="00C270F1"/>
    <w:rsid w:val="00C270FC"/>
    <w:rsid w:val="00C2713C"/>
    <w:rsid w:val="00C27140"/>
    <w:rsid w:val="00C2741B"/>
    <w:rsid w:val="00C276F7"/>
    <w:rsid w:val="00C2790F"/>
    <w:rsid w:val="00C27934"/>
    <w:rsid w:val="00C279C7"/>
    <w:rsid w:val="00C27AFD"/>
    <w:rsid w:val="00C27B38"/>
    <w:rsid w:val="00C27BED"/>
    <w:rsid w:val="00C27DBC"/>
    <w:rsid w:val="00C27EC3"/>
    <w:rsid w:val="00C27F3C"/>
    <w:rsid w:val="00C27FAA"/>
    <w:rsid w:val="00C27FBF"/>
    <w:rsid w:val="00C3002E"/>
    <w:rsid w:val="00C300A1"/>
    <w:rsid w:val="00C3021A"/>
    <w:rsid w:val="00C30403"/>
    <w:rsid w:val="00C3048C"/>
    <w:rsid w:val="00C304A7"/>
    <w:rsid w:val="00C305B7"/>
    <w:rsid w:val="00C3063D"/>
    <w:rsid w:val="00C30682"/>
    <w:rsid w:val="00C30792"/>
    <w:rsid w:val="00C30804"/>
    <w:rsid w:val="00C30943"/>
    <w:rsid w:val="00C309AB"/>
    <w:rsid w:val="00C30A40"/>
    <w:rsid w:val="00C30A60"/>
    <w:rsid w:val="00C30D7A"/>
    <w:rsid w:val="00C30E4C"/>
    <w:rsid w:val="00C30EAC"/>
    <w:rsid w:val="00C30F2E"/>
    <w:rsid w:val="00C31154"/>
    <w:rsid w:val="00C31310"/>
    <w:rsid w:val="00C3138F"/>
    <w:rsid w:val="00C3140D"/>
    <w:rsid w:val="00C31471"/>
    <w:rsid w:val="00C3153F"/>
    <w:rsid w:val="00C31591"/>
    <w:rsid w:val="00C31691"/>
    <w:rsid w:val="00C316DC"/>
    <w:rsid w:val="00C316EC"/>
    <w:rsid w:val="00C3170A"/>
    <w:rsid w:val="00C317CE"/>
    <w:rsid w:val="00C31937"/>
    <w:rsid w:val="00C31972"/>
    <w:rsid w:val="00C31B2A"/>
    <w:rsid w:val="00C31B48"/>
    <w:rsid w:val="00C31BDC"/>
    <w:rsid w:val="00C31CC3"/>
    <w:rsid w:val="00C31EE9"/>
    <w:rsid w:val="00C32067"/>
    <w:rsid w:val="00C321CF"/>
    <w:rsid w:val="00C3243B"/>
    <w:rsid w:val="00C32745"/>
    <w:rsid w:val="00C3275D"/>
    <w:rsid w:val="00C327FC"/>
    <w:rsid w:val="00C328B7"/>
    <w:rsid w:val="00C328DE"/>
    <w:rsid w:val="00C32989"/>
    <w:rsid w:val="00C329F7"/>
    <w:rsid w:val="00C32A3D"/>
    <w:rsid w:val="00C32AB6"/>
    <w:rsid w:val="00C32AC7"/>
    <w:rsid w:val="00C32AD0"/>
    <w:rsid w:val="00C32AFF"/>
    <w:rsid w:val="00C32E72"/>
    <w:rsid w:val="00C32E77"/>
    <w:rsid w:val="00C32E91"/>
    <w:rsid w:val="00C32EEF"/>
    <w:rsid w:val="00C32FBE"/>
    <w:rsid w:val="00C331B6"/>
    <w:rsid w:val="00C33383"/>
    <w:rsid w:val="00C33447"/>
    <w:rsid w:val="00C33454"/>
    <w:rsid w:val="00C3348B"/>
    <w:rsid w:val="00C336B2"/>
    <w:rsid w:val="00C337FE"/>
    <w:rsid w:val="00C338DC"/>
    <w:rsid w:val="00C3391C"/>
    <w:rsid w:val="00C33BC5"/>
    <w:rsid w:val="00C33C04"/>
    <w:rsid w:val="00C33C37"/>
    <w:rsid w:val="00C33CD8"/>
    <w:rsid w:val="00C33D14"/>
    <w:rsid w:val="00C33D23"/>
    <w:rsid w:val="00C33D3E"/>
    <w:rsid w:val="00C33ED3"/>
    <w:rsid w:val="00C3407B"/>
    <w:rsid w:val="00C340EC"/>
    <w:rsid w:val="00C342BB"/>
    <w:rsid w:val="00C34812"/>
    <w:rsid w:val="00C34841"/>
    <w:rsid w:val="00C34943"/>
    <w:rsid w:val="00C34972"/>
    <w:rsid w:val="00C34D69"/>
    <w:rsid w:val="00C34DCB"/>
    <w:rsid w:val="00C34DE0"/>
    <w:rsid w:val="00C34DF8"/>
    <w:rsid w:val="00C34FA3"/>
    <w:rsid w:val="00C350B4"/>
    <w:rsid w:val="00C35180"/>
    <w:rsid w:val="00C35269"/>
    <w:rsid w:val="00C354C5"/>
    <w:rsid w:val="00C354C6"/>
    <w:rsid w:val="00C3568F"/>
    <w:rsid w:val="00C3596C"/>
    <w:rsid w:val="00C35A67"/>
    <w:rsid w:val="00C35D33"/>
    <w:rsid w:val="00C35D5A"/>
    <w:rsid w:val="00C35FED"/>
    <w:rsid w:val="00C36008"/>
    <w:rsid w:val="00C36185"/>
    <w:rsid w:val="00C3643B"/>
    <w:rsid w:val="00C364BB"/>
    <w:rsid w:val="00C364E0"/>
    <w:rsid w:val="00C364E3"/>
    <w:rsid w:val="00C36759"/>
    <w:rsid w:val="00C36791"/>
    <w:rsid w:val="00C3681F"/>
    <w:rsid w:val="00C36AE9"/>
    <w:rsid w:val="00C36AF7"/>
    <w:rsid w:val="00C36BFE"/>
    <w:rsid w:val="00C36C87"/>
    <w:rsid w:val="00C36CC4"/>
    <w:rsid w:val="00C36D40"/>
    <w:rsid w:val="00C36E23"/>
    <w:rsid w:val="00C36E79"/>
    <w:rsid w:val="00C36E7C"/>
    <w:rsid w:val="00C370E5"/>
    <w:rsid w:val="00C37112"/>
    <w:rsid w:val="00C3714A"/>
    <w:rsid w:val="00C3714B"/>
    <w:rsid w:val="00C37162"/>
    <w:rsid w:val="00C37192"/>
    <w:rsid w:val="00C371D6"/>
    <w:rsid w:val="00C37204"/>
    <w:rsid w:val="00C37254"/>
    <w:rsid w:val="00C372DC"/>
    <w:rsid w:val="00C3732F"/>
    <w:rsid w:val="00C373C6"/>
    <w:rsid w:val="00C373FA"/>
    <w:rsid w:val="00C37417"/>
    <w:rsid w:val="00C375D0"/>
    <w:rsid w:val="00C37736"/>
    <w:rsid w:val="00C3777B"/>
    <w:rsid w:val="00C37816"/>
    <w:rsid w:val="00C37AAB"/>
    <w:rsid w:val="00C37ADD"/>
    <w:rsid w:val="00C37B0F"/>
    <w:rsid w:val="00C37B7F"/>
    <w:rsid w:val="00C37C07"/>
    <w:rsid w:val="00C37D8B"/>
    <w:rsid w:val="00C37E9D"/>
    <w:rsid w:val="00C37F8B"/>
    <w:rsid w:val="00C40036"/>
    <w:rsid w:val="00C40123"/>
    <w:rsid w:val="00C40132"/>
    <w:rsid w:val="00C401C6"/>
    <w:rsid w:val="00C402CE"/>
    <w:rsid w:val="00C402DF"/>
    <w:rsid w:val="00C402EA"/>
    <w:rsid w:val="00C4035B"/>
    <w:rsid w:val="00C404B9"/>
    <w:rsid w:val="00C40512"/>
    <w:rsid w:val="00C40540"/>
    <w:rsid w:val="00C4065A"/>
    <w:rsid w:val="00C4066F"/>
    <w:rsid w:val="00C407D2"/>
    <w:rsid w:val="00C40823"/>
    <w:rsid w:val="00C4094E"/>
    <w:rsid w:val="00C409F3"/>
    <w:rsid w:val="00C40D98"/>
    <w:rsid w:val="00C40E3E"/>
    <w:rsid w:val="00C40E61"/>
    <w:rsid w:val="00C40F52"/>
    <w:rsid w:val="00C40FA4"/>
    <w:rsid w:val="00C40FA9"/>
    <w:rsid w:val="00C41083"/>
    <w:rsid w:val="00C410B1"/>
    <w:rsid w:val="00C41186"/>
    <w:rsid w:val="00C4119D"/>
    <w:rsid w:val="00C411F2"/>
    <w:rsid w:val="00C41215"/>
    <w:rsid w:val="00C4121F"/>
    <w:rsid w:val="00C41235"/>
    <w:rsid w:val="00C41356"/>
    <w:rsid w:val="00C4146F"/>
    <w:rsid w:val="00C414A4"/>
    <w:rsid w:val="00C4150F"/>
    <w:rsid w:val="00C415E4"/>
    <w:rsid w:val="00C4168D"/>
    <w:rsid w:val="00C416B8"/>
    <w:rsid w:val="00C417F4"/>
    <w:rsid w:val="00C41890"/>
    <w:rsid w:val="00C41972"/>
    <w:rsid w:val="00C41B2C"/>
    <w:rsid w:val="00C41C1A"/>
    <w:rsid w:val="00C41C74"/>
    <w:rsid w:val="00C41CE0"/>
    <w:rsid w:val="00C41D60"/>
    <w:rsid w:val="00C41DC4"/>
    <w:rsid w:val="00C41DEE"/>
    <w:rsid w:val="00C41F3D"/>
    <w:rsid w:val="00C41FE7"/>
    <w:rsid w:val="00C42069"/>
    <w:rsid w:val="00C420C3"/>
    <w:rsid w:val="00C424E8"/>
    <w:rsid w:val="00C42777"/>
    <w:rsid w:val="00C4278F"/>
    <w:rsid w:val="00C427AB"/>
    <w:rsid w:val="00C428DE"/>
    <w:rsid w:val="00C429B3"/>
    <w:rsid w:val="00C42A8F"/>
    <w:rsid w:val="00C42AEF"/>
    <w:rsid w:val="00C42B0C"/>
    <w:rsid w:val="00C42CF1"/>
    <w:rsid w:val="00C42EBB"/>
    <w:rsid w:val="00C42ECA"/>
    <w:rsid w:val="00C42EEF"/>
    <w:rsid w:val="00C42FBF"/>
    <w:rsid w:val="00C42FE8"/>
    <w:rsid w:val="00C430CB"/>
    <w:rsid w:val="00C434B1"/>
    <w:rsid w:val="00C43512"/>
    <w:rsid w:val="00C436B4"/>
    <w:rsid w:val="00C4371D"/>
    <w:rsid w:val="00C4376A"/>
    <w:rsid w:val="00C437A8"/>
    <w:rsid w:val="00C438E7"/>
    <w:rsid w:val="00C439F0"/>
    <w:rsid w:val="00C43A35"/>
    <w:rsid w:val="00C43A60"/>
    <w:rsid w:val="00C43BA4"/>
    <w:rsid w:val="00C43C68"/>
    <w:rsid w:val="00C43CD1"/>
    <w:rsid w:val="00C43D42"/>
    <w:rsid w:val="00C43FC4"/>
    <w:rsid w:val="00C43FFD"/>
    <w:rsid w:val="00C44098"/>
    <w:rsid w:val="00C441B0"/>
    <w:rsid w:val="00C441B1"/>
    <w:rsid w:val="00C44236"/>
    <w:rsid w:val="00C44301"/>
    <w:rsid w:val="00C4432E"/>
    <w:rsid w:val="00C4440D"/>
    <w:rsid w:val="00C44423"/>
    <w:rsid w:val="00C4447D"/>
    <w:rsid w:val="00C44547"/>
    <w:rsid w:val="00C4462A"/>
    <w:rsid w:val="00C4464F"/>
    <w:rsid w:val="00C446A6"/>
    <w:rsid w:val="00C446E4"/>
    <w:rsid w:val="00C44730"/>
    <w:rsid w:val="00C4475A"/>
    <w:rsid w:val="00C4475C"/>
    <w:rsid w:val="00C447E7"/>
    <w:rsid w:val="00C4485A"/>
    <w:rsid w:val="00C448F3"/>
    <w:rsid w:val="00C44941"/>
    <w:rsid w:val="00C44965"/>
    <w:rsid w:val="00C44ABE"/>
    <w:rsid w:val="00C44BDA"/>
    <w:rsid w:val="00C44C43"/>
    <w:rsid w:val="00C44D0A"/>
    <w:rsid w:val="00C44D85"/>
    <w:rsid w:val="00C44D8A"/>
    <w:rsid w:val="00C44E68"/>
    <w:rsid w:val="00C44EB9"/>
    <w:rsid w:val="00C44FA1"/>
    <w:rsid w:val="00C4510B"/>
    <w:rsid w:val="00C45177"/>
    <w:rsid w:val="00C45311"/>
    <w:rsid w:val="00C45323"/>
    <w:rsid w:val="00C453FC"/>
    <w:rsid w:val="00C45451"/>
    <w:rsid w:val="00C454BC"/>
    <w:rsid w:val="00C454E0"/>
    <w:rsid w:val="00C4560D"/>
    <w:rsid w:val="00C45739"/>
    <w:rsid w:val="00C45882"/>
    <w:rsid w:val="00C4590E"/>
    <w:rsid w:val="00C4591F"/>
    <w:rsid w:val="00C45960"/>
    <w:rsid w:val="00C45CB3"/>
    <w:rsid w:val="00C45D94"/>
    <w:rsid w:val="00C4609F"/>
    <w:rsid w:val="00C462CB"/>
    <w:rsid w:val="00C46355"/>
    <w:rsid w:val="00C463AA"/>
    <w:rsid w:val="00C46503"/>
    <w:rsid w:val="00C465E7"/>
    <w:rsid w:val="00C466FE"/>
    <w:rsid w:val="00C46744"/>
    <w:rsid w:val="00C467A0"/>
    <w:rsid w:val="00C46940"/>
    <w:rsid w:val="00C46994"/>
    <w:rsid w:val="00C46A2D"/>
    <w:rsid w:val="00C46AC5"/>
    <w:rsid w:val="00C46C66"/>
    <w:rsid w:val="00C46DE1"/>
    <w:rsid w:val="00C46FA9"/>
    <w:rsid w:val="00C47004"/>
    <w:rsid w:val="00C47083"/>
    <w:rsid w:val="00C470D4"/>
    <w:rsid w:val="00C4716B"/>
    <w:rsid w:val="00C47178"/>
    <w:rsid w:val="00C47248"/>
    <w:rsid w:val="00C4727A"/>
    <w:rsid w:val="00C472B1"/>
    <w:rsid w:val="00C472C9"/>
    <w:rsid w:val="00C473D7"/>
    <w:rsid w:val="00C4744E"/>
    <w:rsid w:val="00C4748E"/>
    <w:rsid w:val="00C474E4"/>
    <w:rsid w:val="00C474EB"/>
    <w:rsid w:val="00C4767C"/>
    <w:rsid w:val="00C4772B"/>
    <w:rsid w:val="00C4784B"/>
    <w:rsid w:val="00C478A9"/>
    <w:rsid w:val="00C478FA"/>
    <w:rsid w:val="00C479BA"/>
    <w:rsid w:val="00C47A19"/>
    <w:rsid w:val="00C47A4E"/>
    <w:rsid w:val="00C47A97"/>
    <w:rsid w:val="00C47C17"/>
    <w:rsid w:val="00C47DD5"/>
    <w:rsid w:val="00C47E39"/>
    <w:rsid w:val="00C47E93"/>
    <w:rsid w:val="00C47EA9"/>
    <w:rsid w:val="00C47F34"/>
    <w:rsid w:val="00C47FA6"/>
    <w:rsid w:val="00C50085"/>
    <w:rsid w:val="00C500AF"/>
    <w:rsid w:val="00C500FC"/>
    <w:rsid w:val="00C5035E"/>
    <w:rsid w:val="00C5057D"/>
    <w:rsid w:val="00C506C3"/>
    <w:rsid w:val="00C50709"/>
    <w:rsid w:val="00C50738"/>
    <w:rsid w:val="00C50835"/>
    <w:rsid w:val="00C50846"/>
    <w:rsid w:val="00C5089C"/>
    <w:rsid w:val="00C50914"/>
    <w:rsid w:val="00C50A29"/>
    <w:rsid w:val="00C50A9D"/>
    <w:rsid w:val="00C50BCC"/>
    <w:rsid w:val="00C50D5A"/>
    <w:rsid w:val="00C50E3E"/>
    <w:rsid w:val="00C50E75"/>
    <w:rsid w:val="00C51045"/>
    <w:rsid w:val="00C510B7"/>
    <w:rsid w:val="00C51141"/>
    <w:rsid w:val="00C51199"/>
    <w:rsid w:val="00C511D2"/>
    <w:rsid w:val="00C511DC"/>
    <w:rsid w:val="00C51468"/>
    <w:rsid w:val="00C51480"/>
    <w:rsid w:val="00C515A8"/>
    <w:rsid w:val="00C517F3"/>
    <w:rsid w:val="00C51804"/>
    <w:rsid w:val="00C5181D"/>
    <w:rsid w:val="00C51C32"/>
    <w:rsid w:val="00C51CD5"/>
    <w:rsid w:val="00C51ED2"/>
    <w:rsid w:val="00C5207F"/>
    <w:rsid w:val="00C52139"/>
    <w:rsid w:val="00C52159"/>
    <w:rsid w:val="00C52286"/>
    <w:rsid w:val="00C523B0"/>
    <w:rsid w:val="00C524ED"/>
    <w:rsid w:val="00C52737"/>
    <w:rsid w:val="00C52906"/>
    <w:rsid w:val="00C52914"/>
    <w:rsid w:val="00C52999"/>
    <w:rsid w:val="00C52B45"/>
    <w:rsid w:val="00C52C92"/>
    <w:rsid w:val="00C52DAC"/>
    <w:rsid w:val="00C52DEF"/>
    <w:rsid w:val="00C5302F"/>
    <w:rsid w:val="00C53039"/>
    <w:rsid w:val="00C5335B"/>
    <w:rsid w:val="00C53383"/>
    <w:rsid w:val="00C533FE"/>
    <w:rsid w:val="00C53580"/>
    <w:rsid w:val="00C535BB"/>
    <w:rsid w:val="00C53686"/>
    <w:rsid w:val="00C5379C"/>
    <w:rsid w:val="00C53812"/>
    <w:rsid w:val="00C53840"/>
    <w:rsid w:val="00C5384F"/>
    <w:rsid w:val="00C538DB"/>
    <w:rsid w:val="00C539DF"/>
    <w:rsid w:val="00C53ABD"/>
    <w:rsid w:val="00C53AC7"/>
    <w:rsid w:val="00C53B12"/>
    <w:rsid w:val="00C53B14"/>
    <w:rsid w:val="00C53BAB"/>
    <w:rsid w:val="00C53C10"/>
    <w:rsid w:val="00C53E33"/>
    <w:rsid w:val="00C53E96"/>
    <w:rsid w:val="00C542DC"/>
    <w:rsid w:val="00C5436D"/>
    <w:rsid w:val="00C54383"/>
    <w:rsid w:val="00C5455F"/>
    <w:rsid w:val="00C54588"/>
    <w:rsid w:val="00C5467D"/>
    <w:rsid w:val="00C546F0"/>
    <w:rsid w:val="00C5474C"/>
    <w:rsid w:val="00C54990"/>
    <w:rsid w:val="00C54AE9"/>
    <w:rsid w:val="00C54D00"/>
    <w:rsid w:val="00C54F73"/>
    <w:rsid w:val="00C54FBC"/>
    <w:rsid w:val="00C550AE"/>
    <w:rsid w:val="00C551F3"/>
    <w:rsid w:val="00C55396"/>
    <w:rsid w:val="00C553A2"/>
    <w:rsid w:val="00C5553F"/>
    <w:rsid w:val="00C5561D"/>
    <w:rsid w:val="00C55660"/>
    <w:rsid w:val="00C55840"/>
    <w:rsid w:val="00C55890"/>
    <w:rsid w:val="00C55931"/>
    <w:rsid w:val="00C55947"/>
    <w:rsid w:val="00C55A36"/>
    <w:rsid w:val="00C55A5B"/>
    <w:rsid w:val="00C55C02"/>
    <w:rsid w:val="00C55D19"/>
    <w:rsid w:val="00C55E04"/>
    <w:rsid w:val="00C55E20"/>
    <w:rsid w:val="00C55F4D"/>
    <w:rsid w:val="00C55FDA"/>
    <w:rsid w:val="00C56031"/>
    <w:rsid w:val="00C5612E"/>
    <w:rsid w:val="00C5619E"/>
    <w:rsid w:val="00C56225"/>
    <w:rsid w:val="00C562FD"/>
    <w:rsid w:val="00C563FC"/>
    <w:rsid w:val="00C5642F"/>
    <w:rsid w:val="00C56498"/>
    <w:rsid w:val="00C564E6"/>
    <w:rsid w:val="00C5650F"/>
    <w:rsid w:val="00C5654D"/>
    <w:rsid w:val="00C56636"/>
    <w:rsid w:val="00C567B5"/>
    <w:rsid w:val="00C567ED"/>
    <w:rsid w:val="00C568C7"/>
    <w:rsid w:val="00C568F3"/>
    <w:rsid w:val="00C56B03"/>
    <w:rsid w:val="00C56B05"/>
    <w:rsid w:val="00C56B2D"/>
    <w:rsid w:val="00C56C72"/>
    <w:rsid w:val="00C56CBB"/>
    <w:rsid w:val="00C56D1B"/>
    <w:rsid w:val="00C56D93"/>
    <w:rsid w:val="00C56F13"/>
    <w:rsid w:val="00C5700E"/>
    <w:rsid w:val="00C570A1"/>
    <w:rsid w:val="00C5713B"/>
    <w:rsid w:val="00C5718B"/>
    <w:rsid w:val="00C573CB"/>
    <w:rsid w:val="00C57420"/>
    <w:rsid w:val="00C57546"/>
    <w:rsid w:val="00C575AC"/>
    <w:rsid w:val="00C575B4"/>
    <w:rsid w:val="00C5768F"/>
    <w:rsid w:val="00C576C1"/>
    <w:rsid w:val="00C579CC"/>
    <w:rsid w:val="00C579FE"/>
    <w:rsid w:val="00C57B9B"/>
    <w:rsid w:val="00C57C9E"/>
    <w:rsid w:val="00C57D46"/>
    <w:rsid w:val="00C57D7F"/>
    <w:rsid w:val="00C57DA5"/>
    <w:rsid w:val="00C57F7A"/>
    <w:rsid w:val="00C60061"/>
    <w:rsid w:val="00C60200"/>
    <w:rsid w:val="00C6024B"/>
    <w:rsid w:val="00C60281"/>
    <w:rsid w:val="00C6063E"/>
    <w:rsid w:val="00C60792"/>
    <w:rsid w:val="00C607F4"/>
    <w:rsid w:val="00C607F9"/>
    <w:rsid w:val="00C6088E"/>
    <w:rsid w:val="00C608A6"/>
    <w:rsid w:val="00C608E1"/>
    <w:rsid w:val="00C609E5"/>
    <w:rsid w:val="00C60A20"/>
    <w:rsid w:val="00C60AB5"/>
    <w:rsid w:val="00C60BE2"/>
    <w:rsid w:val="00C60C03"/>
    <w:rsid w:val="00C60CBA"/>
    <w:rsid w:val="00C60CEB"/>
    <w:rsid w:val="00C60E17"/>
    <w:rsid w:val="00C60E4C"/>
    <w:rsid w:val="00C60FB2"/>
    <w:rsid w:val="00C610B9"/>
    <w:rsid w:val="00C610F6"/>
    <w:rsid w:val="00C61156"/>
    <w:rsid w:val="00C6115E"/>
    <w:rsid w:val="00C6147A"/>
    <w:rsid w:val="00C6166C"/>
    <w:rsid w:val="00C61759"/>
    <w:rsid w:val="00C619ED"/>
    <w:rsid w:val="00C61C34"/>
    <w:rsid w:val="00C61C4C"/>
    <w:rsid w:val="00C61CAF"/>
    <w:rsid w:val="00C61D0E"/>
    <w:rsid w:val="00C61D4D"/>
    <w:rsid w:val="00C61DF3"/>
    <w:rsid w:val="00C61FC6"/>
    <w:rsid w:val="00C621DE"/>
    <w:rsid w:val="00C62352"/>
    <w:rsid w:val="00C6287D"/>
    <w:rsid w:val="00C628B1"/>
    <w:rsid w:val="00C629E4"/>
    <w:rsid w:val="00C62C2C"/>
    <w:rsid w:val="00C62CFB"/>
    <w:rsid w:val="00C62DB7"/>
    <w:rsid w:val="00C62E3A"/>
    <w:rsid w:val="00C62E4A"/>
    <w:rsid w:val="00C62F1F"/>
    <w:rsid w:val="00C62F3D"/>
    <w:rsid w:val="00C6304D"/>
    <w:rsid w:val="00C63280"/>
    <w:rsid w:val="00C6334C"/>
    <w:rsid w:val="00C63361"/>
    <w:rsid w:val="00C637B9"/>
    <w:rsid w:val="00C637BE"/>
    <w:rsid w:val="00C637F4"/>
    <w:rsid w:val="00C639C5"/>
    <w:rsid w:val="00C639DB"/>
    <w:rsid w:val="00C63A1A"/>
    <w:rsid w:val="00C63AD7"/>
    <w:rsid w:val="00C63CBC"/>
    <w:rsid w:val="00C63CCE"/>
    <w:rsid w:val="00C63D03"/>
    <w:rsid w:val="00C63D97"/>
    <w:rsid w:val="00C63F34"/>
    <w:rsid w:val="00C63FF9"/>
    <w:rsid w:val="00C6417D"/>
    <w:rsid w:val="00C642CD"/>
    <w:rsid w:val="00C643CF"/>
    <w:rsid w:val="00C64462"/>
    <w:rsid w:val="00C64577"/>
    <w:rsid w:val="00C645E9"/>
    <w:rsid w:val="00C646DB"/>
    <w:rsid w:val="00C647C0"/>
    <w:rsid w:val="00C647C9"/>
    <w:rsid w:val="00C649DE"/>
    <w:rsid w:val="00C64A0E"/>
    <w:rsid w:val="00C64BF0"/>
    <w:rsid w:val="00C64CD1"/>
    <w:rsid w:val="00C64CF5"/>
    <w:rsid w:val="00C64DD4"/>
    <w:rsid w:val="00C64E35"/>
    <w:rsid w:val="00C64F5C"/>
    <w:rsid w:val="00C65006"/>
    <w:rsid w:val="00C6508C"/>
    <w:rsid w:val="00C65212"/>
    <w:rsid w:val="00C65236"/>
    <w:rsid w:val="00C6523E"/>
    <w:rsid w:val="00C6524A"/>
    <w:rsid w:val="00C652E2"/>
    <w:rsid w:val="00C65565"/>
    <w:rsid w:val="00C655F1"/>
    <w:rsid w:val="00C6562E"/>
    <w:rsid w:val="00C6567A"/>
    <w:rsid w:val="00C65687"/>
    <w:rsid w:val="00C656F2"/>
    <w:rsid w:val="00C657B8"/>
    <w:rsid w:val="00C6585A"/>
    <w:rsid w:val="00C65A1E"/>
    <w:rsid w:val="00C65AC9"/>
    <w:rsid w:val="00C65B67"/>
    <w:rsid w:val="00C65C38"/>
    <w:rsid w:val="00C65D07"/>
    <w:rsid w:val="00C65D81"/>
    <w:rsid w:val="00C65DFF"/>
    <w:rsid w:val="00C65E28"/>
    <w:rsid w:val="00C65E74"/>
    <w:rsid w:val="00C65E9C"/>
    <w:rsid w:val="00C66062"/>
    <w:rsid w:val="00C66217"/>
    <w:rsid w:val="00C66252"/>
    <w:rsid w:val="00C663D4"/>
    <w:rsid w:val="00C66434"/>
    <w:rsid w:val="00C6647E"/>
    <w:rsid w:val="00C664E8"/>
    <w:rsid w:val="00C66510"/>
    <w:rsid w:val="00C666B8"/>
    <w:rsid w:val="00C6688A"/>
    <w:rsid w:val="00C668E6"/>
    <w:rsid w:val="00C6693D"/>
    <w:rsid w:val="00C66BED"/>
    <w:rsid w:val="00C66C01"/>
    <w:rsid w:val="00C66E27"/>
    <w:rsid w:val="00C66E98"/>
    <w:rsid w:val="00C671F3"/>
    <w:rsid w:val="00C6727C"/>
    <w:rsid w:val="00C6743D"/>
    <w:rsid w:val="00C67472"/>
    <w:rsid w:val="00C674A5"/>
    <w:rsid w:val="00C67553"/>
    <w:rsid w:val="00C675CC"/>
    <w:rsid w:val="00C67822"/>
    <w:rsid w:val="00C679E0"/>
    <w:rsid w:val="00C67C43"/>
    <w:rsid w:val="00C67C9A"/>
    <w:rsid w:val="00C67CD1"/>
    <w:rsid w:val="00C67D23"/>
    <w:rsid w:val="00C67D6D"/>
    <w:rsid w:val="00C67F22"/>
    <w:rsid w:val="00C7014E"/>
    <w:rsid w:val="00C701EF"/>
    <w:rsid w:val="00C70267"/>
    <w:rsid w:val="00C7041D"/>
    <w:rsid w:val="00C7057D"/>
    <w:rsid w:val="00C706DC"/>
    <w:rsid w:val="00C7072A"/>
    <w:rsid w:val="00C707DE"/>
    <w:rsid w:val="00C707E4"/>
    <w:rsid w:val="00C70806"/>
    <w:rsid w:val="00C70870"/>
    <w:rsid w:val="00C70983"/>
    <w:rsid w:val="00C709E5"/>
    <w:rsid w:val="00C709EC"/>
    <w:rsid w:val="00C70A7B"/>
    <w:rsid w:val="00C70B26"/>
    <w:rsid w:val="00C70B28"/>
    <w:rsid w:val="00C70D9F"/>
    <w:rsid w:val="00C70DB7"/>
    <w:rsid w:val="00C70F98"/>
    <w:rsid w:val="00C71062"/>
    <w:rsid w:val="00C710A3"/>
    <w:rsid w:val="00C711E5"/>
    <w:rsid w:val="00C7120B"/>
    <w:rsid w:val="00C7122F"/>
    <w:rsid w:val="00C712AB"/>
    <w:rsid w:val="00C7137F"/>
    <w:rsid w:val="00C715A3"/>
    <w:rsid w:val="00C716EB"/>
    <w:rsid w:val="00C718CA"/>
    <w:rsid w:val="00C718D1"/>
    <w:rsid w:val="00C71B92"/>
    <w:rsid w:val="00C71C6A"/>
    <w:rsid w:val="00C71C7F"/>
    <w:rsid w:val="00C71CBE"/>
    <w:rsid w:val="00C71D15"/>
    <w:rsid w:val="00C71E06"/>
    <w:rsid w:val="00C71EAD"/>
    <w:rsid w:val="00C71F98"/>
    <w:rsid w:val="00C71FA4"/>
    <w:rsid w:val="00C71FF4"/>
    <w:rsid w:val="00C72036"/>
    <w:rsid w:val="00C72052"/>
    <w:rsid w:val="00C7216C"/>
    <w:rsid w:val="00C72273"/>
    <w:rsid w:val="00C72411"/>
    <w:rsid w:val="00C7242D"/>
    <w:rsid w:val="00C724AE"/>
    <w:rsid w:val="00C7250A"/>
    <w:rsid w:val="00C72570"/>
    <w:rsid w:val="00C72717"/>
    <w:rsid w:val="00C72822"/>
    <w:rsid w:val="00C728A6"/>
    <w:rsid w:val="00C72A33"/>
    <w:rsid w:val="00C72CBE"/>
    <w:rsid w:val="00C72D10"/>
    <w:rsid w:val="00C72DD4"/>
    <w:rsid w:val="00C72DE0"/>
    <w:rsid w:val="00C7308D"/>
    <w:rsid w:val="00C731AF"/>
    <w:rsid w:val="00C731DA"/>
    <w:rsid w:val="00C7336E"/>
    <w:rsid w:val="00C733F8"/>
    <w:rsid w:val="00C737E1"/>
    <w:rsid w:val="00C7388B"/>
    <w:rsid w:val="00C73927"/>
    <w:rsid w:val="00C739D8"/>
    <w:rsid w:val="00C73B61"/>
    <w:rsid w:val="00C73C65"/>
    <w:rsid w:val="00C73D2D"/>
    <w:rsid w:val="00C73DF3"/>
    <w:rsid w:val="00C73F03"/>
    <w:rsid w:val="00C7414C"/>
    <w:rsid w:val="00C7422E"/>
    <w:rsid w:val="00C742F3"/>
    <w:rsid w:val="00C74332"/>
    <w:rsid w:val="00C74388"/>
    <w:rsid w:val="00C743D5"/>
    <w:rsid w:val="00C74592"/>
    <w:rsid w:val="00C745B2"/>
    <w:rsid w:val="00C74909"/>
    <w:rsid w:val="00C749CA"/>
    <w:rsid w:val="00C74B0D"/>
    <w:rsid w:val="00C74D54"/>
    <w:rsid w:val="00C74D78"/>
    <w:rsid w:val="00C74F67"/>
    <w:rsid w:val="00C75004"/>
    <w:rsid w:val="00C7510B"/>
    <w:rsid w:val="00C7511D"/>
    <w:rsid w:val="00C751EE"/>
    <w:rsid w:val="00C7520E"/>
    <w:rsid w:val="00C7529F"/>
    <w:rsid w:val="00C7539B"/>
    <w:rsid w:val="00C754F3"/>
    <w:rsid w:val="00C75566"/>
    <w:rsid w:val="00C75739"/>
    <w:rsid w:val="00C757A2"/>
    <w:rsid w:val="00C757F9"/>
    <w:rsid w:val="00C7581E"/>
    <w:rsid w:val="00C75994"/>
    <w:rsid w:val="00C75AC1"/>
    <w:rsid w:val="00C75B03"/>
    <w:rsid w:val="00C75DF7"/>
    <w:rsid w:val="00C75E06"/>
    <w:rsid w:val="00C76003"/>
    <w:rsid w:val="00C76072"/>
    <w:rsid w:val="00C760CA"/>
    <w:rsid w:val="00C7635D"/>
    <w:rsid w:val="00C7644C"/>
    <w:rsid w:val="00C764B6"/>
    <w:rsid w:val="00C76503"/>
    <w:rsid w:val="00C7663C"/>
    <w:rsid w:val="00C7676E"/>
    <w:rsid w:val="00C76B0C"/>
    <w:rsid w:val="00C76B6D"/>
    <w:rsid w:val="00C76B73"/>
    <w:rsid w:val="00C76CF9"/>
    <w:rsid w:val="00C76E4F"/>
    <w:rsid w:val="00C76E7F"/>
    <w:rsid w:val="00C76EA9"/>
    <w:rsid w:val="00C76EDD"/>
    <w:rsid w:val="00C76F11"/>
    <w:rsid w:val="00C77016"/>
    <w:rsid w:val="00C77066"/>
    <w:rsid w:val="00C770D0"/>
    <w:rsid w:val="00C77221"/>
    <w:rsid w:val="00C7725A"/>
    <w:rsid w:val="00C77284"/>
    <w:rsid w:val="00C772C9"/>
    <w:rsid w:val="00C77387"/>
    <w:rsid w:val="00C774BA"/>
    <w:rsid w:val="00C7750B"/>
    <w:rsid w:val="00C77573"/>
    <w:rsid w:val="00C776CC"/>
    <w:rsid w:val="00C77727"/>
    <w:rsid w:val="00C7777C"/>
    <w:rsid w:val="00C7790D"/>
    <w:rsid w:val="00C77AF1"/>
    <w:rsid w:val="00C77D10"/>
    <w:rsid w:val="00C77DE1"/>
    <w:rsid w:val="00C77ED3"/>
    <w:rsid w:val="00C77EE3"/>
    <w:rsid w:val="00C77EE8"/>
    <w:rsid w:val="00C77EEE"/>
    <w:rsid w:val="00C77F0A"/>
    <w:rsid w:val="00C77F3E"/>
    <w:rsid w:val="00C8001A"/>
    <w:rsid w:val="00C80055"/>
    <w:rsid w:val="00C8013B"/>
    <w:rsid w:val="00C80159"/>
    <w:rsid w:val="00C80208"/>
    <w:rsid w:val="00C802FA"/>
    <w:rsid w:val="00C802FC"/>
    <w:rsid w:val="00C80306"/>
    <w:rsid w:val="00C80315"/>
    <w:rsid w:val="00C80351"/>
    <w:rsid w:val="00C805E2"/>
    <w:rsid w:val="00C8060E"/>
    <w:rsid w:val="00C80691"/>
    <w:rsid w:val="00C80748"/>
    <w:rsid w:val="00C80800"/>
    <w:rsid w:val="00C8088D"/>
    <w:rsid w:val="00C8095F"/>
    <w:rsid w:val="00C80A36"/>
    <w:rsid w:val="00C80A9D"/>
    <w:rsid w:val="00C80EE0"/>
    <w:rsid w:val="00C80F18"/>
    <w:rsid w:val="00C81017"/>
    <w:rsid w:val="00C81090"/>
    <w:rsid w:val="00C810BC"/>
    <w:rsid w:val="00C810BF"/>
    <w:rsid w:val="00C81315"/>
    <w:rsid w:val="00C81517"/>
    <w:rsid w:val="00C81530"/>
    <w:rsid w:val="00C81578"/>
    <w:rsid w:val="00C817B3"/>
    <w:rsid w:val="00C817B4"/>
    <w:rsid w:val="00C817BC"/>
    <w:rsid w:val="00C817FD"/>
    <w:rsid w:val="00C8187C"/>
    <w:rsid w:val="00C818A3"/>
    <w:rsid w:val="00C81DCC"/>
    <w:rsid w:val="00C81DF4"/>
    <w:rsid w:val="00C82003"/>
    <w:rsid w:val="00C8200E"/>
    <w:rsid w:val="00C82017"/>
    <w:rsid w:val="00C820A5"/>
    <w:rsid w:val="00C8214D"/>
    <w:rsid w:val="00C8220A"/>
    <w:rsid w:val="00C82297"/>
    <w:rsid w:val="00C822D1"/>
    <w:rsid w:val="00C822E9"/>
    <w:rsid w:val="00C823AD"/>
    <w:rsid w:val="00C824B2"/>
    <w:rsid w:val="00C8263C"/>
    <w:rsid w:val="00C82669"/>
    <w:rsid w:val="00C826DA"/>
    <w:rsid w:val="00C82728"/>
    <w:rsid w:val="00C82775"/>
    <w:rsid w:val="00C82825"/>
    <w:rsid w:val="00C8291D"/>
    <w:rsid w:val="00C82924"/>
    <w:rsid w:val="00C82B9D"/>
    <w:rsid w:val="00C82C9F"/>
    <w:rsid w:val="00C82DAD"/>
    <w:rsid w:val="00C82F34"/>
    <w:rsid w:val="00C83054"/>
    <w:rsid w:val="00C8307F"/>
    <w:rsid w:val="00C8309A"/>
    <w:rsid w:val="00C83163"/>
    <w:rsid w:val="00C83256"/>
    <w:rsid w:val="00C832AD"/>
    <w:rsid w:val="00C832E0"/>
    <w:rsid w:val="00C83358"/>
    <w:rsid w:val="00C83432"/>
    <w:rsid w:val="00C835A2"/>
    <w:rsid w:val="00C83610"/>
    <w:rsid w:val="00C83692"/>
    <w:rsid w:val="00C837EF"/>
    <w:rsid w:val="00C837F3"/>
    <w:rsid w:val="00C8399C"/>
    <w:rsid w:val="00C83A44"/>
    <w:rsid w:val="00C83B03"/>
    <w:rsid w:val="00C83BFD"/>
    <w:rsid w:val="00C83D05"/>
    <w:rsid w:val="00C83D06"/>
    <w:rsid w:val="00C83D40"/>
    <w:rsid w:val="00C83FF2"/>
    <w:rsid w:val="00C8404E"/>
    <w:rsid w:val="00C840B0"/>
    <w:rsid w:val="00C8418B"/>
    <w:rsid w:val="00C842F0"/>
    <w:rsid w:val="00C842F8"/>
    <w:rsid w:val="00C8432F"/>
    <w:rsid w:val="00C8447F"/>
    <w:rsid w:val="00C8449F"/>
    <w:rsid w:val="00C84584"/>
    <w:rsid w:val="00C8464A"/>
    <w:rsid w:val="00C8469B"/>
    <w:rsid w:val="00C846AD"/>
    <w:rsid w:val="00C84724"/>
    <w:rsid w:val="00C8482C"/>
    <w:rsid w:val="00C8482F"/>
    <w:rsid w:val="00C84833"/>
    <w:rsid w:val="00C848D9"/>
    <w:rsid w:val="00C84903"/>
    <w:rsid w:val="00C84967"/>
    <w:rsid w:val="00C84A26"/>
    <w:rsid w:val="00C84A5D"/>
    <w:rsid w:val="00C84C8C"/>
    <w:rsid w:val="00C84CFA"/>
    <w:rsid w:val="00C84FE0"/>
    <w:rsid w:val="00C851F3"/>
    <w:rsid w:val="00C8526D"/>
    <w:rsid w:val="00C85367"/>
    <w:rsid w:val="00C85368"/>
    <w:rsid w:val="00C85386"/>
    <w:rsid w:val="00C854EF"/>
    <w:rsid w:val="00C85502"/>
    <w:rsid w:val="00C85558"/>
    <w:rsid w:val="00C85564"/>
    <w:rsid w:val="00C855B5"/>
    <w:rsid w:val="00C8560F"/>
    <w:rsid w:val="00C8562D"/>
    <w:rsid w:val="00C8565E"/>
    <w:rsid w:val="00C85670"/>
    <w:rsid w:val="00C858D3"/>
    <w:rsid w:val="00C8598D"/>
    <w:rsid w:val="00C85A9E"/>
    <w:rsid w:val="00C85AB8"/>
    <w:rsid w:val="00C85BD4"/>
    <w:rsid w:val="00C85BEB"/>
    <w:rsid w:val="00C85DB4"/>
    <w:rsid w:val="00C85FA8"/>
    <w:rsid w:val="00C86091"/>
    <w:rsid w:val="00C86092"/>
    <w:rsid w:val="00C861AE"/>
    <w:rsid w:val="00C861B2"/>
    <w:rsid w:val="00C861F3"/>
    <w:rsid w:val="00C86224"/>
    <w:rsid w:val="00C8623E"/>
    <w:rsid w:val="00C86294"/>
    <w:rsid w:val="00C86372"/>
    <w:rsid w:val="00C86421"/>
    <w:rsid w:val="00C8644F"/>
    <w:rsid w:val="00C86498"/>
    <w:rsid w:val="00C864AE"/>
    <w:rsid w:val="00C868F0"/>
    <w:rsid w:val="00C8690D"/>
    <w:rsid w:val="00C86A42"/>
    <w:rsid w:val="00C86A80"/>
    <w:rsid w:val="00C86BDA"/>
    <w:rsid w:val="00C86E67"/>
    <w:rsid w:val="00C86EB8"/>
    <w:rsid w:val="00C87003"/>
    <w:rsid w:val="00C87014"/>
    <w:rsid w:val="00C8709E"/>
    <w:rsid w:val="00C870A2"/>
    <w:rsid w:val="00C870A4"/>
    <w:rsid w:val="00C87196"/>
    <w:rsid w:val="00C871B9"/>
    <w:rsid w:val="00C87241"/>
    <w:rsid w:val="00C873CF"/>
    <w:rsid w:val="00C874A0"/>
    <w:rsid w:val="00C87594"/>
    <w:rsid w:val="00C875C4"/>
    <w:rsid w:val="00C875EF"/>
    <w:rsid w:val="00C8762E"/>
    <w:rsid w:val="00C8779A"/>
    <w:rsid w:val="00C8785F"/>
    <w:rsid w:val="00C87A2E"/>
    <w:rsid w:val="00C87A73"/>
    <w:rsid w:val="00C87AA4"/>
    <w:rsid w:val="00C87BF3"/>
    <w:rsid w:val="00C87C2A"/>
    <w:rsid w:val="00C87C42"/>
    <w:rsid w:val="00C87CF2"/>
    <w:rsid w:val="00C87DDC"/>
    <w:rsid w:val="00C900FE"/>
    <w:rsid w:val="00C90139"/>
    <w:rsid w:val="00C90161"/>
    <w:rsid w:val="00C901A3"/>
    <w:rsid w:val="00C9032B"/>
    <w:rsid w:val="00C903A5"/>
    <w:rsid w:val="00C90436"/>
    <w:rsid w:val="00C90477"/>
    <w:rsid w:val="00C90492"/>
    <w:rsid w:val="00C9050D"/>
    <w:rsid w:val="00C90543"/>
    <w:rsid w:val="00C90556"/>
    <w:rsid w:val="00C905C6"/>
    <w:rsid w:val="00C9087B"/>
    <w:rsid w:val="00C908B3"/>
    <w:rsid w:val="00C90903"/>
    <w:rsid w:val="00C90921"/>
    <w:rsid w:val="00C909E9"/>
    <w:rsid w:val="00C909F3"/>
    <w:rsid w:val="00C90A53"/>
    <w:rsid w:val="00C90ED2"/>
    <w:rsid w:val="00C90EE0"/>
    <w:rsid w:val="00C90F52"/>
    <w:rsid w:val="00C90F5E"/>
    <w:rsid w:val="00C90FA8"/>
    <w:rsid w:val="00C90FB5"/>
    <w:rsid w:val="00C910BD"/>
    <w:rsid w:val="00C910C6"/>
    <w:rsid w:val="00C91216"/>
    <w:rsid w:val="00C9126E"/>
    <w:rsid w:val="00C91304"/>
    <w:rsid w:val="00C91308"/>
    <w:rsid w:val="00C9156B"/>
    <w:rsid w:val="00C9159F"/>
    <w:rsid w:val="00C91668"/>
    <w:rsid w:val="00C91818"/>
    <w:rsid w:val="00C91870"/>
    <w:rsid w:val="00C9193A"/>
    <w:rsid w:val="00C91A25"/>
    <w:rsid w:val="00C91A8D"/>
    <w:rsid w:val="00C91AB9"/>
    <w:rsid w:val="00C91B1C"/>
    <w:rsid w:val="00C91BCF"/>
    <w:rsid w:val="00C91C75"/>
    <w:rsid w:val="00C91DF5"/>
    <w:rsid w:val="00C91DFA"/>
    <w:rsid w:val="00C91E08"/>
    <w:rsid w:val="00C91E2A"/>
    <w:rsid w:val="00C91EB6"/>
    <w:rsid w:val="00C9223A"/>
    <w:rsid w:val="00C922A6"/>
    <w:rsid w:val="00C923A6"/>
    <w:rsid w:val="00C923F0"/>
    <w:rsid w:val="00C9250E"/>
    <w:rsid w:val="00C9259F"/>
    <w:rsid w:val="00C92623"/>
    <w:rsid w:val="00C92657"/>
    <w:rsid w:val="00C927CE"/>
    <w:rsid w:val="00C9284E"/>
    <w:rsid w:val="00C9286C"/>
    <w:rsid w:val="00C92906"/>
    <w:rsid w:val="00C92B86"/>
    <w:rsid w:val="00C92C2C"/>
    <w:rsid w:val="00C92C63"/>
    <w:rsid w:val="00C92C7A"/>
    <w:rsid w:val="00C92CE7"/>
    <w:rsid w:val="00C92D83"/>
    <w:rsid w:val="00C92EF6"/>
    <w:rsid w:val="00C92F73"/>
    <w:rsid w:val="00C93002"/>
    <w:rsid w:val="00C9306C"/>
    <w:rsid w:val="00C930A2"/>
    <w:rsid w:val="00C930FE"/>
    <w:rsid w:val="00C93258"/>
    <w:rsid w:val="00C93317"/>
    <w:rsid w:val="00C93432"/>
    <w:rsid w:val="00C93687"/>
    <w:rsid w:val="00C936CF"/>
    <w:rsid w:val="00C9370D"/>
    <w:rsid w:val="00C93720"/>
    <w:rsid w:val="00C937B5"/>
    <w:rsid w:val="00C937FA"/>
    <w:rsid w:val="00C937FF"/>
    <w:rsid w:val="00C938B7"/>
    <w:rsid w:val="00C9393D"/>
    <w:rsid w:val="00C93A00"/>
    <w:rsid w:val="00C93A14"/>
    <w:rsid w:val="00C93A68"/>
    <w:rsid w:val="00C93AE9"/>
    <w:rsid w:val="00C93BE9"/>
    <w:rsid w:val="00C93C29"/>
    <w:rsid w:val="00C93E06"/>
    <w:rsid w:val="00C93E43"/>
    <w:rsid w:val="00C93EC0"/>
    <w:rsid w:val="00C93F02"/>
    <w:rsid w:val="00C9435D"/>
    <w:rsid w:val="00C94499"/>
    <w:rsid w:val="00C944BF"/>
    <w:rsid w:val="00C944E0"/>
    <w:rsid w:val="00C944EC"/>
    <w:rsid w:val="00C94530"/>
    <w:rsid w:val="00C9461F"/>
    <w:rsid w:val="00C94626"/>
    <w:rsid w:val="00C94705"/>
    <w:rsid w:val="00C947C0"/>
    <w:rsid w:val="00C948D5"/>
    <w:rsid w:val="00C94924"/>
    <w:rsid w:val="00C949F1"/>
    <w:rsid w:val="00C94B38"/>
    <w:rsid w:val="00C94B5F"/>
    <w:rsid w:val="00C94D5A"/>
    <w:rsid w:val="00C94D7F"/>
    <w:rsid w:val="00C95114"/>
    <w:rsid w:val="00C95251"/>
    <w:rsid w:val="00C9531C"/>
    <w:rsid w:val="00C95394"/>
    <w:rsid w:val="00C954A3"/>
    <w:rsid w:val="00C954DB"/>
    <w:rsid w:val="00C955AC"/>
    <w:rsid w:val="00C95709"/>
    <w:rsid w:val="00C95911"/>
    <w:rsid w:val="00C9592E"/>
    <w:rsid w:val="00C959F4"/>
    <w:rsid w:val="00C95A7A"/>
    <w:rsid w:val="00C95AAD"/>
    <w:rsid w:val="00C95C6E"/>
    <w:rsid w:val="00C95CAF"/>
    <w:rsid w:val="00C96234"/>
    <w:rsid w:val="00C96379"/>
    <w:rsid w:val="00C963AA"/>
    <w:rsid w:val="00C964C7"/>
    <w:rsid w:val="00C965E2"/>
    <w:rsid w:val="00C96832"/>
    <w:rsid w:val="00C96864"/>
    <w:rsid w:val="00C9695E"/>
    <w:rsid w:val="00C969E9"/>
    <w:rsid w:val="00C96A37"/>
    <w:rsid w:val="00C96A7F"/>
    <w:rsid w:val="00C96AEE"/>
    <w:rsid w:val="00C96B3C"/>
    <w:rsid w:val="00C96C6D"/>
    <w:rsid w:val="00C96C87"/>
    <w:rsid w:val="00C96ED8"/>
    <w:rsid w:val="00C96F36"/>
    <w:rsid w:val="00C9701B"/>
    <w:rsid w:val="00C9703E"/>
    <w:rsid w:val="00C9707C"/>
    <w:rsid w:val="00C97299"/>
    <w:rsid w:val="00C9735D"/>
    <w:rsid w:val="00C973B0"/>
    <w:rsid w:val="00C973DB"/>
    <w:rsid w:val="00C97431"/>
    <w:rsid w:val="00C97621"/>
    <w:rsid w:val="00C97800"/>
    <w:rsid w:val="00C978A1"/>
    <w:rsid w:val="00C97A6D"/>
    <w:rsid w:val="00C97AA0"/>
    <w:rsid w:val="00C97EA7"/>
    <w:rsid w:val="00C97EFC"/>
    <w:rsid w:val="00C97F32"/>
    <w:rsid w:val="00CA0019"/>
    <w:rsid w:val="00CA0192"/>
    <w:rsid w:val="00CA02FC"/>
    <w:rsid w:val="00CA0358"/>
    <w:rsid w:val="00CA03F1"/>
    <w:rsid w:val="00CA05DB"/>
    <w:rsid w:val="00CA0654"/>
    <w:rsid w:val="00CA0697"/>
    <w:rsid w:val="00CA06BE"/>
    <w:rsid w:val="00CA0714"/>
    <w:rsid w:val="00CA0740"/>
    <w:rsid w:val="00CA0869"/>
    <w:rsid w:val="00CA08DE"/>
    <w:rsid w:val="00CA09DD"/>
    <w:rsid w:val="00CA0A0C"/>
    <w:rsid w:val="00CA0BA1"/>
    <w:rsid w:val="00CA0BED"/>
    <w:rsid w:val="00CA0CB6"/>
    <w:rsid w:val="00CA0D2A"/>
    <w:rsid w:val="00CA0D70"/>
    <w:rsid w:val="00CA0E23"/>
    <w:rsid w:val="00CA0E9B"/>
    <w:rsid w:val="00CA0F7E"/>
    <w:rsid w:val="00CA1313"/>
    <w:rsid w:val="00CA1325"/>
    <w:rsid w:val="00CA1422"/>
    <w:rsid w:val="00CA1477"/>
    <w:rsid w:val="00CA14CA"/>
    <w:rsid w:val="00CA1689"/>
    <w:rsid w:val="00CA17D4"/>
    <w:rsid w:val="00CA1812"/>
    <w:rsid w:val="00CA1984"/>
    <w:rsid w:val="00CA1BFF"/>
    <w:rsid w:val="00CA1C01"/>
    <w:rsid w:val="00CA1C60"/>
    <w:rsid w:val="00CA20B5"/>
    <w:rsid w:val="00CA20D2"/>
    <w:rsid w:val="00CA2117"/>
    <w:rsid w:val="00CA215A"/>
    <w:rsid w:val="00CA2162"/>
    <w:rsid w:val="00CA21FF"/>
    <w:rsid w:val="00CA23F4"/>
    <w:rsid w:val="00CA245C"/>
    <w:rsid w:val="00CA266A"/>
    <w:rsid w:val="00CA26D7"/>
    <w:rsid w:val="00CA2726"/>
    <w:rsid w:val="00CA28B0"/>
    <w:rsid w:val="00CA28BD"/>
    <w:rsid w:val="00CA2A70"/>
    <w:rsid w:val="00CA2ABD"/>
    <w:rsid w:val="00CA2ADD"/>
    <w:rsid w:val="00CA2B2C"/>
    <w:rsid w:val="00CA2BB0"/>
    <w:rsid w:val="00CA2C42"/>
    <w:rsid w:val="00CA2D48"/>
    <w:rsid w:val="00CA2DBE"/>
    <w:rsid w:val="00CA2DE2"/>
    <w:rsid w:val="00CA2F01"/>
    <w:rsid w:val="00CA2F43"/>
    <w:rsid w:val="00CA3047"/>
    <w:rsid w:val="00CA3089"/>
    <w:rsid w:val="00CA313A"/>
    <w:rsid w:val="00CA31BE"/>
    <w:rsid w:val="00CA32C4"/>
    <w:rsid w:val="00CA33C4"/>
    <w:rsid w:val="00CA3440"/>
    <w:rsid w:val="00CA364A"/>
    <w:rsid w:val="00CA3737"/>
    <w:rsid w:val="00CA378F"/>
    <w:rsid w:val="00CA37C7"/>
    <w:rsid w:val="00CA3807"/>
    <w:rsid w:val="00CA3844"/>
    <w:rsid w:val="00CA387F"/>
    <w:rsid w:val="00CA38FF"/>
    <w:rsid w:val="00CA39DC"/>
    <w:rsid w:val="00CA3B91"/>
    <w:rsid w:val="00CA3C57"/>
    <w:rsid w:val="00CA3D2A"/>
    <w:rsid w:val="00CA3E44"/>
    <w:rsid w:val="00CA3F74"/>
    <w:rsid w:val="00CA3FF9"/>
    <w:rsid w:val="00CA40D4"/>
    <w:rsid w:val="00CA40EE"/>
    <w:rsid w:val="00CA43FA"/>
    <w:rsid w:val="00CA44B0"/>
    <w:rsid w:val="00CA45DF"/>
    <w:rsid w:val="00CA45E1"/>
    <w:rsid w:val="00CA466B"/>
    <w:rsid w:val="00CA4785"/>
    <w:rsid w:val="00CA478A"/>
    <w:rsid w:val="00CA47EF"/>
    <w:rsid w:val="00CA48DC"/>
    <w:rsid w:val="00CA4919"/>
    <w:rsid w:val="00CA49A4"/>
    <w:rsid w:val="00CA49C7"/>
    <w:rsid w:val="00CA49C9"/>
    <w:rsid w:val="00CA4AE7"/>
    <w:rsid w:val="00CA4B06"/>
    <w:rsid w:val="00CA4D19"/>
    <w:rsid w:val="00CA4D88"/>
    <w:rsid w:val="00CA4EAB"/>
    <w:rsid w:val="00CA4F39"/>
    <w:rsid w:val="00CA4F3C"/>
    <w:rsid w:val="00CA4FA9"/>
    <w:rsid w:val="00CA5003"/>
    <w:rsid w:val="00CA50B6"/>
    <w:rsid w:val="00CA51EC"/>
    <w:rsid w:val="00CA520E"/>
    <w:rsid w:val="00CA52A1"/>
    <w:rsid w:val="00CA52A3"/>
    <w:rsid w:val="00CA53CC"/>
    <w:rsid w:val="00CA5423"/>
    <w:rsid w:val="00CA5543"/>
    <w:rsid w:val="00CA5561"/>
    <w:rsid w:val="00CA55DB"/>
    <w:rsid w:val="00CA562C"/>
    <w:rsid w:val="00CA56CF"/>
    <w:rsid w:val="00CA5701"/>
    <w:rsid w:val="00CA5729"/>
    <w:rsid w:val="00CA5790"/>
    <w:rsid w:val="00CA57E5"/>
    <w:rsid w:val="00CA5862"/>
    <w:rsid w:val="00CA58A7"/>
    <w:rsid w:val="00CA58E4"/>
    <w:rsid w:val="00CA5962"/>
    <w:rsid w:val="00CA5A9A"/>
    <w:rsid w:val="00CA5B38"/>
    <w:rsid w:val="00CA5DD0"/>
    <w:rsid w:val="00CA5E01"/>
    <w:rsid w:val="00CA5E4C"/>
    <w:rsid w:val="00CA5EBA"/>
    <w:rsid w:val="00CA5EE9"/>
    <w:rsid w:val="00CA5F26"/>
    <w:rsid w:val="00CA5F7E"/>
    <w:rsid w:val="00CA5F89"/>
    <w:rsid w:val="00CA6006"/>
    <w:rsid w:val="00CA60F0"/>
    <w:rsid w:val="00CA6169"/>
    <w:rsid w:val="00CA62A2"/>
    <w:rsid w:val="00CA6355"/>
    <w:rsid w:val="00CA635A"/>
    <w:rsid w:val="00CA6528"/>
    <w:rsid w:val="00CA65A3"/>
    <w:rsid w:val="00CA6653"/>
    <w:rsid w:val="00CA6682"/>
    <w:rsid w:val="00CA66BF"/>
    <w:rsid w:val="00CA6733"/>
    <w:rsid w:val="00CA6790"/>
    <w:rsid w:val="00CA67A3"/>
    <w:rsid w:val="00CA68D4"/>
    <w:rsid w:val="00CA69DB"/>
    <w:rsid w:val="00CA6ADA"/>
    <w:rsid w:val="00CA6AEA"/>
    <w:rsid w:val="00CA6B77"/>
    <w:rsid w:val="00CA6CFB"/>
    <w:rsid w:val="00CA6F16"/>
    <w:rsid w:val="00CA7447"/>
    <w:rsid w:val="00CA748C"/>
    <w:rsid w:val="00CA7558"/>
    <w:rsid w:val="00CA75C0"/>
    <w:rsid w:val="00CA7612"/>
    <w:rsid w:val="00CA763C"/>
    <w:rsid w:val="00CA7651"/>
    <w:rsid w:val="00CA76E9"/>
    <w:rsid w:val="00CA7706"/>
    <w:rsid w:val="00CA77F6"/>
    <w:rsid w:val="00CA78A3"/>
    <w:rsid w:val="00CA79FF"/>
    <w:rsid w:val="00CA7B55"/>
    <w:rsid w:val="00CA7CBC"/>
    <w:rsid w:val="00CA7D86"/>
    <w:rsid w:val="00CA7E15"/>
    <w:rsid w:val="00CB0026"/>
    <w:rsid w:val="00CB0090"/>
    <w:rsid w:val="00CB00BF"/>
    <w:rsid w:val="00CB00C2"/>
    <w:rsid w:val="00CB016C"/>
    <w:rsid w:val="00CB0329"/>
    <w:rsid w:val="00CB0345"/>
    <w:rsid w:val="00CB040A"/>
    <w:rsid w:val="00CB05C2"/>
    <w:rsid w:val="00CB0604"/>
    <w:rsid w:val="00CB064B"/>
    <w:rsid w:val="00CB0703"/>
    <w:rsid w:val="00CB0737"/>
    <w:rsid w:val="00CB07DB"/>
    <w:rsid w:val="00CB0846"/>
    <w:rsid w:val="00CB0891"/>
    <w:rsid w:val="00CB0956"/>
    <w:rsid w:val="00CB0BB6"/>
    <w:rsid w:val="00CB0C3E"/>
    <w:rsid w:val="00CB0C5B"/>
    <w:rsid w:val="00CB0C68"/>
    <w:rsid w:val="00CB0C9B"/>
    <w:rsid w:val="00CB0CA7"/>
    <w:rsid w:val="00CB0DA5"/>
    <w:rsid w:val="00CB0DC8"/>
    <w:rsid w:val="00CB0F2C"/>
    <w:rsid w:val="00CB0F5F"/>
    <w:rsid w:val="00CB1073"/>
    <w:rsid w:val="00CB109B"/>
    <w:rsid w:val="00CB110A"/>
    <w:rsid w:val="00CB113F"/>
    <w:rsid w:val="00CB152E"/>
    <w:rsid w:val="00CB1667"/>
    <w:rsid w:val="00CB1778"/>
    <w:rsid w:val="00CB1823"/>
    <w:rsid w:val="00CB1B2F"/>
    <w:rsid w:val="00CB1B4F"/>
    <w:rsid w:val="00CB1C5C"/>
    <w:rsid w:val="00CB1C8D"/>
    <w:rsid w:val="00CB1D9D"/>
    <w:rsid w:val="00CB1DA2"/>
    <w:rsid w:val="00CB1DF1"/>
    <w:rsid w:val="00CB1E3A"/>
    <w:rsid w:val="00CB1E88"/>
    <w:rsid w:val="00CB1F1D"/>
    <w:rsid w:val="00CB2033"/>
    <w:rsid w:val="00CB2069"/>
    <w:rsid w:val="00CB2104"/>
    <w:rsid w:val="00CB2257"/>
    <w:rsid w:val="00CB225D"/>
    <w:rsid w:val="00CB233B"/>
    <w:rsid w:val="00CB2375"/>
    <w:rsid w:val="00CB24B7"/>
    <w:rsid w:val="00CB252F"/>
    <w:rsid w:val="00CB253E"/>
    <w:rsid w:val="00CB2549"/>
    <w:rsid w:val="00CB2750"/>
    <w:rsid w:val="00CB28EB"/>
    <w:rsid w:val="00CB294D"/>
    <w:rsid w:val="00CB2A53"/>
    <w:rsid w:val="00CB2AFD"/>
    <w:rsid w:val="00CB2B16"/>
    <w:rsid w:val="00CB2BD1"/>
    <w:rsid w:val="00CB2BF3"/>
    <w:rsid w:val="00CB2C6E"/>
    <w:rsid w:val="00CB2DC2"/>
    <w:rsid w:val="00CB2ED0"/>
    <w:rsid w:val="00CB317E"/>
    <w:rsid w:val="00CB31B7"/>
    <w:rsid w:val="00CB31C8"/>
    <w:rsid w:val="00CB33E4"/>
    <w:rsid w:val="00CB344D"/>
    <w:rsid w:val="00CB357C"/>
    <w:rsid w:val="00CB3721"/>
    <w:rsid w:val="00CB383B"/>
    <w:rsid w:val="00CB38BE"/>
    <w:rsid w:val="00CB3AAC"/>
    <w:rsid w:val="00CB3B43"/>
    <w:rsid w:val="00CB3C94"/>
    <w:rsid w:val="00CB3F9D"/>
    <w:rsid w:val="00CB3FA0"/>
    <w:rsid w:val="00CB400A"/>
    <w:rsid w:val="00CB40CB"/>
    <w:rsid w:val="00CB417D"/>
    <w:rsid w:val="00CB4197"/>
    <w:rsid w:val="00CB420A"/>
    <w:rsid w:val="00CB4294"/>
    <w:rsid w:val="00CB42B6"/>
    <w:rsid w:val="00CB4316"/>
    <w:rsid w:val="00CB432B"/>
    <w:rsid w:val="00CB45CE"/>
    <w:rsid w:val="00CB4600"/>
    <w:rsid w:val="00CB48B9"/>
    <w:rsid w:val="00CB4918"/>
    <w:rsid w:val="00CB4A2F"/>
    <w:rsid w:val="00CB4B0D"/>
    <w:rsid w:val="00CB4D12"/>
    <w:rsid w:val="00CB4D58"/>
    <w:rsid w:val="00CB4D74"/>
    <w:rsid w:val="00CB4D98"/>
    <w:rsid w:val="00CB4DBD"/>
    <w:rsid w:val="00CB4DD1"/>
    <w:rsid w:val="00CB4ED7"/>
    <w:rsid w:val="00CB4FAA"/>
    <w:rsid w:val="00CB50A2"/>
    <w:rsid w:val="00CB5127"/>
    <w:rsid w:val="00CB5266"/>
    <w:rsid w:val="00CB542F"/>
    <w:rsid w:val="00CB557E"/>
    <w:rsid w:val="00CB594A"/>
    <w:rsid w:val="00CB5B3F"/>
    <w:rsid w:val="00CB5C1A"/>
    <w:rsid w:val="00CB5E15"/>
    <w:rsid w:val="00CB6018"/>
    <w:rsid w:val="00CB607B"/>
    <w:rsid w:val="00CB60BF"/>
    <w:rsid w:val="00CB615E"/>
    <w:rsid w:val="00CB65C3"/>
    <w:rsid w:val="00CB66D8"/>
    <w:rsid w:val="00CB6767"/>
    <w:rsid w:val="00CB6A21"/>
    <w:rsid w:val="00CB6A8E"/>
    <w:rsid w:val="00CB6AAE"/>
    <w:rsid w:val="00CB6ABD"/>
    <w:rsid w:val="00CB6C6D"/>
    <w:rsid w:val="00CB6E3F"/>
    <w:rsid w:val="00CB6E44"/>
    <w:rsid w:val="00CB6EB2"/>
    <w:rsid w:val="00CB6ED0"/>
    <w:rsid w:val="00CB6FA7"/>
    <w:rsid w:val="00CB7003"/>
    <w:rsid w:val="00CB7058"/>
    <w:rsid w:val="00CB7114"/>
    <w:rsid w:val="00CB71D9"/>
    <w:rsid w:val="00CB7317"/>
    <w:rsid w:val="00CB7366"/>
    <w:rsid w:val="00CB73CE"/>
    <w:rsid w:val="00CB742A"/>
    <w:rsid w:val="00CB7448"/>
    <w:rsid w:val="00CB7483"/>
    <w:rsid w:val="00CB766A"/>
    <w:rsid w:val="00CB7919"/>
    <w:rsid w:val="00CB7A99"/>
    <w:rsid w:val="00CB7ACA"/>
    <w:rsid w:val="00CB7B8B"/>
    <w:rsid w:val="00CB7CEC"/>
    <w:rsid w:val="00CB7DAA"/>
    <w:rsid w:val="00CC0149"/>
    <w:rsid w:val="00CC01AC"/>
    <w:rsid w:val="00CC01FF"/>
    <w:rsid w:val="00CC025F"/>
    <w:rsid w:val="00CC048F"/>
    <w:rsid w:val="00CC0774"/>
    <w:rsid w:val="00CC0845"/>
    <w:rsid w:val="00CC08E1"/>
    <w:rsid w:val="00CC0A69"/>
    <w:rsid w:val="00CC0A93"/>
    <w:rsid w:val="00CC0B81"/>
    <w:rsid w:val="00CC0CE7"/>
    <w:rsid w:val="00CC0D82"/>
    <w:rsid w:val="00CC0DEF"/>
    <w:rsid w:val="00CC0DF3"/>
    <w:rsid w:val="00CC0EE5"/>
    <w:rsid w:val="00CC0F37"/>
    <w:rsid w:val="00CC10C8"/>
    <w:rsid w:val="00CC1137"/>
    <w:rsid w:val="00CC1141"/>
    <w:rsid w:val="00CC11B6"/>
    <w:rsid w:val="00CC1247"/>
    <w:rsid w:val="00CC128D"/>
    <w:rsid w:val="00CC12AE"/>
    <w:rsid w:val="00CC13A0"/>
    <w:rsid w:val="00CC13F8"/>
    <w:rsid w:val="00CC1535"/>
    <w:rsid w:val="00CC153B"/>
    <w:rsid w:val="00CC159A"/>
    <w:rsid w:val="00CC15FC"/>
    <w:rsid w:val="00CC1670"/>
    <w:rsid w:val="00CC170C"/>
    <w:rsid w:val="00CC1967"/>
    <w:rsid w:val="00CC19C1"/>
    <w:rsid w:val="00CC1A2A"/>
    <w:rsid w:val="00CC1A56"/>
    <w:rsid w:val="00CC1A85"/>
    <w:rsid w:val="00CC1B44"/>
    <w:rsid w:val="00CC1C10"/>
    <w:rsid w:val="00CC1CA0"/>
    <w:rsid w:val="00CC1DEC"/>
    <w:rsid w:val="00CC1E6B"/>
    <w:rsid w:val="00CC205C"/>
    <w:rsid w:val="00CC20AE"/>
    <w:rsid w:val="00CC246F"/>
    <w:rsid w:val="00CC262E"/>
    <w:rsid w:val="00CC2651"/>
    <w:rsid w:val="00CC28E0"/>
    <w:rsid w:val="00CC28FE"/>
    <w:rsid w:val="00CC2C9C"/>
    <w:rsid w:val="00CC2E60"/>
    <w:rsid w:val="00CC2E6C"/>
    <w:rsid w:val="00CC2F55"/>
    <w:rsid w:val="00CC3005"/>
    <w:rsid w:val="00CC32C8"/>
    <w:rsid w:val="00CC32DA"/>
    <w:rsid w:val="00CC3369"/>
    <w:rsid w:val="00CC34DE"/>
    <w:rsid w:val="00CC3547"/>
    <w:rsid w:val="00CC35D3"/>
    <w:rsid w:val="00CC360C"/>
    <w:rsid w:val="00CC366D"/>
    <w:rsid w:val="00CC36F4"/>
    <w:rsid w:val="00CC383E"/>
    <w:rsid w:val="00CC38EB"/>
    <w:rsid w:val="00CC3AD0"/>
    <w:rsid w:val="00CC3AFC"/>
    <w:rsid w:val="00CC3BA7"/>
    <w:rsid w:val="00CC3D73"/>
    <w:rsid w:val="00CC3E7A"/>
    <w:rsid w:val="00CC3EE4"/>
    <w:rsid w:val="00CC4017"/>
    <w:rsid w:val="00CC40D7"/>
    <w:rsid w:val="00CC40EB"/>
    <w:rsid w:val="00CC4114"/>
    <w:rsid w:val="00CC4133"/>
    <w:rsid w:val="00CC41C2"/>
    <w:rsid w:val="00CC42F7"/>
    <w:rsid w:val="00CC4360"/>
    <w:rsid w:val="00CC4584"/>
    <w:rsid w:val="00CC463D"/>
    <w:rsid w:val="00CC46ED"/>
    <w:rsid w:val="00CC4764"/>
    <w:rsid w:val="00CC47EF"/>
    <w:rsid w:val="00CC47F8"/>
    <w:rsid w:val="00CC4805"/>
    <w:rsid w:val="00CC4963"/>
    <w:rsid w:val="00CC4A09"/>
    <w:rsid w:val="00CC4A47"/>
    <w:rsid w:val="00CC4A4E"/>
    <w:rsid w:val="00CC4AE0"/>
    <w:rsid w:val="00CC4B50"/>
    <w:rsid w:val="00CC4C02"/>
    <w:rsid w:val="00CC4C5D"/>
    <w:rsid w:val="00CC4C93"/>
    <w:rsid w:val="00CC4CDB"/>
    <w:rsid w:val="00CC4D51"/>
    <w:rsid w:val="00CC4DFF"/>
    <w:rsid w:val="00CC4E26"/>
    <w:rsid w:val="00CC4E64"/>
    <w:rsid w:val="00CC4EC1"/>
    <w:rsid w:val="00CC4EFB"/>
    <w:rsid w:val="00CC4F40"/>
    <w:rsid w:val="00CC52EA"/>
    <w:rsid w:val="00CC53FB"/>
    <w:rsid w:val="00CC543E"/>
    <w:rsid w:val="00CC5516"/>
    <w:rsid w:val="00CC551F"/>
    <w:rsid w:val="00CC5544"/>
    <w:rsid w:val="00CC5910"/>
    <w:rsid w:val="00CC59E7"/>
    <w:rsid w:val="00CC5ABF"/>
    <w:rsid w:val="00CC5DEF"/>
    <w:rsid w:val="00CC5DF0"/>
    <w:rsid w:val="00CC5E7F"/>
    <w:rsid w:val="00CC5E8A"/>
    <w:rsid w:val="00CC5FCE"/>
    <w:rsid w:val="00CC602C"/>
    <w:rsid w:val="00CC6173"/>
    <w:rsid w:val="00CC6304"/>
    <w:rsid w:val="00CC640E"/>
    <w:rsid w:val="00CC641A"/>
    <w:rsid w:val="00CC6447"/>
    <w:rsid w:val="00CC659F"/>
    <w:rsid w:val="00CC6612"/>
    <w:rsid w:val="00CC661B"/>
    <w:rsid w:val="00CC6778"/>
    <w:rsid w:val="00CC6780"/>
    <w:rsid w:val="00CC679B"/>
    <w:rsid w:val="00CC6824"/>
    <w:rsid w:val="00CC6978"/>
    <w:rsid w:val="00CC6A55"/>
    <w:rsid w:val="00CC6AB2"/>
    <w:rsid w:val="00CC6BB6"/>
    <w:rsid w:val="00CC6C9F"/>
    <w:rsid w:val="00CC6CA1"/>
    <w:rsid w:val="00CC6CCA"/>
    <w:rsid w:val="00CC6CD9"/>
    <w:rsid w:val="00CC6D25"/>
    <w:rsid w:val="00CC6E76"/>
    <w:rsid w:val="00CC6EE2"/>
    <w:rsid w:val="00CC701B"/>
    <w:rsid w:val="00CC70CD"/>
    <w:rsid w:val="00CC718E"/>
    <w:rsid w:val="00CC7350"/>
    <w:rsid w:val="00CC743E"/>
    <w:rsid w:val="00CC74C9"/>
    <w:rsid w:val="00CC74CE"/>
    <w:rsid w:val="00CC7521"/>
    <w:rsid w:val="00CC7581"/>
    <w:rsid w:val="00CC75E3"/>
    <w:rsid w:val="00CC789C"/>
    <w:rsid w:val="00CC78DB"/>
    <w:rsid w:val="00CC795F"/>
    <w:rsid w:val="00CC7B46"/>
    <w:rsid w:val="00CC7DB7"/>
    <w:rsid w:val="00CC7E96"/>
    <w:rsid w:val="00CC7EB4"/>
    <w:rsid w:val="00CC7F86"/>
    <w:rsid w:val="00CC7FAB"/>
    <w:rsid w:val="00CD0021"/>
    <w:rsid w:val="00CD0030"/>
    <w:rsid w:val="00CD01FE"/>
    <w:rsid w:val="00CD024A"/>
    <w:rsid w:val="00CD033F"/>
    <w:rsid w:val="00CD03A1"/>
    <w:rsid w:val="00CD03B2"/>
    <w:rsid w:val="00CD047A"/>
    <w:rsid w:val="00CD05B0"/>
    <w:rsid w:val="00CD0748"/>
    <w:rsid w:val="00CD08C6"/>
    <w:rsid w:val="00CD0911"/>
    <w:rsid w:val="00CD0A32"/>
    <w:rsid w:val="00CD0AA2"/>
    <w:rsid w:val="00CD0C83"/>
    <w:rsid w:val="00CD0CE6"/>
    <w:rsid w:val="00CD0E42"/>
    <w:rsid w:val="00CD0F5B"/>
    <w:rsid w:val="00CD0F6E"/>
    <w:rsid w:val="00CD0FD8"/>
    <w:rsid w:val="00CD116C"/>
    <w:rsid w:val="00CD11E5"/>
    <w:rsid w:val="00CD1291"/>
    <w:rsid w:val="00CD143F"/>
    <w:rsid w:val="00CD1487"/>
    <w:rsid w:val="00CD1627"/>
    <w:rsid w:val="00CD16CC"/>
    <w:rsid w:val="00CD1A37"/>
    <w:rsid w:val="00CD1AE8"/>
    <w:rsid w:val="00CD1C2B"/>
    <w:rsid w:val="00CD1C90"/>
    <w:rsid w:val="00CD1CBF"/>
    <w:rsid w:val="00CD1F87"/>
    <w:rsid w:val="00CD1FA1"/>
    <w:rsid w:val="00CD21F8"/>
    <w:rsid w:val="00CD22AE"/>
    <w:rsid w:val="00CD22D8"/>
    <w:rsid w:val="00CD23E2"/>
    <w:rsid w:val="00CD2633"/>
    <w:rsid w:val="00CD2660"/>
    <w:rsid w:val="00CD26B5"/>
    <w:rsid w:val="00CD27D1"/>
    <w:rsid w:val="00CD285F"/>
    <w:rsid w:val="00CD28F7"/>
    <w:rsid w:val="00CD293C"/>
    <w:rsid w:val="00CD2AA0"/>
    <w:rsid w:val="00CD2AE6"/>
    <w:rsid w:val="00CD2B8C"/>
    <w:rsid w:val="00CD2C00"/>
    <w:rsid w:val="00CD2C39"/>
    <w:rsid w:val="00CD2D89"/>
    <w:rsid w:val="00CD2EE1"/>
    <w:rsid w:val="00CD2FDD"/>
    <w:rsid w:val="00CD3028"/>
    <w:rsid w:val="00CD3194"/>
    <w:rsid w:val="00CD319D"/>
    <w:rsid w:val="00CD31FF"/>
    <w:rsid w:val="00CD3631"/>
    <w:rsid w:val="00CD3651"/>
    <w:rsid w:val="00CD36B8"/>
    <w:rsid w:val="00CD3B5D"/>
    <w:rsid w:val="00CD3BC5"/>
    <w:rsid w:val="00CD3BDE"/>
    <w:rsid w:val="00CD3C45"/>
    <w:rsid w:val="00CD3D66"/>
    <w:rsid w:val="00CD3DDC"/>
    <w:rsid w:val="00CD3E66"/>
    <w:rsid w:val="00CD3EAA"/>
    <w:rsid w:val="00CD40D7"/>
    <w:rsid w:val="00CD42BB"/>
    <w:rsid w:val="00CD4351"/>
    <w:rsid w:val="00CD4400"/>
    <w:rsid w:val="00CD4490"/>
    <w:rsid w:val="00CD44D6"/>
    <w:rsid w:val="00CD452A"/>
    <w:rsid w:val="00CD4656"/>
    <w:rsid w:val="00CD46DC"/>
    <w:rsid w:val="00CD46F0"/>
    <w:rsid w:val="00CD4912"/>
    <w:rsid w:val="00CD49EB"/>
    <w:rsid w:val="00CD4B20"/>
    <w:rsid w:val="00CD4B6D"/>
    <w:rsid w:val="00CD4C43"/>
    <w:rsid w:val="00CD4DD2"/>
    <w:rsid w:val="00CD501C"/>
    <w:rsid w:val="00CD510F"/>
    <w:rsid w:val="00CD52D8"/>
    <w:rsid w:val="00CD53C8"/>
    <w:rsid w:val="00CD55A2"/>
    <w:rsid w:val="00CD5688"/>
    <w:rsid w:val="00CD56E8"/>
    <w:rsid w:val="00CD5756"/>
    <w:rsid w:val="00CD5888"/>
    <w:rsid w:val="00CD5902"/>
    <w:rsid w:val="00CD59C5"/>
    <w:rsid w:val="00CD5B8A"/>
    <w:rsid w:val="00CD5EED"/>
    <w:rsid w:val="00CD5F8D"/>
    <w:rsid w:val="00CD604D"/>
    <w:rsid w:val="00CD60E8"/>
    <w:rsid w:val="00CD6105"/>
    <w:rsid w:val="00CD6108"/>
    <w:rsid w:val="00CD620A"/>
    <w:rsid w:val="00CD6572"/>
    <w:rsid w:val="00CD668D"/>
    <w:rsid w:val="00CD66F1"/>
    <w:rsid w:val="00CD67F4"/>
    <w:rsid w:val="00CD686D"/>
    <w:rsid w:val="00CD68BB"/>
    <w:rsid w:val="00CD69C0"/>
    <w:rsid w:val="00CD6A22"/>
    <w:rsid w:val="00CD6A29"/>
    <w:rsid w:val="00CD6C70"/>
    <w:rsid w:val="00CD6E2C"/>
    <w:rsid w:val="00CD6EEB"/>
    <w:rsid w:val="00CD6EEC"/>
    <w:rsid w:val="00CD6EF9"/>
    <w:rsid w:val="00CD739F"/>
    <w:rsid w:val="00CD7418"/>
    <w:rsid w:val="00CD75B2"/>
    <w:rsid w:val="00CD75D5"/>
    <w:rsid w:val="00CD76D2"/>
    <w:rsid w:val="00CD7748"/>
    <w:rsid w:val="00CD79B5"/>
    <w:rsid w:val="00CD79C5"/>
    <w:rsid w:val="00CD79F3"/>
    <w:rsid w:val="00CD7AE0"/>
    <w:rsid w:val="00CD7B5F"/>
    <w:rsid w:val="00CD7CC6"/>
    <w:rsid w:val="00CD7D30"/>
    <w:rsid w:val="00CD7D49"/>
    <w:rsid w:val="00CD7E10"/>
    <w:rsid w:val="00CD7E7A"/>
    <w:rsid w:val="00CD7ECC"/>
    <w:rsid w:val="00CD7FA1"/>
    <w:rsid w:val="00CE0426"/>
    <w:rsid w:val="00CE0545"/>
    <w:rsid w:val="00CE0589"/>
    <w:rsid w:val="00CE0627"/>
    <w:rsid w:val="00CE06FA"/>
    <w:rsid w:val="00CE07B3"/>
    <w:rsid w:val="00CE07D6"/>
    <w:rsid w:val="00CE0893"/>
    <w:rsid w:val="00CE08C9"/>
    <w:rsid w:val="00CE0954"/>
    <w:rsid w:val="00CE0A05"/>
    <w:rsid w:val="00CE0A2A"/>
    <w:rsid w:val="00CE0A74"/>
    <w:rsid w:val="00CE0BC2"/>
    <w:rsid w:val="00CE0BD2"/>
    <w:rsid w:val="00CE0C5D"/>
    <w:rsid w:val="00CE0DC3"/>
    <w:rsid w:val="00CE0DCA"/>
    <w:rsid w:val="00CE0DDB"/>
    <w:rsid w:val="00CE0EDF"/>
    <w:rsid w:val="00CE104E"/>
    <w:rsid w:val="00CE1075"/>
    <w:rsid w:val="00CE129E"/>
    <w:rsid w:val="00CE12A5"/>
    <w:rsid w:val="00CE1336"/>
    <w:rsid w:val="00CE136E"/>
    <w:rsid w:val="00CE13B0"/>
    <w:rsid w:val="00CE1447"/>
    <w:rsid w:val="00CE1472"/>
    <w:rsid w:val="00CE14F7"/>
    <w:rsid w:val="00CE150A"/>
    <w:rsid w:val="00CE15C7"/>
    <w:rsid w:val="00CE1751"/>
    <w:rsid w:val="00CE1828"/>
    <w:rsid w:val="00CE184D"/>
    <w:rsid w:val="00CE18DB"/>
    <w:rsid w:val="00CE1B00"/>
    <w:rsid w:val="00CE1B1A"/>
    <w:rsid w:val="00CE1C5D"/>
    <w:rsid w:val="00CE1D21"/>
    <w:rsid w:val="00CE1E1F"/>
    <w:rsid w:val="00CE1F09"/>
    <w:rsid w:val="00CE1F94"/>
    <w:rsid w:val="00CE1FC0"/>
    <w:rsid w:val="00CE1FC6"/>
    <w:rsid w:val="00CE209C"/>
    <w:rsid w:val="00CE20E9"/>
    <w:rsid w:val="00CE212A"/>
    <w:rsid w:val="00CE21B0"/>
    <w:rsid w:val="00CE236B"/>
    <w:rsid w:val="00CE2548"/>
    <w:rsid w:val="00CE2724"/>
    <w:rsid w:val="00CE273A"/>
    <w:rsid w:val="00CE2905"/>
    <w:rsid w:val="00CE2948"/>
    <w:rsid w:val="00CE2A20"/>
    <w:rsid w:val="00CE2A87"/>
    <w:rsid w:val="00CE2B63"/>
    <w:rsid w:val="00CE2B8C"/>
    <w:rsid w:val="00CE2C62"/>
    <w:rsid w:val="00CE2DA8"/>
    <w:rsid w:val="00CE2E7E"/>
    <w:rsid w:val="00CE2E82"/>
    <w:rsid w:val="00CE3094"/>
    <w:rsid w:val="00CE32AD"/>
    <w:rsid w:val="00CE32F0"/>
    <w:rsid w:val="00CE344F"/>
    <w:rsid w:val="00CE347F"/>
    <w:rsid w:val="00CE3518"/>
    <w:rsid w:val="00CE351C"/>
    <w:rsid w:val="00CE36DA"/>
    <w:rsid w:val="00CE3725"/>
    <w:rsid w:val="00CE378D"/>
    <w:rsid w:val="00CE3B8A"/>
    <w:rsid w:val="00CE3B92"/>
    <w:rsid w:val="00CE3BD8"/>
    <w:rsid w:val="00CE3C1E"/>
    <w:rsid w:val="00CE3C90"/>
    <w:rsid w:val="00CE3D86"/>
    <w:rsid w:val="00CE3DA4"/>
    <w:rsid w:val="00CE3E04"/>
    <w:rsid w:val="00CE3ED8"/>
    <w:rsid w:val="00CE402D"/>
    <w:rsid w:val="00CE40CE"/>
    <w:rsid w:val="00CE417D"/>
    <w:rsid w:val="00CE432C"/>
    <w:rsid w:val="00CE4423"/>
    <w:rsid w:val="00CE4431"/>
    <w:rsid w:val="00CE447A"/>
    <w:rsid w:val="00CE44AA"/>
    <w:rsid w:val="00CE44DC"/>
    <w:rsid w:val="00CE4637"/>
    <w:rsid w:val="00CE463B"/>
    <w:rsid w:val="00CE4674"/>
    <w:rsid w:val="00CE472D"/>
    <w:rsid w:val="00CE4799"/>
    <w:rsid w:val="00CE479F"/>
    <w:rsid w:val="00CE47CD"/>
    <w:rsid w:val="00CE4824"/>
    <w:rsid w:val="00CE48BC"/>
    <w:rsid w:val="00CE492F"/>
    <w:rsid w:val="00CE4994"/>
    <w:rsid w:val="00CE4A02"/>
    <w:rsid w:val="00CE4A38"/>
    <w:rsid w:val="00CE4B19"/>
    <w:rsid w:val="00CE4CA0"/>
    <w:rsid w:val="00CE4D13"/>
    <w:rsid w:val="00CE4F3F"/>
    <w:rsid w:val="00CE4F55"/>
    <w:rsid w:val="00CE5006"/>
    <w:rsid w:val="00CE506B"/>
    <w:rsid w:val="00CE5291"/>
    <w:rsid w:val="00CE53B2"/>
    <w:rsid w:val="00CE546E"/>
    <w:rsid w:val="00CE5544"/>
    <w:rsid w:val="00CE5646"/>
    <w:rsid w:val="00CE5685"/>
    <w:rsid w:val="00CE56BF"/>
    <w:rsid w:val="00CE5732"/>
    <w:rsid w:val="00CE5735"/>
    <w:rsid w:val="00CE5793"/>
    <w:rsid w:val="00CE57EF"/>
    <w:rsid w:val="00CE59A4"/>
    <w:rsid w:val="00CE5C0B"/>
    <w:rsid w:val="00CE5CB1"/>
    <w:rsid w:val="00CE5D02"/>
    <w:rsid w:val="00CE5E74"/>
    <w:rsid w:val="00CE5F99"/>
    <w:rsid w:val="00CE5FFE"/>
    <w:rsid w:val="00CE6215"/>
    <w:rsid w:val="00CE63D8"/>
    <w:rsid w:val="00CE64F0"/>
    <w:rsid w:val="00CE65DF"/>
    <w:rsid w:val="00CE65F0"/>
    <w:rsid w:val="00CE65F3"/>
    <w:rsid w:val="00CE6643"/>
    <w:rsid w:val="00CE66DB"/>
    <w:rsid w:val="00CE6782"/>
    <w:rsid w:val="00CE6795"/>
    <w:rsid w:val="00CE67A3"/>
    <w:rsid w:val="00CE68E4"/>
    <w:rsid w:val="00CE69E9"/>
    <w:rsid w:val="00CE6A02"/>
    <w:rsid w:val="00CE6A20"/>
    <w:rsid w:val="00CE6B00"/>
    <w:rsid w:val="00CE6BFA"/>
    <w:rsid w:val="00CE6D20"/>
    <w:rsid w:val="00CE6D49"/>
    <w:rsid w:val="00CE7215"/>
    <w:rsid w:val="00CE723A"/>
    <w:rsid w:val="00CE727D"/>
    <w:rsid w:val="00CE7284"/>
    <w:rsid w:val="00CE751F"/>
    <w:rsid w:val="00CE75C2"/>
    <w:rsid w:val="00CE7846"/>
    <w:rsid w:val="00CE7A6E"/>
    <w:rsid w:val="00CE7AA9"/>
    <w:rsid w:val="00CE7C00"/>
    <w:rsid w:val="00CE7D2B"/>
    <w:rsid w:val="00CE7EC8"/>
    <w:rsid w:val="00CE7F1E"/>
    <w:rsid w:val="00CE7F82"/>
    <w:rsid w:val="00CE7FDF"/>
    <w:rsid w:val="00CF014A"/>
    <w:rsid w:val="00CF0182"/>
    <w:rsid w:val="00CF0201"/>
    <w:rsid w:val="00CF0246"/>
    <w:rsid w:val="00CF025A"/>
    <w:rsid w:val="00CF0481"/>
    <w:rsid w:val="00CF04A7"/>
    <w:rsid w:val="00CF0507"/>
    <w:rsid w:val="00CF05A5"/>
    <w:rsid w:val="00CF05F2"/>
    <w:rsid w:val="00CF0693"/>
    <w:rsid w:val="00CF069E"/>
    <w:rsid w:val="00CF0706"/>
    <w:rsid w:val="00CF0783"/>
    <w:rsid w:val="00CF0A96"/>
    <w:rsid w:val="00CF0AB5"/>
    <w:rsid w:val="00CF0BDB"/>
    <w:rsid w:val="00CF0C2C"/>
    <w:rsid w:val="00CF0C74"/>
    <w:rsid w:val="00CF0CC4"/>
    <w:rsid w:val="00CF0CEC"/>
    <w:rsid w:val="00CF0D41"/>
    <w:rsid w:val="00CF0F59"/>
    <w:rsid w:val="00CF108F"/>
    <w:rsid w:val="00CF123F"/>
    <w:rsid w:val="00CF12B8"/>
    <w:rsid w:val="00CF1332"/>
    <w:rsid w:val="00CF1451"/>
    <w:rsid w:val="00CF153D"/>
    <w:rsid w:val="00CF1548"/>
    <w:rsid w:val="00CF1595"/>
    <w:rsid w:val="00CF159C"/>
    <w:rsid w:val="00CF1746"/>
    <w:rsid w:val="00CF181C"/>
    <w:rsid w:val="00CF187F"/>
    <w:rsid w:val="00CF1975"/>
    <w:rsid w:val="00CF1A3F"/>
    <w:rsid w:val="00CF1A63"/>
    <w:rsid w:val="00CF1B6A"/>
    <w:rsid w:val="00CF1B77"/>
    <w:rsid w:val="00CF1B8B"/>
    <w:rsid w:val="00CF1BF7"/>
    <w:rsid w:val="00CF1C44"/>
    <w:rsid w:val="00CF1C93"/>
    <w:rsid w:val="00CF1CAB"/>
    <w:rsid w:val="00CF1D43"/>
    <w:rsid w:val="00CF1DE1"/>
    <w:rsid w:val="00CF1E9B"/>
    <w:rsid w:val="00CF20A5"/>
    <w:rsid w:val="00CF211B"/>
    <w:rsid w:val="00CF21AE"/>
    <w:rsid w:val="00CF24BC"/>
    <w:rsid w:val="00CF2523"/>
    <w:rsid w:val="00CF27FD"/>
    <w:rsid w:val="00CF287E"/>
    <w:rsid w:val="00CF2943"/>
    <w:rsid w:val="00CF2965"/>
    <w:rsid w:val="00CF29D0"/>
    <w:rsid w:val="00CF2A68"/>
    <w:rsid w:val="00CF2B0A"/>
    <w:rsid w:val="00CF2CBA"/>
    <w:rsid w:val="00CF2D0A"/>
    <w:rsid w:val="00CF2D10"/>
    <w:rsid w:val="00CF3032"/>
    <w:rsid w:val="00CF30EE"/>
    <w:rsid w:val="00CF3275"/>
    <w:rsid w:val="00CF32B3"/>
    <w:rsid w:val="00CF32BD"/>
    <w:rsid w:val="00CF333F"/>
    <w:rsid w:val="00CF3364"/>
    <w:rsid w:val="00CF349C"/>
    <w:rsid w:val="00CF35E9"/>
    <w:rsid w:val="00CF3615"/>
    <w:rsid w:val="00CF3629"/>
    <w:rsid w:val="00CF3635"/>
    <w:rsid w:val="00CF3688"/>
    <w:rsid w:val="00CF36C4"/>
    <w:rsid w:val="00CF3713"/>
    <w:rsid w:val="00CF3732"/>
    <w:rsid w:val="00CF3804"/>
    <w:rsid w:val="00CF393E"/>
    <w:rsid w:val="00CF394A"/>
    <w:rsid w:val="00CF398D"/>
    <w:rsid w:val="00CF39D4"/>
    <w:rsid w:val="00CF3B0B"/>
    <w:rsid w:val="00CF3B74"/>
    <w:rsid w:val="00CF3C57"/>
    <w:rsid w:val="00CF3C7A"/>
    <w:rsid w:val="00CF3DA2"/>
    <w:rsid w:val="00CF3DBA"/>
    <w:rsid w:val="00CF3E8C"/>
    <w:rsid w:val="00CF4072"/>
    <w:rsid w:val="00CF4361"/>
    <w:rsid w:val="00CF448E"/>
    <w:rsid w:val="00CF4661"/>
    <w:rsid w:val="00CF4749"/>
    <w:rsid w:val="00CF48C7"/>
    <w:rsid w:val="00CF4974"/>
    <w:rsid w:val="00CF49E8"/>
    <w:rsid w:val="00CF4CD8"/>
    <w:rsid w:val="00CF4E0E"/>
    <w:rsid w:val="00CF4F07"/>
    <w:rsid w:val="00CF514C"/>
    <w:rsid w:val="00CF5154"/>
    <w:rsid w:val="00CF517C"/>
    <w:rsid w:val="00CF51EF"/>
    <w:rsid w:val="00CF5244"/>
    <w:rsid w:val="00CF5377"/>
    <w:rsid w:val="00CF539C"/>
    <w:rsid w:val="00CF53FB"/>
    <w:rsid w:val="00CF562C"/>
    <w:rsid w:val="00CF5639"/>
    <w:rsid w:val="00CF5755"/>
    <w:rsid w:val="00CF5772"/>
    <w:rsid w:val="00CF57BE"/>
    <w:rsid w:val="00CF5834"/>
    <w:rsid w:val="00CF5896"/>
    <w:rsid w:val="00CF58DE"/>
    <w:rsid w:val="00CF591C"/>
    <w:rsid w:val="00CF5953"/>
    <w:rsid w:val="00CF5A9D"/>
    <w:rsid w:val="00CF5AD1"/>
    <w:rsid w:val="00CF5AF8"/>
    <w:rsid w:val="00CF5B78"/>
    <w:rsid w:val="00CF5CC3"/>
    <w:rsid w:val="00CF5DBB"/>
    <w:rsid w:val="00CF5E61"/>
    <w:rsid w:val="00CF5EC2"/>
    <w:rsid w:val="00CF619D"/>
    <w:rsid w:val="00CF61B6"/>
    <w:rsid w:val="00CF6378"/>
    <w:rsid w:val="00CF639C"/>
    <w:rsid w:val="00CF67C0"/>
    <w:rsid w:val="00CF6A21"/>
    <w:rsid w:val="00CF6AA6"/>
    <w:rsid w:val="00CF6B69"/>
    <w:rsid w:val="00CF6D88"/>
    <w:rsid w:val="00CF6F77"/>
    <w:rsid w:val="00CF701D"/>
    <w:rsid w:val="00CF70D4"/>
    <w:rsid w:val="00CF7272"/>
    <w:rsid w:val="00CF7393"/>
    <w:rsid w:val="00CF7539"/>
    <w:rsid w:val="00CF75D3"/>
    <w:rsid w:val="00CF767B"/>
    <w:rsid w:val="00CF769A"/>
    <w:rsid w:val="00CF7866"/>
    <w:rsid w:val="00CF78EE"/>
    <w:rsid w:val="00CF7938"/>
    <w:rsid w:val="00CF794F"/>
    <w:rsid w:val="00CF797F"/>
    <w:rsid w:val="00CF7991"/>
    <w:rsid w:val="00CF7A94"/>
    <w:rsid w:val="00CF7AA5"/>
    <w:rsid w:val="00CF7AC8"/>
    <w:rsid w:val="00CF7AF7"/>
    <w:rsid w:val="00CF7DA0"/>
    <w:rsid w:val="00CF7E59"/>
    <w:rsid w:val="00CF7EC9"/>
    <w:rsid w:val="00CF7F01"/>
    <w:rsid w:val="00CF7F20"/>
    <w:rsid w:val="00CF7F63"/>
    <w:rsid w:val="00CF7F6A"/>
    <w:rsid w:val="00CF7FF6"/>
    <w:rsid w:val="00D00079"/>
    <w:rsid w:val="00D00132"/>
    <w:rsid w:val="00D00165"/>
    <w:rsid w:val="00D001DA"/>
    <w:rsid w:val="00D00290"/>
    <w:rsid w:val="00D002C8"/>
    <w:rsid w:val="00D002CE"/>
    <w:rsid w:val="00D004AE"/>
    <w:rsid w:val="00D00643"/>
    <w:rsid w:val="00D00649"/>
    <w:rsid w:val="00D0072E"/>
    <w:rsid w:val="00D00830"/>
    <w:rsid w:val="00D008C4"/>
    <w:rsid w:val="00D008D2"/>
    <w:rsid w:val="00D00A17"/>
    <w:rsid w:val="00D00AF4"/>
    <w:rsid w:val="00D00B0E"/>
    <w:rsid w:val="00D00B54"/>
    <w:rsid w:val="00D00B9E"/>
    <w:rsid w:val="00D00BB0"/>
    <w:rsid w:val="00D00BEA"/>
    <w:rsid w:val="00D00CEF"/>
    <w:rsid w:val="00D00D27"/>
    <w:rsid w:val="00D00DB5"/>
    <w:rsid w:val="00D00DCD"/>
    <w:rsid w:val="00D00EB7"/>
    <w:rsid w:val="00D010C4"/>
    <w:rsid w:val="00D01114"/>
    <w:rsid w:val="00D01168"/>
    <w:rsid w:val="00D011A0"/>
    <w:rsid w:val="00D01306"/>
    <w:rsid w:val="00D01454"/>
    <w:rsid w:val="00D01477"/>
    <w:rsid w:val="00D014B6"/>
    <w:rsid w:val="00D01535"/>
    <w:rsid w:val="00D0175B"/>
    <w:rsid w:val="00D01862"/>
    <w:rsid w:val="00D018D8"/>
    <w:rsid w:val="00D0195E"/>
    <w:rsid w:val="00D01A34"/>
    <w:rsid w:val="00D01B00"/>
    <w:rsid w:val="00D01EB6"/>
    <w:rsid w:val="00D020A5"/>
    <w:rsid w:val="00D020C1"/>
    <w:rsid w:val="00D020DB"/>
    <w:rsid w:val="00D021F9"/>
    <w:rsid w:val="00D02216"/>
    <w:rsid w:val="00D02241"/>
    <w:rsid w:val="00D0228B"/>
    <w:rsid w:val="00D02379"/>
    <w:rsid w:val="00D023F4"/>
    <w:rsid w:val="00D02415"/>
    <w:rsid w:val="00D0245D"/>
    <w:rsid w:val="00D0257D"/>
    <w:rsid w:val="00D025EA"/>
    <w:rsid w:val="00D026E4"/>
    <w:rsid w:val="00D028D5"/>
    <w:rsid w:val="00D02A82"/>
    <w:rsid w:val="00D02B5F"/>
    <w:rsid w:val="00D02BBA"/>
    <w:rsid w:val="00D02CE7"/>
    <w:rsid w:val="00D02D0C"/>
    <w:rsid w:val="00D02D86"/>
    <w:rsid w:val="00D02E84"/>
    <w:rsid w:val="00D02EA0"/>
    <w:rsid w:val="00D02F46"/>
    <w:rsid w:val="00D02FB8"/>
    <w:rsid w:val="00D030D1"/>
    <w:rsid w:val="00D0329B"/>
    <w:rsid w:val="00D033D8"/>
    <w:rsid w:val="00D034E6"/>
    <w:rsid w:val="00D035A6"/>
    <w:rsid w:val="00D035C6"/>
    <w:rsid w:val="00D03603"/>
    <w:rsid w:val="00D03746"/>
    <w:rsid w:val="00D037FF"/>
    <w:rsid w:val="00D03A45"/>
    <w:rsid w:val="00D03A5C"/>
    <w:rsid w:val="00D03BA4"/>
    <w:rsid w:val="00D03BC7"/>
    <w:rsid w:val="00D03C2D"/>
    <w:rsid w:val="00D03C55"/>
    <w:rsid w:val="00D03CDB"/>
    <w:rsid w:val="00D03E70"/>
    <w:rsid w:val="00D042CA"/>
    <w:rsid w:val="00D043B4"/>
    <w:rsid w:val="00D043C7"/>
    <w:rsid w:val="00D0448E"/>
    <w:rsid w:val="00D045AE"/>
    <w:rsid w:val="00D047B3"/>
    <w:rsid w:val="00D04827"/>
    <w:rsid w:val="00D04916"/>
    <w:rsid w:val="00D049B1"/>
    <w:rsid w:val="00D04A6B"/>
    <w:rsid w:val="00D04AE4"/>
    <w:rsid w:val="00D04B8A"/>
    <w:rsid w:val="00D04E60"/>
    <w:rsid w:val="00D04F37"/>
    <w:rsid w:val="00D04FAB"/>
    <w:rsid w:val="00D05073"/>
    <w:rsid w:val="00D051E1"/>
    <w:rsid w:val="00D052CA"/>
    <w:rsid w:val="00D055DA"/>
    <w:rsid w:val="00D0572D"/>
    <w:rsid w:val="00D05823"/>
    <w:rsid w:val="00D058BA"/>
    <w:rsid w:val="00D05943"/>
    <w:rsid w:val="00D059D4"/>
    <w:rsid w:val="00D05AB2"/>
    <w:rsid w:val="00D05B64"/>
    <w:rsid w:val="00D05B67"/>
    <w:rsid w:val="00D05DD7"/>
    <w:rsid w:val="00D05E33"/>
    <w:rsid w:val="00D05E6E"/>
    <w:rsid w:val="00D05F4F"/>
    <w:rsid w:val="00D060B2"/>
    <w:rsid w:val="00D06226"/>
    <w:rsid w:val="00D06260"/>
    <w:rsid w:val="00D0627A"/>
    <w:rsid w:val="00D0627F"/>
    <w:rsid w:val="00D062C6"/>
    <w:rsid w:val="00D0636A"/>
    <w:rsid w:val="00D0654A"/>
    <w:rsid w:val="00D06681"/>
    <w:rsid w:val="00D0680D"/>
    <w:rsid w:val="00D068BA"/>
    <w:rsid w:val="00D068FA"/>
    <w:rsid w:val="00D06C70"/>
    <w:rsid w:val="00D06D94"/>
    <w:rsid w:val="00D06D9C"/>
    <w:rsid w:val="00D06F99"/>
    <w:rsid w:val="00D06F9B"/>
    <w:rsid w:val="00D06FBF"/>
    <w:rsid w:val="00D07069"/>
    <w:rsid w:val="00D0708D"/>
    <w:rsid w:val="00D07190"/>
    <w:rsid w:val="00D071C4"/>
    <w:rsid w:val="00D07285"/>
    <w:rsid w:val="00D072FC"/>
    <w:rsid w:val="00D07555"/>
    <w:rsid w:val="00D07664"/>
    <w:rsid w:val="00D07861"/>
    <w:rsid w:val="00D0787B"/>
    <w:rsid w:val="00D07913"/>
    <w:rsid w:val="00D07991"/>
    <w:rsid w:val="00D079BC"/>
    <w:rsid w:val="00D07A9D"/>
    <w:rsid w:val="00D07AFE"/>
    <w:rsid w:val="00D07C0F"/>
    <w:rsid w:val="00D07C3C"/>
    <w:rsid w:val="00D07CE8"/>
    <w:rsid w:val="00D07D47"/>
    <w:rsid w:val="00D07FCE"/>
    <w:rsid w:val="00D10479"/>
    <w:rsid w:val="00D10481"/>
    <w:rsid w:val="00D10530"/>
    <w:rsid w:val="00D105EA"/>
    <w:rsid w:val="00D1068F"/>
    <w:rsid w:val="00D10776"/>
    <w:rsid w:val="00D10821"/>
    <w:rsid w:val="00D10837"/>
    <w:rsid w:val="00D10854"/>
    <w:rsid w:val="00D10872"/>
    <w:rsid w:val="00D10C5D"/>
    <w:rsid w:val="00D10CD0"/>
    <w:rsid w:val="00D10E20"/>
    <w:rsid w:val="00D1105D"/>
    <w:rsid w:val="00D110B5"/>
    <w:rsid w:val="00D11339"/>
    <w:rsid w:val="00D113D1"/>
    <w:rsid w:val="00D114AC"/>
    <w:rsid w:val="00D1150D"/>
    <w:rsid w:val="00D115B9"/>
    <w:rsid w:val="00D11616"/>
    <w:rsid w:val="00D116A3"/>
    <w:rsid w:val="00D117A3"/>
    <w:rsid w:val="00D11876"/>
    <w:rsid w:val="00D118AA"/>
    <w:rsid w:val="00D1196D"/>
    <w:rsid w:val="00D1197E"/>
    <w:rsid w:val="00D119C9"/>
    <w:rsid w:val="00D11B6E"/>
    <w:rsid w:val="00D11D34"/>
    <w:rsid w:val="00D11D42"/>
    <w:rsid w:val="00D11E4D"/>
    <w:rsid w:val="00D11EB5"/>
    <w:rsid w:val="00D11F2A"/>
    <w:rsid w:val="00D12085"/>
    <w:rsid w:val="00D12276"/>
    <w:rsid w:val="00D122FB"/>
    <w:rsid w:val="00D123DE"/>
    <w:rsid w:val="00D12475"/>
    <w:rsid w:val="00D12525"/>
    <w:rsid w:val="00D125E8"/>
    <w:rsid w:val="00D126D0"/>
    <w:rsid w:val="00D1276A"/>
    <w:rsid w:val="00D1278F"/>
    <w:rsid w:val="00D12861"/>
    <w:rsid w:val="00D12892"/>
    <w:rsid w:val="00D12919"/>
    <w:rsid w:val="00D12926"/>
    <w:rsid w:val="00D129D0"/>
    <w:rsid w:val="00D12A00"/>
    <w:rsid w:val="00D12C2E"/>
    <w:rsid w:val="00D12C33"/>
    <w:rsid w:val="00D12C9D"/>
    <w:rsid w:val="00D12EDB"/>
    <w:rsid w:val="00D12F23"/>
    <w:rsid w:val="00D12F2C"/>
    <w:rsid w:val="00D12F84"/>
    <w:rsid w:val="00D13005"/>
    <w:rsid w:val="00D1300D"/>
    <w:rsid w:val="00D130F4"/>
    <w:rsid w:val="00D13106"/>
    <w:rsid w:val="00D13261"/>
    <w:rsid w:val="00D1328E"/>
    <w:rsid w:val="00D132EB"/>
    <w:rsid w:val="00D134AD"/>
    <w:rsid w:val="00D135B6"/>
    <w:rsid w:val="00D13767"/>
    <w:rsid w:val="00D137D0"/>
    <w:rsid w:val="00D1391B"/>
    <w:rsid w:val="00D139B4"/>
    <w:rsid w:val="00D13B10"/>
    <w:rsid w:val="00D13DC6"/>
    <w:rsid w:val="00D13DEA"/>
    <w:rsid w:val="00D13EAC"/>
    <w:rsid w:val="00D13EE5"/>
    <w:rsid w:val="00D13F70"/>
    <w:rsid w:val="00D14002"/>
    <w:rsid w:val="00D140D6"/>
    <w:rsid w:val="00D141DE"/>
    <w:rsid w:val="00D141E9"/>
    <w:rsid w:val="00D14402"/>
    <w:rsid w:val="00D145AE"/>
    <w:rsid w:val="00D145E3"/>
    <w:rsid w:val="00D146DB"/>
    <w:rsid w:val="00D147BA"/>
    <w:rsid w:val="00D147F8"/>
    <w:rsid w:val="00D1485D"/>
    <w:rsid w:val="00D14926"/>
    <w:rsid w:val="00D14960"/>
    <w:rsid w:val="00D14991"/>
    <w:rsid w:val="00D14AA6"/>
    <w:rsid w:val="00D14BC2"/>
    <w:rsid w:val="00D14BDA"/>
    <w:rsid w:val="00D14BDB"/>
    <w:rsid w:val="00D14C5F"/>
    <w:rsid w:val="00D14DBD"/>
    <w:rsid w:val="00D14E25"/>
    <w:rsid w:val="00D14E26"/>
    <w:rsid w:val="00D14E31"/>
    <w:rsid w:val="00D14EB9"/>
    <w:rsid w:val="00D14EBD"/>
    <w:rsid w:val="00D14F90"/>
    <w:rsid w:val="00D14FEA"/>
    <w:rsid w:val="00D1507F"/>
    <w:rsid w:val="00D1509C"/>
    <w:rsid w:val="00D150D9"/>
    <w:rsid w:val="00D1534B"/>
    <w:rsid w:val="00D15365"/>
    <w:rsid w:val="00D1536A"/>
    <w:rsid w:val="00D154E8"/>
    <w:rsid w:val="00D154FA"/>
    <w:rsid w:val="00D156B5"/>
    <w:rsid w:val="00D15761"/>
    <w:rsid w:val="00D157BB"/>
    <w:rsid w:val="00D157C4"/>
    <w:rsid w:val="00D158A5"/>
    <w:rsid w:val="00D15B42"/>
    <w:rsid w:val="00D15C1F"/>
    <w:rsid w:val="00D15C75"/>
    <w:rsid w:val="00D15EA9"/>
    <w:rsid w:val="00D15F41"/>
    <w:rsid w:val="00D16062"/>
    <w:rsid w:val="00D161F1"/>
    <w:rsid w:val="00D162FA"/>
    <w:rsid w:val="00D163C2"/>
    <w:rsid w:val="00D1650D"/>
    <w:rsid w:val="00D16646"/>
    <w:rsid w:val="00D16687"/>
    <w:rsid w:val="00D16882"/>
    <w:rsid w:val="00D1697B"/>
    <w:rsid w:val="00D16991"/>
    <w:rsid w:val="00D16A13"/>
    <w:rsid w:val="00D16A58"/>
    <w:rsid w:val="00D16AD7"/>
    <w:rsid w:val="00D16BD7"/>
    <w:rsid w:val="00D16C6D"/>
    <w:rsid w:val="00D16C6E"/>
    <w:rsid w:val="00D16DEA"/>
    <w:rsid w:val="00D16ECD"/>
    <w:rsid w:val="00D16F2F"/>
    <w:rsid w:val="00D17026"/>
    <w:rsid w:val="00D17035"/>
    <w:rsid w:val="00D1709A"/>
    <w:rsid w:val="00D170F1"/>
    <w:rsid w:val="00D1714D"/>
    <w:rsid w:val="00D1721F"/>
    <w:rsid w:val="00D173C4"/>
    <w:rsid w:val="00D173D0"/>
    <w:rsid w:val="00D173D7"/>
    <w:rsid w:val="00D1741C"/>
    <w:rsid w:val="00D1756E"/>
    <w:rsid w:val="00D17693"/>
    <w:rsid w:val="00D17802"/>
    <w:rsid w:val="00D17829"/>
    <w:rsid w:val="00D17852"/>
    <w:rsid w:val="00D178DA"/>
    <w:rsid w:val="00D17A55"/>
    <w:rsid w:val="00D17A7F"/>
    <w:rsid w:val="00D17C2E"/>
    <w:rsid w:val="00D17C2F"/>
    <w:rsid w:val="00D17D37"/>
    <w:rsid w:val="00D17D9E"/>
    <w:rsid w:val="00D17E67"/>
    <w:rsid w:val="00D17E76"/>
    <w:rsid w:val="00D17E79"/>
    <w:rsid w:val="00D17EDF"/>
    <w:rsid w:val="00D17F7F"/>
    <w:rsid w:val="00D17FFB"/>
    <w:rsid w:val="00D2001F"/>
    <w:rsid w:val="00D201D5"/>
    <w:rsid w:val="00D203AE"/>
    <w:rsid w:val="00D203E2"/>
    <w:rsid w:val="00D203F8"/>
    <w:rsid w:val="00D20480"/>
    <w:rsid w:val="00D204F9"/>
    <w:rsid w:val="00D205F7"/>
    <w:rsid w:val="00D2062B"/>
    <w:rsid w:val="00D206B9"/>
    <w:rsid w:val="00D2071C"/>
    <w:rsid w:val="00D207B7"/>
    <w:rsid w:val="00D207BC"/>
    <w:rsid w:val="00D208BF"/>
    <w:rsid w:val="00D208C8"/>
    <w:rsid w:val="00D20917"/>
    <w:rsid w:val="00D20AAC"/>
    <w:rsid w:val="00D20AF1"/>
    <w:rsid w:val="00D20C2A"/>
    <w:rsid w:val="00D20C79"/>
    <w:rsid w:val="00D20CBA"/>
    <w:rsid w:val="00D20D3A"/>
    <w:rsid w:val="00D20D8E"/>
    <w:rsid w:val="00D20ECA"/>
    <w:rsid w:val="00D20F3E"/>
    <w:rsid w:val="00D20FFE"/>
    <w:rsid w:val="00D210B0"/>
    <w:rsid w:val="00D211AD"/>
    <w:rsid w:val="00D2120D"/>
    <w:rsid w:val="00D212CF"/>
    <w:rsid w:val="00D2151B"/>
    <w:rsid w:val="00D21574"/>
    <w:rsid w:val="00D215F5"/>
    <w:rsid w:val="00D2165C"/>
    <w:rsid w:val="00D217B8"/>
    <w:rsid w:val="00D217EE"/>
    <w:rsid w:val="00D21801"/>
    <w:rsid w:val="00D21833"/>
    <w:rsid w:val="00D2194C"/>
    <w:rsid w:val="00D21A0E"/>
    <w:rsid w:val="00D21B36"/>
    <w:rsid w:val="00D21B3B"/>
    <w:rsid w:val="00D21E0C"/>
    <w:rsid w:val="00D21E36"/>
    <w:rsid w:val="00D22047"/>
    <w:rsid w:val="00D223B7"/>
    <w:rsid w:val="00D22440"/>
    <w:rsid w:val="00D226C3"/>
    <w:rsid w:val="00D227A5"/>
    <w:rsid w:val="00D2281F"/>
    <w:rsid w:val="00D229A0"/>
    <w:rsid w:val="00D22BCD"/>
    <w:rsid w:val="00D22BCE"/>
    <w:rsid w:val="00D22C9F"/>
    <w:rsid w:val="00D22CFC"/>
    <w:rsid w:val="00D22D2A"/>
    <w:rsid w:val="00D23162"/>
    <w:rsid w:val="00D231CE"/>
    <w:rsid w:val="00D23215"/>
    <w:rsid w:val="00D2324B"/>
    <w:rsid w:val="00D233B0"/>
    <w:rsid w:val="00D23423"/>
    <w:rsid w:val="00D236BF"/>
    <w:rsid w:val="00D2375B"/>
    <w:rsid w:val="00D237B1"/>
    <w:rsid w:val="00D237F1"/>
    <w:rsid w:val="00D2381B"/>
    <w:rsid w:val="00D23893"/>
    <w:rsid w:val="00D23A29"/>
    <w:rsid w:val="00D23B2A"/>
    <w:rsid w:val="00D23B43"/>
    <w:rsid w:val="00D23B7B"/>
    <w:rsid w:val="00D23B89"/>
    <w:rsid w:val="00D23B9E"/>
    <w:rsid w:val="00D23DC2"/>
    <w:rsid w:val="00D23E1C"/>
    <w:rsid w:val="00D23E55"/>
    <w:rsid w:val="00D23FE1"/>
    <w:rsid w:val="00D241CC"/>
    <w:rsid w:val="00D243EF"/>
    <w:rsid w:val="00D244E7"/>
    <w:rsid w:val="00D24553"/>
    <w:rsid w:val="00D24586"/>
    <w:rsid w:val="00D24693"/>
    <w:rsid w:val="00D246BF"/>
    <w:rsid w:val="00D247FC"/>
    <w:rsid w:val="00D2493E"/>
    <w:rsid w:val="00D24A23"/>
    <w:rsid w:val="00D24A42"/>
    <w:rsid w:val="00D24B69"/>
    <w:rsid w:val="00D24F82"/>
    <w:rsid w:val="00D24FBF"/>
    <w:rsid w:val="00D2501F"/>
    <w:rsid w:val="00D25043"/>
    <w:rsid w:val="00D25049"/>
    <w:rsid w:val="00D25077"/>
    <w:rsid w:val="00D25079"/>
    <w:rsid w:val="00D25265"/>
    <w:rsid w:val="00D2527F"/>
    <w:rsid w:val="00D254DF"/>
    <w:rsid w:val="00D25594"/>
    <w:rsid w:val="00D256AC"/>
    <w:rsid w:val="00D256B2"/>
    <w:rsid w:val="00D25773"/>
    <w:rsid w:val="00D258DB"/>
    <w:rsid w:val="00D25927"/>
    <w:rsid w:val="00D25A75"/>
    <w:rsid w:val="00D25ADD"/>
    <w:rsid w:val="00D25C11"/>
    <w:rsid w:val="00D25C2D"/>
    <w:rsid w:val="00D25CDC"/>
    <w:rsid w:val="00D25D5B"/>
    <w:rsid w:val="00D25D99"/>
    <w:rsid w:val="00D25E52"/>
    <w:rsid w:val="00D25F48"/>
    <w:rsid w:val="00D2610D"/>
    <w:rsid w:val="00D26163"/>
    <w:rsid w:val="00D2629E"/>
    <w:rsid w:val="00D266E5"/>
    <w:rsid w:val="00D26737"/>
    <w:rsid w:val="00D26803"/>
    <w:rsid w:val="00D268EB"/>
    <w:rsid w:val="00D26968"/>
    <w:rsid w:val="00D269EA"/>
    <w:rsid w:val="00D26B0C"/>
    <w:rsid w:val="00D26BEA"/>
    <w:rsid w:val="00D26C88"/>
    <w:rsid w:val="00D26E60"/>
    <w:rsid w:val="00D26EC1"/>
    <w:rsid w:val="00D26EE1"/>
    <w:rsid w:val="00D2701E"/>
    <w:rsid w:val="00D27065"/>
    <w:rsid w:val="00D27168"/>
    <w:rsid w:val="00D27198"/>
    <w:rsid w:val="00D27236"/>
    <w:rsid w:val="00D2726D"/>
    <w:rsid w:val="00D272AE"/>
    <w:rsid w:val="00D2738E"/>
    <w:rsid w:val="00D273CB"/>
    <w:rsid w:val="00D2746D"/>
    <w:rsid w:val="00D275E3"/>
    <w:rsid w:val="00D27628"/>
    <w:rsid w:val="00D27744"/>
    <w:rsid w:val="00D27756"/>
    <w:rsid w:val="00D278EA"/>
    <w:rsid w:val="00D27B0E"/>
    <w:rsid w:val="00D27BB1"/>
    <w:rsid w:val="00D27BB7"/>
    <w:rsid w:val="00D27C05"/>
    <w:rsid w:val="00D27D2C"/>
    <w:rsid w:val="00D27D32"/>
    <w:rsid w:val="00D27F11"/>
    <w:rsid w:val="00D3003B"/>
    <w:rsid w:val="00D30055"/>
    <w:rsid w:val="00D30058"/>
    <w:rsid w:val="00D30146"/>
    <w:rsid w:val="00D302E8"/>
    <w:rsid w:val="00D3055D"/>
    <w:rsid w:val="00D30621"/>
    <w:rsid w:val="00D30695"/>
    <w:rsid w:val="00D306BF"/>
    <w:rsid w:val="00D306E0"/>
    <w:rsid w:val="00D30713"/>
    <w:rsid w:val="00D307A2"/>
    <w:rsid w:val="00D307BE"/>
    <w:rsid w:val="00D308AF"/>
    <w:rsid w:val="00D3099A"/>
    <w:rsid w:val="00D309F3"/>
    <w:rsid w:val="00D30A67"/>
    <w:rsid w:val="00D30C80"/>
    <w:rsid w:val="00D30CA0"/>
    <w:rsid w:val="00D30CA4"/>
    <w:rsid w:val="00D30CEE"/>
    <w:rsid w:val="00D30D0F"/>
    <w:rsid w:val="00D30D45"/>
    <w:rsid w:val="00D30DB0"/>
    <w:rsid w:val="00D30EBC"/>
    <w:rsid w:val="00D30F74"/>
    <w:rsid w:val="00D30FEF"/>
    <w:rsid w:val="00D31027"/>
    <w:rsid w:val="00D31120"/>
    <w:rsid w:val="00D312B2"/>
    <w:rsid w:val="00D313CF"/>
    <w:rsid w:val="00D31430"/>
    <w:rsid w:val="00D3144D"/>
    <w:rsid w:val="00D315AA"/>
    <w:rsid w:val="00D315D8"/>
    <w:rsid w:val="00D31600"/>
    <w:rsid w:val="00D3160A"/>
    <w:rsid w:val="00D31725"/>
    <w:rsid w:val="00D319BF"/>
    <w:rsid w:val="00D319E6"/>
    <w:rsid w:val="00D31A73"/>
    <w:rsid w:val="00D31C23"/>
    <w:rsid w:val="00D31C34"/>
    <w:rsid w:val="00D31C4E"/>
    <w:rsid w:val="00D31DA0"/>
    <w:rsid w:val="00D31DD3"/>
    <w:rsid w:val="00D32080"/>
    <w:rsid w:val="00D321D9"/>
    <w:rsid w:val="00D321F9"/>
    <w:rsid w:val="00D322CE"/>
    <w:rsid w:val="00D32315"/>
    <w:rsid w:val="00D32489"/>
    <w:rsid w:val="00D3257D"/>
    <w:rsid w:val="00D325B1"/>
    <w:rsid w:val="00D3261E"/>
    <w:rsid w:val="00D3264F"/>
    <w:rsid w:val="00D3269C"/>
    <w:rsid w:val="00D326D0"/>
    <w:rsid w:val="00D32A28"/>
    <w:rsid w:val="00D32BCE"/>
    <w:rsid w:val="00D32BE0"/>
    <w:rsid w:val="00D32BFF"/>
    <w:rsid w:val="00D32C1E"/>
    <w:rsid w:val="00D32DC8"/>
    <w:rsid w:val="00D32DDF"/>
    <w:rsid w:val="00D32E34"/>
    <w:rsid w:val="00D32EDD"/>
    <w:rsid w:val="00D3305A"/>
    <w:rsid w:val="00D3308B"/>
    <w:rsid w:val="00D3309E"/>
    <w:rsid w:val="00D330CB"/>
    <w:rsid w:val="00D33314"/>
    <w:rsid w:val="00D33353"/>
    <w:rsid w:val="00D3337E"/>
    <w:rsid w:val="00D334E6"/>
    <w:rsid w:val="00D3350E"/>
    <w:rsid w:val="00D335CD"/>
    <w:rsid w:val="00D336BE"/>
    <w:rsid w:val="00D33806"/>
    <w:rsid w:val="00D33859"/>
    <w:rsid w:val="00D338FE"/>
    <w:rsid w:val="00D3399F"/>
    <w:rsid w:val="00D33A00"/>
    <w:rsid w:val="00D33A65"/>
    <w:rsid w:val="00D33AF1"/>
    <w:rsid w:val="00D33B05"/>
    <w:rsid w:val="00D33C98"/>
    <w:rsid w:val="00D33DBF"/>
    <w:rsid w:val="00D33E14"/>
    <w:rsid w:val="00D33F06"/>
    <w:rsid w:val="00D340C1"/>
    <w:rsid w:val="00D34154"/>
    <w:rsid w:val="00D34202"/>
    <w:rsid w:val="00D3427A"/>
    <w:rsid w:val="00D3438C"/>
    <w:rsid w:val="00D343AC"/>
    <w:rsid w:val="00D343B9"/>
    <w:rsid w:val="00D346B3"/>
    <w:rsid w:val="00D34739"/>
    <w:rsid w:val="00D348B0"/>
    <w:rsid w:val="00D349CC"/>
    <w:rsid w:val="00D349D2"/>
    <w:rsid w:val="00D34B73"/>
    <w:rsid w:val="00D34BC1"/>
    <w:rsid w:val="00D34DB5"/>
    <w:rsid w:val="00D34F45"/>
    <w:rsid w:val="00D35197"/>
    <w:rsid w:val="00D352EF"/>
    <w:rsid w:val="00D353E9"/>
    <w:rsid w:val="00D3549C"/>
    <w:rsid w:val="00D354F6"/>
    <w:rsid w:val="00D35559"/>
    <w:rsid w:val="00D35665"/>
    <w:rsid w:val="00D35751"/>
    <w:rsid w:val="00D3587D"/>
    <w:rsid w:val="00D358A2"/>
    <w:rsid w:val="00D35B78"/>
    <w:rsid w:val="00D35C88"/>
    <w:rsid w:val="00D35C97"/>
    <w:rsid w:val="00D35EC9"/>
    <w:rsid w:val="00D36019"/>
    <w:rsid w:val="00D36021"/>
    <w:rsid w:val="00D36136"/>
    <w:rsid w:val="00D36319"/>
    <w:rsid w:val="00D363B1"/>
    <w:rsid w:val="00D363F1"/>
    <w:rsid w:val="00D36408"/>
    <w:rsid w:val="00D3645E"/>
    <w:rsid w:val="00D364EB"/>
    <w:rsid w:val="00D36590"/>
    <w:rsid w:val="00D367C7"/>
    <w:rsid w:val="00D3682C"/>
    <w:rsid w:val="00D369A5"/>
    <w:rsid w:val="00D36A18"/>
    <w:rsid w:val="00D36B61"/>
    <w:rsid w:val="00D36BFB"/>
    <w:rsid w:val="00D36DE9"/>
    <w:rsid w:val="00D36E6C"/>
    <w:rsid w:val="00D36F43"/>
    <w:rsid w:val="00D36F67"/>
    <w:rsid w:val="00D370E0"/>
    <w:rsid w:val="00D37139"/>
    <w:rsid w:val="00D37153"/>
    <w:rsid w:val="00D371BD"/>
    <w:rsid w:val="00D3725A"/>
    <w:rsid w:val="00D372E1"/>
    <w:rsid w:val="00D3738E"/>
    <w:rsid w:val="00D37411"/>
    <w:rsid w:val="00D374CC"/>
    <w:rsid w:val="00D37539"/>
    <w:rsid w:val="00D37574"/>
    <w:rsid w:val="00D3772E"/>
    <w:rsid w:val="00D377F8"/>
    <w:rsid w:val="00D37897"/>
    <w:rsid w:val="00D379E4"/>
    <w:rsid w:val="00D37A68"/>
    <w:rsid w:val="00D37ABB"/>
    <w:rsid w:val="00D37BE0"/>
    <w:rsid w:val="00D37CAB"/>
    <w:rsid w:val="00D37E00"/>
    <w:rsid w:val="00D37E19"/>
    <w:rsid w:val="00D37E59"/>
    <w:rsid w:val="00D37F69"/>
    <w:rsid w:val="00D37FCA"/>
    <w:rsid w:val="00D4018A"/>
    <w:rsid w:val="00D4020E"/>
    <w:rsid w:val="00D4025D"/>
    <w:rsid w:val="00D40332"/>
    <w:rsid w:val="00D40575"/>
    <w:rsid w:val="00D4058C"/>
    <w:rsid w:val="00D406C3"/>
    <w:rsid w:val="00D408A0"/>
    <w:rsid w:val="00D40968"/>
    <w:rsid w:val="00D40A9A"/>
    <w:rsid w:val="00D40B4C"/>
    <w:rsid w:val="00D40BB8"/>
    <w:rsid w:val="00D40BF0"/>
    <w:rsid w:val="00D40C8D"/>
    <w:rsid w:val="00D40CFB"/>
    <w:rsid w:val="00D40D38"/>
    <w:rsid w:val="00D40D53"/>
    <w:rsid w:val="00D40ED2"/>
    <w:rsid w:val="00D40F0B"/>
    <w:rsid w:val="00D40F0D"/>
    <w:rsid w:val="00D40F2B"/>
    <w:rsid w:val="00D41044"/>
    <w:rsid w:val="00D410CA"/>
    <w:rsid w:val="00D410D4"/>
    <w:rsid w:val="00D411C2"/>
    <w:rsid w:val="00D4140E"/>
    <w:rsid w:val="00D41436"/>
    <w:rsid w:val="00D414C1"/>
    <w:rsid w:val="00D4156B"/>
    <w:rsid w:val="00D41591"/>
    <w:rsid w:val="00D41687"/>
    <w:rsid w:val="00D417F4"/>
    <w:rsid w:val="00D41848"/>
    <w:rsid w:val="00D41990"/>
    <w:rsid w:val="00D41AAD"/>
    <w:rsid w:val="00D41C9A"/>
    <w:rsid w:val="00D41CCB"/>
    <w:rsid w:val="00D41CD6"/>
    <w:rsid w:val="00D41D7D"/>
    <w:rsid w:val="00D41EB6"/>
    <w:rsid w:val="00D41EDA"/>
    <w:rsid w:val="00D4200C"/>
    <w:rsid w:val="00D4201B"/>
    <w:rsid w:val="00D42021"/>
    <w:rsid w:val="00D42092"/>
    <w:rsid w:val="00D420A9"/>
    <w:rsid w:val="00D4216A"/>
    <w:rsid w:val="00D421C8"/>
    <w:rsid w:val="00D421F0"/>
    <w:rsid w:val="00D4224D"/>
    <w:rsid w:val="00D423B0"/>
    <w:rsid w:val="00D423DA"/>
    <w:rsid w:val="00D4243D"/>
    <w:rsid w:val="00D426B6"/>
    <w:rsid w:val="00D426CF"/>
    <w:rsid w:val="00D42AE8"/>
    <w:rsid w:val="00D42B1A"/>
    <w:rsid w:val="00D42C90"/>
    <w:rsid w:val="00D42D56"/>
    <w:rsid w:val="00D42F92"/>
    <w:rsid w:val="00D430BD"/>
    <w:rsid w:val="00D43185"/>
    <w:rsid w:val="00D43284"/>
    <w:rsid w:val="00D43371"/>
    <w:rsid w:val="00D43401"/>
    <w:rsid w:val="00D434C8"/>
    <w:rsid w:val="00D435DF"/>
    <w:rsid w:val="00D4363F"/>
    <w:rsid w:val="00D43729"/>
    <w:rsid w:val="00D437C0"/>
    <w:rsid w:val="00D438A0"/>
    <w:rsid w:val="00D438AD"/>
    <w:rsid w:val="00D439EC"/>
    <w:rsid w:val="00D43B53"/>
    <w:rsid w:val="00D43BD2"/>
    <w:rsid w:val="00D43E05"/>
    <w:rsid w:val="00D43E7C"/>
    <w:rsid w:val="00D43EB6"/>
    <w:rsid w:val="00D440EC"/>
    <w:rsid w:val="00D440EE"/>
    <w:rsid w:val="00D44264"/>
    <w:rsid w:val="00D44310"/>
    <w:rsid w:val="00D44320"/>
    <w:rsid w:val="00D44379"/>
    <w:rsid w:val="00D44565"/>
    <w:rsid w:val="00D4487F"/>
    <w:rsid w:val="00D449A6"/>
    <w:rsid w:val="00D44A8C"/>
    <w:rsid w:val="00D44BD9"/>
    <w:rsid w:val="00D44DA7"/>
    <w:rsid w:val="00D44DF6"/>
    <w:rsid w:val="00D44E09"/>
    <w:rsid w:val="00D44E52"/>
    <w:rsid w:val="00D44FDE"/>
    <w:rsid w:val="00D45008"/>
    <w:rsid w:val="00D4503B"/>
    <w:rsid w:val="00D450C7"/>
    <w:rsid w:val="00D45316"/>
    <w:rsid w:val="00D453C8"/>
    <w:rsid w:val="00D45479"/>
    <w:rsid w:val="00D45574"/>
    <w:rsid w:val="00D4564B"/>
    <w:rsid w:val="00D4565B"/>
    <w:rsid w:val="00D4570F"/>
    <w:rsid w:val="00D4571C"/>
    <w:rsid w:val="00D457AA"/>
    <w:rsid w:val="00D459C4"/>
    <w:rsid w:val="00D45A82"/>
    <w:rsid w:val="00D45B15"/>
    <w:rsid w:val="00D45B67"/>
    <w:rsid w:val="00D45B82"/>
    <w:rsid w:val="00D45C38"/>
    <w:rsid w:val="00D45C44"/>
    <w:rsid w:val="00D45D1E"/>
    <w:rsid w:val="00D45E33"/>
    <w:rsid w:val="00D45FDB"/>
    <w:rsid w:val="00D46034"/>
    <w:rsid w:val="00D46085"/>
    <w:rsid w:val="00D46169"/>
    <w:rsid w:val="00D4617C"/>
    <w:rsid w:val="00D461FA"/>
    <w:rsid w:val="00D46287"/>
    <w:rsid w:val="00D46315"/>
    <w:rsid w:val="00D4633F"/>
    <w:rsid w:val="00D463BA"/>
    <w:rsid w:val="00D46489"/>
    <w:rsid w:val="00D46569"/>
    <w:rsid w:val="00D46643"/>
    <w:rsid w:val="00D46865"/>
    <w:rsid w:val="00D468FE"/>
    <w:rsid w:val="00D46985"/>
    <w:rsid w:val="00D46B60"/>
    <w:rsid w:val="00D46CD5"/>
    <w:rsid w:val="00D46EF0"/>
    <w:rsid w:val="00D46F85"/>
    <w:rsid w:val="00D46FAB"/>
    <w:rsid w:val="00D46FF1"/>
    <w:rsid w:val="00D4708A"/>
    <w:rsid w:val="00D47103"/>
    <w:rsid w:val="00D4716F"/>
    <w:rsid w:val="00D471C3"/>
    <w:rsid w:val="00D47374"/>
    <w:rsid w:val="00D474E5"/>
    <w:rsid w:val="00D47553"/>
    <w:rsid w:val="00D47559"/>
    <w:rsid w:val="00D475F3"/>
    <w:rsid w:val="00D47B2A"/>
    <w:rsid w:val="00D47D28"/>
    <w:rsid w:val="00D47E69"/>
    <w:rsid w:val="00D47F3F"/>
    <w:rsid w:val="00D47FA1"/>
    <w:rsid w:val="00D47FC5"/>
    <w:rsid w:val="00D5006C"/>
    <w:rsid w:val="00D500C7"/>
    <w:rsid w:val="00D50376"/>
    <w:rsid w:val="00D505C6"/>
    <w:rsid w:val="00D505FD"/>
    <w:rsid w:val="00D50789"/>
    <w:rsid w:val="00D50811"/>
    <w:rsid w:val="00D50A74"/>
    <w:rsid w:val="00D50B44"/>
    <w:rsid w:val="00D50C4B"/>
    <w:rsid w:val="00D50C80"/>
    <w:rsid w:val="00D50CB4"/>
    <w:rsid w:val="00D50D16"/>
    <w:rsid w:val="00D50D25"/>
    <w:rsid w:val="00D50DC8"/>
    <w:rsid w:val="00D50E19"/>
    <w:rsid w:val="00D50E63"/>
    <w:rsid w:val="00D511EA"/>
    <w:rsid w:val="00D51260"/>
    <w:rsid w:val="00D514EF"/>
    <w:rsid w:val="00D516B9"/>
    <w:rsid w:val="00D516E3"/>
    <w:rsid w:val="00D5179D"/>
    <w:rsid w:val="00D517A5"/>
    <w:rsid w:val="00D51925"/>
    <w:rsid w:val="00D51BDF"/>
    <w:rsid w:val="00D51CB6"/>
    <w:rsid w:val="00D51CB8"/>
    <w:rsid w:val="00D51D8C"/>
    <w:rsid w:val="00D51E2A"/>
    <w:rsid w:val="00D51EF3"/>
    <w:rsid w:val="00D51FE3"/>
    <w:rsid w:val="00D521A5"/>
    <w:rsid w:val="00D521EE"/>
    <w:rsid w:val="00D52595"/>
    <w:rsid w:val="00D5263F"/>
    <w:rsid w:val="00D5273C"/>
    <w:rsid w:val="00D52849"/>
    <w:rsid w:val="00D52901"/>
    <w:rsid w:val="00D529D4"/>
    <w:rsid w:val="00D529E6"/>
    <w:rsid w:val="00D52A07"/>
    <w:rsid w:val="00D52A20"/>
    <w:rsid w:val="00D52AAF"/>
    <w:rsid w:val="00D52BBB"/>
    <w:rsid w:val="00D52BF6"/>
    <w:rsid w:val="00D52C64"/>
    <w:rsid w:val="00D52C88"/>
    <w:rsid w:val="00D52C89"/>
    <w:rsid w:val="00D52DBD"/>
    <w:rsid w:val="00D52DC5"/>
    <w:rsid w:val="00D52DE1"/>
    <w:rsid w:val="00D52F81"/>
    <w:rsid w:val="00D52FDC"/>
    <w:rsid w:val="00D52FED"/>
    <w:rsid w:val="00D53022"/>
    <w:rsid w:val="00D5306E"/>
    <w:rsid w:val="00D530A0"/>
    <w:rsid w:val="00D530FC"/>
    <w:rsid w:val="00D53119"/>
    <w:rsid w:val="00D53197"/>
    <w:rsid w:val="00D531A5"/>
    <w:rsid w:val="00D531D6"/>
    <w:rsid w:val="00D533F4"/>
    <w:rsid w:val="00D535B2"/>
    <w:rsid w:val="00D537DA"/>
    <w:rsid w:val="00D53808"/>
    <w:rsid w:val="00D53840"/>
    <w:rsid w:val="00D53A60"/>
    <w:rsid w:val="00D53AF2"/>
    <w:rsid w:val="00D53C7B"/>
    <w:rsid w:val="00D53D8B"/>
    <w:rsid w:val="00D53FCB"/>
    <w:rsid w:val="00D53FEC"/>
    <w:rsid w:val="00D5445A"/>
    <w:rsid w:val="00D5464C"/>
    <w:rsid w:val="00D546A8"/>
    <w:rsid w:val="00D546D3"/>
    <w:rsid w:val="00D546F3"/>
    <w:rsid w:val="00D546FA"/>
    <w:rsid w:val="00D54899"/>
    <w:rsid w:val="00D548CF"/>
    <w:rsid w:val="00D549A0"/>
    <w:rsid w:val="00D54A42"/>
    <w:rsid w:val="00D54B72"/>
    <w:rsid w:val="00D54BD3"/>
    <w:rsid w:val="00D54BD5"/>
    <w:rsid w:val="00D54BD9"/>
    <w:rsid w:val="00D54D1D"/>
    <w:rsid w:val="00D54DEB"/>
    <w:rsid w:val="00D54FB0"/>
    <w:rsid w:val="00D5515A"/>
    <w:rsid w:val="00D55282"/>
    <w:rsid w:val="00D553C8"/>
    <w:rsid w:val="00D553E4"/>
    <w:rsid w:val="00D554C6"/>
    <w:rsid w:val="00D55599"/>
    <w:rsid w:val="00D555EB"/>
    <w:rsid w:val="00D556FE"/>
    <w:rsid w:val="00D557DF"/>
    <w:rsid w:val="00D557E6"/>
    <w:rsid w:val="00D55954"/>
    <w:rsid w:val="00D5596D"/>
    <w:rsid w:val="00D559AB"/>
    <w:rsid w:val="00D55A18"/>
    <w:rsid w:val="00D55A70"/>
    <w:rsid w:val="00D55AF8"/>
    <w:rsid w:val="00D55BB9"/>
    <w:rsid w:val="00D55BC1"/>
    <w:rsid w:val="00D55CF4"/>
    <w:rsid w:val="00D55DC1"/>
    <w:rsid w:val="00D55DE6"/>
    <w:rsid w:val="00D55F8C"/>
    <w:rsid w:val="00D56049"/>
    <w:rsid w:val="00D5605F"/>
    <w:rsid w:val="00D56472"/>
    <w:rsid w:val="00D56540"/>
    <w:rsid w:val="00D565B4"/>
    <w:rsid w:val="00D5679C"/>
    <w:rsid w:val="00D56865"/>
    <w:rsid w:val="00D56896"/>
    <w:rsid w:val="00D56AEF"/>
    <w:rsid w:val="00D56B63"/>
    <w:rsid w:val="00D56BF9"/>
    <w:rsid w:val="00D56C4F"/>
    <w:rsid w:val="00D56DF7"/>
    <w:rsid w:val="00D56E8E"/>
    <w:rsid w:val="00D56F63"/>
    <w:rsid w:val="00D56F9B"/>
    <w:rsid w:val="00D56FDF"/>
    <w:rsid w:val="00D5708C"/>
    <w:rsid w:val="00D570A7"/>
    <w:rsid w:val="00D57199"/>
    <w:rsid w:val="00D572FA"/>
    <w:rsid w:val="00D573A8"/>
    <w:rsid w:val="00D5744F"/>
    <w:rsid w:val="00D575F9"/>
    <w:rsid w:val="00D5769B"/>
    <w:rsid w:val="00D57719"/>
    <w:rsid w:val="00D578A1"/>
    <w:rsid w:val="00D57BBE"/>
    <w:rsid w:val="00D57CFF"/>
    <w:rsid w:val="00D57D4D"/>
    <w:rsid w:val="00D57D64"/>
    <w:rsid w:val="00D57EDA"/>
    <w:rsid w:val="00D57FE9"/>
    <w:rsid w:val="00D60231"/>
    <w:rsid w:val="00D602AA"/>
    <w:rsid w:val="00D60314"/>
    <w:rsid w:val="00D60328"/>
    <w:rsid w:val="00D60343"/>
    <w:rsid w:val="00D6035E"/>
    <w:rsid w:val="00D603A8"/>
    <w:rsid w:val="00D603C5"/>
    <w:rsid w:val="00D60A04"/>
    <w:rsid w:val="00D60A22"/>
    <w:rsid w:val="00D60A54"/>
    <w:rsid w:val="00D60AFA"/>
    <w:rsid w:val="00D60C7D"/>
    <w:rsid w:val="00D60DDA"/>
    <w:rsid w:val="00D60DFE"/>
    <w:rsid w:val="00D60E3B"/>
    <w:rsid w:val="00D61018"/>
    <w:rsid w:val="00D6101A"/>
    <w:rsid w:val="00D6110F"/>
    <w:rsid w:val="00D6114A"/>
    <w:rsid w:val="00D6147E"/>
    <w:rsid w:val="00D616D0"/>
    <w:rsid w:val="00D617A5"/>
    <w:rsid w:val="00D617AD"/>
    <w:rsid w:val="00D618BC"/>
    <w:rsid w:val="00D619DE"/>
    <w:rsid w:val="00D61A94"/>
    <w:rsid w:val="00D61AEA"/>
    <w:rsid w:val="00D61C72"/>
    <w:rsid w:val="00D61C90"/>
    <w:rsid w:val="00D61CC3"/>
    <w:rsid w:val="00D61E05"/>
    <w:rsid w:val="00D620A2"/>
    <w:rsid w:val="00D6228C"/>
    <w:rsid w:val="00D62310"/>
    <w:rsid w:val="00D623B0"/>
    <w:rsid w:val="00D62505"/>
    <w:rsid w:val="00D62640"/>
    <w:rsid w:val="00D6273A"/>
    <w:rsid w:val="00D627EC"/>
    <w:rsid w:val="00D62841"/>
    <w:rsid w:val="00D6287C"/>
    <w:rsid w:val="00D628DA"/>
    <w:rsid w:val="00D62930"/>
    <w:rsid w:val="00D62957"/>
    <w:rsid w:val="00D6299F"/>
    <w:rsid w:val="00D629A0"/>
    <w:rsid w:val="00D62A6F"/>
    <w:rsid w:val="00D62C3D"/>
    <w:rsid w:val="00D62EAE"/>
    <w:rsid w:val="00D63038"/>
    <w:rsid w:val="00D63068"/>
    <w:rsid w:val="00D630CB"/>
    <w:rsid w:val="00D6318B"/>
    <w:rsid w:val="00D632CD"/>
    <w:rsid w:val="00D632D2"/>
    <w:rsid w:val="00D633AF"/>
    <w:rsid w:val="00D63410"/>
    <w:rsid w:val="00D637A4"/>
    <w:rsid w:val="00D637C9"/>
    <w:rsid w:val="00D63804"/>
    <w:rsid w:val="00D6380D"/>
    <w:rsid w:val="00D6383E"/>
    <w:rsid w:val="00D63886"/>
    <w:rsid w:val="00D63A51"/>
    <w:rsid w:val="00D63A89"/>
    <w:rsid w:val="00D63B57"/>
    <w:rsid w:val="00D63B7A"/>
    <w:rsid w:val="00D63CE3"/>
    <w:rsid w:val="00D63D35"/>
    <w:rsid w:val="00D63D74"/>
    <w:rsid w:val="00D63DA6"/>
    <w:rsid w:val="00D63DB1"/>
    <w:rsid w:val="00D63E12"/>
    <w:rsid w:val="00D63EB9"/>
    <w:rsid w:val="00D63FA2"/>
    <w:rsid w:val="00D6413C"/>
    <w:rsid w:val="00D64232"/>
    <w:rsid w:val="00D6434C"/>
    <w:rsid w:val="00D6437B"/>
    <w:rsid w:val="00D64390"/>
    <w:rsid w:val="00D6457F"/>
    <w:rsid w:val="00D64605"/>
    <w:rsid w:val="00D64952"/>
    <w:rsid w:val="00D64B15"/>
    <w:rsid w:val="00D64C65"/>
    <w:rsid w:val="00D64C74"/>
    <w:rsid w:val="00D64CD9"/>
    <w:rsid w:val="00D64D4A"/>
    <w:rsid w:val="00D64E26"/>
    <w:rsid w:val="00D64E35"/>
    <w:rsid w:val="00D64EC8"/>
    <w:rsid w:val="00D64FEB"/>
    <w:rsid w:val="00D65174"/>
    <w:rsid w:val="00D652C1"/>
    <w:rsid w:val="00D6536E"/>
    <w:rsid w:val="00D653AD"/>
    <w:rsid w:val="00D65644"/>
    <w:rsid w:val="00D65738"/>
    <w:rsid w:val="00D6584B"/>
    <w:rsid w:val="00D658A3"/>
    <w:rsid w:val="00D658FD"/>
    <w:rsid w:val="00D659D9"/>
    <w:rsid w:val="00D65A38"/>
    <w:rsid w:val="00D65A8A"/>
    <w:rsid w:val="00D65AEF"/>
    <w:rsid w:val="00D65C90"/>
    <w:rsid w:val="00D65CC8"/>
    <w:rsid w:val="00D65D0E"/>
    <w:rsid w:val="00D65DA9"/>
    <w:rsid w:val="00D65DDE"/>
    <w:rsid w:val="00D65E34"/>
    <w:rsid w:val="00D65FB8"/>
    <w:rsid w:val="00D65FD0"/>
    <w:rsid w:val="00D65FDE"/>
    <w:rsid w:val="00D660B8"/>
    <w:rsid w:val="00D6617C"/>
    <w:rsid w:val="00D6619A"/>
    <w:rsid w:val="00D66283"/>
    <w:rsid w:val="00D6628C"/>
    <w:rsid w:val="00D66329"/>
    <w:rsid w:val="00D663C9"/>
    <w:rsid w:val="00D665A8"/>
    <w:rsid w:val="00D665CA"/>
    <w:rsid w:val="00D6673C"/>
    <w:rsid w:val="00D66740"/>
    <w:rsid w:val="00D668B8"/>
    <w:rsid w:val="00D66967"/>
    <w:rsid w:val="00D66973"/>
    <w:rsid w:val="00D66AD1"/>
    <w:rsid w:val="00D66B35"/>
    <w:rsid w:val="00D66C09"/>
    <w:rsid w:val="00D66D16"/>
    <w:rsid w:val="00D66F9A"/>
    <w:rsid w:val="00D67093"/>
    <w:rsid w:val="00D67153"/>
    <w:rsid w:val="00D67196"/>
    <w:rsid w:val="00D673AB"/>
    <w:rsid w:val="00D67411"/>
    <w:rsid w:val="00D6744C"/>
    <w:rsid w:val="00D6754E"/>
    <w:rsid w:val="00D675F5"/>
    <w:rsid w:val="00D6761E"/>
    <w:rsid w:val="00D676AD"/>
    <w:rsid w:val="00D6770A"/>
    <w:rsid w:val="00D67719"/>
    <w:rsid w:val="00D67726"/>
    <w:rsid w:val="00D67771"/>
    <w:rsid w:val="00D677EC"/>
    <w:rsid w:val="00D67847"/>
    <w:rsid w:val="00D67868"/>
    <w:rsid w:val="00D678A2"/>
    <w:rsid w:val="00D679DC"/>
    <w:rsid w:val="00D67B1D"/>
    <w:rsid w:val="00D67B8B"/>
    <w:rsid w:val="00D67B9F"/>
    <w:rsid w:val="00D67D70"/>
    <w:rsid w:val="00D67DC5"/>
    <w:rsid w:val="00D67F8D"/>
    <w:rsid w:val="00D700BE"/>
    <w:rsid w:val="00D701CA"/>
    <w:rsid w:val="00D70394"/>
    <w:rsid w:val="00D70486"/>
    <w:rsid w:val="00D70529"/>
    <w:rsid w:val="00D70538"/>
    <w:rsid w:val="00D705C6"/>
    <w:rsid w:val="00D705D4"/>
    <w:rsid w:val="00D706FC"/>
    <w:rsid w:val="00D70791"/>
    <w:rsid w:val="00D70792"/>
    <w:rsid w:val="00D708EE"/>
    <w:rsid w:val="00D70913"/>
    <w:rsid w:val="00D7094C"/>
    <w:rsid w:val="00D70CB6"/>
    <w:rsid w:val="00D70D04"/>
    <w:rsid w:val="00D70D43"/>
    <w:rsid w:val="00D70E43"/>
    <w:rsid w:val="00D70EBF"/>
    <w:rsid w:val="00D7102C"/>
    <w:rsid w:val="00D7117F"/>
    <w:rsid w:val="00D7118D"/>
    <w:rsid w:val="00D71291"/>
    <w:rsid w:val="00D7130F"/>
    <w:rsid w:val="00D71559"/>
    <w:rsid w:val="00D715B5"/>
    <w:rsid w:val="00D715BE"/>
    <w:rsid w:val="00D7182B"/>
    <w:rsid w:val="00D71933"/>
    <w:rsid w:val="00D71BA6"/>
    <w:rsid w:val="00D71BBA"/>
    <w:rsid w:val="00D71C75"/>
    <w:rsid w:val="00D71C8B"/>
    <w:rsid w:val="00D71E0A"/>
    <w:rsid w:val="00D71F44"/>
    <w:rsid w:val="00D71FB8"/>
    <w:rsid w:val="00D72017"/>
    <w:rsid w:val="00D72070"/>
    <w:rsid w:val="00D720E1"/>
    <w:rsid w:val="00D72246"/>
    <w:rsid w:val="00D7226B"/>
    <w:rsid w:val="00D72309"/>
    <w:rsid w:val="00D72328"/>
    <w:rsid w:val="00D723EC"/>
    <w:rsid w:val="00D725C1"/>
    <w:rsid w:val="00D72602"/>
    <w:rsid w:val="00D72817"/>
    <w:rsid w:val="00D7287B"/>
    <w:rsid w:val="00D728B3"/>
    <w:rsid w:val="00D72908"/>
    <w:rsid w:val="00D72911"/>
    <w:rsid w:val="00D72950"/>
    <w:rsid w:val="00D72B62"/>
    <w:rsid w:val="00D72BCC"/>
    <w:rsid w:val="00D72C57"/>
    <w:rsid w:val="00D72D43"/>
    <w:rsid w:val="00D72E0A"/>
    <w:rsid w:val="00D72E37"/>
    <w:rsid w:val="00D72EB7"/>
    <w:rsid w:val="00D7300D"/>
    <w:rsid w:val="00D7314B"/>
    <w:rsid w:val="00D732A2"/>
    <w:rsid w:val="00D73319"/>
    <w:rsid w:val="00D73349"/>
    <w:rsid w:val="00D73383"/>
    <w:rsid w:val="00D7338F"/>
    <w:rsid w:val="00D7346C"/>
    <w:rsid w:val="00D73489"/>
    <w:rsid w:val="00D7349D"/>
    <w:rsid w:val="00D73537"/>
    <w:rsid w:val="00D735A9"/>
    <w:rsid w:val="00D735F0"/>
    <w:rsid w:val="00D73726"/>
    <w:rsid w:val="00D73901"/>
    <w:rsid w:val="00D73942"/>
    <w:rsid w:val="00D73A2D"/>
    <w:rsid w:val="00D73AFD"/>
    <w:rsid w:val="00D73BE1"/>
    <w:rsid w:val="00D73D49"/>
    <w:rsid w:val="00D73ECB"/>
    <w:rsid w:val="00D73F78"/>
    <w:rsid w:val="00D73FD8"/>
    <w:rsid w:val="00D73FFC"/>
    <w:rsid w:val="00D74141"/>
    <w:rsid w:val="00D74213"/>
    <w:rsid w:val="00D742CE"/>
    <w:rsid w:val="00D742FA"/>
    <w:rsid w:val="00D743D8"/>
    <w:rsid w:val="00D7449E"/>
    <w:rsid w:val="00D745CB"/>
    <w:rsid w:val="00D746FB"/>
    <w:rsid w:val="00D7482B"/>
    <w:rsid w:val="00D74898"/>
    <w:rsid w:val="00D74922"/>
    <w:rsid w:val="00D749C8"/>
    <w:rsid w:val="00D749CB"/>
    <w:rsid w:val="00D74BCE"/>
    <w:rsid w:val="00D74C5F"/>
    <w:rsid w:val="00D74CA9"/>
    <w:rsid w:val="00D74CFC"/>
    <w:rsid w:val="00D74D1B"/>
    <w:rsid w:val="00D74D3E"/>
    <w:rsid w:val="00D74F7B"/>
    <w:rsid w:val="00D74FB3"/>
    <w:rsid w:val="00D74FCE"/>
    <w:rsid w:val="00D74FFB"/>
    <w:rsid w:val="00D7502F"/>
    <w:rsid w:val="00D75032"/>
    <w:rsid w:val="00D751AA"/>
    <w:rsid w:val="00D754DB"/>
    <w:rsid w:val="00D754F0"/>
    <w:rsid w:val="00D7556F"/>
    <w:rsid w:val="00D755C6"/>
    <w:rsid w:val="00D755E1"/>
    <w:rsid w:val="00D7570A"/>
    <w:rsid w:val="00D7573B"/>
    <w:rsid w:val="00D75844"/>
    <w:rsid w:val="00D758C1"/>
    <w:rsid w:val="00D758F2"/>
    <w:rsid w:val="00D75945"/>
    <w:rsid w:val="00D75A39"/>
    <w:rsid w:val="00D75AD9"/>
    <w:rsid w:val="00D75B06"/>
    <w:rsid w:val="00D75C4E"/>
    <w:rsid w:val="00D75C9C"/>
    <w:rsid w:val="00D75CB2"/>
    <w:rsid w:val="00D75E5B"/>
    <w:rsid w:val="00D75E74"/>
    <w:rsid w:val="00D75F6D"/>
    <w:rsid w:val="00D75F83"/>
    <w:rsid w:val="00D761E3"/>
    <w:rsid w:val="00D76235"/>
    <w:rsid w:val="00D76285"/>
    <w:rsid w:val="00D762F5"/>
    <w:rsid w:val="00D763FB"/>
    <w:rsid w:val="00D76464"/>
    <w:rsid w:val="00D76528"/>
    <w:rsid w:val="00D76636"/>
    <w:rsid w:val="00D76754"/>
    <w:rsid w:val="00D76759"/>
    <w:rsid w:val="00D768C2"/>
    <w:rsid w:val="00D76991"/>
    <w:rsid w:val="00D76A66"/>
    <w:rsid w:val="00D76C98"/>
    <w:rsid w:val="00D76D24"/>
    <w:rsid w:val="00D76D4A"/>
    <w:rsid w:val="00D76D61"/>
    <w:rsid w:val="00D76DC0"/>
    <w:rsid w:val="00D76E68"/>
    <w:rsid w:val="00D7708C"/>
    <w:rsid w:val="00D77096"/>
    <w:rsid w:val="00D77162"/>
    <w:rsid w:val="00D77246"/>
    <w:rsid w:val="00D77448"/>
    <w:rsid w:val="00D7745B"/>
    <w:rsid w:val="00D7766D"/>
    <w:rsid w:val="00D7767B"/>
    <w:rsid w:val="00D7776E"/>
    <w:rsid w:val="00D7786D"/>
    <w:rsid w:val="00D77915"/>
    <w:rsid w:val="00D77943"/>
    <w:rsid w:val="00D77979"/>
    <w:rsid w:val="00D7797B"/>
    <w:rsid w:val="00D77991"/>
    <w:rsid w:val="00D779BC"/>
    <w:rsid w:val="00D77A0E"/>
    <w:rsid w:val="00D77A63"/>
    <w:rsid w:val="00D77AD9"/>
    <w:rsid w:val="00D77B00"/>
    <w:rsid w:val="00D77BF1"/>
    <w:rsid w:val="00D77C9C"/>
    <w:rsid w:val="00D77CCF"/>
    <w:rsid w:val="00D77E1E"/>
    <w:rsid w:val="00D77E4F"/>
    <w:rsid w:val="00D77E84"/>
    <w:rsid w:val="00D8005F"/>
    <w:rsid w:val="00D80076"/>
    <w:rsid w:val="00D8014F"/>
    <w:rsid w:val="00D8022A"/>
    <w:rsid w:val="00D80286"/>
    <w:rsid w:val="00D804B8"/>
    <w:rsid w:val="00D804CB"/>
    <w:rsid w:val="00D80517"/>
    <w:rsid w:val="00D8062A"/>
    <w:rsid w:val="00D80653"/>
    <w:rsid w:val="00D8069A"/>
    <w:rsid w:val="00D806F8"/>
    <w:rsid w:val="00D80721"/>
    <w:rsid w:val="00D8076F"/>
    <w:rsid w:val="00D80866"/>
    <w:rsid w:val="00D80888"/>
    <w:rsid w:val="00D80A81"/>
    <w:rsid w:val="00D80B84"/>
    <w:rsid w:val="00D80BE0"/>
    <w:rsid w:val="00D80D5A"/>
    <w:rsid w:val="00D80D64"/>
    <w:rsid w:val="00D80E46"/>
    <w:rsid w:val="00D811CF"/>
    <w:rsid w:val="00D81247"/>
    <w:rsid w:val="00D81293"/>
    <w:rsid w:val="00D81387"/>
    <w:rsid w:val="00D813D0"/>
    <w:rsid w:val="00D813E7"/>
    <w:rsid w:val="00D81454"/>
    <w:rsid w:val="00D8145A"/>
    <w:rsid w:val="00D814D7"/>
    <w:rsid w:val="00D817B0"/>
    <w:rsid w:val="00D8187C"/>
    <w:rsid w:val="00D81899"/>
    <w:rsid w:val="00D818B7"/>
    <w:rsid w:val="00D819AC"/>
    <w:rsid w:val="00D81A53"/>
    <w:rsid w:val="00D81C21"/>
    <w:rsid w:val="00D81C58"/>
    <w:rsid w:val="00D81CB5"/>
    <w:rsid w:val="00D81DFD"/>
    <w:rsid w:val="00D81E40"/>
    <w:rsid w:val="00D81F22"/>
    <w:rsid w:val="00D81F2D"/>
    <w:rsid w:val="00D81F46"/>
    <w:rsid w:val="00D81FBA"/>
    <w:rsid w:val="00D8201A"/>
    <w:rsid w:val="00D8201F"/>
    <w:rsid w:val="00D82092"/>
    <w:rsid w:val="00D82225"/>
    <w:rsid w:val="00D8233A"/>
    <w:rsid w:val="00D82455"/>
    <w:rsid w:val="00D82537"/>
    <w:rsid w:val="00D82621"/>
    <w:rsid w:val="00D82656"/>
    <w:rsid w:val="00D8276C"/>
    <w:rsid w:val="00D82773"/>
    <w:rsid w:val="00D82959"/>
    <w:rsid w:val="00D82A69"/>
    <w:rsid w:val="00D82AA7"/>
    <w:rsid w:val="00D82B80"/>
    <w:rsid w:val="00D82BAE"/>
    <w:rsid w:val="00D82C6B"/>
    <w:rsid w:val="00D82C80"/>
    <w:rsid w:val="00D82D5D"/>
    <w:rsid w:val="00D82D99"/>
    <w:rsid w:val="00D82DD4"/>
    <w:rsid w:val="00D82EAE"/>
    <w:rsid w:val="00D82F47"/>
    <w:rsid w:val="00D82FB5"/>
    <w:rsid w:val="00D82FE3"/>
    <w:rsid w:val="00D83021"/>
    <w:rsid w:val="00D8316D"/>
    <w:rsid w:val="00D8318C"/>
    <w:rsid w:val="00D83231"/>
    <w:rsid w:val="00D83245"/>
    <w:rsid w:val="00D833FE"/>
    <w:rsid w:val="00D83485"/>
    <w:rsid w:val="00D834F3"/>
    <w:rsid w:val="00D8352F"/>
    <w:rsid w:val="00D83590"/>
    <w:rsid w:val="00D8359F"/>
    <w:rsid w:val="00D836A7"/>
    <w:rsid w:val="00D83912"/>
    <w:rsid w:val="00D839C9"/>
    <w:rsid w:val="00D83A9D"/>
    <w:rsid w:val="00D83BC1"/>
    <w:rsid w:val="00D83BDC"/>
    <w:rsid w:val="00D83C11"/>
    <w:rsid w:val="00D83C8C"/>
    <w:rsid w:val="00D83CAC"/>
    <w:rsid w:val="00D83D70"/>
    <w:rsid w:val="00D83DC3"/>
    <w:rsid w:val="00D83DCA"/>
    <w:rsid w:val="00D83E40"/>
    <w:rsid w:val="00D83FF1"/>
    <w:rsid w:val="00D84008"/>
    <w:rsid w:val="00D8404E"/>
    <w:rsid w:val="00D84057"/>
    <w:rsid w:val="00D84166"/>
    <w:rsid w:val="00D841BC"/>
    <w:rsid w:val="00D841E9"/>
    <w:rsid w:val="00D8425E"/>
    <w:rsid w:val="00D842FC"/>
    <w:rsid w:val="00D8448B"/>
    <w:rsid w:val="00D84531"/>
    <w:rsid w:val="00D8469F"/>
    <w:rsid w:val="00D84885"/>
    <w:rsid w:val="00D848CC"/>
    <w:rsid w:val="00D849F1"/>
    <w:rsid w:val="00D84AC1"/>
    <w:rsid w:val="00D84B8F"/>
    <w:rsid w:val="00D84B99"/>
    <w:rsid w:val="00D84CE8"/>
    <w:rsid w:val="00D84D0D"/>
    <w:rsid w:val="00D84E55"/>
    <w:rsid w:val="00D84ECF"/>
    <w:rsid w:val="00D84F88"/>
    <w:rsid w:val="00D85081"/>
    <w:rsid w:val="00D850AE"/>
    <w:rsid w:val="00D85165"/>
    <w:rsid w:val="00D85270"/>
    <w:rsid w:val="00D852E2"/>
    <w:rsid w:val="00D856D3"/>
    <w:rsid w:val="00D856FD"/>
    <w:rsid w:val="00D8599C"/>
    <w:rsid w:val="00D859A9"/>
    <w:rsid w:val="00D859E9"/>
    <w:rsid w:val="00D85AF2"/>
    <w:rsid w:val="00D85B02"/>
    <w:rsid w:val="00D85B70"/>
    <w:rsid w:val="00D85B83"/>
    <w:rsid w:val="00D85BE5"/>
    <w:rsid w:val="00D86126"/>
    <w:rsid w:val="00D8615C"/>
    <w:rsid w:val="00D86166"/>
    <w:rsid w:val="00D86311"/>
    <w:rsid w:val="00D863D8"/>
    <w:rsid w:val="00D86437"/>
    <w:rsid w:val="00D86529"/>
    <w:rsid w:val="00D865D4"/>
    <w:rsid w:val="00D867C8"/>
    <w:rsid w:val="00D8682B"/>
    <w:rsid w:val="00D8684F"/>
    <w:rsid w:val="00D8692A"/>
    <w:rsid w:val="00D86A17"/>
    <w:rsid w:val="00D86B58"/>
    <w:rsid w:val="00D86B78"/>
    <w:rsid w:val="00D86B92"/>
    <w:rsid w:val="00D86CC2"/>
    <w:rsid w:val="00D86CF3"/>
    <w:rsid w:val="00D86DD5"/>
    <w:rsid w:val="00D86FA3"/>
    <w:rsid w:val="00D87022"/>
    <w:rsid w:val="00D8705C"/>
    <w:rsid w:val="00D8707C"/>
    <w:rsid w:val="00D872DF"/>
    <w:rsid w:val="00D87355"/>
    <w:rsid w:val="00D8738A"/>
    <w:rsid w:val="00D8739F"/>
    <w:rsid w:val="00D873A9"/>
    <w:rsid w:val="00D873CD"/>
    <w:rsid w:val="00D874F6"/>
    <w:rsid w:val="00D8751C"/>
    <w:rsid w:val="00D875BB"/>
    <w:rsid w:val="00D875EA"/>
    <w:rsid w:val="00D8765C"/>
    <w:rsid w:val="00D8767C"/>
    <w:rsid w:val="00D87794"/>
    <w:rsid w:val="00D8798C"/>
    <w:rsid w:val="00D87A71"/>
    <w:rsid w:val="00D87B0B"/>
    <w:rsid w:val="00D87BA0"/>
    <w:rsid w:val="00D87FEB"/>
    <w:rsid w:val="00D90092"/>
    <w:rsid w:val="00D90191"/>
    <w:rsid w:val="00D901DD"/>
    <w:rsid w:val="00D902E9"/>
    <w:rsid w:val="00D90319"/>
    <w:rsid w:val="00D90606"/>
    <w:rsid w:val="00D90659"/>
    <w:rsid w:val="00D906ED"/>
    <w:rsid w:val="00D907AE"/>
    <w:rsid w:val="00D90844"/>
    <w:rsid w:val="00D90894"/>
    <w:rsid w:val="00D909AC"/>
    <w:rsid w:val="00D90A90"/>
    <w:rsid w:val="00D90B56"/>
    <w:rsid w:val="00D90C4B"/>
    <w:rsid w:val="00D90C8F"/>
    <w:rsid w:val="00D90D18"/>
    <w:rsid w:val="00D90E70"/>
    <w:rsid w:val="00D90F03"/>
    <w:rsid w:val="00D91062"/>
    <w:rsid w:val="00D913C1"/>
    <w:rsid w:val="00D913E1"/>
    <w:rsid w:val="00D913F8"/>
    <w:rsid w:val="00D91B3E"/>
    <w:rsid w:val="00D91EB6"/>
    <w:rsid w:val="00D91FB8"/>
    <w:rsid w:val="00D9211D"/>
    <w:rsid w:val="00D922D8"/>
    <w:rsid w:val="00D922E3"/>
    <w:rsid w:val="00D92367"/>
    <w:rsid w:val="00D9244D"/>
    <w:rsid w:val="00D92671"/>
    <w:rsid w:val="00D9270F"/>
    <w:rsid w:val="00D92754"/>
    <w:rsid w:val="00D92782"/>
    <w:rsid w:val="00D927C7"/>
    <w:rsid w:val="00D927CA"/>
    <w:rsid w:val="00D9297A"/>
    <w:rsid w:val="00D92A9A"/>
    <w:rsid w:val="00D92AAB"/>
    <w:rsid w:val="00D92B9C"/>
    <w:rsid w:val="00D92BFD"/>
    <w:rsid w:val="00D92C5D"/>
    <w:rsid w:val="00D92C73"/>
    <w:rsid w:val="00D92DEC"/>
    <w:rsid w:val="00D92E7A"/>
    <w:rsid w:val="00D92FDD"/>
    <w:rsid w:val="00D92FE4"/>
    <w:rsid w:val="00D9301C"/>
    <w:rsid w:val="00D9321A"/>
    <w:rsid w:val="00D9324F"/>
    <w:rsid w:val="00D932E2"/>
    <w:rsid w:val="00D932EA"/>
    <w:rsid w:val="00D932F1"/>
    <w:rsid w:val="00D93498"/>
    <w:rsid w:val="00D93623"/>
    <w:rsid w:val="00D93702"/>
    <w:rsid w:val="00D93786"/>
    <w:rsid w:val="00D937AE"/>
    <w:rsid w:val="00D937B8"/>
    <w:rsid w:val="00D93809"/>
    <w:rsid w:val="00D938A1"/>
    <w:rsid w:val="00D938FF"/>
    <w:rsid w:val="00D93922"/>
    <w:rsid w:val="00D93936"/>
    <w:rsid w:val="00D939D5"/>
    <w:rsid w:val="00D93AA1"/>
    <w:rsid w:val="00D93AF5"/>
    <w:rsid w:val="00D93B42"/>
    <w:rsid w:val="00D93B48"/>
    <w:rsid w:val="00D93C33"/>
    <w:rsid w:val="00D93CE2"/>
    <w:rsid w:val="00D93DE8"/>
    <w:rsid w:val="00D93E52"/>
    <w:rsid w:val="00D93EDE"/>
    <w:rsid w:val="00D93F64"/>
    <w:rsid w:val="00D94003"/>
    <w:rsid w:val="00D94040"/>
    <w:rsid w:val="00D940D5"/>
    <w:rsid w:val="00D941F1"/>
    <w:rsid w:val="00D94209"/>
    <w:rsid w:val="00D9421B"/>
    <w:rsid w:val="00D94220"/>
    <w:rsid w:val="00D94241"/>
    <w:rsid w:val="00D94273"/>
    <w:rsid w:val="00D94398"/>
    <w:rsid w:val="00D9449B"/>
    <w:rsid w:val="00D944B3"/>
    <w:rsid w:val="00D94801"/>
    <w:rsid w:val="00D9494E"/>
    <w:rsid w:val="00D9497A"/>
    <w:rsid w:val="00D94A35"/>
    <w:rsid w:val="00D94A8F"/>
    <w:rsid w:val="00D94B8C"/>
    <w:rsid w:val="00D94B91"/>
    <w:rsid w:val="00D94BB3"/>
    <w:rsid w:val="00D94BBA"/>
    <w:rsid w:val="00D94BBD"/>
    <w:rsid w:val="00D94CB5"/>
    <w:rsid w:val="00D94E68"/>
    <w:rsid w:val="00D94FFB"/>
    <w:rsid w:val="00D95013"/>
    <w:rsid w:val="00D9506B"/>
    <w:rsid w:val="00D951E5"/>
    <w:rsid w:val="00D9523B"/>
    <w:rsid w:val="00D9542B"/>
    <w:rsid w:val="00D95448"/>
    <w:rsid w:val="00D954BE"/>
    <w:rsid w:val="00D954F3"/>
    <w:rsid w:val="00D9557D"/>
    <w:rsid w:val="00D95583"/>
    <w:rsid w:val="00D955CE"/>
    <w:rsid w:val="00D955D2"/>
    <w:rsid w:val="00D955ED"/>
    <w:rsid w:val="00D95653"/>
    <w:rsid w:val="00D95724"/>
    <w:rsid w:val="00D957EC"/>
    <w:rsid w:val="00D95824"/>
    <w:rsid w:val="00D9583D"/>
    <w:rsid w:val="00D95865"/>
    <w:rsid w:val="00D959B6"/>
    <w:rsid w:val="00D959EC"/>
    <w:rsid w:val="00D95A86"/>
    <w:rsid w:val="00D95B1A"/>
    <w:rsid w:val="00D95BDE"/>
    <w:rsid w:val="00D95C24"/>
    <w:rsid w:val="00D95D77"/>
    <w:rsid w:val="00D95D86"/>
    <w:rsid w:val="00D95ECB"/>
    <w:rsid w:val="00D95F9B"/>
    <w:rsid w:val="00D95FD3"/>
    <w:rsid w:val="00D9606C"/>
    <w:rsid w:val="00D960A1"/>
    <w:rsid w:val="00D960C6"/>
    <w:rsid w:val="00D960D2"/>
    <w:rsid w:val="00D961FB"/>
    <w:rsid w:val="00D96350"/>
    <w:rsid w:val="00D963A7"/>
    <w:rsid w:val="00D964A1"/>
    <w:rsid w:val="00D964FD"/>
    <w:rsid w:val="00D96622"/>
    <w:rsid w:val="00D9685D"/>
    <w:rsid w:val="00D969C5"/>
    <w:rsid w:val="00D969D7"/>
    <w:rsid w:val="00D96B77"/>
    <w:rsid w:val="00D96BD1"/>
    <w:rsid w:val="00D96C08"/>
    <w:rsid w:val="00D96C24"/>
    <w:rsid w:val="00D96C26"/>
    <w:rsid w:val="00D96CB6"/>
    <w:rsid w:val="00D96D55"/>
    <w:rsid w:val="00D96D74"/>
    <w:rsid w:val="00D96E52"/>
    <w:rsid w:val="00D96EC6"/>
    <w:rsid w:val="00D96EE9"/>
    <w:rsid w:val="00D971D1"/>
    <w:rsid w:val="00D9724A"/>
    <w:rsid w:val="00D972B7"/>
    <w:rsid w:val="00D973CD"/>
    <w:rsid w:val="00D973D1"/>
    <w:rsid w:val="00D9746C"/>
    <w:rsid w:val="00D974FE"/>
    <w:rsid w:val="00D975A3"/>
    <w:rsid w:val="00D9760B"/>
    <w:rsid w:val="00D97654"/>
    <w:rsid w:val="00D977D8"/>
    <w:rsid w:val="00D978C0"/>
    <w:rsid w:val="00D97B2C"/>
    <w:rsid w:val="00D97BB1"/>
    <w:rsid w:val="00D97C0C"/>
    <w:rsid w:val="00D97C58"/>
    <w:rsid w:val="00D97DA0"/>
    <w:rsid w:val="00D97ECE"/>
    <w:rsid w:val="00DA00C5"/>
    <w:rsid w:val="00DA0145"/>
    <w:rsid w:val="00DA034E"/>
    <w:rsid w:val="00DA03C4"/>
    <w:rsid w:val="00DA0430"/>
    <w:rsid w:val="00DA0BDB"/>
    <w:rsid w:val="00DA0C34"/>
    <w:rsid w:val="00DA0C5D"/>
    <w:rsid w:val="00DA0D1E"/>
    <w:rsid w:val="00DA0D34"/>
    <w:rsid w:val="00DA0E64"/>
    <w:rsid w:val="00DA0F15"/>
    <w:rsid w:val="00DA0F1A"/>
    <w:rsid w:val="00DA106D"/>
    <w:rsid w:val="00DA10C3"/>
    <w:rsid w:val="00DA117D"/>
    <w:rsid w:val="00DA12C0"/>
    <w:rsid w:val="00DA1483"/>
    <w:rsid w:val="00DA159A"/>
    <w:rsid w:val="00DA15E9"/>
    <w:rsid w:val="00DA162A"/>
    <w:rsid w:val="00DA198F"/>
    <w:rsid w:val="00DA1AFB"/>
    <w:rsid w:val="00DA1C1B"/>
    <w:rsid w:val="00DA1CB0"/>
    <w:rsid w:val="00DA1D4C"/>
    <w:rsid w:val="00DA1D57"/>
    <w:rsid w:val="00DA1DD1"/>
    <w:rsid w:val="00DA1F48"/>
    <w:rsid w:val="00DA201C"/>
    <w:rsid w:val="00DA20FE"/>
    <w:rsid w:val="00DA21F8"/>
    <w:rsid w:val="00DA2289"/>
    <w:rsid w:val="00DA22BD"/>
    <w:rsid w:val="00DA2306"/>
    <w:rsid w:val="00DA2349"/>
    <w:rsid w:val="00DA23F2"/>
    <w:rsid w:val="00DA2550"/>
    <w:rsid w:val="00DA25B5"/>
    <w:rsid w:val="00DA2634"/>
    <w:rsid w:val="00DA291C"/>
    <w:rsid w:val="00DA2A27"/>
    <w:rsid w:val="00DA2C2B"/>
    <w:rsid w:val="00DA2CC7"/>
    <w:rsid w:val="00DA2D01"/>
    <w:rsid w:val="00DA2D31"/>
    <w:rsid w:val="00DA2FF0"/>
    <w:rsid w:val="00DA31B7"/>
    <w:rsid w:val="00DA325A"/>
    <w:rsid w:val="00DA3331"/>
    <w:rsid w:val="00DA34C2"/>
    <w:rsid w:val="00DA372C"/>
    <w:rsid w:val="00DA3883"/>
    <w:rsid w:val="00DA38F5"/>
    <w:rsid w:val="00DA3964"/>
    <w:rsid w:val="00DA39BA"/>
    <w:rsid w:val="00DA3A6D"/>
    <w:rsid w:val="00DA3AAA"/>
    <w:rsid w:val="00DA3B19"/>
    <w:rsid w:val="00DA3E61"/>
    <w:rsid w:val="00DA3E93"/>
    <w:rsid w:val="00DA3F37"/>
    <w:rsid w:val="00DA3F61"/>
    <w:rsid w:val="00DA4020"/>
    <w:rsid w:val="00DA4106"/>
    <w:rsid w:val="00DA41B7"/>
    <w:rsid w:val="00DA422A"/>
    <w:rsid w:val="00DA440E"/>
    <w:rsid w:val="00DA4485"/>
    <w:rsid w:val="00DA45AE"/>
    <w:rsid w:val="00DA45B4"/>
    <w:rsid w:val="00DA46AE"/>
    <w:rsid w:val="00DA46C2"/>
    <w:rsid w:val="00DA498E"/>
    <w:rsid w:val="00DA4B27"/>
    <w:rsid w:val="00DA4B7D"/>
    <w:rsid w:val="00DA4B85"/>
    <w:rsid w:val="00DA4C56"/>
    <w:rsid w:val="00DA4CA7"/>
    <w:rsid w:val="00DA4E1A"/>
    <w:rsid w:val="00DA4E24"/>
    <w:rsid w:val="00DA4EE7"/>
    <w:rsid w:val="00DA4F6B"/>
    <w:rsid w:val="00DA4F86"/>
    <w:rsid w:val="00DA5168"/>
    <w:rsid w:val="00DA52B7"/>
    <w:rsid w:val="00DA5475"/>
    <w:rsid w:val="00DA5559"/>
    <w:rsid w:val="00DA556B"/>
    <w:rsid w:val="00DA564C"/>
    <w:rsid w:val="00DA56D3"/>
    <w:rsid w:val="00DA5752"/>
    <w:rsid w:val="00DA579D"/>
    <w:rsid w:val="00DA58C8"/>
    <w:rsid w:val="00DA5901"/>
    <w:rsid w:val="00DA59E6"/>
    <w:rsid w:val="00DA5A88"/>
    <w:rsid w:val="00DA5B37"/>
    <w:rsid w:val="00DA5BC4"/>
    <w:rsid w:val="00DA5BD6"/>
    <w:rsid w:val="00DA5DF3"/>
    <w:rsid w:val="00DA6023"/>
    <w:rsid w:val="00DA6099"/>
    <w:rsid w:val="00DA6110"/>
    <w:rsid w:val="00DA61D1"/>
    <w:rsid w:val="00DA649E"/>
    <w:rsid w:val="00DA6637"/>
    <w:rsid w:val="00DA6719"/>
    <w:rsid w:val="00DA67A5"/>
    <w:rsid w:val="00DA67C0"/>
    <w:rsid w:val="00DA68BC"/>
    <w:rsid w:val="00DA6991"/>
    <w:rsid w:val="00DA6A76"/>
    <w:rsid w:val="00DA6B85"/>
    <w:rsid w:val="00DA6BD2"/>
    <w:rsid w:val="00DA6CE7"/>
    <w:rsid w:val="00DA6DF4"/>
    <w:rsid w:val="00DA6E30"/>
    <w:rsid w:val="00DA6E4A"/>
    <w:rsid w:val="00DA7050"/>
    <w:rsid w:val="00DA70B6"/>
    <w:rsid w:val="00DA7120"/>
    <w:rsid w:val="00DA720D"/>
    <w:rsid w:val="00DA724D"/>
    <w:rsid w:val="00DA7260"/>
    <w:rsid w:val="00DA7263"/>
    <w:rsid w:val="00DA7270"/>
    <w:rsid w:val="00DA74B0"/>
    <w:rsid w:val="00DA7727"/>
    <w:rsid w:val="00DA773B"/>
    <w:rsid w:val="00DA7772"/>
    <w:rsid w:val="00DA77D7"/>
    <w:rsid w:val="00DA7999"/>
    <w:rsid w:val="00DA7BA5"/>
    <w:rsid w:val="00DA7C4B"/>
    <w:rsid w:val="00DA7C50"/>
    <w:rsid w:val="00DA7C54"/>
    <w:rsid w:val="00DA7CDA"/>
    <w:rsid w:val="00DA7D6A"/>
    <w:rsid w:val="00DA7DC5"/>
    <w:rsid w:val="00DA7DDF"/>
    <w:rsid w:val="00DA7FE1"/>
    <w:rsid w:val="00DA7FF7"/>
    <w:rsid w:val="00DB00B1"/>
    <w:rsid w:val="00DB0159"/>
    <w:rsid w:val="00DB01F9"/>
    <w:rsid w:val="00DB0227"/>
    <w:rsid w:val="00DB0266"/>
    <w:rsid w:val="00DB02E8"/>
    <w:rsid w:val="00DB0321"/>
    <w:rsid w:val="00DB04C2"/>
    <w:rsid w:val="00DB0530"/>
    <w:rsid w:val="00DB064B"/>
    <w:rsid w:val="00DB076C"/>
    <w:rsid w:val="00DB07BF"/>
    <w:rsid w:val="00DB07D7"/>
    <w:rsid w:val="00DB0A13"/>
    <w:rsid w:val="00DB0B8C"/>
    <w:rsid w:val="00DB0BFD"/>
    <w:rsid w:val="00DB0C4A"/>
    <w:rsid w:val="00DB0CA3"/>
    <w:rsid w:val="00DB0CDB"/>
    <w:rsid w:val="00DB0D05"/>
    <w:rsid w:val="00DB0D1E"/>
    <w:rsid w:val="00DB0E97"/>
    <w:rsid w:val="00DB0FA2"/>
    <w:rsid w:val="00DB0FDC"/>
    <w:rsid w:val="00DB0FEA"/>
    <w:rsid w:val="00DB116F"/>
    <w:rsid w:val="00DB11D1"/>
    <w:rsid w:val="00DB1466"/>
    <w:rsid w:val="00DB1BEF"/>
    <w:rsid w:val="00DB1D80"/>
    <w:rsid w:val="00DB1E81"/>
    <w:rsid w:val="00DB219C"/>
    <w:rsid w:val="00DB2209"/>
    <w:rsid w:val="00DB226B"/>
    <w:rsid w:val="00DB2392"/>
    <w:rsid w:val="00DB25C1"/>
    <w:rsid w:val="00DB269B"/>
    <w:rsid w:val="00DB27F3"/>
    <w:rsid w:val="00DB29D0"/>
    <w:rsid w:val="00DB2C96"/>
    <w:rsid w:val="00DB2D07"/>
    <w:rsid w:val="00DB2F70"/>
    <w:rsid w:val="00DB3016"/>
    <w:rsid w:val="00DB307C"/>
    <w:rsid w:val="00DB309C"/>
    <w:rsid w:val="00DB31DE"/>
    <w:rsid w:val="00DB322C"/>
    <w:rsid w:val="00DB32CC"/>
    <w:rsid w:val="00DB33D8"/>
    <w:rsid w:val="00DB34D0"/>
    <w:rsid w:val="00DB3509"/>
    <w:rsid w:val="00DB373B"/>
    <w:rsid w:val="00DB373C"/>
    <w:rsid w:val="00DB3823"/>
    <w:rsid w:val="00DB386B"/>
    <w:rsid w:val="00DB3CBA"/>
    <w:rsid w:val="00DB3F0D"/>
    <w:rsid w:val="00DB3F31"/>
    <w:rsid w:val="00DB3F64"/>
    <w:rsid w:val="00DB3FA3"/>
    <w:rsid w:val="00DB4191"/>
    <w:rsid w:val="00DB41A5"/>
    <w:rsid w:val="00DB41E6"/>
    <w:rsid w:val="00DB4263"/>
    <w:rsid w:val="00DB42F6"/>
    <w:rsid w:val="00DB43C5"/>
    <w:rsid w:val="00DB43EF"/>
    <w:rsid w:val="00DB4626"/>
    <w:rsid w:val="00DB4773"/>
    <w:rsid w:val="00DB478C"/>
    <w:rsid w:val="00DB47EC"/>
    <w:rsid w:val="00DB48EA"/>
    <w:rsid w:val="00DB49D4"/>
    <w:rsid w:val="00DB4B21"/>
    <w:rsid w:val="00DB4BB9"/>
    <w:rsid w:val="00DB4D16"/>
    <w:rsid w:val="00DB4DA0"/>
    <w:rsid w:val="00DB4DE8"/>
    <w:rsid w:val="00DB4FDA"/>
    <w:rsid w:val="00DB4FE1"/>
    <w:rsid w:val="00DB5001"/>
    <w:rsid w:val="00DB5131"/>
    <w:rsid w:val="00DB543C"/>
    <w:rsid w:val="00DB5615"/>
    <w:rsid w:val="00DB57A1"/>
    <w:rsid w:val="00DB583B"/>
    <w:rsid w:val="00DB5883"/>
    <w:rsid w:val="00DB5914"/>
    <w:rsid w:val="00DB594F"/>
    <w:rsid w:val="00DB5B28"/>
    <w:rsid w:val="00DB5B66"/>
    <w:rsid w:val="00DB5B7B"/>
    <w:rsid w:val="00DB5BDC"/>
    <w:rsid w:val="00DB5D19"/>
    <w:rsid w:val="00DB5DEA"/>
    <w:rsid w:val="00DB5DF0"/>
    <w:rsid w:val="00DB5E07"/>
    <w:rsid w:val="00DB6019"/>
    <w:rsid w:val="00DB601C"/>
    <w:rsid w:val="00DB60F6"/>
    <w:rsid w:val="00DB61C8"/>
    <w:rsid w:val="00DB62FE"/>
    <w:rsid w:val="00DB6340"/>
    <w:rsid w:val="00DB63B7"/>
    <w:rsid w:val="00DB63D2"/>
    <w:rsid w:val="00DB6717"/>
    <w:rsid w:val="00DB6B8F"/>
    <w:rsid w:val="00DB6C78"/>
    <w:rsid w:val="00DB6D3E"/>
    <w:rsid w:val="00DB6DFB"/>
    <w:rsid w:val="00DB6E03"/>
    <w:rsid w:val="00DB6FD0"/>
    <w:rsid w:val="00DB7011"/>
    <w:rsid w:val="00DB70AE"/>
    <w:rsid w:val="00DB7106"/>
    <w:rsid w:val="00DB7197"/>
    <w:rsid w:val="00DB719A"/>
    <w:rsid w:val="00DB71AF"/>
    <w:rsid w:val="00DB734F"/>
    <w:rsid w:val="00DB7488"/>
    <w:rsid w:val="00DB74D5"/>
    <w:rsid w:val="00DB7564"/>
    <w:rsid w:val="00DB7568"/>
    <w:rsid w:val="00DB7575"/>
    <w:rsid w:val="00DB75BA"/>
    <w:rsid w:val="00DB75CC"/>
    <w:rsid w:val="00DB75E7"/>
    <w:rsid w:val="00DB76DC"/>
    <w:rsid w:val="00DB7774"/>
    <w:rsid w:val="00DB7902"/>
    <w:rsid w:val="00DB792B"/>
    <w:rsid w:val="00DB79F0"/>
    <w:rsid w:val="00DB7B7F"/>
    <w:rsid w:val="00DB7C32"/>
    <w:rsid w:val="00DB7D72"/>
    <w:rsid w:val="00DB7DC0"/>
    <w:rsid w:val="00DB7E83"/>
    <w:rsid w:val="00DB7EB8"/>
    <w:rsid w:val="00DB7EE8"/>
    <w:rsid w:val="00DB7EFA"/>
    <w:rsid w:val="00DB7F9E"/>
    <w:rsid w:val="00DB7FD4"/>
    <w:rsid w:val="00DC0006"/>
    <w:rsid w:val="00DC0013"/>
    <w:rsid w:val="00DC00AC"/>
    <w:rsid w:val="00DC00C3"/>
    <w:rsid w:val="00DC017A"/>
    <w:rsid w:val="00DC02B7"/>
    <w:rsid w:val="00DC0311"/>
    <w:rsid w:val="00DC0316"/>
    <w:rsid w:val="00DC03BD"/>
    <w:rsid w:val="00DC03DB"/>
    <w:rsid w:val="00DC0420"/>
    <w:rsid w:val="00DC04C1"/>
    <w:rsid w:val="00DC065B"/>
    <w:rsid w:val="00DC0790"/>
    <w:rsid w:val="00DC081A"/>
    <w:rsid w:val="00DC0995"/>
    <w:rsid w:val="00DC0ADD"/>
    <w:rsid w:val="00DC0AEA"/>
    <w:rsid w:val="00DC0B97"/>
    <w:rsid w:val="00DC0C91"/>
    <w:rsid w:val="00DC0D08"/>
    <w:rsid w:val="00DC0DCF"/>
    <w:rsid w:val="00DC0EBD"/>
    <w:rsid w:val="00DC0F17"/>
    <w:rsid w:val="00DC0FE1"/>
    <w:rsid w:val="00DC1000"/>
    <w:rsid w:val="00DC1012"/>
    <w:rsid w:val="00DC101A"/>
    <w:rsid w:val="00DC11C6"/>
    <w:rsid w:val="00DC124F"/>
    <w:rsid w:val="00DC125B"/>
    <w:rsid w:val="00DC1272"/>
    <w:rsid w:val="00DC1288"/>
    <w:rsid w:val="00DC12B1"/>
    <w:rsid w:val="00DC13F3"/>
    <w:rsid w:val="00DC14DB"/>
    <w:rsid w:val="00DC1612"/>
    <w:rsid w:val="00DC16F9"/>
    <w:rsid w:val="00DC17E7"/>
    <w:rsid w:val="00DC19F4"/>
    <w:rsid w:val="00DC1ADB"/>
    <w:rsid w:val="00DC1B28"/>
    <w:rsid w:val="00DC1B3C"/>
    <w:rsid w:val="00DC1B4F"/>
    <w:rsid w:val="00DC1B7D"/>
    <w:rsid w:val="00DC1C5B"/>
    <w:rsid w:val="00DC1CFB"/>
    <w:rsid w:val="00DC1D14"/>
    <w:rsid w:val="00DC1ED1"/>
    <w:rsid w:val="00DC1F24"/>
    <w:rsid w:val="00DC1F80"/>
    <w:rsid w:val="00DC20A0"/>
    <w:rsid w:val="00DC20CE"/>
    <w:rsid w:val="00DC20DB"/>
    <w:rsid w:val="00DC21E2"/>
    <w:rsid w:val="00DC249E"/>
    <w:rsid w:val="00DC255B"/>
    <w:rsid w:val="00DC257E"/>
    <w:rsid w:val="00DC25BE"/>
    <w:rsid w:val="00DC26DF"/>
    <w:rsid w:val="00DC270C"/>
    <w:rsid w:val="00DC2844"/>
    <w:rsid w:val="00DC29A9"/>
    <w:rsid w:val="00DC29DC"/>
    <w:rsid w:val="00DC2A38"/>
    <w:rsid w:val="00DC2A50"/>
    <w:rsid w:val="00DC2B6D"/>
    <w:rsid w:val="00DC2C77"/>
    <w:rsid w:val="00DC2CA4"/>
    <w:rsid w:val="00DC2D75"/>
    <w:rsid w:val="00DC2D80"/>
    <w:rsid w:val="00DC2E17"/>
    <w:rsid w:val="00DC2E6E"/>
    <w:rsid w:val="00DC2FB1"/>
    <w:rsid w:val="00DC3233"/>
    <w:rsid w:val="00DC3443"/>
    <w:rsid w:val="00DC34CC"/>
    <w:rsid w:val="00DC35EB"/>
    <w:rsid w:val="00DC3821"/>
    <w:rsid w:val="00DC388E"/>
    <w:rsid w:val="00DC3A24"/>
    <w:rsid w:val="00DC3AF9"/>
    <w:rsid w:val="00DC3BA6"/>
    <w:rsid w:val="00DC3C42"/>
    <w:rsid w:val="00DC3D7A"/>
    <w:rsid w:val="00DC3D8E"/>
    <w:rsid w:val="00DC3E57"/>
    <w:rsid w:val="00DC3EBA"/>
    <w:rsid w:val="00DC3EE0"/>
    <w:rsid w:val="00DC3F20"/>
    <w:rsid w:val="00DC3F45"/>
    <w:rsid w:val="00DC410F"/>
    <w:rsid w:val="00DC4185"/>
    <w:rsid w:val="00DC41A7"/>
    <w:rsid w:val="00DC43DD"/>
    <w:rsid w:val="00DC4476"/>
    <w:rsid w:val="00DC4492"/>
    <w:rsid w:val="00DC451F"/>
    <w:rsid w:val="00DC4534"/>
    <w:rsid w:val="00DC45CF"/>
    <w:rsid w:val="00DC4618"/>
    <w:rsid w:val="00DC4689"/>
    <w:rsid w:val="00DC476F"/>
    <w:rsid w:val="00DC4918"/>
    <w:rsid w:val="00DC49F6"/>
    <w:rsid w:val="00DC4BA2"/>
    <w:rsid w:val="00DC4D3A"/>
    <w:rsid w:val="00DC4D98"/>
    <w:rsid w:val="00DC4FD4"/>
    <w:rsid w:val="00DC50FD"/>
    <w:rsid w:val="00DC50FF"/>
    <w:rsid w:val="00DC51F5"/>
    <w:rsid w:val="00DC5418"/>
    <w:rsid w:val="00DC54BB"/>
    <w:rsid w:val="00DC54FD"/>
    <w:rsid w:val="00DC555D"/>
    <w:rsid w:val="00DC56C6"/>
    <w:rsid w:val="00DC5768"/>
    <w:rsid w:val="00DC584F"/>
    <w:rsid w:val="00DC58FC"/>
    <w:rsid w:val="00DC59AD"/>
    <w:rsid w:val="00DC59E7"/>
    <w:rsid w:val="00DC5A23"/>
    <w:rsid w:val="00DC5B67"/>
    <w:rsid w:val="00DC5B72"/>
    <w:rsid w:val="00DC5BAD"/>
    <w:rsid w:val="00DC5BE9"/>
    <w:rsid w:val="00DC5CD9"/>
    <w:rsid w:val="00DC5DCE"/>
    <w:rsid w:val="00DC5E79"/>
    <w:rsid w:val="00DC5EB7"/>
    <w:rsid w:val="00DC6002"/>
    <w:rsid w:val="00DC6116"/>
    <w:rsid w:val="00DC6130"/>
    <w:rsid w:val="00DC62B1"/>
    <w:rsid w:val="00DC6340"/>
    <w:rsid w:val="00DC63C8"/>
    <w:rsid w:val="00DC63F4"/>
    <w:rsid w:val="00DC641D"/>
    <w:rsid w:val="00DC649C"/>
    <w:rsid w:val="00DC668E"/>
    <w:rsid w:val="00DC66F7"/>
    <w:rsid w:val="00DC6910"/>
    <w:rsid w:val="00DC69C2"/>
    <w:rsid w:val="00DC6A79"/>
    <w:rsid w:val="00DC6C8B"/>
    <w:rsid w:val="00DC6D14"/>
    <w:rsid w:val="00DC6D58"/>
    <w:rsid w:val="00DC6DD7"/>
    <w:rsid w:val="00DC6ED5"/>
    <w:rsid w:val="00DC6F4A"/>
    <w:rsid w:val="00DC6F94"/>
    <w:rsid w:val="00DC6FEA"/>
    <w:rsid w:val="00DC711E"/>
    <w:rsid w:val="00DC718C"/>
    <w:rsid w:val="00DC72AF"/>
    <w:rsid w:val="00DC7329"/>
    <w:rsid w:val="00DC75EF"/>
    <w:rsid w:val="00DC777F"/>
    <w:rsid w:val="00DC78CC"/>
    <w:rsid w:val="00DC7B08"/>
    <w:rsid w:val="00DC7C17"/>
    <w:rsid w:val="00DC7D49"/>
    <w:rsid w:val="00DC7D5B"/>
    <w:rsid w:val="00DC7D83"/>
    <w:rsid w:val="00DC7E29"/>
    <w:rsid w:val="00DC7E63"/>
    <w:rsid w:val="00DC7E8F"/>
    <w:rsid w:val="00DD007C"/>
    <w:rsid w:val="00DD0111"/>
    <w:rsid w:val="00DD0284"/>
    <w:rsid w:val="00DD0374"/>
    <w:rsid w:val="00DD06D7"/>
    <w:rsid w:val="00DD06F5"/>
    <w:rsid w:val="00DD07F3"/>
    <w:rsid w:val="00DD08F6"/>
    <w:rsid w:val="00DD0951"/>
    <w:rsid w:val="00DD0A47"/>
    <w:rsid w:val="00DD0AE3"/>
    <w:rsid w:val="00DD0BBF"/>
    <w:rsid w:val="00DD0C1D"/>
    <w:rsid w:val="00DD0C56"/>
    <w:rsid w:val="00DD0D11"/>
    <w:rsid w:val="00DD0E37"/>
    <w:rsid w:val="00DD0E4F"/>
    <w:rsid w:val="00DD10DB"/>
    <w:rsid w:val="00DD1192"/>
    <w:rsid w:val="00DD127C"/>
    <w:rsid w:val="00DD12AF"/>
    <w:rsid w:val="00DD155F"/>
    <w:rsid w:val="00DD161F"/>
    <w:rsid w:val="00DD1637"/>
    <w:rsid w:val="00DD17DF"/>
    <w:rsid w:val="00DD17F6"/>
    <w:rsid w:val="00DD195E"/>
    <w:rsid w:val="00DD1A4B"/>
    <w:rsid w:val="00DD1B34"/>
    <w:rsid w:val="00DD1BDE"/>
    <w:rsid w:val="00DD1C58"/>
    <w:rsid w:val="00DD1C9F"/>
    <w:rsid w:val="00DD1D1D"/>
    <w:rsid w:val="00DD1E7C"/>
    <w:rsid w:val="00DD1EF9"/>
    <w:rsid w:val="00DD1F03"/>
    <w:rsid w:val="00DD1F1F"/>
    <w:rsid w:val="00DD1FF4"/>
    <w:rsid w:val="00DD2010"/>
    <w:rsid w:val="00DD2160"/>
    <w:rsid w:val="00DD234F"/>
    <w:rsid w:val="00DD2352"/>
    <w:rsid w:val="00DD243A"/>
    <w:rsid w:val="00DD249C"/>
    <w:rsid w:val="00DD2502"/>
    <w:rsid w:val="00DD2706"/>
    <w:rsid w:val="00DD278A"/>
    <w:rsid w:val="00DD28CD"/>
    <w:rsid w:val="00DD29AA"/>
    <w:rsid w:val="00DD29AB"/>
    <w:rsid w:val="00DD29E6"/>
    <w:rsid w:val="00DD2A0C"/>
    <w:rsid w:val="00DD2C2E"/>
    <w:rsid w:val="00DD2C40"/>
    <w:rsid w:val="00DD2E9C"/>
    <w:rsid w:val="00DD2FB4"/>
    <w:rsid w:val="00DD31FB"/>
    <w:rsid w:val="00DD3207"/>
    <w:rsid w:val="00DD3349"/>
    <w:rsid w:val="00DD3456"/>
    <w:rsid w:val="00DD34BE"/>
    <w:rsid w:val="00DD34FC"/>
    <w:rsid w:val="00DD354D"/>
    <w:rsid w:val="00DD355D"/>
    <w:rsid w:val="00DD3840"/>
    <w:rsid w:val="00DD38C2"/>
    <w:rsid w:val="00DD396A"/>
    <w:rsid w:val="00DD39B9"/>
    <w:rsid w:val="00DD39FF"/>
    <w:rsid w:val="00DD3A1A"/>
    <w:rsid w:val="00DD3F92"/>
    <w:rsid w:val="00DD3F9C"/>
    <w:rsid w:val="00DD4067"/>
    <w:rsid w:val="00DD4096"/>
    <w:rsid w:val="00DD442B"/>
    <w:rsid w:val="00DD4680"/>
    <w:rsid w:val="00DD46F0"/>
    <w:rsid w:val="00DD473B"/>
    <w:rsid w:val="00DD48E3"/>
    <w:rsid w:val="00DD49E3"/>
    <w:rsid w:val="00DD4A25"/>
    <w:rsid w:val="00DD4AA2"/>
    <w:rsid w:val="00DD4CC7"/>
    <w:rsid w:val="00DD4D31"/>
    <w:rsid w:val="00DD4E2E"/>
    <w:rsid w:val="00DD4E44"/>
    <w:rsid w:val="00DD4F45"/>
    <w:rsid w:val="00DD4F55"/>
    <w:rsid w:val="00DD4F70"/>
    <w:rsid w:val="00DD4FBD"/>
    <w:rsid w:val="00DD5042"/>
    <w:rsid w:val="00DD5198"/>
    <w:rsid w:val="00DD5253"/>
    <w:rsid w:val="00DD5256"/>
    <w:rsid w:val="00DD5419"/>
    <w:rsid w:val="00DD556C"/>
    <w:rsid w:val="00DD56AD"/>
    <w:rsid w:val="00DD577D"/>
    <w:rsid w:val="00DD57C0"/>
    <w:rsid w:val="00DD599E"/>
    <w:rsid w:val="00DD5B08"/>
    <w:rsid w:val="00DD5BF4"/>
    <w:rsid w:val="00DD5CC7"/>
    <w:rsid w:val="00DD5D1D"/>
    <w:rsid w:val="00DD5D43"/>
    <w:rsid w:val="00DD5E74"/>
    <w:rsid w:val="00DD5F3A"/>
    <w:rsid w:val="00DD5F60"/>
    <w:rsid w:val="00DD5FF1"/>
    <w:rsid w:val="00DD606D"/>
    <w:rsid w:val="00DD60E5"/>
    <w:rsid w:val="00DD60F9"/>
    <w:rsid w:val="00DD611B"/>
    <w:rsid w:val="00DD61B0"/>
    <w:rsid w:val="00DD6266"/>
    <w:rsid w:val="00DD634E"/>
    <w:rsid w:val="00DD63C7"/>
    <w:rsid w:val="00DD63E3"/>
    <w:rsid w:val="00DD6463"/>
    <w:rsid w:val="00DD658B"/>
    <w:rsid w:val="00DD65B9"/>
    <w:rsid w:val="00DD669D"/>
    <w:rsid w:val="00DD6994"/>
    <w:rsid w:val="00DD69FD"/>
    <w:rsid w:val="00DD6A4D"/>
    <w:rsid w:val="00DD6AA2"/>
    <w:rsid w:val="00DD6CC9"/>
    <w:rsid w:val="00DD6D65"/>
    <w:rsid w:val="00DD6D90"/>
    <w:rsid w:val="00DD6F48"/>
    <w:rsid w:val="00DD6F84"/>
    <w:rsid w:val="00DD6FFC"/>
    <w:rsid w:val="00DD71AD"/>
    <w:rsid w:val="00DD7253"/>
    <w:rsid w:val="00DD72B4"/>
    <w:rsid w:val="00DD72D5"/>
    <w:rsid w:val="00DD74B2"/>
    <w:rsid w:val="00DD757B"/>
    <w:rsid w:val="00DD75F1"/>
    <w:rsid w:val="00DD76A9"/>
    <w:rsid w:val="00DD7718"/>
    <w:rsid w:val="00DD778B"/>
    <w:rsid w:val="00DD779E"/>
    <w:rsid w:val="00DD7809"/>
    <w:rsid w:val="00DD7872"/>
    <w:rsid w:val="00DD7887"/>
    <w:rsid w:val="00DD7A40"/>
    <w:rsid w:val="00DD7A99"/>
    <w:rsid w:val="00DD7AB5"/>
    <w:rsid w:val="00DD7CD5"/>
    <w:rsid w:val="00DD7DA7"/>
    <w:rsid w:val="00DD7EF3"/>
    <w:rsid w:val="00DD7F99"/>
    <w:rsid w:val="00DD7FCB"/>
    <w:rsid w:val="00DE00A8"/>
    <w:rsid w:val="00DE012C"/>
    <w:rsid w:val="00DE0246"/>
    <w:rsid w:val="00DE037B"/>
    <w:rsid w:val="00DE043C"/>
    <w:rsid w:val="00DE043E"/>
    <w:rsid w:val="00DE0550"/>
    <w:rsid w:val="00DE064A"/>
    <w:rsid w:val="00DE0780"/>
    <w:rsid w:val="00DE07CA"/>
    <w:rsid w:val="00DE080C"/>
    <w:rsid w:val="00DE0843"/>
    <w:rsid w:val="00DE090C"/>
    <w:rsid w:val="00DE0B5B"/>
    <w:rsid w:val="00DE0C50"/>
    <w:rsid w:val="00DE0D24"/>
    <w:rsid w:val="00DE0D31"/>
    <w:rsid w:val="00DE0E30"/>
    <w:rsid w:val="00DE1016"/>
    <w:rsid w:val="00DE107F"/>
    <w:rsid w:val="00DE1131"/>
    <w:rsid w:val="00DE117E"/>
    <w:rsid w:val="00DE127F"/>
    <w:rsid w:val="00DE14D6"/>
    <w:rsid w:val="00DE156F"/>
    <w:rsid w:val="00DE1635"/>
    <w:rsid w:val="00DE179E"/>
    <w:rsid w:val="00DE17B1"/>
    <w:rsid w:val="00DE1939"/>
    <w:rsid w:val="00DE195E"/>
    <w:rsid w:val="00DE1A59"/>
    <w:rsid w:val="00DE1BDC"/>
    <w:rsid w:val="00DE1BE9"/>
    <w:rsid w:val="00DE1C98"/>
    <w:rsid w:val="00DE1CC2"/>
    <w:rsid w:val="00DE200E"/>
    <w:rsid w:val="00DE21CD"/>
    <w:rsid w:val="00DE21E8"/>
    <w:rsid w:val="00DE22A9"/>
    <w:rsid w:val="00DE22D5"/>
    <w:rsid w:val="00DE22E0"/>
    <w:rsid w:val="00DE23CA"/>
    <w:rsid w:val="00DE255D"/>
    <w:rsid w:val="00DE25C7"/>
    <w:rsid w:val="00DE25DA"/>
    <w:rsid w:val="00DE2600"/>
    <w:rsid w:val="00DE2685"/>
    <w:rsid w:val="00DE2695"/>
    <w:rsid w:val="00DE26C0"/>
    <w:rsid w:val="00DE2806"/>
    <w:rsid w:val="00DE2900"/>
    <w:rsid w:val="00DE292C"/>
    <w:rsid w:val="00DE293E"/>
    <w:rsid w:val="00DE29C2"/>
    <w:rsid w:val="00DE2BA5"/>
    <w:rsid w:val="00DE2F63"/>
    <w:rsid w:val="00DE2FAE"/>
    <w:rsid w:val="00DE2FE6"/>
    <w:rsid w:val="00DE2FFE"/>
    <w:rsid w:val="00DE3020"/>
    <w:rsid w:val="00DE3058"/>
    <w:rsid w:val="00DE30FA"/>
    <w:rsid w:val="00DE3160"/>
    <w:rsid w:val="00DE316A"/>
    <w:rsid w:val="00DE3254"/>
    <w:rsid w:val="00DE32C1"/>
    <w:rsid w:val="00DE338C"/>
    <w:rsid w:val="00DE338F"/>
    <w:rsid w:val="00DE339F"/>
    <w:rsid w:val="00DE3554"/>
    <w:rsid w:val="00DE3565"/>
    <w:rsid w:val="00DE3654"/>
    <w:rsid w:val="00DE373A"/>
    <w:rsid w:val="00DE3799"/>
    <w:rsid w:val="00DE37C3"/>
    <w:rsid w:val="00DE37DC"/>
    <w:rsid w:val="00DE37F0"/>
    <w:rsid w:val="00DE3900"/>
    <w:rsid w:val="00DE3985"/>
    <w:rsid w:val="00DE3AAF"/>
    <w:rsid w:val="00DE3AEB"/>
    <w:rsid w:val="00DE3B37"/>
    <w:rsid w:val="00DE3B5F"/>
    <w:rsid w:val="00DE3C74"/>
    <w:rsid w:val="00DE3CC8"/>
    <w:rsid w:val="00DE3CE4"/>
    <w:rsid w:val="00DE3D8B"/>
    <w:rsid w:val="00DE3E16"/>
    <w:rsid w:val="00DE3FA1"/>
    <w:rsid w:val="00DE411D"/>
    <w:rsid w:val="00DE4219"/>
    <w:rsid w:val="00DE4262"/>
    <w:rsid w:val="00DE429E"/>
    <w:rsid w:val="00DE42D9"/>
    <w:rsid w:val="00DE4339"/>
    <w:rsid w:val="00DE44D9"/>
    <w:rsid w:val="00DE450D"/>
    <w:rsid w:val="00DE450F"/>
    <w:rsid w:val="00DE46C0"/>
    <w:rsid w:val="00DE46DA"/>
    <w:rsid w:val="00DE4738"/>
    <w:rsid w:val="00DE48E3"/>
    <w:rsid w:val="00DE4958"/>
    <w:rsid w:val="00DE49ED"/>
    <w:rsid w:val="00DE4A03"/>
    <w:rsid w:val="00DE4A8E"/>
    <w:rsid w:val="00DE4AE7"/>
    <w:rsid w:val="00DE4BBA"/>
    <w:rsid w:val="00DE4BCC"/>
    <w:rsid w:val="00DE4C92"/>
    <w:rsid w:val="00DE4C95"/>
    <w:rsid w:val="00DE4E6D"/>
    <w:rsid w:val="00DE50BE"/>
    <w:rsid w:val="00DE51C5"/>
    <w:rsid w:val="00DE5201"/>
    <w:rsid w:val="00DE52A7"/>
    <w:rsid w:val="00DE52E1"/>
    <w:rsid w:val="00DE52E6"/>
    <w:rsid w:val="00DE53A3"/>
    <w:rsid w:val="00DE53A8"/>
    <w:rsid w:val="00DE5411"/>
    <w:rsid w:val="00DE5417"/>
    <w:rsid w:val="00DE5592"/>
    <w:rsid w:val="00DE565D"/>
    <w:rsid w:val="00DE5710"/>
    <w:rsid w:val="00DE5760"/>
    <w:rsid w:val="00DE5831"/>
    <w:rsid w:val="00DE5863"/>
    <w:rsid w:val="00DE588F"/>
    <w:rsid w:val="00DE5B7B"/>
    <w:rsid w:val="00DE5C4F"/>
    <w:rsid w:val="00DE5CDB"/>
    <w:rsid w:val="00DE5D7D"/>
    <w:rsid w:val="00DE5DEE"/>
    <w:rsid w:val="00DE5E47"/>
    <w:rsid w:val="00DE5F6F"/>
    <w:rsid w:val="00DE5F9B"/>
    <w:rsid w:val="00DE5FD6"/>
    <w:rsid w:val="00DE61FD"/>
    <w:rsid w:val="00DE62B7"/>
    <w:rsid w:val="00DE6387"/>
    <w:rsid w:val="00DE655C"/>
    <w:rsid w:val="00DE6567"/>
    <w:rsid w:val="00DE6589"/>
    <w:rsid w:val="00DE65C4"/>
    <w:rsid w:val="00DE6640"/>
    <w:rsid w:val="00DE6868"/>
    <w:rsid w:val="00DE68E6"/>
    <w:rsid w:val="00DE6A53"/>
    <w:rsid w:val="00DE6A78"/>
    <w:rsid w:val="00DE6AAF"/>
    <w:rsid w:val="00DE6ABB"/>
    <w:rsid w:val="00DE6BD3"/>
    <w:rsid w:val="00DE6C60"/>
    <w:rsid w:val="00DE6F0B"/>
    <w:rsid w:val="00DE6F54"/>
    <w:rsid w:val="00DE6F62"/>
    <w:rsid w:val="00DE6F7B"/>
    <w:rsid w:val="00DE6F81"/>
    <w:rsid w:val="00DE702C"/>
    <w:rsid w:val="00DE70E6"/>
    <w:rsid w:val="00DE71AA"/>
    <w:rsid w:val="00DE71DE"/>
    <w:rsid w:val="00DE71EC"/>
    <w:rsid w:val="00DE71FD"/>
    <w:rsid w:val="00DE7203"/>
    <w:rsid w:val="00DE73A4"/>
    <w:rsid w:val="00DE744A"/>
    <w:rsid w:val="00DE7450"/>
    <w:rsid w:val="00DE766C"/>
    <w:rsid w:val="00DE7682"/>
    <w:rsid w:val="00DE77E1"/>
    <w:rsid w:val="00DE7959"/>
    <w:rsid w:val="00DE7A49"/>
    <w:rsid w:val="00DE7B7A"/>
    <w:rsid w:val="00DE7C87"/>
    <w:rsid w:val="00DE7CA7"/>
    <w:rsid w:val="00DE7D2C"/>
    <w:rsid w:val="00DE7E08"/>
    <w:rsid w:val="00DE7F59"/>
    <w:rsid w:val="00DE7F5B"/>
    <w:rsid w:val="00DE7F73"/>
    <w:rsid w:val="00DF0283"/>
    <w:rsid w:val="00DF033E"/>
    <w:rsid w:val="00DF035E"/>
    <w:rsid w:val="00DF037C"/>
    <w:rsid w:val="00DF0381"/>
    <w:rsid w:val="00DF0595"/>
    <w:rsid w:val="00DF05B3"/>
    <w:rsid w:val="00DF0744"/>
    <w:rsid w:val="00DF0A33"/>
    <w:rsid w:val="00DF0A85"/>
    <w:rsid w:val="00DF0B0D"/>
    <w:rsid w:val="00DF0B4B"/>
    <w:rsid w:val="00DF0BF3"/>
    <w:rsid w:val="00DF0CAF"/>
    <w:rsid w:val="00DF0D02"/>
    <w:rsid w:val="00DF0D15"/>
    <w:rsid w:val="00DF0D92"/>
    <w:rsid w:val="00DF0EF1"/>
    <w:rsid w:val="00DF0EF2"/>
    <w:rsid w:val="00DF11C8"/>
    <w:rsid w:val="00DF11DD"/>
    <w:rsid w:val="00DF137D"/>
    <w:rsid w:val="00DF13D2"/>
    <w:rsid w:val="00DF1460"/>
    <w:rsid w:val="00DF1643"/>
    <w:rsid w:val="00DF1690"/>
    <w:rsid w:val="00DF16EB"/>
    <w:rsid w:val="00DF1722"/>
    <w:rsid w:val="00DF176E"/>
    <w:rsid w:val="00DF183E"/>
    <w:rsid w:val="00DF18C0"/>
    <w:rsid w:val="00DF1A8A"/>
    <w:rsid w:val="00DF1C00"/>
    <w:rsid w:val="00DF1D0C"/>
    <w:rsid w:val="00DF1D57"/>
    <w:rsid w:val="00DF1DC9"/>
    <w:rsid w:val="00DF1E12"/>
    <w:rsid w:val="00DF1F12"/>
    <w:rsid w:val="00DF1FFD"/>
    <w:rsid w:val="00DF205C"/>
    <w:rsid w:val="00DF2113"/>
    <w:rsid w:val="00DF21CF"/>
    <w:rsid w:val="00DF22AB"/>
    <w:rsid w:val="00DF2576"/>
    <w:rsid w:val="00DF257D"/>
    <w:rsid w:val="00DF27FA"/>
    <w:rsid w:val="00DF28A8"/>
    <w:rsid w:val="00DF2926"/>
    <w:rsid w:val="00DF2B0D"/>
    <w:rsid w:val="00DF2BF9"/>
    <w:rsid w:val="00DF2C0C"/>
    <w:rsid w:val="00DF2E96"/>
    <w:rsid w:val="00DF306F"/>
    <w:rsid w:val="00DF3071"/>
    <w:rsid w:val="00DF339A"/>
    <w:rsid w:val="00DF33A2"/>
    <w:rsid w:val="00DF33CB"/>
    <w:rsid w:val="00DF34FF"/>
    <w:rsid w:val="00DF37F5"/>
    <w:rsid w:val="00DF381B"/>
    <w:rsid w:val="00DF388B"/>
    <w:rsid w:val="00DF3900"/>
    <w:rsid w:val="00DF3A2A"/>
    <w:rsid w:val="00DF3A47"/>
    <w:rsid w:val="00DF3A96"/>
    <w:rsid w:val="00DF3BFD"/>
    <w:rsid w:val="00DF3C21"/>
    <w:rsid w:val="00DF3CAF"/>
    <w:rsid w:val="00DF3E29"/>
    <w:rsid w:val="00DF3E9C"/>
    <w:rsid w:val="00DF4023"/>
    <w:rsid w:val="00DF420B"/>
    <w:rsid w:val="00DF4211"/>
    <w:rsid w:val="00DF4286"/>
    <w:rsid w:val="00DF4394"/>
    <w:rsid w:val="00DF452B"/>
    <w:rsid w:val="00DF4557"/>
    <w:rsid w:val="00DF46E1"/>
    <w:rsid w:val="00DF4758"/>
    <w:rsid w:val="00DF486E"/>
    <w:rsid w:val="00DF4992"/>
    <w:rsid w:val="00DF4C72"/>
    <w:rsid w:val="00DF4D05"/>
    <w:rsid w:val="00DF4D40"/>
    <w:rsid w:val="00DF4DD1"/>
    <w:rsid w:val="00DF4E18"/>
    <w:rsid w:val="00DF4E62"/>
    <w:rsid w:val="00DF4F63"/>
    <w:rsid w:val="00DF4F88"/>
    <w:rsid w:val="00DF5127"/>
    <w:rsid w:val="00DF51D3"/>
    <w:rsid w:val="00DF52BB"/>
    <w:rsid w:val="00DF5341"/>
    <w:rsid w:val="00DF5353"/>
    <w:rsid w:val="00DF5397"/>
    <w:rsid w:val="00DF5472"/>
    <w:rsid w:val="00DF547F"/>
    <w:rsid w:val="00DF5505"/>
    <w:rsid w:val="00DF5656"/>
    <w:rsid w:val="00DF56AC"/>
    <w:rsid w:val="00DF56EB"/>
    <w:rsid w:val="00DF572D"/>
    <w:rsid w:val="00DF5840"/>
    <w:rsid w:val="00DF587A"/>
    <w:rsid w:val="00DF5881"/>
    <w:rsid w:val="00DF58DC"/>
    <w:rsid w:val="00DF5959"/>
    <w:rsid w:val="00DF59D8"/>
    <w:rsid w:val="00DF59FC"/>
    <w:rsid w:val="00DF5A3C"/>
    <w:rsid w:val="00DF5A90"/>
    <w:rsid w:val="00DF5C8C"/>
    <w:rsid w:val="00DF5CDF"/>
    <w:rsid w:val="00DF5E07"/>
    <w:rsid w:val="00DF5EB0"/>
    <w:rsid w:val="00DF5F5E"/>
    <w:rsid w:val="00DF605D"/>
    <w:rsid w:val="00DF6073"/>
    <w:rsid w:val="00DF6105"/>
    <w:rsid w:val="00DF62F0"/>
    <w:rsid w:val="00DF63D9"/>
    <w:rsid w:val="00DF643E"/>
    <w:rsid w:val="00DF64F0"/>
    <w:rsid w:val="00DF6730"/>
    <w:rsid w:val="00DF6746"/>
    <w:rsid w:val="00DF6767"/>
    <w:rsid w:val="00DF6790"/>
    <w:rsid w:val="00DF67C1"/>
    <w:rsid w:val="00DF6A5F"/>
    <w:rsid w:val="00DF6AF1"/>
    <w:rsid w:val="00DF6D98"/>
    <w:rsid w:val="00DF6DA3"/>
    <w:rsid w:val="00DF6DA7"/>
    <w:rsid w:val="00DF6E86"/>
    <w:rsid w:val="00DF6F0A"/>
    <w:rsid w:val="00DF70AC"/>
    <w:rsid w:val="00DF71AC"/>
    <w:rsid w:val="00DF71B3"/>
    <w:rsid w:val="00DF71BF"/>
    <w:rsid w:val="00DF7242"/>
    <w:rsid w:val="00DF7281"/>
    <w:rsid w:val="00DF733F"/>
    <w:rsid w:val="00DF738C"/>
    <w:rsid w:val="00DF7499"/>
    <w:rsid w:val="00DF753F"/>
    <w:rsid w:val="00DF7546"/>
    <w:rsid w:val="00DF787F"/>
    <w:rsid w:val="00DF78B3"/>
    <w:rsid w:val="00DF7927"/>
    <w:rsid w:val="00DF7A7E"/>
    <w:rsid w:val="00DF7AEC"/>
    <w:rsid w:val="00DF7E3A"/>
    <w:rsid w:val="00DF7EFE"/>
    <w:rsid w:val="00DF7FD8"/>
    <w:rsid w:val="00E0004D"/>
    <w:rsid w:val="00E00086"/>
    <w:rsid w:val="00E00126"/>
    <w:rsid w:val="00E0016E"/>
    <w:rsid w:val="00E001B1"/>
    <w:rsid w:val="00E00290"/>
    <w:rsid w:val="00E00351"/>
    <w:rsid w:val="00E003BC"/>
    <w:rsid w:val="00E0042C"/>
    <w:rsid w:val="00E00433"/>
    <w:rsid w:val="00E00603"/>
    <w:rsid w:val="00E0075A"/>
    <w:rsid w:val="00E0095B"/>
    <w:rsid w:val="00E00A8B"/>
    <w:rsid w:val="00E00B1C"/>
    <w:rsid w:val="00E00C12"/>
    <w:rsid w:val="00E00D3E"/>
    <w:rsid w:val="00E00D4C"/>
    <w:rsid w:val="00E01005"/>
    <w:rsid w:val="00E01105"/>
    <w:rsid w:val="00E011F2"/>
    <w:rsid w:val="00E01247"/>
    <w:rsid w:val="00E012AC"/>
    <w:rsid w:val="00E01326"/>
    <w:rsid w:val="00E01403"/>
    <w:rsid w:val="00E014F5"/>
    <w:rsid w:val="00E0151F"/>
    <w:rsid w:val="00E015EE"/>
    <w:rsid w:val="00E01601"/>
    <w:rsid w:val="00E0161C"/>
    <w:rsid w:val="00E01628"/>
    <w:rsid w:val="00E0167F"/>
    <w:rsid w:val="00E01745"/>
    <w:rsid w:val="00E0182D"/>
    <w:rsid w:val="00E01917"/>
    <w:rsid w:val="00E01984"/>
    <w:rsid w:val="00E019A4"/>
    <w:rsid w:val="00E01A8D"/>
    <w:rsid w:val="00E01ACA"/>
    <w:rsid w:val="00E01AD8"/>
    <w:rsid w:val="00E01C2C"/>
    <w:rsid w:val="00E01C51"/>
    <w:rsid w:val="00E01D1C"/>
    <w:rsid w:val="00E01DAB"/>
    <w:rsid w:val="00E01E85"/>
    <w:rsid w:val="00E01FB7"/>
    <w:rsid w:val="00E020BA"/>
    <w:rsid w:val="00E020CF"/>
    <w:rsid w:val="00E020DE"/>
    <w:rsid w:val="00E022DF"/>
    <w:rsid w:val="00E022F3"/>
    <w:rsid w:val="00E0237E"/>
    <w:rsid w:val="00E0259D"/>
    <w:rsid w:val="00E02647"/>
    <w:rsid w:val="00E02824"/>
    <w:rsid w:val="00E02895"/>
    <w:rsid w:val="00E028E6"/>
    <w:rsid w:val="00E02952"/>
    <w:rsid w:val="00E029BC"/>
    <w:rsid w:val="00E02A07"/>
    <w:rsid w:val="00E02C42"/>
    <w:rsid w:val="00E02DB3"/>
    <w:rsid w:val="00E02DC3"/>
    <w:rsid w:val="00E02E33"/>
    <w:rsid w:val="00E02F42"/>
    <w:rsid w:val="00E032B2"/>
    <w:rsid w:val="00E03322"/>
    <w:rsid w:val="00E03350"/>
    <w:rsid w:val="00E03552"/>
    <w:rsid w:val="00E03668"/>
    <w:rsid w:val="00E036A4"/>
    <w:rsid w:val="00E0384C"/>
    <w:rsid w:val="00E038D9"/>
    <w:rsid w:val="00E03A80"/>
    <w:rsid w:val="00E03B64"/>
    <w:rsid w:val="00E03BD9"/>
    <w:rsid w:val="00E03BDF"/>
    <w:rsid w:val="00E03D4E"/>
    <w:rsid w:val="00E04232"/>
    <w:rsid w:val="00E0437B"/>
    <w:rsid w:val="00E043BC"/>
    <w:rsid w:val="00E04435"/>
    <w:rsid w:val="00E044EF"/>
    <w:rsid w:val="00E04521"/>
    <w:rsid w:val="00E04696"/>
    <w:rsid w:val="00E046AF"/>
    <w:rsid w:val="00E0474A"/>
    <w:rsid w:val="00E047ED"/>
    <w:rsid w:val="00E048E0"/>
    <w:rsid w:val="00E0497C"/>
    <w:rsid w:val="00E04A06"/>
    <w:rsid w:val="00E04A8A"/>
    <w:rsid w:val="00E04B94"/>
    <w:rsid w:val="00E04CB9"/>
    <w:rsid w:val="00E04D5F"/>
    <w:rsid w:val="00E04E50"/>
    <w:rsid w:val="00E04E6D"/>
    <w:rsid w:val="00E04EA8"/>
    <w:rsid w:val="00E04EBC"/>
    <w:rsid w:val="00E050D1"/>
    <w:rsid w:val="00E0515E"/>
    <w:rsid w:val="00E051A7"/>
    <w:rsid w:val="00E052C4"/>
    <w:rsid w:val="00E052CB"/>
    <w:rsid w:val="00E05378"/>
    <w:rsid w:val="00E053DD"/>
    <w:rsid w:val="00E0541C"/>
    <w:rsid w:val="00E05465"/>
    <w:rsid w:val="00E05587"/>
    <w:rsid w:val="00E0561B"/>
    <w:rsid w:val="00E05685"/>
    <w:rsid w:val="00E056DA"/>
    <w:rsid w:val="00E0581A"/>
    <w:rsid w:val="00E05876"/>
    <w:rsid w:val="00E05B7A"/>
    <w:rsid w:val="00E05CCD"/>
    <w:rsid w:val="00E05D15"/>
    <w:rsid w:val="00E05E0F"/>
    <w:rsid w:val="00E05F3C"/>
    <w:rsid w:val="00E05F3E"/>
    <w:rsid w:val="00E0605D"/>
    <w:rsid w:val="00E060F6"/>
    <w:rsid w:val="00E06421"/>
    <w:rsid w:val="00E06445"/>
    <w:rsid w:val="00E0666F"/>
    <w:rsid w:val="00E06695"/>
    <w:rsid w:val="00E0672A"/>
    <w:rsid w:val="00E0675D"/>
    <w:rsid w:val="00E0681F"/>
    <w:rsid w:val="00E0684E"/>
    <w:rsid w:val="00E06863"/>
    <w:rsid w:val="00E068BB"/>
    <w:rsid w:val="00E068EA"/>
    <w:rsid w:val="00E069A5"/>
    <w:rsid w:val="00E069C1"/>
    <w:rsid w:val="00E069D0"/>
    <w:rsid w:val="00E06A09"/>
    <w:rsid w:val="00E06A7B"/>
    <w:rsid w:val="00E06B17"/>
    <w:rsid w:val="00E06DE4"/>
    <w:rsid w:val="00E071D8"/>
    <w:rsid w:val="00E07220"/>
    <w:rsid w:val="00E0738B"/>
    <w:rsid w:val="00E073F1"/>
    <w:rsid w:val="00E07462"/>
    <w:rsid w:val="00E07499"/>
    <w:rsid w:val="00E0766E"/>
    <w:rsid w:val="00E07697"/>
    <w:rsid w:val="00E0784B"/>
    <w:rsid w:val="00E07A2F"/>
    <w:rsid w:val="00E07AEB"/>
    <w:rsid w:val="00E07F34"/>
    <w:rsid w:val="00E07F4F"/>
    <w:rsid w:val="00E101BB"/>
    <w:rsid w:val="00E1035E"/>
    <w:rsid w:val="00E10431"/>
    <w:rsid w:val="00E1044B"/>
    <w:rsid w:val="00E10560"/>
    <w:rsid w:val="00E105D3"/>
    <w:rsid w:val="00E10694"/>
    <w:rsid w:val="00E106F7"/>
    <w:rsid w:val="00E10827"/>
    <w:rsid w:val="00E10B01"/>
    <w:rsid w:val="00E10B36"/>
    <w:rsid w:val="00E10BA4"/>
    <w:rsid w:val="00E10C99"/>
    <w:rsid w:val="00E10CAB"/>
    <w:rsid w:val="00E10CDE"/>
    <w:rsid w:val="00E10CFF"/>
    <w:rsid w:val="00E10D43"/>
    <w:rsid w:val="00E10D5C"/>
    <w:rsid w:val="00E10D77"/>
    <w:rsid w:val="00E10DAA"/>
    <w:rsid w:val="00E10DD0"/>
    <w:rsid w:val="00E10EBA"/>
    <w:rsid w:val="00E10EEB"/>
    <w:rsid w:val="00E10F57"/>
    <w:rsid w:val="00E10F9A"/>
    <w:rsid w:val="00E10FAF"/>
    <w:rsid w:val="00E10FF9"/>
    <w:rsid w:val="00E110B1"/>
    <w:rsid w:val="00E11196"/>
    <w:rsid w:val="00E11267"/>
    <w:rsid w:val="00E1130D"/>
    <w:rsid w:val="00E11491"/>
    <w:rsid w:val="00E11592"/>
    <w:rsid w:val="00E11890"/>
    <w:rsid w:val="00E1192E"/>
    <w:rsid w:val="00E11954"/>
    <w:rsid w:val="00E119E8"/>
    <w:rsid w:val="00E11A77"/>
    <w:rsid w:val="00E11A7A"/>
    <w:rsid w:val="00E11C4A"/>
    <w:rsid w:val="00E11C5D"/>
    <w:rsid w:val="00E11CB6"/>
    <w:rsid w:val="00E11CE5"/>
    <w:rsid w:val="00E11D75"/>
    <w:rsid w:val="00E11E03"/>
    <w:rsid w:val="00E11E40"/>
    <w:rsid w:val="00E11F6C"/>
    <w:rsid w:val="00E1205C"/>
    <w:rsid w:val="00E120F4"/>
    <w:rsid w:val="00E12151"/>
    <w:rsid w:val="00E121FC"/>
    <w:rsid w:val="00E12229"/>
    <w:rsid w:val="00E1226E"/>
    <w:rsid w:val="00E12407"/>
    <w:rsid w:val="00E12494"/>
    <w:rsid w:val="00E1270D"/>
    <w:rsid w:val="00E127F5"/>
    <w:rsid w:val="00E12807"/>
    <w:rsid w:val="00E12827"/>
    <w:rsid w:val="00E1286A"/>
    <w:rsid w:val="00E12936"/>
    <w:rsid w:val="00E12A49"/>
    <w:rsid w:val="00E12C01"/>
    <w:rsid w:val="00E12D32"/>
    <w:rsid w:val="00E12F04"/>
    <w:rsid w:val="00E1300D"/>
    <w:rsid w:val="00E1300F"/>
    <w:rsid w:val="00E1302B"/>
    <w:rsid w:val="00E13109"/>
    <w:rsid w:val="00E1319D"/>
    <w:rsid w:val="00E13343"/>
    <w:rsid w:val="00E1336A"/>
    <w:rsid w:val="00E13397"/>
    <w:rsid w:val="00E133FC"/>
    <w:rsid w:val="00E13484"/>
    <w:rsid w:val="00E13577"/>
    <w:rsid w:val="00E135DF"/>
    <w:rsid w:val="00E135F3"/>
    <w:rsid w:val="00E13607"/>
    <w:rsid w:val="00E1364A"/>
    <w:rsid w:val="00E1373D"/>
    <w:rsid w:val="00E137AB"/>
    <w:rsid w:val="00E1382C"/>
    <w:rsid w:val="00E13845"/>
    <w:rsid w:val="00E139C0"/>
    <w:rsid w:val="00E13CA1"/>
    <w:rsid w:val="00E13D0C"/>
    <w:rsid w:val="00E13F73"/>
    <w:rsid w:val="00E13F74"/>
    <w:rsid w:val="00E14138"/>
    <w:rsid w:val="00E14245"/>
    <w:rsid w:val="00E14396"/>
    <w:rsid w:val="00E14433"/>
    <w:rsid w:val="00E1443F"/>
    <w:rsid w:val="00E14471"/>
    <w:rsid w:val="00E14472"/>
    <w:rsid w:val="00E14512"/>
    <w:rsid w:val="00E145DF"/>
    <w:rsid w:val="00E145FF"/>
    <w:rsid w:val="00E14614"/>
    <w:rsid w:val="00E1476D"/>
    <w:rsid w:val="00E14799"/>
    <w:rsid w:val="00E147A3"/>
    <w:rsid w:val="00E1493B"/>
    <w:rsid w:val="00E14940"/>
    <w:rsid w:val="00E14976"/>
    <w:rsid w:val="00E14BC7"/>
    <w:rsid w:val="00E14BCD"/>
    <w:rsid w:val="00E14C0D"/>
    <w:rsid w:val="00E14C5F"/>
    <w:rsid w:val="00E14D0A"/>
    <w:rsid w:val="00E14D78"/>
    <w:rsid w:val="00E14D88"/>
    <w:rsid w:val="00E14DB7"/>
    <w:rsid w:val="00E15024"/>
    <w:rsid w:val="00E1529A"/>
    <w:rsid w:val="00E15366"/>
    <w:rsid w:val="00E15575"/>
    <w:rsid w:val="00E15722"/>
    <w:rsid w:val="00E1576E"/>
    <w:rsid w:val="00E157B2"/>
    <w:rsid w:val="00E1585B"/>
    <w:rsid w:val="00E15994"/>
    <w:rsid w:val="00E15A1D"/>
    <w:rsid w:val="00E15AF1"/>
    <w:rsid w:val="00E15B04"/>
    <w:rsid w:val="00E15B61"/>
    <w:rsid w:val="00E15EDB"/>
    <w:rsid w:val="00E15F32"/>
    <w:rsid w:val="00E1601C"/>
    <w:rsid w:val="00E160F8"/>
    <w:rsid w:val="00E161F1"/>
    <w:rsid w:val="00E1626B"/>
    <w:rsid w:val="00E162F3"/>
    <w:rsid w:val="00E1654A"/>
    <w:rsid w:val="00E165A1"/>
    <w:rsid w:val="00E165C7"/>
    <w:rsid w:val="00E168F0"/>
    <w:rsid w:val="00E1690B"/>
    <w:rsid w:val="00E16A35"/>
    <w:rsid w:val="00E16A88"/>
    <w:rsid w:val="00E16BFE"/>
    <w:rsid w:val="00E16CBA"/>
    <w:rsid w:val="00E16CCB"/>
    <w:rsid w:val="00E16CD5"/>
    <w:rsid w:val="00E16DBB"/>
    <w:rsid w:val="00E16EE9"/>
    <w:rsid w:val="00E16FF5"/>
    <w:rsid w:val="00E1713D"/>
    <w:rsid w:val="00E1720D"/>
    <w:rsid w:val="00E1725C"/>
    <w:rsid w:val="00E172BC"/>
    <w:rsid w:val="00E17443"/>
    <w:rsid w:val="00E17473"/>
    <w:rsid w:val="00E17489"/>
    <w:rsid w:val="00E17511"/>
    <w:rsid w:val="00E17535"/>
    <w:rsid w:val="00E175B8"/>
    <w:rsid w:val="00E17732"/>
    <w:rsid w:val="00E17766"/>
    <w:rsid w:val="00E17915"/>
    <w:rsid w:val="00E17A22"/>
    <w:rsid w:val="00E17B59"/>
    <w:rsid w:val="00E17BE0"/>
    <w:rsid w:val="00E17D46"/>
    <w:rsid w:val="00E2003A"/>
    <w:rsid w:val="00E20132"/>
    <w:rsid w:val="00E20291"/>
    <w:rsid w:val="00E202BE"/>
    <w:rsid w:val="00E20550"/>
    <w:rsid w:val="00E20653"/>
    <w:rsid w:val="00E206FB"/>
    <w:rsid w:val="00E20744"/>
    <w:rsid w:val="00E20766"/>
    <w:rsid w:val="00E2079B"/>
    <w:rsid w:val="00E207AD"/>
    <w:rsid w:val="00E207BF"/>
    <w:rsid w:val="00E2085C"/>
    <w:rsid w:val="00E20A13"/>
    <w:rsid w:val="00E20A4E"/>
    <w:rsid w:val="00E20ACD"/>
    <w:rsid w:val="00E20BD9"/>
    <w:rsid w:val="00E20C40"/>
    <w:rsid w:val="00E20CC7"/>
    <w:rsid w:val="00E20D20"/>
    <w:rsid w:val="00E20DA0"/>
    <w:rsid w:val="00E20E45"/>
    <w:rsid w:val="00E20EA3"/>
    <w:rsid w:val="00E20EE7"/>
    <w:rsid w:val="00E20F33"/>
    <w:rsid w:val="00E21080"/>
    <w:rsid w:val="00E21126"/>
    <w:rsid w:val="00E2114A"/>
    <w:rsid w:val="00E21289"/>
    <w:rsid w:val="00E2140C"/>
    <w:rsid w:val="00E2141A"/>
    <w:rsid w:val="00E21449"/>
    <w:rsid w:val="00E21471"/>
    <w:rsid w:val="00E214EF"/>
    <w:rsid w:val="00E2152C"/>
    <w:rsid w:val="00E21557"/>
    <w:rsid w:val="00E2160C"/>
    <w:rsid w:val="00E21626"/>
    <w:rsid w:val="00E2165C"/>
    <w:rsid w:val="00E21734"/>
    <w:rsid w:val="00E217AE"/>
    <w:rsid w:val="00E2185C"/>
    <w:rsid w:val="00E219F4"/>
    <w:rsid w:val="00E21A0E"/>
    <w:rsid w:val="00E21D0E"/>
    <w:rsid w:val="00E21EB5"/>
    <w:rsid w:val="00E21F16"/>
    <w:rsid w:val="00E21F5C"/>
    <w:rsid w:val="00E21F7A"/>
    <w:rsid w:val="00E22050"/>
    <w:rsid w:val="00E220CA"/>
    <w:rsid w:val="00E2214B"/>
    <w:rsid w:val="00E2219F"/>
    <w:rsid w:val="00E2225A"/>
    <w:rsid w:val="00E222C5"/>
    <w:rsid w:val="00E223F8"/>
    <w:rsid w:val="00E22480"/>
    <w:rsid w:val="00E224ED"/>
    <w:rsid w:val="00E2259C"/>
    <w:rsid w:val="00E225BE"/>
    <w:rsid w:val="00E227DF"/>
    <w:rsid w:val="00E228F6"/>
    <w:rsid w:val="00E22CDF"/>
    <w:rsid w:val="00E22CF5"/>
    <w:rsid w:val="00E2303F"/>
    <w:rsid w:val="00E230DE"/>
    <w:rsid w:val="00E23171"/>
    <w:rsid w:val="00E23178"/>
    <w:rsid w:val="00E23232"/>
    <w:rsid w:val="00E233C0"/>
    <w:rsid w:val="00E234F5"/>
    <w:rsid w:val="00E23537"/>
    <w:rsid w:val="00E236B3"/>
    <w:rsid w:val="00E236D0"/>
    <w:rsid w:val="00E2389E"/>
    <w:rsid w:val="00E239C5"/>
    <w:rsid w:val="00E239CA"/>
    <w:rsid w:val="00E23A5E"/>
    <w:rsid w:val="00E23B85"/>
    <w:rsid w:val="00E23BA4"/>
    <w:rsid w:val="00E23BBA"/>
    <w:rsid w:val="00E23F13"/>
    <w:rsid w:val="00E23F4F"/>
    <w:rsid w:val="00E240A3"/>
    <w:rsid w:val="00E240A4"/>
    <w:rsid w:val="00E240C0"/>
    <w:rsid w:val="00E2411F"/>
    <w:rsid w:val="00E241B6"/>
    <w:rsid w:val="00E241F3"/>
    <w:rsid w:val="00E24300"/>
    <w:rsid w:val="00E2464D"/>
    <w:rsid w:val="00E24BEC"/>
    <w:rsid w:val="00E2507D"/>
    <w:rsid w:val="00E250CB"/>
    <w:rsid w:val="00E251A8"/>
    <w:rsid w:val="00E252DF"/>
    <w:rsid w:val="00E25384"/>
    <w:rsid w:val="00E2542E"/>
    <w:rsid w:val="00E2553D"/>
    <w:rsid w:val="00E2557F"/>
    <w:rsid w:val="00E255FC"/>
    <w:rsid w:val="00E25605"/>
    <w:rsid w:val="00E256B9"/>
    <w:rsid w:val="00E257A0"/>
    <w:rsid w:val="00E257CF"/>
    <w:rsid w:val="00E2584B"/>
    <w:rsid w:val="00E25876"/>
    <w:rsid w:val="00E2589A"/>
    <w:rsid w:val="00E25988"/>
    <w:rsid w:val="00E259AE"/>
    <w:rsid w:val="00E25A36"/>
    <w:rsid w:val="00E25B4F"/>
    <w:rsid w:val="00E25BAF"/>
    <w:rsid w:val="00E25D35"/>
    <w:rsid w:val="00E25DAF"/>
    <w:rsid w:val="00E25E11"/>
    <w:rsid w:val="00E26018"/>
    <w:rsid w:val="00E26047"/>
    <w:rsid w:val="00E260E9"/>
    <w:rsid w:val="00E260FD"/>
    <w:rsid w:val="00E2614C"/>
    <w:rsid w:val="00E26300"/>
    <w:rsid w:val="00E2630D"/>
    <w:rsid w:val="00E2638D"/>
    <w:rsid w:val="00E26477"/>
    <w:rsid w:val="00E26483"/>
    <w:rsid w:val="00E264B5"/>
    <w:rsid w:val="00E2657B"/>
    <w:rsid w:val="00E266E0"/>
    <w:rsid w:val="00E26748"/>
    <w:rsid w:val="00E26749"/>
    <w:rsid w:val="00E267AF"/>
    <w:rsid w:val="00E2685A"/>
    <w:rsid w:val="00E26902"/>
    <w:rsid w:val="00E26994"/>
    <w:rsid w:val="00E26A4D"/>
    <w:rsid w:val="00E26A73"/>
    <w:rsid w:val="00E26B86"/>
    <w:rsid w:val="00E26C14"/>
    <w:rsid w:val="00E26C50"/>
    <w:rsid w:val="00E26C79"/>
    <w:rsid w:val="00E26CD8"/>
    <w:rsid w:val="00E26D29"/>
    <w:rsid w:val="00E27077"/>
    <w:rsid w:val="00E2710D"/>
    <w:rsid w:val="00E2721D"/>
    <w:rsid w:val="00E27277"/>
    <w:rsid w:val="00E272BE"/>
    <w:rsid w:val="00E2736F"/>
    <w:rsid w:val="00E2745E"/>
    <w:rsid w:val="00E2746E"/>
    <w:rsid w:val="00E27576"/>
    <w:rsid w:val="00E27619"/>
    <w:rsid w:val="00E2777D"/>
    <w:rsid w:val="00E278EE"/>
    <w:rsid w:val="00E279F7"/>
    <w:rsid w:val="00E27F29"/>
    <w:rsid w:val="00E27FA3"/>
    <w:rsid w:val="00E30075"/>
    <w:rsid w:val="00E300EE"/>
    <w:rsid w:val="00E301AC"/>
    <w:rsid w:val="00E30217"/>
    <w:rsid w:val="00E30227"/>
    <w:rsid w:val="00E303AE"/>
    <w:rsid w:val="00E304CE"/>
    <w:rsid w:val="00E304E5"/>
    <w:rsid w:val="00E3058D"/>
    <w:rsid w:val="00E307D0"/>
    <w:rsid w:val="00E307F1"/>
    <w:rsid w:val="00E309DB"/>
    <w:rsid w:val="00E30A84"/>
    <w:rsid w:val="00E30A98"/>
    <w:rsid w:val="00E30BD0"/>
    <w:rsid w:val="00E30C36"/>
    <w:rsid w:val="00E30E40"/>
    <w:rsid w:val="00E30F6D"/>
    <w:rsid w:val="00E30FA2"/>
    <w:rsid w:val="00E31038"/>
    <w:rsid w:val="00E311DE"/>
    <w:rsid w:val="00E3122F"/>
    <w:rsid w:val="00E31246"/>
    <w:rsid w:val="00E31255"/>
    <w:rsid w:val="00E31298"/>
    <w:rsid w:val="00E3129A"/>
    <w:rsid w:val="00E312E7"/>
    <w:rsid w:val="00E3137E"/>
    <w:rsid w:val="00E31423"/>
    <w:rsid w:val="00E3148A"/>
    <w:rsid w:val="00E314AF"/>
    <w:rsid w:val="00E3164A"/>
    <w:rsid w:val="00E31719"/>
    <w:rsid w:val="00E317F5"/>
    <w:rsid w:val="00E31930"/>
    <w:rsid w:val="00E319E7"/>
    <w:rsid w:val="00E31ACE"/>
    <w:rsid w:val="00E31B00"/>
    <w:rsid w:val="00E31B1B"/>
    <w:rsid w:val="00E31B25"/>
    <w:rsid w:val="00E31B69"/>
    <w:rsid w:val="00E31B9F"/>
    <w:rsid w:val="00E31E41"/>
    <w:rsid w:val="00E3229C"/>
    <w:rsid w:val="00E32357"/>
    <w:rsid w:val="00E32481"/>
    <w:rsid w:val="00E325AE"/>
    <w:rsid w:val="00E32617"/>
    <w:rsid w:val="00E32783"/>
    <w:rsid w:val="00E327E2"/>
    <w:rsid w:val="00E327F8"/>
    <w:rsid w:val="00E328F1"/>
    <w:rsid w:val="00E32919"/>
    <w:rsid w:val="00E3296D"/>
    <w:rsid w:val="00E32A48"/>
    <w:rsid w:val="00E32A80"/>
    <w:rsid w:val="00E32ACA"/>
    <w:rsid w:val="00E32BE3"/>
    <w:rsid w:val="00E32C45"/>
    <w:rsid w:val="00E32C68"/>
    <w:rsid w:val="00E32C88"/>
    <w:rsid w:val="00E32C89"/>
    <w:rsid w:val="00E32DD9"/>
    <w:rsid w:val="00E32DDA"/>
    <w:rsid w:val="00E32DF7"/>
    <w:rsid w:val="00E32E2C"/>
    <w:rsid w:val="00E32F01"/>
    <w:rsid w:val="00E32F15"/>
    <w:rsid w:val="00E32F4D"/>
    <w:rsid w:val="00E3300E"/>
    <w:rsid w:val="00E3320F"/>
    <w:rsid w:val="00E332DD"/>
    <w:rsid w:val="00E33332"/>
    <w:rsid w:val="00E33428"/>
    <w:rsid w:val="00E33486"/>
    <w:rsid w:val="00E33588"/>
    <w:rsid w:val="00E33830"/>
    <w:rsid w:val="00E33834"/>
    <w:rsid w:val="00E338D6"/>
    <w:rsid w:val="00E339FF"/>
    <w:rsid w:val="00E33BE2"/>
    <w:rsid w:val="00E33C33"/>
    <w:rsid w:val="00E33D0F"/>
    <w:rsid w:val="00E33D10"/>
    <w:rsid w:val="00E33DC4"/>
    <w:rsid w:val="00E33DE0"/>
    <w:rsid w:val="00E33E3B"/>
    <w:rsid w:val="00E33E54"/>
    <w:rsid w:val="00E33E84"/>
    <w:rsid w:val="00E33F79"/>
    <w:rsid w:val="00E34212"/>
    <w:rsid w:val="00E34218"/>
    <w:rsid w:val="00E34220"/>
    <w:rsid w:val="00E342AC"/>
    <w:rsid w:val="00E342D9"/>
    <w:rsid w:val="00E343B8"/>
    <w:rsid w:val="00E344CE"/>
    <w:rsid w:val="00E344E4"/>
    <w:rsid w:val="00E34568"/>
    <w:rsid w:val="00E34591"/>
    <w:rsid w:val="00E34B60"/>
    <w:rsid w:val="00E34C6D"/>
    <w:rsid w:val="00E34D55"/>
    <w:rsid w:val="00E34EAE"/>
    <w:rsid w:val="00E34F28"/>
    <w:rsid w:val="00E34FA2"/>
    <w:rsid w:val="00E34FBC"/>
    <w:rsid w:val="00E350C5"/>
    <w:rsid w:val="00E355FF"/>
    <w:rsid w:val="00E356BA"/>
    <w:rsid w:val="00E357E3"/>
    <w:rsid w:val="00E3584C"/>
    <w:rsid w:val="00E35889"/>
    <w:rsid w:val="00E35A12"/>
    <w:rsid w:val="00E35B33"/>
    <w:rsid w:val="00E35C0A"/>
    <w:rsid w:val="00E35C19"/>
    <w:rsid w:val="00E35C1C"/>
    <w:rsid w:val="00E35CBE"/>
    <w:rsid w:val="00E35D76"/>
    <w:rsid w:val="00E35D84"/>
    <w:rsid w:val="00E35EBE"/>
    <w:rsid w:val="00E35F49"/>
    <w:rsid w:val="00E3607A"/>
    <w:rsid w:val="00E360E3"/>
    <w:rsid w:val="00E36140"/>
    <w:rsid w:val="00E362F9"/>
    <w:rsid w:val="00E363B5"/>
    <w:rsid w:val="00E36581"/>
    <w:rsid w:val="00E36886"/>
    <w:rsid w:val="00E368B3"/>
    <w:rsid w:val="00E369F2"/>
    <w:rsid w:val="00E36AEE"/>
    <w:rsid w:val="00E36E89"/>
    <w:rsid w:val="00E36EFA"/>
    <w:rsid w:val="00E371E2"/>
    <w:rsid w:val="00E3721D"/>
    <w:rsid w:val="00E373D3"/>
    <w:rsid w:val="00E374BD"/>
    <w:rsid w:val="00E374E2"/>
    <w:rsid w:val="00E375C2"/>
    <w:rsid w:val="00E37613"/>
    <w:rsid w:val="00E37732"/>
    <w:rsid w:val="00E37757"/>
    <w:rsid w:val="00E37791"/>
    <w:rsid w:val="00E377A6"/>
    <w:rsid w:val="00E37817"/>
    <w:rsid w:val="00E3786C"/>
    <w:rsid w:val="00E378EA"/>
    <w:rsid w:val="00E37951"/>
    <w:rsid w:val="00E37A7A"/>
    <w:rsid w:val="00E37CC0"/>
    <w:rsid w:val="00E37D34"/>
    <w:rsid w:val="00E37D82"/>
    <w:rsid w:val="00E401E3"/>
    <w:rsid w:val="00E40269"/>
    <w:rsid w:val="00E402B1"/>
    <w:rsid w:val="00E40358"/>
    <w:rsid w:val="00E404D8"/>
    <w:rsid w:val="00E40575"/>
    <w:rsid w:val="00E4065F"/>
    <w:rsid w:val="00E406C1"/>
    <w:rsid w:val="00E406F2"/>
    <w:rsid w:val="00E4073F"/>
    <w:rsid w:val="00E4075F"/>
    <w:rsid w:val="00E408F4"/>
    <w:rsid w:val="00E409AC"/>
    <w:rsid w:val="00E40AE9"/>
    <w:rsid w:val="00E40BFC"/>
    <w:rsid w:val="00E40F58"/>
    <w:rsid w:val="00E40F9C"/>
    <w:rsid w:val="00E41022"/>
    <w:rsid w:val="00E4106D"/>
    <w:rsid w:val="00E411AE"/>
    <w:rsid w:val="00E41318"/>
    <w:rsid w:val="00E41373"/>
    <w:rsid w:val="00E41575"/>
    <w:rsid w:val="00E41713"/>
    <w:rsid w:val="00E418B8"/>
    <w:rsid w:val="00E41900"/>
    <w:rsid w:val="00E419C0"/>
    <w:rsid w:val="00E41CDA"/>
    <w:rsid w:val="00E41E23"/>
    <w:rsid w:val="00E41FDE"/>
    <w:rsid w:val="00E42134"/>
    <w:rsid w:val="00E42150"/>
    <w:rsid w:val="00E42175"/>
    <w:rsid w:val="00E42235"/>
    <w:rsid w:val="00E42305"/>
    <w:rsid w:val="00E4263F"/>
    <w:rsid w:val="00E42677"/>
    <w:rsid w:val="00E426F0"/>
    <w:rsid w:val="00E42726"/>
    <w:rsid w:val="00E42843"/>
    <w:rsid w:val="00E4296F"/>
    <w:rsid w:val="00E4299F"/>
    <w:rsid w:val="00E429EE"/>
    <w:rsid w:val="00E429F1"/>
    <w:rsid w:val="00E42A24"/>
    <w:rsid w:val="00E42A2E"/>
    <w:rsid w:val="00E42B4C"/>
    <w:rsid w:val="00E42C0E"/>
    <w:rsid w:val="00E42CC7"/>
    <w:rsid w:val="00E42D84"/>
    <w:rsid w:val="00E42DC5"/>
    <w:rsid w:val="00E42E5C"/>
    <w:rsid w:val="00E42F0E"/>
    <w:rsid w:val="00E42F65"/>
    <w:rsid w:val="00E43078"/>
    <w:rsid w:val="00E4309A"/>
    <w:rsid w:val="00E431A5"/>
    <w:rsid w:val="00E431D6"/>
    <w:rsid w:val="00E43244"/>
    <w:rsid w:val="00E432C8"/>
    <w:rsid w:val="00E432D7"/>
    <w:rsid w:val="00E43330"/>
    <w:rsid w:val="00E433FD"/>
    <w:rsid w:val="00E4343F"/>
    <w:rsid w:val="00E43501"/>
    <w:rsid w:val="00E435B7"/>
    <w:rsid w:val="00E43655"/>
    <w:rsid w:val="00E4367B"/>
    <w:rsid w:val="00E4369A"/>
    <w:rsid w:val="00E43757"/>
    <w:rsid w:val="00E438ED"/>
    <w:rsid w:val="00E43A19"/>
    <w:rsid w:val="00E43BDC"/>
    <w:rsid w:val="00E43D05"/>
    <w:rsid w:val="00E43DC1"/>
    <w:rsid w:val="00E43EBD"/>
    <w:rsid w:val="00E43FCA"/>
    <w:rsid w:val="00E43FD7"/>
    <w:rsid w:val="00E44071"/>
    <w:rsid w:val="00E4425F"/>
    <w:rsid w:val="00E44317"/>
    <w:rsid w:val="00E443F3"/>
    <w:rsid w:val="00E445AB"/>
    <w:rsid w:val="00E446F5"/>
    <w:rsid w:val="00E4484A"/>
    <w:rsid w:val="00E4484D"/>
    <w:rsid w:val="00E448AB"/>
    <w:rsid w:val="00E448D1"/>
    <w:rsid w:val="00E44969"/>
    <w:rsid w:val="00E44974"/>
    <w:rsid w:val="00E44A0E"/>
    <w:rsid w:val="00E44B63"/>
    <w:rsid w:val="00E44B9D"/>
    <w:rsid w:val="00E44C5F"/>
    <w:rsid w:val="00E44D07"/>
    <w:rsid w:val="00E44E72"/>
    <w:rsid w:val="00E44F7B"/>
    <w:rsid w:val="00E4503D"/>
    <w:rsid w:val="00E450C3"/>
    <w:rsid w:val="00E451BC"/>
    <w:rsid w:val="00E4529C"/>
    <w:rsid w:val="00E452E2"/>
    <w:rsid w:val="00E4548D"/>
    <w:rsid w:val="00E454C1"/>
    <w:rsid w:val="00E45580"/>
    <w:rsid w:val="00E4561E"/>
    <w:rsid w:val="00E4564E"/>
    <w:rsid w:val="00E45856"/>
    <w:rsid w:val="00E45B38"/>
    <w:rsid w:val="00E45B4F"/>
    <w:rsid w:val="00E45BE7"/>
    <w:rsid w:val="00E45CB0"/>
    <w:rsid w:val="00E45DB5"/>
    <w:rsid w:val="00E45DBA"/>
    <w:rsid w:val="00E45E66"/>
    <w:rsid w:val="00E45E7D"/>
    <w:rsid w:val="00E45E9E"/>
    <w:rsid w:val="00E45F0D"/>
    <w:rsid w:val="00E45F53"/>
    <w:rsid w:val="00E4603C"/>
    <w:rsid w:val="00E4606B"/>
    <w:rsid w:val="00E46072"/>
    <w:rsid w:val="00E460DB"/>
    <w:rsid w:val="00E460DD"/>
    <w:rsid w:val="00E46191"/>
    <w:rsid w:val="00E461E6"/>
    <w:rsid w:val="00E4621C"/>
    <w:rsid w:val="00E462E7"/>
    <w:rsid w:val="00E46300"/>
    <w:rsid w:val="00E465B2"/>
    <w:rsid w:val="00E465C6"/>
    <w:rsid w:val="00E465F4"/>
    <w:rsid w:val="00E46671"/>
    <w:rsid w:val="00E466CA"/>
    <w:rsid w:val="00E4674F"/>
    <w:rsid w:val="00E46843"/>
    <w:rsid w:val="00E46880"/>
    <w:rsid w:val="00E469A5"/>
    <w:rsid w:val="00E46AE2"/>
    <w:rsid w:val="00E46B1A"/>
    <w:rsid w:val="00E46C56"/>
    <w:rsid w:val="00E46D45"/>
    <w:rsid w:val="00E46D9F"/>
    <w:rsid w:val="00E46DAA"/>
    <w:rsid w:val="00E46DD9"/>
    <w:rsid w:val="00E46E77"/>
    <w:rsid w:val="00E46EA4"/>
    <w:rsid w:val="00E46ECC"/>
    <w:rsid w:val="00E46F01"/>
    <w:rsid w:val="00E46F0C"/>
    <w:rsid w:val="00E46F60"/>
    <w:rsid w:val="00E4704D"/>
    <w:rsid w:val="00E471C0"/>
    <w:rsid w:val="00E47245"/>
    <w:rsid w:val="00E473DE"/>
    <w:rsid w:val="00E47458"/>
    <w:rsid w:val="00E4758F"/>
    <w:rsid w:val="00E4763A"/>
    <w:rsid w:val="00E477F9"/>
    <w:rsid w:val="00E479E8"/>
    <w:rsid w:val="00E47A15"/>
    <w:rsid w:val="00E47A6E"/>
    <w:rsid w:val="00E47B5D"/>
    <w:rsid w:val="00E47C34"/>
    <w:rsid w:val="00E47C38"/>
    <w:rsid w:val="00E47C5B"/>
    <w:rsid w:val="00E47C62"/>
    <w:rsid w:val="00E47CFB"/>
    <w:rsid w:val="00E47E60"/>
    <w:rsid w:val="00E47F33"/>
    <w:rsid w:val="00E47F42"/>
    <w:rsid w:val="00E47FE5"/>
    <w:rsid w:val="00E5010B"/>
    <w:rsid w:val="00E50190"/>
    <w:rsid w:val="00E5025A"/>
    <w:rsid w:val="00E502A3"/>
    <w:rsid w:val="00E50324"/>
    <w:rsid w:val="00E5038E"/>
    <w:rsid w:val="00E50421"/>
    <w:rsid w:val="00E50471"/>
    <w:rsid w:val="00E50495"/>
    <w:rsid w:val="00E5078E"/>
    <w:rsid w:val="00E507C0"/>
    <w:rsid w:val="00E5092C"/>
    <w:rsid w:val="00E50977"/>
    <w:rsid w:val="00E50A55"/>
    <w:rsid w:val="00E50CC8"/>
    <w:rsid w:val="00E50D12"/>
    <w:rsid w:val="00E50E71"/>
    <w:rsid w:val="00E510DB"/>
    <w:rsid w:val="00E51284"/>
    <w:rsid w:val="00E512E2"/>
    <w:rsid w:val="00E51532"/>
    <w:rsid w:val="00E51769"/>
    <w:rsid w:val="00E5177A"/>
    <w:rsid w:val="00E51945"/>
    <w:rsid w:val="00E51A1E"/>
    <w:rsid w:val="00E51B23"/>
    <w:rsid w:val="00E51B59"/>
    <w:rsid w:val="00E51BF5"/>
    <w:rsid w:val="00E51C1E"/>
    <w:rsid w:val="00E51C24"/>
    <w:rsid w:val="00E51C26"/>
    <w:rsid w:val="00E51C37"/>
    <w:rsid w:val="00E51CAD"/>
    <w:rsid w:val="00E51CB8"/>
    <w:rsid w:val="00E51D27"/>
    <w:rsid w:val="00E51D4D"/>
    <w:rsid w:val="00E51DF4"/>
    <w:rsid w:val="00E51F62"/>
    <w:rsid w:val="00E52024"/>
    <w:rsid w:val="00E52110"/>
    <w:rsid w:val="00E52244"/>
    <w:rsid w:val="00E522DA"/>
    <w:rsid w:val="00E524AE"/>
    <w:rsid w:val="00E525F4"/>
    <w:rsid w:val="00E5262C"/>
    <w:rsid w:val="00E52631"/>
    <w:rsid w:val="00E527BD"/>
    <w:rsid w:val="00E52845"/>
    <w:rsid w:val="00E5286B"/>
    <w:rsid w:val="00E52876"/>
    <w:rsid w:val="00E5289B"/>
    <w:rsid w:val="00E528C4"/>
    <w:rsid w:val="00E5296A"/>
    <w:rsid w:val="00E529DB"/>
    <w:rsid w:val="00E52A40"/>
    <w:rsid w:val="00E52AB0"/>
    <w:rsid w:val="00E52AD1"/>
    <w:rsid w:val="00E52F9A"/>
    <w:rsid w:val="00E52FCB"/>
    <w:rsid w:val="00E5301E"/>
    <w:rsid w:val="00E530D5"/>
    <w:rsid w:val="00E53348"/>
    <w:rsid w:val="00E5346B"/>
    <w:rsid w:val="00E534C1"/>
    <w:rsid w:val="00E53590"/>
    <w:rsid w:val="00E535CF"/>
    <w:rsid w:val="00E53720"/>
    <w:rsid w:val="00E53876"/>
    <w:rsid w:val="00E538EA"/>
    <w:rsid w:val="00E53A4F"/>
    <w:rsid w:val="00E53A70"/>
    <w:rsid w:val="00E53ABD"/>
    <w:rsid w:val="00E53B84"/>
    <w:rsid w:val="00E53C69"/>
    <w:rsid w:val="00E53D4C"/>
    <w:rsid w:val="00E53D54"/>
    <w:rsid w:val="00E53DEA"/>
    <w:rsid w:val="00E53FB2"/>
    <w:rsid w:val="00E54092"/>
    <w:rsid w:val="00E541FA"/>
    <w:rsid w:val="00E5438E"/>
    <w:rsid w:val="00E544C9"/>
    <w:rsid w:val="00E545A8"/>
    <w:rsid w:val="00E54625"/>
    <w:rsid w:val="00E5470B"/>
    <w:rsid w:val="00E547B6"/>
    <w:rsid w:val="00E5487E"/>
    <w:rsid w:val="00E549CE"/>
    <w:rsid w:val="00E549E9"/>
    <w:rsid w:val="00E549FD"/>
    <w:rsid w:val="00E54B05"/>
    <w:rsid w:val="00E54BA2"/>
    <w:rsid w:val="00E54DD1"/>
    <w:rsid w:val="00E54E09"/>
    <w:rsid w:val="00E54E4D"/>
    <w:rsid w:val="00E54F02"/>
    <w:rsid w:val="00E54FCD"/>
    <w:rsid w:val="00E55026"/>
    <w:rsid w:val="00E55093"/>
    <w:rsid w:val="00E5513D"/>
    <w:rsid w:val="00E5516E"/>
    <w:rsid w:val="00E551FC"/>
    <w:rsid w:val="00E55276"/>
    <w:rsid w:val="00E552E0"/>
    <w:rsid w:val="00E553BD"/>
    <w:rsid w:val="00E555B4"/>
    <w:rsid w:val="00E55692"/>
    <w:rsid w:val="00E556CA"/>
    <w:rsid w:val="00E5577B"/>
    <w:rsid w:val="00E5579A"/>
    <w:rsid w:val="00E557BC"/>
    <w:rsid w:val="00E558D0"/>
    <w:rsid w:val="00E558D7"/>
    <w:rsid w:val="00E5596B"/>
    <w:rsid w:val="00E55A6B"/>
    <w:rsid w:val="00E55A8E"/>
    <w:rsid w:val="00E55AC9"/>
    <w:rsid w:val="00E55B47"/>
    <w:rsid w:val="00E55CD0"/>
    <w:rsid w:val="00E55E49"/>
    <w:rsid w:val="00E55E7D"/>
    <w:rsid w:val="00E55F8E"/>
    <w:rsid w:val="00E56103"/>
    <w:rsid w:val="00E5614E"/>
    <w:rsid w:val="00E56153"/>
    <w:rsid w:val="00E561B4"/>
    <w:rsid w:val="00E5621E"/>
    <w:rsid w:val="00E5626A"/>
    <w:rsid w:val="00E56289"/>
    <w:rsid w:val="00E562F3"/>
    <w:rsid w:val="00E56345"/>
    <w:rsid w:val="00E563B8"/>
    <w:rsid w:val="00E563CE"/>
    <w:rsid w:val="00E563DE"/>
    <w:rsid w:val="00E564B2"/>
    <w:rsid w:val="00E565E1"/>
    <w:rsid w:val="00E56775"/>
    <w:rsid w:val="00E567EB"/>
    <w:rsid w:val="00E567FB"/>
    <w:rsid w:val="00E56C78"/>
    <w:rsid w:val="00E56E17"/>
    <w:rsid w:val="00E56EA0"/>
    <w:rsid w:val="00E56EA5"/>
    <w:rsid w:val="00E56EC8"/>
    <w:rsid w:val="00E56EEE"/>
    <w:rsid w:val="00E57191"/>
    <w:rsid w:val="00E572CE"/>
    <w:rsid w:val="00E57474"/>
    <w:rsid w:val="00E574B6"/>
    <w:rsid w:val="00E575C3"/>
    <w:rsid w:val="00E57723"/>
    <w:rsid w:val="00E577BE"/>
    <w:rsid w:val="00E57879"/>
    <w:rsid w:val="00E57977"/>
    <w:rsid w:val="00E579ED"/>
    <w:rsid w:val="00E57A15"/>
    <w:rsid w:val="00E57B8A"/>
    <w:rsid w:val="00E57C71"/>
    <w:rsid w:val="00E57C83"/>
    <w:rsid w:val="00E57C85"/>
    <w:rsid w:val="00E57C8F"/>
    <w:rsid w:val="00E57CEA"/>
    <w:rsid w:val="00E57DEA"/>
    <w:rsid w:val="00E57E97"/>
    <w:rsid w:val="00E60033"/>
    <w:rsid w:val="00E6003A"/>
    <w:rsid w:val="00E600F2"/>
    <w:rsid w:val="00E6019A"/>
    <w:rsid w:val="00E60220"/>
    <w:rsid w:val="00E603A8"/>
    <w:rsid w:val="00E603EB"/>
    <w:rsid w:val="00E604C6"/>
    <w:rsid w:val="00E6066A"/>
    <w:rsid w:val="00E60782"/>
    <w:rsid w:val="00E60853"/>
    <w:rsid w:val="00E60879"/>
    <w:rsid w:val="00E60A1E"/>
    <w:rsid w:val="00E60AED"/>
    <w:rsid w:val="00E60AFC"/>
    <w:rsid w:val="00E60B20"/>
    <w:rsid w:val="00E60C36"/>
    <w:rsid w:val="00E60C65"/>
    <w:rsid w:val="00E60D26"/>
    <w:rsid w:val="00E60D64"/>
    <w:rsid w:val="00E60D66"/>
    <w:rsid w:val="00E60E36"/>
    <w:rsid w:val="00E60F6C"/>
    <w:rsid w:val="00E61057"/>
    <w:rsid w:val="00E61095"/>
    <w:rsid w:val="00E61254"/>
    <w:rsid w:val="00E612B1"/>
    <w:rsid w:val="00E6131E"/>
    <w:rsid w:val="00E61508"/>
    <w:rsid w:val="00E6158C"/>
    <w:rsid w:val="00E617BA"/>
    <w:rsid w:val="00E618D0"/>
    <w:rsid w:val="00E61923"/>
    <w:rsid w:val="00E61976"/>
    <w:rsid w:val="00E619D4"/>
    <w:rsid w:val="00E61A56"/>
    <w:rsid w:val="00E61CBE"/>
    <w:rsid w:val="00E61D4B"/>
    <w:rsid w:val="00E61E3F"/>
    <w:rsid w:val="00E61E7B"/>
    <w:rsid w:val="00E61F4E"/>
    <w:rsid w:val="00E620C4"/>
    <w:rsid w:val="00E62169"/>
    <w:rsid w:val="00E6225B"/>
    <w:rsid w:val="00E62261"/>
    <w:rsid w:val="00E6229B"/>
    <w:rsid w:val="00E62385"/>
    <w:rsid w:val="00E623B4"/>
    <w:rsid w:val="00E624A4"/>
    <w:rsid w:val="00E6254E"/>
    <w:rsid w:val="00E62596"/>
    <w:rsid w:val="00E626BB"/>
    <w:rsid w:val="00E62802"/>
    <w:rsid w:val="00E62940"/>
    <w:rsid w:val="00E6295B"/>
    <w:rsid w:val="00E62AB4"/>
    <w:rsid w:val="00E62AE0"/>
    <w:rsid w:val="00E62C39"/>
    <w:rsid w:val="00E62CAE"/>
    <w:rsid w:val="00E630C5"/>
    <w:rsid w:val="00E6321F"/>
    <w:rsid w:val="00E63247"/>
    <w:rsid w:val="00E63278"/>
    <w:rsid w:val="00E633F9"/>
    <w:rsid w:val="00E6346D"/>
    <w:rsid w:val="00E634A6"/>
    <w:rsid w:val="00E63569"/>
    <w:rsid w:val="00E63706"/>
    <w:rsid w:val="00E63815"/>
    <w:rsid w:val="00E63920"/>
    <w:rsid w:val="00E639CA"/>
    <w:rsid w:val="00E63A3C"/>
    <w:rsid w:val="00E63BDC"/>
    <w:rsid w:val="00E63C7D"/>
    <w:rsid w:val="00E63CDA"/>
    <w:rsid w:val="00E63D4E"/>
    <w:rsid w:val="00E63D55"/>
    <w:rsid w:val="00E63D73"/>
    <w:rsid w:val="00E63E87"/>
    <w:rsid w:val="00E63EBA"/>
    <w:rsid w:val="00E63EED"/>
    <w:rsid w:val="00E63F47"/>
    <w:rsid w:val="00E63FC1"/>
    <w:rsid w:val="00E640A4"/>
    <w:rsid w:val="00E64130"/>
    <w:rsid w:val="00E6428D"/>
    <w:rsid w:val="00E6431F"/>
    <w:rsid w:val="00E64365"/>
    <w:rsid w:val="00E64464"/>
    <w:rsid w:val="00E644D7"/>
    <w:rsid w:val="00E64510"/>
    <w:rsid w:val="00E64731"/>
    <w:rsid w:val="00E64822"/>
    <w:rsid w:val="00E649A1"/>
    <w:rsid w:val="00E649B9"/>
    <w:rsid w:val="00E64B37"/>
    <w:rsid w:val="00E64BBA"/>
    <w:rsid w:val="00E64D0F"/>
    <w:rsid w:val="00E64DB0"/>
    <w:rsid w:val="00E650EA"/>
    <w:rsid w:val="00E6516D"/>
    <w:rsid w:val="00E651EB"/>
    <w:rsid w:val="00E6527B"/>
    <w:rsid w:val="00E65300"/>
    <w:rsid w:val="00E6530C"/>
    <w:rsid w:val="00E65570"/>
    <w:rsid w:val="00E65648"/>
    <w:rsid w:val="00E6570E"/>
    <w:rsid w:val="00E65745"/>
    <w:rsid w:val="00E657BC"/>
    <w:rsid w:val="00E65831"/>
    <w:rsid w:val="00E65A53"/>
    <w:rsid w:val="00E65AB7"/>
    <w:rsid w:val="00E65ACF"/>
    <w:rsid w:val="00E65C5D"/>
    <w:rsid w:val="00E65CC3"/>
    <w:rsid w:val="00E65F5C"/>
    <w:rsid w:val="00E65F74"/>
    <w:rsid w:val="00E66031"/>
    <w:rsid w:val="00E6618E"/>
    <w:rsid w:val="00E66193"/>
    <w:rsid w:val="00E661C5"/>
    <w:rsid w:val="00E6626D"/>
    <w:rsid w:val="00E66286"/>
    <w:rsid w:val="00E662B7"/>
    <w:rsid w:val="00E662F8"/>
    <w:rsid w:val="00E6630F"/>
    <w:rsid w:val="00E66364"/>
    <w:rsid w:val="00E66475"/>
    <w:rsid w:val="00E66638"/>
    <w:rsid w:val="00E666DD"/>
    <w:rsid w:val="00E66757"/>
    <w:rsid w:val="00E667DB"/>
    <w:rsid w:val="00E669D0"/>
    <w:rsid w:val="00E66A02"/>
    <w:rsid w:val="00E66B2A"/>
    <w:rsid w:val="00E66C54"/>
    <w:rsid w:val="00E66D50"/>
    <w:rsid w:val="00E66DE0"/>
    <w:rsid w:val="00E66EBE"/>
    <w:rsid w:val="00E66F04"/>
    <w:rsid w:val="00E66F53"/>
    <w:rsid w:val="00E670AC"/>
    <w:rsid w:val="00E67215"/>
    <w:rsid w:val="00E67220"/>
    <w:rsid w:val="00E6723A"/>
    <w:rsid w:val="00E6726D"/>
    <w:rsid w:val="00E67313"/>
    <w:rsid w:val="00E67332"/>
    <w:rsid w:val="00E67370"/>
    <w:rsid w:val="00E67389"/>
    <w:rsid w:val="00E6741E"/>
    <w:rsid w:val="00E6751F"/>
    <w:rsid w:val="00E67531"/>
    <w:rsid w:val="00E67592"/>
    <w:rsid w:val="00E675E8"/>
    <w:rsid w:val="00E677F1"/>
    <w:rsid w:val="00E67978"/>
    <w:rsid w:val="00E67A2E"/>
    <w:rsid w:val="00E67AC3"/>
    <w:rsid w:val="00E67AEF"/>
    <w:rsid w:val="00E67B65"/>
    <w:rsid w:val="00E67C99"/>
    <w:rsid w:val="00E67DAB"/>
    <w:rsid w:val="00E67EC0"/>
    <w:rsid w:val="00E67FE3"/>
    <w:rsid w:val="00E70000"/>
    <w:rsid w:val="00E700AF"/>
    <w:rsid w:val="00E700DA"/>
    <w:rsid w:val="00E701A8"/>
    <w:rsid w:val="00E7033B"/>
    <w:rsid w:val="00E703E1"/>
    <w:rsid w:val="00E703E5"/>
    <w:rsid w:val="00E70404"/>
    <w:rsid w:val="00E70432"/>
    <w:rsid w:val="00E7044B"/>
    <w:rsid w:val="00E705F9"/>
    <w:rsid w:val="00E70693"/>
    <w:rsid w:val="00E706FE"/>
    <w:rsid w:val="00E70739"/>
    <w:rsid w:val="00E707CE"/>
    <w:rsid w:val="00E70837"/>
    <w:rsid w:val="00E70840"/>
    <w:rsid w:val="00E70A82"/>
    <w:rsid w:val="00E70AFC"/>
    <w:rsid w:val="00E70B2D"/>
    <w:rsid w:val="00E70B58"/>
    <w:rsid w:val="00E70C64"/>
    <w:rsid w:val="00E70DF1"/>
    <w:rsid w:val="00E70EAC"/>
    <w:rsid w:val="00E70F3B"/>
    <w:rsid w:val="00E70FC0"/>
    <w:rsid w:val="00E70FCE"/>
    <w:rsid w:val="00E710B1"/>
    <w:rsid w:val="00E7112C"/>
    <w:rsid w:val="00E711AE"/>
    <w:rsid w:val="00E71248"/>
    <w:rsid w:val="00E713CC"/>
    <w:rsid w:val="00E71401"/>
    <w:rsid w:val="00E7168A"/>
    <w:rsid w:val="00E716D7"/>
    <w:rsid w:val="00E718CB"/>
    <w:rsid w:val="00E71915"/>
    <w:rsid w:val="00E71B03"/>
    <w:rsid w:val="00E71BD1"/>
    <w:rsid w:val="00E71CFC"/>
    <w:rsid w:val="00E71D73"/>
    <w:rsid w:val="00E71F76"/>
    <w:rsid w:val="00E71FCF"/>
    <w:rsid w:val="00E7203B"/>
    <w:rsid w:val="00E720F4"/>
    <w:rsid w:val="00E722D0"/>
    <w:rsid w:val="00E722E6"/>
    <w:rsid w:val="00E725E2"/>
    <w:rsid w:val="00E72660"/>
    <w:rsid w:val="00E72683"/>
    <w:rsid w:val="00E728C6"/>
    <w:rsid w:val="00E729E7"/>
    <w:rsid w:val="00E72A43"/>
    <w:rsid w:val="00E72A4C"/>
    <w:rsid w:val="00E72A7F"/>
    <w:rsid w:val="00E72AAE"/>
    <w:rsid w:val="00E72B45"/>
    <w:rsid w:val="00E72B62"/>
    <w:rsid w:val="00E72B85"/>
    <w:rsid w:val="00E72CCB"/>
    <w:rsid w:val="00E72D9F"/>
    <w:rsid w:val="00E7303D"/>
    <w:rsid w:val="00E730AF"/>
    <w:rsid w:val="00E730EE"/>
    <w:rsid w:val="00E73193"/>
    <w:rsid w:val="00E731B3"/>
    <w:rsid w:val="00E731D7"/>
    <w:rsid w:val="00E73213"/>
    <w:rsid w:val="00E7323A"/>
    <w:rsid w:val="00E7323B"/>
    <w:rsid w:val="00E73251"/>
    <w:rsid w:val="00E73313"/>
    <w:rsid w:val="00E73819"/>
    <w:rsid w:val="00E7389E"/>
    <w:rsid w:val="00E73A27"/>
    <w:rsid w:val="00E73A3F"/>
    <w:rsid w:val="00E73AB6"/>
    <w:rsid w:val="00E73C1D"/>
    <w:rsid w:val="00E73D96"/>
    <w:rsid w:val="00E73E31"/>
    <w:rsid w:val="00E73EB2"/>
    <w:rsid w:val="00E73F57"/>
    <w:rsid w:val="00E7409F"/>
    <w:rsid w:val="00E7456A"/>
    <w:rsid w:val="00E745CB"/>
    <w:rsid w:val="00E747C0"/>
    <w:rsid w:val="00E74A35"/>
    <w:rsid w:val="00E74B31"/>
    <w:rsid w:val="00E74CEA"/>
    <w:rsid w:val="00E74E7F"/>
    <w:rsid w:val="00E7506F"/>
    <w:rsid w:val="00E7509F"/>
    <w:rsid w:val="00E751D1"/>
    <w:rsid w:val="00E751F2"/>
    <w:rsid w:val="00E75228"/>
    <w:rsid w:val="00E753A7"/>
    <w:rsid w:val="00E753C7"/>
    <w:rsid w:val="00E754E3"/>
    <w:rsid w:val="00E75843"/>
    <w:rsid w:val="00E75981"/>
    <w:rsid w:val="00E75A58"/>
    <w:rsid w:val="00E75ACE"/>
    <w:rsid w:val="00E75AF4"/>
    <w:rsid w:val="00E75B48"/>
    <w:rsid w:val="00E75BE5"/>
    <w:rsid w:val="00E75C2B"/>
    <w:rsid w:val="00E75C59"/>
    <w:rsid w:val="00E75C68"/>
    <w:rsid w:val="00E75E02"/>
    <w:rsid w:val="00E76271"/>
    <w:rsid w:val="00E762C5"/>
    <w:rsid w:val="00E763C3"/>
    <w:rsid w:val="00E76523"/>
    <w:rsid w:val="00E76538"/>
    <w:rsid w:val="00E76568"/>
    <w:rsid w:val="00E7676D"/>
    <w:rsid w:val="00E767AC"/>
    <w:rsid w:val="00E768E3"/>
    <w:rsid w:val="00E7691C"/>
    <w:rsid w:val="00E76A34"/>
    <w:rsid w:val="00E76B99"/>
    <w:rsid w:val="00E76BD7"/>
    <w:rsid w:val="00E76C04"/>
    <w:rsid w:val="00E76D40"/>
    <w:rsid w:val="00E76E39"/>
    <w:rsid w:val="00E76E80"/>
    <w:rsid w:val="00E76F73"/>
    <w:rsid w:val="00E76FBD"/>
    <w:rsid w:val="00E770B8"/>
    <w:rsid w:val="00E7717D"/>
    <w:rsid w:val="00E771E5"/>
    <w:rsid w:val="00E774FE"/>
    <w:rsid w:val="00E77665"/>
    <w:rsid w:val="00E77724"/>
    <w:rsid w:val="00E7797B"/>
    <w:rsid w:val="00E779B5"/>
    <w:rsid w:val="00E77A15"/>
    <w:rsid w:val="00E77D1E"/>
    <w:rsid w:val="00E77D84"/>
    <w:rsid w:val="00E77E6A"/>
    <w:rsid w:val="00E77EFB"/>
    <w:rsid w:val="00E80018"/>
    <w:rsid w:val="00E8007B"/>
    <w:rsid w:val="00E8010A"/>
    <w:rsid w:val="00E801D5"/>
    <w:rsid w:val="00E801E0"/>
    <w:rsid w:val="00E801FD"/>
    <w:rsid w:val="00E804FE"/>
    <w:rsid w:val="00E805AD"/>
    <w:rsid w:val="00E805D8"/>
    <w:rsid w:val="00E805F9"/>
    <w:rsid w:val="00E80658"/>
    <w:rsid w:val="00E80660"/>
    <w:rsid w:val="00E8074D"/>
    <w:rsid w:val="00E80776"/>
    <w:rsid w:val="00E808B5"/>
    <w:rsid w:val="00E8094B"/>
    <w:rsid w:val="00E80B92"/>
    <w:rsid w:val="00E80C26"/>
    <w:rsid w:val="00E80C5D"/>
    <w:rsid w:val="00E80E1A"/>
    <w:rsid w:val="00E80EBE"/>
    <w:rsid w:val="00E8104F"/>
    <w:rsid w:val="00E81078"/>
    <w:rsid w:val="00E81106"/>
    <w:rsid w:val="00E81136"/>
    <w:rsid w:val="00E814A6"/>
    <w:rsid w:val="00E81588"/>
    <w:rsid w:val="00E81638"/>
    <w:rsid w:val="00E81684"/>
    <w:rsid w:val="00E816EE"/>
    <w:rsid w:val="00E81762"/>
    <w:rsid w:val="00E81883"/>
    <w:rsid w:val="00E818EE"/>
    <w:rsid w:val="00E8197F"/>
    <w:rsid w:val="00E8198D"/>
    <w:rsid w:val="00E819CC"/>
    <w:rsid w:val="00E81A01"/>
    <w:rsid w:val="00E81A13"/>
    <w:rsid w:val="00E81A49"/>
    <w:rsid w:val="00E81C2C"/>
    <w:rsid w:val="00E81DEA"/>
    <w:rsid w:val="00E82141"/>
    <w:rsid w:val="00E8222D"/>
    <w:rsid w:val="00E822A5"/>
    <w:rsid w:val="00E8248A"/>
    <w:rsid w:val="00E825FB"/>
    <w:rsid w:val="00E82638"/>
    <w:rsid w:val="00E826B4"/>
    <w:rsid w:val="00E82758"/>
    <w:rsid w:val="00E8276A"/>
    <w:rsid w:val="00E827D0"/>
    <w:rsid w:val="00E82809"/>
    <w:rsid w:val="00E8283E"/>
    <w:rsid w:val="00E82952"/>
    <w:rsid w:val="00E829E0"/>
    <w:rsid w:val="00E82AAA"/>
    <w:rsid w:val="00E82D03"/>
    <w:rsid w:val="00E82DFD"/>
    <w:rsid w:val="00E82E0B"/>
    <w:rsid w:val="00E82E5D"/>
    <w:rsid w:val="00E82E69"/>
    <w:rsid w:val="00E82E8A"/>
    <w:rsid w:val="00E83114"/>
    <w:rsid w:val="00E83187"/>
    <w:rsid w:val="00E83189"/>
    <w:rsid w:val="00E831CC"/>
    <w:rsid w:val="00E831DB"/>
    <w:rsid w:val="00E8320B"/>
    <w:rsid w:val="00E83289"/>
    <w:rsid w:val="00E8337B"/>
    <w:rsid w:val="00E833BE"/>
    <w:rsid w:val="00E83560"/>
    <w:rsid w:val="00E83705"/>
    <w:rsid w:val="00E8374A"/>
    <w:rsid w:val="00E8396B"/>
    <w:rsid w:val="00E83B49"/>
    <w:rsid w:val="00E83C6B"/>
    <w:rsid w:val="00E83E47"/>
    <w:rsid w:val="00E83E9A"/>
    <w:rsid w:val="00E83EB6"/>
    <w:rsid w:val="00E83FE5"/>
    <w:rsid w:val="00E84138"/>
    <w:rsid w:val="00E84160"/>
    <w:rsid w:val="00E842E0"/>
    <w:rsid w:val="00E8430D"/>
    <w:rsid w:val="00E843A0"/>
    <w:rsid w:val="00E843CF"/>
    <w:rsid w:val="00E844AE"/>
    <w:rsid w:val="00E84652"/>
    <w:rsid w:val="00E846E1"/>
    <w:rsid w:val="00E848F7"/>
    <w:rsid w:val="00E84966"/>
    <w:rsid w:val="00E849D7"/>
    <w:rsid w:val="00E84C6E"/>
    <w:rsid w:val="00E84C88"/>
    <w:rsid w:val="00E84CC2"/>
    <w:rsid w:val="00E84D92"/>
    <w:rsid w:val="00E84D97"/>
    <w:rsid w:val="00E84E14"/>
    <w:rsid w:val="00E84E1D"/>
    <w:rsid w:val="00E8504A"/>
    <w:rsid w:val="00E85286"/>
    <w:rsid w:val="00E85293"/>
    <w:rsid w:val="00E852D7"/>
    <w:rsid w:val="00E853B8"/>
    <w:rsid w:val="00E85411"/>
    <w:rsid w:val="00E85501"/>
    <w:rsid w:val="00E8551E"/>
    <w:rsid w:val="00E85592"/>
    <w:rsid w:val="00E855A0"/>
    <w:rsid w:val="00E8565C"/>
    <w:rsid w:val="00E856FF"/>
    <w:rsid w:val="00E857DE"/>
    <w:rsid w:val="00E85A0B"/>
    <w:rsid w:val="00E85A2C"/>
    <w:rsid w:val="00E85AAE"/>
    <w:rsid w:val="00E85B28"/>
    <w:rsid w:val="00E85C5F"/>
    <w:rsid w:val="00E85D19"/>
    <w:rsid w:val="00E85D3C"/>
    <w:rsid w:val="00E85F8C"/>
    <w:rsid w:val="00E86093"/>
    <w:rsid w:val="00E862E9"/>
    <w:rsid w:val="00E863BE"/>
    <w:rsid w:val="00E863DE"/>
    <w:rsid w:val="00E863F9"/>
    <w:rsid w:val="00E8672E"/>
    <w:rsid w:val="00E8690E"/>
    <w:rsid w:val="00E869FB"/>
    <w:rsid w:val="00E86A27"/>
    <w:rsid w:val="00E86A71"/>
    <w:rsid w:val="00E86B17"/>
    <w:rsid w:val="00E86B6C"/>
    <w:rsid w:val="00E86B7F"/>
    <w:rsid w:val="00E86D75"/>
    <w:rsid w:val="00E86DD9"/>
    <w:rsid w:val="00E8719F"/>
    <w:rsid w:val="00E871BF"/>
    <w:rsid w:val="00E8726D"/>
    <w:rsid w:val="00E872C6"/>
    <w:rsid w:val="00E87398"/>
    <w:rsid w:val="00E87438"/>
    <w:rsid w:val="00E87457"/>
    <w:rsid w:val="00E87611"/>
    <w:rsid w:val="00E876E7"/>
    <w:rsid w:val="00E877FD"/>
    <w:rsid w:val="00E87900"/>
    <w:rsid w:val="00E87999"/>
    <w:rsid w:val="00E87A6E"/>
    <w:rsid w:val="00E87A80"/>
    <w:rsid w:val="00E87C65"/>
    <w:rsid w:val="00E87CCD"/>
    <w:rsid w:val="00E87CDE"/>
    <w:rsid w:val="00E87FAB"/>
    <w:rsid w:val="00E87FDF"/>
    <w:rsid w:val="00E90080"/>
    <w:rsid w:val="00E901F3"/>
    <w:rsid w:val="00E903A4"/>
    <w:rsid w:val="00E90407"/>
    <w:rsid w:val="00E904E8"/>
    <w:rsid w:val="00E905E1"/>
    <w:rsid w:val="00E90623"/>
    <w:rsid w:val="00E908C0"/>
    <w:rsid w:val="00E90977"/>
    <w:rsid w:val="00E90994"/>
    <w:rsid w:val="00E90A30"/>
    <w:rsid w:val="00E90CF7"/>
    <w:rsid w:val="00E90E3E"/>
    <w:rsid w:val="00E90E4D"/>
    <w:rsid w:val="00E90E50"/>
    <w:rsid w:val="00E90EA3"/>
    <w:rsid w:val="00E9159E"/>
    <w:rsid w:val="00E915C4"/>
    <w:rsid w:val="00E9196E"/>
    <w:rsid w:val="00E91A6A"/>
    <w:rsid w:val="00E91A94"/>
    <w:rsid w:val="00E91C3D"/>
    <w:rsid w:val="00E91F59"/>
    <w:rsid w:val="00E92063"/>
    <w:rsid w:val="00E92200"/>
    <w:rsid w:val="00E92238"/>
    <w:rsid w:val="00E92262"/>
    <w:rsid w:val="00E9227F"/>
    <w:rsid w:val="00E92286"/>
    <w:rsid w:val="00E923DD"/>
    <w:rsid w:val="00E9246D"/>
    <w:rsid w:val="00E926A2"/>
    <w:rsid w:val="00E926A7"/>
    <w:rsid w:val="00E926C3"/>
    <w:rsid w:val="00E92813"/>
    <w:rsid w:val="00E928BE"/>
    <w:rsid w:val="00E92973"/>
    <w:rsid w:val="00E92B2D"/>
    <w:rsid w:val="00E92DA6"/>
    <w:rsid w:val="00E92E97"/>
    <w:rsid w:val="00E92F7A"/>
    <w:rsid w:val="00E92FCB"/>
    <w:rsid w:val="00E93095"/>
    <w:rsid w:val="00E930B9"/>
    <w:rsid w:val="00E9310B"/>
    <w:rsid w:val="00E93125"/>
    <w:rsid w:val="00E93248"/>
    <w:rsid w:val="00E93387"/>
    <w:rsid w:val="00E93416"/>
    <w:rsid w:val="00E9342D"/>
    <w:rsid w:val="00E93460"/>
    <w:rsid w:val="00E9352D"/>
    <w:rsid w:val="00E93545"/>
    <w:rsid w:val="00E93612"/>
    <w:rsid w:val="00E936C7"/>
    <w:rsid w:val="00E93726"/>
    <w:rsid w:val="00E93959"/>
    <w:rsid w:val="00E93ADE"/>
    <w:rsid w:val="00E93B2A"/>
    <w:rsid w:val="00E93BE8"/>
    <w:rsid w:val="00E93CD8"/>
    <w:rsid w:val="00E93D02"/>
    <w:rsid w:val="00E93D0E"/>
    <w:rsid w:val="00E93DE7"/>
    <w:rsid w:val="00E93E5F"/>
    <w:rsid w:val="00E93E68"/>
    <w:rsid w:val="00E93F08"/>
    <w:rsid w:val="00E93FA2"/>
    <w:rsid w:val="00E94025"/>
    <w:rsid w:val="00E9410C"/>
    <w:rsid w:val="00E9419C"/>
    <w:rsid w:val="00E94422"/>
    <w:rsid w:val="00E945D5"/>
    <w:rsid w:val="00E946BC"/>
    <w:rsid w:val="00E946C2"/>
    <w:rsid w:val="00E94755"/>
    <w:rsid w:val="00E94791"/>
    <w:rsid w:val="00E94793"/>
    <w:rsid w:val="00E94842"/>
    <w:rsid w:val="00E94849"/>
    <w:rsid w:val="00E94A17"/>
    <w:rsid w:val="00E94BCD"/>
    <w:rsid w:val="00E94DDF"/>
    <w:rsid w:val="00E94EFC"/>
    <w:rsid w:val="00E94F41"/>
    <w:rsid w:val="00E95034"/>
    <w:rsid w:val="00E95243"/>
    <w:rsid w:val="00E95254"/>
    <w:rsid w:val="00E95255"/>
    <w:rsid w:val="00E95287"/>
    <w:rsid w:val="00E952B5"/>
    <w:rsid w:val="00E95369"/>
    <w:rsid w:val="00E9539D"/>
    <w:rsid w:val="00E953F6"/>
    <w:rsid w:val="00E95438"/>
    <w:rsid w:val="00E9549C"/>
    <w:rsid w:val="00E954AB"/>
    <w:rsid w:val="00E9561C"/>
    <w:rsid w:val="00E95635"/>
    <w:rsid w:val="00E95682"/>
    <w:rsid w:val="00E956AE"/>
    <w:rsid w:val="00E9579E"/>
    <w:rsid w:val="00E95872"/>
    <w:rsid w:val="00E958B0"/>
    <w:rsid w:val="00E95912"/>
    <w:rsid w:val="00E95920"/>
    <w:rsid w:val="00E95960"/>
    <w:rsid w:val="00E959A1"/>
    <w:rsid w:val="00E959CD"/>
    <w:rsid w:val="00E95A30"/>
    <w:rsid w:val="00E95AAA"/>
    <w:rsid w:val="00E95B3A"/>
    <w:rsid w:val="00E95B49"/>
    <w:rsid w:val="00E95B66"/>
    <w:rsid w:val="00E95BD4"/>
    <w:rsid w:val="00E95C3A"/>
    <w:rsid w:val="00E95C5C"/>
    <w:rsid w:val="00E95CA6"/>
    <w:rsid w:val="00E95DB7"/>
    <w:rsid w:val="00E95F03"/>
    <w:rsid w:val="00E95F30"/>
    <w:rsid w:val="00E96167"/>
    <w:rsid w:val="00E961B0"/>
    <w:rsid w:val="00E962B0"/>
    <w:rsid w:val="00E96361"/>
    <w:rsid w:val="00E96395"/>
    <w:rsid w:val="00E964C7"/>
    <w:rsid w:val="00E965C2"/>
    <w:rsid w:val="00E965CD"/>
    <w:rsid w:val="00E9684A"/>
    <w:rsid w:val="00E96A91"/>
    <w:rsid w:val="00E96B4C"/>
    <w:rsid w:val="00E96B7D"/>
    <w:rsid w:val="00E96BB6"/>
    <w:rsid w:val="00E96E63"/>
    <w:rsid w:val="00E96EF1"/>
    <w:rsid w:val="00E96F24"/>
    <w:rsid w:val="00E96FC9"/>
    <w:rsid w:val="00E97060"/>
    <w:rsid w:val="00E9712C"/>
    <w:rsid w:val="00E97281"/>
    <w:rsid w:val="00E97282"/>
    <w:rsid w:val="00E974AB"/>
    <w:rsid w:val="00E97685"/>
    <w:rsid w:val="00E97695"/>
    <w:rsid w:val="00E976BD"/>
    <w:rsid w:val="00E976C7"/>
    <w:rsid w:val="00E977D9"/>
    <w:rsid w:val="00E97887"/>
    <w:rsid w:val="00E979C8"/>
    <w:rsid w:val="00E97DED"/>
    <w:rsid w:val="00E97E5E"/>
    <w:rsid w:val="00E97EA6"/>
    <w:rsid w:val="00E97EAF"/>
    <w:rsid w:val="00E97EEB"/>
    <w:rsid w:val="00EA01A5"/>
    <w:rsid w:val="00EA0219"/>
    <w:rsid w:val="00EA0313"/>
    <w:rsid w:val="00EA04C3"/>
    <w:rsid w:val="00EA04DD"/>
    <w:rsid w:val="00EA0624"/>
    <w:rsid w:val="00EA0695"/>
    <w:rsid w:val="00EA083A"/>
    <w:rsid w:val="00EA0981"/>
    <w:rsid w:val="00EA0A4B"/>
    <w:rsid w:val="00EA0AB7"/>
    <w:rsid w:val="00EA0AC4"/>
    <w:rsid w:val="00EA0AD1"/>
    <w:rsid w:val="00EA0CD2"/>
    <w:rsid w:val="00EA0CEE"/>
    <w:rsid w:val="00EA0D01"/>
    <w:rsid w:val="00EA0EF1"/>
    <w:rsid w:val="00EA0F9A"/>
    <w:rsid w:val="00EA100A"/>
    <w:rsid w:val="00EA1178"/>
    <w:rsid w:val="00EA1289"/>
    <w:rsid w:val="00EA133D"/>
    <w:rsid w:val="00EA13A7"/>
    <w:rsid w:val="00EA143F"/>
    <w:rsid w:val="00EA1524"/>
    <w:rsid w:val="00EA16B4"/>
    <w:rsid w:val="00EA1B3C"/>
    <w:rsid w:val="00EA1B84"/>
    <w:rsid w:val="00EA1B8D"/>
    <w:rsid w:val="00EA1C55"/>
    <w:rsid w:val="00EA1C62"/>
    <w:rsid w:val="00EA1EAC"/>
    <w:rsid w:val="00EA1EE1"/>
    <w:rsid w:val="00EA1F14"/>
    <w:rsid w:val="00EA202D"/>
    <w:rsid w:val="00EA20BC"/>
    <w:rsid w:val="00EA22DB"/>
    <w:rsid w:val="00EA235C"/>
    <w:rsid w:val="00EA249A"/>
    <w:rsid w:val="00EA2597"/>
    <w:rsid w:val="00EA2632"/>
    <w:rsid w:val="00EA2808"/>
    <w:rsid w:val="00EA2826"/>
    <w:rsid w:val="00EA282A"/>
    <w:rsid w:val="00EA2865"/>
    <w:rsid w:val="00EA2884"/>
    <w:rsid w:val="00EA288E"/>
    <w:rsid w:val="00EA28B7"/>
    <w:rsid w:val="00EA28FB"/>
    <w:rsid w:val="00EA293C"/>
    <w:rsid w:val="00EA2A6C"/>
    <w:rsid w:val="00EA2B8C"/>
    <w:rsid w:val="00EA2D35"/>
    <w:rsid w:val="00EA2DF3"/>
    <w:rsid w:val="00EA2E3F"/>
    <w:rsid w:val="00EA2ED1"/>
    <w:rsid w:val="00EA2EE2"/>
    <w:rsid w:val="00EA2FCE"/>
    <w:rsid w:val="00EA3006"/>
    <w:rsid w:val="00EA308C"/>
    <w:rsid w:val="00EA31F7"/>
    <w:rsid w:val="00EA3217"/>
    <w:rsid w:val="00EA32D1"/>
    <w:rsid w:val="00EA3569"/>
    <w:rsid w:val="00EA3690"/>
    <w:rsid w:val="00EA378A"/>
    <w:rsid w:val="00EA37C9"/>
    <w:rsid w:val="00EA37CB"/>
    <w:rsid w:val="00EA388F"/>
    <w:rsid w:val="00EA38AA"/>
    <w:rsid w:val="00EA39DD"/>
    <w:rsid w:val="00EA3A0C"/>
    <w:rsid w:val="00EA3DE0"/>
    <w:rsid w:val="00EA3F9D"/>
    <w:rsid w:val="00EA40D8"/>
    <w:rsid w:val="00EA4115"/>
    <w:rsid w:val="00EA41D8"/>
    <w:rsid w:val="00EA427B"/>
    <w:rsid w:val="00EA430D"/>
    <w:rsid w:val="00EA4343"/>
    <w:rsid w:val="00EA43E8"/>
    <w:rsid w:val="00EA445C"/>
    <w:rsid w:val="00EA44FD"/>
    <w:rsid w:val="00EA45AB"/>
    <w:rsid w:val="00EA45B0"/>
    <w:rsid w:val="00EA46DD"/>
    <w:rsid w:val="00EA472C"/>
    <w:rsid w:val="00EA47AF"/>
    <w:rsid w:val="00EA482F"/>
    <w:rsid w:val="00EA485D"/>
    <w:rsid w:val="00EA49D7"/>
    <w:rsid w:val="00EA4A71"/>
    <w:rsid w:val="00EA4AAD"/>
    <w:rsid w:val="00EA4B29"/>
    <w:rsid w:val="00EA4B58"/>
    <w:rsid w:val="00EA4B84"/>
    <w:rsid w:val="00EA4C00"/>
    <w:rsid w:val="00EA4C04"/>
    <w:rsid w:val="00EA4CFE"/>
    <w:rsid w:val="00EA4D46"/>
    <w:rsid w:val="00EA4D47"/>
    <w:rsid w:val="00EA4D57"/>
    <w:rsid w:val="00EA4DC2"/>
    <w:rsid w:val="00EA4E77"/>
    <w:rsid w:val="00EA4EA2"/>
    <w:rsid w:val="00EA4F4F"/>
    <w:rsid w:val="00EA4FAE"/>
    <w:rsid w:val="00EA503F"/>
    <w:rsid w:val="00EA508A"/>
    <w:rsid w:val="00EA5208"/>
    <w:rsid w:val="00EA52FF"/>
    <w:rsid w:val="00EA535C"/>
    <w:rsid w:val="00EA546E"/>
    <w:rsid w:val="00EA55B2"/>
    <w:rsid w:val="00EA55D7"/>
    <w:rsid w:val="00EA5601"/>
    <w:rsid w:val="00EA5639"/>
    <w:rsid w:val="00EA56E2"/>
    <w:rsid w:val="00EA57B1"/>
    <w:rsid w:val="00EA57DC"/>
    <w:rsid w:val="00EA5860"/>
    <w:rsid w:val="00EA58E5"/>
    <w:rsid w:val="00EA5957"/>
    <w:rsid w:val="00EA59EE"/>
    <w:rsid w:val="00EA5C51"/>
    <w:rsid w:val="00EA5C85"/>
    <w:rsid w:val="00EA5D88"/>
    <w:rsid w:val="00EA5D8E"/>
    <w:rsid w:val="00EA6025"/>
    <w:rsid w:val="00EA6054"/>
    <w:rsid w:val="00EA60B0"/>
    <w:rsid w:val="00EA6165"/>
    <w:rsid w:val="00EA61E9"/>
    <w:rsid w:val="00EA64A5"/>
    <w:rsid w:val="00EA6501"/>
    <w:rsid w:val="00EA659B"/>
    <w:rsid w:val="00EA669A"/>
    <w:rsid w:val="00EA68CE"/>
    <w:rsid w:val="00EA69E7"/>
    <w:rsid w:val="00EA6BDA"/>
    <w:rsid w:val="00EA6C80"/>
    <w:rsid w:val="00EA6CEE"/>
    <w:rsid w:val="00EA6E27"/>
    <w:rsid w:val="00EA6E80"/>
    <w:rsid w:val="00EA6FA1"/>
    <w:rsid w:val="00EA708F"/>
    <w:rsid w:val="00EA70C9"/>
    <w:rsid w:val="00EA71A4"/>
    <w:rsid w:val="00EA77AE"/>
    <w:rsid w:val="00EA7941"/>
    <w:rsid w:val="00EA79E1"/>
    <w:rsid w:val="00EA7AB3"/>
    <w:rsid w:val="00EA7AD9"/>
    <w:rsid w:val="00EA7C60"/>
    <w:rsid w:val="00EA7C6C"/>
    <w:rsid w:val="00EA7C98"/>
    <w:rsid w:val="00EA7E47"/>
    <w:rsid w:val="00EA7F28"/>
    <w:rsid w:val="00EB0116"/>
    <w:rsid w:val="00EB0161"/>
    <w:rsid w:val="00EB03A7"/>
    <w:rsid w:val="00EB05B5"/>
    <w:rsid w:val="00EB06F9"/>
    <w:rsid w:val="00EB0A36"/>
    <w:rsid w:val="00EB0B20"/>
    <w:rsid w:val="00EB0E19"/>
    <w:rsid w:val="00EB108A"/>
    <w:rsid w:val="00EB10A1"/>
    <w:rsid w:val="00EB110B"/>
    <w:rsid w:val="00EB11B2"/>
    <w:rsid w:val="00EB12CB"/>
    <w:rsid w:val="00EB13EC"/>
    <w:rsid w:val="00EB13F6"/>
    <w:rsid w:val="00EB1992"/>
    <w:rsid w:val="00EB1A10"/>
    <w:rsid w:val="00EB1ADE"/>
    <w:rsid w:val="00EB1BB4"/>
    <w:rsid w:val="00EB1BF5"/>
    <w:rsid w:val="00EB1C46"/>
    <w:rsid w:val="00EB1F00"/>
    <w:rsid w:val="00EB1F81"/>
    <w:rsid w:val="00EB2118"/>
    <w:rsid w:val="00EB212E"/>
    <w:rsid w:val="00EB21E2"/>
    <w:rsid w:val="00EB22B9"/>
    <w:rsid w:val="00EB2396"/>
    <w:rsid w:val="00EB23B7"/>
    <w:rsid w:val="00EB249A"/>
    <w:rsid w:val="00EB266A"/>
    <w:rsid w:val="00EB273E"/>
    <w:rsid w:val="00EB275E"/>
    <w:rsid w:val="00EB287B"/>
    <w:rsid w:val="00EB2A1B"/>
    <w:rsid w:val="00EB2A22"/>
    <w:rsid w:val="00EB2A23"/>
    <w:rsid w:val="00EB2A5D"/>
    <w:rsid w:val="00EB2AA9"/>
    <w:rsid w:val="00EB2B7E"/>
    <w:rsid w:val="00EB2CD0"/>
    <w:rsid w:val="00EB2DC9"/>
    <w:rsid w:val="00EB2DD4"/>
    <w:rsid w:val="00EB2F6C"/>
    <w:rsid w:val="00EB2FDD"/>
    <w:rsid w:val="00EB319E"/>
    <w:rsid w:val="00EB3232"/>
    <w:rsid w:val="00EB3415"/>
    <w:rsid w:val="00EB343E"/>
    <w:rsid w:val="00EB356A"/>
    <w:rsid w:val="00EB3708"/>
    <w:rsid w:val="00EB37C3"/>
    <w:rsid w:val="00EB38BD"/>
    <w:rsid w:val="00EB38CE"/>
    <w:rsid w:val="00EB39EB"/>
    <w:rsid w:val="00EB3B40"/>
    <w:rsid w:val="00EB3BA4"/>
    <w:rsid w:val="00EB3C53"/>
    <w:rsid w:val="00EB3CD7"/>
    <w:rsid w:val="00EB3EF4"/>
    <w:rsid w:val="00EB3EFE"/>
    <w:rsid w:val="00EB4295"/>
    <w:rsid w:val="00EB43B8"/>
    <w:rsid w:val="00EB443A"/>
    <w:rsid w:val="00EB44A2"/>
    <w:rsid w:val="00EB45E9"/>
    <w:rsid w:val="00EB4682"/>
    <w:rsid w:val="00EB46A6"/>
    <w:rsid w:val="00EB4701"/>
    <w:rsid w:val="00EB477A"/>
    <w:rsid w:val="00EB4787"/>
    <w:rsid w:val="00EB479B"/>
    <w:rsid w:val="00EB484B"/>
    <w:rsid w:val="00EB48A1"/>
    <w:rsid w:val="00EB49AA"/>
    <w:rsid w:val="00EB4A5E"/>
    <w:rsid w:val="00EB4A65"/>
    <w:rsid w:val="00EB4D18"/>
    <w:rsid w:val="00EB517A"/>
    <w:rsid w:val="00EB51E3"/>
    <w:rsid w:val="00EB53E9"/>
    <w:rsid w:val="00EB5475"/>
    <w:rsid w:val="00EB54F5"/>
    <w:rsid w:val="00EB5640"/>
    <w:rsid w:val="00EB5693"/>
    <w:rsid w:val="00EB5816"/>
    <w:rsid w:val="00EB59AC"/>
    <w:rsid w:val="00EB59D6"/>
    <w:rsid w:val="00EB5A46"/>
    <w:rsid w:val="00EB5A53"/>
    <w:rsid w:val="00EB5C3E"/>
    <w:rsid w:val="00EB5C8B"/>
    <w:rsid w:val="00EB5CB0"/>
    <w:rsid w:val="00EB5D86"/>
    <w:rsid w:val="00EB5DC6"/>
    <w:rsid w:val="00EB5DDC"/>
    <w:rsid w:val="00EB5E97"/>
    <w:rsid w:val="00EB601F"/>
    <w:rsid w:val="00EB6022"/>
    <w:rsid w:val="00EB606F"/>
    <w:rsid w:val="00EB63F4"/>
    <w:rsid w:val="00EB648A"/>
    <w:rsid w:val="00EB6549"/>
    <w:rsid w:val="00EB65D1"/>
    <w:rsid w:val="00EB664F"/>
    <w:rsid w:val="00EB6769"/>
    <w:rsid w:val="00EB67AD"/>
    <w:rsid w:val="00EB67F3"/>
    <w:rsid w:val="00EB68F4"/>
    <w:rsid w:val="00EB6912"/>
    <w:rsid w:val="00EB6922"/>
    <w:rsid w:val="00EB6929"/>
    <w:rsid w:val="00EB6A3B"/>
    <w:rsid w:val="00EB6B46"/>
    <w:rsid w:val="00EB6B7C"/>
    <w:rsid w:val="00EB6E3E"/>
    <w:rsid w:val="00EB6ED3"/>
    <w:rsid w:val="00EB6F13"/>
    <w:rsid w:val="00EB6F9C"/>
    <w:rsid w:val="00EB6FCD"/>
    <w:rsid w:val="00EB7076"/>
    <w:rsid w:val="00EB745D"/>
    <w:rsid w:val="00EB7557"/>
    <w:rsid w:val="00EB7607"/>
    <w:rsid w:val="00EB7609"/>
    <w:rsid w:val="00EB7677"/>
    <w:rsid w:val="00EB7741"/>
    <w:rsid w:val="00EB7AA3"/>
    <w:rsid w:val="00EB7D12"/>
    <w:rsid w:val="00EB7F5F"/>
    <w:rsid w:val="00EC0043"/>
    <w:rsid w:val="00EC013E"/>
    <w:rsid w:val="00EC01F4"/>
    <w:rsid w:val="00EC0217"/>
    <w:rsid w:val="00EC022F"/>
    <w:rsid w:val="00EC024E"/>
    <w:rsid w:val="00EC02EA"/>
    <w:rsid w:val="00EC0302"/>
    <w:rsid w:val="00EC03D9"/>
    <w:rsid w:val="00EC0480"/>
    <w:rsid w:val="00EC05AB"/>
    <w:rsid w:val="00EC063E"/>
    <w:rsid w:val="00EC07F2"/>
    <w:rsid w:val="00EC086B"/>
    <w:rsid w:val="00EC08A7"/>
    <w:rsid w:val="00EC0C8C"/>
    <w:rsid w:val="00EC0D1E"/>
    <w:rsid w:val="00EC0D47"/>
    <w:rsid w:val="00EC0D62"/>
    <w:rsid w:val="00EC0EAA"/>
    <w:rsid w:val="00EC0F9E"/>
    <w:rsid w:val="00EC10FD"/>
    <w:rsid w:val="00EC12F7"/>
    <w:rsid w:val="00EC1333"/>
    <w:rsid w:val="00EC1662"/>
    <w:rsid w:val="00EC166F"/>
    <w:rsid w:val="00EC168C"/>
    <w:rsid w:val="00EC171A"/>
    <w:rsid w:val="00EC18FE"/>
    <w:rsid w:val="00EC1995"/>
    <w:rsid w:val="00EC1A34"/>
    <w:rsid w:val="00EC1B83"/>
    <w:rsid w:val="00EC1B97"/>
    <w:rsid w:val="00EC1D7E"/>
    <w:rsid w:val="00EC1F65"/>
    <w:rsid w:val="00EC1FC1"/>
    <w:rsid w:val="00EC1FFE"/>
    <w:rsid w:val="00EC201E"/>
    <w:rsid w:val="00EC209F"/>
    <w:rsid w:val="00EC2215"/>
    <w:rsid w:val="00EC2256"/>
    <w:rsid w:val="00EC228A"/>
    <w:rsid w:val="00EC2293"/>
    <w:rsid w:val="00EC276F"/>
    <w:rsid w:val="00EC289A"/>
    <w:rsid w:val="00EC29E6"/>
    <w:rsid w:val="00EC2AC0"/>
    <w:rsid w:val="00EC2AC6"/>
    <w:rsid w:val="00EC2C42"/>
    <w:rsid w:val="00EC2D1F"/>
    <w:rsid w:val="00EC2E69"/>
    <w:rsid w:val="00EC2F23"/>
    <w:rsid w:val="00EC317D"/>
    <w:rsid w:val="00EC31A2"/>
    <w:rsid w:val="00EC322A"/>
    <w:rsid w:val="00EC3262"/>
    <w:rsid w:val="00EC331A"/>
    <w:rsid w:val="00EC33C0"/>
    <w:rsid w:val="00EC3590"/>
    <w:rsid w:val="00EC379F"/>
    <w:rsid w:val="00EC3805"/>
    <w:rsid w:val="00EC39C5"/>
    <w:rsid w:val="00EC39D3"/>
    <w:rsid w:val="00EC3A13"/>
    <w:rsid w:val="00EC3AA0"/>
    <w:rsid w:val="00EC3B09"/>
    <w:rsid w:val="00EC3C5B"/>
    <w:rsid w:val="00EC3E65"/>
    <w:rsid w:val="00EC41B8"/>
    <w:rsid w:val="00EC41BC"/>
    <w:rsid w:val="00EC422C"/>
    <w:rsid w:val="00EC4273"/>
    <w:rsid w:val="00EC4294"/>
    <w:rsid w:val="00EC42A8"/>
    <w:rsid w:val="00EC434E"/>
    <w:rsid w:val="00EC469D"/>
    <w:rsid w:val="00EC46F1"/>
    <w:rsid w:val="00EC480E"/>
    <w:rsid w:val="00EC48F3"/>
    <w:rsid w:val="00EC49F1"/>
    <w:rsid w:val="00EC4A32"/>
    <w:rsid w:val="00EC4A33"/>
    <w:rsid w:val="00EC4AB4"/>
    <w:rsid w:val="00EC4AB9"/>
    <w:rsid w:val="00EC4BC1"/>
    <w:rsid w:val="00EC4BE5"/>
    <w:rsid w:val="00EC4E9D"/>
    <w:rsid w:val="00EC4F56"/>
    <w:rsid w:val="00EC4FEF"/>
    <w:rsid w:val="00EC5011"/>
    <w:rsid w:val="00EC50D1"/>
    <w:rsid w:val="00EC5127"/>
    <w:rsid w:val="00EC52FA"/>
    <w:rsid w:val="00EC5316"/>
    <w:rsid w:val="00EC54A7"/>
    <w:rsid w:val="00EC550A"/>
    <w:rsid w:val="00EC55A1"/>
    <w:rsid w:val="00EC5793"/>
    <w:rsid w:val="00EC588D"/>
    <w:rsid w:val="00EC5B66"/>
    <w:rsid w:val="00EC5C54"/>
    <w:rsid w:val="00EC5C58"/>
    <w:rsid w:val="00EC5D11"/>
    <w:rsid w:val="00EC5D13"/>
    <w:rsid w:val="00EC5D38"/>
    <w:rsid w:val="00EC5E5F"/>
    <w:rsid w:val="00EC5E9E"/>
    <w:rsid w:val="00EC5FF1"/>
    <w:rsid w:val="00EC6010"/>
    <w:rsid w:val="00EC60E7"/>
    <w:rsid w:val="00EC612C"/>
    <w:rsid w:val="00EC615B"/>
    <w:rsid w:val="00EC6181"/>
    <w:rsid w:val="00EC61E3"/>
    <w:rsid w:val="00EC61E8"/>
    <w:rsid w:val="00EC64F8"/>
    <w:rsid w:val="00EC666D"/>
    <w:rsid w:val="00EC6786"/>
    <w:rsid w:val="00EC6958"/>
    <w:rsid w:val="00EC6C38"/>
    <w:rsid w:val="00EC6C71"/>
    <w:rsid w:val="00EC6C8C"/>
    <w:rsid w:val="00EC6C8D"/>
    <w:rsid w:val="00EC6CFC"/>
    <w:rsid w:val="00EC6D98"/>
    <w:rsid w:val="00EC6DF6"/>
    <w:rsid w:val="00EC708A"/>
    <w:rsid w:val="00EC71B5"/>
    <w:rsid w:val="00EC729D"/>
    <w:rsid w:val="00EC753B"/>
    <w:rsid w:val="00EC7622"/>
    <w:rsid w:val="00EC76DA"/>
    <w:rsid w:val="00EC76EE"/>
    <w:rsid w:val="00EC7840"/>
    <w:rsid w:val="00EC7974"/>
    <w:rsid w:val="00EC797B"/>
    <w:rsid w:val="00EC7A8B"/>
    <w:rsid w:val="00EC7BDA"/>
    <w:rsid w:val="00EC7C20"/>
    <w:rsid w:val="00EC7C89"/>
    <w:rsid w:val="00EC7CDC"/>
    <w:rsid w:val="00EC7D29"/>
    <w:rsid w:val="00EC7D5B"/>
    <w:rsid w:val="00EC7D83"/>
    <w:rsid w:val="00EC7D90"/>
    <w:rsid w:val="00EC7E3E"/>
    <w:rsid w:val="00EC7E47"/>
    <w:rsid w:val="00EC7E5A"/>
    <w:rsid w:val="00EC7EB1"/>
    <w:rsid w:val="00EC7F36"/>
    <w:rsid w:val="00EC7F55"/>
    <w:rsid w:val="00ED0014"/>
    <w:rsid w:val="00ED0080"/>
    <w:rsid w:val="00ED013B"/>
    <w:rsid w:val="00ED0347"/>
    <w:rsid w:val="00ED045F"/>
    <w:rsid w:val="00ED0663"/>
    <w:rsid w:val="00ED0826"/>
    <w:rsid w:val="00ED0901"/>
    <w:rsid w:val="00ED0920"/>
    <w:rsid w:val="00ED0959"/>
    <w:rsid w:val="00ED0A69"/>
    <w:rsid w:val="00ED0AC3"/>
    <w:rsid w:val="00ED0C89"/>
    <w:rsid w:val="00ED0D7F"/>
    <w:rsid w:val="00ED0DB8"/>
    <w:rsid w:val="00ED0E15"/>
    <w:rsid w:val="00ED0E93"/>
    <w:rsid w:val="00ED0ECF"/>
    <w:rsid w:val="00ED0ED7"/>
    <w:rsid w:val="00ED0FB4"/>
    <w:rsid w:val="00ED11BB"/>
    <w:rsid w:val="00ED1286"/>
    <w:rsid w:val="00ED130A"/>
    <w:rsid w:val="00ED1374"/>
    <w:rsid w:val="00ED13AF"/>
    <w:rsid w:val="00ED1447"/>
    <w:rsid w:val="00ED1464"/>
    <w:rsid w:val="00ED14A4"/>
    <w:rsid w:val="00ED14C4"/>
    <w:rsid w:val="00ED1532"/>
    <w:rsid w:val="00ED17F1"/>
    <w:rsid w:val="00ED1885"/>
    <w:rsid w:val="00ED194A"/>
    <w:rsid w:val="00ED19EB"/>
    <w:rsid w:val="00ED1A9A"/>
    <w:rsid w:val="00ED1BBA"/>
    <w:rsid w:val="00ED1BDC"/>
    <w:rsid w:val="00ED1BEC"/>
    <w:rsid w:val="00ED1C35"/>
    <w:rsid w:val="00ED1F1D"/>
    <w:rsid w:val="00ED207A"/>
    <w:rsid w:val="00ED2108"/>
    <w:rsid w:val="00ED2155"/>
    <w:rsid w:val="00ED22A5"/>
    <w:rsid w:val="00ED22CC"/>
    <w:rsid w:val="00ED234B"/>
    <w:rsid w:val="00ED25F3"/>
    <w:rsid w:val="00ED271B"/>
    <w:rsid w:val="00ED29E6"/>
    <w:rsid w:val="00ED29F0"/>
    <w:rsid w:val="00ED2A02"/>
    <w:rsid w:val="00ED2A6B"/>
    <w:rsid w:val="00ED2B08"/>
    <w:rsid w:val="00ED2B31"/>
    <w:rsid w:val="00ED2BB3"/>
    <w:rsid w:val="00ED2F07"/>
    <w:rsid w:val="00ED2F13"/>
    <w:rsid w:val="00ED2F22"/>
    <w:rsid w:val="00ED2F50"/>
    <w:rsid w:val="00ED2F62"/>
    <w:rsid w:val="00ED2F7D"/>
    <w:rsid w:val="00ED31F7"/>
    <w:rsid w:val="00ED3279"/>
    <w:rsid w:val="00ED328D"/>
    <w:rsid w:val="00ED32CA"/>
    <w:rsid w:val="00ED3466"/>
    <w:rsid w:val="00ED3590"/>
    <w:rsid w:val="00ED35B6"/>
    <w:rsid w:val="00ED3657"/>
    <w:rsid w:val="00ED366C"/>
    <w:rsid w:val="00ED3694"/>
    <w:rsid w:val="00ED36E0"/>
    <w:rsid w:val="00ED3867"/>
    <w:rsid w:val="00ED3877"/>
    <w:rsid w:val="00ED3A12"/>
    <w:rsid w:val="00ED3B3D"/>
    <w:rsid w:val="00ED3BA0"/>
    <w:rsid w:val="00ED3BFC"/>
    <w:rsid w:val="00ED3C9D"/>
    <w:rsid w:val="00ED3D23"/>
    <w:rsid w:val="00ED3DFA"/>
    <w:rsid w:val="00ED3E5A"/>
    <w:rsid w:val="00ED3EE4"/>
    <w:rsid w:val="00ED3F05"/>
    <w:rsid w:val="00ED3FD8"/>
    <w:rsid w:val="00ED4388"/>
    <w:rsid w:val="00ED43E9"/>
    <w:rsid w:val="00ED44E0"/>
    <w:rsid w:val="00ED459D"/>
    <w:rsid w:val="00ED45F0"/>
    <w:rsid w:val="00ED460F"/>
    <w:rsid w:val="00ED471F"/>
    <w:rsid w:val="00ED4765"/>
    <w:rsid w:val="00ED4772"/>
    <w:rsid w:val="00ED4988"/>
    <w:rsid w:val="00ED49E0"/>
    <w:rsid w:val="00ED4A03"/>
    <w:rsid w:val="00ED4B4B"/>
    <w:rsid w:val="00ED4CB9"/>
    <w:rsid w:val="00ED4D4D"/>
    <w:rsid w:val="00ED4D72"/>
    <w:rsid w:val="00ED4FF8"/>
    <w:rsid w:val="00ED5520"/>
    <w:rsid w:val="00ED560A"/>
    <w:rsid w:val="00ED566E"/>
    <w:rsid w:val="00ED5683"/>
    <w:rsid w:val="00ED56C1"/>
    <w:rsid w:val="00ED5734"/>
    <w:rsid w:val="00ED574A"/>
    <w:rsid w:val="00ED5765"/>
    <w:rsid w:val="00ED586E"/>
    <w:rsid w:val="00ED5904"/>
    <w:rsid w:val="00ED5AE8"/>
    <w:rsid w:val="00ED5B25"/>
    <w:rsid w:val="00ED5D38"/>
    <w:rsid w:val="00ED5E9A"/>
    <w:rsid w:val="00ED5F6A"/>
    <w:rsid w:val="00ED6078"/>
    <w:rsid w:val="00ED624F"/>
    <w:rsid w:val="00ED643D"/>
    <w:rsid w:val="00ED6556"/>
    <w:rsid w:val="00ED67CE"/>
    <w:rsid w:val="00ED6884"/>
    <w:rsid w:val="00ED6999"/>
    <w:rsid w:val="00ED6B32"/>
    <w:rsid w:val="00ED6B7A"/>
    <w:rsid w:val="00ED6CC3"/>
    <w:rsid w:val="00ED6D50"/>
    <w:rsid w:val="00ED6DB4"/>
    <w:rsid w:val="00ED6DD2"/>
    <w:rsid w:val="00ED6FE1"/>
    <w:rsid w:val="00ED700B"/>
    <w:rsid w:val="00ED71F8"/>
    <w:rsid w:val="00ED7382"/>
    <w:rsid w:val="00ED742B"/>
    <w:rsid w:val="00ED74AE"/>
    <w:rsid w:val="00ED74D8"/>
    <w:rsid w:val="00ED7617"/>
    <w:rsid w:val="00ED76BF"/>
    <w:rsid w:val="00ED7777"/>
    <w:rsid w:val="00ED79D6"/>
    <w:rsid w:val="00ED7ABA"/>
    <w:rsid w:val="00ED7C05"/>
    <w:rsid w:val="00ED7E40"/>
    <w:rsid w:val="00ED7EB7"/>
    <w:rsid w:val="00ED7F04"/>
    <w:rsid w:val="00ED7FA6"/>
    <w:rsid w:val="00EE0095"/>
    <w:rsid w:val="00EE009C"/>
    <w:rsid w:val="00EE01A8"/>
    <w:rsid w:val="00EE020E"/>
    <w:rsid w:val="00EE0434"/>
    <w:rsid w:val="00EE051E"/>
    <w:rsid w:val="00EE05D6"/>
    <w:rsid w:val="00EE067C"/>
    <w:rsid w:val="00EE06C8"/>
    <w:rsid w:val="00EE082F"/>
    <w:rsid w:val="00EE08C3"/>
    <w:rsid w:val="00EE097B"/>
    <w:rsid w:val="00EE0997"/>
    <w:rsid w:val="00EE0A01"/>
    <w:rsid w:val="00EE0BB8"/>
    <w:rsid w:val="00EE0C63"/>
    <w:rsid w:val="00EE0D65"/>
    <w:rsid w:val="00EE0E1B"/>
    <w:rsid w:val="00EE0EE2"/>
    <w:rsid w:val="00EE0EF2"/>
    <w:rsid w:val="00EE0F1C"/>
    <w:rsid w:val="00EE1028"/>
    <w:rsid w:val="00EE10A4"/>
    <w:rsid w:val="00EE10CE"/>
    <w:rsid w:val="00EE112A"/>
    <w:rsid w:val="00EE1221"/>
    <w:rsid w:val="00EE1280"/>
    <w:rsid w:val="00EE12C3"/>
    <w:rsid w:val="00EE132D"/>
    <w:rsid w:val="00EE146A"/>
    <w:rsid w:val="00EE15F7"/>
    <w:rsid w:val="00EE161C"/>
    <w:rsid w:val="00EE16BD"/>
    <w:rsid w:val="00EE180E"/>
    <w:rsid w:val="00EE1901"/>
    <w:rsid w:val="00EE191B"/>
    <w:rsid w:val="00EE1940"/>
    <w:rsid w:val="00EE194D"/>
    <w:rsid w:val="00EE194F"/>
    <w:rsid w:val="00EE19B7"/>
    <w:rsid w:val="00EE1B55"/>
    <w:rsid w:val="00EE1C49"/>
    <w:rsid w:val="00EE1C95"/>
    <w:rsid w:val="00EE1D1C"/>
    <w:rsid w:val="00EE1E64"/>
    <w:rsid w:val="00EE1E91"/>
    <w:rsid w:val="00EE1F06"/>
    <w:rsid w:val="00EE1FF5"/>
    <w:rsid w:val="00EE2080"/>
    <w:rsid w:val="00EE2376"/>
    <w:rsid w:val="00EE23C2"/>
    <w:rsid w:val="00EE2410"/>
    <w:rsid w:val="00EE24D2"/>
    <w:rsid w:val="00EE2527"/>
    <w:rsid w:val="00EE25D7"/>
    <w:rsid w:val="00EE2706"/>
    <w:rsid w:val="00EE2724"/>
    <w:rsid w:val="00EE27DB"/>
    <w:rsid w:val="00EE280C"/>
    <w:rsid w:val="00EE2923"/>
    <w:rsid w:val="00EE2927"/>
    <w:rsid w:val="00EE297A"/>
    <w:rsid w:val="00EE2AC1"/>
    <w:rsid w:val="00EE2C82"/>
    <w:rsid w:val="00EE2E63"/>
    <w:rsid w:val="00EE2ECB"/>
    <w:rsid w:val="00EE30C3"/>
    <w:rsid w:val="00EE30D0"/>
    <w:rsid w:val="00EE3170"/>
    <w:rsid w:val="00EE317F"/>
    <w:rsid w:val="00EE31AA"/>
    <w:rsid w:val="00EE3371"/>
    <w:rsid w:val="00EE33F1"/>
    <w:rsid w:val="00EE3626"/>
    <w:rsid w:val="00EE39A7"/>
    <w:rsid w:val="00EE39AA"/>
    <w:rsid w:val="00EE39B7"/>
    <w:rsid w:val="00EE39C4"/>
    <w:rsid w:val="00EE3A26"/>
    <w:rsid w:val="00EE3A36"/>
    <w:rsid w:val="00EE3AB4"/>
    <w:rsid w:val="00EE3AD7"/>
    <w:rsid w:val="00EE3B33"/>
    <w:rsid w:val="00EE3BB2"/>
    <w:rsid w:val="00EE3CC8"/>
    <w:rsid w:val="00EE3D52"/>
    <w:rsid w:val="00EE3E08"/>
    <w:rsid w:val="00EE3F30"/>
    <w:rsid w:val="00EE4027"/>
    <w:rsid w:val="00EE4073"/>
    <w:rsid w:val="00EE41C0"/>
    <w:rsid w:val="00EE4348"/>
    <w:rsid w:val="00EE442C"/>
    <w:rsid w:val="00EE4458"/>
    <w:rsid w:val="00EE4561"/>
    <w:rsid w:val="00EE458D"/>
    <w:rsid w:val="00EE458F"/>
    <w:rsid w:val="00EE4666"/>
    <w:rsid w:val="00EE4705"/>
    <w:rsid w:val="00EE486E"/>
    <w:rsid w:val="00EE487A"/>
    <w:rsid w:val="00EE48E2"/>
    <w:rsid w:val="00EE4AE8"/>
    <w:rsid w:val="00EE4C9C"/>
    <w:rsid w:val="00EE4CF0"/>
    <w:rsid w:val="00EE4D3A"/>
    <w:rsid w:val="00EE4D49"/>
    <w:rsid w:val="00EE4FD9"/>
    <w:rsid w:val="00EE5038"/>
    <w:rsid w:val="00EE5071"/>
    <w:rsid w:val="00EE509D"/>
    <w:rsid w:val="00EE51D7"/>
    <w:rsid w:val="00EE51EC"/>
    <w:rsid w:val="00EE5314"/>
    <w:rsid w:val="00EE53E6"/>
    <w:rsid w:val="00EE5421"/>
    <w:rsid w:val="00EE54C4"/>
    <w:rsid w:val="00EE54DD"/>
    <w:rsid w:val="00EE5591"/>
    <w:rsid w:val="00EE55B1"/>
    <w:rsid w:val="00EE563B"/>
    <w:rsid w:val="00EE5652"/>
    <w:rsid w:val="00EE56F7"/>
    <w:rsid w:val="00EE595E"/>
    <w:rsid w:val="00EE59BD"/>
    <w:rsid w:val="00EE5A49"/>
    <w:rsid w:val="00EE5A96"/>
    <w:rsid w:val="00EE5A9E"/>
    <w:rsid w:val="00EE5AEF"/>
    <w:rsid w:val="00EE5BC4"/>
    <w:rsid w:val="00EE5BF6"/>
    <w:rsid w:val="00EE5D63"/>
    <w:rsid w:val="00EE5E44"/>
    <w:rsid w:val="00EE5EE1"/>
    <w:rsid w:val="00EE5F43"/>
    <w:rsid w:val="00EE5F93"/>
    <w:rsid w:val="00EE6032"/>
    <w:rsid w:val="00EE6044"/>
    <w:rsid w:val="00EE6053"/>
    <w:rsid w:val="00EE6084"/>
    <w:rsid w:val="00EE6272"/>
    <w:rsid w:val="00EE62C7"/>
    <w:rsid w:val="00EE638A"/>
    <w:rsid w:val="00EE64D7"/>
    <w:rsid w:val="00EE6537"/>
    <w:rsid w:val="00EE6564"/>
    <w:rsid w:val="00EE65AE"/>
    <w:rsid w:val="00EE661E"/>
    <w:rsid w:val="00EE6929"/>
    <w:rsid w:val="00EE69AE"/>
    <w:rsid w:val="00EE69B8"/>
    <w:rsid w:val="00EE69F6"/>
    <w:rsid w:val="00EE6AD0"/>
    <w:rsid w:val="00EE6BA1"/>
    <w:rsid w:val="00EE6C8A"/>
    <w:rsid w:val="00EE6F80"/>
    <w:rsid w:val="00EE6F8F"/>
    <w:rsid w:val="00EE6F94"/>
    <w:rsid w:val="00EE70A8"/>
    <w:rsid w:val="00EE7200"/>
    <w:rsid w:val="00EE72D7"/>
    <w:rsid w:val="00EE737E"/>
    <w:rsid w:val="00EE73A7"/>
    <w:rsid w:val="00EE756E"/>
    <w:rsid w:val="00EE75CC"/>
    <w:rsid w:val="00EE75D6"/>
    <w:rsid w:val="00EE7663"/>
    <w:rsid w:val="00EE76B6"/>
    <w:rsid w:val="00EE7770"/>
    <w:rsid w:val="00EE781E"/>
    <w:rsid w:val="00EE7881"/>
    <w:rsid w:val="00EE78BA"/>
    <w:rsid w:val="00EE78E0"/>
    <w:rsid w:val="00EE7905"/>
    <w:rsid w:val="00EE792D"/>
    <w:rsid w:val="00EE7B40"/>
    <w:rsid w:val="00EE7C25"/>
    <w:rsid w:val="00EE7D0B"/>
    <w:rsid w:val="00EE7D3C"/>
    <w:rsid w:val="00EE7D71"/>
    <w:rsid w:val="00EE7E0E"/>
    <w:rsid w:val="00EE7E8A"/>
    <w:rsid w:val="00EE7EEF"/>
    <w:rsid w:val="00EF017C"/>
    <w:rsid w:val="00EF01A1"/>
    <w:rsid w:val="00EF0234"/>
    <w:rsid w:val="00EF0289"/>
    <w:rsid w:val="00EF030D"/>
    <w:rsid w:val="00EF0326"/>
    <w:rsid w:val="00EF03A4"/>
    <w:rsid w:val="00EF03A5"/>
    <w:rsid w:val="00EF03DF"/>
    <w:rsid w:val="00EF04A4"/>
    <w:rsid w:val="00EF066A"/>
    <w:rsid w:val="00EF0B7F"/>
    <w:rsid w:val="00EF0BD1"/>
    <w:rsid w:val="00EF0D3F"/>
    <w:rsid w:val="00EF0E28"/>
    <w:rsid w:val="00EF0E43"/>
    <w:rsid w:val="00EF0E71"/>
    <w:rsid w:val="00EF0EC7"/>
    <w:rsid w:val="00EF0F02"/>
    <w:rsid w:val="00EF0FE1"/>
    <w:rsid w:val="00EF11A4"/>
    <w:rsid w:val="00EF126E"/>
    <w:rsid w:val="00EF134B"/>
    <w:rsid w:val="00EF142A"/>
    <w:rsid w:val="00EF15C6"/>
    <w:rsid w:val="00EF1701"/>
    <w:rsid w:val="00EF179D"/>
    <w:rsid w:val="00EF1815"/>
    <w:rsid w:val="00EF1966"/>
    <w:rsid w:val="00EF1975"/>
    <w:rsid w:val="00EF1AA2"/>
    <w:rsid w:val="00EF1B87"/>
    <w:rsid w:val="00EF1BCC"/>
    <w:rsid w:val="00EF2146"/>
    <w:rsid w:val="00EF2294"/>
    <w:rsid w:val="00EF2544"/>
    <w:rsid w:val="00EF262E"/>
    <w:rsid w:val="00EF2773"/>
    <w:rsid w:val="00EF27EE"/>
    <w:rsid w:val="00EF288B"/>
    <w:rsid w:val="00EF2914"/>
    <w:rsid w:val="00EF2A1E"/>
    <w:rsid w:val="00EF2AA9"/>
    <w:rsid w:val="00EF2B2D"/>
    <w:rsid w:val="00EF2D3A"/>
    <w:rsid w:val="00EF30A3"/>
    <w:rsid w:val="00EF315F"/>
    <w:rsid w:val="00EF316C"/>
    <w:rsid w:val="00EF32C9"/>
    <w:rsid w:val="00EF3314"/>
    <w:rsid w:val="00EF3334"/>
    <w:rsid w:val="00EF349B"/>
    <w:rsid w:val="00EF34AB"/>
    <w:rsid w:val="00EF3602"/>
    <w:rsid w:val="00EF37CC"/>
    <w:rsid w:val="00EF3B20"/>
    <w:rsid w:val="00EF3B5B"/>
    <w:rsid w:val="00EF3BBC"/>
    <w:rsid w:val="00EF3BD5"/>
    <w:rsid w:val="00EF3D41"/>
    <w:rsid w:val="00EF3EBA"/>
    <w:rsid w:val="00EF3EDA"/>
    <w:rsid w:val="00EF3EDE"/>
    <w:rsid w:val="00EF3F2A"/>
    <w:rsid w:val="00EF3FD8"/>
    <w:rsid w:val="00EF41E1"/>
    <w:rsid w:val="00EF436C"/>
    <w:rsid w:val="00EF43B3"/>
    <w:rsid w:val="00EF4479"/>
    <w:rsid w:val="00EF44CE"/>
    <w:rsid w:val="00EF45FE"/>
    <w:rsid w:val="00EF47CE"/>
    <w:rsid w:val="00EF47D6"/>
    <w:rsid w:val="00EF483B"/>
    <w:rsid w:val="00EF487D"/>
    <w:rsid w:val="00EF4AAB"/>
    <w:rsid w:val="00EF5052"/>
    <w:rsid w:val="00EF5082"/>
    <w:rsid w:val="00EF50B1"/>
    <w:rsid w:val="00EF5202"/>
    <w:rsid w:val="00EF5215"/>
    <w:rsid w:val="00EF5229"/>
    <w:rsid w:val="00EF5260"/>
    <w:rsid w:val="00EF529A"/>
    <w:rsid w:val="00EF544D"/>
    <w:rsid w:val="00EF5457"/>
    <w:rsid w:val="00EF54B1"/>
    <w:rsid w:val="00EF551D"/>
    <w:rsid w:val="00EF5527"/>
    <w:rsid w:val="00EF5570"/>
    <w:rsid w:val="00EF5688"/>
    <w:rsid w:val="00EF56A9"/>
    <w:rsid w:val="00EF56DB"/>
    <w:rsid w:val="00EF56E0"/>
    <w:rsid w:val="00EF5700"/>
    <w:rsid w:val="00EF588F"/>
    <w:rsid w:val="00EF590F"/>
    <w:rsid w:val="00EF5982"/>
    <w:rsid w:val="00EF5ACB"/>
    <w:rsid w:val="00EF5C81"/>
    <w:rsid w:val="00EF5D45"/>
    <w:rsid w:val="00EF5D6B"/>
    <w:rsid w:val="00EF5E63"/>
    <w:rsid w:val="00EF60BA"/>
    <w:rsid w:val="00EF60D1"/>
    <w:rsid w:val="00EF6166"/>
    <w:rsid w:val="00EF62EF"/>
    <w:rsid w:val="00EF6368"/>
    <w:rsid w:val="00EF6430"/>
    <w:rsid w:val="00EF6477"/>
    <w:rsid w:val="00EF647A"/>
    <w:rsid w:val="00EF64A0"/>
    <w:rsid w:val="00EF6592"/>
    <w:rsid w:val="00EF65C6"/>
    <w:rsid w:val="00EF66A1"/>
    <w:rsid w:val="00EF6749"/>
    <w:rsid w:val="00EF68C0"/>
    <w:rsid w:val="00EF6969"/>
    <w:rsid w:val="00EF6AA7"/>
    <w:rsid w:val="00EF6B46"/>
    <w:rsid w:val="00EF6B48"/>
    <w:rsid w:val="00EF6B93"/>
    <w:rsid w:val="00EF6B9B"/>
    <w:rsid w:val="00EF6C90"/>
    <w:rsid w:val="00EF6D8A"/>
    <w:rsid w:val="00EF6F52"/>
    <w:rsid w:val="00EF70AC"/>
    <w:rsid w:val="00EF7275"/>
    <w:rsid w:val="00EF72A5"/>
    <w:rsid w:val="00EF7393"/>
    <w:rsid w:val="00EF73A1"/>
    <w:rsid w:val="00EF7601"/>
    <w:rsid w:val="00EF7687"/>
    <w:rsid w:val="00EF787E"/>
    <w:rsid w:val="00EF7A2A"/>
    <w:rsid w:val="00EF7CC1"/>
    <w:rsid w:val="00EF7D54"/>
    <w:rsid w:val="00F000CE"/>
    <w:rsid w:val="00F000DF"/>
    <w:rsid w:val="00F00114"/>
    <w:rsid w:val="00F002A5"/>
    <w:rsid w:val="00F002BD"/>
    <w:rsid w:val="00F004F9"/>
    <w:rsid w:val="00F0054B"/>
    <w:rsid w:val="00F0054D"/>
    <w:rsid w:val="00F005C8"/>
    <w:rsid w:val="00F005F3"/>
    <w:rsid w:val="00F005FD"/>
    <w:rsid w:val="00F0062C"/>
    <w:rsid w:val="00F00721"/>
    <w:rsid w:val="00F0086D"/>
    <w:rsid w:val="00F00925"/>
    <w:rsid w:val="00F0094E"/>
    <w:rsid w:val="00F00B86"/>
    <w:rsid w:val="00F00BD0"/>
    <w:rsid w:val="00F00CAD"/>
    <w:rsid w:val="00F00CF4"/>
    <w:rsid w:val="00F00F50"/>
    <w:rsid w:val="00F00FD5"/>
    <w:rsid w:val="00F010A2"/>
    <w:rsid w:val="00F01678"/>
    <w:rsid w:val="00F017FF"/>
    <w:rsid w:val="00F01938"/>
    <w:rsid w:val="00F01A79"/>
    <w:rsid w:val="00F01B5B"/>
    <w:rsid w:val="00F01BF2"/>
    <w:rsid w:val="00F01C90"/>
    <w:rsid w:val="00F01D24"/>
    <w:rsid w:val="00F01D62"/>
    <w:rsid w:val="00F01D6E"/>
    <w:rsid w:val="00F01EDB"/>
    <w:rsid w:val="00F01F3F"/>
    <w:rsid w:val="00F01FE6"/>
    <w:rsid w:val="00F02065"/>
    <w:rsid w:val="00F020AC"/>
    <w:rsid w:val="00F020C4"/>
    <w:rsid w:val="00F020CF"/>
    <w:rsid w:val="00F0245A"/>
    <w:rsid w:val="00F02610"/>
    <w:rsid w:val="00F026C1"/>
    <w:rsid w:val="00F028FD"/>
    <w:rsid w:val="00F0297F"/>
    <w:rsid w:val="00F02A74"/>
    <w:rsid w:val="00F02C55"/>
    <w:rsid w:val="00F02C98"/>
    <w:rsid w:val="00F02C9F"/>
    <w:rsid w:val="00F02D91"/>
    <w:rsid w:val="00F02D9E"/>
    <w:rsid w:val="00F02DA6"/>
    <w:rsid w:val="00F02E0A"/>
    <w:rsid w:val="00F02F1C"/>
    <w:rsid w:val="00F0325D"/>
    <w:rsid w:val="00F03375"/>
    <w:rsid w:val="00F03454"/>
    <w:rsid w:val="00F035D8"/>
    <w:rsid w:val="00F0374B"/>
    <w:rsid w:val="00F03893"/>
    <w:rsid w:val="00F038D3"/>
    <w:rsid w:val="00F0393C"/>
    <w:rsid w:val="00F03958"/>
    <w:rsid w:val="00F039B2"/>
    <w:rsid w:val="00F03B4D"/>
    <w:rsid w:val="00F03B84"/>
    <w:rsid w:val="00F03BEC"/>
    <w:rsid w:val="00F03BF1"/>
    <w:rsid w:val="00F03C18"/>
    <w:rsid w:val="00F03C76"/>
    <w:rsid w:val="00F03E03"/>
    <w:rsid w:val="00F03F6E"/>
    <w:rsid w:val="00F03F9F"/>
    <w:rsid w:val="00F03FD2"/>
    <w:rsid w:val="00F03FED"/>
    <w:rsid w:val="00F04004"/>
    <w:rsid w:val="00F041C4"/>
    <w:rsid w:val="00F041ED"/>
    <w:rsid w:val="00F042E9"/>
    <w:rsid w:val="00F043C7"/>
    <w:rsid w:val="00F044B6"/>
    <w:rsid w:val="00F045E3"/>
    <w:rsid w:val="00F04692"/>
    <w:rsid w:val="00F047DB"/>
    <w:rsid w:val="00F04815"/>
    <w:rsid w:val="00F0483C"/>
    <w:rsid w:val="00F048F8"/>
    <w:rsid w:val="00F04927"/>
    <w:rsid w:val="00F04A25"/>
    <w:rsid w:val="00F04A7A"/>
    <w:rsid w:val="00F04BD9"/>
    <w:rsid w:val="00F04C81"/>
    <w:rsid w:val="00F04D3E"/>
    <w:rsid w:val="00F04E11"/>
    <w:rsid w:val="00F04F5B"/>
    <w:rsid w:val="00F04F7D"/>
    <w:rsid w:val="00F04F84"/>
    <w:rsid w:val="00F04FEC"/>
    <w:rsid w:val="00F050EC"/>
    <w:rsid w:val="00F051D9"/>
    <w:rsid w:val="00F05219"/>
    <w:rsid w:val="00F0528F"/>
    <w:rsid w:val="00F05320"/>
    <w:rsid w:val="00F05504"/>
    <w:rsid w:val="00F05531"/>
    <w:rsid w:val="00F055F3"/>
    <w:rsid w:val="00F0580F"/>
    <w:rsid w:val="00F05820"/>
    <w:rsid w:val="00F058B8"/>
    <w:rsid w:val="00F05943"/>
    <w:rsid w:val="00F0595D"/>
    <w:rsid w:val="00F0596E"/>
    <w:rsid w:val="00F05A2C"/>
    <w:rsid w:val="00F05A92"/>
    <w:rsid w:val="00F05B1F"/>
    <w:rsid w:val="00F05B4D"/>
    <w:rsid w:val="00F05BC7"/>
    <w:rsid w:val="00F05CEB"/>
    <w:rsid w:val="00F05E9B"/>
    <w:rsid w:val="00F05FCC"/>
    <w:rsid w:val="00F06062"/>
    <w:rsid w:val="00F060A8"/>
    <w:rsid w:val="00F06162"/>
    <w:rsid w:val="00F06187"/>
    <w:rsid w:val="00F062CE"/>
    <w:rsid w:val="00F0647C"/>
    <w:rsid w:val="00F06487"/>
    <w:rsid w:val="00F0650C"/>
    <w:rsid w:val="00F06596"/>
    <w:rsid w:val="00F065B6"/>
    <w:rsid w:val="00F06667"/>
    <w:rsid w:val="00F06679"/>
    <w:rsid w:val="00F066F4"/>
    <w:rsid w:val="00F06742"/>
    <w:rsid w:val="00F0679E"/>
    <w:rsid w:val="00F067CF"/>
    <w:rsid w:val="00F06883"/>
    <w:rsid w:val="00F06957"/>
    <w:rsid w:val="00F06D16"/>
    <w:rsid w:val="00F06D2D"/>
    <w:rsid w:val="00F06D67"/>
    <w:rsid w:val="00F06DC1"/>
    <w:rsid w:val="00F06E2A"/>
    <w:rsid w:val="00F06FA7"/>
    <w:rsid w:val="00F06FF7"/>
    <w:rsid w:val="00F0717C"/>
    <w:rsid w:val="00F071BA"/>
    <w:rsid w:val="00F071FB"/>
    <w:rsid w:val="00F0729E"/>
    <w:rsid w:val="00F073F2"/>
    <w:rsid w:val="00F07555"/>
    <w:rsid w:val="00F0758D"/>
    <w:rsid w:val="00F076DE"/>
    <w:rsid w:val="00F07906"/>
    <w:rsid w:val="00F079A9"/>
    <w:rsid w:val="00F079DF"/>
    <w:rsid w:val="00F07E12"/>
    <w:rsid w:val="00F07E2C"/>
    <w:rsid w:val="00F07E47"/>
    <w:rsid w:val="00F07E74"/>
    <w:rsid w:val="00F07F3B"/>
    <w:rsid w:val="00F10046"/>
    <w:rsid w:val="00F10054"/>
    <w:rsid w:val="00F10122"/>
    <w:rsid w:val="00F10157"/>
    <w:rsid w:val="00F101EC"/>
    <w:rsid w:val="00F102B4"/>
    <w:rsid w:val="00F10481"/>
    <w:rsid w:val="00F1069E"/>
    <w:rsid w:val="00F10921"/>
    <w:rsid w:val="00F10946"/>
    <w:rsid w:val="00F10BDD"/>
    <w:rsid w:val="00F10C15"/>
    <w:rsid w:val="00F10D3C"/>
    <w:rsid w:val="00F10E86"/>
    <w:rsid w:val="00F10F1C"/>
    <w:rsid w:val="00F10FC1"/>
    <w:rsid w:val="00F111A5"/>
    <w:rsid w:val="00F1127A"/>
    <w:rsid w:val="00F11284"/>
    <w:rsid w:val="00F11295"/>
    <w:rsid w:val="00F112BA"/>
    <w:rsid w:val="00F11400"/>
    <w:rsid w:val="00F11555"/>
    <w:rsid w:val="00F1159E"/>
    <w:rsid w:val="00F115F0"/>
    <w:rsid w:val="00F1170E"/>
    <w:rsid w:val="00F118B2"/>
    <w:rsid w:val="00F11955"/>
    <w:rsid w:val="00F11A65"/>
    <w:rsid w:val="00F11AED"/>
    <w:rsid w:val="00F11C48"/>
    <w:rsid w:val="00F11C99"/>
    <w:rsid w:val="00F11D3F"/>
    <w:rsid w:val="00F11E0A"/>
    <w:rsid w:val="00F11EE5"/>
    <w:rsid w:val="00F11FA2"/>
    <w:rsid w:val="00F1201B"/>
    <w:rsid w:val="00F121EF"/>
    <w:rsid w:val="00F12221"/>
    <w:rsid w:val="00F125E5"/>
    <w:rsid w:val="00F12603"/>
    <w:rsid w:val="00F12683"/>
    <w:rsid w:val="00F126C5"/>
    <w:rsid w:val="00F12752"/>
    <w:rsid w:val="00F128B0"/>
    <w:rsid w:val="00F129A4"/>
    <w:rsid w:val="00F12C29"/>
    <w:rsid w:val="00F12DED"/>
    <w:rsid w:val="00F12E03"/>
    <w:rsid w:val="00F12F40"/>
    <w:rsid w:val="00F131A9"/>
    <w:rsid w:val="00F131F8"/>
    <w:rsid w:val="00F13463"/>
    <w:rsid w:val="00F135F4"/>
    <w:rsid w:val="00F1362B"/>
    <w:rsid w:val="00F139B8"/>
    <w:rsid w:val="00F13A72"/>
    <w:rsid w:val="00F13B64"/>
    <w:rsid w:val="00F13C58"/>
    <w:rsid w:val="00F13C93"/>
    <w:rsid w:val="00F13EBA"/>
    <w:rsid w:val="00F13FD8"/>
    <w:rsid w:val="00F14018"/>
    <w:rsid w:val="00F14373"/>
    <w:rsid w:val="00F143EA"/>
    <w:rsid w:val="00F14437"/>
    <w:rsid w:val="00F144CE"/>
    <w:rsid w:val="00F144E2"/>
    <w:rsid w:val="00F146ED"/>
    <w:rsid w:val="00F1470A"/>
    <w:rsid w:val="00F14937"/>
    <w:rsid w:val="00F14C82"/>
    <w:rsid w:val="00F14C8F"/>
    <w:rsid w:val="00F14D78"/>
    <w:rsid w:val="00F14F6B"/>
    <w:rsid w:val="00F14F83"/>
    <w:rsid w:val="00F14FBE"/>
    <w:rsid w:val="00F15019"/>
    <w:rsid w:val="00F1503C"/>
    <w:rsid w:val="00F1503F"/>
    <w:rsid w:val="00F15175"/>
    <w:rsid w:val="00F1524D"/>
    <w:rsid w:val="00F15342"/>
    <w:rsid w:val="00F15361"/>
    <w:rsid w:val="00F153C8"/>
    <w:rsid w:val="00F153DC"/>
    <w:rsid w:val="00F154C1"/>
    <w:rsid w:val="00F15547"/>
    <w:rsid w:val="00F1555D"/>
    <w:rsid w:val="00F155C2"/>
    <w:rsid w:val="00F155CC"/>
    <w:rsid w:val="00F1562D"/>
    <w:rsid w:val="00F1573D"/>
    <w:rsid w:val="00F157BA"/>
    <w:rsid w:val="00F157D6"/>
    <w:rsid w:val="00F1584D"/>
    <w:rsid w:val="00F1590B"/>
    <w:rsid w:val="00F159B7"/>
    <w:rsid w:val="00F15AC9"/>
    <w:rsid w:val="00F15AE4"/>
    <w:rsid w:val="00F15B3E"/>
    <w:rsid w:val="00F15B5E"/>
    <w:rsid w:val="00F15B9A"/>
    <w:rsid w:val="00F15C00"/>
    <w:rsid w:val="00F15C8C"/>
    <w:rsid w:val="00F15D05"/>
    <w:rsid w:val="00F15DDE"/>
    <w:rsid w:val="00F15FE5"/>
    <w:rsid w:val="00F161A3"/>
    <w:rsid w:val="00F163F1"/>
    <w:rsid w:val="00F164CD"/>
    <w:rsid w:val="00F16762"/>
    <w:rsid w:val="00F168BC"/>
    <w:rsid w:val="00F168BF"/>
    <w:rsid w:val="00F1691F"/>
    <w:rsid w:val="00F16A82"/>
    <w:rsid w:val="00F16B52"/>
    <w:rsid w:val="00F16B9A"/>
    <w:rsid w:val="00F16D27"/>
    <w:rsid w:val="00F16DD4"/>
    <w:rsid w:val="00F16EE6"/>
    <w:rsid w:val="00F16F23"/>
    <w:rsid w:val="00F1707A"/>
    <w:rsid w:val="00F172DA"/>
    <w:rsid w:val="00F1757B"/>
    <w:rsid w:val="00F1768D"/>
    <w:rsid w:val="00F17980"/>
    <w:rsid w:val="00F17AB9"/>
    <w:rsid w:val="00F17BBB"/>
    <w:rsid w:val="00F17DF4"/>
    <w:rsid w:val="00F17DF8"/>
    <w:rsid w:val="00F17E41"/>
    <w:rsid w:val="00F17ED9"/>
    <w:rsid w:val="00F20085"/>
    <w:rsid w:val="00F200C2"/>
    <w:rsid w:val="00F20105"/>
    <w:rsid w:val="00F20249"/>
    <w:rsid w:val="00F202BA"/>
    <w:rsid w:val="00F20378"/>
    <w:rsid w:val="00F20449"/>
    <w:rsid w:val="00F205DD"/>
    <w:rsid w:val="00F206B8"/>
    <w:rsid w:val="00F209B7"/>
    <w:rsid w:val="00F20A40"/>
    <w:rsid w:val="00F20B26"/>
    <w:rsid w:val="00F20C31"/>
    <w:rsid w:val="00F20CBF"/>
    <w:rsid w:val="00F20D07"/>
    <w:rsid w:val="00F20E71"/>
    <w:rsid w:val="00F20F45"/>
    <w:rsid w:val="00F210DD"/>
    <w:rsid w:val="00F2133F"/>
    <w:rsid w:val="00F2136C"/>
    <w:rsid w:val="00F21375"/>
    <w:rsid w:val="00F2147A"/>
    <w:rsid w:val="00F214C6"/>
    <w:rsid w:val="00F21720"/>
    <w:rsid w:val="00F2172B"/>
    <w:rsid w:val="00F217B4"/>
    <w:rsid w:val="00F21980"/>
    <w:rsid w:val="00F21A22"/>
    <w:rsid w:val="00F21B43"/>
    <w:rsid w:val="00F21B73"/>
    <w:rsid w:val="00F21DCB"/>
    <w:rsid w:val="00F21E07"/>
    <w:rsid w:val="00F21E4D"/>
    <w:rsid w:val="00F21FE2"/>
    <w:rsid w:val="00F2260B"/>
    <w:rsid w:val="00F22639"/>
    <w:rsid w:val="00F226F3"/>
    <w:rsid w:val="00F2277A"/>
    <w:rsid w:val="00F22C6C"/>
    <w:rsid w:val="00F22CC5"/>
    <w:rsid w:val="00F22D0B"/>
    <w:rsid w:val="00F22F8C"/>
    <w:rsid w:val="00F2306A"/>
    <w:rsid w:val="00F23087"/>
    <w:rsid w:val="00F230CD"/>
    <w:rsid w:val="00F23154"/>
    <w:rsid w:val="00F2318F"/>
    <w:rsid w:val="00F2321B"/>
    <w:rsid w:val="00F232D3"/>
    <w:rsid w:val="00F233BE"/>
    <w:rsid w:val="00F233C6"/>
    <w:rsid w:val="00F23755"/>
    <w:rsid w:val="00F237B7"/>
    <w:rsid w:val="00F23AC3"/>
    <w:rsid w:val="00F23B9C"/>
    <w:rsid w:val="00F23D75"/>
    <w:rsid w:val="00F23E8D"/>
    <w:rsid w:val="00F2418D"/>
    <w:rsid w:val="00F24355"/>
    <w:rsid w:val="00F243E6"/>
    <w:rsid w:val="00F243E7"/>
    <w:rsid w:val="00F24465"/>
    <w:rsid w:val="00F2450A"/>
    <w:rsid w:val="00F24539"/>
    <w:rsid w:val="00F24CE8"/>
    <w:rsid w:val="00F24D18"/>
    <w:rsid w:val="00F24E72"/>
    <w:rsid w:val="00F24E75"/>
    <w:rsid w:val="00F24EC3"/>
    <w:rsid w:val="00F24F4C"/>
    <w:rsid w:val="00F24FBB"/>
    <w:rsid w:val="00F250C0"/>
    <w:rsid w:val="00F251C3"/>
    <w:rsid w:val="00F251EB"/>
    <w:rsid w:val="00F25278"/>
    <w:rsid w:val="00F252B9"/>
    <w:rsid w:val="00F253C6"/>
    <w:rsid w:val="00F2544C"/>
    <w:rsid w:val="00F254B3"/>
    <w:rsid w:val="00F25608"/>
    <w:rsid w:val="00F256DD"/>
    <w:rsid w:val="00F25798"/>
    <w:rsid w:val="00F25836"/>
    <w:rsid w:val="00F258B0"/>
    <w:rsid w:val="00F258C6"/>
    <w:rsid w:val="00F25930"/>
    <w:rsid w:val="00F25A43"/>
    <w:rsid w:val="00F25A80"/>
    <w:rsid w:val="00F25B90"/>
    <w:rsid w:val="00F25C3E"/>
    <w:rsid w:val="00F25D15"/>
    <w:rsid w:val="00F25D23"/>
    <w:rsid w:val="00F25D93"/>
    <w:rsid w:val="00F25D9D"/>
    <w:rsid w:val="00F25DC9"/>
    <w:rsid w:val="00F25DEA"/>
    <w:rsid w:val="00F25E25"/>
    <w:rsid w:val="00F25E5A"/>
    <w:rsid w:val="00F2605A"/>
    <w:rsid w:val="00F26133"/>
    <w:rsid w:val="00F26186"/>
    <w:rsid w:val="00F261AE"/>
    <w:rsid w:val="00F261C4"/>
    <w:rsid w:val="00F262CD"/>
    <w:rsid w:val="00F2630B"/>
    <w:rsid w:val="00F263BF"/>
    <w:rsid w:val="00F26408"/>
    <w:rsid w:val="00F26589"/>
    <w:rsid w:val="00F265E4"/>
    <w:rsid w:val="00F26650"/>
    <w:rsid w:val="00F2670E"/>
    <w:rsid w:val="00F26785"/>
    <w:rsid w:val="00F26821"/>
    <w:rsid w:val="00F26896"/>
    <w:rsid w:val="00F26947"/>
    <w:rsid w:val="00F26A42"/>
    <w:rsid w:val="00F26A69"/>
    <w:rsid w:val="00F26B47"/>
    <w:rsid w:val="00F26B86"/>
    <w:rsid w:val="00F26CF8"/>
    <w:rsid w:val="00F26DE4"/>
    <w:rsid w:val="00F26E34"/>
    <w:rsid w:val="00F26E37"/>
    <w:rsid w:val="00F26F41"/>
    <w:rsid w:val="00F271B5"/>
    <w:rsid w:val="00F27312"/>
    <w:rsid w:val="00F273AD"/>
    <w:rsid w:val="00F2745C"/>
    <w:rsid w:val="00F274D3"/>
    <w:rsid w:val="00F27666"/>
    <w:rsid w:val="00F27759"/>
    <w:rsid w:val="00F2776C"/>
    <w:rsid w:val="00F278ED"/>
    <w:rsid w:val="00F27B11"/>
    <w:rsid w:val="00F27B72"/>
    <w:rsid w:val="00F27BCB"/>
    <w:rsid w:val="00F27BF4"/>
    <w:rsid w:val="00F27E33"/>
    <w:rsid w:val="00F27E43"/>
    <w:rsid w:val="00F27E48"/>
    <w:rsid w:val="00F27E56"/>
    <w:rsid w:val="00F27ECD"/>
    <w:rsid w:val="00F27F90"/>
    <w:rsid w:val="00F30039"/>
    <w:rsid w:val="00F30043"/>
    <w:rsid w:val="00F30046"/>
    <w:rsid w:val="00F30196"/>
    <w:rsid w:val="00F3020C"/>
    <w:rsid w:val="00F3036B"/>
    <w:rsid w:val="00F303BA"/>
    <w:rsid w:val="00F303EC"/>
    <w:rsid w:val="00F3041F"/>
    <w:rsid w:val="00F30582"/>
    <w:rsid w:val="00F3073D"/>
    <w:rsid w:val="00F307C1"/>
    <w:rsid w:val="00F30C3C"/>
    <w:rsid w:val="00F30D12"/>
    <w:rsid w:val="00F3100A"/>
    <w:rsid w:val="00F3107E"/>
    <w:rsid w:val="00F31088"/>
    <w:rsid w:val="00F3118E"/>
    <w:rsid w:val="00F31217"/>
    <w:rsid w:val="00F31330"/>
    <w:rsid w:val="00F3135C"/>
    <w:rsid w:val="00F313BC"/>
    <w:rsid w:val="00F31453"/>
    <w:rsid w:val="00F31463"/>
    <w:rsid w:val="00F3148D"/>
    <w:rsid w:val="00F314FF"/>
    <w:rsid w:val="00F31510"/>
    <w:rsid w:val="00F31555"/>
    <w:rsid w:val="00F3159C"/>
    <w:rsid w:val="00F315BF"/>
    <w:rsid w:val="00F315E4"/>
    <w:rsid w:val="00F3165B"/>
    <w:rsid w:val="00F316B6"/>
    <w:rsid w:val="00F31743"/>
    <w:rsid w:val="00F31762"/>
    <w:rsid w:val="00F3182B"/>
    <w:rsid w:val="00F31888"/>
    <w:rsid w:val="00F318E1"/>
    <w:rsid w:val="00F31A0C"/>
    <w:rsid w:val="00F31A12"/>
    <w:rsid w:val="00F31A7C"/>
    <w:rsid w:val="00F31B27"/>
    <w:rsid w:val="00F31CD7"/>
    <w:rsid w:val="00F31CFA"/>
    <w:rsid w:val="00F31E10"/>
    <w:rsid w:val="00F31FC3"/>
    <w:rsid w:val="00F32099"/>
    <w:rsid w:val="00F320E0"/>
    <w:rsid w:val="00F32249"/>
    <w:rsid w:val="00F32335"/>
    <w:rsid w:val="00F32691"/>
    <w:rsid w:val="00F32719"/>
    <w:rsid w:val="00F32731"/>
    <w:rsid w:val="00F32767"/>
    <w:rsid w:val="00F32796"/>
    <w:rsid w:val="00F3279F"/>
    <w:rsid w:val="00F327DF"/>
    <w:rsid w:val="00F32890"/>
    <w:rsid w:val="00F3298D"/>
    <w:rsid w:val="00F32AAB"/>
    <w:rsid w:val="00F32B2F"/>
    <w:rsid w:val="00F32BCF"/>
    <w:rsid w:val="00F32E21"/>
    <w:rsid w:val="00F32E6B"/>
    <w:rsid w:val="00F32E9F"/>
    <w:rsid w:val="00F32F22"/>
    <w:rsid w:val="00F32FF7"/>
    <w:rsid w:val="00F3315A"/>
    <w:rsid w:val="00F331C6"/>
    <w:rsid w:val="00F3323C"/>
    <w:rsid w:val="00F3323F"/>
    <w:rsid w:val="00F33400"/>
    <w:rsid w:val="00F3346B"/>
    <w:rsid w:val="00F334D1"/>
    <w:rsid w:val="00F33639"/>
    <w:rsid w:val="00F336D4"/>
    <w:rsid w:val="00F337EE"/>
    <w:rsid w:val="00F33901"/>
    <w:rsid w:val="00F33A86"/>
    <w:rsid w:val="00F33B11"/>
    <w:rsid w:val="00F33BD8"/>
    <w:rsid w:val="00F33DC4"/>
    <w:rsid w:val="00F33E43"/>
    <w:rsid w:val="00F33E64"/>
    <w:rsid w:val="00F33EA9"/>
    <w:rsid w:val="00F33F19"/>
    <w:rsid w:val="00F33F43"/>
    <w:rsid w:val="00F33FF9"/>
    <w:rsid w:val="00F34009"/>
    <w:rsid w:val="00F34090"/>
    <w:rsid w:val="00F3414C"/>
    <w:rsid w:val="00F3417D"/>
    <w:rsid w:val="00F3441E"/>
    <w:rsid w:val="00F34462"/>
    <w:rsid w:val="00F34695"/>
    <w:rsid w:val="00F346A5"/>
    <w:rsid w:val="00F347FD"/>
    <w:rsid w:val="00F34861"/>
    <w:rsid w:val="00F34894"/>
    <w:rsid w:val="00F34988"/>
    <w:rsid w:val="00F34AD7"/>
    <w:rsid w:val="00F34CB0"/>
    <w:rsid w:val="00F34DFF"/>
    <w:rsid w:val="00F34EC6"/>
    <w:rsid w:val="00F34FB0"/>
    <w:rsid w:val="00F34FB7"/>
    <w:rsid w:val="00F3501C"/>
    <w:rsid w:val="00F350B4"/>
    <w:rsid w:val="00F35117"/>
    <w:rsid w:val="00F35187"/>
    <w:rsid w:val="00F3518E"/>
    <w:rsid w:val="00F351F1"/>
    <w:rsid w:val="00F3537F"/>
    <w:rsid w:val="00F353B1"/>
    <w:rsid w:val="00F353C4"/>
    <w:rsid w:val="00F35471"/>
    <w:rsid w:val="00F354E3"/>
    <w:rsid w:val="00F35658"/>
    <w:rsid w:val="00F35705"/>
    <w:rsid w:val="00F3590E"/>
    <w:rsid w:val="00F35937"/>
    <w:rsid w:val="00F35AC8"/>
    <w:rsid w:val="00F35BAD"/>
    <w:rsid w:val="00F35C2F"/>
    <w:rsid w:val="00F35C72"/>
    <w:rsid w:val="00F35CB0"/>
    <w:rsid w:val="00F35CF5"/>
    <w:rsid w:val="00F35D8C"/>
    <w:rsid w:val="00F35E35"/>
    <w:rsid w:val="00F360AE"/>
    <w:rsid w:val="00F36282"/>
    <w:rsid w:val="00F362F0"/>
    <w:rsid w:val="00F36324"/>
    <w:rsid w:val="00F363E3"/>
    <w:rsid w:val="00F36461"/>
    <w:rsid w:val="00F36497"/>
    <w:rsid w:val="00F36583"/>
    <w:rsid w:val="00F36596"/>
    <w:rsid w:val="00F365DE"/>
    <w:rsid w:val="00F36708"/>
    <w:rsid w:val="00F3671D"/>
    <w:rsid w:val="00F3682F"/>
    <w:rsid w:val="00F36991"/>
    <w:rsid w:val="00F369BB"/>
    <w:rsid w:val="00F36A4A"/>
    <w:rsid w:val="00F36AF1"/>
    <w:rsid w:val="00F36B37"/>
    <w:rsid w:val="00F36D0D"/>
    <w:rsid w:val="00F36DBC"/>
    <w:rsid w:val="00F36F17"/>
    <w:rsid w:val="00F370A6"/>
    <w:rsid w:val="00F370E5"/>
    <w:rsid w:val="00F37129"/>
    <w:rsid w:val="00F371C5"/>
    <w:rsid w:val="00F3726B"/>
    <w:rsid w:val="00F372F8"/>
    <w:rsid w:val="00F3733B"/>
    <w:rsid w:val="00F37358"/>
    <w:rsid w:val="00F37850"/>
    <w:rsid w:val="00F37900"/>
    <w:rsid w:val="00F379F9"/>
    <w:rsid w:val="00F37A66"/>
    <w:rsid w:val="00F37BCC"/>
    <w:rsid w:val="00F37C1E"/>
    <w:rsid w:val="00F37CAB"/>
    <w:rsid w:val="00F37CAF"/>
    <w:rsid w:val="00F37CB5"/>
    <w:rsid w:val="00F37CF3"/>
    <w:rsid w:val="00F37CFB"/>
    <w:rsid w:val="00F37E90"/>
    <w:rsid w:val="00F40130"/>
    <w:rsid w:val="00F40141"/>
    <w:rsid w:val="00F4019C"/>
    <w:rsid w:val="00F402A5"/>
    <w:rsid w:val="00F402CD"/>
    <w:rsid w:val="00F4042C"/>
    <w:rsid w:val="00F4042D"/>
    <w:rsid w:val="00F4079B"/>
    <w:rsid w:val="00F407EA"/>
    <w:rsid w:val="00F408A5"/>
    <w:rsid w:val="00F408D5"/>
    <w:rsid w:val="00F40941"/>
    <w:rsid w:val="00F40948"/>
    <w:rsid w:val="00F40985"/>
    <w:rsid w:val="00F40A23"/>
    <w:rsid w:val="00F40A48"/>
    <w:rsid w:val="00F40A93"/>
    <w:rsid w:val="00F40A9F"/>
    <w:rsid w:val="00F40B3E"/>
    <w:rsid w:val="00F40CA9"/>
    <w:rsid w:val="00F40D14"/>
    <w:rsid w:val="00F40E81"/>
    <w:rsid w:val="00F40EA2"/>
    <w:rsid w:val="00F40EFC"/>
    <w:rsid w:val="00F40FCC"/>
    <w:rsid w:val="00F410F0"/>
    <w:rsid w:val="00F41199"/>
    <w:rsid w:val="00F413DF"/>
    <w:rsid w:val="00F4144C"/>
    <w:rsid w:val="00F41481"/>
    <w:rsid w:val="00F416E6"/>
    <w:rsid w:val="00F416F3"/>
    <w:rsid w:val="00F4171F"/>
    <w:rsid w:val="00F4176A"/>
    <w:rsid w:val="00F4179A"/>
    <w:rsid w:val="00F4193C"/>
    <w:rsid w:val="00F41995"/>
    <w:rsid w:val="00F41BDB"/>
    <w:rsid w:val="00F41C04"/>
    <w:rsid w:val="00F41C88"/>
    <w:rsid w:val="00F41DB3"/>
    <w:rsid w:val="00F41E3D"/>
    <w:rsid w:val="00F41E42"/>
    <w:rsid w:val="00F41E47"/>
    <w:rsid w:val="00F41ED0"/>
    <w:rsid w:val="00F41F01"/>
    <w:rsid w:val="00F41F80"/>
    <w:rsid w:val="00F41FF7"/>
    <w:rsid w:val="00F4206A"/>
    <w:rsid w:val="00F4221D"/>
    <w:rsid w:val="00F4231B"/>
    <w:rsid w:val="00F42492"/>
    <w:rsid w:val="00F42506"/>
    <w:rsid w:val="00F4252D"/>
    <w:rsid w:val="00F4273B"/>
    <w:rsid w:val="00F42BD0"/>
    <w:rsid w:val="00F42C63"/>
    <w:rsid w:val="00F42CCD"/>
    <w:rsid w:val="00F42D8C"/>
    <w:rsid w:val="00F42DF4"/>
    <w:rsid w:val="00F42E6B"/>
    <w:rsid w:val="00F42E8E"/>
    <w:rsid w:val="00F4320C"/>
    <w:rsid w:val="00F4324E"/>
    <w:rsid w:val="00F43262"/>
    <w:rsid w:val="00F432E1"/>
    <w:rsid w:val="00F433CD"/>
    <w:rsid w:val="00F4345F"/>
    <w:rsid w:val="00F4348C"/>
    <w:rsid w:val="00F434A1"/>
    <w:rsid w:val="00F434DF"/>
    <w:rsid w:val="00F43636"/>
    <w:rsid w:val="00F436FF"/>
    <w:rsid w:val="00F437AC"/>
    <w:rsid w:val="00F43826"/>
    <w:rsid w:val="00F43861"/>
    <w:rsid w:val="00F439AD"/>
    <w:rsid w:val="00F439C4"/>
    <w:rsid w:val="00F43A34"/>
    <w:rsid w:val="00F43AB5"/>
    <w:rsid w:val="00F43B3E"/>
    <w:rsid w:val="00F43C0E"/>
    <w:rsid w:val="00F43C1C"/>
    <w:rsid w:val="00F43DE6"/>
    <w:rsid w:val="00F43FFD"/>
    <w:rsid w:val="00F4402D"/>
    <w:rsid w:val="00F444FD"/>
    <w:rsid w:val="00F4467D"/>
    <w:rsid w:val="00F44762"/>
    <w:rsid w:val="00F447C4"/>
    <w:rsid w:val="00F447FE"/>
    <w:rsid w:val="00F448E6"/>
    <w:rsid w:val="00F448F0"/>
    <w:rsid w:val="00F4495D"/>
    <w:rsid w:val="00F44A7A"/>
    <w:rsid w:val="00F44B95"/>
    <w:rsid w:val="00F44DAC"/>
    <w:rsid w:val="00F451DA"/>
    <w:rsid w:val="00F451F0"/>
    <w:rsid w:val="00F453B9"/>
    <w:rsid w:val="00F453D0"/>
    <w:rsid w:val="00F453E2"/>
    <w:rsid w:val="00F4551B"/>
    <w:rsid w:val="00F4552B"/>
    <w:rsid w:val="00F455F5"/>
    <w:rsid w:val="00F45616"/>
    <w:rsid w:val="00F457AC"/>
    <w:rsid w:val="00F45890"/>
    <w:rsid w:val="00F458DF"/>
    <w:rsid w:val="00F458E0"/>
    <w:rsid w:val="00F45951"/>
    <w:rsid w:val="00F45A0F"/>
    <w:rsid w:val="00F45B36"/>
    <w:rsid w:val="00F45B78"/>
    <w:rsid w:val="00F45B9A"/>
    <w:rsid w:val="00F45B9D"/>
    <w:rsid w:val="00F45D2D"/>
    <w:rsid w:val="00F45F17"/>
    <w:rsid w:val="00F46060"/>
    <w:rsid w:val="00F46073"/>
    <w:rsid w:val="00F4623B"/>
    <w:rsid w:val="00F463A1"/>
    <w:rsid w:val="00F4654F"/>
    <w:rsid w:val="00F46772"/>
    <w:rsid w:val="00F467B6"/>
    <w:rsid w:val="00F4689E"/>
    <w:rsid w:val="00F46980"/>
    <w:rsid w:val="00F469BC"/>
    <w:rsid w:val="00F469CF"/>
    <w:rsid w:val="00F46C78"/>
    <w:rsid w:val="00F46C98"/>
    <w:rsid w:val="00F46D38"/>
    <w:rsid w:val="00F46DB5"/>
    <w:rsid w:val="00F46E32"/>
    <w:rsid w:val="00F46E3E"/>
    <w:rsid w:val="00F46E4E"/>
    <w:rsid w:val="00F46E74"/>
    <w:rsid w:val="00F46EEC"/>
    <w:rsid w:val="00F46F33"/>
    <w:rsid w:val="00F470FF"/>
    <w:rsid w:val="00F471D7"/>
    <w:rsid w:val="00F4723D"/>
    <w:rsid w:val="00F4723E"/>
    <w:rsid w:val="00F47252"/>
    <w:rsid w:val="00F4730F"/>
    <w:rsid w:val="00F4731B"/>
    <w:rsid w:val="00F473AD"/>
    <w:rsid w:val="00F4744D"/>
    <w:rsid w:val="00F474C9"/>
    <w:rsid w:val="00F474CA"/>
    <w:rsid w:val="00F47540"/>
    <w:rsid w:val="00F47576"/>
    <w:rsid w:val="00F47875"/>
    <w:rsid w:val="00F479A9"/>
    <w:rsid w:val="00F47A12"/>
    <w:rsid w:val="00F47A1F"/>
    <w:rsid w:val="00F47AB7"/>
    <w:rsid w:val="00F47B3A"/>
    <w:rsid w:val="00F47B75"/>
    <w:rsid w:val="00F47C57"/>
    <w:rsid w:val="00F47C76"/>
    <w:rsid w:val="00F47CA8"/>
    <w:rsid w:val="00F47D37"/>
    <w:rsid w:val="00F47E00"/>
    <w:rsid w:val="00F47E42"/>
    <w:rsid w:val="00F47E57"/>
    <w:rsid w:val="00F47E64"/>
    <w:rsid w:val="00F50026"/>
    <w:rsid w:val="00F50031"/>
    <w:rsid w:val="00F5011D"/>
    <w:rsid w:val="00F50170"/>
    <w:rsid w:val="00F501B9"/>
    <w:rsid w:val="00F5026A"/>
    <w:rsid w:val="00F50346"/>
    <w:rsid w:val="00F50372"/>
    <w:rsid w:val="00F503E3"/>
    <w:rsid w:val="00F5040E"/>
    <w:rsid w:val="00F50517"/>
    <w:rsid w:val="00F5054E"/>
    <w:rsid w:val="00F505CA"/>
    <w:rsid w:val="00F5098F"/>
    <w:rsid w:val="00F5099D"/>
    <w:rsid w:val="00F50A40"/>
    <w:rsid w:val="00F50AFD"/>
    <w:rsid w:val="00F50B7D"/>
    <w:rsid w:val="00F50D14"/>
    <w:rsid w:val="00F50DD9"/>
    <w:rsid w:val="00F50E40"/>
    <w:rsid w:val="00F50FC7"/>
    <w:rsid w:val="00F51176"/>
    <w:rsid w:val="00F51179"/>
    <w:rsid w:val="00F511C9"/>
    <w:rsid w:val="00F511D5"/>
    <w:rsid w:val="00F5134E"/>
    <w:rsid w:val="00F51389"/>
    <w:rsid w:val="00F513CD"/>
    <w:rsid w:val="00F5143D"/>
    <w:rsid w:val="00F51520"/>
    <w:rsid w:val="00F51526"/>
    <w:rsid w:val="00F51586"/>
    <w:rsid w:val="00F5166C"/>
    <w:rsid w:val="00F51701"/>
    <w:rsid w:val="00F519FE"/>
    <w:rsid w:val="00F51A7A"/>
    <w:rsid w:val="00F51B51"/>
    <w:rsid w:val="00F51B53"/>
    <w:rsid w:val="00F51C11"/>
    <w:rsid w:val="00F51C22"/>
    <w:rsid w:val="00F51E6E"/>
    <w:rsid w:val="00F51E92"/>
    <w:rsid w:val="00F51E9F"/>
    <w:rsid w:val="00F51F70"/>
    <w:rsid w:val="00F52070"/>
    <w:rsid w:val="00F52098"/>
    <w:rsid w:val="00F520BA"/>
    <w:rsid w:val="00F520DF"/>
    <w:rsid w:val="00F5210F"/>
    <w:rsid w:val="00F5212C"/>
    <w:rsid w:val="00F52189"/>
    <w:rsid w:val="00F52287"/>
    <w:rsid w:val="00F522B6"/>
    <w:rsid w:val="00F5236B"/>
    <w:rsid w:val="00F52437"/>
    <w:rsid w:val="00F524E8"/>
    <w:rsid w:val="00F526A3"/>
    <w:rsid w:val="00F526AA"/>
    <w:rsid w:val="00F52851"/>
    <w:rsid w:val="00F52979"/>
    <w:rsid w:val="00F52A25"/>
    <w:rsid w:val="00F52CE4"/>
    <w:rsid w:val="00F52DBF"/>
    <w:rsid w:val="00F52DCD"/>
    <w:rsid w:val="00F52DE7"/>
    <w:rsid w:val="00F52F61"/>
    <w:rsid w:val="00F53068"/>
    <w:rsid w:val="00F5322B"/>
    <w:rsid w:val="00F532CA"/>
    <w:rsid w:val="00F532ED"/>
    <w:rsid w:val="00F5345D"/>
    <w:rsid w:val="00F5346B"/>
    <w:rsid w:val="00F53489"/>
    <w:rsid w:val="00F535D8"/>
    <w:rsid w:val="00F53707"/>
    <w:rsid w:val="00F53773"/>
    <w:rsid w:val="00F537C4"/>
    <w:rsid w:val="00F53815"/>
    <w:rsid w:val="00F53875"/>
    <w:rsid w:val="00F53A47"/>
    <w:rsid w:val="00F53AB2"/>
    <w:rsid w:val="00F53CFA"/>
    <w:rsid w:val="00F53EC4"/>
    <w:rsid w:val="00F53FEE"/>
    <w:rsid w:val="00F54138"/>
    <w:rsid w:val="00F5428E"/>
    <w:rsid w:val="00F5434B"/>
    <w:rsid w:val="00F54358"/>
    <w:rsid w:val="00F543B1"/>
    <w:rsid w:val="00F544CC"/>
    <w:rsid w:val="00F544E4"/>
    <w:rsid w:val="00F5453C"/>
    <w:rsid w:val="00F54692"/>
    <w:rsid w:val="00F54853"/>
    <w:rsid w:val="00F548F5"/>
    <w:rsid w:val="00F54AD5"/>
    <w:rsid w:val="00F54C76"/>
    <w:rsid w:val="00F54CCB"/>
    <w:rsid w:val="00F54D58"/>
    <w:rsid w:val="00F54D5B"/>
    <w:rsid w:val="00F54D8E"/>
    <w:rsid w:val="00F54E73"/>
    <w:rsid w:val="00F54FE6"/>
    <w:rsid w:val="00F550B7"/>
    <w:rsid w:val="00F55128"/>
    <w:rsid w:val="00F552D2"/>
    <w:rsid w:val="00F55311"/>
    <w:rsid w:val="00F55354"/>
    <w:rsid w:val="00F553FB"/>
    <w:rsid w:val="00F55401"/>
    <w:rsid w:val="00F554E0"/>
    <w:rsid w:val="00F5558E"/>
    <w:rsid w:val="00F55871"/>
    <w:rsid w:val="00F5589D"/>
    <w:rsid w:val="00F558B6"/>
    <w:rsid w:val="00F558D9"/>
    <w:rsid w:val="00F559B7"/>
    <w:rsid w:val="00F559C7"/>
    <w:rsid w:val="00F55C66"/>
    <w:rsid w:val="00F55C7E"/>
    <w:rsid w:val="00F55CC4"/>
    <w:rsid w:val="00F55D56"/>
    <w:rsid w:val="00F55E2D"/>
    <w:rsid w:val="00F55E65"/>
    <w:rsid w:val="00F55FF6"/>
    <w:rsid w:val="00F5600A"/>
    <w:rsid w:val="00F5621D"/>
    <w:rsid w:val="00F562BD"/>
    <w:rsid w:val="00F56604"/>
    <w:rsid w:val="00F566F0"/>
    <w:rsid w:val="00F5684B"/>
    <w:rsid w:val="00F569EA"/>
    <w:rsid w:val="00F56AD3"/>
    <w:rsid w:val="00F56B1B"/>
    <w:rsid w:val="00F56B60"/>
    <w:rsid w:val="00F56B71"/>
    <w:rsid w:val="00F56DA0"/>
    <w:rsid w:val="00F56E3A"/>
    <w:rsid w:val="00F56F2D"/>
    <w:rsid w:val="00F56F46"/>
    <w:rsid w:val="00F56F78"/>
    <w:rsid w:val="00F570AD"/>
    <w:rsid w:val="00F570F8"/>
    <w:rsid w:val="00F571F7"/>
    <w:rsid w:val="00F573AD"/>
    <w:rsid w:val="00F573FB"/>
    <w:rsid w:val="00F5740C"/>
    <w:rsid w:val="00F57484"/>
    <w:rsid w:val="00F575AA"/>
    <w:rsid w:val="00F57718"/>
    <w:rsid w:val="00F5778B"/>
    <w:rsid w:val="00F57848"/>
    <w:rsid w:val="00F57A10"/>
    <w:rsid w:val="00F57D13"/>
    <w:rsid w:val="00F57D33"/>
    <w:rsid w:val="00F57D90"/>
    <w:rsid w:val="00F57EE4"/>
    <w:rsid w:val="00F60035"/>
    <w:rsid w:val="00F60514"/>
    <w:rsid w:val="00F60558"/>
    <w:rsid w:val="00F60576"/>
    <w:rsid w:val="00F605A9"/>
    <w:rsid w:val="00F605DF"/>
    <w:rsid w:val="00F60607"/>
    <w:rsid w:val="00F6068B"/>
    <w:rsid w:val="00F606AF"/>
    <w:rsid w:val="00F607C1"/>
    <w:rsid w:val="00F607F1"/>
    <w:rsid w:val="00F6084C"/>
    <w:rsid w:val="00F60AB8"/>
    <w:rsid w:val="00F60BCF"/>
    <w:rsid w:val="00F60C26"/>
    <w:rsid w:val="00F60EC4"/>
    <w:rsid w:val="00F60F3C"/>
    <w:rsid w:val="00F60FEE"/>
    <w:rsid w:val="00F611C9"/>
    <w:rsid w:val="00F611F6"/>
    <w:rsid w:val="00F61311"/>
    <w:rsid w:val="00F613F9"/>
    <w:rsid w:val="00F6164A"/>
    <w:rsid w:val="00F6180C"/>
    <w:rsid w:val="00F618CD"/>
    <w:rsid w:val="00F618F0"/>
    <w:rsid w:val="00F61995"/>
    <w:rsid w:val="00F619F5"/>
    <w:rsid w:val="00F61A0A"/>
    <w:rsid w:val="00F61A10"/>
    <w:rsid w:val="00F61A6A"/>
    <w:rsid w:val="00F61A99"/>
    <w:rsid w:val="00F61B4B"/>
    <w:rsid w:val="00F61BD5"/>
    <w:rsid w:val="00F61C52"/>
    <w:rsid w:val="00F61CB7"/>
    <w:rsid w:val="00F61CBE"/>
    <w:rsid w:val="00F61DC7"/>
    <w:rsid w:val="00F61EB2"/>
    <w:rsid w:val="00F61ECA"/>
    <w:rsid w:val="00F61FAF"/>
    <w:rsid w:val="00F61FF4"/>
    <w:rsid w:val="00F62038"/>
    <w:rsid w:val="00F6212A"/>
    <w:rsid w:val="00F621E1"/>
    <w:rsid w:val="00F622C6"/>
    <w:rsid w:val="00F6235A"/>
    <w:rsid w:val="00F62565"/>
    <w:rsid w:val="00F625BC"/>
    <w:rsid w:val="00F626ED"/>
    <w:rsid w:val="00F627F4"/>
    <w:rsid w:val="00F62BA4"/>
    <w:rsid w:val="00F62C0A"/>
    <w:rsid w:val="00F62E43"/>
    <w:rsid w:val="00F62E73"/>
    <w:rsid w:val="00F630DC"/>
    <w:rsid w:val="00F63100"/>
    <w:rsid w:val="00F6321F"/>
    <w:rsid w:val="00F6331D"/>
    <w:rsid w:val="00F6352A"/>
    <w:rsid w:val="00F6362D"/>
    <w:rsid w:val="00F63712"/>
    <w:rsid w:val="00F6375A"/>
    <w:rsid w:val="00F637C3"/>
    <w:rsid w:val="00F63A48"/>
    <w:rsid w:val="00F63A95"/>
    <w:rsid w:val="00F63AC2"/>
    <w:rsid w:val="00F63D49"/>
    <w:rsid w:val="00F63D74"/>
    <w:rsid w:val="00F63FB2"/>
    <w:rsid w:val="00F64073"/>
    <w:rsid w:val="00F640A4"/>
    <w:rsid w:val="00F64155"/>
    <w:rsid w:val="00F6417E"/>
    <w:rsid w:val="00F64385"/>
    <w:rsid w:val="00F64515"/>
    <w:rsid w:val="00F64567"/>
    <w:rsid w:val="00F6471C"/>
    <w:rsid w:val="00F64772"/>
    <w:rsid w:val="00F647A3"/>
    <w:rsid w:val="00F64A1F"/>
    <w:rsid w:val="00F64BC1"/>
    <w:rsid w:val="00F64BEF"/>
    <w:rsid w:val="00F64BF3"/>
    <w:rsid w:val="00F64D99"/>
    <w:rsid w:val="00F64FF4"/>
    <w:rsid w:val="00F6504C"/>
    <w:rsid w:val="00F65079"/>
    <w:rsid w:val="00F650BC"/>
    <w:rsid w:val="00F650D4"/>
    <w:rsid w:val="00F652C6"/>
    <w:rsid w:val="00F654FB"/>
    <w:rsid w:val="00F65609"/>
    <w:rsid w:val="00F6563C"/>
    <w:rsid w:val="00F65753"/>
    <w:rsid w:val="00F657A9"/>
    <w:rsid w:val="00F65AA3"/>
    <w:rsid w:val="00F65B4B"/>
    <w:rsid w:val="00F65B64"/>
    <w:rsid w:val="00F65BE8"/>
    <w:rsid w:val="00F65C1A"/>
    <w:rsid w:val="00F65D0B"/>
    <w:rsid w:val="00F65EBB"/>
    <w:rsid w:val="00F65F52"/>
    <w:rsid w:val="00F65F7D"/>
    <w:rsid w:val="00F65FA4"/>
    <w:rsid w:val="00F65FCC"/>
    <w:rsid w:val="00F66022"/>
    <w:rsid w:val="00F6608C"/>
    <w:rsid w:val="00F6612C"/>
    <w:rsid w:val="00F66189"/>
    <w:rsid w:val="00F66228"/>
    <w:rsid w:val="00F6630E"/>
    <w:rsid w:val="00F66462"/>
    <w:rsid w:val="00F66491"/>
    <w:rsid w:val="00F66545"/>
    <w:rsid w:val="00F6656F"/>
    <w:rsid w:val="00F66570"/>
    <w:rsid w:val="00F666CB"/>
    <w:rsid w:val="00F667BC"/>
    <w:rsid w:val="00F66824"/>
    <w:rsid w:val="00F6691C"/>
    <w:rsid w:val="00F66936"/>
    <w:rsid w:val="00F66969"/>
    <w:rsid w:val="00F66AEC"/>
    <w:rsid w:val="00F66B3D"/>
    <w:rsid w:val="00F66D90"/>
    <w:rsid w:val="00F66DC3"/>
    <w:rsid w:val="00F66EB9"/>
    <w:rsid w:val="00F66F11"/>
    <w:rsid w:val="00F66FA4"/>
    <w:rsid w:val="00F67015"/>
    <w:rsid w:val="00F67049"/>
    <w:rsid w:val="00F6710F"/>
    <w:rsid w:val="00F67120"/>
    <w:rsid w:val="00F67231"/>
    <w:rsid w:val="00F67303"/>
    <w:rsid w:val="00F67451"/>
    <w:rsid w:val="00F67481"/>
    <w:rsid w:val="00F674F1"/>
    <w:rsid w:val="00F675C8"/>
    <w:rsid w:val="00F6766D"/>
    <w:rsid w:val="00F67744"/>
    <w:rsid w:val="00F67A42"/>
    <w:rsid w:val="00F67AFC"/>
    <w:rsid w:val="00F67B48"/>
    <w:rsid w:val="00F67B66"/>
    <w:rsid w:val="00F67E3D"/>
    <w:rsid w:val="00F67E6A"/>
    <w:rsid w:val="00F67E71"/>
    <w:rsid w:val="00F67E74"/>
    <w:rsid w:val="00F67EB5"/>
    <w:rsid w:val="00F70109"/>
    <w:rsid w:val="00F7012C"/>
    <w:rsid w:val="00F703E5"/>
    <w:rsid w:val="00F70469"/>
    <w:rsid w:val="00F70523"/>
    <w:rsid w:val="00F7053A"/>
    <w:rsid w:val="00F7053B"/>
    <w:rsid w:val="00F70581"/>
    <w:rsid w:val="00F706D7"/>
    <w:rsid w:val="00F70753"/>
    <w:rsid w:val="00F7092E"/>
    <w:rsid w:val="00F709CA"/>
    <w:rsid w:val="00F709FA"/>
    <w:rsid w:val="00F70AE1"/>
    <w:rsid w:val="00F70B59"/>
    <w:rsid w:val="00F70B8C"/>
    <w:rsid w:val="00F70C8D"/>
    <w:rsid w:val="00F70DF4"/>
    <w:rsid w:val="00F70E84"/>
    <w:rsid w:val="00F70EC9"/>
    <w:rsid w:val="00F70F69"/>
    <w:rsid w:val="00F70FB5"/>
    <w:rsid w:val="00F70FC6"/>
    <w:rsid w:val="00F710BC"/>
    <w:rsid w:val="00F710CA"/>
    <w:rsid w:val="00F71292"/>
    <w:rsid w:val="00F71386"/>
    <w:rsid w:val="00F713B5"/>
    <w:rsid w:val="00F713FD"/>
    <w:rsid w:val="00F715C6"/>
    <w:rsid w:val="00F716C8"/>
    <w:rsid w:val="00F7172F"/>
    <w:rsid w:val="00F71735"/>
    <w:rsid w:val="00F7179D"/>
    <w:rsid w:val="00F71B19"/>
    <w:rsid w:val="00F71B4C"/>
    <w:rsid w:val="00F71BC8"/>
    <w:rsid w:val="00F71CB7"/>
    <w:rsid w:val="00F71D04"/>
    <w:rsid w:val="00F71DBA"/>
    <w:rsid w:val="00F71DBC"/>
    <w:rsid w:val="00F71E2C"/>
    <w:rsid w:val="00F71F81"/>
    <w:rsid w:val="00F722F5"/>
    <w:rsid w:val="00F72385"/>
    <w:rsid w:val="00F723DF"/>
    <w:rsid w:val="00F724CF"/>
    <w:rsid w:val="00F72699"/>
    <w:rsid w:val="00F7271F"/>
    <w:rsid w:val="00F72898"/>
    <w:rsid w:val="00F72C52"/>
    <w:rsid w:val="00F72DC3"/>
    <w:rsid w:val="00F72FA8"/>
    <w:rsid w:val="00F73091"/>
    <w:rsid w:val="00F73147"/>
    <w:rsid w:val="00F7327C"/>
    <w:rsid w:val="00F73288"/>
    <w:rsid w:val="00F732CF"/>
    <w:rsid w:val="00F73326"/>
    <w:rsid w:val="00F73360"/>
    <w:rsid w:val="00F73417"/>
    <w:rsid w:val="00F734DF"/>
    <w:rsid w:val="00F73565"/>
    <w:rsid w:val="00F735D4"/>
    <w:rsid w:val="00F7362F"/>
    <w:rsid w:val="00F73665"/>
    <w:rsid w:val="00F736D0"/>
    <w:rsid w:val="00F7373E"/>
    <w:rsid w:val="00F7395B"/>
    <w:rsid w:val="00F7395F"/>
    <w:rsid w:val="00F7396A"/>
    <w:rsid w:val="00F73E5A"/>
    <w:rsid w:val="00F73E69"/>
    <w:rsid w:val="00F740DB"/>
    <w:rsid w:val="00F740F8"/>
    <w:rsid w:val="00F741C6"/>
    <w:rsid w:val="00F741F4"/>
    <w:rsid w:val="00F74230"/>
    <w:rsid w:val="00F74260"/>
    <w:rsid w:val="00F7442A"/>
    <w:rsid w:val="00F745F9"/>
    <w:rsid w:val="00F74615"/>
    <w:rsid w:val="00F7461D"/>
    <w:rsid w:val="00F74693"/>
    <w:rsid w:val="00F7469B"/>
    <w:rsid w:val="00F7472D"/>
    <w:rsid w:val="00F7487E"/>
    <w:rsid w:val="00F74913"/>
    <w:rsid w:val="00F74B74"/>
    <w:rsid w:val="00F74BAF"/>
    <w:rsid w:val="00F74C04"/>
    <w:rsid w:val="00F74D6B"/>
    <w:rsid w:val="00F74D71"/>
    <w:rsid w:val="00F74D88"/>
    <w:rsid w:val="00F74DA8"/>
    <w:rsid w:val="00F74DDC"/>
    <w:rsid w:val="00F74E54"/>
    <w:rsid w:val="00F74F14"/>
    <w:rsid w:val="00F74F32"/>
    <w:rsid w:val="00F74FCE"/>
    <w:rsid w:val="00F7501B"/>
    <w:rsid w:val="00F75219"/>
    <w:rsid w:val="00F7522A"/>
    <w:rsid w:val="00F752DC"/>
    <w:rsid w:val="00F75302"/>
    <w:rsid w:val="00F753BA"/>
    <w:rsid w:val="00F75687"/>
    <w:rsid w:val="00F75760"/>
    <w:rsid w:val="00F757EB"/>
    <w:rsid w:val="00F758EA"/>
    <w:rsid w:val="00F758F3"/>
    <w:rsid w:val="00F75A30"/>
    <w:rsid w:val="00F75BBE"/>
    <w:rsid w:val="00F75CED"/>
    <w:rsid w:val="00F75D13"/>
    <w:rsid w:val="00F75D31"/>
    <w:rsid w:val="00F75D65"/>
    <w:rsid w:val="00F75D89"/>
    <w:rsid w:val="00F75E51"/>
    <w:rsid w:val="00F75E52"/>
    <w:rsid w:val="00F75FEB"/>
    <w:rsid w:val="00F760DC"/>
    <w:rsid w:val="00F7614B"/>
    <w:rsid w:val="00F76216"/>
    <w:rsid w:val="00F762D4"/>
    <w:rsid w:val="00F768A0"/>
    <w:rsid w:val="00F76944"/>
    <w:rsid w:val="00F76946"/>
    <w:rsid w:val="00F7695B"/>
    <w:rsid w:val="00F76980"/>
    <w:rsid w:val="00F769E7"/>
    <w:rsid w:val="00F76A30"/>
    <w:rsid w:val="00F76A4A"/>
    <w:rsid w:val="00F76AB2"/>
    <w:rsid w:val="00F76B59"/>
    <w:rsid w:val="00F76B9C"/>
    <w:rsid w:val="00F76D88"/>
    <w:rsid w:val="00F76D90"/>
    <w:rsid w:val="00F76DE2"/>
    <w:rsid w:val="00F7701E"/>
    <w:rsid w:val="00F77049"/>
    <w:rsid w:val="00F770B8"/>
    <w:rsid w:val="00F770EC"/>
    <w:rsid w:val="00F77195"/>
    <w:rsid w:val="00F7747F"/>
    <w:rsid w:val="00F77527"/>
    <w:rsid w:val="00F77545"/>
    <w:rsid w:val="00F77635"/>
    <w:rsid w:val="00F776BD"/>
    <w:rsid w:val="00F7774D"/>
    <w:rsid w:val="00F7779E"/>
    <w:rsid w:val="00F7797D"/>
    <w:rsid w:val="00F77989"/>
    <w:rsid w:val="00F77AB3"/>
    <w:rsid w:val="00F77B77"/>
    <w:rsid w:val="00F77D29"/>
    <w:rsid w:val="00F77E7D"/>
    <w:rsid w:val="00F77F94"/>
    <w:rsid w:val="00F80141"/>
    <w:rsid w:val="00F8023E"/>
    <w:rsid w:val="00F8025E"/>
    <w:rsid w:val="00F80293"/>
    <w:rsid w:val="00F80350"/>
    <w:rsid w:val="00F803E3"/>
    <w:rsid w:val="00F80431"/>
    <w:rsid w:val="00F804B8"/>
    <w:rsid w:val="00F80636"/>
    <w:rsid w:val="00F806EE"/>
    <w:rsid w:val="00F807AA"/>
    <w:rsid w:val="00F8090E"/>
    <w:rsid w:val="00F8098D"/>
    <w:rsid w:val="00F80998"/>
    <w:rsid w:val="00F8099D"/>
    <w:rsid w:val="00F809B4"/>
    <w:rsid w:val="00F80A30"/>
    <w:rsid w:val="00F80A52"/>
    <w:rsid w:val="00F80AAE"/>
    <w:rsid w:val="00F80B62"/>
    <w:rsid w:val="00F80BA5"/>
    <w:rsid w:val="00F80D46"/>
    <w:rsid w:val="00F80E20"/>
    <w:rsid w:val="00F80FD4"/>
    <w:rsid w:val="00F8103A"/>
    <w:rsid w:val="00F810CA"/>
    <w:rsid w:val="00F8124F"/>
    <w:rsid w:val="00F81361"/>
    <w:rsid w:val="00F81438"/>
    <w:rsid w:val="00F815E2"/>
    <w:rsid w:val="00F81693"/>
    <w:rsid w:val="00F81767"/>
    <w:rsid w:val="00F817FA"/>
    <w:rsid w:val="00F8180B"/>
    <w:rsid w:val="00F81830"/>
    <w:rsid w:val="00F8185F"/>
    <w:rsid w:val="00F819ED"/>
    <w:rsid w:val="00F81AC3"/>
    <w:rsid w:val="00F81B63"/>
    <w:rsid w:val="00F81BD0"/>
    <w:rsid w:val="00F81CF1"/>
    <w:rsid w:val="00F81D6F"/>
    <w:rsid w:val="00F81DA1"/>
    <w:rsid w:val="00F81DC3"/>
    <w:rsid w:val="00F81FB2"/>
    <w:rsid w:val="00F82046"/>
    <w:rsid w:val="00F82084"/>
    <w:rsid w:val="00F82113"/>
    <w:rsid w:val="00F821A1"/>
    <w:rsid w:val="00F821AC"/>
    <w:rsid w:val="00F821C6"/>
    <w:rsid w:val="00F82258"/>
    <w:rsid w:val="00F82377"/>
    <w:rsid w:val="00F8265D"/>
    <w:rsid w:val="00F82662"/>
    <w:rsid w:val="00F8268A"/>
    <w:rsid w:val="00F827BA"/>
    <w:rsid w:val="00F827FB"/>
    <w:rsid w:val="00F82815"/>
    <w:rsid w:val="00F8285D"/>
    <w:rsid w:val="00F8295F"/>
    <w:rsid w:val="00F8297A"/>
    <w:rsid w:val="00F82A94"/>
    <w:rsid w:val="00F82B75"/>
    <w:rsid w:val="00F82BF2"/>
    <w:rsid w:val="00F82C24"/>
    <w:rsid w:val="00F82E85"/>
    <w:rsid w:val="00F82FF1"/>
    <w:rsid w:val="00F8302E"/>
    <w:rsid w:val="00F83070"/>
    <w:rsid w:val="00F831BF"/>
    <w:rsid w:val="00F831F4"/>
    <w:rsid w:val="00F832E3"/>
    <w:rsid w:val="00F83551"/>
    <w:rsid w:val="00F83679"/>
    <w:rsid w:val="00F836DF"/>
    <w:rsid w:val="00F837BB"/>
    <w:rsid w:val="00F83836"/>
    <w:rsid w:val="00F8396B"/>
    <w:rsid w:val="00F83AE4"/>
    <w:rsid w:val="00F83DA4"/>
    <w:rsid w:val="00F83EC8"/>
    <w:rsid w:val="00F83FC9"/>
    <w:rsid w:val="00F83FCA"/>
    <w:rsid w:val="00F83FE8"/>
    <w:rsid w:val="00F8404A"/>
    <w:rsid w:val="00F84074"/>
    <w:rsid w:val="00F8407D"/>
    <w:rsid w:val="00F8407E"/>
    <w:rsid w:val="00F84254"/>
    <w:rsid w:val="00F8425E"/>
    <w:rsid w:val="00F8437B"/>
    <w:rsid w:val="00F843AD"/>
    <w:rsid w:val="00F84499"/>
    <w:rsid w:val="00F8456B"/>
    <w:rsid w:val="00F846A5"/>
    <w:rsid w:val="00F8474A"/>
    <w:rsid w:val="00F84911"/>
    <w:rsid w:val="00F84976"/>
    <w:rsid w:val="00F84980"/>
    <w:rsid w:val="00F849A9"/>
    <w:rsid w:val="00F84B22"/>
    <w:rsid w:val="00F84D73"/>
    <w:rsid w:val="00F84E56"/>
    <w:rsid w:val="00F84EFD"/>
    <w:rsid w:val="00F84EFF"/>
    <w:rsid w:val="00F84F91"/>
    <w:rsid w:val="00F8503C"/>
    <w:rsid w:val="00F852A6"/>
    <w:rsid w:val="00F85357"/>
    <w:rsid w:val="00F85415"/>
    <w:rsid w:val="00F854C8"/>
    <w:rsid w:val="00F854F1"/>
    <w:rsid w:val="00F85533"/>
    <w:rsid w:val="00F8564D"/>
    <w:rsid w:val="00F85920"/>
    <w:rsid w:val="00F85959"/>
    <w:rsid w:val="00F85AE1"/>
    <w:rsid w:val="00F85BA5"/>
    <w:rsid w:val="00F85C5D"/>
    <w:rsid w:val="00F85CAA"/>
    <w:rsid w:val="00F85CDC"/>
    <w:rsid w:val="00F85D03"/>
    <w:rsid w:val="00F85D43"/>
    <w:rsid w:val="00F85E03"/>
    <w:rsid w:val="00F85E19"/>
    <w:rsid w:val="00F85E5D"/>
    <w:rsid w:val="00F85E70"/>
    <w:rsid w:val="00F85F63"/>
    <w:rsid w:val="00F86109"/>
    <w:rsid w:val="00F86195"/>
    <w:rsid w:val="00F86298"/>
    <w:rsid w:val="00F862E1"/>
    <w:rsid w:val="00F863B2"/>
    <w:rsid w:val="00F863B8"/>
    <w:rsid w:val="00F864B1"/>
    <w:rsid w:val="00F866F8"/>
    <w:rsid w:val="00F867F4"/>
    <w:rsid w:val="00F86992"/>
    <w:rsid w:val="00F869A6"/>
    <w:rsid w:val="00F86A7A"/>
    <w:rsid w:val="00F86B74"/>
    <w:rsid w:val="00F87339"/>
    <w:rsid w:val="00F873A6"/>
    <w:rsid w:val="00F87446"/>
    <w:rsid w:val="00F8754F"/>
    <w:rsid w:val="00F876AF"/>
    <w:rsid w:val="00F8772C"/>
    <w:rsid w:val="00F87783"/>
    <w:rsid w:val="00F877EB"/>
    <w:rsid w:val="00F8795B"/>
    <w:rsid w:val="00F87B3E"/>
    <w:rsid w:val="00F87CE0"/>
    <w:rsid w:val="00F90056"/>
    <w:rsid w:val="00F900A9"/>
    <w:rsid w:val="00F900E7"/>
    <w:rsid w:val="00F9018F"/>
    <w:rsid w:val="00F90246"/>
    <w:rsid w:val="00F902B4"/>
    <w:rsid w:val="00F90413"/>
    <w:rsid w:val="00F9045E"/>
    <w:rsid w:val="00F904E4"/>
    <w:rsid w:val="00F90548"/>
    <w:rsid w:val="00F90710"/>
    <w:rsid w:val="00F90958"/>
    <w:rsid w:val="00F90AD6"/>
    <w:rsid w:val="00F90B56"/>
    <w:rsid w:val="00F90BB8"/>
    <w:rsid w:val="00F90BE0"/>
    <w:rsid w:val="00F90C55"/>
    <w:rsid w:val="00F90C90"/>
    <w:rsid w:val="00F90D1C"/>
    <w:rsid w:val="00F90E08"/>
    <w:rsid w:val="00F90F39"/>
    <w:rsid w:val="00F9100A"/>
    <w:rsid w:val="00F9118C"/>
    <w:rsid w:val="00F911C9"/>
    <w:rsid w:val="00F9136D"/>
    <w:rsid w:val="00F913C1"/>
    <w:rsid w:val="00F91500"/>
    <w:rsid w:val="00F91556"/>
    <w:rsid w:val="00F91568"/>
    <w:rsid w:val="00F916B7"/>
    <w:rsid w:val="00F916BD"/>
    <w:rsid w:val="00F91829"/>
    <w:rsid w:val="00F91895"/>
    <w:rsid w:val="00F918DB"/>
    <w:rsid w:val="00F91A6D"/>
    <w:rsid w:val="00F91A9C"/>
    <w:rsid w:val="00F91C31"/>
    <w:rsid w:val="00F91CCA"/>
    <w:rsid w:val="00F91D26"/>
    <w:rsid w:val="00F91DA8"/>
    <w:rsid w:val="00F92059"/>
    <w:rsid w:val="00F920C8"/>
    <w:rsid w:val="00F922A1"/>
    <w:rsid w:val="00F9235D"/>
    <w:rsid w:val="00F9240F"/>
    <w:rsid w:val="00F924E4"/>
    <w:rsid w:val="00F92547"/>
    <w:rsid w:val="00F9257E"/>
    <w:rsid w:val="00F927E9"/>
    <w:rsid w:val="00F928D5"/>
    <w:rsid w:val="00F92971"/>
    <w:rsid w:val="00F92A27"/>
    <w:rsid w:val="00F92A2C"/>
    <w:rsid w:val="00F92AE6"/>
    <w:rsid w:val="00F92C4A"/>
    <w:rsid w:val="00F92CB5"/>
    <w:rsid w:val="00F92E06"/>
    <w:rsid w:val="00F92FFF"/>
    <w:rsid w:val="00F9303B"/>
    <w:rsid w:val="00F9319E"/>
    <w:rsid w:val="00F934CF"/>
    <w:rsid w:val="00F9351C"/>
    <w:rsid w:val="00F9365D"/>
    <w:rsid w:val="00F937C2"/>
    <w:rsid w:val="00F93949"/>
    <w:rsid w:val="00F93ABE"/>
    <w:rsid w:val="00F93E58"/>
    <w:rsid w:val="00F93E78"/>
    <w:rsid w:val="00F93F57"/>
    <w:rsid w:val="00F93F75"/>
    <w:rsid w:val="00F93FCD"/>
    <w:rsid w:val="00F940B1"/>
    <w:rsid w:val="00F94147"/>
    <w:rsid w:val="00F94398"/>
    <w:rsid w:val="00F94440"/>
    <w:rsid w:val="00F94458"/>
    <w:rsid w:val="00F9464C"/>
    <w:rsid w:val="00F9466C"/>
    <w:rsid w:val="00F946DF"/>
    <w:rsid w:val="00F947EE"/>
    <w:rsid w:val="00F94803"/>
    <w:rsid w:val="00F9484A"/>
    <w:rsid w:val="00F94983"/>
    <w:rsid w:val="00F949CC"/>
    <w:rsid w:val="00F94A01"/>
    <w:rsid w:val="00F94BB2"/>
    <w:rsid w:val="00F94BCE"/>
    <w:rsid w:val="00F94D2D"/>
    <w:rsid w:val="00F94D40"/>
    <w:rsid w:val="00F94F0C"/>
    <w:rsid w:val="00F94FA6"/>
    <w:rsid w:val="00F94FBE"/>
    <w:rsid w:val="00F95014"/>
    <w:rsid w:val="00F95075"/>
    <w:rsid w:val="00F95169"/>
    <w:rsid w:val="00F9519F"/>
    <w:rsid w:val="00F953E0"/>
    <w:rsid w:val="00F954E3"/>
    <w:rsid w:val="00F9556D"/>
    <w:rsid w:val="00F9557E"/>
    <w:rsid w:val="00F955BC"/>
    <w:rsid w:val="00F9564E"/>
    <w:rsid w:val="00F9568D"/>
    <w:rsid w:val="00F95888"/>
    <w:rsid w:val="00F9593F"/>
    <w:rsid w:val="00F95993"/>
    <w:rsid w:val="00F95A36"/>
    <w:rsid w:val="00F95ACB"/>
    <w:rsid w:val="00F95B20"/>
    <w:rsid w:val="00F95B66"/>
    <w:rsid w:val="00F95C35"/>
    <w:rsid w:val="00F95CCD"/>
    <w:rsid w:val="00F95D44"/>
    <w:rsid w:val="00F95D8C"/>
    <w:rsid w:val="00F9600E"/>
    <w:rsid w:val="00F9613C"/>
    <w:rsid w:val="00F96264"/>
    <w:rsid w:val="00F9629F"/>
    <w:rsid w:val="00F9646A"/>
    <w:rsid w:val="00F96610"/>
    <w:rsid w:val="00F968DC"/>
    <w:rsid w:val="00F96948"/>
    <w:rsid w:val="00F9694A"/>
    <w:rsid w:val="00F96ACF"/>
    <w:rsid w:val="00F96AD7"/>
    <w:rsid w:val="00F96B20"/>
    <w:rsid w:val="00F96B40"/>
    <w:rsid w:val="00F96C88"/>
    <w:rsid w:val="00F96D9C"/>
    <w:rsid w:val="00F96DD0"/>
    <w:rsid w:val="00F96E5E"/>
    <w:rsid w:val="00F96EED"/>
    <w:rsid w:val="00F971C5"/>
    <w:rsid w:val="00F973C8"/>
    <w:rsid w:val="00F973DC"/>
    <w:rsid w:val="00F9745E"/>
    <w:rsid w:val="00F97468"/>
    <w:rsid w:val="00F97494"/>
    <w:rsid w:val="00F97646"/>
    <w:rsid w:val="00F97672"/>
    <w:rsid w:val="00F9777F"/>
    <w:rsid w:val="00F97789"/>
    <w:rsid w:val="00F9796E"/>
    <w:rsid w:val="00F979DC"/>
    <w:rsid w:val="00F97A01"/>
    <w:rsid w:val="00F97A0E"/>
    <w:rsid w:val="00F97A38"/>
    <w:rsid w:val="00F97A8F"/>
    <w:rsid w:val="00F97B32"/>
    <w:rsid w:val="00F97B35"/>
    <w:rsid w:val="00F97C42"/>
    <w:rsid w:val="00F97D25"/>
    <w:rsid w:val="00F97DF9"/>
    <w:rsid w:val="00F97F58"/>
    <w:rsid w:val="00FA00CC"/>
    <w:rsid w:val="00FA0147"/>
    <w:rsid w:val="00FA0184"/>
    <w:rsid w:val="00FA01CF"/>
    <w:rsid w:val="00FA0222"/>
    <w:rsid w:val="00FA02BF"/>
    <w:rsid w:val="00FA036F"/>
    <w:rsid w:val="00FA03F1"/>
    <w:rsid w:val="00FA047F"/>
    <w:rsid w:val="00FA0544"/>
    <w:rsid w:val="00FA0659"/>
    <w:rsid w:val="00FA0681"/>
    <w:rsid w:val="00FA07A7"/>
    <w:rsid w:val="00FA08AD"/>
    <w:rsid w:val="00FA08C3"/>
    <w:rsid w:val="00FA09FA"/>
    <w:rsid w:val="00FA0A02"/>
    <w:rsid w:val="00FA0A9C"/>
    <w:rsid w:val="00FA0C42"/>
    <w:rsid w:val="00FA0C5F"/>
    <w:rsid w:val="00FA0C81"/>
    <w:rsid w:val="00FA0D45"/>
    <w:rsid w:val="00FA0DCF"/>
    <w:rsid w:val="00FA0FB3"/>
    <w:rsid w:val="00FA0FBE"/>
    <w:rsid w:val="00FA1017"/>
    <w:rsid w:val="00FA11CC"/>
    <w:rsid w:val="00FA11D8"/>
    <w:rsid w:val="00FA123E"/>
    <w:rsid w:val="00FA14B8"/>
    <w:rsid w:val="00FA14C1"/>
    <w:rsid w:val="00FA14C7"/>
    <w:rsid w:val="00FA14FC"/>
    <w:rsid w:val="00FA1550"/>
    <w:rsid w:val="00FA158E"/>
    <w:rsid w:val="00FA161C"/>
    <w:rsid w:val="00FA1621"/>
    <w:rsid w:val="00FA1805"/>
    <w:rsid w:val="00FA1939"/>
    <w:rsid w:val="00FA196D"/>
    <w:rsid w:val="00FA1A9A"/>
    <w:rsid w:val="00FA1A9F"/>
    <w:rsid w:val="00FA1BE1"/>
    <w:rsid w:val="00FA1C3B"/>
    <w:rsid w:val="00FA1D02"/>
    <w:rsid w:val="00FA1D89"/>
    <w:rsid w:val="00FA1E77"/>
    <w:rsid w:val="00FA1E86"/>
    <w:rsid w:val="00FA2060"/>
    <w:rsid w:val="00FA20EB"/>
    <w:rsid w:val="00FA2184"/>
    <w:rsid w:val="00FA2366"/>
    <w:rsid w:val="00FA2520"/>
    <w:rsid w:val="00FA258D"/>
    <w:rsid w:val="00FA25FE"/>
    <w:rsid w:val="00FA270E"/>
    <w:rsid w:val="00FA2710"/>
    <w:rsid w:val="00FA2879"/>
    <w:rsid w:val="00FA28B5"/>
    <w:rsid w:val="00FA28D9"/>
    <w:rsid w:val="00FA290D"/>
    <w:rsid w:val="00FA2AC9"/>
    <w:rsid w:val="00FA2AF2"/>
    <w:rsid w:val="00FA2B9E"/>
    <w:rsid w:val="00FA2BB8"/>
    <w:rsid w:val="00FA2C1F"/>
    <w:rsid w:val="00FA2CBF"/>
    <w:rsid w:val="00FA2EA1"/>
    <w:rsid w:val="00FA304B"/>
    <w:rsid w:val="00FA33FA"/>
    <w:rsid w:val="00FA355B"/>
    <w:rsid w:val="00FA3614"/>
    <w:rsid w:val="00FA3632"/>
    <w:rsid w:val="00FA3641"/>
    <w:rsid w:val="00FA37E7"/>
    <w:rsid w:val="00FA3919"/>
    <w:rsid w:val="00FA3AA1"/>
    <w:rsid w:val="00FA3C18"/>
    <w:rsid w:val="00FA3C4B"/>
    <w:rsid w:val="00FA3CA7"/>
    <w:rsid w:val="00FA3CB5"/>
    <w:rsid w:val="00FA3DA0"/>
    <w:rsid w:val="00FA3DA7"/>
    <w:rsid w:val="00FA3DD0"/>
    <w:rsid w:val="00FA3E50"/>
    <w:rsid w:val="00FA3EAD"/>
    <w:rsid w:val="00FA41F1"/>
    <w:rsid w:val="00FA430B"/>
    <w:rsid w:val="00FA4352"/>
    <w:rsid w:val="00FA4371"/>
    <w:rsid w:val="00FA43D0"/>
    <w:rsid w:val="00FA445E"/>
    <w:rsid w:val="00FA4490"/>
    <w:rsid w:val="00FA4517"/>
    <w:rsid w:val="00FA4526"/>
    <w:rsid w:val="00FA4577"/>
    <w:rsid w:val="00FA464F"/>
    <w:rsid w:val="00FA469A"/>
    <w:rsid w:val="00FA47BF"/>
    <w:rsid w:val="00FA47DE"/>
    <w:rsid w:val="00FA4880"/>
    <w:rsid w:val="00FA4929"/>
    <w:rsid w:val="00FA4949"/>
    <w:rsid w:val="00FA4998"/>
    <w:rsid w:val="00FA49A4"/>
    <w:rsid w:val="00FA4A69"/>
    <w:rsid w:val="00FA4A70"/>
    <w:rsid w:val="00FA4BBF"/>
    <w:rsid w:val="00FA4C53"/>
    <w:rsid w:val="00FA4CCA"/>
    <w:rsid w:val="00FA4D31"/>
    <w:rsid w:val="00FA4E17"/>
    <w:rsid w:val="00FA4F3E"/>
    <w:rsid w:val="00FA4F55"/>
    <w:rsid w:val="00FA4F7C"/>
    <w:rsid w:val="00FA4FCB"/>
    <w:rsid w:val="00FA53B7"/>
    <w:rsid w:val="00FA5476"/>
    <w:rsid w:val="00FA590C"/>
    <w:rsid w:val="00FA5917"/>
    <w:rsid w:val="00FA5A19"/>
    <w:rsid w:val="00FA5A1A"/>
    <w:rsid w:val="00FA5B11"/>
    <w:rsid w:val="00FA5BCA"/>
    <w:rsid w:val="00FA5C97"/>
    <w:rsid w:val="00FA5CA6"/>
    <w:rsid w:val="00FA5CE3"/>
    <w:rsid w:val="00FA5D70"/>
    <w:rsid w:val="00FA5DC8"/>
    <w:rsid w:val="00FA5DFC"/>
    <w:rsid w:val="00FA5E52"/>
    <w:rsid w:val="00FA5FC4"/>
    <w:rsid w:val="00FA609D"/>
    <w:rsid w:val="00FA6184"/>
    <w:rsid w:val="00FA6188"/>
    <w:rsid w:val="00FA62CF"/>
    <w:rsid w:val="00FA62F0"/>
    <w:rsid w:val="00FA642F"/>
    <w:rsid w:val="00FA64FC"/>
    <w:rsid w:val="00FA653D"/>
    <w:rsid w:val="00FA6587"/>
    <w:rsid w:val="00FA65DD"/>
    <w:rsid w:val="00FA66E4"/>
    <w:rsid w:val="00FA67FB"/>
    <w:rsid w:val="00FA6A3D"/>
    <w:rsid w:val="00FA6AAA"/>
    <w:rsid w:val="00FA6B7E"/>
    <w:rsid w:val="00FA6CD9"/>
    <w:rsid w:val="00FA6D1C"/>
    <w:rsid w:val="00FA6D39"/>
    <w:rsid w:val="00FA6DCE"/>
    <w:rsid w:val="00FA6E7C"/>
    <w:rsid w:val="00FA6F04"/>
    <w:rsid w:val="00FA6FBF"/>
    <w:rsid w:val="00FA6FCD"/>
    <w:rsid w:val="00FA704D"/>
    <w:rsid w:val="00FA705C"/>
    <w:rsid w:val="00FA71F5"/>
    <w:rsid w:val="00FA76C0"/>
    <w:rsid w:val="00FA7727"/>
    <w:rsid w:val="00FA7774"/>
    <w:rsid w:val="00FA77A4"/>
    <w:rsid w:val="00FA7820"/>
    <w:rsid w:val="00FA7827"/>
    <w:rsid w:val="00FA78E8"/>
    <w:rsid w:val="00FA790E"/>
    <w:rsid w:val="00FA79EA"/>
    <w:rsid w:val="00FA7A16"/>
    <w:rsid w:val="00FA7A6D"/>
    <w:rsid w:val="00FA7AF6"/>
    <w:rsid w:val="00FA7B1F"/>
    <w:rsid w:val="00FA7B55"/>
    <w:rsid w:val="00FA7C72"/>
    <w:rsid w:val="00FA7D20"/>
    <w:rsid w:val="00FA7EC6"/>
    <w:rsid w:val="00FA7ED2"/>
    <w:rsid w:val="00FB0030"/>
    <w:rsid w:val="00FB00B4"/>
    <w:rsid w:val="00FB0242"/>
    <w:rsid w:val="00FB02C0"/>
    <w:rsid w:val="00FB0452"/>
    <w:rsid w:val="00FB0455"/>
    <w:rsid w:val="00FB04FE"/>
    <w:rsid w:val="00FB054A"/>
    <w:rsid w:val="00FB05B7"/>
    <w:rsid w:val="00FB07FA"/>
    <w:rsid w:val="00FB0A6C"/>
    <w:rsid w:val="00FB0B4C"/>
    <w:rsid w:val="00FB0B88"/>
    <w:rsid w:val="00FB0BD5"/>
    <w:rsid w:val="00FB0CA1"/>
    <w:rsid w:val="00FB0DE2"/>
    <w:rsid w:val="00FB0F03"/>
    <w:rsid w:val="00FB0F69"/>
    <w:rsid w:val="00FB1087"/>
    <w:rsid w:val="00FB11C7"/>
    <w:rsid w:val="00FB11DD"/>
    <w:rsid w:val="00FB121F"/>
    <w:rsid w:val="00FB1426"/>
    <w:rsid w:val="00FB14C7"/>
    <w:rsid w:val="00FB14EE"/>
    <w:rsid w:val="00FB155D"/>
    <w:rsid w:val="00FB1569"/>
    <w:rsid w:val="00FB158B"/>
    <w:rsid w:val="00FB1627"/>
    <w:rsid w:val="00FB16CD"/>
    <w:rsid w:val="00FB1830"/>
    <w:rsid w:val="00FB1872"/>
    <w:rsid w:val="00FB19D1"/>
    <w:rsid w:val="00FB1A53"/>
    <w:rsid w:val="00FB1B5B"/>
    <w:rsid w:val="00FB1BD3"/>
    <w:rsid w:val="00FB1BF2"/>
    <w:rsid w:val="00FB1C30"/>
    <w:rsid w:val="00FB1C53"/>
    <w:rsid w:val="00FB1D22"/>
    <w:rsid w:val="00FB1D64"/>
    <w:rsid w:val="00FB1DC3"/>
    <w:rsid w:val="00FB1F4F"/>
    <w:rsid w:val="00FB2016"/>
    <w:rsid w:val="00FB2177"/>
    <w:rsid w:val="00FB2212"/>
    <w:rsid w:val="00FB2325"/>
    <w:rsid w:val="00FB232F"/>
    <w:rsid w:val="00FB24CF"/>
    <w:rsid w:val="00FB2578"/>
    <w:rsid w:val="00FB258D"/>
    <w:rsid w:val="00FB2722"/>
    <w:rsid w:val="00FB27C0"/>
    <w:rsid w:val="00FB27CC"/>
    <w:rsid w:val="00FB2815"/>
    <w:rsid w:val="00FB2A01"/>
    <w:rsid w:val="00FB2A5B"/>
    <w:rsid w:val="00FB2AC0"/>
    <w:rsid w:val="00FB2B69"/>
    <w:rsid w:val="00FB2CA9"/>
    <w:rsid w:val="00FB2E50"/>
    <w:rsid w:val="00FB2EFB"/>
    <w:rsid w:val="00FB2F82"/>
    <w:rsid w:val="00FB2FD5"/>
    <w:rsid w:val="00FB3044"/>
    <w:rsid w:val="00FB313D"/>
    <w:rsid w:val="00FB3583"/>
    <w:rsid w:val="00FB361D"/>
    <w:rsid w:val="00FB3766"/>
    <w:rsid w:val="00FB3817"/>
    <w:rsid w:val="00FB3919"/>
    <w:rsid w:val="00FB39D0"/>
    <w:rsid w:val="00FB3A53"/>
    <w:rsid w:val="00FB3AC7"/>
    <w:rsid w:val="00FB3B68"/>
    <w:rsid w:val="00FB3C54"/>
    <w:rsid w:val="00FB3CCC"/>
    <w:rsid w:val="00FB3D80"/>
    <w:rsid w:val="00FB3F21"/>
    <w:rsid w:val="00FB4158"/>
    <w:rsid w:val="00FB4167"/>
    <w:rsid w:val="00FB4240"/>
    <w:rsid w:val="00FB4284"/>
    <w:rsid w:val="00FB444B"/>
    <w:rsid w:val="00FB44EE"/>
    <w:rsid w:val="00FB44EF"/>
    <w:rsid w:val="00FB451D"/>
    <w:rsid w:val="00FB46DE"/>
    <w:rsid w:val="00FB46E5"/>
    <w:rsid w:val="00FB47CF"/>
    <w:rsid w:val="00FB4883"/>
    <w:rsid w:val="00FB4D03"/>
    <w:rsid w:val="00FB4E51"/>
    <w:rsid w:val="00FB4F37"/>
    <w:rsid w:val="00FB4FAE"/>
    <w:rsid w:val="00FB50A4"/>
    <w:rsid w:val="00FB5134"/>
    <w:rsid w:val="00FB5142"/>
    <w:rsid w:val="00FB524D"/>
    <w:rsid w:val="00FB5272"/>
    <w:rsid w:val="00FB54A6"/>
    <w:rsid w:val="00FB5620"/>
    <w:rsid w:val="00FB582E"/>
    <w:rsid w:val="00FB5A7A"/>
    <w:rsid w:val="00FB5AC0"/>
    <w:rsid w:val="00FB5AEF"/>
    <w:rsid w:val="00FB5C26"/>
    <w:rsid w:val="00FB5CE7"/>
    <w:rsid w:val="00FB5D00"/>
    <w:rsid w:val="00FB5D2F"/>
    <w:rsid w:val="00FB5E23"/>
    <w:rsid w:val="00FB5EC6"/>
    <w:rsid w:val="00FB5EFE"/>
    <w:rsid w:val="00FB60B5"/>
    <w:rsid w:val="00FB60C5"/>
    <w:rsid w:val="00FB6273"/>
    <w:rsid w:val="00FB627E"/>
    <w:rsid w:val="00FB6297"/>
    <w:rsid w:val="00FB62CC"/>
    <w:rsid w:val="00FB62EE"/>
    <w:rsid w:val="00FB6305"/>
    <w:rsid w:val="00FB63A4"/>
    <w:rsid w:val="00FB64D3"/>
    <w:rsid w:val="00FB6509"/>
    <w:rsid w:val="00FB6579"/>
    <w:rsid w:val="00FB65F8"/>
    <w:rsid w:val="00FB66CB"/>
    <w:rsid w:val="00FB6815"/>
    <w:rsid w:val="00FB6855"/>
    <w:rsid w:val="00FB6899"/>
    <w:rsid w:val="00FB6907"/>
    <w:rsid w:val="00FB6972"/>
    <w:rsid w:val="00FB6996"/>
    <w:rsid w:val="00FB6A52"/>
    <w:rsid w:val="00FB6B6C"/>
    <w:rsid w:val="00FB6BF8"/>
    <w:rsid w:val="00FB6C14"/>
    <w:rsid w:val="00FB6D72"/>
    <w:rsid w:val="00FB6DB0"/>
    <w:rsid w:val="00FB6DF9"/>
    <w:rsid w:val="00FB6E07"/>
    <w:rsid w:val="00FB6F32"/>
    <w:rsid w:val="00FB6FF1"/>
    <w:rsid w:val="00FB700D"/>
    <w:rsid w:val="00FB7032"/>
    <w:rsid w:val="00FB710D"/>
    <w:rsid w:val="00FB7138"/>
    <w:rsid w:val="00FB71B6"/>
    <w:rsid w:val="00FB7298"/>
    <w:rsid w:val="00FB72C6"/>
    <w:rsid w:val="00FB7427"/>
    <w:rsid w:val="00FB74E0"/>
    <w:rsid w:val="00FB75AD"/>
    <w:rsid w:val="00FB75F4"/>
    <w:rsid w:val="00FB7660"/>
    <w:rsid w:val="00FB7680"/>
    <w:rsid w:val="00FB78F9"/>
    <w:rsid w:val="00FB7998"/>
    <w:rsid w:val="00FB7A1B"/>
    <w:rsid w:val="00FB7B18"/>
    <w:rsid w:val="00FB7BEE"/>
    <w:rsid w:val="00FB7E1E"/>
    <w:rsid w:val="00FB7EF6"/>
    <w:rsid w:val="00FB7FAE"/>
    <w:rsid w:val="00FC000E"/>
    <w:rsid w:val="00FC00CC"/>
    <w:rsid w:val="00FC0131"/>
    <w:rsid w:val="00FC01B6"/>
    <w:rsid w:val="00FC01F8"/>
    <w:rsid w:val="00FC030E"/>
    <w:rsid w:val="00FC031D"/>
    <w:rsid w:val="00FC050F"/>
    <w:rsid w:val="00FC0540"/>
    <w:rsid w:val="00FC0607"/>
    <w:rsid w:val="00FC07CA"/>
    <w:rsid w:val="00FC07D2"/>
    <w:rsid w:val="00FC0A55"/>
    <w:rsid w:val="00FC0C4A"/>
    <w:rsid w:val="00FC0D25"/>
    <w:rsid w:val="00FC0DC5"/>
    <w:rsid w:val="00FC0DCF"/>
    <w:rsid w:val="00FC0EB3"/>
    <w:rsid w:val="00FC0EEF"/>
    <w:rsid w:val="00FC0F82"/>
    <w:rsid w:val="00FC0FA8"/>
    <w:rsid w:val="00FC110D"/>
    <w:rsid w:val="00FC117B"/>
    <w:rsid w:val="00FC1248"/>
    <w:rsid w:val="00FC1306"/>
    <w:rsid w:val="00FC1315"/>
    <w:rsid w:val="00FC147B"/>
    <w:rsid w:val="00FC16C7"/>
    <w:rsid w:val="00FC1879"/>
    <w:rsid w:val="00FC192C"/>
    <w:rsid w:val="00FC195D"/>
    <w:rsid w:val="00FC1AAB"/>
    <w:rsid w:val="00FC1C17"/>
    <w:rsid w:val="00FC1CE2"/>
    <w:rsid w:val="00FC1F1E"/>
    <w:rsid w:val="00FC1F9E"/>
    <w:rsid w:val="00FC2223"/>
    <w:rsid w:val="00FC222B"/>
    <w:rsid w:val="00FC2261"/>
    <w:rsid w:val="00FC24FF"/>
    <w:rsid w:val="00FC258D"/>
    <w:rsid w:val="00FC25CE"/>
    <w:rsid w:val="00FC2641"/>
    <w:rsid w:val="00FC26EE"/>
    <w:rsid w:val="00FC279F"/>
    <w:rsid w:val="00FC27AF"/>
    <w:rsid w:val="00FC2844"/>
    <w:rsid w:val="00FC288E"/>
    <w:rsid w:val="00FC2890"/>
    <w:rsid w:val="00FC28D4"/>
    <w:rsid w:val="00FC28F9"/>
    <w:rsid w:val="00FC290C"/>
    <w:rsid w:val="00FC29E2"/>
    <w:rsid w:val="00FC2BBB"/>
    <w:rsid w:val="00FC2C33"/>
    <w:rsid w:val="00FC2F2A"/>
    <w:rsid w:val="00FC30AC"/>
    <w:rsid w:val="00FC312E"/>
    <w:rsid w:val="00FC32E7"/>
    <w:rsid w:val="00FC347C"/>
    <w:rsid w:val="00FC34FB"/>
    <w:rsid w:val="00FC3521"/>
    <w:rsid w:val="00FC352A"/>
    <w:rsid w:val="00FC354A"/>
    <w:rsid w:val="00FC3563"/>
    <w:rsid w:val="00FC3589"/>
    <w:rsid w:val="00FC35F4"/>
    <w:rsid w:val="00FC35F7"/>
    <w:rsid w:val="00FC36C4"/>
    <w:rsid w:val="00FC3751"/>
    <w:rsid w:val="00FC38B0"/>
    <w:rsid w:val="00FC38B2"/>
    <w:rsid w:val="00FC38F4"/>
    <w:rsid w:val="00FC3957"/>
    <w:rsid w:val="00FC398D"/>
    <w:rsid w:val="00FC39BA"/>
    <w:rsid w:val="00FC3A3C"/>
    <w:rsid w:val="00FC3A64"/>
    <w:rsid w:val="00FC3B47"/>
    <w:rsid w:val="00FC3BEA"/>
    <w:rsid w:val="00FC3C09"/>
    <w:rsid w:val="00FC3C34"/>
    <w:rsid w:val="00FC3CE5"/>
    <w:rsid w:val="00FC3CE7"/>
    <w:rsid w:val="00FC3CEE"/>
    <w:rsid w:val="00FC3CFD"/>
    <w:rsid w:val="00FC3E11"/>
    <w:rsid w:val="00FC3F21"/>
    <w:rsid w:val="00FC4062"/>
    <w:rsid w:val="00FC406C"/>
    <w:rsid w:val="00FC4185"/>
    <w:rsid w:val="00FC43BD"/>
    <w:rsid w:val="00FC4426"/>
    <w:rsid w:val="00FC4500"/>
    <w:rsid w:val="00FC4645"/>
    <w:rsid w:val="00FC4662"/>
    <w:rsid w:val="00FC46DC"/>
    <w:rsid w:val="00FC4700"/>
    <w:rsid w:val="00FC4702"/>
    <w:rsid w:val="00FC4744"/>
    <w:rsid w:val="00FC479B"/>
    <w:rsid w:val="00FC485C"/>
    <w:rsid w:val="00FC4982"/>
    <w:rsid w:val="00FC4C75"/>
    <w:rsid w:val="00FC4C7D"/>
    <w:rsid w:val="00FC4C80"/>
    <w:rsid w:val="00FC4E91"/>
    <w:rsid w:val="00FC4F57"/>
    <w:rsid w:val="00FC4F91"/>
    <w:rsid w:val="00FC5069"/>
    <w:rsid w:val="00FC516D"/>
    <w:rsid w:val="00FC51E7"/>
    <w:rsid w:val="00FC521F"/>
    <w:rsid w:val="00FC5260"/>
    <w:rsid w:val="00FC5299"/>
    <w:rsid w:val="00FC531B"/>
    <w:rsid w:val="00FC54E1"/>
    <w:rsid w:val="00FC567C"/>
    <w:rsid w:val="00FC5731"/>
    <w:rsid w:val="00FC57DE"/>
    <w:rsid w:val="00FC5961"/>
    <w:rsid w:val="00FC5AD3"/>
    <w:rsid w:val="00FC5AF2"/>
    <w:rsid w:val="00FC5BF1"/>
    <w:rsid w:val="00FC5C1F"/>
    <w:rsid w:val="00FC5CC9"/>
    <w:rsid w:val="00FC5E07"/>
    <w:rsid w:val="00FC5E98"/>
    <w:rsid w:val="00FC5EB6"/>
    <w:rsid w:val="00FC60CF"/>
    <w:rsid w:val="00FC61E2"/>
    <w:rsid w:val="00FC6246"/>
    <w:rsid w:val="00FC624D"/>
    <w:rsid w:val="00FC626A"/>
    <w:rsid w:val="00FC62C7"/>
    <w:rsid w:val="00FC62F2"/>
    <w:rsid w:val="00FC635B"/>
    <w:rsid w:val="00FC638B"/>
    <w:rsid w:val="00FC642C"/>
    <w:rsid w:val="00FC64F9"/>
    <w:rsid w:val="00FC6885"/>
    <w:rsid w:val="00FC69DF"/>
    <w:rsid w:val="00FC6AC3"/>
    <w:rsid w:val="00FC6BF2"/>
    <w:rsid w:val="00FC6E01"/>
    <w:rsid w:val="00FC6E72"/>
    <w:rsid w:val="00FC6E7F"/>
    <w:rsid w:val="00FC6E95"/>
    <w:rsid w:val="00FC6F48"/>
    <w:rsid w:val="00FC6F69"/>
    <w:rsid w:val="00FC701C"/>
    <w:rsid w:val="00FC702F"/>
    <w:rsid w:val="00FC721F"/>
    <w:rsid w:val="00FC7252"/>
    <w:rsid w:val="00FC72F7"/>
    <w:rsid w:val="00FC734C"/>
    <w:rsid w:val="00FC7364"/>
    <w:rsid w:val="00FC740A"/>
    <w:rsid w:val="00FC75DD"/>
    <w:rsid w:val="00FC776B"/>
    <w:rsid w:val="00FC776F"/>
    <w:rsid w:val="00FC78A8"/>
    <w:rsid w:val="00FC7933"/>
    <w:rsid w:val="00FC7939"/>
    <w:rsid w:val="00FC7C1D"/>
    <w:rsid w:val="00FC7C73"/>
    <w:rsid w:val="00FC7CCE"/>
    <w:rsid w:val="00FC7D9F"/>
    <w:rsid w:val="00FC7DB2"/>
    <w:rsid w:val="00FC7EE2"/>
    <w:rsid w:val="00FC7EE7"/>
    <w:rsid w:val="00FC7F0B"/>
    <w:rsid w:val="00FC7FB3"/>
    <w:rsid w:val="00FCA5A7"/>
    <w:rsid w:val="00FD003D"/>
    <w:rsid w:val="00FD0134"/>
    <w:rsid w:val="00FD016C"/>
    <w:rsid w:val="00FD01DB"/>
    <w:rsid w:val="00FD02A1"/>
    <w:rsid w:val="00FD0408"/>
    <w:rsid w:val="00FD0424"/>
    <w:rsid w:val="00FD0453"/>
    <w:rsid w:val="00FD0479"/>
    <w:rsid w:val="00FD071C"/>
    <w:rsid w:val="00FD079F"/>
    <w:rsid w:val="00FD0819"/>
    <w:rsid w:val="00FD0886"/>
    <w:rsid w:val="00FD08FB"/>
    <w:rsid w:val="00FD0922"/>
    <w:rsid w:val="00FD0966"/>
    <w:rsid w:val="00FD0975"/>
    <w:rsid w:val="00FD098F"/>
    <w:rsid w:val="00FD09E6"/>
    <w:rsid w:val="00FD0AAC"/>
    <w:rsid w:val="00FD0B8C"/>
    <w:rsid w:val="00FD0C40"/>
    <w:rsid w:val="00FD0D65"/>
    <w:rsid w:val="00FD0D66"/>
    <w:rsid w:val="00FD0EEF"/>
    <w:rsid w:val="00FD1038"/>
    <w:rsid w:val="00FD10C1"/>
    <w:rsid w:val="00FD114D"/>
    <w:rsid w:val="00FD1289"/>
    <w:rsid w:val="00FD12E0"/>
    <w:rsid w:val="00FD1362"/>
    <w:rsid w:val="00FD13DB"/>
    <w:rsid w:val="00FD164B"/>
    <w:rsid w:val="00FD16B9"/>
    <w:rsid w:val="00FD18C1"/>
    <w:rsid w:val="00FD195A"/>
    <w:rsid w:val="00FD19EE"/>
    <w:rsid w:val="00FD1A42"/>
    <w:rsid w:val="00FD1A55"/>
    <w:rsid w:val="00FD1A6C"/>
    <w:rsid w:val="00FD1A9C"/>
    <w:rsid w:val="00FD1D98"/>
    <w:rsid w:val="00FD1DA3"/>
    <w:rsid w:val="00FD1F1F"/>
    <w:rsid w:val="00FD2180"/>
    <w:rsid w:val="00FD2295"/>
    <w:rsid w:val="00FD2530"/>
    <w:rsid w:val="00FD2687"/>
    <w:rsid w:val="00FD27CB"/>
    <w:rsid w:val="00FD2870"/>
    <w:rsid w:val="00FD2894"/>
    <w:rsid w:val="00FD28A3"/>
    <w:rsid w:val="00FD28A4"/>
    <w:rsid w:val="00FD297F"/>
    <w:rsid w:val="00FD2A3E"/>
    <w:rsid w:val="00FD2AC1"/>
    <w:rsid w:val="00FD2B69"/>
    <w:rsid w:val="00FD2B81"/>
    <w:rsid w:val="00FD2BC4"/>
    <w:rsid w:val="00FD2CC7"/>
    <w:rsid w:val="00FD2CDF"/>
    <w:rsid w:val="00FD2DB6"/>
    <w:rsid w:val="00FD2EC8"/>
    <w:rsid w:val="00FD2F06"/>
    <w:rsid w:val="00FD303C"/>
    <w:rsid w:val="00FD31B8"/>
    <w:rsid w:val="00FD32AF"/>
    <w:rsid w:val="00FD3511"/>
    <w:rsid w:val="00FD3596"/>
    <w:rsid w:val="00FD36E3"/>
    <w:rsid w:val="00FD3705"/>
    <w:rsid w:val="00FD37D3"/>
    <w:rsid w:val="00FD3989"/>
    <w:rsid w:val="00FD3AA7"/>
    <w:rsid w:val="00FD3ABE"/>
    <w:rsid w:val="00FD3AD3"/>
    <w:rsid w:val="00FD3B2F"/>
    <w:rsid w:val="00FD3BD9"/>
    <w:rsid w:val="00FD3BE2"/>
    <w:rsid w:val="00FD3CB4"/>
    <w:rsid w:val="00FD3CC1"/>
    <w:rsid w:val="00FD3DEE"/>
    <w:rsid w:val="00FD3EEB"/>
    <w:rsid w:val="00FD3F4E"/>
    <w:rsid w:val="00FD404A"/>
    <w:rsid w:val="00FD4054"/>
    <w:rsid w:val="00FD4061"/>
    <w:rsid w:val="00FD4087"/>
    <w:rsid w:val="00FD4114"/>
    <w:rsid w:val="00FD4149"/>
    <w:rsid w:val="00FD4251"/>
    <w:rsid w:val="00FD42D8"/>
    <w:rsid w:val="00FD43B0"/>
    <w:rsid w:val="00FD4474"/>
    <w:rsid w:val="00FD44DF"/>
    <w:rsid w:val="00FD44F2"/>
    <w:rsid w:val="00FD4507"/>
    <w:rsid w:val="00FD46CD"/>
    <w:rsid w:val="00FD470D"/>
    <w:rsid w:val="00FD4829"/>
    <w:rsid w:val="00FD483A"/>
    <w:rsid w:val="00FD49F6"/>
    <w:rsid w:val="00FD4A0C"/>
    <w:rsid w:val="00FD4A5B"/>
    <w:rsid w:val="00FD4B77"/>
    <w:rsid w:val="00FD4BD5"/>
    <w:rsid w:val="00FD4C39"/>
    <w:rsid w:val="00FD4D22"/>
    <w:rsid w:val="00FD4D3F"/>
    <w:rsid w:val="00FD4ED3"/>
    <w:rsid w:val="00FD4F43"/>
    <w:rsid w:val="00FD4F9C"/>
    <w:rsid w:val="00FD5211"/>
    <w:rsid w:val="00FD5220"/>
    <w:rsid w:val="00FD5290"/>
    <w:rsid w:val="00FD52BC"/>
    <w:rsid w:val="00FD53C1"/>
    <w:rsid w:val="00FD54B4"/>
    <w:rsid w:val="00FD54C7"/>
    <w:rsid w:val="00FD561E"/>
    <w:rsid w:val="00FD5745"/>
    <w:rsid w:val="00FD5758"/>
    <w:rsid w:val="00FD584D"/>
    <w:rsid w:val="00FD58C0"/>
    <w:rsid w:val="00FD58F4"/>
    <w:rsid w:val="00FD5915"/>
    <w:rsid w:val="00FD5984"/>
    <w:rsid w:val="00FD59D5"/>
    <w:rsid w:val="00FD59DD"/>
    <w:rsid w:val="00FD5A91"/>
    <w:rsid w:val="00FD5B32"/>
    <w:rsid w:val="00FD5C75"/>
    <w:rsid w:val="00FD5D2B"/>
    <w:rsid w:val="00FD5E06"/>
    <w:rsid w:val="00FD5EF7"/>
    <w:rsid w:val="00FD6010"/>
    <w:rsid w:val="00FD619B"/>
    <w:rsid w:val="00FD61BD"/>
    <w:rsid w:val="00FD628C"/>
    <w:rsid w:val="00FD62CF"/>
    <w:rsid w:val="00FD634B"/>
    <w:rsid w:val="00FD67D0"/>
    <w:rsid w:val="00FD6851"/>
    <w:rsid w:val="00FD6879"/>
    <w:rsid w:val="00FD6927"/>
    <w:rsid w:val="00FD69F5"/>
    <w:rsid w:val="00FD6A48"/>
    <w:rsid w:val="00FD6AFA"/>
    <w:rsid w:val="00FD6BE1"/>
    <w:rsid w:val="00FD6C55"/>
    <w:rsid w:val="00FD6E0C"/>
    <w:rsid w:val="00FD6F99"/>
    <w:rsid w:val="00FD706C"/>
    <w:rsid w:val="00FD70BF"/>
    <w:rsid w:val="00FD711F"/>
    <w:rsid w:val="00FD7247"/>
    <w:rsid w:val="00FD7450"/>
    <w:rsid w:val="00FD7619"/>
    <w:rsid w:val="00FD761A"/>
    <w:rsid w:val="00FD76CD"/>
    <w:rsid w:val="00FD7701"/>
    <w:rsid w:val="00FD7878"/>
    <w:rsid w:val="00FD790D"/>
    <w:rsid w:val="00FD7925"/>
    <w:rsid w:val="00FD7A4E"/>
    <w:rsid w:val="00FD7B57"/>
    <w:rsid w:val="00FD7D06"/>
    <w:rsid w:val="00FD7D7B"/>
    <w:rsid w:val="00FD7DD2"/>
    <w:rsid w:val="00FE0013"/>
    <w:rsid w:val="00FE0171"/>
    <w:rsid w:val="00FE01CF"/>
    <w:rsid w:val="00FE0381"/>
    <w:rsid w:val="00FE0797"/>
    <w:rsid w:val="00FE07A8"/>
    <w:rsid w:val="00FE07D0"/>
    <w:rsid w:val="00FE0967"/>
    <w:rsid w:val="00FE0984"/>
    <w:rsid w:val="00FE09FE"/>
    <w:rsid w:val="00FE0A7C"/>
    <w:rsid w:val="00FE0B70"/>
    <w:rsid w:val="00FE0BBF"/>
    <w:rsid w:val="00FE0C3F"/>
    <w:rsid w:val="00FE0E65"/>
    <w:rsid w:val="00FE0F3C"/>
    <w:rsid w:val="00FE0FDC"/>
    <w:rsid w:val="00FE11B2"/>
    <w:rsid w:val="00FE1383"/>
    <w:rsid w:val="00FE1390"/>
    <w:rsid w:val="00FE146F"/>
    <w:rsid w:val="00FE147B"/>
    <w:rsid w:val="00FE14E5"/>
    <w:rsid w:val="00FE16CA"/>
    <w:rsid w:val="00FE16ED"/>
    <w:rsid w:val="00FE1779"/>
    <w:rsid w:val="00FE1881"/>
    <w:rsid w:val="00FE18EE"/>
    <w:rsid w:val="00FE1926"/>
    <w:rsid w:val="00FE193E"/>
    <w:rsid w:val="00FE1983"/>
    <w:rsid w:val="00FE19CF"/>
    <w:rsid w:val="00FE1A4C"/>
    <w:rsid w:val="00FE1BA5"/>
    <w:rsid w:val="00FE1BEF"/>
    <w:rsid w:val="00FE1C11"/>
    <w:rsid w:val="00FE1D03"/>
    <w:rsid w:val="00FE1DAE"/>
    <w:rsid w:val="00FE1DB1"/>
    <w:rsid w:val="00FE1E75"/>
    <w:rsid w:val="00FE1ED3"/>
    <w:rsid w:val="00FE20FA"/>
    <w:rsid w:val="00FE2151"/>
    <w:rsid w:val="00FE215D"/>
    <w:rsid w:val="00FE219D"/>
    <w:rsid w:val="00FE21F9"/>
    <w:rsid w:val="00FE244C"/>
    <w:rsid w:val="00FE2552"/>
    <w:rsid w:val="00FE2593"/>
    <w:rsid w:val="00FE2873"/>
    <w:rsid w:val="00FE28F6"/>
    <w:rsid w:val="00FE28FD"/>
    <w:rsid w:val="00FE291D"/>
    <w:rsid w:val="00FE2A0B"/>
    <w:rsid w:val="00FE2C72"/>
    <w:rsid w:val="00FE2D2A"/>
    <w:rsid w:val="00FE2DB3"/>
    <w:rsid w:val="00FE2DEA"/>
    <w:rsid w:val="00FE2F83"/>
    <w:rsid w:val="00FE3028"/>
    <w:rsid w:val="00FE322B"/>
    <w:rsid w:val="00FE3254"/>
    <w:rsid w:val="00FE3381"/>
    <w:rsid w:val="00FE33AD"/>
    <w:rsid w:val="00FE33ED"/>
    <w:rsid w:val="00FE3417"/>
    <w:rsid w:val="00FE3455"/>
    <w:rsid w:val="00FE34C3"/>
    <w:rsid w:val="00FE34E7"/>
    <w:rsid w:val="00FE35E4"/>
    <w:rsid w:val="00FE362D"/>
    <w:rsid w:val="00FE36A5"/>
    <w:rsid w:val="00FE372F"/>
    <w:rsid w:val="00FE3770"/>
    <w:rsid w:val="00FE37D8"/>
    <w:rsid w:val="00FE3860"/>
    <w:rsid w:val="00FE38A3"/>
    <w:rsid w:val="00FE398B"/>
    <w:rsid w:val="00FE3D1C"/>
    <w:rsid w:val="00FE3DCD"/>
    <w:rsid w:val="00FE3DD2"/>
    <w:rsid w:val="00FE3E1A"/>
    <w:rsid w:val="00FE3F33"/>
    <w:rsid w:val="00FE415A"/>
    <w:rsid w:val="00FE4215"/>
    <w:rsid w:val="00FE425E"/>
    <w:rsid w:val="00FE4382"/>
    <w:rsid w:val="00FE45A1"/>
    <w:rsid w:val="00FE45C7"/>
    <w:rsid w:val="00FE477B"/>
    <w:rsid w:val="00FE4969"/>
    <w:rsid w:val="00FE49CC"/>
    <w:rsid w:val="00FE4A43"/>
    <w:rsid w:val="00FE4AAF"/>
    <w:rsid w:val="00FE4AD8"/>
    <w:rsid w:val="00FE4B25"/>
    <w:rsid w:val="00FE4BE6"/>
    <w:rsid w:val="00FE4C8C"/>
    <w:rsid w:val="00FE4D93"/>
    <w:rsid w:val="00FE4EFC"/>
    <w:rsid w:val="00FE4F47"/>
    <w:rsid w:val="00FE50D3"/>
    <w:rsid w:val="00FE513B"/>
    <w:rsid w:val="00FE5198"/>
    <w:rsid w:val="00FE5225"/>
    <w:rsid w:val="00FE5249"/>
    <w:rsid w:val="00FE5318"/>
    <w:rsid w:val="00FE53D6"/>
    <w:rsid w:val="00FE546B"/>
    <w:rsid w:val="00FE5600"/>
    <w:rsid w:val="00FE563E"/>
    <w:rsid w:val="00FE5AD4"/>
    <w:rsid w:val="00FE5B72"/>
    <w:rsid w:val="00FE5B77"/>
    <w:rsid w:val="00FE5BA4"/>
    <w:rsid w:val="00FE5C8F"/>
    <w:rsid w:val="00FE5D44"/>
    <w:rsid w:val="00FE5D80"/>
    <w:rsid w:val="00FE5EA2"/>
    <w:rsid w:val="00FE5FC6"/>
    <w:rsid w:val="00FE6006"/>
    <w:rsid w:val="00FE61AC"/>
    <w:rsid w:val="00FE61DA"/>
    <w:rsid w:val="00FE627C"/>
    <w:rsid w:val="00FE62D8"/>
    <w:rsid w:val="00FE63BE"/>
    <w:rsid w:val="00FE64B2"/>
    <w:rsid w:val="00FE65AB"/>
    <w:rsid w:val="00FE65CE"/>
    <w:rsid w:val="00FE65DA"/>
    <w:rsid w:val="00FE678A"/>
    <w:rsid w:val="00FE67C8"/>
    <w:rsid w:val="00FE69DB"/>
    <w:rsid w:val="00FE6A01"/>
    <w:rsid w:val="00FE6A10"/>
    <w:rsid w:val="00FE6A78"/>
    <w:rsid w:val="00FE6ACA"/>
    <w:rsid w:val="00FE6B88"/>
    <w:rsid w:val="00FE6C9C"/>
    <w:rsid w:val="00FE6CED"/>
    <w:rsid w:val="00FE6D40"/>
    <w:rsid w:val="00FE6F6F"/>
    <w:rsid w:val="00FE6F99"/>
    <w:rsid w:val="00FE715E"/>
    <w:rsid w:val="00FE7390"/>
    <w:rsid w:val="00FE7502"/>
    <w:rsid w:val="00FE759F"/>
    <w:rsid w:val="00FE76F0"/>
    <w:rsid w:val="00FE77BD"/>
    <w:rsid w:val="00FE7853"/>
    <w:rsid w:val="00FE78CE"/>
    <w:rsid w:val="00FE78FE"/>
    <w:rsid w:val="00FE7903"/>
    <w:rsid w:val="00FE794E"/>
    <w:rsid w:val="00FE7A20"/>
    <w:rsid w:val="00FE7B89"/>
    <w:rsid w:val="00FE7C08"/>
    <w:rsid w:val="00FE7C19"/>
    <w:rsid w:val="00FE7C41"/>
    <w:rsid w:val="00FE7D84"/>
    <w:rsid w:val="00FE7E81"/>
    <w:rsid w:val="00FE7E9C"/>
    <w:rsid w:val="00FF0064"/>
    <w:rsid w:val="00FF0146"/>
    <w:rsid w:val="00FF0161"/>
    <w:rsid w:val="00FF0196"/>
    <w:rsid w:val="00FF02D5"/>
    <w:rsid w:val="00FF032B"/>
    <w:rsid w:val="00FF046C"/>
    <w:rsid w:val="00FF04A5"/>
    <w:rsid w:val="00FF05E5"/>
    <w:rsid w:val="00FF065E"/>
    <w:rsid w:val="00FF06A2"/>
    <w:rsid w:val="00FF075A"/>
    <w:rsid w:val="00FF07F4"/>
    <w:rsid w:val="00FF0964"/>
    <w:rsid w:val="00FF09C3"/>
    <w:rsid w:val="00FF0AAB"/>
    <w:rsid w:val="00FF0B7F"/>
    <w:rsid w:val="00FF0C91"/>
    <w:rsid w:val="00FF0CCE"/>
    <w:rsid w:val="00FF0D19"/>
    <w:rsid w:val="00FF0DA1"/>
    <w:rsid w:val="00FF0DD7"/>
    <w:rsid w:val="00FF0E3F"/>
    <w:rsid w:val="00FF0E9A"/>
    <w:rsid w:val="00FF0F4D"/>
    <w:rsid w:val="00FF1142"/>
    <w:rsid w:val="00FF1144"/>
    <w:rsid w:val="00FF123C"/>
    <w:rsid w:val="00FF1253"/>
    <w:rsid w:val="00FF1421"/>
    <w:rsid w:val="00FF155F"/>
    <w:rsid w:val="00FF1569"/>
    <w:rsid w:val="00FF16D1"/>
    <w:rsid w:val="00FF16D4"/>
    <w:rsid w:val="00FF177B"/>
    <w:rsid w:val="00FF17AA"/>
    <w:rsid w:val="00FF17F3"/>
    <w:rsid w:val="00FF1842"/>
    <w:rsid w:val="00FF1998"/>
    <w:rsid w:val="00FF1D01"/>
    <w:rsid w:val="00FF1D05"/>
    <w:rsid w:val="00FF1F5B"/>
    <w:rsid w:val="00FF1FA1"/>
    <w:rsid w:val="00FF1FA9"/>
    <w:rsid w:val="00FF203E"/>
    <w:rsid w:val="00FF207B"/>
    <w:rsid w:val="00FF22C8"/>
    <w:rsid w:val="00FF22F7"/>
    <w:rsid w:val="00FF230D"/>
    <w:rsid w:val="00FF2322"/>
    <w:rsid w:val="00FF24AF"/>
    <w:rsid w:val="00FF258D"/>
    <w:rsid w:val="00FF2677"/>
    <w:rsid w:val="00FF26F3"/>
    <w:rsid w:val="00FF2711"/>
    <w:rsid w:val="00FF28E4"/>
    <w:rsid w:val="00FF2978"/>
    <w:rsid w:val="00FF2A21"/>
    <w:rsid w:val="00FF2A22"/>
    <w:rsid w:val="00FF2A78"/>
    <w:rsid w:val="00FF2B70"/>
    <w:rsid w:val="00FF2B99"/>
    <w:rsid w:val="00FF2CFC"/>
    <w:rsid w:val="00FF2D57"/>
    <w:rsid w:val="00FF2EDB"/>
    <w:rsid w:val="00FF2FD9"/>
    <w:rsid w:val="00FF3226"/>
    <w:rsid w:val="00FF345A"/>
    <w:rsid w:val="00FF345F"/>
    <w:rsid w:val="00FF349E"/>
    <w:rsid w:val="00FF34AC"/>
    <w:rsid w:val="00FF3528"/>
    <w:rsid w:val="00FF39D2"/>
    <w:rsid w:val="00FF3A4B"/>
    <w:rsid w:val="00FF3AB0"/>
    <w:rsid w:val="00FF3AFB"/>
    <w:rsid w:val="00FF3C74"/>
    <w:rsid w:val="00FF3D35"/>
    <w:rsid w:val="00FF3EAA"/>
    <w:rsid w:val="00FF3EB6"/>
    <w:rsid w:val="00FF3EFB"/>
    <w:rsid w:val="00FF413B"/>
    <w:rsid w:val="00FF4213"/>
    <w:rsid w:val="00FF42C5"/>
    <w:rsid w:val="00FF4352"/>
    <w:rsid w:val="00FF44B5"/>
    <w:rsid w:val="00FF452F"/>
    <w:rsid w:val="00FF4576"/>
    <w:rsid w:val="00FF4643"/>
    <w:rsid w:val="00FF4648"/>
    <w:rsid w:val="00FF4783"/>
    <w:rsid w:val="00FF49C1"/>
    <w:rsid w:val="00FF4A50"/>
    <w:rsid w:val="00FF4B8F"/>
    <w:rsid w:val="00FF4B95"/>
    <w:rsid w:val="00FF4BF8"/>
    <w:rsid w:val="00FF4C26"/>
    <w:rsid w:val="00FF4C80"/>
    <w:rsid w:val="00FF4CA4"/>
    <w:rsid w:val="00FF4CE5"/>
    <w:rsid w:val="00FF4DF4"/>
    <w:rsid w:val="00FF4E48"/>
    <w:rsid w:val="00FF4EA0"/>
    <w:rsid w:val="00FF4ECD"/>
    <w:rsid w:val="00FF4F28"/>
    <w:rsid w:val="00FF50F3"/>
    <w:rsid w:val="00FF521F"/>
    <w:rsid w:val="00FF5257"/>
    <w:rsid w:val="00FF5291"/>
    <w:rsid w:val="00FF5292"/>
    <w:rsid w:val="00FF537F"/>
    <w:rsid w:val="00FF5467"/>
    <w:rsid w:val="00FF556A"/>
    <w:rsid w:val="00FF558C"/>
    <w:rsid w:val="00FF5678"/>
    <w:rsid w:val="00FF5737"/>
    <w:rsid w:val="00FF58A2"/>
    <w:rsid w:val="00FF5A87"/>
    <w:rsid w:val="00FF5AF3"/>
    <w:rsid w:val="00FF5C68"/>
    <w:rsid w:val="00FF5CF1"/>
    <w:rsid w:val="00FF5D1F"/>
    <w:rsid w:val="00FF5EB7"/>
    <w:rsid w:val="00FF5ECC"/>
    <w:rsid w:val="00FF5ED1"/>
    <w:rsid w:val="00FF5F21"/>
    <w:rsid w:val="00FF5FD1"/>
    <w:rsid w:val="00FF609F"/>
    <w:rsid w:val="00FF60EE"/>
    <w:rsid w:val="00FF6143"/>
    <w:rsid w:val="00FF61D9"/>
    <w:rsid w:val="00FF627B"/>
    <w:rsid w:val="00FF642D"/>
    <w:rsid w:val="00FF6475"/>
    <w:rsid w:val="00FF6484"/>
    <w:rsid w:val="00FF685F"/>
    <w:rsid w:val="00FF6A77"/>
    <w:rsid w:val="00FF6C33"/>
    <w:rsid w:val="00FF6C4C"/>
    <w:rsid w:val="00FF6C59"/>
    <w:rsid w:val="00FF6C90"/>
    <w:rsid w:val="00FF6D66"/>
    <w:rsid w:val="00FF6EB3"/>
    <w:rsid w:val="00FF6FC2"/>
    <w:rsid w:val="00FF6FE9"/>
    <w:rsid w:val="00FF7099"/>
    <w:rsid w:val="00FF713B"/>
    <w:rsid w:val="00FF7217"/>
    <w:rsid w:val="00FF7459"/>
    <w:rsid w:val="00FF753F"/>
    <w:rsid w:val="00FF75A0"/>
    <w:rsid w:val="00FF75FE"/>
    <w:rsid w:val="00FF7627"/>
    <w:rsid w:val="00FF76D6"/>
    <w:rsid w:val="00FF7706"/>
    <w:rsid w:val="00FF7791"/>
    <w:rsid w:val="00FF77BC"/>
    <w:rsid w:val="00FF780F"/>
    <w:rsid w:val="00FF7811"/>
    <w:rsid w:val="00FF786B"/>
    <w:rsid w:val="00FF78CD"/>
    <w:rsid w:val="00FF790F"/>
    <w:rsid w:val="00FF7936"/>
    <w:rsid w:val="00FF7954"/>
    <w:rsid w:val="00FF798D"/>
    <w:rsid w:val="00FF7B6C"/>
    <w:rsid w:val="00FF7B95"/>
    <w:rsid w:val="00FF7BBE"/>
    <w:rsid w:val="00FF7C75"/>
    <w:rsid w:val="00FF7C98"/>
    <w:rsid w:val="00FF7CA8"/>
    <w:rsid w:val="00FF7E5F"/>
    <w:rsid w:val="00FF7E9A"/>
    <w:rsid w:val="00FF7F27"/>
    <w:rsid w:val="00FF7F8A"/>
    <w:rsid w:val="0103AA50"/>
    <w:rsid w:val="01110426"/>
    <w:rsid w:val="0122FA26"/>
    <w:rsid w:val="01250A77"/>
    <w:rsid w:val="012BFAEF"/>
    <w:rsid w:val="0133C6BC"/>
    <w:rsid w:val="01414675"/>
    <w:rsid w:val="017612E6"/>
    <w:rsid w:val="017D8952"/>
    <w:rsid w:val="01BAD188"/>
    <w:rsid w:val="01BF8445"/>
    <w:rsid w:val="01D97858"/>
    <w:rsid w:val="02269913"/>
    <w:rsid w:val="024A5891"/>
    <w:rsid w:val="0268124C"/>
    <w:rsid w:val="026D6DA1"/>
    <w:rsid w:val="026D70D9"/>
    <w:rsid w:val="0273674D"/>
    <w:rsid w:val="02A5E494"/>
    <w:rsid w:val="02B10E26"/>
    <w:rsid w:val="02B3CDC5"/>
    <w:rsid w:val="02B691CD"/>
    <w:rsid w:val="02B8C5D2"/>
    <w:rsid w:val="02C36BDE"/>
    <w:rsid w:val="02C3FF83"/>
    <w:rsid w:val="02C87C6D"/>
    <w:rsid w:val="02CFD41B"/>
    <w:rsid w:val="02D2EA2E"/>
    <w:rsid w:val="02DC7F9F"/>
    <w:rsid w:val="02DD0B71"/>
    <w:rsid w:val="031233C9"/>
    <w:rsid w:val="033648D1"/>
    <w:rsid w:val="0337FB89"/>
    <w:rsid w:val="035CE971"/>
    <w:rsid w:val="0365DA12"/>
    <w:rsid w:val="039D361C"/>
    <w:rsid w:val="03A47465"/>
    <w:rsid w:val="03AE23DA"/>
    <w:rsid w:val="03F592AF"/>
    <w:rsid w:val="043E33A0"/>
    <w:rsid w:val="045F8192"/>
    <w:rsid w:val="04664338"/>
    <w:rsid w:val="0477AF8C"/>
    <w:rsid w:val="047FB002"/>
    <w:rsid w:val="048F20BA"/>
    <w:rsid w:val="04A5DBAF"/>
    <w:rsid w:val="04A5E27C"/>
    <w:rsid w:val="04C28018"/>
    <w:rsid w:val="04C5A8E6"/>
    <w:rsid w:val="04CFE58B"/>
    <w:rsid w:val="04FF8819"/>
    <w:rsid w:val="052DFB6E"/>
    <w:rsid w:val="05327F3C"/>
    <w:rsid w:val="053985D8"/>
    <w:rsid w:val="0559DF70"/>
    <w:rsid w:val="05600BC8"/>
    <w:rsid w:val="05636372"/>
    <w:rsid w:val="0564BBB9"/>
    <w:rsid w:val="058A4604"/>
    <w:rsid w:val="05C5B156"/>
    <w:rsid w:val="05D3F5D4"/>
    <w:rsid w:val="05D77313"/>
    <w:rsid w:val="05DEE96F"/>
    <w:rsid w:val="05DFBC8C"/>
    <w:rsid w:val="05F2A5A2"/>
    <w:rsid w:val="061FAC07"/>
    <w:rsid w:val="06363A66"/>
    <w:rsid w:val="063BB913"/>
    <w:rsid w:val="0655959C"/>
    <w:rsid w:val="065733CB"/>
    <w:rsid w:val="066CF4AD"/>
    <w:rsid w:val="066F1D04"/>
    <w:rsid w:val="067BC3BA"/>
    <w:rsid w:val="06C2F7B0"/>
    <w:rsid w:val="06F820A6"/>
    <w:rsid w:val="06FD14CA"/>
    <w:rsid w:val="07159BD4"/>
    <w:rsid w:val="073361FF"/>
    <w:rsid w:val="073E0D28"/>
    <w:rsid w:val="074B535F"/>
    <w:rsid w:val="0756FCFF"/>
    <w:rsid w:val="07600B13"/>
    <w:rsid w:val="07609202"/>
    <w:rsid w:val="076DB1E4"/>
    <w:rsid w:val="0787334C"/>
    <w:rsid w:val="07AFF4CD"/>
    <w:rsid w:val="07B0642D"/>
    <w:rsid w:val="07B19997"/>
    <w:rsid w:val="07D395F2"/>
    <w:rsid w:val="07E81A3E"/>
    <w:rsid w:val="07F2B9B8"/>
    <w:rsid w:val="07F5DCC5"/>
    <w:rsid w:val="081C87A4"/>
    <w:rsid w:val="0839C311"/>
    <w:rsid w:val="083C1B46"/>
    <w:rsid w:val="083D34DE"/>
    <w:rsid w:val="08519729"/>
    <w:rsid w:val="0857D1CA"/>
    <w:rsid w:val="08709FE4"/>
    <w:rsid w:val="087BD499"/>
    <w:rsid w:val="087FB4F7"/>
    <w:rsid w:val="08997C05"/>
    <w:rsid w:val="08B66ABE"/>
    <w:rsid w:val="08C5048A"/>
    <w:rsid w:val="08E5C414"/>
    <w:rsid w:val="0904F9EE"/>
    <w:rsid w:val="090D62B5"/>
    <w:rsid w:val="091C8709"/>
    <w:rsid w:val="09214DFA"/>
    <w:rsid w:val="0929C150"/>
    <w:rsid w:val="0938482D"/>
    <w:rsid w:val="09462A83"/>
    <w:rsid w:val="09513EC3"/>
    <w:rsid w:val="09812D62"/>
    <w:rsid w:val="09896F2C"/>
    <w:rsid w:val="098985D9"/>
    <w:rsid w:val="09924893"/>
    <w:rsid w:val="09A9179B"/>
    <w:rsid w:val="09C0E5F4"/>
    <w:rsid w:val="09C69C37"/>
    <w:rsid w:val="09CB0802"/>
    <w:rsid w:val="09D5C9BE"/>
    <w:rsid w:val="09D6A1CD"/>
    <w:rsid w:val="09D6D1BB"/>
    <w:rsid w:val="09E25217"/>
    <w:rsid w:val="09E46C44"/>
    <w:rsid w:val="09EC0779"/>
    <w:rsid w:val="09ECD6E6"/>
    <w:rsid w:val="09F812E5"/>
    <w:rsid w:val="0A07B7B6"/>
    <w:rsid w:val="0A0943E7"/>
    <w:rsid w:val="0A16D0E4"/>
    <w:rsid w:val="0A1CBDE1"/>
    <w:rsid w:val="0A1E0246"/>
    <w:rsid w:val="0A2DA1B0"/>
    <w:rsid w:val="0A37F0E0"/>
    <w:rsid w:val="0A421F4C"/>
    <w:rsid w:val="0A51D78B"/>
    <w:rsid w:val="0A6685C6"/>
    <w:rsid w:val="0AA2A58A"/>
    <w:rsid w:val="0AA575F7"/>
    <w:rsid w:val="0AD6BF19"/>
    <w:rsid w:val="0B01A85D"/>
    <w:rsid w:val="0B082199"/>
    <w:rsid w:val="0B0D8ACC"/>
    <w:rsid w:val="0B154BF9"/>
    <w:rsid w:val="0B1EF7C9"/>
    <w:rsid w:val="0B28F5D1"/>
    <w:rsid w:val="0B3B55B8"/>
    <w:rsid w:val="0B3D1889"/>
    <w:rsid w:val="0B3EE079"/>
    <w:rsid w:val="0B3F67B5"/>
    <w:rsid w:val="0B4AD73B"/>
    <w:rsid w:val="0B5AC8E4"/>
    <w:rsid w:val="0B65E0F2"/>
    <w:rsid w:val="0B966DC8"/>
    <w:rsid w:val="0B9BAC9A"/>
    <w:rsid w:val="0BA2D976"/>
    <w:rsid w:val="0BD6BBD6"/>
    <w:rsid w:val="0BF59030"/>
    <w:rsid w:val="0BF61677"/>
    <w:rsid w:val="0C022888"/>
    <w:rsid w:val="0C22ED0D"/>
    <w:rsid w:val="0C2E72DA"/>
    <w:rsid w:val="0C3336FE"/>
    <w:rsid w:val="0C3B159F"/>
    <w:rsid w:val="0C431380"/>
    <w:rsid w:val="0C4FF3A4"/>
    <w:rsid w:val="0C5CA27B"/>
    <w:rsid w:val="0C5E2AA4"/>
    <w:rsid w:val="0C7587D0"/>
    <w:rsid w:val="0C9DB6B5"/>
    <w:rsid w:val="0C9F0AF6"/>
    <w:rsid w:val="0CBBC7E7"/>
    <w:rsid w:val="0D0262DD"/>
    <w:rsid w:val="0D17C6FF"/>
    <w:rsid w:val="0D1833FF"/>
    <w:rsid w:val="0D19FB48"/>
    <w:rsid w:val="0D21D6F2"/>
    <w:rsid w:val="0D235E6C"/>
    <w:rsid w:val="0D809F9A"/>
    <w:rsid w:val="0D8995A4"/>
    <w:rsid w:val="0DA46583"/>
    <w:rsid w:val="0DCC230A"/>
    <w:rsid w:val="0DD3F1B5"/>
    <w:rsid w:val="0DD5E57F"/>
    <w:rsid w:val="0DDAD2B1"/>
    <w:rsid w:val="0E0B6EE0"/>
    <w:rsid w:val="0E28F7E1"/>
    <w:rsid w:val="0E2F40B7"/>
    <w:rsid w:val="0E382068"/>
    <w:rsid w:val="0E489715"/>
    <w:rsid w:val="0E491C72"/>
    <w:rsid w:val="0E536A17"/>
    <w:rsid w:val="0E60BFE2"/>
    <w:rsid w:val="0E649D6C"/>
    <w:rsid w:val="0E73E709"/>
    <w:rsid w:val="0E7CCB6B"/>
    <w:rsid w:val="0E7E970B"/>
    <w:rsid w:val="0E89F2A6"/>
    <w:rsid w:val="0E9248D8"/>
    <w:rsid w:val="0E9B4FFF"/>
    <w:rsid w:val="0EBE50AF"/>
    <w:rsid w:val="0ECD070A"/>
    <w:rsid w:val="0EDABA35"/>
    <w:rsid w:val="0EDF546C"/>
    <w:rsid w:val="0EFB2361"/>
    <w:rsid w:val="0F0A5D72"/>
    <w:rsid w:val="0F205578"/>
    <w:rsid w:val="0F23CC13"/>
    <w:rsid w:val="0F322216"/>
    <w:rsid w:val="0F4CE91E"/>
    <w:rsid w:val="0F4E366A"/>
    <w:rsid w:val="0F7F184B"/>
    <w:rsid w:val="0F9118E1"/>
    <w:rsid w:val="0FC8767C"/>
    <w:rsid w:val="0FFC9D93"/>
    <w:rsid w:val="100DB1AD"/>
    <w:rsid w:val="1026E533"/>
    <w:rsid w:val="103D0166"/>
    <w:rsid w:val="10410FC9"/>
    <w:rsid w:val="1041E3DA"/>
    <w:rsid w:val="104635A2"/>
    <w:rsid w:val="1048F73C"/>
    <w:rsid w:val="10560213"/>
    <w:rsid w:val="107382E0"/>
    <w:rsid w:val="109939F8"/>
    <w:rsid w:val="109D4AAB"/>
    <w:rsid w:val="10A23863"/>
    <w:rsid w:val="10B2C56E"/>
    <w:rsid w:val="10B7E847"/>
    <w:rsid w:val="10C443C8"/>
    <w:rsid w:val="10C4788A"/>
    <w:rsid w:val="10E5207D"/>
    <w:rsid w:val="10FA1030"/>
    <w:rsid w:val="10FFE06F"/>
    <w:rsid w:val="1120DD07"/>
    <w:rsid w:val="1129A1BD"/>
    <w:rsid w:val="1150CD22"/>
    <w:rsid w:val="1158DE5C"/>
    <w:rsid w:val="1159EABF"/>
    <w:rsid w:val="116511D2"/>
    <w:rsid w:val="1189D572"/>
    <w:rsid w:val="11927BDD"/>
    <w:rsid w:val="11A9363E"/>
    <w:rsid w:val="11BE509C"/>
    <w:rsid w:val="11C08320"/>
    <w:rsid w:val="11DF6D9D"/>
    <w:rsid w:val="11E076AD"/>
    <w:rsid w:val="11F05C07"/>
    <w:rsid w:val="120E54B1"/>
    <w:rsid w:val="1210D0B4"/>
    <w:rsid w:val="12396855"/>
    <w:rsid w:val="12475DB9"/>
    <w:rsid w:val="124EBCFA"/>
    <w:rsid w:val="12666A36"/>
    <w:rsid w:val="12727FDC"/>
    <w:rsid w:val="12B29A68"/>
    <w:rsid w:val="130286CF"/>
    <w:rsid w:val="131CF972"/>
    <w:rsid w:val="1324FD79"/>
    <w:rsid w:val="13480F54"/>
    <w:rsid w:val="1374739C"/>
    <w:rsid w:val="1379B495"/>
    <w:rsid w:val="13868ED0"/>
    <w:rsid w:val="13D3254A"/>
    <w:rsid w:val="13D768F5"/>
    <w:rsid w:val="13DA9BD8"/>
    <w:rsid w:val="13E17D93"/>
    <w:rsid w:val="13E81821"/>
    <w:rsid w:val="13EDECA8"/>
    <w:rsid w:val="13F294DC"/>
    <w:rsid w:val="13F57F95"/>
    <w:rsid w:val="140FD549"/>
    <w:rsid w:val="1412BDF7"/>
    <w:rsid w:val="14371A8C"/>
    <w:rsid w:val="14588BDA"/>
    <w:rsid w:val="14612A07"/>
    <w:rsid w:val="146C63D1"/>
    <w:rsid w:val="1490B4B6"/>
    <w:rsid w:val="14930794"/>
    <w:rsid w:val="14955C84"/>
    <w:rsid w:val="1498243E"/>
    <w:rsid w:val="149831AC"/>
    <w:rsid w:val="14A448E1"/>
    <w:rsid w:val="14AA25F0"/>
    <w:rsid w:val="14ADBE03"/>
    <w:rsid w:val="14B6A25A"/>
    <w:rsid w:val="14DBAD7B"/>
    <w:rsid w:val="14E414DF"/>
    <w:rsid w:val="14E62A95"/>
    <w:rsid w:val="14F9D673"/>
    <w:rsid w:val="14FB98FC"/>
    <w:rsid w:val="150A05A0"/>
    <w:rsid w:val="151661D8"/>
    <w:rsid w:val="1535AE2F"/>
    <w:rsid w:val="153E9125"/>
    <w:rsid w:val="153EB4C9"/>
    <w:rsid w:val="15451A68"/>
    <w:rsid w:val="15548DBD"/>
    <w:rsid w:val="15626C7C"/>
    <w:rsid w:val="1577055A"/>
    <w:rsid w:val="157ABFA8"/>
    <w:rsid w:val="1586B149"/>
    <w:rsid w:val="15876301"/>
    <w:rsid w:val="15A6C5D3"/>
    <w:rsid w:val="15A70203"/>
    <w:rsid w:val="15AEA8A7"/>
    <w:rsid w:val="15CB9213"/>
    <w:rsid w:val="160D7189"/>
    <w:rsid w:val="1610474C"/>
    <w:rsid w:val="1617D68C"/>
    <w:rsid w:val="163014E8"/>
    <w:rsid w:val="1650B4DE"/>
    <w:rsid w:val="1654BB24"/>
    <w:rsid w:val="165AEE92"/>
    <w:rsid w:val="16670B7D"/>
    <w:rsid w:val="16828D61"/>
    <w:rsid w:val="1692FAC1"/>
    <w:rsid w:val="16AB7E16"/>
    <w:rsid w:val="16CE2548"/>
    <w:rsid w:val="16D4F50B"/>
    <w:rsid w:val="16DA2582"/>
    <w:rsid w:val="16EED089"/>
    <w:rsid w:val="1703949B"/>
    <w:rsid w:val="170B8B71"/>
    <w:rsid w:val="171CA673"/>
    <w:rsid w:val="171D25EF"/>
    <w:rsid w:val="1722B224"/>
    <w:rsid w:val="174E0D73"/>
    <w:rsid w:val="1759DBD6"/>
    <w:rsid w:val="175F0911"/>
    <w:rsid w:val="1777794F"/>
    <w:rsid w:val="177ACA8E"/>
    <w:rsid w:val="17828331"/>
    <w:rsid w:val="17834B66"/>
    <w:rsid w:val="1796B379"/>
    <w:rsid w:val="17C07E9D"/>
    <w:rsid w:val="17D90DFB"/>
    <w:rsid w:val="1800A5BC"/>
    <w:rsid w:val="18218CAE"/>
    <w:rsid w:val="18240BA2"/>
    <w:rsid w:val="182473ED"/>
    <w:rsid w:val="1832AB3F"/>
    <w:rsid w:val="18822E0E"/>
    <w:rsid w:val="188382E9"/>
    <w:rsid w:val="18A95041"/>
    <w:rsid w:val="18AEEA33"/>
    <w:rsid w:val="18BFF942"/>
    <w:rsid w:val="18FFF238"/>
    <w:rsid w:val="191F13C6"/>
    <w:rsid w:val="192565C0"/>
    <w:rsid w:val="192D4E64"/>
    <w:rsid w:val="1960F283"/>
    <w:rsid w:val="1988C43A"/>
    <w:rsid w:val="19903BB5"/>
    <w:rsid w:val="199CBF72"/>
    <w:rsid w:val="19BEB74D"/>
    <w:rsid w:val="19DF3F29"/>
    <w:rsid w:val="19F1127E"/>
    <w:rsid w:val="1A0A9644"/>
    <w:rsid w:val="1A3D029A"/>
    <w:rsid w:val="1A449964"/>
    <w:rsid w:val="1A45FDA0"/>
    <w:rsid w:val="1A4743F1"/>
    <w:rsid w:val="1A561E3D"/>
    <w:rsid w:val="1A5F269A"/>
    <w:rsid w:val="1A63473F"/>
    <w:rsid w:val="1A78ED5C"/>
    <w:rsid w:val="1A79253F"/>
    <w:rsid w:val="1A7D666C"/>
    <w:rsid w:val="1A8D439D"/>
    <w:rsid w:val="1AA6D397"/>
    <w:rsid w:val="1AB06B65"/>
    <w:rsid w:val="1AB06B6A"/>
    <w:rsid w:val="1ACC25B9"/>
    <w:rsid w:val="1ACFACC1"/>
    <w:rsid w:val="1AD9B735"/>
    <w:rsid w:val="1AE268BB"/>
    <w:rsid w:val="1AEECB92"/>
    <w:rsid w:val="1AF1E71A"/>
    <w:rsid w:val="1AF5B675"/>
    <w:rsid w:val="1B4126CD"/>
    <w:rsid w:val="1B503C9D"/>
    <w:rsid w:val="1B51A7F8"/>
    <w:rsid w:val="1B56D792"/>
    <w:rsid w:val="1B845492"/>
    <w:rsid w:val="1B9B92DF"/>
    <w:rsid w:val="1BB1FFB8"/>
    <w:rsid w:val="1BD0D164"/>
    <w:rsid w:val="1BD7ADF1"/>
    <w:rsid w:val="1BEFC861"/>
    <w:rsid w:val="1BF1B46B"/>
    <w:rsid w:val="1BFEFFBD"/>
    <w:rsid w:val="1C119DE6"/>
    <w:rsid w:val="1C245746"/>
    <w:rsid w:val="1C3CBCF7"/>
    <w:rsid w:val="1C4AD187"/>
    <w:rsid w:val="1C4E6910"/>
    <w:rsid w:val="1C692384"/>
    <w:rsid w:val="1C750C42"/>
    <w:rsid w:val="1C793B3E"/>
    <w:rsid w:val="1CBC9C4E"/>
    <w:rsid w:val="1CC01DF8"/>
    <w:rsid w:val="1CCD39EA"/>
    <w:rsid w:val="1CECE54F"/>
    <w:rsid w:val="1CEE855B"/>
    <w:rsid w:val="1CF35B19"/>
    <w:rsid w:val="1D1BBBF6"/>
    <w:rsid w:val="1D2CF365"/>
    <w:rsid w:val="1D4841DA"/>
    <w:rsid w:val="1D540929"/>
    <w:rsid w:val="1D5E1EAC"/>
    <w:rsid w:val="1D7313F1"/>
    <w:rsid w:val="1D9DF5B1"/>
    <w:rsid w:val="1DA4FB80"/>
    <w:rsid w:val="1DB58CE3"/>
    <w:rsid w:val="1E24D426"/>
    <w:rsid w:val="1E540AF5"/>
    <w:rsid w:val="1E6FD640"/>
    <w:rsid w:val="1E89EB29"/>
    <w:rsid w:val="1E9D8B62"/>
    <w:rsid w:val="1EA645EA"/>
    <w:rsid w:val="1EBDAD06"/>
    <w:rsid w:val="1EC00A20"/>
    <w:rsid w:val="1EE391FE"/>
    <w:rsid w:val="1EE4021B"/>
    <w:rsid w:val="1F143341"/>
    <w:rsid w:val="1F1AE8E1"/>
    <w:rsid w:val="1F1D4BD2"/>
    <w:rsid w:val="1F1F5356"/>
    <w:rsid w:val="1F47D253"/>
    <w:rsid w:val="1F5735C1"/>
    <w:rsid w:val="1F707444"/>
    <w:rsid w:val="1F74AB93"/>
    <w:rsid w:val="1F9541F8"/>
    <w:rsid w:val="1F95FC74"/>
    <w:rsid w:val="1FABB0D9"/>
    <w:rsid w:val="1FE33E5E"/>
    <w:rsid w:val="1FF74F45"/>
    <w:rsid w:val="1FFBC0FB"/>
    <w:rsid w:val="2013D609"/>
    <w:rsid w:val="201BF9BE"/>
    <w:rsid w:val="201D76FE"/>
    <w:rsid w:val="201F6C17"/>
    <w:rsid w:val="2055006E"/>
    <w:rsid w:val="2060B856"/>
    <w:rsid w:val="20658548"/>
    <w:rsid w:val="209E47C2"/>
    <w:rsid w:val="209E5150"/>
    <w:rsid w:val="20A26838"/>
    <w:rsid w:val="20AE872C"/>
    <w:rsid w:val="20C20BE1"/>
    <w:rsid w:val="20CAAFD1"/>
    <w:rsid w:val="20CAB98C"/>
    <w:rsid w:val="20D195DF"/>
    <w:rsid w:val="20D5C020"/>
    <w:rsid w:val="20E6CA0A"/>
    <w:rsid w:val="20EABD6A"/>
    <w:rsid w:val="20F9C7CD"/>
    <w:rsid w:val="210DC742"/>
    <w:rsid w:val="21253168"/>
    <w:rsid w:val="21321251"/>
    <w:rsid w:val="21366D19"/>
    <w:rsid w:val="213E48BE"/>
    <w:rsid w:val="2145E1EA"/>
    <w:rsid w:val="215BA23F"/>
    <w:rsid w:val="21640E2A"/>
    <w:rsid w:val="216E7D5A"/>
    <w:rsid w:val="21C08583"/>
    <w:rsid w:val="21C0C31A"/>
    <w:rsid w:val="21CEBBA5"/>
    <w:rsid w:val="21E3E7A9"/>
    <w:rsid w:val="21FD8E8D"/>
    <w:rsid w:val="2205E6C1"/>
    <w:rsid w:val="2224F01D"/>
    <w:rsid w:val="223BCBB0"/>
    <w:rsid w:val="223C6B38"/>
    <w:rsid w:val="224D57C5"/>
    <w:rsid w:val="22508B07"/>
    <w:rsid w:val="22530064"/>
    <w:rsid w:val="2253889F"/>
    <w:rsid w:val="225CF752"/>
    <w:rsid w:val="225E7AAC"/>
    <w:rsid w:val="22967736"/>
    <w:rsid w:val="22969D5A"/>
    <w:rsid w:val="22EAA520"/>
    <w:rsid w:val="22FA6B0C"/>
    <w:rsid w:val="22FFBE66"/>
    <w:rsid w:val="230CC2DE"/>
    <w:rsid w:val="233C50DA"/>
    <w:rsid w:val="233D160F"/>
    <w:rsid w:val="2386E92D"/>
    <w:rsid w:val="2389B648"/>
    <w:rsid w:val="238C5FB1"/>
    <w:rsid w:val="239880B2"/>
    <w:rsid w:val="239BEA39"/>
    <w:rsid w:val="23A685AA"/>
    <w:rsid w:val="23B8564B"/>
    <w:rsid w:val="23C2E072"/>
    <w:rsid w:val="23CA9223"/>
    <w:rsid w:val="23CC8410"/>
    <w:rsid w:val="23D9F4DC"/>
    <w:rsid w:val="23F1CEE4"/>
    <w:rsid w:val="23F3BE15"/>
    <w:rsid w:val="24042435"/>
    <w:rsid w:val="24188C49"/>
    <w:rsid w:val="241D10C9"/>
    <w:rsid w:val="242A7CF4"/>
    <w:rsid w:val="2466C6E9"/>
    <w:rsid w:val="2474DAA2"/>
    <w:rsid w:val="24854416"/>
    <w:rsid w:val="249A476B"/>
    <w:rsid w:val="24AB4F1A"/>
    <w:rsid w:val="24E023FF"/>
    <w:rsid w:val="24E683F9"/>
    <w:rsid w:val="24F721D4"/>
    <w:rsid w:val="252F98D6"/>
    <w:rsid w:val="2530438F"/>
    <w:rsid w:val="253088DE"/>
    <w:rsid w:val="253907EE"/>
    <w:rsid w:val="254FC2F1"/>
    <w:rsid w:val="2552B5EA"/>
    <w:rsid w:val="256C7EC3"/>
    <w:rsid w:val="2578006E"/>
    <w:rsid w:val="258339A0"/>
    <w:rsid w:val="2589EC0A"/>
    <w:rsid w:val="2591A2D9"/>
    <w:rsid w:val="259BC235"/>
    <w:rsid w:val="259E6701"/>
    <w:rsid w:val="25DB30FE"/>
    <w:rsid w:val="25EA2664"/>
    <w:rsid w:val="25EB20AD"/>
    <w:rsid w:val="2613A81D"/>
    <w:rsid w:val="2619990C"/>
    <w:rsid w:val="2626FBFA"/>
    <w:rsid w:val="262A43F6"/>
    <w:rsid w:val="2633FAF9"/>
    <w:rsid w:val="2642F31F"/>
    <w:rsid w:val="264707E2"/>
    <w:rsid w:val="26495A2A"/>
    <w:rsid w:val="264E4005"/>
    <w:rsid w:val="26719904"/>
    <w:rsid w:val="267BCE02"/>
    <w:rsid w:val="2689EA42"/>
    <w:rsid w:val="268B62A7"/>
    <w:rsid w:val="26929EFB"/>
    <w:rsid w:val="26BE19D0"/>
    <w:rsid w:val="26D7918F"/>
    <w:rsid w:val="26DA7172"/>
    <w:rsid w:val="26F0F8EB"/>
    <w:rsid w:val="2719BF1B"/>
    <w:rsid w:val="273A680F"/>
    <w:rsid w:val="2755FA73"/>
    <w:rsid w:val="275E6333"/>
    <w:rsid w:val="27610C02"/>
    <w:rsid w:val="2764DE3F"/>
    <w:rsid w:val="276D9974"/>
    <w:rsid w:val="2783F852"/>
    <w:rsid w:val="278E3849"/>
    <w:rsid w:val="27B01B09"/>
    <w:rsid w:val="27C4556C"/>
    <w:rsid w:val="27C73BB8"/>
    <w:rsid w:val="27E0AF30"/>
    <w:rsid w:val="27EE36AA"/>
    <w:rsid w:val="27F2A9E5"/>
    <w:rsid w:val="27F71ECD"/>
    <w:rsid w:val="27FAAFD2"/>
    <w:rsid w:val="27FC5456"/>
    <w:rsid w:val="27FF2656"/>
    <w:rsid w:val="28066BAB"/>
    <w:rsid w:val="28371F44"/>
    <w:rsid w:val="28426ACA"/>
    <w:rsid w:val="286B60D9"/>
    <w:rsid w:val="287490A4"/>
    <w:rsid w:val="28B04FC0"/>
    <w:rsid w:val="28C7654C"/>
    <w:rsid w:val="28D676C7"/>
    <w:rsid w:val="291EAB02"/>
    <w:rsid w:val="29318140"/>
    <w:rsid w:val="293DE3B7"/>
    <w:rsid w:val="294A2FBC"/>
    <w:rsid w:val="296B3448"/>
    <w:rsid w:val="297BE82A"/>
    <w:rsid w:val="29827EA7"/>
    <w:rsid w:val="299FDE76"/>
    <w:rsid w:val="29B48114"/>
    <w:rsid w:val="29BF4C82"/>
    <w:rsid w:val="29BFAFDE"/>
    <w:rsid w:val="29D014B1"/>
    <w:rsid w:val="29F06BFF"/>
    <w:rsid w:val="29FD057E"/>
    <w:rsid w:val="2A2B7827"/>
    <w:rsid w:val="2A3E8029"/>
    <w:rsid w:val="2A699B78"/>
    <w:rsid w:val="2A78CF24"/>
    <w:rsid w:val="2A7F137A"/>
    <w:rsid w:val="2A867EE1"/>
    <w:rsid w:val="2A8F1162"/>
    <w:rsid w:val="2A90AABC"/>
    <w:rsid w:val="2A92DC48"/>
    <w:rsid w:val="2AB5A718"/>
    <w:rsid w:val="2AB99138"/>
    <w:rsid w:val="2AD6DCD6"/>
    <w:rsid w:val="2AD9083E"/>
    <w:rsid w:val="2ADB78A6"/>
    <w:rsid w:val="2ADE2B81"/>
    <w:rsid w:val="2AE1C8B5"/>
    <w:rsid w:val="2AE2244C"/>
    <w:rsid w:val="2B058AD6"/>
    <w:rsid w:val="2B374E94"/>
    <w:rsid w:val="2B3B0EE2"/>
    <w:rsid w:val="2B3E9EC8"/>
    <w:rsid w:val="2B4957DF"/>
    <w:rsid w:val="2B61E1C4"/>
    <w:rsid w:val="2B71C420"/>
    <w:rsid w:val="2B79ECE7"/>
    <w:rsid w:val="2B8B902F"/>
    <w:rsid w:val="2B8C211C"/>
    <w:rsid w:val="2BAFB17C"/>
    <w:rsid w:val="2BD69DE9"/>
    <w:rsid w:val="2BD82D6C"/>
    <w:rsid w:val="2BDB9BD5"/>
    <w:rsid w:val="2C073A9C"/>
    <w:rsid w:val="2C12DCA5"/>
    <w:rsid w:val="2C1AEF7D"/>
    <w:rsid w:val="2C212AD5"/>
    <w:rsid w:val="2C224C9F"/>
    <w:rsid w:val="2C23A7E4"/>
    <w:rsid w:val="2C2480AB"/>
    <w:rsid w:val="2C42FB36"/>
    <w:rsid w:val="2C52F6E8"/>
    <w:rsid w:val="2C956F3E"/>
    <w:rsid w:val="2CA913CF"/>
    <w:rsid w:val="2CB1CB4A"/>
    <w:rsid w:val="2CCED401"/>
    <w:rsid w:val="2CD3B737"/>
    <w:rsid w:val="2CD9413D"/>
    <w:rsid w:val="2CDE4DB4"/>
    <w:rsid w:val="2D080AFC"/>
    <w:rsid w:val="2D23EBBE"/>
    <w:rsid w:val="2D4D4ACA"/>
    <w:rsid w:val="2D6338FA"/>
    <w:rsid w:val="2D63960C"/>
    <w:rsid w:val="2D6B229D"/>
    <w:rsid w:val="2D720DF2"/>
    <w:rsid w:val="2D77F2AB"/>
    <w:rsid w:val="2DB3EAB3"/>
    <w:rsid w:val="2DD929A9"/>
    <w:rsid w:val="2DDB4D0A"/>
    <w:rsid w:val="2DDF3597"/>
    <w:rsid w:val="2DE0B75A"/>
    <w:rsid w:val="2E0358D6"/>
    <w:rsid w:val="2E147E7C"/>
    <w:rsid w:val="2E15B82F"/>
    <w:rsid w:val="2E222991"/>
    <w:rsid w:val="2E591F34"/>
    <w:rsid w:val="2E59D932"/>
    <w:rsid w:val="2E6956CF"/>
    <w:rsid w:val="2E78ACDE"/>
    <w:rsid w:val="2E8D9C12"/>
    <w:rsid w:val="2EAF8617"/>
    <w:rsid w:val="2EBCD577"/>
    <w:rsid w:val="2EEB100C"/>
    <w:rsid w:val="2EFF9269"/>
    <w:rsid w:val="2F0B8E83"/>
    <w:rsid w:val="2F35CB89"/>
    <w:rsid w:val="2F41A779"/>
    <w:rsid w:val="2F6032BF"/>
    <w:rsid w:val="2F73E9D1"/>
    <w:rsid w:val="2F853391"/>
    <w:rsid w:val="2F9C00D9"/>
    <w:rsid w:val="2FA93887"/>
    <w:rsid w:val="2FCE1DD6"/>
    <w:rsid w:val="2FE04B31"/>
    <w:rsid w:val="2FE3639C"/>
    <w:rsid w:val="2FFEE686"/>
    <w:rsid w:val="303CF917"/>
    <w:rsid w:val="3062E944"/>
    <w:rsid w:val="306929C9"/>
    <w:rsid w:val="30778780"/>
    <w:rsid w:val="307CEBA5"/>
    <w:rsid w:val="308C19EA"/>
    <w:rsid w:val="308F83B3"/>
    <w:rsid w:val="309E207D"/>
    <w:rsid w:val="30AFCD91"/>
    <w:rsid w:val="30CAA5C9"/>
    <w:rsid w:val="30D88AA1"/>
    <w:rsid w:val="30F03E9B"/>
    <w:rsid w:val="30F27179"/>
    <w:rsid w:val="31017066"/>
    <w:rsid w:val="310D427E"/>
    <w:rsid w:val="311BCEFB"/>
    <w:rsid w:val="311C27C8"/>
    <w:rsid w:val="314D8E35"/>
    <w:rsid w:val="314FB9C4"/>
    <w:rsid w:val="315637C6"/>
    <w:rsid w:val="3157CF06"/>
    <w:rsid w:val="3163B10C"/>
    <w:rsid w:val="317D875B"/>
    <w:rsid w:val="31925D3C"/>
    <w:rsid w:val="31BDB578"/>
    <w:rsid w:val="31CAE92B"/>
    <w:rsid w:val="31DAF619"/>
    <w:rsid w:val="31F75EA5"/>
    <w:rsid w:val="32185B41"/>
    <w:rsid w:val="32256646"/>
    <w:rsid w:val="322BBA82"/>
    <w:rsid w:val="322C43CD"/>
    <w:rsid w:val="322D207F"/>
    <w:rsid w:val="32428EDF"/>
    <w:rsid w:val="324FAE36"/>
    <w:rsid w:val="32641197"/>
    <w:rsid w:val="327A0839"/>
    <w:rsid w:val="32A47633"/>
    <w:rsid w:val="32BA16EE"/>
    <w:rsid w:val="32BC6509"/>
    <w:rsid w:val="32C165C8"/>
    <w:rsid w:val="32C194A7"/>
    <w:rsid w:val="32CAD697"/>
    <w:rsid w:val="32D22383"/>
    <w:rsid w:val="32D90BCD"/>
    <w:rsid w:val="32E57CD0"/>
    <w:rsid w:val="32F58C2C"/>
    <w:rsid w:val="32FF4CC7"/>
    <w:rsid w:val="33270CA3"/>
    <w:rsid w:val="3348BC64"/>
    <w:rsid w:val="33555CF7"/>
    <w:rsid w:val="33705AE3"/>
    <w:rsid w:val="3372BE96"/>
    <w:rsid w:val="3380B79C"/>
    <w:rsid w:val="339513EA"/>
    <w:rsid w:val="33B2531B"/>
    <w:rsid w:val="33C64045"/>
    <w:rsid w:val="33F53B78"/>
    <w:rsid w:val="340F4634"/>
    <w:rsid w:val="34221275"/>
    <w:rsid w:val="342961AF"/>
    <w:rsid w:val="343206FD"/>
    <w:rsid w:val="3442032D"/>
    <w:rsid w:val="3450D4A8"/>
    <w:rsid w:val="345327AB"/>
    <w:rsid w:val="349E1AD6"/>
    <w:rsid w:val="34A1BBFA"/>
    <w:rsid w:val="34ADB14E"/>
    <w:rsid w:val="34AE214E"/>
    <w:rsid w:val="34B5AF24"/>
    <w:rsid w:val="34BF4D5E"/>
    <w:rsid w:val="34E21537"/>
    <w:rsid w:val="34E61D85"/>
    <w:rsid w:val="3505766C"/>
    <w:rsid w:val="350BD360"/>
    <w:rsid w:val="3512EF8B"/>
    <w:rsid w:val="356ADF97"/>
    <w:rsid w:val="3594D926"/>
    <w:rsid w:val="35C96BE7"/>
    <w:rsid w:val="35D8A25E"/>
    <w:rsid w:val="35DA989B"/>
    <w:rsid w:val="35E6E533"/>
    <w:rsid w:val="35EAFF71"/>
    <w:rsid w:val="35F8B8A9"/>
    <w:rsid w:val="36001071"/>
    <w:rsid w:val="360D8770"/>
    <w:rsid w:val="361903B1"/>
    <w:rsid w:val="364F2F98"/>
    <w:rsid w:val="3654548E"/>
    <w:rsid w:val="365E3D2A"/>
    <w:rsid w:val="3661481B"/>
    <w:rsid w:val="36654B5D"/>
    <w:rsid w:val="367083B5"/>
    <w:rsid w:val="3677475B"/>
    <w:rsid w:val="367C23C4"/>
    <w:rsid w:val="367F7FBC"/>
    <w:rsid w:val="3692F05A"/>
    <w:rsid w:val="36A64361"/>
    <w:rsid w:val="36BB3AE8"/>
    <w:rsid w:val="36EA814D"/>
    <w:rsid w:val="36FE17E2"/>
    <w:rsid w:val="3701392F"/>
    <w:rsid w:val="3703E780"/>
    <w:rsid w:val="3709A1A3"/>
    <w:rsid w:val="370D9641"/>
    <w:rsid w:val="37289816"/>
    <w:rsid w:val="3737A59D"/>
    <w:rsid w:val="374F1EC3"/>
    <w:rsid w:val="37507678"/>
    <w:rsid w:val="377C97D9"/>
    <w:rsid w:val="377D3FAD"/>
    <w:rsid w:val="3797CE4D"/>
    <w:rsid w:val="37A7FF66"/>
    <w:rsid w:val="37AAFA98"/>
    <w:rsid w:val="37EFC121"/>
    <w:rsid w:val="383CCC8C"/>
    <w:rsid w:val="38402BDC"/>
    <w:rsid w:val="38629849"/>
    <w:rsid w:val="3874C60D"/>
    <w:rsid w:val="3879DDD4"/>
    <w:rsid w:val="387EC30C"/>
    <w:rsid w:val="388B9A51"/>
    <w:rsid w:val="388E1130"/>
    <w:rsid w:val="3890579F"/>
    <w:rsid w:val="389118B2"/>
    <w:rsid w:val="38A4A92C"/>
    <w:rsid w:val="38A60F51"/>
    <w:rsid w:val="38ACD295"/>
    <w:rsid w:val="38ADE72B"/>
    <w:rsid w:val="38B7F406"/>
    <w:rsid w:val="38B8B5A1"/>
    <w:rsid w:val="38C6F887"/>
    <w:rsid w:val="38CB2D72"/>
    <w:rsid w:val="38CFE800"/>
    <w:rsid w:val="38DD3760"/>
    <w:rsid w:val="38DD9709"/>
    <w:rsid w:val="38E163B5"/>
    <w:rsid w:val="38FA7F0D"/>
    <w:rsid w:val="38FDF7CF"/>
    <w:rsid w:val="390E5F3C"/>
    <w:rsid w:val="3927ABA2"/>
    <w:rsid w:val="392A76D8"/>
    <w:rsid w:val="3932EDAC"/>
    <w:rsid w:val="3936287E"/>
    <w:rsid w:val="39587F52"/>
    <w:rsid w:val="395930C0"/>
    <w:rsid w:val="397B5243"/>
    <w:rsid w:val="397BA6A3"/>
    <w:rsid w:val="39807954"/>
    <w:rsid w:val="398C5436"/>
    <w:rsid w:val="398F7DCD"/>
    <w:rsid w:val="399EA4B6"/>
    <w:rsid w:val="39A5F3B7"/>
    <w:rsid w:val="39AAB9AA"/>
    <w:rsid w:val="39BFE2D3"/>
    <w:rsid w:val="39C5D5D7"/>
    <w:rsid w:val="39D517F0"/>
    <w:rsid w:val="39EBEB34"/>
    <w:rsid w:val="3A0F39D8"/>
    <w:rsid w:val="3A19A666"/>
    <w:rsid w:val="3A342C93"/>
    <w:rsid w:val="3A349148"/>
    <w:rsid w:val="3A6563C9"/>
    <w:rsid w:val="3A812F34"/>
    <w:rsid w:val="3A831E03"/>
    <w:rsid w:val="3A8A8C35"/>
    <w:rsid w:val="3A94DF79"/>
    <w:rsid w:val="3AA14404"/>
    <w:rsid w:val="3AA17DBD"/>
    <w:rsid w:val="3AC4B853"/>
    <w:rsid w:val="3B1344CB"/>
    <w:rsid w:val="3B1EF396"/>
    <w:rsid w:val="3B2D343C"/>
    <w:rsid w:val="3B34D069"/>
    <w:rsid w:val="3B92254F"/>
    <w:rsid w:val="3B992056"/>
    <w:rsid w:val="3B9DAB28"/>
    <w:rsid w:val="3BB9E4DA"/>
    <w:rsid w:val="3BCB4011"/>
    <w:rsid w:val="3BE400A7"/>
    <w:rsid w:val="3BF798D3"/>
    <w:rsid w:val="3BF8E989"/>
    <w:rsid w:val="3BFF028F"/>
    <w:rsid w:val="3C018E03"/>
    <w:rsid w:val="3C023152"/>
    <w:rsid w:val="3C0C516E"/>
    <w:rsid w:val="3C1606E4"/>
    <w:rsid w:val="3C3A7FBB"/>
    <w:rsid w:val="3C610891"/>
    <w:rsid w:val="3C65EBCE"/>
    <w:rsid w:val="3C6C3570"/>
    <w:rsid w:val="3C7A0E8B"/>
    <w:rsid w:val="3C809A4D"/>
    <w:rsid w:val="3C87E803"/>
    <w:rsid w:val="3C8B9A31"/>
    <w:rsid w:val="3CAF17C0"/>
    <w:rsid w:val="3CD47E3E"/>
    <w:rsid w:val="3CECA71C"/>
    <w:rsid w:val="3CF384FD"/>
    <w:rsid w:val="3CFBB367"/>
    <w:rsid w:val="3D07B940"/>
    <w:rsid w:val="3D212841"/>
    <w:rsid w:val="3D34DBC8"/>
    <w:rsid w:val="3D3A4B69"/>
    <w:rsid w:val="3D4A7921"/>
    <w:rsid w:val="3D67D239"/>
    <w:rsid w:val="3D6F200A"/>
    <w:rsid w:val="3D7139EC"/>
    <w:rsid w:val="3D83C0A4"/>
    <w:rsid w:val="3D85C740"/>
    <w:rsid w:val="3D9B902C"/>
    <w:rsid w:val="3DA50A57"/>
    <w:rsid w:val="3DAAA624"/>
    <w:rsid w:val="3DBFB922"/>
    <w:rsid w:val="3DD1E9DE"/>
    <w:rsid w:val="3DD39CDB"/>
    <w:rsid w:val="3DDEAD8F"/>
    <w:rsid w:val="3DEF5CE4"/>
    <w:rsid w:val="3E174408"/>
    <w:rsid w:val="3E1813D8"/>
    <w:rsid w:val="3E394201"/>
    <w:rsid w:val="3E3F063F"/>
    <w:rsid w:val="3E43DC59"/>
    <w:rsid w:val="3E46D331"/>
    <w:rsid w:val="3E49D726"/>
    <w:rsid w:val="3E507D33"/>
    <w:rsid w:val="3E77AEA7"/>
    <w:rsid w:val="3E8AD003"/>
    <w:rsid w:val="3E9E6FC3"/>
    <w:rsid w:val="3EEF2A52"/>
    <w:rsid w:val="3F072CCF"/>
    <w:rsid w:val="3F0885BE"/>
    <w:rsid w:val="3F0CC180"/>
    <w:rsid w:val="3F2BEC9C"/>
    <w:rsid w:val="3F2DB864"/>
    <w:rsid w:val="3F326571"/>
    <w:rsid w:val="3F618640"/>
    <w:rsid w:val="3F6A3257"/>
    <w:rsid w:val="3F71E70C"/>
    <w:rsid w:val="3F81438D"/>
    <w:rsid w:val="3F91529A"/>
    <w:rsid w:val="3F9B06CA"/>
    <w:rsid w:val="3FA8AD38"/>
    <w:rsid w:val="3FB8D59A"/>
    <w:rsid w:val="3FD79589"/>
    <w:rsid w:val="3FE39E22"/>
    <w:rsid w:val="3FEF5DA0"/>
    <w:rsid w:val="3FF4CE86"/>
    <w:rsid w:val="3FFE3B62"/>
    <w:rsid w:val="4007C2A5"/>
    <w:rsid w:val="40161146"/>
    <w:rsid w:val="40194E45"/>
    <w:rsid w:val="402210AE"/>
    <w:rsid w:val="403114C3"/>
    <w:rsid w:val="40534C85"/>
    <w:rsid w:val="4056BC0A"/>
    <w:rsid w:val="409C44CF"/>
    <w:rsid w:val="409E30FB"/>
    <w:rsid w:val="40B4A50B"/>
    <w:rsid w:val="40CE4596"/>
    <w:rsid w:val="40DE30C5"/>
    <w:rsid w:val="40EEA9EF"/>
    <w:rsid w:val="40F19DDA"/>
    <w:rsid w:val="40F49667"/>
    <w:rsid w:val="41168C9F"/>
    <w:rsid w:val="413E75A4"/>
    <w:rsid w:val="4157BEDC"/>
    <w:rsid w:val="416A20FB"/>
    <w:rsid w:val="41794F01"/>
    <w:rsid w:val="4193C6C6"/>
    <w:rsid w:val="41949A43"/>
    <w:rsid w:val="419A1AFB"/>
    <w:rsid w:val="41A42C43"/>
    <w:rsid w:val="41B8C4C8"/>
    <w:rsid w:val="41C3DFF9"/>
    <w:rsid w:val="41C4BFFB"/>
    <w:rsid w:val="41C9EE6D"/>
    <w:rsid w:val="41CEBAE8"/>
    <w:rsid w:val="41CF6007"/>
    <w:rsid w:val="41E82E2C"/>
    <w:rsid w:val="41F144C6"/>
    <w:rsid w:val="4204CC03"/>
    <w:rsid w:val="42217B9E"/>
    <w:rsid w:val="4245F28E"/>
    <w:rsid w:val="425CE570"/>
    <w:rsid w:val="427E286A"/>
    <w:rsid w:val="4280BF11"/>
    <w:rsid w:val="428557A2"/>
    <w:rsid w:val="42AA2EC5"/>
    <w:rsid w:val="42B13AC8"/>
    <w:rsid w:val="42CA7427"/>
    <w:rsid w:val="42D01AFB"/>
    <w:rsid w:val="42D2DA14"/>
    <w:rsid w:val="42F251DC"/>
    <w:rsid w:val="42FCD72E"/>
    <w:rsid w:val="432039F7"/>
    <w:rsid w:val="434DDA49"/>
    <w:rsid w:val="4356ABDC"/>
    <w:rsid w:val="4359F708"/>
    <w:rsid w:val="43856334"/>
    <w:rsid w:val="4388498B"/>
    <w:rsid w:val="43A6FF16"/>
    <w:rsid w:val="43AE933D"/>
    <w:rsid w:val="43CA457E"/>
    <w:rsid w:val="43FE713F"/>
    <w:rsid w:val="440DACFD"/>
    <w:rsid w:val="44255B93"/>
    <w:rsid w:val="447781D3"/>
    <w:rsid w:val="4480A977"/>
    <w:rsid w:val="44911F5D"/>
    <w:rsid w:val="44974525"/>
    <w:rsid w:val="44BCEFFB"/>
    <w:rsid w:val="44C29E1C"/>
    <w:rsid w:val="44D25509"/>
    <w:rsid w:val="44EFA035"/>
    <w:rsid w:val="44F3279A"/>
    <w:rsid w:val="4514B742"/>
    <w:rsid w:val="45203E30"/>
    <w:rsid w:val="453A371A"/>
    <w:rsid w:val="4582DDD1"/>
    <w:rsid w:val="459843A5"/>
    <w:rsid w:val="459FA3AA"/>
    <w:rsid w:val="45AA7EC0"/>
    <w:rsid w:val="45B5303E"/>
    <w:rsid w:val="45BD08B4"/>
    <w:rsid w:val="45C55446"/>
    <w:rsid w:val="45E08588"/>
    <w:rsid w:val="45F3AFA4"/>
    <w:rsid w:val="45FF3F80"/>
    <w:rsid w:val="45FFC906"/>
    <w:rsid w:val="460B4084"/>
    <w:rsid w:val="461340BB"/>
    <w:rsid w:val="46338DAD"/>
    <w:rsid w:val="46388718"/>
    <w:rsid w:val="465289D0"/>
    <w:rsid w:val="466FFB01"/>
    <w:rsid w:val="46764DAE"/>
    <w:rsid w:val="46943BA7"/>
    <w:rsid w:val="46B4D132"/>
    <w:rsid w:val="46BA5EDE"/>
    <w:rsid w:val="46BB259A"/>
    <w:rsid w:val="46BF5741"/>
    <w:rsid w:val="46CF2FB0"/>
    <w:rsid w:val="46D9D8F5"/>
    <w:rsid w:val="46EB23AB"/>
    <w:rsid w:val="46F18CDB"/>
    <w:rsid w:val="46F4E5C1"/>
    <w:rsid w:val="4702ABB3"/>
    <w:rsid w:val="47077F7D"/>
    <w:rsid w:val="4711FB8C"/>
    <w:rsid w:val="4719CAF0"/>
    <w:rsid w:val="474A6826"/>
    <w:rsid w:val="47534688"/>
    <w:rsid w:val="4763FA09"/>
    <w:rsid w:val="4768A43A"/>
    <w:rsid w:val="47726984"/>
    <w:rsid w:val="47752596"/>
    <w:rsid w:val="47791830"/>
    <w:rsid w:val="4784F387"/>
    <w:rsid w:val="47913128"/>
    <w:rsid w:val="47AD41B5"/>
    <w:rsid w:val="47BC0F0F"/>
    <w:rsid w:val="47BF0793"/>
    <w:rsid w:val="47BF9227"/>
    <w:rsid w:val="47DBFA31"/>
    <w:rsid w:val="47E0540C"/>
    <w:rsid w:val="47E0F1A8"/>
    <w:rsid w:val="47E3831A"/>
    <w:rsid w:val="47FCAF60"/>
    <w:rsid w:val="482A2249"/>
    <w:rsid w:val="4840E6FD"/>
    <w:rsid w:val="484B9B4D"/>
    <w:rsid w:val="4856F6FF"/>
    <w:rsid w:val="48939763"/>
    <w:rsid w:val="48AC47AA"/>
    <w:rsid w:val="48CDD867"/>
    <w:rsid w:val="48EE8108"/>
    <w:rsid w:val="490BD191"/>
    <w:rsid w:val="4924D045"/>
    <w:rsid w:val="494C5203"/>
    <w:rsid w:val="49599A25"/>
    <w:rsid w:val="495E585A"/>
    <w:rsid w:val="496014AB"/>
    <w:rsid w:val="49BFA278"/>
    <w:rsid w:val="49C097A7"/>
    <w:rsid w:val="49C6DF8F"/>
    <w:rsid w:val="49D7DA09"/>
    <w:rsid w:val="49EDB918"/>
    <w:rsid w:val="49F62E40"/>
    <w:rsid w:val="49FA08A3"/>
    <w:rsid w:val="4A1A4CE0"/>
    <w:rsid w:val="4A379721"/>
    <w:rsid w:val="4A578C21"/>
    <w:rsid w:val="4A58904F"/>
    <w:rsid w:val="4A68A541"/>
    <w:rsid w:val="4A76BA44"/>
    <w:rsid w:val="4A7703C6"/>
    <w:rsid w:val="4A7B7DB1"/>
    <w:rsid w:val="4AC499EF"/>
    <w:rsid w:val="4AF0A5E1"/>
    <w:rsid w:val="4B10FFDC"/>
    <w:rsid w:val="4B243BA5"/>
    <w:rsid w:val="4B33DA99"/>
    <w:rsid w:val="4B4B45D0"/>
    <w:rsid w:val="4B5F03D0"/>
    <w:rsid w:val="4B616559"/>
    <w:rsid w:val="4B866CAF"/>
    <w:rsid w:val="4BDE4C36"/>
    <w:rsid w:val="4C0BC9DA"/>
    <w:rsid w:val="4C329D24"/>
    <w:rsid w:val="4C34967C"/>
    <w:rsid w:val="4C3E598A"/>
    <w:rsid w:val="4C495C42"/>
    <w:rsid w:val="4C6D298D"/>
    <w:rsid w:val="4C760E86"/>
    <w:rsid w:val="4C7CAB11"/>
    <w:rsid w:val="4C83EFBE"/>
    <w:rsid w:val="4C888C06"/>
    <w:rsid w:val="4C97D81C"/>
    <w:rsid w:val="4CCBD440"/>
    <w:rsid w:val="4CD1A88B"/>
    <w:rsid w:val="4CEE3F84"/>
    <w:rsid w:val="4D1E0E16"/>
    <w:rsid w:val="4D309F89"/>
    <w:rsid w:val="4D4697E0"/>
    <w:rsid w:val="4D4927BA"/>
    <w:rsid w:val="4D49320A"/>
    <w:rsid w:val="4D509696"/>
    <w:rsid w:val="4D730E0A"/>
    <w:rsid w:val="4D74A6CD"/>
    <w:rsid w:val="4D84AB81"/>
    <w:rsid w:val="4D8D7507"/>
    <w:rsid w:val="4DC138A6"/>
    <w:rsid w:val="4DD9985D"/>
    <w:rsid w:val="4DDADE00"/>
    <w:rsid w:val="4DE98286"/>
    <w:rsid w:val="4DF00D19"/>
    <w:rsid w:val="4DF87D05"/>
    <w:rsid w:val="4DF9BC08"/>
    <w:rsid w:val="4E15B028"/>
    <w:rsid w:val="4E222E1E"/>
    <w:rsid w:val="4E29E532"/>
    <w:rsid w:val="4E3E7891"/>
    <w:rsid w:val="4E4D3FA0"/>
    <w:rsid w:val="4E686F87"/>
    <w:rsid w:val="4E833664"/>
    <w:rsid w:val="4EBE75CC"/>
    <w:rsid w:val="4EE9CD9A"/>
    <w:rsid w:val="4F1D5D49"/>
    <w:rsid w:val="4F3C9B7B"/>
    <w:rsid w:val="4F3F792A"/>
    <w:rsid w:val="4F41D0E4"/>
    <w:rsid w:val="4F52A93E"/>
    <w:rsid w:val="4F5F7FE2"/>
    <w:rsid w:val="4F69663D"/>
    <w:rsid w:val="4F8A7574"/>
    <w:rsid w:val="4F9C2886"/>
    <w:rsid w:val="4FA15FB8"/>
    <w:rsid w:val="4FADEB0C"/>
    <w:rsid w:val="4FBA877B"/>
    <w:rsid w:val="4FBFA9D7"/>
    <w:rsid w:val="4FD133F4"/>
    <w:rsid w:val="4FD70B43"/>
    <w:rsid w:val="4FE91F39"/>
    <w:rsid w:val="502E0628"/>
    <w:rsid w:val="5062C3D9"/>
    <w:rsid w:val="508240A3"/>
    <w:rsid w:val="50BC4A36"/>
    <w:rsid w:val="50DF2B93"/>
    <w:rsid w:val="50F41B72"/>
    <w:rsid w:val="50F59AED"/>
    <w:rsid w:val="50F7E434"/>
    <w:rsid w:val="511ED55A"/>
    <w:rsid w:val="51489DC9"/>
    <w:rsid w:val="5151F781"/>
    <w:rsid w:val="518A1288"/>
    <w:rsid w:val="5194643F"/>
    <w:rsid w:val="5195723F"/>
    <w:rsid w:val="51A692C5"/>
    <w:rsid w:val="51AC9979"/>
    <w:rsid w:val="51B2AFDE"/>
    <w:rsid w:val="51B6F0EC"/>
    <w:rsid w:val="51BFAA23"/>
    <w:rsid w:val="51CB5073"/>
    <w:rsid w:val="51CB8F50"/>
    <w:rsid w:val="51CC39EE"/>
    <w:rsid w:val="52301B00"/>
    <w:rsid w:val="523167D8"/>
    <w:rsid w:val="5248E9E7"/>
    <w:rsid w:val="5252EC70"/>
    <w:rsid w:val="525A592B"/>
    <w:rsid w:val="52721F76"/>
    <w:rsid w:val="5281A88D"/>
    <w:rsid w:val="528C714D"/>
    <w:rsid w:val="529CB34C"/>
    <w:rsid w:val="52B34C06"/>
    <w:rsid w:val="52BDBB22"/>
    <w:rsid w:val="52D17DD4"/>
    <w:rsid w:val="52D2A475"/>
    <w:rsid w:val="52EB580C"/>
    <w:rsid w:val="53115D61"/>
    <w:rsid w:val="531CC5B4"/>
    <w:rsid w:val="531FDAF9"/>
    <w:rsid w:val="533384AB"/>
    <w:rsid w:val="533B8FF9"/>
    <w:rsid w:val="535F252E"/>
    <w:rsid w:val="53721669"/>
    <w:rsid w:val="538DADC9"/>
    <w:rsid w:val="539C18EA"/>
    <w:rsid w:val="53A50742"/>
    <w:rsid w:val="53A757EC"/>
    <w:rsid w:val="53A7C3B8"/>
    <w:rsid w:val="53A9A3F5"/>
    <w:rsid w:val="53AE60D3"/>
    <w:rsid w:val="53D1FB53"/>
    <w:rsid w:val="53DB057D"/>
    <w:rsid w:val="53DD7ABF"/>
    <w:rsid w:val="540C2597"/>
    <w:rsid w:val="5419E557"/>
    <w:rsid w:val="545B2A8D"/>
    <w:rsid w:val="54912814"/>
    <w:rsid w:val="5495B999"/>
    <w:rsid w:val="54AAF357"/>
    <w:rsid w:val="54ABE426"/>
    <w:rsid w:val="54B5F232"/>
    <w:rsid w:val="54C1BD53"/>
    <w:rsid w:val="54D88E6F"/>
    <w:rsid w:val="54DA31C8"/>
    <w:rsid w:val="54E902A3"/>
    <w:rsid w:val="54F70380"/>
    <w:rsid w:val="54F93A51"/>
    <w:rsid w:val="550F54F0"/>
    <w:rsid w:val="552DD48B"/>
    <w:rsid w:val="552F9A7E"/>
    <w:rsid w:val="55359CE2"/>
    <w:rsid w:val="5536161F"/>
    <w:rsid w:val="55506196"/>
    <w:rsid w:val="55512858"/>
    <w:rsid w:val="5582DF31"/>
    <w:rsid w:val="559B8DF4"/>
    <w:rsid w:val="55AD27DA"/>
    <w:rsid w:val="55B1E805"/>
    <w:rsid w:val="55BC2A43"/>
    <w:rsid w:val="55C39FFB"/>
    <w:rsid w:val="55D8517B"/>
    <w:rsid w:val="55D94A33"/>
    <w:rsid w:val="55EBB73E"/>
    <w:rsid w:val="55F6A0A4"/>
    <w:rsid w:val="55FDC1B8"/>
    <w:rsid w:val="56062BC6"/>
    <w:rsid w:val="5646838E"/>
    <w:rsid w:val="56581C03"/>
    <w:rsid w:val="5659C9B5"/>
    <w:rsid w:val="5662DD48"/>
    <w:rsid w:val="568C7231"/>
    <w:rsid w:val="5693D4BF"/>
    <w:rsid w:val="56A3E426"/>
    <w:rsid w:val="56A91192"/>
    <w:rsid w:val="56B6D7A0"/>
    <w:rsid w:val="56BC8754"/>
    <w:rsid w:val="56CB14C2"/>
    <w:rsid w:val="570499B0"/>
    <w:rsid w:val="57058A22"/>
    <w:rsid w:val="570B7ABF"/>
    <w:rsid w:val="572048EF"/>
    <w:rsid w:val="5752E756"/>
    <w:rsid w:val="57672924"/>
    <w:rsid w:val="5772409C"/>
    <w:rsid w:val="57744AAB"/>
    <w:rsid w:val="57773285"/>
    <w:rsid w:val="5783105D"/>
    <w:rsid w:val="57ACC568"/>
    <w:rsid w:val="57B39920"/>
    <w:rsid w:val="57C05764"/>
    <w:rsid w:val="57D64DA9"/>
    <w:rsid w:val="57EFC539"/>
    <w:rsid w:val="57F9BF58"/>
    <w:rsid w:val="5821E21F"/>
    <w:rsid w:val="5831E0CD"/>
    <w:rsid w:val="58350ABB"/>
    <w:rsid w:val="5836AD3C"/>
    <w:rsid w:val="585C37DA"/>
    <w:rsid w:val="587018B8"/>
    <w:rsid w:val="5871D138"/>
    <w:rsid w:val="58854A96"/>
    <w:rsid w:val="588C9FF3"/>
    <w:rsid w:val="588CAE6C"/>
    <w:rsid w:val="5893EB36"/>
    <w:rsid w:val="58BCF6F1"/>
    <w:rsid w:val="58C6D9C6"/>
    <w:rsid w:val="58CDB3DD"/>
    <w:rsid w:val="58D9A644"/>
    <w:rsid w:val="58E425F2"/>
    <w:rsid w:val="59017368"/>
    <w:rsid w:val="5917E049"/>
    <w:rsid w:val="59334A99"/>
    <w:rsid w:val="59362AED"/>
    <w:rsid w:val="594F0C15"/>
    <w:rsid w:val="5950E561"/>
    <w:rsid w:val="5956FCE6"/>
    <w:rsid w:val="5976830E"/>
    <w:rsid w:val="59949508"/>
    <w:rsid w:val="59ACAE21"/>
    <w:rsid w:val="59B1FF45"/>
    <w:rsid w:val="59E42771"/>
    <w:rsid w:val="59E616F8"/>
    <w:rsid w:val="59ECFCC3"/>
    <w:rsid w:val="59EFC625"/>
    <w:rsid w:val="59FA3ECE"/>
    <w:rsid w:val="5A0C292A"/>
    <w:rsid w:val="5A0EC4B0"/>
    <w:rsid w:val="5A2128DD"/>
    <w:rsid w:val="5A312C8D"/>
    <w:rsid w:val="5A46FC50"/>
    <w:rsid w:val="5A5E67E9"/>
    <w:rsid w:val="5A6C1836"/>
    <w:rsid w:val="5A72A67E"/>
    <w:rsid w:val="5A72E0CE"/>
    <w:rsid w:val="5A7AD2E8"/>
    <w:rsid w:val="5A8EC18A"/>
    <w:rsid w:val="5A947197"/>
    <w:rsid w:val="5AA00BE1"/>
    <w:rsid w:val="5ABCB1F6"/>
    <w:rsid w:val="5AD84248"/>
    <w:rsid w:val="5ADA9DED"/>
    <w:rsid w:val="5ADCAE63"/>
    <w:rsid w:val="5AF02C88"/>
    <w:rsid w:val="5AF16615"/>
    <w:rsid w:val="5AF3F5DB"/>
    <w:rsid w:val="5AF9ED75"/>
    <w:rsid w:val="5B0FAEAF"/>
    <w:rsid w:val="5B1D8E8A"/>
    <w:rsid w:val="5B537B65"/>
    <w:rsid w:val="5B6304EF"/>
    <w:rsid w:val="5B653E30"/>
    <w:rsid w:val="5B762F34"/>
    <w:rsid w:val="5B76B2A7"/>
    <w:rsid w:val="5B7E6F38"/>
    <w:rsid w:val="5B811302"/>
    <w:rsid w:val="5B826323"/>
    <w:rsid w:val="5BCA1CC3"/>
    <w:rsid w:val="5BCC4769"/>
    <w:rsid w:val="5BD21EA9"/>
    <w:rsid w:val="5BDC0A4B"/>
    <w:rsid w:val="5C1FB6F3"/>
    <w:rsid w:val="5C22A125"/>
    <w:rsid w:val="5C53B8F2"/>
    <w:rsid w:val="5C5BDC89"/>
    <w:rsid w:val="5C60C669"/>
    <w:rsid w:val="5C6F988D"/>
    <w:rsid w:val="5C79DA82"/>
    <w:rsid w:val="5C7DEF88"/>
    <w:rsid w:val="5C84A63C"/>
    <w:rsid w:val="5C8B2586"/>
    <w:rsid w:val="5C96DBDA"/>
    <w:rsid w:val="5C9EFFE6"/>
    <w:rsid w:val="5C9F7EE9"/>
    <w:rsid w:val="5CADB370"/>
    <w:rsid w:val="5CAE07F4"/>
    <w:rsid w:val="5CBCCA7E"/>
    <w:rsid w:val="5CC01398"/>
    <w:rsid w:val="5CCBF1EF"/>
    <w:rsid w:val="5CD8BF02"/>
    <w:rsid w:val="5CEA704F"/>
    <w:rsid w:val="5D030D3D"/>
    <w:rsid w:val="5D086292"/>
    <w:rsid w:val="5D09F4AA"/>
    <w:rsid w:val="5D1C7F77"/>
    <w:rsid w:val="5D1F6B94"/>
    <w:rsid w:val="5D22A719"/>
    <w:rsid w:val="5D32B59D"/>
    <w:rsid w:val="5D37DDD9"/>
    <w:rsid w:val="5D64229A"/>
    <w:rsid w:val="5D6CD93A"/>
    <w:rsid w:val="5DB1B308"/>
    <w:rsid w:val="5DC5973D"/>
    <w:rsid w:val="5E2B2DC0"/>
    <w:rsid w:val="5E55F9AD"/>
    <w:rsid w:val="5E6516BB"/>
    <w:rsid w:val="5E7EC48C"/>
    <w:rsid w:val="5EAC9F1F"/>
    <w:rsid w:val="5EAD53E3"/>
    <w:rsid w:val="5EAF0033"/>
    <w:rsid w:val="5EB09D65"/>
    <w:rsid w:val="5EBB4FE6"/>
    <w:rsid w:val="5EC16CE8"/>
    <w:rsid w:val="5EF7F984"/>
    <w:rsid w:val="5F04772E"/>
    <w:rsid w:val="5F04F0D3"/>
    <w:rsid w:val="5F1E71CC"/>
    <w:rsid w:val="5F1FCFC4"/>
    <w:rsid w:val="5F227F06"/>
    <w:rsid w:val="5F27730B"/>
    <w:rsid w:val="5F28E6B7"/>
    <w:rsid w:val="5F3BB2AD"/>
    <w:rsid w:val="5F44E39B"/>
    <w:rsid w:val="5F47645C"/>
    <w:rsid w:val="5F485740"/>
    <w:rsid w:val="5F5151EC"/>
    <w:rsid w:val="5F7B4410"/>
    <w:rsid w:val="5F7D8349"/>
    <w:rsid w:val="5F8343C4"/>
    <w:rsid w:val="5F8435C5"/>
    <w:rsid w:val="5F8EA36A"/>
    <w:rsid w:val="5F938075"/>
    <w:rsid w:val="5FAC8956"/>
    <w:rsid w:val="5FC7A661"/>
    <w:rsid w:val="5FCAA752"/>
    <w:rsid w:val="5FD03809"/>
    <w:rsid w:val="5FD30341"/>
    <w:rsid w:val="5FD7E2B4"/>
    <w:rsid w:val="5FFB0463"/>
    <w:rsid w:val="6011E057"/>
    <w:rsid w:val="6014CCD8"/>
    <w:rsid w:val="6019D031"/>
    <w:rsid w:val="601B2D87"/>
    <w:rsid w:val="601EA4A9"/>
    <w:rsid w:val="6024981C"/>
    <w:rsid w:val="60512734"/>
    <w:rsid w:val="6061102A"/>
    <w:rsid w:val="6088E53B"/>
    <w:rsid w:val="60892EB7"/>
    <w:rsid w:val="6091C685"/>
    <w:rsid w:val="60AFD1B3"/>
    <w:rsid w:val="60BB86E4"/>
    <w:rsid w:val="60DE24EA"/>
    <w:rsid w:val="60F5DE09"/>
    <w:rsid w:val="610535A7"/>
    <w:rsid w:val="610B30AF"/>
    <w:rsid w:val="610BD38C"/>
    <w:rsid w:val="611B1FFA"/>
    <w:rsid w:val="6126355B"/>
    <w:rsid w:val="612D7E4A"/>
    <w:rsid w:val="613AFFDC"/>
    <w:rsid w:val="614C8B23"/>
    <w:rsid w:val="6162EDEA"/>
    <w:rsid w:val="616EB1C0"/>
    <w:rsid w:val="616FF1F3"/>
    <w:rsid w:val="61703A80"/>
    <w:rsid w:val="61758189"/>
    <w:rsid w:val="6184C009"/>
    <w:rsid w:val="61B08421"/>
    <w:rsid w:val="61B5CB80"/>
    <w:rsid w:val="61BAA33E"/>
    <w:rsid w:val="61C24811"/>
    <w:rsid w:val="61CC7463"/>
    <w:rsid w:val="61CFA39F"/>
    <w:rsid w:val="61D01F12"/>
    <w:rsid w:val="61D713ED"/>
    <w:rsid w:val="61F289C2"/>
    <w:rsid w:val="6251378A"/>
    <w:rsid w:val="6261B04E"/>
    <w:rsid w:val="62743C13"/>
    <w:rsid w:val="62886944"/>
    <w:rsid w:val="629C850C"/>
    <w:rsid w:val="62B3D298"/>
    <w:rsid w:val="62B4945B"/>
    <w:rsid w:val="62BB26C0"/>
    <w:rsid w:val="62C00470"/>
    <w:rsid w:val="62C42BB2"/>
    <w:rsid w:val="62D0DA8C"/>
    <w:rsid w:val="62D84A11"/>
    <w:rsid w:val="62D86FF3"/>
    <w:rsid w:val="62D9F500"/>
    <w:rsid w:val="62E6F6B4"/>
    <w:rsid w:val="62EB95AA"/>
    <w:rsid w:val="62F09E20"/>
    <w:rsid w:val="633E8497"/>
    <w:rsid w:val="6344F0B8"/>
    <w:rsid w:val="634A6974"/>
    <w:rsid w:val="636FA52A"/>
    <w:rsid w:val="63740A71"/>
    <w:rsid w:val="637FAE46"/>
    <w:rsid w:val="6394F973"/>
    <w:rsid w:val="639A3D6B"/>
    <w:rsid w:val="63B829ED"/>
    <w:rsid w:val="63C192F2"/>
    <w:rsid w:val="63C5C163"/>
    <w:rsid w:val="63DCC5AD"/>
    <w:rsid w:val="63F00641"/>
    <w:rsid w:val="64007B3F"/>
    <w:rsid w:val="64244478"/>
    <w:rsid w:val="643118AE"/>
    <w:rsid w:val="647684D1"/>
    <w:rsid w:val="648261A1"/>
    <w:rsid w:val="64873F9E"/>
    <w:rsid w:val="64A07C52"/>
    <w:rsid w:val="64A09132"/>
    <w:rsid w:val="64C6397A"/>
    <w:rsid w:val="64D54241"/>
    <w:rsid w:val="64DF9A5D"/>
    <w:rsid w:val="64F308F4"/>
    <w:rsid w:val="650DA46B"/>
    <w:rsid w:val="650FA66A"/>
    <w:rsid w:val="651B18DE"/>
    <w:rsid w:val="65244E70"/>
    <w:rsid w:val="6543D723"/>
    <w:rsid w:val="654B4D7E"/>
    <w:rsid w:val="65714E88"/>
    <w:rsid w:val="65936545"/>
    <w:rsid w:val="659A3683"/>
    <w:rsid w:val="65AA40EA"/>
    <w:rsid w:val="65BA5CF9"/>
    <w:rsid w:val="65D2E0ED"/>
    <w:rsid w:val="65DB8B51"/>
    <w:rsid w:val="65E02C8A"/>
    <w:rsid w:val="65E9ADA4"/>
    <w:rsid w:val="6617528B"/>
    <w:rsid w:val="661A4C15"/>
    <w:rsid w:val="6655BA95"/>
    <w:rsid w:val="66760C72"/>
    <w:rsid w:val="667F28F3"/>
    <w:rsid w:val="66851568"/>
    <w:rsid w:val="668DC5AC"/>
    <w:rsid w:val="66B8D6B0"/>
    <w:rsid w:val="66D90E14"/>
    <w:rsid w:val="66E149BE"/>
    <w:rsid w:val="66E8FCA8"/>
    <w:rsid w:val="66FB87A9"/>
    <w:rsid w:val="6706C322"/>
    <w:rsid w:val="67115176"/>
    <w:rsid w:val="67155162"/>
    <w:rsid w:val="672E9BF1"/>
    <w:rsid w:val="672F5385"/>
    <w:rsid w:val="67396FD1"/>
    <w:rsid w:val="6758846C"/>
    <w:rsid w:val="67636AAD"/>
    <w:rsid w:val="678524CE"/>
    <w:rsid w:val="679122A3"/>
    <w:rsid w:val="67A83BA9"/>
    <w:rsid w:val="67A90763"/>
    <w:rsid w:val="67AB846E"/>
    <w:rsid w:val="67AD2B39"/>
    <w:rsid w:val="67C56DDD"/>
    <w:rsid w:val="67D11413"/>
    <w:rsid w:val="67D6DAD6"/>
    <w:rsid w:val="67DA777B"/>
    <w:rsid w:val="67E31E35"/>
    <w:rsid w:val="67F3F454"/>
    <w:rsid w:val="67FCE64C"/>
    <w:rsid w:val="67FFB9DF"/>
    <w:rsid w:val="6802656C"/>
    <w:rsid w:val="68142AF9"/>
    <w:rsid w:val="681F27B7"/>
    <w:rsid w:val="6820933B"/>
    <w:rsid w:val="682EC826"/>
    <w:rsid w:val="6835C121"/>
    <w:rsid w:val="683FFB99"/>
    <w:rsid w:val="684278CD"/>
    <w:rsid w:val="684E01F6"/>
    <w:rsid w:val="688E2AE3"/>
    <w:rsid w:val="689AA2DB"/>
    <w:rsid w:val="68B01D4B"/>
    <w:rsid w:val="68B42B7B"/>
    <w:rsid w:val="68C20B40"/>
    <w:rsid w:val="68FD1D6F"/>
    <w:rsid w:val="691EA66E"/>
    <w:rsid w:val="692849D0"/>
    <w:rsid w:val="693AB7F4"/>
    <w:rsid w:val="694602A5"/>
    <w:rsid w:val="6954FC47"/>
    <w:rsid w:val="69775728"/>
    <w:rsid w:val="69847E95"/>
    <w:rsid w:val="6992FA11"/>
    <w:rsid w:val="69A00BBF"/>
    <w:rsid w:val="69B02251"/>
    <w:rsid w:val="69BF179C"/>
    <w:rsid w:val="69CA1A6C"/>
    <w:rsid w:val="69D2EF3D"/>
    <w:rsid w:val="69D3D05D"/>
    <w:rsid w:val="69DAC725"/>
    <w:rsid w:val="69FAFC15"/>
    <w:rsid w:val="69FF5C7F"/>
    <w:rsid w:val="6A06AE3B"/>
    <w:rsid w:val="6A079021"/>
    <w:rsid w:val="6A288368"/>
    <w:rsid w:val="6A2EA0A4"/>
    <w:rsid w:val="6A33AE0B"/>
    <w:rsid w:val="6A75D06B"/>
    <w:rsid w:val="6A85795E"/>
    <w:rsid w:val="6AA2A4E0"/>
    <w:rsid w:val="6AB9BC03"/>
    <w:rsid w:val="6ABBAEFE"/>
    <w:rsid w:val="6ABEC70D"/>
    <w:rsid w:val="6ADC08C9"/>
    <w:rsid w:val="6ADFFCFC"/>
    <w:rsid w:val="6AFC973B"/>
    <w:rsid w:val="6AFFC506"/>
    <w:rsid w:val="6B04E981"/>
    <w:rsid w:val="6B0CF71B"/>
    <w:rsid w:val="6B24C910"/>
    <w:rsid w:val="6B396374"/>
    <w:rsid w:val="6B3B69BF"/>
    <w:rsid w:val="6B4F1671"/>
    <w:rsid w:val="6B5112C3"/>
    <w:rsid w:val="6B53314D"/>
    <w:rsid w:val="6B56D02D"/>
    <w:rsid w:val="6B5972F4"/>
    <w:rsid w:val="6B5C04DC"/>
    <w:rsid w:val="6B61D435"/>
    <w:rsid w:val="6B648CAC"/>
    <w:rsid w:val="6B68C9F0"/>
    <w:rsid w:val="6B6ABC4E"/>
    <w:rsid w:val="6B6C5286"/>
    <w:rsid w:val="6B6CE498"/>
    <w:rsid w:val="6B8E15B9"/>
    <w:rsid w:val="6B903632"/>
    <w:rsid w:val="6B9E35B3"/>
    <w:rsid w:val="6BAC9930"/>
    <w:rsid w:val="6BBE01A6"/>
    <w:rsid w:val="6BF68C45"/>
    <w:rsid w:val="6BFC0FFC"/>
    <w:rsid w:val="6C091C97"/>
    <w:rsid w:val="6C1FAFB8"/>
    <w:rsid w:val="6C2ECD55"/>
    <w:rsid w:val="6C405DF4"/>
    <w:rsid w:val="6C834A3C"/>
    <w:rsid w:val="6CA9A10F"/>
    <w:rsid w:val="6CB84E6B"/>
    <w:rsid w:val="6CBD7A80"/>
    <w:rsid w:val="6CCFF951"/>
    <w:rsid w:val="6CD0D00D"/>
    <w:rsid w:val="6CFB2B8C"/>
    <w:rsid w:val="6CFFF30E"/>
    <w:rsid w:val="6D00176E"/>
    <w:rsid w:val="6D261E8A"/>
    <w:rsid w:val="6D36AFEC"/>
    <w:rsid w:val="6D4A4D67"/>
    <w:rsid w:val="6D5C547B"/>
    <w:rsid w:val="6D636683"/>
    <w:rsid w:val="6D6D327B"/>
    <w:rsid w:val="6DA10B5F"/>
    <w:rsid w:val="6DA3D13E"/>
    <w:rsid w:val="6DB3A5E8"/>
    <w:rsid w:val="6DB5858D"/>
    <w:rsid w:val="6DB8AB64"/>
    <w:rsid w:val="6DC56626"/>
    <w:rsid w:val="6DD228B2"/>
    <w:rsid w:val="6DD2FD58"/>
    <w:rsid w:val="6DE87B5E"/>
    <w:rsid w:val="6E109E8C"/>
    <w:rsid w:val="6E17E311"/>
    <w:rsid w:val="6E1B9440"/>
    <w:rsid w:val="6E3DBF50"/>
    <w:rsid w:val="6E5B7863"/>
    <w:rsid w:val="6E5D9561"/>
    <w:rsid w:val="6E809A32"/>
    <w:rsid w:val="6E999B88"/>
    <w:rsid w:val="6EA80313"/>
    <w:rsid w:val="6EEC432B"/>
    <w:rsid w:val="6EF2BB5C"/>
    <w:rsid w:val="6EF45167"/>
    <w:rsid w:val="6EF51B27"/>
    <w:rsid w:val="6EFFE49B"/>
    <w:rsid w:val="6F0084AD"/>
    <w:rsid w:val="6F1CC5D0"/>
    <w:rsid w:val="6F209699"/>
    <w:rsid w:val="6F28C443"/>
    <w:rsid w:val="6F42CD38"/>
    <w:rsid w:val="6F4950D5"/>
    <w:rsid w:val="6F6C2A7D"/>
    <w:rsid w:val="6F81286A"/>
    <w:rsid w:val="6F933830"/>
    <w:rsid w:val="6F9881AC"/>
    <w:rsid w:val="6FC0294C"/>
    <w:rsid w:val="6FCA8BD5"/>
    <w:rsid w:val="6FD16A5E"/>
    <w:rsid w:val="7007765A"/>
    <w:rsid w:val="700A710D"/>
    <w:rsid w:val="70116701"/>
    <w:rsid w:val="701436B6"/>
    <w:rsid w:val="701BC0D8"/>
    <w:rsid w:val="7056792A"/>
    <w:rsid w:val="7063ECC4"/>
    <w:rsid w:val="706F9FCA"/>
    <w:rsid w:val="707BA6AD"/>
    <w:rsid w:val="70835EB2"/>
    <w:rsid w:val="70887309"/>
    <w:rsid w:val="709646CA"/>
    <w:rsid w:val="70A52F19"/>
    <w:rsid w:val="70ADEEA2"/>
    <w:rsid w:val="70C09AB7"/>
    <w:rsid w:val="70C765E0"/>
    <w:rsid w:val="70D59604"/>
    <w:rsid w:val="70EAC0AD"/>
    <w:rsid w:val="70F19F96"/>
    <w:rsid w:val="710CF470"/>
    <w:rsid w:val="7127FC9A"/>
    <w:rsid w:val="7132F29C"/>
    <w:rsid w:val="7159021C"/>
    <w:rsid w:val="715BA696"/>
    <w:rsid w:val="716DD378"/>
    <w:rsid w:val="7171D468"/>
    <w:rsid w:val="7182A50E"/>
    <w:rsid w:val="7189F206"/>
    <w:rsid w:val="71915A79"/>
    <w:rsid w:val="71AF6195"/>
    <w:rsid w:val="71BE2BA0"/>
    <w:rsid w:val="71CFE5F4"/>
    <w:rsid w:val="71E982B5"/>
    <w:rsid w:val="72327AFF"/>
    <w:rsid w:val="72526A80"/>
    <w:rsid w:val="7253814F"/>
    <w:rsid w:val="72538538"/>
    <w:rsid w:val="7261E830"/>
    <w:rsid w:val="7290A835"/>
    <w:rsid w:val="72AFCDFC"/>
    <w:rsid w:val="72C0AB33"/>
    <w:rsid w:val="72D48098"/>
    <w:rsid w:val="72DF5269"/>
    <w:rsid w:val="72E3BB12"/>
    <w:rsid w:val="72EB018C"/>
    <w:rsid w:val="72FAAC5B"/>
    <w:rsid w:val="73027AE1"/>
    <w:rsid w:val="730B86E4"/>
    <w:rsid w:val="734EB395"/>
    <w:rsid w:val="7354FE77"/>
    <w:rsid w:val="7365A385"/>
    <w:rsid w:val="736A60FA"/>
    <w:rsid w:val="737433DC"/>
    <w:rsid w:val="73789819"/>
    <w:rsid w:val="73806B05"/>
    <w:rsid w:val="73A70094"/>
    <w:rsid w:val="73AAD35F"/>
    <w:rsid w:val="73C2A648"/>
    <w:rsid w:val="73C656B9"/>
    <w:rsid w:val="73E4E390"/>
    <w:rsid w:val="73E6EAE0"/>
    <w:rsid w:val="73EF6B9D"/>
    <w:rsid w:val="740540E1"/>
    <w:rsid w:val="740B8DD6"/>
    <w:rsid w:val="74188935"/>
    <w:rsid w:val="74256DF0"/>
    <w:rsid w:val="742FAB45"/>
    <w:rsid w:val="74319B7E"/>
    <w:rsid w:val="743858D7"/>
    <w:rsid w:val="744A804A"/>
    <w:rsid w:val="746FB962"/>
    <w:rsid w:val="7471F2EC"/>
    <w:rsid w:val="74A499A1"/>
    <w:rsid w:val="74AC6920"/>
    <w:rsid w:val="74B70C0E"/>
    <w:rsid w:val="74BBD377"/>
    <w:rsid w:val="74C3FA3A"/>
    <w:rsid w:val="74C474E8"/>
    <w:rsid w:val="74C77488"/>
    <w:rsid w:val="74E456C8"/>
    <w:rsid w:val="74E7D7D4"/>
    <w:rsid w:val="74F6A786"/>
    <w:rsid w:val="74FE6FC9"/>
    <w:rsid w:val="74FEC2CB"/>
    <w:rsid w:val="750A1731"/>
    <w:rsid w:val="7517E6EB"/>
    <w:rsid w:val="752624EC"/>
    <w:rsid w:val="752786DC"/>
    <w:rsid w:val="752BCF97"/>
    <w:rsid w:val="752D299C"/>
    <w:rsid w:val="7538062C"/>
    <w:rsid w:val="753A75F1"/>
    <w:rsid w:val="754A83FE"/>
    <w:rsid w:val="7557BFA5"/>
    <w:rsid w:val="75703989"/>
    <w:rsid w:val="758BCB5A"/>
    <w:rsid w:val="75995072"/>
    <w:rsid w:val="75A67ABC"/>
    <w:rsid w:val="75BDCC17"/>
    <w:rsid w:val="75C03463"/>
    <w:rsid w:val="75C245F3"/>
    <w:rsid w:val="75D412C2"/>
    <w:rsid w:val="75DBCD4C"/>
    <w:rsid w:val="75DC24AC"/>
    <w:rsid w:val="75EAD01F"/>
    <w:rsid w:val="760BCD96"/>
    <w:rsid w:val="76111480"/>
    <w:rsid w:val="761C4651"/>
    <w:rsid w:val="7644402B"/>
    <w:rsid w:val="765A7472"/>
    <w:rsid w:val="76680F50"/>
    <w:rsid w:val="7677BAEF"/>
    <w:rsid w:val="7677BB9F"/>
    <w:rsid w:val="768121BE"/>
    <w:rsid w:val="7695EB3D"/>
    <w:rsid w:val="76ABFA5F"/>
    <w:rsid w:val="76AD453D"/>
    <w:rsid w:val="76B0170A"/>
    <w:rsid w:val="76BE6432"/>
    <w:rsid w:val="76DCF94A"/>
    <w:rsid w:val="76E6DF7B"/>
    <w:rsid w:val="76E7E3E2"/>
    <w:rsid w:val="770E08F4"/>
    <w:rsid w:val="7722FC87"/>
    <w:rsid w:val="772CA40A"/>
    <w:rsid w:val="774F6620"/>
    <w:rsid w:val="77516DD1"/>
    <w:rsid w:val="775372BF"/>
    <w:rsid w:val="778ADE11"/>
    <w:rsid w:val="7795863E"/>
    <w:rsid w:val="779B50A7"/>
    <w:rsid w:val="77A774C7"/>
    <w:rsid w:val="77BE8D5E"/>
    <w:rsid w:val="77C7CA40"/>
    <w:rsid w:val="77CFE537"/>
    <w:rsid w:val="77D6D1DD"/>
    <w:rsid w:val="77EBD859"/>
    <w:rsid w:val="77F2B2C7"/>
    <w:rsid w:val="77FDF8C8"/>
    <w:rsid w:val="781865B7"/>
    <w:rsid w:val="78207CB8"/>
    <w:rsid w:val="7829911B"/>
    <w:rsid w:val="785528CD"/>
    <w:rsid w:val="78681015"/>
    <w:rsid w:val="78752856"/>
    <w:rsid w:val="787940D7"/>
    <w:rsid w:val="78832332"/>
    <w:rsid w:val="788FB652"/>
    <w:rsid w:val="78AA9522"/>
    <w:rsid w:val="78DC34AF"/>
    <w:rsid w:val="78F2BF78"/>
    <w:rsid w:val="78F61C94"/>
    <w:rsid w:val="792557F7"/>
    <w:rsid w:val="792B6381"/>
    <w:rsid w:val="793932C3"/>
    <w:rsid w:val="793EF873"/>
    <w:rsid w:val="7955BADE"/>
    <w:rsid w:val="79800A44"/>
    <w:rsid w:val="799B9316"/>
    <w:rsid w:val="799C2DC2"/>
    <w:rsid w:val="79B14A8B"/>
    <w:rsid w:val="79C965B7"/>
    <w:rsid w:val="79CDB56F"/>
    <w:rsid w:val="79DDA1CC"/>
    <w:rsid w:val="79F161D2"/>
    <w:rsid w:val="79FFE0D6"/>
    <w:rsid w:val="7A008B2C"/>
    <w:rsid w:val="7A02E9D9"/>
    <w:rsid w:val="7A0EE3C5"/>
    <w:rsid w:val="7A17AEF5"/>
    <w:rsid w:val="7A3ADCD0"/>
    <w:rsid w:val="7A4488EF"/>
    <w:rsid w:val="7A4FECEA"/>
    <w:rsid w:val="7A5F07AF"/>
    <w:rsid w:val="7A6000BB"/>
    <w:rsid w:val="7A6553FD"/>
    <w:rsid w:val="7A6E7C5A"/>
    <w:rsid w:val="7A79375C"/>
    <w:rsid w:val="7A8BA667"/>
    <w:rsid w:val="7A97B3F6"/>
    <w:rsid w:val="7AB29878"/>
    <w:rsid w:val="7ABA2511"/>
    <w:rsid w:val="7ABB32AF"/>
    <w:rsid w:val="7ABC81F7"/>
    <w:rsid w:val="7AC07645"/>
    <w:rsid w:val="7AD6A857"/>
    <w:rsid w:val="7ADCA881"/>
    <w:rsid w:val="7AEF4EDC"/>
    <w:rsid w:val="7B0F7FC4"/>
    <w:rsid w:val="7B2D2A56"/>
    <w:rsid w:val="7B915E7F"/>
    <w:rsid w:val="7B96A936"/>
    <w:rsid w:val="7BCDB631"/>
    <w:rsid w:val="7BD214CF"/>
    <w:rsid w:val="7BFC936B"/>
    <w:rsid w:val="7C19D232"/>
    <w:rsid w:val="7C1ABF24"/>
    <w:rsid w:val="7C28E1BD"/>
    <w:rsid w:val="7C2AB1E2"/>
    <w:rsid w:val="7C2B2CC5"/>
    <w:rsid w:val="7C5EA790"/>
    <w:rsid w:val="7C7F4A6B"/>
    <w:rsid w:val="7C9AE746"/>
    <w:rsid w:val="7CA4A22B"/>
    <w:rsid w:val="7CB4D650"/>
    <w:rsid w:val="7CB58EAB"/>
    <w:rsid w:val="7CCA6BB4"/>
    <w:rsid w:val="7CD2E84F"/>
    <w:rsid w:val="7CF159CB"/>
    <w:rsid w:val="7D042C59"/>
    <w:rsid w:val="7D1661D0"/>
    <w:rsid w:val="7D427496"/>
    <w:rsid w:val="7D79820E"/>
    <w:rsid w:val="7DAE9A4C"/>
    <w:rsid w:val="7DB17CA7"/>
    <w:rsid w:val="7DBE86FB"/>
    <w:rsid w:val="7DCBBFB6"/>
    <w:rsid w:val="7DCCC89D"/>
    <w:rsid w:val="7DD496AA"/>
    <w:rsid w:val="7DF942D4"/>
    <w:rsid w:val="7E052798"/>
    <w:rsid w:val="7E0E030A"/>
    <w:rsid w:val="7E308221"/>
    <w:rsid w:val="7E5FC91E"/>
    <w:rsid w:val="7E6B47DC"/>
    <w:rsid w:val="7ED65B61"/>
    <w:rsid w:val="7ED90214"/>
    <w:rsid w:val="7EDF1508"/>
    <w:rsid w:val="7EECA315"/>
    <w:rsid w:val="7EF34CC8"/>
    <w:rsid w:val="7EF3F982"/>
    <w:rsid w:val="7F14BBF9"/>
    <w:rsid w:val="7F26417B"/>
    <w:rsid w:val="7F294AA6"/>
    <w:rsid w:val="7F29E539"/>
    <w:rsid w:val="7F51E61E"/>
    <w:rsid w:val="7F620E91"/>
    <w:rsid w:val="7F7D3EED"/>
    <w:rsid w:val="7F7DDBE7"/>
    <w:rsid w:val="7F832286"/>
    <w:rsid w:val="7FCAF830"/>
    <w:rsid w:val="7FD24372"/>
    <w:rsid w:val="7FD2B1F2"/>
    <w:rsid w:val="7FD79754"/>
    <w:rsid w:val="7FE4BD20"/>
    <w:rsid w:val="7FFA7D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75F946"/>
  <w15:chartTrackingRefBased/>
  <w15:docId w15:val="{02AE7937-8E67-443C-9BA9-9EDFEECC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0C6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60C6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60C6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60C6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60C6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60C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C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C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C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C6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60C6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60C6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60C6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60C6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60C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C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C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C61"/>
    <w:rPr>
      <w:rFonts w:eastAsiaTheme="majorEastAsia" w:cstheme="majorBidi"/>
      <w:color w:val="272727" w:themeColor="text1" w:themeTint="D8"/>
    </w:rPr>
  </w:style>
  <w:style w:type="paragraph" w:styleId="Title">
    <w:name w:val="Title"/>
    <w:basedOn w:val="Normal"/>
    <w:next w:val="Normal"/>
    <w:link w:val="TitleChar"/>
    <w:uiPriority w:val="10"/>
    <w:qFormat/>
    <w:rsid w:val="0066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C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C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C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C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0C61"/>
    <w:rPr>
      <w:i/>
      <w:iCs/>
      <w:color w:val="404040" w:themeColor="text1" w:themeTint="BF"/>
    </w:rPr>
  </w:style>
  <w:style w:type="paragraph" w:styleId="ListParagraph">
    <w:name w:val="List Paragraph"/>
    <w:basedOn w:val="Normal"/>
    <w:uiPriority w:val="34"/>
    <w:qFormat/>
    <w:rsid w:val="00660C61"/>
    <w:pPr>
      <w:ind w:left="720"/>
      <w:contextualSpacing/>
    </w:pPr>
  </w:style>
  <w:style w:type="character" w:styleId="IntenseEmphasis">
    <w:name w:val="Intense Emphasis"/>
    <w:basedOn w:val="DefaultParagraphFont"/>
    <w:uiPriority w:val="21"/>
    <w:qFormat/>
    <w:rsid w:val="00660C61"/>
    <w:rPr>
      <w:i/>
      <w:iCs/>
      <w:color w:val="365F91" w:themeColor="accent1" w:themeShade="BF"/>
    </w:rPr>
  </w:style>
  <w:style w:type="paragraph" w:styleId="IntenseQuote">
    <w:name w:val="Intense Quote"/>
    <w:basedOn w:val="Normal"/>
    <w:next w:val="Normal"/>
    <w:link w:val="IntenseQuoteChar"/>
    <w:uiPriority w:val="30"/>
    <w:qFormat/>
    <w:rsid w:val="00660C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60C61"/>
    <w:rPr>
      <w:i/>
      <w:iCs/>
      <w:color w:val="365F91" w:themeColor="accent1" w:themeShade="BF"/>
    </w:rPr>
  </w:style>
  <w:style w:type="character" w:styleId="IntenseReference">
    <w:name w:val="Intense Reference"/>
    <w:basedOn w:val="DefaultParagraphFont"/>
    <w:uiPriority w:val="32"/>
    <w:qFormat/>
    <w:rsid w:val="00660C61"/>
    <w:rPr>
      <w:b/>
      <w:bCs/>
      <w:smallCaps/>
      <w:color w:val="365F91" w:themeColor="accent1" w:themeShade="BF"/>
      <w:spacing w:val="5"/>
    </w:rPr>
  </w:style>
  <w:style w:type="character" w:customStyle="1" w:styleId="Marker">
    <w:name w:val="Marker"/>
    <w:basedOn w:val="DefaultParagraphFont"/>
    <w:rsid w:val="00660C61"/>
    <w:rPr>
      <w:color w:val="0000FF"/>
      <w:shd w:val="clear" w:color="auto" w:fill="auto"/>
    </w:rPr>
  </w:style>
  <w:style w:type="paragraph" w:styleId="Header">
    <w:name w:val="header"/>
    <w:basedOn w:val="Normal"/>
    <w:link w:val="HeaderChar"/>
    <w:uiPriority w:val="99"/>
    <w:unhideWhenUsed/>
    <w:rsid w:val="00660C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C61"/>
  </w:style>
  <w:style w:type="paragraph" w:styleId="Footer">
    <w:name w:val="footer"/>
    <w:basedOn w:val="Normal"/>
    <w:link w:val="FooterChar"/>
    <w:uiPriority w:val="99"/>
    <w:unhideWhenUsed/>
    <w:rsid w:val="00660C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C61"/>
  </w:style>
  <w:style w:type="paragraph" w:customStyle="1" w:styleId="Pagedecouverture">
    <w:name w:val="Page de couverture"/>
    <w:basedOn w:val="Normal"/>
    <w:next w:val="Normal"/>
    <w:rsid w:val="00660C6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660C6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60C61"/>
    <w:rPr>
      <w:rFonts w:ascii="Times New Roman" w:hAnsi="Times New Roman" w:cs="Times New Roman"/>
      <w:sz w:val="24"/>
    </w:rPr>
  </w:style>
  <w:style w:type="paragraph" w:customStyle="1" w:styleId="FooterSensitivity">
    <w:name w:val="Footer Sensitivity"/>
    <w:basedOn w:val="Normal"/>
    <w:link w:val="FooterSensitivityChar"/>
    <w:rsid w:val="00660C6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60C61"/>
    <w:rPr>
      <w:rFonts w:ascii="Times New Roman" w:hAnsi="Times New Roman" w:cs="Times New Roman"/>
      <w:b/>
      <w:sz w:val="32"/>
    </w:rPr>
  </w:style>
  <w:style w:type="paragraph" w:customStyle="1" w:styleId="HeaderCoverPage">
    <w:name w:val="Header Cover Page"/>
    <w:basedOn w:val="Normal"/>
    <w:link w:val="HeaderCoverPageChar"/>
    <w:rsid w:val="00660C6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60C61"/>
    <w:rPr>
      <w:rFonts w:ascii="Times New Roman" w:hAnsi="Times New Roman" w:cs="Times New Roman"/>
      <w:sz w:val="24"/>
    </w:rPr>
  </w:style>
  <w:style w:type="paragraph" w:customStyle="1" w:styleId="HeaderSensitivity">
    <w:name w:val="Header Sensitivity"/>
    <w:basedOn w:val="Normal"/>
    <w:link w:val="HeaderSensitivityChar"/>
    <w:rsid w:val="00660C6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60C61"/>
    <w:rPr>
      <w:rFonts w:ascii="Times New Roman" w:hAnsi="Times New Roman" w:cs="Times New Roman"/>
      <w:b/>
      <w:sz w:val="32"/>
    </w:rPr>
  </w:style>
  <w:style w:type="paragraph" w:customStyle="1" w:styleId="HeaderSensitivityRight">
    <w:name w:val="Header Sensitivity Right"/>
    <w:basedOn w:val="Normal"/>
    <w:link w:val="HeaderSensitivityRightChar"/>
    <w:rsid w:val="009476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60C61"/>
    <w:rPr>
      <w:rFonts w:ascii="Times New Roman" w:hAnsi="Times New Roman" w:cs="Times New Roman"/>
      <w:sz w:val="28"/>
    </w:rPr>
  </w:style>
  <w:style w:type="character" w:styleId="Hyperlink">
    <w:name w:val="Hyperlink"/>
    <w:basedOn w:val="DefaultParagraphFont"/>
    <w:uiPriority w:val="99"/>
    <w:unhideWhenUsed/>
    <w:rsid w:val="00660C61"/>
    <w:rPr>
      <w:color w:val="0000FF" w:themeColor="hyperlink"/>
      <w:u w:val="single"/>
    </w:rPr>
  </w:style>
  <w:style w:type="table" w:styleId="TableGrid">
    <w:name w:val="Table Grid"/>
    <w:basedOn w:val="TableNormal"/>
    <w:uiPriority w:val="59"/>
    <w:rsid w:val="00660C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sid w:val="00D842FC"/>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D842FC"/>
    <w:rPr>
      <w:sz w:val="20"/>
      <w:szCs w:val="20"/>
    </w:rPr>
  </w:style>
  <w:style w:type="character" w:styleId="FootnoteReference">
    <w:name w:val="footnote reference"/>
    <w:aliases w:val="stylish,Ref,de nota al pie,Footnote reference number,Footnote symbol,note TESI,Footnote Reference1,Times 10 Point,Exposant 3 Point,Footnote,Voetnootverwijzing,SUPERS,EN Footnote Reference,Ref1,de nota al pie1,Ref2,de nota al pie2,fr,E"/>
    <w:basedOn w:val="DefaultParagraphFont"/>
    <w:link w:val="FootnoteReferenceCharCarCharCharCarCharCarCharCarCharCarCharCharCarCarCharCharCharCharCharCarCharCarCharCharCarCharCar"/>
    <w:uiPriority w:val="99"/>
    <w:unhideWhenUsed/>
    <w:qFormat/>
    <w:rsid w:val="00D842FC"/>
    <w:rPr>
      <w:vertAlign w:val="superscript"/>
    </w:rPr>
  </w:style>
  <w:style w:type="paragraph" w:customStyle="1" w:styleId="paragraph">
    <w:name w:val="paragraph"/>
    <w:basedOn w:val="Normal"/>
    <w:rsid w:val="00F118B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F118B2"/>
  </w:style>
  <w:style w:type="character" w:customStyle="1" w:styleId="eop">
    <w:name w:val="eop"/>
    <w:basedOn w:val="DefaultParagraphFont"/>
    <w:rsid w:val="00F118B2"/>
  </w:style>
  <w:style w:type="paragraph" w:styleId="Revision">
    <w:name w:val="Revision"/>
    <w:hidden/>
    <w:uiPriority w:val="99"/>
    <w:semiHidden/>
    <w:rsid w:val="00D14BC2"/>
    <w:pPr>
      <w:spacing w:after="0" w:line="240" w:lineRule="auto"/>
    </w:pPr>
  </w:style>
  <w:style w:type="paragraph" w:styleId="NormalWeb">
    <w:name w:val="Normal (Web)"/>
    <w:basedOn w:val="Normal"/>
    <w:uiPriority w:val="99"/>
    <w:unhideWhenUsed/>
    <w:rsid w:val="007F747B"/>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Strong">
    <w:name w:val="Strong"/>
    <w:basedOn w:val="DefaultParagraphFont"/>
    <w:uiPriority w:val="22"/>
    <w:qFormat/>
    <w:rsid w:val="007F747B"/>
    <w:rPr>
      <w:b/>
      <w:bCs/>
    </w:rPr>
  </w:style>
  <w:style w:type="character" w:styleId="CommentReference">
    <w:name w:val="annotation reference"/>
    <w:basedOn w:val="DefaultParagraphFont"/>
    <w:uiPriority w:val="99"/>
    <w:semiHidden/>
    <w:unhideWhenUsed/>
    <w:rsid w:val="000D6231"/>
    <w:rPr>
      <w:sz w:val="16"/>
      <w:szCs w:val="16"/>
    </w:rPr>
  </w:style>
  <w:style w:type="paragraph" w:styleId="CommentText">
    <w:name w:val="annotation text"/>
    <w:basedOn w:val="Normal"/>
    <w:link w:val="CommentTextChar"/>
    <w:uiPriority w:val="99"/>
    <w:unhideWhenUsed/>
    <w:rsid w:val="000D6231"/>
    <w:pPr>
      <w:spacing w:line="240" w:lineRule="auto"/>
    </w:pPr>
    <w:rPr>
      <w:sz w:val="20"/>
      <w:szCs w:val="20"/>
    </w:rPr>
  </w:style>
  <w:style w:type="character" w:customStyle="1" w:styleId="CommentTextChar">
    <w:name w:val="Comment Text Char"/>
    <w:basedOn w:val="DefaultParagraphFont"/>
    <w:link w:val="CommentText"/>
    <w:uiPriority w:val="99"/>
    <w:rsid w:val="000D6231"/>
    <w:rPr>
      <w:sz w:val="20"/>
      <w:szCs w:val="20"/>
    </w:rPr>
  </w:style>
  <w:style w:type="paragraph" w:styleId="CommentSubject">
    <w:name w:val="annotation subject"/>
    <w:basedOn w:val="CommentText"/>
    <w:next w:val="CommentText"/>
    <w:link w:val="CommentSubjectChar"/>
    <w:uiPriority w:val="99"/>
    <w:semiHidden/>
    <w:unhideWhenUsed/>
    <w:rsid w:val="000D6231"/>
    <w:rPr>
      <w:b/>
      <w:bCs/>
    </w:rPr>
  </w:style>
  <w:style w:type="character" w:customStyle="1" w:styleId="CommentSubjectChar">
    <w:name w:val="Comment Subject Char"/>
    <w:basedOn w:val="CommentTextChar"/>
    <w:link w:val="CommentSubject"/>
    <w:uiPriority w:val="99"/>
    <w:semiHidden/>
    <w:rsid w:val="000D6231"/>
    <w:rPr>
      <w:b/>
      <w:bCs/>
      <w:sz w:val="20"/>
      <w:szCs w:val="20"/>
    </w:rPr>
  </w:style>
  <w:style w:type="character" w:customStyle="1" w:styleId="Mention">
    <w:name w:val="Mention"/>
    <w:basedOn w:val="DefaultParagraphFont"/>
    <w:uiPriority w:val="99"/>
    <w:unhideWhenUsed/>
    <w:rsid w:val="000D6231"/>
    <w:rPr>
      <w:color w:val="2B579A"/>
      <w:shd w:val="clear" w:color="auto" w:fill="E1DFDD"/>
    </w:rPr>
  </w:style>
  <w:style w:type="character" w:customStyle="1" w:styleId="UnresolvedMention">
    <w:name w:val="Unresolved Mention"/>
    <w:basedOn w:val="DefaultParagraphFont"/>
    <w:uiPriority w:val="99"/>
    <w:semiHidden/>
    <w:unhideWhenUsed/>
    <w:rsid w:val="002265AB"/>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A47271"/>
    <w:pPr>
      <w:keepLines/>
      <w:spacing w:after="160" w:line="240" w:lineRule="exact"/>
      <w:jc w:val="both"/>
    </w:pPr>
    <w:rPr>
      <w:vertAlign w:val="superscript"/>
    </w:rPr>
  </w:style>
  <w:style w:type="character" w:styleId="FollowedHyperlink">
    <w:name w:val="FollowedHyperlink"/>
    <w:basedOn w:val="DefaultParagraphFont"/>
    <w:uiPriority w:val="99"/>
    <w:semiHidden/>
    <w:unhideWhenUsed/>
    <w:rsid w:val="00B26BDB"/>
    <w:rPr>
      <w:color w:val="800080" w:themeColor="followedHyperlink"/>
      <w:u w:val="single"/>
    </w:rPr>
  </w:style>
  <w:style w:type="paragraph" w:customStyle="1" w:styleId="Disclaimer">
    <w:name w:val="Disclaimer"/>
    <w:basedOn w:val="Normal"/>
    <w:rsid w:val="009476A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476AE"/>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9476AE"/>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9476AE"/>
    <w:pPr>
      <w:spacing w:after="0"/>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87952">
      <w:bodyDiv w:val="1"/>
      <w:marLeft w:val="0"/>
      <w:marRight w:val="0"/>
      <w:marTop w:val="0"/>
      <w:marBottom w:val="0"/>
      <w:divBdr>
        <w:top w:val="none" w:sz="0" w:space="0" w:color="auto"/>
        <w:left w:val="none" w:sz="0" w:space="0" w:color="auto"/>
        <w:bottom w:val="none" w:sz="0" w:space="0" w:color="auto"/>
        <w:right w:val="none" w:sz="0" w:space="0" w:color="auto"/>
      </w:divBdr>
      <w:divsChild>
        <w:div w:id="181282062">
          <w:marLeft w:val="0"/>
          <w:marRight w:val="0"/>
          <w:marTop w:val="0"/>
          <w:marBottom w:val="0"/>
          <w:divBdr>
            <w:top w:val="none" w:sz="0" w:space="0" w:color="auto"/>
            <w:left w:val="none" w:sz="0" w:space="0" w:color="auto"/>
            <w:bottom w:val="none" w:sz="0" w:space="0" w:color="auto"/>
            <w:right w:val="none" w:sz="0" w:space="0" w:color="auto"/>
          </w:divBdr>
        </w:div>
        <w:div w:id="551968118">
          <w:marLeft w:val="0"/>
          <w:marRight w:val="0"/>
          <w:marTop w:val="0"/>
          <w:marBottom w:val="0"/>
          <w:divBdr>
            <w:top w:val="none" w:sz="0" w:space="0" w:color="auto"/>
            <w:left w:val="none" w:sz="0" w:space="0" w:color="auto"/>
            <w:bottom w:val="none" w:sz="0" w:space="0" w:color="auto"/>
            <w:right w:val="none" w:sz="0" w:space="0" w:color="auto"/>
          </w:divBdr>
        </w:div>
        <w:div w:id="654065022">
          <w:marLeft w:val="0"/>
          <w:marRight w:val="0"/>
          <w:marTop w:val="0"/>
          <w:marBottom w:val="0"/>
          <w:divBdr>
            <w:top w:val="none" w:sz="0" w:space="0" w:color="auto"/>
            <w:left w:val="none" w:sz="0" w:space="0" w:color="auto"/>
            <w:bottom w:val="none" w:sz="0" w:space="0" w:color="auto"/>
            <w:right w:val="none" w:sz="0" w:space="0" w:color="auto"/>
          </w:divBdr>
        </w:div>
        <w:div w:id="740638764">
          <w:marLeft w:val="0"/>
          <w:marRight w:val="0"/>
          <w:marTop w:val="0"/>
          <w:marBottom w:val="0"/>
          <w:divBdr>
            <w:top w:val="none" w:sz="0" w:space="0" w:color="auto"/>
            <w:left w:val="none" w:sz="0" w:space="0" w:color="auto"/>
            <w:bottom w:val="none" w:sz="0" w:space="0" w:color="auto"/>
            <w:right w:val="none" w:sz="0" w:space="0" w:color="auto"/>
          </w:divBdr>
        </w:div>
        <w:div w:id="1450902779">
          <w:marLeft w:val="0"/>
          <w:marRight w:val="0"/>
          <w:marTop w:val="0"/>
          <w:marBottom w:val="0"/>
          <w:divBdr>
            <w:top w:val="none" w:sz="0" w:space="0" w:color="auto"/>
            <w:left w:val="none" w:sz="0" w:space="0" w:color="auto"/>
            <w:bottom w:val="none" w:sz="0" w:space="0" w:color="auto"/>
            <w:right w:val="none" w:sz="0" w:space="0" w:color="auto"/>
          </w:divBdr>
        </w:div>
        <w:div w:id="1577783764">
          <w:marLeft w:val="0"/>
          <w:marRight w:val="0"/>
          <w:marTop w:val="0"/>
          <w:marBottom w:val="0"/>
          <w:divBdr>
            <w:top w:val="none" w:sz="0" w:space="0" w:color="auto"/>
            <w:left w:val="none" w:sz="0" w:space="0" w:color="auto"/>
            <w:bottom w:val="none" w:sz="0" w:space="0" w:color="auto"/>
            <w:right w:val="none" w:sz="0" w:space="0" w:color="auto"/>
          </w:divBdr>
        </w:div>
        <w:div w:id="2005279061">
          <w:marLeft w:val="0"/>
          <w:marRight w:val="0"/>
          <w:marTop w:val="0"/>
          <w:marBottom w:val="0"/>
          <w:divBdr>
            <w:top w:val="none" w:sz="0" w:space="0" w:color="auto"/>
            <w:left w:val="none" w:sz="0" w:space="0" w:color="auto"/>
            <w:bottom w:val="none" w:sz="0" w:space="0" w:color="auto"/>
            <w:right w:val="none" w:sz="0" w:space="0" w:color="auto"/>
          </w:divBdr>
        </w:div>
      </w:divsChild>
    </w:div>
    <w:div w:id="180752528">
      <w:bodyDiv w:val="1"/>
      <w:marLeft w:val="0"/>
      <w:marRight w:val="0"/>
      <w:marTop w:val="0"/>
      <w:marBottom w:val="0"/>
      <w:divBdr>
        <w:top w:val="none" w:sz="0" w:space="0" w:color="auto"/>
        <w:left w:val="none" w:sz="0" w:space="0" w:color="auto"/>
        <w:bottom w:val="none" w:sz="0" w:space="0" w:color="auto"/>
        <w:right w:val="none" w:sz="0" w:space="0" w:color="auto"/>
      </w:divBdr>
      <w:divsChild>
        <w:div w:id="116679475">
          <w:marLeft w:val="0"/>
          <w:marRight w:val="0"/>
          <w:marTop w:val="0"/>
          <w:marBottom w:val="0"/>
          <w:divBdr>
            <w:top w:val="none" w:sz="0" w:space="0" w:color="auto"/>
            <w:left w:val="none" w:sz="0" w:space="0" w:color="auto"/>
            <w:bottom w:val="none" w:sz="0" w:space="0" w:color="auto"/>
            <w:right w:val="none" w:sz="0" w:space="0" w:color="auto"/>
          </w:divBdr>
        </w:div>
        <w:div w:id="223293193">
          <w:marLeft w:val="0"/>
          <w:marRight w:val="0"/>
          <w:marTop w:val="0"/>
          <w:marBottom w:val="0"/>
          <w:divBdr>
            <w:top w:val="none" w:sz="0" w:space="0" w:color="auto"/>
            <w:left w:val="none" w:sz="0" w:space="0" w:color="auto"/>
            <w:bottom w:val="none" w:sz="0" w:space="0" w:color="auto"/>
            <w:right w:val="none" w:sz="0" w:space="0" w:color="auto"/>
          </w:divBdr>
        </w:div>
        <w:div w:id="829953117">
          <w:marLeft w:val="0"/>
          <w:marRight w:val="0"/>
          <w:marTop w:val="0"/>
          <w:marBottom w:val="0"/>
          <w:divBdr>
            <w:top w:val="none" w:sz="0" w:space="0" w:color="auto"/>
            <w:left w:val="none" w:sz="0" w:space="0" w:color="auto"/>
            <w:bottom w:val="none" w:sz="0" w:space="0" w:color="auto"/>
            <w:right w:val="none" w:sz="0" w:space="0" w:color="auto"/>
          </w:divBdr>
        </w:div>
        <w:div w:id="845052880">
          <w:marLeft w:val="0"/>
          <w:marRight w:val="0"/>
          <w:marTop w:val="0"/>
          <w:marBottom w:val="0"/>
          <w:divBdr>
            <w:top w:val="none" w:sz="0" w:space="0" w:color="auto"/>
            <w:left w:val="none" w:sz="0" w:space="0" w:color="auto"/>
            <w:bottom w:val="none" w:sz="0" w:space="0" w:color="auto"/>
            <w:right w:val="none" w:sz="0" w:space="0" w:color="auto"/>
          </w:divBdr>
        </w:div>
        <w:div w:id="1417746958">
          <w:marLeft w:val="0"/>
          <w:marRight w:val="0"/>
          <w:marTop w:val="0"/>
          <w:marBottom w:val="0"/>
          <w:divBdr>
            <w:top w:val="none" w:sz="0" w:space="0" w:color="auto"/>
            <w:left w:val="none" w:sz="0" w:space="0" w:color="auto"/>
            <w:bottom w:val="none" w:sz="0" w:space="0" w:color="auto"/>
            <w:right w:val="none" w:sz="0" w:space="0" w:color="auto"/>
          </w:divBdr>
        </w:div>
        <w:div w:id="1463843572">
          <w:marLeft w:val="0"/>
          <w:marRight w:val="0"/>
          <w:marTop w:val="0"/>
          <w:marBottom w:val="0"/>
          <w:divBdr>
            <w:top w:val="none" w:sz="0" w:space="0" w:color="auto"/>
            <w:left w:val="none" w:sz="0" w:space="0" w:color="auto"/>
            <w:bottom w:val="none" w:sz="0" w:space="0" w:color="auto"/>
            <w:right w:val="none" w:sz="0" w:space="0" w:color="auto"/>
          </w:divBdr>
        </w:div>
        <w:div w:id="1929970333">
          <w:marLeft w:val="0"/>
          <w:marRight w:val="0"/>
          <w:marTop w:val="0"/>
          <w:marBottom w:val="0"/>
          <w:divBdr>
            <w:top w:val="none" w:sz="0" w:space="0" w:color="auto"/>
            <w:left w:val="none" w:sz="0" w:space="0" w:color="auto"/>
            <w:bottom w:val="none" w:sz="0" w:space="0" w:color="auto"/>
            <w:right w:val="none" w:sz="0" w:space="0" w:color="auto"/>
          </w:divBdr>
        </w:div>
      </w:divsChild>
    </w:div>
    <w:div w:id="235554439">
      <w:bodyDiv w:val="1"/>
      <w:marLeft w:val="0"/>
      <w:marRight w:val="0"/>
      <w:marTop w:val="0"/>
      <w:marBottom w:val="0"/>
      <w:divBdr>
        <w:top w:val="none" w:sz="0" w:space="0" w:color="auto"/>
        <w:left w:val="none" w:sz="0" w:space="0" w:color="auto"/>
        <w:bottom w:val="none" w:sz="0" w:space="0" w:color="auto"/>
        <w:right w:val="none" w:sz="0" w:space="0" w:color="auto"/>
      </w:divBdr>
      <w:divsChild>
        <w:div w:id="553345605">
          <w:marLeft w:val="0"/>
          <w:marRight w:val="0"/>
          <w:marTop w:val="0"/>
          <w:marBottom w:val="0"/>
          <w:divBdr>
            <w:top w:val="none" w:sz="0" w:space="0" w:color="auto"/>
            <w:left w:val="none" w:sz="0" w:space="0" w:color="auto"/>
            <w:bottom w:val="none" w:sz="0" w:space="0" w:color="auto"/>
            <w:right w:val="none" w:sz="0" w:space="0" w:color="auto"/>
          </w:divBdr>
        </w:div>
        <w:div w:id="1914201443">
          <w:marLeft w:val="0"/>
          <w:marRight w:val="0"/>
          <w:marTop w:val="0"/>
          <w:marBottom w:val="0"/>
          <w:divBdr>
            <w:top w:val="none" w:sz="0" w:space="0" w:color="auto"/>
            <w:left w:val="none" w:sz="0" w:space="0" w:color="auto"/>
            <w:bottom w:val="none" w:sz="0" w:space="0" w:color="auto"/>
            <w:right w:val="none" w:sz="0" w:space="0" w:color="auto"/>
          </w:divBdr>
        </w:div>
        <w:div w:id="2032758508">
          <w:marLeft w:val="0"/>
          <w:marRight w:val="0"/>
          <w:marTop w:val="0"/>
          <w:marBottom w:val="0"/>
          <w:divBdr>
            <w:top w:val="none" w:sz="0" w:space="0" w:color="auto"/>
            <w:left w:val="none" w:sz="0" w:space="0" w:color="auto"/>
            <w:bottom w:val="none" w:sz="0" w:space="0" w:color="auto"/>
            <w:right w:val="none" w:sz="0" w:space="0" w:color="auto"/>
          </w:divBdr>
        </w:div>
      </w:divsChild>
    </w:div>
    <w:div w:id="241961465">
      <w:bodyDiv w:val="1"/>
      <w:marLeft w:val="0"/>
      <w:marRight w:val="0"/>
      <w:marTop w:val="0"/>
      <w:marBottom w:val="0"/>
      <w:divBdr>
        <w:top w:val="none" w:sz="0" w:space="0" w:color="auto"/>
        <w:left w:val="none" w:sz="0" w:space="0" w:color="auto"/>
        <w:bottom w:val="none" w:sz="0" w:space="0" w:color="auto"/>
        <w:right w:val="none" w:sz="0" w:space="0" w:color="auto"/>
      </w:divBdr>
      <w:divsChild>
        <w:div w:id="367804260">
          <w:marLeft w:val="0"/>
          <w:marRight w:val="0"/>
          <w:marTop w:val="0"/>
          <w:marBottom w:val="0"/>
          <w:divBdr>
            <w:top w:val="none" w:sz="0" w:space="0" w:color="auto"/>
            <w:left w:val="none" w:sz="0" w:space="0" w:color="auto"/>
            <w:bottom w:val="none" w:sz="0" w:space="0" w:color="auto"/>
            <w:right w:val="none" w:sz="0" w:space="0" w:color="auto"/>
          </w:divBdr>
        </w:div>
        <w:div w:id="1401633423">
          <w:marLeft w:val="0"/>
          <w:marRight w:val="0"/>
          <w:marTop w:val="0"/>
          <w:marBottom w:val="0"/>
          <w:divBdr>
            <w:top w:val="none" w:sz="0" w:space="0" w:color="auto"/>
            <w:left w:val="none" w:sz="0" w:space="0" w:color="auto"/>
            <w:bottom w:val="none" w:sz="0" w:space="0" w:color="auto"/>
            <w:right w:val="none" w:sz="0" w:space="0" w:color="auto"/>
          </w:divBdr>
        </w:div>
        <w:div w:id="2030522874">
          <w:marLeft w:val="0"/>
          <w:marRight w:val="0"/>
          <w:marTop w:val="0"/>
          <w:marBottom w:val="0"/>
          <w:divBdr>
            <w:top w:val="none" w:sz="0" w:space="0" w:color="auto"/>
            <w:left w:val="none" w:sz="0" w:space="0" w:color="auto"/>
            <w:bottom w:val="none" w:sz="0" w:space="0" w:color="auto"/>
            <w:right w:val="none" w:sz="0" w:space="0" w:color="auto"/>
          </w:divBdr>
        </w:div>
      </w:divsChild>
    </w:div>
    <w:div w:id="267321546">
      <w:bodyDiv w:val="1"/>
      <w:marLeft w:val="0"/>
      <w:marRight w:val="0"/>
      <w:marTop w:val="0"/>
      <w:marBottom w:val="0"/>
      <w:divBdr>
        <w:top w:val="none" w:sz="0" w:space="0" w:color="auto"/>
        <w:left w:val="none" w:sz="0" w:space="0" w:color="auto"/>
        <w:bottom w:val="none" w:sz="0" w:space="0" w:color="auto"/>
        <w:right w:val="none" w:sz="0" w:space="0" w:color="auto"/>
      </w:divBdr>
    </w:div>
    <w:div w:id="272129371">
      <w:bodyDiv w:val="1"/>
      <w:marLeft w:val="0"/>
      <w:marRight w:val="0"/>
      <w:marTop w:val="0"/>
      <w:marBottom w:val="0"/>
      <w:divBdr>
        <w:top w:val="none" w:sz="0" w:space="0" w:color="auto"/>
        <w:left w:val="none" w:sz="0" w:space="0" w:color="auto"/>
        <w:bottom w:val="none" w:sz="0" w:space="0" w:color="auto"/>
        <w:right w:val="none" w:sz="0" w:space="0" w:color="auto"/>
      </w:divBdr>
      <w:divsChild>
        <w:div w:id="429473024">
          <w:marLeft w:val="0"/>
          <w:marRight w:val="0"/>
          <w:marTop w:val="0"/>
          <w:marBottom w:val="0"/>
          <w:divBdr>
            <w:top w:val="none" w:sz="0" w:space="0" w:color="auto"/>
            <w:left w:val="none" w:sz="0" w:space="0" w:color="auto"/>
            <w:bottom w:val="none" w:sz="0" w:space="0" w:color="auto"/>
            <w:right w:val="none" w:sz="0" w:space="0" w:color="auto"/>
          </w:divBdr>
        </w:div>
        <w:div w:id="896277529">
          <w:marLeft w:val="0"/>
          <w:marRight w:val="0"/>
          <w:marTop w:val="0"/>
          <w:marBottom w:val="0"/>
          <w:divBdr>
            <w:top w:val="none" w:sz="0" w:space="0" w:color="auto"/>
            <w:left w:val="none" w:sz="0" w:space="0" w:color="auto"/>
            <w:bottom w:val="none" w:sz="0" w:space="0" w:color="auto"/>
            <w:right w:val="none" w:sz="0" w:space="0" w:color="auto"/>
          </w:divBdr>
        </w:div>
        <w:div w:id="986322041">
          <w:marLeft w:val="0"/>
          <w:marRight w:val="0"/>
          <w:marTop w:val="0"/>
          <w:marBottom w:val="0"/>
          <w:divBdr>
            <w:top w:val="none" w:sz="0" w:space="0" w:color="auto"/>
            <w:left w:val="none" w:sz="0" w:space="0" w:color="auto"/>
            <w:bottom w:val="none" w:sz="0" w:space="0" w:color="auto"/>
            <w:right w:val="none" w:sz="0" w:space="0" w:color="auto"/>
          </w:divBdr>
        </w:div>
        <w:div w:id="1030491376">
          <w:marLeft w:val="0"/>
          <w:marRight w:val="0"/>
          <w:marTop w:val="0"/>
          <w:marBottom w:val="0"/>
          <w:divBdr>
            <w:top w:val="none" w:sz="0" w:space="0" w:color="auto"/>
            <w:left w:val="none" w:sz="0" w:space="0" w:color="auto"/>
            <w:bottom w:val="none" w:sz="0" w:space="0" w:color="auto"/>
            <w:right w:val="none" w:sz="0" w:space="0" w:color="auto"/>
          </w:divBdr>
        </w:div>
        <w:div w:id="1405838420">
          <w:marLeft w:val="0"/>
          <w:marRight w:val="0"/>
          <w:marTop w:val="0"/>
          <w:marBottom w:val="0"/>
          <w:divBdr>
            <w:top w:val="none" w:sz="0" w:space="0" w:color="auto"/>
            <w:left w:val="none" w:sz="0" w:space="0" w:color="auto"/>
            <w:bottom w:val="none" w:sz="0" w:space="0" w:color="auto"/>
            <w:right w:val="none" w:sz="0" w:space="0" w:color="auto"/>
          </w:divBdr>
        </w:div>
        <w:div w:id="1590651527">
          <w:marLeft w:val="0"/>
          <w:marRight w:val="0"/>
          <w:marTop w:val="0"/>
          <w:marBottom w:val="0"/>
          <w:divBdr>
            <w:top w:val="none" w:sz="0" w:space="0" w:color="auto"/>
            <w:left w:val="none" w:sz="0" w:space="0" w:color="auto"/>
            <w:bottom w:val="none" w:sz="0" w:space="0" w:color="auto"/>
            <w:right w:val="none" w:sz="0" w:space="0" w:color="auto"/>
          </w:divBdr>
        </w:div>
        <w:div w:id="1675188592">
          <w:marLeft w:val="0"/>
          <w:marRight w:val="0"/>
          <w:marTop w:val="0"/>
          <w:marBottom w:val="0"/>
          <w:divBdr>
            <w:top w:val="none" w:sz="0" w:space="0" w:color="auto"/>
            <w:left w:val="none" w:sz="0" w:space="0" w:color="auto"/>
            <w:bottom w:val="none" w:sz="0" w:space="0" w:color="auto"/>
            <w:right w:val="none" w:sz="0" w:space="0" w:color="auto"/>
          </w:divBdr>
        </w:div>
        <w:div w:id="1823619115">
          <w:marLeft w:val="0"/>
          <w:marRight w:val="0"/>
          <w:marTop w:val="0"/>
          <w:marBottom w:val="0"/>
          <w:divBdr>
            <w:top w:val="none" w:sz="0" w:space="0" w:color="auto"/>
            <w:left w:val="none" w:sz="0" w:space="0" w:color="auto"/>
            <w:bottom w:val="none" w:sz="0" w:space="0" w:color="auto"/>
            <w:right w:val="none" w:sz="0" w:space="0" w:color="auto"/>
          </w:divBdr>
        </w:div>
        <w:div w:id="1846550824">
          <w:marLeft w:val="0"/>
          <w:marRight w:val="0"/>
          <w:marTop w:val="0"/>
          <w:marBottom w:val="0"/>
          <w:divBdr>
            <w:top w:val="none" w:sz="0" w:space="0" w:color="auto"/>
            <w:left w:val="none" w:sz="0" w:space="0" w:color="auto"/>
            <w:bottom w:val="none" w:sz="0" w:space="0" w:color="auto"/>
            <w:right w:val="none" w:sz="0" w:space="0" w:color="auto"/>
          </w:divBdr>
        </w:div>
        <w:div w:id="1881430055">
          <w:marLeft w:val="0"/>
          <w:marRight w:val="0"/>
          <w:marTop w:val="0"/>
          <w:marBottom w:val="0"/>
          <w:divBdr>
            <w:top w:val="none" w:sz="0" w:space="0" w:color="auto"/>
            <w:left w:val="none" w:sz="0" w:space="0" w:color="auto"/>
            <w:bottom w:val="none" w:sz="0" w:space="0" w:color="auto"/>
            <w:right w:val="none" w:sz="0" w:space="0" w:color="auto"/>
          </w:divBdr>
        </w:div>
        <w:div w:id="1932813038">
          <w:marLeft w:val="0"/>
          <w:marRight w:val="0"/>
          <w:marTop w:val="0"/>
          <w:marBottom w:val="0"/>
          <w:divBdr>
            <w:top w:val="none" w:sz="0" w:space="0" w:color="auto"/>
            <w:left w:val="none" w:sz="0" w:space="0" w:color="auto"/>
            <w:bottom w:val="none" w:sz="0" w:space="0" w:color="auto"/>
            <w:right w:val="none" w:sz="0" w:space="0" w:color="auto"/>
          </w:divBdr>
        </w:div>
        <w:div w:id="2066367539">
          <w:marLeft w:val="0"/>
          <w:marRight w:val="0"/>
          <w:marTop w:val="0"/>
          <w:marBottom w:val="0"/>
          <w:divBdr>
            <w:top w:val="none" w:sz="0" w:space="0" w:color="auto"/>
            <w:left w:val="none" w:sz="0" w:space="0" w:color="auto"/>
            <w:bottom w:val="none" w:sz="0" w:space="0" w:color="auto"/>
            <w:right w:val="none" w:sz="0" w:space="0" w:color="auto"/>
          </w:divBdr>
        </w:div>
        <w:div w:id="2121794589">
          <w:marLeft w:val="0"/>
          <w:marRight w:val="0"/>
          <w:marTop w:val="0"/>
          <w:marBottom w:val="0"/>
          <w:divBdr>
            <w:top w:val="none" w:sz="0" w:space="0" w:color="auto"/>
            <w:left w:val="none" w:sz="0" w:space="0" w:color="auto"/>
            <w:bottom w:val="none" w:sz="0" w:space="0" w:color="auto"/>
            <w:right w:val="none" w:sz="0" w:space="0" w:color="auto"/>
          </w:divBdr>
        </w:div>
        <w:div w:id="2125692754">
          <w:marLeft w:val="0"/>
          <w:marRight w:val="0"/>
          <w:marTop w:val="0"/>
          <w:marBottom w:val="0"/>
          <w:divBdr>
            <w:top w:val="none" w:sz="0" w:space="0" w:color="auto"/>
            <w:left w:val="none" w:sz="0" w:space="0" w:color="auto"/>
            <w:bottom w:val="none" w:sz="0" w:space="0" w:color="auto"/>
            <w:right w:val="none" w:sz="0" w:space="0" w:color="auto"/>
          </w:divBdr>
        </w:div>
      </w:divsChild>
    </w:div>
    <w:div w:id="314141060">
      <w:bodyDiv w:val="1"/>
      <w:marLeft w:val="0"/>
      <w:marRight w:val="0"/>
      <w:marTop w:val="0"/>
      <w:marBottom w:val="0"/>
      <w:divBdr>
        <w:top w:val="none" w:sz="0" w:space="0" w:color="auto"/>
        <w:left w:val="none" w:sz="0" w:space="0" w:color="auto"/>
        <w:bottom w:val="none" w:sz="0" w:space="0" w:color="auto"/>
        <w:right w:val="none" w:sz="0" w:space="0" w:color="auto"/>
      </w:divBdr>
    </w:div>
    <w:div w:id="454907691">
      <w:bodyDiv w:val="1"/>
      <w:marLeft w:val="0"/>
      <w:marRight w:val="0"/>
      <w:marTop w:val="0"/>
      <w:marBottom w:val="0"/>
      <w:divBdr>
        <w:top w:val="none" w:sz="0" w:space="0" w:color="auto"/>
        <w:left w:val="none" w:sz="0" w:space="0" w:color="auto"/>
        <w:bottom w:val="none" w:sz="0" w:space="0" w:color="auto"/>
        <w:right w:val="none" w:sz="0" w:space="0" w:color="auto"/>
      </w:divBdr>
    </w:div>
    <w:div w:id="475299548">
      <w:bodyDiv w:val="1"/>
      <w:marLeft w:val="0"/>
      <w:marRight w:val="0"/>
      <w:marTop w:val="0"/>
      <w:marBottom w:val="0"/>
      <w:divBdr>
        <w:top w:val="none" w:sz="0" w:space="0" w:color="auto"/>
        <w:left w:val="none" w:sz="0" w:space="0" w:color="auto"/>
        <w:bottom w:val="none" w:sz="0" w:space="0" w:color="auto"/>
        <w:right w:val="none" w:sz="0" w:space="0" w:color="auto"/>
      </w:divBdr>
    </w:div>
    <w:div w:id="520750942">
      <w:bodyDiv w:val="1"/>
      <w:marLeft w:val="0"/>
      <w:marRight w:val="0"/>
      <w:marTop w:val="0"/>
      <w:marBottom w:val="0"/>
      <w:divBdr>
        <w:top w:val="none" w:sz="0" w:space="0" w:color="auto"/>
        <w:left w:val="none" w:sz="0" w:space="0" w:color="auto"/>
        <w:bottom w:val="none" w:sz="0" w:space="0" w:color="auto"/>
        <w:right w:val="none" w:sz="0" w:space="0" w:color="auto"/>
      </w:divBdr>
    </w:div>
    <w:div w:id="537007011">
      <w:bodyDiv w:val="1"/>
      <w:marLeft w:val="0"/>
      <w:marRight w:val="0"/>
      <w:marTop w:val="0"/>
      <w:marBottom w:val="0"/>
      <w:divBdr>
        <w:top w:val="none" w:sz="0" w:space="0" w:color="auto"/>
        <w:left w:val="none" w:sz="0" w:space="0" w:color="auto"/>
        <w:bottom w:val="none" w:sz="0" w:space="0" w:color="auto"/>
        <w:right w:val="none" w:sz="0" w:space="0" w:color="auto"/>
      </w:divBdr>
    </w:div>
    <w:div w:id="545029467">
      <w:bodyDiv w:val="1"/>
      <w:marLeft w:val="0"/>
      <w:marRight w:val="0"/>
      <w:marTop w:val="0"/>
      <w:marBottom w:val="0"/>
      <w:divBdr>
        <w:top w:val="none" w:sz="0" w:space="0" w:color="auto"/>
        <w:left w:val="none" w:sz="0" w:space="0" w:color="auto"/>
        <w:bottom w:val="none" w:sz="0" w:space="0" w:color="auto"/>
        <w:right w:val="none" w:sz="0" w:space="0" w:color="auto"/>
      </w:divBdr>
    </w:div>
    <w:div w:id="675156581">
      <w:bodyDiv w:val="1"/>
      <w:marLeft w:val="0"/>
      <w:marRight w:val="0"/>
      <w:marTop w:val="0"/>
      <w:marBottom w:val="0"/>
      <w:divBdr>
        <w:top w:val="none" w:sz="0" w:space="0" w:color="auto"/>
        <w:left w:val="none" w:sz="0" w:space="0" w:color="auto"/>
        <w:bottom w:val="none" w:sz="0" w:space="0" w:color="auto"/>
        <w:right w:val="none" w:sz="0" w:space="0" w:color="auto"/>
      </w:divBdr>
      <w:divsChild>
        <w:div w:id="804277733">
          <w:marLeft w:val="0"/>
          <w:marRight w:val="0"/>
          <w:marTop w:val="0"/>
          <w:marBottom w:val="0"/>
          <w:divBdr>
            <w:top w:val="none" w:sz="0" w:space="0" w:color="auto"/>
            <w:left w:val="none" w:sz="0" w:space="0" w:color="auto"/>
            <w:bottom w:val="none" w:sz="0" w:space="0" w:color="auto"/>
            <w:right w:val="none" w:sz="0" w:space="0" w:color="auto"/>
          </w:divBdr>
          <w:divsChild>
            <w:div w:id="27143787">
              <w:marLeft w:val="0"/>
              <w:marRight w:val="0"/>
              <w:marTop w:val="0"/>
              <w:marBottom w:val="0"/>
              <w:divBdr>
                <w:top w:val="none" w:sz="0" w:space="0" w:color="auto"/>
                <w:left w:val="none" w:sz="0" w:space="0" w:color="auto"/>
                <w:bottom w:val="none" w:sz="0" w:space="0" w:color="auto"/>
                <w:right w:val="none" w:sz="0" w:space="0" w:color="auto"/>
              </w:divBdr>
            </w:div>
            <w:div w:id="99421273">
              <w:marLeft w:val="0"/>
              <w:marRight w:val="0"/>
              <w:marTop w:val="0"/>
              <w:marBottom w:val="0"/>
              <w:divBdr>
                <w:top w:val="none" w:sz="0" w:space="0" w:color="auto"/>
                <w:left w:val="none" w:sz="0" w:space="0" w:color="auto"/>
                <w:bottom w:val="none" w:sz="0" w:space="0" w:color="auto"/>
                <w:right w:val="none" w:sz="0" w:space="0" w:color="auto"/>
              </w:divBdr>
            </w:div>
            <w:div w:id="407658953">
              <w:marLeft w:val="0"/>
              <w:marRight w:val="0"/>
              <w:marTop w:val="0"/>
              <w:marBottom w:val="0"/>
              <w:divBdr>
                <w:top w:val="none" w:sz="0" w:space="0" w:color="auto"/>
                <w:left w:val="none" w:sz="0" w:space="0" w:color="auto"/>
                <w:bottom w:val="none" w:sz="0" w:space="0" w:color="auto"/>
                <w:right w:val="none" w:sz="0" w:space="0" w:color="auto"/>
              </w:divBdr>
            </w:div>
            <w:div w:id="453064299">
              <w:marLeft w:val="0"/>
              <w:marRight w:val="0"/>
              <w:marTop w:val="0"/>
              <w:marBottom w:val="0"/>
              <w:divBdr>
                <w:top w:val="none" w:sz="0" w:space="0" w:color="auto"/>
                <w:left w:val="none" w:sz="0" w:space="0" w:color="auto"/>
                <w:bottom w:val="none" w:sz="0" w:space="0" w:color="auto"/>
                <w:right w:val="none" w:sz="0" w:space="0" w:color="auto"/>
              </w:divBdr>
            </w:div>
            <w:div w:id="493567471">
              <w:marLeft w:val="0"/>
              <w:marRight w:val="0"/>
              <w:marTop w:val="0"/>
              <w:marBottom w:val="0"/>
              <w:divBdr>
                <w:top w:val="none" w:sz="0" w:space="0" w:color="auto"/>
                <w:left w:val="none" w:sz="0" w:space="0" w:color="auto"/>
                <w:bottom w:val="none" w:sz="0" w:space="0" w:color="auto"/>
                <w:right w:val="none" w:sz="0" w:space="0" w:color="auto"/>
              </w:divBdr>
            </w:div>
            <w:div w:id="641663361">
              <w:marLeft w:val="0"/>
              <w:marRight w:val="0"/>
              <w:marTop w:val="0"/>
              <w:marBottom w:val="0"/>
              <w:divBdr>
                <w:top w:val="none" w:sz="0" w:space="0" w:color="auto"/>
                <w:left w:val="none" w:sz="0" w:space="0" w:color="auto"/>
                <w:bottom w:val="none" w:sz="0" w:space="0" w:color="auto"/>
                <w:right w:val="none" w:sz="0" w:space="0" w:color="auto"/>
              </w:divBdr>
            </w:div>
            <w:div w:id="662898997">
              <w:marLeft w:val="0"/>
              <w:marRight w:val="0"/>
              <w:marTop w:val="0"/>
              <w:marBottom w:val="0"/>
              <w:divBdr>
                <w:top w:val="none" w:sz="0" w:space="0" w:color="auto"/>
                <w:left w:val="none" w:sz="0" w:space="0" w:color="auto"/>
                <w:bottom w:val="none" w:sz="0" w:space="0" w:color="auto"/>
                <w:right w:val="none" w:sz="0" w:space="0" w:color="auto"/>
              </w:divBdr>
            </w:div>
            <w:div w:id="999890395">
              <w:marLeft w:val="0"/>
              <w:marRight w:val="0"/>
              <w:marTop w:val="0"/>
              <w:marBottom w:val="0"/>
              <w:divBdr>
                <w:top w:val="none" w:sz="0" w:space="0" w:color="auto"/>
                <w:left w:val="none" w:sz="0" w:space="0" w:color="auto"/>
                <w:bottom w:val="none" w:sz="0" w:space="0" w:color="auto"/>
                <w:right w:val="none" w:sz="0" w:space="0" w:color="auto"/>
              </w:divBdr>
            </w:div>
            <w:div w:id="1043142385">
              <w:marLeft w:val="0"/>
              <w:marRight w:val="0"/>
              <w:marTop w:val="0"/>
              <w:marBottom w:val="0"/>
              <w:divBdr>
                <w:top w:val="none" w:sz="0" w:space="0" w:color="auto"/>
                <w:left w:val="none" w:sz="0" w:space="0" w:color="auto"/>
                <w:bottom w:val="none" w:sz="0" w:space="0" w:color="auto"/>
                <w:right w:val="none" w:sz="0" w:space="0" w:color="auto"/>
              </w:divBdr>
            </w:div>
            <w:div w:id="1124351110">
              <w:marLeft w:val="0"/>
              <w:marRight w:val="0"/>
              <w:marTop w:val="0"/>
              <w:marBottom w:val="0"/>
              <w:divBdr>
                <w:top w:val="none" w:sz="0" w:space="0" w:color="auto"/>
                <w:left w:val="none" w:sz="0" w:space="0" w:color="auto"/>
                <w:bottom w:val="none" w:sz="0" w:space="0" w:color="auto"/>
                <w:right w:val="none" w:sz="0" w:space="0" w:color="auto"/>
              </w:divBdr>
            </w:div>
            <w:div w:id="1229919766">
              <w:marLeft w:val="0"/>
              <w:marRight w:val="0"/>
              <w:marTop w:val="0"/>
              <w:marBottom w:val="0"/>
              <w:divBdr>
                <w:top w:val="none" w:sz="0" w:space="0" w:color="auto"/>
                <w:left w:val="none" w:sz="0" w:space="0" w:color="auto"/>
                <w:bottom w:val="none" w:sz="0" w:space="0" w:color="auto"/>
                <w:right w:val="none" w:sz="0" w:space="0" w:color="auto"/>
              </w:divBdr>
            </w:div>
            <w:div w:id="1335456360">
              <w:marLeft w:val="0"/>
              <w:marRight w:val="0"/>
              <w:marTop w:val="0"/>
              <w:marBottom w:val="0"/>
              <w:divBdr>
                <w:top w:val="none" w:sz="0" w:space="0" w:color="auto"/>
                <w:left w:val="none" w:sz="0" w:space="0" w:color="auto"/>
                <w:bottom w:val="none" w:sz="0" w:space="0" w:color="auto"/>
                <w:right w:val="none" w:sz="0" w:space="0" w:color="auto"/>
              </w:divBdr>
            </w:div>
            <w:div w:id="1565487233">
              <w:marLeft w:val="0"/>
              <w:marRight w:val="0"/>
              <w:marTop w:val="0"/>
              <w:marBottom w:val="0"/>
              <w:divBdr>
                <w:top w:val="none" w:sz="0" w:space="0" w:color="auto"/>
                <w:left w:val="none" w:sz="0" w:space="0" w:color="auto"/>
                <w:bottom w:val="none" w:sz="0" w:space="0" w:color="auto"/>
                <w:right w:val="none" w:sz="0" w:space="0" w:color="auto"/>
              </w:divBdr>
            </w:div>
            <w:div w:id="1596327571">
              <w:marLeft w:val="0"/>
              <w:marRight w:val="0"/>
              <w:marTop w:val="0"/>
              <w:marBottom w:val="0"/>
              <w:divBdr>
                <w:top w:val="none" w:sz="0" w:space="0" w:color="auto"/>
                <w:left w:val="none" w:sz="0" w:space="0" w:color="auto"/>
                <w:bottom w:val="none" w:sz="0" w:space="0" w:color="auto"/>
                <w:right w:val="none" w:sz="0" w:space="0" w:color="auto"/>
              </w:divBdr>
            </w:div>
            <w:div w:id="1720934830">
              <w:marLeft w:val="0"/>
              <w:marRight w:val="0"/>
              <w:marTop w:val="0"/>
              <w:marBottom w:val="0"/>
              <w:divBdr>
                <w:top w:val="none" w:sz="0" w:space="0" w:color="auto"/>
                <w:left w:val="none" w:sz="0" w:space="0" w:color="auto"/>
                <w:bottom w:val="none" w:sz="0" w:space="0" w:color="auto"/>
                <w:right w:val="none" w:sz="0" w:space="0" w:color="auto"/>
              </w:divBdr>
            </w:div>
            <w:div w:id="1924488519">
              <w:marLeft w:val="0"/>
              <w:marRight w:val="0"/>
              <w:marTop w:val="0"/>
              <w:marBottom w:val="0"/>
              <w:divBdr>
                <w:top w:val="none" w:sz="0" w:space="0" w:color="auto"/>
                <w:left w:val="none" w:sz="0" w:space="0" w:color="auto"/>
                <w:bottom w:val="none" w:sz="0" w:space="0" w:color="auto"/>
                <w:right w:val="none" w:sz="0" w:space="0" w:color="auto"/>
              </w:divBdr>
            </w:div>
            <w:div w:id="1940333973">
              <w:marLeft w:val="0"/>
              <w:marRight w:val="0"/>
              <w:marTop w:val="0"/>
              <w:marBottom w:val="0"/>
              <w:divBdr>
                <w:top w:val="none" w:sz="0" w:space="0" w:color="auto"/>
                <w:left w:val="none" w:sz="0" w:space="0" w:color="auto"/>
                <w:bottom w:val="none" w:sz="0" w:space="0" w:color="auto"/>
                <w:right w:val="none" w:sz="0" w:space="0" w:color="auto"/>
              </w:divBdr>
            </w:div>
            <w:div w:id="2126804501">
              <w:marLeft w:val="0"/>
              <w:marRight w:val="0"/>
              <w:marTop w:val="0"/>
              <w:marBottom w:val="0"/>
              <w:divBdr>
                <w:top w:val="none" w:sz="0" w:space="0" w:color="auto"/>
                <w:left w:val="none" w:sz="0" w:space="0" w:color="auto"/>
                <w:bottom w:val="none" w:sz="0" w:space="0" w:color="auto"/>
                <w:right w:val="none" w:sz="0" w:space="0" w:color="auto"/>
              </w:divBdr>
            </w:div>
          </w:divsChild>
        </w:div>
        <w:div w:id="1718048622">
          <w:marLeft w:val="0"/>
          <w:marRight w:val="0"/>
          <w:marTop w:val="0"/>
          <w:marBottom w:val="0"/>
          <w:divBdr>
            <w:top w:val="none" w:sz="0" w:space="0" w:color="auto"/>
            <w:left w:val="none" w:sz="0" w:space="0" w:color="auto"/>
            <w:bottom w:val="none" w:sz="0" w:space="0" w:color="auto"/>
            <w:right w:val="none" w:sz="0" w:space="0" w:color="auto"/>
          </w:divBdr>
          <w:divsChild>
            <w:div w:id="479544380">
              <w:marLeft w:val="0"/>
              <w:marRight w:val="0"/>
              <w:marTop w:val="0"/>
              <w:marBottom w:val="0"/>
              <w:divBdr>
                <w:top w:val="none" w:sz="0" w:space="0" w:color="auto"/>
                <w:left w:val="none" w:sz="0" w:space="0" w:color="auto"/>
                <w:bottom w:val="none" w:sz="0" w:space="0" w:color="auto"/>
                <w:right w:val="none" w:sz="0" w:space="0" w:color="auto"/>
              </w:divBdr>
            </w:div>
            <w:div w:id="641932146">
              <w:marLeft w:val="0"/>
              <w:marRight w:val="0"/>
              <w:marTop w:val="0"/>
              <w:marBottom w:val="0"/>
              <w:divBdr>
                <w:top w:val="none" w:sz="0" w:space="0" w:color="auto"/>
                <w:left w:val="none" w:sz="0" w:space="0" w:color="auto"/>
                <w:bottom w:val="none" w:sz="0" w:space="0" w:color="auto"/>
                <w:right w:val="none" w:sz="0" w:space="0" w:color="auto"/>
              </w:divBdr>
            </w:div>
            <w:div w:id="643894855">
              <w:marLeft w:val="0"/>
              <w:marRight w:val="0"/>
              <w:marTop w:val="0"/>
              <w:marBottom w:val="0"/>
              <w:divBdr>
                <w:top w:val="none" w:sz="0" w:space="0" w:color="auto"/>
                <w:left w:val="none" w:sz="0" w:space="0" w:color="auto"/>
                <w:bottom w:val="none" w:sz="0" w:space="0" w:color="auto"/>
                <w:right w:val="none" w:sz="0" w:space="0" w:color="auto"/>
              </w:divBdr>
            </w:div>
            <w:div w:id="874199484">
              <w:marLeft w:val="0"/>
              <w:marRight w:val="0"/>
              <w:marTop w:val="0"/>
              <w:marBottom w:val="0"/>
              <w:divBdr>
                <w:top w:val="none" w:sz="0" w:space="0" w:color="auto"/>
                <w:left w:val="none" w:sz="0" w:space="0" w:color="auto"/>
                <w:bottom w:val="none" w:sz="0" w:space="0" w:color="auto"/>
                <w:right w:val="none" w:sz="0" w:space="0" w:color="auto"/>
              </w:divBdr>
            </w:div>
            <w:div w:id="936136422">
              <w:marLeft w:val="0"/>
              <w:marRight w:val="0"/>
              <w:marTop w:val="0"/>
              <w:marBottom w:val="0"/>
              <w:divBdr>
                <w:top w:val="none" w:sz="0" w:space="0" w:color="auto"/>
                <w:left w:val="none" w:sz="0" w:space="0" w:color="auto"/>
                <w:bottom w:val="none" w:sz="0" w:space="0" w:color="auto"/>
                <w:right w:val="none" w:sz="0" w:space="0" w:color="auto"/>
              </w:divBdr>
            </w:div>
            <w:div w:id="1177962392">
              <w:marLeft w:val="0"/>
              <w:marRight w:val="0"/>
              <w:marTop w:val="0"/>
              <w:marBottom w:val="0"/>
              <w:divBdr>
                <w:top w:val="none" w:sz="0" w:space="0" w:color="auto"/>
                <w:left w:val="none" w:sz="0" w:space="0" w:color="auto"/>
                <w:bottom w:val="none" w:sz="0" w:space="0" w:color="auto"/>
                <w:right w:val="none" w:sz="0" w:space="0" w:color="auto"/>
              </w:divBdr>
            </w:div>
            <w:div w:id="1348946461">
              <w:marLeft w:val="0"/>
              <w:marRight w:val="0"/>
              <w:marTop w:val="0"/>
              <w:marBottom w:val="0"/>
              <w:divBdr>
                <w:top w:val="none" w:sz="0" w:space="0" w:color="auto"/>
                <w:left w:val="none" w:sz="0" w:space="0" w:color="auto"/>
                <w:bottom w:val="none" w:sz="0" w:space="0" w:color="auto"/>
                <w:right w:val="none" w:sz="0" w:space="0" w:color="auto"/>
              </w:divBdr>
            </w:div>
            <w:div w:id="1578977813">
              <w:marLeft w:val="0"/>
              <w:marRight w:val="0"/>
              <w:marTop w:val="0"/>
              <w:marBottom w:val="0"/>
              <w:divBdr>
                <w:top w:val="none" w:sz="0" w:space="0" w:color="auto"/>
                <w:left w:val="none" w:sz="0" w:space="0" w:color="auto"/>
                <w:bottom w:val="none" w:sz="0" w:space="0" w:color="auto"/>
                <w:right w:val="none" w:sz="0" w:space="0" w:color="auto"/>
              </w:divBdr>
            </w:div>
            <w:div w:id="1580869686">
              <w:marLeft w:val="0"/>
              <w:marRight w:val="0"/>
              <w:marTop w:val="0"/>
              <w:marBottom w:val="0"/>
              <w:divBdr>
                <w:top w:val="none" w:sz="0" w:space="0" w:color="auto"/>
                <w:left w:val="none" w:sz="0" w:space="0" w:color="auto"/>
                <w:bottom w:val="none" w:sz="0" w:space="0" w:color="auto"/>
                <w:right w:val="none" w:sz="0" w:space="0" w:color="auto"/>
              </w:divBdr>
            </w:div>
            <w:div w:id="1776974487">
              <w:marLeft w:val="0"/>
              <w:marRight w:val="0"/>
              <w:marTop w:val="0"/>
              <w:marBottom w:val="0"/>
              <w:divBdr>
                <w:top w:val="none" w:sz="0" w:space="0" w:color="auto"/>
                <w:left w:val="none" w:sz="0" w:space="0" w:color="auto"/>
                <w:bottom w:val="none" w:sz="0" w:space="0" w:color="auto"/>
                <w:right w:val="none" w:sz="0" w:space="0" w:color="auto"/>
              </w:divBdr>
            </w:div>
            <w:div w:id="1787776028">
              <w:marLeft w:val="0"/>
              <w:marRight w:val="0"/>
              <w:marTop w:val="0"/>
              <w:marBottom w:val="0"/>
              <w:divBdr>
                <w:top w:val="none" w:sz="0" w:space="0" w:color="auto"/>
                <w:left w:val="none" w:sz="0" w:space="0" w:color="auto"/>
                <w:bottom w:val="none" w:sz="0" w:space="0" w:color="auto"/>
                <w:right w:val="none" w:sz="0" w:space="0" w:color="auto"/>
              </w:divBdr>
            </w:div>
            <w:div w:id="1821539165">
              <w:marLeft w:val="0"/>
              <w:marRight w:val="0"/>
              <w:marTop w:val="0"/>
              <w:marBottom w:val="0"/>
              <w:divBdr>
                <w:top w:val="none" w:sz="0" w:space="0" w:color="auto"/>
                <w:left w:val="none" w:sz="0" w:space="0" w:color="auto"/>
                <w:bottom w:val="none" w:sz="0" w:space="0" w:color="auto"/>
                <w:right w:val="none" w:sz="0" w:space="0" w:color="auto"/>
              </w:divBdr>
            </w:div>
            <w:div w:id="19811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953230">
      <w:bodyDiv w:val="1"/>
      <w:marLeft w:val="0"/>
      <w:marRight w:val="0"/>
      <w:marTop w:val="0"/>
      <w:marBottom w:val="0"/>
      <w:divBdr>
        <w:top w:val="none" w:sz="0" w:space="0" w:color="auto"/>
        <w:left w:val="none" w:sz="0" w:space="0" w:color="auto"/>
        <w:bottom w:val="none" w:sz="0" w:space="0" w:color="auto"/>
        <w:right w:val="none" w:sz="0" w:space="0" w:color="auto"/>
      </w:divBdr>
    </w:div>
    <w:div w:id="728042225">
      <w:bodyDiv w:val="1"/>
      <w:marLeft w:val="0"/>
      <w:marRight w:val="0"/>
      <w:marTop w:val="0"/>
      <w:marBottom w:val="0"/>
      <w:divBdr>
        <w:top w:val="none" w:sz="0" w:space="0" w:color="auto"/>
        <w:left w:val="none" w:sz="0" w:space="0" w:color="auto"/>
        <w:bottom w:val="none" w:sz="0" w:space="0" w:color="auto"/>
        <w:right w:val="none" w:sz="0" w:space="0" w:color="auto"/>
      </w:divBdr>
    </w:div>
    <w:div w:id="738328619">
      <w:bodyDiv w:val="1"/>
      <w:marLeft w:val="0"/>
      <w:marRight w:val="0"/>
      <w:marTop w:val="0"/>
      <w:marBottom w:val="0"/>
      <w:divBdr>
        <w:top w:val="none" w:sz="0" w:space="0" w:color="auto"/>
        <w:left w:val="none" w:sz="0" w:space="0" w:color="auto"/>
        <w:bottom w:val="none" w:sz="0" w:space="0" w:color="auto"/>
        <w:right w:val="none" w:sz="0" w:space="0" w:color="auto"/>
      </w:divBdr>
    </w:div>
    <w:div w:id="803041944">
      <w:bodyDiv w:val="1"/>
      <w:marLeft w:val="0"/>
      <w:marRight w:val="0"/>
      <w:marTop w:val="0"/>
      <w:marBottom w:val="0"/>
      <w:divBdr>
        <w:top w:val="none" w:sz="0" w:space="0" w:color="auto"/>
        <w:left w:val="none" w:sz="0" w:space="0" w:color="auto"/>
        <w:bottom w:val="none" w:sz="0" w:space="0" w:color="auto"/>
        <w:right w:val="none" w:sz="0" w:space="0" w:color="auto"/>
      </w:divBdr>
      <w:divsChild>
        <w:div w:id="111215144">
          <w:marLeft w:val="0"/>
          <w:marRight w:val="0"/>
          <w:marTop w:val="0"/>
          <w:marBottom w:val="0"/>
          <w:divBdr>
            <w:top w:val="none" w:sz="0" w:space="0" w:color="auto"/>
            <w:left w:val="none" w:sz="0" w:space="0" w:color="auto"/>
            <w:bottom w:val="none" w:sz="0" w:space="0" w:color="auto"/>
            <w:right w:val="none" w:sz="0" w:space="0" w:color="auto"/>
          </w:divBdr>
        </w:div>
        <w:div w:id="216749010">
          <w:marLeft w:val="0"/>
          <w:marRight w:val="0"/>
          <w:marTop w:val="0"/>
          <w:marBottom w:val="0"/>
          <w:divBdr>
            <w:top w:val="none" w:sz="0" w:space="0" w:color="auto"/>
            <w:left w:val="none" w:sz="0" w:space="0" w:color="auto"/>
            <w:bottom w:val="none" w:sz="0" w:space="0" w:color="auto"/>
            <w:right w:val="none" w:sz="0" w:space="0" w:color="auto"/>
          </w:divBdr>
        </w:div>
        <w:div w:id="378674993">
          <w:marLeft w:val="0"/>
          <w:marRight w:val="0"/>
          <w:marTop w:val="0"/>
          <w:marBottom w:val="0"/>
          <w:divBdr>
            <w:top w:val="none" w:sz="0" w:space="0" w:color="auto"/>
            <w:left w:val="none" w:sz="0" w:space="0" w:color="auto"/>
            <w:bottom w:val="none" w:sz="0" w:space="0" w:color="auto"/>
            <w:right w:val="none" w:sz="0" w:space="0" w:color="auto"/>
          </w:divBdr>
        </w:div>
        <w:div w:id="389957792">
          <w:marLeft w:val="0"/>
          <w:marRight w:val="0"/>
          <w:marTop w:val="0"/>
          <w:marBottom w:val="0"/>
          <w:divBdr>
            <w:top w:val="none" w:sz="0" w:space="0" w:color="auto"/>
            <w:left w:val="none" w:sz="0" w:space="0" w:color="auto"/>
            <w:bottom w:val="none" w:sz="0" w:space="0" w:color="auto"/>
            <w:right w:val="none" w:sz="0" w:space="0" w:color="auto"/>
          </w:divBdr>
        </w:div>
        <w:div w:id="442192265">
          <w:marLeft w:val="0"/>
          <w:marRight w:val="0"/>
          <w:marTop w:val="0"/>
          <w:marBottom w:val="0"/>
          <w:divBdr>
            <w:top w:val="none" w:sz="0" w:space="0" w:color="auto"/>
            <w:left w:val="none" w:sz="0" w:space="0" w:color="auto"/>
            <w:bottom w:val="none" w:sz="0" w:space="0" w:color="auto"/>
            <w:right w:val="none" w:sz="0" w:space="0" w:color="auto"/>
          </w:divBdr>
        </w:div>
        <w:div w:id="551619048">
          <w:marLeft w:val="0"/>
          <w:marRight w:val="0"/>
          <w:marTop w:val="0"/>
          <w:marBottom w:val="0"/>
          <w:divBdr>
            <w:top w:val="none" w:sz="0" w:space="0" w:color="auto"/>
            <w:left w:val="none" w:sz="0" w:space="0" w:color="auto"/>
            <w:bottom w:val="none" w:sz="0" w:space="0" w:color="auto"/>
            <w:right w:val="none" w:sz="0" w:space="0" w:color="auto"/>
          </w:divBdr>
        </w:div>
        <w:div w:id="646055537">
          <w:marLeft w:val="0"/>
          <w:marRight w:val="0"/>
          <w:marTop w:val="0"/>
          <w:marBottom w:val="0"/>
          <w:divBdr>
            <w:top w:val="none" w:sz="0" w:space="0" w:color="auto"/>
            <w:left w:val="none" w:sz="0" w:space="0" w:color="auto"/>
            <w:bottom w:val="none" w:sz="0" w:space="0" w:color="auto"/>
            <w:right w:val="none" w:sz="0" w:space="0" w:color="auto"/>
          </w:divBdr>
        </w:div>
        <w:div w:id="814369660">
          <w:marLeft w:val="0"/>
          <w:marRight w:val="0"/>
          <w:marTop w:val="0"/>
          <w:marBottom w:val="0"/>
          <w:divBdr>
            <w:top w:val="none" w:sz="0" w:space="0" w:color="auto"/>
            <w:left w:val="none" w:sz="0" w:space="0" w:color="auto"/>
            <w:bottom w:val="none" w:sz="0" w:space="0" w:color="auto"/>
            <w:right w:val="none" w:sz="0" w:space="0" w:color="auto"/>
          </w:divBdr>
        </w:div>
        <w:div w:id="934823587">
          <w:marLeft w:val="0"/>
          <w:marRight w:val="0"/>
          <w:marTop w:val="0"/>
          <w:marBottom w:val="0"/>
          <w:divBdr>
            <w:top w:val="none" w:sz="0" w:space="0" w:color="auto"/>
            <w:left w:val="none" w:sz="0" w:space="0" w:color="auto"/>
            <w:bottom w:val="none" w:sz="0" w:space="0" w:color="auto"/>
            <w:right w:val="none" w:sz="0" w:space="0" w:color="auto"/>
          </w:divBdr>
        </w:div>
        <w:div w:id="1026641533">
          <w:marLeft w:val="0"/>
          <w:marRight w:val="0"/>
          <w:marTop w:val="0"/>
          <w:marBottom w:val="0"/>
          <w:divBdr>
            <w:top w:val="none" w:sz="0" w:space="0" w:color="auto"/>
            <w:left w:val="none" w:sz="0" w:space="0" w:color="auto"/>
            <w:bottom w:val="none" w:sz="0" w:space="0" w:color="auto"/>
            <w:right w:val="none" w:sz="0" w:space="0" w:color="auto"/>
          </w:divBdr>
        </w:div>
        <w:div w:id="1202131337">
          <w:marLeft w:val="0"/>
          <w:marRight w:val="0"/>
          <w:marTop w:val="0"/>
          <w:marBottom w:val="0"/>
          <w:divBdr>
            <w:top w:val="none" w:sz="0" w:space="0" w:color="auto"/>
            <w:left w:val="none" w:sz="0" w:space="0" w:color="auto"/>
            <w:bottom w:val="none" w:sz="0" w:space="0" w:color="auto"/>
            <w:right w:val="none" w:sz="0" w:space="0" w:color="auto"/>
          </w:divBdr>
        </w:div>
        <w:div w:id="1306088892">
          <w:marLeft w:val="0"/>
          <w:marRight w:val="0"/>
          <w:marTop w:val="0"/>
          <w:marBottom w:val="0"/>
          <w:divBdr>
            <w:top w:val="none" w:sz="0" w:space="0" w:color="auto"/>
            <w:left w:val="none" w:sz="0" w:space="0" w:color="auto"/>
            <w:bottom w:val="none" w:sz="0" w:space="0" w:color="auto"/>
            <w:right w:val="none" w:sz="0" w:space="0" w:color="auto"/>
          </w:divBdr>
        </w:div>
        <w:div w:id="1697073880">
          <w:marLeft w:val="0"/>
          <w:marRight w:val="0"/>
          <w:marTop w:val="0"/>
          <w:marBottom w:val="0"/>
          <w:divBdr>
            <w:top w:val="none" w:sz="0" w:space="0" w:color="auto"/>
            <w:left w:val="none" w:sz="0" w:space="0" w:color="auto"/>
            <w:bottom w:val="none" w:sz="0" w:space="0" w:color="auto"/>
            <w:right w:val="none" w:sz="0" w:space="0" w:color="auto"/>
          </w:divBdr>
        </w:div>
        <w:div w:id="1742169549">
          <w:marLeft w:val="0"/>
          <w:marRight w:val="0"/>
          <w:marTop w:val="0"/>
          <w:marBottom w:val="0"/>
          <w:divBdr>
            <w:top w:val="none" w:sz="0" w:space="0" w:color="auto"/>
            <w:left w:val="none" w:sz="0" w:space="0" w:color="auto"/>
            <w:bottom w:val="none" w:sz="0" w:space="0" w:color="auto"/>
            <w:right w:val="none" w:sz="0" w:space="0" w:color="auto"/>
          </w:divBdr>
        </w:div>
        <w:div w:id="1800878274">
          <w:marLeft w:val="0"/>
          <w:marRight w:val="0"/>
          <w:marTop w:val="0"/>
          <w:marBottom w:val="0"/>
          <w:divBdr>
            <w:top w:val="none" w:sz="0" w:space="0" w:color="auto"/>
            <w:left w:val="none" w:sz="0" w:space="0" w:color="auto"/>
            <w:bottom w:val="none" w:sz="0" w:space="0" w:color="auto"/>
            <w:right w:val="none" w:sz="0" w:space="0" w:color="auto"/>
          </w:divBdr>
        </w:div>
        <w:div w:id="1809666166">
          <w:marLeft w:val="0"/>
          <w:marRight w:val="0"/>
          <w:marTop w:val="0"/>
          <w:marBottom w:val="0"/>
          <w:divBdr>
            <w:top w:val="none" w:sz="0" w:space="0" w:color="auto"/>
            <w:left w:val="none" w:sz="0" w:space="0" w:color="auto"/>
            <w:bottom w:val="none" w:sz="0" w:space="0" w:color="auto"/>
            <w:right w:val="none" w:sz="0" w:space="0" w:color="auto"/>
          </w:divBdr>
        </w:div>
        <w:div w:id="1928491096">
          <w:marLeft w:val="0"/>
          <w:marRight w:val="0"/>
          <w:marTop w:val="0"/>
          <w:marBottom w:val="0"/>
          <w:divBdr>
            <w:top w:val="none" w:sz="0" w:space="0" w:color="auto"/>
            <w:left w:val="none" w:sz="0" w:space="0" w:color="auto"/>
            <w:bottom w:val="none" w:sz="0" w:space="0" w:color="auto"/>
            <w:right w:val="none" w:sz="0" w:space="0" w:color="auto"/>
          </w:divBdr>
        </w:div>
      </w:divsChild>
    </w:div>
    <w:div w:id="832452189">
      <w:bodyDiv w:val="1"/>
      <w:marLeft w:val="0"/>
      <w:marRight w:val="0"/>
      <w:marTop w:val="0"/>
      <w:marBottom w:val="0"/>
      <w:divBdr>
        <w:top w:val="none" w:sz="0" w:space="0" w:color="auto"/>
        <w:left w:val="none" w:sz="0" w:space="0" w:color="auto"/>
        <w:bottom w:val="none" w:sz="0" w:space="0" w:color="auto"/>
        <w:right w:val="none" w:sz="0" w:space="0" w:color="auto"/>
      </w:divBdr>
    </w:div>
    <w:div w:id="850920196">
      <w:bodyDiv w:val="1"/>
      <w:marLeft w:val="0"/>
      <w:marRight w:val="0"/>
      <w:marTop w:val="0"/>
      <w:marBottom w:val="0"/>
      <w:divBdr>
        <w:top w:val="none" w:sz="0" w:space="0" w:color="auto"/>
        <w:left w:val="none" w:sz="0" w:space="0" w:color="auto"/>
        <w:bottom w:val="none" w:sz="0" w:space="0" w:color="auto"/>
        <w:right w:val="none" w:sz="0" w:space="0" w:color="auto"/>
      </w:divBdr>
    </w:div>
    <w:div w:id="859783230">
      <w:bodyDiv w:val="1"/>
      <w:marLeft w:val="0"/>
      <w:marRight w:val="0"/>
      <w:marTop w:val="0"/>
      <w:marBottom w:val="0"/>
      <w:divBdr>
        <w:top w:val="none" w:sz="0" w:space="0" w:color="auto"/>
        <w:left w:val="none" w:sz="0" w:space="0" w:color="auto"/>
        <w:bottom w:val="none" w:sz="0" w:space="0" w:color="auto"/>
        <w:right w:val="none" w:sz="0" w:space="0" w:color="auto"/>
      </w:divBdr>
    </w:div>
    <w:div w:id="859853910">
      <w:bodyDiv w:val="1"/>
      <w:marLeft w:val="0"/>
      <w:marRight w:val="0"/>
      <w:marTop w:val="0"/>
      <w:marBottom w:val="0"/>
      <w:divBdr>
        <w:top w:val="none" w:sz="0" w:space="0" w:color="auto"/>
        <w:left w:val="none" w:sz="0" w:space="0" w:color="auto"/>
        <w:bottom w:val="none" w:sz="0" w:space="0" w:color="auto"/>
        <w:right w:val="none" w:sz="0" w:space="0" w:color="auto"/>
      </w:divBdr>
    </w:div>
    <w:div w:id="882212474">
      <w:bodyDiv w:val="1"/>
      <w:marLeft w:val="0"/>
      <w:marRight w:val="0"/>
      <w:marTop w:val="0"/>
      <w:marBottom w:val="0"/>
      <w:divBdr>
        <w:top w:val="none" w:sz="0" w:space="0" w:color="auto"/>
        <w:left w:val="none" w:sz="0" w:space="0" w:color="auto"/>
        <w:bottom w:val="none" w:sz="0" w:space="0" w:color="auto"/>
        <w:right w:val="none" w:sz="0" w:space="0" w:color="auto"/>
      </w:divBdr>
    </w:div>
    <w:div w:id="943070220">
      <w:bodyDiv w:val="1"/>
      <w:marLeft w:val="0"/>
      <w:marRight w:val="0"/>
      <w:marTop w:val="0"/>
      <w:marBottom w:val="0"/>
      <w:divBdr>
        <w:top w:val="none" w:sz="0" w:space="0" w:color="auto"/>
        <w:left w:val="none" w:sz="0" w:space="0" w:color="auto"/>
        <w:bottom w:val="none" w:sz="0" w:space="0" w:color="auto"/>
        <w:right w:val="none" w:sz="0" w:space="0" w:color="auto"/>
      </w:divBdr>
      <w:divsChild>
        <w:div w:id="137263833">
          <w:marLeft w:val="0"/>
          <w:marRight w:val="0"/>
          <w:marTop w:val="0"/>
          <w:marBottom w:val="0"/>
          <w:divBdr>
            <w:top w:val="none" w:sz="0" w:space="0" w:color="auto"/>
            <w:left w:val="none" w:sz="0" w:space="0" w:color="auto"/>
            <w:bottom w:val="none" w:sz="0" w:space="0" w:color="auto"/>
            <w:right w:val="none" w:sz="0" w:space="0" w:color="auto"/>
          </w:divBdr>
        </w:div>
        <w:div w:id="168907284">
          <w:marLeft w:val="0"/>
          <w:marRight w:val="0"/>
          <w:marTop w:val="0"/>
          <w:marBottom w:val="0"/>
          <w:divBdr>
            <w:top w:val="none" w:sz="0" w:space="0" w:color="auto"/>
            <w:left w:val="none" w:sz="0" w:space="0" w:color="auto"/>
            <w:bottom w:val="none" w:sz="0" w:space="0" w:color="auto"/>
            <w:right w:val="none" w:sz="0" w:space="0" w:color="auto"/>
          </w:divBdr>
        </w:div>
        <w:div w:id="205879253">
          <w:marLeft w:val="0"/>
          <w:marRight w:val="0"/>
          <w:marTop w:val="0"/>
          <w:marBottom w:val="0"/>
          <w:divBdr>
            <w:top w:val="none" w:sz="0" w:space="0" w:color="auto"/>
            <w:left w:val="none" w:sz="0" w:space="0" w:color="auto"/>
            <w:bottom w:val="none" w:sz="0" w:space="0" w:color="auto"/>
            <w:right w:val="none" w:sz="0" w:space="0" w:color="auto"/>
          </w:divBdr>
        </w:div>
        <w:div w:id="266813610">
          <w:marLeft w:val="0"/>
          <w:marRight w:val="0"/>
          <w:marTop w:val="0"/>
          <w:marBottom w:val="0"/>
          <w:divBdr>
            <w:top w:val="none" w:sz="0" w:space="0" w:color="auto"/>
            <w:left w:val="none" w:sz="0" w:space="0" w:color="auto"/>
            <w:bottom w:val="none" w:sz="0" w:space="0" w:color="auto"/>
            <w:right w:val="none" w:sz="0" w:space="0" w:color="auto"/>
          </w:divBdr>
        </w:div>
        <w:div w:id="566303444">
          <w:marLeft w:val="0"/>
          <w:marRight w:val="0"/>
          <w:marTop w:val="0"/>
          <w:marBottom w:val="0"/>
          <w:divBdr>
            <w:top w:val="none" w:sz="0" w:space="0" w:color="auto"/>
            <w:left w:val="none" w:sz="0" w:space="0" w:color="auto"/>
            <w:bottom w:val="none" w:sz="0" w:space="0" w:color="auto"/>
            <w:right w:val="none" w:sz="0" w:space="0" w:color="auto"/>
          </w:divBdr>
        </w:div>
        <w:div w:id="590432175">
          <w:marLeft w:val="0"/>
          <w:marRight w:val="0"/>
          <w:marTop w:val="0"/>
          <w:marBottom w:val="0"/>
          <w:divBdr>
            <w:top w:val="none" w:sz="0" w:space="0" w:color="auto"/>
            <w:left w:val="none" w:sz="0" w:space="0" w:color="auto"/>
            <w:bottom w:val="none" w:sz="0" w:space="0" w:color="auto"/>
            <w:right w:val="none" w:sz="0" w:space="0" w:color="auto"/>
          </w:divBdr>
        </w:div>
        <w:div w:id="657732430">
          <w:marLeft w:val="0"/>
          <w:marRight w:val="0"/>
          <w:marTop w:val="0"/>
          <w:marBottom w:val="0"/>
          <w:divBdr>
            <w:top w:val="none" w:sz="0" w:space="0" w:color="auto"/>
            <w:left w:val="none" w:sz="0" w:space="0" w:color="auto"/>
            <w:bottom w:val="none" w:sz="0" w:space="0" w:color="auto"/>
            <w:right w:val="none" w:sz="0" w:space="0" w:color="auto"/>
          </w:divBdr>
        </w:div>
        <w:div w:id="700013471">
          <w:marLeft w:val="0"/>
          <w:marRight w:val="0"/>
          <w:marTop w:val="0"/>
          <w:marBottom w:val="0"/>
          <w:divBdr>
            <w:top w:val="none" w:sz="0" w:space="0" w:color="auto"/>
            <w:left w:val="none" w:sz="0" w:space="0" w:color="auto"/>
            <w:bottom w:val="none" w:sz="0" w:space="0" w:color="auto"/>
            <w:right w:val="none" w:sz="0" w:space="0" w:color="auto"/>
          </w:divBdr>
        </w:div>
        <w:div w:id="1054082114">
          <w:marLeft w:val="0"/>
          <w:marRight w:val="0"/>
          <w:marTop w:val="0"/>
          <w:marBottom w:val="0"/>
          <w:divBdr>
            <w:top w:val="none" w:sz="0" w:space="0" w:color="auto"/>
            <w:left w:val="none" w:sz="0" w:space="0" w:color="auto"/>
            <w:bottom w:val="none" w:sz="0" w:space="0" w:color="auto"/>
            <w:right w:val="none" w:sz="0" w:space="0" w:color="auto"/>
          </w:divBdr>
        </w:div>
        <w:div w:id="1253659334">
          <w:marLeft w:val="0"/>
          <w:marRight w:val="0"/>
          <w:marTop w:val="0"/>
          <w:marBottom w:val="0"/>
          <w:divBdr>
            <w:top w:val="none" w:sz="0" w:space="0" w:color="auto"/>
            <w:left w:val="none" w:sz="0" w:space="0" w:color="auto"/>
            <w:bottom w:val="none" w:sz="0" w:space="0" w:color="auto"/>
            <w:right w:val="none" w:sz="0" w:space="0" w:color="auto"/>
          </w:divBdr>
        </w:div>
        <w:div w:id="1409427266">
          <w:marLeft w:val="0"/>
          <w:marRight w:val="0"/>
          <w:marTop w:val="0"/>
          <w:marBottom w:val="0"/>
          <w:divBdr>
            <w:top w:val="none" w:sz="0" w:space="0" w:color="auto"/>
            <w:left w:val="none" w:sz="0" w:space="0" w:color="auto"/>
            <w:bottom w:val="none" w:sz="0" w:space="0" w:color="auto"/>
            <w:right w:val="none" w:sz="0" w:space="0" w:color="auto"/>
          </w:divBdr>
        </w:div>
        <w:div w:id="1453015338">
          <w:marLeft w:val="0"/>
          <w:marRight w:val="0"/>
          <w:marTop w:val="0"/>
          <w:marBottom w:val="0"/>
          <w:divBdr>
            <w:top w:val="none" w:sz="0" w:space="0" w:color="auto"/>
            <w:left w:val="none" w:sz="0" w:space="0" w:color="auto"/>
            <w:bottom w:val="none" w:sz="0" w:space="0" w:color="auto"/>
            <w:right w:val="none" w:sz="0" w:space="0" w:color="auto"/>
          </w:divBdr>
        </w:div>
        <w:div w:id="1487744549">
          <w:marLeft w:val="0"/>
          <w:marRight w:val="0"/>
          <w:marTop w:val="0"/>
          <w:marBottom w:val="0"/>
          <w:divBdr>
            <w:top w:val="none" w:sz="0" w:space="0" w:color="auto"/>
            <w:left w:val="none" w:sz="0" w:space="0" w:color="auto"/>
            <w:bottom w:val="none" w:sz="0" w:space="0" w:color="auto"/>
            <w:right w:val="none" w:sz="0" w:space="0" w:color="auto"/>
          </w:divBdr>
        </w:div>
        <w:div w:id="1497502134">
          <w:marLeft w:val="0"/>
          <w:marRight w:val="0"/>
          <w:marTop w:val="0"/>
          <w:marBottom w:val="0"/>
          <w:divBdr>
            <w:top w:val="none" w:sz="0" w:space="0" w:color="auto"/>
            <w:left w:val="none" w:sz="0" w:space="0" w:color="auto"/>
            <w:bottom w:val="none" w:sz="0" w:space="0" w:color="auto"/>
            <w:right w:val="none" w:sz="0" w:space="0" w:color="auto"/>
          </w:divBdr>
        </w:div>
        <w:div w:id="1508250140">
          <w:marLeft w:val="0"/>
          <w:marRight w:val="0"/>
          <w:marTop w:val="0"/>
          <w:marBottom w:val="0"/>
          <w:divBdr>
            <w:top w:val="none" w:sz="0" w:space="0" w:color="auto"/>
            <w:left w:val="none" w:sz="0" w:space="0" w:color="auto"/>
            <w:bottom w:val="none" w:sz="0" w:space="0" w:color="auto"/>
            <w:right w:val="none" w:sz="0" w:space="0" w:color="auto"/>
          </w:divBdr>
        </w:div>
        <w:div w:id="1774520630">
          <w:marLeft w:val="0"/>
          <w:marRight w:val="0"/>
          <w:marTop w:val="0"/>
          <w:marBottom w:val="0"/>
          <w:divBdr>
            <w:top w:val="none" w:sz="0" w:space="0" w:color="auto"/>
            <w:left w:val="none" w:sz="0" w:space="0" w:color="auto"/>
            <w:bottom w:val="none" w:sz="0" w:space="0" w:color="auto"/>
            <w:right w:val="none" w:sz="0" w:space="0" w:color="auto"/>
          </w:divBdr>
        </w:div>
        <w:div w:id="2118863318">
          <w:marLeft w:val="0"/>
          <w:marRight w:val="0"/>
          <w:marTop w:val="0"/>
          <w:marBottom w:val="0"/>
          <w:divBdr>
            <w:top w:val="none" w:sz="0" w:space="0" w:color="auto"/>
            <w:left w:val="none" w:sz="0" w:space="0" w:color="auto"/>
            <w:bottom w:val="none" w:sz="0" w:space="0" w:color="auto"/>
            <w:right w:val="none" w:sz="0" w:space="0" w:color="auto"/>
          </w:divBdr>
        </w:div>
      </w:divsChild>
    </w:div>
    <w:div w:id="998070976">
      <w:bodyDiv w:val="1"/>
      <w:marLeft w:val="0"/>
      <w:marRight w:val="0"/>
      <w:marTop w:val="0"/>
      <w:marBottom w:val="0"/>
      <w:divBdr>
        <w:top w:val="none" w:sz="0" w:space="0" w:color="auto"/>
        <w:left w:val="none" w:sz="0" w:space="0" w:color="auto"/>
        <w:bottom w:val="none" w:sz="0" w:space="0" w:color="auto"/>
        <w:right w:val="none" w:sz="0" w:space="0" w:color="auto"/>
      </w:divBdr>
      <w:divsChild>
        <w:div w:id="160628865">
          <w:marLeft w:val="0"/>
          <w:marRight w:val="0"/>
          <w:marTop w:val="0"/>
          <w:marBottom w:val="0"/>
          <w:divBdr>
            <w:top w:val="none" w:sz="0" w:space="0" w:color="auto"/>
            <w:left w:val="none" w:sz="0" w:space="0" w:color="auto"/>
            <w:bottom w:val="none" w:sz="0" w:space="0" w:color="auto"/>
            <w:right w:val="none" w:sz="0" w:space="0" w:color="auto"/>
          </w:divBdr>
        </w:div>
        <w:div w:id="188178562">
          <w:marLeft w:val="0"/>
          <w:marRight w:val="0"/>
          <w:marTop w:val="0"/>
          <w:marBottom w:val="0"/>
          <w:divBdr>
            <w:top w:val="none" w:sz="0" w:space="0" w:color="auto"/>
            <w:left w:val="none" w:sz="0" w:space="0" w:color="auto"/>
            <w:bottom w:val="none" w:sz="0" w:space="0" w:color="auto"/>
            <w:right w:val="none" w:sz="0" w:space="0" w:color="auto"/>
          </w:divBdr>
        </w:div>
        <w:div w:id="496965868">
          <w:marLeft w:val="0"/>
          <w:marRight w:val="0"/>
          <w:marTop w:val="0"/>
          <w:marBottom w:val="0"/>
          <w:divBdr>
            <w:top w:val="none" w:sz="0" w:space="0" w:color="auto"/>
            <w:left w:val="none" w:sz="0" w:space="0" w:color="auto"/>
            <w:bottom w:val="none" w:sz="0" w:space="0" w:color="auto"/>
            <w:right w:val="none" w:sz="0" w:space="0" w:color="auto"/>
          </w:divBdr>
          <w:divsChild>
            <w:div w:id="459954350">
              <w:marLeft w:val="-75"/>
              <w:marRight w:val="0"/>
              <w:marTop w:val="30"/>
              <w:marBottom w:val="30"/>
              <w:divBdr>
                <w:top w:val="none" w:sz="0" w:space="0" w:color="auto"/>
                <w:left w:val="none" w:sz="0" w:space="0" w:color="auto"/>
                <w:bottom w:val="none" w:sz="0" w:space="0" w:color="auto"/>
                <w:right w:val="none" w:sz="0" w:space="0" w:color="auto"/>
              </w:divBdr>
              <w:divsChild>
                <w:div w:id="148206760">
                  <w:marLeft w:val="0"/>
                  <w:marRight w:val="0"/>
                  <w:marTop w:val="0"/>
                  <w:marBottom w:val="0"/>
                  <w:divBdr>
                    <w:top w:val="none" w:sz="0" w:space="0" w:color="auto"/>
                    <w:left w:val="none" w:sz="0" w:space="0" w:color="auto"/>
                    <w:bottom w:val="none" w:sz="0" w:space="0" w:color="auto"/>
                    <w:right w:val="none" w:sz="0" w:space="0" w:color="auto"/>
                  </w:divBdr>
                  <w:divsChild>
                    <w:div w:id="422385309">
                      <w:marLeft w:val="0"/>
                      <w:marRight w:val="0"/>
                      <w:marTop w:val="0"/>
                      <w:marBottom w:val="0"/>
                      <w:divBdr>
                        <w:top w:val="none" w:sz="0" w:space="0" w:color="auto"/>
                        <w:left w:val="none" w:sz="0" w:space="0" w:color="auto"/>
                        <w:bottom w:val="none" w:sz="0" w:space="0" w:color="auto"/>
                        <w:right w:val="none" w:sz="0" w:space="0" w:color="auto"/>
                      </w:divBdr>
                    </w:div>
                  </w:divsChild>
                </w:div>
                <w:div w:id="180245536">
                  <w:marLeft w:val="0"/>
                  <w:marRight w:val="0"/>
                  <w:marTop w:val="0"/>
                  <w:marBottom w:val="0"/>
                  <w:divBdr>
                    <w:top w:val="none" w:sz="0" w:space="0" w:color="auto"/>
                    <w:left w:val="none" w:sz="0" w:space="0" w:color="auto"/>
                    <w:bottom w:val="none" w:sz="0" w:space="0" w:color="auto"/>
                    <w:right w:val="none" w:sz="0" w:space="0" w:color="auto"/>
                  </w:divBdr>
                  <w:divsChild>
                    <w:div w:id="840389852">
                      <w:marLeft w:val="0"/>
                      <w:marRight w:val="0"/>
                      <w:marTop w:val="0"/>
                      <w:marBottom w:val="0"/>
                      <w:divBdr>
                        <w:top w:val="none" w:sz="0" w:space="0" w:color="auto"/>
                        <w:left w:val="none" w:sz="0" w:space="0" w:color="auto"/>
                        <w:bottom w:val="none" w:sz="0" w:space="0" w:color="auto"/>
                        <w:right w:val="none" w:sz="0" w:space="0" w:color="auto"/>
                      </w:divBdr>
                    </w:div>
                  </w:divsChild>
                </w:div>
                <w:div w:id="576282769">
                  <w:marLeft w:val="0"/>
                  <w:marRight w:val="0"/>
                  <w:marTop w:val="0"/>
                  <w:marBottom w:val="0"/>
                  <w:divBdr>
                    <w:top w:val="none" w:sz="0" w:space="0" w:color="auto"/>
                    <w:left w:val="none" w:sz="0" w:space="0" w:color="auto"/>
                    <w:bottom w:val="none" w:sz="0" w:space="0" w:color="auto"/>
                    <w:right w:val="none" w:sz="0" w:space="0" w:color="auto"/>
                  </w:divBdr>
                  <w:divsChild>
                    <w:div w:id="70547986">
                      <w:marLeft w:val="0"/>
                      <w:marRight w:val="0"/>
                      <w:marTop w:val="0"/>
                      <w:marBottom w:val="0"/>
                      <w:divBdr>
                        <w:top w:val="none" w:sz="0" w:space="0" w:color="auto"/>
                        <w:left w:val="none" w:sz="0" w:space="0" w:color="auto"/>
                        <w:bottom w:val="none" w:sz="0" w:space="0" w:color="auto"/>
                        <w:right w:val="none" w:sz="0" w:space="0" w:color="auto"/>
                      </w:divBdr>
                    </w:div>
                    <w:div w:id="1251817768">
                      <w:marLeft w:val="0"/>
                      <w:marRight w:val="0"/>
                      <w:marTop w:val="0"/>
                      <w:marBottom w:val="0"/>
                      <w:divBdr>
                        <w:top w:val="none" w:sz="0" w:space="0" w:color="auto"/>
                        <w:left w:val="none" w:sz="0" w:space="0" w:color="auto"/>
                        <w:bottom w:val="none" w:sz="0" w:space="0" w:color="auto"/>
                        <w:right w:val="none" w:sz="0" w:space="0" w:color="auto"/>
                      </w:divBdr>
                    </w:div>
                  </w:divsChild>
                </w:div>
                <w:div w:id="1280333616">
                  <w:marLeft w:val="0"/>
                  <w:marRight w:val="0"/>
                  <w:marTop w:val="0"/>
                  <w:marBottom w:val="0"/>
                  <w:divBdr>
                    <w:top w:val="none" w:sz="0" w:space="0" w:color="auto"/>
                    <w:left w:val="none" w:sz="0" w:space="0" w:color="auto"/>
                    <w:bottom w:val="none" w:sz="0" w:space="0" w:color="auto"/>
                    <w:right w:val="none" w:sz="0" w:space="0" w:color="auto"/>
                  </w:divBdr>
                  <w:divsChild>
                    <w:div w:id="322586704">
                      <w:marLeft w:val="0"/>
                      <w:marRight w:val="0"/>
                      <w:marTop w:val="0"/>
                      <w:marBottom w:val="0"/>
                      <w:divBdr>
                        <w:top w:val="none" w:sz="0" w:space="0" w:color="auto"/>
                        <w:left w:val="none" w:sz="0" w:space="0" w:color="auto"/>
                        <w:bottom w:val="none" w:sz="0" w:space="0" w:color="auto"/>
                        <w:right w:val="none" w:sz="0" w:space="0" w:color="auto"/>
                      </w:divBdr>
                    </w:div>
                    <w:div w:id="1565524174">
                      <w:marLeft w:val="0"/>
                      <w:marRight w:val="0"/>
                      <w:marTop w:val="0"/>
                      <w:marBottom w:val="0"/>
                      <w:divBdr>
                        <w:top w:val="none" w:sz="0" w:space="0" w:color="auto"/>
                        <w:left w:val="none" w:sz="0" w:space="0" w:color="auto"/>
                        <w:bottom w:val="none" w:sz="0" w:space="0" w:color="auto"/>
                        <w:right w:val="none" w:sz="0" w:space="0" w:color="auto"/>
                      </w:divBdr>
                    </w:div>
                  </w:divsChild>
                </w:div>
                <w:div w:id="1715234454">
                  <w:marLeft w:val="0"/>
                  <w:marRight w:val="0"/>
                  <w:marTop w:val="0"/>
                  <w:marBottom w:val="0"/>
                  <w:divBdr>
                    <w:top w:val="none" w:sz="0" w:space="0" w:color="auto"/>
                    <w:left w:val="none" w:sz="0" w:space="0" w:color="auto"/>
                    <w:bottom w:val="none" w:sz="0" w:space="0" w:color="auto"/>
                    <w:right w:val="none" w:sz="0" w:space="0" w:color="auto"/>
                  </w:divBdr>
                  <w:divsChild>
                    <w:div w:id="691610139">
                      <w:marLeft w:val="0"/>
                      <w:marRight w:val="0"/>
                      <w:marTop w:val="0"/>
                      <w:marBottom w:val="0"/>
                      <w:divBdr>
                        <w:top w:val="none" w:sz="0" w:space="0" w:color="auto"/>
                        <w:left w:val="none" w:sz="0" w:space="0" w:color="auto"/>
                        <w:bottom w:val="none" w:sz="0" w:space="0" w:color="auto"/>
                        <w:right w:val="none" w:sz="0" w:space="0" w:color="auto"/>
                      </w:divBdr>
                    </w:div>
                  </w:divsChild>
                </w:div>
                <w:div w:id="1963803770">
                  <w:marLeft w:val="0"/>
                  <w:marRight w:val="0"/>
                  <w:marTop w:val="0"/>
                  <w:marBottom w:val="0"/>
                  <w:divBdr>
                    <w:top w:val="none" w:sz="0" w:space="0" w:color="auto"/>
                    <w:left w:val="none" w:sz="0" w:space="0" w:color="auto"/>
                    <w:bottom w:val="none" w:sz="0" w:space="0" w:color="auto"/>
                    <w:right w:val="none" w:sz="0" w:space="0" w:color="auto"/>
                  </w:divBdr>
                  <w:divsChild>
                    <w:div w:id="1292176668">
                      <w:marLeft w:val="0"/>
                      <w:marRight w:val="0"/>
                      <w:marTop w:val="0"/>
                      <w:marBottom w:val="0"/>
                      <w:divBdr>
                        <w:top w:val="none" w:sz="0" w:space="0" w:color="auto"/>
                        <w:left w:val="none" w:sz="0" w:space="0" w:color="auto"/>
                        <w:bottom w:val="none" w:sz="0" w:space="0" w:color="auto"/>
                        <w:right w:val="none" w:sz="0" w:space="0" w:color="auto"/>
                      </w:divBdr>
                    </w:div>
                  </w:divsChild>
                </w:div>
                <w:div w:id="1979414741">
                  <w:marLeft w:val="0"/>
                  <w:marRight w:val="0"/>
                  <w:marTop w:val="0"/>
                  <w:marBottom w:val="0"/>
                  <w:divBdr>
                    <w:top w:val="none" w:sz="0" w:space="0" w:color="auto"/>
                    <w:left w:val="none" w:sz="0" w:space="0" w:color="auto"/>
                    <w:bottom w:val="none" w:sz="0" w:space="0" w:color="auto"/>
                    <w:right w:val="none" w:sz="0" w:space="0" w:color="auto"/>
                  </w:divBdr>
                  <w:divsChild>
                    <w:div w:id="1898010396">
                      <w:marLeft w:val="0"/>
                      <w:marRight w:val="0"/>
                      <w:marTop w:val="0"/>
                      <w:marBottom w:val="0"/>
                      <w:divBdr>
                        <w:top w:val="none" w:sz="0" w:space="0" w:color="auto"/>
                        <w:left w:val="none" w:sz="0" w:space="0" w:color="auto"/>
                        <w:bottom w:val="none" w:sz="0" w:space="0" w:color="auto"/>
                        <w:right w:val="none" w:sz="0" w:space="0" w:color="auto"/>
                      </w:divBdr>
                    </w:div>
                  </w:divsChild>
                </w:div>
                <w:div w:id="2020545148">
                  <w:marLeft w:val="0"/>
                  <w:marRight w:val="0"/>
                  <w:marTop w:val="0"/>
                  <w:marBottom w:val="0"/>
                  <w:divBdr>
                    <w:top w:val="none" w:sz="0" w:space="0" w:color="auto"/>
                    <w:left w:val="none" w:sz="0" w:space="0" w:color="auto"/>
                    <w:bottom w:val="none" w:sz="0" w:space="0" w:color="auto"/>
                    <w:right w:val="none" w:sz="0" w:space="0" w:color="auto"/>
                  </w:divBdr>
                  <w:divsChild>
                    <w:div w:id="18485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071407">
          <w:marLeft w:val="0"/>
          <w:marRight w:val="0"/>
          <w:marTop w:val="0"/>
          <w:marBottom w:val="0"/>
          <w:divBdr>
            <w:top w:val="none" w:sz="0" w:space="0" w:color="auto"/>
            <w:left w:val="none" w:sz="0" w:space="0" w:color="auto"/>
            <w:bottom w:val="none" w:sz="0" w:space="0" w:color="auto"/>
            <w:right w:val="none" w:sz="0" w:space="0" w:color="auto"/>
          </w:divBdr>
        </w:div>
        <w:div w:id="673608980">
          <w:marLeft w:val="0"/>
          <w:marRight w:val="0"/>
          <w:marTop w:val="0"/>
          <w:marBottom w:val="0"/>
          <w:divBdr>
            <w:top w:val="none" w:sz="0" w:space="0" w:color="auto"/>
            <w:left w:val="none" w:sz="0" w:space="0" w:color="auto"/>
            <w:bottom w:val="none" w:sz="0" w:space="0" w:color="auto"/>
            <w:right w:val="none" w:sz="0" w:space="0" w:color="auto"/>
          </w:divBdr>
        </w:div>
        <w:div w:id="1074357539">
          <w:marLeft w:val="0"/>
          <w:marRight w:val="0"/>
          <w:marTop w:val="0"/>
          <w:marBottom w:val="0"/>
          <w:divBdr>
            <w:top w:val="none" w:sz="0" w:space="0" w:color="auto"/>
            <w:left w:val="none" w:sz="0" w:space="0" w:color="auto"/>
            <w:bottom w:val="none" w:sz="0" w:space="0" w:color="auto"/>
            <w:right w:val="none" w:sz="0" w:space="0" w:color="auto"/>
          </w:divBdr>
        </w:div>
        <w:div w:id="1420255350">
          <w:marLeft w:val="0"/>
          <w:marRight w:val="0"/>
          <w:marTop w:val="0"/>
          <w:marBottom w:val="0"/>
          <w:divBdr>
            <w:top w:val="none" w:sz="0" w:space="0" w:color="auto"/>
            <w:left w:val="none" w:sz="0" w:space="0" w:color="auto"/>
            <w:bottom w:val="none" w:sz="0" w:space="0" w:color="auto"/>
            <w:right w:val="none" w:sz="0" w:space="0" w:color="auto"/>
          </w:divBdr>
        </w:div>
        <w:div w:id="1725913318">
          <w:marLeft w:val="0"/>
          <w:marRight w:val="0"/>
          <w:marTop w:val="0"/>
          <w:marBottom w:val="0"/>
          <w:divBdr>
            <w:top w:val="none" w:sz="0" w:space="0" w:color="auto"/>
            <w:left w:val="none" w:sz="0" w:space="0" w:color="auto"/>
            <w:bottom w:val="none" w:sz="0" w:space="0" w:color="auto"/>
            <w:right w:val="none" w:sz="0" w:space="0" w:color="auto"/>
          </w:divBdr>
        </w:div>
        <w:div w:id="1967537703">
          <w:marLeft w:val="0"/>
          <w:marRight w:val="0"/>
          <w:marTop w:val="0"/>
          <w:marBottom w:val="0"/>
          <w:divBdr>
            <w:top w:val="none" w:sz="0" w:space="0" w:color="auto"/>
            <w:left w:val="none" w:sz="0" w:space="0" w:color="auto"/>
            <w:bottom w:val="none" w:sz="0" w:space="0" w:color="auto"/>
            <w:right w:val="none" w:sz="0" w:space="0" w:color="auto"/>
          </w:divBdr>
        </w:div>
        <w:div w:id="2129857554">
          <w:marLeft w:val="0"/>
          <w:marRight w:val="0"/>
          <w:marTop w:val="0"/>
          <w:marBottom w:val="0"/>
          <w:divBdr>
            <w:top w:val="none" w:sz="0" w:space="0" w:color="auto"/>
            <w:left w:val="none" w:sz="0" w:space="0" w:color="auto"/>
            <w:bottom w:val="none" w:sz="0" w:space="0" w:color="auto"/>
            <w:right w:val="none" w:sz="0" w:space="0" w:color="auto"/>
          </w:divBdr>
        </w:div>
      </w:divsChild>
    </w:div>
    <w:div w:id="1056051999">
      <w:bodyDiv w:val="1"/>
      <w:marLeft w:val="0"/>
      <w:marRight w:val="0"/>
      <w:marTop w:val="0"/>
      <w:marBottom w:val="0"/>
      <w:divBdr>
        <w:top w:val="none" w:sz="0" w:space="0" w:color="auto"/>
        <w:left w:val="none" w:sz="0" w:space="0" w:color="auto"/>
        <w:bottom w:val="none" w:sz="0" w:space="0" w:color="auto"/>
        <w:right w:val="none" w:sz="0" w:space="0" w:color="auto"/>
      </w:divBdr>
    </w:div>
    <w:div w:id="1064063878">
      <w:bodyDiv w:val="1"/>
      <w:marLeft w:val="0"/>
      <w:marRight w:val="0"/>
      <w:marTop w:val="0"/>
      <w:marBottom w:val="0"/>
      <w:divBdr>
        <w:top w:val="none" w:sz="0" w:space="0" w:color="auto"/>
        <w:left w:val="none" w:sz="0" w:space="0" w:color="auto"/>
        <w:bottom w:val="none" w:sz="0" w:space="0" w:color="auto"/>
        <w:right w:val="none" w:sz="0" w:space="0" w:color="auto"/>
      </w:divBdr>
    </w:div>
    <w:div w:id="1120610808">
      <w:bodyDiv w:val="1"/>
      <w:marLeft w:val="0"/>
      <w:marRight w:val="0"/>
      <w:marTop w:val="0"/>
      <w:marBottom w:val="0"/>
      <w:divBdr>
        <w:top w:val="none" w:sz="0" w:space="0" w:color="auto"/>
        <w:left w:val="none" w:sz="0" w:space="0" w:color="auto"/>
        <w:bottom w:val="none" w:sz="0" w:space="0" w:color="auto"/>
        <w:right w:val="none" w:sz="0" w:space="0" w:color="auto"/>
      </w:divBdr>
      <w:divsChild>
        <w:div w:id="634062390">
          <w:marLeft w:val="0"/>
          <w:marRight w:val="0"/>
          <w:marTop w:val="0"/>
          <w:marBottom w:val="0"/>
          <w:divBdr>
            <w:top w:val="none" w:sz="0" w:space="0" w:color="auto"/>
            <w:left w:val="none" w:sz="0" w:space="0" w:color="auto"/>
            <w:bottom w:val="none" w:sz="0" w:space="0" w:color="auto"/>
            <w:right w:val="none" w:sz="0" w:space="0" w:color="auto"/>
          </w:divBdr>
        </w:div>
        <w:div w:id="1129974750">
          <w:marLeft w:val="0"/>
          <w:marRight w:val="0"/>
          <w:marTop w:val="0"/>
          <w:marBottom w:val="0"/>
          <w:divBdr>
            <w:top w:val="none" w:sz="0" w:space="0" w:color="auto"/>
            <w:left w:val="none" w:sz="0" w:space="0" w:color="auto"/>
            <w:bottom w:val="none" w:sz="0" w:space="0" w:color="auto"/>
            <w:right w:val="none" w:sz="0" w:space="0" w:color="auto"/>
          </w:divBdr>
        </w:div>
      </w:divsChild>
    </w:div>
    <w:div w:id="1258174336">
      <w:bodyDiv w:val="1"/>
      <w:marLeft w:val="0"/>
      <w:marRight w:val="0"/>
      <w:marTop w:val="0"/>
      <w:marBottom w:val="0"/>
      <w:divBdr>
        <w:top w:val="none" w:sz="0" w:space="0" w:color="auto"/>
        <w:left w:val="none" w:sz="0" w:space="0" w:color="auto"/>
        <w:bottom w:val="none" w:sz="0" w:space="0" w:color="auto"/>
        <w:right w:val="none" w:sz="0" w:space="0" w:color="auto"/>
      </w:divBdr>
      <w:divsChild>
        <w:div w:id="289240855">
          <w:marLeft w:val="0"/>
          <w:marRight w:val="0"/>
          <w:marTop w:val="0"/>
          <w:marBottom w:val="0"/>
          <w:divBdr>
            <w:top w:val="none" w:sz="0" w:space="0" w:color="auto"/>
            <w:left w:val="none" w:sz="0" w:space="0" w:color="auto"/>
            <w:bottom w:val="none" w:sz="0" w:space="0" w:color="auto"/>
            <w:right w:val="none" w:sz="0" w:space="0" w:color="auto"/>
          </w:divBdr>
        </w:div>
        <w:div w:id="614363918">
          <w:marLeft w:val="0"/>
          <w:marRight w:val="0"/>
          <w:marTop w:val="0"/>
          <w:marBottom w:val="0"/>
          <w:divBdr>
            <w:top w:val="none" w:sz="0" w:space="0" w:color="auto"/>
            <w:left w:val="none" w:sz="0" w:space="0" w:color="auto"/>
            <w:bottom w:val="none" w:sz="0" w:space="0" w:color="auto"/>
            <w:right w:val="none" w:sz="0" w:space="0" w:color="auto"/>
          </w:divBdr>
        </w:div>
        <w:div w:id="1108113192">
          <w:marLeft w:val="0"/>
          <w:marRight w:val="0"/>
          <w:marTop w:val="0"/>
          <w:marBottom w:val="0"/>
          <w:divBdr>
            <w:top w:val="none" w:sz="0" w:space="0" w:color="auto"/>
            <w:left w:val="none" w:sz="0" w:space="0" w:color="auto"/>
            <w:bottom w:val="none" w:sz="0" w:space="0" w:color="auto"/>
            <w:right w:val="none" w:sz="0" w:space="0" w:color="auto"/>
          </w:divBdr>
        </w:div>
        <w:div w:id="1243373058">
          <w:marLeft w:val="0"/>
          <w:marRight w:val="0"/>
          <w:marTop w:val="0"/>
          <w:marBottom w:val="0"/>
          <w:divBdr>
            <w:top w:val="none" w:sz="0" w:space="0" w:color="auto"/>
            <w:left w:val="none" w:sz="0" w:space="0" w:color="auto"/>
            <w:bottom w:val="none" w:sz="0" w:space="0" w:color="auto"/>
            <w:right w:val="none" w:sz="0" w:space="0" w:color="auto"/>
          </w:divBdr>
        </w:div>
        <w:div w:id="1663969835">
          <w:marLeft w:val="0"/>
          <w:marRight w:val="0"/>
          <w:marTop w:val="0"/>
          <w:marBottom w:val="0"/>
          <w:divBdr>
            <w:top w:val="none" w:sz="0" w:space="0" w:color="auto"/>
            <w:left w:val="none" w:sz="0" w:space="0" w:color="auto"/>
            <w:bottom w:val="none" w:sz="0" w:space="0" w:color="auto"/>
            <w:right w:val="none" w:sz="0" w:space="0" w:color="auto"/>
          </w:divBdr>
        </w:div>
      </w:divsChild>
    </w:div>
    <w:div w:id="1297028065">
      <w:bodyDiv w:val="1"/>
      <w:marLeft w:val="0"/>
      <w:marRight w:val="0"/>
      <w:marTop w:val="0"/>
      <w:marBottom w:val="0"/>
      <w:divBdr>
        <w:top w:val="none" w:sz="0" w:space="0" w:color="auto"/>
        <w:left w:val="none" w:sz="0" w:space="0" w:color="auto"/>
        <w:bottom w:val="none" w:sz="0" w:space="0" w:color="auto"/>
        <w:right w:val="none" w:sz="0" w:space="0" w:color="auto"/>
      </w:divBdr>
      <w:divsChild>
        <w:div w:id="31461177">
          <w:marLeft w:val="0"/>
          <w:marRight w:val="0"/>
          <w:marTop w:val="0"/>
          <w:marBottom w:val="0"/>
          <w:divBdr>
            <w:top w:val="none" w:sz="0" w:space="0" w:color="auto"/>
            <w:left w:val="none" w:sz="0" w:space="0" w:color="auto"/>
            <w:bottom w:val="none" w:sz="0" w:space="0" w:color="auto"/>
            <w:right w:val="none" w:sz="0" w:space="0" w:color="auto"/>
          </w:divBdr>
        </w:div>
        <w:div w:id="142087021">
          <w:marLeft w:val="0"/>
          <w:marRight w:val="0"/>
          <w:marTop w:val="0"/>
          <w:marBottom w:val="0"/>
          <w:divBdr>
            <w:top w:val="none" w:sz="0" w:space="0" w:color="auto"/>
            <w:left w:val="none" w:sz="0" w:space="0" w:color="auto"/>
            <w:bottom w:val="none" w:sz="0" w:space="0" w:color="auto"/>
            <w:right w:val="none" w:sz="0" w:space="0" w:color="auto"/>
          </w:divBdr>
        </w:div>
        <w:div w:id="222064011">
          <w:marLeft w:val="0"/>
          <w:marRight w:val="0"/>
          <w:marTop w:val="0"/>
          <w:marBottom w:val="0"/>
          <w:divBdr>
            <w:top w:val="none" w:sz="0" w:space="0" w:color="auto"/>
            <w:left w:val="none" w:sz="0" w:space="0" w:color="auto"/>
            <w:bottom w:val="none" w:sz="0" w:space="0" w:color="auto"/>
            <w:right w:val="none" w:sz="0" w:space="0" w:color="auto"/>
          </w:divBdr>
        </w:div>
        <w:div w:id="313879082">
          <w:marLeft w:val="0"/>
          <w:marRight w:val="0"/>
          <w:marTop w:val="0"/>
          <w:marBottom w:val="0"/>
          <w:divBdr>
            <w:top w:val="none" w:sz="0" w:space="0" w:color="auto"/>
            <w:left w:val="none" w:sz="0" w:space="0" w:color="auto"/>
            <w:bottom w:val="none" w:sz="0" w:space="0" w:color="auto"/>
            <w:right w:val="none" w:sz="0" w:space="0" w:color="auto"/>
          </w:divBdr>
        </w:div>
        <w:div w:id="853424982">
          <w:marLeft w:val="0"/>
          <w:marRight w:val="0"/>
          <w:marTop w:val="0"/>
          <w:marBottom w:val="0"/>
          <w:divBdr>
            <w:top w:val="none" w:sz="0" w:space="0" w:color="auto"/>
            <w:left w:val="none" w:sz="0" w:space="0" w:color="auto"/>
            <w:bottom w:val="none" w:sz="0" w:space="0" w:color="auto"/>
            <w:right w:val="none" w:sz="0" w:space="0" w:color="auto"/>
          </w:divBdr>
          <w:divsChild>
            <w:div w:id="1251162998">
              <w:marLeft w:val="-75"/>
              <w:marRight w:val="0"/>
              <w:marTop w:val="30"/>
              <w:marBottom w:val="30"/>
              <w:divBdr>
                <w:top w:val="none" w:sz="0" w:space="0" w:color="auto"/>
                <w:left w:val="none" w:sz="0" w:space="0" w:color="auto"/>
                <w:bottom w:val="none" w:sz="0" w:space="0" w:color="auto"/>
                <w:right w:val="none" w:sz="0" w:space="0" w:color="auto"/>
              </w:divBdr>
              <w:divsChild>
                <w:div w:id="50737486">
                  <w:marLeft w:val="0"/>
                  <w:marRight w:val="0"/>
                  <w:marTop w:val="0"/>
                  <w:marBottom w:val="0"/>
                  <w:divBdr>
                    <w:top w:val="none" w:sz="0" w:space="0" w:color="auto"/>
                    <w:left w:val="none" w:sz="0" w:space="0" w:color="auto"/>
                    <w:bottom w:val="none" w:sz="0" w:space="0" w:color="auto"/>
                    <w:right w:val="none" w:sz="0" w:space="0" w:color="auto"/>
                  </w:divBdr>
                  <w:divsChild>
                    <w:div w:id="944508218">
                      <w:marLeft w:val="0"/>
                      <w:marRight w:val="0"/>
                      <w:marTop w:val="0"/>
                      <w:marBottom w:val="0"/>
                      <w:divBdr>
                        <w:top w:val="none" w:sz="0" w:space="0" w:color="auto"/>
                        <w:left w:val="none" w:sz="0" w:space="0" w:color="auto"/>
                        <w:bottom w:val="none" w:sz="0" w:space="0" w:color="auto"/>
                        <w:right w:val="none" w:sz="0" w:space="0" w:color="auto"/>
                      </w:divBdr>
                    </w:div>
                  </w:divsChild>
                </w:div>
                <w:div w:id="71045377">
                  <w:marLeft w:val="0"/>
                  <w:marRight w:val="0"/>
                  <w:marTop w:val="0"/>
                  <w:marBottom w:val="0"/>
                  <w:divBdr>
                    <w:top w:val="none" w:sz="0" w:space="0" w:color="auto"/>
                    <w:left w:val="none" w:sz="0" w:space="0" w:color="auto"/>
                    <w:bottom w:val="none" w:sz="0" w:space="0" w:color="auto"/>
                    <w:right w:val="none" w:sz="0" w:space="0" w:color="auto"/>
                  </w:divBdr>
                  <w:divsChild>
                    <w:div w:id="1876430302">
                      <w:marLeft w:val="0"/>
                      <w:marRight w:val="0"/>
                      <w:marTop w:val="0"/>
                      <w:marBottom w:val="0"/>
                      <w:divBdr>
                        <w:top w:val="none" w:sz="0" w:space="0" w:color="auto"/>
                        <w:left w:val="none" w:sz="0" w:space="0" w:color="auto"/>
                        <w:bottom w:val="none" w:sz="0" w:space="0" w:color="auto"/>
                        <w:right w:val="none" w:sz="0" w:space="0" w:color="auto"/>
                      </w:divBdr>
                    </w:div>
                  </w:divsChild>
                </w:div>
                <w:div w:id="933711438">
                  <w:marLeft w:val="0"/>
                  <w:marRight w:val="0"/>
                  <w:marTop w:val="0"/>
                  <w:marBottom w:val="0"/>
                  <w:divBdr>
                    <w:top w:val="none" w:sz="0" w:space="0" w:color="auto"/>
                    <w:left w:val="none" w:sz="0" w:space="0" w:color="auto"/>
                    <w:bottom w:val="none" w:sz="0" w:space="0" w:color="auto"/>
                    <w:right w:val="none" w:sz="0" w:space="0" w:color="auto"/>
                  </w:divBdr>
                  <w:divsChild>
                    <w:div w:id="2076009574">
                      <w:marLeft w:val="0"/>
                      <w:marRight w:val="0"/>
                      <w:marTop w:val="0"/>
                      <w:marBottom w:val="0"/>
                      <w:divBdr>
                        <w:top w:val="none" w:sz="0" w:space="0" w:color="auto"/>
                        <w:left w:val="none" w:sz="0" w:space="0" w:color="auto"/>
                        <w:bottom w:val="none" w:sz="0" w:space="0" w:color="auto"/>
                        <w:right w:val="none" w:sz="0" w:space="0" w:color="auto"/>
                      </w:divBdr>
                    </w:div>
                  </w:divsChild>
                </w:div>
                <w:div w:id="1660962921">
                  <w:marLeft w:val="0"/>
                  <w:marRight w:val="0"/>
                  <w:marTop w:val="0"/>
                  <w:marBottom w:val="0"/>
                  <w:divBdr>
                    <w:top w:val="none" w:sz="0" w:space="0" w:color="auto"/>
                    <w:left w:val="none" w:sz="0" w:space="0" w:color="auto"/>
                    <w:bottom w:val="none" w:sz="0" w:space="0" w:color="auto"/>
                    <w:right w:val="none" w:sz="0" w:space="0" w:color="auto"/>
                  </w:divBdr>
                  <w:divsChild>
                    <w:div w:id="1305816273">
                      <w:marLeft w:val="0"/>
                      <w:marRight w:val="0"/>
                      <w:marTop w:val="0"/>
                      <w:marBottom w:val="0"/>
                      <w:divBdr>
                        <w:top w:val="none" w:sz="0" w:space="0" w:color="auto"/>
                        <w:left w:val="none" w:sz="0" w:space="0" w:color="auto"/>
                        <w:bottom w:val="none" w:sz="0" w:space="0" w:color="auto"/>
                        <w:right w:val="none" w:sz="0" w:space="0" w:color="auto"/>
                      </w:divBdr>
                    </w:div>
                  </w:divsChild>
                </w:div>
                <w:div w:id="1715811771">
                  <w:marLeft w:val="0"/>
                  <w:marRight w:val="0"/>
                  <w:marTop w:val="0"/>
                  <w:marBottom w:val="0"/>
                  <w:divBdr>
                    <w:top w:val="none" w:sz="0" w:space="0" w:color="auto"/>
                    <w:left w:val="none" w:sz="0" w:space="0" w:color="auto"/>
                    <w:bottom w:val="none" w:sz="0" w:space="0" w:color="auto"/>
                    <w:right w:val="none" w:sz="0" w:space="0" w:color="auto"/>
                  </w:divBdr>
                  <w:divsChild>
                    <w:div w:id="808979625">
                      <w:marLeft w:val="0"/>
                      <w:marRight w:val="0"/>
                      <w:marTop w:val="0"/>
                      <w:marBottom w:val="0"/>
                      <w:divBdr>
                        <w:top w:val="none" w:sz="0" w:space="0" w:color="auto"/>
                        <w:left w:val="none" w:sz="0" w:space="0" w:color="auto"/>
                        <w:bottom w:val="none" w:sz="0" w:space="0" w:color="auto"/>
                        <w:right w:val="none" w:sz="0" w:space="0" w:color="auto"/>
                      </w:divBdr>
                    </w:div>
                    <w:div w:id="1399085405">
                      <w:marLeft w:val="0"/>
                      <w:marRight w:val="0"/>
                      <w:marTop w:val="0"/>
                      <w:marBottom w:val="0"/>
                      <w:divBdr>
                        <w:top w:val="none" w:sz="0" w:space="0" w:color="auto"/>
                        <w:left w:val="none" w:sz="0" w:space="0" w:color="auto"/>
                        <w:bottom w:val="none" w:sz="0" w:space="0" w:color="auto"/>
                        <w:right w:val="none" w:sz="0" w:space="0" w:color="auto"/>
                      </w:divBdr>
                    </w:div>
                  </w:divsChild>
                </w:div>
                <w:div w:id="1789349646">
                  <w:marLeft w:val="0"/>
                  <w:marRight w:val="0"/>
                  <w:marTop w:val="0"/>
                  <w:marBottom w:val="0"/>
                  <w:divBdr>
                    <w:top w:val="none" w:sz="0" w:space="0" w:color="auto"/>
                    <w:left w:val="none" w:sz="0" w:space="0" w:color="auto"/>
                    <w:bottom w:val="none" w:sz="0" w:space="0" w:color="auto"/>
                    <w:right w:val="none" w:sz="0" w:space="0" w:color="auto"/>
                  </w:divBdr>
                  <w:divsChild>
                    <w:div w:id="1064336905">
                      <w:marLeft w:val="0"/>
                      <w:marRight w:val="0"/>
                      <w:marTop w:val="0"/>
                      <w:marBottom w:val="0"/>
                      <w:divBdr>
                        <w:top w:val="none" w:sz="0" w:space="0" w:color="auto"/>
                        <w:left w:val="none" w:sz="0" w:space="0" w:color="auto"/>
                        <w:bottom w:val="none" w:sz="0" w:space="0" w:color="auto"/>
                        <w:right w:val="none" w:sz="0" w:space="0" w:color="auto"/>
                      </w:divBdr>
                    </w:div>
                    <w:div w:id="1072772836">
                      <w:marLeft w:val="0"/>
                      <w:marRight w:val="0"/>
                      <w:marTop w:val="0"/>
                      <w:marBottom w:val="0"/>
                      <w:divBdr>
                        <w:top w:val="none" w:sz="0" w:space="0" w:color="auto"/>
                        <w:left w:val="none" w:sz="0" w:space="0" w:color="auto"/>
                        <w:bottom w:val="none" w:sz="0" w:space="0" w:color="auto"/>
                        <w:right w:val="none" w:sz="0" w:space="0" w:color="auto"/>
                      </w:divBdr>
                    </w:div>
                  </w:divsChild>
                </w:div>
                <w:div w:id="1789471960">
                  <w:marLeft w:val="0"/>
                  <w:marRight w:val="0"/>
                  <w:marTop w:val="0"/>
                  <w:marBottom w:val="0"/>
                  <w:divBdr>
                    <w:top w:val="none" w:sz="0" w:space="0" w:color="auto"/>
                    <w:left w:val="none" w:sz="0" w:space="0" w:color="auto"/>
                    <w:bottom w:val="none" w:sz="0" w:space="0" w:color="auto"/>
                    <w:right w:val="none" w:sz="0" w:space="0" w:color="auto"/>
                  </w:divBdr>
                  <w:divsChild>
                    <w:div w:id="1958364821">
                      <w:marLeft w:val="0"/>
                      <w:marRight w:val="0"/>
                      <w:marTop w:val="0"/>
                      <w:marBottom w:val="0"/>
                      <w:divBdr>
                        <w:top w:val="none" w:sz="0" w:space="0" w:color="auto"/>
                        <w:left w:val="none" w:sz="0" w:space="0" w:color="auto"/>
                        <w:bottom w:val="none" w:sz="0" w:space="0" w:color="auto"/>
                        <w:right w:val="none" w:sz="0" w:space="0" w:color="auto"/>
                      </w:divBdr>
                    </w:div>
                  </w:divsChild>
                </w:div>
                <w:div w:id="1813060895">
                  <w:marLeft w:val="0"/>
                  <w:marRight w:val="0"/>
                  <w:marTop w:val="0"/>
                  <w:marBottom w:val="0"/>
                  <w:divBdr>
                    <w:top w:val="none" w:sz="0" w:space="0" w:color="auto"/>
                    <w:left w:val="none" w:sz="0" w:space="0" w:color="auto"/>
                    <w:bottom w:val="none" w:sz="0" w:space="0" w:color="auto"/>
                    <w:right w:val="none" w:sz="0" w:space="0" w:color="auto"/>
                  </w:divBdr>
                  <w:divsChild>
                    <w:div w:id="122174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05784">
          <w:marLeft w:val="0"/>
          <w:marRight w:val="0"/>
          <w:marTop w:val="0"/>
          <w:marBottom w:val="0"/>
          <w:divBdr>
            <w:top w:val="none" w:sz="0" w:space="0" w:color="auto"/>
            <w:left w:val="none" w:sz="0" w:space="0" w:color="auto"/>
            <w:bottom w:val="none" w:sz="0" w:space="0" w:color="auto"/>
            <w:right w:val="none" w:sz="0" w:space="0" w:color="auto"/>
          </w:divBdr>
        </w:div>
        <w:div w:id="1665354060">
          <w:marLeft w:val="0"/>
          <w:marRight w:val="0"/>
          <w:marTop w:val="0"/>
          <w:marBottom w:val="0"/>
          <w:divBdr>
            <w:top w:val="none" w:sz="0" w:space="0" w:color="auto"/>
            <w:left w:val="none" w:sz="0" w:space="0" w:color="auto"/>
            <w:bottom w:val="none" w:sz="0" w:space="0" w:color="auto"/>
            <w:right w:val="none" w:sz="0" w:space="0" w:color="auto"/>
          </w:divBdr>
        </w:div>
        <w:div w:id="1732270829">
          <w:marLeft w:val="0"/>
          <w:marRight w:val="0"/>
          <w:marTop w:val="0"/>
          <w:marBottom w:val="0"/>
          <w:divBdr>
            <w:top w:val="none" w:sz="0" w:space="0" w:color="auto"/>
            <w:left w:val="none" w:sz="0" w:space="0" w:color="auto"/>
            <w:bottom w:val="none" w:sz="0" w:space="0" w:color="auto"/>
            <w:right w:val="none" w:sz="0" w:space="0" w:color="auto"/>
          </w:divBdr>
        </w:div>
        <w:div w:id="1799103065">
          <w:marLeft w:val="0"/>
          <w:marRight w:val="0"/>
          <w:marTop w:val="0"/>
          <w:marBottom w:val="0"/>
          <w:divBdr>
            <w:top w:val="none" w:sz="0" w:space="0" w:color="auto"/>
            <w:left w:val="none" w:sz="0" w:space="0" w:color="auto"/>
            <w:bottom w:val="none" w:sz="0" w:space="0" w:color="auto"/>
            <w:right w:val="none" w:sz="0" w:space="0" w:color="auto"/>
          </w:divBdr>
        </w:div>
        <w:div w:id="2084569634">
          <w:marLeft w:val="0"/>
          <w:marRight w:val="0"/>
          <w:marTop w:val="0"/>
          <w:marBottom w:val="0"/>
          <w:divBdr>
            <w:top w:val="none" w:sz="0" w:space="0" w:color="auto"/>
            <w:left w:val="none" w:sz="0" w:space="0" w:color="auto"/>
            <w:bottom w:val="none" w:sz="0" w:space="0" w:color="auto"/>
            <w:right w:val="none" w:sz="0" w:space="0" w:color="auto"/>
          </w:divBdr>
        </w:div>
      </w:divsChild>
    </w:div>
    <w:div w:id="1298417572">
      <w:bodyDiv w:val="1"/>
      <w:marLeft w:val="0"/>
      <w:marRight w:val="0"/>
      <w:marTop w:val="0"/>
      <w:marBottom w:val="0"/>
      <w:divBdr>
        <w:top w:val="none" w:sz="0" w:space="0" w:color="auto"/>
        <w:left w:val="none" w:sz="0" w:space="0" w:color="auto"/>
        <w:bottom w:val="none" w:sz="0" w:space="0" w:color="auto"/>
        <w:right w:val="none" w:sz="0" w:space="0" w:color="auto"/>
      </w:divBdr>
    </w:div>
    <w:div w:id="1303342408">
      <w:bodyDiv w:val="1"/>
      <w:marLeft w:val="0"/>
      <w:marRight w:val="0"/>
      <w:marTop w:val="0"/>
      <w:marBottom w:val="0"/>
      <w:divBdr>
        <w:top w:val="none" w:sz="0" w:space="0" w:color="auto"/>
        <w:left w:val="none" w:sz="0" w:space="0" w:color="auto"/>
        <w:bottom w:val="none" w:sz="0" w:space="0" w:color="auto"/>
        <w:right w:val="none" w:sz="0" w:space="0" w:color="auto"/>
      </w:divBdr>
    </w:div>
    <w:div w:id="1303541370">
      <w:bodyDiv w:val="1"/>
      <w:marLeft w:val="0"/>
      <w:marRight w:val="0"/>
      <w:marTop w:val="0"/>
      <w:marBottom w:val="0"/>
      <w:divBdr>
        <w:top w:val="none" w:sz="0" w:space="0" w:color="auto"/>
        <w:left w:val="none" w:sz="0" w:space="0" w:color="auto"/>
        <w:bottom w:val="none" w:sz="0" w:space="0" w:color="auto"/>
        <w:right w:val="none" w:sz="0" w:space="0" w:color="auto"/>
      </w:divBdr>
    </w:div>
    <w:div w:id="1306198379">
      <w:bodyDiv w:val="1"/>
      <w:marLeft w:val="0"/>
      <w:marRight w:val="0"/>
      <w:marTop w:val="0"/>
      <w:marBottom w:val="0"/>
      <w:divBdr>
        <w:top w:val="none" w:sz="0" w:space="0" w:color="auto"/>
        <w:left w:val="none" w:sz="0" w:space="0" w:color="auto"/>
        <w:bottom w:val="none" w:sz="0" w:space="0" w:color="auto"/>
        <w:right w:val="none" w:sz="0" w:space="0" w:color="auto"/>
      </w:divBdr>
    </w:div>
    <w:div w:id="1307934051">
      <w:bodyDiv w:val="1"/>
      <w:marLeft w:val="0"/>
      <w:marRight w:val="0"/>
      <w:marTop w:val="0"/>
      <w:marBottom w:val="0"/>
      <w:divBdr>
        <w:top w:val="none" w:sz="0" w:space="0" w:color="auto"/>
        <w:left w:val="none" w:sz="0" w:space="0" w:color="auto"/>
        <w:bottom w:val="none" w:sz="0" w:space="0" w:color="auto"/>
        <w:right w:val="none" w:sz="0" w:space="0" w:color="auto"/>
      </w:divBdr>
      <w:divsChild>
        <w:div w:id="219294655">
          <w:marLeft w:val="0"/>
          <w:marRight w:val="0"/>
          <w:marTop w:val="0"/>
          <w:marBottom w:val="0"/>
          <w:divBdr>
            <w:top w:val="none" w:sz="0" w:space="0" w:color="auto"/>
            <w:left w:val="none" w:sz="0" w:space="0" w:color="auto"/>
            <w:bottom w:val="none" w:sz="0" w:space="0" w:color="auto"/>
            <w:right w:val="none" w:sz="0" w:space="0" w:color="auto"/>
          </w:divBdr>
        </w:div>
        <w:div w:id="1025593182">
          <w:marLeft w:val="0"/>
          <w:marRight w:val="0"/>
          <w:marTop w:val="0"/>
          <w:marBottom w:val="0"/>
          <w:divBdr>
            <w:top w:val="none" w:sz="0" w:space="0" w:color="auto"/>
            <w:left w:val="none" w:sz="0" w:space="0" w:color="auto"/>
            <w:bottom w:val="none" w:sz="0" w:space="0" w:color="auto"/>
            <w:right w:val="none" w:sz="0" w:space="0" w:color="auto"/>
          </w:divBdr>
        </w:div>
        <w:div w:id="1408578464">
          <w:marLeft w:val="0"/>
          <w:marRight w:val="0"/>
          <w:marTop w:val="0"/>
          <w:marBottom w:val="0"/>
          <w:divBdr>
            <w:top w:val="none" w:sz="0" w:space="0" w:color="auto"/>
            <w:left w:val="none" w:sz="0" w:space="0" w:color="auto"/>
            <w:bottom w:val="none" w:sz="0" w:space="0" w:color="auto"/>
            <w:right w:val="none" w:sz="0" w:space="0" w:color="auto"/>
          </w:divBdr>
        </w:div>
        <w:div w:id="1654915935">
          <w:marLeft w:val="0"/>
          <w:marRight w:val="0"/>
          <w:marTop w:val="0"/>
          <w:marBottom w:val="0"/>
          <w:divBdr>
            <w:top w:val="none" w:sz="0" w:space="0" w:color="auto"/>
            <w:left w:val="none" w:sz="0" w:space="0" w:color="auto"/>
            <w:bottom w:val="none" w:sz="0" w:space="0" w:color="auto"/>
            <w:right w:val="none" w:sz="0" w:space="0" w:color="auto"/>
          </w:divBdr>
        </w:div>
        <w:div w:id="1783458192">
          <w:marLeft w:val="0"/>
          <w:marRight w:val="0"/>
          <w:marTop w:val="0"/>
          <w:marBottom w:val="0"/>
          <w:divBdr>
            <w:top w:val="none" w:sz="0" w:space="0" w:color="auto"/>
            <w:left w:val="none" w:sz="0" w:space="0" w:color="auto"/>
            <w:bottom w:val="none" w:sz="0" w:space="0" w:color="auto"/>
            <w:right w:val="none" w:sz="0" w:space="0" w:color="auto"/>
          </w:divBdr>
        </w:div>
      </w:divsChild>
    </w:div>
    <w:div w:id="1311791209">
      <w:bodyDiv w:val="1"/>
      <w:marLeft w:val="0"/>
      <w:marRight w:val="0"/>
      <w:marTop w:val="0"/>
      <w:marBottom w:val="0"/>
      <w:divBdr>
        <w:top w:val="none" w:sz="0" w:space="0" w:color="auto"/>
        <w:left w:val="none" w:sz="0" w:space="0" w:color="auto"/>
        <w:bottom w:val="none" w:sz="0" w:space="0" w:color="auto"/>
        <w:right w:val="none" w:sz="0" w:space="0" w:color="auto"/>
      </w:divBdr>
    </w:div>
    <w:div w:id="1326931191">
      <w:bodyDiv w:val="1"/>
      <w:marLeft w:val="0"/>
      <w:marRight w:val="0"/>
      <w:marTop w:val="0"/>
      <w:marBottom w:val="0"/>
      <w:divBdr>
        <w:top w:val="none" w:sz="0" w:space="0" w:color="auto"/>
        <w:left w:val="none" w:sz="0" w:space="0" w:color="auto"/>
        <w:bottom w:val="none" w:sz="0" w:space="0" w:color="auto"/>
        <w:right w:val="none" w:sz="0" w:space="0" w:color="auto"/>
      </w:divBdr>
    </w:div>
    <w:div w:id="1391615085">
      <w:bodyDiv w:val="1"/>
      <w:marLeft w:val="0"/>
      <w:marRight w:val="0"/>
      <w:marTop w:val="0"/>
      <w:marBottom w:val="0"/>
      <w:divBdr>
        <w:top w:val="none" w:sz="0" w:space="0" w:color="auto"/>
        <w:left w:val="none" w:sz="0" w:space="0" w:color="auto"/>
        <w:bottom w:val="none" w:sz="0" w:space="0" w:color="auto"/>
        <w:right w:val="none" w:sz="0" w:space="0" w:color="auto"/>
      </w:divBdr>
      <w:divsChild>
        <w:div w:id="148986127">
          <w:marLeft w:val="0"/>
          <w:marRight w:val="0"/>
          <w:marTop w:val="0"/>
          <w:marBottom w:val="0"/>
          <w:divBdr>
            <w:top w:val="none" w:sz="0" w:space="0" w:color="auto"/>
            <w:left w:val="none" w:sz="0" w:space="0" w:color="auto"/>
            <w:bottom w:val="none" w:sz="0" w:space="0" w:color="auto"/>
            <w:right w:val="none" w:sz="0" w:space="0" w:color="auto"/>
          </w:divBdr>
        </w:div>
        <w:div w:id="341931099">
          <w:marLeft w:val="0"/>
          <w:marRight w:val="0"/>
          <w:marTop w:val="0"/>
          <w:marBottom w:val="0"/>
          <w:divBdr>
            <w:top w:val="none" w:sz="0" w:space="0" w:color="auto"/>
            <w:left w:val="none" w:sz="0" w:space="0" w:color="auto"/>
            <w:bottom w:val="none" w:sz="0" w:space="0" w:color="auto"/>
            <w:right w:val="none" w:sz="0" w:space="0" w:color="auto"/>
          </w:divBdr>
        </w:div>
        <w:div w:id="466894003">
          <w:marLeft w:val="0"/>
          <w:marRight w:val="0"/>
          <w:marTop w:val="0"/>
          <w:marBottom w:val="0"/>
          <w:divBdr>
            <w:top w:val="none" w:sz="0" w:space="0" w:color="auto"/>
            <w:left w:val="none" w:sz="0" w:space="0" w:color="auto"/>
            <w:bottom w:val="none" w:sz="0" w:space="0" w:color="auto"/>
            <w:right w:val="none" w:sz="0" w:space="0" w:color="auto"/>
          </w:divBdr>
        </w:div>
        <w:div w:id="528880742">
          <w:marLeft w:val="0"/>
          <w:marRight w:val="0"/>
          <w:marTop w:val="0"/>
          <w:marBottom w:val="0"/>
          <w:divBdr>
            <w:top w:val="none" w:sz="0" w:space="0" w:color="auto"/>
            <w:left w:val="none" w:sz="0" w:space="0" w:color="auto"/>
            <w:bottom w:val="none" w:sz="0" w:space="0" w:color="auto"/>
            <w:right w:val="none" w:sz="0" w:space="0" w:color="auto"/>
          </w:divBdr>
        </w:div>
        <w:div w:id="683942061">
          <w:marLeft w:val="0"/>
          <w:marRight w:val="0"/>
          <w:marTop w:val="0"/>
          <w:marBottom w:val="0"/>
          <w:divBdr>
            <w:top w:val="none" w:sz="0" w:space="0" w:color="auto"/>
            <w:left w:val="none" w:sz="0" w:space="0" w:color="auto"/>
            <w:bottom w:val="none" w:sz="0" w:space="0" w:color="auto"/>
            <w:right w:val="none" w:sz="0" w:space="0" w:color="auto"/>
          </w:divBdr>
        </w:div>
        <w:div w:id="737173853">
          <w:marLeft w:val="0"/>
          <w:marRight w:val="0"/>
          <w:marTop w:val="0"/>
          <w:marBottom w:val="0"/>
          <w:divBdr>
            <w:top w:val="none" w:sz="0" w:space="0" w:color="auto"/>
            <w:left w:val="none" w:sz="0" w:space="0" w:color="auto"/>
            <w:bottom w:val="none" w:sz="0" w:space="0" w:color="auto"/>
            <w:right w:val="none" w:sz="0" w:space="0" w:color="auto"/>
          </w:divBdr>
        </w:div>
        <w:div w:id="866136533">
          <w:marLeft w:val="0"/>
          <w:marRight w:val="0"/>
          <w:marTop w:val="0"/>
          <w:marBottom w:val="0"/>
          <w:divBdr>
            <w:top w:val="none" w:sz="0" w:space="0" w:color="auto"/>
            <w:left w:val="none" w:sz="0" w:space="0" w:color="auto"/>
            <w:bottom w:val="none" w:sz="0" w:space="0" w:color="auto"/>
            <w:right w:val="none" w:sz="0" w:space="0" w:color="auto"/>
          </w:divBdr>
        </w:div>
        <w:div w:id="983972340">
          <w:marLeft w:val="0"/>
          <w:marRight w:val="0"/>
          <w:marTop w:val="0"/>
          <w:marBottom w:val="0"/>
          <w:divBdr>
            <w:top w:val="none" w:sz="0" w:space="0" w:color="auto"/>
            <w:left w:val="none" w:sz="0" w:space="0" w:color="auto"/>
            <w:bottom w:val="none" w:sz="0" w:space="0" w:color="auto"/>
            <w:right w:val="none" w:sz="0" w:space="0" w:color="auto"/>
          </w:divBdr>
        </w:div>
        <w:div w:id="1056204401">
          <w:marLeft w:val="0"/>
          <w:marRight w:val="0"/>
          <w:marTop w:val="0"/>
          <w:marBottom w:val="0"/>
          <w:divBdr>
            <w:top w:val="none" w:sz="0" w:space="0" w:color="auto"/>
            <w:left w:val="none" w:sz="0" w:space="0" w:color="auto"/>
            <w:bottom w:val="none" w:sz="0" w:space="0" w:color="auto"/>
            <w:right w:val="none" w:sz="0" w:space="0" w:color="auto"/>
          </w:divBdr>
        </w:div>
        <w:div w:id="1115758201">
          <w:marLeft w:val="0"/>
          <w:marRight w:val="0"/>
          <w:marTop w:val="0"/>
          <w:marBottom w:val="0"/>
          <w:divBdr>
            <w:top w:val="none" w:sz="0" w:space="0" w:color="auto"/>
            <w:left w:val="none" w:sz="0" w:space="0" w:color="auto"/>
            <w:bottom w:val="none" w:sz="0" w:space="0" w:color="auto"/>
            <w:right w:val="none" w:sz="0" w:space="0" w:color="auto"/>
          </w:divBdr>
        </w:div>
        <w:div w:id="1803108361">
          <w:marLeft w:val="0"/>
          <w:marRight w:val="0"/>
          <w:marTop w:val="0"/>
          <w:marBottom w:val="0"/>
          <w:divBdr>
            <w:top w:val="none" w:sz="0" w:space="0" w:color="auto"/>
            <w:left w:val="none" w:sz="0" w:space="0" w:color="auto"/>
            <w:bottom w:val="none" w:sz="0" w:space="0" w:color="auto"/>
            <w:right w:val="none" w:sz="0" w:space="0" w:color="auto"/>
          </w:divBdr>
        </w:div>
        <w:div w:id="1885679019">
          <w:marLeft w:val="0"/>
          <w:marRight w:val="0"/>
          <w:marTop w:val="0"/>
          <w:marBottom w:val="0"/>
          <w:divBdr>
            <w:top w:val="none" w:sz="0" w:space="0" w:color="auto"/>
            <w:left w:val="none" w:sz="0" w:space="0" w:color="auto"/>
            <w:bottom w:val="none" w:sz="0" w:space="0" w:color="auto"/>
            <w:right w:val="none" w:sz="0" w:space="0" w:color="auto"/>
          </w:divBdr>
        </w:div>
        <w:div w:id="1931351455">
          <w:marLeft w:val="0"/>
          <w:marRight w:val="0"/>
          <w:marTop w:val="0"/>
          <w:marBottom w:val="0"/>
          <w:divBdr>
            <w:top w:val="none" w:sz="0" w:space="0" w:color="auto"/>
            <w:left w:val="none" w:sz="0" w:space="0" w:color="auto"/>
            <w:bottom w:val="none" w:sz="0" w:space="0" w:color="auto"/>
            <w:right w:val="none" w:sz="0" w:space="0" w:color="auto"/>
          </w:divBdr>
        </w:div>
        <w:div w:id="2097246938">
          <w:marLeft w:val="0"/>
          <w:marRight w:val="0"/>
          <w:marTop w:val="0"/>
          <w:marBottom w:val="0"/>
          <w:divBdr>
            <w:top w:val="none" w:sz="0" w:space="0" w:color="auto"/>
            <w:left w:val="none" w:sz="0" w:space="0" w:color="auto"/>
            <w:bottom w:val="none" w:sz="0" w:space="0" w:color="auto"/>
            <w:right w:val="none" w:sz="0" w:space="0" w:color="auto"/>
          </w:divBdr>
        </w:div>
      </w:divsChild>
    </w:div>
    <w:div w:id="1519082914">
      <w:bodyDiv w:val="1"/>
      <w:marLeft w:val="0"/>
      <w:marRight w:val="0"/>
      <w:marTop w:val="0"/>
      <w:marBottom w:val="0"/>
      <w:divBdr>
        <w:top w:val="none" w:sz="0" w:space="0" w:color="auto"/>
        <w:left w:val="none" w:sz="0" w:space="0" w:color="auto"/>
        <w:bottom w:val="none" w:sz="0" w:space="0" w:color="auto"/>
        <w:right w:val="none" w:sz="0" w:space="0" w:color="auto"/>
      </w:divBdr>
    </w:div>
    <w:div w:id="1531533462">
      <w:bodyDiv w:val="1"/>
      <w:marLeft w:val="0"/>
      <w:marRight w:val="0"/>
      <w:marTop w:val="0"/>
      <w:marBottom w:val="0"/>
      <w:divBdr>
        <w:top w:val="none" w:sz="0" w:space="0" w:color="auto"/>
        <w:left w:val="none" w:sz="0" w:space="0" w:color="auto"/>
        <w:bottom w:val="none" w:sz="0" w:space="0" w:color="auto"/>
        <w:right w:val="none" w:sz="0" w:space="0" w:color="auto"/>
      </w:divBdr>
      <w:divsChild>
        <w:div w:id="951476060">
          <w:marLeft w:val="0"/>
          <w:marRight w:val="0"/>
          <w:marTop w:val="0"/>
          <w:marBottom w:val="0"/>
          <w:divBdr>
            <w:top w:val="none" w:sz="0" w:space="0" w:color="auto"/>
            <w:left w:val="none" w:sz="0" w:space="0" w:color="auto"/>
            <w:bottom w:val="none" w:sz="0" w:space="0" w:color="auto"/>
            <w:right w:val="none" w:sz="0" w:space="0" w:color="auto"/>
          </w:divBdr>
          <w:divsChild>
            <w:div w:id="43910001">
              <w:marLeft w:val="0"/>
              <w:marRight w:val="0"/>
              <w:marTop w:val="0"/>
              <w:marBottom w:val="0"/>
              <w:divBdr>
                <w:top w:val="none" w:sz="0" w:space="0" w:color="auto"/>
                <w:left w:val="none" w:sz="0" w:space="0" w:color="auto"/>
                <w:bottom w:val="none" w:sz="0" w:space="0" w:color="auto"/>
                <w:right w:val="none" w:sz="0" w:space="0" w:color="auto"/>
              </w:divBdr>
            </w:div>
            <w:div w:id="94175752">
              <w:marLeft w:val="0"/>
              <w:marRight w:val="0"/>
              <w:marTop w:val="0"/>
              <w:marBottom w:val="0"/>
              <w:divBdr>
                <w:top w:val="none" w:sz="0" w:space="0" w:color="auto"/>
                <w:left w:val="none" w:sz="0" w:space="0" w:color="auto"/>
                <w:bottom w:val="none" w:sz="0" w:space="0" w:color="auto"/>
                <w:right w:val="none" w:sz="0" w:space="0" w:color="auto"/>
              </w:divBdr>
            </w:div>
            <w:div w:id="251547893">
              <w:marLeft w:val="0"/>
              <w:marRight w:val="0"/>
              <w:marTop w:val="0"/>
              <w:marBottom w:val="0"/>
              <w:divBdr>
                <w:top w:val="none" w:sz="0" w:space="0" w:color="auto"/>
                <w:left w:val="none" w:sz="0" w:space="0" w:color="auto"/>
                <w:bottom w:val="none" w:sz="0" w:space="0" w:color="auto"/>
                <w:right w:val="none" w:sz="0" w:space="0" w:color="auto"/>
              </w:divBdr>
            </w:div>
            <w:div w:id="272053730">
              <w:marLeft w:val="0"/>
              <w:marRight w:val="0"/>
              <w:marTop w:val="0"/>
              <w:marBottom w:val="0"/>
              <w:divBdr>
                <w:top w:val="none" w:sz="0" w:space="0" w:color="auto"/>
                <w:left w:val="none" w:sz="0" w:space="0" w:color="auto"/>
                <w:bottom w:val="none" w:sz="0" w:space="0" w:color="auto"/>
                <w:right w:val="none" w:sz="0" w:space="0" w:color="auto"/>
              </w:divBdr>
            </w:div>
            <w:div w:id="775828886">
              <w:marLeft w:val="0"/>
              <w:marRight w:val="0"/>
              <w:marTop w:val="0"/>
              <w:marBottom w:val="0"/>
              <w:divBdr>
                <w:top w:val="none" w:sz="0" w:space="0" w:color="auto"/>
                <w:left w:val="none" w:sz="0" w:space="0" w:color="auto"/>
                <w:bottom w:val="none" w:sz="0" w:space="0" w:color="auto"/>
                <w:right w:val="none" w:sz="0" w:space="0" w:color="auto"/>
              </w:divBdr>
            </w:div>
            <w:div w:id="1009529909">
              <w:marLeft w:val="0"/>
              <w:marRight w:val="0"/>
              <w:marTop w:val="0"/>
              <w:marBottom w:val="0"/>
              <w:divBdr>
                <w:top w:val="none" w:sz="0" w:space="0" w:color="auto"/>
                <w:left w:val="none" w:sz="0" w:space="0" w:color="auto"/>
                <w:bottom w:val="none" w:sz="0" w:space="0" w:color="auto"/>
                <w:right w:val="none" w:sz="0" w:space="0" w:color="auto"/>
              </w:divBdr>
            </w:div>
            <w:div w:id="1103913500">
              <w:marLeft w:val="0"/>
              <w:marRight w:val="0"/>
              <w:marTop w:val="0"/>
              <w:marBottom w:val="0"/>
              <w:divBdr>
                <w:top w:val="none" w:sz="0" w:space="0" w:color="auto"/>
                <w:left w:val="none" w:sz="0" w:space="0" w:color="auto"/>
                <w:bottom w:val="none" w:sz="0" w:space="0" w:color="auto"/>
                <w:right w:val="none" w:sz="0" w:space="0" w:color="auto"/>
              </w:divBdr>
            </w:div>
            <w:div w:id="1136947217">
              <w:marLeft w:val="0"/>
              <w:marRight w:val="0"/>
              <w:marTop w:val="0"/>
              <w:marBottom w:val="0"/>
              <w:divBdr>
                <w:top w:val="none" w:sz="0" w:space="0" w:color="auto"/>
                <w:left w:val="none" w:sz="0" w:space="0" w:color="auto"/>
                <w:bottom w:val="none" w:sz="0" w:space="0" w:color="auto"/>
                <w:right w:val="none" w:sz="0" w:space="0" w:color="auto"/>
              </w:divBdr>
            </w:div>
            <w:div w:id="1251083638">
              <w:marLeft w:val="0"/>
              <w:marRight w:val="0"/>
              <w:marTop w:val="0"/>
              <w:marBottom w:val="0"/>
              <w:divBdr>
                <w:top w:val="none" w:sz="0" w:space="0" w:color="auto"/>
                <w:left w:val="none" w:sz="0" w:space="0" w:color="auto"/>
                <w:bottom w:val="none" w:sz="0" w:space="0" w:color="auto"/>
                <w:right w:val="none" w:sz="0" w:space="0" w:color="auto"/>
              </w:divBdr>
            </w:div>
            <w:div w:id="1286496746">
              <w:marLeft w:val="0"/>
              <w:marRight w:val="0"/>
              <w:marTop w:val="0"/>
              <w:marBottom w:val="0"/>
              <w:divBdr>
                <w:top w:val="none" w:sz="0" w:space="0" w:color="auto"/>
                <w:left w:val="none" w:sz="0" w:space="0" w:color="auto"/>
                <w:bottom w:val="none" w:sz="0" w:space="0" w:color="auto"/>
                <w:right w:val="none" w:sz="0" w:space="0" w:color="auto"/>
              </w:divBdr>
            </w:div>
            <w:div w:id="1396467764">
              <w:marLeft w:val="0"/>
              <w:marRight w:val="0"/>
              <w:marTop w:val="0"/>
              <w:marBottom w:val="0"/>
              <w:divBdr>
                <w:top w:val="none" w:sz="0" w:space="0" w:color="auto"/>
                <w:left w:val="none" w:sz="0" w:space="0" w:color="auto"/>
                <w:bottom w:val="none" w:sz="0" w:space="0" w:color="auto"/>
                <w:right w:val="none" w:sz="0" w:space="0" w:color="auto"/>
              </w:divBdr>
            </w:div>
            <w:div w:id="1587375035">
              <w:marLeft w:val="0"/>
              <w:marRight w:val="0"/>
              <w:marTop w:val="0"/>
              <w:marBottom w:val="0"/>
              <w:divBdr>
                <w:top w:val="none" w:sz="0" w:space="0" w:color="auto"/>
                <w:left w:val="none" w:sz="0" w:space="0" w:color="auto"/>
                <w:bottom w:val="none" w:sz="0" w:space="0" w:color="auto"/>
                <w:right w:val="none" w:sz="0" w:space="0" w:color="auto"/>
              </w:divBdr>
            </w:div>
            <w:div w:id="1601331027">
              <w:marLeft w:val="0"/>
              <w:marRight w:val="0"/>
              <w:marTop w:val="0"/>
              <w:marBottom w:val="0"/>
              <w:divBdr>
                <w:top w:val="none" w:sz="0" w:space="0" w:color="auto"/>
                <w:left w:val="none" w:sz="0" w:space="0" w:color="auto"/>
                <w:bottom w:val="none" w:sz="0" w:space="0" w:color="auto"/>
                <w:right w:val="none" w:sz="0" w:space="0" w:color="auto"/>
              </w:divBdr>
            </w:div>
            <w:div w:id="1721782650">
              <w:marLeft w:val="0"/>
              <w:marRight w:val="0"/>
              <w:marTop w:val="0"/>
              <w:marBottom w:val="0"/>
              <w:divBdr>
                <w:top w:val="none" w:sz="0" w:space="0" w:color="auto"/>
                <w:left w:val="none" w:sz="0" w:space="0" w:color="auto"/>
                <w:bottom w:val="none" w:sz="0" w:space="0" w:color="auto"/>
                <w:right w:val="none" w:sz="0" w:space="0" w:color="auto"/>
              </w:divBdr>
            </w:div>
            <w:div w:id="1760174789">
              <w:marLeft w:val="0"/>
              <w:marRight w:val="0"/>
              <w:marTop w:val="0"/>
              <w:marBottom w:val="0"/>
              <w:divBdr>
                <w:top w:val="none" w:sz="0" w:space="0" w:color="auto"/>
                <w:left w:val="none" w:sz="0" w:space="0" w:color="auto"/>
                <w:bottom w:val="none" w:sz="0" w:space="0" w:color="auto"/>
                <w:right w:val="none" w:sz="0" w:space="0" w:color="auto"/>
              </w:divBdr>
            </w:div>
            <w:div w:id="1839072341">
              <w:marLeft w:val="0"/>
              <w:marRight w:val="0"/>
              <w:marTop w:val="0"/>
              <w:marBottom w:val="0"/>
              <w:divBdr>
                <w:top w:val="none" w:sz="0" w:space="0" w:color="auto"/>
                <w:left w:val="none" w:sz="0" w:space="0" w:color="auto"/>
                <w:bottom w:val="none" w:sz="0" w:space="0" w:color="auto"/>
                <w:right w:val="none" w:sz="0" w:space="0" w:color="auto"/>
              </w:divBdr>
            </w:div>
            <w:div w:id="2132238217">
              <w:marLeft w:val="0"/>
              <w:marRight w:val="0"/>
              <w:marTop w:val="0"/>
              <w:marBottom w:val="0"/>
              <w:divBdr>
                <w:top w:val="none" w:sz="0" w:space="0" w:color="auto"/>
                <w:left w:val="none" w:sz="0" w:space="0" w:color="auto"/>
                <w:bottom w:val="none" w:sz="0" w:space="0" w:color="auto"/>
                <w:right w:val="none" w:sz="0" w:space="0" w:color="auto"/>
              </w:divBdr>
            </w:div>
          </w:divsChild>
        </w:div>
        <w:div w:id="1025908844">
          <w:marLeft w:val="0"/>
          <w:marRight w:val="0"/>
          <w:marTop w:val="0"/>
          <w:marBottom w:val="0"/>
          <w:divBdr>
            <w:top w:val="none" w:sz="0" w:space="0" w:color="auto"/>
            <w:left w:val="none" w:sz="0" w:space="0" w:color="auto"/>
            <w:bottom w:val="none" w:sz="0" w:space="0" w:color="auto"/>
            <w:right w:val="none" w:sz="0" w:space="0" w:color="auto"/>
          </w:divBdr>
          <w:divsChild>
            <w:div w:id="61224889">
              <w:marLeft w:val="0"/>
              <w:marRight w:val="0"/>
              <w:marTop w:val="0"/>
              <w:marBottom w:val="0"/>
              <w:divBdr>
                <w:top w:val="none" w:sz="0" w:space="0" w:color="auto"/>
                <w:left w:val="none" w:sz="0" w:space="0" w:color="auto"/>
                <w:bottom w:val="none" w:sz="0" w:space="0" w:color="auto"/>
                <w:right w:val="none" w:sz="0" w:space="0" w:color="auto"/>
              </w:divBdr>
            </w:div>
            <w:div w:id="143813121">
              <w:marLeft w:val="0"/>
              <w:marRight w:val="0"/>
              <w:marTop w:val="0"/>
              <w:marBottom w:val="0"/>
              <w:divBdr>
                <w:top w:val="none" w:sz="0" w:space="0" w:color="auto"/>
                <w:left w:val="none" w:sz="0" w:space="0" w:color="auto"/>
                <w:bottom w:val="none" w:sz="0" w:space="0" w:color="auto"/>
                <w:right w:val="none" w:sz="0" w:space="0" w:color="auto"/>
              </w:divBdr>
            </w:div>
            <w:div w:id="155390654">
              <w:marLeft w:val="0"/>
              <w:marRight w:val="0"/>
              <w:marTop w:val="0"/>
              <w:marBottom w:val="0"/>
              <w:divBdr>
                <w:top w:val="none" w:sz="0" w:space="0" w:color="auto"/>
                <w:left w:val="none" w:sz="0" w:space="0" w:color="auto"/>
                <w:bottom w:val="none" w:sz="0" w:space="0" w:color="auto"/>
                <w:right w:val="none" w:sz="0" w:space="0" w:color="auto"/>
              </w:divBdr>
            </w:div>
            <w:div w:id="1248685512">
              <w:marLeft w:val="0"/>
              <w:marRight w:val="0"/>
              <w:marTop w:val="0"/>
              <w:marBottom w:val="0"/>
              <w:divBdr>
                <w:top w:val="none" w:sz="0" w:space="0" w:color="auto"/>
                <w:left w:val="none" w:sz="0" w:space="0" w:color="auto"/>
                <w:bottom w:val="none" w:sz="0" w:space="0" w:color="auto"/>
                <w:right w:val="none" w:sz="0" w:space="0" w:color="auto"/>
              </w:divBdr>
            </w:div>
            <w:div w:id="1899852103">
              <w:marLeft w:val="0"/>
              <w:marRight w:val="0"/>
              <w:marTop w:val="0"/>
              <w:marBottom w:val="0"/>
              <w:divBdr>
                <w:top w:val="none" w:sz="0" w:space="0" w:color="auto"/>
                <w:left w:val="none" w:sz="0" w:space="0" w:color="auto"/>
                <w:bottom w:val="none" w:sz="0" w:space="0" w:color="auto"/>
                <w:right w:val="none" w:sz="0" w:space="0" w:color="auto"/>
              </w:divBdr>
            </w:div>
            <w:div w:id="2080324085">
              <w:marLeft w:val="0"/>
              <w:marRight w:val="0"/>
              <w:marTop w:val="0"/>
              <w:marBottom w:val="0"/>
              <w:divBdr>
                <w:top w:val="none" w:sz="0" w:space="0" w:color="auto"/>
                <w:left w:val="none" w:sz="0" w:space="0" w:color="auto"/>
                <w:bottom w:val="none" w:sz="0" w:space="0" w:color="auto"/>
                <w:right w:val="none" w:sz="0" w:space="0" w:color="auto"/>
              </w:divBdr>
            </w:div>
          </w:divsChild>
        </w:div>
        <w:div w:id="1028064577">
          <w:marLeft w:val="0"/>
          <w:marRight w:val="0"/>
          <w:marTop w:val="0"/>
          <w:marBottom w:val="0"/>
          <w:divBdr>
            <w:top w:val="none" w:sz="0" w:space="0" w:color="auto"/>
            <w:left w:val="none" w:sz="0" w:space="0" w:color="auto"/>
            <w:bottom w:val="none" w:sz="0" w:space="0" w:color="auto"/>
            <w:right w:val="none" w:sz="0" w:space="0" w:color="auto"/>
          </w:divBdr>
          <w:divsChild>
            <w:div w:id="2631745">
              <w:marLeft w:val="0"/>
              <w:marRight w:val="0"/>
              <w:marTop w:val="0"/>
              <w:marBottom w:val="0"/>
              <w:divBdr>
                <w:top w:val="none" w:sz="0" w:space="0" w:color="auto"/>
                <w:left w:val="none" w:sz="0" w:space="0" w:color="auto"/>
                <w:bottom w:val="none" w:sz="0" w:space="0" w:color="auto"/>
                <w:right w:val="none" w:sz="0" w:space="0" w:color="auto"/>
              </w:divBdr>
            </w:div>
            <w:div w:id="119613541">
              <w:marLeft w:val="0"/>
              <w:marRight w:val="0"/>
              <w:marTop w:val="0"/>
              <w:marBottom w:val="0"/>
              <w:divBdr>
                <w:top w:val="none" w:sz="0" w:space="0" w:color="auto"/>
                <w:left w:val="none" w:sz="0" w:space="0" w:color="auto"/>
                <w:bottom w:val="none" w:sz="0" w:space="0" w:color="auto"/>
                <w:right w:val="none" w:sz="0" w:space="0" w:color="auto"/>
              </w:divBdr>
            </w:div>
            <w:div w:id="193814995">
              <w:marLeft w:val="0"/>
              <w:marRight w:val="0"/>
              <w:marTop w:val="0"/>
              <w:marBottom w:val="0"/>
              <w:divBdr>
                <w:top w:val="none" w:sz="0" w:space="0" w:color="auto"/>
                <w:left w:val="none" w:sz="0" w:space="0" w:color="auto"/>
                <w:bottom w:val="none" w:sz="0" w:space="0" w:color="auto"/>
                <w:right w:val="none" w:sz="0" w:space="0" w:color="auto"/>
              </w:divBdr>
            </w:div>
            <w:div w:id="307245057">
              <w:marLeft w:val="0"/>
              <w:marRight w:val="0"/>
              <w:marTop w:val="0"/>
              <w:marBottom w:val="0"/>
              <w:divBdr>
                <w:top w:val="none" w:sz="0" w:space="0" w:color="auto"/>
                <w:left w:val="none" w:sz="0" w:space="0" w:color="auto"/>
                <w:bottom w:val="none" w:sz="0" w:space="0" w:color="auto"/>
                <w:right w:val="none" w:sz="0" w:space="0" w:color="auto"/>
              </w:divBdr>
            </w:div>
            <w:div w:id="469177058">
              <w:marLeft w:val="0"/>
              <w:marRight w:val="0"/>
              <w:marTop w:val="0"/>
              <w:marBottom w:val="0"/>
              <w:divBdr>
                <w:top w:val="none" w:sz="0" w:space="0" w:color="auto"/>
                <w:left w:val="none" w:sz="0" w:space="0" w:color="auto"/>
                <w:bottom w:val="none" w:sz="0" w:space="0" w:color="auto"/>
                <w:right w:val="none" w:sz="0" w:space="0" w:color="auto"/>
              </w:divBdr>
            </w:div>
            <w:div w:id="627901220">
              <w:marLeft w:val="0"/>
              <w:marRight w:val="0"/>
              <w:marTop w:val="0"/>
              <w:marBottom w:val="0"/>
              <w:divBdr>
                <w:top w:val="none" w:sz="0" w:space="0" w:color="auto"/>
                <w:left w:val="none" w:sz="0" w:space="0" w:color="auto"/>
                <w:bottom w:val="none" w:sz="0" w:space="0" w:color="auto"/>
                <w:right w:val="none" w:sz="0" w:space="0" w:color="auto"/>
              </w:divBdr>
            </w:div>
            <w:div w:id="635527883">
              <w:marLeft w:val="0"/>
              <w:marRight w:val="0"/>
              <w:marTop w:val="0"/>
              <w:marBottom w:val="0"/>
              <w:divBdr>
                <w:top w:val="none" w:sz="0" w:space="0" w:color="auto"/>
                <w:left w:val="none" w:sz="0" w:space="0" w:color="auto"/>
                <w:bottom w:val="none" w:sz="0" w:space="0" w:color="auto"/>
                <w:right w:val="none" w:sz="0" w:space="0" w:color="auto"/>
              </w:divBdr>
            </w:div>
            <w:div w:id="687221910">
              <w:marLeft w:val="0"/>
              <w:marRight w:val="0"/>
              <w:marTop w:val="0"/>
              <w:marBottom w:val="0"/>
              <w:divBdr>
                <w:top w:val="none" w:sz="0" w:space="0" w:color="auto"/>
                <w:left w:val="none" w:sz="0" w:space="0" w:color="auto"/>
                <w:bottom w:val="none" w:sz="0" w:space="0" w:color="auto"/>
                <w:right w:val="none" w:sz="0" w:space="0" w:color="auto"/>
              </w:divBdr>
            </w:div>
            <w:div w:id="1020665513">
              <w:marLeft w:val="0"/>
              <w:marRight w:val="0"/>
              <w:marTop w:val="0"/>
              <w:marBottom w:val="0"/>
              <w:divBdr>
                <w:top w:val="none" w:sz="0" w:space="0" w:color="auto"/>
                <w:left w:val="none" w:sz="0" w:space="0" w:color="auto"/>
                <w:bottom w:val="none" w:sz="0" w:space="0" w:color="auto"/>
                <w:right w:val="none" w:sz="0" w:space="0" w:color="auto"/>
              </w:divBdr>
            </w:div>
            <w:div w:id="1099790846">
              <w:marLeft w:val="0"/>
              <w:marRight w:val="0"/>
              <w:marTop w:val="0"/>
              <w:marBottom w:val="0"/>
              <w:divBdr>
                <w:top w:val="none" w:sz="0" w:space="0" w:color="auto"/>
                <w:left w:val="none" w:sz="0" w:space="0" w:color="auto"/>
                <w:bottom w:val="none" w:sz="0" w:space="0" w:color="auto"/>
                <w:right w:val="none" w:sz="0" w:space="0" w:color="auto"/>
              </w:divBdr>
            </w:div>
            <w:div w:id="1333142786">
              <w:marLeft w:val="0"/>
              <w:marRight w:val="0"/>
              <w:marTop w:val="0"/>
              <w:marBottom w:val="0"/>
              <w:divBdr>
                <w:top w:val="none" w:sz="0" w:space="0" w:color="auto"/>
                <w:left w:val="none" w:sz="0" w:space="0" w:color="auto"/>
                <w:bottom w:val="none" w:sz="0" w:space="0" w:color="auto"/>
                <w:right w:val="none" w:sz="0" w:space="0" w:color="auto"/>
              </w:divBdr>
            </w:div>
            <w:div w:id="1377895971">
              <w:marLeft w:val="0"/>
              <w:marRight w:val="0"/>
              <w:marTop w:val="0"/>
              <w:marBottom w:val="0"/>
              <w:divBdr>
                <w:top w:val="none" w:sz="0" w:space="0" w:color="auto"/>
                <w:left w:val="none" w:sz="0" w:space="0" w:color="auto"/>
                <w:bottom w:val="none" w:sz="0" w:space="0" w:color="auto"/>
                <w:right w:val="none" w:sz="0" w:space="0" w:color="auto"/>
              </w:divBdr>
            </w:div>
            <w:div w:id="1387141403">
              <w:marLeft w:val="0"/>
              <w:marRight w:val="0"/>
              <w:marTop w:val="0"/>
              <w:marBottom w:val="0"/>
              <w:divBdr>
                <w:top w:val="none" w:sz="0" w:space="0" w:color="auto"/>
                <w:left w:val="none" w:sz="0" w:space="0" w:color="auto"/>
                <w:bottom w:val="none" w:sz="0" w:space="0" w:color="auto"/>
                <w:right w:val="none" w:sz="0" w:space="0" w:color="auto"/>
              </w:divBdr>
            </w:div>
            <w:div w:id="1448312565">
              <w:marLeft w:val="0"/>
              <w:marRight w:val="0"/>
              <w:marTop w:val="0"/>
              <w:marBottom w:val="0"/>
              <w:divBdr>
                <w:top w:val="none" w:sz="0" w:space="0" w:color="auto"/>
                <w:left w:val="none" w:sz="0" w:space="0" w:color="auto"/>
                <w:bottom w:val="none" w:sz="0" w:space="0" w:color="auto"/>
                <w:right w:val="none" w:sz="0" w:space="0" w:color="auto"/>
              </w:divBdr>
            </w:div>
            <w:div w:id="1515341302">
              <w:marLeft w:val="0"/>
              <w:marRight w:val="0"/>
              <w:marTop w:val="0"/>
              <w:marBottom w:val="0"/>
              <w:divBdr>
                <w:top w:val="none" w:sz="0" w:space="0" w:color="auto"/>
                <w:left w:val="none" w:sz="0" w:space="0" w:color="auto"/>
                <w:bottom w:val="none" w:sz="0" w:space="0" w:color="auto"/>
                <w:right w:val="none" w:sz="0" w:space="0" w:color="auto"/>
              </w:divBdr>
            </w:div>
            <w:div w:id="1519274359">
              <w:marLeft w:val="0"/>
              <w:marRight w:val="0"/>
              <w:marTop w:val="0"/>
              <w:marBottom w:val="0"/>
              <w:divBdr>
                <w:top w:val="none" w:sz="0" w:space="0" w:color="auto"/>
                <w:left w:val="none" w:sz="0" w:space="0" w:color="auto"/>
                <w:bottom w:val="none" w:sz="0" w:space="0" w:color="auto"/>
                <w:right w:val="none" w:sz="0" w:space="0" w:color="auto"/>
              </w:divBdr>
            </w:div>
            <w:div w:id="1861384550">
              <w:marLeft w:val="0"/>
              <w:marRight w:val="0"/>
              <w:marTop w:val="0"/>
              <w:marBottom w:val="0"/>
              <w:divBdr>
                <w:top w:val="none" w:sz="0" w:space="0" w:color="auto"/>
                <w:left w:val="none" w:sz="0" w:space="0" w:color="auto"/>
                <w:bottom w:val="none" w:sz="0" w:space="0" w:color="auto"/>
                <w:right w:val="none" w:sz="0" w:space="0" w:color="auto"/>
              </w:divBdr>
            </w:div>
            <w:div w:id="1927153112">
              <w:marLeft w:val="0"/>
              <w:marRight w:val="0"/>
              <w:marTop w:val="0"/>
              <w:marBottom w:val="0"/>
              <w:divBdr>
                <w:top w:val="none" w:sz="0" w:space="0" w:color="auto"/>
                <w:left w:val="none" w:sz="0" w:space="0" w:color="auto"/>
                <w:bottom w:val="none" w:sz="0" w:space="0" w:color="auto"/>
                <w:right w:val="none" w:sz="0" w:space="0" w:color="auto"/>
              </w:divBdr>
            </w:div>
            <w:div w:id="2123255694">
              <w:marLeft w:val="0"/>
              <w:marRight w:val="0"/>
              <w:marTop w:val="0"/>
              <w:marBottom w:val="0"/>
              <w:divBdr>
                <w:top w:val="none" w:sz="0" w:space="0" w:color="auto"/>
                <w:left w:val="none" w:sz="0" w:space="0" w:color="auto"/>
                <w:bottom w:val="none" w:sz="0" w:space="0" w:color="auto"/>
                <w:right w:val="none" w:sz="0" w:space="0" w:color="auto"/>
              </w:divBdr>
            </w:div>
            <w:div w:id="212966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7072">
      <w:bodyDiv w:val="1"/>
      <w:marLeft w:val="0"/>
      <w:marRight w:val="0"/>
      <w:marTop w:val="0"/>
      <w:marBottom w:val="0"/>
      <w:divBdr>
        <w:top w:val="none" w:sz="0" w:space="0" w:color="auto"/>
        <w:left w:val="none" w:sz="0" w:space="0" w:color="auto"/>
        <w:bottom w:val="none" w:sz="0" w:space="0" w:color="auto"/>
        <w:right w:val="none" w:sz="0" w:space="0" w:color="auto"/>
      </w:divBdr>
    </w:div>
    <w:div w:id="1586913837">
      <w:bodyDiv w:val="1"/>
      <w:marLeft w:val="0"/>
      <w:marRight w:val="0"/>
      <w:marTop w:val="0"/>
      <w:marBottom w:val="0"/>
      <w:divBdr>
        <w:top w:val="none" w:sz="0" w:space="0" w:color="auto"/>
        <w:left w:val="none" w:sz="0" w:space="0" w:color="auto"/>
        <w:bottom w:val="none" w:sz="0" w:space="0" w:color="auto"/>
        <w:right w:val="none" w:sz="0" w:space="0" w:color="auto"/>
      </w:divBdr>
    </w:div>
    <w:div w:id="1646812279">
      <w:bodyDiv w:val="1"/>
      <w:marLeft w:val="0"/>
      <w:marRight w:val="0"/>
      <w:marTop w:val="0"/>
      <w:marBottom w:val="0"/>
      <w:divBdr>
        <w:top w:val="none" w:sz="0" w:space="0" w:color="auto"/>
        <w:left w:val="none" w:sz="0" w:space="0" w:color="auto"/>
        <w:bottom w:val="none" w:sz="0" w:space="0" w:color="auto"/>
        <w:right w:val="none" w:sz="0" w:space="0" w:color="auto"/>
      </w:divBdr>
    </w:div>
    <w:div w:id="1660890658">
      <w:bodyDiv w:val="1"/>
      <w:marLeft w:val="0"/>
      <w:marRight w:val="0"/>
      <w:marTop w:val="0"/>
      <w:marBottom w:val="0"/>
      <w:divBdr>
        <w:top w:val="none" w:sz="0" w:space="0" w:color="auto"/>
        <w:left w:val="none" w:sz="0" w:space="0" w:color="auto"/>
        <w:bottom w:val="none" w:sz="0" w:space="0" w:color="auto"/>
        <w:right w:val="none" w:sz="0" w:space="0" w:color="auto"/>
      </w:divBdr>
    </w:div>
    <w:div w:id="1708946911">
      <w:bodyDiv w:val="1"/>
      <w:marLeft w:val="0"/>
      <w:marRight w:val="0"/>
      <w:marTop w:val="0"/>
      <w:marBottom w:val="0"/>
      <w:divBdr>
        <w:top w:val="none" w:sz="0" w:space="0" w:color="auto"/>
        <w:left w:val="none" w:sz="0" w:space="0" w:color="auto"/>
        <w:bottom w:val="none" w:sz="0" w:space="0" w:color="auto"/>
        <w:right w:val="none" w:sz="0" w:space="0" w:color="auto"/>
      </w:divBdr>
    </w:div>
    <w:div w:id="1767186611">
      <w:bodyDiv w:val="1"/>
      <w:marLeft w:val="0"/>
      <w:marRight w:val="0"/>
      <w:marTop w:val="0"/>
      <w:marBottom w:val="0"/>
      <w:divBdr>
        <w:top w:val="none" w:sz="0" w:space="0" w:color="auto"/>
        <w:left w:val="none" w:sz="0" w:space="0" w:color="auto"/>
        <w:bottom w:val="none" w:sz="0" w:space="0" w:color="auto"/>
        <w:right w:val="none" w:sz="0" w:space="0" w:color="auto"/>
      </w:divBdr>
      <w:divsChild>
        <w:div w:id="1851724544">
          <w:marLeft w:val="0"/>
          <w:marRight w:val="0"/>
          <w:marTop w:val="0"/>
          <w:marBottom w:val="0"/>
          <w:divBdr>
            <w:top w:val="none" w:sz="0" w:space="0" w:color="auto"/>
            <w:left w:val="none" w:sz="0" w:space="0" w:color="auto"/>
            <w:bottom w:val="none" w:sz="0" w:space="0" w:color="auto"/>
            <w:right w:val="none" w:sz="0" w:space="0" w:color="auto"/>
          </w:divBdr>
          <w:divsChild>
            <w:div w:id="490489492">
              <w:marLeft w:val="0"/>
              <w:marRight w:val="0"/>
              <w:marTop w:val="0"/>
              <w:marBottom w:val="0"/>
              <w:divBdr>
                <w:top w:val="none" w:sz="0" w:space="0" w:color="auto"/>
                <w:left w:val="none" w:sz="0" w:space="0" w:color="auto"/>
                <w:bottom w:val="none" w:sz="0" w:space="0" w:color="auto"/>
                <w:right w:val="none" w:sz="0" w:space="0" w:color="auto"/>
              </w:divBdr>
            </w:div>
            <w:div w:id="800153685">
              <w:marLeft w:val="0"/>
              <w:marRight w:val="0"/>
              <w:marTop w:val="0"/>
              <w:marBottom w:val="0"/>
              <w:divBdr>
                <w:top w:val="none" w:sz="0" w:space="0" w:color="auto"/>
                <w:left w:val="none" w:sz="0" w:space="0" w:color="auto"/>
                <w:bottom w:val="none" w:sz="0" w:space="0" w:color="auto"/>
                <w:right w:val="none" w:sz="0" w:space="0" w:color="auto"/>
              </w:divBdr>
            </w:div>
            <w:div w:id="824396471">
              <w:marLeft w:val="0"/>
              <w:marRight w:val="0"/>
              <w:marTop w:val="0"/>
              <w:marBottom w:val="0"/>
              <w:divBdr>
                <w:top w:val="none" w:sz="0" w:space="0" w:color="auto"/>
                <w:left w:val="none" w:sz="0" w:space="0" w:color="auto"/>
                <w:bottom w:val="none" w:sz="0" w:space="0" w:color="auto"/>
                <w:right w:val="none" w:sz="0" w:space="0" w:color="auto"/>
              </w:divBdr>
            </w:div>
            <w:div w:id="1472750453">
              <w:marLeft w:val="0"/>
              <w:marRight w:val="0"/>
              <w:marTop w:val="0"/>
              <w:marBottom w:val="0"/>
              <w:divBdr>
                <w:top w:val="none" w:sz="0" w:space="0" w:color="auto"/>
                <w:left w:val="none" w:sz="0" w:space="0" w:color="auto"/>
                <w:bottom w:val="none" w:sz="0" w:space="0" w:color="auto"/>
                <w:right w:val="none" w:sz="0" w:space="0" w:color="auto"/>
              </w:divBdr>
            </w:div>
          </w:divsChild>
        </w:div>
        <w:div w:id="1969050466">
          <w:marLeft w:val="0"/>
          <w:marRight w:val="0"/>
          <w:marTop w:val="0"/>
          <w:marBottom w:val="0"/>
          <w:divBdr>
            <w:top w:val="none" w:sz="0" w:space="0" w:color="auto"/>
            <w:left w:val="none" w:sz="0" w:space="0" w:color="auto"/>
            <w:bottom w:val="none" w:sz="0" w:space="0" w:color="auto"/>
            <w:right w:val="none" w:sz="0" w:space="0" w:color="auto"/>
          </w:divBdr>
          <w:divsChild>
            <w:div w:id="181286182">
              <w:marLeft w:val="0"/>
              <w:marRight w:val="0"/>
              <w:marTop w:val="0"/>
              <w:marBottom w:val="0"/>
              <w:divBdr>
                <w:top w:val="none" w:sz="0" w:space="0" w:color="auto"/>
                <w:left w:val="none" w:sz="0" w:space="0" w:color="auto"/>
                <w:bottom w:val="none" w:sz="0" w:space="0" w:color="auto"/>
                <w:right w:val="none" w:sz="0" w:space="0" w:color="auto"/>
              </w:divBdr>
            </w:div>
            <w:div w:id="253435768">
              <w:marLeft w:val="0"/>
              <w:marRight w:val="0"/>
              <w:marTop w:val="0"/>
              <w:marBottom w:val="0"/>
              <w:divBdr>
                <w:top w:val="none" w:sz="0" w:space="0" w:color="auto"/>
                <w:left w:val="none" w:sz="0" w:space="0" w:color="auto"/>
                <w:bottom w:val="none" w:sz="0" w:space="0" w:color="auto"/>
                <w:right w:val="none" w:sz="0" w:space="0" w:color="auto"/>
              </w:divBdr>
            </w:div>
            <w:div w:id="1524858252">
              <w:marLeft w:val="0"/>
              <w:marRight w:val="0"/>
              <w:marTop w:val="0"/>
              <w:marBottom w:val="0"/>
              <w:divBdr>
                <w:top w:val="none" w:sz="0" w:space="0" w:color="auto"/>
                <w:left w:val="none" w:sz="0" w:space="0" w:color="auto"/>
                <w:bottom w:val="none" w:sz="0" w:space="0" w:color="auto"/>
                <w:right w:val="none" w:sz="0" w:space="0" w:color="auto"/>
              </w:divBdr>
            </w:div>
            <w:div w:id="1600723042">
              <w:marLeft w:val="0"/>
              <w:marRight w:val="0"/>
              <w:marTop w:val="0"/>
              <w:marBottom w:val="0"/>
              <w:divBdr>
                <w:top w:val="none" w:sz="0" w:space="0" w:color="auto"/>
                <w:left w:val="none" w:sz="0" w:space="0" w:color="auto"/>
                <w:bottom w:val="none" w:sz="0" w:space="0" w:color="auto"/>
                <w:right w:val="none" w:sz="0" w:space="0" w:color="auto"/>
              </w:divBdr>
            </w:div>
            <w:div w:id="20393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71291">
      <w:bodyDiv w:val="1"/>
      <w:marLeft w:val="0"/>
      <w:marRight w:val="0"/>
      <w:marTop w:val="0"/>
      <w:marBottom w:val="0"/>
      <w:divBdr>
        <w:top w:val="none" w:sz="0" w:space="0" w:color="auto"/>
        <w:left w:val="none" w:sz="0" w:space="0" w:color="auto"/>
        <w:bottom w:val="none" w:sz="0" w:space="0" w:color="auto"/>
        <w:right w:val="none" w:sz="0" w:space="0" w:color="auto"/>
      </w:divBdr>
    </w:div>
    <w:div w:id="1849127407">
      <w:bodyDiv w:val="1"/>
      <w:marLeft w:val="0"/>
      <w:marRight w:val="0"/>
      <w:marTop w:val="0"/>
      <w:marBottom w:val="0"/>
      <w:divBdr>
        <w:top w:val="none" w:sz="0" w:space="0" w:color="auto"/>
        <w:left w:val="none" w:sz="0" w:space="0" w:color="auto"/>
        <w:bottom w:val="none" w:sz="0" w:space="0" w:color="auto"/>
        <w:right w:val="none" w:sz="0" w:space="0" w:color="auto"/>
      </w:divBdr>
      <w:divsChild>
        <w:div w:id="282076729">
          <w:marLeft w:val="0"/>
          <w:marRight w:val="0"/>
          <w:marTop w:val="0"/>
          <w:marBottom w:val="0"/>
          <w:divBdr>
            <w:top w:val="none" w:sz="0" w:space="0" w:color="auto"/>
            <w:left w:val="none" w:sz="0" w:space="0" w:color="auto"/>
            <w:bottom w:val="none" w:sz="0" w:space="0" w:color="auto"/>
            <w:right w:val="none" w:sz="0" w:space="0" w:color="auto"/>
          </w:divBdr>
          <w:divsChild>
            <w:div w:id="161775089">
              <w:marLeft w:val="0"/>
              <w:marRight w:val="0"/>
              <w:marTop w:val="0"/>
              <w:marBottom w:val="0"/>
              <w:divBdr>
                <w:top w:val="none" w:sz="0" w:space="0" w:color="auto"/>
                <w:left w:val="none" w:sz="0" w:space="0" w:color="auto"/>
                <w:bottom w:val="none" w:sz="0" w:space="0" w:color="auto"/>
                <w:right w:val="none" w:sz="0" w:space="0" w:color="auto"/>
              </w:divBdr>
            </w:div>
            <w:div w:id="283730281">
              <w:marLeft w:val="0"/>
              <w:marRight w:val="0"/>
              <w:marTop w:val="0"/>
              <w:marBottom w:val="0"/>
              <w:divBdr>
                <w:top w:val="none" w:sz="0" w:space="0" w:color="auto"/>
                <w:left w:val="none" w:sz="0" w:space="0" w:color="auto"/>
                <w:bottom w:val="none" w:sz="0" w:space="0" w:color="auto"/>
                <w:right w:val="none" w:sz="0" w:space="0" w:color="auto"/>
              </w:divBdr>
            </w:div>
            <w:div w:id="400182768">
              <w:marLeft w:val="0"/>
              <w:marRight w:val="0"/>
              <w:marTop w:val="0"/>
              <w:marBottom w:val="0"/>
              <w:divBdr>
                <w:top w:val="none" w:sz="0" w:space="0" w:color="auto"/>
                <w:left w:val="none" w:sz="0" w:space="0" w:color="auto"/>
                <w:bottom w:val="none" w:sz="0" w:space="0" w:color="auto"/>
                <w:right w:val="none" w:sz="0" w:space="0" w:color="auto"/>
              </w:divBdr>
            </w:div>
            <w:div w:id="496500880">
              <w:marLeft w:val="0"/>
              <w:marRight w:val="0"/>
              <w:marTop w:val="0"/>
              <w:marBottom w:val="0"/>
              <w:divBdr>
                <w:top w:val="none" w:sz="0" w:space="0" w:color="auto"/>
                <w:left w:val="none" w:sz="0" w:space="0" w:color="auto"/>
                <w:bottom w:val="none" w:sz="0" w:space="0" w:color="auto"/>
                <w:right w:val="none" w:sz="0" w:space="0" w:color="auto"/>
              </w:divBdr>
            </w:div>
            <w:div w:id="565652090">
              <w:marLeft w:val="0"/>
              <w:marRight w:val="0"/>
              <w:marTop w:val="0"/>
              <w:marBottom w:val="0"/>
              <w:divBdr>
                <w:top w:val="none" w:sz="0" w:space="0" w:color="auto"/>
                <w:left w:val="none" w:sz="0" w:space="0" w:color="auto"/>
                <w:bottom w:val="none" w:sz="0" w:space="0" w:color="auto"/>
                <w:right w:val="none" w:sz="0" w:space="0" w:color="auto"/>
              </w:divBdr>
            </w:div>
            <w:div w:id="575869501">
              <w:marLeft w:val="0"/>
              <w:marRight w:val="0"/>
              <w:marTop w:val="0"/>
              <w:marBottom w:val="0"/>
              <w:divBdr>
                <w:top w:val="none" w:sz="0" w:space="0" w:color="auto"/>
                <w:left w:val="none" w:sz="0" w:space="0" w:color="auto"/>
                <w:bottom w:val="none" w:sz="0" w:space="0" w:color="auto"/>
                <w:right w:val="none" w:sz="0" w:space="0" w:color="auto"/>
              </w:divBdr>
            </w:div>
            <w:div w:id="692413527">
              <w:marLeft w:val="0"/>
              <w:marRight w:val="0"/>
              <w:marTop w:val="0"/>
              <w:marBottom w:val="0"/>
              <w:divBdr>
                <w:top w:val="none" w:sz="0" w:space="0" w:color="auto"/>
                <w:left w:val="none" w:sz="0" w:space="0" w:color="auto"/>
                <w:bottom w:val="none" w:sz="0" w:space="0" w:color="auto"/>
                <w:right w:val="none" w:sz="0" w:space="0" w:color="auto"/>
              </w:divBdr>
            </w:div>
            <w:div w:id="880167269">
              <w:marLeft w:val="0"/>
              <w:marRight w:val="0"/>
              <w:marTop w:val="0"/>
              <w:marBottom w:val="0"/>
              <w:divBdr>
                <w:top w:val="none" w:sz="0" w:space="0" w:color="auto"/>
                <w:left w:val="none" w:sz="0" w:space="0" w:color="auto"/>
                <w:bottom w:val="none" w:sz="0" w:space="0" w:color="auto"/>
                <w:right w:val="none" w:sz="0" w:space="0" w:color="auto"/>
              </w:divBdr>
            </w:div>
            <w:div w:id="928543089">
              <w:marLeft w:val="0"/>
              <w:marRight w:val="0"/>
              <w:marTop w:val="0"/>
              <w:marBottom w:val="0"/>
              <w:divBdr>
                <w:top w:val="none" w:sz="0" w:space="0" w:color="auto"/>
                <w:left w:val="none" w:sz="0" w:space="0" w:color="auto"/>
                <w:bottom w:val="none" w:sz="0" w:space="0" w:color="auto"/>
                <w:right w:val="none" w:sz="0" w:space="0" w:color="auto"/>
              </w:divBdr>
            </w:div>
            <w:div w:id="1157184420">
              <w:marLeft w:val="0"/>
              <w:marRight w:val="0"/>
              <w:marTop w:val="0"/>
              <w:marBottom w:val="0"/>
              <w:divBdr>
                <w:top w:val="none" w:sz="0" w:space="0" w:color="auto"/>
                <w:left w:val="none" w:sz="0" w:space="0" w:color="auto"/>
                <w:bottom w:val="none" w:sz="0" w:space="0" w:color="auto"/>
                <w:right w:val="none" w:sz="0" w:space="0" w:color="auto"/>
              </w:divBdr>
            </w:div>
            <w:div w:id="1394041100">
              <w:marLeft w:val="0"/>
              <w:marRight w:val="0"/>
              <w:marTop w:val="0"/>
              <w:marBottom w:val="0"/>
              <w:divBdr>
                <w:top w:val="none" w:sz="0" w:space="0" w:color="auto"/>
                <w:left w:val="none" w:sz="0" w:space="0" w:color="auto"/>
                <w:bottom w:val="none" w:sz="0" w:space="0" w:color="auto"/>
                <w:right w:val="none" w:sz="0" w:space="0" w:color="auto"/>
              </w:divBdr>
            </w:div>
            <w:div w:id="1880435508">
              <w:marLeft w:val="0"/>
              <w:marRight w:val="0"/>
              <w:marTop w:val="0"/>
              <w:marBottom w:val="0"/>
              <w:divBdr>
                <w:top w:val="none" w:sz="0" w:space="0" w:color="auto"/>
                <w:left w:val="none" w:sz="0" w:space="0" w:color="auto"/>
                <w:bottom w:val="none" w:sz="0" w:space="0" w:color="auto"/>
                <w:right w:val="none" w:sz="0" w:space="0" w:color="auto"/>
              </w:divBdr>
            </w:div>
            <w:div w:id="1943101434">
              <w:marLeft w:val="0"/>
              <w:marRight w:val="0"/>
              <w:marTop w:val="0"/>
              <w:marBottom w:val="0"/>
              <w:divBdr>
                <w:top w:val="none" w:sz="0" w:space="0" w:color="auto"/>
                <w:left w:val="none" w:sz="0" w:space="0" w:color="auto"/>
                <w:bottom w:val="none" w:sz="0" w:space="0" w:color="auto"/>
                <w:right w:val="none" w:sz="0" w:space="0" w:color="auto"/>
              </w:divBdr>
            </w:div>
          </w:divsChild>
        </w:div>
        <w:div w:id="1932346312">
          <w:marLeft w:val="0"/>
          <w:marRight w:val="0"/>
          <w:marTop w:val="0"/>
          <w:marBottom w:val="0"/>
          <w:divBdr>
            <w:top w:val="none" w:sz="0" w:space="0" w:color="auto"/>
            <w:left w:val="none" w:sz="0" w:space="0" w:color="auto"/>
            <w:bottom w:val="none" w:sz="0" w:space="0" w:color="auto"/>
            <w:right w:val="none" w:sz="0" w:space="0" w:color="auto"/>
          </w:divBdr>
          <w:divsChild>
            <w:div w:id="37626401">
              <w:marLeft w:val="0"/>
              <w:marRight w:val="0"/>
              <w:marTop w:val="0"/>
              <w:marBottom w:val="0"/>
              <w:divBdr>
                <w:top w:val="none" w:sz="0" w:space="0" w:color="auto"/>
                <w:left w:val="none" w:sz="0" w:space="0" w:color="auto"/>
                <w:bottom w:val="none" w:sz="0" w:space="0" w:color="auto"/>
                <w:right w:val="none" w:sz="0" w:space="0" w:color="auto"/>
              </w:divBdr>
            </w:div>
            <w:div w:id="109208281">
              <w:marLeft w:val="0"/>
              <w:marRight w:val="0"/>
              <w:marTop w:val="0"/>
              <w:marBottom w:val="0"/>
              <w:divBdr>
                <w:top w:val="none" w:sz="0" w:space="0" w:color="auto"/>
                <w:left w:val="none" w:sz="0" w:space="0" w:color="auto"/>
                <w:bottom w:val="none" w:sz="0" w:space="0" w:color="auto"/>
                <w:right w:val="none" w:sz="0" w:space="0" w:color="auto"/>
              </w:divBdr>
            </w:div>
            <w:div w:id="161165825">
              <w:marLeft w:val="0"/>
              <w:marRight w:val="0"/>
              <w:marTop w:val="0"/>
              <w:marBottom w:val="0"/>
              <w:divBdr>
                <w:top w:val="none" w:sz="0" w:space="0" w:color="auto"/>
                <w:left w:val="none" w:sz="0" w:space="0" w:color="auto"/>
                <w:bottom w:val="none" w:sz="0" w:space="0" w:color="auto"/>
                <w:right w:val="none" w:sz="0" w:space="0" w:color="auto"/>
              </w:divBdr>
            </w:div>
            <w:div w:id="161437550">
              <w:marLeft w:val="0"/>
              <w:marRight w:val="0"/>
              <w:marTop w:val="0"/>
              <w:marBottom w:val="0"/>
              <w:divBdr>
                <w:top w:val="none" w:sz="0" w:space="0" w:color="auto"/>
                <w:left w:val="none" w:sz="0" w:space="0" w:color="auto"/>
                <w:bottom w:val="none" w:sz="0" w:space="0" w:color="auto"/>
                <w:right w:val="none" w:sz="0" w:space="0" w:color="auto"/>
              </w:divBdr>
            </w:div>
            <w:div w:id="178007924">
              <w:marLeft w:val="0"/>
              <w:marRight w:val="0"/>
              <w:marTop w:val="0"/>
              <w:marBottom w:val="0"/>
              <w:divBdr>
                <w:top w:val="none" w:sz="0" w:space="0" w:color="auto"/>
                <w:left w:val="none" w:sz="0" w:space="0" w:color="auto"/>
                <w:bottom w:val="none" w:sz="0" w:space="0" w:color="auto"/>
                <w:right w:val="none" w:sz="0" w:space="0" w:color="auto"/>
              </w:divBdr>
            </w:div>
            <w:div w:id="591160636">
              <w:marLeft w:val="0"/>
              <w:marRight w:val="0"/>
              <w:marTop w:val="0"/>
              <w:marBottom w:val="0"/>
              <w:divBdr>
                <w:top w:val="none" w:sz="0" w:space="0" w:color="auto"/>
                <w:left w:val="none" w:sz="0" w:space="0" w:color="auto"/>
                <w:bottom w:val="none" w:sz="0" w:space="0" w:color="auto"/>
                <w:right w:val="none" w:sz="0" w:space="0" w:color="auto"/>
              </w:divBdr>
            </w:div>
            <w:div w:id="785851599">
              <w:marLeft w:val="0"/>
              <w:marRight w:val="0"/>
              <w:marTop w:val="0"/>
              <w:marBottom w:val="0"/>
              <w:divBdr>
                <w:top w:val="none" w:sz="0" w:space="0" w:color="auto"/>
                <w:left w:val="none" w:sz="0" w:space="0" w:color="auto"/>
                <w:bottom w:val="none" w:sz="0" w:space="0" w:color="auto"/>
                <w:right w:val="none" w:sz="0" w:space="0" w:color="auto"/>
              </w:divBdr>
            </w:div>
            <w:div w:id="839540973">
              <w:marLeft w:val="0"/>
              <w:marRight w:val="0"/>
              <w:marTop w:val="0"/>
              <w:marBottom w:val="0"/>
              <w:divBdr>
                <w:top w:val="none" w:sz="0" w:space="0" w:color="auto"/>
                <w:left w:val="none" w:sz="0" w:space="0" w:color="auto"/>
                <w:bottom w:val="none" w:sz="0" w:space="0" w:color="auto"/>
                <w:right w:val="none" w:sz="0" w:space="0" w:color="auto"/>
              </w:divBdr>
            </w:div>
            <w:div w:id="989867471">
              <w:marLeft w:val="0"/>
              <w:marRight w:val="0"/>
              <w:marTop w:val="0"/>
              <w:marBottom w:val="0"/>
              <w:divBdr>
                <w:top w:val="none" w:sz="0" w:space="0" w:color="auto"/>
                <w:left w:val="none" w:sz="0" w:space="0" w:color="auto"/>
                <w:bottom w:val="none" w:sz="0" w:space="0" w:color="auto"/>
                <w:right w:val="none" w:sz="0" w:space="0" w:color="auto"/>
              </w:divBdr>
            </w:div>
            <w:div w:id="1161507310">
              <w:marLeft w:val="0"/>
              <w:marRight w:val="0"/>
              <w:marTop w:val="0"/>
              <w:marBottom w:val="0"/>
              <w:divBdr>
                <w:top w:val="none" w:sz="0" w:space="0" w:color="auto"/>
                <w:left w:val="none" w:sz="0" w:space="0" w:color="auto"/>
                <w:bottom w:val="none" w:sz="0" w:space="0" w:color="auto"/>
                <w:right w:val="none" w:sz="0" w:space="0" w:color="auto"/>
              </w:divBdr>
            </w:div>
            <w:div w:id="1181550230">
              <w:marLeft w:val="0"/>
              <w:marRight w:val="0"/>
              <w:marTop w:val="0"/>
              <w:marBottom w:val="0"/>
              <w:divBdr>
                <w:top w:val="none" w:sz="0" w:space="0" w:color="auto"/>
                <w:left w:val="none" w:sz="0" w:space="0" w:color="auto"/>
                <w:bottom w:val="none" w:sz="0" w:space="0" w:color="auto"/>
                <w:right w:val="none" w:sz="0" w:space="0" w:color="auto"/>
              </w:divBdr>
            </w:div>
            <w:div w:id="1211530286">
              <w:marLeft w:val="0"/>
              <w:marRight w:val="0"/>
              <w:marTop w:val="0"/>
              <w:marBottom w:val="0"/>
              <w:divBdr>
                <w:top w:val="none" w:sz="0" w:space="0" w:color="auto"/>
                <w:left w:val="none" w:sz="0" w:space="0" w:color="auto"/>
                <w:bottom w:val="none" w:sz="0" w:space="0" w:color="auto"/>
                <w:right w:val="none" w:sz="0" w:space="0" w:color="auto"/>
              </w:divBdr>
            </w:div>
            <w:div w:id="1300258307">
              <w:marLeft w:val="0"/>
              <w:marRight w:val="0"/>
              <w:marTop w:val="0"/>
              <w:marBottom w:val="0"/>
              <w:divBdr>
                <w:top w:val="none" w:sz="0" w:space="0" w:color="auto"/>
                <w:left w:val="none" w:sz="0" w:space="0" w:color="auto"/>
                <w:bottom w:val="none" w:sz="0" w:space="0" w:color="auto"/>
                <w:right w:val="none" w:sz="0" w:space="0" w:color="auto"/>
              </w:divBdr>
            </w:div>
            <w:div w:id="1374882863">
              <w:marLeft w:val="0"/>
              <w:marRight w:val="0"/>
              <w:marTop w:val="0"/>
              <w:marBottom w:val="0"/>
              <w:divBdr>
                <w:top w:val="none" w:sz="0" w:space="0" w:color="auto"/>
                <w:left w:val="none" w:sz="0" w:space="0" w:color="auto"/>
                <w:bottom w:val="none" w:sz="0" w:space="0" w:color="auto"/>
                <w:right w:val="none" w:sz="0" w:space="0" w:color="auto"/>
              </w:divBdr>
            </w:div>
            <w:div w:id="1545173032">
              <w:marLeft w:val="0"/>
              <w:marRight w:val="0"/>
              <w:marTop w:val="0"/>
              <w:marBottom w:val="0"/>
              <w:divBdr>
                <w:top w:val="none" w:sz="0" w:space="0" w:color="auto"/>
                <w:left w:val="none" w:sz="0" w:space="0" w:color="auto"/>
                <w:bottom w:val="none" w:sz="0" w:space="0" w:color="auto"/>
                <w:right w:val="none" w:sz="0" w:space="0" w:color="auto"/>
              </w:divBdr>
            </w:div>
            <w:div w:id="1695227106">
              <w:marLeft w:val="0"/>
              <w:marRight w:val="0"/>
              <w:marTop w:val="0"/>
              <w:marBottom w:val="0"/>
              <w:divBdr>
                <w:top w:val="none" w:sz="0" w:space="0" w:color="auto"/>
                <w:left w:val="none" w:sz="0" w:space="0" w:color="auto"/>
                <w:bottom w:val="none" w:sz="0" w:space="0" w:color="auto"/>
                <w:right w:val="none" w:sz="0" w:space="0" w:color="auto"/>
              </w:divBdr>
            </w:div>
            <w:div w:id="1712730474">
              <w:marLeft w:val="0"/>
              <w:marRight w:val="0"/>
              <w:marTop w:val="0"/>
              <w:marBottom w:val="0"/>
              <w:divBdr>
                <w:top w:val="none" w:sz="0" w:space="0" w:color="auto"/>
                <w:left w:val="none" w:sz="0" w:space="0" w:color="auto"/>
                <w:bottom w:val="none" w:sz="0" w:space="0" w:color="auto"/>
                <w:right w:val="none" w:sz="0" w:space="0" w:color="auto"/>
              </w:divBdr>
            </w:div>
            <w:div w:id="193215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7293">
      <w:bodyDiv w:val="1"/>
      <w:marLeft w:val="0"/>
      <w:marRight w:val="0"/>
      <w:marTop w:val="0"/>
      <w:marBottom w:val="0"/>
      <w:divBdr>
        <w:top w:val="none" w:sz="0" w:space="0" w:color="auto"/>
        <w:left w:val="none" w:sz="0" w:space="0" w:color="auto"/>
        <w:bottom w:val="none" w:sz="0" w:space="0" w:color="auto"/>
        <w:right w:val="none" w:sz="0" w:space="0" w:color="auto"/>
      </w:divBdr>
    </w:div>
    <w:div w:id="2031183385">
      <w:bodyDiv w:val="1"/>
      <w:marLeft w:val="0"/>
      <w:marRight w:val="0"/>
      <w:marTop w:val="0"/>
      <w:marBottom w:val="0"/>
      <w:divBdr>
        <w:top w:val="none" w:sz="0" w:space="0" w:color="auto"/>
        <w:left w:val="none" w:sz="0" w:space="0" w:color="auto"/>
        <w:bottom w:val="none" w:sz="0" w:space="0" w:color="auto"/>
        <w:right w:val="none" w:sz="0" w:space="0" w:color="auto"/>
      </w:divBdr>
      <w:divsChild>
        <w:div w:id="662054244">
          <w:marLeft w:val="0"/>
          <w:marRight w:val="0"/>
          <w:marTop w:val="0"/>
          <w:marBottom w:val="0"/>
          <w:divBdr>
            <w:top w:val="none" w:sz="0" w:space="0" w:color="auto"/>
            <w:left w:val="none" w:sz="0" w:space="0" w:color="auto"/>
            <w:bottom w:val="none" w:sz="0" w:space="0" w:color="auto"/>
            <w:right w:val="none" w:sz="0" w:space="0" w:color="auto"/>
          </w:divBdr>
          <w:divsChild>
            <w:div w:id="54937580">
              <w:marLeft w:val="0"/>
              <w:marRight w:val="0"/>
              <w:marTop w:val="0"/>
              <w:marBottom w:val="0"/>
              <w:divBdr>
                <w:top w:val="none" w:sz="0" w:space="0" w:color="auto"/>
                <w:left w:val="none" w:sz="0" w:space="0" w:color="auto"/>
                <w:bottom w:val="none" w:sz="0" w:space="0" w:color="auto"/>
                <w:right w:val="none" w:sz="0" w:space="0" w:color="auto"/>
              </w:divBdr>
            </w:div>
            <w:div w:id="685643208">
              <w:marLeft w:val="0"/>
              <w:marRight w:val="0"/>
              <w:marTop w:val="0"/>
              <w:marBottom w:val="0"/>
              <w:divBdr>
                <w:top w:val="none" w:sz="0" w:space="0" w:color="auto"/>
                <w:left w:val="none" w:sz="0" w:space="0" w:color="auto"/>
                <w:bottom w:val="none" w:sz="0" w:space="0" w:color="auto"/>
                <w:right w:val="none" w:sz="0" w:space="0" w:color="auto"/>
              </w:divBdr>
            </w:div>
            <w:div w:id="1075519492">
              <w:marLeft w:val="0"/>
              <w:marRight w:val="0"/>
              <w:marTop w:val="0"/>
              <w:marBottom w:val="0"/>
              <w:divBdr>
                <w:top w:val="none" w:sz="0" w:space="0" w:color="auto"/>
                <w:left w:val="none" w:sz="0" w:space="0" w:color="auto"/>
                <w:bottom w:val="none" w:sz="0" w:space="0" w:color="auto"/>
                <w:right w:val="none" w:sz="0" w:space="0" w:color="auto"/>
              </w:divBdr>
            </w:div>
            <w:div w:id="1480227955">
              <w:marLeft w:val="0"/>
              <w:marRight w:val="0"/>
              <w:marTop w:val="0"/>
              <w:marBottom w:val="0"/>
              <w:divBdr>
                <w:top w:val="none" w:sz="0" w:space="0" w:color="auto"/>
                <w:left w:val="none" w:sz="0" w:space="0" w:color="auto"/>
                <w:bottom w:val="none" w:sz="0" w:space="0" w:color="auto"/>
                <w:right w:val="none" w:sz="0" w:space="0" w:color="auto"/>
              </w:divBdr>
            </w:div>
            <w:div w:id="1558125201">
              <w:marLeft w:val="0"/>
              <w:marRight w:val="0"/>
              <w:marTop w:val="0"/>
              <w:marBottom w:val="0"/>
              <w:divBdr>
                <w:top w:val="none" w:sz="0" w:space="0" w:color="auto"/>
                <w:left w:val="none" w:sz="0" w:space="0" w:color="auto"/>
                <w:bottom w:val="none" w:sz="0" w:space="0" w:color="auto"/>
                <w:right w:val="none" w:sz="0" w:space="0" w:color="auto"/>
              </w:divBdr>
            </w:div>
            <w:div w:id="2042589636">
              <w:marLeft w:val="0"/>
              <w:marRight w:val="0"/>
              <w:marTop w:val="0"/>
              <w:marBottom w:val="0"/>
              <w:divBdr>
                <w:top w:val="none" w:sz="0" w:space="0" w:color="auto"/>
                <w:left w:val="none" w:sz="0" w:space="0" w:color="auto"/>
                <w:bottom w:val="none" w:sz="0" w:space="0" w:color="auto"/>
                <w:right w:val="none" w:sz="0" w:space="0" w:color="auto"/>
              </w:divBdr>
            </w:div>
          </w:divsChild>
        </w:div>
        <w:div w:id="677579291">
          <w:marLeft w:val="0"/>
          <w:marRight w:val="0"/>
          <w:marTop w:val="0"/>
          <w:marBottom w:val="0"/>
          <w:divBdr>
            <w:top w:val="none" w:sz="0" w:space="0" w:color="auto"/>
            <w:left w:val="none" w:sz="0" w:space="0" w:color="auto"/>
            <w:bottom w:val="none" w:sz="0" w:space="0" w:color="auto"/>
            <w:right w:val="none" w:sz="0" w:space="0" w:color="auto"/>
          </w:divBdr>
          <w:divsChild>
            <w:div w:id="179469145">
              <w:marLeft w:val="0"/>
              <w:marRight w:val="0"/>
              <w:marTop w:val="0"/>
              <w:marBottom w:val="0"/>
              <w:divBdr>
                <w:top w:val="none" w:sz="0" w:space="0" w:color="auto"/>
                <w:left w:val="none" w:sz="0" w:space="0" w:color="auto"/>
                <w:bottom w:val="none" w:sz="0" w:space="0" w:color="auto"/>
                <w:right w:val="none" w:sz="0" w:space="0" w:color="auto"/>
              </w:divBdr>
            </w:div>
            <w:div w:id="202521789">
              <w:marLeft w:val="0"/>
              <w:marRight w:val="0"/>
              <w:marTop w:val="0"/>
              <w:marBottom w:val="0"/>
              <w:divBdr>
                <w:top w:val="none" w:sz="0" w:space="0" w:color="auto"/>
                <w:left w:val="none" w:sz="0" w:space="0" w:color="auto"/>
                <w:bottom w:val="none" w:sz="0" w:space="0" w:color="auto"/>
                <w:right w:val="none" w:sz="0" w:space="0" w:color="auto"/>
              </w:divBdr>
            </w:div>
            <w:div w:id="272907513">
              <w:marLeft w:val="0"/>
              <w:marRight w:val="0"/>
              <w:marTop w:val="0"/>
              <w:marBottom w:val="0"/>
              <w:divBdr>
                <w:top w:val="none" w:sz="0" w:space="0" w:color="auto"/>
                <w:left w:val="none" w:sz="0" w:space="0" w:color="auto"/>
                <w:bottom w:val="none" w:sz="0" w:space="0" w:color="auto"/>
                <w:right w:val="none" w:sz="0" w:space="0" w:color="auto"/>
              </w:divBdr>
            </w:div>
            <w:div w:id="327564467">
              <w:marLeft w:val="0"/>
              <w:marRight w:val="0"/>
              <w:marTop w:val="0"/>
              <w:marBottom w:val="0"/>
              <w:divBdr>
                <w:top w:val="none" w:sz="0" w:space="0" w:color="auto"/>
                <w:left w:val="none" w:sz="0" w:space="0" w:color="auto"/>
                <w:bottom w:val="none" w:sz="0" w:space="0" w:color="auto"/>
                <w:right w:val="none" w:sz="0" w:space="0" w:color="auto"/>
              </w:divBdr>
            </w:div>
            <w:div w:id="497961400">
              <w:marLeft w:val="0"/>
              <w:marRight w:val="0"/>
              <w:marTop w:val="0"/>
              <w:marBottom w:val="0"/>
              <w:divBdr>
                <w:top w:val="none" w:sz="0" w:space="0" w:color="auto"/>
                <w:left w:val="none" w:sz="0" w:space="0" w:color="auto"/>
                <w:bottom w:val="none" w:sz="0" w:space="0" w:color="auto"/>
                <w:right w:val="none" w:sz="0" w:space="0" w:color="auto"/>
              </w:divBdr>
            </w:div>
            <w:div w:id="594166360">
              <w:marLeft w:val="0"/>
              <w:marRight w:val="0"/>
              <w:marTop w:val="0"/>
              <w:marBottom w:val="0"/>
              <w:divBdr>
                <w:top w:val="none" w:sz="0" w:space="0" w:color="auto"/>
                <w:left w:val="none" w:sz="0" w:space="0" w:color="auto"/>
                <w:bottom w:val="none" w:sz="0" w:space="0" w:color="auto"/>
                <w:right w:val="none" w:sz="0" w:space="0" w:color="auto"/>
              </w:divBdr>
            </w:div>
            <w:div w:id="616067003">
              <w:marLeft w:val="0"/>
              <w:marRight w:val="0"/>
              <w:marTop w:val="0"/>
              <w:marBottom w:val="0"/>
              <w:divBdr>
                <w:top w:val="none" w:sz="0" w:space="0" w:color="auto"/>
                <w:left w:val="none" w:sz="0" w:space="0" w:color="auto"/>
                <w:bottom w:val="none" w:sz="0" w:space="0" w:color="auto"/>
                <w:right w:val="none" w:sz="0" w:space="0" w:color="auto"/>
              </w:divBdr>
            </w:div>
            <w:div w:id="818155726">
              <w:marLeft w:val="0"/>
              <w:marRight w:val="0"/>
              <w:marTop w:val="0"/>
              <w:marBottom w:val="0"/>
              <w:divBdr>
                <w:top w:val="none" w:sz="0" w:space="0" w:color="auto"/>
                <w:left w:val="none" w:sz="0" w:space="0" w:color="auto"/>
                <w:bottom w:val="none" w:sz="0" w:space="0" w:color="auto"/>
                <w:right w:val="none" w:sz="0" w:space="0" w:color="auto"/>
              </w:divBdr>
            </w:div>
            <w:div w:id="836069345">
              <w:marLeft w:val="0"/>
              <w:marRight w:val="0"/>
              <w:marTop w:val="0"/>
              <w:marBottom w:val="0"/>
              <w:divBdr>
                <w:top w:val="none" w:sz="0" w:space="0" w:color="auto"/>
                <w:left w:val="none" w:sz="0" w:space="0" w:color="auto"/>
                <w:bottom w:val="none" w:sz="0" w:space="0" w:color="auto"/>
                <w:right w:val="none" w:sz="0" w:space="0" w:color="auto"/>
              </w:divBdr>
            </w:div>
            <w:div w:id="954217494">
              <w:marLeft w:val="0"/>
              <w:marRight w:val="0"/>
              <w:marTop w:val="0"/>
              <w:marBottom w:val="0"/>
              <w:divBdr>
                <w:top w:val="none" w:sz="0" w:space="0" w:color="auto"/>
                <w:left w:val="none" w:sz="0" w:space="0" w:color="auto"/>
                <w:bottom w:val="none" w:sz="0" w:space="0" w:color="auto"/>
                <w:right w:val="none" w:sz="0" w:space="0" w:color="auto"/>
              </w:divBdr>
            </w:div>
            <w:div w:id="1093017610">
              <w:marLeft w:val="0"/>
              <w:marRight w:val="0"/>
              <w:marTop w:val="0"/>
              <w:marBottom w:val="0"/>
              <w:divBdr>
                <w:top w:val="none" w:sz="0" w:space="0" w:color="auto"/>
                <w:left w:val="none" w:sz="0" w:space="0" w:color="auto"/>
                <w:bottom w:val="none" w:sz="0" w:space="0" w:color="auto"/>
                <w:right w:val="none" w:sz="0" w:space="0" w:color="auto"/>
              </w:divBdr>
            </w:div>
            <w:div w:id="1117723975">
              <w:marLeft w:val="0"/>
              <w:marRight w:val="0"/>
              <w:marTop w:val="0"/>
              <w:marBottom w:val="0"/>
              <w:divBdr>
                <w:top w:val="none" w:sz="0" w:space="0" w:color="auto"/>
                <w:left w:val="none" w:sz="0" w:space="0" w:color="auto"/>
                <w:bottom w:val="none" w:sz="0" w:space="0" w:color="auto"/>
                <w:right w:val="none" w:sz="0" w:space="0" w:color="auto"/>
              </w:divBdr>
            </w:div>
            <w:div w:id="1162086929">
              <w:marLeft w:val="0"/>
              <w:marRight w:val="0"/>
              <w:marTop w:val="0"/>
              <w:marBottom w:val="0"/>
              <w:divBdr>
                <w:top w:val="none" w:sz="0" w:space="0" w:color="auto"/>
                <w:left w:val="none" w:sz="0" w:space="0" w:color="auto"/>
                <w:bottom w:val="none" w:sz="0" w:space="0" w:color="auto"/>
                <w:right w:val="none" w:sz="0" w:space="0" w:color="auto"/>
              </w:divBdr>
            </w:div>
            <w:div w:id="1302266715">
              <w:marLeft w:val="0"/>
              <w:marRight w:val="0"/>
              <w:marTop w:val="0"/>
              <w:marBottom w:val="0"/>
              <w:divBdr>
                <w:top w:val="none" w:sz="0" w:space="0" w:color="auto"/>
                <w:left w:val="none" w:sz="0" w:space="0" w:color="auto"/>
                <w:bottom w:val="none" w:sz="0" w:space="0" w:color="auto"/>
                <w:right w:val="none" w:sz="0" w:space="0" w:color="auto"/>
              </w:divBdr>
            </w:div>
            <w:div w:id="1351688569">
              <w:marLeft w:val="0"/>
              <w:marRight w:val="0"/>
              <w:marTop w:val="0"/>
              <w:marBottom w:val="0"/>
              <w:divBdr>
                <w:top w:val="none" w:sz="0" w:space="0" w:color="auto"/>
                <w:left w:val="none" w:sz="0" w:space="0" w:color="auto"/>
                <w:bottom w:val="none" w:sz="0" w:space="0" w:color="auto"/>
                <w:right w:val="none" w:sz="0" w:space="0" w:color="auto"/>
              </w:divBdr>
            </w:div>
            <w:div w:id="1700469820">
              <w:marLeft w:val="0"/>
              <w:marRight w:val="0"/>
              <w:marTop w:val="0"/>
              <w:marBottom w:val="0"/>
              <w:divBdr>
                <w:top w:val="none" w:sz="0" w:space="0" w:color="auto"/>
                <w:left w:val="none" w:sz="0" w:space="0" w:color="auto"/>
                <w:bottom w:val="none" w:sz="0" w:space="0" w:color="auto"/>
                <w:right w:val="none" w:sz="0" w:space="0" w:color="auto"/>
              </w:divBdr>
            </w:div>
            <w:div w:id="1998459934">
              <w:marLeft w:val="0"/>
              <w:marRight w:val="0"/>
              <w:marTop w:val="0"/>
              <w:marBottom w:val="0"/>
              <w:divBdr>
                <w:top w:val="none" w:sz="0" w:space="0" w:color="auto"/>
                <w:left w:val="none" w:sz="0" w:space="0" w:color="auto"/>
                <w:bottom w:val="none" w:sz="0" w:space="0" w:color="auto"/>
                <w:right w:val="none" w:sz="0" w:space="0" w:color="auto"/>
              </w:divBdr>
            </w:div>
          </w:divsChild>
        </w:div>
        <w:div w:id="2075856219">
          <w:marLeft w:val="0"/>
          <w:marRight w:val="0"/>
          <w:marTop w:val="0"/>
          <w:marBottom w:val="0"/>
          <w:divBdr>
            <w:top w:val="none" w:sz="0" w:space="0" w:color="auto"/>
            <w:left w:val="none" w:sz="0" w:space="0" w:color="auto"/>
            <w:bottom w:val="none" w:sz="0" w:space="0" w:color="auto"/>
            <w:right w:val="none" w:sz="0" w:space="0" w:color="auto"/>
          </w:divBdr>
          <w:divsChild>
            <w:div w:id="244531949">
              <w:marLeft w:val="0"/>
              <w:marRight w:val="0"/>
              <w:marTop w:val="0"/>
              <w:marBottom w:val="0"/>
              <w:divBdr>
                <w:top w:val="none" w:sz="0" w:space="0" w:color="auto"/>
                <w:left w:val="none" w:sz="0" w:space="0" w:color="auto"/>
                <w:bottom w:val="none" w:sz="0" w:space="0" w:color="auto"/>
                <w:right w:val="none" w:sz="0" w:space="0" w:color="auto"/>
              </w:divBdr>
            </w:div>
            <w:div w:id="301807869">
              <w:marLeft w:val="0"/>
              <w:marRight w:val="0"/>
              <w:marTop w:val="0"/>
              <w:marBottom w:val="0"/>
              <w:divBdr>
                <w:top w:val="none" w:sz="0" w:space="0" w:color="auto"/>
                <w:left w:val="none" w:sz="0" w:space="0" w:color="auto"/>
                <w:bottom w:val="none" w:sz="0" w:space="0" w:color="auto"/>
                <w:right w:val="none" w:sz="0" w:space="0" w:color="auto"/>
              </w:divBdr>
            </w:div>
            <w:div w:id="386301848">
              <w:marLeft w:val="0"/>
              <w:marRight w:val="0"/>
              <w:marTop w:val="0"/>
              <w:marBottom w:val="0"/>
              <w:divBdr>
                <w:top w:val="none" w:sz="0" w:space="0" w:color="auto"/>
                <w:left w:val="none" w:sz="0" w:space="0" w:color="auto"/>
                <w:bottom w:val="none" w:sz="0" w:space="0" w:color="auto"/>
                <w:right w:val="none" w:sz="0" w:space="0" w:color="auto"/>
              </w:divBdr>
            </w:div>
            <w:div w:id="722758769">
              <w:marLeft w:val="0"/>
              <w:marRight w:val="0"/>
              <w:marTop w:val="0"/>
              <w:marBottom w:val="0"/>
              <w:divBdr>
                <w:top w:val="none" w:sz="0" w:space="0" w:color="auto"/>
                <w:left w:val="none" w:sz="0" w:space="0" w:color="auto"/>
                <w:bottom w:val="none" w:sz="0" w:space="0" w:color="auto"/>
                <w:right w:val="none" w:sz="0" w:space="0" w:color="auto"/>
              </w:divBdr>
            </w:div>
            <w:div w:id="886382703">
              <w:marLeft w:val="0"/>
              <w:marRight w:val="0"/>
              <w:marTop w:val="0"/>
              <w:marBottom w:val="0"/>
              <w:divBdr>
                <w:top w:val="none" w:sz="0" w:space="0" w:color="auto"/>
                <w:left w:val="none" w:sz="0" w:space="0" w:color="auto"/>
                <w:bottom w:val="none" w:sz="0" w:space="0" w:color="auto"/>
                <w:right w:val="none" w:sz="0" w:space="0" w:color="auto"/>
              </w:divBdr>
            </w:div>
            <w:div w:id="905458500">
              <w:marLeft w:val="0"/>
              <w:marRight w:val="0"/>
              <w:marTop w:val="0"/>
              <w:marBottom w:val="0"/>
              <w:divBdr>
                <w:top w:val="none" w:sz="0" w:space="0" w:color="auto"/>
                <w:left w:val="none" w:sz="0" w:space="0" w:color="auto"/>
                <w:bottom w:val="none" w:sz="0" w:space="0" w:color="auto"/>
                <w:right w:val="none" w:sz="0" w:space="0" w:color="auto"/>
              </w:divBdr>
            </w:div>
            <w:div w:id="962468004">
              <w:marLeft w:val="0"/>
              <w:marRight w:val="0"/>
              <w:marTop w:val="0"/>
              <w:marBottom w:val="0"/>
              <w:divBdr>
                <w:top w:val="none" w:sz="0" w:space="0" w:color="auto"/>
                <w:left w:val="none" w:sz="0" w:space="0" w:color="auto"/>
                <w:bottom w:val="none" w:sz="0" w:space="0" w:color="auto"/>
                <w:right w:val="none" w:sz="0" w:space="0" w:color="auto"/>
              </w:divBdr>
            </w:div>
            <w:div w:id="983269322">
              <w:marLeft w:val="0"/>
              <w:marRight w:val="0"/>
              <w:marTop w:val="0"/>
              <w:marBottom w:val="0"/>
              <w:divBdr>
                <w:top w:val="none" w:sz="0" w:space="0" w:color="auto"/>
                <w:left w:val="none" w:sz="0" w:space="0" w:color="auto"/>
                <w:bottom w:val="none" w:sz="0" w:space="0" w:color="auto"/>
                <w:right w:val="none" w:sz="0" w:space="0" w:color="auto"/>
              </w:divBdr>
            </w:div>
            <w:div w:id="1037049322">
              <w:marLeft w:val="0"/>
              <w:marRight w:val="0"/>
              <w:marTop w:val="0"/>
              <w:marBottom w:val="0"/>
              <w:divBdr>
                <w:top w:val="none" w:sz="0" w:space="0" w:color="auto"/>
                <w:left w:val="none" w:sz="0" w:space="0" w:color="auto"/>
                <w:bottom w:val="none" w:sz="0" w:space="0" w:color="auto"/>
                <w:right w:val="none" w:sz="0" w:space="0" w:color="auto"/>
              </w:divBdr>
            </w:div>
            <w:div w:id="1108543879">
              <w:marLeft w:val="0"/>
              <w:marRight w:val="0"/>
              <w:marTop w:val="0"/>
              <w:marBottom w:val="0"/>
              <w:divBdr>
                <w:top w:val="none" w:sz="0" w:space="0" w:color="auto"/>
                <w:left w:val="none" w:sz="0" w:space="0" w:color="auto"/>
                <w:bottom w:val="none" w:sz="0" w:space="0" w:color="auto"/>
                <w:right w:val="none" w:sz="0" w:space="0" w:color="auto"/>
              </w:divBdr>
            </w:div>
            <w:div w:id="1376346551">
              <w:marLeft w:val="0"/>
              <w:marRight w:val="0"/>
              <w:marTop w:val="0"/>
              <w:marBottom w:val="0"/>
              <w:divBdr>
                <w:top w:val="none" w:sz="0" w:space="0" w:color="auto"/>
                <w:left w:val="none" w:sz="0" w:space="0" w:color="auto"/>
                <w:bottom w:val="none" w:sz="0" w:space="0" w:color="auto"/>
                <w:right w:val="none" w:sz="0" w:space="0" w:color="auto"/>
              </w:divBdr>
            </w:div>
            <w:div w:id="1531798918">
              <w:marLeft w:val="0"/>
              <w:marRight w:val="0"/>
              <w:marTop w:val="0"/>
              <w:marBottom w:val="0"/>
              <w:divBdr>
                <w:top w:val="none" w:sz="0" w:space="0" w:color="auto"/>
                <w:left w:val="none" w:sz="0" w:space="0" w:color="auto"/>
                <w:bottom w:val="none" w:sz="0" w:space="0" w:color="auto"/>
                <w:right w:val="none" w:sz="0" w:space="0" w:color="auto"/>
              </w:divBdr>
            </w:div>
            <w:div w:id="1614743972">
              <w:marLeft w:val="0"/>
              <w:marRight w:val="0"/>
              <w:marTop w:val="0"/>
              <w:marBottom w:val="0"/>
              <w:divBdr>
                <w:top w:val="none" w:sz="0" w:space="0" w:color="auto"/>
                <w:left w:val="none" w:sz="0" w:space="0" w:color="auto"/>
                <w:bottom w:val="none" w:sz="0" w:space="0" w:color="auto"/>
                <w:right w:val="none" w:sz="0" w:space="0" w:color="auto"/>
              </w:divBdr>
            </w:div>
            <w:div w:id="1805661868">
              <w:marLeft w:val="0"/>
              <w:marRight w:val="0"/>
              <w:marTop w:val="0"/>
              <w:marBottom w:val="0"/>
              <w:divBdr>
                <w:top w:val="none" w:sz="0" w:space="0" w:color="auto"/>
                <w:left w:val="none" w:sz="0" w:space="0" w:color="auto"/>
                <w:bottom w:val="none" w:sz="0" w:space="0" w:color="auto"/>
                <w:right w:val="none" w:sz="0" w:space="0" w:color="auto"/>
              </w:divBdr>
            </w:div>
            <w:div w:id="1849326010">
              <w:marLeft w:val="0"/>
              <w:marRight w:val="0"/>
              <w:marTop w:val="0"/>
              <w:marBottom w:val="0"/>
              <w:divBdr>
                <w:top w:val="none" w:sz="0" w:space="0" w:color="auto"/>
                <w:left w:val="none" w:sz="0" w:space="0" w:color="auto"/>
                <w:bottom w:val="none" w:sz="0" w:space="0" w:color="auto"/>
                <w:right w:val="none" w:sz="0" w:space="0" w:color="auto"/>
              </w:divBdr>
            </w:div>
            <w:div w:id="1942684638">
              <w:marLeft w:val="0"/>
              <w:marRight w:val="0"/>
              <w:marTop w:val="0"/>
              <w:marBottom w:val="0"/>
              <w:divBdr>
                <w:top w:val="none" w:sz="0" w:space="0" w:color="auto"/>
                <w:left w:val="none" w:sz="0" w:space="0" w:color="auto"/>
                <w:bottom w:val="none" w:sz="0" w:space="0" w:color="auto"/>
                <w:right w:val="none" w:sz="0" w:space="0" w:color="auto"/>
              </w:divBdr>
            </w:div>
            <w:div w:id="2072540413">
              <w:marLeft w:val="0"/>
              <w:marRight w:val="0"/>
              <w:marTop w:val="0"/>
              <w:marBottom w:val="0"/>
              <w:divBdr>
                <w:top w:val="none" w:sz="0" w:space="0" w:color="auto"/>
                <w:left w:val="none" w:sz="0" w:space="0" w:color="auto"/>
                <w:bottom w:val="none" w:sz="0" w:space="0" w:color="auto"/>
                <w:right w:val="none" w:sz="0" w:space="0" w:color="auto"/>
              </w:divBdr>
            </w:div>
            <w:div w:id="2077243329">
              <w:marLeft w:val="0"/>
              <w:marRight w:val="0"/>
              <w:marTop w:val="0"/>
              <w:marBottom w:val="0"/>
              <w:divBdr>
                <w:top w:val="none" w:sz="0" w:space="0" w:color="auto"/>
                <w:left w:val="none" w:sz="0" w:space="0" w:color="auto"/>
                <w:bottom w:val="none" w:sz="0" w:space="0" w:color="auto"/>
                <w:right w:val="none" w:sz="0" w:space="0" w:color="auto"/>
              </w:divBdr>
            </w:div>
            <w:div w:id="2095780160">
              <w:marLeft w:val="0"/>
              <w:marRight w:val="0"/>
              <w:marTop w:val="0"/>
              <w:marBottom w:val="0"/>
              <w:divBdr>
                <w:top w:val="none" w:sz="0" w:space="0" w:color="auto"/>
                <w:left w:val="none" w:sz="0" w:space="0" w:color="auto"/>
                <w:bottom w:val="none" w:sz="0" w:space="0" w:color="auto"/>
                <w:right w:val="none" w:sz="0" w:space="0" w:color="auto"/>
              </w:divBdr>
            </w:div>
            <w:div w:id="21199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12586">
      <w:bodyDiv w:val="1"/>
      <w:marLeft w:val="0"/>
      <w:marRight w:val="0"/>
      <w:marTop w:val="0"/>
      <w:marBottom w:val="0"/>
      <w:divBdr>
        <w:top w:val="none" w:sz="0" w:space="0" w:color="auto"/>
        <w:left w:val="none" w:sz="0" w:space="0" w:color="auto"/>
        <w:bottom w:val="none" w:sz="0" w:space="0" w:color="auto"/>
        <w:right w:val="none" w:sz="0" w:space="0" w:color="auto"/>
      </w:divBdr>
    </w:div>
    <w:div w:id="2105373931">
      <w:bodyDiv w:val="1"/>
      <w:marLeft w:val="0"/>
      <w:marRight w:val="0"/>
      <w:marTop w:val="0"/>
      <w:marBottom w:val="0"/>
      <w:divBdr>
        <w:top w:val="none" w:sz="0" w:space="0" w:color="auto"/>
        <w:left w:val="none" w:sz="0" w:space="0" w:color="auto"/>
        <w:bottom w:val="none" w:sz="0" w:space="0" w:color="auto"/>
        <w:right w:val="none" w:sz="0" w:space="0" w:color="auto"/>
      </w:divBdr>
    </w:div>
    <w:div w:id="2106532080">
      <w:bodyDiv w:val="1"/>
      <w:marLeft w:val="0"/>
      <w:marRight w:val="0"/>
      <w:marTop w:val="0"/>
      <w:marBottom w:val="0"/>
      <w:divBdr>
        <w:top w:val="none" w:sz="0" w:space="0" w:color="auto"/>
        <w:left w:val="none" w:sz="0" w:space="0" w:color="auto"/>
        <w:bottom w:val="none" w:sz="0" w:space="0" w:color="auto"/>
        <w:right w:val="none" w:sz="0" w:space="0" w:color="auto"/>
      </w:divBdr>
      <w:divsChild>
        <w:div w:id="1029528909">
          <w:marLeft w:val="0"/>
          <w:marRight w:val="0"/>
          <w:marTop w:val="0"/>
          <w:marBottom w:val="0"/>
          <w:divBdr>
            <w:top w:val="none" w:sz="0" w:space="0" w:color="auto"/>
            <w:left w:val="none" w:sz="0" w:space="0" w:color="auto"/>
            <w:bottom w:val="none" w:sz="0" w:space="0" w:color="auto"/>
            <w:right w:val="none" w:sz="0" w:space="0" w:color="auto"/>
          </w:divBdr>
          <w:divsChild>
            <w:div w:id="143741602">
              <w:marLeft w:val="0"/>
              <w:marRight w:val="0"/>
              <w:marTop w:val="0"/>
              <w:marBottom w:val="0"/>
              <w:divBdr>
                <w:top w:val="none" w:sz="0" w:space="0" w:color="auto"/>
                <w:left w:val="none" w:sz="0" w:space="0" w:color="auto"/>
                <w:bottom w:val="none" w:sz="0" w:space="0" w:color="auto"/>
                <w:right w:val="none" w:sz="0" w:space="0" w:color="auto"/>
              </w:divBdr>
            </w:div>
            <w:div w:id="361057238">
              <w:marLeft w:val="0"/>
              <w:marRight w:val="0"/>
              <w:marTop w:val="0"/>
              <w:marBottom w:val="0"/>
              <w:divBdr>
                <w:top w:val="none" w:sz="0" w:space="0" w:color="auto"/>
                <w:left w:val="none" w:sz="0" w:space="0" w:color="auto"/>
                <w:bottom w:val="none" w:sz="0" w:space="0" w:color="auto"/>
                <w:right w:val="none" w:sz="0" w:space="0" w:color="auto"/>
              </w:divBdr>
            </w:div>
            <w:div w:id="540243066">
              <w:marLeft w:val="0"/>
              <w:marRight w:val="0"/>
              <w:marTop w:val="0"/>
              <w:marBottom w:val="0"/>
              <w:divBdr>
                <w:top w:val="none" w:sz="0" w:space="0" w:color="auto"/>
                <w:left w:val="none" w:sz="0" w:space="0" w:color="auto"/>
                <w:bottom w:val="none" w:sz="0" w:space="0" w:color="auto"/>
                <w:right w:val="none" w:sz="0" w:space="0" w:color="auto"/>
              </w:divBdr>
            </w:div>
            <w:div w:id="1722636699">
              <w:marLeft w:val="0"/>
              <w:marRight w:val="0"/>
              <w:marTop w:val="0"/>
              <w:marBottom w:val="0"/>
              <w:divBdr>
                <w:top w:val="none" w:sz="0" w:space="0" w:color="auto"/>
                <w:left w:val="none" w:sz="0" w:space="0" w:color="auto"/>
                <w:bottom w:val="none" w:sz="0" w:space="0" w:color="auto"/>
                <w:right w:val="none" w:sz="0" w:space="0" w:color="auto"/>
              </w:divBdr>
            </w:div>
          </w:divsChild>
        </w:div>
        <w:div w:id="1190337883">
          <w:marLeft w:val="0"/>
          <w:marRight w:val="0"/>
          <w:marTop w:val="0"/>
          <w:marBottom w:val="0"/>
          <w:divBdr>
            <w:top w:val="none" w:sz="0" w:space="0" w:color="auto"/>
            <w:left w:val="none" w:sz="0" w:space="0" w:color="auto"/>
            <w:bottom w:val="none" w:sz="0" w:space="0" w:color="auto"/>
            <w:right w:val="none" w:sz="0" w:space="0" w:color="auto"/>
          </w:divBdr>
          <w:divsChild>
            <w:div w:id="797377281">
              <w:marLeft w:val="0"/>
              <w:marRight w:val="0"/>
              <w:marTop w:val="0"/>
              <w:marBottom w:val="0"/>
              <w:divBdr>
                <w:top w:val="none" w:sz="0" w:space="0" w:color="auto"/>
                <w:left w:val="none" w:sz="0" w:space="0" w:color="auto"/>
                <w:bottom w:val="none" w:sz="0" w:space="0" w:color="auto"/>
                <w:right w:val="none" w:sz="0" w:space="0" w:color="auto"/>
              </w:divBdr>
            </w:div>
            <w:div w:id="931202347">
              <w:marLeft w:val="0"/>
              <w:marRight w:val="0"/>
              <w:marTop w:val="0"/>
              <w:marBottom w:val="0"/>
              <w:divBdr>
                <w:top w:val="none" w:sz="0" w:space="0" w:color="auto"/>
                <w:left w:val="none" w:sz="0" w:space="0" w:color="auto"/>
                <w:bottom w:val="none" w:sz="0" w:space="0" w:color="auto"/>
                <w:right w:val="none" w:sz="0" w:space="0" w:color="auto"/>
              </w:divBdr>
            </w:div>
            <w:div w:id="1295020080">
              <w:marLeft w:val="0"/>
              <w:marRight w:val="0"/>
              <w:marTop w:val="0"/>
              <w:marBottom w:val="0"/>
              <w:divBdr>
                <w:top w:val="none" w:sz="0" w:space="0" w:color="auto"/>
                <w:left w:val="none" w:sz="0" w:space="0" w:color="auto"/>
                <w:bottom w:val="none" w:sz="0" w:space="0" w:color="auto"/>
                <w:right w:val="none" w:sz="0" w:space="0" w:color="auto"/>
              </w:divBdr>
            </w:div>
            <w:div w:id="1405100423">
              <w:marLeft w:val="0"/>
              <w:marRight w:val="0"/>
              <w:marTop w:val="0"/>
              <w:marBottom w:val="0"/>
              <w:divBdr>
                <w:top w:val="none" w:sz="0" w:space="0" w:color="auto"/>
                <w:left w:val="none" w:sz="0" w:space="0" w:color="auto"/>
                <w:bottom w:val="none" w:sz="0" w:space="0" w:color="auto"/>
                <w:right w:val="none" w:sz="0" w:space="0" w:color="auto"/>
              </w:divBdr>
            </w:div>
            <w:div w:id="183267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1281">
      <w:bodyDiv w:val="1"/>
      <w:marLeft w:val="0"/>
      <w:marRight w:val="0"/>
      <w:marTop w:val="0"/>
      <w:marBottom w:val="0"/>
      <w:divBdr>
        <w:top w:val="none" w:sz="0" w:space="0" w:color="auto"/>
        <w:left w:val="none" w:sz="0" w:space="0" w:color="auto"/>
        <w:bottom w:val="none" w:sz="0" w:space="0" w:color="auto"/>
        <w:right w:val="none" w:sz="0" w:space="0" w:color="auto"/>
      </w:divBdr>
    </w:div>
    <w:div w:id="213532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emf"/><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image" Target="media/image14.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emf"/><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topics/eu-competitiveness/draghi-report_en" TargetMode="External"/><Relationship Id="rId2" Type="http://schemas.openxmlformats.org/officeDocument/2006/relationships/hyperlink" Target="https://citizens.ec.europa.eu/european-citizens-panel-new-european-budget_fr" TargetMode="External"/><Relationship Id="rId1" Type="http://schemas.openxmlformats.org/officeDocument/2006/relationships/hyperlink" Target="https://ec.europa.eu/info/law/better-regulation/have-your-say/initiatives/14520-EUs-next-long-term-budget-MFF-implementing-EU-funding-with-Member-States-and-regions_fr" TargetMode="External"/><Relationship Id="rId6" Type="http://schemas.openxmlformats.org/officeDocument/2006/relationships/hyperlink" Target="https://www.eca.europa.eu/ECAPublications/AR-2022/AR-2022_FR.pdf" TargetMode="External"/><Relationship Id="rId5" Type="http://schemas.openxmlformats.org/officeDocument/2006/relationships/hyperlink" Target="https://commission.europa.eu/document/download/5bb2881f-9e29-42f2-8b77-8739b19d047c_en?filename=2024_Niinisto-report_Book_VF.pdf" TargetMode="External"/><Relationship Id="rId4" Type="http://schemas.openxmlformats.org/officeDocument/2006/relationships/hyperlink" Target="https://www.consilium.europa.eu/media/ny3j24sm/much-more-than-a-market-report-by-enrico-letta.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dupondo\AppData\Local\Microsoft\Windows\INetCache\Content.Outlook\LO8ZN5VV\SG-2025-01769-05-00-99-FR-TRA-0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954713801652391"/>
          <c:y val="0.111651571382864"/>
          <c:w val="0.67700943666730418"/>
          <c:h val="0.68228817127807317"/>
        </c:manualLayout>
      </c:layout>
      <c:barChart>
        <c:barDir val="col"/>
        <c:grouping val="stacked"/>
        <c:varyColors val="0"/>
        <c:ser>
          <c:idx val="1"/>
          <c:order val="0"/>
          <c:tx>
            <c:strRef>
              <c:f>'Figure 1.1 Programme'!$K$5</c:f>
              <c:strCache>
                <c:ptCount val="1"/>
                <c:pt idx="0">
                  <c:v>Fonds social pour le climat</c:v>
                </c:pt>
              </c:strCache>
            </c:strRef>
          </c:tx>
          <c:spPr>
            <a:pattFill prst="dkUpDiag">
              <a:fgClr>
                <a:schemeClr val="accent1"/>
              </a:fgClr>
              <a:bgClr>
                <a:schemeClr val="bg1"/>
              </a:bgClr>
            </a:pattFill>
            <a:ln>
              <a:noFill/>
            </a:ln>
            <a:effectLst/>
          </c:spPr>
          <c:invertIfNegative val="0"/>
          <c:cat>
            <c:strRef>
              <c:f>'Figure 1.1 Programme'!$L$2</c:f>
              <c:strCache>
                <c:ptCount val="1"/>
                <c:pt idx="0">
                  <c:v>2028-2034</c:v>
                </c:pt>
              </c:strCache>
            </c:strRef>
          </c:cat>
          <c:val>
            <c:numRef>
              <c:f>'Figure 1.1 Programme'!$L$5</c:f>
              <c:numCache>
                <c:formatCode>General</c:formatCode>
                <c:ptCount val="1"/>
                <c:pt idx="0">
                  <c:v>50.099999999436356</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0-678F-4A67-A9F0-0C3840187072}"/>
            </c:ext>
          </c:extLst>
        </c:ser>
        <c:ser>
          <c:idx val="15"/>
          <c:order val="1"/>
          <c:tx>
            <c:strRef>
              <c:f>'Figure 1.1 Programme'!$K$3</c:f>
              <c:strCache>
                <c:ptCount val="1"/>
                <c:pt idx="0">
                  <c:v>Agriculture, Pêche, Fonds de cohésion et Fonds HOME </c:v>
                </c:pt>
              </c:strCache>
            </c:strRef>
          </c:tx>
          <c:spPr>
            <a:solidFill>
              <a:schemeClr val="accent1"/>
            </a:solidFill>
            <a:ln>
              <a:noFill/>
            </a:ln>
            <a:effectLst/>
          </c:spPr>
          <c:invertIfNegative val="0"/>
          <c:cat>
            <c:strRef>
              <c:f>'Figure 1.1 Programme'!$L$2</c:f>
              <c:strCache>
                <c:ptCount val="1"/>
                <c:pt idx="0">
                  <c:v>2028-2034</c:v>
                </c:pt>
              </c:strCache>
            </c:strRef>
          </c:cat>
          <c:val>
            <c:numRef>
              <c:f>'Figure 1.1 Programme'!$L$3</c:f>
              <c:numCache>
                <c:formatCode>General</c:formatCode>
                <c:ptCount val="1"/>
                <c:pt idx="0">
                  <c:v>780.88034021181807</c:v>
                </c:pt>
              </c:numCache>
            </c:numRef>
          </c:val>
          <c:extLst xmlns:c15="http://schemas.microsoft.com/office/drawing/2012/char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678F-4A67-A9F0-0C3840187072}"/>
            </c:ext>
          </c:extLst>
        </c:ser>
        <c:ser>
          <c:idx val="0"/>
          <c:order val="2"/>
          <c:tx>
            <c:strRef>
              <c:f>'Figure 1.1 Programme'!$K$4</c:f>
              <c:strCache>
                <c:ptCount val="1"/>
                <c:pt idx="0">
                  <c:v>Mécanisme thématique </c:v>
                </c:pt>
              </c:strCache>
            </c:strRef>
          </c:tx>
          <c:spPr>
            <a:solidFill>
              <a:srgbClr val="FFFF00"/>
            </a:solidFill>
            <a:ln>
              <a:noFill/>
            </a:ln>
            <a:effectLst/>
          </c:spPr>
          <c:invertIfNegative val="0"/>
          <c:cat>
            <c:strRef>
              <c:f>'Figure 1.1 Programme'!$L$2</c:f>
              <c:strCache>
                <c:ptCount val="1"/>
                <c:pt idx="0">
                  <c:v>2028-2034</c:v>
                </c:pt>
              </c:strCache>
            </c:strRef>
          </c:cat>
          <c:val>
            <c:numRef>
              <c:f>'Figure 1.1 Programme'!$L$4</c:f>
              <c:numCache>
                <c:formatCode>General</c:formatCode>
                <c:ptCount val="1"/>
                <c:pt idx="0">
                  <c:v>73.486705754396425</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2-678F-4A67-A9F0-0C3840187072}"/>
            </c:ext>
          </c:extLst>
        </c:ser>
        <c:ser>
          <c:idx val="2"/>
          <c:order val="3"/>
          <c:tx>
            <c:strRef>
              <c:f>'Figure 1.1 Programme'!$K$6</c:f>
              <c:strCache>
                <c:ptCount val="1"/>
                <c:pt idx="0">
                  <c:v>Mécanisme thématique-Réserve</c:v>
                </c:pt>
              </c:strCache>
            </c:strRef>
          </c:tx>
          <c:spPr>
            <a:pattFill prst="dkUpDiag">
              <a:fgClr>
                <a:srgbClr val="FFFF00"/>
              </a:fgClr>
              <a:bgClr>
                <a:schemeClr val="accent1"/>
              </a:bgClr>
            </a:pattFill>
            <a:ln>
              <a:noFill/>
            </a:ln>
            <a:effectLst/>
          </c:spPr>
          <c:invertIfNegative val="0"/>
          <c:cat>
            <c:strRef>
              <c:f>'Figure 1.1 Programme'!$L$2</c:f>
              <c:strCache>
                <c:ptCount val="1"/>
                <c:pt idx="0">
                  <c:v>2028-2034</c:v>
                </c:pt>
              </c:strCache>
            </c:strRef>
          </c:cat>
          <c:val>
            <c:numRef>
              <c:f>'Figure 1.1 Programme'!$L$6</c:f>
              <c:numCache>
                <c:formatCode>General</c:formatCode>
                <c:ptCount val="1"/>
                <c:pt idx="0">
                  <c:v>10.706935642501374</c:v>
                </c:pt>
              </c:numCache>
            </c:numRef>
          </c:val>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http://schemas.microsoft.com/office/drawing/2014/chart" uri="{C3380CC4-5D6E-409C-BE32-E72D297353CC}">
              <c16:uniqueId val="{00000003-678F-4A67-A9F0-0C3840187072}"/>
            </c:ext>
          </c:extLst>
        </c:ser>
        <c:dLbls>
          <c:showLegendKey val="0"/>
          <c:showVal val="0"/>
          <c:showCatName val="0"/>
          <c:showSerName val="0"/>
          <c:showPercent val="0"/>
          <c:showBubbleSize val="0"/>
        </c:dLbls>
        <c:gapWidth val="80"/>
        <c:overlap val="100"/>
        <c:axId val="824073248"/>
        <c:axId val="824060768"/>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barChart>
      <c:catAx>
        <c:axId val="82407324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EC Square Sans Pro" panose="020B0506040000020004" pitchFamily="34" charset="0"/>
                <a:ea typeface="+mn-ea"/>
                <a:cs typeface="+mn-cs"/>
              </a:defRPr>
            </a:pPr>
            <a:endParaRPr lang="en-US"/>
          </a:p>
        </c:txPr>
        <c:crossAx val="824060768"/>
        <c:crosses val="autoZero"/>
        <c:auto val="1"/>
        <c:lblAlgn val="ctr"/>
        <c:lblOffset val="100"/>
        <c:noMultiLvlLbl val="0"/>
      </c:catAx>
      <c:valAx>
        <c:axId val="824060768"/>
        <c:scaling>
          <c:orientation val="minMax"/>
          <c:max val="1100"/>
          <c:min val="0"/>
        </c:scaling>
        <c:delete val="0"/>
        <c:axPos val="l"/>
        <c:numFmt formatCode="#,##0" sourceLinked="0"/>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EC Square Sans Pro" panose="020B0506040000020004" pitchFamily="34" charset="0"/>
                <a:ea typeface="+mn-ea"/>
                <a:cs typeface="+mn-cs"/>
              </a:defRPr>
            </a:pPr>
            <a:endParaRPr lang="en-US"/>
          </a:p>
        </c:txPr>
        <c:crossAx val="824073248"/>
        <c:crosses val="autoZero"/>
        <c:crossBetween val="between"/>
      </c:valAx>
      <c:spPr>
        <a:noFill/>
        <a:ln>
          <a:noFill/>
        </a:ln>
        <a:effectLst/>
      </c:spPr>
    </c:plotArea>
    <c:legend>
      <c:legendPos val="b"/>
      <c:layout>
        <c:manualLayout>
          <c:xMode val="edge"/>
          <c:yMode val="edge"/>
          <c:x val="0"/>
          <c:y val="0.85399254780652423"/>
          <c:w val="0.79491969874294843"/>
          <c:h val="0.14600745219347583"/>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EC Square Sans Pro" panose="020B0506040000020004" pitchFamily="34" charset="0"/>
              <a:ea typeface="+mn-ea"/>
              <a:cs typeface="+mn-cs"/>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5="http://schemas.microsoft.com/office/drawing/2012/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0.10218</cdr:x>
      <cdr:y>0.0229</cdr:y>
    </cdr:from>
    <cdr:to>
      <cdr:x>0.38297</cdr:x>
      <cdr:y>0.10676</cdr:y>
    </cdr:to>
    <cdr:sp macro="" textlink="">
      <cdr:nvSpPr>
        <cdr:cNvPr id="2" name="TextBox 1">
          <a:extLst xmlns:a="http://schemas.openxmlformats.org/drawingml/2006/main">
            <a:ext uri="{FF2B5EF4-FFF2-40B4-BE49-F238E27FC236}">
              <a16:creationId xmlns:a16="http://schemas.microsoft.com/office/drawing/2014/main" id="{1F0B9BFE-572D-8367-D63B-87D72C4705CC}"/>
            </a:ext>
          </a:extLst>
        </cdr:cNvPr>
        <cdr:cNvSpPr txBox="1"/>
      </cdr:nvSpPr>
      <cdr:spPr>
        <a:xfrm xmlns:a="http://schemas.openxmlformats.org/drawingml/2006/main">
          <a:off x="421424" y="131327"/>
          <a:ext cx="1158069" cy="4809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100">
              <a:latin typeface="EC Square Sans Pro" panose="020B0506040000020004" pitchFamily="34" charset="0"/>
            </a:rPr>
            <a:t>En </a:t>
          </a:r>
          <a:r>
            <a:rPr lang="fr-FR" sz="1100" baseline="0">
              <a:latin typeface="EC Square Sans Pro" panose="020B0506040000020004" pitchFamily="34" charset="0"/>
            </a:rPr>
            <a:t>milliards d’EUR,</a:t>
          </a:r>
          <a:r>
            <a:rPr lang="fr-FR" sz="1100">
              <a:latin typeface="EC Square Sans Pro" panose="020B0506040000020004" pitchFamily="34" charset="0"/>
            </a:rPr>
            <a:t> à prix</a:t>
          </a:r>
          <a:r>
            <a:rPr lang="fr-FR" sz="1100" baseline="0">
              <a:latin typeface="EC Square Sans Pro" panose="020B0506040000020004" pitchFamily="34" charset="0"/>
            </a:rPr>
            <a:t> courants</a:t>
          </a:r>
        </a:p>
      </cdr:txBody>
    </cdr:sp>
  </cdr:relSizeAnchor>
  <cdr:relSizeAnchor xmlns:cdr="http://schemas.openxmlformats.org/drawingml/2006/chartDrawing">
    <cdr:from>
      <cdr:x>0.42218</cdr:x>
      <cdr:y>0.08959</cdr:y>
    </cdr:from>
    <cdr:to>
      <cdr:x>0.79541</cdr:x>
      <cdr:y>0.6481</cdr:y>
    </cdr:to>
    <cdr:grpSp>
      <cdr:nvGrpSpPr>
        <cdr:cNvPr id="3" name="Group 2">
          <a:extLst xmlns:a="http://schemas.openxmlformats.org/drawingml/2006/main">
            <a:ext uri="{FF2B5EF4-FFF2-40B4-BE49-F238E27FC236}">
              <a16:creationId xmlns:a16="http://schemas.microsoft.com/office/drawing/2014/main" id="{B152D231-2452-DB5A-7F9B-135290023793}"/>
            </a:ext>
          </a:extLst>
        </cdr:cNvPr>
        <cdr:cNvGrpSpPr/>
      </cdr:nvGrpSpPr>
      <cdr:grpSpPr>
        <a:xfrm xmlns:a="http://schemas.openxmlformats.org/drawingml/2006/main">
          <a:off x="1240426" y="469901"/>
          <a:ext cx="1096604" cy="2929448"/>
          <a:chOff x="-5109022" y="-43050"/>
          <a:chExt cx="5623018" cy="2903521"/>
        </a:xfrm>
      </cdr:grpSpPr>
      <cdr:sp macro="" textlink="">
        <cdr:nvSpPr>
          <cdr:cNvPr id="4" name="Rectangle 3">
            <a:extLst xmlns:a="http://schemas.openxmlformats.org/drawingml/2006/main">
              <a:ext uri="{FF2B5EF4-FFF2-40B4-BE49-F238E27FC236}">
                <a16:creationId xmlns:a16="http://schemas.microsoft.com/office/drawing/2014/main" id="{3DD6D12B-AC61-1613-6013-2CDAFFE95226}"/>
              </a:ext>
            </a:extLst>
          </cdr:cNvPr>
          <cdr:cNvSpPr/>
        </cdr:nvSpPr>
        <cdr:spPr>
          <a:xfrm xmlns:a="http://schemas.openxmlformats.org/drawingml/2006/main">
            <a:off x="-5109022" y="-43050"/>
            <a:ext cx="5558815" cy="504236"/>
          </a:xfrm>
          <a:prstGeom xmlns:a="http://schemas.openxmlformats.org/drawingml/2006/main" prst="rect">
            <a:avLst/>
          </a:prstGeom>
          <a:noFill xmlns:a="http://schemas.openxmlformats.org/drawingml/2006/main"/>
          <a:ln xmlns:a="http://schemas.openxmlformats.org/drawingml/2006/main" w="15875">
            <a:solidFill>
              <a:schemeClr val="accent1"/>
            </a:solidFill>
            <a:prstDash val="dash"/>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fr-FR" sz="1000">
                <a:solidFill>
                  <a:sysClr val="windowText" lastClr="000000"/>
                </a:solidFill>
                <a:latin typeface="EC Square Sans Pro" panose="020B0506040000020004" pitchFamily="34" charset="0"/>
              </a:rPr>
              <a:t>Catalyst Europe</a:t>
            </a:r>
          </a:p>
          <a:p xmlns:a="http://schemas.openxmlformats.org/drawingml/2006/main">
            <a:pPr algn="ctr"/>
            <a:r>
              <a:rPr lang="fr-FR" sz="1000">
                <a:solidFill>
                  <a:sysClr val="windowText" lastClr="000000"/>
                </a:solidFill>
                <a:latin typeface="EC Square Sans Pro" panose="020B0506040000020004" pitchFamily="34" charset="0"/>
              </a:rPr>
              <a:t>(prêts stratégiques)</a:t>
            </a:r>
          </a:p>
        </cdr:txBody>
      </cdr:sp>
      <cdr:cxnSp macro="">
        <cdr:nvCxnSpPr>
          <cdr:cNvPr id="5" name="Connector: Curved 4">
            <a:extLst xmlns:a="http://schemas.openxmlformats.org/drawingml/2006/main">
              <a:ext uri="{FF2B5EF4-FFF2-40B4-BE49-F238E27FC236}">
                <a16:creationId xmlns:a16="http://schemas.microsoft.com/office/drawing/2014/main" id="{7CF64C6C-3170-1F77-DB41-AFD71A43952A}"/>
              </a:ext>
            </a:extLst>
          </cdr:cNvPr>
          <cdr:cNvCxnSpPr>
            <a:stCxn xmlns:a="http://schemas.openxmlformats.org/drawingml/2006/main" id="4" idx="3"/>
          </cdr:cNvCxnSpPr>
        </cdr:nvCxnSpPr>
        <cdr:spPr>
          <a:xfrm xmlns:a="http://schemas.openxmlformats.org/drawingml/2006/main">
            <a:off x="449789" y="209068"/>
            <a:ext cx="64207" cy="2651403"/>
          </a:xfrm>
          <a:prstGeom xmlns:a="http://schemas.openxmlformats.org/drawingml/2006/main" prst="bentConnector4">
            <a:avLst>
              <a:gd name="adj1" fmla="val 4181721"/>
              <a:gd name="adj2" fmla="val 100221"/>
            </a:avLst>
          </a:prstGeom>
          <a:ln xmlns:a="http://schemas.openxmlformats.org/drawingml/2006/main" w="15875">
            <a:solidFill>
              <a:schemeClr val="accent1"/>
            </a:solidFill>
            <a:prstDash val="dash"/>
            <a:tailEnd type="triangle"/>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F6D9F-7674-487D-965F-0D65FEB57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06F8F0-2E98-4DD2-ABA9-D0D538CAE537}">
  <ds:schemaRefs>
    <ds:schemaRef ds:uri="http://schemas.microsoft.com/sharepoint/v3/contenttype/forms"/>
  </ds:schemaRefs>
</ds:datastoreItem>
</file>

<file path=customXml/itemProps3.xml><?xml version="1.0" encoding="utf-8"?>
<ds:datastoreItem xmlns:ds="http://schemas.openxmlformats.org/officeDocument/2006/customXml" ds:itemID="{414EAAA1-6201-42B5-9864-B43C0360B39D}">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4.xml><?xml version="1.0" encoding="utf-8"?>
<ds:datastoreItem xmlns:ds="http://schemas.openxmlformats.org/officeDocument/2006/customXml" ds:itemID="{193C3F98-5E05-4E58-8E3A-188AD19A0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10</Pages>
  <Words>13099</Words>
  <Characters>74670</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2025-07-16T15:28:00Z</dcterms:created>
  <dcterms:modified xsi:type="dcterms:W3CDTF">2025-07-16T17:07:00Z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2025-07-14T23:46:04Z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732e0f2e-df34-403d-b795-b111b1cc2739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ContentTypeId">
    <vt:lpwstr>0x0101007B5A12EBBE768C458E41CF953221EDB1</vt:lpwstr>
  </property>
  <property fmtid="{D5CDD505-2E9C-101B-9397-08002B2CF9AE}" pid="17" name="MediaServiceImageTags">
    <vt:lpwstr/>
  </property>
</Properties>
</file>