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A2E0E" w:rsidRPr="005D3B64" w:rsidRDefault="00680707" w:rsidP="00680707">
      <w:pPr>
        <w:pStyle w:val="Pagedecouverture"/>
        <w:rPr>
          <w:noProof/>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14492064-2824-47B0-A19F-2176CFECA02F" style="width:455.25pt;height:385.5pt">
            <v:imagedata r:id="rId12" o:title=""/>
          </v:shape>
        </w:pict>
      </w:r>
    </w:p>
    <w:p w:rsidR="00DA2E0E" w:rsidRPr="005D3B64" w:rsidRDefault="00DA2E0E" w:rsidP="00DA2E0E">
      <w:pPr>
        <w:rPr>
          <w:noProof/>
        </w:rPr>
        <w:sectPr w:rsidR="00DA2E0E" w:rsidRPr="005D3B64" w:rsidSect="00680707">
          <w:footerReference w:type="even" r:id="rId13"/>
          <w:footerReference w:type="default" r:id="rId14"/>
          <w:pgSz w:w="11907" w:h="16839"/>
          <w:pgMar w:top="1134" w:right="1417" w:bottom="1134" w:left="1417" w:header="709" w:footer="709" w:gutter="0"/>
          <w:pgNumType w:start="0"/>
          <w:cols w:space="720"/>
          <w:docGrid w:linePitch="360"/>
        </w:sectPr>
      </w:pPr>
    </w:p>
    <w:p w:rsidR="00162E2A" w:rsidRPr="005D3B64" w:rsidRDefault="00162E2A" w:rsidP="00162E2A">
      <w:pPr>
        <w:pStyle w:val="Exposdesmotifstitre"/>
        <w:rPr>
          <w:noProof/>
        </w:rPr>
      </w:pPr>
      <w:bookmarkStart w:id="0" w:name="_GoBack"/>
      <w:bookmarkEnd w:id="0"/>
      <w:r w:rsidRPr="005D3B64">
        <w:rPr>
          <w:noProof/>
        </w:rPr>
        <w:lastRenderedPageBreak/>
        <w:t>EXPOSÉ DES MOTIFS</w:t>
      </w:r>
    </w:p>
    <w:p w:rsidR="00162E2A" w:rsidRPr="005D3B64" w:rsidRDefault="00162E2A" w:rsidP="00162E2A">
      <w:pPr>
        <w:pStyle w:val="ManualHeading1"/>
        <w:rPr>
          <w:noProof/>
        </w:rPr>
      </w:pPr>
      <w:bookmarkStart w:id="1" w:name="_Toc187261215"/>
      <w:bookmarkStart w:id="2" w:name="_Toc187261545"/>
      <w:bookmarkStart w:id="3" w:name="_Toc187261887"/>
      <w:bookmarkStart w:id="4" w:name="_Toc187261984"/>
      <w:r w:rsidRPr="005D3B64">
        <w:rPr>
          <w:noProof/>
        </w:rPr>
        <w:t>1.</w:t>
      </w:r>
      <w:r w:rsidRPr="005D3B64">
        <w:rPr>
          <w:noProof/>
        </w:rPr>
        <w:tab/>
        <w:t>CONTEXTE DE LA PROPOSITION</w:t>
      </w:r>
      <w:bookmarkEnd w:id="1"/>
      <w:bookmarkEnd w:id="2"/>
      <w:bookmarkEnd w:id="3"/>
      <w:bookmarkEnd w:id="4"/>
    </w:p>
    <w:p w:rsidR="00162E2A" w:rsidRPr="005D3B64" w:rsidRDefault="00162E2A" w:rsidP="00162E2A">
      <w:pPr>
        <w:pStyle w:val="ManualHeading2"/>
        <w:rPr>
          <w:rFonts w:eastAsia="Arial Unicode MS"/>
          <w:noProof/>
        </w:rPr>
      </w:pPr>
      <w:bookmarkStart w:id="5" w:name="_Toc187261216"/>
      <w:bookmarkStart w:id="6" w:name="_Toc187261546"/>
      <w:bookmarkStart w:id="7" w:name="_Toc187261888"/>
      <w:bookmarkStart w:id="8" w:name="_Toc187261985"/>
      <w:r w:rsidRPr="005D3B64">
        <w:rPr>
          <w:noProof/>
          <w:color w:val="000000"/>
          <w:u w:color="000000"/>
          <w:bdr w:val="nil"/>
        </w:rPr>
        <w:t>•</w:t>
      </w:r>
      <w:r w:rsidRPr="005D3B64">
        <w:rPr>
          <w:noProof/>
          <w:color w:val="000000"/>
          <w:u w:color="000000"/>
          <w:bdr w:val="nil"/>
        </w:rPr>
        <w:tab/>
      </w:r>
      <w:r w:rsidRPr="005D3B64">
        <w:rPr>
          <w:noProof/>
        </w:rPr>
        <w:t>Justification et objectifs de la proposition</w:t>
      </w:r>
      <w:bookmarkEnd w:id="5"/>
      <w:bookmarkEnd w:id="6"/>
      <w:bookmarkEnd w:id="7"/>
      <w:bookmarkEnd w:id="8"/>
    </w:p>
    <w:p w:rsidR="00D65229" w:rsidRPr="005D3B64" w:rsidRDefault="4CDDB48F" w:rsidP="00B34D84">
      <w:pPr>
        <w:pBdr>
          <w:bar w:val="nil"/>
        </w:pBdr>
        <w:spacing w:before="0" w:after="0"/>
        <w:rPr>
          <w:noProof/>
        </w:rPr>
      </w:pPr>
      <w:r w:rsidRPr="005D3B64">
        <w:rPr>
          <w:noProof/>
        </w:rPr>
        <w:t>L’espace européen de la recherche (EER) a pour objectif de créer un espace où «les chercheurs, les connaissances scientifiques et les technologies circulent librement» (article 179 du TFUE). L’EER a été relancé en 2020, notamment par l’adoption du pacte pour la recherche et l’innovation (R&amp;I)</w:t>
      </w:r>
      <w:r w:rsidR="00AF5C91" w:rsidRPr="005D3B64">
        <w:rPr>
          <w:rStyle w:val="FootnoteReference"/>
          <w:noProof/>
        </w:rPr>
        <w:footnoteReference w:id="2"/>
      </w:r>
      <w:r w:rsidRPr="005D3B64">
        <w:rPr>
          <w:noProof/>
        </w:rPr>
        <w:t xml:space="preserve"> en Europe, qui énonce les domaines prioritaires d’action commune des États membres, présentés ci-dessous:</w:t>
      </w:r>
    </w:p>
    <w:p w:rsidR="00D65229" w:rsidRPr="005D3B64" w:rsidRDefault="00596288" w:rsidP="00596288">
      <w:pPr>
        <w:pStyle w:val="Point0"/>
        <w:rPr>
          <w:noProof/>
        </w:rPr>
      </w:pPr>
      <w:r w:rsidRPr="00596288">
        <w:rPr>
          <w:noProof/>
        </w:rPr>
        <w:t>(1)</w:t>
      </w:r>
      <w:r w:rsidRPr="00596288">
        <w:rPr>
          <w:noProof/>
        </w:rPr>
        <w:tab/>
      </w:r>
      <w:r w:rsidR="00D76B6F" w:rsidRPr="005D3B64">
        <w:rPr>
          <w:noProof/>
        </w:rPr>
        <w:t>approfondir un marché intérieur de la connaissance qui fonctionne réellement;</w:t>
      </w:r>
    </w:p>
    <w:p w:rsidR="00D65229" w:rsidRPr="005D3B64" w:rsidRDefault="00596288" w:rsidP="00596288">
      <w:pPr>
        <w:pStyle w:val="Point0"/>
        <w:rPr>
          <w:noProof/>
        </w:rPr>
      </w:pPr>
      <w:r w:rsidRPr="00596288">
        <w:rPr>
          <w:noProof/>
        </w:rPr>
        <w:t>(2)</w:t>
      </w:r>
      <w:r w:rsidRPr="00596288">
        <w:rPr>
          <w:noProof/>
        </w:rPr>
        <w:tab/>
      </w:r>
      <w:r w:rsidR="00D76B6F" w:rsidRPr="005D3B64">
        <w:rPr>
          <w:noProof/>
        </w:rPr>
        <w:t>relever ensemble les défis de la transition écologique et de la transformation numérique ainsi que les autres défis qui ont une incidence sur la société, et accroître la participation de la société à l’EER;</w:t>
      </w:r>
    </w:p>
    <w:p w:rsidR="00D65229" w:rsidRPr="005D3B64" w:rsidRDefault="00596288" w:rsidP="00596288">
      <w:pPr>
        <w:pStyle w:val="Point0"/>
        <w:rPr>
          <w:noProof/>
        </w:rPr>
      </w:pPr>
      <w:r w:rsidRPr="00596288">
        <w:rPr>
          <w:noProof/>
        </w:rPr>
        <w:t>(3)</w:t>
      </w:r>
      <w:r w:rsidRPr="00596288">
        <w:rPr>
          <w:noProof/>
        </w:rPr>
        <w:tab/>
      </w:r>
      <w:r w:rsidR="00D76B6F" w:rsidRPr="005D3B64">
        <w:rPr>
          <w:noProof/>
        </w:rPr>
        <w:t xml:space="preserve">améliorer l’accès à l’excellence en matière de recherche et d’innovation dans toute l’Union et renforcer les interconnexions entre les écosystèmes d’innovation dans l’ensemble de l’Union; </w:t>
      </w:r>
    </w:p>
    <w:p w:rsidR="4CDDB48F" w:rsidRPr="005D3B64" w:rsidRDefault="00596288" w:rsidP="00596288">
      <w:pPr>
        <w:pStyle w:val="Point0"/>
        <w:rPr>
          <w:noProof/>
        </w:rPr>
      </w:pPr>
      <w:r w:rsidRPr="00596288">
        <w:rPr>
          <w:noProof/>
        </w:rPr>
        <w:t>(4)</w:t>
      </w:r>
      <w:r w:rsidRPr="00596288">
        <w:rPr>
          <w:noProof/>
        </w:rPr>
        <w:tab/>
      </w:r>
      <w:r w:rsidR="00D76B6F" w:rsidRPr="005D3B64">
        <w:rPr>
          <w:noProof/>
        </w:rPr>
        <w:t>faire progresser les investissements et les réformes concertés dans la recherche et l’innovation.</w:t>
      </w:r>
    </w:p>
    <w:p w:rsidR="765986DE" w:rsidRPr="005D3B64" w:rsidRDefault="765986DE" w:rsidP="00B34D84">
      <w:pPr>
        <w:spacing w:before="0" w:after="0"/>
        <w:rPr>
          <w:noProof/>
        </w:rPr>
      </w:pPr>
    </w:p>
    <w:p w:rsidR="765986DE" w:rsidRPr="005D3B64" w:rsidRDefault="765986DE" w:rsidP="51808A90">
      <w:pPr>
        <w:spacing w:before="0" w:after="0"/>
        <w:rPr>
          <w:noProof/>
        </w:rPr>
      </w:pPr>
      <w:r w:rsidRPr="005D3B64">
        <w:rPr>
          <w:noProof/>
        </w:rPr>
        <w:t>En mettant en place de nouvelles structures de gouvernance et en établissant pour la période 2022</w:t>
      </w:r>
      <w:r w:rsidRPr="005D3B64">
        <w:rPr>
          <w:noProof/>
        </w:rPr>
        <w:noBreakHyphen/>
        <w:t>2024 un premier programme stratégique de l’EER assorti d’actions concrètes, l’UE a donné un nouvel élan à l’EER et aligné les stratégies et les politiques en matière de R&amp;I. Des progrès notables ont été accomplis grâce à la collaboration avec les États membres, notamment pour remédier à la fragmentation de leurs systèmes de R&amp;I. Les initiatives ont été axées sur les carrières des chercheurs, les infrastructures de recherche, la science ouverte, le renforcement de la confiance dans la science par l’engagement des citoyens et la mobilisation de ressources en vue d’une coopération thématique en matière de R&amp;I. Le processus conjoint de fixation des priorités, créé conjointement par les États membres, les parties prenantes et la Commission, a favorisé un sentiment d’appropriation et un engagement accru en faveur de la mise en œuvre de l’EER, notamment par l’intermédiaire du premier programme stratégique de l’EER.</w:t>
      </w:r>
    </w:p>
    <w:p w:rsidR="765986DE" w:rsidRPr="005D3B64" w:rsidRDefault="765986DE" w:rsidP="008F2161">
      <w:pPr>
        <w:spacing w:before="0" w:after="0"/>
        <w:rPr>
          <w:noProof/>
        </w:rPr>
      </w:pPr>
    </w:p>
    <w:p w:rsidR="000E4D23" w:rsidRPr="005D3B64" w:rsidRDefault="37EDB14F" w:rsidP="00A81427">
      <w:pPr>
        <w:rPr>
          <w:rFonts w:eastAsia="Times New Roman"/>
          <w:noProof/>
        </w:rPr>
      </w:pPr>
      <w:r w:rsidRPr="005D3B64">
        <w:rPr>
          <w:noProof/>
        </w:rPr>
        <w:t>À l’instar du premier programme stratégique de l’EER (2022</w:t>
      </w:r>
      <w:r w:rsidRPr="005D3B64">
        <w:rPr>
          <w:noProof/>
        </w:rPr>
        <w:noBreakHyphen/>
        <w:t>2024), le deuxième programme stratégique de l’EER, pour la période 2025</w:t>
      </w:r>
      <w:r w:rsidRPr="005D3B64">
        <w:rPr>
          <w:noProof/>
        </w:rPr>
        <w:noBreakHyphen/>
        <w:t xml:space="preserve">2027, énonce des activités concrètes pour l’EER et sert de cadre stratégique pour renforcer la collaboration entre les pays de l’UE, accroître l’efficacité des systèmes de R&amp;I et relever collectivement les défis sociétaux. S’appuyant sur les enseignements tirés de la mise en œuvre du premier programme, le deuxième programme établit un équilibre entre, d’une part, l’approfondissement des actions sur les priorités actuelles par le biais de </w:t>
      </w:r>
      <w:r w:rsidRPr="005D3B64">
        <w:rPr>
          <w:b/>
          <w:bCs/>
          <w:noProof/>
        </w:rPr>
        <w:t>politiques structurelles</w:t>
      </w:r>
      <w:r w:rsidRPr="005D3B64">
        <w:rPr>
          <w:noProof/>
        </w:rPr>
        <w:t xml:space="preserve"> et, d’autre part, l’élargissement de la vision de l’EER par de </w:t>
      </w:r>
      <w:r w:rsidRPr="005D3B64">
        <w:rPr>
          <w:b/>
          <w:bCs/>
          <w:noProof/>
        </w:rPr>
        <w:t>nouvelles actions de l’EER</w:t>
      </w:r>
      <w:r w:rsidRPr="005D3B64">
        <w:rPr>
          <w:noProof/>
        </w:rPr>
        <w:t>. Les politiques structurelles sont des politiques à long terme de l’EER, telles que la science ouverte, les infrastructures de recherche et les carrières des chercheurs, qui ne se limitent pas à des programmes d’action individuels et sont intégrées dans les politiques nationales et européennes. Les actions de l’EER sont concises, axées sur des politiques et guidées par des objectifs, de façon à générer une valeur ajoutée substantielle pour l’UE, les États membres et les parties prenantes. Les actions relatives à l’intelligence artificielle dans la science, à la sécurité de la recherche, à la science au service des politiques et à l’équité dans la science ont été désignées comme lacunaires et nécessitant une coopération. De manière générale, le programme stratégique 2025</w:t>
      </w:r>
      <w:r w:rsidRPr="005D3B64">
        <w:rPr>
          <w:noProof/>
        </w:rPr>
        <w:noBreakHyphen/>
        <w:t>2027 de l’EER est donc plus nettement axé sur les politiques et est doté d’une structure plus claire afin de faciliter la mise en œuvre par les administrations nationales et les parties prenantes.</w:t>
      </w:r>
    </w:p>
    <w:p w:rsidR="51808A90" w:rsidRPr="005D3B64" w:rsidRDefault="51808A90" w:rsidP="51808A90">
      <w:pPr>
        <w:spacing w:before="0" w:after="0"/>
        <w:rPr>
          <w:noProof/>
        </w:rPr>
      </w:pPr>
      <w:bookmarkStart w:id="9" w:name="_Hlk187306115"/>
    </w:p>
    <w:bookmarkEnd w:id="9"/>
    <w:p w:rsidR="128CDFF0" w:rsidRPr="005D3B64" w:rsidRDefault="64FB2D8E" w:rsidP="51808A90">
      <w:pPr>
        <w:pBdr>
          <w:top w:val="nil"/>
          <w:left w:val="nil"/>
          <w:bottom w:val="nil"/>
          <w:right w:val="nil"/>
          <w:between w:val="nil"/>
          <w:bar w:val="nil"/>
        </w:pBdr>
        <w:spacing w:before="0" w:after="240"/>
        <w:rPr>
          <w:noProof/>
        </w:rPr>
      </w:pPr>
      <w:r w:rsidRPr="005D3B64">
        <w:rPr>
          <w:noProof/>
        </w:rPr>
        <w:t>Le programme stratégique de l’EER est un instrument non contraignant destiné à orienter les politiques nationales et de l’UE conformément aux objectifs de l’EER énoncés à l’article 179 du TFUE. Il coordonne les priorités des États membres dans leurs efforts pour faire progresser l’EER par une action commune. Il encourage donc une coopération et une coordination volontaires entre les États membres et l’UE. S’agissant d’un programme volontaire, sa mise en œuvre n’est pas juridiquement obligatoire. La mise en œuvre du programme stratégique de l’EER suit la logique de la géométrie variable. Le forum de l’EER, qui réunit la Commission européenne, les États membres, les pays associés à Horizon Europe et des parties prenantes au niveau de l’UE, sert d’organe de gouvernance pour coordonner conjointement la mise en œuvre des activités de l’EER.</w:t>
      </w:r>
    </w:p>
    <w:p w:rsidR="007851BE" w:rsidRPr="005D3B64" w:rsidRDefault="7AD517C0" w:rsidP="00B34D84">
      <w:pPr>
        <w:pBdr>
          <w:top w:val="nil"/>
          <w:left w:val="nil"/>
          <w:bottom w:val="nil"/>
          <w:right w:val="nil"/>
          <w:between w:val="nil"/>
        </w:pBdr>
        <w:spacing w:before="0" w:after="240"/>
        <w:rPr>
          <w:rFonts w:eastAsia="Times New Roman"/>
          <w:noProof/>
          <w:szCs w:val="24"/>
        </w:rPr>
      </w:pPr>
      <w:r w:rsidRPr="005D3B64">
        <w:rPr>
          <w:noProof/>
        </w:rPr>
        <w:t>Si les initiatives non législatives telles que le programme stratégique 2022</w:t>
      </w:r>
      <w:r w:rsidRPr="005D3B64">
        <w:rPr>
          <w:noProof/>
        </w:rPr>
        <w:noBreakHyphen/>
        <w:t>2024 de l’EER, fondées sur des engagements volontaires prenant la forme d’actions de l’EER, ont permis de réaliser des progrès substantiels, elles demeurent insuffisantes pour surmonter les obstacles structurels. Dans sa communication du 22 octobre 2024 sur la mise en œuvre de l’EER</w:t>
      </w:r>
      <w:r w:rsidR="00AF5C91" w:rsidRPr="005D3B64">
        <w:rPr>
          <w:rStyle w:val="FootnoteReference"/>
          <w:noProof/>
        </w:rPr>
        <w:footnoteReference w:id="3"/>
      </w:r>
      <w:r w:rsidRPr="005D3B64">
        <w:rPr>
          <w:noProof/>
        </w:rPr>
        <w:t xml:space="preserve">, la Commission a mis en évidence des problèmes persistants tels que des disparités de performance entre les États membres en matière de recherche, de développement et d’innovation (RDI), le niveau insuffisant des investissements privés et publics dans la RDI (inférieur à l’objectif de 3 % du PIB), la fragmentation des cadres réglementaires, le soutien limité aux transferts de technologies et la fragmentation des infrastructures de recherche et de technologie. En conclusion, la communication a souligné la nécessité de renforcer la gouvernance. </w:t>
      </w:r>
    </w:p>
    <w:p w:rsidR="128CDFF0" w:rsidRPr="005D3B64" w:rsidRDefault="5E3907E2" w:rsidP="00B34D84">
      <w:pPr>
        <w:pBdr>
          <w:top w:val="nil"/>
          <w:left w:val="nil"/>
          <w:bottom w:val="nil"/>
          <w:right w:val="nil"/>
          <w:between w:val="nil"/>
        </w:pBdr>
        <w:spacing w:before="0" w:after="240"/>
        <w:rPr>
          <w:noProof/>
        </w:rPr>
      </w:pPr>
      <w:r w:rsidRPr="005D3B64">
        <w:rPr>
          <w:noProof/>
        </w:rPr>
        <w:t>Afin de résoudre les problèmes systémiques, de futures initiatives législatives viendront compléter le programme stratégique de l’EER et pourraient introduire des mesures législatives allant au-delà des actions volontaires prévues par le programme stratégique non contraignant de l’EER. Ces initiatives (par exemple, un acte sur l’EER) permettront de résoudre les problèmes par une harmonisation, l’uniformisation de l’application des règles et la mise en application des politiques de l’UE afin de créer des conditions équitables entre les États membres. Cela pourrait s'appliquer aux domaines pour lesquels des règles ou des structures contraignantes sont jugées nécessaires pour atteindre les objectifs de l’EER, en sus des mesures volontaires de coordination et de coopération. Cela devrait réduire considérablement la fragmentation des politiques et des systèmes de R&amp;I au sein de l’UE.</w:t>
      </w:r>
    </w:p>
    <w:p w:rsidR="00162E2A" w:rsidRPr="005D3B64" w:rsidRDefault="00162E2A" w:rsidP="00162E2A">
      <w:pPr>
        <w:pStyle w:val="ManualHeading1"/>
        <w:rPr>
          <w:noProof/>
        </w:rPr>
      </w:pPr>
      <w:bookmarkStart w:id="10" w:name="_Toc187261217"/>
      <w:bookmarkStart w:id="11" w:name="_Toc187261547"/>
      <w:bookmarkStart w:id="12" w:name="_Toc187261889"/>
      <w:bookmarkStart w:id="13" w:name="_Toc187261986"/>
      <w:r w:rsidRPr="005D3B64">
        <w:rPr>
          <w:noProof/>
        </w:rPr>
        <w:t>2.</w:t>
      </w:r>
      <w:r w:rsidRPr="005D3B64">
        <w:rPr>
          <w:noProof/>
        </w:rPr>
        <w:tab/>
        <w:t>BASE JURIDIQUE, SUBSIDIARITÉ ET PROPORTIONNALITÉ</w:t>
      </w:r>
      <w:bookmarkEnd w:id="10"/>
      <w:bookmarkEnd w:id="11"/>
      <w:bookmarkEnd w:id="12"/>
      <w:bookmarkEnd w:id="13"/>
    </w:p>
    <w:p w:rsidR="00162E2A" w:rsidRPr="005D3B64" w:rsidRDefault="00162E2A" w:rsidP="00162E2A">
      <w:pPr>
        <w:pStyle w:val="ManualHeading2"/>
        <w:rPr>
          <w:noProof/>
          <w:bdr w:val="nil"/>
        </w:rPr>
      </w:pPr>
      <w:bookmarkStart w:id="14" w:name="_Toc187261218"/>
      <w:bookmarkStart w:id="15" w:name="_Toc187261548"/>
      <w:bookmarkStart w:id="16" w:name="_Toc187261890"/>
      <w:bookmarkStart w:id="17" w:name="_Toc187261987"/>
      <w:r w:rsidRPr="005D3B64">
        <w:rPr>
          <w:noProof/>
        </w:rPr>
        <w:t>•</w:t>
      </w:r>
      <w:r w:rsidRPr="005D3B64">
        <w:rPr>
          <w:noProof/>
        </w:rPr>
        <w:tab/>
        <w:t>Base juridique</w:t>
      </w:r>
      <w:bookmarkEnd w:id="14"/>
      <w:bookmarkEnd w:id="15"/>
      <w:bookmarkEnd w:id="16"/>
      <w:bookmarkEnd w:id="17"/>
    </w:p>
    <w:p w:rsidR="004A4C04" w:rsidRPr="005D3B64" w:rsidRDefault="00162E2A" w:rsidP="00D65229">
      <w:pPr>
        <w:pBdr>
          <w:top w:val="nil"/>
          <w:left w:val="nil"/>
          <w:bottom w:val="nil"/>
          <w:right w:val="nil"/>
          <w:between w:val="nil"/>
          <w:bar w:val="nil"/>
        </w:pBdr>
        <w:spacing w:before="0" w:after="240"/>
        <w:rPr>
          <w:noProof/>
        </w:rPr>
      </w:pPr>
      <w:r w:rsidRPr="005D3B64">
        <w:rPr>
          <w:noProof/>
        </w:rPr>
        <w:t xml:space="preserve">La base juridique de la présente initiative est l’article 292 du TFUE. Conformément à cet article, le Conseil peut adopter des recommandations, et il statue sur proposition de la Commission dans tous les cas où les traités prévoient qu’il adopte des actes sur proposition de la Commission. Conformément à l’article 179, paragraphe 1, du TFUE, l’Union aura pour objectif de renforcer ses bases scientifiques et technologiques, par la réalisation d’un espace européen de la recherche dans lequel les chercheurs, les connaissances scientifiques et les technologies circulent librement, et de développer sa compétitivité, y compris celle de son industrie, ainsi que de promouvoir la recherche jugée nécessaire. Conformément à l’article 181 du TFUE, l’Union européenne et les États membres doivent coordonner leur action en matière de recherche et de développement technologique, afin d’assurer la cohérence réciproque des politiques nationales et de la politique de l’Union. </w:t>
      </w:r>
    </w:p>
    <w:p w:rsidR="00D65229" w:rsidRPr="005D3B64" w:rsidRDefault="00162E2A" w:rsidP="00D65229">
      <w:pPr>
        <w:pBdr>
          <w:top w:val="nil"/>
          <w:left w:val="nil"/>
          <w:bottom w:val="nil"/>
          <w:right w:val="nil"/>
          <w:between w:val="nil"/>
          <w:bar w:val="nil"/>
        </w:pBdr>
        <w:spacing w:before="0" w:after="240"/>
        <w:rPr>
          <w:noProof/>
        </w:rPr>
      </w:pPr>
      <w:r w:rsidRPr="005D3B64">
        <w:rPr>
          <w:noProof/>
        </w:rPr>
        <w:t>La Commission peut prendre, en étroite collaboration avec les États membres, toute initiative utile pour promouvoir cette coordination, notamment des initiatives en vue d’établir des orientations et des indicateurs, d’organiser l’échange des meilleures pratiques et de préparer les éléments nécessaires à la surveillance et à l’évaluation périodiques. Le Parlement européen doit être pleinement informé. L’article 182, paragraphe 5, permet de compléter les actions prévues dans le programme-cadre pluriannuel en autorisant le Parlement européen et le Conseil, statuant conformément à la procédure législative ordinaire et après consultation du Comité économique et social, à adopter les mesures nécessaires à la mise en œuvre de l’EER.</w:t>
      </w:r>
    </w:p>
    <w:p w:rsidR="00162E2A" w:rsidRPr="005D3B64" w:rsidRDefault="00162E2A" w:rsidP="00162E2A">
      <w:pPr>
        <w:pStyle w:val="ManualHeading2"/>
        <w:rPr>
          <w:noProof/>
        </w:rPr>
      </w:pPr>
      <w:r w:rsidRPr="005D3B64">
        <w:rPr>
          <w:noProof/>
        </w:rPr>
        <w:tab/>
      </w:r>
      <w:bookmarkStart w:id="18" w:name="_Toc187261219"/>
      <w:bookmarkStart w:id="19" w:name="_Toc187261549"/>
      <w:bookmarkStart w:id="20" w:name="_Toc187261891"/>
      <w:bookmarkStart w:id="21" w:name="_Toc187261988"/>
      <w:r w:rsidRPr="005D3B64">
        <w:rPr>
          <w:noProof/>
        </w:rPr>
        <w:t>Subsidiarité (en cas de compétence non exclusive)</w:t>
      </w:r>
      <w:bookmarkEnd w:id="18"/>
      <w:bookmarkEnd w:id="19"/>
      <w:bookmarkEnd w:id="20"/>
      <w:bookmarkEnd w:id="21"/>
      <w:r w:rsidRPr="005D3B64">
        <w:rPr>
          <w:noProof/>
        </w:rPr>
        <w:t xml:space="preserve"> </w:t>
      </w:r>
    </w:p>
    <w:p w:rsidR="00162E2A" w:rsidRPr="005D3B64" w:rsidRDefault="00162E2A" w:rsidP="00162E2A">
      <w:pPr>
        <w:pBdr>
          <w:top w:val="nil"/>
          <w:left w:val="nil"/>
          <w:bottom w:val="nil"/>
          <w:right w:val="nil"/>
          <w:between w:val="nil"/>
          <w:bar w:val="nil"/>
        </w:pBdr>
        <w:spacing w:before="0" w:after="240"/>
        <w:rPr>
          <w:rFonts w:eastAsia="Arial Unicode MS"/>
          <w:noProof/>
        </w:rPr>
      </w:pPr>
      <w:r w:rsidRPr="005D3B64">
        <w:rPr>
          <w:noProof/>
        </w:rPr>
        <w:t>L’EER a pour objectif de créer un espace où «les chercheurs, les connaissances scientifiques et les technologies circulent librement» (article 179, paragraphe 1, du TFUE). Étant donné qu’il s’agit d’une initiative en matière de gouvernance à plusieurs niveaux qui suit une approche pangouvernementale (garantissant que les politiques sont alignées à différents niveaux de gouvernance et dans tous les domaines politiques), l’EER est conforme au principe de subsidiarité. Il respecte la compétence des États membres dans ce domaine et vise à assurer la cohérence de la politique en matière de R&amp;I à tous les niveaux de gouvernement (local, régional, national et mondial). Il introduit des initiatives qui apportent l’essentiel de la valeur ajoutée de l’UE au niveau européen, en lien avec les réponses nationales et régionales et en s’appuyant sur celles-ci. La présente initiative respecte le principe de subsidiarité, dès lors que, en vertu de l’article 4, paragraphe 3, du TFUE, la proposition ne relève pas de la compétence exclusive de l’Union européenne.</w:t>
      </w:r>
    </w:p>
    <w:p w:rsidR="00162E2A" w:rsidRPr="005D3B64" w:rsidRDefault="00162E2A" w:rsidP="00162E2A">
      <w:pPr>
        <w:pStyle w:val="ManualHeading2"/>
        <w:rPr>
          <w:noProof/>
          <w:bdr w:val="nil"/>
        </w:rPr>
      </w:pPr>
      <w:bookmarkStart w:id="22" w:name="_Toc187261220"/>
      <w:bookmarkStart w:id="23" w:name="_Toc187261550"/>
      <w:bookmarkStart w:id="24" w:name="_Toc187261892"/>
      <w:bookmarkStart w:id="25" w:name="_Toc187261989"/>
      <w:r w:rsidRPr="005D3B64">
        <w:rPr>
          <w:noProof/>
        </w:rPr>
        <w:t>•</w:t>
      </w:r>
      <w:r w:rsidRPr="005D3B64">
        <w:rPr>
          <w:noProof/>
        </w:rPr>
        <w:tab/>
      </w:r>
      <w:r w:rsidRPr="005D3B64">
        <w:rPr>
          <w:noProof/>
          <w:bdr w:val="nil"/>
        </w:rPr>
        <w:t>Proportionnalité</w:t>
      </w:r>
      <w:bookmarkEnd w:id="22"/>
      <w:bookmarkEnd w:id="23"/>
      <w:bookmarkEnd w:id="24"/>
      <w:bookmarkEnd w:id="25"/>
    </w:p>
    <w:p w:rsidR="00162E2A" w:rsidRPr="005D3B64" w:rsidRDefault="00162E2A" w:rsidP="00162E2A">
      <w:pPr>
        <w:pBdr>
          <w:top w:val="nil"/>
          <w:left w:val="nil"/>
          <w:bottom w:val="nil"/>
          <w:right w:val="nil"/>
          <w:between w:val="nil"/>
          <w:bar w:val="nil"/>
        </w:pBdr>
        <w:spacing w:before="0" w:after="240"/>
        <w:rPr>
          <w:rFonts w:eastAsia="Arial Unicode MS"/>
          <w:noProof/>
        </w:rPr>
      </w:pPr>
      <w:r w:rsidRPr="005D3B64">
        <w:rPr>
          <w:noProof/>
        </w:rPr>
        <w:t>Les actions proposées sont proportionnées aux objectifs poursuivis. La proposition soutient la réalisation des objectifs fixés par le nouvel EER. Elle complète les mesures prises au niveau national pour créer un espace de recherche d’excellence, centré sur les chercheurs, fondé sur les valeurs et axé sur les effets. La proposition respecte les pratiques des États membres et adopte une approche différenciée reflétant les différentes situations économiques, financières et sociales des États membres ainsi que la diversité des systèmes de recherche et des institutions et organisations respectives. Elle reconnaît que la disparité des conditions nationales, régionales ou locales pourrait conduire à des différences dans la mise en œuvre de la recommandation proposée.</w:t>
      </w:r>
    </w:p>
    <w:p w:rsidR="00162E2A" w:rsidRPr="005D3B64" w:rsidRDefault="00162E2A" w:rsidP="00162E2A">
      <w:pPr>
        <w:pStyle w:val="ManualHeading2"/>
        <w:rPr>
          <w:noProof/>
          <w:u w:color="000000"/>
          <w:bdr w:val="nil"/>
        </w:rPr>
      </w:pPr>
      <w:bookmarkStart w:id="26" w:name="_Toc187261221"/>
      <w:bookmarkStart w:id="27" w:name="_Toc187261551"/>
      <w:bookmarkStart w:id="28" w:name="_Toc187261893"/>
      <w:bookmarkStart w:id="29" w:name="_Toc187261990"/>
      <w:r w:rsidRPr="005D3B64">
        <w:rPr>
          <w:noProof/>
          <w:u w:color="000000"/>
          <w:bdr w:val="nil"/>
        </w:rPr>
        <w:t>•</w:t>
      </w:r>
      <w:r w:rsidRPr="005D3B64">
        <w:rPr>
          <w:noProof/>
          <w:u w:color="000000"/>
          <w:bdr w:val="nil"/>
        </w:rPr>
        <w:tab/>
        <w:t>Choix de l’instrument</w:t>
      </w:r>
      <w:bookmarkEnd w:id="26"/>
      <w:bookmarkEnd w:id="27"/>
      <w:bookmarkEnd w:id="28"/>
      <w:bookmarkEnd w:id="29"/>
    </w:p>
    <w:p w:rsidR="008B357B" w:rsidRPr="005D3B64" w:rsidRDefault="002B4E19" w:rsidP="008B357B">
      <w:pPr>
        <w:pStyle w:val="Text1"/>
        <w:ind w:left="0"/>
        <w:rPr>
          <w:noProof/>
        </w:rPr>
      </w:pPr>
      <w:r w:rsidRPr="005D3B64">
        <w:rPr>
          <w:noProof/>
        </w:rPr>
        <w:t>Suivant les enseignements tirés du premier programme stratégique de l’EER (2022</w:t>
      </w:r>
      <w:r w:rsidRPr="005D3B64">
        <w:rPr>
          <w:noProof/>
        </w:rPr>
        <w:noBreakHyphen/>
        <w:t>2024), le choix d’une recommandation du Conseil souligne l’engagement de la Commission à renforcer la gouvernance collaborative de l’EER en traduisant les résultats des travaux de cocréation menés avec les États membres, les pays associés à Horizon Europe et les parties prenantes au niveau de l’UE en une proposition de recommandation du Conseil présentée par la Commission. L’objectif est de susciter un sentiment d’appropriation et un engagement éclairé chez les États membres et les parties prenantes afin de développer la coopération sur les actions et les politiques structurelles convenues en vue d’une action commune. La proposition maintient également l’approche flexible adoptée pour la mise en œuvre des actions de l’EER ainsi que le caractère volontaire du programme stratégique de l’EER.</w:t>
      </w:r>
    </w:p>
    <w:p w:rsidR="00D65229" w:rsidRPr="005D3B64" w:rsidRDefault="00162E2A" w:rsidP="00D65229">
      <w:pPr>
        <w:pStyle w:val="ManualHeading1"/>
        <w:rPr>
          <w:noProof/>
        </w:rPr>
      </w:pPr>
      <w:bookmarkStart w:id="30" w:name="_Toc187261222"/>
      <w:bookmarkStart w:id="31" w:name="_Toc187261552"/>
      <w:bookmarkStart w:id="32" w:name="_Toc187261894"/>
      <w:bookmarkStart w:id="33" w:name="_Toc187261991"/>
      <w:r w:rsidRPr="005D3B64">
        <w:rPr>
          <w:noProof/>
        </w:rPr>
        <w:t>3.</w:t>
      </w:r>
      <w:r w:rsidRPr="005D3B64">
        <w:rPr>
          <w:noProof/>
        </w:rPr>
        <w:tab/>
        <w:t>RÉSULTATS DES ÉVALUATIONS EX POST, DES CONSULTATIONS DES PARTIES INTÉRESSÉES ET DES ANALYSES D’IMPACT</w:t>
      </w:r>
      <w:bookmarkEnd w:id="30"/>
      <w:bookmarkEnd w:id="31"/>
      <w:bookmarkEnd w:id="32"/>
      <w:bookmarkEnd w:id="33"/>
    </w:p>
    <w:p w:rsidR="00162E2A" w:rsidRPr="005D3B64" w:rsidRDefault="00162E2A" w:rsidP="00D65229">
      <w:pPr>
        <w:pStyle w:val="ManualHeading1"/>
        <w:rPr>
          <w:noProof/>
          <w:u w:color="000000"/>
          <w:bdr w:val="nil"/>
        </w:rPr>
      </w:pPr>
      <w:bookmarkStart w:id="34" w:name="_Toc187261223"/>
      <w:bookmarkStart w:id="35" w:name="_Toc187261553"/>
      <w:bookmarkStart w:id="36" w:name="_Toc187261895"/>
      <w:bookmarkStart w:id="37" w:name="_Toc187261992"/>
      <w:r w:rsidRPr="005D3B64">
        <w:rPr>
          <w:noProof/>
          <w:u w:color="000000"/>
          <w:bdr w:val="nil"/>
        </w:rPr>
        <w:t>•</w:t>
      </w:r>
      <w:r w:rsidRPr="005D3B64">
        <w:rPr>
          <w:noProof/>
          <w:u w:color="000000"/>
          <w:bdr w:val="nil"/>
        </w:rPr>
        <w:tab/>
        <w:t>Obtention et utilisation d’expertise</w:t>
      </w:r>
      <w:bookmarkEnd w:id="34"/>
      <w:bookmarkEnd w:id="35"/>
      <w:bookmarkEnd w:id="36"/>
      <w:bookmarkEnd w:id="37"/>
    </w:p>
    <w:p w:rsidR="00162E2A" w:rsidRPr="005D3B64" w:rsidRDefault="2476570B" w:rsidP="00402896">
      <w:pPr>
        <w:pBdr>
          <w:top w:val="nil"/>
          <w:left w:val="nil"/>
          <w:bottom w:val="nil"/>
          <w:right w:val="nil"/>
          <w:between w:val="nil"/>
          <w:bar w:val="nil"/>
        </w:pBdr>
        <w:spacing w:before="0" w:after="240"/>
        <w:rPr>
          <w:rFonts w:eastAsia="Arial Unicode MS"/>
          <w:noProof/>
          <w:color w:val="000000" w:themeColor="text1"/>
        </w:rPr>
      </w:pPr>
      <w:r w:rsidRPr="005D3B64">
        <w:rPr>
          <w:noProof/>
        </w:rPr>
        <w:t>La Commission européenne a étayé sa proposition relative au programme stratégique 2025</w:t>
      </w:r>
      <w:r w:rsidRPr="005D3B64">
        <w:rPr>
          <w:noProof/>
        </w:rPr>
        <w:noBreakHyphen/>
        <w:t>2027 de l’EER par des données issues du premier cycle de suivi de l’EER mené en 2023. Ce cycle comprenait le premier examen à 18 mois de la mise en œuvre du programme stratégique 2022</w:t>
      </w:r>
      <w:r w:rsidRPr="005D3B64">
        <w:rPr>
          <w:noProof/>
        </w:rPr>
        <w:noBreakHyphen/>
        <w:t>2024 de l’EER au niveau de l’UE (rapport au niveau de l’UE), les rapports par pays de l’EER sur tous les États membres ainsi que 11 pays associés à Horizon Europe, et les deux premiers tableaux de bord de l’EER. Le rapport à 18 mois au niveau de l’UE a fourni une évaluation des progrès réalisés dans les domaines prioritaires d’action commune dans l’EER, tels qu’énoncés dans le pacte pour la R&amp;I en Europe, et dans la mise en œuvre du programme stratégique de l’EER. Les rapports par pays de l’EER ont présenté cette analyse au niveau national. Un tableau de bord de l’EER a livré une évaluation de la consolidation globale et des progrès collectifs accomplis dans la réalisation des priorités de l’EER en 2023 pour l’ensemble de l’UE, et un autre tableau de bord a fourni une évaluation des progrès accomplis au niveau national. Tous les rapports sont accessibles au public sur la plateforme stratégique de l’EER</w:t>
      </w:r>
      <w:r w:rsidR="00780C18" w:rsidRPr="005D3B64">
        <w:rPr>
          <w:rStyle w:val="FootnoteReference"/>
          <w:noProof/>
        </w:rPr>
        <w:footnoteReference w:id="4"/>
      </w:r>
      <w:r w:rsidRPr="005D3B64">
        <w:rPr>
          <w:noProof/>
        </w:rPr>
        <w:t>.</w:t>
      </w:r>
    </w:p>
    <w:p w:rsidR="00162E2A" w:rsidRPr="005D3B64" w:rsidRDefault="0D8EBB77" w:rsidP="00162E2A">
      <w:pPr>
        <w:pStyle w:val="ManualHeading2"/>
        <w:rPr>
          <w:noProof/>
          <w:bdr w:val="nil"/>
        </w:rPr>
      </w:pPr>
      <w:bookmarkStart w:id="38" w:name="_Toc187261224"/>
      <w:bookmarkStart w:id="39" w:name="_Toc187261554"/>
      <w:bookmarkStart w:id="40" w:name="_Toc187261896"/>
      <w:bookmarkStart w:id="41" w:name="_Toc187261993"/>
      <w:r w:rsidRPr="005D3B64">
        <w:rPr>
          <w:noProof/>
          <w:bdr w:val="nil"/>
        </w:rPr>
        <w:t>•</w:t>
      </w:r>
      <w:r w:rsidRPr="005D3B64">
        <w:rPr>
          <w:noProof/>
          <w:u w:color="000000"/>
          <w:bdr w:val="nil"/>
        </w:rPr>
        <w:tab/>
      </w:r>
      <w:r w:rsidRPr="005D3B64">
        <w:rPr>
          <w:noProof/>
          <w:bdr w:val="nil"/>
        </w:rPr>
        <w:t>Analyse d’impact</w:t>
      </w:r>
      <w:bookmarkEnd w:id="38"/>
      <w:bookmarkEnd w:id="39"/>
      <w:bookmarkEnd w:id="40"/>
      <w:bookmarkEnd w:id="41"/>
    </w:p>
    <w:p w:rsidR="00162E2A" w:rsidRPr="005D3B64" w:rsidRDefault="00402896" w:rsidP="00162E2A">
      <w:pPr>
        <w:pBdr>
          <w:top w:val="nil"/>
          <w:left w:val="nil"/>
          <w:bottom w:val="nil"/>
          <w:right w:val="nil"/>
          <w:between w:val="nil"/>
          <w:bar w:val="nil"/>
        </w:pBdr>
        <w:spacing w:before="0" w:after="240"/>
        <w:rPr>
          <w:noProof/>
        </w:rPr>
      </w:pPr>
      <w:r w:rsidRPr="005D3B64">
        <w:rPr>
          <w:noProof/>
        </w:rPr>
        <w:t>Il n’y a pas d’analyse d’impact. Étant donné qu’il s’agit d’une proposition de recommandation du Conseil présentée par la Commission, comprenant les activités futures de l’EER, il n’est pas possible de déterminer précisément ses effets ex ante. Par ailleurs, le programme stratégique 2025</w:t>
      </w:r>
      <w:r w:rsidRPr="005D3B64">
        <w:rPr>
          <w:noProof/>
        </w:rPr>
        <w:noBreakHyphen/>
        <w:t>2027 de l’EER a été élaboré en collaboration avec le groupe d’experts du forum de l’EER, qui réunit les États membres, les pays associés à Horizon Europe et les parties prenantes. Les travaux préparatoires ont fait l’objet de discussions au sein du Conseil (notamment au sein du CEER, ainsi que dans le cadre de l’adoption de conclusions du Conseil intitulées «Renforcer la compétitivité de l’UE, consolider l’espace européen de la recherche et remédier à sa fragmentation»</w:t>
      </w:r>
      <w:r w:rsidR="00E95F81" w:rsidRPr="005D3B64">
        <w:rPr>
          <w:rStyle w:val="FootnoteReference"/>
          <w:noProof/>
        </w:rPr>
        <w:footnoteReference w:id="5"/>
      </w:r>
      <w:r w:rsidRPr="005D3B64">
        <w:rPr>
          <w:noProof/>
        </w:rPr>
        <w:t>), ce qui montre que les États membres et les parties prenantes s’attendent à ce que ce document soit adopté.</w:t>
      </w:r>
    </w:p>
    <w:p w:rsidR="00162E2A" w:rsidRPr="005D3B64" w:rsidRDefault="00162E2A" w:rsidP="00162E2A">
      <w:pPr>
        <w:pStyle w:val="ManualHeading2"/>
        <w:rPr>
          <w:noProof/>
          <w:u w:color="000000"/>
          <w:bdr w:val="nil"/>
        </w:rPr>
      </w:pPr>
      <w:bookmarkStart w:id="42" w:name="_Toc187261225"/>
      <w:bookmarkStart w:id="43" w:name="_Toc187261555"/>
      <w:bookmarkStart w:id="44" w:name="_Toc187261897"/>
      <w:bookmarkStart w:id="45" w:name="_Toc187261994"/>
      <w:r w:rsidRPr="005D3B64">
        <w:rPr>
          <w:noProof/>
          <w:u w:color="000000"/>
          <w:bdr w:val="nil"/>
        </w:rPr>
        <w:t>•</w:t>
      </w:r>
      <w:r w:rsidRPr="005D3B64">
        <w:rPr>
          <w:noProof/>
          <w:u w:color="000000"/>
          <w:bdr w:val="nil"/>
        </w:rPr>
        <w:tab/>
        <w:t>Réglementation affûtée et simplification</w:t>
      </w:r>
      <w:bookmarkEnd w:id="42"/>
      <w:bookmarkEnd w:id="43"/>
      <w:bookmarkEnd w:id="44"/>
      <w:bookmarkEnd w:id="45"/>
    </w:p>
    <w:p w:rsidR="00162E2A" w:rsidRPr="005D3B64" w:rsidRDefault="00402896" w:rsidP="00162E2A">
      <w:pPr>
        <w:pBdr>
          <w:top w:val="nil"/>
          <w:left w:val="nil"/>
          <w:bottom w:val="nil"/>
          <w:right w:val="nil"/>
          <w:between w:val="nil"/>
          <w:bar w:val="nil"/>
        </w:pBdr>
        <w:spacing w:before="0" w:after="240"/>
        <w:rPr>
          <w:noProof/>
        </w:rPr>
      </w:pPr>
      <w:r w:rsidRPr="005D3B64">
        <w:rPr>
          <w:noProof/>
        </w:rPr>
        <w:t>Sans objet.</w:t>
      </w:r>
    </w:p>
    <w:p w:rsidR="00162E2A" w:rsidRPr="005D3B64" w:rsidRDefault="00162E2A" w:rsidP="00162E2A">
      <w:pPr>
        <w:pStyle w:val="ManualHeading2"/>
        <w:rPr>
          <w:noProof/>
          <w:u w:color="000000"/>
          <w:bdr w:val="nil"/>
        </w:rPr>
      </w:pPr>
      <w:bookmarkStart w:id="46" w:name="_Toc187261226"/>
      <w:bookmarkStart w:id="47" w:name="_Toc187261556"/>
      <w:bookmarkStart w:id="48" w:name="_Toc187261898"/>
      <w:bookmarkStart w:id="49" w:name="_Toc187261995"/>
      <w:r w:rsidRPr="005D3B64">
        <w:rPr>
          <w:noProof/>
          <w:u w:color="000000"/>
          <w:bdr w:val="nil"/>
        </w:rPr>
        <w:t>•</w:t>
      </w:r>
      <w:r w:rsidRPr="005D3B64">
        <w:rPr>
          <w:noProof/>
          <w:u w:color="000000"/>
          <w:bdr w:val="nil"/>
        </w:rPr>
        <w:tab/>
        <w:t>Droits fondamentaux</w:t>
      </w:r>
      <w:bookmarkEnd w:id="46"/>
      <w:bookmarkEnd w:id="47"/>
      <w:bookmarkEnd w:id="48"/>
      <w:bookmarkEnd w:id="49"/>
    </w:p>
    <w:p w:rsidR="00162E2A" w:rsidRPr="005D3B64" w:rsidRDefault="00402896" w:rsidP="00162E2A">
      <w:pPr>
        <w:pBdr>
          <w:top w:val="nil"/>
          <w:left w:val="nil"/>
          <w:bottom w:val="nil"/>
          <w:right w:val="nil"/>
          <w:between w:val="nil"/>
          <w:bar w:val="nil"/>
        </w:pBdr>
        <w:spacing w:before="0" w:after="240"/>
        <w:rPr>
          <w:noProof/>
        </w:rPr>
      </w:pPr>
      <w:r w:rsidRPr="005D3B64">
        <w:rPr>
          <w:noProof/>
        </w:rPr>
        <w:t>Sans objet.</w:t>
      </w:r>
    </w:p>
    <w:p w:rsidR="00162E2A" w:rsidRPr="005D3B64" w:rsidRDefault="00162E2A" w:rsidP="00162E2A">
      <w:pPr>
        <w:pStyle w:val="ManualHeading1"/>
        <w:rPr>
          <w:noProof/>
        </w:rPr>
      </w:pPr>
      <w:bookmarkStart w:id="50" w:name="_Toc187261227"/>
      <w:bookmarkStart w:id="51" w:name="_Toc187261557"/>
      <w:bookmarkStart w:id="52" w:name="_Toc187261899"/>
      <w:bookmarkStart w:id="53" w:name="_Toc187261996"/>
      <w:r w:rsidRPr="005D3B64">
        <w:rPr>
          <w:noProof/>
        </w:rPr>
        <w:t>4.</w:t>
      </w:r>
      <w:r w:rsidRPr="005D3B64">
        <w:rPr>
          <w:noProof/>
        </w:rPr>
        <w:tab/>
        <w:t>INCIDENCE BUDGÉTAIRE</w:t>
      </w:r>
      <w:bookmarkEnd w:id="50"/>
      <w:bookmarkEnd w:id="51"/>
      <w:bookmarkEnd w:id="52"/>
      <w:bookmarkEnd w:id="53"/>
    </w:p>
    <w:p w:rsidR="00162E2A" w:rsidRPr="005D3B64" w:rsidRDefault="00402896" w:rsidP="00162E2A">
      <w:pPr>
        <w:pBdr>
          <w:top w:val="nil"/>
          <w:left w:val="nil"/>
          <w:bottom w:val="nil"/>
          <w:right w:val="nil"/>
          <w:between w:val="nil"/>
          <w:bar w:val="nil"/>
        </w:pBdr>
        <w:spacing w:before="0" w:after="240"/>
        <w:rPr>
          <w:noProof/>
        </w:rPr>
      </w:pPr>
      <w:r w:rsidRPr="005D3B64">
        <w:rPr>
          <w:noProof/>
        </w:rPr>
        <w:t>Sans objet.</w:t>
      </w:r>
    </w:p>
    <w:p w:rsidR="00162E2A" w:rsidRPr="005D3B64" w:rsidRDefault="00162E2A" w:rsidP="00162E2A">
      <w:pPr>
        <w:pStyle w:val="ManualHeading1"/>
        <w:rPr>
          <w:noProof/>
        </w:rPr>
      </w:pPr>
      <w:bookmarkStart w:id="54" w:name="_Toc187261228"/>
      <w:bookmarkStart w:id="55" w:name="_Toc187261558"/>
      <w:bookmarkStart w:id="56" w:name="_Toc187261900"/>
      <w:bookmarkStart w:id="57" w:name="_Toc187261997"/>
      <w:r w:rsidRPr="005D3B64">
        <w:rPr>
          <w:noProof/>
        </w:rPr>
        <w:t>5.</w:t>
      </w:r>
      <w:r w:rsidRPr="005D3B64">
        <w:rPr>
          <w:noProof/>
        </w:rPr>
        <w:tab/>
        <w:t>AUTRES ÉLÉMENTS</w:t>
      </w:r>
      <w:bookmarkEnd w:id="54"/>
      <w:bookmarkEnd w:id="55"/>
      <w:bookmarkEnd w:id="56"/>
      <w:bookmarkEnd w:id="57"/>
    </w:p>
    <w:p w:rsidR="00162E2A" w:rsidRPr="005D3B64" w:rsidRDefault="00162E2A" w:rsidP="00162E2A">
      <w:pPr>
        <w:pStyle w:val="ManualHeading2"/>
        <w:rPr>
          <w:noProof/>
          <w:u w:color="000000"/>
          <w:bdr w:val="nil"/>
        </w:rPr>
      </w:pPr>
      <w:bookmarkStart w:id="58" w:name="_Toc187261229"/>
      <w:bookmarkStart w:id="59" w:name="_Toc187261559"/>
      <w:bookmarkStart w:id="60" w:name="_Toc187261901"/>
      <w:bookmarkStart w:id="61" w:name="_Toc187261998"/>
      <w:r w:rsidRPr="005D3B64">
        <w:rPr>
          <w:noProof/>
          <w:bdr w:val="nil"/>
        </w:rPr>
        <w:t>•</w:t>
      </w:r>
      <w:r w:rsidRPr="005D3B64">
        <w:rPr>
          <w:noProof/>
          <w:u w:color="000000"/>
          <w:bdr w:val="nil"/>
        </w:rPr>
        <w:tab/>
      </w:r>
      <w:r w:rsidRPr="005D3B64">
        <w:rPr>
          <w:noProof/>
          <w:bdr w:val="nil"/>
        </w:rPr>
        <w:t>Plans de mise en œuvre et modalités de suivi, d’évaluation et d’information</w:t>
      </w:r>
      <w:bookmarkEnd w:id="58"/>
      <w:bookmarkEnd w:id="59"/>
      <w:bookmarkEnd w:id="60"/>
      <w:bookmarkEnd w:id="61"/>
    </w:p>
    <w:p w:rsidR="00162E2A" w:rsidRPr="005D3B64" w:rsidRDefault="006C11C6" w:rsidP="3E31E24C">
      <w:pPr>
        <w:pBdr>
          <w:top w:val="nil"/>
          <w:left w:val="nil"/>
          <w:bottom w:val="nil"/>
          <w:right w:val="nil"/>
          <w:between w:val="nil"/>
        </w:pBdr>
        <w:spacing w:before="0" w:after="240"/>
        <w:rPr>
          <w:noProof/>
        </w:rPr>
      </w:pPr>
      <w:r w:rsidRPr="005D3B64">
        <w:rPr>
          <w:noProof/>
        </w:rPr>
        <w:t>La mise en œuvre du programme stratégique 2025</w:t>
      </w:r>
      <w:r w:rsidRPr="005D3B64">
        <w:rPr>
          <w:noProof/>
        </w:rPr>
        <w:noBreakHyphen/>
        <w:t>2027 de l’EER fait l’objet d’un suivi par le mécanisme de suivi de l’EER. Ce mécanisme est fondé sur les exigences énoncées dans la recommandation du Conseil sur un pacte pour la R&amp;I en Europe. Le 10 juin 2022, la Commission européenne a présenté au Conseil le «Framework for the Future ERA Monitoring Mechanism» (cadre pour le futur mécanisme de suivi de l’EER), qui décrit dans le détail les éléments du mécanisme.</w:t>
      </w:r>
    </w:p>
    <w:p w:rsidR="00162E2A" w:rsidRPr="005D3B64" w:rsidRDefault="1A3C1ADF" w:rsidP="00950DE5">
      <w:pPr>
        <w:pBdr>
          <w:top w:val="nil"/>
          <w:left w:val="nil"/>
          <w:bottom w:val="nil"/>
          <w:right w:val="nil"/>
          <w:between w:val="nil"/>
        </w:pBdr>
        <w:spacing w:before="0" w:after="240"/>
        <w:rPr>
          <w:noProof/>
        </w:rPr>
      </w:pPr>
      <w:r w:rsidRPr="005D3B64">
        <w:rPr>
          <w:noProof/>
        </w:rPr>
        <w:t>Afin de permettre l’évaluation de la mise en œuvre des actions convenues dans le cadre du programme stratégique de l’EER au niveau tant national qu’européen, ainsi que des performances de l’UE et de ses États membres dans la réalisation des objectifs de l’EER, le mécanisme de suivi de l’EER est doté d’outils d’établissement de rapports qualitatifs et quantitatifs.</w:t>
      </w:r>
    </w:p>
    <w:p w:rsidR="00162E2A" w:rsidRPr="005D3B64" w:rsidRDefault="00162E2A" w:rsidP="00162E2A">
      <w:pPr>
        <w:pStyle w:val="ManualHeading2"/>
        <w:rPr>
          <w:noProof/>
          <w:u w:color="000000"/>
          <w:bdr w:val="nil"/>
        </w:rPr>
      </w:pPr>
      <w:bookmarkStart w:id="62" w:name="_Toc187261230"/>
      <w:bookmarkStart w:id="63" w:name="_Toc187261560"/>
      <w:bookmarkStart w:id="64" w:name="_Toc187261902"/>
      <w:bookmarkStart w:id="65" w:name="_Toc187261999"/>
      <w:r w:rsidRPr="005D3B64">
        <w:rPr>
          <w:noProof/>
          <w:u w:color="000000"/>
          <w:bdr w:val="nil"/>
        </w:rPr>
        <w:t>•</w:t>
      </w:r>
      <w:r w:rsidRPr="005D3B64">
        <w:rPr>
          <w:noProof/>
          <w:u w:color="000000"/>
          <w:bdr w:val="nil"/>
        </w:rPr>
        <w:tab/>
        <w:t>Explication détaillée de certaines dispositions de la proposition</w:t>
      </w:r>
      <w:bookmarkEnd w:id="62"/>
      <w:bookmarkEnd w:id="63"/>
      <w:bookmarkEnd w:id="64"/>
      <w:bookmarkEnd w:id="65"/>
    </w:p>
    <w:p w:rsidR="009063DE" w:rsidRPr="005D3B64" w:rsidRDefault="009063DE" w:rsidP="009063DE">
      <w:pPr>
        <w:pBdr>
          <w:top w:val="nil"/>
          <w:left w:val="nil"/>
          <w:bottom w:val="nil"/>
          <w:right w:val="nil"/>
          <w:between w:val="nil"/>
          <w:bar w:val="nil"/>
        </w:pBdr>
        <w:spacing w:before="0" w:after="240"/>
        <w:rPr>
          <w:noProof/>
        </w:rPr>
      </w:pPr>
      <w:r w:rsidRPr="005D3B64">
        <w:rPr>
          <w:noProof/>
        </w:rPr>
        <w:t>Sans objet.</w:t>
      </w:r>
      <w:r w:rsidRPr="005D3B64">
        <w:rPr>
          <w:noProof/>
        </w:rPr>
        <w:br w:type="page"/>
      </w:r>
    </w:p>
    <w:p w:rsidR="00233F41" w:rsidRDefault="00F42BF8">
      <w:pPr>
        <w:pStyle w:val="Rfrenceinterinstitutionnelle"/>
        <w:rPr>
          <w:noProof/>
        </w:rPr>
      </w:pPr>
      <w:r>
        <w:rPr>
          <w:noProof/>
        </w:rPr>
        <w:t>2025/0034 (NLE)</w:t>
      </w:r>
    </w:p>
    <w:p w:rsidR="00DA2E0E" w:rsidRPr="005D3B64" w:rsidRDefault="005D3B64" w:rsidP="005D3B64">
      <w:pPr>
        <w:pStyle w:val="Statut"/>
        <w:rPr>
          <w:noProof/>
        </w:rPr>
      </w:pPr>
      <w:r w:rsidRPr="005D3B64">
        <w:rPr>
          <w:noProof/>
        </w:rPr>
        <w:t>Proposition de</w:t>
      </w:r>
    </w:p>
    <w:p w:rsidR="00DA2E0E" w:rsidRPr="005D3B64" w:rsidRDefault="005D3B64" w:rsidP="005D3B64">
      <w:pPr>
        <w:pStyle w:val="Typedudocument"/>
        <w:rPr>
          <w:noProof/>
        </w:rPr>
      </w:pPr>
      <w:r w:rsidRPr="005D3B64">
        <w:rPr>
          <w:noProof/>
        </w:rPr>
        <w:t>RECOMMANDATION DU CONSEIL</w:t>
      </w:r>
    </w:p>
    <w:p w:rsidR="00DA2E0E" w:rsidRPr="005D3B64" w:rsidRDefault="005D3B64" w:rsidP="005D3B64">
      <w:pPr>
        <w:pStyle w:val="Titreobjet"/>
        <w:rPr>
          <w:noProof/>
        </w:rPr>
      </w:pPr>
      <w:r w:rsidRPr="005D3B64">
        <w:rPr>
          <w:noProof/>
        </w:rPr>
        <w:t>sur le programme stratégique 2025</w:t>
      </w:r>
      <w:r w:rsidRPr="005D3B64">
        <w:rPr>
          <w:noProof/>
        </w:rPr>
        <w:noBreakHyphen/>
        <w:t>2027 de l’Espace européen de la recherche</w:t>
      </w:r>
    </w:p>
    <w:p w:rsidR="00DA2E0E" w:rsidRPr="005D3B64" w:rsidRDefault="005D3B64" w:rsidP="005D3B64">
      <w:pPr>
        <w:pStyle w:val="IntrtEEE"/>
        <w:rPr>
          <w:noProof/>
        </w:rPr>
      </w:pPr>
      <w:r w:rsidRPr="005D3B64">
        <w:rPr>
          <w:noProof/>
        </w:rPr>
        <w:t>(Texte présentant de l’intérêt pour l’EEE)</w:t>
      </w:r>
    </w:p>
    <w:p w:rsidR="00DA2E0E" w:rsidRPr="005D3B64" w:rsidRDefault="00DA2E0E" w:rsidP="00AB7225">
      <w:pPr>
        <w:pStyle w:val="Institutionquiagit"/>
        <w:rPr>
          <w:noProof/>
        </w:rPr>
      </w:pPr>
      <w:r w:rsidRPr="005D3B64">
        <w:rPr>
          <w:noProof/>
        </w:rPr>
        <w:t>LE CONSEIL DE L’UNION EUROPÉENNE,</w:t>
      </w:r>
    </w:p>
    <w:p w:rsidR="00F065FD" w:rsidRPr="005D3B64" w:rsidRDefault="00F065FD" w:rsidP="00AB7225">
      <w:pPr>
        <w:rPr>
          <w:noProof/>
        </w:rPr>
      </w:pPr>
      <w:r w:rsidRPr="005D3B64">
        <w:rPr>
          <w:noProof/>
        </w:rPr>
        <w:t>vu le traité sur le fonctionnement de l’Union européenne, et notamment son article 292, première et deuxième phrases,</w:t>
      </w:r>
    </w:p>
    <w:p w:rsidR="00DA2E0E" w:rsidRPr="005D3B64" w:rsidRDefault="00DA2E0E" w:rsidP="00AB7225">
      <w:pPr>
        <w:rPr>
          <w:noProof/>
        </w:rPr>
      </w:pPr>
      <w:r w:rsidRPr="005D3B64">
        <w:rPr>
          <w:noProof/>
        </w:rPr>
        <w:t>vu la proposition de la Commission européenne,</w:t>
      </w:r>
    </w:p>
    <w:p w:rsidR="00474B3F" w:rsidRPr="005D3B64" w:rsidRDefault="00DA2E0E" w:rsidP="00E6103B">
      <w:pPr>
        <w:rPr>
          <w:noProof/>
        </w:rPr>
      </w:pPr>
      <w:r w:rsidRPr="005D3B64">
        <w:rPr>
          <w:noProof/>
        </w:rPr>
        <w:t>considérant ce qui suit:</w:t>
      </w:r>
    </w:p>
    <w:p w:rsidR="003D1E65" w:rsidRPr="005D3B64" w:rsidRDefault="00596288" w:rsidP="00596288">
      <w:pPr>
        <w:pStyle w:val="ManualConsidrant"/>
        <w:rPr>
          <w:noProof/>
        </w:rPr>
      </w:pPr>
      <w:r w:rsidRPr="00596288">
        <w:rPr>
          <w:noProof/>
        </w:rPr>
        <w:t>(1)</w:t>
      </w:r>
      <w:r w:rsidRPr="00596288">
        <w:rPr>
          <w:noProof/>
        </w:rPr>
        <w:tab/>
      </w:r>
      <w:r w:rsidR="1DEFE814" w:rsidRPr="005D3B64">
        <w:rPr>
          <w:noProof/>
        </w:rPr>
        <w:t>L’UE doit aujourd’hui faire face à des défis multiples et sans précédent. L’ordre mondial est en pleine mutation et les fondements de notre bien-être sociétal et de notre sécurité sont mis à mal par l’instabilité géopolitique, l’intensification de la concurrence économique, une révolution technologique transformatrice et d’une rapidité sans précédent, ainsi que par le changement climatique et ses conséquences. La nécessité de renforcer le leadership et l’autonomie stratégique de l’Europe dans des domaines technologiques cruciaux est désormais urgente. Dans ce contexte, la science, la technologie et l’innovation sont essentielles pour réduire les vulnérabilités de l’Europe et libérer son plein potentiel. En outre, la recherche et l’innovation (R&amp;I) jouent un rôle critique dans le renforcement de la compétitivité durable de l’Union européenne.</w:t>
      </w:r>
    </w:p>
    <w:p w:rsidR="004F4BFC" w:rsidRPr="005D3B64" w:rsidRDefault="00596288" w:rsidP="00596288">
      <w:pPr>
        <w:pStyle w:val="ManualConsidrant"/>
        <w:rPr>
          <w:noProof/>
        </w:rPr>
      </w:pPr>
      <w:r w:rsidRPr="00596288">
        <w:rPr>
          <w:noProof/>
        </w:rPr>
        <w:t>(2)</w:t>
      </w:r>
      <w:r w:rsidRPr="00596288">
        <w:rPr>
          <w:noProof/>
        </w:rPr>
        <w:tab/>
      </w:r>
      <w:r w:rsidR="00026DEF" w:rsidRPr="005D3B64">
        <w:rPr>
          <w:noProof/>
        </w:rPr>
        <w:t>Le développement de l’Espace européen de la recherche (EER) est au cœur des efforts déployés pour relever ces défis. L’ambition de créer l’EER en tant que marché unique de la recherche, de la technologie et de l’innovation est née en 2000 et a été inscrite dans le traité de Lisbonne comme objectif spécifique de l’Union. L’ambition politique récente de mettre en place une «Union de la recherche et de l’innovation» débouchant sur une stratégie et une politique européennes communes en matière de R&amp;I et de promouvoir la «cinquième liberté» montre qu’il est toujours nécessaire de développer plus avant un espace dans lequel les pays unissent leurs efforts pour coordonner et améliorer leurs politiques et écosystèmes nationaux en matière de R&amp;I, et au sein duquel les connaissances, les chercheurs et les technologies peuvent circuler librement. Le renforcement par l’EER de la coordination à l’échelle de l’UE peut contribuer à stimuler les investissements et les réformes et jouer un rôle essentiel dans la promotion d’une compétitivité durable, conformément aux objectifs de la boussole pour la compétitivité</w:t>
      </w:r>
      <w:r w:rsidR="006E718C" w:rsidRPr="005D3B64">
        <w:rPr>
          <w:rStyle w:val="FootnoteReference"/>
          <w:noProof/>
        </w:rPr>
        <w:footnoteReference w:id="6"/>
      </w:r>
      <w:r w:rsidR="00026DEF" w:rsidRPr="005D3B64">
        <w:rPr>
          <w:noProof/>
        </w:rPr>
        <w:t>.</w:t>
      </w:r>
    </w:p>
    <w:p w:rsidR="0051707D" w:rsidRPr="005D3B64" w:rsidRDefault="00596288" w:rsidP="00596288">
      <w:pPr>
        <w:pStyle w:val="ManualConsidrant"/>
        <w:rPr>
          <w:noProof/>
        </w:rPr>
      </w:pPr>
      <w:r w:rsidRPr="00596288">
        <w:rPr>
          <w:noProof/>
        </w:rPr>
        <w:t>(3)</w:t>
      </w:r>
      <w:r w:rsidRPr="00596288">
        <w:rPr>
          <w:noProof/>
        </w:rPr>
        <w:tab/>
      </w:r>
      <w:r w:rsidR="00772564" w:rsidRPr="005D3B64">
        <w:rPr>
          <w:noProof/>
        </w:rPr>
        <w:t>L’EER a permis des réalisations majeures au cours des 25 dernières années, dans des domaines d’action essentiels tels que les infrastructures de recherche, la science ouverte, la coopération internationale, l’équilibre hommes-femmes dans la R&amp;I, la programmation conjointe, les carrières dans la recherche et la mobilité des chercheurs. Parmi les programmes ayant contribué à ces réalisations figurent les actions Marie Skłodowska-Curie (AMSC), qui ont financé plus de 150 000 chercheurs d’excellence, notamment dans le cadre de programmes de doctorat d’excellence, de bourses postdoctorales et d’échanges de personnel dans le domaine de la R&amp;I; EURAXESS, qui a soutenu plus de deux millions de chercheurs dans le développement de leur carrière et leur mobilité à travers l’Europe; et le nuage pour la science ouverte (EOSC), qui offre un accès continu à des données et à des services numériques de qualité tout en soutenant la collaboration par-delà les frontières et les disciplines.</w:t>
      </w:r>
    </w:p>
    <w:p w:rsidR="00D964E5" w:rsidRPr="005D3B64" w:rsidRDefault="00596288" w:rsidP="00596288">
      <w:pPr>
        <w:pStyle w:val="ManualConsidrant"/>
        <w:rPr>
          <w:noProof/>
        </w:rPr>
      </w:pPr>
      <w:r w:rsidRPr="00596288">
        <w:rPr>
          <w:noProof/>
        </w:rPr>
        <w:t>(4)</w:t>
      </w:r>
      <w:r w:rsidRPr="00596288">
        <w:rPr>
          <w:noProof/>
        </w:rPr>
        <w:tab/>
      </w:r>
      <w:r w:rsidR="08BBAC9F" w:rsidRPr="005D3B64">
        <w:rPr>
          <w:noProof/>
        </w:rPr>
        <w:t>En 2021, les États membres et la Commission se sont accordés sur une nouvelle vision et un nouveau cadre d’action, exposés dans les conclusions du Conseil sur la future gouvernance de l’EER</w:t>
      </w:r>
      <w:r w:rsidR="00AF5C91" w:rsidRPr="005D3B64">
        <w:rPr>
          <w:rStyle w:val="FootnoteReference"/>
          <w:noProof/>
        </w:rPr>
        <w:footnoteReference w:id="7"/>
      </w:r>
      <w:r w:rsidR="08BBAC9F" w:rsidRPr="005D3B64">
        <w:rPr>
          <w:noProof/>
        </w:rPr>
        <w:t xml:space="preserve"> et le pacte pour la R&amp;I</w:t>
      </w:r>
      <w:r w:rsidR="002A13B3" w:rsidRPr="005D3B64">
        <w:rPr>
          <w:rStyle w:val="FootnoteReference"/>
          <w:noProof/>
        </w:rPr>
        <w:footnoteReference w:id="8"/>
      </w:r>
      <w:r w:rsidR="08BBAC9F" w:rsidRPr="005D3B64">
        <w:rPr>
          <w:noProof/>
        </w:rPr>
        <w:t>. Cette vision définit les valeurs et principes communs qui guideront la R&amp;I et établit des priorités d’action commune. Dans le pacte, les États membres ont répété leur volonté d’œuvrer ensemble à la réalisation des objectifs de l’EER afin de favoriser l’intégration et la coopération et de réduire la fragmentation en Europe dans les domaines de la recherche scientifique, de la technologie et de l’innovation. Dans les conclusions du Conseil de 2024 intitulées «Renforcer la compétitivité de l’UE, consolider l’espace européen de la recherche et remédier à sa fragmentation»</w:t>
      </w:r>
      <w:r w:rsidR="00AF5C91" w:rsidRPr="005D3B64">
        <w:rPr>
          <w:rStyle w:val="FootnoteReference"/>
          <w:noProof/>
        </w:rPr>
        <w:footnoteReference w:id="9"/>
      </w:r>
      <w:r w:rsidR="08BBAC9F" w:rsidRPr="005D3B64">
        <w:rPr>
          <w:noProof/>
        </w:rPr>
        <w:t>, les États membres ont réaffirmé leur engagement à améliorer la coordination et à aligner les politiques nationales de R&amp;I dans le but de créer un écosystème de recherche plus intégré et plus efficace.</w:t>
      </w:r>
    </w:p>
    <w:p w:rsidR="003440BB" w:rsidRPr="005D3B64" w:rsidRDefault="00596288" w:rsidP="00596288">
      <w:pPr>
        <w:pStyle w:val="ManualConsidrant"/>
        <w:rPr>
          <w:noProof/>
        </w:rPr>
      </w:pPr>
      <w:r w:rsidRPr="00596288">
        <w:rPr>
          <w:noProof/>
        </w:rPr>
        <w:t>(5)</w:t>
      </w:r>
      <w:r w:rsidRPr="00596288">
        <w:rPr>
          <w:noProof/>
        </w:rPr>
        <w:tab/>
      </w:r>
      <w:r w:rsidR="6D86B4EB" w:rsidRPr="005D3B64">
        <w:rPr>
          <w:noProof/>
        </w:rPr>
        <w:t>Le premier programme stratégique de l’EER (2022</w:t>
      </w:r>
      <w:r w:rsidR="6D86B4EB" w:rsidRPr="005D3B64">
        <w:rPr>
          <w:noProof/>
        </w:rPr>
        <w:noBreakHyphen/>
        <w:t>2024), a posé des bases solides pour la réalisation des objectifs de l’EER. Il a traduit les domaines prioritaires du pacte pour la R&amp;I en un ensemble d’actions concrètes. 17 actions ont été mises en œuvre conjointement par la Commission, les États membres, les pays associés à Horizon Europe et les parties prenantes au niveau de l’UE. Dans la nouvelle gouvernance, le forum de l’EER et ses sous-groupes jouent un rôle unique dans le soutien à la mise en œuvre de l’EER et de ses actions. Ils servent de passerelle entre les organismes au niveau de l’UE, au niveau national et au niveau régional, et facilitent la collaboration. L’approche inclusive et participative garantit que toutes les voix sont entendues. Cela favorise des stratégies innovantes et une appropriation commune des politiques visant à renforcer l’écosystème européen de la R&amp;I. En tant qu’organe consultatif mixte de haut niveau en matière de politique stratégique, le Comité de l’Espace européen de la recherche et de l’innovation (CEER) fournit des conseils à un stade précoce au Conseil et à la Commission.</w:t>
      </w:r>
    </w:p>
    <w:p w:rsidR="00FD5BBF" w:rsidRPr="005D3B64" w:rsidRDefault="00596288" w:rsidP="00596288">
      <w:pPr>
        <w:pStyle w:val="ManualConsidrant"/>
        <w:rPr>
          <w:noProof/>
        </w:rPr>
      </w:pPr>
      <w:r w:rsidRPr="00596288">
        <w:rPr>
          <w:noProof/>
        </w:rPr>
        <w:t>(6)</w:t>
      </w:r>
      <w:r w:rsidRPr="00596288">
        <w:rPr>
          <w:noProof/>
        </w:rPr>
        <w:tab/>
      </w:r>
      <w:r w:rsidR="34C7796D" w:rsidRPr="005D3B64">
        <w:rPr>
          <w:noProof/>
        </w:rPr>
        <w:t>La Commission a mis en exergue les réalisations du programme stratégique 2022</w:t>
      </w:r>
      <w:r w:rsidR="34C7796D" w:rsidRPr="005D3B64">
        <w:rPr>
          <w:noProof/>
        </w:rPr>
        <w:noBreakHyphen/>
        <w:t>2024 de l’EER et la nouvelle gouvernance dans la communication de 2024 intitulée «Mise en œuvre de l’Espace européen de la recherche»</w:t>
      </w:r>
      <w:r w:rsidR="002A13B3" w:rsidRPr="005D3B64">
        <w:rPr>
          <w:rStyle w:val="FootnoteReference"/>
          <w:noProof/>
        </w:rPr>
        <w:footnoteReference w:id="10"/>
      </w:r>
      <w:r w:rsidR="34C7796D" w:rsidRPr="005D3B64">
        <w:rPr>
          <w:noProof/>
        </w:rPr>
        <w:t>. Parmi les principales réalisations du premier programme stratégique de l’EER ( 2022</w:t>
      </w:r>
      <w:r w:rsidR="34C7796D" w:rsidRPr="005D3B64">
        <w:rPr>
          <w:noProof/>
        </w:rPr>
        <w:noBreakHyphen/>
        <w:t>2024) visant à répondre à une série de besoins en matière de R&amp;I figurent notamment 1) la création de la Coalition for Advancing Research Assessment (CoARA - Coalition pour l’amélioration de l’évaluation de la recherche), 2) la publication du code de conduite «Tolérance zéro» pour lutter contre la violence fondée sur le genre dans le système de recherche et d’innovation de l’UE, 3) la stimulation de la transformation de l’énergie verte par la mise en œuvre du programme stratégique de recherche et d’innovation de l’EER sur l’hydrogène vert, 4) la création du «réseau des autorités de gestion des programmes relevant de la politique de cohésion» (RIMA), qui réunit des acteurs de la politique R&amp;I et des autorités de gestion afin d’évaluer la fracture en matière d’innovation, d’accroître l’excellence et de tirer parti des instruments d’élargissement existants, et 5) l’élaboration d’un nouveau cadre de suivi et d’évaluation de l’EER.</w:t>
      </w:r>
    </w:p>
    <w:p w:rsidR="00C52573" w:rsidRPr="005D3B64" w:rsidRDefault="00596288" w:rsidP="00596288">
      <w:pPr>
        <w:pStyle w:val="ManualConsidrant"/>
        <w:rPr>
          <w:noProof/>
        </w:rPr>
      </w:pPr>
      <w:r w:rsidRPr="00596288">
        <w:rPr>
          <w:noProof/>
        </w:rPr>
        <w:t>(7)</w:t>
      </w:r>
      <w:r w:rsidRPr="00596288">
        <w:rPr>
          <w:noProof/>
        </w:rPr>
        <w:tab/>
      </w:r>
      <w:r w:rsidR="4A8168DF" w:rsidRPr="005D3B64">
        <w:rPr>
          <w:noProof/>
        </w:rPr>
        <w:t>Le deuxième programme stratégique de l’EER (2025</w:t>
      </w:r>
      <w:r w:rsidR="4A8168DF" w:rsidRPr="005D3B64">
        <w:rPr>
          <w:noProof/>
        </w:rPr>
        <w:noBreakHyphen/>
        <w:t>2027) poursuit cette approche et a été conçu pour relever les défis actuels. À partir des domaines prioritaires d’action commune du pacte pour la R&amp;I et des résultats de la mise en œuvre du premier programme stratégique de l’EER (2022</w:t>
      </w:r>
      <w:r w:rsidR="4A8168DF" w:rsidRPr="005D3B64">
        <w:rPr>
          <w:noProof/>
        </w:rPr>
        <w:noBreakHyphen/>
        <w:t>2024), il définit 11 politiques structurelles et huit actions concrètes de l’EER. Ces politiques et actions sont le fruit d’un vaste processus de cocréation au sein du forum de l’EER et du CEER, l’objectif étant de démarrer la mise en œuvre en 2025. Le premier et le deuxième programme stratégique de l’EER sont reliés entre eux. Le programme stratégique 2025</w:t>
      </w:r>
      <w:r w:rsidR="4A8168DF" w:rsidRPr="005D3B64">
        <w:rPr>
          <w:noProof/>
        </w:rPr>
        <w:noBreakHyphen/>
        <w:t>2027 de l’EER assure la continuité des politiques actuellement mises en œuvre dans le cadre du premier programme, poursuit les objectifs fondamentaux à long terme de l’EER et dispose de la flexibilité nécessaire pour répondre aux nouveaux besoins stratégiques,</w:t>
      </w:r>
    </w:p>
    <w:p w:rsidR="00166E8B" w:rsidRPr="005D3B64" w:rsidRDefault="00166E8B" w:rsidP="00B01AB4">
      <w:pPr>
        <w:rPr>
          <w:noProof/>
        </w:rPr>
      </w:pPr>
    </w:p>
    <w:p w:rsidR="6F4C0D04" w:rsidRPr="005D3B64" w:rsidRDefault="14F92A47" w:rsidP="004A4F04">
      <w:pPr>
        <w:pStyle w:val="Formuledadoption"/>
        <w:rPr>
          <w:noProof/>
        </w:rPr>
      </w:pPr>
      <w:r w:rsidRPr="005D3B64">
        <w:rPr>
          <w:noProof/>
        </w:rPr>
        <w:t>RECOMMANDE CE QUI SUIT:</w:t>
      </w:r>
    </w:p>
    <w:p w:rsidR="00B629EB" w:rsidRPr="005D3B64" w:rsidRDefault="00596288" w:rsidP="00596288">
      <w:pPr>
        <w:pStyle w:val="ManualNumPar1"/>
        <w:rPr>
          <w:noProof/>
        </w:rPr>
      </w:pPr>
      <w:r w:rsidRPr="00596288">
        <w:rPr>
          <w:noProof/>
        </w:rPr>
        <w:t>1.</w:t>
      </w:r>
      <w:r w:rsidRPr="00596288">
        <w:rPr>
          <w:noProof/>
        </w:rPr>
        <w:tab/>
      </w:r>
      <w:r w:rsidR="74816DE6" w:rsidRPr="005D3B64">
        <w:rPr>
          <w:noProof/>
        </w:rPr>
        <w:t>Les États membres adoptent le programme stratégique 2025</w:t>
      </w:r>
      <w:r w:rsidR="74816DE6" w:rsidRPr="005D3B64">
        <w:rPr>
          <w:noProof/>
        </w:rPr>
        <w:noBreakHyphen/>
        <w:t>2027 de l’EER assorti de 11 politiques structurelles à long terme de l’EER, qui ne se limitent pas à des programmes d’action individuels mais comportent toujours un plan de travail triennal, et de huit actions de l’EER, qui devront être réalisées dans le cadre du programme d’action triennal. Toutes les propositions relatives à l’EER sont présentées plus en détail dans l’annexe.</w:t>
      </w:r>
    </w:p>
    <w:p w:rsidR="000D58A2" w:rsidRPr="005D3B64" w:rsidRDefault="00596288" w:rsidP="00596288">
      <w:pPr>
        <w:pStyle w:val="ManualNumPar1"/>
        <w:rPr>
          <w:noProof/>
        </w:rPr>
      </w:pPr>
      <w:r w:rsidRPr="00596288">
        <w:rPr>
          <w:noProof/>
        </w:rPr>
        <w:t>2.</w:t>
      </w:r>
      <w:r w:rsidRPr="00596288">
        <w:rPr>
          <w:noProof/>
        </w:rPr>
        <w:tab/>
      </w:r>
      <w:r w:rsidR="00A75433" w:rsidRPr="005D3B64">
        <w:rPr>
          <w:noProof/>
        </w:rPr>
        <w:t>Les États membres mettent en œuvre, sur une base volontaire, les politiques structurelles et les actions de l’EER suivantes, conformément aux quatre domaines prioritaires d’action commune du pacte pour la R&amp;I. Ces politiques et actions structurelles sont principalement axées sur i) l’apport d’une réelle valeur ajoutée aux niveaux national et européen, ii) la production d’un impact grâce à l’obtention de résultats spécifiques et concrets dans un délai de trois ans, iii) une cocréation permanente entre les États membres, la Commission et les parties prenantes, iv) l’autonomie avec une activité principale, c’est-à-dire sans sous-action, et v) une mise en œuvre à géométrie variable, qui permette une certaine flexibilité dans le degré d’implication des pays.</w:t>
      </w:r>
    </w:p>
    <w:p w:rsidR="00B7136A" w:rsidRPr="005D3B64" w:rsidRDefault="00596288" w:rsidP="00596288">
      <w:pPr>
        <w:pStyle w:val="ManualHeading1"/>
        <w:rPr>
          <w:noProof/>
        </w:rPr>
      </w:pPr>
      <w:r w:rsidRPr="00596288">
        <w:rPr>
          <w:noProof/>
        </w:rPr>
        <w:t>1.</w:t>
      </w:r>
      <w:r w:rsidRPr="00596288">
        <w:rPr>
          <w:noProof/>
        </w:rPr>
        <w:tab/>
      </w:r>
      <w:r w:rsidR="000D58A2" w:rsidRPr="005D3B64">
        <w:rPr>
          <w:noProof/>
        </w:rPr>
        <w:t>Domaine prioritaire: approfondir un marché intérieur de la connaissance qui fonctionne réellement</w:t>
      </w:r>
    </w:p>
    <w:p w:rsidR="00772564" w:rsidRPr="005D3B64" w:rsidRDefault="2667C775" w:rsidP="003B38D0">
      <w:pPr>
        <w:pStyle w:val="Text1"/>
        <w:rPr>
          <w:noProof/>
        </w:rPr>
      </w:pPr>
      <w:r w:rsidRPr="005D3B64">
        <w:rPr>
          <w:noProof/>
        </w:rPr>
        <w:t>La libre circulation des chercheurs, des connaissances et des données est essentielle à la création d’un système européen de R&amp;I plus efficace et plus inclusif. Elle contribue à réduire au minimum la duplication des ressources et à créer la masse critique nécessaire pour être efficace. Pour renforcer la compétitivité de l’UE, il est primordial de renforcer sa position et son leadership scientifique au niveau international en étant à l’avant-garde de la recherche fondamentale et de la recherche appliquée.</w:t>
      </w:r>
    </w:p>
    <w:p w:rsidR="00772564" w:rsidRPr="005D3B64" w:rsidRDefault="00772564" w:rsidP="00772564">
      <w:pPr>
        <w:pStyle w:val="Text1"/>
        <w:rPr>
          <w:noProof/>
        </w:rPr>
      </w:pPr>
    </w:p>
    <w:p w:rsidR="00A75433" w:rsidRPr="005D3B64" w:rsidRDefault="00772564" w:rsidP="003B38D0">
      <w:pPr>
        <w:pStyle w:val="Text1"/>
        <w:rPr>
          <w:noProof/>
        </w:rPr>
      </w:pPr>
      <w:r w:rsidRPr="005D3B64">
        <w:rPr>
          <w:noProof/>
        </w:rPr>
        <w:t xml:space="preserve">L’UE poursuivra ses travaux dans ce domaine prioritaire par les politiques structurelles suivantes: </w:t>
      </w:r>
    </w:p>
    <w:p w:rsidR="00F442EF" w:rsidRPr="005D3B64" w:rsidRDefault="40FFCC83" w:rsidP="00A561D0">
      <w:pPr>
        <w:pStyle w:val="Text1"/>
        <w:rPr>
          <w:rFonts w:eastAsia="Times New Roman"/>
          <w:noProof/>
        </w:rPr>
      </w:pPr>
      <w:r w:rsidRPr="005D3B64">
        <w:rPr>
          <w:b/>
          <w:bCs/>
          <w:noProof/>
        </w:rPr>
        <w:t>science ouverte</w:t>
      </w:r>
      <w:r w:rsidRPr="005D3B64">
        <w:rPr>
          <w:noProof/>
        </w:rPr>
        <w:t xml:space="preserve"> – soutenir la science ouverte par le partage et la réutilisation des données, notamment par l’intermédiaire du nuage européen pour la science ouverte (EOSC); </w:t>
      </w:r>
      <w:r w:rsidRPr="005D3B64">
        <w:rPr>
          <w:b/>
          <w:bCs/>
          <w:noProof/>
        </w:rPr>
        <w:t>infrastructures de recherche</w:t>
      </w:r>
      <w:r w:rsidRPr="005D3B64">
        <w:rPr>
          <w:noProof/>
        </w:rPr>
        <w:t xml:space="preserve"> – renforcer la durabilité, l’accessibilité et la résilience des infrastructures de recherche dans l’Espace européen de la recherche; </w:t>
      </w:r>
      <w:r w:rsidRPr="005D3B64">
        <w:rPr>
          <w:b/>
          <w:bCs/>
          <w:noProof/>
        </w:rPr>
        <w:t>égalité entre les femmes et les hommes, égalité des chances pour tous et inclusion</w:t>
      </w:r>
      <w:r w:rsidRPr="005D3B64">
        <w:rPr>
          <w:noProof/>
        </w:rPr>
        <w:t xml:space="preserve"> – renforcer l’égalité inclusive et intersectionnelle entre les hommes et les femmes dans l’EER; </w:t>
      </w:r>
      <w:r w:rsidRPr="005D3B64">
        <w:rPr>
          <w:b/>
          <w:bCs/>
          <w:noProof/>
        </w:rPr>
        <w:t>carrières et mobilité des chercheurs</w:t>
      </w:r>
      <w:r w:rsidRPr="005D3B64">
        <w:rPr>
          <w:noProof/>
        </w:rPr>
        <w:t xml:space="preserve"> et </w:t>
      </w:r>
      <w:r w:rsidRPr="005D3B64">
        <w:rPr>
          <w:b/>
          <w:bCs/>
          <w:noProof/>
        </w:rPr>
        <w:t>systèmes d’évaluation et de récompense de la recherche</w:t>
      </w:r>
      <w:r w:rsidRPr="005D3B64">
        <w:rPr>
          <w:noProof/>
        </w:rPr>
        <w:t xml:space="preserve"> – rendre les carrières dans la recherche plus attractives et plus durables, et réformer l’évaluation de la recherche; </w:t>
      </w:r>
      <w:r w:rsidRPr="005D3B64">
        <w:rPr>
          <w:b/>
          <w:bCs/>
          <w:noProof/>
        </w:rPr>
        <w:t>valorisation des connaissances</w:t>
      </w:r>
      <w:r w:rsidRPr="005D3B64">
        <w:rPr>
          <w:noProof/>
        </w:rPr>
        <w:t xml:space="preserve"> – développer les capacités et les activités de valorisation des connaissances; </w:t>
      </w:r>
      <w:r w:rsidRPr="005D3B64">
        <w:rPr>
          <w:b/>
          <w:bCs/>
          <w:noProof/>
        </w:rPr>
        <w:t>engagement mondial</w:t>
      </w:r>
      <w:r w:rsidRPr="005D3B64">
        <w:rPr>
          <w:noProof/>
        </w:rPr>
        <w:t> – approche globale de la R&amp;I.</w:t>
      </w:r>
    </w:p>
    <w:p w:rsidR="003B38D0" w:rsidRPr="005D3B64" w:rsidRDefault="003B38D0" w:rsidP="003B38D0">
      <w:pPr>
        <w:pStyle w:val="Text1"/>
        <w:rPr>
          <w:noProof/>
        </w:rPr>
      </w:pPr>
    </w:p>
    <w:p w:rsidR="00656802" w:rsidRPr="005D3B64" w:rsidRDefault="00CA32DC" w:rsidP="003B38D0">
      <w:pPr>
        <w:pStyle w:val="Text1"/>
        <w:rPr>
          <w:noProof/>
        </w:rPr>
      </w:pPr>
      <w:r w:rsidRPr="005D3B64">
        <w:rPr>
          <w:noProof/>
        </w:rPr>
        <w:t>Les actions suivantes de l’EER sont proposées pour les trois prochaines années:</w:t>
      </w:r>
    </w:p>
    <w:p w:rsidR="00ED3E5B" w:rsidRPr="005D3B64" w:rsidRDefault="00ED3E5B" w:rsidP="008A4FB2">
      <w:pPr>
        <w:pStyle w:val="Bullet1"/>
        <w:numPr>
          <w:ilvl w:val="0"/>
          <w:numId w:val="8"/>
        </w:numPr>
        <w:rPr>
          <w:noProof/>
        </w:rPr>
      </w:pPr>
      <w:r w:rsidRPr="005D3B64">
        <w:rPr>
          <w:noProof/>
        </w:rPr>
        <w:t>équité dans la science ouverte;</w:t>
      </w:r>
    </w:p>
    <w:p w:rsidR="00656802" w:rsidRPr="005D3B64" w:rsidRDefault="00726249" w:rsidP="00297F5B">
      <w:pPr>
        <w:pStyle w:val="Bullet1"/>
        <w:rPr>
          <w:noProof/>
        </w:rPr>
      </w:pPr>
      <w:r w:rsidRPr="005D3B64">
        <w:rPr>
          <w:noProof/>
        </w:rPr>
        <w:t>faire progresser l’écosystème européen de la science au service des politiques (S4P);</w:t>
      </w:r>
    </w:p>
    <w:p w:rsidR="00B4706E" w:rsidRPr="005D3B64" w:rsidRDefault="008E09CD" w:rsidP="00297F5B">
      <w:pPr>
        <w:pStyle w:val="Bullet1"/>
        <w:rPr>
          <w:noProof/>
        </w:rPr>
      </w:pPr>
      <w:r w:rsidRPr="005D3B64">
        <w:rPr>
          <w:noProof/>
        </w:rPr>
        <w:t>faciliter et accélérer l’utilisation responsable de l’IA dans la science dans l’UE;</w:t>
      </w:r>
    </w:p>
    <w:p w:rsidR="009B0B4A" w:rsidRPr="005D3B64" w:rsidRDefault="00656802" w:rsidP="003B38D0">
      <w:pPr>
        <w:pStyle w:val="Bullet1"/>
        <w:rPr>
          <w:noProof/>
        </w:rPr>
      </w:pPr>
      <w:r w:rsidRPr="005D3B64">
        <w:rPr>
          <w:noProof/>
        </w:rPr>
        <w:t>renforcer la sécurité de la recherche.</w:t>
      </w:r>
    </w:p>
    <w:p w:rsidR="009B6AF3" w:rsidRPr="005D3B64" w:rsidRDefault="00596288" w:rsidP="00596288">
      <w:pPr>
        <w:pStyle w:val="ManualHeading1"/>
        <w:rPr>
          <w:noProof/>
        </w:rPr>
      </w:pPr>
      <w:r w:rsidRPr="00596288">
        <w:rPr>
          <w:noProof/>
        </w:rPr>
        <w:t>2.</w:t>
      </w:r>
      <w:r w:rsidRPr="00596288">
        <w:rPr>
          <w:noProof/>
        </w:rPr>
        <w:tab/>
      </w:r>
      <w:r w:rsidR="00682DD7" w:rsidRPr="005D3B64">
        <w:rPr>
          <w:noProof/>
        </w:rPr>
        <w:t>Domaine prioritaire: relever ensemble les défis de la transition écologique et de la transformation numérique ainsi que les autres défis qui ont une incidence sur la société, et accroître la participation de la société à l’EER</w:t>
      </w:r>
    </w:p>
    <w:p w:rsidR="00772564" w:rsidRPr="005D3B64" w:rsidRDefault="3AE53F48" w:rsidP="003B38D0">
      <w:pPr>
        <w:pStyle w:val="Text1"/>
        <w:rPr>
          <w:noProof/>
        </w:rPr>
      </w:pPr>
      <w:r w:rsidRPr="005D3B64">
        <w:rPr>
          <w:noProof/>
        </w:rPr>
        <w:t>Pour que l’EER stimule la compétitivité, améliore la qualité de vie des citoyens de l’UE et permette de répondre aux défis sociétaux tels que les transitions écologique et numérique, il doit créer des synergies avec les politiques sectorielles et la politique industrielle. Les investissements dans la R&amp;I doivent livrer des résultats concrets qui seront utilisés et déployés par le marché.</w:t>
      </w:r>
    </w:p>
    <w:p w:rsidR="00772564" w:rsidRPr="005D3B64" w:rsidRDefault="00772564" w:rsidP="003B38D0">
      <w:pPr>
        <w:pStyle w:val="Text1"/>
        <w:rPr>
          <w:noProof/>
        </w:rPr>
      </w:pPr>
    </w:p>
    <w:p w:rsidR="00A75433" w:rsidRPr="005D3B64" w:rsidRDefault="35D45706" w:rsidP="003B38D0">
      <w:pPr>
        <w:pStyle w:val="Text1"/>
        <w:rPr>
          <w:noProof/>
        </w:rPr>
      </w:pPr>
      <w:r w:rsidRPr="005D3B64">
        <w:rPr>
          <w:noProof/>
        </w:rPr>
        <w:t xml:space="preserve">Les approches adoptées à l’égard de ce domaine prioritaire reposent essentiellement sur les politiques structurelles suivantes: </w:t>
      </w:r>
    </w:p>
    <w:p w:rsidR="00CB0C68" w:rsidRPr="005D3B64" w:rsidRDefault="30B268BB" w:rsidP="00A561D0">
      <w:pPr>
        <w:pStyle w:val="Text1"/>
        <w:rPr>
          <w:rFonts w:eastAsia="Times New Roman"/>
          <w:noProof/>
        </w:rPr>
      </w:pPr>
      <w:r w:rsidRPr="005D3B64">
        <w:rPr>
          <w:noProof/>
        </w:rPr>
        <w:t xml:space="preserve">actions concernant l’EER </w:t>
      </w:r>
      <w:r w:rsidRPr="005D3B64">
        <w:rPr>
          <w:b/>
          <w:bCs/>
          <w:noProof/>
        </w:rPr>
        <w:t>axées sur les défis à relever</w:t>
      </w:r>
      <w:r w:rsidRPr="005D3B64">
        <w:rPr>
          <w:noProof/>
        </w:rPr>
        <w:t xml:space="preserve"> – faire du plan stratégique pour les technologies énergétiques (SET) une composante thématique clé de l’EER; </w:t>
      </w:r>
      <w:r w:rsidRPr="005D3B64">
        <w:rPr>
          <w:b/>
          <w:bCs/>
          <w:noProof/>
        </w:rPr>
        <w:t>synergies avec l’éducation et la stratégie européenne en matière de compétences</w:t>
      </w:r>
      <w:r w:rsidRPr="005D3B64">
        <w:rPr>
          <w:noProof/>
        </w:rPr>
        <w:t xml:space="preserve"> – améliorer l’articulation entre la R&amp;I et l’enseignement supérieur au sein de l’EER et libérer tout le potentiel des écosystèmes européens de R&amp;I; </w:t>
      </w:r>
      <w:r w:rsidRPr="005D3B64">
        <w:rPr>
          <w:b/>
          <w:bCs/>
          <w:noProof/>
        </w:rPr>
        <w:t>un engagement citoyen et sociétal actif dans la R&amp;I</w:t>
      </w:r>
      <w:r w:rsidRPr="005D3B64">
        <w:rPr>
          <w:noProof/>
        </w:rPr>
        <w:t> – renforcer la confiance dans la science par la participation citoyenne, l’engagement des citoyens et la communication scientifique.</w:t>
      </w:r>
    </w:p>
    <w:p w:rsidR="003B38D0" w:rsidRPr="005D3B64" w:rsidRDefault="003B38D0" w:rsidP="003B38D0">
      <w:pPr>
        <w:pStyle w:val="Text1"/>
        <w:rPr>
          <w:rFonts w:eastAsia="Times New Roman"/>
          <w:b/>
          <w:bCs/>
          <w:noProof/>
        </w:rPr>
      </w:pPr>
    </w:p>
    <w:p w:rsidR="00951706" w:rsidRPr="005D3B64" w:rsidRDefault="00951706" w:rsidP="003B38D0">
      <w:pPr>
        <w:pStyle w:val="Text1"/>
        <w:rPr>
          <w:noProof/>
        </w:rPr>
      </w:pPr>
      <w:r w:rsidRPr="005D3B64">
        <w:rPr>
          <w:noProof/>
        </w:rPr>
        <w:t>Les actions suivantes de l’EER sont proposées pour les trois prochaines années:</w:t>
      </w:r>
    </w:p>
    <w:p w:rsidR="00A51567" w:rsidRPr="005D3B64" w:rsidRDefault="168E8B50" w:rsidP="00297F5B">
      <w:pPr>
        <w:pStyle w:val="Bullet1"/>
        <w:rPr>
          <w:noProof/>
        </w:rPr>
      </w:pPr>
      <w:r w:rsidRPr="005D3B64">
        <w:rPr>
          <w:noProof/>
        </w:rPr>
        <w:t xml:space="preserve">accélérer les investissements dans la R&amp;I en vue de la transformation industrielle et de la durabilité compétitive de l’Europe; </w:t>
      </w:r>
    </w:p>
    <w:p w:rsidR="00A51567" w:rsidRPr="005D3B64" w:rsidRDefault="00A51567" w:rsidP="00297F5B">
      <w:pPr>
        <w:pStyle w:val="Bullet1"/>
        <w:rPr>
          <w:noProof/>
        </w:rPr>
      </w:pPr>
      <w:r w:rsidRPr="005D3B64">
        <w:rPr>
          <w:noProof/>
        </w:rPr>
        <w:t>accélérer les nouvelles approches méthodologiques afin de faire progresser la recherche biomédicale et l’expérimentation de médicaments et de dispositifs médicaux;</w:t>
      </w:r>
    </w:p>
    <w:p w:rsidR="0075611F" w:rsidRPr="005D3B64" w:rsidRDefault="00A51567" w:rsidP="003B38D0">
      <w:pPr>
        <w:pStyle w:val="Bullet1"/>
        <w:rPr>
          <w:noProof/>
        </w:rPr>
      </w:pPr>
      <w:r w:rsidRPr="005D3B64">
        <w:rPr>
          <w:noProof/>
        </w:rPr>
        <w:t>établir un cadre harmonisé et coordonné pour une approche européenne de l’intégrité et de l’éthique dans la R&amp;I face aux défis émergents.</w:t>
      </w:r>
    </w:p>
    <w:p w:rsidR="00460531" w:rsidRPr="005D3B64" w:rsidRDefault="00596288" w:rsidP="00596288">
      <w:pPr>
        <w:pStyle w:val="ManualHeading1"/>
        <w:rPr>
          <w:noProof/>
        </w:rPr>
      </w:pPr>
      <w:r w:rsidRPr="00596288">
        <w:rPr>
          <w:noProof/>
        </w:rPr>
        <w:t>3.</w:t>
      </w:r>
      <w:r w:rsidRPr="00596288">
        <w:rPr>
          <w:noProof/>
        </w:rPr>
        <w:tab/>
      </w:r>
      <w:r w:rsidR="00EA162E" w:rsidRPr="005D3B64">
        <w:rPr>
          <w:noProof/>
        </w:rPr>
        <w:t>Domaine prioritaire: améliorer l’accès à l’excellence en matière de recherche et d’innovation dans toute l’Union et renforcer les interconnexions entre les écosystèmes d’innovation dans l’ensemble de l’Union</w:t>
      </w:r>
    </w:p>
    <w:p w:rsidR="00E13566" w:rsidRPr="005D3B64" w:rsidRDefault="00FA5ACF" w:rsidP="003B38D0">
      <w:pPr>
        <w:pStyle w:val="Text1"/>
        <w:rPr>
          <w:rFonts w:eastAsia="Times New Roman"/>
          <w:noProof/>
        </w:rPr>
      </w:pPr>
      <w:r w:rsidRPr="005D3B64">
        <w:rPr>
          <w:noProof/>
        </w:rPr>
        <w:t xml:space="preserve">L’excellence en matière de recherche concerne l’Europe tout entière, tous les âges, toutes les disciplines et tous les secteurs. Son potentiel n’est pas encore pleinement exploité en raison d’importantes disparités dans les possibilités offertes aux chercheurs et innovateurs au sein de l’EER. Une politique structurelle dans ce domaine prioritaire consiste en la création de </w:t>
      </w:r>
      <w:r w:rsidRPr="005D3B64">
        <w:rPr>
          <w:b/>
          <w:bCs/>
          <w:noProof/>
        </w:rPr>
        <w:t>synergies entre les programmes de financement de l’Union et les programmes de financement nationaux et régionaux</w:t>
      </w:r>
      <w:r w:rsidRPr="005D3B64">
        <w:rPr>
          <w:noProof/>
        </w:rPr>
        <w:t> – l’amélioration de l’accès de l’UE à l’excellence.</w:t>
      </w:r>
    </w:p>
    <w:p w:rsidR="002277C3" w:rsidRPr="005D3B64" w:rsidRDefault="002277C3" w:rsidP="003B38D0">
      <w:pPr>
        <w:pStyle w:val="Text1"/>
        <w:rPr>
          <w:rFonts w:eastAsia="Times New Roman"/>
          <w:noProof/>
        </w:rPr>
      </w:pPr>
    </w:p>
    <w:p w:rsidR="00224D84" w:rsidRPr="005D3B64" w:rsidRDefault="00FA5ACF" w:rsidP="003B38D0">
      <w:pPr>
        <w:pStyle w:val="Text1"/>
        <w:rPr>
          <w:rFonts w:eastAsia="Times New Roman"/>
          <w:noProof/>
        </w:rPr>
      </w:pPr>
      <w:r w:rsidRPr="005D3B64">
        <w:rPr>
          <w:noProof/>
        </w:rPr>
        <w:t>L’action de l’EER suivante est proposée pour les trois prochaines années:</w:t>
      </w:r>
    </w:p>
    <w:p w:rsidR="00412E67" w:rsidRPr="005D3B64" w:rsidRDefault="00224D84" w:rsidP="00F43060">
      <w:pPr>
        <w:pStyle w:val="Bullet1"/>
        <w:rPr>
          <w:b/>
          <w:bCs/>
          <w:noProof/>
        </w:rPr>
      </w:pPr>
      <w:r w:rsidRPr="005D3B64">
        <w:rPr>
          <w:noProof/>
        </w:rPr>
        <w:t>renforcer les moyens de la R&amp;I: une nouvelle ère dans la gestion de la recherche</w:t>
      </w:r>
    </w:p>
    <w:p w:rsidR="00F822C8" w:rsidRPr="005D3B64" w:rsidRDefault="00596288" w:rsidP="00596288">
      <w:pPr>
        <w:pStyle w:val="ManualHeading1"/>
        <w:rPr>
          <w:noProof/>
        </w:rPr>
      </w:pPr>
      <w:r w:rsidRPr="00596288">
        <w:rPr>
          <w:noProof/>
        </w:rPr>
        <w:t>4.</w:t>
      </w:r>
      <w:r w:rsidRPr="00596288">
        <w:rPr>
          <w:noProof/>
        </w:rPr>
        <w:tab/>
      </w:r>
      <w:r w:rsidR="00682DD7" w:rsidRPr="005D3B64">
        <w:rPr>
          <w:noProof/>
        </w:rPr>
        <w:t>Domaine prioritaire: faire progresser les investissements et les réformes concertés dans la recherche et l’innovation</w:t>
      </w:r>
    </w:p>
    <w:p w:rsidR="008E088D" w:rsidRPr="005D3B64" w:rsidRDefault="1B0450AC" w:rsidP="003B38D0">
      <w:pPr>
        <w:pStyle w:val="Text1"/>
        <w:rPr>
          <w:rFonts w:eastAsia="Times New Roman"/>
          <w:noProof/>
          <w:szCs w:val="24"/>
        </w:rPr>
      </w:pPr>
      <w:r w:rsidRPr="005D3B64">
        <w:rPr>
          <w:noProof/>
        </w:rPr>
        <w:t>Étant donné que l’UE se concentre sur des domaines essentiels pour la compétitivité, la durabilité et le bien-être futurs, il serait contre-productif de dupliquer, remplacer ou fragmenter les investissements et les initiatives en matière de R&amp;I. La coopération transfrontière peut renforcer l’efficacité par la mutualisation des ressources en vue d’atteindre une masse critique et accroître les effets d’entraînement des connaissances afin de stimuler l’innovation. Pour que ces investissements soient efficaces et productifs, il faudra également, dans certains cas, concevoir et mettre en œuvre des réformes structurelles des systèmes nationaux de R&amp;D, et en assurer le suivi. L’objectif de ces réformes sera d’accroître l’excellence scientifique, d’exploiter les résultats de la recherche, de renforcer les liens entre la science et les entreprises, et de mieux cibler les politiques de soutien à l’innovation des entreprises.</w:t>
      </w:r>
    </w:p>
    <w:p w:rsidR="006A1560" w:rsidRPr="005D3B64" w:rsidRDefault="006A1560" w:rsidP="003B38D0">
      <w:pPr>
        <w:pStyle w:val="Text1"/>
        <w:rPr>
          <w:rFonts w:eastAsia="Times New Roman"/>
          <w:noProof/>
          <w:szCs w:val="24"/>
        </w:rPr>
      </w:pPr>
      <w:r w:rsidRPr="005D3B64">
        <w:rPr>
          <w:noProof/>
        </w:rPr>
        <w:t xml:space="preserve">Aucune action spécifique de l’EER n’est proposée dans le cadre de cet objectif, mais il est largement admis que le renforcement des investissements dans la R&amp;I et l’adoption de réformes structurelles restent une priorité essentielle pour permettre une coopération étroite entre la Commission européenne et les États membres au moyen d’un ensemble d’instruments existants. Plus précisément, la mise en œuvre des mesures de R&amp;I au titre de la facilité pour la reprise et la résilience de l’UE devrait stimuler la capacité d’innovation nationale, en particulier dans les pays qui restent à la traîne. </w:t>
      </w:r>
    </w:p>
    <w:p w:rsidR="008E088D" w:rsidRPr="005D3B64" w:rsidRDefault="58C4A22E" w:rsidP="003B38D0">
      <w:pPr>
        <w:pStyle w:val="Text1"/>
        <w:rPr>
          <w:noProof/>
        </w:rPr>
      </w:pPr>
      <w:r w:rsidRPr="005D3B64">
        <w:rPr>
          <w:noProof/>
        </w:rPr>
        <w:t xml:space="preserve">Dans le cadre du semestre européen pour la coordination des politiques économiques, la Commission européenne procède à une analyse approfondie des systèmes nationaux de R&amp;I et émet des recommandations par pays sur la manière de stimuler le potentiel d’innovation dans chaque pays. Elle assure ensuite le suivi des politiques mises en œuvre par les États membres afin d’évaluer les progrès accomplis pour combler les lacunes constatées en matière de R&amp;I. Dans leurs efforts pour améliorer leurs systèmes de R&amp;I par des réformes, les États membres et les pays associés peuvent bénéficier du soutien d’experts au titre du mécanisme de soutien aux politiques d’Horizon, un instrument qui s’est révélé très utile pour améliorer l’élaboration des politiques et définir des voies de réforme, et dans le cadre du dialogue bilatéral renforcé avec les États membres sur des thèmes de R&amp;I convenus d’un commun accord. </w:t>
      </w:r>
    </w:p>
    <w:p w:rsidR="007B0026" w:rsidRPr="005D3B64" w:rsidRDefault="007B0026" w:rsidP="00460531">
      <w:pPr>
        <w:pStyle w:val="ListParagraph"/>
        <w:ind w:left="714" w:hanging="357"/>
        <w:rPr>
          <w:rFonts w:eastAsia="Times New Roman"/>
          <w:noProof/>
        </w:rPr>
      </w:pPr>
    </w:p>
    <w:p w:rsidR="00A9098B" w:rsidRPr="005D3B64" w:rsidRDefault="00596288" w:rsidP="00596288">
      <w:pPr>
        <w:pStyle w:val="ManualNumPar1"/>
        <w:rPr>
          <w:noProof/>
        </w:rPr>
      </w:pPr>
      <w:r w:rsidRPr="00596288">
        <w:rPr>
          <w:noProof/>
        </w:rPr>
        <w:t>3.</w:t>
      </w:r>
      <w:r w:rsidRPr="00596288">
        <w:rPr>
          <w:noProof/>
        </w:rPr>
        <w:tab/>
      </w:r>
      <w:r w:rsidR="00736F86" w:rsidRPr="005D3B64">
        <w:rPr>
          <w:noProof/>
        </w:rPr>
        <w:t>Il convient de maintenir le cadre de collaboration établi entre la Commission européenne, les États membres, les pays associés et les organisations de parties prenantes, sous la forme du forum de l’EER et du CEER, comme mécanisme central de gouvernance de l’EER. La mise en œuvre du prochain programme stratégique de l’EER, pour la période 2025</w:t>
      </w:r>
      <w:r w:rsidR="00736F86" w:rsidRPr="005D3B64">
        <w:rPr>
          <w:noProof/>
        </w:rPr>
        <w:noBreakHyphen/>
        <w:t>2027, demeurera un processus inclusif et transparent à tous les niveaux de gouvernance afin d’encourager la cocréation et l’appropriation du programme. Le forum de l’EER reste un organe de réflexion sur les défis émergents, en dehors des activités du programme stratégique 2025</w:t>
      </w:r>
      <w:r w:rsidR="00736F86" w:rsidRPr="005D3B64">
        <w:rPr>
          <w:noProof/>
        </w:rPr>
        <w:noBreakHyphen/>
        <w:t>2027 de l’EER, qui nécessitent une collaboration transnationale et sont couverts par le pacte pour la R&amp;I, comme le suivi de la liberté de la recherche scientifique.</w:t>
      </w:r>
    </w:p>
    <w:p w:rsidR="00B61FFB" w:rsidRPr="005D3B64" w:rsidRDefault="00596288" w:rsidP="00596288">
      <w:pPr>
        <w:pStyle w:val="ManualNumPar1"/>
        <w:rPr>
          <w:noProof/>
        </w:rPr>
      </w:pPr>
      <w:r w:rsidRPr="00596288">
        <w:rPr>
          <w:noProof/>
        </w:rPr>
        <w:t>4.</w:t>
      </w:r>
      <w:r w:rsidRPr="00596288">
        <w:rPr>
          <w:noProof/>
        </w:rPr>
        <w:tab/>
      </w:r>
      <w:r w:rsidR="00194232" w:rsidRPr="005D3B64">
        <w:rPr>
          <w:noProof/>
        </w:rPr>
        <w:t>Une mise en œuvre coordonnée devrait permettre une participation active et large des parties prenantes au niveau de l’UE, tous secteurs confondus, depuis la recherche et l’innovation jusqu’au déploiement commercial. Il convient de revoir les catégories de parties prenantes du forum de l’EER afin de parvenir à une meilleure représentation des différents intérêts.</w:t>
      </w:r>
    </w:p>
    <w:p w:rsidR="00A9098B" w:rsidRPr="005D3B64" w:rsidRDefault="00596288" w:rsidP="00596288">
      <w:pPr>
        <w:pStyle w:val="ManualNumPar1"/>
        <w:rPr>
          <w:noProof/>
        </w:rPr>
      </w:pPr>
      <w:r w:rsidRPr="00596288">
        <w:rPr>
          <w:noProof/>
        </w:rPr>
        <w:t>5.</w:t>
      </w:r>
      <w:r w:rsidRPr="00596288">
        <w:rPr>
          <w:noProof/>
        </w:rPr>
        <w:tab/>
      </w:r>
      <w:r w:rsidR="51F145E3" w:rsidRPr="005D3B64">
        <w:rPr>
          <w:noProof/>
        </w:rPr>
        <w:t>Les États membres et la Commission européenne devraient soutenir la pleine participation des pays associés au programme Horizon Europe et des organisations faîtières de parties prenantes au niveau de l’UE à la mise en œuvre du programme stratégique 2025</w:t>
      </w:r>
      <w:r w:rsidR="51F145E3" w:rsidRPr="005D3B64">
        <w:rPr>
          <w:noProof/>
        </w:rPr>
        <w:noBreakHyphen/>
        <w:t>2027 de l’EER.</w:t>
      </w:r>
    </w:p>
    <w:p w:rsidR="00594701" w:rsidRPr="005D3B64" w:rsidRDefault="00596288" w:rsidP="00596288">
      <w:pPr>
        <w:pStyle w:val="ManualNumPar1"/>
        <w:rPr>
          <w:noProof/>
        </w:rPr>
      </w:pPr>
      <w:r w:rsidRPr="00596288">
        <w:rPr>
          <w:noProof/>
        </w:rPr>
        <w:t>6.</w:t>
      </w:r>
      <w:r w:rsidRPr="00596288">
        <w:rPr>
          <w:noProof/>
        </w:rPr>
        <w:tab/>
      </w:r>
      <w:r w:rsidR="00F73814" w:rsidRPr="005D3B64">
        <w:rPr>
          <w:noProof/>
        </w:rPr>
        <w:t>Les investissements dans la R&amp;I dans l’UE ne répondent pas aux attentes et demeurent inférieurs au niveau d’investissement de nombreux concurrents mondiaux de l’UE. À l’heure actuelle, l’UE consacre environ 2,3 % de son PIB à la R&amp;D, un niveau nettement inférieur à l’objectif de 3 % fixé en 2002 dans la déclaration de Barcelone. Afin de relever le défi multidimensionnel que représente la réalisation de l’objectif de 3 %, il est nécessaire de mener une action coordonnée pour stimuler les investissements publics et privés dans la R&amp;D. De nouvelles réformes doivent également être entreprises pour améliorer les écosystèmes nationaux de R&amp;I et maximiser les retombées d’une augmentation des investissements dans la R&amp;I. Outre le domaine prioritaire «Faire progresser les investissements et les réformes concertés dans la R&amp;I» du pacte pour la R&amp;I, les États membres et la Commission devraient poursuivre leurs efforts en ce sens.</w:t>
      </w:r>
    </w:p>
    <w:p w:rsidR="00944E5C" w:rsidRPr="005D3B64" w:rsidRDefault="00596288" w:rsidP="00596288">
      <w:pPr>
        <w:pStyle w:val="ManualNumPar1"/>
        <w:rPr>
          <w:noProof/>
        </w:rPr>
      </w:pPr>
      <w:r w:rsidRPr="00596288">
        <w:rPr>
          <w:noProof/>
        </w:rPr>
        <w:t>7.</w:t>
      </w:r>
      <w:r w:rsidRPr="00596288">
        <w:rPr>
          <w:noProof/>
        </w:rPr>
        <w:tab/>
      </w:r>
      <w:r w:rsidR="18314C8C" w:rsidRPr="005D3B64">
        <w:rPr>
          <w:noProof/>
        </w:rPr>
        <w:t>La Commission européenne et les États membres devraient continuer de mettre en œuvre le mécanisme de suivi de l’EER présenté dans le pacte pour la R&amp;I en Europe et détaillé dans le «Framework for the future ERA monitoring mechanism» (cadre pour le futur mécanisme de suivi de l’EER) soumis au Conseil par la Commission le 10 juin 2022</w:t>
      </w:r>
      <w:r w:rsidR="002A13B3" w:rsidRPr="005D3B64">
        <w:rPr>
          <w:rStyle w:val="FootnoteReference"/>
          <w:noProof/>
        </w:rPr>
        <w:footnoteReference w:id="11"/>
      </w:r>
      <w:r w:rsidR="18314C8C" w:rsidRPr="005D3B64">
        <w:rPr>
          <w:noProof/>
        </w:rPr>
        <w:t>. Le mécanisme de suivi de l’EER évaluera les progrès accomplis dans la réalisation des priorités de l’EER, telles que définies dans le pacte pour la R&amp;I. Ce mécanisme devrait comprendre:</w:t>
      </w:r>
    </w:p>
    <w:p w:rsidR="081690F8" w:rsidRPr="005D3B64" w:rsidRDefault="00596288" w:rsidP="00596288">
      <w:pPr>
        <w:pStyle w:val="Point2"/>
        <w:rPr>
          <w:noProof/>
        </w:rPr>
      </w:pPr>
      <w:r w:rsidRPr="00596288">
        <w:rPr>
          <w:noProof/>
        </w:rPr>
        <w:t>(1)</w:t>
      </w:r>
      <w:r w:rsidRPr="00596288">
        <w:rPr>
          <w:noProof/>
        </w:rPr>
        <w:tab/>
      </w:r>
      <w:r w:rsidR="0069095F" w:rsidRPr="005D3B64">
        <w:rPr>
          <w:noProof/>
        </w:rPr>
        <w:t>un tableau de bord de l’EER mis à jour régulièrement et destiné à suivre les progrès accomplis dans la réalisation des objectifs de l’EER, tant au niveau de l’UE qu’au niveau national;</w:t>
      </w:r>
    </w:p>
    <w:p w:rsidR="081690F8" w:rsidRPr="005D3B64" w:rsidRDefault="00596288" w:rsidP="00596288">
      <w:pPr>
        <w:pStyle w:val="Point2"/>
        <w:rPr>
          <w:noProof/>
        </w:rPr>
      </w:pPr>
      <w:r w:rsidRPr="00596288">
        <w:rPr>
          <w:noProof/>
        </w:rPr>
        <w:t>(2)</w:t>
      </w:r>
      <w:r w:rsidRPr="00596288">
        <w:rPr>
          <w:noProof/>
        </w:rPr>
        <w:tab/>
      </w:r>
      <w:r w:rsidR="0069095F" w:rsidRPr="005D3B64">
        <w:rPr>
          <w:noProof/>
        </w:rPr>
        <w:t>un rapport de suivi de l’EER soumis régulièrement au Conseil par la Commission, afin de faire le point sur la mise en œuvre du programme stratégique de l’EER;</w:t>
      </w:r>
    </w:p>
    <w:p w:rsidR="081690F8" w:rsidRPr="005D3B64" w:rsidRDefault="00596288" w:rsidP="00596288">
      <w:pPr>
        <w:pStyle w:val="Point2"/>
        <w:rPr>
          <w:noProof/>
        </w:rPr>
      </w:pPr>
      <w:r w:rsidRPr="00596288">
        <w:rPr>
          <w:noProof/>
        </w:rPr>
        <w:t>(3)</w:t>
      </w:r>
      <w:r w:rsidRPr="00596288">
        <w:rPr>
          <w:noProof/>
        </w:rPr>
        <w:tab/>
      </w:r>
      <w:r w:rsidR="0069095F" w:rsidRPr="005D3B64">
        <w:rPr>
          <w:noProof/>
        </w:rPr>
        <w:t>des rapports réguliers par pays de l’EER afin d’évaluer les progrès accomplis par les pays dans la mise en œuvre du programme stratégique de l’EER.</w:t>
      </w:r>
    </w:p>
    <w:p w:rsidR="0070493D" w:rsidRPr="005D3B64" w:rsidRDefault="0070493D" w:rsidP="00764FBA">
      <w:pPr>
        <w:pStyle w:val="Number"/>
        <w:rPr>
          <w:noProof/>
        </w:rPr>
      </w:pPr>
      <w:r w:rsidRPr="005D3B64">
        <w:rPr>
          <w:noProof/>
        </w:rPr>
        <w:t xml:space="preserve">Les États membres continueront d’échanger des informations sur l’EER, notamment en fournissant des données et des informations par l’intermédiaire de la plateforme stratégique de l’EER. Ils promouvront également la mise en œuvre des actions et les résultats de l’EER dans leurs pays, en s’appuyant sur le soutien disponible. </w:t>
      </w:r>
    </w:p>
    <w:p w:rsidR="00DA2E0E" w:rsidRPr="005D3B64" w:rsidRDefault="00DA2E0E" w:rsidP="00F13181">
      <w:pPr>
        <w:pStyle w:val="Text1"/>
        <w:rPr>
          <w:noProof/>
        </w:rPr>
      </w:pPr>
    </w:p>
    <w:p w:rsidR="00DA2E0E" w:rsidRPr="005D3B64" w:rsidRDefault="005D3B64" w:rsidP="00E64A69">
      <w:pPr>
        <w:pStyle w:val="Fait"/>
        <w:rPr>
          <w:noProof/>
        </w:rPr>
      </w:pPr>
      <w:r>
        <w:rPr>
          <w:noProof/>
        </w:rPr>
        <w:t>Fait à Bruxelles, le</w:t>
      </w:r>
    </w:p>
    <w:p w:rsidR="00DA2E0E" w:rsidRPr="005D3B64" w:rsidRDefault="00DA2E0E" w:rsidP="00E64A69">
      <w:pPr>
        <w:pStyle w:val="Institutionquisigne"/>
        <w:rPr>
          <w:noProof/>
        </w:rPr>
      </w:pPr>
      <w:r w:rsidRPr="005D3B64">
        <w:rPr>
          <w:noProof/>
        </w:rPr>
        <w:tab/>
        <w:t>Par le Conseil</w:t>
      </w:r>
    </w:p>
    <w:p w:rsidR="008B6955" w:rsidRPr="005D3B64" w:rsidRDefault="00DA2E0E" w:rsidP="00E64A69">
      <w:pPr>
        <w:pStyle w:val="Institutionquisigne"/>
        <w:spacing w:before="0"/>
        <w:rPr>
          <w:noProof/>
        </w:rPr>
      </w:pPr>
      <w:r w:rsidRPr="005D3B64">
        <w:rPr>
          <w:noProof/>
        </w:rPr>
        <w:tab/>
        <w:t>Le président</w:t>
      </w:r>
    </w:p>
    <w:p w:rsidR="002027C1" w:rsidRPr="005D3B64" w:rsidRDefault="002027C1" w:rsidP="009C7C78">
      <w:pPr>
        <w:pStyle w:val="Personnequisigne"/>
        <w:rPr>
          <w:rFonts w:eastAsia="Calibri"/>
          <w:noProof/>
        </w:rPr>
      </w:pPr>
      <w:bookmarkStart w:id="66" w:name="_Toc187261231"/>
      <w:bookmarkStart w:id="67" w:name="_Toc187261561"/>
      <w:bookmarkStart w:id="68" w:name="_Toc187261903"/>
      <w:bookmarkStart w:id="69" w:name="_Toc187262000"/>
      <w:bookmarkEnd w:id="66"/>
      <w:bookmarkEnd w:id="67"/>
      <w:bookmarkEnd w:id="68"/>
      <w:bookmarkEnd w:id="69"/>
    </w:p>
    <w:sectPr w:rsidR="002027C1" w:rsidRPr="005D3B64" w:rsidSect="00680707">
      <w:headerReference w:type="even" r:id="rId15"/>
      <w:footerReference w:type="even" r:id="rId16"/>
      <w:footerReference w:type="default" r:id="rId17"/>
      <w:headerReference w:type="first" r:id="rId18"/>
      <w:footerReference w:type="first" r:id="rId1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85DE6" w:rsidRPr="00D76B6F" w:rsidRDefault="00685DE6" w:rsidP="00DA2E0E">
      <w:pPr>
        <w:spacing w:before="0" w:after="0"/>
      </w:pPr>
      <w:r w:rsidRPr="00D76B6F">
        <w:separator/>
      </w:r>
    </w:p>
  </w:endnote>
  <w:endnote w:type="continuationSeparator" w:id="0">
    <w:p w:rsidR="00685DE6" w:rsidRPr="00D76B6F" w:rsidRDefault="00685DE6" w:rsidP="00DA2E0E">
      <w:pPr>
        <w:spacing w:before="0" w:after="0"/>
      </w:pPr>
      <w:r w:rsidRPr="00D76B6F">
        <w:continuationSeparator/>
      </w:r>
    </w:p>
  </w:endnote>
  <w:endnote w:type="continuationNotice" w:id="1">
    <w:p w:rsidR="00685DE6" w:rsidRPr="00D76B6F" w:rsidRDefault="00685DE6">
      <w:pPr>
        <w:spacing w:before="0"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ptos Display">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MS Mincho">
    <w:altName w:val="Yu Gothic UI"/>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Arial Unicode MS">
    <w:panose1 w:val="020B0604020202020204"/>
    <w:charset w:val="00"/>
    <w:family w:val="roman"/>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80707" w:rsidRPr="00680707" w:rsidRDefault="00680707" w:rsidP="00680707">
    <w:pPr>
      <w:pStyle w:val="Footer"/>
      <w:rPr>
        <w:rFonts w:ascii="Arial" w:hAnsi="Arial" w:cs="Arial"/>
        <w:b/>
        <w:sz w:val="48"/>
      </w:rPr>
    </w:pPr>
    <w:r w:rsidRPr="00680707">
      <w:rPr>
        <w:rFonts w:ascii="Arial" w:hAnsi="Arial" w:cs="Arial"/>
        <w:b/>
        <w:sz w:val="48"/>
      </w:rPr>
      <w:t>FR</w:t>
    </w:r>
    <w:r w:rsidRPr="00680707">
      <w:rPr>
        <w:rFonts w:ascii="Arial" w:hAnsi="Arial" w:cs="Arial"/>
        <w:b/>
        <w:sz w:val="48"/>
      </w:rPr>
      <w:tab/>
    </w:r>
    <w:r w:rsidRPr="00680707">
      <w:rPr>
        <w:rFonts w:ascii="Arial" w:hAnsi="Arial" w:cs="Arial"/>
        <w:b/>
        <w:sz w:val="48"/>
      </w:rPr>
      <w:tab/>
    </w:r>
    <w:r w:rsidRPr="00680707">
      <w:tab/>
    </w:r>
    <w:r w:rsidRPr="00680707">
      <w:rPr>
        <w:rFonts w:ascii="Arial" w:hAnsi="Arial" w:cs="Arial"/>
        <w:b/>
        <w:sz w:val="48"/>
      </w:rPr>
      <w:t>FR</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80707" w:rsidRPr="00680707" w:rsidRDefault="00680707" w:rsidP="00680707">
    <w:pPr>
      <w:pStyle w:val="Footer"/>
      <w:rPr>
        <w:rFonts w:ascii="Arial" w:hAnsi="Arial" w:cs="Arial"/>
        <w:b/>
        <w:sz w:val="48"/>
      </w:rPr>
    </w:pPr>
    <w:r w:rsidRPr="00680707">
      <w:rPr>
        <w:rFonts w:ascii="Arial" w:hAnsi="Arial" w:cs="Arial"/>
        <w:b/>
        <w:sz w:val="48"/>
      </w:rPr>
      <w:t>FR</w:t>
    </w:r>
    <w:r w:rsidRPr="00680707">
      <w:rPr>
        <w:rFonts w:ascii="Arial" w:hAnsi="Arial" w:cs="Arial"/>
        <w:b/>
        <w:sz w:val="48"/>
      </w:rPr>
      <w:tab/>
    </w:r>
    <w:r w:rsidRPr="00680707">
      <w:rPr>
        <w:rFonts w:ascii="Arial" w:hAnsi="Arial" w:cs="Arial"/>
        <w:b/>
        <w:sz w:val="48"/>
      </w:rPr>
      <w:tab/>
    </w:r>
    <w:r w:rsidRPr="00680707">
      <w:tab/>
    </w:r>
    <w:r w:rsidRPr="00680707">
      <w:rPr>
        <w:rFonts w:ascii="Arial" w:hAnsi="Arial" w:cs="Arial"/>
        <w:b/>
        <w:sz w:val="48"/>
      </w:rPr>
      <w:t>FR</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80707" w:rsidRDefault="0068070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80707" w:rsidRPr="00680707" w:rsidRDefault="00680707" w:rsidP="00680707">
    <w:pPr>
      <w:pStyle w:val="Footer"/>
      <w:rPr>
        <w:rFonts w:ascii="Arial" w:hAnsi="Arial" w:cs="Arial"/>
        <w:b/>
        <w:sz w:val="48"/>
      </w:rPr>
    </w:pPr>
    <w:r w:rsidRPr="00680707">
      <w:rPr>
        <w:rFonts w:ascii="Arial" w:hAnsi="Arial" w:cs="Arial"/>
        <w:b/>
        <w:sz w:val="48"/>
      </w:rPr>
      <w:t>FR</w:t>
    </w:r>
    <w:r w:rsidRPr="00680707">
      <w:rPr>
        <w:rFonts w:ascii="Arial" w:hAnsi="Arial" w:cs="Arial"/>
        <w:b/>
        <w:sz w:val="48"/>
      </w:rPr>
      <w:tab/>
    </w:r>
    <w:r>
      <w:fldChar w:fldCharType="begin"/>
    </w:r>
    <w:r>
      <w:instrText xml:space="preserve"> PAGE  \* MERGEFORMAT </w:instrText>
    </w:r>
    <w:r>
      <w:fldChar w:fldCharType="separate"/>
    </w:r>
    <w:r w:rsidR="00E64A69">
      <w:rPr>
        <w:noProof/>
      </w:rPr>
      <w:t>13</w:t>
    </w:r>
    <w:r>
      <w:fldChar w:fldCharType="end"/>
    </w:r>
    <w:r>
      <w:tab/>
    </w:r>
    <w:r w:rsidRPr="00680707">
      <w:tab/>
    </w:r>
    <w:r w:rsidRPr="00680707">
      <w:rPr>
        <w:rFonts w:ascii="Arial" w:hAnsi="Arial" w:cs="Arial"/>
        <w:b/>
        <w:sz w:val="48"/>
      </w:rPr>
      <w:t>FR</w:t>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80707" w:rsidRDefault="00680707" w:rsidP="0068070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85DE6" w:rsidRPr="00D76B6F" w:rsidRDefault="00685DE6" w:rsidP="00DA2E0E">
      <w:pPr>
        <w:spacing w:before="0" w:after="0"/>
      </w:pPr>
      <w:r w:rsidRPr="00D76B6F">
        <w:separator/>
      </w:r>
    </w:p>
  </w:footnote>
  <w:footnote w:type="continuationSeparator" w:id="0">
    <w:p w:rsidR="00685DE6" w:rsidRPr="00D76B6F" w:rsidRDefault="00685DE6" w:rsidP="00DA2E0E">
      <w:pPr>
        <w:spacing w:before="0" w:after="0"/>
      </w:pPr>
      <w:r w:rsidRPr="00D76B6F">
        <w:continuationSeparator/>
      </w:r>
    </w:p>
  </w:footnote>
  <w:footnote w:type="continuationNotice" w:id="1">
    <w:p w:rsidR="00685DE6" w:rsidRPr="00D76B6F" w:rsidRDefault="00685DE6">
      <w:pPr>
        <w:spacing w:before="0" w:after="0"/>
      </w:pPr>
    </w:p>
  </w:footnote>
  <w:footnote w:id="2">
    <w:p w:rsidR="00AF5C91" w:rsidRPr="005D3B64" w:rsidRDefault="00AF5C91">
      <w:pPr>
        <w:pStyle w:val="FootnoteText"/>
        <w:rPr>
          <w:lang w:val="fr-BE"/>
        </w:rPr>
      </w:pPr>
      <w:r>
        <w:rPr>
          <w:rStyle w:val="FootnoteReference"/>
        </w:rPr>
        <w:footnoteRef/>
      </w:r>
      <w:r w:rsidRPr="005D3B64">
        <w:rPr>
          <w:lang w:val="fr-BE"/>
        </w:rPr>
        <w:tab/>
        <w:t>RECOMMANDATION (UE) 2021/2122 DU CONSEIL.</w:t>
      </w:r>
    </w:p>
  </w:footnote>
  <w:footnote w:id="3">
    <w:p w:rsidR="00AF5C91" w:rsidRPr="005D3B64" w:rsidRDefault="00AF5C91">
      <w:pPr>
        <w:pStyle w:val="FootnoteText"/>
        <w:rPr>
          <w:lang w:val="fr-BE"/>
        </w:rPr>
      </w:pPr>
      <w:r>
        <w:rPr>
          <w:rStyle w:val="FootnoteReference"/>
        </w:rPr>
        <w:footnoteRef/>
      </w:r>
      <w:r w:rsidRPr="005D3B64">
        <w:rPr>
          <w:lang w:val="fr-BE"/>
        </w:rPr>
        <w:tab/>
        <w:t>COM(2024) 490 final.</w:t>
      </w:r>
    </w:p>
  </w:footnote>
  <w:footnote w:id="4">
    <w:p w:rsidR="00780C18" w:rsidRPr="005D3B64" w:rsidRDefault="00780C18">
      <w:pPr>
        <w:pStyle w:val="FootnoteText"/>
        <w:rPr>
          <w:lang w:val="fr-BE"/>
        </w:rPr>
      </w:pPr>
      <w:r>
        <w:rPr>
          <w:rStyle w:val="FootnoteReference"/>
        </w:rPr>
        <w:footnoteRef/>
      </w:r>
      <w:r w:rsidRPr="005D3B64">
        <w:rPr>
          <w:lang w:val="fr-BE"/>
        </w:rPr>
        <w:tab/>
      </w:r>
      <w:hyperlink r:id="rId1" w:history="1">
        <w:r w:rsidRPr="005D3B64">
          <w:rPr>
            <w:rStyle w:val="Hyperlink"/>
            <w:lang w:val="fr-BE"/>
          </w:rPr>
          <w:t>https://european-research-area.ec.europa.eu/</w:t>
        </w:r>
      </w:hyperlink>
      <w:r w:rsidRPr="005D3B64">
        <w:rPr>
          <w:lang w:val="fr-BE"/>
        </w:rPr>
        <w:t>.</w:t>
      </w:r>
    </w:p>
  </w:footnote>
  <w:footnote w:id="5">
    <w:p w:rsidR="00E95F81" w:rsidRPr="005D3B64" w:rsidRDefault="00E95F81" w:rsidP="00E95F81">
      <w:pPr>
        <w:pStyle w:val="FootnoteText"/>
        <w:rPr>
          <w:lang w:val="fr-BE"/>
        </w:rPr>
      </w:pPr>
      <w:r>
        <w:rPr>
          <w:rStyle w:val="FootnoteReference"/>
        </w:rPr>
        <w:footnoteRef/>
      </w:r>
      <w:r w:rsidRPr="005D3B64">
        <w:rPr>
          <w:lang w:val="fr-BE"/>
        </w:rPr>
        <w:tab/>
        <w:t>16179/24.</w:t>
      </w:r>
    </w:p>
    <w:p w:rsidR="00E95F81" w:rsidRPr="005D3B64" w:rsidRDefault="00E95F81" w:rsidP="006B316A">
      <w:pPr>
        <w:pStyle w:val="FootnoteText"/>
        <w:ind w:left="0" w:firstLine="0"/>
        <w:rPr>
          <w:lang w:val="fr-BE"/>
        </w:rPr>
      </w:pPr>
    </w:p>
  </w:footnote>
  <w:footnote w:id="6">
    <w:p w:rsidR="006E718C" w:rsidRPr="005D3B64" w:rsidRDefault="006E718C">
      <w:pPr>
        <w:pStyle w:val="FootnoteText"/>
        <w:rPr>
          <w:lang w:val="fr-BE"/>
        </w:rPr>
      </w:pPr>
      <w:r>
        <w:rPr>
          <w:rStyle w:val="FootnoteReference"/>
        </w:rPr>
        <w:footnoteRef/>
      </w:r>
      <w:r w:rsidRPr="005D3B64">
        <w:rPr>
          <w:lang w:val="fr-BE"/>
        </w:rPr>
        <w:tab/>
        <w:t>COM(2025) 30 final.</w:t>
      </w:r>
    </w:p>
  </w:footnote>
  <w:footnote w:id="7">
    <w:p w:rsidR="00AF5C91" w:rsidRPr="005D3B64" w:rsidRDefault="00AF5C91">
      <w:pPr>
        <w:pStyle w:val="FootnoteText"/>
        <w:rPr>
          <w:lang w:val="fr-BE"/>
        </w:rPr>
      </w:pPr>
      <w:r>
        <w:rPr>
          <w:rStyle w:val="FootnoteReference"/>
        </w:rPr>
        <w:footnoteRef/>
      </w:r>
      <w:r w:rsidRPr="005D3B64">
        <w:rPr>
          <w:lang w:val="fr-BE"/>
        </w:rPr>
        <w:tab/>
        <w:t>14308/21.</w:t>
      </w:r>
    </w:p>
  </w:footnote>
  <w:footnote w:id="8">
    <w:p w:rsidR="002A13B3" w:rsidRPr="005D3B64" w:rsidRDefault="002A13B3" w:rsidP="00AF5C91">
      <w:pPr>
        <w:pStyle w:val="FootnoteText"/>
        <w:rPr>
          <w:lang w:val="fr-BE"/>
        </w:rPr>
      </w:pPr>
      <w:r>
        <w:rPr>
          <w:rStyle w:val="FootnoteReference"/>
        </w:rPr>
        <w:footnoteRef/>
      </w:r>
      <w:r w:rsidRPr="005D3B64">
        <w:rPr>
          <w:lang w:val="fr-BE"/>
        </w:rPr>
        <w:tab/>
        <w:t>RECOMMANDATION (UE) 2021/2122 DU CONSEIL.</w:t>
      </w:r>
    </w:p>
  </w:footnote>
  <w:footnote w:id="9">
    <w:p w:rsidR="00AF5C91" w:rsidRPr="005D3B64" w:rsidRDefault="00AF5C91">
      <w:pPr>
        <w:pStyle w:val="FootnoteText"/>
        <w:rPr>
          <w:lang w:val="fr-BE"/>
        </w:rPr>
      </w:pPr>
      <w:r>
        <w:rPr>
          <w:rStyle w:val="FootnoteReference"/>
        </w:rPr>
        <w:footnoteRef/>
      </w:r>
      <w:r w:rsidRPr="005D3B64">
        <w:rPr>
          <w:lang w:val="fr-BE"/>
        </w:rPr>
        <w:tab/>
        <w:t>16179/24.</w:t>
      </w:r>
    </w:p>
  </w:footnote>
  <w:footnote w:id="10">
    <w:p w:rsidR="002A13B3" w:rsidRPr="005D3B64" w:rsidRDefault="002A13B3">
      <w:pPr>
        <w:pStyle w:val="FootnoteText"/>
        <w:rPr>
          <w:lang w:val="fr-BE"/>
        </w:rPr>
      </w:pPr>
      <w:r>
        <w:rPr>
          <w:rStyle w:val="FootnoteReference"/>
        </w:rPr>
        <w:footnoteRef/>
      </w:r>
      <w:r w:rsidRPr="005D3B64">
        <w:rPr>
          <w:lang w:val="fr-BE"/>
        </w:rPr>
        <w:tab/>
        <w:t>COM(2024) 490 final.</w:t>
      </w:r>
    </w:p>
  </w:footnote>
  <w:footnote w:id="11">
    <w:p w:rsidR="002A13B3" w:rsidRPr="005D3B64" w:rsidRDefault="002A13B3">
      <w:pPr>
        <w:pStyle w:val="FootnoteText"/>
        <w:rPr>
          <w:lang w:val="fr-BE"/>
        </w:rPr>
      </w:pPr>
      <w:r>
        <w:rPr>
          <w:rStyle w:val="FootnoteReference"/>
        </w:rPr>
        <w:footnoteRef/>
      </w:r>
      <w:r w:rsidRPr="005D3B64">
        <w:rPr>
          <w:lang w:val="fr-BE"/>
        </w:rPr>
        <w:tab/>
        <w:t>NOTE 9578/22 DU CONSEIL.</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80707" w:rsidRDefault="0068070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80707" w:rsidRDefault="0068070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1"/>
    <w:multiLevelType w:val="singleLevel"/>
    <w:tmpl w:val="386E3B08"/>
    <w:lvl w:ilvl="0">
      <w:start w:val="1"/>
      <w:numFmt w:val="bullet"/>
      <w:pStyle w:val="ListBullet4"/>
      <w:lvlText w:val=""/>
      <w:lvlJc w:val="left"/>
      <w:pPr>
        <w:tabs>
          <w:tab w:val="num" w:pos="1209"/>
        </w:tabs>
        <w:ind w:left="1209" w:hanging="360"/>
      </w:pPr>
      <w:rPr>
        <w:rFonts w:ascii="Symbol" w:hAnsi="Symbol" w:hint="default"/>
      </w:rPr>
    </w:lvl>
  </w:abstractNum>
  <w:abstractNum w:abstractNumId="1" w15:restartNumberingAfterBreak="0">
    <w:nsid w:val="FFFFFF82"/>
    <w:multiLevelType w:val="singleLevel"/>
    <w:tmpl w:val="E0AA7256"/>
    <w:lvl w:ilvl="0">
      <w:start w:val="1"/>
      <w:numFmt w:val="bullet"/>
      <w:pStyle w:val="ListBullet3"/>
      <w:lvlText w:val=""/>
      <w:lvlJc w:val="left"/>
      <w:pPr>
        <w:tabs>
          <w:tab w:val="num" w:pos="926"/>
        </w:tabs>
        <w:ind w:left="926" w:hanging="360"/>
      </w:pPr>
      <w:rPr>
        <w:rFonts w:ascii="Symbol" w:hAnsi="Symbol" w:hint="default"/>
      </w:rPr>
    </w:lvl>
  </w:abstractNum>
  <w:abstractNum w:abstractNumId="2" w15:restartNumberingAfterBreak="0">
    <w:nsid w:val="FFFFFF83"/>
    <w:multiLevelType w:val="singleLevel"/>
    <w:tmpl w:val="7706B754"/>
    <w:lvl w:ilvl="0">
      <w:start w:val="1"/>
      <w:numFmt w:val="bullet"/>
      <w:pStyle w:val="ListBullet2"/>
      <w:lvlText w:val=""/>
      <w:lvlJc w:val="left"/>
      <w:pPr>
        <w:tabs>
          <w:tab w:val="num" w:pos="643"/>
        </w:tabs>
        <w:ind w:left="643" w:hanging="360"/>
      </w:pPr>
      <w:rPr>
        <w:rFonts w:ascii="Symbol" w:hAnsi="Symbol" w:hint="default"/>
      </w:rPr>
    </w:lvl>
  </w:abstractNum>
  <w:abstractNum w:abstractNumId="3" w15:restartNumberingAfterBreak="0">
    <w:nsid w:val="FFFFFF89"/>
    <w:multiLevelType w:val="singleLevel"/>
    <w:tmpl w:val="F0E66F2E"/>
    <w:lvl w:ilvl="0">
      <w:start w:val="1"/>
      <w:numFmt w:val="bullet"/>
      <w:pStyle w:val="ListBullet"/>
      <w:lvlText w:val=""/>
      <w:lvlJc w:val="left"/>
      <w:pPr>
        <w:tabs>
          <w:tab w:val="num" w:pos="360"/>
        </w:tabs>
        <w:ind w:left="360" w:hanging="360"/>
      </w:pPr>
      <w:rPr>
        <w:rFonts w:ascii="Symbol" w:hAnsi="Symbol" w:hint="default"/>
      </w:rPr>
    </w:lvl>
  </w:abstractNum>
  <w:abstractNum w:abstractNumId="4"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5"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7"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8"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9"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0"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1"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2"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3"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4"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5"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16"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7"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18"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3"/>
  </w:num>
  <w:num w:numId="2">
    <w:abstractNumId w:val="2"/>
  </w:num>
  <w:num w:numId="3">
    <w:abstractNumId w:val="1"/>
  </w:num>
  <w:num w:numId="4">
    <w:abstractNumId w:val="0"/>
  </w:num>
  <w:num w:numId="5">
    <w:abstractNumId w:val="18"/>
    <w:lvlOverride w:ilvl="0">
      <w:startOverride w:val="1"/>
    </w:lvlOverride>
  </w:num>
  <w:num w:numId="6">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3"/>
    <w:lvlOverride w:ilvl="0">
      <w:startOverride w:val="1"/>
    </w:lvlOverride>
  </w:num>
  <w:num w:numId="9">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5"/>
  </w:num>
  <w:num w:numId="11">
    <w:abstractNumId w:val="8"/>
  </w:num>
  <w:num w:numId="12">
    <w:abstractNumId w:val="17"/>
  </w:num>
  <w:num w:numId="13">
    <w:abstractNumId w:val="7"/>
  </w:num>
  <w:num w:numId="14">
    <w:abstractNumId w:val="9"/>
  </w:num>
  <w:num w:numId="15">
    <w:abstractNumId w:val="10"/>
  </w:num>
  <w:num w:numId="16">
    <w:abstractNumId w:val="5"/>
  </w:num>
  <w:num w:numId="17">
    <w:abstractNumId w:val="16"/>
  </w:num>
  <w:num w:numId="18">
    <w:abstractNumId w:val="4"/>
  </w:num>
  <w:num w:numId="19">
    <w:abstractNumId w:val="11"/>
  </w:num>
  <w:num w:numId="20">
    <w:abstractNumId w:val="13"/>
  </w:num>
  <w:num w:numId="21">
    <w:abstractNumId w:val="14"/>
  </w:num>
  <w:num w:numId="22">
    <w:abstractNumId w:val="6"/>
  </w:num>
  <w:num w:numId="23">
    <w:abstractNumId w:val="12"/>
  </w:num>
  <w:num w:numId="24">
    <w:abstractNumId w:val="18"/>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attachedTemplate r:id="rId1"/>
  <w:revisionView w:markup="0"/>
  <w:defaultTabStop w:val="720"/>
  <w:hyphenationZone w:val="425"/>
  <w:characterSpacingControl w:val="doNotCompress"/>
  <w:hdrShapeDefaults>
    <o:shapedefaults v:ext="edit" spidmax="2051"/>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R_RefLast" w:val="0"/>
    <w:docVar w:name="DQCDateTime" w:val="2025-03-25 14:42:56"/>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Green"/>
    <w:docVar w:name="DQCVersion" w:val="3"/>
    <w:docVar w:name="DQCWithWarnings" w:val="0"/>
    <w:docVar w:name="LW_CORRIGENDUM" w:val="&lt;UNUSED&gt;"/>
    <w:docVar w:name="LW_COVERPAGE_EXISTS" w:val="True"/>
    <w:docVar w:name="LW_COVERPAGE_GUID" w:val="14492064-2824-47B0-A19F-2176CFECA02F"/>
    <w:docVar w:name="LW_COVERPAGE_TYPE" w:val="1"/>
    <w:docVar w:name="LW_CROSSREFERENCE" w:val="&lt;UNUSED&gt;"/>
    <w:docVar w:name="LW_DocType" w:val="COM"/>
    <w:docVar w:name="LW_EMISSION" w:val="28.2.2025"/>
    <w:docVar w:name="LW_EMISSION_ISODATE" w:val="2025-02-28"/>
    <w:docVar w:name="LW_EMISSION_LOCATION" w:val="BRX"/>
    <w:docVar w:name="LW_EMISSION_PREFIX" w:val="Bruxelles, le "/>
    <w:docVar w:name="LW_EMISSION_SUFFIX" w:val=" "/>
    <w:docVar w:name="LW_ID_DOCMODEL" w:val="SJ-022"/>
    <w:docVar w:name="LW_ID_DOCSIGNATURE" w:val="SJ-022"/>
    <w:docVar w:name="LW_ID_DOCSTRUCTURE" w:val="COM/PL/ORG"/>
    <w:docVar w:name="LW_ID_DOCTYPE" w:val="SJ-022"/>
    <w:docVar w:name="LW_ID_STATUT" w:val="SJ-022"/>
    <w:docVar w:name="LW_INSERT_EXP.MOTIFS.NEW" w:val="1"/>
    <w:docVar w:name="LW_INTERETEEE.CP" w:val="(Texte présentant de l\u8217?intérêt pour l\u8217?EEE)"/>
    <w:docVar w:name="LW_LANGUE" w:val="FR"/>
    <w:docVar w:name="LW_LEVEL_OF_SENSITIVITY" w:val="Standard treatment"/>
    <w:docVar w:name="LW_NOM.INST" w:val="COMMISSION EUROPÉENNE"/>
    <w:docVar w:name="LW_NOM.INST_JOINTDOC" w:val="&lt;EMPTY&gt;"/>
    <w:docVar w:name="LW_PART_NBR" w:val="1"/>
    <w:docVar w:name="LW_PART_NBR_TOTAL" w:val="1"/>
    <w:docVar w:name="LW_REF.II.NEW.CP" w:val="NLE"/>
    <w:docVar w:name="LW_REF.II.NEW.CP_NUMBER" w:val="0034"/>
    <w:docVar w:name="LW_REF.II.NEW.CP_YEAR" w:val="2025"/>
    <w:docVar w:name="LW_REF.INST.NEW" w:val="COM"/>
    <w:docVar w:name="LW_REF.INST.NEW_ADOPTED" w:val="final"/>
    <w:docVar w:name="LW_REF.INST.NEW_TEXT" w:val="(2025) 62"/>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TATUT.CP" w:val="Proposition de"/>
    <w:docVar w:name="LW_SUPERTITRE" w:val="&lt;UNUSED&gt;"/>
    <w:docVar w:name="LW_TITRE.OBJ.CP" w:val="sur le programme stratégique 2025_x001e_2027 de l\u8217?Espace européen de la recherche"/>
    <w:docVar w:name="LW_TYPE.DOC.CP" w:val="RECOMMANDATION DU CONSEIL"/>
    <w:docVar w:name="LwApiVersions" w:val="LW4CoDe 1.24.5.0; LW 9.0, Build 20240221"/>
    <w:docVar w:name="Stamp" w:val="\\dossiers.dgt.cec.eu.int\dossiers\RTD\RTD-2025-00021\RTD-2025-00021-00-00-EN-EDT-00.202501301049441793049.DOCX"/>
  </w:docVars>
  <w:rsids>
    <w:rsidRoot w:val="00DA2E0E"/>
    <w:rsid w:val="00000273"/>
    <w:rsid w:val="00000737"/>
    <w:rsid w:val="00000987"/>
    <w:rsid w:val="000020D2"/>
    <w:rsid w:val="00002845"/>
    <w:rsid w:val="000033F7"/>
    <w:rsid w:val="0000379E"/>
    <w:rsid w:val="000037A8"/>
    <w:rsid w:val="00003B50"/>
    <w:rsid w:val="00003E81"/>
    <w:rsid w:val="00004509"/>
    <w:rsid w:val="00004BBA"/>
    <w:rsid w:val="000063B9"/>
    <w:rsid w:val="0000650E"/>
    <w:rsid w:val="00006B32"/>
    <w:rsid w:val="00007698"/>
    <w:rsid w:val="00007E1C"/>
    <w:rsid w:val="000103E9"/>
    <w:rsid w:val="000114E1"/>
    <w:rsid w:val="000115BC"/>
    <w:rsid w:val="0001163A"/>
    <w:rsid w:val="00011BD3"/>
    <w:rsid w:val="00011C3A"/>
    <w:rsid w:val="000120ED"/>
    <w:rsid w:val="00012231"/>
    <w:rsid w:val="000122C4"/>
    <w:rsid w:val="00012855"/>
    <w:rsid w:val="00012982"/>
    <w:rsid w:val="00012986"/>
    <w:rsid w:val="00012A23"/>
    <w:rsid w:val="000132EF"/>
    <w:rsid w:val="000139D3"/>
    <w:rsid w:val="00014704"/>
    <w:rsid w:val="00014ADA"/>
    <w:rsid w:val="0001507F"/>
    <w:rsid w:val="000151A6"/>
    <w:rsid w:val="000162B4"/>
    <w:rsid w:val="00016B0B"/>
    <w:rsid w:val="00016DB9"/>
    <w:rsid w:val="00016E49"/>
    <w:rsid w:val="00017682"/>
    <w:rsid w:val="00017D14"/>
    <w:rsid w:val="00017F0E"/>
    <w:rsid w:val="00020220"/>
    <w:rsid w:val="00020965"/>
    <w:rsid w:val="00020CD8"/>
    <w:rsid w:val="00020DA9"/>
    <w:rsid w:val="00020FF1"/>
    <w:rsid w:val="00021296"/>
    <w:rsid w:val="00021300"/>
    <w:rsid w:val="00021C7A"/>
    <w:rsid w:val="0002239F"/>
    <w:rsid w:val="000224C5"/>
    <w:rsid w:val="00022789"/>
    <w:rsid w:val="00022858"/>
    <w:rsid w:val="00022C8B"/>
    <w:rsid w:val="00022DBD"/>
    <w:rsid w:val="00022E92"/>
    <w:rsid w:val="00023727"/>
    <w:rsid w:val="00023D05"/>
    <w:rsid w:val="00024B5D"/>
    <w:rsid w:val="00025780"/>
    <w:rsid w:val="00025E8B"/>
    <w:rsid w:val="000260AD"/>
    <w:rsid w:val="00026105"/>
    <w:rsid w:val="00026280"/>
    <w:rsid w:val="0002647C"/>
    <w:rsid w:val="000265C6"/>
    <w:rsid w:val="00026DEF"/>
    <w:rsid w:val="00027322"/>
    <w:rsid w:val="00027CA4"/>
    <w:rsid w:val="00027E36"/>
    <w:rsid w:val="000301AC"/>
    <w:rsid w:val="0003085B"/>
    <w:rsid w:val="000311F3"/>
    <w:rsid w:val="00031ACA"/>
    <w:rsid w:val="00031D52"/>
    <w:rsid w:val="000331A7"/>
    <w:rsid w:val="00033B43"/>
    <w:rsid w:val="00033E05"/>
    <w:rsid w:val="00034A5C"/>
    <w:rsid w:val="00034A5D"/>
    <w:rsid w:val="00034F10"/>
    <w:rsid w:val="000351F1"/>
    <w:rsid w:val="000355C1"/>
    <w:rsid w:val="00035B3D"/>
    <w:rsid w:val="00036A4D"/>
    <w:rsid w:val="00036B06"/>
    <w:rsid w:val="00036F08"/>
    <w:rsid w:val="0003761C"/>
    <w:rsid w:val="000401BE"/>
    <w:rsid w:val="00040211"/>
    <w:rsid w:val="000403CC"/>
    <w:rsid w:val="000405EF"/>
    <w:rsid w:val="00041EA3"/>
    <w:rsid w:val="00043712"/>
    <w:rsid w:val="00044190"/>
    <w:rsid w:val="000441C7"/>
    <w:rsid w:val="000456AA"/>
    <w:rsid w:val="00045AEA"/>
    <w:rsid w:val="00045B05"/>
    <w:rsid w:val="0004667B"/>
    <w:rsid w:val="000477BF"/>
    <w:rsid w:val="00047800"/>
    <w:rsid w:val="00047C36"/>
    <w:rsid w:val="000509D6"/>
    <w:rsid w:val="00050CEE"/>
    <w:rsid w:val="00050DC8"/>
    <w:rsid w:val="00051682"/>
    <w:rsid w:val="0005185C"/>
    <w:rsid w:val="000523EC"/>
    <w:rsid w:val="0005287A"/>
    <w:rsid w:val="00053787"/>
    <w:rsid w:val="0005378E"/>
    <w:rsid w:val="000539E4"/>
    <w:rsid w:val="000542D7"/>
    <w:rsid w:val="00054693"/>
    <w:rsid w:val="000547E1"/>
    <w:rsid w:val="000549FD"/>
    <w:rsid w:val="00054D9F"/>
    <w:rsid w:val="0005502B"/>
    <w:rsid w:val="0005514A"/>
    <w:rsid w:val="0005541F"/>
    <w:rsid w:val="00055683"/>
    <w:rsid w:val="0005611A"/>
    <w:rsid w:val="00056511"/>
    <w:rsid w:val="0005661A"/>
    <w:rsid w:val="00056675"/>
    <w:rsid w:val="000568C5"/>
    <w:rsid w:val="00056A34"/>
    <w:rsid w:val="00056A46"/>
    <w:rsid w:val="00057887"/>
    <w:rsid w:val="00057B59"/>
    <w:rsid w:val="000602C2"/>
    <w:rsid w:val="00060AFC"/>
    <w:rsid w:val="00060F7A"/>
    <w:rsid w:val="00061436"/>
    <w:rsid w:val="00061729"/>
    <w:rsid w:val="0006190C"/>
    <w:rsid w:val="00061921"/>
    <w:rsid w:val="00061A96"/>
    <w:rsid w:val="00061DF9"/>
    <w:rsid w:val="00061EAD"/>
    <w:rsid w:val="0006208B"/>
    <w:rsid w:val="00062307"/>
    <w:rsid w:val="000624A5"/>
    <w:rsid w:val="00062A0A"/>
    <w:rsid w:val="00062F8A"/>
    <w:rsid w:val="00063883"/>
    <w:rsid w:val="000639D5"/>
    <w:rsid w:val="00063F38"/>
    <w:rsid w:val="000644DD"/>
    <w:rsid w:val="00064C16"/>
    <w:rsid w:val="00064FA6"/>
    <w:rsid w:val="0006507E"/>
    <w:rsid w:val="00065A19"/>
    <w:rsid w:val="000662DA"/>
    <w:rsid w:val="000665B5"/>
    <w:rsid w:val="000670CA"/>
    <w:rsid w:val="000671AF"/>
    <w:rsid w:val="0006724D"/>
    <w:rsid w:val="00067691"/>
    <w:rsid w:val="000677B4"/>
    <w:rsid w:val="000703FC"/>
    <w:rsid w:val="000704B0"/>
    <w:rsid w:val="00070820"/>
    <w:rsid w:val="0007152F"/>
    <w:rsid w:val="00071808"/>
    <w:rsid w:val="00071BCB"/>
    <w:rsid w:val="000720F5"/>
    <w:rsid w:val="000723BA"/>
    <w:rsid w:val="00073122"/>
    <w:rsid w:val="0007327F"/>
    <w:rsid w:val="00073554"/>
    <w:rsid w:val="00073827"/>
    <w:rsid w:val="00073AD1"/>
    <w:rsid w:val="000745B5"/>
    <w:rsid w:val="000748CB"/>
    <w:rsid w:val="00074C8B"/>
    <w:rsid w:val="00075729"/>
    <w:rsid w:val="00075758"/>
    <w:rsid w:val="00075B8E"/>
    <w:rsid w:val="00075BE4"/>
    <w:rsid w:val="00075D74"/>
    <w:rsid w:val="00075E8D"/>
    <w:rsid w:val="00076C69"/>
    <w:rsid w:val="00077210"/>
    <w:rsid w:val="000779C7"/>
    <w:rsid w:val="000779D0"/>
    <w:rsid w:val="00080161"/>
    <w:rsid w:val="00080B65"/>
    <w:rsid w:val="00080C27"/>
    <w:rsid w:val="00080D60"/>
    <w:rsid w:val="000816D1"/>
    <w:rsid w:val="00081767"/>
    <w:rsid w:val="000819DB"/>
    <w:rsid w:val="000825A0"/>
    <w:rsid w:val="0008274E"/>
    <w:rsid w:val="00082B47"/>
    <w:rsid w:val="00082D34"/>
    <w:rsid w:val="00082F4B"/>
    <w:rsid w:val="0008411F"/>
    <w:rsid w:val="0008480E"/>
    <w:rsid w:val="00085422"/>
    <w:rsid w:val="00085D78"/>
    <w:rsid w:val="0008647B"/>
    <w:rsid w:val="00086544"/>
    <w:rsid w:val="00086711"/>
    <w:rsid w:val="0008695E"/>
    <w:rsid w:val="00086AC6"/>
    <w:rsid w:val="000876CD"/>
    <w:rsid w:val="000879CE"/>
    <w:rsid w:val="00090C17"/>
    <w:rsid w:val="00091149"/>
    <w:rsid w:val="0009276F"/>
    <w:rsid w:val="00092854"/>
    <w:rsid w:val="000930C5"/>
    <w:rsid w:val="000931A1"/>
    <w:rsid w:val="0009366D"/>
    <w:rsid w:val="00093940"/>
    <w:rsid w:val="00093E89"/>
    <w:rsid w:val="000977EA"/>
    <w:rsid w:val="000A0231"/>
    <w:rsid w:val="000A0C41"/>
    <w:rsid w:val="000A12EA"/>
    <w:rsid w:val="000A1B2F"/>
    <w:rsid w:val="000A1BD8"/>
    <w:rsid w:val="000A2424"/>
    <w:rsid w:val="000A252D"/>
    <w:rsid w:val="000A30C6"/>
    <w:rsid w:val="000A32F3"/>
    <w:rsid w:val="000A3552"/>
    <w:rsid w:val="000A3FB7"/>
    <w:rsid w:val="000A4338"/>
    <w:rsid w:val="000A4D28"/>
    <w:rsid w:val="000A62C0"/>
    <w:rsid w:val="000A6615"/>
    <w:rsid w:val="000A6762"/>
    <w:rsid w:val="000A76B5"/>
    <w:rsid w:val="000B0E98"/>
    <w:rsid w:val="000B0F15"/>
    <w:rsid w:val="000B0F4C"/>
    <w:rsid w:val="000B0FBC"/>
    <w:rsid w:val="000B1313"/>
    <w:rsid w:val="000B1E2B"/>
    <w:rsid w:val="000B211B"/>
    <w:rsid w:val="000B22A4"/>
    <w:rsid w:val="000B2A27"/>
    <w:rsid w:val="000B3918"/>
    <w:rsid w:val="000B419A"/>
    <w:rsid w:val="000B4302"/>
    <w:rsid w:val="000B4798"/>
    <w:rsid w:val="000B4A09"/>
    <w:rsid w:val="000B5302"/>
    <w:rsid w:val="000B536E"/>
    <w:rsid w:val="000B55EA"/>
    <w:rsid w:val="000B58C2"/>
    <w:rsid w:val="000B590F"/>
    <w:rsid w:val="000B669A"/>
    <w:rsid w:val="000B699F"/>
    <w:rsid w:val="000B6DBD"/>
    <w:rsid w:val="000B7151"/>
    <w:rsid w:val="000B71D6"/>
    <w:rsid w:val="000B77A4"/>
    <w:rsid w:val="000B7AB3"/>
    <w:rsid w:val="000B7B44"/>
    <w:rsid w:val="000C052F"/>
    <w:rsid w:val="000C19BC"/>
    <w:rsid w:val="000C2285"/>
    <w:rsid w:val="000C26AE"/>
    <w:rsid w:val="000C2BE7"/>
    <w:rsid w:val="000C2F9C"/>
    <w:rsid w:val="000C3365"/>
    <w:rsid w:val="000C3C0C"/>
    <w:rsid w:val="000C474F"/>
    <w:rsid w:val="000C47EE"/>
    <w:rsid w:val="000C4ADB"/>
    <w:rsid w:val="000C4C3A"/>
    <w:rsid w:val="000C53A0"/>
    <w:rsid w:val="000C58FF"/>
    <w:rsid w:val="000C5C6A"/>
    <w:rsid w:val="000C5F71"/>
    <w:rsid w:val="000C64B1"/>
    <w:rsid w:val="000C64D8"/>
    <w:rsid w:val="000C6517"/>
    <w:rsid w:val="000C70E6"/>
    <w:rsid w:val="000C723B"/>
    <w:rsid w:val="000C7326"/>
    <w:rsid w:val="000D0025"/>
    <w:rsid w:val="000D0153"/>
    <w:rsid w:val="000D021A"/>
    <w:rsid w:val="000D053C"/>
    <w:rsid w:val="000D0C77"/>
    <w:rsid w:val="000D0CB2"/>
    <w:rsid w:val="000D1531"/>
    <w:rsid w:val="000D1CF9"/>
    <w:rsid w:val="000D2479"/>
    <w:rsid w:val="000D2F27"/>
    <w:rsid w:val="000D332D"/>
    <w:rsid w:val="000D3A30"/>
    <w:rsid w:val="000D4799"/>
    <w:rsid w:val="000D58A2"/>
    <w:rsid w:val="000D5C9D"/>
    <w:rsid w:val="000D6C1D"/>
    <w:rsid w:val="000D72F7"/>
    <w:rsid w:val="000E0110"/>
    <w:rsid w:val="000E01DF"/>
    <w:rsid w:val="000E0346"/>
    <w:rsid w:val="000E1C54"/>
    <w:rsid w:val="000E220B"/>
    <w:rsid w:val="000E224D"/>
    <w:rsid w:val="000E3184"/>
    <w:rsid w:val="000E3E71"/>
    <w:rsid w:val="000E4675"/>
    <w:rsid w:val="000E4D23"/>
    <w:rsid w:val="000E4F38"/>
    <w:rsid w:val="000E50C2"/>
    <w:rsid w:val="000E5931"/>
    <w:rsid w:val="000E59C2"/>
    <w:rsid w:val="000E5E03"/>
    <w:rsid w:val="000E5E33"/>
    <w:rsid w:val="000E6877"/>
    <w:rsid w:val="000E6921"/>
    <w:rsid w:val="000E749F"/>
    <w:rsid w:val="000E7AE9"/>
    <w:rsid w:val="000E7CE0"/>
    <w:rsid w:val="000E7F00"/>
    <w:rsid w:val="000F059C"/>
    <w:rsid w:val="000F06EF"/>
    <w:rsid w:val="000F0B12"/>
    <w:rsid w:val="000F144D"/>
    <w:rsid w:val="000F163A"/>
    <w:rsid w:val="000F1C89"/>
    <w:rsid w:val="000F2CE9"/>
    <w:rsid w:val="000F3494"/>
    <w:rsid w:val="000F34B5"/>
    <w:rsid w:val="000F433D"/>
    <w:rsid w:val="000F49FB"/>
    <w:rsid w:val="000F53AA"/>
    <w:rsid w:val="000F5A31"/>
    <w:rsid w:val="000F6252"/>
    <w:rsid w:val="000F6439"/>
    <w:rsid w:val="000F7753"/>
    <w:rsid w:val="00100008"/>
    <w:rsid w:val="00100015"/>
    <w:rsid w:val="0010026E"/>
    <w:rsid w:val="00100679"/>
    <w:rsid w:val="00100BD8"/>
    <w:rsid w:val="00100D17"/>
    <w:rsid w:val="001012B5"/>
    <w:rsid w:val="00101731"/>
    <w:rsid w:val="0010181D"/>
    <w:rsid w:val="001024A7"/>
    <w:rsid w:val="00102881"/>
    <w:rsid w:val="00102CC8"/>
    <w:rsid w:val="00102CE3"/>
    <w:rsid w:val="00103224"/>
    <w:rsid w:val="0010329A"/>
    <w:rsid w:val="00103688"/>
    <w:rsid w:val="00103A4D"/>
    <w:rsid w:val="001040EC"/>
    <w:rsid w:val="0010417E"/>
    <w:rsid w:val="0010422B"/>
    <w:rsid w:val="00104499"/>
    <w:rsid w:val="00104BF4"/>
    <w:rsid w:val="00105298"/>
    <w:rsid w:val="00105839"/>
    <w:rsid w:val="00105BAD"/>
    <w:rsid w:val="00105C4C"/>
    <w:rsid w:val="00105DF3"/>
    <w:rsid w:val="00105E87"/>
    <w:rsid w:val="001065F5"/>
    <w:rsid w:val="00106D7A"/>
    <w:rsid w:val="00106EC5"/>
    <w:rsid w:val="00107073"/>
    <w:rsid w:val="001075EF"/>
    <w:rsid w:val="00107CFB"/>
    <w:rsid w:val="0011083E"/>
    <w:rsid w:val="00110CFF"/>
    <w:rsid w:val="00111011"/>
    <w:rsid w:val="001110B4"/>
    <w:rsid w:val="001113B4"/>
    <w:rsid w:val="001113D6"/>
    <w:rsid w:val="00111572"/>
    <w:rsid w:val="0011212D"/>
    <w:rsid w:val="0011283D"/>
    <w:rsid w:val="001137BE"/>
    <w:rsid w:val="00113F1C"/>
    <w:rsid w:val="00114956"/>
    <w:rsid w:val="00114F99"/>
    <w:rsid w:val="00116449"/>
    <w:rsid w:val="0011692F"/>
    <w:rsid w:val="00116D63"/>
    <w:rsid w:val="00117848"/>
    <w:rsid w:val="0011794F"/>
    <w:rsid w:val="0011E11A"/>
    <w:rsid w:val="00120017"/>
    <w:rsid w:val="00120A61"/>
    <w:rsid w:val="00121AFE"/>
    <w:rsid w:val="00122225"/>
    <w:rsid w:val="00122394"/>
    <w:rsid w:val="00122AA6"/>
    <w:rsid w:val="00122BFD"/>
    <w:rsid w:val="00123634"/>
    <w:rsid w:val="001238EF"/>
    <w:rsid w:val="00123B7C"/>
    <w:rsid w:val="00123D7B"/>
    <w:rsid w:val="00123D8E"/>
    <w:rsid w:val="00124886"/>
    <w:rsid w:val="00124ECE"/>
    <w:rsid w:val="00125355"/>
    <w:rsid w:val="00125509"/>
    <w:rsid w:val="00125FDC"/>
    <w:rsid w:val="00126076"/>
    <w:rsid w:val="001261BA"/>
    <w:rsid w:val="0012749D"/>
    <w:rsid w:val="00127741"/>
    <w:rsid w:val="00127E9F"/>
    <w:rsid w:val="00127F75"/>
    <w:rsid w:val="00127FE5"/>
    <w:rsid w:val="00130EE9"/>
    <w:rsid w:val="00130F55"/>
    <w:rsid w:val="00131719"/>
    <w:rsid w:val="00131813"/>
    <w:rsid w:val="00132010"/>
    <w:rsid w:val="00132319"/>
    <w:rsid w:val="0013259B"/>
    <w:rsid w:val="0013272E"/>
    <w:rsid w:val="0013286B"/>
    <w:rsid w:val="00132C59"/>
    <w:rsid w:val="00132E7F"/>
    <w:rsid w:val="001343A9"/>
    <w:rsid w:val="001343CC"/>
    <w:rsid w:val="0013456D"/>
    <w:rsid w:val="0013480E"/>
    <w:rsid w:val="00134B51"/>
    <w:rsid w:val="00136318"/>
    <w:rsid w:val="00136E1B"/>
    <w:rsid w:val="001371E8"/>
    <w:rsid w:val="00137433"/>
    <w:rsid w:val="00137601"/>
    <w:rsid w:val="00137655"/>
    <w:rsid w:val="0013776C"/>
    <w:rsid w:val="001407BE"/>
    <w:rsid w:val="00140A5D"/>
    <w:rsid w:val="001411E3"/>
    <w:rsid w:val="00141373"/>
    <w:rsid w:val="001417CF"/>
    <w:rsid w:val="00141D9A"/>
    <w:rsid w:val="00142F73"/>
    <w:rsid w:val="00142FAA"/>
    <w:rsid w:val="0014363C"/>
    <w:rsid w:val="0014389B"/>
    <w:rsid w:val="00143B0C"/>
    <w:rsid w:val="001456CE"/>
    <w:rsid w:val="0014573C"/>
    <w:rsid w:val="00145E26"/>
    <w:rsid w:val="001463FF"/>
    <w:rsid w:val="00146B49"/>
    <w:rsid w:val="0014761F"/>
    <w:rsid w:val="00147A8E"/>
    <w:rsid w:val="00147B24"/>
    <w:rsid w:val="00147DCC"/>
    <w:rsid w:val="001501D6"/>
    <w:rsid w:val="0015082C"/>
    <w:rsid w:val="00150EE8"/>
    <w:rsid w:val="001520AE"/>
    <w:rsid w:val="00152A7A"/>
    <w:rsid w:val="00153535"/>
    <w:rsid w:val="0015377C"/>
    <w:rsid w:val="00153B1E"/>
    <w:rsid w:val="00153D3F"/>
    <w:rsid w:val="00153FD1"/>
    <w:rsid w:val="00154136"/>
    <w:rsid w:val="00154678"/>
    <w:rsid w:val="00154B69"/>
    <w:rsid w:val="00154C1B"/>
    <w:rsid w:val="00154FE7"/>
    <w:rsid w:val="0015508F"/>
    <w:rsid w:val="0015568F"/>
    <w:rsid w:val="001557AB"/>
    <w:rsid w:val="00155802"/>
    <w:rsid w:val="00155A43"/>
    <w:rsid w:val="00155C66"/>
    <w:rsid w:val="00155CF9"/>
    <w:rsid w:val="00155EFA"/>
    <w:rsid w:val="00156571"/>
    <w:rsid w:val="00157912"/>
    <w:rsid w:val="00157A0A"/>
    <w:rsid w:val="00157C21"/>
    <w:rsid w:val="00157EAB"/>
    <w:rsid w:val="001602D7"/>
    <w:rsid w:val="0016059C"/>
    <w:rsid w:val="00160B85"/>
    <w:rsid w:val="00160FA7"/>
    <w:rsid w:val="00161102"/>
    <w:rsid w:val="0016184E"/>
    <w:rsid w:val="00161B97"/>
    <w:rsid w:val="00161F33"/>
    <w:rsid w:val="00162E2A"/>
    <w:rsid w:val="00164DB5"/>
    <w:rsid w:val="001654C9"/>
    <w:rsid w:val="00165580"/>
    <w:rsid w:val="00165809"/>
    <w:rsid w:val="00165FFA"/>
    <w:rsid w:val="00166518"/>
    <w:rsid w:val="00166E8B"/>
    <w:rsid w:val="00167145"/>
    <w:rsid w:val="001676B4"/>
    <w:rsid w:val="00170843"/>
    <w:rsid w:val="00171958"/>
    <w:rsid w:val="0017236B"/>
    <w:rsid w:val="00173256"/>
    <w:rsid w:val="001743A0"/>
    <w:rsid w:val="00175792"/>
    <w:rsid w:val="001757BA"/>
    <w:rsid w:val="00175ADC"/>
    <w:rsid w:val="00176AD1"/>
    <w:rsid w:val="001771BC"/>
    <w:rsid w:val="001779AB"/>
    <w:rsid w:val="00177C8A"/>
    <w:rsid w:val="0018023C"/>
    <w:rsid w:val="00181255"/>
    <w:rsid w:val="00181654"/>
    <w:rsid w:val="00181ED9"/>
    <w:rsid w:val="00182963"/>
    <w:rsid w:val="00182A76"/>
    <w:rsid w:val="00183274"/>
    <w:rsid w:val="001833FA"/>
    <w:rsid w:val="00183FE5"/>
    <w:rsid w:val="0018426B"/>
    <w:rsid w:val="00184F9B"/>
    <w:rsid w:val="00185348"/>
    <w:rsid w:val="00187710"/>
    <w:rsid w:val="00187DB2"/>
    <w:rsid w:val="001906ED"/>
    <w:rsid w:val="001909F7"/>
    <w:rsid w:val="0019106D"/>
    <w:rsid w:val="001910D4"/>
    <w:rsid w:val="0019197A"/>
    <w:rsid w:val="00191AC4"/>
    <w:rsid w:val="00191AE4"/>
    <w:rsid w:val="0019203C"/>
    <w:rsid w:val="00192DBC"/>
    <w:rsid w:val="0019334F"/>
    <w:rsid w:val="00193362"/>
    <w:rsid w:val="001935DA"/>
    <w:rsid w:val="0019360F"/>
    <w:rsid w:val="0019411C"/>
    <w:rsid w:val="00194232"/>
    <w:rsid w:val="001942AA"/>
    <w:rsid w:val="00194307"/>
    <w:rsid w:val="00194340"/>
    <w:rsid w:val="001954C0"/>
    <w:rsid w:val="00196591"/>
    <w:rsid w:val="001968FD"/>
    <w:rsid w:val="00196A23"/>
    <w:rsid w:val="00196F82"/>
    <w:rsid w:val="00197534"/>
    <w:rsid w:val="00197613"/>
    <w:rsid w:val="00197F96"/>
    <w:rsid w:val="00197FF8"/>
    <w:rsid w:val="001A146C"/>
    <w:rsid w:val="001A14A4"/>
    <w:rsid w:val="001A1B61"/>
    <w:rsid w:val="001A1CA8"/>
    <w:rsid w:val="001A322B"/>
    <w:rsid w:val="001A326C"/>
    <w:rsid w:val="001A3FC9"/>
    <w:rsid w:val="001A47B1"/>
    <w:rsid w:val="001A492F"/>
    <w:rsid w:val="001A4A6A"/>
    <w:rsid w:val="001A514A"/>
    <w:rsid w:val="001A5247"/>
    <w:rsid w:val="001A5EB8"/>
    <w:rsid w:val="001A6174"/>
    <w:rsid w:val="001A61AA"/>
    <w:rsid w:val="001A636B"/>
    <w:rsid w:val="001A73E4"/>
    <w:rsid w:val="001A7CE9"/>
    <w:rsid w:val="001B034A"/>
    <w:rsid w:val="001B0800"/>
    <w:rsid w:val="001B0D1F"/>
    <w:rsid w:val="001B0EC1"/>
    <w:rsid w:val="001B14B1"/>
    <w:rsid w:val="001B1719"/>
    <w:rsid w:val="001B1C28"/>
    <w:rsid w:val="001B1CA1"/>
    <w:rsid w:val="001B20B0"/>
    <w:rsid w:val="001B2387"/>
    <w:rsid w:val="001B2B49"/>
    <w:rsid w:val="001B4775"/>
    <w:rsid w:val="001B4A30"/>
    <w:rsid w:val="001B4A5A"/>
    <w:rsid w:val="001B5B12"/>
    <w:rsid w:val="001B5B7D"/>
    <w:rsid w:val="001B64E2"/>
    <w:rsid w:val="001B6A2D"/>
    <w:rsid w:val="001B6B37"/>
    <w:rsid w:val="001B761F"/>
    <w:rsid w:val="001B7656"/>
    <w:rsid w:val="001B7C13"/>
    <w:rsid w:val="001B7C18"/>
    <w:rsid w:val="001B7E93"/>
    <w:rsid w:val="001C1FF7"/>
    <w:rsid w:val="001C28AD"/>
    <w:rsid w:val="001C28DC"/>
    <w:rsid w:val="001C3060"/>
    <w:rsid w:val="001C3CD2"/>
    <w:rsid w:val="001C4741"/>
    <w:rsid w:val="001C4C79"/>
    <w:rsid w:val="001C6041"/>
    <w:rsid w:val="001C67B9"/>
    <w:rsid w:val="001C68ED"/>
    <w:rsid w:val="001D0368"/>
    <w:rsid w:val="001D0401"/>
    <w:rsid w:val="001D065B"/>
    <w:rsid w:val="001D09E3"/>
    <w:rsid w:val="001D0C11"/>
    <w:rsid w:val="001D0EE8"/>
    <w:rsid w:val="001D0F67"/>
    <w:rsid w:val="001D1555"/>
    <w:rsid w:val="001D4A3B"/>
    <w:rsid w:val="001D5649"/>
    <w:rsid w:val="001D5CCE"/>
    <w:rsid w:val="001D775E"/>
    <w:rsid w:val="001E1110"/>
    <w:rsid w:val="001E1566"/>
    <w:rsid w:val="001E2292"/>
    <w:rsid w:val="001E2507"/>
    <w:rsid w:val="001E2A83"/>
    <w:rsid w:val="001E2A9D"/>
    <w:rsid w:val="001E3849"/>
    <w:rsid w:val="001E467D"/>
    <w:rsid w:val="001E4B6B"/>
    <w:rsid w:val="001E5738"/>
    <w:rsid w:val="001E5E09"/>
    <w:rsid w:val="001E630C"/>
    <w:rsid w:val="001E7BFA"/>
    <w:rsid w:val="001E7BFE"/>
    <w:rsid w:val="001F0139"/>
    <w:rsid w:val="001F06C1"/>
    <w:rsid w:val="001F0BBC"/>
    <w:rsid w:val="001F0F00"/>
    <w:rsid w:val="001F0F66"/>
    <w:rsid w:val="001F2884"/>
    <w:rsid w:val="001F28D7"/>
    <w:rsid w:val="001F2BD8"/>
    <w:rsid w:val="001F387E"/>
    <w:rsid w:val="001F390A"/>
    <w:rsid w:val="001F3977"/>
    <w:rsid w:val="001F4034"/>
    <w:rsid w:val="001F41B2"/>
    <w:rsid w:val="001F4733"/>
    <w:rsid w:val="001F49AE"/>
    <w:rsid w:val="001F4E71"/>
    <w:rsid w:val="001F5013"/>
    <w:rsid w:val="001F52EC"/>
    <w:rsid w:val="001F543E"/>
    <w:rsid w:val="001F6DAF"/>
    <w:rsid w:val="001F7BF4"/>
    <w:rsid w:val="00200516"/>
    <w:rsid w:val="002027C1"/>
    <w:rsid w:val="002027FC"/>
    <w:rsid w:val="00202918"/>
    <w:rsid w:val="00203751"/>
    <w:rsid w:val="00203B4D"/>
    <w:rsid w:val="00203C70"/>
    <w:rsid w:val="00204005"/>
    <w:rsid w:val="002042FA"/>
    <w:rsid w:val="00204B11"/>
    <w:rsid w:val="00204CBD"/>
    <w:rsid w:val="002051C2"/>
    <w:rsid w:val="00206887"/>
    <w:rsid w:val="00207AE0"/>
    <w:rsid w:val="00210339"/>
    <w:rsid w:val="002105BB"/>
    <w:rsid w:val="00210A39"/>
    <w:rsid w:val="0021100E"/>
    <w:rsid w:val="00212253"/>
    <w:rsid w:val="00212318"/>
    <w:rsid w:val="0021286F"/>
    <w:rsid w:val="002128F1"/>
    <w:rsid w:val="00212DA9"/>
    <w:rsid w:val="00212E2F"/>
    <w:rsid w:val="00213534"/>
    <w:rsid w:val="00213849"/>
    <w:rsid w:val="00214646"/>
    <w:rsid w:val="002148D5"/>
    <w:rsid w:val="00214E1C"/>
    <w:rsid w:val="0021513B"/>
    <w:rsid w:val="00215250"/>
    <w:rsid w:val="00215578"/>
    <w:rsid w:val="00215D3D"/>
    <w:rsid w:val="002160C7"/>
    <w:rsid w:val="002161BA"/>
    <w:rsid w:val="002166FB"/>
    <w:rsid w:val="00216C92"/>
    <w:rsid w:val="0021711B"/>
    <w:rsid w:val="00217E4C"/>
    <w:rsid w:val="002200CF"/>
    <w:rsid w:val="00220457"/>
    <w:rsid w:val="00221D69"/>
    <w:rsid w:val="00222950"/>
    <w:rsid w:val="00223752"/>
    <w:rsid w:val="002248A6"/>
    <w:rsid w:val="00224ADD"/>
    <w:rsid w:val="00224D84"/>
    <w:rsid w:val="002258A0"/>
    <w:rsid w:val="002259C3"/>
    <w:rsid w:val="00226C08"/>
    <w:rsid w:val="00226D5D"/>
    <w:rsid w:val="002277C3"/>
    <w:rsid w:val="002277C5"/>
    <w:rsid w:val="00230DD7"/>
    <w:rsid w:val="00230E85"/>
    <w:rsid w:val="002313EE"/>
    <w:rsid w:val="002314E7"/>
    <w:rsid w:val="00231AAD"/>
    <w:rsid w:val="00231AB7"/>
    <w:rsid w:val="00231D42"/>
    <w:rsid w:val="0023208D"/>
    <w:rsid w:val="00233469"/>
    <w:rsid w:val="00233710"/>
    <w:rsid w:val="00233DC7"/>
    <w:rsid w:val="00233F41"/>
    <w:rsid w:val="0023426E"/>
    <w:rsid w:val="00234299"/>
    <w:rsid w:val="0023469C"/>
    <w:rsid w:val="00234768"/>
    <w:rsid w:val="00234A0A"/>
    <w:rsid w:val="00234B74"/>
    <w:rsid w:val="00234BF7"/>
    <w:rsid w:val="00234C24"/>
    <w:rsid w:val="0023653A"/>
    <w:rsid w:val="00236CF7"/>
    <w:rsid w:val="00237215"/>
    <w:rsid w:val="002373CF"/>
    <w:rsid w:val="00237B43"/>
    <w:rsid w:val="002404D6"/>
    <w:rsid w:val="00240D5E"/>
    <w:rsid w:val="00240F46"/>
    <w:rsid w:val="0024182A"/>
    <w:rsid w:val="0024187D"/>
    <w:rsid w:val="00241DC4"/>
    <w:rsid w:val="002420FF"/>
    <w:rsid w:val="0024219B"/>
    <w:rsid w:val="00242559"/>
    <w:rsid w:val="00242B3D"/>
    <w:rsid w:val="0024347D"/>
    <w:rsid w:val="00243A0C"/>
    <w:rsid w:val="00243D3B"/>
    <w:rsid w:val="00244288"/>
    <w:rsid w:val="002449FC"/>
    <w:rsid w:val="00244D84"/>
    <w:rsid w:val="00244E99"/>
    <w:rsid w:val="0024504B"/>
    <w:rsid w:val="002459E9"/>
    <w:rsid w:val="0024629B"/>
    <w:rsid w:val="0024659E"/>
    <w:rsid w:val="002467FA"/>
    <w:rsid w:val="00246813"/>
    <w:rsid w:val="002473B3"/>
    <w:rsid w:val="00247515"/>
    <w:rsid w:val="00247779"/>
    <w:rsid w:val="00247B93"/>
    <w:rsid w:val="00250164"/>
    <w:rsid w:val="0025070E"/>
    <w:rsid w:val="00250935"/>
    <w:rsid w:val="00250FEE"/>
    <w:rsid w:val="00251AAF"/>
    <w:rsid w:val="00251C5A"/>
    <w:rsid w:val="0025333B"/>
    <w:rsid w:val="002536FE"/>
    <w:rsid w:val="00253EF4"/>
    <w:rsid w:val="00254431"/>
    <w:rsid w:val="002545B2"/>
    <w:rsid w:val="00254ACB"/>
    <w:rsid w:val="002553E8"/>
    <w:rsid w:val="00255CDD"/>
    <w:rsid w:val="00256559"/>
    <w:rsid w:val="00257228"/>
    <w:rsid w:val="00257285"/>
    <w:rsid w:val="00260084"/>
    <w:rsid w:val="00260425"/>
    <w:rsid w:val="002608C5"/>
    <w:rsid w:val="00260CBA"/>
    <w:rsid w:val="0026127E"/>
    <w:rsid w:val="002614C0"/>
    <w:rsid w:val="002615F8"/>
    <w:rsid w:val="002622C8"/>
    <w:rsid w:val="0026324A"/>
    <w:rsid w:val="002632DB"/>
    <w:rsid w:val="00263695"/>
    <w:rsid w:val="0026443F"/>
    <w:rsid w:val="00264800"/>
    <w:rsid w:val="0026481E"/>
    <w:rsid w:val="00264ABA"/>
    <w:rsid w:val="00264B66"/>
    <w:rsid w:val="00265BD2"/>
    <w:rsid w:val="00266559"/>
    <w:rsid w:val="00267000"/>
    <w:rsid w:val="00267FF5"/>
    <w:rsid w:val="002702F3"/>
    <w:rsid w:val="0027052A"/>
    <w:rsid w:val="002708E1"/>
    <w:rsid w:val="00271ABD"/>
    <w:rsid w:val="00271B63"/>
    <w:rsid w:val="00271E6D"/>
    <w:rsid w:val="00272213"/>
    <w:rsid w:val="0027251D"/>
    <w:rsid w:val="00272D8D"/>
    <w:rsid w:val="0027316F"/>
    <w:rsid w:val="00273339"/>
    <w:rsid w:val="00273D19"/>
    <w:rsid w:val="002742A6"/>
    <w:rsid w:val="0027481F"/>
    <w:rsid w:val="002749E6"/>
    <w:rsid w:val="00274A07"/>
    <w:rsid w:val="00274EC7"/>
    <w:rsid w:val="00274EF7"/>
    <w:rsid w:val="0027531E"/>
    <w:rsid w:val="00275530"/>
    <w:rsid w:val="002755E8"/>
    <w:rsid w:val="00276689"/>
    <w:rsid w:val="00276A17"/>
    <w:rsid w:val="00277FC7"/>
    <w:rsid w:val="00280991"/>
    <w:rsid w:val="00280A68"/>
    <w:rsid w:val="0028113F"/>
    <w:rsid w:val="002815F3"/>
    <w:rsid w:val="002817D6"/>
    <w:rsid w:val="00281ACA"/>
    <w:rsid w:val="00281EB5"/>
    <w:rsid w:val="00282512"/>
    <w:rsid w:val="00282E8E"/>
    <w:rsid w:val="002834F9"/>
    <w:rsid w:val="00283B39"/>
    <w:rsid w:val="00283B44"/>
    <w:rsid w:val="00283D20"/>
    <w:rsid w:val="00283F43"/>
    <w:rsid w:val="00284D4A"/>
    <w:rsid w:val="00284DA1"/>
    <w:rsid w:val="00284E5A"/>
    <w:rsid w:val="00284E88"/>
    <w:rsid w:val="00284F3A"/>
    <w:rsid w:val="00285874"/>
    <w:rsid w:val="002859BA"/>
    <w:rsid w:val="00285BEE"/>
    <w:rsid w:val="00286557"/>
    <w:rsid w:val="00286B7B"/>
    <w:rsid w:val="00287416"/>
    <w:rsid w:val="0028775B"/>
    <w:rsid w:val="00290630"/>
    <w:rsid w:val="0029069D"/>
    <w:rsid w:val="00290969"/>
    <w:rsid w:val="00291757"/>
    <w:rsid w:val="00291B92"/>
    <w:rsid w:val="00291D4F"/>
    <w:rsid w:val="0029249E"/>
    <w:rsid w:val="00292A5B"/>
    <w:rsid w:val="00292DAA"/>
    <w:rsid w:val="002930F5"/>
    <w:rsid w:val="00293F0E"/>
    <w:rsid w:val="00294001"/>
    <w:rsid w:val="0029533F"/>
    <w:rsid w:val="00295343"/>
    <w:rsid w:val="002955BB"/>
    <w:rsid w:val="00295E13"/>
    <w:rsid w:val="00297C38"/>
    <w:rsid w:val="00297F5B"/>
    <w:rsid w:val="002A13B3"/>
    <w:rsid w:val="002A1E45"/>
    <w:rsid w:val="002A24E6"/>
    <w:rsid w:val="002A2A24"/>
    <w:rsid w:val="002A30A7"/>
    <w:rsid w:val="002A35A4"/>
    <w:rsid w:val="002A37E6"/>
    <w:rsid w:val="002A52E9"/>
    <w:rsid w:val="002A5BD3"/>
    <w:rsid w:val="002A5E8A"/>
    <w:rsid w:val="002A6246"/>
    <w:rsid w:val="002A6343"/>
    <w:rsid w:val="002A67A4"/>
    <w:rsid w:val="002A6BF5"/>
    <w:rsid w:val="002A797C"/>
    <w:rsid w:val="002A7993"/>
    <w:rsid w:val="002B013E"/>
    <w:rsid w:val="002B1CFE"/>
    <w:rsid w:val="002B2756"/>
    <w:rsid w:val="002B30AF"/>
    <w:rsid w:val="002B34FA"/>
    <w:rsid w:val="002B3F98"/>
    <w:rsid w:val="002B4A67"/>
    <w:rsid w:val="002B4B09"/>
    <w:rsid w:val="002B4BFB"/>
    <w:rsid w:val="002B4E19"/>
    <w:rsid w:val="002B4F8A"/>
    <w:rsid w:val="002B5EA9"/>
    <w:rsid w:val="002B6131"/>
    <w:rsid w:val="002B6236"/>
    <w:rsid w:val="002B6451"/>
    <w:rsid w:val="002B680A"/>
    <w:rsid w:val="002B6A92"/>
    <w:rsid w:val="002B700E"/>
    <w:rsid w:val="002B71BA"/>
    <w:rsid w:val="002B7CAF"/>
    <w:rsid w:val="002B7F8F"/>
    <w:rsid w:val="002C012D"/>
    <w:rsid w:val="002C11A2"/>
    <w:rsid w:val="002C160B"/>
    <w:rsid w:val="002C1F0A"/>
    <w:rsid w:val="002C222A"/>
    <w:rsid w:val="002C2575"/>
    <w:rsid w:val="002C2849"/>
    <w:rsid w:val="002C308F"/>
    <w:rsid w:val="002C3131"/>
    <w:rsid w:val="002C34B6"/>
    <w:rsid w:val="002C3878"/>
    <w:rsid w:val="002C4067"/>
    <w:rsid w:val="002C4447"/>
    <w:rsid w:val="002C512D"/>
    <w:rsid w:val="002C6CAB"/>
    <w:rsid w:val="002C74ED"/>
    <w:rsid w:val="002C75B6"/>
    <w:rsid w:val="002C7FEA"/>
    <w:rsid w:val="002C9437"/>
    <w:rsid w:val="002D00E1"/>
    <w:rsid w:val="002D04FC"/>
    <w:rsid w:val="002D1CED"/>
    <w:rsid w:val="002D236F"/>
    <w:rsid w:val="002D2787"/>
    <w:rsid w:val="002D2B93"/>
    <w:rsid w:val="002D2ECA"/>
    <w:rsid w:val="002D3C9E"/>
    <w:rsid w:val="002D4F30"/>
    <w:rsid w:val="002D4FCD"/>
    <w:rsid w:val="002D5205"/>
    <w:rsid w:val="002D5DE2"/>
    <w:rsid w:val="002D6513"/>
    <w:rsid w:val="002D6AD6"/>
    <w:rsid w:val="002D71E5"/>
    <w:rsid w:val="002D7504"/>
    <w:rsid w:val="002D7D63"/>
    <w:rsid w:val="002E03C9"/>
    <w:rsid w:val="002E03FC"/>
    <w:rsid w:val="002E0522"/>
    <w:rsid w:val="002E0880"/>
    <w:rsid w:val="002E1748"/>
    <w:rsid w:val="002E254F"/>
    <w:rsid w:val="002E2CB5"/>
    <w:rsid w:val="002E309F"/>
    <w:rsid w:val="002E31D8"/>
    <w:rsid w:val="002E3F69"/>
    <w:rsid w:val="002E4262"/>
    <w:rsid w:val="002E4F92"/>
    <w:rsid w:val="002E5236"/>
    <w:rsid w:val="002E5587"/>
    <w:rsid w:val="002E58BE"/>
    <w:rsid w:val="002E7359"/>
    <w:rsid w:val="002E77A2"/>
    <w:rsid w:val="002F0302"/>
    <w:rsid w:val="002F0CF5"/>
    <w:rsid w:val="002F0EF4"/>
    <w:rsid w:val="002F1CBD"/>
    <w:rsid w:val="002F1EF9"/>
    <w:rsid w:val="002F3986"/>
    <w:rsid w:val="002F398A"/>
    <w:rsid w:val="002F4C1D"/>
    <w:rsid w:val="002F4DC6"/>
    <w:rsid w:val="002F4FA1"/>
    <w:rsid w:val="002F57C0"/>
    <w:rsid w:val="002F590D"/>
    <w:rsid w:val="002F5E66"/>
    <w:rsid w:val="002F5FF9"/>
    <w:rsid w:val="002F6192"/>
    <w:rsid w:val="002F6718"/>
    <w:rsid w:val="002F6876"/>
    <w:rsid w:val="002F69D4"/>
    <w:rsid w:val="002F6DDD"/>
    <w:rsid w:val="002F7073"/>
    <w:rsid w:val="002F7CBF"/>
    <w:rsid w:val="00300907"/>
    <w:rsid w:val="00301289"/>
    <w:rsid w:val="00301FAF"/>
    <w:rsid w:val="00302047"/>
    <w:rsid w:val="003023B8"/>
    <w:rsid w:val="00302AA6"/>
    <w:rsid w:val="00302BB2"/>
    <w:rsid w:val="00302CC2"/>
    <w:rsid w:val="00303324"/>
    <w:rsid w:val="00303401"/>
    <w:rsid w:val="003035C8"/>
    <w:rsid w:val="003039F9"/>
    <w:rsid w:val="00303CD4"/>
    <w:rsid w:val="00303F02"/>
    <w:rsid w:val="00303F0B"/>
    <w:rsid w:val="00304939"/>
    <w:rsid w:val="00304D6F"/>
    <w:rsid w:val="0030543C"/>
    <w:rsid w:val="0030546B"/>
    <w:rsid w:val="00305839"/>
    <w:rsid w:val="00305AB2"/>
    <w:rsid w:val="00305F14"/>
    <w:rsid w:val="003065BE"/>
    <w:rsid w:val="003066F6"/>
    <w:rsid w:val="00306A3F"/>
    <w:rsid w:val="00306DD0"/>
    <w:rsid w:val="00306F24"/>
    <w:rsid w:val="0030749A"/>
    <w:rsid w:val="00307716"/>
    <w:rsid w:val="00307D2D"/>
    <w:rsid w:val="00310229"/>
    <w:rsid w:val="003102C9"/>
    <w:rsid w:val="003103E5"/>
    <w:rsid w:val="00310B20"/>
    <w:rsid w:val="003115FD"/>
    <w:rsid w:val="0031165A"/>
    <w:rsid w:val="00311990"/>
    <w:rsid w:val="00313003"/>
    <w:rsid w:val="00313B79"/>
    <w:rsid w:val="00313E50"/>
    <w:rsid w:val="00314215"/>
    <w:rsid w:val="0031446A"/>
    <w:rsid w:val="00315A59"/>
    <w:rsid w:val="00315E64"/>
    <w:rsid w:val="003162F3"/>
    <w:rsid w:val="00316578"/>
    <w:rsid w:val="00316588"/>
    <w:rsid w:val="003166D6"/>
    <w:rsid w:val="00317059"/>
    <w:rsid w:val="003175E1"/>
    <w:rsid w:val="00317C41"/>
    <w:rsid w:val="003200B6"/>
    <w:rsid w:val="00320A5A"/>
    <w:rsid w:val="00320FC2"/>
    <w:rsid w:val="00321942"/>
    <w:rsid w:val="0032262C"/>
    <w:rsid w:val="00322DB2"/>
    <w:rsid w:val="0032348E"/>
    <w:rsid w:val="00323D55"/>
    <w:rsid w:val="00323EB6"/>
    <w:rsid w:val="00324A2D"/>
    <w:rsid w:val="00324A3E"/>
    <w:rsid w:val="00324C4E"/>
    <w:rsid w:val="00324E4F"/>
    <w:rsid w:val="00324FBF"/>
    <w:rsid w:val="0032524B"/>
    <w:rsid w:val="00325F1D"/>
    <w:rsid w:val="00325FA0"/>
    <w:rsid w:val="00326351"/>
    <w:rsid w:val="00326D4A"/>
    <w:rsid w:val="00326ECA"/>
    <w:rsid w:val="00326F3C"/>
    <w:rsid w:val="00327340"/>
    <w:rsid w:val="00327573"/>
    <w:rsid w:val="00327E55"/>
    <w:rsid w:val="003303DC"/>
    <w:rsid w:val="00330B2D"/>
    <w:rsid w:val="00330BE0"/>
    <w:rsid w:val="00330BE8"/>
    <w:rsid w:val="00330F20"/>
    <w:rsid w:val="00331381"/>
    <w:rsid w:val="003317C7"/>
    <w:rsid w:val="00331815"/>
    <w:rsid w:val="00331A56"/>
    <w:rsid w:val="00331EBC"/>
    <w:rsid w:val="003320C6"/>
    <w:rsid w:val="0033219B"/>
    <w:rsid w:val="00333396"/>
    <w:rsid w:val="0033344A"/>
    <w:rsid w:val="0033479E"/>
    <w:rsid w:val="00334813"/>
    <w:rsid w:val="00334C9D"/>
    <w:rsid w:val="00335186"/>
    <w:rsid w:val="00335347"/>
    <w:rsid w:val="0033545C"/>
    <w:rsid w:val="0033577A"/>
    <w:rsid w:val="003358E2"/>
    <w:rsid w:val="00335915"/>
    <w:rsid w:val="00335CC4"/>
    <w:rsid w:val="003362AD"/>
    <w:rsid w:val="003365AC"/>
    <w:rsid w:val="00336674"/>
    <w:rsid w:val="00336B27"/>
    <w:rsid w:val="00337A54"/>
    <w:rsid w:val="00337B13"/>
    <w:rsid w:val="00337CA7"/>
    <w:rsid w:val="00340FFD"/>
    <w:rsid w:val="003413DF"/>
    <w:rsid w:val="00341502"/>
    <w:rsid w:val="00341D63"/>
    <w:rsid w:val="00342B9F"/>
    <w:rsid w:val="00342E59"/>
    <w:rsid w:val="00342E78"/>
    <w:rsid w:val="00343440"/>
    <w:rsid w:val="003440BB"/>
    <w:rsid w:val="003442BD"/>
    <w:rsid w:val="00344CC4"/>
    <w:rsid w:val="003458A0"/>
    <w:rsid w:val="0034604C"/>
    <w:rsid w:val="00346665"/>
    <w:rsid w:val="003468A6"/>
    <w:rsid w:val="00346B15"/>
    <w:rsid w:val="00346C7C"/>
    <w:rsid w:val="00346FE4"/>
    <w:rsid w:val="003472B3"/>
    <w:rsid w:val="003472D0"/>
    <w:rsid w:val="003477D3"/>
    <w:rsid w:val="0034786E"/>
    <w:rsid w:val="00347AAA"/>
    <w:rsid w:val="00347BB7"/>
    <w:rsid w:val="003505E0"/>
    <w:rsid w:val="003509C4"/>
    <w:rsid w:val="00350C18"/>
    <w:rsid w:val="00350DBA"/>
    <w:rsid w:val="00351D90"/>
    <w:rsid w:val="0035212C"/>
    <w:rsid w:val="003523AD"/>
    <w:rsid w:val="00352628"/>
    <w:rsid w:val="00352697"/>
    <w:rsid w:val="0035270B"/>
    <w:rsid w:val="0035336B"/>
    <w:rsid w:val="0035342C"/>
    <w:rsid w:val="003540A6"/>
    <w:rsid w:val="003540EF"/>
    <w:rsid w:val="003555F2"/>
    <w:rsid w:val="00355EEF"/>
    <w:rsid w:val="00356186"/>
    <w:rsid w:val="00356819"/>
    <w:rsid w:val="00356E19"/>
    <w:rsid w:val="00356E3F"/>
    <w:rsid w:val="003571AA"/>
    <w:rsid w:val="003571CA"/>
    <w:rsid w:val="003574CB"/>
    <w:rsid w:val="003576C7"/>
    <w:rsid w:val="00361086"/>
    <w:rsid w:val="00361115"/>
    <w:rsid w:val="00361811"/>
    <w:rsid w:val="00361AF9"/>
    <w:rsid w:val="003621D8"/>
    <w:rsid w:val="003628E6"/>
    <w:rsid w:val="00363292"/>
    <w:rsid w:val="0036430F"/>
    <w:rsid w:val="0036489D"/>
    <w:rsid w:val="00365103"/>
    <w:rsid w:val="003652A2"/>
    <w:rsid w:val="00365380"/>
    <w:rsid w:val="003654F6"/>
    <w:rsid w:val="003657A8"/>
    <w:rsid w:val="00365843"/>
    <w:rsid w:val="00365A1B"/>
    <w:rsid w:val="0036698B"/>
    <w:rsid w:val="00366A4D"/>
    <w:rsid w:val="00366F25"/>
    <w:rsid w:val="00367C2D"/>
    <w:rsid w:val="00370AF9"/>
    <w:rsid w:val="00370C0F"/>
    <w:rsid w:val="00370C9C"/>
    <w:rsid w:val="003712C6"/>
    <w:rsid w:val="00372680"/>
    <w:rsid w:val="0037281E"/>
    <w:rsid w:val="003728FF"/>
    <w:rsid w:val="00372AA9"/>
    <w:rsid w:val="00372F0D"/>
    <w:rsid w:val="003732C5"/>
    <w:rsid w:val="0037394E"/>
    <w:rsid w:val="0037395B"/>
    <w:rsid w:val="00373C29"/>
    <w:rsid w:val="00373D8E"/>
    <w:rsid w:val="00375559"/>
    <w:rsid w:val="00375896"/>
    <w:rsid w:val="00376074"/>
    <w:rsid w:val="003760BE"/>
    <w:rsid w:val="00376567"/>
    <w:rsid w:val="00376BB4"/>
    <w:rsid w:val="003775D0"/>
    <w:rsid w:val="00380C28"/>
    <w:rsid w:val="00380D3E"/>
    <w:rsid w:val="00380F77"/>
    <w:rsid w:val="0038112F"/>
    <w:rsid w:val="00381BA6"/>
    <w:rsid w:val="00385626"/>
    <w:rsid w:val="003868B6"/>
    <w:rsid w:val="00386B57"/>
    <w:rsid w:val="00386CD4"/>
    <w:rsid w:val="003870FE"/>
    <w:rsid w:val="003874E2"/>
    <w:rsid w:val="00387CB9"/>
    <w:rsid w:val="003902A0"/>
    <w:rsid w:val="00390626"/>
    <w:rsid w:val="0039105E"/>
    <w:rsid w:val="00391618"/>
    <w:rsid w:val="00391D0E"/>
    <w:rsid w:val="00392A22"/>
    <w:rsid w:val="00393435"/>
    <w:rsid w:val="00393D3C"/>
    <w:rsid w:val="00393E7D"/>
    <w:rsid w:val="003940DC"/>
    <w:rsid w:val="0039438F"/>
    <w:rsid w:val="003958ED"/>
    <w:rsid w:val="00395E59"/>
    <w:rsid w:val="003963F2"/>
    <w:rsid w:val="003965BA"/>
    <w:rsid w:val="00396F5F"/>
    <w:rsid w:val="00396FDB"/>
    <w:rsid w:val="0039723C"/>
    <w:rsid w:val="003973CB"/>
    <w:rsid w:val="003A0014"/>
    <w:rsid w:val="003A061A"/>
    <w:rsid w:val="003A09D7"/>
    <w:rsid w:val="003A1D65"/>
    <w:rsid w:val="003A1E4A"/>
    <w:rsid w:val="003A2393"/>
    <w:rsid w:val="003A28C3"/>
    <w:rsid w:val="003A2958"/>
    <w:rsid w:val="003A2F93"/>
    <w:rsid w:val="003A2FA8"/>
    <w:rsid w:val="003A31AB"/>
    <w:rsid w:val="003A3746"/>
    <w:rsid w:val="003A376E"/>
    <w:rsid w:val="003A38D4"/>
    <w:rsid w:val="003A402E"/>
    <w:rsid w:val="003A476F"/>
    <w:rsid w:val="003A4C43"/>
    <w:rsid w:val="003A503A"/>
    <w:rsid w:val="003A5901"/>
    <w:rsid w:val="003A61EA"/>
    <w:rsid w:val="003A6A22"/>
    <w:rsid w:val="003A6B1E"/>
    <w:rsid w:val="003A731C"/>
    <w:rsid w:val="003A755D"/>
    <w:rsid w:val="003A757A"/>
    <w:rsid w:val="003A7BB8"/>
    <w:rsid w:val="003B1CF9"/>
    <w:rsid w:val="003B1E03"/>
    <w:rsid w:val="003B23EB"/>
    <w:rsid w:val="003B374A"/>
    <w:rsid w:val="003B38D0"/>
    <w:rsid w:val="003B3FF8"/>
    <w:rsid w:val="003B4542"/>
    <w:rsid w:val="003B4F5D"/>
    <w:rsid w:val="003B51CC"/>
    <w:rsid w:val="003B5FBF"/>
    <w:rsid w:val="003B688B"/>
    <w:rsid w:val="003B6BEE"/>
    <w:rsid w:val="003B6F80"/>
    <w:rsid w:val="003B703A"/>
    <w:rsid w:val="003B7A3B"/>
    <w:rsid w:val="003B7E04"/>
    <w:rsid w:val="003C007A"/>
    <w:rsid w:val="003C0A52"/>
    <w:rsid w:val="003C0E19"/>
    <w:rsid w:val="003C18A4"/>
    <w:rsid w:val="003C1B70"/>
    <w:rsid w:val="003C24F5"/>
    <w:rsid w:val="003C286B"/>
    <w:rsid w:val="003C2A26"/>
    <w:rsid w:val="003C343F"/>
    <w:rsid w:val="003C35BB"/>
    <w:rsid w:val="003C36B5"/>
    <w:rsid w:val="003C458B"/>
    <w:rsid w:val="003C46DD"/>
    <w:rsid w:val="003C5A6E"/>
    <w:rsid w:val="003C5CBA"/>
    <w:rsid w:val="003C5EB3"/>
    <w:rsid w:val="003C6664"/>
    <w:rsid w:val="003C6866"/>
    <w:rsid w:val="003C6896"/>
    <w:rsid w:val="003C7BE6"/>
    <w:rsid w:val="003C7E82"/>
    <w:rsid w:val="003D081F"/>
    <w:rsid w:val="003D0DAB"/>
    <w:rsid w:val="003D18B4"/>
    <w:rsid w:val="003D1B0A"/>
    <w:rsid w:val="003D1B85"/>
    <w:rsid w:val="003D1E65"/>
    <w:rsid w:val="003D1F19"/>
    <w:rsid w:val="003D1FB5"/>
    <w:rsid w:val="003D21FD"/>
    <w:rsid w:val="003D2DBF"/>
    <w:rsid w:val="003D3223"/>
    <w:rsid w:val="003D3646"/>
    <w:rsid w:val="003D37F1"/>
    <w:rsid w:val="003D3AE3"/>
    <w:rsid w:val="003D49CA"/>
    <w:rsid w:val="003D4E57"/>
    <w:rsid w:val="003D5458"/>
    <w:rsid w:val="003D65F8"/>
    <w:rsid w:val="003E08C7"/>
    <w:rsid w:val="003E0C88"/>
    <w:rsid w:val="003E18A4"/>
    <w:rsid w:val="003E1B29"/>
    <w:rsid w:val="003E1F30"/>
    <w:rsid w:val="003E1F93"/>
    <w:rsid w:val="003E2774"/>
    <w:rsid w:val="003E2C7D"/>
    <w:rsid w:val="003E3020"/>
    <w:rsid w:val="003E31AD"/>
    <w:rsid w:val="003E3264"/>
    <w:rsid w:val="003E374F"/>
    <w:rsid w:val="003E48A6"/>
    <w:rsid w:val="003E4EAA"/>
    <w:rsid w:val="003E6370"/>
    <w:rsid w:val="003E6529"/>
    <w:rsid w:val="003E66AC"/>
    <w:rsid w:val="003E6811"/>
    <w:rsid w:val="003E6D46"/>
    <w:rsid w:val="003E70AB"/>
    <w:rsid w:val="003F0038"/>
    <w:rsid w:val="003F029F"/>
    <w:rsid w:val="003F0322"/>
    <w:rsid w:val="003F0770"/>
    <w:rsid w:val="003F10B4"/>
    <w:rsid w:val="003F137D"/>
    <w:rsid w:val="003F1A68"/>
    <w:rsid w:val="003F2225"/>
    <w:rsid w:val="003F2C86"/>
    <w:rsid w:val="003F3202"/>
    <w:rsid w:val="003F4B49"/>
    <w:rsid w:val="003F59A7"/>
    <w:rsid w:val="003F5B11"/>
    <w:rsid w:val="003F5C3D"/>
    <w:rsid w:val="003F5D3E"/>
    <w:rsid w:val="003F5DFF"/>
    <w:rsid w:val="003F6766"/>
    <w:rsid w:val="003F698D"/>
    <w:rsid w:val="003F6A51"/>
    <w:rsid w:val="003F722D"/>
    <w:rsid w:val="003F72D3"/>
    <w:rsid w:val="003F751F"/>
    <w:rsid w:val="004000B0"/>
    <w:rsid w:val="00400AED"/>
    <w:rsid w:val="0040129F"/>
    <w:rsid w:val="0040137C"/>
    <w:rsid w:val="0040187B"/>
    <w:rsid w:val="004018CB"/>
    <w:rsid w:val="004018E0"/>
    <w:rsid w:val="00401B38"/>
    <w:rsid w:val="0040212D"/>
    <w:rsid w:val="004021BC"/>
    <w:rsid w:val="00402896"/>
    <w:rsid w:val="0040345B"/>
    <w:rsid w:val="004039CF"/>
    <w:rsid w:val="00403AE2"/>
    <w:rsid w:val="00403D6E"/>
    <w:rsid w:val="004047CA"/>
    <w:rsid w:val="00404CEC"/>
    <w:rsid w:val="00404FD5"/>
    <w:rsid w:val="00405BA2"/>
    <w:rsid w:val="00406F3C"/>
    <w:rsid w:val="00407D60"/>
    <w:rsid w:val="00410478"/>
    <w:rsid w:val="004107D7"/>
    <w:rsid w:val="00411112"/>
    <w:rsid w:val="00411342"/>
    <w:rsid w:val="00411584"/>
    <w:rsid w:val="004122C3"/>
    <w:rsid w:val="00412485"/>
    <w:rsid w:val="00412E67"/>
    <w:rsid w:val="00412F3F"/>
    <w:rsid w:val="0041300B"/>
    <w:rsid w:val="00413996"/>
    <w:rsid w:val="00413E47"/>
    <w:rsid w:val="00414185"/>
    <w:rsid w:val="004142F5"/>
    <w:rsid w:val="00414316"/>
    <w:rsid w:val="00414862"/>
    <w:rsid w:val="00414CCF"/>
    <w:rsid w:val="00415726"/>
    <w:rsid w:val="0041575D"/>
    <w:rsid w:val="004158B1"/>
    <w:rsid w:val="0041600A"/>
    <w:rsid w:val="004160E4"/>
    <w:rsid w:val="00416164"/>
    <w:rsid w:val="004163EA"/>
    <w:rsid w:val="00416B6F"/>
    <w:rsid w:val="00416DC5"/>
    <w:rsid w:val="00416F4C"/>
    <w:rsid w:val="0041707E"/>
    <w:rsid w:val="004170EE"/>
    <w:rsid w:val="004172E4"/>
    <w:rsid w:val="00420708"/>
    <w:rsid w:val="0042104A"/>
    <w:rsid w:val="004211F3"/>
    <w:rsid w:val="0042148B"/>
    <w:rsid w:val="00421723"/>
    <w:rsid w:val="00421F61"/>
    <w:rsid w:val="004220CF"/>
    <w:rsid w:val="00422121"/>
    <w:rsid w:val="00422189"/>
    <w:rsid w:val="00422203"/>
    <w:rsid w:val="00422893"/>
    <w:rsid w:val="0042391D"/>
    <w:rsid w:val="00423E15"/>
    <w:rsid w:val="00423FE5"/>
    <w:rsid w:val="00425311"/>
    <w:rsid w:val="004256C1"/>
    <w:rsid w:val="004258DD"/>
    <w:rsid w:val="00425E96"/>
    <w:rsid w:val="004262A0"/>
    <w:rsid w:val="0042648E"/>
    <w:rsid w:val="0042651E"/>
    <w:rsid w:val="004269C0"/>
    <w:rsid w:val="00426F84"/>
    <w:rsid w:val="0042718C"/>
    <w:rsid w:val="00427644"/>
    <w:rsid w:val="00427B83"/>
    <w:rsid w:val="00427CDF"/>
    <w:rsid w:val="00430578"/>
    <w:rsid w:val="00430908"/>
    <w:rsid w:val="00430BDC"/>
    <w:rsid w:val="00431B97"/>
    <w:rsid w:val="00431D01"/>
    <w:rsid w:val="00431E1F"/>
    <w:rsid w:val="00432119"/>
    <w:rsid w:val="004326D6"/>
    <w:rsid w:val="00432868"/>
    <w:rsid w:val="00432B94"/>
    <w:rsid w:val="00433A93"/>
    <w:rsid w:val="00433BA1"/>
    <w:rsid w:val="00434611"/>
    <w:rsid w:val="004347E4"/>
    <w:rsid w:val="0043503C"/>
    <w:rsid w:val="0043517E"/>
    <w:rsid w:val="00435226"/>
    <w:rsid w:val="004352E3"/>
    <w:rsid w:val="0043538D"/>
    <w:rsid w:val="00435D49"/>
    <w:rsid w:val="00435D6D"/>
    <w:rsid w:val="00436B80"/>
    <w:rsid w:val="004372B3"/>
    <w:rsid w:val="00437320"/>
    <w:rsid w:val="00437789"/>
    <w:rsid w:val="00437A0D"/>
    <w:rsid w:val="004404B8"/>
    <w:rsid w:val="00440719"/>
    <w:rsid w:val="00440A73"/>
    <w:rsid w:val="0044154F"/>
    <w:rsid w:val="0044160D"/>
    <w:rsid w:val="00442646"/>
    <w:rsid w:val="0044409C"/>
    <w:rsid w:val="00444379"/>
    <w:rsid w:val="00445359"/>
    <w:rsid w:val="0044577A"/>
    <w:rsid w:val="00446171"/>
    <w:rsid w:val="0044685B"/>
    <w:rsid w:val="00446875"/>
    <w:rsid w:val="004471C1"/>
    <w:rsid w:val="004473C6"/>
    <w:rsid w:val="00447F20"/>
    <w:rsid w:val="00450184"/>
    <w:rsid w:val="004507DB"/>
    <w:rsid w:val="004510C4"/>
    <w:rsid w:val="004511F6"/>
    <w:rsid w:val="00451BEF"/>
    <w:rsid w:val="00451DF0"/>
    <w:rsid w:val="00452B30"/>
    <w:rsid w:val="00453F2F"/>
    <w:rsid w:val="004544E7"/>
    <w:rsid w:val="00454A87"/>
    <w:rsid w:val="00454C77"/>
    <w:rsid w:val="00454F06"/>
    <w:rsid w:val="004555E4"/>
    <w:rsid w:val="00455664"/>
    <w:rsid w:val="0045619C"/>
    <w:rsid w:val="00456226"/>
    <w:rsid w:val="0045646D"/>
    <w:rsid w:val="00456B34"/>
    <w:rsid w:val="00456C79"/>
    <w:rsid w:val="00457609"/>
    <w:rsid w:val="00457A7F"/>
    <w:rsid w:val="00457D9D"/>
    <w:rsid w:val="00460531"/>
    <w:rsid w:val="0046062C"/>
    <w:rsid w:val="004607FF"/>
    <w:rsid w:val="00460F5F"/>
    <w:rsid w:val="00462366"/>
    <w:rsid w:val="004624C4"/>
    <w:rsid w:val="0046263B"/>
    <w:rsid w:val="004629C2"/>
    <w:rsid w:val="00463668"/>
    <w:rsid w:val="00463D08"/>
    <w:rsid w:val="00464827"/>
    <w:rsid w:val="00465839"/>
    <w:rsid w:val="004663FC"/>
    <w:rsid w:val="00467761"/>
    <w:rsid w:val="00467B67"/>
    <w:rsid w:val="00470541"/>
    <w:rsid w:val="004706A7"/>
    <w:rsid w:val="00470C14"/>
    <w:rsid w:val="004714E6"/>
    <w:rsid w:val="00471626"/>
    <w:rsid w:val="004720F7"/>
    <w:rsid w:val="00472318"/>
    <w:rsid w:val="00472DD7"/>
    <w:rsid w:val="0047327B"/>
    <w:rsid w:val="004738C5"/>
    <w:rsid w:val="0047467A"/>
    <w:rsid w:val="00474B1D"/>
    <w:rsid w:val="00474B3F"/>
    <w:rsid w:val="0047502D"/>
    <w:rsid w:val="004750B1"/>
    <w:rsid w:val="0047518E"/>
    <w:rsid w:val="00475720"/>
    <w:rsid w:val="00475CC3"/>
    <w:rsid w:val="00475EAC"/>
    <w:rsid w:val="00476460"/>
    <w:rsid w:val="004768AD"/>
    <w:rsid w:val="004768DD"/>
    <w:rsid w:val="00476970"/>
    <w:rsid w:val="00476E5C"/>
    <w:rsid w:val="00476F80"/>
    <w:rsid w:val="00477465"/>
    <w:rsid w:val="004776C5"/>
    <w:rsid w:val="00477AFA"/>
    <w:rsid w:val="00480932"/>
    <w:rsid w:val="00480BE6"/>
    <w:rsid w:val="004811FD"/>
    <w:rsid w:val="004821ED"/>
    <w:rsid w:val="00482AB6"/>
    <w:rsid w:val="00482CAC"/>
    <w:rsid w:val="00482D7B"/>
    <w:rsid w:val="0048301F"/>
    <w:rsid w:val="004830CB"/>
    <w:rsid w:val="0048319E"/>
    <w:rsid w:val="00483AA6"/>
    <w:rsid w:val="00483F87"/>
    <w:rsid w:val="00484031"/>
    <w:rsid w:val="00484248"/>
    <w:rsid w:val="004850C0"/>
    <w:rsid w:val="00485318"/>
    <w:rsid w:val="004854D7"/>
    <w:rsid w:val="00485D28"/>
    <w:rsid w:val="00486311"/>
    <w:rsid w:val="00486AB7"/>
    <w:rsid w:val="00486B21"/>
    <w:rsid w:val="00486D54"/>
    <w:rsid w:val="00486D7C"/>
    <w:rsid w:val="00486DEB"/>
    <w:rsid w:val="00486DFB"/>
    <w:rsid w:val="00487619"/>
    <w:rsid w:val="00487972"/>
    <w:rsid w:val="00487CF9"/>
    <w:rsid w:val="00487DBC"/>
    <w:rsid w:val="00490C56"/>
    <w:rsid w:val="00491107"/>
    <w:rsid w:val="004922B9"/>
    <w:rsid w:val="004922C9"/>
    <w:rsid w:val="004928B1"/>
    <w:rsid w:val="00492AEC"/>
    <w:rsid w:val="004932B5"/>
    <w:rsid w:val="00493553"/>
    <w:rsid w:val="004936D2"/>
    <w:rsid w:val="00493858"/>
    <w:rsid w:val="0049445B"/>
    <w:rsid w:val="00494678"/>
    <w:rsid w:val="00494722"/>
    <w:rsid w:val="00494D27"/>
    <w:rsid w:val="00495371"/>
    <w:rsid w:val="0049544A"/>
    <w:rsid w:val="0049611A"/>
    <w:rsid w:val="004961DE"/>
    <w:rsid w:val="004962DA"/>
    <w:rsid w:val="00496395"/>
    <w:rsid w:val="004964C7"/>
    <w:rsid w:val="004966D1"/>
    <w:rsid w:val="00496CA4"/>
    <w:rsid w:val="00496E4A"/>
    <w:rsid w:val="004A06C9"/>
    <w:rsid w:val="004A06FA"/>
    <w:rsid w:val="004A099E"/>
    <w:rsid w:val="004A0D82"/>
    <w:rsid w:val="004A12EA"/>
    <w:rsid w:val="004A13BE"/>
    <w:rsid w:val="004A26D6"/>
    <w:rsid w:val="004A2847"/>
    <w:rsid w:val="004A2874"/>
    <w:rsid w:val="004A30E7"/>
    <w:rsid w:val="004A34A4"/>
    <w:rsid w:val="004A35DF"/>
    <w:rsid w:val="004A3DEE"/>
    <w:rsid w:val="004A4C04"/>
    <w:rsid w:val="004A4D9B"/>
    <w:rsid w:val="004A4F04"/>
    <w:rsid w:val="004A52B1"/>
    <w:rsid w:val="004A584B"/>
    <w:rsid w:val="004A5AFF"/>
    <w:rsid w:val="004A607B"/>
    <w:rsid w:val="004A61EC"/>
    <w:rsid w:val="004A6929"/>
    <w:rsid w:val="004A6DDA"/>
    <w:rsid w:val="004A79BB"/>
    <w:rsid w:val="004B02E1"/>
    <w:rsid w:val="004B0402"/>
    <w:rsid w:val="004B1297"/>
    <w:rsid w:val="004B1827"/>
    <w:rsid w:val="004B1F01"/>
    <w:rsid w:val="004B20FE"/>
    <w:rsid w:val="004B228C"/>
    <w:rsid w:val="004B2AC7"/>
    <w:rsid w:val="004B2F8E"/>
    <w:rsid w:val="004B3433"/>
    <w:rsid w:val="004B4419"/>
    <w:rsid w:val="004B56BC"/>
    <w:rsid w:val="004B60D4"/>
    <w:rsid w:val="004B6387"/>
    <w:rsid w:val="004B63D3"/>
    <w:rsid w:val="004B6FDD"/>
    <w:rsid w:val="004B76EB"/>
    <w:rsid w:val="004B7E59"/>
    <w:rsid w:val="004C0395"/>
    <w:rsid w:val="004C08BD"/>
    <w:rsid w:val="004C0E90"/>
    <w:rsid w:val="004C1927"/>
    <w:rsid w:val="004C224C"/>
    <w:rsid w:val="004C336F"/>
    <w:rsid w:val="004C4139"/>
    <w:rsid w:val="004C426E"/>
    <w:rsid w:val="004C51AD"/>
    <w:rsid w:val="004C5290"/>
    <w:rsid w:val="004C58CA"/>
    <w:rsid w:val="004C5B3E"/>
    <w:rsid w:val="004C6F7B"/>
    <w:rsid w:val="004C7A44"/>
    <w:rsid w:val="004C7A48"/>
    <w:rsid w:val="004C7AD4"/>
    <w:rsid w:val="004D15AB"/>
    <w:rsid w:val="004D177D"/>
    <w:rsid w:val="004D1D59"/>
    <w:rsid w:val="004D31B8"/>
    <w:rsid w:val="004D3599"/>
    <w:rsid w:val="004D3B2D"/>
    <w:rsid w:val="004D3D2B"/>
    <w:rsid w:val="004D3DAE"/>
    <w:rsid w:val="004D41AD"/>
    <w:rsid w:val="004D42ED"/>
    <w:rsid w:val="004D66FF"/>
    <w:rsid w:val="004D69B9"/>
    <w:rsid w:val="004D6DFC"/>
    <w:rsid w:val="004D702F"/>
    <w:rsid w:val="004D79CF"/>
    <w:rsid w:val="004D7E56"/>
    <w:rsid w:val="004E055A"/>
    <w:rsid w:val="004E0C74"/>
    <w:rsid w:val="004E0EC8"/>
    <w:rsid w:val="004E17CB"/>
    <w:rsid w:val="004E18EE"/>
    <w:rsid w:val="004E1CE4"/>
    <w:rsid w:val="004E1FA2"/>
    <w:rsid w:val="004E2532"/>
    <w:rsid w:val="004E266D"/>
    <w:rsid w:val="004E2B04"/>
    <w:rsid w:val="004E2FF8"/>
    <w:rsid w:val="004E340E"/>
    <w:rsid w:val="004E36A0"/>
    <w:rsid w:val="004E3D98"/>
    <w:rsid w:val="004E400D"/>
    <w:rsid w:val="004E42AD"/>
    <w:rsid w:val="004E452C"/>
    <w:rsid w:val="004E5071"/>
    <w:rsid w:val="004E541C"/>
    <w:rsid w:val="004E5AE4"/>
    <w:rsid w:val="004E64AB"/>
    <w:rsid w:val="004E65B4"/>
    <w:rsid w:val="004E6769"/>
    <w:rsid w:val="004E69C7"/>
    <w:rsid w:val="004E6C61"/>
    <w:rsid w:val="004E73D4"/>
    <w:rsid w:val="004E7B2F"/>
    <w:rsid w:val="004F00E0"/>
    <w:rsid w:val="004F0335"/>
    <w:rsid w:val="004F0404"/>
    <w:rsid w:val="004F0B13"/>
    <w:rsid w:val="004F0BFD"/>
    <w:rsid w:val="004F0FA1"/>
    <w:rsid w:val="004F27C1"/>
    <w:rsid w:val="004F2930"/>
    <w:rsid w:val="004F43E7"/>
    <w:rsid w:val="004F4BFC"/>
    <w:rsid w:val="004F4F04"/>
    <w:rsid w:val="004F501D"/>
    <w:rsid w:val="004F502A"/>
    <w:rsid w:val="004F517F"/>
    <w:rsid w:val="004F525B"/>
    <w:rsid w:val="004F55EC"/>
    <w:rsid w:val="004F58A9"/>
    <w:rsid w:val="004F5A08"/>
    <w:rsid w:val="004F5B4B"/>
    <w:rsid w:val="004F5B68"/>
    <w:rsid w:val="004F5D2F"/>
    <w:rsid w:val="004F6B5E"/>
    <w:rsid w:val="004F6EDE"/>
    <w:rsid w:val="004F7291"/>
    <w:rsid w:val="004F72BF"/>
    <w:rsid w:val="004F7487"/>
    <w:rsid w:val="005009EA"/>
    <w:rsid w:val="00500A99"/>
    <w:rsid w:val="00500D7E"/>
    <w:rsid w:val="00500E37"/>
    <w:rsid w:val="005028CD"/>
    <w:rsid w:val="005032C1"/>
    <w:rsid w:val="00503AE3"/>
    <w:rsid w:val="00503B44"/>
    <w:rsid w:val="00503CA6"/>
    <w:rsid w:val="005041CC"/>
    <w:rsid w:val="0050599D"/>
    <w:rsid w:val="00505A87"/>
    <w:rsid w:val="00505FB4"/>
    <w:rsid w:val="005062AB"/>
    <w:rsid w:val="00506494"/>
    <w:rsid w:val="0050652B"/>
    <w:rsid w:val="005065E3"/>
    <w:rsid w:val="00506A20"/>
    <w:rsid w:val="0051027F"/>
    <w:rsid w:val="00510553"/>
    <w:rsid w:val="00510F90"/>
    <w:rsid w:val="00512005"/>
    <w:rsid w:val="0051363B"/>
    <w:rsid w:val="005136F7"/>
    <w:rsid w:val="00513772"/>
    <w:rsid w:val="00514323"/>
    <w:rsid w:val="005147B5"/>
    <w:rsid w:val="00514C6D"/>
    <w:rsid w:val="00514CA6"/>
    <w:rsid w:val="00514DF8"/>
    <w:rsid w:val="005151F2"/>
    <w:rsid w:val="00515445"/>
    <w:rsid w:val="0051544F"/>
    <w:rsid w:val="005155DC"/>
    <w:rsid w:val="005157D8"/>
    <w:rsid w:val="00515A28"/>
    <w:rsid w:val="00516218"/>
    <w:rsid w:val="0051635A"/>
    <w:rsid w:val="0051683E"/>
    <w:rsid w:val="00516AFB"/>
    <w:rsid w:val="0051707D"/>
    <w:rsid w:val="005170AE"/>
    <w:rsid w:val="005203A6"/>
    <w:rsid w:val="00520529"/>
    <w:rsid w:val="00520838"/>
    <w:rsid w:val="00520EDD"/>
    <w:rsid w:val="00521944"/>
    <w:rsid w:val="00521FBE"/>
    <w:rsid w:val="0052231B"/>
    <w:rsid w:val="00522A9E"/>
    <w:rsid w:val="00522B9D"/>
    <w:rsid w:val="0052320C"/>
    <w:rsid w:val="0052352A"/>
    <w:rsid w:val="0052455F"/>
    <w:rsid w:val="005246E5"/>
    <w:rsid w:val="00525001"/>
    <w:rsid w:val="00525716"/>
    <w:rsid w:val="005260E7"/>
    <w:rsid w:val="005267E5"/>
    <w:rsid w:val="00526A9E"/>
    <w:rsid w:val="00526AA5"/>
    <w:rsid w:val="00526BC4"/>
    <w:rsid w:val="00526D16"/>
    <w:rsid w:val="005271A1"/>
    <w:rsid w:val="005271C1"/>
    <w:rsid w:val="0053043E"/>
    <w:rsid w:val="00530C63"/>
    <w:rsid w:val="00530E3C"/>
    <w:rsid w:val="00531070"/>
    <w:rsid w:val="00531A79"/>
    <w:rsid w:val="00532550"/>
    <w:rsid w:val="005325B1"/>
    <w:rsid w:val="005328FA"/>
    <w:rsid w:val="00532D48"/>
    <w:rsid w:val="00532E06"/>
    <w:rsid w:val="005338BE"/>
    <w:rsid w:val="00533CD8"/>
    <w:rsid w:val="00533F89"/>
    <w:rsid w:val="00534120"/>
    <w:rsid w:val="00534253"/>
    <w:rsid w:val="005345ED"/>
    <w:rsid w:val="005355D4"/>
    <w:rsid w:val="00535D28"/>
    <w:rsid w:val="005373A5"/>
    <w:rsid w:val="00537891"/>
    <w:rsid w:val="00537CAE"/>
    <w:rsid w:val="00537E83"/>
    <w:rsid w:val="00540075"/>
    <w:rsid w:val="00540989"/>
    <w:rsid w:val="00541556"/>
    <w:rsid w:val="005419A2"/>
    <w:rsid w:val="00541EA5"/>
    <w:rsid w:val="00542297"/>
    <w:rsid w:val="00542919"/>
    <w:rsid w:val="00542D01"/>
    <w:rsid w:val="00543F00"/>
    <w:rsid w:val="00543FE2"/>
    <w:rsid w:val="005444EB"/>
    <w:rsid w:val="005447B7"/>
    <w:rsid w:val="00544C6E"/>
    <w:rsid w:val="005450F6"/>
    <w:rsid w:val="005452C4"/>
    <w:rsid w:val="00545B32"/>
    <w:rsid w:val="00545DF5"/>
    <w:rsid w:val="00545E54"/>
    <w:rsid w:val="00547D4D"/>
    <w:rsid w:val="005501DF"/>
    <w:rsid w:val="00550BD7"/>
    <w:rsid w:val="00550BE5"/>
    <w:rsid w:val="00551A41"/>
    <w:rsid w:val="00551D72"/>
    <w:rsid w:val="00552435"/>
    <w:rsid w:val="00552554"/>
    <w:rsid w:val="00552B07"/>
    <w:rsid w:val="00553256"/>
    <w:rsid w:val="005535C1"/>
    <w:rsid w:val="00553B50"/>
    <w:rsid w:val="00553F89"/>
    <w:rsid w:val="005541EE"/>
    <w:rsid w:val="005546C1"/>
    <w:rsid w:val="005549A5"/>
    <w:rsid w:val="005554CC"/>
    <w:rsid w:val="00555528"/>
    <w:rsid w:val="00556122"/>
    <w:rsid w:val="00556171"/>
    <w:rsid w:val="005565C5"/>
    <w:rsid w:val="00556D08"/>
    <w:rsid w:val="00556E79"/>
    <w:rsid w:val="005570C1"/>
    <w:rsid w:val="00557926"/>
    <w:rsid w:val="0055E256"/>
    <w:rsid w:val="005602AD"/>
    <w:rsid w:val="005606E9"/>
    <w:rsid w:val="00560744"/>
    <w:rsid w:val="0056110A"/>
    <w:rsid w:val="005619F1"/>
    <w:rsid w:val="00561D27"/>
    <w:rsid w:val="00562413"/>
    <w:rsid w:val="005635DB"/>
    <w:rsid w:val="005636F2"/>
    <w:rsid w:val="005639C3"/>
    <w:rsid w:val="00563C5E"/>
    <w:rsid w:val="00563ED1"/>
    <w:rsid w:val="00563F95"/>
    <w:rsid w:val="0056400C"/>
    <w:rsid w:val="0056416A"/>
    <w:rsid w:val="005644E0"/>
    <w:rsid w:val="005649A4"/>
    <w:rsid w:val="00565605"/>
    <w:rsid w:val="0057074F"/>
    <w:rsid w:val="00570B4B"/>
    <w:rsid w:val="00571429"/>
    <w:rsid w:val="00571442"/>
    <w:rsid w:val="005717AB"/>
    <w:rsid w:val="0057269A"/>
    <w:rsid w:val="00572EAC"/>
    <w:rsid w:val="00573058"/>
    <w:rsid w:val="00573ACC"/>
    <w:rsid w:val="00573BDD"/>
    <w:rsid w:val="00574D96"/>
    <w:rsid w:val="005752FC"/>
    <w:rsid w:val="005754FD"/>
    <w:rsid w:val="00575C57"/>
    <w:rsid w:val="00575E3F"/>
    <w:rsid w:val="00575E9A"/>
    <w:rsid w:val="00575F36"/>
    <w:rsid w:val="00575F93"/>
    <w:rsid w:val="00576316"/>
    <w:rsid w:val="00576634"/>
    <w:rsid w:val="00577443"/>
    <w:rsid w:val="0057750A"/>
    <w:rsid w:val="00580483"/>
    <w:rsid w:val="00581485"/>
    <w:rsid w:val="00581A88"/>
    <w:rsid w:val="00581D0E"/>
    <w:rsid w:val="00581D80"/>
    <w:rsid w:val="00581F20"/>
    <w:rsid w:val="005820D3"/>
    <w:rsid w:val="00582A86"/>
    <w:rsid w:val="00584423"/>
    <w:rsid w:val="005847E1"/>
    <w:rsid w:val="00584EA0"/>
    <w:rsid w:val="00584F57"/>
    <w:rsid w:val="00585203"/>
    <w:rsid w:val="005852F6"/>
    <w:rsid w:val="005857C8"/>
    <w:rsid w:val="00586253"/>
    <w:rsid w:val="00586F8F"/>
    <w:rsid w:val="00587055"/>
    <w:rsid w:val="005873B9"/>
    <w:rsid w:val="005877C7"/>
    <w:rsid w:val="005878EE"/>
    <w:rsid w:val="00587A58"/>
    <w:rsid w:val="00587C83"/>
    <w:rsid w:val="0059013F"/>
    <w:rsid w:val="00590AE6"/>
    <w:rsid w:val="00590BA1"/>
    <w:rsid w:val="00590FF5"/>
    <w:rsid w:val="0059111E"/>
    <w:rsid w:val="00591CE5"/>
    <w:rsid w:val="00592142"/>
    <w:rsid w:val="00593445"/>
    <w:rsid w:val="0059394F"/>
    <w:rsid w:val="00593A91"/>
    <w:rsid w:val="00594701"/>
    <w:rsid w:val="00594C28"/>
    <w:rsid w:val="00594CED"/>
    <w:rsid w:val="00594F04"/>
    <w:rsid w:val="00595907"/>
    <w:rsid w:val="005959B5"/>
    <w:rsid w:val="005959DD"/>
    <w:rsid w:val="00595C2A"/>
    <w:rsid w:val="00596288"/>
    <w:rsid w:val="00596305"/>
    <w:rsid w:val="0059640A"/>
    <w:rsid w:val="005966EC"/>
    <w:rsid w:val="0059674C"/>
    <w:rsid w:val="005969D2"/>
    <w:rsid w:val="00596A81"/>
    <w:rsid w:val="00597267"/>
    <w:rsid w:val="005973E7"/>
    <w:rsid w:val="0059760E"/>
    <w:rsid w:val="00597810"/>
    <w:rsid w:val="005A0B40"/>
    <w:rsid w:val="005A0DA6"/>
    <w:rsid w:val="005A0DEC"/>
    <w:rsid w:val="005A135B"/>
    <w:rsid w:val="005A148A"/>
    <w:rsid w:val="005A1AB6"/>
    <w:rsid w:val="005A2A7B"/>
    <w:rsid w:val="005A3599"/>
    <w:rsid w:val="005A3624"/>
    <w:rsid w:val="005A396B"/>
    <w:rsid w:val="005A3A2D"/>
    <w:rsid w:val="005A3A45"/>
    <w:rsid w:val="005A3C7C"/>
    <w:rsid w:val="005A3DD5"/>
    <w:rsid w:val="005A4716"/>
    <w:rsid w:val="005A57F0"/>
    <w:rsid w:val="005A5D67"/>
    <w:rsid w:val="005A60B5"/>
    <w:rsid w:val="005A70D8"/>
    <w:rsid w:val="005A75D0"/>
    <w:rsid w:val="005A7C7E"/>
    <w:rsid w:val="005B0005"/>
    <w:rsid w:val="005B01C2"/>
    <w:rsid w:val="005B0222"/>
    <w:rsid w:val="005B0A3F"/>
    <w:rsid w:val="005B0A85"/>
    <w:rsid w:val="005B107B"/>
    <w:rsid w:val="005B1AB4"/>
    <w:rsid w:val="005B1B6F"/>
    <w:rsid w:val="005B1CD8"/>
    <w:rsid w:val="005B1EB6"/>
    <w:rsid w:val="005B1F24"/>
    <w:rsid w:val="005B23F6"/>
    <w:rsid w:val="005B2A80"/>
    <w:rsid w:val="005B337D"/>
    <w:rsid w:val="005B3590"/>
    <w:rsid w:val="005B3F30"/>
    <w:rsid w:val="005B3F43"/>
    <w:rsid w:val="005B4096"/>
    <w:rsid w:val="005B4500"/>
    <w:rsid w:val="005B460D"/>
    <w:rsid w:val="005B46F1"/>
    <w:rsid w:val="005B5370"/>
    <w:rsid w:val="005B5394"/>
    <w:rsid w:val="005B54AB"/>
    <w:rsid w:val="005B570D"/>
    <w:rsid w:val="005B5D50"/>
    <w:rsid w:val="005B5D53"/>
    <w:rsid w:val="005B6B50"/>
    <w:rsid w:val="005B6C50"/>
    <w:rsid w:val="005B6F6B"/>
    <w:rsid w:val="005C048B"/>
    <w:rsid w:val="005C04FF"/>
    <w:rsid w:val="005C09A8"/>
    <w:rsid w:val="005C0E5A"/>
    <w:rsid w:val="005C0F8E"/>
    <w:rsid w:val="005C123E"/>
    <w:rsid w:val="005C1589"/>
    <w:rsid w:val="005C2120"/>
    <w:rsid w:val="005C23E7"/>
    <w:rsid w:val="005C2A49"/>
    <w:rsid w:val="005C32E5"/>
    <w:rsid w:val="005C3531"/>
    <w:rsid w:val="005C3580"/>
    <w:rsid w:val="005C3871"/>
    <w:rsid w:val="005C3935"/>
    <w:rsid w:val="005C41BC"/>
    <w:rsid w:val="005C440F"/>
    <w:rsid w:val="005C4622"/>
    <w:rsid w:val="005C4A03"/>
    <w:rsid w:val="005C4F05"/>
    <w:rsid w:val="005C4F3B"/>
    <w:rsid w:val="005C4FCD"/>
    <w:rsid w:val="005C5F06"/>
    <w:rsid w:val="005C5FF5"/>
    <w:rsid w:val="005C63D5"/>
    <w:rsid w:val="005C6C9E"/>
    <w:rsid w:val="005C72F8"/>
    <w:rsid w:val="005C7C48"/>
    <w:rsid w:val="005D01A9"/>
    <w:rsid w:val="005D030D"/>
    <w:rsid w:val="005D0F63"/>
    <w:rsid w:val="005D1DBE"/>
    <w:rsid w:val="005D20C0"/>
    <w:rsid w:val="005D295E"/>
    <w:rsid w:val="005D3B64"/>
    <w:rsid w:val="005D3E16"/>
    <w:rsid w:val="005D4187"/>
    <w:rsid w:val="005D41F2"/>
    <w:rsid w:val="005D4A6B"/>
    <w:rsid w:val="005D4FEA"/>
    <w:rsid w:val="005D508E"/>
    <w:rsid w:val="005D52FA"/>
    <w:rsid w:val="005D59B7"/>
    <w:rsid w:val="005D60EE"/>
    <w:rsid w:val="005D6390"/>
    <w:rsid w:val="005D6B84"/>
    <w:rsid w:val="005D6E27"/>
    <w:rsid w:val="005D73A7"/>
    <w:rsid w:val="005D7CAA"/>
    <w:rsid w:val="005E0135"/>
    <w:rsid w:val="005E0287"/>
    <w:rsid w:val="005E0657"/>
    <w:rsid w:val="005E07DD"/>
    <w:rsid w:val="005E0F58"/>
    <w:rsid w:val="005E1D37"/>
    <w:rsid w:val="005E1FD7"/>
    <w:rsid w:val="005E2C86"/>
    <w:rsid w:val="005E3278"/>
    <w:rsid w:val="005E328E"/>
    <w:rsid w:val="005E4232"/>
    <w:rsid w:val="005E4E6B"/>
    <w:rsid w:val="005E4E7C"/>
    <w:rsid w:val="005E640E"/>
    <w:rsid w:val="005E68DB"/>
    <w:rsid w:val="005E69F2"/>
    <w:rsid w:val="005E6CA3"/>
    <w:rsid w:val="005E6F3F"/>
    <w:rsid w:val="005E6FD2"/>
    <w:rsid w:val="005E72C8"/>
    <w:rsid w:val="005E7A0D"/>
    <w:rsid w:val="005E7EF7"/>
    <w:rsid w:val="005E7F81"/>
    <w:rsid w:val="005F00C8"/>
    <w:rsid w:val="005F107C"/>
    <w:rsid w:val="005F24C2"/>
    <w:rsid w:val="005F3263"/>
    <w:rsid w:val="005F3587"/>
    <w:rsid w:val="005F3C3A"/>
    <w:rsid w:val="005F3EEE"/>
    <w:rsid w:val="005F4284"/>
    <w:rsid w:val="005F4A2D"/>
    <w:rsid w:val="005F4A83"/>
    <w:rsid w:val="005F53E7"/>
    <w:rsid w:val="005F5AB1"/>
    <w:rsid w:val="005F5B3B"/>
    <w:rsid w:val="005F612F"/>
    <w:rsid w:val="005F61BE"/>
    <w:rsid w:val="005F6AE4"/>
    <w:rsid w:val="005F6D23"/>
    <w:rsid w:val="005F7933"/>
    <w:rsid w:val="005F7AF9"/>
    <w:rsid w:val="006007B0"/>
    <w:rsid w:val="006009BD"/>
    <w:rsid w:val="00600E65"/>
    <w:rsid w:val="00600FEA"/>
    <w:rsid w:val="006014B5"/>
    <w:rsid w:val="006014DA"/>
    <w:rsid w:val="00601651"/>
    <w:rsid w:val="00601DDA"/>
    <w:rsid w:val="006021B7"/>
    <w:rsid w:val="006025F1"/>
    <w:rsid w:val="00602E6A"/>
    <w:rsid w:val="00603139"/>
    <w:rsid w:val="0060370B"/>
    <w:rsid w:val="00603921"/>
    <w:rsid w:val="00603C11"/>
    <w:rsid w:val="00603D35"/>
    <w:rsid w:val="006044A6"/>
    <w:rsid w:val="00604BB6"/>
    <w:rsid w:val="00604D6D"/>
    <w:rsid w:val="00605019"/>
    <w:rsid w:val="00605495"/>
    <w:rsid w:val="00605734"/>
    <w:rsid w:val="00605786"/>
    <w:rsid w:val="00605E13"/>
    <w:rsid w:val="00606261"/>
    <w:rsid w:val="006065D6"/>
    <w:rsid w:val="006066CB"/>
    <w:rsid w:val="00606FE6"/>
    <w:rsid w:val="00607329"/>
    <w:rsid w:val="00607860"/>
    <w:rsid w:val="00607BFE"/>
    <w:rsid w:val="00607EF7"/>
    <w:rsid w:val="00607F40"/>
    <w:rsid w:val="0061116E"/>
    <w:rsid w:val="00611365"/>
    <w:rsid w:val="00611394"/>
    <w:rsid w:val="0061243D"/>
    <w:rsid w:val="0061287D"/>
    <w:rsid w:val="0061381D"/>
    <w:rsid w:val="0061495F"/>
    <w:rsid w:val="0061526F"/>
    <w:rsid w:val="00615E2C"/>
    <w:rsid w:val="006160CB"/>
    <w:rsid w:val="00616163"/>
    <w:rsid w:val="00616879"/>
    <w:rsid w:val="00616974"/>
    <w:rsid w:val="00616EFD"/>
    <w:rsid w:val="00617217"/>
    <w:rsid w:val="00617406"/>
    <w:rsid w:val="00620431"/>
    <w:rsid w:val="00620CD7"/>
    <w:rsid w:val="006214D7"/>
    <w:rsid w:val="0062208F"/>
    <w:rsid w:val="00622467"/>
    <w:rsid w:val="0062265E"/>
    <w:rsid w:val="00623890"/>
    <w:rsid w:val="006238A6"/>
    <w:rsid w:val="0062398E"/>
    <w:rsid w:val="00623D2F"/>
    <w:rsid w:val="00624178"/>
    <w:rsid w:val="0062444C"/>
    <w:rsid w:val="00625448"/>
    <w:rsid w:val="0062547E"/>
    <w:rsid w:val="006254C8"/>
    <w:rsid w:val="00625794"/>
    <w:rsid w:val="00625BCD"/>
    <w:rsid w:val="0062692E"/>
    <w:rsid w:val="00626F3B"/>
    <w:rsid w:val="00630622"/>
    <w:rsid w:val="00630802"/>
    <w:rsid w:val="00630B67"/>
    <w:rsid w:val="00631090"/>
    <w:rsid w:val="0063139A"/>
    <w:rsid w:val="00631AF6"/>
    <w:rsid w:val="00631C58"/>
    <w:rsid w:val="006320ED"/>
    <w:rsid w:val="006322D7"/>
    <w:rsid w:val="0063302F"/>
    <w:rsid w:val="006334C9"/>
    <w:rsid w:val="00634F74"/>
    <w:rsid w:val="00635207"/>
    <w:rsid w:val="00635401"/>
    <w:rsid w:val="00636812"/>
    <w:rsid w:val="00636833"/>
    <w:rsid w:val="00636D4D"/>
    <w:rsid w:val="00636F95"/>
    <w:rsid w:val="00637523"/>
    <w:rsid w:val="00637E97"/>
    <w:rsid w:val="00637F13"/>
    <w:rsid w:val="00640097"/>
    <w:rsid w:val="0064083D"/>
    <w:rsid w:val="006409BC"/>
    <w:rsid w:val="006416B6"/>
    <w:rsid w:val="0064185E"/>
    <w:rsid w:val="00641A66"/>
    <w:rsid w:val="006423F0"/>
    <w:rsid w:val="0064383E"/>
    <w:rsid w:val="00643D64"/>
    <w:rsid w:val="00643DEC"/>
    <w:rsid w:val="00644320"/>
    <w:rsid w:val="00644A07"/>
    <w:rsid w:val="0064626D"/>
    <w:rsid w:val="006463FF"/>
    <w:rsid w:val="0064696B"/>
    <w:rsid w:val="00646DC7"/>
    <w:rsid w:val="00646E0F"/>
    <w:rsid w:val="006478EB"/>
    <w:rsid w:val="0065014E"/>
    <w:rsid w:val="00651357"/>
    <w:rsid w:val="00651696"/>
    <w:rsid w:val="00653844"/>
    <w:rsid w:val="00653D51"/>
    <w:rsid w:val="00655970"/>
    <w:rsid w:val="00655AFD"/>
    <w:rsid w:val="006561AD"/>
    <w:rsid w:val="00656802"/>
    <w:rsid w:val="0065714D"/>
    <w:rsid w:val="006573AF"/>
    <w:rsid w:val="0066083E"/>
    <w:rsid w:val="006608C9"/>
    <w:rsid w:val="006609F8"/>
    <w:rsid w:val="00661023"/>
    <w:rsid w:val="00661C16"/>
    <w:rsid w:val="00661E37"/>
    <w:rsid w:val="00661ED2"/>
    <w:rsid w:val="006623FF"/>
    <w:rsid w:val="00662D66"/>
    <w:rsid w:val="00662DA8"/>
    <w:rsid w:val="00663026"/>
    <w:rsid w:val="006636A5"/>
    <w:rsid w:val="00664DB3"/>
    <w:rsid w:val="00664F9D"/>
    <w:rsid w:val="006657A4"/>
    <w:rsid w:val="00665A39"/>
    <w:rsid w:val="00665BCA"/>
    <w:rsid w:val="006665FE"/>
    <w:rsid w:val="00667019"/>
    <w:rsid w:val="0066799A"/>
    <w:rsid w:val="00667BC7"/>
    <w:rsid w:val="00667D67"/>
    <w:rsid w:val="0067069D"/>
    <w:rsid w:val="006708EE"/>
    <w:rsid w:val="00670DFC"/>
    <w:rsid w:val="006713A0"/>
    <w:rsid w:val="006719F2"/>
    <w:rsid w:val="00671F96"/>
    <w:rsid w:val="006722D3"/>
    <w:rsid w:val="00672CEE"/>
    <w:rsid w:val="00673019"/>
    <w:rsid w:val="00673608"/>
    <w:rsid w:val="0067379C"/>
    <w:rsid w:val="00673822"/>
    <w:rsid w:val="00673D96"/>
    <w:rsid w:val="00673EB0"/>
    <w:rsid w:val="00674993"/>
    <w:rsid w:val="006749EC"/>
    <w:rsid w:val="00674E39"/>
    <w:rsid w:val="006751DE"/>
    <w:rsid w:val="0067536A"/>
    <w:rsid w:val="006755E3"/>
    <w:rsid w:val="00675A1B"/>
    <w:rsid w:val="00675C93"/>
    <w:rsid w:val="00675FDF"/>
    <w:rsid w:val="0067603F"/>
    <w:rsid w:val="00676A14"/>
    <w:rsid w:val="00676B88"/>
    <w:rsid w:val="00676D66"/>
    <w:rsid w:val="00676F4A"/>
    <w:rsid w:val="006770F3"/>
    <w:rsid w:val="006778C4"/>
    <w:rsid w:val="00677903"/>
    <w:rsid w:val="00677CA0"/>
    <w:rsid w:val="00680317"/>
    <w:rsid w:val="00680707"/>
    <w:rsid w:val="00680EC9"/>
    <w:rsid w:val="006817B8"/>
    <w:rsid w:val="00682DD7"/>
    <w:rsid w:val="0068309A"/>
    <w:rsid w:val="0068389E"/>
    <w:rsid w:val="00683E56"/>
    <w:rsid w:val="00683FB2"/>
    <w:rsid w:val="00684D1A"/>
    <w:rsid w:val="00685A0B"/>
    <w:rsid w:val="00685DE6"/>
    <w:rsid w:val="00686572"/>
    <w:rsid w:val="00687A12"/>
    <w:rsid w:val="00687C9E"/>
    <w:rsid w:val="006902B6"/>
    <w:rsid w:val="00690429"/>
    <w:rsid w:val="0069095F"/>
    <w:rsid w:val="006915B1"/>
    <w:rsid w:val="00691754"/>
    <w:rsid w:val="006923DC"/>
    <w:rsid w:val="006928EE"/>
    <w:rsid w:val="00692D22"/>
    <w:rsid w:val="00692D5C"/>
    <w:rsid w:val="00692DE7"/>
    <w:rsid w:val="006938E3"/>
    <w:rsid w:val="00693982"/>
    <w:rsid w:val="00693C02"/>
    <w:rsid w:val="00694069"/>
    <w:rsid w:val="00694513"/>
    <w:rsid w:val="00694523"/>
    <w:rsid w:val="006945C5"/>
    <w:rsid w:val="0069470B"/>
    <w:rsid w:val="00695768"/>
    <w:rsid w:val="00695E5F"/>
    <w:rsid w:val="006960E0"/>
    <w:rsid w:val="00696631"/>
    <w:rsid w:val="00696770"/>
    <w:rsid w:val="00696B64"/>
    <w:rsid w:val="006A06E4"/>
    <w:rsid w:val="006A113D"/>
    <w:rsid w:val="006A1560"/>
    <w:rsid w:val="006A19E3"/>
    <w:rsid w:val="006A2112"/>
    <w:rsid w:val="006A2356"/>
    <w:rsid w:val="006A3CC7"/>
    <w:rsid w:val="006A4504"/>
    <w:rsid w:val="006A4775"/>
    <w:rsid w:val="006A4B55"/>
    <w:rsid w:val="006A504B"/>
    <w:rsid w:val="006A5199"/>
    <w:rsid w:val="006A5412"/>
    <w:rsid w:val="006A5A00"/>
    <w:rsid w:val="006A5FAF"/>
    <w:rsid w:val="006A6A29"/>
    <w:rsid w:val="006A7164"/>
    <w:rsid w:val="006A71A2"/>
    <w:rsid w:val="006A7944"/>
    <w:rsid w:val="006A7E3A"/>
    <w:rsid w:val="006B0421"/>
    <w:rsid w:val="006B04DE"/>
    <w:rsid w:val="006B0D64"/>
    <w:rsid w:val="006B2550"/>
    <w:rsid w:val="006B316A"/>
    <w:rsid w:val="006B38E9"/>
    <w:rsid w:val="006B3930"/>
    <w:rsid w:val="006B3959"/>
    <w:rsid w:val="006B3A87"/>
    <w:rsid w:val="006B4982"/>
    <w:rsid w:val="006B4A49"/>
    <w:rsid w:val="006B4A91"/>
    <w:rsid w:val="006B4ACD"/>
    <w:rsid w:val="006B5303"/>
    <w:rsid w:val="006B557B"/>
    <w:rsid w:val="006B62BF"/>
    <w:rsid w:val="006B648F"/>
    <w:rsid w:val="006B65D8"/>
    <w:rsid w:val="006B675F"/>
    <w:rsid w:val="006B6E65"/>
    <w:rsid w:val="006B78F1"/>
    <w:rsid w:val="006B7B6F"/>
    <w:rsid w:val="006B7D4B"/>
    <w:rsid w:val="006C018F"/>
    <w:rsid w:val="006C0648"/>
    <w:rsid w:val="006C0E35"/>
    <w:rsid w:val="006C11C6"/>
    <w:rsid w:val="006C150B"/>
    <w:rsid w:val="006C1592"/>
    <w:rsid w:val="006C1B05"/>
    <w:rsid w:val="006C1E18"/>
    <w:rsid w:val="006C21DF"/>
    <w:rsid w:val="006C3192"/>
    <w:rsid w:val="006C3F07"/>
    <w:rsid w:val="006C408E"/>
    <w:rsid w:val="006C42EC"/>
    <w:rsid w:val="006C491D"/>
    <w:rsid w:val="006C4E4C"/>
    <w:rsid w:val="006C4FB9"/>
    <w:rsid w:val="006C5338"/>
    <w:rsid w:val="006C6781"/>
    <w:rsid w:val="006C6C1A"/>
    <w:rsid w:val="006C71AF"/>
    <w:rsid w:val="006C7291"/>
    <w:rsid w:val="006C7A7E"/>
    <w:rsid w:val="006C7C58"/>
    <w:rsid w:val="006C7CC5"/>
    <w:rsid w:val="006D0218"/>
    <w:rsid w:val="006D0237"/>
    <w:rsid w:val="006D0434"/>
    <w:rsid w:val="006D077A"/>
    <w:rsid w:val="006D09EF"/>
    <w:rsid w:val="006D177F"/>
    <w:rsid w:val="006D2237"/>
    <w:rsid w:val="006D2403"/>
    <w:rsid w:val="006D3739"/>
    <w:rsid w:val="006D3835"/>
    <w:rsid w:val="006D3CFC"/>
    <w:rsid w:val="006D468D"/>
    <w:rsid w:val="006D46F3"/>
    <w:rsid w:val="006D507E"/>
    <w:rsid w:val="006D5102"/>
    <w:rsid w:val="006D5C01"/>
    <w:rsid w:val="006D5F12"/>
    <w:rsid w:val="006D6EC8"/>
    <w:rsid w:val="006D73F5"/>
    <w:rsid w:val="006D7DF2"/>
    <w:rsid w:val="006D7EB7"/>
    <w:rsid w:val="006E051E"/>
    <w:rsid w:val="006E082D"/>
    <w:rsid w:val="006E0DB6"/>
    <w:rsid w:val="006E11D8"/>
    <w:rsid w:val="006E1749"/>
    <w:rsid w:val="006E1C30"/>
    <w:rsid w:val="006E1EA7"/>
    <w:rsid w:val="006E2328"/>
    <w:rsid w:val="006E242C"/>
    <w:rsid w:val="006E2577"/>
    <w:rsid w:val="006E3119"/>
    <w:rsid w:val="006E34EA"/>
    <w:rsid w:val="006E4B12"/>
    <w:rsid w:val="006E4D40"/>
    <w:rsid w:val="006E5843"/>
    <w:rsid w:val="006E5C3B"/>
    <w:rsid w:val="006E660C"/>
    <w:rsid w:val="006E6675"/>
    <w:rsid w:val="006E718C"/>
    <w:rsid w:val="006E754B"/>
    <w:rsid w:val="006E78F5"/>
    <w:rsid w:val="006F0483"/>
    <w:rsid w:val="006F09B0"/>
    <w:rsid w:val="006F0FC9"/>
    <w:rsid w:val="006F1858"/>
    <w:rsid w:val="006F26D6"/>
    <w:rsid w:val="006F3C6B"/>
    <w:rsid w:val="006F4A3F"/>
    <w:rsid w:val="006F5150"/>
    <w:rsid w:val="006F56C9"/>
    <w:rsid w:val="006F631F"/>
    <w:rsid w:val="006F6B1A"/>
    <w:rsid w:val="006F6C75"/>
    <w:rsid w:val="006F72F3"/>
    <w:rsid w:val="006F76B7"/>
    <w:rsid w:val="006F7F50"/>
    <w:rsid w:val="0070023E"/>
    <w:rsid w:val="007005C4"/>
    <w:rsid w:val="0070129B"/>
    <w:rsid w:val="00701379"/>
    <w:rsid w:val="007015E9"/>
    <w:rsid w:val="0070191F"/>
    <w:rsid w:val="00701A53"/>
    <w:rsid w:val="00701DEF"/>
    <w:rsid w:val="0070243E"/>
    <w:rsid w:val="00702EB3"/>
    <w:rsid w:val="0070324A"/>
    <w:rsid w:val="007032A9"/>
    <w:rsid w:val="0070377B"/>
    <w:rsid w:val="00703A3D"/>
    <w:rsid w:val="00704006"/>
    <w:rsid w:val="007046B1"/>
    <w:rsid w:val="0070493D"/>
    <w:rsid w:val="00704E5B"/>
    <w:rsid w:val="00705177"/>
    <w:rsid w:val="007059E1"/>
    <w:rsid w:val="007060A5"/>
    <w:rsid w:val="0070660A"/>
    <w:rsid w:val="00706BB4"/>
    <w:rsid w:val="00706E6E"/>
    <w:rsid w:val="0070742F"/>
    <w:rsid w:val="00707852"/>
    <w:rsid w:val="00707A48"/>
    <w:rsid w:val="00710A6D"/>
    <w:rsid w:val="00710D70"/>
    <w:rsid w:val="00710F15"/>
    <w:rsid w:val="007110A6"/>
    <w:rsid w:val="0071172E"/>
    <w:rsid w:val="0071182B"/>
    <w:rsid w:val="00712287"/>
    <w:rsid w:val="00712D5F"/>
    <w:rsid w:val="0071409C"/>
    <w:rsid w:val="00714147"/>
    <w:rsid w:val="00714765"/>
    <w:rsid w:val="00714784"/>
    <w:rsid w:val="00714C17"/>
    <w:rsid w:val="00715229"/>
    <w:rsid w:val="0071534F"/>
    <w:rsid w:val="007154D1"/>
    <w:rsid w:val="007158AC"/>
    <w:rsid w:val="00716124"/>
    <w:rsid w:val="00716C6F"/>
    <w:rsid w:val="00716CD0"/>
    <w:rsid w:val="00717349"/>
    <w:rsid w:val="0071776C"/>
    <w:rsid w:val="00717C32"/>
    <w:rsid w:val="00717FB4"/>
    <w:rsid w:val="00720B99"/>
    <w:rsid w:val="00720DF2"/>
    <w:rsid w:val="00721735"/>
    <w:rsid w:val="00721C46"/>
    <w:rsid w:val="00722190"/>
    <w:rsid w:val="007228B4"/>
    <w:rsid w:val="00722C40"/>
    <w:rsid w:val="00723244"/>
    <w:rsid w:val="0072377A"/>
    <w:rsid w:val="007239D4"/>
    <w:rsid w:val="00724A26"/>
    <w:rsid w:val="007259A6"/>
    <w:rsid w:val="00726249"/>
    <w:rsid w:val="007264EE"/>
    <w:rsid w:val="00726942"/>
    <w:rsid w:val="00726ACF"/>
    <w:rsid w:val="00726C38"/>
    <w:rsid w:val="007274BC"/>
    <w:rsid w:val="007278C9"/>
    <w:rsid w:val="00727984"/>
    <w:rsid w:val="00727B47"/>
    <w:rsid w:val="00727D73"/>
    <w:rsid w:val="00730540"/>
    <w:rsid w:val="00730E01"/>
    <w:rsid w:val="00730EA3"/>
    <w:rsid w:val="00731010"/>
    <w:rsid w:val="00731232"/>
    <w:rsid w:val="00731BCF"/>
    <w:rsid w:val="00731D59"/>
    <w:rsid w:val="0073298C"/>
    <w:rsid w:val="00733260"/>
    <w:rsid w:val="00733956"/>
    <w:rsid w:val="00733D08"/>
    <w:rsid w:val="00733E2A"/>
    <w:rsid w:val="0073406F"/>
    <w:rsid w:val="0073458B"/>
    <w:rsid w:val="00734BC6"/>
    <w:rsid w:val="00734ECE"/>
    <w:rsid w:val="0073536A"/>
    <w:rsid w:val="0073633C"/>
    <w:rsid w:val="00736E74"/>
    <w:rsid w:val="00736F86"/>
    <w:rsid w:val="00737022"/>
    <w:rsid w:val="007376A5"/>
    <w:rsid w:val="00737892"/>
    <w:rsid w:val="00737C34"/>
    <w:rsid w:val="007401B7"/>
    <w:rsid w:val="00740D48"/>
    <w:rsid w:val="0074181D"/>
    <w:rsid w:val="007418FA"/>
    <w:rsid w:val="00741F8F"/>
    <w:rsid w:val="00742276"/>
    <w:rsid w:val="007422C0"/>
    <w:rsid w:val="00742425"/>
    <w:rsid w:val="00742559"/>
    <w:rsid w:val="0074489A"/>
    <w:rsid w:val="00744D0C"/>
    <w:rsid w:val="00744F29"/>
    <w:rsid w:val="0074517E"/>
    <w:rsid w:val="00745496"/>
    <w:rsid w:val="00745D4E"/>
    <w:rsid w:val="00746701"/>
    <w:rsid w:val="00746A96"/>
    <w:rsid w:val="00746F25"/>
    <w:rsid w:val="00747BCC"/>
    <w:rsid w:val="00747D9D"/>
    <w:rsid w:val="007505B7"/>
    <w:rsid w:val="007505DA"/>
    <w:rsid w:val="00750615"/>
    <w:rsid w:val="007506FD"/>
    <w:rsid w:val="007508D7"/>
    <w:rsid w:val="0075119F"/>
    <w:rsid w:val="0075127C"/>
    <w:rsid w:val="0075170F"/>
    <w:rsid w:val="00752247"/>
    <w:rsid w:val="007526EB"/>
    <w:rsid w:val="00752CF5"/>
    <w:rsid w:val="00752D51"/>
    <w:rsid w:val="0075331C"/>
    <w:rsid w:val="00753B2D"/>
    <w:rsid w:val="00753C11"/>
    <w:rsid w:val="00753CB2"/>
    <w:rsid w:val="00753FE1"/>
    <w:rsid w:val="007546C8"/>
    <w:rsid w:val="00754FDC"/>
    <w:rsid w:val="007552B8"/>
    <w:rsid w:val="00755C10"/>
    <w:rsid w:val="00755EA2"/>
    <w:rsid w:val="00755F3D"/>
    <w:rsid w:val="0075611F"/>
    <w:rsid w:val="00756172"/>
    <w:rsid w:val="00756BC8"/>
    <w:rsid w:val="007575DB"/>
    <w:rsid w:val="00757EFC"/>
    <w:rsid w:val="00760BB8"/>
    <w:rsid w:val="0076170A"/>
    <w:rsid w:val="00762514"/>
    <w:rsid w:val="007629DB"/>
    <w:rsid w:val="00762B8A"/>
    <w:rsid w:val="007632AF"/>
    <w:rsid w:val="00764426"/>
    <w:rsid w:val="0076467F"/>
    <w:rsid w:val="00764694"/>
    <w:rsid w:val="007649A9"/>
    <w:rsid w:val="00764BB9"/>
    <w:rsid w:val="00764BC3"/>
    <w:rsid w:val="00764BF4"/>
    <w:rsid w:val="00764FBA"/>
    <w:rsid w:val="00765363"/>
    <w:rsid w:val="00765441"/>
    <w:rsid w:val="00766578"/>
    <w:rsid w:val="00766802"/>
    <w:rsid w:val="00766AE9"/>
    <w:rsid w:val="00770741"/>
    <w:rsid w:val="0077076B"/>
    <w:rsid w:val="00770844"/>
    <w:rsid w:val="00770D1E"/>
    <w:rsid w:val="00770ECC"/>
    <w:rsid w:val="007710EC"/>
    <w:rsid w:val="00771DED"/>
    <w:rsid w:val="007720FC"/>
    <w:rsid w:val="00772564"/>
    <w:rsid w:val="00772CCD"/>
    <w:rsid w:val="00772F05"/>
    <w:rsid w:val="00773293"/>
    <w:rsid w:val="00773331"/>
    <w:rsid w:val="00774204"/>
    <w:rsid w:val="00774594"/>
    <w:rsid w:val="007747A9"/>
    <w:rsid w:val="00774B72"/>
    <w:rsid w:val="0077524D"/>
    <w:rsid w:val="00775B91"/>
    <w:rsid w:val="00775F73"/>
    <w:rsid w:val="007769A7"/>
    <w:rsid w:val="00776DE4"/>
    <w:rsid w:val="00777249"/>
    <w:rsid w:val="007778A6"/>
    <w:rsid w:val="007801DE"/>
    <w:rsid w:val="007805E0"/>
    <w:rsid w:val="00780C18"/>
    <w:rsid w:val="00780EEA"/>
    <w:rsid w:val="00780FBB"/>
    <w:rsid w:val="007815C7"/>
    <w:rsid w:val="00781E92"/>
    <w:rsid w:val="0078210D"/>
    <w:rsid w:val="00782236"/>
    <w:rsid w:val="00782353"/>
    <w:rsid w:val="00782357"/>
    <w:rsid w:val="00783431"/>
    <w:rsid w:val="007834A7"/>
    <w:rsid w:val="00783A2D"/>
    <w:rsid w:val="00783EAF"/>
    <w:rsid w:val="007842AA"/>
    <w:rsid w:val="00784429"/>
    <w:rsid w:val="00784548"/>
    <w:rsid w:val="00785009"/>
    <w:rsid w:val="007850E0"/>
    <w:rsid w:val="007851BE"/>
    <w:rsid w:val="00785515"/>
    <w:rsid w:val="00785F71"/>
    <w:rsid w:val="00785FE8"/>
    <w:rsid w:val="00785FFF"/>
    <w:rsid w:val="00786962"/>
    <w:rsid w:val="007872C7"/>
    <w:rsid w:val="00787A7E"/>
    <w:rsid w:val="00787DB8"/>
    <w:rsid w:val="00790D84"/>
    <w:rsid w:val="00791731"/>
    <w:rsid w:val="0079194F"/>
    <w:rsid w:val="007924D8"/>
    <w:rsid w:val="00792C44"/>
    <w:rsid w:val="00792C47"/>
    <w:rsid w:val="00792FC1"/>
    <w:rsid w:val="007932EF"/>
    <w:rsid w:val="00793486"/>
    <w:rsid w:val="00795A00"/>
    <w:rsid w:val="007963DF"/>
    <w:rsid w:val="0079672C"/>
    <w:rsid w:val="007A0B2E"/>
    <w:rsid w:val="007A12E0"/>
    <w:rsid w:val="007A16E3"/>
    <w:rsid w:val="007A1F55"/>
    <w:rsid w:val="007A1F9B"/>
    <w:rsid w:val="007A2737"/>
    <w:rsid w:val="007A2E68"/>
    <w:rsid w:val="007A33C3"/>
    <w:rsid w:val="007A3B23"/>
    <w:rsid w:val="007A4543"/>
    <w:rsid w:val="007A54A0"/>
    <w:rsid w:val="007A5BBA"/>
    <w:rsid w:val="007A5E24"/>
    <w:rsid w:val="007A6C90"/>
    <w:rsid w:val="007A7B6E"/>
    <w:rsid w:val="007B0026"/>
    <w:rsid w:val="007B0304"/>
    <w:rsid w:val="007B035D"/>
    <w:rsid w:val="007B043D"/>
    <w:rsid w:val="007B0703"/>
    <w:rsid w:val="007B0711"/>
    <w:rsid w:val="007B09A5"/>
    <w:rsid w:val="007B0E61"/>
    <w:rsid w:val="007B132A"/>
    <w:rsid w:val="007B140B"/>
    <w:rsid w:val="007B1B2E"/>
    <w:rsid w:val="007B206A"/>
    <w:rsid w:val="007B25CD"/>
    <w:rsid w:val="007B28D2"/>
    <w:rsid w:val="007B2A16"/>
    <w:rsid w:val="007B2D37"/>
    <w:rsid w:val="007B3009"/>
    <w:rsid w:val="007B3633"/>
    <w:rsid w:val="007B3ECA"/>
    <w:rsid w:val="007B4432"/>
    <w:rsid w:val="007B447D"/>
    <w:rsid w:val="007B48ED"/>
    <w:rsid w:val="007B49AF"/>
    <w:rsid w:val="007B4C21"/>
    <w:rsid w:val="007B53AA"/>
    <w:rsid w:val="007B556C"/>
    <w:rsid w:val="007B557D"/>
    <w:rsid w:val="007B5AAB"/>
    <w:rsid w:val="007B5BC5"/>
    <w:rsid w:val="007B6138"/>
    <w:rsid w:val="007B664B"/>
    <w:rsid w:val="007B6758"/>
    <w:rsid w:val="007B6A2E"/>
    <w:rsid w:val="007B7340"/>
    <w:rsid w:val="007B7926"/>
    <w:rsid w:val="007B7AB2"/>
    <w:rsid w:val="007C05F5"/>
    <w:rsid w:val="007C0C03"/>
    <w:rsid w:val="007C1285"/>
    <w:rsid w:val="007C2AF0"/>
    <w:rsid w:val="007C2C3E"/>
    <w:rsid w:val="007C31EE"/>
    <w:rsid w:val="007C38C5"/>
    <w:rsid w:val="007C3D35"/>
    <w:rsid w:val="007C3DCC"/>
    <w:rsid w:val="007C3E4B"/>
    <w:rsid w:val="007C48BD"/>
    <w:rsid w:val="007C4BED"/>
    <w:rsid w:val="007C4F8A"/>
    <w:rsid w:val="007C512C"/>
    <w:rsid w:val="007C5FC4"/>
    <w:rsid w:val="007C6066"/>
    <w:rsid w:val="007C61BF"/>
    <w:rsid w:val="007C65AE"/>
    <w:rsid w:val="007C679D"/>
    <w:rsid w:val="007C69F3"/>
    <w:rsid w:val="007C6C04"/>
    <w:rsid w:val="007C6C0C"/>
    <w:rsid w:val="007C6C60"/>
    <w:rsid w:val="007C6EDC"/>
    <w:rsid w:val="007C70FA"/>
    <w:rsid w:val="007C71A0"/>
    <w:rsid w:val="007C72F7"/>
    <w:rsid w:val="007C7D38"/>
    <w:rsid w:val="007D1047"/>
    <w:rsid w:val="007D1922"/>
    <w:rsid w:val="007D193D"/>
    <w:rsid w:val="007D1B7C"/>
    <w:rsid w:val="007D2546"/>
    <w:rsid w:val="007D25B8"/>
    <w:rsid w:val="007D2E40"/>
    <w:rsid w:val="007D32DB"/>
    <w:rsid w:val="007D346A"/>
    <w:rsid w:val="007D3931"/>
    <w:rsid w:val="007D403F"/>
    <w:rsid w:val="007D40B2"/>
    <w:rsid w:val="007D4180"/>
    <w:rsid w:val="007D467C"/>
    <w:rsid w:val="007D4BBD"/>
    <w:rsid w:val="007D51B8"/>
    <w:rsid w:val="007D5215"/>
    <w:rsid w:val="007D549A"/>
    <w:rsid w:val="007D6B6A"/>
    <w:rsid w:val="007D73A0"/>
    <w:rsid w:val="007D77FC"/>
    <w:rsid w:val="007D7959"/>
    <w:rsid w:val="007D7969"/>
    <w:rsid w:val="007E058A"/>
    <w:rsid w:val="007E05B0"/>
    <w:rsid w:val="007E0908"/>
    <w:rsid w:val="007E0AC5"/>
    <w:rsid w:val="007E0EEE"/>
    <w:rsid w:val="007E0FEA"/>
    <w:rsid w:val="007E154E"/>
    <w:rsid w:val="007E1ECF"/>
    <w:rsid w:val="007E2068"/>
    <w:rsid w:val="007E24C5"/>
    <w:rsid w:val="007E2CDD"/>
    <w:rsid w:val="007E3250"/>
    <w:rsid w:val="007E4186"/>
    <w:rsid w:val="007E51AE"/>
    <w:rsid w:val="007E5396"/>
    <w:rsid w:val="007E57FB"/>
    <w:rsid w:val="007E5895"/>
    <w:rsid w:val="007E5D21"/>
    <w:rsid w:val="007E601F"/>
    <w:rsid w:val="007E6B5E"/>
    <w:rsid w:val="007E714A"/>
    <w:rsid w:val="007F07D7"/>
    <w:rsid w:val="007F29E7"/>
    <w:rsid w:val="007F2F29"/>
    <w:rsid w:val="007F360D"/>
    <w:rsid w:val="007F3A57"/>
    <w:rsid w:val="007F3EE2"/>
    <w:rsid w:val="007F3F27"/>
    <w:rsid w:val="007F3F32"/>
    <w:rsid w:val="007F5A45"/>
    <w:rsid w:val="007F5E4C"/>
    <w:rsid w:val="007F6316"/>
    <w:rsid w:val="007F7034"/>
    <w:rsid w:val="007F79DE"/>
    <w:rsid w:val="008006C8"/>
    <w:rsid w:val="00801578"/>
    <w:rsid w:val="00801B60"/>
    <w:rsid w:val="00802292"/>
    <w:rsid w:val="008025D6"/>
    <w:rsid w:val="00802CB7"/>
    <w:rsid w:val="008030F8"/>
    <w:rsid w:val="008032E0"/>
    <w:rsid w:val="008034FE"/>
    <w:rsid w:val="0080360D"/>
    <w:rsid w:val="00803BE5"/>
    <w:rsid w:val="00803C7D"/>
    <w:rsid w:val="00804B38"/>
    <w:rsid w:val="008061B2"/>
    <w:rsid w:val="008061D1"/>
    <w:rsid w:val="008067CC"/>
    <w:rsid w:val="00806B15"/>
    <w:rsid w:val="00806F16"/>
    <w:rsid w:val="00807811"/>
    <w:rsid w:val="00807BCC"/>
    <w:rsid w:val="008101F7"/>
    <w:rsid w:val="008104A9"/>
    <w:rsid w:val="008111A3"/>
    <w:rsid w:val="00811849"/>
    <w:rsid w:val="00811CF7"/>
    <w:rsid w:val="00811D29"/>
    <w:rsid w:val="00812140"/>
    <w:rsid w:val="008137BE"/>
    <w:rsid w:val="00814184"/>
    <w:rsid w:val="0081449D"/>
    <w:rsid w:val="0081482B"/>
    <w:rsid w:val="00814E6E"/>
    <w:rsid w:val="00816665"/>
    <w:rsid w:val="008173D2"/>
    <w:rsid w:val="00817402"/>
    <w:rsid w:val="0081754C"/>
    <w:rsid w:val="00817CCA"/>
    <w:rsid w:val="00817D48"/>
    <w:rsid w:val="008202FA"/>
    <w:rsid w:val="00820D56"/>
    <w:rsid w:val="00820D61"/>
    <w:rsid w:val="00821B38"/>
    <w:rsid w:val="008224D0"/>
    <w:rsid w:val="00822798"/>
    <w:rsid w:val="008227AD"/>
    <w:rsid w:val="008229A8"/>
    <w:rsid w:val="00822A34"/>
    <w:rsid w:val="00822A83"/>
    <w:rsid w:val="00822E37"/>
    <w:rsid w:val="00822F96"/>
    <w:rsid w:val="008241C7"/>
    <w:rsid w:val="00824A56"/>
    <w:rsid w:val="00824B7F"/>
    <w:rsid w:val="00824E32"/>
    <w:rsid w:val="00825D3D"/>
    <w:rsid w:val="008261C7"/>
    <w:rsid w:val="008262A9"/>
    <w:rsid w:val="0082706F"/>
    <w:rsid w:val="00827336"/>
    <w:rsid w:val="008278FF"/>
    <w:rsid w:val="00830815"/>
    <w:rsid w:val="0083090C"/>
    <w:rsid w:val="00830AA5"/>
    <w:rsid w:val="00830E15"/>
    <w:rsid w:val="008315E1"/>
    <w:rsid w:val="008315ED"/>
    <w:rsid w:val="00831D15"/>
    <w:rsid w:val="00831FAB"/>
    <w:rsid w:val="00832312"/>
    <w:rsid w:val="00832690"/>
    <w:rsid w:val="008326FF"/>
    <w:rsid w:val="00832EC1"/>
    <w:rsid w:val="008336BF"/>
    <w:rsid w:val="0083432A"/>
    <w:rsid w:val="008345FE"/>
    <w:rsid w:val="0083460B"/>
    <w:rsid w:val="008351C0"/>
    <w:rsid w:val="008352F0"/>
    <w:rsid w:val="00835570"/>
    <w:rsid w:val="008359BF"/>
    <w:rsid w:val="00835BBB"/>
    <w:rsid w:val="00835EC5"/>
    <w:rsid w:val="00835F93"/>
    <w:rsid w:val="00835FCF"/>
    <w:rsid w:val="008362A9"/>
    <w:rsid w:val="008370DD"/>
    <w:rsid w:val="00837482"/>
    <w:rsid w:val="008377B1"/>
    <w:rsid w:val="0084033E"/>
    <w:rsid w:val="00840E5C"/>
    <w:rsid w:val="00840FAF"/>
    <w:rsid w:val="00840FD3"/>
    <w:rsid w:val="00840FDD"/>
    <w:rsid w:val="008413E9"/>
    <w:rsid w:val="0084197E"/>
    <w:rsid w:val="00841A86"/>
    <w:rsid w:val="00841C22"/>
    <w:rsid w:val="00841FAA"/>
    <w:rsid w:val="00842223"/>
    <w:rsid w:val="00842506"/>
    <w:rsid w:val="00843027"/>
    <w:rsid w:val="00843617"/>
    <w:rsid w:val="00846426"/>
    <w:rsid w:val="008465EF"/>
    <w:rsid w:val="00847DA9"/>
    <w:rsid w:val="0085103B"/>
    <w:rsid w:val="008510AE"/>
    <w:rsid w:val="0085115A"/>
    <w:rsid w:val="00851534"/>
    <w:rsid w:val="008515C7"/>
    <w:rsid w:val="008519A6"/>
    <w:rsid w:val="00851CF2"/>
    <w:rsid w:val="00851E89"/>
    <w:rsid w:val="00852B01"/>
    <w:rsid w:val="00852EAE"/>
    <w:rsid w:val="00853005"/>
    <w:rsid w:val="008531B8"/>
    <w:rsid w:val="00853298"/>
    <w:rsid w:val="008532C5"/>
    <w:rsid w:val="0085408D"/>
    <w:rsid w:val="008544CD"/>
    <w:rsid w:val="00854B11"/>
    <w:rsid w:val="00854F9A"/>
    <w:rsid w:val="008550AD"/>
    <w:rsid w:val="00855184"/>
    <w:rsid w:val="008555B2"/>
    <w:rsid w:val="0085596F"/>
    <w:rsid w:val="00856448"/>
    <w:rsid w:val="00856DC0"/>
    <w:rsid w:val="00857438"/>
    <w:rsid w:val="008577A3"/>
    <w:rsid w:val="0086067A"/>
    <w:rsid w:val="008610DF"/>
    <w:rsid w:val="00861421"/>
    <w:rsid w:val="00861D99"/>
    <w:rsid w:val="00862BB4"/>
    <w:rsid w:val="00862EF9"/>
    <w:rsid w:val="008632FA"/>
    <w:rsid w:val="00863E11"/>
    <w:rsid w:val="00864D6D"/>
    <w:rsid w:val="00865074"/>
    <w:rsid w:val="00865ACA"/>
    <w:rsid w:val="00865D73"/>
    <w:rsid w:val="00866068"/>
    <w:rsid w:val="0086670B"/>
    <w:rsid w:val="008667C5"/>
    <w:rsid w:val="0086691B"/>
    <w:rsid w:val="00866C38"/>
    <w:rsid w:val="00867351"/>
    <w:rsid w:val="00867867"/>
    <w:rsid w:val="0087009C"/>
    <w:rsid w:val="008702C5"/>
    <w:rsid w:val="00870452"/>
    <w:rsid w:val="00870464"/>
    <w:rsid w:val="00870521"/>
    <w:rsid w:val="00870C33"/>
    <w:rsid w:val="00870E8D"/>
    <w:rsid w:val="00871032"/>
    <w:rsid w:val="00871943"/>
    <w:rsid w:val="00871CD1"/>
    <w:rsid w:val="00872211"/>
    <w:rsid w:val="008728E0"/>
    <w:rsid w:val="00873859"/>
    <w:rsid w:val="00873880"/>
    <w:rsid w:val="00873B4B"/>
    <w:rsid w:val="00874246"/>
    <w:rsid w:val="00874D22"/>
    <w:rsid w:val="00875800"/>
    <w:rsid w:val="00875E4B"/>
    <w:rsid w:val="00876E81"/>
    <w:rsid w:val="008772D1"/>
    <w:rsid w:val="00877578"/>
    <w:rsid w:val="00877BCF"/>
    <w:rsid w:val="00880060"/>
    <w:rsid w:val="00880391"/>
    <w:rsid w:val="00882121"/>
    <w:rsid w:val="008822F6"/>
    <w:rsid w:val="00882577"/>
    <w:rsid w:val="008838B6"/>
    <w:rsid w:val="00883CA9"/>
    <w:rsid w:val="00884018"/>
    <w:rsid w:val="00884DD1"/>
    <w:rsid w:val="00885307"/>
    <w:rsid w:val="0088570A"/>
    <w:rsid w:val="00885841"/>
    <w:rsid w:val="0088587C"/>
    <w:rsid w:val="00885C90"/>
    <w:rsid w:val="00886502"/>
    <w:rsid w:val="00886A31"/>
    <w:rsid w:val="00886CBE"/>
    <w:rsid w:val="00886E5B"/>
    <w:rsid w:val="00887D6E"/>
    <w:rsid w:val="00888FD0"/>
    <w:rsid w:val="0089056E"/>
    <w:rsid w:val="0089087D"/>
    <w:rsid w:val="00890A97"/>
    <w:rsid w:val="00890B7D"/>
    <w:rsid w:val="008911B7"/>
    <w:rsid w:val="008911CD"/>
    <w:rsid w:val="00891492"/>
    <w:rsid w:val="00891732"/>
    <w:rsid w:val="00891914"/>
    <w:rsid w:val="00891D90"/>
    <w:rsid w:val="00892183"/>
    <w:rsid w:val="00892C38"/>
    <w:rsid w:val="00893194"/>
    <w:rsid w:val="00893539"/>
    <w:rsid w:val="00894F2F"/>
    <w:rsid w:val="00896147"/>
    <w:rsid w:val="008961F5"/>
    <w:rsid w:val="008967E2"/>
    <w:rsid w:val="00896B06"/>
    <w:rsid w:val="00897639"/>
    <w:rsid w:val="008A01CE"/>
    <w:rsid w:val="008A0B2D"/>
    <w:rsid w:val="008A0E4F"/>
    <w:rsid w:val="008A1675"/>
    <w:rsid w:val="008A217B"/>
    <w:rsid w:val="008A2914"/>
    <w:rsid w:val="008A4FB2"/>
    <w:rsid w:val="008A500C"/>
    <w:rsid w:val="008A6C94"/>
    <w:rsid w:val="008A6D33"/>
    <w:rsid w:val="008A6DAF"/>
    <w:rsid w:val="008A71A7"/>
    <w:rsid w:val="008A7CD6"/>
    <w:rsid w:val="008A7F5F"/>
    <w:rsid w:val="008B0E20"/>
    <w:rsid w:val="008B12E9"/>
    <w:rsid w:val="008B1D2D"/>
    <w:rsid w:val="008B27E9"/>
    <w:rsid w:val="008B2D72"/>
    <w:rsid w:val="008B2D94"/>
    <w:rsid w:val="008B2FD6"/>
    <w:rsid w:val="008B357B"/>
    <w:rsid w:val="008B35DE"/>
    <w:rsid w:val="008B3752"/>
    <w:rsid w:val="008B425E"/>
    <w:rsid w:val="008B4964"/>
    <w:rsid w:val="008B4C32"/>
    <w:rsid w:val="008B4E57"/>
    <w:rsid w:val="008B4EF8"/>
    <w:rsid w:val="008B5517"/>
    <w:rsid w:val="008B5553"/>
    <w:rsid w:val="008B5843"/>
    <w:rsid w:val="008B5D91"/>
    <w:rsid w:val="008B5F11"/>
    <w:rsid w:val="008B6095"/>
    <w:rsid w:val="008B6700"/>
    <w:rsid w:val="008B67D5"/>
    <w:rsid w:val="008B6955"/>
    <w:rsid w:val="008B7BD3"/>
    <w:rsid w:val="008C12E7"/>
    <w:rsid w:val="008C211B"/>
    <w:rsid w:val="008C21AA"/>
    <w:rsid w:val="008C2665"/>
    <w:rsid w:val="008C2A42"/>
    <w:rsid w:val="008C2BCF"/>
    <w:rsid w:val="008C3215"/>
    <w:rsid w:val="008C3764"/>
    <w:rsid w:val="008C41D8"/>
    <w:rsid w:val="008C4226"/>
    <w:rsid w:val="008C42DD"/>
    <w:rsid w:val="008C48AF"/>
    <w:rsid w:val="008C4915"/>
    <w:rsid w:val="008C4F12"/>
    <w:rsid w:val="008C5463"/>
    <w:rsid w:val="008C5497"/>
    <w:rsid w:val="008C57C6"/>
    <w:rsid w:val="008C590E"/>
    <w:rsid w:val="008C597F"/>
    <w:rsid w:val="008C5E1B"/>
    <w:rsid w:val="008C6E96"/>
    <w:rsid w:val="008C6EF3"/>
    <w:rsid w:val="008C7B73"/>
    <w:rsid w:val="008C7EF4"/>
    <w:rsid w:val="008D00AD"/>
    <w:rsid w:val="008D03B9"/>
    <w:rsid w:val="008D0555"/>
    <w:rsid w:val="008D07AF"/>
    <w:rsid w:val="008D198B"/>
    <w:rsid w:val="008D1DDF"/>
    <w:rsid w:val="008D26B2"/>
    <w:rsid w:val="008D32E3"/>
    <w:rsid w:val="008D3320"/>
    <w:rsid w:val="008D34AC"/>
    <w:rsid w:val="008D34F5"/>
    <w:rsid w:val="008D38C6"/>
    <w:rsid w:val="008D3CAC"/>
    <w:rsid w:val="008D48B1"/>
    <w:rsid w:val="008D4A8A"/>
    <w:rsid w:val="008D5E27"/>
    <w:rsid w:val="008D6290"/>
    <w:rsid w:val="008D70DB"/>
    <w:rsid w:val="008D7EBD"/>
    <w:rsid w:val="008E0343"/>
    <w:rsid w:val="008E088D"/>
    <w:rsid w:val="008E09CD"/>
    <w:rsid w:val="008E0BBC"/>
    <w:rsid w:val="008E1647"/>
    <w:rsid w:val="008E1DE5"/>
    <w:rsid w:val="008E24A2"/>
    <w:rsid w:val="008E3027"/>
    <w:rsid w:val="008E354C"/>
    <w:rsid w:val="008E3862"/>
    <w:rsid w:val="008E3D0A"/>
    <w:rsid w:val="008E3E93"/>
    <w:rsid w:val="008E3FF3"/>
    <w:rsid w:val="008E4A42"/>
    <w:rsid w:val="008E4B31"/>
    <w:rsid w:val="008E4B3C"/>
    <w:rsid w:val="008E4D8E"/>
    <w:rsid w:val="008E4F39"/>
    <w:rsid w:val="008E53E5"/>
    <w:rsid w:val="008E779D"/>
    <w:rsid w:val="008E7C81"/>
    <w:rsid w:val="008F0573"/>
    <w:rsid w:val="008F0759"/>
    <w:rsid w:val="008F1342"/>
    <w:rsid w:val="008F178D"/>
    <w:rsid w:val="008F1AD5"/>
    <w:rsid w:val="008F1E9A"/>
    <w:rsid w:val="008F1F43"/>
    <w:rsid w:val="008F2161"/>
    <w:rsid w:val="008F2234"/>
    <w:rsid w:val="008F2905"/>
    <w:rsid w:val="008F2943"/>
    <w:rsid w:val="008F2A18"/>
    <w:rsid w:val="008F2B9E"/>
    <w:rsid w:val="008F2EC1"/>
    <w:rsid w:val="008F34F9"/>
    <w:rsid w:val="008F3745"/>
    <w:rsid w:val="008F3785"/>
    <w:rsid w:val="008F39BA"/>
    <w:rsid w:val="008F3AC5"/>
    <w:rsid w:val="008F406E"/>
    <w:rsid w:val="008F43B4"/>
    <w:rsid w:val="008F4722"/>
    <w:rsid w:val="008F47AF"/>
    <w:rsid w:val="008F47DC"/>
    <w:rsid w:val="008F4BD3"/>
    <w:rsid w:val="008F5A66"/>
    <w:rsid w:val="008F5BEA"/>
    <w:rsid w:val="008F6936"/>
    <w:rsid w:val="008F6E38"/>
    <w:rsid w:val="008F7E21"/>
    <w:rsid w:val="00900451"/>
    <w:rsid w:val="009005FF"/>
    <w:rsid w:val="00900D8E"/>
    <w:rsid w:val="00901AD2"/>
    <w:rsid w:val="00902011"/>
    <w:rsid w:val="00902B4C"/>
    <w:rsid w:val="00902F6D"/>
    <w:rsid w:val="0090346F"/>
    <w:rsid w:val="00903544"/>
    <w:rsid w:val="0090404D"/>
    <w:rsid w:val="00904902"/>
    <w:rsid w:val="00904943"/>
    <w:rsid w:val="00904AC6"/>
    <w:rsid w:val="00904E4D"/>
    <w:rsid w:val="009057E2"/>
    <w:rsid w:val="00905FE3"/>
    <w:rsid w:val="009063DE"/>
    <w:rsid w:val="009066BA"/>
    <w:rsid w:val="009071A0"/>
    <w:rsid w:val="009076E5"/>
    <w:rsid w:val="00907795"/>
    <w:rsid w:val="00907D33"/>
    <w:rsid w:val="0091078E"/>
    <w:rsid w:val="00910F9A"/>
    <w:rsid w:val="00911253"/>
    <w:rsid w:val="00911B81"/>
    <w:rsid w:val="00911E54"/>
    <w:rsid w:val="009126B4"/>
    <w:rsid w:val="0091333D"/>
    <w:rsid w:val="009135C9"/>
    <w:rsid w:val="009139B1"/>
    <w:rsid w:val="0091429E"/>
    <w:rsid w:val="00914C06"/>
    <w:rsid w:val="00915329"/>
    <w:rsid w:val="009159E8"/>
    <w:rsid w:val="00915BCE"/>
    <w:rsid w:val="009167A0"/>
    <w:rsid w:val="00916DB6"/>
    <w:rsid w:val="00917092"/>
    <w:rsid w:val="009174AA"/>
    <w:rsid w:val="00917581"/>
    <w:rsid w:val="00917588"/>
    <w:rsid w:val="00917E56"/>
    <w:rsid w:val="0092095C"/>
    <w:rsid w:val="00920E75"/>
    <w:rsid w:val="00920EDC"/>
    <w:rsid w:val="00921FD3"/>
    <w:rsid w:val="00921FD8"/>
    <w:rsid w:val="0092256F"/>
    <w:rsid w:val="009225D0"/>
    <w:rsid w:val="009229DF"/>
    <w:rsid w:val="00922E5B"/>
    <w:rsid w:val="009232DF"/>
    <w:rsid w:val="00923618"/>
    <w:rsid w:val="00923B01"/>
    <w:rsid w:val="00923D5A"/>
    <w:rsid w:val="0092406B"/>
    <w:rsid w:val="00924258"/>
    <w:rsid w:val="00924363"/>
    <w:rsid w:val="009245A7"/>
    <w:rsid w:val="00924AD0"/>
    <w:rsid w:val="00925393"/>
    <w:rsid w:val="009256B9"/>
    <w:rsid w:val="009258EE"/>
    <w:rsid w:val="00925AEE"/>
    <w:rsid w:val="00925F5F"/>
    <w:rsid w:val="0092640F"/>
    <w:rsid w:val="00926E56"/>
    <w:rsid w:val="009276DC"/>
    <w:rsid w:val="00927E08"/>
    <w:rsid w:val="00930962"/>
    <w:rsid w:val="00930A5A"/>
    <w:rsid w:val="00930D70"/>
    <w:rsid w:val="00931145"/>
    <w:rsid w:val="00931965"/>
    <w:rsid w:val="00932349"/>
    <w:rsid w:val="0093284F"/>
    <w:rsid w:val="00932854"/>
    <w:rsid w:val="009328B5"/>
    <w:rsid w:val="00932D6F"/>
    <w:rsid w:val="009332E8"/>
    <w:rsid w:val="00933543"/>
    <w:rsid w:val="00934483"/>
    <w:rsid w:val="00934540"/>
    <w:rsid w:val="009346C3"/>
    <w:rsid w:val="009352BD"/>
    <w:rsid w:val="00935689"/>
    <w:rsid w:val="00935749"/>
    <w:rsid w:val="00935A4F"/>
    <w:rsid w:val="00935A68"/>
    <w:rsid w:val="00935B1D"/>
    <w:rsid w:val="00936529"/>
    <w:rsid w:val="0093690C"/>
    <w:rsid w:val="00936C6B"/>
    <w:rsid w:val="00936E6A"/>
    <w:rsid w:val="00936F6F"/>
    <w:rsid w:val="00937249"/>
    <w:rsid w:val="0093740B"/>
    <w:rsid w:val="00937691"/>
    <w:rsid w:val="0093777C"/>
    <w:rsid w:val="009378D0"/>
    <w:rsid w:val="00937ED5"/>
    <w:rsid w:val="00940139"/>
    <w:rsid w:val="009402EF"/>
    <w:rsid w:val="00940551"/>
    <w:rsid w:val="00940CCE"/>
    <w:rsid w:val="00940F37"/>
    <w:rsid w:val="00941166"/>
    <w:rsid w:val="0094206E"/>
    <w:rsid w:val="00942377"/>
    <w:rsid w:val="009448D1"/>
    <w:rsid w:val="00944E5C"/>
    <w:rsid w:val="00945371"/>
    <w:rsid w:val="00945491"/>
    <w:rsid w:val="009454CD"/>
    <w:rsid w:val="009457F1"/>
    <w:rsid w:val="009467CA"/>
    <w:rsid w:val="0094788A"/>
    <w:rsid w:val="0094797D"/>
    <w:rsid w:val="00947ADB"/>
    <w:rsid w:val="00947CDA"/>
    <w:rsid w:val="00950317"/>
    <w:rsid w:val="009509A7"/>
    <w:rsid w:val="00950AB7"/>
    <w:rsid w:val="00950DE5"/>
    <w:rsid w:val="00950EEB"/>
    <w:rsid w:val="009511B7"/>
    <w:rsid w:val="00951551"/>
    <w:rsid w:val="00951706"/>
    <w:rsid w:val="00951D8A"/>
    <w:rsid w:val="0095229C"/>
    <w:rsid w:val="00953337"/>
    <w:rsid w:val="00953A74"/>
    <w:rsid w:val="0095410D"/>
    <w:rsid w:val="009548D3"/>
    <w:rsid w:val="00954F9C"/>
    <w:rsid w:val="009556CC"/>
    <w:rsid w:val="00955B47"/>
    <w:rsid w:val="00955E6B"/>
    <w:rsid w:val="009561B1"/>
    <w:rsid w:val="0095638B"/>
    <w:rsid w:val="009564AF"/>
    <w:rsid w:val="00956AF8"/>
    <w:rsid w:val="00957115"/>
    <w:rsid w:val="00957407"/>
    <w:rsid w:val="00960576"/>
    <w:rsid w:val="009610F2"/>
    <w:rsid w:val="009611F0"/>
    <w:rsid w:val="00961CB6"/>
    <w:rsid w:val="00961F90"/>
    <w:rsid w:val="00962299"/>
    <w:rsid w:val="00962528"/>
    <w:rsid w:val="00962D44"/>
    <w:rsid w:val="00962F4D"/>
    <w:rsid w:val="0096309A"/>
    <w:rsid w:val="00963238"/>
    <w:rsid w:val="009633DC"/>
    <w:rsid w:val="009635D5"/>
    <w:rsid w:val="00963BAD"/>
    <w:rsid w:val="00963E2A"/>
    <w:rsid w:val="009641F8"/>
    <w:rsid w:val="009644E8"/>
    <w:rsid w:val="00964823"/>
    <w:rsid w:val="0096494C"/>
    <w:rsid w:val="009658C5"/>
    <w:rsid w:val="00965FEE"/>
    <w:rsid w:val="00966552"/>
    <w:rsid w:val="00966BDF"/>
    <w:rsid w:val="00967689"/>
    <w:rsid w:val="009676A9"/>
    <w:rsid w:val="0097034D"/>
    <w:rsid w:val="00970E9D"/>
    <w:rsid w:val="00972054"/>
    <w:rsid w:val="00972061"/>
    <w:rsid w:val="009733B1"/>
    <w:rsid w:val="00973856"/>
    <w:rsid w:val="00974315"/>
    <w:rsid w:val="00974E75"/>
    <w:rsid w:val="009754E9"/>
    <w:rsid w:val="00975A39"/>
    <w:rsid w:val="00976056"/>
    <w:rsid w:val="0097610E"/>
    <w:rsid w:val="009764D7"/>
    <w:rsid w:val="009765C3"/>
    <w:rsid w:val="0097784D"/>
    <w:rsid w:val="00977853"/>
    <w:rsid w:val="0097789A"/>
    <w:rsid w:val="00980A60"/>
    <w:rsid w:val="00980B02"/>
    <w:rsid w:val="00980F78"/>
    <w:rsid w:val="009810E0"/>
    <w:rsid w:val="00981460"/>
    <w:rsid w:val="009826A2"/>
    <w:rsid w:val="009827D9"/>
    <w:rsid w:val="00982E55"/>
    <w:rsid w:val="00983648"/>
    <w:rsid w:val="009836E7"/>
    <w:rsid w:val="009837AC"/>
    <w:rsid w:val="009843A3"/>
    <w:rsid w:val="00984A92"/>
    <w:rsid w:val="00984C34"/>
    <w:rsid w:val="009853C7"/>
    <w:rsid w:val="0098562A"/>
    <w:rsid w:val="00985B23"/>
    <w:rsid w:val="00986253"/>
    <w:rsid w:val="009876E6"/>
    <w:rsid w:val="009903A5"/>
    <w:rsid w:val="00990589"/>
    <w:rsid w:val="00990D46"/>
    <w:rsid w:val="009910AF"/>
    <w:rsid w:val="00991BB8"/>
    <w:rsid w:val="00991CEC"/>
    <w:rsid w:val="009925BF"/>
    <w:rsid w:val="009928F5"/>
    <w:rsid w:val="00992C78"/>
    <w:rsid w:val="00993134"/>
    <w:rsid w:val="00993625"/>
    <w:rsid w:val="009936A2"/>
    <w:rsid w:val="009936A5"/>
    <w:rsid w:val="009937D0"/>
    <w:rsid w:val="009937E2"/>
    <w:rsid w:val="009940BE"/>
    <w:rsid w:val="009941B2"/>
    <w:rsid w:val="00995681"/>
    <w:rsid w:val="00995907"/>
    <w:rsid w:val="00995E0C"/>
    <w:rsid w:val="009968C2"/>
    <w:rsid w:val="00997201"/>
    <w:rsid w:val="00997298"/>
    <w:rsid w:val="009972C3"/>
    <w:rsid w:val="009974BC"/>
    <w:rsid w:val="00997570"/>
    <w:rsid w:val="00997803"/>
    <w:rsid w:val="00997D56"/>
    <w:rsid w:val="009A0038"/>
    <w:rsid w:val="009A1168"/>
    <w:rsid w:val="009A1450"/>
    <w:rsid w:val="009A15AB"/>
    <w:rsid w:val="009A1C08"/>
    <w:rsid w:val="009A1D4C"/>
    <w:rsid w:val="009A2382"/>
    <w:rsid w:val="009A3142"/>
    <w:rsid w:val="009A3213"/>
    <w:rsid w:val="009A3260"/>
    <w:rsid w:val="009A3972"/>
    <w:rsid w:val="009A3D0E"/>
    <w:rsid w:val="009A3DDF"/>
    <w:rsid w:val="009A3E2D"/>
    <w:rsid w:val="009A4A82"/>
    <w:rsid w:val="009A5DF9"/>
    <w:rsid w:val="009A6486"/>
    <w:rsid w:val="009A6BA7"/>
    <w:rsid w:val="009A7A3D"/>
    <w:rsid w:val="009B0A95"/>
    <w:rsid w:val="009B0B4A"/>
    <w:rsid w:val="009B0D91"/>
    <w:rsid w:val="009B1BF2"/>
    <w:rsid w:val="009B1CBE"/>
    <w:rsid w:val="009B3F84"/>
    <w:rsid w:val="009B440C"/>
    <w:rsid w:val="009B44E8"/>
    <w:rsid w:val="009B463D"/>
    <w:rsid w:val="009B488E"/>
    <w:rsid w:val="009B4969"/>
    <w:rsid w:val="009B4EB8"/>
    <w:rsid w:val="009B4F90"/>
    <w:rsid w:val="009B5134"/>
    <w:rsid w:val="009B5141"/>
    <w:rsid w:val="009B5212"/>
    <w:rsid w:val="009B5DDB"/>
    <w:rsid w:val="009B66B4"/>
    <w:rsid w:val="009B69D1"/>
    <w:rsid w:val="009B6AF3"/>
    <w:rsid w:val="009B6F85"/>
    <w:rsid w:val="009B7259"/>
    <w:rsid w:val="009B72D3"/>
    <w:rsid w:val="009B75BF"/>
    <w:rsid w:val="009B7A23"/>
    <w:rsid w:val="009B7D19"/>
    <w:rsid w:val="009B7D2F"/>
    <w:rsid w:val="009C036B"/>
    <w:rsid w:val="009C103B"/>
    <w:rsid w:val="009C1085"/>
    <w:rsid w:val="009C2248"/>
    <w:rsid w:val="009C2EBC"/>
    <w:rsid w:val="009C31B8"/>
    <w:rsid w:val="009C4AA3"/>
    <w:rsid w:val="009C4B68"/>
    <w:rsid w:val="009C52A4"/>
    <w:rsid w:val="009C52C8"/>
    <w:rsid w:val="009C6332"/>
    <w:rsid w:val="009C63B3"/>
    <w:rsid w:val="009C64E2"/>
    <w:rsid w:val="009C6D4B"/>
    <w:rsid w:val="009C6E9A"/>
    <w:rsid w:val="009C72BE"/>
    <w:rsid w:val="009C750A"/>
    <w:rsid w:val="009C7C78"/>
    <w:rsid w:val="009D0A31"/>
    <w:rsid w:val="009D0E50"/>
    <w:rsid w:val="009D1936"/>
    <w:rsid w:val="009D22D2"/>
    <w:rsid w:val="009D3252"/>
    <w:rsid w:val="009D4200"/>
    <w:rsid w:val="009D5407"/>
    <w:rsid w:val="009D56E7"/>
    <w:rsid w:val="009D5C54"/>
    <w:rsid w:val="009D6CB2"/>
    <w:rsid w:val="009D70A7"/>
    <w:rsid w:val="009D76F1"/>
    <w:rsid w:val="009D77BB"/>
    <w:rsid w:val="009D7A81"/>
    <w:rsid w:val="009E14CD"/>
    <w:rsid w:val="009E1E33"/>
    <w:rsid w:val="009E1F33"/>
    <w:rsid w:val="009E2392"/>
    <w:rsid w:val="009E2727"/>
    <w:rsid w:val="009E2A5B"/>
    <w:rsid w:val="009E34B4"/>
    <w:rsid w:val="009E3782"/>
    <w:rsid w:val="009E3B9E"/>
    <w:rsid w:val="009E3CA7"/>
    <w:rsid w:val="009E3FB6"/>
    <w:rsid w:val="009E5027"/>
    <w:rsid w:val="009E58D6"/>
    <w:rsid w:val="009E58EE"/>
    <w:rsid w:val="009E59B5"/>
    <w:rsid w:val="009E5AAD"/>
    <w:rsid w:val="009E5C8C"/>
    <w:rsid w:val="009E613E"/>
    <w:rsid w:val="009E70D5"/>
    <w:rsid w:val="009E74C0"/>
    <w:rsid w:val="009E7D2A"/>
    <w:rsid w:val="009F07D8"/>
    <w:rsid w:val="009F0992"/>
    <w:rsid w:val="009F0DA7"/>
    <w:rsid w:val="009F120F"/>
    <w:rsid w:val="009F1227"/>
    <w:rsid w:val="009F1F35"/>
    <w:rsid w:val="009F2F43"/>
    <w:rsid w:val="009F3408"/>
    <w:rsid w:val="009F351F"/>
    <w:rsid w:val="009F38C1"/>
    <w:rsid w:val="009F39A9"/>
    <w:rsid w:val="009F4722"/>
    <w:rsid w:val="009F4F1B"/>
    <w:rsid w:val="009F5901"/>
    <w:rsid w:val="009F60C7"/>
    <w:rsid w:val="009F64C5"/>
    <w:rsid w:val="009F68C6"/>
    <w:rsid w:val="009F694C"/>
    <w:rsid w:val="009F755B"/>
    <w:rsid w:val="009F7ABC"/>
    <w:rsid w:val="00A002DD"/>
    <w:rsid w:val="00A021A1"/>
    <w:rsid w:val="00A028A5"/>
    <w:rsid w:val="00A02C97"/>
    <w:rsid w:val="00A032CB"/>
    <w:rsid w:val="00A0441F"/>
    <w:rsid w:val="00A05271"/>
    <w:rsid w:val="00A0570D"/>
    <w:rsid w:val="00A05C1E"/>
    <w:rsid w:val="00A05C64"/>
    <w:rsid w:val="00A05E09"/>
    <w:rsid w:val="00A063B2"/>
    <w:rsid w:val="00A06A40"/>
    <w:rsid w:val="00A073AA"/>
    <w:rsid w:val="00A07547"/>
    <w:rsid w:val="00A07A05"/>
    <w:rsid w:val="00A07F1C"/>
    <w:rsid w:val="00A07F83"/>
    <w:rsid w:val="00A103AE"/>
    <w:rsid w:val="00A11B54"/>
    <w:rsid w:val="00A11B5C"/>
    <w:rsid w:val="00A11D6A"/>
    <w:rsid w:val="00A120D0"/>
    <w:rsid w:val="00A122DA"/>
    <w:rsid w:val="00A12433"/>
    <w:rsid w:val="00A1251F"/>
    <w:rsid w:val="00A126EF"/>
    <w:rsid w:val="00A12E53"/>
    <w:rsid w:val="00A1307D"/>
    <w:rsid w:val="00A13F96"/>
    <w:rsid w:val="00A14175"/>
    <w:rsid w:val="00A141C9"/>
    <w:rsid w:val="00A15730"/>
    <w:rsid w:val="00A16288"/>
    <w:rsid w:val="00A16C52"/>
    <w:rsid w:val="00A1783F"/>
    <w:rsid w:val="00A20AAD"/>
    <w:rsid w:val="00A2184E"/>
    <w:rsid w:val="00A21B4D"/>
    <w:rsid w:val="00A21C27"/>
    <w:rsid w:val="00A21D83"/>
    <w:rsid w:val="00A22228"/>
    <w:rsid w:val="00A2420B"/>
    <w:rsid w:val="00A242AB"/>
    <w:rsid w:val="00A25558"/>
    <w:rsid w:val="00A25709"/>
    <w:rsid w:val="00A25B5A"/>
    <w:rsid w:val="00A26AE3"/>
    <w:rsid w:val="00A26E77"/>
    <w:rsid w:val="00A2702E"/>
    <w:rsid w:val="00A27054"/>
    <w:rsid w:val="00A2713B"/>
    <w:rsid w:val="00A27BC1"/>
    <w:rsid w:val="00A27E19"/>
    <w:rsid w:val="00A308E1"/>
    <w:rsid w:val="00A30A80"/>
    <w:rsid w:val="00A30FB9"/>
    <w:rsid w:val="00A31272"/>
    <w:rsid w:val="00A3159F"/>
    <w:rsid w:val="00A3189F"/>
    <w:rsid w:val="00A31F42"/>
    <w:rsid w:val="00A3222D"/>
    <w:rsid w:val="00A32747"/>
    <w:rsid w:val="00A32865"/>
    <w:rsid w:val="00A3294D"/>
    <w:rsid w:val="00A32C66"/>
    <w:rsid w:val="00A32CDD"/>
    <w:rsid w:val="00A33B15"/>
    <w:rsid w:val="00A3534A"/>
    <w:rsid w:val="00A35588"/>
    <w:rsid w:val="00A35A54"/>
    <w:rsid w:val="00A36189"/>
    <w:rsid w:val="00A36E84"/>
    <w:rsid w:val="00A36FCB"/>
    <w:rsid w:val="00A3716C"/>
    <w:rsid w:val="00A37ECB"/>
    <w:rsid w:val="00A3E007"/>
    <w:rsid w:val="00A41543"/>
    <w:rsid w:val="00A41C34"/>
    <w:rsid w:val="00A41DCA"/>
    <w:rsid w:val="00A42291"/>
    <w:rsid w:val="00A43137"/>
    <w:rsid w:val="00A437AD"/>
    <w:rsid w:val="00A438A1"/>
    <w:rsid w:val="00A43C69"/>
    <w:rsid w:val="00A4462C"/>
    <w:rsid w:val="00A455D9"/>
    <w:rsid w:val="00A45E5C"/>
    <w:rsid w:val="00A468E3"/>
    <w:rsid w:val="00A47013"/>
    <w:rsid w:val="00A47B14"/>
    <w:rsid w:val="00A500BE"/>
    <w:rsid w:val="00A5047A"/>
    <w:rsid w:val="00A50755"/>
    <w:rsid w:val="00A51567"/>
    <w:rsid w:val="00A51E0A"/>
    <w:rsid w:val="00A51E7E"/>
    <w:rsid w:val="00A52402"/>
    <w:rsid w:val="00A52D7A"/>
    <w:rsid w:val="00A52F40"/>
    <w:rsid w:val="00A53945"/>
    <w:rsid w:val="00A53B6A"/>
    <w:rsid w:val="00A54311"/>
    <w:rsid w:val="00A545EE"/>
    <w:rsid w:val="00A54B0C"/>
    <w:rsid w:val="00A555BE"/>
    <w:rsid w:val="00A55BEE"/>
    <w:rsid w:val="00A561D0"/>
    <w:rsid w:val="00A56D8B"/>
    <w:rsid w:val="00A56DEB"/>
    <w:rsid w:val="00A573D4"/>
    <w:rsid w:val="00A577E5"/>
    <w:rsid w:val="00A5A0CE"/>
    <w:rsid w:val="00A60114"/>
    <w:rsid w:val="00A61213"/>
    <w:rsid w:val="00A62F4F"/>
    <w:rsid w:val="00A62F6B"/>
    <w:rsid w:val="00A631A1"/>
    <w:rsid w:val="00A63245"/>
    <w:rsid w:val="00A63DE2"/>
    <w:rsid w:val="00A63DFE"/>
    <w:rsid w:val="00A6407D"/>
    <w:rsid w:val="00A64642"/>
    <w:rsid w:val="00A6464E"/>
    <w:rsid w:val="00A64813"/>
    <w:rsid w:val="00A6528B"/>
    <w:rsid w:val="00A65678"/>
    <w:rsid w:val="00A65832"/>
    <w:rsid w:val="00A658EA"/>
    <w:rsid w:val="00A658FD"/>
    <w:rsid w:val="00A65CAB"/>
    <w:rsid w:val="00A66395"/>
    <w:rsid w:val="00A664A4"/>
    <w:rsid w:val="00A666E3"/>
    <w:rsid w:val="00A66EAE"/>
    <w:rsid w:val="00A678C1"/>
    <w:rsid w:val="00A67A68"/>
    <w:rsid w:val="00A7005E"/>
    <w:rsid w:val="00A706B8"/>
    <w:rsid w:val="00A721D4"/>
    <w:rsid w:val="00A72BE5"/>
    <w:rsid w:val="00A734D0"/>
    <w:rsid w:val="00A736EE"/>
    <w:rsid w:val="00A73FFD"/>
    <w:rsid w:val="00A74685"/>
    <w:rsid w:val="00A74AA7"/>
    <w:rsid w:val="00A75433"/>
    <w:rsid w:val="00A76498"/>
    <w:rsid w:val="00A76A93"/>
    <w:rsid w:val="00A76DCD"/>
    <w:rsid w:val="00A77283"/>
    <w:rsid w:val="00A77B23"/>
    <w:rsid w:val="00A7DBD4"/>
    <w:rsid w:val="00A802BA"/>
    <w:rsid w:val="00A80672"/>
    <w:rsid w:val="00A80E16"/>
    <w:rsid w:val="00A80FF3"/>
    <w:rsid w:val="00A811A3"/>
    <w:rsid w:val="00A81427"/>
    <w:rsid w:val="00A81CAB"/>
    <w:rsid w:val="00A81ECF"/>
    <w:rsid w:val="00A834D0"/>
    <w:rsid w:val="00A836ED"/>
    <w:rsid w:val="00A8439C"/>
    <w:rsid w:val="00A84AA5"/>
    <w:rsid w:val="00A84B9D"/>
    <w:rsid w:val="00A84ECD"/>
    <w:rsid w:val="00A85BEA"/>
    <w:rsid w:val="00A85DD6"/>
    <w:rsid w:val="00A86016"/>
    <w:rsid w:val="00A867EB"/>
    <w:rsid w:val="00A86EC0"/>
    <w:rsid w:val="00A879F7"/>
    <w:rsid w:val="00A87E96"/>
    <w:rsid w:val="00A9020D"/>
    <w:rsid w:val="00A904DE"/>
    <w:rsid w:val="00A9054E"/>
    <w:rsid w:val="00A908E6"/>
    <w:rsid w:val="00A9098B"/>
    <w:rsid w:val="00A90AF1"/>
    <w:rsid w:val="00A90C20"/>
    <w:rsid w:val="00A91245"/>
    <w:rsid w:val="00A915A4"/>
    <w:rsid w:val="00A91CE4"/>
    <w:rsid w:val="00A92063"/>
    <w:rsid w:val="00A92414"/>
    <w:rsid w:val="00A925B6"/>
    <w:rsid w:val="00A9261D"/>
    <w:rsid w:val="00A9345D"/>
    <w:rsid w:val="00A93A98"/>
    <w:rsid w:val="00A93CC2"/>
    <w:rsid w:val="00A94093"/>
    <w:rsid w:val="00A944DF"/>
    <w:rsid w:val="00A94C4B"/>
    <w:rsid w:val="00A954DF"/>
    <w:rsid w:val="00A9594E"/>
    <w:rsid w:val="00A96231"/>
    <w:rsid w:val="00A96D60"/>
    <w:rsid w:val="00A96E28"/>
    <w:rsid w:val="00A9728E"/>
    <w:rsid w:val="00A97B41"/>
    <w:rsid w:val="00A97DC2"/>
    <w:rsid w:val="00AA0047"/>
    <w:rsid w:val="00AA04C2"/>
    <w:rsid w:val="00AA0A05"/>
    <w:rsid w:val="00AA0B33"/>
    <w:rsid w:val="00AA12CF"/>
    <w:rsid w:val="00AA2192"/>
    <w:rsid w:val="00AA3201"/>
    <w:rsid w:val="00AA3533"/>
    <w:rsid w:val="00AA3671"/>
    <w:rsid w:val="00AA3B2C"/>
    <w:rsid w:val="00AA4174"/>
    <w:rsid w:val="00AA47DA"/>
    <w:rsid w:val="00AA4A7E"/>
    <w:rsid w:val="00AA4F44"/>
    <w:rsid w:val="00AA5097"/>
    <w:rsid w:val="00AA540A"/>
    <w:rsid w:val="00AA57D0"/>
    <w:rsid w:val="00AA5B86"/>
    <w:rsid w:val="00AA5FF6"/>
    <w:rsid w:val="00AA68A6"/>
    <w:rsid w:val="00AA6AF0"/>
    <w:rsid w:val="00AA6C8D"/>
    <w:rsid w:val="00AA6D92"/>
    <w:rsid w:val="00AA7307"/>
    <w:rsid w:val="00AA747F"/>
    <w:rsid w:val="00AA78FD"/>
    <w:rsid w:val="00AA7FA4"/>
    <w:rsid w:val="00AB01B6"/>
    <w:rsid w:val="00AB05C4"/>
    <w:rsid w:val="00AB1618"/>
    <w:rsid w:val="00AB1962"/>
    <w:rsid w:val="00AB2A83"/>
    <w:rsid w:val="00AB33E8"/>
    <w:rsid w:val="00AB417F"/>
    <w:rsid w:val="00AB441C"/>
    <w:rsid w:val="00AB4A98"/>
    <w:rsid w:val="00AB4F13"/>
    <w:rsid w:val="00AB538F"/>
    <w:rsid w:val="00AB5AD1"/>
    <w:rsid w:val="00AB6307"/>
    <w:rsid w:val="00AB6627"/>
    <w:rsid w:val="00AB6FD9"/>
    <w:rsid w:val="00AB7225"/>
    <w:rsid w:val="00AB7396"/>
    <w:rsid w:val="00AB7ECD"/>
    <w:rsid w:val="00AB7F01"/>
    <w:rsid w:val="00AC13EE"/>
    <w:rsid w:val="00AC13F7"/>
    <w:rsid w:val="00AC1467"/>
    <w:rsid w:val="00AC1AC3"/>
    <w:rsid w:val="00AC24F8"/>
    <w:rsid w:val="00AC2815"/>
    <w:rsid w:val="00AC28A6"/>
    <w:rsid w:val="00AC28CE"/>
    <w:rsid w:val="00AC31D0"/>
    <w:rsid w:val="00AC3546"/>
    <w:rsid w:val="00AC3846"/>
    <w:rsid w:val="00AC436A"/>
    <w:rsid w:val="00AC4C33"/>
    <w:rsid w:val="00AC4EFE"/>
    <w:rsid w:val="00AC52D0"/>
    <w:rsid w:val="00AC5917"/>
    <w:rsid w:val="00AC5A86"/>
    <w:rsid w:val="00AC6B47"/>
    <w:rsid w:val="00AC768C"/>
    <w:rsid w:val="00AC7E7C"/>
    <w:rsid w:val="00AD2091"/>
    <w:rsid w:val="00AD3CFB"/>
    <w:rsid w:val="00AD4618"/>
    <w:rsid w:val="00AD4798"/>
    <w:rsid w:val="00AD5AAD"/>
    <w:rsid w:val="00AD611B"/>
    <w:rsid w:val="00AD6498"/>
    <w:rsid w:val="00AD6505"/>
    <w:rsid w:val="00AD67F7"/>
    <w:rsid w:val="00AD6A87"/>
    <w:rsid w:val="00AD7646"/>
    <w:rsid w:val="00AD766E"/>
    <w:rsid w:val="00AD76E4"/>
    <w:rsid w:val="00AD7F9B"/>
    <w:rsid w:val="00AE04E5"/>
    <w:rsid w:val="00AE0933"/>
    <w:rsid w:val="00AE0FA4"/>
    <w:rsid w:val="00AE1B81"/>
    <w:rsid w:val="00AE2959"/>
    <w:rsid w:val="00AE2B0A"/>
    <w:rsid w:val="00AE3C37"/>
    <w:rsid w:val="00AE406E"/>
    <w:rsid w:val="00AE417A"/>
    <w:rsid w:val="00AE4702"/>
    <w:rsid w:val="00AE4D71"/>
    <w:rsid w:val="00AE4D98"/>
    <w:rsid w:val="00AE4EDB"/>
    <w:rsid w:val="00AE56DC"/>
    <w:rsid w:val="00AE5BCC"/>
    <w:rsid w:val="00AE613B"/>
    <w:rsid w:val="00AE6E8C"/>
    <w:rsid w:val="00AE74A8"/>
    <w:rsid w:val="00AE7726"/>
    <w:rsid w:val="00AE7AE0"/>
    <w:rsid w:val="00AF00E0"/>
    <w:rsid w:val="00AF07BC"/>
    <w:rsid w:val="00AF09A8"/>
    <w:rsid w:val="00AF0B0C"/>
    <w:rsid w:val="00AF0B7E"/>
    <w:rsid w:val="00AF0CDF"/>
    <w:rsid w:val="00AF11E6"/>
    <w:rsid w:val="00AF1233"/>
    <w:rsid w:val="00AF1746"/>
    <w:rsid w:val="00AF1973"/>
    <w:rsid w:val="00AF1B30"/>
    <w:rsid w:val="00AF224A"/>
    <w:rsid w:val="00AF2E25"/>
    <w:rsid w:val="00AF35EE"/>
    <w:rsid w:val="00AF378F"/>
    <w:rsid w:val="00AF3A79"/>
    <w:rsid w:val="00AF3CDE"/>
    <w:rsid w:val="00AF423E"/>
    <w:rsid w:val="00AF435C"/>
    <w:rsid w:val="00AF44CA"/>
    <w:rsid w:val="00AF46A1"/>
    <w:rsid w:val="00AF4732"/>
    <w:rsid w:val="00AF4739"/>
    <w:rsid w:val="00AF4DAA"/>
    <w:rsid w:val="00AF5550"/>
    <w:rsid w:val="00AF578C"/>
    <w:rsid w:val="00AF5C91"/>
    <w:rsid w:val="00AF69BA"/>
    <w:rsid w:val="00AF76A4"/>
    <w:rsid w:val="00AF7772"/>
    <w:rsid w:val="00B010FD"/>
    <w:rsid w:val="00B0133C"/>
    <w:rsid w:val="00B01AB4"/>
    <w:rsid w:val="00B01DA5"/>
    <w:rsid w:val="00B0374B"/>
    <w:rsid w:val="00B03C9C"/>
    <w:rsid w:val="00B04570"/>
    <w:rsid w:val="00B04778"/>
    <w:rsid w:val="00B05895"/>
    <w:rsid w:val="00B061AE"/>
    <w:rsid w:val="00B07BFA"/>
    <w:rsid w:val="00B07E16"/>
    <w:rsid w:val="00B102FA"/>
    <w:rsid w:val="00B10457"/>
    <w:rsid w:val="00B10B82"/>
    <w:rsid w:val="00B10C59"/>
    <w:rsid w:val="00B10D0D"/>
    <w:rsid w:val="00B10F36"/>
    <w:rsid w:val="00B11884"/>
    <w:rsid w:val="00B11AFF"/>
    <w:rsid w:val="00B11B37"/>
    <w:rsid w:val="00B11B44"/>
    <w:rsid w:val="00B11B82"/>
    <w:rsid w:val="00B11F40"/>
    <w:rsid w:val="00B12260"/>
    <w:rsid w:val="00B122D7"/>
    <w:rsid w:val="00B12540"/>
    <w:rsid w:val="00B13951"/>
    <w:rsid w:val="00B13D3A"/>
    <w:rsid w:val="00B13DD0"/>
    <w:rsid w:val="00B13E15"/>
    <w:rsid w:val="00B1432B"/>
    <w:rsid w:val="00B14AF0"/>
    <w:rsid w:val="00B15222"/>
    <w:rsid w:val="00B16042"/>
    <w:rsid w:val="00B16757"/>
    <w:rsid w:val="00B16C4F"/>
    <w:rsid w:val="00B1727D"/>
    <w:rsid w:val="00B17815"/>
    <w:rsid w:val="00B17A63"/>
    <w:rsid w:val="00B21A60"/>
    <w:rsid w:val="00B22F31"/>
    <w:rsid w:val="00B23662"/>
    <w:rsid w:val="00B238C8"/>
    <w:rsid w:val="00B23DA0"/>
    <w:rsid w:val="00B24586"/>
    <w:rsid w:val="00B262E3"/>
    <w:rsid w:val="00B268F4"/>
    <w:rsid w:val="00B26B75"/>
    <w:rsid w:val="00B26D28"/>
    <w:rsid w:val="00B27187"/>
    <w:rsid w:val="00B273F8"/>
    <w:rsid w:val="00B2768A"/>
    <w:rsid w:val="00B302F0"/>
    <w:rsid w:val="00B3075B"/>
    <w:rsid w:val="00B30D22"/>
    <w:rsid w:val="00B3197D"/>
    <w:rsid w:val="00B31986"/>
    <w:rsid w:val="00B3209C"/>
    <w:rsid w:val="00B3276C"/>
    <w:rsid w:val="00B329BF"/>
    <w:rsid w:val="00B32A36"/>
    <w:rsid w:val="00B3306B"/>
    <w:rsid w:val="00B3345B"/>
    <w:rsid w:val="00B33ABC"/>
    <w:rsid w:val="00B34D84"/>
    <w:rsid w:val="00B34F1B"/>
    <w:rsid w:val="00B356C3"/>
    <w:rsid w:val="00B359A2"/>
    <w:rsid w:val="00B35A9B"/>
    <w:rsid w:val="00B35DBB"/>
    <w:rsid w:val="00B36291"/>
    <w:rsid w:val="00B36896"/>
    <w:rsid w:val="00B36B72"/>
    <w:rsid w:val="00B370BD"/>
    <w:rsid w:val="00B37BCD"/>
    <w:rsid w:val="00B37CA1"/>
    <w:rsid w:val="00B40204"/>
    <w:rsid w:val="00B40880"/>
    <w:rsid w:val="00B40D0A"/>
    <w:rsid w:val="00B40ED1"/>
    <w:rsid w:val="00B4108E"/>
    <w:rsid w:val="00B4164C"/>
    <w:rsid w:val="00B41E74"/>
    <w:rsid w:val="00B4280A"/>
    <w:rsid w:val="00B42F2D"/>
    <w:rsid w:val="00B436DA"/>
    <w:rsid w:val="00B43839"/>
    <w:rsid w:val="00B43B11"/>
    <w:rsid w:val="00B44412"/>
    <w:rsid w:val="00B44F57"/>
    <w:rsid w:val="00B451B2"/>
    <w:rsid w:val="00B454E3"/>
    <w:rsid w:val="00B458E1"/>
    <w:rsid w:val="00B46DC7"/>
    <w:rsid w:val="00B4706E"/>
    <w:rsid w:val="00B472B9"/>
    <w:rsid w:val="00B47B63"/>
    <w:rsid w:val="00B47B89"/>
    <w:rsid w:val="00B47E0A"/>
    <w:rsid w:val="00B50B2B"/>
    <w:rsid w:val="00B50CE3"/>
    <w:rsid w:val="00B51B2D"/>
    <w:rsid w:val="00B51FF9"/>
    <w:rsid w:val="00B521C9"/>
    <w:rsid w:val="00B52C8C"/>
    <w:rsid w:val="00B53853"/>
    <w:rsid w:val="00B53926"/>
    <w:rsid w:val="00B53AB5"/>
    <w:rsid w:val="00B53BAC"/>
    <w:rsid w:val="00B543F9"/>
    <w:rsid w:val="00B54443"/>
    <w:rsid w:val="00B54594"/>
    <w:rsid w:val="00B54796"/>
    <w:rsid w:val="00B54B1B"/>
    <w:rsid w:val="00B54D9F"/>
    <w:rsid w:val="00B55188"/>
    <w:rsid w:val="00B554D7"/>
    <w:rsid w:val="00B55688"/>
    <w:rsid w:val="00B55D91"/>
    <w:rsid w:val="00B5605D"/>
    <w:rsid w:val="00B560CF"/>
    <w:rsid w:val="00B5628C"/>
    <w:rsid w:val="00B56502"/>
    <w:rsid w:val="00B56638"/>
    <w:rsid w:val="00B56FB8"/>
    <w:rsid w:val="00B5709E"/>
    <w:rsid w:val="00B5760F"/>
    <w:rsid w:val="00B57D9F"/>
    <w:rsid w:val="00B57F69"/>
    <w:rsid w:val="00B60017"/>
    <w:rsid w:val="00B603C8"/>
    <w:rsid w:val="00B60718"/>
    <w:rsid w:val="00B607EC"/>
    <w:rsid w:val="00B6091C"/>
    <w:rsid w:val="00B60B43"/>
    <w:rsid w:val="00B60DAC"/>
    <w:rsid w:val="00B6173F"/>
    <w:rsid w:val="00B61772"/>
    <w:rsid w:val="00B619EF"/>
    <w:rsid w:val="00B61FFB"/>
    <w:rsid w:val="00B627FA"/>
    <w:rsid w:val="00B629EB"/>
    <w:rsid w:val="00B63027"/>
    <w:rsid w:val="00B633ED"/>
    <w:rsid w:val="00B635C3"/>
    <w:rsid w:val="00B637DE"/>
    <w:rsid w:val="00B63E76"/>
    <w:rsid w:val="00B6402B"/>
    <w:rsid w:val="00B67037"/>
    <w:rsid w:val="00B67F84"/>
    <w:rsid w:val="00B70B1C"/>
    <w:rsid w:val="00B71212"/>
    <w:rsid w:val="00B7136A"/>
    <w:rsid w:val="00B718DB"/>
    <w:rsid w:val="00B7197B"/>
    <w:rsid w:val="00B71AA9"/>
    <w:rsid w:val="00B721AE"/>
    <w:rsid w:val="00B723B0"/>
    <w:rsid w:val="00B72C02"/>
    <w:rsid w:val="00B73209"/>
    <w:rsid w:val="00B73845"/>
    <w:rsid w:val="00B73AB5"/>
    <w:rsid w:val="00B74505"/>
    <w:rsid w:val="00B74785"/>
    <w:rsid w:val="00B7496A"/>
    <w:rsid w:val="00B756C7"/>
    <w:rsid w:val="00B7626A"/>
    <w:rsid w:val="00B76552"/>
    <w:rsid w:val="00B776BB"/>
    <w:rsid w:val="00B77EAB"/>
    <w:rsid w:val="00B8051A"/>
    <w:rsid w:val="00B80966"/>
    <w:rsid w:val="00B80B12"/>
    <w:rsid w:val="00B80B9D"/>
    <w:rsid w:val="00B80D48"/>
    <w:rsid w:val="00B80DAE"/>
    <w:rsid w:val="00B810FE"/>
    <w:rsid w:val="00B81B12"/>
    <w:rsid w:val="00B825EC"/>
    <w:rsid w:val="00B82B2D"/>
    <w:rsid w:val="00B82B41"/>
    <w:rsid w:val="00B82C73"/>
    <w:rsid w:val="00B82F3E"/>
    <w:rsid w:val="00B8305B"/>
    <w:rsid w:val="00B832C0"/>
    <w:rsid w:val="00B833AD"/>
    <w:rsid w:val="00B83B04"/>
    <w:rsid w:val="00B83BC2"/>
    <w:rsid w:val="00B8410A"/>
    <w:rsid w:val="00B84E22"/>
    <w:rsid w:val="00B86253"/>
    <w:rsid w:val="00B863C1"/>
    <w:rsid w:val="00B86B28"/>
    <w:rsid w:val="00B86C8F"/>
    <w:rsid w:val="00B8738D"/>
    <w:rsid w:val="00B87509"/>
    <w:rsid w:val="00B8765E"/>
    <w:rsid w:val="00B877AE"/>
    <w:rsid w:val="00B90ECE"/>
    <w:rsid w:val="00B91017"/>
    <w:rsid w:val="00B91348"/>
    <w:rsid w:val="00B921CA"/>
    <w:rsid w:val="00B93324"/>
    <w:rsid w:val="00B93C6E"/>
    <w:rsid w:val="00B94030"/>
    <w:rsid w:val="00B944D8"/>
    <w:rsid w:val="00B94692"/>
    <w:rsid w:val="00B94BEE"/>
    <w:rsid w:val="00B94C3C"/>
    <w:rsid w:val="00B958A6"/>
    <w:rsid w:val="00B959D9"/>
    <w:rsid w:val="00B95E66"/>
    <w:rsid w:val="00B9673F"/>
    <w:rsid w:val="00B96B9F"/>
    <w:rsid w:val="00B97312"/>
    <w:rsid w:val="00B9734E"/>
    <w:rsid w:val="00B977D1"/>
    <w:rsid w:val="00BA0042"/>
    <w:rsid w:val="00BA0B97"/>
    <w:rsid w:val="00BA14C7"/>
    <w:rsid w:val="00BA1567"/>
    <w:rsid w:val="00BA1D15"/>
    <w:rsid w:val="00BA1DAB"/>
    <w:rsid w:val="00BA1F73"/>
    <w:rsid w:val="00BA24B1"/>
    <w:rsid w:val="00BA2A37"/>
    <w:rsid w:val="00BA309E"/>
    <w:rsid w:val="00BA3F64"/>
    <w:rsid w:val="00BA4210"/>
    <w:rsid w:val="00BA4935"/>
    <w:rsid w:val="00BA53B1"/>
    <w:rsid w:val="00BA6134"/>
    <w:rsid w:val="00BA7349"/>
    <w:rsid w:val="00BA736F"/>
    <w:rsid w:val="00BB098B"/>
    <w:rsid w:val="00BB0A0C"/>
    <w:rsid w:val="00BB0A69"/>
    <w:rsid w:val="00BB1233"/>
    <w:rsid w:val="00BB1371"/>
    <w:rsid w:val="00BB1EF6"/>
    <w:rsid w:val="00BB1F47"/>
    <w:rsid w:val="00BB26DF"/>
    <w:rsid w:val="00BB2FAB"/>
    <w:rsid w:val="00BB330E"/>
    <w:rsid w:val="00BB3BDE"/>
    <w:rsid w:val="00BB5145"/>
    <w:rsid w:val="00BB57B4"/>
    <w:rsid w:val="00BB5AE4"/>
    <w:rsid w:val="00BB5CE3"/>
    <w:rsid w:val="00BB5E75"/>
    <w:rsid w:val="00BB6688"/>
    <w:rsid w:val="00BB6FA9"/>
    <w:rsid w:val="00BB7601"/>
    <w:rsid w:val="00BB7879"/>
    <w:rsid w:val="00BC0C7D"/>
    <w:rsid w:val="00BC0E73"/>
    <w:rsid w:val="00BC103F"/>
    <w:rsid w:val="00BC1508"/>
    <w:rsid w:val="00BC152F"/>
    <w:rsid w:val="00BC173A"/>
    <w:rsid w:val="00BC191C"/>
    <w:rsid w:val="00BC1C6C"/>
    <w:rsid w:val="00BC1DF8"/>
    <w:rsid w:val="00BC237D"/>
    <w:rsid w:val="00BC2A68"/>
    <w:rsid w:val="00BC3077"/>
    <w:rsid w:val="00BC3251"/>
    <w:rsid w:val="00BC38DA"/>
    <w:rsid w:val="00BC3CD0"/>
    <w:rsid w:val="00BC42BA"/>
    <w:rsid w:val="00BC42BD"/>
    <w:rsid w:val="00BC43C3"/>
    <w:rsid w:val="00BC4F17"/>
    <w:rsid w:val="00BC5113"/>
    <w:rsid w:val="00BC56D9"/>
    <w:rsid w:val="00BC611C"/>
    <w:rsid w:val="00BC66B8"/>
    <w:rsid w:val="00BC6A46"/>
    <w:rsid w:val="00BC6AEC"/>
    <w:rsid w:val="00BC6F39"/>
    <w:rsid w:val="00BC76EE"/>
    <w:rsid w:val="00BC7880"/>
    <w:rsid w:val="00BC7A09"/>
    <w:rsid w:val="00BC7C91"/>
    <w:rsid w:val="00BD0061"/>
    <w:rsid w:val="00BD055A"/>
    <w:rsid w:val="00BD0C8D"/>
    <w:rsid w:val="00BD16DD"/>
    <w:rsid w:val="00BD1D3E"/>
    <w:rsid w:val="00BD204D"/>
    <w:rsid w:val="00BD3617"/>
    <w:rsid w:val="00BD416E"/>
    <w:rsid w:val="00BD4DF2"/>
    <w:rsid w:val="00BD4FCA"/>
    <w:rsid w:val="00BD53F2"/>
    <w:rsid w:val="00BD59F1"/>
    <w:rsid w:val="00BD5EFB"/>
    <w:rsid w:val="00BD604C"/>
    <w:rsid w:val="00BD62DE"/>
    <w:rsid w:val="00BD6303"/>
    <w:rsid w:val="00BD6682"/>
    <w:rsid w:val="00BD738E"/>
    <w:rsid w:val="00BD7455"/>
    <w:rsid w:val="00BD7693"/>
    <w:rsid w:val="00BD792A"/>
    <w:rsid w:val="00BD79E3"/>
    <w:rsid w:val="00BD7EE4"/>
    <w:rsid w:val="00BE0163"/>
    <w:rsid w:val="00BE0225"/>
    <w:rsid w:val="00BE1A39"/>
    <w:rsid w:val="00BE1D22"/>
    <w:rsid w:val="00BE243E"/>
    <w:rsid w:val="00BE27D3"/>
    <w:rsid w:val="00BE30F1"/>
    <w:rsid w:val="00BE3E10"/>
    <w:rsid w:val="00BE3F18"/>
    <w:rsid w:val="00BE401F"/>
    <w:rsid w:val="00BE4B8B"/>
    <w:rsid w:val="00BE5311"/>
    <w:rsid w:val="00BE67EC"/>
    <w:rsid w:val="00BE6DC9"/>
    <w:rsid w:val="00BE7138"/>
    <w:rsid w:val="00BE7963"/>
    <w:rsid w:val="00BE7A64"/>
    <w:rsid w:val="00BF0B4B"/>
    <w:rsid w:val="00BF0CEE"/>
    <w:rsid w:val="00BF0E5A"/>
    <w:rsid w:val="00BF0F7D"/>
    <w:rsid w:val="00BF1353"/>
    <w:rsid w:val="00BF188E"/>
    <w:rsid w:val="00BF1FB3"/>
    <w:rsid w:val="00BF2B94"/>
    <w:rsid w:val="00BF2C3C"/>
    <w:rsid w:val="00BF2FBD"/>
    <w:rsid w:val="00BF3DAA"/>
    <w:rsid w:val="00BF3E23"/>
    <w:rsid w:val="00BF4E7D"/>
    <w:rsid w:val="00BF4E90"/>
    <w:rsid w:val="00BF54DD"/>
    <w:rsid w:val="00BF5E31"/>
    <w:rsid w:val="00BF604A"/>
    <w:rsid w:val="00BF60B4"/>
    <w:rsid w:val="00BF6CF2"/>
    <w:rsid w:val="00BF6FB3"/>
    <w:rsid w:val="00BF71FA"/>
    <w:rsid w:val="00BF74DB"/>
    <w:rsid w:val="00C00307"/>
    <w:rsid w:val="00C0064A"/>
    <w:rsid w:val="00C00EE5"/>
    <w:rsid w:val="00C022C4"/>
    <w:rsid w:val="00C028F2"/>
    <w:rsid w:val="00C03132"/>
    <w:rsid w:val="00C031CF"/>
    <w:rsid w:val="00C036A5"/>
    <w:rsid w:val="00C03DDB"/>
    <w:rsid w:val="00C040F8"/>
    <w:rsid w:val="00C041C8"/>
    <w:rsid w:val="00C041DF"/>
    <w:rsid w:val="00C042D3"/>
    <w:rsid w:val="00C0440C"/>
    <w:rsid w:val="00C04431"/>
    <w:rsid w:val="00C05154"/>
    <w:rsid w:val="00C05207"/>
    <w:rsid w:val="00C058A2"/>
    <w:rsid w:val="00C05B95"/>
    <w:rsid w:val="00C0652E"/>
    <w:rsid w:val="00C065A0"/>
    <w:rsid w:val="00C06C8A"/>
    <w:rsid w:val="00C06EAB"/>
    <w:rsid w:val="00C07390"/>
    <w:rsid w:val="00C075D8"/>
    <w:rsid w:val="00C07909"/>
    <w:rsid w:val="00C07C75"/>
    <w:rsid w:val="00C07D33"/>
    <w:rsid w:val="00C1078F"/>
    <w:rsid w:val="00C10843"/>
    <w:rsid w:val="00C10C74"/>
    <w:rsid w:val="00C10F81"/>
    <w:rsid w:val="00C11578"/>
    <w:rsid w:val="00C1168B"/>
    <w:rsid w:val="00C11929"/>
    <w:rsid w:val="00C11F32"/>
    <w:rsid w:val="00C12268"/>
    <w:rsid w:val="00C12301"/>
    <w:rsid w:val="00C123CA"/>
    <w:rsid w:val="00C12ACE"/>
    <w:rsid w:val="00C1370F"/>
    <w:rsid w:val="00C13ADA"/>
    <w:rsid w:val="00C15EAE"/>
    <w:rsid w:val="00C16BAD"/>
    <w:rsid w:val="00C16BE6"/>
    <w:rsid w:val="00C16C99"/>
    <w:rsid w:val="00C1717C"/>
    <w:rsid w:val="00C17330"/>
    <w:rsid w:val="00C176CA"/>
    <w:rsid w:val="00C207F4"/>
    <w:rsid w:val="00C20ACF"/>
    <w:rsid w:val="00C20AF7"/>
    <w:rsid w:val="00C20DA7"/>
    <w:rsid w:val="00C21067"/>
    <w:rsid w:val="00C21A50"/>
    <w:rsid w:val="00C21DD8"/>
    <w:rsid w:val="00C235C5"/>
    <w:rsid w:val="00C23F6E"/>
    <w:rsid w:val="00C24935"/>
    <w:rsid w:val="00C24E7A"/>
    <w:rsid w:val="00C25042"/>
    <w:rsid w:val="00C25312"/>
    <w:rsid w:val="00C25445"/>
    <w:rsid w:val="00C258FA"/>
    <w:rsid w:val="00C25DA4"/>
    <w:rsid w:val="00C260F4"/>
    <w:rsid w:val="00C262E0"/>
    <w:rsid w:val="00C26CD7"/>
    <w:rsid w:val="00C27221"/>
    <w:rsid w:val="00C27459"/>
    <w:rsid w:val="00C277E3"/>
    <w:rsid w:val="00C2786F"/>
    <w:rsid w:val="00C27D46"/>
    <w:rsid w:val="00C27F71"/>
    <w:rsid w:val="00C306CB"/>
    <w:rsid w:val="00C30C63"/>
    <w:rsid w:val="00C30E50"/>
    <w:rsid w:val="00C316FD"/>
    <w:rsid w:val="00C32676"/>
    <w:rsid w:val="00C32FB0"/>
    <w:rsid w:val="00C3313B"/>
    <w:rsid w:val="00C336CE"/>
    <w:rsid w:val="00C33E8B"/>
    <w:rsid w:val="00C350FE"/>
    <w:rsid w:val="00C35931"/>
    <w:rsid w:val="00C36124"/>
    <w:rsid w:val="00C36A69"/>
    <w:rsid w:val="00C37FD9"/>
    <w:rsid w:val="00C4034F"/>
    <w:rsid w:val="00C40658"/>
    <w:rsid w:val="00C4080A"/>
    <w:rsid w:val="00C40A8A"/>
    <w:rsid w:val="00C41508"/>
    <w:rsid w:val="00C416F8"/>
    <w:rsid w:val="00C42B3C"/>
    <w:rsid w:val="00C434CC"/>
    <w:rsid w:val="00C43655"/>
    <w:rsid w:val="00C439A7"/>
    <w:rsid w:val="00C44135"/>
    <w:rsid w:val="00C44619"/>
    <w:rsid w:val="00C446D1"/>
    <w:rsid w:val="00C45315"/>
    <w:rsid w:val="00C45958"/>
    <w:rsid w:val="00C45A76"/>
    <w:rsid w:val="00C464B5"/>
    <w:rsid w:val="00C46914"/>
    <w:rsid w:val="00C46998"/>
    <w:rsid w:val="00C46CD8"/>
    <w:rsid w:val="00C4724F"/>
    <w:rsid w:val="00C475A2"/>
    <w:rsid w:val="00C47B9C"/>
    <w:rsid w:val="00C47FF5"/>
    <w:rsid w:val="00C505A6"/>
    <w:rsid w:val="00C509DE"/>
    <w:rsid w:val="00C50AA3"/>
    <w:rsid w:val="00C511BE"/>
    <w:rsid w:val="00C516BA"/>
    <w:rsid w:val="00C516F7"/>
    <w:rsid w:val="00C51D2D"/>
    <w:rsid w:val="00C51D58"/>
    <w:rsid w:val="00C51D85"/>
    <w:rsid w:val="00C52573"/>
    <w:rsid w:val="00C526B0"/>
    <w:rsid w:val="00C5274B"/>
    <w:rsid w:val="00C5335B"/>
    <w:rsid w:val="00C538F8"/>
    <w:rsid w:val="00C53E89"/>
    <w:rsid w:val="00C5426F"/>
    <w:rsid w:val="00C548F5"/>
    <w:rsid w:val="00C54963"/>
    <w:rsid w:val="00C55718"/>
    <w:rsid w:val="00C55799"/>
    <w:rsid w:val="00C56347"/>
    <w:rsid w:val="00C5649B"/>
    <w:rsid w:val="00C5673B"/>
    <w:rsid w:val="00C56C29"/>
    <w:rsid w:val="00C57347"/>
    <w:rsid w:val="00C57716"/>
    <w:rsid w:val="00C57BCE"/>
    <w:rsid w:val="00C61380"/>
    <w:rsid w:val="00C616B7"/>
    <w:rsid w:val="00C62F7C"/>
    <w:rsid w:val="00C636C3"/>
    <w:rsid w:val="00C637B6"/>
    <w:rsid w:val="00C642E6"/>
    <w:rsid w:val="00C64B29"/>
    <w:rsid w:val="00C64DD7"/>
    <w:rsid w:val="00C651FF"/>
    <w:rsid w:val="00C6558A"/>
    <w:rsid w:val="00C657FD"/>
    <w:rsid w:val="00C65A4D"/>
    <w:rsid w:val="00C67259"/>
    <w:rsid w:val="00C7049B"/>
    <w:rsid w:val="00C71237"/>
    <w:rsid w:val="00C71E28"/>
    <w:rsid w:val="00C726C7"/>
    <w:rsid w:val="00C72755"/>
    <w:rsid w:val="00C72F30"/>
    <w:rsid w:val="00C734F9"/>
    <w:rsid w:val="00C73E5B"/>
    <w:rsid w:val="00C744CF"/>
    <w:rsid w:val="00C7474A"/>
    <w:rsid w:val="00C74E50"/>
    <w:rsid w:val="00C74E63"/>
    <w:rsid w:val="00C758A0"/>
    <w:rsid w:val="00C75A72"/>
    <w:rsid w:val="00C75D8C"/>
    <w:rsid w:val="00C769B4"/>
    <w:rsid w:val="00C778FD"/>
    <w:rsid w:val="00C8006C"/>
    <w:rsid w:val="00C80FA4"/>
    <w:rsid w:val="00C8153A"/>
    <w:rsid w:val="00C81737"/>
    <w:rsid w:val="00C81C1F"/>
    <w:rsid w:val="00C825CE"/>
    <w:rsid w:val="00C82A2B"/>
    <w:rsid w:val="00C83AEC"/>
    <w:rsid w:val="00C83FFF"/>
    <w:rsid w:val="00C8417F"/>
    <w:rsid w:val="00C853F3"/>
    <w:rsid w:val="00C859E7"/>
    <w:rsid w:val="00C85A86"/>
    <w:rsid w:val="00C8712C"/>
    <w:rsid w:val="00C90864"/>
    <w:rsid w:val="00C90D3C"/>
    <w:rsid w:val="00C91B15"/>
    <w:rsid w:val="00C91CE5"/>
    <w:rsid w:val="00C91F80"/>
    <w:rsid w:val="00C91FBE"/>
    <w:rsid w:val="00C92476"/>
    <w:rsid w:val="00C92987"/>
    <w:rsid w:val="00C929C1"/>
    <w:rsid w:val="00C92A17"/>
    <w:rsid w:val="00C92BDD"/>
    <w:rsid w:val="00C92E23"/>
    <w:rsid w:val="00C92F97"/>
    <w:rsid w:val="00C93071"/>
    <w:rsid w:val="00C93413"/>
    <w:rsid w:val="00C938D3"/>
    <w:rsid w:val="00C94703"/>
    <w:rsid w:val="00C947B6"/>
    <w:rsid w:val="00C948CF"/>
    <w:rsid w:val="00C948E7"/>
    <w:rsid w:val="00C953EF"/>
    <w:rsid w:val="00C954E0"/>
    <w:rsid w:val="00C95663"/>
    <w:rsid w:val="00C95A47"/>
    <w:rsid w:val="00C95DCA"/>
    <w:rsid w:val="00C96100"/>
    <w:rsid w:val="00C9690F"/>
    <w:rsid w:val="00C96A09"/>
    <w:rsid w:val="00C96AC9"/>
    <w:rsid w:val="00C96AFE"/>
    <w:rsid w:val="00C97032"/>
    <w:rsid w:val="00C9727D"/>
    <w:rsid w:val="00C975B5"/>
    <w:rsid w:val="00CA1A15"/>
    <w:rsid w:val="00CA241E"/>
    <w:rsid w:val="00CA2447"/>
    <w:rsid w:val="00CA2DF9"/>
    <w:rsid w:val="00CA3104"/>
    <w:rsid w:val="00CA32DC"/>
    <w:rsid w:val="00CA36FE"/>
    <w:rsid w:val="00CA375A"/>
    <w:rsid w:val="00CA37EE"/>
    <w:rsid w:val="00CA3D11"/>
    <w:rsid w:val="00CA458A"/>
    <w:rsid w:val="00CA488A"/>
    <w:rsid w:val="00CA4C82"/>
    <w:rsid w:val="00CA4CC5"/>
    <w:rsid w:val="00CA4FB6"/>
    <w:rsid w:val="00CA52C7"/>
    <w:rsid w:val="00CA5515"/>
    <w:rsid w:val="00CA5928"/>
    <w:rsid w:val="00CA5CEB"/>
    <w:rsid w:val="00CA70D6"/>
    <w:rsid w:val="00CA7CFC"/>
    <w:rsid w:val="00CB0259"/>
    <w:rsid w:val="00CB05C0"/>
    <w:rsid w:val="00CB0C68"/>
    <w:rsid w:val="00CB125E"/>
    <w:rsid w:val="00CB135E"/>
    <w:rsid w:val="00CB1A36"/>
    <w:rsid w:val="00CB1D6A"/>
    <w:rsid w:val="00CB200B"/>
    <w:rsid w:val="00CB2203"/>
    <w:rsid w:val="00CB229F"/>
    <w:rsid w:val="00CB25B5"/>
    <w:rsid w:val="00CB32BD"/>
    <w:rsid w:val="00CB3B24"/>
    <w:rsid w:val="00CB3CD2"/>
    <w:rsid w:val="00CB41D9"/>
    <w:rsid w:val="00CB46FF"/>
    <w:rsid w:val="00CB4735"/>
    <w:rsid w:val="00CB48AF"/>
    <w:rsid w:val="00CB52ED"/>
    <w:rsid w:val="00CB5459"/>
    <w:rsid w:val="00CB553E"/>
    <w:rsid w:val="00CB572E"/>
    <w:rsid w:val="00CB632A"/>
    <w:rsid w:val="00CB63B5"/>
    <w:rsid w:val="00CB68E4"/>
    <w:rsid w:val="00CB69D5"/>
    <w:rsid w:val="00CB718D"/>
    <w:rsid w:val="00CB7338"/>
    <w:rsid w:val="00CB766A"/>
    <w:rsid w:val="00CB7DD5"/>
    <w:rsid w:val="00CC0192"/>
    <w:rsid w:val="00CC0252"/>
    <w:rsid w:val="00CC069C"/>
    <w:rsid w:val="00CC07AE"/>
    <w:rsid w:val="00CC1AC2"/>
    <w:rsid w:val="00CC1B3A"/>
    <w:rsid w:val="00CC1B3D"/>
    <w:rsid w:val="00CC1CB2"/>
    <w:rsid w:val="00CC2029"/>
    <w:rsid w:val="00CC269B"/>
    <w:rsid w:val="00CC32E8"/>
    <w:rsid w:val="00CC35D8"/>
    <w:rsid w:val="00CC3C63"/>
    <w:rsid w:val="00CC4E5D"/>
    <w:rsid w:val="00CC50DB"/>
    <w:rsid w:val="00CC5493"/>
    <w:rsid w:val="00CC5DD2"/>
    <w:rsid w:val="00CC6C1C"/>
    <w:rsid w:val="00CC6D5E"/>
    <w:rsid w:val="00CC7E19"/>
    <w:rsid w:val="00CD0859"/>
    <w:rsid w:val="00CD08B3"/>
    <w:rsid w:val="00CD0E23"/>
    <w:rsid w:val="00CD1AFD"/>
    <w:rsid w:val="00CD1C25"/>
    <w:rsid w:val="00CD2143"/>
    <w:rsid w:val="00CD289F"/>
    <w:rsid w:val="00CD2BA8"/>
    <w:rsid w:val="00CD2C2E"/>
    <w:rsid w:val="00CD2EA9"/>
    <w:rsid w:val="00CD3278"/>
    <w:rsid w:val="00CD32B2"/>
    <w:rsid w:val="00CD32CB"/>
    <w:rsid w:val="00CD32D7"/>
    <w:rsid w:val="00CD3B21"/>
    <w:rsid w:val="00CD3E31"/>
    <w:rsid w:val="00CD425E"/>
    <w:rsid w:val="00CD43F1"/>
    <w:rsid w:val="00CD5618"/>
    <w:rsid w:val="00CD56C1"/>
    <w:rsid w:val="00CD5775"/>
    <w:rsid w:val="00CD687D"/>
    <w:rsid w:val="00CD69F2"/>
    <w:rsid w:val="00CD7007"/>
    <w:rsid w:val="00CD7506"/>
    <w:rsid w:val="00CD76BA"/>
    <w:rsid w:val="00CD7707"/>
    <w:rsid w:val="00CD785C"/>
    <w:rsid w:val="00CD7990"/>
    <w:rsid w:val="00CD7E2A"/>
    <w:rsid w:val="00CD7F92"/>
    <w:rsid w:val="00CD7FBE"/>
    <w:rsid w:val="00CE00C0"/>
    <w:rsid w:val="00CE0404"/>
    <w:rsid w:val="00CE068D"/>
    <w:rsid w:val="00CE1980"/>
    <w:rsid w:val="00CE1997"/>
    <w:rsid w:val="00CE1E27"/>
    <w:rsid w:val="00CE23E6"/>
    <w:rsid w:val="00CE27A3"/>
    <w:rsid w:val="00CE2D07"/>
    <w:rsid w:val="00CE329F"/>
    <w:rsid w:val="00CE36B0"/>
    <w:rsid w:val="00CE36C0"/>
    <w:rsid w:val="00CE3940"/>
    <w:rsid w:val="00CE3D9D"/>
    <w:rsid w:val="00CE4566"/>
    <w:rsid w:val="00CE4908"/>
    <w:rsid w:val="00CE59BD"/>
    <w:rsid w:val="00CE60B9"/>
    <w:rsid w:val="00CE619C"/>
    <w:rsid w:val="00CE7086"/>
    <w:rsid w:val="00CE73DE"/>
    <w:rsid w:val="00CE74F6"/>
    <w:rsid w:val="00CE7B0F"/>
    <w:rsid w:val="00CF04EA"/>
    <w:rsid w:val="00CF0863"/>
    <w:rsid w:val="00CF0CB6"/>
    <w:rsid w:val="00CF0D53"/>
    <w:rsid w:val="00CF143C"/>
    <w:rsid w:val="00CF14D8"/>
    <w:rsid w:val="00CF1D41"/>
    <w:rsid w:val="00CF3480"/>
    <w:rsid w:val="00CF378C"/>
    <w:rsid w:val="00CF41B7"/>
    <w:rsid w:val="00CF446F"/>
    <w:rsid w:val="00CF4510"/>
    <w:rsid w:val="00CF4890"/>
    <w:rsid w:val="00CF5018"/>
    <w:rsid w:val="00CF52B2"/>
    <w:rsid w:val="00CF5C07"/>
    <w:rsid w:val="00CF660A"/>
    <w:rsid w:val="00CF6BD1"/>
    <w:rsid w:val="00CF6FF3"/>
    <w:rsid w:val="00CF721C"/>
    <w:rsid w:val="00CF7E10"/>
    <w:rsid w:val="00CFF788"/>
    <w:rsid w:val="00D015D4"/>
    <w:rsid w:val="00D01666"/>
    <w:rsid w:val="00D01C6C"/>
    <w:rsid w:val="00D01CC0"/>
    <w:rsid w:val="00D02CF9"/>
    <w:rsid w:val="00D031FF"/>
    <w:rsid w:val="00D032BA"/>
    <w:rsid w:val="00D03D9A"/>
    <w:rsid w:val="00D042CE"/>
    <w:rsid w:val="00D04603"/>
    <w:rsid w:val="00D0502E"/>
    <w:rsid w:val="00D058DA"/>
    <w:rsid w:val="00D06637"/>
    <w:rsid w:val="00D0708E"/>
    <w:rsid w:val="00D075A1"/>
    <w:rsid w:val="00D0769E"/>
    <w:rsid w:val="00D10516"/>
    <w:rsid w:val="00D10905"/>
    <w:rsid w:val="00D10D00"/>
    <w:rsid w:val="00D10FA4"/>
    <w:rsid w:val="00D1107B"/>
    <w:rsid w:val="00D11807"/>
    <w:rsid w:val="00D11966"/>
    <w:rsid w:val="00D128D9"/>
    <w:rsid w:val="00D12E52"/>
    <w:rsid w:val="00D13084"/>
    <w:rsid w:val="00D141FC"/>
    <w:rsid w:val="00D142C9"/>
    <w:rsid w:val="00D1441F"/>
    <w:rsid w:val="00D15036"/>
    <w:rsid w:val="00D15BDE"/>
    <w:rsid w:val="00D16D53"/>
    <w:rsid w:val="00D16FF6"/>
    <w:rsid w:val="00D179E7"/>
    <w:rsid w:val="00D20381"/>
    <w:rsid w:val="00D205B9"/>
    <w:rsid w:val="00D20899"/>
    <w:rsid w:val="00D20B74"/>
    <w:rsid w:val="00D21A54"/>
    <w:rsid w:val="00D225AC"/>
    <w:rsid w:val="00D23C8A"/>
    <w:rsid w:val="00D2426B"/>
    <w:rsid w:val="00D24A22"/>
    <w:rsid w:val="00D24D36"/>
    <w:rsid w:val="00D253D1"/>
    <w:rsid w:val="00D2565A"/>
    <w:rsid w:val="00D25C34"/>
    <w:rsid w:val="00D27CCA"/>
    <w:rsid w:val="00D304F2"/>
    <w:rsid w:val="00D30684"/>
    <w:rsid w:val="00D307E7"/>
    <w:rsid w:val="00D30924"/>
    <w:rsid w:val="00D30B87"/>
    <w:rsid w:val="00D3104A"/>
    <w:rsid w:val="00D310E6"/>
    <w:rsid w:val="00D31585"/>
    <w:rsid w:val="00D31939"/>
    <w:rsid w:val="00D31DFF"/>
    <w:rsid w:val="00D31E52"/>
    <w:rsid w:val="00D32792"/>
    <w:rsid w:val="00D334DF"/>
    <w:rsid w:val="00D3382E"/>
    <w:rsid w:val="00D344DC"/>
    <w:rsid w:val="00D346FA"/>
    <w:rsid w:val="00D348C2"/>
    <w:rsid w:val="00D34A81"/>
    <w:rsid w:val="00D34AFA"/>
    <w:rsid w:val="00D34EDD"/>
    <w:rsid w:val="00D354E8"/>
    <w:rsid w:val="00D35ADC"/>
    <w:rsid w:val="00D35E99"/>
    <w:rsid w:val="00D36253"/>
    <w:rsid w:val="00D36437"/>
    <w:rsid w:val="00D36630"/>
    <w:rsid w:val="00D3723F"/>
    <w:rsid w:val="00D3760A"/>
    <w:rsid w:val="00D404F7"/>
    <w:rsid w:val="00D40B2B"/>
    <w:rsid w:val="00D41CB8"/>
    <w:rsid w:val="00D41EFD"/>
    <w:rsid w:val="00D41FE3"/>
    <w:rsid w:val="00D430DE"/>
    <w:rsid w:val="00D4316B"/>
    <w:rsid w:val="00D43B4F"/>
    <w:rsid w:val="00D43E99"/>
    <w:rsid w:val="00D444AC"/>
    <w:rsid w:val="00D44798"/>
    <w:rsid w:val="00D4705B"/>
    <w:rsid w:val="00D476A2"/>
    <w:rsid w:val="00D47A53"/>
    <w:rsid w:val="00D47CC2"/>
    <w:rsid w:val="00D502EA"/>
    <w:rsid w:val="00D50E99"/>
    <w:rsid w:val="00D50EE8"/>
    <w:rsid w:val="00D51177"/>
    <w:rsid w:val="00D517DD"/>
    <w:rsid w:val="00D518B4"/>
    <w:rsid w:val="00D518ED"/>
    <w:rsid w:val="00D52D97"/>
    <w:rsid w:val="00D5334E"/>
    <w:rsid w:val="00D535B4"/>
    <w:rsid w:val="00D53C0A"/>
    <w:rsid w:val="00D54A01"/>
    <w:rsid w:val="00D5521C"/>
    <w:rsid w:val="00D55268"/>
    <w:rsid w:val="00D55FAB"/>
    <w:rsid w:val="00D5644F"/>
    <w:rsid w:val="00D56454"/>
    <w:rsid w:val="00D568FA"/>
    <w:rsid w:val="00D56B9E"/>
    <w:rsid w:val="00D56CA7"/>
    <w:rsid w:val="00D570D2"/>
    <w:rsid w:val="00D57200"/>
    <w:rsid w:val="00D57331"/>
    <w:rsid w:val="00D57437"/>
    <w:rsid w:val="00D57E69"/>
    <w:rsid w:val="00D57EE6"/>
    <w:rsid w:val="00D6037C"/>
    <w:rsid w:val="00D60E06"/>
    <w:rsid w:val="00D611FD"/>
    <w:rsid w:val="00D61711"/>
    <w:rsid w:val="00D61FCB"/>
    <w:rsid w:val="00D62058"/>
    <w:rsid w:val="00D62128"/>
    <w:rsid w:val="00D63200"/>
    <w:rsid w:val="00D6343E"/>
    <w:rsid w:val="00D637BD"/>
    <w:rsid w:val="00D64AA9"/>
    <w:rsid w:val="00D64FE1"/>
    <w:rsid w:val="00D65229"/>
    <w:rsid w:val="00D655C2"/>
    <w:rsid w:val="00D65612"/>
    <w:rsid w:val="00D65776"/>
    <w:rsid w:val="00D6580B"/>
    <w:rsid w:val="00D65A04"/>
    <w:rsid w:val="00D65A0D"/>
    <w:rsid w:val="00D66707"/>
    <w:rsid w:val="00D67478"/>
    <w:rsid w:val="00D6794A"/>
    <w:rsid w:val="00D67A36"/>
    <w:rsid w:val="00D67A8B"/>
    <w:rsid w:val="00D67AF8"/>
    <w:rsid w:val="00D6B0A9"/>
    <w:rsid w:val="00D704AC"/>
    <w:rsid w:val="00D706EA"/>
    <w:rsid w:val="00D70E42"/>
    <w:rsid w:val="00D71176"/>
    <w:rsid w:val="00D71544"/>
    <w:rsid w:val="00D71C67"/>
    <w:rsid w:val="00D7289E"/>
    <w:rsid w:val="00D72BBC"/>
    <w:rsid w:val="00D7336A"/>
    <w:rsid w:val="00D73456"/>
    <w:rsid w:val="00D73887"/>
    <w:rsid w:val="00D74B50"/>
    <w:rsid w:val="00D74DEB"/>
    <w:rsid w:val="00D7542C"/>
    <w:rsid w:val="00D754A1"/>
    <w:rsid w:val="00D763CA"/>
    <w:rsid w:val="00D76A46"/>
    <w:rsid w:val="00D76B6F"/>
    <w:rsid w:val="00D775B3"/>
    <w:rsid w:val="00D778E4"/>
    <w:rsid w:val="00D77E63"/>
    <w:rsid w:val="00D77F81"/>
    <w:rsid w:val="00D8038A"/>
    <w:rsid w:val="00D8095F"/>
    <w:rsid w:val="00D809A5"/>
    <w:rsid w:val="00D80EAD"/>
    <w:rsid w:val="00D8105F"/>
    <w:rsid w:val="00D8190B"/>
    <w:rsid w:val="00D81BED"/>
    <w:rsid w:val="00D82786"/>
    <w:rsid w:val="00D8292C"/>
    <w:rsid w:val="00D82934"/>
    <w:rsid w:val="00D82B69"/>
    <w:rsid w:val="00D82FFE"/>
    <w:rsid w:val="00D83672"/>
    <w:rsid w:val="00D84BA9"/>
    <w:rsid w:val="00D85C49"/>
    <w:rsid w:val="00D85D84"/>
    <w:rsid w:val="00D864EB"/>
    <w:rsid w:val="00D867B9"/>
    <w:rsid w:val="00D86C07"/>
    <w:rsid w:val="00D87C5E"/>
    <w:rsid w:val="00D9001B"/>
    <w:rsid w:val="00D901AC"/>
    <w:rsid w:val="00D9240D"/>
    <w:rsid w:val="00D926E9"/>
    <w:rsid w:val="00D92A83"/>
    <w:rsid w:val="00D93720"/>
    <w:rsid w:val="00D93964"/>
    <w:rsid w:val="00D93E38"/>
    <w:rsid w:val="00D94C66"/>
    <w:rsid w:val="00D95A64"/>
    <w:rsid w:val="00D96175"/>
    <w:rsid w:val="00D964E5"/>
    <w:rsid w:val="00D96A50"/>
    <w:rsid w:val="00D96B12"/>
    <w:rsid w:val="00D97A10"/>
    <w:rsid w:val="00D97E30"/>
    <w:rsid w:val="00DA0903"/>
    <w:rsid w:val="00DA0CF1"/>
    <w:rsid w:val="00DA108E"/>
    <w:rsid w:val="00DA14AF"/>
    <w:rsid w:val="00DA1DBA"/>
    <w:rsid w:val="00DA2E0E"/>
    <w:rsid w:val="00DA3268"/>
    <w:rsid w:val="00DA3755"/>
    <w:rsid w:val="00DA3E1E"/>
    <w:rsid w:val="00DA4EB5"/>
    <w:rsid w:val="00DA5306"/>
    <w:rsid w:val="00DA5EA0"/>
    <w:rsid w:val="00DA638B"/>
    <w:rsid w:val="00DA6980"/>
    <w:rsid w:val="00DA6D09"/>
    <w:rsid w:val="00DA78E7"/>
    <w:rsid w:val="00DB03FE"/>
    <w:rsid w:val="00DB04A8"/>
    <w:rsid w:val="00DB0525"/>
    <w:rsid w:val="00DB09D2"/>
    <w:rsid w:val="00DB2F13"/>
    <w:rsid w:val="00DB396F"/>
    <w:rsid w:val="00DB3BA8"/>
    <w:rsid w:val="00DB41F6"/>
    <w:rsid w:val="00DB44B9"/>
    <w:rsid w:val="00DB4EE1"/>
    <w:rsid w:val="00DB536A"/>
    <w:rsid w:val="00DB5BD2"/>
    <w:rsid w:val="00DB5BD7"/>
    <w:rsid w:val="00DB5E02"/>
    <w:rsid w:val="00DB63B9"/>
    <w:rsid w:val="00DB64AE"/>
    <w:rsid w:val="00DB653A"/>
    <w:rsid w:val="00DB7366"/>
    <w:rsid w:val="00DB76A0"/>
    <w:rsid w:val="00DB797A"/>
    <w:rsid w:val="00DB7E11"/>
    <w:rsid w:val="00DC008E"/>
    <w:rsid w:val="00DC0241"/>
    <w:rsid w:val="00DC0C68"/>
    <w:rsid w:val="00DC0F0C"/>
    <w:rsid w:val="00DC101A"/>
    <w:rsid w:val="00DC2215"/>
    <w:rsid w:val="00DC2227"/>
    <w:rsid w:val="00DC22AE"/>
    <w:rsid w:val="00DC2638"/>
    <w:rsid w:val="00DC2989"/>
    <w:rsid w:val="00DC3549"/>
    <w:rsid w:val="00DC36F9"/>
    <w:rsid w:val="00DC3AF8"/>
    <w:rsid w:val="00DC4E06"/>
    <w:rsid w:val="00DC4FE8"/>
    <w:rsid w:val="00DC51D8"/>
    <w:rsid w:val="00DC5711"/>
    <w:rsid w:val="00DC621F"/>
    <w:rsid w:val="00DC7167"/>
    <w:rsid w:val="00DC7611"/>
    <w:rsid w:val="00DC7863"/>
    <w:rsid w:val="00DC7973"/>
    <w:rsid w:val="00DD04C3"/>
    <w:rsid w:val="00DD0CA8"/>
    <w:rsid w:val="00DD0F04"/>
    <w:rsid w:val="00DD16DF"/>
    <w:rsid w:val="00DD1B01"/>
    <w:rsid w:val="00DD1DCA"/>
    <w:rsid w:val="00DD2188"/>
    <w:rsid w:val="00DD2741"/>
    <w:rsid w:val="00DD2B1F"/>
    <w:rsid w:val="00DD2FE8"/>
    <w:rsid w:val="00DD30E5"/>
    <w:rsid w:val="00DD3A6A"/>
    <w:rsid w:val="00DD3C4F"/>
    <w:rsid w:val="00DD3CCF"/>
    <w:rsid w:val="00DD40D0"/>
    <w:rsid w:val="00DD4391"/>
    <w:rsid w:val="00DD448B"/>
    <w:rsid w:val="00DD4934"/>
    <w:rsid w:val="00DD4B4E"/>
    <w:rsid w:val="00DD516B"/>
    <w:rsid w:val="00DD62B8"/>
    <w:rsid w:val="00DD689B"/>
    <w:rsid w:val="00DD6C02"/>
    <w:rsid w:val="00DE037C"/>
    <w:rsid w:val="00DE03EA"/>
    <w:rsid w:val="00DE0574"/>
    <w:rsid w:val="00DE067A"/>
    <w:rsid w:val="00DE087B"/>
    <w:rsid w:val="00DE1215"/>
    <w:rsid w:val="00DE143F"/>
    <w:rsid w:val="00DE15BE"/>
    <w:rsid w:val="00DE16BB"/>
    <w:rsid w:val="00DE1A9E"/>
    <w:rsid w:val="00DE1AA6"/>
    <w:rsid w:val="00DE1E43"/>
    <w:rsid w:val="00DE2065"/>
    <w:rsid w:val="00DE2166"/>
    <w:rsid w:val="00DE2235"/>
    <w:rsid w:val="00DE2868"/>
    <w:rsid w:val="00DE2872"/>
    <w:rsid w:val="00DE293E"/>
    <w:rsid w:val="00DE2A99"/>
    <w:rsid w:val="00DE31DB"/>
    <w:rsid w:val="00DE43C0"/>
    <w:rsid w:val="00DE47FF"/>
    <w:rsid w:val="00DE4C8B"/>
    <w:rsid w:val="00DE4E1B"/>
    <w:rsid w:val="00DE5B72"/>
    <w:rsid w:val="00DE5DF8"/>
    <w:rsid w:val="00DE623F"/>
    <w:rsid w:val="00DE62B6"/>
    <w:rsid w:val="00DE6838"/>
    <w:rsid w:val="00DE6957"/>
    <w:rsid w:val="00DF0095"/>
    <w:rsid w:val="00DF049F"/>
    <w:rsid w:val="00DF1067"/>
    <w:rsid w:val="00DF11D1"/>
    <w:rsid w:val="00DF171F"/>
    <w:rsid w:val="00DF1AD8"/>
    <w:rsid w:val="00DF212C"/>
    <w:rsid w:val="00DF21B7"/>
    <w:rsid w:val="00DF288F"/>
    <w:rsid w:val="00DF2EEC"/>
    <w:rsid w:val="00DF2EF0"/>
    <w:rsid w:val="00DF3E2C"/>
    <w:rsid w:val="00DF4721"/>
    <w:rsid w:val="00DF5026"/>
    <w:rsid w:val="00DF53F1"/>
    <w:rsid w:val="00DF58F9"/>
    <w:rsid w:val="00DF5D91"/>
    <w:rsid w:val="00DF5DBF"/>
    <w:rsid w:val="00DF6330"/>
    <w:rsid w:val="00DF6E7E"/>
    <w:rsid w:val="00DF72FD"/>
    <w:rsid w:val="00DF7CC3"/>
    <w:rsid w:val="00DF7FC2"/>
    <w:rsid w:val="00E005C7"/>
    <w:rsid w:val="00E0069B"/>
    <w:rsid w:val="00E008FA"/>
    <w:rsid w:val="00E00C9D"/>
    <w:rsid w:val="00E01F5B"/>
    <w:rsid w:val="00E0330E"/>
    <w:rsid w:val="00E03D1B"/>
    <w:rsid w:val="00E041F0"/>
    <w:rsid w:val="00E0430F"/>
    <w:rsid w:val="00E044AF"/>
    <w:rsid w:val="00E0506F"/>
    <w:rsid w:val="00E05AE4"/>
    <w:rsid w:val="00E0644B"/>
    <w:rsid w:val="00E075D0"/>
    <w:rsid w:val="00E07A52"/>
    <w:rsid w:val="00E07AEB"/>
    <w:rsid w:val="00E1002E"/>
    <w:rsid w:val="00E1046A"/>
    <w:rsid w:val="00E10AA4"/>
    <w:rsid w:val="00E1154B"/>
    <w:rsid w:val="00E11D56"/>
    <w:rsid w:val="00E13566"/>
    <w:rsid w:val="00E13E84"/>
    <w:rsid w:val="00E14620"/>
    <w:rsid w:val="00E146E9"/>
    <w:rsid w:val="00E148F2"/>
    <w:rsid w:val="00E150E7"/>
    <w:rsid w:val="00E152BD"/>
    <w:rsid w:val="00E156CD"/>
    <w:rsid w:val="00E1596E"/>
    <w:rsid w:val="00E15A68"/>
    <w:rsid w:val="00E172D3"/>
    <w:rsid w:val="00E1759B"/>
    <w:rsid w:val="00E17B89"/>
    <w:rsid w:val="00E20145"/>
    <w:rsid w:val="00E20667"/>
    <w:rsid w:val="00E20C62"/>
    <w:rsid w:val="00E20CC7"/>
    <w:rsid w:val="00E20FD6"/>
    <w:rsid w:val="00E21221"/>
    <w:rsid w:val="00E21232"/>
    <w:rsid w:val="00E21A13"/>
    <w:rsid w:val="00E21BB8"/>
    <w:rsid w:val="00E21E97"/>
    <w:rsid w:val="00E21EBD"/>
    <w:rsid w:val="00E225FB"/>
    <w:rsid w:val="00E23741"/>
    <w:rsid w:val="00E23CD3"/>
    <w:rsid w:val="00E24901"/>
    <w:rsid w:val="00E24EE1"/>
    <w:rsid w:val="00E2588D"/>
    <w:rsid w:val="00E25898"/>
    <w:rsid w:val="00E25DD4"/>
    <w:rsid w:val="00E26B2F"/>
    <w:rsid w:val="00E26BD3"/>
    <w:rsid w:val="00E270BD"/>
    <w:rsid w:val="00E27FB4"/>
    <w:rsid w:val="00E30405"/>
    <w:rsid w:val="00E305F5"/>
    <w:rsid w:val="00E30C73"/>
    <w:rsid w:val="00E30C88"/>
    <w:rsid w:val="00E31140"/>
    <w:rsid w:val="00E31A2C"/>
    <w:rsid w:val="00E333DE"/>
    <w:rsid w:val="00E33A7F"/>
    <w:rsid w:val="00E33D47"/>
    <w:rsid w:val="00E33DB7"/>
    <w:rsid w:val="00E3415B"/>
    <w:rsid w:val="00E34DE7"/>
    <w:rsid w:val="00E35A14"/>
    <w:rsid w:val="00E35E78"/>
    <w:rsid w:val="00E35F5C"/>
    <w:rsid w:val="00E36100"/>
    <w:rsid w:val="00E36544"/>
    <w:rsid w:val="00E367F7"/>
    <w:rsid w:val="00E36D94"/>
    <w:rsid w:val="00E36ECB"/>
    <w:rsid w:val="00E37421"/>
    <w:rsid w:val="00E37576"/>
    <w:rsid w:val="00E40320"/>
    <w:rsid w:val="00E40537"/>
    <w:rsid w:val="00E40B41"/>
    <w:rsid w:val="00E410EA"/>
    <w:rsid w:val="00E417A6"/>
    <w:rsid w:val="00E41B1C"/>
    <w:rsid w:val="00E41E6A"/>
    <w:rsid w:val="00E42343"/>
    <w:rsid w:val="00E42492"/>
    <w:rsid w:val="00E4249A"/>
    <w:rsid w:val="00E42524"/>
    <w:rsid w:val="00E43ADD"/>
    <w:rsid w:val="00E43C5F"/>
    <w:rsid w:val="00E43F9F"/>
    <w:rsid w:val="00E44604"/>
    <w:rsid w:val="00E44F41"/>
    <w:rsid w:val="00E45A75"/>
    <w:rsid w:val="00E4687B"/>
    <w:rsid w:val="00E472C7"/>
    <w:rsid w:val="00E50168"/>
    <w:rsid w:val="00E50241"/>
    <w:rsid w:val="00E505CF"/>
    <w:rsid w:val="00E505ED"/>
    <w:rsid w:val="00E50910"/>
    <w:rsid w:val="00E528C4"/>
    <w:rsid w:val="00E531D0"/>
    <w:rsid w:val="00E531F3"/>
    <w:rsid w:val="00E53FC7"/>
    <w:rsid w:val="00E5479C"/>
    <w:rsid w:val="00E5487A"/>
    <w:rsid w:val="00E54B3F"/>
    <w:rsid w:val="00E55049"/>
    <w:rsid w:val="00E55095"/>
    <w:rsid w:val="00E55215"/>
    <w:rsid w:val="00E5567B"/>
    <w:rsid w:val="00E5570E"/>
    <w:rsid w:val="00E5699D"/>
    <w:rsid w:val="00E56ADD"/>
    <w:rsid w:val="00E60198"/>
    <w:rsid w:val="00E60477"/>
    <w:rsid w:val="00E6066C"/>
    <w:rsid w:val="00E6089E"/>
    <w:rsid w:val="00E6103B"/>
    <w:rsid w:val="00E6144E"/>
    <w:rsid w:val="00E619A0"/>
    <w:rsid w:val="00E61DE2"/>
    <w:rsid w:val="00E61F14"/>
    <w:rsid w:val="00E622F4"/>
    <w:rsid w:val="00E62323"/>
    <w:rsid w:val="00E62AAD"/>
    <w:rsid w:val="00E62DB1"/>
    <w:rsid w:val="00E62F26"/>
    <w:rsid w:val="00E63B4D"/>
    <w:rsid w:val="00E6463B"/>
    <w:rsid w:val="00E64A69"/>
    <w:rsid w:val="00E64B31"/>
    <w:rsid w:val="00E64E33"/>
    <w:rsid w:val="00E64ED0"/>
    <w:rsid w:val="00E64FED"/>
    <w:rsid w:val="00E65295"/>
    <w:rsid w:val="00E66B9C"/>
    <w:rsid w:val="00E66E2B"/>
    <w:rsid w:val="00E67301"/>
    <w:rsid w:val="00E675D9"/>
    <w:rsid w:val="00E70163"/>
    <w:rsid w:val="00E70E68"/>
    <w:rsid w:val="00E71121"/>
    <w:rsid w:val="00E71166"/>
    <w:rsid w:val="00E71D2F"/>
    <w:rsid w:val="00E72263"/>
    <w:rsid w:val="00E72402"/>
    <w:rsid w:val="00E729E9"/>
    <w:rsid w:val="00E72AFE"/>
    <w:rsid w:val="00E734B7"/>
    <w:rsid w:val="00E740A7"/>
    <w:rsid w:val="00E74C76"/>
    <w:rsid w:val="00E74FEC"/>
    <w:rsid w:val="00E758AE"/>
    <w:rsid w:val="00E75C5A"/>
    <w:rsid w:val="00E75D64"/>
    <w:rsid w:val="00E772B5"/>
    <w:rsid w:val="00E773C3"/>
    <w:rsid w:val="00E775A8"/>
    <w:rsid w:val="00E7788E"/>
    <w:rsid w:val="00E7793A"/>
    <w:rsid w:val="00E8040C"/>
    <w:rsid w:val="00E809C3"/>
    <w:rsid w:val="00E80BFA"/>
    <w:rsid w:val="00E80EC3"/>
    <w:rsid w:val="00E811C1"/>
    <w:rsid w:val="00E815C9"/>
    <w:rsid w:val="00E8200C"/>
    <w:rsid w:val="00E835C3"/>
    <w:rsid w:val="00E83D6C"/>
    <w:rsid w:val="00E84458"/>
    <w:rsid w:val="00E8445F"/>
    <w:rsid w:val="00E84805"/>
    <w:rsid w:val="00E850A5"/>
    <w:rsid w:val="00E852B1"/>
    <w:rsid w:val="00E8577E"/>
    <w:rsid w:val="00E85C54"/>
    <w:rsid w:val="00E85D25"/>
    <w:rsid w:val="00E85ED2"/>
    <w:rsid w:val="00E85F2B"/>
    <w:rsid w:val="00E861F1"/>
    <w:rsid w:val="00E86250"/>
    <w:rsid w:val="00E86D5A"/>
    <w:rsid w:val="00E86ECD"/>
    <w:rsid w:val="00E87A4E"/>
    <w:rsid w:val="00E87B70"/>
    <w:rsid w:val="00E87E7F"/>
    <w:rsid w:val="00E91A8C"/>
    <w:rsid w:val="00E91C4B"/>
    <w:rsid w:val="00E9209E"/>
    <w:rsid w:val="00E9270A"/>
    <w:rsid w:val="00E92779"/>
    <w:rsid w:val="00E927F7"/>
    <w:rsid w:val="00E9285B"/>
    <w:rsid w:val="00E92A76"/>
    <w:rsid w:val="00E92FE8"/>
    <w:rsid w:val="00E932F9"/>
    <w:rsid w:val="00E947A8"/>
    <w:rsid w:val="00E951A5"/>
    <w:rsid w:val="00E95E33"/>
    <w:rsid w:val="00E95F81"/>
    <w:rsid w:val="00E96006"/>
    <w:rsid w:val="00E9612F"/>
    <w:rsid w:val="00E963B8"/>
    <w:rsid w:val="00E972AB"/>
    <w:rsid w:val="00E97680"/>
    <w:rsid w:val="00E976EB"/>
    <w:rsid w:val="00E97AFF"/>
    <w:rsid w:val="00EA01C2"/>
    <w:rsid w:val="00EA1285"/>
    <w:rsid w:val="00EA1505"/>
    <w:rsid w:val="00EA162E"/>
    <w:rsid w:val="00EA1B36"/>
    <w:rsid w:val="00EA1F0C"/>
    <w:rsid w:val="00EA1FD7"/>
    <w:rsid w:val="00EA38FA"/>
    <w:rsid w:val="00EA397E"/>
    <w:rsid w:val="00EA3C08"/>
    <w:rsid w:val="00EA4C27"/>
    <w:rsid w:val="00EA6592"/>
    <w:rsid w:val="00EA6AEC"/>
    <w:rsid w:val="00EA72F0"/>
    <w:rsid w:val="00EA7967"/>
    <w:rsid w:val="00EA7A58"/>
    <w:rsid w:val="00EA7BCD"/>
    <w:rsid w:val="00EB09E1"/>
    <w:rsid w:val="00EB0D72"/>
    <w:rsid w:val="00EB0DFE"/>
    <w:rsid w:val="00EB105A"/>
    <w:rsid w:val="00EB1D98"/>
    <w:rsid w:val="00EB220E"/>
    <w:rsid w:val="00EB2AC6"/>
    <w:rsid w:val="00EB30DC"/>
    <w:rsid w:val="00EB32CD"/>
    <w:rsid w:val="00EB3311"/>
    <w:rsid w:val="00EB36C0"/>
    <w:rsid w:val="00EB370A"/>
    <w:rsid w:val="00EB3A76"/>
    <w:rsid w:val="00EB428E"/>
    <w:rsid w:val="00EB5EBC"/>
    <w:rsid w:val="00EB6214"/>
    <w:rsid w:val="00EB6B8F"/>
    <w:rsid w:val="00EB72BF"/>
    <w:rsid w:val="00EC089F"/>
    <w:rsid w:val="00EC36E6"/>
    <w:rsid w:val="00EC3737"/>
    <w:rsid w:val="00EC3F4F"/>
    <w:rsid w:val="00EC40D5"/>
    <w:rsid w:val="00EC462E"/>
    <w:rsid w:val="00EC46A9"/>
    <w:rsid w:val="00EC4984"/>
    <w:rsid w:val="00EC5DB8"/>
    <w:rsid w:val="00EC6088"/>
    <w:rsid w:val="00EC626E"/>
    <w:rsid w:val="00EC6A19"/>
    <w:rsid w:val="00EC6DFD"/>
    <w:rsid w:val="00EC6E36"/>
    <w:rsid w:val="00EC75C4"/>
    <w:rsid w:val="00EC7B12"/>
    <w:rsid w:val="00EC7B19"/>
    <w:rsid w:val="00EC7BBD"/>
    <w:rsid w:val="00ECC653"/>
    <w:rsid w:val="00ED0135"/>
    <w:rsid w:val="00ED05D1"/>
    <w:rsid w:val="00ED1088"/>
    <w:rsid w:val="00ED12A6"/>
    <w:rsid w:val="00ED169C"/>
    <w:rsid w:val="00ED20DD"/>
    <w:rsid w:val="00ED283C"/>
    <w:rsid w:val="00ED32E2"/>
    <w:rsid w:val="00ED369E"/>
    <w:rsid w:val="00ED3B25"/>
    <w:rsid w:val="00ED3E5B"/>
    <w:rsid w:val="00ED42CC"/>
    <w:rsid w:val="00ED49D7"/>
    <w:rsid w:val="00ED4DFC"/>
    <w:rsid w:val="00ED4EAE"/>
    <w:rsid w:val="00ED59B0"/>
    <w:rsid w:val="00ED5D9B"/>
    <w:rsid w:val="00ED705D"/>
    <w:rsid w:val="00ED7264"/>
    <w:rsid w:val="00ED7783"/>
    <w:rsid w:val="00ED7A6A"/>
    <w:rsid w:val="00EE02BA"/>
    <w:rsid w:val="00EE07D7"/>
    <w:rsid w:val="00EE09CA"/>
    <w:rsid w:val="00EE0DF6"/>
    <w:rsid w:val="00EE0E80"/>
    <w:rsid w:val="00EE15BE"/>
    <w:rsid w:val="00EE18F0"/>
    <w:rsid w:val="00EE1E78"/>
    <w:rsid w:val="00EE24DA"/>
    <w:rsid w:val="00EE2AF3"/>
    <w:rsid w:val="00EE319C"/>
    <w:rsid w:val="00EE31B5"/>
    <w:rsid w:val="00EE3432"/>
    <w:rsid w:val="00EE3655"/>
    <w:rsid w:val="00EE3A10"/>
    <w:rsid w:val="00EE438E"/>
    <w:rsid w:val="00EE48F8"/>
    <w:rsid w:val="00EE50CF"/>
    <w:rsid w:val="00EE521E"/>
    <w:rsid w:val="00EE5855"/>
    <w:rsid w:val="00EE5C21"/>
    <w:rsid w:val="00EE6037"/>
    <w:rsid w:val="00EE6271"/>
    <w:rsid w:val="00EE653D"/>
    <w:rsid w:val="00EE6E12"/>
    <w:rsid w:val="00EE7880"/>
    <w:rsid w:val="00EE7AB9"/>
    <w:rsid w:val="00EF01A8"/>
    <w:rsid w:val="00EF09BB"/>
    <w:rsid w:val="00EF1C8B"/>
    <w:rsid w:val="00EF1D6A"/>
    <w:rsid w:val="00EF2255"/>
    <w:rsid w:val="00EF23CE"/>
    <w:rsid w:val="00EF24F1"/>
    <w:rsid w:val="00EF2982"/>
    <w:rsid w:val="00EF3049"/>
    <w:rsid w:val="00EF3529"/>
    <w:rsid w:val="00EF3788"/>
    <w:rsid w:val="00EF3F1D"/>
    <w:rsid w:val="00EF45E6"/>
    <w:rsid w:val="00EF466E"/>
    <w:rsid w:val="00EF496C"/>
    <w:rsid w:val="00EF50C4"/>
    <w:rsid w:val="00EF5CB7"/>
    <w:rsid w:val="00EF5EAF"/>
    <w:rsid w:val="00EF6462"/>
    <w:rsid w:val="00EF7F3C"/>
    <w:rsid w:val="00F002C2"/>
    <w:rsid w:val="00F00B30"/>
    <w:rsid w:val="00F00BDF"/>
    <w:rsid w:val="00F00D7E"/>
    <w:rsid w:val="00F01784"/>
    <w:rsid w:val="00F01920"/>
    <w:rsid w:val="00F01CA3"/>
    <w:rsid w:val="00F02112"/>
    <w:rsid w:val="00F0216C"/>
    <w:rsid w:val="00F022D3"/>
    <w:rsid w:val="00F024BD"/>
    <w:rsid w:val="00F02778"/>
    <w:rsid w:val="00F03715"/>
    <w:rsid w:val="00F037D4"/>
    <w:rsid w:val="00F03ADA"/>
    <w:rsid w:val="00F046C2"/>
    <w:rsid w:val="00F047F7"/>
    <w:rsid w:val="00F04841"/>
    <w:rsid w:val="00F04BB2"/>
    <w:rsid w:val="00F05374"/>
    <w:rsid w:val="00F05A65"/>
    <w:rsid w:val="00F05A92"/>
    <w:rsid w:val="00F063B8"/>
    <w:rsid w:val="00F065FD"/>
    <w:rsid w:val="00F06E49"/>
    <w:rsid w:val="00F078DD"/>
    <w:rsid w:val="00F07FA7"/>
    <w:rsid w:val="00F11047"/>
    <w:rsid w:val="00F119E4"/>
    <w:rsid w:val="00F1214E"/>
    <w:rsid w:val="00F1271C"/>
    <w:rsid w:val="00F13181"/>
    <w:rsid w:val="00F136B3"/>
    <w:rsid w:val="00F146D4"/>
    <w:rsid w:val="00F14E0F"/>
    <w:rsid w:val="00F14EB3"/>
    <w:rsid w:val="00F15965"/>
    <w:rsid w:val="00F16B87"/>
    <w:rsid w:val="00F17058"/>
    <w:rsid w:val="00F174E4"/>
    <w:rsid w:val="00F17519"/>
    <w:rsid w:val="00F17702"/>
    <w:rsid w:val="00F17B35"/>
    <w:rsid w:val="00F20846"/>
    <w:rsid w:val="00F21B74"/>
    <w:rsid w:val="00F21B96"/>
    <w:rsid w:val="00F224D7"/>
    <w:rsid w:val="00F2285E"/>
    <w:rsid w:val="00F2388B"/>
    <w:rsid w:val="00F24017"/>
    <w:rsid w:val="00F24CFD"/>
    <w:rsid w:val="00F25ED6"/>
    <w:rsid w:val="00F26045"/>
    <w:rsid w:val="00F260DF"/>
    <w:rsid w:val="00F26424"/>
    <w:rsid w:val="00F26805"/>
    <w:rsid w:val="00F26D57"/>
    <w:rsid w:val="00F27853"/>
    <w:rsid w:val="00F27AE0"/>
    <w:rsid w:val="00F27B21"/>
    <w:rsid w:val="00F27DC6"/>
    <w:rsid w:val="00F30899"/>
    <w:rsid w:val="00F309C8"/>
    <w:rsid w:val="00F30D75"/>
    <w:rsid w:val="00F310B4"/>
    <w:rsid w:val="00F310FD"/>
    <w:rsid w:val="00F325E4"/>
    <w:rsid w:val="00F32892"/>
    <w:rsid w:val="00F3290E"/>
    <w:rsid w:val="00F338A4"/>
    <w:rsid w:val="00F33C69"/>
    <w:rsid w:val="00F35217"/>
    <w:rsid w:val="00F35AA8"/>
    <w:rsid w:val="00F35F5E"/>
    <w:rsid w:val="00F35FA9"/>
    <w:rsid w:val="00F368F8"/>
    <w:rsid w:val="00F36C1C"/>
    <w:rsid w:val="00F374FE"/>
    <w:rsid w:val="00F37D45"/>
    <w:rsid w:val="00F4049E"/>
    <w:rsid w:val="00F404FD"/>
    <w:rsid w:val="00F40931"/>
    <w:rsid w:val="00F409B6"/>
    <w:rsid w:val="00F40B11"/>
    <w:rsid w:val="00F40F8A"/>
    <w:rsid w:val="00F42580"/>
    <w:rsid w:val="00F43060"/>
    <w:rsid w:val="00F430BE"/>
    <w:rsid w:val="00F435D0"/>
    <w:rsid w:val="00F43CD8"/>
    <w:rsid w:val="00F43FB5"/>
    <w:rsid w:val="00F441FE"/>
    <w:rsid w:val="00F442EF"/>
    <w:rsid w:val="00F457F9"/>
    <w:rsid w:val="00F45FF5"/>
    <w:rsid w:val="00F46077"/>
    <w:rsid w:val="00F46081"/>
    <w:rsid w:val="00F4684C"/>
    <w:rsid w:val="00F46ACD"/>
    <w:rsid w:val="00F4713C"/>
    <w:rsid w:val="00F473DA"/>
    <w:rsid w:val="00F47692"/>
    <w:rsid w:val="00F50A1C"/>
    <w:rsid w:val="00F50E69"/>
    <w:rsid w:val="00F50EE6"/>
    <w:rsid w:val="00F516EA"/>
    <w:rsid w:val="00F52136"/>
    <w:rsid w:val="00F52227"/>
    <w:rsid w:val="00F53AB5"/>
    <w:rsid w:val="00F556F7"/>
    <w:rsid w:val="00F560A1"/>
    <w:rsid w:val="00F56713"/>
    <w:rsid w:val="00F567E8"/>
    <w:rsid w:val="00F56E39"/>
    <w:rsid w:val="00F57201"/>
    <w:rsid w:val="00F5723E"/>
    <w:rsid w:val="00F576A5"/>
    <w:rsid w:val="00F579B0"/>
    <w:rsid w:val="00F60238"/>
    <w:rsid w:val="00F6035A"/>
    <w:rsid w:val="00F6106C"/>
    <w:rsid w:val="00F61C23"/>
    <w:rsid w:val="00F6214A"/>
    <w:rsid w:val="00F6220A"/>
    <w:rsid w:val="00F62349"/>
    <w:rsid w:val="00F62D87"/>
    <w:rsid w:val="00F637D7"/>
    <w:rsid w:val="00F63A75"/>
    <w:rsid w:val="00F63B54"/>
    <w:rsid w:val="00F64ACF"/>
    <w:rsid w:val="00F6577C"/>
    <w:rsid w:val="00F65C3D"/>
    <w:rsid w:val="00F65D49"/>
    <w:rsid w:val="00F663C3"/>
    <w:rsid w:val="00F664AD"/>
    <w:rsid w:val="00F66C64"/>
    <w:rsid w:val="00F67602"/>
    <w:rsid w:val="00F67606"/>
    <w:rsid w:val="00F67D06"/>
    <w:rsid w:val="00F67DD6"/>
    <w:rsid w:val="00F67EA1"/>
    <w:rsid w:val="00F67F33"/>
    <w:rsid w:val="00F706F5"/>
    <w:rsid w:val="00F70C1E"/>
    <w:rsid w:val="00F70EF8"/>
    <w:rsid w:val="00F7157D"/>
    <w:rsid w:val="00F72891"/>
    <w:rsid w:val="00F728DB"/>
    <w:rsid w:val="00F7291A"/>
    <w:rsid w:val="00F72C53"/>
    <w:rsid w:val="00F73360"/>
    <w:rsid w:val="00F73814"/>
    <w:rsid w:val="00F73834"/>
    <w:rsid w:val="00F7388B"/>
    <w:rsid w:val="00F73B8C"/>
    <w:rsid w:val="00F74613"/>
    <w:rsid w:val="00F75429"/>
    <w:rsid w:val="00F759F5"/>
    <w:rsid w:val="00F75FEE"/>
    <w:rsid w:val="00F7623E"/>
    <w:rsid w:val="00F772A8"/>
    <w:rsid w:val="00F803C9"/>
    <w:rsid w:val="00F80508"/>
    <w:rsid w:val="00F8086B"/>
    <w:rsid w:val="00F80953"/>
    <w:rsid w:val="00F80AD0"/>
    <w:rsid w:val="00F81091"/>
    <w:rsid w:val="00F819FF"/>
    <w:rsid w:val="00F81AB8"/>
    <w:rsid w:val="00F81CE2"/>
    <w:rsid w:val="00F81E7F"/>
    <w:rsid w:val="00F81E9D"/>
    <w:rsid w:val="00F82213"/>
    <w:rsid w:val="00F822C8"/>
    <w:rsid w:val="00F82790"/>
    <w:rsid w:val="00F82E6C"/>
    <w:rsid w:val="00F831EE"/>
    <w:rsid w:val="00F836D1"/>
    <w:rsid w:val="00F84BA8"/>
    <w:rsid w:val="00F84BCC"/>
    <w:rsid w:val="00F84DB0"/>
    <w:rsid w:val="00F84E45"/>
    <w:rsid w:val="00F853AE"/>
    <w:rsid w:val="00F85AF4"/>
    <w:rsid w:val="00F85CD9"/>
    <w:rsid w:val="00F85DF5"/>
    <w:rsid w:val="00F85FB0"/>
    <w:rsid w:val="00F8699D"/>
    <w:rsid w:val="00F86E1C"/>
    <w:rsid w:val="00F86F3D"/>
    <w:rsid w:val="00F871A0"/>
    <w:rsid w:val="00F87383"/>
    <w:rsid w:val="00F9055E"/>
    <w:rsid w:val="00F90CBF"/>
    <w:rsid w:val="00F90FA2"/>
    <w:rsid w:val="00F914FA"/>
    <w:rsid w:val="00F91572"/>
    <w:rsid w:val="00F91579"/>
    <w:rsid w:val="00F91878"/>
    <w:rsid w:val="00F919E6"/>
    <w:rsid w:val="00F93098"/>
    <w:rsid w:val="00F93159"/>
    <w:rsid w:val="00F936A1"/>
    <w:rsid w:val="00F93A5B"/>
    <w:rsid w:val="00F93C77"/>
    <w:rsid w:val="00F9428F"/>
    <w:rsid w:val="00F94C5F"/>
    <w:rsid w:val="00F9585B"/>
    <w:rsid w:val="00F95A2E"/>
    <w:rsid w:val="00F9616B"/>
    <w:rsid w:val="00F961B1"/>
    <w:rsid w:val="00F961DA"/>
    <w:rsid w:val="00F9639A"/>
    <w:rsid w:val="00F96776"/>
    <w:rsid w:val="00F96B45"/>
    <w:rsid w:val="00F96BC4"/>
    <w:rsid w:val="00F96FA6"/>
    <w:rsid w:val="00F97878"/>
    <w:rsid w:val="00F979B0"/>
    <w:rsid w:val="00FA0193"/>
    <w:rsid w:val="00FA01FD"/>
    <w:rsid w:val="00FA0336"/>
    <w:rsid w:val="00FA03CD"/>
    <w:rsid w:val="00FA0623"/>
    <w:rsid w:val="00FA065E"/>
    <w:rsid w:val="00FA0B32"/>
    <w:rsid w:val="00FA165E"/>
    <w:rsid w:val="00FA174C"/>
    <w:rsid w:val="00FA1949"/>
    <w:rsid w:val="00FA1960"/>
    <w:rsid w:val="00FA33F4"/>
    <w:rsid w:val="00FA39C7"/>
    <w:rsid w:val="00FA479E"/>
    <w:rsid w:val="00FA5ACF"/>
    <w:rsid w:val="00FA5C64"/>
    <w:rsid w:val="00FA651E"/>
    <w:rsid w:val="00FA6FC4"/>
    <w:rsid w:val="00FA7C6A"/>
    <w:rsid w:val="00FB039F"/>
    <w:rsid w:val="00FB0AA1"/>
    <w:rsid w:val="00FB0F49"/>
    <w:rsid w:val="00FB1B7E"/>
    <w:rsid w:val="00FB20BF"/>
    <w:rsid w:val="00FB27DD"/>
    <w:rsid w:val="00FB2941"/>
    <w:rsid w:val="00FB3A37"/>
    <w:rsid w:val="00FB3A6A"/>
    <w:rsid w:val="00FB5731"/>
    <w:rsid w:val="00FB5887"/>
    <w:rsid w:val="00FB6E79"/>
    <w:rsid w:val="00FB72DC"/>
    <w:rsid w:val="00FB76D0"/>
    <w:rsid w:val="00FB7917"/>
    <w:rsid w:val="00FB7F02"/>
    <w:rsid w:val="00FC043E"/>
    <w:rsid w:val="00FC0B94"/>
    <w:rsid w:val="00FC0D2F"/>
    <w:rsid w:val="00FC0D9B"/>
    <w:rsid w:val="00FC144D"/>
    <w:rsid w:val="00FC1485"/>
    <w:rsid w:val="00FC1682"/>
    <w:rsid w:val="00FC26CB"/>
    <w:rsid w:val="00FC308D"/>
    <w:rsid w:val="00FC37F6"/>
    <w:rsid w:val="00FC38F8"/>
    <w:rsid w:val="00FC3A3D"/>
    <w:rsid w:val="00FC3D46"/>
    <w:rsid w:val="00FC3FF4"/>
    <w:rsid w:val="00FC409D"/>
    <w:rsid w:val="00FC6A60"/>
    <w:rsid w:val="00FC6AB5"/>
    <w:rsid w:val="00FC6B2E"/>
    <w:rsid w:val="00FD01D3"/>
    <w:rsid w:val="00FD03D9"/>
    <w:rsid w:val="00FD0B91"/>
    <w:rsid w:val="00FD0C89"/>
    <w:rsid w:val="00FD1104"/>
    <w:rsid w:val="00FD15B7"/>
    <w:rsid w:val="00FD2026"/>
    <w:rsid w:val="00FD24E9"/>
    <w:rsid w:val="00FD28B0"/>
    <w:rsid w:val="00FD2921"/>
    <w:rsid w:val="00FD2B4B"/>
    <w:rsid w:val="00FD2F04"/>
    <w:rsid w:val="00FD2FE4"/>
    <w:rsid w:val="00FD3671"/>
    <w:rsid w:val="00FD3919"/>
    <w:rsid w:val="00FD3B98"/>
    <w:rsid w:val="00FD3D1B"/>
    <w:rsid w:val="00FD3FAE"/>
    <w:rsid w:val="00FD4567"/>
    <w:rsid w:val="00FD45FF"/>
    <w:rsid w:val="00FD50DB"/>
    <w:rsid w:val="00FD59CE"/>
    <w:rsid w:val="00FD5BBF"/>
    <w:rsid w:val="00FD763C"/>
    <w:rsid w:val="00FD7902"/>
    <w:rsid w:val="00FE01CF"/>
    <w:rsid w:val="00FE04EE"/>
    <w:rsid w:val="00FE04FE"/>
    <w:rsid w:val="00FE0BE5"/>
    <w:rsid w:val="00FE1076"/>
    <w:rsid w:val="00FE2006"/>
    <w:rsid w:val="00FE2355"/>
    <w:rsid w:val="00FE29B6"/>
    <w:rsid w:val="00FE3015"/>
    <w:rsid w:val="00FE3410"/>
    <w:rsid w:val="00FE35F1"/>
    <w:rsid w:val="00FE3E2A"/>
    <w:rsid w:val="00FE4C44"/>
    <w:rsid w:val="00FE5687"/>
    <w:rsid w:val="00FE6248"/>
    <w:rsid w:val="00FE6B4E"/>
    <w:rsid w:val="00FE72F4"/>
    <w:rsid w:val="00FE73D8"/>
    <w:rsid w:val="00FE7682"/>
    <w:rsid w:val="00FE76CB"/>
    <w:rsid w:val="00FE770D"/>
    <w:rsid w:val="00FF035B"/>
    <w:rsid w:val="00FF0526"/>
    <w:rsid w:val="00FF1D9F"/>
    <w:rsid w:val="00FF2A48"/>
    <w:rsid w:val="00FF33AF"/>
    <w:rsid w:val="00FF3713"/>
    <w:rsid w:val="00FF39F0"/>
    <w:rsid w:val="00FF3DE3"/>
    <w:rsid w:val="00FF3DFA"/>
    <w:rsid w:val="00FF4164"/>
    <w:rsid w:val="00FF49F0"/>
    <w:rsid w:val="00FF4C26"/>
    <w:rsid w:val="00FF54AA"/>
    <w:rsid w:val="00FF54D7"/>
    <w:rsid w:val="00FF56BB"/>
    <w:rsid w:val="00FF65F6"/>
    <w:rsid w:val="00FF6629"/>
    <w:rsid w:val="00FF66CC"/>
    <w:rsid w:val="00FF6A44"/>
    <w:rsid w:val="00FF6DBF"/>
    <w:rsid w:val="00FF6FA4"/>
    <w:rsid w:val="00FF73BA"/>
    <w:rsid w:val="00FF7663"/>
    <w:rsid w:val="00FF7AC9"/>
    <w:rsid w:val="01198AAF"/>
    <w:rsid w:val="011B1140"/>
    <w:rsid w:val="01251150"/>
    <w:rsid w:val="01578F19"/>
    <w:rsid w:val="015B8B2F"/>
    <w:rsid w:val="01689DF4"/>
    <w:rsid w:val="019192D2"/>
    <w:rsid w:val="019210A2"/>
    <w:rsid w:val="01A9A511"/>
    <w:rsid w:val="01CE5B44"/>
    <w:rsid w:val="01DFAFC7"/>
    <w:rsid w:val="01FCF633"/>
    <w:rsid w:val="01FDFA68"/>
    <w:rsid w:val="021822F1"/>
    <w:rsid w:val="023B3200"/>
    <w:rsid w:val="023B7ECB"/>
    <w:rsid w:val="025A24C4"/>
    <w:rsid w:val="0269556E"/>
    <w:rsid w:val="028A8059"/>
    <w:rsid w:val="028D17C7"/>
    <w:rsid w:val="0294A3D1"/>
    <w:rsid w:val="029CAA01"/>
    <w:rsid w:val="02DBD229"/>
    <w:rsid w:val="02EB49C8"/>
    <w:rsid w:val="02F68923"/>
    <w:rsid w:val="030DF067"/>
    <w:rsid w:val="030EA424"/>
    <w:rsid w:val="0318F79B"/>
    <w:rsid w:val="031AF34F"/>
    <w:rsid w:val="03363A31"/>
    <w:rsid w:val="0345E9C0"/>
    <w:rsid w:val="0360133F"/>
    <w:rsid w:val="03607BD1"/>
    <w:rsid w:val="03657C9E"/>
    <w:rsid w:val="0369608D"/>
    <w:rsid w:val="0369DD3F"/>
    <w:rsid w:val="036B1044"/>
    <w:rsid w:val="0373F5D5"/>
    <w:rsid w:val="037B7BC5"/>
    <w:rsid w:val="038F5951"/>
    <w:rsid w:val="03992C6A"/>
    <w:rsid w:val="039CE2C7"/>
    <w:rsid w:val="039D8F6B"/>
    <w:rsid w:val="03AB8935"/>
    <w:rsid w:val="03B283E2"/>
    <w:rsid w:val="03BB3A12"/>
    <w:rsid w:val="03C3FC16"/>
    <w:rsid w:val="03CED04E"/>
    <w:rsid w:val="03E04D85"/>
    <w:rsid w:val="0417788F"/>
    <w:rsid w:val="0424EE18"/>
    <w:rsid w:val="042E8B20"/>
    <w:rsid w:val="043D6649"/>
    <w:rsid w:val="044E8E49"/>
    <w:rsid w:val="045E70FB"/>
    <w:rsid w:val="045E85AB"/>
    <w:rsid w:val="04666C43"/>
    <w:rsid w:val="0467E208"/>
    <w:rsid w:val="047E6449"/>
    <w:rsid w:val="04B33D45"/>
    <w:rsid w:val="04C3A565"/>
    <w:rsid w:val="04C3ED12"/>
    <w:rsid w:val="04DBE441"/>
    <w:rsid w:val="04E60C89"/>
    <w:rsid w:val="04E8BCF4"/>
    <w:rsid w:val="04FDBE39"/>
    <w:rsid w:val="0545FDE4"/>
    <w:rsid w:val="054E7C28"/>
    <w:rsid w:val="0566C48A"/>
    <w:rsid w:val="05680FD4"/>
    <w:rsid w:val="056E8A94"/>
    <w:rsid w:val="0572252F"/>
    <w:rsid w:val="0576622D"/>
    <w:rsid w:val="058CF8C0"/>
    <w:rsid w:val="0590589B"/>
    <w:rsid w:val="059685A5"/>
    <w:rsid w:val="05A0121C"/>
    <w:rsid w:val="05B67B3A"/>
    <w:rsid w:val="05BF9AB4"/>
    <w:rsid w:val="05C7806E"/>
    <w:rsid w:val="05DBCF91"/>
    <w:rsid w:val="05DC6C64"/>
    <w:rsid w:val="05DFF46A"/>
    <w:rsid w:val="05EDDC2E"/>
    <w:rsid w:val="062037FA"/>
    <w:rsid w:val="063B0BD4"/>
    <w:rsid w:val="063BCF0F"/>
    <w:rsid w:val="068F5D86"/>
    <w:rsid w:val="06BE939C"/>
    <w:rsid w:val="06E3B5F9"/>
    <w:rsid w:val="06EFAC09"/>
    <w:rsid w:val="06F457E4"/>
    <w:rsid w:val="070B05E6"/>
    <w:rsid w:val="071D545B"/>
    <w:rsid w:val="07443576"/>
    <w:rsid w:val="07506BBE"/>
    <w:rsid w:val="0751EF76"/>
    <w:rsid w:val="0763B473"/>
    <w:rsid w:val="076F5899"/>
    <w:rsid w:val="076F8281"/>
    <w:rsid w:val="077D084D"/>
    <w:rsid w:val="07950B91"/>
    <w:rsid w:val="07C89790"/>
    <w:rsid w:val="07DA5761"/>
    <w:rsid w:val="07DC270E"/>
    <w:rsid w:val="07DCC220"/>
    <w:rsid w:val="07E5F97C"/>
    <w:rsid w:val="07F40959"/>
    <w:rsid w:val="07FA364B"/>
    <w:rsid w:val="0807BE61"/>
    <w:rsid w:val="08131525"/>
    <w:rsid w:val="081690F8"/>
    <w:rsid w:val="0817CB0D"/>
    <w:rsid w:val="084743EC"/>
    <w:rsid w:val="084E2049"/>
    <w:rsid w:val="0864F5EC"/>
    <w:rsid w:val="086FE836"/>
    <w:rsid w:val="0872C28B"/>
    <w:rsid w:val="087559ED"/>
    <w:rsid w:val="08A1CAC4"/>
    <w:rsid w:val="08ACE254"/>
    <w:rsid w:val="08BBAC9F"/>
    <w:rsid w:val="08C2B0EE"/>
    <w:rsid w:val="08D11118"/>
    <w:rsid w:val="08D25C46"/>
    <w:rsid w:val="08D529D6"/>
    <w:rsid w:val="08F338E4"/>
    <w:rsid w:val="08F911B7"/>
    <w:rsid w:val="09303CFA"/>
    <w:rsid w:val="094E3F59"/>
    <w:rsid w:val="0964E8BA"/>
    <w:rsid w:val="096ABF49"/>
    <w:rsid w:val="097D606D"/>
    <w:rsid w:val="098BEA1A"/>
    <w:rsid w:val="098C466C"/>
    <w:rsid w:val="09AA0B71"/>
    <w:rsid w:val="09B76F2F"/>
    <w:rsid w:val="09B7A16D"/>
    <w:rsid w:val="09C4BC22"/>
    <w:rsid w:val="09C65075"/>
    <w:rsid w:val="09C8B03A"/>
    <w:rsid w:val="09D38341"/>
    <w:rsid w:val="09D5BFDC"/>
    <w:rsid w:val="09F655C6"/>
    <w:rsid w:val="0A165945"/>
    <w:rsid w:val="0A1A2528"/>
    <w:rsid w:val="0A2A4B66"/>
    <w:rsid w:val="0A4B8B31"/>
    <w:rsid w:val="0A544525"/>
    <w:rsid w:val="0A5ECF2B"/>
    <w:rsid w:val="0A6F28C9"/>
    <w:rsid w:val="0A7833FF"/>
    <w:rsid w:val="0A96173A"/>
    <w:rsid w:val="0A98009A"/>
    <w:rsid w:val="0AA85E2C"/>
    <w:rsid w:val="0AA90768"/>
    <w:rsid w:val="0AB49CDC"/>
    <w:rsid w:val="0AB593DA"/>
    <w:rsid w:val="0AD80FA1"/>
    <w:rsid w:val="0B04C03F"/>
    <w:rsid w:val="0B6F39E0"/>
    <w:rsid w:val="0B74C1AC"/>
    <w:rsid w:val="0B806691"/>
    <w:rsid w:val="0BD0F854"/>
    <w:rsid w:val="0BE2EF04"/>
    <w:rsid w:val="0BE4C4C3"/>
    <w:rsid w:val="0C044694"/>
    <w:rsid w:val="0C13534F"/>
    <w:rsid w:val="0C345B01"/>
    <w:rsid w:val="0C4522EE"/>
    <w:rsid w:val="0CA0C9C2"/>
    <w:rsid w:val="0CBC234F"/>
    <w:rsid w:val="0CC15C4F"/>
    <w:rsid w:val="0CDEF09C"/>
    <w:rsid w:val="0CF5E8EA"/>
    <w:rsid w:val="0D07875F"/>
    <w:rsid w:val="0D4F4325"/>
    <w:rsid w:val="0D69BA32"/>
    <w:rsid w:val="0D79FD93"/>
    <w:rsid w:val="0D8EBB77"/>
    <w:rsid w:val="0D9B39AE"/>
    <w:rsid w:val="0DAB83F6"/>
    <w:rsid w:val="0DC0B1BA"/>
    <w:rsid w:val="0DC405C8"/>
    <w:rsid w:val="0DC867D9"/>
    <w:rsid w:val="0DE53AF0"/>
    <w:rsid w:val="0DF7E40C"/>
    <w:rsid w:val="0DFD32BA"/>
    <w:rsid w:val="0E1D414E"/>
    <w:rsid w:val="0E57A99B"/>
    <w:rsid w:val="0E6D7F7D"/>
    <w:rsid w:val="0E72891C"/>
    <w:rsid w:val="0E89ABF1"/>
    <w:rsid w:val="0E8A283D"/>
    <w:rsid w:val="0E8FE597"/>
    <w:rsid w:val="0EA92925"/>
    <w:rsid w:val="0EB8C5DB"/>
    <w:rsid w:val="0EBB9102"/>
    <w:rsid w:val="0ED28DE7"/>
    <w:rsid w:val="0ED300BB"/>
    <w:rsid w:val="0ED43145"/>
    <w:rsid w:val="0ED7A9E5"/>
    <w:rsid w:val="0EE0BE7B"/>
    <w:rsid w:val="0F11F42D"/>
    <w:rsid w:val="0F244AFD"/>
    <w:rsid w:val="0F256DB9"/>
    <w:rsid w:val="0F537600"/>
    <w:rsid w:val="0F6117F8"/>
    <w:rsid w:val="0F6DD2D2"/>
    <w:rsid w:val="0F74E5ED"/>
    <w:rsid w:val="0F901E65"/>
    <w:rsid w:val="0FBC428D"/>
    <w:rsid w:val="0FDC36CF"/>
    <w:rsid w:val="0FE47FD0"/>
    <w:rsid w:val="0FEC4FB9"/>
    <w:rsid w:val="10231EFC"/>
    <w:rsid w:val="1049F438"/>
    <w:rsid w:val="10523C48"/>
    <w:rsid w:val="106C93A3"/>
    <w:rsid w:val="106E1ACE"/>
    <w:rsid w:val="10735774"/>
    <w:rsid w:val="107C20E2"/>
    <w:rsid w:val="1091A4CE"/>
    <w:rsid w:val="1099C490"/>
    <w:rsid w:val="10A5FDCC"/>
    <w:rsid w:val="10B34D9F"/>
    <w:rsid w:val="10B5C93F"/>
    <w:rsid w:val="10BD4643"/>
    <w:rsid w:val="10C959C5"/>
    <w:rsid w:val="10E784AF"/>
    <w:rsid w:val="10F36BEB"/>
    <w:rsid w:val="11034E05"/>
    <w:rsid w:val="11106C52"/>
    <w:rsid w:val="1116A9E9"/>
    <w:rsid w:val="112A6338"/>
    <w:rsid w:val="112AD328"/>
    <w:rsid w:val="112B0D54"/>
    <w:rsid w:val="112F3354"/>
    <w:rsid w:val="1133D4F0"/>
    <w:rsid w:val="1146C8E3"/>
    <w:rsid w:val="114EFF04"/>
    <w:rsid w:val="1155CE77"/>
    <w:rsid w:val="11658B30"/>
    <w:rsid w:val="1166F2F3"/>
    <w:rsid w:val="11958EB3"/>
    <w:rsid w:val="119DCDCC"/>
    <w:rsid w:val="11B67944"/>
    <w:rsid w:val="11CDC0C2"/>
    <w:rsid w:val="11E0EF89"/>
    <w:rsid w:val="11ECEED3"/>
    <w:rsid w:val="11EF7073"/>
    <w:rsid w:val="1214C072"/>
    <w:rsid w:val="1217C160"/>
    <w:rsid w:val="122DB65C"/>
    <w:rsid w:val="122E42C6"/>
    <w:rsid w:val="123103D5"/>
    <w:rsid w:val="124A050A"/>
    <w:rsid w:val="124CEFD7"/>
    <w:rsid w:val="125335CE"/>
    <w:rsid w:val="127C56B4"/>
    <w:rsid w:val="128CDFF0"/>
    <w:rsid w:val="12A32670"/>
    <w:rsid w:val="12A49D68"/>
    <w:rsid w:val="12BCE9E0"/>
    <w:rsid w:val="12CAA7C6"/>
    <w:rsid w:val="12CB5383"/>
    <w:rsid w:val="12DE2BB9"/>
    <w:rsid w:val="12E8C01C"/>
    <w:rsid w:val="12F16F06"/>
    <w:rsid w:val="12FED844"/>
    <w:rsid w:val="13153646"/>
    <w:rsid w:val="131F38CA"/>
    <w:rsid w:val="1325B473"/>
    <w:rsid w:val="134DE6DF"/>
    <w:rsid w:val="13550223"/>
    <w:rsid w:val="1357A412"/>
    <w:rsid w:val="135D3BEE"/>
    <w:rsid w:val="1375409E"/>
    <w:rsid w:val="13877C82"/>
    <w:rsid w:val="13955EC9"/>
    <w:rsid w:val="13AB3AB7"/>
    <w:rsid w:val="13E789E9"/>
    <w:rsid w:val="13F2ACFB"/>
    <w:rsid w:val="140235B7"/>
    <w:rsid w:val="1403FD1C"/>
    <w:rsid w:val="140D1A2B"/>
    <w:rsid w:val="142E8C01"/>
    <w:rsid w:val="142F000F"/>
    <w:rsid w:val="1435AAD4"/>
    <w:rsid w:val="144F80D5"/>
    <w:rsid w:val="14540466"/>
    <w:rsid w:val="1457E64E"/>
    <w:rsid w:val="146027E5"/>
    <w:rsid w:val="1476F7FC"/>
    <w:rsid w:val="1499BF96"/>
    <w:rsid w:val="14BC8E35"/>
    <w:rsid w:val="14BEDE9B"/>
    <w:rsid w:val="14C90EB1"/>
    <w:rsid w:val="14DA4932"/>
    <w:rsid w:val="14DC8DC1"/>
    <w:rsid w:val="14F92A47"/>
    <w:rsid w:val="1522490C"/>
    <w:rsid w:val="1537C897"/>
    <w:rsid w:val="153AEA71"/>
    <w:rsid w:val="153D37B9"/>
    <w:rsid w:val="15511C14"/>
    <w:rsid w:val="155E46D8"/>
    <w:rsid w:val="156FAAD9"/>
    <w:rsid w:val="1577E14C"/>
    <w:rsid w:val="15839EC6"/>
    <w:rsid w:val="159670B3"/>
    <w:rsid w:val="15B0C57B"/>
    <w:rsid w:val="15CB6E7E"/>
    <w:rsid w:val="15D5BBC3"/>
    <w:rsid w:val="15E848CF"/>
    <w:rsid w:val="160F8D79"/>
    <w:rsid w:val="1615DE10"/>
    <w:rsid w:val="161DFFE7"/>
    <w:rsid w:val="1644EA90"/>
    <w:rsid w:val="16556F23"/>
    <w:rsid w:val="166B573B"/>
    <w:rsid w:val="1688B356"/>
    <w:rsid w:val="168E8B50"/>
    <w:rsid w:val="16948375"/>
    <w:rsid w:val="169CC289"/>
    <w:rsid w:val="16B5D053"/>
    <w:rsid w:val="1712DE74"/>
    <w:rsid w:val="171991C4"/>
    <w:rsid w:val="173A02A2"/>
    <w:rsid w:val="173A93F6"/>
    <w:rsid w:val="1746D8FD"/>
    <w:rsid w:val="1748EBC0"/>
    <w:rsid w:val="174BCFA5"/>
    <w:rsid w:val="17676354"/>
    <w:rsid w:val="1792A0F8"/>
    <w:rsid w:val="1793626D"/>
    <w:rsid w:val="17B0E1EA"/>
    <w:rsid w:val="17B5D178"/>
    <w:rsid w:val="17CCDDDD"/>
    <w:rsid w:val="17E12D30"/>
    <w:rsid w:val="17FFE2AC"/>
    <w:rsid w:val="1813D629"/>
    <w:rsid w:val="18314C8C"/>
    <w:rsid w:val="183D2FF7"/>
    <w:rsid w:val="184EB9A2"/>
    <w:rsid w:val="18669ED1"/>
    <w:rsid w:val="187F0A5B"/>
    <w:rsid w:val="1880286E"/>
    <w:rsid w:val="188DFA61"/>
    <w:rsid w:val="18AAEF57"/>
    <w:rsid w:val="18B279EE"/>
    <w:rsid w:val="18B6103E"/>
    <w:rsid w:val="18CDB48B"/>
    <w:rsid w:val="18E55D26"/>
    <w:rsid w:val="18E70C3D"/>
    <w:rsid w:val="18F1B3A3"/>
    <w:rsid w:val="1913B5E6"/>
    <w:rsid w:val="1913F360"/>
    <w:rsid w:val="192AF72C"/>
    <w:rsid w:val="1937F289"/>
    <w:rsid w:val="195712BA"/>
    <w:rsid w:val="195961ED"/>
    <w:rsid w:val="1966E549"/>
    <w:rsid w:val="196EC960"/>
    <w:rsid w:val="1975E4E1"/>
    <w:rsid w:val="19859404"/>
    <w:rsid w:val="19969DBC"/>
    <w:rsid w:val="1999EA24"/>
    <w:rsid w:val="19A9D1C5"/>
    <w:rsid w:val="19B25ABD"/>
    <w:rsid w:val="19B54228"/>
    <w:rsid w:val="19BE8B02"/>
    <w:rsid w:val="19C652A1"/>
    <w:rsid w:val="19C7A6D9"/>
    <w:rsid w:val="19DAC82A"/>
    <w:rsid w:val="19FAF882"/>
    <w:rsid w:val="19FF4460"/>
    <w:rsid w:val="1A076549"/>
    <w:rsid w:val="1A1124FA"/>
    <w:rsid w:val="1A1BFD96"/>
    <w:rsid w:val="1A287F00"/>
    <w:rsid w:val="1A30160C"/>
    <w:rsid w:val="1A3C1ADF"/>
    <w:rsid w:val="1A3C9B3B"/>
    <w:rsid w:val="1A6C58B9"/>
    <w:rsid w:val="1A76983A"/>
    <w:rsid w:val="1A79D341"/>
    <w:rsid w:val="1A841188"/>
    <w:rsid w:val="1AA7A3F5"/>
    <w:rsid w:val="1AAA4BDB"/>
    <w:rsid w:val="1AB426DB"/>
    <w:rsid w:val="1ACC6C10"/>
    <w:rsid w:val="1AE26574"/>
    <w:rsid w:val="1AE98259"/>
    <w:rsid w:val="1B0450AC"/>
    <w:rsid w:val="1B0A2FEC"/>
    <w:rsid w:val="1B0E545A"/>
    <w:rsid w:val="1B11219A"/>
    <w:rsid w:val="1B153CE7"/>
    <w:rsid w:val="1B2B0F54"/>
    <w:rsid w:val="1B2E4B77"/>
    <w:rsid w:val="1B32BC6F"/>
    <w:rsid w:val="1B33E63B"/>
    <w:rsid w:val="1B6F5A3C"/>
    <w:rsid w:val="1B7FF962"/>
    <w:rsid w:val="1B884F0D"/>
    <w:rsid w:val="1B97AE99"/>
    <w:rsid w:val="1BB172DE"/>
    <w:rsid w:val="1BD1EE9D"/>
    <w:rsid w:val="1BD74C10"/>
    <w:rsid w:val="1BE2A992"/>
    <w:rsid w:val="1BFD782F"/>
    <w:rsid w:val="1C00D450"/>
    <w:rsid w:val="1C0C736D"/>
    <w:rsid w:val="1C12A65A"/>
    <w:rsid w:val="1C34C66E"/>
    <w:rsid w:val="1C577B3E"/>
    <w:rsid w:val="1C7C6655"/>
    <w:rsid w:val="1C7F6C15"/>
    <w:rsid w:val="1C9BDD18"/>
    <w:rsid w:val="1CCC4ED2"/>
    <w:rsid w:val="1CD76AFA"/>
    <w:rsid w:val="1CDA5DED"/>
    <w:rsid w:val="1CE8769C"/>
    <w:rsid w:val="1D3495EC"/>
    <w:rsid w:val="1D388F14"/>
    <w:rsid w:val="1D3FB283"/>
    <w:rsid w:val="1D4D79E3"/>
    <w:rsid w:val="1DAAF8E0"/>
    <w:rsid w:val="1DB2C7B3"/>
    <w:rsid w:val="1DB4DD0B"/>
    <w:rsid w:val="1DBAF54E"/>
    <w:rsid w:val="1DCE4FB6"/>
    <w:rsid w:val="1DE18F8E"/>
    <w:rsid w:val="1DECABE8"/>
    <w:rsid w:val="1DEFE814"/>
    <w:rsid w:val="1DF0E4B0"/>
    <w:rsid w:val="1DF251C6"/>
    <w:rsid w:val="1DF7E1D2"/>
    <w:rsid w:val="1E0A5F43"/>
    <w:rsid w:val="1E1CC0EF"/>
    <w:rsid w:val="1E3D8648"/>
    <w:rsid w:val="1E653DAA"/>
    <w:rsid w:val="1E654C3D"/>
    <w:rsid w:val="1E6F4370"/>
    <w:rsid w:val="1E833652"/>
    <w:rsid w:val="1E949496"/>
    <w:rsid w:val="1E9D4C18"/>
    <w:rsid w:val="1EA1EB89"/>
    <w:rsid w:val="1EA3B70D"/>
    <w:rsid w:val="1EA6A1F1"/>
    <w:rsid w:val="1EC6AE89"/>
    <w:rsid w:val="1EDC5B51"/>
    <w:rsid w:val="1EDC8B9F"/>
    <w:rsid w:val="1EF1F3CD"/>
    <w:rsid w:val="1F08CB46"/>
    <w:rsid w:val="1F169CC8"/>
    <w:rsid w:val="1F29EDCB"/>
    <w:rsid w:val="1F3836AA"/>
    <w:rsid w:val="1F4A7433"/>
    <w:rsid w:val="1F58ADF7"/>
    <w:rsid w:val="1F625ADC"/>
    <w:rsid w:val="1F8B8B1E"/>
    <w:rsid w:val="1F977BB9"/>
    <w:rsid w:val="1F9CDAFA"/>
    <w:rsid w:val="1FA17A6A"/>
    <w:rsid w:val="1FA9EE75"/>
    <w:rsid w:val="1FAB29BD"/>
    <w:rsid w:val="1FAD86CD"/>
    <w:rsid w:val="1FE6D304"/>
    <w:rsid w:val="1FEC06BE"/>
    <w:rsid w:val="1FF98C66"/>
    <w:rsid w:val="20037C4F"/>
    <w:rsid w:val="200BE5BD"/>
    <w:rsid w:val="201E63A7"/>
    <w:rsid w:val="2027C213"/>
    <w:rsid w:val="204A173B"/>
    <w:rsid w:val="204A91B1"/>
    <w:rsid w:val="206CD8D1"/>
    <w:rsid w:val="20808ED3"/>
    <w:rsid w:val="209AAE79"/>
    <w:rsid w:val="20B11DD5"/>
    <w:rsid w:val="20BB0683"/>
    <w:rsid w:val="20BF616A"/>
    <w:rsid w:val="20D276B7"/>
    <w:rsid w:val="20D98243"/>
    <w:rsid w:val="20DE1FDA"/>
    <w:rsid w:val="20E1E3A4"/>
    <w:rsid w:val="210D1E54"/>
    <w:rsid w:val="2114A81C"/>
    <w:rsid w:val="212C3586"/>
    <w:rsid w:val="212D5692"/>
    <w:rsid w:val="2143A03C"/>
    <w:rsid w:val="214A5E9A"/>
    <w:rsid w:val="215742F1"/>
    <w:rsid w:val="21709B05"/>
    <w:rsid w:val="217207AD"/>
    <w:rsid w:val="21835143"/>
    <w:rsid w:val="218E8086"/>
    <w:rsid w:val="21A21DD9"/>
    <w:rsid w:val="21B63A7C"/>
    <w:rsid w:val="21B6E6B8"/>
    <w:rsid w:val="21BE883E"/>
    <w:rsid w:val="21D4CBA7"/>
    <w:rsid w:val="21E82DB4"/>
    <w:rsid w:val="21E8CA7F"/>
    <w:rsid w:val="21F554AA"/>
    <w:rsid w:val="21FFF5A6"/>
    <w:rsid w:val="2207C693"/>
    <w:rsid w:val="220D906C"/>
    <w:rsid w:val="22223681"/>
    <w:rsid w:val="222650CD"/>
    <w:rsid w:val="2226CD48"/>
    <w:rsid w:val="223559AF"/>
    <w:rsid w:val="2256B412"/>
    <w:rsid w:val="226B95B9"/>
    <w:rsid w:val="228ACD5C"/>
    <w:rsid w:val="228B332D"/>
    <w:rsid w:val="2297B006"/>
    <w:rsid w:val="229AADF0"/>
    <w:rsid w:val="22C76960"/>
    <w:rsid w:val="22C911EF"/>
    <w:rsid w:val="230053DD"/>
    <w:rsid w:val="2316D07D"/>
    <w:rsid w:val="232EB469"/>
    <w:rsid w:val="233CD960"/>
    <w:rsid w:val="23482E84"/>
    <w:rsid w:val="2370100A"/>
    <w:rsid w:val="2374DCFC"/>
    <w:rsid w:val="23852FFC"/>
    <w:rsid w:val="23AA5B2A"/>
    <w:rsid w:val="23B0CF6F"/>
    <w:rsid w:val="23B72415"/>
    <w:rsid w:val="23B8D392"/>
    <w:rsid w:val="23DFD98C"/>
    <w:rsid w:val="23FD314B"/>
    <w:rsid w:val="24047479"/>
    <w:rsid w:val="2417B6C9"/>
    <w:rsid w:val="241E6DD3"/>
    <w:rsid w:val="24202858"/>
    <w:rsid w:val="242C4C8C"/>
    <w:rsid w:val="24506C0C"/>
    <w:rsid w:val="2476570B"/>
    <w:rsid w:val="2492B7FC"/>
    <w:rsid w:val="249E5EB5"/>
    <w:rsid w:val="24A7B324"/>
    <w:rsid w:val="24AEBE9B"/>
    <w:rsid w:val="24AF0559"/>
    <w:rsid w:val="24BA8F0B"/>
    <w:rsid w:val="24C0503D"/>
    <w:rsid w:val="24DA0BAD"/>
    <w:rsid w:val="24F2D9C3"/>
    <w:rsid w:val="2505AA28"/>
    <w:rsid w:val="251459B9"/>
    <w:rsid w:val="2520EF23"/>
    <w:rsid w:val="2522940D"/>
    <w:rsid w:val="253217D0"/>
    <w:rsid w:val="253F2208"/>
    <w:rsid w:val="254BD2EB"/>
    <w:rsid w:val="257969BA"/>
    <w:rsid w:val="257CB4A6"/>
    <w:rsid w:val="258DB749"/>
    <w:rsid w:val="2596B536"/>
    <w:rsid w:val="25AA3A88"/>
    <w:rsid w:val="25BE37BB"/>
    <w:rsid w:val="25C9C9E2"/>
    <w:rsid w:val="25D6EE63"/>
    <w:rsid w:val="25E40E45"/>
    <w:rsid w:val="2600A3A8"/>
    <w:rsid w:val="262BF197"/>
    <w:rsid w:val="2633C5AB"/>
    <w:rsid w:val="2649A020"/>
    <w:rsid w:val="2667C775"/>
    <w:rsid w:val="2674C242"/>
    <w:rsid w:val="2679420A"/>
    <w:rsid w:val="26A3DB9D"/>
    <w:rsid w:val="26A61C96"/>
    <w:rsid w:val="26A93E59"/>
    <w:rsid w:val="26D1087B"/>
    <w:rsid w:val="26DE3527"/>
    <w:rsid w:val="26E5C1AC"/>
    <w:rsid w:val="26F080DF"/>
    <w:rsid w:val="26F0CB42"/>
    <w:rsid w:val="26F73809"/>
    <w:rsid w:val="271C55BB"/>
    <w:rsid w:val="271D6C41"/>
    <w:rsid w:val="272CA6D9"/>
    <w:rsid w:val="272E28CF"/>
    <w:rsid w:val="2766E853"/>
    <w:rsid w:val="27AAD59A"/>
    <w:rsid w:val="27BCF624"/>
    <w:rsid w:val="27C7D2FC"/>
    <w:rsid w:val="27C80B13"/>
    <w:rsid w:val="27D940B4"/>
    <w:rsid w:val="27DA7C23"/>
    <w:rsid w:val="283D91FA"/>
    <w:rsid w:val="283F9EF2"/>
    <w:rsid w:val="2866A627"/>
    <w:rsid w:val="288177BD"/>
    <w:rsid w:val="28831876"/>
    <w:rsid w:val="2886E703"/>
    <w:rsid w:val="28936D92"/>
    <w:rsid w:val="28A1E278"/>
    <w:rsid w:val="28AE5D34"/>
    <w:rsid w:val="28D15DE3"/>
    <w:rsid w:val="28DE9E3E"/>
    <w:rsid w:val="28F23FF0"/>
    <w:rsid w:val="2900E9C7"/>
    <w:rsid w:val="29071257"/>
    <w:rsid w:val="29139DFD"/>
    <w:rsid w:val="291F214A"/>
    <w:rsid w:val="2932F443"/>
    <w:rsid w:val="293CB684"/>
    <w:rsid w:val="296334EC"/>
    <w:rsid w:val="2977017F"/>
    <w:rsid w:val="29833552"/>
    <w:rsid w:val="299D74FC"/>
    <w:rsid w:val="29A35F41"/>
    <w:rsid w:val="29A5C1A4"/>
    <w:rsid w:val="29A5E515"/>
    <w:rsid w:val="29AA881E"/>
    <w:rsid w:val="29B0DB2F"/>
    <w:rsid w:val="29BC40DD"/>
    <w:rsid w:val="29C29863"/>
    <w:rsid w:val="29D47441"/>
    <w:rsid w:val="29E01959"/>
    <w:rsid w:val="29E43838"/>
    <w:rsid w:val="29E9992E"/>
    <w:rsid w:val="29E9E331"/>
    <w:rsid w:val="2A175065"/>
    <w:rsid w:val="2A36D9D3"/>
    <w:rsid w:val="2A526B2A"/>
    <w:rsid w:val="2A532EF8"/>
    <w:rsid w:val="2A5AE783"/>
    <w:rsid w:val="2A5EDBB7"/>
    <w:rsid w:val="2A6C4797"/>
    <w:rsid w:val="2A72FD0E"/>
    <w:rsid w:val="2A81DECE"/>
    <w:rsid w:val="2A8AB742"/>
    <w:rsid w:val="2A94AD6C"/>
    <w:rsid w:val="2A9943FD"/>
    <w:rsid w:val="2A9AA668"/>
    <w:rsid w:val="2AB7E906"/>
    <w:rsid w:val="2AC6487F"/>
    <w:rsid w:val="2ACA6D28"/>
    <w:rsid w:val="2AD1B4B8"/>
    <w:rsid w:val="2AF2D936"/>
    <w:rsid w:val="2AF31599"/>
    <w:rsid w:val="2B27B2D3"/>
    <w:rsid w:val="2B2C9C9B"/>
    <w:rsid w:val="2B579422"/>
    <w:rsid w:val="2B717C72"/>
    <w:rsid w:val="2B72C2EF"/>
    <w:rsid w:val="2B7F5DB7"/>
    <w:rsid w:val="2B97BBC3"/>
    <w:rsid w:val="2BA4AA25"/>
    <w:rsid w:val="2BB6CEBB"/>
    <w:rsid w:val="2BC99E35"/>
    <w:rsid w:val="2BDC0A8C"/>
    <w:rsid w:val="2BF31B98"/>
    <w:rsid w:val="2C13E9DC"/>
    <w:rsid w:val="2C221533"/>
    <w:rsid w:val="2C255887"/>
    <w:rsid w:val="2C4F9C21"/>
    <w:rsid w:val="2C50166E"/>
    <w:rsid w:val="2C5F8551"/>
    <w:rsid w:val="2C64A459"/>
    <w:rsid w:val="2C66B9DC"/>
    <w:rsid w:val="2C69BDD3"/>
    <w:rsid w:val="2C84374D"/>
    <w:rsid w:val="2C959D72"/>
    <w:rsid w:val="2CA6EDFD"/>
    <w:rsid w:val="2CB46956"/>
    <w:rsid w:val="2CBFF713"/>
    <w:rsid w:val="2CCE5D07"/>
    <w:rsid w:val="2CD4AFC0"/>
    <w:rsid w:val="2CEE17BB"/>
    <w:rsid w:val="2CF59047"/>
    <w:rsid w:val="2CF83DCC"/>
    <w:rsid w:val="2D152DF6"/>
    <w:rsid w:val="2D3052F4"/>
    <w:rsid w:val="2D3BB33C"/>
    <w:rsid w:val="2D4881F1"/>
    <w:rsid w:val="2D4BCEC4"/>
    <w:rsid w:val="2D4CFC40"/>
    <w:rsid w:val="2D578A9C"/>
    <w:rsid w:val="2D6BB2EA"/>
    <w:rsid w:val="2D6D9575"/>
    <w:rsid w:val="2D763476"/>
    <w:rsid w:val="2D797E24"/>
    <w:rsid w:val="2D90B7F6"/>
    <w:rsid w:val="2D9752E2"/>
    <w:rsid w:val="2D9C0EDD"/>
    <w:rsid w:val="2DB7A94C"/>
    <w:rsid w:val="2DB8EF51"/>
    <w:rsid w:val="2DF42776"/>
    <w:rsid w:val="2E08670D"/>
    <w:rsid w:val="2E0C2392"/>
    <w:rsid w:val="2E0FFC98"/>
    <w:rsid w:val="2E1634DA"/>
    <w:rsid w:val="2E2AB5AE"/>
    <w:rsid w:val="2E2C38B4"/>
    <w:rsid w:val="2E345A91"/>
    <w:rsid w:val="2E8B6AE4"/>
    <w:rsid w:val="2EA1427D"/>
    <w:rsid w:val="2EB895B8"/>
    <w:rsid w:val="2EBC45A8"/>
    <w:rsid w:val="2EC362BF"/>
    <w:rsid w:val="2EED64AB"/>
    <w:rsid w:val="2F03B602"/>
    <w:rsid w:val="2F19DC72"/>
    <w:rsid w:val="2F22032C"/>
    <w:rsid w:val="2F23DEED"/>
    <w:rsid w:val="2F330C88"/>
    <w:rsid w:val="2F4BF273"/>
    <w:rsid w:val="2F6CA159"/>
    <w:rsid w:val="2F6D4559"/>
    <w:rsid w:val="2F76D178"/>
    <w:rsid w:val="2FA71CE1"/>
    <w:rsid w:val="2FB6911D"/>
    <w:rsid w:val="2FB93BFE"/>
    <w:rsid w:val="2FCC023E"/>
    <w:rsid w:val="2FD3A49B"/>
    <w:rsid w:val="2FF59EE4"/>
    <w:rsid w:val="3005A37E"/>
    <w:rsid w:val="3006B6B7"/>
    <w:rsid w:val="301BF7FF"/>
    <w:rsid w:val="30299202"/>
    <w:rsid w:val="30429329"/>
    <w:rsid w:val="305257E7"/>
    <w:rsid w:val="3056B19A"/>
    <w:rsid w:val="3091EB9A"/>
    <w:rsid w:val="309E530D"/>
    <w:rsid w:val="30B268BB"/>
    <w:rsid w:val="30C3EB64"/>
    <w:rsid w:val="30D01909"/>
    <w:rsid w:val="30D5CBBF"/>
    <w:rsid w:val="30E3B54B"/>
    <w:rsid w:val="30EAECE9"/>
    <w:rsid w:val="311DA0C8"/>
    <w:rsid w:val="314896BE"/>
    <w:rsid w:val="314FF9AD"/>
    <w:rsid w:val="3169EB89"/>
    <w:rsid w:val="3184C82B"/>
    <w:rsid w:val="31942A00"/>
    <w:rsid w:val="31B39FF7"/>
    <w:rsid w:val="31C004EB"/>
    <w:rsid w:val="31CC7C9D"/>
    <w:rsid w:val="31D654A7"/>
    <w:rsid w:val="31DBD2F2"/>
    <w:rsid w:val="31DC0F42"/>
    <w:rsid w:val="31EFA140"/>
    <w:rsid w:val="31F3B69C"/>
    <w:rsid w:val="321230A7"/>
    <w:rsid w:val="321DFB2B"/>
    <w:rsid w:val="32318928"/>
    <w:rsid w:val="3242770F"/>
    <w:rsid w:val="3247D6DE"/>
    <w:rsid w:val="325FCDC8"/>
    <w:rsid w:val="32727711"/>
    <w:rsid w:val="32A36215"/>
    <w:rsid w:val="32B3BB62"/>
    <w:rsid w:val="32BEA678"/>
    <w:rsid w:val="32C0F757"/>
    <w:rsid w:val="32CAD2B4"/>
    <w:rsid w:val="32CF3D69"/>
    <w:rsid w:val="32DFD0A3"/>
    <w:rsid w:val="32E4E1F3"/>
    <w:rsid w:val="331384A4"/>
    <w:rsid w:val="3314478A"/>
    <w:rsid w:val="3343E607"/>
    <w:rsid w:val="3347142D"/>
    <w:rsid w:val="334A8D08"/>
    <w:rsid w:val="336B4987"/>
    <w:rsid w:val="337BC106"/>
    <w:rsid w:val="33836FDC"/>
    <w:rsid w:val="3386C462"/>
    <w:rsid w:val="338B48DE"/>
    <w:rsid w:val="33B8A424"/>
    <w:rsid w:val="33C4395A"/>
    <w:rsid w:val="33EF3935"/>
    <w:rsid w:val="33FAD72F"/>
    <w:rsid w:val="33FB4F4C"/>
    <w:rsid w:val="33FC7D5E"/>
    <w:rsid w:val="33FFACD7"/>
    <w:rsid w:val="34109E96"/>
    <w:rsid w:val="342F7302"/>
    <w:rsid w:val="3437DBD1"/>
    <w:rsid w:val="3450F3DD"/>
    <w:rsid w:val="3458A09A"/>
    <w:rsid w:val="345D14D7"/>
    <w:rsid w:val="346DE6CA"/>
    <w:rsid w:val="349B1578"/>
    <w:rsid w:val="34BC75CB"/>
    <w:rsid w:val="34BFEFF4"/>
    <w:rsid w:val="34C7796D"/>
    <w:rsid w:val="34DC1611"/>
    <w:rsid w:val="34F1867C"/>
    <w:rsid w:val="350BDC39"/>
    <w:rsid w:val="35133009"/>
    <w:rsid w:val="3513B25D"/>
    <w:rsid w:val="353A92F5"/>
    <w:rsid w:val="3547E7AD"/>
    <w:rsid w:val="3548B7B6"/>
    <w:rsid w:val="354B1282"/>
    <w:rsid w:val="35887C9B"/>
    <w:rsid w:val="35B26395"/>
    <w:rsid w:val="35C03CEB"/>
    <w:rsid w:val="35C4174F"/>
    <w:rsid w:val="35C6F271"/>
    <w:rsid w:val="35CAB71D"/>
    <w:rsid w:val="35D45706"/>
    <w:rsid w:val="35DA1929"/>
    <w:rsid w:val="35E785AA"/>
    <w:rsid w:val="35E7C968"/>
    <w:rsid w:val="35F64B19"/>
    <w:rsid w:val="360ECCAF"/>
    <w:rsid w:val="360F21A7"/>
    <w:rsid w:val="36246AA2"/>
    <w:rsid w:val="3634F467"/>
    <w:rsid w:val="3674186F"/>
    <w:rsid w:val="368B8543"/>
    <w:rsid w:val="36C4E0AC"/>
    <w:rsid w:val="36D05D28"/>
    <w:rsid w:val="36D3F696"/>
    <w:rsid w:val="36DA5228"/>
    <w:rsid w:val="36E727CE"/>
    <w:rsid w:val="36F7EC6E"/>
    <w:rsid w:val="36FECBDD"/>
    <w:rsid w:val="36FEECC7"/>
    <w:rsid w:val="370CD4D7"/>
    <w:rsid w:val="37108EEB"/>
    <w:rsid w:val="371FE9B2"/>
    <w:rsid w:val="3726717B"/>
    <w:rsid w:val="37418CD6"/>
    <w:rsid w:val="37482D1C"/>
    <w:rsid w:val="374F883C"/>
    <w:rsid w:val="3793B163"/>
    <w:rsid w:val="37B8C10B"/>
    <w:rsid w:val="37C71D60"/>
    <w:rsid w:val="37DE9ED0"/>
    <w:rsid w:val="37EDB14F"/>
    <w:rsid w:val="38059E7C"/>
    <w:rsid w:val="38641E87"/>
    <w:rsid w:val="387F44E0"/>
    <w:rsid w:val="38B50552"/>
    <w:rsid w:val="38BCEFF9"/>
    <w:rsid w:val="38CDAA0D"/>
    <w:rsid w:val="3906AE35"/>
    <w:rsid w:val="391A10B5"/>
    <w:rsid w:val="3932EC8E"/>
    <w:rsid w:val="39343CB4"/>
    <w:rsid w:val="395F67A7"/>
    <w:rsid w:val="396E5077"/>
    <w:rsid w:val="3981A74B"/>
    <w:rsid w:val="398F5DAC"/>
    <w:rsid w:val="3995E9E3"/>
    <w:rsid w:val="3997B50E"/>
    <w:rsid w:val="3998C2FA"/>
    <w:rsid w:val="399E134D"/>
    <w:rsid w:val="39DF39C5"/>
    <w:rsid w:val="39F11981"/>
    <w:rsid w:val="39F5CABE"/>
    <w:rsid w:val="3A0291F9"/>
    <w:rsid w:val="3A0D718D"/>
    <w:rsid w:val="3A13AA03"/>
    <w:rsid w:val="3A1C4BCD"/>
    <w:rsid w:val="3A1F64A2"/>
    <w:rsid w:val="3A27713A"/>
    <w:rsid w:val="3A322EB0"/>
    <w:rsid w:val="3A6818DD"/>
    <w:rsid w:val="3A789440"/>
    <w:rsid w:val="3A79A941"/>
    <w:rsid w:val="3A825909"/>
    <w:rsid w:val="3A8B7A92"/>
    <w:rsid w:val="3A9D5151"/>
    <w:rsid w:val="3AC5FEE3"/>
    <w:rsid w:val="3ACCA01A"/>
    <w:rsid w:val="3AE53F48"/>
    <w:rsid w:val="3AF251B3"/>
    <w:rsid w:val="3AF2D0F6"/>
    <w:rsid w:val="3B015E3F"/>
    <w:rsid w:val="3B08F731"/>
    <w:rsid w:val="3B12D232"/>
    <w:rsid w:val="3B1D1C22"/>
    <w:rsid w:val="3B3F6087"/>
    <w:rsid w:val="3B47A6E0"/>
    <w:rsid w:val="3B6F3F9E"/>
    <w:rsid w:val="3B7BDDB7"/>
    <w:rsid w:val="3B96F434"/>
    <w:rsid w:val="3BA17D93"/>
    <w:rsid w:val="3BC8519E"/>
    <w:rsid w:val="3BD53FB9"/>
    <w:rsid w:val="3BDA1EF0"/>
    <w:rsid w:val="3BDA654C"/>
    <w:rsid w:val="3BDCF8CF"/>
    <w:rsid w:val="3BE084B9"/>
    <w:rsid w:val="3BE862D4"/>
    <w:rsid w:val="3C089C14"/>
    <w:rsid w:val="3C0DADA9"/>
    <w:rsid w:val="3C2C1795"/>
    <w:rsid w:val="3C3B7DB1"/>
    <w:rsid w:val="3C687DB2"/>
    <w:rsid w:val="3C6E907D"/>
    <w:rsid w:val="3C728DCD"/>
    <w:rsid w:val="3C943160"/>
    <w:rsid w:val="3C946C6B"/>
    <w:rsid w:val="3C992FAD"/>
    <w:rsid w:val="3CB43C56"/>
    <w:rsid w:val="3CD14923"/>
    <w:rsid w:val="3CDB0BE6"/>
    <w:rsid w:val="3CFD5925"/>
    <w:rsid w:val="3D0DC712"/>
    <w:rsid w:val="3D32E2D0"/>
    <w:rsid w:val="3D39D724"/>
    <w:rsid w:val="3D42D401"/>
    <w:rsid w:val="3D4BAA3E"/>
    <w:rsid w:val="3D55FBFF"/>
    <w:rsid w:val="3D8EAC09"/>
    <w:rsid w:val="3D99C631"/>
    <w:rsid w:val="3D9BF34A"/>
    <w:rsid w:val="3DAD0CB6"/>
    <w:rsid w:val="3DBC08F7"/>
    <w:rsid w:val="3DD87FD7"/>
    <w:rsid w:val="3DDCB8DE"/>
    <w:rsid w:val="3DE87B25"/>
    <w:rsid w:val="3DE99639"/>
    <w:rsid w:val="3DEBC91F"/>
    <w:rsid w:val="3DF9050F"/>
    <w:rsid w:val="3E2805E3"/>
    <w:rsid w:val="3E2A92EA"/>
    <w:rsid w:val="3E31E24C"/>
    <w:rsid w:val="3E4B0977"/>
    <w:rsid w:val="3E4D497D"/>
    <w:rsid w:val="3E59B2D8"/>
    <w:rsid w:val="3E5A0DAD"/>
    <w:rsid w:val="3E6E2A1C"/>
    <w:rsid w:val="3E8BEAE4"/>
    <w:rsid w:val="3E8FC891"/>
    <w:rsid w:val="3EB905C9"/>
    <w:rsid w:val="3EC3EB32"/>
    <w:rsid w:val="3ECAB27A"/>
    <w:rsid w:val="3EDE4C6C"/>
    <w:rsid w:val="3EE96FF7"/>
    <w:rsid w:val="3EF406A9"/>
    <w:rsid w:val="3EFC230E"/>
    <w:rsid w:val="3EFCEDCE"/>
    <w:rsid w:val="3F0A2C74"/>
    <w:rsid w:val="3F0FCCFA"/>
    <w:rsid w:val="3F1E8B34"/>
    <w:rsid w:val="3F27A350"/>
    <w:rsid w:val="3F758CF6"/>
    <w:rsid w:val="3FA7781B"/>
    <w:rsid w:val="3FC2F5D3"/>
    <w:rsid w:val="3FF45806"/>
    <w:rsid w:val="40117F18"/>
    <w:rsid w:val="4023D269"/>
    <w:rsid w:val="4045C57B"/>
    <w:rsid w:val="4069DEF4"/>
    <w:rsid w:val="40A02CBD"/>
    <w:rsid w:val="40A034E7"/>
    <w:rsid w:val="40A4EE55"/>
    <w:rsid w:val="40A86657"/>
    <w:rsid w:val="40D65903"/>
    <w:rsid w:val="40F0AFE0"/>
    <w:rsid w:val="40F14942"/>
    <w:rsid w:val="40FFCC83"/>
    <w:rsid w:val="40FFE938"/>
    <w:rsid w:val="41335FE1"/>
    <w:rsid w:val="413EED52"/>
    <w:rsid w:val="414430EF"/>
    <w:rsid w:val="4148C524"/>
    <w:rsid w:val="414D0E3E"/>
    <w:rsid w:val="41515015"/>
    <w:rsid w:val="4158EE86"/>
    <w:rsid w:val="4173EC39"/>
    <w:rsid w:val="417FF5B0"/>
    <w:rsid w:val="41834C23"/>
    <w:rsid w:val="4183618C"/>
    <w:rsid w:val="41AC460A"/>
    <w:rsid w:val="41DAF725"/>
    <w:rsid w:val="41E8FDEA"/>
    <w:rsid w:val="41F3FE40"/>
    <w:rsid w:val="42148F4F"/>
    <w:rsid w:val="4221BFF0"/>
    <w:rsid w:val="42242578"/>
    <w:rsid w:val="422997F7"/>
    <w:rsid w:val="42373BB8"/>
    <w:rsid w:val="424B741F"/>
    <w:rsid w:val="4253BF9E"/>
    <w:rsid w:val="427ECCC7"/>
    <w:rsid w:val="42AECDFA"/>
    <w:rsid w:val="42AF50E5"/>
    <w:rsid w:val="42BF3AE6"/>
    <w:rsid w:val="42CD537D"/>
    <w:rsid w:val="42D02F28"/>
    <w:rsid w:val="42D8F4A2"/>
    <w:rsid w:val="42DDE4F1"/>
    <w:rsid w:val="42E7A932"/>
    <w:rsid w:val="42F06949"/>
    <w:rsid w:val="42FB732B"/>
    <w:rsid w:val="43049224"/>
    <w:rsid w:val="430C0DED"/>
    <w:rsid w:val="430D278D"/>
    <w:rsid w:val="433C554B"/>
    <w:rsid w:val="435B507A"/>
    <w:rsid w:val="435EBB5D"/>
    <w:rsid w:val="436F715D"/>
    <w:rsid w:val="4373A86B"/>
    <w:rsid w:val="438123E0"/>
    <w:rsid w:val="4393B150"/>
    <w:rsid w:val="439EBC48"/>
    <w:rsid w:val="43A52658"/>
    <w:rsid w:val="43AD9128"/>
    <w:rsid w:val="43B6EAEF"/>
    <w:rsid w:val="43B89179"/>
    <w:rsid w:val="43BC83DD"/>
    <w:rsid w:val="43CE1E6D"/>
    <w:rsid w:val="43D09869"/>
    <w:rsid w:val="43E3A4EE"/>
    <w:rsid w:val="43EDD1D7"/>
    <w:rsid w:val="43F1A439"/>
    <w:rsid w:val="43F5483B"/>
    <w:rsid w:val="43FA720E"/>
    <w:rsid w:val="43FE9434"/>
    <w:rsid w:val="440371F3"/>
    <w:rsid w:val="442BB1E7"/>
    <w:rsid w:val="442D2ED0"/>
    <w:rsid w:val="443149A4"/>
    <w:rsid w:val="443705B2"/>
    <w:rsid w:val="444EB0F0"/>
    <w:rsid w:val="44741EBC"/>
    <w:rsid w:val="4495637C"/>
    <w:rsid w:val="44A14E0A"/>
    <w:rsid w:val="44A25D46"/>
    <w:rsid w:val="44B6E6FE"/>
    <w:rsid w:val="44C417FC"/>
    <w:rsid w:val="44C8DF7F"/>
    <w:rsid w:val="44D0ED1B"/>
    <w:rsid w:val="44D44B8A"/>
    <w:rsid w:val="44EA6597"/>
    <w:rsid w:val="44EC4951"/>
    <w:rsid w:val="44F2C95A"/>
    <w:rsid w:val="4500CD8D"/>
    <w:rsid w:val="4508BC65"/>
    <w:rsid w:val="4514B486"/>
    <w:rsid w:val="45162A3B"/>
    <w:rsid w:val="451BED8C"/>
    <w:rsid w:val="453B1E8E"/>
    <w:rsid w:val="45429870"/>
    <w:rsid w:val="45445DBE"/>
    <w:rsid w:val="456743A3"/>
    <w:rsid w:val="45717F77"/>
    <w:rsid w:val="45785610"/>
    <w:rsid w:val="4579A5C7"/>
    <w:rsid w:val="458518CB"/>
    <w:rsid w:val="458DDD7A"/>
    <w:rsid w:val="459B6BC6"/>
    <w:rsid w:val="45A67ADA"/>
    <w:rsid w:val="45AF1206"/>
    <w:rsid w:val="45C3461F"/>
    <w:rsid w:val="45CCB327"/>
    <w:rsid w:val="461718DB"/>
    <w:rsid w:val="46247CD3"/>
    <w:rsid w:val="46355476"/>
    <w:rsid w:val="463BF97C"/>
    <w:rsid w:val="4641730C"/>
    <w:rsid w:val="464D9EFF"/>
    <w:rsid w:val="467E43A3"/>
    <w:rsid w:val="46CDEAF0"/>
    <w:rsid w:val="46D4CFA4"/>
    <w:rsid w:val="46DFC4B9"/>
    <w:rsid w:val="46E00712"/>
    <w:rsid w:val="46E8F6E9"/>
    <w:rsid w:val="47070418"/>
    <w:rsid w:val="472D4B09"/>
    <w:rsid w:val="474192C0"/>
    <w:rsid w:val="474F7B51"/>
    <w:rsid w:val="47690C35"/>
    <w:rsid w:val="4775FF2D"/>
    <w:rsid w:val="4778DF41"/>
    <w:rsid w:val="47B12EC2"/>
    <w:rsid w:val="47CDCDE0"/>
    <w:rsid w:val="47FE48C0"/>
    <w:rsid w:val="480EAA44"/>
    <w:rsid w:val="4821DE4D"/>
    <w:rsid w:val="482375D8"/>
    <w:rsid w:val="4823C01B"/>
    <w:rsid w:val="48319CBC"/>
    <w:rsid w:val="483C6214"/>
    <w:rsid w:val="48563EEB"/>
    <w:rsid w:val="485858EF"/>
    <w:rsid w:val="48A8F7E1"/>
    <w:rsid w:val="48AE3C7D"/>
    <w:rsid w:val="48B50085"/>
    <w:rsid w:val="48BC8F2F"/>
    <w:rsid w:val="48C1D88C"/>
    <w:rsid w:val="48C6EACA"/>
    <w:rsid w:val="48C78141"/>
    <w:rsid w:val="48D29086"/>
    <w:rsid w:val="48D2DFE9"/>
    <w:rsid w:val="48FA3E96"/>
    <w:rsid w:val="4915F8DA"/>
    <w:rsid w:val="491C8842"/>
    <w:rsid w:val="492EAB44"/>
    <w:rsid w:val="49534C38"/>
    <w:rsid w:val="49555F64"/>
    <w:rsid w:val="4964AB17"/>
    <w:rsid w:val="49703E8E"/>
    <w:rsid w:val="498255AD"/>
    <w:rsid w:val="4983EBDE"/>
    <w:rsid w:val="499A8533"/>
    <w:rsid w:val="49A780BB"/>
    <w:rsid w:val="49A8C092"/>
    <w:rsid w:val="49B0F5F0"/>
    <w:rsid w:val="49BB20E4"/>
    <w:rsid w:val="49C6791D"/>
    <w:rsid w:val="49D65CAF"/>
    <w:rsid w:val="49E20676"/>
    <w:rsid w:val="49E38999"/>
    <w:rsid w:val="4A2921D9"/>
    <w:rsid w:val="4A5FB56E"/>
    <w:rsid w:val="4A656682"/>
    <w:rsid w:val="4A69EE5B"/>
    <w:rsid w:val="4A8168DF"/>
    <w:rsid w:val="4A8502D8"/>
    <w:rsid w:val="4A9D5137"/>
    <w:rsid w:val="4ACB6489"/>
    <w:rsid w:val="4AE74EBF"/>
    <w:rsid w:val="4AF4593D"/>
    <w:rsid w:val="4B01EA2E"/>
    <w:rsid w:val="4B27798B"/>
    <w:rsid w:val="4B2E1C1E"/>
    <w:rsid w:val="4B37501D"/>
    <w:rsid w:val="4B51EA72"/>
    <w:rsid w:val="4B6C0A50"/>
    <w:rsid w:val="4B8A9F13"/>
    <w:rsid w:val="4B9DCAEC"/>
    <w:rsid w:val="4BA3C66A"/>
    <w:rsid w:val="4BD28C46"/>
    <w:rsid w:val="4BEC0DEB"/>
    <w:rsid w:val="4BFE59FF"/>
    <w:rsid w:val="4C0BAEB5"/>
    <w:rsid w:val="4C180DD7"/>
    <w:rsid w:val="4C30C1E0"/>
    <w:rsid w:val="4C40B0AC"/>
    <w:rsid w:val="4C4D425F"/>
    <w:rsid w:val="4C6556E9"/>
    <w:rsid w:val="4C731BD7"/>
    <w:rsid w:val="4C93F552"/>
    <w:rsid w:val="4C9E6E0F"/>
    <w:rsid w:val="4CA04DAA"/>
    <w:rsid w:val="4CB89F64"/>
    <w:rsid w:val="4CBAE5E8"/>
    <w:rsid w:val="4CCA169B"/>
    <w:rsid w:val="4CDDB48F"/>
    <w:rsid w:val="4CE7F7EF"/>
    <w:rsid w:val="4CF61AD2"/>
    <w:rsid w:val="4D0F9539"/>
    <w:rsid w:val="4D174426"/>
    <w:rsid w:val="4D1866A0"/>
    <w:rsid w:val="4D192225"/>
    <w:rsid w:val="4D1DAB45"/>
    <w:rsid w:val="4D2952DF"/>
    <w:rsid w:val="4D2CC435"/>
    <w:rsid w:val="4D2DA0E6"/>
    <w:rsid w:val="4D33E611"/>
    <w:rsid w:val="4D3658A4"/>
    <w:rsid w:val="4D3CD13F"/>
    <w:rsid w:val="4D42C006"/>
    <w:rsid w:val="4D6901A1"/>
    <w:rsid w:val="4D6E5BE4"/>
    <w:rsid w:val="4D85BC75"/>
    <w:rsid w:val="4D95EC3D"/>
    <w:rsid w:val="4D9DFA01"/>
    <w:rsid w:val="4DA9AEF3"/>
    <w:rsid w:val="4DADD764"/>
    <w:rsid w:val="4DB753A2"/>
    <w:rsid w:val="4DB94C5B"/>
    <w:rsid w:val="4DB9B95C"/>
    <w:rsid w:val="4DBA3FD8"/>
    <w:rsid w:val="4DD05669"/>
    <w:rsid w:val="4DE9591D"/>
    <w:rsid w:val="4E1AB7B4"/>
    <w:rsid w:val="4E1DB1B8"/>
    <w:rsid w:val="4E36DAD7"/>
    <w:rsid w:val="4E5369F4"/>
    <w:rsid w:val="4E6C4167"/>
    <w:rsid w:val="4E6EA77C"/>
    <w:rsid w:val="4E79240D"/>
    <w:rsid w:val="4E79B9A9"/>
    <w:rsid w:val="4E7B954D"/>
    <w:rsid w:val="4E82FE07"/>
    <w:rsid w:val="4E8D0D0C"/>
    <w:rsid w:val="4EA7EC97"/>
    <w:rsid w:val="4EB4024C"/>
    <w:rsid w:val="4EC59919"/>
    <w:rsid w:val="4ED4D707"/>
    <w:rsid w:val="4F0007D9"/>
    <w:rsid w:val="4F041E0C"/>
    <w:rsid w:val="4F054E7A"/>
    <w:rsid w:val="4F1263F0"/>
    <w:rsid w:val="4F1845E0"/>
    <w:rsid w:val="4F1FB8B4"/>
    <w:rsid w:val="4F2AA024"/>
    <w:rsid w:val="4F2D3AB9"/>
    <w:rsid w:val="4F2E05B7"/>
    <w:rsid w:val="4F30E6A6"/>
    <w:rsid w:val="4F348E9B"/>
    <w:rsid w:val="4F368081"/>
    <w:rsid w:val="4F482361"/>
    <w:rsid w:val="4F8E82EC"/>
    <w:rsid w:val="4F90629B"/>
    <w:rsid w:val="4F91DEA6"/>
    <w:rsid w:val="4F981C15"/>
    <w:rsid w:val="4FB43E48"/>
    <w:rsid w:val="4FCFA6CD"/>
    <w:rsid w:val="4FDBD2D2"/>
    <w:rsid w:val="4FE6B090"/>
    <w:rsid w:val="4FEF3C8E"/>
    <w:rsid w:val="4FF2145A"/>
    <w:rsid w:val="4FF2F265"/>
    <w:rsid w:val="501BA0CE"/>
    <w:rsid w:val="50375B17"/>
    <w:rsid w:val="50408D66"/>
    <w:rsid w:val="50666992"/>
    <w:rsid w:val="508FF0BA"/>
    <w:rsid w:val="509116C9"/>
    <w:rsid w:val="5096CDD7"/>
    <w:rsid w:val="5096F414"/>
    <w:rsid w:val="50C07E2F"/>
    <w:rsid w:val="50DD98CD"/>
    <w:rsid w:val="50E53BFF"/>
    <w:rsid w:val="50E90D11"/>
    <w:rsid w:val="50EDCF92"/>
    <w:rsid w:val="51099D76"/>
    <w:rsid w:val="510C6704"/>
    <w:rsid w:val="51170AF2"/>
    <w:rsid w:val="51463915"/>
    <w:rsid w:val="51502E0B"/>
    <w:rsid w:val="5151C71C"/>
    <w:rsid w:val="5154589F"/>
    <w:rsid w:val="516C921C"/>
    <w:rsid w:val="51808A90"/>
    <w:rsid w:val="51A07AA7"/>
    <w:rsid w:val="51A212BC"/>
    <w:rsid w:val="51AE90F2"/>
    <w:rsid w:val="51B419DA"/>
    <w:rsid w:val="51BCBAF1"/>
    <w:rsid w:val="51BF7087"/>
    <w:rsid w:val="51C6F296"/>
    <w:rsid w:val="51DD758F"/>
    <w:rsid w:val="51F145E3"/>
    <w:rsid w:val="51FC049F"/>
    <w:rsid w:val="5202771D"/>
    <w:rsid w:val="52300E76"/>
    <w:rsid w:val="523F36B5"/>
    <w:rsid w:val="5270A1B2"/>
    <w:rsid w:val="527B8C39"/>
    <w:rsid w:val="527FF9F8"/>
    <w:rsid w:val="528B9AA5"/>
    <w:rsid w:val="528E2F2A"/>
    <w:rsid w:val="52925397"/>
    <w:rsid w:val="5296C818"/>
    <w:rsid w:val="529FB1E7"/>
    <w:rsid w:val="52B0DF93"/>
    <w:rsid w:val="52B400CB"/>
    <w:rsid w:val="52D6BE04"/>
    <w:rsid w:val="52D7719A"/>
    <w:rsid w:val="52F29C0D"/>
    <w:rsid w:val="52F858BC"/>
    <w:rsid w:val="52FCF1D7"/>
    <w:rsid w:val="531DBB1B"/>
    <w:rsid w:val="53239C2E"/>
    <w:rsid w:val="532AC086"/>
    <w:rsid w:val="5341AC1A"/>
    <w:rsid w:val="534AEB12"/>
    <w:rsid w:val="535DA3CA"/>
    <w:rsid w:val="5379CA79"/>
    <w:rsid w:val="538D287E"/>
    <w:rsid w:val="538E6A26"/>
    <w:rsid w:val="5390C4E2"/>
    <w:rsid w:val="5391EB85"/>
    <w:rsid w:val="5397391A"/>
    <w:rsid w:val="53A78417"/>
    <w:rsid w:val="53D198C6"/>
    <w:rsid w:val="53E6A354"/>
    <w:rsid w:val="544B1986"/>
    <w:rsid w:val="545C2FFA"/>
    <w:rsid w:val="54707FE5"/>
    <w:rsid w:val="5481D6F4"/>
    <w:rsid w:val="54928137"/>
    <w:rsid w:val="54AD4EB5"/>
    <w:rsid w:val="54CE50DC"/>
    <w:rsid w:val="54DD10BE"/>
    <w:rsid w:val="5503578B"/>
    <w:rsid w:val="5512A442"/>
    <w:rsid w:val="551B574C"/>
    <w:rsid w:val="5523410A"/>
    <w:rsid w:val="55455846"/>
    <w:rsid w:val="554DC228"/>
    <w:rsid w:val="55519B33"/>
    <w:rsid w:val="5562AA89"/>
    <w:rsid w:val="556DEDB4"/>
    <w:rsid w:val="558F3B7B"/>
    <w:rsid w:val="55A0C560"/>
    <w:rsid w:val="55B8E9B3"/>
    <w:rsid w:val="55CBC19E"/>
    <w:rsid w:val="55CEC70D"/>
    <w:rsid w:val="55D67E0E"/>
    <w:rsid w:val="55E5EBA3"/>
    <w:rsid w:val="55EBB897"/>
    <w:rsid w:val="55FFF356"/>
    <w:rsid w:val="560D8806"/>
    <w:rsid w:val="5622C68F"/>
    <w:rsid w:val="56426B26"/>
    <w:rsid w:val="56461358"/>
    <w:rsid w:val="56547423"/>
    <w:rsid w:val="566B0B2B"/>
    <w:rsid w:val="5678A671"/>
    <w:rsid w:val="567B3950"/>
    <w:rsid w:val="567C675F"/>
    <w:rsid w:val="56C83477"/>
    <w:rsid w:val="56EBFB15"/>
    <w:rsid w:val="56ECD40B"/>
    <w:rsid w:val="56F8780B"/>
    <w:rsid w:val="56FA30D1"/>
    <w:rsid w:val="56FB505E"/>
    <w:rsid w:val="5734F27C"/>
    <w:rsid w:val="574594BC"/>
    <w:rsid w:val="574BF708"/>
    <w:rsid w:val="57509821"/>
    <w:rsid w:val="57AB374F"/>
    <w:rsid w:val="57AE6D46"/>
    <w:rsid w:val="57AE9DDA"/>
    <w:rsid w:val="57B63C96"/>
    <w:rsid w:val="57B777B2"/>
    <w:rsid w:val="57C235D7"/>
    <w:rsid w:val="57EB1CE8"/>
    <w:rsid w:val="57F4CB79"/>
    <w:rsid w:val="57FFAEAE"/>
    <w:rsid w:val="58090A7B"/>
    <w:rsid w:val="580D566C"/>
    <w:rsid w:val="581BC2E0"/>
    <w:rsid w:val="58370440"/>
    <w:rsid w:val="58433A66"/>
    <w:rsid w:val="584686AE"/>
    <w:rsid w:val="5866CEF5"/>
    <w:rsid w:val="586C6D00"/>
    <w:rsid w:val="586E4F2B"/>
    <w:rsid w:val="58718F32"/>
    <w:rsid w:val="5872AD6D"/>
    <w:rsid w:val="5888C2EC"/>
    <w:rsid w:val="588AC7BC"/>
    <w:rsid w:val="58A40DFB"/>
    <w:rsid w:val="58C4A22E"/>
    <w:rsid w:val="58CC5A2F"/>
    <w:rsid w:val="58CF1E22"/>
    <w:rsid w:val="58D3A07B"/>
    <w:rsid w:val="58DBEF7C"/>
    <w:rsid w:val="58E12E41"/>
    <w:rsid w:val="58EBFAF8"/>
    <w:rsid w:val="58F222A4"/>
    <w:rsid w:val="58FA7232"/>
    <w:rsid w:val="591593B0"/>
    <w:rsid w:val="59160BEC"/>
    <w:rsid w:val="592219DB"/>
    <w:rsid w:val="592CFA2F"/>
    <w:rsid w:val="592D932A"/>
    <w:rsid w:val="593C36BE"/>
    <w:rsid w:val="594647EB"/>
    <w:rsid w:val="595946AA"/>
    <w:rsid w:val="5964A36D"/>
    <w:rsid w:val="596955A8"/>
    <w:rsid w:val="596FCC6E"/>
    <w:rsid w:val="597E978B"/>
    <w:rsid w:val="598AA2EC"/>
    <w:rsid w:val="598B2D9F"/>
    <w:rsid w:val="59B014C1"/>
    <w:rsid w:val="59B5005D"/>
    <w:rsid w:val="59B8A01F"/>
    <w:rsid w:val="59B92768"/>
    <w:rsid w:val="59BC8135"/>
    <w:rsid w:val="59E480F8"/>
    <w:rsid w:val="59E59268"/>
    <w:rsid w:val="59F759CD"/>
    <w:rsid w:val="59FDFC98"/>
    <w:rsid w:val="5A1FE125"/>
    <w:rsid w:val="5A3397F2"/>
    <w:rsid w:val="5A4D28B2"/>
    <w:rsid w:val="5A4F7E15"/>
    <w:rsid w:val="5A57A6E2"/>
    <w:rsid w:val="5A714714"/>
    <w:rsid w:val="5A87034D"/>
    <w:rsid w:val="5AAFCA11"/>
    <w:rsid w:val="5AD1DBFA"/>
    <w:rsid w:val="5AE8907A"/>
    <w:rsid w:val="5B09BE85"/>
    <w:rsid w:val="5B15F2CA"/>
    <w:rsid w:val="5B187D9D"/>
    <w:rsid w:val="5B1BBFB3"/>
    <w:rsid w:val="5B217D3B"/>
    <w:rsid w:val="5B35CCF9"/>
    <w:rsid w:val="5B451875"/>
    <w:rsid w:val="5B62F5E8"/>
    <w:rsid w:val="5B6CB850"/>
    <w:rsid w:val="5B89C359"/>
    <w:rsid w:val="5BA48A2E"/>
    <w:rsid w:val="5BA84BCB"/>
    <w:rsid w:val="5BAC0E0E"/>
    <w:rsid w:val="5BB263E5"/>
    <w:rsid w:val="5BBC0751"/>
    <w:rsid w:val="5BC2CCE4"/>
    <w:rsid w:val="5BE84780"/>
    <w:rsid w:val="5BF8FDA9"/>
    <w:rsid w:val="5C006071"/>
    <w:rsid w:val="5C32B0F1"/>
    <w:rsid w:val="5C355E86"/>
    <w:rsid w:val="5C587081"/>
    <w:rsid w:val="5C5B10E8"/>
    <w:rsid w:val="5C655099"/>
    <w:rsid w:val="5C6DA78F"/>
    <w:rsid w:val="5C70C772"/>
    <w:rsid w:val="5C7E581F"/>
    <w:rsid w:val="5C81E26D"/>
    <w:rsid w:val="5C89F477"/>
    <w:rsid w:val="5C8C322C"/>
    <w:rsid w:val="5CA9B02B"/>
    <w:rsid w:val="5CAF40C7"/>
    <w:rsid w:val="5CB0E19E"/>
    <w:rsid w:val="5CB59C02"/>
    <w:rsid w:val="5CBF8E17"/>
    <w:rsid w:val="5CF47CDE"/>
    <w:rsid w:val="5CF5A129"/>
    <w:rsid w:val="5D027662"/>
    <w:rsid w:val="5D0B3821"/>
    <w:rsid w:val="5D1DF030"/>
    <w:rsid w:val="5D3EF6C0"/>
    <w:rsid w:val="5D50BFD6"/>
    <w:rsid w:val="5D601EB3"/>
    <w:rsid w:val="5D688F12"/>
    <w:rsid w:val="5D75A9ED"/>
    <w:rsid w:val="5D7F0A6D"/>
    <w:rsid w:val="5D9A04FE"/>
    <w:rsid w:val="5D9FC508"/>
    <w:rsid w:val="5DA36C57"/>
    <w:rsid w:val="5DAB6117"/>
    <w:rsid w:val="5DB5A67B"/>
    <w:rsid w:val="5DB5E3D9"/>
    <w:rsid w:val="5DB6A0E3"/>
    <w:rsid w:val="5DD5349E"/>
    <w:rsid w:val="5DE2A2F3"/>
    <w:rsid w:val="5DEC59E6"/>
    <w:rsid w:val="5DED4A36"/>
    <w:rsid w:val="5DF5FE53"/>
    <w:rsid w:val="5E084D9B"/>
    <w:rsid w:val="5E10C94B"/>
    <w:rsid w:val="5E16FFA3"/>
    <w:rsid w:val="5E1BEB19"/>
    <w:rsid w:val="5E225165"/>
    <w:rsid w:val="5E2B6D79"/>
    <w:rsid w:val="5E2E290C"/>
    <w:rsid w:val="5E318E78"/>
    <w:rsid w:val="5E33EA08"/>
    <w:rsid w:val="5E3907E2"/>
    <w:rsid w:val="5E3E7361"/>
    <w:rsid w:val="5E5AFB32"/>
    <w:rsid w:val="5E5D59D4"/>
    <w:rsid w:val="5E7EEBCC"/>
    <w:rsid w:val="5E81D236"/>
    <w:rsid w:val="5E8F2F0E"/>
    <w:rsid w:val="5E9F2000"/>
    <w:rsid w:val="5EADA56B"/>
    <w:rsid w:val="5EAFCA1A"/>
    <w:rsid w:val="5EB85784"/>
    <w:rsid w:val="5EC4D5F8"/>
    <w:rsid w:val="5ED4E8BA"/>
    <w:rsid w:val="5EE68F4B"/>
    <w:rsid w:val="5EFBB6C9"/>
    <w:rsid w:val="5F085360"/>
    <w:rsid w:val="5F221E8A"/>
    <w:rsid w:val="5F49B196"/>
    <w:rsid w:val="5F58E8BB"/>
    <w:rsid w:val="5F6A0BA2"/>
    <w:rsid w:val="5F9407E8"/>
    <w:rsid w:val="5F9CBCEA"/>
    <w:rsid w:val="5FB02EC4"/>
    <w:rsid w:val="5FC6BADF"/>
    <w:rsid w:val="5FCE02DD"/>
    <w:rsid w:val="5FE427BC"/>
    <w:rsid w:val="5FEB8920"/>
    <w:rsid w:val="5FF94498"/>
    <w:rsid w:val="5FFCDECA"/>
    <w:rsid w:val="600098FE"/>
    <w:rsid w:val="60165149"/>
    <w:rsid w:val="6037407D"/>
    <w:rsid w:val="603A38D4"/>
    <w:rsid w:val="604F795D"/>
    <w:rsid w:val="605DAD05"/>
    <w:rsid w:val="605EC108"/>
    <w:rsid w:val="6064E191"/>
    <w:rsid w:val="60697A9F"/>
    <w:rsid w:val="607996E0"/>
    <w:rsid w:val="6089DD21"/>
    <w:rsid w:val="608BC4EA"/>
    <w:rsid w:val="60996624"/>
    <w:rsid w:val="60A7AA8D"/>
    <w:rsid w:val="60CA6096"/>
    <w:rsid w:val="60D0AE0B"/>
    <w:rsid w:val="60D235B7"/>
    <w:rsid w:val="6113CE47"/>
    <w:rsid w:val="613E4F1A"/>
    <w:rsid w:val="61570A73"/>
    <w:rsid w:val="617099E3"/>
    <w:rsid w:val="617150CE"/>
    <w:rsid w:val="6171E918"/>
    <w:rsid w:val="617F482F"/>
    <w:rsid w:val="618A169A"/>
    <w:rsid w:val="619057F3"/>
    <w:rsid w:val="61932207"/>
    <w:rsid w:val="61A666E8"/>
    <w:rsid w:val="61AAA858"/>
    <w:rsid w:val="61C8685B"/>
    <w:rsid w:val="61E96B25"/>
    <w:rsid w:val="61ED9F70"/>
    <w:rsid w:val="61EDFC33"/>
    <w:rsid w:val="61F2D6D1"/>
    <w:rsid w:val="6205665C"/>
    <w:rsid w:val="62132E42"/>
    <w:rsid w:val="621B4727"/>
    <w:rsid w:val="621EB6CC"/>
    <w:rsid w:val="622995DF"/>
    <w:rsid w:val="622A1F96"/>
    <w:rsid w:val="622E5768"/>
    <w:rsid w:val="62500A53"/>
    <w:rsid w:val="625A9F9A"/>
    <w:rsid w:val="6271F608"/>
    <w:rsid w:val="62A2E83D"/>
    <w:rsid w:val="62AE53F2"/>
    <w:rsid w:val="62D11D95"/>
    <w:rsid w:val="630AF2F3"/>
    <w:rsid w:val="630BACFF"/>
    <w:rsid w:val="630D001B"/>
    <w:rsid w:val="630D9B42"/>
    <w:rsid w:val="631B413D"/>
    <w:rsid w:val="633BA3D2"/>
    <w:rsid w:val="634F62B8"/>
    <w:rsid w:val="63612643"/>
    <w:rsid w:val="636B0120"/>
    <w:rsid w:val="638A0B89"/>
    <w:rsid w:val="638BB45F"/>
    <w:rsid w:val="63B024E9"/>
    <w:rsid w:val="63CAB918"/>
    <w:rsid w:val="63F1A413"/>
    <w:rsid w:val="63FE5714"/>
    <w:rsid w:val="6408707D"/>
    <w:rsid w:val="640A1717"/>
    <w:rsid w:val="6421B127"/>
    <w:rsid w:val="642F3C75"/>
    <w:rsid w:val="64426149"/>
    <w:rsid w:val="6443F0C6"/>
    <w:rsid w:val="647399C1"/>
    <w:rsid w:val="64757834"/>
    <w:rsid w:val="6476BC41"/>
    <w:rsid w:val="648B1744"/>
    <w:rsid w:val="64977836"/>
    <w:rsid w:val="6498358B"/>
    <w:rsid w:val="649C94DF"/>
    <w:rsid w:val="64AAB13E"/>
    <w:rsid w:val="64B01C46"/>
    <w:rsid w:val="64B1458A"/>
    <w:rsid w:val="64B4FB02"/>
    <w:rsid w:val="64C1CE5A"/>
    <w:rsid w:val="64C22527"/>
    <w:rsid w:val="64DA37BF"/>
    <w:rsid w:val="64E52260"/>
    <w:rsid w:val="64E65893"/>
    <w:rsid w:val="64EA797A"/>
    <w:rsid w:val="64FB2D8E"/>
    <w:rsid w:val="6502D373"/>
    <w:rsid w:val="6503ABDB"/>
    <w:rsid w:val="650477B2"/>
    <w:rsid w:val="655349C8"/>
    <w:rsid w:val="65678930"/>
    <w:rsid w:val="656A528D"/>
    <w:rsid w:val="6571CD04"/>
    <w:rsid w:val="65722F62"/>
    <w:rsid w:val="65733132"/>
    <w:rsid w:val="6583A1D1"/>
    <w:rsid w:val="658C4B3D"/>
    <w:rsid w:val="65986537"/>
    <w:rsid w:val="65AAD762"/>
    <w:rsid w:val="65B4CCFA"/>
    <w:rsid w:val="65CBF33A"/>
    <w:rsid w:val="65D84586"/>
    <w:rsid w:val="65E30168"/>
    <w:rsid w:val="660418E6"/>
    <w:rsid w:val="6612BAD9"/>
    <w:rsid w:val="66266FFF"/>
    <w:rsid w:val="662AFD0E"/>
    <w:rsid w:val="664B5549"/>
    <w:rsid w:val="66528FA2"/>
    <w:rsid w:val="668F8B01"/>
    <w:rsid w:val="66ABA054"/>
    <w:rsid w:val="66B33E23"/>
    <w:rsid w:val="66B87DD7"/>
    <w:rsid w:val="66BB77C4"/>
    <w:rsid w:val="66C70A8D"/>
    <w:rsid w:val="6733A313"/>
    <w:rsid w:val="67480357"/>
    <w:rsid w:val="67602108"/>
    <w:rsid w:val="67640367"/>
    <w:rsid w:val="6782AACB"/>
    <w:rsid w:val="6790B4DD"/>
    <w:rsid w:val="67A8DA01"/>
    <w:rsid w:val="67BF17D1"/>
    <w:rsid w:val="67E35888"/>
    <w:rsid w:val="67F5EA3A"/>
    <w:rsid w:val="68174B2D"/>
    <w:rsid w:val="68323052"/>
    <w:rsid w:val="683A5901"/>
    <w:rsid w:val="68501904"/>
    <w:rsid w:val="685BCCCE"/>
    <w:rsid w:val="687963B3"/>
    <w:rsid w:val="6882016A"/>
    <w:rsid w:val="688DC4D8"/>
    <w:rsid w:val="689F33DF"/>
    <w:rsid w:val="68A31713"/>
    <w:rsid w:val="68B3ED2F"/>
    <w:rsid w:val="68BE915D"/>
    <w:rsid w:val="68C90E8B"/>
    <w:rsid w:val="68CDC3DD"/>
    <w:rsid w:val="68E41B54"/>
    <w:rsid w:val="68E49F94"/>
    <w:rsid w:val="68ECB98B"/>
    <w:rsid w:val="68FB0426"/>
    <w:rsid w:val="69076664"/>
    <w:rsid w:val="691F87CE"/>
    <w:rsid w:val="6948D5DB"/>
    <w:rsid w:val="696DCBA6"/>
    <w:rsid w:val="6972DC5C"/>
    <w:rsid w:val="698C03BE"/>
    <w:rsid w:val="6992C5C6"/>
    <w:rsid w:val="699D23D6"/>
    <w:rsid w:val="69ACF8BB"/>
    <w:rsid w:val="69BBF0AA"/>
    <w:rsid w:val="69D63333"/>
    <w:rsid w:val="69F446D1"/>
    <w:rsid w:val="6A0C573F"/>
    <w:rsid w:val="6A39F91F"/>
    <w:rsid w:val="6A3DE819"/>
    <w:rsid w:val="6A3E5FB3"/>
    <w:rsid w:val="6A4B20D9"/>
    <w:rsid w:val="6A4C4481"/>
    <w:rsid w:val="6A6859F2"/>
    <w:rsid w:val="6A8399F2"/>
    <w:rsid w:val="6A85225B"/>
    <w:rsid w:val="6A86A7EA"/>
    <w:rsid w:val="6A903FA6"/>
    <w:rsid w:val="6A9080BD"/>
    <w:rsid w:val="6AB9541D"/>
    <w:rsid w:val="6ADF05B7"/>
    <w:rsid w:val="6B0A746B"/>
    <w:rsid w:val="6B16E4EE"/>
    <w:rsid w:val="6B241572"/>
    <w:rsid w:val="6B2A4591"/>
    <w:rsid w:val="6B308C6D"/>
    <w:rsid w:val="6B44A9F9"/>
    <w:rsid w:val="6B48B81F"/>
    <w:rsid w:val="6B63628B"/>
    <w:rsid w:val="6B7A0871"/>
    <w:rsid w:val="6B7D0B48"/>
    <w:rsid w:val="6B8298AD"/>
    <w:rsid w:val="6BA3C985"/>
    <w:rsid w:val="6BD0435C"/>
    <w:rsid w:val="6BD6C50B"/>
    <w:rsid w:val="6C104853"/>
    <w:rsid w:val="6C1AFDE8"/>
    <w:rsid w:val="6C20037E"/>
    <w:rsid w:val="6C30E735"/>
    <w:rsid w:val="6C47B22E"/>
    <w:rsid w:val="6C5340DE"/>
    <w:rsid w:val="6C559E42"/>
    <w:rsid w:val="6C59AF4A"/>
    <w:rsid w:val="6C6F0EB8"/>
    <w:rsid w:val="6C7C529B"/>
    <w:rsid w:val="6CACD221"/>
    <w:rsid w:val="6CAE7B00"/>
    <w:rsid w:val="6CB6C3FE"/>
    <w:rsid w:val="6CC30A61"/>
    <w:rsid w:val="6CCC36E7"/>
    <w:rsid w:val="6CD339D2"/>
    <w:rsid w:val="6CE48880"/>
    <w:rsid w:val="6D149CF1"/>
    <w:rsid w:val="6D15E768"/>
    <w:rsid w:val="6D1C663F"/>
    <w:rsid w:val="6D356FEB"/>
    <w:rsid w:val="6D36C7A2"/>
    <w:rsid w:val="6D86B4EB"/>
    <w:rsid w:val="6D8F3CB8"/>
    <w:rsid w:val="6DA3FCCA"/>
    <w:rsid w:val="6DB5F6BA"/>
    <w:rsid w:val="6DB60791"/>
    <w:rsid w:val="6DB75CB1"/>
    <w:rsid w:val="6DBCE9E2"/>
    <w:rsid w:val="6DBED966"/>
    <w:rsid w:val="6DD1430E"/>
    <w:rsid w:val="6DD29351"/>
    <w:rsid w:val="6DD4782A"/>
    <w:rsid w:val="6DE1427A"/>
    <w:rsid w:val="6DE35ABC"/>
    <w:rsid w:val="6DEABB15"/>
    <w:rsid w:val="6DF1B8E1"/>
    <w:rsid w:val="6E0BEA28"/>
    <w:rsid w:val="6E22C580"/>
    <w:rsid w:val="6E2EBF9B"/>
    <w:rsid w:val="6E34338B"/>
    <w:rsid w:val="6E4BE3EC"/>
    <w:rsid w:val="6E611A61"/>
    <w:rsid w:val="6EAE0228"/>
    <w:rsid w:val="6ED38A26"/>
    <w:rsid w:val="6EE03A69"/>
    <w:rsid w:val="6EE77436"/>
    <w:rsid w:val="6EFC29A8"/>
    <w:rsid w:val="6F1D4854"/>
    <w:rsid w:val="6F21F41F"/>
    <w:rsid w:val="6F4C0D04"/>
    <w:rsid w:val="6F6444CC"/>
    <w:rsid w:val="6F776575"/>
    <w:rsid w:val="6F80293F"/>
    <w:rsid w:val="6FA12DDD"/>
    <w:rsid w:val="6FA3EDFF"/>
    <w:rsid w:val="6FA8C8F3"/>
    <w:rsid w:val="6FBB3AFF"/>
    <w:rsid w:val="6FD7596F"/>
    <w:rsid w:val="6FDF7A26"/>
    <w:rsid w:val="6FF8915E"/>
    <w:rsid w:val="7054C9BF"/>
    <w:rsid w:val="705CA51A"/>
    <w:rsid w:val="706E3F1D"/>
    <w:rsid w:val="70755ACF"/>
    <w:rsid w:val="70778B40"/>
    <w:rsid w:val="70968694"/>
    <w:rsid w:val="70A41366"/>
    <w:rsid w:val="70AAD9B8"/>
    <w:rsid w:val="70B36339"/>
    <w:rsid w:val="70B6801F"/>
    <w:rsid w:val="70B8BD08"/>
    <w:rsid w:val="70B9B789"/>
    <w:rsid w:val="70BA713C"/>
    <w:rsid w:val="70BD1A60"/>
    <w:rsid w:val="70E6D589"/>
    <w:rsid w:val="71049964"/>
    <w:rsid w:val="71262777"/>
    <w:rsid w:val="712DF41A"/>
    <w:rsid w:val="712F116A"/>
    <w:rsid w:val="7157C951"/>
    <w:rsid w:val="715E23E4"/>
    <w:rsid w:val="7176CFBB"/>
    <w:rsid w:val="71772617"/>
    <w:rsid w:val="71784318"/>
    <w:rsid w:val="71806726"/>
    <w:rsid w:val="718475EC"/>
    <w:rsid w:val="719AC110"/>
    <w:rsid w:val="719F8DD7"/>
    <w:rsid w:val="71A8A05A"/>
    <w:rsid w:val="71BBD1C4"/>
    <w:rsid w:val="71BDD380"/>
    <w:rsid w:val="71DFA129"/>
    <w:rsid w:val="71E9F7E5"/>
    <w:rsid w:val="71F08889"/>
    <w:rsid w:val="720855E8"/>
    <w:rsid w:val="72087AC8"/>
    <w:rsid w:val="720A89D7"/>
    <w:rsid w:val="722AA205"/>
    <w:rsid w:val="7240CA6B"/>
    <w:rsid w:val="726F5E1C"/>
    <w:rsid w:val="728AD731"/>
    <w:rsid w:val="72CD397D"/>
    <w:rsid w:val="72F43AEA"/>
    <w:rsid w:val="72F61A2E"/>
    <w:rsid w:val="7303A3E8"/>
    <w:rsid w:val="730CDAD9"/>
    <w:rsid w:val="73155170"/>
    <w:rsid w:val="73291F19"/>
    <w:rsid w:val="732ED7E6"/>
    <w:rsid w:val="7336831F"/>
    <w:rsid w:val="7336F671"/>
    <w:rsid w:val="734B9CCC"/>
    <w:rsid w:val="734BFF62"/>
    <w:rsid w:val="73833435"/>
    <w:rsid w:val="73915A01"/>
    <w:rsid w:val="73CD6A75"/>
    <w:rsid w:val="73D746DA"/>
    <w:rsid w:val="73DE72AF"/>
    <w:rsid w:val="73ECDB12"/>
    <w:rsid w:val="740142B6"/>
    <w:rsid w:val="740DC335"/>
    <w:rsid w:val="74176354"/>
    <w:rsid w:val="7421ECAA"/>
    <w:rsid w:val="743301AD"/>
    <w:rsid w:val="7435931E"/>
    <w:rsid w:val="7435D667"/>
    <w:rsid w:val="7437D2AA"/>
    <w:rsid w:val="743E1201"/>
    <w:rsid w:val="743F6FD3"/>
    <w:rsid w:val="745BF2B5"/>
    <w:rsid w:val="74616798"/>
    <w:rsid w:val="74727E27"/>
    <w:rsid w:val="74816DE6"/>
    <w:rsid w:val="74850A49"/>
    <w:rsid w:val="748EA34E"/>
    <w:rsid w:val="748F86D4"/>
    <w:rsid w:val="74940558"/>
    <w:rsid w:val="74956127"/>
    <w:rsid w:val="74A932E2"/>
    <w:rsid w:val="74D0F8A1"/>
    <w:rsid w:val="74D8EAD6"/>
    <w:rsid w:val="74D94995"/>
    <w:rsid w:val="74DD4F19"/>
    <w:rsid w:val="74DF2B6A"/>
    <w:rsid w:val="74E241B6"/>
    <w:rsid w:val="74E71466"/>
    <w:rsid w:val="74EF8869"/>
    <w:rsid w:val="75155249"/>
    <w:rsid w:val="75346D09"/>
    <w:rsid w:val="753F0BB9"/>
    <w:rsid w:val="75430236"/>
    <w:rsid w:val="75523DD7"/>
    <w:rsid w:val="75560171"/>
    <w:rsid w:val="755E7460"/>
    <w:rsid w:val="75C0A2AD"/>
    <w:rsid w:val="75C62772"/>
    <w:rsid w:val="75FBCB1B"/>
    <w:rsid w:val="7616BBFE"/>
    <w:rsid w:val="7655C0A0"/>
    <w:rsid w:val="765986DE"/>
    <w:rsid w:val="76767EFA"/>
    <w:rsid w:val="768FF5C2"/>
    <w:rsid w:val="76AC86F3"/>
    <w:rsid w:val="76BBAA02"/>
    <w:rsid w:val="76BCBCB9"/>
    <w:rsid w:val="76DA03E1"/>
    <w:rsid w:val="76E2F3A4"/>
    <w:rsid w:val="76FD2013"/>
    <w:rsid w:val="770D90BC"/>
    <w:rsid w:val="772F692D"/>
    <w:rsid w:val="773B7B4B"/>
    <w:rsid w:val="774FB122"/>
    <w:rsid w:val="7757CCA1"/>
    <w:rsid w:val="7761A3E5"/>
    <w:rsid w:val="77691ED2"/>
    <w:rsid w:val="776D7912"/>
    <w:rsid w:val="77723B58"/>
    <w:rsid w:val="7776CD9D"/>
    <w:rsid w:val="7789C0B7"/>
    <w:rsid w:val="7797FB60"/>
    <w:rsid w:val="77ABC575"/>
    <w:rsid w:val="77F58836"/>
    <w:rsid w:val="78093D9C"/>
    <w:rsid w:val="78137790"/>
    <w:rsid w:val="78257587"/>
    <w:rsid w:val="78262CDF"/>
    <w:rsid w:val="782AD162"/>
    <w:rsid w:val="784E70DD"/>
    <w:rsid w:val="788AF6B4"/>
    <w:rsid w:val="78A020ED"/>
    <w:rsid w:val="78B45E89"/>
    <w:rsid w:val="78BCB209"/>
    <w:rsid w:val="78C11428"/>
    <w:rsid w:val="78C4AF16"/>
    <w:rsid w:val="78CC694A"/>
    <w:rsid w:val="78CD4599"/>
    <w:rsid w:val="7900636B"/>
    <w:rsid w:val="79018970"/>
    <w:rsid w:val="7909BCB1"/>
    <w:rsid w:val="790A98E5"/>
    <w:rsid w:val="7935CAA4"/>
    <w:rsid w:val="793B125B"/>
    <w:rsid w:val="793CD824"/>
    <w:rsid w:val="796B0166"/>
    <w:rsid w:val="796D0FFE"/>
    <w:rsid w:val="797E3255"/>
    <w:rsid w:val="7995F5DD"/>
    <w:rsid w:val="79BCBF29"/>
    <w:rsid w:val="79C24284"/>
    <w:rsid w:val="79C95A85"/>
    <w:rsid w:val="79CA21B1"/>
    <w:rsid w:val="79D8A4EB"/>
    <w:rsid w:val="79DDFA57"/>
    <w:rsid w:val="79F2D963"/>
    <w:rsid w:val="7A0117AC"/>
    <w:rsid w:val="7A0B7F2A"/>
    <w:rsid w:val="7A25768D"/>
    <w:rsid w:val="7A2E46DE"/>
    <w:rsid w:val="7A401EFB"/>
    <w:rsid w:val="7A4BB41D"/>
    <w:rsid w:val="7A53F4C4"/>
    <w:rsid w:val="7A57D661"/>
    <w:rsid w:val="7A7159B3"/>
    <w:rsid w:val="7A9C0EE8"/>
    <w:rsid w:val="7AA3C0F3"/>
    <w:rsid w:val="7AD517C0"/>
    <w:rsid w:val="7AD7D8C4"/>
    <w:rsid w:val="7AE574CC"/>
    <w:rsid w:val="7AECF9AE"/>
    <w:rsid w:val="7AF422A3"/>
    <w:rsid w:val="7B068E0E"/>
    <w:rsid w:val="7B3AFDFF"/>
    <w:rsid w:val="7B4AC7ED"/>
    <w:rsid w:val="7B52126D"/>
    <w:rsid w:val="7B555DA4"/>
    <w:rsid w:val="7B59DD5C"/>
    <w:rsid w:val="7B5C5760"/>
    <w:rsid w:val="7B608870"/>
    <w:rsid w:val="7B66A183"/>
    <w:rsid w:val="7B7150FF"/>
    <w:rsid w:val="7B746EE5"/>
    <w:rsid w:val="7B93CAF2"/>
    <w:rsid w:val="7BA203D2"/>
    <w:rsid w:val="7BA9EF2A"/>
    <w:rsid w:val="7BCA3F61"/>
    <w:rsid w:val="7BCAA6C0"/>
    <w:rsid w:val="7BCC2190"/>
    <w:rsid w:val="7BD6499E"/>
    <w:rsid w:val="7BDC91CA"/>
    <w:rsid w:val="7BE81954"/>
    <w:rsid w:val="7C29031A"/>
    <w:rsid w:val="7C29AA81"/>
    <w:rsid w:val="7C4132EE"/>
    <w:rsid w:val="7C445068"/>
    <w:rsid w:val="7C46DB38"/>
    <w:rsid w:val="7C65DF67"/>
    <w:rsid w:val="7C6CFCA3"/>
    <w:rsid w:val="7C76A35E"/>
    <w:rsid w:val="7C77369A"/>
    <w:rsid w:val="7C80F01B"/>
    <w:rsid w:val="7C91F399"/>
    <w:rsid w:val="7CC26B48"/>
    <w:rsid w:val="7CC93C4F"/>
    <w:rsid w:val="7CC97A33"/>
    <w:rsid w:val="7CEA340D"/>
    <w:rsid w:val="7CEA69F3"/>
    <w:rsid w:val="7CF9128D"/>
    <w:rsid w:val="7D2A19C5"/>
    <w:rsid w:val="7D2D9209"/>
    <w:rsid w:val="7D5D5EA4"/>
    <w:rsid w:val="7D5DF61F"/>
    <w:rsid w:val="7D6ADB4F"/>
    <w:rsid w:val="7D79A40D"/>
    <w:rsid w:val="7D79DFDD"/>
    <w:rsid w:val="7D862FA4"/>
    <w:rsid w:val="7D8AB154"/>
    <w:rsid w:val="7D95191E"/>
    <w:rsid w:val="7DB71EFE"/>
    <w:rsid w:val="7DF6FF86"/>
    <w:rsid w:val="7E00AF92"/>
    <w:rsid w:val="7E0A25D2"/>
    <w:rsid w:val="7E20BD89"/>
    <w:rsid w:val="7E2BB801"/>
    <w:rsid w:val="7E44CCB7"/>
    <w:rsid w:val="7E45DFDF"/>
    <w:rsid w:val="7E75B9A8"/>
    <w:rsid w:val="7E907BB2"/>
    <w:rsid w:val="7E945BFC"/>
    <w:rsid w:val="7E99487A"/>
    <w:rsid w:val="7E9B364B"/>
    <w:rsid w:val="7E9CE65D"/>
    <w:rsid w:val="7EA34451"/>
    <w:rsid w:val="7EA3A68E"/>
    <w:rsid w:val="7EB24669"/>
    <w:rsid w:val="7EB25106"/>
    <w:rsid w:val="7EB9E936"/>
    <w:rsid w:val="7ED1D392"/>
    <w:rsid w:val="7EEF4540"/>
    <w:rsid w:val="7EF8013F"/>
    <w:rsid w:val="7F06D8AD"/>
    <w:rsid w:val="7F1C4C91"/>
    <w:rsid w:val="7F246AC4"/>
    <w:rsid w:val="7F2A35C6"/>
    <w:rsid w:val="7F52CF8D"/>
    <w:rsid w:val="7F74836D"/>
    <w:rsid w:val="7F834A80"/>
    <w:rsid w:val="7FC04E3D"/>
    <w:rsid w:val="7FD523D8"/>
    <w:rsid w:val="7FDA04DE"/>
    <w:rsid w:val="7FED326A"/>
    <w:rsid w:val="7FF59527"/>
  </w:rsids>
  <m:mathPr>
    <m:mathFont m:val="Cambria Math"/>
    <m:brkBin m:val="before"/>
    <m:brkBinSub m:val="--"/>
    <m:smallFrac m:val="0"/>
    <m:dispDef/>
    <m:lMargin m:val="0"/>
    <m:rMargin m:val="0"/>
    <m:defJc m:val="centerGroup"/>
    <m:wrapIndent m:val="1440"/>
    <m:intLim m:val="subSup"/>
    <m:naryLim m:val="undOvr"/>
  </m:mathPr>
  <w:attachedSchema w:val="urn:schemas-microsoft-com:office:smarttags"/>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5:docId w15:val="{BFD2A8EE-C328-4B32-B473-B52D6D4C04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before="120" w:after="120" w:line="240" w:lineRule="auto"/>
      <w:jc w:val="both"/>
    </w:pPr>
    <w:rPr>
      <w:rFonts w:ascii="Times New Roman" w:hAnsi="Times New Roman" w:cs="Times New Roman"/>
      <w:sz w:val="24"/>
      <w:lang w:val="fr-FR"/>
    </w:rPr>
  </w:style>
  <w:style w:type="paragraph" w:styleId="Heading1">
    <w:name w:val="heading 1"/>
    <w:basedOn w:val="Normal"/>
    <w:next w:val="Text1"/>
    <w:link w:val="Heading1Char"/>
    <w:uiPriority w:val="9"/>
    <w:qFormat/>
    <w:pPr>
      <w:keepNext/>
      <w:numPr>
        <w:numId w:val="17"/>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17"/>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17"/>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17"/>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17"/>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17"/>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17"/>
      </w:numPr>
      <w:outlineLvl w:val="6"/>
    </w:pPr>
    <w:rPr>
      <w:rFonts w:eastAsiaTheme="majorEastAsia"/>
      <w:iCs/>
    </w:rPr>
  </w:style>
  <w:style w:type="paragraph" w:styleId="Heading8">
    <w:name w:val="heading 8"/>
    <w:basedOn w:val="Normal"/>
    <w:next w:val="Normal"/>
    <w:link w:val="Heading8Char"/>
    <w:uiPriority w:val="9"/>
    <w:semiHidden/>
    <w:unhideWhenUsed/>
    <w:qFormat/>
    <w:rsid w:val="002027C1"/>
    <w:pPr>
      <w:keepNext/>
      <w:keepLines/>
      <w:spacing w:before="40" w:after="0"/>
      <w:outlineLvl w:val="7"/>
    </w:pPr>
    <w:rPr>
      <w:rFonts w:ascii="Aptos Display" w:eastAsia="MS Gothic" w:hAnsi="Aptos Display"/>
      <w:b/>
      <w:bCs/>
      <w:i/>
      <w:iCs/>
      <w:color w:val="4EA72E"/>
      <w:sz w:val="20"/>
      <w:szCs w:val="20"/>
    </w:rPr>
  </w:style>
  <w:style w:type="paragraph" w:styleId="Heading9">
    <w:name w:val="heading 9"/>
    <w:basedOn w:val="Normal"/>
    <w:next w:val="Normal"/>
    <w:link w:val="Heading9Char"/>
    <w:uiPriority w:val="9"/>
    <w:semiHidden/>
    <w:unhideWhenUsed/>
    <w:qFormat/>
    <w:rsid w:val="002027C1"/>
    <w:pPr>
      <w:keepNext/>
      <w:keepLines/>
      <w:spacing w:before="40" w:after="0"/>
      <w:outlineLvl w:val="8"/>
    </w:pPr>
    <w:rPr>
      <w:rFonts w:ascii="Aptos Display" w:eastAsia="MS Gothic" w:hAnsi="Aptos Display"/>
      <w:i/>
      <w:iCs/>
      <w:color w:val="4EA72E"/>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Nad,Odstavec_muj,Fiche List Paragraph,Task Body,Viñetas (Inicio Parrafo),3 Txt tabla,Zerrenda-paragrafoa,Lista multicolor - Énfasis 11,Paragrafo elenco,Dot pt,No Spacing1,List Paragraph Char Char Char,Indicator Text,Bullet,L,3"/>
    <w:basedOn w:val="Normal"/>
    <w:link w:val="ListParagraphChar"/>
    <w:uiPriority w:val="34"/>
    <w:qFormat/>
    <w:rsid w:val="00324E4F"/>
    <w:pPr>
      <w:ind w:left="720"/>
      <w:contextualSpacing/>
    </w:pPr>
  </w:style>
  <w:style w:type="character" w:styleId="Hyperlink">
    <w:name w:val="Hyperlink"/>
    <w:basedOn w:val="DefaultParagraphFont"/>
    <w:uiPriority w:val="99"/>
    <w:unhideWhenUsed/>
    <w:rsid w:val="002C4447"/>
    <w:rPr>
      <w:color w:val="0000FF"/>
      <w:u w:val="single"/>
    </w:rPr>
  </w:style>
  <w:style w:type="character" w:styleId="CommentReference">
    <w:name w:val="annotation reference"/>
    <w:basedOn w:val="DefaultParagraphFont"/>
    <w:uiPriority w:val="99"/>
    <w:semiHidden/>
    <w:unhideWhenUsed/>
    <w:rsid w:val="00F822C8"/>
    <w:rPr>
      <w:sz w:val="16"/>
      <w:szCs w:val="16"/>
    </w:rPr>
  </w:style>
  <w:style w:type="paragraph" w:styleId="CommentText">
    <w:name w:val="annotation text"/>
    <w:basedOn w:val="Normal"/>
    <w:link w:val="CommentTextChar"/>
    <w:uiPriority w:val="99"/>
    <w:unhideWhenUsed/>
    <w:rsid w:val="00F822C8"/>
    <w:rPr>
      <w:sz w:val="20"/>
      <w:szCs w:val="20"/>
    </w:rPr>
  </w:style>
  <w:style w:type="character" w:customStyle="1" w:styleId="CommentTextChar">
    <w:name w:val="Comment Text Char"/>
    <w:basedOn w:val="DefaultParagraphFont"/>
    <w:link w:val="CommentText"/>
    <w:uiPriority w:val="99"/>
    <w:rsid w:val="00F822C8"/>
    <w:rPr>
      <w:rFonts w:ascii="Times New Roman" w:hAnsi="Times New Roman" w:cs="Times New Roman"/>
      <w:sz w:val="20"/>
      <w:szCs w:val="20"/>
      <w:lang w:val="fr-FR"/>
    </w:rPr>
  </w:style>
  <w:style w:type="paragraph" w:styleId="CommentSubject">
    <w:name w:val="annotation subject"/>
    <w:basedOn w:val="CommentText"/>
    <w:next w:val="CommentText"/>
    <w:link w:val="CommentSubjectChar"/>
    <w:uiPriority w:val="99"/>
    <w:semiHidden/>
    <w:unhideWhenUsed/>
    <w:rsid w:val="00F822C8"/>
    <w:rPr>
      <w:b/>
      <w:bCs/>
    </w:rPr>
  </w:style>
  <w:style w:type="character" w:customStyle="1" w:styleId="CommentSubjectChar">
    <w:name w:val="Comment Subject Char"/>
    <w:basedOn w:val="CommentTextChar"/>
    <w:link w:val="CommentSubject"/>
    <w:uiPriority w:val="99"/>
    <w:semiHidden/>
    <w:rsid w:val="00F822C8"/>
    <w:rPr>
      <w:rFonts w:ascii="Times New Roman" w:hAnsi="Times New Roman" w:cs="Times New Roman"/>
      <w:b/>
      <w:bCs/>
      <w:sz w:val="20"/>
      <w:szCs w:val="20"/>
      <w:lang w:val="fr-FR"/>
    </w:rPr>
  </w:style>
  <w:style w:type="table" w:styleId="TableGrid">
    <w:name w:val="Table Grid"/>
    <w:basedOn w:val="TableNormal"/>
    <w:uiPriority w:val="39"/>
    <w:rsid w:val="008B695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f01">
    <w:name w:val="cf01"/>
    <w:basedOn w:val="DefaultParagraphFont"/>
    <w:rsid w:val="00A66EAE"/>
    <w:rPr>
      <w:rFonts w:ascii="Segoe UI" w:hAnsi="Segoe UI" w:cs="Segoe UI" w:hint="default"/>
      <w:color w:val="333333"/>
      <w:sz w:val="18"/>
      <w:szCs w:val="18"/>
      <w:shd w:val="clear" w:color="auto" w:fill="FFFFFF"/>
    </w:rPr>
  </w:style>
  <w:style w:type="paragraph" w:styleId="Revision">
    <w:name w:val="Revision"/>
    <w:hidden/>
    <w:uiPriority w:val="99"/>
    <w:semiHidden/>
    <w:rsid w:val="005A3599"/>
    <w:pPr>
      <w:spacing w:after="0" w:line="240" w:lineRule="auto"/>
    </w:pPr>
    <w:rPr>
      <w:rFonts w:ascii="Times New Roman" w:hAnsi="Times New Roman" w:cs="Times New Roman"/>
      <w:sz w:val="24"/>
    </w:rPr>
  </w:style>
  <w:style w:type="character" w:customStyle="1" w:styleId="UnresolvedMention">
    <w:name w:val="Unresolved Mention"/>
    <w:basedOn w:val="DefaultParagraphFont"/>
    <w:uiPriority w:val="99"/>
    <w:semiHidden/>
    <w:unhideWhenUsed/>
    <w:rsid w:val="00EE7AB9"/>
    <w:rPr>
      <w:color w:val="605E5C"/>
      <w:shd w:val="clear" w:color="auto" w:fill="E1DFDD"/>
    </w:rPr>
  </w:style>
  <w:style w:type="paragraph" w:customStyle="1" w:styleId="Heading81">
    <w:name w:val="Heading 81"/>
    <w:basedOn w:val="Normal"/>
    <w:next w:val="Normal"/>
    <w:uiPriority w:val="9"/>
    <w:unhideWhenUsed/>
    <w:qFormat/>
    <w:rsid w:val="002027C1"/>
    <w:pPr>
      <w:keepNext/>
      <w:keepLines/>
      <w:spacing w:before="40" w:after="0" w:line="288" w:lineRule="auto"/>
      <w:jc w:val="left"/>
      <w:outlineLvl w:val="7"/>
    </w:pPr>
    <w:rPr>
      <w:rFonts w:ascii="Aptos Display" w:eastAsia="MS Gothic" w:hAnsi="Aptos Display"/>
      <w:b/>
      <w:bCs/>
      <w:i/>
      <w:iCs/>
      <w:color w:val="4EA72E"/>
      <w:sz w:val="20"/>
      <w:szCs w:val="20"/>
      <w:lang w:eastAsia="ja-JP"/>
    </w:rPr>
  </w:style>
  <w:style w:type="paragraph" w:customStyle="1" w:styleId="Heading91">
    <w:name w:val="Heading 91"/>
    <w:basedOn w:val="Normal"/>
    <w:next w:val="Normal"/>
    <w:uiPriority w:val="9"/>
    <w:unhideWhenUsed/>
    <w:qFormat/>
    <w:rsid w:val="002027C1"/>
    <w:pPr>
      <w:keepNext/>
      <w:keepLines/>
      <w:spacing w:before="40" w:after="0" w:line="288" w:lineRule="auto"/>
      <w:jc w:val="left"/>
      <w:outlineLvl w:val="8"/>
    </w:pPr>
    <w:rPr>
      <w:rFonts w:ascii="Aptos Display" w:eastAsia="MS Gothic" w:hAnsi="Aptos Display"/>
      <w:i/>
      <w:iCs/>
      <w:color w:val="4EA72E"/>
      <w:sz w:val="20"/>
      <w:szCs w:val="20"/>
      <w:lang w:eastAsia="ja-JP"/>
    </w:rPr>
  </w:style>
  <w:style w:type="numbering" w:customStyle="1" w:styleId="NoList1">
    <w:name w:val="No List1"/>
    <w:next w:val="NoList"/>
    <w:uiPriority w:val="99"/>
    <w:semiHidden/>
    <w:unhideWhenUsed/>
    <w:rsid w:val="002027C1"/>
  </w:style>
  <w:style w:type="character" w:customStyle="1" w:styleId="Heading8Char">
    <w:name w:val="Heading 8 Char"/>
    <w:basedOn w:val="DefaultParagraphFont"/>
    <w:link w:val="Heading8"/>
    <w:uiPriority w:val="9"/>
    <w:rsid w:val="002027C1"/>
    <w:rPr>
      <w:rFonts w:ascii="Aptos Display" w:eastAsia="MS Gothic" w:hAnsi="Aptos Display" w:cs="Times New Roman"/>
      <w:b/>
      <w:bCs/>
      <w:i/>
      <w:iCs/>
      <w:color w:val="4EA72E"/>
      <w:sz w:val="20"/>
      <w:szCs w:val="20"/>
    </w:rPr>
  </w:style>
  <w:style w:type="character" w:customStyle="1" w:styleId="Heading9Char">
    <w:name w:val="Heading 9 Char"/>
    <w:basedOn w:val="DefaultParagraphFont"/>
    <w:link w:val="Heading9"/>
    <w:uiPriority w:val="9"/>
    <w:rsid w:val="002027C1"/>
    <w:rPr>
      <w:rFonts w:ascii="Aptos Display" w:eastAsia="MS Gothic" w:hAnsi="Aptos Display" w:cs="Times New Roman"/>
      <w:i/>
      <w:iCs/>
      <w:color w:val="4EA72E"/>
      <w:sz w:val="20"/>
      <w:szCs w:val="20"/>
    </w:rPr>
  </w:style>
  <w:style w:type="character" w:customStyle="1" w:styleId="TitleChar">
    <w:name w:val="Title Char"/>
    <w:basedOn w:val="DefaultParagraphFont"/>
    <w:link w:val="Title"/>
    <w:uiPriority w:val="10"/>
    <w:rsid w:val="002027C1"/>
    <w:rPr>
      <w:rFonts w:ascii="Aptos Display" w:eastAsia="MS Gothic" w:hAnsi="Aptos Display" w:cs="Times New Roman"/>
      <w:color w:val="262626"/>
      <w:spacing w:val="-15"/>
      <w:sz w:val="96"/>
      <w:szCs w:val="96"/>
    </w:rPr>
  </w:style>
  <w:style w:type="paragraph" w:customStyle="1" w:styleId="Title1">
    <w:name w:val="Title1"/>
    <w:basedOn w:val="Normal"/>
    <w:next w:val="Normal"/>
    <w:uiPriority w:val="10"/>
    <w:qFormat/>
    <w:rsid w:val="002027C1"/>
    <w:pPr>
      <w:spacing w:before="0" w:after="0"/>
      <w:contextualSpacing/>
      <w:jc w:val="left"/>
    </w:pPr>
    <w:rPr>
      <w:rFonts w:ascii="Aptos Display" w:eastAsia="MS Gothic" w:hAnsi="Aptos Display"/>
      <w:color w:val="262626"/>
      <w:spacing w:val="-15"/>
      <w:sz w:val="96"/>
      <w:szCs w:val="96"/>
      <w:lang w:eastAsia="ja-JP"/>
    </w:rPr>
  </w:style>
  <w:style w:type="character" w:customStyle="1" w:styleId="TitleChar1">
    <w:name w:val="Title Char1"/>
    <w:basedOn w:val="DefaultParagraphFont"/>
    <w:uiPriority w:val="10"/>
    <w:rsid w:val="002027C1"/>
    <w:rPr>
      <w:rFonts w:ascii="Aptos Display" w:eastAsia="MS Gothic" w:hAnsi="Aptos Display" w:cs="Times New Roman"/>
      <w:spacing w:val="-10"/>
      <w:kern w:val="28"/>
      <w:sz w:val="56"/>
      <w:szCs w:val="56"/>
    </w:rPr>
  </w:style>
  <w:style w:type="character" w:customStyle="1" w:styleId="SubtitleChar">
    <w:name w:val="Subtitle Char"/>
    <w:basedOn w:val="DefaultParagraphFont"/>
    <w:link w:val="Subtitle"/>
    <w:uiPriority w:val="11"/>
    <w:rsid w:val="002027C1"/>
    <w:rPr>
      <w:rFonts w:ascii="Aptos Display" w:eastAsia="MS Gothic" w:hAnsi="Aptos Display" w:cs="Times New Roman"/>
      <w:sz w:val="30"/>
      <w:szCs w:val="30"/>
    </w:rPr>
  </w:style>
  <w:style w:type="paragraph" w:customStyle="1" w:styleId="Subtitle1">
    <w:name w:val="Subtitle1"/>
    <w:basedOn w:val="Normal"/>
    <w:next w:val="Normal"/>
    <w:uiPriority w:val="11"/>
    <w:qFormat/>
    <w:rsid w:val="002027C1"/>
    <w:pPr>
      <w:numPr>
        <w:ilvl w:val="1"/>
      </w:numPr>
      <w:spacing w:before="0" w:after="200"/>
      <w:jc w:val="left"/>
    </w:pPr>
    <w:rPr>
      <w:rFonts w:ascii="Aptos Display" w:eastAsia="MS Gothic" w:hAnsi="Aptos Display"/>
      <w:sz w:val="30"/>
      <w:szCs w:val="30"/>
      <w:lang w:eastAsia="ja-JP"/>
    </w:rPr>
  </w:style>
  <w:style w:type="character" w:customStyle="1" w:styleId="SubtitleChar1">
    <w:name w:val="Subtitle Char1"/>
    <w:basedOn w:val="DefaultParagraphFont"/>
    <w:uiPriority w:val="11"/>
    <w:rsid w:val="002027C1"/>
    <w:rPr>
      <w:color w:val="5A5A5A"/>
      <w:spacing w:val="15"/>
      <w:sz w:val="22"/>
      <w:szCs w:val="22"/>
    </w:rPr>
  </w:style>
  <w:style w:type="character" w:styleId="IntenseEmphasis">
    <w:name w:val="Intense Emphasis"/>
    <w:basedOn w:val="DefaultParagraphFont"/>
    <w:uiPriority w:val="21"/>
    <w:qFormat/>
    <w:rsid w:val="002027C1"/>
    <w:rPr>
      <w:b/>
      <w:bCs/>
      <w:i/>
      <w:iCs/>
    </w:rPr>
  </w:style>
  <w:style w:type="character" w:customStyle="1" w:styleId="QuoteChar">
    <w:name w:val="Quote Char"/>
    <w:basedOn w:val="DefaultParagraphFont"/>
    <w:link w:val="Quote"/>
    <w:uiPriority w:val="29"/>
    <w:rsid w:val="002027C1"/>
    <w:rPr>
      <w:i/>
      <w:iCs/>
      <w:color w:val="262626"/>
    </w:rPr>
  </w:style>
  <w:style w:type="paragraph" w:customStyle="1" w:styleId="Quote1">
    <w:name w:val="Quote1"/>
    <w:basedOn w:val="Normal"/>
    <w:next w:val="Normal"/>
    <w:uiPriority w:val="29"/>
    <w:qFormat/>
    <w:rsid w:val="002027C1"/>
    <w:pPr>
      <w:spacing w:before="160" w:after="200" w:line="288" w:lineRule="auto"/>
      <w:ind w:left="720" w:right="720"/>
      <w:jc w:val="center"/>
    </w:pPr>
    <w:rPr>
      <w:rFonts w:ascii="Aptos" w:eastAsia="MS Mincho" w:hAnsi="Aptos" w:cs="Arial"/>
      <w:i/>
      <w:iCs/>
      <w:color w:val="262626"/>
      <w:sz w:val="21"/>
      <w:szCs w:val="21"/>
      <w:lang w:eastAsia="ja-JP"/>
    </w:rPr>
  </w:style>
  <w:style w:type="character" w:customStyle="1" w:styleId="QuoteChar1">
    <w:name w:val="Quote Char1"/>
    <w:basedOn w:val="DefaultParagraphFont"/>
    <w:uiPriority w:val="29"/>
    <w:rsid w:val="002027C1"/>
    <w:rPr>
      <w:i/>
      <w:iCs/>
      <w:color w:val="404040"/>
    </w:rPr>
  </w:style>
  <w:style w:type="character" w:customStyle="1" w:styleId="IntenseQuoteChar">
    <w:name w:val="Intense Quote Char"/>
    <w:basedOn w:val="DefaultParagraphFont"/>
    <w:link w:val="IntenseQuote"/>
    <w:uiPriority w:val="30"/>
    <w:rsid w:val="002027C1"/>
    <w:rPr>
      <w:rFonts w:ascii="Aptos Display" w:eastAsia="MS Gothic" w:hAnsi="Aptos Display" w:cs="Times New Roman"/>
      <w:i/>
      <w:iCs/>
      <w:color w:val="4EA72E"/>
      <w:sz w:val="32"/>
      <w:szCs w:val="32"/>
    </w:rPr>
  </w:style>
  <w:style w:type="paragraph" w:customStyle="1" w:styleId="IntenseQuote1">
    <w:name w:val="Intense Quote1"/>
    <w:basedOn w:val="Normal"/>
    <w:next w:val="Normal"/>
    <w:uiPriority w:val="30"/>
    <w:qFormat/>
    <w:rsid w:val="002027C1"/>
    <w:pPr>
      <w:spacing w:before="160" w:after="160" w:line="264" w:lineRule="auto"/>
      <w:ind w:left="720" w:right="720"/>
      <w:jc w:val="center"/>
    </w:pPr>
    <w:rPr>
      <w:rFonts w:ascii="Aptos Display" w:eastAsia="MS Gothic" w:hAnsi="Aptos Display"/>
      <w:i/>
      <w:iCs/>
      <w:color w:val="4EA72E"/>
      <w:sz w:val="32"/>
      <w:szCs w:val="32"/>
      <w:lang w:eastAsia="ja-JP"/>
    </w:rPr>
  </w:style>
  <w:style w:type="character" w:customStyle="1" w:styleId="IntenseQuoteChar1">
    <w:name w:val="Intense Quote Char1"/>
    <w:basedOn w:val="DefaultParagraphFont"/>
    <w:uiPriority w:val="30"/>
    <w:rsid w:val="002027C1"/>
    <w:rPr>
      <w:i/>
      <w:iCs/>
      <w:color w:val="156082"/>
    </w:rPr>
  </w:style>
  <w:style w:type="character" w:customStyle="1" w:styleId="IntenseReference1">
    <w:name w:val="Intense Reference1"/>
    <w:basedOn w:val="DefaultParagraphFont"/>
    <w:uiPriority w:val="32"/>
    <w:qFormat/>
    <w:rsid w:val="002027C1"/>
    <w:rPr>
      <w:b/>
      <w:bCs/>
      <w:smallCaps/>
      <w:color w:val="4EA72E"/>
    </w:rPr>
  </w:style>
  <w:style w:type="character" w:customStyle="1" w:styleId="normaltextrun">
    <w:name w:val="normaltextrun"/>
    <w:basedOn w:val="DefaultParagraphFont"/>
    <w:rsid w:val="002027C1"/>
  </w:style>
  <w:style w:type="character" w:customStyle="1" w:styleId="ListParagraphChar">
    <w:name w:val="List Paragraph Char"/>
    <w:aliases w:val="Nad Char,Odstavec_muj Char,Fiche List Paragraph Char,Task Body Char,Viñetas (Inicio Parrafo) Char,3 Txt tabla Char,Zerrenda-paragrafoa Char,Lista multicolor - Énfasis 11 Char,Paragrafo elenco Char,Dot pt Char,No Spacing1 Char,L Char"/>
    <w:link w:val="ListParagraph"/>
    <w:uiPriority w:val="34"/>
    <w:qFormat/>
    <w:rsid w:val="002027C1"/>
    <w:rPr>
      <w:rFonts w:ascii="Times New Roman" w:hAnsi="Times New Roman" w:cs="Times New Roman"/>
      <w:sz w:val="24"/>
      <w:lang w:val="fr-FR"/>
    </w:rPr>
  </w:style>
  <w:style w:type="paragraph" w:customStyle="1" w:styleId="Default">
    <w:name w:val="Default"/>
    <w:rsid w:val="002027C1"/>
    <w:pPr>
      <w:autoSpaceDE w:val="0"/>
      <w:autoSpaceDN w:val="0"/>
      <w:adjustRightInd w:val="0"/>
      <w:spacing w:after="0" w:line="240" w:lineRule="auto"/>
    </w:pPr>
    <w:rPr>
      <w:rFonts w:ascii="Times New Roman" w:hAnsi="Times New Roman" w:cs="Times New Roman"/>
      <w:color w:val="000000"/>
      <w:sz w:val="21"/>
      <w:szCs w:val="21"/>
    </w:rPr>
  </w:style>
  <w:style w:type="paragraph" w:customStyle="1" w:styleId="Caption1">
    <w:name w:val="Caption1"/>
    <w:basedOn w:val="Normal"/>
    <w:next w:val="Normal"/>
    <w:uiPriority w:val="35"/>
    <w:semiHidden/>
    <w:unhideWhenUsed/>
    <w:qFormat/>
    <w:rsid w:val="002027C1"/>
    <w:pPr>
      <w:spacing w:before="0" w:after="200"/>
      <w:jc w:val="left"/>
    </w:pPr>
    <w:rPr>
      <w:rFonts w:ascii="Aptos" w:eastAsia="MS Mincho" w:hAnsi="Aptos" w:cs="Arial"/>
      <w:b/>
      <w:bCs/>
      <w:smallCaps/>
      <w:color w:val="595959"/>
      <w:sz w:val="21"/>
      <w:szCs w:val="21"/>
      <w:lang w:eastAsia="ja-JP"/>
    </w:rPr>
  </w:style>
  <w:style w:type="character" w:styleId="Strong">
    <w:name w:val="Strong"/>
    <w:basedOn w:val="DefaultParagraphFont"/>
    <w:uiPriority w:val="22"/>
    <w:qFormat/>
    <w:rsid w:val="002027C1"/>
    <w:rPr>
      <w:b/>
      <w:bCs/>
    </w:rPr>
  </w:style>
  <w:style w:type="character" w:customStyle="1" w:styleId="Emphasis1">
    <w:name w:val="Emphasis1"/>
    <w:basedOn w:val="DefaultParagraphFont"/>
    <w:uiPriority w:val="20"/>
    <w:qFormat/>
    <w:rsid w:val="002027C1"/>
    <w:rPr>
      <w:i/>
      <w:iCs/>
      <w:color w:val="4EA72E"/>
    </w:rPr>
  </w:style>
  <w:style w:type="paragraph" w:customStyle="1" w:styleId="NoSpacing2">
    <w:name w:val="No Spacing2"/>
    <w:next w:val="NoSpacing"/>
    <w:uiPriority w:val="1"/>
    <w:qFormat/>
    <w:rsid w:val="002027C1"/>
    <w:pPr>
      <w:spacing w:after="0" w:line="240" w:lineRule="auto"/>
    </w:pPr>
    <w:rPr>
      <w:rFonts w:eastAsia="MS Mincho"/>
      <w:sz w:val="21"/>
      <w:szCs w:val="21"/>
      <w:lang w:eastAsia="ja-JP"/>
    </w:rPr>
  </w:style>
  <w:style w:type="character" w:styleId="SubtleEmphasis">
    <w:name w:val="Subtle Emphasis"/>
    <w:basedOn w:val="DefaultParagraphFont"/>
    <w:uiPriority w:val="19"/>
    <w:qFormat/>
    <w:rsid w:val="002027C1"/>
    <w:rPr>
      <w:i/>
      <w:iCs/>
    </w:rPr>
  </w:style>
  <w:style w:type="character" w:customStyle="1" w:styleId="SubtleReference1">
    <w:name w:val="Subtle Reference1"/>
    <w:basedOn w:val="DefaultParagraphFont"/>
    <w:uiPriority w:val="31"/>
    <w:qFormat/>
    <w:rsid w:val="002027C1"/>
    <w:rPr>
      <w:smallCaps/>
      <w:color w:val="595959"/>
    </w:rPr>
  </w:style>
  <w:style w:type="character" w:styleId="BookTitle">
    <w:name w:val="Book Title"/>
    <w:basedOn w:val="DefaultParagraphFont"/>
    <w:uiPriority w:val="33"/>
    <w:qFormat/>
    <w:rsid w:val="002027C1"/>
    <w:rPr>
      <w:b/>
      <w:bCs/>
      <w:caps w:val="0"/>
      <w:smallCaps/>
      <w:spacing w:val="7"/>
      <w:sz w:val="21"/>
      <w:szCs w:val="21"/>
    </w:rPr>
  </w:style>
  <w:style w:type="character" w:customStyle="1" w:styleId="FollowedHyperlink1">
    <w:name w:val="FollowedHyperlink1"/>
    <w:basedOn w:val="DefaultParagraphFont"/>
    <w:uiPriority w:val="99"/>
    <w:semiHidden/>
    <w:unhideWhenUsed/>
    <w:rsid w:val="002027C1"/>
    <w:rPr>
      <w:color w:val="96607D"/>
      <w:u w:val="single"/>
    </w:rPr>
  </w:style>
  <w:style w:type="character" w:customStyle="1" w:styleId="Heading8Char1">
    <w:name w:val="Heading 8 Char1"/>
    <w:basedOn w:val="DefaultParagraphFont"/>
    <w:uiPriority w:val="9"/>
    <w:semiHidden/>
    <w:rsid w:val="002027C1"/>
    <w:rPr>
      <w:rFonts w:asciiTheme="majorHAnsi" w:eastAsiaTheme="majorEastAsia" w:hAnsiTheme="majorHAnsi" w:cstheme="majorBidi"/>
      <w:color w:val="272727" w:themeColor="text1" w:themeTint="D8"/>
      <w:sz w:val="21"/>
      <w:szCs w:val="21"/>
      <w:lang w:val="fr-FR"/>
    </w:rPr>
  </w:style>
  <w:style w:type="character" w:customStyle="1" w:styleId="Heading9Char1">
    <w:name w:val="Heading 9 Char1"/>
    <w:basedOn w:val="DefaultParagraphFont"/>
    <w:uiPriority w:val="9"/>
    <w:semiHidden/>
    <w:rsid w:val="002027C1"/>
    <w:rPr>
      <w:rFonts w:asciiTheme="majorHAnsi" w:eastAsiaTheme="majorEastAsia" w:hAnsiTheme="majorHAnsi" w:cstheme="majorBidi"/>
      <w:i/>
      <w:iCs/>
      <w:color w:val="272727" w:themeColor="text1" w:themeTint="D8"/>
      <w:sz w:val="21"/>
      <w:szCs w:val="21"/>
      <w:lang w:val="fr-FR"/>
    </w:rPr>
  </w:style>
  <w:style w:type="paragraph" w:styleId="Title">
    <w:name w:val="Title"/>
    <w:basedOn w:val="Normal"/>
    <w:next w:val="Normal"/>
    <w:link w:val="TitleChar"/>
    <w:uiPriority w:val="10"/>
    <w:qFormat/>
    <w:rsid w:val="002027C1"/>
    <w:pPr>
      <w:spacing w:before="0" w:after="0"/>
      <w:contextualSpacing/>
    </w:pPr>
    <w:rPr>
      <w:rFonts w:ascii="Aptos Display" w:eastAsia="MS Gothic" w:hAnsi="Aptos Display"/>
      <w:color w:val="262626"/>
      <w:spacing w:val="-15"/>
      <w:sz w:val="96"/>
      <w:szCs w:val="96"/>
    </w:rPr>
  </w:style>
  <w:style w:type="character" w:customStyle="1" w:styleId="TitleChar2">
    <w:name w:val="Title Char2"/>
    <w:basedOn w:val="DefaultParagraphFont"/>
    <w:uiPriority w:val="10"/>
    <w:rsid w:val="002027C1"/>
    <w:rPr>
      <w:rFonts w:asciiTheme="majorHAnsi" w:eastAsiaTheme="majorEastAsia" w:hAnsiTheme="majorHAnsi" w:cstheme="majorBidi"/>
      <w:spacing w:val="-10"/>
      <w:kern w:val="28"/>
      <w:sz w:val="56"/>
      <w:szCs w:val="56"/>
      <w:lang w:val="fr-FR"/>
    </w:rPr>
  </w:style>
  <w:style w:type="paragraph" w:styleId="Subtitle">
    <w:name w:val="Subtitle"/>
    <w:basedOn w:val="Normal"/>
    <w:next w:val="Normal"/>
    <w:link w:val="SubtitleChar"/>
    <w:uiPriority w:val="11"/>
    <w:qFormat/>
    <w:rsid w:val="002027C1"/>
    <w:pPr>
      <w:numPr>
        <w:ilvl w:val="1"/>
      </w:numPr>
      <w:spacing w:after="160"/>
    </w:pPr>
    <w:rPr>
      <w:rFonts w:ascii="Aptos Display" w:eastAsia="MS Gothic" w:hAnsi="Aptos Display"/>
      <w:sz w:val="30"/>
      <w:szCs w:val="30"/>
    </w:rPr>
  </w:style>
  <w:style w:type="character" w:customStyle="1" w:styleId="SubtitleChar2">
    <w:name w:val="Subtitle Char2"/>
    <w:basedOn w:val="DefaultParagraphFont"/>
    <w:uiPriority w:val="11"/>
    <w:rsid w:val="002027C1"/>
    <w:rPr>
      <w:rFonts w:eastAsiaTheme="minorEastAsia"/>
      <w:color w:val="5A5A5A" w:themeColor="text1" w:themeTint="A5"/>
      <w:spacing w:val="15"/>
      <w:lang w:val="fr-FR"/>
    </w:rPr>
  </w:style>
  <w:style w:type="paragraph" w:styleId="Quote">
    <w:name w:val="Quote"/>
    <w:basedOn w:val="Normal"/>
    <w:next w:val="Normal"/>
    <w:link w:val="QuoteChar"/>
    <w:uiPriority w:val="29"/>
    <w:qFormat/>
    <w:rsid w:val="002027C1"/>
    <w:pPr>
      <w:spacing w:before="200" w:after="160"/>
      <w:ind w:left="864" w:right="864"/>
      <w:jc w:val="center"/>
    </w:pPr>
    <w:rPr>
      <w:rFonts w:asciiTheme="minorHAnsi" w:hAnsiTheme="minorHAnsi" w:cstheme="minorBidi"/>
      <w:i/>
      <w:iCs/>
      <w:color w:val="262626"/>
      <w:sz w:val="22"/>
    </w:rPr>
  </w:style>
  <w:style w:type="character" w:customStyle="1" w:styleId="QuoteChar2">
    <w:name w:val="Quote Char2"/>
    <w:basedOn w:val="DefaultParagraphFont"/>
    <w:uiPriority w:val="29"/>
    <w:rsid w:val="002027C1"/>
    <w:rPr>
      <w:rFonts w:ascii="Times New Roman" w:hAnsi="Times New Roman" w:cs="Times New Roman"/>
      <w:i/>
      <w:iCs/>
      <w:color w:val="404040" w:themeColor="text1" w:themeTint="BF"/>
      <w:sz w:val="24"/>
      <w:lang w:val="fr-FR"/>
    </w:rPr>
  </w:style>
  <w:style w:type="paragraph" w:styleId="IntenseQuote">
    <w:name w:val="Intense Quote"/>
    <w:basedOn w:val="Normal"/>
    <w:next w:val="Normal"/>
    <w:link w:val="IntenseQuoteChar"/>
    <w:uiPriority w:val="30"/>
    <w:qFormat/>
    <w:rsid w:val="002027C1"/>
    <w:pPr>
      <w:pBdr>
        <w:top w:val="single" w:sz="4" w:space="10" w:color="4F81BD" w:themeColor="accent1"/>
        <w:bottom w:val="single" w:sz="4" w:space="10" w:color="4F81BD" w:themeColor="accent1"/>
      </w:pBdr>
      <w:spacing w:before="360" w:after="360"/>
      <w:ind w:left="864" w:right="864"/>
      <w:jc w:val="center"/>
    </w:pPr>
    <w:rPr>
      <w:rFonts w:ascii="Aptos Display" w:eastAsia="MS Gothic" w:hAnsi="Aptos Display"/>
      <w:i/>
      <w:iCs/>
      <w:color w:val="4EA72E"/>
      <w:sz w:val="32"/>
      <w:szCs w:val="32"/>
    </w:rPr>
  </w:style>
  <w:style w:type="character" w:customStyle="1" w:styleId="IntenseQuoteChar2">
    <w:name w:val="Intense Quote Char2"/>
    <w:basedOn w:val="DefaultParagraphFont"/>
    <w:uiPriority w:val="30"/>
    <w:rsid w:val="002027C1"/>
    <w:rPr>
      <w:rFonts w:ascii="Times New Roman" w:hAnsi="Times New Roman" w:cs="Times New Roman"/>
      <w:i/>
      <w:iCs/>
      <w:color w:val="4F81BD" w:themeColor="accent1"/>
      <w:sz w:val="24"/>
      <w:lang w:val="fr-FR"/>
    </w:rPr>
  </w:style>
  <w:style w:type="character" w:styleId="IntenseReference">
    <w:name w:val="Intense Reference"/>
    <w:basedOn w:val="DefaultParagraphFont"/>
    <w:uiPriority w:val="32"/>
    <w:qFormat/>
    <w:rsid w:val="002027C1"/>
    <w:rPr>
      <w:b/>
      <w:bCs/>
      <w:smallCaps/>
      <w:color w:val="4F81BD" w:themeColor="accent1"/>
      <w:spacing w:val="5"/>
    </w:rPr>
  </w:style>
  <w:style w:type="character" w:styleId="Emphasis">
    <w:name w:val="Emphasis"/>
    <w:basedOn w:val="DefaultParagraphFont"/>
    <w:uiPriority w:val="20"/>
    <w:qFormat/>
    <w:rsid w:val="002027C1"/>
    <w:rPr>
      <w:i/>
      <w:iCs/>
    </w:rPr>
  </w:style>
  <w:style w:type="paragraph" w:styleId="NoSpacing">
    <w:name w:val="No Spacing"/>
    <w:uiPriority w:val="1"/>
    <w:qFormat/>
    <w:rsid w:val="002027C1"/>
    <w:pPr>
      <w:spacing w:after="0" w:line="240" w:lineRule="auto"/>
      <w:jc w:val="both"/>
    </w:pPr>
    <w:rPr>
      <w:rFonts w:ascii="Times New Roman" w:hAnsi="Times New Roman" w:cs="Times New Roman"/>
      <w:sz w:val="24"/>
    </w:rPr>
  </w:style>
  <w:style w:type="character" w:styleId="SubtleReference">
    <w:name w:val="Subtle Reference"/>
    <w:basedOn w:val="DefaultParagraphFont"/>
    <w:uiPriority w:val="31"/>
    <w:qFormat/>
    <w:rsid w:val="002027C1"/>
    <w:rPr>
      <w:smallCaps/>
      <w:color w:val="5A5A5A" w:themeColor="text1" w:themeTint="A5"/>
    </w:rPr>
  </w:style>
  <w:style w:type="character" w:styleId="FollowedHyperlink">
    <w:name w:val="FollowedHyperlink"/>
    <w:basedOn w:val="DefaultParagraphFont"/>
    <w:uiPriority w:val="99"/>
    <w:semiHidden/>
    <w:unhideWhenUsed/>
    <w:rsid w:val="002027C1"/>
    <w:rPr>
      <w:color w:val="800080" w:themeColor="followedHyperlink"/>
      <w:u w:val="single"/>
    </w:rPr>
  </w:style>
  <w:style w:type="character" w:customStyle="1" w:styleId="Mention">
    <w:name w:val="Mention"/>
    <w:basedOn w:val="DefaultParagraphFont"/>
    <w:uiPriority w:val="99"/>
    <w:unhideWhenUsed/>
    <w:rsid w:val="00275530"/>
    <w:rPr>
      <w:color w:val="2B579A"/>
      <w:shd w:val="clear" w:color="auto" w:fill="E1DFDD"/>
    </w:rPr>
  </w:style>
  <w:style w:type="paragraph" w:styleId="ListBullet">
    <w:name w:val="List Bullet"/>
    <w:basedOn w:val="Normal"/>
    <w:uiPriority w:val="99"/>
    <w:semiHidden/>
    <w:unhideWhenUsed/>
    <w:rsid w:val="0085115A"/>
    <w:pPr>
      <w:numPr>
        <w:numId w:val="1"/>
      </w:numPr>
      <w:contextualSpacing/>
    </w:pPr>
  </w:style>
  <w:style w:type="paragraph" w:styleId="ListBullet2">
    <w:name w:val="List Bullet 2"/>
    <w:basedOn w:val="Normal"/>
    <w:uiPriority w:val="99"/>
    <w:semiHidden/>
    <w:unhideWhenUsed/>
    <w:rsid w:val="0085115A"/>
    <w:pPr>
      <w:numPr>
        <w:numId w:val="2"/>
      </w:numPr>
      <w:contextualSpacing/>
    </w:pPr>
  </w:style>
  <w:style w:type="paragraph" w:styleId="ListBullet3">
    <w:name w:val="List Bullet 3"/>
    <w:basedOn w:val="Normal"/>
    <w:uiPriority w:val="99"/>
    <w:semiHidden/>
    <w:unhideWhenUsed/>
    <w:rsid w:val="0085115A"/>
    <w:pPr>
      <w:numPr>
        <w:numId w:val="3"/>
      </w:numPr>
      <w:contextualSpacing/>
    </w:pPr>
  </w:style>
  <w:style w:type="paragraph" w:styleId="ListBullet4">
    <w:name w:val="List Bullet 4"/>
    <w:basedOn w:val="Normal"/>
    <w:uiPriority w:val="99"/>
    <w:semiHidden/>
    <w:unhideWhenUsed/>
    <w:rsid w:val="0085115A"/>
    <w:pPr>
      <w:numPr>
        <w:numId w:val="4"/>
      </w:numPr>
      <w:contextualSpacing/>
    </w:pPr>
  </w:style>
  <w:style w:type="paragraph" w:customStyle="1" w:styleId="Number">
    <w:name w:val="Number"/>
    <w:basedOn w:val="Text1"/>
    <w:rsid w:val="0070493D"/>
  </w:style>
  <w:style w:type="character" w:customStyle="1" w:styleId="HeaderChar">
    <w:name w:val="Header Char"/>
    <w:basedOn w:val="DefaultParagraphFont"/>
    <w:link w:val="Header"/>
    <w:uiPriority w:val="99"/>
    <w:rsid w:val="00680707"/>
    <w:rPr>
      <w:rFonts w:ascii="Times New Roman" w:hAnsi="Times New Roman" w:cs="Times New Roman"/>
      <w:sz w:val="24"/>
      <w:lang w:val="fr-FR"/>
    </w:rPr>
  </w:style>
  <w:style w:type="character" w:customStyle="1" w:styleId="FooterChar">
    <w:name w:val="Footer Char"/>
    <w:basedOn w:val="DefaultParagraphFont"/>
    <w:link w:val="Footer"/>
    <w:uiPriority w:val="99"/>
    <w:rsid w:val="00680707"/>
    <w:rPr>
      <w:rFonts w:ascii="Times New Roman" w:hAnsi="Times New Roman" w:cs="Times New Roman"/>
      <w:sz w:val="24"/>
      <w:lang w:val="fr-FR"/>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lang w:val="fr-FR"/>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lang w:val="fr-FR"/>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lang w:val="fr-FR"/>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lang w:val="fr-FR"/>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lang w:val="fr-FR"/>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lang w:val="fr-FR"/>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lang w:val="fr-FR"/>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rsid w:val="00680707"/>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rsid w:val="00680707"/>
    <w:pPr>
      <w:spacing w:before="0"/>
      <w:jc w:val="right"/>
    </w:pPr>
    <w:rPr>
      <w:sz w:val="28"/>
    </w:rPr>
  </w:style>
  <w:style w:type="paragraph" w:customStyle="1" w:styleId="FooterSensitivity">
    <w:name w:val="Footer Sensitivity"/>
    <w:basedOn w:val="Normal"/>
    <w:rsid w:val="00680707"/>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10"/>
      </w:numPr>
    </w:pPr>
  </w:style>
  <w:style w:type="paragraph" w:customStyle="1" w:styleId="Tiret1">
    <w:name w:val="Tiret 1"/>
    <w:basedOn w:val="Point1"/>
    <w:pPr>
      <w:numPr>
        <w:numId w:val="11"/>
      </w:numPr>
    </w:pPr>
  </w:style>
  <w:style w:type="paragraph" w:customStyle="1" w:styleId="Tiret2">
    <w:name w:val="Tiret 2"/>
    <w:basedOn w:val="Point2"/>
    <w:pPr>
      <w:numPr>
        <w:numId w:val="12"/>
      </w:numPr>
    </w:pPr>
  </w:style>
  <w:style w:type="paragraph" w:customStyle="1" w:styleId="Tiret3">
    <w:name w:val="Tiret 3"/>
    <w:basedOn w:val="Point3"/>
    <w:pPr>
      <w:numPr>
        <w:numId w:val="13"/>
      </w:numPr>
    </w:pPr>
  </w:style>
  <w:style w:type="paragraph" w:customStyle="1" w:styleId="Tiret4">
    <w:name w:val="Tiret 4"/>
    <w:basedOn w:val="Point4"/>
    <w:pPr>
      <w:numPr>
        <w:numId w:val="14"/>
      </w:numPr>
    </w:pPr>
  </w:style>
  <w:style w:type="paragraph" w:customStyle="1" w:styleId="Tiret5">
    <w:name w:val="Tiret 5"/>
    <w:basedOn w:val="Point5"/>
    <w:pPr>
      <w:numPr>
        <w:numId w:val="15"/>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16"/>
      </w:numPr>
    </w:pPr>
  </w:style>
  <w:style w:type="paragraph" w:customStyle="1" w:styleId="NumPar2">
    <w:name w:val="NumPar 2"/>
    <w:basedOn w:val="Normal"/>
    <w:next w:val="Text1"/>
    <w:pPr>
      <w:numPr>
        <w:ilvl w:val="1"/>
        <w:numId w:val="16"/>
      </w:numPr>
    </w:pPr>
  </w:style>
  <w:style w:type="paragraph" w:customStyle="1" w:styleId="NumPar3">
    <w:name w:val="NumPar 3"/>
    <w:basedOn w:val="Normal"/>
    <w:next w:val="Text1"/>
    <w:pPr>
      <w:numPr>
        <w:ilvl w:val="2"/>
        <w:numId w:val="16"/>
      </w:numPr>
    </w:pPr>
  </w:style>
  <w:style w:type="paragraph" w:customStyle="1" w:styleId="NumPar4">
    <w:name w:val="NumPar 4"/>
    <w:basedOn w:val="Normal"/>
    <w:next w:val="Text1"/>
    <w:pPr>
      <w:numPr>
        <w:ilvl w:val="3"/>
        <w:numId w:val="16"/>
      </w:numPr>
    </w:pPr>
  </w:style>
  <w:style w:type="paragraph" w:customStyle="1" w:styleId="NumPar5">
    <w:name w:val="NumPar 5"/>
    <w:basedOn w:val="Normal"/>
    <w:next w:val="Text2"/>
    <w:pPr>
      <w:numPr>
        <w:ilvl w:val="4"/>
        <w:numId w:val="16"/>
      </w:numPr>
    </w:pPr>
  </w:style>
  <w:style w:type="paragraph" w:customStyle="1" w:styleId="NumPar6">
    <w:name w:val="NumPar 6"/>
    <w:basedOn w:val="Normal"/>
    <w:next w:val="Text2"/>
    <w:pPr>
      <w:numPr>
        <w:ilvl w:val="5"/>
        <w:numId w:val="16"/>
      </w:numPr>
    </w:pPr>
  </w:style>
  <w:style w:type="paragraph" w:customStyle="1" w:styleId="NumPar7">
    <w:name w:val="NumPar 7"/>
    <w:basedOn w:val="Normal"/>
    <w:next w:val="Text2"/>
    <w:pPr>
      <w:numPr>
        <w:ilvl w:val="6"/>
        <w:numId w:val="16"/>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18"/>
      </w:numPr>
    </w:pPr>
  </w:style>
  <w:style w:type="paragraph" w:customStyle="1" w:styleId="Point1number">
    <w:name w:val="Point 1 (number)"/>
    <w:basedOn w:val="Normal"/>
    <w:pPr>
      <w:numPr>
        <w:ilvl w:val="2"/>
        <w:numId w:val="18"/>
      </w:numPr>
    </w:pPr>
  </w:style>
  <w:style w:type="paragraph" w:customStyle="1" w:styleId="Point2number">
    <w:name w:val="Point 2 (number)"/>
    <w:basedOn w:val="Normal"/>
    <w:pPr>
      <w:numPr>
        <w:ilvl w:val="4"/>
        <w:numId w:val="18"/>
      </w:numPr>
    </w:pPr>
  </w:style>
  <w:style w:type="paragraph" w:customStyle="1" w:styleId="Point3number">
    <w:name w:val="Point 3 (number)"/>
    <w:basedOn w:val="Normal"/>
    <w:pPr>
      <w:numPr>
        <w:ilvl w:val="6"/>
        <w:numId w:val="18"/>
      </w:numPr>
    </w:pPr>
  </w:style>
  <w:style w:type="paragraph" w:customStyle="1" w:styleId="Point0letter">
    <w:name w:val="Point 0 (letter)"/>
    <w:basedOn w:val="Normal"/>
    <w:pPr>
      <w:numPr>
        <w:ilvl w:val="1"/>
        <w:numId w:val="18"/>
      </w:numPr>
    </w:pPr>
  </w:style>
  <w:style w:type="paragraph" w:customStyle="1" w:styleId="Point1letter">
    <w:name w:val="Point 1 (letter)"/>
    <w:basedOn w:val="Normal"/>
    <w:pPr>
      <w:numPr>
        <w:ilvl w:val="3"/>
        <w:numId w:val="18"/>
      </w:numPr>
    </w:pPr>
  </w:style>
  <w:style w:type="paragraph" w:customStyle="1" w:styleId="Point2letter">
    <w:name w:val="Point 2 (letter)"/>
    <w:basedOn w:val="Normal"/>
    <w:pPr>
      <w:numPr>
        <w:ilvl w:val="5"/>
        <w:numId w:val="18"/>
      </w:numPr>
    </w:pPr>
  </w:style>
  <w:style w:type="paragraph" w:customStyle="1" w:styleId="Point3letter">
    <w:name w:val="Point 3 (letter)"/>
    <w:basedOn w:val="Normal"/>
    <w:pPr>
      <w:numPr>
        <w:ilvl w:val="7"/>
        <w:numId w:val="18"/>
      </w:numPr>
    </w:pPr>
  </w:style>
  <w:style w:type="paragraph" w:customStyle="1" w:styleId="Point4letter">
    <w:name w:val="Point 4 (letter)"/>
    <w:basedOn w:val="Normal"/>
    <w:pPr>
      <w:numPr>
        <w:ilvl w:val="8"/>
        <w:numId w:val="18"/>
      </w:numPr>
    </w:pPr>
  </w:style>
  <w:style w:type="paragraph" w:customStyle="1" w:styleId="Bullet0">
    <w:name w:val="Bullet 0"/>
    <w:basedOn w:val="Normal"/>
    <w:pPr>
      <w:numPr>
        <w:numId w:val="19"/>
      </w:numPr>
    </w:pPr>
  </w:style>
  <w:style w:type="paragraph" w:customStyle="1" w:styleId="Bullet1">
    <w:name w:val="Bullet 1"/>
    <w:basedOn w:val="Normal"/>
    <w:pPr>
      <w:numPr>
        <w:numId w:val="20"/>
      </w:numPr>
    </w:pPr>
  </w:style>
  <w:style w:type="paragraph" w:customStyle="1" w:styleId="Bullet2">
    <w:name w:val="Bullet 2"/>
    <w:basedOn w:val="Normal"/>
    <w:pPr>
      <w:numPr>
        <w:numId w:val="21"/>
      </w:numPr>
    </w:pPr>
  </w:style>
  <w:style w:type="paragraph" w:customStyle="1" w:styleId="Bullet3">
    <w:name w:val="Bullet 3"/>
    <w:basedOn w:val="Normal"/>
    <w:pPr>
      <w:numPr>
        <w:numId w:val="22"/>
      </w:numPr>
    </w:pPr>
  </w:style>
  <w:style w:type="paragraph" w:customStyle="1" w:styleId="Bullet4">
    <w:name w:val="Bullet 4"/>
    <w:basedOn w:val="Normal"/>
    <w:pPr>
      <w:numPr>
        <w:numId w:val="23"/>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24"/>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pPr>
      <w:spacing w:before="360" w:after="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pPr>
      <w:spacing w:after="24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Rfrencecroise"/>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Normal"/>
    <w:pPr>
      <w:spacing w:before="360" w:after="0"/>
      <w:jc w:val="center"/>
    </w:pPr>
  </w:style>
  <w:style w:type="paragraph" w:styleId="Header">
    <w:name w:val="header"/>
    <w:basedOn w:val="Normal"/>
    <w:link w:val="HeaderChar"/>
    <w:uiPriority w:val="99"/>
    <w:unhideWhenUsed/>
    <w:rsid w:val="00680707"/>
    <w:pPr>
      <w:tabs>
        <w:tab w:val="center" w:pos="4535"/>
        <w:tab w:val="right" w:pos="9071"/>
      </w:tabs>
      <w:spacing w:before="0"/>
    </w:pPr>
  </w:style>
  <w:style w:type="paragraph" w:customStyle="1" w:styleId="HeaderLandscape">
    <w:name w:val="HeaderLandscape"/>
    <w:basedOn w:val="Normal"/>
    <w:rsid w:val="00680707"/>
    <w:pPr>
      <w:tabs>
        <w:tab w:val="center" w:pos="7285"/>
        <w:tab w:val="right" w:pos="14003"/>
      </w:tabs>
      <w:spacing w:before="0"/>
    </w:pPr>
  </w:style>
  <w:style w:type="paragraph" w:styleId="Footer">
    <w:name w:val="footer"/>
    <w:basedOn w:val="Normal"/>
    <w:link w:val="FooterChar"/>
    <w:uiPriority w:val="99"/>
    <w:unhideWhenUsed/>
    <w:rsid w:val="00680707"/>
    <w:pPr>
      <w:tabs>
        <w:tab w:val="center" w:pos="4535"/>
        <w:tab w:val="right" w:pos="9071"/>
        <w:tab w:val="right" w:pos="9921"/>
      </w:tabs>
      <w:spacing w:before="360" w:after="0"/>
      <w:ind w:left="-850" w:right="-850"/>
      <w:jc w:val="left"/>
    </w:pPr>
  </w:style>
  <w:style w:type="paragraph" w:customStyle="1" w:styleId="FooterLandscape">
    <w:name w:val="FooterLandscape"/>
    <w:basedOn w:val="Normal"/>
    <w:rsid w:val="00680707"/>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959092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tyles" Target="styles.xml"/><Relationship Id="rId12" Type="http://schemas.openxmlformats.org/officeDocument/2006/relationships/image" Target="media/image1.emf"/><Relationship Id="rId17" Type="http://schemas.openxmlformats.org/officeDocument/2006/relationships/footer" Target="footer4.xml"/><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eader" Target="header1.xml"/><Relationship Id="rId10" Type="http://schemas.openxmlformats.org/officeDocument/2006/relationships/footnotes" Target="footnotes.xml"/><Relationship Id="rId19" Type="http://schemas.openxmlformats.org/officeDocument/2006/relationships/footer" Target="footer5.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2.xml"/></Relationships>
</file>

<file path=word/_rels/footnotes.xml.rels><?xml version="1.0" encoding="UTF-8" standalone="yes"?>
<Relationships xmlns="http://schemas.openxmlformats.org/package/2006/relationships"><Relationship Id="rId1" Type="http://schemas.openxmlformats.org/officeDocument/2006/relationships/hyperlink" Target="https://european-research-area.ec.europa.eu/."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628D117DBB2F44FA1D2A1966638EA6B" ma:contentTypeVersion="17" ma:contentTypeDescription="Crée un document." ma:contentTypeScope="" ma:versionID="2758c822d6c5f0b25067fc435ee59dd7">
  <xsd:schema xmlns:xsd="http://www.w3.org/2001/XMLSchema" xmlns:xs="http://www.w3.org/2001/XMLSchema" xmlns:p="http://schemas.microsoft.com/office/2006/metadata/properties" xmlns:ns2="ca8317cf-74c1-4891-b748-a60e5112f8b7" xmlns:ns3="e12cc50a-6100-433c-9888-46e6873f3252" targetNamespace="http://schemas.microsoft.com/office/2006/metadata/properties" ma:root="true" ma:fieldsID="94fda8c229d3fcf268f19715982dbf05" ns2:_="" ns3:_="">
    <xsd:import namespace="ca8317cf-74c1-4891-b748-a60e5112f8b7"/>
    <xsd:import namespace="e12cc50a-6100-433c-9888-46e6873f3252"/>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3:SharedWithUsers" minOccurs="0"/>
                <xsd:element ref="ns3:SharedWithDetails" minOccurs="0"/>
                <xsd:element ref="ns2:MediaServiceObjectDetectorVersions" minOccurs="0"/>
                <xsd:element ref="ns2:MediaServiceGenerationTime" minOccurs="0"/>
                <xsd:element ref="ns2:MediaServiceEventHashCode" minOccurs="0"/>
                <xsd:element ref="ns2:lcf76f155ced4ddcb4097134ff3c332f" minOccurs="0"/>
                <xsd:element ref="ns3:TaxCatchAll" minOccurs="0"/>
                <xsd:element ref="ns2:MediaServiceOCR"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a8317cf-74c1-4891-b748-a60e5112f8b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Length (seconds)"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ObjectDetectorVersions" ma:index="17" nillable="true" ma:displayName="MediaServiceObjectDetectorVersions" ma:hidden="true" ma:indexed="true" ma:internalName="MediaServiceObjectDetectorVersions" ma:readOnly="true">
      <xsd:simpleType>
        <xsd:restriction base="dms:Text"/>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lcf76f155ced4ddcb4097134ff3c332f" ma:index="21" nillable="true" ma:taxonomy="true" ma:internalName="lcf76f155ced4ddcb4097134ff3c332f" ma:taxonomyFieldName="MediaServiceImageTags" ma:displayName="Balises d’images" ma:readOnly="false" ma:fieldId="{5cf76f15-5ced-4ddc-b409-7134ff3c332f}" ma:taxonomyMulti="true" ma:sspId="22b2fad6-9d2c-441c-a321-3f5f1e9bd928"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12cc50a-6100-433c-9888-46e6873f3252" elementFormDefault="qualified">
    <xsd:import namespace="http://schemas.microsoft.com/office/2006/documentManagement/types"/>
    <xsd:import namespace="http://schemas.microsoft.com/office/infopath/2007/PartnerControls"/>
    <xsd:element name="SharedWithUsers" ma:index="15" nillable="true" ma:displayName="Partagé avec"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Partagé avec détails" ma:internalName="SharedWithDetails" ma:readOnly="true">
      <xsd:simpleType>
        <xsd:restriction base="dms:Note">
          <xsd:maxLength value="255"/>
        </xsd:restriction>
      </xsd:simpleType>
    </xsd:element>
    <xsd:element name="TaxCatchAll" ma:index="22" nillable="true" ma:displayName="Taxonomy Catch All Column" ma:hidden="true" ma:list="{12b4c37c-5108-448d-868e-0dc9e94fed25}" ma:internalName="TaxCatchAll" ma:showField="CatchAllData" ma:web="e12cc50a-6100-433c-9888-46e6873f325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087E4EC354ADFB40AC5D4FC129E379BA" ma:contentTypeVersion="15" ma:contentTypeDescription="Create a new document." ma:contentTypeScope="" ma:versionID="4bc7655b2ddf579842fe701bd04ba5b6">
  <xsd:schema xmlns:xsd="http://www.w3.org/2001/XMLSchema" xmlns:xs="http://www.w3.org/2001/XMLSchema" xmlns:p="http://schemas.microsoft.com/office/2006/metadata/properties" xmlns:ns2="541a8a8b-b856-4d35-a5c7-7f2c0ec3d499" xmlns:ns3="e0757b53-df10-4b98-9811-094c4c3e23a8" targetNamespace="http://schemas.microsoft.com/office/2006/metadata/properties" ma:root="true" ma:fieldsID="0b539bb56bdd935c21614781d95ede6f" ns2:_="" ns3:_="">
    <xsd:import namespace="541a8a8b-b856-4d35-a5c7-7f2c0ec3d499"/>
    <xsd:import namespace="e0757b53-df10-4b98-9811-094c4c3e23a8"/>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MediaServiceAutoTags" minOccurs="0"/>
                <xsd:element ref="ns2:MediaServiceAutoKeyPoints" minOccurs="0"/>
                <xsd:element ref="ns2:MediaServiceKeyPoints" minOccurs="0"/>
                <xsd:element ref="ns3:SharedWithUsers" minOccurs="0"/>
                <xsd:element ref="ns3:SharedWithDetails" minOccurs="0"/>
                <xsd:element ref="ns2:MediaServiceObjectDetectorVersions" minOccurs="0"/>
                <xsd:element ref="ns2:MediaServiceGenerationTime" minOccurs="0"/>
                <xsd:element ref="ns2:MediaServiceEventHashCode" minOccurs="0"/>
                <xsd:element ref="ns2:MediaServiceSearchProperties" minOccurs="0"/>
                <xsd:element ref="ns2:Responsiblecolleagu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41a8a8b-b856-4d35-a5c7-7f2c0ec3d49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LengthInSeconds" ma:index="11" nillable="true" ma:displayName="Length (seconds)" ma:internalName="MediaLengthInSeconds" ma:readOnly="true">
      <xsd:simpleType>
        <xsd:restriction base="dms:Unknown"/>
      </xsd:simpleType>
    </xsd:element>
    <xsd:element name="MediaServiceAutoTags" ma:index="12" nillable="true" ma:displayName="Tags" ma:internalName="MediaServiceAutoTags" ma:readOnly="true">
      <xsd:simpleType>
        <xsd:restriction base="dms:Text"/>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ObjectDetectorVersions" ma:index="17" nillable="true" ma:displayName="MediaServiceObjectDetectorVersions" ma:hidden="true" ma:indexed="true" ma:internalName="MediaServiceObjectDetectorVersions" ma:readOnly="true">
      <xsd:simpleType>
        <xsd:restriction base="dms:Text"/>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Responsiblecolleague" ma:index="21" nillable="true" ma:displayName="Responsible colleague" ma:format="Dropdown" ma:internalName="Responsiblecolleagu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0757b53-df10-4b98-9811-094c4c3e23a8"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axCatchAll xmlns="e12cc50a-6100-433c-9888-46e6873f3252" xsi:nil="true"/>
    <lcf76f155ced4ddcb4097134ff3c332f xmlns="ca8317cf-74c1-4891-b748-a60e5112f8b7">
      <Terms xmlns="http://schemas.microsoft.com/office/infopath/2007/PartnerControls">
        <TermInfo xmlns="http://schemas.microsoft.com/office/infopath/2007/PartnerControls">
          <TermName xmlns="http://schemas.microsoft.com/office/infopath/2007/PartnerControls"/>
          <TermId xmlns="http://schemas.microsoft.com/office/infopath/2007/PartnerControls"/>
        </TermInfo>
      </Terms>
    </lcf76f155ced4ddcb4097134ff3c332f>
  </documentManagement>
</p:properties>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37C064C-3366-4EAB-A60E-4FD68F1B9DF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a8317cf-74c1-4891-b748-a60e5112f8b7"/>
    <ds:schemaRef ds:uri="e12cc50a-6100-433c-9888-46e6873f325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F453546-0F6A-45E5-9F43-500D4C4DFAE5}">
  <ds:schemaRefs>
    <ds:schemaRef ds:uri="http://schemas.microsoft.com/sharepoint/v3/contenttype/forms"/>
  </ds:schemaRefs>
</ds:datastoreItem>
</file>

<file path=customXml/itemProps3.xml><?xml version="1.0" encoding="utf-8"?>
<ds:datastoreItem xmlns:ds="http://schemas.openxmlformats.org/officeDocument/2006/customXml" ds:itemID="{3AB07451-E09A-4B81-92A6-4BCDEF4F37A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41a8a8b-b856-4d35-a5c7-7f2c0ec3d499"/>
    <ds:schemaRef ds:uri="e0757b53-df10-4b98-9811-094c4c3e23a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50102EA2-03ED-4B35-90FB-6C46E7BF780E}">
  <ds:schemaRefs>
    <ds:schemaRef ds:uri="http://schemas.microsoft.com/office/2006/metadata/properties"/>
    <ds:schemaRef ds:uri="http://schemas.microsoft.com/office/infopath/2007/PartnerControls"/>
    <ds:schemaRef ds:uri="e12cc50a-6100-433c-9888-46e6873f3252"/>
    <ds:schemaRef ds:uri="ca8317cf-74c1-4891-b748-a60e5112f8b7"/>
  </ds:schemaRefs>
</ds:datastoreItem>
</file>

<file path=customXml/itemProps5.xml><?xml version="1.0" encoding="utf-8"?>
<ds:datastoreItem xmlns:ds="http://schemas.openxmlformats.org/officeDocument/2006/customXml" ds:itemID="{8045FE01-B175-4BE1-9312-E71A37AAA56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COM.dotm</Template>
  <TotalTime>8</TotalTime>
  <Pages>14</Pages>
  <Words>5113</Words>
  <Characters>29148</Characters>
  <Application>Microsoft Office Word</Application>
  <DocSecurity>0</DocSecurity>
  <Lines>242</Lines>
  <Paragraphs>68</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34193</CharactersWithSpaces>
  <SharedDoc>false</SharedDoc>
  <HLinks>
    <vt:vector size="120" baseType="variant">
      <vt:variant>
        <vt:i4>1966128</vt:i4>
      </vt:variant>
      <vt:variant>
        <vt:i4>54</vt:i4>
      </vt:variant>
      <vt:variant>
        <vt:i4>0</vt:i4>
      </vt:variant>
      <vt:variant>
        <vt:i4>5</vt:i4>
      </vt:variant>
      <vt:variant>
        <vt:lpwstr/>
      </vt:variant>
      <vt:variant>
        <vt:lpwstr>_Toc187262019</vt:lpwstr>
      </vt:variant>
      <vt:variant>
        <vt:i4>1966128</vt:i4>
      </vt:variant>
      <vt:variant>
        <vt:i4>51</vt:i4>
      </vt:variant>
      <vt:variant>
        <vt:i4>0</vt:i4>
      </vt:variant>
      <vt:variant>
        <vt:i4>5</vt:i4>
      </vt:variant>
      <vt:variant>
        <vt:lpwstr/>
      </vt:variant>
      <vt:variant>
        <vt:lpwstr>_Toc187262018</vt:lpwstr>
      </vt:variant>
      <vt:variant>
        <vt:i4>1966128</vt:i4>
      </vt:variant>
      <vt:variant>
        <vt:i4>48</vt:i4>
      </vt:variant>
      <vt:variant>
        <vt:i4>0</vt:i4>
      </vt:variant>
      <vt:variant>
        <vt:i4>5</vt:i4>
      </vt:variant>
      <vt:variant>
        <vt:lpwstr/>
      </vt:variant>
      <vt:variant>
        <vt:lpwstr>_Toc187262017</vt:lpwstr>
      </vt:variant>
      <vt:variant>
        <vt:i4>1966128</vt:i4>
      </vt:variant>
      <vt:variant>
        <vt:i4>45</vt:i4>
      </vt:variant>
      <vt:variant>
        <vt:i4>0</vt:i4>
      </vt:variant>
      <vt:variant>
        <vt:i4>5</vt:i4>
      </vt:variant>
      <vt:variant>
        <vt:lpwstr/>
      </vt:variant>
      <vt:variant>
        <vt:lpwstr>_Toc187262016</vt:lpwstr>
      </vt:variant>
      <vt:variant>
        <vt:i4>1966128</vt:i4>
      </vt:variant>
      <vt:variant>
        <vt:i4>42</vt:i4>
      </vt:variant>
      <vt:variant>
        <vt:i4>0</vt:i4>
      </vt:variant>
      <vt:variant>
        <vt:i4>5</vt:i4>
      </vt:variant>
      <vt:variant>
        <vt:lpwstr/>
      </vt:variant>
      <vt:variant>
        <vt:lpwstr>_Toc187262015</vt:lpwstr>
      </vt:variant>
      <vt:variant>
        <vt:i4>1966128</vt:i4>
      </vt:variant>
      <vt:variant>
        <vt:i4>39</vt:i4>
      </vt:variant>
      <vt:variant>
        <vt:i4>0</vt:i4>
      </vt:variant>
      <vt:variant>
        <vt:i4>5</vt:i4>
      </vt:variant>
      <vt:variant>
        <vt:lpwstr/>
      </vt:variant>
      <vt:variant>
        <vt:lpwstr>_Toc187262014</vt:lpwstr>
      </vt:variant>
      <vt:variant>
        <vt:i4>1966128</vt:i4>
      </vt:variant>
      <vt:variant>
        <vt:i4>36</vt:i4>
      </vt:variant>
      <vt:variant>
        <vt:i4>0</vt:i4>
      </vt:variant>
      <vt:variant>
        <vt:i4>5</vt:i4>
      </vt:variant>
      <vt:variant>
        <vt:lpwstr/>
      </vt:variant>
      <vt:variant>
        <vt:lpwstr>_Toc187262013</vt:lpwstr>
      </vt:variant>
      <vt:variant>
        <vt:i4>1966128</vt:i4>
      </vt:variant>
      <vt:variant>
        <vt:i4>33</vt:i4>
      </vt:variant>
      <vt:variant>
        <vt:i4>0</vt:i4>
      </vt:variant>
      <vt:variant>
        <vt:i4>5</vt:i4>
      </vt:variant>
      <vt:variant>
        <vt:lpwstr/>
      </vt:variant>
      <vt:variant>
        <vt:lpwstr>_Toc187262012</vt:lpwstr>
      </vt:variant>
      <vt:variant>
        <vt:i4>1966128</vt:i4>
      </vt:variant>
      <vt:variant>
        <vt:i4>30</vt:i4>
      </vt:variant>
      <vt:variant>
        <vt:i4>0</vt:i4>
      </vt:variant>
      <vt:variant>
        <vt:i4>5</vt:i4>
      </vt:variant>
      <vt:variant>
        <vt:lpwstr/>
      </vt:variant>
      <vt:variant>
        <vt:lpwstr>_Toc187262011</vt:lpwstr>
      </vt:variant>
      <vt:variant>
        <vt:i4>1966128</vt:i4>
      </vt:variant>
      <vt:variant>
        <vt:i4>27</vt:i4>
      </vt:variant>
      <vt:variant>
        <vt:i4>0</vt:i4>
      </vt:variant>
      <vt:variant>
        <vt:i4>5</vt:i4>
      </vt:variant>
      <vt:variant>
        <vt:lpwstr/>
      </vt:variant>
      <vt:variant>
        <vt:lpwstr>_Toc187262010</vt:lpwstr>
      </vt:variant>
      <vt:variant>
        <vt:i4>2031664</vt:i4>
      </vt:variant>
      <vt:variant>
        <vt:i4>24</vt:i4>
      </vt:variant>
      <vt:variant>
        <vt:i4>0</vt:i4>
      </vt:variant>
      <vt:variant>
        <vt:i4>5</vt:i4>
      </vt:variant>
      <vt:variant>
        <vt:lpwstr/>
      </vt:variant>
      <vt:variant>
        <vt:lpwstr>_Toc187262009</vt:lpwstr>
      </vt:variant>
      <vt:variant>
        <vt:i4>2031664</vt:i4>
      </vt:variant>
      <vt:variant>
        <vt:i4>21</vt:i4>
      </vt:variant>
      <vt:variant>
        <vt:i4>0</vt:i4>
      </vt:variant>
      <vt:variant>
        <vt:i4>5</vt:i4>
      </vt:variant>
      <vt:variant>
        <vt:lpwstr/>
      </vt:variant>
      <vt:variant>
        <vt:lpwstr>_Toc187262008</vt:lpwstr>
      </vt:variant>
      <vt:variant>
        <vt:i4>2031664</vt:i4>
      </vt:variant>
      <vt:variant>
        <vt:i4>18</vt:i4>
      </vt:variant>
      <vt:variant>
        <vt:i4>0</vt:i4>
      </vt:variant>
      <vt:variant>
        <vt:i4>5</vt:i4>
      </vt:variant>
      <vt:variant>
        <vt:lpwstr/>
      </vt:variant>
      <vt:variant>
        <vt:lpwstr>_Toc187262007</vt:lpwstr>
      </vt:variant>
      <vt:variant>
        <vt:i4>2031664</vt:i4>
      </vt:variant>
      <vt:variant>
        <vt:i4>15</vt:i4>
      </vt:variant>
      <vt:variant>
        <vt:i4>0</vt:i4>
      </vt:variant>
      <vt:variant>
        <vt:i4>5</vt:i4>
      </vt:variant>
      <vt:variant>
        <vt:lpwstr/>
      </vt:variant>
      <vt:variant>
        <vt:lpwstr>_Toc187262006</vt:lpwstr>
      </vt:variant>
      <vt:variant>
        <vt:i4>2031664</vt:i4>
      </vt:variant>
      <vt:variant>
        <vt:i4>12</vt:i4>
      </vt:variant>
      <vt:variant>
        <vt:i4>0</vt:i4>
      </vt:variant>
      <vt:variant>
        <vt:i4>5</vt:i4>
      </vt:variant>
      <vt:variant>
        <vt:lpwstr/>
      </vt:variant>
      <vt:variant>
        <vt:lpwstr>_Toc187262005</vt:lpwstr>
      </vt:variant>
      <vt:variant>
        <vt:i4>2031664</vt:i4>
      </vt:variant>
      <vt:variant>
        <vt:i4>9</vt:i4>
      </vt:variant>
      <vt:variant>
        <vt:i4>0</vt:i4>
      </vt:variant>
      <vt:variant>
        <vt:i4>5</vt:i4>
      </vt:variant>
      <vt:variant>
        <vt:lpwstr/>
      </vt:variant>
      <vt:variant>
        <vt:lpwstr>_Toc187262004</vt:lpwstr>
      </vt:variant>
      <vt:variant>
        <vt:i4>2031664</vt:i4>
      </vt:variant>
      <vt:variant>
        <vt:i4>6</vt:i4>
      </vt:variant>
      <vt:variant>
        <vt:i4>0</vt:i4>
      </vt:variant>
      <vt:variant>
        <vt:i4>5</vt:i4>
      </vt:variant>
      <vt:variant>
        <vt:lpwstr/>
      </vt:variant>
      <vt:variant>
        <vt:lpwstr>_Toc187262003</vt:lpwstr>
      </vt:variant>
      <vt:variant>
        <vt:i4>2031664</vt:i4>
      </vt:variant>
      <vt:variant>
        <vt:i4>3</vt:i4>
      </vt:variant>
      <vt:variant>
        <vt:i4>0</vt:i4>
      </vt:variant>
      <vt:variant>
        <vt:i4>5</vt:i4>
      </vt:variant>
      <vt:variant>
        <vt:lpwstr/>
      </vt:variant>
      <vt:variant>
        <vt:lpwstr>_Toc187262002</vt:lpwstr>
      </vt:variant>
      <vt:variant>
        <vt:i4>2031664</vt:i4>
      </vt:variant>
      <vt:variant>
        <vt:i4>0</vt:i4>
      </vt:variant>
      <vt:variant>
        <vt:i4>0</vt:i4>
      </vt:variant>
      <vt:variant>
        <vt:i4>5</vt:i4>
      </vt:variant>
      <vt:variant>
        <vt:lpwstr/>
      </vt:variant>
      <vt:variant>
        <vt:lpwstr>_Toc187262001</vt:lpwstr>
      </vt:variant>
      <vt:variant>
        <vt:i4>4653060</vt:i4>
      </vt:variant>
      <vt:variant>
        <vt:i4>0</vt:i4>
      </vt:variant>
      <vt:variant>
        <vt:i4>0</vt:i4>
      </vt:variant>
      <vt:variant>
        <vt:i4>5</vt:i4>
      </vt:variant>
      <vt:variant>
        <vt:lpwstr>https://european-research-area.ec.europa.eu/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17</cp:revision>
  <dcterms:created xsi:type="dcterms:W3CDTF">2025-02-20T12:28:00Z</dcterms:created>
  <dcterms:modified xsi:type="dcterms:W3CDTF">2025-03-25T13:42:00Z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COM/PL/ORG</vt:lpwstr>
  </property>
  <property fmtid="{D5CDD505-2E9C-101B-9397-08002B2CF9AE}" pid="3" name="Version">
    <vt:lpwstr>8.0.25.0</vt:lpwstr>
  </property>
  <property fmtid="{D5CDD505-2E9C-101B-9397-08002B2CF9AE}" pid="4" name="Last edited using">
    <vt:lpwstr>LW 9.1, Build 20240808</vt:lpwstr>
  </property>
  <property fmtid="{D5CDD505-2E9C-101B-9397-08002B2CF9AE}" pid="5" name="Created using">
    <vt:lpwstr>LW 9.0, Build 20230317</vt:lpwstr>
  </property>
  <property fmtid="{D5CDD505-2E9C-101B-9397-08002B2CF9AE}" pid="6" name="Part">
    <vt:lpwstr>1</vt:lpwstr>
  </property>
  <property fmtid="{D5CDD505-2E9C-101B-9397-08002B2CF9AE}" pid="7" name="Total parts">
    <vt:lpwstr>1</vt:lpwstr>
  </property>
  <property fmtid="{D5CDD505-2E9C-101B-9397-08002B2CF9AE}" pid="8" name="Level of sensitivity">
    <vt:lpwstr>Standard treatment</vt:lpwstr>
  </property>
  <property fmtid="{D5CDD505-2E9C-101B-9397-08002B2CF9AE}" pid="9" name="LWTemplateID">
    <vt:lpwstr>SJ-022</vt:lpwstr>
  </property>
  <property fmtid="{D5CDD505-2E9C-101B-9397-08002B2CF9AE}" pid="10" name="MSIP_Label_6bd9ddd1-4d20-43f6-abfa-fc3c07406f94_Enabled">
    <vt:lpwstr>true</vt:lpwstr>
  </property>
  <property fmtid="{D5CDD505-2E9C-101B-9397-08002B2CF9AE}" pid="11" name="MSIP_Label_6bd9ddd1-4d20-43f6-abfa-fc3c07406f94_SetDate">
    <vt:lpwstr>2024-10-21T08:34:33Z</vt:lpwstr>
  </property>
  <property fmtid="{D5CDD505-2E9C-101B-9397-08002B2CF9AE}" pid="12" name="MSIP_Label_6bd9ddd1-4d20-43f6-abfa-fc3c07406f94_Method">
    <vt:lpwstr>Standard</vt:lpwstr>
  </property>
  <property fmtid="{D5CDD505-2E9C-101B-9397-08002B2CF9AE}" pid="13" name="MSIP_Label_6bd9ddd1-4d20-43f6-abfa-fc3c07406f94_Name">
    <vt:lpwstr>Commission Use</vt:lpwstr>
  </property>
  <property fmtid="{D5CDD505-2E9C-101B-9397-08002B2CF9AE}" pid="14" name="MSIP_Label_6bd9ddd1-4d20-43f6-abfa-fc3c07406f94_SiteId">
    <vt:lpwstr>b24c8b06-522c-46fe-9080-70926f8dddb1</vt:lpwstr>
  </property>
  <property fmtid="{D5CDD505-2E9C-101B-9397-08002B2CF9AE}" pid="15" name="MSIP_Label_6bd9ddd1-4d20-43f6-abfa-fc3c07406f94_ActionId">
    <vt:lpwstr>965fdc0f-07ab-47e0-8bba-fc2c60030a23</vt:lpwstr>
  </property>
  <property fmtid="{D5CDD505-2E9C-101B-9397-08002B2CF9AE}" pid="16" name="MSIP_Label_6bd9ddd1-4d20-43f6-abfa-fc3c07406f94_ContentBits">
    <vt:lpwstr>0</vt:lpwstr>
  </property>
  <property fmtid="{D5CDD505-2E9C-101B-9397-08002B2CF9AE}" pid="17" name="ContentTypeId">
    <vt:lpwstr>0x010100F628D117DBB2F44FA1D2A1966638EA6B</vt:lpwstr>
  </property>
  <property fmtid="{D5CDD505-2E9C-101B-9397-08002B2CF9AE}" pid="18" name="MediaServiceImageTags">
    <vt:lpwstr/>
  </property>
  <property fmtid="{D5CDD505-2E9C-101B-9397-08002B2CF9AE}" pid="19" name="DQCStatus">
    <vt:lpwstr>Green (DQC version 03)</vt:lpwstr>
  </property>
</Properties>
</file>