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E0E" w:rsidRPr="007F44A8" w:rsidRDefault="002E2671" w:rsidP="002E267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A850ECB-CA28-4592-90D2-4E1DFFBC0E6B" style="width:455.25pt;height:385.5pt">
            <v:imagedata r:id="rId12" o:title=""/>
          </v:shape>
        </w:pict>
      </w:r>
    </w:p>
    <w:p w:rsidR="00DA2E0E" w:rsidRPr="007F44A8" w:rsidRDefault="00DA2E0E" w:rsidP="00DA2E0E">
      <w:pPr>
        <w:rPr>
          <w:noProof/>
        </w:rPr>
        <w:sectPr w:rsidR="00DA2E0E" w:rsidRPr="007F44A8" w:rsidSect="002E2671">
          <w:footerReference w:type="even" r:id="rId13"/>
          <w:footerReference w:type="default" r:id="rId14"/>
          <w:pgSz w:w="11907" w:h="16839"/>
          <w:pgMar w:top="1134" w:right="1417" w:bottom="1134" w:left="1417" w:header="709" w:footer="709" w:gutter="0"/>
          <w:pgNumType w:start="0"/>
          <w:cols w:space="720"/>
          <w:docGrid w:linePitch="360"/>
        </w:sectPr>
      </w:pPr>
    </w:p>
    <w:p w:rsidR="00162E2A" w:rsidRPr="007F44A8" w:rsidRDefault="00162E2A" w:rsidP="00162E2A">
      <w:pPr>
        <w:pStyle w:val="Exposdesmotifstitre"/>
        <w:rPr>
          <w:noProof/>
        </w:rPr>
      </w:pPr>
      <w:bookmarkStart w:id="0" w:name="_GoBack"/>
      <w:bookmarkEnd w:id="0"/>
      <w:r w:rsidRPr="007F44A8">
        <w:rPr>
          <w:noProof/>
        </w:rPr>
        <w:lastRenderedPageBreak/>
        <w:t>EXPUNERE DE MOTIVE</w:t>
      </w:r>
    </w:p>
    <w:p w:rsidR="00162E2A" w:rsidRPr="007F44A8" w:rsidRDefault="00162E2A" w:rsidP="00162E2A">
      <w:pPr>
        <w:pStyle w:val="ManualHeading1"/>
        <w:rPr>
          <w:noProof/>
        </w:rPr>
      </w:pPr>
      <w:bookmarkStart w:id="1" w:name="_Toc187261215"/>
      <w:bookmarkStart w:id="2" w:name="_Toc187261545"/>
      <w:bookmarkStart w:id="3" w:name="_Toc187261887"/>
      <w:bookmarkStart w:id="4" w:name="_Toc187261984"/>
      <w:r w:rsidRPr="007F44A8">
        <w:rPr>
          <w:noProof/>
        </w:rPr>
        <w:t>1.</w:t>
      </w:r>
      <w:r w:rsidRPr="007F44A8">
        <w:rPr>
          <w:noProof/>
        </w:rPr>
        <w:tab/>
        <w:t>CONTEXTUL PROPUNERII</w:t>
      </w:r>
      <w:bookmarkEnd w:id="1"/>
      <w:bookmarkEnd w:id="2"/>
      <w:bookmarkEnd w:id="3"/>
      <w:bookmarkEnd w:id="4"/>
    </w:p>
    <w:p w:rsidR="00162E2A" w:rsidRPr="007F44A8" w:rsidRDefault="00162E2A" w:rsidP="00162E2A">
      <w:pPr>
        <w:pStyle w:val="ManualHeading2"/>
        <w:rPr>
          <w:rFonts w:eastAsia="Arial Unicode MS"/>
          <w:noProof/>
        </w:rPr>
      </w:pPr>
      <w:bookmarkStart w:id="5" w:name="_Toc187261216"/>
      <w:bookmarkStart w:id="6" w:name="_Toc187261546"/>
      <w:bookmarkStart w:id="7" w:name="_Toc187261888"/>
      <w:bookmarkStart w:id="8" w:name="_Toc187261985"/>
      <w:r w:rsidRPr="007F44A8">
        <w:rPr>
          <w:noProof/>
          <w:color w:val="000000"/>
          <w:u w:color="000000"/>
          <w:bdr w:val="nil"/>
        </w:rPr>
        <w:t>•</w:t>
      </w:r>
      <w:r w:rsidRPr="007F44A8">
        <w:rPr>
          <w:noProof/>
          <w:color w:val="000000"/>
          <w:u w:color="000000"/>
          <w:bdr w:val="nil"/>
        </w:rPr>
        <w:tab/>
      </w:r>
      <w:r w:rsidRPr="007F44A8">
        <w:rPr>
          <w:noProof/>
        </w:rPr>
        <w:t>Temeiurile și obiectivele propunerii</w:t>
      </w:r>
      <w:bookmarkEnd w:id="5"/>
      <w:bookmarkEnd w:id="6"/>
      <w:bookmarkEnd w:id="7"/>
      <w:bookmarkEnd w:id="8"/>
    </w:p>
    <w:p w:rsidR="00D65229" w:rsidRPr="007F44A8" w:rsidRDefault="4CDDB48F" w:rsidP="00B34D84">
      <w:pPr>
        <w:pBdr>
          <w:bar w:val="nil"/>
        </w:pBdr>
        <w:spacing w:before="0" w:after="0"/>
        <w:rPr>
          <w:noProof/>
        </w:rPr>
      </w:pPr>
      <w:r w:rsidRPr="007F44A8">
        <w:rPr>
          <w:noProof/>
        </w:rPr>
        <w:t>Scopul Spațiului european de cercetare (SEC) este de a crea un spațiu în care „cercetătorii, cunoștințele științifice și tehnologiile să circule liber” (articolul 179 din TFUE). SEC a fost relansat în 2020, inclusiv prin adoptarea Pactului pentru cercetare și inovare (C&amp;I)</w:t>
      </w:r>
      <w:r w:rsidR="00AF5C91" w:rsidRPr="007F44A8">
        <w:rPr>
          <w:rStyle w:val="FootnoteReference"/>
          <w:noProof/>
        </w:rPr>
        <w:footnoteReference w:id="2"/>
      </w:r>
      <w:r w:rsidRPr="007F44A8">
        <w:rPr>
          <w:noProof/>
        </w:rPr>
        <w:t xml:space="preserve"> în Europa, articulând următoarele domenii prioritare comune de acțiune ale statelor membre:</w:t>
      </w:r>
    </w:p>
    <w:p w:rsidR="00D65229" w:rsidRPr="007F44A8" w:rsidRDefault="00F52E7A" w:rsidP="00F52E7A">
      <w:pPr>
        <w:pStyle w:val="Point0"/>
        <w:rPr>
          <w:noProof/>
        </w:rPr>
      </w:pPr>
      <w:r w:rsidRPr="00F52E7A">
        <w:rPr>
          <w:noProof/>
        </w:rPr>
        <w:t>(1)</w:t>
      </w:r>
      <w:r w:rsidRPr="00F52E7A">
        <w:rPr>
          <w:noProof/>
        </w:rPr>
        <w:tab/>
      </w:r>
      <w:r w:rsidR="00D76B6F" w:rsidRPr="007F44A8">
        <w:rPr>
          <w:noProof/>
        </w:rPr>
        <w:t>aprofundarea unei piețe interne a cunoașterii care să fie cu adevărat funcțională;</w:t>
      </w:r>
    </w:p>
    <w:p w:rsidR="00D65229" w:rsidRPr="007F44A8" w:rsidRDefault="00F52E7A" w:rsidP="00F52E7A">
      <w:pPr>
        <w:pStyle w:val="Point0"/>
        <w:rPr>
          <w:noProof/>
        </w:rPr>
      </w:pPr>
      <w:r w:rsidRPr="00F52E7A">
        <w:rPr>
          <w:noProof/>
        </w:rPr>
        <w:t>(2)</w:t>
      </w:r>
      <w:r w:rsidRPr="00F52E7A">
        <w:rPr>
          <w:noProof/>
        </w:rPr>
        <w:tab/>
      </w:r>
      <w:r w:rsidR="00D76B6F" w:rsidRPr="007F44A8">
        <w:rPr>
          <w:noProof/>
        </w:rPr>
        <w:t>abordarea în comun a tranziției verzi, a transformării digitale și a altor provocări cu impact asupra societății și creșterea participării societății la SEC</w:t>
      </w:r>
      <w:r w:rsidR="00D76B6F" w:rsidRPr="007F44A8">
        <w:rPr>
          <w:bCs/>
          <w:noProof/>
        </w:rPr>
        <w:t>;</w:t>
      </w:r>
    </w:p>
    <w:p w:rsidR="00D65229" w:rsidRPr="007F44A8" w:rsidRDefault="00F52E7A" w:rsidP="00F52E7A">
      <w:pPr>
        <w:pStyle w:val="Point0"/>
        <w:rPr>
          <w:noProof/>
        </w:rPr>
      </w:pPr>
      <w:r w:rsidRPr="00F52E7A">
        <w:rPr>
          <w:noProof/>
        </w:rPr>
        <w:t>(3)</w:t>
      </w:r>
      <w:r w:rsidRPr="00F52E7A">
        <w:rPr>
          <w:noProof/>
        </w:rPr>
        <w:tab/>
      </w:r>
      <w:r w:rsidR="00D76B6F" w:rsidRPr="007F44A8">
        <w:rPr>
          <w:noProof/>
        </w:rPr>
        <w:t xml:space="preserve">îmbunătățirea accesului la excelență în materie de cercetare și inovare în întreaga Uniune și consolidarea interconexiunilor dintre ecosistemele de inovare din întreaga Uniune; </w:t>
      </w:r>
    </w:p>
    <w:p w:rsidR="4CDDB48F" w:rsidRPr="007F44A8" w:rsidRDefault="00F52E7A" w:rsidP="00F52E7A">
      <w:pPr>
        <w:pStyle w:val="Point0"/>
        <w:rPr>
          <w:noProof/>
        </w:rPr>
      </w:pPr>
      <w:r w:rsidRPr="00F52E7A">
        <w:rPr>
          <w:noProof/>
        </w:rPr>
        <w:t>(4)</w:t>
      </w:r>
      <w:r w:rsidRPr="00F52E7A">
        <w:rPr>
          <w:noProof/>
        </w:rPr>
        <w:tab/>
      </w:r>
      <w:r w:rsidR="00D76B6F" w:rsidRPr="007F44A8">
        <w:rPr>
          <w:noProof/>
        </w:rPr>
        <w:t>promovarea investițiilor și reformelor concertate în domeniul cercetării și inovării.</w:t>
      </w:r>
    </w:p>
    <w:p w:rsidR="765986DE" w:rsidRPr="007F44A8" w:rsidRDefault="765986DE" w:rsidP="00B34D84">
      <w:pPr>
        <w:spacing w:before="0" w:after="0"/>
        <w:rPr>
          <w:noProof/>
        </w:rPr>
      </w:pPr>
    </w:p>
    <w:p w:rsidR="765986DE" w:rsidRPr="007F44A8" w:rsidRDefault="765986DE" w:rsidP="51808A90">
      <w:pPr>
        <w:spacing w:before="0" w:after="0"/>
        <w:rPr>
          <w:noProof/>
        </w:rPr>
      </w:pPr>
      <w:r w:rsidRPr="007F44A8">
        <w:rPr>
          <w:noProof/>
        </w:rPr>
        <w:t>Prin instituirea unor noi structuri de guvernanță și a unei prime agende de politici privind SEC 2022-2024 cu acțiuni concrete, UE a dat un nou impuls SEC, aliniind strategiile și politicile în materie de C&amp;I. S-au înregistrat progrese notabile prin colaborarea cu statele membre, în special în ceea ce privește abordarea fragmentării sistemelor lor de C&amp;I. Inițiativele au vizat carierele în cercetare, infrastructurile de cercetare, știința deschisă, consolidarea încrederii în știință prin implicarea cetățenilor și mobilizarea resurselor pentru cooperarea tematică în domeniul C&amp;I. Procesul comun de stabilire a priorităților, cocreat de statele membre, părțile interesate și Comisie, a promovat un sentiment de apartenență și un angajament sporit față de punerea în aplicare a SEC, în special prin intermediul primei agende de politici privind SEC.</w:t>
      </w:r>
    </w:p>
    <w:p w:rsidR="765986DE" w:rsidRPr="007F44A8" w:rsidRDefault="765986DE" w:rsidP="008F2161">
      <w:pPr>
        <w:spacing w:before="0" w:after="0"/>
        <w:rPr>
          <w:noProof/>
        </w:rPr>
      </w:pPr>
    </w:p>
    <w:p w:rsidR="000E4D23" w:rsidRPr="007F44A8" w:rsidRDefault="37EDB14F" w:rsidP="00A81427">
      <w:pPr>
        <w:rPr>
          <w:rFonts w:eastAsia="Times New Roman"/>
          <w:noProof/>
        </w:rPr>
      </w:pPr>
      <w:r w:rsidRPr="007F44A8">
        <w:rPr>
          <w:noProof/>
        </w:rPr>
        <w:t xml:space="preserve">La fel ca prima agendă de politici privind SEC 2022-2024, cea de a doua agendă de politici privind SEC 2025-2027 prezintă activități SEC concrete, servind drept cadru strategic pentru a încuraja colaborarea între țările UE, a spori eficacitatea sistemelor de C&amp;I și a aborda provocările societale în mod colectiv. Pe baza lecțiilor învățate din punerea în aplicare a primei agende, cea de a doua asigură un echilibru între aprofundarea acțiunilor privind prioritățile actuale prin </w:t>
      </w:r>
      <w:r w:rsidRPr="007F44A8">
        <w:rPr>
          <w:b/>
          <w:noProof/>
        </w:rPr>
        <w:t>politici structurale</w:t>
      </w:r>
      <w:r w:rsidRPr="007F44A8">
        <w:rPr>
          <w:noProof/>
        </w:rPr>
        <w:t xml:space="preserve"> și extinderea viziunii pentru SEC prin </w:t>
      </w:r>
      <w:r w:rsidRPr="007F44A8">
        <w:rPr>
          <w:b/>
          <w:noProof/>
        </w:rPr>
        <w:t>noi acțiuni SEC</w:t>
      </w:r>
      <w:r w:rsidRPr="007F44A8">
        <w:rPr>
          <w:noProof/>
        </w:rPr>
        <w:t>. Politicile structurale sunt politici pe termen lung privind SEC, cum ar fi știința deschisă, infrastructurile de cercetare și carierele în cercetare care nu se limitează la agende de politici individuale și sunt integrate în politicile naționale și europene. Acțiunile SEC sunt concise, bazate pe politici și orientate spre obiective, pentru a oferi o valoare adăugată substanțială pentru UE, statele membre și părțile interesate. Acțiunile privind inteligența artificială în știință, securitatea cercetării, știința pentru politici, echitatea în știință au fost identificate drept lacune pentru care cooperarea a fost considerată necesară. În general, acest lucru oferă următoarei agende de politici privind SEC 2025-2027 o orientare mai clară, bazată pe politici, și o structură mai clară pentru a facilita punerea în aplicare de către administrațiile și părțile interesate naționale.</w:t>
      </w:r>
    </w:p>
    <w:p w:rsidR="51808A90" w:rsidRPr="007F44A8" w:rsidRDefault="51808A90" w:rsidP="51808A90">
      <w:pPr>
        <w:spacing w:before="0" w:after="0"/>
        <w:rPr>
          <w:noProof/>
        </w:rPr>
      </w:pPr>
      <w:bookmarkStart w:id="9" w:name="_Hlk187306115"/>
    </w:p>
    <w:bookmarkEnd w:id="9"/>
    <w:p w:rsidR="128CDFF0" w:rsidRPr="007F44A8" w:rsidRDefault="64FB2D8E" w:rsidP="51808A90">
      <w:pPr>
        <w:pBdr>
          <w:top w:val="nil"/>
          <w:left w:val="nil"/>
          <w:bottom w:val="nil"/>
          <w:right w:val="nil"/>
          <w:between w:val="nil"/>
          <w:bar w:val="nil"/>
        </w:pBdr>
        <w:spacing w:before="0" w:after="240"/>
        <w:rPr>
          <w:noProof/>
        </w:rPr>
      </w:pPr>
      <w:r w:rsidRPr="007F44A8">
        <w:rPr>
          <w:noProof/>
        </w:rPr>
        <w:t>Agenda de politici privind SEC este un instrument fără caracter juridic obligatoriu de orientare a politicilor naționale și de la nivelul UE în conformitate cu obiectivele SEC prevăzute la articolul 179 din TFUE. Aceasta coordonează prioritățile statelor membre în activitatea de promovare a SEC pe baza unei acțiuni comune. Prin urmare, încurajează cooperarea și coordonarea voluntară între statele membre și UE. Întrucât are caracter voluntar, nu există nicio obligație legală de punere în aplicare. Punerea în aplicare a agendei de politici privind SEC urmează logica geometriei variabile. Forumul SEC, care reunește Comisia Europeană, statele membre, țările asociate programului Orizont Europa și părțile interesate de la nivelul UE, servește drept organism de guvernanță pentru coordonarea în comun a punerii în aplicare a activităților SEC.</w:t>
      </w:r>
    </w:p>
    <w:p w:rsidR="007851BE" w:rsidRPr="007F44A8" w:rsidRDefault="7AD517C0" w:rsidP="00B34D84">
      <w:pPr>
        <w:pBdr>
          <w:top w:val="nil"/>
          <w:left w:val="nil"/>
          <w:bottom w:val="nil"/>
          <w:right w:val="nil"/>
          <w:between w:val="nil"/>
        </w:pBdr>
        <w:spacing w:before="0" w:after="240"/>
        <w:rPr>
          <w:rFonts w:eastAsia="Times New Roman"/>
          <w:noProof/>
          <w:szCs w:val="24"/>
        </w:rPr>
      </w:pPr>
      <w:r w:rsidRPr="007F44A8">
        <w:rPr>
          <w:noProof/>
        </w:rPr>
        <w:t>Deși inițiativele fără caracter legislativ, cum ar fi agenda de politici privind SEC 2022-2024, care conțin angajamente voluntare sub forma acțiunilor SEC au dus la înregistrarea de progrese semnificative, acestea rămân insuficiente pentru abordarea barierelor structurale. Comunicarea Comisiei din 22 octombrie 2024 privind punerea în aplicare a SEC</w:t>
      </w:r>
      <w:r w:rsidR="00AF5C91" w:rsidRPr="007F44A8">
        <w:rPr>
          <w:rStyle w:val="FootnoteReference"/>
          <w:noProof/>
        </w:rPr>
        <w:footnoteReference w:id="3"/>
      </w:r>
      <w:r w:rsidRPr="007F44A8">
        <w:rPr>
          <w:noProof/>
        </w:rPr>
        <w:t xml:space="preserve"> a evidențiat aspecte persistente, cum ar fi disparitățile dintre statele membre în ceea ce privește performanțele în materie de cercetare, dezvoltare și inovare (CDI), nivelurile insuficiente ale investițiilor private și publice în CDI sub obiectivul de 3 % din PIB, cadrele de reglementare fragmentate, sprijinul limitat pentru transferul de tehnologie și fragmentarea infrastructurilor de cercetare și tehnologie. În concluzie, comunicarea a subliniat necesitatea unei guvernanțe mai puternice. </w:t>
      </w:r>
    </w:p>
    <w:p w:rsidR="128CDFF0" w:rsidRPr="007F44A8" w:rsidRDefault="5E3907E2" w:rsidP="00B34D84">
      <w:pPr>
        <w:pBdr>
          <w:top w:val="nil"/>
          <w:left w:val="nil"/>
          <w:bottom w:val="nil"/>
          <w:right w:val="nil"/>
          <w:between w:val="nil"/>
        </w:pBdr>
        <w:spacing w:before="0" w:after="240"/>
        <w:rPr>
          <w:noProof/>
        </w:rPr>
      </w:pPr>
      <w:r w:rsidRPr="007F44A8">
        <w:rPr>
          <w:noProof/>
        </w:rPr>
        <w:t>Pentru abordarea provocărilor sistemice, viitoarele inițiative legislative vor fi complementare agendei de politici privind SEC și ar putea introduce măsuri legislative care să depășească acțiunile voluntare din cadrul agendei de politici privind SEC fără caracter obligatoriu. Astfel de inițiative (de exemplu, o lege privind SEC) vor reprezenta o oportunitate de a aborda problemele prin armonizare, aplicarea uniformă a normelor și asigurarea respectării politicilor UE pentru a crea condiții de concurență echitabile între statele membre. Aceasta ar putea fi aplicată domeniilor evaluate ca necesitând norme sau structuri obligatorii pentru atingerea obiectivelor SEC, dincolo de măsurile voluntare de coordonare și cooperare. Acest lucru ar trebui să reducă substanțial fragmentarea politicilor și a sistemelor de C&amp;I în cadrul UE.</w:t>
      </w:r>
    </w:p>
    <w:p w:rsidR="00162E2A" w:rsidRPr="007F44A8" w:rsidRDefault="00162E2A" w:rsidP="00162E2A">
      <w:pPr>
        <w:pStyle w:val="ManualHeading1"/>
        <w:rPr>
          <w:noProof/>
        </w:rPr>
      </w:pPr>
      <w:bookmarkStart w:id="10" w:name="_Toc187261217"/>
      <w:bookmarkStart w:id="11" w:name="_Toc187261547"/>
      <w:bookmarkStart w:id="12" w:name="_Toc187261889"/>
      <w:bookmarkStart w:id="13" w:name="_Toc187261986"/>
      <w:r w:rsidRPr="007F44A8">
        <w:rPr>
          <w:noProof/>
        </w:rPr>
        <w:t>2.</w:t>
      </w:r>
      <w:r w:rsidRPr="007F44A8">
        <w:rPr>
          <w:noProof/>
        </w:rPr>
        <w:tab/>
        <w:t>TEMEI JURIDIC, SUBSIDIARITATE ȘI PROPORȚIONALITATE</w:t>
      </w:r>
      <w:bookmarkEnd w:id="10"/>
      <w:bookmarkEnd w:id="11"/>
      <w:bookmarkEnd w:id="12"/>
      <w:bookmarkEnd w:id="13"/>
    </w:p>
    <w:p w:rsidR="00162E2A" w:rsidRPr="007F44A8" w:rsidRDefault="00162E2A" w:rsidP="00162E2A">
      <w:pPr>
        <w:pStyle w:val="ManualHeading2"/>
        <w:rPr>
          <w:noProof/>
          <w:bdr w:val="nil"/>
        </w:rPr>
      </w:pPr>
      <w:bookmarkStart w:id="14" w:name="_Toc187261218"/>
      <w:bookmarkStart w:id="15" w:name="_Toc187261548"/>
      <w:bookmarkStart w:id="16" w:name="_Toc187261890"/>
      <w:bookmarkStart w:id="17" w:name="_Toc187261987"/>
      <w:r w:rsidRPr="007F44A8">
        <w:rPr>
          <w:noProof/>
        </w:rPr>
        <w:t>•</w:t>
      </w:r>
      <w:r w:rsidRPr="007F44A8">
        <w:rPr>
          <w:noProof/>
        </w:rPr>
        <w:tab/>
        <w:t>Temei juridic</w:t>
      </w:r>
      <w:bookmarkEnd w:id="14"/>
      <w:bookmarkEnd w:id="15"/>
      <w:bookmarkEnd w:id="16"/>
      <w:bookmarkEnd w:id="17"/>
    </w:p>
    <w:p w:rsidR="004A4C04" w:rsidRPr="007F44A8" w:rsidRDefault="00162E2A" w:rsidP="00D65229">
      <w:pPr>
        <w:pBdr>
          <w:top w:val="nil"/>
          <w:left w:val="nil"/>
          <w:bottom w:val="nil"/>
          <w:right w:val="nil"/>
          <w:between w:val="nil"/>
          <w:bar w:val="nil"/>
        </w:pBdr>
        <w:spacing w:before="0" w:after="240"/>
        <w:rPr>
          <w:noProof/>
        </w:rPr>
      </w:pPr>
      <w:r w:rsidRPr="007F44A8">
        <w:rPr>
          <w:noProof/>
        </w:rPr>
        <w:t xml:space="preserve">Temeiul juridic al acestei inițiative este articolul 292 din TFUE. În conformitate cu articolul 292 din TFUE, Consiliul poate adopta recomandări și hotărăște, la propunerea Comisiei, în toate cazurile în care tratatele prevăd că trebuie să adopte acte la propunerea Comisiei. În conformitate cu articolul 179 alineatul (1) din TFUE, Uniunea are ca obiectiv consolidarea bazelor sale științifice și tehnologice, prin crearea unui spațiu european de cercetare în care cercetătorii, cunoștințele științifice și tehnologiile să circule liber, precum și favorizarea creșterii competitivității sale, inclusiv în industrie, precum și promovarea activităților de cercetare considerate necesare. În conformitate cu articolul 181 din TFUE, Uniunea și statele membre trebuie să își coordoneze acțiunile în domeniul cercetării și dezvoltării tehnologice, în scopul asigurării coerenței reciproce a politicilor naționale și a politicii Uniunii. </w:t>
      </w:r>
    </w:p>
    <w:p w:rsidR="00D65229" w:rsidRPr="007F44A8" w:rsidRDefault="00162E2A" w:rsidP="00D65229">
      <w:pPr>
        <w:pBdr>
          <w:top w:val="nil"/>
          <w:left w:val="nil"/>
          <w:bottom w:val="nil"/>
          <w:right w:val="nil"/>
          <w:between w:val="nil"/>
          <w:bar w:val="nil"/>
        </w:pBdr>
        <w:spacing w:before="0" w:after="240"/>
        <w:rPr>
          <w:noProof/>
        </w:rPr>
      </w:pPr>
      <w:r w:rsidRPr="007F44A8">
        <w:rPr>
          <w:noProof/>
        </w:rPr>
        <w:t>Comisia, în strânsă colaborare cu statele membre, poate adopta orice inițiativă utilă promovării coordonării menționate, în special inițiative menite să stabilească orientările și indicatorii, să organizeze schimbul celor mai bune practici și să pregătească elementele necesare pentru supravegherea și evaluarea periodice. Parlamentul European trebuie să fie pe deplin informat. Articolul 182 alineatul (5) oferă posibilitatea de a completa activitățile prevăzute în programul-cadru multianual, permițând Parlamentului European și Consiliului, care hotărăsc în conformitate cu procedura legislativă ordinară și după consultarea Comitetului Economic și Social, să adopte măsurile necesare pentru punerea în aplicare a SEC.</w:t>
      </w:r>
    </w:p>
    <w:p w:rsidR="00162E2A" w:rsidRPr="007F44A8" w:rsidRDefault="00162E2A" w:rsidP="00162E2A">
      <w:pPr>
        <w:pStyle w:val="ManualHeading2"/>
        <w:rPr>
          <w:noProof/>
        </w:rPr>
      </w:pPr>
      <w:r w:rsidRPr="007F44A8">
        <w:rPr>
          <w:noProof/>
        </w:rPr>
        <w:tab/>
      </w:r>
      <w:bookmarkStart w:id="18" w:name="_Toc187261219"/>
      <w:bookmarkStart w:id="19" w:name="_Toc187261549"/>
      <w:bookmarkStart w:id="20" w:name="_Toc187261891"/>
      <w:bookmarkStart w:id="21" w:name="_Toc187261988"/>
      <w:r w:rsidRPr="007F44A8">
        <w:rPr>
          <w:noProof/>
        </w:rPr>
        <w:t>Subsidiaritatea (în cazul competențelor neexclusive)</w:t>
      </w:r>
      <w:bookmarkEnd w:id="18"/>
      <w:bookmarkEnd w:id="19"/>
      <w:bookmarkEnd w:id="20"/>
      <w:bookmarkEnd w:id="21"/>
      <w:r w:rsidRPr="007F44A8">
        <w:rPr>
          <w:noProof/>
        </w:rPr>
        <w:t xml:space="preserve"> </w:t>
      </w:r>
    </w:p>
    <w:p w:rsidR="00162E2A" w:rsidRPr="007F44A8" w:rsidRDefault="00162E2A" w:rsidP="00162E2A">
      <w:pPr>
        <w:pBdr>
          <w:top w:val="nil"/>
          <w:left w:val="nil"/>
          <w:bottom w:val="nil"/>
          <w:right w:val="nil"/>
          <w:between w:val="nil"/>
          <w:bar w:val="nil"/>
        </w:pBdr>
        <w:spacing w:before="0" w:after="240"/>
        <w:rPr>
          <w:rFonts w:eastAsia="Arial Unicode MS"/>
          <w:noProof/>
        </w:rPr>
      </w:pPr>
      <w:r w:rsidRPr="007F44A8">
        <w:rPr>
          <w:noProof/>
        </w:rPr>
        <w:t>Scopul SEC este de a crea un spațiu în care „cercetătorii, cunoștințele științifice și tehnologiile să circule liber” [articolul 179 alineatul (1) din TFUE]. Fiind o inițiativă privind guvernanța pe mai multe niveluri și care pune în aplicare o abordare la nivelul întregii administrații (asigurând alinierea politicilor la diferite niveluri de guvernanță și între domeniile de politică), Spațiul european de cercetare este în conformitate cu principiul subsidiarității. Acesta respectă competența statelor membre în acest domeniu și urmărește să asigure coerența politicii C&amp;I la toate nivelurile de guvernanță (local, regional, național și mondial). Acesta introduce inițiative care oferă cea mai mare parte a valorii adăugate a UE la nivel european, fiind legate de răspunsurile în materie de politică națională și regională și bazându-se pe acestea. Inițiativa respectă principiul subsidiarității, având în vedere că, în temeiul articolului 4 alineatul (3) din TFUE, propunerea nu intră în sfera de competență exclusivă a Uniunii Europene.</w:t>
      </w:r>
    </w:p>
    <w:p w:rsidR="00162E2A" w:rsidRPr="007F44A8" w:rsidRDefault="00162E2A" w:rsidP="00162E2A">
      <w:pPr>
        <w:pStyle w:val="ManualHeading2"/>
        <w:rPr>
          <w:noProof/>
          <w:bdr w:val="nil"/>
        </w:rPr>
      </w:pPr>
      <w:bookmarkStart w:id="22" w:name="_Toc187261220"/>
      <w:bookmarkStart w:id="23" w:name="_Toc187261550"/>
      <w:bookmarkStart w:id="24" w:name="_Toc187261892"/>
      <w:bookmarkStart w:id="25" w:name="_Toc187261989"/>
      <w:r w:rsidRPr="007F44A8">
        <w:rPr>
          <w:noProof/>
        </w:rPr>
        <w:t>•</w:t>
      </w:r>
      <w:r w:rsidRPr="007F44A8">
        <w:rPr>
          <w:noProof/>
        </w:rPr>
        <w:tab/>
      </w:r>
      <w:r w:rsidRPr="007F44A8">
        <w:rPr>
          <w:noProof/>
          <w:bdr w:val="nil"/>
        </w:rPr>
        <w:t>Proporționalitate</w:t>
      </w:r>
      <w:bookmarkEnd w:id="22"/>
      <w:bookmarkEnd w:id="23"/>
      <w:bookmarkEnd w:id="24"/>
      <w:bookmarkEnd w:id="25"/>
    </w:p>
    <w:p w:rsidR="00162E2A" w:rsidRPr="007F44A8" w:rsidRDefault="00162E2A" w:rsidP="00162E2A">
      <w:pPr>
        <w:pBdr>
          <w:top w:val="nil"/>
          <w:left w:val="nil"/>
          <w:bottom w:val="nil"/>
          <w:right w:val="nil"/>
          <w:between w:val="nil"/>
          <w:bar w:val="nil"/>
        </w:pBdr>
        <w:spacing w:before="0" w:after="240"/>
        <w:rPr>
          <w:rFonts w:eastAsia="Arial Unicode MS"/>
          <w:noProof/>
        </w:rPr>
      </w:pPr>
      <w:r w:rsidRPr="007F44A8">
        <w:rPr>
          <w:noProof/>
        </w:rPr>
        <w:t>Acțiunile propuse sunt proporționale cu obiectivele urmărite. Propunerea sprijină realizarea obiectivelor noului SEC. Ea completează acțiunea națională de creare a unui spațiu de cercetare axat pe cercetători, bazat pe valori, caracterizat prin excelență și orientat spre impact. Propunerea respectă practicile statelor membre și prevede o abordare diferențiată care reflectă situațiile economice, financiare și sociale diferite ale statelor membre, precum și diversitatea sistemelor de cercetare și a instituțiilor și organizațiilor respective. Ea recunoaște faptul că situațiile diferite de la nivel național, regional sau local ar putea conduce la diferențe în ceea ce privește modul în care este pusă în aplicare recomandarea propusă.</w:t>
      </w:r>
    </w:p>
    <w:p w:rsidR="00162E2A" w:rsidRPr="007F44A8" w:rsidRDefault="00162E2A" w:rsidP="00162E2A">
      <w:pPr>
        <w:pStyle w:val="ManualHeading2"/>
        <w:rPr>
          <w:noProof/>
          <w:u w:color="000000"/>
          <w:bdr w:val="nil"/>
        </w:rPr>
      </w:pPr>
      <w:bookmarkStart w:id="26" w:name="_Toc187261221"/>
      <w:bookmarkStart w:id="27" w:name="_Toc187261551"/>
      <w:bookmarkStart w:id="28" w:name="_Toc187261893"/>
      <w:bookmarkStart w:id="29" w:name="_Toc187261990"/>
      <w:r w:rsidRPr="007F44A8">
        <w:rPr>
          <w:noProof/>
          <w:u w:color="000000"/>
          <w:bdr w:val="nil"/>
        </w:rPr>
        <w:t>•</w:t>
      </w:r>
      <w:r w:rsidRPr="007F44A8">
        <w:rPr>
          <w:noProof/>
          <w:u w:color="000000"/>
          <w:bdr w:val="nil"/>
        </w:rPr>
        <w:tab/>
        <w:t>Alegerea instrumentului</w:t>
      </w:r>
      <w:bookmarkEnd w:id="26"/>
      <w:bookmarkEnd w:id="27"/>
      <w:bookmarkEnd w:id="28"/>
      <w:bookmarkEnd w:id="29"/>
    </w:p>
    <w:p w:rsidR="008B357B" w:rsidRPr="007F44A8" w:rsidRDefault="002B4E19" w:rsidP="008B357B">
      <w:pPr>
        <w:pStyle w:val="Text1"/>
        <w:ind w:left="0"/>
        <w:rPr>
          <w:noProof/>
        </w:rPr>
      </w:pPr>
      <w:r w:rsidRPr="007F44A8">
        <w:rPr>
          <w:noProof/>
        </w:rPr>
        <w:t>Valorificând învățămintele desprinse din prima agendă de politici privind SEC 2022-2024, alegerea unei recomandări a Consiliului subliniază angajamentul Comisiei de a consolida guvernanța bazată pe colaborare a SEC prin transpunerea rezultatului colaborării cu statele membre, cu țările asociate la programul Orizont Europa și cu părțile interesate de la nivelul UE într-o propunere a Comisiei de recomandare a Consiliului. Scopul este de a consolida asumarea responsabilității și un angajament în cunoștință de cauză din partea statelor membre și a părților interesate, ca bază pentru continuarea cooperării cu privire la acțiunile convenite și la politicile structurale pentru acțiuni comune. De asemenea, continuă abordarea flexibilă adoptată pentru punerea în aplicare a acțiunilor SEC și caracterul voluntar al agendei de politici privind SEC.</w:t>
      </w:r>
    </w:p>
    <w:p w:rsidR="00D65229" w:rsidRPr="007F44A8" w:rsidRDefault="00162E2A" w:rsidP="00D65229">
      <w:pPr>
        <w:pStyle w:val="ManualHeading1"/>
        <w:rPr>
          <w:noProof/>
        </w:rPr>
      </w:pPr>
      <w:bookmarkStart w:id="30" w:name="_Toc187261222"/>
      <w:bookmarkStart w:id="31" w:name="_Toc187261552"/>
      <w:bookmarkStart w:id="32" w:name="_Toc187261894"/>
      <w:bookmarkStart w:id="33" w:name="_Toc187261991"/>
      <w:r w:rsidRPr="007F44A8">
        <w:rPr>
          <w:noProof/>
        </w:rPr>
        <w:t>3.</w:t>
      </w:r>
      <w:r w:rsidRPr="007F44A8">
        <w:rPr>
          <w:noProof/>
        </w:rPr>
        <w:tab/>
        <w:t>REZULTATELE EVALUĂRILOR EX POST, ALE CONSULTĂRILOR CU PĂRȚILE INTERESATE ȘI ALE EVALUĂRILOR IMPACTULUI</w:t>
      </w:r>
      <w:bookmarkEnd w:id="30"/>
      <w:bookmarkEnd w:id="31"/>
      <w:bookmarkEnd w:id="32"/>
      <w:bookmarkEnd w:id="33"/>
    </w:p>
    <w:p w:rsidR="00162E2A" w:rsidRPr="007F44A8" w:rsidRDefault="00162E2A" w:rsidP="00D65229">
      <w:pPr>
        <w:pStyle w:val="ManualHeading1"/>
        <w:rPr>
          <w:noProof/>
          <w:u w:color="000000"/>
          <w:bdr w:val="nil"/>
        </w:rPr>
      </w:pPr>
      <w:bookmarkStart w:id="34" w:name="_Toc187261223"/>
      <w:bookmarkStart w:id="35" w:name="_Toc187261553"/>
      <w:bookmarkStart w:id="36" w:name="_Toc187261895"/>
      <w:bookmarkStart w:id="37" w:name="_Toc187261992"/>
      <w:r w:rsidRPr="007F44A8">
        <w:rPr>
          <w:noProof/>
          <w:u w:color="000000"/>
          <w:bdr w:val="nil"/>
        </w:rPr>
        <w:t>•</w:t>
      </w:r>
      <w:r w:rsidRPr="007F44A8">
        <w:rPr>
          <w:noProof/>
          <w:u w:color="000000"/>
          <w:bdr w:val="nil"/>
        </w:rPr>
        <w:tab/>
        <w:t>Obținerea și utilizarea expertizei</w:t>
      </w:r>
      <w:bookmarkEnd w:id="34"/>
      <w:bookmarkEnd w:id="35"/>
      <w:bookmarkEnd w:id="36"/>
      <w:bookmarkEnd w:id="37"/>
    </w:p>
    <w:p w:rsidR="00162E2A" w:rsidRPr="007F44A8" w:rsidRDefault="2476570B" w:rsidP="00402896">
      <w:pPr>
        <w:pBdr>
          <w:top w:val="nil"/>
          <w:left w:val="nil"/>
          <w:bottom w:val="nil"/>
          <w:right w:val="nil"/>
          <w:between w:val="nil"/>
          <w:bar w:val="nil"/>
        </w:pBdr>
        <w:spacing w:before="0" w:after="240"/>
        <w:rPr>
          <w:rFonts w:eastAsia="Arial Unicode MS"/>
          <w:noProof/>
          <w:color w:val="000000" w:themeColor="text1"/>
        </w:rPr>
      </w:pPr>
      <w:r w:rsidRPr="007F44A8">
        <w:rPr>
          <w:noProof/>
        </w:rPr>
        <w:t>Comisia Europeană și-a susținut propunerea de agendă de politici privind SEC 2025-2027 cu dovezi din primul ciclu de monitorizare a SEC din 2023. Ciclul a inclus prima evaluare pe 18 luni a punerii în aplicare a agendei de politici privind SEC 2022-2024 la nivelul UE (raport la nivelul UE), rapoartele de țară privind SEC pentru toate statele membre, precum și 11 țări asociate la programul Orizont Europa, primul Tablou de bord al SEC și primul Tablou de bord mai detaliat al SEC. Raportul pe 18 luni la nivelul UE a furnizat o evaluare a progreselor înregistrate în domeniile prioritare de acțiune comună în cadrul SEC, astfel cum se prevede în Pactul pentru cercetare și inovare în Europa, precum și în ceea ce privește punerea în aplicare a agendei de politici privind SEC. Rapoartele de țară privind SEC au furnizat această analiză la nivel național. Tabloul de bord al SEC a evaluat consolidarea generală și progresele colective privind prioritățile SEC în 2023 pentru UE în ansamblu, iar tabloul detaliat a evaluat progresele înregistrate la nivel național. Toate rapoartele sunt puse la dispoziția publicului pe platforma de politici privind SEC</w:t>
      </w:r>
      <w:r w:rsidR="00780C18" w:rsidRPr="007F44A8">
        <w:rPr>
          <w:rStyle w:val="FootnoteReference"/>
          <w:noProof/>
        </w:rPr>
        <w:footnoteReference w:id="4"/>
      </w:r>
      <w:r w:rsidRPr="007F44A8">
        <w:rPr>
          <w:noProof/>
        </w:rPr>
        <w:t>.</w:t>
      </w:r>
    </w:p>
    <w:p w:rsidR="00162E2A" w:rsidRPr="007F44A8" w:rsidRDefault="0D8EBB77" w:rsidP="00162E2A">
      <w:pPr>
        <w:pStyle w:val="ManualHeading2"/>
        <w:rPr>
          <w:noProof/>
          <w:bdr w:val="nil"/>
        </w:rPr>
      </w:pPr>
      <w:bookmarkStart w:id="38" w:name="_Toc187261224"/>
      <w:bookmarkStart w:id="39" w:name="_Toc187261554"/>
      <w:bookmarkStart w:id="40" w:name="_Toc187261896"/>
      <w:bookmarkStart w:id="41" w:name="_Toc187261993"/>
      <w:r w:rsidRPr="007F44A8">
        <w:rPr>
          <w:noProof/>
          <w:bdr w:val="nil"/>
        </w:rPr>
        <w:t>•</w:t>
      </w:r>
      <w:r w:rsidRPr="007F44A8">
        <w:rPr>
          <w:noProof/>
          <w:u w:color="000000"/>
          <w:bdr w:val="nil"/>
        </w:rPr>
        <w:tab/>
      </w:r>
      <w:r w:rsidRPr="007F44A8">
        <w:rPr>
          <w:noProof/>
          <w:bdr w:val="nil"/>
        </w:rPr>
        <w:t>Evaluarea impactului</w:t>
      </w:r>
      <w:bookmarkEnd w:id="38"/>
      <w:bookmarkEnd w:id="39"/>
      <w:bookmarkEnd w:id="40"/>
      <w:bookmarkEnd w:id="41"/>
    </w:p>
    <w:p w:rsidR="00162E2A" w:rsidRPr="007F44A8" w:rsidRDefault="00402896" w:rsidP="00162E2A">
      <w:pPr>
        <w:pBdr>
          <w:top w:val="nil"/>
          <w:left w:val="nil"/>
          <w:bottom w:val="nil"/>
          <w:right w:val="nil"/>
          <w:between w:val="nil"/>
          <w:bar w:val="nil"/>
        </w:pBdr>
        <w:spacing w:before="0" w:after="240"/>
        <w:rPr>
          <w:noProof/>
        </w:rPr>
      </w:pPr>
      <w:r w:rsidRPr="007F44A8">
        <w:rPr>
          <w:noProof/>
        </w:rPr>
        <w:t xml:space="preserve">Nu există nicio evaluare a impactului. Întrucât este o propunere a Comisiei de recomandare a Consiliului, care include activități SEC pentru viitor, impactul nu poate fi identificat în mod clar </w:t>
      </w:r>
      <w:r w:rsidRPr="007F44A8">
        <w:rPr>
          <w:i/>
          <w:noProof/>
        </w:rPr>
        <w:t>ex ante</w:t>
      </w:r>
      <w:r w:rsidRPr="007F44A8">
        <w:rPr>
          <w:noProof/>
        </w:rPr>
        <w:t>. În plus, agenda de politici privind SEC 2025-2027 a fost elaborată în colaborare cu grupul de experți al Forumului SEC, care reunește statele membre, țările asociate la programul Orizont Europa și părțile interesate. Lucrările pregătitoare au fost discutate în cadrul Consiliului (în special în cadrul CSEC, precum și prin adoptarea concluziilor Consiliului privind consolidarea competitivității UE, consolidarea Spațiului european de cercetare și remedierea fragmentării acestuia</w:t>
      </w:r>
      <w:r w:rsidR="00E95F81" w:rsidRPr="007F44A8">
        <w:rPr>
          <w:rStyle w:val="FootnoteReference"/>
          <w:noProof/>
        </w:rPr>
        <w:footnoteReference w:id="5"/>
      </w:r>
      <w:r w:rsidRPr="007F44A8">
        <w:rPr>
          <w:noProof/>
        </w:rPr>
        <w:t>), ceea ce demonstrează că se preconizează adoptarea acestui document de către statele membre și părțile interesate.</w:t>
      </w:r>
    </w:p>
    <w:p w:rsidR="00162E2A" w:rsidRPr="007F44A8" w:rsidRDefault="00162E2A" w:rsidP="00162E2A">
      <w:pPr>
        <w:pStyle w:val="ManualHeading2"/>
        <w:rPr>
          <w:noProof/>
          <w:u w:color="000000"/>
          <w:bdr w:val="nil"/>
        </w:rPr>
      </w:pPr>
      <w:bookmarkStart w:id="42" w:name="_Toc187261225"/>
      <w:bookmarkStart w:id="43" w:name="_Toc187261555"/>
      <w:bookmarkStart w:id="44" w:name="_Toc187261897"/>
      <w:bookmarkStart w:id="45" w:name="_Toc187261994"/>
      <w:r w:rsidRPr="007F44A8">
        <w:rPr>
          <w:noProof/>
          <w:u w:color="000000"/>
          <w:bdr w:val="nil"/>
        </w:rPr>
        <w:t>•</w:t>
      </w:r>
      <w:r w:rsidRPr="007F44A8">
        <w:rPr>
          <w:noProof/>
          <w:u w:color="000000"/>
          <w:bdr w:val="nil"/>
        </w:rPr>
        <w:tab/>
        <w:t>Adecvarea reglementărilor și simplificarea</w:t>
      </w:r>
      <w:bookmarkEnd w:id="42"/>
      <w:bookmarkEnd w:id="43"/>
      <w:bookmarkEnd w:id="44"/>
      <w:bookmarkEnd w:id="45"/>
    </w:p>
    <w:p w:rsidR="00162E2A" w:rsidRPr="007F44A8" w:rsidRDefault="00402896" w:rsidP="00162E2A">
      <w:pPr>
        <w:pBdr>
          <w:top w:val="nil"/>
          <w:left w:val="nil"/>
          <w:bottom w:val="nil"/>
          <w:right w:val="nil"/>
          <w:between w:val="nil"/>
          <w:bar w:val="nil"/>
        </w:pBdr>
        <w:spacing w:before="0" w:after="240"/>
        <w:rPr>
          <w:noProof/>
        </w:rPr>
      </w:pPr>
      <w:r w:rsidRPr="007F44A8">
        <w:rPr>
          <w:noProof/>
        </w:rPr>
        <w:t>Nu se aplică.</w:t>
      </w:r>
    </w:p>
    <w:p w:rsidR="00162E2A" w:rsidRPr="007F44A8" w:rsidRDefault="00162E2A" w:rsidP="00162E2A">
      <w:pPr>
        <w:pStyle w:val="ManualHeading2"/>
        <w:rPr>
          <w:noProof/>
          <w:u w:color="000000"/>
          <w:bdr w:val="nil"/>
        </w:rPr>
      </w:pPr>
      <w:bookmarkStart w:id="46" w:name="_Toc187261226"/>
      <w:bookmarkStart w:id="47" w:name="_Toc187261556"/>
      <w:bookmarkStart w:id="48" w:name="_Toc187261898"/>
      <w:bookmarkStart w:id="49" w:name="_Toc187261995"/>
      <w:r w:rsidRPr="007F44A8">
        <w:rPr>
          <w:noProof/>
          <w:u w:color="000000"/>
          <w:bdr w:val="nil"/>
        </w:rPr>
        <w:t>•</w:t>
      </w:r>
      <w:r w:rsidRPr="007F44A8">
        <w:rPr>
          <w:noProof/>
          <w:u w:color="000000"/>
          <w:bdr w:val="nil"/>
        </w:rPr>
        <w:tab/>
        <w:t>Drepturile fundamentale</w:t>
      </w:r>
      <w:bookmarkEnd w:id="46"/>
      <w:bookmarkEnd w:id="47"/>
      <w:bookmarkEnd w:id="48"/>
      <w:bookmarkEnd w:id="49"/>
    </w:p>
    <w:p w:rsidR="00162E2A" w:rsidRPr="007F44A8" w:rsidRDefault="00402896" w:rsidP="00162E2A">
      <w:pPr>
        <w:pBdr>
          <w:top w:val="nil"/>
          <w:left w:val="nil"/>
          <w:bottom w:val="nil"/>
          <w:right w:val="nil"/>
          <w:between w:val="nil"/>
          <w:bar w:val="nil"/>
        </w:pBdr>
        <w:spacing w:before="0" w:after="240"/>
        <w:rPr>
          <w:noProof/>
        </w:rPr>
      </w:pPr>
      <w:r w:rsidRPr="007F44A8">
        <w:rPr>
          <w:noProof/>
        </w:rPr>
        <w:t>Nu se aplică.</w:t>
      </w:r>
    </w:p>
    <w:p w:rsidR="00162E2A" w:rsidRPr="007F44A8" w:rsidRDefault="00162E2A" w:rsidP="00162E2A">
      <w:pPr>
        <w:pStyle w:val="ManualHeading1"/>
        <w:rPr>
          <w:noProof/>
        </w:rPr>
      </w:pPr>
      <w:bookmarkStart w:id="50" w:name="_Toc187261227"/>
      <w:bookmarkStart w:id="51" w:name="_Toc187261557"/>
      <w:bookmarkStart w:id="52" w:name="_Toc187261899"/>
      <w:bookmarkStart w:id="53" w:name="_Toc187261996"/>
      <w:r w:rsidRPr="007F44A8">
        <w:rPr>
          <w:noProof/>
        </w:rPr>
        <w:t>4.</w:t>
      </w:r>
      <w:r w:rsidRPr="007F44A8">
        <w:rPr>
          <w:noProof/>
        </w:rPr>
        <w:tab/>
        <w:t>IMPLICAȚIILE BUGETARE</w:t>
      </w:r>
      <w:bookmarkEnd w:id="50"/>
      <w:bookmarkEnd w:id="51"/>
      <w:bookmarkEnd w:id="52"/>
      <w:bookmarkEnd w:id="53"/>
    </w:p>
    <w:p w:rsidR="00162E2A" w:rsidRPr="007F44A8" w:rsidRDefault="00402896" w:rsidP="00162E2A">
      <w:pPr>
        <w:pBdr>
          <w:top w:val="nil"/>
          <w:left w:val="nil"/>
          <w:bottom w:val="nil"/>
          <w:right w:val="nil"/>
          <w:between w:val="nil"/>
          <w:bar w:val="nil"/>
        </w:pBdr>
        <w:spacing w:before="0" w:after="240"/>
        <w:rPr>
          <w:noProof/>
        </w:rPr>
      </w:pPr>
      <w:r w:rsidRPr="007F44A8">
        <w:rPr>
          <w:noProof/>
        </w:rPr>
        <w:t>Nu se aplică.</w:t>
      </w:r>
    </w:p>
    <w:p w:rsidR="00162E2A" w:rsidRPr="007F44A8" w:rsidRDefault="00162E2A" w:rsidP="00162E2A">
      <w:pPr>
        <w:pStyle w:val="ManualHeading1"/>
        <w:rPr>
          <w:noProof/>
        </w:rPr>
      </w:pPr>
      <w:bookmarkStart w:id="54" w:name="_Toc187261228"/>
      <w:bookmarkStart w:id="55" w:name="_Toc187261558"/>
      <w:bookmarkStart w:id="56" w:name="_Toc187261900"/>
      <w:bookmarkStart w:id="57" w:name="_Toc187261997"/>
      <w:r w:rsidRPr="007F44A8">
        <w:rPr>
          <w:noProof/>
        </w:rPr>
        <w:t>5.</w:t>
      </w:r>
      <w:r w:rsidRPr="007F44A8">
        <w:rPr>
          <w:noProof/>
        </w:rPr>
        <w:tab/>
        <w:t>ALTE ELEMENTE</w:t>
      </w:r>
      <w:bookmarkEnd w:id="54"/>
      <w:bookmarkEnd w:id="55"/>
      <w:bookmarkEnd w:id="56"/>
      <w:bookmarkEnd w:id="57"/>
    </w:p>
    <w:p w:rsidR="00162E2A" w:rsidRPr="007F44A8" w:rsidRDefault="00162E2A" w:rsidP="00162E2A">
      <w:pPr>
        <w:pStyle w:val="ManualHeading2"/>
        <w:rPr>
          <w:noProof/>
          <w:u w:color="000000"/>
          <w:bdr w:val="nil"/>
        </w:rPr>
      </w:pPr>
      <w:bookmarkStart w:id="58" w:name="_Toc187261229"/>
      <w:bookmarkStart w:id="59" w:name="_Toc187261559"/>
      <w:bookmarkStart w:id="60" w:name="_Toc187261901"/>
      <w:bookmarkStart w:id="61" w:name="_Toc187261998"/>
      <w:r w:rsidRPr="007F44A8">
        <w:rPr>
          <w:noProof/>
          <w:bdr w:val="nil"/>
        </w:rPr>
        <w:t>•</w:t>
      </w:r>
      <w:r w:rsidRPr="007F44A8">
        <w:rPr>
          <w:noProof/>
          <w:u w:color="000000"/>
          <w:bdr w:val="nil"/>
        </w:rPr>
        <w:tab/>
      </w:r>
      <w:r w:rsidRPr="007F44A8">
        <w:rPr>
          <w:noProof/>
          <w:bdr w:val="nil"/>
        </w:rPr>
        <w:t>Planuri de punere în aplicare și modalități de monitorizare, evaluare și raportare</w:t>
      </w:r>
      <w:bookmarkEnd w:id="58"/>
      <w:bookmarkEnd w:id="59"/>
      <w:bookmarkEnd w:id="60"/>
      <w:bookmarkEnd w:id="61"/>
    </w:p>
    <w:p w:rsidR="00162E2A" w:rsidRPr="007F44A8" w:rsidRDefault="006C11C6" w:rsidP="3E31E24C">
      <w:pPr>
        <w:pBdr>
          <w:top w:val="nil"/>
          <w:left w:val="nil"/>
          <w:bottom w:val="nil"/>
          <w:right w:val="nil"/>
          <w:between w:val="nil"/>
        </w:pBdr>
        <w:spacing w:before="0" w:after="240"/>
        <w:rPr>
          <w:noProof/>
        </w:rPr>
      </w:pPr>
      <w:r w:rsidRPr="007F44A8">
        <w:rPr>
          <w:noProof/>
        </w:rPr>
        <w:t>Punerea în aplicare a agendei de politici privind SEC 2025-2027 este monitorizată prin intermediul mecanismului de monitorizare a SEC. Mecanismul de monitorizare a SEC se bazează pe cerințele prevăzute în Recomandarea Consiliului privind un Pact pentru cercetare și inovare în Europa. La 10 iunie 2022, Comisia Europeană a prezentat Consiliului „Cadrul pentru viitorul mecanism de monitorizare a SEC”, care specifică în detaliu componentele mecanismului.</w:t>
      </w:r>
    </w:p>
    <w:p w:rsidR="00162E2A" w:rsidRPr="007F44A8" w:rsidRDefault="1A3C1ADF" w:rsidP="00950DE5">
      <w:pPr>
        <w:pBdr>
          <w:top w:val="nil"/>
          <w:left w:val="nil"/>
          <w:bottom w:val="nil"/>
          <w:right w:val="nil"/>
          <w:between w:val="nil"/>
        </w:pBdr>
        <w:spacing w:before="0" w:after="240"/>
        <w:rPr>
          <w:noProof/>
        </w:rPr>
      </w:pPr>
      <w:r w:rsidRPr="007F44A8">
        <w:rPr>
          <w:noProof/>
        </w:rPr>
        <w:t>Pentru a evalua punerea în aplicare a acțiunilor convenite în cadrul agendei de politici privind SEC atât la nivel național, cât și la nivel european și pentru a evalua performanța UE și a statelor membre în ceea ce privește atingerea obiectivelor SEC, mecanismul de monitorizare a SEC cuprinde instrumente de raportare atât calitative, cât și cantitative.</w:t>
      </w:r>
    </w:p>
    <w:p w:rsidR="00162E2A" w:rsidRPr="007F44A8" w:rsidRDefault="00162E2A" w:rsidP="00162E2A">
      <w:pPr>
        <w:pStyle w:val="ManualHeading2"/>
        <w:rPr>
          <w:noProof/>
          <w:u w:color="000000"/>
          <w:bdr w:val="nil"/>
        </w:rPr>
      </w:pPr>
      <w:bookmarkStart w:id="62" w:name="_Toc187261230"/>
      <w:bookmarkStart w:id="63" w:name="_Toc187261560"/>
      <w:bookmarkStart w:id="64" w:name="_Toc187261902"/>
      <w:bookmarkStart w:id="65" w:name="_Toc187261999"/>
      <w:r w:rsidRPr="007F44A8">
        <w:rPr>
          <w:noProof/>
          <w:u w:color="000000"/>
          <w:bdr w:val="nil"/>
        </w:rPr>
        <w:t>•</w:t>
      </w:r>
      <w:r w:rsidRPr="007F44A8">
        <w:rPr>
          <w:noProof/>
          <w:u w:color="000000"/>
          <w:bdr w:val="nil"/>
        </w:rPr>
        <w:tab/>
        <w:t>Explicarea detaliată a dispozițiilor specifice ale propunerii</w:t>
      </w:r>
      <w:bookmarkEnd w:id="62"/>
      <w:bookmarkEnd w:id="63"/>
      <w:bookmarkEnd w:id="64"/>
      <w:bookmarkEnd w:id="65"/>
    </w:p>
    <w:p w:rsidR="009063DE" w:rsidRPr="007F44A8" w:rsidRDefault="009063DE" w:rsidP="009063DE">
      <w:pPr>
        <w:pBdr>
          <w:top w:val="nil"/>
          <w:left w:val="nil"/>
          <w:bottom w:val="nil"/>
          <w:right w:val="nil"/>
          <w:between w:val="nil"/>
          <w:bar w:val="nil"/>
        </w:pBdr>
        <w:spacing w:before="0" w:after="240"/>
        <w:rPr>
          <w:noProof/>
        </w:rPr>
      </w:pPr>
      <w:r w:rsidRPr="007F44A8">
        <w:rPr>
          <w:noProof/>
        </w:rPr>
        <w:t>Nu se aplică.</w:t>
      </w:r>
      <w:r w:rsidRPr="007F44A8">
        <w:rPr>
          <w:noProof/>
        </w:rPr>
        <w:br w:type="page"/>
      </w:r>
    </w:p>
    <w:p w:rsidR="007215B4" w:rsidRDefault="00335F33">
      <w:pPr>
        <w:pStyle w:val="Rfrenceinterinstitutionnelle"/>
        <w:rPr>
          <w:noProof/>
        </w:rPr>
      </w:pPr>
      <w:r>
        <w:rPr>
          <w:noProof/>
        </w:rPr>
        <w:t>2025/0034 (NLE)</w:t>
      </w:r>
    </w:p>
    <w:p w:rsidR="00DA2E0E" w:rsidRPr="007F44A8" w:rsidRDefault="00E90907" w:rsidP="00E90907">
      <w:pPr>
        <w:pStyle w:val="Statut"/>
        <w:rPr>
          <w:noProof/>
        </w:rPr>
      </w:pPr>
      <w:r w:rsidRPr="007F44A8">
        <w:rPr>
          <w:noProof/>
        </w:rPr>
        <w:t>Propunere de</w:t>
      </w:r>
    </w:p>
    <w:p w:rsidR="00DA2E0E" w:rsidRPr="007F44A8" w:rsidRDefault="00E90907" w:rsidP="00E90907">
      <w:pPr>
        <w:pStyle w:val="Typedudocument"/>
        <w:rPr>
          <w:noProof/>
        </w:rPr>
      </w:pPr>
      <w:r w:rsidRPr="007F44A8">
        <w:rPr>
          <w:noProof/>
        </w:rPr>
        <w:t>RECOMANDARE A CONSILIULUI</w:t>
      </w:r>
    </w:p>
    <w:p w:rsidR="00DA2E0E" w:rsidRPr="007F44A8" w:rsidRDefault="00E90907" w:rsidP="00E90907">
      <w:pPr>
        <w:pStyle w:val="Titreobjet"/>
        <w:rPr>
          <w:noProof/>
        </w:rPr>
      </w:pPr>
      <w:r w:rsidRPr="007F44A8">
        <w:rPr>
          <w:noProof/>
        </w:rPr>
        <w:t>referitoare la agenda de politici privind Spațiul european de cercetare 2025-2027</w:t>
      </w:r>
    </w:p>
    <w:p w:rsidR="00DA2E0E" w:rsidRPr="007F44A8" w:rsidRDefault="00E90907" w:rsidP="00E90907">
      <w:pPr>
        <w:pStyle w:val="IntrtEEE"/>
        <w:rPr>
          <w:noProof/>
        </w:rPr>
      </w:pPr>
      <w:r w:rsidRPr="007F44A8">
        <w:rPr>
          <w:noProof/>
        </w:rPr>
        <w:t>(Text cu relevanță pentru SEE)</w:t>
      </w:r>
    </w:p>
    <w:p w:rsidR="00DA2E0E" w:rsidRPr="007F44A8" w:rsidRDefault="00DA2E0E" w:rsidP="00AB7225">
      <w:pPr>
        <w:pStyle w:val="Institutionquiagit"/>
        <w:rPr>
          <w:noProof/>
        </w:rPr>
      </w:pPr>
      <w:r w:rsidRPr="007F44A8">
        <w:rPr>
          <w:noProof/>
        </w:rPr>
        <w:t>CONSILIUL UNIUNII EUROPENE,</w:t>
      </w:r>
    </w:p>
    <w:p w:rsidR="00F065FD" w:rsidRPr="007F44A8" w:rsidRDefault="00F065FD" w:rsidP="00AB7225">
      <w:pPr>
        <w:rPr>
          <w:noProof/>
        </w:rPr>
      </w:pPr>
      <w:r w:rsidRPr="007F44A8">
        <w:rPr>
          <w:noProof/>
        </w:rPr>
        <w:t>având în vedere Tratatul privind funcționarea Uniunii Europene, în special articolul 292 prima și a doua teză,</w:t>
      </w:r>
    </w:p>
    <w:p w:rsidR="00DA2E0E" w:rsidRPr="007F44A8" w:rsidRDefault="00DA2E0E" w:rsidP="00AB7225">
      <w:pPr>
        <w:rPr>
          <w:noProof/>
        </w:rPr>
      </w:pPr>
      <w:r w:rsidRPr="007F44A8">
        <w:rPr>
          <w:noProof/>
        </w:rPr>
        <w:t>având în vedere propunerea Comisiei Europene,</w:t>
      </w:r>
    </w:p>
    <w:p w:rsidR="00474B3F" w:rsidRPr="007F44A8" w:rsidRDefault="00DA2E0E" w:rsidP="00E6103B">
      <w:pPr>
        <w:rPr>
          <w:noProof/>
        </w:rPr>
      </w:pPr>
      <w:r w:rsidRPr="007F44A8">
        <w:rPr>
          <w:noProof/>
        </w:rPr>
        <w:t>întrucât:</w:t>
      </w:r>
    </w:p>
    <w:p w:rsidR="003D1E65" w:rsidRPr="007F44A8" w:rsidRDefault="00F52E7A" w:rsidP="00F52E7A">
      <w:pPr>
        <w:pStyle w:val="ManualConsidrant"/>
        <w:rPr>
          <w:noProof/>
        </w:rPr>
      </w:pPr>
      <w:r w:rsidRPr="00F52E7A">
        <w:rPr>
          <w:noProof/>
        </w:rPr>
        <w:t>(1)</w:t>
      </w:r>
      <w:r w:rsidRPr="00F52E7A">
        <w:rPr>
          <w:noProof/>
        </w:rPr>
        <w:tab/>
      </w:r>
      <w:r w:rsidR="1DEFE814" w:rsidRPr="007F44A8">
        <w:rPr>
          <w:noProof/>
        </w:rPr>
        <w:t>În prezent, UE se confruntă cu provocări multiple și fără precedent. Ordinea mondială se schimbă, iar fundamentele bunăstării și securității noastre societale sunt zdruncinate de un context geopolitic turbulent, de creșterea concurenței economice, de o revoluție tehnologică rapidă și transformatoare fără precedent, precum și de schimbările climatice și consecințele acestora. Necesitatea de a consolida poziția de lider a Europei și autonomia sa strategică în domenii-cheie tehnologice a devenit urgentă. În acest context, știința, tehnologia și inovarea sunt esențiale pentru a reduce vulnerabilitățile Europei și pentru a debloca întregul său potențial. În plus, cercetarea și inovarea (C&amp;I) joacă un rol esențial în consolidarea competitivității durabile a Uniunii Europene.</w:t>
      </w:r>
    </w:p>
    <w:p w:rsidR="004F4BFC" w:rsidRPr="007F44A8" w:rsidRDefault="00F52E7A" w:rsidP="00F52E7A">
      <w:pPr>
        <w:pStyle w:val="ManualConsidrant"/>
        <w:rPr>
          <w:noProof/>
        </w:rPr>
      </w:pPr>
      <w:r w:rsidRPr="00F52E7A">
        <w:rPr>
          <w:noProof/>
        </w:rPr>
        <w:t>(2)</w:t>
      </w:r>
      <w:r w:rsidRPr="00F52E7A">
        <w:rPr>
          <w:noProof/>
        </w:rPr>
        <w:tab/>
      </w:r>
      <w:r w:rsidR="00026DEF" w:rsidRPr="007F44A8">
        <w:rPr>
          <w:noProof/>
        </w:rPr>
        <w:t>Dezvoltarea Spațiului european de cercetare (SEC) se află în centrul eforturilor noastre de a răspunde acestor provocări. Ambiția de a crea SEC ca piață unică pentru cercetare, tehnologie și inovare a fost concepută în 2000 și consacrată în Tratatul de la Lisabona ca obiectiv specific al UE. Ambiția politică recentă de a institui o „Uniune a cercetării și inovării” care să conducă la o strategie și o politică europeană comună în domeniul C&amp;I și de a continua eforturile de asigurare a „liberei circulații a cunoașterii” (cea de-a „cincea libertate”) demonstrează necesitatea continuă de a dezvolta în continuare un spațiu în care țările să se reunească pentru a-și coordona și îmbunătăți politicile și ecosistemele naționale în domeniul C&amp;I și în care cunoștințele, cercetătorii și tehnologiile să poată circula liber. O mai bună coordonare la nivelul UE prin intermediul SEC poate contribui la stimularea investițiilor și a reformelor și poate juca un rol esențial în promovarea competitivității durabile, în conformitate cu obiectivele Busolei pentru competitivitate</w:t>
      </w:r>
      <w:r w:rsidR="006E718C" w:rsidRPr="007F44A8">
        <w:rPr>
          <w:rStyle w:val="FootnoteReference"/>
          <w:noProof/>
        </w:rPr>
        <w:footnoteReference w:id="6"/>
      </w:r>
      <w:r w:rsidR="00026DEF" w:rsidRPr="007F44A8">
        <w:rPr>
          <w:noProof/>
        </w:rPr>
        <w:t>.</w:t>
      </w:r>
    </w:p>
    <w:p w:rsidR="0051707D" w:rsidRPr="007F44A8" w:rsidRDefault="00F52E7A" w:rsidP="00F52E7A">
      <w:pPr>
        <w:pStyle w:val="ManualConsidrant"/>
        <w:rPr>
          <w:noProof/>
        </w:rPr>
      </w:pPr>
      <w:r w:rsidRPr="00F52E7A">
        <w:rPr>
          <w:noProof/>
        </w:rPr>
        <w:t>(3)</w:t>
      </w:r>
      <w:r w:rsidRPr="00F52E7A">
        <w:rPr>
          <w:noProof/>
        </w:rPr>
        <w:tab/>
      </w:r>
      <w:r w:rsidR="00772564" w:rsidRPr="007F44A8">
        <w:rPr>
          <w:noProof/>
        </w:rPr>
        <w:t>SEC a contribuit la realizări majore în ultimii 25 de ani în domenii de politică esențiale, inclusiv infrastructurile de cercetare, știința deschisă, cooperarea internațională, echilibrul de gen în C&amp;I, programarea comună, carierele în cercetare și mobilitatea cercetătorilor. Având o contribuție la aceste realizări, acțiunile Marie Skłodowska-Curie au finanțat peste 150 000 de cercetători de excelență, în special prin programe de doctorat excelente, burse postdoctorale și schimburi de personal în domeniul C&amp;I; EURAXESS a sprijinit peste 2 milioane de cercetători în dezvoltarea carierei și mobilitatea lor în întreaga Europă, iar Cloudul european pentru știința deschisă (EOSC) oferă acces neîntrerupt la date și servicii digitale de calitate, sprijinind în același timp colaborarea transfrontalieră și interdisciplinară.</w:t>
      </w:r>
    </w:p>
    <w:p w:rsidR="00D964E5" w:rsidRPr="007F44A8" w:rsidRDefault="00F52E7A" w:rsidP="00F52E7A">
      <w:pPr>
        <w:pStyle w:val="ManualConsidrant"/>
        <w:rPr>
          <w:noProof/>
        </w:rPr>
      </w:pPr>
      <w:r w:rsidRPr="00F52E7A">
        <w:rPr>
          <w:noProof/>
        </w:rPr>
        <w:t>(4)</w:t>
      </w:r>
      <w:r w:rsidRPr="00F52E7A">
        <w:rPr>
          <w:noProof/>
        </w:rPr>
        <w:tab/>
      </w:r>
      <w:r w:rsidR="08BBAC9F" w:rsidRPr="007F44A8">
        <w:rPr>
          <w:noProof/>
        </w:rPr>
        <w:t>În 2021, statele membre și Comisia au finalizat o nouă viziune și un nou cadru de politică, prezentate în Concluziile Consiliului privind viitoarea guvernanță a SEC</w:t>
      </w:r>
      <w:r w:rsidR="00AF5C91" w:rsidRPr="007F44A8">
        <w:rPr>
          <w:rStyle w:val="FootnoteReference"/>
          <w:noProof/>
        </w:rPr>
        <w:footnoteReference w:id="7"/>
      </w:r>
      <w:r w:rsidR="08BBAC9F" w:rsidRPr="007F44A8">
        <w:rPr>
          <w:noProof/>
        </w:rPr>
        <w:t xml:space="preserve"> și Pactul pentru cercetare și inovare</w:t>
      </w:r>
      <w:r w:rsidR="002A13B3" w:rsidRPr="007F44A8">
        <w:rPr>
          <w:rStyle w:val="FootnoteReference"/>
          <w:noProof/>
        </w:rPr>
        <w:footnoteReference w:id="8"/>
      </w:r>
      <w:r w:rsidR="08BBAC9F" w:rsidRPr="007F44A8">
        <w:rPr>
          <w:noProof/>
        </w:rPr>
        <w:t>. Viziunea stabilește valorile și principiile comune care vor ghida C&amp;I și identifică prioritățile pentru acțiuni comune. În cadrul pactului, statele membre și-au reiterat angajamentul de a colabora în ceea ce privește realizarea obiectivelor SEC pentru a promova integrarea și cooperarea și pentru a reduce fragmentarea la nivel european în ceea ce privește cercetarea științifică, tehnologia și inovarea. Statele membre și-au reafirmat angajamentul de a îmbunătăți coordonarea și de a alinia politicile naționale în materie de C&amp;I pentru crearea unui ecosistem de cercetare mai integrat și mai eficient în concluziile Consiliului din 2024 privind consolidarea competitivității UE, consolidarea Spațiului european de cercetare și remedierea fragmentării acestuia</w:t>
      </w:r>
      <w:r w:rsidR="00AF5C91" w:rsidRPr="007F44A8">
        <w:rPr>
          <w:rStyle w:val="FootnoteReference"/>
          <w:noProof/>
        </w:rPr>
        <w:footnoteReference w:id="9"/>
      </w:r>
      <w:r w:rsidR="08BBAC9F" w:rsidRPr="007F44A8">
        <w:rPr>
          <w:noProof/>
        </w:rPr>
        <w:t>.</w:t>
      </w:r>
    </w:p>
    <w:p w:rsidR="003440BB" w:rsidRPr="007F44A8" w:rsidRDefault="00F52E7A" w:rsidP="00F52E7A">
      <w:pPr>
        <w:pStyle w:val="ManualConsidrant"/>
        <w:rPr>
          <w:noProof/>
        </w:rPr>
      </w:pPr>
      <w:r w:rsidRPr="00F52E7A">
        <w:rPr>
          <w:noProof/>
        </w:rPr>
        <w:t>(5)</w:t>
      </w:r>
      <w:r w:rsidRPr="00F52E7A">
        <w:rPr>
          <w:noProof/>
        </w:rPr>
        <w:tab/>
      </w:r>
      <w:r w:rsidR="6D86B4EB" w:rsidRPr="007F44A8">
        <w:rPr>
          <w:noProof/>
        </w:rPr>
        <w:t>Prima agendă de politici privind SEC 2022-2024 a creat o bază solidă pentru atingerea obiectivelor SEC. Aceasta a transpus domeniile prioritare ale Pactului pentru cercetare și inovare într-un set de acțiuni concrete. 17 acțiuni au fost puse în aplicare în comun de Comisie, de statele membre, de țările asociate la programul Orizont Europa și de părțile interesate de la nivelul UE. Ca parte a noii guvernanțe, Forumul SEC și subgrupurile acestuia joacă un rol unic în sprijinirea punerii în aplicare a SEC și a acțiunilor sale. Acestea acționează ca o punte între organismele de la nivelul UE, cele naționale și cele regionale și facilitează colaborarea. Abordarea bazată pe incluziune și participare garantează că toate vocile sunt auzite. Astfel, sunt promovate strategii inovatoare și o asumare comună a politicilor de consolidare a ecosistemului european de C&amp;I. În calitate de organ consultativ strategic la nivel înalt în materie de politici, Comitetul pentru Spațiul european de cercetare și inovare (CSEC) oferă consiliere timpurie Consiliului și Comisiei.</w:t>
      </w:r>
    </w:p>
    <w:p w:rsidR="00FD5BBF" w:rsidRPr="007F44A8" w:rsidRDefault="00F52E7A" w:rsidP="00F52E7A">
      <w:pPr>
        <w:pStyle w:val="ManualConsidrant"/>
        <w:rPr>
          <w:noProof/>
        </w:rPr>
      </w:pPr>
      <w:r w:rsidRPr="00F52E7A">
        <w:rPr>
          <w:noProof/>
        </w:rPr>
        <w:t>(6)</w:t>
      </w:r>
      <w:r w:rsidRPr="00F52E7A">
        <w:rPr>
          <w:noProof/>
        </w:rPr>
        <w:tab/>
      </w:r>
      <w:r w:rsidR="34C7796D" w:rsidRPr="007F44A8">
        <w:rPr>
          <w:noProof/>
        </w:rPr>
        <w:t>Comisia a subliniat realizările agendei de politici privind SEC 2022-2024 și noua guvernanță în comunicarea din 2024 intitulată „Punerea în aplicare a Spațiului european de cercetare”</w:t>
      </w:r>
      <w:r w:rsidR="002A13B3" w:rsidRPr="007F44A8">
        <w:rPr>
          <w:rStyle w:val="FootnoteReference"/>
          <w:noProof/>
        </w:rPr>
        <w:footnoteReference w:id="10"/>
      </w:r>
      <w:r w:rsidR="34C7796D" w:rsidRPr="007F44A8">
        <w:rPr>
          <w:noProof/>
        </w:rPr>
        <w:t>. Principalele realizări în abordarea unei serii de nevoi în materie de C&amp;I în întreaga Europă în cadrul primei agende de politici privind SEC 2022-2024 includ (1) crearea Coaliției pentru promovarea evaluării cercetării (CoARA), (2) publicarea „Codului de conduită pentru toleranță zero în vederea combaterii violenței bazate pe gen în sistemul de cercetare și inovare al UE”, (3) stimularea transformării în direcția energiei verzi prin punerea în aplicare a Agendei strategice de cercetare și inovare a proiectului-pilot SEC privind hidrogenul verde, (4) crearea „Rețelei autorităților de management din domeniul C&amp;I și al coeziunii” (RIMA) care reunește actori din domeniul politicii de cercetare și inovare și autorități de management pentru a evalua decalajul în materie de inovare, pentru a spori excelența și pentru a valorifica instrumentele de extindere existente și (5) elaborarea unui nou cadru de monitorizare și evaluare a SEC.</w:t>
      </w:r>
    </w:p>
    <w:p w:rsidR="00C52573" w:rsidRPr="007F44A8" w:rsidRDefault="00F52E7A" w:rsidP="00F52E7A">
      <w:pPr>
        <w:pStyle w:val="ManualConsidrant"/>
        <w:rPr>
          <w:noProof/>
        </w:rPr>
      </w:pPr>
      <w:r w:rsidRPr="00F52E7A">
        <w:rPr>
          <w:noProof/>
        </w:rPr>
        <w:t>(7)</w:t>
      </w:r>
      <w:r w:rsidRPr="00F52E7A">
        <w:rPr>
          <w:noProof/>
        </w:rPr>
        <w:tab/>
      </w:r>
      <w:r w:rsidR="4A8168DF" w:rsidRPr="007F44A8">
        <w:rPr>
          <w:noProof/>
        </w:rPr>
        <w:t>Cea de a doua agendă de politici privind SEC 2025-2027 se bazează pe această abordare și este concepută pentru a aborda provocările actuale. Utilizând ca bază domeniile prioritare de acțiune comună ale Pactului pentru cercetare și inovare și rezultatele punerii în aplicare a primei agende de politici privind SEC 2022-2024, aceasta prezintă 11 politici structurale privind SEC și opt acțiuni concrete privind SEC. Acestea sunt rezultatul unui amplu proces de cocreare în cadrul Forumului SEC și al CSEC, scopul său fiind ca punerea în aplicare să înceapă în 2025. Prima și a doua agendă de politici privind SEC sunt interconectate. Agenda de politici privind SEC 2025-2027 asigură continuitatea politicilor în curs din cadrul primei agende, abordează obiectivele principale pe termen lung ale SEC și dispune de flexibilitatea necesară pentru a răspunde noilor nevoi strategice.</w:t>
      </w:r>
    </w:p>
    <w:p w:rsidR="00166E8B" w:rsidRPr="007F44A8" w:rsidRDefault="00166E8B" w:rsidP="00B01AB4">
      <w:pPr>
        <w:rPr>
          <w:noProof/>
        </w:rPr>
      </w:pPr>
    </w:p>
    <w:p w:rsidR="6F4C0D04" w:rsidRPr="007F44A8" w:rsidRDefault="14F92A47" w:rsidP="004A4F04">
      <w:pPr>
        <w:pStyle w:val="Formuledadoption"/>
        <w:rPr>
          <w:noProof/>
        </w:rPr>
      </w:pPr>
      <w:r w:rsidRPr="007F44A8">
        <w:rPr>
          <w:noProof/>
        </w:rPr>
        <w:t>RECOMANDĂ:</w:t>
      </w:r>
    </w:p>
    <w:p w:rsidR="00B629EB" w:rsidRPr="007F44A8" w:rsidRDefault="00F52E7A" w:rsidP="00F52E7A">
      <w:pPr>
        <w:pStyle w:val="ManualNumPar1"/>
        <w:rPr>
          <w:noProof/>
        </w:rPr>
      </w:pPr>
      <w:r w:rsidRPr="00F52E7A">
        <w:rPr>
          <w:noProof/>
        </w:rPr>
        <w:t>1.</w:t>
      </w:r>
      <w:r w:rsidRPr="00F52E7A">
        <w:rPr>
          <w:noProof/>
        </w:rPr>
        <w:tab/>
      </w:r>
      <w:r w:rsidR="74816DE6" w:rsidRPr="007F44A8">
        <w:rPr>
          <w:noProof/>
        </w:rPr>
        <w:t>Statele membre adoptă agenda de politici privind SEC 2025-2027 cu 11 politici structurale pe termen lung privind SEC, care nu se limitează la agendele de politici individuale, ci au încă un plan de lucru pe trei ani, și opt acțiuni SEC, care urmează să fie finalizate în cadrul agendei de politici pe trei ani. Toate propunerile SEC sunt prezentate mai detaliat în anexă.</w:t>
      </w:r>
    </w:p>
    <w:p w:rsidR="000D58A2" w:rsidRPr="007F44A8" w:rsidRDefault="00F52E7A" w:rsidP="00F52E7A">
      <w:pPr>
        <w:pStyle w:val="ManualNumPar1"/>
        <w:rPr>
          <w:noProof/>
        </w:rPr>
      </w:pPr>
      <w:r w:rsidRPr="00F52E7A">
        <w:rPr>
          <w:noProof/>
        </w:rPr>
        <w:t>2.</w:t>
      </w:r>
      <w:r w:rsidRPr="00F52E7A">
        <w:rPr>
          <w:noProof/>
        </w:rPr>
        <w:tab/>
      </w:r>
      <w:r w:rsidR="00A75433" w:rsidRPr="007F44A8">
        <w:rPr>
          <w:noProof/>
        </w:rPr>
        <w:t>Statele membre pun în aplicare în mod voluntar următoarele politici structurale și acțiuni SEC, în conformitate cu cele patru domenii prioritare de acțiune comună ale Pactului pentru cercetare și inovare. Aceste politici structurale și acțiuni urmăresc (i) să aducă o valoare adăugată clară la nivel național și european, (ii) să producă un impact prin producerea de rezultate concrete și tangibile în termen de trei ani, (iii) să se bazeze pe un proces constant de cocreare între statele membre, Comisie și părțile interesate, (iv) să fie de sine stătătoare cu o singură activitate principală, ceea ce înseamnă că nu există subacțiuni, și (v) să fie puse în aplicare pe baza unei geometrii variabile, permițând flexibilitate în măsura în care țările se pot implica.</w:t>
      </w:r>
    </w:p>
    <w:p w:rsidR="00B7136A" w:rsidRPr="007F44A8" w:rsidRDefault="00F52E7A" w:rsidP="00F52E7A">
      <w:pPr>
        <w:pStyle w:val="ManualHeading1"/>
        <w:rPr>
          <w:noProof/>
        </w:rPr>
      </w:pPr>
      <w:r w:rsidRPr="00F52E7A">
        <w:rPr>
          <w:noProof/>
        </w:rPr>
        <w:t>1.</w:t>
      </w:r>
      <w:r w:rsidRPr="00F52E7A">
        <w:rPr>
          <w:noProof/>
        </w:rPr>
        <w:tab/>
      </w:r>
      <w:r w:rsidR="000D58A2" w:rsidRPr="007F44A8">
        <w:rPr>
          <w:noProof/>
        </w:rPr>
        <w:t>Domeniu prioritar: Aprofundarea unei piețe interne a cunoașterii care să fie cu adevărat funcțională</w:t>
      </w:r>
    </w:p>
    <w:p w:rsidR="00772564" w:rsidRPr="007F44A8" w:rsidRDefault="2667C775" w:rsidP="003B38D0">
      <w:pPr>
        <w:pStyle w:val="Text1"/>
        <w:rPr>
          <w:noProof/>
        </w:rPr>
      </w:pPr>
      <w:r w:rsidRPr="007F44A8">
        <w:rPr>
          <w:noProof/>
        </w:rPr>
        <w:t>Libera circulație a cercetătorilor, a cunoștințelor și a datelor este esențială pentru construirea unui sistem european de C&amp;I mai eficient și mai favorabil incluziunii. Aceasta contribuie la reducerea la minimum a duplicării resurselor și la crearea masei critice necesare pentru a fi eficace. Pentru a consolida competitivitatea UE, este esențial să se consolideze poziția internațională și poziția de lider științific a UE prin desfășurarea de activități de cercetare fundamentale și aplicate de pionierat</w:t>
      </w:r>
      <w:r w:rsidRPr="007F44A8">
        <w:rPr>
          <w:rFonts w:ascii="Segoe UI" w:hAnsi="Segoe UI"/>
          <w:iCs/>
          <w:noProof/>
          <w:sz w:val="18"/>
        </w:rPr>
        <w:t>.</w:t>
      </w:r>
    </w:p>
    <w:p w:rsidR="00772564" w:rsidRPr="007F44A8" w:rsidRDefault="00772564" w:rsidP="00772564">
      <w:pPr>
        <w:pStyle w:val="Text1"/>
        <w:rPr>
          <w:noProof/>
        </w:rPr>
      </w:pPr>
    </w:p>
    <w:p w:rsidR="00A75433" w:rsidRPr="007F44A8" w:rsidRDefault="00772564" w:rsidP="003B38D0">
      <w:pPr>
        <w:pStyle w:val="Text1"/>
        <w:rPr>
          <w:noProof/>
        </w:rPr>
      </w:pPr>
      <w:r w:rsidRPr="007F44A8">
        <w:rPr>
          <w:noProof/>
        </w:rPr>
        <w:t xml:space="preserve">UE va continua să lucreze la această prioritate prin intermediul următoarelor politici structurale: </w:t>
      </w:r>
    </w:p>
    <w:p w:rsidR="00F442EF" w:rsidRPr="007F44A8" w:rsidRDefault="40FFCC83" w:rsidP="00A561D0">
      <w:pPr>
        <w:pStyle w:val="Text1"/>
        <w:rPr>
          <w:rFonts w:eastAsia="Times New Roman"/>
          <w:noProof/>
        </w:rPr>
      </w:pPr>
      <w:r w:rsidRPr="007F44A8">
        <w:rPr>
          <w:b/>
          <w:noProof/>
        </w:rPr>
        <w:t>Știința deschisă</w:t>
      </w:r>
      <w:r w:rsidRPr="007F44A8">
        <w:rPr>
          <w:noProof/>
        </w:rPr>
        <w:t xml:space="preserve"> – Facilitarea științei deschise prin partajarea și reutilizarea datelor, inclusiv prin intermediul Cloudului european pentru știința deschisă (EOSC); </w:t>
      </w:r>
      <w:r w:rsidRPr="007F44A8">
        <w:rPr>
          <w:b/>
          <w:noProof/>
        </w:rPr>
        <w:t>Infrastructurile de cercetare</w:t>
      </w:r>
      <w:r w:rsidRPr="007F44A8">
        <w:rPr>
          <w:noProof/>
        </w:rPr>
        <w:t xml:space="preserve"> – Consolidarea durabilității, a accesibilității și a rezilienței infrastructurilor de cercetare în Spațiul european de cercetare; </w:t>
      </w:r>
      <w:r w:rsidRPr="007F44A8">
        <w:rPr>
          <w:b/>
          <w:noProof/>
        </w:rPr>
        <w:t>Egalitatea de gen, egalitatea de șanse pentru toți și incluziunea</w:t>
      </w:r>
      <w:r w:rsidRPr="007F44A8">
        <w:rPr>
          <w:noProof/>
        </w:rPr>
        <w:t xml:space="preserve"> – Consolidarea egalității de gen incluzive și intersecționale în SEC; </w:t>
      </w:r>
      <w:r w:rsidRPr="007F44A8">
        <w:rPr>
          <w:b/>
          <w:noProof/>
        </w:rPr>
        <w:t xml:space="preserve">Carierele și mobilitatea cercetătorilor </w:t>
      </w:r>
      <w:r w:rsidRPr="007F44A8">
        <w:rPr>
          <w:noProof/>
        </w:rPr>
        <w:t>și</w:t>
      </w:r>
      <w:r w:rsidRPr="007F44A8">
        <w:rPr>
          <w:b/>
          <w:noProof/>
        </w:rPr>
        <w:t xml:space="preserve"> sistemele de evaluare și de recompensare în domeniul cercetării</w:t>
      </w:r>
      <w:r w:rsidRPr="007F44A8">
        <w:rPr>
          <w:noProof/>
        </w:rPr>
        <w:t xml:space="preserve"> – Creșterea atractivității și sustenabilității carierelor în cercetare, precum și reformarea evaluării cercetării; </w:t>
      </w:r>
      <w:r w:rsidRPr="007F44A8">
        <w:rPr>
          <w:b/>
          <w:noProof/>
        </w:rPr>
        <w:t>Valorificarea cunoștințelor</w:t>
      </w:r>
      <w:r w:rsidRPr="007F44A8">
        <w:rPr>
          <w:noProof/>
        </w:rPr>
        <w:t xml:space="preserve"> – Extinderea capacităților și a activităților de valorificare a cunoștințelor; </w:t>
      </w:r>
      <w:r w:rsidRPr="007F44A8">
        <w:rPr>
          <w:b/>
          <w:noProof/>
        </w:rPr>
        <w:t>Implicarea la nivel mondial</w:t>
      </w:r>
      <w:r w:rsidRPr="007F44A8">
        <w:rPr>
          <w:noProof/>
        </w:rPr>
        <w:t xml:space="preserve"> – Abordarea C&amp;I la nivel mondial.</w:t>
      </w:r>
    </w:p>
    <w:p w:rsidR="003B38D0" w:rsidRPr="007F44A8" w:rsidRDefault="003B38D0" w:rsidP="003B38D0">
      <w:pPr>
        <w:pStyle w:val="Text1"/>
        <w:rPr>
          <w:noProof/>
        </w:rPr>
      </w:pPr>
    </w:p>
    <w:p w:rsidR="00656802" w:rsidRPr="007F44A8" w:rsidRDefault="00CA32DC" w:rsidP="003B38D0">
      <w:pPr>
        <w:pStyle w:val="Text1"/>
        <w:rPr>
          <w:noProof/>
        </w:rPr>
      </w:pPr>
      <w:r w:rsidRPr="007F44A8">
        <w:rPr>
          <w:noProof/>
        </w:rPr>
        <w:t>Următoarele acțiuni SEC sunt propuse pentru următorii trei ani:</w:t>
      </w:r>
    </w:p>
    <w:p w:rsidR="00ED3E5B" w:rsidRPr="007F44A8" w:rsidRDefault="00ED3E5B" w:rsidP="008A4FB2">
      <w:pPr>
        <w:pStyle w:val="Bullet1"/>
        <w:numPr>
          <w:ilvl w:val="0"/>
          <w:numId w:val="8"/>
        </w:numPr>
        <w:rPr>
          <w:noProof/>
        </w:rPr>
      </w:pPr>
      <w:r w:rsidRPr="007F44A8">
        <w:rPr>
          <w:noProof/>
        </w:rPr>
        <w:t>Echitatea în știința deschisă;</w:t>
      </w:r>
    </w:p>
    <w:p w:rsidR="00656802" w:rsidRPr="007F44A8" w:rsidRDefault="00726249" w:rsidP="00297F5B">
      <w:pPr>
        <w:pStyle w:val="Bullet1"/>
        <w:rPr>
          <w:noProof/>
        </w:rPr>
      </w:pPr>
      <w:r w:rsidRPr="007F44A8">
        <w:rPr>
          <w:noProof/>
        </w:rPr>
        <w:t>Promovarea ecosistemului științei europene în serviciul politicilor (S4P);</w:t>
      </w:r>
    </w:p>
    <w:p w:rsidR="00B4706E" w:rsidRPr="007F44A8" w:rsidRDefault="008E09CD" w:rsidP="00297F5B">
      <w:pPr>
        <w:pStyle w:val="Bullet1"/>
        <w:rPr>
          <w:noProof/>
        </w:rPr>
      </w:pPr>
      <w:r w:rsidRPr="007F44A8">
        <w:rPr>
          <w:noProof/>
        </w:rPr>
        <w:t>Facilitarea și accelerarea utilizării responsabile a IA în știință în UE;</w:t>
      </w:r>
    </w:p>
    <w:p w:rsidR="009B0B4A" w:rsidRPr="007F44A8" w:rsidRDefault="00656802" w:rsidP="003B38D0">
      <w:pPr>
        <w:pStyle w:val="Bullet1"/>
        <w:rPr>
          <w:noProof/>
        </w:rPr>
      </w:pPr>
      <w:r w:rsidRPr="007F44A8">
        <w:rPr>
          <w:noProof/>
        </w:rPr>
        <w:t>Consolidarea securității cercetării.</w:t>
      </w:r>
    </w:p>
    <w:p w:rsidR="009B6AF3" w:rsidRPr="007F44A8" w:rsidRDefault="00F52E7A" w:rsidP="00F52E7A">
      <w:pPr>
        <w:pStyle w:val="ManualHeading1"/>
        <w:rPr>
          <w:noProof/>
        </w:rPr>
      </w:pPr>
      <w:r w:rsidRPr="00F52E7A">
        <w:rPr>
          <w:noProof/>
        </w:rPr>
        <w:t>2.</w:t>
      </w:r>
      <w:r w:rsidRPr="00F52E7A">
        <w:rPr>
          <w:noProof/>
        </w:rPr>
        <w:tab/>
      </w:r>
      <w:r w:rsidR="00682DD7" w:rsidRPr="007F44A8">
        <w:rPr>
          <w:noProof/>
        </w:rPr>
        <w:t>Domeniu prioritar: Abordarea în comun a tranziției verzi, a transformării digitale și a altor provocări cu impact asupra societății și creșterea participării societății la SEC</w:t>
      </w:r>
    </w:p>
    <w:p w:rsidR="00772564" w:rsidRPr="007F44A8" w:rsidRDefault="3AE53F48" w:rsidP="003B38D0">
      <w:pPr>
        <w:pStyle w:val="Text1"/>
        <w:rPr>
          <w:noProof/>
        </w:rPr>
      </w:pPr>
      <w:r w:rsidRPr="007F44A8">
        <w:rPr>
          <w:noProof/>
        </w:rPr>
        <w:t>Pentru ca SEC să stimuleze competitivitatea, să contribuie la îmbunătățirea calității vieții cetățenilor UE și să abordeze provocările societale, cum ar fi dubla tranziție verde și digitală, acesta trebuie să creeze sinergii cu politicile sectoriale și cu politica industrială. Investițiile în C&amp;I trebuie să producă rezultate tangibile care să fie utilizate și implementate de piață</w:t>
      </w:r>
      <w:r w:rsidRPr="007F44A8">
        <w:rPr>
          <w:bCs/>
          <w:noProof/>
        </w:rPr>
        <w:t>.</w:t>
      </w:r>
    </w:p>
    <w:p w:rsidR="00772564" w:rsidRPr="007F44A8" w:rsidRDefault="00772564" w:rsidP="003B38D0">
      <w:pPr>
        <w:pStyle w:val="Text1"/>
        <w:rPr>
          <w:noProof/>
        </w:rPr>
      </w:pPr>
    </w:p>
    <w:p w:rsidR="00A75433" w:rsidRPr="007F44A8" w:rsidRDefault="35D45706" w:rsidP="003B38D0">
      <w:pPr>
        <w:pStyle w:val="Text1"/>
        <w:rPr>
          <w:noProof/>
        </w:rPr>
      </w:pPr>
      <w:r w:rsidRPr="007F44A8">
        <w:rPr>
          <w:noProof/>
        </w:rPr>
        <w:t xml:space="preserve">Următoarele politici structurale au reprezentat principalele abordări pentru acest domeniu prioritar: </w:t>
      </w:r>
    </w:p>
    <w:p w:rsidR="00CB0C68" w:rsidRPr="007F44A8" w:rsidRDefault="30B268BB" w:rsidP="00A561D0">
      <w:pPr>
        <w:pStyle w:val="Text1"/>
        <w:rPr>
          <w:rFonts w:eastAsia="Times New Roman"/>
          <w:noProof/>
        </w:rPr>
      </w:pPr>
      <w:r w:rsidRPr="007F44A8">
        <w:rPr>
          <w:b/>
          <w:noProof/>
        </w:rPr>
        <w:t>Inițiative bazate pe provocări</w:t>
      </w:r>
      <w:r w:rsidRPr="007F44A8">
        <w:rPr>
          <w:noProof/>
        </w:rPr>
        <w:t xml:space="preserve"> – Transformarea Planului strategic privind tehnologiile energetice (SET) într-o componentă tematică cheie a SEC; </w:t>
      </w:r>
      <w:r w:rsidRPr="007F44A8">
        <w:rPr>
          <w:b/>
          <w:noProof/>
        </w:rPr>
        <w:t>Sinergii cu educația și cu Agenda pentru competențe în Europa</w:t>
      </w:r>
      <w:r w:rsidRPr="007F44A8">
        <w:rPr>
          <w:noProof/>
        </w:rPr>
        <w:t xml:space="preserve"> – Îmbunătățirea coordonării dintre C&amp;I și învățământul superior în cadrul SEC și valorificarea întregului potențial al ecosistemelor europene de C&amp;I; </w:t>
      </w:r>
      <w:r w:rsidRPr="007F44A8">
        <w:rPr>
          <w:b/>
          <w:noProof/>
        </w:rPr>
        <w:t>O implicare activă a cetățenilor și a societății în C&amp;I</w:t>
      </w:r>
      <w:r w:rsidRPr="007F44A8">
        <w:rPr>
          <w:noProof/>
        </w:rPr>
        <w:t xml:space="preserve"> – Consolidarea încrederii în știință prin participarea cetățenilor, implicare și activități de comunicare științifică.</w:t>
      </w:r>
    </w:p>
    <w:p w:rsidR="003B38D0" w:rsidRPr="007F44A8" w:rsidRDefault="003B38D0" w:rsidP="003B38D0">
      <w:pPr>
        <w:pStyle w:val="Text1"/>
        <w:rPr>
          <w:rFonts w:eastAsia="Times New Roman"/>
          <w:b/>
          <w:bCs/>
          <w:noProof/>
        </w:rPr>
      </w:pPr>
    </w:p>
    <w:p w:rsidR="00951706" w:rsidRPr="007F44A8" w:rsidRDefault="00951706" w:rsidP="003B38D0">
      <w:pPr>
        <w:pStyle w:val="Text1"/>
        <w:rPr>
          <w:noProof/>
        </w:rPr>
      </w:pPr>
      <w:r w:rsidRPr="007F44A8">
        <w:rPr>
          <w:noProof/>
        </w:rPr>
        <w:t>Următoarele acțiuni SEC sunt propuse pentru următorii trei ani:</w:t>
      </w:r>
    </w:p>
    <w:p w:rsidR="00A51567" w:rsidRPr="007F44A8" w:rsidRDefault="168E8B50" w:rsidP="00297F5B">
      <w:pPr>
        <w:pStyle w:val="Bullet1"/>
        <w:rPr>
          <w:noProof/>
        </w:rPr>
      </w:pPr>
      <w:r w:rsidRPr="007F44A8">
        <w:rPr>
          <w:noProof/>
        </w:rPr>
        <w:t xml:space="preserve">Accelerarea investițiilor în C&amp;I pentru transformarea industrială și durabilitatea competitivă a Europei; </w:t>
      </w:r>
    </w:p>
    <w:p w:rsidR="00A51567" w:rsidRPr="007F44A8" w:rsidRDefault="00A51567" w:rsidP="00297F5B">
      <w:pPr>
        <w:pStyle w:val="Bullet1"/>
        <w:rPr>
          <w:noProof/>
        </w:rPr>
      </w:pPr>
      <w:r w:rsidRPr="007F44A8">
        <w:rPr>
          <w:noProof/>
        </w:rPr>
        <w:t>Accelerarea noilor metodologii de abordare (NMA) pentru a promova cercetarea biomedicală și testarea medicamentelor și a dispozitivelor medicale;</w:t>
      </w:r>
    </w:p>
    <w:p w:rsidR="0075611F" w:rsidRPr="007F44A8" w:rsidRDefault="00A51567" w:rsidP="003B38D0">
      <w:pPr>
        <w:pStyle w:val="Bullet1"/>
        <w:rPr>
          <w:noProof/>
        </w:rPr>
      </w:pPr>
      <w:r w:rsidRPr="007F44A8">
        <w:rPr>
          <w:noProof/>
        </w:rPr>
        <w:t>Un cadru armonizat și coordonat pentru o abordare europeană a integrității și eticii în C&amp;I în fața provocărilor emergente.</w:t>
      </w:r>
    </w:p>
    <w:p w:rsidR="00460531" w:rsidRPr="007F44A8" w:rsidRDefault="00F52E7A" w:rsidP="00F52E7A">
      <w:pPr>
        <w:pStyle w:val="ManualHeading1"/>
        <w:rPr>
          <w:noProof/>
        </w:rPr>
      </w:pPr>
      <w:r w:rsidRPr="00F52E7A">
        <w:rPr>
          <w:noProof/>
        </w:rPr>
        <w:t>3.</w:t>
      </w:r>
      <w:r w:rsidRPr="00F52E7A">
        <w:rPr>
          <w:noProof/>
        </w:rPr>
        <w:tab/>
      </w:r>
      <w:r w:rsidR="00EA162E" w:rsidRPr="007F44A8">
        <w:rPr>
          <w:noProof/>
        </w:rPr>
        <w:t>Domeniu prioritar: Îmbunătățirea accesului la excelență în materie de cercetare și inovare în întreaga Uniune și consolidarea interconexiunilor dintre ecosistemele de inovare din întreaga Uniune</w:t>
      </w:r>
    </w:p>
    <w:p w:rsidR="00E13566" w:rsidRPr="007F44A8" w:rsidRDefault="00FA5ACF" w:rsidP="003B38D0">
      <w:pPr>
        <w:pStyle w:val="Text1"/>
        <w:rPr>
          <w:rFonts w:eastAsia="Times New Roman"/>
          <w:noProof/>
        </w:rPr>
      </w:pPr>
      <w:r w:rsidRPr="007F44A8">
        <w:rPr>
          <w:noProof/>
        </w:rPr>
        <w:t xml:space="preserve">Excelența în materie de cercetare acoperă întreaga Europă, indiferent de vârstă, discipline și sectoare. Potențialul său maxim nu a fost încă valorificat din cauza disparităților semnificative în ceea ce privește oportunitățile pentru cercetători și inovatori în cadrul SEC. O politică structurală pentru abordarea acestui domeniu prioritar este crearea de </w:t>
      </w:r>
      <w:r w:rsidRPr="007F44A8">
        <w:rPr>
          <w:b/>
          <w:noProof/>
        </w:rPr>
        <w:t>sinergii între programele de finanțare ale UE, naționale și regionale</w:t>
      </w:r>
      <w:r w:rsidRPr="007F44A8">
        <w:rPr>
          <w:noProof/>
        </w:rPr>
        <w:t xml:space="preserve"> – Îmbunătățirea accesului UE la excelență.</w:t>
      </w:r>
    </w:p>
    <w:p w:rsidR="002277C3" w:rsidRPr="007F44A8" w:rsidRDefault="002277C3" w:rsidP="003B38D0">
      <w:pPr>
        <w:pStyle w:val="Text1"/>
        <w:rPr>
          <w:rFonts w:eastAsia="Times New Roman"/>
          <w:noProof/>
        </w:rPr>
      </w:pPr>
    </w:p>
    <w:p w:rsidR="00224D84" w:rsidRPr="007F44A8" w:rsidRDefault="00FA5ACF" w:rsidP="003B38D0">
      <w:pPr>
        <w:pStyle w:val="Text1"/>
        <w:rPr>
          <w:rFonts w:eastAsia="Times New Roman"/>
          <w:noProof/>
        </w:rPr>
      </w:pPr>
      <w:r w:rsidRPr="007F44A8">
        <w:rPr>
          <w:noProof/>
        </w:rPr>
        <w:t>Următoarea acțiune SEC este propusă pentru următorii trei ani:</w:t>
      </w:r>
    </w:p>
    <w:p w:rsidR="00412E67" w:rsidRPr="007F44A8" w:rsidRDefault="00224D84" w:rsidP="00F43060">
      <w:pPr>
        <w:pStyle w:val="Bullet1"/>
        <w:rPr>
          <w:b/>
          <w:bCs/>
          <w:noProof/>
        </w:rPr>
      </w:pPr>
      <w:r w:rsidRPr="007F44A8">
        <w:rPr>
          <w:noProof/>
        </w:rPr>
        <w:t>Capacitarea C&amp;I: O nouă eră în gestionarea cercetării.</w:t>
      </w:r>
    </w:p>
    <w:p w:rsidR="00F822C8" w:rsidRPr="007F44A8" w:rsidRDefault="00F52E7A" w:rsidP="00F52E7A">
      <w:pPr>
        <w:pStyle w:val="ManualHeading1"/>
        <w:rPr>
          <w:noProof/>
        </w:rPr>
      </w:pPr>
      <w:r w:rsidRPr="00F52E7A">
        <w:rPr>
          <w:noProof/>
        </w:rPr>
        <w:t>4.</w:t>
      </w:r>
      <w:r w:rsidRPr="00F52E7A">
        <w:rPr>
          <w:noProof/>
        </w:rPr>
        <w:tab/>
      </w:r>
      <w:r w:rsidR="00682DD7" w:rsidRPr="007F44A8">
        <w:rPr>
          <w:noProof/>
        </w:rPr>
        <w:t>Domeniu prioritar: Promovarea investițiilor și reformelor concertate în domeniul cercetării și inovării</w:t>
      </w:r>
    </w:p>
    <w:p w:rsidR="008E088D" w:rsidRPr="007F44A8" w:rsidRDefault="1B0450AC" w:rsidP="003B38D0">
      <w:pPr>
        <w:pStyle w:val="Text1"/>
        <w:rPr>
          <w:rFonts w:eastAsia="Times New Roman"/>
          <w:noProof/>
          <w:szCs w:val="24"/>
        </w:rPr>
      </w:pPr>
      <w:r w:rsidRPr="007F44A8">
        <w:rPr>
          <w:noProof/>
        </w:rPr>
        <w:t>Întrucât UE se axează pe domenii-cheie pentru competitivitatea, durabilitatea și bunăstarea viitoare, ar fi contraproductiv să se dubleze, să se înlocuiască sau să se fragmenteze investițiile și inițiativele în domeniul C&amp;I. Cooperarea transfrontalieră poate spori eficiența prin punerea în comun a resurselor pentru a se atinge masa critică și pentru a spori efectele de propagare a cunoștințelor în vederea stimulării inovării. Asigurarea eficienței și a impactului acestor investiții va necesita, de asemenea, în unele cazuri, conceperea, punerea în aplicare și monitorizarea reformelor structurale în sistemele naționale de C&amp;D. Scopul acestor reforme va fi acela de a spori excelența științifică, de a îmbunătăți valorificarea rezultatelor cercetării, de a consolida legăturile dintre știință și mediul de afaceri și de a orienta mai bine politicile de sprijinire a inovării în întreprinderi.</w:t>
      </w:r>
    </w:p>
    <w:p w:rsidR="006A1560" w:rsidRPr="007F44A8" w:rsidRDefault="006A1560" w:rsidP="003B38D0">
      <w:pPr>
        <w:pStyle w:val="Text1"/>
        <w:rPr>
          <w:rFonts w:eastAsia="Times New Roman"/>
          <w:noProof/>
          <w:szCs w:val="24"/>
        </w:rPr>
      </w:pPr>
      <w:r w:rsidRPr="007F44A8">
        <w:rPr>
          <w:noProof/>
        </w:rPr>
        <w:t xml:space="preserve">Nu există nicio acțiune specifică privind SEC propusă în cadrul acestui obiectiv, dar este general recunoscut faptul că stimularea investițiilor în C&amp;I și adoptarea de reforme structurale rămân o prioritate-cheie pentru colaborarea strânsă dintre Comisia Europeană și statele membre, care trebuie să colaboreze îndeaproape folosind un set de instrumente existente. Mai precis, se preconizează că punerea în aplicare a măsurilor de C&amp;I în cadrul Mecanismului de redresare și reziliență al UE va stimula capacitatea națională de inovare, în special în țările care continuă să rămână în urmă. </w:t>
      </w:r>
    </w:p>
    <w:p w:rsidR="008E088D" w:rsidRPr="007F44A8" w:rsidRDefault="58C4A22E" w:rsidP="003B38D0">
      <w:pPr>
        <w:pStyle w:val="Text1"/>
        <w:rPr>
          <w:noProof/>
        </w:rPr>
      </w:pPr>
      <w:r w:rsidRPr="007F44A8">
        <w:rPr>
          <w:noProof/>
        </w:rPr>
        <w:t xml:space="preserve">Prin intermediul semestrului european pentru coordonarea politicilor economice, Comisia Europeană efectuează o analiză aprofundată a sistemelor naționale de C&amp;I și emite recomandări specifice fiecărei țări cu privire la modalitățile de stimulare a potențialului de inovare al fiecărei țări. Comisia monitorizează apoi răspunsurile în materie de politici ale statelor membre pentru a evalua progresele înregistrate în ceea ce privește eliminarea lacunelor identificate în materie de C&amp;I. În vederea susținerii eforturilor de îmbunătățire a sistemelor lor de C&amp;I prin reforme, statele membre și țările asociate pot primi sprijin de specialitate în cadrul mecanismului de sprijin al politicilor din cadrul programului Orizont, un instrument care s-a dovedit extrem de benefic pentru îmbunătățirea procesului de elaborare a politicilor și identificarea căilor de reformă, precum și în cadrul dialogului bilateral consolidat cu statele membre pe teme de C&amp;I convenite de comun acord. </w:t>
      </w:r>
    </w:p>
    <w:p w:rsidR="007B0026" w:rsidRPr="007F44A8" w:rsidRDefault="007B0026" w:rsidP="00460531">
      <w:pPr>
        <w:pStyle w:val="ListParagraph"/>
        <w:ind w:left="714" w:hanging="357"/>
        <w:rPr>
          <w:rFonts w:eastAsia="Times New Roman"/>
          <w:noProof/>
        </w:rPr>
      </w:pPr>
    </w:p>
    <w:p w:rsidR="00A9098B" w:rsidRPr="007F44A8" w:rsidRDefault="00F52E7A" w:rsidP="00F52E7A">
      <w:pPr>
        <w:pStyle w:val="ManualNumPar1"/>
        <w:rPr>
          <w:noProof/>
        </w:rPr>
      </w:pPr>
      <w:r w:rsidRPr="00F52E7A">
        <w:rPr>
          <w:noProof/>
        </w:rPr>
        <w:t>3.</w:t>
      </w:r>
      <w:r w:rsidRPr="00F52E7A">
        <w:rPr>
          <w:noProof/>
        </w:rPr>
        <w:tab/>
      </w:r>
      <w:r w:rsidR="00736F86" w:rsidRPr="007F44A8">
        <w:rPr>
          <w:noProof/>
        </w:rPr>
        <w:t>Cadrul de colaborare instituit de Comisia Europeană, statele membre, țările asociate și organizațiile părților interesate sub forma Forumului SEC și a CSEC ar trebui menținut ca mecanism central de guvernanță a SEC. Punerea în aplicare a următoarei agende de politici privind SEC 2025-2027 va rămâne un demers favorabil incluziunii și transparent la toate nivelurile de guvernanță pentru a încuraja cocrearea și asumarea agendei. Forumul SEC rămâne o tribună pentru provocările emergente, în afara activităților agendei de politici privind SEC 2025-2027, care necesită o colaborare între țări și sunt vizate de Pactul pentru cercetare și inovare, cum ar fi o monitorizare a libertății cercetării științifice.</w:t>
      </w:r>
    </w:p>
    <w:p w:rsidR="00B61FFB" w:rsidRPr="007F44A8" w:rsidRDefault="00F52E7A" w:rsidP="00F52E7A">
      <w:pPr>
        <w:pStyle w:val="ManualNumPar1"/>
        <w:rPr>
          <w:noProof/>
        </w:rPr>
      </w:pPr>
      <w:r w:rsidRPr="00F52E7A">
        <w:rPr>
          <w:noProof/>
        </w:rPr>
        <w:t>4.</w:t>
      </w:r>
      <w:r w:rsidRPr="00F52E7A">
        <w:rPr>
          <w:noProof/>
        </w:rPr>
        <w:tab/>
      </w:r>
      <w:r w:rsidR="00194232" w:rsidRPr="007F44A8">
        <w:rPr>
          <w:noProof/>
        </w:rPr>
        <w:t>Punerea în aplicare coordonată ar trebui să asigure implicarea activă și largă a părților interesate de la nivelul UE în întregul spectru, de la cercetare la inovare și introducerea pe piață. Categoriile de părți interesate din cadrul Forumului SEC ar trebui revizuite pentru a se obține o mai bună reprezentare a diferitelor interese.</w:t>
      </w:r>
    </w:p>
    <w:p w:rsidR="00A9098B" w:rsidRPr="007F44A8" w:rsidRDefault="00F52E7A" w:rsidP="00F52E7A">
      <w:pPr>
        <w:pStyle w:val="ManualNumPar1"/>
        <w:rPr>
          <w:noProof/>
        </w:rPr>
      </w:pPr>
      <w:r w:rsidRPr="00F52E7A">
        <w:rPr>
          <w:noProof/>
        </w:rPr>
        <w:t>5.</w:t>
      </w:r>
      <w:r w:rsidRPr="00F52E7A">
        <w:rPr>
          <w:noProof/>
        </w:rPr>
        <w:tab/>
      </w:r>
      <w:r w:rsidR="51F145E3" w:rsidRPr="007F44A8">
        <w:rPr>
          <w:noProof/>
        </w:rPr>
        <w:t>Statele membre și Comisia Europeană ar trebui să sprijine implicarea deplină a țărilor asociate la programul Orizont Europa și a organizațiilor umbrelă ale părților interesate la nivelul UE în punerea în aplicare a agendei de politici privind SEC 2025-2027.</w:t>
      </w:r>
    </w:p>
    <w:p w:rsidR="00594701" w:rsidRPr="007F44A8" w:rsidRDefault="00F52E7A" w:rsidP="00F52E7A">
      <w:pPr>
        <w:pStyle w:val="ManualNumPar1"/>
        <w:rPr>
          <w:noProof/>
        </w:rPr>
      </w:pPr>
      <w:r w:rsidRPr="00F52E7A">
        <w:rPr>
          <w:noProof/>
        </w:rPr>
        <w:t>6.</w:t>
      </w:r>
      <w:r w:rsidRPr="00F52E7A">
        <w:rPr>
          <w:noProof/>
        </w:rPr>
        <w:tab/>
      </w:r>
      <w:r w:rsidR="00F73814" w:rsidRPr="007F44A8">
        <w:rPr>
          <w:noProof/>
        </w:rPr>
        <w:t>Investițiile în C&amp;I în UE sunt sub nivelul aspirațiilor și rămân sub nivelul investițiilor în cazul multora dintre concurenții mondiali ai UE. În prezent, UE cheltuiește aproximativ 2,3 % din PIB-ul său pentru C&amp;D, cu mult sub obiectivul de 3 % pentru C&amp;D stabilit în 2002 în Declarația de la Barcelona. Pentru a răspunde provocării multidimensionale reprezentate de atingerea obiectivului de 3 %, sunt necesare acțiuni coordonate pentru a stimula investițiile publice și private în C&amp;D. De asemenea, sunt necesare reforme suplimentare pentru a îmbunătăți ecosistemele naționale de C&amp;I și pentru a maximiza impactul unei creșteri a investițiilor în C&amp;I. Pe lângă domeniul prioritar al Pactului pentru cercetare și inovare privind „Promovarea investițiilor și a reformelor concertate în domeniul cercetării și inovării”, statele membre și Comisia ar trebui să își continue eforturile în această direcție.</w:t>
      </w:r>
    </w:p>
    <w:p w:rsidR="00944E5C" w:rsidRPr="007F44A8" w:rsidRDefault="00F52E7A" w:rsidP="00F52E7A">
      <w:pPr>
        <w:pStyle w:val="ManualNumPar1"/>
        <w:rPr>
          <w:noProof/>
        </w:rPr>
      </w:pPr>
      <w:r w:rsidRPr="00F52E7A">
        <w:rPr>
          <w:noProof/>
        </w:rPr>
        <w:t>7.</w:t>
      </w:r>
      <w:r w:rsidRPr="00F52E7A">
        <w:rPr>
          <w:noProof/>
        </w:rPr>
        <w:tab/>
      </w:r>
      <w:r w:rsidR="18314C8C" w:rsidRPr="007F44A8">
        <w:rPr>
          <w:noProof/>
        </w:rPr>
        <w:t>Comisia Europeană și statele membre ar trebui să continue să pună în aplicare mecanismul de monitorizare a SEC prezentat în Pactul pentru cercetare și inovare în Europa și detaliat în „Cadrul pentru viitorul mecanism de monitorizare a SEC” prezentat de Comisie Consiliului la 10 iunie 2022</w:t>
      </w:r>
      <w:r w:rsidR="002A13B3" w:rsidRPr="007F44A8">
        <w:rPr>
          <w:rStyle w:val="FootnoteReference"/>
          <w:noProof/>
        </w:rPr>
        <w:footnoteReference w:id="11"/>
      </w:r>
      <w:r w:rsidR="18314C8C" w:rsidRPr="007F44A8">
        <w:rPr>
          <w:noProof/>
        </w:rPr>
        <w:t>. Mecanismul de monitorizare a SEC va evalua progresele înregistrate în direcția priorităților SEC, astfel cum sunt definite în Pactul pentru cercetare și inovare. Mecanismul de monitorizare a SEC ar trebui să cuprindă:</w:t>
      </w:r>
    </w:p>
    <w:p w:rsidR="081690F8" w:rsidRPr="007F44A8" w:rsidRDefault="00F52E7A" w:rsidP="00F52E7A">
      <w:pPr>
        <w:pStyle w:val="Point2"/>
        <w:rPr>
          <w:noProof/>
        </w:rPr>
      </w:pPr>
      <w:r w:rsidRPr="00F52E7A">
        <w:rPr>
          <w:noProof/>
        </w:rPr>
        <w:t>(1)</w:t>
      </w:r>
      <w:r w:rsidRPr="00F52E7A">
        <w:rPr>
          <w:noProof/>
        </w:rPr>
        <w:tab/>
      </w:r>
      <w:r w:rsidR="0069095F" w:rsidRPr="007F44A8">
        <w:rPr>
          <w:noProof/>
        </w:rPr>
        <w:t>un tablou de bord al SEC pentru a monitoriza progresele înregistrate în direcția atingerii obiectivelor SEC, atât la nivelul UE, cât și la nivel național, actualizat periodic;</w:t>
      </w:r>
    </w:p>
    <w:p w:rsidR="081690F8" w:rsidRPr="007F44A8" w:rsidRDefault="00F52E7A" w:rsidP="00F52E7A">
      <w:pPr>
        <w:pStyle w:val="Point2"/>
        <w:rPr>
          <w:noProof/>
        </w:rPr>
      </w:pPr>
      <w:r w:rsidRPr="00F52E7A">
        <w:rPr>
          <w:noProof/>
        </w:rPr>
        <w:t>(2)</w:t>
      </w:r>
      <w:r w:rsidRPr="00F52E7A">
        <w:rPr>
          <w:noProof/>
        </w:rPr>
        <w:tab/>
      </w:r>
      <w:r w:rsidR="0069095F" w:rsidRPr="007F44A8">
        <w:rPr>
          <w:noProof/>
        </w:rPr>
        <w:t>un raport periodic de monitorizare a SEC adresat de Comisie Consiliului pentru a analiza punerea în aplicare a agendei de politici privind SEC;</w:t>
      </w:r>
    </w:p>
    <w:p w:rsidR="081690F8" w:rsidRPr="007F44A8" w:rsidRDefault="00F52E7A" w:rsidP="00F52E7A">
      <w:pPr>
        <w:pStyle w:val="Point2"/>
        <w:rPr>
          <w:noProof/>
        </w:rPr>
      </w:pPr>
      <w:r w:rsidRPr="00F52E7A">
        <w:rPr>
          <w:noProof/>
        </w:rPr>
        <w:t>(3)</w:t>
      </w:r>
      <w:r w:rsidRPr="00F52E7A">
        <w:rPr>
          <w:noProof/>
        </w:rPr>
        <w:tab/>
      </w:r>
      <w:r w:rsidR="0069095F" w:rsidRPr="007F44A8">
        <w:rPr>
          <w:noProof/>
        </w:rPr>
        <w:t>rapoarte de țară periodice privind SEC pentru a analiza progresele înregistrate de țări în ceea ce privește punerea în aplicare a agendei de politici privind SEC.</w:t>
      </w:r>
    </w:p>
    <w:p w:rsidR="0070493D" w:rsidRPr="007F44A8" w:rsidRDefault="0070493D" w:rsidP="00764FBA">
      <w:pPr>
        <w:pStyle w:val="Number"/>
        <w:rPr>
          <w:noProof/>
        </w:rPr>
      </w:pPr>
      <w:r w:rsidRPr="007F44A8">
        <w:rPr>
          <w:noProof/>
        </w:rPr>
        <w:t xml:space="preserve">Statele membre vor continua să facă schimb de informații cu privire la SEC, în special prin furnizarea de date și informații prin intermediul platformei de politici privind SEC. Statele membre vor promova, de asemenea, punerea în aplicare a acțiunilor și a rezultatelor SEC în țările lor, pe baza sprijinului disponibil. </w:t>
      </w:r>
    </w:p>
    <w:p w:rsidR="00DA2E0E" w:rsidRPr="007F44A8" w:rsidRDefault="00DA2E0E" w:rsidP="00F13181">
      <w:pPr>
        <w:pStyle w:val="Text1"/>
        <w:rPr>
          <w:noProof/>
        </w:rPr>
      </w:pPr>
    </w:p>
    <w:p w:rsidR="00DA2E0E" w:rsidRPr="007F44A8" w:rsidRDefault="00E90907" w:rsidP="00417B53">
      <w:pPr>
        <w:pStyle w:val="Fait"/>
        <w:rPr>
          <w:noProof/>
        </w:rPr>
      </w:pPr>
      <w:r>
        <w:rPr>
          <w:noProof/>
        </w:rPr>
        <w:t>Adoptată la Bruxelles,</w:t>
      </w:r>
    </w:p>
    <w:p w:rsidR="00DA2E0E" w:rsidRPr="007F44A8" w:rsidRDefault="00DA2E0E" w:rsidP="00417B53">
      <w:pPr>
        <w:pStyle w:val="Institutionquisigne"/>
        <w:rPr>
          <w:noProof/>
        </w:rPr>
      </w:pPr>
      <w:r w:rsidRPr="007F44A8">
        <w:rPr>
          <w:noProof/>
        </w:rPr>
        <w:tab/>
        <w:t>Pentru Consiliu,</w:t>
      </w:r>
    </w:p>
    <w:p w:rsidR="008B6955" w:rsidRPr="007F44A8" w:rsidRDefault="00DA2E0E" w:rsidP="00417B53">
      <w:pPr>
        <w:pStyle w:val="Institutionquisigne"/>
        <w:spacing w:before="0"/>
        <w:rPr>
          <w:noProof/>
        </w:rPr>
      </w:pPr>
      <w:r w:rsidRPr="007F44A8">
        <w:rPr>
          <w:noProof/>
        </w:rPr>
        <w:tab/>
        <w:t>Președinte</w:t>
      </w:r>
    </w:p>
    <w:p w:rsidR="002027C1" w:rsidRPr="007F44A8" w:rsidRDefault="002027C1" w:rsidP="009C7C78">
      <w:pPr>
        <w:pStyle w:val="Personnequisigne"/>
        <w:rPr>
          <w:rFonts w:eastAsia="Calibri"/>
          <w:noProof/>
        </w:rPr>
      </w:pPr>
      <w:bookmarkStart w:id="66" w:name="_Toc187261231"/>
      <w:bookmarkStart w:id="67" w:name="_Toc187261561"/>
      <w:bookmarkStart w:id="68" w:name="_Toc187261903"/>
      <w:bookmarkStart w:id="69" w:name="_Toc187262000"/>
      <w:bookmarkEnd w:id="66"/>
      <w:bookmarkEnd w:id="67"/>
      <w:bookmarkEnd w:id="68"/>
      <w:bookmarkEnd w:id="69"/>
    </w:p>
    <w:sectPr w:rsidR="002027C1" w:rsidRPr="007F44A8" w:rsidSect="002E2671">
      <w:headerReference w:type="even"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DE6" w:rsidRPr="00D76B6F" w:rsidRDefault="00685DE6" w:rsidP="00DA2E0E">
      <w:pPr>
        <w:spacing w:before="0" w:after="0"/>
      </w:pPr>
      <w:r w:rsidRPr="00D76B6F">
        <w:separator/>
      </w:r>
    </w:p>
  </w:endnote>
  <w:endnote w:type="continuationSeparator" w:id="0">
    <w:p w:rsidR="00685DE6" w:rsidRPr="00D76B6F" w:rsidRDefault="00685DE6" w:rsidP="00DA2E0E">
      <w:pPr>
        <w:spacing w:before="0" w:after="0"/>
      </w:pPr>
      <w:r w:rsidRPr="00D76B6F">
        <w:continuationSeparator/>
      </w:r>
    </w:p>
  </w:endnote>
  <w:endnote w:type="continuationNotice" w:id="1">
    <w:p w:rsidR="00685DE6" w:rsidRPr="00D76B6F" w:rsidRDefault="00685DE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Pr="002E2671" w:rsidRDefault="002E2671" w:rsidP="002E2671">
    <w:pPr>
      <w:pStyle w:val="Footer"/>
      <w:rPr>
        <w:rFonts w:ascii="Arial" w:hAnsi="Arial" w:cs="Arial"/>
        <w:b/>
        <w:sz w:val="48"/>
      </w:rPr>
    </w:pPr>
    <w:r w:rsidRPr="002E2671">
      <w:rPr>
        <w:rFonts w:ascii="Arial" w:hAnsi="Arial" w:cs="Arial"/>
        <w:b/>
        <w:sz w:val="48"/>
      </w:rPr>
      <w:t>RO</w:t>
    </w:r>
    <w:r w:rsidRPr="002E2671">
      <w:rPr>
        <w:rFonts w:ascii="Arial" w:hAnsi="Arial" w:cs="Arial"/>
        <w:b/>
        <w:sz w:val="48"/>
      </w:rPr>
      <w:tab/>
    </w:r>
    <w:r w:rsidRPr="002E2671">
      <w:rPr>
        <w:rFonts w:ascii="Arial" w:hAnsi="Arial" w:cs="Arial"/>
        <w:b/>
        <w:sz w:val="48"/>
      </w:rPr>
      <w:tab/>
    </w:r>
    <w:r w:rsidRPr="002E2671">
      <w:tab/>
    </w:r>
    <w:r w:rsidRPr="002E267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Pr="002E2671" w:rsidRDefault="002E2671" w:rsidP="002E2671">
    <w:pPr>
      <w:pStyle w:val="Footer"/>
      <w:rPr>
        <w:rFonts w:ascii="Arial" w:hAnsi="Arial" w:cs="Arial"/>
        <w:b/>
        <w:sz w:val="48"/>
      </w:rPr>
    </w:pPr>
    <w:r w:rsidRPr="002E2671">
      <w:rPr>
        <w:rFonts w:ascii="Arial" w:hAnsi="Arial" w:cs="Arial"/>
        <w:b/>
        <w:sz w:val="48"/>
      </w:rPr>
      <w:t>RO</w:t>
    </w:r>
    <w:r w:rsidRPr="002E2671">
      <w:rPr>
        <w:rFonts w:ascii="Arial" w:hAnsi="Arial" w:cs="Arial"/>
        <w:b/>
        <w:sz w:val="48"/>
      </w:rPr>
      <w:tab/>
    </w:r>
    <w:r w:rsidRPr="002E2671">
      <w:rPr>
        <w:rFonts w:ascii="Arial" w:hAnsi="Arial" w:cs="Arial"/>
        <w:b/>
        <w:sz w:val="48"/>
      </w:rPr>
      <w:tab/>
    </w:r>
    <w:r w:rsidRPr="002E2671">
      <w:tab/>
    </w:r>
    <w:r w:rsidRPr="002E267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Default="002E26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Pr="002E2671" w:rsidRDefault="002E2671" w:rsidP="002E2671">
    <w:pPr>
      <w:pStyle w:val="Footer"/>
      <w:rPr>
        <w:rFonts w:ascii="Arial" w:hAnsi="Arial" w:cs="Arial"/>
        <w:b/>
        <w:sz w:val="48"/>
      </w:rPr>
    </w:pPr>
    <w:r w:rsidRPr="002E2671">
      <w:rPr>
        <w:rFonts w:ascii="Arial" w:hAnsi="Arial" w:cs="Arial"/>
        <w:b/>
        <w:sz w:val="48"/>
      </w:rPr>
      <w:t>RO</w:t>
    </w:r>
    <w:r w:rsidRPr="002E2671">
      <w:rPr>
        <w:rFonts w:ascii="Arial" w:hAnsi="Arial" w:cs="Arial"/>
        <w:b/>
        <w:sz w:val="48"/>
      </w:rPr>
      <w:tab/>
    </w:r>
    <w:r>
      <w:fldChar w:fldCharType="begin"/>
    </w:r>
    <w:r>
      <w:instrText xml:space="preserve"> PAGE  \* MERGEFORMAT </w:instrText>
    </w:r>
    <w:r>
      <w:fldChar w:fldCharType="separate"/>
    </w:r>
    <w:r w:rsidR="00417B53">
      <w:rPr>
        <w:noProof/>
      </w:rPr>
      <w:t>12</w:t>
    </w:r>
    <w:r>
      <w:fldChar w:fldCharType="end"/>
    </w:r>
    <w:r>
      <w:tab/>
    </w:r>
    <w:r w:rsidRPr="002E2671">
      <w:tab/>
    </w:r>
    <w:r w:rsidRPr="002E267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Default="002E2671" w:rsidP="002E2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DE6" w:rsidRPr="00D76B6F" w:rsidRDefault="00685DE6" w:rsidP="00DA2E0E">
      <w:pPr>
        <w:spacing w:before="0" w:after="0"/>
      </w:pPr>
      <w:r w:rsidRPr="00D76B6F">
        <w:separator/>
      </w:r>
    </w:p>
  </w:footnote>
  <w:footnote w:type="continuationSeparator" w:id="0">
    <w:p w:rsidR="00685DE6" w:rsidRPr="00D76B6F" w:rsidRDefault="00685DE6" w:rsidP="00DA2E0E">
      <w:pPr>
        <w:spacing w:before="0" w:after="0"/>
      </w:pPr>
      <w:r w:rsidRPr="00D76B6F">
        <w:continuationSeparator/>
      </w:r>
    </w:p>
  </w:footnote>
  <w:footnote w:type="continuationNotice" w:id="1">
    <w:p w:rsidR="00685DE6" w:rsidRPr="00D76B6F" w:rsidRDefault="00685DE6">
      <w:pPr>
        <w:spacing w:before="0" w:after="0"/>
      </w:pPr>
    </w:p>
  </w:footnote>
  <w:footnote w:id="2">
    <w:p w:rsidR="00AF5C91" w:rsidRPr="00427644" w:rsidRDefault="00AF5C91">
      <w:pPr>
        <w:pStyle w:val="FootnoteText"/>
      </w:pPr>
      <w:r>
        <w:rPr>
          <w:rStyle w:val="FootnoteReference"/>
        </w:rPr>
        <w:footnoteRef/>
      </w:r>
      <w:r>
        <w:tab/>
        <w:t>RECOMANDAREA (UE) 2021/2122 A CONSILIULUI.</w:t>
      </w:r>
    </w:p>
  </w:footnote>
  <w:footnote w:id="3">
    <w:p w:rsidR="00AF5C91" w:rsidRPr="00427644" w:rsidRDefault="00AF5C91">
      <w:pPr>
        <w:pStyle w:val="FootnoteText"/>
      </w:pPr>
      <w:r>
        <w:rPr>
          <w:rStyle w:val="FootnoteReference"/>
        </w:rPr>
        <w:footnoteRef/>
      </w:r>
      <w:r>
        <w:tab/>
        <w:t>COM(2024) 490.</w:t>
      </w:r>
    </w:p>
  </w:footnote>
  <w:footnote w:id="4">
    <w:p w:rsidR="00780C18" w:rsidRPr="00427644" w:rsidRDefault="00780C18">
      <w:pPr>
        <w:pStyle w:val="FootnoteText"/>
      </w:pPr>
      <w:r>
        <w:rPr>
          <w:rStyle w:val="FootnoteReference"/>
        </w:rPr>
        <w:footnoteRef/>
      </w:r>
      <w:r>
        <w:tab/>
      </w:r>
      <w:hyperlink r:id="rId1" w:history="1">
        <w:r>
          <w:rPr>
            <w:rStyle w:val="Hyperlink"/>
          </w:rPr>
          <w:t>https://european-research-area.ec.europa.eu/</w:t>
        </w:r>
      </w:hyperlink>
      <w:r>
        <w:t>.</w:t>
      </w:r>
    </w:p>
  </w:footnote>
  <w:footnote w:id="5">
    <w:p w:rsidR="00E95F81" w:rsidRPr="00A561D0" w:rsidRDefault="00E95F81" w:rsidP="00E95F81">
      <w:pPr>
        <w:pStyle w:val="FootnoteText"/>
      </w:pPr>
      <w:r>
        <w:rPr>
          <w:rStyle w:val="FootnoteReference"/>
        </w:rPr>
        <w:footnoteRef/>
      </w:r>
      <w:r>
        <w:tab/>
        <w:t>16179/24.</w:t>
      </w:r>
    </w:p>
    <w:p w:rsidR="00E95F81" w:rsidRPr="00DE1A9E" w:rsidRDefault="00E95F81" w:rsidP="006B316A">
      <w:pPr>
        <w:pStyle w:val="FootnoteText"/>
        <w:ind w:left="0" w:firstLine="0"/>
        <w:rPr>
          <w:lang w:val="en-IE"/>
        </w:rPr>
      </w:pPr>
    </w:p>
  </w:footnote>
  <w:footnote w:id="6">
    <w:p w:rsidR="006E718C" w:rsidRPr="00DE1A9E" w:rsidRDefault="006E718C">
      <w:pPr>
        <w:pStyle w:val="FootnoteText"/>
      </w:pPr>
      <w:r>
        <w:rPr>
          <w:rStyle w:val="FootnoteReference"/>
        </w:rPr>
        <w:footnoteRef/>
      </w:r>
      <w:r>
        <w:tab/>
        <w:t>COM(2025) 30 final.</w:t>
      </w:r>
    </w:p>
  </w:footnote>
  <w:footnote w:id="7">
    <w:p w:rsidR="00AF5C91" w:rsidRPr="00A561D0" w:rsidRDefault="00AF5C91">
      <w:pPr>
        <w:pStyle w:val="FootnoteText"/>
      </w:pPr>
      <w:r>
        <w:rPr>
          <w:rStyle w:val="FootnoteReference"/>
        </w:rPr>
        <w:footnoteRef/>
      </w:r>
      <w:r>
        <w:tab/>
        <w:t>14308/21.</w:t>
      </w:r>
    </w:p>
  </w:footnote>
  <w:footnote w:id="8">
    <w:p w:rsidR="002A13B3" w:rsidRPr="00A561D0" w:rsidRDefault="002A13B3" w:rsidP="00AF5C91">
      <w:pPr>
        <w:pStyle w:val="FootnoteText"/>
      </w:pPr>
      <w:r>
        <w:rPr>
          <w:rStyle w:val="FootnoteReference"/>
        </w:rPr>
        <w:footnoteRef/>
      </w:r>
      <w:r>
        <w:tab/>
        <w:t>RECOMANDAREA (UE) 2021/2122 A CONSILIULUI.</w:t>
      </w:r>
    </w:p>
  </w:footnote>
  <w:footnote w:id="9">
    <w:p w:rsidR="00AF5C91" w:rsidRPr="00A561D0" w:rsidRDefault="00AF5C91">
      <w:pPr>
        <w:pStyle w:val="FootnoteText"/>
      </w:pPr>
      <w:r>
        <w:rPr>
          <w:rStyle w:val="FootnoteReference"/>
        </w:rPr>
        <w:footnoteRef/>
      </w:r>
      <w:r>
        <w:tab/>
        <w:t>16179/24.</w:t>
      </w:r>
    </w:p>
  </w:footnote>
  <w:footnote w:id="10">
    <w:p w:rsidR="002A13B3" w:rsidRPr="00A561D0" w:rsidRDefault="002A13B3">
      <w:pPr>
        <w:pStyle w:val="FootnoteText"/>
      </w:pPr>
      <w:r>
        <w:rPr>
          <w:rStyle w:val="FootnoteReference"/>
        </w:rPr>
        <w:footnoteRef/>
      </w:r>
      <w:r>
        <w:tab/>
        <w:t>COM(2024) 490.</w:t>
      </w:r>
    </w:p>
  </w:footnote>
  <w:footnote w:id="11">
    <w:p w:rsidR="002A13B3" w:rsidRPr="00A561D0" w:rsidRDefault="002A13B3">
      <w:pPr>
        <w:pStyle w:val="FootnoteText"/>
      </w:pPr>
      <w:r>
        <w:rPr>
          <w:rStyle w:val="FootnoteReference"/>
        </w:rPr>
        <w:footnoteRef/>
      </w:r>
      <w:r>
        <w:tab/>
        <w:t>NOTA CONSILIULUI 9578/22.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Default="002E2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671" w:rsidRDefault="002E2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86E3B0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AA72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706B75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0E66F2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8"/>
  </w:num>
  <w:num w:numId="27">
    <w:abstractNumId w:val="17"/>
  </w:num>
  <w:num w:numId="28">
    <w:abstractNumId w:val="7"/>
  </w:num>
  <w:num w:numId="29">
    <w:abstractNumId w:val="9"/>
  </w:num>
  <w:num w:numId="30">
    <w:abstractNumId w:val="10"/>
  </w:num>
  <w:num w:numId="31">
    <w:abstractNumId w:val="5"/>
  </w:num>
  <w:num w:numId="32">
    <w:abstractNumId w:val="16"/>
  </w:num>
  <w:num w:numId="33">
    <w:abstractNumId w:val="4"/>
  </w:num>
  <w:num w:numId="34">
    <w:abstractNumId w:val="11"/>
  </w:num>
  <w:num w:numId="35">
    <w:abstractNumId w:val="13"/>
  </w:num>
  <w:num w:numId="36">
    <w:abstractNumId w:val="14"/>
  </w:num>
  <w:num w:numId="37">
    <w:abstractNumId w:val="6"/>
  </w:num>
  <w:num w:numId="38">
    <w:abstractNumId w:val="12"/>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3-25 14:46: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A850ECB-CA28-4592-90D2-4E1DFFBC0E6B"/>
    <w:docVar w:name="LW_COVERPAGE_TYPE" w:val="1"/>
    <w:docVar w:name="LW_CROSSREFERENCE" w:val="&lt;UNUSED&gt;"/>
    <w:docVar w:name="LW_DocType" w:val="COM"/>
    <w:docVar w:name="LW_EMISSION" w:val="28.2.2025"/>
    <w:docVar w:name="LW_EMISSION_ISODATE" w:val="2025-02-28"/>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4"/>
    <w:docVar w:name="LW_REF.II.NEW.CP_YEAR" w:val="2025"/>
    <w:docVar w:name="LW_REF.INST.NEW" w:val="COM"/>
    <w:docVar w:name="LW_REF.INST.NEW_ADOPTED" w:val="final"/>
    <w:docVar w:name="LW_REF.INST.NEW_TEXT" w:val="(2025) 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referitoare la agenda de politici privind Spa\u539?iul european de cercetare 2025-2027"/>
    <w:docVar w:name="LW_TYPE.DOC.CP" w:val="RECOMANDARE A CONSILIULUI"/>
    <w:docVar w:name="LwApiVersions" w:val="LW4CoDe 1.24.5.0; LW 9.0, Build 20240221"/>
    <w:docVar w:name="Stamp" w:val="\\dossiers.dgt.cec.eu.int\dossiers\RTD\RTD-2025-00021\RTD-2025-00021-00-00-EN-EDT-00.202501301049441793049.DOCX"/>
  </w:docVars>
  <w:rsids>
    <w:rsidRoot w:val="00DA2E0E"/>
    <w:rsid w:val="00000273"/>
    <w:rsid w:val="00000737"/>
    <w:rsid w:val="00000987"/>
    <w:rsid w:val="000020D2"/>
    <w:rsid w:val="00002845"/>
    <w:rsid w:val="000033F7"/>
    <w:rsid w:val="0000379E"/>
    <w:rsid w:val="000037A8"/>
    <w:rsid w:val="00003B50"/>
    <w:rsid w:val="00003E81"/>
    <w:rsid w:val="00004509"/>
    <w:rsid w:val="00004BBA"/>
    <w:rsid w:val="000063B9"/>
    <w:rsid w:val="0000650E"/>
    <w:rsid w:val="00006B32"/>
    <w:rsid w:val="00007698"/>
    <w:rsid w:val="00007E1C"/>
    <w:rsid w:val="000103E9"/>
    <w:rsid w:val="000114E1"/>
    <w:rsid w:val="000115BC"/>
    <w:rsid w:val="0001163A"/>
    <w:rsid w:val="00011BD3"/>
    <w:rsid w:val="00011C3A"/>
    <w:rsid w:val="000120ED"/>
    <w:rsid w:val="00012231"/>
    <w:rsid w:val="000122C4"/>
    <w:rsid w:val="00012855"/>
    <w:rsid w:val="00012982"/>
    <w:rsid w:val="00012986"/>
    <w:rsid w:val="00012A23"/>
    <w:rsid w:val="000132EF"/>
    <w:rsid w:val="000139D3"/>
    <w:rsid w:val="00014704"/>
    <w:rsid w:val="00014ADA"/>
    <w:rsid w:val="0001507F"/>
    <w:rsid w:val="000151A6"/>
    <w:rsid w:val="000162B4"/>
    <w:rsid w:val="00016B0B"/>
    <w:rsid w:val="00016DB9"/>
    <w:rsid w:val="00016E49"/>
    <w:rsid w:val="00017682"/>
    <w:rsid w:val="00017D14"/>
    <w:rsid w:val="00017F0E"/>
    <w:rsid w:val="00020220"/>
    <w:rsid w:val="00020965"/>
    <w:rsid w:val="00020CD8"/>
    <w:rsid w:val="00020DA9"/>
    <w:rsid w:val="00020FF1"/>
    <w:rsid w:val="00021296"/>
    <w:rsid w:val="00021300"/>
    <w:rsid w:val="00021C7A"/>
    <w:rsid w:val="0002239F"/>
    <w:rsid w:val="000224C5"/>
    <w:rsid w:val="00022789"/>
    <w:rsid w:val="00022858"/>
    <w:rsid w:val="00022C8B"/>
    <w:rsid w:val="00022DBD"/>
    <w:rsid w:val="00022E92"/>
    <w:rsid w:val="00023727"/>
    <w:rsid w:val="00023D05"/>
    <w:rsid w:val="00024B5D"/>
    <w:rsid w:val="00025780"/>
    <w:rsid w:val="00025E8B"/>
    <w:rsid w:val="000260AD"/>
    <w:rsid w:val="00026105"/>
    <w:rsid w:val="00026280"/>
    <w:rsid w:val="0002647C"/>
    <w:rsid w:val="000265C6"/>
    <w:rsid w:val="00026DEF"/>
    <w:rsid w:val="00027322"/>
    <w:rsid w:val="00027CA4"/>
    <w:rsid w:val="00027E36"/>
    <w:rsid w:val="000301AC"/>
    <w:rsid w:val="0003085B"/>
    <w:rsid w:val="000311F3"/>
    <w:rsid w:val="00031ACA"/>
    <w:rsid w:val="00031D52"/>
    <w:rsid w:val="000331A7"/>
    <w:rsid w:val="00033B43"/>
    <w:rsid w:val="00033E05"/>
    <w:rsid w:val="00034A5C"/>
    <w:rsid w:val="00034A5D"/>
    <w:rsid w:val="00034F10"/>
    <w:rsid w:val="000351F1"/>
    <w:rsid w:val="000355C1"/>
    <w:rsid w:val="00035B3D"/>
    <w:rsid w:val="00036A4D"/>
    <w:rsid w:val="00036B06"/>
    <w:rsid w:val="00036F08"/>
    <w:rsid w:val="0003761C"/>
    <w:rsid w:val="000401BE"/>
    <w:rsid w:val="00040211"/>
    <w:rsid w:val="000403CC"/>
    <w:rsid w:val="000405EF"/>
    <w:rsid w:val="00041EA3"/>
    <w:rsid w:val="00043712"/>
    <w:rsid w:val="00044190"/>
    <w:rsid w:val="000441C7"/>
    <w:rsid w:val="000456AA"/>
    <w:rsid w:val="00045AEA"/>
    <w:rsid w:val="00045B05"/>
    <w:rsid w:val="0004667B"/>
    <w:rsid w:val="000477BF"/>
    <w:rsid w:val="00047800"/>
    <w:rsid w:val="00047C36"/>
    <w:rsid w:val="000509D6"/>
    <w:rsid w:val="00050CEE"/>
    <w:rsid w:val="00050DC8"/>
    <w:rsid w:val="00051682"/>
    <w:rsid w:val="0005185C"/>
    <w:rsid w:val="000523EC"/>
    <w:rsid w:val="0005287A"/>
    <w:rsid w:val="00053787"/>
    <w:rsid w:val="0005378E"/>
    <w:rsid w:val="000539E4"/>
    <w:rsid w:val="000542D7"/>
    <w:rsid w:val="00054693"/>
    <w:rsid w:val="000547E1"/>
    <w:rsid w:val="000549FD"/>
    <w:rsid w:val="00054D9F"/>
    <w:rsid w:val="0005502B"/>
    <w:rsid w:val="0005514A"/>
    <w:rsid w:val="0005541F"/>
    <w:rsid w:val="00055683"/>
    <w:rsid w:val="0005611A"/>
    <w:rsid w:val="00056511"/>
    <w:rsid w:val="0005661A"/>
    <w:rsid w:val="00056675"/>
    <w:rsid w:val="000568C5"/>
    <w:rsid w:val="00056A34"/>
    <w:rsid w:val="00056A46"/>
    <w:rsid w:val="00057887"/>
    <w:rsid w:val="00057B59"/>
    <w:rsid w:val="000602C2"/>
    <w:rsid w:val="00060AFC"/>
    <w:rsid w:val="00060F7A"/>
    <w:rsid w:val="00061436"/>
    <w:rsid w:val="00061729"/>
    <w:rsid w:val="0006190C"/>
    <w:rsid w:val="00061921"/>
    <w:rsid w:val="00061A96"/>
    <w:rsid w:val="00061DF9"/>
    <w:rsid w:val="00061EAD"/>
    <w:rsid w:val="0006208B"/>
    <w:rsid w:val="00062307"/>
    <w:rsid w:val="000624A5"/>
    <w:rsid w:val="00062A0A"/>
    <w:rsid w:val="00062F8A"/>
    <w:rsid w:val="00063883"/>
    <w:rsid w:val="000639D5"/>
    <w:rsid w:val="00063F38"/>
    <w:rsid w:val="000644DD"/>
    <w:rsid w:val="00064C16"/>
    <w:rsid w:val="00064FA6"/>
    <w:rsid w:val="0006507E"/>
    <w:rsid w:val="00065A19"/>
    <w:rsid w:val="000662DA"/>
    <w:rsid w:val="000665B5"/>
    <w:rsid w:val="000670CA"/>
    <w:rsid w:val="000671AF"/>
    <w:rsid w:val="0006724D"/>
    <w:rsid w:val="00067691"/>
    <w:rsid w:val="000677B4"/>
    <w:rsid w:val="000703FC"/>
    <w:rsid w:val="000704B0"/>
    <w:rsid w:val="00070820"/>
    <w:rsid w:val="0007152F"/>
    <w:rsid w:val="00071808"/>
    <w:rsid w:val="00071BCB"/>
    <w:rsid w:val="000720F5"/>
    <w:rsid w:val="000723BA"/>
    <w:rsid w:val="00073122"/>
    <w:rsid w:val="0007327F"/>
    <w:rsid w:val="00073554"/>
    <w:rsid w:val="00073827"/>
    <w:rsid w:val="00073AD1"/>
    <w:rsid w:val="000745B5"/>
    <w:rsid w:val="000748CB"/>
    <w:rsid w:val="00074C8B"/>
    <w:rsid w:val="00075729"/>
    <w:rsid w:val="00075758"/>
    <w:rsid w:val="00075B8E"/>
    <w:rsid w:val="00075BE4"/>
    <w:rsid w:val="00075D74"/>
    <w:rsid w:val="00075E8D"/>
    <w:rsid w:val="00076C69"/>
    <w:rsid w:val="00077210"/>
    <w:rsid w:val="000779C7"/>
    <w:rsid w:val="000779D0"/>
    <w:rsid w:val="00080161"/>
    <w:rsid w:val="00080B65"/>
    <w:rsid w:val="00080C27"/>
    <w:rsid w:val="00080D60"/>
    <w:rsid w:val="000816D1"/>
    <w:rsid w:val="00081767"/>
    <w:rsid w:val="000819DB"/>
    <w:rsid w:val="000825A0"/>
    <w:rsid w:val="0008274E"/>
    <w:rsid w:val="00082B47"/>
    <w:rsid w:val="00082D34"/>
    <w:rsid w:val="00082F4B"/>
    <w:rsid w:val="0008411F"/>
    <w:rsid w:val="0008480E"/>
    <w:rsid w:val="00085422"/>
    <w:rsid w:val="00085D78"/>
    <w:rsid w:val="0008647B"/>
    <w:rsid w:val="00086544"/>
    <w:rsid w:val="00086711"/>
    <w:rsid w:val="0008695E"/>
    <w:rsid w:val="00086AC6"/>
    <w:rsid w:val="000876CD"/>
    <w:rsid w:val="000879CE"/>
    <w:rsid w:val="00090C17"/>
    <w:rsid w:val="00091149"/>
    <w:rsid w:val="0009276F"/>
    <w:rsid w:val="00092854"/>
    <w:rsid w:val="000930C5"/>
    <w:rsid w:val="000931A1"/>
    <w:rsid w:val="0009366D"/>
    <w:rsid w:val="00093940"/>
    <w:rsid w:val="00093E89"/>
    <w:rsid w:val="000977EA"/>
    <w:rsid w:val="000A0231"/>
    <w:rsid w:val="000A0C41"/>
    <w:rsid w:val="000A12EA"/>
    <w:rsid w:val="000A1B2F"/>
    <w:rsid w:val="000A1BD8"/>
    <w:rsid w:val="000A2424"/>
    <w:rsid w:val="000A252D"/>
    <w:rsid w:val="000A30C6"/>
    <w:rsid w:val="000A32F3"/>
    <w:rsid w:val="000A3552"/>
    <w:rsid w:val="000A3FB7"/>
    <w:rsid w:val="000A4338"/>
    <w:rsid w:val="000A4D28"/>
    <w:rsid w:val="000A62C0"/>
    <w:rsid w:val="000A6615"/>
    <w:rsid w:val="000A6762"/>
    <w:rsid w:val="000A76B5"/>
    <w:rsid w:val="000B0E98"/>
    <w:rsid w:val="000B0F15"/>
    <w:rsid w:val="000B0F4C"/>
    <w:rsid w:val="000B0FBC"/>
    <w:rsid w:val="000B1313"/>
    <w:rsid w:val="000B1E2B"/>
    <w:rsid w:val="000B211B"/>
    <w:rsid w:val="000B22A4"/>
    <w:rsid w:val="000B2A27"/>
    <w:rsid w:val="000B3918"/>
    <w:rsid w:val="000B419A"/>
    <w:rsid w:val="000B4302"/>
    <w:rsid w:val="000B4798"/>
    <w:rsid w:val="000B4A09"/>
    <w:rsid w:val="000B536E"/>
    <w:rsid w:val="000B55EA"/>
    <w:rsid w:val="000B58C2"/>
    <w:rsid w:val="000B590F"/>
    <w:rsid w:val="000B669A"/>
    <w:rsid w:val="000B699F"/>
    <w:rsid w:val="000B6DBD"/>
    <w:rsid w:val="000B7151"/>
    <w:rsid w:val="000B71D6"/>
    <w:rsid w:val="000B77A4"/>
    <w:rsid w:val="000B7AB3"/>
    <w:rsid w:val="000B7B44"/>
    <w:rsid w:val="000C052F"/>
    <w:rsid w:val="000C19BC"/>
    <w:rsid w:val="000C2285"/>
    <w:rsid w:val="000C26AE"/>
    <w:rsid w:val="000C2BE7"/>
    <w:rsid w:val="000C2F9C"/>
    <w:rsid w:val="000C3365"/>
    <w:rsid w:val="000C3C0C"/>
    <w:rsid w:val="000C474F"/>
    <w:rsid w:val="000C47EE"/>
    <w:rsid w:val="000C4ADB"/>
    <w:rsid w:val="000C4C3A"/>
    <w:rsid w:val="000C53A0"/>
    <w:rsid w:val="000C58FF"/>
    <w:rsid w:val="000C5C6A"/>
    <w:rsid w:val="000C5F71"/>
    <w:rsid w:val="000C64B1"/>
    <w:rsid w:val="000C64D8"/>
    <w:rsid w:val="000C6517"/>
    <w:rsid w:val="000C70E6"/>
    <w:rsid w:val="000C723B"/>
    <w:rsid w:val="000C7326"/>
    <w:rsid w:val="000D0025"/>
    <w:rsid w:val="000D0153"/>
    <w:rsid w:val="000D021A"/>
    <w:rsid w:val="000D053C"/>
    <w:rsid w:val="000D0C77"/>
    <w:rsid w:val="000D0CB2"/>
    <w:rsid w:val="000D1531"/>
    <w:rsid w:val="000D1CF9"/>
    <w:rsid w:val="000D2479"/>
    <w:rsid w:val="000D2F27"/>
    <w:rsid w:val="000D332D"/>
    <w:rsid w:val="000D3A30"/>
    <w:rsid w:val="000D4799"/>
    <w:rsid w:val="000D58A2"/>
    <w:rsid w:val="000D5C9D"/>
    <w:rsid w:val="000D6C1D"/>
    <w:rsid w:val="000D72F7"/>
    <w:rsid w:val="000E0110"/>
    <w:rsid w:val="000E01DF"/>
    <w:rsid w:val="000E0346"/>
    <w:rsid w:val="000E1C54"/>
    <w:rsid w:val="000E220B"/>
    <w:rsid w:val="000E224D"/>
    <w:rsid w:val="000E3184"/>
    <w:rsid w:val="000E3E71"/>
    <w:rsid w:val="000E4675"/>
    <w:rsid w:val="000E4D23"/>
    <w:rsid w:val="000E4F38"/>
    <w:rsid w:val="000E50C2"/>
    <w:rsid w:val="000E5931"/>
    <w:rsid w:val="000E59C2"/>
    <w:rsid w:val="000E5E03"/>
    <w:rsid w:val="000E5E33"/>
    <w:rsid w:val="000E6877"/>
    <w:rsid w:val="000E6921"/>
    <w:rsid w:val="000E749F"/>
    <w:rsid w:val="000E7AE9"/>
    <w:rsid w:val="000E7CE0"/>
    <w:rsid w:val="000E7F00"/>
    <w:rsid w:val="000F059C"/>
    <w:rsid w:val="000F06EF"/>
    <w:rsid w:val="000F0B12"/>
    <w:rsid w:val="000F144D"/>
    <w:rsid w:val="000F163A"/>
    <w:rsid w:val="000F1C89"/>
    <w:rsid w:val="000F2CE9"/>
    <w:rsid w:val="000F3494"/>
    <w:rsid w:val="000F34B5"/>
    <w:rsid w:val="000F433D"/>
    <w:rsid w:val="000F49FB"/>
    <w:rsid w:val="000F53AA"/>
    <w:rsid w:val="000F5A31"/>
    <w:rsid w:val="000F6252"/>
    <w:rsid w:val="000F6439"/>
    <w:rsid w:val="000F7753"/>
    <w:rsid w:val="00100008"/>
    <w:rsid w:val="00100015"/>
    <w:rsid w:val="0010026E"/>
    <w:rsid w:val="00100679"/>
    <w:rsid w:val="00100BD8"/>
    <w:rsid w:val="00100D17"/>
    <w:rsid w:val="001012B5"/>
    <w:rsid w:val="00101731"/>
    <w:rsid w:val="0010181D"/>
    <w:rsid w:val="00101873"/>
    <w:rsid w:val="001024A7"/>
    <w:rsid w:val="00102881"/>
    <w:rsid w:val="00102CC8"/>
    <w:rsid w:val="00102CE3"/>
    <w:rsid w:val="00103224"/>
    <w:rsid w:val="0010329A"/>
    <w:rsid w:val="00103688"/>
    <w:rsid w:val="00103A4D"/>
    <w:rsid w:val="001040EC"/>
    <w:rsid w:val="0010417E"/>
    <w:rsid w:val="0010422B"/>
    <w:rsid w:val="00104499"/>
    <w:rsid w:val="00104BF4"/>
    <w:rsid w:val="00105298"/>
    <w:rsid w:val="00105839"/>
    <w:rsid w:val="00105BAD"/>
    <w:rsid w:val="00105C4C"/>
    <w:rsid w:val="00105DF3"/>
    <w:rsid w:val="00105E87"/>
    <w:rsid w:val="001065F5"/>
    <w:rsid w:val="00106D7A"/>
    <w:rsid w:val="00106EC5"/>
    <w:rsid w:val="00107073"/>
    <w:rsid w:val="001075EF"/>
    <w:rsid w:val="00107CFB"/>
    <w:rsid w:val="0011083E"/>
    <w:rsid w:val="00110CFF"/>
    <w:rsid w:val="00111011"/>
    <w:rsid w:val="001110B4"/>
    <w:rsid w:val="001113B4"/>
    <w:rsid w:val="001113D6"/>
    <w:rsid w:val="00111572"/>
    <w:rsid w:val="0011212D"/>
    <w:rsid w:val="0011283D"/>
    <w:rsid w:val="001137BE"/>
    <w:rsid w:val="00113F1C"/>
    <w:rsid w:val="00114956"/>
    <w:rsid w:val="00114F99"/>
    <w:rsid w:val="00116449"/>
    <w:rsid w:val="0011692F"/>
    <w:rsid w:val="00116D63"/>
    <w:rsid w:val="00117848"/>
    <w:rsid w:val="0011794F"/>
    <w:rsid w:val="0011E11A"/>
    <w:rsid w:val="00120017"/>
    <w:rsid w:val="00120A61"/>
    <w:rsid w:val="00121AFE"/>
    <w:rsid w:val="00122225"/>
    <w:rsid w:val="00122394"/>
    <w:rsid w:val="00122AA6"/>
    <w:rsid w:val="00122BFD"/>
    <w:rsid w:val="00123634"/>
    <w:rsid w:val="001238EF"/>
    <w:rsid w:val="00123B7C"/>
    <w:rsid w:val="00123D7B"/>
    <w:rsid w:val="00123D8E"/>
    <w:rsid w:val="00124886"/>
    <w:rsid w:val="00124ECE"/>
    <w:rsid w:val="00125355"/>
    <w:rsid w:val="00125509"/>
    <w:rsid w:val="00125FDC"/>
    <w:rsid w:val="00126076"/>
    <w:rsid w:val="001261BA"/>
    <w:rsid w:val="0012749D"/>
    <w:rsid w:val="00127741"/>
    <w:rsid w:val="00127E9F"/>
    <w:rsid w:val="00127F75"/>
    <w:rsid w:val="00127FE5"/>
    <w:rsid w:val="00130EE9"/>
    <w:rsid w:val="00130F55"/>
    <w:rsid w:val="00131719"/>
    <w:rsid w:val="00131813"/>
    <w:rsid w:val="00132010"/>
    <w:rsid w:val="00132319"/>
    <w:rsid w:val="0013259B"/>
    <w:rsid w:val="0013272E"/>
    <w:rsid w:val="0013286B"/>
    <w:rsid w:val="00132C59"/>
    <w:rsid w:val="00132E7F"/>
    <w:rsid w:val="001343A9"/>
    <w:rsid w:val="001343CC"/>
    <w:rsid w:val="0013456D"/>
    <w:rsid w:val="0013480E"/>
    <w:rsid w:val="00134B51"/>
    <w:rsid w:val="00136318"/>
    <w:rsid w:val="00136E1B"/>
    <w:rsid w:val="001371E8"/>
    <w:rsid w:val="00137433"/>
    <w:rsid w:val="00137601"/>
    <w:rsid w:val="00137655"/>
    <w:rsid w:val="0013776C"/>
    <w:rsid w:val="001407BE"/>
    <w:rsid w:val="00140A5D"/>
    <w:rsid w:val="001411E3"/>
    <w:rsid w:val="00141373"/>
    <w:rsid w:val="001417CF"/>
    <w:rsid w:val="00141D9A"/>
    <w:rsid w:val="00142F73"/>
    <w:rsid w:val="00142FAA"/>
    <w:rsid w:val="0014363C"/>
    <w:rsid w:val="0014389B"/>
    <w:rsid w:val="00143B0C"/>
    <w:rsid w:val="001456CE"/>
    <w:rsid w:val="0014573C"/>
    <w:rsid w:val="00145E26"/>
    <w:rsid w:val="001463FF"/>
    <w:rsid w:val="00146B49"/>
    <w:rsid w:val="0014761F"/>
    <w:rsid w:val="00147A8E"/>
    <w:rsid w:val="00147B24"/>
    <w:rsid w:val="00147DCC"/>
    <w:rsid w:val="001501D6"/>
    <w:rsid w:val="0015082C"/>
    <w:rsid w:val="00150EE8"/>
    <w:rsid w:val="001520AE"/>
    <w:rsid w:val="00152A7A"/>
    <w:rsid w:val="00153535"/>
    <w:rsid w:val="0015377C"/>
    <w:rsid w:val="00153B1E"/>
    <w:rsid w:val="00153D3F"/>
    <w:rsid w:val="00153FD1"/>
    <w:rsid w:val="00154136"/>
    <w:rsid w:val="00154678"/>
    <w:rsid w:val="00154B69"/>
    <w:rsid w:val="00154C1B"/>
    <w:rsid w:val="00154FE7"/>
    <w:rsid w:val="0015508F"/>
    <w:rsid w:val="0015568F"/>
    <w:rsid w:val="001557AB"/>
    <w:rsid w:val="00155802"/>
    <w:rsid w:val="00155A43"/>
    <w:rsid w:val="00155C66"/>
    <w:rsid w:val="00155CF9"/>
    <w:rsid w:val="00155EFA"/>
    <w:rsid w:val="00156571"/>
    <w:rsid w:val="00157912"/>
    <w:rsid w:val="00157A0A"/>
    <w:rsid w:val="00157C21"/>
    <w:rsid w:val="00157EAB"/>
    <w:rsid w:val="001602D7"/>
    <w:rsid w:val="0016059C"/>
    <w:rsid w:val="00160B85"/>
    <w:rsid w:val="00160FA7"/>
    <w:rsid w:val="00161102"/>
    <w:rsid w:val="0016184E"/>
    <w:rsid w:val="00161B97"/>
    <w:rsid w:val="00161F33"/>
    <w:rsid w:val="00162E2A"/>
    <w:rsid w:val="00164DB5"/>
    <w:rsid w:val="001654C9"/>
    <w:rsid w:val="00165580"/>
    <w:rsid w:val="00165809"/>
    <w:rsid w:val="00165FFA"/>
    <w:rsid w:val="00166518"/>
    <w:rsid w:val="00166E8B"/>
    <w:rsid w:val="00167145"/>
    <w:rsid w:val="001676B4"/>
    <w:rsid w:val="00170843"/>
    <w:rsid w:val="00171958"/>
    <w:rsid w:val="0017236B"/>
    <w:rsid w:val="00173256"/>
    <w:rsid w:val="001743A0"/>
    <w:rsid w:val="00175792"/>
    <w:rsid w:val="001757BA"/>
    <w:rsid w:val="00175ADC"/>
    <w:rsid w:val="00176AD1"/>
    <w:rsid w:val="001771BC"/>
    <w:rsid w:val="001779AB"/>
    <w:rsid w:val="00177C8A"/>
    <w:rsid w:val="0018023C"/>
    <w:rsid w:val="00181255"/>
    <w:rsid w:val="00181654"/>
    <w:rsid w:val="00181ED9"/>
    <w:rsid w:val="00182963"/>
    <w:rsid w:val="00182A76"/>
    <w:rsid w:val="00183274"/>
    <w:rsid w:val="001833FA"/>
    <w:rsid w:val="00183FE5"/>
    <w:rsid w:val="0018426B"/>
    <w:rsid w:val="00184F9B"/>
    <w:rsid w:val="00185348"/>
    <w:rsid w:val="00187710"/>
    <w:rsid w:val="00187DB2"/>
    <w:rsid w:val="001906ED"/>
    <w:rsid w:val="001909F7"/>
    <w:rsid w:val="0019106D"/>
    <w:rsid w:val="001910D4"/>
    <w:rsid w:val="0019197A"/>
    <w:rsid w:val="00191AC4"/>
    <w:rsid w:val="00191AE4"/>
    <w:rsid w:val="0019203C"/>
    <w:rsid w:val="00192DBC"/>
    <w:rsid w:val="0019334F"/>
    <w:rsid w:val="00193362"/>
    <w:rsid w:val="001935DA"/>
    <w:rsid w:val="0019360F"/>
    <w:rsid w:val="0019411C"/>
    <w:rsid w:val="00194232"/>
    <w:rsid w:val="001942AA"/>
    <w:rsid w:val="00194307"/>
    <w:rsid w:val="00194340"/>
    <w:rsid w:val="001954C0"/>
    <w:rsid w:val="00196591"/>
    <w:rsid w:val="001968FD"/>
    <w:rsid w:val="00196A23"/>
    <w:rsid w:val="00196F82"/>
    <w:rsid w:val="00197534"/>
    <w:rsid w:val="00197613"/>
    <w:rsid w:val="00197F96"/>
    <w:rsid w:val="00197FF8"/>
    <w:rsid w:val="001A146C"/>
    <w:rsid w:val="001A14A4"/>
    <w:rsid w:val="001A1B61"/>
    <w:rsid w:val="001A1CA8"/>
    <w:rsid w:val="001A322B"/>
    <w:rsid w:val="001A326C"/>
    <w:rsid w:val="001A3FC9"/>
    <w:rsid w:val="001A47B1"/>
    <w:rsid w:val="001A492F"/>
    <w:rsid w:val="001A4A6A"/>
    <w:rsid w:val="001A514A"/>
    <w:rsid w:val="001A5247"/>
    <w:rsid w:val="001A5EB8"/>
    <w:rsid w:val="001A6174"/>
    <w:rsid w:val="001A61AA"/>
    <w:rsid w:val="001A636B"/>
    <w:rsid w:val="001A73E4"/>
    <w:rsid w:val="001A7CE9"/>
    <w:rsid w:val="001B034A"/>
    <w:rsid w:val="001B0800"/>
    <w:rsid w:val="001B0D1F"/>
    <w:rsid w:val="001B0EC1"/>
    <w:rsid w:val="001B14B1"/>
    <w:rsid w:val="001B1719"/>
    <w:rsid w:val="001B1C28"/>
    <w:rsid w:val="001B1CA1"/>
    <w:rsid w:val="001B20B0"/>
    <w:rsid w:val="001B2387"/>
    <w:rsid w:val="001B2B49"/>
    <w:rsid w:val="001B4775"/>
    <w:rsid w:val="001B4A30"/>
    <w:rsid w:val="001B4A5A"/>
    <w:rsid w:val="001B5B12"/>
    <w:rsid w:val="001B5B7D"/>
    <w:rsid w:val="001B64E2"/>
    <w:rsid w:val="001B6A2D"/>
    <w:rsid w:val="001B6B37"/>
    <w:rsid w:val="001B761F"/>
    <w:rsid w:val="001B7656"/>
    <w:rsid w:val="001B7C13"/>
    <w:rsid w:val="001B7C18"/>
    <w:rsid w:val="001B7E93"/>
    <w:rsid w:val="001C1FF7"/>
    <w:rsid w:val="001C28AD"/>
    <w:rsid w:val="001C28DC"/>
    <w:rsid w:val="001C3060"/>
    <w:rsid w:val="001C3CD2"/>
    <w:rsid w:val="001C4741"/>
    <w:rsid w:val="001C4C79"/>
    <w:rsid w:val="001C6041"/>
    <w:rsid w:val="001C67B9"/>
    <w:rsid w:val="001C68ED"/>
    <w:rsid w:val="001D0368"/>
    <w:rsid w:val="001D0401"/>
    <w:rsid w:val="001D065B"/>
    <w:rsid w:val="001D09E3"/>
    <w:rsid w:val="001D0C11"/>
    <w:rsid w:val="001D0EE8"/>
    <w:rsid w:val="001D0F67"/>
    <w:rsid w:val="001D1555"/>
    <w:rsid w:val="001D4A3B"/>
    <w:rsid w:val="001D5649"/>
    <w:rsid w:val="001D5CCE"/>
    <w:rsid w:val="001D775E"/>
    <w:rsid w:val="001E1110"/>
    <w:rsid w:val="001E1566"/>
    <w:rsid w:val="001E2292"/>
    <w:rsid w:val="001E2507"/>
    <w:rsid w:val="001E2A83"/>
    <w:rsid w:val="001E2A9D"/>
    <w:rsid w:val="001E3849"/>
    <w:rsid w:val="001E467D"/>
    <w:rsid w:val="001E4B6B"/>
    <w:rsid w:val="001E5738"/>
    <w:rsid w:val="001E5E09"/>
    <w:rsid w:val="001E630C"/>
    <w:rsid w:val="001E7BFA"/>
    <w:rsid w:val="001E7BFE"/>
    <w:rsid w:val="001F0139"/>
    <w:rsid w:val="001F06C1"/>
    <w:rsid w:val="001F0BBC"/>
    <w:rsid w:val="001F0F00"/>
    <w:rsid w:val="001F0F66"/>
    <w:rsid w:val="001F2884"/>
    <w:rsid w:val="001F28D7"/>
    <w:rsid w:val="001F2BD8"/>
    <w:rsid w:val="001F387E"/>
    <w:rsid w:val="001F390A"/>
    <w:rsid w:val="001F3977"/>
    <w:rsid w:val="001F4034"/>
    <w:rsid w:val="001F41B2"/>
    <w:rsid w:val="001F4733"/>
    <w:rsid w:val="001F49AE"/>
    <w:rsid w:val="001F4E71"/>
    <w:rsid w:val="001F5013"/>
    <w:rsid w:val="001F52EC"/>
    <w:rsid w:val="001F543E"/>
    <w:rsid w:val="001F6DAF"/>
    <w:rsid w:val="001F7BF4"/>
    <w:rsid w:val="00200516"/>
    <w:rsid w:val="002027C1"/>
    <w:rsid w:val="002027FC"/>
    <w:rsid w:val="00202918"/>
    <w:rsid w:val="00203751"/>
    <w:rsid w:val="00203B4D"/>
    <w:rsid w:val="00203C70"/>
    <w:rsid w:val="00204005"/>
    <w:rsid w:val="002042FA"/>
    <w:rsid w:val="00204B11"/>
    <w:rsid w:val="00204CBD"/>
    <w:rsid w:val="002051C2"/>
    <w:rsid w:val="00206887"/>
    <w:rsid w:val="00207AE0"/>
    <w:rsid w:val="00210339"/>
    <w:rsid w:val="002105BB"/>
    <w:rsid w:val="00210A39"/>
    <w:rsid w:val="0021100E"/>
    <w:rsid w:val="00212253"/>
    <w:rsid w:val="00212318"/>
    <w:rsid w:val="0021286F"/>
    <w:rsid w:val="002128F1"/>
    <w:rsid w:val="00212DA9"/>
    <w:rsid w:val="00212E2F"/>
    <w:rsid w:val="00213534"/>
    <w:rsid w:val="00213849"/>
    <w:rsid w:val="00214646"/>
    <w:rsid w:val="002148D5"/>
    <w:rsid w:val="00214E1C"/>
    <w:rsid w:val="0021513B"/>
    <w:rsid w:val="00215250"/>
    <w:rsid w:val="00215578"/>
    <w:rsid w:val="00215D3D"/>
    <w:rsid w:val="002160C7"/>
    <w:rsid w:val="002161BA"/>
    <w:rsid w:val="002166FB"/>
    <w:rsid w:val="00216C92"/>
    <w:rsid w:val="0021711B"/>
    <w:rsid w:val="00217E4C"/>
    <w:rsid w:val="002200CF"/>
    <w:rsid w:val="00220457"/>
    <w:rsid w:val="00221D69"/>
    <w:rsid w:val="00222950"/>
    <w:rsid w:val="00223752"/>
    <w:rsid w:val="002248A6"/>
    <w:rsid w:val="00224ADD"/>
    <w:rsid w:val="00224D84"/>
    <w:rsid w:val="002258A0"/>
    <w:rsid w:val="002259C3"/>
    <w:rsid w:val="00226C08"/>
    <w:rsid w:val="00226D5D"/>
    <w:rsid w:val="002277C3"/>
    <w:rsid w:val="002277C5"/>
    <w:rsid w:val="00230DD7"/>
    <w:rsid w:val="00230E85"/>
    <w:rsid w:val="002313EE"/>
    <w:rsid w:val="002314E7"/>
    <w:rsid w:val="00231AAD"/>
    <w:rsid w:val="00231AB7"/>
    <w:rsid w:val="00231D42"/>
    <w:rsid w:val="0023208D"/>
    <w:rsid w:val="00233469"/>
    <w:rsid w:val="00233710"/>
    <w:rsid w:val="00233DC7"/>
    <w:rsid w:val="0023426E"/>
    <w:rsid w:val="00234299"/>
    <w:rsid w:val="0023469C"/>
    <w:rsid w:val="00234768"/>
    <w:rsid w:val="00234A0A"/>
    <w:rsid w:val="00234B74"/>
    <w:rsid w:val="00234BF7"/>
    <w:rsid w:val="00234C24"/>
    <w:rsid w:val="0023653A"/>
    <w:rsid w:val="00236CF7"/>
    <w:rsid w:val="00237215"/>
    <w:rsid w:val="002373CF"/>
    <w:rsid w:val="00237B43"/>
    <w:rsid w:val="002404D6"/>
    <w:rsid w:val="00240D5E"/>
    <w:rsid w:val="00240F46"/>
    <w:rsid w:val="0024182A"/>
    <w:rsid w:val="0024187D"/>
    <w:rsid w:val="00241DC4"/>
    <w:rsid w:val="002420FF"/>
    <w:rsid w:val="0024219B"/>
    <w:rsid w:val="00242559"/>
    <w:rsid w:val="00242B3D"/>
    <w:rsid w:val="0024347D"/>
    <w:rsid w:val="00243A0C"/>
    <w:rsid w:val="00243D3B"/>
    <w:rsid w:val="00244288"/>
    <w:rsid w:val="002449FC"/>
    <w:rsid w:val="00244D84"/>
    <w:rsid w:val="00244E99"/>
    <w:rsid w:val="0024504B"/>
    <w:rsid w:val="002459E9"/>
    <w:rsid w:val="0024629B"/>
    <w:rsid w:val="0024659E"/>
    <w:rsid w:val="002467FA"/>
    <w:rsid w:val="00246813"/>
    <w:rsid w:val="002473B3"/>
    <w:rsid w:val="00247515"/>
    <w:rsid w:val="00247779"/>
    <w:rsid w:val="00247B93"/>
    <w:rsid w:val="00250164"/>
    <w:rsid w:val="0025070E"/>
    <w:rsid w:val="00250935"/>
    <w:rsid w:val="00250FEE"/>
    <w:rsid w:val="00251AAF"/>
    <w:rsid w:val="00251C5A"/>
    <w:rsid w:val="0025333B"/>
    <w:rsid w:val="002536FE"/>
    <w:rsid w:val="00253EF4"/>
    <w:rsid w:val="00254431"/>
    <w:rsid w:val="002545B2"/>
    <w:rsid w:val="00254ACB"/>
    <w:rsid w:val="002553E8"/>
    <w:rsid w:val="00255CDD"/>
    <w:rsid w:val="00256559"/>
    <w:rsid w:val="00257228"/>
    <w:rsid w:val="00257285"/>
    <w:rsid w:val="00260084"/>
    <w:rsid w:val="00260425"/>
    <w:rsid w:val="002608C5"/>
    <w:rsid w:val="00260CBA"/>
    <w:rsid w:val="0026127E"/>
    <w:rsid w:val="002614C0"/>
    <w:rsid w:val="002615F8"/>
    <w:rsid w:val="002622C8"/>
    <w:rsid w:val="0026324A"/>
    <w:rsid w:val="002632DB"/>
    <w:rsid w:val="00263695"/>
    <w:rsid w:val="0026443F"/>
    <w:rsid w:val="00264800"/>
    <w:rsid w:val="0026481E"/>
    <w:rsid w:val="00264ABA"/>
    <w:rsid w:val="00264B66"/>
    <w:rsid w:val="00265BD2"/>
    <w:rsid w:val="00266559"/>
    <w:rsid w:val="00267000"/>
    <w:rsid w:val="00267ACB"/>
    <w:rsid w:val="00267FF5"/>
    <w:rsid w:val="002702F3"/>
    <w:rsid w:val="0027052A"/>
    <w:rsid w:val="002708E1"/>
    <w:rsid w:val="00271ABD"/>
    <w:rsid w:val="00271B63"/>
    <w:rsid w:val="00271E6D"/>
    <w:rsid w:val="00272213"/>
    <w:rsid w:val="0027251D"/>
    <w:rsid w:val="00272D8D"/>
    <w:rsid w:val="0027316F"/>
    <w:rsid w:val="00273339"/>
    <w:rsid w:val="00273D19"/>
    <w:rsid w:val="002742A6"/>
    <w:rsid w:val="0027481F"/>
    <w:rsid w:val="002749E6"/>
    <w:rsid w:val="00274A07"/>
    <w:rsid w:val="00274EC7"/>
    <w:rsid w:val="00274EF7"/>
    <w:rsid w:val="0027531E"/>
    <w:rsid w:val="00275530"/>
    <w:rsid w:val="002755E8"/>
    <w:rsid w:val="00276689"/>
    <w:rsid w:val="00276A17"/>
    <w:rsid w:val="00277FC7"/>
    <w:rsid w:val="00280991"/>
    <w:rsid w:val="00280A68"/>
    <w:rsid w:val="0028113F"/>
    <w:rsid w:val="002815F3"/>
    <w:rsid w:val="002817D6"/>
    <w:rsid w:val="00281ACA"/>
    <w:rsid w:val="00281EB5"/>
    <w:rsid w:val="00282512"/>
    <w:rsid w:val="00282E8E"/>
    <w:rsid w:val="002834F9"/>
    <w:rsid w:val="00283B39"/>
    <w:rsid w:val="00283B44"/>
    <w:rsid w:val="00283D20"/>
    <w:rsid w:val="00283F43"/>
    <w:rsid w:val="00284D4A"/>
    <w:rsid w:val="00284DA1"/>
    <w:rsid w:val="00284E5A"/>
    <w:rsid w:val="00284E88"/>
    <w:rsid w:val="00284F3A"/>
    <w:rsid w:val="002859BA"/>
    <w:rsid w:val="00285BEE"/>
    <w:rsid w:val="00286557"/>
    <w:rsid w:val="00286B7B"/>
    <w:rsid w:val="00287416"/>
    <w:rsid w:val="0028775B"/>
    <w:rsid w:val="00290630"/>
    <w:rsid w:val="0029069D"/>
    <w:rsid w:val="00290969"/>
    <w:rsid w:val="00291757"/>
    <w:rsid w:val="00291B92"/>
    <w:rsid w:val="00291D4F"/>
    <w:rsid w:val="0029249E"/>
    <w:rsid w:val="00292A5B"/>
    <w:rsid w:val="00292DAA"/>
    <w:rsid w:val="002930F5"/>
    <w:rsid w:val="00293F0E"/>
    <w:rsid w:val="00294001"/>
    <w:rsid w:val="0029533F"/>
    <w:rsid w:val="00295343"/>
    <w:rsid w:val="002955BB"/>
    <w:rsid w:val="00295E13"/>
    <w:rsid w:val="00297C38"/>
    <w:rsid w:val="00297F5B"/>
    <w:rsid w:val="002A13B3"/>
    <w:rsid w:val="002A1E45"/>
    <w:rsid w:val="002A24E6"/>
    <w:rsid w:val="002A2A24"/>
    <w:rsid w:val="002A30A7"/>
    <w:rsid w:val="002A35A4"/>
    <w:rsid w:val="002A37E6"/>
    <w:rsid w:val="002A52E9"/>
    <w:rsid w:val="002A5BD3"/>
    <w:rsid w:val="002A5E8A"/>
    <w:rsid w:val="002A6246"/>
    <w:rsid w:val="002A6343"/>
    <w:rsid w:val="002A67A4"/>
    <w:rsid w:val="002A6BF5"/>
    <w:rsid w:val="002A797C"/>
    <w:rsid w:val="002A7993"/>
    <w:rsid w:val="002B013E"/>
    <w:rsid w:val="002B1CFE"/>
    <w:rsid w:val="002B2756"/>
    <w:rsid w:val="002B30AF"/>
    <w:rsid w:val="002B34FA"/>
    <w:rsid w:val="002B3F98"/>
    <w:rsid w:val="002B4A67"/>
    <w:rsid w:val="002B4B09"/>
    <w:rsid w:val="002B4BFB"/>
    <w:rsid w:val="002B4E19"/>
    <w:rsid w:val="002B4F8A"/>
    <w:rsid w:val="002B5EA9"/>
    <w:rsid w:val="002B6131"/>
    <w:rsid w:val="002B6236"/>
    <w:rsid w:val="002B6451"/>
    <w:rsid w:val="002B680A"/>
    <w:rsid w:val="002B6A92"/>
    <w:rsid w:val="002B700E"/>
    <w:rsid w:val="002B71BA"/>
    <w:rsid w:val="002B7F8F"/>
    <w:rsid w:val="002C012D"/>
    <w:rsid w:val="002C11A2"/>
    <w:rsid w:val="002C160B"/>
    <w:rsid w:val="002C1F0A"/>
    <w:rsid w:val="002C222A"/>
    <w:rsid w:val="002C2575"/>
    <w:rsid w:val="002C2849"/>
    <w:rsid w:val="002C308F"/>
    <w:rsid w:val="002C3131"/>
    <w:rsid w:val="002C34B6"/>
    <w:rsid w:val="002C3878"/>
    <w:rsid w:val="002C4067"/>
    <w:rsid w:val="002C4447"/>
    <w:rsid w:val="002C512D"/>
    <w:rsid w:val="002C6CAB"/>
    <w:rsid w:val="002C74ED"/>
    <w:rsid w:val="002C75B6"/>
    <w:rsid w:val="002C7FEA"/>
    <w:rsid w:val="002C9437"/>
    <w:rsid w:val="002D00E1"/>
    <w:rsid w:val="002D04FC"/>
    <w:rsid w:val="002D1CED"/>
    <w:rsid w:val="002D236F"/>
    <w:rsid w:val="002D2787"/>
    <w:rsid w:val="002D2B93"/>
    <w:rsid w:val="002D2ECA"/>
    <w:rsid w:val="002D3C9E"/>
    <w:rsid w:val="002D4F30"/>
    <w:rsid w:val="002D4FCD"/>
    <w:rsid w:val="002D5DE2"/>
    <w:rsid w:val="002D6513"/>
    <w:rsid w:val="002D6AD6"/>
    <w:rsid w:val="002D71E5"/>
    <w:rsid w:val="002D7504"/>
    <w:rsid w:val="002D7D63"/>
    <w:rsid w:val="002E03C9"/>
    <w:rsid w:val="002E03FC"/>
    <w:rsid w:val="002E0522"/>
    <w:rsid w:val="002E0880"/>
    <w:rsid w:val="002E1748"/>
    <w:rsid w:val="002E254F"/>
    <w:rsid w:val="002E2671"/>
    <w:rsid w:val="002E2CB5"/>
    <w:rsid w:val="002E309F"/>
    <w:rsid w:val="002E31D8"/>
    <w:rsid w:val="002E3F69"/>
    <w:rsid w:val="002E4262"/>
    <w:rsid w:val="002E4F92"/>
    <w:rsid w:val="002E5236"/>
    <w:rsid w:val="002E5587"/>
    <w:rsid w:val="002E58BE"/>
    <w:rsid w:val="002E7359"/>
    <w:rsid w:val="002E77A2"/>
    <w:rsid w:val="002F0302"/>
    <w:rsid w:val="002F0CF5"/>
    <w:rsid w:val="002F0EF4"/>
    <w:rsid w:val="002F1CBD"/>
    <w:rsid w:val="002F1EF9"/>
    <w:rsid w:val="002F3986"/>
    <w:rsid w:val="002F398A"/>
    <w:rsid w:val="002F4C1D"/>
    <w:rsid w:val="002F4DC6"/>
    <w:rsid w:val="002F4FA1"/>
    <w:rsid w:val="002F57C0"/>
    <w:rsid w:val="002F590D"/>
    <w:rsid w:val="002F5E66"/>
    <w:rsid w:val="002F5FF9"/>
    <w:rsid w:val="002F6192"/>
    <w:rsid w:val="002F6718"/>
    <w:rsid w:val="002F6876"/>
    <w:rsid w:val="002F69D4"/>
    <w:rsid w:val="002F6DDD"/>
    <w:rsid w:val="002F7073"/>
    <w:rsid w:val="002F7AF9"/>
    <w:rsid w:val="002F7CBF"/>
    <w:rsid w:val="00300907"/>
    <w:rsid w:val="00301289"/>
    <w:rsid w:val="00301FAF"/>
    <w:rsid w:val="00302047"/>
    <w:rsid w:val="003023B8"/>
    <w:rsid w:val="00302AA6"/>
    <w:rsid w:val="00302BB2"/>
    <w:rsid w:val="00302CC2"/>
    <w:rsid w:val="00303324"/>
    <w:rsid w:val="00303401"/>
    <w:rsid w:val="003035C8"/>
    <w:rsid w:val="003039F9"/>
    <w:rsid w:val="00303CD4"/>
    <w:rsid w:val="00303F02"/>
    <w:rsid w:val="00303F0B"/>
    <w:rsid w:val="00304939"/>
    <w:rsid w:val="00304D6F"/>
    <w:rsid w:val="0030543C"/>
    <w:rsid w:val="0030546B"/>
    <w:rsid w:val="00305839"/>
    <w:rsid w:val="00305AB2"/>
    <w:rsid w:val="00305F14"/>
    <w:rsid w:val="003065BE"/>
    <w:rsid w:val="003066F6"/>
    <w:rsid w:val="003067CF"/>
    <w:rsid w:val="00306A3F"/>
    <w:rsid w:val="00306DD0"/>
    <w:rsid w:val="00306F24"/>
    <w:rsid w:val="0030749A"/>
    <w:rsid w:val="00307716"/>
    <w:rsid w:val="00307D2D"/>
    <w:rsid w:val="00310229"/>
    <w:rsid w:val="003102C9"/>
    <w:rsid w:val="003103E5"/>
    <w:rsid w:val="00310B20"/>
    <w:rsid w:val="003115FD"/>
    <w:rsid w:val="0031165A"/>
    <w:rsid w:val="00311990"/>
    <w:rsid w:val="00313003"/>
    <w:rsid w:val="00313B79"/>
    <w:rsid w:val="00313E50"/>
    <w:rsid w:val="00314215"/>
    <w:rsid w:val="0031446A"/>
    <w:rsid w:val="00315A59"/>
    <w:rsid w:val="00315E64"/>
    <w:rsid w:val="003162F3"/>
    <w:rsid w:val="00316578"/>
    <w:rsid w:val="00316588"/>
    <w:rsid w:val="003166D6"/>
    <w:rsid w:val="00317059"/>
    <w:rsid w:val="003175E1"/>
    <w:rsid w:val="00317C41"/>
    <w:rsid w:val="003200B6"/>
    <w:rsid w:val="00320A5A"/>
    <w:rsid w:val="00320FC2"/>
    <w:rsid w:val="00321942"/>
    <w:rsid w:val="0032262C"/>
    <w:rsid w:val="00322DB2"/>
    <w:rsid w:val="0032348E"/>
    <w:rsid w:val="00323D55"/>
    <w:rsid w:val="00323EB6"/>
    <w:rsid w:val="00324A2D"/>
    <w:rsid w:val="00324A3E"/>
    <w:rsid w:val="00324C4E"/>
    <w:rsid w:val="00324E4F"/>
    <w:rsid w:val="00324FBF"/>
    <w:rsid w:val="0032524B"/>
    <w:rsid w:val="00325F1D"/>
    <w:rsid w:val="00325FA0"/>
    <w:rsid w:val="00326351"/>
    <w:rsid w:val="00326D4A"/>
    <w:rsid w:val="00326ECA"/>
    <w:rsid w:val="00326F3C"/>
    <w:rsid w:val="00327340"/>
    <w:rsid w:val="00327573"/>
    <w:rsid w:val="00327E55"/>
    <w:rsid w:val="003303DC"/>
    <w:rsid w:val="00330B2D"/>
    <w:rsid w:val="00330BE0"/>
    <w:rsid w:val="00330BE8"/>
    <w:rsid w:val="00330F20"/>
    <w:rsid w:val="00331381"/>
    <w:rsid w:val="003317C7"/>
    <w:rsid w:val="00331815"/>
    <w:rsid w:val="00331A56"/>
    <w:rsid w:val="00331EBC"/>
    <w:rsid w:val="003320C6"/>
    <w:rsid w:val="0033219B"/>
    <w:rsid w:val="00333396"/>
    <w:rsid w:val="0033344A"/>
    <w:rsid w:val="0033479E"/>
    <w:rsid w:val="00334813"/>
    <w:rsid w:val="00334C9D"/>
    <w:rsid w:val="00335186"/>
    <w:rsid w:val="00335347"/>
    <w:rsid w:val="0033545C"/>
    <w:rsid w:val="0033577A"/>
    <w:rsid w:val="003358E2"/>
    <w:rsid w:val="00335915"/>
    <w:rsid w:val="00335CC4"/>
    <w:rsid w:val="003362AD"/>
    <w:rsid w:val="003365AC"/>
    <w:rsid w:val="00336674"/>
    <w:rsid w:val="00336B27"/>
    <w:rsid w:val="00337A54"/>
    <w:rsid w:val="00337B13"/>
    <w:rsid w:val="00337CA7"/>
    <w:rsid w:val="00340FFD"/>
    <w:rsid w:val="003413DF"/>
    <w:rsid w:val="00341502"/>
    <w:rsid w:val="00341D63"/>
    <w:rsid w:val="00342B9F"/>
    <w:rsid w:val="00342E59"/>
    <w:rsid w:val="00342E78"/>
    <w:rsid w:val="00343440"/>
    <w:rsid w:val="003440BB"/>
    <w:rsid w:val="003442BD"/>
    <w:rsid w:val="00344CC4"/>
    <w:rsid w:val="003458A0"/>
    <w:rsid w:val="0034604C"/>
    <w:rsid w:val="00346665"/>
    <w:rsid w:val="003468A6"/>
    <w:rsid w:val="00346B15"/>
    <w:rsid w:val="00346C7C"/>
    <w:rsid w:val="00346FE4"/>
    <w:rsid w:val="003471AD"/>
    <w:rsid w:val="003472B3"/>
    <w:rsid w:val="003472D0"/>
    <w:rsid w:val="003477D3"/>
    <w:rsid w:val="0034786E"/>
    <w:rsid w:val="00347AAA"/>
    <w:rsid w:val="00347BB7"/>
    <w:rsid w:val="003505E0"/>
    <w:rsid w:val="003509C4"/>
    <w:rsid w:val="00350C18"/>
    <w:rsid w:val="00350DBA"/>
    <w:rsid w:val="00351D90"/>
    <w:rsid w:val="0035212C"/>
    <w:rsid w:val="003523AD"/>
    <w:rsid w:val="00352628"/>
    <w:rsid w:val="00352697"/>
    <w:rsid w:val="0035270B"/>
    <w:rsid w:val="0035336B"/>
    <w:rsid w:val="0035342C"/>
    <w:rsid w:val="003540A6"/>
    <w:rsid w:val="003540EF"/>
    <w:rsid w:val="003555F2"/>
    <w:rsid w:val="00355EEF"/>
    <w:rsid w:val="00356186"/>
    <w:rsid w:val="00356819"/>
    <w:rsid w:val="00356E19"/>
    <w:rsid w:val="00356E3F"/>
    <w:rsid w:val="003571AA"/>
    <w:rsid w:val="003571CA"/>
    <w:rsid w:val="003574CB"/>
    <w:rsid w:val="003576C7"/>
    <w:rsid w:val="00361086"/>
    <w:rsid w:val="00361115"/>
    <w:rsid w:val="00361811"/>
    <w:rsid w:val="00361AF9"/>
    <w:rsid w:val="003621D8"/>
    <w:rsid w:val="003628E6"/>
    <w:rsid w:val="00363292"/>
    <w:rsid w:val="0036430F"/>
    <w:rsid w:val="0036489D"/>
    <w:rsid w:val="00365103"/>
    <w:rsid w:val="003652A2"/>
    <w:rsid w:val="00365380"/>
    <w:rsid w:val="003654F6"/>
    <w:rsid w:val="003657A8"/>
    <w:rsid w:val="00365843"/>
    <w:rsid w:val="00365A1B"/>
    <w:rsid w:val="0036698B"/>
    <w:rsid w:val="00366A4D"/>
    <w:rsid w:val="00366F25"/>
    <w:rsid w:val="00367C2D"/>
    <w:rsid w:val="00370AF9"/>
    <w:rsid w:val="00370C0F"/>
    <w:rsid w:val="00370C9C"/>
    <w:rsid w:val="003712C6"/>
    <w:rsid w:val="00372680"/>
    <w:rsid w:val="0037281E"/>
    <w:rsid w:val="003728FF"/>
    <w:rsid w:val="00372AA9"/>
    <w:rsid w:val="00372F0D"/>
    <w:rsid w:val="003732C5"/>
    <w:rsid w:val="0037394E"/>
    <w:rsid w:val="0037395B"/>
    <w:rsid w:val="00373C29"/>
    <w:rsid w:val="00373D8E"/>
    <w:rsid w:val="00375559"/>
    <w:rsid w:val="00375896"/>
    <w:rsid w:val="00376074"/>
    <w:rsid w:val="003760BE"/>
    <w:rsid w:val="00376567"/>
    <w:rsid w:val="00376BB4"/>
    <w:rsid w:val="003775D0"/>
    <w:rsid w:val="00380C28"/>
    <w:rsid w:val="00380D3E"/>
    <w:rsid w:val="00380F77"/>
    <w:rsid w:val="0038112F"/>
    <w:rsid w:val="00381BA6"/>
    <w:rsid w:val="00385626"/>
    <w:rsid w:val="003868B6"/>
    <w:rsid w:val="00386B57"/>
    <w:rsid w:val="00386CD4"/>
    <w:rsid w:val="003870FE"/>
    <w:rsid w:val="003874E2"/>
    <w:rsid w:val="00387CB9"/>
    <w:rsid w:val="003902A0"/>
    <w:rsid w:val="00390626"/>
    <w:rsid w:val="0039105E"/>
    <w:rsid w:val="00391618"/>
    <w:rsid w:val="00391D0E"/>
    <w:rsid w:val="00392A22"/>
    <w:rsid w:val="00393435"/>
    <w:rsid w:val="00393D3C"/>
    <w:rsid w:val="00393E7D"/>
    <w:rsid w:val="003940DC"/>
    <w:rsid w:val="0039438F"/>
    <w:rsid w:val="003958ED"/>
    <w:rsid w:val="00395E59"/>
    <w:rsid w:val="003963F2"/>
    <w:rsid w:val="003965BA"/>
    <w:rsid w:val="00396F5F"/>
    <w:rsid w:val="00396FDB"/>
    <w:rsid w:val="0039723C"/>
    <w:rsid w:val="003973CB"/>
    <w:rsid w:val="003A0014"/>
    <w:rsid w:val="003A061A"/>
    <w:rsid w:val="003A09D7"/>
    <w:rsid w:val="003A1D65"/>
    <w:rsid w:val="003A1E4A"/>
    <w:rsid w:val="003A2393"/>
    <w:rsid w:val="003A28C3"/>
    <w:rsid w:val="003A2958"/>
    <w:rsid w:val="003A2F93"/>
    <w:rsid w:val="003A2FA8"/>
    <w:rsid w:val="003A31AB"/>
    <w:rsid w:val="003A3746"/>
    <w:rsid w:val="003A376E"/>
    <w:rsid w:val="003A38D4"/>
    <w:rsid w:val="003A402E"/>
    <w:rsid w:val="003A476F"/>
    <w:rsid w:val="003A4C43"/>
    <w:rsid w:val="003A503A"/>
    <w:rsid w:val="003A5901"/>
    <w:rsid w:val="003A61EA"/>
    <w:rsid w:val="003A6A22"/>
    <w:rsid w:val="003A6B1E"/>
    <w:rsid w:val="003A731C"/>
    <w:rsid w:val="003A755D"/>
    <w:rsid w:val="003A757A"/>
    <w:rsid w:val="003A7BB8"/>
    <w:rsid w:val="003B1CF9"/>
    <w:rsid w:val="003B1E03"/>
    <w:rsid w:val="003B23EB"/>
    <w:rsid w:val="003B374A"/>
    <w:rsid w:val="003B38D0"/>
    <w:rsid w:val="003B3FF8"/>
    <w:rsid w:val="003B4542"/>
    <w:rsid w:val="003B4F5D"/>
    <w:rsid w:val="003B51CC"/>
    <w:rsid w:val="003B5FBF"/>
    <w:rsid w:val="003B688B"/>
    <w:rsid w:val="003B6BEE"/>
    <w:rsid w:val="003B6F80"/>
    <w:rsid w:val="003B703A"/>
    <w:rsid w:val="003B7A3B"/>
    <w:rsid w:val="003B7E04"/>
    <w:rsid w:val="003C007A"/>
    <w:rsid w:val="003C0A52"/>
    <w:rsid w:val="003C0E19"/>
    <w:rsid w:val="003C18A4"/>
    <w:rsid w:val="003C1B70"/>
    <w:rsid w:val="003C24F5"/>
    <w:rsid w:val="003C286B"/>
    <w:rsid w:val="003C2A26"/>
    <w:rsid w:val="003C2D0A"/>
    <w:rsid w:val="003C343F"/>
    <w:rsid w:val="003C35BB"/>
    <w:rsid w:val="003C36B5"/>
    <w:rsid w:val="003C458B"/>
    <w:rsid w:val="003C46DD"/>
    <w:rsid w:val="003C5A6E"/>
    <w:rsid w:val="003C5CBA"/>
    <w:rsid w:val="003C5EB3"/>
    <w:rsid w:val="003C6664"/>
    <w:rsid w:val="003C6866"/>
    <w:rsid w:val="003C6896"/>
    <w:rsid w:val="003C7BE6"/>
    <w:rsid w:val="003C7E82"/>
    <w:rsid w:val="003D081F"/>
    <w:rsid w:val="003D0DAB"/>
    <w:rsid w:val="003D18B4"/>
    <w:rsid w:val="003D1B0A"/>
    <w:rsid w:val="003D1B85"/>
    <w:rsid w:val="003D1E65"/>
    <w:rsid w:val="003D1F19"/>
    <w:rsid w:val="003D1FB5"/>
    <w:rsid w:val="003D21FD"/>
    <w:rsid w:val="003D2DBF"/>
    <w:rsid w:val="003D3223"/>
    <w:rsid w:val="003D3646"/>
    <w:rsid w:val="003D37F1"/>
    <w:rsid w:val="003D3AE3"/>
    <w:rsid w:val="003D49CA"/>
    <w:rsid w:val="003D4E57"/>
    <w:rsid w:val="003D5458"/>
    <w:rsid w:val="003D65F8"/>
    <w:rsid w:val="003E08C7"/>
    <w:rsid w:val="003E0C88"/>
    <w:rsid w:val="003E18A4"/>
    <w:rsid w:val="003E1B29"/>
    <w:rsid w:val="003E1F30"/>
    <w:rsid w:val="003E1F93"/>
    <w:rsid w:val="003E2774"/>
    <w:rsid w:val="003E2C7D"/>
    <w:rsid w:val="003E3020"/>
    <w:rsid w:val="003E31AD"/>
    <w:rsid w:val="003E3264"/>
    <w:rsid w:val="003E374F"/>
    <w:rsid w:val="003E48A6"/>
    <w:rsid w:val="003E4EAA"/>
    <w:rsid w:val="003E6370"/>
    <w:rsid w:val="003E6529"/>
    <w:rsid w:val="003E66AC"/>
    <w:rsid w:val="003E6811"/>
    <w:rsid w:val="003E6D46"/>
    <w:rsid w:val="003E70AB"/>
    <w:rsid w:val="003F0038"/>
    <w:rsid w:val="003F029F"/>
    <w:rsid w:val="003F0322"/>
    <w:rsid w:val="003F0770"/>
    <w:rsid w:val="003F10B4"/>
    <w:rsid w:val="003F137D"/>
    <w:rsid w:val="003F1A68"/>
    <w:rsid w:val="003F2225"/>
    <w:rsid w:val="003F2C86"/>
    <w:rsid w:val="003F3202"/>
    <w:rsid w:val="003F4B49"/>
    <w:rsid w:val="003F59A7"/>
    <w:rsid w:val="003F5B11"/>
    <w:rsid w:val="003F5C3D"/>
    <w:rsid w:val="003F5D3E"/>
    <w:rsid w:val="003F5DFF"/>
    <w:rsid w:val="003F6766"/>
    <w:rsid w:val="003F698D"/>
    <w:rsid w:val="003F6A51"/>
    <w:rsid w:val="003F722D"/>
    <w:rsid w:val="003F72D3"/>
    <w:rsid w:val="003F751F"/>
    <w:rsid w:val="004000B0"/>
    <w:rsid w:val="00400AED"/>
    <w:rsid w:val="0040129F"/>
    <w:rsid w:val="0040137C"/>
    <w:rsid w:val="0040187B"/>
    <w:rsid w:val="004018CB"/>
    <w:rsid w:val="004018E0"/>
    <w:rsid w:val="00401B38"/>
    <w:rsid w:val="0040212D"/>
    <w:rsid w:val="004021BC"/>
    <w:rsid w:val="00402896"/>
    <w:rsid w:val="0040345B"/>
    <w:rsid w:val="004039CF"/>
    <w:rsid w:val="00403AE2"/>
    <w:rsid w:val="00403D6E"/>
    <w:rsid w:val="004047CA"/>
    <w:rsid w:val="00404CEC"/>
    <w:rsid w:val="00404FD5"/>
    <w:rsid w:val="00405BA2"/>
    <w:rsid w:val="00406F3C"/>
    <w:rsid w:val="00407D60"/>
    <w:rsid w:val="00410478"/>
    <w:rsid w:val="004107D7"/>
    <w:rsid w:val="00411112"/>
    <w:rsid w:val="00411342"/>
    <w:rsid w:val="00411584"/>
    <w:rsid w:val="004122C3"/>
    <w:rsid w:val="00412485"/>
    <w:rsid w:val="00412E67"/>
    <w:rsid w:val="00412F3F"/>
    <w:rsid w:val="0041300B"/>
    <w:rsid w:val="00413996"/>
    <w:rsid w:val="00413E47"/>
    <w:rsid w:val="00414185"/>
    <w:rsid w:val="004142F5"/>
    <w:rsid w:val="00414316"/>
    <w:rsid w:val="00414862"/>
    <w:rsid w:val="00414CCF"/>
    <w:rsid w:val="00415726"/>
    <w:rsid w:val="0041575D"/>
    <w:rsid w:val="004158B1"/>
    <w:rsid w:val="0041600A"/>
    <w:rsid w:val="004160E4"/>
    <w:rsid w:val="00416164"/>
    <w:rsid w:val="004163EA"/>
    <w:rsid w:val="00416B6F"/>
    <w:rsid w:val="00416DC5"/>
    <w:rsid w:val="00416F4C"/>
    <w:rsid w:val="0041707E"/>
    <w:rsid w:val="004170EE"/>
    <w:rsid w:val="004172E4"/>
    <w:rsid w:val="00417B53"/>
    <w:rsid w:val="00420708"/>
    <w:rsid w:val="0042104A"/>
    <w:rsid w:val="004211F3"/>
    <w:rsid w:val="0042148B"/>
    <w:rsid w:val="00421723"/>
    <w:rsid w:val="00421F61"/>
    <w:rsid w:val="004220CF"/>
    <w:rsid w:val="00422121"/>
    <w:rsid w:val="00422189"/>
    <w:rsid w:val="00422203"/>
    <w:rsid w:val="00422893"/>
    <w:rsid w:val="0042391D"/>
    <w:rsid w:val="00423E15"/>
    <w:rsid w:val="00423FE5"/>
    <w:rsid w:val="00425311"/>
    <w:rsid w:val="004256C1"/>
    <w:rsid w:val="004258DD"/>
    <w:rsid w:val="00425E96"/>
    <w:rsid w:val="004262A0"/>
    <w:rsid w:val="0042648E"/>
    <w:rsid w:val="0042651E"/>
    <w:rsid w:val="004269C0"/>
    <w:rsid w:val="00426F84"/>
    <w:rsid w:val="0042718C"/>
    <w:rsid w:val="00427644"/>
    <w:rsid w:val="00427B83"/>
    <w:rsid w:val="00427CDF"/>
    <w:rsid w:val="00430578"/>
    <w:rsid w:val="00430908"/>
    <w:rsid w:val="00430BDC"/>
    <w:rsid w:val="00431B97"/>
    <w:rsid w:val="00431D01"/>
    <w:rsid w:val="00431E1F"/>
    <w:rsid w:val="00432119"/>
    <w:rsid w:val="004326D6"/>
    <w:rsid w:val="00432868"/>
    <w:rsid w:val="00432B94"/>
    <w:rsid w:val="00433A93"/>
    <w:rsid w:val="00433BA1"/>
    <w:rsid w:val="00434611"/>
    <w:rsid w:val="004347E4"/>
    <w:rsid w:val="0043503C"/>
    <w:rsid w:val="0043517E"/>
    <w:rsid w:val="00435226"/>
    <w:rsid w:val="004352E3"/>
    <w:rsid w:val="0043538D"/>
    <w:rsid w:val="00435D49"/>
    <w:rsid w:val="00435D6D"/>
    <w:rsid w:val="00436B80"/>
    <w:rsid w:val="004372B3"/>
    <w:rsid w:val="00437320"/>
    <w:rsid w:val="00437789"/>
    <w:rsid w:val="00437A0D"/>
    <w:rsid w:val="004404B8"/>
    <w:rsid w:val="00440719"/>
    <w:rsid w:val="00440A73"/>
    <w:rsid w:val="0044154F"/>
    <w:rsid w:val="0044160D"/>
    <w:rsid w:val="00442646"/>
    <w:rsid w:val="0044409C"/>
    <w:rsid w:val="00444379"/>
    <w:rsid w:val="00445359"/>
    <w:rsid w:val="0044577A"/>
    <w:rsid w:val="00446171"/>
    <w:rsid w:val="0044685B"/>
    <w:rsid w:val="00446875"/>
    <w:rsid w:val="004471C1"/>
    <w:rsid w:val="004473C6"/>
    <w:rsid w:val="00447F20"/>
    <w:rsid w:val="00450184"/>
    <w:rsid w:val="004507DB"/>
    <w:rsid w:val="004510C4"/>
    <w:rsid w:val="004511F6"/>
    <w:rsid w:val="00451BEF"/>
    <w:rsid w:val="00451DF0"/>
    <w:rsid w:val="00452B30"/>
    <w:rsid w:val="00453F2F"/>
    <w:rsid w:val="004544E7"/>
    <w:rsid w:val="00454A87"/>
    <w:rsid w:val="00454C77"/>
    <w:rsid w:val="00454F06"/>
    <w:rsid w:val="004555E4"/>
    <w:rsid w:val="00455664"/>
    <w:rsid w:val="0045619C"/>
    <w:rsid w:val="00456226"/>
    <w:rsid w:val="0045646D"/>
    <w:rsid w:val="00456B34"/>
    <w:rsid w:val="00456C79"/>
    <w:rsid w:val="00457609"/>
    <w:rsid w:val="00457A7F"/>
    <w:rsid w:val="00457D9D"/>
    <w:rsid w:val="00460531"/>
    <w:rsid w:val="0046062C"/>
    <w:rsid w:val="004607FF"/>
    <w:rsid w:val="00460F5F"/>
    <w:rsid w:val="00462366"/>
    <w:rsid w:val="004624C4"/>
    <w:rsid w:val="0046263B"/>
    <w:rsid w:val="004629C2"/>
    <w:rsid w:val="00463668"/>
    <w:rsid w:val="00463D08"/>
    <w:rsid w:val="00464827"/>
    <w:rsid w:val="00465839"/>
    <w:rsid w:val="004663FC"/>
    <w:rsid w:val="00467761"/>
    <w:rsid w:val="00467B67"/>
    <w:rsid w:val="00470541"/>
    <w:rsid w:val="004706A7"/>
    <w:rsid w:val="00470C14"/>
    <w:rsid w:val="004714E6"/>
    <w:rsid w:val="00471626"/>
    <w:rsid w:val="004720F7"/>
    <w:rsid w:val="00472318"/>
    <w:rsid w:val="00472DD7"/>
    <w:rsid w:val="0047327B"/>
    <w:rsid w:val="004738C5"/>
    <w:rsid w:val="0047467A"/>
    <w:rsid w:val="00474B1D"/>
    <w:rsid w:val="00474B3F"/>
    <w:rsid w:val="0047502D"/>
    <w:rsid w:val="004750B1"/>
    <w:rsid w:val="0047518E"/>
    <w:rsid w:val="00475720"/>
    <w:rsid w:val="00475CC3"/>
    <w:rsid w:val="00475EAC"/>
    <w:rsid w:val="00476460"/>
    <w:rsid w:val="004768AD"/>
    <w:rsid w:val="004768DD"/>
    <w:rsid w:val="00476970"/>
    <w:rsid w:val="00476E5C"/>
    <w:rsid w:val="00476F80"/>
    <w:rsid w:val="00477465"/>
    <w:rsid w:val="004776C5"/>
    <w:rsid w:val="00477AFA"/>
    <w:rsid w:val="00480932"/>
    <w:rsid w:val="00480BE6"/>
    <w:rsid w:val="004811FD"/>
    <w:rsid w:val="004821ED"/>
    <w:rsid w:val="00482AB6"/>
    <w:rsid w:val="00482CAC"/>
    <w:rsid w:val="00482D7B"/>
    <w:rsid w:val="0048301F"/>
    <w:rsid w:val="004830CB"/>
    <w:rsid w:val="0048319E"/>
    <w:rsid w:val="00483AA6"/>
    <w:rsid w:val="00483F87"/>
    <w:rsid w:val="00484031"/>
    <w:rsid w:val="00484248"/>
    <w:rsid w:val="004850C0"/>
    <w:rsid w:val="00485318"/>
    <w:rsid w:val="004854D7"/>
    <w:rsid w:val="00485D28"/>
    <w:rsid w:val="00486311"/>
    <w:rsid w:val="00486AB7"/>
    <w:rsid w:val="00486B21"/>
    <w:rsid w:val="00486D54"/>
    <w:rsid w:val="00486D7C"/>
    <w:rsid w:val="00486DEB"/>
    <w:rsid w:val="00486DFB"/>
    <w:rsid w:val="00487619"/>
    <w:rsid w:val="00487972"/>
    <w:rsid w:val="00487CF9"/>
    <w:rsid w:val="00487DBC"/>
    <w:rsid w:val="00490C56"/>
    <w:rsid w:val="00491107"/>
    <w:rsid w:val="004922B9"/>
    <w:rsid w:val="004922C9"/>
    <w:rsid w:val="004928B1"/>
    <w:rsid w:val="00492AEC"/>
    <w:rsid w:val="004932B5"/>
    <w:rsid w:val="00493553"/>
    <w:rsid w:val="004936D2"/>
    <w:rsid w:val="00493858"/>
    <w:rsid w:val="0049445B"/>
    <w:rsid w:val="00494678"/>
    <w:rsid w:val="00494722"/>
    <w:rsid w:val="00494D27"/>
    <w:rsid w:val="00495371"/>
    <w:rsid w:val="0049544A"/>
    <w:rsid w:val="0049611A"/>
    <w:rsid w:val="004961DE"/>
    <w:rsid w:val="004962DA"/>
    <w:rsid w:val="00496395"/>
    <w:rsid w:val="004964C7"/>
    <w:rsid w:val="004966D1"/>
    <w:rsid w:val="00496CA4"/>
    <w:rsid w:val="00496E4A"/>
    <w:rsid w:val="004A06C9"/>
    <w:rsid w:val="004A06FA"/>
    <w:rsid w:val="004A099E"/>
    <w:rsid w:val="004A0D82"/>
    <w:rsid w:val="004A12EA"/>
    <w:rsid w:val="004A13BE"/>
    <w:rsid w:val="004A26D6"/>
    <w:rsid w:val="004A2847"/>
    <w:rsid w:val="004A2874"/>
    <w:rsid w:val="004A30E7"/>
    <w:rsid w:val="004A34A4"/>
    <w:rsid w:val="004A35DF"/>
    <w:rsid w:val="004A3DEE"/>
    <w:rsid w:val="004A4C04"/>
    <w:rsid w:val="004A4D9B"/>
    <w:rsid w:val="004A4F04"/>
    <w:rsid w:val="004A52B1"/>
    <w:rsid w:val="004A584B"/>
    <w:rsid w:val="004A5AFF"/>
    <w:rsid w:val="004A607B"/>
    <w:rsid w:val="004A61EC"/>
    <w:rsid w:val="004A6929"/>
    <w:rsid w:val="004A6DDA"/>
    <w:rsid w:val="004A79BB"/>
    <w:rsid w:val="004B02E1"/>
    <w:rsid w:val="004B0402"/>
    <w:rsid w:val="004B1297"/>
    <w:rsid w:val="004B1827"/>
    <w:rsid w:val="004B1F01"/>
    <w:rsid w:val="004B20FE"/>
    <w:rsid w:val="004B228C"/>
    <w:rsid w:val="004B2AC7"/>
    <w:rsid w:val="004B2F8E"/>
    <w:rsid w:val="004B3433"/>
    <w:rsid w:val="004B4419"/>
    <w:rsid w:val="004B56BC"/>
    <w:rsid w:val="004B60D4"/>
    <w:rsid w:val="004B6387"/>
    <w:rsid w:val="004B63D3"/>
    <w:rsid w:val="004B6FDD"/>
    <w:rsid w:val="004B76EB"/>
    <w:rsid w:val="004B7E59"/>
    <w:rsid w:val="004C0395"/>
    <w:rsid w:val="004C08BD"/>
    <w:rsid w:val="004C0E90"/>
    <w:rsid w:val="004C1927"/>
    <w:rsid w:val="004C224C"/>
    <w:rsid w:val="004C336F"/>
    <w:rsid w:val="004C4139"/>
    <w:rsid w:val="004C426E"/>
    <w:rsid w:val="004C51AD"/>
    <w:rsid w:val="004C5290"/>
    <w:rsid w:val="004C58CA"/>
    <w:rsid w:val="004C5B3E"/>
    <w:rsid w:val="004C6F7B"/>
    <w:rsid w:val="004C7A44"/>
    <w:rsid w:val="004C7A48"/>
    <w:rsid w:val="004C7AD4"/>
    <w:rsid w:val="004D15AB"/>
    <w:rsid w:val="004D177D"/>
    <w:rsid w:val="004D1D59"/>
    <w:rsid w:val="004D31B8"/>
    <w:rsid w:val="004D3599"/>
    <w:rsid w:val="004D3B2D"/>
    <w:rsid w:val="004D3D2B"/>
    <w:rsid w:val="004D3DAE"/>
    <w:rsid w:val="004D41AD"/>
    <w:rsid w:val="004D42ED"/>
    <w:rsid w:val="004D66FF"/>
    <w:rsid w:val="004D69B9"/>
    <w:rsid w:val="004D6DFC"/>
    <w:rsid w:val="004D702F"/>
    <w:rsid w:val="004D79CF"/>
    <w:rsid w:val="004D7E56"/>
    <w:rsid w:val="004E055A"/>
    <w:rsid w:val="004E0C74"/>
    <w:rsid w:val="004E0EC8"/>
    <w:rsid w:val="004E17CB"/>
    <w:rsid w:val="004E18EE"/>
    <w:rsid w:val="004E1CE4"/>
    <w:rsid w:val="004E1FA2"/>
    <w:rsid w:val="004E2532"/>
    <w:rsid w:val="004E266D"/>
    <w:rsid w:val="004E2B04"/>
    <w:rsid w:val="004E2FF8"/>
    <w:rsid w:val="004E36A0"/>
    <w:rsid w:val="004E3D98"/>
    <w:rsid w:val="004E400D"/>
    <w:rsid w:val="004E42AD"/>
    <w:rsid w:val="004E452C"/>
    <w:rsid w:val="004E5071"/>
    <w:rsid w:val="004E541C"/>
    <w:rsid w:val="004E5AE4"/>
    <w:rsid w:val="004E64AB"/>
    <w:rsid w:val="004E65B4"/>
    <w:rsid w:val="004E6769"/>
    <w:rsid w:val="004E69C7"/>
    <w:rsid w:val="004E6C61"/>
    <w:rsid w:val="004E73D4"/>
    <w:rsid w:val="004E7B2F"/>
    <w:rsid w:val="004F00E0"/>
    <w:rsid w:val="004F0335"/>
    <w:rsid w:val="004F0404"/>
    <w:rsid w:val="004F0B13"/>
    <w:rsid w:val="004F0BFD"/>
    <w:rsid w:val="004F0FA1"/>
    <w:rsid w:val="004F27C1"/>
    <w:rsid w:val="004F2930"/>
    <w:rsid w:val="004F43E7"/>
    <w:rsid w:val="004F4BFC"/>
    <w:rsid w:val="004F4F04"/>
    <w:rsid w:val="004F501D"/>
    <w:rsid w:val="004F502A"/>
    <w:rsid w:val="004F517F"/>
    <w:rsid w:val="004F525B"/>
    <w:rsid w:val="004F55EC"/>
    <w:rsid w:val="004F58A9"/>
    <w:rsid w:val="004F5A08"/>
    <w:rsid w:val="004F5B4B"/>
    <w:rsid w:val="004F5B68"/>
    <w:rsid w:val="004F5D2F"/>
    <w:rsid w:val="004F6B5E"/>
    <w:rsid w:val="004F6EDE"/>
    <w:rsid w:val="004F7291"/>
    <w:rsid w:val="004F72BF"/>
    <w:rsid w:val="004F7487"/>
    <w:rsid w:val="005009EA"/>
    <w:rsid w:val="00500A99"/>
    <w:rsid w:val="00500D7E"/>
    <w:rsid w:val="00500E37"/>
    <w:rsid w:val="005028CD"/>
    <w:rsid w:val="005032C1"/>
    <w:rsid w:val="00503AE3"/>
    <w:rsid w:val="00503B44"/>
    <w:rsid w:val="00503CA6"/>
    <w:rsid w:val="005041CC"/>
    <w:rsid w:val="0050599D"/>
    <w:rsid w:val="00505A87"/>
    <w:rsid w:val="00505FB4"/>
    <w:rsid w:val="005062AB"/>
    <w:rsid w:val="00506494"/>
    <w:rsid w:val="0050652B"/>
    <w:rsid w:val="005065E3"/>
    <w:rsid w:val="00506A20"/>
    <w:rsid w:val="0051027F"/>
    <w:rsid w:val="00510553"/>
    <w:rsid w:val="00510F90"/>
    <w:rsid w:val="00512005"/>
    <w:rsid w:val="0051363B"/>
    <w:rsid w:val="005136F7"/>
    <w:rsid w:val="00513772"/>
    <w:rsid w:val="00514323"/>
    <w:rsid w:val="005147B5"/>
    <w:rsid w:val="00514C6D"/>
    <w:rsid w:val="00514CA6"/>
    <w:rsid w:val="00514DF8"/>
    <w:rsid w:val="005151F2"/>
    <w:rsid w:val="00515445"/>
    <w:rsid w:val="0051544F"/>
    <w:rsid w:val="005155DC"/>
    <w:rsid w:val="005157D8"/>
    <w:rsid w:val="00515A28"/>
    <w:rsid w:val="00516218"/>
    <w:rsid w:val="0051635A"/>
    <w:rsid w:val="0051683E"/>
    <w:rsid w:val="00516AFB"/>
    <w:rsid w:val="0051707D"/>
    <w:rsid w:val="005170AE"/>
    <w:rsid w:val="005203A6"/>
    <w:rsid w:val="00520529"/>
    <w:rsid w:val="00520838"/>
    <w:rsid w:val="00520EDD"/>
    <w:rsid w:val="00521944"/>
    <w:rsid w:val="00521FBE"/>
    <w:rsid w:val="0052231B"/>
    <w:rsid w:val="00522A9E"/>
    <w:rsid w:val="00522B9D"/>
    <w:rsid w:val="0052320C"/>
    <w:rsid w:val="0052352A"/>
    <w:rsid w:val="0052455F"/>
    <w:rsid w:val="005246E5"/>
    <w:rsid w:val="00525001"/>
    <w:rsid w:val="00525716"/>
    <w:rsid w:val="005260E7"/>
    <w:rsid w:val="005267E5"/>
    <w:rsid w:val="00526A9E"/>
    <w:rsid w:val="00526AA5"/>
    <w:rsid w:val="00526BC4"/>
    <w:rsid w:val="00526D16"/>
    <w:rsid w:val="005271A1"/>
    <w:rsid w:val="005271C1"/>
    <w:rsid w:val="0053043E"/>
    <w:rsid w:val="00530C63"/>
    <w:rsid w:val="00530E3C"/>
    <w:rsid w:val="00531070"/>
    <w:rsid w:val="00531A79"/>
    <w:rsid w:val="00532550"/>
    <w:rsid w:val="005325B1"/>
    <w:rsid w:val="005328FA"/>
    <w:rsid w:val="00532D48"/>
    <w:rsid w:val="00532E06"/>
    <w:rsid w:val="005338BE"/>
    <w:rsid w:val="00533CD8"/>
    <w:rsid w:val="00533F89"/>
    <w:rsid w:val="00534120"/>
    <w:rsid w:val="00534253"/>
    <w:rsid w:val="005345ED"/>
    <w:rsid w:val="005355D4"/>
    <w:rsid w:val="00535D28"/>
    <w:rsid w:val="005373A5"/>
    <w:rsid w:val="00537891"/>
    <w:rsid w:val="00537CAE"/>
    <w:rsid w:val="00537E83"/>
    <w:rsid w:val="00540075"/>
    <w:rsid w:val="00540989"/>
    <w:rsid w:val="00541556"/>
    <w:rsid w:val="005419A2"/>
    <w:rsid w:val="00541EA5"/>
    <w:rsid w:val="00542297"/>
    <w:rsid w:val="00542919"/>
    <w:rsid w:val="00542D01"/>
    <w:rsid w:val="00543F00"/>
    <w:rsid w:val="00543FE2"/>
    <w:rsid w:val="005444EB"/>
    <w:rsid w:val="005447B7"/>
    <w:rsid w:val="00544C6E"/>
    <w:rsid w:val="005450F6"/>
    <w:rsid w:val="005452C4"/>
    <w:rsid w:val="00545B32"/>
    <w:rsid w:val="00545DF5"/>
    <w:rsid w:val="00545E54"/>
    <w:rsid w:val="00547D4D"/>
    <w:rsid w:val="005501DF"/>
    <w:rsid w:val="00550BD7"/>
    <w:rsid w:val="00550BE5"/>
    <w:rsid w:val="00551A41"/>
    <w:rsid w:val="00551D72"/>
    <w:rsid w:val="00552435"/>
    <w:rsid w:val="00552554"/>
    <w:rsid w:val="00552B07"/>
    <w:rsid w:val="00553256"/>
    <w:rsid w:val="005535C1"/>
    <w:rsid w:val="00553B50"/>
    <w:rsid w:val="00553F89"/>
    <w:rsid w:val="005541EE"/>
    <w:rsid w:val="005546C1"/>
    <w:rsid w:val="005549A5"/>
    <w:rsid w:val="005554CC"/>
    <w:rsid w:val="00555528"/>
    <w:rsid w:val="00556122"/>
    <w:rsid w:val="00556171"/>
    <w:rsid w:val="00556D08"/>
    <w:rsid w:val="00556E79"/>
    <w:rsid w:val="005570C1"/>
    <w:rsid w:val="00557926"/>
    <w:rsid w:val="0055E256"/>
    <w:rsid w:val="005602AD"/>
    <w:rsid w:val="005606E9"/>
    <w:rsid w:val="00560744"/>
    <w:rsid w:val="0056110A"/>
    <w:rsid w:val="005619F1"/>
    <w:rsid w:val="00561D27"/>
    <w:rsid w:val="00562413"/>
    <w:rsid w:val="005635DB"/>
    <w:rsid w:val="005636F2"/>
    <w:rsid w:val="005639C3"/>
    <w:rsid w:val="00563C5E"/>
    <w:rsid w:val="00563ED1"/>
    <w:rsid w:val="00563F95"/>
    <w:rsid w:val="0056400C"/>
    <w:rsid w:val="0056416A"/>
    <w:rsid w:val="005644E0"/>
    <w:rsid w:val="005649A4"/>
    <w:rsid w:val="00565605"/>
    <w:rsid w:val="0056685E"/>
    <w:rsid w:val="0057074F"/>
    <w:rsid w:val="00570B4B"/>
    <w:rsid w:val="00571429"/>
    <w:rsid w:val="00571442"/>
    <w:rsid w:val="005717AB"/>
    <w:rsid w:val="0057269A"/>
    <w:rsid w:val="00572EAC"/>
    <w:rsid w:val="00573058"/>
    <w:rsid w:val="00573ACC"/>
    <w:rsid w:val="00573BDD"/>
    <w:rsid w:val="00574D96"/>
    <w:rsid w:val="005752FC"/>
    <w:rsid w:val="005754FD"/>
    <w:rsid w:val="00575C57"/>
    <w:rsid w:val="00575E3F"/>
    <w:rsid w:val="00575E9A"/>
    <w:rsid w:val="00575F36"/>
    <w:rsid w:val="00575F93"/>
    <w:rsid w:val="00576316"/>
    <w:rsid w:val="00576634"/>
    <w:rsid w:val="00577443"/>
    <w:rsid w:val="0057750A"/>
    <w:rsid w:val="00580483"/>
    <w:rsid w:val="00581485"/>
    <w:rsid w:val="00581A88"/>
    <w:rsid w:val="00581D0E"/>
    <w:rsid w:val="00581D80"/>
    <w:rsid w:val="00581F20"/>
    <w:rsid w:val="005820D3"/>
    <w:rsid w:val="00582A86"/>
    <w:rsid w:val="00584423"/>
    <w:rsid w:val="005847E1"/>
    <w:rsid w:val="00584EA0"/>
    <w:rsid w:val="00584F57"/>
    <w:rsid w:val="00585203"/>
    <w:rsid w:val="005852F6"/>
    <w:rsid w:val="005857C8"/>
    <w:rsid w:val="00586253"/>
    <w:rsid w:val="00586F8F"/>
    <w:rsid w:val="00587055"/>
    <w:rsid w:val="005873B9"/>
    <w:rsid w:val="005877C7"/>
    <w:rsid w:val="005878EE"/>
    <w:rsid w:val="00587A58"/>
    <w:rsid w:val="00587C83"/>
    <w:rsid w:val="0059013F"/>
    <w:rsid w:val="00590AE6"/>
    <w:rsid w:val="00590BA1"/>
    <w:rsid w:val="00590FF5"/>
    <w:rsid w:val="0059111E"/>
    <w:rsid w:val="00591CE5"/>
    <w:rsid w:val="00591F4C"/>
    <w:rsid w:val="00592142"/>
    <w:rsid w:val="00593445"/>
    <w:rsid w:val="0059394F"/>
    <w:rsid w:val="00593A91"/>
    <w:rsid w:val="00594701"/>
    <w:rsid w:val="00594C28"/>
    <w:rsid w:val="00594CED"/>
    <w:rsid w:val="00594F04"/>
    <w:rsid w:val="00595907"/>
    <w:rsid w:val="005959B5"/>
    <w:rsid w:val="005959DD"/>
    <w:rsid w:val="00595C2A"/>
    <w:rsid w:val="00596305"/>
    <w:rsid w:val="0059640A"/>
    <w:rsid w:val="005966EC"/>
    <w:rsid w:val="0059674C"/>
    <w:rsid w:val="005969D2"/>
    <w:rsid w:val="00596A81"/>
    <w:rsid w:val="00597267"/>
    <w:rsid w:val="005973E7"/>
    <w:rsid w:val="0059760E"/>
    <w:rsid w:val="00597810"/>
    <w:rsid w:val="005A0B40"/>
    <w:rsid w:val="005A0DA6"/>
    <w:rsid w:val="005A0DEC"/>
    <w:rsid w:val="005A135B"/>
    <w:rsid w:val="005A148A"/>
    <w:rsid w:val="005A1AB6"/>
    <w:rsid w:val="005A2A7B"/>
    <w:rsid w:val="005A3599"/>
    <w:rsid w:val="005A3624"/>
    <w:rsid w:val="005A396B"/>
    <w:rsid w:val="005A3A2D"/>
    <w:rsid w:val="005A3A45"/>
    <w:rsid w:val="005A3C7C"/>
    <w:rsid w:val="005A3DD5"/>
    <w:rsid w:val="005A4716"/>
    <w:rsid w:val="005A57F0"/>
    <w:rsid w:val="005A5D67"/>
    <w:rsid w:val="005A60B5"/>
    <w:rsid w:val="005A70D8"/>
    <w:rsid w:val="005A75D0"/>
    <w:rsid w:val="005A7C7E"/>
    <w:rsid w:val="005B0005"/>
    <w:rsid w:val="005B01C2"/>
    <w:rsid w:val="005B0222"/>
    <w:rsid w:val="005B0A3F"/>
    <w:rsid w:val="005B0A85"/>
    <w:rsid w:val="005B107B"/>
    <w:rsid w:val="005B1AB4"/>
    <w:rsid w:val="005B1B6F"/>
    <w:rsid w:val="005B1CD8"/>
    <w:rsid w:val="005B1EB6"/>
    <w:rsid w:val="005B1F24"/>
    <w:rsid w:val="005B23F6"/>
    <w:rsid w:val="005B2A80"/>
    <w:rsid w:val="005B337D"/>
    <w:rsid w:val="005B3590"/>
    <w:rsid w:val="005B3F30"/>
    <w:rsid w:val="005B3F43"/>
    <w:rsid w:val="005B4096"/>
    <w:rsid w:val="005B4500"/>
    <w:rsid w:val="005B460D"/>
    <w:rsid w:val="005B46F1"/>
    <w:rsid w:val="005B5370"/>
    <w:rsid w:val="005B5394"/>
    <w:rsid w:val="005B54AB"/>
    <w:rsid w:val="005B570D"/>
    <w:rsid w:val="005B5D50"/>
    <w:rsid w:val="005B5D53"/>
    <w:rsid w:val="005B6B50"/>
    <w:rsid w:val="005B6C50"/>
    <w:rsid w:val="005B6F6B"/>
    <w:rsid w:val="005C048B"/>
    <w:rsid w:val="005C04FF"/>
    <w:rsid w:val="005C09A8"/>
    <w:rsid w:val="005C0E5A"/>
    <w:rsid w:val="005C0F8E"/>
    <w:rsid w:val="005C123E"/>
    <w:rsid w:val="005C1589"/>
    <w:rsid w:val="005C2120"/>
    <w:rsid w:val="005C23E7"/>
    <w:rsid w:val="005C2A49"/>
    <w:rsid w:val="005C32E5"/>
    <w:rsid w:val="005C3531"/>
    <w:rsid w:val="005C3580"/>
    <w:rsid w:val="005C3871"/>
    <w:rsid w:val="005C3935"/>
    <w:rsid w:val="005C41BC"/>
    <w:rsid w:val="005C440F"/>
    <w:rsid w:val="005C4622"/>
    <w:rsid w:val="005C4A03"/>
    <w:rsid w:val="005C4F05"/>
    <w:rsid w:val="005C4F3B"/>
    <w:rsid w:val="005C4FCD"/>
    <w:rsid w:val="005C5F06"/>
    <w:rsid w:val="005C5FF5"/>
    <w:rsid w:val="005C63D5"/>
    <w:rsid w:val="005C6C9E"/>
    <w:rsid w:val="005C72F8"/>
    <w:rsid w:val="005C7C48"/>
    <w:rsid w:val="005D01A9"/>
    <w:rsid w:val="005D030D"/>
    <w:rsid w:val="005D0F63"/>
    <w:rsid w:val="005D1DBE"/>
    <w:rsid w:val="005D20C0"/>
    <w:rsid w:val="005D295E"/>
    <w:rsid w:val="005D3E16"/>
    <w:rsid w:val="005D4187"/>
    <w:rsid w:val="005D41F2"/>
    <w:rsid w:val="005D4A6B"/>
    <w:rsid w:val="005D4FEA"/>
    <w:rsid w:val="005D508E"/>
    <w:rsid w:val="005D52FA"/>
    <w:rsid w:val="005D59B7"/>
    <w:rsid w:val="005D60EE"/>
    <w:rsid w:val="005D6390"/>
    <w:rsid w:val="005D6B84"/>
    <w:rsid w:val="005D6E27"/>
    <w:rsid w:val="005D73A7"/>
    <w:rsid w:val="005D7CAA"/>
    <w:rsid w:val="005E0135"/>
    <w:rsid w:val="005E0287"/>
    <w:rsid w:val="005E0657"/>
    <w:rsid w:val="005E07DD"/>
    <w:rsid w:val="005E0F58"/>
    <w:rsid w:val="005E1D37"/>
    <w:rsid w:val="005E1FD7"/>
    <w:rsid w:val="005E2C86"/>
    <w:rsid w:val="005E3278"/>
    <w:rsid w:val="005E328E"/>
    <w:rsid w:val="005E4232"/>
    <w:rsid w:val="005E4E6B"/>
    <w:rsid w:val="005E4E7C"/>
    <w:rsid w:val="005E640E"/>
    <w:rsid w:val="005E68DB"/>
    <w:rsid w:val="005E69F2"/>
    <w:rsid w:val="005E6CA3"/>
    <w:rsid w:val="005E6F3F"/>
    <w:rsid w:val="005E6FD2"/>
    <w:rsid w:val="005E72C8"/>
    <w:rsid w:val="005E7A0D"/>
    <w:rsid w:val="005E7EF7"/>
    <w:rsid w:val="005E7F81"/>
    <w:rsid w:val="005F00C8"/>
    <w:rsid w:val="005F107C"/>
    <w:rsid w:val="005F24C2"/>
    <w:rsid w:val="005F3263"/>
    <w:rsid w:val="005F3587"/>
    <w:rsid w:val="005F3C3A"/>
    <w:rsid w:val="005F3EEE"/>
    <w:rsid w:val="005F4284"/>
    <w:rsid w:val="005F4A2D"/>
    <w:rsid w:val="005F4A83"/>
    <w:rsid w:val="005F53E7"/>
    <w:rsid w:val="005F5AB1"/>
    <w:rsid w:val="005F5B3B"/>
    <w:rsid w:val="005F612F"/>
    <w:rsid w:val="005F61BE"/>
    <w:rsid w:val="005F6AE4"/>
    <w:rsid w:val="005F6D23"/>
    <w:rsid w:val="005F7933"/>
    <w:rsid w:val="005F7AF9"/>
    <w:rsid w:val="006007B0"/>
    <w:rsid w:val="006009BD"/>
    <w:rsid w:val="00600E65"/>
    <w:rsid w:val="00600FEA"/>
    <w:rsid w:val="006014B5"/>
    <w:rsid w:val="00601651"/>
    <w:rsid w:val="00601DDA"/>
    <w:rsid w:val="006021B7"/>
    <w:rsid w:val="006025F1"/>
    <w:rsid w:val="00602E6A"/>
    <w:rsid w:val="00603139"/>
    <w:rsid w:val="0060370B"/>
    <w:rsid w:val="00603921"/>
    <w:rsid w:val="00603C11"/>
    <w:rsid w:val="00603D35"/>
    <w:rsid w:val="006044A6"/>
    <w:rsid w:val="00604BB6"/>
    <w:rsid w:val="00604D6D"/>
    <w:rsid w:val="00605019"/>
    <w:rsid w:val="00605495"/>
    <w:rsid w:val="00605734"/>
    <w:rsid w:val="00605786"/>
    <w:rsid w:val="00605E13"/>
    <w:rsid w:val="00606261"/>
    <w:rsid w:val="006065D6"/>
    <w:rsid w:val="006066CB"/>
    <w:rsid w:val="00606FE6"/>
    <w:rsid w:val="00607329"/>
    <w:rsid w:val="00607860"/>
    <w:rsid w:val="00607BFE"/>
    <w:rsid w:val="00607EF7"/>
    <w:rsid w:val="00607F40"/>
    <w:rsid w:val="0061116E"/>
    <w:rsid w:val="00611365"/>
    <w:rsid w:val="00611394"/>
    <w:rsid w:val="00611765"/>
    <w:rsid w:val="0061243D"/>
    <w:rsid w:val="0061287D"/>
    <w:rsid w:val="0061381D"/>
    <w:rsid w:val="0061495F"/>
    <w:rsid w:val="0061526F"/>
    <w:rsid w:val="00615E2C"/>
    <w:rsid w:val="006160CB"/>
    <w:rsid w:val="00616163"/>
    <w:rsid w:val="00616879"/>
    <w:rsid w:val="00616974"/>
    <w:rsid w:val="00616EFD"/>
    <w:rsid w:val="00617217"/>
    <w:rsid w:val="00617406"/>
    <w:rsid w:val="00620431"/>
    <w:rsid w:val="00620CD7"/>
    <w:rsid w:val="006214D7"/>
    <w:rsid w:val="0062208F"/>
    <w:rsid w:val="00622467"/>
    <w:rsid w:val="0062265E"/>
    <w:rsid w:val="00623890"/>
    <w:rsid w:val="006238A6"/>
    <w:rsid w:val="0062398E"/>
    <w:rsid w:val="00623D2F"/>
    <w:rsid w:val="00624178"/>
    <w:rsid w:val="0062444C"/>
    <w:rsid w:val="00625448"/>
    <w:rsid w:val="0062547E"/>
    <w:rsid w:val="006254C8"/>
    <w:rsid w:val="00625794"/>
    <w:rsid w:val="00625BCD"/>
    <w:rsid w:val="0062692E"/>
    <w:rsid w:val="00626F3B"/>
    <w:rsid w:val="00630622"/>
    <w:rsid w:val="00630802"/>
    <w:rsid w:val="00630B67"/>
    <w:rsid w:val="00631090"/>
    <w:rsid w:val="0063139A"/>
    <w:rsid w:val="00631AF6"/>
    <w:rsid w:val="00631C58"/>
    <w:rsid w:val="006320ED"/>
    <w:rsid w:val="006322D7"/>
    <w:rsid w:val="0063302F"/>
    <w:rsid w:val="006334C9"/>
    <w:rsid w:val="00634F74"/>
    <w:rsid w:val="00635207"/>
    <w:rsid w:val="00635401"/>
    <w:rsid w:val="00636812"/>
    <w:rsid w:val="00636833"/>
    <w:rsid w:val="00636D4D"/>
    <w:rsid w:val="00636F95"/>
    <w:rsid w:val="00637523"/>
    <w:rsid w:val="00637E97"/>
    <w:rsid w:val="00637F13"/>
    <w:rsid w:val="00640097"/>
    <w:rsid w:val="0064083D"/>
    <w:rsid w:val="006409BC"/>
    <w:rsid w:val="006416B6"/>
    <w:rsid w:val="0064185E"/>
    <w:rsid w:val="00641A66"/>
    <w:rsid w:val="006423F0"/>
    <w:rsid w:val="0064383E"/>
    <w:rsid w:val="00643D64"/>
    <w:rsid w:val="00643DEC"/>
    <w:rsid w:val="00644320"/>
    <w:rsid w:val="00644A07"/>
    <w:rsid w:val="0064626D"/>
    <w:rsid w:val="006463FF"/>
    <w:rsid w:val="0064696B"/>
    <w:rsid w:val="00646DC7"/>
    <w:rsid w:val="00646E0F"/>
    <w:rsid w:val="006478EB"/>
    <w:rsid w:val="0065014E"/>
    <w:rsid w:val="00651357"/>
    <w:rsid w:val="00651696"/>
    <w:rsid w:val="00653844"/>
    <w:rsid w:val="00653D51"/>
    <w:rsid w:val="00655970"/>
    <w:rsid w:val="00655AFD"/>
    <w:rsid w:val="006561AD"/>
    <w:rsid w:val="00656802"/>
    <w:rsid w:val="0065714D"/>
    <w:rsid w:val="006573AF"/>
    <w:rsid w:val="0066083E"/>
    <w:rsid w:val="006608C9"/>
    <w:rsid w:val="006609F8"/>
    <w:rsid w:val="00661023"/>
    <w:rsid w:val="00661C16"/>
    <w:rsid w:val="00661E37"/>
    <w:rsid w:val="00661ED2"/>
    <w:rsid w:val="006623FF"/>
    <w:rsid w:val="00662D66"/>
    <w:rsid w:val="00662DA8"/>
    <w:rsid w:val="00663026"/>
    <w:rsid w:val="006636A5"/>
    <w:rsid w:val="00664DB3"/>
    <w:rsid w:val="00664F9D"/>
    <w:rsid w:val="006657A4"/>
    <w:rsid w:val="00665A39"/>
    <w:rsid w:val="00665BCA"/>
    <w:rsid w:val="006665FE"/>
    <w:rsid w:val="00667019"/>
    <w:rsid w:val="0066799A"/>
    <w:rsid w:val="00667BC7"/>
    <w:rsid w:val="00667D67"/>
    <w:rsid w:val="0067069D"/>
    <w:rsid w:val="006708EE"/>
    <w:rsid w:val="00670DFC"/>
    <w:rsid w:val="006713A0"/>
    <w:rsid w:val="006719F2"/>
    <w:rsid w:val="00671F96"/>
    <w:rsid w:val="006722D3"/>
    <w:rsid w:val="00672CEE"/>
    <w:rsid w:val="00673019"/>
    <w:rsid w:val="00673608"/>
    <w:rsid w:val="0067379C"/>
    <w:rsid w:val="00673822"/>
    <w:rsid w:val="00673D96"/>
    <w:rsid w:val="00673EB0"/>
    <w:rsid w:val="00674993"/>
    <w:rsid w:val="006749EC"/>
    <w:rsid w:val="00674E39"/>
    <w:rsid w:val="006751DE"/>
    <w:rsid w:val="0067536A"/>
    <w:rsid w:val="006755E3"/>
    <w:rsid w:val="00675A1B"/>
    <w:rsid w:val="00675C93"/>
    <w:rsid w:val="00675FDF"/>
    <w:rsid w:val="0067603F"/>
    <w:rsid w:val="00676A14"/>
    <w:rsid w:val="00676B88"/>
    <w:rsid w:val="00676D66"/>
    <w:rsid w:val="00676F4A"/>
    <w:rsid w:val="006770F3"/>
    <w:rsid w:val="006778C4"/>
    <w:rsid w:val="00677903"/>
    <w:rsid w:val="00677CA0"/>
    <w:rsid w:val="00680317"/>
    <w:rsid w:val="00680EC9"/>
    <w:rsid w:val="006817B8"/>
    <w:rsid w:val="00682DD7"/>
    <w:rsid w:val="0068309A"/>
    <w:rsid w:val="0068389E"/>
    <w:rsid w:val="00683E56"/>
    <w:rsid w:val="00683FB2"/>
    <w:rsid w:val="00684D1A"/>
    <w:rsid w:val="00685A0B"/>
    <w:rsid w:val="00685DE6"/>
    <w:rsid w:val="00686572"/>
    <w:rsid w:val="00687A12"/>
    <w:rsid w:val="00687C9E"/>
    <w:rsid w:val="006902B6"/>
    <w:rsid w:val="00690429"/>
    <w:rsid w:val="0069095F"/>
    <w:rsid w:val="006915B1"/>
    <w:rsid w:val="00691754"/>
    <w:rsid w:val="006923DC"/>
    <w:rsid w:val="006928EE"/>
    <w:rsid w:val="00692D22"/>
    <w:rsid w:val="00692D5C"/>
    <w:rsid w:val="00692DE7"/>
    <w:rsid w:val="006938E3"/>
    <w:rsid w:val="00693982"/>
    <w:rsid w:val="00693C02"/>
    <w:rsid w:val="00694069"/>
    <w:rsid w:val="00694513"/>
    <w:rsid w:val="00694523"/>
    <w:rsid w:val="0069470B"/>
    <w:rsid w:val="00695768"/>
    <w:rsid w:val="00695E5F"/>
    <w:rsid w:val="006960E0"/>
    <w:rsid w:val="00696631"/>
    <w:rsid w:val="00696770"/>
    <w:rsid w:val="00696B64"/>
    <w:rsid w:val="006A06E4"/>
    <w:rsid w:val="006A113D"/>
    <w:rsid w:val="006A1560"/>
    <w:rsid w:val="006A19E3"/>
    <w:rsid w:val="006A2112"/>
    <w:rsid w:val="006A2356"/>
    <w:rsid w:val="006A3CC7"/>
    <w:rsid w:val="006A4504"/>
    <w:rsid w:val="006A4775"/>
    <w:rsid w:val="006A4B55"/>
    <w:rsid w:val="006A504B"/>
    <w:rsid w:val="006A5199"/>
    <w:rsid w:val="006A5412"/>
    <w:rsid w:val="006A5A00"/>
    <w:rsid w:val="006A5FAF"/>
    <w:rsid w:val="006A6A29"/>
    <w:rsid w:val="006A7164"/>
    <w:rsid w:val="006A71A2"/>
    <w:rsid w:val="006A7944"/>
    <w:rsid w:val="006A7E3A"/>
    <w:rsid w:val="006B0421"/>
    <w:rsid w:val="006B04DE"/>
    <w:rsid w:val="006B0D64"/>
    <w:rsid w:val="006B2550"/>
    <w:rsid w:val="006B316A"/>
    <w:rsid w:val="006B38E9"/>
    <w:rsid w:val="006B3930"/>
    <w:rsid w:val="006B3959"/>
    <w:rsid w:val="006B3A87"/>
    <w:rsid w:val="006B4982"/>
    <w:rsid w:val="006B4A49"/>
    <w:rsid w:val="006B4A91"/>
    <w:rsid w:val="006B4ACD"/>
    <w:rsid w:val="006B5303"/>
    <w:rsid w:val="006B557B"/>
    <w:rsid w:val="006B62BF"/>
    <w:rsid w:val="006B648F"/>
    <w:rsid w:val="006B65D8"/>
    <w:rsid w:val="006B675F"/>
    <w:rsid w:val="006B6E65"/>
    <w:rsid w:val="006B78F1"/>
    <w:rsid w:val="006B7B6F"/>
    <w:rsid w:val="006B7D4B"/>
    <w:rsid w:val="006C018F"/>
    <w:rsid w:val="006C0648"/>
    <w:rsid w:val="006C0E35"/>
    <w:rsid w:val="006C11C6"/>
    <w:rsid w:val="006C150B"/>
    <w:rsid w:val="006C1592"/>
    <w:rsid w:val="006C1B05"/>
    <w:rsid w:val="006C1E18"/>
    <w:rsid w:val="006C21DF"/>
    <w:rsid w:val="006C3192"/>
    <w:rsid w:val="006C3F07"/>
    <w:rsid w:val="006C408E"/>
    <w:rsid w:val="006C42EC"/>
    <w:rsid w:val="006C491D"/>
    <w:rsid w:val="006C4E4C"/>
    <w:rsid w:val="006C4FB9"/>
    <w:rsid w:val="006C5338"/>
    <w:rsid w:val="006C6781"/>
    <w:rsid w:val="006C6C1A"/>
    <w:rsid w:val="006C71AF"/>
    <w:rsid w:val="006C7291"/>
    <w:rsid w:val="006C7A7E"/>
    <w:rsid w:val="006C7C58"/>
    <w:rsid w:val="006C7CC5"/>
    <w:rsid w:val="006D0218"/>
    <w:rsid w:val="006D0237"/>
    <w:rsid w:val="006D0434"/>
    <w:rsid w:val="006D077A"/>
    <w:rsid w:val="006D09EF"/>
    <w:rsid w:val="006D177F"/>
    <w:rsid w:val="006D2237"/>
    <w:rsid w:val="006D2403"/>
    <w:rsid w:val="006D3739"/>
    <w:rsid w:val="006D3835"/>
    <w:rsid w:val="006D3CFC"/>
    <w:rsid w:val="006D468D"/>
    <w:rsid w:val="006D46F3"/>
    <w:rsid w:val="006D507E"/>
    <w:rsid w:val="006D5102"/>
    <w:rsid w:val="006D5C01"/>
    <w:rsid w:val="006D5F12"/>
    <w:rsid w:val="006D6EC8"/>
    <w:rsid w:val="006D73F5"/>
    <w:rsid w:val="006D7DF2"/>
    <w:rsid w:val="006D7EB7"/>
    <w:rsid w:val="006E051E"/>
    <w:rsid w:val="006E082D"/>
    <w:rsid w:val="006E0DB6"/>
    <w:rsid w:val="006E11D8"/>
    <w:rsid w:val="006E1749"/>
    <w:rsid w:val="006E1C30"/>
    <w:rsid w:val="006E1EA7"/>
    <w:rsid w:val="006E2328"/>
    <w:rsid w:val="006E242C"/>
    <w:rsid w:val="006E2577"/>
    <w:rsid w:val="006E3119"/>
    <w:rsid w:val="006E34EA"/>
    <w:rsid w:val="006E4B12"/>
    <w:rsid w:val="006E4D40"/>
    <w:rsid w:val="006E5843"/>
    <w:rsid w:val="006E5C3B"/>
    <w:rsid w:val="006E660C"/>
    <w:rsid w:val="006E6675"/>
    <w:rsid w:val="006E718C"/>
    <w:rsid w:val="006E754B"/>
    <w:rsid w:val="006E78F5"/>
    <w:rsid w:val="006F0483"/>
    <w:rsid w:val="006F09B0"/>
    <w:rsid w:val="006F0FC9"/>
    <w:rsid w:val="006F1858"/>
    <w:rsid w:val="006F26D6"/>
    <w:rsid w:val="006F3C6B"/>
    <w:rsid w:val="006F4A3F"/>
    <w:rsid w:val="006F5150"/>
    <w:rsid w:val="006F56C9"/>
    <w:rsid w:val="006F631F"/>
    <w:rsid w:val="006F6B1A"/>
    <w:rsid w:val="006F6C75"/>
    <w:rsid w:val="006F72F3"/>
    <w:rsid w:val="006F76B7"/>
    <w:rsid w:val="006F7F50"/>
    <w:rsid w:val="0070023E"/>
    <w:rsid w:val="007005C4"/>
    <w:rsid w:val="0070129B"/>
    <w:rsid w:val="00701379"/>
    <w:rsid w:val="007015E9"/>
    <w:rsid w:val="0070191F"/>
    <w:rsid w:val="00701A53"/>
    <w:rsid w:val="00701DEF"/>
    <w:rsid w:val="0070243E"/>
    <w:rsid w:val="00702EB3"/>
    <w:rsid w:val="0070324A"/>
    <w:rsid w:val="007032A9"/>
    <w:rsid w:val="0070377B"/>
    <w:rsid w:val="00703A3D"/>
    <w:rsid w:val="00704006"/>
    <w:rsid w:val="007046B1"/>
    <w:rsid w:val="0070493D"/>
    <w:rsid w:val="00704E5B"/>
    <w:rsid w:val="00705177"/>
    <w:rsid w:val="007059E1"/>
    <w:rsid w:val="007060A5"/>
    <w:rsid w:val="0070660A"/>
    <w:rsid w:val="00706BB4"/>
    <w:rsid w:val="00706E6E"/>
    <w:rsid w:val="0070742F"/>
    <w:rsid w:val="00707852"/>
    <w:rsid w:val="00707A48"/>
    <w:rsid w:val="00710A6D"/>
    <w:rsid w:val="00710D70"/>
    <w:rsid w:val="00710F15"/>
    <w:rsid w:val="007110A6"/>
    <w:rsid w:val="0071172E"/>
    <w:rsid w:val="0071182B"/>
    <w:rsid w:val="00712287"/>
    <w:rsid w:val="00712D5F"/>
    <w:rsid w:val="0071409C"/>
    <w:rsid w:val="00714147"/>
    <w:rsid w:val="00714765"/>
    <w:rsid w:val="00714784"/>
    <w:rsid w:val="00714C17"/>
    <w:rsid w:val="00715229"/>
    <w:rsid w:val="0071534F"/>
    <w:rsid w:val="007154D1"/>
    <w:rsid w:val="007158AC"/>
    <w:rsid w:val="00716124"/>
    <w:rsid w:val="00716C6F"/>
    <w:rsid w:val="00716CD0"/>
    <w:rsid w:val="00717349"/>
    <w:rsid w:val="0071776C"/>
    <w:rsid w:val="00717C32"/>
    <w:rsid w:val="00717FB4"/>
    <w:rsid w:val="00720B99"/>
    <w:rsid w:val="00720DF2"/>
    <w:rsid w:val="007215B4"/>
    <w:rsid w:val="00721735"/>
    <w:rsid w:val="00721C46"/>
    <w:rsid w:val="00722190"/>
    <w:rsid w:val="007228B4"/>
    <w:rsid w:val="00722C40"/>
    <w:rsid w:val="00723244"/>
    <w:rsid w:val="0072377A"/>
    <w:rsid w:val="007239D4"/>
    <w:rsid w:val="00724A26"/>
    <w:rsid w:val="00725513"/>
    <w:rsid w:val="007259A6"/>
    <w:rsid w:val="00726249"/>
    <w:rsid w:val="007264EE"/>
    <w:rsid w:val="00726942"/>
    <w:rsid w:val="00726ACF"/>
    <w:rsid w:val="00726C38"/>
    <w:rsid w:val="007274BC"/>
    <w:rsid w:val="007278C9"/>
    <w:rsid w:val="00727984"/>
    <w:rsid w:val="00727B47"/>
    <w:rsid w:val="00727D73"/>
    <w:rsid w:val="00730540"/>
    <w:rsid w:val="00730E01"/>
    <w:rsid w:val="00730EA3"/>
    <w:rsid w:val="00731010"/>
    <w:rsid w:val="00731232"/>
    <w:rsid w:val="00731BCF"/>
    <w:rsid w:val="00731D59"/>
    <w:rsid w:val="0073298C"/>
    <w:rsid w:val="00733260"/>
    <w:rsid w:val="00733956"/>
    <w:rsid w:val="00733D08"/>
    <w:rsid w:val="00733E2A"/>
    <w:rsid w:val="0073406F"/>
    <w:rsid w:val="0073458B"/>
    <w:rsid w:val="00734BC6"/>
    <w:rsid w:val="00734ECE"/>
    <w:rsid w:val="0073536A"/>
    <w:rsid w:val="0073633C"/>
    <w:rsid w:val="00736E74"/>
    <w:rsid w:val="00736F86"/>
    <w:rsid w:val="00737022"/>
    <w:rsid w:val="007376A5"/>
    <w:rsid w:val="00737892"/>
    <w:rsid w:val="00737C34"/>
    <w:rsid w:val="007401B7"/>
    <w:rsid w:val="00740D48"/>
    <w:rsid w:val="0074181D"/>
    <w:rsid w:val="007418FA"/>
    <w:rsid w:val="00741F8F"/>
    <w:rsid w:val="00742276"/>
    <w:rsid w:val="007422C0"/>
    <w:rsid w:val="00742425"/>
    <w:rsid w:val="00742559"/>
    <w:rsid w:val="0074489A"/>
    <w:rsid w:val="00744D0C"/>
    <w:rsid w:val="00744F29"/>
    <w:rsid w:val="0074517E"/>
    <w:rsid w:val="00745496"/>
    <w:rsid w:val="00745D4E"/>
    <w:rsid w:val="00746701"/>
    <w:rsid w:val="00746A96"/>
    <w:rsid w:val="00746F25"/>
    <w:rsid w:val="00747BCC"/>
    <w:rsid w:val="00747D9D"/>
    <w:rsid w:val="007505B7"/>
    <w:rsid w:val="007505DA"/>
    <w:rsid w:val="00750615"/>
    <w:rsid w:val="007506FD"/>
    <w:rsid w:val="007508D7"/>
    <w:rsid w:val="0075119F"/>
    <w:rsid w:val="0075127C"/>
    <w:rsid w:val="0075170F"/>
    <w:rsid w:val="00752247"/>
    <w:rsid w:val="007526EB"/>
    <w:rsid w:val="00752CF5"/>
    <w:rsid w:val="00752D51"/>
    <w:rsid w:val="0075331C"/>
    <w:rsid w:val="00753B2D"/>
    <w:rsid w:val="00753C11"/>
    <w:rsid w:val="00753CB2"/>
    <w:rsid w:val="00753FE1"/>
    <w:rsid w:val="007546C8"/>
    <w:rsid w:val="00754FDC"/>
    <w:rsid w:val="007552B8"/>
    <w:rsid w:val="00755C10"/>
    <w:rsid w:val="00755EA2"/>
    <w:rsid w:val="00755F3D"/>
    <w:rsid w:val="0075611F"/>
    <w:rsid w:val="00756172"/>
    <w:rsid w:val="00756BC8"/>
    <w:rsid w:val="007575DB"/>
    <w:rsid w:val="00757EFC"/>
    <w:rsid w:val="00760BB8"/>
    <w:rsid w:val="0076170A"/>
    <w:rsid w:val="00762514"/>
    <w:rsid w:val="007629DB"/>
    <w:rsid w:val="00762B8A"/>
    <w:rsid w:val="007632AF"/>
    <w:rsid w:val="00764426"/>
    <w:rsid w:val="0076467F"/>
    <w:rsid w:val="00764694"/>
    <w:rsid w:val="007649A9"/>
    <w:rsid w:val="00764BB9"/>
    <w:rsid w:val="00764BC3"/>
    <w:rsid w:val="00764BF4"/>
    <w:rsid w:val="00764FBA"/>
    <w:rsid w:val="00765363"/>
    <w:rsid w:val="00765441"/>
    <w:rsid w:val="00766578"/>
    <w:rsid w:val="00766802"/>
    <w:rsid w:val="00766AE9"/>
    <w:rsid w:val="00770741"/>
    <w:rsid w:val="0077076B"/>
    <w:rsid w:val="00770844"/>
    <w:rsid w:val="00770D1E"/>
    <w:rsid w:val="00770ECC"/>
    <w:rsid w:val="007710EC"/>
    <w:rsid w:val="00771DED"/>
    <w:rsid w:val="007720FC"/>
    <w:rsid w:val="00772564"/>
    <w:rsid w:val="00772CCD"/>
    <w:rsid w:val="00772F05"/>
    <w:rsid w:val="00773293"/>
    <w:rsid w:val="00773331"/>
    <w:rsid w:val="00774204"/>
    <w:rsid w:val="00774594"/>
    <w:rsid w:val="007747A9"/>
    <w:rsid w:val="00774B72"/>
    <w:rsid w:val="0077524D"/>
    <w:rsid w:val="00775B91"/>
    <w:rsid w:val="00775F73"/>
    <w:rsid w:val="007769A7"/>
    <w:rsid w:val="00776DE4"/>
    <w:rsid w:val="00777249"/>
    <w:rsid w:val="007778A6"/>
    <w:rsid w:val="007801DE"/>
    <w:rsid w:val="007805E0"/>
    <w:rsid w:val="00780C18"/>
    <w:rsid w:val="00780EEA"/>
    <w:rsid w:val="00780FBB"/>
    <w:rsid w:val="007815C7"/>
    <w:rsid w:val="00781E92"/>
    <w:rsid w:val="0078210D"/>
    <w:rsid w:val="00782236"/>
    <w:rsid w:val="00782353"/>
    <w:rsid w:val="00782357"/>
    <w:rsid w:val="00783431"/>
    <w:rsid w:val="007834A7"/>
    <w:rsid w:val="00783A2D"/>
    <w:rsid w:val="00783EAF"/>
    <w:rsid w:val="007842AA"/>
    <w:rsid w:val="00784429"/>
    <w:rsid w:val="00784548"/>
    <w:rsid w:val="00785009"/>
    <w:rsid w:val="007850E0"/>
    <w:rsid w:val="007851BE"/>
    <w:rsid w:val="00785515"/>
    <w:rsid w:val="00785F71"/>
    <w:rsid w:val="00785FE8"/>
    <w:rsid w:val="00785FFF"/>
    <w:rsid w:val="00786962"/>
    <w:rsid w:val="007872C7"/>
    <w:rsid w:val="00787A7E"/>
    <w:rsid w:val="00787DB8"/>
    <w:rsid w:val="00790D84"/>
    <w:rsid w:val="00791731"/>
    <w:rsid w:val="0079194F"/>
    <w:rsid w:val="007924D8"/>
    <w:rsid w:val="00792C44"/>
    <w:rsid w:val="00792C47"/>
    <w:rsid w:val="00792FC1"/>
    <w:rsid w:val="007932EF"/>
    <w:rsid w:val="00793486"/>
    <w:rsid w:val="00795A00"/>
    <w:rsid w:val="007963DF"/>
    <w:rsid w:val="0079672C"/>
    <w:rsid w:val="007A0B2E"/>
    <w:rsid w:val="007A12E0"/>
    <w:rsid w:val="007A16E3"/>
    <w:rsid w:val="007A1F55"/>
    <w:rsid w:val="007A1F9B"/>
    <w:rsid w:val="007A2737"/>
    <w:rsid w:val="007A2E68"/>
    <w:rsid w:val="007A33C3"/>
    <w:rsid w:val="007A3B23"/>
    <w:rsid w:val="007A4543"/>
    <w:rsid w:val="007A54A0"/>
    <w:rsid w:val="007A5BBA"/>
    <w:rsid w:val="007A5E24"/>
    <w:rsid w:val="007A6C90"/>
    <w:rsid w:val="007A7B6E"/>
    <w:rsid w:val="007B0026"/>
    <w:rsid w:val="007B0304"/>
    <w:rsid w:val="007B035D"/>
    <w:rsid w:val="007B043D"/>
    <w:rsid w:val="007B0703"/>
    <w:rsid w:val="007B0711"/>
    <w:rsid w:val="007B09A5"/>
    <w:rsid w:val="007B0E61"/>
    <w:rsid w:val="007B132A"/>
    <w:rsid w:val="007B140B"/>
    <w:rsid w:val="007B1B2E"/>
    <w:rsid w:val="007B206A"/>
    <w:rsid w:val="007B25CD"/>
    <w:rsid w:val="007B28D2"/>
    <w:rsid w:val="007B2A16"/>
    <w:rsid w:val="007B2D37"/>
    <w:rsid w:val="007B3009"/>
    <w:rsid w:val="007B3633"/>
    <w:rsid w:val="007B3ECA"/>
    <w:rsid w:val="007B4432"/>
    <w:rsid w:val="007B447D"/>
    <w:rsid w:val="007B48ED"/>
    <w:rsid w:val="007B49AF"/>
    <w:rsid w:val="007B4C21"/>
    <w:rsid w:val="007B53AA"/>
    <w:rsid w:val="007B556C"/>
    <w:rsid w:val="007B557D"/>
    <w:rsid w:val="007B5AAB"/>
    <w:rsid w:val="007B5BC5"/>
    <w:rsid w:val="007B6138"/>
    <w:rsid w:val="007B664B"/>
    <w:rsid w:val="007B6758"/>
    <w:rsid w:val="007B6A2E"/>
    <w:rsid w:val="007B7340"/>
    <w:rsid w:val="007B7926"/>
    <w:rsid w:val="007B7AB2"/>
    <w:rsid w:val="007C05F5"/>
    <w:rsid w:val="007C0C03"/>
    <w:rsid w:val="007C1285"/>
    <w:rsid w:val="007C2AF0"/>
    <w:rsid w:val="007C2C3E"/>
    <w:rsid w:val="007C31EE"/>
    <w:rsid w:val="007C38C5"/>
    <w:rsid w:val="007C3D35"/>
    <w:rsid w:val="007C3DCC"/>
    <w:rsid w:val="007C3E4B"/>
    <w:rsid w:val="007C48BD"/>
    <w:rsid w:val="007C4BED"/>
    <w:rsid w:val="007C4F8A"/>
    <w:rsid w:val="007C512C"/>
    <w:rsid w:val="007C5FC4"/>
    <w:rsid w:val="007C6066"/>
    <w:rsid w:val="007C61BF"/>
    <w:rsid w:val="007C65AE"/>
    <w:rsid w:val="007C679D"/>
    <w:rsid w:val="007C69F3"/>
    <w:rsid w:val="007C6C04"/>
    <w:rsid w:val="007C6C0C"/>
    <w:rsid w:val="007C6C60"/>
    <w:rsid w:val="007C6EDC"/>
    <w:rsid w:val="007C70FA"/>
    <w:rsid w:val="007C71A0"/>
    <w:rsid w:val="007C72F7"/>
    <w:rsid w:val="007C7D38"/>
    <w:rsid w:val="007D037F"/>
    <w:rsid w:val="007D1047"/>
    <w:rsid w:val="007D1922"/>
    <w:rsid w:val="007D193D"/>
    <w:rsid w:val="007D1B7C"/>
    <w:rsid w:val="007D2546"/>
    <w:rsid w:val="007D25B8"/>
    <w:rsid w:val="007D2E40"/>
    <w:rsid w:val="007D32DB"/>
    <w:rsid w:val="007D346A"/>
    <w:rsid w:val="007D3931"/>
    <w:rsid w:val="007D403F"/>
    <w:rsid w:val="007D40B2"/>
    <w:rsid w:val="007D4180"/>
    <w:rsid w:val="007D467C"/>
    <w:rsid w:val="007D4BBD"/>
    <w:rsid w:val="007D51B8"/>
    <w:rsid w:val="007D5215"/>
    <w:rsid w:val="007D549A"/>
    <w:rsid w:val="007D6B6A"/>
    <w:rsid w:val="007D73A0"/>
    <w:rsid w:val="007D77FC"/>
    <w:rsid w:val="007D7959"/>
    <w:rsid w:val="007D7969"/>
    <w:rsid w:val="007E058A"/>
    <w:rsid w:val="007E05B0"/>
    <w:rsid w:val="007E0908"/>
    <w:rsid w:val="007E0AC5"/>
    <w:rsid w:val="007E0EEE"/>
    <w:rsid w:val="007E0FEA"/>
    <w:rsid w:val="007E154E"/>
    <w:rsid w:val="007E1ECF"/>
    <w:rsid w:val="007E2068"/>
    <w:rsid w:val="007E24C5"/>
    <w:rsid w:val="007E2CDD"/>
    <w:rsid w:val="007E3250"/>
    <w:rsid w:val="007E4186"/>
    <w:rsid w:val="007E51AE"/>
    <w:rsid w:val="007E5396"/>
    <w:rsid w:val="007E57FB"/>
    <w:rsid w:val="007E5895"/>
    <w:rsid w:val="007E5D21"/>
    <w:rsid w:val="007E601F"/>
    <w:rsid w:val="007E6B5E"/>
    <w:rsid w:val="007E714A"/>
    <w:rsid w:val="007F07D7"/>
    <w:rsid w:val="007F29E7"/>
    <w:rsid w:val="007F2F29"/>
    <w:rsid w:val="007F360D"/>
    <w:rsid w:val="007F3A57"/>
    <w:rsid w:val="007F3EE2"/>
    <w:rsid w:val="007F3F27"/>
    <w:rsid w:val="007F3F32"/>
    <w:rsid w:val="007F44A8"/>
    <w:rsid w:val="007F5A45"/>
    <w:rsid w:val="007F5E4C"/>
    <w:rsid w:val="007F6316"/>
    <w:rsid w:val="007F7034"/>
    <w:rsid w:val="007F79DE"/>
    <w:rsid w:val="008006C8"/>
    <w:rsid w:val="00801578"/>
    <w:rsid w:val="00801B60"/>
    <w:rsid w:val="00802292"/>
    <w:rsid w:val="008025D6"/>
    <w:rsid w:val="00802CB7"/>
    <w:rsid w:val="008030F8"/>
    <w:rsid w:val="008032E0"/>
    <w:rsid w:val="008034FE"/>
    <w:rsid w:val="0080360D"/>
    <w:rsid w:val="00803BE5"/>
    <w:rsid w:val="00803C7D"/>
    <w:rsid w:val="00804B38"/>
    <w:rsid w:val="008061B2"/>
    <w:rsid w:val="008061D1"/>
    <w:rsid w:val="008067CC"/>
    <w:rsid w:val="00806B15"/>
    <w:rsid w:val="00806F16"/>
    <w:rsid w:val="00807811"/>
    <w:rsid w:val="00807BCC"/>
    <w:rsid w:val="008101F7"/>
    <w:rsid w:val="008104A9"/>
    <w:rsid w:val="008111A3"/>
    <w:rsid w:val="00811849"/>
    <w:rsid w:val="00811CF7"/>
    <w:rsid w:val="00811D29"/>
    <w:rsid w:val="00812140"/>
    <w:rsid w:val="008137BE"/>
    <w:rsid w:val="00814184"/>
    <w:rsid w:val="0081449D"/>
    <w:rsid w:val="0081482B"/>
    <w:rsid w:val="00814E6E"/>
    <w:rsid w:val="00816665"/>
    <w:rsid w:val="008173D2"/>
    <w:rsid w:val="00817402"/>
    <w:rsid w:val="0081754C"/>
    <w:rsid w:val="00817CCA"/>
    <w:rsid w:val="00817D48"/>
    <w:rsid w:val="008202FA"/>
    <w:rsid w:val="00820D56"/>
    <w:rsid w:val="00820D61"/>
    <w:rsid w:val="00821B38"/>
    <w:rsid w:val="008224D0"/>
    <w:rsid w:val="00822798"/>
    <w:rsid w:val="008227AD"/>
    <w:rsid w:val="008229A8"/>
    <w:rsid w:val="00822A34"/>
    <w:rsid w:val="00822A83"/>
    <w:rsid w:val="00822E37"/>
    <w:rsid w:val="00822F96"/>
    <w:rsid w:val="008241C7"/>
    <w:rsid w:val="00824A56"/>
    <w:rsid w:val="00824B7F"/>
    <w:rsid w:val="00824E32"/>
    <w:rsid w:val="00825D3D"/>
    <w:rsid w:val="008261C7"/>
    <w:rsid w:val="008262A9"/>
    <w:rsid w:val="0082706F"/>
    <w:rsid w:val="00827336"/>
    <w:rsid w:val="008278FF"/>
    <w:rsid w:val="00830815"/>
    <w:rsid w:val="0083090C"/>
    <w:rsid w:val="00830AA5"/>
    <w:rsid w:val="00830E15"/>
    <w:rsid w:val="008315E1"/>
    <w:rsid w:val="008315ED"/>
    <w:rsid w:val="00831D15"/>
    <w:rsid w:val="00831FAB"/>
    <w:rsid w:val="00832312"/>
    <w:rsid w:val="00832690"/>
    <w:rsid w:val="008326FF"/>
    <w:rsid w:val="00832EC1"/>
    <w:rsid w:val="008336BF"/>
    <w:rsid w:val="0083432A"/>
    <w:rsid w:val="008345FE"/>
    <w:rsid w:val="0083460B"/>
    <w:rsid w:val="008351C0"/>
    <w:rsid w:val="008352F0"/>
    <w:rsid w:val="00835570"/>
    <w:rsid w:val="008359BF"/>
    <w:rsid w:val="00835BBB"/>
    <w:rsid w:val="00835EC5"/>
    <w:rsid w:val="00835F93"/>
    <w:rsid w:val="00835FCF"/>
    <w:rsid w:val="008362A9"/>
    <w:rsid w:val="008370DD"/>
    <w:rsid w:val="00837482"/>
    <w:rsid w:val="008377B1"/>
    <w:rsid w:val="0084033E"/>
    <w:rsid w:val="00840E5C"/>
    <w:rsid w:val="00840FAF"/>
    <w:rsid w:val="00840FD3"/>
    <w:rsid w:val="00840FDD"/>
    <w:rsid w:val="008413E9"/>
    <w:rsid w:val="0084197E"/>
    <w:rsid w:val="00841A86"/>
    <w:rsid w:val="00841C22"/>
    <w:rsid w:val="00841FAA"/>
    <w:rsid w:val="00842223"/>
    <w:rsid w:val="00842506"/>
    <w:rsid w:val="00843027"/>
    <w:rsid w:val="00843617"/>
    <w:rsid w:val="00846426"/>
    <w:rsid w:val="008465EF"/>
    <w:rsid w:val="00847DA9"/>
    <w:rsid w:val="0085103B"/>
    <w:rsid w:val="008510AE"/>
    <w:rsid w:val="0085115A"/>
    <w:rsid w:val="00851534"/>
    <w:rsid w:val="008515C7"/>
    <w:rsid w:val="008519A6"/>
    <w:rsid w:val="00851CF2"/>
    <w:rsid w:val="00851E89"/>
    <w:rsid w:val="00852B01"/>
    <w:rsid w:val="00852EAE"/>
    <w:rsid w:val="00853005"/>
    <w:rsid w:val="008531B8"/>
    <w:rsid w:val="00853298"/>
    <w:rsid w:val="008532C5"/>
    <w:rsid w:val="0085408D"/>
    <w:rsid w:val="008544CD"/>
    <w:rsid w:val="00854B11"/>
    <w:rsid w:val="00854F9A"/>
    <w:rsid w:val="008550AD"/>
    <w:rsid w:val="00855184"/>
    <w:rsid w:val="008555B2"/>
    <w:rsid w:val="0085596F"/>
    <w:rsid w:val="00856448"/>
    <w:rsid w:val="00856DC0"/>
    <w:rsid w:val="00857438"/>
    <w:rsid w:val="008577A3"/>
    <w:rsid w:val="0086067A"/>
    <w:rsid w:val="008610DF"/>
    <w:rsid w:val="00861421"/>
    <w:rsid w:val="00861D99"/>
    <w:rsid w:val="00862BB4"/>
    <w:rsid w:val="00862EF9"/>
    <w:rsid w:val="008632FA"/>
    <w:rsid w:val="00863E11"/>
    <w:rsid w:val="00864D6D"/>
    <w:rsid w:val="00865074"/>
    <w:rsid w:val="00865ACA"/>
    <w:rsid w:val="00865D73"/>
    <w:rsid w:val="00866068"/>
    <w:rsid w:val="0086670B"/>
    <w:rsid w:val="008667C5"/>
    <w:rsid w:val="0086691B"/>
    <w:rsid w:val="00866C38"/>
    <w:rsid w:val="00867351"/>
    <w:rsid w:val="00867867"/>
    <w:rsid w:val="0087009C"/>
    <w:rsid w:val="008702C5"/>
    <w:rsid w:val="00870452"/>
    <w:rsid w:val="00870464"/>
    <w:rsid w:val="00870521"/>
    <w:rsid w:val="00870C33"/>
    <w:rsid w:val="00870E8D"/>
    <w:rsid w:val="00871032"/>
    <w:rsid w:val="00871943"/>
    <w:rsid w:val="00871CD1"/>
    <w:rsid w:val="00872211"/>
    <w:rsid w:val="008728E0"/>
    <w:rsid w:val="00873859"/>
    <w:rsid w:val="00873880"/>
    <w:rsid w:val="00873B4B"/>
    <w:rsid w:val="00874246"/>
    <w:rsid w:val="00874D22"/>
    <w:rsid w:val="00875800"/>
    <w:rsid w:val="00875E4B"/>
    <w:rsid w:val="00876E81"/>
    <w:rsid w:val="008772D1"/>
    <w:rsid w:val="00877578"/>
    <w:rsid w:val="00877BCF"/>
    <w:rsid w:val="00880060"/>
    <w:rsid w:val="00880391"/>
    <w:rsid w:val="00882121"/>
    <w:rsid w:val="008822F6"/>
    <w:rsid w:val="00882577"/>
    <w:rsid w:val="008838B6"/>
    <w:rsid w:val="00883CA9"/>
    <w:rsid w:val="00884018"/>
    <w:rsid w:val="00884DD1"/>
    <w:rsid w:val="00885307"/>
    <w:rsid w:val="0088570A"/>
    <w:rsid w:val="00885841"/>
    <w:rsid w:val="0088587C"/>
    <w:rsid w:val="00885C90"/>
    <w:rsid w:val="00886502"/>
    <w:rsid w:val="00886A31"/>
    <w:rsid w:val="00886CBE"/>
    <w:rsid w:val="00886E5B"/>
    <w:rsid w:val="00887D6E"/>
    <w:rsid w:val="00888FD0"/>
    <w:rsid w:val="0089056E"/>
    <w:rsid w:val="0089087D"/>
    <w:rsid w:val="00890A97"/>
    <w:rsid w:val="00890B7D"/>
    <w:rsid w:val="008911B7"/>
    <w:rsid w:val="008911CD"/>
    <w:rsid w:val="00891492"/>
    <w:rsid w:val="00891732"/>
    <w:rsid w:val="00891914"/>
    <w:rsid w:val="00891D90"/>
    <w:rsid w:val="00892183"/>
    <w:rsid w:val="00892C38"/>
    <w:rsid w:val="00893194"/>
    <w:rsid w:val="00893539"/>
    <w:rsid w:val="00894F2F"/>
    <w:rsid w:val="00896147"/>
    <w:rsid w:val="008961F5"/>
    <w:rsid w:val="008967E2"/>
    <w:rsid w:val="00896B06"/>
    <w:rsid w:val="00897639"/>
    <w:rsid w:val="008A01CE"/>
    <w:rsid w:val="008A0B2D"/>
    <w:rsid w:val="008A0E4F"/>
    <w:rsid w:val="008A1675"/>
    <w:rsid w:val="008A217B"/>
    <w:rsid w:val="008A2914"/>
    <w:rsid w:val="008A4FB2"/>
    <w:rsid w:val="008A500C"/>
    <w:rsid w:val="008A6C94"/>
    <w:rsid w:val="008A6D33"/>
    <w:rsid w:val="008A6DAF"/>
    <w:rsid w:val="008A71A7"/>
    <w:rsid w:val="008A7CD6"/>
    <w:rsid w:val="008A7F5F"/>
    <w:rsid w:val="008B0E20"/>
    <w:rsid w:val="008B12E9"/>
    <w:rsid w:val="008B1D2D"/>
    <w:rsid w:val="008B27E9"/>
    <w:rsid w:val="008B2D72"/>
    <w:rsid w:val="008B2D94"/>
    <w:rsid w:val="008B2FD6"/>
    <w:rsid w:val="008B357B"/>
    <w:rsid w:val="008B35DE"/>
    <w:rsid w:val="008B3752"/>
    <w:rsid w:val="008B425E"/>
    <w:rsid w:val="008B4964"/>
    <w:rsid w:val="008B4C32"/>
    <w:rsid w:val="008B4E57"/>
    <w:rsid w:val="008B4EF8"/>
    <w:rsid w:val="008B5517"/>
    <w:rsid w:val="008B5553"/>
    <w:rsid w:val="008B5843"/>
    <w:rsid w:val="008B5D91"/>
    <w:rsid w:val="008B5F11"/>
    <w:rsid w:val="008B6095"/>
    <w:rsid w:val="008B6700"/>
    <w:rsid w:val="008B67D5"/>
    <w:rsid w:val="008B6955"/>
    <w:rsid w:val="008B7BD3"/>
    <w:rsid w:val="008C12E7"/>
    <w:rsid w:val="008C211B"/>
    <w:rsid w:val="008C21AA"/>
    <w:rsid w:val="008C2665"/>
    <w:rsid w:val="008C2A42"/>
    <w:rsid w:val="008C2BCF"/>
    <w:rsid w:val="008C3215"/>
    <w:rsid w:val="008C3764"/>
    <w:rsid w:val="008C41D8"/>
    <w:rsid w:val="008C4226"/>
    <w:rsid w:val="008C42DD"/>
    <w:rsid w:val="008C48AF"/>
    <w:rsid w:val="008C4915"/>
    <w:rsid w:val="008C4F12"/>
    <w:rsid w:val="008C5463"/>
    <w:rsid w:val="008C5497"/>
    <w:rsid w:val="008C57C6"/>
    <w:rsid w:val="008C590E"/>
    <w:rsid w:val="008C597F"/>
    <w:rsid w:val="008C5E1B"/>
    <w:rsid w:val="008C6E96"/>
    <w:rsid w:val="008C6EF3"/>
    <w:rsid w:val="008C7B73"/>
    <w:rsid w:val="008C7EF4"/>
    <w:rsid w:val="008D00AD"/>
    <w:rsid w:val="008D03B9"/>
    <w:rsid w:val="008D0555"/>
    <w:rsid w:val="008D07AF"/>
    <w:rsid w:val="008D198B"/>
    <w:rsid w:val="008D1DDF"/>
    <w:rsid w:val="008D26B2"/>
    <w:rsid w:val="008D32E3"/>
    <w:rsid w:val="008D3320"/>
    <w:rsid w:val="008D34AC"/>
    <w:rsid w:val="008D34F5"/>
    <w:rsid w:val="008D38C6"/>
    <w:rsid w:val="008D3CAC"/>
    <w:rsid w:val="008D48B1"/>
    <w:rsid w:val="008D4A8A"/>
    <w:rsid w:val="008D5E27"/>
    <w:rsid w:val="008D6290"/>
    <w:rsid w:val="008D70DB"/>
    <w:rsid w:val="008D7EBD"/>
    <w:rsid w:val="008E0343"/>
    <w:rsid w:val="008E088D"/>
    <w:rsid w:val="008E09CD"/>
    <w:rsid w:val="008E0BBC"/>
    <w:rsid w:val="008E1647"/>
    <w:rsid w:val="008E1DE5"/>
    <w:rsid w:val="008E24A2"/>
    <w:rsid w:val="008E3027"/>
    <w:rsid w:val="008E354C"/>
    <w:rsid w:val="008E3862"/>
    <w:rsid w:val="008E3D0A"/>
    <w:rsid w:val="008E3E93"/>
    <w:rsid w:val="008E3FF3"/>
    <w:rsid w:val="008E4A42"/>
    <w:rsid w:val="008E4B31"/>
    <w:rsid w:val="008E4B3C"/>
    <w:rsid w:val="008E4D8E"/>
    <w:rsid w:val="008E4F39"/>
    <w:rsid w:val="008E53E5"/>
    <w:rsid w:val="008E779D"/>
    <w:rsid w:val="008E7C81"/>
    <w:rsid w:val="008F0573"/>
    <w:rsid w:val="008F0759"/>
    <w:rsid w:val="008F1342"/>
    <w:rsid w:val="008F178D"/>
    <w:rsid w:val="008F1AD5"/>
    <w:rsid w:val="008F1E9A"/>
    <w:rsid w:val="008F1F43"/>
    <w:rsid w:val="008F2161"/>
    <w:rsid w:val="008F2234"/>
    <w:rsid w:val="008F2905"/>
    <w:rsid w:val="008F2943"/>
    <w:rsid w:val="008F2A18"/>
    <w:rsid w:val="008F2B9E"/>
    <w:rsid w:val="008F2EC1"/>
    <w:rsid w:val="008F34F9"/>
    <w:rsid w:val="008F3745"/>
    <w:rsid w:val="008F3785"/>
    <w:rsid w:val="008F39BA"/>
    <w:rsid w:val="008F3AC5"/>
    <w:rsid w:val="008F406E"/>
    <w:rsid w:val="008F43B4"/>
    <w:rsid w:val="008F4722"/>
    <w:rsid w:val="008F47AF"/>
    <w:rsid w:val="008F47DC"/>
    <w:rsid w:val="008F4BD3"/>
    <w:rsid w:val="008F5A66"/>
    <w:rsid w:val="008F5BEA"/>
    <w:rsid w:val="008F6936"/>
    <w:rsid w:val="008F6E38"/>
    <w:rsid w:val="008F7E21"/>
    <w:rsid w:val="00900451"/>
    <w:rsid w:val="009005FF"/>
    <w:rsid w:val="00900D8E"/>
    <w:rsid w:val="00901AD2"/>
    <w:rsid w:val="00902011"/>
    <w:rsid w:val="00902B4C"/>
    <w:rsid w:val="00902F6D"/>
    <w:rsid w:val="0090346F"/>
    <w:rsid w:val="00903544"/>
    <w:rsid w:val="0090404D"/>
    <w:rsid w:val="00904902"/>
    <w:rsid w:val="00904943"/>
    <w:rsid w:val="00904AC6"/>
    <w:rsid w:val="00904E4D"/>
    <w:rsid w:val="009057E2"/>
    <w:rsid w:val="00905FE3"/>
    <w:rsid w:val="009063DE"/>
    <w:rsid w:val="009066BA"/>
    <w:rsid w:val="009071A0"/>
    <w:rsid w:val="009076E5"/>
    <w:rsid w:val="00907795"/>
    <w:rsid w:val="00907D33"/>
    <w:rsid w:val="0091078E"/>
    <w:rsid w:val="00910F9A"/>
    <w:rsid w:val="00911253"/>
    <w:rsid w:val="00911B81"/>
    <w:rsid w:val="00911E54"/>
    <w:rsid w:val="009126B4"/>
    <w:rsid w:val="0091333D"/>
    <w:rsid w:val="009135C9"/>
    <w:rsid w:val="009139B1"/>
    <w:rsid w:val="0091429E"/>
    <w:rsid w:val="00914C06"/>
    <w:rsid w:val="00915329"/>
    <w:rsid w:val="009159E8"/>
    <w:rsid w:val="00915BCE"/>
    <w:rsid w:val="009167A0"/>
    <w:rsid w:val="00916DB6"/>
    <w:rsid w:val="00917092"/>
    <w:rsid w:val="009174AA"/>
    <w:rsid w:val="00917581"/>
    <w:rsid w:val="00917588"/>
    <w:rsid w:val="00917E56"/>
    <w:rsid w:val="0092095C"/>
    <w:rsid w:val="00920E75"/>
    <w:rsid w:val="00920EDC"/>
    <w:rsid w:val="00921FD3"/>
    <w:rsid w:val="00921FD8"/>
    <w:rsid w:val="0092256F"/>
    <w:rsid w:val="009225D0"/>
    <w:rsid w:val="009229DF"/>
    <w:rsid w:val="00922E5B"/>
    <w:rsid w:val="009232DF"/>
    <w:rsid w:val="00923618"/>
    <w:rsid w:val="00923B01"/>
    <w:rsid w:val="00923D5A"/>
    <w:rsid w:val="0092406B"/>
    <w:rsid w:val="00924258"/>
    <w:rsid w:val="00924363"/>
    <w:rsid w:val="009245A7"/>
    <w:rsid w:val="00924AD0"/>
    <w:rsid w:val="00925393"/>
    <w:rsid w:val="009256B9"/>
    <w:rsid w:val="009258EE"/>
    <w:rsid w:val="00925AEE"/>
    <w:rsid w:val="00925F5F"/>
    <w:rsid w:val="0092640F"/>
    <w:rsid w:val="00926E56"/>
    <w:rsid w:val="009276DC"/>
    <w:rsid w:val="00927E08"/>
    <w:rsid w:val="00930962"/>
    <w:rsid w:val="00930A5A"/>
    <w:rsid w:val="00930D70"/>
    <w:rsid w:val="00931145"/>
    <w:rsid w:val="00931965"/>
    <w:rsid w:val="00932349"/>
    <w:rsid w:val="0093284F"/>
    <w:rsid w:val="00932854"/>
    <w:rsid w:val="009328B5"/>
    <w:rsid w:val="00932D6F"/>
    <w:rsid w:val="009332E8"/>
    <w:rsid w:val="00933543"/>
    <w:rsid w:val="00934483"/>
    <w:rsid w:val="00934540"/>
    <w:rsid w:val="009346C3"/>
    <w:rsid w:val="009352BD"/>
    <w:rsid w:val="00935689"/>
    <w:rsid w:val="00935749"/>
    <w:rsid w:val="00935A4F"/>
    <w:rsid w:val="00935A68"/>
    <w:rsid w:val="00935B1D"/>
    <w:rsid w:val="00936529"/>
    <w:rsid w:val="0093690C"/>
    <w:rsid w:val="00936C6B"/>
    <w:rsid w:val="00936E6A"/>
    <w:rsid w:val="00936F6F"/>
    <w:rsid w:val="00937249"/>
    <w:rsid w:val="0093740B"/>
    <w:rsid w:val="00937691"/>
    <w:rsid w:val="0093777C"/>
    <w:rsid w:val="009378D0"/>
    <w:rsid w:val="00937ED5"/>
    <w:rsid w:val="00940139"/>
    <w:rsid w:val="009402EF"/>
    <w:rsid w:val="00940551"/>
    <w:rsid w:val="00940CCE"/>
    <w:rsid w:val="00940F37"/>
    <w:rsid w:val="00941166"/>
    <w:rsid w:val="0094206E"/>
    <w:rsid w:val="00942377"/>
    <w:rsid w:val="009448D1"/>
    <w:rsid w:val="00944E5C"/>
    <w:rsid w:val="00945371"/>
    <w:rsid w:val="00945491"/>
    <w:rsid w:val="009454CD"/>
    <w:rsid w:val="009457F1"/>
    <w:rsid w:val="009467CA"/>
    <w:rsid w:val="0094788A"/>
    <w:rsid w:val="0094797D"/>
    <w:rsid w:val="00947ADB"/>
    <w:rsid w:val="00950317"/>
    <w:rsid w:val="009509A7"/>
    <w:rsid w:val="00950AB7"/>
    <w:rsid w:val="00950DE5"/>
    <w:rsid w:val="00950EEB"/>
    <w:rsid w:val="009511B7"/>
    <w:rsid w:val="00951551"/>
    <w:rsid w:val="00951706"/>
    <w:rsid w:val="00951D8A"/>
    <w:rsid w:val="0095229C"/>
    <w:rsid w:val="00953337"/>
    <w:rsid w:val="00953A74"/>
    <w:rsid w:val="0095410D"/>
    <w:rsid w:val="009548D3"/>
    <w:rsid w:val="00954F9C"/>
    <w:rsid w:val="009556CC"/>
    <w:rsid w:val="00955B47"/>
    <w:rsid w:val="00955E6B"/>
    <w:rsid w:val="009561B1"/>
    <w:rsid w:val="0095638B"/>
    <w:rsid w:val="009564AF"/>
    <w:rsid w:val="00956AF8"/>
    <w:rsid w:val="00957115"/>
    <w:rsid w:val="00957407"/>
    <w:rsid w:val="00960576"/>
    <w:rsid w:val="009610F2"/>
    <w:rsid w:val="009611F0"/>
    <w:rsid w:val="00961CB6"/>
    <w:rsid w:val="00961F90"/>
    <w:rsid w:val="00962299"/>
    <w:rsid w:val="00962528"/>
    <w:rsid w:val="00962D44"/>
    <w:rsid w:val="00962F4D"/>
    <w:rsid w:val="0096309A"/>
    <w:rsid w:val="00963238"/>
    <w:rsid w:val="009633DC"/>
    <w:rsid w:val="009635D5"/>
    <w:rsid w:val="00963BAD"/>
    <w:rsid w:val="00963E2A"/>
    <w:rsid w:val="009641F8"/>
    <w:rsid w:val="009644E8"/>
    <w:rsid w:val="00964823"/>
    <w:rsid w:val="0096494C"/>
    <w:rsid w:val="009658C5"/>
    <w:rsid w:val="00965FEE"/>
    <w:rsid w:val="00966552"/>
    <w:rsid w:val="00966BDF"/>
    <w:rsid w:val="00967689"/>
    <w:rsid w:val="009676A9"/>
    <w:rsid w:val="0097034D"/>
    <w:rsid w:val="00970E9D"/>
    <w:rsid w:val="00972054"/>
    <w:rsid w:val="00972061"/>
    <w:rsid w:val="009733B1"/>
    <w:rsid w:val="00973856"/>
    <w:rsid w:val="00974315"/>
    <w:rsid w:val="00974E75"/>
    <w:rsid w:val="009754E9"/>
    <w:rsid w:val="00975A39"/>
    <w:rsid w:val="00976056"/>
    <w:rsid w:val="0097610E"/>
    <w:rsid w:val="009764D7"/>
    <w:rsid w:val="009765C3"/>
    <w:rsid w:val="0097784D"/>
    <w:rsid w:val="00977853"/>
    <w:rsid w:val="0097789A"/>
    <w:rsid w:val="00980A60"/>
    <w:rsid w:val="00980B02"/>
    <w:rsid w:val="00980F78"/>
    <w:rsid w:val="009810E0"/>
    <w:rsid w:val="00981460"/>
    <w:rsid w:val="009826A2"/>
    <w:rsid w:val="009827D9"/>
    <w:rsid w:val="00982E55"/>
    <w:rsid w:val="00983648"/>
    <w:rsid w:val="009836E7"/>
    <w:rsid w:val="009837AC"/>
    <w:rsid w:val="009843A3"/>
    <w:rsid w:val="00984A92"/>
    <w:rsid w:val="00984C34"/>
    <w:rsid w:val="009853C7"/>
    <w:rsid w:val="0098562A"/>
    <w:rsid w:val="00985B23"/>
    <w:rsid w:val="00986253"/>
    <w:rsid w:val="009876E6"/>
    <w:rsid w:val="009903A5"/>
    <w:rsid w:val="00990589"/>
    <w:rsid w:val="00990D46"/>
    <w:rsid w:val="009910AF"/>
    <w:rsid w:val="00991BB8"/>
    <w:rsid w:val="00991CEC"/>
    <w:rsid w:val="009925BF"/>
    <w:rsid w:val="009928F5"/>
    <w:rsid w:val="00992C78"/>
    <w:rsid w:val="00993134"/>
    <w:rsid w:val="00993625"/>
    <w:rsid w:val="009936A2"/>
    <w:rsid w:val="009936A5"/>
    <w:rsid w:val="009937D0"/>
    <w:rsid w:val="009937E2"/>
    <w:rsid w:val="009940BE"/>
    <w:rsid w:val="009941B2"/>
    <w:rsid w:val="00995681"/>
    <w:rsid w:val="00995907"/>
    <w:rsid w:val="00995E0C"/>
    <w:rsid w:val="009968C2"/>
    <w:rsid w:val="00997201"/>
    <w:rsid w:val="00997298"/>
    <w:rsid w:val="009972C3"/>
    <w:rsid w:val="009974BC"/>
    <w:rsid w:val="00997570"/>
    <w:rsid w:val="00997803"/>
    <w:rsid w:val="00997D56"/>
    <w:rsid w:val="009A0038"/>
    <w:rsid w:val="009A1168"/>
    <w:rsid w:val="009A1450"/>
    <w:rsid w:val="009A15AB"/>
    <w:rsid w:val="009A1C08"/>
    <w:rsid w:val="009A1D4C"/>
    <w:rsid w:val="009A2382"/>
    <w:rsid w:val="009A3142"/>
    <w:rsid w:val="009A3213"/>
    <w:rsid w:val="009A3260"/>
    <w:rsid w:val="009A3972"/>
    <w:rsid w:val="009A3D0E"/>
    <w:rsid w:val="009A3DDF"/>
    <w:rsid w:val="009A3E2D"/>
    <w:rsid w:val="009A4A82"/>
    <w:rsid w:val="009A5DF9"/>
    <w:rsid w:val="009A6486"/>
    <w:rsid w:val="009A6BA7"/>
    <w:rsid w:val="009A7A3D"/>
    <w:rsid w:val="009B0A95"/>
    <w:rsid w:val="009B0B4A"/>
    <w:rsid w:val="009B0D91"/>
    <w:rsid w:val="009B1BF2"/>
    <w:rsid w:val="009B1CBE"/>
    <w:rsid w:val="009B3F84"/>
    <w:rsid w:val="009B440C"/>
    <w:rsid w:val="009B44E8"/>
    <w:rsid w:val="009B463D"/>
    <w:rsid w:val="009B488E"/>
    <w:rsid w:val="009B4969"/>
    <w:rsid w:val="009B4EB8"/>
    <w:rsid w:val="009B4F90"/>
    <w:rsid w:val="009B5134"/>
    <w:rsid w:val="009B5141"/>
    <w:rsid w:val="009B5212"/>
    <w:rsid w:val="009B5DDB"/>
    <w:rsid w:val="009B66B4"/>
    <w:rsid w:val="009B69D1"/>
    <w:rsid w:val="009B6AF3"/>
    <w:rsid w:val="009B6F85"/>
    <w:rsid w:val="009B7259"/>
    <w:rsid w:val="009B72D3"/>
    <w:rsid w:val="009B75BF"/>
    <w:rsid w:val="009B7A23"/>
    <w:rsid w:val="009B7D19"/>
    <w:rsid w:val="009B7D2F"/>
    <w:rsid w:val="009C036B"/>
    <w:rsid w:val="009C103B"/>
    <w:rsid w:val="009C1085"/>
    <w:rsid w:val="009C2248"/>
    <w:rsid w:val="009C2EBC"/>
    <w:rsid w:val="009C31B8"/>
    <w:rsid w:val="009C4AA3"/>
    <w:rsid w:val="009C4B68"/>
    <w:rsid w:val="009C52A4"/>
    <w:rsid w:val="009C52C8"/>
    <w:rsid w:val="009C6332"/>
    <w:rsid w:val="009C63B3"/>
    <w:rsid w:val="009C64E2"/>
    <w:rsid w:val="009C6D4B"/>
    <w:rsid w:val="009C6E9A"/>
    <w:rsid w:val="009C72BE"/>
    <w:rsid w:val="009C750A"/>
    <w:rsid w:val="009C7C78"/>
    <w:rsid w:val="009D0A31"/>
    <w:rsid w:val="009D0E50"/>
    <w:rsid w:val="009D1936"/>
    <w:rsid w:val="009D22D2"/>
    <w:rsid w:val="009D3252"/>
    <w:rsid w:val="009D4200"/>
    <w:rsid w:val="009D5407"/>
    <w:rsid w:val="009D56E7"/>
    <w:rsid w:val="009D5C54"/>
    <w:rsid w:val="009D70A7"/>
    <w:rsid w:val="009D76F1"/>
    <w:rsid w:val="009D77BB"/>
    <w:rsid w:val="009D7A81"/>
    <w:rsid w:val="009E14CD"/>
    <w:rsid w:val="009E1E33"/>
    <w:rsid w:val="009E1F33"/>
    <w:rsid w:val="009E2392"/>
    <w:rsid w:val="009E2727"/>
    <w:rsid w:val="009E2A5B"/>
    <w:rsid w:val="009E34B4"/>
    <w:rsid w:val="009E3782"/>
    <w:rsid w:val="009E3B9E"/>
    <w:rsid w:val="009E3CA7"/>
    <w:rsid w:val="009E3FB6"/>
    <w:rsid w:val="009E5027"/>
    <w:rsid w:val="009E58D6"/>
    <w:rsid w:val="009E58EE"/>
    <w:rsid w:val="009E59B5"/>
    <w:rsid w:val="009E5AAD"/>
    <w:rsid w:val="009E5C8C"/>
    <w:rsid w:val="009E613E"/>
    <w:rsid w:val="009E70D5"/>
    <w:rsid w:val="009E74C0"/>
    <w:rsid w:val="009E7D2A"/>
    <w:rsid w:val="009F07D8"/>
    <w:rsid w:val="009F0992"/>
    <w:rsid w:val="009F0DA7"/>
    <w:rsid w:val="009F120F"/>
    <w:rsid w:val="009F1227"/>
    <w:rsid w:val="009F1F35"/>
    <w:rsid w:val="009F2F43"/>
    <w:rsid w:val="009F3408"/>
    <w:rsid w:val="009F351F"/>
    <w:rsid w:val="009F38C1"/>
    <w:rsid w:val="009F39A9"/>
    <w:rsid w:val="009F4722"/>
    <w:rsid w:val="009F4F1B"/>
    <w:rsid w:val="009F5901"/>
    <w:rsid w:val="009F60C7"/>
    <w:rsid w:val="009F64C5"/>
    <w:rsid w:val="009F68C6"/>
    <w:rsid w:val="009F694C"/>
    <w:rsid w:val="009F755B"/>
    <w:rsid w:val="009F7ABC"/>
    <w:rsid w:val="00A002DD"/>
    <w:rsid w:val="00A021A1"/>
    <w:rsid w:val="00A028A5"/>
    <w:rsid w:val="00A02C97"/>
    <w:rsid w:val="00A032CB"/>
    <w:rsid w:val="00A0441F"/>
    <w:rsid w:val="00A05271"/>
    <w:rsid w:val="00A0570D"/>
    <w:rsid w:val="00A05C1E"/>
    <w:rsid w:val="00A05C64"/>
    <w:rsid w:val="00A05E09"/>
    <w:rsid w:val="00A063B2"/>
    <w:rsid w:val="00A06A40"/>
    <w:rsid w:val="00A073AA"/>
    <w:rsid w:val="00A07547"/>
    <w:rsid w:val="00A07A05"/>
    <w:rsid w:val="00A07F1C"/>
    <w:rsid w:val="00A07F83"/>
    <w:rsid w:val="00A103AE"/>
    <w:rsid w:val="00A11B54"/>
    <w:rsid w:val="00A11B5C"/>
    <w:rsid w:val="00A11D6A"/>
    <w:rsid w:val="00A120D0"/>
    <w:rsid w:val="00A122DA"/>
    <w:rsid w:val="00A12433"/>
    <w:rsid w:val="00A1251F"/>
    <w:rsid w:val="00A126EF"/>
    <w:rsid w:val="00A12E53"/>
    <w:rsid w:val="00A1307D"/>
    <w:rsid w:val="00A13F96"/>
    <w:rsid w:val="00A14175"/>
    <w:rsid w:val="00A141C9"/>
    <w:rsid w:val="00A15730"/>
    <w:rsid w:val="00A16288"/>
    <w:rsid w:val="00A16C52"/>
    <w:rsid w:val="00A1783F"/>
    <w:rsid w:val="00A20AAD"/>
    <w:rsid w:val="00A2184E"/>
    <w:rsid w:val="00A21B4D"/>
    <w:rsid w:val="00A21C27"/>
    <w:rsid w:val="00A21D83"/>
    <w:rsid w:val="00A22228"/>
    <w:rsid w:val="00A2420B"/>
    <w:rsid w:val="00A242AB"/>
    <w:rsid w:val="00A25558"/>
    <w:rsid w:val="00A25709"/>
    <w:rsid w:val="00A25B5A"/>
    <w:rsid w:val="00A26E77"/>
    <w:rsid w:val="00A2702E"/>
    <w:rsid w:val="00A27054"/>
    <w:rsid w:val="00A2713B"/>
    <w:rsid w:val="00A27BC1"/>
    <w:rsid w:val="00A27E19"/>
    <w:rsid w:val="00A308E1"/>
    <w:rsid w:val="00A30A80"/>
    <w:rsid w:val="00A30FB9"/>
    <w:rsid w:val="00A31272"/>
    <w:rsid w:val="00A3159F"/>
    <w:rsid w:val="00A3189F"/>
    <w:rsid w:val="00A31F42"/>
    <w:rsid w:val="00A3222D"/>
    <w:rsid w:val="00A32747"/>
    <w:rsid w:val="00A32865"/>
    <w:rsid w:val="00A3294D"/>
    <w:rsid w:val="00A32C66"/>
    <w:rsid w:val="00A32CDD"/>
    <w:rsid w:val="00A3306C"/>
    <w:rsid w:val="00A33B15"/>
    <w:rsid w:val="00A3534A"/>
    <w:rsid w:val="00A35588"/>
    <w:rsid w:val="00A35A54"/>
    <w:rsid w:val="00A36189"/>
    <w:rsid w:val="00A36E84"/>
    <w:rsid w:val="00A36FCB"/>
    <w:rsid w:val="00A3716C"/>
    <w:rsid w:val="00A37ECB"/>
    <w:rsid w:val="00A3E007"/>
    <w:rsid w:val="00A41543"/>
    <w:rsid w:val="00A41C34"/>
    <w:rsid w:val="00A41DCA"/>
    <w:rsid w:val="00A42291"/>
    <w:rsid w:val="00A43137"/>
    <w:rsid w:val="00A437AD"/>
    <w:rsid w:val="00A438A1"/>
    <w:rsid w:val="00A43C69"/>
    <w:rsid w:val="00A4462C"/>
    <w:rsid w:val="00A455D9"/>
    <w:rsid w:val="00A45E5C"/>
    <w:rsid w:val="00A468E3"/>
    <w:rsid w:val="00A47013"/>
    <w:rsid w:val="00A47B14"/>
    <w:rsid w:val="00A500BE"/>
    <w:rsid w:val="00A5047A"/>
    <w:rsid w:val="00A50755"/>
    <w:rsid w:val="00A51567"/>
    <w:rsid w:val="00A51E0A"/>
    <w:rsid w:val="00A51E7E"/>
    <w:rsid w:val="00A52D7A"/>
    <w:rsid w:val="00A52F40"/>
    <w:rsid w:val="00A53945"/>
    <w:rsid w:val="00A53B6A"/>
    <w:rsid w:val="00A54311"/>
    <w:rsid w:val="00A545EE"/>
    <w:rsid w:val="00A54B0C"/>
    <w:rsid w:val="00A555BE"/>
    <w:rsid w:val="00A55BEE"/>
    <w:rsid w:val="00A561D0"/>
    <w:rsid w:val="00A56D8B"/>
    <w:rsid w:val="00A56DEB"/>
    <w:rsid w:val="00A573D4"/>
    <w:rsid w:val="00A577E5"/>
    <w:rsid w:val="00A5A0CE"/>
    <w:rsid w:val="00A60114"/>
    <w:rsid w:val="00A61213"/>
    <w:rsid w:val="00A62F4F"/>
    <w:rsid w:val="00A62F6B"/>
    <w:rsid w:val="00A631A1"/>
    <w:rsid w:val="00A63245"/>
    <w:rsid w:val="00A63DE2"/>
    <w:rsid w:val="00A63DFE"/>
    <w:rsid w:val="00A6407D"/>
    <w:rsid w:val="00A64642"/>
    <w:rsid w:val="00A6464E"/>
    <w:rsid w:val="00A64813"/>
    <w:rsid w:val="00A6528B"/>
    <w:rsid w:val="00A65678"/>
    <w:rsid w:val="00A65832"/>
    <w:rsid w:val="00A658EA"/>
    <w:rsid w:val="00A658FD"/>
    <w:rsid w:val="00A65CAB"/>
    <w:rsid w:val="00A66395"/>
    <w:rsid w:val="00A664A4"/>
    <w:rsid w:val="00A666E3"/>
    <w:rsid w:val="00A66EAE"/>
    <w:rsid w:val="00A678C1"/>
    <w:rsid w:val="00A67A68"/>
    <w:rsid w:val="00A7005E"/>
    <w:rsid w:val="00A706B8"/>
    <w:rsid w:val="00A721D4"/>
    <w:rsid w:val="00A72BE5"/>
    <w:rsid w:val="00A734D0"/>
    <w:rsid w:val="00A736EE"/>
    <w:rsid w:val="00A73FFD"/>
    <w:rsid w:val="00A74685"/>
    <w:rsid w:val="00A74AA7"/>
    <w:rsid w:val="00A75433"/>
    <w:rsid w:val="00A76498"/>
    <w:rsid w:val="00A76A93"/>
    <w:rsid w:val="00A76DCD"/>
    <w:rsid w:val="00A77283"/>
    <w:rsid w:val="00A77B23"/>
    <w:rsid w:val="00A7DBD4"/>
    <w:rsid w:val="00A802BA"/>
    <w:rsid w:val="00A80672"/>
    <w:rsid w:val="00A80E16"/>
    <w:rsid w:val="00A80FF3"/>
    <w:rsid w:val="00A811A3"/>
    <w:rsid w:val="00A81427"/>
    <w:rsid w:val="00A81CAB"/>
    <w:rsid w:val="00A81ECF"/>
    <w:rsid w:val="00A834D0"/>
    <w:rsid w:val="00A836ED"/>
    <w:rsid w:val="00A8439C"/>
    <w:rsid w:val="00A84AA5"/>
    <w:rsid w:val="00A84B9D"/>
    <w:rsid w:val="00A84ECD"/>
    <w:rsid w:val="00A85BEA"/>
    <w:rsid w:val="00A85DD6"/>
    <w:rsid w:val="00A86016"/>
    <w:rsid w:val="00A867EB"/>
    <w:rsid w:val="00A86EC0"/>
    <w:rsid w:val="00A879F7"/>
    <w:rsid w:val="00A87E96"/>
    <w:rsid w:val="00A9020D"/>
    <w:rsid w:val="00A904DE"/>
    <w:rsid w:val="00A9054E"/>
    <w:rsid w:val="00A908E6"/>
    <w:rsid w:val="00A9098B"/>
    <w:rsid w:val="00A90AF1"/>
    <w:rsid w:val="00A90C20"/>
    <w:rsid w:val="00A91245"/>
    <w:rsid w:val="00A915A4"/>
    <w:rsid w:val="00A91CE4"/>
    <w:rsid w:val="00A92063"/>
    <w:rsid w:val="00A92414"/>
    <w:rsid w:val="00A925B6"/>
    <w:rsid w:val="00A9261D"/>
    <w:rsid w:val="00A9345D"/>
    <w:rsid w:val="00A93A98"/>
    <w:rsid w:val="00A93CC2"/>
    <w:rsid w:val="00A94093"/>
    <w:rsid w:val="00A944DF"/>
    <w:rsid w:val="00A94C4B"/>
    <w:rsid w:val="00A954DF"/>
    <w:rsid w:val="00A9594E"/>
    <w:rsid w:val="00A96231"/>
    <w:rsid w:val="00A96D60"/>
    <w:rsid w:val="00A96E28"/>
    <w:rsid w:val="00A9728E"/>
    <w:rsid w:val="00A97B41"/>
    <w:rsid w:val="00A97DC2"/>
    <w:rsid w:val="00AA0047"/>
    <w:rsid w:val="00AA04C2"/>
    <w:rsid w:val="00AA0A05"/>
    <w:rsid w:val="00AA0B33"/>
    <w:rsid w:val="00AA12CF"/>
    <w:rsid w:val="00AA2192"/>
    <w:rsid w:val="00AA3201"/>
    <w:rsid w:val="00AA3533"/>
    <w:rsid w:val="00AA3671"/>
    <w:rsid w:val="00AA3B2C"/>
    <w:rsid w:val="00AA4174"/>
    <w:rsid w:val="00AA47DA"/>
    <w:rsid w:val="00AA4A7E"/>
    <w:rsid w:val="00AA4F44"/>
    <w:rsid w:val="00AA5097"/>
    <w:rsid w:val="00AA540A"/>
    <w:rsid w:val="00AA57D0"/>
    <w:rsid w:val="00AA5B86"/>
    <w:rsid w:val="00AA5FF6"/>
    <w:rsid w:val="00AA68A6"/>
    <w:rsid w:val="00AA6AF0"/>
    <w:rsid w:val="00AA6C8D"/>
    <w:rsid w:val="00AA6D92"/>
    <w:rsid w:val="00AA7307"/>
    <w:rsid w:val="00AA747F"/>
    <w:rsid w:val="00AA78FD"/>
    <w:rsid w:val="00AA7FA4"/>
    <w:rsid w:val="00AB01B6"/>
    <w:rsid w:val="00AB05C4"/>
    <w:rsid w:val="00AB15EE"/>
    <w:rsid w:val="00AB1618"/>
    <w:rsid w:val="00AB1962"/>
    <w:rsid w:val="00AB2A83"/>
    <w:rsid w:val="00AB33E8"/>
    <w:rsid w:val="00AB417F"/>
    <w:rsid w:val="00AB441C"/>
    <w:rsid w:val="00AB4A98"/>
    <w:rsid w:val="00AB4F13"/>
    <w:rsid w:val="00AB538F"/>
    <w:rsid w:val="00AB5AD1"/>
    <w:rsid w:val="00AB6307"/>
    <w:rsid w:val="00AB6627"/>
    <w:rsid w:val="00AB6FD9"/>
    <w:rsid w:val="00AB7225"/>
    <w:rsid w:val="00AB7396"/>
    <w:rsid w:val="00AB7ECD"/>
    <w:rsid w:val="00AB7F01"/>
    <w:rsid w:val="00AC13EE"/>
    <w:rsid w:val="00AC13F7"/>
    <w:rsid w:val="00AC1467"/>
    <w:rsid w:val="00AC1AC3"/>
    <w:rsid w:val="00AC24F8"/>
    <w:rsid w:val="00AC2815"/>
    <w:rsid w:val="00AC28A6"/>
    <w:rsid w:val="00AC28CE"/>
    <w:rsid w:val="00AC31D0"/>
    <w:rsid w:val="00AC3546"/>
    <w:rsid w:val="00AC3846"/>
    <w:rsid w:val="00AC436A"/>
    <w:rsid w:val="00AC4C33"/>
    <w:rsid w:val="00AC4EFE"/>
    <w:rsid w:val="00AC52D0"/>
    <w:rsid w:val="00AC5917"/>
    <w:rsid w:val="00AC5A86"/>
    <w:rsid w:val="00AC6B47"/>
    <w:rsid w:val="00AC768C"/>
    <w:rsid w:val="00AC7E7C"/>
    <w:rsid w:val="00AD2091"/>
    <w:rsid w:val="00AD3CFB"/>
    <w:rsid w:val="00AD4618"/>
    <w:rsid w:val="00AD4798"/>
    <w:rsid w:val="00AD5AAD"/>
    <w:rsid w:val="00AD611B"/>
    <w:rsid w:val="00AD6498"/>
    <w:rsid w:val="00AD6505"/>
    <w:rsid w:val="00AD67F7"/>
    <w:rsid w:val="00AD6A87"/>
    <w:rsid w:val="00AD7646"/>
    <w:rsid w:val="00AD766E"/>
    <w:rsid w:val="00AD76E4"/>
    <w:rsid w:val="00AD7F9B"/>
    <w:rsid w:val="00AE04E5"/>
    <w:rsid w:val="00AE0933"/>
    <w:rsid w:val="00AE0FA4"/>
    <w:rsid w:val="00AE1B81"/>
    <w:rsid w:val="00AE2959"/>
    <w:rsid w:val="00AE2B0A"/>
    <w:rsid w:val="00AE3C37"/>
    <w:rsid w:val="00AE406E"/>
    <w:rsid w:val="00AE417A"/>
    <w:rsid w:val="00AE4702"/>
    <w:rsid w:val="00AE4D71"/>
    <w:rsid w:val="00AE4D98"/>
    <w:rsid w:val="00AE4EDB"/>
    <w:rsid w:val="00AE56DC"/>
    <w:rsid w:val="00AE592B"/>
    <w:rsid w:val="00AE5BCC"/>
    <w:rsid w:val="00AE613B"/>
    <w:rsid w:val="00AE6E8C"/>
    <w:rsid w:val="00AE74A8"/>
    <w:rsid w:val="00AE7726"/>
    <w:rsid w:val="00AE7AE0"/>
    <w:rsid w:val="00AF00E0"/>
    <w:rsid w:val="00AF07BC"/>
    <w:rsid w:val="00AF09A8"/>
    <w:rsid w:val="00AF0B0C"/>
    <w:rsid w:val="00AF0B7E"/>
    <w:rsid w:val="00AF0CDF"/>
    <w:rsid w:val="00AF11E6"/>
    <w:rsid w:val="00AF1233"/>
    <w:rsid w:val="00AF1746"/>
    <w:rsid w:val="00AF1973"/>
    <w:rsid w:val="00AF1B30"/>
    <w:rsid w:val="00AF224A"/>
    <w:rsid w:val="00AF2E25"/>
    <w:rsid w:val="00AF35EE"/>
    <w:rsid w:val="00AF378F"/>
    <w:rsid w:val="00AF3A79"/>
    <w:rsid w:val="00AF3CDE"/>
    <w:rsid w:val="00AF423E"/>
    <w:rsid w:val="00AF435C"/>
    <w:rsid w:val="00AF44CA"/>
    <w:rsid w:val="00AF46A1"/>
    <w:rsid w:val="00AF4732"/>
    <w:rsid w:val="00AF4739"/>
    <w:rsid w:val="00AF4DAA"/>
    <w:rsid w:val="00AF5550"/>
    <w:rsid w:val="00AF578C"/>
    <w:rsid w:val="00AF5C91"/>
    <w:rsid w:val="00AF69BA"/>
    <w:rsid w:val="00AF76A4"/>
    <w:rsid w:val="00AF7772"/>
    <w:rsid w:val="00B010FD"/>
    <w:rsid w:val="00B0133C"/>
    <w:rsid w:val="00B01AB4"/>
    <w:rsid w:val="00B01DA5"/>
    <w:rsid w:val="00B0374B"/>
    <w:rsid w:val="00B03C9C"/>
    <w:rsid w:val="00B04570"/>
    <w:rsid w:val="00B04778"/>
    <w:rsid w:val="00B05895"/>
    <w:rsid w:val="00B061AE"/>
    <w:rsid w:val="00B07BFA"/>
    <w:rsid w:val="00B07E16"/>
    <w:rsid w:val="00B102FA"/>
    <w:rsid w:val="00B10457"/>
    <w:rsid w:val="00B10B82"/>
    <w:rsid w:val="00B10C59"/>
    <w:rsid w:val="00B10D0D"/>
    <w:rsid w:val="00B10F36"/>
    <w:rsid w:val="00B11884"/>
    <w:rsid w:val="00B11AFF"/>
    <w:rsid w:val="00B11B37"/>
    <w:rsid w:val="00B11B44"/>
    <w:rsid w:val="00B11B82"/>
    <w:rsid w:val="00B11F40"/>
    <w:rsid w:val="00B12260"/>
    <w:rsid w:val="00B122D7"/>
    <w:rsid w:val="00B12540"/>
    <w:rsid w:val="00B13951"/>
    <w:rsid w:val="00B13D3A"/>
    <w:rsid w:val="00B13DD0"/>
    <w:rsid w:val="00B13E15"/>
    <w:rsid w:val="00B1432B"/>
    <w:rsid w:val="00B14AF0"/>
    <w:rsid w:val="00B15222"/>
    <w:rsid w:val="00B16042"/>
    <w:rsid w:val="00B16757"/>
    <w:rsid w:val="00B16C4F"/>
    <w:rsid w:val="00B1727D"/>
    <w:rsid w:val="00B17815"/>
    <w:rsid w:val="00B17A63"/>
    <w:rsid w:val="00B21A60"/>
    <w:rsid w:val="00B22F31"/>
    <w:rsid w:val="00B23662"/>
    <w:rsid w:val="00B238C8"/>
    <w:rsid w:val="00B23DA0"/>
    <w:rsid w:val="00B24586"/>
    <w:rsid w:val="00B262E3"/>
    <w:rsid w:val="00B268F4"/>
    <w:rsid w:val="00B26B75"/>
    <w:rsid w:val="00B26D28"/>
    <w:rsid w:val="00B27187"/>
    <w:rsid w:val="00B273F8"/>
    <w:rsid w:val="00B2768A"/>
    <w:rsid w:val="00B302F0"/>
    <w:rsid w:val="00B3075B"/>
    <w:rsid w:val="00B30D22"/>
    <w:rsid w:val="00B3197D"/>
    <w:rsid w:val="00B31986"/>
    <w:rsid w:val="00B3209C"/>
    <w:rsid w:val="00B3276C"/>
    <w:rsid w:val="00B329BF"/>
    <w:rsid w:val="00B32A36"/>
    <w:rsid w:val="00B3306B"/>
    <w:rsid w:val="00B3345B"/>
    <w:rsid w:val="00B33ABC"/>
    <w:rsid w:val="00B34D84"/>
    <w:rsid w:val="00B34F1B"/>
    <w:rsid w:val="00B356C3"/>
    <w:rsid w:val="00B359A2"/>
    <w:rsid w:val="00B35A9B"/>
    <w:rsid w:val="00B35DBB"/>
    <w:rsid w:val="00B36291"/>
    <w:rsid w:val="00B36896"/>
    <w:rsid w:val="00B36B72"/>
    <w:rsid w:val="00B370BD"/>
    <w:rsid w:val="00B37BCD"/>
    <w:rsid w:val="00B37CA1"/>
    <w:rsid w:val="00B40204"/>
    <w:rsid w:val="00B40880"/>
    <w:rsid w:val="00B40D0A"/>
    <w:rsid w:val="00B40ED1"/>
    <w:rsid w:val="00B4108E"/>
    <w:rsid w:val="00B4164C"/>
    <w:rsid w:val="00B41E74"/>
    <w:rsid w:val="00B4280A"/>
    <w:rsid w:val="00B42F2D"/>
    <w:rsid w:val="00B436DA"/>
    <w:rsid w:val="00B43839"/>
    <w:rsid w:val="00B43B11"/>
    <w:rsid w:val="00B44412"/>
    <w:rsid w:val="00B44F57"/>
    <w:rsid w:val="00B451B2"/>
    <w:rsid w:val="00B454E3"/>
    <w:rsid w:val="00B458E1"/>
    <w:rsid w:val="00B46DC7"/>
    <w:rsid w:val="00B4706E"/>
    <w:rsid w:val="00B472B9"/>
    <w:rsid w:val="00B47B63"/>
    <w:rsid w:val="00B47B89"/>
    <w:rsid w:val="00B47E0A"/>
    <w:rsid w:val="00B50B2B"/>
    <w:rsid w:val="00B50CE3"/>
    <w:rsid w:val="00B51B2D"/>
    <w:rsid w:val="00B51FF9"/>
    <w:rsid w:val="00B521C9"/>
    <w:rsid w:val="00B52C8C"/>
    <w:rsid w:val="00B53853"/>
    <w:rsid w:val="00B53926"/>
    <w:rsid w:val="00B53AB5"/>
    <w:rsid w:val="00B53BAC"/>
    <w:rsid w:val="00B543F9"/>
    <w:rsid w:val="00B54443"/>
    <w:rsid w:val="00B54594"/>
    <w:rsid w:val="00B54796"/>
    <w:rsid w:val="00B54B1B"/>
    <w:rsid w:val="00B54D9F"/>
    <w:rsid w:val="00B55188"/>
    <w:rsid w:val="00B554D7"/>
    <w:rsid w:val="00B55688"/>
    <w:rsid w:val="00B55D91"/>
    <w:rsid w:val="00B5605D"/>
    <w:rsid w:val="00B560CF"/>
    <w:rsid w:val="00B5628C"/>
    <w:rsid w:val="00B56502"/>
    <w:rsid w:val="00B56638"/>
    <w:rsid w:val="00B56FB8"/>
    <w:rsid w:val="00B5709E"/>
    <w:rsid w:val="00B5760F"/>
    <w:rsid w:val="00B57D9F"/>
    <w:rsid w:val="00B57F69"/>
    <w:rsid w:val="00B60017"/>
    <w:rsid w:val="00B603C8"/>
    <w:rsid w:val="00B60718"/>
    <w:rsid w:val="00B607EC"/>
    <w:rsid w:val="00B6091C"/>
    <w:rsid w:val="00B60B43"/>
    <w:rsid w:val="00B60DAC"/>
    <w:rsid w:val="00B6173F"/>
    <w:rsid w:val="00B61772"/>
    <w:rsid w:val="00B619EF"/>
    <w:rsid w:val="00B61FFB"/>
    <w:rsid w:val="00B627FA"/>
    <w:rsid w:val="00B629EB"/>
    <w:rsid w:val="00B63027"/>
    <w:rsid w:val="00B633ED"/>
    <w:rsid w:val="00B635C3"/>
    <w:rsid w:val="00B637DE"/>
    <w:rsid w:val="00B63E76"/>
    <w:rsid w:val="00B6402B"/>
    <w:rsid w:val="00B67037"/>
    <w:rsid w:val="00B67F84"/>
    <w:rsid w:val="00B70B1C"/>
    <w:rsid w:val="00B71212"/>
    <w:rsid w:val="00B7136A"/>
    <w:rsid w:val="00B718DB"/>
    <w:rsid w:val="00B7197B"/>
    <w:rsid w:val="00B71AA9"/>
    <w:rsid w:val="00B721AE"/>
    <w:rsid w:val="00B723B0"/>
    <w:rsid w:val="00B72C02"/>
    <w:rsid w:val="00B73209"/>
    <w:rsid w:val="00B73845"/>
    <w:rsid w:val="00B73AB5"/>
    <w:rsid w:val="00B74505"/>
    <w:rsid w:val="00B74785"/>
    <w:rsid w:val="00B7496A"/>
    <w:rsid w:val="00B756C7"/>
    <w:rsid w:val="00B7626A"/>
    <w:rsid w:val="00B76552"/>
    <w:rsid w:val="00B776BB"/>
    <w:rsid w:val="00B77EAB"/>
    <w:rsid w:val="00B8051A"/>
    <w:rsid w:val="00B80966"/>
    <w:rsid w:val="00B80B12"/>
    <w:rsid w:val="00B80B9D"/>
    <w:rsid w:val="00B80D48"/>
    <w:rsid w:val="00B80DAE"/>
    <w:rsid w:val="00B810FE"/>
    <w:rsid w:val="00B81B12"/>
    <w:rsid w:val="00B825EC"/>
    <w:rsid w:val="00B82B2D"/>
    <w:rsid w:val="00B82B41"/>
    <w:rsid w:val="00B82C73"/>
    <w:rsid w:val="00B82F3E"/>
    <w:rsid w:val="00B8305B"/>
    <w:rsid w:val="00B832C0"/>
    <w:rsid w:val="00B833AD"/>
    <w:rsid w:val="00B83B04"/>
    <w:rsid w:val="00B83BC2"/>
    <w:rsid w:val="00B8410A"/>
    <w:rsid w:val="00B84E22"/>
    <w:rsid w:val="00B86253"/>
    <w:rsid w:val="00B863C1"/>
    <w:rsid w:val="00B86B28"/>
    <w:rsid w:val="00B86C8F"/>
    <w:rsid w:val="00B8738D"/>
    <w:rsid w:val="00B87509"/>
    <w:rsid w:val="00B8765E"/>
    <w:rsid w:val="00B877AE"/>
    <w:rsid w:val="00B90ECE"/>
    <w:rsid w:val="00B91017"/>
    <w:rsid w:val="00B91348"/>
    <w:rsid w:val="00B921CA"/>
    <w:rsid w:val="00B93324"/>
    <w:rsid w:val="00B93C6E"/>
    <w:rsid w:val="00B94030"/>
    <w:rsid w:val="00B944D8"/>
    <w:rsid w:val="00B94692"/>
    <w:rsid w:val="00B94BEE"/>
    <w:rsid w:val="00B94C3C"/>
    <w:rsid w:val="00B958A6"/>
    <w:rsid w:val="00B959D9"/>
    <w:rsid w:val="00B95E66"/>
    <w:rsid w:val="00B9673F"/>
    <w:rsid w:val="00B96B9F"/>
    <w:rsid w:val="00B97312"/>
    <w:rsid w:val="00B9734E"/>
    <w:rsid w:val="00B977D1"/>
    <w:rsid w:val="00BA0042"/>
    <w:rsid w:val="00BA0B97"/>
    <w:rsid w:val="00BA14C7"/>
    <w:rsid w:val="00BA1567"/>
    <w:rsid w:val="00BA1D15"/>
    <w:rsid w:val="00BA1DAB"/>
    <w:rsid w:val="00BA1F73"/>
    <w:rsid w:val="00BA24B1"/>
    <w:rsid w:val="00BA2A37"/>
    <w:rsid w:val="00BA309E"/>
    <w:rsid w:val="00BA3F64"/>
    <w:rsid w:val="00BA4210"/>
    <w:rsid w:val="00BA4935"/>
    <w:rsid w:val="00BA53B1"/>
    <w:rsid w:val="00BA6134"/>
    <w:rsid w:val="00BA7349"/>
    <w:rsid w:val="00BA736F"/>
    <w:rsid w:val="00BB098B"/>
    <w:rsid w:val="00BB0A0C"/>
    <w:rsid w:val="00BB0A69"/>
    <w:rsid w:val="00BB1233"/>
    <w:rsid w:val="00BB1371"/>
    <w:rsid w:val="00BB1EF6"/>
    <w:rsid w:val="00BB1F47"/>
    <w:rsid w:val="00BB26DF"/>
    <w:rsid w:val="00BB2FAB"/>
    <w:rsid w:val="00BB330E"/>
    <w:rsid w:val="00BB3BDE"/>
    <w:rsid w:val="00BB5145"/>
    <w:rsid w:val="00BB57B4"/>
    <w:rsid w:val="00BB5AE4"/>
    <w:rsid w:val="00BB5CE3"/>
    <w:rsid w:val="00BB5E75"/>
    <w:rsid w:val="00BB6688"/>
    <w:rsid w:val="00BB6FA9"/>
    <w:rsid w:val="00BB7601"/>
    <w:rsid w:val="00BB7879"/>
    <w:rsid w:val="00BC0C7D"/>
    <w:rsid w:val="00BC0E73"/>
    <w:rsid w:val="00BC103F"/>
    <w:rsid w:val="00BC1508"/>
    <w:rsid w:val="00BC152F"/>
    <w:rsid w:val="00BC173A"/>
    <w:rsid w:val="00BC191C"/>
    <w:rsid w:val="00BC1C6C"/>
    <w:rsid w:val="00BC1DF8"/>
    <w:rsid w:val="00BC237D"/>
    <w:rsid w:val="00BC2A68"/>
    <w:rsid w:val="00BC3077"/>
    <w:rsid w:val="00BC3251"/>
    <w:rsid w:val="00BC38DA"/>
    <w:rsid w:val="00BC3CD0"/>
    <w:rsid w:val="00BC42BA"/>
    <w:rsid w:val="00BC42BD"/>
    <w:rsid w:val="00BC43C3"/>
    <w:rsid w:val="00BC4988"/>
    <w:rsid w:val="00BC4F17"/>
    <w:rsid w:val="00BC5113"/>
    <w:rsid w:val="00BC56D9"/>
    <w:rsid w:val="00BC611C"/>
    <w:rsid w:val="00BC66B8"/>
    <w:rsid w:val="00BC6A46"/>
    <w:rsid w:val="00BC6AEC"/>
    <w:rsid w:val="00BC6F39"/>
    <w:rsid w:val="00BC76EE"/>
    <w:rsid w:val="00BC7880"/>
    <w:rsid w:val="00BC7A09"/>
    <w:rsid w:val="00BC7C91"/>
    <w:rsid w:val="00BD0061"/>
    <w:rsid w:val="00BD055A"/>
    <w:rsid w:val="00BD0C8D"/>
    <w:rsid w:val="00BD16DD"/>
    <w:rsid w:val="00BD1D3E"/>
    <w:rsid w:val="00BD204D"/>
    <w:rsid w:val="00BD3617"/>
    <w:rsid w:val="00BD416E"/>
    <w:rsid w:val="00BD4DF2"/>
    <w:rsid w:val="00BD4FCA"/>
    <w:rsid w:val="00BD53F2"/>
    <w:rsid w:val="00BD59F1"/>
    <w:rsid w:val="00BD5EFB"/>
    <w:rsid w:val="00BD604C"/>
    <w:rsid w:val="00BD62DE"/>
    <w:rsid w:val="00BD6303"/>
    <w:rsid w:val="00BD6682"/>
    <w:rsid w:val="00BD7332"/>
    <w:rsid w:val="00BD738E"/>
    <w:rsid w:val="00BD7455"/>
    <w:rsid w:val="00BD7693"/>
    <w:rsid w:val="00BD792A"/>
    <w:rsid w:val="00BD79E3"/>
    <w:rsid w:val="00BD7EE4"/>
    <w:rsid w:val="00BE0163"/>
    <w:rsid w:val="00BE0225"/>
    <w:rsid w:val="00BE1A39"/>
    <w:rsid w:val="00BE1D22"/>
    <w:rsid w:val="00BE243E"/>
    <w:rsid w:val="00BE27D3"/>
    <w:rsid w:val="00BE30F1"/>
    <w:rsid w:val="00BE3E10"/>
    <w:rsid w:val="00BE3F18"/>
    <w:rsid w:val="00BE401F"/>
    <w:rsid w:val="00BE4B8B"/>
    <w:rsid w:val="00BE5311"/>
    <w:rsid w:val="00BE67EC"/>
    <w:rsid w:val="00BE6DC9"/>
    <w:rsid w:val="00BE7138"/>
    <w:rsid w:val="00BE7963"/>
    <w:rsid w:val="00BE7A64"/>
    <w:rsid w:val="00BF0B4B"/>
    <w:rsid w:val="00BF0CEE"/>
    <w:rsid w:val="00BF0E5A"/>
    <w:rsid w:val="00BF0F7D"/>
    <w:rsid w:val="00BF1353"/>
    <w:rsid w:val="00BF188E"/>
    <w:rsid w:val="00BF1FB3"/>
    <w:rsid w:val="00BF2B94"/>
    <w:rsid w:val="00BF2C3C"/>
    <w:rsid w:val="00BF2FBD"/>
    <w:rsid w:val="00BF3DAA"/>
    <w:rsid w:val="00BF3E23"/>
    <w:rsid w:val="00BF4E7D"/>
    <w:rsid w:val="00BF4E90"/>
    <w:rsid w:val="00BF54DD"/>
    <w:rsid w:val="00BF5E31"/>
    <w:rsid w:val="00BF604A"/>
    <w:rsid w:val="00BF60B4"/>
    <w:rsid w:val="00BF6CF2"/>
    <w:rsid w:val="00BF6FB3"/>
    <w:rsid w:val="00BF71FA"/>
    <w:rsid w:val="00BF74DB"/>
    <w:rsid w:val="00C00307"/>
    <w:rsid w:val="00C0064A"/>
    <w:rsid w:val="00C00EE5"/>
    <w:rsid w:val="00C022C4"/>
    <w:rsid w:val="00C028F2"/>
    <w:rsid w:val="00C03132"/>
    <w:rsid w:val="00C031CF"/>
    <w:rsid w:val="00C036A5"/>
    <w:rsid w:val="00C03DDB"/>
    <w:rsid w:val="00C040F8"/>
    <w:rsid w:val="00C041C8"/>
    <w:rsid w:val="00C041DF"/>
    <w:rsid w:val="00C042D3"/>
    <w:rsid w:val="00C0440C"/>
    <w:rsid w:val="00C04431"/>
    <w:rsid w:val="00C05154"/>
    <w:rsid w:val="00C05207"/>
    <w:rsid w:val="00C058A2"/>
    <w:rsid w:val="00C05B95"/>
    <w:rsid w:val="00C0652E"/>
    <w:rsid w:val="00C065A0"/>
    <w:rsid w:val="00C06C8A"/>
    <w:rsid w:val="00C06EAB"/>
    <w:rsid w:val="00C07390"/>
    <w:rsid w:val="00C075D8"/>
    <w:rsid w:val="00C07909"/>
    <w:rsid w:val="00C07C75"/>
    <w:rsid w:val="00C07D33"/>
    <w:rsid w:val="00C1078F"/>
    <w:rsid w:val="00C10843"/>
    <w:rsid w:val="00C10C74"/>
    <w:rsid w:val="00C10F81"/>
    <w:rsid w:val="00C11578"/>
    <w:rsid w:val="00C1168B"/>
    <w:rsid w:val="00C11929"/>
    <w:rsid w:val="00C11F32"/>
    <w:rsid w:val="00C12268"/>
    <w:rsid w:val="00C12301"/>
    <w:rsid w:val="00C123CA"/>
    <w:rsid w:val="00C12ACE"/>
    <w:rsid w:val="00C1370F"/>
    <w:rsid w:val="00C13ADA"/>
    <w:rsid w:val="00C15EAE"/>
    <w:rsid w:val="00C16BAD"/>
    <w:rsid w:val="00C16BE6"/>
    <w:rsid w:val="00C16C99"/>
    <w:rsid w:val="00C1717C"/>
    <w:rsid w:val="00C17330"/>
    <w:rsid w:val="00C176CA"/>
    <w:rsid w:val="00C207F4"/>
    <w:rsid w:val="00C20ACF"/>
    <w:rsid w:val="00C20AF7"/>
    <w:rsid w:val="00C20DA7"/>
    <w:rsid w:val="00C21067"/>
    <w:rsid w:val="00C21A50"/>
    <w:rsid w:val="00C21DD8"/>
    <w:rsid w:val="00C235C5"/>
    <w:rsid w:val="00C23F6E"/>
    <w:rsid w:val="00C24935"/>
    <w:rsid w:val="00C24E7A"/>
    <w:rsid w:val="00C25042"/>
    <w:rsid w:val="00C25312"/>
    <w:rsid w:val="00C25445"/>
    <w:rsid w:val="00C258FA"/>
    <w:rsid w:val="00C25DA4"/>
    <w:rsid w:val="00C260F4"/>
    <w:rsid w:val="00C262E0"/>
    <w:rsid w:val="00C26CD7"/>
    <w:rsid w:val="00C27221"/>
    <w:rsid w:val="00C27459"/>
    <w:rsid w:val="00C277E3"/>
    <w:rsid w:val="00C2786F"/>
    <w:rsid w:val="00C27D46"/>
    <w:rsid w:val="00C27F71"/>
    <w:rsid w:val="00C306CB"/>
    <w:rsid w:val="00C30C63"/>
    <w:rsid w:val="00C30E50"/>
    <w:rsid w:val="00C316FD"/>
    <w:rsid w:val="00C32676"/>
    <w:rsid w:val="00C32FB0"/>
    <w:rsid w:val="00C3313B"/>
    <w:rsid w:val="00C336CE"/>
    <w:rsid w:val="00C33E8B"/>
    <w:rsid w:val="00C350FE"/>
    <w:rsid w:val="00C35931"/>
    <w:rsid w:val="00C36124"/>
    <w:rsid w:val="00C36A69"/>
    <w:rsid w:val="00C37FD9"/>
    <w:rsid w:val="00C4034F"/>
    <w:rsid w:val="00C40658"/>
    <w:rsid w:val="00C4080A"/>
    <w:rsid w:val="00C40A8A"/>
    <w:rsid w:val="00C41508"/>
    <w:rsid w:val="00C416F8"/>
    <w:rsid w:val="00C42B3C"/>
    <w:rsid w:val="00C434CC"/>
    <w:rsid w:val="00C43655"/>
    <w:rsid w:val="00C439A7"/>
    <w:rsid w:val="00C44135"/>
    <w:rsid w:val="00C44619"/>
    <w:rsid w:val="00C446D1"/>
    <w:rsid w:val="00C44F5A"/>
    <w:rsid w:val="00C45315"/>
    <w:rsid w:val="00C45958"/>
    <w:rsid w:val="00C45A76"/>
    <w:rsid w:val="00C464B5"/>
    <w:rsid w:val="00C46914"/>
    <w:rsid w:val="00C46998"/>
    <w:rsid w:val="00C46CD8"/>
    <w:rsid w:val="00C4724F"/>
    <w:rsid w:val="00C475A2"/>
    <w:rsid w:val="00C47B9C"/>
    <w:rsid w:val="00C47FF5"/>
    <w:rsid w:val="00C505A6"/>
    <w:rsid w:val="00C509DE"/>
    <w:rsid w:val="00C50AA3"/>
    <w:rsid w:val="00C511BE"/>
    <w:rsid w:val="00C516BA"/>
    <w:rsid w:val="00C516F7"/>
    <w:rsid w:val="00C51D2D"/>
    <w:rsid w:val="00C51D58"/>
    <w:rsid w:val="00C51D85"/>
    <w:rsid w:val="00C52573"/>
    <w:rsid w:val="00C526B0"/>
    <w:rsid w:val="00C5274B"/>
    <w:rsid w:val="00C5335B"/>
    <w:rsid w:val="00C538F8"/>
    <w:rsid w:val="00C53E89"/>
    <w:rsid w:val="00C5426F"/>
    <w:rsid w:val="00C548F5"/>
    <w:rsid w:val="00C54963"/>
    <w:rsid w:val="00C55718"/>
    <w:rsid w:val="00C55799"/>
    <w:rsid w:val="00C56347"/>
    <w:rsid w:val="00C5649B"/>
    <w:rsid w:val="00C5673B"/>
    <w:rsid w:val="00C56C29"/>
    <w:rsid w:val="00C57347"/>
    <w:rsid w:val="00C57716"/>
    <w:rsid w:val="00C57BCE"/>
    <w:rsid w:val="00C61380"/>
    <w:rsid w:val="00C616B7"/>
    <w:rsid w:val="00C62F7C"/>
    <w:rsid w:val="00C636C3"/>
    <w:rsid w:val="00C637B6"/>
    <w:rsid w:val="00C642E6"/>
    <w:rsid w:val="00C64B29"/>
    <w:rsid w:val="00C64DD7"/>
    <w:rsid w:val="00C651FF"/>
    <w:rsid w:val="00C6558A"/>
    <w:rsid w:val="00C657FD"/>
    <w:rsid w:val="00C65A4D"/>
    <w:rsid w:val="00C67259"/>
    <w:rsid w:val="00C7049B"/>
    <w:rsid w:val="00C71237"/>
    <w:rsid w:val="00C71E28"/>
    <w:rsid w:val="00C726C7"/>
    <w:rsid w:val="00C72755"/>
    <w:rsid w:val="00C72F30"/>
    <w:rsid w:val="00C734F9"/>
    <w:rsid w:val="00C73E5B"/>
    <w:rsid w:val="00C744CF"/>
    <w:rsid w:val="00C7474A"/>
    <w:rsid w:val="00C74E50"/>
    <w:rsid w:val="00C74E63"/>
    <w:rsid w:val="00C758A0"/>
    <w:rsid w:val="00C75A72"/>
    <w:rsid w:val="00C75D8C"/>
    <w:rsid w:val="00C769B4"/>
    <w:rsid w:val="00C778FD"/>
    <w:rsid w:val="00C8006C"/>
    <w:rsid w:val="00C80FA4"/>
    <w:rsid w:val="00C8153A"/>
    <w:rsid w:val="00C81737"/>
    <w:rsid w:val="00C81C1F"/>
    <w:rsid w:val="00C825CE"/>
    <w:rsid w:val="00C82A2B"/>
    <w:rsid w:val="00C83AEC"/>
    <w:rsid w:val="00C83FFF"/>
    <w:rsid w:val="00C8417F"/>
    <w:rsid w:val="00C853F3"/>
    <w:rsid w:val="00C859E7"/>
    <w:rsid w:val="00C85A86"/>
    <w:rsid w:val="00C8712C"/>
    <w:rsid w:val="00C90864"/>
    <w:rsid w:val="00C90D3C"/>
    <w:rsid w:val="00C91B15"/>
    <w:rsid w:val="00C91CE5"/>
    <w:rsid w:val="00C91F80"/>
    <w:rsid w:val="00C91FBE"/>
    <w:rsid w:val="00C92476"/>
    <w:rsid w:val="00C92987"/>
    <w:rsid w:val="00C929C1"/>
    <w:rsid w:val="00C92A17"/>
    <w:rsid w:val="00C92BDD"/>
    <w:rsid w:val="00C92E23"/>
    <w:rsid w:val="00C92F97"/>
    <w:rsid w:val="00C93071"/>
    <w:rsid w:val="00C93413"/>
    <w:rsid w:val="00C938D3"/>
    <w:rsid w:val="00C94703"/>
    <w:rsid w:val="00C947B6"/>
    <w:rsid w:val="00C948CF"/>
    <w:rsid w:val="00C948E7"/>
    <w:rsid w:val="00C953EF"/>
    <w:rsid w:val="00C954E0"/>
    <w:rsid w:val="00C95663"/>
    <w:rsid w:val="00C95A47"/>
    <w:rsid w:val="00C95DCA"/>
    <w:rsid w:val="00C96100"/>
    <w:rsid w:val="00C9690F"/>
    <w:rsid w:val="00C96A09"/>
    <w:rsid w:val="00C96AC9"/>
    <w:rsid w:val="00C96AFE"/>
    <w:rsid w:val="00C97032"/>
    <w:rsid w:val="00C9727D"/>
    <w:rsid w:val="00C975B5"/>
    <w:rsid w:val="00CA1A15"/>
    <w:rsid w:val="00CA241E"/>
    <w:rsid w:val="00CA2447"/>
    <w:rsid w:val="00CA2DF9"/>
    <w:rsid w:val="00CA3104"/>
    <w:rsid w:val="00CA32DC"/>
    <w:rsid w:val="00CA36FE"/>
    <w:rsid w:val="00CA375A"/>
    <w:rsid w:val="00CA37EE"/>
    <w:rsid w:val="00CA3D11"/>
    <w:rsid w:val="00CA458A"/>
    <w:rsid w:val="00CA488A"/>
    <w:rsid w:val="00CA4C82"/>
    <w:rsid w:val="00CA4CC5"/>
    <w:rsid w:val="00CA4FB6"/>
    <w:rsid w:val="00CA52C7"/>
    <w:rsid w:val="00CA5515"/>
    <w:rsid w:val="00CA5928"/>
    <w:rsid w:val="00CA5CEB"/>
    <w:rsid w:val="00CA70D6"/>
    <w:rsid w:val="00CA7CFC"/>
    <w:rsid w:val="00CB0259"/>
    <w:rsid w:val="00CB05C0"/>
    <w:rsid w:val="00CB0C68"/>
    <w:rsid w:val="00CB125E"/>
    <w:rsid w:val="00CB135E"/>
    <w:rsid w:val="00CB1A36"/>
    <w:rsid w:val="00CB1D6A"/>
    <w:rsid w:val="00CB200B"/>
    <w:rsid w:val="00CB2203"/>
    <w:rsid w:val="00CB229F"/>
    <w:rsid w:val="00CB25B5"/>
    <w:rsid w:val="00CB32BD"/>
    <w:rsid w:val="00CB3B24"/>
    <w:rsid w:val="00CB3CD2"/>
    <w:rsid w:val="00CB41D9"/>
    <w:rsid w:val="00CB46FF"/>
    <w:rsid w:val="00CB4735"/>
    <w:rsid w:val="00CB48AF"/>
    <w:rsid w:val="00CB52ED"/>
    <w:rsid w:val="00CB5459"/>
    <w:rsid w:val="00CB553E"/>
    <w:rsid w:val="00CB572E"/>
    <w:rsid w:val="00CB632A"/>
    <w:rsid w:val="00CB63B5"/>
    <w:rsid w:val="00CB68E4"/>
    <w:rsid w:val="00CB69D5"/>
    <w:rsid w:val="00CB718D"/>
    <w:rsid w:val="00CB7338"/>
    <w:rsid w:val="00CB766A"/>
    <w:rsid w:val="00CB7DD5"/>
    <w:rsid w:val="00CC0192"/>
    <w:rsid w:val="00CC0252"/>
    <w:rsid w:val="00CC069C"/>
    <w:rsid w:val="00CC07AE"/>
    <w:rsid w:val="00CC1AC2"/>
    <w:rsid w:val="00CC1B3A"/>
    <w:rsid w:val="00CC1B3D"/>
    <w:rsid w:val="00CC1CB2"/>
    <w:rsid w:val="00CC2029"/>
    <w:rsid w:val="00CC269B"/>
    <w:rsid w:val="00CC32E8"/>
    <w:rsid w:val="00CC35D8"/>
    <w:rsid w:val="00CC3C63"/>
    <w:rsid w:val="00CC4E5D"/>
    <w:rsid w:val="00CC50DB"/>
    <w:rsid w:val="00CC5493"/>
    <w:rsid w:val="00CC5DD2"/>
    <w:rsid w:val="00CC6C1C"/>
    <w:rsid w:val="00CC6D5E"/>
    <w:rsid w:val="00CC7E19"/>
    <w:rsid w:val="00CD0859"/>
    <w:rsid w:val="00CD08B3"/>
    <w:rsid w:val="00CD0E23"/>
    <w:rsid w:val="00CD1AFD"/>
    <w:rsid w:val="00CD1C25"/>
    <w:rsid w:val="00CD2143"/>
    <w:rsid w:val="00CD289F"/>
    <w:rsid w:val="00CD2BA8"/>
    <w:rsid w:val="00CD2C2E"/>
    <w:rsid w:val="00CD2EA9"/>
    <w:rsid w:val="00CD3278"/>
    <w:rsid w:val="00CD32B2"/>
    <w:rsid w:val="00CD32CB"/>
    <w:rsid w:val="00CD32D7"/>
    <w:rsid w:val="00CD3B21"/>
    <w:rsid w:val="00CD3E31"/>
    <w:rsid w:val="00CD425E"/>
    <w:rsid w:val="00CD43F1"/>
    <w:rsid w:val="00CD5618"/>
    <w:rsid w:val="00CD56C1"/>
    <w:rsid w:val="00CD5775"/>
    <w:rsid w:val="00CD687D"/>
    <w:rsid w:val="00CD69F2"/>
    <w:rsid w:val="00CD7007"/>
    <w:rsid w:val="00CD7506"/>
    <w:rsid w:val="00CD76BA"/>
    <w:rsid w:val="00CD7707"/>
    <w:rsid w:val="00CD785C"/>
    <w:rsid w:val="00CD7990"/>
    <w:rsid w:val="00CD7E2A"/>
    <w:rsid w:val="00CD7F92"/>
    <w:rsid w:val="00CD7FBE"/>
    <w:rsid w:val="00CE00C0"/>
    <w:rsid w:val="00CE0404"/>
    <w:rsid w:val="00CE068D"/>
    <w:rsid w:val="00CE1980"/>
    <w:rsid w:val="00CE1997"/>
    <w:rsid w:val="00CE1E27"/>
    <w:rsid w:val="00CE23E6"/>
    <w:rsid w:val="00CE27A3"/>
    <w:rsid w:val="00CE2D07"/>
    <w:rsid w:val="00CE329F"/>
    <w:rsid w:val="00CE36B0"/>
    <w:rsid w:val="00CE36C0"/>
    <w:rsid w:val="00CE3940"/>
    <w:rsid w:val="00CE3D9D"/>
    <w:rsid w:val="00CE4566"/>
    <w:rsid w:val="00CE4908"/>
    <w:rsid w:val="00CE59BD"/>
    <w:rsid w:val="00CE60B9"/>
    <w:rsid w:val="00CE619C"/>
    <w:rsid w:val="00CE7086"/>
    <w:rsid w:val="00CE73DE"/>
    <w:rsid w:val="00CE74F6"/>
    <w:rsid w:val="00CE7B0F"/>
    <w:rsid w:val="00CF04EA"/>
    <w:rsid w:val="00CF0863"/>
    <w:rsid w:val="00CF0CB6"/>
    <w:rsid w:val="00CF0D53"/>
    <w:rsid w:val="00CF143C"/>
    <w:rsid w:val="00CF14D8"/>
    <w:rsid w:val="00CF1D41"/>
    <w:rsid w:val="00CF3480"/>
    <w:rsid w:val="00CF378C"/>
    <w:rsid w:val="00CF41B7"/>
    <w:rsid w:val="00CF446F"/>
    <w:rsid w:val="00CF4510"/>
    <w:rsid w:val="00CF4890"/>
    <w:rsid w:val="00CF5018"/>
    <w:rsid w:val="00CF52B2"/>
    <w:rsid w:val="00CF5C07"/>
    <w:rsid w:val="00CF660A"/>
    <w:rsid w:val="00CF6BD1"/>
    <w:rsid w:val="00CF6FF3"/>
    <w:rsid w:val="00CF721C"/>
    <w:rsid w:val="00CF7E10"/>
    <w:rsid w:val="00CFF788"/>
    <w:rsid w:val="00D015D4"/>
    <w:rsid w:val="00D01666"/>
    <w:rsid w:val="00D01C6C"/>
    <w:rsid w:val="00D01CC0"/>
    <w:rsid w:val="00D02CF9"/>
    <w:rsid w:val="00D031FF"/>
    <w:rsid w:val="00D032BA"/>
    <w:rsid w:val="00D03D9A"/>
    <w:rsid w:val="00D042CE"/>
    <w:rsid w:val="00D04603"/>
    <w:rsid w:val="00D0502E"/>
    <w:rsid w:val="00D058DA"/>
    <w:rsid w:val="00D06637"/>
    <w:rsid w:val="00D0708E"/>
    <w:rsid w:val="00D075A1"/>
    <w:rsid w:val="00D0769E"/>
    <w:rsid w:val="00D10516"/>
    <w:rsid w:val="00D10905"/>
    <w:rsid w:val="00D10D00"/>
    <w:rsid w:val="00D10FA4"/>
    <w:rsid w:val="00D1107B"/>
    <w:rsid w:val="00D11807"/>
    <w:rsid w:val="00D11966"/>
    <w:rsid w:val="00D128D9"/>
    <w:rsid w:val="00D12E52"/>
    <w:rsid w:val="00D13084"/>
    <w:rsid w:val="00D141FC"/>
    <w:rsid w:val="00D142C9"/>
    <w:rsid w:val="00D1441F"/>
    <w:rsid w:val="00D15036"/>
    <w:rsid w:val="00D15BDE"/>
    <w:rsid w:val="00D16D53"/>
    <w:rsid w:val="00D16FF6"/>
    <w:rsid w:val="00D179E7"/>
    <w:rsid w:val="00D20381"/>
    <w:rsid w:val="00D205B9"/>
    <w:rsid w:val="00D20899"/>
    <w:rsid w:val="00D20B74"/>
    <w:rsid w:val="00D21A54"/>
    <w:rsid w:val="00D225AC"/>
    <w:rsid w:val="00D23C8A"/>
    <w:rsid w:val="00D2426B"/>
    <w:rsid w:val="00D24A22"/>
    <w:rsid w:val="00D24D36"/>
    <w:rsid w:val="00D253D1"/>
    <w:rsid w:val="00D2565A"/>
    <w:rsid w:val="00D25C34"/>
    <w:rsid w:val="00D27C08"/>
    <w:rsid w:val="00D27CCA"/>
    <w:rsid w:val="00D304F2"/>
    <w:rsid w:val="00D30684"/>
    <w:rsid w:val="00D307E7"/>
    <w:rsid w:val="00D30924"/>
    <w:rsid w:val="00D30B87"/>
    <w:rsid w:val="00D3104A"/>
    <w:rsid w:val="00D310E6"/>
    <w:rsid w:val="00D31585"/>
    <w:rsid w:val="00D31939"/>
    <w:rsid w:val="00D31DFF"/>
    <w:rsid w:val="00D31E52"/>
    <w:rsid w:val="00D32792"/>
    <w:rsid w:val="00D334DF"/>
    <w:rsid w:val="00D3382E"/>
    <w:rsid w:val="00D344DC"/>
    <w:rsid w:val="00D346FA"/>
    <w:rsid w:val="00D348C2"/>
    <w:rsid w:val="00D34A81"/>
    <w:rsid w:val="00D34AFA"/>
    <w:rsid w:val="00D34EDD"/>
    <w:rsid w:val="00D354E8"/>
    <w:rsid w:val="00D35ADC"/>
    <w:rsid w:val="00D35E99"/>
    <w:rsid w:val="00D36253"/>
    <w:rsid w:val="00D36437"/>
    <w:rsid w:val="00D36630"/>
    <w:rsid w:val="00D3723F"/>
    <w:rsid w:val="00D3760A"/>
    <w:rsid w:val="00D404F7"/>
    <w:rsid w:val="00D40B2B"/>
    <w:rsid w:val="00D41CB8"/>
    <w:rsid w:val="00D41EFD"/>
    <w:rsid w:val="00D41FE3"/>
    <w:rsid w:val="00D430DE"/>
    <w:rsid w:val="00D4316B"/>
    <w:rsid w:val="00D43B4F"/>
    <w:rsid w:val="00D43E99"/>
    <w:rsid w:val="00D444AC"/>
    <w:rsid w:val="00D44798"/>
    <w:rsid w:val="00D4705B"/>
    <w:rsid w:val="00D476A2"/>
    <w:rsid w:val="00D47A53"/>
    <w:rsid w:val="00D47CC2"/>
    <w:rsid w:val="00D502EA"/>
    <w:rsid w:val="00D50E99"/>
    <w:rsid w:val="00D50EE8"/>
    <w:rsid w:val="00D51177"/>
    <w:rsid w:val="00D517DD"/>
    <w:rsid w:val="00D518B4"/>
    <w:rsid w:val="00D518ED"/>
    <w:rsid w:val="00D52D97"/>
    <w:rsid w:val="00D5334E"/>
    <w:rsid w:val="00D535B4"/>
    <w:rsid w:val="00D53C0A"/>
    <w:rsid w:val="00D54A01"/>
    <w:rsid w:val="00D5521C"/>
    <w:rsid w:val="00D55268"/>
    <w:rsid w:val="00D55FAB"/>
    <w:rsid w:val="00D5644F"/>
    <w:rsid w:val="00D56454"/>
    <w:rsid w:val="00D568FA"/>
    <w:rsid w:val="00D56B9E"/>
    <w:rsid w:val="00D56CA7"/>
    <w:rsid w:val="00D570D2"/>
    <w:rsid w:val="00D57200"/>
    <w:rsid w:val="00D57331"/>
    <w:rsid w:val="00D57437"/>
    <w:rsid w:val="00D57E69"/>
    <w:rsid w:val="00D57EE6"/>
    <w:rsid w:val="00D6037C"/>
    <w:rsid w:val="00D60E06"/>
    <w:rsid w:val="00D611FD"/>
    <w:rsid w:val="00D61711"/>
    <w:rsid w:val="00D61FCB"/>
    <w:rsid w:val="00D62058"/>
    <w:rsid w:val="00D62128"/>
    <w:rsid w:val="00D63200"/>
    <w:rsid w:val="00D6343E"/>
    <w:rsid w:val="00D637BD"/>
    <w:rsid w:val="00D64AA9"/>
    <w:rsid w:val="00D64FE1"/>
    <w:rsid w:val="00D65229"/>
    <w:rsid w:val="00D655C2"/>
    <w:rsid w:val="00D65612"/>
    <w:rsid w:val="00D65776"/>
    <w:rsid w:val="00D6580B"/>
    <w:rsid w:val="00D65A04"/>
    <w:rsid w:val="00D65A0D"/>
    <w:rsid w:val="00D66707"/>
    <w:rsid w:val="00D67478"/>
    <w:rsid w:val="00D6794A"/>
    <w:rsid w:val="00D67A36"/>
    <w:rsid w:val="00D67A8B"/>
    <w:rsid w:val="00D67AF8"/>
    <w:rsid w:val="00D6B0A9"/>
    <w:rsid w:val="00D704AC"/>
    <w:rsid w:val="00D706EA"/>
    <w:rsid w:val="00D70E42"/>
    <w:rsid w:val="00D71176"/>
    <w:rsid w:val="00D71544"/>
    <w:rsid w:val="00D71C67"/>
    <w:rsid w:val="00D7289E"/>
    <w:rsid w:val="00D72BBC"/>
    <w:rsid w:val="00D7336A"/>
    <w:rsid w:val="00D73456"/>
    <w:rsid w:val="00D73887"/>
    <w:rsid w:val="00D74B50"/>
    <w:rsid w:val="00D74DEB"/>
    <w:rsid w:val="00D7542C"/>
    <w:rsid w:val="00D754A1"/>
    <w:rsid w:val="00D763CA"/>
    <w:rsid w:val="00D76A46"/>
    <w:rsid w:val="00D76B6F"/>
    <w:rsid w:val="00D775B3"/>
    <w:rsid w:val="00D778E4"/>
    <w:rsid w:val="00D77E63"/>
    <w:rsid w:val="00D77F81"/>
    <w:rsid w:val="00D8038A"/>
    <w:rsid w:val="00D8095F"/>
    <w:rsid w:val="00D809A5"/>
    <w:rsid w:val="00D80EAD"/>
    <w:rsid w:val="00D8105F"/>
    <w:rsid w:val="00D8190B"/>
    <w:rsid w:val="00D81BED"/>
    <w:rsid w:val="00D82786"/>
    <w:rsid w:val="00D8292C"/>
    <w:rsid w:val="00D82934"/>
    <w:rsid w:val="00D82B69"/>
    <w:rsid w:val="00D82FFE"/>
    <w:rsid w:val="00D83672"/>
    <w:rsid w:val="00D84BA9"/>
    <w:rsid w:val="00D85C49"/>
    <w:rsid w:val="00D85D84"/>
    <w:rsid w:val="00D864EB"/>
    <w:rsid w:val="00D867B9"/>
    <w:rsid w:val="00D86C07"/>
    <w:rsid w:val="00D87C5E"/>
    <w:rsid w:val="00D9001B"/>
    <w:rsid w:val="00D901AC"/>
    <w:rsid w:val="00D9240D"/>
    <w:rsid w:val="00D926E9"/>
    <w:rsid w:val="00D92A83"/>
    <w:rsid w:val="00D93720"/>
    <w:rsid w:val="00D93964"/>
    <w:rsid w:val="00D93E38"/>
    <w:rsid w:val="00D94C66"/>
    <w:rsid w:val="00D95A64"/>
    <w:rsid w:val="00D96175"/>
    <w:rsid w:val="00D964E5"/>
    <w:rsid w:val="00D96A50"/>
    <w:rsid w:val="00D96B12"/>
    <w:rsid w:val="00D97A10"/>
    <w:rsid w:val="00D97E30"/>
    <w:rsid w:val="00DA0903"/>
    <w:rsid w:val="00DA0CF1"/>
    <w:rsid w:val="00DA108E"/>
    <w:rsid w:val="00DA14AF"/>
    <w:rsid w:val="00DA1780"/>
    <w:rsid w:val="00DA1DBA"/>
    <w:rsid w:val="00DA2E0E"/>
    <w:rsid w:val="00DA3268"/>
    <w:rsid w:val="00DA3755"/>
    <w:rsid w:val="00DA3E1E"/>
    <w:rsid w:val="00DA4EB5"/>
    <w:rsid w:val="00DA5306"/>
    <w:rsid w:val="00DA5EA0"/>
    <w:rsid w:val="00DA638B"/>
    <w:rsid w:val="00DA6980"/>
    <w:rsid w:val="00DA6D09"/>
    <w:rsid w:val="00DA78E7"/>
    <w:rsid w:val="00DA7912"/>
    <w:rsid w:val="00DB03FE"/>
    <w:rsid w:val="00DB04A8"/>
    <w:rsid w:val="00DB0525"/>
    <w:rsid w:val="00DB09D2"/>
    <w:rsid w:val="00DB2F13"/>
    <w:rsid w:val="00DB396F"/>
    <w:rsid w:val="00DB3BA8"/>
    <w:rsid w:val="00DB41F6"/>
    <w:rsid w:val="00DB44B9"/>
    <w:rsid w:val="00DB4EE1"/>
    <w:rsid w:val="00DB536A"/>
    <w:rsid w:val="00DB580E"/>
    <w:rsid w:val="00DB5BD2"/>
    <w:rsid w:val="00DB5BD7"/>
    <w:rsid w:val="00DB5E02"/>
    <w:rsid w:val="00DB63B9"/>
    <w:rsid w:val="00DB64AE"/>
    <w:rsid w:val="00DB653A"/>
    <w:rsid w:val="00DB7366"/>
    <w:rsid w:val="00DB76A0"/>
    <w:rsid w:val="00DB797A"/>
    <w:rsid w:val="00DB7E11"/>
    <w:rsid w:val="00DC008E"/>
    <w:rsid w:val="00DC0241"/>
    <w:rsid w:val="00DC0C68"/>
    <w:rsid w:val="00DC0F0C"/>
    <w:rsid w:val="00DC101A"/>
    <w:rsid w:val="00DC2215"/>
    <w:rsid w:val="00DC2227"/>
    <w:rsid w:val="00DC22AE"/>
    <w:rsid w:val="00DC2638"/>
    <w:rsid w:val="00DC2989"/>
    <w:rsid w:val="00DC3549"/>
    <w:rsid w:val="00DC36F9"/>
    <w:rsid w:val="00DC3AF8"/>
    <w:rsid w:val="00DC4E06"/>
    <w:rsid w:val="00DC4FE8"/>
    <w:rsid w:val="00DC51D8"/>
    <w:rsid w:val="00DC5711"/>
    <w:rsid w:val="00DC621F"/>
    <w:rsid w:val="00DC7167"/>
    <w:rsid w:val="00DC7611"/>
    <w:rsid w:val="00DC7863"/>
    <w:rsid w:val="00DC7973"/>
    <w:rsid w:val="00DD04C3"/>
    <w:rsid w:val="00DD0CA8"/>
    <w:rsid w:val="00DD0F04"/>
    <w:rsid w:val="00DD16DF"/>
    <w:rsid w:val="00DD1B01"/>
    <w:rsid w:val="00DD1DCA"/>
    <w:rsid w:val="00DD2188"/>
    <w:rsid w:val="00DD2741"/>
    <w:rsid w:val="00DD2B1F"/>
    <w:rsid w:val="00DD2FE8"/>
    <w:rsid w:val="00DD30E5"/>
    <w:rsid w:val="00DD3A6A"/>
    <w:rsid w:val="00DD3C4F"/>
    <w:rsid w:val="00DD3CCF"/>
    <w:rsid w:val="00DD40D0"/>
    <w:rsid w:val="00DD4391"/>
    <w:rsid w:val="00DD448B"/>
    <w:rsid w:val="00DD4934"/>
    <w:rsid w:val="00DD4B4E"/>
    <w:rsid w:val="00DD516B"/>
    <w:rsid w:val="00DD62B8"/>
    <w:rsid w:val="00DD689B"/>
    <w:rsid w:val="00DD6C02"/>
    <w:rsid w:val="00DE037C"/>
    <w:rsid w:val="00DE03EA"/>
    <w:rsid w:val="00DE0574"/>
    <w:rsid w:val="00DE067A"/>
    <w:rsid w:val="00DE087B"/>
    <w:rsid w:val="00DE1215"/>
    <w:rsid w:val="00DE143F"/>
    <w:rsid w:val="00DE15BE"/>
    <w:rsid w:val="00DE16BB"/>
    <w:rsid w:val="00DE1A9E"/>
    <w:rsid w:val="00DE1AA6"/>
    <w:rsid w:val="00DE1E43"/>
    <w:rsid w:val="00DE2065"/>
    <w:rsid w:val="00DE2166"/>
    <w:rsid w:val="00DE2235"/>
    <w:rsid w:val="00DE2868"/>
    <w:rsid w:val="00DE2872"/>
    <w:rsid w:val="00DE293E"/>
    <w:rsid w:val="00DE2A99"/>
    <w:rsid w:val="00DE31DB"/>
    <w:rsid w:val="00DE43C0"/>
    <w:rsid w:val="00DE47FF"/>
    <w:rsid w:val="00DE4C8B"/>
    <w:rsid w:val="00DE4E1B"/>
    <w:rsid w:val="00DE5B72"/>
    <w:rsid w:val="00DE5DF8"/>
    <w:rsid w:val="00DE623F"/>
    <w:rsid w:val="00DE62B6"/>
    <w:rsid w:val="00DE6838"/>
    <w:rsid w:val="00DE6957"/>
    <w:rsid w:val="00DF0095"/>
    <w:rsid w:val="00DF049F"/>
    <w:rsid w:val="00DF1067"/>
    <w:rsid w:val="00DF11D1"/>
    <w:rsid w:val="00DF171F"/>
    <w:rsid w:val="00DF1AD8"/>
    <w:rsid w:val="00DF212C"/>
    <w:rsid w:val="00DF21B7"/>
    <w:rsid w:val="00DF288F"/>
    <w:rsid w:val="00DF2EEC"/>
    <w:rsid w:val="00DF2EF0"/>
    <w:rsid w:val="00DF3E2C"/>
    <w:rsid w:val="00DF4721"/>
    <w:rsid w:val="00DF5026"/>
    <w:rsid w:val="00DF53F1"/>
    <w:rsid w:val="00DF58F9"/>
    <w:rsid w:val="00DF5D91"/>
    <w:rsid w:val="00DF5DBF"/>
    <w:rsid w:val="00DF6330"/>
    <w:rsid w:val="00DF6E7E"/>
    <w:rsid w:val="00DF72FD"/>
    <w:rsid w:val="00DF7CC3"/>
    <w:rsid w:val="00DF7FC2"/>
    <w:rsid w:val="00E005C7"/>
    <w:rsid w:val="00E0069B"/>
    <w:rsid w:val="00E00C9D"/>
    <w:rsid w:val="00E01F5B"/>
    <w:rsid w:val="00E0330E"/>
    <w:rsid w:val="00E03D1B"/>
    <w:rsid w:val="00E041F0"/>
    <w:rsid w:val="00E0430F"/>
    <w:rsid w:val="00E044AF"/>
    <w:rsid w:val="00E0506F"/>
    <w:rsid w:val="00E05AE4"/>
    <w:rsid w:val="00E0644B"/>
    <w:rsid w:val="00E075D0"/>
    <w:rsid w:val="00E07A52"/>
    <w:rsid w:val="00E07AEB"/>
    <w:rsid w:val="00E1002E"/>
    <w:rsid w:val="00E1046A"/>
    <w:rsid w:val="00E10AA4"/>
    <w:rsid w:val="00E1154B"/>
    <w:rsid w:val="00E11D56"/>
    <w:rsid w:val="00E13566"/>
    <w:rsid w:val="00E13E84"/>
    <w:rsid w:val="00E14620"/>
    <w:rsid w:val="00E146E9"/>
    <w:rsid w:val="00E148F2"/>
    <w:rsid w:val="00E150E7"/>
    <w:rsid w:val="00E152BD"/>
    <w:rsid w:val="00E156CD"/>
    <w:rsid w:val="00E1596E"/>
    <w:rsid w:val="00E15A68"/>
    <w:rsid w:val="00E172D3"/>
    <w:rsid w:val="00E1759B"/>
    <w:rsid w:val="00E17B89"/>
    <w:rsid w:val="00E20145"/>
    <w:rsid w:val="00E20667"/>
    <w:rsid w:val="00E20C62"/>
    <w:rsid w:val="00E20CC7"/>
    <w:rsid w:val="00E20FD6"/>
    <w:rsid w:val="00E21221"/>
    <w:rsid w:val="00E21232"/>
    <w:rsid w:val="00E21A13"/>
    <w:rsid w:val="00E21BB8"/>
    <w:rsid w:val="00E21E97"/>
    <w:rsid w:val="00E21EBD"/>
    <w:rsid w:val="00E225FB"/>
    <w:rsid w:val="00E23741"/>
    <w:rsid w:val="00E23CD3"/>
    <w:rsid w:val="00E24901"/>
    <w:rsid w:val="00E24EE1"/>
    <w:rsid w:val="00E2588D"/>
    <w:rsid w:val="00E25898"/>
    <w:rsid w:val="00E25DD4"/>
    <w:rsid w:val="00E26B2F"/>
    <w:rsid w:val="00E26BD3"/>
    <w:rsid w:val="00E270BD"/>
    <w:rsid w:val="00E27FB4"/>
    <w:rsid w:val="00E30405"/>
    <w:rsid w:val="00E305F5"/>
    <w:rsid w:val="00E30C73"/>
    <w:rsid w:val="00E30C88"/>
    <w:rsid w:val="00E31140"/>
    <w:rsid w:val="00E31A2C"/>
    <w:rsid w:val="00E333DE"/>
    <w:rsid w:val="00E33A7F"/>
    <w:rsid w:val="00E33D47"/>
    <w:rsid w:val="00E33DB7"/>
    <w:rsid w:val="00E3415B"/>
    <w:rsid w:val="00E34DE7"/>
    <w:rsid w:val="00E35A14"/>
    <w:rsid w:val="00E35E78"/>
    <w:rsid w:val="00E35F5C"/>
    <w:rsid w:val="00E36100"/>
    <w:rsid w:val="00E36544"/>
    <w:rsid w:val="00E367F7"/>
    <w:rsid w:val="00E36D94"/>
    <w:rsid w:val="00E36ECB"/>
    <w:rsid w:val="00E37421"/>
    <w:rsid w:val="00E37576"/>
    <w:rsid w:val="00E40320"/>
    <w:rsid w:val="00E40537"/>
    <w:rsid w:val="00E40B41"/>
    <w:rsid w:val="00E410EA"/>
    <w:rsid w:val="00E417A6"/>
    <w:rsid w:val="00E41B1C"/>
    <w:rsid w:val="00E41E6A"/>
    <w:rsid w:val="00E42343"/>
    <w:rsid w:val="00E42492"/>
    <w:rsid w:val="00E4249A"/>
    <w:rsid w:val="00E42524"/>
    <w:rsid w:val="00E43ADD"/>
    <w:rsid w:val="00E43C5F"/>
    <w:rsid w:val="00E43F9F"/>
    <w:rsid w:val="00E44604"/>
    <w:rsid w:val="00E44F41"/>
    <w:rsid w:val="00E45A75"/>
    <w:rsid w:val="00E4687B"/>
    <w:rsid w:val="00E472C7"/>
    <w:rsid w:val="00E50168"/>
    <w:rsid w:val="00E50241"/>
    <w:rsid w:val="00E505CF"/>
    <w:rsid w:val="00E505ED"/>
    <w:rsid w:val="00E50910"/>
    <w:rsid w:val="00E528C4"/>
    <w:rsid w:val="00E531D0"/>
    <w:rsid w:val="00E531F3"/>
    <w:rsid w:val="00E53FC7"/>
    <w:rsid w:val="00E5479C"/>
    <w:rsid w:val="00E5487A"/>
    <w:rsid w:val="00E54B3F"/>
    <w:rsid w:val="00E55049"/>
    <w:rsid w:val="00E55095"/>
    <w:rsid w:val="00E55215"/>
    <w:rsid w:val="00E5567B"/>
    <w:rsid w:val="00E5570E"/>
    <w:rsid w:val="00E5699D"/>
    <w:rsid w:val="00E56ADD"/>
    <w:rsid w:val="00E60198"/>
    <w:rsid w:val="00E60477"/>
    <w:rsid w:val="00E6066C"/>
    <w:rsid w:val="00E6089E"/>
    <w:rsid w:val="00E6103B"/>
    <w:rsid w:val="00E6144E"/>
    <w:rsid w:val="00E619A0"/>
    <w:rsid w:val="00E61DE2"/>
    <w:rsid w:val="00E61F14"/>
    <w:rsid w:val="00E622F4"/>
    <w:rsid w:val="00E62323"/>
    <w:rsid w:val="00E62AAD"/>
    <w:rsid w:val="00E62DB1"/>
    <w:rsid w:val="00E62F26"/>
    <w:rsid w:val="00E63B4D"/>
    <w:rsid w:val="00E6463B"/>
    <w:rsid w:val="00E64B31"/>
    <w:rsid w:val="00E64E33"/>
    <w:rsid w:val="00E64ED0"/>
    <w:rsid w:val="00E64FED"/>
    <w:rsid w:val="00E65295"/>
    <w:rsid w:val="00E66B9C"/>
    <w:rsid w:val="00E66E2B"/>
    <w:rsid w:val="00E67301"/>
    <w:rsid w:val="00E675D9"/>
    <w:rsid w:val="00E70163"/>
    <w:rsid w:val="00E70E68"/>
    <w:rsid w:val="00E71121"/>
    <w:rsid w:val="00E71166"/>
    <w:rsid w:val="00E71D2F"/>
    <w:rsid w:val="00E72263"/>
    <w:rsid w:val="00E72402"/>
    <w:rsid w:val="00E72AFE"/>
    <w:rsid w:val="00E734B7"/>
    <w:rsid w:val="00E740A7"/>
    <w:rsid w:val="00E74C76"/>
    <w:rsid w:val="00E74FEC"/>
    <w:rsid w:val="00E758AE"/>
    <w:rsid w:val="00E75C5A"/>
    <w:rsid w:val="00E75D64"/>
    <w:rsid w:val="00E772B5"/>
    <w:rsid w:val="00E773C3"/>
    <w:rsid w:val="00E775A8"/>
    <w:rsid w:val="00E7788E"/>
    <w:rsid w:val="00E7793A"/>
    <w:rsid w:val="00E8040C"/>
    <w:rsid w:val="00E809C3"/>
    <w:rsid w:val="00E80BFA"/>
    <w:rsid w:val="00E80EC3"/>
    <w:rsid w:val="00E811C1"/>
    <w:rsid w:val="00E815C9"/>
    <w:rsid w:val="00E8200C"/>
    <w:rsid w:val="00E835C3"/>
    <w:rsid w:val="00E83D6C"/>
    <w:rsid w:val="00E84458"/>
    <w:rsid w:val="00E8445F"/>
    <w:rsid w:val="00E84805"/>
    <w:rsid w:val="00E850A5"/>
    <w:rsid w:val="00E852B1"/>
    <w:rsid w:val="00E8577E"/>
    <w:rsid w:val="00E85C54"/>
    <w:rsid w:val="00E85D25"/>
    <w:rsid w:val="00E85ED2"/>
    <w:rsid w:val="00E85F2B"/>
    <w:rsid w:val="00E861F1"/>
    <w:rsid w:val="00E86250"/>
    <w:rsid w:val="00E86D5A"/>
    <w:rsid w:val="00E86ECD"/>
    <w:rsid w:val="00E87A4E"/>
    <w:rsid w:val="00E87B70"/>
    <w:rsid w:val="00E87E7F"/>
    <w:rsid w:val="00E90907"/>
    <w:rsid w:val="00E91A8C"/>
    <w:rsid w:val="00E91C4B"/>
    <w:rsid w:val="00E9209E"/>
    <w:rsid w:val="00E9270A"/>
    <w:rsid w:val="00E92779"/>
    <w:rsid w:val="00E927F7"/>
    <w:rsid w:val="00E9285B"/>
    <w:rsid w:val="00E92A76"/>
    <w:rsid w:val="00E92FE8"/>
    <w:rsid w:val="00E932F9"/>
    <w:rsid w:val="00E947A8"/>
    <w:rsid w:val="00E951A5"/>
    <w:rsid w:val="00E95E33"/>
    <w:rsid w:val="00E95F81"/>
    <w:rsid w:val="00E96006"/>
    <w:rsid w:val="00E9612F"/>
    <w:rsid w:val="00E963B8"/>
    <w:rsid w:val="00E972AB"/>
    <w:rsid w:val="00E97680"/>
    <w:rsid w:val="00E976EB"/>
    <w:rsid w:val="00E97AFF"/>
    <w:rsid w:val="00EA01C2"/>
    <w:rsid w:val="00EA1285"/>
    <w:rsid w:val="00EA1505"/>
    <w:rsid w:val="00EA162E"/>
    <w:rsid w:val="00EA1B36"/>
    <w:rsid w:val="00EA1F0C"/>
    <w:rsid w:val="00EA1FD7"/>
    <w:rsid w:val="00EA38FA"/>
    <w:rsid w:val="00EA397E"/>
    <w:rsid w:val="00EA3C08"/>
    <w:rsid w:val="00EA4C27"/>
    <w:rsid w:val="00EA6592"/>
    <w:rsid w:val="00EA6AEC"/>
    <w:rsid w:val="00EA72F0"/>
    <w:rsid w:val="00EA7967"/>
    <w:rsid w:val="00EA7A58"/>
    <w:rsid w:val="00EA7BCD"/>
    <w:rsid w:val="00EB09E1"/>
    <w:rsid w:val="00EB0D72"/>
    <w:rsid w:val="00EB0DFE"/>
    <w:rsid w:val="00EB105A"/>
    <w:rsid w:val="00EB1D98"/>
    <w:rsid w:val="00EB220E"/>
    <w:rsid w:val="00EB2AC6"/>
    <w:rsid w:val="00EB30DC"/>
    <w:rsid w:val="00EB32CD"/>
    <w:rsid w:val="00EB3311"/>
    <w:rsid w:val="00EB36C0"/>
    <w:rsid w:val="00EB370A"/>
    <w:rsid w:val="00EB3A76"/>
    <w:rsid w:val="00EB428E"/>
    <w:rsid w:val="00EB5EBC"/>
    <w:rsid w:val="00EB6214"/>
    <w:rsid w:val="00EB6B8F"/>
    <w:rsid w:val="00EB72BF"/>
    <w:rsid w:val="00EC089F"/>
    <w:rsid w:val="00EC36E6"/>
    <w:rsid w:val="00EC3737"/>
    <w:rsid w:val="00EC3F4F"/>
    <w:rsid w:val="00EC40D5"/>
    <w:rsid w:val="00EC462E"/>
    <w:rsid w:val="00EC46A9"/>
    <w:rsid w:val="00EC4984"/>
    <w:rsid w:val="00EC5DB8"/>
    <w:rsid w:val="00EC6088"/>
    <w:rsid w:val="00EC626E"/>
    <w:rsid w:val="00EC6A19"/>
    <w:rsid w:val="00EC6DFD"/>
    <w:rsid w:val="00EC6E36"/>
    <w:rsid w:val="00EC75C4"/>
    <w:rsid w:val="00EC7B12"/>
    <w:rsid w:val="00EC7B19"/>
    <w:rsid w:val="00EC7BBD"/>
    <w:rsid w:val="00ECC653"/>
    <w:rsid w:val="00ED0135"/>
    <w:rsid w:val="00ED05D1"/>
    <w:rsid w:val="00ED1088"/>
    <w:rsid w:val="00ED12A6"/>
    <w:rsid w:val="00ED169C"/>
    <w:rsid w:val="00ED20DD"/>
    <w:rsid w:val="00ED283C"/>
    <w:rsid w:val="00ED32E2"/>
    <w:rsid w:val="00ED369E"/>
    <w:rsid w:val="00ED3B25"/>
    <w:rsid w:val="00ED3E5B"/>
    <w:rsid w:val="00ED42CC"/>
    <w:rsid w:val="00ED49D7"/>
    <w:rsid w:val="00ED4DFC"/>
    <w:rsid w:val="00ED4EAE"/>
    <w:rsid w:val="00ED59B0"/>
    <w:rsid w:val="00ED5D9B"/>
    <w:rsid w:val="00ED705D"/>
    <w:rsid w:val="00ED7264"/>
    <w:rsid w:val="00ED7783"/>
    <w:rsid w:val="00ED7A6A"/>
    <w:rsid w:val="00EE02BA"/>
    <w:rsid w:val="00EE07D7"/>
    <w:rsid w:val="00EE09CA"/>
    <w:rsid w:val="00EE0DF6"/>
    <w:rsid w:val="00EE0E80"/>
    <w:rsid w:val="00EE15BE"/>
    <w:rsid w:val="00EE18F0"/>
    <w:rsid w:val="00EE1E78"/>
    <w:rsid w:val="00EE24DA"/>
    <w:rsid w:val="00EE2AF3"/>
    <w:rsid w:val="00EE319C"/>
    <w:rsid w:val="00EE31B5"/>
    <w:rsid w:val="00EE3432"/>
    <w:rsid w:val="00EE3655"/>
    <w:rsid w:val="00EE3A10"/>
    <w:rsid w:val="00EE438E"/>
    <w:rsid w:val="00EE48F8"/>
    <w:rsid w:val="00EE50CF"/>
    <w:rsid w:val="00EE521E"/>
    <w:rsid w:val="00EE5855"/>
    <w:rsid w:val="00EE5C21"/>
    <w:rsid w:val="00EE6037"/>
    <w:rsid w:val="00EE6271"/>
    <w:rsid w:val="00EE653D"/>
    <w:rsid w:val="00EE6E12"/>
    <w:rsid w:val="00EE7880"/>
    <w:rsid w:val="00EE7AB9"/>
    <w:rsid w:val="00EF01A8"/>
    <w:rsid w:val="00EF09BB"/>
    <w:rsid w:val="00EF1C8B"/>
    <w:rsid w:val="00EF1D6A"/>
    <w:rsid w:val="00EF2255"/>
    <w:rsid w:val="00EF23CE"/>
    <w:rsid w:val="00EF24F1"/>
    <w:rsid w:val="00EF2982"/>
    <w:rsid w:val="00EF3049"/>
    <w:rsid w:val="00EF3529"/>
    <w:rsid w:val="00EF3788"/>
    <w:rsid w:val="00EF3F1D"/>
    <w:rsid w:val="00EF45E6"/>
    <w:rsid w:val="00EF466E"/>
    <w:rsid w:val="00EF496C"/>
    <w:rsid w:val="00EF50C4"/>
    <w:rsid w:val="00EF5CB7"/>
    <w:rsid w:val="00EF5EAF"/>
    <w:rsid w:val="00EF6462"/>
    <w:rsid w:val="00EF7F3C"/>
    <w:rsid w:val="00F002C2"/>
    <w:rsid w:val="00F00B30"/>
    <w:rsid w:val="00F00BDF"/>
    <w:rsid w:val="00F00D7E"/>
    <w:rsid w:val="00F01784"/>
    <w:rsid w:val="00F01920"/>
    <w:rsid w:val="00F01CA3"/>
    <w:rsid w:val="00F02112"/>
    <w:rsid w:val="00F0216C"/>
    <w:rsid w:val="00F022D3"/>
    <w:rsid w:val="00F024BD"/>
    <w:rsid w:val="00F02778"/>
    <w:rsid w:val="00F03715"/>
    <w:rsid w:val="00F037D4"/>
    <w:rsid w:val="00F03ADA"/>
    <w:rsid w:val="00F046C2"/>
    <w:rsid w:val="00F047F7"/>
    <w:rsid w:val="00F04841"/>
    <w:rsid w:val="00F04BB2"/>
    <w:rsid w:val="00F05374"/>
    <w:rsid w:val="00F05A65"/>
    <w:rsid w:val="00F05A92"/>
    <w:rsid w:val="00F063B8"/>
    <w:rsid w:val="00F065FD"/>
    <w:rsid w:val="00F06E49"/>
    <w:rsid w:val="00F078DD"/>
    <w:rsid w:val="00F07FA7"/>
    <w:rsid w:val="00F11047"/>
    <w:rsid w:val="00F119E4"/>
    <w:rsid w:val="00F1214E"/>
    <w:rsid w:val="00F1271C"/>
    <w:rsid w:val="00F13181"/>
    <w:rsid w:val="00F136B3"/>
    <w:rsid w:val="00F146D4"/>
    <w:rsid w:val="00F14E0F"/>
    <w:rsid w:val="00F14EB3"/>
    <w:rsid w:val="00F15965"/>
    <w:rsid w:val="00F16B87"/>
    <w:rsid w:val="00F17058"/>
    <w:rsid w:val="00F174E4"/>
    <w:rsid w:val="00F17519"/>
    <w:rsid w:val="00F17702"/>
    <w:rsid w:val="00F17B35"/>
    <w:rsid w:val="00F20846"/>
    <w:rsid w:val="00F21B74"/>
    <w:rsid w:val="00F21B96"/>
    <w:rsid w:val="00F224D7"/>
    <w:rsid w:val="00F2285E"/>
    <w:rsid w:val="00F2388B"/>
    <w:rsid w:val="00F24017"/>
    <w:rsid w:val="00F24CFD"/>
    <w:rsid w:val="00F25ED6"/>
    <w:rsid w:val="00F26045"/>
    <w:rsid w:val="00F260DF"/>
    <w:rsid w:val="00F26424"/>
    <w:rsid w:val="00F26805"/>
    <w:rsid w:val="00F26D57"/>
    <w:rsid w:val="00F27853"/>
    <w:rsid w:val="00F27AE0"/>
    <w:rsid w:val="00F27B21"/>
    <w:rsid w:val="00F27DC6"/>
    <w:rsid w:val="00F30899"/>
    <w:rsid w:val="00F309C8"/>
    <w:rsid w:val="00F30D75"/>
    <w:rsid w:val="00F310B4"/>
    <w:rsid w:val="00F310FD"/>
    <w:rsid w:val="00F325E4"/>
    <w:rsid w:val="00F32892"/>
    <w:rsid w:val="00F3290E"/>
    <w:rsid w:val="00F338A4"/>
    <w:rsid w:val="00F33C69"/>
    <w:rsid w:val="00F35217"/>
    <w:rsid w:val="00F35AA8"/>
    <w:rsid w:val="00F35F5E"/>
    <w:rsid w:val="00F35FA9"/>
    <w:rsid w:val="00F368F8"/>
    <w:rsid w:val="00F36C1C"/>
    <w:rsid w:val="00F374FE"/>
    <w:rsid w:val="00F37D45"/>
    <w:rsid w:val="00F4049E"/>
    <w:rsid w:val="00F404FD"/>
    <w:rsid w:val="00F40931"/>
    <w:rsid w:val="00F409B6"/>
    <w:rsid w:val="00F40B11"/>
    <w:rsid w:val="00F40F8A"/>
    <w:rsid w:val="00F42580"/>
    <w:rsid w:val="00F43060"/>
    <w:rsid w:val="00F430BE"/>
    <w:rsid w:val="00F435D0"/>
    <w:rsid w:val="00F43CD8"/>
    <w:rsid w:val="00F43FB5"/>
    <w:rsid w:val="00F441FE"/>
    <w:rsid w:val="00F442EF"/>
    <w:rsid w:val="00F457F9"/>
    <w:rsid w:val="00F45FF5"/>
    <w:rsid w:val="00F46077"/>
    <w:rsid w:val="00F46081"/>
    <w:rsid w:val="00F4684C"/>
    <w:rsid w:val="00F46ACD"/>
    <w:rsid w:val="00F4713C"/>
    <w:rsid w:val="00F473DA"/>
    <w:rsid w:val="00F47692"/>
    <w:rsid w:val="00F47F56"/>
    <w:rsid w:val="00F50A1C"/>
    <w:rsid w:val="00F50E69"/>
    <w:rsid w:val="00F50EE6"/>
    <w:rsid w:val="00F516EA"/>
    <w:rsid w:val="00F52136"/>
    <w:rsid w:val="00F52227"/>
    <w:rsid w:val="00F52E7A"/>
    <w:rsid w:val="00F53AB5"/>
    <w:rsid w:val="00F556F7"/>
    <w:rsid w:val="00F560A1"/>
    <w:rsid w:val="00F56713"/>
    <w:rsid w:val="00F567E8"/>
    <w:rsid w:val="00F56E39"/>
    <w:rsid w:val="00F57201"/>
    <w:rsid w:val="00F5723E"/>
    <w:rsid w:val="00F576A5"/>
    <w:rsid w:val="00F579B0"/>
    <w:rsid w:val="00F60238"/>
    <w:rsid w:val="00F6035A"/>
    <w:rsid w:val="00F6106C"/>
    <w:rsid w:val="00F61C23"/>
    <w:rsid w:val="00F6214A"/>
    <w:rsid w:val="00F6220A"/>
    <w:rsid w:val="00F62349"/>
    <w:rsid w:val="00F62871"/>
    <w:rsid w:val="00F62D87"/>
    <w:rsid w:val="00F637D7"/>
    <w:rsid w:val="00F63A75"/>
    <w:rsid w:val="00F63B54"/>
    <w:rsid w:val="00F64ACF"/>
    <w:rsid w:val="00F6577C"/>
    <w:rsid w:val="00F65C3D"/>
    <w:rsid w:val="00F65D49"/>
    <w:rsid w:val="00F663C3"/>
    <w:rsid w:val="00F664AD"/>
    <w:rsid w:val="00F66C64"/>
    <w:rsid w:val="00F67602"/>
    <w:rsid w:val="00F67606"/>
    <w:rsid w:val="00F67D06"/>
    <w:rsid w:val="00F67DD6"/>
    <w:rsid w:val="00F67EA1"/>
    <w:rsid w:val="00F67F33"/>
    <w:rsid w:val="00F706F5"/>
    <w:rsid w:val="00F70C1E"/>
    <w:rsid w:val="00F70EF8"/>
    <w:rsid w:val="00F7157D"/>
    <w:rsid w:val="00F72891"/>
    <w:rsid w:val="00F728DB"/>
    <w:rsid w:val="00F7291A"/>
    <w:rsid w:val="00F72C53"/>
    <w:rsid w:val="00F73360"/>
    <w:rsid w:val="00F73814"/>
    <w:rsid w:val="00F73834"/>
    <w:rsid w:val="00F7388B"/>
    <w:rsid w:val="00F73B8C"/>
    <w:rsid w:val="00F7429D"/>
    <w:rsid w:val="00F74613"/>
    <w:rsid w:val="00F75429"/>
    <w:rsid w:val="00F759F5"/>
    <w:rsid w:val="00F75FEE"/>
    <w:rsid w:val="00F7623E"/>
    <w:rsid w:val="00F772A8"/>
    <w:rsid w:val="00F803C9"/>
    <w:rsid w:val="00F80508"/>
    <w:rsid w:val="00F8086B"/>
    <w:rsid w:val="00F80953"/>
    <w:rsid w:val="00F80AD0"/>
    <w:rsid w:val="00F81091"/>
    <w:rsid w:val="00F819FF"/>
    <w:rsid w:val="00F81AB8"/>
    <w:rsid w:val="00F81CE2"/>
    <w:rsid w:val="00F81E7F"/>
    <w:rsid w:val="00F81E9D"/>
    <w:rsid w:val="00F82213"/>
    <w:rsid w:val="00F822C8"/>
    <w:rsid w:val="00F82790"/>
    <w:rsid w:val="00F82E6C"/>
    <w:rsid w:val="00F831EE"/>
    <w:rsid w:val="00F836D1"/>
    <w:rsid w:val="00F84BA8"/>
    <w:rsid w:val="00F84BCC"/>
    <w:rsid w:val="00F84DB0"/>
    <w:rsid w:val="00F84E45"/>
    <w:rsid w:val="00F853AE"/>
    <w:rsid w:val="00F85AF4"/>
    <w:rsid w:val="00F85CD9"/>
    <w:rsid w:val="00F85DF5"/>
    <w:rsid w:val="00F85FB0"/>
    <w:rsid w:val="00F8699D"/>
    <w:rsid w:val="00F86E1C"/>
    <w:rsid w:val="00F86F3D"/>
    <w:rsid w:val="00F871A0"/>
    <w:rsid w:val="00F87383"/>
    <w:rsid w:val="00F9055E"/>
    <w:rsid w:val="00F90CBF"/>
    <w:rsid w:val="00F90FA2"/>
    <w:rsid w:val="00F914FA"/>
    <w:rsid w:val="00F91572"/>
    <w:rsid w:val="00F91579"/>
    <w:rsid w:val="00F91878"/>
    <w:rsid w:val="00F919E6"/>
    <w:rsid w:val="00F93098"/>
    <w:rsid w:val="00F93159"/>
    <w:rsid w:val="00F936A1"/>
    <w:rsid w:val="00F93A5B"/>
    <w:rsid w:val="00F93C77"/>
    <w:rsid w:val="00F9428F"/>
    <w:rsid w:val="00F94C5F"/>
    <w:rsid w:val="00F9585B"/>
    <w:rsid w:val="00F95A2E"/>
    <w:rsid w:val="00F9616B"/>
    <w:rsid w:val="00F961B1"/>
    <w:rsid w:val="00F961DA"/>
    <w:rsid w:val="00F9639A"/>
    <w:rsid w:val="00F96776"/>
    <w:rsid w:val="00F96B45"/>
    <w:rsid w:val="00F96BC4"/>
    <w:rsid w:val="00F96FA6"/>
    <w:rsid w:val="00F97878"/>
    <w:rsid w:val="00F979B0"/>
    <w:rsid w:val="00FA0193"/>
    <w:rsid w:val="00FA01FD"/>
    <w:rsid w:val="00FA0336"/>
    <w:rsid w:val="00FA03CD"/>
    <w:rsid w:val="00FA0623"/>
    <w:rsid w:val="00FA065E"/>
    <w:rsid w:val="00FA0B32"/>
    <w:rsid w:val="00FA165E"/>
    <w:rsid w:val="00FA174C"/>
    <w:rsid w:val="00FA1949"/>
    <w:rsid w:val="00FA1960"/>
    <w:rsid w:val="00FA33F4"/>
    <w:rsid w:val="00FA39C7"/>
    <w:rsid w:val="00FA479E"/>
    <w:rsid w:val="00FA5ACF"/>
    <w:rsid w:val="00FA5C64"/>
    <w:rsid w:val="00FA651E"/>
    <w:rsid w:val="00FA6FC4"/>
    <w:rsid w:val="00FA7C6A"/>
    <w:rsid w:val="00FB039F"/>
    <w:rsid w:val="00FB0AA1"/>
    <w:rsid w:val="00FB0F49"/>
    <w:rsid w:val="00FB1B7E"/>
    <w:rsid w:val="00FB20BF"/>
    <w:rsid w:val="00FB27DD"/>
    <w:rsid w:val="00FB2941"/>
    <w:rsid w:val="00FB3A37"/>
    <w:rsid w:val="00FB3A6A"/>
    <w:rsid w:val="00FB5731"/>
    <w:rsid w:val="00FB5887"/>
    <w:rsid w:val="00FB6E79"/>
    <w:rsid w:val="00FB72DC"/>
    <w:rsid w:val="00FB76D0"/>
    <w:rsid w:val="00FB7917"/>
    <w:rsid w:val="00FB7F02"/>
    <w:rsid w:val="00FC043E"/>
    <w:rsid w:val="00FC0B94"/>
    <w:rsid w:val="00FC0D2F"/>
    <w:rsid w:val="00FC0D9B"/>
    <w:rsid w:val="00FC144D"/>
    <w:rsid w:val="00FC1485"/>
    <w:rsid w:val="00FC1682"/>
    <w:rsid w:val="00FC26CB"/>
    <w:rsid w:val="00FC308D"/>
    <w:rsid w:val="00FC37F6"/>
    <w:rsid w:val="00FC38F8"/>
    <w:rsid w:val="00FC3A3D"/>
    <w:rsid w:val="00FC3D46"/>
    <w:rsid w:val="00FC3FF4"/>
    <w:rsid w:val="00FC409D"/>
    <w:rsid w:val="00FC6A60"/>
    <w:rsid w:val="00FC6AB5"/>
    <w:rsid w:val="00FC6B2E"/>
    <w:rsid w:val="00FD01D3"/>
    <w:rsid w:val="00FD03D9"/>
    <w:rsid w:val="00FD0B91"/>
    <w:rsid w:val="00FD0C89"/>
    <w:rsid w:val="00FD1104"/>
    <w:rsid w:val="00FD15B7"/>
    <w:rsid w:val="00FD2026"/>
    <w:rsid w:val="00FD24E9"/>
    <w:rsid w:val="00FD28B0"/>
    <w:rsid w:val="00FD2921"/>
    <w:rsid w:val="00FD2B4B"/>
    <w:rsid w:val="00FD2F04"/>
    <w:rsid w:val="00FD2FE4"/>
    <w:rsid w:val="00FD3671"/>
    <w:rsid w:val="00FD3919"/>
    <w:rsid w:val="00FD3B98"/>
    <w:rsid w:val="00FD3D1B"/>
    <w:rsid w:val="00FD3FAE"/>
    <w:rsid w:val="00FD4567"/>
    <w:rsid w:val="00FD45FF"/>
    <w:rsid w:val="00FD50DB"/>
    <w:rsid w:val="00FD59CE"/>
    <w:rsid w:val="00FD5BBF"/>
    <w:rsid w:val="00FD763C"/>
    <w:rsid w:val="00FD7902"/>
    <w:rsid w:val="00FE01CF"/>
    <w:rsid w:val="00FE04EE"/>
    <w:rsid w:val="00FE04FE"/>
    <w:rsid w:val="00FE0BE5"/>
    <w:rsid w:val="00FE1076"/>
    <w:rsid w:val="00FE2006"/>
    <w:rsid w:val="00FE2355"/>
    <w:rsid w:val="00FE29B6"/>
    <w:rsid w:val="00FE3015"/>
    <w:rsid w:val="00FE3410"/>
    <w:rsid w:val="00FE35F1"/>
    <w:rsid w:val="00FE3E2A"/>
    <w:rsid w:val="00FE4C44"/>
    <w:rsid w:val="00FE5687"/>
    <w:rsid w:val="00FE6248"/>
    <w:rsid w:val="00FE6B4E"/>
    <w:rsid w:val="00FE72F4"/>
    <w:rsid w:val="00FE73D8"/>
    <w:rsid w:val="00FE7682"/>
    <w:rsid w:val="00FE76CB"/>
    <w:rsid w:val="00FE770D"/>
    <w:rsid w:val="00FF035B"/>
    <w:rsid w:val="00FF0526"/>
    <w:rsid w:val="00FF1D9F"/>
    <w:rsid w:val="00FF2A48"/>
    <w:rsid w:val="00FF33AF"/>
    <w:rsid w:val="00FF3713"/>
    <w:rsid w:val="00FF39F0"/>
    <w:rsid w:val="00FF3DE3"/>
    <w:rsid w:val="00FF3DFA"/>
    <w:rsid w:val="00FF4164"/>
    <w:rsid w:val="00FF49F0"/>
    <w:rsid w:val="00FF4C26"/>
    <w:rsid w:val="00FF54AA"/>
    <w:rsid w:val="00FF54D7"/>
    <w:rsid w:val="00FF56BB"/>
    <w:rsid w:val="00FF65F6"/>
    <w:rsid w:val="00FF6629"/>
    <w:rsid w:val="00FF66CC"/>
    <w:rsid w:val="00FF6A44"/>
    <w:rsid w:val="00FF6DBF"/>
    <w:rsid w:val="00FF6FA4"/>
    <w:rsid w:val="00FF73BA"/>
    <w:rsid w:val="00FF7663"/>
    <w:rsid w:val="00FF7AC9"/>
    <w:rsid w:val="01198AAF"/>
    <w:rsid w:val="011B1140"/>
    <w:rsid w:val="01251150"/>
    <w:rsid w:val="01578F19"/>
    <w:rsid w:val="015B8B2F"/>
    <w:rsid w:val="01689DF4"/>
    <w:rsid w:val="019192D2"/>
    <w:rsid w:val="019210A2"/>
    <w:rsid w:val="01A9A511"/>
    <w:rsid w:val="01CE5B44"/>
    <w:rsid w:val="01DFAFC7"/>
    <w:rsid w:val="01FCF633"/>
    <w:rsid w:val="01FDFA68"/>
    <w:rsid w:val="021822F1"/>
    <w:rsid w:val="023B3200"/>
    <w:rsid w:val="023B7ECB"/>
    <w:rsid w:val="025A24C4"/>
    <w:rsid w:val="0269556E"/>
    <w:rsid w:val="028A8059"/>
    <w:rsid w:val="028D17C7"/>
    <w:rsid w:val="0294A3D1"/>
    <w:rsid w:val="029CAA01"/>
    <w:rsid w:val="02DBD229"/>
    <w:rsid w:val="02EB49C8"/>
    <w:rsid w:val="02F68923"/>
    <w:rsid w:val="030DF067"/>
    <w:rsid w:val="030EA424"/>
    <w:rsid w:val="0318F79B"/>
    <w:rsid w:val="031AF34F"/>
    <w:rsid w:val="03363A31"/>
    <w:rsid w:val="0345E9C0"/>
    <w:rsid w:val="0360133F"/>
    <w:rsid w:val="03607BD1"/>
    <w:rsid w:val="03657C9E"/>
    <w:rsid w:val="0369608D"/>
    <w:rsid w:val="0369DD3F"/>
    <w:rsid w:val="036B1044"/>
    <w:rsid w:val="0373F5D5"/>
    <w:rsid w:val="037B7BC5"/>
    <w:rsid w:val="038F5951"/>
    <w:rsid w:val="03992C6A"/>
    <w:rsid w:val="039CE2C7"/>
    <w:rsid w:val="039D8F6B"/>
    <w:rsid w:val="03AB8935"/>
    <w:rsid w:val="03B283E2"/>
    <w:rsid w:val="03BB3A12"/>
    <w:rsid w:val="03C3FC16"/>
    <w:rsid w:val="03CED04E"/>
    <w:rsid w:val="03E04D85"/>
    <w:rsid w:val="0417788F"/>
    <w:rsid w:val="0424EE18"/>
    <w:rsid w:val="042E8B20"/>
    <w:rsid w:val="043D6649"/>
    <w:rsid w:val="044E8E49"/>
    <w:rsid w:val="045E70FB"/>
    <w:rsid w:val="045E85AB"/>
    <w:rsid w:val="04666C43"/>
    <w:rsid w:val="0467E208"/>
    <w:rsid w:val="047E6449"/>
    <w:rsid w:val="04B33D45"/>
    <w:rsid w:val="04C3A565"/>
    <w:rsid w:val="04C3ED12"/>
    <w:rsid w:val="04DBE441"/>
    <w:rsid w:val="04E60C89"/>
    <w:rsid w:val="04E8BCF4"/>
    <w:rsid w:val="04FDBE39"/>
    <w:rsid w:val="0545FDE4"/>
    <w:rsid w:val="054E7C28"/>
    <w:rsid w:val="0566C48A"/>
    <w:rsid w:val="05680FD4"/>
    <w:rsid w:val="056E8A94"/>
    <w:rsid w:val="0572252F"/>
    <w:rsid w:val="0576622D"/>
    <w:rsid w:val="058CF8C0"/>
    <w:rsid w:val="0590589B"/>
    <w:rsid w:val="059685A5"/>
    <w:rsid w:val="05A0121C"/>
    <w:rsid w:val="05B67B3A"/>
    <w:rsid w:val="05BF9AB4"/>
    <w:rsid w:val="05C7806E"/>
    <w:rsid w:val="05DBCF91"/>
    <w:rsid w:val="05DC6C64"/>
    <w:rsid w:val="05DFF46A"/>
    <w:rsid w:val="05EDDC2E"/>
    <w:rsid w:val="062037FA"/>
    <w:rsid w:val="063B0BD4"/>
    <w:rsid w:val="063BCF0F"/>
    <w:rsid w:val="068F5D86"/>
    <w:rsid w:val="06BE939C"/>
    <w:rsid w:val="06E3B5F9"/>
    <w:rsid w:val="06EFAC09"/>
    <w:rsid w:val="06F457E4"/>
    <w:rsid w:val="070B05E6"/>
    <w:rsid w:val="071D545B"/>
    <w:rsid w:val="07443576"/>
    <w:rsid w:val="07506BBE"/>
    <w:rsid w:val="0751EF76"/>
    <w:rsid w:val="0763B473"/>
    <w:rsid w:val="076F5899"/>
    <w:rsid w:val="076F8281"/>
    <w:rsid w:val="077D084D"/>
    <w:rsid w:val="07950B91"/>
    <w:rsid w:val="07C89790"/>
    <w:rsid w:val="07DA5761"/>
    <w:rsid w:val="07DC270E"/>
    <w:rsid w:val="07DCC220"/>
    <w:rsid w:val="07E5F97C"/>
    <w:rsid w:val="07F40959"/>
    <w:rsid w:val="07FA364B"/>
    <w:rsid w:val="0807BE61"/>
    <w:rsid w:val="08131525"/>
    <w:rsid w:val="081690F8"/>
    <w:rsid w:val="0817CB0D"/>
    <w:rsid w:val="084743EC"/>
    <w:rsid w:val="084E2049"/>
    <w:rsid w:val="0864F5EC"/>
    <w:rsid w:val="086FE836"/>
    <w:rsid w:val="0872C28B"/>
    <w:rsid w:val="087559ED"/>
    <w:rsid w:val="08A1CAC4"/>
    <w:rsid w:val="08ACE254"/>
    <w:rsid w:val="08BBAC9F"/>
    <w:rsid w:val="08C2B0EE"/>
    <w:rsid w:val="08D11118"/>
    <w:rsid w:val="08D25C46"/>
    <w:rsid w:val="08D529D6"/>
    <w:rsid w:val="08F338E4"/>
    <w:rsid w:val="08F911B7"/>
    <w:rsid w:val="09303CFA"/>
    <w:rsid w:val="094E3F59"/>
    <w:rsid w:val="0964E8BA"/>
    <w:rsid w:val="096ABF49"/>
    <w:rsid w:val="097D606D"/>
    <w:rsid w:val="098BEA1A"/>
    <w:rsid w:val="098C466C"/>
    <w:rsid w:val="09AA0B71"/>
    <w:rsid w:val="09B76F2F"/>
    <w:rsid w:val="09B7A16D"/>
    <w:rsid w:val="09C4BC22"/>
    <w:rsid w:val="09C65075"/>
    <w:rsid w:val="09C8B03A"/>
    <w:rsid w:val="09D38341"/>
    <w:rsid w:val="09D5BFDC"/>
    <w:rsid w:val="09F655C6"/>
    <w:rsid w:val="0A165945"/>
    <w:rsid w:val="0A1A2528"/>
    <w:rsid w:val="0A2A4B66"/>
    <w:rsid w:val="0A4B8B31"/>
    <w:rsid w:val="0A544525"/>
    <w:rsid w:val="0A5ECF2B"/>
    <w:rsid w:val="0A6F28C9"/>
    <w:rsid w:val="0A7833FF"/>
    <w:rsid w:val="0A96173A"/>
    <w:rsid w:val="0A98009A"/>
    <w:rsid w:val="0AA85E2C"/>
    <w:rsid w:val="0AA90768"/>
    <w:rsid w:val="0AB49CDC"/>
    <w:rsid w:val="0AB593DA"/>
    <w:rsid w:val="0AD80FA1"/>
    <w:rsid w:val="0B04C03F"/>
    <w:rsid w:val="0B6F39E0"/>
    <w:rsid w:val="0B74C1AC"/>
    <w:rsid w:val="0B806691"/>
    <w:rsid w:val="0BD0F854"/>
    <w:rsid w:val="0BE2EF04"/>
    <w:rsid w:val="0BE4C4C3"/>
    <w:rsid w:val="0C044694"/>
    <w:rsid w:val="0C13534F"/>
    <w:rsid w:val="0C345B01"/>
    <w:rsid w:val="0C4522EE"/>
    <w:rsid w:val="0CA0C9C2"/>
    <w:rsid w:val="0CBC234F"/>
    <w:rsid w:val="0CC15C4F"/>
    <w:rsid w:val="0CDEF09C"/>
    <w:rsid w:val="0CF5E8EA"/>
    <w:rsid w:val="0D07875F"/>
    <w:rsid w:val="0D4F4325"/>
    <w:rsid w:val="0D69BA32"/>
    <w:rsid w:val="0D79FD93"/>
    <w:rsid w:val="0D8EBB77"/>
    <w:rsid w:val="0D9B39AE"/>
    <w:rsid w:val="0DAB83F6"/>
    <w:rsid w:val="0DC0B1BA"/>
    <w:rsid w:val="0DC405C8"/>
    <w:rsid w:val="0DC867D9"/>
    <w:rsid w:val="0DE53AF0"/>
    <w:rsid w:val="0DF7E40C"/>
    <w:rsid w:val="0DFD32BA"/>
    <w:rsid w:val="0E1D414E"/>
    <w:rsid w:val="0E57A99B"/>
    <w:rsid w:val="0E6D7F7D"/>
    <w:rsid w:val="0E72891C"/>
    <w:rsid w:val="0E89ABF1"/>
    <w:rsid w:val="0E8A283D"/>
    <w:rsid w:val="0E8FE597"/>
    <w:rsid w:val="0EA92925"/>
    <w:rsid w:val="0EB8C5DB"/>
    <w:rsid w:val="0EBB9102"/>
    <w:rsid w:val="0ED28DE7"/>
    <w:rsid w:val="0ED300BB"/>
    <w:rsid w:val="0ED43145"/>
    <w:rsid w:val="0ED7A9E5"/>
    <w:rsid w:val="0EE0BE7B"/>
    <w:rsid w:val="0F11F42D"/>
    <w:rsid w:val="0F244AFD"/>
    <w:rsid w:val="0F256DB9"/>
    <w:rsid w:val="0F537600"/>
    <w:rsid w:val="0F6117F8"/>
    <w:rsid w:val="0F6DD2D2"/>
    <w:rsid w:val="0F74E5ED"/>
    <w:rsid w:val="0F901E65"/>
    <w:rsid w:val="0FBC428D"/>
    <w:rsid w:val="0FDC36CF"/>
    <w:rsid w:val="0FE47FD0"/>
    <w:rsid w:val="0FEC4FB9"/>
    <w:rsid w:val="10231EFC"/>
    <w:rsid w:val="1049F438"/>
    <w:rsid w:val="10523C48"/>
    <w:rsid w:val="106C93A3"/>
    <w:rsid w:val="106E1ACE"/>
    <w:rsid w:val="10735774"/>
    <w:rsid w:val="107C20E2"/>
    <w:rsid w:val="1091A4CE"/>
    <w:rsid w:val="1099C490"/>
    <w:rsid w:val="10A5FDCC"/>
    <w:rsid w:val="10B34D9F"/>
    <w:rsid w:val="10B5C93F"/>
    <w:rsid w:val="10BD4643"/>
    <w:rsid w:val="10C959C5"/>
    <w:rsid w:val="10E784AF"/>
    <w:rsid w:val="10F36BEB"/>
    <w:rsid w:val="11034E05"/>
    <w:rsid w:val="11106C52"/>
    <w:rsid w:val="1116A9E9"/>
    <w:rsid w:val="112A6338"/>
    <w:rsid w:val="112AD328"/>
    <w:rsid w:val="112B0D54"/>
    <w:rsid w:val="112F3354"/>
    <w:rsid w:val="1133D4F0"/>
    <w:rsid w:val="1146C8E3"/>
    <w:rsid w:val="114EFF04"/>
    <w:rsid w:val="1155CE77"/>
    <w:rsid w:val="11658B30"/>
    <w:rsid w:val="1166F2F3"/>
    <w:rsid w:val="11958EB3"/>
    <w:rsid w:val="119DCDCC"/>
    <w:rsid w:val="11B67944"/>
    <w:rsid w:val="11CDC0C2"/>
    <w:rsid w:val="11E0EF89"/>
    <w:rsid w:val="11ECEED3"/>
    <w:rsid w:val="11EF7073"/>
    <w:rsid w:val="1214C072"/>
    <w:rsid w:val="1217C160"/>
    <w:rsid w:val="122DB65C"/>
    <w:rsid w:val="122E42C6"/>
    <w:rsid w:val="123103D5"/>
    <w:rsid w:val="124A050A"/>
    <w:rsid w:val="124CEFD7"/>
    <w:rsid w:val="125335CE"/>
    <w:rsid w:val="127C56B4"/>
    <w:rsid w:val="128CDFF0"/>
    <w:rsid w:val="12A32670"/>
    <w:rsid w:val="12A49D68"/>
    <w:rsid w:val="12BCE9E0"/>
    <w:rsid w:val="12CAA7C6"/>
    <w:rsid w:val="12CB5383"/>
    <w:rsid w:val="12DE2BB9"/>
    <w:rsid w:val="12E8C01C"/>
    <w:rsid w:val="12F16F06"/>
    <w:rsid w:val="12FED844"/>
    <w:rsid w:val="13153646"/>
    <w:rsid w:val="131F38CA"/>
    <w:rsid w:val="1325B473"/>
    <w:rsid w:val="134DE6DF"/>
    <w:rsid w:val="13550223"/>
    <w:rsid w:val="1357A412"/>
    <w:rsid w:val="135D3BEE"/>
    <w:rsid w:val="1375409E"/>
    <w:rsid w:val="13877C82"/>
    <w:rsid w:val="13955EC9"/>
    <w:rsid w:val="13AB3AB7"/>
    <w:rsid w:val="13E789E9"/>
    <w:rsid w:val="13F2ACFB"/>
    <w:rsid w:val="140235B7"/>
    <w:rsid w:val="1403FD1C"/>
    <w:rsid w:val="140D1A2B"/>
    <w:rsid w:val="142E8C01"/>
    <w:rsid w:val="142F000F"/>
    <w:rsid w:val="1435AAD4"/>
    <w:rsid w:val="144F80D5"/>
    <w:rsid w:val="14540466"/>
    <w:rsid w:val="1457E64E"/>
    <w:rsid w:val="146027E5"/>
    <w:rsid w:val="1476F7FC"/>
    <w:rsid w:val="1499BF96"/>
    <w:rsid w:val="14BC8E35"/>
    <w:rsid w:val="14BEDE9B"/>
    <w:rsid w:val="14C90EB1"/>
    <w:rsid w:val="14DA4932"/>
    <w:rsid w:val="14DC8DC1"/>
    <w:rsid w:val="14F92A47"/>
    <w:rsid w:val="1522490C"/>
    <w:rsid w:val="1537C897"/>
    <w:rsid w:val="153AEA71"/>
    <w:rsid w:val="153D37B9"/>
    <w:rsid w:val="15511C14"/>
    <w:rsid w:val="155E46D8"/>
    <w:rsid w:val="156FAAD9"/>
    <w:rsid w:val="1577E14C"/>
    <w:rsid w:val="15839EC6"/>
    <w:rsid w:val="159670B3"/>
    <w:rsid w:val="15B0C57B"/>
    <w:rsid w:val="15CB6E7E"/>
    <w:rsid w:val="15D5BBC3"/>
    <w:rsid w:val="15E848CF"/>
    <w:rsid w:val="160F8D79"/>
    <w:rsid w:val="1615DE10"/>
    <w:rsid w:val="161DFFE7"/>
    <w:rsid w:val="1644EA90"/>
    <w:rsid w:val="16556F23"/>
    <w:rsid w:val="166B573B"/>
    <w:rsid w:val="1688B356"/>
    <w:rsid w:val="168E8B50"/>
    <w:rsid w:val="16948375"/>
    <w:rsid w:val="169CC289"/>
    <w:rsid w:val="16B5D053"/>
    <w:rsid w:val="1712DE74"/>
    <w:rsid w:val="171991C4"/>
    <w:rsid w:val="173A02A2"/>
    <w:rsid w:val="173A93F6"/>
    <w:rsid w:val="1746D8FD"/>
    <w:rsid w:val="1748EBC0"/>
    <w:rsid w:val="174BCFA5"/>
    <w:rsid w:val="17676354"/>
    <w:rsid w:val="1792A0F8"/>
    <w:rsid w:val="1793626D"/>
    <w:rsid w:val="17B0E1EA"/>
    <w:rsid w:val="17B5D178"/>
    <w:rsid w:val="17CCDDDD"/>
    <w:rsid w:val="17E12D30"/>
    <w:rsid w:val="17FFE2AC"/>
    <w:rsid w:val="1813D629"/>
    <w:rsid w:val="18314C8C"/>
    <w:rsid w:val="183D2FF7"/>
    <w:rsid w:val="184EB9A2"/>
    <w:rsid w:val="18669ED1"/>
    <w:rsid w:val="187F0A5B"/>
    <w:rsid w:val="1880286E"/>
    <w:rsid w:val="188DFA61"/>
    <w:rsid w:val="18AAEF57"/>
    <w:rsid w:val="18B279EE"/>
    <w:rsid w:val="18B6103E"/>
    <w:rsid w:val="18CDB48B"/>
    <w:rsid w:val="18E55D26"/>
    <w:rsid w:val="18E70C3D"/>
    <w:rsid w:val="18F1B3A3"/>
    <w:rsid w:val="1913B5E6"/>
    <w:rsid w:val="1913F360"/>
    <w:rsid w:val="192AF72C"/>
    <w:rsid w:val="1937F289"/>
    <w:rsid w:val="195712BA"/>
    <w:rsid w:val="195961ED"/>
    <w:rsid w:val="1966E549"/>
    <w:rsid w:val="196EC960"/>
    <w:rsid w:val="1975E4E1"/>
    <w:rsid w:val="19859404"/>
    <w:rsid w:val="19969DBC"/>
    <w:rsid w:val="1999EA24"/>
    <w:rsid w:val="19A9D1C5"/>
    <w:rsid w:val="19B25ABD"/>
    <w:rsid w:val="19B54228"/>
    <w:rsid w:val="19BE8B02"/>
    <w:rsid w:val="19C652A1"/>
    <w:rsid w:val="19C7A6D9"/>
    <w:rsid w:val="19DAC82A"/>
    <w:rsid w:val="19FAF882"/>
    <w:rsid w:val="19FF4460"/>
    <w:rsid w:val="1A076549"/>
    <w:rsid w:val="1A1124FA"/>
    <w:rsid w:val="1A1BFD96"/>
    <w:rsid w:val="1A287F00"/>
    <w:rsid w:val="1A30160C"/>
    <w:rsid w:val="1A3C1ADF"/>
    <w:rsid w:val="1A3C9B3B"/>
    <w:rsid w:val="1A6C58B9"/>
    <w:rsid w:val="1A76983A"/>
    <w:rsid w:val="1A79D341"/>
    <w:rsid w:val="1A841188"/>
    <w:rsid w:val="1AA7A3F5"/>
    <w:rsid w:val="1AAA4BDB"/>
    <w:rsid w:val="1AB426DB"/>
    <w:rsid w:val="1ACC6C10"/>
    <w:rsid w:val="1AE26574"/>
    <w:rsid w:val="1AE98259"/>
    <w:rsid w:val="1B0450AC"/>
    <w:rsid w:val="1B0A2FEC"/>
    <w:rsid w:val="1B0E545A"/>
    <w:rsid w:val="1B11219A"/>
    <w:rsid w:val="1B153CE7"/>
    <w:rsid w:val="1B2B0F54"/>
    <w:rsid w:val="1B2E4B77"/>
    <w:rsid w:val="1B32BC6F"/>
    <w:rsid w:val="1B33E63B"/>
    <w:rsid w:val="1B6F5A3C"/>
    <w:rsid w:val="1B7FF962"/>
    <w:rsid w:val="1B884F0D"/>
    <w:rsid w:val="1B97AE99"/>
    <w:rsid w:val="1BB172DE"/>
    <w:rsid w:val="1BD1EE9D"/>
    <w:rsid w:val="1BD74C10"/>
    <w:rsid w:val="1BE2A992"/>
    <w:rsid w:val="1BFD782F"/>
    <w:rsid w:val="1C00D450"/>
    <w:rsid w:val="1C0C736D"/>
    <w:rsid w:val="1C12A65A"/>
    <w:rsid w:val="1C34C66E"/>
    <w:rsid w:val="1C577B3E"/>
    <w:rsid w:val="1C7C6655"/>
    <w:rsid w:val="1C7F6C15"/>
    <w:rsid w:val="1C9BDD18"/>
    <w:rsid w:val="1CCC4ED2"/>
    <w:rsid w:val="1CD76AFA"/>
    <w:rsid w:val="1CDA5DED"/>
    <w:rsid w:val="1CE8769C"/>
    <w:rsid w:val="1D3495EC"/>
    <w:rsid w:val="1D388F14"/>
    <w:rsid w:val="1D3FB283"/>
    <w:rsid w:val="1D4D79E3"/>
    <w:rsid w:val="1DAAF8E0"/>
    <w:rsid w:val="1DB2C7B3"/>
    <w:rsid w:val="1DB4DD0B"/>
    <w:rsid w:val="1DBAF54E"/>
    <w:rsid w:val="1DCE4FB6"/>
    <w:rsid w:val="1DE18F8E"/>
    <w:rsid w:val="1DECABE8"/>
    <w:rsid w:val="1DEFE814"/>
    <w:rsid w:val="1DF0E4B0"/>
    <w:rsid w:val="1DF251C6"/>
    <w:rsid w:val="1DF7E1D2"/>
    <w:rsid w:val="1E0A5F43"/>
    <w:rsid w:val="1E1CC0EF"/>
    <w:rsid w:val="1E3D8648"/>
    <w:rsid w:val="1E653DAA"/>
    <w:rsid w:val="1E654C3D"/>
    <w:rsid w:val="1E6F4370"/>
    <w:rsid w:val="1E833652"/>
    <w:rsid w:val="1E949496"/>
    <w:rsid w:val="1E9D4C18"/>
    <w:rsid w:val="1EA1EB89"/>
    <w:rsid w:val="1EA3B70D"/>
    <w:rsid w:val="1EA6A1F1"/>
    <w:rsid w:val="1EC6AE89"/>
    <w:rsid w:val="1EDC5B51"/>
    <w:rsid w:val="1EDC8B9F"/>
    <w:rsid w:val="1EF1F3CD"/>
    <w:rsid w:val="1F08CB46"/>
    <w:rsid w:val="1F169CC8"/>
    <w:rsid w:val="1F29EDCB"/>
    <w:rsid w:val="1F3836AA"/>
    <w:rsid w:val="1F4A7433"/>
    <w:rsid w:val="1F58ADF7"/>
    <w:rsid w:val="1F625ADC"/>
    <w:rsid w:val="1F8B8B1E"/>
    <w:rsid w:val="1F977BB9"/>
    <w:rsid w:val="1F9CDAFA"/>
    <w:rsid w:val="1FA17A6A"/>
    <w:rsid w:val="1FA9EE75"/>
    <w:rsid w:val="1FAB29BD"/>
    <w:rsid w:val="1FAD86CD"/>
    <w:rsid w:val="1FE6D304"/>
    <w:rsid w:val="1FEC06BE"/>
    <w:rsid w:val="1FF98C66"/>
    <w:rsid w:val="20037C4F"/>
    <w:rsid w:val="200BE5BD"/>
    <w:rsid w:val="201E63A7"/>
    <w:rsid w:val="2027C213"/>
    <w:rsid w:val="204A173B"/>
    <w:rsid w:val="204A91B1"/>
    <w:rsid w:val="206CD8D1"/>
    <w:rsid w:val="20808ED3"/>
    <w:rsid w:val="209AAE79"/>
    <w:rsid w:val="20B11DD5"/>
    <w:rsid w:val="20BB0683"/>
    <w:rsid w:val="20BF616A"/>
    <w:rsid w:val="20D276B7"/>
    <w:rsid w:val="20D98243"/>
    <w:rsid w:val="20DE1FDA"/>
    <w:rsid w:val="20E1E3A4"/>
    <w:rsid w:val="210D1E54"/>
    <w:rsid w:val="2114A81C"/>
    <w:rsid w:val="212C3586"/>
    <w:rsid w:val="212D5692"/>
    <w:rsid w:val="2143A03C"/>
    <w:rsid w:val="214A5E9A"/>
    <w:rsid w:val="215742F1"/>
    <w:rsid w:val="21709B05"/>
    <w:rsid w:val="217207AD"/>
    <w:rsid w:val="21835143"/>
    <w:rsid w:val="218E8086"/>
    <w:rsid w:val="21A21DD9"/>
    <w:rsid w:val="21B63A7C"/>
    <w:rsid w:val="21B6E6B8"/>
    <w:rsid w:val="21BE883E"/>
    <w:rsid w:val="21D4CBA7"/>
    <w:rsid w:val="21E82DB4"/>
    <w:rsid w:val="21E8CA7F"/>
    <w:rsid w:val="21F554AA"/>
    <w:rsid w:val="21FFF5A6"/>
    <w:rsid w:val="2207C693"/>
    <w:rsid w:val="220D906C"/>
    <w:rsid w:val="22223681"/>
    <w:rsid w:val="222650CD"/>
    <w:rsid w:val="2226CD48"/>
    <w:rsid w:val="223559AF"/>
    <w:rsid w:val="2256B412"/>
    <w:rsid w:val="226B95B9"/>
    <w:rsid w:val="228ACD5C"/>
    <w:rsid w:val="228B332D"/>
    <w:rsid w:val="2297B006"/>
    <w:rsid w:val="229AADF0"/>
    <w:rsid w:val="22C76960"/>
    <w:rsid w:val="22C911EF"/>
    <w:rsid w:val="230053DD"/>
    <w:rsid w:val="2316D07D"/>
    <w:rsid w:val="232EB469"/>
    <w:rsid w:val="233CD960"/>
    <w:rsid w:val="23482E84"/>
    <w:rsid w:val="2370100A"/>
    <w:rsid w:val="2374DCFC"/>
    <w:rsid w:val="23852FFC"/>
    <w:rsid w:val="23AA5B2A"/>
    <w:rsid w:val="23B0CF6F"/>
    <w:rsid w:val="23B72415"/>
    <w:rsid w:val="23B8D392"/>
    <w:rsid w:val="23DFD98C"/>
    <w:rsid w:val="23FD314B"/>
    <w:rsid w:val="24047479"/>
    <w:rsid w:val="2417B6C9"/>
    <w:rsid w:val="241E6DD3"/>
    <w:rsid w:val="24202858"/>
    <w:rsid w:val="242C4C8C"/>
    <w:rsid w:val="24506C0C"/>
    <w:rsid w:val="2476570B"/>
    <w:rsid w:val="2492B7FC"/>
    <w:rsid w:val="249E5EB5"/>
    <w:rsid w:val="24A7B324"/>
    <w:rsid w:val="24AEBE9B"/>
    <w:rsid w:val="24AF0559"/>
    <w:rsid w:val="24BA8F0B"/>
    <w:rsid w:val="24C0503D"/>
    <w:rsid w:val="24DA0BAD"/>
    <w:rsid w:val="24F2D9C3"/>
    <w:rsid w:val="2505AA28"/>
    <w:rsid w:val="251459B9"/>
    <w:rsid w:val="2520EF23"/>
    <w:rsid w:val="2522940D"/>
    <w:rsid w:val="253217D0"/>
    <w:rsid w:val="253F2208"/>
    <w:rsid w:val="254BD2EB"/>
    <w:rsid w:val="257969BA"/>
    <w:rsid w:val="257CB4A6"/>
    <w:rsid w:val="258DB749"/>
    <w:rsid w:val="2596B536"/>
    <w:rsid w:val="25AA3A88"/>
    <w:rsid w:val="25BE37BB"/>
    <w:rsid w:val="25C9C9E2"/>
    <w:rsid w:val="25D6EE63"/>
    <w:rsid w:val="25E40E45"/>
    <w:rsid w:val="2600A3A8"/>
    <w:rsid w:val="262BF197"/>
    <w:rsid w:val="2633C5AB"/>
    <w:rsid w:val="2649A020"/>
    <w:rsid w:val="2667C775"/>
    <w:rsid w:val="2674C242"/>
    <w:rsid w:val="2679420A"/>
    <w:rsid w:val="26A3DB9D"/>
    <w:rsid w:val="26A61C96"/>
    <w:rsid w:val="26A93E59"/>
    <w:rsid w:val="26D1087B"/>
    <w:rsid w:val="26DE3527"/>
    <w:rsid w:val="26E5C1AC"/>
    <w:rsid w:val="26F080DF"/>
    <w:rsid w:val="26F0CB42"/>
    <w:rsid w:val="26F73809"/>
    <w:rsid w:val="271C55BB"/>
    <w:rsid w:val="271D6C41"/>
    <w:rsid w:val="272CA6D9"/>
    <w:rsid w:val="272E28CF"/>
    <w:rsid w:val="2766E853"/>
    <w:rsid w:val="27AAD59A"/>
    <w:rsid w:val="27BCF624"/>
    <w:rsid w:val="27C7D2FC"/>
    <w:rsid w:val="27C80B13"/>
    <w:rsid w:val="27D940B4"/>
    <w:rsid w:val="27DA7C23"/>
    <w:rsid w:val="283D91FA"/>
    <w:rsid w:val="283F9EF2"/>
    <w:rsid w:val="2866A627"/>
    <w:rsid w:val="288177BD"/>
    <w:rsid w:val="28831876"/>
    <w:rsid w:val="2886E703"/>
    <w:rsid w:val="28936D92"/>
    <w:rsid w:val="28A1E278"/>
    <w:rsid w:val="28AE5D34"/>
    <w:rsid w:val="28D15DE3"/>
    <w:rsid w:val="28DE9E3E"/>
    <w:rsid w:val="28F23FF0"/>
    <w:rsid w:val="2900E9C7"/>
    <w:rsid w:val="29071257"/>
    <w:rsid w:val="29139DFD"/>
    <w:rsid w:val="291F214A"/>
    <w:rsid w:val="2932F443"/>
    <w:rsid w:val="293CB684"/>
    <w:rsid w:val="296334EC"/>
    <w:rsid w:val="2977017F"/>
    <w:rsid w:val="29833552"/>
    <w:rsid w:val="299D74FC"/>
    <w:rsid w:val="29A35F41"/>
    <w:rsid w:val="29A5C1A4"/>
    <w:rsid w:val="29A5E515"/>
    <w:rsid w:val="29AA881E"/>
    <w:rsid w:val="29B0DB2F"/>
    <w:rsid w:val="29BC40DD"/>
    <w:rsid w:val="29C29863"/>
    <w:rsid w:val="29D47441"/>
    <w:rsid w:val="29E01959"/>
    <w:rsid w:val="29E43838"/>
    <w:rsid w:val="29E9992E"/>
    <w:rsid w:val="29E9E331"/>
    <w:rsid w:val="2A175065"/>
    <w:rsid w:val="2A36D9D3"/>
    <w:rsid w:val="2A526B2A"/>
    <w:rsid w:val="2A532EF8"/>
    <w:rsid w:val="2A5AE783"/>
    <w:rsid w:val="2A5EDBB7"/>
    <w:rsid w:val="2A6C4797"/>
    <w:rsid w:val="2A72FD0E"/>
    <w:rsid w:val="2A81DECE"/>
    <w:rsid w:val="2A8AB742"/>
    <w:rsid w:val="2A94AD6C"/>
    <w:rsid w:val="2A9943FD"/>
    <w:rsid w:val="2A9AA668"/>
    <w:rsid w:val="2AB7E906"/>
    <w:rsid w:val="2AC6487F"/>
    <w:rsid w:val="2ACA6D28"/>
    <w:rsid w:val="2AD1B4B8"/>
    <w:rsid w:val="2AF2D936"/>
    <w:rsid w:val="2AF31599"/>
    <w:rsid w:val="2B27B2D3"/>
    <w:rsid w:val="2B2C9C9B"/>
    <w:rsid w:val="2B579422"/>
    <w:rsid w:val="2B717C72"/>
    <w:rsid w:val="2B72C2EF"/>
    <w:rsid w:val="2B7F5DB7"/>
    <w:rsid w:val="2B97BBC3"/>
    <w:rsid w:val="2BA4AA25"/>
    <w:rsid w:val="2BB6CEBB"/>
    <w:rsid w:val="2BC99E35"/>
    <w:rsid w:val="2BDC0A8C"/>
    <w:rsid w:val="2BF31B98"/>
    <w:rsid w:val="2C13E9DC"/>
    <w:rsid w:val="2C221533"/>
    <w:rsid w:val="2C255887"/>
    <w:rsid w:val="2C4F9C21"/>
    <w:rsid w:val="2C50166E"/>
    <w:rsid w:val="2C5F8551"/>
    <w:rsid w:val="2C64A459"/>
    <w:rsid w:val="2C66B9DC"/>
    <w:rsid w:val="2C69BDD3"/>
    <w:rsid w:val="2C84374D"/>
    <w:rsid w:val="2C959D72"/>
    <w:rsid w:val="2CA6EDFD"/>
    <w:rsid w:val="2CB46956"/>
    <w:rsid w:val="2CBFF713"/>
    <w:rsid w:val="2CCE5D07"/>
    <w:rsid w:val="2CD4AFC0"/>
    <w:rsid w:val="2CEE17BB"/>
    <w:rsid w:val="2CF59047"/>
    <w:rsid w:val="2CF83DCC"/>
    <w:rsid w:val="2D152DF6"/>
    <w:rsid w:val="2D3052F4"/>
    <w:rsid w:val="2D3BB33C"/>
    <w:rsid w:val="2D4881F1"/>
    <w:rsid w:val="2D4BCEC4"/>
    <w:rsid w:val="2D4CFC40"/>
    <w:rsid w:val="2D578A9C"/>
    <w:rsid w:val="2D6BB2EA"/>
    <w:rsid w:val="2D6D9575"/>
    <w:rsid w:val="2D763476"/>
    <w:rsid w:val="2D797E24"/>
    <w:rsid w:val="2D90B7F6"/>
    <w:rsid w:val="2D9752E2"/>
    <w:rsid w:val="2D9C0EDD"/>
    <w:rsid w:val="2DB7A94C"/>
    <w:rsid w:val="2DB8EF51"/>
    <w:rsid w:val="2DF42776"/>
    <w:rsid w:val="2E08670D"/>
    <w:rsid w:val="2E0C2392"/>
    <w:rsid w:val="2E0FFC98"/>
    <w:rsid w:val="2E1634DA"/>
    <w:rsid w:val="2E2AB5AE"/>
    <w:rsid w:val="2E2C38B4"/>
    <w:rsid w:val="2E345A91"/>
    <w:rsid w:val="2E8B6AE4"/>
    <w:rsid w:val="2EA1427D"/>
    <w:rsid w:val="2EB895B8"/>
    <w:rsid w:val="2EBC45A8"/>
    <w:rsid w:val="2EC362BF"/>
    <w:rsid w:val="2EED64AB"/>
    <w:rsid w:val="2F03B602"/>
    <w:rsid w:val="2F19DC72"/>
    <w:rsid w:val="2F22032C"/>
    <w:rsid w:val="2F23DEED"/>
    <w:rsid w:val="2F330C88"/>
    <w:rsid w:val="2F4BF273"/>
    <w:rsid w:val="2F6CA159"/>
    <w:rsid w:val="2F6D4559"/>
    <w:rsid w:val="2F76D178"/>
    <w:rsid w:val="2FA71CE1"/>
    <w:rsid w:val="2FB6911D"/>
    <w:rsid w:val="2FB93BFE"/>
    <w:rsid w:val="2FCC023E"/>
    <w:rsid w:val="2FD3A49B"/>
    <w:rsid w:val="2FF59EE4"/>
    <w:rsid w:val="3005A37E"/>
    <w:rsid w:val="3006B6B7"/>
    <w:rsid w:val="301BF7FF"/>
    <w:rsid w:val="30299202"/>
    <w:rsid w:val="30429329"/>
    <w:rsid w:val="305257E7"/>
    <w:rsid w:val="3056B19A"/>
    <w:rsid w:val="3091EB9A"/>
    <w:rsid w:val="309E530D"/>
    <w:rsid w:val="30B268BB"/>
    <w:rsid w:val="30C3EB64"/>
    <w:rsid w:val="30D01909"/>
    <w:rsid w:val="30D5CBBF"/>
    <w:rsid w:val="30E3B54B"/>
    <w:rsid w:val="30EAECE9"/>
    <w:rsid w:val="311DA0C8"/>
    <w:rsid w:val="314896BE"/>
    <w:rsid w:val="314FF9AD"/>
    <w:rsid w:val="3169EB89"/>
    <w:rsid w:val="3184C82B"/>
    <w:rsid w:val="31942A00"/>
    <w:rsid w:val="31B39FF7"/>
    <w:rsid w:val="31C004EB"/>
    <w:rsid w:val="31CC7C9D"/>
    <w:rsid w:val="31D654A7"/>
    <w:rsid w:val="31DBD2F2"/>
    <w:rsid w:val="31DC0F42"/>
    <w:rsid w:val="31EFA140"/>
    <w:rsid w:val="31F3B69C"/>
    <w:rsid w:val="321230A7"/>
    <w:rsid w:val="321DFB2B"/>
    <w:rsid w:val="32318928"/>
    <w:rsid w:val="3242770F"/>
    <w:rsid w:val="3247D6DE"/>
    <w:rsid w:val="325FCDC8"/>
    <w:rsid w:val="32727711"/>
    <w:rsid w:val="32A36215"/>
    <w:rsid w:val="32B3BB62"/>
    <w:rsid w:val="32BEA678"/>
    <w:rsid w:val="32C0F757"/>
    <w:rsid w:val="32CAD2B4"/>
    <w:rsid w:val="32CF3D69"/>
    <w:rsid w:val="32DFD0A3"/>
    <w:rsid w:val="32E4E1F3"/>
    <w:rsid w:val="331384A4"/>
    <w:rsid w:val="3314478A"/>
    <w:rsid w:val="3343E607"/>
    <w:rsid w:val="3347142D"/>
    <w:rsid w:val="334A8D08"/>
    <w:rsid w:val="336B4987"/>
    <w:rsid w:val="337BC106"/>
    <w:rsid w:val="33836FDC"/>
    <w:rsid w:val="3386C462"/>
    <w:rsid w:val="338B48DE"/>
    <w:rsid w:val="33B8A424"/>
    <w:rsid w:val="33C4395A"/>
    <w:rsid w:val="33EF3935"/>
    <w:rsid w:val="33FAD72F"/>
    <w:rsid w:val="33FB4F4C"/>
    <w:rsid w:val="33FC7D5E"/>
    <w:rsid w:val="33FFACD7"/>
    <w:rsid w:val="34109E96"/>
    <w:rsid w:val="342F7302"/>
    <w:rsid w:val="3437DBD1"/>
    <w:rsid w:val="3450F3DD"/>
    <w:rsid w:val="3458A09A"/>
    <w:rsid w:val="345D14D7"/>
    <w:rsid w:val="346DE6CA"/>
    <w:rsid w:val="349B1578"/>
    <w:rsid w:val="34BC75CB"/>
    <w:rsid w:val="34BFEFF4"/>
    <w:rsid w:val="34C7796D"/>
    <w:rsid w:val="34DC1611"/>
    <w:rsid w:val="34F1867C"/>
    <w:rsid w:val="350BDC39"/>
    <w:rsid w:val="35133009"/>
    <w:rsid w:val="3513B25D"/>
    <w:rsid w:val="353A92F5"/>
    <w:rsid w:val="3547E7AD"/>
    <w:rsid w:val="3548B7B6"/>
    <w:rsid w:val="354B1282"/>
    <w:rsid w:val="35887C9B"/>
    <w:rsid w:val="35B26395"/>
    <w:rsid w:val="35C03CEB"/>
    <w:rsid w:val="35C4174F"/>
    <w:rsid w:val="35C6F271"/>
    <w:rsid w:val="35CAB71D"/>
    <w:rsid w:val="35D45706"/>
    <w:rsid w:val="35DA1929"/>
    <w:rsid w:val="35E785AA"/>
    <w:rsid w:val="35E7C968"/>
    <w:rsid w:val="35F64B19"/>
    <w:rsid w:val="360ECCAF"/>
    <w:rsid w:val="360F21A7"/>
    <w:rsid w:val="36246AA2"/>
    <w:rsid w:val="3634F467"/>
    <w:rsid w:val="3674186F"/>
    <w:rsid w:val="368B8543"/>
    <w:rsid w:val="36C4E0AC"/>
    <w:rsid w:val="36D05D28"/>
    <w:rsid w:val="36D3F696"/>
    <w:rsid w:val="36DA5228"/>
    <w:rsid w:val="36E727CE"/>
    <w:rsid w:val="36F7EC6E"/>
    <w:rsid w:val="36FECBDD"/>
    <w:rsid w:val="36FEECC7"/>
    <w:rsid w:val="370CD4D7"/>
    <w:rsid w:val="37108EEB"/>
    <w:rsid w:val="371FE9B2"/>
    <w:rsid w:val="3726717B"/>
    <w:rsid w:val="37418CD6"/>
    <w:rsid w:val="37482D1C"/>
    <w:rsid w:val="374F883C"/>
    <w:rsid w:val="3793B163"/>
    <w:rsid w:val="37B8C10B"/>
    <w:rsid w:val="37C71D60"/>
    <w:rsid w:val="37DE9ED0"/>
    <w:rsid w:val="37EDB14F"/>
    <w:rsid w:val="38059E7C"/>
    <w:rsid w:val="38641E87"/>
    <w:rsid w:val="387F44E0"/>
    <w:rsid w:val="38B50552"/>
    <w:rsid w:val="38BCEFF9"/>
    <w:rsid w:val="38CDAA0D"/>
    <w:rsid w:val="3906AE35"/>
    <w:rsid w:val="391A10B5"/>
    <w:rsid w:val="3932EC8E"/>
    <w:rsid w:val="39343CB4"/>
    <w:rsid w:val="395F67A7"/>
    <w:rsid w:val="396E5077"/>
    <w:rsid w:val="3981A74B"/>
    <w:rsid w:val="398F5DAC"/>
    <w:rsid w:val="3995E9E3"/>
    <w:rsid w:val="3997B50E"/>
    <w:rsid w:val="3998C2FA"/>
    <w:rsid w:val="399E134D"/>
    <w:rsid w:val="39DF39C5"/>
    <w:rsid w:val="39F11981"/>
    <w:rsid w:val="39F5CABE"/>
    <w:rsid w:val="3A0291F9"/>
    <w:rsid w:val="3A0D718D"/>
    <w:rsid w:val="3A13AA03"/>
    <w:rsid w:val="3A1C4BCD"/>
    <w:rsid w:val="3A1F64A2"/>
    <w:rsid w:val="3A27713A"/>
    <w:rsid w:val="3A322EB0"/>
    <w:rsid w:val="3A6818DD"/>
    <w:rsid w:val="3A789440"/>
    <w:rsid w:val="3A79A941"/>
    <w:rsid w:val="3A825909"/>
    <w:rsid w:val="3A8B7A92"/>
    <w:rsid w:val="3A9D5151"/>
    <w:rsid w:val="3AC5FEE3"/>
    <w:rsid w:val="3ACCA01A"/>
    <w:rsid w:val="3AE53F48"/>
    <w:rsid w:val="3AF251B3"/>
    <w:rsid w:val="3AF2D0F6"/>
    <w:rsid w:val="3B015E3F"/>
    <w:rsid w:val="3B08F731"/>
    <w:rsid w:val="3B12D232"/>
    <w:rsid w:val="3B1D1C22"/>
    <w:rsid w:val="3B3F6087"/>
    <w:rsid w:val="3B47A6E0"/>
    <w:rsid w:val="3B6F3F9E"/>
    <w:rsid w:val="3B7BDDB7"/>
    <w:rsid w:val="3B96F434"/>
    <w:rsid w:val="3BA17D93"/>
    <w:rsid w:val="3BC8519E"/>
    <w:rsid w:val="3BD53FB9"/>
    <w:rsid w:val="3BDA1EF0"/>
    <w:rsid w:val="3BDA654C"/>
    <w:rsid w:val="3BDCF8CF"/>
    <w:rsid w:val="3BE084B9"/>
    <w:rsid w:val="3BE862D4"/>
    <w:rsid w:val="3C089C14"/>
    <w:rsid w:val="3C0DADA9"/>
    <w:rsid w:val="3C2C1795"/>
    <w:rsid w:val="3C3B7DB1"/>
    <w:rsid w:val="3C687DB2"/>
    <w:rsid w:val="3C6E907D"/>
    <w:rsid w:val="3C728DCD"/>
    <w:rsid w:val="3C943160"/>
    <w:rsid w:val="3C946C6B"/>
    <w:rsid w:val="3C992FAD"/>
    <w:rsid w:val="3CB43C56"/>
    <w:rsid w:val="3CD14923"/>
    <w:rsid w:val="3CDB0BE6"/>
    <w:rsid w:val="3CFD5925"/>
    <w:rsid w:val="3D0DC712"/>
    <w:rsid w:val="3D32E2D0"/>
    <w:rsid w:val="3D39D724"/>
    <w:rsid w:val="3D42D401"/>
    <w:rsid w:val="3D4BAA3E"/>
    <w:rsid w:val="3D55FBFF"/>
    <w:rsid w:val="3D8EAC09"/>
    <w:rsid w:val="3D99C631"/>
    <w:rsid w:val="3D9BF34A"/>
    <w:rsid w:val="3DAD0CB6"/>
    <w:rsid w:val="3DBC08F7"/>
    <w:rsid w:val="3DD87FD7"/>
    <w:rsid w:val="3DDCB8DE"/>
    <w:rsid w:val="3DE87B25"/>
    <w:rsid w:val="3DE99639"/>
    <w:rsid w:val="3DEBC91F"/>
    <w:rsid w:val="3DF9050F"/>
    <w:rsid w:val="3E2805E3"/>
    <w:rsid w:val="3E2A92EA"/>
    <w:rsid w:val="3E31E24C"/>
    <w:rsid w:val="3E4B0977"/>
    <w:rsid w:val="3E4D497D"/>
    <w:rsid w:val="3E59B2D8"/>
    <w:rsid w:val="3E5A0DAD"/>
    <w:rsid w:val="3E6E2A1C"/>
    <w:rsid w:val="3E8BEAE4"/>
    <w:rsid w:val="3E8FC891"/>
    <w:rsid w:val="3EB905C9"/>
    <w:rsid w:val="3EC3EB32"/>
    <w:rsid w:val="3ECAB27A"/>
    <w:rsid w:val="3EDE4C6C"/>
    <w:rsid w:val="3EE96FF7"/>
    <w:rsid w:val="3EF406A9"/>
    <w:rsid w:val="3EFC230E"/>
    <w:rsid w:val="3EFCEDCE"/>
    <w:rsid w:val="3F0A2C74"/>
    <w:rsid w:val="3F0FCCFA"/>
    <w:rsid w:val="3F1E8B34"/>
    <w:rsid w:val="3F27A350"/>
    <w:rsid w:val="3F758CF6"/>
    <w:rsid w:val="3FA7781B"/>
    <w:rsid w:val="3FC2F5D3"/>
    <w:rsid w:val="3FF45806"/>
    <w:rsid w:val="40117F18"/>
    <w:rsid w:val="4023D269"/>
    <w:rsid w:val="4045C57B"/>
    <w:rsid w:val="4069DEF4"/>
    <w:rsid w:val="40A02CBD"/>
    <w:rsid w:val="40A034E7"/>
    <w:rsid w:val="40A4EE55"/>
    <w:rsid w:val="40A86657"/>
    <w:rsid w:val="40D65903"/>
    <w:rsid w:val="40F0AFE0"/>
    <w:rsid w:val="40F14942"/>
    <w:rsid w:val="40FFCC83"/>
    <w:rsid w:val="40FFE938"/>
    <w:rsid w:val="41335FE1"/>
    <w:rsid w:val="413EED52"/>
    <w:rsid w:val="414430EF"/>
    <w:rsid w:val="4148C524"/>
    <w:rsid w:val="414D0E3E"/>
    <w:rsid w:val="41515015"/>
    <w:rsid w:val="4158EE86"/>
    <w:rsid w:val="4173EC39"/>
    <w:rsid w:val="417FF5B0"/>
    <w:rsid w:val="41834C23"/>
    <w:rsid w:val="4183618C"/>
    <w:rsid w:val="41AC460A"/>
    <w:rsid w:val="41DAF725"/>
    <w:rsid w:val="41E8FDEA"/>
    <w:rsid w:val="41F3FE40"/>
    <w:rsid w:val="42148F4F"/>
    <w:rsid w:val="4221BFF0"/>
    <w:rsid w:val="42242578"/>
    <w:rsid w:val="422997F7"/>
    <w:rsid w:val="42373BB8"/>
    <w:rsid w:val="424B741F"/>
    <w:rsid w:val="4253BF9E"/>
    <w:rsid w:val="427ECCC7"/>
    <w:rsid w:val="42AECDFA"/>
    <w:rsid w:val="42AF50E5"/>
    <w:rsid w:val="42BF3AE6"/>
    <w:rsid w:val="42CD537D"/>
    <w:rsid w:val="42D02F28"/>
    <w:rsid w:val="42D8F4A2"/>
    <w:rsid w:val="42DDE4F1"/>
    <w:rsid w:val="42E7A932"/>
    <w:rsid w:val="42F06949"/>
    <w:rsid w:val="42FB732B"/>
    <w:rsid w:val="43049224"/>
    <w:rsid w:val="430C0DED"/>
    <w:rsid w:val="430D278D"/>
    <w:rsid w:val="433C554B"/>
    <w:rsid w:val="435B507A"/>
    <w:rsid w:val="435EBB5D"/>
    <w:rsid w:val="436F715D"/>
    <w:rsid w:val="4373A86B"/>
    <w:rsid w:val="438123E0"/>
    <w:rsid w:val="4393B150"/>
    <w:rsid w:val="439EBC48"/>
    <w:rsid w:val="43A52658"/>
    <w:rsid w:val="43AD9128"/>
    <w:rsid w:val="43B6EAEF"/>
    <w:rsid w:val="43B89179"/>
    <w:rsid w:val="43BC83DD"/>
    <w:rsid w:val="43CE1E6D"/>
    <w:rsid w:val="43D09869"/>
    <w:rsid w:val="43E3A4EE"/>
    <w:rsid w:val="43EDD1D7"/>
    <w:rsid w:val="43F1A439"/>
    <w:rsid w:val="43F5483B"/>
    <w:rsid w:val="43FA720E"/>
    <w:rsid w:val="43FE9434"/>
    <w:rsid w:val="440371F3"/>
    <w:rsid w:val="442BB1E7"/>
    <w:rsid w:val="442D2ED0"/>
    <w:rsid w:val="443149A4"/>
    <w:rsid w:val="443705B2"/>
    <w:rsid w:val="444EB0F0"/>
    <w:rsid w:val="44741EBC"/>
    <w:rsid w:val="4495637C"/>
    <w:rsid w:val="44A14E0A"/>
    <w:rsid w:val="44A25D46"/>
    <w:rsid w:val="44B6E6FE"/>
    <w:rsid w:val="44C417FC"/>
    <w:rsid w:val="44C8DF7F"/>
    <w:rsid w:val="44D0ED1B"/>
    <w:rsid w:val="44D44B8A"/>
    <w:rsid w:val="44EA6597"/>
    <w:rsid w:val="44EC4951"/>
    <w:rsid w:val="44F2C95A"/>
    <w:rsid w:val="4500CD8D"/>
    <w:rsid w:val="4508BC65"/>
    <w:rsid w:val="4514B486"/>
    <w:rsid w:val="45162A3B"/>
    <w:rsid w:val="451BED8C"/>
    <w:rsid w:val="453B1E8E"/>
    <w:rsid w:val="45429870"/>
    <w:rsid w:val="45445DBE"/>
    <w:rsid w:val="456743A3"/>
    <w:rsid w:val="45717F77"/>
    <w:rsid w:val="45785610"/>
    <w:rsid w:val="4579A5C7"/>
    <w:rsid w:val="458518CB"/>
    <w:rsid w:val="458DDD7A"/>
    <w:rsid w:val="459B6BC6"/>
    <w:rsid w:val="45A67ADA"/>
    <w:rsid w:val="45AF1206"/>
    <w:rsid w:val="45C3461F"/>
    <w:rsid w:val="45CCB327"/>
    <w:rsid w:val="461718DB"/>
    <w:rsid w:val="46247CD3"/>
    <w:rsid w:val="46355476"/>
    <w:rsid w:val="463BF97C"/>
    <w:rsid w:val="4641730C"/>
    <w:rsid w:val="464D9EFF"/>
    <w:rsid w:val="467E43A3"/>
    <w:rsid w:val="46CDEAF0"/>
    <w:rsid w:val="46D4CFA4"/>
    <w:rsid w:val="46DFC4B9"/>
    <w:rsid w:val="46E00712"/>
    <w:rsid w:val="46E8F6E9"/>
    <w:rsid w:val="47070418"/>
    <w:rsid w:val="472D4B09"/>
    <w:rsid w:val="474192C0"/>
    <w:rsid w:val="474F7B51"/>
    <w:rsid w:val="47690C35"/>
    <w:rsid w:val="4775FF2D"/>
    <w:rsid w:val="4778DF41"/>
    <w:rsid w:val="47B12EC2"/>
    <w:rsid w:val="47CDCDE0"/>
    <w:rsid w:val="47FE48C0"/>
    <w:rsid w:val="480EAA44"/>
    <w:rsid w:val="4821DE4D"/>
    <w:rsid w:val="482375D8"/>
    <w:rsid w:val="4823C01B"/>
    <w:rsid w:val="48319CBC"/>
    <w:rsid w:val="483C6214"/>
    <w:rsid w:val="48563EEB"/>
    <w:rsid w:val="485858EF"/>
    <w:rsid w:val="48A8F7E1"/>
    <w:rsid w:val="48AE3C7D"/>
    <w:rsid w:val="48B50085"/>
    <w:rsid w:val="48BC8F2F"/>
    <w:rsid w:val="48C1D88C"/>
    <w:rsid w:val="48C6EACA"/>
    <w:rsid w:val="48C78141"/>
    <w:rsid w:val="48D29086"/>
    <w:rsid w:val="48D2DFE9"/>
    <w:rsid w:val="48FA3E96"/>
    <w:rsid w:val="4915F8DA"/>
    <w:rsid w:val="491C8842"/>
    <w:rsid w:val="492EAB44"/>
    <w:rsid w:val="49534C38"/>
    <w:rsid w:val="49555F64"/>
    <w:rsid w:val="4964AB17"/>
    <w:rsid w:val="49703E8E"/>
    <w:rsid w:val="498255AD"/>
    <w:rsid w:val="4983EBDE"/>
    <w:rsid w:val="499A8533"/>
    <w:rsid w:val="49A780BB"/>
    <w:rsid w:val="49A8C092"/>
    <w:rsid w:val="49B0F5F0"/>
    <w:rsid w:val="49BB20E4"/>
    <w:rsid w:val="49C6791D"/>
    <w:rsid w:val="49D65CAF"/>
    <w:rsid w:val="49E20676"/>
    <w:rsid w:val="49E38999"/>
    <w:rsid w:val="4A2921D9"/>
    <w:rsid w:val="4A5FB56E"/>
    <w:rsid w:val="4A656682"/>
    <w:rsid w:val="4A69EE5B"/>
    <w:rsid w:val="4A8168DF"/>
    <w:rsid w:val="4A8502D8"/>
    <w:rsid w:val="4A9D5137"/>
    <w:rsid w:val="4ACB6489"/>
    <w:rsid w:val="4AE74EBF"/>
    <w:rsid w:val="4AF4593D"/>
    <w:rsid w:val="4B01EA2E"/>
    <w:rsid w:val="4B27798B"/>
    <w:rsid w:val="4B2E1C1E"/>
    <w:rsid w:val="4B37501D"/>
    <w:rsid w:val="4B51EA72"/>
    <w:rsid w:val="4B6C0A50"/>
    <w:rsid w:val="4B8A9F13"/>
    <w:rsid w:val="4B9DCAEC"/>
    <w:rsid w:val="4BA3C66A"/>
    <w:rsid w:val="4BD28C46"/>
    <w:rsid w:val="4BEC0DEB"/>
    <w:rsid w:val="4BFE59FF"/>
    <w:rsid w:val="4C0BAEB5"/>
    <w:rsid w:val="4C180DD7"/>
    <w:rsid w:val="4C30C1E0"/>
    <w:rsid w:val="4C40B0AC"/>
    <w:rsid w:val="4C4D425F"/>
    <w:rsid w:val="4C6556E9"/>
    <w:rsid w:val="4C731BD7"/>
    <w:rsid w:val="4C93F552"/>
    <w:rsid w:val="4C9E6E0F"/>
    <w:rsid w:val="4CA04DAA"/>
    <w:rsid w:val="4CB89F64"/>
    <w:rsid w:val="4CBAE5E8"/>
    <w:rsid w:val="4CCA169B"/>
    <w:rsid w:val="4CDDB48F"/>
    <w:rsid w:val="4CE7F7EF"/>
    <w:rsid w:val="4CF61AD2"/>
    <w:rsid w:val="4D0F9539"/>
    <w:rsid w:val="4D174426"/>
    <w:rsid w:val="4D1866A0"/>
    <w:rsid w:val="4D192225"/>
    <w:rsid w:val="4D1DAB45"/>
    <w:rsid w:val="4D2952DF"/>
    <w:rsid w:val="4D2CC435"/>
    <w:rsid w:val="4D2DA0E6"/>
    <w:rsid w:val="4D33E611"/>
    <w:rsid w:val="4D3658A4"/>
    <w:rsid w:val="4D3CD13F"/>
    <w:rsid w:val="4D42C006"/>
    <w:rsid w:val="4D6901A1"/>
    <w:rsid w:val="4D6E5BE4"/>
    <w:rsid w:val="4D85BC75"/>
    <w:rsid w:val="4D95EC3D"/>
    <w:rsid w:val="4D9DFA01"/>
    <w:rsid w:val="4DA9AEF3"/>
    <w:rsid w:val="4DADD764"/>
    <w:rsid w:val="4DB753A2"/>
    <w:rsid w:val="4DB94C5B"/>
    <w:rsid w:val="4DB9B95C"/>
    <w:rsid w:val="4DBA3FD8"/>
    <w:rsid w:val="4DD05669"/>
    <w:rsid w:val="4DE9591D"/>
    <w:rsid w:val="4E1AB7B4"/>
    <w:rsid w:val="4E1DB1B8"/>
    <w:rsid w:val="4E36DAD7"/>
    <w:rsid w:val="4E5369F4"/>
    <w:rsid w:val="4E6C4167"/>
    <w:rsid w:val="4E6EA77C"/>
    <w:rsid w:val="4E79240D"/>
    <w:rsid w:val="4E79B9A9"/>
    <w:rsid w:val="4E7B954D"/>
    <w:rsid w:val="4E82FE07"/>
    <w:rsid w:val="4E8D0D0C"/>
    <w:rsid w:val="4EA7EC97"/>
    <w:rsid w:val="4EB4024C"/>
    <w:rsid w:val="4EC59919"/>
    <w:rsid w:val="4ED4D707"/>
    <w:rsid w:val="4F0007D9"/>
    <w:rsid w:val="4F041E0C"/>
    <w:rsid w:val="4F054E7A"/>
    <w:rsid w:val="4F1263F0"/>
    <w:rsid w:val="4F1845E0"/>
    <w:rsid w:val="4F1FB8B4"/>
    <w:rsid w:val="4F2AA024"/>
    <w:rsid w:val="4F2D3AB9"/>
    <w:rsid w:val="4F2E05B7"/>
    <w:rsid w:val="4F30E6A6"/>
    <w:rsid w:val="4F348E9B"/>
    <w:rsid w:val="4F368081"/>
    <w:rsid w:val="4F482361"/>
    <w:rsid w:val="4F8E82EC"/>
    <w:rsid w:val="4F90629B"/>
    <w:rsid w:val="4F91DEA6"/>
    <w:rsid w:val="4F981C15"/>
    <w:rsid w:val="4FB43E48"/>
    <w:rsid w:val="4FCFA6CD"/>
    <w:rsid w:val="4FDBD2D2"/>
    <w:rsid w:val="4FE6B090"/>
    <w:rsid w:val="4FEF3C8E"/>
    <w:rsid w:val="4FF2145A"/>
    <w:rsid w:val="4FF2F265"/>
    <w:rsid w:val="501BA0CE"/>
    <w:rsid w:val="50375B17"/>
    <w:rsid w:val="50408D66"/>
    <w:rsid w:val="50666992"/>
    <w:rsid w:val="508FF0BA"/>
    <w:rsid w:val="509116C9"/>
    <w:rsid w:val="5096CDD7"/>
    <w:rsid w:val="5096F414"/>
    <w:rsid w:val="50C07E2F"/>
    <w:rsid w:val="50DD98CD"/>
    <w:rsid w:val="50E53BFF"/>
    <w:rsid w:val="50E90D11"/>
    <w:rsid w:val="50EDCF92"/>
    <w:rsid w:val="51099D76"/>
    <w:rsid w:val="510C6704"/>
    <w:rsid w:val="51170AF2"/>
    <w:rsid w:val="51463915"/>
    <w:rsid w:val="51502E0B"/>
    <w:rsid w:val="5151C71C"/>
    <w:rsid w:val="5154589F"/>
    <w:rsid w:val="516C921C"/>
    <w:rsid w:val="51808A90"/>
    <w:rsid w:val="51A07AA7"/>
    <w:rsid w:val="51A212BC"/>
    <w:rsid w:val="51AE90F2"/>
    <w:rsid w:val="51B419DA"/>
    <w:rsid w:val="51BCBAF1"/>
    <w:rsid w:val="51BF7087"/>
    <w:rsid w:val="51C6F296"/>
    <w:rsid w:val="51DD758F"/>
    <w:rsid w:val="51F145E3"/>
    <w:rsid w:val="51FC049F"/>
    <w:rsid w:val="5202771D"/>
    <w:rsid w:val="52300E76"/>
    <w:rsid w:val="523F36B5"/>
    <w:rsid w:val="5270A1B2"/>
    <w:rsid w:val="527B8C39"/>
    <w:rsid w:val="527FF9F8"/>
    <w:rsid w:val="528B9AA5"/>
    <w:rsid w:val="528E2F2A"/>
    <w:rsid w:val="52925397"/>
    <w:rsid w:val="5296C818"/>
    <w:rsid w:val="529FB1E7"/>
    <w:rsid w:val="52B0DF93"/>
    <w:rsid w:val="52B400CB"/>
    <w:rsid w:val="52D6BE04"/>
    <w:rsid w:val="52D7719A"/>
    <w:rsid w:val="52F29C0D"/>
    <w:rsid w:val="52F858BC"/>
    <w:rsid w:val="52FCF1D7"/>
    <w:rsid w:val="531DBB1B"/>
    <w:rsid w:val="53239C2E"/>
    <w:rsid w:val="532AC086"/>
    <w:rsid w:val="5341AC1A"/>
    <w:rsid w:val="534AEB12"/>
    <w:rsid w:val="535DA3CA"/>
    <w:rsid w:val="5379CA79"/>
    <w:rsid w:val="538D287E"/>
    <w:rsid w:val="538E6A26"/>
    <w:rsid w:val="5390C4E2"/>
    <w:rsid w:val="5391EB85"/>
    <w:rsid w:val="5397391A"/>
    <w:rsid w:val="53A78417"/>
    <w:rsid w:val="53D198C6"/>
    <w:rsid w:val="53E6A354"/>
    <w:rsid w:val="544B1986"/>
    <w:rsid w:val="545C2FFA"/>
    <w:rsid w:val="54707FE5"/>
    <w:rsid w:val="5481D6F4"/>
    <w:rsid w:val="54928137"/>
    <w:rsid w:val="54AD4EB5"/>
    <w:rsid w:val="54CE50DC"/>
    <w:rsid w:val="54DD10BE"/>
    <w:rsid w:val="5503578B"/>
    <w:rsid w:val="5512A442"/>
    <w:rsid w:val="551B574C"/>
    <w:rsid w:val="5523410A"/>
    <w:rsid w:val="55455846"/>
    <w:rsid w:val="554DC228"/>
    <w:rsid w:val="55519B33"/>
    <w:rsid w:val="5562AA89"/>
    <w:rsid w:val="556DEDB4"/>
    <w:rsid w:val="558F3B7B"/>
    <w:rsid w:val="55A0C560"/>
    <w:rsid w:val="55B8E9B3"/>
    <w:rsid w:val="55CBC19E"/>
    <w:rsid w:val="55CEC70D"/>
    <w:rsid w:val="55D67E0E"/>
    <w:rsid w:val="55E5EBA3"/>
    <w:rsid w:val="55EBB897"/>
    <w:rsid w:val="55FFF356"/>
    <w:rsid w:val="560D8806"/>
    <w:rsid w:val="5622C68F"/>
    <w:rsid w:val="56426B26"/>
    <w:rsid w:val="56461358"/>
    <w:rsid w:val="56547423"/>
    <w:rsid w:val="566B0B2B"/>
    <w:rsid w:val="5678A671"/>
    <w:rsid w:val="567B3950"/>
    <w:rsid w:val="567C675F"/>
    <w:rsid w:val="56C83477"/>
    <w:rsid w:val="56EBFB15"/>
    <w:rsid w:val="56ECD40B"/>
    <w:rsid w:val="56F8780B"/>
    <w:rsid w:val="56FA30D1"/>
    <w:rsid w:val="56FB505E"/>
    <w:rsid w:val="5734F27C"/>
    <w:rsid w:val="574594BC"/>
    <w:rsid w:val="574BF708"/>
    <w:rsid w:val="57509821"/>
    <w:rsid w:val="57AB374F"/>
    <w:rsid w:val="57AE6D46"/>
    <w:rsid w:val="57AE9DDA"/>
    <w:rsid w:val="57B63C96"/>
    <w:rsid w:val="57B777B2"/>
    <w:rsid w:val="57C235D7"/>
    <w:rsid w:val="57EB1CE8"/>
    <w:rsid w:val="57F4CB79"/>
    <w:rsid w:val="57FFAEAE"/>
    <w:rsid w:val="58090A7B"/>
    <w:rsid w:val="580D566C"/>
    <w:rsid w:val="581BC2E0"/>
    <w:rsid w:val="58370440"/>
    <w:rsid w:val="58433A66"/>
    <w:rsid w:val="584686AE"/>
    <w:rsid w:val="5866CEF5"/>
    <w:rsid w:val="586C6D00"/>
    <w:rsid w:val="586E4F2B"/>
    <w:rsid w:val="58718F32"/>
    <w:rsid w:val="5872AD6D"/>
    <w:rsid w:val="5888C2EC"/>
    <w:rsid w:val="588AC7BC"/>
    <w:rsid w:val="58A40DFB"/>
    <w:rsid w:val="58C4A22E"/>
    <w:rsid w:val="58CC5A2F"/>
    <w:rsid w:val="58CF1E22"/>
    <w:rsid w:val="58D3A07B"/>
    <w:rsid w:val="58DBEF7C"/>
    <w:rsid w:val="58E12E41"/>
    <w:rsid w:val="58EBFAF8"/>
    <w:rsid w:val="58F222A4"/>
    <w:rsid w:val="58FA7232"/>
    <w:rsid w:val="591593B0"/>
    <w:rsid w:val="59160BEC"/>
    <w:rsid w:val="592219DB"/>
    <w:rsid w:val="592CFA2F"/>
    <w:rsid w:val="592D932A"/>
    <w:rsid w:val="593C36BE"/>
    <w:rsid w:val="594647EB"/>
    <w:rsid w:val="595946AA"/>
    <w:rsid w:val="5964A36D"/>
    <w:rsid w:val="596955A8"/>
    <w:rsid w:val="596FCC6E"/>
    <w:rsid w:val="597E978B"/>
    <w:rsid w:val="598AA2EC"/>
    <w:rsid w:val="598B2D9F"/>
    <w:rsid w:val="59B014C1"/>
    <w:rsid w:val="59B5005D"/>
    <w:rsid w:val="59B8A01F"/>
    <w:rsid w:val="59B92768"/>
    <w:rsid w:val="59BC8135"/>
    <w:rsid w:val="59E480F8"/>
    <w:rsid w:val="59E59268"/>
    <w:rsid w:val="59F759CD"/>
    <w:rsid w:val="59FDFC98"/>
    <w:rsid w:val="5A1FE125"/>
    <w:rsid w:val="5A3397F2"/>
    <w:rsid w:val="5A4D28B2"/>
    <w:rsid w:val="5A4F7E15"/>
    <w:rsid w:val="5A57A6E2"/>
    <w:rsid w:val="5A714714"/>
    <w:rsid w:val="5A87034D"/>
    <w:rsid w:val="5AAFCA11"/>
    <w:rsid w:val="5AD1DBFA"/>
    <w:rsid w:val="5AE8907A"/>
    <w:rsid w:val="5B09BE85"/>
    <w:rsid w:val="5B15F2CA"/>
    <w:rsid w:val="5B187D9D"/>
    <w:rsid w:val="5B1BBFB3"/>
    <w:rsid w:val="5B217D3B"/>
    <w:rsid w:val="5B35CCF9"/>
    <w:rsid w:val="5B451875"/>
    <w:rsid w:val="5B62F5E8"/>
    <w:rsid w:val="5B6CB850"/>
    <w:rsid w:val="5B89C359"/>
    <w:rsid w:val="5BA48A2E"/>
    <w:rsid w:val="5BA84BCB"/>
    <w:rsid w:val="5BAC0E0E"/>
    <w:rsid w:val="5BB263E5"/>
    <w:rsid w:val="5BBC0751"/>
    <w:rsid w:val="5BC2CCE4"/>
    <w:rsid w:val="5BE84780"/>
    <w:rsid w:val="5BF8FDA9"/>
    <w:rsid w:val="5C006071"/>
    <w:rsid w:val="5C32B0F1"/>
    <w:rsid w:val="5C355E86"/>
    <w:rsid w:val="5C587081"/>
    <w:rsid w:val="5C5B10E8"/>
    <w:rsid w:val="5C655099"/>
    <w:rsid w:val="5C6DA78F"/>
    <w:rsid w:val="5C70C772"/>
    <w:rsid w:val="5C7E581F"/>
    <w:rsid w:val="5C81E26D"/>
    <w:rsid w:val="5C89F477"/>
    <w:rsid w:val="5C8C322C"/>
    <w:rsid w:val="5CA9B02B"/>
    <w:rsid w:val="5CAF40C7"/>
    <w:rsid w:val="5CB0E19E"/>
    <w:rsid w:val="5CB59C02"/>
    <w:rsid w:val="5CBF8E17"/>
    <w:rsid w:val="5CF47CDE"/>
    <w:rsid w:val="5CF5A129"/>
    <w:rsid w:val="5D027662"/>
    <w:rsid w:val="5D0B3821"/>
    <w:rsid w:val="5D1DF030"/>
    <w:rsid w:val="5D3EF6C0"/>
    <w:rsid w:val="5D50BFD6"/>
    <w:rsid w:val="5D601EB3"/>
    <w:rsid w:val="5D688F12"/>
    <w:rsid w:val="5D75A9ED"/>
    <w:rsid w:val="5D7F0A6D"/>
    <w:rsid w:val="5D9A04FE"/>
    <w:rsid w:val="5D9FC508"/>
    <w:rsid w:val="5DA36C57"/>
    <w:rsid w:val="5DAB6117"/>
    <w:rsid w:val="5DB5A67B"/>
    <w:rsid w:val="5DB5E3D9"/>
    <w:rsid w:val="5DB6A0E3"/>
    <w:rsid w:val="5DD5349E"/>
    <w:rsid w:val="5DE2A2F3"/>
    <w:rsid w:val="5DEC59E6"/>
    <w:rsid w:val="5DED4A36"/>
    <w:rsid w:val="5DF5FE53"/>
    <w:rsid w:val="5E084D9B"/>
    <w:rsid w:val="5E10C94B"/>
    <w:rsid w:val="5E16FFA3"/>
    <w:rsid w:val="5E1BEB19"/>
    <w:rsid w:val="5E225165"/>
    <w:rsid w:val="5E2B6D79"/>
    <w:rsid w:val="5E2E290C"/>
    <w:rsid w:val="5E318E78"/>
    <w:rsid w:val="5E33EA08"/>
    <w:rsid w:val="5E3907E2"/>
    <w:rsid w:val="5E3E7361"/>
    <w:rsid w:val="5E5AFB32"/>
    <w:rsid w:val="5E5D59D4"/>
    <w:rsid w:val="5E7EEBCC"/>
    <w:rsid w:val="5E81D236"/>
    <w:rsid w:val="5E8F2F0E"/>
    <w:rsid w:val="5E9F2000"/>
    <w:rsid w:val="5EADA56B"/>
    <w:rsid w:val="5EAFCA1A"/>
    <w:rsid w:val="5EB85784"/>
    <w:rsid w:val="5EC4D5F8"/>
    <w:rsid w:val="5ED4E8BA"/>
    <w:rsid w:val="5EE68F4B"/>
    <w:rsid w:val="5EFBB6C9"/>
    <w:rsid w:val="5F085360"/>
    <w:rsid w:val="5F221E8A"/>
    <w:rsid w:val="5F49B196"/>
    <w:rsid w:val="5F58E8BB"/>
    <w:rsid w:val="5F6A0BA2"/>
    <w:rsid w:val="5F9407E8"/>
    <w:rsid w:val="5F9CBCEA"/>
    <w:rsid w:val="5FB02EC4"/>
    <w:rsid w:val="5FC6BADF"/>
    <w:rsid w:val="5FCE02DD"/>
    <w:rsid w:val="5FE427BC"/>
    <w:rsid w:val="5FEB8920"/>
    <w:rsid w:val="5FF94498"/>
    <w:rsid w:val="5FFCDECA"/>
    <w:rsid w:val="600098FE"/>
    <w:rsid w:val="60165149"/>
    <w:rsid w:val="6037407D"/>
    <w:rsid w:val="603A38D4"/>
    <w:rsid w:val="604F795D"/>
    <w:rsid w:val="605DAD05"/>
    <w:rsid w:val="605EC108"/>
    <w:rsid w:val="6064E191"/>
    <w:rsid w:val="60697A9F"/>
    <w:rsid w:val="607996E0"/>
    <w:rsid w:val="6089DD21"/>
    <w:rsid w:val="608BC4EA"/>
    <w:rsid w:val="60996624"/>
    <w:rsid w:val="60A7AA8D"/>
    <w:rsid w:val="60CA6096"/>
    <w:rsid w:val="60D0AE0B"/>
    <w:rsid w:val="60D235B7"/>
    <w:rsid w:val="6113CE47"/>
    <w:rsid w:val="613E4F1A"/>
    <w:rsid w:val="61570A73"/>
    <w:rsid w:val="617099E3"/>
    <w:rsid w:val="617150CE"/>
    <w:rsid w:val="6171E918"/>
    <w:rsid w:val="617F482F"/>
    <w:rsid w:val="618A169A"/>
    <w:rsid w:val="619057F3"/>
    <w:rsid w:val="61932207"/>
    <w:rsid w:val="61A666E8"/>
    <w:rsid w:val="61AAA858"/>
    <w:rsid w:val="61C8685B"/>
    <w:rsid w:val="61E96B25"/>
    <w:rsid w:val="61ED9F70"/>
    <w:rsid w:val="61EDFC33"/>
    <w:rsid w:val="61F2D6D1"/>
    <w:rsid w:val="6205665C"/>
    <w:rsid w:val="62132E42"/>
    <w:rsid w:val="621B4727"/>
    <w:rsid w:val="621EB6CC"/>
    <w:rsid w:val="622995DF"/>
    <w:rsid w:val="622A1F96"/>
    <w:rsid w:val="622E5768"/>
    <w:rsid w:val="62500A53"/>
    <w:rsid w:val="625A9F9A"/>
    <w:rsid w:val="6271F608"/>
    <w:rsid w:val="62A2E83D"/>
    <w:rsid w:val="62AE53F2"/>
    <w:rsid w:val="62D11D95"/>
    <w:rsid w:val="630AF2F3"/>
    <w:rsid w:val="630BACFF"/>
    <w:rsid w:val="630D001B"/>
    <w:rsid w:val="630D9B42"/>
    <w:rsid w:val="631B413D"/>
    <w:rsid w:val="633BA3D2"/>
    <w:rsid w:val="634F62B8"/>
    <w:rsid w:val="63612643"/>
    <w:rsid w:val="636B0120"/>
    <w:rsid w:val="638A0B89"/>
    <w:rsid w:val="638BB45F"/>
    <w:rsid w:val="63B024E9"/>
    <w:rsid w:val="63CAB918"/>
    <w:rsid w:val="63F1A413"/>
    <w:rsid w:val="63FE5714"/>
    <w:rsid w:val="6408707D"/>
    <w:rsid w:val="640A1717"/>
    <w:rsid w:val="6421B127"/>
    <w:rsid w:val="642F3C75"/>
    <w:rsid w:val="64426149"/>
    <w:rsid w:val="6443F0C6"/>
    <w:rsid w:val="647399C1"/>
    <w:rsid w:val="64757834"/>
    <w:rsid w:val="6476BC41"/>
    <w:rsid w:val="648B1744"/>
    <w:rsid w:val="64977836"/>
    <w:rsid w:val="6498358B"/>
    <w:rsid w:val="649C94DF"/>
    <w:rsid w:val="64AAB13E"/>
    <w:rsid w:val="64B01C46"/>
    <w:rsid w:val="64B1458A"/>
    <w:rsid w:val="64B4FB02"/>
    <w:rsid w:val="64C1CE5A"/>
    <w:rsid w:val="64C22527"/>
    <w:rsid w:val="64DA37BF"/>
    <w:rsid w:val="64E52260"/>
    <w:rsid w:val="64E65893"/>
    <w:rsid w:val="64EA797A"/>
    <w:rsid w:val="64FB2D8E"/>
    <w:rsid w:val="6502D373"/>
    <w:rsid w:val="6503ABDB"/>
    <w:rsid w:val="650477B2"/>
    <w:rsid w:val="655349C8"/>
    <w:rsid w:val="65678930"/>
    <w:rsid w:val="656A528D"/>
    <w:rsid w:val="6571CD04"/>
    <w:rsid w:val="65722F62"/>
    <w:rsid w:val="65733132"/>
    <w:rsid w:val="6583A1D1"/>
    <w:rsid w:val="658C4B3D"/>
    <w:rsid w:val="65986537"/>
    <w:rsid w:val="65AAD762"/>
    <w:rsid w:val="65B4CCFA"/>
    <w:rsid w:val="65CBF33A"/>
    <w:rsid w:val="65D84586"/>
    <w:rsid w:val="65E30168"/>
    <w:rsid w:val="660418E6"/>
    <w:rsid w:val="6612BAD9"/>
    <w:rsid w:val="66266FFF"/>
    <w:rsid w:val="662AFD0E"/>
    <w:rsid w:val="664B5549"/>
    <w:rsid w:val="66528FA2"/>
    <w:rsid w:val="668F8B01"/>
    <w:rsid w:val="66ABA054"/>
    <w:rsid w:val="66B33E23"/>
    <w:rsid w:val="66B87DD7"/>
    <w:rsid w:val="66BB77C4"/>
    <w:rsid w:val="66C70A8D"/>
    <w:rsid w:val="6733A313"/>
    <w:rsid w:val="67480357"/>
    <w:rsid w:val="67602108"/>
    <w:rsid w:val="67640367"/>
    <w:rsid w:val="6782AACB"/>
    <w:rsid w:val="6790B4DD"/>
    <w:rsid w:val="67A8DA01"/>
    <w:rsid w:val="67BF17D1"/>
    <w:rsid w:val="67E35888"/>
    <w:rsid w:val="67F5EA3A"/>
    <w:rsid w:val="68174B2D"/>
    <w:rsid w:val="68323052"/>
    <w:rsid w:val="683A5901"/>
    <w:rsid w:val="68501904"/>
    <w:rsid w:val="685BCCCE"/>
    <w:rsid w:val="687963B3"/>
    <w:rsid w:val="6882016A"/>
    <w:rsid w:val="688DC4D8"/>
    <w:rsid w:val="689F33DF"/>
    <w:rsid w:val="68A31713"/>
    <w:rsid w:val="68B3ED2F"/>
    <w:rsid w:val="68BE915D"/>
    <w:rsid w:val="68C90E8B"/>
    <w:rsid w:val="68CDC3DD"/>
    <w:rsid w:val="68E41B54"/>
    <w:rsid w:val="68E49F94"/>
    <w:rsid w:val="68ECB98B"/>
    <w:rsid w:val="68FB0426"/>
    <w:rsid w:val="69076664"/>
    <w:rsid w:val="691F87CE"/>
    <w:rsid w:val="6948D5DB"/>
    <w:rsid w:val="696DCBA6"/>
    <w:rsid w:val="6972DC5C"/>
    <w:rsid w:val="698C03BE"/>
    <w:rsid w:val="6992C5C6"/>
    <w:rsid w:val="699D23D6"/>
    <w:rsid w:val="69ACF8BB"/>
    <w:rsid w:val="69BBF0AA"/>
    <w:rsid w:val="69D63333"/>
    <w:rsid w:val="69F446D1"/>
    <w:rsid w:val="6A0C573F"/>
    <w:rsid w:val="6A39F91F"/>
    <w:rsid w:val="6A3DE819"/>
    <w:rsid w:val="6A3E5FB3"/>
    <w:rsid w:val="6A4B20D9"/>
    <w:rsid w:val="6A4C4481"/>
    <w:rsid w:val="6A6859F2"/>
    <w:rsid w:val="6A8399F2"/>
    <w:rsid w:val="6A85225B"/>
    <w:rsid w:val="6A86A7EA"/>
    <w:rsid w:val="6A903FA6"/>
    <w:rsid w:val="6A9080BD"/>
    <w:rsid w:val="6AB9541D"/>
    <w:rsid w:val="6ADF05B7"/>
    <w:rsid w:val="6B0A746B"/>
    <w:rsid w:val="6B16E4EE"/>
    <w:rsid w:val="6B241572"/>
    <w:rsid w:val="6B2A4591"/>
    <w:rsid w:val="6B308C6D"/>
    <w:rsid w:val="6B44A9F9"/>
    <w:rsid w:val="6B48B81F"/>
    <w:rsid w:val="6B63628B"/>
    <w:rsid w:val="6B7A0871"/>
    <w:rsid w:val="6B7D0B48"/>
    <w:rsid w:val="6B8298AD"/>
    <w:rsid w:val="6BA3C985"/>
    <w:rsid w:val="6BD0435C"/>
    <w:rsid w:val="6BD6C50B"/>
    <w:rsid w:val="6C104853"/>
    <w:rsid w:val="6C1AFDE8"/>
    <w:rsid w:val="6C20037E"/>
    <w:rsid w:val="6C30E735"/>
    <w:rsid w:val="6C47B22E"/>
    <w:rsid w:val="6C5340DE"/>
    <w:rsid w:val="6C559E42"/>
    <w:rsid w:val="6C59AF4A"/>
    <w:rsid w:val="6C6F0EB8"/>
    <w:rsid w:val="6C7C529B"/>
    <w:rsid w:val="6CACD221"/>
    <w:rsid w:val="6CAE7B00"/>
    <w:rsid w:val="6CB6C3FE"/>
    <w:rsid w:val="6CC30A61"/>
    <w:rsid w:val="6CCC36E7"/>
    <w:rsid w:val="6CD339D2"/>
    <w:rsid w:val="6CE48880"/>
    <w:rsid w:val="6D149CF1"/>
    <w:rsid w:val="6D15E768"/>
    <w:rsid w:val="6D1C663F"/>
    <w:rsid w:val="6D356FEB"/>
    <w:rsid w:val="6D36C7A2"/>
    <w:rsid w:val="6D86B4EB"/>
    <w:rsid w:val="6D8F3CB8"/>
    <w:rsid w:val="6DA3FCCA"/>
    <w:rsid w:val="6DB5F6BA"/>
    <w:rsid w:val="6DB60791"/>
    <w:rsid w:val="6DB75CB1"/>
    <w:rsid w:val="6DBCE9E2"/>
    <w:rsid w:val="6DBED966"/>
    <w:rsid w:val="6DD1430E"/>
    <w:rsid w:val="6DD29351"/>
    <w:rsid w:val="6DD4782A"/>
    <w:rsid w:val="6DE1427A"/>
    <w:rsid w:val="6DE35ABC"/>
    <w:rsid w:val="6DEABB15"/>
    <w:rsid w:val="6DF1B8E1"/>
    <w:rsid w:val="6E0BEA28"/>
    <w:rsid w:val="6E22C580"/>
    <w:rsid w:val="6E2EBF9B"/>
    <w:rsid w:val="6E34338B"/>
    <w:rsid w:val="6E4BE3EC"/>
    <w:rsid w:val="6E611A61"/>
    <w:rsid w:val="6EAE0228"/>
    <w:rsid w:val="6ED38A26"/>
    <w:rsid w:val="6EE03A69"/>
    <w:rsid w:val="6EE77436"/>
    <w:rsid w:val="6EFC29A8"/>
    <w:rsid w:val="6F1D4854"/>
    <w:rsid w:val="6F21F41F"/>
    <w:rsid w:val="6F4C0D04"/>
    <w:rsid w:val="6F6444CC"/>
    <w:rsid w:val="6F776575"/>
    <w:rsid w:val="6F80293F"/>
    <w:rsid w:val="6FA12DDD"/>
    <w:rsid w:val="6FA3EDFF"/>
    <w:rsid w:val="6FA8C8F3"/>
    <w:rsid w:val="6FBB3AFF"/>
    <w:rsid w:val="6FD7596F"/>
    <w:rsid w:val="6FDF7A26"/>
    <w:rsid w:val="6FF8915E"/>
    <w:rsid w:val="7054C9BF"/>
    <w:rsid w:val="705CA51A"/>
    <w:rsid w:val="706E3F1D"/>
    <w:rsid w:val="70755ACF"/>
    <w:rsid w:val="70778B40"/>
    <w:rsid w:val="70968694"/>
    <w:rsid w:val="70A41366"/>
    <w:rsid w:val="70AAD9B8"/>
    <w:rsid w:val="70B36339"/>
    <w:rsid w:val="70B6801F"/>
    <w:rsid w:val="70B8BD08"/>
    <w:rsid w:val="70B9B789"/>
    <w:rsid w:val="70BA713C"/>
    <w:rsid w:val="70BD1A60"/>
    <w:rsid w:val="70E6D589"/>
    <w:rsid w:val="71049964"/>
    <w:rsid w:val="71262777"/>
    <w:rsid w:val="712DF41A"/>
    <w:rsid w:val="712F116A"/>
    <w:rsid w:val="7157C951"/>
    <w:rsid w:val="715E23E4"/>
    <w:rsid w:val="7176CFBB"/>
    <w:rsid w:val="71772617"/>
    <w:rsid w:val="71784318"/>
    <w:rsid w:val="71806726"/>
    <w:rsid w:val="718475EC"/>
    <w:rsid w:val="719AC110"/>
    <w:rsid w:val="719F8DD7"/>
    <w:rsid w:val="71A8A05A"/>
    <w:rsid w:val="71BBD1C4"/>
    <w:rsid w:val="71BDD380"/>
    <w:rsid w:val="71DFA129"/>
    <w:rsid w:val="71E9F7E5"/>
    <w:rsid w:val="71F08889"/>
    <w:rsid w:val="720855E8"/>
    <w:rsid w:val="72087AC8"/>
    <w:rsid w:val="720A89D7"/>
    <w:rsid w:val="722AA205"/>
    <w:rsid w:val="7240CA6B"/>
    <w:rsid w:val="726F5E1C"/>
    <w:rsid w:val="728AD731"/>
    <w:rsid w:val="72CD397D"/>
    <w:rsid w:val="72F43AEA"/>
    <w:rsid w:val="72F61A2E"/>
    <w:rsid w:val="7303A3E8"/>
    <w:rsid w:val="730CDAD9"/>
    <w:rsid w:val="73155170"/>
    <w:rsid w:val="73291F19"/>
    <w:rsid w:val="732ED7E6"/>
    <w:rsid w:val="7336831F"/>
    <w:rsid w:val="7336F671"/>
    <w:rsid w:val="734B9CCC"/>
    <w:rsid w:val="734BFF62"/>
    <w:rsid w:val="73833435"/>
    <w:rsid w:val="73915A01"/>
    <w:rsid w:val="73CD6A75"/>
    <w:rsid w:val="73D746DA"/>
    <w:rsid w:val="73DE72AF"/>
    <w:rsid w:val="73ECDB12"/>
    <w:rsid w:val="740142B6"/>
    <w:rsid w:val="740DC335"/>
    <w:rsid w:val="74176354"/>
    <w:rsid w:val="7421ECAA"/>
    <w:rsid w:val="743301AD"/>
    <w:rsid w:val="7435931E"/>
    <w:rsid w:val="7435D667"/>
    <w:rsid w:val="7437D2AA"/>
    <w:rsid w:val="743E1201"/>
    <w:rsid w:val="743F6FD3"/>
    <w:rsid w:val="745BF2B5"/>
    <w:rsid w:val="74616798"/>
    <w:rsid w:val="74727E27"/>
    <w:rsid w:val="74816DE6"/>
    <w:rsid w:val="74850A49"/>
    <w:rsid w:val="748EA34E"/>
    <w:rsid w:val="748F86D4"/>
    <w:rsid w:val="74940558"/>
    <w:rsid w:val="74956127"/>
    <w:rsid w:val="74A932E2"/>
    <w:rsid w:val="74D0F8A1"/>
    <w:rsid w:val="74D8EAD6"/>
    <w:rsid w:val="74D94995"/>
    <w:rsid w:val="74DD4F19"/>
    <w:rsid w:val="74DF2B6A"/>
    <w:rsid w:val="74E241B6"/>
    <w:rsid w:val="74E71466"/>
    <w:rsid w:val="74EF8869"/>
    <w:rsid w:val="75155249"/>
    <w:rsid w:val="75346D09"/>
    <w:rsid w:val="753F0BB9"/>
    <w:rsid w:val="75430236"/>
    <w:rsid w:val="75523DD7"/>
    <w:rsid w:val="75560171"/>
    <w:rsid w:val="755E7460"/>
    <w:rsid w:val="75C0A2AD"/>
    <w:rsid w:val="75C62772"/>
    <w:rsid w:val="75FBCB1B"/>
    <w:rsid w:val="7616BBFE"/>
    <w:rsid w:val="7655C0A0"/>
    <w:rsid w:val="765986DE"/>
    <w:rsid w:val="76767EFA"/>
    <w:rsid w:val="768FF5C2"/>
    <w:rsid w:val="76AC86F3"/>
    <w:rsid w:val="76BBAA02"/>
    <w:rsid w:val="76BCBCB9"/>
    <w:rsid w:val="76DA03E1"/>
    <w:rsid w:val="76E2F3A4"/>
    <w:rsid w:val="76FD2013"/>
    <w:rsid w:val="770D90BC"/>
    <w:rsid w:val="772F692D"/>
    <w:rsid w:val="773B7B4B"/>
    <w:rsid w:val="774FB122"/>
    <w:rsid w:val="7757CCA1"/>
    <w:rsid w:val="7761A3E5"/>
    <w:rsid w:val="77691ED2"/>
    <w:rsid w:val="776D7912"/>
    <w:rsid w:val="77723B58"/>
    <w:rsid w:val="7776CD9D"/>
    <w:rsid w:val="7789C0B7"/>
    <w:rsid w:val="7797FB60"/>
    <w:rsid w:val="77ABC575"/>
    <w:rsid w:val="77F58836"/>
    <w:rsid w:val="78093D9C"/>
    <w:rsid w:val="78137790"/>
    <w:rsid w:val="78257587"/>
    <w:rsid w:val="78262CDF"/>
    <w:rsid w:val="782AD162"/>
    <w:rsid w:val="784E70DD"/>
    <w:rsid w:val="788AF6B4"/>
    <w:rsid w:val="78A020ED"/>
    <w:rsid w:val="78B45E89"/>
    <w:rsid w:val="78BCB209"/>
    <w:rsid w:val="78C11428"/>
    <w:rsid w:val="78C4AF16"/>
    <w:rsid w:val="78CC694A"/>
    <w:rsid w:val="78CD4599"/>
    <w:rsid w:val="7900636B"/>
    <w:rsid w:val="79018970"/>
    <w:rsid w:val="7909BCB1"/>
    <w:rsid w:val="790A98E5"/>
    <w:rsid w:val="7935CAA4"/>
    <w:rsid w:val="793B125B"/>
    <w:rsid w:val="793CD824"/>
    <w:rsid w:val="796B0166"/>
    <w:rsid w:val="796D0FFE"/>
    <w:rsid w:val="797E3255"/>
    <w:rsid w:val="7995F5DD"/>
    <w:rsid w:val="79BCBF29"/>
    <w:rsid w:val="79C24284"/>
    <w:rsid w:val="79C95A85"/>
    <w:rsid w:val="79CA21B1"/>
    <w:rsid w:val="79D8A4EB"/>
    <w:rsid w:val="79DDFA57"/>
    <w:rsid w:val="79F2D963"/>
    <w:rsid w:val="7A0117AC"/>
    <w:rsid w:val="7A0B7F2A"/>
    <w:rsid w:val="7A25768D"/>
    <w:rsid w:val="7A2E46DE"/>
    <w:rsid w:val="7A401EFB"/>
    <w:rsid w:val="7A4BB41D"/>
    <w:rsid w:val="7A53F4C4"/>
    <w:rsid w:val="7A57D661"/>
    <w:rsid w:val="7A7159B3"/>
    <w:rsid w:val="7A9C0EE8"/>
    <w:rsid w:val="7AA3C0F3"/>
    <w:rsid w:val="7AD517C0"/>
    <w:rsid w:val="7AD7D8C4"/>
    <w:rsid w:val="7AE574CC"/>
    <w:rsid w:val="7AECF9AE"/>
    <w:rsid w:val="7AF422A3"/>
    <w:rsid w:val="7B068E0E"/>
    <w:rsid w:val="7B3AFDFF"/>
    <w:rsid w:val="7B4AC7ED"/>
    <w:rsid w:val="7B52126D"/>
    <w:rsid w:val="7B555DA4"/>
    <w:rsid w:val="7B59DD5C"/>
    <w:rsid w:val="7B5C5760"/>
    <w:rsid w:val="7B608870"/>
    <w:rsid w:val="7B66A183"/>
    <w:rsid w:val="7B7150FF"/>
    <w:rsid w:val="7B746EE5"/>
    <w:rsid w:val="7B93CAF2"/>
    <w:rsid w:val="7BA203D2"/>
    <w:rsid w:val="7BA9EF2A"/>
    <w:rsid w:val="7BCA3F61"/>
    <w:rsid w:val="7BCAA6C0"/>
    <w:rsid w:val="7BCC2190"/>
    <w:rsid w:val="7BD6499E"/>
    <w:rsid w:val="7BDC91CA"/>
    <w:rsid w:val="7BE81954"/>
    <w:rsid w:val="7C29031A"/>
    <w:rsid w:val="7C29AA81"/>
    <w:rsid w:val="7C4132EE"/>
    <w:rsid w:val="7C445068"/>
    <w:rsid w:val="7C46DB38"/>
    <w:rsid w:val="7C65DF67"/>
    <w:rsid w:val="7C6CFCA3"/>
    <w:rsid w:val="7C76A35E"/>
    <w:rsid w:val="7C77369A"/>
    <w:rsid w:val="7C80F01B"/>
    <w:rsid w:val="7C91F399"/>
    <w:rsid w:val="7CC26B48"/>
    <w:rsid w:val="7CC93C4F"/>
    <w:rsid w:val="7CC97A33"/>
    <w:rsid w:val="7CEA340D"/>
    <w:rsid w:val="7CEA69F3"/>
    <w:rsid w:val="7CF9128D"/>
    <w:rsid w:val="7D2A19C5"/>
    <w:rsid w:val="7D2D9209"/>
    <w:rsid w:val="7D5D5EA4"/>
    <w:rsid w:val="7D5DF61F"/>
    <w:rsid w:val="7D6ADB4F"/>
    <w:rsid w:val="7D79A40D"/>
    <w:rsid w:val="7D79DFDD"/>
    <w:rsid w:val="7D862FA4"/>
    <w:rsid w:val="7D8AB154"/>
    <w:rsid w:val="7D95191E"/>
    <w:rsid w:val="7DB71EFE"/>
    <w:rsid w:val="7DF6FF86"/>
    <w:rsid w:val="7E00AF92"/>
    <w:rsid w:val="7E0A25D2"/>
    <w:rsid w:val="7E20BD89"/>
    <w:rsid w:val="7E2BB801"/>
    <w:rsid w:val="7E44CCB7"/>
    <w:rsid w:val="7E45DFDF"/>
    <w:rsid w:val="7E75B9A8"/>
    <w:rsid w:val="7E907BB2"/>
    <w:rsid w:val="7E945BFC"/>
    <w:rsid w:val="7E99487A"/>
    <w:rsid w:val="7E9B364B"/>
    <w:rsid w:val="7E9CE65D"/>
    <w:rsid w:val="7EA34451"/>
    <w:rsid w:val="7EA3A68E"/>
    <w:rsid w:val="7EB24669"/>
    <w:rsid w:val="7EB25106"/>
    <w:rsid w:val="7EB9E936"/>
    <w:rsid w:val="7ED1D392"/>
    <w:rsid w:val="7EEF4540"/>
    <w:rsid w:val="7EF8013F"/>
    <w:rsid w:val="7F06D8AD"/>
    <w:rsid w:val="7F1C4C91"/>
    <w:rsid w:val="7F246AC4"/>
    <w:rsid w:val="7F2A35C6"/>
    <w:rsid w:val="7F52CF8D"/>
    <w:rsid w:val="7F74836D"/>
    <w:rsid w:val="7F834A80"/>
    <w:rsid w:val="7FC04E3D"/>
    <w:rsid w:val="7FD523D8"/>
    <w:rsid w:val="7FDA04DE"/>
    <w:rsid w:val="7FED326A"/>
    <w:rsid w:val="7FF595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FD2A8EE-C328-4B32-B473-B52D6D4C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paragraph" w:styleId="Heading8">
    <w:name w:val="heading 8"/>
    <w:basedOn w:val="Normal"/>
    <w:next w:val="Normal"/>
    <w:link w:val="Heading8Char"/>
    <w:uiPriority w:val="9"/>
    <w:semiHidden/>
    <w:unhideWhenUsed/>
    <w:qFormat/>
    <w:rsid w:val="002027C1"/>
    <w:pPr>
      <w:keepNext/>
      <w:keepLines/>
      <w:spacing w:before="40" w:after="0"/>
      <w:outlineLvl w:val="7"/>
    </w:pPr>
    <w:rPr>
      <w:rFonts w:ascii="Aptos Display" w:eastAsia="MS Gothic" w:hAnsi="Aptos Display"/>
      <w:b/>
      <w:bCs/>
      <w:i/>
      <w:iCs/>
      <w:color w:val="4EA72E"/>
      <w:sz w:val="20"/>
      <w:szCs w:val="20"/>
    </w:rPr>
  </w:style>
  <w:style w:type="paragraph" w:styleId="Heading9">
    <w:name w:val="heading 9"/>
    <w:basedOn w:val="Normal"/>
    <w:next w:val="Normal"/>
    <w:link w:val="Heading9Char"/>
    <w:uiPriority w:val="9"/>
    <w:semiHidden/>
    <w:unhideWhenUsed/>
    <w:qFormat/>
    <w:rsid w:val="002027C1"/>
    <w:pPr>
      <w:keepNext/>
      <w:keepLines/>
      <w:spacing w:before="40" w:after="0"/>
      <w:outlineLvl w:val="8"/>
    </w:pPr>
    <w:rPr>
      <w:rFonts w:ascii="Aptos Display" w:eastAsia="MS Gothic" w:hAnsi="Aptos Display"/>
      <w:i/>
      <w:iCs/>
      <w:color w:val="4EA72E"/>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Bullet,L,3"/>
    <w:basedOn w:val="Normal"/>
    <w:link w:val="ListParagraphChar"/>
    <w:uiPriority w:val="34"/>
    <w:qFormat/>
    <w:rsid w:val="00324E4F"/>
    <w:pPr>
      <w:ind w:left="720"/>
      <w:contextualSpacing/>
    </w:pPr>
  </w:style>
  <w:style w:type="character" w:styleId="Hyperlink">
    <w:name w:val="Hyperlink"/>
    <w:basedOn w:val="DefaultParagraphFont"/>
    <w:uiPriority w:val="99"/>
    <w:unhideWhenUsed/>
    <w:rsid w:val="002C4447"/>
    <w:rPr>
      <w:color w:val="0000FF"/>
      <w:u w:val="single"/>
    </w:rPr>
  </w:style>
  <w:style w:type="character" w:styleId="CommentReference">
    <w:name w:val="annotation reference"/>
    <w:basedOn w:val="DefaultParagraphFont"/>
    <w:uiPriority w:val="99"/>
    <w:semiHidden/>
    <w:unhideWhenUsed/>
    <w:rsid w:val="00F822C8"/>
    <w:rPr>
      <w:sz w:val="16"/>
      <w:szCs w:val="16"/>
    </w:rPr>
  </w:style>
  <w:style w:type="paragraph" w:styleId="CommentText">
    <w:name w:val="annotation text"/>
    <w:basedOn w:val="Normal"/>
    <w:link w:val="CommentTextChar"/>
    <w:uiPriority w:val="99"/>
    <w:unhideWhenUsed/>
    <w:rsid w:val="00F822C8"/>
    <w:rPr>
      <w:sz w:val="20"/>
      <w:szCs w:val="20"/>
    </w:rPr>
  </w:style>
  <w:style w:type="character" w:customStyle="1" w:styleId="CommentTextChar">
    <w:name w:val="Comment Text Char"/>
    <w:basedOn w:val="DefaultParagraphFont"/>
    <w:link w:val="CommentText"/>
    <w:uiPriority w:val="99"/>
    <w:rsid w:val="00F822C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822C8"/>
    <w:rPr>
      <w:b/>
      <w:bCs/>
    </w:rPr>
  </w:style>
  <w:style w:type="character" w:customStyle="1" w:styleId="CommentSubjectChar">
    <w:name w:val="Comment Subject Char"/>
    <w:basedOn w:val="CommentTextChar"/>
    <w:link w:val="CommentSubject"/>
    <w:uiPriority w:val="99"/>
    <w:semiHidden/>
    <w:rsid w:val="00F822C8"/>
    <w:rPr>
      <w:rFonts w:ascii="Times New Roman" w:hAnsi="Times New Roman" w:cs="Times New Roman"/>
      <w:b/>
      <w:bCs/>
      <w:sz w:val="20"/>
      <w:szCs w:val="20"/>
      <w:lang w:val="ro-RO"/>
    </w:rPr>
  </w:style>
  <w:style w:type="table" w:styleId="TableGrid">
    <w:name w:val="Table Grid"/>
    <w:basedOn w:val="TableNormal"/>
    <w:uiPriority w:val="39"/>
    <w:rsid w:val="008B6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66EAE"/>
    <w:rPr>
      <w:rFonts w:ascii="Segoe UI" w:hAnsi="Segoe UI" w:cs="Segoe UI" w:hint="default"/>
      <w:color w:val="333333"/>
      <w:sz w:val="18"/>
      <w:szCs w:val="18"/>
      <w:shd w:val="clear" w:color="auto" w:fill="FFFFFF"/>
    </w:rPr>
  </w:style>
  <w:style w:type="paragraph" w:styleId="Revision">
    <w:name w:val="Revision"/>
    <w:hidden/>
    <w:uiPriority w:val="99"/>
    <w:semiHidden/>
    <w:rsid w:val="005A3599"/>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EE7AB9"/>
    <w:rPr>
      <w:color w:val="605E5C"/>
      <w:shd w:val="clear" w:color="auto" w:fill="E1DFDD"/>
    </w:rPr>
  </w:style>
  <w:style w:type="paragraph" w:customStyle="1" w:styleId="Heading81">
    <w:name w:val="Heading 81"/>
    <w:basedOn w:val="Normal"/>
    <w:next w:val="Normal"/>
    <w:uiPriority w:val="9"/>
    <w:unhideWhenUsed/>
    <w:qFormat/>
    <w:rsid w:val="002027C1"/>
    <w:pPr>
      <w:keepNext/>
      <w:keepLines/>
      <w:spacing w:before="40" w:after="0" w:line="288" w:lineRule="auto"/>
      <w:jc w:val="left"/>
      <w:outlineLvl w:val="7"/>
    </w:pPr>
    <w:rPr>
      <w:rFonts w:ascii="Aptos Display" w:eastAsia="MS Gothic" w:hAnsi="Aptos Display"/>
      <w:b/>
      <w:bCs/>
      <w:i/>
      <w:iCs/>
      <w:color w:val="4EA72E"/>
      <w:sz w:val="20"/>
      <w:szCs w:val="20"/>
      <w:lang w:eastAsia="ja-JP"/>
    </w:rPr>
  </w:style>
  <w:style w:type="paragraph" w:customStyle="1" w:styleId="Heading91">
    <w:name w:val="Heading 91"/>
    <w:basedOn w:val="Normal"/>
    <w:next w:val="Normal"/>
    <w:uiPriority w:val="9"/>
    <w:unhideWhenUsed/>
    <w:qFormat/>
    <w:rsid w:val="002027C1"/>
    <w:pPr>
      <w:keepNext/>
      <w:keepLines/>
      <w:spacing w:before="40" w:after="0" w:line="288" w:lineRule="auto"/>
      <w:jc w:val="left"/>
      <w:outlineLvl w:val="8"/>
    </w:pPr>
    <w:rPr>
      <w:rFonts w:ascii="Aptos Display" w:eastAsia="MS Gothic" w:hAnsi="Aptos Display"/>
      <w:i/>
      <w:iCs/>
      <w:color w:val="4EA72E"/>
      <w:sz w:val="20"/>
      <w:szCs w:val="20"/>
      <w:lang w:eastAsia="ja-JP"/>
    </w:rPr>
  </w:style>
  <w:style w:type="numbering" w:customStyle="1" w:styleId="NoList1">
    <w:name w:val="No List1"/>
    <w:next w:val="NoList"/>
    <w:uiPriority w:val="99"/>
    <w:semiHidden/>
    <w:unhideWhenUsed/>
    <w:rsid w:val="002027C1"/>
  </w:style>
  <w:style w:type="character" w:customStyle="1" w:styleId="Heading8Char">
    <w:name w:val="Heading 8 Char"/>
    <w:basedOn w:val="DefaultParagraphFont"/>
    <w:link w:val="Heading8"/>
    <w:uiPriority w:val="9"/>
    <w:rsid w:val="002027C1"/>
    <w:rPr>
      <w:rFonts w:ascii="Aptos Display" w:eastAsia="MS Gothic" w:hAnsi="Aptos Display" w:cs="Times New Roman"/>
      <w:b/>
      <w:bCs/>
      <w:i/>
      <w:iCs/>
      <w:color w:val="4EA72E"/>
      <w:sz w:val="20"/>
      <w:szCs w:val="20"/>
    </w:rPr>
  </w:style>
  <w:style w:type="character" w:customStyle="1" w:styleId="Heading9Char">
    <w:name w:val="Heading 9 Char"/>
    <w:basedOn w:val="DefaultParagraphFont"/>
    <w:link w:val="Heading9"/>
    <w:uiPriority w:val="9"/>
    <w:rsid w:val="002027C1"/>
    <w:rPr>
      <w:rFonts w:ascii="Aptos Display" w:eastAsia="MS Gothic" w:hAnsi="Aptos Display" w:cs="Times New Roman"/>
      <w:i/>
      <w:iCs/>
      <w:color w:val="4EA72E"/>
      <w:sz w:val="20"/>
      <w:szCs w:val="20"/>
    </w:rPr>
  </w:style>
  <w:style w:type="character" w:customStyle="1" w:styleId="TitleChar">
    <w:name w:val="Title Char"/>
    <w:basedOn w:val="DefaultParagraphFont"/>
    <w:link w:val="Title"/>
    <w:uiPriority w:val="10"/>
    <w:rsid w:val="002027C1"/>
    <w:rPr>
      <w:rFonts w:ascii="Aptos Display" w:eastAsia="MS Gothic" w:hAnsi="Aptos Display" w:cs="Times New Roman"/>
      <w:color w:val="262626"/>
      <w:spacing w:val="-15"/>
      <w:sz w:val="96"/>
      <w:szCs w:val="96"/>
    </w:rPr>
  </w:style>
  <w:style w:type="paragraph" w:customStyle="1" w:styleId="Title1">
    <w:name w:val="Title1"/>
    <w:basedOn w:val="Normal"/>
    <w:next w:val="Normal"/>
    <w:uiPriority w:val="10"/>
    <w:qFormat/>
    <w:rsid w:val="002027C1"/>
    <w:pPr>
      <w:spacing w:before="0" w:after="0"/>
      <w:contextualSpacing/>
      <w:jc w:val="left"/>
    </w:pPr>
    <w:rPr>
      <w:rFonts w:ascii="Aptos Display" w:eastAsia="MS Gothic" w:hAnsi="Aptos Display"/>
      <w:color w:val="262626"/>
      <w:spacing w:val="-15"/>
      <w:sz w:val="96"/>
      <w:szCs w:val="96"/>
      <w:lang w:eastAsia="ja-JP"/>
    </w:rPr>
  </w:style>
  <w:style w:type="character" w:customStyle="1" w:styleId="TitleChar1">
    <w:name w:val="Title Char1"/>
    <w:basedOn w:val="DefaultParagraphFont"/>
    <w:uiPriority w:val="10"/>
    <w:rsid w:val="002027C1"/>
    <w:rPr>
      <w:rFonts w:ascii="Aptos Display" w:eastAsia="MS Gothic" w:hAnsi="Aptos Display" w:cs="Times New Roman"/>
      <w:spacing w:val="-10"/>
      <w:kern w:val="28"/>
      <w:sz w:val="56"/>
      <w:szCs w:val="56"/>
    </w:rPr>
  </w:style>
  <w:style w:type="character" w:customStyle="1" w:styleId="SubtitleChar">
    <w:name w:val="Subtitle Char"/>
    <w:basedOn w:val="DefaultParagraphFont"/>
    <w:link w:val="Subtitle"/>
    <w:uiPriority w:val="11"/>
    <w:rsid w:val="002027C1"/>
    <w:rPr>
      <w:rFonts w:ascii="Aptos Display" w:eastAsia="MS Gothic" w:hAnsi="Aptos Display" w:cs="Times New Roman"/>
      <w:sz w:val="30"/>
      <w:szCs w:val="30"/>
    </w:rPr>
  </w:style>
  <w:style w:type="paragraph" w:customStyle="1" w:styleId="Subtitle1">
    <w:name w:val="Subtitle1"/>
    <w:basedOn w:val="Normal"/>
    <w:next w:val="Normal"/>
    <w:uiPriority w:val="11"/>
    <w:qFormat/>
    <w:rsid w:val="002027C1"/>
    <w:pPr>
      <w:numPr>
        <w:ilvl w:val="1"/>
      </w:numPr>
      <w:spacing w:before="0" w:after="200"/>
      <w:jc w:val="left"/>
    </w:pPr>
    <w:rPr>
      <w:rFonts w:ascii="Aptos Display" w:eastAsia="MS Gothic" w:hAnsi="Aptos Display"/>
      <w:sz w:val="30"/>
      <w:szCs w:val="30"/>
      <w:lang w:eastAsia="ja-JP"/>
    </w:rPr>
  </w:style>
  <w:style w:type="character" w:customStyle="1" w:styleId="SubtitleChar1">
    <w:name w:val="Subtitle Char1"/>
    <w:basedOn w:val="DefaultParagraphFont"/>
    <w:uiPriority w:val="11"/>
    <w:rsid w:val="002027C1"/>
    <w:rPr>
      <w:color w:val="5A5A5A"/>
      <w:spacing w:val="15"/>
      <w:sz w:val="22"/>
      <w:szCs w:val="22"/>
    </w:rPr>
  </w:style>
  <w:style w:type="character" w:styleId="IntenseEmphasis">
    <w:name w:val="Intense Emphasis"/>
    <w:basedOn w:val="DefaultParagraphFont"/>
    <w:uiPriority w:val="21"/>
    <w:qFormat/>
    <w:rsid w:val="002027C1"/>
    <w:rPr>
      <w:b/>
      <w:bCs/>
      <w:i/>
      <w:iCs/>
    </w:rPr>
  </w:style>
  <w:style w:type="character" w:customStyle="1" w:styleId="QuoteChar">
    <w:name w:val="Quote Char"/>
    <w:basedOn w:val="DefaultParagraphFont"/>
    <w:link w:val="Quote"/>
    <w:uiPriority w:val="29"/>
    <w:rsid w:val="002027C1"/>
    <w:rPr>
      <w:i/>
      <w:iCs/>
      <w:color w:val="262626"/>
    </w:rPr>
  </w:style>
  <w:style w:type="paragraph" w:customStyle="1" w:styleId="Quote1">
    <w:name w:val="Quote1"/>
    <w:basedOn w:val="Normal"/>
    <w:next w:val="Normal"/>
    <w:uiPriority w:val="29"/>
    <w:qFormat/>
    <w:rsid w:val="002027C1"/>
    <w:pPr>
      <w:spacing w:before="160" w:after="200" w:line="288" w:lineRule="auto"/>
      <w:ind w:left="720" w:right="720"/>
      <w:jc w:val="center"/>
    </w:pPr>
    <w:rPr>
      <w:rFonts w:ascii="Aptos" w:eastAsia="MS Mincho" w:hAnsi="Aptos" w:cs="Arial"/>
      <w:i/>
      <w:iCs/>
      <w:color w:val="262626"/>
      <w:sz w:val="21"/>
      <w:szCs w:val="21"/>
      <w:lang w:eastAsia="ja-JP"/>
    </w:rPr>
  </w:style>
  <w:style w:type="character" w:customStyle="1" w:styleId="QuoteChar1">
    <w:name w:val="Quote Char1"/>
    <w:basedOn w:val="DefaultParagraphFont"/>
    <w:uiPriority w:val="29"/>
    <w:rsid w:val="002027C1"/>
    <w:rPr>
      <w:i/>
      <w:iCs/>
      <w:color w:val="404040"/>
    </w:rPr>
  </w:style>
  <w:style w:type="character" w:customStyle="1" w:styleId="IntenseQuoteChar">
    <w:name w:val="Intense Quote Char"/>
    <w:basedOn w:val="DefaultParagraphFont"/>
    <w:link w:val="IntenseQuote"/>
    <w:uiPriority w:val="30"/>
    <w:rsid w:val="002027C1"/>
    <w:rPr>
      <w:rFonts w:ascii="Aptos Display" w:eastAsia="MS Gothic" w:hAnsi="Aptos Display" w:cs="Times New Roman"/>
      <w:i/>
      <w:iCs/>
      <w:color w:val="4EA72E"/>
      <w:sz w:val="32"/>
      <w:szCs w:val="32"/>
    </w:rPr>
  </w:style>
  <w:style w:type="paragraph" w:customStyle="1" w:styleId="IntenseQuote1">
    <w:name w:val="Intense Quote1"/>
    <w:basedOn w:val="Normal"/>
    <w:next w:val="Normal"/>
    <w:uiPriority w:val="30"/>
    <w:qFormat/>
    <w:rsid w:val="002027C1"/>
    <w:pPr>
      <w:spacing w:before="160" w:after="160" w:line="264" w:lineRule="auto"/>
      <w:ind w:left="720" w:right="720"/>
      <w:jc w:val="center"/>
    </w:pPr>
    <w:rPr>
      <w:rFonts w:ascii="Aptos Display" w:eastAsia="MS Gothic" w:hAnsi="Aptos Display"/>
      <w:i/>
      <w:iCs/>
      <w:color w:val="4EA72E"/>
      <w:sz w:val="32"/>
      <w:szCs w:val="32"/>
      <w:lang w:eastAsia="ja-JP"/>
    </w:rPr>
  </w:style>
  <w:style w:type="character" w:customStyle="1" w:styleId="IntenseQuoteChar1">
    <w:name w:val="Intense Quote Char1"/>
    <w:basedOn w:val="DefaultParagraphFont"/>
    <w:uiPriority w:val="30"/>
    <w:rsid w:val="002027C1"/>
    <w:rPr>
      <w:i/>
      <w:iCs/>
      <w:color w:val="156082"/>
    </w:rPr>
  </w:style>
  <w:style w:type="character" w:customStyle="1" w:styleId="IntenseReference1">
    <w:name w:val="Intense Reference1"/>
    <w:basedOn w:val="DefaultParagraphFont"/>
    <w:uiPriority w:val="32"/>
    <w:qFormat/>
    <w:rsid w:val="002027C1"/>
    <w:rPr>
      <w:b/>
      <w:bCs/>
      <w:smallCaps/>
      <w:color w:val="4EA72E"/>
    </w:rPr>
  </w:style>
  <w:style w:type="character" w:customStyle="1" w:styleId="normaltextrun">
    <w:name w:val="normaltextrun"/>
    <w:basedOn w:val="DefaultParagraphFont"/>
    <w:rsid w:val="002027C1"/>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L Char"/>
    <w:link w:val="ListParagraph"/>
    <w:uiPriority w:val="34"/>
    <w:qFormat/>
    <w:rsid w:val="002027C1"/>
    <w:rPr>
      <w:rFonts w:ascii="Times New Roman" w:hAnsi="Times New Roman" w:cs="Times New Roman"/>
      <w:sz w:val="24"/>
      <w:lang w:val="ro-RO"/>
    </w:rPr>
  </w:style>
  <w:style w:type="paragraph" w:customStyle="1" w:styleId="Default">
    <w:name w:val="Default"/>
    <w:rsid w:val="002027C1"/>
    <w:pPr>
      <w:autoSpaceDE w:val="0"/>
      <w:autoSpaceDN w:val="0"/>
      <w:adjustRightInd w:val="0"/>
      <w:spacing w:after="0" w:line="240" w:lineRule="auto"/>
    </w:pPr>
    <w:rPr>
      <w:rFonts w:ascii="Times New Roman" w:hAnsi="Times New Roman" w:cs="Times New Roman"/>
      <w:color w:val="000000"/>
      <w:sz w:val="21"/>
      <w:szCs w:val="21"/>
    </w:rPr>
  </w:style>
  <w:style w:type="paragraph" w:customStyle="1" w:styleId="Caption1">
    <w:name w:val="Caption1"/>
    <w:basedOn w:val="Normal"/>
    <w:next w:val="Normal"/>
    <w:uiPriority w:val="35"/>
    <w:semiHidden/>
    <w:unhideWhenUsed/>
    <w:qFormat/>
    <w:rsid w:val="002027C1"/>
    <w:pPr>
      <w:spacing w:before="0" w:after="200"/>
      <w:jc w:val="left"/>
    </w:pPr>
    <w:rPr>
      <w:rFonts w:ascii="Aptos" w:eastAsia="MS Mincho" w:hAnsi="Aptos" w:cs="Arial"/>
      <w:b/>
      <w:bCs/>
      <w:smallCaps/>
      <w:color w:val="595959"/>
      <w:sz w:val="21"/>
      <w:szCs w:val="21"/>
      <w:lang w:eastAsia="ja-JP"/>
    </w:rPr>
  </w:style>
  <w:style w:type="character" w:styleId="Strong">
    <w:name w:val="Strong"/>
    <w:basedOn w:val="DefaultParagraphFont"/>
    <w:uiPriority w:val="22"/>
    <w:qFormat/>
    <w:rsid w:val="002027C1"/>
    <w:rPr>
      <w:b/>
      <w:bCs/>
    </w:rPr>
  </w:style>
  <w:style w:type="character" w:customStyle="1" w:styleId="Emphasis1">
    <w:name w:val="Emphasis1"/>
    <w:basedOn w:val="DefaultParagraphFont"/>
    <w:uiPriority w:val="20"/>
    <w:qFormat/>
    <w:rsid w:val="002027C1"/>
    <w:rPr>
      <w:i/>
      <w:iCs/>
      <w:color w:val="4EA72E"/>
    </w:rPr>
  </w:style>
  <w:style w:type="paragraph" w:customStyle="1" w:styleId="NoSpacing2">
    <w:name w:val="No Spacing2"/>
    <w:next w:val="NoSpacing"/>
    <w:uiPriority w:val="1"/>
    <w:qFormat/>
    <w:rsid w:val="002027C1"/>
    <w:pPr>
      <w:spacing w:after="0" w:line="240" w:lineRule="auto"/>
    </w:pPr>
    <w:rPr>
      <w:rFonts w:eastAsia="MS Mincho"/>
      <w:sz w:val="21"/>
      <w:szCs w:val="21"/>
      <w:lang w:eastAsia="ja-JP"/>
    </w:rPr>
  </w:style>
  <w:style w:type="character" w:styleId="SubtleEmphasis">
    <w:name w:val="Subtle Emphasis"/>
    <w:basedOn w:val="DefaultParagraphFont"/>
    <w:uiPriority w:val="19"/>
    <w:qFormat/>
    <w:rsid w:val="002027C1"/>
    <w:rPr>
      <w:i/>
      <w:iCs/>
    </w:rPr>
  </w:style>
  <w:style w:type="character" w:customStyle="1" w:styleId="SubtleReference1">
    <w:name w:val="Subtle Reference1"/>
    <w:basedOn w:val="DefaultParagraphFont"/>
    <w:uiPriority w:val="31"/>
    <w:qFormat/>
    <w:rsid w:val="002027C1"/>
    <w:rPr>
      <w:smallCaps/>
      <w:color w:val="595959"/>
    </w:rPr>
  </w:style>
  <w:style w:type="character" w:styleId="BookTitle">
    <w:name w:val="Book Title"/>
    <w:basedOn w:val="DefaultParagraphFont"/>
    <w:uiPriority w:val="33"/>
    <w:qFormat/>
    <w:rsid w:val="002027C1"/>
    <w:rPr>
      <w:b/>
      <w:bCs/>
      <w:caps w:val="0"/>
      <w:smallCaps/>
      <w:spacing w:val="7"/>
      <w:sz w:val="21"/>
      <w:szCs w:val="21"/>
    </w:rPr>
  </w:style>
  <w:style w:type="character" w:customStyle="1" w:styleId="FollowedHyperlink1">
    <w:name w:val="FollowedHyperlink1"/>
    <w:basedOn w:val="DefaultParagraphFont"/>
    <w:uiPriority w:val="99"/>
    <w:semiHidden/>
    <w:unhideWhenUsed/>
    <w:rsid w:val="002027C1"/>
    <w:rPr>
      <w:color w:val="96607D"/>
      <w:u w:val="single"/>
    </w:rPr>
  </w:style>
  <w:style w:type="character" w:customStyle="1" w:styleId="Heading8Char1">
    <w:name w:val="Heading 8 Char1"/>
    <w:basedOn w:val="DefaultParagraphFont"/>
    <w:uiPriority w:val="9"/>
    <w:semiHidden/>
    <w:rsid w:val="002027C1"/>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sid w:val="002027C1"/>
    <w:rPr>
      <w:rFonts w:asciiTheme="majorHAnsi" w:eastAsiaTheme="majorEastAsia" w:hAnsiTheme="majorHAnsi" w:cstheme="majorBidi"/>
      <w:i/>
      <w:iCs/>
      <w:color w:val="272727" w:themeColor="text1" w:themeTint="D8"/>
      <w:sz w:val="21"/>
      <w:szCs w:val="21"/>
      <w:lang w:val="ro-RO"/>
    </w:rPr>
  </w:style>
  <w:style w:type="paragraph" w:styleId="Title">
    <w:name w:val="Title"/>
    <w:basedOn w:val="Normal"/>
    <w:next w:val="Normal"/>
    <w:link w:val="TitleChar"/>
    <w:uiPriority w:val="10"/>
    <w:qFormat/>
    <w:rsid w:val="002027C1"/>
    <w:pPr>
      <w:spacing w:before="0" w:after="0"/>
      <w:contextualSpacing/>
    </w:pPr>
    <w:rPr>
      <w:rFonts w:ascii="Aptos Display" w:eastAsia="MS Gothic" w:hAnsi="Aptos Display"/>
      <w:color w:val="262626"/>
      <w:spacing w:val="-15"/>
      <w:sz w:val="96"/>
      <w:szCs w:val="96"/>
    </w:rPr>
  </w:style>
  <w:style w:type="character" w:customStyle="1" w:styleId="TitleChar2">
    <w:name w:val="Title Char2"/>
    <w:basedOn w:val="DefaultParagraphFont"/>
    <w:uiPriority w:val="10"/>
    <w:rsid w:val="002027C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027C1"/>
    <w:pPr>
      <w:numPr>
        <w:ilvl w:val="1"/>
      </w:numPr>
      <w:spacing w:after="160"/>
    </w:pPr>
    <w:rPr>
      <w:rFonts w:ascii="Aptos Display" w:eastAsia="MS Gothic" w:hAnsi="Aptos Display"/>
      <w:sz w:val="30"/>
      <w:szCs w:val="30"/>
    </w:rPr>
  </w:style>
  <w:style w:type="character" w:customStyle="1" w:styleId="SubtitleChar2">
    <w:name w:val="Subtitle Char2"/>
    <w:basedOn w:val="DefaultParagraphFont"/>
    <w:uiPriority w:val="11"/>
    <w:rsid w:val="002027C1"/>
    <w:rPr>
      <w:rFonts w:eastAsiaTheme="minorEastAsia"/>
      <w:color w:val="5A5A5A" w:themeColor="text1" w:themeTint="A5"/>
      <w:spacing w:val="15"/>
      <w:lang w:val="ro-RO"/>
    </w:rPr>
  </w:style>
  <w:style w:type="paragraph" w:styleId="Quote">
    <w:name w:val="Quote"/>
    <w:basedOn w:val="Normal"/>
    <w:next w:val="Normal"/>
    <w:link w:val="QuoteChar"/>
    <w:uiPriority w:val="29"/>
    <w:qFormat/>
    <w:rsid w:val="002027C1"/>
    <w:pPr>
      <w:spacing w:before="200" w:after="160"/>
      <w:ind w:left="864" w:right="864"/>
      <w:jc w:val="center"/>
    </w:pPr>
    <w:rPr>
      <w:rFonts w:asciiTheme="minorHAnsi" w:hAnsiTheme="minorHAnsi" w:cstheme="minorBidi"/>
      <w:i/>
      <w:iCs/>
      <w:color w:val="262626"/>
      <w:sz w:val="22"/>
    </w:rPr>
  </w:style>
  <w:style w:type="character" w:customStyle="1" w:styleId="QuoteChar2">
    <w:name w:val="Quote Char2"/>
    <w:basedOn w:val="DefaultParagraphFont"/>
    <w:uiPriority w:val="29"/>
    <w:rsid w:val="002027C1"/>
    <w:rPr>
      <w:rFonts w:ascii="Times New Roman" w:hAnsi="Times New Roman" w:cs="Times New Roman"/>
      <w:i/>
      <w:iCs/>
      <w:color w:val="404040" w:themeColor="text1" w:themeTint="BF"/>
      <w:sz w:val="24"/>
      <w:lang w:val="ro-RO"/>
    </w:rPr>
  </w:style>
  <w:style w:type="paragraph" w:styleId="IntenseQuote">
    <w:name w:val="Intense Quote"/>
    <w:basedOn w:val="Normal"/>
    <w:next w:val="Normal"/>
    <w:link w:val="IntenseQuoteChar"/>
    <w:uiPriority w:val="30"/>
    <w:qFormat/>
    <w:rsid w:val="002027C1"/>
    <w:pPr>
      <w:pBdr>
        <w:top w:val="single" w:sz="4" w:space="10" w:color="4F81BD" w:themeColor="accent1"/>
        <w:bottom w:val="single" w:sz="4" w:space="10" w:color="4F81BD" w:themeColor="accent1"/>
      </w:pBdr>
      <w:spacing w:before="360" w:after="360"/>
      <w:ind w:left="864" w:right="864"/>
      <w:jc w:val="center"/>
    </w:pPr>
    <w:rPr>
      <w:rFonts w:ascii="Aptos Display" w:eastAsia="MS Gothic" w:hAnsi="Aptos Display"/>
      <w:i/>
      <w:iCs/>
      <w:color w:val="4EA72E"/>
      <w:sz w:val="32"/>
      <w:szCs w:val="32"/>
    </w:rPr>
  </w:style>
  <w:style w:type="character" w:customStyle="1" w:styleId="IntenseQuoteChar2">
    <w:name w:val="Intense Quote Char2"/>
    <w:basedOn w:val="DefaultParagraphFont"/>
    <w:uiPriority w:val="30"/>
    <w:rsid w:val="002027C1"/>
    <w:rPr>
      <w:rFonts w:ascii="Times New Roman" w:hAnsi="Times New Roman" w:cs="Times New Roman"/>
      <w:i/>
      <w:iCs/>
      <w:color w:val="4F81BD" w:themeColor="accent1"/>
      <w:sz w:val="24"/>
      <w:lang w:val="ro-RO"/>
    </w:rPr>
  </w:style>
  <w:style w:type="character" w:styleId="IntenseReference">
    <w:name w:val="Intense Reference"/>
    <w:basedOn w:val="DefaultParagraphFont"/>
    <w:uiPriority w:val="32"/>
    <w:qFormat/>
    <w:rsid w:val="002027C1"/>
    <w:rPr>
      <w:b/>
      <w:bCs/>
      <w:smallCaps/>
      <w:color w:val="4F81BD" w:themeColor="accent1"/>
      <w:spacing w:val="5"/>
    </w:rPr>
  </w:style>
  <w:style w:type="character" w:styleId="Emphasis">
    <w:name w:val="Emphasis"/>
    <w:basedOn w:val="DefaultParagraphFont"/>
    <w:uiPriority w:val="20"/>
    <w:qFormat/>
    <w:rsid w:val="002027C1"/>
    <w:rPr>
      <w:i/>
      <w:iCs/>
    </w:rPr>
  </w:style>
  <w:style w:type="paragraph" w:styleId="NoSpacing">
    <w:name w:val="No Spacing"/>
    <w:uiPriority w:val="1"/>
    <w:qFormat/>
    <w:rsid w:val="002027C1"/>
    <w:pPr>
      <w:spacing w:after="0" w:line="240" w:lineRule="auto"/>
      <w:jc w:val="both"/>
    </w:pPr>
    <w:rPr>
      <w:rFonts w:ascii="Times New Roman" w:hAnsi="Times New Roman" w:cs="Times New Roman"/>
      <w:sz w:val="24"/>
    </w:rPr>
  </w:style>
  <w:style w:type="character" w:styleId="SubtleReference">
    <w:name w:val="Subtle Reference"/>
    <w:basedOn w:val="DefaultParagraphFont"/>
    <w:uiPriority w:val="31"/>
    <w:qFormat/>
    <w:rsid w:val="002027C1"/>
    <w:rPr>
      <w:smallCaps/>
      <w:color w:val="5A5A5A" w:themeColor="text1" w:themeTint="A5"/>
    </w:rPr>
  </w:style>
  <w:style w:type="character" w:styleId="FollowedHyperlink">
    <w:name w:val="FollowedHyperlink"/>
    <w:basedOn w:val="DefaultParagraphFont"/>
    <w:uiPriority w:val="99"/>
    <w:semiHidden/>
    <w:unhideWhenUsed/>
    <w:rsid w:val="002027C1"/>
    <w:rPr>
      <w:color w:val="800080" w:themeColor="followedHyperlink"/>
      <w:u w:val="single"/>
    </w:rPr>
  </w:style>
  <w:style w:type="character" w:customStyle="1" w:styleId="Mention">
    <w:name w:val="Mention"/>
    <w:basedOn w:val="DefaultParagraphFont"/>
    <w:uiPriority w:val="99"/>
    <w:unhideWhenUsed/>
    <w:rsid w:val="00275530"/>
    <w:rPr>
      <w:color w:val="2B579A"/>
      <w:shd w:val="clear" w:color="auto" w:fill="E1DFDD"/>
    </w:rPr>
  </w:style>
  <w:style w:type="paragraph" w:styleId="ListBullet">
    <w:name w:val="List Bullet"/>
    <w:basedOn w:val="Normal"/>
    <w:uiPriority w:val="99"/>
    <w:semiHidden/>
    <w:unhideWhenUsed/>
    <w:rsid w:val="0085115A"/>
    <w:pPr>
      <w:numPr>
        <w:numId w:val="1"/>
      </w:numPr>
      <w:contextualSpacing/>
    </w:pPr>
  </w:style>
  <w:style w:type="paragraph" w:styleId="ListBullet2">
    <w:name w:val="List Bullet 2"/>
    <w:basedOn w:val="Normal"/>
    <w:uiPriority w:val="99"/>
    <w:semiHidden/>
    <w:unhideWhenUsed/>
    <w:rsid w:val="0085115A"/>
    <w:pPr>
      <w:numPr>
        <w:numId w:val="2"/>
      </w:numPr>
      <w:contextualSpacing/>
    </w:pPr>
  </w:style>
  <w:style w:type="paragraph" w:styleId="ListBullet3">
    <w:name w:val="List Bullet 3"/>
    <w:basedOn w:val="Normal"/>
    <w:uiPriority w:val="99"/>
    <w:semiHidden/>
    <w:unhideWhenUsed/>
    <w:rsid w:val="0085115A"/>
    <w:pPr>
      <w:numPr>
        <w:numId w:val="3"/>
      </w:numPr>
      <w:contextualSpacing/>
    </w:pPr>
  </w:style>
  <w:style w:type="paragraph" w:styleId="ListBullet4">
    <w:name w:val="List Bullet 4"/>
    <w:basedOn w:val="Normal"/>
    <w:uiPriority w:val="99"/>
    <w:semiHidden/>
    <w:unhideWhenUsed/>
    <w:rsid w:val="0085115A"/>
    <w:pPr>
      <w:numPr>
        <w:numId w:val="4"/>
      </w:numPr>
      <w:contextualSpacing/>
    </w:pPr>
  </w:style>
  <w:style w:type="paragraph" w:customStyle="1" w:styleId="Number">
    <w:name w:val="Number"/>
    <w:basedOn w:val="Text1"/>
    <w:rsid w:val="0070493D"/>
  </w:style>
  <w:style w:type="character" w:customStyle="1" w:styleId="HeaderChar">
    <w:name w:val="Header Char"/>
    <w:basedOn w:val="DefaultParagraphFont"/>
    <w:link w:val="Header"/>
    <w:uiPriority w:val="99"/>
    <w:rsid w:val="002E2671"/>
    <w:rPr>
      <w:rFonts w:ascii="Times New Roman" w:hAnsi="Times New Roman" w:cs="Times New Roman"/>
      <w:sz w:val="24"/>
      <w:lang w:val="ro-RO"/>
    </w:rPr>
  </w:style>
  <w:style w:type="character" w:customStyle="1" w:styleId="FooterChar">
    <w:name w:val="Footer Char"/>
    <w:basedOn w:val="DefaultParagraphFont"/>
    <w:link w:val="Footer"/>
    <w:uiPriority w:val="99"/>
    <w:rsid w:val="002E267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E267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E2671"/>
    <w:pPr>
      <w:spacing w:before="0"/>
      <w:jc w:val="right"/>
    </w:pPr>
    <w:rPr>
      <w:sz w:val="28"/>
    </w:rPr>
  </w:style>
  <w:style w:type="paragraph" w:customStyle="1" w:styleId="FooterSensitivity">
    <w:name w:val="Footer Sensitivity"/>
    <w:basedOn w:val="Normal"/>
    <w:rsid w:val="002E267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2E2671"/>
    <w:pPr>
      <w:tabs>
        <w:tab w:val="center" w:pos="4535"/>
        <w:tab w:val="right" w:pos="9071"/>
      </w:tabs>
      <w:spacing w:before="0"/>
    </w:pPr>
  </w:style>
  <w:style w:type="paragraph" w:customStyle="1" w:styleId="HeaderLandscape">
    <w:name w:val="HeaderLandscape"/>
    <w:basedOn w:val="Normal"/>
    <w:rsid w:val="002E2671"/>
    <w:pPr>
      <w:tabs>
        <w:tab w:val="center" w:pos="7285"/>
        <w:tab w:val="right" w:pos="14003"/>
      </w:tabs>
      <w:spacing w:before="0"/>
    </w:pPr>
  </w:style>
  <w:style w:type="paragraph" w:styleId="Footer">
    <w:name w:val="footer"/>
    <w:basedOn w:val="Normal"/>
    <w:link w:val="FooterChar"/>
    <w:uiPriority w:val="99"/>
    <w:unhideWhenUsed/>
    <w:rsid w:val="002E267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E267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90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opean-research-area.ec.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5" ma:contentTypeDescription="Create a new document." ma:contentTypeScope="" ma:versionID="4bc7655b2ddf579842fe701bd04ba5b6">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0b539bb56bdd935c21614781d95ede6f"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sponsiblecolleague" ma:index="21" nillable="true" ma:displayName="Responsible colleague" ma:format="Dropdown" ma:internalName="Responsiblecolleag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2cc50a-6100-433c-9888-46e6873f3252" xsi:nil="true"/>
    <lcf76f155ced4ddcb4097134ff3c332f xmlns="ca8317cf-74c1-4891-b748-a60e5112f8b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28D117DBB2F44FA1D2A1966638EA6B" ma:contentTypeVersion="17" ma:contentTypeDescription="Crée un document." ma:contentTypeScope="" ma:versionID="2758c822d6c5f0b25067fc435ee59dd7">
  <xsd:schema xmlns:xsd="http://www.w3.org/2001/XMLSchema" xmlns:xs="http://www.w3.org/2001/XMLSchema" xmlns:p="http://schemas.microsoft.com/office/2006/metadata/properties" xmlns:ns2="ca8317cf-74c1-4891-b748-a60e5112f8b7" xmlns:ns3="e12cc50a-6100-433c-9888-46e6873f3252" targetNamespace="http://schemas.microsoft.com/office/2006/metadata/properties" ma:root="true" ma:fieldsID="94fda8c229d3fcf268f19715982dbf05" ns2:_="" ns3:_="">
    <xsd:import namespace="ca8317cf-74c1-4891-b748-a60e5112f8b7"/>
    <xsd:import namespace="e12cc50a-6100-433c-9888-46e6873f32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317cf-74c1-4891-b748-a60e5112f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2cc50a-6100-433c-9888-46e6873f3252"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2b4c37c-5108-448d-868e-0dc9e94fed25}" ma:internalName="TaxCatchAll" ma:showField="CatchAllData" ma:web="e12cc50a-6100-433c-9888-46e6873f3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53546-0F6A-45E5-9F43-500D4C4DFAE5}">
  <ds:schemaRefs>
    <ds:schemaRef ds:uri="http://schemas.microsoft.com/sharepoint/v3/contenttype/forms"/>
  </ds:schemaRefs>
</ds:datastoreItem>
</file>

<file path=customXml/itemProps2.xml><?xml version="1.0" encoding="utf-8"?>
<ds:datastoreItem xmlns:ds="http://schemas.openxmlformats.org/officeDocument/2006/customXml" ds:itemID="{3AB07451-E09A-4B81-92A6-4BCDEF4F3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102EA2-03ED-4B35-90FB-6C46E7BF780E}">
  <ds:schemaRefs>
    <ds:schemaRef ds:uri="http://schemas.microsoft.com/office/2006/metadata/properties"/>
    <ds:schemaRef ds:uri="http://schemas.microsoft.com/office/infopath/2007/PartnerControls"/>
    <ds:schemaRef ds:uri="e12cc50a-6100-433c-9888-46e6873f3252"/>
    <ds:schemaRef ds:uri="ca8317cf-74c1-4891-b748-a60e5112f8b7"/>
  </ds:schemaRefs>
</ds:datastoreItem>
</file>

<file path=customXml/itemProps4.xml><?xml version="1.0" encoding="utf-8"?>
<ds:datastoreItem xmlns:ds="http://schemas.openxmlformats.org/officeDocument/2006/customXml" ds:itemID="{537C064C-3366-4EAB-A60E-4FD68F1B9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317cf-74c1-4891-b748-a60e5112f8b7"/>
    <ds:schemaRef ds:uri="e12cc50a-6100-433c-9888-46e6873f3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712F48-ACCD-4CFD-9956-B6E25A5F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13</Pages>
  <Words>4814</Words>
  <Characters>27442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32192</CharactersWithSpaces>
  <SharedDoc>false</SharedDoc>
  <HLinks>
    <vt:vector size="120" baseType="variant">
      <vt:variant>
        <vt:i4>1966128</vt:i4>
      </vt:variant>
      <vt:variant>
        <vt:i4>54</vt:i4>
      </vt:variant>
      <vt:variant>
        <vt:i4>0</vt:i4>
      </vt:variant>
      <vt:variant>
        <vt:i4>5</vt:i4>
      </vt:variant>
      <vt:variant>
        <vt:lpwstr/>
      </vt:variant>
      <vt:variant>
        <vt:lpwstr>_Toc187262019</vt:lpwstr>
      </vt:variant>
      <vt:variant>
        <vt:i4>1966128</vt:i4>
      </vt:variant>
      <vt:variant>
        <vt:i4>51</vt:i4>
      </vt:variant>
      <vt:variant>
        <vt:i4>0</vt:i4>
      </vt:variant>
      <vt:variant>
        <vt:i4>5</vt:i4>
      </vt:variant>
      <vt:variant>
        <vt:lpwstr/>
      </vt:variant>
      <vt:variant>
        <vt:lpwstr>_Toc187262018</vt:lpwstr>
      </vt:variant>
      <vt:variant>
        <vt:i4>1966128</vt:i4>
      </vt:variant>
      <vt:variant>
        <vt:i4>48</vt:i4>
      </vt:variant>
      <vt:variant>
        <vt:i4>0</vt:i4>
      </vt:variant>
      <vt:variant>
        <vt:i4>5</vt:i4>
      </vt:variant>
      <vt:variant>
        <vt:lpwstr/>
      </vt:variant>
      <vt:variant>
        <vt:lpwstr>_Toc187262017</vt:lpwstr>
      </vt:variant>
      <vt:variant>
        <vt:i4>1966128</vt:i4>
      </vt:variant>
      <vt:variant>
        <vt:i4>45</vt:i4>
      </vt:variant>
      <vt:variant>
        <vt:i4>0</vt:i4>
      </vt:variant>
      <vt:variant>
        <vt:i4>5</vt:i4>
      </vt:variant>
      <vt:variant>
        <vt:lpwstr/>
      </vt:variant>
      <vt:variant>
        <vt:lpwstr>_Toc187262016</vt:lpwstr>
      </vt:variant>
      <vt:variant>
        <vt:i4>1966128</vt:i4>
      </vt:variant>
      <vt:variant>
        <vt:i4>42</vt:i4>
      </vt:variant>
      <vt:variant>
        <vt:i4>0</vt:i4>
      </vt:variant>
      <vt:variant>
        <vt:i4>5</vt:i4>
      </vt:variant>
      <vt:variant>
        <vt:lpwstr/>
      </vt:variant>
      <vt:variant>
        <vt:lpwstr>_Toc187262015</vt:lpwstr>
      </vt:variant>
      <vt:variant>
        <vt:i4>1966128</vt:i4>
      </vt:variant>
      <vt:variant>
        <vt:i4>39</vt:i4>
      </vt:variant>
      <vt:variant>
        <vt:i4>0</vt:i4>
      </vt:variant>
      <vt:variant>
        <vt:i4>5</vt:i4>
      </vt:variant>
      <vt:variant>
        <vt:lpwstr/>
      </vt:variant>
      <vt:variant>
        <vt:lpwstr>_Toc187262014</vt:lpwstr>
      </vt:variant>
      <vt:variant>
        <vt:i4>1966128</vt:i4>
      </vt:variant>
      <vt:variant>
        <vt:i4>36</vt:i4>
      </vt:variant>
      <vt:variant>
        <vt:i4>0</vt:i4>
      </vt:variant>
      <vt:variant>
        <vt:i4>5</vt:i4>
      </vt:variant>
      <vt:variant>
        <vt:lpwstr/>
      </vt:variant>
      <vt:variant>
        <vt:lpwstr>_Toc187262013</vt:lpwstr>
      </vt:variant>
      <vt:variant>
        <vt:i4>1966128</vt:i4>
      </vt:variant>
      <vt:variant>
        <vt:i4>33</vt:i4>
      </vt:variant>
      <vt:variant>
        <vt:i4>0</vt:i4>
      </vt:variant>
      <vt:variant>
        <vt:i4>5</vt:i4>
      </vt:variant>
      <vt:variant>
        <vt:lpwstr/>
      </vt:variant>
      <vt:variant>
        <vt:lpwstr>_Toc187262012</vt:lpwstr>
      </vt:variant>
      <vt:variant>
        <vt:i4>1966128</vt:i4>
      </vt:variant>
      <vt:variant>
        <vt:i4>30</vt:i4>
      </vt:variant>
      <vt:variant>
        <vt:i4>0</vt:i4>
      </vt:variant>
      <vt:variant>
        <vt:i4>5</vt:i4>
      </vt:variant>
      <vt:variant>
        <vt:lpwstr/>
      </vt:variant>
      <vt:variant>
        <vt:lpwstr>_Toc187262011</vt:lpwstr>
      </vt:variant>
      <vt:variant>
        <vt:i4>1966128</vt:i4>
      </vt:variant>
      <vt:variant>
        <vt:i4>27</vt:i4>
      </vt:variant>
      <vt:variant>
        <vt:i4>0</vt:i4>
      </vt:variant>
      <vt:variant>
        <vt:i4>5</vt:i4>
      </vt:variant>
      <vt:variant>
        <vt:lpwstr/>
      </vt:variant>
      <vt:variant>
        <vt:lpwstr>_Toc187262010</vt:lpwstr>
      </vt:variant>
      <vt:variant>
        <vt:i4>2031664</vt:i4>
      </vt:variant>
      <vt:variant>
        <vt:i4>24</vt:i4>
      </vt:variant>
      <vt:variant>
        <vt:i4>0</vt:i4>
      </vt:variant>
      <vt:variant>
        <vt:i4>5</vt:i4>
      </vt:variant>
      <vt:variant>
        <vt:lpwstr/>
      </vt:variant>
      <vt:variant>
        <vt:lpwstr>_Toc187262009</vt:lpwstr>
      </vt:variant>
      <vt:variant>
        <vt:i4>2031664</vt:i4>
      </vt:variant>
      <vt:variant>
        <vt:i4>21</vt:i4>
      </vt:variant>
      <vt:variant>
        <vt:i4>0</vt:i4>
      </vt:variant>
      <vt:variant>
        <vt:i4>5</vt:i4>
      </vt:variant>
      <vt:variant>
        <vt:lpwstr/>
      </vt:variant>
      <vt:variant>
        <vt:lpwstr>_Toc187262008</vt:lpwstr>
      </vt:variant>
      <vt:variant>
        <vt:i4>2031664</vt:i4>
      </vt:variant>
      <vt:variant>
        <vt:i4>18</vt:i4>
      </vt:variant>
      <vt:variant>
        <vt:i4>0</vt:i4>
      </vt:variant>
      <vt:variant>
        <vt:i4>5</vt:i4>
      </vt:variant>
      <vt:variant>
        <vt:lpwstr/>
      </vt:variant>
      <vt:variant>
        <vt:lpwstr>_Toc187262007</vt:lpwstr>
      </vt:variant>
      <vt:variant>
        <vt:i4>2031664</vt:i4>
      </vt:variant>
      <vt:variant>
        <vt:i4>15</vt:i4>
      </vt:variant>
      <vt:variant>
        <vt:i4>0</vt:i4>
      </vt:variant>
      <vt:variant>
        <vt:i4>5</vt:i4>
      </vt:variant>
      <vt:variant>
        <vt:lpwstr/>
      </vt:variant>
      <vt:variant>
        <vt:lpwstr>_Toc187262006</vt:lpwstr>
      </vt:variant>
      <vt:variant>
        <vt:i4>2031664</vt:i4>
      </vt:variant>
      <vt:variant>
        <vt:i4>12</vt:i4>
      </vt:variant>
      <vt:variant>
        <vt:i4>0</vt:i4>
      </vt:variant>
      <vt:variant>
        <vt:i4>5</vt:i4>
      </vt:variant>
      <vt:variant>
        <vt:lpwstr/>
      </vt:variant>
      <vt:variant>
        <vt:lpwstr>_Toc187262005</vt:lpwstr>
      </vt:variant>
      <vt:variant>
        <vt:i4>2031664</vt:i4>
      </vt:variant>
      <vt:variant>
        <vt:i4>9</vt:i4>
      </vt:variant>
      <vt:variant>
        <vt:i4>0</vt:i4>
      </vt:variant>
      <vt:variant>
        <vt:i4>5</vt:i4>
      </vt:variant>
      <vt:variant>
        <vt:lpwstr/>
      </vt:variant>
      <vt:variant>
        <vt:lpwstr>_Toc187262004</vt:lpwstr>
      </vt:variant>
      <vt:variant>
        <vt:i4>2031664</vt:i4>
      </vt:variant>
      <vt:variant>
        <vt:i4>6</vt:i4>
      </vt:variant>
      <vt:variant>
        <vt:i4>0</vt:i4>
      </vt:variant>
      <vt:variant>
        <vt:i4>5</vt:i4>
      </vt:variant>
      <vt:variant>
        <vt:lpwstr/>
      </vt:variant>
      <vt:variant>
        <vt:lpwstr>_Toc187262003</vt:lpwstr>
      </vt:variant>
      <vt:variant>
        <vt:i4>2031664</vt:i4>
      </vt:variant>
      <vt:variant>
        <vt:i4>3</vt:i4>
      </vt:variant>
      <vt:variant>
        <vt:i4>0</vt:i4>
      </vt:variant>
      <vt:variant>
        <vt:i4>5</vt:i4>
      </vt:variant>
      <vt:variant>
        <vt:lpwstr/>
      </vt:variant>
      <vt:variant>
        <vt:lpwstr>_Toc187262002</vt:lpwstr>
      </vt:variant>
      <vt:variant>
        <vt:i4>2031664</vt:i4>
      </vt:variant>
      <vt:variant>
        <vt:i4>0</vt:i4>
      </vt:variant>
      <vt:variant>
        <vt:i4>0</vt:i4>
      </vt:variant>
      <vt:variant>
        <vt:i4>5</vt:i4>
      </vt:variant>
      <vt:variant>
        <vt:lpwstr/>
      </vt:variant>
      <vt:variant>
        <vt:lpwstr>_Toc187262001</vt:lpwstr>
      </vt:variant>
      <vt:variant>
        <vt:i4>4653060</vt:i4>
      </vt:variant>
      <vt:variant>
        <vt:i4>0</vt:i4>
      </vt:variant>
      <vt:variant>
        <vt:i4>0</vt:i4>
      </vt:variant>
      <vt:variant>
        <vt:i4>5</vt:i4>
      </vt:variant>
      <vt:variant>
        <vt:lpwstr>https://european-research-area.ec.europa.eu/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2025-02-20T12:28:00Z</dcterms:created>
  <dcterms:modified xsi:type="dcterms:W3CDTF">2025-03-25T13:46:00Z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2024-10-21T08:34:33Z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965fdc0f-07ab-47e0-8bba-fc2c60030a23</vt:lpwstr>
  </property>
  <property fmtid="{D5CDD505-2E9C-101B-9397-08002B2CF9AE}" pid="16" name="MSIP_Label_6bd9ddd1-4d20-43f6-abfa-fc3c07406f94_ContentBits">
    <vt:lpwstr>0</vt:lpwstr>
  </property>
  <property fmtid="{D5CDD505-2E9C-101B-9397-08002B2CF9AE}" pid="17" name="ContentTypeId">
    <vt:lpwstr>0x010100F628D117DBB2F44FA1D2A1966638EA6B</vt:lpwstr>
  </property>
  <property fmtid="{D5CDD505-2E9C-101B-9397-08002B2CF9AE}" pid="18" name="MediaServiceImageTags">
    <vt:lpwstr/>
  </property>
  <property fmtid="{D5CDD505-2E9C-101B-9397-08002B2CF9AE}" pid="19" name="DQCStatus">
    <vt:lpwstr>Green (DQC version 03)</vt:lpwstr>
  </property>
</Properties>
</file>