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5867F" w14:textId="4ECDA206" w:rsidR="002F2AEF" w:rsidRPr="0075035A" w:rsidRDefault="00696088" w:rsidP="00696088">
      <w:pPr>
        <w:pStyle w:val="Pagedecouverture"/>
        <w:rPr>
          <w:noProof/>
        </w:rPr>
      </w:pPr>
      <w:bookmarkStart w:id="0" w:name="LW_BM_COVERPAGE"/>
      <w:r>
        <w:rPr>
          <w:noProof/>
        </w:rPr>
        <w:pict w14:anchorId="20202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FAC4F4C-ECEE-46F5-9786-32D4DAA5308D" style="width:455.25pt;height:286.5pt">
            <v:imagedata r:id="rId8" o:title=""/>
          </v:shape>
        </w:pict>
      </w:r>
    </w:p>
    <w:bookmarkEnd w:id="0"/>
    <w:p w14:paraId="612591B1" w14:textId="3465463A" w:rsidR="00B40C65" w:rsidRPr="0075035A" w:rsidRDefault="00B40C65" w:rsidP="00B40C65">
      <w:pPr>
        <w:pStyle w:val="Pagedecouverture"/>
        <w:rPr>
          <w:noProof/>
        </w:rPr>
        <w:sectPr w:rsidR="00B40C65" w:rsidRPr="0075035A" w:rsidSect="0069608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9532E1B" w14:textId="7EC2C0DB" w:rsidR="005A63C8" w:rsidRPr="0075035A" w:rsidRDefault="5C985920" w:rsidP="00541FED">
      <w:pPr>
        <w:pStyle w:val="Heading1"/>
        <w:rPr>
          <w:rFonts w:eastAsiaTheme="minorEastAsia"/>
          <w:smallCaps w:val="0"/>
          <w:noProof/>
        </w:rPr>
      </w:pPr>
      <w:bookmarkStart w:id="1" w:name="_Toc209853373"/>
      <w:bookmarkStart w:id="2" w:name="_Toc212204018"/>
      <w:bookmarkStart w:id="3" w:name="_Toc801231580"/>
      <w:bookmarkStart w:id="4" w:name="_Toc984067264"/>
      <w:bookmarkStart w:id="5" w:name="_GoBack"/>
      <w:bookmarkEnd w:id="5"/>
      <w:r>
        <w:rPr>
          <w:smallCaps w:val="0"/>
          <w:noProof/>
        </w:rPr>
        <w:lastRenderedPageBreak/>
        <w:t>INTRODUCTION</w:t>
      </w:r>
      <w:bookmarkEnd w:id="1"/>
      <w:bookmarkEnd w:id="2"/>
      <w:bookmarkEnd w:id="3"/>
      <w:bookmarkEnd w:id="4"/>
    </w:p>
    <w:p w14:paraId="7E6E407D" w14:textId="7D0FFD00" w:rsidR="005619CC" w:rsidRPr="0075035A" w:rsidRDefault="244072C6" w:rsidP="000E6590">
      <w:pPr>
        <w:spacing w:after="120" w:line="240" w:lineRule="auto"/>
        <w:jc w:val="both"/>
        <w:rPr>
          <w:rFonts w:eastAsia="Times New Roman" w:cs="Times New Roman"/>
          <w:noProof/>
        </w:rPr>
      </w:pPr>
      <w:r>
        <w:rPr>
          <w:noProof/>
        </w:rPr>
        <w:t>L’Europe est en proie à des problèmes d’ordre sécuritaire, sanitaire et social liés au trafic et à la consommation de drogues illicites, lesquels menacent fortement la sûreté et la sécurité de nos villes, villages et populations locales. La croissance, la sophistication et la violence des marchés de la drogue contribuent à accroître la criminalité, la dépendance, les surdoses, la propagation de maladies infectieuses</w:t>
      </w:r>
      <w:r>
        <w:rPr>
          <w:rStyle w:val="FootnoteReference0"/>
          <w:rFonts w:eastAsia="Times New Roman" w:cs="Times New Roman"/>
          <w:noProof/>
          <w:lang w:eastAsia="en-GB"/>
        </w:rPr>
        <w:footnoteReference w:id="2"/>
      </w:r>
      <w:r>
        <w:rPr>
          <w:noProof/>
        </w:rPr>
        <w:t xml:space="preserve"> et la dégradation de l’environnement, qui déstabilisent les communautés</w:t>
      </w:r>
      <w:r>
        <w:rPr>
          <w:rStyle w:val="FootnoteReference0"/>
          <w:rFonts w:eastAsia="Times New Roman" w:cs="Times New Roman"/>
          <w:noProof/>
          <w:lang w:eastAsia="en-GB"/>
        </w:rPr>
        <w:footnoteReference w:id="3"/>
      </w:r>
      <w:r>
        <w:rPr>
          <w:noProof/>
        </w:rPr>
        <w:t xml:space="preserve"> et mettent à rude épreuve les ressources publiques. </w:t>
      </w:r>
    </w:p>
    <w:p w14:paraId="20B9C7BE" w14:textId="0CD86CE7" w:rsidR="00541FED" w:rsidRPr="0075035A" w:rsidRDefault="77219797" w:rsidP="00541FED">
      <w:pPr>
        <w:spacing w:after="120" w:line="240" w:lineRule="auto"/>
        <w:jc w:val="both"/>
        <w:rPr>
          <w:rFonts w:eastAsia="Times New Roman" w:cs="Times New Roman"/>
          <w:noProof/>
        </w:rPr>
      </w:pPr>
      <w:r>
        <w:rPr>
          <w:noProof/>
        </w:rPr>
        <w:t xml:space="preserve">La production, le trafic et la distribution de drogues illicites sont des </w:t>
      </w:r>
      <w:r>
        <w:rPr>
          <w:b/>
          <w:noProof/>
        </w:rPr>
        <w:t>activités criminelles en pleine croissance et évolution, d’ampleur mondiale</w:t>
      </w:r>
      <w:r>
        <w:rPr>
          <w:noProof/>
        </w:rPr>
        <w:t>. Dans l’UE, la moitié des réseaux criminels les plus dangereux se livrent au trafic de drogue et plus des deux tiers ont recours à la violence</w:t>
      </w:r>
      <w:r>
        <w:rPr>
          <w:rStyle w:val="FootnoteReference0"/>
          <w:rFonts w:eastAsia="Times New Roman" w:cs="Times New Roman"/>
          <w:noProof/>
          <w:lang w:eastAsia="en-GB"/>
        </w:rPr>
        <w:footnoteReference w:id="4"/>
      </w:r>
      <w:r>
        <w:rPr>
          <w:noProof/>
        </w:rPr>
        <w:t xml:space="preserve">. </w:t>
      </w:r>
      <w:r>
        <w:rPr>
          <w:b/>
          <w:noProof/>
        </w:rPr>
        <w:t>Les flux de cocaïne à destination des ports européens</w:t>
      </w:r>
      <w:r>
        <w:rPr>
          <w:noProof/>
        </w:rPr>
        <w:t>, soit en provenance directe d’Amérique latine, soit via l’Afrique de l’Ouest, ont augmenté de façon spectaculaire ces dernières années</w:t>
      </w:r>
      <w:r>
        <w:rPr>
          <w:rStyle w:val="FootnoteReference0"/>
          <w:rFonts w:eastAsia="Times New Roman" w:cs="Times New Roman"/>
          <w:noProof/>
          <w:lang w:eastAsia="en-GB"/>
        </w:rPr>
        <w:footnoteReference w:id="5"/>
      </w:r>
      <w:r>
        <w:rPr>
          <w:noProof/>
        </w:rPr>
        <w:t xml:space="preserve">. </w:t>
      </w:r>
      <w:r>
        <w:rPr>
          <w:b/>
          <w:noProof/>
        </w:rPr>
        <w:t>Les réseaux criminels ont recours aux technologies de l’information et adaptent leurs modes opératoires</w:t>
      </w:r>
      <w:r>
        <w:rPr>
          <w:noProof/>
        </w:rPr>
        <w:t xml:space="preserve"> pour éviter d’être repérés et s’adapter aux contrôles. Ils diversifient leurs opérations de trafic en exploitant des itinéraires moins contrôlés et étendent leur présence en ligne, en utilisant à leur avantage les plateformes de commerce électronique et les réseaux sociaux, ainsi que les outils d’anonymisation et de cryptage. Ils détournent des précurseurs de drogues, y compris des précurseurs sur mesure, et les introduisent clandestinement aux fins de la production de drogues de synthèse. Ces</w:t>
      </w:r>
      <w:r>
        <w:rPr>
          <w:b/>
          <w:noProof/>
        </w:rPr>
        <w:t xml:space="preserve"> </w:t>
      </w:r>
      <w:r>
        <w:rPr>
          <w:noProof/>
        </w:rPr>
        <w:t xml:space="preserve">criminels infiltrent notre société en </w:t>
      </w:r>
      <w:r>
        <w:rPr>
          <w:b/>
          <w:noProof/>
        </w:rPr>
        <w:t>recourant à la violence, y compris celle des mineurs</w:t>
      </w:r>
      <w:r>
        <w:rPr>
          <w:noProof/>
        </w:rPr>
        <w:t>,</w:t>
      </w:r>
      <w:r>
        <w:rPr>
          <w:b/>
          <w:noProof/>
        </w:rPr>
        <w:t xml:space="preserve"> </w:t>
      </w:r>
      <w:r>
        <w:rPr>
          <w:noProof/>
        </w:rPr>
        <w:t xml:space="preserve">ce qui exacerbe l’insécurité publique et déstabilise les communautés, les familles et les économies. </w:t>
      </w:r>
    </w:p>
    <w:p w14:paraId="2A6AFAA1" w14:textId="0361031C" w:rsidR="00114C2F" w:rsidRPr="0075035A" w:rsidRDefault="0518EF51" w:rsidP="00541FED">
      <w:pPr>
        <w:spacing w:after="120" w:line="240" w:lineRule="auto"/>
        <w:jc w:val="both"/>
        <w:rPr>
          <w:rFonts w:eastAsia="Times New Roman" w:cs="Times New Roman"/>
          <w:noProof/>
        </w:rPr>
      </w:pPr>
      <w:r>
        <w:rPr>
          <w:noProof/>
        </w:rPr>
        <w:t xml:space="preserve">La consommation de drogue continue de poser de graves </w:t>
      </w:r>
      <w:r>
        <w:rPr>
          <w:b/>
          <w:noProof/>
        </w:rPr>
        <w:t>problèmes de santé dans l’UE</w:t>
      </w:r>
      <w:r>
        <w:rPr>
          <w:noProof/>
        </w:rPr>
        <w:t>, en particulier chez les jeunes.</w:t>
      </w:r>
      <w:r>
        <w:rPr>
          <w:b/>
          <w:noProof/>
        </w:rPr>
        <w:t xml:space="preserve"> </w:t>
      </w:r>
      <w:r>
        <w:rPr>
          <w:noProof/>
        </w:rPr>
        <w:t>La hausse de la consommation de cocaïne et l’</w:t>
      </w:r>
      <w:r>
        <w:rPr>
          <w:noProof/>
          <w:color w:val="000000" w:themeColor="text1"/>
        </w:rPr>
        <w:t xml:space="preserve">émergence de </w:t>
      </w:r>
      <w:r>
        <w:rPr>
          <w:noProof/>
        </w:rPr>
        <w:t xml:space="preserve">nouvelles substances psychoactives font augmenter le </w:t>
      </w:r>
      <w:r>
        <w:rPr>
          <w:b/>
          <w:noProof/>
        </w:rPr>
        <w:t>risque d’intoxication</w:t>
      </w:r>
      <w:r>
        <w:rPr>
          <w:noProof/>
        </w:rPr>
        <w:t xml:space="preserve"> et le nombre de décès liés à la drogue, qui a atteint 7 500 en 2023</w:t>
      </w:r>
      <w:r>
        <w:rPr>
          <w:rStyle w:val="FootnoteReference0"/>
          <w:rFonts w:eastAsia="Times New Roman" w:cs="Times New Roman"/>
          <w:noProof/>
          <w:lang w:eastAsia="en-GB"/>
        </w:rPr>
        <w:footnoteReference w:id="6"/>
      </w:r>
      <w:r>
        <w:rPr>
          <w:noProof/>
        </w:rPr>
        <w:t xml:space="preserve">. Ces évolutions mettent à rude épreuve les systèmes de surveillance et </w:t>
      </w:r>
      <w:r>
        <w:rPr>
          <w:b/>
          <w:noProof/>
        </w:rPr>
        <w:t>nuisent à l’efficacité des efforts de traitement et de réduction des dommages</w:t>
      </w:r>
      <w:r>
        <w:rPr>
          <w:noProof/>
        </w:rPr>
        <w:t>. Même les groupes intégrés dans la société utilisent de plus en plus de stimulants tels que la cocaïne, et prennent ainsi le risque de contracter de graves problèmes de santé et de souffrir de dommages à long terme. La consommation</w:t>
      </w:r>
      <w:r>
        <w:rPr>
          <w:noProof/>
          <w:color w:val="000000" w:themeColor="text1"/>
        </w:rPr>
        <w:t xml:space="preserve"> de drogue menace la santé et la stabilité sociale de différents groupes, en particulier ceux qui se trouvent déjà en situation de vulnérabilité.</w:t>
      </w:r>
    </w:p>
    <w:p w14:paraId="49BB5C98" w14:textId="63681142" w:rsidR="00C03717" w:rsidRPr="0075035A" w:rsidRDefault="749CDDC5" w:rsidP="000E6590">
      <w:pPr>
        <w:spacing w:after="120" w:line="240" w:lineRule="auto"/>
        <w:jc w:val="both"/>
        <w:rPr>
          <w:rFonts w:cs="Times New Roman"/>
          <w:noProof/>
          <w:color w:val="000000" w:themeColor="text1"/>
        </w:rPr>
      </w:pPr>
      <w:r>
        <w:rPr>
          <w:noProof/>
        </w:rPr>
        <w:t xml:space="preserve">Enfin, </w:t>
      </w:r>
      <w:r>
        <w:rPr>
          <w:b/>
          <w:noProof/>
        </w:rPr>
        <w:t>la production et le trafic de drogue nuisent à l’environnement</w:t>
      </w:r>
      <w:r>
        <w:rPr>
          <w:noProof/>
        </w:rPr>
        <w:t xml:space="preserve">, en </w:t>
      </w:r>
      <w:r>
        <w:rPr>
          <w:noProof/>
          <w:color w:val="000000" w:themeColor="text1"/>
        </w:rPr>
        <w:t>rejetant des déchets chimiques toxiques et en détruisant des habitats, ce qui porte atteinte à l’espace de vie des populations locales et complique le démantèlement en toute sécurité des laboratoires de fabrication de drogues et des décharges par les services répressifs.</w:t>
      </w:r>
    </w:p>
    <w:p w14:paraId="06F3548C" w14:textId="77777777" w:rsidR="00114C2F" w:rsidRPr="0075035A" w:rsidRDefault="00660EFA" w:rsidP="00114C2F">
      <w:pPr>
        <w:spacing w:after="120" w:line="240" w:lineRule="auto"/>
        <w:jc w:val="both"/>
        <w:rPr>
          <w:rFonts w:eastAsia="Times New Roman" w:cs="Times New Roman"/>
          <w:noProof/>
        </w:rPr>
      </w:pPr>
      <w:r>
        <w:rPr>
          <w:noProof/>
        </w:rPr>
        <w:t>Les citoyens de tous les États membres ressentent ces menaces dans leur vie quotidienne. Dans le cadre d’une récente enquête Eurobaromètre, quatre répondants sur 10 ont indiqué que le trafic et la consommation de drogue posaient de graves problèmes au niveau local, et plus d’un tiers ont estimé que les problèmes s’étaient multipliés ces dernières années</w:t>
      </w:r>
      <w:r>
        <w:rPr>
          <w:rStyle w:val="FootnoteReference0"/>
          <w:rFonts w:eastAsia="Times New Roman" w:cs="Times New Roman"/>
          <w:noProof/>
          <w:color w:val="000000" w:themeColor="text1"/>
        </w:rPr>
        <w:footnoteReference w:id="7"/>
      </w:r>
      <w:r>
        <w:rPr>
          <w:noProof/>
        </w:rPr>
        <w:t xml:space="preserve">. </w:t>
      </w:r>
    </w:p>
    <w:p w14:paraId="0AD56FDB" w14:textId="13E7EEF9" w:rsidR="009E3F7D" w:rsidRPr="0075035A" w:rsidRDefault="0B2C8F35" w:rsidP="00541FED">
      <w:pPr>
        <w:spacing w:after="120" w:line="240" w:lineRule="auto"/>
        <w:jc w:val="both"/>
        <w:rPr>
          <w:rFonts w:cs="Times New Roman"/>
          <w:noProof/>
        </w:rPr>
      </w:pPr>
      <w:r>
        <w:rPr>
          <w:noProof/>
        </w:rPr>
        <w:t xml:space="preserve">Pour résoudre les problèmes croissants que posent la consommation et le trafic de drogue, l’Union européenne se doit d’adopter une approche ambitieuse pour la politique antidrogue. Dans la présente stratégie, la Commission définit une voie à suivre qui vise </w:t>
      </w:r>
      <w:r>
        <w:rPr>
          <w:b/>
          <w:noProof/>
        </w:rPr>
        <w:t>à préserver le bien-être des citoyens, à améliorer la santé publique et à garantir la sécurité</w:t>
      </w:r>
      <w:r>
        <w:rPr>
          <w:noProof/>
        </w:rPr>
        <w:t xml:space="preserve">, tout en promouvant des </w:t>
      </w:r>
      <w:r>
        <w:rPr>
          <w:b/>
          <w:noProof/>
        </w:rPr>
        <w:t>approches pluridisciplinaires afin de prévenir les dommages, de renforcer la sécurité et la prospérité des diverses communautés et de protéger l’environnement.</w:t>
      </w:r>
      <w:r>
        <w:rPr>
          <w:noProof/>
        </w:rPr>
        <w:t xml:space="preserve"> Il s’agit là d’une stratégie</w:t>
      </w:r>
      <w:r>
        <w:rPr>
          <w:b/>
          <w:noProof/>
        </w:rPr>
        <w:t xml:space="preserve"> </w:t>
      </w:r>
      <w:r>
        <w:rPr>
          <w:noProof/>
        </w:rPr>
        <w:t>qui renforcera</w:t>
      </w:r>
      <w:r>
        <w:rPr>
          <w:b/>
          <w:noProof/>
        </w:rPr>
        <w:t xml:space="preserve"> l’état de préparation et la capacité de réaction de l’UE pour faire face aux problèmes actuels et futurs liés à la drogue</w:t>
      </w:r>
      <w:r>
        <w:rPr>
          <w:noProof/>
        </w:rPr>
        <w:t xml:space="preserve">. </w:t>
      </w:r>
      <w:r>
        <w:rPr>
          <w:noProof/>
        </w:rPr>
        <w:br w:type="page"/>
      </w:r>
    </w:p>
    <w:p w14:paraId="02E328C4" w14:textId="79023871" w:rsidR="009E3F7D" w:rsidRPr="0075035A" w:rsidRDefault="0020600E" w:rsidP="009678FC">
      <w:pPr>
        <w:pStyle w:val="Style1"/>
        <w:ind w:left="0" w:firstLine="0"/>
        <w:jc w:val="left"/>
        <w:rPr>
          <w:noProof/>
        </w:rPr>
      </w:pPr>
      <w:r>
        <w:rPr>
          <w:noProof/>
        </w:rPr>
        <w:t>Le cadre de la stratégie en matière de drogue: objectifs et principes directeurs</w:t>
      </w:r>
    </w:p>
    <w:p w14:paraId="0456ED39" w14:textId="22B1EA78" w:rsidR="4FCAD782" w:rsidRPr="0075035A" w:rsidRDefault="3C420FE2" w:rsidP="009678FC">
      <w:pPr>
        <w:pStyle w:val="Text1"/>
        <w:spacing w:after="120"/>
        <w:ind w:left="0"/>
        <w:rPr>
          <w:b/>
          <w:bCs/>
          <w:noProof/>
        </w:rPr>
      </w:pPr>
      <w:r>
        <w:rPr>
          <w:noProof/>
        </w:rPr>
        <w:t xml:space="preserve">La stratégie, par laquelle l’UE réaffirme sa ferme volonté d’adopter une </w:t>
      </w:r>
      <w:r>
        <w:rPr>
          <w:b/>
          <w:noProof/>
        </w:rPr>
        <w:t>approche équilibrée et pluridisciplinaire</w:t>
      </w:r>
      <w:r>
        <w:rPr>
          <w:noProof/>
        </w:rPr>
        <w:t xml:space="preserve">, vise à réduire la consommation de drogue et à lutter contre la criminalité organisée, en renforçant les mesures sanitaires, sociales et de sécurité </w:t>
      </w:r>
      <w:r>
        <w:rPr>
          <w:b/>
          <w:noProof/>
        </w:rPr>
        <w:t>fondées sur des preuves scientifiques</w:t>
      </w:r>
      <w:r>
        <w:rPr>
          <w:noProof/>
        </w:rPr>
        <w:t xml:space="preserve">. Les groupes criminels organisés exploitent les lacunes juridiques et les politiques divergentes, en profitant de l’évolution rapide du paysage de la </w:t>
      </w:r>
      <w:r>
        <w:rPr>
          <w:b/>
          <w:noProof/>
        </w:rPr>
        <w:t>drogue</w:t>
      </w:r>
      <w:r>
        <w:rPr>
          <w:noProof/>
        </w:rPr>
        <w:t xml:space="preserve">. La stratégie promeut donc une </w:t>
      </w:r>
      <w:r>
        <w:rPr>
          <w:b/>
          <w:noProof/>
        </w:rPr>
        <w:t>approche intégrée</w:t>
      </w:r>
      <w:r>
        <w:rPr>
          <w:noProof/>
        </w:rPr>
        <w:t xml:space="preserve"> de la politique antidrogue et plaide en faveur d’une coordination aux niveaux européen, national, régional et local. Elle combine des mesures sur les plans sécuritaire, sanitaire et social pour que l’UE puisse se prémunir contre d’éventuelles crises liées à la drogue, en veillant à la protection des citoyens et des communautés ainsi qu’à la réduction des dommages. </w:t>
      </w:r>
    </w:p>
    <w:p w14:paraId="2BBA11A6" w14:textId="622A2380" w:rsidR="4FCAD782" w:rsidRPr="0075035A" w:rsidRDefault="56017A7A" w:rsidP="009678FC">
      <w:pPr>
        <w:pStyle w:val="Text1"/>
        <w:spacing w:after="120"/>
        <w:ind w:left="0"/>
        <w:rPr>
          <w:noProof/>
        </w:rPr>
      </w:pPr>
      <w:r>
        <w:rPr>
          <w:noProof/>
        </w:rPr>
        <w:t xml:space="preserve">La stratégie encourage les parties prenantes à collaborer de manière globale, grâce à une </w:t>
      </w:r>
      <w:r>
        <w:rPr>
          <w:b/>
          <w:noProof/>
        </w:rPr>
        <w:t>approche englobant l’ensemble de la société</w:t>
      </w:r>
      <w:r>
        <w:rPr>
          <w:noProof/>
        </w:rPr>
        <w:t xml:space="preserve">, en renforçant la coopération sectorielle et entre partenaires et en faisant participer activement la société civile. </w:t>
      </w:r>
    </w:p>
    <w:p w14:paraId="59B61029" w14:textId="1599C931" w:rsidR="001D1C3A" w:rsidRPr="0075035A" w:rsidRDefault="00C571A6" w:rsidP="009678FC">
      <w:pPr>
        <w:pStyle w:val="Text1"/>
        <w:spacing w:after="120"/>
        <w:ind w:left="0"/>
        <w:rPr>
          <w:noProof/>
          <w:szCs w:val="24"/>
        </w:rPr>
      </w:pPr>
      <w:r>
        <w:rPr>
          <w:noProof/>
        </w:rPr>
        <w:t xml:space="preserve">Compte tenu de l’interconnexion entre la production, le trafic et la consommation de drogue ainsi que du caractère transfrontière des problèmes liés à la drogue, la stratégie encourage la prise de </w:t>
      </w:r>
      <w:r>
        <w:rPr>
          <w:b/>
          <w:noProof/>
        </w:rPr>
        <w:t>mesures internationales coordonnées</w:t>
      </w:r>
      <w:r>
        <w:rPr>
          <w:noProof/>
        </w:rPr>
        <w:t xml:space="preserve"> en collaboration avec les partenaires mondiaux. Elle vise ainsi à définir la politique en matière de drogue au niveau de l’UE et au niveau </w:t>
      </w:r>
      <w:r>
        <w:rPr>
          <w:b/>
          <w:noProof/>
        </w:rPr>
        <w:t>national</w:t>
      </w:r>
      <w:r>
        <w:rPr>
          <w:noProof/>
        </w:rPr>
        <w:t xml:space="preserve"> et d’orienter la stratégie de l’UE au niveau </w:t>
      </w:r>
      <w:r>
        <w:rPr>
          <w:b/>
          <w:noProof/>
        </w:rPr>
        <w:t>international</w:t>
      </w:r>
      <w:r>
        <w:rPr>
          <w:noProof/>
        </w:rPr>
        <w:t>.</w:t>
      </w:r>
    </w:p>
    <w:p w14:paraId="590CC535" w14:textId="4B6FC268" w:rsidR="001D1C3A" w:rsidRPr="0075035A" w:rsidRDefault="0022354A" w:rsidP="009678FC">
      <w:pPr>
        <w:pStyle w:val="Text1"/>
        <w:spacing w:after="120"/>
        <w:ind w:left="0"/>
        <w:rPr>
          <w:noProof/>
        </w:rPr>
      </w:pPr>
      <w:r>
        <w:rPr>
          <w:noProof/>
          <w:lang w:val="en-GB"/>
        </w:rPr>
        <w:drawing>
          <wp:anchor distT="0" distB="0" distL="114300" distR="114300" simplePos="0" relativeHeight="251658240" behindDoc="0" locked="0" layoutInCell="1" allowOverlap="1" wp14:anchorId="56C22AB4" wp14:editId="63B7D952">
            <wp:simplePos x="0" y="0"/>
            <wp:positionH relativeFrom="margin">
              <wp:posOffset>3139440</wp:posOffset>
            </wp:positionH>
            <wp:positionV relativeFrom="paragraph">
              <wp:posOffset>7620</wp:posOffset>
            </wp:positionV>
            <wp:extent cx="3169920" cy="3170555"/>
            <wp:effectExtent l="0" t="0" r="0" b="0"/>
            <wp:wrapSquare wrapText="bothSides"/>
            <wp:docPr id="9440649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64915" name=""/>
                    <pic:cNvPicPr/>
                  </pic:nvPicPr>
                  <pic:blipFill rotWithShape="1">
                    <a:blip r:embed="rId15">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16"/>
                        </a:ext>
                      </a:extLst>
                    </a:blip>
                    <a:srcRect l="19726" r="14596"/>
                    <a:stretch>
                      <a:fillRect/>
                    </a:stretch>
                  </pic:blipFill>
                  <pic:spPr bwMode="auto">
                    <a:xfrm>
                      <a:off x="0" y="0"/>
                      <a:ext cx="3169920" cy="3170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60AB">
        <w:rPr>
          <w:noProof/>
        </w:rPr>
        <w:t xml:space="preserve">La stratégie repose sur </w:t>
      </w:r>
      <w:r w:rsidR="00BE60AB">
        <w:rPr>
          <w:b/>
          <w:noProof/>
        </w:rPr>
        <w:t>cinq piliers</w:t>
      </w:r>
      <w:r w:rsidR="00BE60AB">
        <w:rPr>
          <w:noProof/>
        </w:rPr>
        <w:t xml:space="preserve"> et vise: </w:t>
      </w:r>
    </w:p>
    <w:p w14:paraId="4621C596" w14:textId="0F6563AC" w:rsidR="001D1C3A" w:rsidRPr="0075035A" w:rsidRDefault="008C1B68" w:rsidP="00541FED">
      <w:pPr>
        <w:pStyle w:val="Text1"/>
        <w:spacing w:after="0"/>
        <w:ind w:left="0"/>
        <w:rPr>
          <w:noProof/>
        </w:rPr>
      </w:pPr>
      <w:r>
        <w:rPr>
          <w:noProof/>
        </w:rPr>
        <w:t xml:space="preserve">1) </w:t>
      </w:r>
      <w:r>
        <w:rPr>
          <w:b/>
          <w:noProof/>
        </w:rPr>
        <w:t>à améliorer les capacités d’anticipation et de réaction de l’UE et des États membres</w:t>
      </w:r>
      <w:r>
        <w:rPr>
          <w:noProof/>
        </w:rPr>
        <w:t xml:space="preserve"> pour lutter contre les menaces liées à la drogue qui pèsent sur la santé et la sécurité; </w:t>
      </w:r>
    </w:p>
    <w:p w14:paraId="3B5C2894" w14:textId="72E5D9AE" w:rsidR="001D1C3A" w:rsidRPr="0075035A" w:rsidRDefault="008C1B68" w:rsidP="00541FED">
      <w:pPr>
        <w:pStyle w:val="Text1"/>
        <w:spacing w:after="0"/>
        <w:ind w:left="0"/>
        <w:rPr>
          <w:noProof/>
        </w:rPr>
      </w:pPr>
      <w:r>
        <w:rPr>
          <w:noProof/>
        </w:rPr>
        <w:t xml:space="preserve">2) </w:t>
      </w:r>
      <w:r>
        <w:rPr>
          <w:b/>
          <w:noProof/>
        </w:rPr>
        <w:t xml:space="preserve">à protéger la santé publique </w:t>
      </w:r>
      <w:r>
        <w:rPr>
          <w:noProof/>
        </w:rPr>
        <w:t xml:space="preserve">grâce à des approches et des traitements préventifs ayant fait leurs preuves; </w:t>
      </w:r>
    </w:p>
    <w:p w14:paraId="6DBCA6A2" w14:textId="46733C88" w:rsidR="001D1C3A" w:rsidRPr="0075035A" w:rsidRDefault="008C1B68" w:rsidP="00541FED">
      <w:pPr>
        <w:pStyle w:val="Text1"/>
        <w:spacing w:after="0"/>
        <w:ind w:left="0"/>
        <w:rPr>
          <w:noProof/>
        </w:rPr>
      </w:pPr>
      <w:r>
        <w:rPr>
          <w:noProof/>
        </w:rPr>
        <w:t xml:space="preserve">3) </w:t>
      </w:r>
      <w:r>
        <w:rPr>
          <w:b/>
          <w:noProof/>
        </w:rPr>
        <w:t>à améliorer la sécurité et protéger la société</w:t>
      </w:r>
      <w:r>
        <w:rPr>
          <w:noProof/>
        </w:rPr>
        <w:t xml:space="preserve"> en luttant contre la production et le trafic de drogue et contre l’infiltration criminelle; </w:t>
      </w:r>
    </w:p>
    <w:p w14:paraId="1BCBF9B3" w14:textId="428AA328" w:rsidR="001D1C3A" w:rsidRPr="0075035A" w:rsidRDefault="008C1B68" w:rsidP="00541FED">
      <w:pPr>
        <w:pStyle w:val="Text1"/>
        <w:spacing w:after="0"/>
        <w:ind w:left="0"/>
        <w:rPr>
          <w:noProof/>
        </w:rPr>
      </w:pPr>
      <w:r>
        <w:rPr>
          <w:noProof/>
        </w:rPr>
        <w:t xml:space="preserve">4) </w:t>
      </w:r>
      <w:r>
        <w:rPr>
          <w:b/>
          <w:noProof/>
        </w:rPr>
        <w:t>à lutter contre les dommages liés à la drogue</w:t>
      </w:r>
      <w:r>
        <w:rPr>
          <w:noProof/>
        </w:rPr>
        <w:t xml:space="preserve"> afin de protéger les personnes et la société, au moyen de mesures portant sur la santé individuelle ainsi que sur les dommages sociaux et environnementaux; et </w:t>
      </w:r>
    </w:p>
    <w:p w14:paraId="4ACAAB7D" w14:textId="339F482F" w:rsidR="008C1B68" w:rsidRPr="0075035A" w:rsidRDefault="008C1B68" w:rsidP="00E12101">
      <w:pPr>
        <w:pStyle w:val="Text1"/>
        <w:spacing w:after="120"/>
        <w:ind w:left="0"/>
        <w:rPr>
          <w:noProof/>
        </w:rPr>
      </w:pPr>
      <w:r>
        <w:rPr>
          <w:noProof/>
        </w:rPr>
        <w:t xml:space="preserve">5) </w:t>
      </w:r>
      <w:r>
        <w:rPr>
          <w:b/>
          <w:noProof/>
        </w:rPr>
        <w:t xml:space="preserve">à conclure des partenariats solides </w:t>
      </w:r>
      <w:r>
        <w:rPr>
          <w:noProof/>
        </w:rPr>
        <w:t>pour faire face à la situation en matière de drogue, en particulier avec les pays et régions tiers.</w:t>
      </w:r>
    </w:p>
    <w:p w14:paraId="4965F92A" w14:textId="0BCA7002" w:rsidR="006E7558" w:rsidRPr="0075035A" w:rsidRDefault="5BD334ED" w:rsidP="00E12101">
      <w:pPr>
        <w:pStyle w:val="Text1"/>
        <w:spacing w:after="120"/>
        <w:ind w:left="0"/>
        <w:rPr>
          <w:b/>
          <w:bCs/>
          <w:noProof/>
        </w:rPr>
      </w:pPr>
      <w:r>
        <w:rPr>
          <w:noProof/>
        </w:rPr>
        <w:t xml:space="preserve">La stratégie est </w:t>
      </w:r>
      <w:r>
        <w:rPr>
          <w:b/>
          <w:noProof/>
        </w:rPr>
        <w:t>ancrée dans les valeurs de l’UE</w:t>
      </w:r>
      <w:r>
        <w:rPr>
          <w:rStyle w:val="FootnoteReference0"/>
          <w:b/>
          <w:noProof/>
        </w:rPr>
        <w:footnoteReference w:id="8"/>
      </w:r>
      <w:r>
        <w:rPr>
          <w:b/>
          <w:noProof/>
        </w:rPr>
        <w:t xml:space="preserve"> et respecte les droits fondamentaux consacrés par la charte des droits fondamentaux de l’UE</w:t>
      </w:r>
      <w:r>
        <w:rPr>
          <w:rStyle w:val="FootnoteReference0"/>
          <w:b/>
          <w:noProof/>
        </w:rPr>
        <w:footnoteReference w:id="9"/>
      </w:r>
      <w:r>
        <w:rPr>
          <w:noProof/>
        </w:rPr>
        <w:t>. Elle est fondée sur le droit international, en particulier les conventions internationales relatives au contrôle des drogues et la charte des Nations unies, et mise en œuvre conformément au droit international relatif aux droits de l’homme. Elle s’aligne sur les engagements pris au niveau mondial, tels que le document final de la session extraordinaire de l’Assemblée générale des Nations unies de 2016</w:t>
      </w:r>
      <w:r>
        <w:rPr>
          <w:rStyle w:val="FootnoteReference0"/>
          <w:noProof/>
        </w:rPr>
        <w:footnoteReference w:id="10"/>
      </w:r>
      <w:r>
        <w:rPr>
          <w:noProof/>
        </w:rPr>
        <w:t>, la déclaration ministérielle de 2019</w:t>
      </w:r>
      <w:r>
        <w:rPr>
          <w:rStyle w:val="FootnoteReference0"/>
          <w:noProof/>
        </w:rPr>
        <w:footnoteReference w:id="11"/>
      </w:r>
      <w:r>
        <w:rPr>
          <w:noProof/>
        </w:rPr>
        <w:t>, la déclaration de haut niveau issue de l’examen à mi-parcours de 2024</w:t>
      </w:r>
      <w:r>
        <w:rPr>
          <w:rStyle w:val="FootnoteReference0"/>
          <w:noProof/>
        </w:rPr>
        <w:footnoteReference w:id="12"/>
      </w:r>
      <w:r>
        <w:rPr>
          <w:noProof/>
        </w:rPr>
        <w:t xml:space="preserve"> et le programme de développement durable des Nations unies à l’horizon 2030</w:t>
      </w:r>
      <w:r>
        <w:rPr>
          <w:rStyle w:val="FootnoteReference0"/>
          <w:noProof/>
        </w:rPr>
        <w:footnoteReference w:id="13"/>
      </w:r>
      <w:r>
        <w:rPr>
          <w:noProof/>
        </w:rPr>
        <w:t xml:space="preserve">. </w:t>
      </w:r>
    </w:p>
    <w:p w14:paraId="36886E4B" w14:textId="301FDDE0" w:rsidR="007279BD" w:rsidRPr="0075035A" w:rsidRDefault="00C76243" w:rsidP="007279BD">
      <w:pPr>
        <w:pStyle w:val="Text1"/>
        <w:spacing w:after="120"/>
        <w:ind w:left="0"/>
        <w:rPr>
          <w:noProof/>
        </w:rPr>
      </w:pPr>
      <w:r>
        <w:rPr>
          <w:noProof/>
        </w:rPr>
        <w:t>La présente stratégie s’appuie sur l’évaluation de la stratégie et du plan d’action de l’UE en matière de drogue (2021-2025)</w:t>
      </w:r>
      <w:r>
        <w:rPr>
          <w:rStyle w:val="FootnoteReference0"/>
          <w:noProof/>
        </w:rPr>
        <w:footnoteReference w:id="14"/>
      </w:r>
      <w:r>
        <w:rPr>
          <w:noProof/>
        </w:rPr>
        <w:t>, qui a mis en évidence son utilité tout en soulignant la nécessite d’adopter une approche axée sur les résultats. Elle repose sur la surveillance de la situation en matière de drogue par les agences compétentes de l’UE, en particulier l’Agence de l’Union européenne sur les drogues (EUDA), dont la qualité de pôle d’excellence scientifique sur les questions liées à la drogue est largement reconnue et dont le mandat renforcé lui confère un nouveau rôle déterminant pour améliorer la préparation de l’Union</w:t>
      </w:r>
      <w:r>
        <w:rPr>
          <w:rStyle w:val="FootnoteReference0"/>
          <w:noProof/>
        </w:rPr>
        <w:footnoteReference w:id="15"/>
      </w:r>
      <w:r>
        <w:rPr>
          <w:noProof/>
        </w:rPr>
        <w:t>, et Europol, qui fournit de solides analyses fondées sur le renseignement pour appuyer l’action des services répressifs. Elle intègre des contributions substantielles formulées dans le cadre d’un dialogue permanent avec les États membres et lors d’ateliers spécifiques organisés au sein de l’instance préparatoire du Conseil chargée de la politique en matière de drogue, ainsi que des contributions précieuses apportées par des groupes de la société civile, tels que le Forum de la société civile sur la drogue. La stratégie est un volet clé de la stratégie européenne de sécurité intérieure ProtectEU</w:t>
      </w:r>
      <w:r>
        <w:rPr>
          <w:rStyle w:val="FootnoteReference0"/>
          <w:noProof/>
        </w:rPr>
        <w:footnoteReference w:id="16"/>
      </w:r>
      <w:r>
        <w:rPr>
          <w:noProof/>
        </w:rPr>
        <w:t xml:space="preserve"> et s’aligne sur la stratégie européenne pour une union de la préparation</w:t>
      </w:r>
      <w:r>
        <w:rPr>
          <w:rStyle w:val="FootnoteReference0"/>
          <w:noProof/>
        </w:rPr>
        <w:footnoteReference w:id="17"/>
      </w:r>
      <w:r>
        <w:rPr>
          <w:noProof/>
        </w:rPr>
        <w:t>, sur l’union européenne de la santé</w:t>
      </w:r>
      <w:r>
        <w:rPr>
          <w:rStyle w:val="FootnoteReference0"/>
          <w:noProof/>
        </w:rPr>
        <w:footnoteReference w:id="18"/>
      </w:r>
      <w:r>
        <w:rPr>
          <w:noProof/>
        </w:rPr>
        <w:t>, notamment le cadre renforcé de sécurité sanitaire de l’UE</w:t>
      </w:r>
      <w:r>
        <w:rPr>
          <w:rStyle w:val="FootnoteReference0"/>
          <w:noProof/>
        </w:rPr>
        <w:footnoteReference w:id="19"/>
      </w:r>
      <w:r>
        <w:rPr>
          <w:noProof/>
        </w:rPr>
        <w:t>, ainsi que sur la proposition de la Commission relative à la surveillance et au contrôle des précurseurs des drogues</w:t>
      </w:r>
      <w:r>
        <w:rPr>
          <w:rStyle w:val="FootnoteReference0"/>
          <w:noProof/>
        </w:rPr>
        <w:footnoteReference w:id="20"/>
      </w:r>
      <w:r>
        <w:rPr>
          <w:noProof/>
        </w:rPr>
        <w:t>.</w:t>
      </w:r>
    </w:p>
    <w:p w14:paraId="0A9D3BD2" w14:textId="2C1A23F5" w:rsidR="009678FC" w:rsidRPr="0075035A" w:rsidRDefault="00893B18" w:rsidP="009678FC">
      <w:pPr>
        <w:pStyle w:val="Text1"/>
        <w:spacing w:after="120"/>
        <w:ind w:left="0"/>
        <w:rPr>
          <w:noProof/>
        </w:rPr>
      </w:pPr>
      <w:r>
        <w:rPr>
          <w:noProof/>
        </w:rPr>
        <w:t xml:space="preserve">Prenant acte des résultats de l’évaluation, qui a mis en évidence la nécessité de fournir une réponse opérationnelle à la situation en matière de drogue, la Commission complète la stratégie en proposant un </w:t>
      </w:r>
      <w:r>
        <w:rPr>
          <w:b/>
          <w:noProof/>
        </w:rPr>
        <w:t>plan d’action spécifique de l’UE contre le trafic de drogue</w:t>
      </w:r>
      <w:r>
        <w:rPr>
          <w:noProof/>
        </w:rPr>
        <w:t xml:space="preserve"> visant à démanteler les réseaux criminels organisés qui tirent les ficelles du trafic de drogue, en ciblant leurs itinéraires et leurs méthodes criminelles. Ce plan d’action, qui s’appuie sur les priorités définies dans la stratégie, définit des actions concrètes et urgentes à entreprendre au niveau de l’UE entre 2026 et 2030. Il comprend 19 actions opérationnelles qui visent principalement à tenir l’engagement stratégique consistant à renforcer la sécurité de l’UE, mais aussi à améliorer son état de préparation, à remédier aux dommages causés par le recrutement des jeunes et à conclure des partenariats solides pour lutter contre le trafic de drogue. </w:t>
      </w:r>
    </w:p>
    <w:p w14:paraId="27634564" w14:textId="6528FF19" w:rsidR="00404769" w:rsidRPr="00404769" w:rsidRDefault="00D70A91" w:rsidP="00404769">
      <w:pPr>
        <w:pStyle w:val="Heading2"/>
        <w:rPr>
          <w:noProof/>
        </w:rPr>
      </w:pPr>
      <w:bookmarkStart w:id="6" w:name="_Toc212204019"/>
      <w:bookmarkStart w:id="7" w:name="_Toc1935203069"/>
      <w:bookmarkStart w:id="8" w:name="_Toc933045277"/>
      <w:r>
        <w:rPr>
          <w:noProof/>
        </w:rPr>
        <w:t>RENFORCER L’ÉTAT DE PRÉPARATION</w:t>
      </w:r>
      <w:bookmarkEnd w:id="6"/>
      <w:bookmarkEnd w:id="7"/>
      <w:bookmarkEnd w:id="8"/>
      <w:r>
        <w:rPr>
          <w:noProof/>
        </w:rPr>
        <w:t xml:space="preserve"> ET LA CAPACITÉ DE RÉACTION</w:t>
      </w:r>
    </w:p>
    <w:p w14:paraId="5B8DA3A2" w14:textId="77777777" w:rsidR="00404769" w:rsidRDefault="00404769" w:rsidP="009678FC">
      <w:pPr>
        <w:spacing w:after="240" w:line="240" w:lineRule="auto"/>
        <w:jc w:val="both"/>
        <w:rPr>
          <w:rFonts w:cs="Times New Roman"/>
          <w:noProof/>
        </w:rPr>
      </w:pPr>
    </w:p>
    <w:p w14:paraId="7225EC4B" w14:textId="70CF4B6E" w:rsidR="00B40C65" w:rsidRPr="0075035A" w:rsidRDefault="16A12E81" w:rsidP="009678FC">
      <w:pPr>
        <w:spacing w:after="240" w:line="240" w:lineRule="auto"/>
        <w:jc w:val="both"/>
        <w:rPr>
          <w:rFonts w:cs="Times New Roman"/>
          <w:noProof/>
        </w:rPr>
      </w:pPr>
      <w:r>
        <w:rPr>
          <w:noProof/>
        </w:rPr>
        <w:t>La dynamique de l’offre et de la demande de drogues illicites évolue rapidement, sous l’impulsion de réseaux criminels mondiaux influents et au gré des changements géopolitiques et technologiques</w:t>
      </w:r>
      <w:r>
        <w:rPr>
          <w:rStyle w:val="FootnoteReference0"/>
          <w:rFonts w:cs="Times New Roman"/>
          <w:noProof/>
        </w:rPr>
        <w:footnoteReference w:id="21"/>
      </w:r>
      <w:r>
        <w:rPr>
          <w:noProof/>
        </w:rPr>
        <w:t>. De nouvelles substances psychoactives potentiellement plus toxiques et plus addictives voient rapidement le jour, ce qui augmente les risques d’intoxication et de décès liés à la drogue. Il est essentiel d’améliorer la capacité de préparation de l’Europe en ce qui concerne les aspects sanitaires, sociaux et sécuritaires liés à la drogue.</w:t>
      </w:r>
    </w:p>
    <w:p w14:paraId="638C46AA" w14:textId="243F9172" w:rsidR="00632E9E" w:rsidRPr="0075035A" w:rsidRDefault="00632E9E" w:rsidP="00541FED">
      <w:pPr>
        <w:pStyle w:val="Heading3"/>
        <w:ind w:left="0"/>
        <w:rPr>
          <w:noProof/>
        </w:rPr>
      </w:pPr>
      <w:bookmarkStart w:id="9" w:name="_Toc209853376"/>
      <w:bookmarkStart w:id="10" w:name="_Toc212204020"/>
      <w:bookmarkStart w:id="11" w:name="_Toc139286731"/>
      <w:bookmarkStart w:id="12" w:name="_Toc497655296"/>
      <w:r>
        <w:rPr>
          <w:noProof/>
        </w:rPr>
        <w:t>Priorité stratégique nº 1: renforcer la préparation de l’UE pour faire face aux menaces liées à la drogue</w:t>
      </w:r>
      <w:bookmarkEnd w:id="9"/>
      <w:bookmarkEnd w:id="10"/>
      <w:bookmarkEnd w:id="11"/>
      <w:bookmarkEnd w:id="12"/>
    </w:p>
    <w:p w14:paraId="71F44446" w14:textId="747427D9" w:rsidR="00ED655E" w:rsidRPr="0075035A" w:rsidRDefault="4AFE0953" w:rsidP="674E0B1F">
      <w:pPr>
        <w:pBdr>
          <w:top w:val="single" w:sz="4" w:space="1" w:color="auto"/>
          <w:left w:val="single" w:sz="4" w:space="4" w:color="auto"/>
          <w:bottom w:val="single" w:sz="4" w:space="1" w:color="auto"/>
          <w:right w:val="single" w:sz="4" w:space="4" w:color="auto"/>
        </w:pBdr>
        <w:jc w:val="both"/>
        <w:rPr>
          <w:rFonts w:cs="Times New Roman"/>
          <w:i/>
          <w:iCs/>
          <w:noProof/>
          <w:szCs w:val="24"/>
        </w:rPr>
      </w:pPr>
      <w:r>
        <w:rPr>
          <w:i/>
          <w:noProof/>
        </w:rPr>
        <w:t xml:space="preserve">L’UE doit intensifier la surveillance de la situation en matière de drogues dans l’UE, en actualisant ses systèmes et réseaux de collecte, d’analyse et de diffusion de données afin de </w:t>
      </w:r>
      <w:bookmarkStart w:id="13" w:name="_Hlk207112332"/>
      <w:r>
        <w:rPr>
          <w:i/>
          <w:noProof/>
        </w:rPr>
        <w:t>mieux anticiper les nouveaux problèmes liés à la drogue et d’y réagir, notamment par des mesures de préparation et d’autres réponses ayant fait leurs preuves</w:t>
      </w:r>
      <w:r>
        <w:rPr>
          <w:noProof/>
        </w:rPr>
        <w:t>.</w:t>
      </w:r>
      <w:bookmarkEnd w:id="13"/>
    </w:p>
    <w:p w14:paraId="4E5D05B0" w14:textId="00B06041" w:rsidR="00964E45" w:rsidRPr="0075035A" w:rsidRDefault="23FA5B88" w:rsidP="00A2296C">
      <w:pPr>
        <w:pStyle w:val="Heading4"/>
        <w:rPr>
          <w:noProof/>
        </w:rPr>
      </w:pPr>
      <w:r>
        <w:rPr>
          <w:noProof/>
        </w:rPr>
        <w:t xml:space="preserve"> </w:t>
      </w:r>
      <w:bookmarkStart w:id="14" w:name="_Toc212204021"/>
      <w:r>
        <w:rPr>
          <w:noProof/>
        </w:rPr>
        <w:t>Développer la connaissance des risques et l’approche prospective de l’UE</w:t>
      </w:r>
      <w:bookmarkEnd w:id="14"/>
    </w:p>
    <w:p w14:paraId="329E2D0E" w14:textId="6A9D0116" w:rsidR="00B73D5B" w:rsidRPr="0075035A" w:rsidRDefault="74A613F5" w:rsidP="00A2296C">
      <w:pPr>
        <w:pStyle w:val="ContNum"/>
        <w:spacing w:after="120"/>
        <w:rPr>
          <w:noProof/>
        </w:rPr>
      </w:pPr>
      <w:r>
        <w:rPr>
          <w:noProof/>
        </w:rPr>
        <w:t>Pour accroître sa connaissance de la situation, l’UE doit améliorer sa capacité d’analyser et de partager rapidement les données sur les tendances émergentes. L’EUDA offre des outils essentiels tels que le réseau européen de laboratoires de police scientifique et de toxicologie, qui doit être déployé efficacement pour améliorer l’état de préparation de l’UE.</w:t>
      </w:r>
    </w:p>
    <w:p w14:paraId="23B5A12A" w14:textId="55363D36" w:rsidR="00B73D5B" w:rsidRPr="0075035A" w:rsidRDefault="13BB5D07" w:rsidP="00727AD5">
      <w:pPr>
        <w:pStyle w:val="ContNum"/>
        <w:spacing w:after="120"/>
        <w:rPr>
          <w:noProof/>
        </w:rPr>
      </w:pPr>
      <w:r>
        <w:rPr>
          <w:noProof/>
        </w:rPr>
        <w:t xml:space="preserve">Les agences de l’UE, en particulier l’EUDA et Europol, devraient </w:t>
      </w:r>
      <w:r>
        <w:rPr>
          <w:b/>
          <w:noProof/>
        </w:rPr>
        <w:t>surveiller plus régulièrement la situation en matière de drogue au niveau de l’UE</w:t>
      </w:r>
      <w:r>
        <w:rPr>
          <w:noProof/>
        </w:rPr>
        <w:t>, en étroite coopération avec les États membres. L’EUDA aidera les États membres à améliorer la collecte unifiée de données, grâce à des sources telles que les outils de renseignement géospatial de l’Office statistique de l’Union européenne (Eurostat) et les données du Centre européen de prévention et de contrôle des maladies (ECDC). Elle appliquera des approches novatrices pour détecter les premiers signaux indiquant des changements de la situation en matière de drogue, en s’appuyant sur les analyses existantes des données révélées par les urgences hospitalières, les résidus de seringues ou les eaux usées municipales.</w:t>
      </w:r>
    </w:p>
    <w:p w14:paraId="5DD86F05" w14:textId="71C03147" w:rsidR="005C7B01" w:rsidRPr="0075035A" w:rsidRDefault="21B7CA37" w:rsidP="2326B0DA">
      <w:pPr>
        <w:pStyle w:val="ContNum"/>
        <w:spacing w:after="120"/>
        <w:rPr>
          <w:noProof/>
          <w:color w:val="0078D4"/>
          <w:u w:val="single"/>
        </w:rPr>
      </w:pPr>
      <w:r>
        <w:rPr>
          <w:noProof/>
        </w:rPr>
        <w:t>Compte tenu de l’émergence rapide et continue de nouvelles substances, le</w:t>
      </w:r>
      <w:r>
        <w:rPr>
          <w:b/>
          <w:noProof/>
        </w:rPr>
        <w:t xml:space="preserve"> partage rapide d’informations dans l’ensemble de l’UE</w:t>
      </w:r>
      <w:r>
        <w:rPr>
          <w:noProof/>
        </w:rPr>
        <w:t xml:space="preserve"> est primordial. Pour ce faire, l’EUDA mettra à niveau le système d’alerte précoce de l’UE afin d’identifier rapidement les nouvelles substances psychoactives, de contrôler leur composition et leur teneur en principe actif, d’évaluer leurs effets nocifs et de communiquer systématiquement ces informations aux États membres. Le réseau européen de laboratoires de police scientifique et de toxicologie soutiendra cet échange d’informations et apportera l’expertise spécialisée de l’UE. En outre, dans certains cas de menace transfrontière grave pour la santé, les autorités des États membres ou la Commission doivent notifier une alerte par l’intermédiaire du système d’alerte précoce et de réaction</w:t>
      </w:r>
      <w:r>
        <w:rPr>
          <w:noProof/>
          <w:vertAlign w:val="superscript"/>
        </w:rPr>
        <w:footnoteReference w:id="22"/>
      </w:r>
      <w:r>
        <w:rPr>
          <w:noProof/>
        </w:rPr>
        <w:t>, afin d’assurer une réaction plus efficace.</w:t>
      </w:r>
    </w:p>
    <w:p w14:paraId="77250E6C" w14:textId="2B6D2283" w:rsidR="005C7B01" w:rsidRPr="0075035A" w:rsidRDefault="004618A4" w:rsidP="009678FC">
      <w:pPr>
        <w:pStyle w:val="ContNum"/>
        <w:rPr>
          <w:noProof/>
          <w:szCs w:val="24"/>
        </w:rPr>
      </w:pPr>
      <w:r>
        <w:rPr>
          <w:noProof/>
        </w:rPr>
        <w:t xml:space="preserve">Enfin, l’UE et les États membres devraient développer leurs </w:t>
      </w:r>
      <w:r>
        <w:rPr>
          <w:b/>
          <w:noProof/>
        </w:rPr>
        <w:t>capacités de prospective</w:t>
      </w:r>
      <w:r>
        <w:rPr>
          <w:noProof/>
        </w:rPr>
        <w:t xml:space="preserve"> en exploitant les systèmes de données nouveaux et existants. Ils pourraient ainsi anticiper l’évolution à moyen et à long terme des tendances </w:t>
      </w:r>
      <w:bookmarkStart w:id="15" w:name="_Hlk211002515"/>
      <w:r>
        <w:rPr>
          <w:noProof/>
        </w:rPr>
        <w:t>en matière de drogue, telles que les conséquences du monde numérique</w:t>
      </w:r>
      <w:bookmarkEnd w:id="15"/>
      <w:r>
        <w:rPr>
          <w:noProof/>
        </w:rPr>
        <w:t xml:space="preserve">, les risques pour les jeunes et l’augmentation des drogues de synthèse. </w:t>
      </w:r>
      <w:r>
        <w:rPr>
          <w:noProof/>
          <w:color w:val="000000" w:themeColor="text1"/>
        </w:rPr>
        <w:t xml:space="preserve">L’EUDA renforcera ses activités d’analyse prospective afin de déceler les lacunes sur les marchés de la drogue, y compris les conséquences de la numérisation, </w:t>
      </w:r>
      <w:r>
        <w:rPr>
          <w:noProof/>
        </w:rPr>
        <w:t>l’incidence potentielle des nouvelles drogues de synthèse et les problèmes découlant des changements de politique.</w:t>
      </w:r>
    </w:p>
    <w:p w14:paraId="5AA658A1" w14:textId="14D1B3B7" w:rsidR="00E60F23" w:rsidRPr="0075035A" w:rsidRDefault="005A0681" w:rsidP="008E288C">
      <w:pPr>
        <w:pStyle w:val="Heading4"/>
        <w:rPr>
          <w:noProof/>
          <w:szCs w:val="24"/>
        </w:rPr>
      </w:pPr>
      <w:bookmarkStart w:id="16" w:name="_Toc212204023"/>
      <w:bookmarkStart w:id="17" w:name="_Hlk213684918"/>
      <w:r>
        <w:rPr>
          <w:noProof/>
        </w:rPr>
        <w:t xml:space="preserve"> Améliorer la capacité de réaction de l’UE</w:t>
      </w:r>
      <w:bookmarkEnd w:id="16"/>
    </w:p>
    <w:p w14:paraId="3A93F95A" w14:textId="3D781D2D" w:rsidR="008636A1" w:rsidRPr="0075035A" w:rsidRDefault="55AA9804" w:rsidP="00A2296C">
      <w:pPr>
        <w:pStyle w:val="ContNum"/>
        <w:spacing w:after="120"/>
        <w:rPr>
          <w:noProof/>
        </w:rPr>
      </w:pPr>
      <w:r>
        <w:rPr>
          <w:noProof/>
        </w:rPr>
        <w:t xml:space="preserve">L’UE doit être mieux préparée pour réagir aux menaces émergentes liées à la drogue. À cette fin, l’EUDA, avec l’aide d’experts nationaux, </w:t>
      </w:r>
      <w:r>
        <w:rPr>
          <w:b/>
          <w:noProof/>
        </w:rPr>
        <w:t>réalisera des évaluations sur les nouvelles menaces pour la santé et la sécurité liées à la drogue</w:t>
      </w:r>
      <w:r>
        <w:rPr>
          <w:noProof/>
        </w:rPr>
        <w:t>. Les évaluations formuleront des options d’action précises pour atténuer les menaces tant au niveau national qu’au niveau de l’UE</w:t>
      </w:r>
      <w:r>
        <w:rPr>
          <w:rStyle w:val="FootnoteReference0"/>
          <w:noProof/>
          <w:szCs w:val="24"/>
        </w:rPr>
        <w:footnoteReference w:id="23"/>
      </w:r>
      <w:r>
        <w:rPr>
          <w:noProof/>
        </w:rPr>
        <w:t xml:space="preserve">. </w:t>
      </w:r>
      <w:bookmarkEnd w:id="17"/>
      <w:r>
        <w:rPr>
          <w:noProof/>
        </w:rPr>
        <w:t>La préparation de l’UE doit également porter sur la progression des nouvelles drogues de synthèse à forte teneur en principe actif. L’EUDA entreprendra donc une évaluation de la menace posée par les opioïdes de synthèse à très forte teneur en principe actif en Europe.</w:t>
      </w:r>
    </w:p>
    <w:p w14:paraId="44D285AA" w14:textId="01B95A66" w:rsidR="006A4DB6" w:rsidRPr="0075035A" w:rsidRDefault="00CB3310" w:rsidP="00A2296C">
      <w:pPr>
        <w:pStyle w:val="ContNum"/>
        <w:spacing w:after="120"/>
        <w:rPr>
          <w:noProof/>
        </w:rPr>
      </w:pPr>
      <w:r>
        <w:rPr>
          <w:noProof/>
        </w:rPr>
        <w:t>En outre, en complément des efforts déployés par l’UE dans le cadre de son plan pour la prévention, la préparation et la réaction aux crises sanitaires</w:t>
      </w:r>
      <w:r>
        <w:rPr>
          <w:rStyle w:val="FootnoteReference0"/>
          <w:noProof/>
        </w:rPr>
        <w:footnoteReference w:id="24"/>
      </w:r>
      <w:r>
        <w:rPr>
          <w:noProof/>
        </w:rPr>
        <w:t xml:space="preserve">, les États membres devraient élaborer des </w:t>
      </w:r>
      <w:r>
        <w:rPr>
          <w:b/>
          <w:noProof/>
        </w:rPr>
        <w:t>mesures nationales de préparation et de réaction</w:t>
      </w:r>
      <w:r>
        <w:rPr>
          <w:noProof/>
        </w:rPr>
        <w:t>. Ils devraient veiller à ce que leurs systèmes puissent anticiper, prévenir et atténuer les menaces,</w:t>
      </w:r>
      <w:bookmarkStart w:id="18" w:name="_Hlk209168760"/>
      <w:r>
        <w:rPr>
          <w:noProof/>
        </w:rPr>
        <w:t xml:space="preserve"> notamment en déployant rapidement des contre-mesures médicales et en distribuant du matériel destiné à réduire les dommages</w:t>
      </w:r>
      <w:bookmarkEnd w:id="18"/>
      <w:r>
        <w:rPr>
          <w:noProof/>
        </w:rPr>
        <w:t>.</w:t>
      </w:r>
    </w:p>
    <w:p w14:paraId="254C3F4B" w14:textId="43C7C204" w:rsidR="00495867" w:rsidRPr="0075035A" w:rsidRDefault="08317746" w:rsidP="2326B0DA">
      <w:pPr>
        <w:spacing w:line="240" w:lineRule="auto"/>
        <w:jc w:val="both"/>
        <w:rPr>
          <w:rFonts w:cs="Times New Roman"/>
          <w:noProof/>
        </w:rPr>
      </w:pPr>
      <w:r>
        <w:rPr>
          <w:noProof/>
        </w:rPr>
        <w:t xml:space="preserve">L’EUDA émettra également des alertes sanitaires et de sécurité rapides relatives aux risques graves liés aux drogues, tels que ceux posés par les drogues de synthèse à très forte teneur en principe actif, par l’intermédiaire du </w:t>
      </w:r>
      <w:r>
        <w:rPr>
          <w:b/>
          <w:noProof/>
        </w:rPr>
        <w:t>système européen de notification en matière de drogues</w:t>
      </w:r>
      <w:r>
        <w:rPr>
          <w:rStyle w:val="FootnoteReference0"/>
          <w:rFonts w:cs="Times New Roman"/>
          <w:noProof/>
        </w:rPr>
        <w:footnoteReference w:id="25"/>
      </w:r>
      <w:r>
        <w:rPr>
          <w:noProof/>
        </w:rPr>
        <w:t>. Ce système permettra d’assurer des communications efficaces et rapides sur les risques, en étant relié aux systèmes d’alerte nationaux et en contactant directement les praticiens de la santé et les agents des services répressifs.</w:t>
      </w:r>
    </w:p>
    <w:p w14:paraId="7647D2D0" w14:textId="06F09DF1" w:rsidR="005709E6" w:rsidRPr="0075035A" w:rsidRDefault="004618A4" w:rsidP="008E288C">
      <w:pPr>
        <w:pStyle w:val="Heading4"/>
        <w:rPr>
          <w:noProof/>
        </w:rPr>
      </w:pPr>
      <w:bookmarkStart w:id="19" w:name="_Toc209853377"/>
      <w:bookmarkStart w:id="20" w:name="_Hlk213683688"/>
      <w:r>
        <w:rPr>
          <w:noProof/>
        </w:rPr>
        <w:t xml:space="preserve"> </w:t>
      </w:r>
      <w:bookmarkStart w:id="21" w:name="_Toc212204024"/>
      <w:bookmarkEnd w:id="19"/>
      <w:r>
        <w:rPr>
          <w:noProof/>
        </w:rPr>
        <w:t>Unir les efforts de recherche</w:t>
      </w:r>
      <w:bookmarkEnd w:id="21"/>
    </w:p>
    <w:p w14:paraId="62C35262" w14:textId="01E2496C" w:rsidR="00781C53" w:rsidRPr="0075035A" w:rsidRDefault="003D353A" w:rsidP="000E6590">
      <w:pPr>
        <w:pStyle w:val="ContNum"/>
        <w:spacing w:after="120"/>
        <w:rPr>
          <w:noProof/>
        </w:rPr>
      </w:pPr>
      <w:bookmarkStart w:id="22" w:name="_Hlk213684297"/>
      <w:bookmarkEnd w:id="20"/>
      <w:r>
        <w:rPr>
          <w:noProof/>
        </w:rPr>
        <w:t>L’UE et les États membres devraient concentrer leurs efforts afin de mieux comprendre le déficit de recherche sur les comportements associés à la consommation de drogues, les options thérapeutiques, la polyconsommation, les troubles de la santé mentale et les conséquences du trafic de drogue sur la société. En organisant des dialogues sur la recherche</w:t>
      </w:r>
      <w:r>
        <w:rPr>
          <w:rStyle w:val="FootnoteReference0"/>
          <w:noProof/>
        </w:rPr>
        <w:footnoteReference w:id="26"/>
      </w:r>
      <w:r>
        <w:rPr>
          <w:noProof/>
        </w:rPr>
        <w:t xml:space="preserve">, l’UE vise à faciliter le </w:t>
      </w:r>
      <w:r>
        <w:rPr>
          <w:b/>
          <w:noProof/>
        </w:rPr>
        <w:t>partage des connaissances et à établir des priorités en matière de recherche</w:t>
      </w:r>
      <w:r>
        <w:rPr>
          <w:noProof/>
        </w:rPr>
        <w:t>. L’EUDA créera une base de données de recherche sur les drogues et une communauté de connaissances, réunissant des décideurs politiques, des scientifiques, des membres de la société civile ainsi que des experts de terrain afin de combler les déficits critiques de connaissances. Afin de favoriser l’innovation dans le secteur de la sécurité et d’en faire directement profiter les services répressifs, la Commission européenne recensera leurs besoins technologiques et opérationnels urgents pour lutter contre la criminalité organisée, notamment le trafic de drogue.</w:t>
      </w:r>
    </w:p>
    <w:p w14:paraId="29D9F439" w14:textId="77777777" w:rsidR="00FD497C" w:rsidRPr="0075035A" w:rsidRDefault="00781C53" w:rsidP="009678FC">
      <w:pPr>
        <w:pStyle w:val="ContNum"/>
        <w:spacing w:after="120"/>
        <w:rPr>
          <w:noProof/>
        </w:rPr>
      </w:pPr>
      <w:bookmarkStart w:id="23" w:name="_Hlk213683436"/>
      <w:bookmarkEnd w:id="22"/>
      <w:r>
        <w:rPr>
          <w:noProof/>
        </w:rPr>
        <w:t>L’innovation demeure indispensable pour lutter contre les menaces émergentes pour la santé et la sécurité que représentent les drogues, telles que les nouvelles substances psychoactives et les nouvelles formes d’utilisation, dont le vapotage.</w:t>
      </w:r>
      <w:r>
        <w:rPr>
          <w:b/>
          <w:noProof/>
        </w:rPr>
        <w:t xml:space="preserve"> </w:t>
      </w:r>
      <w:r>
        <w:rPr>
          <w:noProof/>
        </w:rPr>
        <w:t>En tirant parti des nouvelles technologies</w:t>
      </w:r>
      <w:r>
        <w:rPr>
          <w:b/>
          <w:noProof/>
        </w:rPr>
        <w:t xml:space="preserve"> </w:t>
      </w:r>
      <w:r>
        <w:rPr>
          <w:noProof/>
        </w:rPr>
        <w:t xml:space="preserve">et de l’intelligence artificielle, l’UE et les États membres devraient veiller au financement adéquat de l’innovation, pour ainsi améliorer les technologies de détection qui intègrent l’IA afin d’identifier rapidement les précurseurs aux frontières de l’UE et d’aider les services répressifs à démanteler la production de drogues. La Commission, avec l’aide d’Europol et de l’EUDA, coordonnera la diffusion de pratiques innovantes à l’intention des acteurs de la lutte antidrogue. Il convient de mettre au point des outils innovants/novateurs pour </w:t>
      </w:r>
      <w:r>
        <w:rPr>
          <w:b/>
          <w:noProof/>
        </w:rPr>
        <w:t>cartographier les zones de production rurales, les corridors de trafic et les zones à risque pour l’environnement</w:t>
      </w:r>
      <w:r>
        <w:rPr>
          <w:noProof/>
        </w:rPr>
        <w:t xml:space="preserve"> afin d’améliorer la vue d’ensemble du renseignement. Il convient également de dispenser des formations, afin d’améliorer les compétences techniques des services répressifs, et de les compléter au moyen de la recherche en cours, pour affiner la vue d’ensemble du renseignement, ce qui permettra d’obtenir une vision globale des problèmes liés à la drogue et d’y répondre.</w:t>
      </w:r>
    </w:p>
    <w:bookmarkEnd w:id="23"/>
    <w:p w14:paraId="0BF20BA4" w14:textId="0CF629A5" w:rsidR="00BB431E" w:rsidRPr="0075035A" w:rsidRDefault="00781C53" w:rsidP="009678FC">
      <w:pPr>
        <w:pStyle w:val="ContNum"/>
        <w:spacing w:after="120"/>
        <w:rPr>
          <w:noProof/>
        </w:rPr>
      </w:pPr>
      <w:r>
        <w:rPr>
          <w:noProof/>
        </w:rPr>
        <w:t>Grâce aux programmes de financement de la recherche et de l’innovation de l’UE, la Commission stimulera la recherche afin de comprendre les troubles et schémas comportementaux liés à la consommation de drogue, tout en faisant progresser les thérapies innovantes appliquées pour arrêter la consommation de stimulants et en exploitant les opioïdes et les substances psychoactives en toute sécurité à des fins médicales. Il est essentiel de promouvoir les outils numériques et les applications de soins de santé pour optimiser les systèmes de soins de santé ainsi que les systèmes de sécurité sociale.</w:t>
      </w:r>
    </w:p>
    <w:p w14:paraId="70053386" w14:textId="77777777" w:rsidR="00775C24" w:rsidRPr="0075035A" w:rsidRDefault="00775C24" w:rsidP="000E6590">
      <w:pPr>
        <w:pStyle w:val="ContNum"/>
        <w:spacing w:after="120"/>
        <w:rPr>
          <w:noProof/>
        </w:rPr>
      </w:pPr>
      <w:bookmarkStart w:id="24" w:name="_Hlk214030248"/>
      <w:r>
        <w:rPr>
          <w:noProof/>
        </w:rPr>
        <w:t xml:space="preserve">Dans ce contexte, </w:t>
      </w:r>
      <w:bookmarkStart w:id="25" w:name="_Hlk214026172"/>
      <w:r>
        <w:rPr>
          <w:noProof/>
        </w:rPr>
        <w:t>l’espace européen des données de santé (EHDS) facilitera l’accès sécurisé aux données de santé électroniques dans tous les États membres et soutiendra ainsi la recherche, l’innovation et l’élaboration des politiques publiques concernant les tendances sanitaires liées à la drogue, les résultats des traitements et l’incidence des nouvelles substances psychoactives</w:t>
      </w:r>
      <w:r>
        <w:rPr>
          <w:rStyle w:val="FootnoteReference0"/>
          <w:noProof/>
        </w:rPr>
        <w:footnoteReference w:id="27"/>
      </w:r>
      <w:r>
        <w:rPr>
          <w:noProof/>
        </w:rPr>
        <w:t>.</w:t>
      </w:r>
      <w:bookmarkEnd w:id="25"/>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D61D38" w:rsidRPr="0075035A" w14:paraId="721FE364" w14:textId="77777777" w:rsidTr="3C2CD52E">
        <w:trPr>
          <w:trHeight w:val="841"/>
        </w:trPr>
        <w:tc>
          <w:tcPr>
            <w:tcW w:w="9576" w:type="dxa"/>
          </w:tcPr>
          <w:bookmarkEnd w:id="24"/>
          <w:p w14:paraId="53C895D5" w14:textId="24A20FEA" w:rsidR="003D717F" w:rsidRDefault="00AB05AD" w:rsidP="00404769">
            <w:pPr>
              <w:pStyle w:val="ContNum"/>
              <w:spacing w:after="0"/>
              <w:rPr>
                <w:b/>
                <w:noProof/>
                <w:szCs w:val="24"/>
              </w:rPr>
            </w:pPr>
            <w:r>
              <w:rPr>
                <w:b/>
                <w:noProof/>
              </w:rPr>
              <w:t xml:space="preserve">Priorités essentielles </w:t>
            </w:r>
          </w:p>
          <w:p w14:paraId="27895815" w14:textId="77777777" w:rsidR="00404769" w:rsidRDefault="00404769" w:rsidP="00404769">
            <w:pPr>
              <w:pStyle w:val="ContNum"/>
              <w:spacing w:after="0"/>
              <w:rPr>
                <w:b/>
                <w:noProof/>
                <w:szCs w:val="24"/>
              </w:rPr>
            </w:pPr>
          </w:p>
          <w:p w14:paraId="09997131" w14:textId="77777777" w:rsidR="007B510E" w:rsidRPr="0075035A" w:rsidRDefault="007B510E" w:rsidP="00404769">
            <w:pPr>
              <w:pStyle w:val="ContNum"/>
              <w:spacing w:after="0"/>
              <w:rPr>
                <w:b/>
                <w:bCs/>
                <w:noProof/>
                <w:szCs w:val="24"/>
              </w:rPr>
            </w:pPr>
            <w:r>
              <w:rPr>
                <w:b/>
                <w:noProof/>
              </w:rPr>
              <w:t>La Commission et les États membres, avec le soutien des agences compétentes de l’UE, devraient:</w:t>
            </w:r>
          </w:p>
          <w:p w14:paraId="6A74AEED" w14:textId="77777777" w:rsidR="008A635F" w:rsidRDefault="007B510E" w:rsidP="00541FED">
            <w:pPr>
              <w:pStyle w:val="ContNum"/>
              <w:numPr>
                <w:ilvl w:val="0"/>
                <w:numId w:val="101"/>
              </w:numPr>
              <w:spacing w:after="120"/>
              <w:rPr>
                <w:b/>
                <w:noProof/>
              </w:rPr>
            </w:pPr>
            <w:r>
              <w:rPr>
                <w:b/>
                <w:noProof/>
              </w:rPr>
              <w:t xml:space="preserve">faciliter le partage des connaissances et la définition des priorités de recherche, au moyen de dialogues en la matière; </w:t>
            </w:r>
          </w:p>
          <w:p w14:paraId="4737F351" w14:textId="47964227" w:rsidR="007B510E" w:rsidRPr="0075035A" w:rsidRDefault="007B510E" w:rsidP="00541FED">
            <w:pPr>
              <w:pStyle w:val="ContNum"/>
              <w:numPr>
                <w:ilvl w:val="0"/>
                <w:numId w:val="101"/>
              </w:numPr>
              <w:spacing w:after="120"/>
              <w:rPr>
                <w:b/>
                <w:noProof/>
              </w:rPr>
            </w:pPr>
            <w:r>
              <w:rPr>
                <w:b/>
                <w:noProof/>
              </w:rPr>
              <w:t>coordonner le soutien opérationnel et la diffusion de pratiques et de solutions innovantes à destination des acteurs concernés de la lutte antidrogue.</w:t>
            </w:r>
          </w:p>
          <w:p w14:paraId="5E0E2E0F" w14:textId="7C08C7E2" w:rsidR="00D61D38" w:rsidRPr="0075035A" w:rsidRDefault="00407786" w:rsidP="009E4A40">
            <w:pPr>
              <w:pStyle w:val="ContNum"/>
              <w:spacing w:after="120"/>
              <w:rPr>
                <w:b/>
                <w:bCs/>
                <w:noProof/>
                <w:szCs w:val="24"/>
              </w:rPr>
            </w:pPr>
            <w:r>
              <w:rPr>
                <w:b/>
                <w:noProof/>
              </w:rPr>
              <w:t>Conformément à son mandat élargi, l’EUDA:</w:t>
            </w:r>
          </w:p>
          <w:p w14:paraId="48E13178" w14:textId="4F75B9F8" w:rsidR="00407786" w:rsidRPr="0075035A" w:rsidRDefault="00BB35B0" w:rsidP="00541FED">
            <w:pPr>
              <w:pStyle w:val="ListParagraph"/>
              <w:numPr>
                <w:ilvl w:val="0"/>
                <w:numId w:val="101"/>
              </w:numPr>
              <w:spacing w:after="120" w:line="240" w:lineRule="auto"/>
              <w:contextualSpacing w:val="0"/>
              <w:rPr>
                <w:rFonts w:cs="Times New Roman"/>
                <w:b/>
                <w:bCs/>
                <w:noProof/>
              </w:rPr>
            </w:pPr>
            <w:r>
              <w:rPr>
                <w:b/>
                <w:noProof/>
              </w:rPr>
              <w:t xml:space="preserve">améliorera le système d’alerte précoce de l’UE afin d’identifier rapidement et systématiquement les nouvelles substances psychoactives et de transmettre ces informations aux États membres; </w:t>
            </w:r>
          </w:p>
          <w:p w14:paraId="4B666736" w14:textId="6B2E57A6" w:rsidR="007F191F" w:rsidRPr="0075035A" w:rsidRDefault="000F6B72" w:rsidP="00541FED">
            <w:pPr>
              <w:pStyle w:val="ListParagraph"/>
              <w:numPr>
                <w:ilvl w:val="0"/>
                <w:numId w:val="101"/>
              </w:numPr>
              <w:spacing w:after="120" w:line="240" w:lineRule="auto"/>
              <w:contextualSpacing w:val="0"/>
              <w:rPr>
                <w:rFonts w:cs="Times New Roman"/>
                <w:b/>
                <w:bCs/>
                <w:noProof/>
              </w:rPr>
            </w:pPr>
            <w:r>
              <w:rPr>
                <w:b/>
                <w:noProof/>
              </w:rPr>
              <w:t>mettra en place un système européen de notification en matière de drogues afin d’émettre des alertes sanitaires et de sécurité rapides relatives aux risques graves liés aux drogues;</w:t>
            </w:r>
          </w:p>
          <w:p w14:paraId="06453ECE" w14:textId="77777777" w:rsidR="0075035A" w:rsidRPr="0075035A" w:rsidRDefault="00C953E3" w:rsidP="3C2CD52E">
            <w:pPr>
              <w:pStyle w:val="ContNum"/>
              <w:numPr>
                <w:ilvl w:val="0"/>
                <w:numId w:val="101"/>
              </w:numPr>
              <w:spacing w:after="120"/>
              <w:ind w:left="714" w:hanging="357"/>
              <w:rPr>
                <w:b/>
                <w:bCs/>
                <w:noProof/>
                <w:szCs w:val="24"/>
              </w:rPr>
            </w:pPr>
            <w:r>
              <w:rPr>
                <w:b/>
                <w:noProof/>
              </w:rPr>
              <w:t>réalisera des évaluations sur les nouvelles menaces pour la santé et la sécurité liées à la drogue et</w:t>
            </w:r>
            <w:r>
              <w:rPr>
                <w:noProof/>
              </w:rPr>
              <w:t xml:space="preserve"> </w:t>
            </w:r>
            <w:r>
              <w:rPr>
                <w:b/>
                <w:noProof/>
              </w:rPr>
              <w:t>procédera à une évaluation spécifique de la menace que représentent en Europe les opioïdes de synthèse à très forte teneur en principe actif</w:t>
            </w:r>
            <w:r>
              <w:rPr>
                <w:noProof/>
              </w:rPr>
              <w:t>;</w:t>
            </w:r>
          </w:p>
          <w:p w14:paraId="245CC63C" w14:textId="77777777" w:rsidR="0075035A" w:rsidRPr="0075035A" w:rsidRDefault="00541FED" w:rsidP="3C2CD52E">
            <w:pPr>
              <w:pStyle w:val="ContNum"/>
              <w:numPr>
                <w:ilvl w:val="0"/>
                <w:numId w:val="101"/>
              </w:numPr>
              <w:spacing w:after="120"/>
              <w:ind w:left="714" w:hanging="357"/>
              <w:rPr>
                <w:b/>
                <w:bCs/>
                <w:noProof/>
                <w:szCs w:val="24"/>
              </w:rPr>
            </w:pPr>
            <w:r>
              <w:rPr>
                <w:b/>
                <w:noProof/>
              </w:rPr>
              <w:t>surveillera plus régulièrement la situation en matière de drogue, en intensifiant la collecte de données à l’échelle de l’UE, notamment en s’appuyant sur les signalements rapides des points focaux nationaux Reitox</w:t>
            </w:r>
            <w:r>
              <w:rPr>
                <w:rStyle w:val="FootnoteReference0"/>
                <w:b/>
                <w:noProof/>
                <w:szCs w:val="24"/>
              </w:rPr>
              <w:footnoteReference w:id="28"/>
            </w:r>
            <w:r>
              <w:rPr>
                <w:b/>
                <w:noProof/>
              </w:rPr>
              <w:t>.</w:t>
            </w:r>
          </w:p>
          <w:p w14:paraId="3AACA48A" w14:textId="2D9ABD4C" w:rsidR="00256F6D" w:rsidRPr="0075035A" w:rsidRDefault="791640A7" w:rsidP="0075035A">
            <w:pPr>
              <w:pStyle w:val="ContNum"/>
              <w:spacing w:after="120"/>
              <w:rPr>
                <w:b/>
                <w:bCs/>
                <w:noProof/>
                <w:szCs w:val="24"/>
              </w:rPr>
            </w:pPr>
            <w:r>
              <w:rPr>
                <w:b/>
                <w:noProof/>
              </w:rPr>
              <w:t>Les États membres sont encouragés à:</w:t>
            </w:r>
          </w:p>
          <w:p w14:paraId="318FBBAF" w14:textId="35F25623" w:rsidR="00EA0765" w:rsidRPr="00AA30B3" w:rsidRDefault="00256F6D" w:rsidP="00541FED">
            <w:pPr>
              <w:pStyle w:val="ContNum"/>
              <w:numPr>
                <w:ilvl w:val="0"/>
                <w:numId w:val="101"/>
              </w:numPr>
              <w:spacing w:after="120"/>
              <w:rPr>
                <w:b/>
                <w:noProof/>
                <w:szCs w:val="24"/>
              </w:rPr>
            </w:pPr>
            <w:r>
              <w:rPr>
                <w:b/>
                <w:noProof/>
              </w:rPr>
              <w:t>élaborer des mesures nationales de préparation et de réaction assorties d’actions visant à anticiper et à atténuer les menaces nouvelles et émergentes liées à la drogue.</w:t>
            </w:r>
          </w:p>
        </w:tc>
      </w:tr>
    </w:tbl>
    <w:p w14:paraId="3DC18855" w14:textId="77777777" w:rsidR="00027790" w:rsidRPr="0075035A" w:rsidRDefault="00027790" w:rsidP="00A2296C">
      <w:pPr>
        <w:pStyle w:val="ContNum"/>
        <w:spacing w:after="120"/>
        <w:rPr>
          <w:noProof/>
          <w:szCs w:val="24"/>
        </w:rPr>
      </w:pPr>
    </w:p>
    <w:p w14:paraId="27F888BD" w14:textId="5E833E4B" w:rsidR="00731DD4" w:rsidRPr="0075035A" w:rsidRDefault="00205B71" w:rsidP="00B40C65">
      <w:pPr>
        <w:pStyle w:val="Heading2"/>
        <w:spacing w:line="240" w:lineRule="auto"/>
        <w:rPr>
          <w:noProof/>
        </w:rPr>
      </w:pPr>
      <w:r>
        <w:rPr>
          <w:noProof/>
        </w:rPr>
        <w:t>PROTÉGER LA SANTÉ PUBLIQUE</w:t>
      </w:r>
    </w:p>
    <w:p w14:paraId="427B4829" w14:textId="77777777" w:rsidR="0092106A" w:rsidRPr="0075035A" w:rsidRDefault="0092106A" w:rsidP="00404769">
      <w:pPr>
        <w:pStyle w:val="Heading2"/>
        <w:numPr>
          <w:ilvl w:val="0"/>
          <w:numId w:val="0"/>
        </w:numPr>
        <w:rPr>
          <w:noProof/>
        </w:rPr>
      </w:pPr>
    </w:p>
    <w:p w14:paraId="3F20A7F9" w14:textId="5B9FDCC0" w:rsidR="004E4630" w:rsidRPr="0075035A" w:rsidRDefault="62CC6CE1" w:rsidP="0096338D">
      <w:pPr>
        <w:pStyle w:val="ContNum"/>
        <w:rPr>
          <w:noProof/>
          <w:szCs w:val="24"/>
        </w:rPr>
      </w:pPr>
      <w:r>
        <w:rPr>
          <w:noProof/>
          <w:color w:val="000000" w:themeColor="text1"/>
        </w:rPr>
        <w:t xml:space="preserve">La disponibilité et l’utilisation croissantes de drogues illicites variées et à forte teneur en principe actif a de lourdes conséquences sur la santé publique. </w:t>
      </w:r>
      <w:r>
        <w:rPr>
          <w:b/>
          <w:noProof/>
          <w:color w:val="000000" w:themeColor="text1"/>
        </w:rPr>
        <w:t>La réduction de la demande demeure dès lors la priorité première de l’UE dans son combat contre la consommation des drogues illicites</w:t>
      </w:r>
      <w:r>
        <w:rPr>
          <w:noProof/>
          <w:color w:val="000000" w:themeColor="text1"/>
        </w:rPr>
        <w:t>. Parallèlement aux efforts de réduction des dommages, un large éventail de mesures devrait être mis en place pour atteindre trois objectifs principaux: réduire la consommation de drogue, fournir un traitement accessible à tous et soutenir la guérison et la réinsertion des personnes souffrant de troubles causés par leur consommation de drogue.</w:t>
      </w:r>
    </w:p>
    <w:p w14:paraId="4A6526CA" w14:textId="1EE49435" w:rsidR="00632E9E" w:rsidRPr="0075035A" w:rsidRDefault="00632E9E" w:rsidP="00541FED">
      <w:pPr>
        <w:pStyle w:val="Heading3"/>
        <w:ind w:left="0"/>
        <w:rPr>
          <w:noProof/>
        </w:rPr>
      </w:pPr>
      <w:bookmarkStart w:id="26" w:name="_Toc209853379"/>
      <w:bookmarkStart w:id="27" w:name="_Toc212204026"/>
      <w:bookmarkStart w:id="28" w:name="_Toc416610028"/>
      <w:bookmarkStart w:id="29" w:name="_Toc434218353"/>
      <w:r>
        <w:rPr>
          <w:noProof/>
        </w:rPr>
        <w:t>Priorité stratégique nº 2: mettre en œuvre des mesures de prévention et de sensibilisation aux risques fondées sur des données probantes</w:t>
      </w:r>
      <w:bookmarkEnd w:id="26"/>
      <w:bookmarkEnd w:id="27"/>
      <w:bookmarkEnd w:id="28"/>
      <w:bookmarkEnd w:id="29"/>
    </w:p>
    <w:p w14:paraId="16218189" w14:textId="7645B99A" w:rsidR="00D02599" w:rsidRPr="0075035A" w:rsidRDefault="001B21DC" w:rsidP="00D02599">
      <w:pPr>
        <w:pBdr>
          <w:top w:val="single" w:sz="4" w:space="1" w:color="auto"/>
          <w:left w:val="single" w:sz="4" w:space="4" w:color="auto"/>
          <w:bottom w:val="single" w:sz="4" w:space="1" w:color="auto"/>
          <w:right w:val="single" w:sz="4" w:space="4" w:color="auto"/>
        </w:pBdr>
        <w:jc w:val="both"/>
        <w:rPr>
          <w:rFonts w:cs="Times New Roman"/>
          <w:i/>
          <w:iCs/>
          <w:noProof/>
          <w:szCs w:val="24"/>
        </w:rPr>
      </w:pPr>
      <w:r>
        <w:rPr>
          <w:i/>
          <w:noProof/>
        </w:rPr>
        <w:t>L’UE devrait participer activement à la prévention et à la réduction de la consommation de drogue en mettant en place et en développant des activités efficaces de prévention et de sensibilisation dans l’ensemble des États membres, tout en intensifiant les interventions sanitaires efficaces et fondées sur des données probantes.</w:t>
      </w:r>
    </w:p>
    <w:p w14:paraId="020D9B32" w14:textId="3423B99A" w:rsidR="002B4C07" w:rsidRPr="0075035A" w:rsidRDefault="008A635F" w:rsidP="674E0B1F">
      <w:pPr>
        <w:pStyle w:val="ContNum"/>
        <w:numPr>
          <w:ilvl w:val="1"/>
          <w:numId w:val="89"/>
        </w:numPr>
        <w:spacing w:after="120"/>
        <w:rPr>
          <w:b/>
          <w:bCs/>
          <w:i/>
          <w:iCs/>
          <w:noProof/>
          <w:szCs w:val="24"/>
        </w:rPr>
      </w:pPr>
      <w:bookmarkStart w:id="30" w:name="_Hlk212204160"/>
      <w:r>
        <w:rPr>
          <w:b/>
          <w:i/>
          <w:noProof/>
          <w:color w:val="000000" w:themeColor="text1"/>
        </w:rPr>
        <w:t xml:space="preserve"> Renforcer l’efficacité</w:t>
      </w:r>
      <w:r>
        <w:rPr>
          <w:b/>
          <w:i/>
          <w:noProof/>
        </w:rPr>
        <w:t xml:space="preserve"> des activités de prévention </w:t>
      </w:r>
    </w:p>
    <w:bookmarkEnd w:id="30"/>
    <w:p w14:paraId="571C67C6" w14:textId="3A73981A" w:rsidR="00B54B27" w:rsidRPr="0075035A" w:rsidRDefault="3F397F53" w:rsidP="00B54B27">
      <w:pPr>
        <w:pStyle w:val="ContNum"/>
        <w:rPr>
          <w:noProof/>
          <w:color w:val="000000" w:themeColor="text1"/>
          <w:szCs w:val="24"/>
        </w:rPr>
      </w:pPr>
      <w:r>
        <w:rPr>
          <w:noProof/>
          <w:color w:val="000000" w:themeColor="text1"/>
        </w:rPr>
        <w:t xml:space="preserve">La prévention fondée sur des données probantes devrait être au cœur de l’approche de l’UE en matière de santé publique, afin de réduire les risques de toxicomanie et de dommages liés à la drogue. Les États membres devraient donc </w:t>
      </w:r>
      <w:r>
        <w:rPr>
          <w:b/>
          <w:noProof/>
          <w:color w:val="000000" w:themeColor="text1"/>
        </w:rPr>
        <w:t>intensifier les activités de prévention universelle</w:t>
      </w:r>
      <w:r>
        <w:rPr>
          <w:noProof/>
          <w:color w:val="000000" w:themeColor="text1"/>
        </w:rPr>
        <w:t xml:space="preserve">. Les programmes de prévention précoce devraient accroître la résilience, développer les connaissances en matière de santé et promouvoir l’apprentissage de compétences de la vie courante ainsi que l’adoption de modes de vie sains. Il convient de mettre en place des activités de </w:t>
      </w:r>
      <w:r>
        <w:rPr>
          <w:b/>
          <w:noProof/>
          <w:color w:val="000000" w:themeColor="text1"/>
        </w:rPr>
        <w:t>prévention environnementale</w:t>
      </w:r>
      <w:r>
        <w:rPr>
          <w:noProof/>
          <w:color w:val="000000" w:themeColor="text1"/>
        </w:rPr>
        <w:t xml:space="preserve"> visant à réduire l’exposition des personnes à la consommation de substances et leur dépendance à celles-ci</w:t>
      </w:r>
      <w:r>
        <w:rPr>
          <w:rStyle w:val="FootnoteReference0"/>
          <w:noProof/>
          <w:color w:val="000000" w:themeColor="text1"/>
          <w:szCs w:val="24"/>
        </w:rPr>
        <w:footnoteReference w:id="29"/>
      </w:r>
      <w:r>
        <w:rPr>
          <w:noProof/>
          <w:color w:val="000000" w:themeColor="text1"/>
        </w:rPr>
        <w:t>. Afin de renforcer considérablement la résilience des citoyens, les activités de prévention en matière de drogue doivent être intégrées à des interventions portant sur d’autres facteurs de santé critiques, tels que la consommation de tabac et la consommation nocive d’alcool, ainsi qu’à des initiatives globales de promotion de la santé.</w:t>
      </w:r>
    </w:p>
    <w:p w14:paraId="6A18A47F" w14:textId="3A24BEE2" w:rsidR="17930385" w:rsidRPr="0075035A" w:rsidRDefault="35DF38B6" w:rsidP="00B40C65">
      <w:pPr>
        <w:pStyle w:val="ContNum"/>
        <w:rPr>
          <w:noProof/>
        </w:rPr>
      </w:pPr>
      <w:r>
        <w:rPr>
          <w:noProof/>
        </w:rPr>
        <w:t>La Commission intensifiera son action de santé préventive, par des initiatives sur les maladies cardiovasculaires et la santé mentale relevant du cadre «Vivre ensemble en bonne santé» de l’UE sur les maladies non transmissibles</w:t>
      </w:r>
      <w:r>
        <w:rPr>
          <w:rStyle w:val="FootnoteReference0"/>
          <w:noProof/>
          <w:color w:val="000000" w:themeColor="text1"/>
        </w:rPr>
        <w:footnoteReference w:id="30"/>
      </w:r>
      <w:r>
        <w:rPr>
          <w:noProof/>
        </w:rPr>
        <w:t>. Cette approche/démarche contribue à réduire la consommation de drogue et à renforcer la santé mentale contre les troubles causés par la consommation de substances. La Commission aide les États membres en adoptant, dans une communication spécifique</w:t>
      </w:r>
      <w:r>
        <w:rPr>
          <w:rStyle w:val="FootnoteReference0"/>
          <w:noProof/>
          <w:color w:val="000000" w:themeColor="text1"/>
        </w:rPr>
        <w:footnoteReference w:id="31"/>
      </w:r>
      <w:r>
        <w:rPr>
          <w:noProof/>
        </w:rPr>
        <w:t>, une approche globale en matière de santé mentale, axée sur les groupes vulnérables et les inégalités en matière de santé. Parmi les initiatives clés figurent le renforcement des capacités des États membres, en collaboration avec l’Organisation mondiale de la santé (OMS)</w:t>
      </w:r>
      <w:r>
        <w:rPr>
          <w:rStyle w:val="FootnoteReference0"/>
          <w:noProof/>
          <w:color w:val="000000" w:themeColor="text1"/>
        </w:rPr>
        <w:footnoteReference w:id="32"/>
      </w:r>
      <w:r>
        <w:rPr>
          <w:noProof/>
        </w:rPr>
        <w:t>, et la mise en place d’EU-PROMENS</w:t>
      </w:r>
      <w:r>
        <w:rPr>
          <w:rStyle w:val="FootnoteReference0"/>
          <w:noProof/>
          <w:color w:val="000000" w:themeColor="text1"/>
        </w:rPr>
        <w:footnoteReference w:id="33"/>
      </w:r>
      <w:r>
        <w:rPr>
          <w:noProof/>
        </w:rPr>
        <w:t xml:space="preserve">, un programme de formation et d’échange sur la santé mentale </w:t>
      </w:r>
      <w:bookmarkStart w:id="31" w:name="_Hlk214030799"/>
      <w:r>
        <w:rPr>
          <w:noProof/>
        </w:rPr>
        <w:t>axé sur le soutien aux groupes vulnérables</w:t>
      </w:r>
      <w:bookmarkEnd w:id="31"/>
      <w:r>
        <w:rPr>
          <w:noProof/>
        </w:rPr>
        <w:t>.</w:t>
      </w:r>
    </w:p>
    <w:p w14:paraId="764024F2" w14:textId="67DA1494" w:rsidR="00277C42" w:rsidRPr="0075035A" w:rsidRDefault="26661940" w:rsidP="674E0B1F">
      <w:pPr>
        <w:spacing w:after="120" w:line="240" w:lineRule="auto"/>
        <w:jc w:val="both"/>
        <w:rPr>
          <w:rFonts w:cs="Times New Roman"/>
          <w:noProof/>
          <w:color w:val="000000" w:themeColor="text1"/>
          <w:szCs w:val="24"/>
        </w:rPr>
      </w:pPr>
      <w:r>
        <w:rPr>
          <w:noProof/>
        </w:rPr>
        <w:t xml:space="preserve">Dans le même temps, nous devons </w:t>
      </w:r>
      <w:r>
        <w:rPr>
          <w:noProof/>
          <w:color w:val="000000" w:themeColor="text1"/>
        </w:rPr>
        <w:t xml:space="preserve">améliorer la perception qu’ont les citoyens des risques pour la santé et la sécurité liés à la consommation, à la production et au trafic de drogue. </w:t>
      </w:r>
      <w:r>
        <w:rPr>
          <w:noProof/>
        </w:rPr>
        <w:t>L’utilisation croissante de stimulants tels que la cocaïne est très préoccupante, puisqu’elle crée non seulement d’importants problèmes de santé publique, y compris des risques sanitaires à long terme</w:t>
      </w:r>
      <w:r>
        <w:rPr>
          <w:rStyle w:val="FootnoteReference0"/>
          <w:rFonts w:eastAsia="Times New Roman" w:cs="Times New Roman"/>
          <w:noProof/>
          <w:szCs w:val="24"/>
          <w:lang w:eastAsia="en-GB"/>
        </w:rPr>
        <w:footnoteReference w:id="34"/>
      </w:r>
      <w:r>
        <w:rPr>
          <w:noProof/>
        </w:rPr>
        <w:t>, mais compromet également la sécurité, à cause de la violence et de la criminalité qui règnent sur le marché de la cocaïne</w:t>
      </w:r>
      <w:r>
        <w:rPr>
          <w:rStyle w:val="FootnoteReference0"/>
          <w:rFonts w:eastAsia="Times New Roman" w:cs="Times New Roman"/>
          <w:noProof/>
          <w:szCs w:val="24"/>
          <w:lang w:eastAsia="en-GB"/>
        </w:rPr>
        <w:footnoteReference w:id="35"/>
      </w:r>
      <w:r>
        <w:rPr>
          <w:noProof/>
        </w:rPr>
        <w:t>. L’UE devrait donc encourager les communications destinées à sensibiliser le public et fondées sur des données probantes.</w:t>
      </w:r>
      <w:r>
        <w:rPr>
          <w:noProof/>
          <w:color w:val="000000" w:themeColor="text1"/>
        </w:rPr>
        <w:t xml:space="preserve"> Pour lutter de manière plus efficace contre ces phénomènes, l’EUDA aidera les États membres </w:t>
      </w:r>
      <w:r>
        <w:rPr>
          <w:b/>
          <w:noProof/>
          <w:color w:val="000000" w:themeColor="text1"/>
        </w:rPr>
        <w:t>à mettre en place des activités de sensibilisation efficaces</w:t>
      </w:r>
      <w:r>
        <w:rPr>
          <w:noProof/>
          <w:color w:val="000000" w:themeColor="text1"/>
        </w:rPr>
        <w:t xml:space="preserve"> ciblant des domaines prioritaires, notamment </w:t>
      </w:r>
      <w:r>
        <w:rPr>
          <w:noProof/>
        </w:rPr>
        <w:t>la consommation de cocaïne et les nouvelles drogues de synthèse à forte teneur en principe actif.</w:t>
      </w:r>
      <w:r>
        <w:rPr>
          <w:noProof/>
          <w:color w:val="000000" w:themeColor="text1"/>
        </w:rPr>
        <w:t xml:space="preserve"> </w:t>
      </w:r>
    </w:p>
    <w:p w14:paraId="1E648C2F" w14:textId="579A6D74" w:rsidR="00277C42" w:rsidRPr="0075035A" w:rsidRDefault="006C4929" w:rsidP="00B40C65">
      <w:pPr>
        <w:spacing w:after="120" w:line="240" w:lineRule="auto"/>
        <w:jc w:val="both"/>
        <w:rPr>
          <w:rFonts w:cs="Times New Roman"/>
          <w:noProof/>
          <w:color w:val="000000" w:themeColor="text1"/>
        </w:rPr>
      </w:pPr>
      <w:r>
        <w:rPr>
          <w:noProof/>
          <w:color w:val="000000" w:themeColor="text1"/>
        </w:rPr>
        <w:t xml:space="preserve">En outre, les États membres devraient se concentrer sur la création et la promotion de </w:t>
      </w:r>
      <w:r>
        <w:rPr>
          <w:b/>
          <w:noProof/>
          <w:color w:val="000000" w:themeColor="text1"/>
        </w:rPr>
        <w:t>mesures de prévention ciblées</w:t>
      </w:r>
      <w:r>
        <w:rPr>
          <w:noProof/>
          <w:color w:val="000000" w:themeColor="text1"/>
        </w:rPr>
        <w:t xml:space="preserve"> spécifiquement conçues pour les groupes particulièrement vulnérables à l’exposition aux drogues illicites. Il s’agit notamment </w:t>
      </w:r>
      <w:r>
        <w:rPr>
          <w:noProof/>
        </w:rPr>
        <w:t xml:space="preserve">des jeunes qui risquent de consommer des drogues ou en consomment déjà ainsi que des personnes souffrant de troubles aigus et chroniques de santé mentale. </w:t>
      </w:r>
      <w:r>
        <w:rPr>
          <w:noProof/>
          <w:color w:val="000000" w:themeColor="text1"/>
        </w:rPr>
        <w:t>Les activités de prévention ciblées devraient être ancrées dans la science, adaptées à des contextes socio-économiques et culturels spécifiques</w:t>
      </w:r>
      <w:r>
        <w:rPr>
          <w:noProof/>
        </w:rPr>
        <w:t xml:space="preserve"> et mises en œuvre dans divers </w:t>
      </w:r>
      <w:r>
        <w:rPr>
          <w:noProof/>
          <w:color w:val="000000" w:themeColor="text1"/>
        </w:rPr>
        <w:t>environnements tels que les écoles, les complexes sportifs, les lieux de vie nocturne, internet, les plateformes de réseaux sociaux ainsi que les prisons.</w:t>
      </w:r>
    </w:p>
    <w:p w14:paraId="6D916E3A" w14:textId="4E2B9286" w:rsidR="00B5011D" w:rsidRPr="0075035A" w:rsidRDefault="00B5011D" w:rsidP="008E288C">
      <w:pPr>
        <w:pStyle w:val="Heading4"/>
        <w:numPr>
          <w:ilvl w:val="1"/>
          <w:numId w:val="89"/>
        </w:numPr>
        <w:rPr>
          <w:noProof/>
          <w:color w:val="000000" w:themeColor="text1"/>
          <w:szCs w:val="24"/>
        </w:rPr>
      </w:pPr>
      <w:r>
        <w:rPr>
          <w:noProof/>
        </w:rPr>
        <w:t xml:space="preserve"> </w:t>
      </w:r>
      <w:bookmarkStart w:id="32" w:name="_Toc212204027"/>
      <w:r>
        <w:rPr>
          <w:noProof/>
        </w:rPr>
        <w:t>Diffuser des données probantes pour que les activités de prévention soient efficaces</w:t>
      </w:r>
      <w:bookmarkEnd w:id="32"/>
    </w:p>
    <w:p w14:paraId="064AD4B2" w14:textId="5B4828A9" w:rsidR="00186B46" w:rsidRPr="0075035A" w:rsidRDefault="2BAC41BF" w:rsidP="00A479C9">
      <w:pPr>
        <w:pStyle w:val="ContNum"/>
        <w:spacing w:after="120"/>
        <w:rPr>
          <w:noProof/>
          <w:szCs w:val="24"/>
        </w:rPr>
      </w:pPr>
      <w:r>
        <w:rPr>
          <w:noProof/>
          <w:color w:val="000000" w:themeColor="text1"/>
        </w:rPr>
        <w:t xml:space="preserve">L’UE devrait favoriser l’application de </w:t>
      </w:r>
      <w:r>
        <w:rPr>
          <w:b/>
          <w:noProof/>
          <w:color w:val="000000" w:themeColor="text1"/>
        </w:rPr>
        <w:t>programmes de sensibilisation et de prévention fondés sur des données probantes</w:t>
      </w:r>
      <w:r>
        <w:rPr>
          <w:noProof/>
        </w:rPr>
        <w:t>, le suivi des nouvelles interventions, l’examen de leur efficacité et la diffusion des bonnes pratiques.</w:t>
      </w:r>
    </w:p>
    <w:p w14:paraId="5E74A135" w14:textId="6D289A8C" w:rsidR="009C0A53" w:rsidRPr="0075035A" w:rsidRDefault="000368D5" w:rsidP="00A2296C">
      <w:pPr>
        <w:spacing w:after="120" w:line="240" w:lineRule="auto"/>
        <w:jc w:val="both"/>
        <w:rPr>
          <w:rFonts w:cs="Times New Roman"/>
          <w:noProof/>
          <w:color w:val="000000" w:themeColor="text1"/>
          <w:szCs w:val="24"/>
        </w:rPr>
      </w:pPr>
      <w:r>
        <w:rPr>
          <w:noProof/>
          <w:color w:val="000000" w:themeColor="text1"/>
        </w:rPr>
        <w:t xml:space="preserve">Il est nécessaire de renforcer la mise en œuvre, dans tous les États membres, des </w:t>
      </w:r>
      <w:r>
        <w:rPr>
          <w:b/>
          <w:noProof/>
          <w:color w:val="000000" w:themeColor="text1"/>
        </w:rPr>
        <w:t>normes de qualité</w:t>
      </w:r>
      <w:r>
        <w:rPr>
          <w:noProof/>
          <w:color w:val="000000" w:themeColor="text1"/>
        </w:rPr>
        <w:t xml:space="preserve"> existantes en matière de prévention.</w:t>
      </w:r>
      <w:r>
        <w:rPr>
          <w:b/>
          <w:noProof/>
          <w:color w:val="000000" w:themeColor="text1"/>
        </w:rPr>
        <w:t xml:space="preserve"> </w:t>
      </w:r>
      <w:r>
        <w:rPr>
          <w:noProof/>
          <w:color w:val="000000" w:themeColor="text1"/>
        </w:rPr>
        <w:t xml:space="preserve">Les normes minimales de qualité pour la réduction de la demande, les normes de qualité européennes de prévention de la toxicomanie, les normes internationales en matière de prévention de l’usage de drogues de l’Office des Nations unies contre la drogue et le crime (ONUDC)/OMS ainsi que le programme européen de formation en matière de prévention fournissent des orientations pratiques pour une prévention efficace. </w:t>
      </w:r>
      <w:bookmarkStart w:id="33" w:name="_Hlk211003335"/>
      <w:r>
        <w:rPr>
          <w:noProof/>
          <w:color w:val="000000" w:themeColor="text1"/>
        </w:rPr>
        <w:t>Les États membres devraient redoubler d’efforts pour améliorer la qualité des activités de prévention, de traitement et de soins en élaborant des modules de formation à l’intention des praticiens, des professionnels de la santé, des travailleurs sociaux, des services répressifs et des responsables politiques.</w:t>
      </w:r>
      <w:bookmarkEnd w:id="33"/>
    </w:p>
    <w:p w14:paraId="6AF197CC" w14:textId="4FCE965F" w:rsidR="00632E9E" w:rsidRPr="0075035A" w:rsidRDefault="2274C942" w:rsidP="00541FED">
      <w:pPr>
        <w:pStyle w:val="Heading3"/>
        <w:ind w:left="0"/>
        <w:rPr>
          <w:noProof/>
        </w:rPr>
      </w:pPr>
      <w:bookmarkStart w:id="34" w:name="_Toc212204028"/>
      <w:bookmarkStart w:id="35" w:name="_Toc1947191917"/>
      <w:bookmarkStart w:id="36" w:name="_Toc1237853495"/>
      <w:bookmarkStart w:id="37" w:name="_Toc209853380"/>
      <w:r>
        <w:rPr>
          <w:noProof/>
        </w:rPr>
        <w:t>Priorité stratégique nº 3: améliorer le traitement, la guérison et la réinsertion</w:t>
      </w:r>
      <w:bookmarkEnd w:id="34"/>
      <w:bookmarkEnd w:id="35"/>
      <w:bookmarkEnd w:id="36"/>
      <w:bookmarkEnd w:id="37"/>
    </w:p>
    <w:p w14:paraId="0EA2491D" w14:textId="3E62B14B" w:rsidR="00E95E3F" w:rsidRPr="0075035A" w:rsidRDefault="002A25C9" w:rsidP="2326B0DA">
      <w:pPr>
        <w:pBdr>
          <w:top w:val="single" w:sz="4" w:space="4" w:color="auto"/>
          <w:left w:val="single" w:sz="4" w:space="4" w:color="auto"/>
          <w:bottom w:val="single" w:sz="4" w:space="4" w:color="auto"/>
          <w:right w:val="single" w:sz="4" w:space="4" w:color="auto"/>
        </w:pBdr>
        <w:jc w:val="both"/>
        <w:rPr>
          <w:rFonts w:cs="Times New Roman"/>
          <w:i/>
          <w:iCs/>
          <w:noProof/>
        </w:rPr>
      </w:pPr>
      <w:r>
        <w:rPr>
          <w:i/>
          <w:noProof/>
        </w:rPr>
        <w:t>Les États membres devraient veiller à ce que les personnes qui consomment des drogues aient accès à des soins de santé et à une aide sociale, en leur proposant un traitement à prix abordable assorti d’activités de réinsertion et d’inclusion sociale.</w:t>
      </w:r>
    </w:p>
    <w:p w14:paraId="7D29EEB5" w14:textId="7C26DE63" w:rsidR="00D6376E" w:rsidRPr="0075035A" w:rsidRDefault="00D6376E" w:rsidP="008E288C">
      <w:pPr>
        <w:pStyle w:val="Heading4"/>
        <w:numPr>
          <w:ilvl w:val="1"/>
          <w:numId w:val="92"/>
        </w:numPr>
        <w:rPr>
          <w:noProof/>
          <w:szCs w:val="24"/>
        </w:rPr>
      </w:pPr>
      <w:r>
        <w:rPr>
          <w:noProof/>
        </w:rPr>
        <w:t xml:space="preserve"> </w:t>
      </w:r>
      <w:bookmarkStart w:id="38" w:name="_Toc212204029"/>
      <w:r>
        <w:rPr>
          <w:noProof/>
        </w:rPr>
        <w:t>Faciliter l’accès à des possibilités de traitement facultatives, intégrées et adaptées</w:t>
      </w:r>
      <w:bookmarkEnd w:id="38"/>
    </w:p>
    <w:p w14:paraId="307B23AE" w14:textId="3688B638" w:rsidR="0013770D" w:rsidRPr="0075035A" w:rsidRDefault="28FCEC72" w:rsidP="0013770D">
      <w:pPr>
        <w:pStyle w:val="ContNum"/>
        <w:spacing w:after="120"/>
        <w:rPr>
          <w:noProof/>
          <w:color w:val="000000" w:themeColor="text1"/>
          <w:szCs w:val="24"/>
        </w:rPr>
      </w:pPr>
      <w:r>
        <w:rPr>
          <w:noProof/>
          <w:color w:val="000000" w:themeColor="text1"/>
        </w:rPr>
        <w:t xml:space="preserve">Les personnes qui consomment des drogues devraient avoir aisément </w:t>
      </w:r>
      <w:r>
        <w:rPr>
          <w:b/>
          <w:noProof/>
          <w:color w:val="000000" w:themeColor="text1"/>
        </w:rPr>
        <w:t>accès à un traitement à prix abordable, de qualité et adapté</w:t>
      </w:r>
      <w:r>
        <w:rPr>
          <w:noProof/>
          <w:color w:val="000000" w:themeColor="text1"/>
        </w:rPr>
        <w:t>, lorsqu’elles en ont besoin, conformément au droit d’accéder à des soins de santé énoncé dans le socle européen des droits sociaux</w:t>
      </w:r>
      <w:r>
        <w:rPr>
          <w:rStyle w:val="FootnoteReference0"/>
          <w:noProof/>
          <w:color w:val="000000" w:themeColor="text1"/>
        </w:rPr>
        <w:footnoteReference w:id="36"/>
      </w:r>
      <w:r>
        <w:rPr>
          <w:noProof/>
          <w:color w:val="000000" w:themeColor="text1"/>
        </w:rPr>
        <w:t>. Compte tenu de la diversité des drogues illicites en circulation, l’indisponibilité ou la prise insuffisante d’un traitement a une incidence négative sur la santé.</w:t>
      </w:r>
    </w:p>
    <w:p w14:paraId="5E749280" w14:textId="14406EAD" w:rsidR="00F51DA1" w:rsidRPr="0075035A" w:rsidRDefault="00DA67B6" w:rsidP="00E9188E">
      <w:pPr>
        <w:pStyle w:val="ContNum"/>
        <w:spacing w:after="120"/>
        <w:rPr>
          <w:noProof/>
          <w:color w:val="000000" w:themeColor="text1"/>
        </w:rPr>
      </w:pPr>
      <w:r>
        <w:rPr>
          <w:noProof/>
          <w:color w:val="000000" w:themeColor="text1"/>
        </w:rPr>
        <w:t>En conséquence, les systèmes de soins de santé nationaux et régionaux devraient s’efforcer d’améliorer leur capacité à fournir, dans toute l’Europe, des services efficaces de traitement et de guérison centrés sur les personnes et spécialisés dans les troubles causés par la consommation de drogues, y compris dans les régions moins développées, les zones rurales et isolées et les régions ultrapériphériques de l’Union.</w:t>
      </w:r>
      <w:r>
        <w:rPr>
          <w:noProof/>
        </w:rPr>
        <w:t xml:space="preserve"> </w:t>
      </w:r>
      <w:r>
        <w:rPr>
          <w:noProof/>
        </w:rPr>
        <w:br/>
      </w:r>
      <w:r>
        <w:rPr>
          <w:noProof/>
          <w:color w:val="000000" w:themeColor="text1"/>
        </w:rPr>
        <w:t xml:space="preserve">Compte tenu de la diversité des besoins, les États membres sont encouragés à proposer un </w:t>
      </w:r>
      <w:r>
        <w:rPr>
          <w:b/>
          <w:noProof/>
          <w:color w:val="000000" w:themeColor="text1"/>
        </w:rPr>
        <w:t>large éventail de traitements ayant fait leurs preuves</w:t>
      </w:r>
      <w:r>
        <w:rPr>
          <w:noProof/>
          <w:color w:val="000000" w:themeColor="text1"/>
        </w:rPr>
        <w:t>, dans le cadre d’un continuum de soins. Il s’agit notamment de services intégrés pour les personnes confrontées à la polyconsommation et pour celles ayant des problèmes concomitants de toxicomanie et de santé mentale</w:t>
      </w:r>
      <w:r>
        <w:rPr>
          <w:rStyle w:val="FootnoteReference0"/>
          <w:noProof/>
          <w:color w:val="000000" w:themeColor="text1"/>
        </w:rPr>
        <w:footnoteReference w:id="37"/>
      </w:r>
      <w:r>
        <w:rPr>
          <w:noProof/>
          <w:color w:val="000000" w:themeColor="text1"/>
        </w:rPr>
        <w:t>. Il est nécessaire d’offrir des possibilités de traitement supplémentaires pour lutter contre la consommation de stimulants tels que la cocaïne. Les services intégrés de traitement de la toxicomanie devraient combiner les services de santé, l’aide sociale et, s’il y a lieu, la participation des services répressifs afin de tenir compte de l’interconnexion entre la santé, le bien-être social et la sécurité.</w:t>
      </w:r>
    </w:p>
    <w:p w14:paraId="1ED4967A" w14:textId="5654B670" w:rsidR="000D068C" w:rsidRPr="0075035A" w:rsidRDefault="3C296F4E" w:rsidP="2326B0DA">
      <w:pPr>
        <w:pStyle w:val="ContNum"/>
        <w:spacing w:after="120"/>
        <w:rPr>
          <w:noProof/>
          <w:color w:val="000000" w:themeColor="text1"/>
        </w:rPr>
      </w:pPr>
      <w:r>
        <w:rPr>
          <w:noProof/>
          <w:color w:val="000000" w:themeColor="text1"/>
        </w:rPr>
        <w:t>En outre, les États membres devraient renforcer la prévention, le traitement et les soins en matière de drogue dans les prisons, afin de remédier à la prévalence plus élevée de la consommation de drogue en milieu carcéral par rapport à la population générale. Le traitement, la réhabilitation et la guérison doivent se poursuivre, tant pendant l’incarcération qu’après la remise en liberté.</w:t>
      </w:r>
    </w:p>
    <w:p w14:paraId="06D4D86D" w14:textId="5BD168C9" w:rsidR="00205B71" w:rsidRPr="0075035A" w:rsidRDefault="3C9DED74" w:rsidP="009678FC">
      <w:pPr>
        <w:pStyle w:val="ContNum"/>
        <w:rPr>
          <w:noProof/>
          <w:color w:val="000000" w:themeColor="text1"/>
        </w:rPr>
      </w:pPr>
      <w:r>
        <w:rPr>
          <w:noProof/>
          <w:color w:val="000000" w:themeColor="text1"/>
        </w:rPr>
        <w:t xml:space="preserve">L’accès aux traitements en Europe devrait être </w:t>
      </w:r>
      <w:r>
        <w:rPr>
          <w:b/>
          <w:noProof/>
          <w:color w:val="000000" w:themeColor="text1"/>
        </w:rPr>
        <w:t>facultatif</w:t>
      </w:r>
      <w:r>
        <w:rPr>
          <w:noProof/>
          <w:color w:val="000000" w:themeColor="text1"/>
        </w:rPr>
        <w:t xml:space="preserve"> et de grande qualité. Les États membres devraient </w:t>
      </w:r>
      <w:r>
        <w:rPr>
          <w:b/>
          <w:noProof/>
          <w:color w:val="000000" w:themeColor="text1"/>
        </w:rPr>
        <w:t>améliorer la qualité des traitements administrés</w:t>
      </w:r>
      <w:r>
        <w:rPr>
          <w:noProof/>
          <w:color w:val="000000" w:themeColor="text1"/>
        </w:rPr>
        <w:t xml:space="preserve"> pour qu’ils intègrent les données scientifiques les plus récentes et l’évolution des besoins de la société. Les États membres sont donc encouragés à actualiser et à mettre en œuvre les normes minimales de qualité pour la réduction de la demande de drogue adoptées par le Conseil en 2015</w:t>
      </w:r>
      <w:r>
        <w:rPr>
          <w:rStyle w:val="FootnoteReference0"/>
          <w:noProof/>
          <w:color w:val="000000" w:themeColor="text1"/>
        </w:rPr>
        <w:footnoteReference w:id="38"/>
      </w:r>
      <w:r>
        <w:rPr>
          <w:noProof/>
          <w:color w:val="000000" w:themeColor="text1"/>
        </w:rPr>
        <w:t xml:space="preserve"> et à dialoguer avec les organisations de la société civile et les groupes de pairs. L’EUDA appuiera ces efforts, en évaluant la qualité des interventions aux niveaux national, régional et local (EU-Quality) et en élaborant des </w:t>
      </w:r>
      <w:r>
        <w:rPr>
          <w:b/>
          <w:noProof/>
          <w:color w:val="000000" w:themeColor="text1"/>
        </w:rPr>
        <w:t>orientations détaillées, à l’échelle de l’UE, sur les normes de qualité</w:t>
      </w:r>
      <w:r>
        <w:rPr>
          <w:noProof/>
          <w:color w:val="000000" w:themeColor="text1"/>
        </w:rPr>
        <w:t>.</w:t>
      </w:r>
    </w:p>
    <w:p w14:paraId="57E40EA9" w14:textId="722E1A66" w:rsidR="00D6376E" w:rsidRPr="0075035A" w:rsidRDefault="00DB367B" w:rsidP="008E288C">
      <w:pPr>
        <w:pStyle w:val="Heading4"/>
        <w:numPr>
          <w:ilvl w:val="1"/>
          <w:numId w:val="92"/>
        </w:numPr>
        <w:rPr>
          <w:noProof/>
          <w:szCs w:val="24"/>
        </w:rPr>
      </w:pPr>
      <w:r>
        <w:rPr>
          <w:noProof/>
        </w:rPr>
        <w:t xml:space="preserve"> </w:t>
      </w:r>
      <w:bookmarkStart w:id="39" w:name="_Toc212204030"/>
      <w:r>
        <w:rPr>
          <w:noProof/>
        </w:rPr>
        <w:t>Favoriser la réinsertion et l’inclusion sociale</w:t>
      </w:r>
      <w:bookmarkEnd w:id="39"/>
    </w:p>
    <w:p w14:paraId="7BBFF522" w14:textId="5B81256C" w:rsidR="00910C08" w:rsidRPr="0075035A" w:rsidRDefault="1A485D53" w:rsidP="00910C08">
      <w:pPr>
        <w:spacing w:after="120" w:line="240" w:lineRule="auto"/>
        <w:jc w:val="both"/>
        <w:rPr>
          <w:rFonts w:cs="Times New Roman"/>
          <w:noProof/>
          <w:color w:val="000000" w:themeColor="text1"/>
          <w:szCs w:val="24"/>
        </w:rPr>
      </w:pPr>
      <w:r>
        <w:rPr>
          <w:noProof/>
          <w:color w:val="000000" w:themeColor="text1"/>
        </w:rPr>
        <w:t>Des activités accélérant la guérison et la réinsertion sociale devraient compléter les services de traitement de la toxicomanie et ainsi favoriser une approche englobant l’ensemble de la société. Afin que personne ne soit laissé pour compte, il est essentiel d’encourager une collaboration active entre les services de santé, l’aide sociale, le secteur de l’emploi, les services destinés aux jeunes et les services dédiés à la réduction des dommages.</w:t>
      </w:r>
    </w:p>
    <w:p w14:paraId="2EFCAE39" w14:textId="4180D404" w:rsidR="004C23B9" w:rsidRPr="0075035A" w:rsidRDefault="004D138D" w:rsidP="00A2296C">
      <w:pPr>
        <w:spacing w:after="120" w:line="240" w:lineRule="auto"/>
        <w:jc w:val="both"/>
        <w:rPr>
          <w:rFonts w:cs="Times New Roman"/>
          <w:noProof/>
          <w:color w:val="000000" w:themeColor="text1"/>
        </w:rPr>
      </w:pPr>
      <w:r>
        <w:rPr>
          <w:noProof/>
          <w:color w:val="000000" w:themeColor="text1"/>
        </w:rPr>
        <w:t xml:space="preserve">La consommation de drogue peut être à la fois une conséquence et une cause d’exclusion sociale. Les États membres doivent améliorer la </w:t>
      </w:r>
      <w:r>
        <w:rPr>
          <w:b/>
          <w:noProof/>
          <w:color w:val="000000" w:themeColor="text1"/>
        </w:rPr>
        <w:t>réinsertion des personnes</w:t>
      </w:r>
      <w:r>
        <w:rPr>
          <w:noProof/>
          <w:color w:val="000000" w:themeColor="text1"/>
        </w:rPr>
        <w:t xml:space="preserve"> souffrant de troubles causés par leur consommation de drogue, dans la société et sur le marché du travail. Cela contribue à la réduction de la consommation de drogue et du risque de rechute post-traitement. La Commission œuvrera en ce sens,</w:t>
      </w:r>
      <w:r>
        <w:rPr>
          <w:noProof/>
        </w:rPr>
        <w:t xml:space="preserve"> en encourageant l’intégration socio-économique des personnes en situation de vulnérabilité, y compris les personnes consommatrices de drogues, au moyen des actuels et futurs instruments de dépenses de l’UE, tels que le Fonds social européen plus (FSE+) et le Fonds européen de développement régional (FEDER) ou les plans de partenariat national et régional proposés pour après 2028.</w:t>
      </w:r>
    </w:p>
    <w:p w14:paraId="0E4B6409" w14:textId="11897FF4" w:rsidR="00E67730" w:rsidRPr="0075035A" w:rsidRDefault="00BD4B05" w:rsidP="00A2296C">
      <w:pPr>
        <w:spacing w:after="120" w:line="240" w:lineRule="auto"/>
        <w:jc w:val="both"/>
        <w:rPr>
          <w:rFonts w:cs="Times New Roman"/>
          <w:noProof/>
          <w:color w:val="000000" w:themeColor="text1"/>
          <w:szCs w:val="24"/>
        </w:rPr>
      </w:pPr>
      <w:r>
        <w:rPr>
          <w:noProof/>
          <w:color w:val="000000" w:themeColor="text1"/>
        </w:rPr>
        <w:t xml:space="preserve">Les mesures sociales peuvent également changer la donne </w:t>
      </w:r>
      <w:r>
        <w:rPr>
          <w:noProof/>
        </w:rPr>
        <w:t xml:space="preserve">pour les </w:t>
      </w:r>
      <w:r>
        <w:rPr>
          <w:noProof/>
          <w:color w:val="000000" w:themeColor="text1"/>
        </w:rPr>
        <w:t>personnes consommatrices de drogues, en particulier pour celles qui sont également exposées au risque de pauvreté, d’exclusion sociale ou de sans-abrisme.</w:t>
      </w:r>
      <w:r>
        <w:rPr>
          <w:noProof/>
        </w:rPr>
        <w:t xml:space="preserve"> </w:t>
      </w:r>
      <w:r>
        <w:rPr>
          <w:noProof/>
          <w:color w:val="000000" w:themeColor="text1"/>
        </w:rPr>
        <w:t xml:space="preserve">Les États membres sont encouragés à </w:t>
      </w:r>
      <w:r>
        <w:rPr>
          <w:b/>
          <w:noProof/>
          <w:color w:val="000000" w:themeColor="text1"/>
        </w:rPr>
        <w:t>appliquer des mesures de soutien social destinées aux personnes consommatrices de drogues</w:t>
      </w:r>
      <w:r>
        <w:rPr>
          <w:noProof/>
        </w:rPr>
        <w:t>, notamment au moyen de projets de proximité et menés par des pairs, portant sur la guérison, le logement, l’aide en matière de santé mentale et les perspectives d’emploi</w:t>
      </w:r>
      <w:bookmarkStart w:id="40" w:name="_Hlk213685773"/>
      <w:bookmarkStart w:id="41" w:name="_Hlk213686081"/>
      <w:r>
        <w:rPr>
          <w:noProof/>
          <w:color w:val="000000" w:themeColor="text1"/>
        </w:rPr>
        <w:t>. L</w:t>
      </w:r>
      <w:r>
        <w:rPr>
          <w:noProof/>
        </w:rPr>
        <w:t xml:space="preserve">a Commission renforcera les mesures visant à traiter des multiples dimensions et causes structurelles de l’exclusion et à améliorer l’accès aux services sociaux et de soutien, </w:t>
      </w:r>
      <w:r>
        <w:rPr>
          <w:noProof/>
          <w:color w:val="000000" w:themeColor="text1"/>
        </w:rPr>
        <w:t>notamment dans le contexte de la future stratégie européenne de lutte contre la pauvreté.</w:t>
      </w:r>
      <w:r>
        <w:rPr>
          <w:noProof/>
        </w:rPr>
        <w:t xml:space="preserve"> </w:t>
      </w:r>
      <w:bookmarkEnd w:id="40"/>
      <w:r>
        <w:rPr>
          <w:noProof/>
        </w:rPr>
        <w:t xml:space="preserve">En outre, dans le cadre de la </w:t>
      </w:r>
      <w:r>
        <w:rPr>
          <w:b/>
          <w:noProof/>
        </w:rPr>
        <w:t>plateforme européenne sur la lutte contre le sans-abrisme</w:t>
      </w:r>
      <w:r>
        <w:rPr>
          <w:noProof/>
        </w:rPr>
        <w:t>, la Commission définira les besoins des groupes vulnérables, dont les personnes consommatrices de drogues, et luttera contre le sans-abrisme dans toutes ses politiques.</w:t>
      </w:r>
      <w:bookmarkEnd w:id="41"/>
    </w:p>
    <w:p w14:paraId="7C5DE084" w14:textId="0F1150CB" w:rsidR="004C23B9" w:rsidRPr="0075035A" w:rsidRDefault="51925948" w:rsidP="00A2296C">
      <w:pPr>
        <w:spacing w:after="120" w:line="240" w:lineRule="auto"/>
        <w:jc w:val="both"/>
        <w:rPr>
          <w:rFonts w:cs="Times New Roman"/>
          <w:noProof/>
          <w:color w:val="000000" w:themeColor="text1"/>
          <w:szCs w:val="24"/>
        </w:rPr>
      </w:pPr>
      <w:r>
        <w:rPr>
          <w:noProof/>
          <w:color w:val="000000" w:themeColor="text1"/>
        </w:rPr>
        <w:t>L’intégration des politiques sociales et de sécurité est essentielle. Les alternatives à la détention provisoire</w:t>
      </w:r>
      <w:r>
        <w:rPr>
          <w:rStyle w:val="FootnoteReference0"/>
          <w:rFonts w:cs="Times New Roman"/>
          <w:noProof/>
          <w:color w:val="000000" w:themeColor="text1"/>
        </w:rPr>
        <w:footnoteReference w:id="39"/>
      </w:r>
      <w:r>
        <w:rPr>
          <w:noProof/>
          <w:color w:val="000000" w:themeColor="text1"/>
        </w:rPr>
        <w:t xml:space="preserve"> et aux mesures coercitives</w:t>
      </w:r>
      <w:r>
        <w:rPr>
          <w:rStyle w:val="FootnoteReference0"/>
          <w:rFonts w:cs="Times New Roman"/>
          <w:noProof/>
          <w:color w:val="000000" w:themeColor="text1"/>
        </w:rPr>
        <w:footnoteReference w:id="40"/>
      </w:r>
      <w:r>
        <w:rPr>
          <w:noProof/>
          <w:color w:val="000000" w:themeColor="text1"/>
        </w:rPr>
        <w:t xml:space="preserve"> peuvent contribuer à la réinsertion socio-économique des personnes ayant commis des infractions liées à la drogue, aider à réduire le taux de récidive, amoindrir la stigmatisation et éventuellement faire diminuer les frais de justice tout en améliorant le bilan en matière de sécurité. Les États membres devraient </w:t>
      </w:r>
      <w:r>
        <w:rPr>
          <w:b/>
          <w:noProof/>
          <w:color w:val="000000" w:themeColor="text1"/>
        </w:rPr>
        <w:t>renforcer et élargir la disponibilité de ces alternatives</w:t>
      </w:r>
      <w:r>
        <w:rPr>
          <w:noProof/>
          <w:color w:val="000000" w:themeColor="text1"/>
        </w:rPr>
        <w:t xml:space="preserve"> afin</w:t>
      </w:r>
      <w:r>
        <w:rPr>
          <w:b/>
          <w:noProof/>
          <w:color w:val="000000" w:themeColor="text1"/>
        </w:rPr>
        <w:t xml:space="preserve"> </w:t>
      </w:r>
      <w:r>
        <w:rPr>
          <w:noProof/>
          <w:color w:val="000000" w:themeColor="text1"/>
        </w:rPr>
        <w:t>de créer davantage de liens entre le système pénal, le système de sécurité sociale et le système de santé, en particulier en ce qui concerne les jeunes.</w:t>
      </w:r>
    </w:p>
    <w:p w14:paraId="3C4DA15A" w14:textId="26FECFAB" w:rsidR="00205B71" w:rsidRPr="0075035A" w:rsidRDefault="001F63AA" w:rsidP="0096338D">
      <w:pPr>
        <w:spacing w:after="120" w:line="240" w:lineRule="auto"/>
        <w:jc w:val="both"/>
        <w:rPr>
          <w:rFonts w:cs="Times New Roman"/>
          <w:noProof/>
          <w:color w:val="000000" w:themeColor="text1"/>
          <w:szCs w:val="24"/>
        </w:rPr>
      </w:pPr>
      <w:r>
        <w:rPr>
          <w:noProof/>
        </w:rPr>
        <w:t xml:space="preserve">Afin de diffuser les données scientifiques et les bonnes pratiques auprès d’un plus large éventail de professionnels, </w:t>
      </w:r>
      <w:r>
        <w:rPr>
          <w:noProof/>
          <w:color w:val="000000" w:themeColor="text1"/>
        </w:rPr>
        <w:t xml:space="preserve">l’EUDA créera </w:t>
      </w:r>
      <w:r>
        <w:rPr>
          <w:noProof/>
        </w:rPr>
        <w:t xml:space="preserve">une nouvelle plateforme d’apprentissage — PLATO 2.0 — qui offrira des </w:t>
      </w:r>
      <w:r>
        <w:rPr>
          <w:noProof/>
          <w:color w:val="000000" w:themeColor="text1"/>
        </w:rPr>
        <w:t>possibilités d’apprentissage en ligne élargies et adaptées en matière de réinsertion</w:t>
      </w:r>
      <w:r>
        <w:rPr>
          <w:noProof/>
        </w:rPr>
        <w:t>.</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D27202" w:rsidRPr="0075035A" w14:paraId="73573012" w14:textId="77777777" w:rsidTr="3C2CD52E">
        <w:trPr>
          <w:trHeight w:val="2117"/>
        </w:trPr>
        <w:tc>
          <w:tcPr>
            <w:tcW w:w="9576" w:type="dxa"/>
          </w:tcPr>
          <w:p w14:paraId="60C481E4" w14:textId="63899A6E" w:rsidR="00D27202" w:rsidRDefault="00D27202" w:rsidP="00404769">
            <w:pPr>
              <w:jc w:val="both"/>
              <w:rPr>
                <w:rFonts w:cs="Times New Roman"/>
                <w:b/>
                <w:noProof/>
                <w:color w:val="000000" w:themeColor="text1"/>
                <w:szCs w:val="24"/>
              </w:rPr>
            </w:pPr>
            <w:r>
              <w:rPr>
                <w:b/>
                <w:noProof/>
                <w:color w:val="000000" w:themeColor="text1"/>
              </w:rPr>
              <w:t>Priorités essentielles</w:t>
            </w:r>
          </w:p>
          <w:p w14:paraId="4EC8277A" w14:textId="77777777" w:rsidR="00404769" w:rsidRPr="0075035A" w:rsidRDefault="00404769" w:rsidP="00404769">
            <w:pPr>
              <w:jc w:val="both"/>
              <w:rPr>
                <w:rFonts w:cs="Times New Roman"/>
                <w:b/>
                <w:bCs/>
                <w:noProof/>
                <w:color w:val="000000" w:themeColor="text1"/>
                <w:szCs w:val="24"/>
              </w:rPr>
            </w:pPr>
          </w:p>
          <w:p w14:paraId="61551C3D" w14:textId="77777777" w:rsidR="00670DEF" w:rsidRPr="0075035A" w:rsidRDefault="00670DEF" w:rsidP="00404769">
            <w:pPr>
              <w:jc w:val="both"/>
              <w:rPr>
                <w:rFonts w:cs="Times New Roman"/>
                <w:b/>
                <w:noProof/>
                <w:color w:val="000000" w:themeColor="text1"/>
                <w:szCs w:val="24"/>
              </w:rPr>
            </w:pPr>
            <w:r>
              <w:rPr>
                <w:b/>
                <w:noProof/>
                <w:color w:val="000000" w:themeColor="text1"/>
              </w:rPr>
              <w:t>La Commission:</w:t>
            </w:r>
          </w:p>
          <w:p w14:paraId="58EABA0A" w14:textId="77777777" w:rsidR="00670DEF" w:rsidRPr="0075035A" w:rsidRDefault="00670DEF" w:rsidP="00A729ED">
            <w:pPr>
              <w:pStyle w:val="ContNum"/>
              <w:numPr>
                <w:ilvl w:val="0"/>
                <w:numId w:val="102"/>
              </w:numPr>
              <w:spacing w:after="120"/>
              <w:rPr>
                <w:b/>
                <w:noProof/>
                <w:color w:val="000000" w:themeColor="text1"/>
                <w:szCs w:val="24"/>
              </w:rPr>
            </w:pPr>
            <w:r>
              <w:rPr>
                <w:b/>
                <w:noProof/>
                <w:color w:val="000000" w:themeColor="text1"/>
              </w:rPr>
              <w:t>redoublera d’efforts en matière de santé préventive, en lançant l’initiative de l’UE sur les maladies non transmissibles «Vivre ensemble en bonne santé»;</w:t>
            </w:r>
          </w:p>
          <w:p w14:paraId="75BE2D2D" w14:textId="6A97B43F" w:rsidR="00670DEF" w:rsidRPr="0075035A" w:rsidRDefault="00670DEF" w:rsidP="00541FED">
            <w:pPr>
              <w:pStyle w:val="ContNum"/>
              <w:numPr>
                <w:ilvl w:val="0"/>
                <w:numId w:val="102"/>
              </w:numPr>
              <w:spacing w:after="120"/>
              <w:rPr>
                <w:b/>
                <w:noProof/>
                <w:color w:val="000000" w:themeColor="text1"/>
                <w:szCs w:val="24"/>
              </w:rPr>
            </w:pPr>
            <w:r>
              <w:rPr>
                <w:b/>
                <w:noProof/>
                <w:color w:val="000000" w:themeColor="text1"/>
              </w:rPr>
              <w:t>fera avancer ses projets phares mentionnés dans sa</w:t>
            </w:r>
            <w:r>
              <w:rPr>
                <w:noProof/>
              </w:rPr>
              <w:t xml:space="preserve"> </w:t>
            </w:r>
            <w:r>
              <w:rPr>
                <w:b/>
                <w:noProof/>
                <w:color w:val="000000" w:themeColor="text1"/>
              </w:rPr>
              <w:t>communication sur une approche globale en matière de santé mentale.</w:t>
            </w:r>
          </w:p>
          <w:p w14:paraId="6DC6A29A" w14:textId="0F12E386" w:rsidR="00BB431E" w:rsidRPr="0075035A" w:rsidRDefault="00BB431E" w:rsidP="003A5A8B">
            <w:pPr>
              <w:spacing w:after="120"/>
              <w:jc w:val="both"/>
              <w:rPr>
                <w:rFonts w:cs="Times New Roman"/>
                <w:b/>
                <w:bCs/>
                <w:noProof/>
                <w:color w:val="000000" w:themeColor="text1"/>
                <w:szCs w:val="24"/>
              </w:rPr>
            </w:pPr>
            <w:r>
              <w:rPr>
                <w:b/>
                <w:noProof/>
                <w:color w:val="000000" w:themeColor="text1"/>
              </w:rPr>
              <w:t>L’EUDA:</w:t>
            </w:r>
          </w:p>
          <w:p w14:paraId="6FEBBB2A" w14:textId="0CC4B947" w:rsidR="00427531" w:rsidRPr="0075035A" w:rsidRDefault="00BB431E" w:rsidP="003A5A8B">
            <w:pPr>
              <w:pStyle w:val="ContNum"/>
              <w:numPr>
                <w:ilvl w:val="0"/>
                <w:numId w:val="102"/>
              </w:numPr>
              <w:spacing w:after="120"/>
              <w:rPr>
                <w:b/>
                <w:noProof/>
                <w:color w:val="000000" w:themeColor="text1"/>
                <w:szCs w:val="24"/>
              </w:rPr>
            </w:pPr>
            <w:r>
              <w:rPr>
                <w:b/>
                <w:noProof/>
                <w:color w:val="000000" w:themeColor="text1"/>
              </w:rPr>
              <w:t>aidera les États membres à mettre sur pied des activités de sensibilisation aux conséquences de la consommation de drogue et du trafic de drogue;</w:t>
            </w:r>
          </w:p>
          <w:p w14:paraId="7F25BC52" w14:textId="664E2BBB" w:rsidR="00BB431E" w:rsidRPr="0075035A" w:rsidRDefault="5DDB9DDD" w:rsidP="4F60382D">
            <w:pPr>
              <w:pStyle w:val="ContNum"/>
              <w:numPr>
                <w:ilvl w:val="0"/>
                <w:numId w:val="102"/>
              </w:numPr>
              <w:spacing w:after="120"/>
              <w:rPr>
                <w:b/>
                <w:bCs/>
                <w:noProof/>
                <w:color w:val="000000" w:themeColor="text1"/>
              </w:rPr>
            </w:pPr>
            <w:r>
              <w:rPr>
                <w:b/>
                <w:noProof/>
                <w:color w:val="000000" w:themeColor="text1"/>
              </w:rPr>
              <w:t>élaborera et diffusera des orientations détaillées, à l’échelle de l’UE, sur les normes minimales de qualité et conseillera les États membres sur la manière d’assurer une prévention et des traitements efficaces.</w:t>
            </w:r>
          </w:p>
          <w:p w14:paraId="7587289F" w14:textId="5345985E" w:rsidR="00670DEF" w:rsidRPr="0075035A" w:rsidRDefault="00670DEF" w:rsidP="00670DEF">
            <w:pPr>
              <w:spacing w:after="120"/>
              <w:jc w:val="both"/>
              <w:rPr>
                <w:rFonts w:cs="Times New Roman"/>
                <w:b/>
                <w:bCs/>
                <w:noProof/>
                <w:color w:val="000000" w:themeColor="text1"/>
                <w:szCs w:val="24"/>
              </w:rPr>
            </w:pPr>
            <w:r>
              <w:rPr>
                <w:b/>
                <w:noProof/>
                <w:color w:val="000000" w:themeColor="text1"/>
              </w:rPr>
              <w:t>Les États membres sont encouragés:</w:t>
            </w:r>
          </w:p>
          <w:p w14:paraId="5D2E531F" w14:textId="67696AFD" w:rsidR="00670DEF" w:rsidRPr="0075035A" w:rsidRDefault="00670DEF" w:rsidP="00670DEF">
            <w:pPr>
              <w:pStyle w:val="ContNum"/>
              <w:numPr>
                <w:ilvl w:val="0"/>
                <w:numId w:val="102"/>
              </w:numPr>
              <w:spacing w:after="120"/>
              <w:rPr>
                <w:b/>
                <w:noProof/>
                <w:color w:val="000000" w:themeColor="text1"/>
                <w:szCs w:val="24"/>
              </w:rPr>
            </w:pPr>
            <w:r>
              <w:rPr>
                <w:b/>
                <w:noProof/>
                <w:color w:val="000000" w:themeColor="text1"/>
              </w:rPr>
              <w:t xml:space="preserve">à renforcer la prévention sanitaire universelle et environnementale ainsi qu’à élaborer et à mettre en œuvre des activités de prévention ayant fait leurs preuves et spécifiquement conçues pour les groupes vulnérables et les jeunes; </w:t>
            </w:r>
          </w:p>
          <w:p w14:paraId="5537B3BD" w14:textId="0CCED5D9" w:rsidR="00670DEF" w:rsidRPr="0075035A" w:rsidRDefault="00670DEF" w:rsidP="00670DEF">
            <w:pPr>
              <w:pStyle w:val="ContNum"/>
              <w:numPr>
                <w:ilvl w:val="0"/>
                <w:numId w:val="102"/>
              </w:numPr>
              <w:spacing w:after="120"/>
              <w:rPr>
                <w:b/>
                <w:noProof/>
                <w:color w:val="000000" w:themeColor="text1"/>
                <w:szCs w:val="24"/>
              </w:rPr>
            </w:pPr>
            <w:r>
              <w:rPr>
                <w:b/>
                <w:noProof/>
                <w:color w:val="000000" w:themeColor="text1"/>
              </w:rPr>
              <w:t>à augmenter les possibilités de traitement ayant fait leurs preuves, intégrées dans un continuum de soins, et à lutter contre la consommation croissante de stimulants;</w:t>
            </w:r>
          </w:p>
          <w:p w14:paraId="72BA623A" w14:textId="26552C87" w:rsidR="00B40C65" w:rsidRPr="0075035A" w:rsidRDefault="5FAB4E35" w:rsidP="003E4736">
            <w:pPr>
              <w:pStyle w:val="ContNum"/>
              <w:numPr>
                <w:ilvl w:val="0"/>
                <w:numId w:val="102"/>
              </w:numPr>
              <w:spacing w:after="120"/>
              <w:rPr>
                <w:b/>
                <w:noProof/>
                <w:color w:val="000000" w:themeColor="text1"/>
                <w:szCs w:val="24"/>
              </w:rPr>
            </w:pPr>
            <w:r>
              <w:rPr>
                <w:b/>
                <w:noProof/>
                <w:color w:val="000000" w:themeColor="text1"/>
              </w:rPr>
              <w:t>à promouvoir l’intégration des personnes consommatrices de drogues, au moyen de mesures de soutien social, ainsi qu’à renforcer et à augmenter les alternatives à la détention provisoire ou aux mesures coercitives pour les infractions liées à la drogue.</w:t>
            </w:r>
          </w:p>
        </w:tc>
      </w:tr>
    </w:tbl>
    <w:p w14:paraId="7AD9E51E" w14:textId="2E660796" w:rsidR="007008FE" w:rsidRPr="0075035A" w:rsidRDefault="007008FE" w:rsidP="00B40C65">
      <w:pPr>
        <w:pStyle w:val="Heading2"/>
        <w:numPr>
          <w:ilvl w:val="0"/>
          <w:numId w:val="0"/>
        </w:numPr>
        <w:spacing w:line="240" w:lineRule="auto"/>
        <w:rPr>
          <w:b w:val="0"/>
          <w:bCs w:val="0"/>
          <w:noProof/>
        </w:rPr>
      </w:pPr>
    </w:p>
    <w:p w14:paraId="1DF23D23" w14:textId="2EF43F7E" w:rsidR="0096338D" w:rsidRPr="0075035A" w:rsidRDefault="00646B70" w:rsidP="00B40C65">
      <w:pPr>
        <w:pStyle w:val="Heading2"/>
        <w:spacing w:line="240" w:lineRule="auto"/>
        <w:rPr>
          <w:noProof/>
        </w:rPr>
      </w:pPr>
      <w:bookmarkStart w:id="42" w:name="_Toc212204031"/>
      <w:bookmarkStart w:id="43" w:name="_Toc994651224"/>
      <w:bookmarkStart w:id="44" w:name="_Toc1612774910"/>
      <w:r>
        <w:rPr>
          <w:noProof/>
        </w:rPr>
        <w:t>AMÉLIORER LA SÉCURITÉ</w:t>
      </w:r>
      <w:bookmarkEnd w:id="42"/>
      <w:bookmarkEnd w:id="43"/>
      <w:bookmarkEnd w:id="44"/>
      <w:r>
        <w:rPr>
          <w:noProof/>
        </w:rPr>
        <w:t xml:space="preserve"> ET PROTÉGER LA SOCIÉTÉ</w:t>
      </w:r>
    </w:p>
    <w:p w14:paraId="57851BBC" w14:textId="77777777" w:rsidR="0096338D" w:rsidRPr="0075035A" w:rsidRDefault="0096338D" w:rsidP="0075035A">
      <w:pPr>
        <w:pStyle w:val="Heading2"/>
        <w:numPr>
          <w:ilvl w:val="0"/>
          <w:numId w:val="0"/>
        </w:numPr>
        <w:spacing w:line="240" w:lineRule="auto"/>
        <w:rPr>
          <w:noProof/>
        </w:rPr>
      </w:pPr>
    </w:p>
    <w:p w14:paraId="022EB6F0" w14:textId="658B1A17" w:rsidR="001D746A" w:rsidRPr="0075035A" w:rsidRDefault="00714F10">
      <w:pPr>
        <w:pStyle w:val="ContNum"/>
        <w:rPr>
          <w:b/>
          <w:bCs/>
          <w:noProof/>
          <w:szCs w:val="24"/>
        </w:rPr>
      </w:pPr>
      <w:r>
        <w:rPr>
          <w:noProof/>
        </w:rPr>
        <w:t>Les réseaux de trafic de drogue opèrent à l’échelle mondiale et se livrent à la violence, à la corruption, à l’infiltration de l’économie légale et nuisent à la société.</w:t>
      </w:r>
      <w:r>
        <w:rPr>
          <w:b/>
          <w:noProof/>
        </w:rPr>
        <w:t xml:space="preserve"> </w:t>
      </w:r>
      <w:r>
        <w:rPr>
          <w:noProof/>
        </w:rPr>
        <w:t>Les réseaux de trafiquants introduisent dans l’UE des quantités sans précédent de cocaïne ainsi que d’autres drogues illicites. Il est essentiel de prévenir et d’enrayer la criminalité liée à la drogue pour démanteler</w:t>
      </w:r>
      <w:r>
        <w:rPr>
          <w:b/>
          <w:noProof/>
        </w:rPr>
        <w:t xml:space="preserve"> </w:t>
      </w:r>
      <w:r>
        <w:rPr>
          <w:noProof/>
        </w:rPr>
        <w:t>les réseaux criminels, perturber les itinéraires de trafic et fermer les installations de production de drogue.</w:t>
      </w:r>
      <w:r>
        <w:rPr>
          <w:b/>
          <w:noProof/>
        </w:rPr>
        <w:t xml:space="preserve"> </w:t>
      </w:r>
    </w:p>
    <w:p w14:paraId="32FAAB1B" w14:textId="735D9834" w:rsidR="00BB6107" w:rsidRPr="0075035A" w:rsidRDefault="00BB6107" w:rsidP="00BB6107">
      <w:pPr>
        <w:pStyle w:val="ContNum"/>
        <w:rPr>
          <w:noProof/>
          <w:color w:val="000000" w:themeColor="text1"/>
        </w:rPr>
      </w:pPr>
      <w:r>
        <w:rPr>
          <w:noProof/>
          <w:color w:val="000000" w:themeColor="text1"/>
        </w:rPr>
        <w:t>La stratégie définit un cadre global pour remédier à la situation en matière de drogue, axé sur les questions clés liées au trafic de drogue. Elle est complétée par un plan d’action spécifique qui définit certaines actions prioritaires nécessitant un étoffement ou des efforts accrus. Le plan d’action vise à réagir au contexte actuel de la drogue en renforçant la sécurité et peut être complété par d’autres mesures</w:t>
      </w:r>
      <w:bookmarkStart w:id="45" w:name="_Toc209853382"/>
      <w:r>
        <w:rPr>
          <w:noProof/>
        </w:rPr>
        <w:t xml:space="preserve"> </w:t>
      </w:r>
      <w:r>
        <w:rPr>
          <w:noProof/>
          <w:color w:val="000000" w:themeColor="text1"/>
        </w:rPr>
        <w:t>en fonction de l’évolution de la situation</w:t>
      </w:r>
      <w:r>
        <w:rPr>
          <w:noProof/>
        </w:rPr>
        <w:t>.</w:t>
      </w:r>
      <w:r>
        <w:rPr>
          <w:noProof/>
          <w:color w:val="000000" w:themeColor="text1"/>
        </w:rPr>
        <w:t xml:space="preserve"> </w:t>
      </w:r>
    </w:p>
    <w:p w14:paraId="6BAF58A8" w14:textId="6390FE38" w:rsidR="000212BF" w:rsidRPr="0075035A" w:rsidRDefault="488A0F80" w:rsidP="00541FED">
      <w:pPr>
        <w:pStyle w:val="Heading3"/>
        <w:ind w:left="0"/>
        <w:rPr>
          <w:noProof/>
        </w:rPr>
      </w:pPr>
      <w:bookmarkStart w:id="46" w:name="_Toc212204032"/>
      <w:bookmarkStart w:id="47" w:name="_Toc1008503275"/>
      <w:bookmarkStart w:id="48" w:name="_Toc1732487370"/>
      <w:r>
        <w:rPr>
          <w:noProof/>
        </w:rPr>
        <w:t>Priorité stratégique nº 4: renforcer la coopération entre les services répressifs et les autorités judiciaires</w:t>
      </w:r>
      <w:bookmarkEnd w:id="46"/>
      <w:bookmarkEnd w:id="47"/>
      <w:bookmarkEnd w:id="48"/>
      <w:r>
        <w:rPr>
          <w:noProof/>
        </w:rPr>
        <w:t xml:space="preserve"> </w:t>
      </w:r>
      <w:bookmarkEnd w:id="45"/>
    </w:p>
    <w:p w14:paraId="502F470D" w14:textId="31B033D6" w:rsidR="000212BF" w:rsidRPr="0075035A" w:rsidRDefault="00B36FB0" w:rsidP="00B712CC">
      <w:pPr>
        <w:pBdr>
          <w:top w:val="single" w:sz="4" w:space="1" w:color="auto"/>
          <w:left w:val="single" w:sz="4" w:space="4" w:color="auto"/>
          <w:bottom w:val="single" w:sz="4" w:space="1" w:color="auto"/>
          <w:right w:val="single" w:sz="4" w:space="4" w:color="auto"/>
        </w:pBdr>
        <w:jc w:val="both"/>
        <w:rPr>
          <w:rFonts w:cs="Times New Roman"/>
          <w:i/>
          <w:iCs/>
          <w:noProof/>
          <w:szCs w:val="24"/>
        </w:rPr>
      </w:pPr>
      <w:r>
        <w:rPr>
          <w:i/>
          <w:noProof/>
        </w:rPr>
        <w:t>L’UE redoublera d’efforts pour démanteler les réseaux criminels à haut risque qui contribuent à la prolifération des drogues illicites sur l’ensemble de son territoire. Pour ce faire, elle doit proposer un durcissement des règles de lutte contre la criminalité organisée, renforcer les capacités d’enquête et de poursuites des autorités répressives et judiciaires, recouvrer les produits des activités criminelles et mettre fin aux opérations criminelles au sein des établissements pénitentiaires.</w:t>
      </w:r>
    </w:p>
    <w:p w14:paraId="26117D4C" w14:textId="3F07D437" w:rsidR="00CC6D26" w:rsidRPr="0075035A" w:rsidRDefault="0003626B" w:rsidP="008E288C">
      <w:pPr>
        <w:pStyle w:val="ContNum"/>
        <w:numPr>
          <w:ilvl w:val="1"/>
          <w:numId w:val="94"/>
        </w:numPr>
        <w:spacing w:after="120"/>
        <w:rPr>
          <w:b/>
          <w:bCs/>
          <w:i/>
          <w:iCs/>
          <w:noProof/>
          <w:szCs w:val="24"/>
        </w:rPr>
      </w:pPr>
      <w:r>
        <w:rPr>
          <w:b/>
          <w:i/>
          <w:noProof/>
        </w:rPr>
        <w:t xml:space="preserve"> Un cadre juridique efficace contre le trafic de drogue </w:t>
      </w:r>
    </w:p>
    <w:p w14:paraId="10034275" w14:textId="79572B91" w:rsidR="00BB7470" w:rsidRPr="0075035A" w:rsidRDefault="0087561E" w:rsidP="2326B0DA">
      <w:pPr>
        <w:pStyle w:val="ContNum"/>
        <w:spacing w:after="120"/>
        <w:rPr>
          <w:noProof/>
        </w:rPr>
      </w:pPr>
      <w:r>
        <w:rPr>
          <w:noProof/>
        </w:rPr>
        <w:t xml:space="preserve">La Commission proposera, en 2026, une </w:t>
      </w:r>
      <w:r>
        <w:rPr>
          <w:b/>
          <w:noProof/>
        </w:rPr>
        <w:t>révision des règles de lutte contre la criminalité organisée</w:t>
      </w:r>
      <w:r>
        <w:rPr>
          <w:noProof/>
        </w:rPr>
        <w:t>, qui renforcera les possibilités de démantèlement des réseaux criminels organisés qui gèrent le trafic de drogue. En outre,</w:t>
      </w:r>
      <w:r>
        <w:rPr>
          <w:b/>
          <w:noProof/>
        </w:rPr>
        <w:t xml:space="preserve"> </w:t>
      </w:r>
      <w:r>
        <w:rPr>
          <w:noProof/>
        </w:rPr>
        <w:t>elle évaluera la décision-cadre relative au trafic de drogue</w:t>
      </w:r>
      <w:r>
        <w:rPr>
          <w:rStyle w:val="FootnoteReference0"/>
          <w:noProof/>
        </w:rPr>
        <w:footnoteReference w:id="41"/>
      </w:r>
      <w:r>
        <w:rPr>
          <w:noProof/>
        </w:rPr>
        <w:t>, afin de déterminer si elle est encore adaptée à sa finalité, en examinant en particulier sa contribution à la bonne coopération transfrontière. La Commission analysera également si la décision d’enquête européenne</w:t>
      </w:r>
      <w:r>
        <w:rPr>
          <w:b/>
          <w:noProof/>
        </w:rPr>
        <w:t xml:space="preserve"> </w:t>
      </w:r>
      <w:r>
        <w:rPr>
          <w:noProof/>
        </w:rPr>
        <w:t>doit être étoffée pour améliorer la collecte transfrontière de preuves en matière pénale.</w:t>
      </w:r>
    </w:p>
    <w:p w14:paraId="7B5591EB" w14:textId="65EDFE22" w:rsidR="00BB7470" w:rsidRPr="0075035A" w:rsidRDefault="007E619C" w:rsidP="008E288C">
      <w:pPr>
        <w:pStyle w:val="ContNum"/>
        <w:numPr>
          <w:ilvl w:val="1"/>
          <w:numId w:val="94"/>
        </w:numPr>
        <w:spacing w:after="120"/>
        <w:rPr>
          <w:b/>
          <w:bCs/>
          <w:i/>
          <w:iCs/>
          <w:noProof/>
          <w:color w:val="000000" w:themeColor="text1"/>
          <w:szCs w:val="24"/>
        </w:rPr>
      </w:pPr>
      <w:r>
        <w:rPr>
          <w:b/>
          <w:i/>
          <w:noProof/>
          <w:color w:val="000000" w:themeColor="text1"/>
        </w:rPr>
        <w:t xml:space="preserve"> Renforcer les </w:t>
      </w:r>
      <w:r>
        <w:rPr>
          <w:b/>
          <w:i/>
          <w:noProof/>
        </w:rPr>
        <w:t>capacités</w:t>
      </w:r>
      <w:r>
        <w:rPr>
          <w:b/>
          <w:i/>
          <w:noProof/>
          <w:color w:val="000000" w:themeColor="text1"/>
        </w:rPr>
        <w:t xml:space="preserve"> des services répressifs et des autorités judiciaires</w:t>
      </w:r>
    </w:p>
    <w:p w14:paraId="481D5568" w14:textId="5B0E1124" w:rsidR="00B206C5" w:rsidRPr="0075035A" w:rsidRDefault="0053615A" w:rsidP="00A2296C">
      <w:pPr>
        <w:pStyle w:val="ContNum"/>
        <w:spacing w:after="120"/>
        <w:rPr>
          <w:noProof/>
          <w:color w:val="000000" w:themeColor="text1"/>
          <w:szCs w:val="24"/>
        </w:rPr>
      </w:pPr>
      <w:r>
        <w:rPr>
          <w:noProof/>
          <w:color w:val="000000" w:themeColor="text1"/>
        </w:rPr>
        <w:t xml:space="preserve">Dans le contexte criminel actuel, il est difficile d’enquêter sur la criminalité organisée et les opérations de trafic de drogue. Pour démanteler ces réseaux de manière efficace, les services répressifs et les autorités judiciaires doivent coordonner leurs efforts, avec le soutien d’une coopération transfrontière solide et d’un bon échange d’informations. À mesure que les réseaux criminels se sophistiquent, les services répressifs et judiciaires doivent adapter leurs actions, au moyen des nouvelles technologies et de l’IA. Les États membres devraient donner la priorité au renforcement des capacités de ces autorités, pour qu’elles soient en mesure de détecter efficacement le trafic de drogue, d’enquêter sur celui-ci et d’engager ensuite des poursuites, grâce à des outils juridiques et opérationnels améliorés. </w:t>
      </w:r>
    </w:p>
    <w:p w14:paraId="11FF1B8B" w14:textId="50608772" w:rsidR="00B206C5" w:rsidRPr="0075035A" w:rsidRDefault="683FF69C" w:rsidP="00A2296C">
      <w:pPr>
        <w:pStyle w:val="ContNum"/>
        <w:spacing w:after="120"/>
        <w:rPr>
          <w:noProof/>
          <w:szCs w:val="24"/>
        </w:rPr>
      </w:pPr>
      <w:r>
        <w:rPr>
          <w:noProof/>
          <w:color w:val="000000" w:themeColor="text1"/>
        </w:rPr>
        <w:t>Le</w:t>
      </w:r>
      <w:r>
        <w:rPr>
          <w:noProof/>
        </w:rPr>
        <w:t xml:space="preserve"> </w:t>
      </w:r>
      <w:r>
        <w:rPr>
          <w:b/>
          <w:noProof/>
        </w:rPr>
        <w:t xml:space="preserve">développement de la plateforme pluridisciplinaire européenne contre les menaces criminelles (EMPACT) </w:t>
      </w:r>
      <w:r>
        <w:rPr>
          <w:noProof/>
        </w:rPr>
        <w:t>stimulera la coopération opérationnelle et transfrontière. Dans le cadre du nouveau cycle EMPACT, le Conseil a défini les grandes priorités pour lutter contre le trafic de drogue et pour recenser et déstabiliser les réseaux criminels les plus menaçants</w:t>
      </w:r>
      <w:r>
        <w:rPr>
          <w:rStyle w:val="FootnoteReference0"/>
          <w:noProof/>
        </w:rPr>
        <w:footnoteReference w:id="42"/>
      </w:r>
      <w:r>
        <w:rPr>
          <w:noProof/>
        </w:rPr>
        <w:t>.</w:t>
      </w:r>
    </w:p>
    <w:p w14:paraId="5208E422" w14:textId="740CD8AC" w:rsidR="001A08AD" w:rsidRPr="0075035A" w:rsidRDefault="0DED3B3E" w:rsidP="009678FC">
      <w:pPr>
        <w:pStyle w:val="ContNum"/>
        <w:rPr>
          <w:noProof/>
          <w:color w:val="000000" w:themeColor="text1"/>
        </w:rPr>
      </w:pPr>
      <w:r>
        <w:rPr>
          <w:noProof/>
        </w:rPr>
        <w:t xml:space="preserve">Les </w:t>
      </w:r>
      <w:r>
        <w:rPr>
          <w:b/>
          <w:noProof/>
        </w:rPr>
        <w:t>agences et organes de l’UE</w:t>
      </w:r>
      <w:r>
        <w:rPr>
          <w:noProof/>
        </w:rPr>
        <w:t xml:space="preserve"> aideront les autorités nationales à lutter contre le trafic de drogue. Les activités d’Europol relatives au trafic de drogue définissent un cadre de coopération opérationnelle. Comme l’a annoncé la Commission dans sa stratégie européenne de sécurité intérieure ProtectEU, le mandat d’Europol sera renforcé pour qu’il aide davantage les États membres à combattre le trafic de drogue. Eurojust aide les autorités judiciaires nationales à poursuivre efficacement les </w:t>
      </w:r>
      <w:r>
        <w:rPr>
          <w:noProof/>
          <w:color w:val="000000" w:themeColor="text1"/>
        </w:rPr>
        <w:t>réseaux de trafic de drogue</w:t>
      </w:r>
      <w:r>
        <w:rPr>
          <w:noProof/>
        </w:rPr>
        <w:t>.</w:t>
      </w:r>
      <w:r>
        <w:rPr>
          <w:noProof/>
          <w:color w:val="000000" w:themeColor="text1"/>
        </w:rPr>
        <w:t xml:space="preserve"> Elle disposera d’un mandat </w:t>
      </w:r>
      <w:r>
        <w:rPr>
          <w:noProof/>
        </w:rPr>
        <w:t>grâce auquel elle pourra mieux appuyer les enquêtes et les poursuites relatives aux infractions liées à la drogue et contribuera ainsi à la lutte contre le trafic de drogue</w:t>
      </w:r>
      <w:r>
        <w:rPr>
          <w:noProof/>
          <w:color w:val="000000" w:themeColor="text1"/>
        </w:rPr>
        <w:t xml:space="preserve">. </w:t>
      </w:r>
      <w:r>
        <w:rPr>
          <w:noProof/>
        </w:rPr>
        <w:t>La nouvelle Autorité douanière de l’UE et la plateforme des données douanières de l’UE permettront aux autorités douanières de réaliser de meilleures analyses des risques au niveau de l’UE et amélioreront encore la coopération entre les douanes et les autres services répressifs.</w:t>
      </w:r>
    </w:p>
    <w:p w14:paraId="78D87205" w14:textId="3A306D39" w:rsidR="00D656A2" w:rsidRPr="0075035A" w:rsidRDefault="7B92399B" w:rsidP="009678FC">
      <w:pPr>
        <w:pStyle w:val="ContNum"/>
        <w:rPr>
          <w:noProof/>
          <w:szCs w:val="24"/>
        </w:rPr>
      </w:pPr>
      <w:r>
        <w:rPr>
          <w:noProof/>
          <w:color w:val="000000" w:themeColor="text1"/>
        </w:rPr>
        <w:t>Le mandat actualisé de l’EUDA accroît sa capacité de surveiller l’évolution du marché des drogues et d’y réagir en se fondant sur des données probantes. Le CEPOL, l’Agence de l’UE pour la formation des services répressifs, aidera davantage les États membres, en développant leurs capacités et en leur dispensant des formations.</w:t>
      </w:r>
      <w:r>
        <w:rPr>
          <w:noProof/>
        </w:rPr>
        <w:t xml:space="preserve"> Après son renforcement annoncé, Frontex, l’Agence européenne de garde-frontières et de garde-côtes, disposera de technologies de surveillance avancées ainsi que d’outils d’appréciation de la situation. Elle pourra ainsi détecter, prévenir et combattre la criminalité transfrontière aux frontières extérieures, y compris le trafic de drogue. Il convient de dégager de nouvelles synergies avec le programme de l’Union pour une connectivité sécurisée et le programme spatial de l’Union, pour renforcer les capacités de Frontex dans les domaines de la communication sécurisée, du positionnement, de la navigation et de la synchronisation résilients ainsi que de l’observation de la Terre.</w:t>
      </w:r>
    </w:p>
    <w:p w14:paraId="5BD52413" w14:textId="363F67A2" w:rsidR="00BB7470" w:rsidRPr="0075035A" w:rsidRDefault="0057147F" w:rsidP="009678FC">
      <w:pPr>
        <w:pStyle w:val="ContNum"/>
        <w:numPr>
          <w:ilvl w:val="1"/>
          <w:numId w:val="94"/>
        </w:numPr>
        <w:spacing w:after="120"/>
        <w:rPr>
          <w:b/>
          <w:bCs/>
          <w:i/>
          <w:iCs/>
          <w:noProof/>
          <w:color w:val="000000" w:themeColor="text1"/>
          <w:szCs w:val="24"/>
        </w:rPr>
      </w:pPr>
      <w:r>
        <w:rPr>
          <w:b/>
          <w:i/>
          <w:noProof/>
          <w:color w:val="000000" w:themeColor="text1"/>
        </w:rPr>
        <w:t xml:space="preserve"> Suivre l’argent pour lutter contre les organisations criminelles</w:t>
      </w:r>
    </w:p>
    <w:p w14:paraId="60BD90CB" w14:textId="54C8F190" w:rsidR="00BB7470" w:rsidRPr="0075035A" w:rsidRDefault="488A0F80" w:rsidP="00A2296C">
      <w:pPr>
        <w:pStyle w:val="ContNum"/>
        <w:spacing w:after="120"/>
        <w:rPr>
          <w:noProof/>
          <w:color w:val="000000" w:themeColor="text1"/>
          <w:szCs w:val="24"/>
        </w:rPr>
      </w:pPr>
      <w:r>
        <w:rPr>
          <w:noProof/>
          <w:color w:val="000000" w:themeColor="text1"/>
        </w:rPr>
        <w:t>Il est essentiel de suivre l’argent pour lutter contre la criminalité organisée et les réseaux de trafic de drogue. En 2024, l’UE a renforcé le cadre juridique relatif à la lutte contre le blanchiment de capitaux</w:t>
      </w:r>
      <w:r>
        <w:rPr>
          <w:rStyle w:val="FootnoteReference0"/>
          <w:noProof/>
          <w:color w:val="000000" w:themeColor="text1"/>
        </w:rPr>
        <w:footnoteReference w:id="43"/>
      </w:r>
      <w:r>
        <w:rPr>
          <w:noProof/>
          <w:color w:val="000000" w:themeColor="text1"/>
        </w:rPr>
        <w:t xml:space="preserve"> ainsi qu’au recouvrement et à la confiscation d’avoirs et a, ce faisant, souligné l’importance des enquêtes financières pour démanteler les organisations criminelles. Les États membres devraient intégrer sans délai dans leur droit national les règles renforcées </w:t>
      </w:r>
      <w:r>
        <w:rPr>
          <w:b/>
          <w:noProof/>
          <w:color w:val="000000" w:themeColor="text1"/>
        </w:rPr>
        <w:t>en matière de recouvrement et de confiscation d’avoirs</w:t>
      </w:r>
      <w:r>
        <w:rPr>
          <w:rStyle w:val="FootnoteReference0"/>
          <w:b/>
          <w:bCs/>
          <w:noProof/>
          <w:color w:val="000000" w:themeColor="text1"/>
        </w:rPr>
        <w:footnoteReference w:id="44"/>
      </w:r>
      <w:r>
        <w:rPr>
          <w:noProof/>
          <w:color w:val="000000" w:themeColor="text1"/>
        </w:rPr>
        <w:t xml:space="preserve"> et les exploiter pleinement. </w:t>
      </w:r>
    </w:p>
    <w:p w14:paraId="76AD1BF7" w14:textId="6AB806AB" w:rsidR="00BB7470" w:rsidRDefault="00244ABF" w:rsidP="00A2296C">
      <w:pPr>
        <w:pStyle w:val="ContNum"/>
        <w:spacing w:after="120"/>
        <w:rPr>
          <w:noProof/>
          <w:color w:val="333333"/>
        </w:rPr>
      </w:pPr>
      <w:r>
        <w:rPr>
          <w:noProof/>
          <w:color w:val="000000" w:themeColor="text1"/>
        </w:rPr>
        <w:t>Afin de protéger les communautés locales et les entreprises opérant en toute légalité, l’UE et les États membres devraient redoubler d’efforts pour détecter et prévenir l’</w:t>
      </w:r>
      <w:r>
        <w:rPr>
          <w:b/>
          <w:noProof/>
          <w:color w:val="000000" w:themeColor="text1"/>
        </w:rPr>
        <w:t>infiltration criminelle dans les entreprises légales</w:t>
      </w:r>
      <w:r>
        <w:rPr>
          <w:noProof/>
          <w:color w:val="000000" w:themeColor="text1"/>
        </w:rPr>
        <w:t>, conformément à l’approche administrative</w:t>
      </w:r>
      <w:r>
        <w:rPr>
          <w:rStyle w:val="FootnoteReference0"/>
          <w:noProof/>
          <w:color w:val="000000" w:themeColor="text1"/>
        </w:rPr>
        <w:footnoteReference w:id="45"/>
      </w:r>
      <w:r>
        <w:rPr>
          <w:noProof/>
          <w:color w:val="000000" w:themeColor="text1"/>
        </w:rPr>
        <w:t xml:space="preserve">. Pour suivre la trace des avoirs d’origine criminelle et les saisir, l’UE doit essayer des pratiques innovantes pour détecter le blanchiment de capitaux et suivre les profits tirés de la criminalité organisée. Comme elle le souligne dans sa stratégie européenne de sécurité intérieure, ProtectEU, la Commission étudie la faisabilité d’un nouveau </w:t>
      </w:r>
      <w:r>
        <w:rPr>
          <w:noProof/>
          <w:color w:val="333333"/>
        </w:rPr>
        <w:t>système européen de surveillance du financement du terrorisme</w:t>
      </w:r>
      <w:r>
        <w:rPr>
          <w:noProof/>
        </w:rPr>
        <w:t>.</w:t>
      </w:r>
      <w:r>
        <w:rPr>
          <w:noProof/>
          <w:color w:val="333333"/>
        </w:rPr>
        <w:t xml:space="preserve"> Pour lutter contre la menace que représente la criminalité organisée, elle élargira l’évaluation afin d’y intégrer également les profits tirés de la criminalité organisée.</w:t>
      </w:r>
    </w:p>
    <w:p w14:paraId="72C85044" w14:textId="2C99F409" w:rsidR="008E45D2" w:rsidRPr="005A35A5" w:rsidRDefault="008E45D2" w:rsidP="005A35A5">
      <w:pPr>
        <w:spacing w:after="240"/>
        <w:jc w:val="both"/>
        <w:rPr>
          <w:noProof/>
          <w:sz w:val="22"/>
        </w:rPr>
      </w:pPr>
      <w:r>
        <w:rPr>
          <w:noProof/>
        </w:rPr>
        <w:t>En outre, les efforts seront axés sur le recours accru aux technologies telles que les systèmes d’analyse avancée et l’IA pour suivre les transactions de crypto-actifs, et plus particulièrement sur les opérations financières des organisations criminelles, notamment dans les scénarios de type «criminalité en tant que service».</w:t>
      </w:r>
    </w:p>
    <w:p w14:paraId="3C78A99E" w14:textId="2933D191" w:rsidR="00BB7470" w:rsidRDefault="488A0F80" w:rsidP="00A2296C">
      <w:pPr>
        <w:pStyle w:val="ContNum"/>
        <w:spacing w:after="120"/>
        <w:rPr>
          <w:noProof/>
          <w:color w:val="000000" w:themeColor="text1"/>
        </w:rPr>
      </w:pPr>
      <w:r>
        <w:rPr>
          <w:noProof/>
          <w:color w:val="000000" w:themeColor="text1"/>
        </w:rPr>
        <w:t>La corruption alimente toutes les étapes du trafic de drogue, sapant l’économie licite et s’accompagnant souvent d’intimidations. La lutte contre la corruption demeure une priorité essentielle pour pouvoir démanteler la criminalité organisée et le trafic de drogue. Dans le cadre de sa future stratégie de lutte contre la corruption de l’UE, la Commission renforcera les mesures visant à lutter contre le péril de corruption, et le recours effectif à cette pratique, par la criminalité organisée. En outre, la Commission collaborera avec les colégislateurs en vue de l’adoption rapide de la directive relative à la lutte contre la corruption</w:t>
      </w:r>
      <w:r>
        <w:rPr>
          <w:rStyle w:val="FootnoteReference0"/>
          <w:noProof/>
          <w:color w:val="000000" w:themeColor="text1"/>
          <w:szCs w:val="24"/>
        </w:rPr>
        <w:footnoteReference w:id="46"/>
      </w:r>
      <w:r>
        <w:rPr>
          <w:noProof/>
          <w:color w:val="000000" w:themeColor="text1"/>
        </w:rPr>
        <w:t>.</w:t>
      </w:r>
    </w:p>
    <w:p w14:paraId="271DE8CB" w14:textId="284ABE77" w:rsidR="005448D3" w:rsidRPr="0075035A" w:rsidRDefault="00087BFE" w:rsidP="00504B2B">
      <w:pPr>
        <w:pStyle w:val="ContNum"/>
        <w:keepNext/>
        <w:numPr>
          <w:ilvl w:val="1"/>
          <w:numId w:val="94"/>
        </w:numPr>
        <w:spacing w:after="120"/>
        <w:ind w:left="714" w:hanging="357"/>
        <w:rPr>
          <w:b/>
          <w:bCs/>
          <w:i/>
          <w:iCs/>
          <w:noProof/>
          <w:color w:val="000000" w:themeColor="text1"/>
          <w:szCs w:val="24"/>
        </w:rPr>
      </w:pPr>
      <w:r>
        <w:rPr>
          <w:b/>
          <w:i/>
          <w:noProof/>
          <w:color w:val="000000" w:themeColor="text1"/>
        </w:rPr>
        <w:t xml:space="preserve"> Lutter contre le trafic de drogue en milieu carcéral</w:t>
      </w:r>
    </w:p>
    <w:p w14:paraId="5E5FC994" w14:textId="13DD1FC4" w:rsidR="004954F4" w:rsidRPr="0075035A" w:rsidRDefault="216847ED" w:rsidP="0075035A">
      <w:pPr>
        <w:pStyle w:val="ContNum"/>
        <w:spacing w:after="120"/>
        <w:rPr>
          <w:noProof/>
          <w:color w:val="000000" w:themeColor="text1"/>
          <w:szCs w:val="24"/>
        </w:rPr>
      </w:pPr>
      <w:r>
        <w:rPr>
          <w:noProof/>
        </w:rPr>
        <w:t>L’incarcération ne met pas un terme au trafic de drogue. Les réseaux criminels exploitent les canaux de communication et se servent des visiteurs pour introduire clandestinement des drogues dans les prisons et coordonner les opérations de trafic à l’extérieur. Le personnel pénitentiaire peut faire l’objet d’intimidations, de tentatives de corruption ou de menaces directes. L’UE doit protéger la sécurité publique et l’intégrité des systèmes judiciaires contre cette menace. Elle devrait, de concert avec les États membres, promouvoir des solutions qui ont fait leurs preuves et partager des bonnes p</w:t>
      </w:r>
      <w:r w:rsidR="00AE3C9A">
        <w:rPr>
          <w:noProof/>
        </w:rPr>
        <w:t>q</w:t>
      </w:r>
      <w:r>
        <w:rPr>
          <w:noProof/>
        </w:rPr>
        <w:t xml:space="preserve">ratiques visant à </w:t>
      </w:r>
      <w:r>
        <w:rPr>
          <w:b/>
          <w:noProof/>
        </w:rPr>
        <w:t>enrayer les activités criminelles au sein des systèmes pénitentiaires</w:t>
      </w:r>
      <w:r>
        <w:rPr>
          <w:noProof/>
        </w:rPr>
        <w:t>.</w:t>
      </w:r>
      <w:bookmarkStart w:id="49" w:name="_Toc209853383"/>
      <w:bookmarkStart w:id="50" w:name="_Toc212204033"/>
      <w:bookmarkStart w:id="51" w:name="_Toc1875362462"/>
      <w:bookmarkStart w:id="52" w:name="_Toc804750180"/>
    </w:p>
    <w:p w14:paraId="218E8D07" w14:textId="5A7F3D4E" w:rsidR="00632E9E" w:rsidRPr="0075035A" w:rsidRDefault="58263DF9" w:rsidP="004954F4">
      <w:pPr>
        <w:pStyle w:val="Heading3"/>
        <w:ind w:left="0"/>
        <w:rPr>
          <w:noProof/>
        </w:rPr>
      </w:pPr>
      <w:r>
        <w:rPr>
          <w:noProof/>
        </w:rPr>
        <w:t xml:space="preserve">Priorité stratégique nº 5: perturber les itinéraires empruntés par </w:t>
      </w:r>
      <w:bookmarkEnd w:id="49"/>
      <w:bookmarkEnd w:id="50"/>
      <w:r>
        <w:rPr>
          <w:noProof/>
        </w:rPr>
        <w:t>le trafic de drogue</w:t>
      </w:r>
      <w:bookmarkEnd w:id="51"/>
      <w:bookmarkEnd w:id="52"/>
    </w:p>
    <w:p w14:paraId="555C88AB" w14:textId="08AF200F" w:rsidR="001A6BC2" w:rsidRPr="0075035A" w:rsidRDefault="006B7513" w:rsidP="00B712CC">
      <w:pPr>
        <w:pStyle w:val="ContNum"/>
        <w:pBdr>
          <w:top w:val="single" w:sz="4" w:space="1" w:color="auto"/>
          <w:left w:val="single" w:sz="4" w:space="4" w:color="auto"/>
          <w:bottom w:val="single" w:sz="4" w:space="1" w:color="auto"/>
          <w:right w:val="single" w:sz="4" w:space="4" w:color="auto"/>
        </w:pBdr>
        <w:rPr>
          <w:i/>
          <w:iCs/>
          <w:noProof/>
        </w:rPr>
      </w:pPr>
      <w:r>
        <w:rPr>
          <w:i/>
          <w:noProof/>
        </w:rPr>
        <w:t>L’UE est déterminée à déstabiliser les réseaux de trafic de drogue en ciblant les itinéraires maritimes, terrestres et aériens qu’ils empruntent. Des efforts spécifiques seront déployés pour lutter contre le trafic de drogue dans les espaces en ligne, afin de démanteler ces opérations illicites et d’entraver considérablement les activités des réseaux criminels impliqués.</w:t>
      </w:r>
    </w:p>
    <w:p w14:paraId="7046F850" w14:textId="7B07BC39" w:rsidR="00F162BA" w:rsidRPr="0075035A" w:rsidRDefault="00027790" w:rsidP="008E288C">
      <w:pPr>
        <w:pStyle w:val="ContNum"/>
        <w:numPr>
          <w:ilvl w:val="1"/>
          <w:numId w:val="95"/>
        </w:numPr>
        <w:spacing w:after="120"/>
        <w:ind w:left="709"/>
        <w:rPr>
          <w:b/>
          <w:bCs/>
          <w:i/>
          <w:iCs/>
          <w:noProof/>
          <w:color w:val="000000" w:themeColor="text1"/>
          <w:szCs w:val="24"/>
        </w:rPr>
      </w:pPr>
      <w:r>
        <w:rPr>
          <w:b/>
          <w:i/>
          <w:noProof/>
          <w:color w:val="000000" w:themeColor="text1"/>
        </w:rPr>
        <w:t xml:space="preserve"> Détecter et démanteler le trafic de drogue par voie maritime</w:t>
      </w:r>
    </w:p>
    <w:p w14:paraId="202A34C9" w14:textId="5C4C4B8D" w:rsidR="00F503D3" w:rsidRPr="0075035A" w:rsidRDefault="442DA672" w:rsidP="3C2CD52E">
      <w:pPr>
        <w:pStyle w:val="ContNum"/>
        <w:spacing w:after="120"/>
        <w:rPr>
          <w:noProof/>
          <w:color w:val="000000" w:themeColor="text1"/>
        </w:rPr>
      </w:pPr>
      <w:r>
        <w:rPr>
          <w:noProof/>
          <w:color w:val="000000" w:themeColor="text1"/>
        </w:rPr>
        <w:t xml:space="preserve">Des réseaux criminels font passer clandestinement des quantités considérables de drogue dans les ports maritimes européens. Les itinéraires maritimes empruntés par le trafic de drogue sont très variés, les régions ultrapériphériques de l’UE étant également concernées, et les informations communiquées indiquent un changement de mode opératoire, des cargaisons de drogue arrivant désormais dans un plus grand nombre de ports européens de tailles plus réduites. Pour cacher ces cargaisons, les criminels utilisent de nouvelles méthodes, souvent indétectables par les services répressifs et les autorités maritimes. Europol </w:t>
      </w:r>
      <w:r>
        <w:rPr>
          <w:b/>
          <w:noProof/>
          <w:color w:val="000000" w:themeColor="text1"/>
        </w:rPr>
        <w:t>renforcera l’analyse stratégique du trafic maritime</w:t>
      </w:r>
      <w:r>
        <w:rPr>
          <w:noProof/>
          <w:color w:val="000000" w:themeColor="text1"/>
        </w:rPr>
        <w:t xml:space="preserve"> pour recenser les besoins opérationnels afin de contrer les nouvelles méthodes de transport et de dissimulation de la drogue.</w:t>
      </w:r>
    </w:p>
    <w:p w14:paraId="2349E154" w14:textId="75FB40F4" w:rsidR="00F503D3" w:rsidRPr="0075035A" w:rsidRDefault="00D230B5" w:rsidP="00A2296C">
      <w:pPr>
        <w:pStyle w:val="ContNum"/>
        <w:spacing w:after="120"/>
        <w:rPr>
          <w:noProof/>
          <w:color w:val="000000" w:themeColor="text1"/>
          <w:szCs w:val="24"/>
        </w:rPr>
      </w:pPr>
      <w:r>
        <w:rPr>
          <w:noProof/>
          <w:color w:val="000000" w:themeColor="text1"/>
        </w:rPr>
        <w:t xml:space="preserve">Le </w:t>
      </w:r>
      <w:r>
        <w:rPr>
          <w:b/>
          <w:noProof/>
          <w:color w:val="000000" w:themeColor="text1"/>
        </w:rPr>
        <w:t>Centre d’opération et d’analyse maritime de lutte contre le trafic de drogue (MAOC-N) devrait encore intensifier</w:t>
      </w:r>
      <w:r>
        <w:rPr>
          <w:noProof/>
          <w:color w:val="000000" w:themeColor="text1"/>
        </w:rPr>
        <w:t xml:space="preserve"> ses activités, notamment la surveillance des navires transportant des drogues illicites en haute mer.</w:t>
      </w:r>
    </w:p>
    <w:p w14:paraId="5DB5E968" w14:textId="0916C2D5" w:rsidR="00F162BA" w:rsidRPr="0075035A" w:rsidRDefault="006D5170" w:rsidP="00A2296C">
      <w:pPr>
        <w:pStyle w:val="ContNum"/>
        <w:spacing w:after="120"/>
        <w:rPr>
          <w:noProof/>
          <w:color w:val="000000" w:themeColor="text1"/>
        </w:rPr>
      </w:pPr>
      <w:r>
        <w:rPr>
          <w:noProof/>
          <w:color w:val="000000" w:themeColor="text1"/>
        </w:rPr>
        <w:t>La Commission veillera à l’échange des bonnes pratiques par l’intermédiaire de l’</w:t>
      </w:r>
      <w:r>
        <w:rPr>
          <w:b/>
          <w:noProof/>
          <w:color w:val="000000" w:themeColor="text1"/>
        </w:rPr>
        <w:t>alliance des ports européens</w:t>
      </w:r>
      <w:r>
        <w:rPr>
          <w:noProof/>
          <w:color w:val="000000" w:themeColor="text1"/>
        </w:rPr>
        <w:t xml:space="preserve"> élargie, principal cadre de l’UE pour la coopération public-privé contre le trafic de drogue, améliorant ainsi la résilience des ports dans l’ensemble de l’UE. La future stratégie portuaire de l’UE mettra l’accent sur la sûreté, en s’appuyant sur un dialogue stratégique avec les fonctionnaires, les autorités portuaires, le secteur privé et d’autres acteurs clés. L’objectif est d’améliorer la sûreté et la préparation des ports de l’UE. </w:t>
      </w:r>
    </w:p>
    <w:p w14:paraId="1251F150" w14:textId="433476AF" w:rsidR="00F162BA" w:rsidRPr="0075035A" w:rsidRDefault="007E619C" w:rsidP="008E288C">
      <w:pPr>
        <w:pStyle w:val="ContNum"/>
        <w:numPr>
          <w:ilvl w:val="1"/>
          <w:numId w:val="95"/>
        </w:numPr>
        <w:spacing w:after="120"/>
        <w:ind w:left="709"/>
        <w:rPr>
          <w:b/>
          <w:bCs/>
          <w:i/>
          <w:iCs/>
          <w:noProof/>
          <w:color w:val="000000" w:themeColor="text1"/>
          <w:szCs w:val="24"/>
        </w:rPr>
      </w:pPr>
      <w:r>
        <w:rPr>
          <w:b/>
          <w:i/>
          <w:noProof/>
          <w:color w:val="000000" w:themeColor="text1"/>
        </w:rPr>
        <w:t xml:space="preserve"> Lutter contre le trafic de drogue par voie terrestre, par voie postale et de livraison de colis et par voie aérienne</w:t>
      </w:r>
    </w:p>
    <w:p w14:paraId="69C83003" w14:textId="35310187" w:rsidR="00F162BA" w:rsidRPr="0075035A" w:rsidRDefault="7C3AB391" w:rsidP="00A2296C">
      <w:pPr>
        <w:pStyle w:val="ContNum"/>
        <w:spacing w:after="120"/>
        <w:rPr>
          <w:b/>
          <w:bCs/>
          <w:noProof/>
          <w:szCs w:val="24"/>
        </w:rPr>
      </w:pPr>
      <w:r>
        <w:rPr>
          <w:noProof/>
        </w:rPr>
        <w:t xml:space="preserve">L’augmentation de la production de drogues de synthèse, conjuguée à l’expansion rapide du commerce électronique, offre de nombreuses possibilités de contrebande de drogues illicites par l’intermédiaire des services postaux et de livraison de colis. Ce trafic de quantités réduites, plus difficiles à détecter, alimente cumulativement des opérations de trafic à grande échelle. </w:t>
      </w:r>
      <w:r>
        <w:rPr>
          <w:noProof/>
          <w:color w:val="000000" w:themeColor="text1"/>
        </w:rPr>
        <w:t xml:space="preserve">Afin d’améliorer la détection des flux de drogues illicites, l’UE encouragera la coopération public-privé entre </w:t>
      </w:r>
      <w:r>
        <w:rPr>
          <w:b/>
          <w:noProof/>
        </w:rPr>
        <w:t>le secteur postal et de la livraison de colis, les douanes et les services répressifs</w:t>
      </w:r>
      <w:r>
        <w:rPr>
          <w:noProof/>
        </w:rPr>
        <w:t>. Le plan d’action contre le trafic de drogue comprend des mesures concrètes visant à faire progresser cette coopération.</w:t>
      </w:r>
    </w:p>
    <w:p w14:paraId="3AB3ECB4" w14:textId="066FFE29" w:rsidR="00632E9E" w:rsidRPr="0075035A" w:rsidRDefault="3BFD7607" w:rsidP="00A2296C">
      <w:pPr>
        <w:pStyle w:val="ContNum"/>
        <w:spacing w:after="120"/>
        <w:rPr>
          <w:noProof/>
          <w:color w:val="000000" w:themeColor="text1"/>
        </w:rPr>
      </w:pPr>
      <w:r>
        <w:rPr>
          <w:noProof/>
        </w:rPr>
        <w:t>Des envois de grande valeur et de faible volume contenant des précurseurs sur mesure</w:t>
      </w:r>
      <w:r>
        <w:rPr>
          <w:rStyle w:val="FootnoteReference0"/>
          <w:noProof/>
        </w:rPr>
        <w:footnoteReference w:id="47"/>
      </w:r>
      <w:r>
        <w:rPr>
          <w:noProof/>
        </w:rPr>
        <w:t xml:space="preserve"> ou des précurseurs de drogues sont de plus en plus souvent acheminés clandestinement par voie aérienne.</w:t>
      </w:r>
      <w:r>
        <w:rPr>
          <w:noProof/>
          <w:color w:val="000000" w:themeColor="text1"/>
        </w:rPr>
        <w:t xml:space="preserve"> En plus d’utiliser l’aviation commerciale en exploitant des passeurs, les réseaux criminels se servent de plus en plus d’avions privés, de petits aéronefs et de vols non réguliers pour transporter illégalement de la drogue sans se faire repérer. L’UE s’emploiera à </w:t>
      </w:r>
      <w:r>
        <w:rPr>
          <w:b/>
          <w:noProof/>
          <w:color w:val="000000" w:themeColor="text1"/>
        </w:rPr>
        <w:t>renforcer la surveillance et les contrôles de sûreté de l’aviation générale</w:t>
      </w:r>
      <w:r>
        <w:rPr>
          <w:noProof/>
          <w:color w:val="000000" w:themeColor="text1"/>
        </w:rPr>
        <w:t xml:space="preserve">, et notamment à accroître les échanges d’informations entre les autorités de l’aviation civile compétentes et les services répressifs concernés, dont les douanes. </w:t>
      </w:r>
    </w:p>
    <w:p w14:paraId="0EB9D2A4" w14:textId="2A651993" w:rsidR="009233DE" w:rsidRPr="0075035A" w:rsidRDefault="0003626B" w:rsidP="008E288C">
      <w:pPr>
        <w:pStyle w:val="ContNum"/>
        <w:numPr>
          <w:ilvl w:val="1"/>
          <w:numId w:val="95"/>
        </w:numPr>
        <w:spacing w:after="120"/>
        <w:ind w:left="709"/>
        <w:rPr>
          <w:b/>
          <w:bCs/>
          <w:i/>
          <w:iCs/>
          <w:noProof/>
          <w:color w:val="000000" w:themeColor="text1"/>
          <w:szCs w:val="24"/>
        </w:rPr>
      </w:pPr>
      <w:bookmarkStart w:id="53" w:name="_Hlk213682706"/>
      <w:r>
        <w:rPr>
          <w:b/>
          <w:i/>
          <w:noProof/>
          <w:color w:val="000000" w:themeColor="text1"/>
        </w:rPr>
        <w:t xml:space="preserve"> Améliorer la surveillance et l’interception des drogues distribuées en ligne</w:t>
      </w:r>
    </w:p>
    <w:p w14:paraId="7892311A" w14:textId="7E3E95BE" w:rsidR="004954F4" w:rsidRPr="0075035A" w:rsidRDefault="7EC416E2" w:rsidP="0075035A">
      <w:pPr>
        <w:pStyle w:val="ContNum"/>
        <w:spacing w:after="120"/>
        <w:rPr>
          <w:noProof/>
          <w:color w:val="000000" w:themeColor="text1"/>
          <w:szCs w:val="24"/>
        </w:rPr>
      </w:pPr>
      <w:r>
        <w:rPr>
          <w:noProof/>
          <w:color w:val="000000" w:themeColor="text1"/>
        </w:rPr>
        <w:t xml:space="preserve">Les criminels utilisent à la fois l’internet ouvert et le dark web pour faire la promotion de drogues illicites, les vendre et les distribuer. Les services répressifs ont besoin de capacités accrues et d’un soutien opérationnel renforcé pour détecter ces activités en ligne et enquêter à leur sujet de manière efficace, notamment sur le dark web et les médias sociaux. Afin d’améliorer la sécurité, de protéger les mineurs et de lutter contre la diffusion de contenus illicites en ligne, les fournisseurs de services en ligne et les autorités doivent se conformer pleinement au </w:t>
      </w:r>
      <w:r>
        <w:rPr>
          <w:b/>
          <w:noProof/>
          <w:color w:val="000000" w:themeColor="text1"/>
        </w:rPr>
        <w:t>règlement sur les services numériques (DSA)</w:t>
      </w:r>
      <w:r>
        <w:rPr>
          <w:noProof/>
          <w:color w:val="000000" w:themeColor="text1"/>
        </w:rPr>
        <w:t xml:space="preserve">. La Commission continuera de vérifier et de faire en sorte que les très grandes plateformes en ligne et les très grands moteurs de recherche en ligne respectent les obligations de diligence qui leur incombent au titre dudit règlement. En outre, le </w:t>
      </w:r>
      <w:r>
        <w:rPr>
          <w:b/>
          <w:noProof/>
          <w:color w:val="000000" w:themeColor="text1"/>
        </w:rPr>
        <w:t>forum de l’UE sur l’internet</w:t>
      </w:r>
      <w:r>
        <w:rPr>
          <w:noProof/>
          <w:color w:val="000000" w:themeColor="text1"/>
        </w:rPr>
        <w:t xml:space="preserve"> mettra à profit la coopération volontaire avec les plateformes en ligne pour remédier aux problèmes et partager les bonnes pratiques destinées à perturber les ventes de drogue en ligne et à prévenir le recrutement de mineurs par les réseaux criminels, en s’appuyant sur les mesures figurant dans les lignes directrices de la Commission concernant des mesures visant à garantir un niveau élevé de protection de la vie privée, de sûreté et de sécurité des mineurs en ligne, conformément à l’article 28, paragraphe 4, du règlement (UE) 2022/2065</w:t>
      </w:r>
      <w:r>
        <w:rPr>
          <w:rStyle w:val="FootnoteReference0"/>
          <w:noProof/>
          <w:color w:val="000000" w:themeColor="text1"/>
          <w:szCs w:val="24"/>
        </w:rPr>
        <w:footnoteReference w:id="48"/>
      </w:r>
      <w:r>
        <w:rPr>
          <w:noProof/>
          <w:color w:val="000000" w:themeColor="text1"/>
        </w:rPr>
        <w:t>. Cette activité s’inscrivant dans le cadre du forum de l’UE sur l’internet renforcera le rôle des plateformes de médias sociaux dans la prévention de la consommation de drogue, en mettant particulièrement l’accent sur la sensibilisation des jeunes, en coopération avec l’EUDA</w:t>
      </w:r>
      <w:r>
        <w:rPr>
          <w:rStyle w:val="FootnoteReference0"/>
          <w:noProof/>
          <w:color w:val="000000" w:themeColor="text1"/>
          <w:szCs w:val="24"/>
        </w:rPr>
        <w:footnoteReference w:id="49"/>
      </w:r>
      <w:r>
        <w:rPr>
          <w:noProof/>
          <w:color w:val="000000" w:themeColor="text1"/>
        </w:rPr>
        <w:t>.</w:t>
      </w:r>
      <w:bookmarkStart w:id="54" w:name="_Toc209853384"/>
      <w:bookmarkStart w:id="55" w:name="_Toc212204034"/>
      <w:bookmarkStart w:id="56" w:name="_Toc1111277800"/>
      <w:bookmarkStart w:id="57" w:name="_Toc1304292967"/>
      <w:bookmarkEnd w:id="53"/>
    </w:p>
    <w:p w14:paraId="0887D4DB" w14:textId="7801CFEA" w:rsidR="00632E9E" w:rsidRPr="0075035A" w:rsidRDefault="4148D5C2" w:rsidP="00541FED">
      <w:pPr>
        <w:pStyle w:val="Heading3"/>
        <w:ind w:left="0"/>
        <w:rPr>
          <w:noProof/>
        </w:rPr>
      </w:pPr>
      <w:r>
        <w:rPr>
          <w:noProof/>
        </w:rPr>
        <w:t>Priorité stratégique nº 6: lutter contre la production de drogues de synthèse et de précurseurs</w:t>
      </w:r>
      <w:bookmarkEnd w:id="54"/>
      <w:bookmarkEnd w:id="55"/>
      <w:bookmarkEnd w:id="56"/>
      <w:bookmarkEnd w:id="57"/>
    </w:p>
    <w:p w14:paraId="73B798A7" w14:textId="35229F19" w:rsidR="002F1768" w:rsidRPr="0075035A" w:rsidRDefault="008F10DE" w:rsidP="009B3E0E">
      <w:pPr>
        <w:pBdr>
          <w:top w:val="single" w:sz="4" w:space="1" w:color="auto"/>
          <w:left w:val="single" w:sz="4" w:space="4" w:color="auto"/>
          <w:bottom w:val="single" w:sz="4" w:space="1" w:color="auto"/>
          <w:right w:val="single" w:sz="4" w:space="4" w:color="auto"/>
        </w:pBdr>
        <w:jc w:val="both"/>
        <w:rPr>
          <w:rFonts w:cs="Times New Roman"/>
          <w:noProof/>
          <w:szCs w:val="24"/>
        </w:rPr>
      </w:pPr>
      <w:r>
        <w:rPr>
          <w:i/>
          <w:noProof/>
        </w:rPr>
        <w:t>Pour résoudre le problème que pose l’augmentation de la production, de l’importation et du trafic de drogues de synthèse, l’UE intensifiera ses actions opérationnelles visant à détecter et à démanteler en toute sécurité les laboratoires clandestins et à mettre un terme à l’afflux de précurseurs de drogues.</w:t>
      </w:r>
    </w:p>
    <w:p w14:paraId="3D4F0DB3" w14:textId="17452E60" w:rsidR="00632E9E" w:rsidRPr="0075035A" w:rsidRDefault="005448D3" w:rsidP="008E288C">
      <w:pPr>
        <w:pStyle w:val="ContNum"/>
        <w:numPr>
          <w:ilvl w:val="1"/>
          <w:numId w:val="96"/>
        </w:numPr>
        <w:spacing w:after="120"/>
        <w:ind w:left="851"/>
        <w:rPr>
          <w:b/>
          <w:bCs/>
          <w:i/>
          <w:iCs/>
          <w:noProof/>
          <w:color w:val="000000" w:themeColor="text1"/>
          <w:szCs w:val="24"/>
        </w:rPr>
      </w:pPr>
      <w:r>
        <w:rPr>
          <w:b/>
          <w:i/>
          <w:noProof/>
          <w:color w:val="000000" w:themeColor="text1"/>
        </w:rPr>
        <w:t xml:space="preserve"> Renforcer les capacités opérationnelles de détection et de démantèlement des laboratoires clandestins</w:t>
      </w:r>
    </w:p>
    <w:p w14:paraId="709BD349" w14:textId="1EDFA47B" w:rsidR="00B73D5B" w:rsidRPr="0075035A" w:rsidRDefault="004D5949" w:rsidP="00A2296C">
      <w:pPr>
        <w:pStyle w:val="ContNum"/>
        <w:spacing w:after="120"/>
        <w:rPr>
          <w:noProof/>
          <w:szCs w:val="24"/>
        </w:rPr>
      </w:pPr>
      <w:r>
        <w:rPr>
          <w:noProof/>
          <w:color w:val="000000" w:themeColor="text1"/>
        </w:rPr>
        <w:t xml:space="preserve">La détection et le démantèlement des laboratoires clandestins produisant et exportant des drogues de synthèse et des nouvelles substances psychoactives demeurent un défi de taille. Ces substances constituent une priorité importante de l’EMPACT, dans le cadre de laquelle la police et les douanes collaborent pour obtenir des résultats. </w:t>
      </w:r>
      <w:r>
        <w:rPr>
          <w:noProof/>
        </w:rPr>
        <w:t xml:space="preserve">Avec le soutien de l’EMPACT, l’EUDA contribuera à une meilleure compréhension de la production criminelle de drogue sur le territoire de l’UE, en créant une </w:t>
      </w:r>
      <w:r>
        <w:rPr>
          <w:b/>
          <w:noProof/>
        </w:rPr>
        <w:t>base de données européenne des incidents liés à la production de drogue</w:t>
      </w:r>
      <w:r>
        <w:rPr>
          <w:noProof/>
        </w:rPr>
        <w:t>, en collaboration avec les États membres touchés.</w:t>
      </w:r>
    </w:p>
    <w:p w14:paraId="6A7F5066" w14:textId="0E48E323" w:rsidR="004E738E" w:rsidRPr="0075035A" w:rsidRDefault="000A1379" w:rsidP="00A2296C">
      <w:pPr>
        <w:pStyle w:val="ContNum"/>
        <w:spacing w:after="120"/>
        <w:rPr>
          <w:noProof/>
        </w:rPr>
      </w:pPr>
      <w:r>
        <w:rPr>
          <w:noProof/>
        </w:rPr>
        <w:t>Le démantèlement des laboratoires de production de drogue est complexe et présente des risques graves pour la santé du public et des agents des services répressifs, ainsi que des risques environnementaux.</w:t>
      </w:r>
      <w:r>
        <w:rPr>
          <w:noProof/>
          <w:color w:val="000000" w:themeColor="text1"/>
        </w:rPr>
        <w:t xml:space="preserve"> En conséquence, la Commission et les États membres établiront des lignes directrices et des protocoles pour aider les services répressifs à détecter et à démanteler les </w:t>
      </w:r>
      <w:r>
        <w:rPr>
          <w:b/>
          <w:noProof/>
          <w:color w:val="000000" w:themeColor="text1"/>
        </w:rPr>
        <w:t>laboratoires clandestins produisant des drogues de synthèse</w:t>
      </w:r>
      <w:r>
        <w:rPr>
          <w:noProof/>
          <w:color w:val="000000" w:themeColor="text1"/>
        </w:rPr>
        <w:t xml:space="preserve">, au moyen de technologies de détection avancées et de programmes de formation spécialisés. Cette approche vise à réduire les risques pour les services répressifs ainsi que les dommages environnementaux. </w:t>
      </w:r>
      <w:r>
        <w:rPr>
          <w:noProof/>
        </w:rPr>
        <w:t>En outre, Europol et le CEPOL élaboreront des instructions relatives au transport et à l’élimination en toute sécurité des produits chimiques et des équipements saisis, définiront les bonnes pratiques pour démanteler les laboratoires sans risque et renforceront la formation et les capacités dans ce domaine.</w:t>
      </w:r>
    </w:p>
    <w:p w14:paraId="436C3138" w14:textId="70CC1256" w:rsidR="00632E9E" w:rsidRPr="0075035A" w:rsidRDefault="00BA263B" w:rsidP="008E288C">
      <w:pPr>
        <w:pStyle w:val="ContNum"/>
        <w:numPr>
          <w:ilvl w:val="1"/>
          <w:numId w:val="96"/>
        </w:numPr>
        <w:spacing w:after="120"/>
        <w:ind w:left="851"/>
        <w:rPr>
          <w:b/>
          <w:bCs/>
          <w:i/>
          <w:iCs/>
          <w:noProof/>
          <w:color w:val="000000" w:themeColor="text1"/>
          <w:szCs w:val="24"/>
        </w:rPr>
      </w:pPr>
      <w:r>
        <w:rPr>
          <w:b/>
          <w:i/>
          <w:noProof/>
          <w:color w:val="000000" w:themeColor="text1"/>
        </w:rPr>
        <w:t xml:space="preserve"> Lutter contre le détournement et le trafic de précurseurs de drogues et de précurseurs sur mesure </w:t>
      </w:r>
    </w:p>
    <w:p w14:paraId="2FED622F" w14:textId="1C221FB1" w:rsidR="4259B1EB" w:rsidRPr="0075035A" w:rsidRDefault="00126500" w:rsidP="00A2296C">
      <w:pPr>
        <w:pStyle w:val="ContNum"/>
        <w:spacing w:after="120"/>
        <w:rPr>
          <w:rFonts w:eastAsiaTheme="minorEastAsia"/>
          <w:noProof/>
          <w:color w:val="000000" w:themeColor="text1"/>
        </w:rPr>
      </w:pPr>
      <w:r>
        <w:rPr>
          <w:noProof/>
          <w:color w:val="000000" w:themeColor="text1"/>
        </w:rPr>
        <w:t>Les précurseurs de drogues sont souvent utilisés de manière illicite pour produire des drogues de synthèse et des nouvelles substances psychoactives, ce qui constitue une menace importante pour la sécurité publique.</w:t>
      </w:r>
      <w:r>
        <w:rPr>
          <w:noProof/>
          <w:sz w:val="18"/>
        </w:rPr>
        <w:t xml:space="preserve"> </w:t>
      </w:r>
      <w:r>
        <w:rPr>
          <w:noProof/>
          <w:color w:val="000000" w:themeColor="text1"/>
        </w:rPr>
        <w:t>La révision de la législation relative aux précurseurs effectuée par la Commission est essentielle pour améliorer la surveillance et le contrôle des précurseurs de drogues et des précurseurs sur mesure</w:t>
      </w:r>
      <w:r>
        <w:rPr>
          <w:rStyle w:val="FootnoteReference0"/>
          <w:rFonts w:eastAsiaTheme="minorEastAsia"/>
          <w:noProof/>
          <w:color w:val="000000" w:themeColor="text1"/>
          <w:szCs w:val="24"/>
        </w:rPr>
        <w:footnoteReference w:id="50"/>
      </w:r>
      <w:r>
        <w:rPr>
          <w:noProof/>
          <w:color w:val="000000" w:themeColor="text1"/>
        </w:rPr>
        <w:t>. La proposition formulée dans ce contexte vise à donner aux services répressifs et aux opérateurs économiques les moyens de mieux détecter les transactions suspectes, et à renforcer ainsi la coopération et la vigilance en matière de prévention de la production illégale de drogue. Pour faciliter la mise en œuvre, l’EUDA suivra l’évolution de la situation en ce qui concerne le détournement et le trafic de précurseurs de drogues. Elle contribuera également à la mise en œuvre de la législation de l’UE sur les précurseurs de drogues, en créant un répertoire d’informations sur ces derniers, qui contiendra des renseignements sur ces substances et facilitera le partage d’informations aux fins de leur identification. En parallèle, l’UE devrait coopérer davantage avec ses partenaires internationaux afin de surveiller et, par la suite, d’enrayer la production, le détournement et le trafic illicites de précurseurs de drogues, y compris de précurseurs sur mesure. Afin de faciliter les enquêtes de police scientifique au niveau national, l’UE intensifiera son soutien à la détection des précurseurs utilisés dans les installations de production de drogue.</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B005C1" w:rsidRPr="0075035A" w14:paraId="4F5A8A78" w14:textId="77777777" w:rsidTr="57B22410">
        <w:trPr>
          <w:trHeight w:val="4382"/>
        </w:trPr>
        <w:tc>
          <w:tcPr>
            <w:tcW w:w="9576" w:type="dxa"/>
          </w:tcPr>
          <w:p w14:paraId="7E515E3C" w14:textId="3D1864CA" w:rsidR="00B005C1" w:rsidRDefault="00B005C1" w:rsidP="00404769">
            <w:pPr>
              <w:pStyle w:val="ContNum"/>
              <w:spacing w:after="0"/>
              <w:rPr>
                <w:b/>
                <w:noProof/>
                <w:color w:val="000000" w:themeColor="text1"/>
                <w:szCs w:val="24"/>
              </w:rPr>
            </w:pPr>
            <w:r>
              <w:rPr>
                <w:b/>
                <w:noProof/>
                <w:color w:val="000000" w:themeColor="text1"/>
              </w:rPr>
              <w:t>Priorités essentielles</w:t>
            </w:r>
          </w:p>
          <w:p w14:paraId="0F6EF685" w14:textId="77777777" w:rsidR="00404769" w:rsidRPr="0075035A" w:rsidRDefault="00404769" w:rsidP="00404769">
            <w:pPr>
              <w:pStyle w:val="ContNum"/>
              <w:spacing w:after="0"/>
              <w:rPr>
                <w:b/>
                <w:noProof/>
                <w:color w:val="000000" w:themeColor="text1"/>
                <w:szCs w:val="24"/>
              </w:rPr>
            </w:pPr>
          </w:p>
          <w:p w14:paraId="12991EE8" w14:textId="26DBBF53" w:rsidR="00B005C1" w:rsidRPr="0075035A" w:rsidRDefault="00B005C1" w:rsidP="00404769">
            <w:pPr>
              <w:pStyle w:val="ContNum"/>
              <w:spacing w:after="0"/>
              <w:rPr>
                <w:b/>
                <w:noProof/>
                <w:color w:val="000000" w:themeColor="text1"/>
                <w:szCs w:val="24"/>
              </w:rPr>
            </w:pPr>
            <w:r>
              <w:rPr>
                <w:b/>
                <w:noProof/>
                <w:color w:val="000000" w:themeColor="text1"/>
              </w:rPr>
              <w:t>La Commission:</w:t>
            </w:r>
          </w:p>
          <w:p w14:paraId="17436E8B" w14:textId="7123DE31" w:rsidR="00B005C1" w:rsidRPr="0075035A" w:rsidRDefault="00B005C1">
            <w:pPr>
              <w:pStyle w:val="ContNum"/>
              <w:numPr>
                <w:ilvl w:val="0"/>
                <w:numId w:val="102"/>
              </w:numPr>
              <w:spacing w:after="120"/>
              <w:rPr>
                <w:b/>
                <w:noProof/>
                <w:color w:val="000000" w:themeColor="text1"/>
                <w:szCs w:val="24"/>
              </w:rPr>
            </w:pPr>
            <w:r>
              <w:rPr>
                <w:b/>
                <w:noProof/>
                <w:color w:val="000000" w:themeColor="text1"/>
              </w:rPr>
              <w:t>mettra en œuvre, en étroite collaboration avec les États membres et les agences compétentes de l’UE, le plan d’action spécifique de l’UE contre le trafic de drogue;</w:t>
            </w:r>
          </w:p>
          <w:p w14:paraId="5638C866" w14:textId="0C8D13D8" w:rsidR="00DB6211" w:rsidRPr="0075035A" w:rsidRDefault="00DB6211">
            <w:pPr>
              <w:pStyle w:val="ContNum"/>
              <w:numPr>
                <w:ilvl w:val="0"/>
                <w:numId w:val="102"/>
              </w:numPr>
              <w:spacing w:after="120"/>
              <w:rPr>
                <w:b/>
                <w:noProof/>
                <w:color w:val="000000" w:themeColor="text1"/>
                <w:szCs w:val="24"/>
              </w:rPr>
            </w:pPr>
            <w:r>
              <w:rPr>
                <w:b/>
                <w:noProof/>
                <w:color w:val="000000" w:themeColor="text1"/>
              </w:rPr>
              <w:t>évaluera, en 2026, la décision-cadre existante relative au trafic de drogue;</w:t>
            </w:r>
          </w:p>
          <w:p w14:paraId="3F03F014" w14:textId="33AEA8CF" w:rsidR="00142D6B" w:rsidRPr="0075035A" w:rsidRDefault="005C286F" w:rsidP="57B22410">
            <w:pPr>
              <w:pStyle w:val="ContNum"/>
              <w:numPr>
                <w:ilvl w:val="0"/>
                <w:numId w:val="102"/>
              </w:numPr>
              <w:spacing w:after="120"/>
              <w:rPr>
                <w:b/>
                <w:bCs/>
                <w:noProof/>
                <w:color w:val="000000" w:themeColor="text1"/>
              </w:rPr>
            </w:pPr>
            <w:r>
              <w:rPr>
                <w:b/>
                <w:noProof/>
                <w:color w:val="000000" w:themeColor="text1"/>
              </w:rPr>
              <w:t>mettra en place une stratégie portuaire de l’UE fortement axée sur la sûreté des ports;</w:t>
            </w:r>
          </w:p>
          <w:p w14:paraId="0F23236C" w14:textId="77777777" w:rsidR="00407696" w:rsidRPr="00407696" w:rsidRDefault="00331806" w:rsidP="4F60382D">
            <w:pPr>
              <w:pStyle w:val="ContNum"/>
              <w:numPr>
                <w:ilvl w:val="0"/>
                <w:numId w:val="102"/>
              </w:numPr>
              <w:spacing w:after="120"/>
              <w:rPr>
                <w:b/>
                <w:bCs/>
                <w:noProof/>
                <w:color w:val="333333"/>
              </w:rPr>
            </w:pPr>
            <w:r>
              <w:rPr>
                <w:b/>
                <w:noProof/>
                <w:color w:val="000000" w:themeColor="text1"/>
              </w:rPr>
              <w:t xml:space="preserve">collaborera avec les colégislateurs en vue de l’adoption rapide des nouvelles règles relatives aux précurseurs; </w:t>
            </w:r>
          </w:p>
          <w:p w14:paraId="4673B0F9" w14:textId="0A37862D" w:rsidR="003A3A99" w:rsidRPr="0075035A" w:rsidRDefault="64AC04FC" w:rsidP="4F60382D">
            <w:pPr>
              <w:pStyle w:val="ContNum"/>
              <w:numPr>
                <w:ilvl w:val="0"/>
                <w:numId w:val="102"/>
              </w:numPr>
              <w:spacing w:after="120"/>
              <w:rPr>
                <w:b/>
                <w:bCs/>
                <w:noProof/>
                <w:color w:val="333333"/>
              </w:rPr>
            </w:pPr>
            <w:r>
              <w:rPr>
                <w:b/>
                <w:noProof/>
                <w:color w:val="000000" w:themeColor="text1"/>
              </w:rPr>
              <w:t>évaluera la faisabilité de la mise en place d’un nouveau système à l’échelle de l’UE pour surveiller les financements liés à la criminalité organisée et au terrorisme.</w:t>
            </w:r>
          </w:p>
          <w:p w14:paraId="10F4902F" w14:textId="0C0A02B2" w:rsidR="00B005C1" w:rsidRPr="0075035A" w:rsidRDefault="00FE4771">
            <w:pPr>
              <w:pStyle w:val="ContNum"/>
              <w:spacing w:after="120"/>
              <w:rPr>
                <w:b/>
                <w:noProof/>
                <w:color w:val="000000" w:themeColor="text1"/>
                <w:szCs w:val="24"/>
              </w:rPr>
            </w:pPr>
            <w:r>
              <w:rPr>
                <w:b/>
                <w:noProof/>
                <w:color w:val="000000" w:themeColor="text1"/>
              </w:rPr>
              <w:t>L’EUDA, avec le soutien de l’EMPACT:</w:t>
            </w:r>
          </w:p>
          <w:p w14:paraId="406F5D2F" w14:textId="7D73AA05" w:rsidR="00064412" w:rsidRPr="0075035A" w:rsidRDefault="00B005C1">
            <w:pPr>
              <w:pStyle w:val="ContNum"/>
              <w:numPr>
                <w:ilvl w:val="0"/>
                <w:numId w:val="102"/>
              </w:numPr>
              <w:spacing w:after="120"/>
              <w:rPr>
                <w:b/>
                <w:noProof/>
                <w:color w:val="000000" w:themeColor="text1"/>
              </w:rPr>
            </w:pPr>
            <w:r>
              <w:rPr>
                <w:b/>
                <w:noProof/>
                <w:color w:val="000000" w:themeColor="text1"/>
              </w:rPr>
              <w:t>créera une base de données européenne des incidents liés à la production de drogue.</w:t>
            </w:r>
          </w:p>
          <w:p w14:paraId="2D69CDCF" w14:textId="3A1E7D50" w:rsidR="00B005C1" w:rsidRPr="0075035A" w:rsidRDefault="00B005C1">
            <w:pPr>
              <w:pStyle w:val="ContNum"/>
              <w:spacing w:after="120"/>
              <w:rPr>
                <w:b/>
                <w:noProof/>
                <w:color w:val="000000" w:themeColor="text1"/>
                <w:szCs w:val="24"/>
              </w:rPr>
            </w:pPr>
            <w:r>
              <w:rPr>
                <w:b/>
                <w:noProof/>
                <w:color w:val="000000" w:themeColor="text1"/>
              </w:rPr>
              <w:t>Les États membres sont encouragés à:</w:t>
            </w:r>
          </w:p>
          <w:p w14:paraId="2CFA5C9C" w14:textId="69E4C470" w:rsidR="00DB6211" w:rsidRPr="0075035A" w:rsidRDefault="00DB6211">
            <w:pPr>
              <w:pStyle w:val="ContNum"/>
              <w:numPr>
                <w:ilvl w:val="0"/>
                <w:numId w:val="102"/>
              </w:numPr>
              <w:spacing w:after="120"/>
              <w:rPr>
                <w:b/>
                <w:bCs/>
                <w:noProof/>
                <w:color w:val="000000" w:themeColor="text1"/>
                <w:szCs w:val="24"/>
              </w:rPr>
            </w:pPr>
            <w:r>
              <w:rPr>
                <w:b/>
                <w:noProof/>
                <w:color w:val="000000" w:themeColor="text1"/>
              </w:rPr>
              <w:t xml:space="preserve">renforcer les capacités des autorités nationales en matière de détection du trafic de drogue, ainsi que d’enquêtes et de poursuites en la matière; </w:t>
            </w:r>
          </w:p>
          <w:p w14:paraId="4F095ABC" w14:textId="16B4258E" w:rsidR="00B005C1" w:rsidRPr="0075035A" w:rsidRDefault="006B7578">
            <w:pPr>
              <w:pStyle w:val="ContNum"/>
              <w:numPr>
                <w:ilvl w:val="0"/>
                <w:numId w:val="102"/>
              </w:numPr>
              <w:spacing w:after="120"/>
              <w:rPr>
                <w:b/>
                <w:noProof/>
                <w:color w:val="000000" w:themeColor="text1"/>
                <w:szCs w:val="24"/>
              </w:rPr>
            </w:pPr>
            <w:r>
              <w:rPr>
                <w:b/>
                <w:noProof/>
                <w:color w:val="000000" w:themeColor="text1"/>
              </w:rPr>
              <w:t>intégrer dans leur droit national et mettre en œuvre les règles renforcées relatives au recouvrement et à la confiscation d’avoirs;</w:t>
            </w:r>
          </w:p>
          <w:p w14:paraId="3EB56117" w14:textId="16FAFA16" w:rsidR="00B005C1" w:rsidRPr="0075035A" w:rsidRDefault="00B005C1">
            <w:pPr>
              <w:pStyle w:val="ContNum"/>
              <w:numPr>
                <w:ilvl w:val="0"/>
                <w:numId w:val="102"/>
              </w:numPr>
              <w:spacing w:after="120"/>
              <w:rPr>
                <w:b/>
                <w:bCs/>
                <w:noProof/>
                <w:color w:val="000000" w:themeColor="text1"/>
                <w:szCs w:val="24"/>
              </w:rPr>
            </w:pPr>
            <w:r>
              <w:rPr>
                <w:b/>
                <w:noProof/>
                <w:color w:val="000000" w:themeColor="text1"/>
              </w:rPr>
              <w:t>détecter et prévenir l’infiltration d’entreprises légales par des organisations criminelles, au moyen de l’approche administrative.</w:t>
            </w:r>
          </w:p>
        </w:tc>
      </w:tr>
    </w:tbl>
    <w:p w14:paraId="35D99AA9" w14:textId="77777777" w:rsidR="00032AAA" w:rsidRPr="0075035A" w:rsidRDefault="00032AAA" w:rsidP="00404769">
      <w:pPr>
        <w:pStyle w:val="ContNum"/>
        <w:spacing w:after="120"/>
        <w:rPr>
          <w:b/>
          <w:bCs/>
          <w:noProof/>
          <w:color w:val="000000" w:themeColor="text1"/>
          <w:szCs w:val="24"/>
        </w:rPr>
      </w:pPr>
    </w:p>
    <w:p w14:paraId="2AC65F99" w14:textId="2EF402A4" w:rsidR="00632E9E" w:rsidRPr="0075035A" w:rsidRDefault="005E2E9B" w:rsidP="00B40C65">
      <w:pPr>
        <w:pStyle w:val="Heading2"/>
        <w:spacing w:line="240" w:lineRule="auto"/>
        <w:rPr>
          <w:noProof/>
        </w:rPr>
      </w:pPr>
      <w:bookmarkStart w:id="58" w:name="_Toc209853385"/>
      <w:bookmarkStart w:id="59" w:name="_Toc212204035"/>
      <w:bookmarkStart w:id="60" w:name="_Toc961271079"/>
      <w:bookmarkStart w:id="61" w:name="_Toc1619700311"/>
      <w:r>
        <w:rPr>
          <w:noProof/>
        </w:rPr>
        <w:t>Agir sur les risques et les dommages</w:t>
      </w:r>
      <w:bookmarkEnd w:id="58"/>
      <w:bookmarkEnd w:id="59"/>
      <w:bookmarkEnd w:id="60"/>
      <w:bookmarkEnd w:id="61"/>
    </w:p>
    <w:p w14:paraId="37209E3C" w14:textId="77777777" w:rsidR="00632E9E" w:rsidRPr="0075035A" w:rsidRDefault="00632E9E" w:rsidP="00A2296C">
      <w:pPr>
        <w:pStyle w:val="Style2"/>
        <w:numPr>
          <w:ilvl w:val="0"/>
          <w:numId w:val="0"/>
        </w:numPr>
        <w:spacing w:line="240" w:lineRule="auto"/>
        <w:rPr>
          <w:noProof/>
        </w:rPr>
      </w:pPr>
    </w:p>
    <w:p w14:paraId="77DEFF19" w14:textId="78452F87" w:rsidR="00B02FAF" w:rsidRPr="0075035A" w:rsidRDefault="002B743A" w:rsidP="009678FC">
      <w:pPr>
        <w:spacing w:after="240" w:line="240" w:lineRule="auto"/>
        <w:jc w:val="both"/>
        <w:rPr>
          <w:rFonts w:cs="Times New Roman"/>
          <w:noProof/>
        </w:rPr>
      </w:pPr>
      <w:r>
        <w:rPr>
          <w:noProof/>
          <w:color w:val="000000" w:themeColor="text1"/>
        </w:rPr>
        <w:t>L’incidence potentielle des substances illicites sur les personnes consommatrices de drogues, les espaces publics et la société est de plus en plus préoccupante. L’essor des nouvelles substances psychoactives à forte teneur en principe actif accroît considérablement le risque de décès par surdose, tandis que le trafic de drogue entraîne des violences et des dommages environnementaux pour les communautés locales. Pour remédier à ces problèmes, l’UE doit se concentrer sur la réduction significative des risques et des dommages liés à la drogue, tout en améliorant son état de préparation.</w:t>
      </w:r>
    </w:p>
    <w:p w14:paraId="079DD515" w14:textId="0CA802A6" w:rsidR="008813CC" w:rsidRPr="0075035A" w:rsidRDefault="380AA716" w:rsidP="00541FED">
      <w:pPr>
        <w:pStyle w:val="Heading3"/>
        <w:ind w:left="0"/>
        <w:rPr>
          <w:noProof/>
        </w:rPr>
      </w:pPr>
      <w:bookmarkStart w:id="62" w:name="_Toc209853386"/>
      <w:bookmarkStart w:id="63" w:name="_Toc212204036"/>
      <w:bookmarkStart w:id="64" w:name="_Toc1552077532"/>
      <w:bookmarkStart w:id="65" w:name="_Toc1859895619"/>
      <w:r>
        <w:rPr>
          <w:noProof/>
        </w:rPr>
        <w:t>Priorité stratégique nº 7: réduire les dommages individuels liés à la drogue</w:t>
      </w:r>
      <w:bookmarkEnd w:id="62"/>
      <w:bookmarkEnd w:id="63"/>
      <w:bookmarkEnd w:id="64"/>
      <w:bookmarkEnd w:id="65"/>
    </w:p>
    <w:p w14:paraId="300760C5" w14:textId="24823677" w:rsidR="00E456AD" w:rsidRPr="0075035A" w:rsidRDefault="002B743A" w:rsidP="00B712CC">
      <w:pPr>
        <w:pStyle w:val="ContNum"/>
        <w:pBdr>
          <w:top w:val="single" w:sz="4" w:space="1" w:color="auto"/>
          <w:left w:val="single" w:sz="4" w:space="4" w:color="auto"/>
          <w:bottom w:val="single" w:sz="4" w:space="1" w:color="auto"/>
          <w:right w:val="single" w:sz="4" w:space="4" w:color="auto"/>
        </w:pBdr>
        <w:spacing w:after="120"/>
        <w:rPr>
          <w:i/>
          <w:iCs/>
          <w:noProof/>
          <w:color w:val="000000" w:themeColor="text1"/>
          <w:szCs w:val="24"/>
        </w:rPr>
      </w:pPr>
      <w:r>
        <w:rPr>
          <w:i/>
          <w:noProof/>
          <w:color w:val="000000" w:themeColor="text1"/>
        </w:rPr>
        <w:t>Dans le cadre d’un continuum de soins englobant également prévention et traitement, l’UE et les États membres augmenteront la disponibilité d’interventions efficaces destinées à réduire les dommages et les risques, afin de protéger les personnes qui consomment des drogues contre les dommages qui y sont liés.</w:t>
      </w:r>
    </w:p>
    <w:p w14:paraId="1E4CACA3" w14:textId="09184236" w:rsidR="00F6660B" w:rsidRPr="0075035A" w:rsidRDefault="00F6660B" w:rsidP="00504B2B">
      <w:pPr>
        <w:pStyle w:val="ContNum"/>
        <w:keepNext/>
        <w:numPr>
          <w:ilvl w:val="1"/>
          <w:numId w:val="97"/>
        </w:numPr>
        <w:ind w:left="714" w:hanging="357"/>
        <w:rPr>
          <w:b/>
          <w:bCs/>
          <w:i/>
          <w:iCs/>
          <w:noProof/>
          <w:color w:val="000000" w:themeColor="text1"/>
          <w:szCs w:val="24"/>
        </w:rPr>
      </w:pPr>
      <w:r>
        <w:rPr>
          <w:b/>
          <w:i/>
          <w:noProof/>
          <w:color w:val="000000" w:themeColor="text1"/>
        </w:rPr>
        <w:t xml:space="preserve"> Accroître la disponibilité et la couverture des interventions en réduction des dommages et des risques qui ont fait leurs preuves</w:t>
      </w:r>
    </w:p>
    <w:p w14:paraId="05172C73" w14:textId="7C3E2504" w:rsidR="005A05E6" w:rsidRPr="0075035A" w:rsidRDefault="60E0E452" w:rsidP="00A2296C">
      <w:pPr>
        <w:spacing w:line="240" w:lineRule="auto"/>
        <w:jc w:val="both"/>
        <w:rPr>
          <w:rFonts w:cs="Times New Roman"/>
          <w:noProof/>
          <w:color w:val="000000" w:themeColor="text1"/>
          <w:szCs w:val="24"/>
        </w:rPr>
      </w:pPr>
      <w:r>
        <w:rPr>
          <w:noProof/>
          <w:color w:val="000000" w:themeColor="text1"/>
        </w:rPr>
        <w:t xml:space="preserve">Les nouvelles drogues entraînant de nouveaux risques, les États membres doivent étendre et adapter les interventions en réduction des dommages. </w:t>
      </w:r>
      <w:r>
        <w:rPr>
          <w:noProof/>
        </w:rPr>
        <w:t>Une collaboration étroite entre les professionnels de la santé, les travailleurs sociaux, la société civile et les groupes de pairs est essentielle. Les interventions devraient être combinées avec d’autres activités de promotion de la santé afin d’atteindre les populations à haut risque, par exemple des salles de consommation sûre et surveillée des drogues, des installations d’analyse des drogues ou des unités mobiles proposant un soutien sanitaire et social.</w:t>
      </w:r>
      <w:r>
        <w:rPr>
          <w:noProof/>
          <w:color w:val="000000" w:themeColor="text1"/>
        </w:rPr>
        <w:t xml:space="preserve"> </w:t>
      </w:r>
      <w:r>
        <w:rPr>
          <w:noProof/>
        </w:rPr>
        <w:t xml:space="preserve">Les mesures de réduction des risques et des dommages, y compris les actions financées par les fonds de la </w:t>
      </w:r>
      <w:r>
        <w:rPr>
          <w:noProof/>
          <w:u w:val="single"/>
        </w:rPr>
        <w:t>politique</w:t>
      </w:r>
      <w:r>
        <w:rPr>
          <w:noProof/>
        </w:rPr>
        <w:t xml:space="preserve"> de cohésion, doivent être intégrées dans les politiques et les réalités régionales et locales, les acteurs travaillant ensemble pour promouvoir la santé, la sûreté et la sécurité au niveau local.</w:t>
      </w:r>
      <w:r>
        <w:rPr>
          <w:noProof/>
          <w:color w:val="000000" w:themeColor="text1"/>
        </w:rPr>
        <w:t xml:space="preserve"> </w:t>
      </w:r>
    </w:p>
    <w:p w14:paraId="4CAB4B28" w14:textId="177D31FD" w:rsidR="00B00072" w:rsidRPr="0075035A" w:rsidRDefault="3F673C4A" w:rsidP="2107E1B0">
      <w:pPr>
        <w:pStyle w:val="ContNum"/>
        <w:rPr>
          <w:noProof/>
          <w:color w:val="000000" w:themeColor="text1"/>
        </w:rPr>
      </w:pPr>
      <w:r>
        <w:rPr>
          <w:noProof/>
          <w:color w:val="000000" w:themeColor="text1"/>
        </w:rPr>
        <w:t xml:space="preserve">Les interventions en réduction des dommages visant à prévenir ou à réduire les risques de surdose, de maladies infectieuses et d’infections potentiellement mortelles doivent faire l’objet d’une attention particulière. Les États membres sont instamment invités à prendre des mesures pour prévenir ou réduire le risque </w:t>
      </w:r>
      <w:r>
        <w:rPr>
          <w:b/>
          <w:noProof/>
          <w:color w:val="000000" w:themeColor="text1"/>
        </w:rPr>
        <w:t>de surdose et de décès</w:t>
      </w:r>
      <w:r>
        <w:rPr>
          <w:noProof/>
          <w:color w:val="000000" w:themeColor="text1"/>
        </w:rPr>
        <w:t>, en particulier causés par les opioïdes, en améliorant l’accès à des interventions ayant fait leurs preuves telles que les traitements par agonistes opioïdes et la naloxone, y compris les programmes de naloxone à emporter. Des stratégies novatrices sont également indispensables pour faire face aux risques associés aux nouvelles drogues, telles que les cannabinoïdes de synthèse, et aux nouveaux modes de consommation, tels que le vapotage.</w:t>
      </w:r>
    </w:p>
    <w:p w14:paraId="0B563887" w14:textId="02F290A6" w:rsidR="00C41B9F" w:rsidRPr="0075035A" w:rsidRDefault="002140F2" w:rsidP="0035108F">
      <w:pPr>
        <w:pStyle w:val="ContNum"/>
        <w:rPr>
          <w:noProof/>
          <w:szCs w:val="24"/>
        </w:rPr>
      </w:pPr>
      <w:r>
        <w:rPr>
          <w:noProof/>
        </w:rPr>
        <w:t xml:space="preserve">Des efforts supplémentaires devraient être consacrés à la prévention, au traitement et à la réduction des </w:t>
      </w:r>
      <w:r>
        <w:rPr>
          <w:b/>
          <w:noProof/>
        </w:rPr>
        <w:t>infections à diffusion hématogène</w:t>
      </w:r>
      <w:r>
        <w:rPr>
          <w:noProof/>
        </w:rPr>
        <w:t xml:space="preserve"> liées à la drogue, en particulier le VIH et l’hépatite C (VHC), ainsi que des maladies à prévention vaccinale telles que les hépatites A et B. Les usagers de drogues par voie intraveineuse devraient avoir accès à des interventions vitales fondées sur les orientations de l’EUDA et de l’ECDC sur la prévention et le contrôle des maladies infectieuses</w:t>
      </w:r>
      <w:r>
        <w:rPr>
          <w:rStyle w:val="FootnoteReference0"/>
          <w:noProof/>
        </w:rPr>
        <w:footnoteReference w:id="51"/>
      </w:r>
      <w:r>
        <w:rPr>
          <w:noProof/>
        </w:rPr>
        <w:t xml:space="preserve">. Des programmes d’échange de seringues largement disponibles, ainsi que le dépistage et le traitement volontaires du VIH et du VHC, sont essentiels. La Commission collaborera avec le Forum de la société civile sur la drogue afin de </w:t>
      </w:r>
      <w:r>
        <w:rPr>
          <w:b/>
          <w:noProof/>
        </w:rPr>
        <w:t>recenser les obstacles systémiques auxquels se heurtent les populations vulnérables</w:t>
      </w:r>
      <w:r>
        <w:rPr>
          <w:noProof/>
        </w:rPr>
        <w:t>, y compris les personnes consommatrices de drogues.</w:t>
      </w:r>
    </w:p>
    <w:p w14:paraId="2876A3BF" w14:textId="6CFDD041" w:rsidR="00506ED7" w:rsidRPr="0075035A" w:rsidRDefault="000B2892" w:rsidP="0035108F">
      <w:pPr>
        <w:spacing w:line="240" w:lineRule="auto"/>
        <w:jc w:val="both"/>
        <w:rPr>
          <w:rFonts w:cs="Times New Roman"/>
          <w:noProof/>
          <w:color w:val="000000" w:themeColor="text1"/>
          <w:szCs w:val="24"/>
        </w:rPr>
      </w:pPr>
      <w:r>
        <w:rPr>
          <w:noProof/>
          <w:color w:val="000000" w:themeColor="text1"/>
        </w:rPr>
        <w:t xml:space="preserve">En outre, les États membres devraient envisager d’élaborer et de mettre en œuvre des </w:t>
      </w:r>
      <w:r>
        <w:rPr>
          <w:b/>
          <w:noProof/>
          <w:color w:val="000000" w:themeColor="text1"/>
        </w:rPr>
        <w:t>interventions en réduction des dommages</w:t>
      </w:r>
      <w:r>
        <w:rPr>
          <w:noProof/>
          <w:color w:val="000000" w:themeColor="text1"/>
        </w:rPr>
        <w:t xml:space="preserve"> destinées à des groupes à risque spécifiques, notamment les personnes souffrant de troubles de la santé mentale, les personnes privées de liberté, les personnes LGBTIQ+, les migrants, ainsi que les jeunes dans des lieux récréatifs tels que les boîtes de nuit ou les festivals.</w:t>
      </w:r>
    </w:p>
    <w:p w14:paraId="7C763164" w14:textId="0392DCD8" w:rsidR="00F6660B" w:rsidRPr="0075035A" w:rsidRDefault="0003626B" w:rsidP="008E288C">
      <w:pPr>
        <w:pStyle w:val="ContNum"/>
        <w:numPr>
          <w:ilvl w:val="1"/>
          <w:numId w:val="97"/>
        </w:numPr>
        <w:rPr>
          <w:b/>
          <w:bCs/>
          <w:i/>
          <w:iCs/>
          <w:noProof/>
          <w:color w:val="000000" w:themeColor="text1"/>
          <w:szCs w:val="24"/>
        </w:rPr>
      </w:pPr>
      <w:r>
        <w:rPr>
          <w:b/>
          <w:i/>
          <w:noProof/>
          <w:color w:val="000000" w:themeColor="text1"/>
        </w:rPr>
        <w:t xml:space="preserve"> Diffuser les données probantes relatives aux interventions efficaces en réduction des dommages </w:t>
      </w:r>
    </w:p>
    <w:p w14:paraId="6036CADB" w14:textId="2EA3D253" w:rsidR="00F6660B" w:rsidRPr="0075035A" w:rsidRDefault="005A05E6" w:rsidP="00A2296C">
      <w:pPr>
        <w:pStyle w:val="ContNum"/>
        <w:rPr>
          <w:b/>
          <w:bCs/>
          <w:noProof/>
          <w:color w:val="657C9C" w:themeColor="text2" w:themeTint="BF"/>
          <w:szCs w:val="24"/>
        </w:rPr>
      </w:pPr>
      <w:r>
        <w:rPr>
          <w:noProof/>
          <w:color w:val="000000" w:themeColor="text1"/>
        </w:rPr>
        <w:t xml:space="preserve">Même s’il existe diverses mesures de réduction des risques et des dommages pour atteindre les populations à haut risque, d’autres mesures innovantes devraient être mises à disposition au fil de l’évolution des drogues et de leur consommation. L’EUDA examinera l’efficacité des interventions nouvelles et partagera les bonnes pratiques au moyen d’une base de données sur la réduction des dommages. </w:t>
      </w:r>
      <w:r>
        <w:rPr>
          <w:noProof/>
        </w:rPr>
        <w:t xml:space="preserve">Les informations seront ainsi largement disponibles pour </w:t>
      </w:r>
      <w:r>
        <w:rPr>
          <w:b/>
          <w:noProof/>
        </w:rPr>
        <w:t>permettre l’élaboration de normes de qualité</w:t>
      </w:r>
      <w:r>
        <w:rPr>
          <w:noProof/>
        </w:rPr>
        <w:t xml:space="preserve"> en matière de réduction des dommages.</w:t>
      </w:r>
    </w:p>
    <w:p w14:paraId="3CA35F67" w14:textId="29E21378" w:rsidR="00632E9E" w:rsidRPr="0075035A" w:rsidRDefault="764A53F3" w:rsidP="4F60382D">
      <w:pPr>
        <w:pStyle w:val="ContNum"/>
        <w:rPr>
          <w:noProof/>
          <w:color w:val="000000" w:themeColor="text1"/>
        </w:rPr>
      </w:pPr>
      <w:r>
        <w:rPr>
          <w:noProof/>
          <w:color w:val="000000" w:themeColor="text1"/>
        </w:rPr>
        <w:t xml:space="preserve">Forte du succès du programme européen de formation en matière de prévention, l’EUDA élaborera un programme de formation spécifique visant à améliorer la mise en œuvre de mesures de réduction des dommages fondées sur des données probantes. Le </w:t>
      </w:r>
      <w:r>
        <w:rPr>
          <w:b/>
          <w:noProof/>
          <w:color w:val="000000" w:themeColor="text1"/>
        </w:rPr>
        <w:t>programme européen de formation en matière de réduction des dommages</w:t>
      </w:r>
      <w:r>
        <w:rPr>
          <w:noProof/>
          <w:color w:val="000000" w:themeColor="text1"/>
        </w:rPr>
        <w:t xml:space="preserve"> aidera les États membres à développer les capacités de réduction des dommages dans toute l’Europe.</w:t>
      </w:r>
    </w:p>
    <w:p w14:paraId="628FD193" w14:textId="0F6CCF0D" w:rsidR="00632E9E" w:rsidRPr="0075035A" w:rsidRDefault="00632E9E" w:rsidP="00541FED">
      <w:pPr>
        <w:pStyle w:val="Heading3"/>
        <w:ind w:left="0"/>
        <w:rPr>
          <w:noProof/>
        </w:rPr>
      </w:pPr>
      <w:bookmarkStart w:id="66" w:name="_Toc209853387"/>
      <w:bookmarkStart w:id="67" w:name="_Toc212204037"/>
      <w:bookmarkStart w:id="68" w:name="_Toc652626365"/>
      <w:bookmarkStart w:id="69" w:name="_Toc334216602"/>
      <w:r>
        <w:rPr>
          <w:noProof/>
        </w:rPr>
        <w:t>Priorité stratégique nº 8: atténuer les répercussions sociales et environnementales</w:t>
      </w:r>
      <w:bookmarkEnd w:id="66"/>
      <w:bookmarkEnd w:id="67"/>
      <w:bookmarkEnd w:id="68"/>
      <w:bookmarkEnd w:id="69"/>
    </w:p>
    <w:p w14:paraId="798D77F6" w14:textId="631FB82C" w:rsidR="002C7B76" w:rsidRPr="0075035A" w:rsidRDefault="00AD55ED" w:rsidP="00B712CC">
      <w:pPr>
        <w:pBdr>
          <w:top w:val="single" w:sz="4" w:space="1" w:color="auto"/>
          <w:left w:val="single" w:sz="4" w:space="4" w:color="auto"/>
          <w:bottom w:val="single" w:sz="4" w:space="1" w:color="auto"/>
          <w:right w:val="single" w:sz="4" w:space="4" w:color="auto"/>
        </w:pBdr>
        <w:jc w:val="both"/>
        <w:rPr>
          <w:rFonts w:cs="Times New Roman"/>
          <w:i/>
          <w:iCs/>
          <w:noProof/>
          <w:szCs w:val="24"/>
        </w:rPr>
      </w:pPr>
      <w:r>
        <w:rPr>
          <w:i/>
          <w:noProof/>
        </w:rPr>
        <w:t>L’UE intensifiera ses efforts de prévention de la criminalité afin de lutter contre la violence croissante associée au trafic de drogue, en accordant une attention particulière à la protection des jeunes contre le recrutement à des fins criminelles et à la réduction des dommages causés par les drogues illicites à la société, aux communautés locales et à l’environnement.</w:t>
      </w:r>
    </w:p>
    <w:p w14:paraId="339342E2" w14:textId="57E41CCA" w:rsidR="00C41B9F" w:rsidRPr="0075035A" w:rsidRDefault="0E458083" w:rsidP="008E288C">
      <w:pPr>
        <w:pStyle w:val="ContNum"/>
        <w:numPr>
          <w:ilvl w:val="1"/>
          <w:numId w:val="98"/>
        </w:numPr>
        <w:ind w:left="851"/>
        <w:rPr>
          <w:b/>
          <w:bCs/>
          <w:i/>
          <w:iCs/>
          <w:noProof/>
          <w:color w:val="000000" w:themeColor="text1"/>
          <w:szCs w:val="24"/>
        </w:rPr>
      </w:pPr>
      <w:r>
        <w:rPr>
          <w:b/>
          <w:i/>
          <w:noProof/>
          <w:color w:val="000000" w:themeColor="text1"/>
        </w:rPr>
        <w:t xml:space="preserve"> Lutter contre la violence liée à la drogue et renforcer la prévention de la criminalité</w:t>
      </w:r>
    </w:p>
    <w:p w14:paraId="0FCC1235" w14:textId="0053D6AB" w:rsidR="00425F4D" w:rsidRPr="0075035A" w:rsidRDefault="25C449A9" w:rsidP="3FF7C06E">
      <w:pPr>
        <w:pStyle w:val="ContNum"/>
        <w:rPr>
          <w:noProof/>
          <w:color w:val="000000" w:themeColor="text1"/>
        </w:rPr>
      </w:pPr>
      <w:r>
        <w:rPr>
          <w:noProof/>
        </w:rPr>
        <w:t>La violence liée à la drogue devient de plus en plus complexe et présente souvent des liens avec la criminalité organisée, ce qui crée des cycles de dommages qui ont une incidence sur la sûreté et la sécurité de nos villes et des communautés locales.</w:t>
      </w:r>
      <w:r>
        <w:rPr>
          <w:noProof/>
          <w:color w:val="000000" w:themeColor="text1"/>
        </w:rPr>
        <w:t xml:space="preserve"> Les enfants et les jeunes sont particulièrement vulnérables, car ils peuvent être victimes, auteurs et recrues de ces groupes. Pour lutter contre la violence liée à la drogue, l’UE cherche à déstabiliser les réseaux criminels et à promouvoir des opérations de police de proximité associant sécurité des communautés et initiatives de santé publique. Dans le cadre du </w:t>
      </w:r>
      <w:r>
        <w:rPr>
          <w:b/>
          <w:noProof/>
          <w:color w:val="000000" w:themeColor="text1"/>
        </w:rPr>
        <w:t>programme de l’UE pour les villes</w:t>
      </w:r>
      <w:r>
        <w:rPr>
          <w:noProof/>
          <w:color w:val="000000" w:themeColor="text1"/>
        </w:rPr>
        <w:t xml:space="preserve">, la Commission soutiendra les autorités locales en encourageant des projets locaux innovants et en facilitant les échanges de bonnes pratiques. L’objectif de ce soutien est d’accroître la résilience et la cohésion des diverses communautés afin de remédier aux problèmes de sécurité et d’intégration sociale, notamment ceux qui sont associés aux questions liées à la drogue. En outre, l’EUDA mènera des activités de recherche et de suivi afin de mieux comprendre la </w:t>
      </w:r>
      <w:r>
        <w:rPr>
          <w:b/>
          <w:noProof/>
          <w:color w:val="000000" w:themeColor="text1"/>
        </w:rPr>
        <w:t>violence liée à la drogue</w:t>
      </w:r>
      <w:r>
        <w:rPr>
          <w:noProof/>
          <w:color w:val="000000" w:themeColor="text1"/>
        </w:rPr>
        <w:t xml:space="preserve"> à différents niveaux.</w:t>
      </w:r>
    </w:p>
    <w:p w14:paraId="0A9369D5" w14:textId="01CE6616" w:rsidR="00401EBC" w:rsidRPr="0075035A" w:rsidRDefault="00052173" w:rsidP="00A2296C">
      <w:pPr>
        <w:pStyle w:val="ContNum"/>
        <w:rPr>
          <w:noProof/>
          <w:szCs w:val="24"/>
        </w:rPr>
      </w:pPr>
      <w:r>
        <w:rPr>
          <w:noProof/>
        </w:rPr>
        <w:t xml:space="preserve">L’UE intensifiera également ses efforts pour empêcher le recrutement de jeunes par des organisations criminelles, notamment au moyen de mesures en ligne et de </w:t>
      </w:r>
      <w:r>
        <w:rPr>
          <w:b/>
          <w:noProof/>
        </w:rPr>
        <w:t>mesures de prévention éprouvées</w:t>
      </w:r>
      <w:r>
        <w:rPr>
          <w:noProof/>
        </w:rPr>
        <w:t>.</w:t>
      </w:r>
      <w:r>
        <w:rPr>
          <w:b/>
          <w:noProof/>
        </w:rPr>
        <w:t xml:space="preserve"> </w:t>
      </w:r>
      <w:r>
        <w:rPr>
          <w:noProof/>
        </w:rPr>
        <w:t xml:space="preserve">Les États membres sont encouragés à consolider les environnements protecteurs pour les jeunes, en utilisant les bonnes pratiques publiées par le centre de connaissances du Réseau européen de prévention de la criminalité. Ces efforts nécessitent une collaboration entre les services répressifs, les travailleurs sociaux, les professionnels de la santé et la société civile. Le Réseau européen de prévention de la criminalité constituera une </w:t>
      </w:r>
      <w:r>
        <w:rPr>
          <w:b/>
          <w:noProof/>
        </w:rPr>
        <w:t>boîte à outils spécifique pour lutter contre le recrutement de mineurs par les réseaux criminels</w:t>
      </w:r>
      <w:r>
        <w:rPr>
          <w:noProof/>
        </w:rPr>
        <w:t xml:space="preserve"> afin de soutenir ces initiatives.</w:t>
      </w:r>
    </w:p>
    <w:p w14:paraId="6EE20F2A" w14:textId="22BA3686" w:rsidR="00425F4D" w:rsidRPr="0075035A" w:rsidRDefault="00E05DC2" w:rsidP="00A2296C">
      <w:pPr>
        <w:pStyle w:val="ContNum"/>
        <w:rPr>
          <w:noProof/>
          <w:color w:val="000000" w:themeColor="text1"/>
          <w:szCs w:val="24"/>
        </w:rPr>
      </w:pPr>
      <w:r>
        <w:rPr>
          <w:noProof/>
          <w:color w:val="000000" w:themeColor="text1"/>
        </w:rPr>
        <w:t xml:space="preserve">En outre, afin de protéger les enfants contre toutes les formes de criminalité, notamment celle liée à la drogue en ligne et hors ligne, l’UE proposera un </w:t>
      </w:r>
      <w:r>
        <w:rPr>
          <w:b/>
          <w:noProof/>
          <w:color w:val="000000" w:themeColor="text1"/>
        </w:rPr>
        <w:t>plan d’action pour la protection des enfants contre la criminalité</w:t>
      </w:r>
      <w:r>
        <w:rPr>
          <w:noProof/>
          <w:color w:val="000000" w:themeColor="text1"/>
        </w:rPr>
        <w:t>, comme l’annonçait la stratégie européenne de sécurité intérieure ProtectEU.</w:t>
      </w:r>
    </w:p>
    <w:p w14:paraId="07EA815B" w14:textId="342F060A" w:rsidR="00CC7FA1" w:rsidRPr="0075035A" w:rsidRDefault="0003626B" w:rsidP="008E288C">
      <w:pPr>
        <w:pStyle w:val="ContNum"/>
        <w:numPr>
          <w:ilvl w:val="1"/>
          <w:numId w:val="98"/>
        </w:numPr>
        <w:ind w:left="851"/>
        <w:rPr>
          <w:b/>
          <w:bCs/>
          <w:i/>
          <w:iCs/>
          <w:noProof/>
          <w:color w:val="000000" w:themeColor="text1"/>
          <w:szCs w:val="24"/>
        </w:rPr>
      </w:pPr>
      <w:r>
        <w:rPr>
          <w:b/>
          <w:i/>
          <w:noProof/>
          <w:color w:val="000000" w:themeColor="text1"/>
        </w:rPr>
        <w:t xml:space="preserve"> Lutter contre la stigmatisation et la discrimination liées à la drogue</w:t>
      </w:r>
    </w:p>
    <w:p w14:paraId="2475A2E9" w14:textId="777A75A7" w:rsidR="00CC7FA1" w:rsidRPr="0075035A" w:rsidRDefault="018D8F85" w:rsidP="009678FC">
      <w:pPr>
        <w:pStyle w:val="ContNum"/>
        <w:rPr>
          <w:noProof/>
        </w:rPr>
      </w:pPr>
      <w:r>
        <w:rPr>
          <w:noProof/>
          <w:color w:val="000000" w:themeColor="text1"/>
        </w:rPr>
        <w:t xml:space="preserve">L’Europe doit s’attaquer à la </w:t>
      </w:r>
      <w:r>
        <w:rPr>
          <w:b/>
          <w:noProof/>
          <w:color w:val="000000" w:themeColor="text1"/>
        </w:rPr>
        <w:t>stigmatisation</w:t>
      </w:r>
      <w:r>
        <w:rPr>
          <w:noProof/>
          <w:color w:val="000000" w:themeColor="text1"/>
        </w:rPr>
        <w:t xml:space="preserve"> associée à la consommation de drogue et aux troubles qui y sont liés</w:t>
      </w:r>
      <w:r>
        <w:rPr>
          <w:noProof/>
          <w:color w:val="000000" w:themeColor="text1"/>
          <w:vertAlign w:val="superscript"/>
        </w:rPr>
        <w:footnoteReference w:id="52"/>
      </w:r>
      <w:r>
        <w:rPr>
          <w:noProof/>
          <w:color w:val="000000" w:themeColor="text1"/>
        </w:rPr>
        <w:t xml:space="preserve">, car elle a une incidence négative sur la santé mentale et physique des personnes. Elle peut les empêcher de demander de l’aide et de s’intégrer dans la société, ce qui peut conduire, chez les jeunes, au décrochage scolaire. Les politiques devraient prendre en considération l’expérience des personnes touchées par la stigmatisation liée à la drogue, notamment grâce à un dialogue permanent avec la société civile, dont les personnes consommatrices de drogues et les clients des services liés à la drogue. </w:t>
      </w:r>
      <w:r>
        <w:rPr>
          <w:noProof/>
        </w:rPr>
        <w:t>L’UE renforcera la sensibilisation, encouragera le partage d’informations et favorisera l’apprentissage mutuel par l’intermédiaire de la plateforme de l’UE sur la politique de santé, du portail des bonnes pratiques de l’UE en matière de santé publique et des projets de recherche financés par Horizon Europe. En outre, les investissements du FSE+ et du FEDER devraient être mis en synergie avec d’autres fonds et programmes de l’UE, afin de soutenir l’inclusion sociale de manière globale.</w:t>
      </w:r>
    </w:p>
    <w:p w14:paraId="49966EFC" w14:textId="0B07709F" w:rsidR="00BA263B" w:rsidRPr="0075035A" w:rsidRDefault="0003626B" w:rsidP="008E288C">
      <w:pPr>
        <w:pStyle w:val="ContNum"/>
        <w:numPr>
          <w:ilvl w:val="1"/>
          <w:numId w:val="98"/>
        </w:numPr>
        <w:ind w:left="851"/>
        <w:rPr>
          <w:b/>
          <w:bCs/>
          <w:i/>
          <w:iCs/>
          <w:noProof/>
          <w:color w:val="000000" w:themeColor="text1"/>
          <w:szCs w:val="24"/>
        </w:rPr>
      </w:pPr>
      <w:r>
        <w:rPr>
          <w:b/>
          <w:i/>
          <w:noProof/>
          <w:color w:val="000000" w:themeColor="text1"/>
        </w:rPr>
        <w:t xml:space="preserve"> Adopter une approche du phénomène de la drogue qui tienne compte de la dimension de genre</w:t>
      </w:r>
    </w:p>
    <w:p w14:paraId="1EAE579E" w14:textId="5CCA6AA6" w:rsidR="00632E9E" w:rsidRPr="0075035A" w:rsidRDefault="4A6E87F4" w:rsidP="00A2296C">
      <w:pPr>
        <w:pStyle w:val="ContNum"/>
        <w:rPr>
          <w:noProof/>
          <w:szCs w:val="24"/>
        </w:rPr>
      </w:pPr>
      <w:r>
        <w:rPr>
          <w:noProof/>
        </w:rPr>
        <w:t>La situation en matière de drogue touche différemment les hommes et les femmes, ces dernières représentant environ un quart des personnes souffrant de graves problèmes de drogue, mais seulement un cinquième de celles qui entament un traitement. Le nombre de décès par surdose chez les femmes a augmenté de 76 % dans l’UE, entre 2013 et 2023, ce qui témoigne des obstacles supplémentaires auxquels les femmes sont confrontées pour accéder aux services de santé et aux services sociaux.</w:t>
      </w:r>
    </w:p>
    <w:p w14:paraId="274E04EF" w14:textId="370905D9" w:rsidR="00632E9E" w:rsidRPr="0075035A" w:rsidRDefault="03DF0D86" w:rsidP="00A2296C">
      <w:pPr>
        <w:pStyle w:val="ContNum"/>
        <w:rPr>
          <w:noProof/>
          <w:szCs w:val="24"/>
        </w:rPr>
      </w:pPr>
      <w:r>
        <w:rPr>
          <w:noProof/>
        </w:rPr>
        <w:t xml:space="preserve">Les États membres devraient mettre en œuvre des mesures </w:t>
      </w:r>
      <w:r>
        <w:rPr>
          <w:b/>
          <w:noProof/>
        </w:rPr>
        <w:t>tenant compte de la dimension de genre</w:t>
      </w:r>
      <w:r>
        <w:rPr>
          <w:noProof/>
        </w:rPr>
        <w:t xml:space="preserve"> dans tous les piliers de la stratégie, afin de garantir un accès non discriminatoire et sans entrave aux services, en particulier aux traitements et aux mesures de réduction des dommages. Les services sur mesure devraient comprendre des options réservées aux femmes, des services de garde d’enfants et un soutien spécialisé tenant compte des traumatismes subis.</w:t>
      </w:r>
    </w:p>
    <w:p w14:paraId="623C4804" w14:textId="55B9394F" w:rsidR="008D1B70" w:rsidRPr="0075035A" w:rsidRDefault="002957D4" w:rsidP="00A2296C">
      <w:pPr>
        <w:pStyle w:val="ContNum"/>
        <w:rPr>
          <w:noProof/>
          <w:szCs w:val="24"/>
        </w:rPr>
      </w:pPr>
      <w:r>
        <w:rPr>
          <w:noProof/>
        </w:rPr>
        <w:t>En outre, l’orientation sexuelle et l’identité de genre peuvent avoir une incidence sur l’accès aux services de santé. Les personnes LGBTIQ+ sont souvent exposées à des risques plus élevés de problèmes de santé mentale et de violence, comme l’indique la stratégie de la Commission en faveur de l’égalité de traitement à l’égard des personnes LGBTIQ+ pour la période 2026-2030</w:t>
      </w:r>
      <w:r>
        <w:rPr>
          <w:rStyle w:val="FootnoteReference0"/>
          <w:noProof/>
          <w:szCs w:val="24"/>
        </w:rPr>
        <w:footnoteReference w:id="53"/>
      </w:r>
      <w:r>
        <w:rPr>
          <w:noProof/>
        </w:rPr>
        <w:t>. Il est indispensable de lutter contre la discrimination et les obstacles auxquels sont confrontées les personnes LGBTIQ+ si l’on veut réduire les incidences négatives sur la santé et garantir un accès équitable aux services.</w:t>
      </w:r>
    </w:p>
    <w:p w14:paraId="330F4ECF" w14:textId="37784613" w:rsidR="00B630C2" w:rsidRPr="0075035A" w:rsidRDefault="0003626B" w:rsidP="00504B2B">
      <w:pPr>
        <w:pStyle w:val="ContNum"/>
        <w:keepNext/>
        <w:numPr>
          <w:ilvl w:val="1"/>
          <w:numId w:val="98"/>
        </w:numPr>
        <w:ind w:left="850" w:hanging="357"/>
        <w:rPr>
          <w:b/>
          <w:bCs/>
          <w:i/>
          <w:iCs/>
          <w:noProof/>
          <w:color w:val="000000" w:themeColor="text1"/>
          <w:szCs w:val="24"/>
        </w:rPr>
      </w:pPr>
      <w:bookmarkStart w:id="70" w:name="_Hlk210140207"/>
      <w:r>
        <w:rPr>
          <w:b/>
          <w:i/>
          <w:noProof/>
          <w:color w:val="000000" w:themeColor="text1"/>
        </w:rPr>
        <w:t xml:space="preserve"> Agir sur les risques découlant de la conduite sous l’emprise de stupéfiants</w:t>
      </w:r>
    </w:p>
    <w:p w14:paraId="6AD5737A" w14:textId="5C6A5671" w:rsidR="00153185" w:rsidRPr="0075035A" w:rsidRDefault="78878F16" w:rsidP="00153185">
      <w:pPr>
        <w:spacing w:line="240" w:lineRule="auto"/>
        <w:jc w:val="both"/>
        <w:rPr>
          <w:rFonts w:eastAsia="Times New Roman" w:cs="Times New Roman"/>
          <w:noProof/>
          <w:szCs w:val="24"/>
        </w:rPr>
      </w:pPr>
      <w:r>
        <w:rPr>
          <w:noProof/>
        </w:rPr>
        <w:t xml:space="preserve">On estime que jusqu’à un </w:t>
      </w:r>
      <w:bookmarkStart w:id="71" w:name="_Hlk210319444"/>
      <w:r>
        <w:rPr>
          <w:noProof/>
        </w:rPr>
        <w:t>quart des décès sur les routes</w:t>
      </w:r>
      <w:bookmarkEnd w:id="71"/>
      <w:r>
        <w:rPr>
          <w:noProof/>
        </w:rPr>
        <w:t xml:space="preserve"> de l’UE, dont le nombre total dépassait 19 940 en 2024, sont liés à l’alcool et/ou à la drogue</w:t>
      </w:r>
      <w:r>
        <w:rPr>
          <w:rStyle w:val="FootnoteReference0"/>
          <w:rFonts w:eastAsia="Times New Roman" w:cs="Times New Roman"/>
          <w:noProof/>
          <w:lang w:eastAsia="en-GB"/>
        </w:rPr>
        <w:footnoteReference w:id="54"/>
      </w:r>
      <w:r>
        <w:rPr>
          <w:noProof/>
        </w:rPr>
        <w:t>. Afin de soutenir la campagne «Vision zéro»</w:t>
      </w:r>
      <w:r>
        <w:rPr>
          <w:rFonts w:eastAsia="Times New Roman" w:cs="Times New Roman"/>
          <w:noProof/>
          <w:vertAlign w:val="superscript"/>
          <w:lang w:eastAsia="en-GB"/>
        </w:rPr>
        <w:footnoteReference w:id="55"/>
      </w:r>
      <w:r>
        <w:rPr>
          <w:noProof/>
        </w:rPr>
        <w:t xml:space="preserve"> et l’objectif d’une mortalité nulle sur les routes d’ici à 2050, l’UE devrait appliquer des mesures visant à prévenir la conduite sous l’emprise de stupéfiants et les accidents causés par des conducteurs sous l’influence de drogues.</w:t>
      </w:r>
    </w:p>
    <w:p w14:paraId="37163B93" w14:textId="76831BB8" w:rsidR="00B12D7F" w:rsidRPr="0075035A" w:rsidRDefault="7C311F31" w:rsidP="0035108F">
      <w:pPr>
        <w:spacing w:line="240" w:lineRule="auto"/>
        <w:jc w:val="both"/>
        <w:rPr>
          <w:rFonts w:eastAsia="Times New Roman" w:cs="Times New Roman"/>
          <w:noProof/>
          <w:szCs w:val="24"/>
        </w:rPr>
      </w:pPr>
      <w:r>
        <w:rPr>
          <w:noProof/>
        </w:rPr>
        <w:t>Avec la nouvelle directive relative au permis de conduire</w:t>
      </w:r>
      <w:r>
        <w:rPr>
          <w:rFonts w:eastAsia="Times New Roman" w:cs="Times New Roman"/>
          <w:noProof/>
          <w:vertAlign w:val="superscript"/>
          <w:lang w:eastAsia="en-GB"/>
        </w:rPr>
        <w:footnoteReference w:id="56"/>
      </w:r>
      <w:r>
        <w:rPr>
          <w:noProof/>
        </w:rPr>
        <w:t xml:space="preserve">, les États membres se sont engagés à appliquer des </w:t>
      </w:r>
      <w:r>
        <w:rPr>
          <w:b/>
          <w:noProof/>
        </w:rPr>
        <w:t>politiques de tolérance zéro</w:t>
      </w:r>
      <w:r>
        <w:rPr>
          <w:noProof/>
        </w:rPr>
        <w:t xml:space="preserve"> à l’égard de la </w:t>
      </w:r>
      <w:r>
        <w:rPr>
          <w:b/>
          <w:noProof/>
        </w:rPr>
        <w:t>conduite sous l’emprise de stupéfiants</w:t>
      </w:r>
      <w:r>
        <w:rPr>
          <w:noProof/>
        </w:rPr>
        <w:t>.</w:t>
      </w:r>
      <w:r>
        <w:rPr>
          <w:b/>
          <w:noProof/>
        </w:rPr>
        <w:t xml:space="preserve"> </w:t>
      </w:r>
      <w:r>
        <w:rPr>
          <w:noProof/>
        </w:rPr>
        <w:t>Les États membres sont encouragés à introduire dans leur droit national des régimes de tolérance zéro généralement appliqués.</w:t>
      </w:r>
    </w:p>
    <w:p w14:paraId="712AA782" w14:textId="20D37777" w:rsidR="00DB0951" w:rsidRPr="0075035A" w:rsidRDefault="00DB0951" w:rsidP="009B3E0E">
      <w:pPr>
        <w:spacing w:line="240" w:lineRule="auto"/>
        <w:jc w:val="both"/>
        <w:rPr>
          <w:rFonts w:eastAsia="Times New Roman" w:cs="Times New Roman"/>
          <w:noProof/>
          <w:szCs w:val="24"/>
        </w:rPr>
      </w:pPr>
      <w:r>
        <w:rPr>
          <w:noProof/>
        </w:rPr>
        <w:t xml:space="preserve">Compte tenu de la forte proportion de conducteurs novices, principalement des jeunes, impliqués dans les accidents de la route liés à la conduite en état d’ivresse et à la consommation de drogue, les États membres sont également encouragés à appliquer des règles plus strictes aux conducteurs novices, conformément à la directive. En complément, des </w:t>
      </w:r>
      <w:r>
        <w:rPr>
          <w:b/>
          <w:noProof/>
        </w:rPr>
        <w:t>campagnes nationales de sensibilisation ciblées, mettant en évidence les dangers de la conduite sous l’emprise de stupéfiants</w:t>
      </w:r>
      <w:r>
        <w:rPr>
          <w:noProof/>
        </w:rPr>
        <w:t xml:space="preserve"> et visant spécifiquement les jeunes adultes</w:t>
      </w:r>
      <w:bookmarkEnd w:id="70"/>
      <w:r>
        <w:rPr>
          <w:noProof/>
        </w:rPr>
        <w:t>, devraient être menées. En outre, la nouvelle directive relative aux interdictions de conduire et la directive révisée sur l’échange transfrontalier d’informations permettront le partage entre États membres d’informations sur les infractions routières liées à la drogue, empêchant ainsi que des comportements dangereux liés à la conduite sous l’emprise de stupéfiants restent impunis.</w:t>
      </w:r>
    </w:p>
    <w:p w14:paraId="18A01D95" w14:textId="1C25173A" w:rsidR="00C41B9F" w:rsidRPr="0075035A" w:rsidRDefault="0003626B" w:rsidP="008E288C">
      <w:pPr>
        <w:pStyle w:val="ContNum"/>
        <w:numPr>
          <w:ilvl w:val="1"/>
          <w:numId w:val="98"/>
        </w:numPr>
        <w:ind w:left="851"/>
        <w:rPr>
          <w:b/>
          <w:bCs/>
          <w:i/>
          <w:iCs/>
          <w:noProof/>
          <w:color w:val="000000" w:themeColor="text1"/>
          <w:szCs w:val="24"/>
        </w:rPr>
      </w:pPr>
      <w:r>
        <w:rPr>
          <w:b/>
          <w:i/>
          <w:noProof/>
          <w:color w:val="000000" w:themeColor="text1"/>
        </w:rPr>
        <w:t xml:space="preserve"> Agir sur les dommages environnementaux liés à la drogue</w:t>
      </w:r>
    </w:p>
    <w:p w14:paraId="369C9DB0" w14:textId="6E684D26" w:rsidR="004D15E4" w:rsidRPr="0075035A" w:rsidRDefault="04263B13" w:rsidP="00A2296C">
      <w:pPr>
        <w:spacing w:line="240" w:lineRule="auto"/>
        <w:jc w:val="both"/>
        <w:rPr>
          <w:rFonts w:cs="Times New Roman"/>
          <w:noProof/>
          <w:color w:val="000000" w:themeColor="text1"/>
          <w:szCs w:val="24"/>
        </w:rPr>
      </w:pPr>
      <w:r>
        <w:rPr>
          <w:noProof/>
          <w:color w:val="000000" w:themeColor="text1"/>
        </w:rPr>
        <w:t>La culture et la production de drogue causent d’importants dommages à l’environnement, tant en Europe que dans le monde. Les organisations criminelles se débarrassent de déchets chimiques toxiques provenant de la production de drogues de synthèse, ce qui entraîne des risques graves pour l’environnement et les communautés locales. Par exemple, la production d’un kilogramme de MDMA génère environ 58 kg de déchets toxiques. La production de cannabis nécessite d’énormes quantités d’eau et d’énergie, mais a aussi une incidence sur la pollution de l’eau et de l’air</w:t>
      </w:r>
      <w:r>
        <w:rPr>
          <w:rStyle w:val="FootnoteReference0"/>
          <w:rFonts w:cs="Times New Roman"/>
          <w:noProof/>
          <w:color w:val="000000" w:themeColor="text1"/>
          <w:szCs w:val="24"/>
        </w:rPr>
        <w:footnoteReference w:id="57"/>
      </w:r>
      <w:r>
        <w:rPr>
          <w:noProof/>
          <w:color w:val="000000" w:themeColor="text1"/>
        </w:rPr>
        <w:t>.</w:t>
      </w:r>
    </w:p>
    <w:p w14:paraId="0369C580" w14:textId="5303C801" w:rsidR="004D15E4" w:rsidRPr="0075035A" w:rsidRDefault="009C697E" w:rsidP="00A2296C">
      <w:pPr>
        <w:spacing w:line="240" w:lineRule="auto"/>
        <w:jc w:val="both"/>
        <w:rPr>
          <w:rFonts w:cs="Times New Roman"/>
          <w:noProof/>
          <w:color w:val="000000" w:themeColor="text1"/>
        </w:rPr>
      </w:pPr>
      <w:r>
        <w:rPr>
          <w:noProof/>
        </w:rPr>
        <w:t>Les laboratoires produisant des drogues illicites doivent être démantelés d’une manière garantissant la sécurité des agents des services répressifs et tenant compte des incidences sur l’environnement.</w:t>
      </w:r>
      <w:r>
        <w:rPr>
          <w:noProof/>
          <w:color w:val="000000" w:themeColor="text1"/>
        </w:rPr>
        <w:t xml:space="preserve"> L’UE élaborera et appliquera des méthodes sûres et respectueuses de l’environnement pour </w:t>
      </w:r>
      <w:r>
        <w:rPr>
          <w:b/>
          <w:noProof/>
          <w:color w:val="000000" w:themeColor="text1"/>
        </w:rPr>
        <w:t>la manipulation, le transport, l’élimination et la destruction des drogues illicites</w:t>
      </w:r>
      <w:r>
        <w:rPr>
          <w:noProof/>
          <w:color w:val="000000" w:themeColor="text1"/>
        </w:rPr>
        <w:t xml:space="preserve">, des précurseurs, des produits chimiques, des déchets et des équipements </w:t>
      </w:r>
      <w:r>
        <w:rPr>
          <w:b/>
          <w:noProof/>
          <w:color w:val="000000" w:themeColor="text1"/>
        </w:rPr>
        <w:t>saisis</w:t>
      </w:r>
      <w:r>
        <w:rPr>
          <w:noProof/>
          <w:color w:val="000000" w:themeColor="text1"/>
        </w:rPr>
        <w:t>.</w:t>
      </w:r>
      <w:r>
        <w:rPr>
          <w:b/>
          <w:noProof/>
        </w:rPr>
        <w:t xml:space="preserve"> </w:t>
      </w:r>
      <w:r>
        <w:rPr>
          <w:noProof/>
        </w:rPr>
        <w:t>Conformément au pacte de l’UE visant à lutter contre les menaces liées aux nouvelles drogues de synthèse</w:t>
      </w:r>
      <w:r>
        <w:rPr>
          <w:rFonts w:cs="Times New Roman"/>
          <w:noProof/>
          <w:color w:val="000000" w:themeColor="text1"/>
          <w:vertAlign w:val="superscript"/>
        </w:rPr>
        <w:footnoteReference w:id="58"/>
      </w:r>
      <w:r>
        <w:rPr>
          <w:noProof/>
        </w:rPr>
        <w:t>, le CEPOL et l’EUDA amélioreront la formation des services répressifs sur les risques pour la sécurité et la santé liés au démantèlement de ces installations. L’EMPACT renforcera la coopération opérationnelle afin de développer les capacités de démantèlement des laboratoires produisant des drogues de synthèse.</w:t>
      </w:r>
    </w:p>
    <w:p w14:paraId="567A486B" w14:textId="374FCFB7" w:rsidR="008C66DA" w:rsidRPr="0075035A" w:rsidRDefault="623BD1EA" w:rsidP="008C66DA">
      <w:pPr>
        <w:spacing w:line="240" w:lineRule="auto"/>
        <w:jc w:val="both"/>
        <w:rPr>
          <w:rFonts w:cs="Times New Roman"/>
          <w:noProof/>
        </w:rPr>
      </w:pPr>
      <w:r>
        <w:rPr>
          <w:noProof/>
        </w:rPr>
        <w:t xml:space="preserve">La Commission aide les États membres à mettre en œuvre la </w:t>
      </w:r>
      <w:r>
        <w:rPr>
          <w:b/>
          <w:noProof/>
        </w:rPr>
        <w:t>nouvelle directive relative à la protection de l’environnement par le droit pénal</w:t>
      </w:r>
      <w:r>
        <w:rPr>
          <w:rStyle w:val="FootnoteReference0"/>
          <w:rFonts w:cs="Times New Roman"/>
          <w:noProof/>
        </w:rPr>
        <w:footnoteReference w:id="59"/>
      </w:r>
      <w:r>
        <w:rPr>
          <w:noProof/>
        </w:rPr>
        <w:t xml:space="preserve">, qui traite d’infractions telles que la pollution, la gestion illicite des déchets, la destruction des habitats et le captage illégal d’eau. </w:t>
      </w:r>
    </w:p>
    <w:p w14:paraId="265894E8" w14:textId="0D167C64" w:rsidR="00106C5A" w:rsidRPr="0075035A" w:rsidRDefault="008C66DA" w:rsidP="00106C5A">
      <w:pPr>
        <w:spacing w:line="240" w:lineRule="auto"/>
        <w:jc w:val="both"/>
        <w:rPr>
          <w:rFonts w:cs="Times New Roman"/>
          <w:noProof/>
          <w:szCs w:val="24"/>
        </w:rPr>
      </w:pPr>
      <w:r>
        <w:rPr>
          <w:noProof/>
        </w:rPr>
        <w:t>La Commission encourage les États membres à établir un lien explicite entre la criminalité environnementale et d’autres activités criminelles, telles que la production et le trafic de drogue, dans les stratégies nationales qu’ils sont tenus d’élaborer d’ici au 21 mai 2027. Cette démarche vise à accroître l’efficacité des stratégies en s’attaquant à la nature interconnectée de ces infractions.</w:t>
      </w:r>
    </w:p>
    <w:p w14:paraId="5208AD42" w14:textId="37358E73" w:rsidR="004B2B1B" w:rsidRPr="0075035A" w:rsidRDefault="470F91F4" w:rsidP="00B40C65">
      <w:pPr>
        <w:spacing w:line="240" w:lineRule="auto"/>
        <w:jc w:val="both"/>
        <w:rPr>
          <w:rFonts w:cs="Times New Roman"/>
          <w:noProof/>
          <w:color w:val="000000" w:themeColor="text1"/>
          <w:szCs w:val="24"/>
        </w:rPr>
      </w:pPr>
      <w:r>
        <w:rPr>
          <w:noProof/>
          <w:color w:val="000000" w:themeColor="text1"/>
        </w:rPr>
        <w:t xml:space="preserve">Pour produire des drogues illicites, les organisations criminelles recourent souvent à des pratiques destructrices pour l’environnement, telles que la déforestation ou la consommation intensive d’eau. Vu le rôle que ces pratiques jouent dans l’aggravation de la sécheresse, de la destruction des habitats et de la perte de biodiversité, il est essentiel d’améliorer leur détection.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7C215F" w:rsidRPr="0075035A" w14:paraId="373214C2" w14:textId="77777777" w:rsidTr="009678FC">
        <w:trPr>
          <w:trHeight w:val="1266"/>
        </w:trPr>
        <w:tc>
          <w:tcPr>
            <w:tcW w:w="9576" w:type="dxa"/>
          </w:tcPr>
          <w:p w14:paraId="5190A89F" w14:textId="1ECB468D" w:rsidR="00E814AB" w:rsidRDefault="007C215F" w:rsidP="003A5A8B">
            <w:pPr>
              <w:pStyle w:val="ContNum"/>
              <w:spacing w:after="0"/>
              <w:rPr>
                <w:b/>
                <w:noProof/>
                <w:color w:val="000000" w:themeColor="text1"/>
                <w:szCs w:val="24"/>
              </w:rPr>
            </w:pPr>
            <w:r>
              <w:rPr>
                <w:b/>
                <w:noProof/>
                <w:color w:val="000000" w:themeColor="text1"/>
              </w:rPr>
              <w:t>Priorités essentielles</w:t>
            </w:r>
          </w:p>
          <w:p w14:paraId="0529FA1C" w14:textId="77777777" w:rsidR="00404769" w:rsidRPr="0075035A" w:rsidRDefault="00404769" w:rsidP="003A5A8B">
            <w:pPr>
              <w:pStyle w:val="ContNum"/>
              <w:spacing w:after="0"/>
              <w:rPr>
                <w:b/>
                <w:bCs/>
                <w:noProof/>
                <w:color w:val="000000" w:themeColor="text1"/>
                <w:szCs w:val="24"/>
              </w:rPr>
            </w:pPr>
          </w:p>
          <w:p w14:paraId="619443AF" w14:textId="77777777" w:rsidR="009E254E" w:rsidRPr="0075035A" w:rsidRDefault="009E254E" w:rsidP="009E254E">
            <w:pPr>
              <w:pStyle w:val="ContNum"/>
              <w:spacing w:after="0"/>
              <w:rPr>
                <w:b/>
                <w:bCs/>
                <w:noProof/>
                <w:color w:val="000000" w:themeColor="text1"/>
                <w:szCs w:val="24"/>
              </w:rPr>
            </w:pPr>
            <w:r>
              <w:rPr>
                <w:b/>
                <w:noProof/>
                <w:color w:val="000000" w:themeColor="text1"/>
              </w:rPr>
              <w:t>La Commission:</w:t>
            </w:r>
          </w:p>
          <w:p w14:paraId="0FF57D00" w14:textId="77777777" w:rsidR="007D6B06" w:rsidRPr="0075035A" w:rsidRDefault="009E254E" w:rsidP="007D6B06">
            <w:pPr>
              <w:pStyle w:val="ContNum"/>
              <w:numPr>
                <w:ilvl w:val="0"/>
                <w:numId w:val="102"/>
              </w:numPr>
              <w:spacing w:after="120"/>
              <w:rPr>
                <w:rStyle w:val="CommentReference"/>
                <w:b/>
                <w:noProof/>
                <w:color w:val="000000" w:themeColor="text1"/>
                <w:sz w:val="24"/>
                <w:szCs w:val="24"/>
              </w:rPr>
            </w:pPr>
            <w:r>
              <w:rPr>
                <w:b/>
                <w:noProof/>
                <w:color w:val="000000" w:themeColor="text1"/>
              </w:rPr>
              <w:t>constituera et diffusera, par l’intermédiaire du Réseau européen de prévention de la criminalité, une boîte à outils spécifique de l’UE pour lutter contre le recrutement de mineurs par les réseaux criminels;</w:t>
            </w:r>
          </w:p>
          <w:p w14:paraId="50092F2A" w14:textId="0CAF1564" w:rsidR="009E254E" w:rsidRPr="00404769" w:rsidRDefault="007D6B06" w:rsidP="00404769">
            <w:pPr>
              <w:pStyle w:val="ContNum"/>
              <w:numPr>
                <w:ilvl w:val="0"/>
                <w:numId w:val="102"/>
              </w:numPr>
              <w:spacing w:after="120"/>
              <w:rPr>
                <w:b/>
                <w:noProof/>
                <w:color w:val="000000" w:themeColor="text1"/>
                <w:szCs w:val="24"/>
              </w:rPr>
            </w:pPr>
            <w:r>
              <w:rPr>
                <w:b/>
                <w:noProof/>
                <w:color w:val="000000" w:themeColor="text1"/>
              </w:rPr>
              <w:t>tirera parti du cadre renforcé de l’EMPACT pour la coopération opérationnelle des services répressifs pour s’attaquer aux installations de production de drogues illicites, dans le cadre de la mise en œuvre du plan d’action contre le trafic de drogue.</w:t>
            </w:r>
          </w:p>
          <w:p w14:paraId="70608EA1" w14:textId="49E54D30" w:rsidR="007C215F" w:rsidRPr="0075035A" w:rsidRDefault="007C215F" w:rsidP="003A5A8B">
            <w:pPr>
              <w:pStyle w:val="ContNum"/>
              <w:spacing w:after="0"/>
              <w:rPr>
                <w:b/>
                <w:bCs/>
                <w:noProof/>
                <w:color w:val="000000" w:themeColor="text1"/>
                <w:szCs w:val="24"/>
              </w:rPr>
            </w:pPr>
            <w:r>
              <w:rPr>
                <w:b/>
                <w:noProof/>
                <w:color w:val="000000" w:themeColor="text1"/>
              </w:rPr>
              <w:t>L’EUDA:</w:t>
            </w:r>
          </w:p>
          <w:p w14:paraId="434CB56B" w14:textId="5B223B09" w:rsidR="007C215F" w:rsidRPr="0075035A" w:rsidRDefault="000C6034" w:rsidP="003A5A8B">
            <w:pPr>
              <w:pStyle w:val="ContNum"/>
              <w:numPr>
                <w:ilvl w:val="0"/>
                <w:numId w:val="102"/>
              </w:numPr>
              <w:spacing w:after="120"/>
              <w:rPr>
                <w:b/>
                <w:noProof/>
                <w:color w:val="000000" w:themeColor="text1"/>
                <w:szCs w:val="24"/>
              </w:rPr>
            </w:pPr>
            <w:r>
              <w:rPr>
                <w:b/>
                <w:noProof/>
                <w:color w:val="000000" w:themeColor="text1"/>
              </w:rPr>
              <w:t>élaborera le programme européen de formation en matière de réduction des dommages, afin de permettre le développement des capacités concernant les interventions en réduction des dommages dans l’ensemble de l’UE;</w:t>
            </w:r>
          </w:p>
          <w:p w14:paraId="30DE8F9E" w14:textId="4B3FBCB5" w:rsidR="001D3144" w:rsidRPr="0075035A" w:rsidRDefault="00C35683" w:rsidP="003A5A8B">
            <w:pPr>
              <w:pStyle w:val="ContNum"/>
              <w:numPr>
                <w:ilvl w:val="0"/>
                <w:numId w:val="102"/>
              </w:numPr>
              <w:spacing w:after="120"/>
              <w:rPr>
                <w:b/>
                <w:noProof/>
                <w:color w:val="000000" w:themeColor="text1"/>
                <w:szCs w:val="24"/>
              </w:rPr>
            </w:pPr>
            <w:r>
              <w:rPr>
                <w:b/>
                <w:noProof/>
                <w:color w:val="000000" w:themeColor="text1"/>
              </w:rPr>
              <w:t>collaborera étroitement avec les États membres pour élaborer et mettre en œuvre leurs mesures de prévention de la criminalité en faveur des communautés locales et des jeunes.</w:t>
            </w:r>
          </w:p>
          <w:p w14:paraId="7FECD7F1" w14:textId="77777777" w:rsidR="007D6B06" w:rsidRPr="0075035A" w:rsidRDefault="007D6B06" w:rsidP="007D6B06">
            <w:pPr>
              <w:pStyle w:val="ContNum"/>
              <w:spacing w:after="0"/>
              <w:rPr>
                <w:b/>
                <w:bCs/>
                <w:noProof/>
                <w:color w:val="000000" w:themeColor="text1"/>
                <w:szCs w:val="24"/>
              </w:rPr>
            </w:pPr>
            <w:r>
              <w:rPr>
                <w:b/>
                <w:noProof/>
                <w:color w:val="000000" w:themeColor="text1"/>
              </w:rPr>
              <w:t>Les États membres sont encouragés à:</w:t>
            </w:r>
          </w:p>
          <w:p w14:paraId="3C25275F" w14:textId="228AB13C" w:rsidR="007D6B06" w:rsidRPr="0075035A" w:rsidRDefault="004F22F0" w:rsidP="007D6B06">
            <w:pPr>
              <w:pStyle w:val="ContNum"/>
              <w:numPr>
                <w:ilvl w:val="0"/>
                <w:numId w:val="102"/>
              </w:numPr>
              <w:spacing w:after="120"/>
              <w:rPr>
                <w:b/>
                <w:noProof/>
                <w:color w:val="000000" w:themeColor="text1"/>
                <w:szCs w:val="24"/>
              </w:rPr>
            </w:pPr>
            <w:r>
              <w:rPr>
                <w:b/>
                <w:noProof/>
                <w:color w:val="000000" w:themeColor="text1"/>
              </w:rPr>
              <w:t>accroître la disponibilité d’interventions en réduction des dommages et des risques, ainsi que leur couverture, afin de réduire les surdoses, les décès et les infections à diffusion hématogène dans l’ensemble de l’UE;</w:t>
            </w:r>
          </w:p>
          <w:p w14:paraId="786433DC" w14:textId="1F671E05" w:rsidR="007D6B06" w:rsidRPr="0075035A" w:rsidRDefault="007D6B06" w:rsidP="007D6B06">
            <w:pPr>
              <w:pStyle w:val="ContNum"/>
              <w:numPr>
                <w:ilvl w:val="0"/>
                <w:numId w:val="102"/>
              </w:numPr>
              <w:spacing w:after="120"/>
              <w:rPr>
                <w:b/>
                <w:noProof/>
                <w:color w:val="000000" w:themeColor="text1"/>
                <w:szCs w:val="24"/>
              </w:rPr>
            </w:pPr>
            <w:r>
              <w:rPr>
                <w:b/>
                <w:noProof/>
                <w:color w:val="000000" w:themeColor="text1"/>
              </w:rPr>
              <w:t xml:space="preserve">adopter des politiques de tolérance zéro à l’égard de la conduite sous l’emprise de stupéfiants, conformément à la directive relative au permis de conduire, et utiliser pleinement les outils transfrontières disponibles pour faire respecter ces règles; </w:t>
            </w:r>
          </w:p>
          <w:p w14:paraId="062AE8D0" w14:textId="4733C9AB" w:rsidR="00580151" w:rsidRPr="00404769" w:rsidRDefault="007D6B06" w:rsidP="00541FED">
            <w:pPr>
              <w:pStyle w:val="ContNum"/>
              <w:numPr>
                <w:ilvl w:val="0"/>
                <w:numId w:val="102"/>
              </w:numPr>
              <w:spacing w:after="120"/>
              <w:rPr>
                <w:b/>
                <w:noProof/>
                <w:color w:val="000000" w:themeColor="text1"/>
                <w:szCs w:val="24"/>
              </w:rPr>
            </w:pPr>
            <w:r>
              <w:rPr>
                <w:b/>
                <w:noProof/>
                <w:color w:val="000000" w:themeColor="text1"/>
              </w:rPr>
              <w:t>tirer pleinement parti de la nouvelle directive relative à la protection de l’environnement par le droit pénal pour régler les problèmes environnementaux découlant de la production et du trafic de drogue.</w:t>
            </w:r>
          </w:p>
        </w:tc>
      </w:tr>
    </w:tbl>
    <w:p w14:paraId="4ED8D5D0" w14:textId="77777777" w:rsidR="00D656A2" w:rsidRPr="0075035A" w:rsidRDefault="00D656A2" w:rsidP="003014ED">
      <w:pPr>
        <w:rPr>
          <w:rFonts w:cs="Times New Roman"/>
          <w:noProof/>
        </w:rPr>
      </w:pPr>
    </w:p>
    <w:p w14:paraId="2A46490A" w14:textId="337FFD58" w:rsidR="001B0D2D" w:rsidRPr="0075035A" w:rsidRDefault="005E2E9B" w:rsidP="00B40C65">
      <w:pPr>
        <w:pStyle w:val="Heading2"/>
        <w:spacing w:line="240" w:lineRule="auto"/>
        <w:rPr>
          <w:noProof/>
        </w:rPr>
      </w:pPr>
      <w:bookmarkStart w:id="72" w:name="_Toc209853388"/>
      <w:bookmarkStart w:id="73" w:name="_Toc212204038"/>
      <w:bookmarkStart w:id="74" w:name="_Toc2086575229"/>
      <w:bookmarkStart w:id="75" w:name="_Toc2094499707"/>
      <w:r>
        <w:rPr>
          <w:noProof/>
        </w:rPr>
        <w:t>Établir des partenariats solides</w:t>
      </w:r>
      <w:bookmarkEnd w:id="72"/>
      <w:bookmarkEnd w:id="73"/>
      <w:bookmarkEnd w:id="74"/>
      <w:bookmarkEnd w:id="75"/>
    </w:p>
    <w:p w14:paraId="0675C5BF" w14:textId="77777777" w:rsidR="00ED1AB9" w:rsidRPr="0075035A" w:rsidRDefault="00ED1AB9" w:rsidP="00AD660C">
      <w:pPr>
        <w:pStyle w:val="Style2"/>
        <w:numPr>
          <w:ilvl w:val="0"/>
          <w:numId w:val="0"/>
        </w:numPr>
        <w:spacing w:line="240" w:lineRule="auto"/>
        <w:rPr>
          <w:noProof/>
        </w:rPr>
      </w:pPr>
    </w:p>
    <w:p w14:paraId="0946409F" w14:textId="28CC7539" w:rsidR="00AD660C" w:rsidRPr="0075035A" w:rsidRDefault="70099F37" w:rsidP="674E0B1F">
      <w:pPr>
        <w:spacing w:line="240" w:lineRule="auto"/>
        <w:jc w:val="both"/>
        <w:rPr>
          <w:rFonts w:eastAsia="Times New Roman" w:cs="Times New Roman"/>
          <w:noProof/>
          <w:szCs w:val="24"/>
        </w:rPr>
      </w:pPr>
      <w:r>
        <w:rPr>
          <w:noProof/>
        </w:rPr>
        <w:t>Les politiques en matière de drogue menées dans les pays tiers ont une incidence significative sur la situation des drogues illicites en Europe, étant donné que les réseaux criminels présents dans l’UE coopèrent avec leurs homologues internationaux pour étendre leurs opérations de trafic. Les partenariats internationaux sont dès lors essentiels pour que la politique de l’UE en matière de drogue soit efficace. Au sein de l’UE, il est nécessaire de renforcer la coordination et les partenariats avec la société civile et les acteurs privés. Une telle démarche favorise l’apprentissage mutuel et facilite les actions opérationnelles conjointes, ce qui va dans le sens d’une approche exhaustive englobant l’ensemble de la société.</w:t>
      </w:r>
    </w:p>
    <w:p w14:paraId="6E43AA81" w14:textId="46B9D151" w:rsidR="009D29AE" w:rsidRPr="0075035A" w:rsidRDefault="00632E9E" w:rsidP="00541FED">
      <w:pPr>
        <w:pStyle w:val="Heading3"/>
        <w:ind w:left="0"/>
        <w:rPr>
          <w:noProof/>
        </w:rPr>
      </w:pPr>
      <w:bookmarkStart w:id="76" w:name="_Toc212204039"/>
      <w:bookmarkStart w:id="77" w:name="_Toc970207828"/>
      <w:bookmarkStart w:id="78" w:name="_Toc1651481308"/>
      <w:bookmarkStart w:id="79" w:name="_Toc209853389"/>
      <w:r>
        <w:rPr>
          <w:noProof/>
        </w:rPr>
        <w:t>Priorité stratégique nº 9: renforcer la coopération internationale</w:t>
      </w:r>
      <w:bookmarkEnd w:id="76"/>
      <w:bookmarkEnd w:id="77"/>
      <w:bookmarkEnd w:id="78"/>
      <w:bookmarkEnd w:id="79"/>
    </w:p>
    <w:p w14:paraId="167A817E" w14:textId="40F57B5C" w:rsidR="00B520B6" w:rsidRPr="0075035A" w:rsidRDefault="00825850" w:rsidP="00B712CC">
      <w:pPr>
        <w:pBdr>
          <w:top w:val="single" w:sz="4" w:space="1" w:color="auto"/>
          <w:left w:val="single" w:sz="4" w:space="4" w:color="auto"/>
          <w:bottom w:val="single" w:sz="4" w:space="1" w:color="auto"/>
          <w:right w:val="single" w:sz="4" w:space="4" w:color="auto"/>
        </w:pBdr>
        <w:rPr>
          <w:rFonts w:cs="Times New Roman"/>
          <w:i/>
          <w:iCs/>
          <w:noProof/>
          <w:color w:val="000000" w:themeColor="text1"/>
          <w:szCs w:val="24"/>
        </w:rPr>
      </w:pPr>
      <w:r>
        <w:rPr>
          <w:i/>
          <w:noProof/>
          <w:color w:val="000000" w:themeColor="text1"/>
        </w:rPr>
        <w:t>Eu égard à la dimension mondiale du phénomène, l’UE intensifiera sa coopération avec des partenaires internationaux clés au moyen de dialogues fructueux, d’un renforcement des capacités et d’une coopération opérationnelle améliorée.</w:t>
      </w:r>
    </w:p>
    <w:p w14:paraId="2269A4FD" w14:textId="619FE073" w:rsidR="00201AD3" w:rsidRPr="0075035A" w:rsidRDefault="00027790" w:rsidP="008E288C">
      <w:pPr>
        <w:pStyle w:val="ListParagraph"/>
        <w:numPr>
          <w:ilvl w:val="1"/>
          <w:numId w:val="99"/>
        </w:numPr>
        <w:spacing w:before="240" w:line="240" w:lineRule="auto"/>
        <w:ind w:left="993"/>
        <w:jc w:val="both"/>
        <w:rPr>
          <w:rFonts w:cs="Times New Roman"/>
          <w:b/>
          <w:bCs/>
          <w:i/>
          <w:iCs/>
          <w:noProof/>
          <w:color w:val="000000" w:themeColor="text1"/>
          <w:szCs w:val="24"/>
        </w:rPr>
      </w:pPr>
      <w:r>
        <w:rPr>
          <w:b/>
          <w:i/>
          <w:noProof/>
          <w:color w:val="000000" w:themeColor="text1"/>
        </w:rPr>
        <w:t xml:space="preserve"> Les objectifs de l’UE en matière de coopération internationale</w:t>
      </w:r>
    </w:p>
    <w:p w14:paraId="30AC327B" w14:textId="4D727551" w:rsidR="00FF5AD3" w:rsidRDefault="0057147F" w:rsidP="00FF5AD3">
      <w:pPr>
        <w:pStyle w:val="ContNum"/>
        <w:rPr>
          <w:noProof/>
          <w:szCs w:val="24"/>
        </w:rPr>
      </w:pPr>
      <w:r>
        <w:rPr>
          <w:noProof/>
          <w:color w:val="000000" w:themeColor="text1"/>
        </w:rPr>
        <w:t xml:space="preserve">La stratégie européenne de sécurité intérieure ProtectEU plaide en faveur d’une UE qui défende activement ses intérêts en matière de sécurité, en s’attaquant aux menaces extérieures, en désorganisant les filières des trafiquants et en préservant les corridors d’intérêt stratégique. </w:t>
      </w:r>
      <w:r>
        <w:rPr>
          <w:noProof/>
        </w:rPr>
        <w:t>L’UE reste déterminée à être un allié solide de ses pays partenaires, en collaborant pour améliorer la sécurité mondiale et accroître la résilience mutuelle, en particulier face aux menaces liées au trafic de drogue.</w:t>
      </w:r>
    </w:p>
    <w:p w14:paraId="7C448E50" w14:textId="23041F6F" w:rsidR="00BA469A" w:rsidRPr="0075035A" w:rsidRDefault="2C58AF6D" w:rsidP="674E0B1F">
      <w:pPr>
        <w:pStyle w:val="ContNum"/>
        <w:rPr>
          <w:noProof/>
          <w:color w:val="000000" w:themeColor="text1"/>
        </w:rPr>
      </w:pPr>
      <w:r>
        <w:rPr>
          <w:noProof/>
          <w:color w:val="000000" w:themeColor="text1"/>
        </w:rPr>
        <w:t>Les relations extérieures de l’UE dans le domaine de la lutte antidrogue privilégient la responsabilité partagée, le multilatéralisme et une approche axée sur le développement, respectant les droits de l’homme, la dignité et l’état de droit. L’UE demeure attachée à ces principes et prône une approche fondée sur des données probantes, intégrée, équilibrée et pluridisciplinaire pour les politiques en matière de drogue. Elle soutient les pays tiers dans leurs efforts, en se conformant aux conventions internationales relatives au contrôle des drogues et aux obligations en matière de droits de l’homme, telles qu’elles sont exposées dans les conclusions du Conseil sur une approche fondée sur les droits de l’homme dans les politiques en matière de drogue</w:t>
      </w:r>
      <w:r>
        <w:rPr>
          <w:noProof/>
          <w:color w:val="000000" w:themeColor="text1"/>
          <w:vertAlign w:val="superscript"/>
        </w:rPr>
        <w:footnoteReference w:id="60"/>
      </w:r>
      <w:r>
        <w:rPr>
          <w:noProof/>
          <w:color w:val="000000" w:themeColor="text1"/>
        </w:rPr>
        <w:t>, dans le plan d’action de l’UE en faveur des droits de l’homme et de la démocratie 2020-2027</w:t>
      </w:r>
      <w:r>
        <w:rPr>
          <w:rStyle w:val="FootnoteReference0"/>
          <w:noProof/>
          <w:color w:val="000000" w:themeColor="text1"/>
        </w:rPr>
        <w:footnoteReference w:id="61"/>
      </w:r>
      <w:r>
        <w:rPr>
          <w:noProof/>
          <w:color w:val="000000" w:themeColor="text1"/>
        </w:rPr>
        <w:t xml:space="preserve"> et dans les instruments pertinents des Nations unies en matière de politique de lutte contre la drogue. En outre, l’UE maintient sa ferme opposition à la peine de mort dans toutes les situations, réaffirmant ainsi son attachement aux droits de l’homme.</w:t>
      </w:r>
    </w:p>
    <w:p w14:paraId="7D683DA2" w14:textId="43FB686A" w:rsidR="00156BE6" w:rsidRPr="0075035A" w:rsidRDefault="00156BE6" w:rsidP="008B399B">
      <w:pPr>
        <w:pStyle w:val="ContNum"/>
        <w:rPr>
          <w:noProof/>
          <w:szCs w:val="24"/>
        </w:rPr>
      </w:pPr>
      <w:r>
        <w:rPr>
          <w:noProof/>
          <w:color w:val="000000" w:themeColor="text1"/>
        </w:rPr>
        <w:t xml:space="preserve">L’UE collaborera avec les </w:t>
      </w:r>
      <w:r>
        <w:rPr>
          <w:b/>
          <w:noProof/>
          <w:color w:val="000000" w:themeColor="text1"/>
        </w:rPr>
        <w:t>partenaires concernés par l’élargissement</w:t>
      </w:r>
      <w:r>
        <w:rPr>
          <w:noProof/>
          <w:color w:val="000000" w:themeColor="text1"/>
        </w:rPr>
        <w:t xml:space="preserve"> en vue d’aligner les stratégies de lutte contre les réseaux de criminalité organisée, d’améliorer les systèmes d’information sur la drogue et de renforcer la coopération opérationnelle. Il s’agira notamment d’appuyer la mise en place d’observatoires nationaux des drogues et de systèmes d’alerte précoce pour les nouvelles substances psychoactives, conformément au droit de l’Union, ainsi que de promouvoir des politiques antidrogue intégrées, équilibrées et fondées sur des données probantes, avec le soutien de l’EUDA. Afin d’accélérer l’intégration des pays candidats dans l’architecture de sécurité de l’UE, cette dernière devrait systématiquement associer et soutenir les partenaires concernés par l’élargissement, en garantissant leur accès aux outils, aux orientations et aux possibilités de renforcement des capacités. </w:t>
      </w:r>
      <w:r>
        <w:rPr>
          <w:noProof/>
        </w:rPr>
        <w:t>De même, la Commission étudiera la possibilité d’une coopération avec les pays candidats en matière de sûreté portuaire, par exemple en les laissant participer en tant qu’observateurs aux réunions de l’alliance des ports européens.</w:t>
      </w:r>
    </w:p>
    <w:p w14:paraId="363DC074" w14:textId="0870295D" w:rsidR="00167C96" w:rsidRPr="0075035A" w:rsidRDefault="005904B7" w:rsidP="008B399B">
      <w:pPr>
        <w:pStyle w:val="ContNum"/>
        <w:rPr>
          <w:noProof/>
          <w:szCs w:val="24"/>
        </w:rPr>
      </w:pPr>
      <w:r>
        <w:rPr>
          <w:noProof/>
        </w:rPr>
        <w:t xml:space="preserve">En coopération avec les </w:t>
      </w:r>
      <w:r>
        <w:rPr>
          <w:b/>
          <w:noProof/>
        </w:rPr>
        <w:t>partenaires du sud de la Méditerranée</w:t>
      </w:r>
      <w:r>
        <w:rPr>
          <w:noProof/>
        </w:rPr>
        <w:t>, l’UE encouragera la poursuite de la surveillance et de l’évaluation des tendances en matière de drogue, la coopération en matière judiciaire et répressive et la gestion intégrée des frontières, afin de lutter plus efficacement contre le trafic transfrontière de drogue, conformément au pilier «sécurité, préparation et gestion de la migration» du pacte pour la Méditerranée. Une coopération opérationnelle plus étroite de l’EUDA, d’Europol, du CEPOL, d’Eurojust et du MAOC-N avec les partenaires régionaux est essentielle. La coopération opérationnelle avec l’Afrique du Nord, le Moyen-Orient et la région du Golfe sera renforcée, en particulier pour lutter contre la production et le trafic de drogue, notamment de captagon.</w:t>
      </w:r>
    </w:p>
    <w:p w14:paraId="54A472AB" w14:textId="3C356AB2" w:rsidR="003D03BB" w:rsidRPr="0075035A" w:rsidRDefault="492BD276" w:rsidP="003D03BB">
      <w:pPr>
        <w:pStyle w:val="ContNum"/>
        <w:rPr>
          <w:noProof/>
          <w:color w:val="000000" w:themeColor="text1"/>
          <w:szCs w:val="24"/>
        </w:rPr>
      </w:pPr>
      <w:r>
        <w:rPr>
          <w:noProof/>
          <w:color w:val="000000" w:themeColor="text1"/>
        </w:rPr>
        <w:t xml:space="preserve">L’UE a l’intention de consolider les </w:t>
      </w:r>
      <w:r>
        <w:rPr>
          <w:b/>
          <w:noProof/>
          <w:color w:val="000000" w:themeColor="text1"/>
        </w:rPr>
        <w:t>alliances internationales contre les menaces liées aux drogues de synthèse</w:t>
      </w:r>
      <w:r>
        <w:rPr>
          <w:noProof/>
          <w:color w:val="000000" w:themeColor="text1"/>
        </w:rPr>
        <w:t xml:space="preserve"> en collaborant avec des pays tiers clés tels que les États-Unis, le Mexique, la Chine et l’Inde, afin de démanteler la production de drogues illicites, d’arrêter le flux de précurseurs de drogues et d’améliorer la préparation pour affronter les problèmes liés aux drogues de synthèse. La coopération sera axée sur la perturbation des itinéraires empruntés par le trafic de drogue, la </w:t>
      </w:r>
      <w:r>
        <w:rPr>
          <w:b/>
          <w:noProof/>
          <w:color w:val="000000" w:themeColor="text1"/>
        </w:rPr>
        <w:t>résilience accrue des plateformes logistiques</w:t>
      </w:r>
      <w:r>
        <w:rPr>
          <w:noProof/>
          <w:color w:val="000000" w:themeColor="text1"/>
        </w:rPr>
        <w:t xml:space="preserve"> à l’échelle mondiale et la lutte contre l’exploitation des grands ports maritimes par la criminalité organisée, en particulier en Amérique latine, en Afrique de l’Ouest et dans les Balkans occidentaux.</w:t>
      </w:r>
    </w:p>
    <w:p w14:paraId="60E8AB54" w14:textId="0E5E6EFC" w:rsidR="006A6350" w:rsidRPr="0075035A" w:rsidRDefault="006A6350" w:rsidP="006A6350">
      <w:pPr>
        <w:pStyle w:val="ContNum"/>
        <w:rPr>
          <w:noProof/>
          <w:color w:val="000000" w:themeColor="text1"/>
          <w:szCs w:val="24"/>
        </w:rPr>
      </w:pPr>
      <w:r>
        <w:rPr>
          <w:noProof/>
          <w:color w:val="000000" w:themeColor="text1"/>
        </w:rPr>
        <w:t xml:space="preserve">Les mesures restrictives constituent un élément important de la panoplie d’instruments dont dispose l’UE pour son action extérieure et peuvent compléter une combinaison équilibrée de mesures destinées à déstabiliser et à réduire efficacement la criminalité transnationale organisée. La Commission étudie actuellement les possibilités de mettre en place un </w:t>
      </w:r>
      <w:r>
        <w:rPr>
          <w:b/>
          <w:noProof/>
          <w:color w:val="000000" w:themeColor="text1"/>
        </w:rPr>
        <w:t>régime de sanctions horizontales</w:t>
      </w:r>
      <w:r>
        <w:rPr>
          <w:noProof/>
          <w:color w:val="000000" w:themeColor="text1"/>
        </w:rPr>
        <w:t xml:space="preserve"> ciblant les personnes et les groupes criminels organisés impliqués dans le trafic de migrants et la traite des êtres humains. Étant donné que le trafic de drogue finance souvent des groupes criminels organisés transnationaux et que les trafiquants de drogue recourent aux mêmes blanchisseurs de capitaux, négociants en cryptomonnaies et autres prestataires de services pour l’ensemble de leurs opérations, il pourrait être envisagé d’étendre le champ d’application d’un tel régime, sous réserve de discussions avec les États membres. Les délégations de l’UE dans tous les pays et sous-régions concernés désigneront des points de contact parmi leur personnel pour la lutte contre la criminalité organisée, et les États membres auront la possibilité d’affecter des officiers de liaison à cette fin.</w:t>
      </w:r>
    </w:p>
    <w:p w14:paraId="05507A02" w14:textId="7B21EC04" w:rsidR="00201AD3" w:rsidRPr="0075035A" w:rsidRDefault="003D03BB" w:rsidP="004B2B1B">
      <w:pPr>
        <w:pStyle w:val="ContNum"/>
        <w:rPr>
          <w:noProof/>
          <w:color w:val="000000" w:themeColor="text1"/>
          <w:szCs w:val="24"/>
        </w:rPr>
      </w:pPr>
      <w:r>
        <w:rPr>
          <w:noProof/>
        </w:rPr>
        <w:t>Des actions opérationnelles ciblées associeront les douanes, les services répressifs et les autorités compétentes de pays tiers clés, notamment dans le cadre d’initiatives telles que des unités d’enquête et des centres de regroupement du renseignement.</w:t>
      </w:r>
      <w:r>
        <w:rPr>
          <w:noProof/>
          <w:color w:val="000000" w:themeColor="text1"/>
        </w:rPr>
        <w:t xml:space="preserve"> L’UE établira également des </w:t>
      </w:r>
      <w:r>
        <w:rPr>
          <w:b/>
          <w:noProof/>
          <w:color w:val="000000" w:themeColor="text1"/>
        </w:rPr>
        <w:t>partenariats plus solides</w:t>
      </w:r>
      <w:r>
        <w:rPr>
          <w:noProof/>
          <w:color w:val="000000" w:themeColor="text1"/>
        </w:rPr>
        <w:t>, dans les domaines de la justice et de la sécurité, avec des pays et régions tiers clés, en renforçant la coopération en matière d’entraide judiciaire, d’extradition, ainsi que de recouvrement et de confiscation d’avoirs, en particulier avec les pays d’Amérique latine, des Caraïbes et de la région méditerranéenne.</w:t>
      </w:r>
    </w:p>
    <w:p w14:paraId="0C0E65DE" w14:textId="3C82F884" w:rsidR="0078332E" w:rsidRPr="0075035A" w:rsidRDefault="009F1E8A" w:rsidP="0078332E">
      <w:pPr>
        <w:pStyle w:val="ContNum"/>
        <w:rPr>
          <w:noProof/>
          <w:color w:val="000000" w:themeColor="text1"/>
          <w:szCs w:val="24"/>
        </w:rPr>
      </w:pPr>
      <w:r>
        <w:rPr>
          <w:noProof/>
        </w:rPr>
        <w:t xml:space="preserve">En outre, la Commission collaborera avec les États membres et les pays partenaires pour intensifier les efforts de lutte contre le trafic de drogue, en faisant progresser la </w:t>
      </w:r>
      <w:r>
        <w:rPr>
          <w:b/>
          <w:noProof/>
        </w:rPr>
        <w:t>Coalition européenne contre les drogues</w:t>
      </w:r>
      <w:r>
        <w:rPr>
          <w:noProof/>
        </w:rPr>
        <w:t xml:space="preserve"> récemment créée, améliorant ainsi l’efficacité des objectifs et stratégies communs.</w:t>
      </w:r>
    </w:p>
    <w:p w14:paraId="142BFB67" w14:textId="55F8DB1E" w:rsidR="001A092F" w:rsidRPr="0075035A" w:rsidRDefault="0003626B" w:rsidP="008E288C">
      <w:pPr>
        <w:pStyle w:val="ListParagraph"/>
        <w:numPr>
          <w:ilvl w:val="1"/>
          <w:numId w:val="99"/>
        </w:numPr>
        <w:spacing w:before="240" w:line="240" w:lineRule="auto"/>
        <w:ind w:left="993"/>
        <w:jc w:val="both"/>
        <w:rPr>
          <w:rFonts w:cs="Times New Roman"/>
          <w:b/>
          <w:bCs/>
          <w:i/>
          <w:iCs/>
          <w:noProof/>
          <w:color w:val="000000" w:themeColor="text1"/>
          <w:szCs w:val="24"/>
        </w:rPr>
      </w:pPr>
      <w:r>
        <w:rPr>
          <w:b/>
          <w:i/>
          <w:noProof/>
          <w:color w:val="000000" w:themeColor="text1"/>
        </w:rPr>
        <w:t xml:space="preserve"> Renforcer les dialogues avec les pays et régions tiers</w:t>
      </w:r>
    </w:p>
    <w:p w14:paraId="0A6D2437" w14:textId="320ABADE" w:rsidR="0044326C" w:rsidRPr="0075035A" w:rsidRDefault="00057087">
      <w:pPr>
        <w:pStyle w:val="ContNum"/>
        <w:rPr>
          <w:noProof/>
        </w:rPr>
      </w:pPr>
      <w:r>
        <w:rPr>
          <w:noProof/>
          <w:color w:val="000000" w:themeColor="text1"/>
        </w:rPr>
        <w:t>Il est essentiel de mener des dialogues avec les pays tiers pour promouvoir une approche intégrée et équilibrée de la politique en matière de drogue. L’UE poursuivra ses dialogues spécifiques sur la drogue avec ses partenaires des Balkans occidentaux, du Partenariat oriental, d’Amérique latine et des Caraïbes, d’Asie centrale et, au niveau bilatéral, avec les États-Unis, la Chine et la Colombie. Ces dialogues visent à renforcer la coopération stratégique et opérationnelle, et à favoriser ainsi des interventions efficaces.</w:t>
      </w:r>
      <w:r>
        <w:rPr>
          <w:noProof/>
        </w:rPr>
        <w:t xml:space="preserve"> </w:t>
      </w:r>
      <w:r>
        <w:rPr>
          <w:noProof/>
          <w:color w:val="000000" w:themeColor="text1"/>
        </w:rPr>
        <w:t xml:space="preserve">De nouveaux dialogues devraient être engagés avec d’autres pays ou régions prioritaires fortement touchés par les problèmes liés à la drogue. </w:t>
      </w:r>
      <w:r>
        <w:rPr>
          <w:noProof/>
        </w:rPr>
        <w:t>Des questions relevant de la politique antidrogue, concernant notamment le trafic, pourront être abordées lors des dialogues sur la sécurité, et les échanges thématiques et les réunions d’experts faciliteront le partage d’informations et la coordination des activités, par exemple avec l’Inde, en vue de prévenir le détournement et le trafic de précurseurs de drogues.</w:t>
      </w:r>
    </w:p>
    <w:p w14:paraId="56F0E103" w14:textId="74184C0E" w:rsidR="0C23CFC2" w:rsidRPr="0075035A" w:rsidRDefault="3AB86EC3" w:rsidP="009678FC">
      <w:pPr>
        <w:pStyle w:val="ContNum"/>
        <w:rPr>
          <w:noProof/>
          <w:color w:val="000000" w:themeColor="text1"/>
        </w:rPr>
      </w:pPr>
      <w:r>
        <w:rPr>
          <w:noProof/>
          <w:color w:val="000000" w:themeColor="text1"/>
        </w:rPr>
        <w:t>L’UE mobilisera des instruments diplomatiques, politiques et financiers dans le cadre de sa politique étrangère pour soutenir ces efforts. Tous les instruments de l’UE, y compris l’IVCDCI et les missions relevant de la politique de sécurité et de défense commune, pourront être utilisés pour renforcer les capacités répressives dans les pays tiers et soutenir une approche pangouvernementale de la politique en matière de drogue.</w:t>
      </w:r>
    </w:p>
    <w:p w14:paraId="50488ED4" w14:textId="26398590" w:rsidR="001A092F" w:rsidRPr="0075035A" w:rsidRDefault="0003626B" w:rsidP="008E288C">
      <w:pPr>
        <w:pStyle w:val="ListParagraph"/>
        <w:numPr>
          <w:ilvl w:val="1"/>
          <w:numId w:val="99"/>
        </w:numPr>
        <w:spacing w:before="240" w:line="240" w:lineRule="auto"/>
        <w:ind w:left="993"/>
        <w:jc w:val="both"/>
        <w:rPr>
          <w:rFonts w:cs="Times New Roman"/>
          <w:b/>
          <w:bCs/>
          <w:i/>
          <w:iCs/>
          <w:noProof/>
          <w:color w:val="000000" w:themeColor="text1"/>
          <w:szCs w:val="24"/>
        </w:rPr>
      </w:pPr>
      <w:r>
        <w:rPr>
          <w:b/>
          <w:i/>
          <w:noProof/>
          <w:color w:val="000000" w:themeColor="text1"/>
        </w:rPr>
        <w:t xml:space="preserve"> Coopération opérationnelle</w:t>
      </w:r>
    </w:p>
    <w:p w14:paraId="6746CD28" w14:textId="36A12CAE" w:rsidR="00DD182C" w:rsidRPr="0075035A" w:rsidRDefault="3F113B3D" w:rsidP="00976282">
      <w:pPr>
        <w:pStyle w:val="ContNum"/>
        <w:rPr>
          <w:noProof/>
          <w:color w:val="000000" w:themeColor="text1"/>
          <w:szCs w:val="24"/>
        </w:rPr>
      </w:pPr>
      <w:r>
        <w:rPr>
          <w:noProof/>
          <w:color w:val="000000" w:themeColor="text1"/>
        </w:rPr>
        <w:t xml:space="preserve">Les réseaux de trafic de drogue présents dans le monde devenant interconnectés, l’UE </w:t>
      </w:r>
      <w:r>
        <w:rPr>
          <w:b/>
          <w:noProof/>
          <w:color w:val="000000" w:themeColor="text1"/>
        </w:rPr>
        <w:t>intensifiera son action opérationnelle</w:t>
      </w:r>
      <w:r>
        <w:rPr>
          <w:noProof/>
          <w:color w:val="000000" w:themeColor="text1"/>
        </w:rPr>
        <w:t xml:space="preserve"> grâce à des partenariats avec les pays et régions candidats et les pays et régions tiers clés. Les agences JAI jouent un rôle essentiel à cet égard. La contribution d’Europol au renforcement des capacités stratégiques et opérationnelles dans les pays tiers clés est indispensable pour désorganiser les réseaux criminels transnationaux. Dès lors, Europol étend ses partenariats extérieurs afin de faciliter l’échange d’informations stratégiques et opérationnelles, de sorte que les enquêtes puissent être coordonnées entre les différents territoires. </w:t>
      </w:r>
      <w:r>
        <w:rPr>
          <w:noProof/>
        </w:rPr>
        <w:t>Eurojust joue un rôle déterminant pour établir des dossiers solides contre les organisations criminelles et faciliter les poursuites et pour assurer ainsi l’efficacité des actions en justice contre la criminalité transnationale.</w:t>
      </w:r>
    </w:p>
    <w:p w14:paraId="0EF1425F" w14:textId="1155B6E1" w:rsidR="00A71FA1" w:rsidRPr="0075035A" w:rsidRDefault="00793207" w:rsidP="674E0B1F">
      <w:pPr>
        <w:pStyle w:val="ContNum"/>
        <w:rPr>
          <w:noProof/>
          <w:color w:val="000000" w:themeColor="text1"/>
          <w:szCs w:val="24"/>
        </w:rPr>
      </w:pPr>
      <w:r>
        <w:rPr>
          <w:noProof/>
          <w:color w:val="000000" w:themeColor="text1"/>
        </w:rPr>
        <w:t>L’EUDA, conformément à son nouveau mandat, est déterminée à améliorer la coopération internationale et à surveiller la situation des drogues dans les pays tiers, en soutenant l’élaboration de politiques antidrogue intégrées, équilibrées et fondées sur des données probantes. Dans le cadre de la stratégie européenne de sécurité intérieure ProtectEU, la Commission cherchera à conclure des accords supplémentaires entre l’UE et des pays tiers, en vue d’une coopération avec Europol et Eurojust, en se focalisant plus particulièrement sur les pays d’Amérique latine et en plaidant pour l’inclusion d’un plus grand nombre de pays tiers dans le cadre de l’EMPACT.</w:t>
      </w:r>
    </w:p>
    <w:p w14:paraId="2CD1A491" w14:textId="31709BC4" w:rsidR="00553616" w:rsidRPr="0075035A" w:rsidRDefault="00793207" w:rsidP="00553616">
      <w:pPr>
        <w:pStyle w:val="ContNum"/>
        <w:rPr>
          <w:noProof/>
          <w:color w:val="000000" w:themeColor="text1"/>
        </w:rPr>
      </w:pPr>
      <w:r>
        <w:rPr>
          <w:noProof/>
          <w:color w:val="000000" w:themeColor="text1"/>
        </w:rPr>
        <w:t>L’UE gérera des initiatives</w:t>
      </w:r>
      <w:r>
        <w:rPr>
          <w:b/>
          <w:noProof/>
          <w:color w:val="000000" w:themeColor="text1"/>
        </w:rPr>
        <w:t xml:space="preserve"> d’assistance technique et de renforcement des capacités</w:t>
      </w:r>
      <w:r>
        <w:rPr>
          <w:noProof/>
          <w:color w:val="000000" w:themeColor="text1"/>
        </w:rPr>
        <w:t xml:space="preserve"> ainsi que des programmes de coopération, afin d’aider les pays tiers à traiter les questions relatives à la drogue d’une manière compatible avec le respect des droits de l’homme, en réglant les problèmes qui se posent dans les secteurs de la santé publique, du développement, de la sûreté et de la sécurité. L’UE et ses États membres mettent l’accent sur des </w:t>
      </w:r>
      <w:r>
        <w:rPr>
          <w:b/>
          <w:noProof/>
          <w:color w:val="000000" w:themeColor="text1"/>
        </w:rPr>
        <w:t>politiques antidrogue axées sur le développement et</w:t>
      </w:r>
      <w:r>
        <w:rPr>
          <w:noProof/>
          <w:color w:val="000000" w:themeColor="text1"/>
        </w:rPr>
        <w:t xml:space="preserve"> sur </w:t>
      </w:r>
      <w:r>
        <w:rPr>
          <w:b/>
          <w:noProof/>
          <w:color w:val="000000" w:themeColor="text1"/>
        </w:rPr>
        <w:t>des mesures de développement de substitution et de développement durable</w:t>
      </w:r>
      <w:r>
        <w:rPr>
          <w:rStyle w:val="FootnoteReference0"/>
          <w:noProof/>
          <w:szCs w:val="24"/>
        </w:rPr>
        <w:footnoteReference w:id="62"/>
      </w:r>
      <w:r>
        <w:rPr>
          <w:noProof/>
          <w:color w:val="000000" w:themeColor="text1"/>
        </w:rPr>
        <w:t>, offrant un moyen de réduire l’offre de drogue, de protéger l’environnement et de stimuler le développement socio-économique des régions touchées.</w:t>
      </w:r>
    </w:p>
    <w:p w14:paraId="346251FB" w14:textId="07C5A3F5" w:rsidR="001A092F" w:rsidRPr="0075035A" w:rsidRDefault="0003626B" w:rsidP="008E288C">
      <w:pPr>
        <w:pStyle w:val="ListParagraph"/>
        <w:numPr>
          <w:ilvl w:val="1"/>
          <w:numId w:val="99"/>
        </w:numPr>
        <w:spacing w:before="240" w:line="240" w:lineRule="auto"/>
        <w:ind w:left="993"/>
        <w:jc w:val="both"/>
        <w:rPr>
          <w:rFonts w:cs="Times New Roman"/>
          <w:b/>
          <w:bCs/>
          <w:i/>
          <w:iCs/>
          <w:noProof/>
          <w:color w:val="000000" w:themeColor="text1"/>
          <w:szCs w:val="24"/>
        </w:rPr>
      </w:pPr>
      <w:r>
        <w:rPr>
          <w:b/>
          <w:i/>
          <w:noProof/>
          <w:color w:val="000000" w:themeColor="text1"/>
        </w:rPr>
        <w:t xml:space="preserve"> Réaffirmer le rôle moteur de l’UE dans la définition des priorités internationales en matière de drogue</w:t>
      </w:r>
    </w:p>
    <w:p w14:paraId="364783DC" w14:textId="394B09D6" w:rsidR="005826B5" w:rsidRPr="0075035A" w:rsidRDefault="002E06EF" w:rsidP="00A2296C">
      <w:pPr>
        <w:pStyle w:val="ContNum"/>
        <w:rPr>
          <w:noProof/>
          <w:color w:val="000000" w:themeColor="text1"/>
        </w:rPr>
      </w:pPr>
      <w:r>
        <w:rPr>
          <w:noProof/>
        </w:rPr>
        <w:t>L’UE reste attachée à un système multilatéral fondé sur le droit international et les principes de la charte des Nations unies</w:t>
      </w:r>
      <w:r>
        <w:rPr>
          <w:rStyle w:val="FootnoteReference0"/>
          <w:noProof/>
          <w:color w:val="000000" w:themeColor="text1"/>
        </w:rPr>
        <w:footnoteReference w:id="63"/>
      </w:r>
      <w:r>
        <w:rPr>
          <w:noProof/>
        </w:rPr>
        <w:t>.</w:t>
      </w:r>
      <w:r>
        <w:rPr>
          <w:noProof/>
          <w:color w:val="000000" w:themeColor="text1"/>
        </w:rPr>
        <w:t xml:space="preserve"> </w:t>
      </w:r>
      <w:r>
        <w:rPr>
          <w:b/>
          <w:noProof/>
          <w:color w:val="000000" w:themeColor="text1"/>
        </w:rPr>
        <w:t>Elle conservera un rôle de premier plan dans les processus d’élaboration des politiques en matière de drogue des Nations unies</w:t>
      </w:r>
      <w:r>
        <w:rPr>
          <w:noProof/>
          <w:color w:val="000000" w:themeColor="text1"/>
        </w:rPr>
        <w:t xml:space="preserve">, en participant activement à la Commission des stupéfiants et à d’autres organes des Nations unies axés sur la santé, les droits de l’homme et le développement. Cette approche s’étend à la participation à des enceintes multilatérales telles que le Conseil de l’Europe. </w:t>
      </w:r>
    </w:p>
    <w:p w14:paraId="3849A8D8" w14:textId="596B761D" w:rsidR="005826B5" w:rsidRPr="0075035A" w:rsidRDefault="55B40AB1" w:rsidP="00A2296C">
      <w:pPr>
        <w:pStyle w:val="ContNum"/>
        <w:rPr>
          <w:noProof/>
          <w:szCs w:val="24"/>
        </w:rPr>
      </w:pPr>
      <w:r>
        <w:rPr>
          <w:noProof/>
        </w:rPr>
        <w:t>L’UE continuera de renforcer sa coopération stratégique avec les organisations internationales, en particulier avec l’ONUDC, qui est le principal organe chargé des questions de drogue à l’échelle mondiale au sein du système des Nations unies, avec l’Organe international de contrôle des stupéfiants, ainsi qu’avec l’OMS et l’Organisation mondiale des douanes. L’UE soutiendra également la coordination entre les organes compétents des Nations unies, afin de traiter la situation en matière de drogue de manière globale et cohérente.</w:t>
      </w:r>
    </w:p>
    <w:p w14:paraId="2386FA51" w14:textId="20558937" w:rsidR="00F60899" w:rsidRPr="0075035A" w:rsidRDefault="00F60899" w:rsidP="00504B2B">
      <w:pPr>
        <w:pStyle w:val="Heading3"/>
        <w:keepNext/>
        <w:ind w:left="0"/>
        <w:rPr>
          <w:noProof/>
        </w:rPr>
      </w:pPr>
      <w:bookmarkStart w:id="80" w:name="_Toc212204040"/>
      <w:bookmarkStart w:id="81" w:name="_Toc1397227716"/>
      <w:bookmarkStart w:id="82" w:name="_Toc1962792768"/>
      <w:bookmarkStart w:id="83" w:name="_Toc209853390"/>
      <w:r>
        <w:rPr>
          <w:noProof/>
        </w:rPr>
        <w:t>Priorité stratégique nº 10: renforcer la coordination et les partenariats stratégiques de l’UE</w:t>
      </w:r>
      <w:bookmarkEnd w:id="80"/>
      <w:bookmarkEnd w:id="81"/>
      <w:bookmarkEnd w:id="82"/>
      <w:bookmarkEnd w:id="83"/>
    </w:p>
    <w:p w14:paraId="524D6E75" w14:textId="5A4A7BB3" w:rsidR="0088107F" w:rsidRPr="0075035A" w:rsidRDefault="00FE5FDE" w:rsidP="003A5A8B">
      <w:pPr>
        <w:pBdr>
          <w:top w:val="single" w:sz="4" w:space="1" w:color="auto"/>
          <w:left w:val="single" w:sz="4" w:space="4" w:color="auto"/>
          <w:bottom w:val="single" w:sz="4" w:space="1" w:color="auto"/>
          <w:right w:val="single" w:sz="4" w:space="4" w:color="auto"/>
        </w:pBdr>
        <w:spacing w:before="240" w:line="240" w:lineRule="auto"/>
        <w:jc w:val="both"/>
        <w:rPr>
          <w:rFonts w:cs="Times New Roman"/>
          <w:i/>
          <w:iCs/>
          <w:noProof/>
          <w:szCs w:val="24"/>
        </w:rPr>
      </w:pPr>
      <w:r>
        <w:rPr>
          <w:i/>
          <w:noProof/>
        </w:rPr>
        <w:t>Eu égard à la nature transversale de la politique en matière de drogue, l’UE est déterminée à mettre cette politique en œuvre, y compris la présente stratégie, par une approche unifiée englobant l’ensemble de la société. Il faut pour cela une coordination étroite entre les institutions, organes et organismes de l’UE et les États membres, associant activement la société civile et les acteurs du secteur privé. Cette collaboration vise à renforcer les actions collectives, à maximiser l’efficacité et à appliquer une démarche inclusive pour les problèmes liés à la drogue.</w:t>
      </w:r>
    </w:p>
    <w:p w14:paraId="2F962180" w14:textId="46FAFFF0" w:rsidR="008E54E4" w:rsidRPr="0075035A" w:rsidRDefault="0003626B" w:rsidP="008E288C">
      <w:pPr>
        <w:pStyle w:val="ListParagraph"/>
        <w:numPr>
          <w:ilvl w:val="1"/>
          <w:numId w:val="100"/>
        </w:numPr>
        <w:spacing w:before="240" w:line="240" w:lineRule="auto"/>
        <w:jc w:val="both"/>
        <w:rPr>
          <w:rFonts w:cs="Times New Roman"/>
          <w:b/>
          <w:bCs/>
          <w:i/>
          <w:iCs/>
          <w:noProof/>
          <w:color w:val="000000" w:themeColor="text1"/>
          <w:szCs w:val="24"/>
        </w:rPr>
      </w:pPr>
      <w:r>
        <w:rPr>
          <w:b/>
          <w:i/>
          <w:noProof/>
          <w:color w:val="000000" w:themeColor="text1"/>
        </w:rPr>
        <w:t xml:space="preserve"> Renforcer la coordination entre les institutions, organes et organismes de l’UE et les États membres</w:t>
      </w:r>
    </w:p>
    <w:p w14:paraId="39A5787D" w14:textId="7915B6A4" w:rsidR="005C3DCA" w:rsidRPr="0075035A" w:rsidRDefault="697BEBD9" w:rsidP="00650257">
      <w:pPr>
        <w:spacing w:after="240" w:line="240" w:lineRule="auto"/>
        <w:jc w:val="both"/>
        <w:rPr>
          <w:rFonts w:eastAsia="Times New Roman" w:cs="Times New Roman"/>
          <w:noProof/>
          <w:szCs w:val="24"/>
        </w:rPr>
      </w:pPr>
      <w:r>
        <w:rPr>
          <w:noProof/>
        </w:rPr>
        <w:t xml:space="preserve">Les institutions, les organes et les organismes compétents de l’UE doivent </w:t>
      </w:r>
      <w:r>
        <w:rPr>
          <w:b/>
          <w:noProof/>
        </w:rPr>
        <w:t>coordonner leurs activités</w:t>
      </w:r>
      <w:r>
        <w:rPr>
          <w:noProof/>
        </w:rPr>
        <w:t xml:space="preserve"> relatives aux drogues illicites, en veillant à la complémentarité, dans le cadre de leurs mandats respectifs. Les États membres sont encouragés à aligner leurs actions sur la présente stratégie, en allouant des ressources ciblées en conséquence. Compte tenu des situations locales et régionales différentes en matière de drogue, </w:t>
      </w:r>
      <w:bookmarkStart w:id="84" w:name="_Hlk210140193"/>
      <w:r>
        <w:rPr>
          <w:noProof/>
        </w:rPr>
        <w:t xml:space="preserve">les États membres devraient associer les </w:t>
      </w:r>
      <w:r>
        <w:rPr>
          <w:b/>
          <w:noProof/>
        </w:rPr>
        <w:t>autorités régionales et locales</w:t>
      </w:r>
      <w:r>
        <w:rPr>
          <w:noProof/>
        </w:rPr>
        <w:t xml:space="preserve"> à la mise en œuvre de la stratégie. Ces autorités jouent un rôle essentiel en adaptant les interventions aux besoins des diverses communautés, en encourageant la collaboration entre les parties prenantes, telles que les services de santé, les services répressifs et les organisations de proximité, afin d’améliorer les actions de prévention, de traitement et de réduction des dommages. Au niveau de l’UE, le Comité des régions et le Comité économique et social jouent un rôle important dans les initiatives liées à la drogue.</w:t>
      </w:r>
    </w:p>
    <w:p w14:paraId="6ACF07FD" w14:textId="1B353834" w:rsidR="00EC00E7" w:rsidRPr="0075035A" w:rsidRDefault="00EC00E7" w:rsidP="00EC00E7">
      <w:pPr>
        <w:spacing w:after="240" w:line="240" w:lineRule="auto"/>
        <w:jc w:val="both"/>
        <w:rPr>
          <w:rFonts w:eastAsia="Times New Roman" w:cs="Times New Roman"/>
          <w:bCs/>
          <w:noProof/>
          <w:szCs w:val="24"/>
        </w:rPr>
      </w:pPr>
      <w:r>
        <w:rPr>
          <w:noProof/>
        </w:rPr>
        <w:t>La coordination entre les secteurs, en particulier ceux de la santé, de la sécurité et de la justice, est essentielle tant au niveau de l’UE qu’au niveau national. Des approches locales intégrées, associant les services répressifs, judiciaires, sociaux et de santé, les agences des médicaments et les autorités de secteurs tels que l’aviation civile et le transport maritime, peuvent améliorer les résultats dans les domaines de la santé et de la sécurité. Une telle coopération entre les différents secteurs est fondamentale pour trouver des solutions globales aux problèmes liés à la drogue.</w:t>
      </w:r>
    </w:p>
    <w:p w14:paraId="024905D3" w14:textId="25DA5064" w:rsidR="00EF623C" w:rsidRPr="0075035A" w:rsidRDefault="00C9562F" w:rsidP="00647406">
      <w:pPr>
        <w:spacing w:after="240" w:line="240" w:lineRule="auto"/>
        <w:jc w:val="both"/>
        <w:rPr>
          <w:rFonts w:eastAsia="Times New Roman" w:cs="Times New Roman"/>
          <w:noProof/>
        </w:rPr>
      </w:pPr>
      <w:r>
        <w:rPr>
          <w:noProof/>
        </w:rPr>
        <w:t xml:space="preserve">Pour que la mise en œuvre de la présente stratégie soit couronnée de succès, une gouvernance et une coordination efficaces sont nécessaires. Dès lors, au moment du réexamen de la stratégie et de la définition de pistes pour l’avenir, le Conseil de l’UE est invité à élaborer, avec le soutien de la Commission, un </w:t>
      </w:r>
      <w:r>
        <w:rPr>
          <w:b/>
          <w:noProof/>
        </w:rPr>
        <w:t>cadre de mise en œuvre</w:t>
      </w:r>
      <w:r>
        <w:rPr>
          <w:noProof/>
        </w:rPr>
        <w:t>. Ce cadre devrait désigner clairement les parties prenantes associées à la mise en œuvre des différentes priorités et favoriser les synergies et la cohérence entre les politiques en matière de drogue aux niveaux de l’UE, national et local. En outre, il devrait prévoir des solutions pour que chaque État membre conserve, à l’échelle nationale, une vue d’ensemble des questions liées à la drogue, grâce à une approche pangouvernementale. Une telle démarche permettra d’améliorer la coordination et de maximiser l’efficacité des politiques aux niveaux européen, national et local.</w:t>
      </w:r>
    </w:p>
    <w:p w14:paraId="196B8307" w14:textId="1F2BD5F5" w:rsidR="00660564" w:rsidRPr="0075035A" w:rsidRDefault="00C80301" w:rsidP="009678FC">
      <w:pPr>
        <w:spacing w:after="240" w:line="240" w:lineRule="auto"/>
        <w:jc w:val="both"/>
        <w:rPr>
          <w:rFonts w:cs="Times New Roman"/>
          <w:b/>
          <w:i/>
          <w:noProof/>
          <w:color w:val="000000" w:themeColor="text1"/>
        </w:rPr>
      </w:pPr>
      <w:r>
        <w:rPr>
          <w:noProof/>
        </w:rPr>
        <w:t>La Commission et le Conseil de l’UE devraient réexaminer régulièrement la mise en œuvre de la stratégie, en maintenant des échanges avec les États membres. Des agences de l’UE telles que l’EUDA et Europol contribueront au suivi de la mise en œuvre de la stratégie. Un suivi efficace des mesures antidrogue nécessite la collecte de données et des indicateurs d’impact, et l’EUDA renforcera sa boîte à outils d’évaluation des politiques afin de suivre de près les progrès accomplis et les résultats obtenus, ce qui facilitera la réalisation en temps utile d’ajustements stratégiques pour assurer une efficacité maximale.</w:t>
      </w:r>
      <w:bookmarkEnd w:id="84"/>
    </w:p>
    <w:p w14:paraId="0FC3AD73" w14:textId="442F9BC9" w:rsidR="00290788" w:rsidRPr="0075035A" w:rsidRDefault="0003626B" w:rsidP="008E288C">
      <w:pPr>
        <w:pStyle w:val="ListParagraph"/>
        <w:numPr>
          <w:ilvl w:val="1"/>
          <w:numId w:val="100"/>
        </w:numPr>
        <w:spacing w:before="240" w:line="240" w:lineRule="auto"/>
        <w:jc w:val="both"/>
        <w:rPr>
          <w:rFonts w:cs="Times New Roman"/>
          <w:b/>
          <w:bCs/>
          <w:i/>
          <w:iCs/>
          <w:noProof/>
          <w:color w:val="000000" w:themeColor="text1"/>
          <w:szCs w:val="24"/>
        </w:rPr>
      </w:pPr>
      <w:r>
        <w:rPr>
          <w:b/>
          <w:i/>
          <w:noProof/>
          <w:color w:val="000000" w:themeColor="text1"/>
        </w:rPr>
        <w:t xml:space="preserve"> Renforcer le dialogue constructif avec la société civile</w:t>
      </w:r>
    </w:p>
    <w:p w14:paraId="58419F10" w14:textId="5EADBBCC" w:rsidR="00635408" w:rsidRPr="0075035A" w:rsidRDefault="00555589" w:rsidP="00D04A9A">
      <w:pPr>
        <w:spacing w:before="240" w:line="240" w:lineRule="auto"/>
        <w:jc w:val="both"/>
        <w:rPr>
          <w:rFonts w:cs="Times New Roman"/>
          <w:noProof/>
          <w:color w:val="000000" w:themeColor="text1"/>
          <w:szCs w:val="24"/>
        </w:rPr>
      </w:pPr>
      <w:r>
        <w:rPr>
          <w:noProof/>
          <w:color w:val="000000" w:themeColor="text1"/>
        </w:rPr>
        <w:t xml:space="preserve">Pour prendre des mesures efficaces, il faut consulter les personnes directement concernées par les problèmes liés à la drogue, en tirant parti de leur expérience pour élaborer des solutions sensées et pratiques. La société civile joue un rôle essentiel dans l’élaboration des politiques en matière de drogue aux niveaux national, de l’UE et international. Au niveau de l’UE, le Forum de la société civile sur la drogue demeurera partie intégrante de la mise en œuvre de la stratégie. En outre, l’EUDA intensifiera sa collaboration régulière avec la société civile dans le cadre de son nouveau mandat. </w:t>
      </w:r>
    </w:p>
    <w:p w14:paraId="0809E999" w14:textId="5253E40E" w:rsidR="008E54E4" w:rsidRPr="0075035A" w:rsidRDefault="00635408" w:rsidP="009678FC">
      <w:pPr>
        <w:spacing w:before="240" w:after="240" w:line="240" w:lineRule="auto"/>
        <w:jc w:val="both"/>
        <w:rPr>
          <w:rFonts w:cs="Times New Roman"/>
          <w:noProof/>
          <w:color w:val="000000" w:themeColor="text1"/>
          <w:szCs w:val="24"/>
        </w:rPr>
      </w:pPr>
      <w:r>
        <w:rPr>
          <w:noProof/>
          <w:color w:val="000000" w:themeColor="text1"/>
        </w:rPr>
        <w:t>Au niveau national, la société civile a une connaissance directe des tendances émergentes et des interventions efficaces, qui devrait être mise à profit pour définir et mettre en œuvre les politiques et les mesures. Il est essentiel d’allouer de manière appropriée les ressources en faveur de tous les services liés à la drogue et de favoriser la participation de la société civile à tous les niveaux, pour soutenir l’élaboration de politiques globales et inclusives.</w:t>
      </w:r>
    </w:p>
    <w:p w14:paraId="1C450B8A" w14:textId="7178472E" w:rsidR="00290788" w:rsidRPr="0075035A" w:rsidRDefault="0003626B" w:rsidP="00290788">
      <w:pPr>
        <w:pStyle w:val="ListParagraph"/>
        <w:numPr>
          <w:ilvl w:val="1"/>
          <w:numId w:val="100"/>
        </w:numPr>
        <w:spacing w:before="240" w:line="240" w:lineRule="auto"/>
        <w:jc w:val="both"/>
        <w:rPr>
          <w:rFonts w:cs="Times New Roman"/>
          <w:b/>
          <w:bCs/>
          <w:i/>
          <w:iCs/>
          <w:noProof/>
          <w:color w:val="000000" w:themeColor="text1"/>
          <w:szCs w:val="24"/>
        </w:rPr>
      </w:pPr>
      <w:r>
        <w:rPr>
          <w:b/>
          <w:i/>
          <w:noProof/>
          <w:color w:val="000000" w:themeColor="text1"/>
        </w:rPr>
        <w:t xml:space="preserve"> Intensifier les partenariats public-privé concernant la politique en matière de drogue</w:t>
      </w:r>
    </w:p>
    <w:p w14:paraId="11AF8A02" w14:textId="7760E1AC" w:rsidR="007F05BF" w:rsidRPr="0075035A" w:rsidRDefault="00555589" w:rsidP="00A2296C">
      <w:pPr>
        <w:spacing w:line="240" w:lineRule="auto"/>
        <w:jc w:val="both"/>
        <w:rPr>
          <w:rFonts w:eastAsia="Times New Roman" w:cs="Times New Roman"/>
          <w:noProof/>
          <w:szCs w:val="24"/>
        </w:rPr>
      </w:pPr>
      <w:r>
        <w:rPr>
          <w:noProof/>
        </w:rPr>
        <w:t>Les drogues illicites ont une incidence sur tous les aspects de la société, y compris les lieux de travail, et la criminalité organisée infiltre souvent l’économie légale pour soutenir le trafic de drogue. Les États membres sont encouragés à coopérer avec le secteur privé pour réduire l’offre et la demande de drogue et agir sur les dommages liés à la drogue.</w:t>
      </w:r>
      <w:r>
        <w:rPr>
          <w:b/>
          <w:noProof/>
        </w:rPr>
        <w:t xml:space="preserve"> </w:t>
      </w:r>
      <w:r>
        <w:rPr>
          <w:noProof/>
        </w:rPr>
        <w:t>Forte du succès de l’</w:t>
      </w:r>
      <w:r>
        <w:rPr>
          <w:i/>
          <w:noProof/>
        </w:rPr>
        <w:t>alliance des ports européens</w:t>
      </w:r>
      <w:r>
        <w:rPr>
          <w:noProof/>
        </w:rPr>
        <w:t xml:space="preserve">, la Commission nouera des </w:t>
      </w:r>
      <w:r>
        <w:rPr>
          <w:b/>
          <w:noProof/>
        </w:rPr>
        <w:t>liens plus étroits avec les opérateurs privés</w:t>
      </w:r>
      <w:r>
        <w:rPr>
          <w:noProof/>
        </w:rPr>
        <w:t>.</w:t>
      </w:r>
    </w:p>
    <w:p w14:paraId="1AA49955" w14:textId="464E03DF" w:rsidR="00034A29" w:rsidRPr="0075035A" w:rsidRDefault="007F05BF" w:rsidP="00A2296C">
      <w:pPr>
        <w:spacing w:line="240" w:lineRule="auto"/>
        <w:jc w:val="both"/>
        <w:rPr>
          <w:rFonts w:cs="Times New Roman"/>
          <w:b/>
          <w:bCs/>
          <w:noProof/>
          <w:color w:val="000000" w:themeColor="text1"/>
          <w:szCs w:val="24"/>
        </w:rPr>
      </w:pPr>
      <w:r>
        <w:rPr>
          <w:noProof/>
          <w:color w:val="000000" w:themeColor="text1"/>
        </w:rPr>
        <w:t>La création de partenariats public-privé, en particulier avec des secteurs tels que celui des services postaux, est essentielle pour lutter contre le trafic de drogue, l’infiltration criminelle et le détournement de précurseurs. Il convient également de renforcer ce type de partenariats dans les domaines de la santé et de la réinsertion sociale, en encourageant la collaboration avec des acteurs privés capables d’apporter des solutions de santé novatrices. Cette approche globale vise à rassembler les efforts déployés dans les différents secteurs afin de résoudre efficacement les problèmes liés à la drogue.</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E814AB" w:rsidRPr="0075035A" w14:paraId="691A86B7" w14:textId="77777777" w:rsidTr="009F20D1">
        <w:trPr>
          <w:trHeight w:val="1417"/>
        </w:trPr>
        <w:tc>
          <w:tcPr>
            <w:tcW w:w="9576" w:type="dxa"/>
          </w:tcPr>
          <w:p w14:paraId="7359B7FD" w14:textId="5ABE7599" w:rsidR="00E814AB" w:rsidRDefault="00E814AB" w:rsidP="00E814AB">
            <w:pPr>
              <w:jc w:val="both"/>
              <w:rPr>
                <w:rFonts w:cs="Times New Roman"/>
                <w:b/>
                <w:noProof/>
                <w:color w:val="000000" w:themeColor="text1"/>
                <w:szCs w:val="24"/>
              </w:rPr>
            </w:pPr>
            <w:r>
              <w:rPr>
                <w:b/>
                <w:noProof/>
                <w:color w:val="000000" w:themeColor="text1"/>
              </w:rPr>
              <w:t>Priorités essentielles</w:t>
            </w:r>
          </w:p>
          <w:p w14:paraId="713FFE7C" w14:textId="77777777" w:rsidR="00404769" w:rsidRPr="0075035A" w:rsidRDefault="00404769" w:rsidP="00E814AB">
            <w:pPr>
              <w:jc w:val="both"/>
              <w:rPr>
                <w:rFonts w:cs="Times New Roman"/>
                <w:b/>
                <w:bCs/>
                <w:noProof/>
                <w:color w:val="000000" w:themeColor="text1"/>
                <w:szCs w:val="24"/>
              </w:rPr>
            </w:pPr>
          </w:p>
          <w:p w14:paraId="42C3DEF3" w14:textId="778B1449" w:rsidR="00E814AB" w:rsidRPr="0075035A" w:rsidRDefault="00E814AB" w:rsidP="00E814AB">
            <w:pPr>
              <w:jc w:val="both"/>
              <w:rPr>
                <w:rFonts w:cs="Times New Roman"/>
                <w:b/>
                <w:bCs/>
                <w:noProof/>
                <w:color w:val="000000" w:themeColor="text1"/>
                <w:szCs w:val="24"/>
              </w:rPr>
            </w:pPr>
            <w:r>
              <w:rPr>
                <w:b/>
                <w:noProof/>
                <w:color w:val="000000" w:themeColor="text1"/>
              </w:rPr>
              <w:t>La Commission, en coopération avec le Conseil de l’UE et les États membres:</w:t>
            </w:r>
          </w:p>
          <w:p w14:paraId="6F4CF474" w14:textId="3F12D1CF" w:rsidR="00E814AB" w:rsidRPr="0075035A" w:rsidRDefault="00F83F8C" w:rsidP="003A5A8B">
            <w:pPr>
              <w:pStyle w:val="ContNum"/>
              <w:numPr>
                <w:ilvl w:val="0"/>
                <w:numId w:val="102"/>
              </w:numPr>
              <w:spacing w:after="120"/>
              <w:rPr>
                <w:b/>
                <w:noProof/>
                <w:color w:val="000000" w:themeColor="text1"/>
                <w:szCs w:val="24"/>
              </w:rPr>
            </w:pPr>
            <w:r>
              <w:rPr>
                <w:b/>
                <w:noProof/>
                <w:color w:val="000000" w:themeColor="text1"/>
              </w:rPr>
              <w:t>renforcera les dialogues internationaux sur la drogue avec les pays et régions tiers, notamment les efforts visant à consolider et à étendre les alliances internationales contre les drogues de synthèse;</w:t>
            </w:r>
          </w:p>
          <w:p w14:paraId="764B0C2F" w14:textId="4A48EBDE" w:rsidR="00E814AB" w:rsidRPr="0075035A" w:rsidRDefault="00E814AB" w:rsidP="003A5A8B">
            <w:pPr>
              <w:pStyle w:val="ContNum"/>
              <w:numPr>
                <w:ilvl w:val="0"/>
                <w:numId w:val="102"/>
              </w:numPr>
              <w:spacing w:after="120"/>
              <w:rPr>
                <w:b/>
                <w:noProof/>
                <w:color w:val="000000" w:themeColor="text1"/>
                <w:szCs w:val="24"/>
              </w:rPr>
            </w:pPr>
            <w:r>
              <w:rPr>
                <w:b/>
                <w:noProof/>
                <w:color w:val="000000" w:themeColor="text1"/>
              </w:rPr>
              <w:t>conservera un rôle de premier plan dans la participation de l’UE aux processus des Nations unies relatifs aux politiques en matière de drogue et promouvra une approche de la politique antidrogue fondée sur les droits de l’homme et équilibrée.</w:t>
            </w:r>
          </w:p>
          <w:p w14:paraId="381F65A1" w14:textId="4F26A810" w:rsidR="00E814AB" w:rsidRPr="0075035A" w:rsidRDefault="00E814AB" w:rsidP="00E814AB">
            <w:pPr>
              <w:jc w:val="both"/>
              <w:rPr>
                <w:rFonts w:cs="Times New Roman"/>
                <w:b/>
                <w:bCs/>
                <w:noProof/>
                <w:color w:val="000000" w:themeColor="text1"/>
                <w:szCs w:val="24"/>
              </w:rPr>
            </w:pPr>
            <w:r>
              <w:rPr>
                <w:b/>
                <w:noProof/>
                <w:color w:val="000000" w:themeColor="text1"/>
              </w:rPr>
              <w:t>La Commission, avec le soutien des agences de l’UE:</w:t>
            </w:r>
          </w:p>
          <w:p w14:paraId="278AA363" w14:textId="002DAF60" w:rsidR="00E814AB" w:rsidRPr="0075035A" w:rsidRDefault="00E814AB" w:rsidP="003A5A8B">
            <w:pPr>
              <w:pStyle w:val="ContNum"/>
              <w:numPr>
                <w:ilvl w:val="0"/>
                <w:numId w:val="102"/>
              </w:numPr>
              <w:spacing w:after="120"/>
              <w:rPr>
                <w:b/>
                <w:noProof/>
                <w:color w:val="000000" w:themeColor="text1"/>
                <w:szCs w:val="24"/>
              </w:rPr>
            </w:pPr>
            <w:r>
              <w:rPr>
                <w:b/>
                <w:noProof/>
                <w:color w:val="000000" w:themeColor="text1"/>
              </w:rPr>
              <w:t>renforcera la coopération opérationnelle pour lutter contre le trafic de drogue avec les pays candidats et les pays et régions tiers clés;</w:t>
            </w:r>
          </w:p>
          <w:p w14:paraId="35B74D9F" w14:textId="6FBA72CA" w:rsidR="003C690B" w:rsidRPr="0075035A" w:rsidRDefault="003C690B" w:rsidP="003A5A8B">
            <w:pPr>
              <w:pStyle w:val="ContNum"/>
              <w:numPr>
                <w:ilvl w:val="0"/>
                <w:numId w:val="102"/>
              </w:numPr>
              <w:spacing w:after="120"/>
              <w:rPr>
                <w:b/>
                <w:noProof/>
                <w:color w:val="000000" w:themeColor="text1"/>
                <w:szCs w:val="24"/>
              </w:rPr>
            </w:pPr>
            <w:r>
              <w:rPr>
                <w:b/>
                <w:noProof/>
                <w:color w:val="000000" w:themeColor="text1"/>
              </w:rPr>
              <w:t>unira ses efforts à ceux des États membres pour faire avancer la Coalition européenne contre les drogues.</w:t>
            </w:r>
          </w:p>
          <w:p w14:paraId="0CAAD4E6" w14:textId="5ED2AC83" w:rsidR="00E814AB" w:rsidRPr="0075035A" w:rsidRDefault="00E814AB" w:rsidP="00E814AB">
            <w:pPr>
              <w:jc w:val="both"/>
              <w:rPr>
                <w:rFonts w:cs="Times New Roman"/>
                <w:b/>
                <w:bCs/>
                <w:noProof/>
                <w:color w:val="000000" w:themeColor="text1"/>
                <w:szCs w:val="24"/>
              </w:rPr>
            </w:pPr>
            <w:r>
              <w:rPr>
                <w:b/>
                <w:noProof/>
                <w:color w:val="000000" w:themeColor="text1"/>
              </w:rPr>
              <w:t>La Commission et les États membres devraient:</w:t>
            </w:r>
          </w:p>
          <w:p w14:paraId="10B63D6B" w14:textId="7B3599FF" w:rsidR="00E814AB" w:rsidRPr="0075035A" w:rsidRDefault="00E814AB" w:rsidP="003A5A8B">
            <w:pPr>
              <w:pStyle w:val="ContNum"/>
              <w:numPr>
                <w:ilvl w:val="0"/>
                <w:numId w:val="102"/>
              </w:numPr>
              <w:spacing w:after="120"/>
              <w:rPr>
                <w:b/>
                <w:noProof/>
                <w:color w:val="000000" w:themeColor="text1"/>
                <w:szCs w:val="24"/>
              </w:rPr>
            </w:pPr>
            <w:r>
              <w:rPr>
                <w:b/>
                <w:noProof/>
                <w:color w:val="000000" w:themeColor="text1"/>
              </w:rPr>
              <w:t>intensifier le dialogue avec le Forum de la société civile sur la drogue;</w:t>
            </w:r>
          </w:p>
          <w:p w14:paraId="2714EED1" w14:textId="13F49B55" w:rsidR="00E814AB" w:rsidRPr="0075035A" w:rsidRDefault="00E814AB" w:rsidP="003A5A8B">
            <w:pPr>
              <w:pStyle w:val="ContNum"/>
              <w:numPr>
                <w:ilvl w:val="0"/>
                <w:numId w:val="102"/>
              </w:numPr>
              <w:spacing w:after="120"/>
              <w:rPr>
                <w:b/>
                <w:bCs/>
                <w:noProof/>
                <w:color w:val="000000" w:themeColor="text1"/>
                <w:szCs w:val="24"/>
              </w:rPr>
            </w:pPr>
            <w:r>
              <w:rPr>
                <w:b/>
                <w:noProof/>
                <w:color w:val="000000" w:themeColor="text1"/>
              </w:rPr>
              <w:t xml:space="preserve">promouvoir les partenariats public-privé concernant la politique en matière de drogue. </w:t>
            </w:r>
          </w:p>
        </w:tc>
      </w:tr>
    </w:tbl>
    <w:p w14:paraId="05EAEE5B" w14:textId="6E2D00DC" w:rsidR="003B07B2" w:rsidRPr="0075035A" w:rsidRDefault="003B07B2" w:rsidP="009678FC">
      <w:pPr>
        <w:pStyle w:val="Heading1"/>
        <w:ind w:left="0" w:firstLine="0"/>
        <w:jc w:val="both"/>
        <w:rPr>
          <w:rFonts w:eastAsiaTheme="minorEastAsia"/>
          <w:smallCaps w:val="0"/>
          <w:noProof/>
        </w:rPr>
      </w:pPr>
      <w:bookmarkStart w:id="85" w:name="_Toc212204041"/>
      <w:bookmarkStart w:id="86" w:name="_Toc42355788"/>
      <w:bookmarkStart w:id="87" w:name="_Toc778282377"/>
      <w:r>
        <w:rPr>
          <w:smallCaps w:val="0"/>
          <w:noProof/>
        </w:rPr>
        <w:t>Conclusion</w:t>
      </w:r>
      <w:bookmarkEnd w:id="85"/>
      <w:bookmarkEnd w:id="86"/>
      <w:bookmarkEnd w:id="87"/>
    </w:p>
    <w:p w14:paraId="4CDCD128" w14:textId="31A161F0" w:rsidR="00560154" w:rsidRPr="0075035A" w:rsidRDefault="00285F8C" w:rsidP="009678FC">
      <w:pPr>
        <w:spacing w:line="240" w:lineRule="auto"/>
        <w:jc w:val="both"/>
        <w:rPr>
          <w:rFonts w:cs="Times New Roman"/>
          <w:noProof/>
          <w:color w:val="000000" w:themeColor="text1"/>
          <w:szCs w:val="24"/>
        </w:rPr>
      </w:pPr>
      <w:r>
        <w:rPr>
          <w:noProof/>
          <w:color w:val="000000" w:themeColor="text1"/>
        </w:rPr>
        <w:t>Le paysage de la drogue actuel étant imprévisible, l’UE doit anticiper les menaces de manière proactive, prévenir les dommages et agir avec détermination pour préserver la santé et la sécurité.</w:t>
      </w:r>
    </w:p>
    <w:p w14:paraId="7BE20C6F" w14:textId="7CFE9D17" w:rsidR="00D33D8D" w:rsidRPr="0075035A" w:rsidRDefault="009D3BF8" w:rsidP="009678FC">
      <w:pPr>
        <w:spacing w:line="240" w:lineRule="auto"/>
        <w:jc w:val="both"/>
        <w:rPr>
          <w:rFonts w:cs="Times New Roman"/>
          <w:noProof/>
          <w:color w:val="000000" w:themeColor="text1"/>
        </w:rPr>
      </w:pPr>
      <w:r>
        <w:rPr>
          <w:noProof/>
          <w:color w:val="000000" w:themeColor="text1"/>
        </w:rPr>
        <w:t>La criminalité organisée et le trafic de drogue compromettent la sécurité mondiale, alimentant la violence, la corruption et l’instabilité au sein des diverses communautés, tandis que les nouvelles drogues de synthèse à forte teneur en principe actif créent des problèmes sanitaires majeurs. Dans ce contexte, il est essentiel de prendre des mesures solides et intégrées, avec pour priorités la préparation et la prévention.</w:t>
      </w:r>
    </w:p>
    <w:p w14:paraId="097267D8" w14:textId="6300D687" w:rsidR="00D33D8D" w:rsidRPr="0075035A" w:rsidRDefault="0084289F" w:rsidP="009678FC">
      <w:pPr>
        <w:jc w:val="both"/>
        <w:rPr>
          <w:rFonts w:cs="Times New Roman"/>
          <w:noProof/>
          <w:color w:val="000000" w:themeColor="text1"/>
          <w:szCs w:val="24"/>
        </w:rPr>
      </w:pPr>
      <w:r>
        <w:rPr>
          <w:noProof/>
          <w:color w:val="000000" w:themeColor="text1"/>
        </w:rPr>
        <w:t>Il est fondamental de renforcer les structures de santé publique axées sur la prévention, le traitement, la réinsertion sociale et la réduction des dommages dans le cadre d’un continuum de soins. Il est tout aussi important de renforcer l’action des services répressifs, tout en encourageant les partenariats donnant la priorité au bien-être humain. Il est crucial d’apporter des solutions durables, pour protéger notre tissu social et permettre la définition de normes mondiales pour nos partenaires.</w:t>
      </w:r>
    </w:p>
    <w:p w14:paraId="1BABF9F8" w14:textId="1DF67207" w:rsidR="003B07B2" w:rsidRPr="0075035A" w:rsidRDefault="00F255F9" w:rsidP="009678FC">
      <w:pPr>
        <w:jc w:val="both"/>
        <w:rPr>
          <w:rFonts w:cs="Times New Roman"/>
          <w:noProof/>
          <w:color w:val="000000" w:themeColor="text1"/>
          <w:szCs w:val="24"/>
        </w:rPr>
      </w:pPr>
      <w:r>
        <w:rPr>
          <w:noProof/>
        </w:rPr>
        <w:t xml:space="preserve">La stratégie de la Commission fournit un cadre global pour remédier de manière cohérente aux problèmes liés aux drogues illicites, en guidant les parties prenantes afin de protéger les citoyens et les diverses communautés contre la criminalité organisée liée à la drogue et contre ses dommages. </w:t>
      </w:r>
      <w:r>
        <w:rPr>
          <w:noProof/>
          <w:color w:val="000000" w:themeColor="text1"/>
        </w:rPr>
        <w:t>L’approche intégrée et englobant l’ensemble de la société qui est prévue par la présente stratégie établit un lien entre les politiques de santé et de sécurité, accroissant ainsi les effets bénéfiques pour la santé et améliorant les mesures de sécurité. La Commission attend avec intérêt d’examiner ces questions essentielles avec le Parlement européen et le Conseil.</w:t>
      </w:r>
    </w:p>
    <w:p w14:paraId="3BB15B57" w14:textId="559BB3C5" w:rsidR="009D3BF8" w:rsidRPr="0075035A" w:rsidRDefault="00F255F9" w:rsidP="009678FC">
      <w:pPr>
        <w:jc w:val="both"/>
        <w:rPr>
          <w:rFonts w:cs="Times New Roman"/>
          <w:noProof/>
          <w:color w:val="000000" w:themeColor="text1"/>
        </w:rPr>
      </w:pPr>
      <w:r>
        <w:rPr>
          <w:noProof/>
          <w:color w:val="000000" w:themeColor="text1"/>
        </w:rPr>
        <w:t>Harmoniser les efforts en matière de sécurité et de santé est essentiel pour apporter une réponse globale et garantir à tous un avenir plus sûr et plus sain.</w:t>
      </w:r>
    </w:p>
    <w:sectPr w:rsidR="009D3BF8" w:rsidRPr="0075035A" w:rsidSect="002F2AEF">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2A514" w14:textId="77777777" w:rsidR="00AA1404" w:rsidRPr="008D776A" w:rsidRDefault="00AA1404" w:rsidP="002F2AEF">
      <w:pPr>
        <w:spacing w:after="0" w:line="240" w:lineRule="auto"/>
      </w:pPr>
      <w:r>
        <w:separator/>
      </w:r>
    </w:p>
  </w:endnote>
  <w:endnote w:type="continuationSeparator" w:id="0">
    <w:p w14:paraId="5E2080C6" w14:textId="77777777" w:rsidR="00AA1404" w:rsidRPr="008D776A" w:rsidRDefault="00AA1404" w:rsidP="002F2AEF">
      <w:pPr>
        <w:spacing w:after="0" w:line="240" w:lineRule="auto"/>
      </w:pPr>
      <w:r>
        <w:continuationSeparator/>
      </w:r>
    </w:p>
  </w:endnote>
  <w:endnote w:type="continuationNotice" w:id="1">
    <w:p w14:paraId="2FBB241A" w14:textId="77777777" w:rsidR="00AA1404" w:rsidRPr="008D776A" w:rsidRDefault="00AA14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FB470" w14:textId="3792E533" w:rsidR="00696088" w:rsidRPr="00696088" w:rsidRDefault="00696088" w:rsidP="00696088">
    <w:pPr>
      <w:pStyle w:val="FooterCoverPage"/>
      <w:rPr>
        <w:rFonts w:ascii="Arial" w:hAnsi="Arial" w:cs="Arial"/>
        <w:b/>
        <w:sz w:val="48"/>
      </w:rPr>
    </w:pPr>
    <w:r w:rsidRPr="00696088">
      <w:rPr>
        <w:rFonts w:ascii="Arial" w:hAnsi="Arial" w:cs="Arial"/>
        <w:b/>
        <w:sz w:val="48"/>
      </w:rPr>
      <w:t>FR</w:t>
    </w:r>
    <w:r w:rsidRPr="00696088">
      <w:rPr>
        <w:rFonts w:ascii="Arial" w:hAnsi="Arial" w:cs="Arial"/>
        <w:b/>
        <w:sz w:val="48"/>
      </w:rPr>
      <w:tab/>
    </w:r>
    <w:r w:rsidRPr="00696088">
      <w:rPr>
        <w:rFonts w:ascii="Arial" w:hAnsi="Arial" w:cs="Arial"/>
        <w:b/>
        <w:sz w:val="48"/>
      </w:rPr>
      <w:tab/>
    </w:r>
    <w:r w:rsidRPr="00696088">
      <w:tab/>
    </w:r>
    <w:r w:rsidRPr="0069608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1FB6E" w14:textId="42251A42" w:rsidR="00696088" w:rsidRPr="00696088" w:rsidRDefault="00696088" w:rsidP="00696088">
    <w:pPr>
      <w:pStyle w:val="FooterCoverPage"/>
      <w:rPr>
        <w:rFonts w:ascii="Arial" w:hAnsi="Arial" w:cs="Arial"/>
        <w:b/>
        <w:sz w:val="48"/>
      </w:rPr>
    </w:pPr>
    <w:r w:rsidRPr="00696088">
      <w:rPr>
        <w:rFonts w:ascii="Arial" w:hAnsi="Arial" w:cs="Arial"/>
        <w:b/>
        <w:sz w:val="48"/>
      </w:rPr>
      <w:t>FR</w:t>
    </w:r>
    <w:r w:rsidRPr="00696088">
      <w:rPr>
        <w:rFonts w:ascii="Arial" w:hAnsi="Arial" w:cs="Arial"/>
        <w:b/>
        <w:sz w:val="48"/>
      </w:rPr>
      <w:tab/>
    </w:r>
    <w:r w:rsidRPr="00696088">
      <w:rPr>
        <w:rFonts w:ascii="Arial" w:hAnsi="Arial" w:cs="Arial"/>
        <w:b/>
        <w:sz w:val="48"/>
      </w:rPr>
      <w:tab/>
    </w:r>
    <w:r w:rsidRPr="00696088">
      <w:tab/>
    </w:r>
    <w:r w:rsidRPr="0069608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104A9" w14:textId="77777777" w:rsidR="00696088" w:rsidRPr="00696088" w:rsidRDefault="00696088" w:rsidP="0069608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EA54E" w14:textId="77777777" w:rsidR="00D24BB1" w:rsidRPr="008D776A" w:rsidRDefault="00D24B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2019146"/>
      <w:docPartObj>
        <w:docPartGallery w:val="Page Numbers (Bottom of Page)"/>
        <w:docPartUnique/>
      </w:docPartObj>
    </w:sdtPr>
    <w:sdtEndPr/>
    <w:sdtContent>
      <w:p w14:paraId="0D2E59F0" w14:textId="7F679850" w:rsidR="001F25BC" w:rsidRPr="008D776A" w:rsidRDefault="001F25BC">
        <w:pPr>
          <w:pStyle w:val="Footer"/>
          <w:jc w:val="center"/>
        </w:pPr>
        <w:r>
          <w:fldChar w:fldCharType="begin"/>
        </w:r>
        <w:r>
          <w:instrText xml:space="preserve"> PAGE   \* MERGEFORMAT </w:instrText>
        </w:r>
        <w:r>
          <w:fldChar w:fldCharType="separate"/>
        </w:r>
        <w:r w:rsidR="00696088">
          <w:rPr>
            <w:noProof/>
          </w:rPr>
          <w:t>2</w:t>
        </w:r>
        <w:r>
          <w:fldChar w:fldCharType="end"/>
        </w:r>
      </w:p>
    </w:sdtContent>
  </w:sdt>
  <w:p w14:paraId="1D5E94CB" w14:textId="77777777" w:rsidR="00D24BB1" w:rsidRPr="008D776A" w:rsidRDefault="00D24B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F8193" w14:textId="77777777" w:rsidR="00D24BB1" w:rsidRPr="008D776A" w:rsidRDefault="00D24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BFC23" w14:textId="77777777" w:rsidR="00AA1404" w:rsidRPr="008D776A" w:rsidRDefault="00AA1404" w:rsidP="002F2AEF">
      <w:pPr>
        <w:spacing w:after="0" w:line="240" w:lineRule="auto"/>
      </w:pPr>
      <w:r>
        <w:separator/>
      </w:r>
    </w:p>
  </w:footnote>
  <w:footnote w:type="continuationSeparator" w:id="0">
    <w:p w14:paraId="517EDBD1" w14:textId="77777777" w:rsidR="00AA1404" w:rsidRPr="008D776A" w:rsidRDefault="00AA1404" w:rsidP="002F2AEF">
      <w:pPr>
        <w:spacing w:after="0" w:line="240" w:lineRule="auto"/>
      </w:pPr>
      <w:r>
        <w:continuationSeparator/>
      </w:r>
    </w:p>
  </w:footnote>
  <w:footnote w:type="continuationNotice" w:id="1">
    <w:p w14:paraId="1214808D" w14:textId="77777777" w:rsidR="00AA1404" w:rsidRPr="008D776A" w:rsidRDefault="00AA1404">
      <w:pPr>
        <w:spacing w:after="0" w:line="240" w:lineRule="auto"/>
      </w:pPr>
    </w:p>
  </w:footnote>
  <w:footnote w:id="2">
    <w:p w14:paraId="53921D6D" w14:textId="77777777" w:rsidR="004C69F1" w:rsidRPr="008D776A" w:rsidRDefault="004C69F1" w:rsidP="00471E68">
      <w:pPr>
        <w:pStyle w:val="FootnoteText"/>
        <w:jc w:val="both"/>
      </w:pPr>
      <w:r>
        <w:rPr>
          <w:rStyle w:val="FootnoteReference0"/>
          <w:lang w:val="en-GB"/>
        </w:rPr>
        <w:footnoteRef/>
      </w:r>
      <w:r>
        <w:t xml:space="preserve"> Agence de l’Union européenne sur les drogues (EUDA) (2025), </w:t>
      </w:r>
      <w:r>
        <w:rPr>
          <w:i/>
        </w:rPr>
        <w:t>Rapport européen sur les drogues 2025: tendances et évolutions</w:t>
      </w:r>
      <w:r>
        <w:t>.</w:t>
      </w:r>
    </w:p>
  </w:footnote>
  <w:footnote w:id="3">
    <w:p w14:paraId="50869EB9" w14:textId="18FC81EB" w:rsidR="004C69F1" w:rsidRPr="00B712CC" w:rsidRDefault="004C69F1" w:rsidP="00471E68">
      <w:pPr>
        <w:pStyle w:val="FootnoteText"/>
        <w:jc w:val="both"/>
      </w:pPr>
      <w:r>
        <w:rPr>
          <w:rStyle w:val="FootnoteReference0"/>
          <w:lang w:val="en-GB"/>
        </w:rPr>
        <w:footnoteRef/>
      </w:r>
      <w:r>
        <w:t xml:space="preserve"> Commission européenne (2024), </w:t>
      </w:r>
      <w:r>
        <w:rPr>
          <w:i/>
        </w:rPr>
        <w:t>Enquête Eurobaromètre sur l’impact de la drogue sur les populations locales.</w:t>
      </w:r>
      <w:r>
        <w:t>.</w:t>
      </w:r>
    </w:p>
  </w:footnote>
  <w:footnote w:id="4">
    <w:p w14:paraId="74EE623A" w14:textId="3AD1BEF9" w:rsidR="001A2497" w:rsidRPr="008D776A" w:rsidRDefault="001A2497" w:rsidP="00471E68">
      <w:pPr>
        <w:pStyle w:val="FootnoteText"/>
        <w:jc w:val="both"/>
      </w:pPr>
      <w:r>
        <w:rPr>
          <w:rStyle w:val="FootnoteReference0"/>
          <w:lang w:val="en-GB"/>
        </w:rPr>
        <w:footnoteRef/>
      </w:r>
      <w:r>
        <w:t xml:space="preserve"> Europol (2024),</w:t>
      </w:r>
      <w:r>
        <w:rPr>
          <w:i/>
        </w:rPr>
        <w:t xml:space="preserve"> Decoding the EU’s most threatening criminal networks(Décoder les réseaux criminels les plus menaçants de l’UE)</w:t>
      </w:r>
      <w:r>
        <w:t>.</w:t>
      </w:r>
    </w:p>
  </w:footnote>
  <w:footnote w:id="5">
    <w:p w14:paraId="38A64DBE" w14:textId="08FBDCA5" w:rsidR="003E05DA" w:rsidRPr="008D776A" w:rsidRDefault="003E05DA" w:rsidP="00471E68">
      <w:pPr>
        <w:pStyle w:val="FootnoteText"/>
        <w:jc w:val="both"/>
      </w:pPr>
      <w:r>
        <w:rPr>
          <w:rStyle w:val="FootnoteReference0"/>
          <w:lang w:val="en-GB"/>
        </w:rPr>
        <w:footnoteRef/>
      </w:r>
      <w:r>
        <w:t xml:space="preserve"> ONUDC, </w:t>
      </w:r>
      <w:r>
        <w:rPr>
          <w:i/>
        </w:rPr>
        <w:t>rapport mondial sur les drogues</w:t>
      </w:r>
      <w:r>
        <w:t xml:space="preserve"> (2025).</w:t>
      </w:r>
    </w:p>
  </w:footnote>
  <w:footnote w:id="6">
    <w:p w14:paraId="009DBA5A" w14:textId="77777777" w:rsidR="0003626B" w:rsidRDefault="0003626B" w:rsidP="0003626B">
      <w:pPr>
        <w:pStyle w:val="FootnoteText"/>
        <w:jc w:val="both"/>
      </w:pPr>
      <w:r>
        <w:rPr>
          <w:rStyle w:val="FootnoteReference0"/>
          <w:lang w:val="en-GB"/>
        </w:rPr>
        <w:footnoteRef/>
      </w:r>
      <w:r>
        <w:t xml:space="preserve"> EUDA (2025), </w:t>
      </w:r>
      <w:r>
        <w:rPr>
          <w:i/>
        </w:rPr>
        <w:t>Rapport européen sur les drogues 2025: tendances et évolutions</w:t>
      </w:r>
      <w:r>
        <w:t xml:space="preserve">. </w:t>
      </w:r>
    </w:p>
  </w:footnote>
  <w:footnote w:id="7">
    <w:p w14:paraId="0D27878D" w14:textId="119DE0C7" w:rsidR="00DF6732" w:rsidRPr="00DF6732" w:rsidRDefault="00DF6732" w:rsidP="00541FED">
      <w:pPr>
        <w:pStyle w:val="FootnoteText"/>
        <w:jc w:val="both"/>
      </w:pPr>
      <w:r>
        <w:rPr>
          <w:rStyle w:val="FootnoteReference0"/>
        </w:rPr>
        <w:footnoteRef/>
      </w:r>
      <w:r>
        <w:t xml:space="preserve"> Commission européenne (2024), </w:t>
      </w:r>
      <w:r>
        <w:rPr>
          <w:i/>
        </w:rPr>
        <w:t>Enquête Eurobaromètre sur l’impact de la drogue sur les populations locales.</w:t>
      </w:r>
      <w:r>
        <w:t>.</w:t>
      </w:r>
    </w:p>
  </w:footnote>
  <w:footnote w:id="8">
    <w:p w14:paraId="4AC6B570" w14:textId="4B0B0A8C" w:rsidR="00F566C9" w:rsidRDefault="00F566C9" w:rsidP="00471E68">
      <w:pPr>
        <w:pStyle w:val="FootnoteText"/>
        <w:jc w:val="both"/>
      </w:pPr>
      <w:r>
        <w:rPr>
          <w:rStyle w:val="FootnoteReference0"/>
        </w:rPr>
        <w:footnoteRef/>
      </w:r>
      <w:r>
        <w:t xml:space="preserve"> Notamment celles énoncées à l’article 2 du traité sur l’Union européenne.</w:t>
      </w:r>
    </w:p>
  </w:footnote>
  <w:footnote w:id="9">
    <w:p w14:paraId="3C5C0EA6" w14:textId="7A8A1C21" w:rsidR="004E57DC" w:rsidRPr="009678FC" w:rsidRDefault="004E57DC" w:rsidP="00471E68">
      <w:pPr>
        <w:pStyle w:val="FootnoteText"/>
        <w:jc w:val="both"/>
      </w:pPr>
      <w:r>
        <w:rPr>
          <w:rStyle w:val="FootnoteReference0"/>
        </w:rPr>
        <w:footnoteRef/>
      </w:r>
      <w:r>
        <w:t xml:space="preserve"> Charte des droits fondamentaux de l’Union européenne (JO C 326 du 26.10.2012, p. 391).</w:t>
      </w:r>
    </w:p>
  </w:footnote>
  <w:footnote w:id="10">
    <w:p w14:paraId="71D14C08" w14:textId="4C57CE6B" w:rsidR="003D5B29" w:rsidRPr="009678FC" w:rsidRDefault="003D5B29" w:rsidP="0003626B">
      <w:pPr>
        <w:spacing w:after="0" w:line="240" w:lineRule="auto"/>
        <w:jc w:val="both"/>
        <w:rPr>
          <w:rFonts w:eastAsia="Times New Roman" w:cs="Times New Roman"/>
        </w:rPr>
      </w:pPr>
      <w:r>
        <w:rPr>
          <w:rStyle w:val="FootnoteReference0"/>
          <w:sz w:val="20"/>
          <w:szCs w:val="20"/>
        </w:rPr>
        <w:footnoteRef/>
      </w:r>
      <w:r>
        <w:rPr>
          <w:sz w:val="20"/>
        </w:rPr>
        <w:t xml:space="preserve"> Document final de la session extraordinaire de l’Assemblée générale des Nations unies sur le problème mondial de la drogue tenue en 2016 intitulé «Notre engagement commun à aborder et combattre efficacement le problème mondial de la drogue».</w:t>
      </w:r>
    </w:p>
  </w:footnote>
  <w:footnote w:id="11">
    <w:p w14:paraId="533372EF" w14:textId="3F1A9669" w:rsidR="00976A85" w:rsidRPr="009678FC" w:rsidRDefault="00976A85" w:rsidP="0003626B">
      <w:pPr>
        <w:spacing w:after="0" w:line="240" w:lineRule="auto"/>
        <w:jc w:val="both"/>
        <w:rPr>
          <w:rFonts w:eastAsia="Times New Roman" w:cs="Times New Roman"/>
        </w:rPr>
      </w:pPr>
      <w:r>
        <w:rPr>
          <w:rStyle w:val="FootnoteReference0"/>
        </w:rPr>
        <w:footnoteRef/>
      </w:r>
      <w:r>
        <w:t xml:space="preserve"> </w:t>
      </w:r>
      <w:r>
        <w:rPr>
          <w:sz w:val="20"/>
        </w:rPr>
        <w:t>Déclaration ministérielle de 2019 intitulée «Renforcement des actions que nous menons aux niveaux national, régional et international, pour accélérer la mise en œuvre de nos engagements communs à aborder et combattre le problème mondial de la drogue».</w:t>
      </w:r>
    </w:p>
  </w:footnote>
  <w:footnote w:id="12">
    <w:p w14:paraId="5524CE7A" w14:textId="66497937" w:rsidR="008C1B3A" w:rsidRDefault="008C1B3A" w:rsidP="00541FED">
      <w:pPr>
        <w:pStyle w:val="FootnoteText"/>
        <w:jc w:val="both"/>
      </w:pPr>
      <w:r>
        <w:rPr>
          <w:rStyle w:val="FootnoteReference0"/>
        </w:rPr>
        <w:footnoteRef/>
      </w:r>
      <w:r>
        <w:t xml:space="preserve"> Déclaration de haut niveau issue de l’examen à mi-parcours auquel la Commission des stupéfiants a procédé en 2024 comme suite à la Déclaration ministérielle de 2019.</w:t>
      </w:r>
    </w:p>
  </w:footnote>
  <w:footnote w:id="13">
    <w:p w14:paraId="45B878F4" w14:textId="59D8533D" w:rsidR="002235C2" w:rsidRDefault="002235C2" w:rsidP="00541FED">
      <w:pPr>
        <w:pStyle w:val="FootnoteText"/>
        <w:jc w:val="both"/>
      </w:pPr>
      <w:r>
        <w:rPr>
          <w:rStyle w:val="FootnoteReference0"/>
        </w:rPr>
        <w:footnoteRef/>
      </w:r>
      <w:r>
        <w:t xml:space="preserve"> Assemblée générale des Nations unies, Transformer notre monde : le Programme de développement durable à l’horizon 2030, A/RES/70/1 (21 octobre 2015).</w:t>
      </w:r>
    </w:p>
  </w:footnote>
  <w:footnote w:id="14">
    <w:p w14:paraId="2A369131" w14:textId="414C4962" w:rsidR="00A2280E" w:rsidRDefault="00A2280E" w:rsidP="00541FED">
      <w:pPr>
        <w:pStyle w:val="FootnoteText"/>
        <w:jc w:val="both"/>
      </w:pPr>
      <w:r>
        <w:rPr>
          <w:rStyle w:val="FootnoteReference0"/>
        </w:rPr>
        <w:footnoteRef/>
      </w:r>
      <w:r>
        <w:t xml:space="preserve"> Document de travail des services de la Commission – Résumé de l’évaluation sur la stratégie de l’UE en matière de drogue 2021-2025 et le plan d’action de l’UE en matière de drogue 2021-2025 [SWD(2025) 188 final]; Document de travail des services de la Commission – Évaluation sur la stratégie de l’UE en matière de drogue 2021-2025 et le plan d’action de l’UE en matière de drogue 2021-2025 [SWD(2025) 187 final].</w:t>
      </w:r>
    </w:p>
  </w:footnote>
  <w:footnote w:id="15">
    <w:p w14:paraId="54B9B5A5" w14:textId="2D1498A9" w:rsidR="00EE1564" w:rsidRPr="00541FED" w:rsidRDefault="00EE1564" w:rsidP="00541FED">
      <w:pPr>
        <w:pStyle w:val="FootnoteText"/>
        <w:jc w:val="both"/>
      </w:pPr>
      <w:r>
        <w:rPr>
          <w:rStyle w:val="FootnoteReference0"/>
        </w:rPr>
        <w:footnoteRef/>
      </w:r>
      <w:r>
        <w:t xml:space="preserve"> https://ec.europa.eu/commission/presscorner/detail/fr/ip_23_1936.</w:t>
      </w:r>
    </w:p>
  </w:footnote>
  <w:footnote w:id="16">
    <w:p w14:paraId="0A1CA745" w14:textId="592D17C0" w:rsidR="00AA3859" w:rsidRPr="00B712CC" w:rsidRDefault="00AA3859" w:rsidP="00471E68">
      <w:pPr>
        <w:pStyle w:val="FootnoteText"/>
        <w:jc w:val="both"/>
      </w:pPr>
      <w:r>
        <w:rPr>
          <w:rStyle w:val="FootnoteReference0"/>
          <w:lang w:val="en-GB"/>
        </w:rPr>
        <w:footnoteRef/>
      </w:r>
      <w:r>
        <w:t xml:space="preserve"> Communication de la Commission au Parlement européen, au Conseil, au Comité économique et social européen et au Comité des régions intitulée «ProtectEU: une stratégie européenne de sécurité intérieure» [COM(2025) 148 final].</w:t>
      </w:r>
    </w:p>
  </w:footnote>
  <w:footnote w:id="17">
    <w:p w14:paraId="75CF4857" w14:textId="6F649397" w:rsidR="00AA3859" w:rsidRPr="008D776A" w:rsidRDefault="00AA3859" w:rsidP="00471E68">
      <w:pPr>
        <w:spacing w:after="0"/>
        <w:jc w:val="both"/>
        <w:rPr>
          <w:sz w:val="20"/>
          <w:szCs w:val="20"/>
        </w:rPr>
      </w:pPr>
      <w:r>
        <w:rPr>
          <w:rStyle w:val="FootnoteReference0"/>
          <w:sz w:val="20"/>
          <w:szCs w:val="20"/>
        </w:rPr>
        <w:footnoteRef/>
      </w:r>
      <w:r>
        <w:rPr>
          <w:sz w:val="20"/>
        </w:rPr>
        <w:t xml:space="preserve"> Communication conjointe au Parlement européen, au Conseil européen, au Conseil, au Comité économique et social européen et au Comité des régions sur la stratégie européenne pour une union de la préparation [JOIN(2025) 130 final].</w:t>
      </w:r>
    </w:p>
  </w:footnote>
  <w:footnote w:id="18">
    <w:p w14:paraId="1684F9A4" w14:textId="5298C75A" w:rsidR="00775C24" w:rsidRDefault="00775C24" w:rsidP="00471E68">
      <w:pPr>
        <w:pStyle w:val="FootnoteText"/>
        <w:jc w:val="both"/>
      </w:pPr>
      <w:r>
        <w:rPr>
          <w:rStyle w:val="FootnoteReference0"/>
        </w:rPr>
        <w:footnoteRef/>
      </w:r>
      <w:r>
        <w:t xml:space="preserve"> Communication de la Commission au Parlement européen, au Conseil européen, au Conseil, au Comité économique et social européen et au Comité des régions intitulée «L’union européenne de la santé: Agir ensemble pour la santé des citoyens» [COM(2024) 206 final].</w:t>
      </w:r>
    </w:p>
  </w:footnote>
  <w:footnote w:id="19">
    <w:p w14:paraId="14D8DA68" w14:textId="4119015C" w:rsidR="00775C24" w:rsidRDefault="00775C24" w:rsidP="00471E68">
      <w:pPr>
        <w:pStyle w:val="FootnoteText"/>
        <w:jc w:val="both"/>
      </w:pPr>
      <w:r>
        <w:rPr>
          <w:rStyle w:val="FootnoteReference0"/>
        </w:rPr>
        <w:footnoteRef/>
      </w:r>
      <w:r>
        <w:t xml:space="preserve"> Règlement (UE) 2022/2371 du Parlement européen et du Conseil du 23 novembre 2022 concernant les menaces transfrontières graves pour la santé et abrogeant la décision nº 1082/2013/UE (Texte présentant de l’intérêt pour l’EEE) (JO L 314 du 6.12.2022, p. 26). </w:t>
      </w:r>
    </w:p>
  </w:footnote>
  <w:footnote w:id="20">
    <w:p w14:paraId="66FA359E" w14:textId="60565A66" w:rsidR="007279BD" w:rsidRDefault="007279BD" w:rsidP="00EC1267">
      <w:pPr>
        <w:pStyle w:val="FootnoteText"/>
        <w:jc w:val="both"/>
      </w:pPr>
      <w:r>
        <w:rPr>
          <w:rStyle w:val="FootnoteReference0"/>
        </w:rPr>
        <w:footnoteRef/>
      </w:r>
      <w:r>
        <w:t xml:space="preserve"> Proposition de règlement du Parlement européen et du Conseil relatif à la surveillance et au contrôle des précurseurs des drogues et abrogeant les règlements (CE) nº 273/2004 et (CE) nº 111/2005 [COM(2025) 747 final].</w:t>
      </w:r>
    </w:p>
  </w:footnote>
  <w:footnote w:id="21">
    <w:p w14:paraId="406BD179" w14:textId="404C4AF0" w:rsidR="00ED655E" w:rsidRPr="00471E68" w:rsidRDefault="00ED655E" w:rsidP="00471E68">
      <w:pPr>
        <w:pStyle w:val="FootnoteText"/>
        <w:jc w:val="both"/>
        <w:rPr>
          <w:rFonts w:eastAsia="Times New Roman" w:cs="Times New Roman"/>
        </w:rPr>
      </w:pPr>
      <w:r>
        <w:rPr>
          <w:rStyle w:val="FootnoteReference0"/>
          <w:rFonts w:eastAsia="Times New Roman" w:cs="Times New Roman"/>
          <w:lang w:val="en-GB"/>
        </w:rPr>
        <w:footnoteRef/>
      </w:r>
      <w:r>
        <w:t xml:space="preserve"> Europol (2025), </w:t>
      </w:r>
      <w:r>
        <w:rPr>
          <w:i/>
        </w:rPr>
        <w:t>Évaluation de la menace que représente la grande criminalité organisée dans l’Union européenne – The changing DNA of serious and organised crime</w:t>
      </w:r>
      <w:r>
        <w:t xml:space="preserve"> (L’ADN en mutation de la grande criminalité organisée).</w:t>
      </w:r>
    </w:p>
  </w:footnote>
  <w:footnote w:id="22">
    <w:p w14:paraId="00692122" w14:textId="3690F588" w:rsidR="2326B0DA" w:rsidRDefault="2326B0DA" w:rsidP="00541FED">
      <w:pPr>
        <w:shd w:val="clear" w:color="auto" w:fill="FFFFFF" w:themeFill="background1"/>
        <w:spacing w:after="75"/>
        <w:jc w:val="both"/>
      </w:pPr>
      <w:r>
        <w:rPr>
          <w:rFonts w:eastAsia="Times New Roman" w:cs="Times New Roman"/>
          <w:sz w:val="20"/>
          <w:szCs w:val="20"/>
          <w:vertAlign w:val="superscript"/>
        </w:rPr>
        <w:footnoteRef/>
      </w:r>
      <w:r>
        <w:rPr>
          <w:sz w:val="20"/>
        </w:rPr>
        <w:t xml:space="preserve"> Règlement (UE) 2022/2371 du Parlement européen et du Conseil du 23 novembre 2022 concernant les menaces transfrontières graves pour la santé et abrogeant la décision nº 1082/2013/UE (JO L 314 du 6.12.2022, p. 26)</w:t>
      </w:r>
      <w:r>
        <w:t>.</w:t>
      </w:r>
    </w:p>
  </w:footnote>
  <w:footnote w:id="23">
    <w:p w14:paraId="035DB20C" w14:textId="2C00E782" w:rsidR="00775C24" w:rsidRDefault="00775C24" w:rsidP="00541FED">
      <w:pPr>
        <w:pStyle w:val="FootnoteText"/>
        <w:jc w:val="both"/>
      </w:pPr>
      <w:r>
        <w:rPr>
          <w:rStyle w:val="FootnoteReference0"/>
        </w:rPr>
        <w:footnoteRef/>
      </w:r>
      <w:r>
        <w:t xml:space="preserve"> En synergie avec l’évaluation de la planification de la prévention, de la préparation et de la réaction, prévue à l’article 8 du règlement (UE) 2022/2371 concernant les menaces transfrontières graves pour la santé.</w:t>
      </w:r>
    </w:p>
  </w:footnote>
  <w:footnote w:id="24">
    <w:p w14:paraId="3ECDB02E" w14:textId="77777777" w:rsidR="004903BC" w:rsidRDefault="004903BC" w:rsidP="00B2562C">
      <w:pPr>
        <w:pStyle w:val="FootnoteText"/>
        <w:jc w:val="both"/>
      </w:pPr>
      <w:r>
        <w:rPr>
          <w:rStyle w:val="FootnoteReference0"/>
        </w:rPr>
        <w:footnoteRef/>
      </w:r>
      <w:r>
        <w:t xml:space="preserve"> Document de travail des services de la Commission présentant le plan de l’Union pour la prévention, la préparation et la réaction aux crises sanitaires, [SWD(2025) 393 final].</w:t>
      </w:r>
    </w:p>
  </w:footnote>
  <w:footnote w:id="25">
    <w:p w14:paraId="18BD707A" w14:textId="64F1AF71" w:rsidR="00077F33" w:rsidRPr="00CF5702" w:rsidRDefault="00077F33" w:rsidP="00541FED">
      <w:pPr>
        <w:pStyle w:val="FootnoteText"/>
        <w:jc w:val="both"/>
      </w:pPr>
      <w:r>
        <w:rPr>
          <w:rStyle w:val="FootnoteReference0"/>
          <w:lang w:val="en-GB"/>
        </w:rPr>
        <w:footnoteRef/>
      </w:r>
      <w:r>
        <w:t xml:space="preserve"> Règlement (UE) 2023/1322 du Parlement européen et du Conseil du 27 juin 2023 relatif à l’Agence de l’Union européenne sur les drogues (EUDA), et abrogeant le règlement (CE) nº 1920/2006 (JO L 166 du 30.6.2023, p. 6), article 13.</w:t>
      </w:r>
    </w:p>
  </w:footnote>
  <w:footnote w:id="26">
    <w:p w14:paraId="5D9F587F" w14:textId="5297BE50" w:rsidR="00E923C9" w:rsidRDefault="00E923C9" w:rsidP="00541FED">
      <w:pPr>
        <w:pStyle w:val="FootnoteText"/>
        <w:jc w:val="both"/>
      </w:pPr>
      <w:r>
        <w:rPr>
          <w:rStyle w:val="FootnoteReference0"/>
        </w:rPr>
        <w:footnoteRef/>
      </w:r>
      <w:r>
        <w:t xml:space="preserve"> Échange annuel sur la recherche relative aux drogues dans le cadre du groupe horizontal «Drogue», visant à renforcer les liens et la collaboration entre politiques et recherche au niveau de l’UE, établi à la suite des conclusions du Conseil de décembre 2009 relatives au renforcement de la capacité de recherche de l’UE dans le domaine des drogues illicites, 17177/09.</w:t>
      </w:r>
    </w:p>
    <w:p w14:paraId="2503380F" w14:textId="77C095CB" w:rsidR="00E923C9" w:rsidRPr="00E923C9" w:rsidRDefault="00E923C9">
      <w:pPr>
        <w:pStyle w:val="FootnoteText"/>
      </w:pPr>
    </w:p>
  </w:footnote>
  <w:footnote w:id="27">
    <w:p w14:paraId="34887A10" w14:textId="5F6DD4FF" w:rsidR="00775C24" w:rsidRPr="003A26E2" w:rsidRDefault="00775C24" w:rsidP="00541FED">
      <w:pPr>
        <w:pStyle w:val="FootnoteText"/>
        <w:jc w:val="both"/>
      </w:pPr>
      <w:r>
        <w:rPr>
          <w:rStyle w:val="FootnoteReference0"/>
        </w:rPr>
        <w:footnoteRef/>
      </w:r>
      <w:r>
        <w:t xml:space="preserve"> Règlement (UE) 2025/327 du Parlement européen et du Conseil du 11 février 2025 relatif à l’espace européen des données de santé et modifiant la directive 2011/24/UE et le règlement (UE) 2024/2847, (JO L, 2025/327, 5.3.2025).</w:t>
      </w:r>
    </w:p>
  </w:footnote>
  <w:footnote w:id="28">
    <w:p w14:paraId="539DCFCF" w14:textId="42039EDF" w:rsidR="003F4666" w:rsidRPr="003F4666" w:rsidRDefault="003F4666">
      <w:pPr>
        <w:pStyle w:val="FootnoteText"/>
      </w:pPr>
      <w:r>
        <w:rPr>
          <w:rStyle w:val="FootnoteReference0"/>
        </w:rPr>
        <w:footnoteRef/>
      </w:r>
      <w:r>
        <w:t xml:space="preserve"> Réseau européen d’information sur les drogues et les toxicomanies (Reitox).</w:t>
      </w:r>
    </w:p>
  </w:footnote>
  <w:footnote w:id="29">
    <w:p w14:paraId="1BD95EC9" w14:textId="75E4955D" w:rsidR="00794C30" w:rsidRDefault="00794C30" w:rsidP="005A35A5">
      <w:pPr>
        <w:pStyle w:val="FootnoteText"/>
        <w:jc w:val="both"/>
      </w:pPr>
      <w:r>
        <w:rPr>
          <w:rStyle w:val="FootnoteReference0"/>
        </w:rPr>
        <w:footnoteRef/>
      </w:r>
      <w:r>
        <w:t xml:space="preserve"> Les interventions environnementales sont des mesures réglementaires, économiques et physiques destinées à modifier le contexte culturel, social, physique et économique dans lequel les citoyens prennent des décisions (de consommer de la drogue) et à encourager la population à faire des choix plus sains.</w:t>
      </w:r>
    </w:p>
  </w:footnote>
  <w:footnote w:id="30">
    <w:p w14:paraId="4EBBFDF7" w14:textId="16687904" w:rsidR="00F76762" w:rsidRPr="00F76762" w:rsidRDefault="00F76762" w:rsidP="00541FED">
      <w:pPr>
        <w:pStyle w:val="FootnoteText"/>
        <w:jc w:val="both"/>
      </w:pPr>
      <w:r>
        <w:rPr>
          <w:rStyle w:val="FootnoteReference0"/>
        </w:rPr>
        <w:footnoteRef/>
      </w:r>
      <w:r>
        <w:tab/>
      </w:r>
      <w:hyperlink r:id="rId1" w:history="1">
        <w:r>
          <w:rPr>
            <w:rStyle w:val="Hyperlink"/>
          </w:rPr>
          <w:t>Healthier together – EU non-communicable diseases initiative – Public Health</w:t>
        </w:r>
      </w:hyperlink>
      <w:r>
        <w:t xml:space="preserve"> [Initiative «Vivre ensemble en bonne santé» sur les maladies non transmissibles].</w:t>
      </w:r>
    </w:p>
  </w:footnote>
  <w:footnote w:id="31">
    <w:p w14:paraId="7CA85EA4" w14:textId="0547DE48" w:rsidR="00F76762" w:rsidRPr="00F76762" w:rsidRDefault="00F76762" w:rsidP="00541FED">
      <w:pPr>
        <w:pStyle w:val="FootnoteText"/>
        <w:jc w:val="both"/>
      </w:pPr>
      <w:r>
        <w:rPr>
          <w:rStyle w:val="FootnoteReference0"/>
        </w:rPr>
        <w:footnoteRef/>
      </w:r>
      <w:r>
        <w:t xml:space="preserve"> </w:t>
      </w:r>
      <w:hyperlink r:id="rId2" w:history="1">
        <w:r>
          <w:rPr>
            <w:rStyle w:val="Hyperlink"/>
          </w:rPr>
          <w:t>Santé mentale - santé publique - Commission européenne</w:t>
        </w:r>
      </w:hyperlink>
      <w:r>
        <w:t>.</w:t>
      </w:r>
    </w:p>
  </w:footnote>
  <w:footnote w:id="32">
    <w:p w14:paraId="28657B4D" w14:textId="19EA09B1" w:rsidR="00F76762" w:rsidRPr="00C30F88" w:rsidRDefault="00F76762" w:rsidP="00541FED">
      <w:pPr>
        <w:pStyle w:val="FootnoteText"/>
        <w:jc w:val="both"/>
        <w:rPr>
          <w:lang w:val="en-GB"/>
        </w:rPr>
      </w:pPr>
      <w:r>
        <w:rPr>
          <w:rStyle w:val="FootnoteReference0"/>
        </w:rPr>
        <w:footnoteRef/>
      </w:r>
      <w:r w:rsidRPr="00C30F88">
        <w:rPr>
          <w:lang w:val="en-GB"/>
        </w:rPr>
        <w:t xml:space="preserve"> </w:t>
      </w:r>
      <w:hyperlink r:id="rId3" w:history="1">
        <w:r w:rsidRPr="00C30F88">
          <w:rPr>
            <w:rStyle w:val="Hyperlink"/>
            <w:lang w:val="en-GB"/>
          </w:rPr>
          <w:t>who.int/europe/activities/partnering-with-the-european-union-(eu)-to-tackle-mental-health-challenges</w:t>
        </w:r>
      </w:hyperlink>
      <w:r w:rsidRPr="00C30F88">
        <w:rPr>
          <w:lang w:val="en-GB"/>
        </w:rPr>
        <w:t>.</w:t>
      </w:r>
    </w:p>
  </w:footnote>
  <w:footnote w:id="33">
    <w:p w14:paraId="6E188799" w14:textId="77777777" w:rsidR="004D28DD" w:rsidRPr="00C44ACD" w:rsidRDefault="004D28DD" w:rsidP="00541FED">
      <w:pPr>
        <w:pStyle w:val="FootnoteText"/>
        <w:jc w:val="both"/>
      </w:pPr>
      <w:r>
        <w:rPr>
          <w:rStyle w:val="FootnoteReference0"/>
        </w:rPr>
        <w:footnoteRef/>
      </w:r>
      <w:r>
        <w:t xml:space="preserve"> </w:t>
      </w:r>
      <w:hyperlink r:id="rId4" w:history="1">
        <w:r>
          <w:rPr>
            <w:rStyle w:val="Hyperlink"/>
          </w:rPr>
          <w:t>Page du projet EU-PROMENS - EU-PROMENS</w:t>
        </w:r>
      </w:hyperlink>
    </w:p>
  </w:footnote>
  <w:footnote w:id="34">
    <w:p w14:paraId="4FA54E7F" w14:textId="422FA272" w:rsidR="001F39AF" w:rsidRDefault="001F39AF" w:rsidP="00541FED">
      <w:pPr>
        <w:pStyle w:val="FootnoteText"/>
        <w:jc w:val="both"/>
      </w:pPr>
      <w:r>
        <w:rPr>
          <w:rStyle w:val="FootnoteReference0"/>
        </w:rPr>
        <w:footnoteRef/>
      </w:r>
      <w:r>
        <w:t xml:space="preserve"> EUDA (2025), </w:t>
      </w:r>
      <w:r>
        <w:rPr>
          <w:i/>
        </w:rPr>
        <w:t>Rapport européen sur les drogues 2025: tendances et évolutions</w:t>
      </w:r>
      <w:r>
        <w:t>.</w:t>
      </w:r>
    </w:p>
  </w:footnote>
  <w:footnote w:id="35">
    <w:p w14:paraId="61D504B6" w14:textId="7483BE9E" w:rsidR="0006781C" w:rsidRDefault="0006781C" w:rsidP="00541FED">
      <w:pPr>
        <w:pStyle w:val="FootnoteText"/>
        <w:jc w:val="both"/>
      </w:pPr>
      <w:r>
        <w:rPr>
          <w:rStyle w:val="FootnoteReference0"/>
        </w:rPr>
        <w:footnoteRef/>
      </w:r>
      <w:r>
        <w:t xml:space="preserve"> EUDA et Europol (2024), Analyse des marchés des drogues dans l’UE: Des idées clés pour la politique et la pratique.</w:t>
      </w:r>
    </w:p>
  </w:footnote>
  <w:footnote w:id="36">
    <w:p w14:paraId="0514D94D" w14:textId="72283CC4" w:rsidR="00A479C9" w:rsidRPr="00B712CC" w:rsidRDefault="00A479C9" w:rsidP="00471E68">
      <w:pPr>
        <w:pStyle w:val="FootnoteText"/>
        <w:shd w:val="clear" w:color="auto" w:fill="FFFFFF" w:themeFill="background1"/>
        <w:jc w:val="both"/>
      </w:pPr>
      <w:r>
        <w:rPr>
          <w:rStyle w:val="FootnoteReference0"/>
          <w:rFonts w:eastAsia="Times New Roman" w:cs="Times New Roman"/>
          <w:lang w:val="en-GB"/>
        </w:rPr>
        <w:footnoteRef/>
      </w:r>
      <w:r>
        <w:t xml:space="preserve"> Communication de la Commission au Parlement européen, au Conseil, au Comité économique et social européen et au Comité des régions intitulée «Mise en place d’un socle européen des droits sociaux», COM(2017) 250 final.</w:t>
      </w:r>
    </w:p>
  </w:footnote>
  <w:footnote w:id="37">
    <w:p w14:paraId="36FEA447" w14:textId="0E8FF7F2" w:rsidR="00283B8F" w:rsidRPr="00B712CC" w:rsidRDefault="00283B8F" w:rsidP="00471E68">
      <w:pPr>
        <w:pStyle w:val="FootnoteText"/>
        <w:jc w:val="both"/>
      </w:pPr>
      <w:r>
        <w:rPr>
          <w:rStyle w:val="FootnoteReference0"/>
          <w:lang w:val="en-GB"/>
        </w:rPr>
        <w:footnoteRef/>
      </w:r>
      <w:r>
        <w:t xml:space="preserve"> Conclusions du Conseil de décembre 2023 concernant les personnes présentant des troubles liés à la consommation de drogue conjointement à d’autres troubles de la santé mentale, 16112/23.</w:t>
      </w:r>
    </w:p>
  </w:footnote>
  <w:footnote w:id="38">
    <w:p w14:paraId="25C3752B" w14:textId="353824B2" w:rsidR="00FE4E6A" w:rsidRPr="00B712CC" w:rsidRDefault="00FE4E6A" w:rsidP="00471E68">
      <w:pPr>
        <w:pStyle w:val="FootnoteText"/>
        <w:jc w:val="both"/>
      </w:pPr>
      <w:r>
        <w:rPr>
          <w:rStyle w:val="FootnoteReference0"/>
          <w:lang w:val="en-GB"/>
        </w:rPr>
        <w:footnoteRef/>
      </w:r>
      <w:r>
        <w:t xml:space="preserve"> Conclusions du Conseil de septembre 2018 sur la mise en œuvre du plan d’action antidrogue de l’UE (2013-2016) en ce qui concerne des normes minimales de qualité pour la réduction de la demande de drogue dans l’Union européenne, 11985/15.</w:t>
      </w:r>
    </w:p>
  </w:footnote>
  <w:footnote w:id="39">
    <w:p w14:paraId="51BE3D17" w14:textId="3877CD60" w:rsidR="0005715C" w:rsidRDefault="0005715C" w:rsidP="00541FED">
      <w:pPr>
        <w:pStyle w:val="FootnoteText"/>
        <w:jc w:val="both"/>
      </w:pPr>
      <w:r>
        <w:rPr>
          <w:rStyle w:val="FootnoteReference0"/>
        </w:rPr>
        <w:footnoteRef/>
      </w:r>
      <w:r>
        <w:t xml:space="preserve"> Recommandation (UE) 2023/681 de la Commission du 8 décembre 2022 relative aux droits procéduraux des suspects et des personnes poursuivies faisant l’objet d’une détention provisoire ainsi qu’aux conditions matérielles de détention (JO L 86 du 24.3.2023, p. 44).</w:t>
      </w:r>
    </w:p>
  </w:footnote>
  <w:footnote w:id="40">
    <w:p w14:paraId="393DFC54" w14:textId="54A0EFCC" w:rsidR="001D6932" w:rsidRPr="00B712CC" w:rsidRDefault="001D6932" w:rsidP="00471E68">
      <w:pPr>
        <w:pStyle w:val="FootnoteText"/>
        <w:jc w:val="both"/>
      </w:pPr>
      <w:r>
        <w:rPr>
          <w:rStyle w:val="FootnoteReference0"/>
          <w:lang w:val="en-GB"/>
        </w:rPr>
        <w:footnoteRef/>
      </w:r>
      <w:r>
        <w:t xml:space="preserve"> On entend par «alternatives aux mesures coercitives» des mesures qui comprennent une dimension de réadaptation ou qui constituent une non-intervention (telle qu’une décision de ne pas inculper ou de ne pas poursuivre l’intéressé), ainsi que les peines de substitution à l’emprisonnement ou à d’autres sanctions (comme un sursis de peine assorti d’une obligation de traitement de la toxicomanie). </w:t>
      </w:r>
    </w:p>
  </w:footnote>
  <w:footnote w:id="41">
    <w:p w14:paraId="4F4D2349" w14:textId="3623AEA2" w:rsidR="007A5BDF" w:rsidRPr="00407696" w:rsidRDefault="007A5BDF" w:rsidP="00471E68">
      <w:pPr>
        <w:pStyle w:val="FootnoteText"/>
        <w:shd w:val="clear" w:color="auto" w:fill="FFFFFF" w:themeFill="background1"/>
        <w:jc w:val="both"/>
        <w:rPr>
          <w:highlight w:val="yellow"/>
        </w:rPr>
      </w:pPr>
      <w:r>
        <w:rPr>
          <w:rStyle w:val="FootnoteReference0"/>
          <w:rFonts w:eastAsia="Times New Roman" w:cs="Times New Roman"/>
          <w:lang w:val="en-GB"/>
        </w:rPr>
        <w:footnoteRef/>
      </w:r>
      <w:r>
        <w:t xml:space="preserve"> Décision-cadre 2004/757/JAI du Conseil du 25 octobre 2004 concernant l’établissement des dispositions minimales relatives aux éléments constitutifs des infractions pénales et des sanctions applicables dans le domaine du trafic de drogue (JO L 335 du 11.11.2004, p. 8).</w:t>
      </w:r>
    </w:p>
  </w:footnote>
  <w:footnote w:id="42">
    <w:p w14:paraId="722E3420" w14:textId="77777777" w:rsidR="00B206C5" w:rsidRPr="00B712CC" w:rsidRDefault="00B206C5" w:rsidP="00541FED">
      <w:pPr>
        <w:pStyle w:val="FootnoteText"/>
        <w:jc w:val="both"/>
      </w:pPr>
      <w:r>
        <w:rPr>
          <w:rStyle w:val="FootnoteReference0"/>
          <w:lang w:val="en-GB"/>
        </w:rPr>
        <w:footnoteRef/>
      </w:r>
      <w:r>
        <w:t xml:space="preserve"> Conclusions du Conseil de juin 2025 sur le renforcement de l’EMPACT et sur les priorités de l’UE en matière de criminalité pour le prochain cycle de l’EMPACT 2026-2029, 9397/25.</w:t>
      </w:r>
    </w:p>
  </w:footnote>
  <w:footnote w:id="43">
    <w:p w14:paraId="452F667A" w14:textId="0AE832D2" w:rsidR="006C2C08" w:rsidRDefault="006C2C08" w:rsidP="00541FED">
      <w:pPr>
        <w:pStyle w:val="FootnoteText"/>
        <w:jc w:val="both"/>
      </w:pPr>
      <w:r>
        <w:rPr>
          <w:rStyle w:val="FootnoteReference0"/>
        </w:rPr>
        <w:footnoteRef/>
      </w:r>
      <w:r>
        <w:t xml:space="preserve"> Règlement (UE) 2024/1624 du Parlement européen et du Conseil du 31 mai 2024 relatif à la prévention de l’utilisation du système financier aux fins du blanchiment de capitaux ou du financement du terrorisme (JO L, 2024/1624, 19.6.2024).</w:t>
      </w:r>
    </w:p>
  </w:footnote>
  <w:footnote w:id="44">
    <w:p w14:paraId="14FA395D" w14:textId="77777777" w:rsidR="007C1240" w:rsidRDefault="007C1240" w:rsidP="00541FED">
      <w:pPr>
        <w:pStyle w:val="FootnoteText"/>
        <w:jc w:val="both"/>
      </w:pPr>
      <w:r>
        <w:rPr>
          <w:rStyle w:val="FootnoteReference0"/>
        </w:rPr>
        <w:footnoteRef/>
      </w:r>
      <w:r>
        <w:t xml:space="preserve"> Directive (UE) 2024/1260 du Parlement européen et du Conseil du 24 avril 2024 relative au recouvrement et à la confiscation d’avoirs </w:t>
      </w:r>
    </w:p>
    <w:p w14:paraId="0A7C862E" w14:textId="5E775F9A" w:rsidR="007C1240" w:rsidRPr="007C1240" w:rsidRDefault="007C1240" w:rsidP="00541FED">
      <w:pPr>
        <w:pStyle w:val="FootnoteText"/>
        <w:jc w:val="both"/>
      </w:pPr>
      <w:r>
        <w:t>(JO L, 2024/1260, 2.5.2024).</w:t>
      </w:r>
    </w:p>
  </w:footnote>
  <w:footnote w:id="45">
    <w:p w14:paraId="65F32768" w14:textId="39164DE5" w:rsidR="00D7742B" w:rsidRDefault="00D7742B" w:rsidP="00541FED">
      <w:pPr>
        <w:pStyle w:val="FootnoteText"/>
        <w:jc w:val="both"/>
      </w:pPr>
      <w:r>
        <w:rPr>
          <w:rStyle w:val="FootnoteReference0"/>
        </w:rPr>
        <w:footnoteRef/>
      </w:r>
      <w:r>
        <w:t xml:space="preserve"> Conclusions du Conseil de juin 2016 relatives à l’approche administrative à suivre pour prévenir la grande criminalité organisée et lutter contre ce phénomène, 9935/2016.</w:t>
      </w:r>
    </w:p>
  </w:footnote>
  <w:footnote w:id="46">
    <w:p w14:paraId="2D312F4A" w14:textId="78C137F5" w:rsidR="00331806" w:rsidRPr="007B510E" w:rsidRDefault="00331806" w:rsidP="00541FED">
      <w:pPr>
        <w:pStyle w:val="FootnoteText"/>
        <w:jc w:val="both"/>
      </w:pPr>
      <w:r>
        <w:rPr>
          <w:rStyle w:val="FootnoteReference0"/>
        </w:rPr>
        <w:footnoteRef/>
      </w:r>
      <w:r>
        <w:t xml:space="preserve"> Proposition de directive du Parlement européen et du Conseil relative à la lutte contre la corruption, remplaçant la décision-cadre 2003/568/JAI du Conseil et la convention relative à la lutte contre la corruption impliquant des fonctionnaires des Communautés européennes ou des fonctionnaires des États membres de l’Union européenne, et modifiant la directive (UE) 2017/1371 du Parlement européen et du Conseil [COM(2023) 234 final].</w:t>
      </w:r>
    </w:p>
  </w:footnote>
  <w:footnote w:id="47">
    <w:p w14:paraId="043BBF78" w14:textId="27B72D06" w:rsidR="000E25B9" w:rsidRDefault="000E25B9" w:rsidP="00541FED">
      <w:pPr>
        <w:pStyle w:val="FootnoteText"/>
        <w:jc w:val="both"/>
      </w:pPr>
      <w:r>
        <w:rPr>
          <w:rStyle w:val="FootnoteReference0"/>
        </w:rPr>
        <w:footnoteRef/>
      </w:r>
      <w:r>
        <w:t xml:space="preserve"> Un proche parent chimique d’un précurseur de drogues qui n’a aucune utilisation légitime connue, à l’exception de la recherche et de l’innovation.</w:t>
      </w:r>
    </w:p>
  </w:footnote>
  <w:footnote w:id="48">
    <w:p w14:paraId="6942E0F1" w14:textId="3D4311AE" w:rsidR="00407696" w:rsidRDefault="00407696" w:rsidP="00407696">
      <w:pPr>
        <w:pStyle w:val="FootnoteText"/>
        <w:jc w:val="both"/>
      </w:pPr>
      <w:r>
        <w:rPr>
          <w:rStyle w:val="FootnoteReference0"/>
        </w:rPr>
        <w:footnoteRef/>
      </w:r>
      <w:r>
        <w:t xml:space="preserve"> Règlement (UE) 2022/2065 du Parlement européen et du Conseil du 19 octobre 2022 relatif à un marché unique des services numériques et modifiant la directive 2000/31/CE (règlement sur les services numériques), JO L 277 du 27.10.2022, p. 1.</w:t>
      </w:r>
    </w:p>
  </w:footnote>
  <w:footnote w:id="49">
    <w:p w14:paraId="1EFBA52C" w14:textId="609780BF" w:rsidR="0031139A" w:rsidRDefault="0031139A" w:rsidP="00541FED">
      <w:pPr>
        <w:pStyle w:val="FootnoteText"/>
        <w:jc w:val="both"/>
      </w:pPr>
      <w:r>
        <w:rPr>
          <w:rStyle w:val="FootnoteReference0"/>
        </w:rPr>
        <w:footnoteRef/>
      </w:r>
      <w:r>
        <w:t xml:space="preserve"> </w:t>
      </w:r>
      <w:r>
        <w:rPr>
          <w:color w:val="000000" w:themeColor="text1"/>
        </w:rPr>
        <w:t>En s’appuyant sur les mesures figurant dans les lignes directrices de la Commission concernant des mesures visant à garantir un niveau élevé de protection de la vie privée, de sûreté et de sécurité des mineurs en ligne, conformément à l’article 28, paragraphe 4, du règlement (UE) 2022/2065.</w:t>
      </w:r>
    </w:p>
  </w:footnote>
  <w:footnote w:id="50">
    <w:p w14:paraId="2F071DC0" w14:textId="40743A59" w:rsidR="00A27D92" w:rsidRDefault="00A27D92" w:rsidP="00EC1267">
      <w:pPr>
        <w:pStyle w:val="FootnoteText"/>
        <w:jc w:val="both"/>
      </w:pPr>
      <w:r>
        <w:rPr>
          <w:rStyle w:val="FootnoteReference0"/>
        </w:rPr>
        <w:footnoteRef/>
      </w:r>
      <w:r>
        <w:t xml:space="preserve"> COM(2025) 747 final.</w:t>
      </w:r>
    </w:p>
  </w:footnote>
  <w:footnote w:id="51">
    <w:p w14:paraId="7BA18992" w14:textId="3947090F" w:rsidR="00DA13D6" w:rsidRPr="00B712CC" w:rsidRDefault="00DA13D6" w:rsidP="00471E68">
      <w:pPr>
        <w:pStyle w:val="FootnoteText"/>
        <w:jc w:val="both"/>
      </w:pPr>
      <w:r>
        <w:rPr>
          <w:rStyle w:val="FootnoteReference0"/>
          <w:lang w:val="en-GB"/>
        </w:rPr>
        <w:footnoteRef/>
      </w:r>
      <w:r>
        <w:t xml:space="preserve"> Centre européen de prévention et de contrôle des maladies (ECDC) et Observatoire européen des drogues et des toxicomanies (OEDT) (2023), </w:t>
      </w:r>
      <w:r>
        <w:rPr>
          <w:i/>
        </w:rPr>
        <w:t>Prevention and control of infectious diseases among people who inject drugs</w:t>
      </w:r>
      <w:r>
        <w:t>.</w:t>
      </w:r>
    </w:p>
  </w:footnote>
  <w:footnote w:id="52">
    <w:p w14:paraId="63F04D1F" w14:textId="11FE86C8" w:rsidR="00CC7FA1" w:rsidRPr="00B712CC" w:rsidRDefault="00CC7FA1" w:rsidP="00471E68">
      <w:pPr>
        <w:pStyle w:val="FootnoteText"/>
        <w:jc w:val="both"/>
      </w:pPr>
      <w:r>
        <w:rPr>
          <w:rStyle w:val="FootnoteReference0"/>
          <w:lang w:val="en-GB"/>
        </w:rPr>
        <w:footnoteRef/>
      </w:r>
      <w:r>
        <w:rPr>
          <w:rStyle w:val="FootnoteReference0"/>
        </w:rPr>
        <w:t xml:space="preserve"> </w:t>
      </w:r>
      <w:r>
        <w:t>Conclusions du Conseil de décembre 2022 sur une approche fondée sur les droits de l’homme dans les politiques en matière de drogue, 15818/22.</w:t>
      </w:r>
    </w:p>
  </w:footnote>
  <w:footnote w:id="53">
    <w:p w14:paraId="0476EF1F" w14:textId="000D1EE6" w:rsidR="001353F3" w:rsidRPr="00541FED" w:rsidRDefault="001353F3" w:rsidP="00541FED">
      <w:pPr>
        <w:pStyle w:val="FootnoteText"/>
        <w:jc w:val="both"/>
        <w:rPr>
          <w:b/>
          <w:bCs/>
        </w:rPr>
      </w:pPr>
      <w:r>
        <w:rPr>
          <w:rStyle w:val="FootnoteReference0"/>
        </w:rPr>
        <w:footnoteRef/>
      </w:r>
      <w:r>
        <w:rPr>
          <w:b/>
        </w:rPr>
        <w:t xml:space="preserve"> </w:t>
      </w:r>
      <w:r>
        <w:t>Communication de la Commission au Parlement européen, au Conseil, au Comité économique et social européen et au Comité des régions intitulée «Union de l’égalité: stratégie en faveur de l’égalité de traitement à l’égard des personnes LGBTIQ+ pour la période 2026-2030», COM(2025) 725 final.</w:t>
      </w:r>
    </w:p>
  </w:footnote>
  <w:footnote w:id="54">
    <w:p w14:paraId="3AF41754" w14:textId="77777777" w:rsidR="00564462" w:rsidRDefault="00564462" w:rsidP="00541FED">
      <w:pPr>
        <w:pStyle w:val="FootnoteText"/>
        <w:jc w:val="both"/>
      </w:pPr>
      <w:r>
        <w:rPr>
          <w:rStyle w:val="FootnoteReference0"/>
        </w:rPr>
        <w:footnoteRef/>
      </w:r>
      <w:r>
        <w:t xml:space="preserve"> Commission européenne, Direction générale de la mobilité et des transports, Modijefsky, M., Janse, R., Spit, W., et al., </w:t>
      </w:r>
      <w:r>
        <w:rPr>
          <w:i/>
        </w:rPr>
        <w:t>Prevention of driving under the influence of alcohol and drugs:</w:t>
      </w:r>
      <w:r>
        <w:t xml:space="preserve"> </w:t>
      </w:r>
      <w:r>
        <w:rPr>
          <w:i/>
        </w:rPr>
        <w:t>final report</w:t>
      </w:r>
      <w:r>
        <w:t xml:space="preserve">, Office des publications de l’Union européenne, 2022, </w:t>
      </w:r>
      <w:hyperlink r:id="rId5" w:history="1">
        <w:r>
          <w:rPr>
            <w:rStyle w:val="Hyperlink"/>
          </w:rPr>
          <w:t>https://data.europa.eu/doi/10.2832/284545</w:t>
        </w:r>
      </w:hyperlink>
      <w:r>
        <w:t xml:space="preserve">. </w:t>
      </w:r>
    </w:p>
  </w:footnote>
  <w:footnote w:id="55">
    <w:p w14:paraId="61C07377" w14:textId="5CBA0432" w:rsidR="00B12D7F" w:rsidRPr="00195314" w:rsidRDefault="00B12D7F" w:rsidP="00541FED">
      <w:pPr>
        <w:pStyle w:val="FootnoteText"/>
        <w:jc w:val="both"/>
      </w:pPr>
      <w:r>
        <w:rPr>
          <w:rStyle w:val="FootnoteReference0"/>
          <w:lang w:val="en-GB"/>
        </w:rPr>
        <w:footnoteRef/>
      </w:r>
      <w:r>
        <w:t xml:space="preserve"> Document de travail des services de la Commission, </w:t>
      </w:r>
      <w:r>
        <w:rPr>
          <w:i/>
        </w:rPr>
        <w:t>EU Road Safety Policy Framework 2021-2030 - Next steps towards ‘Vision Zero’</w:t>
      </w:r>
      <w:r>
        <w:t>, SWD(2019) 283 final.</w:t>
      </w:r>
    </w:p>
  </w:footnote>
  <w:footnote w:id="56">
    <w:p w14:paraId="7053DD30" w14:textId="64B3D8C8" w:rsidR="00B630C2" w:rsidRPr="00195314" w:rsidRDefault="00B630C2" w:rsidP="00541FED">
      <w:pPr>
        <w:pStyle w:val="FootnoteText"/>
        <w:jc w:val="both"/>
      </w:pPr>
      <w:r>
        <w:rPr>
          <w:rStyle w:val="FootnoteReference0"/>
          <w:lang w:val="en-GB"/>
        </w:rPr>
        <w:footnoteRef/>
      </w:r>
      <w:r>
        <w:t xml:space="preserve"> Directive (UE) 2025/2205 du Parlement européen et du Conseil du 22 octobre 2025 relative au permis de conduire, modifiant le règlement (UE) 2018/1724 du Parlement européen et du Conseil et la directive (UE) 2022/2561 du Parlement européen et du Conseil, et abrogeant la directive 2006/126/CE du Parlement européen et du Conseil et le règlement (UE) nº 383/2012 de la Commission, JO L, 2025/2205, 5.11.2025.</w:t>
      </w:r>
    </w:p>
  </w:footnote>
  <w:footnote w:id="57">
    <w:p w14:paraId="2D037138" w14:textId="4F44C816" w:rsidR="00495028" w:rsidRPr="00495028" w:rsidRDefault="00495028" w:rsidP="00541FED">
      <w:pPr>
        <w:pStyle w:val="FootnoteText"/>
        <w:jc w:val="both"/>
      </w:pPr>
      <w:r>
        <w:rPr>
          <w:rStyle w:val="FootnoteReference0"/>
        </w:rPr>
        <w:footnoteRef/>
      </w:r>
      <w:r>
        <w:t xml:space="preserve"> Observatoire européen des drogues et des toxicomanies et Europol (2022), </w:t>
      </w:r>
      <w:r>
        <w:rPr>
          <w:i/>
        </w:rPr>
        <w:t>EU Drug Market: Cannabis — In-depth analysis</w:t>
      </w:r>
      <w:r>
        <w:t>.</w:t>
      </w:r>
    </w:p>
  </w:footnote>
  <w:footnote w:id="58">
    <w:p w14:paraId="0BCA62CB" w14:textId="77777777" w:rsidR="004D15E4" w:rsidRPr="008D776A" w:rsidRDefault="004D15E4" w:rsidP="00471E68">
      <w:pPr>
        <w:spacing w:after="0"/>
        <w:jc w:val="both"/>
        <w:rPr>
          <w:sz w:val="20"/>
          <w:szCs w:val="20"/>
        </w:rPr>
      </w:pPr>
      <w:r>
        <w:rPr>
          <w:sz w:val="20"/>
          <w:szCs w:val="20"/>
          <w:vertAlign w:val="superscript"/>
        </w:rPr>
        <w:footnoteRef/>
      </w:r>
      <w:r>
        <w:rPr>
          <w:sz w:val="20"/>
        </w:rPr>
        <w:t xml:space="preserve"> Conclusions du Conseil de juin 2025 sur le pacte visant à lutter contre les menaces liées aux nouvelles drogues de synthèse et aux nouvelles substances psychoactives dans l’Union européenne, 10265/25.</w:t>
      </w:r>
    </w:p>
  </w:footnote>
  <w:footnote w:id="59">
    <w:p w14:paraId="75030392" w14:textId="77777777" w:rsidR="004D15E4" w:rsidRPr="00B712CC" w:rsidRDefault="004D15E4" w:rsidP="00471E68">
      <w:pPr>
        <w:pStyle w:val="FootnoteText"/>
        <w:jc w:val="both"/>
      </w:pPr>
      <w:r>
        <w:rPr>
          <w:rStyle w:val="FootnoteReference0"/>
          <w:lang w:val="en-GB"/>
        </w:rPr>
        <w:footnoteRef/>
      </w:r>
      <w:r>
        <w:t xml:space="preserve"> Directive (UE) 2024/1203 du Parlement européen et du Conseil du 11 avril 2024 relative à la protection de l’environnement par le droit pénal et remplaçant les directives 2008/99/CE et 2009/123/CE, JO L, 2024/1203, 30.4.2024.</w:t>
      </w:r>
    </w:p>
  </w:footnote>
  <w:footnote w:id="60">
    <w:p w14:paraId="28D21F1F" w14:textId="01B6AB2A" w:rsidR="00F02F2A" w:rsidRPr="008D776A" w:rsidRDefault="00F02F2A" w:rsidP="00471E68">
      <w:pPr>
        <w:pStyle w:val="FootnoteText"/>
        <w:jc w:val="both"/>
      </w:pPr>
      <w:r>
        <w:rPr>
          <w:rStyle w:val="FootnoteReference0"/>
          <w:lang w:val="en-GB"/>
        </w:rPr>
        <w:footnoteRef/>
      </w:r>
      <w:r>
        <w:t xml:space="preserve"> Conclusions du Conseil de décembre 2022 sur une approche fondée sur les droits de l’homme dans les politiques en matière de drogue, 15818/22.</w:t>
      </w:r>
    </w:p>
  </w:footnote>
  <w:footnote w:id="61">
    <w:p w14:paraId="2304B8FD" w14:textId="3B0B8097" w:rsidR="00AC3EA8" w:rsidRDefault="00AC3EA8" w:rsidP="00541FED">
      <w:pPr>
        <w:pStyle w:val="FootnoteText"/>
        <w:jc w:val="both"/>
      </w:pPr>
      <w:r>
        <w:rPr>
          <w:rStyle w:val="FootnoteReference0"/>
        </w:rPr>
        <w:footnoteRef/>
      </w:r>
      <w:r>
        <w:t xml:space="preserve"> Conclusions du Conseil du 27 mai 2024 relatives à l’alignement du plan d’action de l’UE en faveur des droits de l’homme et de la démocratie 2020-2024 sur le cadre financier pluriannuel 2021-2027, 9508/24.</w:t>
      </w:r>
    </w:p>
  </w:footnote>
  <w:footnote w:id="62">
    <w:p w14:paraId="5A6F7B6B" w14:textId="77777777" w:rsidR="00CD305E" w:rsidRPr="00B712CC" w:rsidRDefault="00CD305E" w:rsidP="00471E68">
      <w:pPr>
        <w:pStyle w:val="FootnoteText"/>
        <w:jc w:val="both"/>
      </w:pPr>
      <w:r>
        <w:rPr>
          <w:rStyle w:val="FootnoteReference0"/>
          <w:lang w:val="en-GB"/>
        </w:rPr>
        <w:footnoteRef/>
      </w:r>
      <w:r>
        <w:t xml:space="preserve"> Conclusions du Conseil de novembre 2018 sur le développement de substitution intitulées «Vers une nouvelle conception du développement de substitution et des actions antidrogue connexes axées sur le développement – Contribuer à la mise en œuvre du résultat de la session extraordinaire de l’AGNU de 2016 et des objectifs de développement durable des Nations unies», 14338/18.</w:t>
      </w:r>
    </w:p>
  </w:footnote>
  <w:footnote w:id="63">
    <w:p w14:paraId="6EF8E2D2" w14:textId="77777777" w:rsidR="00BC63CE" w:rsidRPr="00310C92" w:rsidRDefault="00BC63CE" w:rsidP="00471E68">
      <w:pPr>
        <w:pStyle w:val="FootnoteText"/>
        <w:jc w:val="both"/>
      </w:pPr>
      <w:r>
        <w:rPr>
          <w:rStyle w:val="FootnoteReference0"/>
          <w:lang w:val="en-GB"/>
        </w:rPr>
        <w:footnoteRef/>
      </w:r>
      <w:r>
        <w:t xml:space="preserve"> Conclusions du Conseil de juin 2025 sur les priorités de l’UE aux Nations unies lors de la 80</w:t>
      </w:r>
      <w:r>
        <w:rPr>
          <w:vertAlign w:val="superscript"/>
        </w:rPr>
        <w:t>e</w:t>
      </w:r>
      <w:r>
        <w:t> session de l’Assemblée générale des Nations unies (septembre 2025 – septembre 2026), 10491/25.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3D565" w14:textId="77777777" w:rsidR="00696088" w:rsidRPr="00696088" w:rsidRDefault="00696088" w:rsidP="0069608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24BCC" w14:textId="77777777" w:rsidR="00696088" w:rsidRPr="00696088" w:rsidRDefault="00696088" w:rsidP="0069608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290EF" w14:textId="77777777" w:rsidR="00696088" w:rsidRPr="00696088" w:rsidRDefault="00696088" w:rsidP="0069608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93AA5" w14:textId="77777777" w:rsidR="00D24BB1" w:rsidRPr="008D776A" w:rsidRDefault="00D24B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A144E" w14:textId="532107A1" w:rsidR="00D24BB1" w:rsidRPr="008D776A" w:rsidRDefault="00D24B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FA1B8" w14:textId="77777777" w:rsidR="00D24BB1" w:rsidRPr="008D776A" w:rsidRDefault="00D24B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0253"/>
    <w:multiLevelType w:val="multilevel"/>
    <w:tmpl w:val="A5680622"/>
    <w:lvl w:ilvl="0">
      <w:start w:val="5"/>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02174826"/>
    <w:multiLevelType w:val="hybridMultilevel"/>
    <w:tmpl w:val="286C0184"/>
    <w:lvl w:ilvl="0" w:tplc="B1F0D1D0">
      <w:start w:val="1"/>
      <w:numFmt w:val="decimal"/>
      <w:lvlText w:val="5.%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4416749"/>
    <w:multiLevelType w:val="hybridMultilevel"/>
    <w:tmpl w:val="FFFFFFFF"/>
    <w:lvl w:ilvl="0" w:tplc="FB268818">
      <w:start w:val="1"/>
      <w:numFmt w:val="upperRoman"/>
      <w:lvlText w:val="%1."/>
      <w:lvlJc w:val="right"/>
      <w:pPr>
        <w:ind w:left="720" w:hanging="360"/>
      </w:pPr>
    </w:lvl>
    <w:lvl w:ilvl="1" w:tplc="8F506B62">
      <w:start w:val="1"/>
      <w:numFmt w:val="lowerLetter"/>
      <w:lvlText w:val="%2."/>
      <w:lvlJc w:val="left"/>
      <w:pPr>
        <w:ind w:left="1440" w:hanging="360"/>
      </w:pPr>
    </w:lvl>
    <w:lvl w:ilvl="2" w:tplc="FAEA9B82">
      <w:start w:val="1"/>
      <w:numFmt w:val="lowerRoman"/>
      <w:lvlText w:val="%3."/>
      <w:lvlJc w:val="right"/>
      <w:pPr>
        <w:ind w:left="2160" w:hanging="180"/>
      </w:pPr>
    </w:lvl>
    <w:lvl w:ilvl="3" w:tplc="39B43998">
      <w:start w:val="1"/>
      <w:numFmt w:val="decimal"/>
      <w:lvlText w:val="%4."/>
      <w:lvlJc w:val="left"/>
      <w:pPr>
        <w:ind w:left="2880" w:hanging="360"/>
      </w:pPr>
    </w:lvl>
    <w:lvl w:ilvl="4" w:tplc="D7D0F982">
      <w:start w:val="1"/>
      <w:numFmt w:val="lowerLetter"/>
      <w:lvlText w:val="%5."/>
      <w:lvlJc w:val="left"/>
      <w:pPr>
        <w:ind w:left="3600" w:hanging="360"/>
      </w:pPr>
    </w:lvl>
    <w:lvl w:ilvl="5" w:tplc="734248CE">
      <w:start w:val="1"/>
      <w:numFmt w:val="lowerRoman"/>
      <w:lvlText w:val="%6."/>
      <w:lvlJc w:val="right"/>
      <w:pPr>
        <w:ind w:left="4320" w:hanging="180"/>
      </w:pPr>
    </w:lvl>
    <w:lvl w:ilvl="6" w:tplc="5BECBFAE">
      <w:start w:val="1"/>
      <w:numFmt w:val="decimal"/>
      <w:lvlText w:val="%7."/>
      <w:lvlJc w:val="left"/>
      <w:pPr>
        <w:ind w:left="5040" w:hanging="360"/>
      </w:pPr>
    </w:lvl>
    <w:lvl w:ilvl="7" w:tplc="E9086418">
      <w:start w:val="1"/>
      <w:numFmt w:val="lowerLetter"/>
      <w:lvlText w:val="%8."/>
      <w:lvlJc w:val="left"/>
      <w:pPr>
        <w:ind w:left="5760" w:hanging="360"/>
      </w:pPr>
    </w:lvl>
    <w:lvl w:ilvl="8" w:tplc="7868AC68">
      <w:start w:val="1"/>
      <w:numFmt w:val="lowerRoman"/>
      <w:lvlText w:val="%9."/>
      <w:lvlJc w:val="right"/>
      <w:pPr>
        <w:ind w:left="6480" w:hanging="180"/>
      </w:pPr>
    </w:lvl>
  </w:abstractNum>
  <w:abstractNum w:abstractNumId="3" w15:restartNumberingAfterBreak="0">
    <w:nsid w:val="059838BE"/>
    <w:multiLevelType w:val="hybridMultilevel"/>
    <w:tmpl w:val="D24403D6"/>
    <w:lvl w:ilvl="0" w:tplc="A46EBC86">
      <w:start w:val="1"/>
      <w:numFmt w:val="decimal"/>
      <w:lvlText w:val="11.%1."/>
      <w:lvlJc w:val="righ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5ED134E"/>
    <w:multiLevelType w:val="multilevel"/>
    <w:tmpl w:val="8B3E75B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8E3129B"/>
    <w:multiLevelType w:val="hybridMultilevel"/>
    <w:tmpl w:val="CDAA9CD2"/>
    <w:lvl w:ilvl="0" w:tplc="FFFFFFFF">
      <w:start w:val="1"/>
      <w:numFmt w:val="decimal"/>
      <w:lvlText w:val="4.%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F80B66"/>
    <w:multiLevelType w:val="hybridMultilevel"/>
    <w:tmpl w:val="0FB4DBCC"/>
    <w:lvl w:ilvl="0" w:tplc="B7EE95FA">
      <w:start w:val="1"/>
      <w:numFmt w:val="bullet"/>
      <w:lvlText w:val=""/>
      <w:lvlJc w:val="left"/>
      <w:pPr>
        <w:ind w:left="720" w:hanging="360"/>
      </w:pPr>
      <w:rPr>
        <w:rFonts w:ascii="Symbol" w:hAnsi="Symbol"/>
      </w:rPr>
    </w:lvl>
    <w:lvl w:ilvl="1" w:tplc="FC20F1F2">
      <w:start w:val="1"/>
      <w:numFmt w:val="bullet"/>
      <w:lvlText w:val=""/>
      <w:lvlJc w:val="left"/>
      <w:pPr>
        <w:ind w:left="720" w:hanging="360"/>
      </w:pPr>
      <w:rPr>
        <w:rFonts w:ascii="Symbol" w:hAnsi="Symbol"/>
      </w:rPr>
    </w:lvl>
    <w:lvl w:ilvl="2" w:tplc="76063780">
      <w:start w:val="1"/>
      <w:numFmt w:val="bullet"/>
      <w:lvlText w:val=""/>
      <w:lvlJc w:val="left"/>
      <w:pPr>
        <w:ind w:left="720" w:hanging="360"/>
      </w:pPr>
      <w:rPr>
        <w:rFonts w:ascii="Symbol" w:hAnsi="Symbol"/>
      </w:rPr>
    </w:lvl>
    <w:lvl w:ilvl="3" w:tplc="9E64E90E">
      <w:start w:val="1"/>
      <w:numFmt w:val="bullet"/>
      <w:lvlText w:val=""/>
      <w:lvlJc w:val="left"/>
      <w:pPr>
        <w:ind w:left="720" w:hanging="360"/>
      </w:pPr>
      <w:rPr>
        <w:rFonts w:ascii="Symbol" w:hAnsi="Symbol"/>
      </w:rPr>
    </w:lvl>
    <w:lvl w:ilvl="4" w:tplc="5BBC98A8">
      <w:start w:val="1"/>
      <w:numFmt w:val="bullet"/>
      <w:lvlText w:val=""/>
      <w:lvlJc w:val="left"/>
      <w:pPr>
        <w:ind w:left="720" w:hanging="360"/>
      </w:pPr>
      <w:rPr>
        <w:rFonts w:ascii="Symbol" w:hAnsi="Symbol"/>
      </w:rPr>
    </w:lvl>
    <w:lvl w:ilvl="5" w:tplc="0F3A9D46">
      <w:start w:val="1"/>
      <w:numFmt w:val="bullet"/>
      <w:lvlText w:val=""/>
      <w:lvlJc w:val="left"/>
      <w:pPr>
        <w:ind w:left="720" w:hanging="360"/>
      </w:pPr>
      <w:rPr>
        <w:rFonts w:ascii="Symbol" w:hAnsi="Symbol"/>
      </w:rPr>
    </w:lvl>
    <w:lvl w:ilvl="6" w:tplc="2AD8EE28">
      <w:start w:val="1"/>
      <w:numFmt w:val="bullet"/>
      <w:lvlText w:val=""/>
      <w:lvlJc w:val="left"/>
      <w:pPr>
        <w:ind w:left="720" w:hanging="360"/>
      </w:pPr>
      <w:rPr>
        <w:rFonts w:ascii="Symbol" w:hAnsi="Symbol"/>
      </w:rPr>
    </w:lvl>
    <w:lvl w:ilvl="7" w:tplc="164A90E2">
      <w:start w:val="1"/>
      <w:numFmt w:val="bullet"/>
      <w:lvlText w:val=""/>
      <w:lvlJc w:val="left"/>
      <w:pPr>
        <w:ind w:left="720" w:hanging="360"/>
      </w:pPr>
      <w:rPr>
        <w:rFonts w:ascii="Symbol" w:hAnsi="Symbol"/>
      </w:rPr>
    </w:lvl>
    <w:lvl w:ilvl="8" w:tplc="AD1E007E">
      <w:start w:val="1"/>
      <w:numFmt w:val="bullet"/>
      <w:lvlText w:val=""/>
      <w:lvlJc w:val="left"/>
      <w:pPr>
        <w:ind w:left="720" w:hanging="360"/>
      </w:pPr>
      <w:rPr>
        <w:rFonts w:ascii="Symbol" w:hAnsi="Symbol"/>
      </w:rPr>
    </w:lvl>
  </w:abstractNum>
  <w:abstractNum w:abstractNumId="7" w15:restartNumberingAfterBreak="0">
    <w:nsid w:val="0F8E6B26"/>
    <w:multiLevelType w:val="hybridMultilevel"/>
    <w:tmpl w:val="B29824EA"/>
    <w:lvl w:ilvl="0" w:tplc="1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FC8F2BA"/>
    <w:multiLevelType w:val="hybridMultilevel"/>
    <w:tmpl w:val="FFFFFFFF"/>
    <w:lvl w:ilvl="0" w:tplc="FE22FFB8">
      <w:start w:val="1"/>
      <w:numFmt w:val="upperRoman"/>
      <w:pStyle w:val="Heading2"/>
      <w:lvlText w:val="%1."/>
      <w:lvlJc w:val="right"/>
      <w:pPr>
        <w:ind w:left="720" w:hanging="360"/>
      </w:pPr>
    </w:lvl>
    <w:lvl w:ilvl="1" w:tplc="D8B29DFE">
      <w:start w:val="1"/>
      <w:numFmt w:val="lowerLetter"/>
      <w:lvlText w:val="%2."/>
      <w:lvlJc w:val="left"/>
      <w:pPr>
        <w:ind w:left="1440" w:hanging="360"/>
      </w:pPr>
    </w:lvl>
    <w:lvl w:ilvl="2" w:tplc="889A0934">
      <w:start w:val="1"/>
      <w:numFmt w:val="lowerRoman"/>
      <w:lvlText w:val="%3."/>
      <w:lvlJc w:val="right"/>
      <w:pPr>
        <w:ind w:left="2160" w:hanging="180"/>
      </w:pPr>
    </w:lvl>
    <w:lvl w:ilvl="3" w:tplc="58229CD4">
      <w:start w:val="1"/>
      <w:numFmt w:val="decimal"/>
      <w:lvlText w:val="%4."/>
      <w:lvlJc w:val="left"/>
      <w:pPr>
        <w:ind w:left="2880" w:hanging="360"/>
      </w:pPr>
    </w:lvl>
    <w:lvl w:ilvl="4" w:tplc="000079EC">
      <w:start w:val="1"/>
      <w:numFmt w:val="lowerLetter"/>
      <w:lvlText w:val="%5."/>
      <w:lvlJc w:val="left"/>
      <w:pPr>
        <w:ind w:left="3600" w:hanging="360"/>
      </w:pPr>
    </w:lvl>
    <w:lvl w:ilvl="5" w:tplc="F72E4076">
      <w:start w:val="1"/>
      <w:numFmt w:val="lowerRoman"/>
      <w:lvlText w:val="%6."/>
      <w:lvlJc w:val="right"/>
      <w:pPr>
        <w:ind w:left="4320" w:hanging="180"/>
      </w:pPr>
    </w:lvl>
    <w:lvl w:ilvl="6" w:tplc="76447298">
      <w:start w:val="1"/>
      <w:numFmt w:val="decimal"/>
      <w:lvlText w:val="%7."/>
      <w:lvlJc w:val="left"/>
      <w:pPr>
        <w:ind w:left="5040" w:hanging="360"/>
      </w:pPr>
    </w:lvl>
    <w:lvl w:ilvl="7" w:tplc="D0D63C02">
      <w:start w:val="1"/>
      <w:numFmt w:val="lowerLetter"/>
      <w:lvlText w:val="%8."/>
      <w:lvlJc w:val="left"/>
      <w:pPr>
        <w:ind w:left="5760" w:hanging="360"/>
      </w:pPr>
    </w:lvl>
    <w:lvl w:ilvl="8" w:tplc="672202BA">
      <w:start w:val="1"/>
      <w:numFmt w:val="lowerRoman"/>
      <w:lvlText w:val="%9."/>
      <w:lvlJc w:val="right"/>
      <w:pPr>
        <w:ind w:left="6480" w:hanging="180"/>
      </w:pPr>
    </w:lvl>
  </w:abstractNum>
  <w:abstractNum w:abstractNumId="9" w15:restartNumberingAfterBreak="0">
    <w:nsid w:val="108208E8"/>
    <w:multiLevelType w:val="multilevel"/>
    <w:tmpl w:val="9556A4E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1AC1D04"/>
    <w:multiLevelType w:val="hybridMultilevel"/>
    <w:tmpl w:val="97809C36"/>
    <w:lvl w:ilvl="0" w:tplc="42922646">
      <w:start w:val="1"/>
      <w:numFmt w:val="decimal"/>
      <w:lvlText w:val="%1)"/>
      <w:lvlJc w:val="left"/>
      <w:pPr>
        <w:ind w:left="720" w:hanging="360"/>
      </w:pPr>
    </w:lvl>
    <w:lvl w:ilvl="1" w:tplc="D662E7B8">
      <w:start w:val="1"/>
      <w:numFmt w:val="decimal"/>
      <w:lvlText w:val="%2)"/>
      <w:lvlJc w:val="left"/>
      <w:pPr>
        <w:ind w:left="720" w:hanging="360"/>
      </w:pPr>
    </w:lvl>
    <w:lvl w:ilvl="2" w:tplc="344247D6">
      <w:start w:val="1"/>
      <w:numFmt w:val="decimal"/>
      <w:lvlText w:val="%3)"/>
      <w:lvlJc w:val="left"/>
      <w:pPr>
        <w:ind w:left="720" w:hanging="360"/>
      </w:pPr>
    </w:lvl>
    <w:lvl w:ilvl="3" w:tplc="35E4C4A6">
      <w:start w:val="1"/>
      <w:numFmt w:val="decimal"/>
      <w:lvlText w:val="%4)"/>
      <w:lvlJc w:val="left"/>
      <w:pPr>
        <w:ind w:left="720" w:hanging="360"/>
      </w:pPr>
    </w:lvl>
    <w:lvl w:ilvl="4" w:tplc="B52CF98C">
      <w:start w:val="1"/>
      <w:numFmt w:val="decimal"/>
      <w:lvlText w:val="%5)"/>
      <w:lvlJc w:val="left"/>
      <w:pPr>
        <w:ind w:left="720" w:hanging="360"/>
      </w:pPr>
    </w:lvl>
    <w:lvl w:ilvl="5" w:tplc="37063AAE">
      <w:start w:val="1"/>
      <w:numFmt w:val="decimal"/>
      <w:lvlText w:val="%6)"/>
      <w:lvlJc w:val="left"/>
      <w:pPr>
        <w:ind w:left="720" w:hanging="360"/>
      </w:pPr>
    </w:lvl>
    <w:lvl w:ilvl="6" w:tplc="7ACC8720">
      <w:start w:val="1"/>
      <w:numFmt w:val="decimal"/>
      <w:lvlText w:val="%7)"/>
      <w:lvlJc w:val="left"/>
      <w:pPr>
        <w:ind w:left="720" w:hanging="360"/>
      </w:pPr>
    </w:lvl>
    <w:lvl w:ilvl="7" w:tplc="5B7CFFC4">
      <w:start w:val="1"/>
      <w:numFmt w:val="decimal"/>
      <w:lvlText w:val="%8)"/>
      <w:lvlJc w:val="left"/>
      <w:pPr>
        <w:ind w:left="720" w:hanging="360"/>
      </w:pPr>
    </w:lvl>
    <w:lvl w:ilvl="8" w:tplc="A26210F4">
      <w:start w:val="1"/>
      <w:numFmt w:val="decimal"/>
      <w:lvlText w:val="%9)"/>
      <w:lvlJc w:val="left"/>
      <w:pPr>
        <w:ind w:left="720" w:hanging="360"/>
      </w:pPr>
    </w:lvl>
  </w:abstractNum>
  <w:abstractNum w:abstractNumId="11" w15:restartNumberingAfterBreak="0">
    <w:nsid w:val="12057FB8"/>
    <w:multiLevelType w:val="multilevel"/>
    <w:tmpl w:val="9C666C4C"/>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2A7529B"/>
    <w:multiLevelType w:val="hybridMultilevel"/>
    <w:tmpl w:val="835276DE"/>
    <w:lvl w:ilvl="0" w:tplc="87D8E884">
      <w:start w:val="1"/>
      <w:numFmt w:val="bullet"/>
      <w:lvlText w:val=""/>
      <w:lvlJc w:val="left"/>
      <w:pPr>
        <w:ind w:left="720" w:hanging="360"/>
      </w:pPr>
      <w:rPr>
        <w:rFonts w:ascii="Symbol" w:hAnsi="Symbol"/>
      </w:rPr>
    </w:lvl>
    <w:lvl w:ilvl="1" w:tplc="BCBC1408">
      <w:start w:val="1"/>
      <w:numFmt w:val="bullet"/>
      <w:lvlText w:val=""/>
      <w:lvlJc w:val="left"/>
      <w:pPr>
        <w:ind w:left="720" w:hanging="360"/>
      </w:pPr>
      <w:rPr>
        <w:rFonts w:ascii="Symbol" w:hAnsi="Symbol"/>
      </w:rPr>
    </w:lvl>
    <w:lvl w:ilvl="2" w:tplc="C86A0F1C">
      <w:start w:val="1"/>
      <w:numFmt w:val="bullet"/>
      <w:lvlText w:val=""/>
      <w:lvlJc w:val="left"/>
      <w:pPr>
        <w:ind w:left="720" w:hanging="360"/>
      </w:pPr>
      <w:rPr>
        <w:rFonts w:ascii="Symbol" w:hAnsi="Symbol"/>
      </w:rPr>
    </w:lvl>
    <w:lvl w:ilvl="3" w:tplc="E91A46DC">
      <w:start w:val="1"/>
      <w:numFmt w:val="bullet"/>
      <w:lvlText w:val=""/>
      <w:lvlJc w:val="left"/>
      <w:pPr>
        <w:ind w:left="720" w:hanging="360"/>
      </w:pPr>
      <w:rPr>
        <w:rFonts w:ascii="Symbol" w:hAnsi="Symbol"/>
      </w:rPr>
    </w:lvl>
    <w:lvl w:ilvl="4" w:tplc="BEE6280A">
      <w:start w:val="1"/>
      <w:numFmt w:val="bullet"/>
      <w:lvlText w:val=""/>
      <w:lvlJc w:val="left"/>
      <w:pPr>
        <w:ind w:left="720" w:hanging="360"/>
      </w:pPr>
      <w:rPr>
        <w:rFonts w:ascii="Symbol" w:hAnsi="Symbol"/>
      </w:rPr>
    </w:lvl>
    <w:lvl w:ilvl="5" w:tplc="6FBA8C08">
      <w:start w:val="1"/>
      <w:numFmt w:val="bullet"/>
      <w:lvlText w:val=""/>
      <w:lvlJc w:val="left"/>
      <w:pPr>
        <w:ind w:left="720" w:hanging="360"/>
      </w:pPr>
      <w:rPr>
        <w:rFonts w:ascii="Symbol" w:hAnsi="Symbol"/>
      </w:rPr>
    </w:lvl>
    <w:lvl w:ilvl="6" w:tplc="B232B88A">
      <w:start w:val="1"/>
      <w:numFmt w:val="bullet"/>
      <w:lvlText w:val=""/>
      <w:lvlJc w:val="left"/>
      <w:pPr>
        <w:ind w:left="720" w:hanging="360"/>
      </w:pPr>
      <w:rPr>
        <w:rFonts w:ascii="Symbol" w:hAnsi="Symbol"/>
      </w:rPr>
    </w:lvl>
    <w:lvl w:ilvl="7" w:tplc="0E703C20">
      <w:start w:val="1"/>
      <w:numFmt w:val="bullet"/>
      <w:lvlText w:val=""/>
      <w:lvlJc w:val="left"/>
      <w:pPr>
        <w:ind w:left="720" w:hanging="360"/>
      </w:pPr>
      <w:rPr>
        <w:rFonts w:ascii="Symbol" w:hAnsi="Symbol"/>
      </w:rPr>
    </w:lvl>
    <w:lvl w:ilvl="8" w:tplc="F850C93C">
      <w:start w:val="1"/>
      <w:numFmt w:val="bullet"/>
      <w:lvlText w:val=""/>
      <w:lvlJc w:val="left"/>
      <w:pPr>
        <w:ind w:left="720" w:hanging="360"/>
      </w:pPr>
      <w:rPr>
        <w:rFonts w:ascii="Symbol" w:hAnsi="Symbol"/>
      </w:rPr>
    </w:lvl>
  </w:abstractNum>
  <w:abstractNum w:abstractNumId="13" w15:restartNumberingAfterBreak="0">
    <w:nsid w:val="12AA384D"/>
    <w:multiLevelType w:val="multilevel"/>
    <w:tmpl w:val="29261FFA"/>
    <w:lvl w:ilvl="0">
      <w:start w:val="3"/>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14" w15:restartNumberingAfterBreak="0">
    <w:nsid w:val="14900376"/>
    <w:multiLevelType w:val="hybridMultilevel"/>
    <w:tmpl w:val="748466D6"/>
    <w:lvl w:ilvl="0" w:tplc="1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14B639CF"/>
    <w:multiLevelType w:val="hybridMultilevel"/>
    <w:tmpl w:val="006EB3A2"/>
    <w:lvl w:ilvl="0" w:tplc="F57C364E">
      <w:start w:val="1"/>
      <w:numFmt w:val="decimal"/>
      <w:lvlText w:val="%1."/>
      <w:lvlJc w:val="left"/>
      <w:pPr>
        <w:ind w:left="1020" w:hanging="360"/>
      </w:pPr>
    </w:lvl>
    <w:lvl w:ilvl="1" w:tplc="D08AC6D6">
      <w:start w:val="1"/>
      <w:numFmt w:val="decimal"/>
      <w:lvlText w:val="%2."/>
      <w:lvlJc w:val="left"/>
      <w:pPr>
        <w:ind w:left="1020" w:hanging="360"/>
      </w:pPr>
    </w:lvl>
    <w:lvl w:ilvl="2" w:tplc="9C32D254">
      <w:start w:val="1"/>
      <w:numFmt w:val="decimal"/>
      <w:lvlText w:val="%3."/>
      <w:lvlJc w:val="left"/>
      <w:pPr>
        <w:ind w:left="1020" w:hanging="360"/>
      </w:pPr>
    </w:lvl>
    <w:lvl w:ilvl="3" w:tplc="65CE2010">
      <w:start w:val="1"/>
      <w:numFmt w:val="decimal"/>
      <w:lvlText w:val="%4."/>
      <w:lvlJc w:val="left"/>
      <w:pPr>
        <w:ind w:left="1020" w:hanging="360"/>
      </w:pPr>
    </w:lvl>
    <w:lvl w:ilvl="4" w:tplc="80B87798">
      <w:start w:val="1"/>
      <w:numFmt w:val="decimal"/>
      <w:lvlText w:val="%5."/>
      <w:lvlJc w:val="left"/>
      <w:pPr>
        <w:ind w:left="1020" w:hanging="360"/>
      </w:pPr>
    </w:lvl>
    <w:lvl w:ilvl="5" w:tplc="5C943014">
      <w:start w:val="1"/>
      <w:numFmt w:val="decimal"/>
      <w:lvlText w:val="%6."/>
      <w:lvlJc w:val="left"/>
      <w:pPr>
        <w:ind w:left="1020" w:hanging="360"/>
      </w:pPr>
    </w:lvl>
    <w:lvl w:ilvl="6" w:tplc="D3B8C178">
      <w:start w:val="1"/>
      <w:numFmt w:val="decimal"/>
      <w:lvlText w:val="%7."/>
      <w:lvlJc w:val="left"/>
      <w:pPr>
        <w:ind w:left="1020" w:hanging="360"/>
      </w:pPr>
    </w:lvl>
    <w:lvl w:ilvl="7" w:tplc="D100ACD4">
      <w:start w:val="1"/>
      <w:numFmt w:val="decimal"/>
      <w:lvlText w:val="%8."/>
      <w:lvlJc w:val="left"/>
      <w:pPr>
        <w:ind w:left="1020" w:hanging="360"/>
      </w:pPr>
    </w:lvl>
    <w:lvl w:ilvl="8" w:tplc="F4D2DF70">
      <w:start w:val="1"/>
      <w:numFmt w:val="decimal"/>
      <w:lvlText w:val="%9."/>
      <w:lvlJc w:val="left"/>
      <w:pPr>
        <w:ind w:left="1020" w:hanging="360"/>
      </w:pPr>
    </w:lvl>
  </w:abstractNum>
  <w:abstractNum w:abstractNumId="16" w15:restartNumberingAfterBreak="0">
    <w:nsid w:val="14FE7920"/>
    <w:multiLevelType w:val="hybridMultilevel"/>
    <w:tmpl w:val="8C38C488"/>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23141F"/>
    <w:multiLevelType w:val="hybridMultilevel"/>
    <w:tmpl w:val="4D7E3776"/>
    <w:lvl w:ilvl="0" w:tplc="340E6576">
      <w:start w:val="1"/>
      <w:numFmt w:val="bullet"/>
      <w:lvlText w:val=""/>
      <w:lvlJc w:val="left"/>
      <w:pPr>
        <w:ind w:left="1020" w:hanging="360"/>
      </w:pPr>
      <w:rPr>
        <w:rFonts w:ascii="Symbol" w:hAnsi="Symbol"/>
      </w:rPr>
    </w:lvl>
    <w:lvl w:ilvl="1" w:tplc="FD16FBF2">
      <w:start w:val="1"/>
      <w:numFmt w:val="bullet"/>
      <w:lvlText w:val=""/>
      <w:lvlJc w:val="left"/>
      <w:pPr>
        <w:ind w:left="1020" w:hanging="360"/>
      </w:pPr>
      <w:rPr>
        <w:rFonts w:ascii="Symbol" w:hAnsi="Symbol"/>
      </w:rPr>
    </w:lvl>
    <w:lvl w:ilvl="2" w:tplc="17A69D2C">
      <w:start w:val="1"/>
      <w:numFmt w:val="bullet"/>
      <w:lvlText w:val=""/>
      <w:lvlJc w:val="left"/>
      <w:pPr>
        <w:ind w:left="1020" w:hanging="360"/>
      </w:pPr>
      <w:rPr>
        <w:rFonts w:ascii="Symbol" w:hAnsi="Symbol"/>
      </w:rPr>
    </w:lvl>
    <w:lvl w:ilvl="3" w:tplc="15247132">
      <w:start w:val="1"/>
      <w:numFmt w:val="bullet"/>
      <w:lvlText w:val=""/>
      <w:lvlJc w:val="left"/>
      <w:pPr>
        <w:ind w:left="1020" w:hanging="360"/>
      </w:pPr>
      <w:rPr>
        <w:rFonts w:ascii="Symbol" w:hAnsi="Symbol"/>
      </w:rPr>
    </w:lvl>
    <w:lvl w:ilvl="4" w:tplc="0B40F9F0">
      <w:start w:val="1"/>
      <w:numFmt w:val="bullet"/>
      <w:lvlText w:val=""/>
      <w:lvlJc w:val="left"/>
      <w:pPr>
        <w:ind w:left="1020" w:hanging="360"/>
      </w:pPr>
      <w:rPr>
        <w:rFonts w:ascii="Symbol" w:hAnsi="Symbol"/>
      </w:rPr>
    </w:lvl>
    <w:lvl w:ilvl="5" w:tplc="0500172E">
      <w:start w:val="1"/>
      <w:numFmt w:val="bullet"/>
      <w:lvlText w:val=""/>
      <w:lvlJc w:val="left"/>
      <w:pPr>
        <w:ind w:left="1020" w:hanging="360"/>
      </w:pPr>
      <w:rPr>
        <w:rFonts w:ascii="Symbol" w:hAnsi="Symbol"/>
      </w:rPr>
    </w:lvl>
    <w:lvl w:ilvl="6" w:tplc="BCD60088">
      <w:start w:val="1"/>
      <w:numFmt w:val="bullet"/>
      <w:lvlText w:val=""/>
      <w:lvlJc w:val="left"/>
      <w:pPr>
        <w:ind w:left="1020" w:hanging="360"/>
      </w:pPr>
      <w:rPr>
        <w:rFonts w:ascii="Symbol" w:hAnsi="Symbol"/>
      </w:rPr>
    </w:lvl>
    <w:lvl w:ilvl="7" w:tplc="B310130A">
      <w:start w:val="1"/>
      <w:numFmt w:val="bullet"/>
      <w:lvlText w:val=""/>
      <w:lvlJc w:val="left"/>
      <w:pPr>
        <w:ind w:left="1020" w:hanging="360"/>
      </w:pPr>
      <w:rPr>
        <w:rFonts w:ascii="Symbol" w:hAnsi="Symbol"/>
      </w:rPr>
    </w:lvl>
    <w:lvl w:ilvl="8" w:tplc="E9D418F0">
      <w:start w:val="1"/>
      <w:numFmt w:val="bullet"/>
      <w:lvlText w:val=""/>
      <w:lvlJc w:val="left"/>
      <w:pPr>
        <w:ind w:left="1020" w:hanging="360"/>
      </w:pPr>
      <w:rPr>
        <w:rFonts w:ascii="Symbol" w:hAnsi="Symbol"/>
      </w:rPr>
    </w:lvl>
  </w:abstractNum>
  <w:abstractNum w:abstractNumId="18" w15:restartNumberingAfterBreak="0">
    <w:nsid w:val="158537A0"/>
    <w:multiLevelType w:val="multilevel"/>
    <w:tmpl w:val="49FCA6C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6AE475E"/>
    <w:multiLevelType w:val="hybridMultilevel"/>
    <w:tmpl w:val="4EB627BA"/>
    <w:lvl w:ilvl="0" w:tplc="985A5D9C">
      <w:start w:val="1"/>
      <w:numFmt w:val="bullet"/>
      <w:lvlText w:val=""/>
      <w:lvlJc w:val="left"/>
      <w:pPr>
        <w:ind w:left="720" w:hanging="360"/>
      </w:pPr>
      <w:rPr>
        <w:rFonts w:ascii="Symbol" w:hAnsi="Symbol"/>
      </w:rPr>
    </w:lvl>
    <w:lvl w:ilvl="1" w:tplc="BAA6F288">
      <w:start w:val="1"/>
      <w:numFmt w:val="bullet"/>
      <w:lvlText w:val=""/>
      <w:lvlJc w:val="left"/>
      <w:pPr>
        <w:ind w:left="720" w:hanging="360"/>
      </w:pPr>
      <w:rPr>
        <w:rFonts w:ascii="Symbol" w:hAnsi="Symbol"/>
      </w:rPr>
    </w:lvl>
    <w:lvl w:ilvl="2" w:tplc="14A2E24A">
      <w:start w:val="1"/>
      <w:numFmt w:val="bullet"/>
      <w:lvlText w:val=""/>
      <w:lvlJc w:val="left"/>
      <w:pPr>
        <w:ind w:left="720" w:hanging="360"/>
      </w:pPr>
      <w:rPr>
        <w:rFonts w:ascii="Symbol" w:hAnsi="Symbol"/>
      </w:rPr>
    </w:lvl>
    <w:lvl w:ilvl="3" w:tplc="D3DE88A8">
      <w:start w:val="1"/>
      <w:numFmt w:val="bullet"/>
      <w:lvlText w:val=""/>
      <w:lvlJc w:val="left"/>
      <w:pPr>
        <w:ind w:left="720" w:hanging="360"/>
      </w:pPr>
      <w:rPr>
        <w:rFonts w:ascii="Symbol" w:hAnsi="Symbol"/>
      </w:rPr>
    </w:lvl>
    <w:lvl w:ilvl="4" w:tplc="02E41EA2">
      <w:start w:val="1"/>
      <w:numFmt w:val="bullet"/>
      <w:lvlText w:val=""/>
      <w:lvlJc w:val="left"/>
      <w:pPr>
        <w:ind w:left="720" w:hanging="360"/>
      </w:pPr>
      <w:rPr>
        <w:rFonts w:ascii="Symbol" w:hAnsi="Symbol"/>
      </w:rPr>
    </w:lvl>
    <w:lvl w:ilvl="5" w:tplc="74488BEA">
      <w:start w:val="1"/>
      <w:numFmt w:val="bullet"/>
      <w:lvlText w:val=""/>
      <w:lvlJc w:val="left"/>
      <w:pPr>
        <w:ind w:left="720" w:hanging="360"/>
      </w:pPr>
      <w:rPr>
        <w:rFonts w:ascii="Symbol" w:hAnsi="Symbol"/>
      </w:rPr>
    </w:lvl>
    <w:lvl w:ilvl="6" w:tplc="0E7AD126">
      <w:start w:val="1"/>
      <w:numFmt w:val="bullet"/>
      <w:lvlText w:val=""/>
      <w:lvlJc w:val="left"/>
      <w:pPr>
        <w:ind w:left="720" w:hanging="360"/>
      </w:pPr>
      <w:rPr>
        <w:rFonts w:ascii="Symbol" w:hAnsi="Symbol"/>
      </w:rPr>
    </w:lvl>
    <w:lvl w:ilvl="7" w:tplc="463860D6">
      <w:start w:val="1"/>
      <w:numFmt w:val="bullet"/>
      <w:lvlText w:val=""/>
      <w:lvlJc w:val="left"/>
      <w:pPr>
        <w:ind w:left="720" w:hanging="360"/>
      </w:pPr>
      <w:rPr>
        <w:rFonts w:ascii="Symbol" w:hAnsi="Symbol"/>
      </w:rPr>
    </w:lvl>
    <w:lvl w:ilvl="8" w:tplc="5ABC3F20">
      <w:start w:val="1"/>
      <w:numFmt w:val="bullet"/>
      <w:lvlText w:val=""/>
      <w:lvlJc w:val="left"/>
      <w:pPr>
        <w:ind w:left="720" w:hanging="360"/>
      </w:pPr>
      <w:rPr>
        <w:rFonts w:ascii="Symbol" w:hAnsi="Symbol"/>
      </w:rPr>
    </w:lvl>
  </w:abstractNum>
  <w:abstractNum w:abstractNumId="20" w15:restartNumberingAfterBreak="0">
    <w:nsid w:val="185E2163"/>
    <w:multiLevelType w:val="hybridMultilevel"/>
    <w:tmpl w:val="B240D508"/>
    <w:lvl w:ilvl="0" w:tplc="22244936">
      <w:start w:val="1"/>
      <w:numFmt w:val="bullet"/>
      <w:lvlText w:val=""/>
      <w:lvlJc w:val="left"/>
      <w:pPr>
        <w:ind w:left="720" w:hanging="360"/>
      </w:pPr>
      <w:rPr>
        <w:rFonts w:ascii="Symbol" w:hAnsi="Symbol" w:hint="default"/>
      </w:rPr>
    </w:lvl>
    <w:lvl w:ilvl="1" w:tplc="0DBE7022">
      <w:start w:val="1"/>
      <w:numFmt w:val="bullet"/>
      <w:lvlText w:val="o"/>
      <w:lvlJc w:val="left"/>
      <w:pPr>
        <w:ind w:left="1440" w:hanging="360"/>
      </w:pPr>
      <w:rPr>
        <w:rFonts w:ascii="Courier New" w:hAnsi="Courier New" w:hint="default"/>
      </w:rPr>
    </w:lvl>
    <w:lvl w:ilvl="2" w:tplc="6144D358">
      <w:start w:val="1"/>
      <w:numFmt w:val="bullet"/>
      <w:lvlText w:val=""/>
      <w:lvlJc w:val="left"/>
      <w:pPr>
        <w:ind w:left="2160" w:hanging="360"/>
      </w:pPr>
      <w:rPr>
        <w:rFonts w:ascii="Wingdings" w:hAnsi="Wingdings" w:hint="default"/>
      </w:rPr>
    </w:lvl>
    <w:lvl w:ilvl="3" w:tplc="8C006E3C">
      <w:start w:val="1"/>
      <w:numFmt w:val="bullet"/>
      <w:lvlText w:val=""/>
      <w:lvlJc w:val="left"/>
      <w:pPr>
        <w:ind w:left="2880" w:hanging="360"/>
      </w:pPr>
      <w:rPr>
        <w:rFonts w:ascii="Symbol" w:hAnsi="Symbol" w:hint="default"/>
      </w:rPr>
    </w:lvl>
    <w:lvl w:ilvl="4" w:tplc="53A8CE12">
      <w:start w:val="1"/>
      <w:numFmt w:val="bullet"/>
      <w:lvlText w:val="o"/>
      <w:lvlJc w:val="left"/>
      <w:pPr>
        <w:ind w:left="3600" w:hanging="360"/>
      </w:pPr>
      <w:rPr>
        <w:rFonts w:ascii="Courier New" w:hAnsi="Courier New" w:hint="default"/>
      </w:rPr>
    </w:lvl>
    <w:lvl w:ilvl="5" w:tplc="3C6A3D14">
      <w:start w:val="1"/>
      <w:numFmt w:val="bullet"/>
      <w:lvlText w:val=""/>
      <w:lvlJc w:val="left"/>
      <w:pPr>
        <w:ind w:left="4320" w:hanging="360"/>
      </w:pPr>
      <w:rPr>
        <w:rFonts w:ascii="Wingdings" w:hAnsi="Wingdings" w:hint="default"/>
      </w:rPr>
    </w:lvl>
    <w:lvl w:ilvl="6" w:tplc="8A682D44">
      <w:start w:val="1"/>
      <w:numFmt w:val="bullet"/>
      <w:lvlText w:val=""/>
      <w:lvlJc w:val="left"/>
      <w:pPr>
        <w:ind w:left="5040" w:hanging="360"/>
      </w:pPr>
      <w:rPr>
        <w:rFonts w:ascii="Symbol" w:hAnsi="Symbol" w:hint="default"/>
      </w:rPr>
    </w:lvl>
    <w:lvl w:ilvl="7" w:tplc="D3168D22">
      <w:start w:val="1"/>
      <w:numFmt w:val="bullet"/>
      <w:lvlText w:val="o"/>
      <w:lvlJc w:val="left"/>
      <w:pPr>
        <w:ind w:left="5760" w:hanging="360"/>
      </w:pPr>
      <w:rPr>
        <w:rFonts w:ascii="Courier New" w:hAnsi="Courier New" w:hint="default"/>
      </w:rPr>
    </w:lvl>
    <w:lvl w:ilvl="8" w:tplc="C91CEB24">
      <w:start w:val="1"/>
      <w:numFmt w:val="bullet"/>
      <w:lvlText w:val=""/>
      <w:lvlJc w:val="left"/>
      <w:pPr>
        <w:ind w:left="6480" w:hanging="360"/>
      </w:pPr>
      <w:rPr>
        <w:rFonts w:ascii="Wingdings" w:hAnsi="Wingdings" w:hint="default"/>
      </w:rPr>
    </w:lvl>
  </w:abstractNum>
  <w:abstractNum w:abstractNumId="21" w15:restartNumberingAfterBreak="0">
    <w:nsid w:val="19533ACB"/>
    <w:multiLevelType w:val="hybridMultilevel"/>
    <w:tmpl w:val="A4525C14"/>
    <w:lvl w:ilvl="0" w:tplc="41085288">
      <w:start w:val="3"/>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9D560A6"/>
    <w:multiLevelType w:val="hybridMultilevel"/>
    <w:tmpl w:val="FFFFFFFF"/>
    <w:lvl w:ilvl="0" w:tplc="BE5C4F0C">
      <w:start w:val="1"/>
      <w:numFmt w:val="upperRoman"/>
      <w:lvlText w:val="%1."/>
      <w:lvlJc w:val="right"/>
      <w:pPr>
        <w:ind w:left="720" w:hanging="360"/>
      </w:pPr>
    </w:lvl>
    <w:lvl w:ilvl="1" w:tplc="FF3892BA">
      <w:start w:val="1"/>
      <w:numFmt w:val="lowerLetter"/>
      <w:lvlText w:val="%2."/>
      <w:lvlJc w:val="left"/>
      <w:pPr>
        <w:ind w:left="1440" w:hanging="360"/>
      </w:pPr>
    </w:lvl>
    <w:lvl w:ilvl="2" w:tplc="55307DCE">
      <w:start w:val="1"/>
      <w:numFmt w:val="lowerRoman"/>
      <w:lvlText w:val="%3."/>
      <w:lvlJc w:val="right"/>
      <w:pPr>
        <w:ind w:left="2160" w:hanging="180"/>
      </w:pPr>
    </w:lvl>
    <w:lvl w:ilvl="3" w:tplc="D2104686">
      <w:start w:val="1"/>
      <w:numFmt w:val="decimal"/>
      <w:lvlText w:val="%4."/>
      <w:lvlJc w:val="left"/>
      <w:pPr>
        <w:ind w:left="2880" w:hanging="360"/>
      </w:pPr>
    </w:lvl>
    <w:lvl w:ilvl="4" w:tplc="D9262498">
      <w:start w:val="1"/>
      <w:numFmt w:val="lowerLetter"/>
      <w:lvlText w:val="%5."/>
      <w:lvlJc w:val="left"/>
      <w:pPr>
        <w:ind w:left="3600" w:hanging="360"/>
      </w:pPr>
    </w:lvl>
    <w:lvl w:ilvl="5" w:tplc="49745BC8">
      <w:start w:val="1"/>
      <w:numFmt w:val="lowerRoman"/>
      <w:lvlText w:val="%6."/>
      <w:lvlJc w:val="right"/>
      <w:pPr>
        <w:ind w:left="4320" w:hanging="180"/>
      </w:pPr>
    </w:lvl>
    <w:lvl w:ilvl="6" w:tplc="85128982">
      <w:start w:val="1"/>
      <w:numFmt w:val="decimal"/>
      <w:lvlText w:val="%7."/>
      <w:lvlJc w:val="left"/>
      <w:pPr>
        <w:ind w:left="5040" w:hanging="360"/>
      </w:pPr>
    </w:lvl>
    <w:lvl w:ilvl="7" w:tplc="AA90D642">
      <w:start w:val="1"/>
      <w:numFmt w:val="lowerLetter"/>
      <w:lvlText w:val="%8."/>
      <w:lvlJc w:val="left"/>
      <w:pPr>
        <w:ind w:left="5760" w:hanging="360"/>
      </w:pPr>
    </w:lvl>
    <w:lvl w:ilvl="8" w:tplc="4714574A">
      <w:start w:val="1"/>
      <w:numFmt w:val="lowerRoman"/>
      <w:lvlText w:val="%9."/>
      <w:lvlJc w:val="right"/>
      <w:pPr>
        <w:ind w:left="6480" w:hanging="180"/>
      </w:pPr>
    </w:lvl>
  </w:abstractNum>
  <w:abstractNum w:abstractNumId="23" w15:restartNumberingAfterBreak="0">
    <w:nsid w:val="1A7C407C"/>
    <w:multiLevelType w:val="hybridMultilevel"/>
    <w:tmpl w:val="0612219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2C198B"/>
    <w:multiLevelType w:val="hybridMultilevel"/>
    <w:tmpl w:val="343EB930"/>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B3C0856"/>
    <w:multiLevelType w:val="hybridMultilevel"/>
    <w:tmpl w:val="09BE37F2"/>
    <w:lvl w:ilvl="0" w:tplc="9176E6EE">
      <w:start w:val="1"/>
      <w:numFmt w:val="bullet"/>
      <w:lvlText w:val=""/>
      <w:lvlJc w:val="left"/>
      <w:pPr>
        <w:ind w:left="720" w:hanging="360"/>
      </w:pPr>
      <w:rPr>
        <w:rFonts w:ascii="Symbol" w:hAnsi="Symbol"/>
      </w:rPr>
    </w:lvl>
    <w:lvl w:ilvl="1" w:tplc="DFEA9F8E">
      <w:start w:val="1"/>
      <w:numFmt w:val="bullet"/>
      <w:lvlText w:val=""/>
      <w:lvlJc w:val="left"/>
      <w:pPr>
        <w:ind w:left="720" w:hanging="360"/>
      </w:pPr>
      <w:rPr>
        <w:rFonts w:ascii="Symbol" w:hAnsi="Symbol"/>
      </w:rPr>
    </w:lvl>
    <w:lvl w:ilvl="2" w:tplc="950A4A2C">
      <w:start w:val="1"/>
      <w:numFmt w:val="bullet"/>
      <w:lvlText w:val=""/>
      <w:lvlJc w:val="left"/>
      <w:pPr>
        <w:ind w:left="720" w:hanging="360"/>
      </w:pPr>
      <w:rPr>
        <w:rFonts w:ascii="Symbol" w:hAnsi="Symbol"/>
      </w:rPr>
    </w:lvl>
    <w:lvl w:ilvl="3" w:tplc="F88A8668">
      <w:start w:val="1"/>
      <w:numFmt w:val="bullet"/>
      <w:lvlText w:val=""/>
      <w:lvlJc w:val="left"/>
      <w:pPr>
        <w:ind w:left="720" w:hanging="360"/>
      </w:pPr>
      <w:rPr>
        <w:rFonts w:ascii="Symbol" w:hAnsi="Symbol"/>
      </w:rPr>
    </w:lvl>
    <w:lvl w:ilvl="4" w:tplc="BCEE7B4C">
      <w:start w:val="1"/>
      <w:numFmt w:val="bullet"/>
      <w:lvlText w:val=""/>
      <w:lvlJc w:val="left"/>
      <w:pPr>
        <w:ind w:left="720" w:hanging="360"/>
      </w:pPr>
      <w:rPr>
        <w:rFonts w:ascii="Symbol" w:hAnsi="Symbol"/>
      </w:rPr>
    </w:lvl>
    <w:lvl w:ilvl="5" w:tplc="B0426FEE">
      <w:start w:val="1"/>
      <w:numFmt w:val="bullet"/>
      <w:lvlText w:val=""/>
      <w:lvlJc w:val="left"/>
      <w:pPr>
        <w:ind w:left="720" w:hanging="360"/>
      </w:pPr>
      <w:rPr>
        <w:rFonts w:ascii="Symbol" w:hAnsi="Symbol"/>
      </w:rPr>
    </w:lvl>
    <w:lvl w:ilvl="6" w:tplc="6B8A0A66">
      <w:start w:val="1"/>
      <w:numFmt w:val="bullet"/>
      <w:lvlText w:val=""/>
      <w:lvlJc w:val="left"/>
      <w:pPr>
        <w:ind w:left="720" w:hanging="360"/>
      </w:pPr>
      <w:rPr>
        <w:rFonts w:ascii="Symbol" w:hAnsi="Symbol"/>
      </w:rPr>
    </w:lvl>
    <w:lvl w:ilvl="7" w:tplc="5B1CDE48">
      <w:start w:val="1"/>
      <w:numFmt w:val="bullet"/>
      <w:lvlText w:val=""/>
      <w:lvlJc w:val="left"/>
      <w:pPr>
        <w:ind w:left="720" w:hanging="360"/>
      </w:pPr>
      <w:rPr>
        <w:rFonts w:ascii="Symbol" w:hAnsi="Symbol"/>
      </w:rPr>
    </w:lvl>
    <w:lvl w:ilvl="8" w:tplc="FB9644DC">
      <w:start w:val="1"/>
      <w:numFmt w:val="bullet"/>
      <w:lvlText w:val=""/>
      <w:lvlJc w:val="left"/>
      <w:pPr>
        <w:ind w:left="720" w:hanging="360"/>
      </w:pPr>
      <w:rPr>
        <w:rFonts w:ascii="Symbol" w:hAnsi="Symbol"/>
      </w:rPr>
    </w:lvl>
  </w:abstractNum>
  <w:abstractNum w:abstractNumId="26" w15:restartNumberingAfterBreak="0">
    <w:nsid w:val="1CA63467"/>
    <w:multiLevelType w:val="multilevel"/>
    <w:tmpl w:val="3134093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1DD36AE9"/>
    <w:multiLevelType w:val="hybridMultilevel"/>
    <w:tmpl w:val="97E23BBC"/>
    <w:lvl w:ilvl="0" w:tplc="E6ACD9EA">
      <w:start w:val="1"/>
      <w:numFmt w:val="decimal"/>
      <w:lvlText w:val="%1)"/>
      <w:lvlJc w:val="left"/>
      <w:pPr>
        <w:ind w:left="720" w:hanging="360"/>
      </w:pPr>
    </w:lvl>
    <w:lvl w:ilvl="1" w:tplc="8138CA76">
      <w:start w:val="1"/>
      <w:numFmt w:val="decimal"/>
      <w:lvlText w:val="%2)"/>
      <w:lvlJc w:val="left"/>
      <w:pPr>
        <w:ind w:left="720" w:hanging="360"/>
      </w:pPr>
    </w:lvl>
    <w:lvl w:ilvl="2" w:tplc="8D1AA99C">
      <w:start w:val="1"/>
      <w:numFmt w:val="decimal"/>
      <w:lvlText w:val="%3)"/>
      <w:lvlJc w:val="left"/>
      <w:pPr>
        <w:ind w:left="720" w:hanging="360"/>
      </w:pPr>
    </w:lvl>
    <w:lvl w:ilvl="3" w:tplc="73C81E20">
      <w:start w:val="1"/>
      <w:numFmt w:val="decimal"/>
      <w:lvlText w:val="%4)"/>
      <w:lvlJc w:val="left"/>
      <w:pPr>
        <w:ind w:left="720" w:hanging="360"/>
      </w:pPr>
    </w:lvl>
    <w:lvl w:ilvl="4" w:tplc="132008DA">
      <w:start w:val="1"/>
      <w:numFmt w:val="decimal"/>
      <w:lvlText w:val="%5)"/>
      <w:lvlJc w:val="left"/>
      <w:pPr>
        <w:ind w:left="720" w:hanging="360"/>
      </w:pPr>
    </w:lvl>
    <w:lvl w:ilvl="5" w:tplc="F82E80B6">
      <w:start w:val="1"/>
      <w:numFmt w:val="decimal"/>
      <w:lvlText w:val="%6)"/>
      <w:lvlJc w:val="left"/>
      <w:pPr>
        <w:ind w:left="720" w:hanging="360"/>
      </w:pPr>
    </w:lvl>
    <w:lvl w:ilvl="6" w:tplc="25766BEA">
      <w:start w:val="1"/>
      <w:numFmt w:val="decimal"/>
      <w:lvlText w:val="%7)"/>
      <w:lvlJc w:val="left"/>
      <w:pPr>
        <w:ind w:left="720" w:hanging="360"/>
      </w:pPr>
    </w:lvl>
    <w:lvl w:ilvl="7" w:tplc="535C6B7E">
      <w:start w:val="1"/>
      <w:numFmt w:val="decimal"/>
      <w:lvlText w:val="%8)"/>
      <w:lvlJc w:val="left"/>
      <w:pPr>
        <w:ind w:left="720" w:hanging="360"/>
      </w:pPr>
    </w:lvl>
    <w:lvl w:ilvl="8" w:tplc="37D07E72">
      <w:start w:val="1"/>
      <w:numFmt w:val="decimal"/>
      <w:lvlText w:val="%9)"/>
      <w:lvlJc w:val="left"/>
      <w:pPr>
        <w:ind w:left="720" w:hanging="360"/>
      </w:pPr>
    </w:lvl>
  </w:abstractNum>
  <w:abstractNum w:abstractNumId="28" w15:restartNumberingAfterBreak="0">
    <w:nsid w:val="1EF606DF"/>
    <w:multiLevelType w:val="multilevel"/>
    <w:tmpl w:val="24BCC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0425BE"/>
    <w:multiLevelType w:val="hybridMultilevel"/>
    <w:tmpl w:val="5106CF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1F5E1B28"/>
    <w:multiLevelType w:val="hybridMultilevel"/>
    <w:tmpl w:val="058AD864"/>
    <w:lvl w:ilvl="0" w:tplc="0A4683C6">
      <w:start w:val="1"/>
      <w:numFmt w:val="bullet"/>
      <w:lvlText w:val=""/>
      <w:lvlJc w:val="left"/>
      <w:pPr>
        <w:ind w:left="720" w:hanging="360"/>
      </w:pPr>
      <w:rPr>
        <w:rFonts w:ascii="Symbol" w:hAnsi="Symbol"/>
      </w:rPr>
    </w:lvl>
    <w:lvl w:ilvl="1" w:tplc="E4926050">
      <w:start w:val="1"/>
      <w:numFmt w:val="bullet"/>
      <w:lvlText w:val=""/>
      <w:lvlJc w:val="left"/>
      <w:pPr>
        <w:ind w:left="720" w:hanging="360"/>
      </w:pPr>
      <w:rPr>
        <w:rFonts w:ascii="Symbol" w:hAnsi="Symbol"/>
      </w:rPr>
    </w:lvl>
    <w:lvl w:ilvl="2" w:tplc="4EBABBDE">
      <w:start w:val="1"/>
      <w:numFmt w:val="bullet"/>
      <w:lvlText w:val=""/>
      <w:lvlJc w:val="left"/>
      <w:pPr>
        <w:ind w:left="720" w:hanging="360"/>
      </w:pPr>
      <w:rPr>
        <w:rFonts w:ascii="Symbol" w:hAnsi="Symbol"/>
      </w:rPr>
    </w:lvl>
    <w:lvl w:ilvl="3" w:tplc="E23A48F4">
      <w:start w:val="1"/>
      <w:numFmt w:val="bullet"/>
      <w:lvlText w:val=""/>
      <w:lvlJc w:val="left"/>
      <w:pPr>
        <w:ind w:left="720" w:hanging="360"/>
      </w:pPr>
      <w:rPr>
        <w:rFonts w:ascii="Symbol" w:hAnsi="Symbol"/>
      </w:rPr>
    </w:lvl>
    <w:lvl w:ilvl="4" w:tplc="35A68CFA">
      <w:start w:val="1"/>
      <w:numFmt w:val="bullet"/>
      <w:lvlText w:val=""/>
      <w:lvlJc w:val="left"/>
      <w:pPr>
        <w:ind w:left="720" w:hanging="360"/>
      </w:pPr>
      <w:rPr>
        <w:rFonts w:ascii="Symbol" w:hAnsi="Symbol"/>
      </w:rPr>
    </w:lvl>
    <w:lvl w:ilvl="5" w:tplc="EAAA42C8">
      <w:start w:val="1"/>
      <w:numFmt w:val="bullet"/>
      <w:lvlText w:val=""/>
      <w:lvlJc w:val="left"/>
      <w:pPr>
        <w:ind w:left="720" w:hanging="360"/>
      </w:pPr>
      <w:rPr>
        <w:rFonts w:ascii="Symbol" w:hAnsi="Symbol"/>
      </w:rPr>
    </w:lvl>
    <w:lvl w:ilvl="6" w:tplc="82EC071A">
      <w:start w:val="1"/>
      <w:numFmt w:val="bullet"/>
      <w:lvlText w:val=""/>
      <w:lvlJc w:val="left"/>
      <w:pPr>
        <w:ind w:left="720" w:hanging="360"/>
      </w:pPr>
      <w:rPr>
        <w:rFonts w:ascii="Symbol" w:hAnsi="Symbol"/>
      </w:rPr>
    </w:lvl>
    <w:lvl w:ilvl="7" w:tplc="AF304714">
      <w:start w:val="1"/>
      <w:numFmt w:val="bullet"/>
      <w:lvlText w:val=""/>
      <w:lvlJc w:val="left"/>
      <w:pPr>
        <w:ind w:left="720" w:hanging="360"/>
      </w:pPr>
      <w:rPr>
        <w:rFonts w:ascii="Symbol" w:hAnsi="Symbol"/>
      </w:rPr>
    </w:lvl>
    <w:lvl w:ilvl="8" w:tplc="5BAC4D64">
      <w:start w:val="1"/>
      <w:numFmt w:val="bullet"/>
      <w:lvlText w:val=""/>
      <w:lvlJc w:val="left"/>
      <w:pPr>
        <w:ind w:left="720" w:hanging="360"/>
      </w:pPr>
      <w:rPr>
        <w:rFonts w:ascii="Symbol" w:hAnsi="Symbol"/>
      </w:rPr>
    </w:lvl>
  </w:abstractNum>
  <w:abstractNum w:abstractNumId="31" w15:restartNumberingAfterBreak="0">
    <w:nsid w:val="1FAC4703"/>
    <w:multiLevelType w:val="hybridMultilevel"/>
    <w:tmpl w:val="7AC20876"/>
    <w:lvl w:ilvl="0" w:tplc="FFFFFFFF">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1305B38"/>
    <w:multiLevelType w:val="hybridMultilevel"/>
    <w:tmpl w:val="6CE64A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21A150DD"/>
    <w:multiLevelType w:val="multilevel"/>
    <w:tmpl w:val="E5AC78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72"/>
      <w:numFmt w:val="bullet"/>
      <w:lvlText w:val="-"/>
      <w:lvlJc w:val="left"/>
      <w:pPr>
        <w:ind w:left="1353" w:hanging="360"/>
      </w:pPr>
      <w:rPr>
        <w:rFonts w:ascii="Times New Roman" w:eastAsiaTheme="minorHAnsi" w:hAnsi="Times New Roman" w:cs="Times New Roman" w:hint="default"/>
        <w:color w:val="000000" w:themeColor="text1"/>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24840D08"/>
    <w:multiLevelType w:val="multilevel"/>
    <w:tmpl w:val="51B0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38599D"/>
    <w:multiLevelType w:val="multilevel"/>
    <w:tmpl w:val="49B87F0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6A4104C"/>
    <w:multiLevelType w:val="hybridMultilevel"/>
    <w:tmpl w:val="2FF63E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6EF4F96"/>
    <w:multiLevelType w:val="hybridMultilevel"/>
    <w:tmpl w:val="C532B71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7286CAE"/>
    <w:multiLevelType w:val="hybridMultilevel"/>
    <w:tmpl w:val="45E8390C"/>
    <w:lvl w:ilvl="0" w:tplc="A0960D74">
      <w:start w:val="3"/>
      <w:numFmt w:val="decimal"/>
      <w:lvlText w:val="4.%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291E1521"/>
    <w:multiLevelType w:val="hybridMultilevel"/>
    <w:tmpl w:val="FE8012CA"/>
    <w:lvl w:ilvl="0" w:tplc="1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2AECD101"/>
    <w:multiLevelType w:val="hybridMultilevel"/>
    <w:tmpl w:val="FFFFFFFF"/>
    <w:lvl w:ilvl="0" w:tplc="AE240DF4">
      <w:start w:val="1"/>
      <w:numFmt w:val="upperRoman"/>
      <w:lvlText w:val="%1."/>
      <w:lvlJc w:val="left"/>
      <w:pPr>
        <w:ind w:left="720" w:hanging="360"/>
      </w:pPr>
    </w:lvl>
    <w:lvl w:ilvl="1" w:tplc="ABB24D10">
      <w:start w:val="1"/>
      <w:numFmt w:val="lowerLetter"/>
      <w:lvlText w:val="%2."/>
      <w:lvlJc w:val="left"/>
      <w:pPr>
        <w:ind w:left="1440" w:hanging="360"/>
      </w:pPr>
    </w:lvl>
    <w:lvl w:ilvl="2" w:tplc="B8EA81B2">
      <w:start w:val="1"/>
      <w:numFmt w:val="lowerRoman"/>
      <w:lvlText w:val="%3."/>
      <w:lvlJc w:val="right"/>
      <w:pPr>
        <w:ind w:left="2160" w:hanging="180"/>
      </w:pPr>
    </w:lvl>
    <w:lvl w:ilvl="3" w:tplc="F9F6EF8C">
      <w:start w:val="1"/>
      <w:numFmt w:val="decimal"/>
      <w:lvlText w:val="%4."/>
      <w:lvlJc w:val="left"/>
      <w:pPr>
        <w:ind w:left="2880" w:hanging="360"/>
      </w:pPr>
    </w:lvl>
    <w:lvl w:ilvl="4" w:tplc="92425E02">
      <w:start w:val="1"/>
      <w:numFmt w:val="lowerLetter"/>
      <w:lvlText w:val="%5."/>
      <w:lvlJc w:val="left"/>
      <w:pPr>
        <w:ind w:left="3600" w:hanging="360"/>
      </w:pPr>
    </w:lvl>
    <w:lvl w:ilvl="5" w:tplc="F7F03AFC">
      <w:start w:val="1"/>
      <w:numFmt w:val="lowerRoman"/>
      <w:lvlText w:val="%6."/>
      <w:lvlJc w:val="right"/>
      <w:pPr>
        <w:ind w:left="4320" w:hanging="180"/>
      </w:pPr>
    </w:lvl>
    <w:lvl w:ilvl="6" w:tplc="2E18A5A4">
      <w:start w:val="1"/>
      <w:numFmt w:val="decimal"/>
      <w:lvlText w:val="%7."/>
      <w:lvlJc w:val="left"/>
      <w:pPr>
        <w:ind w:left="5040" w:hanging="360"/>
      </w:pPr>
    </w:lvl>
    <w:lvl w:ilvl="7" w:tplc="F13A0270">
      <w:start w:val="1"/>
      <w:numFmt w:val="lowerLetter"/>
      <w:lvlText w:val="%8."/>
      <w:lvlJc w:val="left"/>
      <w:pPr>
        <w:ind w:left="5760" w:hanging="360"/>
      </w:pPr>
    </w:lvl>
    <w:lvl w:ilvl="8" w:tplc="B9CC6416">
      <w:start w:val="1"/>
      <w:numFmt w:val="lowerRoman"/>
      <w:lvlText w:val="%9."/>
      <w:lvlJc w:val="right"/>
      <w:pPr>
        <w:ind w:left="6480" w:hanging="180"/>
      </w:pPr>
    </w:lvl>
  </w:abstractNum>
  <w:abstractNum w:abstractNumId="41" w15:restartNumberingAfterBreak="0">
    <w:nsid w:val="2C0736F9"/>
    <w:multiLevelType w:val="hybridMultilevel"/>
    <w:tmpl w:val="63F4EE04"/>
    <w:lvl w:ilvl="0" w:tplc="AC60919E">
      <w:start w:val="1"/>
      <w:numFmt w:val="bullet"/>
      <w:lvlText w:val=""/>
      <w:lvlJc w:val="left"/>
      <w:pPr>
        <w:ind w:left="720" w:hanging="360"/>
      </w:pPr>
      <w:rPr>
        <w:rFonts w:ascii="Symbol" w:hAnsi="Symbol"/>
      </w:rPr>
    </w:lvl>
    <w:lvl w:ilvl="1" w:tplc="D270C38C">
      <w:start w:val="1"/>
      <w:numFmt w:val="bullet"/>
      <w:lvlText w:val=""/>
      <w:lvlJc w:val="left"/>
      <w:pPr>
        <w:ind w:left="720" w:hanging="360"/>
      </w:pPr>
      <w:rPr>
        <w:rFonts w:ascii="Symbol" w:hAnsi="Symbol"/>
      </w:rPr>
    </w:lvl>
    <w:lvl w:ilvl="2" w:tplc="5A7E1220">
      <w:start w:val="1"/>
      <w:numFmt w:val="bullet"/>
      <w:lvlText w:val=""/>
      <w:lvlJc w:val="left"/>
      <w:pPr>
        <w:ind w:left="720" w:hanging="360"/>
      </w:pPr>
      <w:rPr>
        <w:rFonts w:ascii="Symbol" w:hAnsi="Symbol"/>
      </w:rPr>
    </w:lvl>
    <w:lvl w:ilvl="3" w:tplc="D472C074">
      <w:start w:val="1"/>
      <w:numFmt w:val="bullet"/>
      <w:lvlText w:val=""/>
      <w:lvlJc w:val="left"/>
      <w:pPr>
        <w:ind w:left="720" w:hanging="360"/>
      </w:pPr>
      <w:rPr>
        <w:rFonts w:ascii="Symbol" w:hAnsi="Symbol"/>
      </w:rPr>
    </w:lvl>
    <w:lvl w:ilvl="4" w:tplc="D58016AC">
      <w:start w:val="1"/>
      <w:numFmt w:val="bullet"/>
      <w:lvlText w:val=""/>
      <w:lvlJc w:val="left"/>
      <w:pPr>
        <w:ind w:left="720" w:hanging="360"/>
      </w:pPr>
      <w:rPr>
        <w:rFonts w:ascii="Symbol" w:hAnsi="Symbol"/>
      </w:rPr>
    </w:lvl>
    <w:lvl w:ilvl="5" w:tplc="3684CAF2">
      <w:start w:val="1"/>
      <w:numFmt w:val="bullet"/>
      <w:lvlText w:val=""/>
      <w:lvlJc w:val="left"/>
      <w:pPr>
        <w:ind w:left="720" w:hanging="360"/>
      </w:pPr>
      <w:rPr>
        <w:rFonts w:ascii="Symbol" w:hAnsi="Symbol"/>
      </w:rPr>
    </w:lvl>
    <w:lvl w:ilvl="6" w:tplc="2E528950">
      <w:start w:val="1"/>
      <w:numFmt w:val="bullet"/>
      <w:lvlText w:val=""/>
      <w:lvlJc w:val="left"/>
      <w:pPr>
        <w:ind w:left="720" w:hanging="360"/>
      </w:pPr>
      <w:rPr>
        <w:rFonts w:ascii="Symbol" w:hAnsi="Symbol"/>
      </w:rPr>
    </w:lvl>
    <w:lvl w:ilvl="7" w:tplc="31BEAD30">
      <w:start w:val="1"/>
      <w:numFmt w:val="bullet"/>
      <w:lvlText w:val=""/>
      <w:lvlJc w:val="left"/>
      <w:pPr>
        <w:ind w:left="720" w:hanging="360"/>
      </w:pPr>
      <w:rPr>
        <w:rFonts w:ascii="Symbol" w:hAnsi="Symbol"/>
      </w:rPr>
    </w:lvl>
    <w:lvl w:ilvl="8" w:tplc="90FC8738">
      <w:start w:val="1"/>
      <w:numFmt w:val="bullet"/>
      <w:lvlText w:val=""/>
      <w:lvlJc w:val="left"/>
      <w:pPr>
        <w:ind w:left="720" w:hanging="360"/>
      </w:pPr>
      <w:rPr>
        <w:rFonts w:ascii="Symbol" w:hAnsi="Symbol"/>
      </w:rPr>
    </w:lvl>
  </w:abstractNum>
  <w:abstractNum w:abstractNumId="42" w15:restartNumberingAfterBreak="0">
    <w:nsid w:val="2D293CF4"/>
    <w:multiLevelType w:val="multilevel"/>
    <w:tmpl w:val="7C1A9356"/>
    <w:lvl w:ilvl="0">
      <w:start w:val="1"/>
      <w:numFmt w:val="upperRoman"/>
      <w:lvlText w:val="%1."/>
      <w:lvlJc w:val="righ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3" w15:restartNumberingAfterBreak="0">
    <w:nsid w:val="2D858926"/>
    <w:multiLevelType w:val="hybridMultilevel"/>
    <w:tmpl w:val="A67C806A"/>
    <w:lvl w:ilvl="0" w:tplc="CC48688A">
      <w:start w:val="1"/>
      <w:numFmt w:val="decimal"/>
      <w:lvlText w:val="3.%1."/>
      <w:lvlJc w:val="left"/>
      <w:pPr>
        <w:ind w:left="1080" w:hanging="360"/>
      </w:pPr>
    </w:lvl>
    <w:lvl w:ilvl="1" w:tplc="D590A374">
      <w:start w:val="1"/>
      <w:numFmt w:val="lowerLetter"/>
      <w:lvlText w:val="%2."/>
      <w:lvlJc w:val="left"/>
      <w:pPr>
        <w:ind w:left="1800" w:hanging="360"/>
      </w:pPr>
    </w:lvl>
    <w:lvl w:ilvl="2" w:tplc="4406E8AC">
      <w:start w:val="1"/>
      <w:numFmt w:val="lowerRoman"/>
      <w:lvlText w:val="%3."/>
      <w:lvlJc w:val="right"/>
      <w:pPr>
        <w:ind w:left="2520" w:hanging="180"/>
      </w:pPr>
    </w:lvl>
    <w:lvl w:ilvl="3" w:tplc="C218C41A">
      <w:start w:val="1"/>
      <w:numFmt w:val="decimal"/>
      <w:lvlText w:val="%4."/>
      <w:lvlJc w:val="left"/>
      <w:pPr>
        <w:ind w:left="3240" w:hanging="360"/>
      </w:pPr>
    </w:lvl>
    <w:lvl w:ilvl="4" w:tplc="AD8686F2">
      <w:start w:val="1"/>
      <w:numFmt w:val="lowerLetter"/>
      <w:lvlText w:val="%5."/>
      <w:lvlJc w:val="left"/>
      <w:pPr>
        <w:ind w:left="3960" w:hanging="360"/>
      </w:pPr>
    </w:lvl>
    <w:lvl w:ilvl="5" w:tplc="75744460">
      <w:start w:val="1"/>
      <w:numFmt w:val="lowerRoman"/>
      <w:lvlText w:val="%6."/>
      <w:lvlJc w:val="right"/>
      <w:pPr>
        <w:ind w:left="4680" w:hanging="180"/>
      </w:pPr>
    </w:lvl>
    <w:lvl w:ilvl="6" w:tplc="960013FE">
      <w:start w:val="1"/>
      <w:numFmt w:val="decimal"/>
      <w:lvlText w:val="%7."/>
      <w:lvlJc w:val="left"/>
      <w:pPr>
        <w:ind w:left="5400" w:hanging="360"/>
      </w:pPr>
    </w:lvl>
    <w:lvl w:ilvl="7" w:tplc="634499F2">
      <w:start w:val="1"/>
      <w:numFmt w:val="lowerLetter"/>
      <w:lvlText w:val="%8."/>
      <w:lvlJc w:val="left"/>
      <w:pPr>
        <w:ind w:left="6120" w:hanging="360"/>
      </w:pPr>
    </w:lvl>
    <w:lvl w:ilvl="8" w:tplc="6C8CAA16">
      <w:start w:val="1"/>
      <w:numFmt w:val="lowerRoman"/>
      <w:lvlText w:val="%9."/>
      <w:lvlJc w:val="right"/>
      <w:pPr>
        <w:ind w:left="6840" w:hanging="180"/>
      </w:pPr>
    </w:lvl>
  </w:abstractNum>
  <w:abstractNum w:abstractNumId="44" w15:restartNumberingAfterBreak="0">
    <w:nsid w:val="2DBA6476"/>
    <w:multiLevelType w:val="hybridMultilevel"/>
    <w:tmpl w:val="A09AD9AE"/>
    <w:lvl w:ilvl="0" w:tplc="EBF6C8BE">
      <w:start w:val="1"/>
      <w:numFmt w:val="decimal"/>
      <w:lvlText w:val="Strategic Priority %1 - "/>
      <w:lvlJc w:val="left"/>
      <w:pPr>
        <w:ind w:left="144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2E62250B"/>
    <w:multiLevelType w:val="hybridMultilevel"/>
    <w:tmpl w:val="B1BC3046"/>
    <w:lvl w:ilvl="0" w:tplc="FFFFFFFF">
      <w:start w:val="1"/>
      <w:numFmt w:val="decimal"/>
      <w:lvlText w:val="Strategic Priority %1 - "/>
      <w:lvlJc w:val="left"/>
      <w:pPr>
        <w:ind w:left="1440" w:hanging="360"/>
      </w:pPr>
      <w:rPr>
        <w:rFonts w:hint="default"/>
      </w:rPr>
    </w:lvl>
    <w:lvl w:ilvl="1" w:tplc="CB32C792">
      <w:start w:val="1"/>
      <w:numFmt w:val="decimal"/>
      <w:lvlText w:val="Strategic Priority %2 - "/>
      <w:lvlJc w:val="left"/>
      <w:pPr>
        <w:ind w:left="1440" w:hanging="360"/>
      </w:pPr>
      <w:rPr>
        <w:rFonts w:hint="default"/>
        <w:u w:val="singl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E970BCF"/>
    <w:multiLevelType w:val="hybridMultilevel"/>
    <w:tmpl w:val="579A07FC"/>
    <w:lvl w:ilvl="0" w:tplc="FA0081D2">
      <w:start w:val="1"/>
      <w:numFmt w:val="decimal"/>
      <w:pStyle w:val="Heading4"/>
      <w:lvlText w:val="1.%1."/>
      <w:lvlJc w:val="left"/>
      <w:pPr>
        <w:ind w:left="927"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2FC6696A"/>
    <w:multiLevelType w:val="hybridMultilevel"/>
    <w:tmpl w:val="938013E0"/>
    <w:lvl w:ilvl="0" w:tplc="BDE47038">
      <w:start w:val="1"/>
      <w:numFmt w:val="decimal"/>
      <w:lvlText w:val="%1."/>
      <w:lvlJc w:val="left"/>
      <w:pPr>
        <w:ind w:left="1020" w:hanging="360"/>
      </w:pPr>
    </w:lvl>
    <w:lvl w:ilvl="1" w:tplc="87AAF69E">
      <w:start w:val="1"/>
      <w:numFmt w:val="decimal"/>
      <w:lvlText w:val="%2."/>
      <w:lvlJc w:val="left"/>
      <w:pPr>
        <w:ind w:left="1020" w:hanging="360"/>
      </w:pPr>
    </w:lvl>
    <w:lvl w:ilvl="2" w:tplc="8DC44210">
      <w:start w:val="1"/>
      <w:numFmt w:val="decimal"/>
      <w:lvlText w:val="%3."/>
      <w:lvlJc w:val="left"/>
      <w:pPr>
        <w:ind w:left="1020" w:hanging="360"/>
      </w:pPr>
    </w:lvl>
    <w:lvl w:ilvl="3" w:tplc="F34EC236">
      <w:start w:val="1"/>
      <w:numFmt w:val="decimal"/>
      <w:lvlText w:val="%4."/>
      <w:lvlJc w:val="left"/>
      <w:pPr>
        <w:ind w:left="1020" w:hanging="360"/>
      </w:pPr>
    </w:lvl>
    <w:lvl w:ilvl="4" w:tplc="08667C94">
      <w:start w:val="1"/>
      <w:numFmt w:val="decimal"/>
      <w:lvlText w:val="%5."/>
      <w:lvlJc w:val="left"/>
      <w:pPr>
        <w:ind w:left="1020" w:hanging="360"/>
      </w:pPr>
    </w:lvl>
    <w:lvl w:ilvl="5" w:tplc="D8A23DFA">
      <w:start w:val="1"/>
      <w:numFmt w:val="decimal"/>
      <w:lvlText w:val="%6."/>
      <w:lvlJc w:val="left"/>
      <w:pPr>
        <w:ind w:left="1020" w:hanging="360"/>
      </w:pPr>
    </w:lvl>
    <w:lvl w:ilvl="6" w:tplc="18E43410">
      <w:start w:val="1"/>
      <w:numFmt w:val="decimal"/>
      <w:lvlText w:val="%7."/>
      <w:lvlJc w:val="left"/>
      <w:pPr>
        <w:ind w:left="1020" w:hanging="360"/>
      </w:pPr>
    </w:lvl>
    <w:lvl w:ilvl="7" w:tplc="BB068060">
      <w:start w:val="1"/>
      <w:numFmt w:val="decimal"/>
      <w:lvlText w:val="%8."/>
      <w:lvlJc w:val="left"/>
      <w:pPr>
        <w:ind w:left="1020" w:hanging="360"/>
      </w:pPr>
    </w:lvl>
    <w:lvl w:ilvl="8" w:tplc="5A0ACBF2">
      <w:start w:val="1"/>
      <w:numFmt w:val="decimal"/>
      <w:lvlText w:val="%9."/>
      <w:lvlJc w:val="left"/>
      <w:pPr>
        <w:ind w:left="1020" w:hanging="360"/>
      </w:pPr>
    </w:lvl>
  </w:abstractNum>
  <w:abstractNum w:abstractNumId="48" w15:restartNumberingAfterBreak="0">
    <w:nsid w:val="30A73B7A"/>
    <w:multiLevelType w:val="hybridMultilevel"/>
    <w:tmpl w:val="A184E374"/>
    <w:lvl w:ilvl="0" w:tplc="5A2E0C3A">
      <w:start w:val="1"/>
      <w:numFmt w:val="decimal"/>
      <w:lvlText w:val="8.%1."/>
      <w:lvlJc w:val="left"/>
      <w:pPr>
        <w:ind w:left="720" w:hanging="360"/>
      </w:pPr>
      <w:rPr>
        <w:rFonts w:hint="default"/>
        <w:b/>
        <w:b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30AC605B"/>
    <w:multiLevelType w:val="hybridMultilevel"/>
    <w:tmpl w:val="8D9E5E20"/>
    <w:lvl w:ilvl="0" w:tplc="7D5EE168">
      <w:start w:val="1"/>
      <w:numFmt w:val="decimal"/>
      <w:lvlText w:val="%1)"/>
      <w:lvlJc w:val="left"/>
      <w:pPr>
        <w:ind w:left="720" w:hanging="360"/>
      </w:pPr>
    </w:lvl>
    <w:lvl w:ilvl="1" w:tplc="DFDC971A">
      <w:start w:val="1"/>
      <w:numFmt w:val="decimal"/>
      <w:lvlText w:val="%2)"/>
      <w:lvlJc w:val="left"/>
      <w:pPr>
        <w:ind w:left="720" w:hanging="360"/>
      </w:pPr>
    </w:lvl>
    <w:lvl w:ilvl="2" w:tplc="64BAA57C">
      <w:start w:val="1"/>
      <w:numFmt w:val="decimal"/>
      <w:lvlText w:val="%3)"/>
      <w:lvlJc w:val="left"/>
      <w:pPr>
        <w:ind w:left="720" w:hanging="360"/>
      </w:pPr>
    </w:lvl>
    <w:lvl w:ilvl="3" w:tplc="3378D246">
      <w:start w:val="1"/>
      <w:numFmt w:val="decimal"/>
      <w:lvlText w:val="%4)"/>
      <w:lvlJc w:val="left"/>
      <w:pPr>
        <w:ind w:left="720" w:hanging="360"/>
      </w:pPr>
    </w:lvl>
    <w:lvl w:ilvl="4" w:tplc="7CF2E30E">
      <w:start w:val="1"/>
      <w:numFmt w:val="decimal"/>
      <w:lvlText w:val="%5)"/>
      <w:lvlJc w:val="left"/>
      <w:pPr>
        <w:ind w:left="720" w:hanging="360"/>
      </w:pPr>
    </w:lvl>
    <w:lvl w:ilvl="5" w:tplc="4D60D0C4">
      <w:start w:val="1"/>
      <w:numFmt w:val="decimal"/>
      <w:lvlText w:val="%6)"/>
      <w:lvlJc w:val="left"/>
      <w:pPr>
        <w:ind w:left="720" w:hanging="360"/>
      </w:pPr>
    </w:lvl>
    <w:lvl w:ilvl="6" w:tplc="64CC7160">
      <w:start w:val="1"/>
      <w:numFmt w:val="decimal"/>
      <w:lvlText w:val="%7)"/>
      <w:lvlJc w:val="left"/>
      <w:pPr>
        <w:ind w:left="720" w:hanging="360"/>
      </w:pPr>
    </w:lvl>
    <w:lvl w:ilvl="7" w:tplc="EBA24CCA">
      <w:start w:val="1"/>
      <w:numFmt w:val="decimal"/>
      <w:lvlText w:val="%8)"/>
      <w:lvlJc w:val="left"/>
      <w:pPr>
        <w:ind w:left="720" w:hanging="360"/>
      </w:pPr>
    </w:lvl>
    <w:lvl w:ilvl="8" w:tplc="757A5B5A">
      <w:start w:val="1"/>
      <w:numFmt w:val="decimal"/>
      <w:lvlText w:val="%9)"/>
      <w:lvlJc w:val="left"/>
      <w:pPr>
        <w:ind w:left="720" w:hanging="360"/>
      </w:pPr>
    </w:lvl>
  </w:abstractNum>
  <w:abstractNum w:abstractNumId="50" w15:restartNumberingAfterBreak="0">
    <w:nsid w:val="32C55E38"/>
    <w:multiLevelType w:val="hybridMultilevel"/>
    <w:tmpl w:val="05D8A230"/>
    <w:lvl w:ilvl="0" w:tplc="FFFFFFFF">
      <w:start w:val="1"/>
      <w:numFmt w:val="decimal"/>
      <w:lvlText w:val="1.%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42D4FF8"/>
    <w:multiLevelType w:val="multilevel"/>
    <w:tmpl w:val="3732D67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3655093E"/>
    <w:multiLevelType w:val="hybridMultilevel"/>
    <w:tmpl w:val="8C82E734"/>
    <w:lvl w:ilvl="0" w:tplc="18C8016E">
      <w:start w:val="1"/>
      <w:numFmt w:val="decimal"/>
      <w:lvlText w:val="6.%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36841661"/>
    <w:multiLevelType w:val="hybridMultilevel"/>
    <w:tmpl w:val="6986C6E0"/>
    <w:lvl w:ilvl="0" w:tplc="05C80C14">
      <w:start w:val="1"/>
      <w:numFmt w:val="bullet"/>
      <w:lvlText w:val=""/>
      <w:lvlJc w:val="left"/>
      <w:pPr>
        <w:ind w:left="720" w:hanging="360"/>
      </w:pPr>
      <w:rPr>
        <w:rFonts w:ascii="Symbol" w:hAnsi="Symbol"/>
      </w:rPr>
    </w:lvl>
    <w:lvl w:ilvl="1" w:tplc="A114F4B4">
      <w:start w:val="1"/>
      <w:numFmt w:val="bullet"/>
      <w:lvlText w:val=""/>
      <w:lvlJc w:val="left"/>
      <w:pPr>
        <w:ind w:left="720" w:hanging="360"/>
      </w:pPr>
      <w:rPr>
        <w:rFonts w:ascii="Symbol" w:hAnsi="Symbol"/>
      </w:rPr>
    </w:lvl>
    <w:lvl w:ilvl="2" w:tplc="3BBCECCA">
      <w:start w:val="1"/>
      <w:numFmt w:val="bullet"/>
      <w:lvlText w:val=""/>
      <w:lvlJc w:val="left"/>
      <w:pPr>
        <w:ind w:left="720" w:hanging="360"/>
      </w:pPr>
      <w:rPr>
        <w:rFonts w:ascii="Symbol" w:hAnsi="Symbol"/>
      </w:rPr>
    </w:lvl>
    <w:lvl w:ilvl="3" w:tplc="ADBA6A70">
      <w:start w:val="1"/>
      <w:numFmt w:val="bullet"/>
      <w:lvlText w:val=""/>
      <w:lvlJc w:val="left"/>
      <w:pPr>
        <w:ind w:left="720" w:hanging="360"/>
      </w:pPr>
      <w:rPr>
        <w:rFonts w:ascii="Symbol" w:hAnsi="Symbol"/>
      </w:rPr>
    </w:lvl>
    <w:lvl w:ilvl="4" w:tplc="A84E3B9E">
      <w:start w:val="1"/>
      <w:numFmt w:val="bullet"/>
      <w:lvlText w:val=""/>
      <w:lvlJc w:val="left"/>
      <w:pPr>
        <w:ind w:left="720" w:hanging="360"/>
      </w:pPr>
      <w:rPr>
        <w:rFonts w:ascii="Symbol" w:hAnsi="Symbol"/>
      </w:rPr>
    </w:lvl>
    <w:lvl w:ilvl="5" w:tplc="98DE0CAC">
      <w:start w:val="1"/>
      <w:numFmt w:val="bullet"/>
      <w:lvlText w:val=""/>
      <w:lvlJc w:val="left"/>
      <w:pPr>
        <w:ind w:left="720" w:hanging="360"/>
      </w:pPr>
      <w:rPr>
        <w:rFonts w:ascii="Symbol" w:hAnsi="Symbol"/>
      </w:rPr>
    </w:lvl>
    <w:lvl w:ilvl="6" w:tplc="7934299E">
      <w:start w:val="1"/>
      <w:numFmt w:val="bullet"/>
      <w:lvlText w:val=""/>
      <w:lvlJc w:val="left"/>
      <w:pPr>
        <w:ind w:left="720" w:hanging="360"/>
      </w:pPr>
      <w:rPr>
        <w:rFonts w:ascii="Symbol" w:hAnsi="Symbol"/>
      </w:rPr>
    </w:lvl>
    <w:lvl w:ilvl="7" w:tplc="18C0C1B2">
      <w:start w:val="1"/>
      <w:numFmt w:val="bullet"/>
      <w:lvlText w:val=""/>
      <w:lvlJc w:val="left"/>
      <w:pPr>
        <w:ind w:left="720" w:hanging="360"/>
      </w:pPr>
      <w:rPr>
        <w:rFonts w:ascii="Symbol" w:hAnsi="Symbol"/>
      </w:rPr>
    </w:lvl>
    <w:lvl w:ilvl="8" w:tplc="5FDA89B4">
      <w:start w:val="1"/>
      <w:numFmt w:val="bullet"/>
      <w:lvlText w:val=""/>
      <w:lvlJc w:val="left"/>
      <w:pPr>
        <w:ind w:left="720" w:hanging="360"/>
      </w:pPr>
      <w:rPr>
        <w:rFonts w:ascii="Symbol" w:hAnsi="Symbol"/>
      </w:rPr>
    </w:lvl>
  </w:abstractNum>
  <w:abstractNum w:abstractNumId="54" w15:restartNumberingAfterBreak="0">
    <w:nsid w:val="3B461CFD"/>
    <w:multiLevelType w:val="hybridMultilevel"/>
    <w:tmpl w:val="B974286C"/>
    <w:lvl w:ilvl="0" w:tplc="147AD6D2">
      <w:start w:val="1"/>
      <w:numFmt w:val="bullet"/>
      <w:lvlText w:val=""/>
      <w:lvlJc w:val="left"/>
      <w:pPr>
        <w:ind w:left="1440" w:hanging="360"/>
      </w:pPr>
      <w:rPr>
        <w:rFonts w:ascii="Symbol" w:hAnsi="Symbol"/>
      </w:rPr>
    </w:lvl>
    <w:lvl w:ilvl="1" w:tplc="EC4CCB98">
      <w:start w:val="1"/>
      <w:numFmt w:val="bullet"/>
      <w:lvlText w:val=""/>
      <w:lvlJc w:val="left"/>
      <w:pPr>
        <w:ind w:left="1440" w:hanging="360"/>
      </w:pPr>
      <w:rPr>
        <w:rFonts w:ascii="Symbol" w:hAnsi="Symbol"/>
      </w:rPr>
    </w:lvl>
    <w:lvl w:ilvl="2" w:tplc="2CC8542E">
      <w:start w:val="1"/>
      <w:numFmt w:val="bullet"/>
      <w:lvlText w:val=""/>
      <w:lvlJc w:val="left"/>
      <w:pPr>
        <w:ind w:left="1440" w:hanging="360"/>
      </w:pPr>
      <w:rPr>
        <w:rFonts w:ascii="Symbol" w:hAnsi="Symbol"/>
      </w:rPr>
    </w:lvl>
    <w:lvl w:ilvl="3" w:tplc="C382099A">
      <w:start w:val="1"/>
      <w:numFmt w:val="bullet"/>
      <w:lvlText w:val=""/>
      <w:lvlJc w:val="left"/>
      <w:pPr>
        <w:ind w:left="1440" w:hanging="360"/>
      </w:pPr>
      <w:rPr>
        <w:rFonts w:ascii="Symbol" w:hAnsi="Symbol"/>
      </w:rPr>
    </w:lvl>
    <w:lvl w:ilvl="4" w:tplc="D8480208">
      <w:start w:val="1"/>
      <w:numFmt w:val="bullet"/>
      <w:lvlText w:val=""/>
      <w:lvlJc w:val="left"/>
      <w:pPr>
        <w:ind w:left="1440" w:hanging="360"/>
      </w:pPr>
      <w:rPr>
        <w:rFonts w:ascii="Symbol" w:hAnsi="Symbol"/>
      </w:rPr>
    </w:lvl>
    <w:lvl w:ilvl="5" w:tplc="2594E848">
      <w:start w:val="1"/>
      <w:numFmt w:val="bullet"/>
      <w:lvlText w:val=""/>
      <w:lvlJc w:val="left"/>
      <w:pPr>
        <w:ind w:left="1440" w:hanging="360"/>
      </w:pPr>
      <w:rPr>
        <w:rFonts w:ascii="Symbol" w:hAnsi="Symbol"/>
      </w:rPr>
    </w:lvl>
    <w:lvl w:ilvl="6" w:tplc="D42661DA">
      <w:start w:val="1"/>
      <w:numFmt w:val="bullet"/>
      <w:lvlText w:val=""/>
      <w:lvlJc w:val="left"/>
      <w:pPr>
        <w:ind w:left="1440" w:hanging="360"/>
      </w:pPr>
      <w:rPr>
        <w:rFonts w:ascii="Symbol" w:hAnsi="Symbol"/>
      </w:rPr>
    </w:lvl>
    <w:lvl w:ilvl="7" w:tplc="5F886A9A">
      <w:start w:val="1"/>
      <w:numFmt w:val="bullet"/>
      <w:lvlText w:val=""/>
      <w:lvlJc w:val="left"/>
      <w:pPr>
        <w:ind w:left="1440" w:hanging="360"/>
      </w:pPr>
      <w:rPr>
        <w:rFonts w:ascii="Symbol" w:hAnsi="Symbol"/>
      </w:rPr>
    </w:lvl>
    <w:lvl w:ilvl="8" w:tplc="FC003F28">
      <w:start w:val="1"/>
      <w:numFmt w:val="bullet"/>
      <w:lvlText w:val=""/>
      <w:lvlJc w:val="left"/>
      <w:pPr>
        <w:ind w:left="1440" w:hanging="360"/>
      </w:pPr>
      <w:rPr>
        <w:rFonts w:ascii="Symbol" w:hAnsi="Symbol"/>
      </w:rPr>
    </w:lvl>
  </w:abstractNum>
  <w:abstractNum w:abstractNumId="55" w15:restartNumberingAfterBreak="0">
    <w:nsid w:val="3C27673F"/>
    <w:multiLevelType w:val="hybridMultilevel"/>
    <w:tmpl w:val="76F4F6A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3C4859C9"/>
    <w:multiLevelType w:val="hybridMultilevel"/>
    <w:tmpl w:val="5596D2E4"/>
    <w:lvl w:ilvl="0" w:tplc="F8081194">
      <w:start w:val="1"/>
      <w:numFmt w:val="bullet"/>
      <w:lvlText w:val=""/>
      <w:lvlJc w:val="left"/>
      <w:pPr>
        <w:ind w:left="720" w:hanging="360"/>
      </w:pPr>
      <w:rPr>
        <w:rFonts w:ascii="Symbol" w:hAnsi="Symbol"/>
      </w:rPr>
    </w:lvl>
    <w:lvl w:ilvl="1" w:tplc="B83663DC">
      <w:start w:val="1"/>
      <w:numFmt w:val="bullet"/>
      <w:lvlText w:val=""/>
      <w:lvlJc w:val="left"/>
      <w:pPr>
        <w:ind w:left="720" w:hanging="360"/>
      </w:pPr>
      <w:rPr>
        <w:rFonts w:ascii="Symbol" w:hAnsi="Symbol"/>
      </w:rPr>
    </w:lvl>
    <w:lvl w:ilvl="2" w:tplc="533EFE68">
      <w:start w:val="1"/>
      <w:numFmt w:val="bullet"/>
      <w:lvlText w:val=""/>
      <w:lvlJc w:val="left"/>
      <w:pPr>
        <w:ind w:left="720" w:hanging="360"/>
      </w:pPr>
      <w:rPr>
        <w:rFonts w:ascii="Symbol" w:hAnsi="Symbol"/>
      </w:rPr>
    </w:lvl>
    <w:lvl w:ilvl="3" w:tplc="A55AE246">
      <w:start w:val="1"/>
      <w:numFmt w:val="bullet"/>
      <w:lvlText w:val=""/>
      <w:lvlJc w:val="left"/>
      <w:pPr>
        <w:ind w:left="720" w:hanging="360"/>
      </w:pPr>
      <w:rPr>
        <w:rFonts w:ascii="Symbol" w:hAnsi="Symbol"/>
      </w:rPr>
    </w:lvl>
    <w:lvl w:ilvl="4" w:tplc="32CC42C8">
      <w:start w:val="1"/>
      <w:numFmt w:val="bullet"/>
      <w:lvlText w:val=""/>
      <w:lvlJc w:val="left"/>
      <w:pPr>
        <w:ind w:left="720" w:hanging="360"/>
      </w:pPr>
      <w:rPr>
        <w:rFonts w:ascii="Symbol" w:hAnsi="Symbol"/>
      </w:rPr>
    </w:lvl>
    <w:lvl w:ilvl="5" w:tplc="54D839AA">
      <w:start w:val="1"/>
      <w:numFmt w:val="bullet"/>
      <w:lvlText w:val=""/>
      <w:lvlJc w:val="left"/>
      <w:pPr>
        <w:ind w:left="720" w:hanging="360"/>
      </w:pPr>
      <w:rPr>
        <w:rFonts w:ascii="Symbol" w:hAnsi="Symbol"/>
      </w:rPr>
    </w:lvl>
    <w:lvl w:ilvl="6" w:tplc="9AB214DE">
      <w:start w:val="1"/>
      <w:numFmt w:val="bullet"/>
      <w:lvlText w:val=""/>
      <w:lvlJc w:val="left"/>
      <w:pPr>
        <w:ind w:left="720" w:hanging="360"/>
      </w:pPr>
      <w:rPr>
        <w:rFonts w:ascii="Symbol" w:hAnsi="Symbol"/>
      </w:rPr>
    </w:lvl>
    <w:lvl w:ilvl="7" w:tplc="F560EDC6">
      <w:start w:val="1"/>
      <w:numFmt w:val="bullet"/>
      <w:lvlText w:val=""/>
      <w:lvlJc w:val="left"/>
      <w:pPr>
        <w:ind w:left="720" w:hanging="360"/>
      </w:pPr>
      <w:rPr>
        <w:rFonts w:ascii="Symbol" w:hAnsi="Symbol"/>
      </w:rPr>
    </w:lvl>
    <w:lvl w:ilvl="8" w:tplc="7CF2CC32">
      <w:start w:val="1"/>
      <w:numFmt w:val="bullet"/>
      <w:lvlText w:val=""/>
      <w:lvlJc w:val="left"/>
      <w:pPr>
        <w:ind w:left="720" w:hanging="360"/>
      </w:pPr>
      <w:rPr>
        <w:rFonts w:ascii="Symbol" w:hAnsi="Symbol"/>
      </w:rPr>
    </w:lvl>
  </w:abstractNum>
  <w:abstractNum w:abstractNumId="57" w15:restartNumberingAfterBreak="0">
    <w:nsid w:val="3D4D6EDE"/>
    <w:multiLevelType w:val="multilevel"/>
    <w:tmpl w:val="F35CBF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D4F3DF1"/>
    <w:multiLevelType w:val="hybridMultilevel"/>
    <w:tmpl w:val="FD5670AE"/>
    <w:lvl w:ilvl="0" w:tplc="9190CCD2">
      <w:start w:val="1"/>
      <w:numFmt w:val="decimal"/>
      <w:lvlText w:val="3.%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3E911045"/>
    <w:multiLevelType w:val="hybridMultilevel"/>
    <w:tmpl w:val="94A06B3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60" w15:restartNumberingAfterBreak="0">
    <w:nsid w:val="40037A22"/>
    <w:multiLevelType w:val="hybridMultilevel"/>
    <w:tmpl w:val="697882BC"/>
    <w:lvl w:ilvl="0" w:tplc="CB562E5E">
      <w:start w:val="1"/>
      <w:numFmt w:val="bullet"/>
      <w:lvlText w:val=""/>
      <w:lvlJc w:val="left"/>
      <w:pPr>
        <w:ind w:left="720" w:hanging="360"/>
      </w:pPr>
      <w:rPr>
        <w:rFonts w:ascii="Symbol" w:hAnsi="Symbol"/>
      </w:rPr>
    </w:lvl>
    <w:lvl w:ilvl="1" w:tplc="2A5C69E2">
      <w:start w:val="1"/>
      <w:numFmt w:val="bullet"/>
      <w:lvlText w:val=""/>
      <w:lvlJc w:val="left"/>
      <w:pPr>
        <w:ind w:left="720" w:hanging="360"/>
      </w:pPr>
      <w:rPr>
        <w:rFonts w:ascii="Symbol" w:hAnsi="Symbol"/>
      </w:rPr>
    </w:lvl>
    <w:lvl w:ilvl="2" w:tplc="781A1012">
      <w:start w:val="1"/>
      <w:numFmt w:val="bullet"/>
      <w:lvlText w:val=""/>
      <w:lvlJc w:val="left"/>
      <w:pPr>
        <w:ind w:left="720" w:hanging="360"/>
      </w:pPr>
      <w:rPr>
        <w:rFonts w:ascii="Symbol" w:hAnsi="Symbol"/>
      </w:rPr>
    </w:lvl>
    <w:lvl w:ilvl="3" w:tplc="EBE445FA">
      <w:start w:val="1"/>
      <w:numFmt w:val="bullet"/>
      <w:lvlText w:val=""/>
      <w:lvlJc w:val="left"/>
      <w:pPr>
        <w:ind w:left="720" w:hanging="360"/>
      </w:pPr>
      <w:rPr>
        <w:rFonts w:ascii="Symbol" w:hAnsi="Symbol"/>
      </w:rPr>
    </w:lvl>
    <w:lvl w:ilvl="4" w:tplc="0646FCFC">
      <w:start w:val="1"/>
      <w:numFmt w:val="bullet"/>
      <w:lvlText w:val=""/>
      <w:lvlJc w:val="left"/>
      <w:pPr>
        <w:ind w:left="720" w:hanging="360"/>
      </w:pPr>
      <w:rPr>
        <w:rFonts w:ascii="Symbol" w:hAnsi="Symbol"/>
      </w:rPr>
    </w:lvl>
    <w:lvl w:ilvl="5" w:tplc="D6647884">
      <w:start w:val="1"/>
      <w:numFmt w:val="bullet"/>
      <w:lvlText w:val=""/>
      <w:lvlJc w:val="left"/>
      <w:pPr>
        <w:ind w:left="720" w:hanging="360"/>
      </w:pPr>
      <w:rPr>
        <w:rFonts w:ascii="Symbol" w:hAnsi="Symbol"/>
      </w:rPr>
    </w:lvl>
    <w:lvl w:ilvl="6" w:tplc="CE08C49A">
      <w:start w:val="1"/>
      <w:numFmt w:val="bullet"/>
      <w:lvlText w:val=""/>
      <w:lvlJc w:val="left"/>
      <w:pPr>
        <w:ind w:left="720" w:hanging="360"/>
      </w:pPr>
      <w:rPr>
        <w:rFonts w:ascii="Symbol" w:hAnsi="Symbol"/>
      </w:rPr>
    </w:lvl>
    <w:lvl w:ilvl="7" w:tplc="BF56DC2C">
      <w:start w:val="1"/>
      <w:numFmt w:val="bullet"/>
      <w:lvlText w:val=""/>
      <w:lvlJc w:val="left"/>
      <w:pPr>
        <w:ind w:left="720" w:hanging="360"/>
      </w:pPr>
      <w:rPr>
        <w:rFonts w:ascii="Symbol" w:hAnsi="Symbol"/>
      </w:rPr>
    </w:lvl>
    <w:lvl w:ilvl="8" w:tplc="0BBC6880">
      <w:start w:val="1"/>
      <w:numFmt w:val="bullet"/>
      <w:lvlText w:val=""/>
      <w:lvlJc w:val="left"/>
      <w:pPr>
        <w:ind w:left="720" w:hanging="360"/>
      </w:pPr>
      <w:rPr>
        <w:rFonts w:ascii="Symbol" w:hAnsi="Symbol"/>
      </w:rPr>
    </w:lvl>
  </w:abstractNum>
  <w:abstractNum w:abstractNumId="61" w15:restartNumberingAfterBreak="0">
    <w:nsid w:val="412029C2"/>
    <w:multiLevelType w:val="multilevel"/>
    <w:tmpl w:val="8040B150"/>
    <w:lvl w:ilvl="0">
      <w:start w:val="1"/>
      <w:numFmt w:val="upperRoman"/>
      <w:lvlText w:val="%1."/>
      <w:lvlJc w:val="right"/>
      <w:pPr>
        <w:ind w:left="1080" w:hanging="360"/>
      </w:pPr>
      <w:rPr>
        <w:rFonts w:hint="default"/>
      </w:rPr>
    </w:lvl>
    <w:lvl w:ilvl="1">
      <w:start w:val="1"/>
      <w:numFmt w:val="upperRoman"/>
      <w:pStyle w:val="Style2"/>
      <w:lvlText w:val="%2."/>
      <w:lvlJc w:val="right"/>
      <w:pPr>
        <w:ind w:left="1494" w:hanging="360"/>
      </w:p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2" w15:restartNumberingAfterBreak="0">
    <w:nsid w:val="41D53C10"/>
    <w:multiLevelType w:val="hybridMultilevel"/>
    <w:tmpl w:val="89DC5F80"/>
    <w:lvl w:ilvl="0" w:tplc="FFFFFFFF">
      <w:start w:val="1"/>
      <w:numFmt w:val="decimal"/>
      <w:lvlText w:val="10.%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6457FF7"/>
    <w:multiLevelType w:val="hybridMultilevel"/>
    <w:tmpl w:val="C24EA21C"/>
    <w:lvl w:ilvl="0" w:tplc="18090003">
      <w:start w:val="1"/>
      <w:numFmt w:val="bullet"/>
      <w:lvlText w:val="o"/>
      <w:lvlJc w:val="left"/>
      <w:pPr>
        <w:ind w:left="1494" w:hanging="360"/>
      </w:pPr>
      <w:rPr>
        <w:rFonts w:ascii="Courier New" w:hAnsi="Courier New" w:cs="Courier New" w:hint="default"/>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64" w15:restartNumberingAfterBreak="0">
    <w:nsid w:val="46FE4D4A"/>
    <w:multiLevelType w:val="hybridMultilevel"/>
    <w:tmpl w:val="CAB41370"/>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8CE3BF5"/>
    <w:multiLevelType w:val="multilevel"/>
    <w:tmpl w:val="E424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A707ABA"/>
    <w:multiLevelType w:val="multilevel"/>
    <w:tmpl w:val="1E7E535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7" w15:restartNumberingAfterBreak="0">
    <w:nsid w:val="4A9753DF"/>
    <w:multiLevelType w:val="hybridMultilevel"/>
    <w:tmpl w:val="B7A6D530"/>
    <w:lvl w:ilvl="0" w:tplc="54662814">
      <w:start w:val="1"/>
      <w:numFmt w:val="bullet"/>
      <w:lvlText w:val=""/>
      <w:lvlJc w:val="left"/>
      <w:pPr>
        <w:ind w:left="1440" w:hanging="360"/>
      </w:pPr>
      <w:rPr>
        <w:rFonts w:ascii="Symbol" w:hAnsi="Symbol"/>
      </w:rPr>
    </w:lvl>
    <w:lvl w:ilvl="1" w:tplc="DB36472A">
      <w:start w:val="1"/>
      <w:numFmt w:val="bullet"/>
      <w:lvlText w:val=""/>
      <w:lvlJc w:val="left"/>
      <w:pPr>
        <w:ind w:left="1440" w:hanging="360"/>
      </w:pPr>
      <w:rPr>
        <w:rFonts w:ascii="Symbol" w:hAnsi="Symbol"/>
      </w:rPr>
    </w:lvl>
    <w:lvl w:ilvl="2" w:tplc="9C3AFD0E">
      <w:start w:val="1"/>
      <w:numFmt w:val="bullet"/>
      <w:lvlText w:val=""/>
      <w:lvlJc w:val="left"/>
      <w:pPr>
        <w:ind w:left="1440" w:hanging="360"/>
      </w:pPr>
      <w:rPr>
        <w:rFonts w:ascii="Symbol" w:hAnsi="Symbol"/>
      </w:rPr>
    </w:lvl>
    <w:lvl w:ilvl="3" w:tplc="8EF0F2FC">
      <w:start w:val="1"/>
      <w:numFmt w:val="bullet"/>
      <w:lvlText w:val=""/>
      <w:lvlJc w:val="left"/>
      <w:pPr>
        <w:ind w:left="1440" w:hanging="360"/>
      </w:pPr>
      <w:rPr>
        <w:rFonts w:ascii="Symbol" w:hAnsi="Symbol"/>
      </w:rPr>
    </w:lvl>
    <w:lvl w:ilvl="4" w:tplc="5D7CC798">
      <w:start w:val="1"/>
      <w:numFmt w:val="bullet"/>
      <w:lvlText w:val=""/>
      <w:lvlJc w:val="left"/>
      <w:pPr>
        <w:ind w:left="1440" w:hanging="360"/>
      </w:pPr>
      <w:rPr>
        <w:rFonts w:ascii="Symbol" w:hAnsi="Symbol"/>
      </w:rPr>
    </w:lvl>
    <w:lvl w:ilvl="5" w:tplc="A328D648">
      <w:start w:val="1"/>
      <w:numFmt w:val="bullet"/>
      <w:lvlText w:val=""/>
      <w:lvlJc w:val="left"/>
      <w:pPr>
        <w:ind w:left="1440" w:hanging="360"/>
      </w:pPr>
      <w:rPr>
        <w:rFonts w:ascii="Symbol" w:hAnsi="Symbol"/>
      </w:rPr>
    </w:lvl>
    <w:lvl w:ilvl="6" w:tplc="19A4F17A">
      <w:start w:val="1"/>
      <w:numFmt w:val="bullet"/>
      <w:lvlText w:val=""/>
      <w:lvlJc w:val="left"/>
      <w:pPr>
        <w:ind w:left="1440" w:hanging="360"/>
      </w:pPr>
      <w:rPr>
        <w:rFonts w:ascii="Symbol" w:hAnsi="Symbol"/>
      </w:rPr>
    </w:lvl>
    <w:lvl w:ilvl="7" w:tplc="5FA24AA6">
      <w:start w:val="1"/>
      <w:numFmt w:val="bullet"/>
      <w:lvlText w:val=""/>
      <w:lvlJc w:val="left"/>
      <w:pPr>
        <w:ind w:left="1440" w:hanging="360"/>
      </w:pPr>
      <w:rPr>
        <w:rFonts w:ascii="Symbol" w:hAnsi="Symbol"/>
      </w:rPr>
    </w:lvl>
    <w:lvl w:ilvl="8" w:tplc="494EBC1E">
      <w:start w:val="1"/>
      <w:numFmt w:val="bullet"/>
      <w:lvlText w:val=""/>
      <w:lvlJc w:val="left"/>
      <w:pPr>
        <w:ind w:left="1440" w:hanging="360"/>
      </w:pPr>
      <w:rPr>
        <w:rFonts w:ascii="Symbol" w:hAnsi="Symbol"/>
      </w:rPr>
    </w:lvl>
  </w:abstractNum>
  <w:abstractNum w:abstractNumId="68" w15:restartNumberingAfterBreak="0">
    <w:nsid w:val="4AEB58BE"/>
    <w:multiLevelType w:val="hybridMultilevel"/>
    <w:tmpl w:val="4B3251FE"/>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4B7040AE"/>
    <w:multiLevelType w:val="hybridMultilevel"/>
    <w:tmpl w:val="C9C89300"/>
    <w:lvl w:ilvl="0" w:tplc="9190CCD2">
      <w:start w:val="1"/>
      <w:numFmt w:val="decimal"/>
      <w:lvlText w:val="3.%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4D0630BA"/>
    <w:multiLevelType w:val="hybridMultilevel"/>
    <w:tmpl w:val="0C16E918"/>
    <w:lvl w:ilvl="0" w:tplc="18C8016E">
      <w:start w:val="1"/>
      <w:numFmt w:val="decimal"/>
      <w:lvlText w:val="6.%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71" w15:restartNumberingAfterBreak="0">
    <w:nsid w:val="4FAA7254"/>
    <w:multiLevelType w:val="hybridMultilevel"/>
    <w:tmpl w:val="99E806D0"/>
    <w:lvl w:ilvl="0" w:tplc="D610A5C4">
      <w:start w:val="1"/>
      <w:numFmt w:val="bullet"/>
      <w:lvlText w:val=""/>
      <w:lvlJc w:val="left"/>
      <w:pPr>
        <w:ind w:left="720" w:hanging="360"/>
      </w:pPr>
      <w:rPr>
        <w:rFonts w:ascii="Symbol" w:hAnsi="Symbol"/>
      </w:rPr>
    </w:lvl>
    <w:lvl w:ilvl="1" w:tplc="C69029E2">
      <w:start w:val="1"/>
      <w:numFmt w:val="bullet"/>
      <w:lvlText w:val=""/>
      <w:lvlJc w:val="left"/>
      <w:pPr>
        <w:ind w:left="720" w:hanging="360"/>
      </w:pPr>
      <w:rPr>
        <w:rFonts w:ascii="Symbol" w:hAnsi="Symbol"/>
      </w:rPr>
    </w:lvl>
    <w:lvl w:ilvl="2" w:tplc="0C4AF20C">
      <w:start w:val="1"/>
      <w:numFmt w:val="bullet"/>
      <w:lvlText w:val=""/>
      <w:lvlJc w:val="left"/>
      <w:pPr>
        <w:ind w:left="720" w:hanging="360"/>
      </w:pPr>
      <w:rPr>
        <w:rFonts w:ascii="Symbol" w:hAnsi="Symbol"/>
      </w:rPr>
    </w:lvl>
    <w:lvl w:ilvl="3" w:tplc="682CF1E2">
      <w:start w:val="1"/>
      <w:numFmt w:val="bullet"/>
      <w:lvlText w:val=""/>
      <w:lvlJc w:val="left"/>
      <w:pPr>
        <w:ind w:left="720" w:hanging="360"/>
      </w:pPr>
      <w:rPr>
        <w:rFonts w:ascii="Symbol" w:hAnsi="Symbol"/>
      </w:rPr>
    </w:lvl>
    <w:lvl w:ilvl="4" w:tplc="0D8CFBA6">
      <w:start w:val="1"/>
      <w:numFmt w:val="bullet"/>
      <w:lvlText w:val=""/>
      <w:lvlJc w:val="left"/>
      <w:pPr>
        <w:ind w:left="720" w:hanging="360"/>
      </w:pPr>
      <w:rPr>
        <w:rFonts w:ascii="Symbol" w:hAnsi="Symbol"/>
      </w:rPr>
    </w:lvl>
    <w:lvl w:ilvl="5" w:tplc="A456EC8C">
      <w:start w:val="1"/>
      <w:numFmt w:val="bullet"/>
      <w:lvlText w:val=""/>
      <w:lvlJc w:val="left"/>
      <w:pPr>
        <w:ind w:left="720" w:hanging="360"/>
      </w:pPr>
      <w:rPr>
        <w:rFonts w:ascii="Symbol" w:hAnsi="Symbol"/>
      </w:rPr>
    </w:lvl>
    <w:lvl w:ilvl="6" w:tplc="4CAA7E52">
      <w:start w:val="1"/>
      <w:numFmt w:val="bullet"/>
      <w:lvlText w:val=""/>
      <w:lvlJc w:val="left"/>
      <w:pPr>
        <w:ind w:left="720" w:hanging="360"/>
      </w:pPr>
      <w:rPr>
        <w:rFonts w:ascii="Symbol" w:hAnsi="Symbol"/>
      </w:rPr>
    </w:lvl>
    <w:lvl w:ilvl="7" w:tplc="9EEC65B6">
      <w:start w:val="1"/>
      <w:numFmt w:val="bullet"/>
      <w:lvlText w:val=""/>
      <w:lvlJc w:val="left"/>
      <w:pPr>
        <w:ind w:left="720" w:hanging="360"/>
      </w:pPr>
      <w:rPr>
        <w:rFonts w:ascii="Symbol" w:hAnsi="Symbol"/>
      </w:rPr>
    </w:lvl>
    <w:lvl w:ilvl="8" w:tplc="9632A21C">
      <w:start w:val="1"/>
      <w:numFmt w:val="bullet"/>
      <w:lvlText w:val=""/>
      <w:lvlJc w:val="left"/>
      <w:pPr>
        <w:ind w:left="720" w:hanging="360"/>
      </w:pPr>
      <w:rPr>
        <w:rFonts w:ascii="Symbol" w:hAnsi="Symbol"/>
      </w:rPr>
    </w:lvl>
  </w:abstractNum>
  <w:abstractNum w:abstractNumId="72" w15:restartNumberingAfterBreak="0">
    <w:nsid w:val="50120FD7"/>
    <w:multiLevelType w:val="hybridMultilevel"/>
    <w:tmpl w:val="ACCC88BA"/>
    <w:lvl w:ilvl="0" w:tplc="DE2CE452">
      <w:start w:val="1"/>
      <w:numFmt w:val="bullet"/>
      <w:lvlText w:val=""/>
      <w:lvlJc w:val="left"/>
      <w:pPr>
        <w:ind w:left="720" w:hanging="360"/>
      </w:pPr>
      <w:rPr>
        <w:rFonts w:ascii="Symbol" w:hAnsi="Symbol"/>
      </w:rPr>
    </w:lvl>
    <w:lvl w:ilvl="1" w:tplc="B164FB04">
      <w:start w:val="1"/>
      <w:numFmt w:val="bullet"/>
      <w:lvlText w:val=""/>
      <w:lvlJc w:val="left"/>
      <w:pPr>
        <w:ind w:left="720" w:hanging="360"/>
      </w:pPr>
      <w:rPr>
        <w:rFonts w:ascii="Symbol" w:hAnsi="Symbol"/>
      </w:rPr>
    </w:lvl>
    <w:lvl w:ilvl="2" w:tplc="67BCF1FA">
      <w:start w:val="1"/>
      <w:numFmt w:val="bullet"/>
      <w:lvlText w:val=""/>
      <w:lvlJc w:val="left"/>
      <w:pPr>
        <w:ind w:left="720" w:hanging="360"/>
      </w:pPr>
      <w:rPr>
        <w:rFonts w:ascii="Symbol" w:hAnsi="Symbol"/>
      </w:rPr>
    </w:lvl>
    <w:lvl w:ilvl="3" w:tplc="8D8A734A">
      <w:start w:val="1"/>
      <w:numFmt w:val="bullet"/>
      <w:lvlText w:val=""/>
      <w:lvlJc w:val="left"/>
      <w:pPr>
        <w:ind w:left="720" w:hanging="360"/>
      </w:pPr>
      <w:rPr>
        <w:rFonts w:ascii="Symbol" w:hAnsi="Symbol"/>
      </w:rPr>
    </w:lvl>
    <w:lvl w:ilvl="4" w:tplc="38662070">
      <w:start w:val="1"/>
      <w:numFmt w:val="bullet"/>
      <w:lvlText w:val=""/>
      <w:lvlJc w:val="left"/>
      <w:pPr>
        <w:ind w:left="720" w:hanging="360"/>
      </w:pPr>
      <w:rPr>
        <w:rFonts w:ascii="Symbol" w:hAnsi="Symbol"/>
      </w:rPr>
    </w:lvl>
    <w:lvl w:ilvl="5" w:tplc="D66A3874">
      <w:start w:val="1"/>
      <w:numFmt w:val="bullet"/>
      <w:lvlText w:val=""/>
      <w:lvlJc w:val="left"/>
      <w:pPr>
        <w:ind w:left="720" w:hanging="360"/>
      </w:pPr>
      <w:rPr>
        <w:rFonts w:ascii="Symbol" w:hAnsi="Symbol"/>
      </w:rPr>
    </w:lvl>
    <w:lvl w:ilvl="6" w:tplc="25F46122">
      <w:start w:val="1"/>
      <w:numFmt w:val="bullet"/>
      <w:lvlText w:val=""/>
      <w:lvlJc w:val="left"/>
      <w:pPr>
        <w:ind w:left="720" w:hanging="360"/>
      </w:pPr>
      <w:rPr>
        <w:rFonts w:ascii="Symbol" w:hAnsi="Symbol"/>
      </w:rPr>
    </w:lvl>
    <w:lvl w:ilvl="7" w:tplc="AF0A9E32">
      <w:start w:val="1"/>
      <w:numFmt w:val="bullet"/>
      <w:lvlText w:val=""/>
      <w:lvlJc w:val="left"/>
      <w:pPr>
        <w:ind w:left="720" w:hanging="360"/>
      </w:pPr>
      <w:rPr>
        <w:rFonts w:ascii="Symbol" w:hAnsi="Symbol"/>
      </w:rPr>
    </w:lvl>
    <w:lvl w:ilvl="8" w:tplc="8FC4BC9C">
      <w:start w:val="1"/>
      <w:numFmt w:val="bullet"/>
      <w:lvlText w:val=""/>
      <w:lvlJc w:val="left"/>
      <w:pPr>
        <w:ind w:left="720" w:hanging="360"/>
      </w:pPr>
      <w:rPr>
        <w:rFonts w:ascii="Symbol" w:hAnsi="Symbol"/>
      </w:rPr>
    </w:lvl>
  </w:abstractNum>
  <w:abstractNum w:abstractNumId="73" w15:restartNumberingAfterBreak="0">
    <w:nsid w:val="51143589"/>
    <w:multiLevelType w:val="hybridMultilevel"/>
    <w:tmpl w:val="237E0432"/>
    <w:lvl w:ilvl="0" w:tplc="32BCA60A">
      <w:start w:val="1"/>
      <w:numFmt w:val="bullet"/>
      <w:lvlText w:val=""/>
      <w:lvlJc w:val="left"/>
      <w:pPr>
        <w:ind w:left="720" w:hanging="360"/>
      </w:pPr>
      <w:rPr>
        <w:rFonts w:ascii="Symbol" w:hAnsi="Symbol"/>
      </w:rPr>
    </w:lvl>
    <w:lvl w:ilvl="1" w:tplc="5FF80C54">
      <w:start w:val="1"/>
      <w:numFmt w:val="bullet"/>
      <w:lvlText w:val=""/>
      <w:lvlJc w:val="left"/>
      <w:pPr>
        <w:ind w:left="720" w:hanging="360"/>
      </w:pPr>
      <w:rPr>
        <w:rFonts w:ascii="Symbol" w:hAnsi="Symbol"/>
      </w:rPr>
    </w:lvl>
    <w:lvl w:ilvl="2" w:tplc="72663C9A">
      <w:start w:val="1"/>
      <w:numFmt w:val="bullet"/>
      <w:lvlText w:val=""/>
      <w:lvlJc w:val="left"/>
      <w:pPr>
        <w:ind w:left="720" w:hanging="360"/>
      </w:pPr>
      <w:rPr>
        <w:rFonts w:ascii="Symbol" w:hAnsi="Symbol"/>
      </w:rPr>
    </w:lvl>
    <w:lvl w:ilvl="3" w:tplc="4114FBB2">
      <w:start w:val="1"/>
      <w:numFmt w:val="bullet"/>
      <w:lvlText w:val=""/>
      <w:lvlJc w:val="left"/>
      <w:pPr>
        <w:ind w:left="720" w:hanging="360"/>
      </w:pPr>
      <w:rPr>
        <w:rFonts w:ascii="Symbol" w:hAnsi="Symbol"/>
      </w:rPr>
    </w:lvl>
    <w:lvl w:ilvl="4" w:tplc="9A007758">
      <w:start w:val="1"/>
      <w:numFmt w:val="bullet"/>
      <w:lvlText w:val=""/>
      <w:lvlJc w:val="left"/>
      <w:pPr>
        <w:ind w:left="720" w:hanging="360"/>
      </w:pPr>
      <w:rPr>
        <w:rFonts w:ascii="Symbol" w:hAnsi="Symbol"/>
      </w:rPr>
    </w:lvl>
    <w:lvl w:ilvl="5" w:tplc="CB38C464">
      <w:start w:val="1"/>
      <w:numFmt w:val="bullet"/>
      <w:lvlText w:val=""/>
      <w:lvlJc w:val="left"/>
      <w:pPr>
        <w:ind w:left="720" w:hanging="360"/>
      </w:pPr>
      <w:rPr>
        <w:rFonts w:ascii="Symbol" w:hAnsi="Symbol"/>
      </w:rPr>
    </w:lvl>
    <w:lvl w:ilvl="6" w:tplc="E0325EF8">
      <w:start w:val="1"/>
      <w:numFmt w:val="bullet"/>
      <w:lvlText w:val=""/>
      <w:lvlJc w:val="left"/>
      <w:pPr>
        <w:ind w:left="720" w:hanging="360"/>
      </w:pPr>
      <w:rPr>
        <w:rFonts w:ascii="Symbol" w:hAnsi="Symbol"/>
      </w:rPr>
    </w:lvl>
    <w:lvl w:ilvl="7" w:tplc="A8484BB2">
      <w:start w:val="1"/>
      <w:numFmt w:val="bullet"/>
      <w:lvlText w:val=""/>
      <w:lvlJc w:val="left"/>
      <w:pPr>
        <w:ind w:left="720" w:hanging="360"/>
      </w:pPr>
      <w:rPr>
        <w:rFonts w:ascii="Symbol" w:hAnsi="Symbol"/>
      </w:rPr>
    </w:lvl>
    <w:lvl w:ilvl="8" w:tplc="747AF5B2">
      <w:start w:val="1"/>
      <w:numFmt w:val="bullet"/>
      <w:lvlText w:val=""/>
      <w:lvlJc w:val="left"/>
      <w:pPr>
        <w:ind w:left="720" w:hanging="360"/>
      </w:pPr>
      <w:rPr>
        <w:rFonts w:ascii="Symbol" w:hAnsi="Symbol"/>
      </w:rPr>
    </w:lvl>
  </w:abstractNum>
  <w:abstractNum w:abstractNumId="74" w15:restartNumberingAfterBreak="0">
    <w:nsid w:val="538B498F"/>
    <w:multiLevelType w:val="hybridMultilevel"/>
    <w:tmpl w:val="5C36DDD2"/>
    <w:lvl w:ilvl="0" w:tplc="FFFFFFFF">
      <w:start w:val="1"/>
      <w:numFmt w:val="decimal"/>
      <w:lvlText w:val="9.%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50204A6"/>
    <w:multiLevelType w:val="hybridMultilevel"/>
    <w:tmpl w:val="50342F5C"/>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53943B1"/>
    <w:multiLevelType w:val="hybridMultilevel"/>
    <w:tmpl w:val="48D44C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553D4298"/>
    <w:multiLevelType w:val="multilevel"/>
    <w:tmpl w:val="7C6CA58E"/>
    <w:lvl w:ilvl="0">
      <w:start w:val="2"/>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78" w15:restartNumberingAfterBreak="0">
    <w:nsid w:val="572A3A23"/>
    <w:multiLevelType w:val="hybridMultilevel"/>
    <w:tmpl w:val="3A16C356"/>
    <w:lvl w:ilvl="0" w:tplc="7624D9C8">
      <w:start w:val="1"/>
      <w:numFmt w:val="decimal"/>
      <w:lvlText w:val="%1."/>
      <w:lvlJc w:val="left"/>
      <w:pPr>
        <w:ind w:left="1020" w:hanging="360"/>
      </w:pPr>
    </w:lvl>
    <w:lvl w:ilvl="1" w:tplc="709C7EEE">
      <w:start w:val="1"/>
      <w:numFmt w:val="decimal"/>
      <w:lvlText w:val="%2."/>
      <w:lvlJc w:val="left"/>
      <w:pPr>
        <w:ind w:left="1020" w:hanging="360"/>
      </w:pPr>
    </w:lvl>
    <w:lvl w:ilvl="2" w:tplc="01461994">
      <w:start w:val="1"/>
      <w:numFmt w:val="decimal"/>
      <w:lvlText w:val="%3."/>
      <w:lvlJc w:val="left"/>
      <w:pPr>
        <w:ind w:left="1020" w:hanging="360"/>
      </w:pPr>
    </w:lvl>
    <w:lvl w:ilvl="3" w:tplc="9F6EB1E0">
      <w:start w:val="1"/>
      <w:numFmt w:val="decimal"/>
      <w:lvlText w:val="%4."/>
      <w:lvlJc w:val="left"/>
      <w:pPr>
        <w:ind w:left="1020" w:hanging="360"/>
      </w:pPr>
    </w:lvl>
    <w:lvl w:ilvl="4" w:tplc="6CD6E6D2">
      <w:start w:val="1"/>
      <w:numFmt w:val="decimal"/>
      <w:lvlText w:val="%5."/>
      <w:lvlJc w:val="left"/>
      <w:pPr>
        <w:ind w:left="1020" w:hanging="360"/>
      </w:pPr>
    </w:lvl>
    <w:lvl w:ilvl="5" w:tplc="896EC366">
      <w:start w:val="1"/>
      <w:numFmt w:val="decimal"/>
      <w:lvlText w:val="%6."/>
      <w:lvlJc w:val="left"/>
      <w:pPr>
        <w:ind w:left="1020" w:hanging="360"/>
      </w:pPr>
    </w:lvl>
    <w:lvl w:ilvl="6" w:tplc="B492DDFE">
      <w:start w:val="1"/>
      <w:numFmt w:val="decimal"/>
      <w:lvlText w:val="%7."/>
      <w:lvlJc w:val="left"/>
      <w:pPr>
        <w:ind w:left="1020" w:hanging="360"/>
      </w:pPr>
    </w:lvl>
    <w:lvl w:ilvl="7" w:tplc="1E1ECB8E">
      <w:start w:val="1"/>
      <w:numFmt w:val="decimal"/>
      <w:lvlText w:val="%8."/>
      <w:lvlJc w:val="left"/>
      <w:pPr>
        <w:ind w:left="1020" w:hanging="360"/>
      </w:pPr>
    </w:lvl>
    <w:lvl w:ilvl="8" w:tplc="C1CA0FFC">
      <w:start w:val="1"/>
      <w:numFmt w:val="decimal"/>
      <w:lvlText w:val="%9."/>
      <w:lvlJc w:val="left"/>
      <w:pPr>
        <w:ind w:left="1020" w:hanging="360"/>
      </w:pPr>
    </w:lvl>
  </w:abstractNum>
  <w:abstractNum w:abstractNumId="79" w15:restartNumberingAfterBreak="0">
    <w:nsid w:val="58D23686"/>
    <w:multiLevelType w:val="hybridMultilevel"/>
    <w:tmpl w:val="08B45CB2"/>
    <w:lvl w:ilvl="0" w:tplc="ABDC9BD0">
      <w:start w:val="1"/>
      <w:numFmt w:val="bullet"/>
      <w:lvlText w:val=""/>
      <w:lvlJc w:val="left"/>
      <w:pPr>
        <w:ind w:left="720" w:hanging="360"/>
      </w:pPr>
      <w:rPr>
        <w:rFonts w:ascii="Symbol" w:hAnsi="Symbol"/>
      </w:rPr>
    </w:lvl>
    <w:lvl w:ilvl="1" w:tplc="1A8CD822">
      <w:start w:val="1"/>
      <w:numFmt w:val="bullet"/>
      <w:lvlText w:val=""/>
      <w:lvlJc w:val="left"/>
      <w:pPr>
        <w:ind w:left="720" w:hanging="360"/>
      </w:pPr>
      <w:rPr>
        <w:rFonts w:ascii="Symbol" w:hAnsi="Symbol"/>
      </w:rPr>
    </w:lvl>
    <w:lvl w:ilvl="2" w:tplc="2684DB9A">
      <w:start w:val="1"/>
      <w:numFmt w:val="bullet"/>
      <w:lvlText w:val=""/>
      <w:lvlJc w:val="left"/>
      <w:pPr>
        <w:ind w:left="720" w:hanging="360"/>
      </w:pPr>
      <w:rPr>
        <w:rFonts w:ascii="Symbol" w:hAnsi="Symbol"/>
      </w:rPr>
    </w:lvl>
    <w:lvl w:ilvl="3" w:tplc="465CB456">
      <w:start w:val="1"/>
      <w:numFmt w:val="bullet"/>
      <w:lvlText w:val=""/>
      <w:lvlJc w:val="left"/>
      <w:pPr>
        <w:ind w:left="720" w:hanging="360"/>
      </w:pPr>
      <w:rPr>
        <w:rFonts w:ascii="Symbol" w:hAnsi="Symbol"/>
      </w:rPr>
    </w:lvl>
    <w:lvl w:ilvl="4" w:tplc="CB82DE40">
      <w:start w:val="1"/>
      <w:numFmt w:val="bullet"/>
      <w:lvlText w:val=""/>
      <w:lvlJc w:val="left"/>
      <w:pPr>
        <w:ind w:left="720" w:hanging="360"/>
      </w:pPr>
      <w:rPr>
        <w:rFonts w:ascii="Symbol" w:hAnsi="Symbol"/>
      </w:rPr>
    </w:lvl>
    <w:lvl w:ilvl="5" w:tplc="CE041DEE">
      <w:start w:val="1"/>
      <w:numFmt w:val="bullet"/>
      <w:lvlText w:val=""/>
      <w:lvlJc w:val="left"/>
      <w:pPr>
        <w:ind w:left="720" w:hanging="360"/>
      </w:pPr>
      <w:rPr>
        <w:rFonts w:ascii="Symbol" w:hAnsi="Symbol"/>
      </w:rPr>
    </w:lvl>
    <w:lvl w:ilvl="6" w:tplc="BE460BB8">
      <w:start w:val="1"/>
      <w:numFmt w:val="bullet"/>
      <w:lvlText w:val=""/>
      <w:lvlJc w:val="left"/>
      <w:pPr>
        <w:ind w:left="720" w:hanging="360"/>
      </w:pPr>
      <w:rPr>
        <w:rFonts w:ascii="Symbol" w:hAnsi="Symbol"/>
      </w:rPr>
    </w:lvl>
    <w:lvl w:ilvl="7" w:tplc="0EA8B69C">
      <w:start w:val="1"/>
      <w:numFmt w:val="bullet"/>
      <w:lvlText w:val=""/>
      <w:lvlJc w:val="left"/>
      <w:pPr>
        <w:ind w:left="720" w:hanging="360"/>
      </w:pPr>
      <w:rPr>
        <w:rFonts w:ascii="Symbol" w:hAnsi="Symbol"/>
      </w:rPr>
    </w:lvl>
    <w:lvl w:ilvl="8" w:tplc="0ACA5C72">
      <w:start w:val="1"/>
      <w:numFmt w:val="bullet"/>
      <w:lvlText w:val=""/>
      <w:lvlJc w:val="left"/>
      <w:pPr>
        <w:ind w:left="720" w:hanging="360"/>
      </w:pPr>
      <w:rPr>
        <w:rFonts w:ascii="Symbol" w:hAnsi="Symbol"/>
      </w:rPr>
    </w:lvl>
  </w:abstractNum>
  <w:abstractNum w:abstractNumId="80" w15:restartNumberingAfterBreak="0">
    <w:nsid w:val="58F03BE2"/>
    <w:multiLevelType w:val="hybridMultilevel"/>
    <w:tmpl w:val="22A68A2E"/>
    <w:lvl w:ilvl="0" w:tplc="8330490A">
      <w:start w:val="1"/>
      <w:numFmt w:val="bullet"/>
      <w:lvlText w:val=""/>
      <w:lvlJc w:val="left"/>
      <w:pPr>
        <w:ind w:left="720" w:hanging="360"/>
      </w:pPr>
      <w:rPr>
        <w:rFonts w:ascii="Symbol" w:hAnsi="Symbol"/>
      </w:rPr>
    </w:lvl>
    <w:lvl w:ilvl="1" w:tplc="77CE94CC">
      <w:start w:val="1"/>
      <w:numFmt w:val="bullet"/>
      <w:lvlText w:val=""/>
      <w:lvlJc w:val="left"/>
      <w:pPr>
        <w:ind w:left="720" w:hanging="360"/>
      </w:pPr>
      <w:rPr>
        <w:rFonts w:ascii="Symbol" w:hAnsi="Symbol"/>
      </w:rPr>
    </w:lvl>
    <w:lvl w:ilvl="2" w:tplc="F27E92CE">
      <w:start w:val="1"/>
      <w:numFmt w:val="bullet"/>
      <w:lvlText w:val=""/>
      <w:lvlJc w:val="left"/>
      <w:pPr>
        <w:ind w:left="720" w:hanging="360"/>
      </w:pPr>
      <w:rPr>
        <w:rFonts w:ascii="Symbol" w:hAnsi="Symbol"/>
      </w:rPr>
    </w:lvl>
    <w:lvl w:ilvl="3" w:tplc="583C5C9E">
      <w:start w:val="1"/>
      <w:numFmt w:val="bullet"/>
      <w:lvlText w:val=""/>
      <w:lvlJc w:val="left"/>
      <w:pPr>
        <w:ind w:left="720" w:hanging="360"/>
      </w:pPr>
      <w:rPr>
        <w:rFonts w:ascii="Symbol" w:hAnsi="Symbol"/>
      </w:rPr>
    </w:lvl>
    <w:lvl w:ilvl="4" w:tplc="8E305F08">
      <w:start w:val="1"/>
      <w:numFmt w:val="bullet"/>
      <w:lvlText w:val=""/>
      <w:lvlJc w:val="left"/>
      <w:pPr>
        <w:ind w:left="720" w:hanging="360"/>
      </w:pPr>
      <w:rPr>
        <w:rFonts w:ascii="Symbol" w:hAnsi="Symbol"/>
      </w:rPr>
    </w:lvl>
    <w:lvl w:ilvl="5" w:tplc="14ECE12E">
      <w:start w:val="1"/>
      <w:numFmt w:val="bullet"/>
      <w:lvlText w:val=""/>
      <w:lvlJc w:val="left"/>
      <w:pPr>
        <w:ind w:left="720" w:hanging="360"/>
      </w:pPr>
      <w:rPr>
        <w:rFonts w:ascii="Symbol" w:hAnsi="Symbol"/>
      </w:rPr>
    </w:lvl>
    <w:lvl w:ilvl="6" w:tplc="53B80F68">
      <w:start w:val="1"/>
      <w:numFmt w:val="bullet"/>
      <w:lvlText w:val=""/>
      <w:lvlJc w:val="left"/>
      <w:pPr>
        <w:ind w:left="720" w:hanging="360"/>
      </w:pPr>
      <w:rPr>
        <w:rFonts w:ascii="Symbol" w:hAnsi="Symbol"/>
      </w:rPr>
    </w:lvl>
    <w:lvl w:ilvl="7" w:tplc="6E6C7EA4">
      <w:start w:val="1"/>
      <w:numFmt w:val="bullet"/>
      <w:lvlText w:val=""/>
      <w:lvlJc w:val="left"/>
      <w:pPr>
        <w:ind w:left="720" w:hanging="360"/>
      </w:pPr>
      <w:rPr>
        <w:rFonts w:ascii="Symbol" w:hAnsi="Symbol"/>
      </w:rPr>
    </w:lvl>
    <w:lvl w:ilvl="8" w:tplc="F07EDA8E">
      <w:start w:val="1"/>
      <w:numFmt w:val="bullet"/>
      <w:lvlText w:val=""/>
      <w:lvlJc w:val="left"/>
      <w:pPr>
        <w:ind w:left="720" w:hanging="360"/>
      </w:pPr>
      <w:rPr>
        <w:rFonts w:ascii="Symbol" w:hAnsi="Symbol"/>
      </w:rPr>
    </w:lvl>
  </w:abstractNum>
  <w:abstractNum w:abstractNumId="81" w15:restartNumberingAfterBreak="0">
    <w:nsid w:val="5ABE7F48"/>
    <w:multiLevelType w:val="hybridMultilevel"/>
    <w:tmpl w:val="A800B146"/>
    <w:lvl w:ilvl="0" w:tplc="AB16DE52">
      <w:start w:val="1"/>
      <w:numFmt w:val="decimal"/>
      <w:lvlText w:val="7.%1."/>
      <w:lvlJc w:val="left"/>
      <w:pPr>
        <w:ind w:left="11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5AFA746C"/>
    <w:multiLevelType w:val="hybridMultilevel"/>
    <w:tmpl w:val="4816F486"/>
    <w:lvl w:ilvl="0" w:tplc="461E3D24">
      <w:start w:val="1"/>
      <w:numFmt w:val="decimal"/>
      <w:lvlText w:val="9.%1."/>
      <w:lvlJc w:val="left"/>
      <w:pPr>
        <w:ind w:left="720" w:hanging="360"/>
      </w:pPr>
      <w:rPr>
        <w:rFonts w:hint="default"/>
        <w:b/>
        <w:bCs/>
        <w:i/>
        <w:i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5EDE293B"/>
    <w:multiLevelType w:val="hybridMultilevel"/>
    <w:tmpl w:val="D2127E4A"/>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A06F0F6">
      <w:start w:val="72"/>
      <w:numFmt w:val="bullet"/>
      <w:lvlText w:val="-"/>
      <w:lvlJc w:val="left"/>
      <w:pPr>
        <w:ind w:left="360" w:hanging="360"/>
      </w:pPr>
      <w:rPr>
        <w:rFonts w:ascii="Times New Roman" w:eastAsiaTheme="minorHAnsi" w:hAnsi="Times New Roman" w:cs="Times New Roman" w:hint="default"/>
        <w:color w:val="000000" w:themeColor="text1"/>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0556866"/>
    <w:multiLevelType w:val="hybridMultilevel"/>
    <w:tmpl w:val="3D60F620"/>
    <w:lvl w:ilvl="0" w:tplc="9190CCD2">
      <w:start w:val="1"/>
      <w:numFmt w:val="decimal"/>
      <w:lvlText w:val="3.%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35D2033"/>
    <w:multiLevelType w:val="multilevel"/>
    <w:tmpl w:val="EDD0F95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6" w15:restartNumberingAfterBreak="0">
    <w:nsid w:val="64013EC1"/>
    <w:multiLevelType w:val="hybridMultilevel"/>
    <w:tmpl w:val="79D2D370"/>
    <w:lvl w:ilvl="0" w:tplc="156E817E">
      <w:start w:val="1"/>
      <w:numFmt w:val="decimal"/>
      <w:lvlText w:val="10.%1."/>
      <w:lvlJc w:val="right"/>
      <w:pPr>
        <w:ind w:left="720" w:hanging="360"/>
      </w:pPr>
      <w:rPr>
        <w:rFonts w:hint="default"/>
        <w:lang w:val="en-G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656B7793"/>
    <w:multiLevelType w:val="multilevel"/>
    <w:tmpl w:val="3134093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8" w15:restartNumberingAfterBreak="0">
    <w:nsid w:val="659B411D"/>
    <w:multiLevelType w:val="hybridMultilevel"/>
    <w:tmpl w:val="5C36DDD2"/>
    <w:lvl w:ilvl="0" w:tplc="FFFFFFFF">
      <w:start w:val="1"/>
      <w:numFmt w:val="decimal"/>
      <w:lvlText w:val="9.%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65DD2588"/>
    <w:multiLevelType w:val="hybridMultilevel"/>
    <w:tmpl w:val="12C200E2"/>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66744477"/>
    <w:multiLevelType w:val="multilevel"/>
    <w:tmpl w:val="24BCC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744561D"/>
    <w:multiLevelType w:val="hybridMultilevel"/>
    <w:tmpl w:val="22741E9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AA57A10"/>
    <w:multiLevelType w:val="hybridMultilevel"/>
    <w:tmpl w:val="31FAB9B2"/>
    <w:lvl w:ilvl="0" w:tplc="18090001">
      <w:start w:val="1"/>
      <w:numFmt w:val="bullet"/>
      <w:lvlText w:val=""/>
      <w:lvlJc w:val="left"/>
      <w:pPr>
        <w:ind w:left="785"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686EAB0">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6BA0267B"/>
    <w:multiLevelType w:val="hybridMultilevel"/>
    <w:tmpl w:val="13248C0A"/>
    <w:lvl w:ilvl="0" w:tplc="E9667572">
      <w:start w:val="1"/>
      <w:numFmt w:val="decimal"/>
      <w:lvlText w:val="%1."/>
      <w:lvlJc w:val="left"/>
      <w:pPr>
        <w:ind w:left="1020" w:hanging="360"/>
      </w:pPr>
    </w:lvl>
    <w:lvl w:ilvl="1" w:tplc="24067FE8">
      <w:start w:val="1"/>
      <w:numFmt w:val="decimal"/>
      <w:lvlText w:val="%2."/>
      <w:lvlJc w:val="left"/>
      <w:pPr>
        <w:ind w:left="1020" w:hanging="360"/>
      </w:pPr>
    </w:lvl>
    <w:lvl w:ilvl="2" w:tplc="8C785254">
      <w:start w:val="1"/>
      <w:numFmt w:val="decimal"/>
      <w:lvlText w:val="%3."/>
      <w:lvlJc w:val="left"/>
      <w:pPr>
        <w:ind w:left="1020" w:hanging="360"/>
      </w:pPr>
    </w:lvl>
    <w:lvl w:ilvl="3" w:tplc="B4A6C2C6">
      <w:start w:val="1"/>
      <w:numFmt w:val="decimal"/>
      <w:lvlText w:val="%4."/>
      <w:lvlJc w:val="left"/>
      <w:pPr>
        <w:ind w:left="1020" w:hanging="360"/>
      </w:pPr>
    </w:lvl>
    <w:lvl w:ilvl="4" w:tplc="BC9AEFDC">
      <w:start w:val="1"/>
      <w:numFmt w:val="decimal"/>
      <w:lvlText w:val="%5."/>
      <w:lvlJc w:val="left"/>
      <w:pPr>
        <w:ind w:left="1020" w:hanging="360"/>
      </w:pPr>
    </w:lvl>
    <w:lvl w:ilvl="5" w:tplc="65DAC644">
      <w:start w:val="1"/>
      <w:numFmt w:val="decimal"/>
      <w:lvlText w:val="%6."/>
      <w:lvlJc w:val="left"/>
      <w:pPr>
        <w:ind w:left="1020" w:hanging="360"/>
      </w:pPr>
    </w:lvl>
    <w:lvl w:ilvl="6" w:tplc="B4941F22">
      <w:start w:val="1"/>
      <w:numFmt w:val="decimal"/>
      <w:lvlText w:val="%7."/>
      <w:lvlJc w:val="left"/>
      <w:pPr>
        <w:ind w:left="1020" w:hanging="360"/>
      </w:pPr>
    </w:lvl>
    <w:lvl w:ilvl="7" w:tplc="A852F97A">
      <w:start w:val="1"/>
      <w:numFmt w:val="decimal"/>
      <w:lvlText w:val="%8."/>
      <w:lvlJc w:val="left"/>
      <w:pPr>
        <w:ind w:left="1020" w:hanging="360"/>
      </w:pPr>
    </w:lvl>
    <w:lvl w:ilvl="8" w:tplc="62389DE2">
      <w:start w:val="1"/>
      <w:numFmt w:val="decimal"/>
      <w:lvlText w:val="%9."/>
      <w:lvlJc w:val="left"/>
      <w:pPr>
        <w:ind w:left="1020" w:hanging="360"/>
      </w:pPr>
    </w:lvl>
  </w:abstractNum>
  <w:abstractNum w:abstractNumId="94" w15:restartNumberingAfterBreak="0">
    <w:nsid w:val="6BCA76F0"/>
    <w:multiLevelType w:val="multilevel"/>
    <w:tmpl w:val="730874F6"/>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5" w15:restartNumberingAfterBreak="0">
    <w:nsid w:val="6E493B65"/>
    <w:multiLevelType w:val="hybridMultilevel"/>
    <w:tmpl w:val="9EA83DFA"/>
    <w:lvl w:ilvl="0" w:tplc="FDF2F10C">
      <w:start w:val="1"/>
      <w:numFmt w:val="decimal"/>
      <w:lvlText w:val="%1."/>
      <w:lvlJc w:val="left"/>
      <w:pPr>
        <w:ind w:left="1020" w:hanging="360"/>
      </w:pPr>
    </w:lvl>
    <w:lvl w:ilvl="1" w:tplc="FA60DD1C">
      <w:start w:val="1"/>
      <w:numFmt w:val="decimal"/>
      <w:lvlText w:val="%2."/>
      <w:lvlJc w:val="left"/>
      <w:pPr>
        <w:ind w:left="1020" w:hanging="360"/>
      </w:pPr>
    </w:lvl>
    <w:lvl w:ilvl="2" w:tplc="3B56D096">
      <w:start w:val="1"/>
      <w:numFmt w:val="decimal"/>
      <w:lvlText w:val="%3."/>
      <w:lvlJc w:val="left"/>
      <w:pPr>
        <w:ind w:left="1020" w:hanging="360"/>
      </w:pPr>
    </w:lvl>
    <w:lvl w:ilvl="3" w:tplc="9C8E6468">
      <w:start w:val="1"/>
      <w:numFmt w:val="decimal"/>
      <w:lvlText w:val="%4."/>
      <w:lvlJc w:val="left"/>
      <w:pPr>
        <w:ind w:left="1020" w:hanging="360"/>
      </w:pPr>
    </w:lvl>
    <w:lvl w:ilvl="4" w:tplc="57944DD0">
      <w:start w:val="1"/>
      <w:numFmt w:val="decimal"/>
      <w:lvlText w:val="%5."/>
      <w:lvlJc w:val="left"/>
      <w:pPr>
        <w:ind w:left="1020" w:hanging="360"/>
      </w:pPr>
    </w:lvl>
    <w:lvl w:ilvl="5" w:tplc="AE6045A8">
      <w:start w:val="1"/>
      <w:numFmt w:val="decimal"/>
      <w:lvlText w:val="%6."/>
      <w:lvlJc w:val="left"/>
      <w:pPr>
        <w:ind w:left="1020" w:hanging="360"/>
      </w:pPr>
    </w:lvl>
    <w:lvl w:ilvl="6" w:tplc="9CA850D4">
      <w:start w:val="1"/>
      <w:numFmt w:val="decimal"/>
      <w:lvlText w:val="%7."/>
      <w:lvlJc w:val="left"/>
      <w:pPr>
        <w:ind w:left="1020" w:hanging="360"/>
      </w:pPr>
    </w:lvl>
    <w:lvl w:ilvl="7" w:tplc="465CB174">
      <w:start w:val="1"/>
      <w:numFmt w:val="decimal"/>
      <w:lvlText w:val="%8."/>
      <w:lvlJc w:val="left"/>
      <w:pPr>
        <w:ind w:left="1020" w:hanging="360"/>
      </w:pPr>
    </w:lvl>
    <w:lvl w:ilvl="8" w:tplc="30FA4D3E">
      <w:start w:val="1"/>
      <w:numFmt w:val="decimal"/>
      <w:lvlText w:val="%9."/>
      <w:lvlJc w:val="left"/>
      <w:pPr>
        <w:ind w:left="1020" w:hanging="360"/>
      </w:pPr>
    </w:lvl>
  </w:abstractNum>
  <w:abstractNum w:abstractNumId="96" w15:restartNumberingAfterBreak="0">
    <w:nsid w:val="6FAF60FE"/>
    <w:multiLevelType w:val="hybridMultilevel"/>
    <w:tmpl w:val="E804951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724E58AE"/>
    <w:multiLevelType w:val="hybridMultilevel"/>
    <w:tmpl w:val="B054F62C"/>
    <w:lvl w:ilvl="0" w:tplc="18090003">
      <w:start w:val="1"/>
      <w:numFmt w:val="bullet"/>
      <w:lvlText w:val="o"/>
      <w:lvlJc w:val="left"/>
      <w:pPr>
        <w:ind w:left="1494" w:hanging="360"/>
      </w:pPr>
      <w:rPr>
        <w:rFonts w:ascii="Courier New" w:hAnsi="Courier New" w:cs="Courier New"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98" w15:restartNumberingAfterBreak="0">
    <w:nsid w:val="78052CA2"/>
    <w:multiLevelType w:val="hybridMultilevel"/>
    <w:tmpl w:val="67B2B548"/>
    <w:lvl w:ilvl="0" w:tplc="FD065AE4">
      <w:start w:val="1"/>
      <w:numFmt w:val="decimal"/>
      <w:lvlText w:val="4.%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78B46E91"/>
    <w:multiLevelType w:val="hybridMultilevel"/>
    <w:tmpl w:val="14B0286E"/>
    <w:lvl w:ilvl="0" w:tplc="9190CCD2">
      <w:start w:val="1"/>
      <w:numFmt w:val="decimal"/>
      <w:lvlText w:val="3.%1."/>
      <w:lvlJc w:val="left"/>
      <w:pPr>
        <w:ind w:left="1440" w:hanging="360"/>
      </w:pPr>
      <w:rPr>
        <w:rFonts w:hint="default"/>
        <w:b/>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0" w15:restartNumberingAfterBreak="0">
    <w:nsid w:val="79C8479A"/>
    <w:multiLevelType w:val="hybridMultilevel"/>
    <w:tmpl w:val="3EF0DD9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ADF1E78"/>
    <w:multiLevelType w:val="hybridMultilevel"/>
    <w:tmpl w:val="43EE7858"/>
    <w:lvl w:ilvl="0" w:tplc="A0960D74">
      <w:start w:val="3"/>
      <w:numFmt w:val="decimal"/>
      <w:lvlText w:val="4.%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2" w15:restartNumberingAfterBreak="0">
    <w:nsid w:val="7D5B5766"/>
    <w:multiLevelType w:val="hybridMultilevel"/>
    <w:tmpl w:val="3454FE94"/>
    <w:lvl w:ilvl="0" w:tplc="9190CCD2">
      <w:start w:val="1"/>
      <w:numFmt w:val="decimal"/>
      <w:lvlText w:val="3.%1."/>
      <w:lvlJc w:val="left"/>
      <w:pPr>
        <w:ind w:left="1440" w:hanging="360"/>
      </w:pPr>
      <w:rPr>
        <w:rFonts w:hint="default"/>
        <w:b/>
        <w:bCs/>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3" w15:restartNumberingAfterBreak="0">
    <w:nsid w:val="7F9F3E0C"/>
    <w:multiLevelType w:val="hybridMultilevel"/>
    <w:tmpl w:val="034A9FF4"/>
    <w:lvl w:ilvl="0" w:tplc="F1EA6634">
      <w:start w:val="1"/>
      <w:numFmt w:val="bullet"/>
      <w:lvlText w:val=""/>
      <w:lvlJc w:val="left"/>
      <w:pPr>
        <w:ind w:left="720" w:hanging="360"/>
      </w:pPr>
      <w:rPr>
        <w:rFonts w:ascii="Symbol" w:hAnsi="Symbol"/>
      </w:rPr>
    </w:lvl>
    <w:lvl w:ilvl="1" w:tplc="317CCFBE">
      <w:start w:val="1"/>
      <w:numFmt w:val="bullet"/>
      <w:lvlText w:val=""/>
      <w:lvlJc w:val="left"/>
      <w:pPr>
        <w:ind w:left="720" w:hanging="360"/>
      </w:pPr>
      <w:rPr>
        <w:rFonts w:ascii="Symbol" w:hAnsi="Symbol"/>
      </w:rPr>
    </w:lvl>
    <w:lvl w:ilvl="2" w:tplc="5C5229C0">
      <w:start w:val="1"/>
      <w:numFmt w:val="bullet"/>
      <w:lvlText w:val=""/>
      <w:lvlJc w:val="left"/>
      <w:pPr>
        <w:ind w:left="720" w:hanging="360"/>
      </w:pPr>
      <w:rPr>
        <w:rFonts w:ascii="Symbol" w:hAnsi="Symbol"/>
      </w:rPr>
    </w:lvl>
    <w:lvl w:ilvl="3" w:tplc="EE8AE066">
      <w:start w:val="1"/>
      <w:numFmt w:val="bullet"/>
      <w:lvlText w:val=""/>
      <w:lvlJc w:val="left"/>
      <w:pPr>
        <w:ind w:left="720" w:hanging="360"/>
      </w:pPr>
      <w:rPr>
        <w:rFonts w:ascii="Symbol" w:hAnsi="Symbol"/>
      </w:rPr>
    </w:lvl>
    <w:lvl w:ilvl="4" w:tplc="5DCE20D2">
      <w:start w:val="1"/>
      <w:numFmt w:val="bullet"/>
      <w:lvlText w:val=""/>
      <w:lvlJc w:val="left"/>
      <w:pPr>
        <w:ind w:left="720" w:hanging="360"/>
      </w:pPr>
      <w:rPr>
        <w:rFonts w:ascii="Symbol" w:hAnsi="Symbol"/>
      </w:rPr>
    </w:lvl>
    <w:lvl w:ilvl="5" w:tplc="74A2C7D0">
      <w:start w:val="1"/>
      <w:numFmt w:val="bullet"/>
      <w:lvlText w:val=""/>
      <w:lvlJc w:val="left"/>
      <w:pPr>
        <w:ind w:left="720" w:hanging="360"/>
      </w:pPr>
      <w:rPr>
        <w:rFonts w:ascii="Symbol" w:hAnsi="Symbol"/>
      </w:rPr>
    </w:lvl>
    <w:lvl w:ilvl="6" w:tplc="28AEF58A">
      <w:start w:val="1"/>
      <w:numFmt w:val="bullet"/>
      <w:lvlText w:val=""/>
      <w:lvlJc w:val="left"/>
      <w:pPr>
        <w:ind w:left="720" w:hanging="360"/>
      </w:pPr>
      <w:rPr>
        <w:rFonts w:ascii="Symbol" w:hAnsi="Symbol"/>
      </w:rPr>
    </w:lvl>
    <w:lvl w:ilvl="7" w:tplc="696E0CAA">
      <w:start w:val="1"/>
      <w:numFmt w:val="bullet"/>
      <w:lvlText w:val=""/>
      <w:lvlJc w:val="left"/>
      <w:pPr>
        <w:ind w:left="720" w:hanging="360"/>
      </w:pPr>
      <w:rPr>
        <w:rFonts w:ascii="Symbol" w:hAnsi="Symbol"/>
      </w:rPr>
    </w:lvl>
    <w:lvl w:ilvl="8" w:tplc="55F4EC2E">
      <w:start w:val="1"/>
      <w:numFmt w:val="bullet"/>
      <w:lvlText w:val=""/>
      <w:lvlJc w:val="left"/>
      <w:pPr>
        <w:ind w:left="720" w:hanging="360"/>
      </w:pPr>
      <w:rPr>
        <w:rFonts w:ascii="Symbol" w:hAnsi="Symbol"/>
      </w:rPr>
    </w:lvl>
  </w:abstractNum>
  <w:num w:numId="1">
    <w:abstractNumId w:val="43"/>
  </w:num>
  <w:num w:numId="2">
    <w:abstractNumId w:val="20"/>
  </w:num>
  <w:num w:numId="3">
    <w:abstractNumId w:val="61"/>
  </w:num>
  <w:num w:numId="4">
    <w:abstractNumId w:val="92"/>
  </w:num>
  <w:num w:numId="5">
    <w:abstractNumId w:val="42"/>
  </w:num>
  <w:num w:numId="6">
    <w:abstractNumId w:val="83"/>
  </w:num>
  <w:num w:numId="7">
    <w:abstractNumId w:val="97"/>
  </w:num>
  <w:num w:numId="8">
    <w:abstractNumId w:val="14"/>
  </w:num>
  <w:num w:numId="9">
    <w:abstractNumId w:val="39"/>
  </w:num>
  <w:num w:numId="10">
    <w:abstractNumId w:val="63"/>
  </w:num>
  <w:num w:numId="11">
    <w:abstractNumId w:val="24"/>
  </w:num>
  <w:num w:numId="12">
    <w:abstractNumId w:val="75"/>
  </w:num>
  <w:num w:numId="13">
    <w:abstractNumId w:val="89"/>
  </w:num>
  <w:num w:numId="14">
    <w:abstractNumId w:val="68"/>
  </w:num>
  <w:num w:numId="15">
    <w:abstractNumId w:val="76"/>
  </w:num>
  <w:num w:numId="16">
    <w:abstractNumId w:val="28"/>
  </w:num>
  <w:num w:numId="17">
    <w:abstractNumId w:val="90"/>
  </w:num>
  <w:num w:numId="18">
    <w:abstractNumId w:val="34"/>
  </w:num>
  <w:num w:numId="19">
    <w:abstractNumId w:val="7"/>
  </w:num>
  <w:num w:numId="20">
    <w:abstractNumId w:val="36"/>
  </w:num>
  <w:num w:numId="21">
    <w:abstractNumId w:val="65"/>
  </w:num>
  <w:num w:numId="22">
    <w:abstractNumId w:val="33"/>
  </w:num>
  <w:num w:numId="23">
    <w:abstractNumId w:val="93"/>
  </w:num>
  <w:num w:numId="24">
    <w:abstractNumId w:val="55"/>
  </w:num>
  <w:num w:numId="25">
    <w:abstractNumId w:val="11"/>
  </w:num>
  <w:num w:numId="26">
    <w:abstractNumId w:val="101"/>
  </w:num>
  <w:num w:numId="27">
    <w:abstractNumId w:val="32"/>
  </w:num>
  <w:num w:numId="28">
    <w:abstractNumId w:val="38"/>
  </w:num>
  <w:num w:numId="29">
    <w:abstractNumId w:val="21"/>
  </w:num>
  <w:num w:numId="30">
    <w:abstractNumId w:val="46"/>
  </w:num>
  <w:num w:numId="31">
    <w:abstractNumId w:val="31"/>
  </w:num>
  <w:num w:numId="32">
    <w:abstractNumId w:val="44"/>
  </w:num>
  <w:num w:numId="33">
    <w:abstractNumId w:val="45"/>
  </w:num>
  <w:num w:numId="34">
    <w:abstractNumId w:val="42"/>
  </w:num>
  <w:num w:numId="35">
    <w:abstractNumId w:val="42"/>
  </w:num>
  <w:num w:numId="36">
    <w:abstractNumId w:val="42"/>
  </w:num>
  <w:num w:numId="37">
    <w:abstractNumId w:val="42"/>
  </w:num>
  <w:num w:numId="38">
    <w:abstractNumId w:val="42"/>
  </w:num>
  <w:num w:numId="39">
    <w:abstractNumId w:val="42"/>
  </w:num>
  <w:num w:numId="40">
    <w:abstractNumId w:val="42"/>
  </w:num>
  <w:num w:numId="41">
    <w:abstractNumId w:val="42"/>
  </w:num>
  <w:num w:numId="42">
    <w:abstractNumId w:val="42"/>
  </w:num>
  <w:num w:numId="43">
    <w:abstractNumId w:val="42"/>
  </w:num>
  <w:num w:numId="44">
    <w:abstractNumId w:val="84"/>
  </w:num>
  <w:num w:numId="45">
    <w:abstractNumId w:val="98"/>
  </w:num>
  <w:num w:numId="46">
    <w:abstractNumId w:val="99"/>
  </w:num>
  <w:num w:numId="47">
    <w:abstractNumId w:val="102"/>
  </w:num>
  <w:num w:numId="48">
    <w:abstractNumId w:val="58"/>
  </w:num>
  <w:num w:numId="49">
    <w:abstractNumId w:val="69"/>
  </w:num>
  <w:num w:numId="50">
    <w:abstractNumId w:val="5"/>
  </w:num>
  <w:num w:numId="51">
    <w:abstractNumId w:val="48"/>
  </w:num>
  <w:num w:numId="52">
    <w:abstractNumId w:val="82"/>
  </w:num>
  <w:num w:numId="53">
    <w:abstractNumId w:val="88"/>
  </w:num>
  <w:num w:numId="54">
    <w:abstractNumId w:val="74"/>
  </w:num>
  <w:num w:numId="55">
    <w:abstractNumId w:val="42"/>
  </w:num>
  <w:num w:numId="56">
    <w:abstractNumId w:val="61"/>
  </w:num>
  <w:num w:numId="57">
    <w:abstractNumId w:val="3"/>
  </w:num>
  <w:num w:numId="58">
    <w:abstractNumId w:val="86"/>
  </w:num>
  <w:num w:numId="59">
    <w:abstractNumId w:val="62"/>
  </w:num>
  <w:num w:numId="60">
    <w:abstractNumId w:val="103"/>
  </w:num>
  <w:num w:numId="61">
    <w:abstractNumId w:val="72"/>
  </w:num>
  <w:num w:numId="62">
    <w:abstractNumId w:val="80"/>
  </w:num>
  <w:num w:numId="63">
    <w:abstractNumId w:val="41"/>
  </w:num>
  <w:num w:numId="64">
    <w:abstractNumId w:val="73"/>
  </w:num>
  <w:num w:numId="65">
    <w:abstractNumId w:val="50"/>
  </w:num>
  <w:num w:numId="66">
    <w:abstractNumId w:val="87"/>
  </w:num>
  <w:num w:numId="67">
    <w:abstractNumId w:val="26"/>
  </w:num>
  <w:num w:numId="68">
    <w:abstractNumId w:val="60"/>
  </w:num>
  <w:num w:numId="69">
    <w:abstractNumId w:val="71"/>
  </w:num>
  <w:num w:numId="70">
    <w:abstractNumId w:val="19"/>
  </w:num>
  <w:num w:numId="71">
    <w:abstractNumId w:val="90"/>
  </w:num>
  <w:num w:numId="72">
    <w:abstractNumId w:val="59"/>
  </w:num>
  <w:num w:numId="73">
    <w:abstractNumId w:val="59"/>
  </w:num>
  <w:num w:numId="74">
    <w:abstractNumId w:val="1"/>
  </w:num>
  <w:num w:numId="75">
    <w:abstractNumId w:val="52"/>
  </w:num>
  <w:num w:numId="76">
    <w:abstractNumId w:val="70"/>
  </w:num>
  <w:num w:numId="77">
    <w:abstractNumId w:val="81"/>
  </w:num>
  <w:num w:numId="78">
    <w:abstractNumId w:val="12"/>
  </w:num>
  <w:num w:numId="79">
    <w:abstractNumId w:val="79"/>
  </w:num>
  <w:num w:numId="80">
    <w:abstractNumId w:val="56"/>
  </w:num>
  <w:num w:numId="81">
    <w:abstractNumId w:val="6"/>
  </w:num>
  <w:num w:numId="82">
    <w:abstractNumId w:val="25"/>
  </w:num>
  <w:num w:numId="83">
    <w:abstractNumId w:val="47"/>
  </w:num>
  <w:num w:numId="84">
    <w:abstractNumId w:val="15"/>
  </w:num>
  <w:num w:numId="85">
    <w:abstractNumId w:val="78"/>
  </w:num>
  <w:num w:numId="86">
    <w:abstractNumId w:val="9"/>
  </w:num>
  <w:num w:numId="87">
    <w:abstractNumId w:val="35"/>
  </w:num>
  <w:num w:numId="88">
    <w:abstractNumId w:val="46"/>
  </w:num>
  <w:num w:numId="89">
    <w:abstractNumId w:val="77"/>
  </w:num>
  <w:num w:numId="90">
    <w:abstractNumId w:val="13"/>
  </w:num>
  <w:num w:numId="91">
    <w:abstractNumId w:val="46"/>
  </w:num>
  <w:num w:numId="92">
    <w:abstractNumId w:val="85"/>
  </w:num>
  <w:num w:numId="93">
    <w:abstractNumId w:val="46"/>
  </w:num>
  <w:num w:numId="94">
    <w:abstractNumId w:val="66"/>
  </w:num>
  <w:num w:numId="95">
    <w:abstractNumId w:val="0"/>
  </w:num>
  <w:num w:numId="96">
    <w:abstractNumId w:val="57"/>
  </w:num>
  <w:num w:numId="97">
    <w:abstractNumId w:val="4"/>
  </w:num>
  <w:num w:numId="98">
    <w:abstractNumId w:val="18"/>
  </w:num>
  <w:num w:numId="99">
    <w:abstractNumId w:val="51"/>
  </w:num>
  <w:num w:numId="100">
    <w:abstractNumId w:val="94"/>
  </w:num>
  <w:num w:numId="101">
    <w:abstractNumId w:val="91"/>
  </w:num>
  <w:num w:numId="102">
    <w:abstractNumId w:val="23"/>
  </w:num>
  <w:num w:numId="103">
    <w:abstractNumId w:val="16"/>
  </w:num>
  <w:num w:numId="104">
    <w:abstractNumId w:val="64"/>
  </w:num>
  <w:num w:numId="105">
    <w:abstractNumId w:val="100"/>
  </w:num>
  <w:num w:numId="106">
    <w:abstractNumId w:val="37"/>
  </w:num>
  <w:num w:numId="107">
    <w:abstractNumId w:val="96"/>
  </w:num>
  <w:num w:numId="108">
    <w:abstractNumId w:val="29"/>
  </w:num>
  <w:num w:numId="109">
    <w:abstractNumId w:val="61"/>
  </w:num>
  <w:num w:numId="110">
    <w:abstractNumId w:val="61"/>
  </w:num>
  <w:num w:numId="111">
    <w:abstractNumId w:val="2"/>
  </w:num>
  <w:num w:numId="112">
    <w:abstractNumId w:val="8"/>
  </w:num>
  <w:num w:numId="113">
    <w:abstractNumId w:val="40"/>
  </w:num>
  <w:num w:numId="114">
    <w:abstractNumId w:val="22"/>
  </w:num>
  <w:num w:numId="115">
    <w:abstractNumId w:val="30"/>
  </w:num>
  <w:num w:numId="116">
    <w:abstractNumId w:val="53"/>
  </w:num>
  <w:num w:numId="117">
    <w:abstractNumId w:val="17"/>
  </w:num>
  <w:num w:numId="118">
    <w:abstractNumId w:val="10"/>
  </w:num>
  <w:num w:numId="119">
    <w:abstractNumId w:val="95"/>
  </w:num>
  <w:num w:numId="120">
    <w:abstractNumId w:val="54"/>
  </w:num>
  <w:num w:numId="121">
    <w:abstractNumId w:val="67"/>
  </w:num>
  <w:num w:numId="122">
    <w:abstractNumId w:val="49"/>
  </w:num>
  <w:num w:numId="123">
    <w:abstractNumId w:val="27"/>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2051"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FAC4F4C-ECEE-46F5-9786-32D4DAA5308D"/>
    <w:docVar w:name="LW_COVERPAGE_TYPE" w:val="1"/>
    <w:docVar w:name="LW_CROSSREFERENCE" w:val="&lt;UNUSED&gt;"/>
    <w:docVar w:name="LW_DocType" w:val="NORMAL"/>
    <w:docVar w:name="LW_EMISSION" w:val="4.12.2025"/>
    <w:docVar w:name="LW_EMISSION_ISODATE" w:val="2025-12-04"/>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7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 stratégie de l'UE en matière de drogue"/>
    <w:docVar w:name="LW_TYPE.DOC.CP" w:val="COMMUNICATION DE LA COMMISSION AU PARLEMENT EUROPÉEN ET AU CONSEIL"/>
    <w:docVar w:name="LW_TYPE.DOC.CP.USERTEXT" w:val="&lt;EMPTY&gt;"/>
    <w:docVar w:name="LwApiVersions" w:val="LW4CoDe 1.24.5.0; LW 9.2, Build 20251112"/>
  </w:docVars>
  <w:rsids>
    <w:rsidRoot w:val="002F2AEF"/>
    <w:rsid w:val="000005D1"/>
    <w:rsid w:val="0000084A"/>
    <w:rsid w:val="0000120E"/>
    <w:rsid w:val="000014CA"/>
    <w:rsid w:val="000017D0"/>
    <w:rsid w:val="00001C4F"/>
    <w:rsid w:val="00001D6A"/>
    <w:rsid w:val="000021B9"/>
    <w:rsid w:val="0000233B"/>
    <w:rsid w:val="000023F5"/>
    <w:rsid w:val="000024B9"/>
    <w:rsid w:val="000026C3"/>
    <w:rsid w:val="0000274A"/>
    <w:rsid w:val="00002983"/>
    <w:rsid w:val="00002BCA"/>
    <w:rsid w:val="00002C8E"/>
    <w:rsid w:val="00002EA3"/>
    <w:rsid w:val="00002F26"/>
    <w:rsid w:val="00002FA0"/>
    <w:rsid w:val="00002FC4"/>
    <w:rsid w:val="000031E3"/>
    <w:rsid w:val="0000329D"/>
    <w:rsid w:val="000035CA"/>
    <w:rsid w:val="000036DA"/>
    <w:rsid w:val="00003A70"/>
    <w:rsid w:val="00003B93"/>
    <w:rsid w:val="00003BD8"/>
    <w:rsid w:val="00003BFD"/>
    <w:rsid w:val="00004371"/>
    <w:rsid w:val="000043FF"/>
    <w:rsid w:val="000044AB"/>
    <w:rsid w:val="0000488B"/>
    <w:rsid w:val="00004C6C"/>
    <w:rsid w:val="00004C7E"/>
    <w:rsid w:val="00004D49"/>
    <w:rsid w:val="00004D4D"/>
    <w:rsid w:val="00004FBD"/>
    <w:rsid w:val="00005255"/>
    <w:rsid w:val="00005371"/>
    <w:rsid w:val="0000558E"/>
    <w:rsid w:val="0000560B"/>
    <w:rsid w:val="00005686"/>
    <w:rsid w:val="000056B9"/>
    <w:rsid w:val="00005A5E"/>
    <w:rsid w:val="00005FA6"/>
    <w:rsid w:val="00006226"/>
    <w:rsid w:val="000062A3"/>
    <w:rsid w:val="000063B1"/>
    <w:rsid w:val="000066DD"/>
    <w:rsid w:val="000068A2"/>
    <w:rsid w:val="0000692B"/>
    <w:rsid w:val="00006D71"/>
    <w:rsid w:val="00006D96"/>
    <w:rsid w:val="00007171"/>
    <w:rsid w:val="00007389"/>
    <w:rsid w:val="000073BA"/>
    <w:rsid w:val="000073C2"/>
    <w:rsid w:val="000074BF"/>
    <w:rsid w:val="000076B0"/>
    <w:rsid w:val="0000777B"/>
    <w:rsid w:val="000077B7"/>
    <w:rsid w:val="000078F9"/>
    <w:rsid w:val="00007969"/>
    <w:rsid w:val="00007A50"/>
    <w:rsid w:val="00007D87"/>
    <w:rsid w:val="00007F6B"/>
    <w:rsid w:val="00010028"/>
    <w:rsid w:val="00010235"/>
    <w:rsid w:val="00010754"/>
    <w:rsid w:val="00011065"/>
    <w:rsid w:val="0001107B"/>
    <w:rsid w:val="00011119"/>
    <w:rsid w:val="000111FD"/>
    <w:rsid w:val="00011406"/>
    <w:rsid w:val="000117B4"/>
    <w:rsid w:val="0001180B"/>
    <w:rsid w:val="00011914"/>
    <w:rsid w:val="000119FF"/>
    <w:rsid w:val="00011C85"/>
    <w:rsid w:val="00011ECB"/>
    <w:rsid w:val="00011FE2"/>
    <w:rsid w:val="00012121"/>
    <w:rsid w:val="00012155"/>
    <w:rsid w:val="00012182"/>
    <w:rsid w:val="00012258"/>
    <w:rsid w:val="000123DA"/>
    <w:rsid w:val="0001296A"/>
    <w:rsid w:val="00012B83"/>
    <w:rsid w:val="00012BCC"/>
    <w:rsid w:val="00012F48"/>
    <w:rsid w:val="0001325E"/>
    <w:rsid w:val="0001332C"/>
    <w:rsid w:val="0001337E"/>
    <w:rsid w:val="000139AC"/>
    <w:rsid w:val="00013A1E"/>
    <w:rsid w:val="00013B19"/>
    <w:rsid w:val="00013C79"/>
    <w:rsid w:val="00014B09"/>
    <w:rsid w:val="00014D6E"/>
    <w:rsid w:val="00014F41"/>
    <w:rsid w:val="00014F5F"/>
    <w:rsid w:val="000156B4"/>
    <w:rsid w:val="000157CE"/>
    <w:rsid w:val="0001599E"/>
    <w:rsid w:val="00015D41"/>
    <w:rsid w:val="00015EA2"/>
    <w:rsid w:val="000160D3"/>
    <w:rsid w:val="00016389"/>
    <w:rsid w:val="0001659C"/>
    <w:rsid w:val="00016625"/>
    <w:rsid w:val="00016708"/>
    <w:rsid w:val="00016948"/>
    <w:rsid w:val="00016A1E"/>
    <w:rsid w:val="00016BAC"/>
    <w:rsid w:val="00016E4A"/>
    <w:rsid w:val="000172A1"/>
    <w:rsid w:val="000172AC"/>
    <w:rsid w:val="000177BB"/>
    <w:rsid w:val="00017AE6"/>
    <w:rsid w:val="0002018D"/>
    <w:rsid w:val="000201B5"/>
    <w:rsid w:val="000202CD"/>
    <w:rsid w:val="00020345"/>
    <w:rsid w:val="0002080D"/>
    <w:rsid w:val="00020890"/>
    <w:rsid w:val="00020A76"/>
    <w:rsid w:val="00020FDD"/>
    <w:rsid w:val="00021088"/>
    <w:rsid w:val="0002113C"/>
    <w:rsid w:val="00021276"/>
    <w:rsid w:val="000212BF"/>
    <w:rsid w:val="0002182C"/>
    <w:rsid w:val="00021A2B"/>
    <w:rsid w:val="00021FA3"/>
    <w:rsid w:val="00022136"/>
    <w:rsid w:val="000221DD"/>
    <w:rsid w:val="000223BA"/>
    <w:rsid w:val="00022745"/>
    <w:rsid w:val="00022924"/>
    <w:rsid w:val="00022D49"/>
    <w:rsid w:val="00022FFF"/>
    <w:rsid w:val="00023000"/>
    <w:rsid w:val="00023120"/>
    <w:rsid w:val="00023380"/>
    <w:rsid w:val="0002343A"/>
    <w:rsid w:val="00023508"/>
    <w:rsid w:val="00023513"/>
    <w:rsid w:val="0002364B"/>
    <w:rsid w:val="00023B94"/>
    <w:rsid w:val="00023BB2"/>
    <w:rsid w:val="00023BEF"/>
    <w:rsid w:val="00023BF2"/>
    <w:rsid w:val="00023ECB"/>
    <w:rsid w:val="000240C8"/>
    <w:rsid w:val="0002427A"/>
    <w:rsid w:val="000244A2"/>
    <w:rsid w:val="00024B69"/>
    <w:rsid w:val="00024B88"/>
    <w:rsid w:val="00024BCF"/>
    <w:rsid w:val="00024F8C"/>
    <w:rsid w:val="00025152"/>
    <w:rsid w:val="00025189"/>
    <w:rsid w:val="0002518F"/>
    <w:rsid w:val="00025393"/>
    <w:rsid w:val="00025616"/>
    <w:rsid w:val="0002587C"/>
    <w:rsid w:val="00026250"/>
    <w:rsid w:val="00026551"/>
    <w:rsid w:val="000267E8"/>
    <w:rsid w:val="000268F4"/>
    <w:rsid w:val="00026981"/>
    <w:rsid w:val="00026A23"/>
    <w:rsid w:val="00026CF8"/>
    <w:rsid w:val="0002716B"/>
    <w:rsid w:val="0002740E"/>
    <w:rsid w:val="00027790"/>
    <w:rsid w:val="00027B8A"/>
    <w:rsid w:val="00030173"/>
    <w:rsid w:val="00030245"/>
    <w:rsid w:val="000305D8"/>
    <w:rsid w:val="00030625"/>
    <w:rsid w:val="0003069C"/>
    <w:rsid w:val="000306C0"/>
    <w:rsid w:val="000308D5"/>
    <w:rsid w:val="00030AC8"/>
    <w:rsid w:val="00030D1B"/>
    <w:rsid w:val="00030F1D"/>
    <w:rsid w:val="00030F22"/>
    <w:rsid w:val="0003109C"/>
    <w:rsid w:val="000310EC"/>
    <w:rsid w:val="000311AB"/>
    <w:rsid w:val="00031599"/>
    <w:rsid w:val="00031633"/>
    <w:rsid w:val="00031AD9"/>
    <w:rsid w:val="00031F2F"/>
    <w:rsid w:val="00032118"/>
    <w:rsid w:val="00032657"/>
    <w:rsid w:val="00032877"/>
    <w:rsid w:val="00032919"/>
    <w:rsid w:val="00032928"/>
    <w:rsid w:val="00032951"/>
    <w:rsid w:val="00032AAA"/>
    <w:rsid w:val="00032BA2"/>
    <w:rsid w:val="00032D81"/>
    <w:rsid w:val="00032F33"/>
    <w:rsid w:val="00033335"/>
    <w:rsid w:val="00033AC6"/>
    <w:rsid w:val="00033B78"/>
    <w:rsid w:val="00033BF2"/>
    <w:rsid w:val="000342B8"/>
    <w:rsid w:val="000342D0"/>
    <w:rsid w:val="00034337"/>
    <w:rsid w:val="0003435B"/>
    <w:rsid w:val="000343C3"/>
    <w:rsid w:val="000343E6"/>
    <w:rsid w:val="000346B3"/>
    <w:rsid w:val="0003475B"/>
    <w:rsid w:val="000348F2"/>
    <w:rsid w:val="000349F8"/>
    <w:rsid w:val="00034A29"/>
    <w:rsid w:val="00034BE1"/>
    <w:rsid w:val="00034C5D"/>
    <w:rsid w:val="00035200"/>
    <w:rsid w:val="000353F5"/>
    <w:rsid w:val="00035481"/>
    <w:rsid w:val="0003549A"/>
    <w:rsid w:val="0003562F"/>
    <w:rsid w:val="00035DA0"/>
    <w:rsid w:val="00035F44"/>
    <w:rsid w:val="00035F8E"/>
    <w:rsid w:val="00036015"/>
    <w:rsid w:val="0003626B"/>
    <w:rsid w:val="000363C7"/>
    <w:rsid w:val="000364E8"/>
    <w:rsid w:val="0003667F"/>
    <w:rsid w:val="000368D5"/>
    <w:rsid w:val="00036900"/>
    <w:rsid w:val="00036911"/>
    <w:rsid w:val="00036ACD"/>
    <w:rsid w:val="00036F43"/>
    <w:rsid w:val="00037064"/>
    <w:rsid w:val="00037070"/>
    <w:rsid w:val="000371A9"/>
    <w:rsid w:val="000372EA"/>
    <w:rsid w:val="00037652"/>
    <w:rsid w:val="00037696"/>
    <w:rsid w:val="00037845"/>
    <w:rsid w:val="000379CC"/>
    <w:rsid w:val="00037B51"/>
    <w:rsid w:val="00037CB1"/>
    <w:rsid w:val="000400C1"/>
    <w:rsid w:val="000401B5"/>
    <w:rsid w:val="00040835"/>
    <w:rsid w:val="00040E6B"/>
    <w:rsid w:val="00040E85"/>
    <w:rsid w:val="0004103A"/>
    <w:rsid w:val="000412AD"/>
    <w:rsid w:val="000412B9"/>
    <w:rsid w:val="0004136A"/>
    <w:rsid w:val="0004165C"/>
    <w:rsid w:val="0004196F"/>
    <w:rsid w:val="000419F5"/>
    <w:rsid w:val="00041A81"/>
    <w:rsid w:val="00041B0B"/>
    <w:rsid w:val="00041B48"/>
    <w:rsid w:val="00042142"/>
    <w:rsid w:val="000421BF"/>
    <w:rsid w:val="0004225E"/>
    <w:rsid w:val="00042327"/>
    <w:rsid w:val="000423ED"/>
    <w:rsid w:val="0004240F"/>
    <w:rsid w:val="00042472"/>
    <w:rsid w:val="00042641"/>
    <w:rsid w:val="00042738"/>
    <w:rsid w:val="0004279A"/>
    <w:rsid w:val="0004293D"/>
    <w:rsid w:val="000429F6"/>
    <w:rsid w:val="00042A62"/>
    <w:rsid w:val="00042AE6"/>
    <w:rsid w:val="000433ED"/>
    <w:rsid w:val="0004353C"/>
    <w:rsid w:val="000437BB"/>
    <w:rsid w:val="0004387E"/>
    <w:rsid w:val="00043A7D"/>
    <w:rsid w:val="00043C64"/>
    <w:rsid w:val="00043D27"/>
    <w:rsid w:val="00043DAC"/>
    <w:rsid w:val="0004411D"/>
    <w:rsid w:val="000443F5"/>
    <w:rsid w:val="00044747"/>
    <w:rsid w:val="0004478B"/>
    <w:rsid w:val="00044C9C"/>
    <w:rsid w:val="00044CCE"/>
    <w:rsid w:val="00044F51"/>
    <w:rsid w:val="00045722"/>
    <w:rsid w:val="0004585C"/>
    <w:rsid w:val="00045CA3"/>
    <w:rsid w:val="000460C8"/>
    <w:rsid w:val="0004610E"/>
    <w:rsid w:val="0004623D"/>
    <w:rsid w:val="000462B0"/>
    <w:rsid w:val="00046AD6"/>
    <w:rsid w:val="00046FD6"/>
    <w:rsid w:val="000471AA"/>
    <w:rsid w:val="00047656"/>
    <w:rsid w:val="00047834"/>
    <w:rsid w:val="000478B1"/>
    <w:rsid w:val="0004794D"/>
    <w:rsid w:val="00047B1C"/>
    <w:rsid w:val="00047B83"/>
    <w:rsid w:val="00047BEF"/>
    <w:rsid w:val="00047C16"/>
    <w:rsid w:val="00047C62"/>
    <w:rsid w:val="00047EC8"/>
    <w:rsid w:val="0005010B"/>
    <w:rsid w:val="00050149"/>
    <w:rsid w:val="000502A8"/>
    <w:rsid w:val="000504C0"/>
    <w:rsid w:val="000506B5"/>
    <w:rsid w:val="00050718"/>
    <w:rsid w:val="00050B5E"/>
    <w:rsid w:val="00050D1B"/>
    <w:rsid w:val="00050E08"/>
    <w:rsid w:val="000513BB"/>
    <w:rsid w:val="00051832"/>
    <w:rsid w:val="00051B7F"/>
    <w:rsid w:val="0005216F"/>
    <w:rsid w:val="00052173"/>
    <w:rsid w:val="000522E5"/>
    <w:rsid w:val="0005256B"/>
    <w:rsid w:val="00052579"/>
    <w:rsid w:val="000525CD"/>
    <w:rsid w:val="000526D0"/>
    <w:rsid w:val="0005275A"/>
    <w:rsid w:val="00052939"/>
    <w:rsid w:val="00052A57"/>
    <w:rsid w:val="00052D2D"/>
    <w:rsid w:val="00052DC1"/>
    <w:rsid w:val="00052E0D"/>
    <w:rsid w:val="00052FF7"/>
    <w:rsid w:val="00053218"/>
    <w:rsid w:val="00053477"/>
    <w:rsid w:val="00053A34"/>
    <w:rsid w:val="00053BA4"/>
    <w:rsid w:val="00054181"/>
    <w:rsid w:val="000543FB"/>
    <w:rsid w:val="00054829"/>
    <w:rsid w:val="000548BF"/>
    <w:rsid w:val="000548F7"/>
    <w:rsid w:val="0005494C"/>
    <w:rsid w:val="00054BCA"/>
    <w:rsid w:val="00054D2F"/>
    <w:rsid w:val="000551F9"/>
    <w:rsid w:val="00055357"/>
    <w:rsid w:val="00055477"/>
    <w:rsid w:val="00055BD8"/>
    <w:rsid w:val="00055F81"/>
    <w:rsid w:val="0005659A"/>
    <w:rsid w:val="000568E3"/>
    <w:rsid w:val="000569E4"/>
    <w:rsid w:val="00056B20"/>
    <w:rsid w:val="00056BFF"/>
    <w:rsid w:val="00056F33"/>
    <w:rsid w:val="00056F96"/>
    <w:rsid w:val="00057087"/>
    <w:rsid w:val="0005715C"/>
    <w:rsid w:val="0005743A"/>
    <w:rsid w:val="00057533"/>
    <w:rsid w:val="000575B1"/>
    <w:rsid w:val="00057682"/>
    <w:rsid w:val="0006007C"/>
    <w:rsid w:val="00060243"/>
    <w:rsid w:val="0006025D"/>
    <w:rsid w:val="000603EB"/>
    <w:rsid w:val="000603F4"/>
    <w:rsid w:val="00060616"/>
    <w:rsid w:val="0006062C"/>
    <w:rsid w:val="000608F5"/>
    <w:rsid w:val="00060A75"/>
    <w:rsid w:val="00060B77"/>
    <w:rsid w:val="00060DA8"/>
    <w:rsid w:val="00060DFC"/>
    <w:rsid w:val="00061184"/>
    <w:rsid w:val="0006148E"/>
    <w:rsid w:val="000615CF"/>
    <w:rsid w:val="000616DF"/>
    <w:rsid w:val="00061E4F"/>
    <w:rsid w:val="00061F53"/>
    <w:rsid w:val="000622D5"/>
    <w:rsid w:val="000623F7"/>
    <w:rsid w:val="000624AE"/>
    <w:rsid w:val="00062A52"/>
    <w:rsid w:val="00062DCE"/>
    <w:rsid w:val="00062DFF"/>
    <w:rsid w:val="00063124"/>
    <w:rsid w:val="0006315E"/>
    <w:rsid w:val="000634B4"/>
    <w:rsid w:val="000635FC"/>
    <w:rsid w:val="00063B29"/>
    <w:rsid w:val="00063CC6"/>
    <w:rsid w:val="000641A9"/>
    <w:rsid w:val="00064407"/>
    <w:rsid w:val="00064412"/>
    <w:rsid w:val="00064437"/>
    <w:rsid w:val="0006480D"/>
    <w:rsid w:val="000651EF"/>
    <w:rsid w:val="00065301"/>
    <w:rsid w:val="00065325"/>
    <w:rsid w:val="00065468"/>
    <w:rsid w:val="00065666"/>
    <w:rsid w:val="000659F6"/>
    <w:rsid w:val="00065B86"/>
    <w:rsid w:val="00065DBD"/>
    <w:rsid w:val="00065E8F"/>
    <w:rsid w:val="00066034"/>
    <w:rsid w:val="00066094"/>
    <w:rsid w:val="0006612E"/>
    <w:rsid w:val="00066277"/>
    <w:rsid w:val="000662E2"/>
    <w:rsid w:val="000666AA"/>
    <w:rsid w:val="000666CC"/>
    <w:rsid w:val="0006675D"/>
    <w:rsid w:val="00066766"/>
    <w:rsid w:val="000668D6"/>
    <w:rsid w:val="000668F1"/>
    <w:rsid w:val="0006699C"/>
    <w:rsid w:val="00066A8A"/>
    <w:rsid w:val="00066CBB"/>
    <w:rsid w:val="000670F4"/>
    <w:rsid w:val="00067443"/>
    <w:rsid w:val="000676C4"/>
    <w:rsid w:val="0006781C"/>
    <w:rsid w:val="00067835"/>
    <w:rsid w:val="00067982"/>
    <w:rsid w:val="00067B56"/>
    <w:rsid w:val="00067C1F"/>
    <w:rsid w:val="00067F3A"/>
    <w:rsid w:val="00067F83"/>
    <w:rsid w:val="00070074"/>
    <w:rsid w:val="0007011F"/>
    <w:rsid w:val="00070362"/>
    <w:rsid w:val="00070E75"/>
    <w:rsid w:val="00070FE8"/>
    <w:rsid w:val="00071102"/>
    <w:rsid w:val="000712CB"/>
    <w:rsid w:val="00071360"/>
    <w:rsid w:val="00071442"/>
    <w:rsid w:val="0007178D"/>
    <w:rsid w:val="00071C93"/>
    <w:rsid w:val="00071DF9"/>
    <w:rsid w:val="0007200D"/>
    <w:rsid w:val="00072079"/>
    <w:rsid w:val="0007245B"/>
    <w:rsid w:val="0007272F"/>
    <w:rsid w:val="00072773"/>
    <w:rsid w:val="000727BB"/>
    <w:rsid w:val="000729BB"/>
    <w:rsid w:val="00072C32"/>
    <w:rsid w:val="00072C36"/>
    <w:rsid w:val="00072DC4"/>
    <w:rsid w:val="00072F34"/>
    <w:rsid w:val="000731CD"/>
    <w:rsid w:val="0007371B"/>
    <w:rsid w:val="00073741"/>
    <w:rsid w:val="00073A64"/>
    <w:rsid w:val="00073AEB"/>
    <w:rsid w:val="00073B0F"/>
    <w:rsid w:val="00073B83"/>
    <w:rsid w:val="00073E90"/>
    <w:rsid w:val="00074033"/>
    <w:rsid w:val="00074065"/>
    <w:rsid w:val="00074326"/>
    <w:rsid w:val="0007459E"/>
    <w:rsid w:val="0007482E"/>
    <w:rsid w:val="00074B54"/>
    <w:rsid w:val="00074C20"/>
    <w:rsid w:val="00074CD5"/>
    <w:rsid w:val="00074D49"/>
    <w:rsid w:val="00074EAC"/>
    <w:rsid w:val="00074FCB"/>
    <w:rsid w:val="0007504B"/>
    <w:rsid w:val="00075070"/>
    <w:rsid w:val="00075123"/>
    <w:rsid w:val="00075315"/>
    <w:rsid w:val="00075971"/>
    <w:rsid w:val="00075CE6"/>
    <w:rsid w:val="00075D92"/>
    <w:rsid w:val="00075EE0"/>
    <w:rsid w:val="00075F79"/>
    <w:rsid w:val="00076046"/>
    <w:rsid w:val="00076166"/>
    <w:rsid w:val="000762A8"/>
    <w:rsid w:val="000763A5"/>
    <w:rsid w:val="000763F3"/>
    <w:rsid w:val="0007670B"/>
    <w:rsid w:val="000768F2"/>
    <w:rsid w:val="00077482"/>
    <w:rsid w:val="000774E7"/>
    <w:rsid w:val="0007784D"/>
    <w:rsid w:val="00077B93"/>
    <w:rsid w:val="00077C9E"/>
    <w:rsid w:val="00077D6F"/>
    <w:rsid w:val="00077E56"/>
    <w:rsid w:val="00077F33"/>
    <w:rsid w:val="00080944"/>
    <w:rsid w:val="000809D4"/>
    <w:rsid w:val="00080F1A"/>
    <w:rsid w:val="00081166"/>
    <w:rsid w:val="0008145D"/>
    <w:rsid w:val="0008152A"/>
    <w:rsid w:val="000815B1"/>
    <w:rsid w:val="00081843"/>
    <w:rsid w:val="00081B3F"/>
    <w:rsid w:val="00081BC7"/>
    <w:rsid w:val="00081C51"/>
    <w:rsid w:val="00081D27"/>
    <w:rsid w:val="00081D59"/>
    <w:rsid w:val="00081E75"/>
    <w:rsid w:val="00081E8B"/>
    <w:rsid w:val="00082375"/>
    <w:rsid w:val="000827CA"/>
    <w:rsid w:val="00082BD1"/>
    <w:rsid w:val="00082E92"/>
    <w:rsid w:val="00082E94"/>
    <w:rsid w:val="00082EB9"/>
    <w:rsid w:val="00082EFB"/>
    <w:rsid w:val="00082FFA"/>
    <w:rsid w:val="0008317E"/>
    <w:rsid w:val="000833D8"/>
    <w:rsid w:val="00083616"/>
    <w:rsid w:val="000838C5"/>
    <w:rsid w:val="000839D8"/>
    <w:rsid w:val="00083A9F"/>
    <w:rsid w:val="00083BA4"/>
    <w:rsid w:val="00083C55"/>
    <w:rsid w:val="00083DCC"/>
    <w:rsid w:val="00083EB7"/>
    <w:rsid w:val="00083F4E"/>
    <w:rsid w:val="000840BE"/>
    <w:rsid w:val="0008457A"/>
    <w:rsid w:val="00084875"/>
    <w:rsid w:val="00084B52"/>
    <w:rsid w:val="00085050"/>
    <w:rsid w:val="000850E8"/>
    <w:rsid w:val="00085251"/>
    <w:rsid w:val="000853B1"/>
    <w:rsid w:val="000859D9"/>
    <w:rsid w:val="00085EA3"/>
    <w:rsid w:val="00085F2E"/>
    <w:rsid w:val="00085FC9"/>
    <w:rsid w:val="000861FE"/>
    <w:rsid w:val="000869D1"/>
    <w:rsid w:val="00086AB3"/>
    <w:rsid w:val="00086AE7"/>
    <w:rsid w:val="00086E3B"/>
    <w:rsid w:val="00087287"/>
    <w:rsid w:val="000872C4"/>
    <w:rsid w:val="000873EB"/>
    <w:rsid w:val="00087718"/>
    <w:rsid w:val="0008779B"/>
    <w:rsid w:val="00087BCE"/>
    <w:rsid w:val="00087BFE"/>
    <w:rsid w:val="00087D3D"/>
    <w:rsid w:val="000901BB"/>
    <w:rsid w:val="00090558"/>
    <w:rsid w:val="000907E9"/>
    <w:rsid w:val="00090845"/>
    <w:rsid w:val="00090A03"/>
    <w:rsid w:val="00090E9E"/>
    <w:rsid w:val="0009143F"/>
    <w:rsid w:val="000914B0"/>
    <w:rsid w:val="000914F5"/>
    <w:rsid w:val="0009165E"/>
    <w:rsid w:val="00091682"/>
    <w:rsid w:val="00091982"/>
    <w:rsid w:val="00091C02"/>
    <w:rsid w:val="00091D3D"/>
    <w:rsid w:val="00092271"/>
    <w:rsid w:val="00092394"/>
    <w:rsid w:val="00092803"/>
    <w:rsid w:val="000928D7"/>
    <w:rsid w:val="00092903"/>
    <w:rsid w:val="00092BA2"/>
    <w:rsid w:val="00092BF5"/>
    <w:rsid w:val="00092C82"/>
    <w:rsid w:val="00092C95"/>
    <w:rsid w:val="00092FCD"/>
    <w:rsid w:val="000930B0"/>
    <w:rsid w:val="00093384"/>
    <w:rsid w:val="0009363B"/>
    <w:rsid w:val="000939F9"/>
    <w:rsid w:val="00093C57"/>
    <w:rsid w:val="000942E1"/>
    <w:rsid w:val="000944D1"/>
    <w:rsid w:val="00094577"/>
    <w:rsid w:val="0009472C"/>
    <w:rsid w:val="000947AE"/>
    <w:rsid w:val="00094B5D"/>
    <w:rsid w:val="00094BF0"/>
    <w:rsid w:val="00094D63"/>
    <w:rsid w:val="00094DCC"/>
    <w:rsid w:val="00094DCF"/>
    <w:rsid w:val="00095051"/>
    <w:rsid w:val="000951A2"/>
    <w:rsid w:val="000953EE"/>
    <w:rsid w:val="00095557"/>
    <w:rsid w:val="0009567A"/>
    <w:rsid w:val="000956F4"/>
    <w:rsid w:val="00095AAC"/>
    <w:rsid w:val="00095C1C"/>
    <w:rsid w:val="00095CD7"/>
    <w:rsid w:val="00095F4E"/>
    <w:rsid w:val="000962DB"/>
    <w:rsid w:val="000965DF"/>
    <w:rsid w:val="000969AA"/>
    <w:rsid w:val="000971A8"/>
    <w:rsid w:val="0009724E"/>
    <w:rsid w:val="0009732F"/>
    <w:rsid w:val="000975C7"/>
    <w:rsid w:val="00097D45"/>
    <w:rsid w:val="000A01F8"/>
    <w:rsid w:val="000A0269"/>
    <w:rsid w:val="000A06E5"/>
    <w:rsid w:val="000A09A9"/>
    <w:rsid w:val="000A0C7A"/>
    <w:rsid w:val="000A0D96"/>
    <w:rsid w:val="000A0FAF"/>
    <w:rsid w:val="000A129C"/>
    <w:rsid w:val="000A1379"/>
    <w:rsid w:val="000A1761"/>
    <w:rsid w:val="000A1B28"/>
    <w:rsid w:val="000A1C02"/>
    <w:rsid w:val="000A1F8E"/>
    <w:rsid w:val="000A204F"/>
    <w:rsid w:val="000A2112"/>
    <w:rsid w:val="000A227C"/>
    <w:rsid w:val="000A22E4"/>
    <w:rsid w:val="000A2589"/>
    <w:rsid w:val="000A26A4"/>
    <w:rsid w:val="000A2829"/>
    <w:rsid w:val="000A29C8"/>
    <w:rsid w:val="000A2AFB"/>
    <w:rsid w:val="000A2FF9"/>
    <w:rsid w:val="000A354F"/>
    <w:rsid w:val="000A3828"/>
    <w:rsid w:val="000A3957"/>
    <w:rsid w:val="000A39B8"/>
    <w:rsid w:val="000A3A15"/>
    <w:rsid w:val="000A3A97"/>
    <w:rsid w:val="000A3ED4"/>
    <w:rsid w:val="000A4277"/>
    <w:rsid w:val="000A4367"/>
    <w:rsid w:val="000A497B"/>
    <w:rsid w:val="000A49FD"/>
    <w:rsid w:val="000A4A11"/>
    <w:rsid w:val="000A4D0E"/>
    <w:rsid w:val="000A4DEA"/>
    <w:rsid w:val="000A53D9"/>
    <w:rsid w:val="000A5540"/>
    <w:rsid w:val="000A55BA"/>
    <w:rsid w:val="000A5618"/>
    <w:rsid w:val="000A5A23"/>
    <w:rsid w:val="000A5A2F"/>
    <w:rsid w:val="000A5AD6"/>
    <w:rsid w:val="000A5B64"/>
    <w:rsid w:val="000A5C8E"/>
    <w:rsid w:val="000A5D0C"/>
    <w:rsid w:val="000A5EBB"/>
    <w:rsid w:val="000A5F26"/>
    <w:rsid w:val="000A63C3"/>
    <w:rsid w:val="000A6407"/>
    <w:rsid w:val="000A6507"/>
    <w:rsid w:val="000A6595"/>
    <w:rsid w:val="000A6B0F"/>
    <w:rsid w:val="000A6C5A"/>
    <w:rsid w:val="000A6CF5"/>
    <w:rsid w:val="000A6DF8"/>
    <w:rsid w:val="000A6FBD"/>
    <w:rsid w:val="000A7189"/>
    <w:rsid w:val="000A72A5"/>
    <w:rsid w:val="000A7385"/>
    <w:rsid w:val="000A784C"/>
    <w:rsid w:val="000A7964"/>
    <w:rsid w:val="000A7B13"/>
    <w:rsid w:val="000A7B48"/>
    <w:rsid w:val="000A7C8E"/>
    <w:rsid w:val="000A7CA1"/>
    <w:rsid w:val="000A7D8B"/>
    <w:rsid w:val="000B03D5"/>
    <w:rsid w:val="000B04CC"/>
    <w:rsid w:val="000B061A"/>
    <w:rsid w:val="000B0B7B"/>
    <w:rsid w:val="000B107E"/>
    <w:rsid w:val="000B12E0"/>
    <w:rsid w:val="000B12E3"/>
    <w:rsid w:val="000B1820"/>
    <w:rsid w:val="000B1A46"/>
    <w:rsid w:val="000B1A8E"/>
    <w:rsid w:val="000B1EB3"/>
    <w:rsid w:val="000B2420"/>
    <w:rsid w:val="000B2892"/>
    <w:rsid w:val="000B2B8D"/>
    <w:rsid w:val="000B2C98"/>
    <w:rsid w:val="000B2FAB"/>
    <w:rsid w:val="000B30B2"/>
    <w:rsid w:val="000B311D"/>
    <w:rsid w:val="000B33F8"/>
    <w:rsid w:val="000B34C4"/>
    <w:rsid w:val="000B35BC"/>
    <w:rsid w:val="000B36A8"/>
    <w:rsid w:val="000B3E03"/>
    <w:rsid w:val="000B4255"/>
    <w:rsid w:val="000B452C"/>
    <w:rsid w:val="000B46BF"/>
    <w:rsid w:val="000B4C29"/>
    <w:rsid w:val="000B4C43"/>
    <w:rsid w:val="000B4DA1"/>
    <w:rsid w:val="000B4E25"/>
    <w:rsid w:val="000B4F7A"/>
    <w:rsid w:val="000B55A0"/>
    <w:rsid w:val="000B56DF"/>
    <w:rsid w:val="000B5C2E"/>
    <w:rsid w:val="000B69FB"/>
    <w:rsid w:val="000B6B83"/>
    <w:rsid w:val="000B6F0E"/>
    <w:rsid w:val="000B71F2"/>
    <w:rsid w:val="000B72D3"/>
    <w:rsid w:val="000B73BF"/>
    <w:rsid w:val="000B7446"/>
    <w:rsid w:val="000B762F"/>
    <w:rsid w:val="000B7A64"/>
    <w:rsid w:val="000B7AEC"/>
    <w:rsid w:val="000B7E09"/>
    <w:rsid w:val="000C00AB"/>
    <w:rsid w:val="000C00C3"/>
    <w:rsid w:val="000C0369"/>
    <w:rsid w:val="000C03AB"/>
    <w:rsid w:val="000C07E6"/>
    <w:rsid w:val="000C0A77"/>
    <w:rsid w:val="000C0BB3"/>
    <w:rsid w:val="000C10D5"/>
    <w:rsid w:val="000C12F0"/>
    <w:rsid w:val="000C1385"/>
    <w:rsid w:val="000C17F0"/>
    <w:rsid w:val="000C1E3B"/>
    <w:rsid w:val="000C20CA"/>
    <w:rsid w:val="000C22AB"/>
    <w:rsid w:val="000C2435"/>
    <w:rsid w:val="000C27FD"/>
    <w:rsid w:val="000C286D"/>
    <w:rsid w:val="000C2873"/>
    <w:rsid w:val="000C2928"/>
    <w:rsid w:val="000C29B7"/>
    <w:rsid w:val="000C29DD"/>
    <w:rsid w:val="000C2B17"/>
    <w:rsid w:val="000C2F25"/>
    <w:rsid w:val="000C31A0"/>
    <w:rsid w:val="000C384D"/>
    <w:rsid w:val="000C3865"/>
    <w:rsid w:val="000C3EDA"/>
    <w:rsid w:val="000C3F88"/>
    <w:rsid w:val="000C4378"/>
    <w:rsid w:val="000C449F"/>
    <w:rsid w:val="000C44CF"/>
    <w:rsid w:val="000C45FB"/>
    <w:rsid w:val="000C4696"/>
    <w:rsid w:val="000C49D5"/>
    <w:rsid w:val="000C4A5A"/>
    <w:rsid w:val="000C4AAE"/>
    <w:rsid w:val="000C4F9A"/>
    <w:rsid w:val="000C4F9C"/>
    <w:rsid w:val="000C5128"/>
    <w:rsid w:val="000C5528"/>
    <w:rsid w:val="000C5694"/>
    <w:rsid w:val="000C56CE"/>
    <w:rsid w:val="000C5816"/>
    <w:rsid w:val="000C5AED"/>
    <w:rsid w:val="000C5B31"/>
    <w:rsid w:val="000C5B83"/>
    <w:rsid w:val="000C5E5F"/>
    <w:rsid w:val="000C5F3D"/>
    <w:rsid w:val="000C6034"/>
    <w:rsid w:val="000C6438"/>
    <w:rsid w:val="000C647E"/>
    <w:rsid w:val="000C6A36"/>
    <w:rsid w:val="000C6D21"/>
    <w:rsid w:val="000C6D6A"/>
    <w:rsid w:val="000C6ED8"/>
    <w:rsid w:val="000C6F04"/>
    <w:rsid w:val="000C6F72"/>
    <w:rsid w:val="000C7325"/>
    <w:rsid w:val="000C7577"/>
    <w:rsid w:val="000C779B"/>
    <w:rsid w:val="000C7AF1"/>
    <w:rsid w:val="000C7D21"/>
    <w:rsid w:val="000C7F68"/>
    <w:rsid w:val="000C7FD2"/>
    <w:rsid w:val="000D0161"/>
    <w:rsid w:val="000D0322"/>
    <w:rsid w:val="000D03EA"/>
    <w:rsid w:val="000D068C"/>
    <w:rsid w:val="000D076A"/>
    <w:rsid w:val="000D07C9"/>
    <w:rsid w:val="000D082C"/>
    <w:rsid w:val="000D0F28"/>
    <w:rsid w:val="000D104B"/>
    <w:rsid w:val="000D1130"/>
    <w:rsid w:val="000D11E8"/>
    <w:rsid w:val="000D197D"/>
    <w:rsid w:val="000D1C2E"/>
    <w:rsid w:val="000D1E3C"/>
    <w:rsid w:val="000D23D7"/>
    <w:rsid w:val="000D26EC"/>
    <w:rsid w:val="000D275F"/>
    <w:rsid w:val="000D29AA"/>
    <w:rsid w:val="000D2C68"/>
    <w:rsid w:val="000D2DBE"/>
    <w:rsid w:val="000D2F8D"/>
    <w:rsid w:val="000D350E"/>
    <w:rsid w:val="000D3561"/>
    <w:rsid w:val="000D37E0"/>
    <w:rsid w:val="000D38F6"/>
    <w:rsid w:val="000D39FD"/>
    <w:rsid w:val="000D3D72"/>
    <w:rsid w:val="000D3FBC"/>
    <w:rsid w:val="000D4280"/>
    <w:rsid w:val="000D46D2"/>
    <w:rsid w:val="000D4A74"/>
    <w:rsid w:val="000D4C70"/>
    <w:rsid w:val="000D4DA5"/>
    <w:rsid w:val="000D4EC1"/>
    <w:rsid w:val="000D4FC2"/>
    <w:rsid w:val="000D5113"/>
    <w:rsid w:val="000D5234"/>
    <w:rsid w:val="000D528C"/>
    <w:rsid w:val="000D55CD"/>
    <w:rsid w:val="000D613E"/>
    <w:rsid w:val="000D6185"/>
    <w:rsid w:val="000D63A3"/>
    <w:rsid w:val="000D66DA"/>
    <w:rsid w:val="000D6744"/>
    <w:rsid w:val="000D688E"/>
    <w:rsid w:val="000D6BA3"/>
    <w:rsid w:val="000D6EC1"/>
    <w:rsid w:val="000D6F84"/>
    <w:rsid w:val="000D6FE4"/>
    <w:rsid w:val="000D70D6"/>
    <w:rsid w:val="000D70E7"/>
    <w:rsid w:val="000D731F"/>
    <w:rsid w:val="000D7359"/>
    <w:rsid w:val="000D76D5"/>
    <w:rsid w:val="000D77B0"/>
    <w:rsid w:val="000D7A3E"/>
    <w:rsid w:val="000D7CD2"/>
    <w:rsid w:val="000D7F78"/>
    <w:rsid w:val="000E0279"/>
    <w:rsid w:val="000E051B"/>
    <w:rsid w:val="000E05F7"/>
    <w:rsid w:val="000E0BB6"/>
    <w:rsid w:val="000E1495"/>
    <w:rsid w:val="000E1750"/>
    <w:rsid w:val="000E17DD"/>
    <w:rsid w:val="000E19F1"/>
    <w:rsid w:val="000E1A30"/>
    <w:rsid w:val="000E1B0A"/>
    <w:rsid w:val="000E1B93"/>
    <w:rsid w:val="000E1CEB"/>
    <w:rsid w:val="000E1EBC"/>
    <w:rsid w:val="000E20C5"/>
    <w:rsid w:val="000E2166"/>
    <w:rsid w:val="000E226B"/>
    <w:rsid w:val="000E232F"/>
    <w:rsid w:val="000E237B"/>
    <w:rsid w:val="000E245A"/>
    <w:rsid w:val="000E25B9"/>
    <w:rsid w:val="000E282D"/>
    <w:rsid w:val="000E2CFC"/>
    <w:rsid w:val="000E2F07"/>
    <w:rsid w:val="000E2F0D"/>
    <w:rsid w:val="000E3126"/>
    <w:rsid w:val="000E3530"/>
    <w:rsid w:val="000E38B3"/>
    <w:rsid w:val="000E3A3F"/>
    <w:rsid w:val="000E3D01"/>
    <w:rsid w:val="000E3E5C"/>
    <w:rsid w:val="000E420D"/>
    <w:rsid w:val="000E4266"/>
    <w:rsid w:val="000E47C6"/>
    <w:rsid w:val="000E4A82"/>
    <w:rsid w:val="000E4BE5"/>
    <w:rsid w:val="000E4D50"/>
    <w:rsid w:val="000E4E45"/>
    <w:rsid w:val="000E5171"/>
    <w:rsid w:val="000E5280"/>
    <w:rsid w:val="000E5338"/>
    <w:rsid w:val="000E578E"/>
    <w:rsid w:val="000E57CC"/>
    <w:rsid w:val="000E6009"/>
    <w:rsid w:val="000E6590"/>
    <w:rsid w:val="000E669C"/>
    <w:rsid w:val="000E6886"/>
    <w:rsid w:val="000E6A2B"/>
    <w:rsid w:val="000E6C1A"/>
    <w:rsid w:val="000E6F22"/>
    <w:rsid w:val="000E71C1"/>
    <w:rsid w:val="000E75DE"/>
    <w:rsid w:val="000E7FAE"/>
    <w:rsid w:val="000F08D0"/>
    <w:rsid w:val="000F0917"/>
    <w:rsid w:val="000F0C4B"/>
    <w:rsid w:val="000F0CC6"/>
    <w:rsid w:val="000F103C"/>
    <w:rsid w:val="000F11D9"/>
    <w:rsid w:val="000F1277"/>
    <w:rsid w:val="000F147C"/>
    <w:rsid w:val="000F18F7"/>
    <w:rsid w:val="000F1914"/>
    <w:rsid w:val="000F1CE0"/>
    <w:rsid w:val="000F1E75"/>
    <w:rsid w:val="000F1FC4"/>
    <w:rsid w:val="000F215B"/>
    <w:rsid w:val="000F21E6"/>
    <w:rsid w:val="000F223D"/>
    <w:rsid w:val="000F2461"/>
    <w:rsid w:val="000F265D"/>
    <w:rsid w:val="000F27FD"/>
    <w:rsid w:val="000F2C1B"/>
    <w:rsid w:val="000F2E99"/>
    <w:rsid w:val="000F3523"/>
    <w:rsid w:val="000F3645"/>
    <w:rsid w:val="000F366C"/>
    <w:rsid w:val="000F367A"/>
    <w:rsid w:val="000F38B7"/>
    <w:rsid w:val="000F3AE1"/>
    <w:rsid w:val="000F3E80"/>
    <w:rsid w:val="000F4242"/>
    <w:rsid w:val="000F4353"/>
    <w:rsid w:val="000F4459"/>
    <w:rsid w:val="000F4587"/>
    <w:rsid w:val="000F46D1"/>
    <w:rsid w:val="000F5074"/>
    <w:rsid w:val="000F5B10"/>
    <w:rsid w:val="000F5C34"/>
    <w:rsid w:val="000F5C77"/>
    <w:rsid w:val="000F5E09"/>
    <w:rsid w:val="000F5FC6"/>
    <w:rsid w:val="000F6036"/>
    <w:rsid w:val="000F6587"/>
    <w:rsid w:val="000F65C8"/>
    <w:rsid w:val="000F6A6A"/>
    <w:rsid w:val="000F6B72"/>
    <w:rsid w:val="000F6CE1"/>
    <w:rsid w:val="000F6E3E"/>
    <w:rsid w:val="000F6F83"/>
    <w:rsid w:val="000F7040"/>
    <w:rsid w:val="000F70B7"/>
    <w:rsid w:val="000F783A"/>
    <w:rsid w:val="000F792A"/>
    <w:rsid w:val="000F79B7"/>
    <w:rsid w:val="000F7A12"/>
    <w:rsid w:val="000F7A54"/>
    <w:rsid w:val="000F7B19"/>
    <w:rsid w:val="000F7C1D"/>
    <w:rsid w:val="000F7C59"/>
    <w:rsid w:val="000F7D13"/>
    <w:rsid w:val="0010039E"/>
    <w:rsid w:val="001003A8"/>
    <w:rsid w:val="00100533"/>
    <w:rsid w:val="001005CF"/>
    <w:rsid w:val="00100653"/>
    <w:rsid w:val="0010086F"/>
    <w:rsid w:val="0010087E"/>
    <w:rsid w:val="001008CA"/>
    <w:rsid w:val="00100902"/>
    <w:rsid w:val="001009E0"/>
    <w:rsid w:val="00100BB7"/>
    <w:rsid w:val="00100C13"/>
    <w:rsid w:val="0010113F"/>
    <w:rsid w:val="00101415"/>
    <w:rsid w:val="0010144F"/>
    <w:rsid w:val="001014E0"/>
    <w:rsid w:val="00101520"/>
    <w:rsid w:val="001016E1"/>
    <w:rsid w:val="00102548"/>
    <w:rsid w:val="00102609"/>
    <w:rsid w:val="00102620"/>
    <w:rsid w:val="00102788"/>
    <w:rsid w:val="00102890"/>
    <w:rsid w:val="00102AB3"/>
    <w:rsid w:val="00102FD3"/>
    <w:rsid w:val="0010306C"/>
    <w:rsid w:val="001030A9"/>
    <w:rsid w:val="001032F2"/>
    <w:rsid w:val="00103454"/>
    <w:rsid w:val="0010352A"/>
    <w:rsid w:val="00103567"/>
    <w:rsid w:val="00103A14"/>
    <w:rsid w:val="00103BDB"/>
    <w:rsid w:val="00103C02"/>
    <w:rsid w:val="0010407F"/>
    <w:rsid w:val="001043DC"/>
    <w:rsid w:val="00104535"/>
    <w:rsid w:val="001046E3"/>
    <w:rsid w:val="0010476B"/>
    <w:rsid w:val="0010494E"/>
    <w:rsid w:val="00104CD6"/>
    <w:rsid w:val="00104F13"/>
    <w:rsid w:val="001054EB"/>
    <w:rsid w:val="00105586"/>
    <w:rsid w:val="00105E97"/>
    <w:rsid w:val="00105F68"/>
    <w:rsid w:val="001062E3"/>
    <w:rsid w:val="00106311"/>
    <w:rsid w:val="0010636C"/>
    <w:rsid w:val="00106716"/>
    <w:rsid w:val="0010680B"/>
    <w:rsid w:val="00106C5A"/>
    <w:rsid w:val="00106F1E"/>
    <w:rsid w:val="00106F8E"/>
    <w:rsid w:val="0010747B"/>
    <w:rsid w:val="001074A4"/>
    <w:rsid w:val="0010758A"/>
    <w:rsid w:val="001076F2"/>
    <w:rsid w:val="00107821"/>
    <w:rsid w:val="00107A03"/>
    <w:rsid w:val="00107A36"/>
    <w:rsid w:val="00107DC8"/>
    <w:rsid w:val="00107DDE"/>
    <w:rsid w:val="00110025"/>
    <w:rsid w:val="001102B7"/>
    <w:rsid w:val="001105B9"/>
    <w:rsid w:val="001108C5"/>
    <w:rsid w:val="001108FA"/>
    <w:rsid w:val="00110A50"/>
    <w:rsid w:val="00110DD8"/>
    <w:rsid w:val="00110F8F"/>
    <w:rsid w:val="00111043"/>
    <w:rsid w:val="0011108B"/>
    <w:rsid w:val="0011185C"/>
    <w:rsid w:val="00111C11"/>
    <w:rsid w:val="00111F82"/>
    <w:rsid w:val="00112085"/>
    <w:rsid w:val="001120C6"/>
    <w:rsid w:val="0011225F"/>
    <w:rsid w:val="0011231A"/>
    <w:rsid w:val="00112340"/>
    <w:rsid w:val="00112416"/>
    <w:rsid w:val="001124AD"/>
    <w:rsid w:val="001124F2"/>
    <w:rsid w:val="001128EB"/>
    <w:rsid w:val="00112928"/>
    <w:rsid w:val="00112A94"/>
    <w:rsid w:val="00112AB1"/>
    <w:rsid w:val="00112E1E"/>
    <w:rsid w:val="00112F0A"/>
    <w:rsid w:val="00112FBC"/>
    <w:rsid w:val="001132DF"/>
    <w:rsid w:val="0011343A"/>
    <w:rsid w:val="001135F3"/>
    <w:rsid w:val="001139AE"/>
    <w:rsid w:val="00113E41"/>
    <w:rsid w:val="00113E87"/>
    <w:rsid w:val="00113FA9"/>
    <w:rsid w:val="001140A9"/>
    <w:rsid w:val="00114101"/>
    <w:rsid w:val="00114696"/>
    <w:rsid w:val="001146CE"/>
    <w:rsid w:val="001147D5"/>
    <w:rsid w:val="00114C2F"/>
    <w:rsid w:val="00115227"/>
    <w:rsid w:val="0011547C"/>
    <w:rsid w:val="00115538"/>
    <w:rsid w:val="001155D9"/>
    <w:rsid w:val="001155DC"/>
    <w:rsid w:val="00115727"/>
    <w:rsid w:val="00115937"/>
    <w:rsid w:val="00115CC3"/>
    <w:rsid w:val="00115E3D"/>
    <w:rsid w:val="0011609F"/>
    <w:rsid w:val="00116181"/>
    <w:rsid w:val="001162D3"/>
    <w:rsid w:val="00116726"/>
    <w:rsid w:val="0011699B"/>
    <w:rsid w:val="00116BA6"/>
    <w:rsid w:val="00116C67"/>
    <w:rsid w:val="00116CED"/>
    <w:rsid w:val="00116E0C"/>
    <w:rsid w:val="00116F4B"/>
    <w:rsid w:val="00117050"/>
    <w:rsid w:val="00117605"/>
    <w:rsid w:val="0011789B"/>
    <w:rsid w:val="001179DF"/>
    <w:rsid w:val="00117CB6"/>
    <w:rsid w:val="00117D0B"/>
    <w:rsid w:val="00117D6F"/>
    <w:rsid w:val="00117DB5"/>
    <w:rsid w:val="00117FCE"/>
    <w:rsid w:val="00120278"/>
    <w:rsid w:val="0012041E"/>
    <w:rsid w:val="00120438"/>
    <w:rsid w:val="001205CF"/>
    <w:rsid w:val="00120620"/>
    <w:rsid w:val="00120BC2"/>
    <w:rsid w:val="00120C99"/>
    <w:rsid w:val="00120DED"/>
    <w:rsid w:val="00120F15"/>
    <w:rsid w:val="001214DB"/>
    <w:rsid w:val="00121713"/>
    <w:rsid w:val="0012179D"/>
    <w:rsid w:val="00121FDA"/>
    <w:rsid w:val="0012203C"/>
    <w:rsid w:val="00122164"/>
    <w:rsid w:val="001222D4"/>
    <w:rsid w:val="001222F2"/>
    <w:rsid w:val="001225E1"/>
    <w:rsid w:val="0012294C"/>
    <w:rsid w:val="00122B79"/>
    <w:rsid w:val="00122EF5"/>
    <w:rsid w:val="00122F2C"/>
    <w:rsid w:val="00123157"/>
    <w:rsid w:val="0012332A"/>
    <w:rsid w:val="0012357F"/>
    <w:rsid w:val="001235F8"/>
    <w:rsid w:val="0012379F"/>
    <w:rsid w:val="00123B14"/>
    <w:rsid w:val="00123C38"/>
    <w:rsid w:val="00123EBC"/>
    <w:rsid w:val="00124068"/>
    <w:rsid w:val="0012413A"/>
    <w:rsid w:val="001243A9"/>
    <w:rsid w:val="001243D1"/>
    <w:rsid w:val="001244FC"/>
    <w:rsid w:val="0012484F"/>
    <w:rsid w:val="001248E8"/>
    <w:rsid w:val="00124E09"/>
    <w:rsid w:val="001252E1"/>
    <w:rsid w:val="00125C4B"/>
    <w:rsid w:val="00125E4F"/>
    <w:rsid w:val="0012620E"/>
    <w:rsid w:val="00126235"/>
    <w:rsid w:val="00126435"/>
    <w:rsid w:val="00126500"/>
    <w:rsid w:val="00126912"/>
    <w:rsid w:val="00126963"/>
    <w:rsid w:val="001269B8"/>
    <w:rsid w:val="00126AFF"/>
    <w:rsid w:val="00126E40"/>
    <w:rsid w:val="00127292"/>
    <w:rsid w:val="001274F9"/>
    <w:rsid w:val="00127772"/>
    <w:rsid w:val="001277A9"/>
    <w:rsid w:val="00127913"/>
    <w:rsid w:val="00127921"/>
    <w:rsid w:val="00127B16"/>
    <w:rsid w:val="00127BEC"/>
    <w:rsid w:val="00127F11"/>
    <w:rsid w:val="00130346"/>
    <w:rsid w:val="001308DA"/>
    <w:rsid w:val="00130B00"/>
    <w:rsid w:val="00130D44"/>
    <w:rsid w:val="00130E34"/>
    <w:rsid w:val="00131286"/>
    <w:rsid w:val="001313B8"/>
    <w:rsid w:val="0013146B"/>
    <w:rsid w:val="0013162E"/>
    <w:rsid w:val="001318F7"/>
    <w:rsid w:val="00131926"/>
    <w:rsid w:val="00131AC4"/>
    <w:rsid w:val="00131EDC"/>
    <w:rsid w:val="00131F6D"/>
    <w:rsid w:val="001321A0"/>
    <w:rsid w:val="00132351"/>
    <w:rsid w:val="0013238F"/>
    <w:rsid w:val="001323BE"/>
    <w:rsid w:val="0013254A"/>
    <w:rsid w:val="001325F3"/>
    <w:rsid w:val="0013282F"/>
    <w:rsid w:val="00132ADB"/>
    <w:rsid w:val="00132D10"/>
    <w:rsid w:val="001334F1"/>
    <w:rsid w:val="00133740"/>
    <w:rsid w:val="00133778"/>
    <w:rsid w:val="00133788"/>
    <w:rsid w:val="00133869"/>
    <w:rsid w:val="00133891"/>
    <w:rsid w:val="001338D4"/>
    <w:rsid w:val="00133C6E"/>
    <w:rsid w:val="00133DAE"/>
    <w:rsid w:val="00133DC3"/>
    <w:rsid w:val="00134034"/>
    <w:rsid w:val="00134175"/>
    <w:rsid w:val="0013423D"/>
    <w:rsid w:val="00134415"/>
    <w:rsid w:val="00134488"/>
    <w:rsid w:val="00134596"/>
    <w:rsid w:val="00134623"/>
    <w:rsid w:val="001346F6"/>
    <w:rsid w:val="001347E1"/>
    <w:rsid w:val="00134A3C"/>
    <w:rsid w:val="00134AA5"/>
    <w:rsid w:val="001353F3"/>
    <w:rsid w:val="0013558A"/>
    <w:rsid w:val="001358F2"/>
    <w:rsid w:val="00135B3E"/>
    <w:rsid w:val="00135E66"/>
    <w:rsid w:val="00135EAA"/>
    <w:rsid w:val="001361DD"/>
    <w:rsid w:val="0013630C"/>
    <w:rsid w:val="001364CE"/>
    <w:rsid w:val="001365CD"/>
    <w:rsid w:val="0013678B"/>
    <w:rsid w:val="001367EC"/>
    <w:rsid w:val="00137019"/>
    <w:rsid w:val="00137339"/>
    <w:rsid w:val="001373EC"/>
    <w:rsid w:val="0013744E"/>
    <w:rsid w:val="001376CB"/>
    <w:rsid w:val="0013770D"/>
    <w:rsid w:val="00137979"/>
    <w:rsid w:val="00137AAF"/>
    <w:rsid w:val="00137C88"/>
    <w:rsid w:val="00137E93"/>
    <w:rsid w:val="0014099F"/>
    <w:rsid w:val="00140A5E"/>
    <w:rsid w:val="00140C0E"/>
    <w:rsid w:val="00140CCC"/>
    <w:rsid w:val="0014134D"/>
    <w:rsid w:val="00141503"/>
    <w:rsid w:val="00141814"/>
    <w:rsid w:val="00141AC5"/>
    <w:rsid w:val="00141D5F"/>
    <w:rsid w:val="00141E78"/>
    <w:rsid w:val="00141F06"/>
    <w:rsid w:val="00142136"/>
    <w:rsid w:val="00142C3B"/>
    <w:rsid w:val="00142C73"/>
    <w:rsid w:val="00142D6B"/>
    <w:rsid w:val="00142D70"/>
    <w:rsid w:val="001432CB"/>
    <w:rsid w:val="00143380"/>
    <w:rsid w:val="00143A2C"/>
    <w:rsid w:val="00143A34"/>
    <w:rsid w:val="00143F02"/>
    <w:rsid w:val="00143F30"/>
    <w:rsid w:val="00144098"/>
    <w:rsid w:val="00144230"/>
    <w:rsid w:val="00144454"/>
    <w:rsid w:val="001444C7"/>
    <w:rsid w:val="00144770"/>
    <w:rsid w:val="001448D3"/>
    <w:rsid w:val="001449BB"/>
    <w:rsid w:val="00144A40"/>
    <w:rsid w:val="00144C73"/>
    <w:rsid w:val="00144D8B"/>
    <w:rsid w:val="00144E0D"/>
    <w:rsid w:val="001452AA"/>
    <w:rsid w:val="0014563E"/>
    <w:rsid w:val="001457FD"/>
    <w:rsid w:val="001458AD"/>
    <w:rsid w:val="00145BBF"/>
    <w:rsid w:val="00145DD9"/>
    <w:rsid w:val="00145F2F"/>
    <w:rsid w:val="00145F7B"/>
    <w:rsid w:val="00145F8C"/>
    <w:rsid w:val="00145FDB"/>
    <w:rsid w:val="00146226"/>
    <w:rsid w:val="001464AF"/>
    <w:rsid w:val="0014672F"/>
    <w:rsid w:val="0014687D"/>
    <w:rsid w:val="00146A01"/>
    <w:rsid w:val="00146CBC"/>
    <w:rsid w:val="00146EA1"/>
    <w:rsid w:val="00146EE3"/>
    <w:rsid w:val="00147231"/>
    <w:rsid w:val="001472A7"/>
    <w:rsid w:val="0014731C"/>
    <w:rsid w:val="001473CA"/>
    <w:rsid w:val="00147428"/>
    <w:rsid w:val="001479B0"/>
    <w:rsid w:val="00147A77"/>
    <w:rsid w:val="00147B69"/>
    <w:rsid w:val="00150305"/>
    <w:rsid w:val="001505BC"/>
    <w:rsid w:val="00150649"/>
    <w:rsid w:val="00150763"/>
    <w:rsid w:val="00150A0B"/>
    <w:rsid w:val="00150D84"/>
    <w:rsid w:val="00150E00"/>
    <w:rsid w:val="00151029"/>
    <w:rsid w:val="0015140B"/>
    <w:rsid w:val="001517D4"/>
    <w:rsid w:val="00151ADD"/>
    <w:rsid w:val="00151CF2"/>
    <w:rsid w:val="00151CFF"/>
    <w:rsid w:val="00151D1C"/>
    <w:rsid w:val="0015215F"/>
    <w:rsid w:val="001521B8"/>
    <w:rsid w:val="001522E3"/>
    <w:rsid w:val="00152441"/>
    <w:rsid w:val="00152B23"/>
    <w:rsid w:val="00152D51"/>
    <w:rsid w:val="00153052"/>
    <w:rsid w:val="00153185"/>
    <w:rsid w:val="00153306"/>
    <w:rsid w:val="001533B2"/>
    <w:rsid w:val="0015348C"/>
    <w:rsid w:val="00153987"/>
    <w:rsid w:val="00153B19"/>
    <w:rsid w:val="001542FC"/>
    <w:rsid w:val="0015435C"/>
    <w:rsid w:val="001543B7"/>
    <w:rsid w:val="00154622"/>
    <w:rsid w:val="00154DAF"/>
    <w:rsid w:val="00154F6F"/>
    <w:rsid w:val="00155058"/>
    <w:rsid w:val="00155188"/>
    <w:rsid w:val="00155308"/>
    <w:rsid w:val="00155318"/>
    <w:rsid w:val="0015531F"/>
    <w:rsid w:val="00155382"/>
    <w:rsid w:val="00155727"/>
    <w:rsid w:val="00155861"/>
    <w:rsid w:val="001558B3"/>
    <w:rsid w:val="00155905"/>
    <w:rsid w:val="00155A48"/>
    <w:rsid w:val="00155AEF"/>
    <w:rsid w:val="00155DA0"/>
    <w:rsid w:val="00155DF1"/>
    <w:rsid w:val="001560C9"/>
    <w:rsid w:val="00156221"/>
    <w:rsid w:val="00156577"/>
    <w:rsid w:val="001567AA"/>
    <w:rsid w:val="00156958"/>
    <w:rsid w:val="00156B71"/>
    <w:rsid w:val="00156BE6"/>
    <w:rsid w:val="00156BE7"/>
    <w:rsid w:val="00156C11"/>
    <w:rsid w:val="00156D14"/>
    <w:rsid w:val="00156E48"/>
    <w:rsid w:val="00156EA2"/>
    <w:rsid w:val="00156FB3"/>
    <w:rsid w:val="00157305"/>
    <w:rsid w:val="00157472"/>
    <w:rsid w:val="001576E9"/>
    <w:rsid w:val="00157A91"/>
    <w:rsid w:val="0016008E"/>
    <w:rsid w:val="00160283"/>
    <w:rsid w:val="001602BC"/>
    <w:rsid w:val="001603C5"/>
    <w:rsid w:val="00160425"/>
    <w:rsid w:val="00160574"/>
    <w:rsid w:val="00160644"/>
    <w:rsid w:val="00160A6D"/>
    <w:rsid w:val="00160A93"/>
    <w:rsid w:val="00160A9A"/>
    <w:rsid w:val="00160C27"/>
    <w:rsid w:val="00160C96"/>
    <w:rsid w:val="001619A9"/>
    <w:rsid w:val="00161BE9"/>
    <w:rsid w:val="00161E86"/>
    <w:rsid w:val="00161F37"/>
    <w:rsid w:val="001620BC"/>
    <w:rsid w:val="001623A9"/>
    <w:rsid w:val="0016243A"/>
    <w:rsid w:val="0016267F"/>
    <w:rsid w:val="00162F80"/>
    <w:rsid w:val="00162FB7"/>
    <w:rsid w:val="00162FEB"/>
    <w:rsid w:val="0016309A"/>
    <w:rsid w:val="00163240"/>
    <w:rsid w:val="00163293"/>
    <w:rsid w:val="0016346F"/>
    <w:rsid w:val="00163510"/>
    <w:rsid w:val="0016399A"/>
    <w:rsid w:val="001640D1"/>
    <w:rsid w:val="0016412A"/>
    <w:rsid w:val="00164282"/>
    <w:rsid w:val="001642B8"/>
    <w:rsid w:val="00164402"/>
    <w:rsid w:val="0016455A"/>
    <w:rsid w:val="0016480D"/>
    <w:rsid w:val="001649F2"/>
    <w:rsid w:val="00164DAC"/>
    <w:rsid w:val="00164EF7"/>
    <w:rsid w:val="00164EFE"/>
    <w:rsid w:val="00164F9C"/>
    <w:rsid w:val="0016511E"/>
    <w:rsid w:val="00165363"/>
    <w:rsid w:val="00165782"/>
    <w:rsid w:val="00165873"/>
    <w:rsid w:val="00165A9C"/>
    <w:rsid w:val="00165AE6"/>
    <w:rsid w:val="00165C31"/>
    <w:rsid w:val="00165E2C"/>
    <w:rsid w:val="00165F83"/>
    <w:rsid w:val="00165FD4"/>
    <w:rsid w:val="001663E8"/>
    <w:rsid w:val="00166791"/>
    <w:rsid w:val="00166B3A"/>
    <w:rsid w:val="00166C20"/>
    <w:rsid w:val="00166E18"/>
    <w:rsid w:val="00166EE5"/>
    <w:rsid w:val="00167135"/>
    <w:rsid w:val="00167471"/>
    <w:rsid w:val="001675D6"/>
    <w:rsid w:val="001675FA"/>
    <w:rsid w:val="001676FD"/>
    <w:rsid w:val="0016782A"/>
    <w:rsid w:val="001678A9"/>
    <w:rsid w:val="00167BF0"/>
    <w:rsid w:val="00167C40"/>
    <w:rsid w:val="00167C96"/>
    <w:rsid w:val="00167FBA"/>
    <w:rsid w:val="0017014A"/>
    <w:rsid w:val="001701BE"/>
    <w:rsid w:val="001702AC"/>
    <w:rsid w:val="001704CD"/>
    <w:rsid w:val="0017064C"/>
    <w:rsid w:val="00170A6B"/>
    <w:rsid w:val="00170B5D"/>
    <w:rsid w:val="00170DC3"/>
    <w:rsid w:val="00170EE0"/>
    <w:rsid w:val="00170F0C"/>
    <w:rsid w:val="00170FDC"/>
    <w:rsid w:val="00171205"/>
    <w:rsid w:val="00171466"/>
    <w:rsid w:val="00171640"/>
    <w:rsid w:val="00171737"/>
    <w:rsid w:val="00171CDA"/>
    <w:rsid w:val="00171F99"/>
    <w:rsid w:val="00171FCC"/>
    <w:rsid w:val="0017221D"/>
    <w:rsid w:val="0017264B"/>
    <w:rsid w:val="00172651"/>
    <w:rsid w:val="001726E1"/>
    <w:rsid w:val="00172884"/>
    <w:rsid w:val="0017289B"/>
    <w:rsid w:val="0017302D"/>
    <w:rsid w:val="0017304F"/>
    <w:rsid w:val="001734DC"/>
    <w:rsid w:val="00173520"/>
    <w:rsid w:val="001735E5"/>
    <w:rsid w:val="0017368B"/>
    <w:rsid w:val="001736FC"/>
    <w:rsid w:val="0017371E"/>
    <w:rsid w:val="00173967"/>
    <w:rsid w:val="001743D3"/>
    <w:rsid w:val="00174449"/>
    <w:rsid w:val="00174A98"/>
    <w:rsid w:val="00174BBC"/>
    <w:rsid w:val="00174DF7"/>
    <w:rsid w:val="001750B0"/>
    <w:rsid w:val="0017544E"/>
    <w:rsid w:val="00175489"/>
    <w:rsid w:val="00175570"/>
    <w:rsid w:val="001756A3"/>
    <w:rsid w:val="00175772"/>
    <w:rsid w:val="00175801"/>
    <w:rsid w:val="00175A83"/>
    <w:rsid w:val="00175C48"/>
    <w:rsid w:val="00175E39"/>
    <w:rsid w:val="00175EB7"/>
    <w:rsid w:val="00175F53"/>
    <w:rsid w:val="00175FCF"/>
    <w:rsid w:val="0017628D"/>
    <w:rsid w:val="00176333"/>
    <w:rsid w:val="00176939"/>
    <w:rsid w:val="001769A0"/>
    <w:rsid w:val="001769FA"/>
    <w:rsid w:val="00176A0C"/>
    <w:rsid w:val="00176C7C"/>
    <w:rsid w:val="00176D76"/>
    <w:rsid w:val="00176DBD"/>
    <w:rsid w:val="00176F7B"/>
    <w:rsid w:val="00177134"/>
    <w:rsid w:val="00177644"/>
    <w:rsid w:val="00177C4C"/>
    <w:rsid w:val="00177D37"/>
    <w:rsid w:val="00177D84"/>
    <w:rsid w:val="001803B7"/>
    <w:rsid w:val="0018058F"/>
    <w:rsid w:val="00180617"/>
    <w:rsid w:val="00180811"/>
    <w:rsid w:val="00180B92"/>
    <w:rsid w:val="00180E93"/>
    <w:rsid w:val="00181350"/>
    <w:rsid w:val="00181A8F"/>
    <w:rsid w:val="00181DF1"/>
    <w:rsid w:val="00181ED2"/>
    <w:rsid w:val="00182229"/>
    <w:rsid w:val="00182234"/>
    <w:rsid w:val="00182365"/>
    <w:rsid w:val="001824EF"/>
    <w:rsid w:val="001827F2"/>
    <w:rsid w:val="00182992"/>
    <w:rsid w:val="00182CE7"/>
    <w:rsid w:val="00182EC0"/>
    <w:rsid w:val="0018305E"/>
    <w:rsid w:val="00183B84"/>
    <w:rsid w:val="00183BA3"/>
    <w:rsid w:val="00183C5C"/>
    <w:rsid w:val="00183CFB"/>
    <w:rsid w:val="00183D70"/>
    <w:rsid w:val="001841CF"/>
    <w:rsid w:val="00184359"/>
    <w:rsid w:val="0018453A"/>
    <w:rsid w:val="001845AA"/>
    <w:rsid w:val="00184621"/>
    <w:rsid w:val="001849FB"/>
    <w:rsid w:val="00184C75"/>
    <w:rsid w:val="00184E4F"/>
    <w:rsid w:val="00184F07"/>
    <w:rsid w:val="001852F5"/>
    <w:rsid w:val="00185337"/>
    <w:rsid w:val="00185567"/>
    <w:rsid w:val="00185789"/>
    <w:rsid w:val="00185D91"/>
    <w:rsid w:val="00185F8A"/>
    <w:rsid w:val="0018652C"/>
    <w:rsid w:val="00186574"/>
    <w:rsid w:val="001867E0"/>
    <w:rsid w:val="001867E3"/>
    <w:rsid w:val="00186B46"/>
    <w:rsid w:val="00186D7D"/>
    <w:rsid w:val="00186FE1"/>
    <w:rsid w:val="001872EF"/>
    <w:rsid w:val="0018738E"/>
    <w:rsid w:val="0018782F"/>
    <w:rsid w:val="00187B41"/>
    <w:rsid w:val="00187C15"/>
    <w:rsid w:val="00187E44"/>
    <w:rsid w:val="00187E92"/>
    <w:rsid w:val="00187E9B"/>
    <w:rsid w:val="00187FDE"/>
    <w:rsid w:val="0019026F"/>
    <w:rsid w:val="001902B5"/>
    <w:rsid w:val="001903F3"/>
    <w:rsid w:val="0019063E"/>
    <w:rsid w:val="00190662"/>
    <w:rsid w:val="001906C1"/>
    <w:rsid w:val="0019070B"/>
    <w:rsid w:val="0019077A"/>
    <w:rsid w:val="00190D1B"/>
    <w:rsid w:val="00190F53"/>
    <w:rsid w:val="00191156"/>
    <w:rsid w:val="00191219"/>
    <w:rsid w:val="00191349"/>
    <w:rsid w:val="00191674"/>
    <w:rsid w:val="0019189A"/>
    <w:rsid w:val="001918B5"/>
    <w:rsid w:val="0019198A"/>
    <w:rsid w:val="00191B9A"/>
    <w:rsid w:val="00191DD1"/>
    <w:rsid w:val="00191FB9"/>
    <w:rsid w:val="0019227B"/>
    <w:rsid w:val="001922EB"/>
    <w:rsid w:val="001923F6"/>
    <w:rsid w:val="00192634"/>
    <w:rsid w:val="00192901"/>
    <w:rsid w:val="00192B82"/>
    <w:rsid w:val="00192ED1"/>
    <w:rsid w:val="00192FEC"/>
    <w:rsid w:val="00193091"/>
    <w:rsid w:val="001930F8"/>
    <w:rsid w:val="001938C1"/>
    <w:rsid w:val="001939FF"/>
    <w:rsid w:val="00193BD2"/>
    <w:rsid w:val="00193D16"/>
    <w:rsid w:val="001940D0"/>
    <w:rsid w:val="001941B2"/>
    <w:rsid w:val="0019431E"/>
    <w:rsid w:val="00194422"/>
    <w:rsid w:val="001948ED"/>
    <w:rsid w:val="00194A84"/>
    <w:rsid w:val="00194C95"/>
    <w:rsid w:val="00194D9C"/>
    <w:rsid w:val="00195081"/>
    <w:rsid w:val="00195314"/>
    <w:rsid w:val="00195679"/>
    <w:rsid w:val="0019572E"/>
    <w:rsid w:val="00195C31"/>
    <w:rsid w:val="00195CC1"/>
    <w:rsid w:val="00195D4C"/>
    <w:rsid w:val="00195DFA"/>
    <w:rsid w:val="00195DFB"/>
    <w:rsid w:val="0019619C"/>
    <w:rsid w:val="001962CA"/>
    <w:rsid w:val="001963B1"/>
    <w:rsid w:val="001964A5"/>
    <w:rsid w:val="00196521"/>
    <w:rsid w:val="0019675B"/>
    <w:rsid w:val="00196A77"/>
    <w:rsid w:val="00197262"/>
    <w:rsid w:val="001975A4"/>
    <w:rsid w:val="001975E0"/>
    <w:rsid w:val="001A05C5"/>
    <w:rsid w:val="001A06AD"/>
    <w:rsid w:val="001A08AD"/>
    <w:rsid w:val="001A092F"/>
    <w:rsid w:val="001A0983"/>
    <w:rsid w:val="001A0A2E"/>
    <w:rsid w:val="001A107E"/>
    <w:rsid w:val="001A11E7"/>
    <w:rsid w:val="001A127C"/>
    <w:rsid w:val="001A148F"/>
    <w:rsid w:val="001A150D"/>
    <w:rsid w:val="001A171F"/>
    <w:rsid w:val="001A1883"/>
    <w:rsid w:val="001A18F0"/>
    <w:rsid w:val="001A19B3"/>
    <w:rsid w:val="001A1C4A"/>
    <w:rsid w:val="001A1C57"/>
    <w:rsid w:val="001A1CB7"/>
    <w:rsid w:val="001A1EEC"/>
    <w:rsid w:val="001A23C8"/>
    <w:rsid w:val="001A2412"/>
    <w:rsid w:val="001A2497"/>
    <w:rsid w:val="001A24E2"/>
    <w:rsid w:val="001A253D"/>
    <w:rsid w:val="001A26C3"/>
    <w:rsid w:val="001A28A3"/>
    <w:rsid w:val="001A2B4D"/>
    <w:rsid w:val="001A2D96"/>
    <w:rsid w:val="001A2E0D"/>
    <w:rsid w:val="001A2F1D"/>
    <w:rsid w:val="001A2FB5"/>
    <w:rsid w:val="001A2FF3"/>
    <w:rsid w:val="001A3163"/>
    <w:rsid w:val="001A31AC"/>
    <w:rsid w:val="001A33F2"/>
    <w:rsid w:val="001A367D"/>
    <w:rsid w:val="001A3897"/>
    <w:rsid w:val="001A3ACB"/>
    <w:rsid w:val="001A3ACE"/>
    <w:rsid w:val="001A3B02"/>
    <w:rsid w:val="001A3BE0"/>
    <w:rsid w:val="001A3D71"/>
    <w:rsid w:val="001A3D77"/>
    <w:rsid w:val="001A3F13"/>
    <w:rsid w:val="001A40D1"/>
    <w:rsid w:val="001A40EB"/>
    <w:rsid w:val="001A43E5"/>
    <w:rsid w:val="001A456E"/>
    <w:rsid w:val="001A4A35"/>
    <w:rsid w:val="001A4C19"/>
    <w:rsid w:val="001A4C63"/>
    <w:rsid w:val="001A4DF7"/>
    <w:rsid w:val="001A4E05"/>
    <w:rsid w:val="001A4EE2"/>
    <w:rsid w:val="001A5214"/>
    <w:rsid w:val="001A52AF"/>
    <w:rsid w:val="001A542F"/>
    <w:rsid w:val="001A5655"/>
    <w:rsid w:val="001A5C37"/>
    <w:rsid w:val="001A5CA7"/>
    <w:rsid w:val="001A600F"/>
    <w:rsid w:val="001A60A2"/>
    <w:rsid w:val="001A63A2"/>
    <w:rsid w:val="001A651C"/>
    <w:rsid w:val="001A6BC2"/>
    <w:rsid w:val="001A6C62"/>
    <w:rsid w:val="001A6DF4"/>
    <w:rsid w:val="001A75EF"/>
    <w:rsid w:val="001A7649"/>
    <w:rsid w:val="001A7DCD"/>
    <w:rsid w:val="001A7DDF"/>
    <w:rsid w:val="001A7EBD"/>
    <w:rsid w:val="001A7F73"/>
    <w:rsid w:val="001A7FE3"/>
    <w:rsid w:val="001B01A3"/>
    <w:rsid w:val="001B02EB"/>
    <w:rsid w:val="001B0606"/>
    <w:rsid w:val="001B0ACE"/>
    <w:rsid w:val="001B0B77"/>
    <w:rsid w:val="001B0B82"/>
    <w:rsid w:val="001B0D2D"/>
    <w:rsid w:val="001B11B1"/>
    <w:rsid w:val="001B1204"/>
    <w:rsid w:val="001B129F"/>
    <w:rsid w:val="001B1363"/>
    <w:rsid w:val="001B1388"/>
    <w:rsid w:val="001B1440"/>
    <w:rsid w:val="001B1582"/>
    <w:rsid w:val="001B15D5"/>
    <w:rsid w:val="001B16F6"/>
    <w:rsid w:val="001B17B4"/>
    <w:rsid w:val="001B1BA8"/>
    <w:rsid w:val="001B1E37"/>
    <w:rsid w:val="001B21DC"/>
    <w:rsid w:val="001B2927"/>
    <w:rsid w:val="001B2934"/>
    <w:rsid w:val="001B2ABA"/>
    <w:rsid w:val="001B2BF7"/>
    <w:rsid w:val="001B339A"/>
    <w:rsid w:val="001B3D42"/>
    <w:rsid w:val="001B4051"/>
    <w:rsid w:val="001B413A"/>
    <w:rsid w:val="001B427B"/>
    <w:rsid w:val="001B445C"/>
    <w:rsid w:val="001B48FE"/>
    <w:rsid w:val="001B4A64"/>
    <w:rsid w:val="001B4F91"/>
    <w:rsid w:val="001B4FA0"/>
    <w:rsid w:val="001B51BF"/>
    <w:rsid w:val="001B54C4"/>
    <w:rsid w:val="001B5726"/>
    <w:rsid w:val="001B5B12"/>
    <w:rsid w:val="001B5B7C"/>
    <w:rsid w:val="001B5BDB"/>
    <w:rsid w:val="001B5D79"/>
    <w:rsid w:val="001B61FF"/>
    <w:rsid w:val="001B62F5"/>
    <w:rsid w:val="001B69C2"/>
    <w:rsid w:val="001B6D31"/>
    <w:rsid w:val="001B70D4"/>
    <w:rsid w:val="001B724A"/>
    <w:rsid w:val="001B7558"/>
    <w:rsid w:val="001B76BA"/>
    <w:rsid w:val="001B76F8"/>
    <w:rsid w:val="001B7B28"/>
    <w:rsid w:val="001B7C07"/>
    <w:rsid w:val="001B7C8B"/>
    <w:rsid w:val="001B7F0A"/>
    <w:rsid w:val="001C0334"/>
    <w:rsid w:val="001C07F1"/>
    <w:rsid w:val="001C0F0C"/>
    <w:rsid w:val="001C0FF9"/>
    <w:rsid w:val="001C11A1"/>
    <w:rsid w:val="001C1216"/>
    <w:rsid w:val="001C1444"/>
    <w:rsid w:val="001C1873"/>
    <w:rsid w:val="001C1A42"/>
    <w:rsid w:val="001C1B9C"/>
    <w:rsid w:val="001C1D93"/>
    <w:rsid w:val="001C1DEB"/>
    <w:rsid w:val="001C1E93"/>
    <w:rsid w:val="001C1EFF"/>
    <w:rsid w:val="001C1F10"/>
    <w:rsid w:val="001C1F82"/>
    <w:rsid w:val="001C2257"/>
    <w:rsid w:val="001C233C"/>
    <w:rsid w:val="001C24A9"/>
    <w:rsid w:val="001C2981"/>
    <w:rsid w:val="001C2ADF"/>
    <w:rsid w:val="001C2D2D"/>
    <w:rsid w:val="001C2E62"/>
    <w:rsid w:val="001C2FF9"/>
    <w:rsid w:val="001C316E"/>
    <w:rsid w:val="001C3228"/>
    <w:rsid w:val="001C32AF"/>
    <w:rsid w:val="001C35DD"/>
    <w:rsid w:val="001C3805"/>
    <w:rsid w:val="001C3811"/>
    <w:rsid w:val="001C3877"/>
    <w:rsid w:val="001C3AF4"/>
    <w:rsid w:val="001C3C21"/>
    <w:rsid w:val="001C3F52"/>
    <w:rsid w:val="001C4223"/>
    <w:rsid w:val="001C42B8"/>
    <w:rsid w:val="001C4318"/>
    <w:rsid w:val="001C443C"/>
    <w:rsid w:val="001C45FD"/>
    <w:rsid w:val="001C46F4"/>
    <w:rsid w:val="001C479B"/>
    <w:rsid w:val="001C4DAD"/>
    <w:rsid w:val="001C532C"/>
    <w:rsid w:val="001C5393"/>
    <w:rsid w:val="001C5472"/>
    <w:rsid w:val="001C55E7"/>
    <w:rsid w:val="001C576D"/>
    <w:rsid w:val="001C5BE4"/>
    <w:rsid w:val="001C65A0"/>
    <w:rsid w:val="001C6677"/>
    <w:rsid w:val="001C6BAE"/>
    <w:rsid w:val="001C6EC4"/>
    <w:rsid w:val="001C71B0"/>
    <w:rsid w:val="001C73DA"/>
    <w:rsid w:val="001C7962"/>
    <w:rsid w:val="001D009D"/>
    <w:rsid w:val="001D033E"/>
    <w:rsid w:val="001D0525"/>
    <w:rsid w:val="001D0B3F"/>
    <w:rsid w:val="001D0F8E"/>
    <w:rsid w:val="001D10EA"/>
    <w:rsid w:val="001D115F"/>
    <w:rsid w:val="001D11BD"/>
    <w:rsid w:val="001D1229"/>
    <w:rsid w:val="001D14E1"/>
    <w:rsid w:val="001D1646"/>
    <w:rsid w:val="001D1ABD"/>
    <w:rsid w:val="001D1C3A"/>
    <w:rsid w:val="001D1C6F"/>
    <w:rsid w:val="001D1D81"/>
    <w:rsid w:val="001D1F3D"/>
    <w:rsid w:val="001D1F44"/>
    <w:rsid w:val="001D20B2"/>
    <w:rsid w:val="001D226D"/>
    <w:rsid w:val="001D2978"/>
    <w:rsid w:val="001D2D62"/>
    <w:rsid w:val="001D2E8C"/>
    <w:rsid w:val="001D2F53"/>
    <w:rsid w:val="001D303B"/>
    <w:rsid w:val="001D3144"/>
    <w:rsid w:val="001D33CE"/>
    <w:rsid w:val="001D3509"/>
    <w:rsid w:val="001D35E8"/>
    <w:rsid w:val="001D3A8D"/>
    <w:rsid w:val="001D3B26"/>
    <w:rsid w:val="001D3BF4"/>
    <w:rsid w:val="001D3E02"/>
    <w:rsid w:val="001D4304"/>
    <w:rsid w:val="001D44C0"/>
    <w:rsid w:val="001D4523"/>
    <w:rsid w:val="001D462B"/>
    <w:rsid w:val="001D49BA"/>
    <w:rsid w:val="001D4B6C"/>
    <w:rsid w:val="001D4EA8"/>
    <w:rsid w:val="001D4F43"/>
    <w:rsid w:val="001D526B"/>
    <w:rsid w:val="001D5C00"/>
    <w:rsid w:val="001D5D85"/>
    <w:rsid w:val="001D5F83"/>
    <w:rsid w:val="001D60C9"/>
    <w:rsid w:val="001D649C"/>
    <w:rsid w:val="001D6655"/>
    <w:rsid w:val="001D68EC"/>
    <w:rsid w:val="001D6932"/>
    <w:rsid w:val="001D6954"/>
    <w:rsid w:val="001D696A"/>
    <w:rsid w:val="001D6A9C"/>
    <w:rsid w:val="001D6C98"/>
    <w:rsid w:val="001D70D6"/>
    <w:rsid w:val="001D7241"/>
    <w:rsid w:val="001D724E"/>
    <w:rsid w:val="001D72E6"/>
    <w:rsid w:val="001D72EA"/>
    <w:rsid w:val="001D7337"/>
    <w:rsid w:val="001D73E9"/>
    <w:rsid w:val="001D73F6"/>
    <w:rsid w:val="001D746A"/>
    <w:rsid w:val="001D7566"/>
    <w:rsid w:val="001D7A7A"/>
    <w:rsid w:val="001D7B5D"/>
    <w:rsid w:val="001D7B6D"/>
    <w:rsid w:val="001D7C7C"/>
    <w:rsid w:val="001D7EC8"/>
    <w:rsid w:val="001E0291"/>
    <w:rsid w:val="001E0528"/>
    <w:rsid w:val="001E083B"/>
    <w:rsid w:val="001E0A71"/>
    <w:rsid w:val="001E0F76"/>
    <w:rsid w:val="001E0F81"/>
    <w:rsid w:val="001E1241"/>
    <w:rsid w:val="001E126B"/>
    <w:rsid w:val="001E158A"/>
    <w:rsid w:val="001E1637"/>
    <w:rsid w:val="001E1A2E"/>
    <w:rsid w:val="001E1E76"/>
    <w:rsid w:val="001E2019"/>
    <w:rsid w:val="001E21DC"/>
    <w:rsid w:val="001E28D4"/>
    <w:rsid w:val="001E2902"/>
    <w:rsid w:val="001E2C23"/>
    <w:rsid w:val="001E2C2D"/>
    <w:rsid w:val="001E2C56"/>
    <w:rsid w:val="001E321C"/>
    <w:rsid w:val="001E32B8"/>
    <w:rsid w:val="001E344E"/>
    <w:rsid w:val="001E34A0"/>
    <w:rsid w:val="001E3719"/>
    <w:rsid w:val="001E3FC9"/>
    <w:rsid w:val="001E400F"/>
    <w:rsid w:val="001E4126"/>
    <w:rsid w:val="001E429A"/>
    <w:rsid w:val="001E4309"/>
    <w:rsid w:val="001E4490"/>
    <w:rsid w:val="001E44B5"/>
    <w:rsid w:val="001E453E"/>
    <w:rsid w:val="001E4C29"/>
    <w:rsid w:val="001E4DD5"/>
    <w:rsid w:val="001E4E5C"/>
    <w:rsid w:val="001E4F18"/>
    <w:rsid w:val="001E50CF"/>
    <w:rsid w:val="001E5102"/>
    <w:rsid w:val="001E5391"/>
    <w:rsid w:val="001E54C7"/>
    <w:rsid w:val="001E54F7"/>
    <w:rsid w:val="001E57DF"/>
    <w:rsid w:val="001E5E7E"/>
    <w:rsid w:val="001E6192"/>
    <w:rsid w:val="001E62F2"/>
    <w:rsid w:val="001E63CE"/>
    <w:rsid w:val="001E6D28"/>
    <w:rsid w:val="001E6D36"/>
    <w:rsid w:val="001E6E8C"/>
    <w:rsid w:val="001E6FAB"/>
    <w:rsid w:val="001E7168"/>
    <w:rsid w:val="001E7463"/>
    <w:rsid w:val="001E764C"/>
    <w:rsid w:val="001E76B0"/>
    <w:rsid w:val="001E76B8"/>
    <w:rsid w:val="001E77B4"/>
    <w:rsid w:val="001E7A3C"/>
    <w:rsid w:val="001E7C07"/>
    <w:rsid w:val="001F0005"/>
    <w:rsid w:val="001F004E"/>
    <w:rsid w:val="001F0127"/>
    <w:rsid w:val="001F02AF"/>
    <w:rsid w:val="001F0F4F"/>
    <w:rsid w:val="001F0FBF"/>
    <w:rsid w:val="001F0FEC"/>
    <w:rsid w:val="001F100A"/>
    <w:rsid w:val="001F123B"/>
    <w:rsid w:val="001F157F"/>
    <w:rsid w:val="001F15DA"/>
    <w:rsid w:val="001F1787"/>
    <w:rsid w:val="001F17A0"/>
    <w:rsid w:val="001F1944"/>
    <w:rsid w:val="001F1AF0"/>
    <w:rsid w:val="001F1C95"/>
    <w:rsid w:val="001F1E56"/>
    <w:rsid w:val="001F1F9F"/>
    <w:rsid w:val="001F236A"/>
    <w:rsid w:val="001F254A"/>
    <w:rsid w:val="001F25BC"/>
    <w:rsid w:val="001F27A4"/>
    <w:rsid w:val="001F28BC"/>
    <w:rsid w:val="001F2B67"/>
    <w:rsid w:val="001F2B86"/>
    <w:rsid w:val="001F2FB4"/>
    <w:rsid w:val="001F316A"/>
    <w:rsid w:val="001F3196"/>
    <w:rsid w:val="001F3495"/>
    <w:rsid w:val="001F3687"/>
    <w:rsid w:val="001F3910"/>
    <w:rsid w:val="001F39AF"/>
    <w:rsid w:val="001F3B6B"/>
    <w:rsid w:val="001F40D6"/>
    <w:rsid w:val="001F46BA"/>
    <w:rsid w:val="001F48D2"/>
    <w:rsid w:val="001F49BD"/>
    <w:rsid w:val="001F5649"/>
    <w:rsid w:val="001F5C57"/>
    <w:rsid w:val="001F63AA"/>
    <w:rsid w:val="001F64B0"/>
    <w:rsid w:val="001F66D5"/>
    <w:rsid w:val="001F6877"/>
    <w:rsid w:val="001F6AC6"/>
    <w:rsid w:val="001F6CA5"/>
    <w:rsid w:val="001F6D32"/>
    <w:rsid w:val="001F6DFA"/>
    <w:rsid w:val="001F6E00"/>
    <w:rsid w:val="001F6E7B"/>
    <w:rsid w:val="001F708C"/>
    <w:rsid w:val="001F74B0"/>
    <w:rsid w:val="001F79A4"/>
    <w:rsid w:val="001F7AD9"/>
    <w:rsid w:val="001F7C15"/>
    <w:rsid w:val="001F7D03"/>
    <w:rsid w:val="002001E5"/>
    <w:rsid w:val="002002E9"/>
    <w:rsid w:val="0020048F"/>
    <w:rsid w:val="00200A05"/>
    <w:rsid w:val="00200C1E"/>
    <w:rsid w:val="00200C71"/>
    <w:rsid w:val="00200C74"/>
    <w:rsid w:val="00200DC4"/>
    <w:rsid w:val="00201008"/>
    <w:rsid w:val="0020128A"/>
    <w:rsid w:val="00201632"/>
    <w:rsid w:val="00201837"/>
    <w:rsid w:val="0020193B"/>
    <w:rsid w:val="002019F5"/>
    <w:rsid w:val="00201AD3"/>
    <w:rsid w:val="00201ED6"/>
    <w:rsid w:val="00202117"/>
    <w:rsid w:val="00202270"/>
    <w:rsid w:val="00202345"/>
    <w:rsid w:val="00202630"/>
    <w:rsid w:val="00202BDD"/>
    <w:rsid w:val="00202D80"/>
    <w:rsid w:val="00202DB1"/>
    <w:rsid w:val="00202EA4"/>
    <w:rsid w:val="00202FA0"/>
    <w:rsid w:val="0020308D"/>
    <w:rsid w:val="00203197"/>
    <w:rsid w:val="00203312"/>
    <w:rsid w:val="00203493"/>
    <w:rsid w:val="00203716"/>
    <w:rsid w:val="00203752"/>
    <w:rsid w:val="0020376C"/>
    <w:rsid w:val="002037CD"/>
    <w:rsid w:val="00203928"/>
    <w:rsid w:val="0020432F"/>
    <w:rsid w:val="00204662"/>
    <w:rsid w:val="002046A5"/>
    <w:rsid w:val="00204BC4"/>
    <w:rsid w:val="00204C50"/>
    <w:rsid w:val="00204D00"/>
    <w:rsid w:val="00204FF9"/>
    <w:rsid w:val="002050B6"/>
    <w:rsid w:val="00205669"/>
    <w:rsid w:val="0020596C"/>
    <w:rsid w:val="00205A42"/>
    <w:rsid w:val="00205B71"/>
    <w:rsid w:val="00205E6D"/>
    <w:rsid w:val="0020600E"/>
    <w:rsid w:val="0020631E"/>
    <w:rsid w:val="00206385"/>
    <w:rsid w:val="00206477"/>
    <w:rsid w:val="0020697C"/>
    <w:rsid w:val="00206ADF"/>
    <w:rsid w:val="00206D47"/>
    <w:rsid w:val="00206E18"/>
    <w:rsid w:val="00206EB8"/>
    <w:rsid w:val="00206FAF"/>
    <w:rsid w:val="0020738C"/>
    <w:rsid w:val="002075DA"/>
    <w:rsid w:val="00207601"/>
    <w:rsid w:val="002100CC"/>
    <w:rsid w:val="00210797"/>
    <w:rsid w:val="002108EB"/>
    <w:rsid w:val="00210E1E"/>
    <w:rsid w:val="0021110D"/>
    <w:rsid w:val="002111FC"/>
    <w:rsid w:val="0021152F"/>
    <w:rsid w:val="00211700"/>
    <w:rsid w:val="002118A7"/>
    <w:rsid w:val="002118D5"/>
    <w:rsid w:val="00211BF9"/>
    <w:rsid w:val="0021208F"/>
    <w:rsid w:val="002124D5"/>
    <w:rsid w:val="00212535"/>
    <w:rsid w:val="0021260F"/>
    <w:rsid w:val="0021276F"/>
    <w:rsid w:val="002127BF"/>
    <w:rsid w:val="00212991"/>
    <w:rsid w:val="0021299A"/>
    <w:rsid w:val="00212B70"/>
    <w:rsid w:val="00212CAA"/>
    <w:rsid w:val="00212D09"/>
    <w:rsid w:val="00212D3B"/>
    <w:rsid w:val="00212FC2"/>
    <w:rsid w:val="002131FE"/>
    <w:rsid w:val="00213342"/>
    <w:rsid w:val="002138CA"/>
    <w:rsid w:val="00213D66"/>
    <w:rsid w:val="00214001"/>
    <w:rsid w:val="002140F2"/>
    <w:rsid w:val="0021446E"/>
    <w:rsid w:val="002146D6"/>
    <w:rsid w:val="00214731"/>
    <w:rsid w:val="00214985"/>
    <w:rsid w:val="002149D2"/>
    <w:rsid w:val="00214A7A"/>
    <w:rsid w:val="00214BC9"/>
    <w:rsid w:val="00214BED"/>
    <w:rsid w:val="00214E38"/>
    <w:rsid w:val="00214FAB"/>
    <w:rsid w:val="00215225"/>
    <w:rsid w:val="00215416"/>
    <w:rsid w:val="002158F9"/>
    <w:rsid w:val="00215A35"/>
    <w:rsid w:val="00215E8A"/>
    <w:rsid w:val="00216008"/>
    <w:rsid w:val="002160D1"/>
    <w:rsid w:val="002167EF"/>
    <w:rsid w:val="0021680F"/>
    <w:rsid w:val="00216945"/>
    <w:rsid w:val="0021698D"/>
    <w:rsid w:val="00216A8B"/>
    <w:rsid w:val="00216A8E"/>
    <w:rsid w:val="00216F33"/>
    <w:rsid w:val="00216FFE"/>
    <w:rsid w:val="0021780A"/>
    <w:rsid w:val="00217825"/>
    <w:rsid w:val="00217A1E"/>
    <w:rsid w:val="00217D86"/>
    <w:rsid w:val="00217EC9"/>
    <w:rsid w:val="002201B6"/>
    <w:rsid w:val="0022025D"/>
    <w:rsid w:val="0022029E"/>
    <w:rsid w:val="0022052E"/>
    <w:rsid w:val="00220687"/>
    <w:rsid w:val="00220AB7"/>
    <w:rsid w:val="00220AD1"/>
    <w:rsid w:val="002210C4"/>
    <w:rsid w:val="002212D2"/>
    <w:rsid w:val="00221479"/>
    <w:rsid w:val="002217DF"/>
    <w:rsid w:val="00221E3F"/>
    <w:rsid w:val="00221F74"/>
    <w:rsid w:val="00222522"/>
    <w:rsid w:val="00222643"/>
    <w:rsid w:val="00222871"/>
    <w:rsid w:val="00222A78"/>
    <w:rsid w:val="00223189"/>
    <w:rsid w:val="002234D0"/>
    <w:rsid w:val="0022354A"/>
    <w:rsid w:val="0022358C"/>
    <w:rsid w:val="002235C2"/>
    <w:rsid w:val="002236DB"/>
    <w:rsid w:val="00223762"/>
    <w:rsid w:val="002238DB"/>
    <w:rsid w:val="00223AC0"/>
    <w:rsid w:val="00223AC7"/>
    <w:rsid w:val="00223FB0"/>
    <w:rsid w:val="00224276"/>
    <w:rsid w:val="00224327"/>
    <w:rsid w:val="00224599"/>
    <w:rsid w:val="00224AAD"/>
    <w:rsid w:val="00224DB1"/>
    <w:rsid w:val="00224FD8"/>
    <w:rsid w:val="002250A2"/>
    <w:rsid w:val="00225165"/>
    <w:rsid w:val="00225220"/>
    <w:rsid w:val="00225650"/>
    <w:rsid w:val="002257B7"/>
    <w:rsid w:val="002257ED"/>
    <w:rsid w:val="00225973"/>
    <w:rsid w:val="002259F3"/>
    <w:rsid w:val="002260EE"/>
    <w:rsid w:val="0022645F"/>
    <w:rsid w:val="002264CF"/>
    <w:rsid w:val="00226B4D"/>
    <w:rsid w:val="00226B68"/>
    <w:rsid w:val="00226E64"/>
    <w:rsid w:val="0022706F"/>
    <w:rsid w:val="0022717E"/>
    <w:rsid w:val="00227407"/>
    <w:rsid w:val="00227458"/>
    <w:rsid w:val="0022751D"/>
    <w:rsid w:val="0022787C"/>
    <w:rsid w:val="002279A0"/>
    <w:rsid w:val="00227B71"/>
    <w:rsid w:val="00227E6A"/>
    <w:rsid w:val="0023037A"/>
    <w:rsid w:val="0023055A"/>
    <w:rsid w:val="00230586"/>
    <w:rsid w:val="00230633"/>
    <w:rsid w:val="002306C1"/>
    <w:rsid w:val="00230D36"/>
    <w:rsid w:val="00231160"/>
    <w:rsid w:val="00231261"/>
    <w:rsid w:val="00231320"/>
    <w:rsid w:val="0023134B"/>
    <w:rsid w:val="0023196A"/>
    <w:rsid w:val="002323C4"/>
    <w:rsid w:val="0023254C"/>
    <w:rsid w:val="00232623"/>
    <w:rsid w:val="00232711"/>
    <w:rsid w:val="00232773"/>
    <w:rsid w:val="002327F3"/>
    <w:rsid w:val="00232876"/>
    <w:rsid w:val="00232AE2"/>
    <w:rsid w:val="00232DD0"/>
    <w:rsid w:val="00232ED5"/>
    <w:rsid w:val="00233117"/>
    <w:rsid w:val="00233259"/>
    <w:rsid w:val="0023385F"/>
    <w:rsid w:val="0023387C"/>
    <w:rsid w:val="00233CA2"/>
    <w:rsid w:val="00233DF9"/>
    <w:rsid w:val="0023413F"/>
    <w:rsid w:val="0023426D"/>
    <w:rsid w:val="00234422"/>
    <w:rsid w:val="002344D1"/>
    <w:rsid w:val="002346F1"/>
    <w:rsid w:val="0023479F"/>
    <w:rsid w:val="002347F2"/>
    <w:rsid w:val="00234E4A"/>
    <w:rsid w:val="00234F52"/>
    <w:rsid w:val="00234FB4"/>
    <w:rsid w:val="0023500C"/>
    <w:rsid w:val="002350DA"/>
    <w:rsid w:val="002351C9"/>
    <w:rsid w:val="002352FF"/>
    <w:rsid w:val="00235364"/>
    <w:rsid w:val="0023544D"/>
    <w:rsid w:val="00235B65"/>
    <w:rsid w:val="00235C96"/>
    <w:rsid w:val="00235D71"/>
    <w:rsid w:val="00236097"/>
    <w:rsid w:val="002360BD"/>
    <w:rsid w:val="002361AB"/>
    <w:rsid w:val="00236815"/>
    <w:rsid w:val="00236866"/>
    <w:rsid w:val="00236BD9"/>
    <w:rsid w:val="00236D4E"/>
    <w:rsid w:val="0023703F"/>
    <w:rsid w:val="00237097"/>
    <w:rsid w:val="0023715F"/>
    <w:rsid w:val="00237702"/>
    <w:rsid w:val="00237804"/>
    <w:rsid w:val="00237CC8"/>
    <w:rsid w:val="00237E5F"/>
    <w:rsid w:val="00237F78"/>
    <w:rsid w:val="002400A0"/>
    <w:rsid w:val="002401CD"/>
    <w:rsid w:val="0024033B"/>
    <w:rsid w:val="00240616"/>
    <w:rsid w:val="0024087C"/>
    <w:rsid w:val="002409AB"/>
    <w:rsid w:val="00240F2A"/>
    <w:rsid w:val="0024107D"/>
    <w:rsid w:val="002412C1"/>
    <w:rsid w:val="002414CD"/>
    <w:rsid w:val="00241565"/>
    <w:rsid w:val="00241795"/>
    <w:rsid w:val="00241803"/>
    <w:rsid w:val="002419C6"/>
    <w:rsid w:val="00241C87"/>
    <w:rsid w:val="00241DE7"/>
    <w:rsid w:val="0024263C"/>
    <w:rsid w:val="002426ED"/>
    <w:rsid w:val="00242763"/>
    <w:rsid w:val="00242994"/>
    <w:rsid w:val="00242DBB"/>
    <w:rsid w:val="00242DF6"/>
    <w:rsid w:val="002437E2"/>
    <w:rsid w:val="0024380E"/>
    <w:rsid w:val="002438F0"/>
    <w:rsid w:val="00243DAD"/>
    <w:rsid w:val="00243E8C"/>
    <w:rsid w:val="00243FC3"/>
    <w:rsid w:val="0024416E"/>
    <w:rsid w:val="002442B1"/>
    <w:rsid w:val="00244519"/>
    <w:rsid w:val="0024476A"/>
    <w:rsid w:val="002447F0"/>
    <w:rsid w:val="002447F9"/>
    <w:rsid w:val="0024489D"/>
    <w:rsid w:val="002448AB"/>
    <w:rsid w:val="00244ABF"/>
    <w:rsid w:val="00244ADE"/>
    <w:rsid w:val="00244D29"/>
    <w:rsid w:val="00245107"/>
    <w:rsid w:val="002454A2"/>
    <w:rsid w:val="002454A7"/>
    <w:rsid w:val="002455CC"/>
    <w:rsid w:val="00245714"/>
    <w:rsid w:val="002458FC"/>
    <w:rsid w:val="002459ED"/>
    <w:rsid w:val="00245AEA"/>
    <w:rsid w:val="00245B66"/>
    <w:rsid w:val="00245D65"/>
    <w:rsid w:val="00245E15"/>
    <w:rsid w:val="00245F91"/>
    <w:rsid w:val="00246550"/>
    <w:rsid w:val="00246710"/>
    <w:rsid w:val="002468E0"/>
    <w:rsid w:val="00246A24"/>
    <w:rsid w:val="00246B76"/>
    <w:rsid w:val="00246C58"/>
    <w:rsid w:val="00246DE1"/>
    <w:rsid w:val="00246F9F"/>
    <w:rsid w:val="00247090"/>
    <w:rsid w:val="00247517"/>
    <w:rsid w:val="0024768E"/>
    <w:rsid w:val="0024773B"/>
    <w:rsid w:val="0024787C"/>
    <w:rsid w:val="00250023"/>
    <w:rsid w:val="00250626"/>
    <w:rsid w:val="002506C8"/>
    <w:rsid w:val="002506F0"/>
    <w:rsid w:val="00250966"/>
    <w:rsid w:val="00250C00"/>
    <w:rsid w:val="00250E1B"/>
    <w:rsid w:val="00251455"/>
    <w:rsid w:val="002519B5"/>
    <w:rsid w:val="00251B7A"/>
    <w:rsid w:val="00251F5C"/>
    <w:rsid w:val="00252050"/>
    <w:rsid w:val="00252145"/>
    <w:rsid w:val="002521B6"/>
    <w:rsid w:val="002523AA"/>
    <w:rsid w:val="00252602"/>
    <w:rsid w:val="002528A2"/>
    <w:rsid w:val="00252B17"/>
    <w:rsid w:val="00252CAD"/>
    <w:rsid w:val="00252F06"/>
    <w:rsid w:val="00252FCE"/>
    <w:rsid w:val="00253219"/>
    <w:rsid w:val="002532C3"/>
    <w:rsid w:val="0025343E"/>
    <w:rsid w:val="00253540"/>
    <w:rsid w:val="00253901"/>
    <w:rsid w:val="0025397D"/>
    <w:rsid w:val="00253BA8"/>
    <w:rsid w:val="00253CCF"/>
    <w:rsid w:val="00253D22"/>
    <w:rsid w:val="00253F98"/>
    <w:rsid w:val="00254313"/>
    <w:rsid w:val="00254601"/>
    <w:rsid w:val="00254751"/>
    <w:rsid w:val="00254A4E"/>
    <w:rsid w:val="002553C0"/>
    <w:rsid w:val="00255693"/>
    <w:rsid w:val="00255972"/>
    <w:rsid w:val="00255B58"/>
    <w:rsid w:val="00255C1A"/>
    <w:rsid w:val="00255E05"/>
    <w:rsid w:val="0025613C"/>
    <w:rsid w:val="00256306"/>
    <w:rsid w:val="0025635C"/>
    <w:rsid w:val="00256501"/>
    <w:rsid w:val="00256568"/>
    <w:rsid w:val="0025672E"/>
    <w:rsid w:val="0025677C"/>
    <w:rsid w:val="00256932"/>
    <w:rsid w:val="00256F57"/>
    <w:rsid w:val="00256F6D"/>
    <w:rsid w:val="00257216"/>
    <w:rsid w:val="002572EC"/>
    <w:rsid w:val="00257566"/>
    <w:rsid w:val="002577FB"/>
    <w:rsid w:val="00257B0A"/>
    <w:rsid w:val="00260075"/>
    <w:rsid w:val="00260976"/>
    <w:rsid w:val="00260BAA"/>
    <w:rsid w:val="00260F4B"/>
    <w:rsid w:val="002611F4"/>
    <w:rsid w:val="002615A9"/>
    <w:rsid w:val="00261687"/>
    <w:rsid w:val="00261992"/>
    <w:rsid w:val="0026199B"/>
    <w:rsid w:val="00261C65"/>
    <w:rsid w:val="00261E96"/>
    <w:rsid w:val="002620EF"/>
    <w:rsid w:val="00262116"/>
    <w:rsid w:val="002621D0"/>
    <w:rsid w:val="0026221B"/>
    <w:rsid w:val="00262258"/>
    <w:rsid w:val="00262436"/>
    <w:rsid w:val="00262538"/>
    <w:rsid w:val="00262C22"/>
    <w:rsid w:val="00262DCA"/>
    <w:rsid w:val="00262E8A"/>
    <w:rsid w:val="00262F9E"/>
    <w:rsid w:val="002637AA"/>
    <w:rsid w:val="002638FC"/>
    <w:rsid w:val="00263A31"/>
    <w:rsid w:val="00263B99"/>
    <w:rsid w:val="00263FA4"/>
    <w:rsid w:val="00263FB4"/>
    <w:rsid w:val="002640CD"/>
    <w:rsid w:val="002641A1"/>
    <w:rsid w:val="002647CB"/>
    <w:rsid w:val="0026483B"/>
    <w:rsid w:val="00264924"/>
    <w:rsid w:val="00264B1B"/>
    <w:rsid w:val="0026538E"/>
    <w:rsid w:val="002657ED"/>
    <w:rsid w:val="00265864"/>
    <w:rsid w:val="002658CC"/>
    <w:rsid w:val="00265992"/>
    <w:rsid w:val="00265B3A"/>
    <w:rsid w:val="00265BE3"/>
    <w:rsid w:val="00265CC5"/>
    <w:rsid w:val="00265D02"/>
    <w:rsid w:val="00265D6B"/>
    <w:rsid w:val="00265E14"/>
    <w:rsid w:val="0026607F"/>
    <w:rsid w:val="00266135"/>
    <w:rsid w:val="002662A1"/>
    <w:rsid w:val="00266433"/>
    <w:rsid w:val="002665B1"/>
    <w:rsid w:val="00266EF1"/>
    <w:rsid w:val="00266F15"/>
    <w:rsid w:val="00266F2C"/>
    <w:rsid w:val="00267187"/>
    <w:rsid w:val="0026728E"/>
    <w:rsid w:val="002672CA"/>
    <w:rsid w:val="00267564"/>
    <w:rsid w:val="0026764E"/>
    <w:rsid w:val="00267720"/>
    <w:rsid w:val="00267914"/>
    <w:rsid w:val="00267AB8"/>
    <w:rsid w:val="00267D77"/>
    <w:rsid w:val="0027000C"/>
    <w:rsid w:val="002700F2"/>
    <w:rsid w:val="002704D4"/>
    <w:rsid w:val="0027058D"/>
    <w:rsid w:val="00270818"/>
    <w:rsid w:val="00270A12"/>
    <w:rsid w:val="00270A3F"/>
    <w:rsid w:val="00270CA8"/>
    <w:rsid w:val="00270D2A"/>
    <w:rsid w:val="00270F51"/>
    <w:rsid w:val="0027112E"/>
    <w:rsid w:val="00271231"/>
    <w:rsid w:val="00271870"/>
    <w:rsid w:val="0027197A"/>
    <w:rsid w:val="002721C1"/>
    <w:rsid w:val="002721FE"/>
    <w:rsid w:val="002722D3"/>
    <w:rsid w:val="002729F0"/>
    <w:rsid w:val="00272A58"/>
    <w:rsid w:val="00272F1E"/>
    <w:rsid w:val="00272F43"/>
    <w:rsid w:val="00273001"/>
    <w:rsid w:val="002730DE"/>
    <w:rsid w:val="0027310C"/>
    <w:rsid w:val="002735D5"/>
    <w:rsid w:val="002736ED"/>
    <w:rsid w:val="002738FD"/>
    <w:rsid w:val="00273C4D"/>
    <w:rsid w:val="00273EBE"/>
    <w:rsid w:val="00273F3F"/>
    <w:rsid w:val="0027404E"/>
    <w:rsid w:val="002749AC"/>
    <w:rsid w:val="00274DF6"/>
    <w:rsid w:val="00274F26"/>
    <w:rsid w:val="00274FBA"/>
    <w:rsid w:val="00275132"/>
    <w:rsid w:val="00275213"/>
    <w:rsid w:val="002754D7"/>
    <w:rsid w:val="00275521"/>
    <w:rsid w:val="00275598"/>
    <w:rsid w:val="002757C0"/>
    <w:rsid w:val="0027589C"/>
    <w:rsid w:val="00275B13"/>
    <w:rsid w:val="00276245"/>
    <w:rsid w:val="0027624A"/>
    <w:rsid w:val="00276B84"/>
    <w:rsid w:val="00276BB8"/>
    <w:rsid w:val="00276E0A"/>
    <w:rsid w:val="00276E9D"/>
    <w:rsid w:val="0027703D"/>
    <w:rsid w:val="00277435"/>
    <w:rsid w:val="00277558"/>
    <w:rsid w:val="0027755D"/>
    <w:rsid w:val="00277ACE"/>
    <w:rsid w:val="00277BA9"/>
    <w:rsid w:val="00277BD6"/>
    <w:rsid w:val="00277C42"/>
    <w:rsid w:val="00277FC3"/>
    <w:rsid w:val="00277FC7"/>
    <w:rsid w:val="002803CF"/>
    <w:rsid w:val="0028042D"/>
    <w:rsid w:val="0028048F"/>
    <w:rsid w:val="0028064A"/>
    <w:rsid w:val="00280B1A"/>
    <w:rsid w:val="00280E97"/>
    <w:rsid w:val="002811D8"/>
    <w:rsid w:val="002811E0"/>
    <w:rsid w:val="002813EF"/>
    <w:rsid w:val="00281536"/>
    <w:rsid w:val="00281540"/>
    <w:rsid w:val="0028161E"/>
    <w:rsid w:val="002819A4"/>
    <w:rsid w:val="00282467"/>
    <w:rsid w:val="002824AC"/>
    <w:rsid w:val="00282597"/>
    <w:rsid w:val="00282651"/>
    <w:rsid w:val="002826CC"/>
    <w:rsid w:val="002836C6"/>
    <w:rsid w:val="0028380A"/>
    <w:rsid w:val="002838CE"/>
    <w:rsid w:val="0028390E"/>
    <w:rsid w:val="00283B8F"/>
    <w:rsid w:val="00283BA5"/>
    <w:rsid w:val="00283BD8"/>
    <w:rsid w:val="00283C85"/>
    <w:rsid w:val="00283F7E"/>
    <w:rsid w:val="00283FA8"/>
    <w:rsid w:val="00284083"/>
    <w:rsid w:val="00284088"/>
    <w:rsid w:val="002844E5"/>
    <w:rsid w:val="00284583"/>
    <w:rsid w:val="0028478F"/>
    <w:rsid w:val="00284875"/>
    <w:rsid w:val="00284A1D"/>
    <w:rsid w:val="00284CCA"/>
    <w:rsid w:val="00284F75"/>
    <w:rsid w:val="00284F9B"/>
    <w:rsid w:val="00284FC4"/>
    <w:rsid w:val="002851E8"/>
    <w:rsid w:val="002854CD"/>
    <w:rsid w:val="00285518"/>
    <w:rsid w:val="002856B1"/>
    <w:rsid w:val="0028598D"/>
    <w:rsid w:val="00285EB3"/>
    <w:rsid w:val="00285F8C"/>
    <w:rsid w:val="002861A0"/>
    <w:rsid w:val="0028632A"/>
    <w:rsid w:val="0028647A"/>
    <w:rsid w:val="002866B5"/>
    <w:rsid w:val="00286889"/>
    <w:rsid w:val="002869AC"/>
    <w:rsid w:val="00287257"/>
    <w:rsid w:val="00287429"/>
    <w:rsid w:val="00287569"/>
    <w:rsid w:val="002875B5"/>
    <w:rsid w:val="002876B1"/>
    <w:rsid w:val="002879F2"/>
    <w:rsid w:val="00287A5A"/>
    <w:rsid w:val="00287A86"/>
    <w:rsid w:val="00287B71"/>
    <w:rsid w:val="00287B76"/>
    <w:rsid w:val="00287E9F"/>
    <w:rsid w:val="0028870C"/>
    <w:rsid w:val="0029006F"/>
    <w:rsid w:val="0029023B"/>
    <w:rsid w:val="00290788"/>
    <w:rsid w:val="0029095C"/>
    <w:rsid w:val="00290B9B"/>
    <w:rsid w:val="00290BFE"/>
    <w:rsid w:val="00290E4C"/>
    <w:rsid w:val="0029109C"/>
    <w:rsid w:val="0029113B"/>
    <w:rsid w:val="0029126F"/>
    <w:rsid w:val="00291405"/>
    <w:rsid w:val="002914C0"/>
    <w:rsid w:val="00291555"/>
    <w:rsid w:val="00291561"/>
    <w:rsid w:val="00291893"/>
    <w:rsid w:val="00291B9E"/>
    <w:rsid w:val="00291F76"/>
    <w:rsid w:val="00292443"/>
    <w:rsid w:val="00292462"/>
    <w:rsid w:val="002925BC"/>
    <w:rsid w:val="002925E0"/>
    <w:rsid w:val="002926CE"/>
    <w:rsid w:val="00292722"/>
    <w:rsid w:val="00292A51"/>
    <w:rsid w:val="00292C8B"/>
    <w:rsid w:val="00293098"/>
    <w:rsid w:val="0029327D"/>
    <w:rsid w:val="002932F0"/>
    <w:rsid w:val="0029392D"/>
    <w:rsid w:val="00293C8C"/>
    <w:rsid w:val="00293CCA"/>
    <w:rsid w:val="002944E8"/>
    <w:rsid w:val="0029458A"/>
    <w:rsid w:val="002946BF"/>
    <w:rsid w:val="00294A38"/>
    <w:rsid w:val="00294F12"/>
    <w:rsid w:val="00294F8B"/>
    <w:rsid w:val="002957D4"/>
    <w:rsid w:val="00295AEF"/>
    <w:rsid w:val="00295B3E"/>
    <w:rsid w:val="00295B64"/>
    <w:rsid w:val="00295C59"/>
    <w:rsid w:val="00295D9F"/>
    <w:rsid w:val="00295E9F"/>
    <w:rsid w:val="00295F1A"/>
    <w:rsid w:val="00296151"/>
    <w:rsid w:val="0029624F"/>
    <w:rsid w:val="002964FC"/>
    <w:rsid w:val="00296589"/>
    <w:rsid w:val="002966F0"/>
    <w:rsid w:val="002968F9"/>
    <w:rsid w:val="00296A5C"/>
    <w:rsid w:val="00296AE7"/>
    <w:rsid w:val="00296D66"/>
    <w:rsid w:val="00297402"/>
    <w:rsid w:val="00297690"/>
    <w:rsid w:val="0029795A"/>
    <w:rsid w:val="002979F0"/>
    <w:rsid w:val="00297F49"/>
    <w:rsid w:val="00297FB3"/>
    <w:rsid w:val="002A05D7"/>
    <w:rsid w:val="002A0CB6"/>
    <w:rsid w:val="002A0F1A"/>
    <w:rsid w:val="002A14BB"/>
    <w:rsid w:val="002A14CD"/>
    <w:rsid w:val="002A16D3"/>
    <w:rsid w:val="002A1762"/>
    <w:rsid w:val="002A18ED"/>
    <w:rsid w:val="002A1B37"/>
    <w:rsid w:val="002A2010"/>
    <w:rsid w:val="002A2132"/>
    <w:rsid w:val="002A2274"/>
    <w:rsid w:val="002A24EA"/>
    <w:rsid w:val="002A2508"/>
    <w:rsid w:val="002A25C9"/>
    <w:rsid w:val="002A2943"/>
    <w:rsid w:val="002A3316"/>
    <w:rsid w:val="002A33A8"/>
    <w:rsid w:val="002A3563"/>
    <w:rsid w:val="002A3583"/>
    <w:rsid w:val="002A3631"/>
    <w:rsid w:val="002A3788"/>
    <w:rsid w:val="002A3C9D"/>
    <w:rsid w:val="002A3D62"/>
    <w:rsid w:val="002A3E8F"/>
    <w:rsid w:val="002A3E90"/>
    <w:rsid w:val="002A3F0A"/>
    <w:rsid w:val="002A4025"/>
    <w:rsid w:val="002A432F"/>
    <w:rsid w:val="002A4534"/>
    <w:rsid w:val="002A45C2"/>
    <w:rsid w:val="002A46DE"/>
    <w:rsid w:val="002A46F0"/>
    <w:rsid w:val="002A48F2"/>
    <w:rsid w:val="002A494A"/>
    <w:rsid w:val="002A49D6"/>
    <w:rsid w:val="002A4AE2"/>
    <w:rsid w:val="002A4D35"/>
    <w:rsid w:val="002A51B3"/>
    <w:rsid w:val="002A51EE"/>
    <w:rsid w:val="002A52C4"/>
    <w:rsid w:val="002A53B1"/>
    <w:rsid w:val="002A588A"/>
    <w:rsid w:val="002A5A83"/>
    <w:rsid w:val="002A5AB0"/>
    <w:rsid w:val="002A5B72"/>
    <w:rsid w:val="002A5D31"/>
    <w:rsid w:val="002A5D69"/>
    <w:rsid w:val="002A6452"/>
    <w:rsid w:val="002A69D6"/>
    <w:rsid w:val="002A6D96"/>
    <w:rsid w:val="002A6E6A"/>
    <w:rsid w:val="002A7098"/>
    <w:rsid w:val="002A7950"/>
    <w:rsid w:val="002A7A6F"/>
    <w:rsid w:val="002A7A7B"/>
    <w:rsid w:val="002ABA34"/>
    <w:rsid w:val="002B0143"/>
    <w:rsid w:val="002B0695"/>
    <w:rsid w:val="002B083A"/>
    <w:rsid w:val="002B0BA5"/>
    <w:rsid w:val="002B0BFF"/>
    <w:rsid w:val="002B1461"/>
    <w:rsid w:val="002B1593"/>
    <w:rsid w:val="002B1619"/>
    <w:rsid w:val="002B1989"/>
    <w:rsid w:val="002B1BFB"/>
    <w:rsid w:val="002B1C68"/>
    <w:rsid w:val="002B1CC8"/>
    <w:rsid w:val="002B1FCF"/>
    <w:rsid w:val="002B239C"/>
    <w:rsid w:val="002B24B9"/>
    <w:rsid w:val="002B25CE"/>
    <w:rsid w:val="002B2F75"/>
    <w:rsid w:val="002B2F79"/>
    <w:rsid w:val="002B2FD0"/>
    <w:rsid w:val="002B30E1"/>
    <w:rsid w:val="002B3248"/>
    <w:rsid w:val="002B341D"/>
    <w:rsid w:val="002B35D3"/>
    <w:rsid w:val="002B35EF"/>
    <w:rsid w:val="002B3661"/>
    <w:rsid w:val="002B39BA"/>
    <w:rsid w:val="002B3A1A"/>
    <w:rsid w:val="002B4149"/>
    <w:rsid w:val="002B4444"/>
    <w:rsid w:val="002B4535"/>
    <w:rsid w:val="002B4621"/>
    <w:rsid w:val="002B47B5"/>
    <w:rsid w:val="002B4B51"/>
    <w:rsid w:val="002B4C07"/>
    <w:rsid w:val="002B4C2A"/>
    <w:rsid w:val="002B4C3F"/>
    <w:rsid w:val="002B50A2"/>
    <w:rsid w:val="002B5312"/>
    <w:rsid w:val="002B5A26"/>
    <w:rsid w:val="002B5AD4"/>
    <w:rsid w:val="002B5C2A"/>
    <w:rsid w:val="002B5EC0"/>
    <w:rsid w:val="002B5F6F"/>
    <w:rsid w:val="002B5FE2"/>
    <w:rsid w:val="002B6188"/>
    <w:rsid w:val="002B6494"/>
    <w:rsid w:val="002B6595"/>
    <w:rsid w:val="002B6A2B"/>
    <w:rsid w:val="002B6C6C"/>
    <w:rsid w:val="002B703A"/>
    <w:rsid w:val="002B7292"/>
    <w:rsid w:val="002B7375"/>
    <w:rsid w:val="002B743A"/>
    <w:rsid w:val="002B74D3"/>
    <w:rsid w:val="002B7B67"/>
    <w:rsid w:val="002C0181"/>
    <w:rsid w:val="002C07E5"/>
    <w:rsid w:val="002C0A35"/>
    <w:rsid w:val="002C0B57"/>
    <w:rsid w:val="002C0BB3"/>
    <w:rsid w:val="002C0CEE"/>
    <w:rsid w:val="002C14CC"/>
    <w:rsid w:val="002C1E3F"/>
    <w:rsid w:val="002C20A9"/>
    <w:rsid w:val="002C2A3E"/>
    <w:rsid w:val="002C2AC6"/>
    <w:rsid w:val="002C2B91"/>
    <w:rsid w:val="002C2D0F"/>
    <w:rsid w:val="002C2E49"/>
    <w:rsid w:val="002C33AB"/>
    <w:rsid w:val="002C3514"/>
    <w:rsid w:val="002C362D"/>
    <w:rsid w:val="002C38AB"/>
    <w:rsid w:val="002C39B5"/>
    <w:rsid w:val="002C3CE1"/>
    <w:rsid w:val="002C3F4D"/>
    <w:rsid w:val="002C422B"/>
    <w:rsid w:val="002C428F"/>
    <w:rsid w:val="002C481A"/>
    <w:rsid w:val="002C4AB0"/>
    <w:rsid w:val="002C4B3D"/>
    <w:rsid w:val="002C500F"/>
    <w:rsid w:val="002C5071"/>
    <w:rsid w:val="002C54D4"/>
    <w:rsid w:val="002C5614"/>
    <w:rsid w:val="002C5A14"/>
    <w:rsid w:val="002C617E"/>
    <w:rsid w:val="002C61A8"/>
    <w:rsid w:val="002C61C5"/>
    <w:rsid w:val="002C61D7"/>
    <w:rsid w:val="002C61EF"/>
    <w:rsid w:val="002C6204"/>
    <w:rsid w:val="002C6215"/>
    <w:rsid w:val="002C62C3"/>
    <w:rsid w:val="002C62FA"/>
    <w:rsid w:val="002C6423"/>
    <w:rsid w:val="002C6496"/>
    <w:rsid w:val="002C66EA"/>
    <w:rsid w:val="002C6897"/>
    <w:rsid w:val="002C6A4B"/>
    <w:rsid w:val="002C6B8D"/>
    <w:rsid w:val="002C6C04"/>
    <w:rsid w:val="002C6CF3"/>
    <w:rsid w:val="002C6D70"/>
    <w:rsid w:val="002C6E04"/>
    <w:rsid w:val="002C7050"/>
    <w:rsid w:val="002C736F"/>
    <w:rsid w:val="002C74D7"/>
    <w:rsid w:val="002C7B17"/>
    <w:rsid w:val="002C7B76"/>
    <w:rsid w:val="002C7D1C"/>
    <w:rsid w:val="002C7D83"/>
    <w:rsid w:val="002C7ED5"/>
    <w:rsid w:val="002C7F0A"/>
    <w:rsid w:val="002D0043"/>
    <w:rsid w:val="002D0223"/>
    <w:rsid w:val="002D0258"/>
    <w:rsid w:val="002D0264"/>
    <w:rsid w:val="002D02C9"/>
    <w:rsid w:val="002D035E"/>
    <w:rsid w:val="002D0684"/>
    <w:rsid w:val="002D1000"/>
    <w:rsid w:val="002D1297"/>
    <w:rsid w:val="002D15BD"/>
    <w:rsid w:val="002D16E1"/>
    <w:rsid w:val="002D175B"/>
    <w:rsid w:val="002D1895"/>
    <w:rsid w:val="002D18C4"/>
    <w:rsid w:val="002D1A9B"/>
    <w:rsid w:val="002D22F3"/>
    <w:rsid w:val="002D2435"/>
    <w:rsid w:val="002D283F"/>
    <w:rsid w:val="002D2AF0"/>
    <w:rsid w:val="002D2B4C"/>
    <w:rsid w:val="002D2C76"/>
    <w:rsid w:val="002D2D5B"/>
    <w:rsid w:val="002D2EF1"/>
    <w:rsid w:val="002D2F3B"/>
    <w:rsid w:val="002D3066"/>
    <w:rsid w:val="002D3188"/>
    <w:rsid w:val="002D32FC"/>
    <w:rsid w:val="002D3454"/>
    <w:rsid w:val="002D359E"/>
    <w:rsid w:val="002D3903"/>
    <w:rsid w:val="002D3B3D"/>
    <w:rsid w:val="002D3C99"/>
    <w:rsid w:val="002D3D5F"/>
    <w:rsid w:val="002D3DD7"/>
    <w:rsid w:val="002D4967"/>
    <w:rsid w:val="002D4B4E"/>
    <w:rsid w:val="002D4C56"/>
    <w:rsid w:val="002D4CBB"/>
    <w:rsid w:val="002D4DAB"/>
    <w:rsid w:val="002D4E30"/>
    <w:rsid w:val="002D52D7"/>
    <w:rsid w:val="002D547F"/>
    <w:rsid w:val="002D5529"/>
    <w:rsid w:val="002D5636"/>
    <w:rsid w:val="002D582A"/>
    <w:rsid w:val="002D58B5"/>
    <w:rsid w:val="002D5A87"/>
    <w:rsid w:val="002D5B03"/>
    <w:rsid w:val="002D5C1C"/>
    <w:rsid w:val="002D5CFA"/>
    <w:rsid w:val="002D5E53"/>
    <w:rsid w:val="002D5E8D"/>
    <w:rsid w:val="002D5F82"/>
    <w:rsid w:val="002D6863"/>
    <w:rsid w:val="002D6DC9"/>
    <w:rsid w:val="002D6F5B"/>
    <w:rsid w:val="002D72C0"/>
    <w:rsid w:val="002D75F8"/>
    <w:rsid w:val="002D76CA"/>
    <w:rsid w:val="002D7755"/>
    <w:rsid w:val="002D7819"/>
    <w:rsid w:val="002D799B"/>
    <w:rsid w:val="002D7AA5"/>
    <w:rsid w:val="002D7B1B"/>
    <w:rsid w:val="002E00CA"/>
    <w:rsid w:val="002E035A"/>
    <w:rsid w:val="002E06EF"/>
    <w:rsid w:val="002E076A"/>
    <w:rsid w:val="002E090E"/>
    <w:rsid w:val="002E0AED"/>
    <w:rsid w:val="002E0EC6"/>
    <w:rsid w:val="002E1328"/>
    <w:rsid w:val="002E1551"/>
    <w:rsid w:val="002E1604"/>
    <w:rsid w:val="002E16A9"/>
    <w:rsid w:val="002E179F"/>
    <w:rsid w:val="002E1B42"/>
    <w:rsid w:val="002E20FA"/>
    <w:rsid w:val="002E22B1"/>
    <w:rsid w:val="002E2312"/>
    <w:rsid w:val="002E278A"/>
    <w:rsid w:val="002E28D2"/>
    <w:rsid w:val="002E2914"/>
    <w:rsid w:val="002E2994"/>
    <w:rsid w:val="002E3026"/>
    <w:rsid w:val="002E318F"/>
    <w:rsid w:val="002E3214"/>
    <w:rsid w:val="002E3835"/>
    <w:rsid w:val="002E3EBF"/>
    <w:rsid w:val="002E40F1"/>
    <w:rsid w:val="002E4207"/>
    <w:rsid w:val="002E4397"/>
    <w:rsid w:val="002E442D"/>
    <w:rsid w:val="002E44BA"/>
    <w:rsid w:val="002E45B5"/>
    <w:rsid w:val="002E45D7"/>
    <w:rsid w:val="002E4A83"/>
    <w:rsid w:val="002E4A87"/>
    <w:rsid w:val="002E531F"/>
    <w:rsid w:val="002E5361"/>
    <w:rsid w:val="002E55C2"/>
    <w:rsid w:val="002E5662"/>
    <w:rsid w:val="002E57D3"/>
    <w:rsid w:val="002E608A"/>
    <w:rsid w:val="002E60BC"/>
    <w:rsid w:val="002E60E4"/>
    <w:rsid w:val="002E6112"/>
    <w:rsid w:val="002E618D"/>
    <w:rsid w:val="002E62D9"/>
    <w:rsid w:val="002E6354"/>
    <w:rsid w:val="002E63C9"/>
    <w:rsid w:val="002E64C4"/>
    <w:rsid w:val="002E6571"/>
    <w:rsid w:val="002E65D8"/>
    <w:rsid w:val="002E6BC0"/>
    <w:rsid w:val="002E6EAB"/>
    <w:rsid w:val="002E7208"/>
    <w:rsid w:val="002E7529"/>
    <w:rsid w:val="002E78F2"/>
    <w:rsid w:val="002E7CAA"/>
    <w:rsid w:val="002E7FE8"/>
    <w:rsid w:val="002F024E"/>
    <w:rsid w:val="002F02B6"/>
    <w:rsid w:val="002F05BF"/>
    <w:rsid w:val="002F0821"/>
    <w:rsid w:val="002F0AAB"/>
    <w:rsid w:val="002F0D15"/>
    <w:rsid w:val="002F0E19"/>
    <w:rsid w:val="002F0ED5"/>
    <w:rsid w:val="002F1768"/>
    <w:rsid w:val="002F1C89"/>
    <w:rsid w:val="002F2067"/>
    <w:rsid w:val="002F2279"/>
    <w:rsid w:val="002F2604"/>
    <w:rsid w:val="002F262A"/>
    <w:rsid w:val="002F265B"/>
    <w:rsid w:val="002F26DB"/>
    <w:rsid w:val="002F27FA"/>
    <w:rsid w:val="002F2AEF"/>
    <w:rsid w:val="002F2EAE"/>
    <w:rsid w:val="002F338D"/>
    <w:rsid w:val="002F345E"/>
    <w:rsid w:val="002F34C0"/>
    <w:rsid w:val="002F34E0"/>
    <w:rsid w:val="002F3505"/>
    <w:rsid w:val="002F37AE"/>
    <w:rsid w:val="002F38AE"/>
    <w:rsid w:val="002F3C1D"/>
    <w:rsid w:val="002F3C6A"/>
    <w:rsid w:val="002F3D51"/>
    <w:rsid w:val="002F3DCB"/>
    <w:rsid w:val="002F4066"/>
    <w:rsid w:val="002F451C"/>
    <w:rsid w:val="002F46FD"/>
    <w:rsid w:val="002F476F"/>
    <w:rsid w:val="002F4B05"/>
    <w:rsid w:val="002F4D9A"/>
    <w:rsid w:val="002F4DF1"/>
    <w:rsid w:val="002F531A"/>
    <w:rsid w:val="002F538B"/>
    <w:rsid w:val="002F5495"/>
    <w:rsid w:val="002F54D9"/>
    <w:rsid w:val="002F57C9"/>
    <w:rsid w:val="002F587C"/>
    <w:rsid w:val="002F58A5"/>
    <w:rsid w:val="002F592F"/>
    <w:rsid w:val="002F599A"/>
    <w:rsid w:val="002F5E06"/>
    <w:rsid w:val="002F5E38"/>
    <w:rsid w:val="002F5E7A"/>
    <w:rsid w:val="002F6090"/>
    <w:rsid w:val="002F63DE"/>
    <w:rsid w:val="002F663D"/>
    <w:rsid w:val="002F67FE"/>
    <w:rsid w:val="002F6870"/>
    <w:rsid w:val="002F6961"/>
    <w:rsid w:val="002F6BCF"/>
    <w:rsid w:val="002F6E5F"/>
    <w:rsid w:val="002F7082"/>
    <w:rsid w:val="002F70FA"/>
    <w:rsid w:val="002F730B"/>
    <w:rsid w:val="002F738F"/>
    <w:rsid w:val="002F76B8"/>
    <w:rsid w:val="002F78EC"/>
    <w:rsid w:val="002F7988"/>
    <w:rsid w:val="002F7B30"/>
    <w:rsid w:val="002F7BA7"/>
    <w:rsid w:val="00300144"/>
    <w:rsid w:val="00300631"/>
    <w:rsid w:val="00300A5A"/>
    <w:rsid w:val="00300B33"/>
    <w:rsid w:val="00300C8D"/>
    <w:rsid w:val="00300D60"/>
    <w:rsid w:val="00300E13"/>
    <w:rsid w:val="003012E6"/>
    <w:rsid w:val="00301437"/>
    <w:rsid w:val="003014ED"/>
    <w:rsid w:val="00301655"/>
    <w:rsid w:val="003017DD"/>
    <w:rsid w:val="00301AD1"/>
    <w:rsid w:val="00301AD8"/>
    <w:rsid w:val="003024B2"/>
    <w:rsid w:val="00302828"/>
    <w:rsid w:val="00303230"/>
    <w:rsid w:val="00303327"/>
    <w:rsid w:val="003033FE"/>
    <w:rsid w:val="0030355B"/>
    <w:rsid w:val="003037AE"/>
    <w:rsid w:val="003039D8"/>
    <w:rsid w:val="003039E7"/>
    <w:rsid w:val="00303BC3"/>
    <w:rsid w:val="00303E62"/>
    <w:rsid w:val="00304015"/>
    <w:rsid w:val="0030410D"/>
    <w:rsid w:val="0030424B"/>
    <w:rsid w:val="0030451C"/>
    <w:rsid w:val="0030478A"/>
    <w:rsid w:val="003048E4"/>
    <w:rsid w:val="00304C70"/>
    <w:rsid w:val="003052A0"/>
    <w:rsid w:val="003052F4"/>
    <w:rsid w:val="003053D2"/>
    <w:rsid w:val="0030563D"/>
    <w:rsid w:val="003058B5"/>
    <w:rsid w:val="003058FE"/>
    <w:rsid w:val="00305A7C"/>
    <w:rsid w:val="00305A82"/>
    <w:rsid w:val="00305A98"/>
    <w:rsid w:val="00305F0C"/>
    <w:rsid w:val="0030617E"/>
    <w:rsid w:val="003061FA"/>
    <w:rsid w:val="00306223"/>
    <w:rsid w:val="00306225"/>
    <w:rsid w:val="00306356"/>
    <w:rsid w:val="0030668C"/>
    <w:rsid w:val="00306907"/>
    <w:rsid w:val="00306B03"/>
    <w:rsid w:val="00306CA3"/>
    <w:rsid w:val="00306FD0"/>
    <w:rsid w:val="003070BE"/>
    <w:rsid w:val="00307215"/>
    <w:rsid w:val="00307830"/>
    <w:rsid w:val="00307932"/>
    <w:rsid w:val="00307A4F"/>
    <w:rsid w:val="00307B21"/>
    <w:rsid w:val="00307DC0"/>
    <w:rsid w:val="00307DE4"/>
    <w:rsid w:val="00310103"/>
    <w:rsid w:val="0031017A"/>
    <w:rsid w:val="003104B3"/>
    <w:rsid w:val="003106F0"/>
    <w:rsid w:val="003107E9"/>
    <w:rsid w:val="00310955"/>
    <w:rsid w:val="00310A1D"/>
    <w:rsid w:val="00310BCA"/>
    <w:rsid w:val="00310C92"/>
    <w:rsid w:val="00310EF7"/>
    <w:rsid w:val="00310F03"/>
    <w:rsid w:val="0031139A"/>
    <w:rsid w:val="003114F7"/>
    <w:rsid w:val="0031166E"/>
    <w:rsid w:val="003118BA"/>
    <w:rsid w:val="00311CE4"/>
    <w:rsid w:val="00311DD4"/>
    <w:rsid w:val="00311E44"/>
    <w:rsid w:val="00311F90"/>
    <w:rsid w:val="00312196"/>
    <w:rsid w:val="00312261"/>
    <w:rsid w:val="00312514"/>
    <w:rsid w:val="00312A98"/>
    <w:rsid w:val="00312C69"/>
    <w:rsid w:val="003134C6"/>
    <w:rsid w:val="0031378B"/>
    <w:rsid w:val="0031382A"/>
    <w:rsid w:val="00313AFE"/>
    <w:rsid w:val="00313B4A"/>
    <w:rsid w:val="00313CED"/>
    <w:rsid w:val="00314160"/>
    <w:rsid w:val="0031419D"/>
    <w:rsid w:val="0031432B"/>
    <w:rsid w:val="003143C2"/>
    <w:rsid w:val="0031460F"/>
    <w:rsid w:val="00314673"/>
    <w:rsid w:val="00314A3B"/>
    <w:rsid w:val="00314B1B"/>
    <w:rsid w:val="003155BA"/>
    <w:rsid w:val="003156A2"/>
    <w:rsid w:val="0031582B"/>
    <w:rsid w:val="00315A3D"/>
    <w:rsid w:val="00316388"/>
    <w:rsid w:val="003164C3"/>
    <w:rsid w:val="0031657F"/>
    <w:rsid w:val="00316739"/>
    <w:rsid w:val="0031689D"/>
    <w:rsid w:val="00316A85"/>
    <w:rsid w:val="00316AA0"/>
    <w:rsid w:val="00317174"/>
    <w:rsid w:val="003175F5"/>
    <w:rsid w:val="0031760A"/>
    <w:rsid w:val="003176EA"/>
    <w:rsid w:val="0031778C"/>
    <w:rsid w:val="00317B99"/>
    <w:rsid w:val="00320485"/>
    <w:rsid w:val="003206DC"/>
    <w:rsid w:val="0032071C"/>
    <w:rsid w:val="0032089E"/>
    <w:rsid w:val="00321903"/>
    <w:rsid w:val="00321978"/>
    <w:rsid w:val="00321A22"/>
    <w:rsid w:val="00321E46"/>
    <w:rsid w:val="00322720"/>
    <w:rsid w:val="00322957"/>
    <w:rsid w:val="0032299B"/>
    <w:rsid w:val="00322C5D"/>
    <w:rsid w:val="00322CB5"/>
    <w:rsid w:val="00323459"/>
    <w:rsid w:val="003234AD"/>
    <w:rsid w:val="0032378E"/>
    <w:rsid w:val="00323943"/>
    <w:rsid w:val="00323B52"/>
    <w:rsid w:val="00323F0D"/>
    <w:rsid w:val="00323F0F"/>
    <w:rsid w:val="003240FA"/>
    <w:rsid w:val="00324676"/>
    <w:rsid w:val="003246F2"/>
    <w:rsid w:val="003247AF"/>
    <w:rsid w:val="00324832"/>
    <w:rsid w:val="003248DF"/>
    <w:rsid w:val="0032496E"/>
    <w:rsid w:val="00324B34"/>
    <w:rsid w:val="00324F6A"/>
    <w:rsid w:val="003252E8"/>
    <w:rsid w:val="003256BD"/>
    <w:rsid w:val="003258E2"/>
    <w:rsid w:val="0032596C"/>
    <w:rsid w:val="00325B16"/>
    <w:rsid w:val="00325F6D"/>
    <w:rsid w:val="00325FF3"/>
    <w:rsid w:val="00326217"/>
    <w:rsid w:val="003265A1"/>
    <w:rsid w:val="00326619"/>
    <w:rsid w:val="00326925"/>
    <w:rsid w:val="00327006"/>
    <w:rsid w:val="00327279"/>
    <w:rsid w:val="003272EF"/>
    <w:rsid w:val="0032761C"/>
    <w:rsid w:val="00327704"/>
    <w:rsid w:val="003278BF"/>
    <w:rsid w:val="00327B3C"/>
    <w:rsid w:val="00327CD2"/>
    <w:rsid w:val="00327E67"/>
    <w:rsid w:val="00327EAD"/>
    <w:rsid w:val="00327EBA"/>
    <w:rsid w:val="00327F0B"/>
    <w:rsid w:val="00330625"/>
    <w:rsid w:val="00330638"/>
    <w:rsid w:val="00330B3E"/>
    <w:rsid w:val="00330D9E"/>
    <w:rsid w:val="00330F56"/>
    <w:rsid w:val="003312D2"/>
    <w:rsid w:val="0033156B"/>
    <w:rsid w:val="00331777"/>
    <w:rsid w:val="00331806"/>
    <w:rsid w:val="00331813"/>
    <w:rsid w:val="0033193C"/>
    <w:rsid w:val="0033196D"/>
    <w:rsid w:val="00331CD1"/>
    <w:rsid w:val="00331DF9"/>
    <w:rsid w:val="00332272"/>
    <w:rsid w:val="0033237A"/>
    <w:rsid w:val="00332681"/>
    <w:rsid w:val="0033273F"/>
    <w:rsid w:val="003328BE"/>
    <w:rsid w:val="00332AC0"/>
    <w:rsid w:val="00332B7B"/>
    <w:rsid w:val="00332CE4"/>
    <w:rsid w:val="00332CF0"/>
    <w:rsid w:val="00332F3C"/>
    <w:rsid w:val="003330E7"/>
    <w:rsid w:val="0033343D"/>
    <w:rsid w:val="00333605"/>
    <w:rsid w:val="00333ADB"/>
    <w:rsid w:val="00333B04"/>
    <w:rsid w:val="00334019"/>
    <w:rsid w:val="003342F0"/>
    <w:rsid w:val="00334EBA"/>
    <w:rsid w:val="00334F8B"/>
    <w:rsid w:val="00335259"/>
    <w:rsid w:val="00335482"/>
    <w:rsid w:val="0033558A"/>
    <w:rsid w:val="00335ADE"/>
    <w:rsid w:val="00335BBA"/>
    <w:rsid w:val="00335E88"/>
    <w:rsid w:val="00335F72"/>
    <w:rsid w:val="00336094"/>
    <w:rsid w:val="003366BD"/>
    <w:rsid w:val="00336742"/>
    <w:rsid w:val="0033682A"/>
    <w:rsid w:val="00336B36"/>
    <w:rsid w:val="00336B8E"/>
    <w:rsid w:val="00336BB5"/>
    <w:rsid w:val="00336C03"/>
    <w:rsid w:val="00336F09"/>
    <w:rsid w:val="00336F18"/>
    <w:rsid w:val="00336FD0"/>
    <w:rsid w:val="00337017"/>
    <w:rsid w:val="003373FF"/>
    <w:rsid w:val="003376B3"/>
    <w:rsid w:val="00337BAD"/>
    <w:rsid w:val="00337C0D"/>
    <w:rsid w:val="003400CD"/>
    <w:rsid w:val="00340132"/>
    <w:rsid w:val="003403F0"/>
    <w:rsid w:val="0034044C"/>
    <w:rsid w:val="0034080D"/>
    <w:rsid w:val="0034135C"/>
    <w:rsid w:val="00341747"/>
    <w:rsid w:val="00341767"/>
    <w:rsid w:val="003417B0"/>
    <w:rsid w:val="00341B2D"/>
    <w:rsid w:val="00341D82"/>
    <w:rsid w:val="00342101"/>
    <w:rsid w:val="003421B0"/>
    <w:rsid w:val="00342638"/>
    <w:rsid w:val="003428A7"/>
    <w:rsid w:val="003428BA"/>
    <w:rsid w:val="00342A5B"/>
    <w:rsid w:val="00342A60"/>
    <w:rsid w:val="00342D88"/>
    <w:rsid w:val="00342DBE"/>
    <w:rsid w:val="00343044"/>
    <w:rsid w:val="003435BC"/>
    <w:rsid w:val="00343B9E"/>
    <w:rsid w:val="00343C96"/>
    <w:rsid w:val="00343D61"/>
    <w:rsid w:val="00343E6B"/>
    <w:rsid w:val="00343F75"/>
    <w:rsid w:val="0034434F"/>
    <w:rsid w:val="0034467C"/>
    <w:rsid w:val="00344752"/>
    <w:rsid w:val="003447B6"/>
    <w:rsid w:val="003448C4"/>
    <w:rsid w:val="003448F4"/>
    <w:rsid w:val="003449EA"/>
    <w:rsid w:val="00344AD2"/>
    <w:rsid w:val="00344E2D"/>
    <w:rsid w:val="00344FD1"/>
    <w:rsid w:val="00345066"/>
    <w:rsid w:val="003451CB"/>
    <w:rsid w:val="00345669"/>
    <w:rsid w:val="003458E5"/>
    <w:rsid w:val="00345BB0"/>
    <w:rsid w:val="00345E1B"/>
    <w:rsid w:val="00345F0D"/>
    <w:rsid w:val="0034610E"/>
    <w:rsid w:val="00346208"/>
    <w:rsid w:val="00346280"/>
    <w:rsid w:val="0034644C"/>
    <w:rsid w:val="00346708"/>
    <w:rsid w:val="00346AA3"/>
    <w:rsid w:val="00346B10"/>
    <w:rsid w:val="00346BBF"/>
    <w:rsid w:val="00346F99"/>
    <w:rsid w:val="00346FE6"/>
    <w:rsid w:val="003473ED"/>
    <w:rsid w:val="00347672"/>
    <w:rsid w:val="003478AC"/>
    <w:rsid w:val="00347B28"/>
    <w:rsid w:val="00347D00"/>
    <w:rsid w:val="00347E86"/>
    <w:rsid w:val="0035003D"/>
    <w:rsid w:val="00350045"/>
    <w:rsid w:val="003502E0"/>
    <w:rsid w:val="003507F4"/>
    <w:rsid w:val="00350BC7"/>
    <w:rsid w:val="00350C62"/>
    <w:rsid w:val="00351044"/>
    <w:rsid w:val="0035108F"/>
    <w:rsid w:val="00351178"/>
    <w:rsid w:val="00351327"/>
    <w:rsid w:val="0035148D"/>
    <w:rsid w:val="0035150D"/>
    <w:rsid w:val="0035182F"/>
    <w:rsid w:val="00351BB5"/>
    <w:rsid w:val="00351C73"/>
    <w:rsid w:val="00352220"/>
    <w:rsid w:val="00352465"/>
    <w:rsid w:val="00352611"/>
    <w:rsid w:val="00352615"/>
    <w:rsid w:val="00352790"/>
    <w:rsid w:val="00352963"/>
    <w:rsid w:val="00352AE1"/>
    <w:rsid w:val="00352EC4"/>
    <w:rsid w:val="003531AB"/>
    <w:rsid w:val="00353388"/>
    <w:rsid w:val="00353693"/>
    <w:rsid w:val="00353B74"/>
    <w:rsid w:val="00353B82"/>
    <w:rsid w:val="00353BF9"/>
    <w:rsid w:val="00353DB9"/>
    <w:rsid w:val="00353DFC"/>
    <w:rsid w:val="0035409A"/>
    <w:rsid w:val="0035426E"/>
    <w:rsid w:val="003543F5"/>
    <w:rsid w:val="003544A9"/>
    <w:rsid w:val="003549FF"/>
    <w:rsid w:val="00354E08"/>
    <w:rsid w:val="00354E40"/>
    <w:rsid w:val="0035534F"/>
    <w:rsid w:val="003553D3"/>
    <w:rsid w:val="003556B9"/>
    <w:rsid w:val="00355A06"/>
    <w:rsid w:val="00355F16"/>
    <w:rsid w:val="00356350"/>
    <w:rsid w:val="003564B0"/>
    <w:rsid w:val="003564CA"/>
    <w:rsid w:val="00356703"/>
    <w:rsid w:val="003567B8"/>
    <w:rsid w:val="003569BA"/>
    <w:rsid w:val="00356B65"/>
    <w:rsid w:val="00356D0D"/>
    <w:rsid w:val="00356FC3"/>
    <w:rsid w:val="00357017"/>
    <w:rsid w:val="0035713E"/>
    <w:rsid w:val="00357199"/>
    <w:rsid w:val="003573D1"/>
    <w:rsid w:val="003573F2"/>
    <w:rsid w:val="00357868"/>
    <w:rsid w:val="00357898"/>
    <w:rsid w:val="00357B02"/>
    <w:rsid w:val="00357BD0"/>
    <w:rsid w:val="00357D88"/>
    <w:rsid w:val="00357E14"/>
    <w:rsid w:val="0036006B"/>
    <w:rsid w:val="003600A8"/>
    <w:rsid w:val="00360A77"/>
    <w:rsid w:val="00360E8F"/>
    <w:rsid w:val="00360F5D"/>
    <w:rsid w:val="00360FD1"/>
    <w:rsid w:val="0036155D"/>
    <w:rsid w:val="00361ABE"/>
    <w:rsid w:val="00361ACA"/>
    <w:rsid w:val="00361BED"/>
    <w:rsid w:val="00361D0D"/>
    <w:rsid w:val="00361D12"/>
    <w:rsid w:val="00361D2E"/>
    <w:rsid w:val="00361FED"/>
    <w:rsid w:val="00361FEE"/>
    <w:rsid w:val="00362433"/>
    <w:rsid w:val="003624A0"/>
    <w:rsid w:val="00362725"/>
    <w:rsid w:val="00362781"/>
    <w:rsid w:val="00362A9A"/>
    <w:rsid w:val="00362BB8"/>
    <w:rsid w:val="00362BDC"/>
    <w:rsid w:val="00362D45"/>
    <w:rsid w:val="00362E0A"/>
    <w:rsid w:val="00362E2A"/>
    <w:rsid w:val="00362F4C"/>
    <w:rsid w:val="0036320B"/>
    <w:rsid w:val="0036347F"/>
    <w:rsid w:val="0036354F"/>
    <w:rsid w:val="00363A50"/>
    <w:rsid w:val="00363ACB"/>
    <w:rsid w:val="00363BA4"/>
    <w:rsid w:val="00363D0D"/>
    <w:rsid w:val="00363D40"/>
    <w:rsid w:val="00363DC5"/>
    <w:rsid w:val="00364025"/>
    <w:rsid w:val="00364512"/>
    <w:rsid w:val="00364774"/>
    <w:rsid w:val="003647AF"/>
    <w:rsid w:val="003647E0"/>
    <w:rsid w:val="003648D2"/>
    <w:rsid w:val="00364B00"/>
    <w:rsid w:val="00364BC0"/>
    <w:rsid w:val="00364C30"/>
    <w:rsid w:val="00365101"/>
    <w:rsid w:val="00365244"/>
    <w:rsid w:val="0036580B"/>
    <w:rsid w:val="0036585C"/>
    <w:rsid w:val="00365CD1"/>
    <w:rsid w:val="00365E6D"/>
    <w:rsid w:val="00365F82"/>
    <w:rsid w:val="00366258"/>
    <w:rsid w:val="003662CE"/>
    <w:rsid w:val="00366719"/>
    <w:rsid w:val="00366984"/>
    <w:rsid w:val="00366DC6"/>
    <w:rsid w:val="003672C1"/>
    <w:rsid w:val="0036743A"/>
    <w:rsid w:val="00367B7E"/>
    <w:rsid w:val="003701DA"/>
    <w:rsid w:val="003706D6"/>
    <w:rsid w:val="003709B9"/>
    <w:rsid w:val="00370CF4"/>
    <w:rsid w:val="00370DB9"/>
    <w:rsid w:val="00370E00"/>
    <w:rsid w:val="00371105"/>
    <w:rsid w:val="0037110D"/>
    <w:rsid w:val="00371163"/>
    <w:rsid w:val="0037125C"/>
    <w:rsid w:val="00371669"/>
    <w:rsid w:val="0037179A"/>
    <w:rsid w:val="0037195B"/>
    <w:rsid w:val="003719D2"/>
    <w:rsid w:val="00371AC0"/>
    <w:rsid w:val="00371CAE"/>
    <w:rsid w:val="00371F12"/>
    <w:rsid w:val="0037201B"/>
    <w:rsid w:val="00372151"/>
    <w:rsid w:val="003727F1"/>
    <w:rsid w:val="00372841"/>
    <w:rsid w:val="0037284D"/>
    <w:rsid w:val="00372A9A"/>
    <w:rsid w:val="00372BA8"/>
    <w:rsid w:val="00372FB3"/>
    <w:rsid w:val="0037310C"/>
    <w:rsid w:val="003731AC"/>
    <w:rsid w:val="003731D3"/>
    <w:rsid w:val="0037328F"/>
    <w:rsid w:val="0037341F"/>
    <w:rsid w:val="003738FE"/>
    <w:rsid w:val="003739EA"/>
    <w:rsid w:val="00373A7C"/>
    <w:rsid w:val="00373F51"/>
    <w:rsid w:val="00374287"/>
    <w:rsid w:val="0037431E"/>
    <w:rsid w:val="003744F5"/>
    <w:rsid w:val="003746A9"/>
    <w:rsid w:val="003746F0"/>
    <w:rsid w:val="003747D9"/>
    <w:rsid w:val="003748D8"/>
    <w:rsid w:val="00374A34"/>
    <w:rsid w:val="00374A8D"/>
    <w:rsid w:val="00374D4A"/>
    <w:rsid w:val="00374E0F"/>
    <w:rsid w:val="00374EE0"/>
    <w:rsid w:val="0037502E"/>
    <w:rsid w:val="003750A1"/>
    <w:rsid w:val="003752AD"/>
    <w:rsid w:val="003758E4"/>
    <w:rsid w:val="00375BB7"/>
    <w:rsid w:val="00375F78"/>
    <w:rsid w:val="00376484"/>
    <w:rsid w:val="003765DB"/>
    <w:rsid w:val="00376670"/>
    <w:rsid w:val="00376815"/>
    <w:rsid w:val="0037689C"/>
    <w:rsid w:val="0037694A"/>
    <w:rsid w:val="00376F15"/>
    <w:rsid w:val="00376F2F"/>
    <w:rsid w:val="003771C1"/>
    <w:rsid w:val="003772C2"/>
    <w:rsid w:val="003773DD"/>
    <w:rsid w:val="0037744D"/>
    <w:rsid w:val="00377D6A"/>
    <w:rsid w:val="00377E27"/>
    <w:rsid w:val="00377F5C"/>
    <w:rsid w:val="00380045"/>
    <w:rsid w:val="0038022F"/>
    <w:rsid w:val="00380313"/>
    <w:rsid w:val="00380549"/>
    <w:rsid w:val="00380555"/>
    <w:rsid w:val="003805F7"/>
    <w:rsid w:val="003806CC"/>
    <w:rsid w:val="00380A3A"/>
    <w:rsid w:val="00380ACA"/>
    <w:rsid w:val="00380BF9"/>
    <w:rsid w:val="00380CC2"/>
    <w:rsid w:val="00380E5F"/>
    <w:rsid w:val="00380F88"/>
    <w:rsid w:val="00381219"/>
    <w:rsid w:val="00381385"/>
    <w:rsid w:val="0038148E"/>
    <w:rsid w:val="00381494"/>
    <w:rsid w:val="00381814"/>
    <w:rsid w:val="0038194D"/>
    <w:rsid w:val="00381990"/>
    <w:rsid w:val="00381A22"/>
    <w:rsid w:val="00381CC7"/>
    <w:rsid w:val="0038219F"/>
    <w:rsid w:val="0038236A"/>
    <w:rsid w:val="0038261A"/>
    <w:rsid w:val="00382B21"/>
    <w:rsid w:val="00382CFC"/>
    <w:rsid w:val="003831F6"/>
    <w:rsid w:val="00383262"/>
    <w:rsid w:val="00383266"/>
    <w:rsid w:val="00383284"/>
    <w:rsid w:val="00383BD7"/>
    <w:rsid w:val="00383CA7"/>
    <w:rsid w:val="00384156"/>
    <w:rsid w:val="00384181"/>
    <w:rsid w:val="00384293"/>
    <w:rsid w:val="003842F3"/>
    <w:rsid w:val="003848BC"/>
    <w:rsid w:val="003848D4"/>
    <w:rsid w:val="003848ED"/>
    <w:rsid w:val="00384942"/>
    <w:rsid w:val="00384F4E"/>
    <w:rsid w:val="00385032"/>
    <w:rsid w:val="0038533C"/>
    <w:rsid w:val="003855FA"/>
    <w:rsid w:val="00385A0E"/>
    <w:rsid w:val="00385BC9"/>
    <w:rsid w:val="00385DF6"/>
    <w:rsid w:val="003866BB"/>
    <w:rsid w:val="00386872"/>
    <w:rsid w:val="003868DC"/>
    <w:rsid w:val="00386940"/>
    <w:rsid w:val="00386AC2"/>
    <w:rsid w:val="00386ACC"/>
    <w:rsid w:val="003873D4"/>
    <w:rsid w:val="00387486"/>
    <w:rsid w:val="00387B68"/>
    <w:rsid w:val="00387C2A"/>
    <w:rsid w:val="00387CE6"/>
    <w:rsid w:val="003900D0"/>
    <w:rsid w:val="0039019E"/>
    <w:rsid w:val="00390366"/>
    <w:rsid w:val="003903A2"/>
    <w:rsid w:val="0039053F"/>
    <w:rsid w:val="003906C9"/>
    <w:rsid w:val="00390939"/>
    <w:rsid w:val="00390946"/>
    <w:rsid w:val="00390985"/>
    <w:rsid w:val="003909D9"/>
    <w:rsid w:val="00390F23"/>
    <w:rsid w:val="003913A2"/>
    <w:rsid w:val="00391500"/>
    <w:rsid w:val="0039190B"/>
    <w:rsid w:val="00391F0A"/>
    <w:rsid w:val="00392005"/>
    <w:rsid w:val="00392390"/>
    <w:rsid w:val="00392434"/>
    <w:rsid w:val="0039247E"/>
    <w:rsid w:val="00392701"/>
    <w:rsid w:val="00392BB7"/>
    <w:rsid w:val="00392BEC"/>
    <w:rsid w:val="00392C8E"/>
    <w:rsid w:val="00392F9E"/>
    <w:rsid w:val="0039337F"/>
    <w:rsid w:val="0039339D"/>
    <w:rsid w:val="003933E7"/>
    <w:rsid w:val="00393488"/>
    <w:rsid w:val="003937C9"/>
    <w:rsid w:val="00393B23"/>
    <w:rsid w:val="00393BAD"/>
    <w:rsid w:val="00393BAF"/>
    <w:rsid w:val="00393F1B"/>
    <w:rsid w:val="00394086"/>
    <w:rsid w:val="003940C2"/>
    <w:rsid w:val="0039456B"/>
    <w:rsid w:val="00394715"/>
    <w:rsid w:val="00394DC5"/>
    <w:rsid w:val="003950C1"/>
    <w:rsid w:val="00395259"/>
    <w:rsid w:val="003952C2"/>
    <w:rsid w:val="003954E4"/>
    <w:rsid w:val="003955A8"/>
    <w:rsid w:val="00395945"/>
    <w:rsid w:val="003959E4"/>
    <w:rsid w:val="00395BBE"/>
    <w:rsid w:val="00395C99"/>
    <w:rsid w:val="00395CF8"/>
    <w:rsid w:val="00395D1B"/>
    <w:rsid w:val="00395D72"/>
    <w:rsid w:val="00395FC9"/>
    <w:rsid w:val="00396142"/>
    <w:rsid w:val="00396185"/>
    <w:rsid w:val="00396388"/>
    <w:rsid w:val="003965AB"/>
    <w:rsid w:val="0039672B"/>
    <w:rsid w:val="00396B00"/>
    <w:rsid w:val="00396C74"/>
    <w:rsid w:val="003971DB"/>
    <w:rsid w:val="003971F3"/>
    <w:rsid w:val="0039722F"/>
    <w:rsid w:val="0039728D"/>
    <w:rsid w:val="003972AF"/>
    <w:rsid w:val="00397485"/>
    <w:rsid w:val="00397627"/>
    <w:rsid w:val="003977B7"/>
    <w:rsid w:val="0039798E"/>
    <w:rsid w:val="00397AA0"/>
    <w:rsid w:val="00397BA2"/>
    <w:rsid w:val="00397C57"/>
    <w:rsid w:val="00397D15"/>
    <w:rsid w:val="00397E35"/>
    <w:rsid w:val="00397F3A"/>
    <w:rsid w:val="003A0200"/>
    <w:rsid w:val="003A0296"/>
    <w:rsid w:val="003A0417"/>
    <w:rsid w:val="003A0541"/>
    <w:rsid w:val="003A07A7"/>
    <w:rsid w:val="003A08C1"/>
    <w:rsid w:val="003A0A5C"/>
    <w:rsid w:val="003A0C6B"/>
    <w:rsid w:val="003A0D24"/>
    <w:rsid w:val="003A0EB1"/>
    <w:rsid w:val="003A0FB4"/>
    <w:rsid w:val="003A126E"/>
    <w:rsid w:val="003A12C4"/>
    <w:rsid w:val="003A137B"/>
    <w:rsid w:val="003A1635"/>
    <w:rsid w:val="003A1823"/>
    <w:rsid w:val="003A18E6"/>
    <w:rsid w:val="003A1976"/>
    <w:rsid w:val="003A1F7C"/>
    <w:rsid w:val="003A20AE"/>
    <w:rsid w:val="003A20DE"/>
    <w:rsid w:val="003A2322"/>
    <w:rsid w:val="003A24D9"/>
    <w:rsid w:val="003A278D"/>
    <w:rsid w:val="003A2B3D"/>
    <w:rsid w:val="003A2BEC"/>
    <w:rsid w:val="003A2DD3"/>
    <w:rsid w:val="003A2FFC"/>
    <w:rsid w:val="003A3082"/>
    <w:rsid w:val="003A3753"/>
    <w:rsid w:val="003A37AE"/>
    <w:rsid w:val="003A3805"/>
    <w:rsid w:val="003A3806"/>
    <w:rsid w:val="003A3A99"/>
    <w:rsid w:val="003A3B1B"/>
    <w:rsid w:val="003A3E2F"/>
    <w:rsid w:val="003A4174"/>
    <w:rsid w:val="003A42F3"/>
    <w:rsid w:val="003A4409"/>
    <w:rsid w:val="003A473B"/>
    <w:rsid w:val="003A49B7"/>
    <w:rsid w:val="003A4C27"/>
    <w:rsid w:val="003A4EFE"/>
    <w:rsid w:val="003A51FF"/>
    <w:rsid w:val="003A5453"/>
    <w:rsid w:val="003A5A8B"/>
    <w:rsid w:val="003A6003"/>
    <w:rsid w:val="003A615C"/>
    <w:rsid w:val="003A62E8"/>
    <w:rsid w:val="003A66CC"/>
    <w:rsid w:val="003A6883"/>
    <w:rsid w:val="003A6C19"/>
    <w:rsid w:val="003A6C60"/>
    <w:rsid w:val="003A6DA1"/>
    <w:rsid w:val="003A6EC9"/>
    <w:rsid w:val="003A6F8C"/>
    <w:rsid w:val="003A703B"/>
    <w:rsid w:val="003A7073"/>
    <w:rsid w:val="003A7176"/>
    <w:rsid w:val="003A7300"/>
    <w:rsid w:val="003A75F8"/>
    <w:rsid w:val="003A77BD"/>
    <w:rsid w:val="003A7AD8"/>
    <w:rsid w:val="003A7ADD"/>
    <w:rsid w:val="003A7CDB"/>
    <w:rsid w:val="003A7D6E"/>
    <w:rsid w:val="003B01D9"/>
    <w:rsid w:val="003B02C6"/>
    <w:rsid w:val="003B0307"/>
    <w:rsid w:val="003B03A1"/>
    <w:rsid w:val="003B052A"/>
    <w:rsid w:val="003B0747"/>
    <w:rsid w:val="003B07B2"/>
    <w:rsid w:val="003B0923"/>
    <w:rsid w:val="003B0967"/>
    <w:rsid w:val="003B0AED"/>
    <w:rsid w:val="003B0BC1"/>
    <w:rsid w:val="003B0E10"/>
    <w:rsid w:val="003B0E22"/>
    <w:rsid w:val="003B0F42"/>
    <w:rsid w:val="003B0F97"/>
    <w:rsid w:val="003B18FA"/>
    <w:rsid w:val="003B199C"/>
    <w:rsid w:val="003B1AE4"/>
    <w:rsid w:val="003B1CB6"/>
    <w:rsid w:val="003B1D77"/>
    <w:rsid w:val="003B1DE4"/>
    <w:rsid w:val="003B1DE7"/>
    <w:rsid w:val="003B2026"/>
    <w:rsid w:val="003B20AF"/>
    <w:rsid w:val="003B2258"/>
    <w:rsid w:val="003B22F4"/>
    <w:rsid w:val="003B236F"/>
    <w:rsid w:val="003B23E9"/>
    <w:rsid w:val="003B24AA"/>
    <w:rsid w:val="003B2A94"/>
    <w:rsid w:val="003B2C8E"/>
    <w:rsid w:val="003B2E85"/>
    <w:rsid w:val="003B350A"/>
    <w:rsid w:val="003B3629"/>
    <w:rsid w:val="003B3B2D"/>
    <w:rsid w:val="003B3EC6"/>
    <w:rsid w:val="003B3F10"/>
    <w:rsid w:val="003B41D0"/>
    <w:rsid w:val="003B435F"/>
    <w:rsid w:val="003B43BA"/>
    <w:rsid w:val="003B479D"/>
    <w:rsid w:val="003B4E8B"/>
    <w:rsid w:val="003B4F14"/>
    <w:rsid w:val="003B5107"/>
    <w:rsid w:val="003B523B"/>
    <w:rsid w:val="003B590E"/>
    <w:rsid w:val="003B5A94"/>
    <w:rsid w:val="003B5DFF"/>
    <w:rsid w:val="003B5ED6"/>
    <w:rsid w:val="003B606F"/>
    <w:rsid w:val="003B63F5"/>
    <w:rsid w:val="003B648B"/>
    <w:rsid w:val="003B67E1"/>
    <w:rsid w:val="003B67FE"/>
    <w:rsid w:val="003B6994"/>
    <w:rsid w:val="003B6A49"/>
    <w:rsid w:val="003B6C5B"/>
    <w:rsid w:val="003B6CAB"/>
    <w:rsid w:val="003B6DA3"/>
    <w:rsid w:val="003B6E24"/>
    <w:rsid w:val="003B745A"/>
    <w:rsid w:val="003B7AE1"/>
    <w:rsid w:val="003B7E77"/>
    <w:rsid w:val="003B7EDD"/>
    <w:rsid w:val="003C001D"/>
    <w:rsid w:val="003C0156"/>
    <w:rsid w:val="003C01D3"/>
    <w:rsid w:val="003C0404"/>
    <w:rsid w:val="003C0479"/>
    <w:rsid w:val="003C05BB"/>
    <w:rsid w:val="003C0C87"/>
    <w:rsid w:val="003C1438"/>
    <w:rsid w:val="003C157A"/>
    <w:rsid w:val="003C1680"/>
    <w:rsid w:val="003C1866"/>
    <w:rsid w:val="003C1997"/>
    <w:rsid w:val="003C1FA5"/>
    <w:rsid w:val="003C21E6"/>
    <w:rsid w:val="003C22B6"/>
    <w:rsid w:val="003C2317"/>
    <w:rsid w:val="003C2548"/>
    <w:rsid w:val="003C298F"/>
    <w:rsid w:val="003C29D6"/>
    <w:rsid w:val="003C2B02"/>
    <w:rsid w:val="003C2B15"/>
    <w:rsid w:val="003C2CC4"/>
    <w:rsid w:val="003C3053"/>
    <w:rsid w:val="003C3295"/>
    <w:rsid w:val="003C3468"/>
    <w:rsid w:val="003C36CF"/>
    <w:rsid w:val="003C37A4"/>
    <w:rsid w:val="003C422A"/>
    <w:rsid w:val="003C42B0"/>
    <w:rsid w:val="003C44E6"/>
    <w:rsid w:val="003C459F"/>
    <w:rsid w:val="003C470F"/>
    <w:rsid w:val="003C484C"/>
    <w:rsid w:val="003C49CD"/>
    <w:rsid w:val="003C4DB2"/>
    <w:rsid w:val="003C4E10"/>
    <w:rsid w:val="003C4E66"/>
    <w:rsid w:val="003C503D"/>
    <w:rsid w:val="003C5203"/>
    <w:rsid w:val="003C5272"/>
    <w:rsid w:val="003C52FD"/>
    <w:rsid w:val="003C55C5"/>
    <w:rsid w:val="003C59E5"/>
    <w:rsid w:val="003C5B02"/>
    <w:rsid w:val="003C5D03"/>
    <w:rsid w:val="003C5E7F"/>
    <w:rsid w:val="003C6136"/>
    <w:rsid w:val="003C62A4"/>
    <w:rsid w:val="003C6491"/>
    <w:rsid w:val="003C6689"/>
    <w:rsid w:val="003C66A8"/>
    <w:rsid w:val="003C67E6"/>
    <w:rsid w:val="003C680D"/>
    <w:rsid w:val="003C690B"/>
    <w:rsid w:val="003C6BED"/>
    <w:rsid w:val="003C7198"/>
    <w:rsid w:val="003C7276"/>
    <w:rsid w:val="003C736C"/>
    <w:rsid w:val="003C779A"/>
    <w:rsid w:val="003C7C62"/>
    <w:rsid w:val="003C7E72"/>
    <w:rsid w:val="003C7F80"/>
    <w:rsid w:val="003D0217"/>
    <w:rsid w:val="003D0284"/>
    <w:rsid w:val="003D03BB"/>
    <w:rsid w:val="003D040A"/>
    <w:rsid w:val="003D0886"/>
    <w:rsid w:val="003D0CC5"/>
    <w:rsid w:val="003D1067"/>
    <w:rsid w:val="003D110C"/>
    <w:rsid w:val="003D1161"/>
    <w:rsid w:val="003D1588"/>
    <w:rsid w:val="003D178C"/>
    <w:rsid w:val="003D1942"/>
    <w:rsid w:val="003D19BC"/>
    <w:rsid w:val="003D1B2F"/>
    <w:rsid w:val="003D1D0A"/>
    <w:rsid w:val="003D1E48"/>
    <w:rsid w:val="003D2058"/>
    <w:rsid w:val="003D21DF"/>
    <w:rsid w:val="003D2437"/>
    <w:rsid w:val="003D257C"/>
    <w:rsid w:val="003D2685"/>
    <w:rsid w:val="003D28D6"/>
    <w:rsid w:val="003D29B4"/>
    <w:rsid w:val="003D29E1"/>
    <w:rsid w:val="003D2F34"/>
    <w:rsid w:val="003D2F97"/>
    <w:rsid w:val="003D30EB"/>
    <w:rsid w:val="003D3343"/>
    <w:rsid w:val="003D3393"/>
    <w:rsid w:val="003D343A"/>
    <w:rsid w:val="003D353A"/>
    <w:rsid w:val="003D3712"/>
    <w:rsid w:val="003D375A"/>
    <w:rsid w:val="003D38C1"/>
    <w:rsid w:val="003D3A6A"/>
    <w:rsid w:val="003D3B88"/>
    <w:rsid w:val="003D41E2"/>
    <w:rsid w:val="003D44D6"/>
    <w:rsid w:val="003D4972"/>
    <w:rsid w:val="003D4A2F"/>
    <w:rsid w:val="003D4AB7"/>
    <w:rsid w:val="003D4C94"/>
    <w:rsid w:val="003D4DF3"/>
    <w:rsid w:val="003D51CE"/>
    <w:rsid w:val="003D5713"/>
    <w:rsid w:val="003D59A0"/>
    <w:rsid w:val="003D5B29"/>
    <w:rsid w:val="003D5C6B"/>
    <w:rsid w:val="003D5D75"/>
    <w:rsid w:val="003D5E22"/>
    <w:rsid w:val="003D5F40"/>
    <w:rsid w:val="003D5FEE"/>
    <w:rsid w:val="003D632D"/>
    <w:rsid w:val="003D6A00"/>
    <w:rsid w:val="003D6CE8"/>
    <w:rsid w:val="003D6D60"/>
    <w:rsid w:val="003D6F2F"/>
    <w:rsid w:val="003D717F"/>
    <w:rsid w:val="003D7209"/>
    <w:rsid w:val="003D7243"/>
    <w:rsid w:val="003D7328"/>
    <w:rsid w:val="003D7334"/>
    <w:rsid w:val="003D7554"/>
    <w:rsid w:val="003D7C7D"/>
    <w:rsid w:val="003D7C8F"/>
    <w:rsid w:val="003D7D3F"/>
    <w:rsid w:val="003D7F7B"/>
    <w:rsid w:val="003D7FD1"/>
    <w:rsid w:val="003E05DA"/>
    <w:rsid w:val="003E0748"/>
    <w:rsid w:val="003E094A"/>
    <w:rsid w:val="003E0A57"/>
    <w:rsid w:val="003E0CCA"/>
    <w:rsid w:val="003E0FD3"/>
    <w:rsid w:val="003E1020"/>
    <w:rsid w:val="003E11BB"/>
    <w:rsid w:val="003E14A9"/>
    <w:rsid w:val="003E14D3"/>
    <w:rsid w:val="003E171A"/>
    <w:rsid w:val="003E1986"/>
    <w:rsid w:val="003E1A6A"/>
    <w:rsid w:val="003E1A86"/>
    <w:rsid w:val="003E1B1A"/>
    <w:rsid w:val="003E1C78"/>
    <w:rsid w:val="003E1D20"/>
    <w:rsid w:val="003E1D9E"/>
    <w:rsid w:val="003E1FDB"/>
    <w:rsid w:val="003E2264"/>
    <w:rsid w:val="003E24B1"/>
    <w:rsid w:val="003E24F6"/>
    <w:rsid w:val="003E25DD"/>
    <w:rsid w:val="003E263D"/>
    <w:rsid w:val="003E275F"/>
    <w:rsid w:val="003E2A0B"/>
    <w:rsid w:val="003E2DB0"/>
    <w:rsid w:val="003E32B1"/>
    <w:rsid w:val="003E32FB"/>
    <w:rsid w:val="003E32FD"/>
    <w:rsid w:val="003E36E3"/>
    <w:rsid w:val="003E3BE5"/>
    <w:rsid w:val="003E407C"/>
    <w:rsid w:val="003E4734"/>
    <w:rsid w:val="003E4736"/>
    <w:rsid w:val="003E4889"/>
    <w:rsid w:val="003E4B52"/>
    <w:rsid w:val="003E4B7C"/>
    <w:rsid w:val="003E4B8B"/>
    <w:rsid w:val="003E4B9E"/>
    <w:rsid w:val="003E4DDF"/>
    <w:rsid w:val="003E50E2"/>
    <w:rsid w:val="003E52EF"/>
    <w:rsid w:val="003E576D"/>
    <w:rsid w:val="003E5A27"/>
    <w:rsid w:val="003E5F67"/>
    <w:rsid w:val="003E5FE9"/>
    <w:rsid w:val="003E62E7"/>
    <w:rsid w:val="003E6441"/>
    <w:rsid w:val="003E674C"/>
    <w:rsid w:val="003E69A0"/>
    <w:rsid w:val="003E6AF0"/>
    <w:rsid w:val="003E73EF"/>
    <w:rsid w:val="003E773E"/>
    <w:rsid w:val="003E7763"/>
    <w:rsid w:val="003E7B03"/>
    <w:rsid w:val="003E7B16"/>
    <w:rsid w:val="003E7DD1"/>
    <w:rsid w:val="003E7F78"/>
    <w:rsid w:val="003F000D"/>
    <w:rsid w:val="003F00FA"/>
    <w:rsid w:val="003F0209"/>
    <w:rsid w:val="003F0382"/>
    <w:rsid w:val="003F04E6"/>
    <w:rsid w:val="003F04F0"/>
    <w:rsid w:val="003F0507"/>
    <w:rsid w:val="003F0580"/>
    <w:rsid w:val="003F06AE"/>
    <w:rsid w:val="003F06DB"/>
    <w:rsid w:val="003F072E"/>
    <w:rsid w:val="003F0ABC"/>
    <w:rsid w:val="003F0CD1"/>
    <w:rsid w:val="003F0D0E"/>
    <w:rsid w:val="003F0E24"/>
    <w:rsid w:val="003F0E35"/>
    <w:rsid w:val="003F0E47"/>
    <w:rsid w:val="003F0ECE"/>
    <w:rsid w:val="003F1174"/>
    <w:rsid w:val="003F16AD"/>
    <w:rsid w:val="003F1AD9"/>
    <w:rsid w:val="003F1CFB"/>
    <w:rsid w:val="003F2003"/>
    <w:rsid w:val="003F2119"/>
    <w:rsid w:val="003F2130"/>
    <w:rsid w:val="003F226A"/>
    <w:rsid w:val="003F22DD"/>
    <w:rsid w:val="003F2409"/>
    <w:rsid w:val="003F2702"/>
    <w:rsid w:val="003F290C"/>
    <w:rsid w:val="003F2B6D"/>
    <w:rsid w:val="003F2D62"/>
    <w:rsid w:val="003F2FE0"/>
    <w:rsid w:val="003F316C"/>
    <w:rsid w:val="003F3488"/>
    <w:rsid w:val="003F3690"/>
    <w:rsid w:val="003F36E4"/>
    <w:rsid w:val="003F385B"/>
    <w:rsid w:val="003F3989"/>
    <w:rsid w:val="003F3A76"/>
    <w:rsid w:val="003F3BB9"/>
    <w:rsid w:val="003F3DF5"/>
    <w:rsid w:val="003F3EB6"/>
    <w:rsid w:val="003F4050"/>
    <w:rsid w:val="003F42B2"/>
    <w:rsid w:val="003F44C3"/>
    <w:rsid w:val="003F463C"/>
    <w:rsid w:val="003F4666"/>
    <w:rsid w:val="003F47B1"/>
    <w:rsid w:val="003F4841"/>
    <w:rsid w:val="003F499E"/>
    <w:rsid w:val="003F49A1"/>
    <w:rsid w:val="003F49D4"/>
    <w:rsid w:val="003F4DF3"/>
    <w:rsid w:val="003F4E30"/>
    <w:rsid w:val="003F4FB9"/>
    <w:rsid w:val="003F50C7"/>
    <w:rsid w:val="003F50CF"/>
    <w:rsid w:val="003F514A"/>
    <w:rsid w:val="003F52D2"/>
    <w:rsid w:val="003F542C"/>
    <w:rsid w:val="003F57D8"/>
    <w:rsid w:val="003F57DA"/>
    <w:rsid w:val="003F58DC"/>
    <w:rsid w:val="003F5C7C"/>
    <w:rsid w:val="003F62AE"/>
    <w:rsid w:val="003F6558"/>
    <w:rsid w:val="003F6574"/>
    <w:rsid w:val="003F65CF"/>
    <w:rsid w:val="003F69E5"/>
    <w:rsid w:val="003F6C2B"/>
    <w:rsid w:val="003F6C50"/>
    <w:rsid w:val="003F6F68"/>
    <w:rsid w:val="003F7076"/>
    <w:rsid w:val="003F731C"/>
    <w:rsid w:val="003F740E"/>
    <w:rsid w:val="003F75F4"/>
    <w:rsid w:val="003F7EF0"/>
    <w:rsid w:val="0040032F"/>
    <w:rsid w:val="0040043A"/>
    <w:rsid w:val="0040098A"/>
    <w:rsid w:val="00400A6B"/>
    <w:rsid w:val="00400D8F"/>
    <w:rsid w:val="00400E10"/>
    <w:rsid w:val="004010F9"/>
    <w:rsid w:val="0040118E"/>
    <w:rsid w:val="004013C1"/>
    <w:rsid w:val="0040140F"/>
    <w:rsid w:val="0040185F"/>
    <w:rsid w:val="004019C5"/>
    <w:rsid w:val="00401BAF"/>
    <w:rsid w:val="00401D0C"/>
    <w:rsid w:val="00401EBC"/>
    <w:rsid w:val="00401FC6"/>
    <w:rsid w:val="0040229D"/>
    <w:rsid w:val="00402318"/>
    <w:rsid w:val="0040234B"/>
    <w:rsid w:val="004023F3"/>
    <w:rsid w:val="0040255C"/>
    <w:rsid w:val="00402678"/>
    <w:rsid w:val="00402C00"/>
    <w:rsid w:val="00402ED3"/>
    <w:rsid w:val="0040313E"/>
    <w:rsid w:val="00403436"/>
    <w:rsid w:val="00403473"/>
    <w:rsid w:val="00403714"/>
    <w:rsid w:val="00403C81"/>
    <w:rsid w:val="00403D9E"/>
    <w:rsid w:val="00404016"/>
    <w:rsid w:val="00404074"/>
    <w:rsid w:val="004042C3"/>
    <w:rsid w:val="0040435C"/>
    <w:rsid w:val="0040470B"/>
    <w:rsid w:val="00404769"/>
    <w:rsid w:val="00404896"/>
    <w:rsid w:val="00404D49"/>
    <w:rsid w:val="00404ED0"/>
    <w:rsid w:val="0040501D"/>
    <w:rsid w:val="00405596"/>
    <w:rsid w:val="00405699"/>
    <w:rsid w:val="00405BC2"/>
    <w:rsid w:val="00405C19"/>
    <w:rsid w:val="004061EF"/>
    <w:rsid w:val="0040625F"/>
    <w:rsid w:val="004062F7"/>
    <w:rsid w:val="00406A07"/>
    <w:rsid w:val="00406A12"/>
    <w:rsid w:val="00406EDC"/>
    <w:rsid w:val="00406FBF"/>
    <w:rsid w:val="00406FC4"/>
    <w:rsid w:val="004073B5"/>
    <w:rsid w:val="00407696"/>
    <w:rsid w:val="00407786"/>
    <w:rsid w:val="00407ADE"/>
    <w:rsid w:val="00407C2C"/>
    <w:rsid w:val="00407C2F"/>
    <w:rsid w:val="00407C33"/>
    <w:rsid w:val="0041020E"/>
    <w:rsid w:val="0041052F"/>
    <w:rsid w:val="004107FB"/>
    <w:rsid w:val="00410E09"/>
    <w:rsid w:val="00410F8F"/>
    <w:rsid w:val="00411734"/>
    <w:rsid w:val="0041199E"/>
    <w:rsid w:val="00411D5B"/>
    <w:rsid w:val="00411E45"/>
    <w:rsid w:val="00411FA8"/>
    <w:rsid w:val="0041227A"/>
    <w:rsid w:val="0041232D"/>
    <w:rsid w:val="00412348"/>
    <w:rsid w:val="00412480"/>
    <w:rsid w:val="004124BA"/>
    <w:rsid w:val="00412BAF"/>
    <w:rsid w:val="00412D8F"/>
    <w:rsid w:val="00413102"/>
    <w:rsid w:val="0041354E"/>
    <w:rsid w:val="00413B8A"/>
    <w:rsid w:val="00413ED6"/>
    <w:rsid w:val="0041406C"/>
    <w:rsid w:val="0041428D"/>
    <w:rsid w:val="00414489"/>
    <w:rsid w:val="0041460A"/>
    <w:rsid w:val="00414753"/>
    <w:rsid w:val="00414829"/>
    <w:rsid w:val="0041485E"/>
    <w:rsid w:val="00414A61"/>
    <w:rsid w:val="00414B3E"/>
    <w:rsid w:val="004152B3"/>
    <w:rsid w:val="004152C7"/>
    <w:rsid w:val="00415344"/>
    <w:rsid w:val="004155A0"/>
    <w:rsid w:val="0041585B"/>
    <w:rsid w:val="00415C38"/>
    <w:rsid w:val="00415EF5"/>
    <w:rsid w:val="004161A8"/>
    <w:rsid w:val="004161BA"/>
    <w:rsid w:val="00416222"/>
    <w:rsid w:val="0041648D"/>
    <w:rsid w:val="0041650E"/>
    <w:rsid w:val="0041657A"/>
    <w:rsid w:val="00416681"/>
    <w:rsid w:val="004167FA"/>
    <w:rsid w:val="00416C1F"/>
    <w:rsid w:val="00416EEC"/>
    <w:rsid w:val="00416F31"/>
    <w:rsid w:val="00417237"/>
    <w:rsid w:val="00417337"/>
    <w:rsid w:val="004174A3"/>
    <w:rsid w:val="00417592"/>
    <w:rsid w:val="00417603"/>
    <w:rsid w:val="0041765F"/>
    <w:rsid w:val="00417670"/>
    <w:rsid w:val="00417892"/>
    <w:rsid w:val="00417A11"/>
    <w:rsid w:val="00417E6B"/>
    <w:rsid w:val="00417EAA"/>
    <w:rsid w:val="00417EE4"/>
    <w:rsid w:val="0042038F"/>
    <w:rsid w:val="004206CF"/>
    <w:rsid w:val="004207D1"/>
    <w:rsid w:val="00421012"/>
    <w:rsid w:val="0042146E"/>
    <w:rsid w:val="00421CD8"/>
    <w:rsid w:val="00421E36"/>
    <w:rsid w:val="00421E4A"/>
    <w:rsid w:val="00421FFE"/>
    <w:rsid w:val="004220B2"/>
    <w:rsid w:val="00422156"/>
    <w:rsid w:val="004222F3"/>
    <w:rsid w:val="0042279B"/>
    <w:rsid w:val="00422A44"/>
    <w:rsid w:val="00422C3B"/>
    <w:rsid w:val="00422CC1"/>
    <w:rsid w:val="00422E1F"/>
    <w:rsid w:val="00422EDE"/>
    <w:rsid w:val="00422EFA"/>
    <w:rsid w:val="00422F3F"/>
    <w:rsid w:val="00422F98"/>
    <w:rsid w:val="004230FC"/>
    <w:rsid w:val="0042327B"/>
    <w:rsid w:val="004232F2"/>
    <w:rsid w:val="004232F8"/>
    <w:rsid w:val="00423732"/>
    <w:rsid w:val="00423814"/>
    <w:rsid w:val="00423B0A"/>
    <w:rsid w:val="00423B74"/>
    <w:rsid w:val="00423F4C"/>
    <w:rsid w:val="004241DE"/>
    <w:rsid w:val="00424264"/>
    <w:rsid w:val="00424286"/>
    <w:rsid w:val="00424364"/>
    <w:rsid w:val="0042437F"/>
    <w:rsid w:val="0042452E"/>
    <w:rsid w:val="004246CB"/>
    <w:rsid w:val="0042476C"/>
    <w:rsid w:val="0042477E"/>
    <w:rsid w:val="004249CD"/>
    <w:rsid w:val="00424A36"/>
    <w:rsid w:val="00424A5E"/>
    <w:rsid w:val="00424B87"/>
    <w:rsid w:val="004251B2"/>
    <w:rsid w:val="004253A7"/>
    <w:rsid w:val="00425486"/>
    <w:rsid w:val="004255F8"/>
    <w:rsid w:val="00425856"/>
    <w:rsid w:val="004258C5"/>
    <w:rsid w:val="004259DE"/>
    <w:rsid w:val="00425F4D"/>
    <w:rsid w:val="00425FDB"/>
    <w:rsid w:val="00426175"/>
    <w:rsid w:val="00426255"/>
    <w:rsid w:val="00426287"/>
    <w:rsid w:val="004264AF"/>
    <w:rsid w:val="004264CA"/>
    <w:rsid w:val="0042657C"/>
    <w:rsid w:val="00426718"/>
    <w:rsid w:val="00426841"/>
    <w:rsid w:val="00427531"/>
    <w:rsid w:val="0042783E"/>
    <w:rsid w:val="00427B3A"/>
    <w:rsid w:val="00427BAE"/>
    <w:rsid w:val="00427C49"/>
    <w:rsid w:val="004300E2"/>
    <w:rsid w:val="00430A1E"/>
    <w:rsid w:val="00430B4A"/>
    <w:rsid w:val="00430FD3"/>
    <w:rsid w:val="004310CB"/>
    <w:rsid w:val="0043128F"/>
    <w:rsid w:val="004315DB"/>
    <w:rsid w:val="00431680"/>
    <w:rsid w:val="00431686"/>
    <w:rsid w:val="004317BA"/>
    <w:rsid w:val="00431842"/>
    <w:rsid w:val="00431CAC"/>
    <w:rsid w:val="00431DDA"/>
    <w:rsid w:val="00431E32"/>
    <w:rsid w:val="00431ED1"/>
    <w:rsid w:val="004322A4"/>
    <w:rsid w:val="00432359"/>
    <w:rsid w:val="004323C3"/>
    <w:rsid w:val="00432678"/>
    <w:rsid w:val="0043282F"/>
    <w:rsid w:val="0043295C"/>
    <w:rsid w:val="00432CAA"/>
    <w:rsid w:val="00432F98"/>
    <w:rsid w:val="0043303E"/>
    <w:rsid w:val="00433473"/>
    <w:rsid w:val="004334AF"/>
    <w:rsid w:val="004339E4"/>
    <w:rsid w:val="00433B68"/>
    <w:rsid w:val="00433BC1"/>
    <w:rsid w:val="00433D23"/>
    <w:rsid w:val="00434476"/>
    <w:rsid w:val="00434748"/>
    <w:rsid w:val="004347D1"/>
    <w:rsid w:val="00434BAB"/>
    <w:rsid w:val="00435021"/>
    <w:rsid w:val="00435035"/>
    <w:rsid w:val="00435063"/>
    <w:rsid w:val="004350A0"/>
    <w:rsid w:val="00435125"/>
    <w:rsid w:val="00435218"/>
    <w:rsid w:val="0043523E"/>
    <w:rsid w:val="004352CF"/>
    <w:rsid w:val="00435390"/>
    <w:rsid w:val="004354A5"/>
    <w:rsid w:val="00435791"/>
    <w:rsid w:val="0043579C"/>
    <w:rsid w:val="004357B0"/>
    <w:rsid w:val="0043587F"/>
    <w:rsid w:val="004358A5"/>
    <w:rsid w:val="00435C2E"/>
    <w:rsid w:val="00435E0B"/>
    <w:rsid w:val="0043626E"/>
    <w:rsid w:val="00436680"/>
    <w:rsid w:val="00436699"/>
    <w:rsid w:val="00436C87"/>
    <w:rsid w:val="00436CBE"/>
    <w:rsid w:val="00436DBB"/>
    <w:rsid w:val="00436F06"/>
    <w:rsid w:val="00436F0D"/>
    <w:rsid w:val="0043717B"/>
    <w:rsid w:val="004372C4"/>
    <w:rsid w:val="00437463"/>
    <w:rsid w:val="0043763D"/>
    <w:rsid w:val="004376AB"/>
    <w:rsid w:val="004378DA"/>
    <w:rsid w:val="0043794B"/>
    <w:rsid w:val="00437CF2"/>
    <w:rsid w:val="00437DA7"/>
    <w:rsid w:val="00437EDC"/>
    <w:rsid w:val="00437F41"/>
    <w:rsid w:val="00437FA8"/>
    <w:rsid w:val="0044040B"/>
    <w:rsid w:val="00440565"/>
    <w:rsid w:val="004406E0"/>
    <w:rsid w:val="0044077F"/>
    <w:rsid w:val="004407B3"/>
    <w:rsid w:val="00440D1E"/>
    <w:rsid w:val="0044168C"/>
    <w:rsid w:val="00441935"/>
    <w:rsid w:val="00441A2B"/>
    <w:rsid w:val="00441A40"/>
    <w:rsid w:val="00441B8C"/>
    <w:rsid w:val="00441D40"/>
    <w:rsid w:val="00441DDB"/>
    <w:rsid w:val="00441E86"/>
    <w:rsid w:val="00442019"/>
    <w:rsid w:val="0044236A"/>
    <w:rsid w:val="00442490"/>
    <w:rsid w:val="004425E8"/>
    <w:rsid w:val="004427E8"/>
    <w:rsid w:val="00442880"/>
    <w:rsid w:val="00442C22"/>
    <w:rsid w:val="004431C2"/>
    <w:rsid w:val="0044326C"/>
    <w:rsid w:val="0044332C"/>
    <w:rsid w:val="0044336F"/>
    <w:rsid w:val="0044347A"/>
    <w:rsid w:val="00443570"/>
    <w:rsid w:val="0044373B"/>
    <w:rsid w:val="00443864"/>
    <w:rsid w:val="00443C40"/>
    <w:rsid w:val="00443DD1"/>
    <w:rsid w:val="00443E8E"/>
    <w:rsid w:val="004441B9"/>
    <w:rsid w:val="00444410"/>
    <w:rsid w:val="004447E0"/>
    <w:rsid w:val="00444806"/>
    <w:rsid w:val="00444811"/>
    <w:rsid w:val="00444B51"/>
    <w:rsid w:val="00444D1C"/>
    <w:rsid w:val="00445788"/>
    <w:rsid w:val="004459AA"/>
    <w:rsid w:val="00445A05"/>
    <w:rsid w:val="00445B63"/>
    <w:rsid w:val="00445D67"/>
    <w:rsid w:val="00445FBB"/>
    <w:rsid w:val="004463F8"/>
    <w:rsid w:val="00447048"/>
    <w:rsid w:val="004470E0"/>
    <w:rsid w:val="004472C1"/>
    <w:rsid w:val="004473A5"/>
    <w:rsid w:val="004477D4"/>
    <w:rsid w:val="0044786A"/>
    <w:rsid w:val="00447940"/>
    <w:rsid w:val="0044796A"/>
    <w:rsid w:val="00447C2D"/>
    <w:rsid w:val="00450095"/>
    <w:rsid w:val="004501C2"/>
    <w:rsid w:val="004505D9"/>
    <w:rsid w:val="00450635"/>
    <w:rsid w:val="00450C84"/>
    <w:rsid w:val="00450D95"/>
    <w:rsid w:val="00450F54"/>
    <w:rsid w:val="0045123A"/>
    <w:rsid w:val="00451334"/>
    <w:rsid w:val="0045168B"/>
    <w:rsid w:val="0045181E"/>
    <w:rsid w:val="00451E3E"/>
    <w:rsid w:val="00452030"/>
    <w:rsid w:val="00452062"/>
    <w:rsid w:val="004521C9"/>
    <w:rsid w:val="0045239D"/>
    <w:rsid w:val="0045283C"/>
    <w:rsid w:val="00452893"/>
    <w:rsid w:val="00453886"/>
    <w:rsid w:val="004539DD"/>
    <w:rsid w:val="00453B71"/>
    <w:rsid w:val="00453C28"/>
    <w:rsid w:val="00453EB0"/>
    <w:rsid w:val="00453EBC"/>
    <w:rsid w:val="00453ED3"/>
    <w:rsid w:val="00454338"/>
    <w:rsid w:val="0045467A"/>
    <w:rsid w:val="0045479C"/>
    <w:rsid w:val="00454874"/>
    <w:rsid w:val="00454976"/>
    <w:rsid w:val="00454EC4"/>
    <w:rsid w:val="00454F7C"/>
    <w:rsid w:val="004550F8"/>
    <w:rsid w:val="00455111"/>
    <w:rsid w:val="004551A0"/>
    <w:rsid w:val="004554BD"/>
    <w:rsid w:val="00455A02"/>
    <w:rsid w:val="00455A47"/>
    <w:rsid w:val="00455A5D"/>
    <w:rsid w:val="00455AB8"/>
    <w:rsid w:val="00455AF6"/>
    <w:rsid w:val="00455D5A"/>
    <w:rsid w:val="00455F8A"/>
    <w:rsid w:val="0045600E"/>
    <w:rsid w:val="00456106"/>
    <w:rsid w:val="004564D1"/>
    <w:rsid w:val="00456554"/>
    <w:rsid w:val="004565DA"/>
    <w:rsid w:val="004565E7"/>
    <w:rsid w:val="0045665A"/>
    <w:rsid w:val="004567AB"/>
    <w:rsid w:val="00456B0C"/>
    <w:rsid w:val="00456F40"/>
    <w:rsid w:val="00457095"/>
    <w:rsid w:val="00457270"/>
    <w:rsid w:val="00457341"/>
    <w:rsid w:val="004577B7"/>
    <w:rsid w:val="00457897"/>
    <w:rsid w:val="004578F8"/>
    <w:rsid w:val="00457A0D"/>
    <w:rsid w:val="00457C0A"/>
    <w:rsid w:val="00457E16"/>
    <w:rsid w:val="00457F70"/>
    <w:rsid w:val="004601E4"/>
    <w:rsid w:val="0046055B"/>
    <w:rsid w:val="004605B6"/>
    <w:rsid w:val="004606C8"/>
    <w:rsid w:val="00460995"/>
    <w:rsid w:val="00460A75"/>
    <w:rsid w:val="00461026"/>
    <w:rsid w:val="004611FA"/>
    <w:rsid w:val="004612BA"/>
    <w:rsid w:val="00461303"/>
    <w:rsid w:val="004614FC"/>
    <w:rsid w:val="0046154D"/>
    <w:rsid w:val="0046186F"/>
    <w:rsid w:val="004618A4"/>
    <w:rsid w:val="00461C6D"/>
    <w:rsid w:val="004628E7"/>
    <w:rsid w:val="00462A19"/>
    <w:rsid w:val="00462C1D"/>
    <w:rsid w:val="00462EF4"/>
    <w:rsid w:val="00462F9C"/>
    <w:rsid w:val="0046330A"/>
    <w:rsid w:val="004634DD"/>
    <w:rsid w:val="004636F7"/>
    <w:rsid w:val="004637E2"/>
    <w:rsid w:val="00463934"/>
    <w:rsid w:val="00463AEC"/>
    <w:rsid w:val="00463BA7"/>
    <w:rsid w:val="00463D17"/>
    <w:rsid w:val="00463FD7"/>
    <w:rsid w:val="004642C7"/>
    <w:rsid w:val="00464350"/>
    <w:rsid w:val="004643DC"/>
    <w:rsid w:val="004644D3"/>
    <w:rsid w:val="00464509"/>
    <w:rsid w:val="004645B0"/>
    <w:rsid w:val="00464DE9"/>
    <w:rsid w:val="00464E93"/>
    <w:rsid w:val="0046504D"/>
    <w:rsid w:val="00465231"/>
    <w:rsid w:val="00465491"/>
    <w:rsid w:val="004655A4"/>
    <w:rsid w:val="00465AAF"/>
    <w:rsid w:val="00465ECF"/>
    <w:rsid w:val="00465F50"/>
    <w:rsid w:val="00466172"/>
    <w:rsid w:val="00466291"/>
    <w:rsid w:val="004662F3"/>
    <w:rsid w:val="0046665F"/>
    <w:rsid w:val="0046669E"/>
    <w:rsid w:val="004668F1"/>
    <w:rsid w:val="00466B8F"/>
    <w:rsid w:val="00466E39"/>
    <w:rsid w:val="00466FAA"/>
    <w:rsid w:val="00467121"/>
    <w:rsid w:val="00467288"/>
    <w:rsid w:val="00467359"/>
    <w:rsid w:val="0046760B"/>
    <w:rsid w:val="0046762C"/>
    <w:rsid w:val="004676CF"/>
    <w:rsid w:val="00467968"/>
    <w:rsid w:val="004679A5"/>
    <w:rsid w:val="00467A1E"/>
    <w:rsid w:val="00467E4E"/>
    <w:rsid w:val="00467E80"/>
    <w:rsid w:val="00470796"/>
    <w:rsid w:val="00470817"/>
    <w:rsid w:val="004708A6"/>
    <w:rsid w:val="00470AB0"/>
    <w:rsid w:val="00471141"/>
    <w:rsid w:val="00471171"/>
    <w:rsid w:val="00471305"/>
    <w:rsid w:val="00471986"/>
    <w:rsid w:val="00471A0D"/>
    <w:rsid w:val="00471B67"/>
    <w:rsid w:val="00471E68"/>
    <w:rsid w:val="004720BA"/>
    <w:rsid w:val="004721B6"/>
    <w:rsid w:val="004722FC"/>
    <w:rsid w:val="00472452"/>
    <w:rsid w:val="004724C2"/>
    <w:rsid w:val="004727BF"/>
    <w:rsid w:val="004728BD"/>
    <w:rsid w:val="004728E1"/>
    <w:rsid w:val="00472993"/>
    <w:rsid w:val="00472B2A"/>
    <w:rsid w:val="00472CA4"/>
    <w:rsid w:val="00472CF9"/>
    <w:rsid w:val="00472DE9"/>
    <w:rsid w:val="00472EB5"/>
    <w:rsid w:val="00472FE4"/>
    <w:rsid w:val="004731C5"/>
    <w:rsid w:val="00473323"/>
    <w:rsid w:val="00473B97"/>
    <w:rsid w:val="004742A0"/>
    <w:rsid w:val="0047469B"/>
    <w:rsid w:val="004749DA"/>
    <w:rsid w:val="00474A23"/>
    <w:rsid w:val="00474AD2"/>
    <w:rsid w:val="00474BD9"/>
    <w:rsid w:val="00474BE2"/>
    <w:rsid w:val="00474CB2"/>
    <w:rsid w:val="00474F12"/>
    <w:rsid w:val="00474FF2"/>
    <w:rsid w:val="00475186"/>
    <w:rsid w:val="00475342"/>
    <w:rsid w:val="004756CD"/>
    <w:rsid w:val="00475C24"/>
    <w:rsid w:val="00475DE1"/>
    <w:rsid w:val="00476071"/>
    <w:rsid w:val="0047634C"/>
    <w:rsid w:val="004765ED"/>
    <w:rsid w:val="00476E3A"/>
    <w:rsid w:val="00477229"/>
    <w:rsid w:val="0047733A"/>
    <w:rsid w:val="0047798C"/>
    <w:rsid w:val="00477996"/>
    <w:rsid w:val="00477C0B"/>
    <w:rsid w:val="00477EFF"/>
    <w:rsid w:val="00480148"/>
    <w:rsid w:val="00480481"/>
    <w:rsid w:val="0048069D"/>
    <w:rsid w:val="00480C60"/>
    <w:rsid w:val="0048108B"/>
    <w:rsid w:val="00481546"/>
    <w:rsid w:val="00481746"/>
    <w:rsid w:val="00481934"/>
    <w:rsid w:val="00481B4A"/>
    <w:rsid w:val="00481BA1"/>
    <w:rsid w:val="00481D42"/>
    <w:rsid w:val="00481D6D"/>
    <w:rsid w:val="0048217A"/>
    <w:rsid w:val="004825C9"/>
    <w:rsid w:val="0048266C"/>
    <w:rsid w:val="00482802"/>
    <w:rsid w:val="00482856"/>
    <w:rsid w:val="00482BFF"/>
    <w:rsid w:val="00482C17"/>
    <w:rsid w:val="00482F22"/>
    <w:rsid w:val="0048307A"/>
    <w:rsid w:val="00483A39"/>
    <w:rsid w:val="00483D70"/>
    <w:rsid w:val="00483EB1"/>
    <w:rsid w:val="00484004"/>
    <w:rsid w:val="0048418C"/>
    <w:rsid w:val="004842B4"/>
    <w:rsid w:val="004843FE"/>
    <w:rsid w:val="00484601"/>
    <w:rsid w:val="00484850"/>
    <w:rsid w:val="004848EE"/>
    <w:rsid w:val="00484956"/>
    <w:rsid w:val="00484BD9"/>
    <w:rsid w:val="00484DED"/>
    <w:rsid w:val="00484E4C"/>
    <w:rsid w:val="0048527C"/>
    <w:rsid w:val="0048531A"/>
    <w:rsid w:val="0048547B"/>
    <w:rsid w:val="004856DD"/>
    <w:rsid w:val="00485960"/>
    <w:rsid w:val="00485A73"/>
    <w:rsid w:val="00485D19"/>
    <w:rsid w:val="00485F6D"/>
    <w:rsid w:val="004863D6"/>
    <w:rsid w:val="004865F9"/>
    <w:rsid w:val="0048667D"/>
    <w:rsid w:val="00486A6A"/>
    <w:rsid w:val="00486AA8"/>
    <w:rsid w:val="00486BBF"/>
    <w:rsid w:val="0048710C"/>
    <w:rsid w:val="004873F5"/>
    <w:rsid w:val="00487788"/>
    <w:rsid w:val="00487945"/>
    <w:rsid w:val="00487A34"/>
    <w:rsid w:val="00487BD8"/>
    <w:rsid w:val="00487EBB"/>
    <w:rsid w:val="0049002D"/>
    <w:rsid w:val="00490099"/>
    <w:rsid w:val="00490184"/>
    <w:rsid w:val="004903BC"/>
    <w:rsid w:val="004904F4"/>
    <w:rsid w:val="00490554"/>
    <w:rsid w:val="00490624"/>
    <w:rsid w:val="004907DC"/>
    <w:rsid w:val="00490886"/>
    <w:rsid w:val="00491813"/>
    <w:rsid w:val="004919CD"/>
    <w:rsid w:val="004920D1"/>
    <w:rsid w:val="004922CE"/>
    <w:rsid w:val="00492344"/>
    <w:rsid w:val="00492362"/>
    <w:rsid w:val="004925FE"/>
    <w:rsid w:val="0049262F"/>
    <w:rsid w:val="00492705"/>
    <w:rsid w:val="00492857"/>
    <w:rsid w:val="00492D99"/>
    <w:rsid w:val="00493129"/>
    <w:rsid w:val="00493185"/>
    <w:rsid w:val="00493274"/>
    <w:rsid w:val="00493327"/>
    <w:rsid w:val="00493435"/>
    <w:rsid w:val="004935A1"/>
    <w:rsid w:val="00493D75"/>
    <w:rsid w:val="00493D7F"/>
    <w:rsid w:val="00494078"/>
    <w:rsid w:val="004947E2"/>
    <w:rsid w:val="0049490A"/>
    <w:rsid w:val="004949AD"/>
    <w:rsid w:val="00494AF6"/>
    <w:rsid w:val="00494BF2"/>
    <w:rsid w:val="00494C3F"/>
    <w:rsid w:val="00494DAD"/>
    <w:rsid w:val="00494DC7"/>
    <w:rsid w:val="00494E1A"/>
    <w:rsid w:val="00495028"/>
    <w:rsid w:val="00495188"/>
    <w:rsid w:val="004951AF"/>
    <w:rsid w:val="004954F4"/>
    <w:rsid w:val="004955F7"/>
    <w:rsid w:val="00495648"/>
    <w:rsid w:val="00495669"/>
    <w:rsid w:val="0049585B"/>
    <w:rsid w:val="00495867"/>
    <w:rsid w:val="00495C27"/>
    <w:rsid w:val="00495DDC"/>
    <w:rsid w:val="00496055"/>
    <w:rsid w:val="00496306"/>
    <w:rsid w:val="004964C0"/>
    <w:rsid w:val="00496617"/>
    <w:rsid w:val="00496B37"/>
    <w:rsid w:val="00496C60"/>
    <w:rsid w:val="00496DD9"/>
    <w:rsid w:val="00496E25"/>
    <w:rsid w:val="00496F95"/>
    <w:rsid w:val="0049720F"/>
    <w:rsid w:val="004972BC"/>
    <w:rsid w:val="00497374"/>
    <w:rsid w:val="00497C5F"/>
    <w:rsid w:val="00497C79"/>
    <w:rsid w:val="00497FD2"/>
    <w:rsid w:val="004A0105"/>
    <w:rsid w:val="004A0118"/>
    <w:rsid w:val="004A03D3"/>
    <w:rsid w:val="004A048F"/>
    <w:rsid w:val="004A0790"/>
    <w:rsid w:val="004A08B8"/>
    <w:rsid w:val="004A09FC"/>
    <w:rsid w:val="004A0BDC"/>
    <w:rsid w:val="004A0C59"/>
    <w:rsid w:val="004A0E9B"/>
    <w:rsid w:val="004A0FB0"/>
    <w:rsid w:val="004A11C6"/>
    <w:rsid w:val="004A14B4"/>
    <w:rsid w:val="004A16C2"/>
    <w:rsid w:val="004A175A"/>
    <w:rsid w:val="004A189A"/>
    <w:rsid w:val="004A1974"/>
    <w:rsid w:val="004A1E38"/>
    <w:rsid w:val="004A1E85"/>
    <w:rsid w:val="004A211B"/>
    <w:rsid w:val="004A228F"/>
    <w:rsid w:val="004A288C"/>
    <w:rsid w:val="004A2D71"/>
    <w:rsid w:val="004A2ED4"/>
    <w:rsid w:val="004A2F6A"/>
    <w:rsid w:val="004A30B3"/>
    <w:rsid w:val="004A332F"/>
    <w:rsid w:val="004A3508"/>
    <w:rsid w:val="004A3900"/>
    <w:rsid w:val="004A3BD0"/>
    <w:rsid w:val="004A3C9C"/>
    <w:rsid w:val="004A3ED0"/>
    <w:rsid w:val="004A3F3E"/>
    <w:rsid w:val="004A4788"/>
    <w:rsid w:val="004A4913"/>
    <w:rsid w:val="004A4DBB"/>
    <w:rsid w:val="004A51CE"/>
    <w:rsid w:val="004A5616"/>
    <w:rsid w:val="004A56F1"/>
    <w:rsid w:val="004A58F7"/>
    <w:rsid w:val="004A5A52"/>
    <w:rsid w:val="004A5AE8"/>
    <w:rsid w:val="004A5CDD"/>
    <w:rsid w:val="004A5D7F"/>
    <w:rsid w:val="004A5E6A"/>
    <w:rsid w:val="004A6133"/>
    <w:rsid w:val="004A61B7"/>
    <w:rsid w:val="004A6292"/>
    <w:rsid w:val="004A63B9"/>
    <w:rsid w:val="004A6434"/>
    <w:rsid w:val="004A6668"/>
    <w:rsid w:val="004A6EE1"/>
    <w:rsid w:val="004A7015"/>
    <w:rsid w:val="004A71FD"/>
    <w:rsid w:val="004A729C"/>
    <w:rsid w:val="004A74A0"/>
    <w:rsid w:val="004A74A3"/>
    <w:rsid w:val="004A74CC"/>
    <w:rsid w:val="004A7567"/>
    <w:rsid w:val="004A7618"/>
    <w:rsid w:val="004A7670"/>
    <w:rsid w:val="004A770E"/>
    <w:rsid w:val="004A7761"/>
    <w:rsid w:val="004A7CFA"/>
    <w:rsid w:val="004A7E4D"/>
    <w:rsid w:val="004A7FE6"/>
    <w:rsid w:val="004B0224"/>
    <w:rsid w:val="004B04D7"/>
    <w:rsid w:val="004B0500"/>
    <w:rsid w:val="004B0727"/>
    <w:rsid w:val="004B0E09"/>
    <w:rsid w:val="004B0F91"/>
    <w:rsid w:val="004B0FDA"/>
    <w:rsid w:val="004B1157"/>
    <w:rsid w:val="004B1242"/>
    <w:rsid w:val="004B1267"/>
    <w:rsid w:val="004B13DA"/>
    <w:rsid w:val="004B1842"/>
    <w:rsid w:val="004B1EF6"/>
    <w:rsid w:val="004B2A76"/>
    <w:rsid w:val="004B2B1B"/>
    <w:rsid w:val="004B2C5D"/>
    <w:rsid w:val="004B2E21"/>
    <w:rsid w:val="004B2EAD"/>
    <w:rsid w:val="004B3CC0"/>
    <w:rsid w:val="004B3DDA"/>
    <w:rsid w:val="004B3F3A"/>
    <w:rsid w:val="004B407B"/>
    <w:rsid w:val="004B42D7"/>
    <w:rsid w:val="004B4435"/>
    <w:rsid w:val="004B45F4"/>
    <w:rsid w:val="004B46AA"/>
    <w:rsid w:val="004B498E"/>
    <w:rsid w:val="004B49A3"/>
    <w:rsid w:val="004B4D1B"/>
    <w:rsid w:val="004B4DF4"/>
    <w:rsid w:val="004B4E79"/>
    <w:rsid w:val="004B4EAF"/>
    <w:rsid w:val="004B5082"/>
    <w:rsid w:val="004B533A"/>
    <w:rsid w:val="004B5425"/>
    <w:rsid w:val="004B56C0"/>
    <w:rsid w:val="004B587D"/>
    <w:rsid w:val="004B58C2"/>
    <w:rsid w:val="004B5D01"/>
    <w:rsid w:val="004B5EA1"/>
    <w:rsid w:val="004B6034"/>
    <w:rsid w:val="004B6722"/>
    <w:rsid w:val="004B6917"/>
    <w:rsid w:val="004B694A"/>
    <w:rsid w:val="004B6A59"/>
    <w:rsid w:val="004B6BF8"/>
    <w:rsid w:val="004B6CA9"/>
    <w:rsid w:val="004B6F29"/>
    <w:rsid w:val="004B706C"/>
    <w:rsid w:val="004B708D"/>
    <w:rsid w:val="004B7581"/>
    <w:rsid w:val="004B7A58"/>
    <w:rsid w:val="004B7CAF"/>
    <w:rsid w:val="004B7D32"/>
    <w:rsid w:val="004B7E5B"/>
    <w:rsid w:val="004B7E5C"/>
    <w:rsid w:val="004B7EDA"/>
    <w:rsid w:val="004C0086"/>
    <w:rsid w:val="004C04AA"/>
    <w:rsid w:val="004C077A"/>
    <w:rsid w:val="004C0782"/>
    <w:rsid w:val="004C0934"/>
    <w:rsid w:val="004C09B0"/>
    <w:rsid w:val="004C09FD"/>
    <w:rsid w:val="004C0EDD"/>
    <w:rsid w:val="004C1182"/>
    <w:rsid w:val="004C12A5"/>
    <w:rsid w:val="004C153E"/>
    <w:rsid w:val="004C1A9C"/>
    <w:rsid w:val="004C1B25"/>
    <w:rsid w:val="004C2192"/>
    <w:rsid w:val="004C23B9"/>
    <w:rsid w:val="004C2C24"/>
    <w:rsid w:val="004C2D5F"/>
    <w:rsid w:val="004C2F7A"/>
    <w:rsid w:val="004C339E"/>
    <w:rsid w:val="004C34BD"/>
    <w:rsid w:val="004C35B6"/>
    <w:rsid w:val="004C379C"/>
    <w:rsid w:val="004C3A0D"/>
    <w:rsid w:val="004C3B70"/>
    <w:rsid w:val="004C3D41"/>
    <w:rsid w:val="004C42A5"/>
    <w:rsid w:val="004C4321"/>
    <w:rsid w:val="004C4428"/>
    <w:rsid w:val="004C4627"/>
    <w:rsid w:val="004C48EA"/>
    <w:rsid w:val="004C4B33"/>
    <w:rsid w:val="004C4B73"/>
    <w:rsid w:val="004C4E81"/>
    <w:rsid w:val="004C4F0F"/>
    <w:rsid w:val="004C502D"/>
    <w:rsid w:val="004C5055"/>
    <w:rsid w:val="004C52EA"/>
    <w:rsid w:val="004C52FB"/>
    <w:rsid w:val="004C571C"/>
    <w:rsid w:val="004C605A"/>
    <w:rsid w:val="004C65B3"/>
    <w:rsid w:val="004C66A9"/>
    <w:rsid w:val="004C68C3"/>
    <w:rsid w:val="004C69F1"/>
    <w:rsid w:val="004C6A8D"/>
    <w:rsid w:val="004C6A92"/>
    <w:rsid w:val="004C6B5D"/>
    <w:rsid w:val="004C6CAB"/>
    <w:rsid w:val="004C6EBD"/>
    <w:rsid w:val="004C7003"/>
    <w:rsid w:val="004C73F4"/>
    <w:rsid w:val="004C7546"/>
    <w:rsid w:val="004C763C"/>
    <w:rsid w:val="004C77D7"/>
    <w:rsid w:val="004C7825"/>
    <w:rsid w:val="004C78C5"/>
    <w:rsid w:val="004C79C9"/>
    <w:rsid w:val="004C7CCF"/>
    <w:rsid w:val="004C7D34"/>
    <w:rsid w:val="004C7ED6"/>
    <w:rsid w:val="004C7F06"/>
    <w:rsid w:val="004C7F53"/>
    <w:rsid w:val="004D0225"/>
    <w:rsid w:val="004D0423"/>
    <w:rsid w:val="004D05B3"/>
    <w:rsid w:val="004D09AE"/>
    <w:rsid w:val="004D09EA"/>
    <w:rsid w:val="004D0E47"/>
    <w:rsid w:val="004D0EB4"/>
    <w:rsid w:val="004D0F22"/>
    <w:rsid w:val="004D0FA4"/>
    <w:rsid w:val="004D11D8"/>
    <w:rsid w:val="004D138D"/>
    <w:rsid w:val="004D15E4"/>
    <w:rsid w:val="004D162E"/>
    <w:rsid w:val="004D1642"/>
    <w:rsid w:val="004D19C3"/>
    <w:rsid w:val="004D19C9"/>
    <w:rsid w:val="004D1A5C"/>
    <w:rsid w:val="004D1FD9"/>
    <w:rsid w:val="004D204F"/>
    <w:rsid w:val="004D2052"/>
    <w:rsid w:val="004D2102"/>
    <w:rsid w:val="004D212D"/>
    <w:rsid w:val="004D24CE"/>
    <w:rsid w:val="004D258E"/>
    <w:rsid w:val="004D2823"/>
    <w:rsid w:val="004D28DD"/>
    <w:rsid w:val="004D2B6A"/>
    <w:rsid w:val="004D2E4B"/>
    <w:rsid w:val="004D2F4F"/>
    <w:rsid w:val="004D307A"/>
    <w:rsid w:val="004D326E"/>
    <w:rsid w:val="004D3357"/>
    <w:rsid w:val="004D3424"/>
    <w:rsid w:val="004D3437"/>
    <w:rsid w:val="004D380B"/>
    <w:rsid w:val="004D38BF"/>
    <w:rsid w:val="004D3AF9"/>
    <w:rsid w:val="004D3E0A"/>
    <w:rsid w:val="004D40EA"/>
    <w:rsid w:val="004D4155"/>
    <w:rsid w:val="004D41B5"/>
    <w:rsid w:val="004D41C4"/>
    <w:rsid w:val="004D46A7"/>
    <w:rsid w:val="004D476D"/>
    <w:rsid w:val="004D47B1"/>
    <w:rsid w:val="004D4B47"/>
    <w:rsid w:val="004D4BBB"/>
    <w:rsid w:val="004D4C74"/>
    <w:rsid w:val="004D4CED"/>
    <w:rsid w:val="004D4F40"/>
    <w:rsid w:val="004D5098"/>
    <w:rsid w:val="004D5327"/>
    <w:rsid w:val="004D57B6"/>
    <w:rsid w:val="004D58C8"/>
    <w:rsid w:val="004D5949"/>
    <w:rsid w:val="004D6020"/>
    <w:rsid w:val="004D6225"/>
    <w:rsid w:val="004D63D6"/>
    <w:rsid w:val="004D68F3"/>
    <w:rsid w:val="004D6AAC"/>
    <w:rsid w:val="004D6B1E"/>
    <w:rsid w:val="004D6B46"/>
    <w:rsid w:val="004D6CF6"/>
    <w:rsid w:val="004D6D29"/>
    <w:rsid w:val="004D6DCE"/>
    <w:rsid w:val="004D719D"/>
    <w:rsid w:val="004D728E"/>
    <w:rsid w:val="004D72EC"/>
    <w:rsid w:val="004D75BE"/>
    <w:rsid w:val="004D766A"/>
    <w:rsid w:val="004D76D9"/>
    <w:rsid w:val="004D7787"/>
    <w:rsid w:val="004D7865"/>
    <w:rsid w:val="004D7A4F"/>
    <w:rsid w:val="004D7BE2"/>
    <w:rsid w:val="004D7C5C"/>
    <w:rsid w:val="004E0111"/>
    <w:rsid w:val="004E0741"/>
    <w:rsid w:val="004E0753"/>
    <w:rsid w:val="004E0E7E"/>
    <w:rsid w:val="004E0ED7"/>
    <w:rsid w:val="004E18F4"/>
    <w:rsid w:val="004E1A9D"/>
    <w:rsid w:val="004E1CFB"/>
    <w:rsid w:val="004E1DD5"/>
    <w:rsid w:val="004E1EB8"/>
    <w:rsid w:val="004E212D"/>
    <w:rsid w:val="004E234C"/>
    <w:rsid w:val="004E2547"/>
    <w:rsid w:val="004E2606"/>
    <w:rsid w:val="004E2773"/>
    <w:rsid w:val="004E2DE1"/>
    <w:rsid w:val="004E322D"/>
    <w:rsid w:val="004E352D"/>
    <w:rsid w:val="004E35AE"/>
    <w:rsid w:val="004E388E"/>
    <w:rsid w:val="004E3C0E"/>
    <w:rsid w:val="004E3D12"/>
    <w:rsid w:val="004E41E6"/>
    <w:rsid w:val="004E4536"/>
    <w:rsid w:val="004E4630"/>
    <w:rsid w:val="004E46B6"/>
    <w:rsid w:val="004E4D50"/>
    <w:rsid w:val="004E5077"/>
    <w:rsid w:val="004E5136"/>
    <w:rsid w:val="004E5492"/>
    <w:rsid w:val="004E57DC"/>
    <w:rsid w:val="004E5968"/>
    <w:rsid w:val="004E5CDC"/>
    <w:rsid w:val="004E5D4E"/>
    <w:rsid w:val="004E5D5A"/>
    <w:rsid w:val="004E5D79"/>
    <w:rsid w:val="004E5F13"/>
    <w:rsid w:val="004E650B"/>
    <w:rsid w:val="004E66D1"/>
    <w:rsid w:val="004E679F"/>
    <w:rsid w:val="004E6CAD"/>
    <w:rsid w:val="004E7126"/>
    <w:rsid w:val="004E7228"/>
    <w:rsid w:val="004E738E"/>
    <w:rsid w:val="004E77BA"/>
    <w:rsid w:val="004E7AA0"/>
    <w:rsid w:val="004E7ADC"/>
    <w:rsid w:val="004E7C6B"/>
    <w:rsid w:val="004E7D36"/>
    <w:rsid w:val="004E7DC9"/>
    <w:rsid w:val="004F030A"/>
    <w:rsid w:val="004F037D"/>
    <w:rsid w:val="004F0496"/>
    <w:rsid w:val="004F04D6"/>
    <w:rsid w:val="004F0802"/>
    <w:rsid w:val="004F0B22"/>
    <w:rsid w:val="004F0CF7"/>
    <w:rsid w:val="004F0F92"/>
    <w:rsid w:val="004F1166"/>
    <w:rsid w:val="004F1352"/>
    <w:rsid w:val="004F1514"/>
    <w:rsid w:val="004F199A"/>
    <w:rsid w:val="004F1A14"/>
    <w:rsid w:val="004F2042"/>
    <w:rsid w:val="004F22F0"/>
    <w:rsid w:val="004F2414"/>
    <w:rsid w:val="004F297C"/>
    <w:rsid w:val="004F2C0A"/>
    <w:rsid w:val="004F2E50"/>
    <w:rsid w:val="004F2F9D"/>
    <w:rsid w:val="004F3001"/>
    <w:rsid w:val="004F309F"/>
    <w:rsid w:val="004F33A5"/>
    <w:rsid w:val="004F33B6"/>
    <w:rsid w:val="004F3577"/>
    <w:rsid w:val="004F3639"/>
    <w:rsid w:val="004F37CD"/>
    <w:rsid w:val="004F3A33"/>
    <w:rsid w:val="004F3C3E"/>
    <w:rsid w:val="004F3CC9"/>
    <w:rsid w:val="004F3CF2"/>
    <w:rsid w:val="004F3D63"/>
    <w:rsid w:val="004F3DFB"/>
    <w:rsid w:val="004F3FBB"/>
    <w:rsid w:val="004F406A"/>
    <w:rsid w:val="004F40DF"/>
    <w:rsid w:val="004F40F5"/>
    <w:rsid w:val="004F414C"/>
    <w:rsid w:val="004F449F"/>
    <w:rsid w:val="004F47CB"/>
    <w:rsid w:val="004F49DC"/>
    <w:rsid w:val="004F50C2"/>
    <w:rsid w:val="004F51B8"/>
    <w:rsid w:val="004F51E6"/>
    <w:rsid w:val="004F541C"/>
    <w:rsid w:val="004F58ED"/>
    <w:rsid w:val="004F5A95"/>
    <w:rsid w:val="004F5C68"/>
    <w:rsid w:val="004F5F3F"/>
    <w:rsid w:val="004F6280"/>
    <w:rsid w:val="004F66F4"/>
    <w:rsid w:val="004F67A5"/>
    <w:rsid w:val="004F69D2"/>
    <w:rsid w:val="004F6A56"/>
    <w:rsid w:val="004F6AD0"/>
    <w:rsid w:val="004F6D80"/>
    <w:rsid w:val="004F733F"/>
    <w:rsid w:val="004F74E2"/>
    <w:rsid w:val="004F7620"/>
    <w:rsid w:val="004F76BB"/>
    <w:rsid w:val="004F79AF"/>
    <w:rsid w:val="004F7B07"/>
    <w:rsid w:val="004F7B39"/>
    <w:rsid w:val="004F7E7C"/>
    <w:rsid w:val="004F7F79"/>
    <w:rsid w:val="00500088"/>
    <w:rsid w:val="00500187"/>
    <w:rsid w:val="00500276"/>
    <w:rsid w:val="005004C8"/>
    <w:rsid w:val="005004F9"/>
    <w:rsid w:val="00501085"/>
    <w:rsid w:val="005011AE"/>
    <w:rsid w:val="00501586"/>
    <w:rsid w:val="005015C8"/>
    <w:rsid w:val="005017AF"/>
    <w:rsid w:val="005017B1"/>
    <w:rsid w:val="00501DC6"/>
    <w:rsid w:val="00501E55"/>
    <w:rsid w:val="0050217D"/>
    <w:rsid w:val="005021B4"/>
    <w:rsid w:val="005023D7"/>
    <w:rsid w:val="005024EC"/>
    <w:rsid w:val="0050257A"/>
    <w:rsid w:val="00502595"/>
    <w:rsid w:val="005028DD"/>
    <w:rsid w:val="005029F5"/>
    <w:rsid w:val="00502A48"/>
    <w:rsid w:val="00502EE0"/>
    <w:rsid w:val="00503583"/>
    <w:rsid w:val="0050369B"/>
    <w:rsid w:val="005038E5"/>
    <w:rsid w:val="00503A02"/>
    <w:rsid w:val="00503A0C"/>
    <w:rsid w:val="00503BCF"/>
    <w:rsid w:val="00503C31"/>
    <w:rsid w:val="005041B2"/>
    <w:rsid w:val="00504383"/>
    <w:rsid w:val="0050487A"/>
    <w:rsid w:val="00504B2B"/>
    <w:rsid w:val="00504C42"/>
    <w:rsid w:val="00504DAC"/>
    <w:rsid w:val="0050562E"/>
    <w:rsid w:val="00505635"/>
    <w:rsid w:val="005058C3"/>
    <w:rsid w:val="00505966"/>
    <w:rsid w:val="00505DBB"/>
    <w:rsid w:val="00506055"/>
    <w:rsid w:val="00506133"/>
    <w:rsid w:val="00506397"/>
    <w:rsid w:val="005063A9"/>
    <w:rsid w:val="005063AA"/>
    <w:rsid w:val="005063D2"/>
    <w:rsid w:val="00506440"/>
    <w:rsid w:val="00506647"/>
    <w:rsid w:val="005066A1"/>
    <w:rsid w:val="005067C7"/>
    <w:rsid w:val="00506828"/>
    <w:rsid w:val="00506ED7"/>
    <w:rsid w:val="005073AD"/>
    <w:rsid w:val="00507459"/>
    <w:rsid w:val="0050746E"/>
    <w:rsid w:val="00507492"/>
    <w:rsid w:val="005075DF"/>
    <w:rsid w:val="005076B5"/>
    <w:rsid w:val="00507941"/>
    <w:rsid w:val="00507C4B"/>
    <w:rsid w:val="00507CD8"/>
    <w:rsid w:val="00507F35"/>
    <w:rsid w:val="0051007A"/>
    <w:rsid w:val="00510338"/>
    <w:rsid w:val="0051044E"/>
    <w:rsid w:val="005107FE"/>
    <w:rsid w:val="0051096E"/>
    <w:rsid w:val="00510B36"/>
    <w:rsid w:val="00510C2A"/>
    <w:rsid w:val="005111BE"/>
    <w:rsid w:val="00511268"/>
    <w:rsid w:val="00511592"/>
    <w:rsid w:val="005117E5"/>
    <w:rsid w:val="005118B5"/>
    <w:rsid w:val="00511B08"/>
    <w:rsid w:val="0051231F"/>
    <w:rsid w:val="0051286C"/>
    <w:rsid w:val="00512B2A"/>
    <w:rsid w:val="00512BE1"/>
    <w:rsid w:val="00512CD7"/>
    <w:rsid w:val="00512F0C"/>
    <w:rsid w:val="00513284"/>
    <w:rsid w:val="005135A3"/>
    <w:rsid w:val="005135B7"/>
    <w:rsid w:val="005136C8"/>
    <w:rsid w:val="00513749"/>
    <w:rsid w:val="00513970"/>
    <w:rsid w:val="00513C38"/>
    <w:rsid w:val="00513D44"/>
    <w:rsid w:val="00513F02"/>
    <w:rsid w:val="005140B6"/>
    <w:rsid w:val="00514195"/>
    <w:rsid w:val="00514518"/>
    <w:rsid w:val="00514628"/>
    <w:rsid w:val="00514682"/>
    <w:rsid w:val="00514686"/>
    <w:rsid w:val="005147EB"/>
    <w:rsid w:val="00514A94"/>
    <w:rsid w:val="005150FE"/>
    <w:rsid w:val="0051538A"/>
    <w:rsid w:val="00515560"/>
    <w:rsid w:val="00515731"/>
    <w:rsid w:val="005157C1"/>
    <w:rsid w:val="00515A30"/>
    <w:rsid w:val="00515AE6"/>
    <w:rsid w:val="00515B81"/>
    <w:rsid w:val="00515BC4"/>
    <w:rsid w:val="00515DEF"/>
    <w:rsid w:val="00516082"/>
    <w:rsid w:val="00516255"/>
    <w:rsid w:val="00516A63"/>
    <w:rsid w:val="00516CB8"/>
    <w:rsid w:val="00516F55"/>
    <w:rsid w:val="00517220"/>
    <w:rsid w:val="005172C1"/>
    <w:rsid w:val="005176B1"/>
    <w:rsid w:val="005179A3"/>
    <w:rsid w:val="005179C5"/>
    <w:rsid w:val="00517A07"/>
    <w:rsid w:val="00517F30"/>
    <w:rsid w:val="00517FCC"/>
    <w:rsid w:val="005200CF"/>
    <w:rsid w:val="005201F3"/>
    <w:rsid w:val="005203A6"/>
    <w:rsid w:val="0052055A"/>
    <w:rsid w:val="0052057E"/>
    <w:rsid w:val="005208AE"/>
    <w:rsid w:val="00520926"/>
    <w:rsid w:val="00520B4F"/>
    <w:rsid w:val="00520C0C"/>
    <w:rsid w:val="00520D2C"/>
    <w:rsid w:val="0052105F"/>
    <w:rsid w:val="00521066"/>
    <w:rsid w:val="0052155A"/>
    <w:rsid w:val="0052166F"/>
    <w:rsid w:val="00521673"/>
    <w:rsid w:val="005216CD"/>
    <w:rsid w:val="0052175C"/>
    <w:rsid w:val="00521785"/>
    <w:rsid w:val="0052178A"/>
    <w:rsid w:val="00521B2E"/>
    <w:rsid w:val="00521B89"/>
    <w:rsid w:val="00521FDF"/>
    <w:rsid w:val="005226A8"/>
    <w:rsid w:val="0052277B"/>
    <w:rsid w:val="005229D0"/>
    <w:rsid w:val="00522A1F"/>
    <w:rsid w:val="00522A4E"/>
    <w:rsid w:val="00522AAC"/>
    <w:rsid w:val="00522E52"/>
    <w:rsid w:val="005231DE"/>
    <w:rsid w:val="00523E3E"/>
    <w:rsid w:val="005240B2"/>
    <w:rsid w:val="00524E8B"/>
    <w:rsid w:val="00524ED3"/>
    <w:rsid w:val="00524FFD"/>
    <w:rsid w:val="00525083"/>
    <w:rsid w:val="005256D2"/>
    <w:rsid w:val="0052576A"/>
    <w:rsid w:val="00525802"/>
    <w:rsid w:val="00525A25"/>
    <w:rsid w:val="00525A63"/>
    <w:rsid w:val="00525AF8"/>
    <w:rsid w:val="00525D2F"/>
    <w:rsid w:val="00526415"/>
    <w:rsid w:val="005264B5"/>
    <w:rsid w:val="00526654"/>
    <w:rsid w:val="00526A50"/>
    <w:rsid w:val="00526B30"/>
    <w:rsid w:val="00526C78"/>
    <w:rsid w:val="00526DCF"/>
    <w:rsid w:val="00526DE2"/>
    <w:rsid w:val="00527294"/>
    <w:rsid w:val="0052736B"/>
    <w:rsid w:val="00527ADC"/>
    <w:rsid w:val="00527B81"/>
    <w:rsid w:val="005300C5"/>
    <w:rsid w:val="00530318"/>
    <w:rsid w:val="005303CE"/>
    <w:rsid w:val="00530473"/>
    <w:rsid w:val="00530925"/>
    <w:rsid w:val="00530DB4"/>
    <w:rsid w:val="00530F65"/>
    <w:rsid w:val="005310B4"/>
    <w:rsid w:val="00531152"/>
    <w:rsid w:val="005311D1"/>
    <w:rsid w:val="00531259"/>
    <w:rsid w:val="00531441"/>
    <w:rsid w:val="0053146D"/>
    <w:rsid w:val="00531609"/>
    <w:rsid w:val="00531651"/>
    <w:rsid w:val="005316EB"/>
    <w:rsid w:val="00531857"/>
    <w:rsid w:val="005318FA"/>
    <w:rsid w:val="005319B7"/>
    <w:rsid w:val="00531A96"/>
    <w:rsid w:val="00531D2C"/>
    <w:rsid w:val="00531FB4"/>
    <w:rsid w:val="0053200F"/>
    <w:rsid w:val="005321FF"/>
    <w:rsid w:val="005325EC"/>
    <w:rsid w:val="00532BC6"/>
    <w:rsid w:val="00532D14"/>
    <w:rsid w:val="005331EB"/>
    <w:rsid w:val="005332EF"/>
    <w:rsid w:val="005333AC"/>
    <w:rsid w:val="00533776"/>
    <w:rsid w:val="00533952"/>
    <w:rsid w:val="0053398E"/>
    <w:rsid w:val="00533A3D"/>
    <w:rsid w:val="00533A93"/>
    <w:rsid w:val="00533B66"/>
    <w:rsid w:val="00533B7A"/>
    <w:rsid w:val="00533CB9"/>
    <w:rsid w:val="00533DEE"/>
    <w:rsid w:val="00533E3C"/>
    <w:rsid w:val="00533ED1"/>
    <w:rsid w:val="00533F94"/>
    <w:rsid w:val="005340DB"/>
    <w:rsid w:val="005340E0"/>
    <w:rsid w:val="005349DF"/>
    <w:rsid w:val="00534A21"/>
    <w:rsid w:val="00534FDA"/>
    <w:rsid w:val="00535034"/>
    <w:rsid w:val="005350B9"/>
    <w:rsid w:val="0053510B"/>
    <w:rsid w:val="00535222"/>
    <w:rsid w:val="00535381"/>
    <w:rsid w:val="00535A91"/>
    <w:rsid w:val="00535C1C"/>
    <w:rsid w:val="0053615A"/>
    <w:rsid w:val="00536317"/>
    <w:rsid w:val="00536452"/>
    <w:rsid w:val="00536891"/>
    <w:rsid w:val="00536A94"/>
    <w:rsid w:val="00536C3E"/>
    <w:rsid w:val="00536F4F"/>
    <w:rsid w:val="00536F81"/>
    <w:rsid w:val="00536FF3"/>
    <w:rsid w:val="0053710E"/>
    <w:rsid w:val="00537A0E"/>
    <w:rsid w:val="00537A98"/>
    <w:rsid w:val="00537C13"/>
    <w:rsid w:val="00537C8F"/>
    <w:rsid w:val="00537CA6"/>
    <w:rsid w:val="00540259"/>
    <w:rsid w:val="0054045B"/>
    <w:rsid w:val="005407D7"/>
    <w:rsid w:val="00540B09"/>
    <w:rsid w:val="00540C94"/>
    <w:rsid w:val="00540D8F"/>
    <w:rsid w:val="0054114A"/>
    <w:rsid w:val="00541196"/>
    <w:rsid w:val="00541218"/>
    <w:rsid w:val="005412BF"/>
    <w:rsid w:val="00541477"/>
    <w:rsid w:val="00541522"/>
    <w:rsid w:val="00541797"/>
    <w:rsid w:val="00541C57"/>
    <w:rsid w:val="00541D7B"/>
    <w:rsid w:val="00541E95"/>
    <w:rsid w:val="00541FED"/>
    <w:rsid w:val="00542584"/>
    <w:rsid w:val="00542C6A"/>
    <w:rsid w:val="00542C7B"/>
    <w:rsid w:val="00542C84"/>
    <w:rsid w:val="00542D0E"/>
    <w:rsid w:val="00542DA3"/>
    <w:rsid w:val="005430BE"/>
    <w:rsid w:val="00543489"/>
    <w:rsid w:val="005435EF"/>
    <w:rsid w:val="0054377E"/>
    <w:rsid w:val="005439F1"/>
    <w:rsid w:val="00543BFE"/>
    <w:rsid w:val="00544027"/>
    <w:rsid w:val="0054404D"/>
    <w:rsid w:val="0054442B"/>
    <w:rsid w:val="005446C6"/>
    <w:rsid w:val="005448D3"/>
    <w:rsid w:val="005449B4"/>
    <w:rsid w:val="00544B93"/>
    <w:rsid w:val="00544CB4"/>
    <w:rsid w:val="00544EB2"/>
    <w:rsid w:val="00544F03"/>
    <w:rsid w:val="00544F8B"/>
    <w:rsid w:val="00545182"/>
    <w:rsid w:val="005451A4"/>
    <w:rsid w:val="0054526B"/>
    <w:rsid w:val="00545935"/>
    <w:rsid w:val="00545B8B"/>
    <w:rsid w:val="00545C87"/>
    <w:rsid w:val="0054604A"/>
    <w:rsid w:val="005461C3"/>
    <w:rsid w:val="0054635C"/>
    <w:rsid w:val="0054640F"/>
    <w:rsid w:val="0054643D"/>
    <w:rsid w:val="0054644E"/>
    <w:rsid w:val="00546857"/>
    <w:rsid w:val="00546878"/>
    <w:rsid w:val="005468FE"/>
    <w:rsid w:val="005469DD"/>
    <w:rsid w:val="005469EC"/>
    <w:rsid w:val="0054706A"/>
    <w:rsid w:val="0054709F"/>
    <w:rsid w:val="0054717F"/>
    <w:rsid w:val="00547E48"/>
    <w:rsid w:val="00550309"/>
    <w:rsid w:val="0055079B"/>
    <w:rsid w:val="005507B7"/>
    <w:rsid w:val="00550896"/>
    <w:rsid w:val="005509B3"/>
    <w:rsid w:val="00550A23"/>
    <w:rsid w:val="00550DD0"/>
    <w:rsid w:val="00550E73"/>
    <w:rsid w:val="005510D1"/>
    <w:rsid w:val="00551249"/>
    <w:rsid w:val="005512AC"/>
    <w:rsid w:val="005514F9"/>
    <w:rsid w:val="0055158B"/>
    <w:rsid w:val="005515D1"/>
    <w:rsid w:val="00551646"/>
    <w:rsid w:val="00551754"/>
    <w:rsid w:val="0055189D"/>
    <w:rsid w:val="00551D16"/>
    <w:rsid w:val="00552100"/>
    <w:rsid w:val="00552472"/>
    <w:rsid w:val="005524D9"/>
    <w:rsid w:val="00552820"/>
    <w:rsid w:val="00552C1A"/>
    <w:rsid w:val="00552C3D"/>
    <w:rsid w:val="00552C4B"/>
    <w:rsid w:val="00552E09"/>
    <w:rsid w:val="00552E89"/>
    <w:rsid w:val="00553324"/>
    <w:rsid w:val="00553503"/>
    <w:rsid w:val="00553616"/>
    <w:rsid w:val="005539D1"/>
    <w:rsid w:val="00553C10"/>
    <w:rsid w:val="00553C96"/>
    <w:rsid w:val="00553CA0"/>
    <w:rsid w:val="00553DC5"/>
    <w:rsid w:val="00553F4A"/>
    <w:rsid w:val="00554197"/>
    <w:rsid w:val="00554250"/>
    <w:rsid w:val="0055425D"/>
    <w:rsid w:val="005548E8"/>
    <w:rsid w:val="00554A6F"/>
    <w:rsid w:val="00554B92"/>
    <w:rsid w:val="00554E06"/>
    <w:rsid w:val="00555013"/>
    <w:rsid w:val="00555200"/>
    <w:rsid w:val="0055535C"/>
    <w:rsid w:val="00555589"/>
    <w:rsid w:val="005555EF"/>
    <w:rsid w:val="00555607"/>
    <w:rsid w:val="00555706"/>
    <w:rsid w:val="005557F7"/>
    <w:rsid w:val="00555911"/>
    <w:rsid w:val="00555D0E"/>
    <w:rsid w:val="00555D19"/>
    <w:rsid w:val="00555EE5"/>
    <w:rsid w:val="005561DC"/>
    <w:rsid w:val="00556342"/>
    <w:rsid w:val="005567FE"/>
    <w:rsid w:val="00556C79"/>
    <w:rsid w:val="00556EC8"/>
    <w:rsid w:val="00557495"/>
    <w:rsid w:val="005575C0"/>
    <w:rsid w:val="005576EE"/>
    <w:rsid w:val="0055793E"/>
    <w:rsid w:val="00557CF4"/>
    <w:rsid w:val="00557E3D"/>
    <w:rsid w:val="00557F53"/>
    <w:rsid w:val="005600D5"/>
    <w:rsid w:val="00560154"/>
    <w:rsid w:val="005601D4"/>
    <w:rsid w:val="00560247"/>
    <w:rsid w:val="00560283"/>
    <w:rsid w:val="00560A3E"/>
    <w:rsid w:val="00560C1B"/>
    <w:rsid w:val="005612BA"/>
    <w:rsid w:val="0056169E"/>
    <w:rsid w:val="005617E1"/>
    <w:rsid w:val="005618DC"/>
    <w:rsid w:val="005619CC"/>
    <w:rsid w:val="00561AB8"/>
    <w:rsid w:val="00561C46"/>
    <w:rsid w:val="00561D45"/>
    <w:rsid w:val="00561DDE"/>
    <w:rsid w:val="00562096"/>
    <w:rsid w:val="005624A1"/>
    <w:rsid w:val="00562564"/>
    <w:rsid w:val="00562868"/>
    <w:rsid w:val="005630D8"/>
    <w:rsid w:val="005630EE"/>
    <w:rsid w:val="005631B8"/>
    <w:rsid w:val="0056349E"/>
    <w:rsid w:val="00563722"/>
    <w:rsid w:val="00563A95"/>
    <w:rsid w:val="00563AD5"/>
    <w:rsid w:val="00563F55"/>
    <w:rsid w:val="00563F8C"/>
    <w:rsid w:val="00564462"/>
    <w:rsid w:val="005646CF"/>
    <w:rsid w:val="0056474C"/>
    <w:rsid w:val="00564807"/>
    <w:rsid w:val="00564B51"/>
    <w:rsid w:val="00564C01"/>
    <w:rsid w:val="00564CEC"/>
    <w:rsid w:val="00564DE6"/>
    <w:rsid w:val="00564E74"/>
    <w:rsid w:val="005653A3"/>
    <w:rsid w:val="005653EF"/>
    <w:rsid w:val="00565500"/>
    <w:rsid w:val="005655D1"/>
    <w:rsid w:val="00565698"/>
    <w:rsid w:val="005657D6"/>
    <w:rsid w:val="005657DE"/>
    <w:rsid w:val="005659DE"/>
    <w:rsid w:val="00565B6B"/>
    <w:rsid w:val="00565B83"/>
    <w:rsid w:val="00565BBE"/>
    <w:rsid w:val="00565DB8"/>
    <w:rsid w:val="005666AB"/>
    <w:rsid w:val="005668FD"/>
    <w:rsid w:val="005669AF"/>
    <w:rsid w:val="00566A3A"/>
    <w:rsid w:val="00566B25"/>
    <w:rsid w:val="00566B60"/>
    <w:rsid w:val="00566EB2"/>
    <w:rsid w:val="00566F0E"/>
    <w:rsid w:val="00567374"/>
    <w:rsid w:val="0056750B"/>
    <w:rsid w:val="00567781"/>
    <w:rsid w:val="0056792B"/>
    <w:rsid w:val="00567A83"/>
    <w:rsid w:val="00570706"/>
    <w:rsid w:val="005709E6"/>
    <w:rsid w:val="00570A2B"/>
    <w:rsid w:val="00570B5C"/>
    <w:rsid w:val="00570C99"/>
    <w:rsid w:val="00570CCA"/>
    <w:rsid w:val="005710A4"/>
    <w:rsid w:val="00571102"/>
    <w:rsid w:val="00571118"/>
    <w:rsid w:val="005713E7"/>
    <w:rsid w:val="0057147F"/>
    <w:rsid w:val="005715E5"/>
    <w:rsid w:val="005717D2"/>
    <w:rsid w:val="005718DF"/>
    <w:rsid w:val="00571F5B"/>
    <w:rsid w:val="00571FA0"/>
    <w:rsid w:val="0057203D"/>
    <w:rsid w:val="00572078"/>
    <w:rsid w:val="005724A7"/>
    <w:rsid w:val="00572692"/>
    <w:rsid w:val="005728EC"/>
    <w:rsid w:val="00572AEC"/>
    <w:rsid w:val="00572C0E"/>
    <w:rsid w:val="00572C7F"/>
    <w:rsid w:val="00572CE7"/>
    <w:rsid w:val="00572F79"/>
    <w:rsid w:val="00573157"/>
    <w:rsid w:val="0057368C"/>
    <w:rsid w:val="005738CB"/>
    <w:rsid w:val="005740BA"/>
    <w:rsid w:val="00574398"/>
    <w:rsid w:val="0057496F"/>
    <w:rsid w:val="005749BB"/>
    <w:rsid w:val="005749C7"/>
    <w:rsid w:val="00574C24"/>
    <w:rsid w:val="00574CD2"/>
    <w:rsid w:val="00575250"/>
    <w:rsid w:val="005754C9"/>
    <w:rsid w:val="00575625"/>
    <w:rsid w:val="00575830"/>
    <w:rsid w:val="00575917"/>
    <w:rsid w:val="00575D68"/>
    <w:rsid w:val="00575D8A"/>
    <w:rsid w:val="00575DC7"/>
    <w:rsid w:val="00575EAD"/>
    <w:rsid w:val="0057636E"/>
    <w:rsid w:val="005763C4"/>
    <w:rsid w:val="0057691F"/>
    <w:rsid w:val="00576A2B"/>
    <w:rsid w:val="00576B0E"/>
    <w:rsid w:val="00576CA2"/>
    <w:rsid w:val="00576CD8"/>
    <w:rsid w:val="00576E88"/>
    <w:rsid w:val="00576EF8"/>
    <w:rsid w:val="005771BF"/>
    <w:rsid w:val="00577216"/>
    <w:rsid w:val="00577272"/>
    <w:rsid w:val="00577647"/>
    <w:rsid w:val="00577719"/>
    <w:rsid w:val="0057771D"/>
    <w:rsid w:val="0057788F"/>
    <w:rsid w:val="00577A42"/>
    <w:rsid w:val="00577C02"/>
    <w:rsid w:val="00577CC7"/>
    <w:rsid w:val="00577FBE"/>
    <w:rsid w:val="00580151"/>
    <w:rsid w:val="0058078C"/>
    <w:rsid w:val="00580B64"/>
    <w:rsid w:val="00580CDE"/>
    <w:rsid w:val="00580DD5"/>
    <w:rsid w:val="00580F40"/>
    <w:rsid w:val="00581129"/>
    <w:rsid w:val="0058117F"/>
    <w:rsid w:val="00581356"/>
    <w:rsid w:val="005816CD"/>
    <w:rsid w:val="0058196E"/>
    <w:rsid w:val="00581C0C"/>
    <w:rsid w:val="005820CD"/>
    <w:rsid w:val="005823A4"/>
    <w:rsid w:val="0058247C"/>
    <w:rsid w:val="005826B5"/>
    <w:rsid w:val="0058275C"/>
    <w:rsid w:val="005829DA"/>
    <w:rsid w:val="00582C32"/>
    <w:rsid w:val="00582C69"/>
    <w:rsid w:val="00582D21"/>
    <w:rsid w:val="005830B9"/>
    <w:rsid w:val="0058324B"/>
    <w:rsid w:val="005833DE"/>
    <w:rsid w:val="00583827"/>
    <w:rsid w:val="0058386E"/>
    <w:rsid w:val="00583AFF"/>
    <w:rsid w:val="00584189"/>
    <w:rsid w:val="005843E0"/>
    <w:rsid w:val="00584426"/>
    <w:rsid w:val="00584437"/>
    <w:rsid w:val="005844CA"/>
    <w:rsid w:val="00584913"/>
    <w:rsid w:val="00584972"/>
    <w:rsid w:val="00584AB9"/>
    <w:rsid w:val="00584D93"/>
    <w:rsid w:val="0058501F"/>
    <w:rsid w:val="005851FD"/>
    <w:rsid w:val="00585272"/>
    <w:rsid w:val="005854E7"/>
    <w:rsid w:val="00585A5E"/>
    <w:rsid w:val="00585D90"/>
    <w:rsid w:val="00585D9E"/>
    <w:rsid w:val="00585FA9"/>
    <w:rsid w:val="00586271"/>
    <w:rsid w:val="005862BD"/>
    <w:rsid w:val="005864B1"/>
    <w:rsid w:val="00586728"/>
    <w:rsid w:val="005869DC"/>
    <w:rsid w:val="00586F56"/>
    <w:rsid w:val="00586F8E"/>
    <w:rsid w:val="005872CA"/>
    <w:rsid w:val="00587520"/>
    <w:rsid w:val="005875AE"/>
    <w:rsid w:val="005878A6"/>
    <w:rsid w:val="005879D8"/>
    <w:rsid w:val="00587B41"/>
    <w:rsid w:val="00587C14"/>
    <w:rsid w:val="0059019B"/>
    <w:rsid w:val="00590227"/>
    <w:rsid w:val="00590360"/>
    <w:rsid w:val="00590404"/>
    <w:rsid w:val="0059044D"/>
    <w:rsid w:val="005904B7"/>
    <w:rsid w:val="00590704"/>
    <w:rsid w:val="00590719"/>
    <w:rsid w:val="00590A32"/>
    <w:rsid w:val="00590D29"/>
    <w:rsid w:val="00590FDD"/>
    <w:rsid w:val="0059130E"/>
    <w:rsid w:val="005913C1"/>
    <w:rsid w:val="00591A75"/>
    <w:rsid w:val="00591BBC"/>
    <w:rsid w:val="00592102"/>
    <w:rsid w:val="005924E4"/>
    <w:rsid w:val="0059283F"/>
    <w:rsid w:val="005928C2"/>
    <w:rsid w:val="00592D61"/>
    <w:rsid w:val="00592D67"/>
    <w:rsid w:val="00592F7B"/>
    <w:rsid w:val="00593010"/>
    <w:rsid w:val="005930BE"/>
    <w:rsid w:val="005933F1"/>
    <w:rsid w:val="00593479"/>
    <w:rsid w:val="005934D8"/>
    <w:rsid w:val="00593700"/>
    <w:rsid w:val="005937F4"/>
    <w:rsid w:val="00593D16"/>
    <w:rsid w:val="0059408F"/>
    <w:rsid w:val="00594090"/>
    <w:rsid w:val="005940A5"/>
    <w:rsid w:val="0059428A"/>
    <w:rsid w:val="0059441E"/>
    <w:rsid w:val="0059459E"/>
    <w:rsid w:val="005946F7"/>
    <w:rsid w:val="0059481D"/>
    <w:rsid w:val="00594BA3"/>
    <w:rsid w:val="00594C27"/>
    <w:rsid w:val="00594F10"/>
    <w:rsid w:val="00594F8D"/>
    <w:rsid w:val="00595043"/>
    <w:rsid w:val="0059515B"/>
    <w:rsid w:val="00595299"/>
    <w:rsid w:val="005952D6"/>
    <w:rsid w:val="00595337"/>
    <w:rsid w:val="005954C7"/>
    <w:rsid w:val="005956D1"/>
    <w:rsid w:val="00595745"/>
    <w:rsid w:val="00595A79"/>
    <w:rsid w:val="00595CEC"/>
    <w:rsid w:val="00595DCA"/>
    <w:rsid w:val="00595DFD"/>
    <w:rsid w:val="00595F4E"/>
    <w:rsid w:val="00596035"/>
    <w:rsid w:val="005960F4"/>
    <w:rsid w:val="00596160"/>
    <w:rsid w:val="00596881"/>
    <w:rsid w:val="00596C06"/>
    <w:rsid w:val="00596C4B"/>
    <w:rsid w:val="00596E02"/>
    <w:rsid w:val="0059745D"/>
    <w:rsid w:val="005974E8"/>
    <w:rsid w:val="0059767B"/>
    <w:rsid w:val="005979C0"/>
    <w:rsid w:val="00597B83"/>
    <w:rsid w:val="00597BAB"/>
    <w:rsid w:val="00597E17"/>
    <w:rsid w:val="005A0164"/>
    <w:rsid w:val="005A047F"/>
    <w:rsid w:val="005A05B3"/>
    <w:rsid w:val="005A05E6"/>
    <w:rsid w:val="005A0681"/>
    <w:rsid w:val="005A07C3"/>
    <w:rsid w:val="005A08A5"/>
    <w:rsid w:val="005A0A97"/>
    <w:rsid w:val="005A0E72"/>
    <w:rsid w:val="005A0FBA"/>
    <w:rsid w:val="005A0FE7"/>
    <w:rsid w:val="005A1042"/>
    <w:rsid w:val="005A106E"/>
    <w:rsid w:val="005A10D3"/>
    <w:rsid w:val="005A1AD1"/>
    <w:rsid w:val="005A1AFD"/>
    <w:rsid w:val="005A1C03"/>
    <w:rsid w:val="005A1E8E"/>
    <w:rsid w:val="005A1FCF"/>
    <w:rsid w:val="005A22D0"/>
    <w:rsid w:val="005A2461"/>
    <w:rsid w:val="005A29A1"/>
    <w:rsid w:val="005A2CF2"/>
    <w:rsid w:val="005A2E20"/>
    <w:rsid w:val="005A2ECE"/>
    <w:rsid w:val="005A2F46"/>
    <w:rsid w:val="005A30D5"/>
    <w:rsid w:val="005A323D"/>
    <w:rsid w:val="005A335F"/>
    <w:rsid w:val="005A35A5"/>
    <w:rsid w:val="005A363D"/>
    <w:rsid w:val="005A3DC9"/>
    <w:rsid w:val="005A4174"/>
    <w:rsid w:val="005A43A6"/>
    <w:rsid w:val="005A4440"/>
    <w:rsid w:val="005A45F8"/>
    <w:rsid w:val="005A4649"/>
    <w:rsid w:val="005A49A3"/>
    <w:rsid w:val="005A4ABB"/>
    <w:rsid w:val="005A4C81"/>
    <w:rsid w:val="005A4D2B"/>
    <w:rsid w:val="005A51BE"/>
    <w:rsid w:val="005A55C9"/>
    <w:rsid w:val="005A59F8"/>
    <w:rsid w:val="005A60F6"/>
    <w:rsid w:val="005A611B"/>
    <w:rsid w:val="005A6133"/>
    <w:rsid w:val="005A61C3"/>
    <w:rsid w:val="005A61FC"/>
    <w:rsid w:val="005A625A"/>
    <w:rsid w:val="005A63C8"/>
    <w:rsid w:val="005A63D4"/>
    <w:rsid w:val="005A65A8"/>
    <w:rsid w:val="005A69C9"/>
    <w:rsid w:val="005A71AD"/>
    <w:rsid w:val="005A757A"/>
    <w:rsid w:val="005A75DD"/>
    <w:rsid w:val="005A77C5"/>
    <w:rsid w:val="005A79DE"/>
    <w:rsid w:val="005A7CAE"/>
    <w:rsid w:val="005A7CF0"/>
    <w:rsid w:val="005B04EA"/>
    <w:rsid w:val="005B0C86"/>
    <w:rsid w:val="005B0D2D"/>
    <w:rsid w:val="005B0F3E"/>
    <w:rsid w:val="005B12A4"/>
    <w:rsid w:val="005B1444"/>
    <w:rsid w:val="005B1458"/>
    <w:rsid w:val="005B1881"/>
    <w:rsid w:val="005B1B46"/>
    <w:rsid w:val="005B1C93"/>
    <w:rsid w:val="005B1D02"/>
    <w:rsid w:val="005B1F8E"/>
    <w:rsid w:val="005B2554"/>
    <w:rsid w:val="005B25E4"/>
    <w:rsid w:val="005B2635"/>
    <w:rsid w:val="005B266C"/>
    <w:rsid w:val="005B2862"/>
    <w:rsid w:val="005B28ED"/>
    <w:rsid w:val="005B2A4F"/>
    <w:rsid w:val="005B2AF8"/>
    <w:rsid w:val="005B2E21"/>
    <w:rsid w:val="005B2FD3"/>
    <w:rsid w:val="005B2FEF"/>
    <w:rsid w:val="005B3425"/>
    <w:rsid w:val="005B3E1E"/>
    <w:rsid w:val="005B3F97"/>
    <w:rsid w:val="005B3FF4"/>
    <w:rsid w:val="005B41A8"/>
    <w:rsid w:val="005B44A7"/>
    <w:rsid w:val="005B4713"/>
    <w:rsid w:val="005B47E1"/>
    <w:rsid w:val="005B47E7"/>
    <w:rsid w:val="005B4932"/>
    <w:rsid w:val="005B4A00"/>
    <w:rsid w:val="005B4A60"/>
    <w:rsid w:val="005B4CBF"/>
    <w:rsid w:val="005B4F7C"/>
    <w:rsid w:val="005B523D"/>
    <w:rsid w:val="005B5248"/>
    <w:rsid w:val="005B5417"/>
    <w:rsid w:val="005B54D8"/>
    <w:rsid w:val="005B568C"/>
    <w:rsid w:val="005B5880"/>
    <w:rsid w:val="005B59FC"/>
    <w:rsid w:val="005B5DD9"/>
    <w:rsid w:val="005B5E81"/>
    <w:rsid w:val="005B6008"/>
    <w:rsid w:val="005B609F"/>
    <w:rsid w:val="005B66B6"/>
    <w:rsid w:val="005B6845"/>
    <w:rsid w:val="005B6A9C"/>
    <w:rsid w:val="005B6C09"/>
    <w:rsid w:val="005B6C83"/>
    <w:rsid w:val="005B6D29"/>
    <w:rsid w:val="005B7075"/>
    <w:rsid w:val="005B73AD"/>
    <w:rsid w:val="005B7458"/>
    <w:rsid w:val="005B7467"/>
    <w:rsid w:val="005B759B"/>
    <w:rsid w:val="005B764D"/>
    <w:rsid w:val="005B78F1"/>
    <w:rsid w:val="005B7E6A"/>
    <w:rsid w:val="005B7EDB"/>
    <w:rsid w:val="005BD48E"/>
    <w:rsid w:val="005C003D"/>
    <w:rsid w:val="005C00D5"/>
    <w:rsid w:val="005C024F"/>
    <w:rsid w:val="005C0263"/>
    <w:rsid w:val="005C0407"/>
    <w:rsid w:val="005C0625"/>
    <w:rsid w:val="005C08B6"/>
    <w:rsid w:val="005C0ADE"/>
    <w:rsid w:val="005C0EF1"/>
    <w:rsid w:val="005C0F31"/>
    <w:rsid w:val="005C1550"/>
    <w:rsid w:val="005C1666"/>
    <w:rsid w:val="005C16D9"/>
    <w:rsid w:val="005C19DD"/>
    <w:rsid w:val="005C1C46"/>
    <w:rsid w:val="005C2130"/>
    <w:rsid w:val="005C2176"/>
    <w:rsid w:val="005C21BA"/>
    <w:rsid w:val="005C2532"/>
    <w:rsid w:val="005C2536"/>
    <w:rsid w:val="005C286F"/>
    <w:rsid w:val="005C2896"/>
    <w:rsid w:val="005C2DA5"/>
    <w:rsid w:val="005C2EC3"/>
    <w:rsid w:val="005C2F8D"/>
    <w:rsid w:val="005C32A8"/>
    <w:rsid w:val="005C33DB"/>
    <w:rsid w:val="005C3BA9"/>
    <w:rsid w:val="005C3DCA"/>
    <w:rsid w:val="005C42AC"/>
    <w:rsid w:val="005C4375"/>
    <w:rsid w:val="005C4A7C"/>
    <w:rsid w:val="005C4CB5"/>
    <w:rsid w:val="005C50F6"/>
    <w:rsid w:val="005C5373"/>
    <w:rsid w:val="005C5394"/>
    <w:rsid w:val="005C57D2"/>
    <w:rsid w:val="005C5983"/>
    <w:rsid w:val="005C5997"/>
    <w:rsid w:val="005C5EBF"/>
    <w:rsid w:val="005C63C4"/>
    <w:rsid w:val="005C68F2"/>
    <w:rsid w:val="005C715A"/>
    <w:rsid w:val="005C751F"/>
    <w:rsid w:val="005C7840"/>
    <w:rsid w:val="005C7A48"/>
    <w:rsid w:val="005C7B01"/>
    <w:rsid w:val="005C7D07"/>
    <w:rsid w:val="005C7E47"/>
    <w:rsid w:val="005D0070"/>
    <w:rsid w:val="005D00E3"/>
    <w:rsid w:val="005D01F8"/>
    <w:rsid w:val="005D044E"/>
    <w:rsid w:val="005D058C"/>
    <w:rsid w:val="005D0764"/>
    <w:rsid w:val="005D07A5"/>
    <w:rsid w:val="005D0842"/>
    <w:rsid w:val="005D0990"/>
    <w:rsid w:val="005D0B27"/>
    <w:rsid w:val="005D0EA8"/>
    <w:rsid w:val="005D0F0E"/>
    <w:rsid w:val="005D1148"/>
    <w:rsid w:val="005D1243"/>
    <w:rsid w:val="005D1475"/>
    <w:rsid w:val="005D15F0"/>
    <w:rsid w:val="005D1620"/>
    <w:rsid w:val="005D1AA3"/>
    <w:rsid w:val="005D1DD8"/>
    <w:rsid w:val="005D1F41"/>
    <w:rsid w:val="005D1F5F"/>
    <w:rsid w:val="005D2262"/>
    <w:rsid w:val="005D2458"/>
    <w:rsid w:val="005D270F"/>
    <w:rsid w:val="005D2B18"/>
    <w:rsid w:val="005D302E"/>
    <w:rsid w:val="005D327A"/>
    <w:rsid w:val="005D3460"/>
    <w:rsid w:val="005D3A49"/>
    <w:rsid w:val="005D3C31"/>
    <w:rsid w:val="005D3D7B"/>
    <w:rsid w:val="005D3DC5"/>
    <w:rsid w:val="005D404A"/>
    <w:rsid w:val="005D42C7"/>
    <w:rsid w:val="005D4362"/>
    <w:rsid w:val="005D4558"/>
    <w:rsid w:val="005D477B"/>
    <w:rsid w:val="005D48B7"/>
    <w:rsid w:val="005D493B"/>
    <w:rsid w:val="005D4A88"/>
    <w:rsid w:val="005D4DB6"/>
    <w:rsid w:val="005D522B"/>
    <w:rsid w:val="005D5378"/>
    <w:rsid w:val="005D543A"/>
    <w:rsid w:val="005D5473"/>
    <w:rsid w:val="005D579F"/>
    <w:rsid w:val="005D5967"/>
    <w:rsid w:val="005D5A18"/>
    <w:rsid w:val="005D5B46"/>
    <w:rsid w:val="005D5C46"/>
    <w:rsid w:val="005D5D11"/>
    <w:rsid w:val="005D5D75"/>
    <w:rsid w:val="005D5DA6"/>
    <w:rsid w:val="005D5DB1"/>
    <w:rsid w:val="005D60AF"/>
    <w:rsid w:val="005D6339"/>
    <w:rsid w:val="005D6371"/>
    <w:rsid w:val="005D6400"/>
    <w:rsid w:val="005D6420"/>
    <w:rsid w:val="005D6892"/>
    <w:rsid w:val="005D6A18"/>
    <w:rsid w:val="005D6CC2"/>
    <w:rsid w:val="005D706C"/>
    <w:rsid w:val="005D7653"/>
    <w:rsid w:val="005D77AD"/>
    <w:rsid w:val="005D7AB8"/>
    <w:rsid w:val="005E031C"/>
    <w:rsid w:val="005E03FD"/>
    <w:rsid w:val="005E04C1"/>
    <w:rsid w:val="005E0675"/>
    <w:rsid w:val="005E069B"/>
    <w:rsid w:val="005E083E"/>
    <w:rsid w:val="005E0925"/>
    <w:rsid w:val="005E0A25"/>
    <w:rsid w:val="005E0A8C"/>
    <w:rsid w:val="005E0C02"/>
    <w:rsid w:val="005E0C6B"/>
    <w:rsid w:val="005E0F52"/>
    <w:rsid w:val="005E151F"/>
    <w:rsid w:val="005E158E"/>
    <w:rsid w:val="005E15DF"/>
    <w:rsid w:val="005E15FB"/>
    <w:rsid w:val="005E1646"/>
    <w:rsid w:val="005E1955"/>
    <w:rsid w:val="005E1C6C"/>
    <w:rsid w:val="005E1CEB"/>
    <w:rsid w:val="005E1F28"/>
    <w:rsid w:val="005E1F88"/>
    <w:rsid w:val="005E1FC8"/>
    <w:rsid w:val="005E211C"/>
    <w:rsid w:val="005E22CC"/>
    <w:rsid w:val="005E2310"/>
    <w:rsid w:val="005E2757"/>
    <w:rsid w:val="005E293F"/>
    <w:rsid w:val="005E2975"/>
    <w:rsid w:val="005E29E8"/>
    <w:rsid w:val="005E2C75"/>
    <w:rsid w:val="005E2E9B"/>
    <w:rsid w:val="005E3142"/>
    <w:rsid w:val="005E34DC"/>
    <w:rsid w:val="005E35B4"/>
    <w:rsid w:val="005E3CA5"/>
    <w:rsid w:val="005E3EF3"/>
    <w:rsid w:val="005E4036"/>
    <w:rsid w:val="005E4233"/>
    <w:rsid w:val="005E4257"/>
    <w:rsid w:val="005E4574"/>
    <w:rsid w:val="005E46CB"/>
    <w:rsid w:val="005E49A4"/>
    <w:rsid w:val="005E4B47"/>
    <w:rsid w:val="005E4CB4"/>
    <w:rsid w:val="005E4DF5"/>
    <w:rsid w:val="005E526B"/>
    <w:rsid w:val="005E5CE2"/>
    <w:rsid w:val="005E5EE4"/>
    <w:rsid w:val="005E6039"/>
    <w:rsid w:val="005E67F6"/>
    <w:rsid w:val="005E6A2A"/>
    <w:rsid w:val="005E6AD7"/>
    <w:rsid w:val="005E75EC"/>
    <w:rsid w:val="005E795F"/>
    <w:rsid w:val="005E798E"/>
    <w:rsid w:val="005E7B45"/>
    <w:rsid w:val="005ECDF0"/>
    <w:rsid w:val="005F0155"/>
    <w:rsid w:val="005F05A5"/>
    <w:rsid w:val="005F0B00"/>
    <w:rsid w:val="005F0D31"/>
    <w:rsid w:val="005F0D35"/>
    <w:rsid w:val="005F0D86"/>
    <w:rsid w:val="005F0DB5"/>
    <w:rsid w:val="005F0F21"/>
    <w:rsid w:val="005F11BE"/>
    <w:rsid w:val="005F124A"/>
    <w:rsid w:val="005F13DD"/>
    <w:rsid w:val="005F16FE"/>
    <w:rsid w:val="005F18EA"/>
    <w:rsid w:val="005F1BE0"/>
    <w:rsid w:val="005F2356"/>
    <w:rsid w:val="005F2541"/>
    <w:rsid w:val="005F2898"/>
    <w:rsid w:val="005F2B52"/>
    <w:rsid w:val="005F2BCC"/>
    <w:rsid w:val="005F2C19"/>
    <w:rsid w:val="005F2D37"/>
    <w:rsid w:val="005F2FCA"/>
    <w:rsid w:val="005F3083"/>
    <w:rsid w:val="005F319A"/>
    <w:rsid w:val="005F330C"/>
    <w:rsid w:val="005F3566"/>
    <w:rsid w:val="005F3902"/>
    <w:rsid w:val="005F3C15"/>
    <w:rsid w:val="005F3D0F"/>
    <w:rsid w:val="005F3D10"/>
    <w:rsid w:val="005F3F65"/>
    <w:rsid w:val="005F4007"/>
    <w:rsid w:val="005F492E"/>
    <w:rsid w:val="005F49B6"/>
    <w:rsid w:val="005F501A"/>
    <w:rsid w:val="005F50E0"/>
    <w:rsid w:val="005F565D"/>
    <w:rsid w:val="005F568D"/>
    <w:rsid w:val="005F56C3"/>
    <w:rsid w:val="005F58A7"/>
    <w:rsid w:val="005F5964"/>
    <w:rsid w:val="005F5BB0"/>
    <w:rsid w:val="005F6450"/>
    <w:rsid w:val="005F6480"/>
    <w:rsid w:val="005F6532"/>
    <w:rsid w:val="005F6748"/>
    <w:rsid w:val="005F6858"/>
    <w:rsid w:val="005F6B35"/>
    <w:rsid w:val="005F6D4C"/>
    <w:rsid w:val="005F6F55"/>
    <w:rsid w:val="005F6FB4"/>
    <w:rsid w:val="005F7035"/>
    <w:rsid w:val="005F7381"/>
    <w:rsid w:val="005F77FD"/>
    <w:rsid w:val="005F785D"/>
    <w:rsid w:val="005F78C6"/>
    <w:rsid w:val="005F7D33"/>
    <w:rsid w:val="005F7DC9"/>
    <w:rsid w:val="005F7E9B"/>
    <w:rsid w:val="005F7FF5"/>
    <w:rsid w:val="0060029D"/>
    <w:rsid w:val="006002A3"/>
    <w:rsid w:val="0060045D"/>
    <w:rsid w:val="006006CF"/>
    <w:rsid w:val="00600847"/>
    <w:rsid w:val="00600996"/>
    <w:rsid w:val="00600C9F"/>
    <w:rsid w:val="00600CE6"/>
    <w:rsid w:val="006011D7"/>
    <w:rsid w:val="00601812"/>
    <w:rsid w:val="00601858"/>
    <w:rsid w:val="00601DB8"/>
    <w:rsid w:val="00601F0D"/>
    <w:rsid w:val="0060211D"/>
    <w:rsid w:val="0060260F"/>
    <w:rsid w:val="00602BCC"/>
    <w:rsid w:val="00602C29"/>
    <w:rsid w:val="00602E09"/>
    <w:rsid w:val="00602FF4"/>
    <w:rsid w:val="00603262"/>
    <w:rsid w:val="006036FB"/>
    <w:rsid w:val="0060379F"/>
    <w:rsid w:val="00603BB5"/>
    <w:rsid w:val="00603C3C"/>
    <w:rsid w:val="00604243"/>
    <w:rsid w:val="0060441B"/>
    <w:rsid w:val="0060459D"/>
    <w:rsid w:val="00604BA9"/>
    <w:rsid w:val="00604D87"/>
    <w:rsid w:val="006051DF"/>
    <w:rsid w:val="00605572"/>
    <w:rsid w:val="00605633"/>
    <w:rsid w:val="00605754"/>
    <w:rsid w:val="0060591C"/>
    <w:rsid w:val="00605A84"/>
    <w:rsid w:val="00605D6B"/>
    <w:rsid w:val="00605DBE"/>
    <w:rsid w:val="0060601A"/>
    <w:rsid w:val="00606156"/>
    <w:rsid w:val="006061AF"/>
    <w:rsid w:val="006061D5"/>
    <w:rsid w:val="006063B5"/>
    <w:rsid w:val="006064E0"/>
    <w:rsid w:val="006066D4"/>
    <w:rsid w:val="00606814"/>
    <w:rsid w:val="0060694D"/>
    <w:rsid w:val="00606AC6"/>
    <w:rsid w:val="00606B0C"/>
    <w:rsid w:val="00606BA4"/>
    <w:rsid w:val="00606C59"/>
    <w:rsid w:val="00606C7F"/>
    <w:rsid w:val="00606CC5"/>
    <w:rsid w:val="00606DF9"/>
    <w:rsid w:val="00606FE9"/>
    <w:rsid w:val="0060742A"/>
    <w:rsid w:val="006074B0"/>
    <w:rsid w:val="0060794C"/>
    <w:rsid w:val="00607C7B"/>
    <w:rsid w:val="006102E9"/>
    <w:rsid w:val="00610625"/>
    <w:rsid w:val="006106E1"/>
    <w:rsid w:val="00610B16"/>
    <w:rsid w:val="00610B88"/>
    <w:rsid w:val="00610C75"/>
    <w:rsid w:val="00610E25"/>
    <w:rsid w:val="006110E2"/>
    <w:rsid w:val="006113F7"/>
    <w:rsid w:val="006114CE"/>
    <w:rsid w:val="006116BA"/>
    <w:rsid w:val="006117C9"/>
    <w:rsid w:val="006118FA"/>
    <w:rsid w:val="006119CF"/>
    <w:rsid w:val="00611CD1"/>
    <w:rsid w:val="00611DBC"/>
    <w:rsid w:val="00611F65"/>
    <w:rsid w:val="00612263"/>
    <w:rsid w:val="006122CB"/>
    <w:rsid w:val="006124C5"/>
    <w:rsid w:val="00612CFF"/>
    <w:rsid w:val="00612DE6"/>
    <w:rsid w:val="00613293"/>
    <w:rsid w:val="006135B3"/>
    <w:rsid w:val="006136E3"/>
    <w:rsid w:val="00613879"/>
    <w:rsid w:val="00613B27"/>
    <w:rsid w:val="00613B34"/>
    <w:rsid w:val="00613BAC"/>
    <w:rsid w:val="00613C69"/>
    <w:rsid w:val="00613E89"/>
    <w:rsid w:val="00613F8B"/>
    <w:rsid w:val="00614036"/>
    <w:rsid w:val="00614398"/>
    <w:rsid w:val="0061449C"/>
    <w:rsid w:val="00614527"/>
    <w:rsid w:val="0061452F"/>
    <w:rsid w:val="0061467C"/>
    <w:rsid w:val="006146BA"/>
    <w:rsid w:val="0061474D"/>
    <w:rsid w:val="00614B33"/>
    <w:rsid w:val="00614DA0"/>
    <w:rsid w:val="0061504B"/>
    <w:rsid w:val="006151F6"/>
    <w:rsid w:val="0061576E"/>
    <w:rsid w:val="00615944"/>
    <w:rsid w:val="00615CD3"/>
    <w:rsid w:val="00615D28"/>
    <w:rsid w:val="00615EF0"/>
    <w:rsid w:val="00615FFC"/>
    <w:rsid w:val="00616188"/>
    <w:rsid w:val="006162F8"/>
    <w:rsid w:val="00616797"/>
    <w:rsid w:val="00616A0C"/>
    <w:rsid w:val="00616BB9"/>
    <w:rsid w:val="00617100"/>
    <w:rsid w:val="00617707"/>
    <w:rsid w:val="00617A51"/>
    <w:rsid w:val="00617AAD"/>
    <w:rsid w:val="0062027D"/>
    <w:rsid w:val="00620286"/>
    <w:rsid w:val="00620604"/>
    <w:rsid w:val="00620A8A"/>
    <w:rsid w:val="00620B08"/>
    <w:rsid w:val="00620B36"/>
    <w:rsid w:val="006211DE"/>
    <w:rsid w:val="006211EA"/>
    <w:rsid w:val="006215D4"/>
    <w:rsid w:val="00621AE6"/>
    <w:rsid w:val="00621DED"/>
    <w:rsid w:val="0062201C"/>
    <w:rsid w:val="006225AE"/>
    <w:rsid w:val="006227ED"/>
    <w:rsid w:val="00622C99"/>
    <w:rsid w:val="006230F7"/>
    <w:rsid w:val="00623324"/>
    <w:rsid w:val="0062338C"/>
    <w:rsid w:val="006234C6"/>
    <w:rsid w:val="006235C0"/>
    <w:rsid w:val="006237A3"/>
    <w:rsid w:val="00623940"/>
    <w:rsid w:val="00623A26"/>
    <w:rsid w:val="00623B3B"/>
    <w:rsid w:val="00624043"/>
    <w:rsid w:val="006242E7"/>
    <w:rsid w:val="00624317"/>
    <w:rsid w:val="0062456A"/>
    <w:rsid w:val="00624A39"/>
    <w:rsid w:val="00624AED"/>
    <w:rsid w:val="00624BE4"/>
    <w:rsid w:val="00624CAC"/>
    <w:rsid w:val="00625077"/>
    <w:rsid w:val="00625099"/>
    <w:rsid w:val="00625146"/>
    <w:rsid w:val="0062516B"/>
    <w:rsid w:val="006252AB"/>
    <w:rsid w:val="006252C7"/>
    <w:rsid w:val="006253C7"/>
    <w:rsid w:val="00625654"/>
    <w:rsid w:val="006257E3"/>
    <w:rsid w:val="00625A8F"/>
    <w:rsid w:val="00625B05"/>
    <w:rsid w:val="00625C46"/>
    <w:rsid w:val="00625C60"/>
    <w:rsid w:val="00625DCE"/>
    <w:rsid w:val="00625FD8"/>
    <w:rsid w:val="00626314"/>
    <w:rsid w:val="00626469"/>
    <w:rsid w:val="006264D0"/>
    <w:rsid w:val="0062656C"/>
    <w:rsid w:val="00626692"/>
    <w:rsid w:val="0062676B"/>
    <w:rsid w:val="00626BBD"/>
    <w:rsid w:val="00626F59"/>
    <w:rsid w:val="0062717F"/>
    <w:rsid w:val="0062721A"/>
    <w:rsid w:val="00627324"/>
    <w:rsid w:val="0062760E"/>
    <w:rsid w:val="00627765"/>
    <w:rsid w:val="00627864"/>
    <w:rsid w:val="00627ACE"/>
    <w:rsid w:val="00627E84"/>
    <w:rsid w:val="00627EE0"/>
    <w:rsid w:val="00627F92"/>
    <w:rsid w:val="00630013"/>
    <w:rsid w:val="006300D4"/>
    <w:rsid w:val="0063027F"/>
    <w:rsid w:val="00630426"/>
    <w:rsid w:val="0063044F"/>
    <w:rsid w:val="0063073E"/>
    <w:rsid w:val="00630A68"/>
    <w:rsid w:val="00630A90"/>
    <w:rsid w:val="00630F45"/>
    <w:rsid w:val="006310F0"/>
    <w:rsid w:val="006310FF"/>
    <w:rsid w:val="00631166"/>
    <w:rsid w:val="00631219"/>
    <w:rsid w:val="0063129A"/>
    <w:rsid w:val="00631837"/>
    <w:rsid w:val="00631965"/>
    <w:rsid w:val="0063198C"/>
    <w:rsid w:val="00631A6F"/>
    <w:rsid w:val="00631A95"/>
    <w:rsid w:val="00631E4E"/>
    <w:rsid w:val="00631E8A"/>
    <w:rsid w:val="00631FF7"/>
    <w:rsid w:val="0063233C"/>
    <w:rsid w:val="006324C5"/>
    <w:rsid w:val="00632683"/>
    <w:rsid w:val="00632832"/>
    <w:rsid w:val="00632E9E"/>
    <w:rsid w:val="00632F35"/>
    <w:rsid w:val="00633028"/>
    <w:rsid w:val="00633094"/>
    <w:rsid w:val="00633465"/>
    <w:rsid w:val="0063355B"/>
    <w:rsid w:val="006336B2"/>
    <w:rsid w:val="00633787"/>
    <w:rsid w:val="00633994"/>
    <w:rsid w:val="006339BE"/>
    <w:rsid w:val="00633A5C"/>
    <w:rsid w:val="00634094"/>
    <w:rsid w:val="00634220"/>
    <w:rsid w:val="0063422D"/>
    <w:rsid w:val="006342F8"/>
    <w:rsid w:val="006343B4"/>
    <w:rsid w:val="0063465A"/>
    <w:rsid w:val="00634706"/>
    <w:rsid w:val="00634F1B"/>
    <w:rsid w:val="0063501B"/>
    <w:rsid w:val="0063509C"/>
    <w:rsid w:val="0063519E"/>
    <w:rsid w:val="006353C4"/>
    <w:rsid w:val="006353DD"/>
    <w:rsid w:val="00635408"/>
    <w:rsid w:val="0063551D"/>
    <w:rsid w:val="00635662"/>
    <w:rsid w:val="006356FA"/>
    <w:rsid w:val="0063574D"/>
    <w:rsid w:val="00635818"/>
    <w:rsid w:val="0063581A"/>
    <w:rsid w:val="00635837"/>
    <w:rsid w:val="00635A5E"/>
    <w:rsid w:val="00635D8D"/>
    <w:rsid w:val="00636056"/>
    <w:rsid w:val="00636111"/>
    <w:rsid w:val="0063628D"/>
    <w:rsid w:val="00636656"/>
    <w:rsid w:val="00636991"/>
    <w:rsid w:val="00636B35"/>
    <w:rsid w:val="00636B3E"/>
    <w:rsid w:val="00636CB0"/>
    <w:rsid w:val="00636E3B"/>
    <w:rsid w:val="006370CD"/>
    <w:rsid w:val="006370FA"/>
    <w:rsid w:val="006373F7"/>
    <w:rsid w:val="0063742B"/>
    <w:rsid w:val="006376EF"/>
    <w:rsid w:val="0063773E"/>
    <w:rsid w:val="00637981"/>
    <w:rsid w:val="006379FF"/>
    <w:rsid w:val="00637E03"/>
    <w:rsid w:val="00637ED0"/>
    <w:rsid w:val="00637F34"/>
    <w:rsid w:val="00637FF2"/>
    <w:rsid w:val="00639E58"/>
    <w:rsid w:val="00640867"/>
    <w:rsid w:val="00640BE1"/>
    <w:rsid w:val="00640E09"/>
    <w:rsid w:val="00640F55"/>
    <w:rsid w:val="00641038"/>
    <w:rsid w:val="00641153"/>
    <w:rsid w:val="006412FC"/>
    <w:rsid w:val="00641412"/>
    <w:rsid w:val="006415D5"/>
    <w:rsid w:val="00641750"/>
    <w:rsid w:val="006417F0"/>
    <w:rsid w:val="006417FD"/>
    <w:rsid w:val="00641EAE"/>
    <w:rsid w:val="006420BC"/>
    <w:rsid w:val="006420FE"/>
    <w:rsid w:val="006421D3"/>
    <w:rsid w:val="006422D6"/>
    <w:rsid w:val="00642426"/>
    <w:rsid w:val="00642593"/>
    <w:rsid w:val="00642749"/>
    <w:rsid w:val="00642844"/>
    <w:rsid w:val="006429B7"/>
    <w:rsid w:val="00642FA1"/>
    <w:rsid w:val="00643042"/>
    <w:rsid w:val="00643105"/>
    <w:rsid w:val="0064324A"/>
    <w:rsid w:val="006434AD"/>
    <w:rsid w:val="00643549"/>
    <w:rsid w:val="006437E9"/>
    <w:rsid w:val="00643F07"/>
    <w:rsid w:val="00643F31"/>
    <w:rsid w:val="00644484"/>
    <w:rsid w:val="006447A3"/>
    <w:rsid w:val="006448BB"/>
    <w:rsid w:val="00644BC5"/>
    <w:rsid w:val="00644E52"/>
    <w:rsid w:val="00645230"/>
    <w:rsid w:val="0064533A"/>
    <w:rsid w:val="00645391"/>
    <w:rsid w:val="006454C0"/>
    <w:rsid w:val="00645839"/>
    <w:rsid w:val="00645864"/>
    <w:rsid w:val="00645A27"/>
    <w:rsid w:val="00645B44"/>
    <w:rsid w:val="00645CB6"/>
    <w:rsid w:val="00645E02"/>
    <w:rsid w:val="00645E57"/>
    <w:rsid w:val="00645F56"/>
    <w:rsid w:val="006461D3"/>
    <w:rsid w:val="006463C2"/>
    <w:rsid w:val="006463FD"/>
    <w:rsid w:val="006464D5"/>
    <w:rsid w:val="006466D1"/>
    <w:rsid w:val="00646738"/>
    <w:rsid w:val="00646828"/>
    <w:rsid w:val="00646878"/>
    <w:rsid w:val="00646A41"/>
    <w:rsid w:val="00646AA5"/>
    <w:rsid w:val="00646B70"/>
    <w:rsid w:val="00646D0F"/>
    <w:rsid w:val="00646D8F"/>
    <w:rsid w:val="00646FD1"/>
    <w:rsid w:val="00647236"/>
    <w:rsid w:val="0064739E"/>
    <w:rsid w:val="00647406"/>
    <w:rsid w:val="006475CB"/>
    <w:rsid w:val="006475ED"/>
    <w:rsid w:val="00647655"/>
    <w:rsid w:val="006478E6"/>
    <w:rsid w:val="00647C2F"/>
    <w:rsid w:val="0065014C"/>
    <w:rsid w:val="00650257"/>
    <w:rsid w:val="006505F2"/>
    <w:rsid w:val="006506FB"/>
    <w:rsid w:val="00650719"/>
    <w:rsid w:val="0065093F"/>
    <w:rsid w:val="00650BE5"/>
    <w:rsid w:val="00650D7D"/>
    <w:rsid w:val="00650E04"/>
    <w:rsid w:val="00651450"/>
    <w:rsid w:val="006516EE"/>
    <w:rsid w:val="00651819"/>
    <w:rsid w:val="00651A6D"/>
    <w:rsid w:val="00651EE9"/>
    <w:rsid w:val="0065222E"/>
    <w:rsid w:val="006522BA"/>
    <w:rsid w:val="006523C5"/>
    <w:rsid w:val="0065299B"/>
    <w:rsid w:val="00652BCC"/>
    <w:rsid w:val="00653283"/>
    <w:rsid w:val="00653427"/>
    <w:rsid w:val="00653AB1"/>
    <w:rsid w:val="00653B56"/>
    <w:rsid w:val="00653F5A"/>
    <w:rsid w:val="00654161"/>
    <w:rsid w:val="006545BB"/>
    <w:rsid w:val="00654B2C"/>
    <w:rsid w:val="00654C6C"/>
    <w:rsid w:val="00654DBD"/>
    <w:rsid w:val="006556AE"/>
    <w:rsid w:val="00655AAA"/>
    <w:rsid w:val="00655BFA"/>
    <w:rsid w:val="00655CCA"/>
    <w:rsid w:val="00655F9A"/>
    <w:rsid w:val="006560D9"/>
    <w:rsid w:val="006562B1"/>
    <w:rsid w:val="0065635E"/>
    <w:rsid w:val="0065638B"/>
    <w:rsid w:val="006563A4"/>
    <w:rsid w:val="0065670E"/>
    <w:rsid w:val="00656921"/>
    <w:rsid w:val="00656BB3"/>
    <w:rsid w:val="0065706A"/>
    <w:rsid w:val="006574E8"/>
    <w:rsid w:val="00657640"/>
    <w:rsid w:val="006579E2"/>
    <w:rsid w:val="00657A85"/>
    <w:rsid w:val="00657F50"/>
    <w:rsid w:val="00657FEC"/>
    <w:rsid w:val="0066028B"/>
    <w:rsid w:val="00660564"/>
    <w:rsid w:val="006605DF"/>
    <w:rsid w:val="00660682"/>
    <w:rsid w:val="006609E7"/>
    <w:rsid w:val="00660A90"/>
    <w:rsid w:val="00660EB5"/>
    <w:rsid w:val="00660EFA"/>
    <w:rsid w:val="0066119F"/>
    <w:rsid w:val="00661462"/>
    <w:rsid w:val="00661973"/>
    <w:rsid w:val="00661BCE"/>
    <w:rsid w:val="00661BDF"/>
    <w:rsid w:val="00661DA6"/>
    <w:rsid w:val="0066214C"/>
    <w:rsid w:val="00662297"/>
    <w:rsid w:val="006623D7"/>
    <w:rsid w:val="0066246D"/>
    <w:rsid w:val="00662C4B"/>
    <w:rsid w:val="00662C72"/>
    <w:rsid w:val="00662F33"/>
    <w:rsid w:val="006630DE"/>
    <w:rsid w:val="006634AE"/>
    <w:rsid w:val="00663921"/>
    <w:rsid w:val="00663BCC"/>
    <w:rsid w:val="00663BF2"/>
    <w:rsid w:val="00663E2E"/>
    <w:rsid w:val="00663F9F"/>
    <w:rsid w:val="006645A3"/>
    <w:rsid w:val="0066496E"/>
    <w:rsid w:val="00664B51"/>
    <w:rsid w:val="00664D91"/>
    <w:rsid w:val="006654A4"/>
    <w:rsid w:val="006654AF"/>
    <w:rsid w:val="006654F7"/>
    <w:rsid w:val="0066555D"/>
    <w:rsid w:val="00665604"/>
    <w:rsid w:val="00665B44"/>
    <w:rsid w:val="00665BDA"/>
    <w:rsid w:val="00665FBD"/>
    <w:rsid w:val="00666143"/>
    <w:rsid w:val="006661BA"/>
    <w:rsid w:val="006663DB"/>
    <w:rsid w:val="0066660F"/>
    <w:rsid w:val="00666831"/>
    <w:rsid w:val="00666A92"/>
    <w:rsid w:val="00666F87"/>
    <w:rsid w:val="00667218"/>
    <w:rsid w:val="0066746E"/>
    <w:rsid w:val="00667586"/>
    <w:rsid w:val="0066772E"/>
    <w:rsid w:val="00667C81"/>
    <w:rsid w:val="00667E32"/>
    <w:rsid w:val="00667EB3"/>
    <w:rsid w:val="00670097"/>
    <w:rsid w:val="006703F4"/>
    <w:rsid w:val="006707FB"/>
    <w:rsid w:val="006709DE"/>
    <w:rsid w:val="00670BF7"/>
    <w:rsid w:val="00670CF5"/>
    <w:rsid w:val="00670DBE"/>
    <w:rsid w:val="00670DEF"/>
    <w:rsid w:val="00670FAD"/>
    <w:rsid w:val="0067122B"/>
    <w:rsid w:val="00671566"/>
    <w:rsid w:val="0067166D"/>
    <w:rsid w:val="006716F9"/>
    <w:rsid w:val="00671AE2"/>
    <w:rsid w:val="00671DED"/>
    <w:rsid w:val="00671ED4"/>
    <w:rsid w:val="00672010"/>
    <w:rsid w:val="0067206B"/>
    <w:rsid w:val="00672645"/>
    <w:rsid w:val="00672828"/>
    <w:rsid w:val="0067289E"/>
    <w:rsid w:val="00672968"/>
    <w:rsid w:val="00672A53"/>
    <w:rsid w:val="00672C71"/>
    <w:rsid w:val="00672D43"/>
    <w:rsid w:val="00673058"/>
    <w:rsid w:val="00673078"/>
    <w:rsid w:val="006732E4"/>
    <w:rsid w:val="00673E9B"/>
    <w:rsid w:val="006744C4"/>
    <w:rsid w:val="0067451F"/>
    <w:rsid w:val="006746F9"/>
    <w:rsid w:val="00674769"/>
    <w:rsid w:val="00674824"/>
    <w:rsid w:val="00674B27"/>
    <w:rsid w:val="00674B2B"/>
    <w:rsid w:val="00674C04"/>
    <w:rsid w:val="00674C68"/>
    <w:rsid w:val="00674CEF"/>
    <w:rsid w:val="00675451"/>
    <w:rsid w:val="0067558C"/>
    <w:rsid w:val="0067588B"/>
    <w:rsid w:val="0067598D"/>
    <w:rsid w:val="00675A11"/>
    <w:rsid w:val="00675A52"/>
    <w:rsid w:val="00675C01"/>
    <w:rsid w:val="00675EC1"/>
    <w:rsid w:val="00675EF6"/>
    <w:rsid w:val="00676004"/>
    <w:rsid w:val="0067690F"/>
    <w:rsid w:val="006769D7"/>
    <w:rsid w:val="00676AA3"/>
    <w:rsid w:val="00676ACC"/>
    <w:rsid w:val="00676BEB"/>
    <w:rsid w:val="00676EC3"/>
    <w:rsid w:val="00677029"/>
    <w:rsid w:val="00677490"/>
    <w:rsid w:val="006775BC"/>
    <w:rsid w:val="00677604"/>
    <w:rsid w:val="0067763E"/>
    <w:rsid w:val="00677674"/>
    <w:rsid w:val="006776BE"/>
    <w:rsid w:val="006777C6"/>
    <w:rsid w:val="00677963"/>
    <w:rsid w:val="0067796C"/>
    <w:rsid w:val="00677D19"/>
    <w:rsid w:val="00677E9A"/>
    <w:rsid w:val="00677F9A"/>
    <w:rsid w:val="0067F08D"/>
    <w:rsid w:val="00680768"/>
    <w:rsid w:val="00680937"/>
    <w:rsid w:val="00680B77"/>
    <w:rsid w:val="00681046"/>
    <w:rsid w:val="00681376"/>
    <w:rsid w:val="006813B2"/>
    <w:rsid w:val="006816C8"/>
    <w:rsid w:val="00681868"/>
    <w:rsid w:val="0068193C"/>
    <w:rsid w:val="0068197C"/>
    <w:rsid w:val="00681AF2"/>
    <w:rsid w:val="00681BEC"/>
    <w:rsid w:val="00681F19"/>
    <w:rsid w:val="00681F2A"/>
    <w:rsid w:val="006820DE"/>
    <w:rsid w:val="006822CE"/>
    <w:rsid w:val="0068238E"/>
    <w:rsid w:val="00682716"/>
    <w:rsid w:val="00682833"/>
    <w:rsid w:val="006828BB"/>
    <w:rsid w:val="0068297A"/>
    <w:rsid w:val="0068308F"/>
    <w:rsid w:val="00683129"/>
    <w:rsid w:val="006832A0"/>
    <w:rsid w:val="0068350C"/>
    <w:rsid w:val="006838EC"/>
    <w:rsid w:val="00683991"/>
    <w:rsid w:val="00683AEB"/>
    <w:rsid w:val="00683B44"/>
    <w:rsid w:val="00683E4F"/>
    <w:rsid w:val="006844D9"/>
    <w:rsid w:val="00684F2D"/>
    <w:rsid w:val="00684F60"/>
    <w:rsid w:val="006853AB"/>
    <w:rsid w:val="00685418"/>
    <w:rsid w:val="0068566D"/>
    <w:rsid w:val="00685673"/>
    <w:rsid w:val="00685F37"/>
    <w:rsid w:val="006867BB"/>
    <w:rsid w:val="006869C6"/>
    <w:rsid w:val="00686D11"/>
    <w:rsid w:val="00686FE5"/>
    <w:rsid w:val="006870C5"/>
    <w:rsid w:val="00687444"/>
    <w:rsid w:val="006875E1"/>
    <w:rsid w:val="0068787B"/>
    <w:rsid w:val="00687C47"/>
    <w:rsid w:val="00687DEF"/>
    <w:rsid w:val="0068B953"/>
    <w:rsid w:val="00690837"/>
    <w:rsid w:val="00690AC8"/>
    <w:rsid w:val="00690B72"/>
    <w:rsid w:val="00690B77"/>
    <w:rsid w:val="00690C8B"/>
    <w:rsid w:val="00690DB1"/>
    <w:rsid w:val="00690DDD"/>
    <w:rsid w:val="00690E15"/>
    <w:rsid w:val="00691145"/>
    <w:rsid w:val="0069117B"/>
    <w:rsid w:val="006911F3"/>
    <w:rsid w:val="00691211"/>
    <w:rsid w:val="006912B9"/>
    <w:rsid w:val="00691476"/>
    <w:rsid w:val="00691894"/>
    <w:rsid w:val="00691C8B"/>
    <w:rsid w:val="00691FEB"/>
    <w:rsid w:val="006922D1"/>
    <w:rsid w:val="0069236E"/>
    <w:rsid w:val="006923AA"/>
    <w:rsid w:val="00692478"/>
    <w:rsid w:val="00692792"/>
    <w:rsid w:val="006928C7"/>
    <w:rsid w:val="006928FE"/>
    <w:rsid w:val="00692E56"/>
    <w:rsid w:val="00692E85"/>
    <w:rsid w:val="00693223"/>
    <w:rsid w:val="00693539"/>
    <w:rsid w:val="006935F0"/>
    <w:rsid w:val="00693CFF"/>
    <w:rsid w:val="006941B8"/>
    <w:rsid w:val="0069450C"/>
    <w:rsid w:val="006947B7"/>
    <w:rsid w:val="006949D0"/>
    <w:rsid w:val="00694A27"/>
    <w:rsid w:val="00694B90"/>
    <w:rsid w:val="00694D12"/>
    <w:rsid w:val="00694EA2"/>
    <w:rsid w:val="006950DF"/>
    <w:rsid w:val="006951B5"/>
    <w:rsid w:val="006958D1"/>
    <w:rsid w:val="00695A98"/>
    <w:rsid w:val="00695F35"/>
    <w:rsid w:val="00695F57"/>
    <w:rsid w:val="00696088"/>
    <w:rsid w:val="0069612B"/>
    <w:rsid w:val="0069675E"/>
    <w:rsid w:val="00696928"/>
    <w:rsid w:val="006969A7"/>
    <w:rsid w:val="00696ED5"/>
    <w:rsid w:val="00696FCC"/>
    <w:rsid w:val="006970DB"/>
    <w:rsid w:val="0069714E"/>
    <w:rsid w:val="00697268"/>
    <w:rsid w:val="00697439"/>
    <w:rsid w:val="0069756E"/>
    <w:rsid w:val="00697858"/>
    <w:rsid w:val="006979D2"/>
    <w:rsid w:val="00697AE1"/>
    <w:rsid w:val="006A0081"/>
    <w:rsid w:val="006A03F3"/>
    <w:rsid w:val="006A043E"/>
    <w:rsid w:val="006A0665"/>
    <w:rsid w:val="006A076F"/>
    <w:rsid w:val="006A0AAA"/>
    <w:rsid w:val="006A0E56"/>
    <w:rsid w:val="006A0E9D"/>
    <w:rsid w:val="006A1513"/>
    <w:rsid w:val="006A1595"/>
    <w:rsid w:val="006A1711"/>
    <w:rsid w:val="006A1735"/>
    <w:rsid w:val="006A1855"/>
    <w:rsid w:val="006A1A6A"/>
    <w:rsid w:val="006A1DC3"/>
    <w:rsid w:val="006A210B"/>
    <w:rsid w:val="006A2346"/>
    <w:rsid w:val="006A2884"/>
    <w:rsid w:val="006A2989"/>
    <w:rsid w:val="006A2B55"/>
    <w:rsid w:val="006A2CC9"/>
    <w:rsid w:val="006A2D93"/>
    <w:rsid w:val="006A30A9"/>
    <w:rsid w:val="006A31D1"/>
    <w:rsid w:val="006A350A"/>
    <w:rsid w:val="006A37D0"/>
    <w:rsid w:val="006A3827"/>
    <w:rsid w:val="006A3975"/>
    <w:rsid w:val="006A3C6D"/>
    <w:rsid w:val="006A3D29"/>
    <w:rsid w:val="006A3D31"/>
    <w:rsid w:val="006A3E24"/>
    <w:rsid w:val="006A4112"/>
    <w:rsid w:val="006A4128"/>
    <w:rsid w:val="006A4415"/>
    <w:rsid w:val="006A48E1"/>
    <w:rsid w:val="006A4C52"/>
    <w:rsid w:val="006A4D5C"/>
    <w:rsid w:val="006A4D73"/>
    <w:rsid w:val="006A4DB6"/>
    <w:rsid w:val="006A4E69"/>
    <w:rsid w:val="006A4F12"/>
    <w:rsid w:val="006A5129"/>
    <w:rsid w:val="006A51BA"/>
    <w:rsid w:val="006A524E"/>
    <w:rsid w:val="006A5557"/>
    <w:rsid w:val="006A55DE"/>
    <w:rsid w:val="006A55EC"/>
    <w:rsid w:val="006A5765"/>
    <w:rsid w:val="006A5799"/>
    <w:rsid w:val="006A57D6"/>
    <w:rsid w:val="006A589E"/>
    <w:rsid w:val="006A5F5A"/>
    <w:rsid w:val="006A606B"/>
    <w:rsid w:val="006A6350"/>
    <w:rsid w:val="006A6411"/>
    <w:rsid w:val="006A6458"/>
    <w:rsid w:val="006A6885"/>
    <w:rsid w:val="006A6BE9"/>
    <w:rsid w:val="006A6C7B"/>
    <w:rsid w:val="006A6C88"/>
    <w:rsid w:val="006A6E6D"/>
    <w:rsid w:val="006A6F3E"/>
    <w:rsid w:val="006A6F5B"/>
    <w:rsid w:val="006A7731"/>
    <w:rsid w:val="006A77AD"/>
    <w:rsid w:val="006A794A"/>
    <w:rsid w:val="006A7AA2"/>
    <w:rsid w:val="006A7B57"/>
    <w:rsid w:val="006A7D27"/>
    <w:rsid w:val="006A7E1D"/>
    <w:rsid w:val="006B001F"/>
    <w:rsid w:val="006B002D"/>
    <w:rsid w:val="006B0045"/>
    <w:rsid w:val="006B0168"/>
    <w:rsid w:val="006B06E3"/>
    <w:rsid w:val="006B0706"/>
    <w:rsid w:val="006B0864"/>
    <w:rsid w:val="006B09AC"/>
    <w:rsid w:val="006B09E6"/>
    <w:rsid w:val="006B10B4"/>
    <w:rsid w:val="006B1979"/>
    <w:rsid w:val="006B1AC9"/>
    <w:rsid w:val="006B1AF0"/>
    <w:rsid w:val="006B1AFD"/>
    <w:rsid w:val="006B1C1A"/>
    <w:rsid w:val="006B1FAF"/>
    <w:rsid w:val="006B2086"/>
    <w:rsid w:val="006B2175"/>
    <w:rsid w:val="006B22BE"/>
    <w:rsid w:val="006B238E"/>
    <w:rsid w:val="006B23B7"/>
    <w:rsid w:val="006B2411"/>
    <w:rsid w:val="006B2602"/>
    <w:rsid w:val="006B271F"/>
    <w:rsid w:val="006B298C"/>
    <w:rsid w:val="006B2BAC"/>
    <w:rsid w:val="006B3192"/>
    <w:rsid w:val="006B33DD"/>
    <w:rsid w:val="006B35DD"/>
    <w:rsid w:val="006B3981"/>
    <w:rsid w:val="006B39B2"/>
    <w:rsid w:val="006B3C74"/>
    <w:rsid w:val="006B3E0A"/>
    <w:rsid w:val="006B3E5F"/>
    <w:rsid w:val="006B4080"/>
    <w:rsid w:val="006B40BA"/>
    <w:rsid w:val="006B420E"/>
    <w:rsid w:val="006B4217"/>
    <w:rsid w:val="006B4336"/>
    <w:rsid w:val="006B4378"/>
    <w:rsid w:val="006B4389"/>
    <w:rsid w:val="006B4596"/>
    <w:rsid w:val="006B46F1"/>
    <w:rsid w:val="006B471F"/>
    <w:rsid w:val="006B47D3"/>
    <w:rsid w:val="006B49B2"/>
    <w:rsid w:val="006B4B2D"/>
    <w:rsid w:val="006B4B65"/>
    <w:rsid w:val="006B4DFA"/>
    <w:rsid w:val="006B5132"/>
    <w:rsid w:val="006B51A7"/>
    <w:rsid w:val="006B5249"/>
    <w:rsid w:val="006B526D"/>
    <w:rsid w:val="006B55D9"/>
    <w:rsid w:val="006B573F"/>
    <w:rsid w:val="006B585A"/>
    <w:rsid w:val="006B5AD1"/>
    <w:rsid w:val="006B5B4C"/>
    <w:rsid w:val="006B62ED"/>
    <w:rsid w:val="006B6598"/>
    <w:rsid w:val="006B6670"/>
    <w:rsid w:val="006B695C"/>
    <w:rsid w:val="006B6A9C"/>
    <w:rsid w:val="006B6BB6"/>
    <w:rsid w:val="006B6F37"/>
    <w:rsid w:val="006B7054"/>
    <w:rsid w:val="006B7070"/>
    <w:rsid w:val="006B7095"/>
    <w:rsid w:val="006B73D3"/>
    <w:rsid w:val="006B7407"/>
    <w:rsid w:val="006B74B8"/>
    <w:rsid w:val="006B7513"/>
    <w:rsid w:val="006B7578"/>
    <w:rsid w:val="006B76A9"/>
    <w:rsid w:val="006B77C3"/>
    <w:rsid w:val="006B78EA"/>
    <w:rsid w:val="006B7E38"/>
    <w:rsid w:val="006C0102"/>
    <w:rsid w:val="006C011E"/>
    <w:rsid w:val="006C026C"/>
    <w:rsid w:val="006C0281"/>
    <w:rsid w:val="006C086E"/>
    <w:rsid w:val="006C0A18"/>
    <w:rsid w:val="006C0BCA"/>
    <w:rsid w:val="006C10A3"/>
    <w:rsid w:val="006C10F3"/>
    <w:rsid w:val="006C1281"/>
    <w:rsid w:val="006C1294"/>
    <w:rsid w:val="006C129C"/>
    <w:rsid w:val="006C14C4"/>
    <w:rsid w:val="006C19B9"/>
    <w:rsid w:val="006C19C7"/>
    <w:rsid w:val="006C1DF7"/>
    <w:rsid w:val="006C1E3E"/>
    <w:rsid w:val="006C1E4A"/>
    <w:rsid w:val="006C2219"/>
    <w:rsid w:val="006C27E0"/>
    <w:rsid w:val="006C2C08"/>
    <w:rsid w:val="006C2C9A"/>
    <w:rsid w:val="006C2E20"/>
    <w:rsid w:val="006C2EC9"/>
    <w:rsid w:val="006C2F6B"/>
    <w:rsid w:val="006C3053"/>
    <w:rsid w:val="006C3174"/>
    <w:rsid w:val="006C324D"/>
    <w:rsid w:val="006C33D3"/>
    <w:rsid w:val="006C3549"/>
    <w:rsid w:val="006C396F"/>
    <w:rsid w:val="006C3D8C"/>
    <w:rsid w:val="006C3E1B"/>
    <w:rsid w:val="006C3F6E"/>
    <w:rsid w:val="006C439F"/>
    <w:rsid w:val="006C4485"/>
    <w:rsid w:val="006C4564"/>
    <w:rsid w:val="006C48CA"/>
    <w:rsid w:val="006C4908"/>
    <w:rsid w:val="006C4929"/>
    <w:rsid w:val="006C4952"/>
    <w:rsid w:val="006C4AFC"/>
    <w:rsid w:val="006C4CCA"/>
    <w:rsid w:val="006C4DA2"/>
    <w:rsid w:val="006C5000"/>
    <w:rsid w:val="006C510B"/>
    <w:rsid w:val="006C515D"/>
    <w:rsid w:val="006C546B"/>
    <w:rsid w:val="006C55D0"/>
    <w:rsid w:val="006C56D4"/>
    <w:rsid w:val="006C581B"/>
    <w:rsid w:val="006C5823"/>
    <w:rsid w:val="006C5FF3"/>
    <w:rsid w:val="006C60BF"/>
    <w:rsid w:val="006C623B"/>
    <w:rsid w:val="006C63D7"/>
    <w:rsid w:val="006C6455"/>
    <w:rsid w:val="006C6528"/>
    <w:rsid w:val="006C654B"/>
    <w:rsid w:val="006C6E6B"/>
    <w:rsid w:val="006C6EA6"/>
    <w:rsid w:val="006C7018"/>
    <w:rsid w:val="006C7138"/>
    <w:rsid w:val="006C724F"/>
    <w:rsid w:val="006C7265"/>
    <w:rsid w:val="006C7596"/>
    <w:rsid w:val="006C7634"/>
    <w:rsid w:val="006C76E1"/>
    <w:rsid w:val="006C7829"/>
    <w:rsid w:val="006C78D3"/>
    <w:rsid w:val="006C7A38"/>
    <w:rsid w:val="006C7FF0"/>
    <w:rsid w:val="006D016F"/>
    <w:rsid w:val="006D06D5"/>
    <w:rsid w:val="006D08EC"/>
    <w:rsid w:val="006D0B77"/>
    <w:rsid w:val="006D102A"/>
    <w:rsid w:val="006D1250"/>
    <w:rsid w:val="006D126C"/>
    <w:rsid w:val="006D15F1"/>
    <w:rsid w:val="006D183A"/>
    <w:rsid w:val="006D1B02"/>
    <w:rsid w:val="006D1BA9"/>
    <w:rsid w:val="006D1DBD"/>
    <w:rsid w:val="006D1DE2"/>
    <w:rsid w:val="006D2070"/>
    <w:rsid w:val="006D2214"/>
    <w:rsid w:val="006D2391"/>
    <w:rsid w:val="006D27DD"/>
    <w:rsid w:val="006D27F7"/>
    <w:rsid w:val="006D29C4"/>
    <w:rsid w:val="006D2A3C"/>
    <w:rsid w:val="006D2C11"/>
    <w:rsid w:val="006D2F11"/>
    <w:rsid w:val="006D30D3"/>
    <w:rsid w:val="006D30ED"/>
    <w:rsid w:val="006D335F"/>
    <w:rsid w:val="006D34A9"/>
    <w:rsid w:val="006D36EC"/>
    <w:rsid w:val="006D378F"/>
    <w:rsid w:val="006D3B41"/>
    <w:rsid w:val="006D4119"/>
    <w:rsid w:val="006D44CA"/>
    <w:rsid w:val="006D497C"/>
    <w:rsid w:val="006D4A89"/>
    <w:rsid w:val="006D4AE4"/>
    <w:rsid w:val="006D4BFD"/>
    <w:rsid w:val="006D4C0D"/>
    <w:rsid w:val="006D4D7E"/>
    <w:rsid w:val="006D4DB3"/>
    <w:rsid w:val="006D5170"/>
    <w:rsid w:val="006D57C1"/>
    <w:rsid w:val="006D5869"/>
    <w:rsid w:val="006D5A04"/>
    <w:rsid w:val="006D5C3B"/>
    <w:rsid w:val="006D5C79"/>
    <w:rsid w:val="006D5DC9"/>
    <w:rsid w:val="006D5DD0"/>
    <w:rsid w:val="006D602B"/>
    <w:rsid w:val="006D608B"/>
    <w:rsid w:val="006D6120"/>
    <w:rsid w:val="006D668D"/>
    <w:rsid w:val="006D66BA"/>
    <w:rsid w:val="006D6BAD"/>
    <w:rsid w:val="006D6BDC"/>
    <w:rsid w:val="006D6D57"/>
    <w:rsid w:val="006D6EA1"/>
    <w:rsid w:val="006D6FDC"/>
    <w:rsid w:val="006D7198"/>
    <w:rsid w:val="006D76B5"/>
    <w:rsid w:val="006D7982"/>
    <w:rsid w:val="006D7B10"/>
    <w:rsid w:val="006D7B81"/>
    <w:rsid w:val="006D7DFB"/>
    <w:rsid w:val="006D7EC4"/>
    <w:rsid w:val="006E005F"/>
    <w:rsid w:val="006E00D3"/>
    <w:rsid w:val="006E0629"/>
    <w:rsid w:val="006E06F8"/>
    <w:rsid w:val="006E0835"/>
    <w:rsid w:val="006E0B5B"/>
    <w:rsid w:val="006E0C2A"/>
    <w:rsid w:val="006E0F8A"/>
    <w:rsid w:val="006E15AA"/>
    <w:rsid w:val="006E189D"/>
    <w:rsid w:val="006E196C"/>
    <w:rsid w:val="006E1A15"/>
    <w:rsid w:val="006E1A4F"/>
    <w:rsid w:val="006E1D48"/>
    <w:rsid w:val="006E1E87"/>
    <w:rsid w:val="006E1EA3"/>
    <w:rsid w:val="006E1EF6"/>
    <w:rsid w:val="006E21D5"/>
    <w:rsid w:val="006E21FA"/>
    <w:rsid w:val="006E233E"/>
    <w:rsid w:val="006E2427"/>
    <w:rsid w:val="006E2F43"/>
    <w:rsid w:val="006E2FE5"/>
    <w:rsid w:val="006E3226"/>
    <w:rsid w:val="006E3290"/>
    <w:rsid w:val="006E36D8"/>
    <w:rsid w:val="006E36EE"/>
    <w:rsid w:val="006E3A52"/>
    <w:rsid w:val="006E40B4"/>
    <w:rsid w:val="006E43F5"/>
    <w:rsid w:val="006E4823"/>
    <w:rsid w:val="006E496E"/>
    <w:rsid w:val="006E4995"/>
    <w:rsid w:val="006E4B65"/>
    <w:rsid w:val="006E4CA6"/>
    <w:rsid w:val="006E4EA1"/>
    <w:rsid w:val="006E5098"/>
    <w:rsid w:val="006E522D"/>
    <w:rsid w:val="006E55D0"/>
    <w:rsid w:val="006E5683"/>
    <w:rsid w:val="006E5693"/>
    <w:rsid w:val="006E58AE"/>
    <w:rsid w:val="006E5B4A"/>
    <w:rsid w:val="006E5FA9"/>
    <w:rsid w:val="006E6367"/>
    <w:rsid w:val="006E67DF"/>
    <w:rsid w:val="006E6887"/>
    <w:rsid w:val="006E69A7"/>
    <w:rsid w:val="006E6A32"/>
    <w:rsid w:val="006E6BCB"/>
    <w:rsid w:val="006E6C35"/>
    <w:rsid w:val="006E6C40"/>
    <w:rsid w:val="006E6DA5"/>
    <w:rsid w:val="006E722B"/>
    <w:rsid w:val="006E72C4"/>
    <w:rsid w:val="006E738A"/>
    <w:rsid w:val="006E73AE"/>
    <w:rsid w:val="006E749F"/>
    <w:rsid w:val="006E7558"/>
    <w:rsid w:val="006E75FC"/>
    <w:rsid w:val="006E7A02"/>
    <w:rsid w:val="006F0071"/>
    <w:rsid w:val="006F014A"/>
    <w:rsid w:val="006F0328"/>
    <w:rsid w:val="006F0381"/>
    <w:rsid w:val="006F03F1"/>
    <w:rsid w:val="006F03F9"/>
    <w:rsid w:val="006F040B"/>
    <w:rsid w:val="006F0612"/>
    <w:rsid w:val="006F08E5"/>
    <w:rsid w:val="006F0C1A"/>
    <w:rsid w:val="006F1136"/>
    <w:rsid w:val="006F11A1"/>
    <w:rsid w:val="006F1748"/>
    <w:rsid w:val="006F186C"/>
    <w:rsid w:val="006F1945"/>
    <w:rsid w:val="006F1A05"/>
    <w:rsid w:val="006F1A6A"/>
    <w:rsid w:val="006F1FD4"/>
    <w:rsid w:val="006F226F"/>
    <w:rsid w:val="006F2470"/>
    <w:rsid w:val="006F264A"/>
    <w:rsid w:val="006F2755"/>
    <w:rsid w:val="006F28A5"/>
    <w:rsid w:val="006F2CEA"/>
    <w:rsid w:val="006F3283"/>
    <w:rsid w:val="006F338A"/>
    <w:rsid w:val="006F33EE"/>
    <w:rsid w:val="006F357C"/>
    <w:rsid w:val="006F36A0"/>
    <w:rsid w:val="006F3AD9"/>
    <w:rsid w:val="006F3F59"/>
    <w:rsid w:val="006F3FC9"/>
    <w:rsid w:val="006F43D9"/>
    <w:rsid w:val="006F4787"/>
    <w:rsid w:val="006F495C"/>
    <w:rsid w:val="006F4A79"/>
    <w:rsid w:val="006F4D5D"/>
    <w:rsid w:val="006F5170"/>
    <w:rsid w:val="006F51E8"/>
    <w:rsid w:val="006F5215"/>
    <w:rsid w:val="006F54E1"/>
    <w:rsid w:val="006F5550"/>
    <w:rsid w:val="006F5598"/>
    <w:rsid w:val="006F57FB"/>
    <w:rsid w:val="006F5A79"/>
    <w:rsid w:val="006F5A9A"/>
    <w:rsid w:val="006F5ADD"/>
    <w:rsid w:val="006F5CCE"/>
    <w:rsid w:val="006F5FF0"/>
    <w:rsid w:val="006F60FB"/>
    <w:rsid w:val="006F6147"/>
    <w:rsid w:val="006F62D0"/>
    <w:rsid w:val="006F6442"/>
    <w:rsid w:val="006F662E"/>
    <w:rsid w:val="006F66CA"/>
    <w:rsid w:val="006F6704"/>
    <w:rsid w:val="006F6C98"/>
    <w:rsid w:val="006F6E81"/>
    <w:rsid w:val="006F6F8A"/>
    <w:rsid w:val="006F6FE4"/>
    <w:rsid w:val="006F71F5"/>
    <w:rsid w:val="006F7357"/>
    <w:rsid w:val="006F7779"/>
    <w:rsid w:val="006F782C"/>
    <w:rsid w:val="006F79EF"/>
    <w:rsid w:val="006F7C0A"/>
    <w:rsid w:val="006F7E09"/>
    <w:rsid w:val="00700391"/>
    <w:rsid w:val="007008FE"/>
    <w:rsid w:val="007009EA"/>
    <w:rsid w:val="00700A3F"/>
    <w:rsid w:val="00700D9F"/>
    <w:rsid w:val="00701309"/>
    <w:rsid w:val="007016BD"/>
    <w:rsid w:val="0070191A"/>
    <w:rsid w:val="00701F14"/>
    <w:rsid w:val="0070209D"/>
    <w:rsid w:val="007021E5"/>
    <w:rsid w:val="00702346"/>
    <w:rsid w:val="007025B0"/>
    <w:rsid w:val="007025B9"/>
    <w:rsid w:val="00702664"/>
    <w:rsid w:val="007027C0"/>
    <w:rsid w:val="00702888"/>
    <w:rsid w:val="007029EE"/>
    <w:rsid w:val="00702AAA"/>
    <w:rsid w:val="00702B4D"/>
    <w:rsid w:val="00702C61"/>
    <w:rsid w:val="00702C71"/>
    <w:rsid w:val="00702C75"/>
    <w:rsid w:val="00702E03"/>
    <w:rsid w:val="0070347C"/>
    <w:rsid w:val="007034B9"/>
    <w:rsid w:val="00703547"/>
    <w:rsid w:val="007035F8"/>
    <w:rsid w:val="007036DA"/>
    <w:rsid w:val="00703B1B"/>
    <w:rsid w:val="00703E3B"/>
    <w:rsid w:val="00703EB8"/>
    <w:rsid w:val="00703F5C"/>
    <w:rsid w:val="0070434D"/>
    <w:rsid w:val="0070447E"/>
    <w:rsid w:val="007048AB"/>
    <w:rsid w:val="00704C2E"/>
    <w:rsid w:val="007050A3"/>
    <w:rsid w:val="0070511B"/>
    <w:rsid w:val="0070526D"/>
    <w:rsid w:val="007052A2"/>
    <w:rsid w:val="00705378"/>
    <w:rsid w:val="007053E8"/>
    <w:rsid w:val="007054C6"/>
    <w:rsid w:val="0070581C"/>
    <w:rsid w:val="00705C06"/>
    <w:rsid w:val="00705CB8"/>
    <w:rsid w:val="0070681F"/>
    <w:rsid w:val="00706AE2"/>
    <w:rsid w:val="00706C6A"/>
    <w:rsid w:val="00706DC4"/>
    <w:rsid w:val="007071A0"/>
    <w:rsid w:val="007072A8"/>
    <w:rsid w:val="007077CC"/>
    <w:rsid w:val="00707811"/>
    <w:rsid w:val="00707A2B"/>
    <w:rsid w:val="00707F7E"/>
    <w:rsid w:val="0070E076"/>
    <w:rsid w:val="007101AA"/>
    <w:rsid w:val="00710254"/>
    <w:rsid w:val="00710325"/>
    <w:rsid w:val="0071037C"/>
    <w:rsid w:val="00710719"/>
    <w:rsid w:val="00710C07"/>
    <w:rsid w:val="00710DBC"/>
    <w:rsid w:val="00710E26"/>
    <w:rsid w:val="00711151"/>
    <w:rsid w:val="007112FB"/>
    <w:rsid w:val="0071151F"/>
    <w:rsid w:val="00711A14"/>
    <w:rsid w:val="00711B75"/>
    <w:rsid w:val="00711C93"/>
    <w:rsid w:val="00711EAC"/>
    <w:rsid w:val="00712040"/>
    <w:rsid w:val="007122EF"/>
    <w:rsid w:val="0071236A"/>
    <w:rsid w:val="00712372"/>
    <w:rsid w:val="00712BEB"/>
    <w:rsid w:val="00712C05"/>
    <w:rsid w:val="00712D35"/>
    <w:rsid w:val="00712EED"/>
    <w:rsid w:val="00712F8F"/>
    <w:rsid w:val="007132DC"/>
    <w:rsid w:val="00713472"/>
    <w:rsid w:val="00713654"/>
    <w:rsid w:val="007139F2"/>
    <w:rsid w:val="00713C07"/>
    <w:rsid w:val="00713C75"/>
    <w:rsid w:val="00713CC2"/>
    <w:rsid w:val="00713D73"/>
    <w:rsid w:val="00714520"/>
    <w:rsid w:val="00714C86"/>
    <w:rsid w:val="00714E3D"/>
    <w:rsid w:val="00714F10"/>
    <w:rsid w:val="007152C0"/>
    <w:rsid w:val="0071543E"/>
    <w:rsid w:val="00715475"/>
    <w:rsid w:val="00715508"/>
    <w:rsid w:val="007156DA"/>
    <w:rsid w:val="0071573E"/>
    <w:rsid w:val="00715804"/>
    <w:rsid w:val="00715841"/>
    <w:rsid w:val="0071585D"/>
    <w:rsid w:val="00715AF3"/>
    <w:rsid w:val="00715C88"/>
    <w:rsid w:val="00715D13"/>
    <w:rsid w:val="00715D57"/>
    <w:rsid w:val="00715DC4"/>
    <w:rsid w:val="00715DF1"/>
    <w:rsid w:val="00715EFE"/>
    <w:rsid w:val="007166C8"/>
    <w:rsid w:val="007167C8"/>
    <w:rsid w:val="00716958"/>
    <w:rsid w:val="00716AD9"/>
    <w:rsid w:val="00716B02"/>
    <w:rsid w:val="00716E0D"/>
    <w:rsid w:val="00717231"/>
    <w:rsid w:val="00717605"/>
    <w:rsid w:val="00717787"/>
    <w:rsid w:val="007177B5"/>
    <w:rsid w:val="00717990"/>
    <w:rsid w:val="007179D9"/>
    <w:rsid w:val="00717A08"/>
    <w:rsid w:val="00717AB3"/>
    <w:rsid w:val="00717B9B"/>
    <w:rsid w:val="00717C81"/>
    <w:rsid w:val="00717C84"/>
    <w:rsid w:val="00717F16"/>
    <w:rsid w:val="00717F3A"/>
    <w:rsid w:val="00717F3D"/>
    <w:rsid w:val="00720346"/>
    <w:rsid w:val="0072043D"/>
    <w:rsid w:val="0072043F"/>
    <w:rsid w:val="0072075B"/>
    <w:rsid w:val="00720952"/>
    <w:rsid w:val="00720BFB"/>
    <w:rsid w:val="00720C2D"/>
    <w:rsid w:val="00720F1B"/>
    <w:rsid w:val="00721242"/>
    <w:rsid w:val="007214CB"/>
    <w:rsid w:val="0072198D"/>
    <w:rsid w:val="007219F8"/>
    <w:rsid w:val="00721E4E"/>
    <w:rsid w:val="00722053"/>
    <w:rsid w:val="007223EB"/>
    <w:rsid w:val="007226C7"/>
    <w:rsid w:val="0072272E"/>
    <w:rsid w:val="00722928"/>
    <w:rsid w:val="00722AB3"/>
    <w:rsid w:val="00722C0F"/>
    <w:rsid w:val="00722CB5"/>
    <w:rsid w:val="00722D48"/>
    <w:rsid w:val="00722F07"/>
    <w:rsid w:val="00722F17"/>
    <w:rsid w:val="00722F6D"/>
    <w:rsid w:val="00723132"/>
    <w:rsid w:val="00723441"/>
    <w:rsid w:val="007236DC"/>
    <w:rsid w:val="00723BE0"/>
    <w:rsid w:val="00723DE3"/>
    <w:rsid w:val="00723F29"/>
    <w:rsid w:val="00723F50"/>
    <w:rsid w:val="0072475C"/>
    <w:rsid w:val="00724836"/>
    <w:rsid w:val="00724924"/>
    <w:rsid w:val="0072499A"/>
    <w:rsid w:val="00724BD1"/>
    <w:rsid w:val="00724EA4"/>
    <w:rsid w:val="007251B4"/>
    <w:rsid w:val="0072544F"/>
    <w:rsid w:val="00725729"/>
    <w:rsid w:val="00725E33"/>
    <w:rsid w:val="00725EDE"/>
    <w:rsid w:val="00725F40"/>
    <w:rsid w:val="0072656B"/>
    <w:rsid w:val="00726647"/>
    <w:rsid w:val="007266FE"/>
    <w:rsid w:val="00726E43"/>
    <w:rsid w:val="00726EB5"/>
    <w:rsid w:val="00726FF2"/>
    <w:rsid w:val="00727026"/>
    <w:rsid w:val="007276AC"/>
    <w:rsid w:val="00727713"/>
    <w:rsid w:val="007279BD"/>
    <w:rsid w:val="00727AD5"/>
    <w:rsid w:val="00727C1F"/>
    <w:rsid w:val="00727DFE"/>
    <w:rsid w:val="007300F7"/>
    <w:rsid w:val="00730128"/>
    <w:rsid w:val="0073053F"/>
    <w:rsid w:val="00730613"/>
    <w:rsid w:val="007307D4"/>
    <w:rsid w:val="00730DEE"/>
    <w:rsid w:val="00730E55"/>
    <w:rsid w:val="00730EF7"/>
    <w:rsid w:val="00731052"/>
    <w:rsid w:val="00731082"/>
    <w:rsid w:val="0073150C"/>
    <w:rsid w:val="007315B3"/>
    <w:rsid w:val="00731648"/>
    <w:rsid w:val="0073172B"/>
    <w:rsid w:val="00731DD4"/>
    <w:rsid w:val="00731E59"/>
    <w:rsid w:val="007320A4"/>
    <w:rsid w:val="0073259D"/>
    <w:rsid w:val="007326E4"/>
    <w:rsid w:val="007327DD"/>
    <w:rsid w:val="00732974"/>
    <w:rsid w:val="00732F0E"/>
    <w:rsid w:val="00733198"/>
    <w:rsid w:val="00733402"/>
    <w:rsid w:val="007334AF"/>
    <w:rsid w:val="007337F8"/>
    <w:rsid w:val="00733F63"/>
    <w:rsid w:val="00734237"/>
    <w:rsid w:val="0073429F"/>
    <w:rsid w:val="0073468C"/>
    <w:rsid w:val="007347C7"/>
    <w:rsid w:val="007348CA"/>
    <w:rsid w:val="0073490B"/>
    <w:rsid w:val="00734A81"/>
    <w:rsid w:val="00734AC9"/>
    <w:rsid w:val="00734BFF"/>
    <w:rsid w:val="00734D59"/>
    <w:rsid w:val="00734F6F"/>
    <w:rsid w:val="00735422"/>
    <w:rsid w:val="00735D71"/>
    <w:rsid w:val="00736046"/>
    <w:rsid w:val="007365DD"/>
    <w:rsid w:val="007369D9"/>
    <w:rsid w:val="00736B16"/>
    <w:rsid w:val="00736CF6"/>
    <w:rsid w:val="00736F42"/>
    <w:rsid w:val="00737362"/>
    <w:rsid w:val="0073767A"/>
    <w:rsid w:val="0073787A"/>
    <w:rsid w:val="00737E22"/>
    <w:rsid w:val="00737E8E"/>
    <w:rsid w:val="00740275"/>
    <w:rsid w:val="00740368"/>
    <w:rsid w:val="00740DCA"/>
    <w:rsid w:val="00740E1E"/>
    <w:rsid w:val="0074144E"/>
    <w:rsid w:val="00741756"/>
    <w:rsid w:val="007418D4"/>
    <w:rsid w:val="007423D3"/>
    <w:rsid w:val="007427F0"/>
    <w:rsid w:val="0074292A"/>
    <w:rsid w:val="00742AC5"/>
    <w:rsid w:val="007431A7"/>
    <w:rsid w:val="0074322E"/>
    <w:rsid w:val="00743288"/>
    <w:rsid w:val="00743337"/>
    <w:rsid w:val="007433D8"/>
    <w:rsid w:val="00743574"/>
    <w:rsid w:val="00743C00"/>
    <w:rsid w:val="00743CD5"/>
    <w:rsid w:val="00743CEE"/>
    <w:rsid w:val="00743D45"/>
    <w:rsid w:val="00743F14"/>
    <w:rsid w:val="007440A0"/>
    <w:rsid w:val="007440CE"/>
    <w:rsid w:val="00744162"/>
    <w:rsid w:val="00744307"/>
    <w:rsid w:val="00744A3C"/>
    <w:rsid w:val="00744B75"/>
    <w:rsid w:val="00744E65"/>
    <w:rsid w:val="007450A7"/>
    <w:rsid w:val="007450AA"/>
    <w:rsid w:val="00745154"/>
    <w:rsid w:val="00745194"/>
    <w:rsid w:val="0074554E"/>
    <w:rsid w:val="00745CF4"/>
    <w:rsid w:val="00745DC0"/>
    <w:rsid w:val="00746212"/>
    <w:rsid w:val="0074676E"/>
    <w:rsid w:val="0074691D"/>
    <w:rsid w:val="00746971"/>
    <w:rsid w:val="00746EFE"/>
    <w:rsid w:val="00746FD9"/>
    <w:rsid w:val="007472DB"/>
    <w:rsid w:val="007477BF"/>
    <w:rsid w:val="00747913"/>
    <w:rsid w:val="00747CA4"/>
    <w:rsid w:val="00747D58"/>
    <w:rsid w:val="0075035A"/>
    <w:rsid w:val="007505AC"/>
    <w:rsid w:val="00750612"/>
    <w:rsid w:val="007509F1"/>
    <w:rsid w:val="00750AA7"/>
    <w:rsid w:val="00750B6C"/>
    <w:rsid w:val="00750BED"/>
    <w:rsid w:val="00750CCD"/>
    <w:rsid w:val="00750FF0"/>
    <w:rsid w:val="00751107"/>
    <w:rsid w:val="007514F6"/>
    <w:rsid w:val="00751663"/>
    <w:rsid w:val="00751976"/>
    <w:rsid w:val="00751FE5"/>
    <w:rsid w:val="0075200A"/>
    <w:rsid w:val="00752229"/>
    <w:rsid w:val="00752321"/>
    <w:rsid w:val="00752495"/>
    <w:rsid w:val="0075250A"/>
    <w:rsid w:val="0075257B"/>
    <w:rsid w:val="0075257E"/>
    <w:rsid w:val="00752616"/>
    <w:rsid w:val="007526B5"/>
    <w:rsid w:val="00753201"/>
    <w:rsid w:val="00753584"/>
    <w:rsid w:val="007536A6"/>
    <w:rsid w:val="00753755"/>
    <w:rsid w:val="007538C7"/>
    <w:rsid w:val="0075390E"/>
    <w:rsid w:val="00753B98"/>
    <w:rsid w:val="00753C7E"/>
    <w:rsid w:val="00753D2C"/>
    <w:rsid w:val="00754971"/>
    <w:rsid w:val="00754B15"/>
    <w:rsid w:val="00754C5D"/>
    <w:rsid w:val="00754D65"/>
    <w:rsid w:val="00754E64"/>
    <w:rsid w:val="0075514D"/>
    <w:rsid w:val="00755217"/>
    <w:rsid w:val="0075530A"/>
    <w:rsid w:val="00755668"/>
    <w:rsid w:val="00755AA5"/>
    <w:rsid w:val="00756302"/>
    <w:rsid w:val="007565F8"/>
    <w:rsid w:val="00756808"/>
    <w:rsid w:val="00756A5E"/>
    <w:rsid w:val="00756F45"/>
    <w:rsid w:val="00757034"/>
    <w:rsid w:val="007577B7"/>
    <w:rsid w:val="00757AA0"/>
    <w:rsid w:val="00757C43"/>
    <w:rsid w:val="00760127"/>
    <w:rsid w:val="007601CD"/>
    <w:rsid w:val="007601F0"/>
    <w:rsid w:val="0076032A"/>
    <w:rsid w:val="007608B8"/>
    <w:rsid w:val="00760EE2"/>
    <w:rsid w:val="007612C9"/>
    <w:rsid w:val="0076186F"/>
    <w:rsid w:val="007619EB"/>
    <w:rsid w:val="00761E7C"/>
    <w:rsid w:val="00761EB1"/>
    <w:rsid w:val="00762145"/>
    <w:rsid w:val="007621DB"/>
    <w:rsid w:val="007623AA"/>
    <w:rsid w:val="007624F6"/>
    <w:rsid w:val="0076261D"/>
    <w:rsid w:val="00762A25"/>
    <w:rsid w:val="00762AAA"/>
    <w:rsid w:val="00762C4D"/>
    <w:rsid w:val="00762DC2"/>
    <w:rsid w:val="00762E7C"/>
    <w:rsid w:val="00763182"/>
    <w:rsid w:val="007631D2"/>
    <w:rsid w:val="007638BC"/>
    <w:rsid w:val="0076394C"/>
    <w:rsid w:val="00763D8C"/>
    <w:rsid w:val="00763E89"/>
    <w:rsid w:val="00763F28"/>
    <w:rsid w:val="00763FDD"/>
    <w:rsid w:val="0076411E"/>
    <w:rsid w:val="007642E9"/>
    <w:rsid w:val="007642F8"/>
    <w:rsid w:val="007644D8"/>
    <w:rsid w:val="007645FD"/>
    <w:rsid w:val="00764772"/>
    <w:rsid w:val="00764826"/>
    <w:rsid w:val="00764829"/>
    <w:rsid w:val="00764920"/>
    <w:rsid w:val="00764980"/>
    <w:rsid w:val="00764992"/>
    <w:rsid w:val="00764D2B"/>
    <w:rsid w:val="0076527C"/>
    <w:rsid w:val="00765295"/>
    <w:rsid w:val="007652B5"/>
    <w:rsid w:val="00765336"/>
    <w:rsid w:val="0076562A"/>
    <w:rsid w:val="00765724"/>
    <w:rsid w:val="00765D97"/>
    <w:rsid w:val="00765F02"/>
    <w:rsid w:val="00765FDC"/>
    <w:rsid w:val="0076678C"/>
    <w:rsid w:val="00766933"/>
    <w:rsid w:val="00766D16"/>
    <w:rsid w:val="00767173"/>
    <w:rsid w:val="00767299"/>
    <w:rsid w:val="0076738E"/>
    <w:rsid w:val="007673ED"/>
    <w:rsid w:val="0076758C"/>
    <w:rsid w:val="007675C0"/>
    <w:rsid w:val="00767613"/>
    <w:rsid w:val="007679EA"/>
    <w:rsid w:val="00767EB9"/>
    <w:rsid w:val="0077004D"/>
    <w:rsid w:val="0077025A"/>
    <w:rsid w:val="007703AF"/>
    <w:rsid w:val="00770456"/>
    <w:rsid w:val="0077045D"/>
    <w:rsid w:val="007705EC"/>
    <w:rsid w:val="00770636"/>
    <w:rsid w:val="00770D28"/>
    <w:rsid w:val="00770E01"/>
    <w:rsid w:val="00770F5A"/>
    <w:rsid w:val="00770FB8"/>
    <w:rsid w:val="007712DE"/>
    <w:rsid w:val="00771469"/>
    <w:rsid w:val="007714A2"/>
    <w:rsid w:val="00771507"/>
    <w:rsid w:val="0077168C"/>
    <w:rsid w:val="00771822"/>
    <w:rsid w:val="00771945"/>
    <w:rsid w:val="007719D0"/>
    <w:rsid w:val="00771A3C"/>
    <w:rsid w:val="00771A56"/>
    <w:rsid w:val="00771DA6"/>
    <w:rsid w:val="00771DAF"/>
    <w:rsid w:val="00771E5F"/>
    <w:rsid w:val="00771E89"/>
    <w:rsid w:val="00771EE8"/>
    <w:rsid w:val="00772280"/>
    <w:rsid w:val="0077237A"/>
    <w:rsid w:val="007723E5"/>
    <w:rsid w:val="00772DA9"/>
    <w:rsid w:val="00772E88"/>
    <w:rsid w:val="00772EEA"/>
    <w:rsid w:val="00772F34"/>
    <w:rsid w:val="00773126"/>
    <w:rsid w:val="00773156"/>
    <w:rsid w:val="00773298"/>
    <w:rsid w:val="0077346B"/>
    <w:rsid w:val="00773703"/>
    <w:rsid w:val="00773812"/>
    <w:rsid w:val="007738BF"/>
    <w:rsid w:val="00773BF2"/>
    <w:rsid w:val="00773E7B"/>
    <w:rsid w:val="00774481"/>
    <w:rsid w:val="007746BB"/>
    <w:rsid w:val="0077484B"/>
    <w:rsid w:val="00774BBF"/>
    <w:rsid w:val="00774DFB"/>
    <w:rsid w:val="00774E7D"/>
    <w:rsid w:val="00775131"/>
    <w:rsid w:val="00775262"/>
    <w:rsid w:val="00775442"/>
    <w:rsid w:val="0077547C"/>
    <w:rsid w:val="0077573E"/>
    <w:rsid w:val="00775749"/>
    <w:rsid w:val="00775804"/>
    <w:rsid w:val="007758ED"/>
    <w:rsid w:val="007758F9"/>
    <w:rsid w:val="00775C24"/>
    <w:rsid w:val="00775D39"/>
    <w:rsid w:val="00775DCB"/>
    <w:rsid w:val="00775EFB"/>
    <w:rsid w:val="0077617B"/>
    <w:rsid w:val="00776404"/>
    <w:rsid w:val="0077657A"/>
    <w:rsid w:val="00776911"/>
    <w:rsid w:val="00776964"/>
    <w:rsid w:val="00776BD6"/>
    <w:rsid w:val="00776D2E"/>
    <w:rsid w:val="00777212"/>
    <w:rsid w:val="0077727F"/>
    <w:rsid w:val="00777364"/>
    <w:rsid w:val="00777EF7"/>
    <w:rsid w:val="007804A7"/>
    <w:rsid w:val="007805E2"/>
    <w:rsid w:val="00780C7A"/>
    <w:rsid w:val="007810AB"/>
    <w:rsid w:val="00781175"/>
    <w:rsid w:val="00781190"/>
    <w:rsid w:val="00781535"/>
    <w:rsid w:val="0078181D"/>
    <w:rsid w:val="00781A53"/>
    <w:rsid w:val="00781C53"/>
    <w:rsid w:val="00781CAD"/>
    <w:rsid w:val="00781F7E"/>
    <w:rsid w:val="007821E7"/>
    <w:rsid w:val="00782204"/>
    <w:rsid w:val="007822E7"/>
    <w:rsid w:val="007823CD"/>
    <w:rsid w:val="0078269F"/>
    <w:rsid w:val="007827F3"/>
    <w:rsid w:val="00782AE9"/>
    <w:rsid w:val="00782CE2"/>
    <w:rsid w:val="007830BD"/>
    <w:rsid w:val="00783140"/>
    <w:rsid w:val="0078332E"/>
    <w:rsid w:val="0078360B"/>
    <w:rsid w:val="00783636"/>
    <w:rsid w:val="0078371E"/>
    <w:rsid w:val="00783BC1"/>
    <w:rsid w:val="00783C7B"/>
    <w:rsid w:val="00783E2C"/>
    <w:rsid w:val="00783EC8"/>
    <w:rsid w:val="007849BC"/>
    <w:rsid w:val="00784A7C"/>
    <w:rsid w:val="00784C25"/>
    <w:rsid w:val="00784E40"/>
    <w:rsid w:val="00784EB8"/>
    <w:rsid w:val="00784EE7"/>
    <w:rsid w:val="00784F7F"/>
    <w:rsid w:val="007851F0"/>
    <w:rsid w:val="0078537B"/>
    <w:rsid w:val="0078564C"/>
    <w:rsid w:val="00785886"/>
    <w:rsid w:val="0078592B"/>
    <w:rsid w:val="00785A70"/>
    <w:rsid w:val="00785AA9"/>
    <w:rsid w:val="00785F87"/>
    <w:rsid w:val="007860E6"/>
    <w:rsid w:val="007862D1"/>
    <w:rsid w:val="007862EE"/>
    <w:rsid w:val="007866B7"/>
    <w:rsid w:val="007869B8"/>
    <w:rsid w:val="00786A54"/>
    <w:rsid w:val="00786B7C"/>
    <w:rsid w:val="00786BC7"/>
    <w:rsid w:val="00786E5C"/>
    <w:rsid w:val="007875B9"/>
    <w:rsid w:val="00787870"/>
    <w:rsid w:val="00787CA2"/>
    <w:rsid w:val="00787F3A"/>
    <w:rsid w:val="00790436"/>
    <w:rsid w:val="007905AD"/>
    <w:rsid w:val="00790717"/>
    <w:rsid w:val="00790916"/>
    <w:rsid w:val="00790D84"/>
    <w:rsid w:val="00790E34"/>
    <w:rsid w:val="0079126B"/>
    <w:rsid w:val="0079132A"/>
    <w:rsid w:val="00791435"/>
    <w:rsid w:val="00791528"/>
    <w:rsid w:val="00791A7B"/>
    <w:rsid w:val="00791B19"/>
    <w:rsid w:val="00791D6C"/>
    <w:rsid w:val="00791DB9"/>
    <w:rsid w:val="00791DC3"/>
    <w:rsid w:val="00791EA8"/>
    <w:rsid w:val="00791EF1"/>
    <w:rsid w:val="007921A7"/>
    <w:rsid w:val="007922EB"/>
    <w:rsid w:val="007927DF"/>
    <w:rsid w:val="00792E64"/>
    <w:rsid w:val="00793032"/>
    <w:rsid w:val="00793048"/>
    <w:rsid w:val="0079307F"/>
    <w:rsid w:val="007931BD"/>
    <w:rsid w:val="00793207"/>
    <w:rsid w:val="00793294"/>
    <w:rsid w:val="007932ED"/>
    <w:rsid w:val="007934C3"/>
    <w:rsid w:val="007934F9"/>
    <w:rsid w:val="0079351F"/>
    <w:rsid w:val="0079378C"/>
    <w:rsid w:val="00793843"/>
    <w:rsid w:val="00793853"/>
    <w:rsid w:val="0079388F"/>
    <w:rsid w:val="00793EFE"/>
    <w:rsid w:val="0079404C"/>
    <w:rsid w:val="00794080"/>
    <w:rsid w:val="007940A1"/>
    <w:rsid w:val="00794538"/>
    <w:rsid w:val="007946EF"/>
    <w:rsid w:val="007946FB"/>
    <w:rsid w:val="00794C30"/>
    <w:rsid w:val="00794EA5"/>
    <w:rsid w:val="00795895"/>
    <w:rsid w:val="00795B5C"/>
    <w:rsid w:val="0079619D"/>
    <w:rsid w:val="00796397"/>
    <w:rsid w:val="00796480"/>
    <w:rsid w:val="007964D4"/>
    <w:rsid w:val="00796669"/>
    <w:rsid w:val="0079684C"/>
    <w:rsid w:val="007968C9"/>
    <w:rsid w:val="007969C4"/>
    <w:rsid w:val="00796AAE"/>
    <w:rsid w:val="00796D0C"/>
    <w:rsid w:val="00796D11"/>
    <w:rsid w:val="00796ECD"/>
    <w:rsid w:val="00797487"/>
    <w:rsid w:val="0079752D"/>
    <w:rsid w:val="007977D6"/>
    <w:rsid w:val="0079783D"/>
    <w:rsid w:val="00797BFB"/>
    <w:rsid w:val="00797C92"/>
    <w:rsid w:val="007A0473"/>
    <w:rsid w:val="007A08D3"/>
    <w:rsid w:val="007A0975"/>
    <w:rsid w:val="007A0F1A"/>
    <w:rsid w:val="007A102E"/>
    <w:rsid w:val="007A141A"/>
    <w:rsid w:val="007A1789"/>
    <w:rsid w:val="007A18E7"/>
    <w:rsid w:val="007A1CAB"/>
    <w:rsid w:val="007A1DE3"/>
    <w:rsid w:val="007A1EE9"/>
    <w:rsid w:val="007A20F2"/>
    <w:rsid w:val="007A2117"/>
    <w:rsid w:val="007A2179"/>
    <w:rsid w:val="007A2187"/>
    <w:rsid w:val="007A2664"/>
    <w:rsid w:val="007A2718"/>
    <w:rsid w:val="007A282B"/>
    <w:rsid w:val="007A283A"/>
    <w:rsid w:val="007A2849"/>
    <w:rsid w:val="007A28EF"/>
    <w:rsid w:val="007A29A9"/>
    <w:rsid w:val="007A31DD"/>
    <w:rsid w:val="007A329C"/>
    <w:rsid w:val="007A350D"/>
    <w:rsid w:val="007A3709"/>
    <w:rsid w:val="007A3B55"/>
    <w:rsid w:val="007A3C7C"/>
    <w:rsid w:val="007A3D28"/>
    <w:rsid w:val="007A3D4E"/>
    <w:rsid w:val="007A42A0"/>
    <w:rsid w:val="007A42F1"/>
    <w:rsid w:val="007A4319"/>
    <w:rsid w:val="007A437A"/>
    <w:rsid w:val="007A45EF"/>
    <w:rsid w:val="007A460E"/>
    <w:rsid w:val="007A47D6"/>
    <w:rsid w:val="007A4841"/>
    <w:rsid w:val="007A4B01"/>
    <w:rsid w:val="007A4E7D"/>
    <w:rsid w:val="007A54FC"/>
    <w:rsid w:val="007A553F"/>
    <w:rsid w:val="007A5788"/>
    <w:rsid w:val="007A59CA"/>
    <w:rsid w:val="007A5A3A"/>
    <w:rsid w:val="007A5BDF"/>
    <w:rsid w:val="007A5D86"/>
    <w:rsid w:val="007A5DC8"/>
    <w:rsid w:val="007A5FAC"/>
    <w:rsid w:val="007A605F"/>
    <w:rsid w:val="007A623C"/>
    <w:rsid w:val="007A6274"/>
    <w:rsid w:val="007A62D9"/>
    <w:rsid w:val="007A659F"/>
    <w:rsid w:val="007A6A37"/>
    <w:rsid w:val="007A6B31"/>
    <w:rsid w:val="007A6FCD"/>
    <w:rsid w:val="007A7249"/>
    <w:rsid w:val="007A7715"/>
    <w:rsid w:val="007A7A06"/>
    <w:rsid w:val="007AF306"/>
    <w:rsid w:val="007B0236"/>
    <w:rsid w:val="007B02AD"/>
    <w:rsid w:val="007B0361"/>
    <w:rsid w:val="007B0511"/>
    <w:rsid w:val="007B06A9"/>
    <w:rsid w:val="007B077A"/>
    <w:rsid w:val="007B082D"/>
    <w:rsid w:val="007B091C"/>
    <w:rsid w:val="007B0B6B"/>
    <w:rsid w:val="007B0C1E"/>
    <w:rsid w:val="007B0E4E"/>
    <w:rsid w:val="007B111C"/>
    <w:rsid w:val="007B159D"/>
    <w:rsid w:val="007B16CD"/>
    <w:rsid w:val="007B1930"/>
    <w:rsid w:val="007B199F"/>
    <w:rsid w:val="007B1A2B"/>
    <w:rsid w:val="007B1B20"/>
    <w:rsid w:val="007B1F68"/>
    <w:rsid w:val="007B1FB9"/>
    <w:rsid w:val="007B24C2"/>
    <w:rsid w:val="007B26C7"/>
    <w:rsid w:val="007B26F2"/>
    <w:rsid w:val="007B27D0"/>
    <w:rsid w:val="007B2CC9"/>
    <w:rsid w:val="007B2EEF"/>
    <w:rsid w:val="007B2FC0"/>
    <w:rsid w:val="007B3033"/>
    <w:rsid w:val="007B32C1"/>
    <w:rsid w:val="007B3842"/>
    <w:rsid w:val="007B3948"/>
    <w:rsid w:val="007B3B41"/>
    <w:rsid w:val="007B3D6E"/>
    <w:rsid w:val="007B3E3A"/>
    <w:rsid w:val="007B3E89"/>
    <w:rsid w:val="007B3EB0"/>
    <w:rsid w:val="007B42A7"/>
    <w:rsid w:val="007B43C2"/>
    <w:rsid w:val="007B44C1"/>
    <w:rsid w:val="007B44E8"/>
    <w:rsid w:val="007B46F0"/>
    <w:rsid w:val="007B4ABE"/>
    <w:rsid w:val="007B4EBC"/>
    <w:rsid w:val="007B5025"/>
    <w:rsid w:val="007B50C3"/>
    <w:rsid w:val="007B510E"/>
    <w:rsid w:val="007B5155"/>
    <w:rsid w:val="007B516C"/>
    <w:rsid w:val="007B517A"/>
    <w:rsid w:val="007B552E"/>
    <w:rsid w:val="007B5BBA"/>
    <w:rsid w:val="007B5C19"/>
    <w:rsid w:val="007B5E66"/>
    <w:rsid w:val="007B5EB0"/>
    <w:rsid w:val="007B62FB"/>
    <w:rsid w:val="007B634D"/>
    <w:rsid w:val="007B639C"/>
    <w:rsid w:val="007B63B0"/>
    <w:rsid w:val="007B63C0"/>
    <w:rsid w:val="007B6455"/>
    <w:rsid w:val="007B6476"/>
    <w:rsid w:val="007B64E8"/>
    <w:rsid w:val="007B6793"/>
    <w:rsid w:val="007B68B9"/>
    <w:rsid w:val="007B6F89"/>
    <w:rsid w:val="007B70BF"/>
    <w:rsid w:val="007B7177"/>
    <w:rsid w:val="007B724B"/>
    <w:rsid w:val="007B7427"/>
    <w:rsid w:val="007B746A"/>
    <w:rsid w:val="007B76D4"/>
    <w:rsid w:val="007B76E5"/>
    <w:rsid w:val="007B7891"/>
    <w:rsid w:val="007B7B1F"/>
    <w:rsid w:val="007B7CE9"/>
    <w:rsid w:val="007B7D56"/>
    <w:rsid w:val="007B7FE8"/>
    <w:rsid w:val="007C047C"/>
    <w:rsid w:val="007C06C5"/>
    <w:rsid w:val="007C0C52"/>
    <w:rsid w:val="007C0DDB"/>
    <w:rsid w:val="007C0EA9"/>
    <w:rsid w:val="007C1055"/>
    <w:rsid w:val="007C1240"/>
    <w:rsid w:val="007C1841"/>
    <w:rsid w:val="007C1850"/>
    <w:rsid w:val="007C1C26"/>
    <w:rsid w:val="007C1E72"/>
    <w:rsid w:val="007C1FB0"/>
    <w:rsid w:val="007C20E9"/>
    <w:rsid w:val="007C215E"/>
    <w:rsid w:val="007C215F"/>
    <w:rsid w:val="007C21C3"/>
    <w:rsid w:val="007C2451"/>
    <w:rsid w:val="007C277D"/>
    <w:rsid w:val="007C290B"/>
    <w:rsid w:val="007C2928"/>
    <w:rsid w:val="007C2A35"/>
    <w:rsid w:val="007C2AAE"/>
    <w:rsid w:val="007C2CB8"/>
    <w:rsid w:val="007C2DC7"/>
    <w:rsid w:val="007C2E69"/>
    <w:rsid w:val="007C2FBD"/>
    <w:rsid w:val="007C30FA"/>
    <w:rsid w:val="007C3717"/>
    <w:rsid w:val="007C3736"/>
    <w:rsid w:val="007C3904"/>
    <w:rsid w:val="007C3A47"/>
    <w:rsid w:val="007C3B06"/>
    <w:rsid w:val="007C3C11"/>
    <w:rsid w:val="007C3C25"/>
    <w:rsid w:val="007C3C79"/>
    <w:rsid w:val="007C3D0E"/>
    <w:rsid w:val="007C3D3A"/>
    <w:rsid w:val="007C407B"/>
    <w:rsid w:val="007C4335"/>
    <w:rsid w:val="007C439A"/>
    <w:rsid w:val="007C4407"/>
    <w:rsid w:val="007C45DC"/>
    <w:rsid w:val="007C4727"/>
    <w:rsid w:val="007C489D"/>
    <w:rsid w:val="007C4AC1"/>
    <w:rsid w:val="007C4B1F"/>
    <w:rsid w:val="007C4B2F"/>
    <w:rsid w:val="007C4C92"/>
    <w:rsid w:val="007C52BA"/>
    <w:rsid w:val="007C537B"/>
    <w:rsid w:val="007C57EB"/>
    <w:rsid w:val="007C5ACB"/>
    <w:rsid w:val="007C5B73"/>
    <w:rsid w:val="007C5D12"/>
    <w:rsid w:val="007C60FE"/>
    <w:rsid w:val="007C61DE"/>
    <w:rsid w:val="007C6267"/>
    <w:rsid w:val="007C6475"/>
    <w:rsid w:val="007C6498"/>
    <w:rsid w:val="007C6A72"/>
    <w:rsid w:val="007C6CA4"/>
    <w:rsid w:val="007C6DE2"/>
    <w:rsid w:val="007C6FED"/>
    <w:rsid w:val="007C7002"/>
    <w:rsid w:val="007C7269"/>
    <w:rsid w:val="007C7462"/>
    <w:rsid w:val="007C746A"/>
    <w:rsid w:val="007C7691"/>
    <w:rsid w:val="007C779E"/>
    <w:rsid w:val="007C7818"/>
    <w:rsid w:val="007C7868"/>
    <w:rsid w:val="007C78A8"/>
    <w:rsid w:val="007C7AB5"/>
    <w:rsid w:val="007C7DB7"/>
    <w:rsid w:val="007D0178"/>
    <w:rsid w:val="007D01D9"/>
    <w:rsid w:val="007D01FF"/>
    <w:rsid w:val="007D0521"/>
    <w:rsid w:val="007D08F8"/>
    <w:rsid w:val="007D09F8"/>
    <w:rsid w:val="007D0AA6"/>
    <w:rsid w:val="007D0CF8"/>
    <w:rsid w:val="007D1AE9"/>
    <w:rsid w:val="007D1B6F"/>
    <w:rsid w:val="007D213C"/>
    <w:rsid w:val="007D21D9"/>
    <w:rsid w:val="007D24AC"/>
    <w:rsid w:val="007D292C"/>
    <w:rsid w:val="007D2979"/>
    <w:rsid w:val="007D2AD2"/>
    <w:rsid w:val="007D2C95"/>
    <w:rsid w:val="007D2E85"/>
    <w:rsid w:val="007D32D6"/>
    <w:rsid w:val="007D343C"/>
    <w:rsid w:val="007D37B3"/>
    <w:rsid w:val="007D3E41"/>
    <w:rsid w:val="007D3F6C"/>
    <w:rsid w:val="007D40CC"/>
    <w:rsid w:val="007D4132"/>
    <w:rsid w:val="007D423D"/>
    <w:rsid w:val="007D42E0"/>
    <w:rsid w:val="007D435A"/>
    <w:rsid w:val="007D4479"/>
    <w:rsid w:val="007D44C9"/>
    <w:rsid w:val="007D4643"/>
    <w:rsid w:val="007D47D6"/>
    <w:rsid w:val="007D4A5F"/>
    <w:rsid w:val="007D500F"/>
    <w:rsid w:val="007D5358"/>
    <w:rsid w:val="007D542E"/>
    <w:rsid w:val="007D595D"/>
    <w:rsid w:val="007D59B3"/>
    <w:rsid w:val="007D5AF7"/>
    <w:rsid w:val="007D5C20"/>
    <w:rsid w:val="007D5CBB"/>
    <w:rsid w:val="007D5CE0"/>
    <w:rsid w:val="007D614C"/>
    <w:rsid w:val="007D6161"/>
    <w:rsid w:val="007D635A"/>
    <w:rsid w:val="007D6905"/>
    <w:rsid w:val="007D69D4"/>
    <w:rsid w:val="007D6B06"/>
    <w:rsid w:val="007D6C1C"/>
    <w:rsid w:val="007D6C5A"/>
    <w:rsid w:val="007D7041"/>
    <w:rsid w:val="007D71EB"/>
    <w:rsid w:val="007D7201"/>
    <w:rsid w:val="007D7265"/>
    <w:rsid w:val="007D7392"/>
    <w:rsid w:val="007D74A1"/>
    <w:rsid w:val="007D785B"/>
    <w:rsid w:val="007D78C2"/>
    <w:rsid w:val="007D7957"/>
    <w:rsid w:val="007D79E5"/>
    <w:rsid w:val="007D7B3A"/>
    <w:rsid w:val="007D7BB1"/>
    <w:rsid w:val="007D7C9A"/>
    <w:rsid w:val="007D7FA9"/>
    <w:rsid w:val="007E0106"/>
    <w:rsid w:val="007E0200"/>
    <w:rsid w:val="007E0389"/>
    <w:rsid w:val="007E0788"/>
    <w:rsid w:val="007E0892"/>
    <w:rsid w:val="007E0925"/>
    <w:rsid w:val="007E0A67"/>
    <w:rsid w:val="007E0B79"/>
    <w:rsid w:val="007E0CFC"/>
    <w:rsid w:val="007E0ED4"/>
    <w:rsid w:val="007E129F"/>
    <w:rsid w:val="007E1356"/>
    <w:rsid w:val="007E147C"/>
    <w:rsid w:val="007E150E"/>
    <w:rsid w:val="007E19B3"/>
    <w:rsid w:val="007E1EB0"/>
    <w:rsid w:val="007E205B"/>
    <w:rsid w:val="007E21FA"/>
    <w:rsid w:val="007E223A"/>
    <w:rsid w:val="007E22E0"/>
    <w:rsid w:val="007E2667"/>
    <w:rsid w:val="007E28FD"/>
    <w:rsid w:val="007E292F"/>
    <w:rsid w:val="007E3183"/>
    <w:rsid w:val="007E319A"/>
    <w:rsid w:val="007E3271"/>
    <w:rsid w:val="007E3753"/>
    <w:rsid w:val="007E3823"/>
    <w:rsid w:val="007E39E1"/>
    <w:rsid w:val="007E3AE2"/>
    <w:rsid w:val="007E3EEC"/>
    <w:rsid w:val="007E3FEE"/>
    <w:rsid w:val="007E4058"/>
    <w:rsid w:val="007E445A"/>
    <w:rsid w:val="007E4535"/>
    <w:rsid w:val="007E4617"/>
    <w:rsid w:val="007E4756"/>
    <w:rsid w:val="007E480D"/>
    <w:rsid w:val="007E48D3"/>
    <w:rsid w:val="007E49FD"/>
    <w:rsid w:val="007E4AEA"/>
    <w:rsid w:val="007E4B9C"/>
    <w:rsid w:val="007E5228"/>
    <w:rsid w:val="007E58BD"/>
    <w:rsid w:val="007E5A14"/>
    <w:rsid w:val="007E5C0B"/>
    <w:rsid w:val="007E5D82"/>
    <w:rsid w:val="007E5E09"/>
    <w:rsid w:val="007E6106"/>
    <w:rsid w:val="007E619C"/>
    <w:rsid w:val="007E62B2"/>
    <w:rsid w:val="007E63A5"/>
    <w:rsid w:val="007E6409"/>
    <w:rsid w:val="007E641A"/>
    <w:rsid w:val="007E6A91"/>
    <w:rsid w:val="007E6B7E"/>
    <w:rsid w:val="007E6DFD"/>
    <w:rsid w:val="007E6F82"/>
    <w:rsid w:val="007E711E"/>
    <w:rsid w:val="007E7393"/>
    <w:rsid w:val="007E742E"/>
    <w:rsid w:val="007E7677"/>
    <w:rsid w:val="007E769D"/>
    <w:rsid w:val="007E78FA"/>
    <w:rsid w:val="007E7BFF"/>
    <w:rsid w:val="007E7FE8"/>
    <w:rsid w:val="007F017E"/>
    <w:rsid w:val="007F03C5"/>
    <w:rsid w:val="007F05BF"/>
    <w:rsid w:val="007F05FD"/>
    <w:rsid w:val="007F0665"/>
    <w:rsid w:val="007F0734"/>
    <w:rsid w:val="007F0C44"/>
    <w:rsid w:val="007F0C4D"/>
    <w:rsid w:val="007F0EDC"/>
    <w:rsid w:val="007F1314"/>
    <w:rsid w:val="007F1520"/>
    <w:rsid w:val="007F16EE"/>
    <w:rsid w:val="007F1721"/>
    <w:rsid w:val="007F191F"/>
    <w:rsid w:val="007F1968"/>
    <w:rsid w:val="007F19A4"/>
    <w:rsid w:val="007F1EBE"/>
    <w:rsid w:val="007F1F41"/>
    <w:rsid w:val="007F21C6"/>
    <w:rsid w:val="007F2492"/>
    <w:rsid w:val="007F2893"/>
    <w:rsid w:val="007F2919"/>
    <w:rsid w:val="007F292A"/>
    <w:rsid w:val="007F2A81"/>
    <w:rsid w:val="007F2C02"/>
    <w:rsid w:val="007F2E00"/>
    <w:rsid w:val="007F31F2"/>
    <w:rsid w:val="007F3317"/>
    <w:rsid w:val="007F3624"/>
    <w:rsid w:val="007F3B6B"/>
    <w:rsid w:val="007F3BAA"/>
    <w:rsid w:val="007F3C98"/>
    <w:rsid w:val="007F3CA6"/>
    <w:rsid w:val="007F3F36"/>
    <w:rsid w:val="007F3FFA"/>
    <w:rsid w:val="007F401E"/>
    <w:rsid w:val="007F459E"/>
    <w:rsid w:val="007F4A5F"/>
    <w:rsid w:val="007F4AF0"/>
    <w:rsid w:val="007F4DE3"/>
    <w:rsid w:val="007F52B0"/>
    <w:rsid w:val="007F53DB"/>
    <w:rsid w:val="007F54E0"/>
    <w:rsid w:val="007F575E"/>
    <w:rsid w:val="007F5B74"/>
    <w:rsid w:val="007F5D43"/>
    <w:rsid w:val="007F622A"/>
    <w:rsid w:val="007F625B"/>
    <w:rsid w:val="007F637E"/>
    <w:rsid w:val="007F63F1"/>
    <w:rsid w:val="007F6420"/>
    <w:rsid w:val="007F652B"/>
    <w:rsid w:val="007F663B"/>
    <w:rsid w:val="007F6A96"/>
    <w:rsid w:val="007F6E84"/>
    <w:rsid w:val="007F6F92"/>
    <w:rsid w:val="007F7253"/>
    <w:rsid w:val="007F7287"/>
    <w:rsid w:val="007F72A6"/>
    <w:rsid w:val="007F74DE"/>
    <w:rsid w:val="007F755E"/>
    <w:rsid w:val="007F76A0"/>
    <w:rsid w:val="007F78ED"/>
    <w:rsid w:val="007F794B"/>
    <w:rsid w:val="007F7B42"/>
    <w:rsid w:val="007F7BF2"/>
    <w:rsid w:val="007F7D54"/>
    <w:rsid w:val="007F7D61"/>
    <w:rsid w:val="007F7E14"/>
    <w:rsid w:val="0080050E"/>
    <w:rsid w:val="008005AC"/>
    <w:rsid w:val="00800754"/>
    <w:rsid w:val="00800BC8"/>
    <w:rsid w:val="0080136D"/>
    <w:rsid w:val="008014B5"/>
    <w:rsid w:val="00801590"/>
    <w:rsid w:val="0080164F"/>
    <w:rsid w:val="008016DC"/>
    <w:rsid w:val="008019F6"/>
    <w:rsid w:val="00801B97"/>
    <w:rsid w:val="00801C47"/>
    <w:rsid w:val="00801C8A"/>
    <w:rsid w:val="00801D62"/>
    <w:rsid w:val="00802098"/>
    <w:rsid w:val="008021C0"/>
    <w:rsid w:val="00802713"/>
    <w:rsid w:val="00802A3E"/>
    <w:rsid w:val="00802EAD"/>
    <w:rsid w:val="008030A6"/>
    <w:rsid w:val="008031A4"/>
    <w:rsid w:val="008037BE"/>
    <w:rsid w:val="00803A27"/>
    <w:rsid w:val="00803A3A"/>
    <w:rsid w:val="00803F82"/>
    <w:rsid w:val="00804142"/>
    <w:rsid w:val="00804172"/>
    <w:rsid w:val="0080418C"/>
    <w:rsid w:val="00804251"/>
    <w:rsid w:val="00804350"/>
    <w:rsid w:val="008045CF"/>
    <w:rsid w:val="008046C3"/>
    <w:rsid w:val="00804BAF"/>
    <w:rsid w:val="00804DF5"/>
    <w:rsid w:val="00805350"/>
    <w:rsid w:val="008055F4"/>
    <w:rsid w:val="008057FE"/>
    <w:rsid w:val="008058FA"/>
    <w:rsid w:val="00805A54"/>
    <w:rsid w:val="00805BC8"/>
    <w:rsid w:val="00805BF2"/>
    <w:rsid w:val="00805C4F"/>
    <w:rsid w:val="00805FD1"/>
    <w:rsid w:val="00806273"/>
    <w:rsid w:val="008064BC"/>
    <w:rsid w:val="0080658D"/>
    <w:rsid w:val="00806622"/>
    <w:rsid w:val="00806643"/>
    <w:rsid w:val="00806ACA"/>
    <w:rsid w:val="00806DD7"/>
    <w:rsid w:val="0080724E"/>
    <w:rsid w:val="0080748E"/>
    <w:rsid w:val="00807D05"/>
    <w:rsid w:val="0081022A"/>
    <w:rsid w:val="008102A1"/>
    <w:rsid w:val="008103A5"/>
    <w:rsid w:val="008104E6"/>
    <w:rsid w:val="00810886"/>
    <w:rsid w:val="00810A81"/>
    <w:rsid w:val="00810D10"/>
    <w:rsid w:val="00810DA5"/>
    <w:rsid w:val="00810DD2"/>
    <w:rsid w:val="008112E6"/>
    <w:rsid w:val="00811600"/>
    <w:rsid w:val="00811B95"/>
    <w:rsid w:val="00811BFD"/>
    <w:rsid w:val="00811C4B"/>
    <w:rsid w:val="00811CE9"/>
    <w:rsid w:val="00811D25"/>
    <w:rsid w:val="00811D2D"/>
    <w:rsid w:val="00811D2E"/>
    <w:rsid w:val="00812196"/>
    <w:rsid w:val="0081229A"/>
    <w:rsid w:val="008123C2"/>
    <w:rsid w:val="0081261F"/>
    <w:rsid w:val="0081299E"/>
    <w:rsid w:val="00812CC0"/>
    <w:rsid w:val="00812E8A"/>
    <w:rsid w:val="00812FE9"/>
    <w:rsid w:val="008131C3"/>
    <w:rsid w:val="008132CC"/>
    <w:rsid w:val="008138A7"/>
    <w:rsid w:val="008138CA"/>
    <w:rsid w:val="00813957"/>
    <w:rsid w:val="00813FDB"/>
    <w:rsid w:val="00814379"/>
    <w:rsid w:val="00814385"/>
    <w:rsid w:val="008145D4"/>
    <w:rsid w:val="008146CA"/>
    <w:rsid w:val="0081494B"/>
    <w:rsid w:val="00814FA6"/>
    <w:rsid w:val="00814FAD"/>
    <w:rsid w:val="00814FF4"/>
    <w:rsid w:val="0081500E"/>
    <w:rsid w:val="0081527E"/>
    <w:rsid w:val="008152B6"/>
    <w:rsid w:val="0081532A"/>
    <w:rsid w:val="0081537E"/>
    <w:rsid w:val="008153BF"/>
    <w:rsid w:val="00815528"/>
    <w:rsid w:val="00815643"/>
    <w:rsid w:val="0081576C"/>
    <w:rsid w:val="00815931"/>
    <w:rsid w:val="00815945"/>
    <w:rsid w:val="00815A0D"/>
    <w:rsid w:val="00815E77"/>
    <w:rsid w:val="008167EB"/>
    <w:rsid w:val="00817317"/>
    <w:rsid w:val="008173D2"/>
    <w:rsid w:val="008175D0"/>
    <w:rsid w:val="00817C72"/>
    <w:rsid w:val="00817CD5"/>
    <w:rsid w:val="00817CE8"/>
    <w:rsid w:val="00817EDB"/>
    <w:rsid w:val="00817FC7"/>
    <w:rsid w:val="00820802"/>
    <w:rsid w:val="0082087B"/>
    <w:rsid w:val="00820BB6"/>
    <w:rsid w:val="00820F73"/>
    <w:rsid w:val="00820F76"/>
    <w:rsid w:val="008213BB"/>
    <w:rsid w:val="0082196A"/>
    <w:rsid w:val="00821CB3"/>
    <w:rsid w:val="008220CB"/>
    <w:rsid w:val="0082221B"/>
    <w:rsid w:val="008228E3"/>
    <w:rsid w:val="008229DD"/>
    <w:rsid w:val="00822AD8"/>
    <w:rsid w:val="00822C37"/>
    <w:rsid w:val="00822D0E"/>
    <w:rsid w:val="00822DE7"/>
    <w:rsid w:val="00822E63"/>
    <w:rsid w:val="00823065"/>
    <w:rsid w:val="0082319E"/>
    <w:rsid w:val="0082326A"/>
    <w:rsid w:val="0082338C"/>
    <w:rsid w:val="0082341D"/>
    <w:rsid w:val="00823588"/>
    <w:rsid w:val="00823752"/>
    <w:rsid w:val="00823D2D"/>
    <w:rsid w:val="00823E39"/>
    <w:rsid w:val="00823F53"/>
    <w:rsid w:val="00824126"/>
    <w:rsid w:val="0082431C"/>
    <w:rsid w:val="00824376"/>
    <w:rsid w:val="008245E9"/>
    <w:rsid w:val="00824905"/>
    <w:rsid w:val="00824B11"/>
    <w:rsid w:val="00824C88"/>
    <w:rsid w:val="00824E8A"/>
    <w:rsid w:val="00825120"/>
    <w:rsid w:val="00825509"/>
    <w:rsid w:val="008255A3"/>
    <w:rsid w:val="008255DA"/>
    <w:rsid w:val="00825850"/>
    <w:rsid w:val="00825AAD"/>
    <w:rsid w:val="00825BDB"/>
    <w:rsid w:val="00825DC1"/>
    <w:rsid w:val="00825EB7"/>
    <w:rsid w:val="008261E4"/>
    <w:rsid w:val="00826591"/>
    <w:rsid w:val="00826599"/>
    <w:rsid w:val="00826644"/>
    <w:rsid w:val="008269BC"/>
    <w:rsid w:val="00827700"/>
    <w:rsid w:val="00827ACD"/>
    <w:rsid w:val="00827BB7"/>
    <w:rsid w:val="00827C6D"/>
    <w:rsid w:val="00827E7C"/>
    <w:rsid w:val="00827F0F"/>
    <w:rsid w:val="008302BF"/>
    <w:rsid w:val="00830793"/>
    <w:rsid w:val="00830F2B"/>
    <w:rsid w:val="00830F3C"/>
    <w:rsid w:val="00830F6D"/>
    <w:rsid w:val="008310F1"/>
    <w:rsid w:val="00831539"/>
    <w:rsid w:val="0083183D"/>
    <w:rsid w:val="00831A7E"/>
    <w:rsid w:val="008320FC"/>
    <w:rsid w:val="00832124"/>
    <w:rsid w:val="00832310"/>
    <w:rsid w:val="0083233A"/>
    <w:rsid w:val="0083248D"/>
    <w:rsid w:val="008324AB"/>
    <w:rsid w:val="008327C9"/>
    <w:rsid w:val="0083288C"/>
    <w:rsid w:val="00832938"/>
    <w:rsid w:val="00832B49"/>
    <w:rsid w:val="00832D25"/>
    <w:rsid w:val="00832D84"/>
    <w:rsid w:val="00832F8B"/>
    <w:rsid w:val="00832F8E"/>
    <w:rsid w:val="00833204"/>
    <w:rsid w:val="00833312"/>
    <w:rsid w:val="00833336"/>
    <w:rsid w:val="00833628"/>
    <w:rsid w:val="00833893"/>
    <w:rsid w:val="00833B2B"/>
    <w:rsid w:val="00833B58"/>
    <w:rsid w:val="00833B6D"/>
    <w:rsid w:val="00833C10"/>
    <w:rsid w:val="00833CED"/>
    <w:rsid w:val="00833D69"/>
    <w:rsid w:val="00833E47"/>
    <w:rsid w:val="00833F3A"/>
    <w:rsid w:val="00834136"/>
    <w:rsid w:val="00834197"/>
    <w:rsid w:val="008346ED"/>
    <w:rsid w:val="0083470B"/>
    <w:rsid w:val="00834812"/>
    <w:rsid w:val="008348A9"/>
    <w:rsid w:val="00834BFE"/>
    <w:rsid w:val="00834C5B"/>
    <w:rsid w:val="00834D06"/>
    <w:rsid w:val="00834F33"/>
    <w:rsid w:val="00834F68"/>
    <w:rsid w:val="00835319"/>
    <w:rsid w:val="00835538"/>
    <w:rsid w:val="00835A35"/>
    <w:rsid w:val="00835E00"/>
    <w:rsid w:val="00836418"/>
    <w:rsid w:val="0083681C"/>
    <w:rsid w:val="0083695C"/>
    <w:rsid w:val="00836D07"/>
    <w:rsid w:val="00836D09"/>
    <w:rsid w:val="00836F05"/>
    <w:rsid w:val="0083707A"/>
    <w:rsid w:val="00837082"/>
    <w:rsid w:val="00837150"/>
    <w:rsid w:val="00837493"/>
    <w:rsid w:val="00837863"/>
    <w:rsid w:val="00837B84"/>
    <w:rsid w:val="00837C68"/>
    <w:rsid w:val="00837D7E"/>
    <w:rsid w:val="00840096"/>
    <w:rsid w:val="00840270"/>
    <w:rsid w:val="00840562"/>
    <w:rsid w:val="0084059A"/>
    <w:rsid w:val="00840700"/>
    <w:rsid w:val="008407DA"/>
    <w:rsid w:val="00840836"/>
    <w:rsid w:val="00840A13"/>
    <w:rsid w:val="00840B28"/>
    <w:rsid w:val="00840B2E"/>
    <w:rsid w:val="00840B45"/>
    <w:rsid w:val="00840EEB"/>
    <w:rsid w:val="00840F3A"/>
    <w:rsid w:val="0084124A"/>
    <w:rsid w:val="008412F9"/>
    <w:rsid w:val="0084147A"/>
    <w:rsid w:val="008414B0"/>
    <w:rsid w:val="008416B6"/>
    <w:rsid w:val="0084186B"/>
    <w:rsid w:val="008418B2"/>
    <w:rsid w:val="008419EA"/>
    <w:rsid w:val="008420D3"/>
    <w:rsid w:val="00842128"/>
    <w:rsid w:val="0084247A"/>
    <w:rsid w:val="008424DB"/>
    <w:rsid w:val="00842652"/>
    <w:rsid w:val="0084289F"/>
    <w:rsid w:val="00842D5E"/>
    <w:rsid w:val="00842EDD"/>
    <w:rsid w:val="0084309F"/>
    <w:rsid w:val="008430EB"/>
    <w:rsid w:val="008435B5"/>
    <w:rsid w:val="008435D5"/>
    <w:rsid w:val="008435E8"/>
    <w:rsid w:val="0084366E"/>
    <w:rsid w:val="00843935"/>
    <w:rsid w:val="00843942"/>
    <w:rsid w:val="00843979"/>
    <w:rsid w:val="00843A76"/>
    <w:rsid w:val="00843AB5"/>
    <w:rsid w:val="00843C1D"/>
    <w:rsid w:val="00843CF2"/>
    <w:rsid w:val="00843F64"/>
    <w:rsid w:val="0084402E"/>
    <w:rsid w:val="008440A2"/>
    <w:rsid w:val="0084456D"/>
    <w:rsid w:val="008449EC"/>
    <w:rsid w:val="00844ACC"/>
    <w:rsid w:val="00845303"/>
    <w:rsid w:val="00845859"/>
    <w:rsid w:val="0084594B"/>
    <w:rsid w:val="00845C84"/>
    <w:rsid w:val="00845CF3"/>
    <w:rsid w:val="00845D38"/>
    <w:rsid w:val="00846380"/>
    <w:rsid w:val="008464A7"/>
    <w:rsid w:val="00846725"/>
    <w:rsid w:val="00846858"/>
    <w:rsid w:val="00846B40"/>
    <w:rsid w:val="00846C20"/>
    <w:rsid w:val="00847111"/>
    <w:rsid w:val="008471CD"/>
    <w:rsid w:val="0084724C"/>
    <w:rsid w:val="00847363"/>
    <w:rsid w:val="00847397"/>
    <w:rsid w:val="008473E1"/>
    <w:rsid w:val="00847551"/>
    <w:rsid w:val="008475B5"/>
    <w:rsid w:val="00847628"/>
    <w:rsid w:val="00847653"/>
    <w:rsid w:val="00847664"/>
    <w:rsid w:val="0084776F"/>
    <w:rsid w:val="008477A6"/>
    <w:rsid w:val="00847833"/>
    <w:rsid w:val="00847AAD"/>
    <w:rsid w:val="0085004E"/>
    <w:rsid w:val="00850133"/>
    <w:rsid w:val="008502B8"/>
    <w:rsid w:val="008504E9"/>
    <w:rsid w:val="008505CA"/>
    <w:rsid w:val="008505EA"/>
    <w:rsid w:val="008507C6"/>
    <w:rsid w:val="00850928"/>
    <w:rsid w:val="00850D91"/>
    <w:rsid w:val="00851943"/>
    <w:rsid w:val="008519BA"/>
    <w:rsid w:val="00851E92"/>
    <w:rsid w:val="00851FC4"/>
    <w:rsid w:val="0085221A"/>
    <w:rsid w:val="00852549"/>
    <w:rsid w:val="00852701"/>
    <w:rsid w:val="0085273F"/>
    <w:rsid w:val="00852C74"/>
    <w:rsid w:val="00852D21"/>
    <w:rsid w:val="0085376F"/>
    <w:rsid w:val="008538B3"/>
    <w:rsid w:val="008538C6"/>
    <w:rsid w:val="00853C58"/>
    <w:rsid w:val="008542DF"/>
    <w:rsid w:val="008549D8"/>
    <w:rsid w:val="00854B98"/>
    <w:rsid w:val="00854DAD"/>
    <w:rsid w:val="0085566F"/>
    <w:rsid w:val="008559C4"/>
    <w:rsid w:val="00855CAC"/>
    <w:rsid w:val="008562BD"/>
    <w:rsid w:val="00856524"/>
    <w:rsid w:val="00856589"/>
    <w:rsid w:val="00856CAA"/>
    <w:rsid w:val="00856E0E"/>
    <w:rsid w:val="00856E45"/>
    <w:rsid w:val="00857139"/>
    <w:rsid w:val="008572D2"/>
    <w:rsid w:val="008577F4"/>
    <w:rsid w:val="0085798C"/>
    <w:rsid w:val="008579F1"/>
    <w:rsid w:val="00857CCD"/>
    <w:rsid w:val="00857FF5"/>
    <w:rsid w:val="008604BA"/>
    <w:rsid w:val="0086050D"/>
    <w:rsid w:val="00860DB8"/>
    <w:rsid w:val="00860FA5"/>
    <w:rsid w:val="0086115D"/>
    <w:rsid w:val="008612E8"/>
    <w:rsid w:val="00861353"/>
    <w:rsid w:val="00861832"/>
    <w:rsid w:val="008618A0"/>
    <w:rsid w:val="00861915"/>
    <w:rsid w:val="00861A1D"/>
    <w:rsid w:val="00861AFE"/>
    <w:rsid w:val="00862743"/>
    <w:rsid w:val="00862A54"/>
    <w:rsid w:val="00862AD1"/>
    <w:rsid w:val="00862EB3"/>
    <w:rsid w:val="0086368D"/>
    <w:rsid w:val="008636A1"/>
    <w:rsid w:val="008636E1"/>
    <w:rsid w:val="00863A7D"/>
    <w:rsid w:val="00863B3B"/>
    <w:rsid w:val="00863B4B"/>
    <w:rsid w:val="00863BA7"/>
    <w:rsid w:val="00864174"/>
    <w:rsid w:val="008643E6"/>
    <w:rsid w:val="008644B9"/>
    <w:rsid w:val="008644F6"/>
    <w:rsid w:val="008645F1"/>
    <w:rsid w:val="008649D3"/>
    <w:rsid w:val="00864A73"/>
    <w:rsid w:val="00864B7F"/>
    <w:rsid w:val="00864D10"/>
    <w:rsid w:val="00864E42"/>
    <w:rsid w:val="00865341"/>
    <w:rsid w:val="00865B3C"/>
    <w:rsid w:val="00866267"/>
    <w:rsid w:val="00866A8F"/>
    <w:rsid w:val="00866EB6"/>
    <w:rsid w:val="00866FF8"/>
    <w:rsid w:val="00867119"/>
    <w:rsid w:val="008675AC"/>
    <w:rsid w:val="00870165"/>
    <w:rsid w:val="0087028B"/>
    <w:rsid w:val="0087047A"/>
    <w:rsid w:val="00870A48"/>
    <w:rsid w:val="00870B12"/>
    <w:rsid w:val="00870E17"/>
    <w:rsid w:val="00870E89"/>
    <w:rsid w:val="0087121F"/>
    <w:rsid w:val="008712D8"/>
    <w:rsid w:val="0087160B"/>
    <w:rsid w:val="0087161F"/>
    <w:rsid w:val="0087177B"/>
    <w:rsid w:val="00871804"/>
    <w:rsid w:val="008719EA"/>
    <w:rsid w:val="00871B2D"/>
    <w:rsid w:val="00871C93"/>
    <w:rsid w:val="00871E37"/>
    <w:rsid w:val="00871E63"/>
    <w:rsid w:val="00871FAF"/>
    <w:rsid w:val="008720C3"/>
    <w:rsid w:val="0087257D"/>
    <w:rsid w:val="008728DB"/>
    <w:rsid w:val="008729C3"/>
    <w:rsid w:val="00872A20"/>
    <w:rsid w:val="00872A78"/>
    <w:rsid w:val="00872ADD"/>
    <w:rsid w:val="00872CBB"/>
    <w:rsid w:val="00872DA2"/>
    <w:rsid w:val="00872DCD"/>
    <w:rsid w:val="008730BE"/>
    <w:rsid w:val="00873219"/>
    <w:rsid w:val="0087355D"/>
    <w:rsid w:val="00873781"/>
    <w:rsid w:val="008738DA"/>
    <w:rsid w:val="00873A95"/>
    <w:rsid w:val="00873AD2"/>
    <w:rsid w:val="00873C8C"/>
    <w:rsid w:val="00873EE3"/>
    <w:rsid w:val="008740AD"/>
    <w:rsid w:val="0087450C"/>
    <w:rsid w:val="008747F1"/>
    <w:rsid w:val="0087487B"/>
    <w:rsid w:val="008749FB"/>
    <w:rsid w:val="00874C8C"/>
    <w:rsid w:val="00874F98"/>
    <w:rsid w:val="008751AD"/>
    <w:rsid w:val="00875214"/>
    <w:rsid w:val="008753FF"/>
    <w:rsid w:val="0087561E"/>
    <w:rsid w:val="00875952"/>
    <w:rsid w:val="00875B3A"/>
    <w:rsid w:val="00875B6F"/>
    <w:rsid w:val="00875D7E"/>
    <w:rsid w:val="00875F0B"/>
    <w:rsid w:val="008761D0"/>
    <w:rsid w:val="008764F3"/>
    <w:rsid w:val="00876592"/>
    <w:rsid w:val="00876688"/>
    <w:rsid w:val="00876AB1"/>
    <w:rsid w:val="00876BFA"/>
    <w:rsid w:val="00876D53"/>
    <w:rsid w:val="00876E0B"/>
    <w:rsid w:val="00876E27"/>
    <w:rsid w:val="008770BC"/>
    <w:rsid w:val="0087718E"/>
    <w:rsid w:val="008772B6"/>
    <w:rsid w:val="0087752F"/>
    <w:rsid w:val="00877839"/>
    <w:rsid w:val="0087788E"/>
    <w:rsid w:val="00877C50"/>
    <w:rsid w:val="00880183"/>
    <w:rsid w:val="0088024C"/>
    <w:rsid w:val="0088066F"/>
    <w:rsid w:val="00880CC7"/>
    <w:rsid w:val="00880E1C"/>
    <w:rsid w:val="00880EC5"/>
    <w:rsid w:val="0088107F"/>
    <w:rsid w:val="008813CC"/>
    <w:rsid w:val="008814AB"/>
    <w:rsid w:val="008814DA"/>
    <w:rsid w:val="00881785"/>
    <w:rsid w:val="0088193A"/>
    <w:rsid w:val="00881B60"/>
    <w:rsid w:val="00881B95"/>
    <w:rsid w:val="00881BE9"/>
    <w:rsid w:val="00881CA0"/>
    <w:rsid w:val="00881E8C"/>
    <w:rsid w:val="00881FDB"/>
    <w:rsid w:val="0088258C"/>
    <w:rsid w:val="00882AB8"/>
    <w:rsid w:val="00882C88"/>
    <w:rsid w:val="00882D7A"/>
    <w:rsid w:val="00882F91"/>
    <w:rsid w:val="00883901"/>
    <w:rsid w:val="00883A63"/>
    <w:rsid w:val="00883C1D"/>
    <w:rsid w:val="00883C92"/>
    <w:rsid w:val="00883ED4"/>
    <w:rsid w:val="00884056"/>
    <w:rsid w:val="008843D3"/>
    <w:rsid w:val="008843FC"/>
    <w:rsid w:val="008847BF"/>
    <w:rsid w:val="00884996"/>
    <w:rsid w:val="00884B57"/>
    <w:rsid w:val="00884E21"/>
    <w:rsid w:val="0088515B"/>
    <w:rsid w:val="0088516B"/>
    <w:rsid w:val="00885381"/>
    <w:rsid w:val="0088541E"/>
    <w:rsid w:val="0088557F"/>
    <w:rsid w:val="008856A3"/>
    <w:rsid w:val="008857EA"/>
    <w:rsid w:val="0088583E"/>
    <w:rsid w:val="00885945"/>
    <w:rsid w:val="00885B55"/>
    <w:rsid w:val="00885C91"/>
    <w:rsid w:val="00885E4C"/>
    <w:rsid w:val="008862C4"/>
    <w:rsid w:val="0088646F"/>
    <w:rsid w:val="008865E7"/>
    <w:rsid w:val="00886822"/>
    <w:rsid w:val="008868B1"/>
    <w:rsid w:val="0088695F"/>
    <w:rsid w:val="00886E75"/>
    <w:rsid w:val="00886EE9"/>
    <w:rsid w:val="008870FA"/>
    <w:rsid w:val="00887162"/>
    <w:rsid w:val="008872A9"/>
    <w:rsid w:val="00887974"/>
    <w:rsid w:val="00887BA2"/>
    <w:rsid w:val="00887C12"/>
    <w:rsid w:val="00887ED8"/>
    <w:rsid w:val="00887F92"/>
    <w:rsid w:val="00890021"/>
    <w:rsid w:val="00890703"/>
    <w:rsid w:val="008907E7"/>
    <w:rsid w:val="00890858"/>
    <w:rsid w:val="0089099B"/>
    <w:rsid w:val="00890BE2"/>
    <w:rsid w:val="00890D1E"/>
    <w:rsid w:val="00890FD8"/>
    <w:rsid w:val="008912E9"/>
    <w:rsid w:val="008913F2"/>
    <w:rsid w:val="0089176D"/>
    <w:rsid w:val="00891FA5"/>
    <w:rsid w:val="00892118"/>
    <w:rsid w:val="00892434"/>
    <w:rsid w:val="008924BF"/>
    <w:rsid w:val="0089281A"/>
    <w:rsid w:val="0089296E"/>
    <w:rsid w:val="00892D81"/>
    <w:rsid w:val="00892D90"/>
    <w:rsid w:val="00892F47"/>
    <w:rsid w:val="00893195"/>
    <w:rsid w:val="00893642"/>
    <w:rsid w:val="00893A3E"/>
    <w:rsid w:val="00893AC2"/>
    <w:rsid w:val="00893B18"/>
    <w:rsid w:val="00893B68"/>
    <w:rsid w:val="00893C07"/>
    <w:rsid w:val="00893CCD"/>
    <w:rsid w:val="00893E91"/>
    <w:rsid w:val="00894196"/>
    <w:rsid w:val="00894246"/>
    <w:rsid w:val="008942DA"/>
    <w:rsid w:val="0089456B"/>
    <w:rsid w:val="008949B1"/>
    <w:rsid w:val="00894CF8"/>
    <w:rsid w:val="00894E07"/>
    <w:rsid w:val="0089580D"/>
    <w:rsid w:val="0089591C"/>
    <w:rsid w:val="00895C1E"/>
    <w:rsid w:val="00895E42"/>
    <w:rsid w:val="00896016"/>
    <w:rsid w:val="008960E4"/>
    <w:rsid w:val="008962DD"/>
    <w:rsid w:val="008965C4"/>
    <w:rsid w:val="008966D3"/>
    <w:rsid w:val="0089678D"/>
    <w:rsid w:val="0089697E"/>
    <w:rsid w:val="00896B04"/>
    <w:rsid w:val="00896C5D"/>
    <w:rsid w:val="00896E4B"/>
    <w:rsid w:val="0089770A"/>
    <w:rsid w:val="00897DDA"/>
    <w:rsid w:val="00897F29"/>
    <w:rsid w:val="00897F73"/>
    <w:rsid w:val="008A002F"/>
    <w:rsid w:val="008A021F"/>
    <w:rsid w:val="008A0676"/>
    <w:rsid w:val="008A07A7"/>
    <w:rsid w:val="008A080E"/>
    <w:rsid w:val="008A0A2D"/>
    <w:rsid w:val="008A0B49"/>
    <w:rsid w:val="008A0B4A"/>
    <w:rsid w:val="008A0FD6"/>
    <w:rsid w:val="008A14E5"/>
    <w:rsid w:val="008A1C4A"/>
    <w:rsid w:val="008A1ED1"/>
    <w:rsid w:val="008A2222"/>
    <w:rsid w:val="008A22B9"/>
    <w:rsid w:val="008A2615"/>
    <w:rsid w:val="008A29B3"/>
    <w:rsid w:val="008A29B9"/>
    <w:rsid w:val="008A2C6B"/>
    <w:rsid w:val="008A2C9B"/>
    <w:rsid w:val="008A2D95"/>
    <w:rsid w:val="008A3554"/>
    <w:rsid w:val="008A37D9"/>
    <w:rsid w:val="008A3997"/>
    <w:rsid w:val="008A3C2A"/>
    <w:rsid w:val="008A3D24"/>
    <w:rsid w:val="008A3E73"/>
    <w:rsid w:val="008A3F2F"/>
    <w:rsid w:val="008A411F"/>
    <w:rsid w:val="008A478C"/>
    <w:rsid w:val="008A4859"/>
    <w:rsid w:val="008A4935"/>
    <w:rsid w:val="008A4B33"/>
    <w:rsid w:val="008A4CC6"/>
    <w:rsid w:val="008A4DB8"/>
    <w:rsid w:val="008A514D"/>
    <w:rsid w:val="008A53AD"/>
    <w:rsid w:val="008A53CE"/>
    <w:rsid w:val="008A57D4"/>
    <w:rsid w:val="008A5A6E"/>
    <w:rsid w:val="008A5BD5"/>
    <w:rsid w:val="008A5CBE"/>
    <w:rsid w:val="008A5CD8"/>
    <w:rsid w:val="008A5F1A"/>
    <w:rsid w:val="008A5F5D"/>
    <w:rsid w:val="008A61B3"/>
    <w:rsid w:val="008A635F"/>
    <w:rsid w:val="008A650F"/>
    <w:rsid w:val="008A6802"/>
    <w:rsid w:val="008A68BB"/>
    <w:rsid w:val="008A6AC2"/>
    <w:rsid w:val="008A6ADB"/>
    <w:rsid w:val="008A6C86"/>
    <w:rsid w:val="008A713B"/>
    <w:rsid w:val="008A731A"/>
    <w:rsid w:val="008A73E2"/>
    <w:rsid w:val="008A7445"/>
    <w:rsid w:val="008A7866"/>
    <w:rsid w:val="008A78F6"/>
    <w:rsid w:val="008A7B9B"/>
    <w:rsid w:val="008A7C3C"/>
    <w:rsid w:val="008B01D4"/>
    <w:rsid w:val="008B0314"/>
    <w:rsid w:val="008B0332"/>
    <w:rsid w:val="008B06F2"/>
    <w:rsid w:val="008B0942"/>
    <w:rsid w:val="008B0996"/>
    <w:rsid w:val="008B0A33"/>
    <w:rsid w:val="008B0CFB"/>
    <w:rsid w:val="008B0EC0"/>
    <w:rsid w:val="008B1220"/>
    <w:rsid w:val="008B12F8"/>
    <w:rsid w:val="008B1365"/>
    <w:rsid w:val="008B1666"/>
    <w:rsid w:val="008B16CF"/>
    <w:rsid w:val="008B1B53"/>
    <w:rsid w:val="008B1B80"/>
    <w:rsid w:val="008B1D1A"/>
    <w:rsid w:val="008B213C"/>
    <w:rsid w:val="008B23C9"/>
    <w:rsid w:val="008B23CD"/>
    <w:rsid w:val="008B2638"/>
    <w:rsid w:val="008B2B96"/>
    <w:rsid w:val="008B2BE7"/>
    <w:rsid w:val="008B2D8C"/>
    <w:rsid w:val="008B2F77"/>
    <w:rsid w:val="008B2F88"/>
    <w:rsid w:val="008B306C"/>
    <w:rsid w:val="008B3215"/>
    <w:rsid w:val="008B32F1"/>
    <w:rsid w:val="008B3532"/>
    <w:rsid w:val="008B35D2"/>
    <w:rsid w:val="008B37DB"/>
    <w:rsid w:val="008B399B"/>
    <w:rsid w:val="008B3BC4"/>
    <w:rsid w:val="008B45A4"/>
    <w:rsid w:val="008B472B"/>
    <w:rsid w:val="008B4B1E"/>
    <w:rsid w:val="008B4B96"/>
    <w:rsid w:val="008B4D35"/>
    <w:rsid w:val="008B518B"/>
    <w:rsid w:val="008B51B5"/>
    <w:rsid w:val="008B5334"/>
    <w:rsid w:val="008B557A"/>
    <w:rsid w:val="008B594E"/>
    <w:rsid w:val="008B5B1E"/>
    <w:rsid w:val="008B5BB7"/>
    <w:rsid w:val="008B5E1F"/>
    <w:rsid w:val="008B62D1"/>
    <w:rsid w:val="008B6373"/>
    <w:rsid w:val="008B648B"/>
    <w:rsid w:val="008B6A1F"/>
    <w:rsid w:val="008B6C1A"/>
    <w:rsid w:val="008B6F23"/>
    <w:rsid w:val="008B71ED"/>
    <w:rsid w:val="008B7636"/>
    <w:rsid w:val="008B763D"/>
    <w:rsid w:val="008B7725"/>
    <w:rsid w:val="008B77F0"/>
    <w:rsid w:val="008B77F8"/>
    <w:rsid w:val="008B7AB0"/>
    <w:rsid w:val="008B7CAA"/>
    <w:rsid w:val="008B7DE3"/>
    <w:rsid w:val="008B7E12"/>
    <w:rsid w:val="008C0061"/>
    <w:rsid w:val="008C0646"/>
    <w:rsid w:val="008C0758"/>
    <w:rsid w:val="008C08AB"/>
    <w:rsid w:val="008C09A9"/>
    <w:rsid w:val="008C0A0F"/>
    <w:rsid w:val="008C0C41"/>
    <w:rsid w:val="008C0F47"/>
    <w:rsid w:val="008C0F96"/>
    <w:rsid w:val="008C109F"/>
    <w:rsid w:val="008C10E6"/>
    <w:rsid w:val="008C10F3"/>
    <w:rsid w:val="008C15C8"/>
    <w:rsid w:val="008C1828"/>
    <w:rsid w:val="008C1B0F"/>
    <w:rsid w:val="008C1B3A"/>
    <w:rsid w:val="008C1B68"/>
    <w:rsid w:val="008C2269"/>
    <w:rsid w:val="008C2471"/>
    <w:rsid w:val="008C2850"/>
    <w:rsid w:val="008C2BD6"/>
    <w:rsid w:val="008C2C4B"/>
    <w:rsid w:val="008C2F65"/>
    <w:rsid w:val="008C3037"/>
    <w:rsid w:val="008C3133"/>
    <w:rsid w:val="008C3146"/>
    <w:rsid w:val="008C31BF"/>
    <w:rsid w:val="008C3665"/>
    <w:rsid w:val="008C393A"/>
    <w:rsid w:val="008C3AD9"/>
    <w:rsid w:val="008C3D3F"/>
    <w:rsid w:val="008C3ED3"/>
    <w:rsid w:val="008C3F19"/>
    <w:rsid w:val="008C3FDE"/>
    <w:rsid w:val="008C41A0"/>
    <w:rsid w:val="008C41B5"/>
    <w:rsid w:val="008C46B2"/>
    <w:rsid w:val="008C46B5"/>
    <w:rsid w:val="008C4A0D"/>
    <w:rsid w:val="008C4DB0"/>
    <w:rsid w:val="008C4F24"/>
    <w:rsid w:val="008C4FB7"/>
    <w:rsid w:val="008C5302"/>
    <w:rsid w:val="008C5F03"/>
    <w:rsid w:val="008C61A6"/>
    <w:rsid w:val="008C61FE"/>
    <w:rsid w:val="008C6445"/>
    <w:rsid w:val="008C6616"/>
    <w:rsid w:val="008C66DA"/>
    <w:rsid w:val="008C6721"/>
    <w:rsid w:val="008C6C04"/>
    <w:rsid w:val="008C6DC3"/>
    <w:rsid w:val="008C6E2B"/>
    <w:rsid w:val="008C7048"/>
    <w:rsid w:val="008C70EC"/>
    <w:rsid w:val="008C7170"/>
    <w:rsid w:val="008C745E"/>
    <w:rsid w:val="008C797F"/>
    <w:rsid w:val="008C7998"/>
    <w:rsid w:val="008C7E32"/>
    <w:rsid w:val="008C7F01"/>
    <w:rsid w:val="008C7F3C"/>
    <w:rsid w:val="008D04A1"/>
    <w:rsid w:val="008D05EE"/>
    <w:rsid w:val="008D08D9"/>
    <w:rsid w:val="008D09AD"/>
    <w:rsid w:val="008D0DDD"/>
    <w:rsid w:val="008D153F"/>
    <w:rsid w:val="008D185B"/>
    <w:rsid w:val="008D188A"/>
    <w:rsid w:val="008D1B70"/>
    <w:rsid w:val="008D1CF8"/>
    <w:rsid w:val="008D1F4B"/>
    <w:rsid w:val="008D2497"/>
    <w:rsid w:val="008D2909"/>
    <w:rsid w:val="008D29B7"/>
    <w:rsid w:val="008D2AAD"/>
    <w:rsid w:val="008D2BEE"/>
    <w:rsid w:val="008D2C69"/>
    <w:rsid w:val="008D3360"/>
    <w:rsid w:val="008D337F"/>
    <w:rsid w:val="008D33AC"/>
    <w:rsid w:val="008D375B"/>
    <w:rsid w:val="008D3AC9"/>
    <w:rsid w:val="008D3C45"/>
    <w:rsid w:val="008D3D74"/>
    <w:rsid w:val="008D4022"/>
    <w:rsid w:val="008D46C1"/>
    <w:rsid w:val="008D4731"/>
    <w:rsid w:val="008D4802"/>
    <w:rsid w:val="008D4C29"/>
    <w:rsid w:val="008D4F8E"/>
    <w:rsid w:val="008D50CB"/>
    <w:rsid w:val="008D542F"/>
    <w:rsid w:val="008D5544"/>
    <w:rsid w:val="008D5640"/>
    <w:rsid w:val="008D591F"/>
    <w:rsid w:val="008D5989"/>
    <w:rsid w:val="008D5AA8"/>
    <w:rsid w:val="008D5F18"/>
    <w:rsid w:val="008D6042"/>
    <w:rsid w:val="008D6564"/>
    <w:rsid w:val="008D672E"/>
    <w:rsid w:val="008D6777"/>
    <w:rsid w:val="008D678D"/>
    <w:rsid w:val="008D67C1"/>
    <w:rsid w:val="008D6A0E"/>
    <w:rsid w:val="008D6C51"/>
    <w:rsid w:val="008D6CF6"/>
    <w:rsid w:val="008D6ED4"/>
    <w:rsid w:val="008D72F9"/>
    <w:rsid w:val="008D73C9"/>
    <w:rsid w:val="008D740B"/>
    <w:rsid w:val="008D776A"/>
    <w:rsid w:val="008D788E"/>
    <w:rsid w:val="008D7A44"/>
    <w:rsid w:val="008D7AF1"/>
    <w:rsid w:val="008D7D68"/>
    <w:rsid w:val="008E02E7"/>
    <w:rsid w:val="008E032F"/>
    <w:rsid w:val="008E06FE"/>
    <w:rsid w:val="008E080E"/>
    <w:rsid w:val="008E09CB"/>
    <w:rsid w:val="008E0F16"/>
    <w:rsid w:val="008E12E1"/>
    <w:rsid w:val="008E130F"/>
    <w:rsid w:val="008E1552"/>
    <w:rsid w:val="008E1A18"/>
    <w:rsid w:val="008E1B1E"/>
    <w:rsid w:val="008E1B75"/>
    <w:rsid w:val="008E21E2"/>
    <w:rsid w:val="008E22A9"/>
    <w:rsid w:val="008E288C"/>
    <w:rsid w:val="008E29B3"/>
    <w:rsid w:val="008E2C1F"/>
    <w:rsid w:val="008E2D2A"/>
    <w:rsid w:val="008E2D92"/>
    <w:rsid w:val="008E2F69"/>
    <w:rsid w:val="008E334F"/>
    <w:rsid w:val="008E378E"/>
    <w:rsid w:val="008E3D4E"/>
    <w:rsid w:val="008E42C9"/>
    <w:rsid w:val="008E432B"/>
    <w:rsid w:val="008E4485"/>
    <w:rsid w:val="008E45D2"/>
    <w:rsid w:val="008E4746"/>
    <w:rsid w:val="008E47C1"/>
    <w:rsid w:val="008E48DE"/>
    <w:rsid w:val="008E4BC5"/>
    <w:rsid w:val="008E5167"/>
    <w:rsid w:val="008E5445"/>
    <w:rsid w:val="008E54E4"/>
    <w:rsid w:val="008E55EE"/>
    <w:rsid w:val="008E5752"/>
    <w:rsid w:val="008E57CE"/>
    <w:rsid w:val="008E5867"/>
    <w:rsid w:val="008E5B36"/>
    <w:rsid w:val="008E5C52"/>
    <w:rsid w:val="008E5D78"/>
    <w:rsid w:val="008E5F02"/>
    <w:rsid w:val="008E6178"/>
    <w:rsid w:val="008E6236"/>
    <w:rsid w:val="008E6485"/>
    <w:rsid w:val="008E6832"/>
    <w:rsid w:val="008E69D6"/>
    <w:rsid w:val="008E6D16"/>
    <w:rsid w:val="008E6FD7"/>
    <w:rsid w:val="008E71C5"/>
    <w:rsid w:val="008E72FD"/>
    <w:rsid w:val="008E7396"/>
    <w:rsid w:val="008E7A20"/>
    <w:rsid w:val="008E7D40"/>
    <w:rsid w:val="008E7F16"/>
    <w:rsid w:val="008F007E"/>
    <w:rsid w:val="008F052A"/>
    <w:rsid w:val="008F05F2"/>
    <w:rsid w:val="008F061C"/>
    <w:rsid w:val="008F07DF"/>
    <w:rsid w:val="008F084E"/>
    <w:rsid w:val="008F0973"/>
    <w:rsid w:val="008F0A3B"/>
    <w:rsid w:val="008F0A42"/>
    <w:rsid w:val="008F0BA8"/>
    <w:rsid w:val="008F0C6B"/>
    <w:rsid w:val="008F1007"/>
    <w:rsid w:val="008F10DE"/>
    <w:rsid w:val="008F1152"/>
    <w:rsid w:val="008F120F"/>
    <w:rsid w:val="008F12DF"/>
    <w:rsid w:val="008F13C0"/>
    <w:rsid w:val="008F1449"/>
    <w:rsid w:val="008F1965"/>
    <w:rsid w:val="008F1A19"/>
    <w:rsid w:val="008F1CBF"/>
    <w:rsid w:val="008F1FBA"/>
    <w:rsid w:val="008F2173"/>
    <w:rsid w:val="008F231E"/>
    <w:rsid w:val="008F28E7"/>
    <w:rsid w:val="008F2AAC"/>
    <w:rsid w:val="008F2B60"/>
    <w:rsid w:val="008F2C7A"/>
    <w:rsid w:val="008F2F31"/>
    <w:rsid w:val="008F308A"/>
    <w:rsid w:val="008F3171"/>
    <w:rsid w:val="008F3314"/>
    <w:rsid w:val="008F332A"/>
    <w:rsid w:val="008F394C"/>
    <w:rsid w:val="008F3D18"/>
    <w:rsid w:val="008F4147"/>
    <w:rsid w:val="008F44CE"/>
    <w:rsid w:val="008F44FD"/>
    <w:rsid w:val="008F4561"/>
    <w:rsid w:val="008F47EC"/>
    <w:rsid w:val="008F4DB4"/>
    <w:rsid w:val="008F50F9"/>
    <w:rsid w:val="008F51BC"/>
    <w:rsid w:val="008F591D"/>
    <w:rsid w:val="008F5CFB"/>
    <w:rsid w:val="008F62A2"/>
    <w:rsid w:val="008F62BA"/>
    <w:rsid w:val="008F630C"/>
    <w:rsid w:val="008F6391"/>
    <w:rsid w:val="008F65B8"/>
    <w:rsid w:val="008F672B"/>
    <w:rsid w:val="008F6D62"/>
    <w:rsid w:val="008F6E62"/>
    <w:rsid w:val="008F70A9"/>
    <w:rsid w:val="008F7334"/>
    <w:rsid w:val="008F7403"/>
    <w:rsid w:val="008F793C"/>
    <w:rsid w:val="008F7984"/>
    <w:rsid w:val="008F7A98"/>
    <w:rsid w:val="008F7DF4"/>
    <w:rsid w:val="008F7F8C"/>
    <w:rsid w:val="009004DD"/>
    <w:rsid w:val="00900557"/>
    <w:rsid w:val="00900771"/>
    <w:rsid w:val="00900923"/>
    <w:rsid w:val="00900AC6"/>
    <w:rsid w:val="00900C2F"/>
    <w:rsid w:val="0090123D"/>
    <w:rsid w:val="00901377"/>
    <w:rsid w:val="0090137B"/>
    <w:rsid w:val="009014B8"/>
    <w:rsid w:val="009018F1"/>
    <w:rsid w:val="0090190F"/>
    <w:rsid w:val="00901D1A"/>
    <w:rsid w:val="00901D35"/>
    <w:rsid w:val="009024A6"/>
    <w:rsid w:val="009028C7"/>
    <w:rsid w:val="00902963"/>
    <w:rsid w:val="00902BA2"/>
    <w:rsid w:val="00902D4F"/>
    <w:rsid w:val="00902DE8"/>
    <w:rsid w:val="009030CE"/>
    <w:rsid w:val="009031D6"/>
    <w:rsid w:val="009035A2"/>
    <w:rsid w:val="00903668"/>
    <w:rsid w:val="00903AE5"/>
    <w:rsid w:val="00903C13"/>
    <w:rsid w:val="00903C82"/>
    <w:rsid w:val="009040D6"/>
    <w:rsid w:val="009040F9"/>
    <w:rsid w:val="0090452C"/>
    <w:rsid w:val="00904569"/>
    <w:rsid w:val="00904984"/>
    <w:rsid w:val="00904BA2"/>
    <w:rsid w:val="00904C7D"/>
    <w:rsid w:val="00904F75"/>
    <w:rsid w:val="009051AC"/>
    <w:rsid w:val="00905393"/>
    <w:rsid w:val="009055AE"/>
    <w:rsid w:val="009055E9"/>
    <w:rsid w:val="009057AF"/>
    <w:rsid w:val="009057E3"/>
    <w:rsid w:val="00905B19"/>
    <w:rsid w:val="00905B48"/>
    <w:rsid w:val="00905B61"/>
    <w:rsid w:val="009060C5"/>
    <w:rsid w:val="0090620F"/>
    <w:rsid w:val="00906661"/>
    <w:rsid w:val="00906778"/>
    <w:rsid w:val="009069D7"/>
    <w:rsid w:val="00906CB2"/>
    <w:rsid w:val="00906E78"/>
    <w:rsid w:val="00906FCB"/>
    <w:rsid w:val="00907287"/>
    <w:rsid w:val="0090729C"/>
    <w:rsid w:val="00907320"/>
    <w:rsid w:val="009074EA"/>
    <w:rsid w:val="00907875"/>
    <w:rsid w:val="00907E18"/>
    <w:rsid w:val="00907ED1"/>
    <w:rsid w:val="00910032"/>
    <w:rsid w:val="009101B0"/>
    <w:rsid w:val="0091025F"/>
    <w:rsid w:val="009109D3"/>
    <w:rsid w:val="00910A83"/>
    <w:rsid w:val="00910C08"/>
    <w:rsid w:val="00910CEF"/>
    <w:rsid w:val="00910D18"/>
    <w:rsid w:val="0091103B"/>
    <w:rsid w:val="00911185"/>
    <w:rsid w:val="00911366"/>
    <w:rsid w:val="00911530"/>
    <w:rsid w:val="009117BE"/>
    <w:rsid w:val="00911A7F"/>
    <w:rsid w:val="00911F3D"/>
    <w:rsid w:val="00912251"/>
    <w:rsid w:val="0091226C"/>
    <w:rsid w:val="00912545"/>
    <w:rsid w:val="00912666"/>
    <w:rsid w:val="00912957"/>
    <w:rsid w:val="00912A1D"/>
    <w:rsid w:val="00912AAF"/>
    <w:rsid w:val="00912AC6"/>
    <w:rsid w:val="00912C02"/>
    <w:rsid w:val="00912C13"/>
    <w:rsid w:val="00912D86"/>
    <w:rsid w:val="00912DDD"/>
    <w:rsid w:val="00912E35"/>
    <w:rsid w:val="00913286"/>
    <w:rsid w:val="0091334D"/>
    <w:rsid w:val="009133B9"/>
    <w:rsid w:val="00913427"/>
    <w:rsid w:val="00913455"/>
    <w:rsid w:val="009135F0"/>
    <w:rsid w:val="009136C0"/>
    <w:rsid w:val="00913DA8"/>
    <w:rsid w:val="00913E91"/>
    <w:rsid w:val="00913EA1"/>
    <w:rsid w:val="00913EA8"/>
    <w:rsid w:val="00914009"/>
    <w:rsid w:val="0091404A"/>
    <w:rsid w:val="009141C9"/>
    <w:rsid w:val="00914214"/>
    <w:rsid w:val="0091440C"/>
    <w:rsid w:val="00914ACB"/>
    <w:rsid w:val="009150A7"/>
    <w:rsid w:val="009150C0"/>
    <w:rsid w:val="00915254"/>
    <w:rsid w:val="00915699"/>
    <w:rsid w:val="00915757"/>
    <w:rsid w:val="00915A0F"/>
    <w:rsid w:val="00915ED3"/>
    <w:rsid w:val="00916361"/>
    <w:rsid w:val="0091678A"/>
    <w:rsid w:val="00916BFA"/>
    <w:rsid w:val="00916C2A"/>
    <w:rsid w:val="00916D65"/>
    <w:rsid w:val="00916EDE"/>
    <w:rsid w:val="00917051"/>
    <w:rsid w:val="00917074"/>
    <w:rsid w:val="009170EB"/>
    <w:rsid w:val="0091740C"/>
    <w:rsid w:val="00917650"/>
    <w:rsid w:val="0091766C"/>
    <w:rsid w:val="009178D9"/>
    <w:rsid w:val="00917E79"/>
    <w:rsid w:val="00917EE7"/>
    <w:rsid w:val="009204BA"/>
    <w:rsid w:val="0092061A"/>
    <w:rsid w:val="0092066C"/>
    <w:rsid w:val="009207E5"/>
    <w:rsid w:val="00920864"/>
    <w:rsid w:val="00920942"/>
    <w:rsid w:val="00920AE0"/>
    <w:rsid w:val="00920C72"/>
    <w:rsid w:val="00920F5E"/>
    <w:rsid w:val="0092105E"/>
    <w:rsid w:val="0092106A"/>
    <w:rsid w:val="0092108A"/>
    <w:rsid w:val="0092122B"/>
    <w:rsid w:val="00921417"/>
    <w:rsid w:val="00921485"/>
    <w:rsid w:val="00921744"/>
    <w:rsid w:val="009218D1"/>
    <w:rsid w:val="0092192A"/>
    <w:rsid w:val="00921A46"/>
    <w:rsid w:val="00921B56"/>
    <w:rsid w:val="00921D54"/>
    <w:rsid w:val="00921E18"/>
    <w:rsid w:val="00921E5F"/>
    <w:rsid w:val="00921E6F"/>
    <w:rsid w:val="009220D8"/>
    <w:rsid w:val="00922337"/>
    <w:rsid w:val="00922593"/>
    <w:rsid w:val="0092262D"/>
    <w:rsid w:val="00922B5E"/>
    <w:rsid w:val="00922D03"/>
    <w:rsid w:val="00922D49"/>
    <w:rsid w:val="009231E8"/>
    <w:rsid w:val="009233BD"/>
    <w:rsid w:val="009233DE"/>
    <w:rsid w:val="0092362E"/>
    <w:rsid w:val="0092374B"/>
    <w:rsid w:val="00923832"/>
    <w:rsid w:val="009239A1"/>
    <w:rsid w:val="00923A40"/>
    <w:rsid w:val="00923DCD"/>
    <w:rsid w:val="00924640"/>
    <w:rsid w:val="00924C0A"/>
    <w:rsid w:val="009250E8"/>
    <w:rsid w:val="009252C7"/>
    <w:rsid w:val="00925507"/>
    <w:rsid w:val="009255D9"/>
    <w:rsid w:val="009257C9"/>
    <w:rsid w:val="009257CF"/>
    <w:rsid w:val="0092580D"/>
    <w:rsid w:val="009258D6"/>
    <w:rsid w:val="009259E1"/>
    <w:rsid w:val="00925B47"/>
    <w:rsid w:val="00925D98"/>
    <w:rsid w:val="00925EDD"/>
    <w:rsid w:val="0092606B"/>
    <w:rsid w:val="00926091"/>
    <w:rsid w:val="009262EC"/>
    <w:rsid w:val="0092641F"/>
    <w:rsid w:val="0092686D"/>
    <w:rsid w:val="00926982"/>
    <w:rsid w:val="00926C5D"/>
    <w:rsid w:val="00926D1A"/>
    <w:rsid w:val="00926D91"/>
    <w:rsid w:val="009275B8"/>
    <w:rsid w:val="00927746"/>
    <w:rsid w:val="00927DEB"/>
    <w:rsid w:val="00927E71"/>
    <w:rsid w:val="0093037B"/>
    <w:rsid w:val="009304F4"/>
    <w:rsid w:val="009305AC"/>
    <w:rsid w:val="009308DA"/>
    <w:rsid w:val="00930955"/>
    <w:rsid w:val="00930B94"/>
    <w:rsid w:val="00930C88"/>
    <w:rsid w:val="00930CDC"/>
    <w:rsid w:val="00930E28"/>
    <w:rsid w:val="00930F38"/>
    <w:rsid w:val="00931241"/>
    <w:rsid w:val="00931289"/>
    <w:rsid w:val="00931427"/>
    <w:rsid w:val="00931ED6"/>
    <w:rsid w:val="009323B7"/>
    <w:rsid w:val="00932427"/>
    <w:rsid w:val="00932699"/>
    <w:rsid w:val="009329FD"/>
    <w:rsid w:val="00932D2F"/>
    <w:rsid w:val="00932DCC"/>
    <w:rsid w:val="00932EF3"/>
    <w:rsid w:val="00933181"/>
    <w:rsid w:val="00933266"/>
    <w:rsid w:val="00933356"/>
    <w:rsid w:val="00933630"/>
    <w:rsid w:val="00933DC3"/>
    <w:rsid w:val="00933F57"/>
    <w:rsid w:val="0093400D"/>
    <w:rsid w:val="009340E9"/>
    <w:rsid w:val="0093411D"/>
    <w:rsid w:val="0093419F"/>
    <w:rsid w:val="00934371"/>
    <w:rsid w:val="009345C0"/>
    <w:rsid w:val="0093478F"/>
    <w:rsid w:val="00934869"/>
    <w:rsid w:val="009349D1"/>
    <w:rsid w:val="00934BDC"/>
    <w:rsid w:val="00934D3F"/>
    <w:rsid w:val="00934E2F"/>
    <w:rsid w:val="00934FCD"/>
    <w:rsid w:val="0093506E"/>
    <w:rsid w:val="009350CF"/>
    <w:rsid w:val="009354DF"/>
    <w:rsid w:val="00935A98"/>
    <w:rsid w:val="00935AAD"/>
    <w:rsid w:val="00935BB4"/>
    <w:rsid w:val="00935D4F"/>
    <w:rsid w:val="00935E21"/>
    <w:rsid w:val="00935E4E"/>
    <w:rsid w:val="00935F2A"/>
    <w:rsid w:val="00935FCB"/>
    <w:rsid w:val="00935FFB"/>
    <w:rsid w:val="0093651D"/>
    <w:rsid w:val="0093659B"/>
    <w:rsid w:val="00936744"/>
    <w:rsid w:val="00936DF7"/>
    <w:rsid w:val="00936F56"/>
    <w:rsid w:val="00937132"/>
    <w:rsid w:val="009376A7"/>
    <w:rsid w:val="00937D78"/>
    <w:rsid w:val="00937F0E"/>
    <w:rsid w:val="00940B57"/>
    <w:rsid w:val="00940CA1"/>
    <w:rsid w:val="00940E7F"/>
    <w:rsid w:val="0094104E"/>
    <w:rsid w:val="009411C7"/>
    <w:rsid w:val="00941229"/>
    <w:rsid w:val="009412CE"/>
    <w:rsid w:val="00941594"/>
    <w:rsid w:val="00941651"/>
    <w:rsid w:val="00941861"/>
    <w:rsid w:val="00941911"/>
    <w:rsid w:val="0094192A"/>
    <w:rsid w:val="009419FF"/>
    <w:rsid w:val="00941E5D"/>
    <w:rsid w:val="00941FB5"/>
    <w:rsid w:val="00942220"/>
    <w:rsid w:val="00942425"/>
    <w:rsid w:val="00942554"/>
    <w:rsid w:val="009425CE"/>
    <w:rsid w:val="0094291C"/>
    <w:rsid w:val="00942ABB"/>
    <w:rsid w:val="00942AF2"/>
    <w:rsid w:val="00942C41"/>
    <w:rsid w:val="00942CA9"/>
    <w:rsid w:val="00943110"/>
    <w:rsid w:val="0094313B"/>
    <w:rsid w:val="009437A2"/>
    <w:rsid w:val="00943986"/>
    <w:rsid w:val="00943B38"/>
    <w:rsid w:val="00943F83"/>
    <w:rsid w:val="009443FC"/>
    <w:rsid w:val="00944427"/>
    <w:rsid w:val="009449AD"/>
    <w:rsid w:val="00944E40"/>
    <w:rsid w:val="00944F9F"/>
    <w:rsid w:val="00945228"/>
    <w:rsid w:val="009454F3"/>
    <w:rsid w:val="009455E7"/>
    <w:rsid w:val="00945714"/>
    <w:rsid w:val="009457D5"/>
    <w:rsid w:val="00945BEA"/>
    <w:rsid w:val="00945E46"/>
    <w:rsid w:val="00945F7A"/>
    <w:rsid w:val="00946100"/>
    <w:rsid w:val="0094614F"/>
    <w:rsid w:val="00946308"/>
    <w:rsid w:val="009469D9"/>
    <w:rsid w:val="00946AB4"/>
    <w:rsid w:val="00946B62"/>
    <w:rsid w:val="00946CB9"/>
    <w:rsid w:val="009470A0"/>
    <w:rsid w:val="00947197"/>
    <w:rsid w:val="00947499"/>
    <w:rsid w:val="009479A8"/>
    <w:rsid w:val="00947BD5"/>
    <w:rsid w:val="00947C3D"/>
    <w:rsid w:val="00947D8E"/>
    <w:rsid w:val="00947E07"/>
    <w:rsid w:val="00947ECE"/>
    <w:rsid w:val="0095042D"/>
    <w:rsid w:val="00950443"/>
    <w:rsid w:val="009504FF"/>
    <w:rsid w:val="009506F9"/>
    <w:rsid w:val="009508C5"/>
    <w:rsid w:val="00950B4B"/>
    <w:rsid w:val="00950E87"/>
    <w:rsid w:val="00951412"/>
    <w:rsid w:val="0095191C"/>
    <w:rsid w:val="00951A33"/>
    <w:rsid w:val="00951B15"/>
    <w:rsid w:val="00951DAE"/>
    <w:rsid w:val="009521B0"/>
    <w:rsid w:val="0095233B"/>
    <w:rsid w:val="00952343"/>
    <w:rsid w:val="00952345"/>
    <w:rsid w:val="0095267D"/>
    <w:rsid w:val="00952975"/>
    <w:rsid w:val="00952DA9"/>
    <w:rsid w:val="00952DB5"/>
    <w:rsid w:val="00952FD9"/>
    <w:rsid w:val="009530B8"/>
    <w:rsid w:val="00953227"/>
    <w:rsid w:val="009533D6"/>
    <w:rsid w:val="0095359C"/>
    <w:rsid w:val="0095369C"/>
    <w:rsid w:val="0095410D"/>
    <w:rsid w:val="009542D0"/>
    <w:rsid w:val="009542D8"/>
    <w:rsid w:val="009543F8"/>
    <w:rsid w:val="0095487F"/>
    <w:rsid w:val="00954A10"/>
    <w:rsid w:val="00954A17"/>
    <w:rsid w:val="00954B7D"/>
    <w:rsid w:val="00954E12"/>
    <w:rsid w:val="00954EF8"/>
    <w:rsid w:val="0095504A"/>
    <w:rsid w:val="00955569"/>
    <w:rsid w:val="009555DB"/>
    <w:rsid w:val="00955744"/>
    <w:rsid w:val="00955833"/>
    <w:rsid w:val="00955A59"/>
    <w:rsid w:val="00955C33"/>
    <w:rsid w:val="00955D3E"/>
    <w:rsid w:val="0095614F"/>
    <w:rsid w:val="009561D6"/>
    <w:rsid w:val="009564F9"/>
    <w:rsid w:val="00956539"/>
    <w:rsid w:val="0095664F"/>
    <w:rsid w:val="009566C1"/>
    <w:rsid w:val="0095698A"/>
    <w:rsid w:val="00956B69"/>
    <w:rsid w:val="00956C9E"/>
    <w:rsid w:val="00956D22"/>
    <w:rsid w:val="00956EA0"/>
    <w:rsid w:val="0095740D"/>
    <w:rsid w:val="00957468"/>
    <w:rsid w:val="009577A8"/>
    <w:rsid w:val="00957A58"/>
    <w:rsid w:val="00957C0F"/>
    <w:rsid w:val="00960197"/>
    <w:rsid w:val="00960676"/>
    <w:rsid w:val="00960A51"/>
    <w:rsid w:val="00960ABE"/>
    <w:rsid w:val="00961034"/>
    <w:rsid w:val="00961221"/>
    <w:rsid w:val="009612E8"/>
    <w:rsid w:val="0096130D"/>
    <w:rsid w:val="0096149F"/>
    <w:rsid w:val="0096154E"/>
    <w:rsid w:val="0096158E"/>
    <w:rsid w:val="0096192A"/>
    <w:rsid w:val="009619A0"/>
    <w:rsid w:val="00961A5D"/>
    <w:rsid w:val="00961C73"/>
    <w:rsid w:val="009620E2"/>
    <w:rsid w:val="009620F0"/>
    <w:rsid w:val="00962209"/>
    <w:rsid w:val="0096269C"/>
    <w:rsid w:val="009632E8"/>
    <w:rsid w:val="0096338D"/>
    <w:rsid w:val="00963664"/>
    <w:rsid w:val="0096371B"/>
    <w:rsid w:val="00963735"/>
    <w:rsid w:val="00963797"/>
    <w:rsid w:val="0096384A"/>
    <w:rsid w:val="009638FA"/>
    <w:rsid w:val="009639EA"/>
    <w:rsid w:val="00963AE1"/>
    <w:rsid w:val="00963C36"/>
    <w:rsid w:val="00963C51"/>
    <w:rsid w:val="00963EDA"/>
    <w:rsid w:val="00963FAC"/>
    <w:rsid w:val="0096421E"/>
    <w:rsid w:val="009645B6"/>
    <w:rsid w:val="0096462C"/>
    <w:rsid w:val="00964A82"/>
    <w:rsid w:val="00964D83"/>
    <w:rsid w:val="00964E1D"/>
    <w:rsid w:val="00964E45"/>
    <w:rsid w:val="00964FB8"/>
    <w:rsid w:val="009650AB"/>
    <w:rsid w:val="009650EA"/>
    <w:rsid w:val="009650FD"/>
    <w:rsid w:val="00965257"/>
    <w:rsid w:val="009653A2"/>
    <w:rsid w:val="00965737"/>
    <w:rsid w:val="00965760"/>
    <w:rsid w:val="00965CB6"/>
    <w:rsid w:val="00965CD3"/>
    <w:rsid w:val="00965E5E"/>
    <w:rsid w:val="00965FC6"/>
    <w:rsid w:val="009663A2"/>
    <w:rsid w:val="00966453"/>
    <w:rsid w:val="0096653A"/>
    <w:rsid w:val="009665AD"/>
    <w:rsid w:val="009665B5"/>
    <w:rsid w:val="009668A2"/>
    <w:rsid w:val="009669D5"/>
    <w:rsid w:val="00966ADF"/>
    <w:rsid w:val="00966BD6"/>
    <w:rsid w:val="00966C3C"/>
    <w:rsid w:val="00966D6A"/>
    <w:rsid w:val="00966E38"/>
    <w:rsid w:val="00966E70"/>
    <w:rsid w:val="00967345"/>
    <w:rsid w:val="009678FC"/>
    <w:rsid w:val="0096792F"/>
    <w:rsid w:val="00967DEB"/>
    <w:rsid w:val="00970095"/>
    <w:rsid w:val="00970269"/>
    <w:rsid w:val="00970295"/>
    <w:rsid w:val="00970415"/>
    <w:rsid w:val="00970581"/>
    <w:rsid w:val="009709A4"/>
    <w:rsid w:val="00970AD0"/>
    <w:rsid w:val="00970E79"/>
    <w:rsid w:val="00970F23"/>
    <w:rsid w:val="00971159"/>
    <w:rsid w:val="00971238"/>
    <w:rsid w:val="00971339"/>
    <w:rsid w:val="0097148E"/>
    <w:rsid w:val="009714C8"/>
    <w:rsid w:val="00971511"/>
    <w:rsid w:val="0097187E"/>
    <w:rsid w:val="00971DA1"/>
    <w:rsid w:val="00971EBA"/>
    <w:rsid w:val="009721C7"/>
    <w:rsid w:val="009722CF"/>
    <w:rsid w:val="009723F8"/>
    <w:rsid w:val="009726DC"/>
    <w:rsid w:val="009727A7"/>
    <w:rsid w:val="00972988"/>
    <w:rsid w:val="00972DD1"/>
    <w:rsid w:val="00972F44"/>
    <w:rsid w:val="0097306A"/>
    <w:rsid w:val="009733FF"/>
    <w:rsid w:val="00973432"/>
    <w:rsid w:val="00973470"/>
    <w:rsid w:val="009736B9"/>
    <w:rsid w:val="009738DC"/>
    <w:rsid w:val="00973DB8"/>
    <w:rsid w:val="00973E66"/>
    <w:rsid w:val="00973FBB"/>
    <w:rsid w:val="00974474"/>
    <w:rsid w:val="009745F9"/>
    <w:rsid w:val="009747F7"/>
    <w:rsid w:val="0097487E"/>
    <w:rsid w:val="00974884"/>
    <w:rsid w:val="00974AD3"/>
    <w:rsid w:val="00974D46"/>
    <w:rsid w:val="00974D72"/>
    <w:rsid w:val="00974E3E"/>
    <w:rsid w:val="0097519E"/>
    <w:rsid w:val="009751A5"/>
    <w:rsid w:val="009751D4"/>
    <w:rsid w:val="009753E7"/>
    <w:rsid w:val="0097542F"/>
    <w:rsid w:val="0097546D"/>
    <w:rsid w:val="0097585A"/>
    <w:rsid w:val="00975A3E"/>
    <w:rsid w:val="00975C26"/>
    <w:rsid w:val="00976004"/>
    <w:rsid w:val="0097602F"/>
    <w:rsid w:val="00976080"/>
    <w:rsid w:val="00976282"/>
    <w:rsid w:val="00976476"/>
    <w:rsid w:val="0097655A"/>
    <w:rsid w:val="009766B3"/>
    <w:rsid w:val="00976A85"/>
    <w:rsid w:val="00976C66"/>
    <w:rsid w:val="00976E90"/>
    <w:rsid w:val="009770D7"/>
    <w:rsid w:val="00977456"/>
    <w:rsid w:val="009776D5"/>
    <w:rsid w:val="0097789C"/>
    <w:rsid w:val="00977A83"/>
    <w:rsid w:val="00977C6F"/>
    <w:rsid w:val="00977D83"/>
    <w:rsid w:val="00977F67"/>
    <w:rsid w:val="00980137"/>
    <w:rsid w:val="00980993"/>
    <w:rsid w:val="00980AD6"/>
    <w:rsid w:val="00980D73"/>
    <w:rsid w:val="00980E27"/>
    <w:rsid w:val="00980E72"/>
    <w:rsid w:val="00980F56"/>
    <w:rsid w:val="009812CF"/>
    <w:rsid w:val="00981431"/>
    <w:rsid w:val="0098159C"/>
    <w:rsid w:val="009815D0"/>
    <w:rsid w:val="00981709"/>
    <w:rsid w:val="0098189B"/>
    <w:rsid w:val="00981B65"/>
    <w:rsid w:val="00981EAC"/>
    <w:rsid w:val="00981F62"/>
    <w:rsid w:val="00981F6B"/>
    <w:rsid w:val="0098200A"/>
    <w:rsid w:val="0098226E"/>
    <w:rsid w:val="00982345"/>
    <w:rsid w:val="00982B3A"/>
    <w:rsid w:val="00982FFE"/>
    <w:rsid w:val="009830E0"/>
    <w:rsid w:val="00983220"/>
    <w:rsid w:val="00983639"/>
    <w:rsid w:val="00983668"/>
    <w:rsid w:val="00983682"/>
    <w:rsid w:val="0098368E"/>
    <w:rsid w:val="00983929"/>
    <w:rsid w:val="00983B37"/>
    <w:rsid w:val="00983CAB"/>
    <w:rsid w:val="00983FFA"/>
    <w:rsid w:val="009841BB"/>
    <w:rsid w:val="00984323"/>
    <w:rsid w:val="00984334"/>
    <w:rsid w:val="00984663"/>
    <w:rsid w:val="00984788"/>
    <w:rsid w:val="00984A48"/>
    <w:rsid w:val="00984CCC"/>
    <w:rsid w:val="00984ED2"/>
    <w:rsid w:val="0098502E"/>
    <w:rsid w:val="00985169"/>
    <w:rsid w:val="0098543C"/>
    <w:rsid w:val="0098551F"/>
    <w:rsid w:val="009857A0"/>
    <w:rsid w:val="0098590E"/>
    <w:rsid w:val="00985921"/>
    <w:rsid w:val="009861CF"/>
    <w:rsid w:val="00986353"/>
    <w:rsid w:val="009863B2"/>
    <w:rsid w:val="00986658"/>
    <w:rsid w:val="00986710"/>
    <w:rsid w:val="0098694C"/>
    <w:rsid w:val="00986D0C"/>
    <w:rsid w:val="009873F0"/>
    <w:rsid w:val="00987548"/>
    <w:rsid w:val="009877FE"/>
    <w:rsid w:val="00987924"/>
    <w:rsid w:val="00987ADB"/>
    <w:rsid w:val="00987B64"/>
    <w:rsid w:val="00987F0A"/>
    <w:rsid w:val="0099011B"/>
    <w:rsid w:val="009902C5"/>
    <w:rsid w:val="0099040F"/>
    <w:rsid w:val="00990496"/>
    <w:rsid w:val="00990689"/>
    <w:rsid w:val="00990998"/>
    <w:rsid w:val="00990CAC"/>
    <w:rsid w:val="00990D02"/>
    <w:rsid w:val="00990F99"/>
    <w:rsid w:val="00990FFC"/>
    <w:rsid w:val="00991252"/>
    <w:rsid w:val="00991511"/>
    <w:rsid w:val="00991545"/>
    <w:rsid w:val="009916B1"/>
    <w:rsid w:val="00991D8A"/>
    <w:rsid w:val="00991E81"/>
    <w:rsid w:val="009921E3"/>
    <w:rsid w:val="009924CF"/>
    <w:rsid w:val="0099254D"/>
    <w:rsid w:val="009929B7"/>
    <w:rsid w:val="00992AB3"/>
    <w:rsid w:val="00992B33"/>
    <w:rsid w:val="00992BCE"/>
    <w:rsid w:val="00992C18"/>
    <w:rsid w:val="00992D4F"/>
    <w:rsid w:val="00993086"/>
    <w:rsid w:val="009930AE"/>
    <w:rsid w:val="0099328D"/>
    <w:rsid w:val="0099383D"/>
    <w:rsid w:val="0099385D"/>
    <w:rsid w:val="00993B8B"/>
    <w:rsid w:val="00994A6B"/>
    <w:rsid w:val="00994B38"/>
    <w:rsid w:val="00994D34"/>
    <w:rsid w:val="00994F88"/>
    <w:rsid w:val="009951AB"/>
    <w:rsid w:val="00995211"/>
    <w:rsid w:val="009952A8"/>
    <w:rsid w:val="009952C8"/>
    <w:rsid w:val="0099558A"/>
    <w:rsid w:val="00995615"/>
    <w:rsid w:val="0099564B"/>
    <w:rsid w:val="00995735"/>
    <w:rsid w:val="00995B7C"/>
    <w:rsid w:val="00995D40"/>
    <w:rsid w:val="00996041"/>
    <w:rsid w:val="00996091"/>
    <w:rsid w:val="00996428"/>
    <w:rsid w:val="00996505"/>
    <w:rsid w:val="00996B6F"/>
    <w:rsid w:val="00996C6C"/>
    <w:rsid w:val="00996CAC"/>
    <w:rsid w:val="00996E8A"/>
    <w:rsid w:val="00996EF5"/>
    <w:rsid w:val="00996EFE"/>
    <w:rsid w:val="00996F64"/>
    <w:rsid w:val="009970E0"/>
    <w:rsid w:val="0099733F"/>
    <w:rsid w:val="0099737B"/>
    <w:rsid w:val="00997875"/>
    <w:rsid w:val="00997AF4"/>
    <w:rsid w:val="00997CAC"/>
    <w:rsid w:val="00997D27"/>
    <w:rsid w:val="009A00B2"/>
    <w:rsid w:val="009A00E2"/>
    <w:rsid w:val="009A0228"/>
    <w:rsid w:val="009A027A"/>
    <w:rsid w:val="009A029E"/>
    <w:rsid w:val="009A04E4"/>
    <w:rsid w:val="009A09C3"/>
    <w:rsid w:val="009A0A7B"/>
    <w:rsid w:val="009A0CCC"/>
    <w:rsid w:val="009A0D00"/>
    <w:rsid w:val="009A0D89"/>
    <w:rsid w:val="009A0E78"/>
    <w:rsid w:val="009A101C"/>
    <w:rsid w:val="009A12C2"/>
    <w:rsid w:val="009A16DD"/>
    <w:rsid w:val="009A1C83"/>
    <w:rsid w:val="009A200B"/>
    <w:rsid w:val="009A2143"/>
    <w:rsid w:val="009A22DA"/>
    <w:rsid w:val="009A2347"/>
    <w:rsid w:val="009A238F"/>
    <w:rsid w:val="009A24D3"/>
    <w:rsid w:val="009A2565"/>
    <w:rsid w:val="009A2651"/>
    <w:rsid w:val="009A2655"/>
    <w:rsid w:val="009A28A3"/>
    <w:rsid w:val="009A29A3"/>
    <w:rsid w:val="009A2B6D"/>
    <w:rsid w:val="009A2C88"/>
    <w:rsid w:val="009A2E1A"/>
    <w:rsid w:val="009A2E65"/>
    <w:rsid w:val="009A2E7D"/>
    <w:rsid w:val="009A3050"/>
    <w:rsid w:val="009A345C"/>
    <w:rsid w:val="009A36AF"/>
    <w:rsid w:val="009A380D"/>
    <w:rsid w:val="009A3875"/>
    <w:rsid w:val="009A392B"/>
    <w:rsid w:val="009A39D8"/>
    <w:rsid w:val="009A4067"/>
    <w:rsid w:val="009A464A"/>
    <w:rsid w:val="009A473A"/>
    <w:rsid w:val="009A4A93"/>
    <w:rsid w:val="009A4BBD"/>
    <w:rsid w:val="009A4BDB"/>
    <w:rsid w:val="009A4F43"/>
    <w:rsid w:val="009A537F"/>
    <w:rsid w:val="009A559A"/>
    <w:rsid w:val="009A57F5"/>
    <w:rsid w:val="009A5D65"/>
    <w:rsid w:val="009A5FE9"/>
    <w:rsid w:val="009A62CE"/>
    <w:rsid w:val="009A6361"/>
    <w:rsid w:val="009A6442"/>
    <w:rsid w:val="009A64AC"/>
    <w:rsid w:val="009A657F"/>
    <w:rsid w:val="009A6798"/>
    <w:rsid w:val="009A6D30"/>
    <w:rsid w:val="009A6F89"/>
    <w:rsid w:val="009A711C"/>
    <w:rsid w:val="009A71E3"/>
    <w:rsid w:val="009A7434"/>
    <w:rsid w:val="009A7551"/>
    <w:rsid w:val="009A7648"/>
    <w:rsid w:val="009A7850"/>
    <w:rsid w:val="009A78F8"/>
    <w:rsid w:val="009A7DA7"/>
    <w:rsid w:val="009AAA16"/>
    <w:rsid w:val="009B01CD"/>
    <w:rsid w:val="009B0384"/>
    <w:rsid w:val="009B09B1"/>
    <w:rsid w:val="009B0A26"/>
    <w:rsid w:val="009B15A7"/>
    <w:rsid w:val="009B1672"/>
    <w:rsid w:val="009B172F"/>
    <w:rsid w:val="009B179D"/>
    <w:rsid w:val="009B1A4F"/>
    <w:rsid w:val="009B1A80"/>
    <w:rsid w:val="009B1BAE"/>
    <w:rsid w:val="009B1E31"/>
    <w:rsid w:val="009B20B7"/>
    <w:rsid w:val="009B243D"/>
    <w:rsid w:val="009B27D9"/>
    <w:rsid w:val="009B2AA2"/>
    <w:rsid w:val="009B2BC6"/>
    <w:rsid w:val="009B2CFD"/>
    <w:rsid w:val="009B311F"/>
    <w:rsid w:val="009B36FC"/>
    <w:rsid w:val="009B391D"/>
    <w:rsid w:val="009B3E0E"/>
    <w:rsid w:val="009B407F"/>
    <w:rsid w:val="009B4260"/>
    <w:rsid w:val="009B4892"/>
    <w:rsid w:val="009B4CA1"/>
    <w:rsid w:val="009B4CA9"/>
    <w:rsid w:val="009B4F40"/>
    <w:rsid w:val="009B560F"/>
    <w:rsid w:val="009B586E"/>
    <w:rsid w:val="009B5993"/>
    <w:rsid w:val="009B5CE1"/>
    <w:rsid w:val="009B5E73"/>
    <w:rsid w:val="009B5EFD"/>
    <w:rsid w:val="009B628B"/>
    <w:rsid w:val="009B6366"/>
    <w:rsid w:val="009B6587"/>
    <w:rsid w:val="009B668B"/>
    <w:rsid w:val="009B670F"/>
    <w:rsid w:val="009B67A9"/>
    <w:rsid w:val="009B6A50"/>
    <w:rsid w:val="009B6D7F"/>
    <w:rsid w:val="009B70B9"/>
    <w:rsid w:val="009B72CC"/>
    <w:rsid w:val="009B73AB"/>
    <w:rsid w:val="009B7A71"/>
    <w:rsid w:val="009B7AFF"/>
    <w:rsid w:val="009B7D2A"/>
    <w:rsid w:val="009B7EA3"/>
    <w:rsid w:val="009B7EBD"/>
    <w:rsid w:val="009C018A"/>
    <w:rsid w:val="009C0404"/>
    <w:rsid w:val="009C0674"/>
    <w:rsid w:val="009C0809"/>
    <w:rsid w:val="009C083D"/>
    <w:rsid w:val="009C0A53"/>
    <w:rsid w:val="009C10AA"/>
    <w:rsid w:val="009C10C7"/>
    <w:rsid w:val="009C117C"/>
    <w:rsid w:val="009C1262"/>
    <w:rsid w:val="009C12A4"/>
    <w:rsid w:val="009C19D9"/>
    <w:rsid w:val="009C1A82"/>
    <w:rsid w:val="009C1CC6"/>
    <w:rsid w:val="009C1D4D"/>
    <w:rsid w:val="009C2034"/>
    <w:rsid w:val="009C27A8"/>
    <w:rsid w:val="009C2831"/>
    <w:rsid w:val="009C2846"/>
    <w:rsid w:val="009C2908"/>
    <w:rsid w:val="009C2E4B"/>
    <w:rsid w:val="009C2EBC"/>
    <w:rsid w:val="009C2F82"/>
    <w:rsid w:val="009C34C7"/>
    <w:rsid w:val="009C4326"/>
    <w:rsid w:val="009C4508"/>
    <w:rsid w:val="009C461B"/>
    <w:rsid w:val="009C46B9"/>
    <w:rsid w:val="009C48E8"/>
    <w:rsid w:val="009C493B"/>
    <w:rsid w:val="009C4BA1"/>
    <w:rsid w:val="009C4E7F"/>
    <w:rsid w:val="009C523F"/>
    <w:rsid w:val="009C5478"/>
    <w:rsid w:val="009C54D6"/>
    <w:rsid w:val="009C5E36"/>
    <w:rsid w:val="009C5EE4"/>
    <w:rsid w:val="009C61AC"/>
    <w:rsid w:val="009C63CD"/>
    <w:rsid w:val="009C66F4"/>
    <w:rsid w:val="009C6744"/>
    <w:rsid w:val="009C68BB"/>
    <w:rsid w:val="009C68EC"/>
    <w:rsid w:val="009C697E"/>
    <w:rsid w:val="009C6C3D"/>
    <w:rsid w:val="009C6F7E"/>
    <w:rsid w:val="009C7128"/>
    <w:rsid w:val="009C7483"/>
    <w:rsid w:val="009C7824"/>
    <w:rsid w:val="009C786A"/>
    <w:rsid w:val="009C78BF"/>
    <w:rsid w:val="009C7A41"/>
    <w:rsid w:val="009C7C9A"/>
    <w:rsid w:val="009D0360"/>
    <w:rsid w:val="009D0408"/>
    <w:rsid w:val="009D04A0"/>
    <w:rsid w:val="009D04F7"/>
    <w:rsid w:val="009D074A"/>
    <w:rsid w:val="009D09C9"/>
    <w:rsid w:val="009D0AF3"/>
    <w:rsid w:val="009D0D8A"/>
    <w:rsid w:val="009D115D"/>
    <w:rsid w:val="009D133D"/>
    <w:rsid w:val="009D18CC"/>
    <w:rsid w:val="009D18E5"/>
    <w:rsid w:val="009D219F"/>
    <w:rsid w:val="009D21CB"/>
    <w:rsid w:val="009D29AE"/>
    <w:rsid w:val="009D29B0"/>
    <w:rsid w:val="009D2A10"/>
    <w:rsid w:val="009D2B16"/>
    <w:rsid w:val="009D2ECF"/>
    <w:rsid w:val="009D331D"/>
    <w:rsid w:val="009D3326"/>
    <w:rsid w:val="009D38C7"/>
    <w:rsid w:val="009D3BD5"/>
    <w:rsid w:val="009D3BF8"/>
    <w:rsid w:val="009D3DB3"/>
    <w:rsid w:val="009D3E55"/>
    <w:rsid w:val="009D4354"/>
    <w:rsid w:val="009D43DA"/>
    <w:rsid w:val="009D4537"/>
    <w:rsid w:val="009D456D"/>
    <w:rsid w:val="009D4670"/>
    <w:rsid w:val="009D46B1"/>
    <w:rsid w:val="009D48EE"/>
    <w:rsid w:val="009D49A7"/>
    <w:rsid w:val="009D4AFA"/>
    <w:rsid w:val="009D4E19"/>
    <w:rsid w:val="009D51D9"/>
    <w:rsid w:val="009D53F0"/>
    <w:rsid w:val="009D56E7"/>
    <w:rsid w:val="009D5725"/>
    <w:rsid w:val="009D57D2"/>
    <w:rsid w:val="009D5B04"/>
    <w:rsid w:val="009D5C60"/>
    <w:rsid w:val="009D5DC6"/>
    <w:rsid w:val="009D6067"/>
    <w:rsid w:val="009D6259"/>
    <w:rsid w:val="009D6324"/>
    <w:rsid w:val="009D687D"/>
    <w:rsid w:val="009D69E1"/>
    <w:rsid w:val="009D6D15"/>
    <w:rsid w:val="009D6EEE"/>
    <w:rsid w:val="009D701B"/>
    <w:rsid w:val="009D7146"/>
    <w:rsid w:val="009D75DE"/>
    <w:rsid w:val="009D7606"/>
    <w:rsid w:val="009D7790"/>
    <w:rsid w:val="009D7991"/>
    <w:rsid w:val="009D7C0D"/>
    <w:rsid w:val="009D7C6C"/>
    <w:rsid w:val="009D7C6E"/>
    <w:rsid w:val="009D7E60"/>
    <w:rsid w:val="009E0076"/>
    <w:rsid w:val="009E0258"/>
    <w:rsid w:val="009E0694"/>
    <w:rsid w:val="009E0FC8"/>
    <w:rsid w:val="009E107B"/>
    <w:rsid w:val="009E1187"/>
    <w:rsid w:val="009E1C42"/>
    <w:rsid w:val="009E1E2C"/>
    <w:rsid w:val="009E1FC3"/>
    <w:rsid w:val="009E1FE5"/>
    <w:rsid w:val="009E1FFC"/>
    <w:rsid w:val="009E254E"/>
    <w:rsid w:val="009E256B"/>
    <w:rsid w:val="009E257B"/>
    <w:rsid w:val="009E25F3"/>
    <w:rsid w:val="009E29B5"/>
    <w:rsid w:val="009E2ECB"/>
    <w:rsid w:val="009E3471"/>
    <w:rsid w:val="009E34B6"/>
    <w:rsid w:val="009E36CD"/>
    <w:rsid w:val="009E3728"/>
    <w:rsid w:val="009E37D0"/>
    <w:rsid w:val="009E391E"/>
    <w:rsid w:val="009E3E87"/>
    <w:rsid w:val="009E3F7D"/>
    <w:rsid w:val="009E400D"/>
    <w:rsid w:val="009E41D0"/>
    <w:rsid w:val="009E4541"/>
    <w:rsid w:val="009E4785"/>
    <w:rsid w:val="009E4792"/>
    <w:rsid w:val="009E4988"/>
    <w:rsid w:val="009E4A40"/>
    <w:rsid w:val="009E4BFD"/>
    <w:rsid w:val="009E4DDE"/>
    <w:rsid w:val="009E4FBA"/>
    <w:rsid w:val="009E5125"/>
    <w:rsid w:val="009E51AB"/>
    <w:rsid w:val="009E51F5"/>
    <w:rsid w:val="009E5427"/>
    <w:rsid w:val="009E559B"/>
    <w:rsid w:val="009E5930"/>
    <w:rsid w:val="009E5AF9"/>
    <w:rsid w:val="009E5BA8"/>
    <w:rsid w:val="009E5F8D"/>
    <w:rsid w:val="009E604A"/>
    <w:rsid w:val="009E6065"/>
    <w:rsid w:val="009E6260"/>
    <w:rsid w:val="009E6384"/>
    <w:rsid w:val="009E6601"/>
    <w:rsid w:val="009E669A"/>
    <w:rsid w:val="009E677F"/>
    <w:rsid w:val="009E678C"/>
    <w:rsid w:val="009E6A15"/>
    <w:rsid w:val="009E6A7C"/>
    <w:rsid w:val="009E6A9F"/>
    <w:rsid w:val="009E70AA"/>
    <w:rsid w:val="009E70B3"/>
    <w:rsid w:val="009E772D"/>
    <w:rsid w:val="009E7A91"/>
    <w:rsid w:val="009E7B58"/>
    <w:rsid w:val="009E7BEB"/>
    <w:rsid w:val="009E7EA7"/>
    <w:rsid w:val="009F061F"/>
    <w:rsid w:val="009F067F"/>
    <w:rsid w:val="009F0723"/>
    <w:rsid w:val="009F07E2"/>
    <w:rsid w:val="009F0802"/>
    <w:rsid w:val="009F08C2"/>
    <w:rsid w:val="009F0D11"/>
    <w:rsid w:val="009F0FE9"/>
    <w:rsid w:val="009F12FC"/>
    <w:rsid w:val="009F131B"/>
    <w:rsid w:val="009F13D5"/>
    <w:rsid w:val="009F15F6"/>
    <w:rsid w:val="009F1602"/>
    <w:rsid w:val="009F167D"/>
    <w:rsid w:val="009F181A"/>
    <w:rsid w:val="009F18C8"/>
    <w:rsid w:val="009F1DDB"/>
    <w:rsid w:val="009F1E8A"/>
    <w:rsid w:val="009F1E8C"/>
    <w:rsid w:val="009F20D1"/>
    <w:rsid w:val="009F21E3"/>
    <w:rsid w:val="009F2381"/>
    <w:rsid w:val="009F2444"/>
    <w:rsid w:val="009F24A3"/>
    <w:rsid w:val="009F257F"/>
    <w:rsid w:val="009F288E"/>
    <w:rsid w:val="009F2A97"/>
    <w:rsid w:val="009F2A9E"/>
    <w:rsid w:val="009F2B2B"/>
    <w:rsid w:val="009F2CD1"/>
    <w:rsid w:val="009F2F38"/>
    <w:rsid w:val="009F34C4"/>
    <w:rsid w:val="009F36ED"/>
    <w:rsid w:val="009F384B"/>
    <w:rsid w:val="009F3862"/>
    <w:rsid w:val="009F38FC"/>
    <w:rsid w:val="009F3A3A"/>
    <w:rsid w:val="009F3A71"/>
    <w:rsid w:val="009F3D0F"/>
    <w:rsid w:val="009F3D47"/>
    <w:rsid w:val="009F3D56"/>
    <w:rsid w:val="009F40F6"/>
    <w:rsid w:val="009F458E"/>
    <w:rsid w:val="009F46C0"/>
    <w:rsid w:val="009F4887"/>
    <w:rsid w:val="009F498B"/>
    <w:rsid w:val="009F49AD"/>
    <w:rsid w:val="009F4E72"/>
    <w:rsid w:val="009F4ED9"/>
    <w:rsid w:val="009F53C5"/>
    <w:rsid w:val="009F544A"/>
    <w:rsid w:val="009F56B5"/>
    <w:rsid w:val="009F56C1"/>
    <w:rsid w:val="009F56D6"/>
    <w:rsid w:val="009F5D40"/>
    <w:rsid w:val="009F5F4A"/>
    <w:rsid w:val="009F6072"/>
    <w:rsid w:val="009F62B8"/>
    <w:rsid w:val="009F64FB"/>
    <w:rsid w:val="009F6B6E"/>
    <w:rsid w:val="009F6CAA"/>
    <w:rsid w:val="009F735A"/>
    <w:rsid w:val="009F76F9"/>
    <w:rsid w:val="009F7C23"/>
    <w:rsid w:val="009F7D0E"/>
    <w:rsid w:val="009F7DDE"/>
    <w:rsid w:val="00A001AD"/>
    <w:rsid w:val="00A00267"/>
    <w:rsid w:val="00A00538"/>
    <w:rsid w:val="00A008D7"/>
    <w:rsid w:val="00A00D2E"/>
    <w:rsid w:val="00A01537"/>
    <w:rsid w:val="00A0174F"/>
    <w:rsid w:val="00A01B09"/>
    <w:rsid w:val="00A01B7E"/>
    <w:rsid w:val="00A01BC7"/>
    <w:rsid w:val="00A01C7D"/>
    <w:rsid w:val="00A02062"/>
    <w:rsid w:val="00A025BF"/>
    <w:rsid w:val="00A02642"/>
    <w:rsid w:val="00A0298B"/>
    <w:rsid w:val="00A02A08"/>
    <w:rsid w:val="00A02A76"/>
    <w:rsid w:val="00A02B6E"/>
    <w:rsid w:val="00A02B7A"/>
    <w:rsid w:val="00A02C5C"/>
    <w:rsid w:val="00A02DA0"/>
    <w:rsid w:val="00A02E72"/>
    <w:rsid w:val="00A030A4"/>
    <w:rsid w:val="00A03111"/>
    <w:rsid w:val="00A031B8"/>
    <w:rsid w:val="00A0331A"/>
    <w:rsid w:val="00A036B5"/>
    <w:rsid w:val="00A03ABE"/>
    <w:rsid w:val="00A03AD9"/>
    <w:rsid w:val="00A03E4C"/>
    <w:rsid w:val="00A03F49"/>
    <w:rsid w:val="00A040C3"/>
    <w:rsid w:val="00A045CD"/>
    <w:rsid w:val="00A046A6"/>
    <w:rsid w:val="00A047AF"/>
    <w:rsid w:val="00A04A42"/>
    <w:rsid w:val="00A04C21"/>
    <w:rsid w:val="00A04F0F"/>
    <w:rsid w:val="00A054CB"/>
    <w:rsid w:val="00A05921"/>
    <w:rsid w:val="00A05B67"/>
    <w:rsid w:val="00A0625B"/>
    <w:rsid w:val="00A0659B"/>
    <w:rsid w:val="00A066D1"/>
    <w:rsid w:val="00A06C51"/>
    <w:rsid w:val="00A06D35"/>
    <w:rsid w:val="00A07413"/>
    <w:rsid w:val="00A0785B"/>
    <w:rsid w:val="00A07D32"/>
    <w:rsid w:val="00A07F8D"/>
    <w:rsid w:val="00A106FE"/>
    <w:rsid w:val="00A1079A"/>
    <w:rsid w:val="00A10849"/>
    <w:rsid w:val="00A10A80"/>
    <w:rsid w:val="00A10C28"/>
    <w:rsid w:val="00A10DEB"/>
    <w:rsid w:val="00A10ED0"/>
    <w:rsid w:val="00A11293"/>
    <w:rsid w:val="00A113C5"/>
    <w:rsid w:val="00A113EF"/>
    <w:rsid w:val="00A11915"/>
    <w:rsid w:val="00A11C87"/>
    <w:rsid w:val="00A122A6"/>
    <w:rsid w:val="00A124A4"/>
    <w:rsid w:val="00A1269E"/>
    <w:rsid w:val="00A12913"/>
    <w:rsid w:val="00A1297C"/>
    <w:rsid w:val="00A12AC1"/>
    <w:rsid w:val="00A12B91"/>
    <w:rsid w:val="00A12DAB"/>
    <w:rsid w:val="00A12E22"/>
    <w:rsid w:val="00A130B3"/>
    <w:rsid w:val="00A1322E"/>
    <w:rsid w:val="00A1382B"/>
    <w:rsid w:val="00A139E0"/>
    <w:rsid w:val="00A13DA3"/>
    <w:rsid w:val="00A13DD9"/>
    <w:rsid w:val="00A14160"/>
    <w:rsid w:val="00A14350"/>
    <w:rsid w:val="00A144F4"/>
    <w:rsid w:val="00A145EF"/>
    <w:rsid w:val="00A14622"/>
    <w:rsid w:val="00A1486B"/>
    <w:rsid w:val="00A14B52"/>
    <w:rsid w:val="00A14F3F"/>
    <w:rsid w:val="00A1533B"/>
    <w:rsid w:val="00A153CA"/>
    <w:rsid w:val="00A15750"/>
    <w:rsid w:val="00A1619C"/>
    <w:rsid w:val="00A164CA"/>
    <w:rsid w:val="00A16881"/>
    <w:rsid w:val="00A16A2F"/>
    <w:rsid w:val="00A16BBD"/>
    <w:rsid w:val="00A16C6B"/>
    <w:rsid w:val="00A16D32"/>
    <w:rsid w:val="00A16D3E"/>
    <w:rsid w:val="00A16FCF"/>
    <w:rsid w:val="00A170E6"/>
    <w:rsid w:val="00A1726E"/>
    <w:rsid w:val="00A17599"/>
    <w:rsid w:val="00A176A4"/>
    <w:rsid w:val="00A17860"/>
    <w:rsid w:val="00A178CF"/>
    <w:rsid w:val="00A17935"/>
    <w:rsid w:val="00A17C06"/>
    <w:rsid w:val="00A17D8B"/>
    <w:rsid w:val="00A17EE7"/>
    <w:rsid w:val="00A201FE"/>
    <w:rsid w:val="00A20558"/>
    <w:rsid w:val="00A20CB5"/>
    <w:rsid w:val="00A20D93"/>
    <w:rsid w:val="00A20E1C"/>
    <w:rsid w:val="00A20E97"/>
    <w:rsid w:val="00A21062"/>
    <w:rsid w:val="00A211B3"/>
    <w:rsid w:val="00A2122A"/>
    <w:rsid w:val="00A213FE"/>
    <w:rsid w:val="00A21421"/>
    <w:rsid w:val="00A217DF"/>
    <w:rsid w:val="00A2198C"/>
    <w:rsid w:val="00A21BC0"/>
    <w:rsid w:val="00A21BEF"/>
    <w:rsid w:val="00A21C59"/>
    <w:rsid w:val="00A21D6B"/>
    <w:rsid w:val="00A2209B"/>
    <w:rsid w:val="00A220DE"/>
    <w:rsid w:val="00A2223A"/>
    <w:rsid w:val="00A2229A"/>
    <w:rsid w:val="00A22440"/>
    <w:rsid w:val="00A226F0"/>
    <w:rsid w:val="00A2274D"/>
    <w:rsid w:val="00A227BD"/>
    <w:rsid w:val="00A2280E"/>
    <w:rsid w:val="00A22926"/>
    <w:rsid w:val="00A2296C"/>
    <w:rsid w:val="00A22A13"/>
    <w:rsid w:val="00A22A67"/>
    <w:rsid w:val="00A22D8D"/>
    <w:rsid w:val="00A230CA"/>
    <w:rsid w:val="00A230D9"/>
    <w:rsid w:val="00A23127"/>
    <w:rsid w:val="00A2315D"/>
    <w:rsid w:val="00A232B4"/>
    <w:rsid w:val="00A23488"/>
    <w:rsid w:val="00A2354B"/>
    <w:rsid w:val="00A2354F"/>
    <w:rsid w:val="00A2364E"/>
    <w:rsid w:val="00A23650"/>
    <w:rsid w:val="00A23E3F"/>
    <w:rsid w:val="00A2420D"/>
    <w:rsid w:val="00A2447E"/>
    <w:rsid w:val="00A2473E"/>
    <w:rsid w:val="00A248B0"/>
    <w:rsid w:val="00A24A65"/>
    <w:rsid w:val="00A25333"/>
    <w:rsid w:val="00A253D3"/>
    <w:rsid w:val="00A25798"/>
    <w:rsid w:val="00A2598A"/>
    <w:rsid w:val="00A25AEB"/>
    <w:rsid w:val="00A25B4A"/>
    <w:rsid w:val="00A26119"/>
    <w:rsid w:val="00A26412"/>
    <w:rsid w:val="00A26413"/>
    <w:rsid w:val="00A265F7"/>
    <w:rsid w:val="00A2663B"/>
    <w:rsid w:val="00A269D4"/>
    <w:rsid w:val="00A26A55"/>
    <w:rsid w:val="00A26AF6"/>
    <w:rsid w:val="00A26D3C"/>
    <w:rsid w:val="00A26E98"/>
    <w:rsid w:val="00A273E4"/>
    <w:rsid w:val="00A27443"/>
    <w:rsid w:val="00A2751F"/>
    <w:rsid w:val="00A27541"/>
    <w:rsid w:val="00A27A3C"/>
    <w:rsid w:val="00A27B74"/>
    <w:rsid w:val="00A27C2D"/>
    <w:rsid w:val="00A27D6C"/>
    <w:rsid w:val="00A27D92"/>
    <w:rsid w:val="00A27F39"/>
    <w:rsid w:val="00A3046D"/>
    <w:rsid w:val="00A304DE"/>
    <w:rsid w:val="00A305DA"/>
    <w:rsid w:val="00A307DE"/>
    <w:rsid w:val="00A30868"/>
    <w:rsid w:val="00A30CD8"/>
    <w:rsid w:val="00A30D72"/>
    <w:rsid w:val="00A310F0"/>
    <w:rsid w:val="00A31366"/>
    <w:rsid w:val="00A313FF"/>
    <w:rsid w:val="00A31410"/>
    <w:rsid w:val="00A31531"/>
    <w:rsid w:val="00A316C1"/>
    <w:rsid w:val="00A31758"/>
    <w:rsid w:val="00A3179C"/>
    <w:rsid w:val="00A3189C"/>
    <w:rsid w:val="00A318A8"/>
    <w:rsid w:val="00A31973"/>
    <w:rsid w:val="00A31976"/>
    <w:rsid w:val="00A31986"/>
    <w:rsid w:val="00A31A38"/>
    <w:rsid w:val="00A31DA4"/>
    <w:rsid w:val="00A31FA8"/>
    <w:rsid w:val="00A3211D"/>
    <w:rsid w:val="00A322BE"/>
    <w:rsid w:val="00A3262C"/>
    <w:rsid w:val="00A32935"/>
    <w:rsid w:val="00A3296C"/>
    <w:rsid w:val="00A32D3B"/>
    <w:rsid w:val="00A32DEE"/>
    <w:rsid w:val="00A32E87"/>
    <w:rsid w:val="00A32F34"/>
    <w:rsid w:val="00A32FDC"/>
    <w:rsid w:val="00A330D4"/>
    <w:rsid w:val="00A3332B"/>
    <w:rsid w:val="00A33390"/>
    <w:rsid w:val="00A3367C"/>
    <w:rsid w:val="00A33704"/>
    <w:rsid w:val="00A33786"/>
    <w:rsid w:val="00A33834"/>
    <w:rsid w:val="00A339E8"/>
    <w:rsid w:val="00A33C61"/>
    <w:rsid w:val="00A33FFC"/>
    <w:rsid w:val="00A3405B"/>
    <w:rsid w:val="00A340CC"/>
    <w:rsid w:val="00A34488"/>
    <w:rsid w:val="00A344E4"/>
    <w:rsid w:val="00A34563"/>
    <w:rsid w:val="00A3478C"/>
    <w:rsid w:val="00A34869"/>
    <w:rsid w:val="00A34988"/>
    <w:rsid w:val="00A34C8D"/>
    <w:rsid w:val="00A34CDA"/>
    <w:rsid w:val="00A34D3F"/>
    <w:rsid w:val="00A34E76"/>
    <w:rsid w:val="00A350F4"/>
    <w:rsid w:val="00A35160"/>
    <w:rsid w:val="00A352E8"/>
    <w:rsid w:val="00A35BAD"/>
    <w:rsid w:val="00A35DA6"/>
    <w:rsid w:val="00A36618"/>
    <w:rsid w:val="00A36831"/>
    <w:rsid w:val="00A368A5"/>
    <w:rsid w:val="00A36A57"/>
    <w:rsid w:val="00A36DB4"/>
    <w:rsid w:val="00A37089"/>
    <w:rsid w:val="00A378E6"/>
    <w:rsid w:val="00A37D42"/>
    <w:rsid w:val="00A400B5"/>
    <w:rsid w:val="00A40237"/>
    <w:rsid w:val="00A4024D"/>
    <w:rsid w:val="00A4053F"/>
    <w:rsid w:val="00A405F5"/>
    <w:rsid w:val="00A40702"/>
    <w:rsid w:val="00A408C3"/>
    <w:rsid w:val="00A40916"/>
    <w:rsid w:val="00A40950"/>
    <w:rsid w:val="00A40976"/>
    <w:rsid w:val="00A40D00"/>
    <w:rsid w:val="00A40E96"/>
    <w:rsid w:val="00A40F55"/>
    <w:rsid w:val="00A410F0"/>
    <w:rsid w:val="00A41596"/>
    <w:rsid w:val="00A4169D"/>
    <w:rsid w:val="00A4185D"/>
    <w:rsid w:val="00A41A83"/>
    <w:rsid w:val="00A41BD8"/>
    <w:rsid w:val="00A41C1F"/>
    <w:rsid w:val="00A41C41"/>
    <w:rsid w:val="00A41CA5"/>
    <w:rsid w:val="00A41F1D"/>
    <w:rsid w:val="00A42188"/>
    <w:rsid w:val="00A4221A"/>
    <w:rsid w:val="00A4240B"/>
    <w:rsid w:val="00A42644"/>
    <w:rsid w:val="00A42AA4"/>
    <w:rsid w:val="00A42B30"/>
    <w:rsid w:val="00A42B68"/>
    <w:rsid w:val="00A42D44"/>
    <w:rsid w:val="00A42E2E"/>
    <w:rsid w:val="00A42EB1"/>
    <w:rsid w:val="00A42EC5"/>
    <w:rsid w:val="00A42EF2"/>
    <w:rsid w:val="00A42F33"/>
    <w:rsid w:val="00A4321F"/>
    <w:rsid w:val="00A43851"/>
    <w:rsid w:val="00A4388C"/>
    <w:rsid w:val="00A43923"/>
    <w:rsid w:val="00A43D2A"/>
    <w:rsid w:val="00A43D78"/>
    <w:rsid w:val="00A43E61"/>
    <w:rsid w:val="00A43F55"/>
    <w:rsid w:val="00A43F81"/>
    <w:rsid w:val="00A44248"/>
    <w:rsid w:val="00A443AD"/>
    <w:rsid w:val="00A44B55"/>
    <w:rsid w:val="00A44B88"/>
    <w:rsid w:val="00A44C04"/>
    <w:rsid w:val="00A44C36"/>
    <w:rsid w:val="00A44FDE"/>
    <w:rsid w:val="00A45080"/>
    <w:rsid w:val="00A45676"/>
    <w:rsid w:val="00A45768"/>
    <w:rsid w:val="00A457B7"/>
    <w:rsid w:val="00A45824"/>
    <w:rsid w:val="00A45867"/>
    <w:rsid w:val="00A458EF"/>
    <w:rsid w:val="00A45E28"/>
    <w:rsid w:val="00A45F06"/>
    <w:rsid w:val="00A45FB0"/>
    <w:rsid w:val="00A45FEF"/>
    <w:rsid w:val="00A46108"/>
    <w:rsid w:val="00A463AD"/>
    <w:rsid w:val="00A46504"/>
    <w:rsid w:val="00A465C0"/>
    <w:rsid w:val="00A46B17"/>
    <w:rsid w:val="00A46F1B"/>
    <w:rsid w:val="00A47057"/>
    <w:rsid w:val="00A475EA"/>
    <w:rsid w:val="00A477CB"/>
    <w:rsid w:val="00A47956"/>
    <w:rsid w:val="00A479C9"/>
    <w:rsid w:val="00A47B92"/>
    <w:rsid w:val="00A47C7B"/>
    <w:rsid w:val="00A47CEB"/>
    <w:rsid w:val="00A47E5B"/>
    <w:rsid w:val="00A50056"/>
    <w:rsid w:val="00A50097"/>
    <w:rsid w:val="00A50136"/>
    <w:rsid w:val="00A50365"/>
    <w:rsid w:val="00A508CA"/>
    <w:rsid w:val="00A50DDE"/>
    <w:rsid w:val="00A50E9C"/>
    <w:rsid w:val="00A513EC"/>
    <w:rsid w:val="00A51481"/>
    <w:rsid w:val="00A51B63"/>
    <w:rsid w:val="00A51D03"/>
    <w:rsid w:val="00A521C9"/>
    <w:rsid w:val="00A52234"/>
    <w:rsid w:val="00A522A1"/>
    <w:rsid w:val="00A522E3"/>
    <w:rsid w:val="00A52464"/>
    <w:rsid w:val="00A52470"/>
    <w:rsid w:val="00A526FE"/>
    <w:rsid w:val="00A52815"/>
    <w:rsid w:val="00A52B88"/>
    <w:rsid w:val="00A52D04"/>
    <w:rsid w:val="00A536BA"/>
    <w:rsid w:val="00A536D7"/>
    <w:rsid w:val="00A53B2B"/>
    <w:rsid w:val="00A53CB4"/>
    <w:rsid w:val="00A53CB7"/>
    <w:rsid w:val="00A53CEC"/>
    <w:rsid w:val="00A53E1B"/>
    <w:rsid w:val="00A54104"/>
    <w:rsid w:val="00A54143"/>
    <w:rsid w:val="00A5426C"/>
    <w:rsid w:val="00A54762"/>
    <w:rsid w:val="00A54789"/>
    <w:rsid w:val="00A548A2"/>
    <w:rsid w:val="00A54B12"/>
    <w:rsid w:val="00A550F3"/>
    <w:rsid w:val="00A55215"/>
    <w:rsid w:val="00A55960"/>
    <w:rsid w:val="00A560A6"/>
    <w:rsid w:val="00A564B9"/>
    <w:rsid w:val="00A56565"/>
    <w:rsid w:val="00A56F1C"/>
    <w:rsid w:val="00A5727D"/>
    <w:rsid w:val="00A57918"/>
    <w:rsid w:val="00A57A2B"/>
    <w:rsid w:val="00A57A3B"/>
    <w:rsid w:val="00A57C21"/>
    <w:rsid w:val="00A57E0E"/>
    <w:rsid w:val="00A57F94"/>
    <w:rsid w:val="00A60294"/>
    <w:rsid w:val="00A606F9"/>
    <w:rsid w:val="00A60791"/>
    <w:rsid w:val="00A609F1"/>
    <w:rsid w:val="00A60C63"/>
    <w:rsid w:val="00A60DAC"/>
    <w:rsid w:val="00A6140E"/>
    <w:rsid w:val="00A614CA"/>
    <w:rsid w:val="00A61700"/>
    <w:rsid w:val="00A6170E"/>
    <w:rsid w:val="00A6183C"/>
    <w:rsid w:val="00A61BEB"/>
    <w:rsid w:val="00A61CA2"/>
    <w:rsid w:val="00A61CC5"/>
    <w:rsid w:val="00A61FE9"/>
    <w:rsid w:val="00A62021"/>
    <w:rsid w:val="00A6225B"/>
    <w:rsid w:val="00A622A4"/>
    <w:rsid w:val="00A623A5"/>
    <w:rsid w:val="00A6245E"/>
    <w:rsid w:val="00A6261C"/>
    <w:rsid w:val="00A62628"/>
    <w:rsid w:val="00A62A34"/>
    <w:rsid w:val="00A62B08"/>
    <w:rsid w:val="00A62B25"/>
    <w:rsid w:val="00A62BB7"/>
    <w:rsid w:val="00A62CF6"/>
    <w:rsid w:val="00A62D1B"/>
    <w:rsid w:val="00A62E4A"/>
    <w:rsid w:val="00A6328D"/>
    <w:rsid w:val="00A636FA"/>
    <w:rsid w:val="00A637DE"/>
    <w:rsid w:val="00A63AF6"/>
    <w:rsid w:val="00A63EB4"/>
    <w:rsid w:val="00A63ED0"/>
    <w:rsid w:val="00A63F06"/>
    <w:rsid w:val="00A63F93"/>
    <w:rsid w:val="00A64073"/>
    <w:rsid w:val="00A64522"/>
    <w:rsid w:val="00A64577"/>
    <w:rsid w:val="00A64A6B"/>
    <w:rsid w:val="00A64B70"/>
    <w:rsid w:val="00A64C47"/>
    <w:rsid w:val="00A65069"/>
    <w:rsid w:val="00A65322"/>
    <w:rsid w:val="00A656BC"/>
    <w:rsid w:val="00A65A9B"/>
    <w:rsid w:val="00A65CEC"/>
    <w:rsid w:val="00A65D20"/>
    <w:rsid w:val="00A65E21"/>
    <w:rsid w:val="00A6615C"/>
    <w:rsid w:val="00A661C1"/>
    <w:rsid w:val="00A66231"/>
    <w:rsid w:val="00A662F5"/>
    <w:rsid w:val="00A663AB"/>
    <w:rsid w:val="00A663C3"/>
    <w:rsid w:val="00A66481"/>
    <w:rsid w:val="00A66874"/>
    <w:rsid w:val="00A669C8"/>
    <w:rsid w:val="00A669CA"/>
    <w:rsid w:val="00A66CCC"/>
    <w:rsid w:val="00A67030"/>
    <w:rsid w:val="00A6764C"/>
    <w:rsid w:val="00A67826"/>
    <w:rsid w:val="00A67C2E"/>
    <w:rsid w:val="00A67C53"/>
    <w:rsid w:val="00A67D9A"/>
    <w:rsid w:val="00A67E18"/>
    <w:rsid w:val="00A67E4A"/>
    <w:rsid w:val="00A7010A"/>
    <w:rsid w:val="00A70759"/>
    <w:rsid w:val="00A70D05"/>
    <w:rsid w:val="00A70DAF"/>
    <w:rsid w:val="00A70ECF"/>
    <w:rsid w:val="00A70F18"/>
    <w:rsid w:val="00A7150E"/>
    <w:rsid w:val="00A71A26"/>
    <w:rsid w:val="00A71CC1"/>
    <w:rsid w:val="00A71EC1"/>
    <w:rsid w:val="00A71EC6"/>
    <w:rsid w:val="00A71EF6"/>
    <w:rsid w:val="00A71FA1"/>
    <w:rsid w:val="00A71FFD"/>
    <w:rsid w:val="00A7210F"/>
    <w:rsid w:val="00A72231"/>
    <w:rsid w:val="00A729ED"/>
    <w:rsid w:val="00A72C80"/>
    <w:rsid w:val="00A73480"/>
    <w:rsid w:val="00A737FF"/>
    <w:rsid w:val="00A73B5D"/>
    <w:rsid w:val="00A73B90"/>
    <w:rsid w:val="00A73BBE"/>
    <w:rsid w:val="00A73F32"/>
    <w:rsid w:val="00A73FD0"/>
    <w:rsid w:val="00A74336"/>
    <w:rsid w:val="00A74525"/>
    <w:rsid w:val="00A745AC"/>
    <w:rsid w:val="00A74995"/>
    <w:rsid w:val="00A74AC8"/>
    <w:rsid w:val="00A74D2D"/>
    <w:rsid w:val="00A74FAE"/>
    <w:rsid w:val="00A75151"/>
    <w:rsid w:val="00A7529C"/>
    <w:rsid w:val="00A7588B"/>
    <w:rsid w:val="00A75E51"/>
    <w:rsid w:val="00A75E54"/>
    <w:rsid w:val="00A75F7A"/>
    <w:rsid w:val="00A75FD4"/>
    <w:rsid w:val="00A76025"/>
    <w:rsid w:val="00A76334"/>
    <w:rsid w:val="00A76397"/>
    <w:rsid w:val="00A767B9"/>
    <w:rsid w:val="00A768A1"/>
    <w:rsid w:val="00A7696A"/>
    <w:rsid w:val="00A76D02"/>
    <w:rsid w:val="00A76D95"/>
    <w:rsid w:val="00A76F7D"/>
    <w:rsid w:val="00A773E0"/>
    <w:rsid w:val="00A775D2"/>
    <w:rsid w:val="00A77704"/>
    <w:rsid w:val="00A778E1"/>
    <w:rsid w:val="00A77945"/>
    <w:rsid w:val="00A77C1C"/>
    <w:rsid w:val="00A77C6A"/>
    <w:rsid w:val="00A80227"/>
    <w:rsid w:val="00A8067D"/>
    <w:rsid w:val="00A8099F"/>
    <w:rsid w:val="00A80C0C"/>
    <w:rsid w:val="00A80C4F"/>
    <w:rsid w:val="00A80D72"/>
    <w:rsid w:val="00A82134"/>
    <w:rsid w:val="00A8227E"/>
    <w:rsid w:val="00A824BB"/>
    <w:rsid w:val="00A82501"/>
    <w:rsid w:val="00A8290C"/>
    <w:rsid w:val="00A82A5D"/>
    <w:rsid w:val="00A82B86"/>
    <w:rsid w:val="00A82F5B"/>
    <w:rsid w:val="00A830A4"/>
    <w:rsid w:val="00A83352"/>
    <w:rsid w:val="00A83523"/>
    <w:rsid w:val="00A837A4"/>
    <w:rsid w:val="00A837CA"/>
    <w:rsid w:val="00A8383E"/>
    <w:rsid w:val="00A8387D"/>
    <w:rsid w:val="00A83A10"/>
    <w:rsid w:val="00A83ACF"/>
    <w:rsid w:val="00A83CF6"/>
    <w:rsid w:val="00A83D4D"/>
    <w:rsid w:val="00A83E81"/>
    <w:rsid w:val="00A83E8E"/>
    <w:rsid w:val="00A84120"/>
    <w:rsid w:val="00A8474C"/>
    <w:rsid w:val="00A84A4F"/>
    <w:rsid w:val="00A84F01"/>
    <w:rsid w:val="00A84F10"/>
    <w:rsid w:val="00A85049"/>
    <w:rsid w:val="00A85191"/>
    <w:rsid w:val="00A85281"/>
    <w:rsid w:val="00A85302"/>
    <w:rsid w:val="00A8534A"/>
    <w:rsid w:val="00A85380"/>
    <w:rsid w:val="00A856EB"/>
    <w:rsid w:val="00A85708"/>
    <w:rsid w:val="00A8595B"/>
    <w:rsid w:val="00A85B3F"/>
    <w:rsid w:val="00A85F43"/>
    <w:rsid w:val="00A860F5"/>
    <w:rsid w:val="00A86131"/>
    <w:rsid w:val="00A86710"/>
    <w:rsid w:val="00A86784"/>
    <w:rsid w:val="00A8681A"/>
    <w:rsid w:val="00A868CE"/>
    <w:rsid w:val="00A86E7D"/>
    <w:rsid w:val="00A87028"/>
    <w:rsid w:val="00A87237"/>
    <w:rsid w:val="00A87979"/>
    <w:rsid w:val="00A879F0"/>
    <w:rsid w:val="00A87ACF"/>
    <w:rsid w:val="00A87AE4"/>
    <w:rsid w:val="00A87D9B"/>
    <w:rsid w:val="00A90077"/>
    <w:rsid w:val="00A90115"/>
    <w:rsid w:val="00A90224"/>
    <w:rsid w:val="00A902DF"/>
    <w:rsid w:val="00A9033B"/>
    <w:rsid w:val="00A90384"/>
    <w:rsid w:val="00A9051A"/>
    <w:rsid w:val="00A90657"/>
    <w:rsid w:val="00A9068D"/>
    <w:rsid w:val="00A907B2"/>
    <w:rsid w:val="00A908AD"/>
    <w:rsid w:val="00A90A44"/>
    <w:rsid w:val="00A90B64"/>
    <w:rsid w:val="00A90D4E"/>
    <w:rsid w:val="00A90EB6"/>
    <w:rsid w:val="00A90EDE"/>
    <w:rsid w:val="00A91151"/>
    <w:rsid w:val="00A9134E"/>
    <w:rsid w:val="00A914F3"/>
    <w:rsid w:val="00A91593"/>
    <w:rsid w:val="00A91721"/>
    <w:rsid w:val="00A91988"/>
    <w:rsid w:val="00A91F48"/>
    <w:rsid w:val="00A922A9"/>
    <w:rsid w:val="00A9242B"/>
    <w:rsid w:val="00A9271F"/>
    <w:rsid w:val="00A92761"/>
    <w:rsid w:val="00A92842"/>
    <w:rsid w:val="00A92CCC"/>
    <w:rsid w:val="00A92FE4"/>
    <w:rsid w:val="00A9311B"/>
    <w:rsid w:val="00A9323E"/>
    <w:rsid w:val="00A93310"/>
    <w:rsid w:val="00A9377D"/>
    <w:rsid w:val="00A9383C"/>
    <w:rsid w:val="00A939B4"/>
    <w:rsid w:val="00A93ABD"/>
    <w:rsid w:val="00A93C84"/>
    <w:rsid w:val="00A93CA3"/>
    <w:rsid w:val="00A93EE2"/>
    <w:rsid w:val="00A93F72"/>
    <w:rsid w:val="00A94ABB"/>
    <w:rsid w:val="00A94F34"/>
    <w:rsid w:val="00A94F90"/>
    <w:rsid w:val="00A953C0"/>
    <w:rsid w:val="00A95612"/>
    <w:rsid w:val="00A95973"/>
    <w:rsid w:val="00A95ABA"/>
    <w:rsid w:val="00A95C29"/>
    <w:rsid w:val="00A95CED"/>
    <w:rsid w:val="00A967E1"/>
    <w:rsid w:val="00A967F3"/>
    <w:rsid w:val="00A969FB"/>
    <w:rsid w:val="00A96B4D"/>
    <w:rsid w:val="00A9714D"/>
    <w:rsid w:val="00A971DC"/>
    <w:rsid w:val="00A97276"/>
    <w:rsid w:val="00A97427"/>
    <w:rsid w:val="00A97462"/>
    <w:rsid w:val="00A974A2"/>
    <w:rsid w:val="00A97961"/>
    <w:rsid w:val="00A97C39"/>
    <w:rsid w:val="00A97DC6"/>
    <w:rsid w:val="00AA036C"/>
    <w:rsid w:val="00AA038A"/>
    <w:rsid w:val="00AA0627"/>
    <w:rsid w:val="00AA0693"/>
    <w:rsid w:val="00AA07CC"/>
    <w:rsid w:val="00AA0940"/>
    <w:rsid w:val="00AA099D"/>
    <w:rsid w:val="00AA0C8F"/>
    <w:rsid w:val="00AA10AF"/>
    <w:rsid w:val="00AA1206"/>
    <w:rsid w:val="00AA1210"/>
    <w:rsid w:val="00AA1404"/>
    <w:rsid w:val="00AA1408"/>
    <w:rsid w:val="00AA16AD"/>
    <w:rsid w:val="00AA17CB"/>
    <w:rsid w:val="00AA230F"/>
    <w:rsid w:val="00AA2383"/>
    <w:rsid w:val="00AA25E1"/>
    <w:rsid w:val="00AA2BAA"/>
    <w:rsid w:val="00AA2CD1"/>
    <w:rsid w:val="00AA2E64"/>
    <w:rsid w:val="00AA30B3"/>
    <w:rsid w:val="00AA30C5"/>
    <w:rsid w:val="00AA3138"/>
    <w:rsid w:val="00AA315C"/>
    <w:rsid w:val="00AA31CA"/>
    <w:rsid w:val="00AA36B2"/>
    <w:rsid w:val="00AA383C"/>
    <w:rsid w:val="00AA3859"/>
    <w:rsid w:val="00AA3AFF"/>
    <w:rsid w:val="00AA3C5F"/>
    <w:rsid w:val="00AA3D46"/>
    <w:rsid w:val="00AA3F27"/>
    <w:rsid w:val="00AA4464"/>
    <w:rsid w:val="00AA4607"/>
    <w:rsid w:val="00AA4632"/>
    <w:rsid w:val="00AA4697"/>
    <w:rsid w:val="00AA46AD"/>
    <w:rsid w:val="00AA4A09"/>
    <w:rsid w:val="00AA4CE4"/>
    <w:rsid w:val="00AA5118"/>
    <w:rsid w:val="00AA51D4"/>
    <w:rsid w:val="00AA543E"/>
    <w:rsid w:val="00AA5575"/>
    <w:rsid w:val="00AA57AA"/>
    <w:rsid w:val="00AA5A08"/>
    <w:rsid w:val="00AA5A64"/>
    <w:rsid w:val="00AA5A92"/>
    <w:rsid w:val="00AA5B7E"/>
    <w:rsid w:val="00AA5FB8"/>
    <w:rsid w:val="00AA6018"/>
    <w:rsid w:val="00AA603C"/>
    <w:rsid w:val="00AA6042"/>
    <w:rsid w:val="00AA61A1"/>
    <w:rsid w:val="00AA64A8"/>
    <w:rsid w:val="00AA6B20"/>
    <w:rsid w:val="00AA6E0B"/>
    <w:rsid w:val="00AA6EBA"/>
    <w:rsid w:val="00AA6EC2"/>
    <w:rsid w:val="00AA6F97"/>
    <w:rsid w:val="00AA7387"/>
    <w:rsid w:val="00AA7401"/>
    <w:rsid w:val="00AA77A0"/>
    <w:rsid w:val="00AA785C"/>
    <w:rsid w:val="00AA7A9A"/>
    <w:rsid w:val="00AA7C06"/>
    <w:rsid w:val="00AA7C5F"/>
    <w:rsid w:val="00AA7C9A"/>
    <w:rsid w:val="00AA7CC3"/>
    <w:rsid w:val="00AA98AF"/>
    <w:rsid w:val="00AB01C4"/>
    <w:rsid w:val="00AB0359"/>
    <w:rsid w:val="00AB05AD"/>
    <w:rsid w:val="00AB07FE"/>
    <w:rsid w:val="00AB0ABA"/>
    <w:rsid w:val="00AB0DB2"/>
    <w:rsid w:val="00AB1036"/>
    <w:rsid w:val="00AB1109"/>
    <w:rsid w:val="00AB1223"/>
    <w:rsid w:val="00AB125D"/>
    <w:rsid w:val="00AB1492"/>
    <w:rsid w:val="00AB15C1"/>
    <w:rsid w:val="00AB16D8"/>
    <w:rsid w:val="00AB181F"/>
    <w:rsid w:val="00AB198C"/>
    <w:rsid w:val="00AB1C68"/>
    <w:rsid w:val="00AB1E98"/>
    <w:rsid w:val="00AB2046"/>
    <w:rsid w:val="00AB235D"/>
    <w:rsid w:val="00AB23C3"/>
    <w:rsid w:val="00AB23E7"/>
    <w:rsid w:val="00AB2A06"/>
    <w:rsid w:val="00AB2CD4"/>
    <w:rsid w:val="00AB3273"/>
    <w:rsid w:val="00AB3298"/>
    <w:rsid w:val="00AB3506"/>
    <w:rsid w:val="00AB35CD"/>
    <w:rsid w:val="00AB3A4D"/>
    <w:rsid w:val="00AB3BDB"/>
    <w:rsid w:val="00AB3E71"/>
    <w:rsid w:val="00AB4738"/>
    <w:rsid w:val="00AB48A6"/>
    <w:rsid w:val="00AB4A91"/>
    <w:rsid w:val="00AB4E35"/>
    <w:rsid w:val="00AB4F75"/>
    <w:rsid w:val="00AB50B6"/>
    <w:rsid w:val="00AB51DA"/>
    <w:rsid w:val="00AB5677"/>
    <w:rsid w:val="00AB5723"/>
    <w:rsid w:val="00AB58B1"/>
    <w:rsid w:val="00AB5B64"/>
    <w:rsid w:val="00AB5BD8"/>
    <w:rsid w:val="00AB5E33"/>
    <w:rsid w:val="00AB5E94"/>
    <w:rsid w:val="00AB5F22"/>
    <w:rsid w:val="00AB6280"/>
    <w:rsid w:val="00AB66EA"/>
    <w:rsid w:val="00AB6735"/>
    <w:rsid w:val="00AB6B38"/>
    <w:rsid w:val="00AB70C4"/>
    <w:rsid w:val="00AB72E6"/>
    <w:rsid w:val="00AB7439"/>
    <w:rsid w:val="00AB7493"/>
    <w:rsid w:val="00AB769D"/>
    <w:rsid w:val="00AB77BB"/>
    <w:rsid w:val="00AB78ED"/>
    <w:rsid w:val="00AB7F7D"/>
    <w:rsid w:val="00AC006C"/>
    <w:rsid w:val="00AC0079"/>
    <w:rsid w:val="00AC0260"/>
    <w:rsid w:val="00AC02AC"/>
    <w:rsid w:val="00AC035A"/>
    <w:rsid w:val="00AC043B"/>
    <w:rsid w:val="00AC04BD"/>
    <w:rsid w:val="00AC0656"/>
    <w:rsid w:val="00AC0674"/>
    <w:rsid w:val="00AC0728"/>
    <w:rsid w:val="00AC0746"/>
    <w:rsid w:val="00AC077B"/>
    <w:rsid w:val="00AC07DA"/>
    <w:rsid w:val="00AC096F"/>
    <w:rsid w:val="00AC0AB3"/>
    <w:rsid w:val="00AC101A"/>
    <w:rsid w:val="00AC1066"/>
    <w:rsid w:val="00AC118A"/>
    <w:rsid w:val="00AC123F"/>
    <w:rsid w:val="00AC13A2"/>
    <w:rsid w:val="00AC2377"/>
    <w:rsid w:val="00AC24AC"/>
    <w:rsid w:val="00AC26BC"/>
    <w:rsid w:val="00AC26C2"/>
    <w:rsid w:val="00AC295C"/>
    <w:rsid w:val="00AC299D"/>
    <w:rsid w:val="00AC2EA2"/>
    <w:rsid w:val="00AC302E"/>
    <w:rsid w:val="00AC3102"/>
    <w:rsid w:val="00AC32A8"/>
    <w:rsid w:val="00AC33FE"/>
    <w:rsid w:val="00AC3447"/>
    <w:rsid w:val="00AC35F6"/>
    <w:rsid w:val="00AC3700"/>
    <w:rsid w:val="00AC375C"/>
    <w:rsid w:val="00AC3791"/>
    <w:rsid w:val="00AC3947"/>
    <w:rsid w:val="00AC3991"/>
    <w:rsid w:val="00AC3B05"/>
    <w:rsid w:val="00AC3BCA"/>
    <w:rsid w:val="00AC3C43"/>
    <w:rsid w:val="00AC3E5A"/>
    <w:rsid w:val="00AC3EA8"/>
    <w:rsid w:val="00AC3F5C"/>
    <w:rsid w:val="00AC412B"/>
    <w:rsid w:val="00AC43FC"/>
    <w:rsid w:val="00AC44BA"/>
    <w:rsid w:val="00AC4691"/>
    <w:rsid w:val="00AC47AB"/>
    <w:rsid w:val="00AC49E0"/>
    <w:rsid w:val="00AC4A1D"/>
    <w:rsid w:val="00AC4A54"/>
    <w:rsid w:val="00AC4C09"/>
    <w:rsid w:val="00AC4E12"/>
    <w:rsid w:val="00AC52AB"/>
    <w:rsid w:val="00AC5379"/>
    <w:rsid w:val="00AC5380"/>
    <w:rsid w:val="00AC53AD"/>
    <w:rsid w:val="00AC573A"/>
    <w:rsid w:val="00AC59EF"/>
    <w:rsid w:val="00AC5B3E"/>
    <w:rsid w:val="00AC5D53"/>
    <w:rsid w:val="00AC5DAC"/>
    <w:rsid w:val="00AC5F5B"/>
    <w:rsid w:val="00AC608A"/>
    <w:rsid w:val="00AC65DD"/>
    <w:rsid w:val="00AC6805"/>
    <w:rsid w:val="00AC6809"/>
    <w:rsid w:val="00AC681E"/>
    <w:rsid w:val="00AC7116"/>
    <w:rsid w:val="00AC72EF"/>
    <w:rsid w:val="00AC7B2E"/>
    <w:rsid w:val="00AC7EA4"/>
    <w:rsid w:val="00AC7F41"/>
    <w:rsid w:val="00AD053F"/>
    <w:rsid w:val="00AD0702"/>
    <w:rsid w:val="00AD07B8"/>
    <w:rsid w:val="00AD0C57"/>
    <w:rsid w:val="00AD0FDD"/>
    <w:rsid w:val="00AD0FFD"/>
    <w:rsid w:val="00AD10CF"/>
    <w:rsid w:val="00AD16F6"/>
    <w:rsid w:val="00AD187D"/>
    <w:rsid w:val="00AD19BC"/>
    <w:rsid w:val="00AD19C1"/>
    <w:rsid w:val="00AD1BA7"/>
    <w:rsid w:val="00AD1F44"/>
    <w:rsid w:val="00AD202F"/>
    <w:rsid w:val="00AD219F"/>
    <w:rsid w:val="00AD21A1"/>
    <w:rsid w:val="00AD21B7"/>
    <w:rsid w:val="00AD22D9"/>
    <w:rsid w:val="00AD250D"/>
    <w:rsid w:val="00AD280A"/>
    <w:rsid w:val="00AD2831"/>
    <w:rsid w:val="00AD28A2"/>
    <w:rsid w:val="00AD28B0"/>
    <w:rsid w:val="00AD28D1"/>
    <w:rsid w:val="00AD2A65"/>
    <w:rsid w:val="00AD2ACF"/>
    <w:rsid w:val="00AD2C7B"/>
    <w:rsid w:val="00AD2EB3"/>
    <w:rsid w:val="00AD2F6E"/>
    <w:rsid w:val="00AD315F"/>
    <w:rsid w:val="00AD33A2"/>
    <w:rsid w:val="00AD3459"/>
    <w:rsid w:val="00AD3755"/>
    <w:rsid w:val="00AD3A8B"/>
    <w:rsid w:val="00AD3BED"/>
    <w:rsid w:val="00AD3D9A"/>
    <w:rsid w:val="00AD3DA0"/>
    <w:rsid w:val="00AD4032"/>
    <w:rsid w:val="00AD41CF"/>
    <w:rsid w:val="00AD42C3"/>
    <w:rsid w:val="00AD44CF"/>
    <w:rsid w:val="00AD44E4"/>
    <w:rsid w:val="00AD495E"/>
    <w:rsid w:val="00AD4BCC"/>
    <w:rsid w:val="00AD4D06"/>
    <w:rsid w:val="00AD4DE3"/>
    <w:rsid w:val="00AD5042"/>
    <w:rsid w:val="00AD5093"/>
    <w:rsid w:val="00AD54D9"/>
    <w:rsid w:val="00AD54E5"/>
    <w:rsid w:val="00AD55ED"/>
    <w:rsid w:val="00AD577C"/>
    <w:rsid w:val="00AD5785"/>
    <w:rsid w:val="00AD597D"/>
    <w:rsid w:val="00AD59BB"/>
    <w:rsid w:val="00AD5DCC"/>
    <w:rsid w:val="00AD5EFC"/>
    <w:rsid w:val="00AD6118"/>
    <w:rsid w:val="00AD61EF"/>
    <w:rsid w:val="00AD6304"/>
    <w:rsid w:val="00AD632F"/>
    <w:rsid w:val="00AD649D"/>
    <w:rsid w:val="00AD65DB"/>
    <w:rsid w:val="00AD660C"/>
    <w:rsid w:val="00AD663A"/>
    <w:rsid w:val="00AD66D3"/>
    <w:rsid w:val="00AD6801"/>
    <w:rsid w:val="00AD6859"/>
    <w:rsid w:val="00AD6AD7"/>
    <w:rsid w:val="00AD6F83"/>
    <w:rsid w:val="00AD7025"/>
    <w:rsid w:val="00AD7400"/>
    <w:rsid w:val="00AD75C3"/>
    <w:rsid w:val="00AD762D"/>
    <w:rsid w:val="00AD7680"/>
    <w:rsid w:val="00AD7694"/>
    <w:rsid w:val="00AD770F"/>
    <w:rsid w:val="00AD7C07"/>
    <w:rsid w:val="00AD7CE6"/>
    <w:rsid w:val="00AD7D31"/>
    <w:rsid w:val="00AD7E45"/>
    <w:rsid w:val="00AD7EBE"/>
    <w:rsid w:val="00AE029A"/>
    <w:rsid w:val="00AE029D"/>
    <w:rsid w:val="00AE058E"/>
    <w:rsid w:val="00AE0702"/>
    <w:rsid w:val="00AE0854"/>
    <w:rsid w:val="00AE0C05"/>
    <w:rsid w:val="00AE0EDE"/>
    <w:rsid w:val="00AE0FD1"/>
    <w:rsid w:val="00AE10C3"/>
    <w:rsid w:val="00AE10D3"/>
    <w:rsid w:val="00AE16E3"/>
    <w:rsid w:val="00AE1835"/>
    <w:rsid w:val="00AE18F3"/>
    <w:rsid w:val="00AE1971"/>
    <w:rsid w:val="00AE1A1F"/>
    <w:rsid w:val="00AE1A6C"/>
    <w:rsid w:val="00AE1FD4"/>
    <w:rsid w:val="00AE21A2"/>
    <w:rsid w:val="00AE24EC"/>
    <w:rsid w:val="00AE2502"/>
    <w:rsid w:val="00AE2625"/>
    <w:rsid w:val="00AE2874"/>
    <w:rsid w:val="00AE29F6"/>
    <w:rsid w:val="00AE2A1B"/>
    <w:rsid w:val="00AE2DA4"/>
    <w:rsid w:val="00AE3221"/>
    <w:rsid w:val="00AE3413"/>
    <w:rsid w:val="00AE3750"/>
    <w:rsid w:val="00AE3A33"/>
    <w:rsid w:val="00AE3B64"/>
    <w:rsid w:val="00AE3BC4"/>
    <w:rsid w:val="00AE3C15"/>
    <w:rsid w:val="00AE3C9A"/>
    <w:rsid w:val="00AE4245"/>
    <w:rsid w:val="00AE439B"/>
    <w:rsid w:val="00AE43AE"/>
    <w:rsid w:val="00AE444C"/>
    <w:rsid w:val="00AE46E6"/>
    <w:rsid w:val="00AE479D"/>
    <w:rsid w:val="00AE48E8"/>
    <w:rsid w:val="00AE4D12"/>
    <w:rsid w:val="00AE51DB"/>
    <w:rsid w:val="00AE52A5"/>
    <w:rsid w:val="00AE52FE"/>
    <w:rsid w:val="00AE541B"/>
    <w:rsid w:val="00AE57FC"/>
    <w:rsid w:val="00AE58F7"/>
    <w:rsid w:val="00AE5F04"/>
    <w:rsid w:val="00AE6888"/>
    <w:rsid w:val="00AE6963"/>
    <w:rsid w:val="00AE6B5D"/>
    <w:rsid w:val="00AE6BC2"/>
    <w:rsid w:val="00AE6BFD"/>
    <w:rsid w:val="00AE6C24"/>
    <w:rsid w:val="00AE6D1A"/>
    <w:rsid w:val="00AE6DBD"/>
    <w:rsid w:val="00AE71E5"/>
    <w:rsid w:val="00AE7237"/>
    <w:rsid w:val="00AE726F"/>
    <w:rsid w:val="00AE72E4"/>
    <w:rsid w:val="00AE7389"/>
    <w:rsid w:val="00AE73F4"/>
    <w:rsid w:val="00AE74C9"/>
    <w:rsid w:val="00AE7534"/>
    <w:rsid w:val="00AE75C6"/>
    <w:rsid w:val="00AE7696"/>
    <w:rsid w:val="00AE77A0"/>
    <w:rsid w:val="00AE7AA2"/>
    <w:rsid w:val="00AE7D2F"/>
    <w:rsid w:val="00AE7DA2"/>
    <w:rsid w:val="00AF003A"/>
    <w:rsid w:val="00AF012E"/>
    <w:rsid w:val="00AF014F"/>
    <w:rsid w:val="00AF0464"/>
    <w:rsid w:val="00AF06B0"/>
    <w:rsid w:val="00AF0763"/>
    <w:rsid w:val="00AF0827"/>
    <w:rsid w:val="00AF09CD"/>
    <w:rsid w:val="00AF0E25"/>
    <w:rsid w:val="00AF0E3C"/>
    <w:rsid w:val="00AF1088"/>
    <w:rsid w:val="00AF1287"/>
    <w:rsid w:val="00AF1758"/>
    <w:rsid w:val="00AF1E34"/>
    <w:rsid w:val="00AF1EBA"/>
    <w:rsid w:val="00AF2624"/>
    <w:rsid w:val="00AF26CF"/>
    <w:rsid w:val="00AF28C2"/>
    <w:rsid w:val="00AF2BCB"/>
    <w:rsid w:val="00AF2D67"/>
    <w:rsid w:val="00AF2DEE"/>
    <w:rsid w:val="00AF31A3"/>
    <w:rsid w:val="00AF31D7"/>
    <w:rsid w:val="00AF33A2"/>
    <w:rsid w:val="00AF33D9"/>
    <w:rsid w:val="00AF33DE"/>
    <w:rsid w:val="00AF3529"/>
    <w:rsid w:val="00AF3639"/>
    <w:rsid w:val="00AF3953"/>
    <w:rsid w:val="00AF3DB4"/>
    <w:rsid w:val="00AF3E06"/>
    <w:rsid w:val="00AF3F36"/>
    <w:rsid w:val="00AF3F9F"/>
    <w:rsid w:val="00AF40C2"/>
    <w:rsid w:val="00AF4DC2"/>
    <w:rsid w:val="00AF4E8E"/>
    <w:rsid w:val="00AF4EC6"/>
    <w:rsid w:val="00AF522D"/>
    <w:rsid w:val="00AF5418"/>
    <w:rsid w:val="00AF55BB"/>
    <w:rsid w:val="00AF5BB2"/>
    <w:rsid w:val="00AF5CCE"/>
    <w:rsid w:val="00AF5E7C"/>
    <w:rsid w:val="00AF6134"/>
    <w:rsid w:val="00AF6342"/>
    <w:rsid w:val="00AF6791"/>
    <w:rsid w:val="00AF6931"/>
    <w:rsid w:val="00AF6A4C"/>
    <w:rsid w:val="00AF6C53"/>
    <w:rsid w:val="00AF6DB0"/>
    <w:rsid w:val="00AF72E9"/>
    <w:rsid w:val="00AF73AD"/>
    <w:rsid w:val="00AF746F"/>
    <w:rsid w:val="00AF7485"/>
    <w:rsid w:val="00AF7552"/>
    <w:rsid w:val="00AF75A6"/>
    <w:rsid w:val="00AF75AD"/>
    <w:rsid w:val="00AF7790"/>
    <w:rsid w:val="00AF77B1"/>
    <w:rsid w:val="00AF77C6"/>
    <w:rsid w:val="00AF7CC4"/>
    <w:rsid w:val="00B00072"/>
    <w:rsid w:val="00B0033F"/>
    <w:rsid w:val="00B00438"/>
    <w:rsid w:val="00B004B2"/>
    <w:rsid w:val="00B005C1"/>
    <w:rsid w:val="00B00B1B"/>
    <w:rsid w:val="00B00D64"/>
    <w:rsid w:val="00B00E91"/>
    <w:rsid w:val="00B01091"/>
    <w:rsid w:val="00B013CD"/>
    <w:rsid w:val="00B01596"/>
    <w:rsid w:val="00B015F7"/>
    <w:rsid w:val="00B0178F"/>
    <w:rsid w:val="00B01966"/>
    <w:rsid w:val="00B01BC3"/>
    <w:rsid w:val="00B01CE9"/>
    <w:rsid w:val="00B021AD"/>
    <w:rsid w:val="00B025D0"/>
    <w:rsid w:val="00B02658"/>
    <w:rsid w:val="00B02698"/>
    <w:rsid w:val="00B0270F"/>
    <w:rsid w:val="00B0288A"/>
    <w:rsid w:val="00B02B02"/>
    <w:rsid w:val="00B02B2C"/>
    <w:rsid w:val="00B02D74"/>
    <w:rsid w:val="00B02FAF"/>
    <w:rsid w:val="00B02FE4"/>
    <w:rsid w:val="00B03793"/>
    <w:rsid w:val="00B03813"/>
    <w:rsid w:val="00B03989"/>
    <w:rsid w:val="00B03BF6"/>
    <w:rsid w:val="00B03DC2"/>
    <w:rsid w:val="00B04125"/>
    <w:rsid w:val="00B043D0"/>
    <w:rsid w:val="00B046C1"/>
    <w:rsid w:val="00B0471F"/>
    <w:rsid w:val="00B0476A"/>
    <w:rsid w:val="00B048A7"/>
    <w:rsid w:val="00B04B93"/>
    <w:rsid w:val="00B04DA5"/>
    <w:rsid w:val="00B04E0D"/>
    <w:rsid w:val="00B052B3"/>
    <w:rsid w:val="00B053CC"/>
    <w:rsid w:val="00B05414"/>
    <w:rsid w:val="00B0569B"/>
    <w:rsid w:val="00B056C1"/>
    <w:rsid w:val="00B057D2"/>
    <w:rsid w:val="00B05C7C"/>
    <w:rsid w:val="00B05C81"/>
    <w:rsid w:val="00B061DB"/>
    <w:rsid w:val="00B0632F"/>
    <w:rsid w:val="00B06B24"/>
    <w:rsid w:val="00B06B69"/>
    <w:rsid w:val="00B06C50"/>
    <w:rsid w:val="00B06F48"/>
    <w:rsid w:val="00B074DF"/>
    <w:rsid w:val="00B0762A"/>
    <w:rsid w:val="00B0791A"/>
    <w:rsid w:val="00B07AB1"/>
    <w:rsid w:val="00B07BE1"/>
    <w:rsid w:val="00B07E74"/>
    <w:rsid w:val="00B102FE"/>
    <w:rsid w:val="00B10317"/>
    <w:rsid w:val="00B1045F"/>
    <w:rsid w:val="00B1097F"/>
    <w:rsid w:val="00B10B66"/>
    <w:rsid w:val="00B118F3"/>
    <w:rsid w:val="00B11A5F"/>
    <w:rsid w:val="00B11BA3"/>
    <w:rsid w:val="00B11EF4"/>
    <w:rsid w:val="00B1207A"/>
    <w:rsid w:val="00B120B2"/>
    <w:rsid w:val="00B122DC"/>
    <w:rsid w:val="00B1231A"/>
    <w:rsid w:val="00B123BD"/>
    <w:rsid w:val="00B1272D"/>
    <w:rsid w:val="00B12788"/>
    <w:rsid w:val="00B12816"/>
    <w:rsid w:val="00B12839"/>
    <w:rsid w:val="00B12ABD"/>
    <w:rsid w:val="00B12CA3"/>
    <w:rsid w:val="00B12D7F"/>
    <w:rsid w:val="00B12DD8"/>
    <w:rsid w:val="00B12DF1"/>
    <w:rsid w:val="00B12FC7"/>
    <w:rsid w:val="00B130C4"/>
    <w:rsid w:val="00B1326A"/>
    <w:rsid w:val="00B13598"/>
    <w:rsid w:val="00B1363A"/>
    <w:rsid w:val="00B1366B"/>
    <w:rsid w:val="00B13AE2"/>
    <w:rsid w:val="00B13B9D"/>
    <w:rsid w:val="00B13CC6"/>
    <w:rsid w:val="00B13D15"/>
    <w:rsid w:val="00B13E46"/>
    <w:rsid w:val="00B13EB2"/>
    <w:rsid w:val="00B13F52"/>
    <w:rsid w:val="00B141A4"/>
    <w:rsid w:val="00B1432F"/>
    <w:rsid w:val="00B1439C"/>
    <w:rsid w:val="00B14444"/>
    <w:rsid w:val="00B14599"/>
    <w:rsid w:val="00B14903"/>
    <w:rsid w:val="00B14D12"/>
    <w:rsid w:val="00B14D98"/>
    <w:rsid w:val="00B150C2"/>
    <w:rsid w:val="00B151FD"/>
    <w:rsid w:val="00B1532F"/>
    <w:rsid w:val="00B15370"/>
    <w:rsid w:val="00B153AC"/>
    <w:rsid w:val="00B154A8"/>
    <w:rsid w:val="00B1560B"/>
    <w:rsid w:val="00B15674"/>
    <w:rsid w:val="00B15736"/>
    <w:rsid w:val="00B15759"/>
    <w:rsid w:val="00B159B5"/>
    <w:rsid w:val="00B15AAC"/>
    <w:rsid w:val="00B15D36"/>
    <w:rsid w:val="00B15F09"/>
    <w:rsid w:val="00B16016"/>
    <w:rsid w:val="00B160D9"/>
    <w:rsid w:val="00B160E4"/>
    <w:rsid w:val="00B161F2"/>
    <w:rsid w:val="00B1625C"/>
    <w:rsid w:val="00B16320"/>
    <w:rsid w:val="00B163B0"/>
    <w:rsid w:val="00B164C3"/>
    <w:rsid w:val="00B16994"/>
    <w:rsid w:val="00B16BFE"/>
    <w:rsid w:val="00B16D23"/>
    <w:rsid w:val="00B16D6F"/>
    <w:rsid w:val="00B16EDD"/>
    <w:rsid w:val="00B175CE"/>
    <w:rsid w:val="00B175D7"/>
    <w:rsid w:val="00B177C6"/>
    <w:rsid w:val="00B17842"/>
    <w:rsid w:val="00B17D74"/>
    <w:rsid w:val="00B200CC"/>
    <w:rsid w:val="00B20261"/>
    <w:rsid w:val="00B2030C"/>
    <w:rsid w:val="00B20332"/>
    <w:rsid w:val="00B206C5"/>
    <w:rsid w:val="00B20AD8"/>
    <w:rsid w:val="00B20B6B"/>
    <w:rsid w:val="00B20C69"/>
    <w:rsid w:val="00B2120F"/>
    <w:rsid w:val="00B21258"/>
    <w:rsid w:val="00B2160F"/>
    <w:rsid w:val="00B216E3"/>
    <w:rsid w:val="00B21717"/>
    <w:rsid w:val="00B2176F"/>
    <w:rsid w:val="00B2186D"/>
    <w:rsid w:val="00B21EA7"/>
    <w:rsid w:val="00B21F70"/>
    <w:rsid w:val="00B21F76"/>
    <w:rsid w:val="00B22037"/>
    <w:rsid w:val="00B2236A"/>
    <w:rsid w:val="00B223F1"/>
    <w:rsid w:val="00B2248C"/>
    <w:rsid w:val="00B22618"/>
    <w:rsid w:val="00B22D15"/>
    <w:rsid w:val="00B22D9B"/>
    <w:rsid w:val="00B22E1F"/>
    <w:rsid w:val="00B23127"/>
    <w:rsid w:val="00B231B9"/>
    <w:rsid w:val="00B232BC"/>
    <w:rsid w:val="00B232F4"/>
    <w:rsid w:val="00B23331"/>
    <w:rsid w:val="00B2366F"/>
    <w:rsid w:val="00B23C7F"/>
    <w:rsid w:val="00B23DF6"/>
    <w:rsid w:val="00B23E6E"/>
    <w:rsid w:val="00B243CA"/>
    <w:rsid w:val="00B244BD"/>
    <w:rsid w:val="00B244E6"/>
    <w:rsid w:val="00B245F9"/>
    <w:rsid w:val="00B247AA"/>
    <w:rsid w:val="00B24956"/>
    <w:rsid w:val="00B25321"/>
    <w:rsid w:val="00B25491"/>
    <w:rsid w:val="00B2549D"/>
    <w:rsid w:val="00B2562C"/>
    <w:rsid w:val="00B258F3"/>
    <w:rsid w:val="00B259F0"/>
    <w:rsid w:val="00B26037"/>
    <w:rsid w:val="00B26181"/>
    <w:rsid w:val="00B261C7"/>
    <w:rsid w:val="00B263B9"/>
    <w:rsid w:val="00B2671C"/>
    <w:rsid w:val="00B26A30"/>
    <w:rsid w:val="00B26B24"/>
    <w:rsid w:val="00B26E14"/>
    <w:rsid w:val="00B26F0C"/>
    <w:rsid w:val="00B27076"/>
    <w:rsid w:val="00B271B3"/>
    <w:rsid w:val="00B2736F"/>
    <w:rsid w:val="00B2749A"/>
    <w:rsid w:val="00B2768B"/>
    <w:rsid w:val="00B2774F"/>
    <w:rsid w:val="00B278E1"/>
    <w:rsid w:val="00B279E0"/>
    <w:rsid w:val="00B27E1D"/>
    <w:rsid w:val="00B30086"/>
    <w:rsid w:val="00B301E9"/>
    <w:rsid w:val="00B304A6"/>
    <w:rsid w:val="00B3093E"/>
    <w:rsid w:val="00B30A67"/>
    <w:rsid w:val="00B30EC6"/>
    <w:rsid w:val="00B31095"/>
    <w:rsid w:val="00B3115F"/>
    <w:rsid w:val="00B31478"/>
    <w:rsid w:val="00B3180B"/>
    <w:rsid w:val="00B31B6F"/>
    <w:rsid w:val="00B31B8C"/>
    <w:rsid w:val="00B31C0A"/>
    <w:rsid w:val="00B31D4E"/>
    <w:rsid w:val="00B321A4"/>
    <w:rsid w:val="00B32397"/>
    <w:rsid w:val="00B32622"/>
    <w:rsid w:val="00B327D9"/>
    <w:rsid w:val="00B32930"/>
    <w:rsid w:val="00B32AE6"/>
    <w:rsid w:val="00B32B3A"/>
    <w:rsid w:val="00B32BDC"/>
    <w:rsid w:val="00B339CC"/>
    <w:rsid w:val="00B33A38"/>
    <w:rsid w:val="00B33C08"/>
    <w:rsid w:val="00B33D9D"/>
    <w:rsid w:val="00B33EC3"/>
    <w:rsid w:val="00B34526"/>
    <w:rsid w:val="00B345B3"/>
    <w:rsid w:val="00B346C6"/>
    <w:rsid w:val="00B34ABD"/>
    <w:rsid w:val="00B34AFC"/>
    <w:rsid w:val="00B34B01"/>
    <w:rsid w:val="00B34DEE"/>
    <w:rsid w:val="00B34E23"/>
    <w:rsid w:val="00B34F3E"/>
    <w:rsid w:val="00B35317"/>
    <w:rsid w:val="00B354B8"/>
    <w:rsid w:val="00B35968"/>
    <w:rsid w:val="00B35A2B"/>
    <w:rsid w:val="00B35ADB"/>
    <w:rsid w:val="00B35BDD"/>
    <w:rsid w:val="00B35E8E"/>
    <w:rsid w:val="00B35F52"/>
    <w:rsid w:val="00B362E7"/>
    <w:rsid w:val="00B3655D"/>
    <w:rsid w:val="00B365C1"/>
    <w:rsid w:val="00B365EC"/>
    <w:rsid w:val="00B367B6"/>
    <w:rsid w:val="00B3697B"/>
    <w:rsid w:val="00B36C56"/>
    <w:rsid w:val="00B36CF4"/>
    <w:rsid w:val="00B36F18"/>
    <w:rsid w:val="00B36FB0"/>
    <w:rsid w:val="00B37307"/>
    <w:rsid w:val="00B37317"/>
    <w:rsid w:val="00B37330"/>
    <w:rsid w:val="00B3758D"/>
    <w:rsid w:val="00B375BB"/>
    <w:rsid w:val="00B37722"/>
    <w:rsid w:val="00B37B14"/>
    <w:rsid w:val="00B37F7E"/>
    <w:rsid w:val="00B3AED1"/>
    <w:rsid w:val="00B4007C"/>
    <w:rsid w:val="00B40387"/>
    <w:rsid w:val="00B403AB"/>
    <w:rsid w:val="00B40423"/>
    <w:rsid w:val="00B4057C"/>
    <w:rsid w:val="00B407CE"/>
    <w:rsid w:val="00B40A3A"/>
    <w:rsid w:val="00B40A7D"/>
    <w:rsid w:val="00B40B99"/>
    <w:rsid w:val="00B40C65"/>
    <w:rsid w:val="00B40C6A"/>
    <w:rsid w:val="00B4148D"/>
    <w:rsid w:val="00B41629"/>
    <w:rsid w:val="00B4175E"/>
    <w:rsid w:val="00B4191F"/>
    <w:rsid w:val="00B41A9A"/>
    <w:rsid w:val="00B41E36"/>
    <w:rsid w:val="00B421E8"/>
    <w:rsid w:val="00B42217"/>
    <w:rsid w:val="00B42F09"/>
    <w:rsid w:val="00B435F9"/>
    <w:rsid w:val="00B43878"/>
    <w:rsid w:val="00B43952"/>
    <w:rsid w:val="00B43E5D"/>
    <w:rsid w:val="00B43EAB"/>
    <w:rsid w:val="00B4455C"/>
    <w:rsid w:val="00B446B8"/>
    <w:rsid w:val="00B44B2B"/>
    <w:rsid w:val="00B44EA1"/>
    <w:rsid w:val="00B44F5B"/>
    <w:rsid w:val="00B451D6"/>
    <w:rsid w:val="00B451EE"/>
    <w:rsid w:val="00B45430"/>
    <w:rsid w:val="00B45685"/>
    <w:rsid w:val="00B4580A"/>
    <w:rsid w:val="00B45998"/>
    <w:rsid w:val="00B466AC"/>
    <w:rsid w:val="00B468DF"/>
    <w:rsid w:val="00B47149"/>
    <w:rsid w:val="00B47408"/>
    <w:rsid w:val="00B474DF"/>
    <w:rsid w:val="00B47915"/>
    <w:rsid w:val="00B47948"/>
    <w:rsid w:val="00B47AA0"/>
    <w:rsid w:val="00B47B2D"/>
    <w:rsid w:val="00B47D05"/>
    <w:rsid w:val="00B47D16"/>
    <w:rsid w:val="00B47D74"/>
    <w:rsid w:val="00B47E2D"/>
    <w:rsid w:val="00B47EA3"/>
    <w:rsid w:val="00B5011D"/>
    <w:rsid w:val="00B5057D"/>
    <w:rsid w:val="00B50660"/>
    <w:rsid w:val="00B50ADA"/>
    <w:rsid w:val="00B50D7F"/>
    <w:rsid w:val="00B5104E"/>
    <w:rsid w:val="00B510AB"/>
    <w:rsid w:val="00B5115D"/>
    <w:rsid w:val="00B51375"/>
    <w:rsid w:val="00B51782"/>
    <w:rsid w:val="00B51961"/>
    <w:rsid w:val="00B51ABA"/>
    <w:rsid w:val="00B51C1B"/>
    <w:rsid w:val="00B52068"/>
    <w:rsid w:val="00B520B6"/>
    <w:rsid w:val="00B52587"/>
    <w:rsid w:val="00B52880"/>
    <w:rsid w:val="00B5294E"/>
    <w:rsid w:val="00B529CB"/>
    <w:rsid w:val="00B53117"/>
    <w:rsid w:val="00B53324"/>
    <w:rsid w:val="00B5341B"/>
    <w:rsid w:val="00B534AA"/>
    <w:rsid w:val="00B536AB"/>
    <w:rsid w:val="00B536FD"/>
    <w:rsid w:val="00B53854"/>
    <w:rsid w:val="00B53AF7"/>
    <w:rsid w:val="00B53C05"/>
    <w:rsid w:val="00B53ECB"/>
    <w:rsid w:val="00B53F56"/>
    <w:rsid w:val="00B5406E"/>
    <w:rsid w:val="00B540A8"/>
    <w:rsid w:val="00B541AE"/>
    <w:rsid w:val="00B54219"/>
    <w:rsid w:val="00B544C6"/>
    <w:rsid w:val="00B544C9"/>
    <w:rsid w:val="00B549CB"/>
    <w:rsid w:val="00B54A09"/>
    <w:rsid w:val="00B54A2E"/>
    <w:rsid w:val="00B54B27"/>
    <w:rsid w:val="00B551B6"/>
    <w:rsid w:val="00B554C3"/>
    <w:rsid w:val="00B55663"/>
    <w:rsid w:val="00B557EB"/>
    <w:rsid w:val="00B55C15"/>
    <w:rsid w:val="00B55C8C"/>
    <w:rsid w:val="00B55E78"/>
    <w:rsid w:val="00B55F74"/>
    <w:rsid w:val="00B56048"/>
    <w:rsid w:val="00B56A15"/>
    <w:rsid w:val="00B56E52"/>
    <w:rsid w:val="00B57034"/>
    <w:rsid w:val="00B5742A"/>
    <w:rsid w:val="00B57433"/>
    <w:rsid w:val="00B57789"/>
    <w:rsid w:val="00B578C9"/>
    <w:rsid w:val="00B57A37"/>
    <w:rsid w:val="00B57B93"/>
    <w:rsid w:val="00B57D4C"/>
    <w:rsid w:val="00B57FB1"/>
    <w:rsid w:val="00B6005C"/>
    <w:rsid w:val="00B600EE"/>
    <w:rsid w:val="00B6017C"/>
    <w:rsid w:val="00B602A0"/>
    <w:rsid w:val="00B602EF"/>
    <w:rsid w:val="00B6032E"/>
    <w:rsid w:val="00B603BD"/>
    <w:rsid w:val="00B60528"/>
    <w:rsid w:val="00B60A39"/>
    <w:rsid w:val="00B60EC1"/>
    <w:rsid w:val="00B60F15"/>
    <w:rsid w:val="00B617B9"/>
    <w:rsid w:val="00B619B6"/>
    <w:rsid w:val="00B61A70"/>
    <w:rsid w:val="00B61FCF"/>
    <w:rsid w:val="00B62275"/>
    <w:rsid w:val="00B622B2"/>
    <w:rsid w:val="00B6232E"/>
    <w:rsid w:val="00B630AE"/>
    <w:rsid w:val="00B630C2"/>
    <w:rsid w:val="00B631AD"/>
    <w:rsid w:val="00B63940"/>
    <w:rsid w:val="00B639FA"/>
    <w:rsid w:val="00B63F21"/>
    <w:rsid w:val="00B64063"/>
    <w:rsid w:val="00B642A5"/>
    <w:rsid w:val="00B64386"/>
    <w:rsid w:val="00B645A3"/>
    <w:rsid w:val="00B64B9E"/>
    <w:rsid w:val="00B64C80"/>
    <w:rsid w:val="00B64D06"/>
    <w:rsid w:val="00B64E31"/>
    <w:rsid w:val="00B64ED8"/>
    <w:rsid w:val="00B64F19"/>
    <w:rsid w:val="00B6574E"/>
    <w:rsid w:val="00B6574F"/>
    <w:rsid w:val="00B65B1E"/>
    <w:rsid w:val="00B65BA2"/>
    <w:rsid w:val="00B65D24"/>
    <w:rsid w:val="00B65F86"/>
    <w:rsid w:val="00B6604E"/>
    <w:rsid w:val="00B66065"/>
    <w:rsid w:val="00B6620F"/>
    <w:rsid w:val="00B66BE1"/>
    <w:rsid w:val="00B66E48"/>
    <w:rsid w:val="00B66E79"/>
    <w:rsid w:val="00B66EC7"/>
    <w:rsid w:val="00B67402"/>
    <w:rsid w:val="00B67555"/>
    <w:rsid w:val="00B67B5D"/>
    <w:rsid w:val="00B67FA0"/>
    <w:rsid w:val="00B700A7"/>
    <w:rsid w:val="00B7040F"/>
    <w:rsid w:val="00B707AC"/>
    <w:rsid w:val="00B707AD"/>
    <w:rsid w:val="00B7086E"/>
    <w:rsid w:val="00B7090C"/>
    <w:rsid w:val="00B7095F"/>
    <w:rsid w:val="00B709E0"/>
    <w:rsid w:val="00B70A75"/>
    <w:rsid w:val="00B70AD5"/>
    <w:rsid w:val="00B70B72"/>
    <w:rsid w:val="00B711F4"/>
    <w:rsid w:val="00B712CC"/>
    <w:rsid w:val="00B7162F"/>
    <w:rsid w:val="00B716D6"/>
    <w:rsid w:val="00B7191B"/>
    <w:rsid w:val="00B7196E"/>
    <w:rsid w:val="00B71B00"/>
    <w:rsid w:val="00B720C4"/>
    <w:rsid w:val="00B7217C"/>
    <w:rsid w:val="00B725E4"/>
    <w:rsid w:val="00B7275D"/>
    <w:rsid w:val="00B7281E"/>
    <w:rsid w:val="00B72F46"/>
    <w:rsid w:val="00B72FA1"/>
    <w:rsid w:val="00B73364"/>
    <w:rsid w:val="00B733A6"/>
    <w:rsid w:val="00B733C4"/>
    <w:rsid w:val="00B735A8"/>
    <w:rsid w:val="00B73877"/>
    <w:rsid w:val="00B73878"/>
    <w:rsid w:val="00B73D5B"/>
    <w:rsid w:val="00B73DBB"/>
    <w:rsid w:val="00B7434D"/>
    <w:rsid w:val="00B7450A"/>
    <w:rsid w:val="00B74720"/>
    <w:rsid w:val="00B7485C"/>
    <w:rsid w:val="00B74C39"/>
    <w:rsid w:val="00B74D20"/>
    <w:rsid w:val="00B74EC3"/>
    <w:rsid w:val="00B752ED"/>
    <w:rsid w:val="00B75358"/>
    <w:rsid w:val="00B7536A"/>
    <w:rsid w:val="00B7545F"/>
    <w:rsid w:val="00B75479"/>
    <w:rsid w:val="00B755AC"/>
    <w:rsid w:val="00B755EC"/>
    <w:rsid w:val="00B759AD"/>
    <w:rsid w:val="00B75B7F"/>
    <w:rsid w:val="00B75EE7"/>
    <w:rsid w:val="00B7614B"/>
    <w:rsid w:val="00B7673F"/>
    <w:rsid w:val="00B767A8"/>
    <w:rsid w:val="00B768A0"/>
    <w:rsid w:val="00B76ED1"/>
    <w:rsid w:val="00B772BA"/>
    <w:rsid w:val="00B775ED"/>
    <w:rsid w:val="00B7772D"/>
    <w:rsid w:val="00B77900"/>
    <w:rsid w:val="00B77A0A"/>
    <w:rsid w:val="00B77B67"/>
    <w:rsid w:val="00B77C5E"/>
    <w:rsid w:val="00B77D21"/>
    <w:rsid w:val="00B77D30"/>
    <w:rsid w:val="00B77DDE"/>
    <w:rsid w:val="00B77E14"/>
    <w:rsid w:val="00B77FD8"/>
    <w:rsid w:val="00B80055"/>
    <w:rsid w:val="00B80744"/>
    <w:rsid w:val="00B8088B"/>
    <w:rsid w:val="00B809E0"/>
    <w:rsid w:val="00B80A5A"/>
    <w:rsid w:val="00B80AD5"/>
    <w:rsid w:val="00B80B02"/>
    <w:rsid w:val="00B80C34"/>
    <w:rsid w:val="00B80E00"/>
    <w:rsid w:val="00B80E46"/>
    <w:rsid w:val="00B810B6"/>
    <w:rsid w:val="00B810E6"/>
    <w:rsid w:val="00B8156C"/>
    <w:rsid w:val="00B816C5"/>
    <w:rsid w:val="00B817FC"/>
    <w:rsid w:val="00B818AA"/>
    <w:rsid w:val="00B818BA"/>
    <w:rsid w:val="00B81A7B"/>
    <w:rsid w:val="00B820E9"/>
    <w:rsid w:val="00B821EF"/>
    <w:rsid w:val="00B8248D"/>
    <w:rsid w:val="00B825CD"/>
    <w:rsid w:val="00B825D7"/>
    <w:rsid w:val="00B82A37"/>
    <w:rsid w:val="00B82B48"/>
    <w:rsid w:val="00B82BF5"/>
    <w:rsid w:val="00B82CAA"/>
    <w:rsid w:val="00B82F34"/>
    <w:rsid w:val="00B82F96"/>
    <w:rsid w:val="00B83004"/>
    <w:rsid w:val="00B8328B"/>
    <w:rsid w:val="00B83DF8"/>
    <w:rsid w:val="00B83E70"/>
    <w:rsid w:val="00B83ED8"/>
    <w:rsid w:val="00B83FFC"/>
    <w:rsid w:val="00B84312"/>
    <w:rsid w:val="00B84525"/>
    <w:rsid w:val="00B8453B"/>
    <w:rsid w:val="00B845B7"/>
    <w:rsid w:val="00B8460C"/>
    <w:rsid w:val="00B84ABA"/>
    <w:rsid w:val="00B84B29"/>
    <w:rsid w:val="00B84F3B"/>
    <w:rsid w:val="00B84FBD"/>
    <w:rsid w:val="00B85262"/>
    <w:rsid w:val="00B8527F"/>
    <w:rsid w:val="00B85330"/>
    <w:rsid w:val="00B8546F"/>
    <w:rsid w:val="00B854BA"/>
    <w:rsid w:val="00B85558"/>
    <w:rsid w:val="00B85637"/>
    <w:rsid w:val="00B8567C"/>
    <w:rsid w:val="00B85757"/>
    <w:rsid w:val="00B85845"/>
    <w:rsid w:val="00B85B8F"/>
    <w:rsid w:val="00B85EC6"/>
    <w:rsid w:val="00B860AA"/>
    <w:rsid w:val="00B86517"/>
    <w:rsid w:val="00B86595"/>
    <w:rsid w:val="00B8669D"/>
    <w:rsid w:val="00B866DA"/>
    <w:rsid w:val="00B8673B"/>
    <w:rsid w:val="00B86812"/>
    <w:rsid w:val="00B86910"/>
    <w:rsid w:val="00B86A34"/>
    <w:rsid w:val="00B86A53"/>
    <w:rsid w:val="00B86E97"/>
    <w:rsid w:val="00B86F32"/>
    <w:rsid w:val="00B87308"/>
    <w:rsid w:val="00B875F3"/>
    <w:rsid w:val="00B8760A"/>
    <w:rsid w:val="00B87BB5"/>
    <w:rsid w:val="00B87BE3"/>
    <w:rsid w:val="00B87DBB"/>
    <w:rsid w:val="00B87DCF"/>
    <w:rsid w:val="00B90019"/>
    <w:rsid w:val="00B9007C"/>
    <w:rsid w:val="00B901D5"/>
    <w:rsid w:val="00B90424"/>
    <w:rsid w:val="00B904A2"/>
    <w:rsid w:val="00B9061B"/>
    <w:rsid w:val="00B90975"/>
    <w:rsid w:val="00B90D51"/>
    <w:rsid w:val="00B90F4A"/>
    <w:rsid w:val="00B90F85"/>
    <w:rsid w:val="00B91055"/>
    <w:rsid w:val="00B91147"/>
    <w:rsid w:val="00B91E6C"/>
    <w:rsid w:val="00B91FDB"/>
    <w:rsid w:val="00B92838"/>
    <w:rsid w:val="00B929C8"/>
    <w:rsid w:val="00B92AD1"/>
    <w:rsid w:val="00B92BDB"/>
    <w:rsid w:val="00B92C40"/>
    <w:rsid w:val="00B92CF6"/>
    <w:rsid w:val="00B92EA0"/>
    <w:rsid w:val="00B9303E"/>
    <w:rsid w:val="00B930F2"/>
    <w:rsid w:val="00B930F9"/>
    <w:rsid w:val="00B93802"/>
    <w:rsid w:val="00B93E9E"/>
    <w:rsid w:val="00B942DE"/>
    <w:rsid w:val="00B94793"/>
    <w:rsid w:val="00B94AA5"/>
    <w:rsid w:val="00B94AF3"/>
    <w:rsid w:val="00B94B08"/>
    <w:rsid w:val="00B94CD9"/>
    <w:rsid w:val="00B951E2"/>
    <w:rsid w:val="00B95259"/>
    <w:rsid w:val="00B95314"/>
    <w:rsid w:val="00B9567C"/>
    <w:rsid w:val="00B95C2B"/>
    <w:rsid w:val="00B95DB2"/>
    <w:rsid w:val="00B95ECC"/>
    <w:rsid w:val="00B95FF0"/>
    <w:rsid w:val="00B96020"/>
    <w:rsid w:val="00B9622C"/>
    <w:rsid w:val="00B9632E"/>
    <w:rsid w:val="00B963C2"/>
    <w:rsid w:val="00B9651F"/>
    <w:rsid w:val="00B96537"/>
    <w:rsid w:val="00B966B5"/>
    <w:rsid w:val="00B96774"/>
    <w:rsid w:val="00B96B9A"/>
    <w:rsid w:val="00B96CA8"/>
    <w:rsid w:val="00B96DA8"/>
    <w:rsid w:val="00B971C8"/>
    <w:rsid w:val="00B9721C"/>
    <w:rsid w:val="00B9730D"/>
    <w:rsid w:val="00B9741F"/>
    <w:rsid w:val="00B974CA"/>
    <w:rsid w:val="00B9782B"/>
    <w:rsid w:val="00B9788B"/>
    <w:rsid w:val="00B97974"/>
    <w:rsid w:val="00B97CD6"/>
    <w:rsid w:val="00B97EF9"/>
    <w:rsid w:val="00BA00C9"/>
    <w:rsid w:val="00BA00CF"/>
    <w:rsid w:val="00BA0437"/>
    <w:rsid w:val="00BA0AA4"/>
    <w:rsid w:val="00BA0D9B"/>
    <w:rsid w:val="00BA0DD9"/>
    <w:rsid w:val="00BA0EA0"/>
    <w:rsid w:val="00BA0F48"/>
    <w:rsid w:val="00BA1004"/>
    <w:rsid w:val="00BA1306"/>
    <w:rsid w:val="00BA141C"/>
    <w:rsid w:val="00BA15EF"/>
    <w:rsid w:val="00BA1C2D"/>
    <w:rsid w:val="00BA25F7"/>
    <w:rsid w:val="00BA263B"/>
    <w:rsid w:val="00BA2744"/>
    <w:rsid w:val="00BA27FF"/>
    <w:rsid w:val="00BA290D"/>
    <w:rsid w:val="00BA2975"/>
    <w:rsid w:val="00BA29D6"/>
    <w:rsid w:val="00BA2A90"/>
    <w:rsid w:val="00BA2B7B"/>
    <w:rsid w:val="00BA2C1D"/>
    <w:rsid w:val="00BA2D5A"/>
    <w:rsid w:val="00BA2FE9"/>
    <w:rsid w:val="00BA3192"/>
    <w:rsid w:val="00BA31D5"/>
    <w:rsid w:val="00BA321E"/>
    <w:rsid w:val="00BA324D"/>
    <w:rsid w:val="00BA3255"/>
    <w:rsid w:val="00BA33DA"/>
    <w:rsid w:val="00BA3475"/>
    <w:rsid w:val="00BA350E"/>
    <w:rsid w:val="00BA3567"/>
    <w:rsid w:val="00BA359E"/>
    <w:rsid w:val="00BA370D"/>
    <w:rsid w:val="00BA3860"/>
    <w:rsid w:val="00BA389B"/>
    <w:rsid w:val="00BA38B4"/>
    <w:rsid w:val="00BA38FF"/>
    <w:rsid w:val="00BA3B41"/>
    <w:rsid w:val="00BA3E37"/>
    <w:rsid w:val="00BA4511"/>
    <w:rsid w:val="00BA45DA"/>
    <w:rsid w:val="00BA469A"/>
    <w:rsid w:val="00BA48FC"/>
    <w:rsid w:val="00BA4A9E"/>
    <w:rsid w:val="00BA4CC7"/>
    <w:rsid w:val="00BA4FF5"/>
    <w:rsid w:val="00BA5013"/>
    <w:rsid w:val="00BA52F5"/>
    <w:rsid w:val="00BA5516"/>
    <w:rsid w:val="00BA5627"/>
    <w:rsid w:val="00BA58A6"/>
    <w:rsid w:val="00BA590A"/>
    <w:rsid w:val="00BA5931"/>
    <w:rsid w:val="00BA5964"/>
    <w:rsid w:val="00BA59B0"/>
    <w:rsid w:val="00BA5B9A"/>
    <w:rsid w:val="00BA6534"/>
    <w:rsid w:val="00BA65E2"/>
    <w:rsid w:val="00BA69B5"/>
    <w:rsid w:val="00BA6D3C"/>
    <w:rsid w:val="00BA6F99"/>
    <w:rsid w:val="00BA6F9D"/>
    <w:rsid w:val="00BA7073"/>
    <w:rsid w:val="00BA70B1"/>
    <w:rsid w:val="00BA7101"/>
    <w:rsid w:val="00BA7954"/>
    <w:rsid w:val="00BA79C5"/>
    <w:rsid w:val="00BA7D3E"/>
    <w:rsid w:val="00BA7E1A"/>
    <w:rsid w:val="00BB000E"/>
    <w:rsid w:val="00BB00A0"/>
    <w:rsid w:val="00BB023A"/>
    <w:rsid w:val="00BB0468"/>
    <w:rsid w:val="00BB04F2"/>
    <w:rsid w:val="00BB06DA"/>
    <w:rsid w:val="00BB0898"/>
    <w:rsid w:val="00BB0C94"/>
    <w:rsid w:val="00BB0CB7"/>
    <w:rsid w:val="00BB0DEA"/>
    <w:rsid w:val="00BB0DF4"/>
    <w:rsid w:val="00BB0F12"/>
    <w:rsid w:val="00BB0F78"/>
    <w:rsid w:val="00BB10CB"/>
    <w:rsid w:val="00BB13B6"/>
    <w:rsid w:val="00BB1534"/>
    <w:rsid w:val="00BB16AE"/>
    <w:rsid w:val="00BB18F1"/>
    <w:rsid w:val="00BB1A55"/>
    <w:rsid w:val="00BB1BCE"/>
    <w:rsid w:val="00BB240B"/>
    <w:rsid w:val="00BB272C"/>
    <w:rsid w:val="00BB28D4"/>
    <w:rsid w:val="00BB2906"/>
    <w:rsid w:val="00BB2A98"/>
    <w:rsid w:val="00BB2BEA"/>
    <w:rsid w:val="00BB2D8D"/>
    <w:rsid w:val="00BB2DC2"/>
    <w:rsid w:val="00BB33D0"/>
    <w:rsid w:val="00BB34F1"/>
    <w:rsid w:val="00BB35B0"/>
    <w:rsid w:val="00BB3630"/>
    <w:rsid w:val="00BB377A"/>
    <w:rsid w:val="00BB37B4"/>
    <w:rsid w:val="00BB37CF"/>
    <w:rsid w:val="00BB38C6"/>
    <w:rsid w:val="00BB3CD6"/>
    <w:rsid w:val="00BB3DF9"/>
    <w:rsid w:val="00BB40E8"/>
    <w:rsid w:val="00BB431E"/>
    <w:rsid w:val="00BB43F7"/>
    <w:rsid w:val="00BB45F5"/>
    <w:rsid w:val="00BB4678"/>
    <w:rsid w:val="00BB468E"/>
    <w:rsid w:val="00BB4C8D"/>
    <w:rsid w:val="00BB4D26"/>
    <w:rsid w:val="00BB4D80"/>
    <w:rsid w:val="00BB4D9C"/>
    <w:rsid w:val="00BB52D5"/>
    <w:rsid w:val="00BB56F7"/>
    <w:rsid w:val="00BB59C9"/>
    <w:rsid w:val="00BB5B69"/>
    <w:rsid w:val="00BB6107"/>
    <w:rsid w:val="00BB65B3"/>
    <w:rsid w:val="00BB66D7"/>
    <w:rsid w:val="00BB66D9"/>
    <w:rsid w:val="00BB68F0"/>
    <w:rsid w:val="00BB6AA7"/>
    <w:rsid w:val="00BB6B65"/>
    <w:rsid w:val="00BB6D74"/>
    <w:rsid w:val="00BB6DA2"/>
    <w:rsid w:val="00BB6E3C"/>
    <w:rsid w:val="00BB6E86"/>
    <w:rsid w:val="00BB701C"/>
    <w:rsid w:val="00BB70BE"/>
    <w:rsid w:val="00BB70EB"/>
    <w:rsid w:val="00BB70F0"/>
    <w:rsid w:val="00BB7117"/>
    <w:rsid w:val="00BB71EE"/>
    <w:rsid w:val="00BB7470"/>
    <w:rsid w:val="00BB77CA"/>
    <w:rsid w:val="00BB7A7D"/>
    <w:rsid w:val="00BB7E72"/>
    <w:rsid w:val="00BC0327"/>
    <w:rsid w:val="00BC04B4"/>
    <w:rsid w:val="00BC04C3"/>
    <w:rsid w:val="00BC059F"/>
    <w:rsid w:val="00BC0C48"/>
    <w:rsid w:val="00BC0EE7"/>
    <w:rsid w:val="00BC0F1A"/>
    <w:rsid w:val="00BC1164"/>
    <w:rsid w:val="00BC1AD6"/>
    <w:rsid w:val="00BC1CDE"/>
    <w:rsid w:val="00BC1F4A"/>
    <w:rsid w:val="00BC233F"/>
    <w:rsid w:val="00BC253A"/>
    <w:rsid w:val="00BC2623"/>
    <w:rsid w:val="00BC27AB"/>
    <w:rsid w:val="00BC299F"/>
    <w:rsid w:val="00BC29E9"/>
    <w:rsid w:val="00BC2A71"/>
    <w:rsid w:val="00BC2F75"/>
    <w:rsid w:val="00BC2FA1"/>
    <w:rsid w:val="00BC33E1"/>
    <w:rsid w:val="00BC3437"/>
    <w:rsid w:val="00BC34CA"/>
    <w:rsid w:val="00BC34F6"/>
    <w:rsid w:val="00BC360F"/>
    <w:rsid w:val="00BC3825"/>
    <w:rsid w:val="00BC39FC"/>
    <w:rsid w:val="00BC3A22"/>
    <w:rsid w:val="00BC3BF8"/>
    <w:rsid w:val="00BC4156"/>
    <w:rsid w:val="00BC42DC"/>
    <w:rsid w:val="00BC4418"/>
    <w:rsid w:val="00BC44F8"/>
    <w:rsid w:val="00BC4555"/>
    <w:rsid w:val="00BC45A5"/>
    <w:rsid w:val="00BC4A5A"/>
    <w:rsid w:val="00BC4C92"/>
    <w:rsid w:val="00BC4CB3"/>
    <w:rsid w:val="00BC4E89"/>
    <w:rsid w:val="00BC4E91"/>
    <w:rsid w:val="00BC5082"/>
    <w:rsid w:val="00BC5809"/>
    <w:rsid w:val="00BC593B"/>
    <w:rsid w:val="00BC5B49"/>
    <w:rsid w:val="00BC5B88"/>
    <w:rsid w:val="00BC5E36"/>
    <w:rsid w:val="00BC60DD"/>
    <w:rsid w:val="00BC63CE"/>
    <w:rsid w:val="00BC6565"/>
    <w:rsid w:val="00BC6802"/>
    <w:rsid w:val="00BC68D5"/>
    <w:rsid w:val="00BC6B42"/>
    <w:rsid w:val="00BC71EA"/>
    <w:rsid w:val="00BC7431"/>
    <w:rsid w:val="00BC751F"/>
    <w:rsid w:val="00BC75D7"/>
    <w:rsid w:val="00BC760E"/>
    <w:rsid w:val="00BC793E"/>
    <w:rsid w:val="00BC79FE"/>
    <w:rsid w:val="00BC7AFB"/>
    <w:rsid w:val="00BD00DB"/>
    <w:rsid w:val="00BD0124"/>
    <w:rsid w:val="00BD0283"/>
    <w:rsid w:val="00BD02D6"/>
    <w:rsid w:val="00BD0311"/>
    <w:rsid w:val="00BD05E5"/>
    <w:rsid w:val="00BD07EA"/>
    <w:rsid w:val="00BD07F4"/>
    <w:rsid w:val="00BD0C76"/>
    <w:rsid w:val="00BD1793"/>
    <w:rsid w:val="00BD18D1"/>
    <w:rsid w:val="00BD1A7E"/>
    <w:rsid w:val="00BD1C9A"/>
    <w:rsid w:val="00BD1D92"/>
    <w:rsid w:val="00BD20A2"/>
    <w:rsid w:val="00BD2360"/>
    <w:rsid w:val="00BD26DE"/>
    <w:rsid w:val="00BD275B"/>
    <w:rsid w:val="00BD284E"/>
    <w:rsid w:val="00BD2869"/>
    <w:rsid w:val="00BD29A6"/>
    <w:rsid w:val="00BD2BEE"/>
    <w:rsid w:val="00BD2C4A"/>
    <w:rsid w:val="00BD2D98"/>
    <w:rsid w:val="00BD2DB7"/>
    <w:rsid w:val="00BD2FE6"/>
    <w:rsid w:val="00BD3266"/>
    <w:rsid w:val="00BD334F"/>
    <w:rsid w:val="00BD3908"/>
    <w:rsid w:val="00BD3CDD"/>
    <w:rsid w:val="00BD3ED0"/>
    <w:rsid w:val="00BD41B7"/>
    <w:rsid w:val="00BD474E"/>
    <w:rsid w:val="00BD4783"/>
    <w:rsid w:val="00BD4AF3"/>
    <w:rsid w:val="00BD4B05"/>
    <w:rsid w:val="00BD4CA9"/>
    <w:rsid w:val="00BD4F6F"/>
    <w:rsid w:val="00BD4FE6"/>
    <w:rsid w:val="00BD5137"/>
    <w:rsid w:val="00BD53F5"/>
    <w:rsid w:val="00BD5400"/>
    <w:rsid w:val="00BD54A4"/>
    <w:rsid w:val="00BD5651"/>
    <w:rsid w:val="00BD56BD"/>
    <w:rsid w:val="00BD5786"/>
    <w:rsid w:val="00BD5A69"/>
    <w:rsid w:val="00BD5CB6"/>
    <w:rsid w:val="00BD5CD8"/>
    <w:rsid w:val="00BD5DBA"/>
    <w:rsid w:val="00BD6092"/>
    <w:rsid w:val="00BD6956"/>
    <w:rsid w:val="00BD6C47"/>
    <w:rsid w:val="00BD6E40"/>
    <w:rsid w:val="00BD6E54"/>
    <w:rsid w:val="00BD70CF"/>
    <w:rsid w:val="00BD7586"/>
    <w:rsid w:val="00BD794E"/>
    <w:rsid w:val="00BD796E"/>
    <w:rsid w:val="00BD7A73"/>
    <w:rsid w:val="00BD7E61"/>
    <w:rsid w:val="00BE0051"/>
    <w:rsid w:val="00BE00B9"/>
    <w:rsid w:val="00BE0357"/>
    <w:rsid w:val="00BE0B82"/>
    <w:rsid w:val="00BE0D83"/>
    <w:rsid w:val="00BE0DB7"/>
    <w:rsid w:val="00BE0EB7"/>
    <w:rsid w:val="00BE11E6"/>
    <w:rsid w:val="00BE12BF"/>
    <w:rsid w:val="00BE1694"/>
    <w:rsid w:val="00BE1772"/>
    <w:rsid w:val="00BE1D4C"/>
    <w:rsid w:val="00BE20A3"/>
    <w:rsid w:val="00BE2173"/>
    <w:rsid w:val="00BE23F4"/>
    <w:rsid w:val="00BE2439"/>
    <w:rsid w:val="00BE2493"/>
    <w:rsid w:val="00BE2586"/>
    <w:rsid w:val="00BE2677"/>
    <w:rsid w:val="00BE2698"/>
    <w:rsid w:val="00BE2BFF"/>
    <w:rsid w:val="00BE2CEB"/>
    <w:rsid w:val="00BE2D04"/>
    <w:rsid w:val="00BE3058"/>
    <w:rsid w:val="00BE314C"/>
    <w:rsid w:val="00BE3440"/>
    <w:rsid w:val="00BE34EC"/>
    <w:rsid w:val="00BE3705"/>
    <w:rsid w:val="00BE37D0"/>
    <w:rsid w:val="00BE3A6A"/>
    <w:rsid w:val="00BE3AEE"/>
    <w:rsid w:val="00BE3AF2"/>
    <w:rsid w:val="00BE3BF1"/>
    <w:rsid w:val="00BE40C5"/>
    <w:rsid w:val="00BE40CE"/>
    <w:rsid w:val="00BE4147"/>
    <w:rsid w:val="00BE427F"/>
    <w:rsid w:val="00BE4328"/>
    <w:rsid w:val="00BE461B"/>
    <w:rsid w:val="00BE4680"/>
    <w:rsid w:val="00BE4901"/>
    <w:rsid w:val="00BE4A2B"/>
    <w:rsid w:val="00BE4E61"/>
    <w:rsid w:val="00BE4EB5"/>
    <w:rsid w:val="00BE55ED"/>
    <w:rsid w:val="00BE5908"/>
    <w:rsid w:val="00BE5A79"/>
    <w:rsid w:val="00BE5B54"/>
    <w:rsid w:val="00BE5BD0"/>
    <w:rsid w:val="00BE60AB"/>
    <w:rsid w:val="00BE6171"/>
    <w:rsid w:val="00BE6473"/>
    <w:rsid w:val="00BE65A7"/>
    <w:rsid w:val="00BE69C3"/>
    <w:rsid w:val="00BE69F9"/>
    <w:rsid w:val="00BE6D87"/>
    <w:rsid w:val="00BE6DCB"/>
    <w:rsid w:val="00BE6EA7"/>
    <w:rsid w:val="00BE6FFC"/>
    <w:rsid w:val="00BE70FA"/>
    <w:rsid w:val="00BE72D3"/>
    <w:rsid w:val="00BE7307"/>
    <w:rsid w:val="00BE738E"/>
    <w:rsid w:val="00BE7D8B"/>
    <w:rsid w:val="00BE7DCD"/>
    <w:rsid w:val="00BE7FD2"/>
    <w:rsid w:val="00BE9306"/>
    <w:rsid w:val="00BF0106"/>
    <w:rsid w:val="00BF0267"/>
    <w:rsid w:val="00BF03EB"/>
    <w:rsid w:val="00BF0410"/>
    <w:rsid w:val="00BF04E5"/>
    <w:rsid w:val="00BF050A"/>
    <w:rsid w:val="00BF054A"/>
    <w:rsid w:val="00BF0FF7"/>
    <w:rsid w:val="00BF145E"/>
    <w:rsid w:val="00BF17CD"/>
    <w:rsid w:val="00BF1976"/>
    <w:rsid w:val="00BF1A7D"/>
    <w:rsid w:val="00BF1C7E"/>
    <w:rsid w:val="00BF1CA9"/>
    <w:rsid w:val="00BF1E42"/>
    <w:rsid w:val="00BF1EDD"/>
    <w:rsid w:val="00BF208A"/>
    <w:rsid w:val="00BF227E"/>
    <w:rsid w:val="00BF2400"/>
    <w:rsid w:val="00BF25B1"/>
    <w:rsid w:val="00BF26C1"/>
    <w:rsid w:val="00BF27F9"/>
    <w:rsid w:val="00BF28F4"/>
    <w:rsid w:val="00BF2B43"/>
    <w:rsid w:val="00BF2D61"/>
    <w:rsid w:val="00BF2D77"/>
    <w:rsid w:val="00BF33D5"/>
    <w:rsid w:val="00BF34CA"/>
    <w:rsid w:val="00BF35C1"/>
    <w:rsid w:val="00BF35F6"/>
    <w:rsid w:val="00BF393F"/>
    <w:rsid w:val="00BF3A67"/>
    <w:rsid w:val="00BF3BA7"/>
    <w:rsid w:val="00BF3DC5"/>
    <w:rsid w:val="00BF3E97"/>
    <w:rsid w:val="00BF4009"/>
    <w:rsid w:val="00BF4096"/>
    <w:rsid w:val="00BF40F0"/>
    <w:rsid w:val="00BF4124"/>
    <w:rsid w:val="00BF47F1"/>
    <w:rsid w:val="00BF4849"/>
    <w:rsid w:val="00BF48D1"/>
    <w:rsid w:val="00BF493F"/>
    <w:rsid w:val="00BF4A57"/>
    <w:rsid w:val="00BF4E12"/>
    <w:rsid w:val="00BF50E7"/>
    <w:rsid w:val="00BF53D4"/>
    <w:rsid w:val="00BF5437"/>
    <w:rsid w:val="00BF5ACF"/>
    <w:rsid w:val="00BF5C50"/>
    <w:rsid w:val="00BF5DED"/>
    <w:rsid w:val="00BF61C5"/>
    <w:rsid w:val="00BF6238"/>
    <w:rsid w:val="00BF6351"/>
    <w:rsid w:val="00BF63CE"/>
    <w:rsid w:val="00BF6463"/>
    <w:rsid w:val="00BF64B4"/>
    <w:rsid w:val="00BF6560"/>
    <w:rsid w:val="00BF6561"/>
    <w:rsid w:val="00BF6626"/>
    <w:rsid w:val="00BF663C"/>
    <w:rsid w:val="00BF6A85"/>
    <w:rsid w:val="00BF6C31"/>
    <w:rsid w:val="00BF6FD8"/>
    <w:rsid w:val="00BF7014"/>
    <w:rsid w:val="00BF7CA9"/>
    <w:rsid w:val="00BF7D25"/>
    <w:rsid w:val="00C00138"/>
    <w:rsid w:val="00C001F6"/>
    <w:rsid w:val="00C00290"/>
    <w:rsid w:val="00C0036B"/>
    <w:rsid w:val="00C0043A"/>
    <w:rsid w:val="00C00483"/>
    <w:rsid w:val="00C005DE"/>
    <w:rsid w:val="00C00667"/>
    <w:rsid w:val="00C00B0F"/>
    <w:rsid w:val="00C00B83"/>
    <w:rsid w:val="00C00D90"/>
    <w:rsid w:val="00C00F50"/>
    <w:rsid w:val="00C00FAB"/>
    <w:rsid w:val="00C0139B"/>
    <w:rsid w:val="00C01418"/>
    <w:rsid w:val="00C0148F"/>
    <w:rsid w:val="00C014B9"/>
    <w:rsid w:val="00C015B0"/>
    <w:rsid w:val="00C01602"/>
    <w:rsid w:val="00C0161F"/>
    <w:rsid w:val="00C01818"/>
    <w:rsid w:val="00C019B8"/>
    <w:rsid w:val="00C01C68"/>
    <w:rsid w:val="00C01E1F"/>
    <w:rsid w:val="00C021D8"/>
    <w:rsid w:val="00C02739"/>
    <w:rsid w:val="00C02887"/>
    <w:rsid w:val="00C028A2"/>
    <w:rsid w:val="00C028C6"/>
    <w:rsid w:val="00C02A16"/>
    <w:rsid w:val="00C02D8B"/>
    <w:rsid w:val="00C02EEE"/>
    <w:rsid w:val="00C0314B"/>
    <w:rsid w:val="00C031F9"/>
    <w:rsid w:val="00C032E1"/>
    <w:rsid w:val="00C034C2"/>
    <w:rsid w:val="00C034C5"/>
    <w:rsid w:val="00C036A5"/>
    <w:rsid w:val="00C03717"/>
    <w:rsid w:val="00C0377D"/>
    <w:rsid w:val="00C0381F"/>
    <w:rsid w:val="00C038C1"/>
    <w:rsid w:val="00C039C6"/>
    <w:rsid w:val="00C03ADA"/>
    <w:rsid w:val="00C03AF8"/>
    <w:rsid w:val="00C03C1E"/>
    <w:rsid w:val="00C03CF8"/>
    <w:rsid w:val="00C041F9"/>
    <w:rsid w:val="00C04560"/>
    <w:rsid w:val="00C047DF"/>
    <w:rsid w:val="00C04F27"/>
    <w:rsid w:val="00C05333"/>
    <w:rsid w:val="00C05900"/>
    <w:rsid w:val="00C05991"/>
    <w:rsid w:val="00C059F1"/>
    <w:rsid w:val="00C05A6E"/>
    <w:rsid w:val="00C05C44"/>
    <w:rsid w:val="00C05D1A"/>
    <w:rsid w:val="00C05D6D"/>
    <w:rsid w:val="00C05DE1"/>
    <w:rsid w:val="00C05F7E"/>
    <w:rsid w:val="00C060CB"/>
    <w:rsid w:val="00C061B4"/>
    <w:rsid w:val="00C0629A"/>
    <w:rsid w:val="00C062DD"/>
    <w:rsid w:val="00C062E3"/>
    <w:rsid w:val="00C063E4"/>
    <w:rsid w:val="00C063FC"/>
    <w:rsid w:val="00C06452"/>
    <w:rsid w:val="00C06760"/>
    <w:rsid w:val="00C06E4A"/>
    <w:rsid w:val="00C07205"/>
    <w:rsid w:val="00C074AB"/>
    <w:rsid w:val="00C07653"/>
    <w:rsid w:val="00C07983"/>
    <w:rsid w:val="00C07A23"/>
    <w:rsid w:val="00C07A24"/>
    <w:rsid w:val="00C07AFB"/>
    <w:rsid w:val="00C07C92"/>
    <w:rsid w:val="00C07D18"/>
    <w:rsid w:val="00C102EB"/>
    <w:rsid w:val="00C102FF"/>
    <w:rsid w:val="00C10340"/>
    <w:rsid w:val="00C1069E"/>
    <w:rsid w:val="00C106B0"/>
    <w:rsid w:val="00C106FE"/>
    <w:rsid w:val="00C10830"/>
    <w:rsid w:val="00C10C3D"/>
    <w:rsid w:val="00C10D0F"/>
    <w:rsid w:val="00C11070"/>
    <w:rsid w:val="00C11A27"/>
    <w:rsid w:val="00C11E22"/>
    <w:rsid w:val="00C11F98"/>
    <w:rsid w:val="00C123F1"/>
    <w:rsid w:val="00C12778"/>
    <w:rsid w:val="00C128B6"/>
    <w:rsid w:val="00C12EED"/>
    <w:rsid w:val="00C12FA0"/>
    <w:rsid w:val="00C1300D"/>
    <w:rsid w:val="00C1319C"/>
    <w:rsid w:val="00C1399B"/>
    <w:rsid w:val="00C13A3C"/>
    <w:rsid w:val="00C13B92"/>
    <w:rsid w:val="00C13BE7"/>
    <w:rsid w:val="00C13CA8"/>
    <w:rsid w:val="00C13E89"/>
    <w:rsid w:val="00C1416F"/>
    <w:rsid w:val="00C14598"/>
    <w:rsid w:val="00C14748"/>
    <w:rsid w:val="00C147B1"/>
    <w:rsid w:val="00C1487C"/>
    <w:rsid w:val="00C148F6"/>
    <w:rsid w:val="00C14C95"/>
    <w:rsid w:val="00C14E25"/>
    <w:rsid w:val="00C151E9"/>
    <w:rsid w:val="00C152D0"/>
    <w:rsid w:val="00C15464"/>
    <w:rsid w:val="00C154F4"/>
    <w:rsid w:val="00C156D0"/>
    <w:rsid w:val="00C1576C"/>
    <w:rsid w:val="00C157E3"/>
    <w:rsid w:val="00C15837"/>
    <w:rsid w:val="00C15898"/>
    <w:rsid w:val="00C15922"/>
    <w:rsid w:val="00C15BA7"/>
    <w:rsid w:val="00C160CC"/>
    <w:rsid w:val="00C1615D"/>
    <w:rsid w:val="00C1619D"/>
    <w:rsid w:val="00C1644B"/>
    <w:rsid w:val="00C164BC"/>
    <w:rsid w:val="00C167AD"/>
    <w:rsid w:val="00C16E5B"/>
    <w:rsid w:val="00C17200"/>
    <w:rsid w:val="00C17211"/>
    <w:rsid w:val="00C1730C"/>
    <w:rsid w:val="00C17311"/>
    <w:rsid w:val="00C17410"/>
    <w:rsid w:val="00C17471"/>
    <w:rsid w:val="00C17515"/>
    <w:rsid w:val="00C17529"/>
    <w:rsid w:val="00C17665"/>
    <w:rsid w:val="00C1782E"/>
    <w:rsid w:val="00C1796A"/>
    <w:rsid w:val="00C179E2"/>
    <w:rsid w:val="00C17A1A"/>
    <w:rsid w:val="00C17BDA"/>
    <w:rsid w:val="00C20007"/>
    <w:rsid w:val="00C200FF"/>
    <w:rsid w:val="00C20272"/>
    <w:rsid w:val="00C202CA"/>
    <w:rsid w:val="00C208B1"/>
    <w:rsid w:val="00C20941"/>
    <w:rsid w:val="00C20B68"/>
    <w:rsid w:val="00C20B7E"/>
    <w:rsid w:val="00C2136C"/>
    <w:rsid w:val="00C2139A"/>
    <w:rsid w:val="00C21563"/>
    <w:rsid w:val="00C21628"/>
    <w:rsid w:val="00C21954"/>
    <w:rsid w:val="00C219F1"/>
    <w:rsid w:val="00C21AD7"/>
    <w:rsid w:val="00C21B52"/>
    <w:rsid w:val="00C21FA3"/>
    <w:rsid w:val="00C22189"/>
    <w:rsid w:val="00C222B0"/>
    <w:rsid w:val="00C223D5"/>
    <w:rsid w:val="00C22538"/>
    <w:rsid w:val="00C225CA"/>
    <w:rsid w:val="00C22761"/>
    <w:rsid w:val="00C2299F"/>
    <w:rsid w:val="00C229E5"/>
    <w:rsid w:val="00C22AB7"/>
    <w:rsid w:val="00C22C15"/>
    <w:rsid w:val="00C2301E"/>
    <w:rsid w:val="00C2313C"/>
    <w:rsid w:val="00C23331"/>
    <w:rsid w:val="00C2347B"/>
    <w:rsid w:val="00C23FF6"/>
    <w:rsid w:val="00C2406E"/>
    <w:rsid w:val="00C24504"/>
    <w:rsid w:val="00C246E0"/>
    <w:rsid w:val="00C24A39"/>
    <w:rsid w:val="00C24BF3"/>
    <w:rsid w:val="00C24C49"/>
    <w:rsid w:val="00C24C5F"/>
    <w:rsid w:val="00C24DFA"/>
    <w:rsid w:val="00C24F6F"/>
    <w:rsid w:val="00C257B4"/>
    <w:rsid w:val="00C257CB"/>
    <w:rsid w:val="00C25B7E"/>
    <w:rsid w:val="00C25DB3"/>
    <w:rsid w:val="00C25F7E"/>
    <w:rsid w:val="00C25FCB"/>
    <w:rsid w:val="00C2636D"/>
    <w:rsid w:val="00C263D5"/>
    <w:rsid w:val="00C26460"/>
    <w:rsid w:val="00C266A6"/>
    <w:rsid w:val="00C26772"/>
    <w:rsid w:val="00C268C0"/>
    <w:rsid w:val="00C26960"/>
    <w:rsid w:val="00C269BD"/>
    <w:rsid w:val="00C269E7"/>
    <w:rsid w:val="00C269EC"/>
    <w:rsid w:val="00C26A15"/>
    <w:rsid w:val="00C26A9C"/>
    <w:rsid w:val="00C26ADE"/>
    <w:rsid w:val="00C26BCF"/>
    <w:rsid w:val="00C26E41"/>
    <w:rsid w:val="00C272E3"/>
    <w:rsid w:val="00C2755F"/>
    <w:rsid w:val="00C27616"/>
    <w:rsid w:val="00C27A7D"/>
    <w:rsid w:val="00C27BD5"/>
    <w:rsid w:val="00C27C5F"/>
    <w:rsid w:val="00C27D9F"/>
    <w:rsid w:val="00C27FB4"/>
    <w:rsid w:val="00C300DA"/>
    <w:rsid w:val="00C3013D"/>
    <w:rsid w:val="00C30216"/>
    <w:rsid w:val="00C30245"/>
    <w:rsid w:val="00C30488"/>
    <w:rsid w:val="00C305A1"/>
    <w:rsid w:val="00C305CE"/>
    <w:rsid w:val="00C30655"/>
    <w:rsid w:val="00C3085B"/>
    <w:rsid w:val="00C3088C"/>
    <w:rsid w:val="00C30935"/>
    <w:rsid w:val="00C30BB1"/>
    <w:rsid w:val="00C30CA2"/>
    <w:rsid w:val="00C30D0E"/>
    <w:rsid w:val="00C30DEE"/>
    <w:rsid w:val="00C30F88"/>
    <w:rsid w:val="00C31059"/>
    <w:rsid w:val="00C31127"/>
    <w:rsid w:val="00C31144"/>
    <w:rsid w:val="00C31158"/>
    <w:rsid w:val="00C31200"/>
    <w:rsid w:val="00C31267"/>
    <w:rsid w:val="00C31567"/>
    <w:rsid w:val="00C317FD"/>
    <w:rsid w:val="00C3197E"/>
    <w:rsid w:val="00C31A90"/>
    <w:rsid w:val="00C31ABD"/>
    <w:rsid w:val="00C31C70"/>
    <w:rsid w:val="00C31CD1"/>
    <w:rsid w:val="00C32101"/>
    <w:rsid w:val="00C321DD"/>
    <w:rsid w:val="00C32373"/>
    <w:rsid w:val="00C3254F"/>
    <w:rsid w:val="00C32935"/>
    <w:rsid w:val="00C3299E"/>
    <w:rsid w:val="00C329DB"/>
    <w:rsid w:val="00C32B17"/>
    <w:rsid w:val="00C332C7"/>
    <w:rsid w:val="00C332E0"/>
    <w:rsid w:val="00C333EE"/>
    <w:rsid w:val="00C33472"/>
    <w:rsid w:val="00C33520"/>
    <w:rsid w:val="00C336DE"/>
    <w:rsid w:val="00C336EC"/>
    <w:rsid w:val="00C33834"/>
    <w:rsid w:val="00C33AA2"/>
    <w:rsid w:val="00C33B45"/>
    <w:rsid w:val="00C33C90"/>
    <w:rsid w:val="00C33D41"/>
    <w:rsid w:val="00C33FC3"/>
    <w:rsid w:val="00C340CE"/>
    <w:rsid w:val="00C342C7"/>
    <w:rsid w:val="00C345D4"/>
    <w:rsid w:val="00C3494F"/>
    <w:rsid w:val="00C34C8B"/>
    <w:rsid w:val="00C352BC"/>
    <w:rsid w:val="00C35350"/>
    <w:rsid w:val="00C35401"/>
    <w:rsid w:val="00C354A4"/>
    <w:rsid w:val="00C35566"/>
    <w:rsid w:val="00C35683"/>
    <w:rsid w:val="00C358A6"/>
    <w:rsid w:val="00C359C4"/>
    <w:rsid w:val="00C35CD1"/>
    <w:rsid w:val="00C35EDC"/>
    <w:rsid w:val="00C35F5D"/>
    <w:rsid w:val="00C365BF"/>
    <w:rsid w:val="00C366B5"/>
    <w:rsid w:val="00C366F1"/>
    <w:rsid w:val="00C36A77"/>
    <w:rsid w:val="00C36B84"/>
    <w:rsid w:val="00C36CDE"/>
    <w:rsid w:val="00C36FC5"/>
    <w:rsid w:val="00C37452"/>
    <w:rsid w:val="00C374C4"/>
    <w:rsid w:val="00C37601"/>
    <w:rsid w:val="00C37A99"/>
    <w:rsid w:val="00C37C8A"/>
    <w:rsid w:val="00C37D47"/>
    <w:rsid w:val="00C37D96"/>
    <w:rsid w:val="00C37E5A"/>
    <w:rsid w:val="00C37EA3"/>
    <w:rsid w:val="00C40099"/>
    <w:rsid w:val="00C400D4"/>
    <w:rsid w:val="00C40117"/>
    <w:rsid w:val="00C4044E"/>
    <w:rsid w:val="00C40524"/>
    <w:rsid w:val="00C40945"/>
    <w:rsid w:val="00C40B1B"/>
    <w:rsid w:val="00C40B24"/>
    <w:rsid w:val="00C40C25"/>
    <w:rsid w:val="00C40CC4"/>
    <w:rsid w:val="00C40F71"/>
    <w:rsid w:val="00C41130"/>
    <w:rsid w:val="00C415D2"/>
    <w:rsid w:val="00C41843"/>
    <w:rsid w:val="00C41B9F"/>
    <w:rsid w:val="00C41BF5"/>
    <w:rsid w:val="00C41D1A"/>
    <w:rsid w:val="00C41D40"/>
    <w:rsid w:val="00C41D45"/>
    <w:rsid w:val="00C42383"/>
    <w:rsid w:val="00C42548"/>
    <w:rsid w:val="00C42820"/>
    <w:rsid w:val="00C42831"/>
    <w:rsid w:val="00C428CB"/>
    <w:rsid w:val="00C428E1"/>
    <w:rsid w:val="00C42A72"/>
    <w:rsid w:val="00C42C40"/>
    <w:rsid w:val="00C42E2A"/>
    <w:rsid w:val="00C42F41"/>
    <w:rsid w:val="00C43024"/>
    <w:rsid w:val="00C4307F"/>
    <w:rsid w:val="00C431C0"/>
    <w:rsid w:val="00C433E1"/>
    <w:rsid w:val="00C4364A"/>
    <w:rsid w:val="00C43BBC"/>
    <w:rsid w:val="00C44321"/>
    <w:rsid w:val="00C44937"/>
    <w:rsid w:val="00C44ACD"/>
    <w:rsid w:val="00C44BC3"/>
    <w:rsid w:val="00C45572"/>
    <w:rsid w:val="00C45A07"/>
    <w:rsid w:val="00C45AE5"/>
    <w:rsid w:val="00C45D0E"/>
    <w:rsid w:val="00C46037"/>
    <w:rsid w:val="00C4635E"/>
    <w:rsid w:val="00C463A8"/>
    <w:rsid w:val="00C46400"/>
    <w:rsid w:val="00C46A6A"/>
    <w:rsid w:val="00C46D76"/>
    <w:rsid w:val="00C46EBC"/>
    <w:rsid w:val="00C46FA2"/>
    <w:rsid w:val="00C46FD3"/>
    <w:rsid w:val="00C470FD"/>
    <w:rsid w:val="00C47147"/>
    <w:rsid w:val="00C472DE"/>
    <w:rsid w:val="00C47309"/>
    <w:rsid w:val="00C473B8"/>
    <w:rsid w:val="00C474C8"/>
    <w:rsid w:val="00C4794E"/>
    <w:rsid w:val="00C479A6"/>
    <w:rsid w:val="00C47B54"/>
    <w:rsid w:val="00C47B7F"/>
    <w:rsid w:val="00C47C4D"/>
    <w:rsid w:val="00C47FA9"/>
    <w:rsid w:val="00C50345"/>
    <w:rsid w:val="00C50437"/>
    <w:rsid w:val="00C504A2"/>
    <w:rsid w:val="00C504DA"/>
    <w:rsid w:val="00C5087B"/>
    <w:rsid w:val="00C5093C"/>
    <w:rsid w:val="00C50C9F"/>
    <w:rsid w:val="00C50F02"/>
    <w:rsid w:val="00C50F7A"/>
    <w:rsid w:val="00C5101F"/>
    <w:rsid w:val="00C51171"/>
    <w:rsid w:val="00C512A7"/>
    <w:rsid w:val="00C512E8"/>
    <w:rsid w:val="00C51324"/>
    <w:rsid w:val="00C5134F"/>
    <w:rsid w:val="00C51516"/>
    <w:rsid w:val="00C51519"/>
    <w:rsid w:val="00C51628"/>
    <w:rsid w:val="00C51681"/>
    <w:rsid w:val="00C51867"/>
    <w:rsid w:val="00C518D3"/>
    <w:rsid w:val="00C519D5"/>
    <w:rsid w:val="00C51E2A"/>
    <w:rsid w:val="00C52013"/>
    <w:rsid w:val="00C525D8"/>
    <w:rsid w:val="00C5295E"/>
    <w:rsid w:val="00C52F32"/>
    <w:rsid w:val="00C53172"/>
    <w:rsid w:val="00C538D5"/>
    <w:rsid w:val="00C538E4"/>
    <w:rsid w:val="00C53BD9"/>
    <w:rsid w:val="00C53FD3"/>
    <w:rsid w:val="00C5422C"/>
    <w:rsid w:val="00C54C72"/>
    <w:rsid w:val="00C54D2A"/>
    <w:rsid w:val="00C54D2D"/>
    <w:rsid w:val="00C54E59"/>
    <w:rsid w:val="00C55150"/>
    <w:rsid w:val="00C55315"/>
    <w:rsid w:val="00C55505"/>
    <w:rsid w:val="00C556EA"/>
    <w:rsid w:val="00C55825"/>
    <w:rsid w:val="00C55C0C"/>
    <w:rsid w:val="00C55F96"/>
    <w:rsid w:val="00C560F8"/>
    <w:rsid w:val="00C56105"/>
    <w:rsid w:val="00C562FD"/>
    <w:rsid w:val="00C56448"/>
    <w:rsid w:val="00C56A20"/>
    <w:rsid w:val="00C56E24"/>
    <w:rsid w:val="00C57111"/>
    <w:rsid w:val="00C571A6"/>
    <w:rsid w:val="00C57251"/>
    <w:rsid w:val="00C5753A"/>
    <w:rsid w:val="00C57571"/>
    <w:rsid w:val="00C5786D"/>
    <w:rsid w:val="00C57DBA"/>
    <w:rsid w:val="00C60421"/>
    <w:rsid w:val="00C60787"/>
    <w:rsid w:val="00C609D8"/>
    <w:rsid w:val="00C60B34"/>
    <w:rsid w:val="00C612AF"/>
    <w:rsid w:val="00C616A3"/>
    <w:rsid w:val="00C61B7E"/>
    <w:rsid w:val="00C6205E"/>
    <w:rsid w:val="00C621DD"/>
    <w:rsid w:val="00C6253A"/>
    <w:rsid w:val="00C62886"/>
    <w:rsid w:val="00C62CE3"/>
    <w:rsid w:val="00C63049"/>
    <w:rsid w:val="00C630D5"/>
    <w:rsid w:val="00C63178"/>
    <w:rsid w:val="00C6383E"/>
    <w:rsid w:val="00C638C1"/>
    <w:rsid w:val="00C63D03"/>
    <w:rsid w:val="00C64007"/>
    <w:rsid w:val="00C6412A"/>
    <w:rsid w:val="00C64166"/>
    <w:rsid w:val="00C646F0"/>
    <w:rsid w:val="00C64706"/>
    <w:rsid w:val="00C6476F"/>
    <w:rsid w:val="00C649DD"/>
    <w:rsid w:val="00C64A72"/>
    <w:rsid w:val="00C64B66"/>
    <w:rsid w:val="00C64C0D"/>
    <w:rsid w:val="00C6509B"/>
    <w:rsid w:val="00C6538F"/>
    <w:rsid w:val="00C656BD"/>
    <w:rsid w:val="00C665CA"/>
    <w:rsid w:val="00C6662B"/>
    <w:rsid w:val="00C66927"/>
    <w:rsid w:val="00C66F85"/>
    <w:rsid w:val="00C67411"/>
    <w:rsid w:val="00C6772E"/>
    <w:rsid w:val="00C67B2E"/>
    <w:rsid w:val="00C67E2A"/>
    <w:rsid w:val="00C67F90"/>
    <w:rsid w:val="00C689C3"/>
    <w:rsid w:val="00C700F5"/>
    <w:rsid w:val="00C70538"/>
    <w:rsid w:val="00C70594"/>
    <w:rsid w:val="00C70E41"/>
    <w:rsid w:val="00C70F0C"/>
    <w:rsid w:val="00C71046"/>
    <w:rsid w:val="00C71181"/>
    <w:rsid w:val="00C716E8"/>
    <w:rsid w:val="00C71807"/>
    <w:rsid w:val="00C718E6"/>
    <w:rsid w:val="00C71A19"/>
    <w:rsid w:val="00C71C9E"/>
    <w:rsid w:val="00C71D0D"/>
    <w:rsid w:val="00C71D88"/>
    <w:rsid w:val="00C71ED1"/>
    <w:rsid w:val="00C71F56"/>
    <w:rsid w:val="00C723E2"/>
    <w:rsid w:val="00C726F8"/>
    <w:rsid w:val="00C72B08"/>
    <w:rsid w:val="00C7316A"/>
    <w:rsid w:val="00C73453"/>
    <w:rsid w:val="00C73597"/>
    <w:rsid w:val="00C735F1"/>
    <w:rsid w:val="00C7373C"/>
    <w:rsid w:val="00C7378B"/>
    <w:rsid w:val="00C739E1"/>
    <w:rsid w:val="00C73A8F"/>
    <w:rsid w:val="00C73EF1"/>
    <w:rsid w:val="00C74036"/>
    <w:rsid w:val="00C741FC"/>
    <w:rsid w:val="00C744B2"/>
    <w:rsid w:val="00C7473A"/>
    <w:rsid w:val="00C7488D"/>
    <w:rsid w:val="00C748BD"/>
    <w:rsid w:val="00C7492E"/>
    <w:rsid w:val="00C74A5A"/>
    <w:rsid w:val="00C74B2E"/>
    <w:rsid w:val="00C74D2F"/>
    <w:rsid w:val="00C74E27"/>
    <w:rsid w:val="00C74F2D"/>
    <w:rsid w:val="00C74F97"/>
    <w:rsid w:val="00C75088"/>
    <w:rsid w:val="00C75124"/>
    <w:rsid w:val="00C75262"/>
    <w:rsid w:val="00C75916"/>
    <w:rsid w:val="00C759EE"/>
    <w:rsid w:val="00C75B89"/>
    <w:rsid w:val="00C75D82"/>
    <w:rsid w:val="00C75F06"/>
    <w:rsid w:val="00C76002"/>
    <w:rsid w:val="00C76243"/>
    <w:rsid w:val="00C76398"/>
    <w:rsid w:val="00C766EE"/>
    <w:rsid w:val="00C76B7E"/>
    <w:rsid w:val="00C76C35"/>
    <w:rsid w:val="00C76CF4"/>
    <w:rsid w:val="00C76D2A"/>
    <w:rsid w:val="00C76D5D"/>
    <w:rsid w:val="00C77462"/>
    <w:rsid w:val="00C77487"/>
    <w:rsid w:val="00C774F9"/>
    <w:rsid w:val="00C774FC"/>
    <w:rsid w:val="00C777A4"/>
    <w:rsid w:val="00C777F8"/>
    <w:rsid w:val="00C77963"/>
    <w:rsid w:val="00C779C6"/>
    <w:rsid w:val="00C77BB2"/>
    <w:rsid w:val="00C77DE3"/>
    <w:rsid w:val="00C77F9A"/>
    <w:rsid w:val="00C80091"/>
    <w:rsid w:val="00C80222"/>
    <w:rsid w:val="00C80301"/>
    <w:rsid w:val="00C8034D"/>
    <w:rsid w:val="00C803EC"/>
    <w:rsid w:val="00C80540"/>
    <w:rsid w:val="00C80646"/>
    <w:rsid w:val="00C809C4"/>
    <w:rsid w:val="00C80B55"/>
    <w:rsid w:val="00C80BDB"/>
    <w:rsid w:val="00C80BF4"/>
    <w:rsid w:val="00C81067"/>
    <w:rsid w:val="00C814CE"/>
    <w:rsid w:val="00C8159E"/>
    <w:rsid w:val="00C818C4"/>
    <w:rsid w:val="00C819C9"/>
    <w:rsid w:val="00C81CE2"/>
    <w:rsid w:val="00C820F4"/>
    <w:rsid w:val="00C8210D"/>
    <w:rsid w:val="00C824FF"/>
    <w:rsid w:val="00C8275E"/>
    <w:rsid w:val="00C82762"/>
    <w:rsid w:val="00C829D5"/>
    <w:rsid w:val="00C82B61"/>
    <w:rsid w:val="00C82C49"/>
    <w:rsid w:val="00C82D90"/>
    <w:rsid w:val="00C82E44"/>
    <w:rsid w:val="00C8321D"/>
    <w:rsid w:val="00C83418"/>
    <w:rsid w:val="00C83568"/>
    <w:rsid w:val="00C83B56"/>
    <w:rsid w:val="00C83FDB"/>
    <w:rsid w:val="00C84043"/>
    <w:rsid w:val="00C840E9"/>
    <w:rsid w:val="00C840FF"/>
    <w:rsid w:val="00C8418B"/>
    <w:rsid w:val="00C84207"/>
    <w:rsid w:val="00C84382"/>
    <w:rsid w:val="00C8441F"/>
    <w:rsid w:val="00C848CA"/>
    <w:rsid w:val="00C849DC"/>
    <w:rsid w:val="00C84AFB"/>
    <w:rsid w:val="00C84B29"/>
    <w:rsid w:val="00C84D4D"/>
    <w:rsid w:val="00C84DE9"/>
    <w:rsid w:val="00C84FB6"/>
    <w:rsid w:val="00C85078"/>
    <w:rsid w:val="00C85517"/>
    <w:rsid w:val="00C8562B"/>
    <w:rsid w:val="00C85BB4"/>
    <w:rsid w:val="00C85CA5"/>
    <w:rsid w:val="00C85E05"/>
    <w:rsid w:val="00C861A7"/>
    <w:rsid w:val="00C86309"/>
    <w:rsid w:val="00C864EE"/>
    <w:rsid w:val="00C86669"/>
    <w:rsid w:val="00C866C6"/>
    <w:rsid w:val="00C866C8"/>
    <w:rsid w:val="00C866D2"/>
    <w:rsid w:val="00C86918"/>
    <w:rsid w:val="00C86B07"/>
    <w:rsid w:val="00C86C1A"/>
    <w:rsid w:val="00C86C5A"/>
    <w:rsid w:val="00C86D9B"/>
    <w:rsid w:val="00C86DE5"/>
    <w:rsid w:val="00C86ED2"/>
    <w:rsid w:val="00C86EE5"/>
    <w:rsid w:val="00C86F91"/>
    <w:rsid w:val="00C8700B"/>
    <w:rsid w:val="00C8707F"/>
    <w:rsid w:val="00C87170"/>
    <w:rsid w:val="00C87257"/>
    <w:rsid w:val="00C87421"/>
    <w:rsid w:val="00C87509"/>
    <w:rsid w:val="00C87881"/>
    <w:rsid w:val="00C87980"/>
    <w:rsid w:val="00C87B15"/>
    <w:rsid w:val="00C87BA0"/>
    <w:rsid w:val="00C87BDE"/>
    <w:rsid w:val="00C87DF4"/>
    <w:rsid w:val="00C87EDE"/>
    <w:rsid w:val="00C9029C"/>
    <w:rsid w:val="00C90349"/>
    <w:rsid w:val="00C904BA"/>
    <w:rsid w:val="00C90979"/>
    <w:rsid w:val="00C90999"/>
    <w:rsid w:val="00C9105A"/>
    <w:rsid w:val="00C91158"/>
    <w:rsid w:val="00C9171A"/>
    <w:rsid w:val="00C92176"/>
    <w:rsid w:val="00C9221E"/>
    <w:rsid w:val="00C92410"/>
    <w:rsid w:val="00C925CB"/>
    <w:rsid w:val="00C92728"/>
    <w:rsid w:val="00C92BA3"/>
    <w:rsid w:val="00C92C00"/>
    <w:rsid w:val="00C92EA3"/>
    <w:rsid w:val="00C93038"/>
    <w:rsid w:val="00C9341A"/>
    <w:rsid w:val="00C9347B"/>
    <w:rsid w:val="00C938A1"/>
    <w:rsid w:val="00C93A9C"/>
    <w:rsid w:val="00C93AF3"/>
    <w:rsid w:val="00C93E23"/>
    <w:rsid w:val="00C93F58"/>
    <w:rsid w:val="00C9456E"/>
    <w:rsid w:val="00C945DA"/>
    <w:rsid w:val="00C945EA"/>
    <w:rsid w:val="00C9460E"/>
    <w:rsid w:val="00C946E5"/>
    <w:rsid w:val="00C94793"/>
    <w:rsid w:val="00C947EA"/>
    <w:rsid w:val="00C94C06"/>
    <w:rsid w:val="00C953E3"/>
    <w:rsid w:val="00C95497"/>
    <w:rsid w:val="00C9562F"/>
    <w:rsid w:val="00C95996"/>
    <w:rsid w:val="00C95CB0"/>
    <w:rsid w:val="00C960F0"/>
    <w:rsid w:val="00C961A1"/>
    <w:rsid w:val="00C9638D"/>
    <w:rsid w:val="00C96432"/>
    <w:rsid w:val="00C964A6"/>
    <w:rsid w:val="00C9667D"/>
    <w:rsid w:val="00C9692B"/>
    <w:rsid w:val="00C969DE"/>
    <w:rsid w:val="00C96D24"/>
    <w:rsid w:val="00C96D39"/>
    <w:rsid w:val="00C96FB5"/>
    <w:rsid w:val="00C971D4"/>
    <w:rsid w:val="00C973AC"/>
    <w:rsid w:val="00C97625"/>
    <w:rsid w:val="00C9768E"/>
    <w:rsid w:val="00C979E6"/>
    <w:rsid w:val="00C97C8B"/>
    <w:rsid w:val="00C97E37"/>
    <w:rsid w:val="00C97EBE"/>
    <w:rsid w:val="00CA004A"/>
    <w:rsid w:val="00CA01DA"/>
    <w:rsid w:val="00CA042F"/>
    <w:rsid w:val="00CA0626"/>
    <w:rsid w:val="00CA0915"/>
    <w:rsid w:val="00CA0B69"/>
    <w:rsid w:val="00CA1359"/>
    <w:rsid w:val="00CA136C"/>
    <w:rsid w:val="00CA1416"/>
    <w:rsid w:val="00CA1B47"/>
    <w:rsid w:val="00CA1CB5"/>
    <w:rsid w:val="00CA1CC2"/>
    <w:rsid w:val="00CA1DBF"/>
    <w:rsid w:val="00CA2055"/>
    <w:rsid w:val="00CA214C"/>
    <w:rsid w:val="00CA2539"/>
    <w:rsid w:val="00CA2713"/>
    <w:rsid w:val="00CA2973"/>
    <w:rsid w:val="00CA2A0C"/>
    <w:rsid w:val="00CA2AB6"/>
    <w:rsid w:val="00CA2BA7"/>
    <w:rsid w:val="00CA2D0D"/>
    <w:rsid w:val="00CA33F2"/>
    <w:rsid w:val="00CA3652"/>
    <w:rsid w:val="00CA37D4"/>
    <w:rsid w:val="00CA3A5A"/>
    <w:rsid w:val="00CA3FDD"/>
    <w:rsid w:val="00CA4020"/>
    <w:rsid w:val="00CA43E1"/>
    <w:rsid w:val="00CA4543"/>
    <w:rsid w:val="00CA4785"/>
    <w:rsid w:val="00CA4E5B"/>
    <w:rsid w:val="00CA524A"/>
    <w:rsid w:val="00CA52AD"/>
    <w:rsid w:val="00CA52B0"/>
    <w:rsid w:val="00CA5447"/>
    <w:rsid w:val="00CA5548"/>
    <w:rsid w:val="00CA5898"/>
    <w:rsid w:val="00CA58F1"/>
    <w:rsid w:val="00CA5975"/>
    <w:rsid w:val="00CA5A48"/>
    <w:rsid w:val="00CA5F0F"/>
    <w:rsid w:val="00CA61A1"/>
    <w:rsid w:val="00CA6236"/>
    <w:rsid w:val="00CA629A"/>
    <w:rsid w:val="00CA64BE"/>
    <w:rsid w:val="00CA67A6"/>
    <w:rsid w:val="00CA68E3"/>
    <w:rsid w:val="00CA6CB7"/>
    <w:rsid w:val="00CA6D47"/>
    <w:rsid w:val="00CA6D5D"/>
    <w:rsid w:val="00CA6E6E"/>
    <w:rsid w:val="00CA71EC"/>
    <w:rsid w:val="00CA7490"/>
    <w:rsid w:val="00CA76EA"/>
    <w:rsid w:val="00CA7767"/>
    <w:rsid w:val="00CA7A29"/>
    <w:rsid w:val="00CA7E6E"/>
    <w:rsid w:val="00CB0510"/>
    <w:rsid w:val="00CB080F"/>
    <w:rsid w:val="00CB0D6A"/>
    <w:rsid w:val="00CB0EC9"/>
    <w:rsid w:val="00CB1355"/>
    <w:rsid w:val="00CB14FA"/>
    <w:rsid w:val="00CB150F"/>
    <w:rsid w:val="00CB175C"/>
    <w:rsid w:val="00CB18ED"/>
    <w:rsid w:val="00CB1E16"/>
    <w:rsid w:val="00CB1EED"/>
    <w:rsid w:val="00CB20C0"/>
    <w:rsid w:val="00CB2112"/>
    <w:rsid w:val="00CB2551"/>
    <w:rsid w:val="00CB2D4E"/>
    <w:rsid w:val="00CB2E57"/>
    <w:rsid w:val="00CB32A9"/>
    <w:rsid w:val="00CB3310"/>
    <w:rsid w:val="00CB3369"/>
    <w:rsid w:val="00CB3549"/>
    <w:rsid w:val="00CB35D2"/>
    <w:rsid w:val="00CB3810"/>
    <w:rsid w:val="00CB3966"/>
    <w:rsid w:val="00CB3A91"/>
    <w:rsid w:val="00CB3CCF"/>
    <w:rsid w:val="00CB405E"/>
    <w:rsid w:val="00CB4332"/>
    <w:rsid w:val="00CB4514"/>
    <w:rsid w:val="00CB4829"/>
    <w:rsid w:val="00CB4B46"/>
    <w:rsid w:val="00CB4BCD"/>
    <w:rsid w:val="00CB4BD5"/>
    <w:rsid w:val="00CB4FF5"/>
    <w:rsid w:val="00CB5112"/>
    <w:rsid w:val="00CB5124"/>
    <w:rsid w:val="00CB5133"/>
    <w:rsid w:val="00CB5568"/>
    <w:rsid w:val="00CB557D"/>
    <w:rsid w:val="00CB55B4"/>
    <w:rsid w:val="00CB5732"/>
    <w:rsid w:val="00CB5892"/>
    <w:rsid w:val="00CB5ACD"/>
    <w:rsid w:val="00CB5CA8"/>
    <w:rsid w:val="00CB5D65"/>
    <w:rsid w:val="00CB6224"/>
    <w:rsid w:val="00CB66E5"/>
    <w:rsid w:val="00CB6A2E"/>
    <w:rsid w:val="00CB6B5A"/>
    <w:rsid w:val="00CB6D91"/>
    <w:rsid w:val="00CB7095"/>
    <w:rsid w:val="00CB70E0"/>
    <w:rsid w:val="00CB735E"/>
    <w:rsid w:val="00CB742E"/>
    <w:rsid w:val="00CB75E4"/>
    <w:rsid w:val="00CB7629"/>
    <w:rsid w:val="00CB7703"/>
    <w:rsid w:val="00CB775B"/>
    <w:rsid w:val="00CB794B"/>
    <w:rsid w:val="00CB7A48"/>
    <w:rsid w:val="00CB7BF5"/>
    <w:rsid w:val="00CB7FE6"/>
    <w:rsid w:val="00CC00CF"/>
    <w:rsid w:val="00CC02F2"/>
    <w:rsid w:val="00CC05C4"/>
    <w:rsid w:val="00CC0C97"/>
    <w:rsid w:val="00CC107F"/>
    <w:rsid w:val="00CC1084"/>
    <w:rsid w:val="00CC108D"/>
    <w:rsid w:val="00CC13D1"/>
    <w:rsid w:val="00CC1AAD"/>
    <w:rsid w:val="00CC1AB7"/>
    <w:rsid w:val="00CC1B49"/>
    <w:rsid w:val="00CC1B79"/>
    <w:rsid w:val="00CC1ECA"/>
    <w:rsid w:val="00CC23E4"/>
    <w:rsid w:val="00CC2755"/>
    <w:rsid w:val="00CC2B35"/>
    <w:rsid w:val="00CC2C6F"/>
    <w:rsid w:val="00CC2C9D"/>
    <w:rsid w:val="00CC2D43"/>
    <w:rsid w:val="00CC2E85"/>
    <w:rsid w:val="00CC2F51"/>
    <w:rsid w:val="00CC312F"/>
    <w:rsid w:val="00CC318C"/>
    <w:rsid w:val="00CC326B"/>
    <w:rsid w:val="00CC3403"/>
    <w:rsid w:val="00CC3CF4"/>
    <w:rsid w:val="00CC3D86"/>
    <w:rsid w:val="00CC4196"/>
    <w:rsid w:val="00CC425A"/>
    <w:rsid w:val="00CC42AE"/>
    <w:rsid w:val="00CC469E"/>
    <w:rsid w:val="00CC4799"/>
    <w:rsid w:val="00CC4B91"/>
    <w:rsid w:val="00CC4BAF"/>
    <w:rsid w:val="00CC505D"/>
    <w:rsid w:val="00CC509F"/>
    <w:rsid w:val="00CC58A2"/>
    <w:rsid w:val="00CC5996"/>
    <w:rsid w:val="00CC59E8"/>
    <w:rsid w:val="00CC5ADE"/>
    <w:rsid w:val="00CC5D86"/>
    <w:rsid w:val="00CC5D87"/>
    <w:rsid w:val="00CC5F2F"/>
    <w:rsid w:val="00CC61F8"/>
    <w:rsid w:val="00CC631D"/>
    <w:rsid w:val="00CC64A2"/>
    <w:rsid w:val="00CC64E5"/>
    <w:rsid w:val="00CC6A2A"/>
    <w:rsid w:val="00CC6A30"/>
    <w:rsid w:val="00CC6A32"/>
    <w:rsid w:val="00CC6B5E"/>
    <w:rsid w:val="00CC6D24"/>
    <w:rsid w:val="00CC6D26"/>
    <w:rsid w:val="00CC72E5"/>
    <w:rsid w:val="00CC738E"/>
    <w:rsid w:val="00CC7399"/>
    <w:rsid w:val="00CC74ED"/>
    <w:rsid w:val="00CC766B"/>
    <w:rsid w:val="00CC7985"/>
    <w:rsid w:val="00CC7A21"/>
    <w:rsid w:val="00CC7A5F"/>
    <w:rsid w:val="00CC7FA1"/>
    <w:rsid w:val="00CD03F5"/>
    <w:rsid w:val="00CD0664"/>
    <w:rsid w:val="00CD06AA"/>
    <w:rsid w:val="00CD0A2E"/>
    <w:rsid w:val="00CD0C97"/>
    <w:rsid w:val="00CD0E45"/>
    <w:rsid w:val="00CD1042"/>
    <w:rsid w:val="00CD14E3"/>
    <w:rsid w:val="00CD15E4"/>
    <w:rsid w:val="00CD15EA"/>
    <w:rsid w:val="00CD169C"/>
    <w:rsid w:val="00CD1794"/>
    <w:rsid w:val="00CD18A5"/>
    <w:rsid w:val="00CD1A25"/>
    <w:rsid w:val="00CD1B4F"/>
    <w:rsid w:val="00CD1C60"/>
    <w:rsid w:val="00CD1C7F"/>
    <w:rsid w:val="00CD1EAD"/>
    <w:rsid w:val="00CD1F1E"/>
    <w:rsid w:val="00CD20BE"/>
    <w:rsid w:val="00CD21D0"/>
    <w:rsid w:val="00CD25EE"/>
    <w:rsid w:val="00CD2739"/>
    <w:rsid w:val="00CD27D9"/>
    <w:rsid w:val="00CD2919"/>
    <w:rsid w:val="00CD2F5F"/>
    <w:rsid w:val="00CD2FF5"/>
    <w:rsid w:val="00CD305E"/>
    <w:rsid w:val="00CD337F"/>
    <w:rsid w:val="00CD3389"/>
    <w:rsid w:val="00CD3978"/>
    <w:rsid w:val="00CD3BFD"/>
    <w:rsid w:val="00CD3C19"/>
    <w:rsid w:val="00CD3C5E"/>
    <w:rsid w:val="00CD3D19"/>
    <w:rsid w:val="00CD3D4C"/>
    <w:rsid w:val="00CD43D2"/>
    <w:rsid w:val="00CD46C2"/>
    <w:rsid w:val="00CD4728"/>
    <w:rsid w:val="00CD4A29"/>
    <w:rsid w:val="00CD4A6A"/>
    <w:rsid w:val="00CD4B37"/>
    <w:rsid w:val="00CD4C54"/>
    <w:rsid w:val="00CD5447"/>
    <w:rsid w:val="00CD5BAC"/>
    <w:rsid w:val="00CD5C16"/>
    <w:rsid w:val="00CD5D81"/>
    <w:rsid w:val="00CD5F31"/>
    <w:rsid w:val="00CD5F40"/>
    <w:rsid w:val="00CD5FE9"/>
    <w:rsid w:val="00CD60AE"/>
    <w:rsid w:val="00CD60E6"/>
    <w:rsid w:val="00CD63E2"/>
    <w:rsid w:val="00CD6567"/>
    <w:rsid w:val="00CD6670"/>
    <w:rsid w:val="00CD6B8B"/>
    <w:rsid w:val="00CD6DE8"/>
    <w:rsid w:val="00CD6E98"/>
    <w:rsid w:val="00CD6EC8"/>
    <w:rsid w:val="00CD7012"/>
    <w:rsid w:val="00CD70CC"/>
    <w:rsid w:val="00CD74EC"/>
    <w:rsid w:val="00CD7972"/>
    <w:rsid w:val="00CD79B5"/>
    <w:rsid w:val="00CD7A0B"/>
    <w:rsid w:val="00CD7A15"/>
    <w:rsid w:val="00CD7B11"/>
    <w:rsid w:val="00CD7EBA"/>
    <w:rsid w:val="00CE061A"/>
    <w:rsid w:val="00CE08E3"/>
    <w:rsid w:val="00CE0935"/>
    <w:rsid w:val="00CE09F9"/>
    <w:rsid w:val="00CE0BA9"/>
    <w:rsid w:val="00CE0D8F"/>
    <w:rsid w:val="00CE0E44"/>
    <w:rsid w:val="00CE119A"/>
    <w:rsid w:val="00CE11FE"/>
    <w:rsid w:val="00CE13D9"/>
    <w:rsid w:val="00CE1614"/>
    <w:rsid w:val="00CE166A"/>
    <w:rsid w:val="00CE1684"/>
    <w:rsid w:val="00CE17D3"/>
    <w:rsid w:val="00CE1BDB"/>
    <w:rsid w:val="00CE1ECB"/>
    <w:rsid w:val="00CE1F1D"/>
    <w:rsid w:val="00CE214B"/>
    <w:rsid w:val="00CE242B"/>
    <w:rsid w:val="00CE2437"/>
    <w:rsid w:val="00CE2854"/>
    <w:rsid w:val="00CE2D05"/>
    <w:rsid w:val="00CE2D41"/>
    <w:rsid w:val="00CE3256"/>
    <w:rsid w:val="00CE336B"/>
    <w:rsid w:val="00CE3A58"/>
    <w:rsid w:val="00CE3B14"/>
    <w:rsid w:val="00CE3B26"/>
    <w:rsid w:val="00CE3E2A"/>
    <w:rsid w:val="00CE4667"/>
    <w:rsid w:val="00CE48C5"/>
    <w:rsid w:val="00CE5104"/>
    <w:rsid w:val="00CE512C"/>
    <w:rsid w:val="00CE518D"/>
    <w:rsid w:val="00CE5218"/>
    <w:rsid w:val="00CE52A9"/>
    <w:rsid w:val="00CE52FC"/>
    <w:rsid w:val="00CE53AA"/>
    <w:rsid w:val="00CE5499"/>
    <w:rsid w:val="00CE54DB"/>
    <w:rsid w:val="00CE5637"/>
    <w:rsid w:val="00CE56CF"/>
    <w:rsid w:val="00CE5A52"/>
    <w:rsid w:val="00CE5B6E"/>
    <w:rsid w:val="00CE5D8F"/>
    <w:rsid w:val="00CE5E04"/>
    <w:rsid w:val="00CE5E61"/>
    <w:rsid w:val="00CE621A"/>
    <w:rsid w:val="00CE64B5"/>
    <w:rsid w:val="00CE6DB8"/>
    <w:rsid w:val="00CE6DBA"/>
    <w:rsid w:val="00CE6DD2"/>
    <w:rsid w:val="00CE7099"/>
    <w:rsid w:val="00CE7133"/>
    <w:rsid w:val="00CE73E1"/>
    <w:rsid w:val="00CE743F"/>
    <w:rsid w:val="00CE7778"/>
    <w:rsid w:val="00CE7852"/>
    <w:rsid w:val="00CE792F"/>
    <w:rsid w:val="00CE7B89"/>
    <w:rsid w:val="00CE7FA2"/>
    <w:rsid w:val="00CF0088"/>
    <w:rsid w:val="00CF0511"/>
    <w:rsid w:val="00CF05B8"/>
    <w:rsid w:val="00CF06C5"/>
    <w:rsid w:val="00CF0B7D"/>
    <w:rsid w:val="00CF0B9E"/>
    <w:rsid w:val="00CF0C8D"/>
    <w:rsid w:val="00CF0EED"/>
    <w:rsid w:val="00CF1290"/>
    <w:rsid w:val="00CF1354"/>
    <w:rsid w:val="00CF1388"/>
    <w:rsid w:val="00CF1619"/>
    <w:rsid w:val="00CF1679"/>
    <w:rsid w:val="00CF1744"/>
    <w:rsid w:val="00CF17C7"/>
    <w:rsid w:val="00CF19CC"/>
    <w:rsid w:val="00CF1C04"/>
    <w:rsid w:val="00CF1E7D"/>
    <w:rsid w:val="00CF2287"/>
    <w:rsid w:val="00CF230E"/>
    <w:rsid w:val="00CF2B9E"/>
    <w:rsid w:val="00CF2F2C"/>
    <w:rsid w:val="00CF304E"/>
    <w:rsid w:val="00CF31C1"/>
    <w:rsid w:val="00CF32CD"/>
    <w:rsid w:val="00CF3403"/>
    <w:rsid w:val="00CF34EA"/>
    <w:rsid w:val="00CF36DD"/>
    <w:rsid w:val="00CF38F6"/>
    <w:rsid w:val="00CF3A39"/>
    <w:rsid w:val="00CF3AC4"/>
    <w:rsid w:val="00CF3B1C"/>
    <w:rsid w:val="00CF3E12"/>
    <w:rsid w:val="00CF3F68"/>
    <w:rsid w:val="00CF40FE"/>
    <w:rsid w:val="00CF43B0"/>
    <w:rsid w:val="00CF4516"/>
    <w:rsid w:val="00CF45C5"/>
    <w:rsid w:val="00CF4646"/>
    <w:rsid w:val="00CF4A42"/>
    <w:rsid w:val="00CF50EC"/>
    <w:rsid w:val="00CF5205"/>
    <w:rsid w:val="00CF5261"/>
    <w:rsid w:val="00CF52D1"/>
    <w:rsid w:val="00CF5702"/>
    <w:rsid w:val="00CF596C"/>
    <w:rsid w:val="00CF5BE8"/>
    <w:rsid w:val="00CF5DCB"/>
    <w:rsid w:val="00CF5F4E"/>
    <w:rsid w:val="00CF60B6"/>
    <w:rsid w:val="00CF638D"/>
    <w:rsid w:val="00CF6502"/>
    <w:rsid w:val="00CF661F"/>
    <w:rsid w:val="00CF6A06"/>
    <w:rsid w:val="00CF6AD5"/>
    <w:rsid w:val="00CF6B0F"/>
    <w:rsid w:val="00CF71BA"/>
    <w:rsid w:val="00CF7407"/>
    <w:rsid w:val="00CF7425"/>
    <w:rsid w:val="00CF7436"/>
    <w:rsid w:val="00CF74AA"/>
    <w:rsid w:val="00CF74B8"/>
    <w:rsid w:val="00CF74BE"/>
    <w:rsid w:val="00CF769D"/>
    <w:rsid w:val="00CF79C1"/>
    <w:rsid w:val="00CF7DEE"/>
    <w:rsid w:val="00CF7E6A"/>
    <w:rsid w:val="00CF7EDC"/>
    <w:rsid w:val="00D00003"/>
    <w:rsid w:val="00D0019E"/>
    <w:rsid w:val="00D002CF"/>
    <w:rsid w:val="00D00616"/>
    <w:rsid w:val="00D00728"/>
    <w:rsid w:val="00D007B8"/>
    <w:rsid w:val="00D0086E"/>
    <w:rsid w:val="00D00A71"/>
    <w:rsid w:val="00D00D7B"/>
    <w:rsid w:val="00D011C9"/>
    <w:rsid w:val="00D011CA"/>
    <w:rsid w:val="00D01227"/>
    <w:rsid w:val="00D0129C"/>
    <w:rsid w:val="00D012E0"/>
    <w:rsid w:val="00D01313"/>
    <w:rsid w:val="00D013F7"/>
    <w:rsid w:val="00D014E8"/>
    <w:rsid w:val="00D01633"/>
    <w:rsid w:val="00D017ED"/>
    <w:rsid w:val="00D018DB"/>
    <w:rsid w:val="00D01931"/>
    <w:rsid w:val="00D019F8"/>
    <w:rsid w:val="00D01DFC"/>
    <w:rsid w:val="00D0236B"/>
    <w:rsid w:val="00D0244D"/>
    <w:rsid w:val="00D02599"/>
    <w:rsid w:val="00D026A9"/>
    <w:rsid w:val="00D02825"/>
    <w:rsid w:val="00D02AB5"/>
    <w:rsid w:val="00D02B73"/>
    <w:rsid w:val="00D02B91"/>
    <w:rsid w:val="00D02CCF"/>
    <w:rsid w:val="00D02E67"/>
    <w:rsid w:val="00D02F3E"/>
    <w:rsid w:val="00D02F8C"/>
    <w:rsid w:val="00D030A2"/>
    <w:rsid w:val="00D034C3"/>
    <w:rsid w:val="00D0374D"/>
    <w:rsid w:val="00D037A9"/>
    <w:rsid w:val="00D03B29"/>
    <w:rsid w:val="00D03CFD"/>
    <w:rsid w:val="00D041FD"/>
    <w:rsid w:val="00D043AC"/>
    <w:rsid w:val="00D04623"/>
    <w:rsid w:val="00D0467D"/>
    <w:rsid w:val="00D04A83"/>
    <w:rsid w:val="00D04A9A"/>
    <w:rsid w:val="00D04B6C"/>
    <w:rsid w:val="00D04BEF"/>
    <w:rsid w:val="00D04E58"/>
    <w:rsid w:val="00D04E8E"/>
    <w:rsid w:val="00D04EF1"/>
    <w:rsid w:val="00D04F11"/>
    <w:rsid w:val="00D04F3C"/>
    <w:rsid w:val="00D04F95"/>
    <w:rsid w:val="00D0532A"/>
    <w:rsid w:val="00D0563C"/>
    <w:rsid w:val="00D05780"/>
    <w:rsid w:val="00D0596B"/>
    <w:rsid w:val="00D05F4F"/>
    <w:rsid w:val="00D0607D"/>
    <w:rsid w:val="00D06107"/>
    <w:rsid w:val="00D0630A"/>
    <w:rsid w:val="00D06339"/>
    <w:rsid w:val="00D06522"/>
    <w:rsid w:val="00D06573"/>
    <w:rsid w:val="00D06617"/>
    <w:rsid w:val="00D06A14"/>
    <w:rsid w:val="00D06B94"/>
    <w:rsid w:val="00D06BFE"/>
    <w:rsid w:val="00D06C09"/>
    <w:rsid w:val="00D06F61"/>
    <w:rsid w:val="00D06FE0"/>
    <w:rsid w:val="00D07081"/>
    <w:rsid w:val="00D0713A"/>
    <w:rsid w:val="00D07344"/>
    <w:rsid w:val="00D07617"/>
    <w:rsid w:val="00D07681"/>
    <w:rsid w:val="00D0781C"/>
    <w:rsid w:val="00D07A22"/>
    <w:rsid w:val="00D07AC5"/>
    <w:rsid w:val="00D07B05"/>
    <w:rsid w:val="00D07D0A"/>
    <w:rsid w:val="00D07D40"/>
    <w:rsid w:val="00D07ED2"/>
    <w:rsid w:val="00D1004A"/>
    <w:rsid w:val="00D102EB"/>
    <w:rsid w:val="00D1035E"/>
    <w:rsid w:val="00D103D4"/>
    <w:rsid w:val="00D103EB"/>
    <w:rsid w:val="00D10772"/>
    <w:rsid w:val="00D108F2"/>
    <w:rsid w:val="00D109D1"/>
    <w:rsid w:val="00D10C6F"/>
    <w:rsid w:val="00D10DA2"/>
    <w:rsid w:val="00D10F0F"/>
    <w:rsid w:val="00D110A5"/>
    <w:rsid w:val="00D11247"/>
    <w:rsid w:val="00D114DB"/>
    <w:rsid w:val="00D118DF"/>
    <w:rsid w:val="00D1197A"/>
    <w:rsid w:val="00D11B72"/>
    <w:rsid w:val="00D11CD1"/>
    <w:rsid w:val="00D12151"/>
    <w:rsid w:val="00D1215B"/>
    <w:rsid w:val="00D1227E"/>
    <w:rsid w:val="00D125A1"/>
    <w:rsid w:val="00D126D7"/>
    <w:rsid w:val="00D1276F"/>
    <w:rsid w:val="00D127B5"/>
    <w:rsid w:val="00D12877"/>
    <w:rsid w:val="00D12A7D"/>
    <w:rsid w:val="00D12B55"/>
    <w:rsid w:val="00D12B92"/>
    <w:rsid w:val="00D12BF4"/>
    <w:rsid w:val="00D12C85"/>
    <w:rsid w:val="00D12E78"/>
    <w:rsid w:val="00D12F97"/>
    <w:rsid w:val="00D13299"/>
    <w:rsid w:val="00D132CF"/>
    <w:rsid w:val="00D13582"/>
    <w:rsid w:val="00D136A8"/>
    <w:rsid w:val="00D13826"/>
    <w:rsid w:val="00D13F65"/>
    <w:rsid w:val="00D13FB7"/>
    <w:rsid w:val="00D1446C"/>
    <w:rsid w:val="00D14587"/>
    <w:rsid w:val="00D148C7"/>
    <w:rsid w:val="00D14944"/>
    <w:rsid w:val="00D149A4"/>
    <w:rsid w:val="00D14AB9"/>
    <w:rsid w:val="00D15DEC"/>
    <w:rsid w:val="00D16254"/>
    <w:rsid w:val="00D16309"/>
    <w:rsid w:val="00D163B9"/>
    <w:rsid w:val="00D16502"/>
    <w:rsid w:val="00D167D0"/>
    <w:rsid w:val="00D16820"/>
    <w:rsid w:val="00D16A1F"/>
    <w:rsid w:val="00D16D27"/>
    <w:rsid w:val="00D17033"/>
    <w:rsid w:val="00D176F9"/>
    <w:rsid w:val="00D17800"/>
    <w:rsid w:val="00D1798C"/>
    <w:rsid w:val="00D1798E"/>
    <w:rsid w:val="00D17AA0"/>
    <w:rsid w:val="00D17B59"/>
    <w:rsid w:val="00D17C96"/>
    <w:rsid w:val="00D17F3E"/>
    <w:rsid w:val="00D205CB"/>
    <w:rsid w:val="00D207B3"/>
    <w:rsid w:val="00D20B3D"/>
    <w:rsid w:val="00D211B3"/>
    <w:rsid w:val="00D21AD9"/>
    <w:rsid w:val="00D21AFF"/>
    <w:rsid w:val="00D21BA1"/>
    <w:rsid w:val="00D21C89"/>
    <w:rsid w:val="00D22060"/>
    <w:rsid w:val="00D221A8"/>
    <w:rsid w:val="00D22210"/>
    <w:rsid w:val="00D222C4"/>
    <w:rsid w:val="00D223EB"/>
    <w:rsid w:val="00D2247A"/>
    <w:rsid w:val="00D22613"/>
    <w:rsid w:val="00D2278B"/>
    <w:rsid w:val="00D22A43"/>
    <w:rsid w:val="00D22DF7"/>
    <w:rsid w:val="00D230B5"/>
    <w:rsid w:val="00D232F3"/>
    <w:rsid w:val="00D2340B"/>
    <w:rsid w:val="00D23505"/>
    <w:rsid w:val="00D23576"/>
    <w:rsid w:val="00D2380D"/>
    <w:rsid w:val="00D23981"/>
    <w:rsid w:val="00D239DD"/>
    <w:rsid w:val="00D23AB5"/>
    <w:rsid w:val="00D23B87"/>
    <w:rsid w:val="00D23C95"/>
    <w:rsid w:val="00D23F2A"/>
    <w:rsid w:val="00D24204"/>
    <w:rsid w:val="00D2466F"/>
    <w:rsid w:val="00D24748"/>
    <w:rsid w:val="00D24B39"/>
    <w:rsid w:val="00D24BB1"/>
    <w:rsid w:val="00D24CDA"/>
    <w:rsid w:val="00D24FA3"/>
    <w:rsid w:val="00D2518E"/>
    <w:rsid w:val="00D25310"/>
    <w:rsid w:val="00D253FF"/>
    <w:rsid w:val="00D255F6"/>
    <w:rsid w:val="00D25654"/>
    <w:rsid w:val="00D259CA"/>
    <w:rsid w:val="00D25C51"/>
    <w:rsid w:val="00D25F9B"/>
    <w:rsid w:val="00D26185"/>
    <w:rsid w:val="00D261B2"/>
    <w:rsid w:val="00D26392"/>
    <w:rsid w:val="00D265C0"/>
    <w:rsid w:val="00D26687"/>
    <w:rsid w:val="00D2669A"/>
    <w:rsid w:val="00D267C5"/>
    <w:rsid w:val="00D267D3"/>
    <w:rsid w:val="00D26875"/>
    <w:rsid w:val="00D26906"/>
    <w:rsid w:val="00D26EFD"/>
    <w:rsid w:val="00D27202"/>
    <w:rsid w:val="00D272EC"/>
    <w:rsid w:val="00D27608"/>
    <w:rsid w:val="00D27672"/>
    <w:rsid w:val="00D277F2"/>
    <w:rsid w:val="00D2784E"/>
    <w:rsid w:val="00D27B80"/>
    <w:rsid w:val="00D27DFA"/>
    <w:rsid w:val="00D30070"/>
    <w:rsid w:val="00D30472"/>
    <w:rsid w:val="00D30492"/>
    <w:rsid w:val="00D304F7"/>
    <w:rsid w:val="00D307F4"/>
    <w:rsid w:val="00D309EB"/>
    <w:rsid w:val="00D30C01"/>
    <w:rsid w:val="00D30C60"/>
    <w:rsid w:val="00D314FA"/>
    <w:rsid w:val="00D3165E"/>
    <w:rsid w:val="00D31764"/>
    <w:rsid w:val="00D31928"/>
    <w:rsid w:val="00D31ABA"/>
    <w:rsid w:val="00D31D69"/>
    <w:rsid w:val="00D31E2A"/>
    <w:rsid w:val="00D31E6D"/>
    <w:rsid w:val="00D322E0"/>
    <w:rsid w:val="00D3232F"/>
    <w:rsid w:val="00D32476"/>
    <w:rsid w:val="00D32818"/>
    <w:rsid w:val="00D329A1"/>
    <w:rsid w:val="00D334E6"/>
    <w:rsid w:val="00D33507"/>
    <w:rsid w:val="00D336F6"/>
    <w:rsid w:val="00D339A9"/>
    <w:rsid w:val="00D33D45"/>
    <w:rsid w:val="00D33D8D"/>
    <w:rsid w:val="00D3426D"/>
    <w:rsid w:val="00D34768"/>
    <w:rsid w:val="00D349DA"/>
    <w:rsid w:val="00D34A44"/>
    <w:rsid w:val="00D34AB9"/>
    <w:rsid w:val="00D34BB2"/>
    <w:rsid w:val="00D34C7E"/>
    <w:rsid w:val="00D34E0E"/>
    <w:rsid w:val="00D35195"/>
    <w:rsid w:val="00D351E6"/>
    <w:rsid w:val="00D35239"/>
    <w:rsid w:val="00D35324"/>
    <w:rsid w:val="00D35425"/>
    <w:rsid w:val="00D35461"/>
    <w:rsid w:val="00D35556"/>
    <w:rsid w:val="00D35A04"/>
    <w:rsid w:val="00D35DBA"/>
    <w:rsid w:val="00D36AA0"/>
    <w:rsid w:val="00D36D60"/>
    <w:rsid w:val="00D36E3F"/>
    <w:rsid w:val="00D36F90"/>
    <w:rsid w:val="00D36FDB"/>
    <w:rsid w:val="00D370AB"/>
    <w:rsid w:val="00D37782"/>
    <w:rsid w:val="00D378D9"/>
    <w:rsid w:val="00D37960"/>
    <w:rsid w:val="00D37B55"/>
    <w:rsid w:val="00D37C7A"/>
    <w:rsid w:val="00D37DE3"/>
    <w:rsid w:val="00D40171"/>
    <w:rsid w:val="00D407F6"/>
    <w:rsid w:val="00D40C58"/>
    <w:rsid w:val="00D40D6F"/>
    <w:rsid w:val="00D40EB7"/>
    <w:rsid w:val="00D4105E"/>
    <w:rsid w:val="00D41493"/>
    <w:rsid w:val="00D41580"/>
    <w:rsid w:val="00D41814"/>
    <w:rsid w:val="00D41A74"/>
    <w:rsid w:val="00D41EE2"/>
    <w:rsid w:val="00D41F42"/>
    <w:rsid w:val="00D4219F"/>
    <w:rsid w:val="00D4239A"/>
    <w:rsid w:val="00D424A4"/>
    <w:rsid w:val="00D424E4"/>
    <w:rsid w:val="00D4255F"/>
    <w:rsid w:val="00D42891"/>
    <w:rsid w:val="00D42B36"/>
    <w:rsid w:val="00D42BEB"/>
    <w:rsid w:val="00D42C57"/>
    <w:rsid w:val="00D42D66"/>
    <w:rsid w:val="00D42F84"/>
    <w:rsid w:val="00D42F8D"/>
    <w:rsid w:val="00D43181"/>
    <w:rsid w:val="00D43243"/>
    <w:rsid w:val="00D4325A"/>
    <w:rsid w:val="00D43703"/>
    <w:rsid w:val="00D43794"/>
    <w:rsid w:val="00D4388D"/>
    <w:rsid w:val="00D438DF"/>
    <w:rsid w:val="00D4399B"/>
    <w:rsid w:val="00D43A79"/>
    <w:rsid w:val="00D43B15"/>
    <w:rsid w:val="00D43BC6"/>
    <w:rsid w:val="00D43C1A"/>
    <w:rsid w:val="00D43C48"/>
    <w:rsid w:val="00D44025"/>
    <w:rsid w:val="00D440DA"/>
    <w:rsid w:val="00D44202"/>
    <w:rsid w:val="00D44312"/>
    <w:rsid w:val="00D444A2"/>
    <w:rsid w:val="00D446C2"/>
    <w:rsid w:val="00D448AC"/>
    <w:rsid w:val="00D44C83"/>
    <w:rsid w:val="00D44C8B"/>
    <w:rsid w:val="00D44E9E"/>
    <w:rsid w:val="00D44EBB"/>
    <w:rsid w:val="00D44F6D"/>
    <w:rsid w:val="00D45055"/>
    <w:rsid w:val="00D45358"/>
    <w:rsid w:val="00D45395"/>
    <w:rsid w:val="00D45478"/>
    <w:rsid w:val="00D45619"/>
    <w:rsid w:val="00D45649"/>
    <w:rsid w:val="00D45731"/>
    <w:rsid w:val="00D4589C"/>
    <w:rsid w:val="00D45A15"/>
    <w:rsid w:val="00D45A9A"/>
    <w:rsid w:val="00D45E9D"/>
    <w:rsid w:val="00D4609B"/>
    <w:rsid w:val="00D4614C"/>
    <w:rsid w:val="00D46285"/>
    <w:rsid w:val="00D46432"/>
    <w:rsid w:val="00D46D90"/>
    <w:rsid w:val="00D46DEE"/>
    <w:rsid w:val="00D46E0D"/>
    <w:rsid w:val="00D46EC1"/>
    <w:rsid w:val="00D472D2"/>
    <w:rsid w:val="00D475A8"/>
    <w:rsid w:val="00D47866"/>
    <w:rsid w:val="00D47968"/>
    <w:rsid w:val="00D47AC6"/>
    <w:rsid w:val="00D47AE2"/>
    <w:rsid w:val="00D47BCC"/>
    <w:rsid w:val="00D5001D"/>
    <w:rsid w:val="00D50203"/>
    <w:rsid w:val="00D50642"/>
    <w:rsid w:val="00D5071B"/>
    <w:rsid w:val="00D507FE"/>
    <w:rsid w:val="00D50900"/>
    <w:rsid w:val="00D50D63"/>
    <w:rsid w:val="00D511C2"/>
    <w:rsid w:val="00D513E1"/>
    <w:rsid w:val="00D515A7"/>
    <w:rsid w:val="00D517F2"/>
    <w:rsid w:val="00D52189"/>
    <w:rsid w:val="00D522EB"/>
    <w:rsid w:val="00D5255E"/>
    <w:rsid w:val="00D5287A"/>
    <w:rsid w:val="00D528A3"/>
    <w:rsid w:val="00D52D18"/>
    <w:rsid w:val="00D53048"/>
    <w:rsid w:val="00D53503"/>
    <w:rsid w:val="00D5363B"/>
    <w:rsid w:val="00D53691"/>
    <w:rsid w:val="00D54217"/>
    <w:rsid w:val="00D542A6"/>
    <w:rsid w:val="00D5452A"/>
    <w:rsid w:val="00D547EB"/>
    <w:rsid w:val="00D549A2"/>
    <w:rsid w:val="00D549D3"/>
    <w:rsid w:val="00D54A9B"/>
    <w:rsid w:val="00D54BF2"/>
    <w:rsid w:val="00D54E81"/>
    <w:rsid w:val="00D54F22"/>
    <w:rsid w:val="00D54F26"/>
    <w:rsid w:val="00D54F65"/>
    <w:rsid w:val="00D55165"/>
    <w:rsid w:val="00D551DF"/>
    <w:rsid w:val="00D552D6"/>
    <w:rsid w:val="00D554A1"/>
    <w:rsid w:val="00D554A7"/>
    <w:rsid w:val="00D55632"/>
    <w:rsid w:val="00D55719"/>
    <w:rsid w:val="00D5575E"/>
    <w:rsid w:val="00D55871"/>
    <w:rsid w:val="00D55C9E"/>
    <w:rsid w:val="00D55DA1"/>
    <w:rsid w:val="00D55E7C"/>
    <w:rsid w:val="00D55EC1"/>
    <w:rsid w:val="00D55FC0"/>
    <w:rsid w:val="00D55FF4"/>
    <w:rsid w:val="00D56089"/>
    <w:rsid w:val="00D5631E"/>
    <w:rsid w:val="00D5651D"/>
    <w:rsid w:val="00D569A1"/>
    <w:rsid w:val="00D56A7C"/>
    <w:rsid w:val="00D56BEB"/>
    <w:rsid w:val="00D56F96"/>
    <w:rsid w:val="00D570E3"/>
    <w:rsid w:val="00D5735B"/>
    <w:rsid w:val="00D573E2"/>
    <w:rsid w:val="00D573EC"/>
    <w:rsid w:val="00D5742D"/>
    <w:rsid w:val="00D579AF"/>
    <w:rsid w:val="00D57BC8"/>
    <w:rsid w:val="00D57D47"/>
    <w:rsid w:val="00D57F5C"/>
    <w:rsid w:val="00D60332"/>
    <w:rsid w:val="00D60653"/>
    <w:rsid w:val="00D60749"/>
    <w:rsid w:val="00D60809"/>
    <w:rsid w:val="00D60B39"/>
    <w:rsid w:val="00D60E4D"/>
    <w:rsid w:val="00D613DF"/>
    <w:rsid w:val="00D614EE"/>
    <w:rsid w:val="00D6155D"/>
    <w:rsid w:val="00D61A06"/>
    <w:rsid w:val="00D61ACD"/>
    <w:rsid w:val="00D61ADB"/>
    <w:rsid w:val="00D61B24"/>
    <w:rsid w:val="00D61D38"/>
    <w:rsid w:val="00D61DD3"/>
    <w:rsid w:val="00D61E0E"/>
    <w:rsid w:val="00D61F2F"/>
    <w:rsid w:val="00D62161"/>
    <w:rsid w:val="00D626FF"/>
    <w:rsid w:val="00D6285B"/>
    <w:rsid w:val="00D628BF"/>
    <w:rsid w:val="00D62A5F"/>
    <w:rsid w:val="00D62BA2"/>
    <w:rsid w:val="00D62BD8"/>
    <w:rsid w:val="00D62E5E"/>
    <w:rsid w:val="00D6376E"/>
    <w:rsid w:val="00D638FF"/>
    <w:rsid w:val="00D63B11"/>
    <w:rsid w:val="00D63E1D"/>
    <w:rsid w:val="00D63FF4"/>
    <w:rsid w:val="00D64014"/>
    <w:rsid w:val="00D6405B"/>
    <w:rsid w:val="00D64CA0"/>
    <w:rsid w:val="00D64CA9"/>
    <w:rsid w:val="00D64CCD"/>
    <w:rsid w:val="00D64D3B"/>
    <w:rsid w:val="00D64E37"/>
    <w:rsid w:val="00D65153"/>
    <w:rsid w:val="00D6568A"/>
    <w:rsid w:val="00D656A2"/>
    <w:rsid w:val="00D65BF2"/>
    <w:rsid w:val="00D65F66"/>
    <w:rsid w:val="00D6618F"/>
    <w:rsid w:val="00D6631D"/>
    <w:rsid w:val="00D664F9"/>
    <w:rsid w:val="00D6653F"/>
    <w:rsid w:val="00D66699"/>
    <w:rsid w:val="00D66723"/>
    <w:rsid w:val="00D66939"/>
    <w:rsid w:val="00D66962"/>
    <w:rsid w:val="00D66ABF"/>
    <w:rsid w:val="00D66D1F"/>
    <w:rsid w:val="00D66DD1"/>
    <w:rsid w:val="00D67073"/>
    <w:rsid w:val="00D6731E"/>
    <w:rsid w:val="00D674B5"/>
    <w:rsid w:val="00D674F8"/>
    <w:rsid w:val="00D674FF"/>
    <w:rsid w:val="00D67529"/>
    <w:rsid w:val="00D6761F"/>
    <w:rsid w:val="00D679C1"/>
    <w:rsid w:val="00D679F0"/>
    <w:rsid w:val="00D67AE4"/>
    <w:rsid w:val="00D67DF4"/>
    <w:rsid w:val="00D70041"/>
    <w:rsid w:val="00D7011A"/>
    <w:rsid w:val="00D701F1"/>
    <w:rsid w:val="00D704D2"/>
    <w:rsid w:val="00D70847"/>
    <w:rsid w:val="00D70A91"/>
    <w:rsid w:val="00D70C25"/>
    <w:rsid w:val="00D70E48"/>
    <w:rsid w:val="00D70EC6"/>
    <w:rsid w:val="00D71023"/>
    <w:rsid w:val="00D71073"/>
    <w:rsid w:val="00D71273"/>
    <w:rsid w:val="00D71424"/>
    <w:rsid w:val="00D714A4"/>
    <w:rsid w:val="00D71A34"/>
    <w:rsid w:val="00D71A50"/>
    <w:rsid w:val="00D71B29"/>
    <w:rsid w:val="00D71BDD"/>
    <w:rsid w:val="00D71D4E"/>
    <w:rsid w:val="00D71D89"/>
    <w:rsid w:val="00D71E80"/>
    <w:rsid w:val="00D71F1A"/>
    <w:rsid w:val="00D71F39"/>
    <w:rsid w:val="00D72027"/>
    <w:rsid w:val="00D7216E"/>
    <w:rsid w:val="00D72445"/>
    <w:rsid w:val="00D724B6"/>
    <w:rsid w:val="00D72756"/>
    <w:rsid w:val="00D72898"/>
    <w:rsid w:val="00D7290D"/>
    <w:rsid w:val="00D72910"/>
    <w:rsid w:val="00D72CDC"/>
    <w:rsid w:val="00D7309B"/>
    <w:rsid w:val="00D73251"/>
    <w:rsid w:val="00D73305"/>
    <w:rsid w:val="00D73357"/>
    <w:rsid w:val="00D733B1"/>
    <w:rsid w:val="00D73436"/>
    <w:rsid w:val="00D7362E"/>
    <w:rsid w:val="00D737C3"/>
    <w:rsid w:val="00D73D04"/>
    <w:rsid w:val="00D74246"/>
    <w:rsid w:val="00D74320"/>
    <w:rsid w:val="00D74395"/>
    <w:rsid w:val="00D7490B"/>
    <w:rsid w:val="00D74AB0"/>
    <w:rsid w:val="00D74ABA"/>
    <w:rsid w:val="00D74F7F"/>
    <w:rsid w:val="00D750F4"/>
    <w:rsid w:val="00D75158"/>
    <w:rsid w:val="00D75402"/>
    <w:rsid w:val="00D75501"/>
    <w:rsid w:val="00D75752"/>
    <w:rsid w:val="00D75B28"/>
    <w:rsid w:val="00D75BC0"/>
    <w:rsid w:val="00D75D54"/>
    <w:rsid w:val="00D75FDC"/>
    <w:rsid w:val="00D76307"/>
    <w:rsid w:val="00D7638E"/>
    <w:rsid w:val="00D76490"/>
    <w:rsid w:val="00D765AF"/>
    <w:rsid w:val="00D765B7"/>
    <w:rsid w:val="00D769ED"/>
    <w:rsid w:val="00D76AEE"/>
    <w:rsid w:val="00D76B40"/>
    <w:rsid w:val="00D76FDC"/>
    <w:rsid w:val="00D772F1"/>
    <w:rsid w:val="00D7739E"/>
    <w:rsid w:val="00D773A7"/>
    <w:rsid w:val="00D77404"/>
    <w:rsid w:val="00D7742B"/>
    <w:rsid w:val="00D7758E"/>
    <w:rsid w:val="00D77ACA"/>
    <w:rsid w:val="00D77B01"/>
    <w:rsid w:val="00D77B90"/>
    <w:rsid w:val="00D77BF0"/>
    <w:rsid w:val="00D77CA1"/>
    <w:rsid w:val="00D8035A"/>
    <w:rsid w:val="00D805CA"/>
    <w:rsid w:val="00D80884"/>
    <w:rsid w:val="00D8090F"/>
    <w:rsid w:val="00D809D3"/>
    <w:rsid w:val="00D80A59"/>
    <w:rsid w:val="00D80C00"/>
    <w:rsid w:val="00D80D8D"/>
    <w:rsid w:val="00D8117A"/>
    <w:rsid w:val="00D812DB"/>
    <w:rsid w:val="00D8138E"/>
    <w:rsid w:val="00D813D0"/>
    <w:rsid w:val="00D81448"/>
    <w:rsid w:val="00D81558"/>
    <w:rsid w:val="00D816D2"/>
    <w:rsid w:val="00D81E8E"/>
    <w:rsid w:val="00D8205A"/>
    <w:rsid w:val="00D826DE"/>
    <w:rsid w:val="00D8276E"/>
    <w:rsid w:val="00D82AE3"/>
    <w:rsid w:val="00D82B56"/>
    <w:rsid w:val="00D82FC9"/>
    <w:rsid w:val="00D83060"/>
    <w:rsid w:val="00D836C0"/>
    <w:rsid w:val="00D83715"/>
    <w:rsid w:val="00D83738"/>
    <w:rsid w:val="00D837A0"/>
    <w:rsid w:val="00D83862"/>
    <w:rsid w:val="00D839FD"/>
    <w:rsid w:val="00D83A7F"/>
    <w:rsid w:val="00D83F09"/>
    <w:rsid w:val="00D83F1A"/>
    <w:rsid w:val="00D83F25"/>
    <w:rsid w:val="00D83F4C"/>
    <w:rsid w:val="00D84104"/>
    <w:rsid w:val="00D843FC"/>
    <w:rsid w:val="00D84480"/>
    <w:rsid w:val="00D846C6"/>
    <w:rsid w:val="00D84A98"/>
    <w:rsid w:val="00D84D15"/>
    <w:rsid w:val="00D84DA1"/>
    <w:rsid w:val="00D85262"/>
    <w:rsid w:val="00D854D8"/>
    <w:rsid w:val="00D859A8"/>
    <w:rsid w:val="00D85B79"/>
    <w:rsid w:val="00D8621E"/>
    <w:rsid w:val="00D86321"/>
    <w:rsid w:val="00D864DA"/>
    <w:rsid w:val="00D86562"/>
    <w:rsid w:val="00D868C9"/>
    <w:rsid w:val="00D86909"/>
    <w:rsid w:val="00D869D3"/>
    <w:rsid w:val="00D86B9E"/>
    <w:rsid w:val="00D86BBA"/>
    <w:rsid w:val="00D86C7D"/>
    <w:rsid w:val="00D86CEF"/>
    <w:rsid w:val="00D86EBD"/>
    <w:rsid w:val="00D86F72"/>
    <w:rsid w:val="00D870C1"/>
    <w:rsid w:val="00D87160"/>
    <w:rsid w:val="00D871EF"/>
    <w:rsid w:val="00D87394"/>
    <w:rsid w:val="00D8750C"/>
    <w:rsid w:val="00D87629"/>
    <w:rsid w:val="00D876D2"/>
    <w:rsid w:val="00D8797D"/>
    <w:rsid w:val="00D87FE9"/>
    <w:rsid w:val="00D8BE40"/>
    <w:rsid w:val="00D90089"/>
    <w:rsid w:val="00D900C5"/>
    <w:rsid w:val="00D90366"/>
    <w:rsid w:val="00D90373"/>
    <w:rsid w:val="00D90572"/>
    <w:rsid w:val="00D906E8"/>
    <w:rsid w:val="00D90796"/>
    <w:rsid w:val="00D907D8"/>
    <w:rsid w:val="00D907DB"/>
    <w:rsid w:val="00D907F5"/>
    <w:rsid w:val="00D908AA"/>
    <w:rsid w:val="00D90BCD"/>
    <w:rsid w:val="00D90FEC"/>
    <w:rsid w:val="00D91042"/>
    <w:rsid w:val="00D914CF"/>
    <w:rsid w:val="00D917D8"/>
    <w:rsid w:val="00D91B8D"/>
    <w:rsid w:val="00D91C9D"/>
    <w:rsid w:val="00D91CC7"/>
    <w:rsid w:val="00D9201E"/>
    <w:rsid w:val="00D920B2"/>
    <w:rsid w:val="00D9215A"/>
    <w:rsid w:val="00D9246B"/>
    <w:rsid w:val="00D924D3"/>
    <w:rsid w:val="00D924F2"/>
    <w:rsid w:val="00D9255B"/>
    <w:rsid w:val="00D9286B"/>
    <w:rsid w:val="00D9288A"/>
    <w:rsid w:val="00D92959"/>
    <w:rsid w:val="00D92B09"/>
    <w:rsid w:val="00D92C7B"/>
    <w:rsid w:val="00D92F51"/>
    <w:rsid w:val="00D93149"/>
    <w:rsid w:val="00D932FF"/>
    <w:rsid w:val="00D934DD"/>
    <w:rsid w:val="00D938A5"/>
    <w:rsid w:val="00D93A29"/>
    <w:rsid w:val="00D93A79"/>
    <w:rsid w:val="00D93BBF"/>
    <w:rsid w:val="00D93DF6"/>
    <w:rsid w:val="00D93E4B"/>
    <w:rsid w:val="00D942EF"/>
    <w:rsid w:val="00D946B7"/>
    <w:rsid w:val="00D94A7A"/>
    <w:rsid w:val="00D94BB3"/>
    <w:rsid w:val="00D94D21"/>
    <w:rsid w:val="00D94E6E"/>
    <w:rsid w:val="00D94FA6"/>
    <w:rsid w:val="00D9509E"/>
    <w:rsid w:val="00D9542A"/>
    <w:rsid w:val="00D9586A"/>
    <w:rsid w:val="00D95A48"/>
    <w:rsid w:val="00D95A54"/>
    <w:rsid w:val="00D95CB4"/>
    <w:rsid w:val="00D95D04"/>
    <w:rsid w:val="00D962C1"/>
    <w:rsid w:val="00D96385"/>
    <w:rsid w:val="00D964D6"/>
    <w:rsid w:val="00D964DC"/>
    <w:rsid w:val="00D966A5"/>
    <w:rsid w:val="00D969AB"/>
    <w:rsid w:val="00D96A12"/>
    <w:rsid w:val="00D96A2D"/>
    <w:rsid w:val="00D96A33"/>
    <w:rsid w:val="00D96B00"/>
    <w:rsid w:val="00D96C31"/>
    <w:rsid w:val="00D96D75"/>
    <w:rsid w:val="00D96FD3"/>
    <w:rsid w:val="00D97072"/>
    <w:rsid w:val="00D970AA"/>
    <w:rsid w:val="00D9726E"/>
    <w:rsid w:val="00D97510"/>
    <w:rsid w:val="00D97540"/>
    <w:rsid w:val="00D9796F"/>
    <w:rsid w:val="00D97A7F"/>
    <w:rsid w:val="00D97B58"/>
    <w:rsid w:val="00D97DE5"/>
    <w:rsid w:val="00D97E65"/>
    <w:rsid w:val="00DA00DA"/>
    <w:rsid w:val="00DA03C0"/>
    <w:rsid w:val="00DA03FC"/>
    <w:rsid w:val="00DA0507"/>
    <w:rsid w:val="00DA05CF"/>
    <w:rsid w:val="00DA06FD"/>
    <w:rsid w:val="00DA0897"/>
    <w:rsid w:val="00DA09BE"/>
    <w:rsid w:val="00DA0D6E"/>
    <w:rsid w:val="00DA0D84"/>
    <w:rsid w:val="00DA0DA1"/>
    <w:rsid w:val="00DA0EA6"/>
    <w:rsid w:val="00DA1008"/>
    <w:rsid w:val="00DA138E"/>
    <w:rsid w:val="00DA1394"/>
    <w:rsid w:val="00DA13D6"/>
    <w:rsid w:val="00DA16BE"/>
    <w:rsid w:val="00DA1825"/>
    <w:rsid w:val="00DA1826"/>
    <w:rsid w:val="00DA1DAD"/>
    <w:rsid w:val="00DA1FD5"/>
    <w:rsid w:val="00DA24C2"/>
    <w:rsid w:val="00DA276F"/>
    <w:rsid w:val="00DA2801"/>
    <w:rsid w:val="00DA2972"/>
    <w:rsid w:val="00DA299C"/>
    <w:rsid w:val="00DA29B8"/>
    <w:rsid w:val="00DA2B75"/>
    <w:rsid w:val="00DA2E1E"/>
    <w:rsid w:val="00DA2FF9"/>
    <w:rsid w:val="00DA308F"/>
    <w:rsid w:val="00DA31FB"/>
    <w:rsid w:val="00DA3452"/>
    <w:rsid w:val="00DA38CD"/>
    <w:rsid w:val="00DA3A60"/>
    <w:rsid w:val="00DA3B24"/>
    <w:rsid w:val="00DA3B55"/>
    <w:rsid w:val="00DA3C18"/>
    <w:rsid w:val="00DA4355"/>
    <w:rsid w:val="00DA438D"/>
    <w:rsid w:val="00DA4703"/>
    <w:rsid w:val="00DA4D40"/>
    <w:rsid w:val="00DA4DE1"/>
    <w:rsid w:val="00DA50AC"/>
    <w:rsid w:val="00DA524D"/>
    <w:rsid w:val="00DA528F"/>
    <w:rsid w:val="00DA537E"/>
    <w:rsid w:val="00DA5456"/>
    <w:rsid w:val="00DA56B0"/>
    <w:rsid w:val="00DA575A"/>
    <w:rsid w:val="00DA5CE2"/>
    <w:rsid w:val="00DA5EC3"/>
    <w:rsid w:val="00DA5F5A"/>
    <w:rsid w:val="00DA653F"/>
    <w:rsid w:val="00DA67B6"/>
    <w:rsid w:val="00DA6913"/>
    <w:rsid w:val="00DA6F09"/>
    <w:rsid w:val="00DA6F22"/>
    <w:rsid w:val="00DA7524"/>
    <w:rsid w:val="00DA7584"/>
    <w:rsid w:val="00DA7772"/>
    <w:rsid w:val="00DA78BE"/>
    <w:rsid w:val="00DA7A26"/>
    <w:rsid w:val="00DA7AE2"/>
    <w:rsid w:val="00DA7B53"/>
    <w:rsid w:val="00DA7BF0"/>
    <w:rsid w:val="00DA7E68"/>
    <w:rsid w:val="00DA7F15"/>
    <w:rsid w:val="00DB0490"/>
    <w:rsid w:val="00DB0758"/>
    <w:rsid w:val="00DB0951"/>
    <w:rsid w:val="00DB0C4D"/>
    <w:rsid w:val="00DB0C83"/>
    <w:rsid w:val="00DB0E04"/>
    <w:rsid w:val="00DB1074"/>
    <w:rsid w:val="00DB122D"/>
    <w:rsid w:val="00DB142E"/>
    <w:rsid w:val="00DB1497"/>
    <w:rsid w:val="00DB17EC"/>
    <w:rsid w:val="00DB1FB4"/>
    <w:rsid w:val="00DB214C"/>
    <w:rsid w:val="00DB224A"/>
    <w:rsid w:val="00DB23FF"/>
    <w:rsid w:val="00DB258D"/>
    <w:rsid w:val="00DB270B"/>
    <w:rsid w:val="00DB27D3"/>
    <w:rsid w:val="00DB2AC4"/>
    <w:rsid w:val="00DB2B5C"/>
    <w:rsid w:val="00DB2DC6"/>
    <w:rsid w:val="00DB2E28"/>
    <w:rsid w:val="00DB31F0"/>
    <w:rsid w:val="00DB3331"/>
    <w:rsid w:val="00DB33B6"/>
    <w:rsid w:val="00DB367B"/>
    <w:rsid w:val="00DB38DE"/>
    <w:rsid w:val="00DB3ABC"/>
    <w:rsid w:val="00DB3BE1"/>
    <w:rsid w:val="00DB3C68"/>
    <w:rsid w:val="00DB3D76"/>
    <w:rsid w:val="00DB451F"/>
    <w:rsid w:val="00DB45EB"/>
    <w:rsid w:val="00DB47C6"/>
    <w:rsid w:val="00DB483C"/>
    <w:rsid w:val="00DB4869"/>
    <w:rsid w:val="00DB4891"/>
    <w:rsid w:val="00DB513A"/>
    <w:rsid w:val="00DB55E6"/>
    <w:rsid w:val="00DB5640"/>
    <w:rsid w:val="00DB5685"/>
    <w:rsid w:val="00DB5701"/>
    <w:rsid w:val="00DB58AA"/>
    <w:rsid w:val="00DB5901"/>
    <w:rsid w:val="00DB5A51"/>
    <w:rsid w:val="00DB6211"/>
    <w:rsid w:val="00DB6607"/>
    <w:rsid w:val="00DB675A"/>
    <w:rsid w:val="00DB6AB0"/>
    <w:rsid w:val="00DB6BE2"/>
    <w:rsid w:val="00DB6E0C"/>
    <w:rsid w:val="00DB6F46"/>
    <w:rsid w:val="00DB6FA7"/>
    <w:rsid w:val="00DB6FBE"/>
    <w:rsid w:val="00DB73DC"/>
    <w:rsid w:val="00DB75B3"/>
    <w:rsid w:val="00DB76B5"/>
    <w:rsid w:val="00DB76BF"/>
    <w:rsid w:val="00DB77A5"/>
    <w:rsid w:val="00DB799B"/>
    <w:rsid w:val="00DB7A47"/>
    <w:rsid w:val="00DB7AE6"/>
    <w:rsid w:val="00DB7B10"/>
    <w:rsid w:val="00DB7D7D"/>
    <w:rsid w:val="00DB7FFE"/>
    <w:rsid w:val="00DC01CA"/>
    <w:rsid w:val="00DC0351"/>
    <w:rsid w:val="00DC037B"/>
    <w:rsid w:val="00DC03D2"/>
    <w:rsid w:val="00DC06BF"/>
    <w:rsid w:val="00DC0873"/>
    <w:rsid w:val="00DC0C5E"/>
    <w:rsid w:val="00DC0E5F"/>
    <w:rsid w:val="00DC157C"/>
    <w:rsid w:val="00DC1799"/>
    <w:rsid w:val="00DC1F04"/>
    <w:rsid w:val="00DC200D"/>
    <w:rsid w:val="00DC202B"/>
    <w:rsid w:val="00DC213F"/>
    <w:rsid w:val="00DC2170"/>
    <w:rsid w:val="00DC230D"/>
    <w:rsid w:val="00DC251A"/>
    <w:rsid w:val="00DC26A2"/>
    <w:rsid w:val="00DC2773"/>
    <w:rsid w:val="00DC2846"/>
    <w:rsid w:val="00DC28C1"/>
    <w:rsid w:val="00DC2F49"/>
    <w:rsid w:val="00DC36B3"/>
    <w:rsid w:val="00DC3784"/>
    <w:rsid w:val="00DC37CB"/>
    <w:rsid w:val="00DC37CC"/>
    <w:rsid w:val="00DC3A6D"/>
    <w:rsid w:val="00DC3B9A"/>
    <w:rsid w:val="00DC3E8A"/>
    <w:rsid w:val="00DC3E99"/>
    <w:rsid w:val="00DC3F74"/>
    <w:rsid w:val="00DC4311"/>
    <w:rsid w:val="00DC437F"/>
    <w:rsid w:val="00DC43A1"/>
    <w:rsid w:val="00DC43D9"/>
    <w:rsid w:val="00DC4488"/>
    <w:rsid w:val="00DC453F"/>
    <w:rsid w:val="00DC52FB"/>
    <w:rsid w:val="00DC53B1"/>
    <w:rsid w:val="00DC5435"/>
    <w:rsid w:val="00DC5B93"/>
    <w:rsid w:val="00DC5C0B"/>
    <w:rsid w:val="00DC5F85"/>
    <w:rsid w:val="00DC5FAD"/>
    <w:rsid w:val="00DC6276"/>
    <w:rsid w:val="00DC6419"/>
    <w:rsid w:val="00DC6647"/>
    <w:rsid w:val="00DC66FC"/>
    <w:rsid w:val="00DC68E4"/>
    <w:rsid w:val="00DC697C"/>
    <w:rsid w:val="00DC69DC"/>
    <w:rsid w:val="00DC6B5A"/>
    <w:rsid w:val="00DC6C7C"/>
    <w:rsid w:val="00DC6D9B"/>
    <w:rsid w:val="00DC6F48"/>
    <w:rsid w:val="00DC727F"/>
    <w:rsid w:val="00DC739E"/>
    <w:rsid w:val="00DC744E"/>
    <w:rsid w:val="00DC785F"/>
    <w:rsid w:val="00DC7BB8"/>
    <w:rsid w:val="00DC7C65"/>
    <w:rsid w:val="00DC7EFD"/>
    <w:rsid w:val="00DD0021"/>
    <w:rsid w:val="00DD0288"/>
    <w:rsid w:val="00DD0295"/>
    <w:rsid w:val="00DD0361"/>
    <w:rsid w:val="00DD047F"/>
    <w:rsid w:val="00DD0536"/>
    <w:rsid w:val="00DD0570"/>
    <w:rsid w:val="00DD0836"/>
    <w:rsid w:val="00DD0984"/>
    <w:rsid w:val="00DD09F0"/>
    <w:rsid w:val="00DD1192"/>
    <w:rsid w:val="00DD1470"/>
    <w:rsid w:val="00DD1501"/>
    <w:rsid w:val="00DD15A7"/>
    <w:rsid w:val="00DD182C"/>
    <w:rsid w:val="00DD2191"/>
    <w:rsid w:val="00DD241B"/>
    <w:rsid w:val="00DD26C7"/>
    <w:rsid w:val="00DD26E5"/>
    <w:rsid w:val="00DD2A24"/>
    <w:rsid w:val="00DD2B28"/>
    <w:rsid w:val="00DD2C47"/>
    <w:rsid w:val="00DD2C8F"/>
    <w:rsid w:val="00DD2E73"/>
    <w:rsid w:val="00DD2EA8"/>
    <w:rsid w:val="00DD2F0F"/>
    <w:rsid w:val="00DD2FE8"/>
    <w:rsid w:val="00DD3126"/>
    <w:rsid w:val="00DD322A"/>
    <w:rsid w:val="00DD32A6"/>
    <w:rsid w:val="00DD32F2"/>
    <w:rsid w:val="00DD33D9"/>
    <w:rsid w:val="00DD3461"/>
    <w:rsid w:val="00DD371E"/>
    <w:rsid w:val="00DD3804"/>
    <w:rsid w:val="00DD38C7"/>
    <w:rsid w:val="00DD398F"/>
    <w:rsid w:val="00DD3A3F"/>
    <w:rsid w:val="00DD3AFB"/>
    <w:rsid w:val="00DD3B40"/>
    <w:rsid w:val="00DD3C91"/>
    <w:rsid w:val="00DD3D27"/>
    <w:rsid w:val="00DD435A"/>
    <w:rsid w:val="00DD45CA"/>
    <w:rsid w:val="00DD463F"/>
    <w:rsid w:val="00DD465E"/>
    <w:rsid w:val="00DD4958"/>
    <w:rsid w:val="00DD4F04"/>
    <w:rsid w:val="00DD4F17"/>
    <w:rsid w:val="00DD5544"/>
    <w:rsid w:val="00DD557F"/>
    <w:rsid w:val="00DD58C9"/>
    <w:rsid w:val="00DD5C9C"/>
    <w:rsid w:val="00DD5FB7"/>
    <w:rsid w:val="00DD6003"/>
    <w:rsid w:val="00DD6100"/>
    <w:rsid w:val="00DD6797"/>
    <w:rsid w:val="00DD67D1"/>
    <w:rsid w:val="00DD6BE7"/>
    <w:rsid w:val="00DD6E48"/>
    <w:rsid w:val="00DD6EF6"/>
    <w:rsid w:val="00DD6F31"/>
    <w:rsid w:val="00DD6FAB"/>
    <w:rsid w:val="00DD7249"/>
    <w:rsid w:val="00DD77A6"/>
    <w:rsid w:val="00DD783E"/>
    <w:rsid w:val="00DD78C2"/>
    <w:rsid w:val="00DD7B9F"/>
    <w:rsid w:val="00DD7CD1"/>
    <w:rsid w:val="00DD7DBE"/>
    <w:rsid w:val="00DE0027"/>
    <w:rsid w:val="00DE01C3"/>
    <w:rsid w:val="00DE028B"/>
    <w:rsid w:val="00DE068C"/>
    <w:rsid w:val="00DE076F"/>
    <w:rsid w:val="00DE0938"/>
    <w:rsid w:val="00DE0E6E"/>
    <w:rsid w:val="00DE0E7B"/>
    <w:rsid w:val="00DE1279"/>
    <w:rsid w:val="00DE1602"/>
    <w:rsid w:val="00DE1714"/>
    <w:rsid w:val="00DE1AB2"/>
    <w:rsid w:val="00DE1D10"/>
    <w:rsid w:val="00DE1F69"/>
    <w:rsid w:val="00DE2057"/>
    <w:rsid w:val="00DE20C9"/>
    <w:rsid w:val="00DE223F"/>
    <w:rsid w:val="00DE227F"/>
    <w:rsid w:val="00DE22A5"/>
    <w:rsid w:val="00DE24A9"/>
    <w:rsid w:val="00DE269A"/>
    <w:rsid w:val="00DE2825"/>
    <w:rsid w:val="00DE2AE3"/>
    <w:rsid w:val="00DE3067"/>
    <w:rsid w:val="00DE31BB"/>
    <w:rsid w:val="00DE3272"/>
    <w:rsid w:val="00DE33BB"/>
    <w:rsid w:val="00DE3B63"/>
    <w:rsid w:val="00DE3C01"/>
    <w:rsid w:val="00DE3C27"/>
    <w:rsid w:val="00DE3C93"/>
    <w:rsid w:val="00DE432E"/>
    <w:rsid w:val="00DE4347"/>
    <w:rsid w:val="00DE448D"/>
    <w:rsid w:val="00DE453F"/>
    <w:rsid w:val="00DE48C0"/>
    <w:rsid w:val="00DE49AA"/>
    <w:rsid w:val="00DE4FDC"/>
    <w:rsid w:val="00DE4FE3"/>
    <w:rsid w:val="00DE5025"/>
    <w:rsid w:val="00DE5288"/>
    <w:rsid w:val="00DE542A"/>
    <w:rsid w:val="00DE5EBD"/>
    <w:rsid w:val="00DE5ECC"/>
    <w:rsid w:val="00DE6038"/>
    <w:rsid w:val="00DE60D6"/>
    <w:rsid w:val="00DE6330"/>
    <w:rsid w:val="00DE6467"/>
    <w:rsid w:val="00DE673F"/>
    <w:rsid w:val="00DE68FC"/>
    <w:rsid w:val="00DE698F"/>
    <w:rsid w:val="00DE6D9F"/>
    <w:rsid w:val="00DE6E4E"/>
    <w:rsid w:val="00DE7034"/>
    <w:rsid w:val="00DE7343"/>
    <w:rsid w:val="00DE735E"/>
    <w:rsid w:val="00DE7386"/>
    <w:rsid w:val="00DE7814"/>
    <w:rsid w:val="00DE781F"/>
    <w:rsid w:val="00DE7A47"/>
    <w:rsid w:val="00DE7DC3"/>
    <w:rsid w:val="00DE7FCF"/>
    <w:rsid w:val="00DF00DA"/>
    <w:rsid w:val="00DF00E7"/>
    <w:rsid w:val="00DF0401"/>
    <w:rsid w:val="00DF0491"/>
    <w:rsid w:val="00DF058B"/>
    <w:rsid w:val="00DF06A6"/>
    <w:rsid w:val="00DF0803"/>
    <w:rsid w:val="00DF088C"/>
    <w:rsid w:val="00DF09B0"/>
    <w:rsid w:val="00DF0A4D"/>
    <w:rsid w:val="00DF0AA3"/>
    <w:rsid w:val="00DF1037"/>
    <w:rsid w:val="00DF10EE"/>
    <w:rsid w:val="00DF110A"/>
    <w:rsid w:val="00DF115C"/>
    <w:rsid w:val="00DF116A"/>
    <w:rsid w:val="00DF1255"/>
    <w:rsid w:val="00DF1B5F"/>
    <w:rsid w:val="00DF1BCF"/>
    <w:rsid w:val="00DF1C71"/>
    <w:rsid w:val="00DF1FF7"/>
    <w:rsid w:val="00DF21CE"/>
    <w:rsid w:val="00DF22F4"/>
    <w:rsid w:val="00DF2417"/>
    <w:rsid w:val="00DF2648"/>
    <w:rsid w:val="00DF26BF"/>
    <w:rsid w:val="00DF2853"/>
    <w:rsid w:val="00DF288A"/>
    <w:rsid w:val="00DF2B85"/>
    <w:rsid w:val="00DF2F4A"/>
    <w:rsid w:val="00DF30B0"/>
    <w:rsid w:val="00DF3147"/>
    <w:rsid w:val="00DF3192"/>
    <w:rsid w:val="00DF3244"/>
    <w:rsid w:val="00DF32FF"/>
    <w:rsid w:val="00DF36FC"/>
    <w:rsid w:val="00DF375D"/>
    <w:rsid w:val="00DF378F"/>
    <w:rsid w:val="00DF3A24"/>
    <w:rsid w:val="00DF3B5C"/>
    <w:rsid w:val="00DF3C9A"/>
    <w:rsid w:val="00DF3F42"/>
    <w:rsid w:val="00DF403A"/>
    <w:rsid w:val="00DF4106"/>
    <w:rsid w:val="00DF42CB"/>
    <w:rsid w:val="00DF43C9"/>
    <w:rsid w:val="00DF450E"/>
    <w:rsid w:val="00DF4927"/>
    <w:rsid w:val="00DF4B7C"/>
    <w:rsid w:val="00DF4BF0"/>
    <w:rsid w:val="00DF4CAB"/>
    <w:rsid w:val="00DF4CC4"/>
    <w:rsid w:val="00DF531C"/>
    <w:rsid w:val="00DF5437"/>
    <w:rsid w:val="00DF5505"/>
    <w:rsid w:val="00DF5593"/>
    <w:rsid w:val="00DF586C"/>
    <w:rsid w:val="00DF598E"/>
    <w:rsid w:val="00DF5D22"/>
    <w:rsid w:val="00DF632A"/>
    <w:rsid w:val="00DF63CB"/>
    <w:rsid w:val="00DF6732"/>
    <w:rsid w:val="00DF6A05"/>
    <w:rsid w:val="00DF6C59"/>
    <w:rsid w:val="00DF6EA9"/>
    <w:rsid w:val="00DF71DD"/>
    <w:rsid w:val="00DF73A3"/>
    <w:rsid w:val="00DF7473"/>
    <w:rsid w:val="00DF76BD"/>
    <w:rsid w:val="00DF778F"/>
    <w:rsid w:val="00DF7999"/>
    <w:rsid w:val="00DF7C53"/>
    <w:rsid w:val="00DF7CB9"/>
    <w:rsid w:val="00E001BD"/>
    <w:rsid w:val="00E0026D"/>
    <w:rsid w:val="00E00318"/>
    <w:rsid w:val="00E00450"/>
    <w:rsid w:val="00E0052D"/>
    <w:rsid w:val="00E009D4"/>
    <w:rsid w:val="00E009E2"/>
    <w:rsid w:val="00E00A90"/>
    <w:rsid w:val="00E0108E"/>
    <w:rsid w:val="00E012AC"/>
    <w:rsid w:val="00E019AB"/>
    <w:rsid w:val="00E01B8E"/>
    <w:rsid w:val="00E01CB9"/>
    <w:rsid w:val="00E01CFA"/>
    <w:rsid w:val="00E020B3"/>
    <w:rsid w:val="00E02188"/>
    <w:rsid w:val="00E026CD"/>
    <w:rsid w:val="00E027E9"/>
    <w:rsid w:val="00E0284B"/>
    <w:rsid w:val="00E02F46"/>
    <w:rsid w:val="00E02FC7"/>
    <w:rsid w:val="00E036C2"/>
    <w:rsid w:val="00E036E0"/>
    <w:rsid w:val="00E038A5"/>
    <w:rsid w:val="00E03AF2"/>
    <w:rsid w:val="00E03BE6"/>
    <w:rsid w:val="00E03D64"/>
    <w:rsid w:val="00E047D9"/>
    <w:rsid w:val="00E04F1D"/>
    <w:rsid w:val="00E050DF"/>
    <w:rsid w:val="00E051CA"/>
    <w:rsid w:val="00E053D4"/>
    <w:rsid w:val="00E056BA"/>
    <w:rsid w:val="00E0580A"/>
    <w:rsid w:val="00E05980"/>
    <w:rsid w:val="00E05BF6"/>
    <w:rsid w:val="00E05C23"/>
    <w:rsid w:val="00E05DC2"/>
    <w:rsid w:val="00E05EAC"/>
    <w:rsid w:val="00E05EE8"/>
    <w:rsid w:val="00E05FA1"/>
    <w:rsid w:val="00E0604F"/>
    <w:rsid w:val="00E06552"/>
    <w:rsid w:val="00E068B1"/>
    <w:rsid w:val="00E068D0"/>
    <w:rsid w:val="00E06BE1"/>
    <w:rsid w:val="00E06E19"/>
    <w:rsid w:val="00E07149"/>
    <w:rsid w:val="00E0718B"/>
    <w:rsid w:val="00E07530"/>
    <w:rsid w:val="00E0770B"/>
    <w:rsid w:val="00E077F8"/>
    <w:rsid w:val="00E07857"/>
    <w:rsid w:val="00E0787C"/>
    <w:rsid w:val="00E079CC"/>
    <w:rsid w:val="00E07A69"/>
    <w:rsid w:val="00E07E20"/>
    <w:rsid w:val="00E1003B"/>
    <w:rsid w:val="00E1037B"/>
    <w:rsid w:val="00E103C1"/>
    <w:rsid w:val="00E10444"/>
    <w:rsid w:val="00E106DC"/>
    <w:rsid w:val="00E10835"/>
    <w:rsid w:val="00E10992"/>
    <w:rsid w:val="00E10A73"/>
    <w:rsid w:val="00E10AF2"/>
    <w:rsid w:val="00E10CBC"/>
    <w:rsid w:val="00E11066"/>
    <w:rsid w:val="00E110AA"/>
    <w:rsid w:val="00E113D9"/>
    <w:rsid w:val="00E114C5"/>
    <w:rsid w:val="00E115BD"/>
    <w:rsid w:val="00E11654"/>
    <w:rsid w:val="00E1193D"/>
    <w:rsid w:val="00E11C0F"/>
    <w:rsid w:val="00E12098"/>
    <w:rsid w:val="00E12101"/>
    <w:rsid w:val="00E1212E"/>
    <w:rsid w:val="00E12169"/>
    <w:rsid w:val="00E125E8"/>
    <w:rsid w:val="00E126EC"/>
    <w:rsid w:val="00E1286E"/>
    <w:rsid w:val="00E1288A"/>
    <w:rsid w:val="00E128C8"/>
    <w:rsid w:val="00E12A81"/>
    <w:rsid w:val="00E12BDC"/>
    <w:rsid w:val="00E12D86"/>
    <w:rsid w:val="00E12D9E"/>
    <w:rsid w:val="00E1306E"/>
    <w:rsid w:val="00E1307F"/>
    <w:rsid w:val="00E131C8"/>
    <w:rsid w:val="00E13215"/>
    <w:rsid w:val="00E13433"/>
    <w:rsid w:val="00E13476"/>
    <w:rsid w:val="00E135E0"/>
    <w:rsid w:val="00E1390C"/>
    <w:rsid w:val="00E13A4B"/>
    <w:rsid w:val="00E13B58"/>
    <w:rsid w:val="00E13C4E"/>
    <w:rsid w:val="00E13D5A"/>
    <w:rsid w:val="00E13DCF"/>
    <w:rsid w:val="00E13E81"/>
    <w:rsid w:val="00E141F2"/>
    <w:rsid w:val="00E1436B"/>
    <w:rsid w:val="00E145BA"/>
    <w:rsid w:val="00E145C7"/>
    <w:rsid w:val="00E145FF"/>
    <w:rsid w:val="00E14697"/>
    <w:rsid w:val="00E1477E"/>
    <w:rsid w:val="00E14DA0"/>
    <w:rsid w:val="00E14E81"/>
    <w:rsid w:val="00E14FEE"/>
    <w:rsid w:val="00E1502C"/>
    <w:rsid w:val="00E15493"/>
    <w:rsid w:val="00E154E8"/>
    <w:rsid w:val="00E156BE"/>
    <w:rsid w:val="00E1589B"/>
    <w:rsid w:val="00E15C31"/>
    <w:rsid w:val="00E15C90"/>
    <w:rsid w:val="00E161BE"/>
    <w:rsid w:val="00E1679D"/>
    <w:rsid w:val="00E168ED"/>
    <w:rsid w:val="00E16B36"/>
    <w:rsid w:val="00E16E4A"/>
    <w:rsid w:val="00E173F2"/>
    <w:rsid w:val="00E17515"/>
    <w:rsid w:val="00E176E4"/>
    <w:rsid w:val="00E177C7"/>
    <w:rsid w:val="00E17C84"/>
    <w:rsid w:val="00E17CE7"/>
    <w:rsid w:val="00E17E7A"/>
    <w:rsid w:val="00E17E8A"/>
    <w:rsid w:val="00E1BD72"/>
    <w:rsid w:val="00E2011F"/>
    <w:rsid w:val="00E201DB"/>
    <w:rsid w:val="00E2097F"/>
    <w:rsid w:val="00E20CD4"/>
    <w:rsid w:val="00E20D1D"/>
    <w:rsid w:val="00E20E70"/>
    <w:rsid w:val="00E20F64"/>
    <w:rsid w:val="00E20FA2"/>
    <w:rsid w:val="00E2174C"/>
    <w:rsid w:val="00E219F6"/>
    <w:rsid w:val="00E21D2A"/>
    <w:rsid w:val="00E2223C"/>
    <w:rsid w:val="00E223CF"/>
    <w:rsid w:val="00E225D2"/>
    <w:rsid w:val="00E22A4F"/>
    <w:rsid w:val="00E22C63"/>
    <w:rsid w:val="00E22C90"/>
    <w:rsid w:val="00E22DFD"/>
    <w:rsid w:val="00E22F5F"/>
    <w:rsid w:val="00E22FB9"/>
    <w:rsid w:val="00E2383A"/>
    <w:rsid w:val="00E238FB"/>
    <w:rsid w:val="00E23948"/>
    <w:rsid w:val="00E2394E"/>
    <w:rsid w:val="00E239F4"/>
    <w:rsid w:val="00E23A56"/>
    <w:rsid w:val="00E23F36"/>
    <w:rsid w:val="00E242AC"/>
    <w:rsid w:val="00E24446"/>
    <w:rsid w:val="00E2444F"/>
    <w:rsid w:val="00E248E6"/>
    <w:rsid w:val="00E24C75"/>
    <w:rsid w:val="00E2503E"/>
    <w:rsid w:val="00E25D2F"/>
    <w:rsid w:val="00E25F06"/>
    <w:rsid w:val="00E25F5F"/>
    <w:rsid w:val="00E2672F"/>
    <w:rsid w:val="00E270D5"/>
    <w:rsid w:val="00E2729A"/>
    <w:rsid w:val="00E2730D"/>
    <w:rsid w:val="00E2763B"/>
    <w:rsid w:val="00E27730"/>
    <w:rsid w:val="00E277F1"/>
    <w:rsid w:val="00E278F6"/>
    <w:rsid w:val="00E27B70"/>
    <w:rsid w:val="00E27C37"/>
    <w:rsid w:val="00E27C98"/>
    <w:rsid w:val="00E27F8E"/>
    <w:rsid w:val="00E2F783"/>
    <w:rsid w:val="00E303C0"/>
    <w:rsid w:val="00E304D8"/>
    <w:rsid w:val="00E30657"/>
    <w:rsid w:val="00E30DA2"/>
    <w:rsid w:val="00E3111D"/>
    <w:rsid w:val="00E313A1"/>
    <w:rsid w:val="00E314CC"/>
    <w:rsid w:val="00E31875"/>
    <w:rsid w:val="00E318E3"/>
    <w:rsid w:val="00E31E20"/>
    <w:rsid w:val="00E31E44"/>
    <w:rsid w:val="00E32094"/>
    <w:rsid w:val="00E320E4"/>
    <w:rsid w:val="00E32598"/>
    <w:rsid w:val="00E328BE"/>
    <w:rsid w:val="00E32BA2"/>
    <w:rsid w:val="00E32BB2"/>
    <w:rsid w:val="00E32C34"/>
    <w:rsid w:val="00E32DC2"/>
    <w:rsid w:val="00E32FDB"/>
    <w:rsid w:val="00E332C2"/>
    <w:rsid w:val="00E333F1"/>
    <w:rsid w:val="00E3363F"/>
    <w:rsid w:val="00E33711"/>
    <w:rsid w:val="00E33AF0"/>
    <w:rsid w:val="00E33D15"/>
    <w:rsid w:val="00E33E85"/>
    <w:rsid w:val="00E340DF"/>
    <w:rsid w:val="00E34266"/>
    <w:rsid w:val="00E3439C"/>
    <w:rsid w:val="00E3488E"/>
    <w:rsid w:val="00E34BBF"/>
    <w:rsid w:val="00E34D23"/>
    <w:rsid w:val="00E3511E"/>
    <w:rsid w:val="00E35184"/>
    <w:rsid w:val="00E351E9"/>
    <w:rsid w:val="00E3544B"/>
    <w:rsid w:val="00E358EC"/>
    <w:rsid w:val="00E35973"/>
    <w:rsid w:val="00E35995"/>
    <w:rsid w:val="00E35D2B"/>
    <w:rsid w:val="00E35E05"/>
    <w:rsid w:val="00E35E5F"/>
    <w:rsid w:val="00E360A7"/>
    <w:rsid w:val="00E362E9"/>
    <w:rsid w:val="00E364AF"/>
    <w:rsid w:val="00E367F0"/>
    <w:rsid w:val="00E368A0"/>
    <w:rsid w:val="00E368B2"/>
    <w:rsid w:val="00E370A3"/>
    <w:rsid w:val="00E373E4"/>
    <w:rsid w:val="00E37588"/>
    <w:rsid w:val="00E377F3"/>
    <w:rsid w:val="00E37BA0"/>
    <w:rsid w:val="00E37CE9"/>
    <w:rsid w:val="00E4016E"/>
    <w:rsid w:val="00E4017D"/>
    <w:rsid w:val="00E406F6"/>
    <w:rsid w:val="00E40739"/>
    <w:rsid w:val="00E40762"/>
    <w:rsid w:val="00E40E07"/>
    <w:rsid w:val="00E411B8"/>
    <w:rsid w:val="00E4143E"/>
    <w:rsid w:val="00E414BB"/>
    <w:rsid w:val="00E41D79"/>
    <w:rsid w:val="00E41DA5"/>
    <w:rsid w:val="00E41F42"/>
    <w:rsid w:val="00E42120"/>
    <w:rsid w:val="00E4245A"/>
    <w:rsid w:val="00E42493"/>
    <w:rsid w:val="00E424EF"/>
    <w:rsid w:val="00E42512"/>
    <w:rsid w:val="00E42669"/>
    <w:rsid w:val="00E428BF"/>
    <w:rsid w:val="00E4295B"/>
    <w:rsid w:val="00E42C20"/>
    <w:rsid w:val="00E42D63"/>
    <w:rsid w:val="00E42D8C"/>
    <w:rsid w:val="00E42FAF"/>
    <w:rsid w:val="00E4337D"/>
    <w:rsid w:val="00E43578"/>
    <w:rsid w:val="00E438AA"/>
    <w:rsid w:val="00E43900"/>
    <w:rsid w:val="00E43C1F"/>
    <w:rsid w:val="00E43CA9"/>
    <w:rsid w:val="00E43DC1"/>
    <w:rsid w:val="00E43EA9"/>
    <w:rsid w:val="00E4451F"/>
    <w:rsid w:val="00E44876"/>
    <w:rsid w:val="00E44AD1"/>
    <w:rsid w:val="00E44BB6"/>
    <w:rsid w:val="00E44F1E"/>
    <w:rsid w:val="00E45005"/>
    <w:rsid w:val="00E456AD"/>
    <w:rsid w:val="00E45774"/>
    <w:rsid w:val="00E45B22"/>
    <w:rsid w:val="00E45B2D"/>
    <w:rsid w:val="00E468B0"/>
    <w:rsid w:val="00E46930"/>
    <w:rsid w:val="00E46A7F"/>
    <w:rsid w:val="00E46B33"/>
    <w:rsid w:val="00E46C83"/>
    <w:rsid w:val="00E46E40"/>
    <w:rsid w:val="00E47072"/>
    <w:rsid w:val="00E470EB"/>
    <w:rsid w:val="00E473F3"/>
    <w:rsid w:val="00E47442"/>
    <w:rsid w:val="00E476FE"/>
    <w:rsid w:val="00E47817"/>
    <w:rsid w:val="00E47A8E"/>
    <w:rsid w:val="00E47F08"/>
    <w:rsid w:val="00E47F12"/>
    <w:rsid w:val="00E4A5A4"/>
    <w:rsid w:val="00E5049F"/>
    <w:rsid w:val="00E5061B"/>
    <w:rsid w:val="00E50BAC"/>
    <w:rsid w:val="00E50E01"/>
    <w:rsid w:val="00E50F50"/>
    <w:rsid w:val="00E5102B"/>
    <w:rsid w:val="00E517A2"/>
    <w:rsid w:val="00E518E3"/>
    <w:rsid w:val="00E5194D"/>
    <w:rsid w:val="00E51BB7"/>
    <w:rsid w:val="00E521B8"/>
    <w:rsid w:val="00E52283"/>
    <w:rsid w:val="00E52314"/>
    <w:rsid w:val="00E52446"/>
    <w:rsid w:val="00E525C2"/>
    <w:rsid w:val="00E52636"/>
    <w:rsid w:val="00E52781"/>
    <w:rsid w:val="00E52834"/>
    <w:rsid w:val="00E52B7F"/>
    <w:rsid w:val="00E52D6A"/>
    <w:rsid w:val="00E52DAC"/>
    <w:rsid w:val="00E52DCF"/>
    <w:rsid w:val="00E531AF"/>
    <w:rsid w:val="00E533C0"/>
    <w:rsid w:val="00E53456"/>
    <w:rsid w:val="00E53AA1"/>
    <w:rsid w:val="00E53D98"/>
    <w:rsid w:val="00E53E5B"/>
    <w:rsid w:val="00E540B1"/>
    <w:rsid w:val="00E540CE"/>
    <w:rsid w:val="00E5422B"/>
    <w:rsid w:val="00E542F5"/>
    <w:rsid w:val="00E54314"/>
    <w:rsid w:val="00E5439D"/>
    <w:rsid w:val="00E544C0"/>
    <w:rsid w:val="00E544E8"/>
    <w:rsid w:val="00E54654"/>
    <w:rsid w:val="00E54754"/>
    <w:rsid w:val="00E54E16"/>
    <w:rsid w:val="00E54E7D"/>
    <w:rsid w:val="00E55072"/>
    <w:rsid w:val="00E55095"/>
    <w:rsid w:val="00E552A6"/>
    <w:rsid w:val="00E552DD"/>
    <w:rsid w:val="00E5542D"/>
    <w:rsid w:val="00E554A0"/>
    <w:rsid w:val="00E55FA8"/>
    <w:rsid w:val="00E560A6"/>
    <w:rsid w:val="00E560B5"/>
    <w:rsid w:val="00E565BA"/>
    <w:rsid w:val="00E56729"/>
    <w:rsid w:val="00E56742"/>
    <w:rsid w:val="00E569C3"/>
    <w:rsid w:val="00E56A4D"/>
    <w:rsid w:val="00E56D4E"/>
    <w:rsid w:val="00E56D8A"/>
    <w:rsid w:val="00E56E03"/>
    <w:rsid w:val="00E56EB2"/>
    <w:rsid w:val="00E56FB3"/>
    <w:rsid w:val="00E570D0"/>
    <w:rsid w:val="00E57481"/>
    <w:rsid w:val="00E574BC"/>
    <w:rsid w:val="00E578C8"/>
    <w:rsid w:val="00E57C39"/>
    <w:rsid w:val="00E60278"/>
    <w:rsid w:val="00E6029F"/>
    <w:rsid w:val="00E602FF"/>
    <w:rsid w:val="00E60361"/>
    <w:rsid w:val="00E6059A"/>
    <w:rsid w:val="00E60780"/>
    <w:rsid w:val="00E607E2"/>
    <w:rsid w:val="00E6082B"/>
    <w:rsid w:val="00E608DB"/>
    <w:rsid w:val="00E60DA9"/>
    <w:rsid w:val="00E60F23"/>
    <w:rsid w:val="00E60F2B"/>
    <w:rsid w:val="00E60F41"/>
    <w:rsid w:val="00E610AD"/>
    <w:rsid w:val="00E61198"/>
    <w:rsid w:val="00E61508"/>
    <w:rsid w:val="00E61521"/>
    <w:rsid w:val="00E6160B"/>
    <w:rsid w:val="00E61612"/>
    <w:rsid w:val="00E61732"/>
    <w:rsid w:val="00E618F7"/>
    <w:rsid w:val="00E61A9F"/>
    <w:rsid w:val="00E61AA8"/>
    <w:rsid w:val="00E61B52"/>
    <w:rsid w:val="00E61EC7"/>
    <w:rsid w:val="00E62051"/>
    <w:rsid w:val="00E62275"/>
    <w:rsid w:val="00E623FF"/>
    <w:rsid w:val="00E62463"/>
    <w:rsid w:val="00E6274E"/>
    <w:rsid w:val="00E62BC8"/>
    <w:rsid w:val="00E62D64"/>
    <w:rsid w:val="00E63062"/>
    <w:rsid w:val="00E631C5"/>
    <w:rsid w:val="00E63294"/>
    <w:rsid w:val="00E636D7"/>
    <w:rsid w:val="00E63CCB"/>
    <w:rsid w:val="00E63D68"/>
    <w:rsid w:val="00E640AE"/>
    <w:rsid w:val="00E6415F"/>
    <w:rsid w:val="00E643EF"/>
    <w:rsid w:val="00E64AD7"/>
    <w:rsid w:val="00E650EF"/>
    <w:rsid w:val="00E65674"/>
    <w:rsid w:val="00E6575E"/>
    <w:rsid w:val="00E658C0"/>
    <w:rsid w:val="00E65B1C"/>
    <w:rsid w:val="00E65C0E"/>
    <w:rsid w:val="00E66284"/>
    <w:rsid w:val="00E667CD"/>
    <w:rsid w:val="00E66AE7"/>
    <w:rsid w:val="00E66D11"/>
    <w:rsid w:val="00E66D15"/>
    <w:rsid w:val="00E66DD1"/>
    <w:rsid w:val="00E67104"/>
    <w:rsid w:val="00E675C5"/>
    <w:rsid w:val="00E67730"/>
    <w:rsid w:val="00E67845"/>
    <w:rsid w:val="00E67979"/>
    <w:rsid w:val="00E67A1B"/>
    <w:rsid w:val="00E67A3B"/>
    <w:rsid w:val="00E67ABB"/>
    <w:rsid w:val="00E67AF6"/>
    <w:rsid w:val="00E67C68"/>
    <w:rsid w:val="00E67CF6"/>
    <w:rsid w:val="00E67D08"/>
    <w:rsid w:val="00E67D1F"/>
    <w:rsid w:val="00E701CE"/>
    <w:rsid w:val="00E702E7"/>
    <w:rsid w:val="00E70460"/>
    <w:rsid w:val="00E7061E"/>
    <w:rsid w:val="00E708AE"/>
    <w:rsid w:val="00E708C0"/>
    <w:rsid w:val="00E708DF"/>
    <w:rsid w:val="00E70920"/>
    <w:rsid w:val="00E70A07"/>
    <w:rsid w:val="00E70FAF"/>
    <w:rsid w:val="00E71127"/>
    <w:rsid w:val="00E711A2"/>
    <w:rsid w:val="00E715AC"/>
    <w:rsid w:val="00E7197A"/>
    <w:rsid w:val="00E71AAF"/>
    <w:rsid w:val="00E71ABA"/>
    <w:rsid w:val="00E71B1C"/>
    <w:rsid w:val="00E71EAD"/>
    <w:rsid w:val="00E71EBC"/>
    <w:rsid w:val="00E720AA"/>
    <w:rsid w:val="00E7213B"/>
    <w:rsid w:val="00E725CD"/>
    <w:rsid w:val="00E72613"/>
    <w:rsid w:val="00E727C2"/>
    <w:rsid w:val="00E72920"/>
    <w:rsid w:val="00E72D55"/>
    <w:rsid w:val="00E72F3B"/>
    <w:rsid w:val="00E72F94"/>
    <w:rsid w:val="00E7322B"/>
    <w:rsid w:val="00E7358A"/>
    <w:rsid w:val="00E735C8"/>
    <w:rsid w:val="00E735CB"/>
    <w:rsid w:val="00E73748"/>
    <w:rsid w:val="00E73834"/>
    <w:rsid w:val="00E73A0F"/>
    <w:rsid w:val="00E73A82"/>
    <w:rsid w:val="00E73C0C"/>
    <w:rsid w:val="00E73C9E"/>
    <w:rsid w:val="00E73E8E"/>
    <w:rsid w:val="00E73EAD"/>
    <w:rsid w:val="00E73F8E"/>
    <w:rsid w:val="00E74062"/>
    <w:rsid w:val="00E7434A"/>
    <w:rsid w:val="00E745E1"/>
    <w:rsid w:val="00E74731"/>
    <w:rsid w:val="00E74772"/>
    <w:rsid w:val="00E748E3"/>
    <w:rsid w:val="00E74B36"/>
    <w:rsid w:val="00E74DFB"/>
    <w:rsid w:val="00E74FE5"/>
    <w:rsid w:val="00E75276"/>
    <w:rsid w:val="00E75406"/>
    <w:rsid w:val="00E7567A"/>
    <w:rsid w:val="00E7579A"/>
    <w:rsid w:val="00E7581E"/>
    <w:rsid w:val="00E759C7"/>
    <w:rsid w:val="00E75A03"/>
    <w:rsid w:val="00E75A40"/>
    <w:rsid w:val="00E75A91"/>
    <w:rsid w:val="00E75AC3"/>
    <w:rsid w:val="00E75CA1"/>
    <w:rsid w:val="00E75EC8"/>
    <w:rsid w:val="00E76177"/>
    <w:rsid w:val="00E7656D"/>
    <w:rsid w:val="00E7659E"/>
    <w:rsid w:val="00E765B4"/>
    <w:rsid w:val="00E766AA"/>
    <w:rsid w:val="00E7683A"/>
    <w:rsid w:val="00E7689F"/>
    <w:rsid w:val="00E76D27"/>
    <w:rsid w:val="00E76DBB"/>
    <w:rsid w:val="00E76EA4"/>
    <w:rsid w:val="00E76FA6"/>
    <w:rsid w:val="00E76FC9"/>
    <w:rsid w:val="00E772BB"/>
    <w:rsid w:val="00E77304"/>
    <w:rsid w:val="00E7787B"/>
    <w:rsid w:val="00E77936"/>
    <w:rsid w:val="00E802EB"/>
    <w:rsid w:val="00E80452"/>
    <w:rsid w:val="00E8077B"/>
    <w:rsid w:val="00E807F4"/>
    <w:rsid w:val="00E808B7"/>
    <w:rsid w:val="00E809A5"/>
    <w:rsid w:val="00E80BA5"/>
    <w:rsid w:val="00E80D26"/>
    <w:rsid w:val="00E8115E"/>
    <w:rsid w:val="00E81251"/>
    <w:rsid w:val="00E814AB"/>
    <w:rsid w:val="00E814DC"/>
    <w:rsid w:val="00E819E9"/>
    <w:rsid w:val="00E81BD6"/>
    <w:rsid w:val="00E81CE6"/>
    <w:rsid w:val="00E82367"/>
    <w:rsid w:val="00E82480"/>
    <w:rsid w:val="00E82495"/>
    <w:rsid w:val="00E824FF"/>
    <w:rsid w:val="00E8258F"/>
    <w:rsid w:val="00E82742"/>
    <w:rsid w:val="00E82FDE"/>
    <w:rsid w:val="00E83015"/>
    <w:rsid w:val="00E83647"/>
    <w:rsid w:val="00E836EC"/>
    <w:rsid w:val="00E8394E"/>
    <w:rsid w:val="00E8410D"/>
    <w:rsid w:val="00E84455"/>
    <w:rsid w:val="00E844ED"/>
    <w:rsid w:val="00E84599"/>
    <w:rsid w:val="00E845E5"/>
    <w:rsid w:val="00E847C2"/>
    <w:rsid w:val="00E8492C"/>
    <w:rsid w:val="00E84E11"/>
    <w:rsid w:val="00E852C9"/>
    <w:rsid w:val="00E8531A"/>
    <w:rsid w:val="00E855FC"/>
    <w:rsid w:val="00E85614"/>
    <w:rsid w:val="00E85733"/>
    <w:rsid w:val="00E85736"/>
    <w:rsid w:val="00E85976"/>
    <w:rsid w:val="00E85AAD"/>
    <w:rsid w:val="00E85C3F"/>
    <w:rsid w:val="00E85CE6"/>
    <w:rsid w:val="00E86010"/>
    <w:rsid w:val="00E8633C"/>
    <w:rsid w:val="00E86511"/>
    <w:rsid w:val="00E86971"/>
    <w:rsid w:val="00E86999"/>
    <w:rsid w:val="00E86A67"/>
    <w:rsid w:val="00E86A6C"/>
    <w:rsid w:val="00E86B87"/>
    <w:rsid w:val="00E86CB2"/>
    <w:rsid w:val="00E86DB9"/>
    <w:rsid w:val="00E86E88"/>
    <w:rsid w:val="00E872C4"/>
    <w:rsid w:val="00E87436"/>
    <w:rsid w:val="00E875A1"/>
    <w:rsid w:val="00E8760D"/>
    <w:rsid w:val="00E87675"/>
    <w:rsid w:val="00E876F2"/>
    <w:rsid w:val="00E87790"/>
    <w:rsid w:val="00E87CF4"/>
    <w:rsid w:val="00E87DD9"/>
    <w:rsid w:val="00E87F51"/>
    <w:rsid w:val="00E87F61"/>
    <w:rsid w:val="00E90254"/>
    <w:rsid w:val="00E902BA"/>
    <w:rsid w:val="00E9072E"/>
    <w:rsid w:val="00E90762"/>
    <w:rsid w:val="00E907A8"/>
    <w:rsid w:val="00E90A72"/>
    <w:rsid w:val="00E90B4B"/>
    <w:rsid w:val="00E90E08"/>
    <w:rsid w:val="00E91055"/>
    <w:rsid w:val="00E9133B"/>
    <w:rsid w:val="00E91517"/>
    <w:rsid w:val="00E9163C"/>
    <w:rsid w:val="00E916F4"/>
    <w:rsid w:val="00E9188E"/>
    <w:rsid w:val="00E91B03"/>
    <w:rsid w:val="00E91CDA"/>
    <w:rsid w:val="00E91E7B"/>
    <w:rsid w:val="00E91E90"/>
    <w:rsid w:val="00E91F0F"/>
    <w:rsid w:val="00E9213D"/>
    <w:rsid w:val="00E9230B"/>
    <w:rsid w:val="00E923C9"/>
    <w:rsid w:val="00E923D3"/>
    <w:rsid w:val="00E9284B"/>
    <w:rsid w:val="00E929CD"/>
    <w:rsid w:val="00E92A74"/>
    <w:rsid w:val="00E92ACD"/>
    <w:rsid w:val="00E92B95"/>
    <w:rsid w:val="00E92D30"/>
    <w:rsid w:val="00E92DAA"/>
    <w:rsid w:val="00E92DC1"/>
    <w:rsid w:val="00E93020"/>
    <w:rsid w:val="00E93445"/>
    <w:rsid w:val="00E934AC"/>
    <w:rsid w:val="00E9363D"/>
    <w:rsid w:val="00E936E1"/>
    <w:rsid w:val="00E93748"/>
    <w:rsid w:val="00E93968"/>
    <w:rsid w:val="00E93A69"/>
    <w:rsid w:val="00E93B50"/>
    <w:rsid w:val="00E93B58"/>
    <w:rsid w:val="00E93BE2"/>
    <w:rsid w:val="00E93E59"/>
    <w:rsid w:val="00E93E70"/>
    <w:rsid w:val="00E93FB3"/>
    <w:rsid w:val="00E94067"/>
    <w:rsid w:val="00E94481"/>
    <w:rsid w:val="00E944B2"/>
    <w:rsid w:val="00E946D9"/>
    <w:rsid w:val="00E94703"/>
    <w:rsid w:val="00E949B4"/>
    <w:rsid w:val="00E949CE"/>
    <w:rsid w:val="00E94ABD"/>
    <w:rsid w:val="00E94B02"/>
    <w:rsid w:val="00E94C15"/>
    <w:rsid w:val="00E94D0B"/>
    <w:rsid w:val="00E94E42"/>
    <w:rsid w:val="00E954F3"/>
    <w:rsid w:val="00E95614"/>
    <w:rsid w:val="00E9577A"/>
    <w:rsid w:val="00E958B0"/>
    <w:rsid w:val="00E95B58"/>
    <w:rsid w:val="00E95C99"/>
    <w:rsid w:val="00E95CFB"/>
    <w:rsid w:val="00E95E07"/>
    <w:rsid w:val="00E95E3F"/>
    <w:rsid w:val="00E95E4E"/>
    <w:rsid w:val="00E95F42"/>
    <w:rsid w:val="00E95FC1"/>
    <w:rsid w:val="00E961CD"/>
    <w:rsid w:val="00E96279"/>
    <w:rsid w:val="00E9665E"/>
    <w:rsid w:val="00E9666C"/>
    <w:rsid w:val="00E9668E"/>
    <w:rsid w:val="00E966A7"/>
    <w:rsid w:val="00E966C2"/>
    <w:rsid w:val="00E96704"/>
    <w:rsid w:val="00E96898"/>
    <w:rsid w:val="00E96D01"/>
    <w:rsid w:val="00E96F84"/>
    <w:rsid w:val="00E9765A"/>
    <w:rsid w:val="00E97756"/>
    <w:rsid w:val="00E97775"/>
    <w:rsid w:val="00E9781E"/>
    <w:rsid w:val="00E97858"/>
    <w:rsid w:val="00E9786A"/>
    <w:rsid w:val="00E97A4E"/>
    <w:rsid w:val="00E97A90"/>
    <w:rsid w:val="00E97B38"/>
    <w:rsid w:val="00E97C35"/>
    <w:rsid w:val="00E97C45"/>
    <w:rsid w:val="00EA001D"/>
    <w:rsid w:val="00EA04D8"/>
    <w:rsid w:val="00EA057B"/>
    <w:rsid w:val="00EA065F"/>
    <w:rsid w:val="00EA072E"/>
    <w:rsid w:val="00EA0765"/>
    <w:rsid w:val="00EA0C9E"/>
    <w:rsid w:val="00EA0D1C"/>
    <w:rsid w:val="00EA0F7C"/>
    <w:rsid w:val="00EA1097"/>
    <w:rsid w:val="00EA15A2"/>
    <w:rsid w:val="00EA1803"/>
    <w:rsid w:val="00EA18FC"/>
    <w:rsid w:val="00EA1BF9"/>
    <w:rsid w:val="00EA2160"/>
    <w:rsid w:val="00EA2752"/>
    <w:rsid w:val="00EA28B8"/>
    <w:rsid w:val="00EA2B97"/>
    <w:rsid w:val="00EA2BBD"/>
    <w:rsid w:val="00EA2CE5"/>
    <w:rsid w:val="00EA2DDD"/>
    <w:rsid w:val="00EA2E21"/>
    <w:rsid w:val="00EA2E8A"/>
    <w:rsid w:val="00EA2EC1"/>
    <w:rsid w:val="00EA2F01"/>
    <w:rsid w:val="00EA2FFB"/>
    <w:rsid w:val="00EA3012"/>
    <w:rsid w:val="00EA3321"/>
    <w:rsid w:val="00EA350E"/>
    <w:rsid w:val="00EA3A2F"/>
    <w:rsid w:val="00EA3D02"/>
    <w:rsid w:val="00EA3D2F"/>
    <w:rsid w:val="00EA3D84"/>
    <w:rsid w:val="00EA4149"/>
    <w:rsid w:val="00EA440F"/>
    <w:rsid w:val="00EA44A0"/>
    <w:rsid w:val="00EA45BB"/>
    <w:rsid w:val="00EA47F9"/>
    <w:rsid w:val="00EA491D"/>
    <w:rsid w:val="00EA4979"/>
    <w:rsid w:val="00EA4997"/>
    <w:rsid w:val="00EA5169"/>
    <w:rsid w:val="00EA5325"/>
    <w:rsid w:val="00EA54D1"/>
    <w:rsid w:val="00EA5A5D"/>
    <w:rsid w:val="00EA5AEF"/>
    <w:rsid w:val="00EA5BCF"/>
    <w:rsid w:val="00EA5C31"/>
    <w:rsid w:val="00EA5D0C"/>
    <w:rsid w:val="00EA60D3"/>
    <w:rsid w:val="00EA63C6"/>
    <w:rsid w:val="00EA6610"/>
    <w:rsid w:val="00EA66E8"/>
    <w:rsid w:val="00EA6762"/>
    <w:rsid w:val="00EA7205"/>
    <w:rsid w:val="00EA725B"/>
    <w:rsid w:val="00EA7856"/>
    <w:rsid w:val="00EA78D5"/>
    <w:rsid w:val="00EA7B27"/>
    <w:rsid w:val="00EB01B0"/>
    <w:rsid w:val="00EB0324"/>
    <w:rsid w:val="00EB0504"/>
    <w:rsid w:val="00EB0737"/>
    <w:rsid w:val="00EB07B1"/>
    <w:rsid w:val="00EB0DC0"/>
    <w:rsid w:val="00EB0ED2"/>
    <w:rsid w:val="00EB1177"/>
    <w:rsid w:val="00EB1225"/>
    <w:rsid w:val="00EB1336"/>
    <w:rsid w:val="00EB14D6"/>
    <w:rsid w:val="00EB151A"/>
    <w:rsid w:val="00EB1B4C"/>
    <w:rsid w:val="00EB1CC7"/>
    <w:rsid w:val="00EB1FD2"/>
    <w:rsid w:val="00EB21DB"/>
    <w:rsid w:val="00EB28A7"/>
    <w:rsid w:val="00EB2930"/>
    <w:rsid w:val="00EB2968"/>
    <w:rsid w:val="00EB2AB2"/>
    <w:rsid w:val="00EB3094"/>
    <w:rsid w:val="00EB33CC"/>
    <w:rsid w:val="00EB37BF"/>
    <w:rsid w:val="00EB39BA"/>
    <w:rsid w:val="00EB39EF"/>
    <w:rsid w:val="00EB3A06"/>
    <w:rsid w:val="00EB3A82"/>
    <w:rsid w:val="00EB3ADD"/>
    <w:rsid w:val="00EB3DA9"/>
    <w:rsid w:val="00EB3E83"/>
    <w:rsid w:val="00EB42E0"/>
    <w:rsid w:val="00EB4361"/>
    <w:rsid w:val="00EB4F01"/>
    <w:rsid w:val="00EB4F51"/>
    <w:rsid w:val="00EB5439"/>
    <w:rsid w:val="00EB5563"/>
    <w:rsid w:val="00EB57FC"/>
    <w:rsid w:val="00EB5B82"/>
    <w:rsid w:val="00EB5C30"/>
    <w:rsid w:val="00EB5D30"/>
    <w:rsid w:val="00EB5FFC"/>
    <w:rsid w:val="00EB6007"/>
    <w:rsid w:val="00EB61CE"/>
    <w:rsid w:val="00EB6482"/>
    <w:rsid w:val="00EB64E4"/>
    <w:rsid w:val="00EB6B03"/>
    <w:rsid w:val="00EB6BBE"/>
    <w:rsid w:val="00EB6C94"/>
    <w:rsid w:val="00EB6DD9"/>
    <w:rsid w:val="00EB6E8E"/>
    <w:rsid w:val="00EB6FC0"/>
    <w:rsid w:val="00EB715C"/>
    <w:rsid w:val="00EB7198"/>
    <w:rsid w:val="00EB736C"/>
    <w:rsid w:val="00EB7534"/>
    <w:rsid w:val="00EB77A4"/>
    <w:rsid w:val="00EB78CD"/>
    <w:rsid w:val="00EB7A6E"/>
    <w:rsid w:val="00EB7CC1"/>
    <w:rsid w:val="00EB7DAF"/>
    <w:rsid w:val="00EB7E00"/>
    <w:rsid w:val="00EB7E64"/>
    <w:rsid w:val="00EB7FE4"/>
    <w:rsid w:val="00EC00B7"/>
    <w:rsid w:val="00EC00E7"/>
    <w:rsid w:val="00EC01B9"/>
    <w:rsid w:val="00EC01FB"/>
    <w:rsid w:val="00EC0CB4"/>
    <w:rsid w:val="00EC0D39"/>
    <w:rsid w:val="00EC0F7E"/>
    <w:rsid w:val="00EC1045"/>
    <w:rsid w:val="00EC10EC"/>
    <w:rsid w:val="00EC116E"/>
    <w:rsid w:val="00EC1267"/>
    <w:rsid w:val="00EC1486"/>
    <w:rsid w:val="00EC16D3"/>
    <w:rsid w:val="00EC1728"/>
    <w:rsid w:val="00EC17F6"/>
    <w:rsid w:val="00EC180B"/>
    <w:rsid w:val="00EC18EB"/>
    <w:rsid w:val="00EC1B08"/>
    <w:rsid w:val="00EC1C30"/>
    <w:rsid w:val="00EC20F1"/>
    <w:rsid w:val="00EC2112"/>
    <w:rsid w:val="00EC2619"/>
    <w:rsid w:val="00EC282C"/>
    <w:rsid w:val="00EC2997"/>
    <w:rsid w:val="00EC2BB8"/>
    <w:rsid w:val="00EC2C7E"/>
    <w:rsid w:val="00EC2CF1"/>
    <w:rsid w:val="00EC2E38"/>
    <w:rsid w:val="00EC2EE3"/>
    <w:rsid w:val="00EC3138"/>
    <w:rsid w:val="00EC31F3"/>
    <w:rsid w:val="00EC3200"/>
    <w:rsid w:val="00EC3462"/>
    <w:rsid w:val="00EC34DE"/>
    <w:rsid w:val="00EC36A7"/>
    <w:rsid w:val="00EC3726"/>
    <w:rsid w:val="00EC379A"/>
    <w:rsid w:val="00EC38A1"/>
    <w:rsid w:val="00EC3D10"/>
    <w:rsid w:val="00EC44AC"/>
    <w:rsid w:val="00EC467C"/>
    <w:rsid w:val="00EC46A3"/>
    <w:rsid w:val="00EC4801"/>
    <w:rsid w:val="00EC484A"/>
    <w:rsid w:val="00EC4961"/>
    <w:rsid w:val="00EC4A11"/>
    <w:rsid w:val="00EC4BDA"/>
    <w:rsid w:val="00EC4C15"/>
    <w:rsid w:val="00EC4D57"/>
    <w:rsid w:val="00EC504A"/>
    <w:rsid w:val="00EC5433"/>
    <w:rsid w:val="00EC5630"/>
    <w:rsid w:val="00EC56A7"/>
    <w:rsid w:val="00EC58DA"/>
    <w:rsid w:val="00EC58FD"/>
    <w:rsid w:val="00EC5929"/>
    <w:rsid w:val="00EC5E9E"/>
    <w:rsid w:val="00EC606C"/>
    <w:rsid w:val="00EC6162"/>
    <w:rsid w:val="00EC6527"/>
    <w:rsid w:val="00EC65A0"/>
    <w:rsid w:val="00EC6792"/>
    <w:rsid w:val="00EC67DC"/>
    <w:rsid w:val="00EC68B2"/>
    <w:rsid w:val="00EC69BD"/>
    <w:rsid w:val="00EC6BBC"/>
    <w:rsid w:val="00EC6DB4"/>
    <w:rsid w:val="00EC6E21"/>
    <w:rsid w:val="00EC726D"/>
    <w:rsid w:val="00EC7385"/>
    <w:rsid w:val="00EC7644"/>
    <w:rsid w:val="00EC7682"/>
    <w:rsid w:val="00EC76DD"/>
    <w:rsid w:val="00EC76FC"/>
    <w:rsid w:val="00EC7883"/>
    <w:rsid w:val="00EC7B14"/>
    <w:rsid w:val="00EC7BF9"/>
    <w:rsid w:val="00EC7D08"/>
    <w:rsid w:val="00EC7F3E"/>
    <w:rsid w:val="00EC7FC9"/>
    <w:rsid w:val="00ED0727"/>
    <w:rsid w:val="00ED0934"/>
    <w:rsid w:val="00ED09CC"/>
    <w:rsid w:val="00ED0ACB"/>
    <w:rsid w:val="00ED0D54"/>
    <w:rsid w:val="00ED0DC8"/>
    <w:rsid w:val="00ED0EA3"/>
    <w:rsid w:val="00ED0FC9"/>
    <w:rsid w:val="00ED155C"/>
    <w:rsid w:val="00ED1606"/>
    <w:rsid w:val="00ED173D"/>
    <w:rsid w:val="00ED1AB9"/>
    <w:rsid w:val="00ED1C82"/>
    <w:rsid w:val="00ED1F36"/>
    <w:rsid w:val="00ED2075"/>
    <w:rsid w:val="00ED217C"/>
    <w:rsid w:val="00ED219B"/>
    <w:rsid w:val="00ED21DD"/>
    <w:rsid w:val="00ED2451"/>
    <w:rsid w:val="00ED26C0"/>
    <w:rsid w:val="00ED2838"/>
    <w:rsid w:val="00ED29ED"/>
    <w:rsid w:val="00ED2B34"/>
    <w:rsid w:val="00ED2C3D"/>
    <w:rsid w:val="00ED2CB4"/>
    <w:rsid w:val="00ED2DA0"/>
    <w:rsid w:val="00ED2F0A"/>
    <w:rsid w:val="00ED300E"/>
    <w:rsid w:val="00ED313B"/>
    <w:rsid w:val="00ED313C"/>
    <w:rsid w:val="00ED3148"/>
    <w:rsid w:val="00ED3159"/>
    <w:rsid w:val="00ED377F"/>
    <w:rsid w:val="00ED39AE"/>
    <w:rsid w:val="00ED3A55"/>
    <w:rsid w:val="00ED3C03"/>
    <w:rsid w:val="00ED3C60"/>
    <w:rsid w:val="00ED3F0D"/>
    <w:rsid w:val="00ED4499"/>
    <w:rsid w:val="00ED4826"/>
    <w:rsid w:val="00ED49C5"/>
    <w:rsid w:val="00ED4B0F"/>
    <w:rsid w:val="00ED4C9C"/>
    <w:rsid w:val="00ED50BF"/>
    <w:rsid w:val="00ED5128"/>
    <w:rsid w:val="00ED514C"/>
    <w:rsid w:val="00ED5393"/>
    <w:rsid w:val="00ED579F"/>
    <w:rsid w:val="00ED5B0F"/>
    <w:rsid w:val="00ED5CBE"/>
    <w:rsid w:val="00ED6066"/>
    <w:rsid w:val="00ED655E"/>
    <w:rsid w:val="00ED689E"/>
    <w:rsid w:val="00ED68B1"/>
    <w:rsid w:val="00ED6941"/>
    <w:rsid w:val="00ED69C4"/>
    <w:rsid w:val="00ED71FD"/>
    <w:rsid w:val="00ED7451"/>
    <w:rsid w:val="00ED74E7"/>
    <w:rsid w:val="00ED7561"/>
    <w:rsid w:val="00ED76F9"/>
    <w:rsid w:val="00ED7B07"/>
    <w:rsid w:val="00ED7E34"/>
    <w:rsid w:val="00ED7E60"/>
    <w:rsid w:val="00ED7E77"/>
    <w:rsid w:val="00EE0032"/>
    <w:rsid w:val="00EE0053"/>
    <w:rsid w:val="00EE03EF"/>
    <w:rsid w:val="00EE0637"/>
    <w:rsid w:val="00EE0733"/>
    <w:rsid w:val="00EE0849"/>
    <w:rsid w:val="00EE0EBE"/>
    <w:rsid w:val="00EE1564"/>
    <w:rsid w:val="00EE177F"/>
    <w:rsid w:val="00EE17A6"/>
    <w:rsid w:val="00EE1924"/>
    <w:rsid w:val="00EE19F5"/>
    <w:rsid w:val="00EE1FDA"/>
    <w:rsid w:val="00EE204D"/>
    <w:rsid w:val="00EE2154"/>
    <w:rsid w:val="00EE2250"/>
    <w:rsid w:val="00EE228C"/>
    <w:rsid w:val="00EE260C"/>
    <w:rsid w:val="00EE26C9"/>
    <w:rsid w:val="00EE2903"/>
    <w:rsid w:val="00EE2B82"/>
    <w:rsid w:val="00EE2CC7"/>
    <w:rsid w:val="00EE36E8"/>
    <w:rsid w:val="00EE38EE"/>
    <w:rsid w:val="00EE3A63"/>
    <w:rsid w:val="00EE3A7C"/>
    <w:rsid w:val="00EE3BD8"/>
    <w:rsid w:val="00EE42A5"/>
    <w:rsid w:val="00EE43A9"/>
    <w:rsid w:val="00EE43D4"/>
    <w:rsid w:val="00EE44A7"/>
    <w:rsid w:val="00EE4550"/>
    <w:rsid w:val="00EE47AA"/>
    <w:rsid w:val="00EE4991"/>
    <w:rsid w:val="00EE4FA1"/>
    <w:rsid w:val="00EE4FE0"/>
    <w:rsid w:val="00EE55D6"/>
    <w:rsid w:val="00EE569B"/>
    <w:rsid w:val="00EE5E27"/>
    <w:rsid w:val="00EE62C7"/>
    <w:rsid w:val="00EE6381"/>
    <w:rsid w:val="00EE6515"/>
    <w:rsid w:val="00EE7209"/>
    <w:rsid w:val="00EE7417"/>
    <w:rsid w:val="00EE7721"/>
    <w:rsid w:val="00EE7AF1"/>
    <w:rsid w:val="00EE7D0F"/>
    <w:rsid w:val="00EF04B4"/>
    <w:rsid w:val="00EF06A8"/>
    <w:rsid w:val="00EF0975"/>
    <w:rsid w:val="00EF0BC8"/>
    <w:rsid w:val="00EF0D28"/>
    <w:rsid w:val="00EF0D8B"/>
    <w:rsid w:val="00EF0DB5"/>
    <w:rsid w:val="00EF13AB"/>
    <w:rsid w:val="00EF13C8"/>
    <w:rsid w:val="00EF147C"/>
    <w:rsid w:val="00EF14ED"/>
    <w:rsid w:val="00EF176C"/>
    <w:rsid w:val="00EF1A9D"/>
    <w:rsid w:val="00EF1AA0"/>
    <w:rsid w:val="00EF1AAC"/>
    <w:rsid w:val="00EF1EA1"/>
    <w:rsid w:val="00EF2100"/>
    <w:rsid w:val="00EF21CF"/>
    <w:rsid w:val="00EF2699"/>
    <w:rsid w:val="00EF27B4"/>
    <w:rsid w:val="00EF28F8"/>
    <w:rsid w:val="00EF2A05"/>
    <w:rsid w:val="00EF33C4"/>
    <w:rsid w:val="00EF3422"/>
    <w:rsid w:val="00EF384B"/>
    <w:rsid w:val="00EF3899"/>
    <w:rsid w:val="00EF3AA3"/>
    <w:rsid w:val="00EF3CEE"/>
    <w:rsid w:val="00EF3D15"/>
    <w:rsid w:val="00EF3DF5"/>
    <w:rsid w:val="00EF41A4"/>
    <w:rsid w:val="00EF443D"/>
    <w:rsid w:val="00EF45DF"/>
    <w:rsid w:val="00EF471E"/>
    <w:rsid w:val="00EF47DA"/>
    <w:rsid w:val="00EF49A9"/>
    <w:rsid w:val="00EF49D7"/>
    <w:rsid w:val="00EF4A8E"/>
    <w:rsid w:val="00EF4B01"/>
    <w:rsid w:val="00EF4C8F"/>
    <w:rsid w:val="00EF4DD6"/>
    <w:rsid w:val="00EF512A"/>
    <w:rsid w:val="00EF526F"/>
    <w:rsid w:val="00EF5352"/>
    <w:rsid w:val="00EF538D"/>
    <w:rsid w:val="00EF53A9"/>
    <w:rsid w:val="00EF547C"/>
    <w:rsid w:val="00EF5ABC"/>
    <w:rsid w:val="00EF604A"/>
    <w:rsid w:val="00EF615D"/>
    <w:rsid w:val="00EF623C"/>
    <w:rsid w:val="00EF638D"/>
    <w:rsid w:val="00EF6865"/>
    <w:rsid w:val="00EF6D34"/>
    <w:rsid w:val="00EF6E52"/>
    <w:rsid w:val="00EF7048"/>
    <w:rsid w:val="00F0052D"/>
    <w:rsid w:val="00F006AC"/>
    <w:rsid w:val="00F00B2C"/>
    <w:rsid w:val="00F0122B"/>
    <w:rsid w:val="00F016D0"/>
    <w:rsid w:val="00F017FF"/>
    <w:rsid w:val="00F0180C"/>
    <w:rsid w:val="00F01A6B"/>
    <w:rsid w:val="00F02200"/>
    <w:rsid w:val="00F023E6"/>
    <w:rsid w:val="00F024E4"/>
    <w:rsid w:val="00F027F2"/>
    <w:rsid w:val="00F02A76"/>
    <w:rsid w:val="00F02E83"/>
    <w:rsid w:val="00F02F2A"/>
    <w:rsid w:val="00F03010"/>
    <w:rsid w:val="00F031E5"/>
    <w:rsid w:val="00F03284"/>
    <w:rsid w:val="00F033C9"/>
    <w:rsid w:val="00F03536"/>
    <w:rsid w:val="00F03E78"/>
    <w:rsid w:val="00F03F50"/>
    <w:rsid w:val="00F041A0"/>
    <w:rsid w:val="00F0447C"/>
    <w:rsid w:val="00F04667"/>
    <w:rsid w:val="00F0474B"/>
    <w:rsid w:val="00F04761"/>
    <w:rsid w:val="00F047A0"/>
    <w:rsid w:val="00F048A0"/>
    <w:rsid w:val="00F04B70"/>
    <w:rsid w:val="00F04B9F"/>
    <w:rsid w:val="00F04C6F"/>
    <w:rsid w:val="00F04E72"/>
    <w:rsid w:val="00F04EFD"/>
    <w:rsid w:val="00F04F83"/>
    <w:rsid w:val="00F0503C"/>
    <w:rsid w:val="00F05167"/>
    <w:rsid w:val="00F05614"/>
    <w:rsid w:val="00F05634"/>
    <w:rsid w:val="00F058A4"/>
    <w:rsid w:val="00F058B6"/>
    <w:rsid w:val="00F06065"/>
    <w:rsid w:val="00F06122"/>
    <w:rsid w:val="00F062F2"/>
    <w:rsid w:val="00F06AC9"/>
    <w:rsid w:val="00F06D11"/>
    <w:rsid w:val="00F07047"/>
    <w:rsid w:val="00F0747C"/>
    <w:rsid w:val="00F07622"/>
    <w:rsid w:val="00F07772"/>
    <w:rsid w:val="00F078F4"/>
    <w:rsid w:val="00F07A24"/>
    <w:rsid w:val="00F07A2B"/>
    <w:rsid w:val="00F07A50"/>
    <w:rsid w:val="00F07D66"/>
    <w:rsid w:val="00F07ED8"/>
    <w:rsid w:val="00F07EEF"/>
    <w:rsid w:val="00F07F13"/>
    <w:rsid w:val="00F10011"/>
    <w:rsid w:val="00F1003C"/>
    <w:rsid w:val="00F1035F"/>
    <w:rsid w:val="00F103E9"/>
    <w:rsid w:val="00F10DDC"/>
    <w:rsid w:val="00F10F78"/>
    <w:rsid w:val="00F10FF8"/>
    <w:rsid w:val="00F11894"/>
    <w:rsid w:val="00F118AA"/>
    <w:rsid w:val="00F118E7"/>
    <w:rsid w:val="00F119C1"/>
    <w:rsid w:val="00F11D76"/>
    <w:rsid w:val="00F11F14"/>
    <w:rsid w:val="00F11F63"/>
    <w:rsid w:val="00F120A5"/>
    <w:rsid w:val="00F1210C"/>
    <w:rsid w:val="00F121FF"/>
    <w:rsid w:val="00F122A5"/>
    <w:rsid w:val="00F124A8"/>
    <w:rsid w:val="00F12592"/>
    <w:rsid w:val="00F125A5"/>
    <w:rsid w:val="00F127C0"/>
    <w:rsid w:val="00F12857"/>
    <w:rsid w:val="00F12CCB"/>
    <w:rsid w:val="00F1309E"/>
    <w:rsid w:val="00F13156"/>
    <w:rsid w:val="00F133BA"/>
    <w:rsid w:val="00F13434"/>
    <w:rsid w:val="00F1343C"/>
    <w:rsid w:val="00F137A3"/>
    <w:rsid w:val="00F13CDE"/>
    <w:rsid w:val="00F13D08"/>
    <w:rsid w:val="00F13D9A"/>
    <w:rsid w:val="00F13DB3"/>
    <w:rsid w:val="00F142A5"/>
    <w:rsid w:val="00F1450F"/>
    <w:rsid w:val="00F1465C"/>
    <w:rsid w:val="00F146F5"/>
    <w:rsid w:val="00F14936"/>
    <w:rsid w:val="00F14974"/>
    <w:rsid w:val="00F14C00"/>
    <w:rsid w:val="00F14EF8"/>
    <w:rsid w:val="00F1505D"/>
    <w:rsid w:val="00F15423"/>
    <w:rsid w:val="00F1554C"/>
    <w:rsid w:val="00F155BC"/>
    <w:rsid w:val="00F156E1"/>
    <w:rsid w:val="00F157E0"/>
    <w:rsid w:val="00F15901"/>
    <w:rsid w:val="00F15F21"/>
    <w:rsid w:val="00F15F76"/>
    <w:rsid w:val="00F16172"/>
    <w:rsid w:val="00F162BA"/>
    <w:rsid w:val="00F167F2"/>
    <w:rsid w:val="00F16C31"/>
    <w:rsid w:val="00F16C49"/>
    <w:rsid w:val="00F16D61"/>
    <w:rsid w:val="00F16DC2"/>
    <w:rsid w:val="00F16E86"/>
    <w:rsid w:val="00F173C4"/>
    <w:rsid w:val="00F1783E"/>
    <w:rsid w:val="00F17A1B"/>
    <w:rsid w:val="00F17C08"/>
    <w:rsid w:val="00F17D3F"/>
    <w:rsid w:val="00F17DE6"/>
    <w:rsid w:val="00F20076"/>
    <w:rsid w:val="00F200A8"/>
    <w:rsid w:val="00F20118"/>
    <w:rsid w:val="00F20128"/>
    <w:rsid w:val="00F2050F"/>
    <w:rsid w:val="00F2057D"/>
    <w:rsid w:val="00F2132B"/>
    <w:rsid w:val="00F21369"/>
    <w:rsid w:val="00F21623"/>
    <w:rsid w:val="00F2169F"/>
    <w:rsid w:val="00F2190B"/>
    <w:rsid w:val="00F21A7D"/>
    <w:rsid w:val="00F21B22"/>
    <w:rsid w:val="00F21BFB"/>
    <w:rsid w:val="00F21D31"/>
    <w:rsid w:val="00F21DB7"/>
    <w:rsid w:val="00F21EBF"/>
    <w:rsid w:val="00F21FD5"/>
    <w:rsid w:val="00F22093"/>
    <w:rsid w:val="00F22101"/>
    <w:rsid w:val="00F223C4"/>
    <w:rsid w:val="00F2256B"/>
    <w:rsid w:val="00F22866"/>
    <w:rsid w:val="00F2287F"/>
    <w:rsid w:val="00F22ABB"/>
    <w:rsid w:val="00F22CAF"/>
    <w:rsid w:val="00F23182"/>
    <w:rsid w:val="00F23195"/>
    <w:rsid w:val="00F23400"/>
    <w:rsid w:val="00F234FD"/>
    <w:rsid w:val="00F23AD9"/>
    <w:rsid w:val="00F23EB6"/>
    <w:rsid w:val="00F2409B"/>
    <w:rsid w:val="00F240C5"/>
    <w:rsid w:val="00F24156"/>
    <w:rsid w:val="00F241DF"/>
    <w:rsid w:val="00F2437A"/>
    <w:rsid w:val="00F245B4"/>
    <w:rsid w:val="00F2491F"/>
    <w:rsid w:val="00F249BC"/>
    <w:rsid w:val="00F24D0F"/>
    <w:rsid w:val="00F24DE2"/>
    <w:rsid w:val="00F2502F"/>
    <w:rsid w:val="00F2516F"/>
    <w:rsid w:val="00F253F9"/>
    <w:rsid w:val="00F25413"/>
    <w:rsid w:val="00F255F9"/>
    <w:rsid w:val="00F259AF"/>
    <w:rsid w:val="00F25D5F"/>
    <w:rsid w:val="00F25E2A"/>
    <w:rsid w:val="00F25E62"/>
    <w:rsid w:val="00F261B5"/>
    <w:rsid w:val="00F26249"/>
    <w:rsid w:val="00F263B6"/>
    <w:rsid w:val="00F2648B"/>
    <w:rsid w:val="00F26531"/>
    <w:rsid w:val="00F26615"/>
    <w:rsid w:val="00F2681C"/>
    <w:rsid w:val="00F2689A"/>
    <w:rsid w:val="00F26A98"/>
    <w:rsid w:val="00F26C25"/>
    <w:rsid w:val="00F26D2E"/>
    <w:rsid w:val="00F27EA6"/>
    <w:rsid w:val="00F27F55"/>
    <w:rsid w:val="00F300DA"/>
    <w:rsid w:val="00F30220"/>
    <w:rsid w:val="00F30873"/>
    <w:rsid w:val="00F30C42"/>
    <w:rsid w:val="00F30FAE"/>
    <w:rsid w:val="00F31820"/>
    <w:rsid w:val="00F31848"/>
    <w:rsid w:val="00F31D45"/>
    <w:rsid w:val="00F31EDE"/>
    <w:rsid w:val="00F31F24"/>
    <w:rsid w:val="00F323C9"/>
    <w:rsid w:val="00F3242A"/>
    <w:rsid w:val="00F32AF5"/>
    <w:rsid w:val="00F32BAD"/>
    <w:rsid w:val="00F33172"/>
    <w:rsid w:val="00F3324D"/>
    <w:rsid w:val="00F3349E"/>
    <w:rsid w:val="00F33720"/>
    <w:rsid w:val="00F33890"/>
    <w:rsid w:val="00F33A9B"/>
    <w:rsid w:val="00F33B6D"/>
    <w:rsid w:val="00F33CC2"/>
    <w:rsid w:val="00F33DDB"/>
    <w:rsid w:val="00F33E14"/>
    <w:rsid w:val="00F33F7D"/>
    <w:rsid w:val="00F33FAC"/>
    <w:rsid w:val="00F33FF1"/>
    <w:rsid w:val="00F340E5"/>
    <w:rsid w:val="00F34146"/>
    <w:rsid w:val="00F348A9"/>
    <w:rsid w:val="00F348AD"/>
    <w:rsid w:val="00F3515E"/>
    <w:rsid w:val="00F3522F"/>
    <w:rsid w:val="00F3541A"/>
    <w:rsid w:val="00F355A9"/>
    <w:rsid w:val="00F3578A"/>
    <w:rsid w:val="00F358BE"/>
    <w:rsid w:val="00F35AA8"/>
    <w:rsid w:val="00F35F6F"/>
    <w:rsid w:val="00F35F85"/>
    <w:rsid w:val="00F36676"/>
    <w:rsid w:val="00F36860"/>
    <w:rsid w:val="00F36D62"/>
    <w:rsid w:val="00F37024"/>
    <w:rsid w:val="00F376F0"/>
    <w:rsid w:val="00F3782B"/>
    <w:rsid w:val="00F40192"/>
    <w:rsid w:val="00F405F2"/>
    <w:rsid w:val="00F408D4"/>
    <w:rsid w:val="00F40B77"/>
    <w:rsid w:val="00F40C09"/>
    <w:rsid w:val="00F40D7E"/>
    <w:rsid w:val="00F40DC5"/>
    <w:rsid w:val="00F41025"/>
    <w:rsid w:val="00F411D6"/>
    <w:rsid w:val="00F4129F"/>
    <w:rsid w:val="00F415E5"/>
    <w:rsid w:val="00F418F0"/>
    <w:rsid w:val="00F41D11"/>
    <w:rsid w:val="00F421BB"/>
    <w:rsid w:val="00F42481"/>
    <w:rsid w:val="00F4248B"/>
    <w:rsid w:val="00F4278F"/>
    <w:rsid w:val="00F42892"/>
    <w:rsid w:val="00F428AA"/>
    <w:rsid w:val="00F42B6C"/>
    <w:rsid w:val="00F42CC8"/>
    <w:rsid w:val="00F42FFB"/>
    <w:rsid w:val="00F433B3"/>
    <w:rsid w:val="00F43929"/>
    <w:rsid w:val="00F4394B"/>
    <w:rsid w:val="00F43A7A"/>
    <w:rsid w:val="00F43CE3"/>
    <w:rsid w:val="00F4401E"/>
    <w:rsid w:val="00F44746"/>
    <w:rsid w:val="00F448BB"/>
    <w:rsid w:val="00F44999"/>
    <w:rsid w:val="00F44C12"/>
    <w:rsid w:val="00F44DB7"/>
    <w:rsid w:val="00F44E70"/>
    <w:rsid w:val="00F44EEE"/>
    <w:rsid w:val="00F45031"/>
    <w:rsid w:val="00F4510D"/>
    <w:rsid w:val="00F4514C"/>
    <w:rsid w:val="00F45160"/>
    <w:rsid w:val="00F451EA"/>
    <w:rsid w:val="00F455F0"/>
    <w:rsid w:val="00F45682"/>
    <w:rsid w:val="00F456B0"/>
    <w:rsid w:val="00F45AC3"/>
    <w:rsid w:val="00F45AD2"/>
    <w:rsid w:val="00F4622B"/>
    <w:rsid w:val="00F464E5"/>
    <w:rsid w:val="00F46B27"/>
    <w:rsid w:val="00F46BB6"/>
    <w:rsid w:val="00F46BCA"/>
    <w:rsid w:val="00F4723A"/>
    <w:rsid w:val="00F47355"/>
    <w:rsid w:val="00F473C8"/>
    <w:rsid w:val="00F476F4"/>
    <w:rsid w:val="00F47A36"/>
    <w:rsid w:val="00F4F019"/>
    <w:rsid w:val="00F503D3"/>
    <w:rsid w:val="00F5041C"/>
    <w:rsid w:val="00F5047D"/>
    <w:rsid w:val="00F505C0"/>
    <w:rsid w:val="00F506CC"/>
    <w:rsid w:val="00F5076A"/>
    <w:rsid w:val="00F50A9A"/>
    <w:rsid w:val="00F50BF5"/>
    <w:rsid w:val="00F50E89"/>
    <w:rsid w:val="00F50FAE"/>
    <w:rsid w:val="00F5100E"/>
    <w:rsid w:val="00F5121E"/>
    <w:rsid w:val="00F51306"/>
    <w:rsid w:val="00F5176F"/>
    <w:rsid w:val="00F5186B"/>
    <w:rsid w:val="00F51873"/>
    <w:rsid w:val="00F51DA1"/>
    <w:rsid w:val="00F51E47"/>
    <w:rsid w:val="00F51FA1"/>
    <w:rsid w:val="00F51FE9"/>
    <w:rsid w:val="00F52618"/>
    <w:rsid w:val="00F529F7"/>
    <w:rsid w:val="00F52DC4"/>
    <w:rsid w:val="00F52E74"/>
    <w:rsid w:val="00F52EE7"/>
    <w:rsid w:val="00F53025"/>
    <w:rsid w:val="00F530C5"/>
    <w:rsid w:val="00F53331"/>
    <w:rsid w:val="00F535FC"/>
    <w:rsid w:val="00F53736"/>
    <w:rsid w:val="00F53C56"/>
    <w:rsid w:val="00F541B8"/>
    <w:rsid w:val="00F543D3"/>
    <w:rsid w:val="00F54435"/>
    <w:rsid w:val="00F5475F"/>
    <w:rsid w:val="00F547C9"/>
    <w:rsid w:val="00F54838"/>
    <w:rsid w:val="00F548F1"/>
    <w:rsid w:val="00F54B6E"/>
    <w:rsid w:val="00F54C51"/>
    <w:rsid w:val="00F54C54"/>
    <w:rsid w:val="00F5535D"/>
    <w:rsid w:val="00F553D2"/>
    <w:rsid w:val="00F554E0"/>
    <w:rsid w:val="00F5586B"/>
    <w:rsid w:val="00F558BD"/>
    <w:rsid w:val="00F55C7E"/>
    <w:rsid w:val="00F562F7"/>
    <w:rsid w:val="00F566C9"/>
    <w:rsid w:val="00F569A3"/>
    <w:rsid w:val="00F56D7F"/>
    <w:rsid w:val="00F571E6"/>
    <w:rsid w:val="00F573B0"/>
    <w:rsid w:val="00F57460"/>
    <w:rsid w:val="00F57522"/>
    <w:rsid w:val="00F575C4"/>
    <w:rsid w:val="00F577E8"/>
    <w:rsid w:val="00F579A5"/>
    <w:rsid w:val="00F57AD7"/>
    <w:rsid w:val="00F57D9B"/>
    <w:rsid w:val="00F57DD1"/>
    <w:rsid w:val="00F57E3C"/>
    <w:rsid w:val="00F57E51"/>
    <w:rsid w:val="00F6028B"/>
    <w:rsid w:val="00F602B2"/>
    <w:rsid w:val="00F60347"/>
    <w:rsid w:val="00F60371"/>
    <w:rsid w:val="00F60377"/>
    <w:rsid w:val="00F60889"/>
    <w:rsid w:val="00F60899"/>
    <w:rsid w:val="00F60A3D"/>
    <w:rsid w:val="00F60BAD"/>
    <w:rsid w:val="00F60D1D"/>
    <w:rsid w:val="00F61126"/>
    <w:rsid w:val="00F61413"/>
    <w:rsid w:val="00F615D7"/>
    <w:rsid w:val="00F618C1"/>
    <w:rsid w:val="00F61A71"/>
    <w:rsid w:val="00F61D37"/>
    <w:rsid w:val="00F6248E"/>
    <w:rsid w:val="00F624D1"/>
    <w:rsid w:val="00F6251A"/>
    <w:rsid w:val="00F62893"/>
    <w:rsid w:val="00F62F30"/>
    <w:rsid w:val="00F6324C"/>
    <w:rsid w:val="00F635D9"/>
    <w:rsid w:val="00F63689"/>
    <w:rsid w:val="00F63ADE"/>
    <w:rsid w:val="00F63B8D"/>
    <w:rsid w:val="00F63E49"/>
    <w:rsid w:val="00F63F41"/>
    <w:rsid w:val="00F63F98"/>
    <w:rsid w:val="00F64173"/>
    <w:rsid w:val="00F64249"/>
    <w:rsid w:val="00F642D0"/>
    <w:rsid w:val="00F643E1"/>
    <w:rsid w:val="00F6447E"/>
    <w:rsid w:val="00F645F2"/>
    <w:rsid w:val="00F64692"/>
    <w:rsid w:val="00F64829"/>
    <w:rsid w:val="00F64898"/>
    <w:rsid w:val="00F6492C"/>
    <w:rsid w:val="00F64AC4"/>
    <w:rsid w:val="00F64E59"/>
    <w:rsid w:val="00F64FDC"/>
    <w:rsid w:val="00F65044"/>
    <w:rsid w:val="00F65D9F"/>
    <w:rsid w:val="00F65F74"/>
    <w:rsid w:val="00F66272"/>
    <w:rsid w:val="00F66319"/>
    <w:rsid w:val="00F66324"/>
    <w:rsid w:val="00F6660B"/>
    <w:rsid w:val="00F666B7"/>
    <w:rsid w:val="00F66777"/>
    <w:rsid w:val="00F66AE6"/>
    <w:rsid w:val="00F66B77"/>
    <w:rsid w:val="00F66D84"/>
    <w:rsid w:val="00F66FDD"/>
    <w:rsid w:val="00F673E7"/>
    <w:rsid w:val="00F67614"/>
    <w:rsid w:val="00F67775"/>
    <w:rsid w:val="00F678DB"/>
    <w:rsid w:val="00F6797B"/>
    <w:rsid w:val="00F679DD"/>
    <w:rsid w:val="00F67A8C"/>
    <w:rsid w:val="00F67AB4"/>
    <w:rsid w:val="00F67B75"/>
    <w:rsid w:val="00F67B79"/>
    <w:rsid w:val="00F67CC1"/>
    <w:rsid w:val="00F67D06"/>
    <w:rsid w:val="00F67D6C"/>
    <w:rsid w:val="00F67DD8"/>
    <w:rsid w:val="00F67DF6"/>
    <w:rsid w:val="00F67ED5"/>
    <w:rsid w:val="00F70055"/>
    <w:rsid w:val="00F70162"/>
    <w:rsid w:val="00F703C9"/>
    <w:rsid w:val="00F70656"/>
    <w:rsid w:val="00F70805"/>
    <w:rsid w:val="00F709D5"/>
    <w:rsid w:val="00F70E53"/>
    <w:rsid w:val="00F70F82"/>
    <w:rsid w:val="00F7116E"/>
    <w:rsid w:val="00F71749"/>
    <w:rsid w:val="00F718D2"/>
    <w:rsid w:val="00F71CDA"/>
    <w:rsid w:val="00F71D35"/>
    <w:rsid w:val="00F72122"/>
    <w:rsid w:val="00F72557"/>
    <w:rsid w:val="00F72790"/>
    <w:rsid w:val="00F7286E"/>
    <w:rsid w:val="00F72A8A"/>
    <w:rsid w:val="00F72E62"/>
    <w:rsid w:val="00F7308D"/>
    <w:rsid w:val="00F732F9"/>
    <w:rsid w:val="00F7336E"/>
    <w:rsid w:val="00F734AA"/>
    <w:rsid w:val="00F738DA"/>
    <w:rsid w:val="00F73AC6"/>
    <w:rsid w:val="00F73EC1"/>
    <w:rsid w:val="00F74154"/>
    <w:rsid w:val="00F7420D"/>
    <w:rsid w:val="00F7426D"/>
    <w:rsid w:val="00F744EC"/>
    <w:rsid w:val="00F7473D"/>
    <w:rsid w:val="00F748B0"/>
    <w:rsid w:val="00F74BBF"/>
    <w:rsid w:val="00F752C5"/>
    <w:rsid w:val="00F75457"/>
    <w:rsid w:val="00F754C5"/>
    <w:rsid w:val="00F7560C"/>
    <w:rsid w:val="00F75C74"/>
    <w:rsid w:val="00F76027"/>
    <w:rsid w:val="00F76302"/>
    <w:rsid w:val="00F7643D"/>
    <w:rsid w:val="00F7651C"/>
    <w:rsid w:val="00F766B8"/>
    <w:rsid w:val="00F76762"/>
    <w:rsid w:val="00F7676F"/>
    <w:rsid w:val="00F76AC8"/>
    <w:rsid w:val="00F76B7F"/>
    <w:rsid w:val="00F76C77"/>
    <w:rsid w:val="00F76EB2"/>
    <w:rsid w:val="00F76FE8"/>
    <w:rsid w:val="00F77229"/>
    <w:rsid w:val="00F77267"/>
    <w:rsid w:val="00F776BD"/>
    <w:rsid w:val="00F777D9"/>
    <w:rsid w:val="00F77983"/>
    <w:rsid w:val="00F77A49"/>
    <w:rsid w:val="00F77B02"/>
    <w:rsid w:val="00F77C77"/>
    <w:rsid w:val="00F77D96"/>
    <w:rsid w:val="00F77EB5"/>
    <w:rsid w:val="00F805B4"/>
    <w:rsid w:val="00F80607"/>
    <w:rsid w:val="00F8066A"/>
    <w:rsid w:val="00F806D7"/>
    <w:rsid w:val="00F809BA"/>
    <w:rsid w:val="00F811CE"/>
    <w:rsid w:val="00F81432"/>
    <w:rsid w:val="00F815BE"/>
    <w:rsid w:val="00F81639"/>
    <w:rsid w:val="00F8165B"/>
    <w:rsid w:val="00F816ED"/>
    <w:rsid w:val="00F81B0A"/>
    <w:rsid w:val="00F81CA5"/>
    <w:rsid w:val="00F81CCB"/>
    <w:rsid w:val="00F81D63"/>
    <w:rsid w:val="00F81D7D"/>
    <w:rsid w:val="00F81D93"/>
    <w:rsid w:val="00F81F2A"/>
    <w:rsid w:val="00F82050"/>
    <w:rsid w:val="00F8216B"/>
    <w:rsid w:val="00F823DB"/>
    <w:rsid w:val="00F8261E"/>
    <w:rsid w:val="00F82641"/>
    <w:rsid w:val="00F82803"/>
    <w:rsid w:val="00F82D67"/>
    <w:rsid w:val="00F82E92"/>
    <w:rsid w:val="00F830DC"/>
    <w:rsid w:val="00F830E3"/>
    <w:rsid w:val="00F8342D"/>
    <w:rsid w:val="00F834A7"/>
    <w:rsid w:val="00F838CF"/>
    <w:rsid w:val="00F839AA"/>
    <w:rsid w:val="00F83D3C"/>
    <w:rsid w:val="00F83F8C"/>
    <w:rsid w:val="00F846F9"/>
    <w:rsid w:val="00F84B8E"/>
    <w:rsid w:val="00F84CF8"/>
    <w:rsid w:val="00F853D4"/>
    <w:rsid w:val="00F8543A"/>
    <w:rsid w:val="00F8554E"/>
    <w:rsid w:val="00F85784"/>
    <w:rsid w:val="00F85AD1"/>
    <w:rsid w:val="00F85D29"/>
    <w:rsid w:val="00F85E66"/>
    <w:rsid w:val="00F85EAC"/>
    <w:rsid w:val="00F86021"/>
    <w:rsid w:val="00F867F7"/>
    <w:rsid w:val="00F8687F"/>
    <w:rsid w:val="00F86B6B"/>
    <w:rsid w:val="00F86C2E"/>
    <w:rsid w:val="00F86C79"/>
    <w:rsid w:val="00F87137"/>
    <w:rsid w:val="00F87400"/>
    <w:rsid w:val="00F8755A"/>
    <w:rsid w:val="00F87854"/>
    <w:rsid w:val="00F87A4A"/>
    <w:rsid w:val="00F87A9C"/>
    <w:rsid w:val="00F87C9A"/>
    <w:rsid w:val="00F87FDE"/>
    <w:rsid w:val="00F90095"/>
    <w:rsid w:val="00F90135"/>
    <w:rsid w:val="00F90672"/>
    <w:rsid w:val="00F908CE"/>
    <w:rsid w:val="00F9095F"/>
    <w:rsid w:val="00F909BA"/>
    <w:rsid w:val="00F90A3C"/>
    <w:rsid w:val="00F90A73"/>
    <w:rsid w:val="00F910EA"/>
    <w:rsid w:val="00F9134B"/>
    <w:rsid w:val="00F9141B"/>
    <w:rsid w:val="00F91716"/>
    <w:rsid w:val="00F9176E"/>
    <w:rsid w:val="00F917D3"/>
    <w:rsid w:val="00F918A2"/>
    <w:rsid w:val="00F91A68"/>
    <w:rsid w:val="00F91AE9"/>
    <w:rsid w:val="00F91D81"/>
    <w:rsid w:val="00F91F7A"/>
    <w:rsid w:val="00F92031"/>
    <w:rsid w:val="00F9205B"/>
    <w:rsid w:val="00F9222C"/>
    <w:rsid w:val="00F9227A"/>
    <w:rsid w:val="00F9227E"/>
    <w:rsid w:val="00F92588"/>
    <w:rsid w:val="00F9280C"/>
    <w:rsid w:val="00F928EE"/>
    <w:rsid w:val="00F92933"/>
    <w:rsid w:val="00F92943"/>
    <w:rsid w:val="00F92954"/>
    <w:rsid w:val="00F92FE0"/>
    <w:rsid w:val="00F933F3"/>
    <w:rsid w:val="00F93A28"/>
    <w:rsid w:val="00F93E63"/>
    <w:rsid w:val="00F941EC"/>
    <w:rsid w:val="00F94211"/>
    <w:rsid w:val="00F9461B"/>
    <w:rsid w:val="00F9468F"/>
    <w:rsid w:val="00F9476E"/>
    <w:rsid w:val="00F9491B"/>
    <w:rsid w:val="00F949AA"/>
    <w:rsid w:val="00F94C92"/>
    <w:rsid w:val="00F94E6A"/>
    <w:rsid w:val="00F94EE9"/>
    <w:rsid w:val="00F94FBC"/>
    <w:rsid w:val="00F95195"/>
    <w:rsid w:val="00F95243"/>
    <w:rsid w:val="00F95A31"/>
    <w:rsid w:val="00F95B2B"/>
    <w:rsid w:val="00F96257"/>
    <w:rsid w:val="00F96386"/>
    <w:rsid w:val="00F9645E"/>
    <w:rsid w:val="00F96751"/>
    <w:rsid w:val="00F9677E"/>
    <w:rsid w:val="00F969F2"/>
    <w:rsid w:val="00F96C31"/>
    <w:rsid w:val="00F96D9F"/>
    <w:rsid w:val="00F96F2C"/>
    <w:rsid w:val="00F97017"/>
    <w:rsid w:val="00F9713C"/>
    <w:rsid w:val="00F97318"/>
    <w:rsid w:val="00F97766"/>
    <w:rsid w:val="00F977EA"/>
    <w:rsid w:val="00F97916"/>
    <w:rsid w:val="00F97B77"/>
    <w:rsid w:val="00F97C63"/>
    <w:rsid w:val="00F97C97"/>
    <w:rsid w:val="00F97CE8"/>
    <w:rsid w:val="00F97DEC"/>
    <w:rsid w:val="00F97F34"/>
    <w:rsid w:val="00FA00E7"/>
    <w:rsid w:val="00FA0147"/>
    <w:rsid w:val="00FA039C"/>
    <w:rsid w:val="00FA042E"/>
    <w:rsid w:val="00FA0676"/>
    <w:rsid w:val="00FA079C"/>
    <w:rsid w:val="00FA0AF2"/>
    <w:rsid w:val="00FA0B40"/>
    <w:rsid w:val="00FA0B4C"/>
    <w:rsid w:val="00FA0C87"/>
    <w:rsid w:val="00FA0FCA"/>
    <w:rsid w:val="00FA105A"/>
    <w:rsid w:val="00FA1529"/>
    <w:rsid w:val="00FA161F"/>
    <w:rsid w:val="00FA1B06"/>
    <w:rsid w:val="00FA1CB1"/>
    <w:rsid w:val="00FA1CC0"/>
    <w:rsid w:val="00FA1E2E"/>
    <w:rsid w:val="00FA1F5C"/>
    <w:rsid w:val="00FA1F7A"/>
    <w:rsid w:val="00FA205D"/>
    <w:rsid w:val="00FA22FB"/>
    <w:rsid w:val="00FA2425"/>
    <w:rsid w:val="00FA2487"/>
    <w:rsid w:val="00FA2B7B"/>
    <w:rsid w:val="00FA2DE7"/>
    <w:rsid w:val="00FA2F83"/>
    <w:rsid w:val="00FA2FC3"/>
    <w:rsid w:val="00FA3116"/>
    <w:rsid w:val="00FA32F4"/>
    <w:rsid w:val="00FA338E"/>
    <w:rsid w:val="00FA37DB"/>
    <w:rsid w:val="00FA397C"/>
    <w:rsid w:val="00FA3C7E"/>
    <w:rsid w:val="00FA3CAF"/>
    <w:rsid w:val="00FA3D34"/>
    <w:rsid w:val="00FA3D84"/>
    <w:rsid w:val="00FA423D"/>
    <w:rsid w:val="00FA4778"/>
    <w:rsid w:val="00FA4A17"/>
    <w:rsid w:val="00FA4B77"/>
    <w:rsid w:val="00FA4D1F"/>
    <w:rsid w:val="00FA503D"/>
    <w:rsid w:val="00FA5363"/>
    <w:rsid w:val="00FA5372"/>
    <w:rsid w:val="00FA5771"/>
    <w:rsid w:val="00FA5B39"/>
    <w:rsid w:val="00FA5D9F"/>
    <w:rsid w:val="00FA5DAF"/>
    <w:rsid w:val="00FA6045"/>
    <w:rsid w:val="00FA60D4"/>
    <w:rsid w:val="00FA6307"/>
    <w:rsid w:val="00FA692B"/>
    <w:rsid w:val="00FA6946"/>
    <w:rsid w:val="00FA6D07"/>
    <w:rsid w:val="00FA6E80"/>
    <w:rsid w:val="00FA6F19"/>
    <w:rsid w:val="00FA6F87"/>
    <w:rsid w:val="00FA701C"/>
    <w:rsid w:val="00FA7074"/>
    <w:rsid w:val="00FA72DF"/>
    <w:rsid w:val="00FA746D"/>
    <w:rsid w:val="00FA7793"/>
    <w:rsid w:val="00FA7840"/>
    <w:rsid w:val="00FA7A71"/>
    <w:rsid w:val="00FA7A7A"/>
    <w:rsid w:val="00FA7ABE"/>
    <w:rsid w:val="00FA7AD2"/>
    <w:rsid w:val="00FA7BE4"/>
    <w:rsid w:val="00FB0337"/>
    <w:rsid w:val="00FB04B6"/>
    <w:rsid w:val="00FB04EB"/>
    <w:rsid w:val="00FB05E1"/>
    <w:rsid w:val="00FB0792"/>
    <w:rsid w:val="00FB09ED"/>
    <w:rsid w:val="00FB0F50"/>
    <w:rsid w:val="00FB0FD4"/>
    <w:rsid w:val="00FB1189"/>
    <w:rsid w:val="00FB11BA"/>
    <w:rsid w:val="00FB15DA"/>
    <w:rsid w:val="00FB1630"/>
    <w:rsid w:val="00FB1642"/>
    <w:rsid w:val="00FB17EF"/>
    <w:rsid w:val="00FB1869"/>
    <w:rsid w:val="00FB18E2"/>
    <w:rsid w:val="00FB19E1"/>
    <w:rsid w:val="00FB1C3B"/>
    <w:rsid w:val="00FB1C87"/>
    <w:rsid w:val="00FB1CA2"/>
    <w:rsid w:val="00FB1E7A"/>
    <w:rsid w:val="00FB20B7"/>
    <w:rsid w:val="00FB249F"/>
    <w:rsid w:val="00FB299F"/>
    <w:rsid w:val="00FB2A33"/>
    <w:rsid w:val="00FB2A47"/>
    <w:rsid w:val="00FB2AF6"/>
    <w:rsid w:val="00FB2C5F"/>
    <w:rsid w:val="00FB2C6D"/>
    <w:rsid w:val="00FB2DA9"/>
    <w:rsid w:val="00FB2E1C"/>
    <w:rsid w:val="00FB31D2"/>
    <w:rsid w:val="00FB3256"/>
    <w:rsid w:val="00FB3269"/>
    <w:rsid w:val="00FB3314"/>
    <w:rsid w:val="00FB334E"/>
    <w:rsid w:val="00FB3366"/>
    <w:rsid w:val="00FB36E2"/>
    <w:rsid w:val="00FB384A"/>
    <w:rsid w:val="00FB3AF3"/>
    <w:rsid w:val="00FB3EFD"/>
    <w:rsid w:val="00FB43A1"/>
    <w:rsid w:val="00FB441D"/>
    <w:rsid w:val="00FB4782"/>
    <w:rsid w:val="00FB4875"/>
    <w:rsid w:val="00FB4A55"/>
    <w:rsid w:val="00FB4BF3"/>
    <w:rsid w:val="00FB5181"/>
    <w:rsid w:val="00FB54A1"/>
    <w:rsid w:val="00FB59D1"/>
    <w:rsid w:val="00FB5A06"/>
    <w:rsid w:val="00FB5CB5"/>
    <w:rsid w:val="00FB5E84"/>
    <w:rsid w:val="00FB60A2"/>
    <w:rsid w:val="00FB65ED"/>
    <w:rsid w:val="00FB6BE1"/>
    <w:rsid w:val="00FB72B9"/>
    <w:rsid w:val="00FB7488"/>
    <w:rsid w:val="00FB7D15"/>
    <w:rsid w:val="00FB7E50"/>
    <w:rsid w:val="00FC01A5"/>
    <w:rsid w:val="00FC0424"/>
    <w:rsid w:val="00FC04ED"/>
    <w:rsid w:val="00FC0694"/>
    <w:rsid w:val="00FC09B2"/>
    <w:rsid w:val="00FC0B95"/>
    <w:rsid w:val="00FC0BD3"/>
    <w:rsid w:val="00FC0D5E"/>
    <w:rsid w:val="00FC0E22"/>
    <w:rsid w:val="00FC1101"/>
    <w:rsid w:val="00FC1762"/>
    <w:rsid w:val="00FC17B6"/>
    <w:rsid w:val="00FC1BAA"/>
    <w:rsid w:val="00FC1C50"/>
    <w:rsid w:val="00FC20AA"/>
    <w:rsid w:val="00FC20DD"/>
    <w:rsid w:val="00FC222C"/>
    <w:rsid w:val="00FC29C2"/>
    <w:rsid w:val="00FC2B61"/>
    <w:rsid w:val="00FC2E4C"/>
    <w:rsid w:val="00FC2F92"/>
    <w:rsid w:val="00FC30E5"/>
    <w:rsid w:val="00FC325D"/>
    <w:rsid w:val="00FC3312"/>
    <w:rsid w:val="00FC3566"/>
    <w:rsid w:val="00FC362B"/>
    <w:rsid w:val="00FC3733"/>
    <w:rsid w:val="00FC3751"/>
    <w:rsid w:val="00FC3AF2"/>
    <w:rsid w:val="00FC3D2B"/>
    <w:rsid w:val="00FC3E7C"/>
    <w:rsid w:val="00FC3EBE"/>
    <w:rsid w:val="00FC4383"/>
    <w:rsid w:val="00FC45EE"/>
    <w:rsid w:val="00FC4734"/>
    <w:rsid w:val="00FC4AEB"/>
    <w:rsid w:val="00FC4BC0"/>
    <w:rsid w:val="00FC4BCD"/>
    <w:rsid w:val="00FC4D64"/>
    <w:rsid w:val="00FC4D7E"/>
    <w:rsid w:val="00FC4E0E"/>
    <w:rsid w:val="00FC4E47"/>
    <w:rsid w:val="00FC5269"/>
    <w:rsid w:val="00FC541A"/>
    <w:rsid w:val="00FC559B"/>
    <w:rsid w:val="00FC5783"/>
    <w:rsid w:val="00FC5A7F"/>
    <w:rsid w:val="00FC5B85"/>
    <w:rsid w:val="00FC613B"/>
    <w:rsid w:val="00FC6149"/>
    <w:rsid w:val="00FC6455"/>
    <w:rsid w:val="00FC6785"/>
    <w:rsid w:val="00FC6AC8"/>
    <w:rsid w:val="00FC6B38"/>
    <w:rsid w:val="00FC6B48"/>
    <w:rsid w:val="00FC72D5"/>
    <w:rsid w:val="00FC7434"/>
    <w:rsid w:val="00FC751D"/>
    <w:rsid w:val="00FC76DC"/>
    <w:rsid w:val="00FC787D"/>
    <w:rsid w:val="00FC79E0"/>
    <w:rsid w:val="00FC7EE0"/>
    <w:rsid w:val="00FC7EE3"/>
    <w:rsid w:val="00FD0054"/>
    <w:rsid w:val="00FD0056"/>
    <w:rsid w:val="00FD00C3"/>
    <w:rsid w:val="00FD017F"/>
    <w:rsid w:val="00FD03DE"/>
    <w:rsid w:val="00FD0513"/>
    <w:rsid w:val="00FD070A"/>
    <w:rsid w:val="00FD0745"/>
    <w:rsid w:val="00FD07A6"/>
    <w:rsid w:val="00FD07D6"/>
    <w:rsid w:val="00FD07DD"/>
    <w:rsid w:val="00FD0AFD"/>
    <w:rsid w:val="00FD0E78"/>
    <w:rsid w:val="00FD0EB6"/>
    <w:rsid w:val="00FD0F5C"/>
    <w:rsid w:val="00FD1324"/>
    <w:rsid w:val="00FD1711"/>
    <w:rsid w:val="00FD17D6"/>
    <w:rsid w:val="00FD191A"/>
    <w:rsid w:val="00FD19E8"/>
    <w:rsid w:val="00FD1B97"/>
    <w:rsid w:val="00FD1D7B"/>
    <w:rsid w:val="00FD1FD8"/>
    <w:rsid w:val="00FD2052"/>
    <w:rsid w:val="00FD27DA"/>
    <w:rsid w:val="00FD2862"/>
    <w:rsid w:val="00FD2B6E"/>
    <w:rsid w:val="00FD2B7C"/>
    <w:rsid w:val="00FD2B87"/>
    <w:rsid w:val="00FD2BF9"/>
    <w:rsid w:val="00FD2DF3"/>
    <w:rsid w:val="00FD319E"/>
    <w:rsid w:val="00FD32E1"/>
    <w:rsid w:val="00FD359A"/>
    <w:rsid w:val="00FD3A93"/>
    <w:rsid w:val="00FD3CAF"/>
    <w:rsid w:val="00FD3EF7"/>
    <w:rsid w:val="00FD3F5D"/>
    <w:rsid w:val="00FD4207"/>
    <w:rsid w:val="00FD4382"/>
    <w:rsid w:val="00FD43F5"/>
    <w:rsid w:val="00FD4601"/>
    <w:rsid w:val="00FD4657"/>
    <w:rsid w:val="00FD469C"/>
    <w:rsid w:val="00FD4948"/>
    <w:rsid w:val="00FD497C"/>
    <w:rsid w:val="00FD49CF"/>
    <w:rsid w:val="00FD4A6D"/>
    <w:rsid w:val="00FD4B81"/>
    <w:rsid w:val="00FD4BAA"/>
    <w:rsid w:val="00FD516C"/>
    <w:rsid w:val="00FD5722"/>
    <w:rsid w:val="00FD5A0E"/>
    <w:rsid w:val="00FD5B36"/>
    <w:rsid w:val="00FD5E05"/>
    <w:rsid w:val="00FD6073"/>
    <w:rsid w:val="00FD688F"/>
    <w:rsid w:val="00FD6DDC"/>
    <w:rsid w:val="00FD7163"/>
    <w:rsid w:val="00FD753A"/>
    <w:rsid w:val="00FD755E"/>
    <w:rsid w:val="00FD7602"/>
    <w:rsid w:val="00FD7886"/>
    <w:rsid w:val="00FD7897"/>
    <w:rsid w:val="00FD7E9D"/>
    <w:rsid w:val="00FD7F2E"/>
    <w:rsid w:val="00FD7F9B"/>
    <w:rsid w:val="00FE008D"/>
    <w:rsid w:val="00FE03FE"/>
    <w:rsid w:val="00FE04A5"/>
    <w:rsid w:val="00FE04ED"/>
    <w:rsid w:val="00FE069F"/>
    <w:rsid w:val="00FE0755"/>
    <w:rsid w:val="00FE07E1"/>
    <w:rsid w:val="00FE0843"/>
    <w:rsid w:val="00FE090B"/>
    <w:rsid w:val="00FE0AC8"/>
    <w:rsid w:val="00FE0D36"/>
    <w:rsid w:val="00FE0D7F"/>
    <w:rsid w:val="00FE0EB3"/>
    <w:rsid w:val="00FE1023"/>
    <w:rsid w:val="00FE1692"/>
    <w:rsid w:val="00FE1B5C"/>
    <w:rsid w:val="00FE22A0"/>
    <w:rsid w:val="00FE24F2"/>
    <w:rsid w:val="00FE257C"/>
    <w:rsid w:val="00FE2DBF"/>
    <w:rsid w:val="00FE2E55"/>
    <w:rsid w:val="00FE3254"/>
    <w:rsid w:val="00FE3401"/>
    <w:rsid w:val="00FE3407"/>
    <w:rsid w:val="00FE34E8"/>
    <w:rsid w:val="00FE376F"/>
    <w:rsid w:val="00FE3799"/>
    <w:rsid w:val="00FE3821"/>
    <w:rsid w:val="00FE3E04"/>
    <w:rsid w:val="00FE4044"/>
    <w:rsid w:val="00FE4106"/>
    <w:rsid w:val="00FE4258"/>
    <w:rsid w:val="00FE44CC"/>
    <w:rsid w:val="00FE4771"/>
    <w:rsid w:val="00FE488E"/>
    <w:rsid w:val="00FE4E6A"/>
    <w:rsid w:val="00FE51ED"/>
    <w:rsid w:val="00FE5321"/>
    <w:rsid w:val="00FE5460"/>
    <w:rsid w:val="00FE548E"/>
    <w:rsid w:val="00FE5601"/>
    <w:rsid w:val="00FE5628"/>
    <w:rsid w:val="00FE59E0"/>
    <w:rsid w:val="00FE5A97"/>
    <w:rsid w:val="00FE5B93"/>
    <w:rsid w:val="00FE5BBB"/>
    <w:rsid w:val="00FE5C90"/>
    <w:rsid w:val="00FE5DB1"/>
    <w:rsid w:val="00FE5F42"/>
    <w:rsid w:val="00FE5FDE"/>
    <w:rsid w:val="00FE617A"/>
    <w:rsid w:val="00FE6268"/>
    <w:rsid w:val="00FE67C6"/>
    <w:rsid w:val="00FE6832"/>
    <w:rsid w:val="00FE6A69"/>
    <w:rsid w:val="00FE6D50"/>
    <w:rsid w:val="00FE6F2F"/>
    <w:rsid w:val="00FE7011"/>
    <w:rsid w:val="00FE70E8"/>
    <w:rsid w:val="00FE7126"/>
    <w:rsid w:val="00FE7204"/>
    <w:rsid w:val="00FE7365"/>
    <w:rsid w:val="00FE7A49"/>
    <w:rsid w:val="00FE7C80"/>
    <w:rsid w:val="00FE7E0B"/>
    <w:rsid w:val="00FE7E87"/>
    <w:rsid w:val="00FE7EB3"/>
    <w:rsid w:val="00FE7F3A"/>
    <w:rsid w:val="00FF0117"/>
    <w:rsid w:val="00FF0186"/>
    <w:rsid w:val="00FF018C"/>
    <w:rsid w:val="00FF021D"/>
    <w:rsid w:val="00FF034C"/>
    <w:rsid w:val="00FF0531"/>
    <w:rsid w:val="00FF098A"/>
    <w:rsid w:val="00FF0D33"/>
    <w:rsid w:val="00FF0EF3"/>
    <w:rsid w:val="00FF104E"/>
    <w:rsid w:val="00FF1338"/>
    <w:rsid w:val="00FF14AF"/>
    <w:rsid w:val="00FF176A"/>
    <w:rsid w:val="00FF18BE"/>
    <w:rsid w:val="00FF1BF7"/>
    <w:rsid w:val="00FF1EE9"/>
    <w:rsid w:val="00FF1F2E"/>
    <w:rsid w:val="00FF20DF"/>
    <w:rsid w:val="00FF2606"/>
    <w:rsid w:val="00FF26FF"/>
    <w:rsid w:val="00FF27ED"/>
    <w:rsid w:val="00FF288F"/>
    <w:rsid w:val="00FF2A23"/>
    <w:rsid w:val="00FF2DD2"/>
    <w:rsid w:val="00FF2DE2"/>
    <w:rsid w:val="00FF2EF5"/>
    <w:rsid w:val="00FF32B8"/>
    <w:rsid w:val="00FF33C4"/>
    <w:rsid w:val="00FF3667"/>
    <w:rsid w:val="00FF36D5"/>
    <w:rsid w:val="00FF397E"/>
    <w:rsid w:val="00FF3C54"/>
    <w:rsid w:val="00FF3D12"/>
    <w:rsid w:val="00FF3F77"/>
    <w:rsid w:val="00FF41CD"/>
    <w:rsid w:val="00FF4252"/>
    <w:rsid w:val="00FF4492"/>
    <w:rsid w:val="00FF45E0"/>
    <w:rsid w:val="00FF45E7"/>
    <w:rsid w:val="00FF4677"/>
    <w:rsid w:val="00FF46DD"/>
    <w:rsid w:val="00FF4805"/>
    <w:rsid w:val="00FF4C0A"/>
    <w:rsid w:val="00FF4DE8"/>
    <w:rsid w:val="00FF4ECE"/>
    <w:rsid w:val="00FF4FE6"/>
    <w:rsid w:val="00FF5166"/>
    <w:rsid w:val="00FF5232"/>
    <w:rsid w:val="00FF5312"/>
    <w:rsid w:val="00FF53BC"/>
    <w:rsid w:val="00FF5456"/>
    <w:rsid w:val="00FF5652"/>
    <w:rsid w:val="00FF5A4F"/>
    <w:rsid w:val="00FF5AD3"/>
    <w:rsid w:val="00FF5CCA"/>
    <w:rsid w:val="00FF5D9C"/>
    <w:rsid w:val="00FF5F28"/>
    <w:rsid w:val="00FF5F92"/>
    <w:rsid w:val="00FF6020"/>
    <w:rsid w:val="00FF6037"/>
    <w:rsid w:val="00FF60F0"/>
    <w:rsid w:val="00FF617A"/>
    <w:rsid w:val="00FF618D"/>
    <w:rsid w:val="00FF6212"/>
    <w:rsid w:val="00FF6259"/>
    <w:rsid w:val="00FF63EB"/>
    <w:rsid w:val="00FF646F"/>
    <w:rsid w:val="00FF65AD"/>
    <w:rsid w:val="00FF6649"/>
    <w:rsid w:val="00FF6727"/>
    <w:rsid w:val="00FF698D"/>
    <w:rsid w:val="00FF70D9"/>
    <w:rsid w:val="00FF7276"/>
    <w:rsid w:val="00FF72CB"/>
    <w:rsid w:val="00FF7365"/>
    <w:rsid w:val="00FF73FB"/>
    <w:rsid w:val="00FF7485"/>
    <w:rsid w:val="00FF7524"/>
    <w:rsid w:val="00FF76CE"/>
    <w:rsid w:val="00FF79FA"/>
    <w:rsid w:val="00FF7A8A"/>
    <w:rsid w:val="00FF7D98"/>
    <w:rsid w:val="00FF7E67"/>
    <w:rsid w:val="01041260"/>
    <w:rsid w:val="0114A11F"/>
    <w:rsid w:val="01238D3A"/>
    <w:rsid w:val="012CB3B9"/>
    <w:rsid w:val="012E331E"/>
    <w:rsid w:val="012E5F02"/>
    <w:rsid w:val="012E9900"/>
    <w:rsid w:val="01316F7A"/>
    <w:rsid w:val="0134E85F"/>
    <w:rsid w:val="0136961C"/>
    <w:rsid w:val="014A30D0"/>
    <w:rsid w:val="015A906F"/>
    <w:rsid w:val="015E8D03"/>
    <w:rsid w:val="018705E4"/>
    <w:rsid w:val="018D8F85"/>
    <w:rsid w:val="018EBB5E"/>
    <w:rsid w:val="0193BE1B"/>
    <w:rsid w:val="01998101"/>
    <w:rsid w:val="0199DB8F"/>
    <w:rsid w:val="01A0A9F4"/>
    <w:rsid w:val="01A1EB0D"/>
    <w:rsid w:val="01A51322"/>
    <w:rsid w:val="01B6619C"/>
    <w:rsid w:val="01C107B8"/>
    <w:rsid w:val="01C2660A"/>
    <w:rsid w:val="01D6D0D6"/>
    <w:rsid w:val="01DD3B55"/>
    <w:rsid w:val="01EAD788"/>
    <w:rsid w:val="01EE3A70"/>
    <w:rsid w:val="01F22F73"/>
    <w:rsid w:val="01F7865D"/>
    <w:rsid w:val="01F9B1F4"/>
    <w:rsid w:val="01FA6A9A"/>
    <w:rsid w:val="01FB667B"/>
    <w:rsid w:val="020102A5"/>
    <w:rsid w:val="020B35BB"/>
    <w:rsid w:val="020B7F0B"/>
    <w:rsid w:val="02159356"/>
    <w:rsid w:val="021737E0"/>
    <w:rsid w:val="021CF38D"/>
    <w:rsid w:val="0223A23B"/>
    <w:rsid w:val="0223A3AC"/>
    <w:rsid w:val="0225B34E"/>
    <w:rsid w:val="02260319"/>
    <w:rsid w:val="02267095"/>
    <w:rsid w:val="022765E0"/>
    <w:rsid w:val="022A725B"/>
    <w:rsid w:val="022AE254"/>
    <w:rsid w:val="022B8FEF"/>
    <w:rsid w:val="02309D44"/>
    <w:rsid w:val="0230D405"/>
    <w:rsid w:val="023C86E5"/>
    <w:rsid w:val="024AA6B7"/>
    <w:rsid w:val="024D1ECB"/>
    <w:rsid w:val="0252FE6C"/>
    <w:rsid w:val="025B4D71"/>
    <w:rsid w:val="025BD303"/>
    <w:rsid w:val="02750A50"/>
    <w:rsid w:val="02797C38"/>
    <w:rsid w:val="027EA4B0"/>
    <w:rsid w:val="027F7633"/>
    <w:rsid w:val="0280F8E8"/>
    <w:rsid w:val="028632EA"/>
    <w:rsid w:val="0291139E"/>
    <w:rsid w:val="029AC450"/>
    <w:rsid w:val="02ABAD89"/>
    <w:rsid w:val="02AED379"/>
    <w:rsid w:val="02C2CD2B"/>
    <w:rsid w:val="02D82597"/>
    <w:rsid w:val="02DCC2F4"/>
    <w:rsid w:val="02DE80F7"/>
    <w:rsid w:val="02E4FAC9"/>
    <w:rsid w:val="02F7DEF4"/>
    <w:rsid w:val="0308821A"/>
    <w:rsid w:val="030EB57E"/>
    <w:rsid w:val="0314BDC9"/>
    <w:rsid w:val="0316E971"/>
    <w:rsid w:val="0326C659"/>
    <w:rsid w:val="0329F3F8"/>
    <w:rsid w:val="0338AC0E"/>
    <w:rsid w:val="033B5B51"/>
    <w:rsid w:val="03406739"/>
    <w:rsid w:val="0356B521"/>
    <w:rsid w:val="03577CF4"/>
    <w:rsid w:val="0368BE6C"/>
    <w:rsid w:val="036DC784"/>
    <w:rsid w:val="03773C28"/>
    <w:rsid w:val="037F0E26"/>
    <w:rsid w:val="0385208A"/>
    <w:rsid w:val="03948702"/>
    <w:rsid w:val="039900DA"/>
    <w:rsid w:val="039A0780"/>
    <w:rsid w:val="039D2CE5"/>
    <w:rsid w:val="03A8CDF4"/>
    <w:rsid w:val="03AF9A73"/>
    <w:rsid w:val="03B49D7E"/>
    <w:rsid w:val="03B960A9"/>
    <w:rsid w:val="03C18237"/>
    <w:rsid w:val="03C2C24A"/>
    <w:rsid w:val="03C6629E"/>
    <w:rsid w:val="03DABB4B"/>
    <w:rsid w:val="03DBCB3C"/>
    <w:rsid w:val="03DF0D86"/>
    <w:rsid w:val="03E10B4D"/>
    <w:rsid w:val="03E740B8"/>
    <w:rsid w:val="03E8452E"/>
    <w:rsid w:val="03EFEE8D"/>
    <w:rsid w:val="03F2535A"/>
    <w:rsid w:val="03F2908B"/>
    <w:rsid w:val="03F77589"/>
    <w:rsid w:val="040F4F3B"/>
    <w:rsid w:val="04246AAD"/>
    <w:rsid w:val="04263B13"/>
    <w:rsid w:val="04271CEF"/>
    <w:rsid w:val="042793A5"/>
    <w:rsid w:val="042CFCAA"/>
    <w:rsid w:val="04513D66"/>
    <w:rsid w:val="046F31CD"/>
    <w:rsid w:val="047A6DCA"/>
    <w:rsid w:val="047BDEAC"/>
    <w:rsid w:val="04801CA9"/>
    <w:rsid w:val="04822280"/>
    <w:rsid w:val="048427AB"/>
    <w:rsid w:val="048E02AF"/>
    <w:rsid w:val="04926A9C"/>
    <w:rsid w:val="0499B8DF"/>
    <w:rsid w:val="04A2CA97"/>
    <w:rsid w:val="04A6B3A1"/>
    <w:rsid w:val="04B14891"/>
    <w:rsid w:val="04B991E5"/>
    <w:rsid w:val="04BC54B5"/>
    <w:rsid w:val="04BDD09E"/>
    <w:rsid w:val="04C3ECE3"/>
    <w:rsid w:val="04C5ADD8"/>
    <w:rsid w:val="04CE8AA5"/>
    <w:rsid w:val="04E2A093"/>
    <w:rsid w:val="04F05718"/>
    <w:rsid w:val="05095854"/>
    <w:rsid w:val="0513371B"/>
    <w:rsid w:val="0518EF51"/>
    <w:rsid w:val="0520D5E8"/>
    <w:rsid w:val="05246F70"/>
    <w:rsid w:val="052673F4"/>
    <w:rsid w:val="05434928"/>
    <w:rsid w:val="0543D970"/>
    <w:rsid w:val="055059CB"/>
    <w:rsid w:val="0554FA21"/>
    <w:rsid w:val="05574ED5"/>
    <w:rsid w:val="056217C7"/>
    <w:rsid w:val="05778E06"/>
    <w:rsid w:val="0578E792"/>
    <w:rsid w:val="05865C72"/>
    <w:rsid w:val="0588D418"/>
    <w:rsid w:val="059886E3"/>
    <w:rsid w:val="059A86DD"/>
    <w:rsid w:val="059D6671"/>
    <w:rsid w:val="05A336E7"/>
    <w:rsid w:val="05A71C21"/>
    <w:rsid w:val="05AE3994"/>
    <w:rsid w:val="05BB8895"/>
    <w:rsid w:val="05BED04C"/>
    <w:rsid w:val="05CC2B3E"/>
    <w:rsid w:val="05D94010"/>
    <w:rsid w:val="05DD9737"/>
    <w:rsid w:val="05DE6E00"/>
    <w:rsid w:val="05EEE2DF"/>
    <w:rsid w:val="05F2114D"/>
    <w:rsid w:val="05F8FF6F"/>
    <w:rsid w:val="05F906E8"/>
    <w:rsid w:val="05FB4439"/>
    <w:rsid w:val="0609B507"/>
    <w:rsid w:val="060A626F"/>
    <w:rsid w:val="060C83CC"/>
    <w:rsid w:val="061608F4"/>
    <w:rsid w:val="06192024"/>
    <w:rsid w:val="064D7DA0"/>
    <w:rsid w:val="06571A61"/>
    <w:rsid w:val="0659EEDA"/>
    <w:rsid w:val="06627A3E"/>
    <w:rsid w:val="066B9C4E"/>
    <w:rsid w:val="06713396"/>
    <w:rsid w:val="0675DFE4"/>
    <w:rsid w:val="067675DA"/>
    <w:rsid w:val="0676EB6C"/>
    <w:rsid w:val="068DB282"/>
    <w:rsid w:val="068F034F"/>
    <w:rsid w:val="0693D472"/>
    <w:rsid w:val="06A95628"/>
    <w:rsid w:val="06ADD7B2"/>
    <w:rsid w:val="06AE6471"/>
    <w:rsid w:val="06B22E1A"/>
    <w:rsid w:val="06B292D8"/>
    <w:rsid w:val="06B77353"/>
    <w:rsid w:val="06BB7FFD"/>
    <w:rsid w:val="06C720A4"/>
    <w:rsid w:val="06C7AFAA"/>
    <w:rsid w:val="06CD26B9"/>
    <w:rsid w:val="06CE5B3B"/>
    <w:rsid w:val="06DB7A7B"/>
    <w:rsid w:val="06DCABB8"/>
    <w:rsid w:val="06E06655"/>
    <w:rsid w:val="06E7B947"/>
    <w:rsid w:val="06F1ABFD"/>
    <w:rsid w:val="06F4DFFF"/>
    <w:rsid w:val="06FAEBD1"/>
    <w:rsid w:val="06FB7FE3"/>
    <w:rsid w:val="070AB883"/>
    <w:rsid w:val="070C20EE"/>
    <w:rsid w:val="070C6D77"/>
    <w:rsid w:val="071B3176"/>
    <w:rsid w:val="07222CF0"/>
    <w:rsid w:val="07335F98"/>
    <w:rsid w:val="0734A2CF"/>
    <w:rsid w:val="07376DD1"/>
    <w:rsid w:val="073B8DBC"/>
    <w:rsid w:val="0748A3F8"/>
    <w:rsid w:val="074A1222"/>
    <w:rsid w:val="07537B37"/>
    <w:rsid w:val="0758F43C"/>
    <w:rsid w:val="0763BC28"/>
    <w:rsid w:val="07658E52"/>
    <w:rsid w:val="076803D4"/>
    <w:rsid w:val="076FD249"/>
    <w:rsid w:val="07723C57"/>
    <w:rsid w:val="077277C7"/>
    <w:rsid w:val="07740B56"/>
    <w:rsid w:val="077C371A"/>
    <w:rsid w:val="07835EE7"/>
    <w:rsid w:val="078A0392"/>
    <w:rsid w:val="078FE758"/>
    <w:rsid w:val="07A56128"/>
    <w:rsid w:val="07B4BED2"/>
    <w:rsid w:val="07B60120"/>
    <w:rsid w:val="07B8A0A4"/>
    <w:rsid w:val="07BB06A1"/>
    <w:rsid w:val="07BF35BB"/>
    <w:rsid w:val="07C35E75"/>
    <w:rsid w:val="07C8F2CF"/>
    <w:rsid w:val="07CF50F4"/>
    <w:rsid w:val="07CFF60D"/>
    <w:rsid w:val="07F51A77"/>
    <w:rsid w:val="07F6D136"/>
    <w:rsid w:val="08017F4C"/>
    <w:rsid w:val="08041B63"/>
    <w:rsid w:val="0820D45A"/>
    <w:rsid w:val="0823046A"/>
    <w:rsid w:val="082335B4"/>
    <w:rsid w:val="08238B46"/>
    <w:rsid w:val="082BC62A"/>
    <w:rsid w:val="082C6473"/>
    <w:rsid w:val="08317746"/>
    <w:rsid w:val="083867CC"/>
    <w:rsid w:val="083C6EBE"/>
    <w:rsid w:val="0843E092"/>
    <w:rsid w:val="084A945F"/>
    <w:rsid w:val="08591CB2"/>
    <w:rsid w:val="085B37DB"/>
    <w:rsid w:val="085D6587"/>
    <w:rsid w:val="085F1624"/>
    <w:rsid w:val="0861B953"/>
    <w:rsid w:val="0875F6E6"/>
    <w:rsid w:val="087FA83F"/>
    <w:rsid w:val="08801907"/>
    <w:rsid w:val="089E0631"/>
    <w:rsid w:val="08A425A9"/>
    <w:rsid w:val="08A4CB20"/>
    <w:rsid w:val="08B8AF7D"/>
    <w:rsid w:val="08CE92A7"/>
    <w:rsid w:val="08D09385"/>
    <w:rsid w:val="08DEE741"/>
    <w:rsid w:val="08E682F9"/>
    <w:rsid w:val="08EFCDC1"/>
    <w:rsid w:val="09050121"/>
    <w:rsid w:val="090CBE08"/>
    <w:rsid w:val="09277901"/>
    <w:rsid w:val="092C81B4"/>
    <w:rsid w:val="09356351"/>
    <w:rsid w:val="093BF578"/>
    <w:rsid w:val="093EE940"/>
    <w:rsid w:val="09516F1B"/>
    <w:rsid w:val="095208A9"/>
    <w:rsid w:val="0976B610"/>
    <w:rsid w:val="098E517D"/>
    <w:rsid w:val="09983372"/>
    <w:rsid w:val="099890FB"/>
    <w:rsid w:val="09BDD3A6"/>
    <w:rsid w:val="09CCA6E3"/>
    <w:rsid w:val="09CDD449"/>
    <w:rsid w:val="09D6FE23"/>
    <w:rsid w:val="09DE1748"/>
    <w:rsid w:val="09E930F2"/>
    <w:rsid w:val="0A0D7857"/>
    <w:rsid w:val="0A246B5A"/>
    <w:rsid w:val="0A35DE8A"/>
    <w:rsid w:val="0A4A7CD4"/>
    <w:rsid w:val="0A54F751"/>
    <w:rsid w:val="0A5C628C"/>
    <w:rsid w:val="0A67635F"/>
    <w:rsid w:val="0A78EA2A"/>
    <w:rsid w:val="0A8A8C23"/>
    <w:rsid w:val="0AA18B2A"/>
    <w:rsid w:val="0AB2D573"/>
    <w:rsid w:val="0AB3422D"/>
    <w:rsid w:val="0AB60DBB"/>
    <w:rsid w:val="0AD008B7"/>
    <w:rsid w:val="0AE85A99"/>
    <w:rsid w:val="0AEA3B86"/>
    <w:rsid w:val="0AEEDC61"/>
    <w:rsid w:val="0AF9BB30"/>
    <w:rsid w:val="0AFD5237"/>
    <w:rsid w:val="0B0E010F"/>
    <w:rsid w:val="0B0E7E84"/>
    <w:rsid w:val="0B214C3A"/>
    <w:rsid w:val="0B21DBC6"/>
    <w:rsid w:val="0B238675"/>
    <w:rsid w:val="0B2C8F35"/>
    <w:rsid w:val="0B33ACF9"/>
    <w:rsid w:val="0B518765"/>
    <w:rsid w:val="0B557353"/>
    <w:rsid w:val="0B5BC20B"/>
    <w:rsid w:val="0B6D8F84"/>
    <w:rsid w:val="0B6F423D"/>
    <w:rsid w:val="0B7B7334"/>
    <w:rsid w:val="0B86B762"/>
    <w:rsid w:val="0B8C29D5"/>
    <w:rsid w:val="0B9C55D5"/>
    <w:rsid w:val="0BAB39D5"/>
    <w:rsid w:val="0BAEA5F2"/>
    <w:rsid w:val="0BBD937A"/>
    <w:rsid w:val="0BCB8A13"/>
    <w:rsid w:val="0BCF8DE4"/>
    <w:rsid w:val="0BDEF2B5"/>
    <w:rsid w:val="0BDFB5B8"/>
    <w:rsid w:val="0BE26C9A"/>
    <w:rsid w:val="0BECF481"/>
    <w:rsid w:val="0BED763F"/>
    <w:rsid w:val="0BF48272"/>
    <w:rsid w:val="0BF6B357"/>
    <w:rsid w:val="0C04FEE8"/>
    <w:rsid w:val="0C06D811"/>
    <w:rsid w:val="0C094406"/>
    <w:rsid w:val="0C0CCE93"/>
    <w:rsid w:val="0C1859F8"/>
    <w:rsid w:val="0C19C604"/>
    <w:rsid w:val="0C1E9587"/>
    <w:rsid w:val="0C23CFC2"/>
    <w:rsid w:val="0C317E2A"/>
    <w:rsid w:val="0C3C4321"/>
    <w:rsid w:val="0C3F7C29"/>
    <w:rsid w:val="0C45FB7B"/>
    <w:rsid w:val="0C510516"/>
    <w:rsid w:val="0C566F50"/>
    <w:rsid w:val="0C5B0919"/>
    <w:rsid w:val="0C6409C8"/>
    <w:rsid w:val="0C97BA2E"/>
    <w:rsid w:val="0C9C88A7"/>
    <w:rsid w:val="0CA62602"/>
    <w:rsid w:val="0CA88D8C"/>
    <w:rsid w:val="0CA88FD5"/>
    <w:rsid w:val="0CADC102"/>
    <w:rsid w:val="0CB19BA2"/>
    <w:rsid w:val="0CB25270"/>
    <w:rsid w:val="0CB73510"/>
    <w:rsid w:val="0CB97245"/>
    <w:rsid w:val="0CBCFED5"/>
    <w:rsid w:val="0CBDA40F"/>
    <w:rsid w:val="0CC13F44"/>
    <w:rsid w:val="0CC3618B"/>
    <w:rsid w:val="0CC80772"/>
    <w:rsid w:val="0CCB2E3C"/>
    <w:rsid w:val="0CD2F137"/>
    <w:rsid w:val="0CD5E476"/>
    <w:rsid w:val="0CDA167A"/>
    <w:rsid w:val="0CDDA01D"/>
    <w:rsid w:val="0CE5E2EF"/>
    <w:rsid w:val="0CEF460B"/>
    <w:rsid w:val="0D1504E1"/>
    <w:rsid w:val="0D171B3A"/>
    <w:rsid w:val="0D1B3655"/>
    <w:rsid w:val="0D24FCEB"/>
    <w:rsid w:val="0D3FE932"/>
    <w:rsid w:val="0D41FFF9"/>
    <w:rsid w:val="0D4201E3"/>
    <w:rsid w:val="0D49CCCF"/>
    <w:rsid w:val="0D4EB299"/>
    <w:rsid w:val="0D6746FD"/>
    <w:rsid w:val="0D72070C"/>
    <w:rsid w:val="0D763283"/>
    <w:rsid w:val="0D763892"/>
    <w:rsid w:val="0D86718A"/>
    <w:rsid w:val="0D8A8EA8"/>
    <w:rsid w:val="0D957C17"/>
    <w:rsid w:val="0D9A31DF"/>
    <w:rsid w:val="0D9EF5C1"/>
    <w:rsid w:val="0DB262D9"/>
    <w:rsid w:val="0DBA9D3E"/>
    <w:rsid w:val="0DC1272B"/>
    <w:rsid w:val="0DC428A9"/>
    <w:rsid w:val="0DCE98FD"/>
    <w:rsid w:val="0DD75CD2"/>
    <w:rsid w:val="0DE1A092"/>
    <w:rsid w:val="0DE42307"/>
    <w:rsid w:val="0DED3B3E"/>
    <w:rsid w:val="0DF630DF"/>
    <w:rsid w:val="0DF959DF"/>
    <w:rsid w:val="0E074777"/>
    <w:rsid w:val="0E1F1A9F"/>
    <w:rsid w:val="0E219051"/>
    <w:rsid w:val="0E23B0FB"/>
    <w:rsid w:val="0E2B0F96"/>
    <w:rsid w:val="0E2E98CF"/>
    <w:rsid w:val="0E340D13"/>
    <w:rsid w:val="0E3F9A8E"/>
    <w:rsid w:val="0E40CAAB"/>
    <w:rsid w:val="0E458083"/>
    <w:rsid w:val="0E5771B7"/>
    <w:rsid w:val="0E587F0B"/>
    <w:rsid w:val="0E64A453"/>
    <w:rsid w:val="0E8B2425"/>
    <w:rsid w:val="0E90F9A4"/>
    <w:rsid w:val="0E99A251"/>
    <w:rsid w:val="0EB4D942"/>
    <w:rsid w:val="0EB7035D"/>
    <w:rsid w:val="0EB82652"/>
    <w:rsid w:val="0EC6ACA1"/>
    <w:rsid w:val="0ED2B837"/>
    <w:rsid w:val="0EEA0F2F"/>
    <w:rsid w:val="0EEA63D7"/>
    <w:rsid w:val="0EEFA1A4"/>
    <w:rsid w:val="0EF0E8BC"/>
    <w:rsid w:val="0EF23066"/>
    <w:rsid w:val="0EF6E887"/>
    <w:rsid w:val="0EF7DF22"/>
    <w:rsid w:val="0EFCFACD"/>
    <w:rsid w:val="0F06758A"/>
    <w:rsid w:val="0F0A9DB7"/>
    <w:rsid w:val="0F2B01B2"/>
    <w:rsid w:val="0F32FBF0"/>
    <w:rsid w:val="0F3F39E1"/>
    <w:rsid w:val="0F41C251"/>
    <w:rsid w:val="0F4553B1"/>
    <w:rsid w:val="0F45734B"/>
    <w:rsid w:val="0F4907E9"/>
    <w:rsid w:val="0F571B30"/>
    <w:rsid w:val="0F5DC200"/>
    <w:rsid w:val="0F669F68"/>
    <w:rsid w:val="0F6916F3"/>
    <w:rsid w:val="0F6D7FEF"/>
    <w:rsid w:val="0F6EF77B"/>
    <w:rsid w:val="0F72A334"/>
    <w:rsid w:val="0F80B27B"/>
    <w:rsid w:val="0F896507"/>
    <w:rsid w:val="0F8CC588"/>
    <w:rsid w:val="0F8CF1C9"/>
    <w:rsid w:val="0F965494"/>
    <w:rsid w:val="0F96D199"/>
    <w:rsid w:val="0F9BE73B"/>
    <w:rsid w:val="0F9D8C88"/>
    <w:rsid w:val="0FA7EC17"/>
    <w:rsid w:val="0FB3CF1F"/>
    <w:rsid w:val="0FB6E161"/>
    <w:rsid w:val="0FC9E5DE"/>
    <w:rsid w:val="0FCDD715"/>
    <w:rsid w:val="0FD565EB"/>
    <w:rsid w:val="0FD5EA3E"/>
    <w:rsid w:val="0FE8F16F"/>
    <w:rsid w:val="0FF3FE9B"/>
    <w:rsid w:val="0FFD0BC7"/>
    <w:rsid w:val="1001EC86"/>
    <w:rsid w:val="100C49B5"/>
    <w:rsid w:val="102EDD87"/>
    <w:rsid w:val="1036E4FC"/>
    <w:rsid w:val="103DB487"/>
    <w:rsid w:val="1041BF03"/>
    <w:rsid w:val="10444E1C"/>
    <w:rsid w:val="104AB30C"/>
    <w:rsid w:val="106B2DF3"/>
    <w:rsid w:val="1074E253"/>
    <w:rsid w:val="10869DBF"/>
    <w:rsid w:val="10881C88"/>
    <w:rsid w:val="109933C3"/>
    <w:rsid w:val="109C030A"/>
    <w:rsid w:val="10A52A56"/>
    <w:rsid w:val="10AEE5F8"/>
    <w:rsid w:val="10B05723"/>
    <w:rsid w:val="10C6DD5B"/>
    <w:rsid w:val="10CF1A48"/>
    <w:rsid w:val="10D1BAB3"/>
    <w:rsid w:val="10DC8F32"/>
    <w:rsid w:val="10F3B45D"/>
    <w:rsid w:val="10F62C15"/>
    <w:rsid w:val="10F95B47"/>
    <w:rsid w:val="10FC1E25"/>
    <w:rsid w:val="10FED4D6"/>
    <w:rsid w:val="110BA90D"/>
    <w:rsid w:val="110CB882"/>
    <w:rsid w:val="110F742D"/>
    <w:rsid w:val="111D8C49"/>
    <w:rsid w:val="112AE266"/>
    <w:rsid w:val="1131CD6F"/>
    <w:rsid w:val="1136DE2F"/>
    <w:rsid w:val="113CCE7A"/>
    <w:rsid w:val="1144D099"/>
    <w:rsid w:val="1146D649"/>
    <w:rsid w:val="114F71CC"/>
    <w:rsid w:val="114FB3EC"/>
    <w:rsid w:val="1168DE78"/>
    <w:rsid w:val="1169387B"/>
    <w:rsid w:val="11742C07"/>
    <w:rsid w:val="1177C20B"/>
    <w:rsid w:val="1183CFBA"/>
    <w:rsid w:val="1186E1D8"/>
    <w:rsid w:val="118D889B"/>
    <w:rsid w:val="118E5631"/>
    <w:rsid w:val="119447C5"/>
    <w:rsid w:val="11992929"/>
    <w:rsid w:val="11A7A41D"/>
    <w:rsid w:val="11AAAD57"/>
    <w:rsid w:val="11AEE9E9"/>
    <w:rsid w:val="11B93ABE"/>
    <w:rsid w:val="11CE76CB"/>
    <w:rsid w:val="11D7EC1B"/>
    <w:rsid w:val="11EBE985"/>
    <w:rsid w:val="11F0B108"/>
    <w:rsid w:val="11FFAE6F"/>
    <w:rsid w:val="1203012C"/>
    <w:rsid w:val="12112D87"/>
    <w:rsid w:val="121C73CC"/>
    <w:rsid w:val="123CE654"/>
    <w:rsid w:val="123D6FC0"/>
    <w:rsid w:val="1240FDB3"/>
    <w:rsid w:val="124A2D39"/>
    <w:rsid w:val="1256ECB9"/>
    <w:rsid w:val="12574E2C"/>
    <w:rsid w:val="1277E08F"/>
    <w:rsid w:val="127CB382"/>
    <w:rsid w:val="127CC264"/>
    <w:rsid w:val="127D6EF4"/>
    <w:rsid w:val="12A05C01"/>
    <w:rsid w:val="12A1CFF6"/>
    <w:rsid w:val="12A2DF8F"/>
    <w:rsid w:val="12BE5F3E"/>
    <w:rsid w:val="12C459C3"/>
    <w:rsid w:val="12C48B03"/>
    <w:rsid w:val="12DEEC87"/>
    <w:rsid w:val="12F040F1"/>
    <w:rsid w:val="12F08326"/>
    <w:rsid w:val="12F289AE"/>
    <w:rsid w:val="12F30649"/>
    <w:rsid w:val="12FA9A15"/>
    <w:rsid w:val="12FE107B"/>
    <w:rsid w:val="130088F7"/>
    <w:rsid w:val="130A9DC1"/>
    <w:rsid w:val="13156CA8"/>
    <w:rsid w:val="1318BF41"/>
    <w:rsid w:val="13197950"/>
    <w:rsid w:val="1321D99C"/>
    <w:rsid w:val="132558D0"/>
    <w:rsid w:val="132F2AAF"/>
    <w:rsid w:val="132FC2DB"/>
    <w:rsid w:val="1333873F"/>
    <w:rsid w:val="133A4DE2"/>
    <w:rsid w:val="133F3A8B"/>
    <w:rsid w:val="1340B228"/>
    <w:rsid w:val="1344CEFD"/>
    <w:rsid w:val="13458051"/>
    <w:rsid w:val="1347FB0E"/>
    <w:rsid w:val="134A6F49"/>
    <w:rsid w:val="1352D27C"/>
    <w:rsid w:val="13663FC7"/>
    <w:rsid w:val="136884F7"/>
    <w:rsid w:val="136FB9C0"/>
    <w:rsid w:val="1374A2E1"/>
    <w:rsid w:val="137C90D8"/>
    <w:rsid w:val="137E0B7E"/>
    <w:rsid w:val="138F99DF"/>
    <w:rsid w:val="13954365"/>
    <w:rsid w:val="13961932"/>
    <w:rsid w:val="139AE570"/>
    <w:rsid w:val="139CD3F2"/>
    <w:rsid w:val="13A10C39"/>
    <w:rsid w:val="13AB3510"/>
    <w:rsid w:val="13AEBCBF"/>
    <w:rsid w:val="13B361EF"/>
    <w:rsid w:val="13BA3CF6"/>
    <w:rsid w:val="13BB5D07"/>
    <w:rsid w:val="13C49D18"/>
    <w:rsid w:val="13C7172A"/>
    <w:rsid w:val="13D30DD6"/>
    <w:rsid w:val="13EB01F2"/>
    <w:rsid w:val="13F4D6A4"/>
    <w:rsid w:val="13FAAF8C"/>
    <w:rsid w:val="140744A5"/>
    <w:rsid w:val="14100923"/>
    <w:rsid w:val="1424DD84"/>
    <w:rsid w:val="142C6D1B"/>
    <w:rsid w:val="14305477"/>
    <w:rsid w:val="1436A144"/>
    <w:rsid w:val="1442D6FB"/>
    <w:rsid w:val="14497C71"/>
    <w:rsid w:val="1455C679"/>
    <w:rsid w:val="145710AD"/>
    <w:rsid w:val="14667D06"/>
    <w:rsid w:val="146CC5C8"/>
    <w:rsid w:val="146CDF8D"/>
    <w:rsid w:val="147219B1"/>
    <w:rsid w:val="147EFC1E"/>
    <w:rsid w:val="1487B542"/>
    <w:rsid w:val="148B409D"/>
    <w:rsid w:val="1498EB79"/>
    <w:rsid w:val="149A83F7"/>
    <w:rsid w:val="14A660A5"/>
    <w:rsid w:val="14A8D224"/>
    <w:rsid w:val="14B81761"/>
    <w:rsid w:val="14C26280"/>
    <w:rsid w:val="14CA0155"/>
    <w:rsid w:val="14DA6AFF"/>
    <w:rsid w:val="14E10412"/>
    <w:rsid w:val="14FE4DFC"/>
    <w:rsid w:val="1501D653"/>
    <w:rsid w:val="150207C9"/>
    <w:rsid w:val="1502C989"/>
    <w:rsid w:val="150FB28B"/>
    <w:rsid w:val="1512DBA3"/>
    <w:rsid w:val="1518BBB0"/>
    <w:rsid w:val="151BB222"/>
    <w:rsid w:val="151C1248"/>
    <w:rsid w:val="15205698"/>
    <w:rsid w:val="15278035"/>
    <w:rsid w:val="1527852E"/>
    <w:rsid w:val="152ABCF5"/>
    <w:rsid w:val="15304405"/>
    <w:rsid w:val="1530F0AC"/>
    <w:rsid w:val="153CB4D4"/>
    <w:rsid w:val="153FE350"/>
    <w:rsid w:val="1555D3F5"/>
    <w:rsid w:val="1556EC8F"/>
    <w:rsid w:val="155AF7E4"/>
    <w:rsid w:val="1561DDD0"/>
    <w:rsid w:val="1562C5CD"/>
    <w:rsid w:val="1565DF49"/>
    <w:rsid w:val="156F9B9F"/>
    <w:rsid w:val="1576FCE4"/>
    <w:rsid w:val="1598DA4B"/>
    <w:rsid w:val="15A61B34"/>
    <w:rsid w:val="15B3EADB"/>
    <w:rsid w:val="15B7CD6C"/>
    <w:rsid w:val="15B940D2"/>
    <w:rsid w:val="15B9B08C"/>
    <w:rsid w:val="15C5F043"/>
    <w:rsid w:val="15C72446"/>
    <w:rsid w:val="15C977E2"/>
    <w:rsid w:val="15D1ACAB"/>
    <w:rsid w:val="15D377E2"/>
    <w:rsid w:val="15D5AE4B"/>
    <w:rsid w:val="15E43B77"/>
    <w:rsid w:val="15EB6B6A"/>
    <w:rsid w:val="15F7380D"/>
    <w:rsid w:val="15FF6630"/>
    <w:rsid w:val="1605D5A6"/>
    <w:rsid w:val="1614EDFB"/>
    <w:rsid w:val="16271DA4"/>
    <w:rsid w:val="1631D04E"/>
    <w:rsid w:val="1637393F"/>
    <w:rsid w:val="16379A1B"/>
    <w:rsid w:val="163817E1"/>
    <w:rsid w:val="163A666A"/>
    <w:rsid w:val="163B2DFE"/>
    <w:rsid w:val="16404BB9"/>
    <w:rsid w:val="16595B97"/>
    <w:rsid w:val="16606270"/>
    <w:rsid w:val="1662D3C7"/>
    <w:rsid w:val="16695B0D"/>
    <w:rsid w:val="166DFC98"/>
    <w:rsid w:val="167BA637"/>
    <w:rsid w:val="167C0DB8"/>
    <w:rsid w:val="1682F4D8"/>
    <w:rsid w:val="16857557"/>
    <w:rsid w:val="1696C1BC"/>
    <w:rsid w:val="1698F9B2"/>
    <w:rsid w:val="1699D830"/>
    <w:rsid w:val="169D02A5"/>
    <w:rsid w:val="169F2CA7"/>
    <w:rsid w:val="16A12E81"/>
    <w:rsid w:val="16A5595D"/>
    <w:rsid w:val="16BCCD1C"/>
    <w:rsid w:val="16BE840E"/>
    <w:rsid w:val="16D1418A"/>
    <w:rsid w:val="16D1FB41"/>
    <w:rsid w:val="16D9A738"/>
    <w:rsid w:val="16E87A5D"/>
    <w:rsid w:val="16E96A57"/>
    <w:rsid w:val="16EEF8F6"/>
    <w:rsid w:val="16F8F56E"/>
    <w:rsid w:val="16F964EB"/>
    <w:rsid w:val="16FD6E79"/>
    <w:rsid w:val="170546E9"/>
    <w:rsid w:val="17064BFB"/>
    <w:rsid w:val="171342A0"/>
    <w:rsid w:val="17281173"/>
    <w:rsid w:val="17302DAF"/>
    <w:rsid w:val="175F26F5"/>
    <w:rsid w:val="17616ACD"/>
    <w:rsid w:val="17716577"/>
    <w:rsid w:val="177CCC4C"/>
    <w:rsid w:val="17852BB9"/>
    <w:rsid w:val="17930385"/>
    <w:rsid w:val="1796C36C"/>
    <w:rsid w:val="179ACF77"/>
    <w:rsid w:val="17A543E1"/>
    <w:rsid w:val="17AA0108"/>
    <w:rsid w:val="17AD352D"/>
    <w:rsid w:val="17B8319E"/>
    <w:rsid w:val="17B8CB7E"/>
    <w:rsid w:val="17C6F58F"/>
    <w:rsid w:val="17CFCF58"/>
    <w:rsid w:val="17D34F6E"/>
    <w:rsid w:val="17D98D7C"/>
    <w:rsid w:val="180DBF22"/>
    <w:rsid w:val="180ED5E1"/>
    <w:rsid w:val="18125FD6"/>
    <w:rsid w:val="182076DB"/>
    <w:rsid w:val="1823057B"/>
    <w:rsid w:val="1829DE70"/>
    <w:rsid w:val="182CE9DE"/>
    <w:rsid w:val="182D5A53"/>
    <w:rsid w:val="18306191"/>
    <w:rsid w:val="18357F64"/>
    <w:rsid w:val="183BBBCB"/>
    <w:rsid w:val="1845480B"/>
    <w:rsid w:val="18466175"/>
    <w:rsid w:val="184AE855"/>
    <w:rsid w:val="18557840"/>
    <w:rsid w:val="185E5B07"/>
    <w:rsid w:val="1868C5B1"/>
    <w:rsid w:val="186F527B"/>
    <w:rsid w:val="186F935A"/>
    <w:rsid w:val="18779922"/>
    <w:rsid w:val="1881401A"/>
    <w:rsid w:val="188991F3"/>
    <w:rsid w:val="18928FB0"/>
    <w:rsid w:val="18935600"/>
    <w:rsid w:val="1894446F"/>
    <w:rsid w:val="1894E2CF"/>
    <w:rsid w:val="18B3FD2E"/>
    <w:rsid w:val="18BB7CC8"/>
    <w:rsid w:val="18D00C14"/>
    <w:rsid w:val="18D12319"/>
    <w:rsid w:val="18D3F376"/>
    <w:rsid w:val="18D760A2"/>
    <w:rsid w:val="18E007B4"/>
    <w:rsid w:val="18E84A07"/>
    <w:rsid w:val="18EB0C33"/>
    <w:rsid w:val="18F75439"/>
    <w:rsid w:val="18FB66B0"/>
    <w:rsid w:val="191A8DA9"/>
    <w:rsid w:val="191C055D"/>
    <w:rsid w:val="191FFB77"/>
    <w:rsid w:val="19216507"/>
    <w:rsid w:val="192BFE2E"/>
    <w:rsid w:val="19335E9E"/>
    <w:rsid w:val="1940F4DE"/>
    <w:rsid w:val="194E0C44"/>
    <w:rsid w:val="1951D8B8"/>
    <w:rsid w:val="1955B3C1"/>
    <w:rsid w:val="197733D6"/>
    <w:rsid w:val="1981ADE2"/>
    <w:rsid w:val="19903C7B"/>
    <w:rsid w:val="19971899"/>
    <w:rsid w:val="19BB147D"/>
    <w:rsid w:val="19BE46D7"/>
    <w:rsid w:val="19C11840"/>
    <w:rsid w:val="19C259E0"/>
    <w:rsid w:val="19C437FE"/>
    <w:rsid w:val="19C95DEB"/>
    <w:rsid w:val="19CEACD2"/>
    <w:rsid w:val="19E3B220"/>
    <w:rsid w:val="19E6D464"/>
    <w:rsid w:val="19EA8407"/>
    <w:rsid w:val="19F384DE"/>
    <w:rsid w:val="19F71AB4"/>
    <w:rsid w:val="1A0DFB6F"/>
    <w:rsid w:val="1A10D236"/>
    <w:rsid w:val="1A11A7C2"/>
    <w:rsid w:val="1A1B9639"/>
    <w:rsid w:val="1A1E4A15"/>
    <w:rsid w:val="1A2301B1"/>
    <w:rsid w:val="1A23DA56"/>
    <w:rsid w:val="1A3D9B4D"/>
    <w:rsid w:val="1A485D53"/>
    <w:rsid w:val="1A4B73FA"/>
    <w:rsid w:val="1A4FA36A"/>
    <w:rsid w:val="1A531BE5"/>
    <w:rsid w:val="1A61A3AD"/>
    <w:rsid w:val="1A64F7AE"/>
    <w:rsid w:val="1A676415"/>
    <w:rsid w:val="1A6A1483"/>
    <w:rsid w:val="1A71BAA0"/>
    <w:rsid w:val="1A71FF44"/>
    <w:rsid w:val="1A737946"/>
    <w:rsid w:val="1A74FA43"/>
    <w:rsid w:val="1A77D027"/>
    <w:rsid w:val="1A799B3A"/>
    <w:rsid w:val="1A7CCF1A"/>
    <w:rsid w:val="1A8DD4FB"/>
    <w:rsid w:val="1A9CD036"/>
    <w:rsid w:val="1A9D609A"/>
    <w:rsid w:val="1AAED397"/>
    <w:rsid w:val="1AB9DF65"/>
    <w:rsid w:val="1ABA0057"/>
    <w:rsid w:val="1ABF4B30"/>
    <w:rsid w:val="1AC11DB2"/>
    <w:rsid w:val="1AC6BD3A"/>
    <w:rsid w:val="1ACF09B0"/>
    <w:rsid w:val="1AD0B1AD"/>
    <w:rsid w:val="1AD0D4A9"/>
    <w:rsid w:val="1ADCD41A"/>
    <w:rsid w:val="1AE0633E"/>
    <w:rsid w:val="1AE3C561"/>
    <w:rsid w:val="1AE99D68"/>
    <w:rsid w:val="1AEA5BA9"/>
    <w:rsid w:val="1AFAF5DB"/>
    <w:rsid w:val="1AFF50E1"/>
    <w:rsid w:val="1AFF760C"/>
    <w:rsid w:val="1B03C9AF"/>
    <w:rsid w:val="1B116DE8"/>
    <w:rsid w:val="1B11B9DA"/>
    <w:rsid w:val="1B1BCEE9"/>
    <w:rsid w:val="1B20F6F5"/>
    <w:rsid w:val="1B286B14"/>
    <w:rsid w:val="1B354BDB"/>
    <w:rsid w:val="1B3CDAEA"/>
    <w:rsid w:val="1B3E8BCC"/>
    <w:rsid w:val="1B436DD1"/>
    <w:rsid w:val="1B4A9B95"/>
    <w:rsid w:val="1B4B42EC"/>
    <w:rsid w:val="1B537E74"/>
    <w:rsid w:val="1B6AED6A"/>
    <w:rsid w:val="1B73F96A"/>
    <w:rsid w:val="1B77B883"/>
    <w:rsid w:val="1B79037D"/>
    <w:rsid w:val="1B7CD4A3"/>
    <w:rsid w:val="1B804E2C"/>
    <w:rsid w:val="1B86D93F"/>
    <w:rsid w:val="1B86E8E3"/>
    <w:rsid w:val="1B872E08"/>
    <w:rsid w:val="1B87E6D5"/>
    <w:rsid w:val="1B89A449"/>
    <w:rsid w:val="1B931A09"/>
    <w:rsid w:val="1B96D84A"/>
    <w:rsid w:val="1B9CF3AB"/>
    <w:rsid w:val="1BA7AD7C"/>
    <w:rsid w:val="1BA8C3E7"/>
    <w:rsid w:val="1BBC1B02"/>
    <w:rsid w:val="1BC98F6E"/>
    <w:rsid w:val="1BD0C673"/>
    <w:rsid w:val="1BD357FA"/>
    <w:rsid w:val="1BE2E1B6"/>
    <w:rsid w:val="1BE30B56"/>
    <w:rsid w:val="1BE5ED40"/>
    <w:rsid w:val="1BE8BB04"/>
    <w:rsid w:val="1BEFC43D"/>
    <w:rsid w:val="1BF2C025"/>
    <w:rsid w:val="1C17243C"/>
    <w:rsid w:val="1C18D987"/>
    <w:rsid w:val="1C1FDD66"/>
    <w:rsid w:val="1C29F5D0"/>
    <w:rsid w:val="1C2AD3DB"/>
    <w:rsid w:val="1C33AFE9"/>
    <w:rsid w:val="1C33B6AB"/>
    <w:rsid w:val="1C349851"/>
    <w:rsid w:val="1C38202D"/>
    <w:rsid w:val="1C3C66A8"/>
    <w:rsid w:val="1C3C7C19"/>
    <w:rsid w:val="1C45EA37"/>
    <w:rsid w:val="1C4D334D"/>
    <w:rsid w:val="1C562734"/>
    <w:rsid w:val="1C584350"/>
    <w:rsid w:val="1C842F9A"/>
    <w:rsid w:val="1C925B42"/>
    <w:rsid w:val="1C976E96"/>
    <w:rsid w:val="1C993924"/>
    <w:rsid w:val="1CA46E71"/>
    <w:rsid w:val="1CA701D1"/>
    <w:rsid w:val="1CAB1AE4"/>
    <w:rsid w:val="1CC8AFAE"/>
    <w:rsid w:val="1CCD6DDD"/>
    <w:rsid w:val="1CD4298D"/>
    <w:rsid w:val="1CE284B2"/>
    <w:rsid w:val="1CE606B5"/>
    <w:rsid w:val="1CE93D5D"/>
    <w:rsid w:val="1CE9C055"/>
    <w:rsid w:val="1CEB2E82"/>
    <w:rsid w:val="1CEC2596"/>
    <w:rsid w:val="1D016DB6"/>
    <w:rsid w:val="1D1CF868"/>
    <w:rsid w:val="1D2D5091"/>
    <w:rsid w:val="1D2E3903"/>
    <w:rsid w:val="1D2E9E25"/>
    <w:rsid w:val="1D3811A7"/>
    <w:rsid w:val="1D3B8252"/>
    <w:rsid w:val="1D63525D"/>
    <w:rsid w:val="1D6B1567"/>
    <w:rsid w:val="1D6C4683"/>
    <w:rsid w:val="1D772B7C"/>
    <w:rsid w:val="1D7CB97D"/>
    <w:rsid w:val="1D82131A"/>
    <w:rsid w:val="1D8354C8"/>
    <w:rsid w:val="1D8871AF"/>
    <w:rsid w:val="1D8AD476"/>
    <w:rsid w:val="1D901B40"/>
    <w:rsid w:val="1D9A7A2E"/>
    <w:rsid w:val="1D9B4A43"/>
    <w:rsid w:val="1D9EBE1B"/>
    <w:rsid w:val="1DA129AB"/>
    <w:rsid w:val="1DB3F667"/>
    <w:rsid w:val="1DB636D7"/>
    <w:rsid w:val="1DBA1602"/>
    <w:rsid w:val="1DBBE2F0"/>
    <w:rsid w:val="1DC21CD7"/>
    <w:rsid w:val="1DC6EAEE"/>
    <w:rsid w:val="1DD2E36B"/>
    <w:rsid w:val="1DDFC7A7"/>
    <w:rsid w:val="1DE2CDAB"/>
    <w:rsid w:val="1DE7BC68"/>
    <w:rsid w:val="1DE82EB7"/>
    <w:rsid w:val="1DEE8DDE"/>
    <w:rsid w:val="1DEFB923"/>
    <w:rsid w:val="1DF211F9"/>
    <w:rsid w:val="1DFC00C9"/>
    <w:rsid w:val="1E03A110"/>
    <w:rsid w:val="1E1773F8"/>
    <w:rsid w:val="1E228D81"/>
    <w:rsid w:val="1E26ADAE"/>
    <w:rsid w:val="1E2A4B12"/>
    <w:rsid w:val="1E2C0C5D"/>
    <w:rsid w:val="1E2C1FBA"/>
    <w:rsid w:val="1E39D0B3"/>
    <w:rsid w:val="1E3C0D53"/>
    <w:rsid w:val="1E3FA8A2"/>
    <w:rsid w:val="1E473850"/>
    <w:rsid w:val="1E4A82FE"/>
    <w:rsid w:val="1E4EB1A8"/>
    <w:rsid w:val="1E4F36A2"/>
    <w:rsid w:val="1E672120"/>
    <w:rsid w:val="1E79632E"/>
    <w:rsid w:val="1E8220E3"/>
    <w:rsid w:val="1E86C7F6"/>
    <w:rsid w:val="1E8FB820"/>
    <w:rsid w:val="1E92BA97"/>
    <w:rsid w:val="1EA48D96"/>
    <w:rsid w:val="1EC285E1"/>
    <w:rsid w:val="1EC4C2C7"/>
    <w:rsid w:val="1ECBE912"/>
    <w:rsid w:val="1ECE984A"/>
    <w:rsid w:val="1EE23E50"/>
    <w:rsid w:val="1EE40FD9"/>
    <w:rsid w:val="1EE65140"/>
    <w:rsid w:val="1EEEE5B8"/>
    <w:rsid w:val="1EEF7F8D"/>
    <w:rsid w:val="1EF0F576"/>
    <w:rsid w:val="1EFBB753"/>
    <w:rsid w:val="1F008639"/>
    <w:rsid w:val="1F01095C"/>
    <w:rsid w:val="1F03C4C6"/>
    <w:rsid w:val="1F081CD9"/>
    <w:rsid w:val="1F09672A"/>
    <w:rsid w:val="1F14B26D"/>
    <w:rsid w:val="1F158739"/>
    <w:rsid w:val="1F1896C6"/>
    <w:rsid w:val="1F34EF93"/>
    <w:rsid w:val="1F4E079D"/>
    <w:rsid w:val="1F520ABE"/>
    <w:rsid w:val="1F58150E"/>
    <w:rsid w:val="1F593B3A"/>
    <w:rsid w:val="1F5E8B37"/>
    <w:rsid w:val="1F76B674"/>
    <w:rsid w:val="1F86440E"/>
    <w:rsid w:val="1F8E51A6"/>
    <w:rsid w:val="1F9C705D"/>
    <w:rsid w:val="1F9FE9C8"/>
    <w:rsid w:val="1FA2A83F"/>
    <w:rsid w:val="1FA50D5F"/>
    <w:rsid w:val="1FAC4D90"/>
    <w:rsid w:val="1FC582E8"/>
    <w:rsid w:val="1FCF8DB7"/>
    <w:rsid w:val="1FD2F5F0"/>
    <w:rsid w:val="1FD632E9"/>
    <w:rsid w:val="1FDFB7C4"/>
    <w:rsid w:val="1FE460D7"/>
    <w:rsid w:val="1FE56F16"/>
    <w:rsid w:val="1FEAC0E9"/>
    <w:rsid w:val="1FEC517C"/>
    <w:rsid w:val="1FEFC10E"/>
    <w:rsid w:val="1FFC9C84"/>
    <w:rsid w:val="200F8CFB"/>
    <w:rsid w:val="2014702A"/>
    <w:rsid w:val="201BF556"/>
    <w:rsid w:val="201D1989"/>
    <w:rsid w:val="202EC0C0"/>
    <w:rsid w:val="20354C39"/>
    <w:rsid w:val="20458772"/>
    <w:rsid w:val="20575940"/>
    <w:rsid w:val="205DA3D0"/>
    <w:rsid w:val="206E63E6"/>
    <w:rsid w:val="2072573F"/>
    <w:rsid w:val="20754932"/>
    <w:rsid w:val="20792D51"/>
    <w:rsid w:val="207CE3B7"/>
    <w:rsid w:val="207D9997"/>
    <w:rsid w:val="207ED22C"/>
    <w:rsid w:val="20A2EF12"/>
    <w:rsid w:val="20A91814"/>
    <w:rsid w:val="20AA1A6B"/>
    <w:rsid w:val="20AAC4A0"/>
    <w:rsid w:val="20B383ED"/>
    <w:rsid w:val="20C0C376"/>
    <w:rsid w:val="20CD9318"/>
    <w:rsid w:val="20CE5A2B"/>
    <w:rsid w:val="20CE5D71"/>
    <w:rsid w:val="20D285D0"/>
    <w:rsid w:val="20D5C9A8"/>
    <w:rsid w:val="20E236DD"/>
    <w:rsid w:val="20EB8F8E"/>
    <w:rsid w:val="21044702"/>
    <w:rsid w:val="2107E1B0"/>
    <w:rsid w:val="21149BC4"/>
    <w:rsid w:val="211A9D17"/>
    <w:rsid w:val="211DF4D1"/>
    <w:rsid w:val="2122928D"/>
    <w:rsid w:val="21241CDF"/>
    <w:rsid w:val="21255EBC"/>
    <w:rsid w:val="212D8625"/>
    <w:rsid w:val="212F11BC"/>
    <w:rsid w:val="2133F2D3"/>
    <w:rsid w:val="213619DA"/>
    <w:rsid w:val="21382ACD"/>
    <w:rsid w:val="213D7E46"/>
    <w:rsid w:val="2156A236"/>
    <w:rsid w:val="2156C1D9"/>
    <w:rsid w:val="2157247E"/>
    <w:rsid w:val="21666C70"/>
    <w:rsid w:val="216847ED"/>
    <w:rsid w:val="216A4EDE"/>
    <w:rsid w:val="21756825"/>
    <w:rsid w:val="2177CC69"/>
    <w:rsid w:val="217A28E4"/>
    <w:rsid w:val="2198A5C0"/>
    <w:rsid w:val="219D9D9E"/>
    <w:rsid w:val="21A7BCAF"/>
    <w:rsid w:val="21A9BC2E"/>
    <w:rsid w:val="21B12FF4"/>
    <w:rsid w:val="21B68CD0"/>
    <w:rsid w:val="21B7CA37"/>
    <w:rsid w:val="21B84FF0"/>
    <w:rsid w:val="21BB3A96"/>
    <w:rsid w:val="21BE83F1"/>
    <w:rsid w:val="21BF1DA6"/>
    <w:rsid w:val="21C60924"/>
    <w:rsid w:val="21F1CB28"/>
    <w:rsid w:val="21F75D07"/>
    <w:rsid w:val="2205C936"/>
    <w:rsid w:val="220F76CE"/>
    <w:rsid w:val="2214D577"/>
    <w:rsid w:val="221A13EC"/>
    <w:rsid w:val="221A9E22"/>
    <w:rsid w:val="2233FBC8"/>
    <w:rsid w:val="2237CA70"/>
    <w:rsid w:val="223DED08"/>
    <w:rsid w:val="223F2742"/>
    <w:rsid w:val="224A4B14"/>
    <w:rsid w:val="224F94C7"/>
    <w:rsid w:val="2257D0D4"/>
    <w:rsid w:val="2258FD65"/>
    <w:rsid w:val="225EF4CC"/>
    <w:rsid w:val="226139A2"/>
    <w:rsid w:val="226813C4"/>
    <w:rsid w:val="22708ACC"/>
    <w:rsid w:val="2274C942"/>
    <w:rsid w:val="2283190E"/>
    <w:rsid w:val="228C0A80"/>
    <w:rsid w:val="228DD85D"/>
    <w:rsid w:val="2290D8D2"/>
    <w:rsid w:val="229101DB"/>
    <w:rsid w:val="229703A8"/>
    <w:rsid w:val="229CFB72"/>
    <w:rsid w:val="22A0DF10"/>
    <w:rsid w:val="22A1B91A"/>
    <w:rsid w:val="22A62D89"/>
    <w:rsid w:val="22AACE9D"/>
    <w:rsid w:val="22B95817"/>
    <w:rsid w:val="22B96808"/>
    <w:rsid w:val="22C2BCD7"/>
    <w:rsid w:val="22C98712"/>
    <w:rsid w:val="22CA492E"/>
    <w:rsid w:val="22CF71FF"/>
    <w:rsid w:val="22D3E2D1"/>
    <w:rsid w:val="22DA1DF1"/>
    <w:rsid w:val="22DA2621"/>
    <w:rsid w:val="22DB6051"/>
    <w:rsid w:val="22E4D8F5"/>
    <w:rsid w:val="22EC2BE9"/>
    <w:rsid w:val="22FA35D6"/>
    <w:rsid w:val="2307E538"/>
    <w:rsid w:val="23111573"/>
    <w:rsid w:val="231159C5"/>
    <w:rsid w:val="2326B0DA"/>
    <w:rsid w:val="2351ADB2"/>
    <w:rsid w:val="235A1D6B"/>
    <w:rsid w:val="2372DCFF"/>
    <w:rsid w:val="23764601"/>
    <w:rsid w:val="237B8ADB"/>
    <w:rsid w:val="237FF10C"/>
    <w:rsid w:val="23878E37"/>
    <w:rsid w:val="238E553F"/>
    <w:rsid w:val="2394CD56"/>
    <w:rsid w:val="239D4956"/>
    <w:rsid w:val="23A218EA"/>
    <w:rsid w:val="23A55C40"/>
    <w:rsid w:val="23AE795D"/>
    <w:rsid w:val="23B8BC27"/>
    <w:rsid w:val="23BA324F"/>
    <w:rsid w:val="23C90017"/>
    <w:rsid w:val="23C9C91B"/>
    <w:rsid w:val="23D734EF"/>
    <w:rsid w:val="23D874CD"/>
    <w:rsid w:val="23FA5B88"/>
    <w:rsid w:val="23FEF766"/>
    <w:rsid w:val="240436FB"/>
    <w:rsid w:val="240A44F7"/>
    <w:rsid w:val="240EC634"/>
    <w:rsid w:val="2410AF58"/>
    <w:rsid w:val="2413A115"/>
    <w:rsid w:val="2416E64A"/>
    <w:rsid w:val="24188743"/>
    <w:rsid w:val="241F0806"/>
    <w:rsid w:val="242309EB"/>
    <w:rsid w:val="2431D0B0"/>
    <w:rsid w:val="243B7C8A"/>
    <w:rsid w:val="244072C6"/>
    <w:rsid w:val="244507AE"/>
    <w:rsid w:val="24477D47"/>
    <w:rsid w:val="2456E1A7"/>
    <w:rsid w:val="245E10CF"/>
    <w:rsid w:val="247749F8"/>
    <w:rsid w:val="247B55AE"/>
    <w:rsid w:val="247C42F9"/>
    <w:rsid w:val="247D64DA"/>
    <w:rsid w:val="247E1BAC"/>
    <w:rsid w:val="249C8D85"/>
    <w:rsid w:val="249EE87B"/>
    <w:rsid w:val="24A5ABE1"/>
    <w:rsid w:val="24A638B9"/>
    <w:rsid w:val="24AD1D19"/>
    <w:rsid w:val="24B133CE"/>
    <w:rsid w:val="24C1FBBE"/>
    <w:rsid w:val="24C838FA"/>
    <w:rsid w:val="24C85BE2"/>
    <w:rsid w:val="24CC3261"/>
    <w:rsid w:val="24D74BB9"/>
    <w:rsid w:val="24E132D4"/>
    <w:rsid w:val="24E6A7B1"/>
    <w:rsid w:val="24E77798"/>
    <w:rsid w:val="24EDF0E6"/>
    <w:rsid w:val="24F109FA"/>
    <w:rsid w:val="24F2803E"/>
    <w:rsid w:val="24F56B9A"/>
    <w:rsid w:val="24FB1EBE"/>
    <w:rsid w:val="25014890"/>
    <w:rsid w:val="250437FA"/>
    <w:rsid w:val="251019E5"/>
    <w:rsid w:val="25124E63"/>
    <w:rsid w:val="25130890"/>
    <w:rsid w:val="251B6566"/>
    <w:rsid w:val="252C6020"/>
    <w:rsid w:val="2539AE04"/>
    <w:rsid w:val="254404B7"/>
    <w:rsid w:val="25477779"/>
    <w:rsid w:val="2549B952"/>
    <w:rsid w:val="255CFD84"/>
    <w:rsid w:val="255D888C"/>
    <w:rsid w:val="2567DA04"/>
    <w:rsid w:val="25694349"/>
    <w:rsid w:val="256AD067"/>
    <w:rsid w:val="256C1C6D"/>
    <w:rsid w:val="256DDBF1"/>
    <w:rsid w:val="25708E16"/>
    <w:rsid w:val="2575D7C1"/>
    <w:rsid w:val="2578DEAA"/>
    <w:rsid w:val="25858CF7"/>
    <w:rsid w:val="2588974D"/>
    <w:rsid w:val="2588E3E3"/>
    <w:rsid w:val="2598A282"/>
    <w:rsid w:val="25A00CF2"/>
    <w:rsid w:val="25A460E1"/>
    <w:rsid w:val="25B9C37C"/>
    <w:rsid w:val="25BFDCCB"/>
    <w:rsid w:val="25C39475"/>
    <w:rsid w:val="25C449A9"/>
    <w:rsid w:val="25CF4BE8"/>
    <w:rsid w:val="25CF9039"/>
    <w:rsid w:val="25E3E69E"/>
    <w:rsid w:val="25E6D241"/>
    <w:rsid w:val="25EC0C74"/>
    <w:rsid w:val="25F27328"/>
    <w:rsid w:val="25F30909"/>
    <w:rsid w:val="25F363B5"/>
    <w:rsid w:val="25F5D000"/>
    <w:rsid w:val="25FF0038"/>
    <w:rsid w:val="261010F8"/>
    <w:rsid w:val="26170423"/>
    <w:rsid w:val="2618702E"/>
    <w:rsid w:val="261A5511"/>
    <w:rsid w:val="262272F4"/>
    <w:rsid w:val="262B7BC6"/>
    <w:rsid w:val="262E3299"/>
    <w:rsid w:val="2631DDD4"/>
    <w:rsid w:val="2638CA4E"/>
    <w:rsid w:val="263BB122"/>
    <w:rsid w:val="2646CEA7"/>
    <w:rsid w:val="26494348"/>
    <w:rsid w:val="265A3C1F"/>
    <w:rsid w:val="26661940"/>
    <w:rsid w:val="266BF7B3"/>
    <w:rsid w:val="266EF018"/>
    <w:rsid w:val="26881652"/>
    <w:rsid w:val="268D2DF0"/>
    <w:rsid w:val="26944A1D"/>
    <w:rsid w:val="26AC89C4"/>
    <w:rsid w:val="26AF8957"/>
    <w:rsid w:val="26B93F4E"/>
    <w:rsid w:val="26BA7EAA"/>
    <w:rsid w:val="26C0A047"/>
    <w:rsid w:val="26C9DFBF"/>
    <w:rsid w:val="26CDB477"/>
    <w:rsid w:val="26DBC451"/>
    <w:rsid w:val="26DFCAA5"/>
    <w:rsid w:val="26E3DF35"/>
    <w:rsid w:val="26E9C374"/>
    <w:rsid w:val="26EAFBEB"/>
    <w:rsid w:val="26EBA956"/>
    <w:rsid w:val="26EC6B2D"/>
    <w:rsid w:val="26EF56A1"/>
    <w:rsid w:val="26F851C6"/>
    <w:rsid w:val="27002336"/>
    <w:rsid w:val="2711663C"/>
    <w:rsid w:val="271707D4"/>
    <w:rsid w:val="2717626D"/>
    <w:rsid w:val="2729CF07"/>
    <w:rsid w:val="2734141E"/>
    <w:rsid w:val="27357D46"/>
    <w:rsid w:val="2739F716"/>
    <w:rsid w:val="273AD9D9"/>
    <w:rsid w:val="274109A5"/>
    <w:rsid w:val="2743EB03"/>
    <w:rsid w:val="27506F3A"/>
    <w:rsid w:val="27521207"/>
    <w:rsid w:val="27534723"/>
    <w:rsid w:val="2762D18E"/>
    <w:rsid w:val="27630D9E"/>
    <w:rsid w:val="276F75C4"/>
    <w:rsid w:val="27714936"/>
    <w:rsid w:val="2774EEB9"/>
    <w:rsid w:val="2785A2CA"/>
    <w:rsid w:val="27924876"/>
    <w:rsid w:val="27938E1D"/>
    <w:rsid w:val="27974F21"/>
    <w:rsid w:val="2799A737"/>
    <w:rsid w:val="27A01109"/>
    <w:rsid w:val="27A8973A"/>
    <w:rsid w:val="27B2CA0B"/>
    <w:rsid w:val="27B2E2D1"/>
    <w:rsid w:val="27BB4C64"/>
    <w:rsid w:val="27CCCAB4"/>
    <w:rsid w:val="27D5E085"/>
    <w:rsid w:val="27D8277C"/>
    <w:rsid w:val="27DCB2BE"/>
    <w:rsid w:val="27E0DDE3"/>
    <w:rsid w:val="27E3CC99"/>
    <w:rsid w:val="27E5AFA0"/>
    <w:rsid w:val="27F2F6B5"/>
    <w:rsid w:val="27F9F9D2"/>
    <w:rsid w:val="28164BB1"/>
    <w:rsid w:val="2817FD6C"/>
    <w:rsid w:val="28221C8E"/>
    <w:rsid w:val="282B41DD"/>
    <w:rsid w:val="2836CABA"/>
    <w:rsid w:val="283CEB2A"/>
    <w:rsid w:val="283FFEBB"/>
    <w:rsid w:val="284426E4"/>
    <w:rsid w:val="28527E5D"/>
    <w:rsid w:val="285F04A1"/>
    <w:rsid w:val="28668252"/>
    <w:rsid w:val="2868D8E1"/>
    <w:rsid w:val="287C41BB"/>
    <w:rsid w:val="28869422"/>
    <w:rsid w:val="28879A04"/>
    <w:rsid w:val="2887B04D"/>
    <w:rsid w:val="28932EDD"/>
    <w:rsid w:val="2893A3A0"/>
    <w:rsid w:val="289D9704"/>
    <w:rsid w:val="28A29781"/>
    <w:rsid w:val="28A92E82"/>
    <w:rsid w:val="28AA3E68"/>
    <w:rsid w:val="28B5800B"/>
    <w:rsid w:val="28B7A40C"/>
    <w:rsid w:val="28C9C1C1"/>
    <w:rsid w:val="28CC24F0"/>
    <w:rsid w:val="28CF8C4C"/>
    <w:rsid w:val="28DD54C7"/>
    <w:rsid w:val="28DF6FBC"/>
    <w:rsid w:val="28F03D46"/>
    <w:rsid w:val="28F54A3D"/>
    <w:rsid w:val="28F85289"/>
    <w:rsid w:val="28FCEC72"/>
    <w:rsid w:val="2911AB55"/>
    <w:rsid w:val="2913D692"/>
    <w:rsid w:val="291D72F4"/>
    <w:rsid w:val="291EEEF7"/>
    <w:rsid w:val="2922CE01"/>
    <w:rsid w:val="2923DD06"/>
    <w:rsid w:val="292ADBEF"/>
    <w:rsid w:val="29303A02"/>
    <w:rsid w:val="29336692"/>
    <w:rsid w:val="29370D86"/>
    <w:rsid w:val="29419312"/>
    <w:rsid w:val="2953B7F8"/>
    <w:rsid w:val="29595213"/>
    <w:rsid w:val="29674D0D"/>
    <w:rsid w:val="297BF0F7"/>
    <w:rsid w:val="298007C6"/>
    <w:rsid w:val="2988857D"/>
    <w:rsid w:val="298AF090"/>
    <w:rsid w:val="2990FFE8"/>
    <w:rsid w:val="29A1E097"/>
    <w:rsid w:val="29A85EA6"/>
    <w:rsid w:val="29AAABC8"/>
    <w:rsid w:val="29D496B7"/>
    <w:rsid w:val="29DB57B6"/>
    <w:rsid w:val="29FCC34D"/>
    <w:rsid w:val="2A08F1AB"/>
    <w:rsid w:val="2A0F5FBC"/>
    <w:rsid w:val="2A0FD20D"/>
    <w:rsid w:val="2A347669"/>
    <w:rsid w:val="2A3A2454"/>
    <w:rsid w:val="2A3B1BA6"/>
    <w:rsid w:val="2A3CC779"/>
    <w:rsid w:val="2A3D774F"/>
    <w:rsid w:val="2A4DBA00"/>
    <w:rsid w:val="2A5E2A84"/>
    <w:rsid w:val="2A6B7963"/>
    <w:rsid w:val="2A7249E7"/>
    <w:rsid w:val="2A73A2CD"/>
    <w:rsid w:val="2A7449FF"/>
    <w:rsid w:val="2A7B8694"/>
    <w:rsid w:val="2A7F05F9"/>
    <w:rsid w:val="2A9140A3"/>
    <w:rsid w:val="2A958A67"/>
    <w:rsid w:val="2AA16B29"/>
    <w:rsid w:val="2AAFF273"/>
    <w:rsid w:val="2AC3E107"/>
    <w:rsid w:val="2AD22EC6"/>
    <w:rsid w:val="2AD24616"/>
    <w:rsid w:val="2AD6FAB2"/>
    <w:rsid w:val="2AE2C849"/>
    <w:rsid w:val="2AE3016F"/>
    <w:rsid w:val="2AE8FCFA"/>
    <w:rsid w:val="2AF61E23"/>
    <w:rsid w:val="2B03415E"/>
    <w:rsid w:val="2B0827A0"/>
    <w:rsid w:val="2B0E9E59"/>
    <w:rsid w:val="2B1643AB"/>
    <w:rsid w:val="2B20D257"/>
    <w:rsid w:val="2B2ECDF9"/>
    <w:rsid w:val="2B34BB4F"/>
    <w:rsid w:val="2B369CCB"/>
    <w:rsid w:val="2B39D682"/>
    <w:rsid w:val="2B3DD83E"/>
    <w:rsid w:val="2B43D22D"/>
    <w:rsid w:val="2B4A90B1"/>
    <w:rsid w:val="2B576E52"/>
    <w:rsid w:val="2B5A9D18"/>
    <w:rsid w:val="2B61A740"/>
    <w:rsid w:val="2B66EF0C"/>
    <w:rsid w:val="2B67863F"/>
    <w:rsid w:val="2B6B1D2D"/>
    <w:rsid w:val="2B6F63A8"/>
    <w:rsid w:val="2B722574"/>
    <w:rsid w:val="2B74AD55"/>
    <w:rsid w:val="2B816755"/>
    <w:rsid w:val="2B8315AD"/>
    <w:rsid w:val="2B87BDAF"/>
    <w:rsid w:val="2B87F391"/>
    <w:rsid w:val="2B936E9A"/>
    <w:rsid w:val="2B94C6C4"/>
    <w:rsid w:val="2B9F6453"/>
    <w:rsid w:val="2BA3CC9C"/>
    <w:rsid w:val="2BAC41BF"/>
    <w:rsid w:val="2BBAB628"/>
    <w:rsid w:val="2BC19DAB"/>
    <w:rsid w:val="2BD16DDB"/>
    <w:rsid w:val="2BD7110D"/>
    <w:rsid w:val="2BE01EE7"/>
    <w:rsid w:val="2BE0E60E"/>
    <w:rsid w:val="2BF2BC8F"/>
    <w:rsid w:val="2C091F82"/>
    <w:rsid w:val="2C0A892C"/>
    <w:rsid w:val="2C0EEE78"/>
    <w:rsid w:val="2C29DC98"/>
    <w:rsid w:val="2C2EE1D1"/>
    <w:rsid w:val="2C318C6A"/>
    <w:rsid w:val="2C3CB870"/>
    <w:rsid w:val="2C4A2A2F"/>
    <w:rsid w:val="2C4ADFA6"/>
    <w:rsid w:val="2C4C6810"/>
    <w:rsid w:val="2C58AE6F"/>
    <w:rsid w:val="2C58AF6D"/>
    <w:rsid w:val="2C5F3E87"/>
    <w:rsid w:val="2C641E5C"/>
    <w:rsid w:val="2C666612"/>
    <w:rsid w:val="2C6AE770"/>
    <w:rsid w:val="2C6C2C19"/>
    <w:rsid w:val="2C6D495E"/>
    <w:rsid w:val="2C79B028"/>
    <w:rsid w:val="2C7FDAED"/>
    <w:rsid w:val="2C812F5B"/>
    <w:rsid w:val="2C8FF553"/>
    <w:rsid w:val="2C9401AB"/>
    <w:rsid w:val="2C9A956D"/>
    <w:rsid w:val="2C9D1B7C"/>
    <w:rsid w:val="2C9D8BA5"/>
    <w:rsid w:val="2CA177D0"/>
    <w:rsid w:val="2CA39E72"/>
    <w:rsid w:val="2CBF51D0"/>
    <w:rsid w:val="2CBF6492"/>
    <w:rsid w:val="2CC2961E"/>
    <w:rsid w:val="2CC8E5C1"/>
    <w:rsid w:val="2CDEC8EE"/>
    <w:rsid w:val="2CE2885B"/>
    <w:rsid w:val="2CE464C6"/>
    <w:rsid w:val="2CF99E7E"/>
    <w:rsid w:val="2CFF9158"/>
    <w:rsid w:val="2D0099FC"/>
    <w:rsid w:val="2D02AED6"/>
    <w:rsid w:val="2D0992D7"/>
    <w:rsid w:val="2D133790"/>
    <w:rsid w:val="2D164068"/>
    <w:rsid w:val="2D20F02D"/>
    <w:rsid w:val="2D2658BD"/>
    <w:rsid w:val="2D31C673"/>
    <w:rsid w:val="2D326803"/>
    <w:rsid w:val="2D398D3E"/>
    <w:rsid w:val="2D3B08A2"/>
    <w:rsid w:val="2D597425"/>
    <w:rsid w:val="2D5B6EE8"/>
    <w:rsid w:val="2D61D4A4"/>
    <w:rsid w:val="2D637641"/>
    <w:rsid w:val="2D646640"/>
    <w:rsid w:val="2D65EE9A"/>
    <w:rsid w:val="2D67FFDE"/>
    <w:rsid w:val="2D75211B"/>
    <w:rsid w:val="2D793734"/>
    <w:rsid w:val="2D7D02C3"/>
    <w:rsid w:val="2D80B0A2"/>
    <w:rsid w:val="2D80CC5A"/>
    <w:rsid w:val="2D894D85"/>
    <w:rsid w:val="2D906884"/>
    <w:rsid w:val="2DA94384"/>
    <w:rsid w:val="2DA964EB"/>
    <w:rsid w:val="2DAE5294"/>
    <w:rsid w:val="2DB04A2F"/>
    <w:rsid w:val="2DB6179E"/>
    <w:rsid w:val="2DB82587"/>
    <w:rsid w:val="2DCB059B"/>
    <w:rsid w:val="2DD1C49A"/>
    <w:rsid w:val="2DDBA5DA"/>
    <w:rsid w:val="2DE3A2A0"/>
    <w:rsid w:val="2E1434B9"/>
    <w:rsid w:val="2E230726"/>
    <w:rsid w:val="2E24F5E0"/>
    <w:rsid w:val="2E39D07A"/>
    <w:rsid w:val="2E51D84D"/>
    <w:rsid w:val="2E5252B9"/>
    <w:rsid w:val="2E5468E5"/>
    <w:rsid w:val="2E5D2CD3"/>
    <w:rsid w:val="2E607FF1"/>
    <w:rsid w:val="2E815E98"/>
    <w:rsid w:val="2E86EA03"/>
    <w:rsid w:val="2E8A2EE5"/>
    <w:rsid w:val="2E8E4AA3"/>
    <w:rsid w:val="2E92EC26"/>
    <w:rsid w:val="2E94F81F"/>
    <w:rsid w:val="2E9E34C9"/>
    <w:rsid w:val="2EA1984C"/>
    <w:rsid w:val="2EA44E9D"/>
    <w:rsid w:val="2EAC47C5"/>
    <w:rsid w:val="2EBA9209"/>
    <w:rsid w:val="2EBDBD5B"/>
    <w:rsid w:val="2EC03AFD"/>
    <w:rsid w:val="2EC8F514"/>
    <w:rsid w:val="2EE65203"/>
    <w:rsid w:val="2EE8D0F7"/>
    <w:rsid w:val="2EEA70AB"/>
    <w:rsid w:val="2EF35758"/>
    <w:rsid w:val="2F0416FC"/>
    <w:rsid w:val="2F0A01A4"/>
    <w:rsid w:val="2F0A09B0"/>
    <w:rsid w:val="2F0B6D34"/>
    <w:rsid w:val="2F145375"/>
    <w:rsid w:val="2F1BFE26"/>
    <w:rsid w:val="2F42E009"/>
    <w:rsid w:val="2F5DBE89"/>
    <w:rsid w:val="2F65FBC8"/>
    <w:rsid w:val="2F6BB8DA"/>
    <w:rsid w:val="2F6F251E"/>
    <w:rsid w:val="2F70CE13"/>
    <w:rsid w:val="2F732A0B"/>
    <w:rsid w:val="2F7352B6"/>
    <w:rsid w:val="2F7C25DA"/>
    <w:rsid w:val="2F8ECB8F"/>
    <w:rsid w:val="2F93466E"/>
    <w:rsid w:val="2F937876"/>
    <w:rsid w:val="2F944284"/>
    <w:rsid w:val="2F95119E"/>
    <w:rsid w:val="2FA7ABC0"/>
    <w:rsid w:val="2FA8C350"/>
    <w:rsid w:val="2FC1BB0E"/>
    <w:rsid w:val="2FCD2F79"/>
    <w:rsid w:val="2FD69A66"/>
    <w:rsid w:val="2FF20383"/>
    <w:rsid w:val="2FFB5666"/>
    <w:rsid w:val="2FFF51F4"/>
    <w:rsid w:val="300B4A89"/>
    <w:rsid w:val="300DAE5F"/>
    <w:rsid w:val="300DE4A0"/>
    <w:rsid w:val="3010EA1A"/>
    <w:rsid w:val="30157377"/>
    <w:rsid w:val="301D9548"/>
    <w:rsid w:val="30219F6F"/>
    <w:rsid w:val="30230EC9"/>
    <w:rsid w:val="3024686C"/>
    <w:rsid w:val="302933D0"/>
    <w:rsid w:val="30334CB1"/>
    <w:rsid w:val="303E22FC"/>
    <w:rsid w:val="30463BB9"/>
    <w:rsid w:val="3048043C"/>
    <w:rsid w:val="304AC43C"/>
    <w:rsid w:val="304C8207"/>
    <w:rsid w:val="3059F1D6"/>
    <w:rsid w:val="3061A5AA"/>
    <w:rsid w:val="306E91A7"/>
    <w:rsid w:val="307E023A"/>
    <w:rsid w:val="307E6948"/>
    <w:rsid w:val="30893C36"/>
    <w:rsid w:val="308A9F2E"/>
    <w:rsid w:val="3094A0B7"/>
    <w:rsid w:val="30A5CA31"/>
    <w:rsid w:val="30BBD2D2"/>
    <w:rsid w:val="30C61EAF"/>
    <w:rsid w:val="30C7345C"/>
    <w:rsid w:val="30C75253"/>
    <w:rsid w:val="30DA5F77"/>
    <w:rsid w:val="30E37921"/>
    <w:rsid w:val="30FA8901"/>
    <w:rsid w:val="30FBBC5F"/>
    <w:rsid w:val="30FD3352"/>
    <w:rsid w:val="30FD3CFD"/>
    <w:rsid w:val="310757B8"/>
    <w:rsid w:val="31090A25"/>
    <w:rsid w:val="310A5BBE"/>
    <w:rsid w:val="31104969"/>
    <w:rsid w:val="31161726"/>
    <w:rsid w:val="312DDD4F"/>
    <w:rsid w:val="3142CE00"/>
    <w:rsid w:val="31436621"/>
    <w:rsid w:val="3147FC3E"/>
    <w:rsid w:val="3153E842"/>
    <w:rsid w:val="316EA84E"/>
    <w:rsid w:val="31702560"/>
    <w:rsid w:val="317A7300"/>
    <w:rsid w:val="319259D0"/>
    <w:rsid w:val="31AC3230"/>
    <w:rsid w:val="31AD060F"/>
    <w:rsid w:val="31B79C2E"/>
    <w:rsid w:val="31B9EB6F"/>
    <w:rsid w:val="31BA2798"/>
    <w:rsid w:val="31BA9A14"/>
    <w:rsid w:val="31BBA0F1"/>
    <w:rsid w:val="31BC4F7F"/>
    <w:rsid w:val="31C22CEF"/>
    <w:rsid w:val="31C26FC1"/>
    <w:rsid w:val="31C8EADB"/>
    <w:rsid w:val="31D07EC5"/>
    <w:rsid w:val="31D0D9C1"/>
    <w:rsid w:val="31D59132"/>
    <w:rsid w:val="31D5C339"/>
    <w:rsid w:val="31D6365A"/>
    <w:rsid w:val="31D91B31"/>
    <w:rsid w:val="31DC90EB"/>
    <w:rsid w:val="31F26981"/>
    <w:rsid w:val="31F3B597"/>
    <w:rsid w:val="31F572EF"/>
    <w:rsid w:val="31F6541C"/>
    <w:rsid w:val="31FD40C3"/>
    <w:rsid w:val="31FED9EA"/>
    <w:rsid w:val="321C9BC3"/>
    <w:rsid w:val="32269249"/>
    <w:rsid w:val="32293FDC"/>
    <w:rsid w:val="323E717D"/>
    <w:rsid w:val="3246070E"/>
    <w:rsid w:val="32521141"/>
    <w:rsid w:val="325C693B"/>
    <w:rsid w:val="325F2852"/>
    <w:rsid w:val="325F9A67"/>
    <w:rsid w:val="32640C6C"/>
    <w:rsid w:val="326E2DDB"/>
    <w:rsid w:val="32757652"/>
    <w:rsid w:val="327729B7"/>
    <w:rsid w:val="3277FAB2"/>
    <w:rsid w:val="327A8EC8"/>
    <w:rsid w:val="328B75D2"/>
    <w:rsid w:val="3290C64E"/>
    <w:rsid w:val="3292B17C"/>
    <w:rsid w:val="329C7108"/>
    <w:rsid w:val="32AAEEAB"/>
    <w:rsid w:val="32AB99EC"/>
    <w:rsid w:val="32B93026"/>
    <w:rsid w:val="32BC54E3"/>
    <w:rsid w:val="32C0B2A7"/>
    <w:rsid w:val="32DC845D"/>
    <w:rsid w:val="32DCE4C6"/>
    <w:rsid w:val="32E69659"/>
    <w:rsid w:val="32E71534"/>
    <w:rsid w:val="32E7C749"/>
    <w:rsid w:val="32F9919F"/>
    <w:rsid w:val="32FDA1DD"/>
    <w:rsid w:val="3312C910"/>
    <w:rsid w:val="3313AA1C"/>
    <w:rsid w:val="33193629"/>
    <w:rsid w:val="331DBCC4"/>
    <w:rsid w:val="331E2140"/>
    <w:rsid w:val="33277F18"/>
    <w:rsid w:val="3327A0A5"/>
    <w:rsid w:val="3327A2DA"/>
    <w:rsid w:val="332AD391"/>
    <w:rsid w:val="332F61E9"/>
    <w:rsid w:val="332FB9B3"/>
    <w:rsid w:val="3333434D"/>
    <w:rsid w:val="3339283F"/>
    <w:rsid w:val="334DC9F3"/>
    <w:rsid w:val="33523ABA"/>
    <w:rsid w:val="33528DA8"/>
    <w:rsid w:val="3365243A"/>
    <w:rsid w:val="33723BF5"/>
    <w:rsid w:val="337BE680"/>
    <w:rsid w:val="33848B41"/>
    <w:rsid w:val="338ECC86"/>
    <w:rsid w:val="339EA838"/>
    <w:rsid w:val="33A8AC74"/>
    <w:rsid w:val="33B0D8D8"/>
    <w:rsid w:val="33B728A9"/>
    <w:rsid w:val="33B785BA"/>
    <w:rsid w:val="33C19C90"/>
    <w:rsid w:val="33C46FBB"/>
    <w:rsid w:val="33C84198"/>
    <w:rsid w:val="33CB3E87"/>
    <w:rsid w:val="33CFC52A"/>
    <w:rsid w:val="33D9C093"/>
    <w:rsid w:val="33E90487"/>
    <w:rsid w:val="33EBF803"/>
    <w:rsid w:val="33ED0C89"/>
    <w:rsid w:val="33F75FC8"/>
    <w:rsid w:val="33F8C10F"/>
    <w:rsid w:val="3402497A"/>
    <w:rsid w:val="34062277"/>
    <w:rsid w:val="340A4CD9"/>
    <w:rsid w:val="34276AB2"/>
    <w:rsid w:val="342D222F"/>
    <w:rsid w:val="342E2D75"/>
    <w:rsid w:val="342F4A97"/>
    <w:rsid w:val="3431F2BE"/>
    <w:rsid w:val="34321B6A"/>
    <w:rsid w:val="3446095F"/>
    <w:rsid w:val="344B0789"/>
    <w:rsid w:val="344CB1BC"/>
    <w:rsid w:val="34522F47"/>
    <w:rsid w:val="34530283"/>
    <w:rsid w:val="3460B22C"/>
    <w:rsid w:val="3464FB8C"/>
    <w:rsid w:val="346B8335"/>
    <w:rsid w:val="346F260A"/>
    <w:rsid w:val="349D713D"/>
    <w:rsid w:val="34ABEDE5"/>
    <w:rsid w:val="34AE657F"/>
    <w:rsid w:val="34B498E1"/>
    <w:rsid w:val="34B66B9E"/>
    <w:rsid w:val="34B7CC51"/>
    <w:rsid w:val="34BDB856"/>
    <w:rsid w:val="34DBA68A"/>
    <w:rsid w:val="34E0353B"/>
    <w:rsid w:val="34ED08DD"/>
    <w:rsid w:val="34EE05F6"/>
    <w:rsid w:val="34F21E61"/>
    <w:rsid w:val="34F653F6"/>
    <w:rsid w:val="35069B66"/>
    <w:rsid w:val="350FFAE1"/>
    <w:rsid w:val="351E1901"/>
    <w:rsid w:val="35208975"/>
    <w:rsid w:val="352A40F5"/>
    <w:rsid w:val="352EA958"/>
    <w:rsid w:val="353240DF"/>
    <w:rsid w:val="3537AE97"/>
    <w:rsid w:val="35562F5D"/>
    <w:rsid w:val="3568A0D5"/>
    <w:rsid w:val="3570CAB8"/>
    <w:rsid w:val="3576FC15"/>
    <w:rsid w:val="3577EEED"/>
    <w:rsid w:val="359EE8A7"/>
    <w:rsid w:val="35A371A8"/>
    <w:rsid w:val="35AC52D3"/>
    <w:rsid w:val="35BCC1FB"/>
    <w:rsid w:val="35C129CC"/>
    <w:rsid w:val="35C1BB2B"/>
    <w:rsid w:val="35D2907C"/>
    <w:rsid w:val="35D57950"/>
    <w:rsid w:val="35DF38B6"/>
    <w:rsid w:val="35E03A50"/>
    <w:rsid w:val="35EC8D9D"/>
    <w:rsid w:val="36047777"/>
    <w:rsid w:val="360EB364"/>
    <w:rsid w:val="3612A33C"/>
    <w:rsid w:val="36180529"/>
    <w:rsid w:val="361D8D30"/>
    <w:rsid w:val="3631681E"/>
    <w:rsid w:val="36319DEE"/>
    <w:rsid w:val="3636DBB6"/>
    <w:rsid w:val="36575E13"/>
    <w:rsid w:val="365E48F2"/>
    <w:rsid w:val="36619DA9"/>
    <w:rsid w:val="366C202F"/>
    <w:rsid w:val="366D1E15"/>
    <w:rsid w:val="3674D702"/>
    <w:rsid w:val="36880B48"/>
    <w:rsid w:val="368B2E74"/>
    <w:rsid w:val="3694C605"/>
    <w:rsid w:val="369855AB"/>
    <w:rsid w:val="369DA74F"/>
    <w:rsid w:val="36ADFB8A"/>
    <w:rsid w:val="36B4C78D"/>
    <w:rsid w:val="36B7E21D"/>
    <w:rsid w:val="36BCB5AF"/>
    <w:rsid w:val="36CF90F7"/>
    <w:rsid w:val="36D015A6"/>
    <w:rsid w:val="36D07FB5"/>
    <w:rsid w:val="36DCBF91"/>
    <w:rsid w:val="36E5BC8C"/>
    <w:rsid w:val="36EAA21A"/>
    <w:rsid w:val="37047756"/>
    <w:rsid w:val="370C4F00"/>
    <w:rsid w:val="371A5790"/>
    <w:rsid w:val="371B9850"/>
    <w:rsid w:val="371F900C"/>
    <w:rsid w:val="371FDA87"/>
    <w:rsid w:val="372404B7"/>
    <w:rsid w:val="3725D36B"/>
    <w:rsid w:val="37294940"/>
    <w:rsid w:val="373171B5"/>
    <w:rsid w:val="3732352E"/>
    <w:rsid w:val="3737EB61"/>
    <w:rsid w:val="373E98DA"/>
    <w:rsid w:val="37402585"/>
    <w:rsid w:val="3745D617"/>
    <w:rsid w:val="374F9436"/>
    <w:rsid w:val="3756B381"/>
    <w:rsid w:val="3763DC6B"/>
    <w:rsid w:val="37740BD9"/>
    <w:rsid w:val="37942A0E"/>
    <w:rsid w:val="37962CF0"/>
    <w:rsid w:val="3797312B"/>
    <w:rsid w:val="379E8AAE"/>
    <w:rsid w:val="37A04CD5"/>
    <w:rsid w:val="37A1A1A2"/>
    <w:rsid w:val="37A877D1"/>
    <w:rsid w:val="37ADF597"/>
    <w:rsid w:val="37AF30D7"/>
    <w:rsid w:val="37B360BA"/>
    <w:rsid w:val="37BA9316"/>
    <w:rsid w:val="37BD3872"/>
    <w:rsid w:val="37BE13BF"/>
    <w:rsid w:val="37CC21EF"/>
    <w:rsid w:val="37CD0917"/>
    <w:rsid w:val="37D3FA79"/>
    <w:rsid w:val="37DF31DA"/>
    <w:rsid w:val="37F327DE"/>
    <w:rsid w:val="38035324"/>
    <w:rsid w:val="38039C71"/>
    <w:rsid w:val="380AA716"/>
    <w:rsid w:val="3821DEC4"/>
    <w:rsid w:val="382DF257"/>
    <w:rsid w:val="38319C49"/>
    <w:rsid w:val="38394A2F"/>
    <w:rsid w:val="384295A9"/>
    <w:rsid w:val="384515D3"/>
    <w:rsid w:val="38453121"/>
    <w:rsid w:val="38521AC8"/>
    <w:rsid w:val="38562CB6"/>
    <w:rsid w:val="38571735"/>
    <w:rsid w:val="386CD520"/>
    <w:rsid w:val="38778759"/>
    <w:rsid w:val="3878701C"/>
    <w:rsid w:val="38814A18"/>
    <w:rsid w:val="38A4AF29"/>
    <w:rsid w:val="38A86D6A"/>
    <w:rsid w:val="38ACFE67"/>
    <w:rsid w:val="38B3BD61"/>
    <w:rsid w:val="38B6943D"/>
    <w:rsid w:val="38C3936A"/>
    <w:rsid w:val="38C7D224"/>
    <w:rsid w:val="38CA9AFF"/>
    <w:rsid w:val="38D14EBC"/>
    <w:rsid w:val="38D2959F"/>
    <w:rsid w:val="38DDF7F1"/>
    <w:rsid w:val="38E6F5D2"/>
    <w:rsid w:val="38F073FA"/>
    <w:rsid w:val="390116BD"/>
    <w:rsid w:val="390BB155"/>
    <w:rsid w:val="391000F5"/>
    <w:rsid w:val="39257108"/>
    <w:rsid w:val="39283C93"/>
    <w:rsid w:val="3929CC83"/>
    <w:rsid w:val="392F8885"/>
    <w:rsid w:val="39318746"/>
    <w:rsid w:val="393A7105"/>
    <w:rsid w:val="393B65F1"/>
    <w:rsid w:val="394C929C"/>
    <w:rsid w:val="3957ABF8"/>
    <w:rsid w:val="3962CEBD"/>
    <w:rsid w:val="396362F2"/>
    <w:rsid w:val="3971DB92"/>
    <w:rsid w:val="397A20B8"/>
    <w:rsid w:val="397C550C"/>
    <w:rsid w:val="397C7659"/>
    <w:rsid w:val="39829692"/>
    <w:rsid w:val="3983DD7E"/>
    <w:rsid w:val="39849975"/>
    <w:rsid w:val="39903643"/>
    <w:rsid w:val="3998424F"/>
    <w:rsid w:val="39A04F95"/>
    <w:rsid w:val="39AE557F"/>
    <w:rsid w:val="39AFFB3D"/>
    <w:rsid w:val="39BCADE2"/>
    <w:rsid w:val="39C0DFA8"/>
    <w:rsid w:val="39C4D4CD"/>
    <w:rsid w:val="39D926B7"/>
    <w:rsid w:val="39E4169A"/>
    <w:rsid w:val="39E70CD5"/>
    <w:rsid w:val="39EA259D"/>
    <w:rsid w:val="39EB0FD4"/>
    <w:rsid w:val="39ED637F"/>
    <w:rsid w:val="39EF4D0D"/>
    <w:rsid w:val="39FCE0BA"/>
    <w:rsid w:val="3A05DFE2"/>
    <w:rsid w:val="3A19468E"/>
    <w:rsid w:val="3A20B04C"/>
    <w:rsid w:val="3A21A714"/>
    <w:rsid w:val="3A3271EB"/>
    <w:rsid w:val="3A39CE1A"/>
    <w:rsid w:val="3A40AC03"/>
    <w:rsid w:val="3A4256D7"/>
    <w:rsid w:val="3A43C0B9"/>
    <w:rsid w:val="3A46D8BB"/>
    <w:rsid w:val="3A547299"/>
    <w:rsid w:val="3A594172"/>
    <w:rsid w:val="3A5B112F"/>
    <w:rsid w:val="3A6DE1E0"/>
    <w:rsid w:val="3A7F3243"/>
    <w:rsid w:val="3A8D58CF"/>
    <w:rsid w:val="3A93ECB8"/>
    <w:rsid w:val="3A959C1E"/>
    <w:rsid w:val="3A9AFDED"/>
    <w:rsid w:val="3AA2770E"/>
    <w:rsid w:val="3AA30314"/>
    <w:rsid w:val="3AA6A025"/>
    <w:rsid w:val="3AB099AE"/>
    <w:rsid w:val="3AB1B275"/>
    <w:rsid w:val="3AB86EC3"/>
    <w:rsid w:val="3ABA60CA"/>
    <w:rsid w:val="3AC2C79A"/>
    <w:rsid w:val="3ACCD577"/>
    <w:rsid w:val="3AD2F709"/>
    <w:rsid w:val="3AD6990E"/>
    <w:rsid w:val="3AF44A5D"/>
    <w:rsid w:val="3AFCCA1E"/>
    <w:rsid w:val="3B021869"/>
    <w:rsid w:val="3B0537E5"/>
    <w:rsid w:val="3B1AA644"/>
    <w:rsid w:val="3B2606D1"/>
    <w:rsid w:val="3B2E048D"/>
    <w:rsid w:val="3B2FBFF6"/>
    <w:rsid w:val="3B30B630"/>
    <w:rsid w:val="3B316D61"/>
    <w:rsid w:val="3B35C991"/>
    <w:rsid w:val="3B48F9C5"/>
    <w:rsid w:val="3B4C592E"/>
    <w:rsid w:val="3B580864"/>
    <w:rsid w:val="3B65AB6E"/>
    <w:rsid w:val="3B68DA7C"/>
    <w:rsid w:val="3B859CF2"/>
    <w:rsid w:val="3B88361B"/>
    <w:rsid w:val="3B8B842E"/>
    <w:rsid w:val="3B8FF69B"/>
    <w:rsid w:val="3B95BA02"/>
    <w:rsid w:val="3BB7BA99"/>
    <w:rsid w:val="3BC202C0"/>
    <w:rsid w:val="3BC301F9"/>
    <w:rsid w:val="3BCFAB7F"/>
    <w:rsid w:val="3BD02553"/>
    <w:rsid w:val="3BD51989"/>
    <w:rsid w:val="3BD6BC37"/>
    <w:rsid w:val="3BD95331"/>
    <w:rsid w:val="3BDE6BB2"/>
    <w:rsid w:val="3BE54593"/>
    <w:rsid w:val="3BFCA431"/>
    <w:rsid w:val="3BFD7607"/>
    <w:rsid w:val="3BFEA458"/>
    <w:rsid w:val="3C1A74ED"/>
    <w:rsid w:val="3C296F4E"/>
    <w:rsid w:val="3C2CD52E"/>
    <w:rsid w:val="3C33C3CA"/>
    <w:rsid w:val="3C3B0989"/>
    <w:rsid w:val="3C3B5425"/>
    <w:rsid w:val="3C3CB72B"/>
    <w:rsid w:val="3C40DB89"/>
    <w:rsid w:val="3C420FE2"/>
    <w:rsid w:val="3C43FB15"/>
    <w:rsid w:val="3C46D8AE"/>
    <w:rsid w:val="3C5675CC"/>
    <w:rsid w:val="3C593AFA"/>
    <w:rsid w:val="3C59E8EB"/>
    <w:rsid w:val="3C619A5E"/>
    <w:rsid w:val="3C64B643"/>
    <w:rsid w:val="3C66FA76"/>
    <w:rsid w:val="3C80DDD5"/>
    <w:rsid w:val="3C883D52"/>
    <w:rsid w:val="3C8E9414"/>
    <w:rsid w:val="3C97525F"/>
    <w:rsid w:val="3C9C32E0"/>
    <w:rsid w:val="3C9DC347"/>
    <w:rsid w:val="3C9DED74"/>
    <w:rsid w:val="3CA0ED45"/>
    <w:rsid w:val="3CA3FF4B"/>
    <w:rsid w:val="3CA81FB1"/>
    <w:rsid w:val="3CB43834"/>
    <w:rsid w:val="3CBC3DC6"/>
    <w:rsid w:val="3CC9ACE7"/>
    <w:rsid w:val="3CD6A1B2"/>
    <w:rsid w:val="3CD90B2D"/>
    <w:rsid w:val="3CDCDBCD"/>
    <w:rsid w:val="3CE165C9"/>
    <w:rsid w:val="3CE1A68E"/>
    <w:rsid w:val="3CE5013C"/>
    <w:rsid w:val="3CE53C95"/>
    <w:rsid w:val="3CE6CB3A"/>
    <w:rsid w:val="3CEBB111"/>
    <w:rsid w:val="3CEEB660"/>
    <w:rsid w:val="3CFA51CF"/>
    <w:rsid w:val="3D0C6612"/>
    <w:rsid w:val="3D10CCA1"/>
    <w:rsid w:val="3D1700B6"/>
    <w:rsid w:val="3D314957"/>
    <w:rsid w:val="3D33CF8B"/>
    <w:rsid w:val="3D33F1BE"/>
    <w:rsid w:val="3D3956C0"/>
    <w:rsid w:val="3D403D3B"/>
    <w:rsid w:val="3D49A5E9"/>
    <w:rsid w:val="3D5DA4D8"/>
    <w:rsid w:val="3D7691F1"/>
    <w:rsid w:val="3D7AAC28"/>
    <w:rsid w:val="3D93474D"/>
    <w:rsid w:val="3D992408"/>
    <w:rsid w:val="3D99FF55"/>
    <w:rsid w:val="3D9C93A6"/>
    <w:rsid w:val="3DB2219F"/>
    <w:rsid w:val="3DB802D2"/>
    <w:rsid w:val="3DBB3484"/>
    <w:rsid w:val="3DD2DA26"/>
    <w:rsid w:val="3DD5D8C5"/>
    <w:rsid w:val="3DD737AA"/>
    <w:rsid w:val="3DDF3686"/>
    <w:rsid w:val="3DE156D2"/>
    <w:rsid w:val="3DE8ACB4"/>
    <w:rsid w:val="3DF43299"/>
    <w:rsid w:val="3E06C692"/>
    <w:rsid w:val="3E0C3F3F"/>
    <w:rsid w:val="3E1CC1A5"/>
    <w:rsid w:val="3E239577"/>
    <w:rsid w:val="3E25B91B"/>
    <w:rsid w:val="3E2CF688"/>
    <w:rsid w:val="3E2EDAB9"/>
    <w:rsid w:val="3E3B7B55"/>
    <w:rsid w:val="3E402E41"/>
    <w:rsid w:val="3E48BC3E"/>
    <w:rsid w:val="3E53E255"/>
    <w:rsid w:val="3E6D21D1"/>
    <w:rsid w:val="3E6FD5D5"/>
    <w:rsid w:val="3E792146"/>
    <w:rsid w:val="3E798415"/>
    <w:rsid w:val="3E890C98"/>
    <w:rsid w:val="3E8DABDF"/>
    <w:rsid w:val="3E9B5BEB"/>
    <w:rsid w:val="3E9D4967"/>
    <w:rsid w:val="3EAA2780"/>
    <w:rsid w:val="3EAC91BB"/>
    <w:rsid w:val="3EC8CEE2"/>
    <w:rsid w:val="3ECDA0E1"/>
    <w:rsid w:val="3ED71B56"/>
    <w:rsid w:val="3EE50AD6"/>
    <w:rsid w:val="3EE8A74B"/>
    <w:rsid w:val="3EFA8A21"/>
    <w:rsid w:val="3EFE1A3B"/>
    <w:rsid w:val="3F0B61EB"/>
    <w:rsid w:val="3F1077B1"/>
    <w:rsid w:val="3F113B3D"/>
    <w:rsid w:val="3F2E1E2A"/>
    <w:rsid w:val="3F33AA35"/>
    <w:rsid w:val="3F38DDE2"/>
    <w:rsid w:val="3F397F53"/>
    <w:rsid w:val="3F3CF59D"/>
    <w:rsid w:val="3F3E0588"/>
    <w:rsid w:val="3F446F56"/>
    <w:rsid w:val="3F467A84"/>
    <w:rsid w:val="3F4767EC"/>
    <w:rsid w:val="3F4FAE03"/>
    <w:rsid w:val="3F61498C"/>
    <w:rsid w:val="3F6228DB"/>
    <w:rsid w:val="3F673C4A"/>
    <w:rsid w:val="3F769CBA"/>
    <w:rsid w:val="3F7E6344"/>
    <w:rsid w:val="3F9BF489"/>
    <w:rsid w:val="3F9C7F7E"/>
    <w:rsid w:val="3FA36CBD"/>
    <w:rsid w:val="3FA9A170"/>
    <w:rsid w:val="3FAA5D9F"/>
    <w:rsid w:val="3FAAC005"/>
    <w:rsid w:val="3FAC01D5"/>
    <w:rsid w:val="3FC0C3D3"/>
    <w:rsid w:val="3FCC44AF"/>
    <w:rsid w:val="3FDB5F90"/>
    <w:rsid w:val="3FDE627E"/>
    <w:rsid w:val="3FDF080C"/>
    <w:rsid w:val="3FE3A55E"/>
    <w:rsid w:val="3FE56A93"/>
    <w:rsid w:val="3FF105BF"/>
    <w:rsid w:val="3FF7C06E"/>
    <w:rsid w:val="3FF80F1D"/>
    <w:rsid w:val="3FFBACEE"/>
    <w:rsid w:val="40022716"/>
    <w:rsid w:val="4005E6C8"/>
    <w:rsid w:val="400B2E18"/>
    <w:rsid w:val="40120E26"/>
    <w:rsid w:val="40148D14"/>
    <w:rsid w:val="401AB4F8"/>
    <w:rsid w:val="40239247"/>
    <w:rsid w:val="402F265E"/>
    <w:rsid w:val="403102DB"/>
    <w:rsid w:val="403702E0"/>
    <w:rsid w:val="4041BE73"/>
    <w:rsid w:val="404D27F5"/>
    <w:rsid w:val="404FA4F4"/>
    <w:rsid w:val="4059B196"/>
    <w:rsid w:val="405F7558"/>
    <w:rsid w:val="40709C70"/>
    <w:rsid w:val="40856D41"/>
    <w:rsid w:val="40878064"/>
    <w:rsid w:val="408AA5EB"/>
    <w:rsid w:val="408B2CD9"/>
    <w:rsid w:val="4093F6D5"/>
    <w:rsid w:val="40AE743C"/>
    <w:rsid w:val="40AF18BA"/>
    <w:rsid w:val="40B063B6"/>
    <w:rsid w:val="40B82D19"/>
    <w:rsid w:val="40BAF8AC"/>
    <w:rsid w:val="40CAE367"/>
    <w:rsid w:val="40E1AE3C"/>
    <w:rsid w:val="40E1EFEC"/>
    <w:rsid w:val="40E4E6D6"/>
    <w:rsid w:val="40EBFDA2"/>
    <w:rsid w:val="40FA8F6E"/>
    <w:rsid w:val="410A1C0C"/>
    <w:rsid w:val="41117CC7"/>
    <w:rsid w:val="4125433C"/>
    <w:rsid w:val="4130B623"/>
    <w:rsid w:val="413D5A0B"/>
    <w:rsid w:val="4148D5C2"/>
    <w:rsid w:val="414BE1B0"/>
    <w:rsid w:val="41527239"/>
    <w:rsid w:val="41594CC7"/>
    <w:rsid w:val="415E909D"/>
    <w:rsid w:val="4179468F"/>
    <w:rsid w:val="417B7AA3"/>
    <w:rsid w:val="417C29A4"/>
    <w:rsid w:val="417E04F3"/>
    <w:rsid w:val="41809080"/>
    <w:rsid w:val="418EEFE3"/>
    <w:rsid w:val="419B3C86"/>
    <w:rsid w:val="41A05799"/>
    <w:rsid w:val="41A4B3CB"/>
    <w:rsid w:val="41B0025B"/>
    <w:rsid w:val="41B193B5"/>
    <w:rsid w:val="41C29023"/>
    <w:rsid w:val="41CF7B52"/>
    <w:rsid w:val="41D4EC8B"/>
    <w:rsid w:val="41D58A09"/>
    <w:rsid w:val="41EB6875"/>
    <w:rsid w:val="42064508"/>
    <w:rsid w:val="4222544B"/>
    <w:rsid w:val="4223AFE8"/>
    <w:rsid w:val="4234B7C5"/>
    <w:rsid w:val="423566B1"/>
    <w:rsid w:val="42403EDE"/>
    <w:rsid w:val="4256CA4A"/>
    <w:rsid w:val="4259B1EB"/>
    <w:rsid w:val="426FE8FC"/>
    <w:rsid w:val="4278D818"/>
    <w:rsid w:val="42794CA8"/>
    <w:rsid w:val="428042B1"/>
    <w:rsid w:val="428297E0"/>
    <w:rsid w:val="42843B5C"/>
    <w:rsid w:val="428539F7"/>
    <w:rsid w:val="428F960B"/>
    <w:rsid w:val="42A296DE"/>
    <w:rsid w:val="42AD6442"/>
    <w:rsid w:val="42AFBEC4"/>
    <w:rsid w:val="42BB2D45"/>
    <w:rsid w:val="42CB8596"/>
    <w:rsid w:val="42DABCF8"/>
    <w:rsid w:val="42E31F19"/>
    <w:rsid w:val="42F853CF"/>
    <w:rsid w:val="42FF66E8"/>
    <w:rsid w:val="43092570"/>
    <w:rsid w:val="430993D2"/>
    <w:rsid w:val="430A7676"/>
    <w:rsid w:val="4316396C"/>
    <w:rsid w:val="431F2557"/>
    <w:rsid w:val="4330474B"/>
    <w:rsid w:val="4331EEEF"/>
    <w:rsid w:val="433D09A8"/>
    <w:rsid w:val="4346F555"/>
    <w:rsid w:val="4347EF57"/>
    <w:rsid w:val="434A18E6"/>
    <w:rsid w:val="434A575F"/>
    <w:rsid w:val="434E7409"/>
    <w:rsid w:val="435E2747"/>
    <w:rsid w:val="4369C853"/>
    <w:rsid w:val="436D07C1"/>
    <w:rsid w:val="437646EE"/>
    <w:rsid w:val="43775D67"/>
    <w:rsid w:val="437BDA30"/>
    <w:rsid w:val="43940FDF"/>
    <w:rsid w:val="43A0CE6D"/>
    <w:rsid w:val="43A2C713"/>
    <w:rsid w:val="43AEB95F"/>
    <w:rsid w:val="43AEC76C"/>
    <w:rsid w:val="43B0A3D1"/>
    <w:rsid w:val="43BF4E5D"/>
    <w:rsid w:val="43C01EFD"/>
    <w:rsid w:val="43CC434C"/>
    <w:rsid w:val="43CCE691"/>
    <w:rsid w:val="43D60F80"/>
    <w:rsid w:val="43DB42CD"/>
    <w:rsid w:val="43DB4764"/>
    <w:rsid w:val="43DBA596"/>
    <w:rsid w:val="43DE063D"/>
    <w:rsid w:val="43E46269"/>
    <w:rsid w:val="43E49CCD"/>
    <w:rsid w:val="43E929FF"/>
    <w:rsid w:val="43EF314C"/>
    <w:rsid w:val="43EF9973"/>
    <w:rsid w:val="43F23204"/>
    <w:rsid w:val="43F36A9D"/>
    <w:rsid w:val="44117AFB"/>
    <w:rsid w:val="4415D974"/>
    <w:rsid w:val="4416EBB9"/>
    <w:rsid w:val="441832E5"/>
    <w:rsid w:val="4418C806"/>
    <w:rsid w:val="441E6846"/>
    <w:rsid w:val="4421E5C9"/>
    <w:rsid w:val="44228336"/>
    <w:rsid w:val="442ABE7C"/>
    <w:rsid w:val="442DA672"/>
    <w:rsid w:val="442EFAEA"/>
    <w:rsid w:val="4431AF6A"/>
    <w:rsid w:val="4433D79A"/>
    <w:rsid w:val="4434EC55"/>
    <w:rsid w:val="44571D5C"/>
    <w:rsid w:val="445AAB29"/>
    <w:rsid w:val="445F5BAF"/>
    <w:rsid w:val="446E36DD"/>
    <w:rsid w:val="446E4438"/>
    <w:rsid w:val="44756EA1"/>
    <w:rsid w:val="447EDC95"/>
    <w:rsid w:val="4482DBFB"/>
    <w:rsid w:val="4487C02A"/>
    <w:rsid w:val="448CB545"/>
    <w:rsid w:val="448D9FBC"/>
    <w:rsid w:val="44953621"/>
    <w:rsid w:val="4495F098"/>
    <w:rsid w:val="44A076DA"/>
    <w:rsid w:val="44A077E3"/>
    <w:rsid w:val="44AB3EFB"/>
    <w:rsid w:val="44AD2ED3"/>
    <w:rsid w:val="44AEF124"/>
    <w:rsid w:val="44B012A5"/>
    <w:rsid w:val="44B16CC4"/>
    <w:rsid w:val="44B16EC3"/>
    <w:rsid w:val="44B36953"/>
    <w:rsid w:val="44B9D73E"/>
    <w:rsid w:val="44C79BA8"/>
    <w:rsid w:val="44CBAC96"/>
    <w:rsid w:val="44D568FA"/>
    <w:rsid w:val="44E0E003"/>
    <w:rsid w:val="44E5E7F0"/>
    <w:rsid w:val="44E9AC02"/>
    <w:rsid w:val="44F13915"/>
    <w:rsid w:val="45010297"/>
    <w:rsid w:val="45048EE8"/>
    <w:rsid w:val="450ABEEC"/>
    <w:rsid w:val="450CA77A"/>
    <w:rsid w:val="450D90C0"/>
    <w:rsid w:val="450DF6BA"/>
    <w:rsid w:val="4514375D"/>
    <w:rsid w:val="45155FE0"/>
    <w:rsid w:val="45199059"/>
    <w:rsid w:val="4520AABA"/>
    <w:rsid w:val="4527BEDB"/>
    <w:rsid w:val="452A7E6B"/>
    <w:rsid w:val="4530028C"/>
    <w:rsid w:val="45367C49"/>
    <w:rsid w:val="45390321"/>
    <w:rsid w:val="4541284E"/>
    <w:rsid w:val="4548CC6E"/>
    <w:rsid w:val="4549FB3C"/>
    <w:rsid w:val="456CA205"/>
    <w:rsid w:val="45809DB6"/>
    <w:rsid w:val="45820A48"/>
    <w:rsid w:val="4588FF90"/>
    <w:rsid w:val="458CBF3A"/>
    <w:rsid w:val="4590EC88"/>
    <w:rsid w:val="4592156B"/>
    <w:rsid w:val="459B39A3"/>
    <w:rsid w:val="459B87F0"/>
    <w:rsid w:val="459C69E0"/>
    <w:rsid w:val="45A87F5B"/>
    <w:rsid w:val="45B02104"/>
    <w:rsid w:val="45BAB1E3"/>
    <w:rsid w:val="45BB66D7"/>
    <w:rsid w:val="45CB5861"/>
    <w:rsid w:val="45D3C32F"/>
    <w:rsid w:val="45DB8457"/>
    <w:rsid w:val="45DDA3FF"/>
    <w:rsid w:val="45DEAE01"/>
    <w:rsid w:val="45E670B3"/>
    <w:rsid w:val="45F2A1DB"/>
    <w:rsid w:val="45F79AC3"/>
    <w:rsid w:val="46068B49"/>
    <w:rsid w:val="460FD8FE"/>
    <w:rsid w:val="4615E0A6"/>
    <w:rsid w:val="461F2AAE"/>
    <w:rsid w:val="4633E99B"/>
    <w:rsid w:val="4635B86F"/>
    <w:rsid w:val="463CF35B"/>
    <w:rsid w:val="463FA6DD"/>
    <w:rsid w:val="4641F520"/>
    <w:rsid w:val="4646124A"/>
    <w:rsid w:val="4653B3A1"/>
    <w:rsid w:val="46654699"/>
    <w:rsid w:val="466E2CCE"/>
    <w:rsid w:val="46787C73"/>
    <w:rsid w:val="4684766B"/>
    <w:rsid w:val="468B54CD"/>
    <w:rsid w:val="4692C870"/>
    <w:rsid w:val="469DB21F"/>
    <w:rsid w:val="46AFE09C"/>
    <w:rsid w:val="46BE10FA"/>
    <w:rsid w:val="46C07D3E"/>
    <w:rsid w:val="46C80B05"/>
    <w:rsid w:val="46CCC82F"/>
    <w:rsid w:val="46DBF342"/>
    <w:rsid w:val="46DC2AA1"/>
    <w:rsid w:val="46E66278"/>
    <w:rsid w:val="46E88730"/>
    <w:rsid w:val="47048B20"/>
    <w:rsid w:val="470F91F4"/>
    <w:rsid w:val="4724E828"/>
    <w:rsid w:val="4738E88D"/>
    <w:rsid w:val="473F1ADB"/>
    <w:rsid w:val="4740FA96"/>
    <w:rsid w:val="4745D74C"/>
    <w:rsid w:val="4758646C"/>
    <w:rsid w:val="47601B03"/>
    <w:rsid w:val="47639F97"/>
    <w:rsid w:val="476A1574"/>
    <w:rsid w:val="4771CEAC"/>
    <w:rsid w:val="47744FE9"/>
    <w:rsid w:val="4778CC8D"/>
    <w:rsid w:val="477F63F8"/>
    <w:rsid w:val="478AF24D"/>
    <w:rsid w:val="479A48BB"/>
    <w:rsid w:val="479A878E"/>
    <w:rsid w:val="47AE5A69"/>
    <w:rsid w:val="47B33073"/>
    <w:rsid w:val="47B8699D"/>
    <w:rsid w:val="47BBE2FA"/>
    <w:rsid w:val="47C4090C"/>
    <w:rsid w:val="47CECF02"/>
    <w:rsid w:val="47CF57BC"/>
    <w:rsid w:val="47D49B76"/>
    <w:rsid w:val="47F7CA48"/>
    <w:rsid w:val="47F82AB6"/>
    <w:rsid w:val="47FC98AE"/>
    <w:rsid w:val="4801B215"/>
    <w:rsid w:val="48022D53"/>
    <w:rsid w:val="48040935"/>
    <w:rsid w:val="48064D43"/>
    <w:rsid w:val="48092871"/>
    <w:rsid w:val="4809631D"/>
    <w:rsid w:val="480BC7DF"/>
    <w:rsid w:val="48105567"/>
    <w:rsid w:val="4810FCD3"/>
    <w:rsid w:val="481B0096"/>
    <w:rsid w:val="481FA584"/>
    <w:rsid w:val="48228F75"/>
    <w:rsid w:val="48259DF9"/>
    <w:rsid w:val="482621EF"/>
    <w:rsid w:val="4837AC96"/>
    <w:rsid w:val="483C6FCC"/>
    <w:rsid w:val="483D27B6"/>
    <w:rsid w:val="4843423F"/>
    <w:rsid w:val="485071A1"/>
    <w:rsid w:val="4853EA1C"/>
    <w:rsid w:val="4856A0D0"/>
    <w:rsid w:val="4869C4C5"/>
    <w:rsid w:val="486A322C"/>
    <w:rsid w:val="48766F95"/>
    <w:rsid w:val="4877F81C"/>
    <w:rsid w:val="488A0F80"/>
    <w:rsid w:val="488BAC82"/>
    <w:rsid w:val="488E8C58"/>
    <w:rsid w:val="48958F0F"/>
    <w:rsid w:val="48A4A66D"/>
    <w:rsid w:val="48AED2B7"/>
    <w:rsid w:val="48AF2D8D"/>
    <w:rsid w:val="48B00809"/>
    <w:rsid w:val="48B19B6B"/>
    <w:rsid w:val="48C47D5F"/>
    <w:rsid w:val="48C653D3"/>
    <w:rsid w:val="48CE9772"/>
    <w:rsid w:val="48D50E5C"/>
    <w:rsid w:val="48D90269"/>
    <w:rsid w:val="48E14FA8"/>
    <w:rsid w:val="48E1CF0E"/>
    <w:rsid w:val="48E23A3B"/>
    <w:rsid w:val="48F36918"/>
    <w:rsid w:val="48F420FF"/>
    <w:rsid w:val="4904DFF0"/>
    <w:rsid w:val="490B021F"/>
    <w:rsid w:val="490BBDE1"/>
    <w:rsid w:val="4915157E"/>
    <w:rsid w:val="4928B08E"/>
    <w:rsid w:val="492BD276"/>
    <w:rsid w:val="492CDBF2"/>
    <w:rsid w:val="493081CD"/>
    <w:rsid w:val="49331EF6"/>
    <w:rsid w:val="4933549F"/>
    <w:rsid w:val="49339CF1"/>
    <w:rsid w:val="493ADC18"/>
    <w:rsid w:val="493DF37D"/>
    <w:rsid w:val="493F10B4"/>
    <w:rsid w:val="49406D48"/>
    <w:rsid w:val="49423EAA"/>
    <w:rsid w:val="49473A8F"/>
    <w:rsid w:val="495128A1"/>
    <w:rsid w:val="4956E64B"/>
    <w:rsid w:val="49581F8F"/>
    <w:rsid w:val="4962AB11"/>
    <w:rsid w:val="497A8AC5"/>
    <w:rsid w:val="498EE378"/>
    <w:rsid w:val="4995DC48"/>
    <w:rsid w:val="49A6D05A"/>
    <w:rsid w:val="49B644F2"/>
    <w:rsid w:val="49C008FF"/>
    <w:rsid w:val="49C39DDC"/>
    <w:rsid w:val="49C9C67C"/>
    <w:rsid w:val="49CACB3C"/>
    <w:rsid w:val="49CE40A3"/>
    <w:rsid w:val="49D429A8"/>
    <w:rsid w:val="49E59722"/>
    <w:rsid w:val="49EA81FB"/>
    <w:rsid w:val="49FE19B7"/>
    <w:rsid w:val="4A114681"/>
    <w:rsid w:val="4A1270DB"/>
    <w:rsid w:val="4A13A5CE"/>
    <w:rsid w:val="4A19BAF0"/>
    <w:rsid w:val="4A1E4D25"/>
    <w:rsid w:val="4A223E67"/>
    <w:rsid w:val="4A245699"/>
    <w:rsid w:val="4A3326C4"/>
    <w:rsid w:val="4A353826"/>
    <w:rsid w:val="4A385055"/>
    <w:rsid w:val="4A3C2555"/>
    <w:rsid w:val="4A3FA005"/>
    <w:rsid w:val="4A406498"/>
    <w:rsid w:val="4A42CF35"/>
    <w:rsid w:val="4A512A53"/>
    <w:rsid w:val="4A517783"/>
    <w:rsid w:val="4A519450"/>
    <w:rsid w:val="4A5621CD"/>
    <w:rsid w:val="4A58C1CC"/>
    <w:rsid w:val="4A58E73C"/>
    <w:rsid w:val="4A650BBF"/>
    <w:rsid w:val="4A677C73"/>
    <w:rsid w:val="4A6B97BF"/>
    <w:rsid w:val="4A6E87F4"/>
    <w:rsid w:val="4A74102E"/>
    <w:rsid w:val="4A7DC7F4"/>
    <w:rsid w:val="4A87AF0E"/>
    <w:rsid w:val="4A8DD697"/>
    <w:rsid w:val="4A8EB501"/>
    <w:rsid w:val="4A942605"/>
    <w:rsid w:val="4A9977B8"/>
    <w:rsid w:val="4A9AAA42"/>
    <w:rsid w:val="4A9E0B77"/>
    <w:rsid w:val="4AAA0315"/>
    <w:rsid w:val="4ACA4166"/>
    <w:rsid w:val="4AD5B334"/>
    <w:rsid w:val="4AE39D61"/>
    <w:rsid w:val="4AE4EA5F"/>
    <w:rsid w:val="4AE63228"/>
    <w:rsid w:val="4AE75935"/>
    <w:rsid w:val="4AE97E70"/>
    <w:rsid w:val="4AEF81DF"/>
    <w:rsid w:val="4AF1EFC4"/>
    <w:rsid w:val="4AFE0953"/>
    <w:rsid w:val="4B058931"/>
    <w:rsid w:val="4B06802D"/>
    <w:rsid w:val="4B0C5C7E"/>
    <w:rsid w:val="4B0D6660"/>
    <w:rsid w:val="4B0F8C31"/>
    <w:rsid w:val="4B1BF477"/>
    <w:rsid w:val="4B38B017"/>
    <w:rsid w:val="4B44FD73"/>
    <w:rsid w:val="4B49DC91"/>
    <w:rsid w:val="4B57F476"/>
    <w:rsid w:val="4B5FCBA4"/>
    <w:rsid w:val="4B633BF8"/>
    <w:rsid w:val="4B6AAE8B"/>
    <w:rsid w:val="4B81DFC1"/>
    <w:rsid w:val="4B8AB01A"/>
    <w:rsid w:val="4B9D5EBD"/>
    <w:rsid w:val="4BC933D4"/>
    <w:rsid w:val="4BCB2B6B"/>
    <w:rsid w:val="4BD42DAD"/>
    <w:rsid w:val="4BD85703"/>
    <w:rsid w:val="4BDC5FFA"/>
    <w:rsid w:val="4BE22F1F"/>
    <w:rsid w:val="4C020682"/>
    <w:rsid w:val="4C169221"/>
    <w:rsid w:val="4C16CE33"/>
    <w:rsid w:val="4C234652"/>
    <w:rsid w:val="4C258C6A"/>
    <w:rsid w:val="4C2D7C79"/>
    <w:rsid w:val="4C30D5D6"/>
    <w:rsid w:val="4C310702"/>
    <w:rsid w:val="4C3E34B2"/>
    <w:rsid w:val="4C522D14"/>
    <w:rsid w:val="4C553AEB"/>
    <w:rsid w:val="4C57E47C"/>
    <w:rsid w:val="4C58D973"/>
    <w:rsid w:val="4C592FFB"/>
    <w:rsid w:val="4C5E7A4A"/>
    <w:rsid w:val="4C5F082A"/>
    <w:rsid w:val="4C6DEFAF"/>
    <w:rsid w:val="4C8DB618"/>
    <w:rsid w:val="4C8DE1B1"/>
    <w:rsid w:val="4C8DF823"/>
    <w:rsid w:val="4C90089C"/>
    <w:rsid w:val="4CA71C21"/>
    <w:rsid w:val="4CA97256"/>
    <w:rsid w:val="4CAE58FB"/>
    <w:rsid w:val="4CBA9846"/>
    <w:rsid w:val="4CBA9F38"/>
    <w:rsid w:val="4CC04197"/>
    <w:rsid w:val="4CC786A4"/>
    <w:rsid w:val="4CD3D23D"/>
    <w:rsid w:val="4CD48576"/>
    <w:rsid w:val="4CD5611B"/>
    <w:rsid w:val="4CD83ACC"/>
    <w:rsid w:val="4CE031F0"/>
    <w:rsid w:val="4CE03ABD"/>
    <w:rsid w:val="4CEF2770"/>
    <w:rsid w:val="4CF1FD16"/>
    <w:rsid w:val="4CF5C4E1"/>
    <w:rsid w:val="4CFA05AF"/>
    <w:rsid w:val="4CFB7E7C"/>
    <w:rsid w:val="4CFE5E72"/>
    <w:rsid w:val="4D081417"/>
    <w:rsid w:val="4D0AEB57"/>
    <w:rsid w:val="4D0F7F1C"/>
    <w:rsid w:val="4D1260A3"/>
    <w:rsid w:val="4D170FEF"/>
    <w:rsid w:val="4D35F617"/>
    <w:rsid w:val="4D47B5C8"/>
    <w:rsid w:val="4D4E6D1D"/>
    <w:rsid w:val="4D518443"/>
    <w:rsid w:val="4D652BC3"/>
    <w:rsid w:val="4D6F829B"/>
    <w:rsid w:val="4D720C82"/>
    <w:rsid w:val="4D73DFEA"/>
    <w:rsid w:val="4D89DC6F"/>
    <w:rsid w:val="4D92A0AD"/>
    <w:rsid w:val="4D92F47F"/>
    <w:rsid w:val="4D991314"/>
    <w:rsid w:val="4D99DE64"/>
    <w:rsid w:val="4DA60B9F"/>
    <w:rsid w:val="4DC78E7E"/>
    <w:rsid w:val="4DCB69C2"/>
    <w:rsid w:val="4DDDF74E"/>
    <w:rsid w:val="4DE17983"/>
    <w:rsid w:val="4DE24482"/>
    <w:rsid w:val="4DE4AE3F"/>
    <w:rsid w:val="4DE779A2"/>
    <w:rsid w:val="4DFD467E"/>
    <w:rsid w:val="4DFFEC60"/>
    <w:rsid w:val="4E0A5C78"/>
    <w:rsid w:val="4E168033"/>
    <w:rsid w:val="4E1E0D16"/>
    <w:rsid w:val="4E223CAE"/>
    <w:rsid w:val="4E2458F2"/>
    <w:rsid w:val="4E2957EA"/>
    <w:rsid w:val="4E4647BB"/>
    <w:rsid w:val="4E478842"/>
    <w:rsid w:val="4E555E8B"/>
    <w:rsid w:val="4E581696"/>
    <w:rsid w:val="4E5A3071"/>
    <w:rsid w:val="4E5DD919"/>
    <w:rsid w:val="4E6165AA"/>
    <w:rsid w:val="4E616976"/>
    <w:rsid w:val="4E7580C1"/>
    <w:rsid w:val="4E77E247"/>
    <w:rsid w:val="4E77FB4B"/>
    <w:rsid w:val="4E79B236"/>
    <w:rsid w:val="4E7CE17C"/>
    <w:rsid w:val="4E8B12E3"/>
    <w:rsid w:val="4E8DE69A"/>
    <w:rsid w:val="4E95C7E0"/>
    <w:rsid w:val="4E9E93C6"/>
    <w:rsid w:val="4E9F14AE"/>
    <w:rsid w:val="4EA2DB65"/>
    <w:rsid w:val="4EA3F68E"/>
    <w:rsid w:val="4EA4344C"/>
    <w:rsid w:val="4EB40E5B"/>
    <w:rsid w:val="4EBC3082"/>
    <w:rsid w:val="4ECE069F"/>
    <w:rsid w:val="4ED8AF4F"/>
    <w:rsid w:val="4EFD576E"/>
    <w:rsid w:val="4F071A67"/>
    <w:rsid w:val="4F138BDB"/>
    <w:rsid w:val="4F139425"/>
    <w:rsid w:val="4F13E8B4"/>
    <w:rsid w:val="4F14517F"/>
    <w:rsid w:val="4F1C3474"/>
    <w:rsid w:val="4F1C3603"/>
    <w:rsid w:val="4F1DC99A"/>
    <w:rsid w:val="4F3317E2"/>
    <w:rsid w:val="4F3826AC"/>
    <w:rsid w:val="4F388FAE"/>
    <w:rsid w:val="4F397A39"/>
    <w:rsid w:val="4F3F42FC"/>
    <w:rsid w:val="4F406797"/>
    <w:rsid w:val="4F411659"/>
    <w:rsid w:val="4F41CD07"/>
    <w:rsid w:val="4F489E2C"/>
    <w:rsid w:val="4F4B5456"/>
    <w:rsid w:val="4F4F126A"/>
    <w:rsid w:val="4F526046"/>
    <w:rsid w:val="4F5C83ED"/>
    <w:rsid w:val="4F5E2FB4"/>
    <w:rsid w:val="4F60382D"/>
    <w:rsid w:val="4F63F9CD"/>
    <w:rsid w:val="4F6DAD80"/>
    <w:rsid w:val="4F92F079"/>
    <w:rsid w:val="4F9D49E5"/>
    <w:rsid w:val="4F9E414F"/>
    <w:rsid w:val="4F9E6AE6"/>
    <w:rsid w:val="4FA14CD4"/>
    <w:rsid w:val="4FA348BF"/>
    <w:rsid w:val="4FA9BE50"/>
    <w:rsid w:val="4FB8A445"/>
    <w:rsid w:val="4FBEFEE9"/>
    <w:rsid w:val="4FCAD782"/>
    <w:rsid w:val="4FCE6C29"/>
    <w:rsid w:val="4FDE8C95"/>
    <w:rsid w:val="4FDEB906"/>
    <w:rsid w:val="4FF1FE21"/>
    <w:rsid w:val="4FF6A708"/>
    <w:rsid w:val="4FF8C609"/>
    <w:rsid w:val="500EC438"/>
    <w:rsid w:val="50122760"/>
    <w:rsid w:val="502974E2"/>
    <w:rsid w:val="5039E521"/>
    <w:rsid w:val="506ABF19"/>
    <w:rsid w:val="50848A30"/>
    <w:rsid w:val="50919489"/>
    <w:rsid w:val="509770E1"/>
    <w:rsid w:val="509B96B8"/>
    <w:rsid w:val="50B2DA07"/>
    <w:rsid w:val="50B2E070"/>
    <w:rsid w:val="50B88793"/>
    <w:rsid w:val="50E1CCF7"/>
    <w:rsid w:val="50EE1944"/>
    <w:rsid w:val="510798D9"/>
    <w:rsid w:val="510DD1D2"/>
    <w:rsid w:val="510E00A1"/>
    <w:rsid w:val="51139319"/>
    <w:rsid w:val="5118C82C"/>
    <w:rsid w:val="511C3E15"/>
    <w:rsid w:val="5120E080"/>
    <w:rsid w:val="5135C0FC"/>
    <w:rsid w:val="513B0B78"/>
    <w:rsid w:val="51481B7A"/>
    <w:rsid w:val="515984ED"/>
    <w:rsid w:val="515E1EAE"/>
    <w:rsid w:val="515FE588"/>
    <w:rsid w:val="516C3F0B"/>
    <w:rsid w:val="517A24D5"/>
    <w:rsid w:val="51925948"/>
    <w:rsid w:val="519E5683"/>
    <w:rsid w:val="51B24AF3"/>
    <w:rsid w:val="51B749A5"/>
    <w:rsid w:val="51C3C947"/>
    <w:rsid w:val="51D4470E"/>
    <w:rsid w:val="51D8B856"/>
    <w:rsid w:val="51E1094D"/>
    <w:rsid w:val="51E13DA7"/>
    <w:rsid w:val="51E5D052"/>
    <w:rsid w:val="51EE115D"/>
    <w:rsid w:val="51F26240"/>
    <w:rsid w:val="51F41F44"/>
    <w:rsid w:val="51F973F0"/>
    <w:rsid w:val="5200980C"/>
    <w:rsid w:val="5206C43B"/>
    <w:rsid w:val="52078332"/>
    <w:rsid w:val="5214B735"/>
    <w:rsid w:val="5216D66C"/>
    <w:rsid w:val="521B95D7"/>
    <w:rsid w:val="52219940"/>
    <w:rsid w:val="522DED08"/>
    <w:rsid w:val="52343FC0"/>
    <w:rsid w:val="523D3884"/>
    <w:rsid w:val="5240EBAA"/>
    <w:rsid w:val="525481A3"/>
    <w:rsid w:val="525B0378"/>
    <w:rsid w:val="525C4A1C"/>
    <w:rsid w:val="5264BF72"/>
    <w:rsid w:val="526BF9BF"/>
    <w:rsid w:val="526E6E77"/>
    <w:rsid w:val="526FA7D0"/>
    <w:rsid w:val="52704C27"/>
    <w:rsid w:val="52766B84"/>
    <w:rsid w:val="5280AF06"/>
    <w:rsid w:val="5280EEF4"/>
    <w:rsid w:val="52829F46"/>
    <w:rsid w:val="528C6579"/>
    <w:rsid w:val="528E911C"/>
    <w:rsid w:val="528F6CCF"/>
    <w:rsid w:val="529C1C78"/>
    <w:rsid w:val="529F4761"/>
    <w:rsid w:val="52A1398E"/>
    <w:rsid w:val="52A896A8"/>
    <w:rsid w:val="52A95F83"/>
    <w:rsid w:val="52B30174"/>
    <w:rsid w:val="52BD86EF"/>
    <w:rsid w:val="52DC94BE"/>
    <w:rsid w:val="52E34336"/>
    <w:rsid w:val="52E3D6CA"/>
    <w:rsid w:val="52E92EDF"/>
    <w:rsid w:val="52FC7074"/>
    <w:rsid w:val="531A2AD7"/>
    <w:rsid w:val="531AE13D"/>
    <w:rsid w:val="531DD48E"/>
    <w:rsid w:val="532802EA"/>
    <w:rsid w:val="53282767"/>
    <w:rsid w:val="5331DC69"/>
    <w:rsid w:val="5331EC9E"/>
    <w:rsid w:val="53364DA9"/>
    <w:rsid w:val="533D1D30"/>
    <w:rsid w:val="5341F519"/>
    <w:rsid w:val="5343362D"/>
    <w:rsid w:val="5345BD18"/>
    <w:rsid w:val="534BB80A"/>
    <w:rsid w:val="535D36DD"/>
    <w:rsid w:val="5365BD86"/>
    <w:rsid w:val="5368284D"/>
    <w:rsid w:val="536AF3E7"/>
    <w:rsid w:val="536B2F3A"/>
    <w:rsid w:val="536B4027"/>
    <w:rsid w:val="5388C50B"/>
    <w:rsid w:val="539CB8B5"/>
    <w:rsid w:val="539CEB0D"/>
    <w:rsid w:val="53AA7DDB"/>
    <w:rsid w:val="53ADB581"/>
    <w:rsid w:val="53B06B53"/>
    <w:rsid w:val="53B25598"/>
    <w:rsid w:val="53B32223"/>
    <w:rsid w:val="53B82035"/>
    <w:rsid w:val="53C1F3BE"/>
    <w:rsid w:val="53D1F88D"/>
    <w:rsid w:val="53DA66F5"/>
    <w:rsid w:val="53E09C2D"/>
    <w:rsid w:val="53E42A10"/>
    <w:rsid w:val="53EA6BBB"/>
    <w:rsid w:val="53F0E2ED"/>
    <w:rsid w:val="53F75FA1"/>
    <w:rsid w:val="53FA55DC"/>
    <w:rsid w:val="53FB03EA"/>
    <w:rsid w:val="54006CC4"/>
    <w:rsid w:val="54079008"/>
    <w:rsid w:val="540A589A"/>
    <w:rsid w:val="540CA7A4"/>
    <w:rsid w:val="540E97FE"/>
    <w:rsid w:val="54107DF3"/>
    <w:rsid w:val="541BC0EE"/>
    <w:rsid w:val="541BFCE2"/>
    <w:rsid w:val="5426F8D3"/>
    <w:rsid w:val="54370E8A"/>
    <w:rsid w:val="5442E1FC"/>
    <w:rsid w:val="5444DAB4"/>
    <w:rsid w:val="5458B961"/>
    <w:rsid w:val="54617E36"/>
    <w:rsid w:val="54622098"/>
    <w:rsid w:val="54632359"/>
    <w:rsid w:val="546475AB"/>
    <w:rsid w:val="54658D84"/>
    <w:rsid w:val="54665AF0"/>
    <w:rsid w:val="546B8BE2"/>
    <w:rsid w:val="5489A9FD"/>
    <w:rsid w:val="548BFA40"/>
    <w:rsid w:val="549693A8"/>
    <w:rsid w:val="549943F4"/>
    <w:rsid w:val="549E13F7"/>
    <w:rsid w:val="549EAAF3"/>
    <w:rsid w:val="54AA1FCB"/>
    <w:rsid w:val="54B065F4"/>
    <w:rsid w:val="54B983B0"/>
    <w:rsid w:val="54D156A6"/>
    <w:rsid w:val="54D4A8E5"/>
    <w:rsid w:val="54D94D10"/>
    <w:rsid w:val="54F076C1"/>
    <w:rsid w:val="54FA51F3"/>
    <w:rsid w:val="550528E8"/>
    <w:rsid w:val="550EABE1"/>
    <w:rsid w:val="5519D700"/>
    <w:rsid w:val="552B4930"/>
    <w:rsid w:val="552E91A0"/>
    <w:rsid w:val="552F615E"/>
    <w:rsid w:val="553F95F1"/>
    <w:rsid w:val="5547931F"/>
    <w:rsid w:val="554EEBD0"/>
    <w:rsid w:val="5552537C"/>
    <w:rsid w:val="55618803"/>
    <w:rsid w:val="5564571A"/>
    <w:rsid w:val="556BE2A6"/>
    <w:rsid w:val="556E8D46"/>
    <w:rsid w:val="5572CF02"/>
    <w:rsid w:val="5574E29D"/>
    <w:rsid w:val="557FC5FC"/>
    <w:rsid w:val="55849AA0"/>
    <w:rsid w:val="55A67BB3"/>
    <w:rsid w:val="55A77344"/>
    <w:rsid w:val="55AA9804"/>
    <w:rsid w:val="55B40AB1"/>
    <w:rsid w:val="55CA9BF4"/>
    <w:rsid w:val="55CDF1D4"/>
    <w:rsid w:val="55D78026"/>
    <w:rsid w:val="55DE94FC"/>
    <w:rsid w:val="55E96A15"/>
    <w:rsid w:val="55FC9C79"/>
    <w:rsid w:val="55FCFE92"/>
    <w:rsid w:val="56017A7A"/>
    <w:rsid w:val="5605EC1E"/>
    <w:rsid w:val="562491B5"/>
    <w:rsid w:val="562B4AF2"/>
    <w:rsid w:val="562FC707"/>
    <w:rsid w:val="5638AAE1"/>
    <w:rsid w:val="56400966"/>
    <w:rsid w:val="564C82BB"/>
    <w:rsid w:val="56576DF0"/>
    <w:rsid w:val="56588BA2"/>
    <w:rsid w:val="565F4C46"/>
    <w:rsid w:val="5661D1A3"/>
    <w:rsid w:val="566ECD35"/>
    <w:rsid w:val="5679DE93"/>
    <w:rsid w:val="568062FD"/>
    <w:rsid w:val="568FC7C6"/>
    <w:rsid w:val="569363D8"/>
    <w:rsid w:val="56953438"/>
    <w:rsid w:val="569640BA"/>
    <w:rsid w:val="56B59354"/>
    <w:rsid w:val="56C71CDA"/>
    <w:rsid w:val="56CC13A8"/>
    <w:rsid w:val="56D0AFBD"/>
    <w:rsid w:val="56D98C13"/>
    <w:rsid w:val="56F0D37E"/>
    <w:rsid w:val="56F10D5C"/>
    <w:rsid w:val="56FAB0D8"/>
    <w:rsid w:val="57036D7D"/>
    <w:rsid w:val="5703A154"/>
    <w:rsid w:val="570D4B79"/>
    <w:rsid w:val="5729ECE0"/>
    <w:rsid w:val="57363F4D"/>
    <w:rsid w:val="573DAC30"/>
    <w:rsid w:val="574741C7"/>
    <w:rsid w:val="57489345"/>
    <w:rsid w:val="574C6083"/>
    <w:rsid w:val="574DF158"/>
    <w:rsid w:val="574F3E96"/>
    <w:rsid w:val="57516638"/>
    <w:rsid w:val="575B2377"/>
    <w:rsid w:val="575DEF28"/>
    <w:rsid w:val="576A9CD9"/>
    <w:rsid w:val="576BE62F"/>
    <w:rsid w:val="576E3CCF"/>
    <w:rsid w:val="5772D4CA"/>
    <w:rsid w:val="577621A9"/>
    <w:rsid w:val="578818DE"/>
    <w:rsid w:val="57894746"/>
    <w:rsid w:val="57B22410"/>
    <w:rsid w:val="57C8D54E"/>
    <w:rsid w:val="57C9BE3B"/>
    <w:rsid w:val="57D6B711"/>
    <w:rsid w:val="57E73463"/>
    <w:rsid w:val="57F27C31"/>
    <w:rsid w:val="57F364E8"/>
    <w:rsid w:val="5800B0C7"/>
    <w:rsid w:val="5804EB2F"/>
    <w:rsid w:val="5806AC4D"/>
    <w:rsid w:val="581CC146"/>
    <w:rsid w:val="5821DE39"/>
    <w:rsid w:val="58253EA9"/>
    <w:rsid w:val="58263DF9"/>
    <w:rsid w:val="5833C0B5"/>
    <w:rsid w:val="5837C762"/>
    <w:rsid w:val="583E77E0"/>
    <w:rsid w:val="5843E712"/>
    <w:rsid w:val="5843F637"/>
    <w:rsid w:val="5846C380"/>
    <w:rsid w:val="58530BED"/>
    <w:rsid w:val="585A869D"/>
    <w:rsid w:val="585E2EB6"/>
    <w:rsid w:val="585EBE58"/>
    <w:rsid w:val="58678EDD"/>
    <w:rsid w:val="5880BCD8"/>
    <w:rsid w:val="58824D4C"/>
    <w:rsid w:val="5886471D"/>
    <w:rsid w:val="588B2952"/>
    <w:rsid w:val="58B1AB05"/>
    <w:rsid w:val="58B392AD"/>
    <w:rsid w:val="58D19B6F"/>
    <w:rsid w:val="58D7C695"/>
    <w:rsid w:val="58DD309C"/>
    <w:rsid w:val="58E24EE9"/>
    <w:rsid w:val="58E4514B"/>
    <w:rsid w:val="58E8E362"/>
    <w:rsid w:val="58F06E00"/>
    <w:rsid w:val="58FFE4F3"/>
    <w:rsid w:val="59131FA1"/>
    <w:rsid w:val="59137FDF"/>
    <w:rsid w:val="59142F33"/>
    <w:rsid w:val="591458E8"/>
    <w:rsid w:val="591982FB"/>
    <w:rsid w:val="59206F84"/>
    <w:rsid w:val="5926C958"/>
    <w:rsid w:val="5926E1B9"/>
    <w:rsid w:val="59364D32"/>
    <w:rsid w:val="593AE5E7"/>
    <w:rsid w:val="593BB920"/>
    <w:rsid w:val="5947C8A2"/>
    <w:rsid w:val="5963F7BD"/>
    <w:rsid w:val="597E528A"/>
    <w:rsid w:val="597EEA24"/>
    <w:rsid w:val="5983768F"/>
    <w:rsid w:val="598F0371"/>
    <w:rsid w:val="5991890A"/>
    <w:rsid w:val="59969848"/>
    <w:rsid w:val="5997F467"/>
    <w:rsid w:val="59993D27"/>
    <w:rsid w:val="599A9734"/>
    <w:rsid w:val="599F95D0"/>
    <w:rsid w:val="599FB487"/>
    <w:rsid w:val="59A6D65D"/>
    <w:rsid w:val="59B0B5AC"/>
    <w:rsid w:val="59C4FE9F"/>
    <w:rsid w:val="59C6FF73"/>
    <w:rsid w:val="59CF643B"/>
    <w:rsid w:val="59D73335"/>
    <w:rsid w:val="59DD7621"/>
    <w:rsid w:val="59E7E979"/>
    <w:rsid w:val="5A0C8272"/>
    <w:rsid w:val="5A0D6B2B"/>
    <w:rsid w:val="5A1E9752"/>
    <w:rsid w:val="5A24CF4D"/>
    <w:rsid w:val="5A2DAC3A"/>
    <w:rsid w:val="5A3CD272"/>
    <w:rsid w:val="5A3D655E"/>
    <w:rsid w:val="5A410391"/>
    <w:rsid w:val="5A42EF22"/>
    <w:rsid w:val="5A4C1FA6"/>
    <w:rsid w:val="5A5E5AC8"/>
    <w:rsid w:val="5A664684"/>
    <w:rsid w:val="5A6DFADE"/>
    <w:rsid w:val="5A72894A"/>
    <w:rsid w:val="5A75B37C"/>
    <w:rsid w:val="5A7C8C3B"/>
    <w:rsid w:val="5A91E4E0"/>
    <w:rsid w:val="5A9F4B8A"/>
    <w:rsid w:val="5AA363DB"/>
    <w:rsid w:val="5AB7E027"/>
    <w:rsid w:val="5AB87B49"/>
    <w:rsid w:val="5ABFE23D"/>
    <w:rsid w:val="5AD2D86C"/>
    <w:rsid w:val="5AD4D725"/>
    <w:rsid w:val="5AD5FFBD"/>
    <w:rsid w:val="5AD6136F"/>
    <w:rsid w:val="5AE275BC"/>
    <w:rsid w:val="5AEA4335"/>
    <w:rsid w:val="5AEE8232"/>
    <w:rsid w:val="5AF1D52D"/>
    <w:rsid w:val="5AF8D7E4"/>
    <w:rsid w:val="5B0AA744"/>
    <w:rsid w:val="5B0B23B2"/>
    <w:rsid w:val="5B1A4AF8"/>
    <w:rsid w:val="5B313030"/>
    <w:rsid w:val="5B3B0E5B"/>
    <w:rsid w:val="5B3E9C05"/>
    <w:rsid w:val="5B493A89"/>
    <w:rsid w:val="5B4A4E8C"/>
    <w:rsid w:val="5B4E58D1"/>
    <w:rsid w:val="5B58D826"/>
    <w:rsid w:val="5B6B8639"/>
    <w:rsid w:val="5B7885FB"/>
    <w:rsid w:val="5B7BE07D"/>
    <w:rsid w:val="5B8A30E1"/>
    <w:rsid w:val="5B9DE770"/>
    <w:rsid w:val="5BADAEDB"/>
    <w:rsid w:val="5BB152EF"/>
    <w:rsid w:val="5BBDEF99"/>
    <w:rsid w:val="5BCDBF99"/>
    <w:rsid w:val="5BD334ED"/>
    <w:rsid w:val="5BD3A663"/>
    <w:rsid w:val="5BE2AE5E"/>
    <w:rsid w:val="5BE3E140"/>
    <w:rsid w:val="5BE80375"/>
    <w:rsid w:val="5BFD72E0"/>
    <w:rsid w:val="5C151FF6"/>
    <w:rsid w:val="5C169FDA"/>
    <w:rsid w:val="5C19DDAB"/>
    <w:rsid w:val="5C1B1393"/>
    <w:rsid w:val="5C1FBC3D"/>
    <w:rsid w:val="5C204DD6"/>
    <w:rsid w:val="5C2258F3"/>
    <w:rsid w:val="5C45A179"/>
    <w:rsid w:val="5C4F62C8"/>
    <w:rsid w:val="5C612A9B"/>
    <w:rsid w:val="5C6C5B24"/>
    <w:rsid w:val="5C74F4A5"/>
    <w:rsid w:val="5C82ACEA"/>
    <w:rsid w:val="5C9809E9"/>
    <w:rsid w:val="5C9851C3"/>
    <w:rsid w:val="5C985920"/>
    <w:rsid w:val="5CA2D9BE"/>
    <w:rsid w:val="5CAD9359"/>
    <w:rsid w:val="5CB1324F"/>
    <w:rsid w:val="5CB1B93B"/>
    <w:rsid w:val="5CB6C1CE"/>
    <w:rsid w:val="5CB9F9C5"/>
    <w:rsid w:val="5CC115BF"/>
    <w:rsid w:val="5CC39A67"/>
    <w:rsid w:val="5CC504CE"/>
    <w:rsid w:val="5CD46DFC"/>
    <w:rsid w:val="5CDE5C0C"/>
    <w:rsid w:val="5CE3FF1B"/>
    <w:rsid w:val="5CE4F62F"/>
    <w:rsid w:val="5CE91CF8"/>
    <w:rsid w:val="5CF23C64"/>
    <w:rsid w:val="5CF46631"/>
    <w:rsid w:val="5CFCAF7E"/>
    <w:rsid w:val="5D02D88B"/>
    <w:rsid w:val="5D055EA5"/>
    <w:rsid w:val="5D05AC69"/>
    <w:rsid w:val="5D18E4D9"/>
    <w:rsid w:val="5D235DE4"/>
    <w:rsid w:val="5D2D4E3F"/>
    <w:rsid w:val="5D403DE9"/>
    <w:rsid w:val="5D43040B"/>
    <w:rsid w:val="5D4B4B47"/>
    <w:rsid w:val="5D4FB7CF"/>
    <w:rsid w:val="5D56FFCA"/>
    <w:rsid w:val="5D6CDD13"/>
    <w:rsid w:val="5D751EFF"/>
    <w:rsid w:val="5D887E14"/>
    <w:rsid w:val="5D9A8D1F"/>
    <w:rsid w:val="5DA06DC5"/>
    <w:rsid w:val="5DA2C601"/>
    <w:rsid w:val="5DA5DCCE"/>
    <w:rsid w:val="5DB3F54F"/>
    <w:rsid w:val="5DC5FEEC"/>
    <w:rsid w:val="5DD0BA16"/>
    <w:rsid w:val="5DD950E2"/>
    <w:rsid w:val="5DDB9DDD"/>
    <w:rsid w:val="5DE0B49B"/>
    <w:rsid w:val="5DE0C348"/>
    <w:rsid w:val="5DE239C1"/>
    <w:rsid w:val="5DF90378"/>
    <w:rsid w:val="5DF9CF05"/>
    <w:rsid w:val="5DFD84CA"/>
    <w:rsid w:val="5E06F01E"/>
    <w:rsid w:val="5E077D3A"/>
    <w:rsid w:val="5E0C52C1"/>
    <w:rsid w:val="5E0D519A"/>
    <w:rsid w:val="5E1F0691"/>
    <w:rsid w:val="5E20A5AB"/>
    <w:rsid w:val="5E22AE20"/>
    <w:rsid w:val="5E35C470"/>
    <w:rsid w:val="5E37EAE1"/>
    <w:rsid w:val="5E3BE6F9"/>
    <w:rsid w:val="5E45492D"/>
    <w:rsid w:val="5E507D7E"/>
    <w:rsid w:val="5E61F19F"/>
    <w:rsid w:val="5E6A211D"/>
    <w:rsid w:val="5E6C68CF"/>
    <w:rsid w:val="5E6EF8FB"/>
    <w:rsid w:val="5E789AFB"/>
    <w:rsid w:val="5E79C1A8"/>
    <w:rsid w:val="5E8B220E"/>
    <w:rsid w:val="5E976BBD"/>
    <w:rsid w:val="5EA54BAA"/>
    <w:rsid w:val="5EB79535"/>
    <w:rsid w:val="5EBA836E"/>
    <w:rsid w:val="5EBCE2FE"/>
    <w:rsid w:val="5EC7DA8A"/>
    <w:rsid w:val="5EC9584C"/>
    <w:rsid w:val="5ECCA544"/>
    <w:rsid w:val="5ED4E868"/>
    <w:rsid w:val="5ED7400C"/>
    <w:rsid w:val="5ED9E47D"/>
    <w:rsid w:val="5EF8E4DA"/>
    <w:rsid w:val="5EFB08F2"/>
    <w:rsid w:val="5EFDC073"/>
    <w:rsid w:val="5EFE43B2"/>
    <w:rsid w:val="5EFFB69C"/>
    <w:rsid w:val="5F03B417"/>
    <w:rsid w:val="5F0869C1"/>
    <w:rsid w:val="5F12CAC7"/>
    <w:rsid w:val="5F1784A7"/>
    <w:rsid w:val="5F1FE276"/>
    <w:rsid w:val="5F32EA93"/>
    <w:rsid w:val="5F63457B"/>
    <w:rsid w:val="5F63ED1A"/>
    <w:rsid w:val="5F649226"/>
    <w:rsid w:val="5F6C38AE"/>
    <w:rsid w:val="5F725141"/>
    <w:rsid w:val="5F7DF1B6"/>
    <w:rsid w:val="5F7FC3F8"/>
    <w:rsid w:val="5F828BC6"/>
    <w:rsid w:val="5F82EDC8"/>
    <w:rsid w:val="5F882D05"/>
    <w:rsid w:val="5F8B436C"/>
    <w:rsid w:val="5F960659"/>
    <w:rsid w:val="5F9A77A4"/>
    <w:rsid w:val="5FA89F71"/>
    <w:rsid w:val="5FA94BA0"/>
    <w:rsid w:val="5FAB4E35"/>
    <w:rsid w:val="5FABC1EB"/>
    <w:rsid w:val="5FBBFC88"/>
    <w:rsid w:val="5FC3AE2F"/>
    <w:rsid w:val="5FDB4D6B"/>
    <w:rsid w:val="5FEE7FBF"/>
    <w:rsid w:val="5FF29E5A"/>
    <w:rsid w:val="5FF8C3AA"/>
    <w:rsid w:val="5FFD721B"/>
    <w:rsid w:val="5FFE3914"/>
    <w:rsid w:val="600ADBD5"/>
    <w:rsid w:val="601060EB"/>
    <w:rsid w:val="601A7827"/>
    <w:rsid w:val="602E2E47"/>
    <w:rsid w:val="604452DC"/>
    <w:rsid w:val="604C0CD4"/>
    <w:rsid w:val="605196C4"/>
    <w:rsid w:val="60524BBA"/>
    <w:rsid w:val="605EC2E8"/>
    <w:rsid w:val="606EBFA5"/>
    <w:rsid w:val="60847397"/>
    <w:rsid w:val="60A4721D"/>
    <w:rsid w:val="60A92497"/>
    <w:rsid w:val="60ADD861"/>
    <w:rsid w:val="60C18ED3"/>
    <w:rsid w:val="60C519B0"/>
    <w:rsid w:val="60CCD0E0"/>
    <w:rsid w:val="60CFADAE"/>
    <w:rsid w:val="60D59504"/>
    <w:rsid w:val="60DD81E9"/>
    <w:rsid w:val="60E0E452"/>
    <w:rsid w:val="60E1FA53"/>
    <w:rsid w:val="60E410D3"/>
    <w:rsid w:val="60F0138C"/>
    <w:rsid w:val="60F47E82"/>
    <w:rsid w:val="60FBD043"/>
    <w:rsid w:val="60FCE68C"/>
    <w:rsid w:val="60FE7574"/>
    <w:rsid w:val="611F6D02"/>
    <w:rsid w:val="6124B997"/>
    <w:rsid w:val="6124E8DF"/>
    <w:rsid w:val="612C1D8F"/>
    <w:rsid w:val="61357116"/>
    <w:rsid w:val="61383847"/>
    <w:rsid w:val="613C91F6"/>
    <w:rsid w:val="613EA0C9"/>
    <w:rsid w:val="6141F16D"/>
    <w:rsid w:val="6143EAE6"/>
    <w:rsid w:val="61544B42"/>
    <w:rsid w:val="615719D2"/>
    <w:rsid w:val="61577A88"/>
    <w:rsid w:val="61647622"/>
    <w:rsid w:val="616632B5"/>
    <w:rsid w:val="616C804C"/>
    <w:rsid w:val="6177E192"/>
    <w:rsid w:val="617CD2AF"/>
    <w:rsid w:val="617F4965"/>
    <w:rsid w:val="6182070E"/>
    <w:rsid w:val="61918DBD"/>
    <w:rsid w:val="61A15AB6"/>
    <w:rsid w:val="61A1C79F"/>
    <w:rsid w:val="61ADF3BB"/>
    <w:rsid w:val="61C9B7D4"/>
    <w:rsid w:val="61CAA2DE"/>
    <w:rsid w:val="61D0B11E"/>
    <w:rsid w:val="61D22AB8"/>
    <w:rsid w:val="61D24667"/>
    <w:rsid w:val="61D2E215"/>
    <w:rsid w:val="61DB3D09"/>
    <w:rsid w:val="61F49538"/>
    <w:rsid w:val="61FCA9A4"/>
    <w:rsid w:val="61FF4B03"/>
    <w:rsid w:val="621B4DCE"/>
    <w:rsid w:val="6231461D"/>
    <w:rsid w:val="623BD1EA"/>
    <w:rsid w:val="623FB37B"/>
    <w:rsid w:val="624E3BA3"/>
    <w:rsid w:val="624FB12E"/>
    <w:rsid w:val="625AC5D3"/>
    <w:rsid w:val="625BB82D"/>
    <w:rsid w:val="6260BB07"/>
    <w:rsid w:val="6261D87A"/>
    <w:rsid w:val="62643A8B"/>
    <w:rsid w:val="62662B5D"/>
    <w:rsid w:val="6274DC0B"/>
    <w:rsid w:val="627A02E2"/>
    <w:rsid w:val="62900F67"/>
    <w:rsid w:val="6297587D"/>
    <w:rsid w:val="62976915"/>
    <w:rsid w:val="62A01214"/>
    <w:rsid w:val="62A41FC0"/>
    <w:rsid w:val="62A440B4"/>
    <w:rsid w:val="62AA1051"/>
    <w:rsid w:val="62B22DD1"/>
    <w:rsid w:val="62B963CE"/>
    <w:rsid w:val="62BAC782"/>
    <w:rsid w:val="62BBE637"/>
    <w:rsid w:val="62BDD06E"/>
    <w:rsid w:val="62CABE99"/>
    <w:rsid w:val="62CC6CE1"/>
    <w:rsid w:val="62D8F6A4"/>
    <w:rsid w:val="62E049B5"/>
    <w:rsid w:val="62E9AE51"/>
    <w:rsid w:val="62ECC19D"/>
    <w:rsid w:val="62ED2602"/>
    <w:rsid w:val="62F003F3"/>
    <w:rsid w:val="62F4F14F"/>
    <w:rsid w:val="62F6DA05"/>
    <w:rsid w:val="62F867E8"/>
    <w:rsid w:val="62FE17A2"/>
    <w:rsid w:val="62FF6FC9"/>
    <w:rsid w:val="6303FBF9"/>
    <w:rsid w:val="63121166"/>
    <w:rsid w:val="63141115"/>
    <w:rsid w:val="631E6F13"/>
    <w:rsid w:val="631FBB4D"/>
    <w:rsid w:val="63227562"/>
    <w:rsid w:val="63235A82"/>
    <w:rsid w:val="6325A370"/>
    <w:rsid w:val="632CF386"/>
    <w:rsid w:val="6332F2AA"/>
    <w:rsid w:val="6333FA5C"/>
    <w:rsid w:val="6341298F"/>
    <w:rsid w:val="6355A6DF"/>
    <w:rsid w:val="635A5ABE"/>
    <w:rsid w:val="635C0CFD"/>
    <w:rsid w:val="6360D080"/>
    <w:rsid w:val="63617630"/>
    <w:rsid w:val="6369502A"/>
    <w:rsid w:val="637D6288"/>
    <w:rsid w:val="6389539A"/>
    <w:rsid w:val="638E96DB"/>
    <w:rsid w:val="638EA66E"/>
    <w:rsid w:val="63B00E69"/>
    <w:rsid w:val="63C37DE4"/>
    <w:rsid w:val="63CC436B"/>
    <w:rsid w:val="63CC6A4A"/>
    <w:rsid w:val="63CE41B7"/>
    <w:rsid w:val="63DEF34A"/>
    <w:rsid w:val="63ED541D"/>
    <w:rsid w:val="63F3F68B"/>
    <w:rsid w:val="63F4D25E"/>
    <w:rsid w:val="63F978F3"/>
    <w:rsid w:val="64004D4F"/>
    <w:rsid w:val="6400A6D1"/>
    <w:rsid w:val="640C0F51"/>
    <w:rsid w:val="6410788F"/>
    <w:rsid w:val="6416358D"/>
    <w:rsid w:val="641C0103"/>
    <w:rsid w:val="64215527"/>
    <w:rsid w:val="643935C8"/>
    <w:rsid w:val="643ECB86"/>
    <w:rsid w:val="6441AE77"/>
    <w:rsid w:val="6443B2B1"/>
    <w:rsid w:val="6444E162"/>
    <w:rsid w:val="644BEF10"/>
    <w:rsid w:val="645377EA"/>
    <w:rsid w:val="645C5460"/>
    <w:rsid w:val="645E0BC6"/>
    <w:rsid w:val="6462FDA9"/>
    <w:rsid w:val="64640186"/>
    <w:rsid w:val="6476A023"/>
    <w:rsid w:val="6479E394"/>
    <w:rsid w:val="647FA883"/>
    <w:rsid w:val="6490C1D5"/>
    <w:rsid w:val="6499A9E1"/>
    <w:rsid w:val="64AC04FC"/>
    <w:rsid w:val="64B2F461"/>
    <w:rsid w:val="64C02D95"/>
    <w:rsid w:val="64C3469E"/>
    <w:rsid w:val="64C97012"/>
    <w:rsid w:val="64CC1FA6"/>
    <w:rsid w:val="64CF0C02"/>
    <w:rsid w:val="64E4EAA8"/>
    <w:rsid w:val="64EB51E6"/>
    <w:rsid w:val="64F8F290"/>
    <w:rsid w:val="64FAA80E"/>
    <w:rsid w:val="6501ADB2"/>
    <w:rsid w:val="650C8792"/>
    <w:rsid w:val="6518CAD5"/>
    <w:rsid w:val="6518D3F5"/>
    <w:rsid w:val="651D45B5"/>
    <w:rsid w:val="652ECA0A"/>
    <w:rsid w:val="653166C8"/>
    <w:rsid w:val="6536709B"/>
    <w:rsid w:val="654CD694"/>
    <w:rsid w:val="654D2AA2"/>
    <w:rsid w:val="654D8125"/>
    <w:rsid w:val="6556C98A"/>
    <w:rsid w:val="655741A8"/>
    <w:rsid w:val="655A53E0"/>
    <w:rsid w:val="655C7D3B"/>
    <w:rsid w:val="65606EB2"/>
    <w:rsid w:val="6567145A"/>
    <w:rsid w:val="65675230"/>
    <w:rsid w:val="656BBCE9"/>
    <w:rsid w:val="656F51B7"/>
    <w:rsid w:val="657BE0FB"/>
    <w:rsid w:val="658C4C74"/>
    <w:rsid w:val="658C934D"/>
    <w:rsid w:val="658E8067"/>
    <w:rsid w:val="6595EDFD"/>
    <w:rsid w:val="65A2ED09"/>
    <w:rsid w:val="65B1497A"/>
    <w:rsid w:val="65BA7B9C"/>
    <w:rsid w:val="65E056B0"/>
    <w:rsid w:val="65EB5AE1"/>
    <w:rsid w:val="65EE53BE"/>
    <w:rsid w:val="65EE5451"/>
    <w:rsid w:val="65FE5BFB"/>
    <w:rsid w:val="660694AD"/>
    <w:rsid w:val="661ECB7A"/>
    <w:rsid w:val="662EBE4C"/>
    <w:rsid w:val="6632BC3F"/>
    <w:rsid w:val="663324A1"/>
    <w:rsid w:val="6633D641"/>
    <w:rsid w:val="663513F2"/>
    <w:rsid w:val="6636C5C7"/>
    <w:rsid w:val="663A40B2"/>
    <w:rsid w:val="6640EDF4"/>
    <w:rsid w:val="6641FE7A"/>
    <w:rsid w:val="664434AE"/>
    <w:rsid w:val="66549EA0"/>
    <w:rsid w:val="66592228"/>
    <w:rsid w:val="665C4A47"/>
    <w:rsid w:val="66644D9A"/>
    <w:rsid w:val="6666178E"/>
    <w:rsid w:val="66760702"/>
    <w:rsid w:val="668E834F"/>
    <w:rsid w:val="66B69545"/>
    <w:rsid w:val="66BDA4A5"/>
    <w:rsid w:val="66CAD3EA"/>
    <w:rsid w:val="66D90017"/>
    <w:rsid w:val="66DC4706"/>
    <w:rsid w:val="6702732E"/>
    <w:rsid w:val="6713A05F"/>
    <w:rsid w:val="671E3E76"/>
    <w:rsid w:val="67358A0F"/>
    <w:rsid w:val="673BC6D0"/>
    <w:rsid w:val="673DD86D"/>
    <w:rsid w:val="674E0B1F"/>
    <w:rsid w:val="674F4924"/>
    <w:rsid w:val="675835BB"/>
    <w:rsid w:val="675A40E1"/>
    <w:rsid w:val="67664E1C"/>
    <w:rsid w:val="67690979"/>
    <w:rsid w:val="67764B1D"/>
    <w:rsid w:val="67A083E6"/>
    <w:rsid w:val="67A192B2"/>
    <w:rsid w:val="67A562A8"/>
    <w:rsid w:val="67B20B1C"/>
    <w:rsid w:val="67B5142A"/>
    <w:rsid w:val="67C5BC04"/>
    <w:rsid w:val="67CB9FD8"/>
    <w:rsid w:val="67CFC1D2"/>
    <w:rsid w:val="67D92421"/>
    <w:rsid w:val="67DAEB0A"/>
    <w:rsid w:val="67DD9B96"/>
    <w:rsid w:val="67DEADBB"/>
    <w:rsid w:val="67E31BE7"/>
    <w:rsid w:val="67E56688"/>
    <w:rsid w:val="67FA8F27"/>
    <w:rsid w:val="6802288B"/>
    <w:rsid w:val="68161F5E"/>
    <w:rsid w:val="681B7220"/>
    <w:rsid w:val="682945ED"/>
    <w:rsid w:val="682F23B9"/>
    <w:rsid w:val="68336B53"/>
    <w:rsid w:val="683FF69C"/>
    <w:rsid w:val="684EC4DC"/>
    <w:rsid w:val="6853C10E"/>
    <w:rsid w:val="6858A24F"/>
    <w:rsid w:val="685D2D50"/>
    <w:rsid w:val="685ED3E5"/>
    <w:rsid w:val="6863F8E2"/>
    <w:rsid w:val="68674BD1"/>
    <w:rsid w:val="6867B5E5"/>
    <w:rsid w:val="6868C0D5"/>
    <w:rsid w:val="687C5D4C"/>
    <w:rsid w:val="687F66B2"/>
    <w:rsid w:val="68832887"/>
    <w:rsid w:val="688796DE"/>
    <w:rsid w:val="688A0AB0"/>
    <w:rsid w:val="6899B159"/>
    <w:rsid w:val="689EC715"/>
    <w:rsid w:val="68A4A150"/>
    <w:rsid w:val="68AE641B"/>
    <w:rsid w:val="68AF965E"/>
    <w:rsid w:val="68B0CFC8"/>
    <w:rsid w:val="68B4F57B"/>
    <w:rsid w:val="68B904D7"/>
    <w:rsid w:val="68BB31E1"/>
    <w:rsid w:val="68C724D1"/>
    <w:rsid w:val="68D82381"/>
    <w:rsid w:val="68E63710"/>
    <w:rsid w:val="68E72EDB"/>
    <w:rsid w:val="68EF7FAE"/>
    <w:rsid w:val="68F55A12"/>
    <w:rsid w:val="6900A7B5"/>
    <w:rsid w:val="69074BB1"/>
    <w:rsid w:val="690B7BD9"/>
    <w:rsid w:val="6912FF6A"/>
    <w:rsid w:val="69136110"/>
    <w:rsid w:val="69268F22"/>
    <w:rsid w:val="692EA439"/>
    <w:rsid w:val="694D95A7"/>
    <w:rsid w:val="694FC060"/>
    <w:rsid w:val="695426AC"/>
    <w:rsid w:val="695DC08E"/>
    <w:rsid w:val="695FC06F"/>
    <w:rsid w:val="69605018"/>
    <w:rsid w:val="696097D6"/>
    <w:rsid w:val="69651C13"/>
    <w:rsid w:val="697BEBD9"/>
    <w:rsid w:val="698221C6"/>
    <w:rsid w:val="69853B46"/>
    <w:rsid w:val="69931C69"/>
    <w:rsid w:val="69966C5C"/>
    <w:rsid w:val="6997FB94"/>
    <w:rsid w:val="699E849A"/>
    <w:rsid w:val="699FF042"/>
    <w:rsid w:val="69A8DD0C"/>
    <w:rsid w:val="69BBB4B4"/>
    <w:rsid w:val="69BDC23F"/>
    <w:rsid w:val="69C04836"/>
    <w:rsid w:val="69C51E3D"/>
    <w:rsid w:val="69C74A66"/>
    <w:rsid w:val="69CFCA73"/>
    <w:rsid w:val="69D08B0E"/>
    <w:rsid w:val="69D13323"/>
    <w:rsid w:val="69D70A6C"/>
    <w:rsid w:val="69D8EF2D"/>
    <w:rsid w:val="69DC8815"/>
    <w:rsid w:val="69FA57AD"/>
    <w:rsid w:val="6A04E283"/>
    <w:rsid w:val="6A0DF078"/>
    <w:rsid w:val="6A0F3194"/>
    <w:rsid w:val="6A13ADF4"/>
    <w:rsid w:val="6A1C011C"/>
    <w:rsid w:val="6A1C1D62"/>
    <w:rsid w:val="6A1F5452"/>
    <w:rsid w:val="6A2657A3"/>
    <w:rsid w:val="6A268454"/>
    <w:rsid w:val="6A2C4EDB"/>
    <w:rsid w:val="6A2D9CD0"/>
    <w:rsid w:val="6A3162ED"/>
    <w:rsid w:val="6A37D353"/>
    <w:rsid w:val="6A3D104F"/>
    <w:rsid w:val="6A41A403"/>
    <w:rsid w:val="6A4AAA67"/>
    <w:rsid w:val="6A562976"/>
    <w:rsid w:val="6A67F1D5"/>
    <w:rsid w:val="6A6B1645"/>
    <w:rsid w:val="6A7032AF"/>
    <w:rsid w:val="6A7D9E8E"/>
    <w:rsid w:val="6A8239E1"/>
    <w:rsid w:val="6A826C93"/>
    <w:rsid w:val="6A86FDE2"/>
    <w:rsid w:val="6A8D1CF8"/>
    <w:rsid w:val="6A91E36F"/>
    <w:rsid w:val="6A920935"/>
    <w:rsid w:val="6A93A885"/>
    <w:rsid w:val="6A987F3A"/>
    <w:rsid w:val="6A9FA444"/>
    <w:rsid w:val="6AA2FC54"/>
    <w:rsid w:val="6AA4735C"/>
    <w:rsid w:val="6AB45DC3"/>
    <w:rsid w:val="6AB99B15"/>
    <w:rsid w:val="6ABDD9F1"/>
    <w:rsid w:val="6AC69007"/>
    <w:rsid w:val="6AC886C1"/>
    <w:rsid w:val="6ACBA730"/>
    <w:rsid w:val="6AE8D63C"/>
    <w:rsid w:val="6AF1417A"/>
    <w:rsid w:val="6AF448CB"/>
    <w:rsid w:val="6AFB50B2"/>
    <w:rsid w:val="6AFCB215"/>
    <w:rsid w:val="6AFF24B6"/>
    <w:rsid w:val="6B05A566"/>
    <w:rsid w:val="6B0A0D9B"/>
    <w:rsid w:val="6B0AE124"/>
    <w:rsid w:val="6B16F0C5"/>
    <w:rsid w:val="6B2DAA00"/>
    <w:rsid w:val="6B2FF07A"/>
    <w:rsid w:val="6B31D0E8"/>
    <w:rsid w:val="6B326C22"/>
    <w:rsid w:val="6B3A2401"/>
    <w:rsid w:val="6B3B9000"/>
    <w:rsid w:val="6B426D98"/>
    <w:rsid w:val="6B435128"/>
    <w:rsid w:val="6B44F8FB"/>
    <w:rsid w:val="6B48F788"/>
    <w:rsid w:val="6B4C5DF4"/>
    <w:rsid w:val="6B61B793"/>
    <w:rsid w:val="6B833449"/>
    <w:rsid w:val="6B86810A"/>
    <w:rsid w:val="6B87F8C3"/>
    <w:rsid w:val="6B8C2FC4"/>
    <w:rsid w:val="6B8DDA60"/>
    <w:rsid w:val="6BB0C4F9"/>
    <w:rsid w:val="6BBE3F85"/>
    <w:rsid w:val="6BBF126A"/>
    <w:rsid w:val="6BCD1971"/>
    <w:rsid w:val="6BCDF94D"/>
    <w:rsid w:val="6BD0F323"/>
    <w:rsid w:val="6BE09C4B"/>
    <w:rsid w:val="6BE989F5"/>
    <w:rsid w:val="6BFD3A80"/>
    <w:rsid w:val="6BFDD1D2"/>
    <w:rsid w:val="6BFFF6AF"/>
    <w:rsid w:val="6C045CC3"/>
    <w:rsid w:val="6C0FD0D6"/>
    <w:rsid w:val="6C139750"/>
    <w:rsid w:val="6C1852D2"/>
    <w:rsid w:val="6C198E53"/>
    <w:rsid w:val="6C332CBE"/>
    <w:rsid w:val="6C41D072"/>
    <w:rsid w:val="6C477EAD"/>
    <w:rsid w:val="6C4B66C7"/>
    <w:rsid w:val="6C4E4756"/>
    <w:rsid w:val="6C57CE39"/>
    <w:rsid w:val="6C5F0DC1"/>
    <w:rsid w:val="6C619AE2"/>
    <w:rsid w:val="6C6331D2"/>
    <w:rsid w:val="6C68C762"/>
    <w:rsid w:val="6C7E0A7F"/>
    <w:rsid w:val="6C825DDF"/>
    <w:rsid w:val="6C858C69"/>
    <w:rsid w:val="6C87D50C"/>
    <w:rsid w:val="6C8F8276"/>
    <w:rsid w:val="6CA10431"/>
    <w:rsid w:val="6CA40EAD"/>
    <w:rsid w:val="6CA57963"/>
    <w:rsid w:val="6CBAAA9C"/>
    <w:rsid w:val="6CC26EF8"/>
    <w:rsid w:val="6CC40FAA"/>
    <w:rsid w:val="6CCCC6AB"/>
    <w:rsid w:val="6CD35B37"/>
    <w:rsid w:val="6CD9A7CB"/>
    <w:rsid w:val="6CE08B69"/>
    <w:rsid w:val="6CE812D7"/>
    <w:rsid w:val="6CECCFB7"/>
    <w:rsid w:val="6CEF39D5"/>
    <w:rsid w:val="6CFD6A01"/>
    <w:rsid w:val="6D2B8D0C"/>
    <w:rsid w:val="6D2D8FE6"/>
    <w:rsid w:val="6D2EB8A2"/>
    <w:rsid w:val="6D3B0798"/>
    <w:rsid w:val="6D4ABB48"/>
    <w:rsid w:val="6D6265AC"/>
    <w:rsid w:val="6D63114F"/>
    <w:rsid w:val="6D6A2DDF"/>
    <w:rsid w:val="6D7261C5"/>
    <w:rsid w:val="6D802B93"/>
    <w:rsid w:val="6D8927EF"/>
    <w:rsid w:val="6D976CE3"/>
    <w:rsid w:val="6DA23EED"/>
    <w:rsid w:val="6DA46114"/>
    <w:rsid w:val="6DA7DB1F"/>
    <w:rsid w:val="6DABE9E3"/>
    <w:rsid w:val="6DAD4ADA"/>
    <w:rsid w:val="6DB66CC1"/>
    <w:rsid w:val="6DBC8339"/>
    <w:rsid w:val="6DBF0189"/>
    <w:rsid w:val="6DC8CFF5"/>
    <w:rsid w:val="6DCB9D7B"/>
    <w:rsid w:val="6DCE874E"/>
    <w:rsid w:val="6DD9D438"/>
    <w:rsid w:val="6DDBBB65"/>
    <w:rsid w:val="6DF851A7"/>
    <w:rsid w:val="6E0B666E"/>
    <w:rsid w:val="6E0EBCD5"/>
    <w:rsid w:val="6E1751E7"/>
    <w:rsid w:val="6E176E6A"/>
    <w:rsid w:val="6E2F0E10"/>
    <w:rsid w:val="6E39A2D6"/>
    <w:rsid w:val="6E3DF91B"/>
    <w:rsid w:val="6E4A8DD6"/>
    <w:rsid w:val="6E4BD0C5"/>
    <w:rsid w:val="6E523029"/>
    <w:rsid w:val="6E590C9E"/>
    <w:rsid w:val="6E5DA479"/>
    <w:rsid w:val="6E5DD8F6"/>
    <w:rsid w:val="6E6760B8"/>
    <w:rsid w:val="6E686C30"/>
    <w:rsid w:val="6E69DE01"/>
    <w:rsid w:val="6E74179A"/>
    <w:rsid w:val="6E77CB41"/>
    <w:rsid w:val="6E77D51A"/>
    <w:rsid w:val="6E847FAD"/>
    <w:rsid w:val="6E8D1E9A"/>
    <w:rsid w:val="6E9490D9"/>
    <w:rsid w:val="6E960F38"/>
    <w:rsid w:val="6EA46ED9"/>
    <w:rsid w:val="6EA904DD"/>
    <w:rsid w:val="6EACB21A"/>
    <w:rsid w:val="6EAEDED2"/>
    <w:rsid w:val="6EB04669"/>
    <w:rsid w:val="6EB07573"/>
    <w:rsid w:val="6EB9E61C"/>
    <w:rsid w:val="6EC6E85F"/>
    <w:rsid w:val="6ECE180F"/>
    <w:rsid w:val="6ED4B8AA"/>
    <w:rsid w:val="6F02C3F5"/>
    <w:rsid w:val="6F03E810"/>
    <w:rsid w:val="6F08403D"/>
    <w:rsid w:val="6F118830"/>
    <w:rsid w:val="6F3A969D"/>
    <w:rsid w:val="6F5F60E4"/>
    <w:rsid w:val="6F64B0B3"/>
    <w:rsid w:val="6F69F3BD"/>
    <w:rsid w:val="6F815929"/>
    <w:rsid w:val="6F83B0D0"/>
    <w:rsid w:val="6F990E9F"/>
    <w:rsid w:val="6F9BEF1E"/>
    <w:rsid w:val="6FA38C6F"/>
    <w:rsid w:val="6FA5A04D"/>
    <w:rsid w:val="6FACF1AB"/>
    <w:rsid w:val="6FAD1608"/>
    <w:rsid w:val="6FB08355"/>
    <w:rsid w:val="6FBF032A"/>
    <w:rsid w:val="6FC1912C"/>
    <w:rsid w:val="6FDE8DDE"/>
    <w:rsid w:val="6FE1A584"/>
    <w:rsid w:val="6FF209E7"/>
    <w:rsid w:val="6FF50CFF"/>
    <w:rsid w:val="6FFD5AB9"/>
    <w:rsid w:val="70099F37"/>
    <w:rsid w:val="701312E3"/>
    <w:rsid w:val="7014FD72"/>
    <w:rsid w:val="701D82ED"/>
    <w:rsid w:val="7025E844"/>
    <w:rsid w:val="702DB3D1"/>
    <w:rsid w:val="7032642E"/>
    <w:rsid w:val="7032D3A6"/>
    <w:rsid w:val="703387D7"/>
    <w:rsid w:val="70361AF0"/>
    <w:rsid w:val="7036A827"/>
    <w:rsid w:val="7044ECD4"/>
    <w:rsid w:val="704B88FF"/>
    <w:rsid w:val="7054705E"/>
    <w:rsid w:val="7057788D"/>
    <w:rsid w:val="705B851A"/>
    <w:rsid w:val="706576C0"/>
    <w:rsid w:val="70693DEB"/>
    <w:rsid w:val="706BA297"/>
    <w:rsid w:val="7077E887"/>
    <w:rsid w:val="708646C7"/>
    <w:rsid w:val="708B2343"/>
    <w:rsid w:val="708C9DDE"/>
    <w:rsid w:val="708E607F"/>
    <w:rsid w:val="709243B3"/>
    <w:rsid w:val="709CAF73"/>
    <w:rsid w:val="70A4111C"/>
    <w:rsid w:val="70A49F0C"/>
    <w:rsid w:val="70A5D54A"/>
    <w:rsid w:val="70B6C4E6"/>
    <w:rsid w:val="70B814C8"/>
    <w:rsid w:val="70C3FF82"/>
    <w:rsid w:val="70CE7E6C"/>
    <w:rsid w:val="70D6B966"/>
    <w:rsid w:val="70E0177E"/>
    <w:rsid w:val="70E0E928"/>
    <w:rsid w:val="70E1CEC0"/>
    <w:rsid w:val="70E51A92"/>
    <w:rsid w:val="70E5ACDE"/>
    <w:rsid w:val="70E6A95A"/>
    <w:rsid w:val="70E962E5"/>
    <w:rsid w:val="70F7180F"/>
    <w:rsid w:val="70F8D075"/>
    <w:rsid w:val="70FD32DA"/>
    <w:rsid w:val="70FEA914"/>
    <w:rsid w:val="710FB008"/>
    <w:rsid w:val="71144E5C"/>
    <w:rsid w:val="71189CF4"/>
    <w:rsid w:val="7120D6F7"/>
    <w:rsid w:val="7123FA22"/>
    <w:rsid w:val="7128E1F3"/>
    <w:rsid w:val="71302970"/>
    <w:rsid w:val="7134191E"/>
    <w:rsid w:val="713632A6"/>
    <w:rsid w:val="713CE4CA"/>
    <w:rsid w:val="71488502"/>
    <w:rsid w:val="714E51FD"/>
    <w:rsid w:val="7155A2CF"/>
    <w:rsid w:val="715925E5"/>
    <w:rsid w:val="7160FA4C"/>
    <w:rsid w:val="71649FE3"/>
    <w:rsid w:val="716DFEB3"/>
    <w:rsid w:val="716E20B3"/>
    <w:rsid w:val="716FCFD4"/>
    <w:rsid w:val="717626EF"/>
    <w:rsid w:val="7176FEED"/>
    <w:rsid w:val="7177072C"/>
    <w:rsid w:val="7177245B"/>
    <w:rsid w:val="717891D8"/>
    <w:rsid w:val="717DD819"/>
    <w:rsid w:val="7188FDF2"/>
    <w:rsid w:val="7193BCDD"/>
    <w:rsid w:val="71A6CDE0"/>
    <w:rsid w:val="71ABE3D4"/>
    <w:rsid w:val="71B68205"/>
    <w:rsid w:val="71C1AE9F"/>
    <w:rsid w:val="71D3C663"/>
    <w:rsid w:val="71E15895"/>
    <w:rsid w:val="71EA9B3A"/>
    <w:rsid w:val="71FB2482"/>
    <w:rsid w:val="71FBD6DC"/>
    <w:rsid w:val="72074743"/>
    <w:rsid w:val="7207E515"/>
    <w:rsid w:val="72114120"/>
    <w:rsid w:val="72259989"/>
    <w:rsid w:val="7227DDCE"/>
    <w:rsid w:val="7229AAE6"/>
    <w:rsid w:val="722D16DC"/>
    <w:rsid w:val="722D59FC"/>
    <w:rsid w:val="7236E524"/>
    <w:rsid w:val="72454287"/>
    <w:rsid w:val="72486264"/>
    <w:rsid w:val="724F677F"/>
    <w:rsid w:val="72503E9E"/>
    <w:rsid w:val="7251BCEC"/>
    <w:rsid w:val="72536A26"/>
    <w:rsid w:val="7258B606"/>
    <w:rsid w:val="7260A265"/>
    <w:rsid w:val="7263CF0A"/>
    <w:rsid w:val="726A0520"/>
    <w:rsid w:val="726C238C"/>
    <w:rsid w:val="727A8876"/>
    <w:rsid w:val="729524A9"/>
    <w:rsid w:val="729D7E64"/>
    <w:rsid w:val="72A4CD1C"/>
    <w:rsid w:val="72A4FF6D"/>
    <w:rsid w:val="72AA8F78"/>
    <w:rsid w:val="72B030B3"/>
    <w:rsid w:val="72B346E1"/>
    <w:rsid w:val="72D8EE91"/>
    <w:rsid w:val="72E09A7E"/>
    <w:rsid w:val="72E6D16C"/>
    <w:rsid w:val="72E7B864"/>
    <w:rsid w:val="72EED38A"/>
    <w:rsid w:val="72FD8930"/>
    <w:rsid w:val="73015284"/>
    <w:rsid w:val="73034B83"/>
    <w:rsid w:val="7303A1C6"/>
    <w:rsid w:val="73158D5F"/>
    <w:rsid w:val="7316A93C"/>
    <w:rsid w:val="73240F51"/>
    <w:rsid w:val="73361E79"/>
    <w:rsid w:val="7339BB67"/>
    <w:rsid w:val="73442D26"/>
    <w:rsid w:val="734CAE86"/>
    <w:rsid w:val="735BC88D"/>
    <w:rsid w:val="736D3647"/>
    <w:rsid w:val="7370018E"/>
    <w:rsid w:val="738055C5"/>
    <w:rsid w:val="738A56A9"/>
    <w:rsid w:val="738BEFE0"/>
    <w:rsid w:val="73922FAD"/>
    <w:rsid w:val="739F7FBF"/>
    <w:rsid w:val="73A06B00"/>
    <w:rsid w:val="73A1DD48"/>
    <w:rsid w:val="73A80CE4"/>
    <w:rsid w:val="73AC9FCF"/>
    <w:rsid w:val="73B24807"/>
    <w:rsid w:val="73BC7159"/>
    <w:rsid w:val="73BDA585"/>
    <w:rsid w:val="73BF5D97"/>
    <w:rsid w:val="73CF2ADB"/>
    <w:rsid w:val="73FDE073"/>
    <w:rsid w:val="740AC48B"/>
    <w:rsid w:val="740C252E"/>
    <w:rsid w:val="74128738"/>
    <w:rsid w:val="742335F6"/>
    <w:rsid w:val="74238F47"/>
    <w:rsid w:val="7426F902"/>
    <w:rsid w:val="74288DF1"/>
    <w:rsid w:val="7434E831"/>
    <w:rsid w:val="743B76E8"/>
    <w:rsid w:val="74412078"/>
    <w:rsid w:val="74413F86"/>
    <w:rsid w:val="74439DA3"/>
    <w:rsid w:val="74441016"/>
    <w:rsid w:val="74501490"/>
    <w:rsid w:val="74507DF8"/>
    <w:rsid w:val="74592069"/>
    <w:rsid w:val="745E489A"/>
    <w:rsid w:val="746373DA"/>
    <w:rsid w:val="746A5505"/>
    <w:rsid w:val="74735723"/>
    <w:rsid w:val="74942A54"/>
    <w:rsid w:val="7499607B"/>
    <w:rsid w:val="749CDDC5"/>
    <w:rsid w:val="74A613F5"/>
    <w:rsid w:val="74BC5A25"/>
    <w:rsid w:val="74CD6291"/>
    <w:rsid w:val="74CE48E4"/>
    <w:rsid w:val="74D2CC40"/>
    <w:rsid w:val="74D69343"/>
    <w:rsid w:val="74D704AF"/>
    <w:rsid w:val="74D738EF"/>
    <w:rsid w:val="74E0D505"/>
    <w:rsid w:val="74FB0B8A"/>
    <w:rsid w:val="751AD4DA"/>
    <w:rsid w:val="75238B9A"/>
    <w:rsid w:val="7527D262"/>
    <w:rsid w:val="753F52C1"/>
    <w:rsid w:val="753FA0DD"/>
    <w:rsid w:val="75412919"/>
    <w:rsid w:val="754D4E59"/>
    <w:rsid w:val="7565E6EC"/>
    <w:rsid w:val="75679CDA"/>
    <w:rsid w:val="756E9539"/>
    <w:rsid w:val="757974EC"/>
    <w:rsid w:val="757B0784"/>
    <w:rsid w:val="757C4476"/>
    <w:rsid w:val="758A4FBF"/>
    <w:rsid w:val="75961FFD"/>
    <w:rsid w:val="759C498C"/>
    <w:rsid w:val="75A3198B"/>
    <w:rsid w:val="75B17A34"/>
    <w:rsid w:val="75B75376"/>
    <w:rsid w:val="75CC0677"/>
    <w:rsid w:val="75DFBF63"/>
    <w:rsid w:val="75E28378"/>
    <w:rsid w:val="75F0AC55"/>
    <w:rsid w:val="75F8C8C8"/>
    <w:rsid w:val="75FB2245"/>
    <w:rsid w:val="75FB5A4B"/>
    <w:rsid w:val="760375FA"/>
    <w:rsid w:val="76160E91"/>
    <w:rsid w:val="7629B2C0"/>
    <w:rsid w:val="762AAFE5"/>
    <w:rsid w:val="762C2444"/>
    <w:rsid w:val="7637A008"/>
    <w:rsid w:val="76382DD5"/>
    <w:rsid w:val="763A72EF"/>
    <w:rsid w:val="763AB77F"/>
    <w:rsid w:val="763CC005"/>
    <w:rsid w:val="764A53F3"/>
    <w:rsid w:val="7654D0E3"/>
    <w:rsid w:val="7654F1CF"/>
    <w:rsid w:val="765D49EC"/>
    <w:rsid w:val="76612832"/>
    <w:rsid w:val="76647C00"/>
    <w:rsid w:val="766816B6"/>
    <w:rsid w:val="766F616C"/>
    <w:rsid w:val="767A1F4E"/>
    <w:rsid w:val="767DE23E"/>
    <w:rsid w:val="76880FD5"/>
    <w:rsid w:val="768885A3"/>
    <w:rsid w:val="76ACCB12"/>
    <w:rsid w:val="76C1B279"/>
    <w:rsid w:val="76C21AAE"/>
    <w:rsid w:val="76C5E1C3"/>
    <w:rsid w:val="76C71C4D"/>
    <w:rsid w:val="76CD92FD"/>
    <w:rsid w:val="76D173F3"/>
    <w:rsid w:val="76D6DDD4"/>
    <w:rsid w:val="76FACE68"/>
    <w:rsid w:val="770873D7"/>
    <w:rsid w:val="7715F814"/>
    <w:rsid w:val="771A3C0D"/>
    <w:rsid w:val="77219797"/>
    <w:rsid w:val="774C59B8"/>
    <w:rsid w:val="77500637"/>
    <w:rsid w:val="7758475E"/>
    <w:rsid w:val="7758BB70"/>
    <w:rsid w:val="775E6BBB"/>
    <w:rsid w:val="77645803"/>
    <w:rsid w:val="77785E71"/>
    <w:rsid w:val="777B3F7F"/>
    <w:rsid w:val="779C33F6"/>
    <w:rsid w:val="77A6BA9A"/>
    <w:rsid w:val="77B167C8"/>
    <w:rsid w:val="77B9CF31"/>
    <w:rsid w:val="77BB5AC6"/>
    <w:rsid w:val="77C8C200"/>
    <w:rsid w:val="77C8C9DB"/>
    <w:rsid w:val="77CC63C2"/>
    <w:rsid w:val="77D27147"/>
    <w:rsid w:val="77E466F6"/>
    <w:rsid w:val="77EAD273"/>
    <w:rsid w:val="77ECFAD5"/>
    <w:rsid w:val="7805F05D"/>
    <w:rsid w:val="78101AAA"/>
    <w:rsid w:val="78178979"/>
    <w:rsid w:val="7821740D"/>
    <w:rsid w:val="7824422F"/>
    <w:rsid w:val="7827E99C"/>
    <w:rsid w:val="782D3ADC"/>
    <w:rsid w:val="78316FA9"/>
    <w:rsid w:val="78338502"/>
    <w:rsid w:val="783543EA"/>
    <w:rsid w:val="78378E41"/>
    <w:rsid w:val="7844F051"/>
    <w:rsid w:val="78546F6C"/>
    <w:rsid w:val="78567282"/>
    <w:rsid w:val="785C2EFC"/>
    <w:rsid w:val="7862EC47"/>
    <w:rsid w:val="786927CC"/>
    <w:rsid w:val="78878F16"/>
    <w:rsid w:val="788EF9B8"/>
    <w:rsid w:val="78927C02"/>
    <w:rsid w:val="78A1983D"/>
    <w:rsid w:val="78A42526"/>
    <w:rsid w:val="78A474A8"/>
    <w:rsid w:val="78B2DD45"/>
    <w:rsid w:val="78B91C19"/>
    <w:rsid w:val="78B9840B"/>
    <w:rsid w:val="78BABE07"/>
    <w:rsid w:val="78C3BFC3"/>
    <w:rsid w:val="78C91793"/>
    <w:rsid w:val="78CA7523"/>
    <w:rsid w:val="78EE1C96"/>
    <w:rsid w:val="78F51D99"/>
    <w:rsid w:val="78FDD7DD"/>
    <w:rsid w:val="79056873"/>
    <w:rsid w:val="790E05CD"/>
    <w:rsid w:val="79113DF9"/>
    <w:rsid w:val="791640A7"/>
    <w:rsid w:val="79170CE8"/>
    <w:rsid w:val="791940C7"/>
    <w:rsid w:val="793785F6"/>
    <w:rsid w:val="793F6CB8"/>
    <w:rsid w:val="7940AC74"/>
    <w:rsid w:val="7947F64A"/>
    <w:rsid w:val="795F8F54"/>
    <w:rsid w:val="795FEC17"/>
    <w:rsid w:val="795FFFA6"/>
    <w:rsid w:val="79668BE2"/>
    <w:rsid w:val="79784ACD"/>
    <w:rsid w:val="798BEF36"/>
    <w:rsid w:val="79A01521"/>
    <w:rsid w:val="79AD401D"/>
    <w:rsid w:val="79B82A27"/>
    <w:rsid w:val="79C10E14"/>
    <w:rsid w:val="79C871F8"/>
    <w:rsid w:val="79D5191F"/>
    <w:rsid w:val="79D56251"/>
    <w:rsid w:val="79E3BEB4"/>
    <w:rsid w:val="79E57CBD"/>
    <w:rsid w:val="79E6816E"/>
    <w:rsid w:val="79EC82C3"/>
    <w:rsid w:val="79EDC050"/>
    <w:rsid w:val="79F2258F"/>
    <w:rsid w:val="7A0DC62A"/>
    <w:rsid w:val="7A10F2BE"/>
    <w:rsid w:val="7A1296C6"/>
    <w:rsid w:val="7A213D68"/>
    <w:rsid w:val="7A31F08F"/>
    <w:rsid w:val="7A35D2F9"/>
    <w:rsid w:val="7A37A1A9"/>
    <w:rsid w:val="7A3A6965"/>
    <w:rsid w:val="7A44915E"/>
    <w:rsid w:val="7A4A3966"/>
    <w:rsid w:val="7A5C0049"/>
    <w:rsid w:val="7A5CDC31"/>
    <w:rsid w:val="7A654CB5"/>
    <w:rsid w:val="7A721092"/>
    <w:rsid w:val="7A769C39"/>
    <w:rsid w:val="7A7D308E"/>
    <w:rsid w:val="7AA37DD0"/>
    <w:rsid w:val="7AB2AAA3"/>
    <w:rsid w:val="7AB687D9"/>
    <w:rsid w:val="7ABAEC15"/>
    <w:rsid w:val="7AD05AD8"/>
    <w:rsid w:val="7AD1CBFE"/>
    <w:rsid w:val="7AD3B878"/>
    <w:rsid w:val="7AD89A02"/>
    <w:rsid w:val="7AE44339"/>
    <w:rsid w:val="7AED9277"/>
    <w:rsid w:val="7AF20A57"/>
    <w:rsid w:val="7AF43F5A"/>
    <w:rsid w:val="7AF46F78"/>
    <w:rsid w:val="7AF5C2B1"/>
    <w:rsid w:val="7AFF668E"/>
    <w:rsid w:val="7B0B942E"/>
    <w:rsid w:val="7B0F5BC8"/>
    <w:rsid w:val="7B1549A7"/>
    <w:rsid w:val="7B19E127"/>
    <w:rsid w:val="7B1B36D0"/>
    <w:rsid w:val="7B1E5A68"/>
    <w:rsid w:val="7B230D0A"/>
    <w:rsid w:val="7B319FA3"/>
    <w:rsid w:val="7B341B0D"/>
    <w:rsid w:val="7B384F87"/>
    <w:rsid w:val="7B4DB10F"/>
    <w:rsid w:val="7B4FE41F"/>
    <w:rsid w:val="7B55E62F"/>
    <w:rsid w:val="7B5E5FDC"/>
    <w:rsid w:val="7B5EC91B"/>
    <w:rsid w:val="7B663A04"/>
    <w:rsid w:val="7B6E5CF3"/>
    <w:rsid w:val="7B711307"/>
    <w:rsid w:val="7B770EC4"/>
    <w:rsid w:val="7B7CB127"/>
    <w:rsid w:val="7B8259C0"/>
    <w:rsid w:val="7B89ACAC"/>
    <w:rsid w:val="7B91D5EC"/>
    <w:rsid w:val="7B92399B"/>
    <w:rsid w:val="7B97E1BA"/>
    <w:rsid w:val="7B9892E7"/>
    <w:rsid w:val="7B9978C2"/>
    <w:rsid w:val="7BA1BB76"/>
    <w:rsid w:val="7BAF22EF"/>
    <w:rsid w:val="7BCAB194"/>
    <w:rsid w:val="7BCED67B"/>
    <w:rsid w:val="7BD1EAD7"/>
    <w:rsid w:val="7BD336FA"/>
    <w:rsid w:val="7BDCDE8F"/>
    <w:rsid w:val="7BDD445A"/>
    <w:rsid w:val="7BE184FB"/>
    <w:rsid w:val="7BE6BA89"/>
    <w:rsid w:val="7BE9D00B"/>
    <w:rsid w:val="7BFA8CFD"/>
    <w:rsid w:val="7BFCC8B3"/>
    <w:rsid w:val="7C02D716"/>
    <w:rsid w:val="7C0A2B8E"/>
    <w:rsid w:val="7C1AF229"/>
    <w:rsid w:val="7C302B1D"/>
    <w:rsid w:val="7C311F31"/>
    <w:rsid w:val="7C36D4A5"/>
    <w:rsid w:val="7C3AB391"/>
    <w:rsid w:val="7C3D88D0"/>
    <w:rsid w:val="7C6CE13C"/>
    <w:rsid w:val="7C6EB590"/>
    <w:rsid w:val="7C792A18"/>
    <w:rsid w:val="7C79B161"/>
    <w:rsid w:val="7C8EA8C4"/>
    <w:rsid w:val="7C935C75"/>
    <w:rsid w:val="7C967E11"/>
    <w:rsid w:val="7CA1713D"/>
    <w:rsid w:val="7CB70544"/>
    <w:rsid w:val="7CBDC92F"/>
    <w:rsid w:val="7CC2A2F7"/>
    <w:rsid w:val="7CC54522"/>
    <w:rsid w:val="7CC56795"/>
    <w:rsid w:val="7CD31D90"/>
    <w:rsid w:val="7CDD3E3A"/>
    <w:rsid w:val="7CEA7164"/>
    <w:rsid w:val="7CEC39CC"/>
    <w:rsid w:val="7CF7FC4C"/>
    <w:rsid w:val="7D053D42"/>
    <w:rsid w:val="7D0B17E5"/>
    <w:rsid w:val="7D0B3ED7"/>
    <w:rsid w:val="7D0B6054"/>
    <w:rsid w:val="7D268468"/>
    <w:rsid w:val="7D2ED1E9"/>
    <w:rsid w:val="7D31211A"/>
    <w:rsid w:val="7D335BA2"/>
    <w:rsid w:val="7D39C8B7"/>
    <w:rsid w:val="7D3BF675"/>
    <w:rsid w:val="7D3D9B47"/>
    <w:rsid w:val="7D4B6E00"/>
    <w:rsid w:val="7D578571"/>
    <w:rsid w:val="7D59F5D0"/>
    <w:rsid w:val="7D60D4BC"/>
    <w:rsid w:val="7D68FE45"/>
    <w:rsid w:val="7D81DEAF"/>
    <w:rsid w:val="7D8472BF"/>
    <w:rsid w:val="7D8AD635"/>
    <w:rsid w:val="7D9393CA"/>
    <w:rsid w:val="7D976BEB"/>
    <w:rsid w:val="7D986395"/>
    <w:rsid w:val="7D98EAF1"/>
    <w:rsid w:val="7D991787"/>
    <w:rsid w:val="7D9AD53A"/>
    <w:rsid w:val="7D9B9A4F"/>
    <w:rsid w:val="7D9E6761"/>
    <w:rsid w:val="7DA12F39"/>
    <w:rsid w:val="7DAA1076"/>
    <w:rsid w:val="7DAABF2E"/>
    <w:rsid w:val="7DC49011"/>
    <w:rsid w:val="7DD00587"/>
    <w:rsid w:val="7DDE6192"/>
    <w:rsid w:val="7DE038D8"/>
    <w:rsid w:val="7DE0916A"/>
    <w:rsid w:val="7DEAE215"/>
    <w:rsid w:val="7DEF1BD1"/>
    <w:rsid w:val="7DF92DE5"/>
    <w:rsid w:val="7DFA4347"/>
    <w:rsid w:val="7E10A125"/>
    <w:rsid w:val="7E1F1B3B"/>
    <w:rsid w:val="7E2DA98B"/>
    <w:rsid w:val="7E36E431"/>
    <w:rsid w:val="7E43F281"/>
    <w:rsid w:val="7E536DFB"/>
    <w:rsid w:val="7E57CDE6"/>
    <w:rsid w:val="7E649663"/>
    <w:rsid w:val="7E75C496"/>
    <w:rsid w:val="7E9015A7"/>
    <w:rsid w:val="7EA19F3C"/>
    <w:rsid w:val="7EA2B851"/>
    <w:rsid w:val="7EA56A54"/>
    <w:rsid w:val="7EC416E2"/>
    <w:rsid w:val="7EC8DD29"/>
    <w:rsid w:val="7ED4A473"/>
    <w:rsid w:val="7EEB42EC"/>
    <w:rsid w:val="7EF158A7"/>
    <w:rsid w:val="7EF2449E"/>
    <w:rsid w:val="7EF88F17"/>
    <w:rsid w:val="7F026651"/>
    <w:rsid w:val="7F0270FA"/>
    <w:rsid w:val="7F09BBC6"/>
    <w:rsid w:val="7F0AE951"/>
    <w:rsid w:val="7F1576FF"/>
    <w:rsid w:val="7F1B244C"/>
    <w:rsid w:val="7F1D6302"/>
    <w:rsid w:val="7F200E30"/>
    <w:rsid w:val="7F2B5A3D"/>
    <w:rsid w:val="7F3027B5"/>
    <w:rsid w:val="7F3173EA"/>
    <w:rsid w:val="7F31F3CC"/>
    <w:rsid w:val="7F3B1F08"/>
    <w:rsid w:val="7F4192D0"/>
    <w:rsid w:val="7F43452B"/>
    <w:rsid w:val="7F469FE5"/>
    <w:rsid w:val="7F4D31EF"/>
    <w:rsid w:val="7F55EB71"/>
    <w:rsid w:val="7F565582"/>
    <w:rsid w:val="7F588F2C"/>
    <w:rsid w:val="7F679CF6"/>
    <w:rsid w:val="7F6A471F"/>
    <w:rsid w:val="7F788082"/>
    <w:rsid w:val="7F7C0E9A"/>
    <w:rsid w:val="7F8DB2BB"/>
    <w:rsid w:val="7F9B195B"/>
    <w:rsid w:val="7F9E4D91"/>
    <w:rsid w:val="7FAE73DC"/>
    <w:rsid w:val="7FB54233"/>
    <w:rsid w:val="7FC38F4D"/>
    <w:rsid w:val="7FCA4345"/>
    <w:rsid w:val="7FD03A6E"/>
    <w:rsid w:val="7FD15C9C"/>
    <w:rsid w:val="7FDEA42C"/>
    <w:rsid w:val="7FE94EFA"/>
    <w:rsid w:val="7FEA7C3D"/>
    <w:rsid w:val="7FF6B181"/>
    <w:rsid w:val="7FFFD6F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fillcolor="white">
      <v:fill color="white"/>
    </o:shapedefaults>
    <o:shapelayout v:ext="edit">
      <o:idmap v:ext="edit" data="2"/>
    </o:shapelayout>
  </w:shapeDefaults>
  <w:decimalSymbol w:val=","/>
  <w:listSeparator w:val=";"/>
  <w14:docId w14:val="6037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E7E"/>
    <w:rPr>
      <w:rFonts w:ascii="Times New Roman" w:hAnsi="Times New Roman"/>
      <w:sz w:val="24"/>
    </w:rPr>
  </w:style>
  <w:style w:type="paragraph" w:styleId="Heading1">
    <w:name w:val="heading 1"/>
    <w:basedOn w:val="Style1"/>
    <w:next w:val="Normal"/>
    <w:link w:val="Heading1Char"/>
    <w:uiPriority w:val="9"/>
    <w:qFormat/>
    <w:rsid w:val="005E4574"/>
    <w:pPr>
      <w:outlineLvl w:val="0"/>
    </w:pPr>
  </w:style>
  <w:style w:type="paragraph" w:styleId="Heading2">
    <w:name w:val="heading 2"/>
    <w:basedOn w:val="Style2"/>
    <w:next w:val="Normal"/>
    <w:link w:val="Heading2Char"/>
    <w:uiPriority w:val="9"/>
    <w:unhideWhenUsed/>
    <w:qFormat/>
    <w:rsid w:val="00205B71"/>
    <w:pPr>
      <w:numPr>
        <w:ilvl w:val="0"/>
        <w:numId w:val="112"/>
      </w:numPr>
      <w:outlineLvl w:val="1"/>
    </w:pPr>
    <w:rPr>
      <w:rFonts w:eastAsia="Times New Roman"/>
      <w:caps/>
    </w:rPr>
  </w:style>
  <w:style w:type="paragraph" w:styleId="Heading3">
    <w:name w:val="heading 3"/>
    <w:basedOn w:val="ContNumLevel2"/>
    <w:next w:val="Normal"/>
    <w:link w:val="Heading3Char"/>
    <w:uiPriority w:val="9"/>
    <w:unhideWhenUsed/>
    <w:qFormat/>
    <w:rsid w:val="005E4574"/>
    <w:pPr>
      <w:numPr>
        <w:ilvl w:val="0"/>
        <w:numId w:val="0"/>
      </w:numPr>
      <w:ind w:left="1080"/>
      <w:outlineLvl w:val="2"/>
    </w:pPr>
    <w:rPr>
      <w:b/>
      <w:bCs/>
      <w:u w:val="single"/>
    </w:rPr>
  </w:style>
  <w:style w:type="paragraph" w:styleId="Heading4">
    <w:name w:val="heading 4"/>
    <w:basedOn w:val="ContNum"/>
    <w:next w:val="Normal"/>
    <w:link w:val="Heading4Char"/>
    <w:uiPriority w:val="9"/>
    <w:unhideWhenUsed/>
    <w:qFormat/>
    <w:rsid w:val="004C04AA"/>
    <w:pPr>
      <w:numPr>
        <w:numId w:val="30"/>
      </w:numPr>
      <w:spacing w:after="120"/>
      <w:ind w:left="720"/>
      <w:outlineLvl w:val="3"/>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F2AEF"/>
    <w:rPr>
      <w:color w:val="0000FF"/>
      <w:shd w:val="clear" w:color="auto" w:fill="auto"/>
    </w:rPr>
  </w:style>
  <w:style w:type="paragraph" w:styleId="Header">
    <w:name w:val="header"/>
    <w:basedOn w:val="Normal"/>
    <w:link w:val="HeaderChar"/>
    <w:uiPriority w:val="99"/>
    <w:unhideWhenUsed/>
    <w:rsid w:val="002F2A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2AEF"/>
  </w:style>
  <w:style w:type="paragraph" w:styleId="Footer">
    <w:name w:val="footer"/>
    <w:basedOn w:val="Normal"/>
    <w:link w:val="FooterChar"/>
    <w:uiPriority w:val="99"/>
    <w:unhideWhenUsed/>
    <w:rsid w:val="002F2A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2AEF"/>
  </w:style>
  <w:style w:type="paragraph" w:customStyle="1" w:styleId="Pagedecouverture">
    <w:name w:val="Page de couverture"/>
    <w:basedOn w:val="Normal"/>
    <w:next w:val="Normal"/>
    <w:rsid w:val="002F2AEF"/>
    <w:pPr>
      <w:spacing w:after="0" w:line="240" w:lineRule="auto"/>
      <w:jc w:val="both"/>
    </w:pPr>
    <w:rPr>
      <w:rFonts w:cs="Times New Roman"/>
    </w:rPr>
  </w:style>
  <w:style w:type="paragraph" w:customStyle="1" w:styleId="FooterCoverPage">
    <w:name w:val="Footer Cover Page"/>
    <w:basedOn w:val="Normal"/>
    <w:link w:val="FooterCoverPageChar"/>
    <w:rsid w:val="002F2AEF"/>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2F2AEF"/>
    <w:rPr>
      <w:rFonts w:ascii="Times New Roman" w:hAnsi="Times New Roman"/>
      <w:sz w:val="24"/>
    </w:rPr>
  </w:style>
  <w:style w:type="paragraph" w:customStyle="1" w:styleId="FooterSensitivity">
    <w:name w:val="Footer Sensitivity"/>
    <w:basedOn w:val="Normal"/>
    <w:link w:val="FooterSensitivityChar"/>
    <w:rsid w:val="002F2AE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2F2AEF"/>
    <w:rPr>
      <w:rFonts w:ascii="Times New Roman" w:hAnsi="Times New Roman"/>
      <w:b/>
      <w:sz w:val="32"/>
    </w:rPr>
  </w:style>
  <w:style w:type="paragraph" w:customStyle="1" w:styleId="HeaderCoverPage">
    <w:name w:val="Header Cover Page"/>
    <w:basedOn w:val="Normal"/>
    <w:link w:val="HeaderCoverPageChar"/>
    <w:rsid w:val="002F2AEF"/>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2F2AEF"/>
    <w:rPr>
      <w:rFonts w:ascii="Times New Roman" w:hAnsi="Times New Roman"/>
      <w:sz w:val="24"/>
    </w:rPr>
  </w:style>
  <w:style w:type="paragraph" w:customStyle="1" w:styleId="HeaderSensitivity">
    <w:name w:val="Header Sensitivity"/>
    <w:basedOn w:val="Normal"/>
    <w:link w:val="HeaderSensitivityChar"/>
    <w:rsid w:val="002F2AE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2F2AEF"/>
    <w:rPr>
      <w:rFonts w:ascii="Times New Roman" w:hAnsi="Times New Roman"/>
      <w:b/>
      <w:sz w:val="32"/>
    </w:rPr>
  </w:style>
  <w:style w:type="paragraph" w:customStyle="1" w:styleId="HeaderSensitivityRight">
    <w:name w:val="Header Sensitivity Right"/>
    <w:basedOn w:val="Normal"/>
    <w:link w:val="HeaderSensitivityRightChar"/>
    <w:rsid w:val="002F2AEF"/>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2F2AEF"/>
    <w:rPr>
      <w:rFonts w:ascii="Times New Roman" w:hAnsi="Times New Roman"/>
      <w:sz w:val="28"/>
    </w:rPr>
  </w:style>
  <w:style w:type="paragraph" w:customStyle="1" w:styleId="li">
    <w:name w:val="li"/>
    <w:basedOn w:val="Normal"/>
    <w:rsid w:val="005A63C8"/>
    <w:pPr>
      <w:spacing w:before="100" w:beforeAutospacing="1" w:after="100" w:afterAutospacing="1" w:line="240" w:lineRule="auto"/>
    </w:pPr>
    <w:rPr>
      <w:rFonts w:eastAsia="Times New Roman" w:cs="Times New Roman"/>
      <w:szCs w:val="24"/>
      <w:lang w:eastAsia="en-IE"/>
    </w:rPr>
  </w:style>
  <w:style w:type="paragraph" w:customStyle="1" w:styleId="Normal1">
    <w:name w:val="Normal1"/>
    <w:basedOn w:val="Normal"/>
    <w:rsid w:val="005A63C8"/>
    <w:pPr>
      <w:spacing w:before="100" w:beforeAutospacing="1" w:after="100" w:afterAutospacing="1" w:line="240" w:lineRule="auto"/>
    </w:pPr>
    <w:rPr>
      <w:rFonts w:eastAsia="Times New Roman" w:cs="Times New Roman"/>
      <w:szCs w:val="24"/>
      <w:lang w:eastAsia="en-IE"/>
    </w:rPr>
  </w:style>
  <w:style w:type="character" w:customStyle="1" w:styleId="footnotereference">
    <w:name w:val="footnotereference"/>
    <w:basedOn w:val="DefaultParagraphFont"/>
    <w:rsid w:val="005A63C8"/>
  </w:style>
  <w:style w:type="character" w:styleId="Hyperlink">
    <w:name w:val="Hyperlink"/>
    <w:basedOn w:val="DefaultParagraphFont"/>
    <w:uiPriority w:val="99"/>
    <w:unhideWhenUsed/>
    <w:rsid w:val="005A63C8"/>
    <w:rPr>
      <w:color w:val="0000FF"/>
      <w:u w:val="single"/>
    </w:rPr>
  </w:style>
  <w:style w:type="character" w:customStyle="1" w:styleId="normaltextrun">
    <w:name w:val="normaltextrun"/>
    <w:basedOn w:val="DefaultParagraphFont"/>
    <w:rsid w:val="005A63C8"/>
  </w:style>
  <w:style w:type="character" w:customStyle="1" w:styleId="num">
    <w:name w:val="num"/>
    <w:basedOn w:val="DefaultParagraphFont"/>
    <w:rsid w:val="005A63C8"/>
  </w:style>
  <w:style w:type="paragraph" w:customStyle="1" w:styleId="Subject">
    <w:name w:val="Subject"/>
    <w:basedOn w:val="Normal"/>
    <w:link w:val="SubjectChar"/>
    <w:uiPriority w:val="2"/>
    <w:rsid w:val="005A63C8"/>
    <w:pPr>
      <w:spacing w:after="480" w:line="240" w:lineRule="auto"/>
      <w:ind w:left="1191" w:hanging="1191"/>
      <w:contextualSpacing/>
    </w:pPr>
    <w:rPr>
      <w:rFonts w:eastAsia="Times New Roman" w:cs="Times New Roman"/>
      <w:b/>
      <w:szCs w:val="20"/>
      <w:lang w:eastAsia="en-GB"/>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footnote text,Char"/>
    <w:basedOn w:val="Normal"/>
    <w:link w:val="FootnoteTextChar"/>
    <w:uiPriority w:val="99"/>
    <w:unhideWhenUsed/>
    <w:qFormat/>
    <w:rsid w:val="00B279E0"/>
    <w:pPr>
      <w:spacing w:after="0" w:line="240" w:lineRule="auto"/>
    </w:pPr>
    <w:rPr>
      <w:sz w:val="20"/>
      <w:szCs w:val="20"/>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
    <w:basedOn w:val="DefaultParagraphFont"/>
    <w:link w:val="FootnoteText"/>
    <w:uiPriority w:val="99"/>
    <w:qFormat/>
    <w:rsid w:val="00B279E0"/>
    <w:rPr>
      <w:sz w:val="20"/>
      <w:szCs w:val="20"/>
      <w:lang w:val="fr-FR"/>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rsid w:val="00B279E0"/>
    <w:pPr>
      <w:spacing w:line="256" w:lineRule="auto"/>
      <w:ind w:left="720"/>
      <w:contextualSpacing/>
    </w:pPr>
  </w:style>
  <w:style w:type="character" w:styleId="FootnoteReference0">
    <w:name w:val="footnote reference"/>
    <w:aliases w:val="BVI fnr, BVI fnr,Footnote Reference Superscript,Footnote symbol,Odwołanie przypisu,Footnote Reference_LVL6,Footnote Reference_LVL61,Footnote Reference_LVL62,Footnote Reference_LVL63,Footnote Reference_LVL64,Footnote Reference_LVL,Nota"/>
    <w:basedOn w:val="DefaultParagraphFont"/>
    <w:link w:val="FootnotesymbolCarZchn"/>
    <w:unhideWhenUsed/>
    <w:qFormat/>
    <w:rsid w:val="00B279E0"/>
    <w:rPr>
      <w:vertAlign w:val="superscript"/>
    </w:rPr>
  </w:style>
  <w:style w:type="character" w:styleId="CommentReference">
    <w:name w:val="annotation reference"/>
    <w:basedOn w:val="DefaultParagraphFont"/>
    <w:uiPriority w:val="99"/>
    <w:semiHidden/>
    <w:unhideWhenUsed/>
    <w:rsid w:val="00DD09F0"/>
    <w:rPr>
      <w:sz w:val="16"/>
      <w:szCs w:val="16"/>
    </w:rPr>
  </w:style>
  <w:style w:type="paragraph" w:styleId="CommentText">
    <w:name w:val="annotation text"/>
    <w:basedOn w:val="Normal"/>
    <w:link w:val="CommentTextChar"/>
    <w:uiPriority w:val="99"/>
    <w:unhideWhenUsed/>
    <w:rsid w:val="00DD09F0"/>
    <w:pPr>
      <w:spacing w:line="240" w:lineRule="auto"/>
    </w:pPr>
    <w:rPr>
      <w:sz w:val="20"/>
      <w:szCs w:val="20"/>
    </w:rPr>
  </w:style>
  <w:style w:type="character" w:customStyle="1" w:styleId="CommentTextChar">
    <w:name w:val="Comment Text Char"/>
    <w:basedOn w:val="DefaultParagraphFont"/>
    <w:link w:val="CommentText"/>
    <w:uiPriority w:val="99"/>
    <w:rsid w:val="00DD09F0"/>
    <w:rPr>
      <w:sz w:val="20"/>
      <w:szCs w:val="20"/>
    </w:rPr>
  </w:style>
  <w:style w:type="paragraph" w:styleId="CommentSubject">
    <w:name w:val="annotation subject"/>
    <w:basedOn w:val="CommentText"/>
    <w:next w:val="CommentText"/>
    <w:link w:val="CommentSubjectChar"/>
    <w:uiPriority w:val="99"/>
    <w:semiHidden/>
    <w:unhideWhenUsed/>
    <w:rsid w:val="00DD09F0"/>
    <w:rPr>
      <w:b/>
      <w:bCs/>
    </w:rPr>
  </w:style>
  <w:style w:type="character" w:customStyle="1" w:styleId="CommentSubjectChar">
    <w:name w:val="Comment Subject Char"/>
    <w:basedOn w:val="CommentTextChar"/>
    <w:link w:val="CommentSubject"/>
    <w:uiPriority w:val="99"/>
    <w:semiHidden/>
    <w:rsid w:val="00DD09F0"/>
    <w:rPr>
      <w:b/>
      <w:bCs/>
      <w:sz w:val="20"/>
      <w:szCs w:val="20"/>
    </w:rPr>
  </w:style>
  <w:style w:type="paragraph" w:styleId="NormalWeb">
    <w:name w:val="Normal (Web)"/>
    <w:basedOn w:val="Normal"/>
    <w:uiPriority w:val="99"/>
    <w:semiHidden/>
    <w:unhideWhenUsed/>
    <w:rsid w:val="001E34A0"/>
    <w:pPr>
      <w:spacing w:before="100" w:beforeAutospacing="1" w:after="100" w:afterAutospacing="1" w:line="240" w:lineRule="auto"/>
    </w:pPr>
    <w:rPr>
      <w:rFonts w:eastAsia="Times New Roman" w:cs="Times New Roman"/>
      <w:szCs w:val="24"/>
      <w:lang w:eastAsia="en-IE"/>
    </w:rPr>
  </w:style>
  <w:style w:type="paragraph" w:styleId="Revision">
    <w:name w:val="Revision"/>
    <w:hidden/>
    <w:uiPriority w:val="99"/>
    <w:semiHidden/>
    <w:rsid w:val="00CA0626"/>
    <w:pPr>
      <w:spacing w:after="0" w:line="240" w:lineRule="auto"/>
    </w:pPr>
  </w:style>
  <w:style w:type="character" w:customStyle="1" w:styleId="UnresolvedMention1">
    <w:name w:val="Unresolved Mention1"/>
    <w:basedOn w:val="DefaultParagraphFont"/>
    <w:uiPriority w:val="99"/>
    <w:unhideWhenUsed/>
    <w:rsid w:val="00CA0626"/>
    <w:rPr>
      <w:color w:val="605E5C"/>
      <w:shd w:val="clear" w:color="auto" w:fill="E1DFDD"/>
    </w:rPr>
  </w:style>
  <w:style w:type="character" w:customStyle="1" w:styleId="Mention1">
    <w:name w:val="Mention1"/>
    <w:basedOn w:val="DefaultParagraphFont"/>
    <w:uiPriority w:val="99"/>
    <w:unhideWhenUsed/>
    <w:rsid w:val="00CA0626"/>
    <w:rPr>
      <w:color w:val="2B579A"/>
      <w:shd w:val="clear" w:color="auto" w:fill="E1DFDD"/>
    </w:rPr>
  </w:style>
  <w:style w:type="paragraph" w:styleId="BalloonText">
    <w:name w:val="Balloon Text"/>
    <w:basedOn w:val="Normal"/>
    <w:link w:val="BalloonTextChar"/>
    <w:uiPriority w:val="99"/>
    <w:semiHidden/>
    <w:unhideWhenUsed/>
    <w:rsid w:val="00CA06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626"/>
    <w:rPr>
      <w:rFonts w:ascii="Segoe UI" w:hAnsi="Segoe UI" w:cs="Segoe UI"/>
      <w:sz w:val="18"/>
      <w:szCs w:val="18"/>
    </w:rPr>
  </w:style>
  <w:style w:type="paragraph" w:customStyle="1" w:styleId="paragraph">
    <w:name w:val="paragraph"/>
    <w:basedOn w:val="Normal"/>
    <w:rsid w:val="00624A39"/>
    <w:pPr>
      <w:spacing w:before="100" w:beforeAutospacing="1" w:after="100" w:afterAutospacing="1" w:line="240" w:lineRule="auto"/>
    </w:pPr>
    <w:rPr>
      <w:rFonts w:eastAsia="Times New Roman" w:cs="Times New Roman"/>
      <w:szCs w:val="24"/>
      <w:lang w:eastAsia="en-IE"/>
    </w:rPr>
  </w:style>
  <w:style w:type="character" w:customStyle="1" w:styleId="eop">
    <w:name w:val="eop"/>
    <w:basedOn w:val="DefaultParagraphFont"/>
    <w:rsid w:val="00624A39"/>
  </w:style>
  <w:style w:type="paragraph" w:customStyle="1" w:styleId="Typedudocument">
    <w:name w:val="Type du document"/>
    <w:basedOn w:val="Normal"/>
    <w:next w:val="Normal"/>
    <w:rsid w:val="0054526B"/>
    <w:pPr>
      <w:spacing w:before="360" w:after="0" w:line="240" w:lineRule="auto"/>
      <w:jc w:val="center"/>
    </w:pPr>
    <w:rPr>
      <w:rFonts w:cs="Times New Roman"/>
      <w:b/>
    </w:rPr>
  </w:style>
  <w:style w:type="paragraph" w:customStyle="1" w:styleId="Titreobjet">
    <w:name w:val="Titre objet"/>
    <w:basedOn w:val="Normal"/>
    <w:next w:val="Normal"/>
    <w:rsid w:val="0054526B"/>
    <w:pPr>
      <w:spacing w:before="360" w:after="360" w:line="240" w:lineRule="auto"/>
      <w:jc w:val="center"/>
    </w:pPr>
    <w:rPr>
      <w:rFonts w:cs="Times New Roman"/>
      <w:b/>
    </w:rPr>
  </w:style>
  <w:style w:type="character" w:customStyle="1" w:styleId="UnresolvedMention2">
    <w:name w:val="Unresolved Mention2"/>
    <w:basedOn w:val="DefaultParagraphFont"/>
    <w:uiPriority w:val="99"/>
    <w:semiHidden/>
    <w:unhideWhenUsed/>
    <w:rsid w:val="00F22101"/>
    <w:rPr>
      <w:color w:val="605E5C"/>
      <w:shd w:val="clear" w:color="auto" w:fill="E1DFDD"/>
    </w:rPr>
  </w:style>
  <w:style w:type="character" w:styleId="FollowedHyperlink">
    <w:name w:val="FollowedHyperlink"/>
    <w:basedOn w:val="DefaultParagraphFont"/>
    <w:uiPriority w:val="99"/>
    <w:semiHidden/>
    <w:unhideWhenUsed/>
    <w:rsid w:val="006434AD"/>
    <w:rPr>
      <w:color w:val="954F72" w:themeColor="followed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B240B"/>
    <w:rPr>
      <w:lang w:val="fr-FR"/>
    </w:rPr>
  </w:style>
  <w:style w:type="paragraph" w:customStyle="1" w:styleId="Style1">
    <w:name w:val="Style1"/>
    <w:basedOn w:val="Subject"/>
    <w:link w:val="Style1Char"/>
    <w:qFormat/>
    <w:rsid w:val="006E4B65"/>
    <w:pPr>
      <w:ind w:left="1080" w:hanging="360"/>
      <w:jc w:val="center"/>
    </w:pPr>
    <w:rPr>
      <w:smallCaps/>
      <w:szCs w:val="24"/>
    </w:rPr>
  </w:style>
  <w:style w:type="paragraph" w:customStyle="1" w:styleId="Style2">
    <w:name w:val="Style2"/>
    <w:basedOn w:val="ListParagraph"/>
    <w:link w:val="Style2Char"/>
    <w:qFormat/>
    <w:rsid w:val="00775262"/>
    <w:pPr>
      <w:numPr>
        <w:ilvl w:val="1"/>
        <w:numId w:val="3"/>
      </w:numPr>
      <w:autoSpaceDE w:val="0"/>
      <w:autoSpaceDN w:val="0"/>
      <w:spacing w:after="0" w:line="252" w:lineRule="auto"/>
      <w:jc w:val="both"/>
    </w:pPr>
    <w:rPr>
      <w:rFonts w:cs="Times New Roman"/>
      <w:b/>
      <w:bCs/>
      <w:szCs w:val="24"/>
    </w:rPr>
  </w:style>
  <w:style w:type="character" w:customStyle="1" w:styleId="SubjectChar">
    <w:name w:val="Subject Char"/>
    <w:basedOn w:val="DefaultParagraphFont"/>
    <w:link w:val="Subject"/>
    <w:uiPriority w:val="2"/>
    <w:rsid w:val="00E12D9E"/>
    <w:rPr>
      <w:rFonts w:ascii="Times New Roman" w:eastAsia="Times New Roman" w:hAnsi="Times New Roman" w:cs="Times New Roman"/>
      <w:b/>
      <w:sz w:val="24"/>
      <w:szCs w:val="20"/>
      <w:lang w:val="fr-FR" w:eastAsia="en-GB"/>
    </w:rPr>
  </w:style>
  <w:style w:type="character" w:customStyle="1" w:styleId="Style1Char">
    <w:name w:val="Style1 Char"/>
    <w:basedOn w:val="SubjectChar"/>
    <w:link w:val="Style1"/>
    <w:rsid w:val="006E4B65"/>
    <w:rPr>
      <w:rFonts w:ascii="Times New Roman" w:eastAsia="Times New Roman" w:hAnsi="Times New Roman" w:cs="Times New Roman"/>
      <w:b/>
      <w:smallCaps/>
      <w:sz w:val="24"/>
      <w:szCs w:val="24"/>
      <w:lang w:val="fr-FR" w:eastAsia="en-GB"/>
    </w:rPr>
  </w:style>
  <w:style w:type="character" w:customStyle="1" w:styleId="Style2Char">
    <w:name w:val="Style2 Char"/>
    <w:basedOn w:val="ListParagraphChar"/>
    <w:link w:val="Style2"/>
    <w:rsid w:val="00E12D9E"/>
    <w:rPr>
      <w:rFonts w:ascii="Times New Roman" w:hAnsi="Times New Roman" w:cs="Times New Roman"/>
      <w:b/>
      <w:bCs/>
      <w:sz w:val="24"/>
      <w:szCs w:val="24"/>
      <w:lang w:val="fr-FR"/>
    </w:rPr>
  </w:style>
  <w:style w:type="character" w:customStyle="1" w:styleId="Mention2">
    <w:name w:val="Mention2"/>
    <w:basedOn w:val="DefaultParagraphFont"/>
    <w:uiPriority w:val="99"/>
    <w:unhideWhenUsed/>
    <w:rsid w:val="000D03EA"/>
    <w:rPr>
      <w:color w:val="2B579A"/>
      <w:shd w:val="clear" w:color="auto" w:fill="E1DFDD"/>
    </w:rPr>
  </w:style>
  <w:style w:type="character" w:styleId="PlaceholderText">
    <w:name w:val="Placeholder Text"/>
    <w:basedOn w:val="DefaultParagraphFont"/>
    <w:uiPriority w:val="99"/>
    <w:semiHidden/>
    <w:rsid w:val="00DD5544"/>
    <w:rPr>
      <w:color w:val="808080"/>
    </w:rPr>
  </w:style>
  <w:style w:type="character" w:customStyle="1" w:styleId="markedcontent">
    <w:name w:val="markedcontent"/>
    <w:basedOn w:val="DefaultParagraphFont"/>
    <w:rsid w:val="00174BBC"/>
  </w:style>
  <w:style w:type="character" w:customStyle="1" w:styleId="cf01">
    <w:name w:val="cf01"/>
    <w:basedOn w:val="DefaultParagraphFont"/>
    <w:rsid w:val="00174BBC"/>
    <w:rPr>
      <w:rFonts w:ascii="Segoe UI" w:hAnsi="Segoe UI" w:cs="Segoe UI" w:hint="default"/>
      <w:sz w:val="18"/>
      <w:szCs w:val="18"/>
    </w:rPr>
  </w:style>
  <w:style w:type="character" w:customStyle="1" w:styleId="cf11">
    <w:name w:val="cf11"/>
    <w:basedOn w:val="DefaultParagraphFont"/>
    <w:rsid w:val="00174BBC"/>
    <w:rPr>
      <w:rFonts w:ascii="Segoe UI" w:hAnsi="Segoe UI" w:cs="Segoe UI" w:hint="default"/>
      <w:b/>
      <w:bCs/>
      <w:sz w:val="18"/>
      <w:szCs w:val="1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0"/>
    <w:rsid w:val="005203A6"/>
    <w:pPr>
      <w:widowControl w:val="0"/>
      <w:adjustRightInd w:val="0"/>
      <w:spacing w:line="240" w:lineRule="exact"/>
      <w:jc w:val="both"/>
      <w:textAlignment w:val="baseline"/>
    </w:pPr>
    <w:rPr>
      <w:vertAlign w:val="superscript"/>
    </w:rPr>
  </w:style>
  <w:style w:type="character" w:customStyle="1" w:styleId="Hyperlink1">
    <w:name w:val="Hyperlink1"/>
    <w:basedOn w:val="DefaultParagraphFont"/>
    <w:uiPriority w:val="99"/>
    <w:unhideWhenUsed/>
    <w:rsid w:val="00012BCC"/>
    <w:rPr>
      <w:color w:val="0000FF"/>
      <w:u w:val="single"/>
    </w:rPr>
  </w:style>
  <w:style w:type="paragraph" w:customStyle="1" w:styleId="FootnoteText1">
    <w:name w:val="Footnote Text1"/>
    <w:basedOn w:val="Normal"/>
    <w:next w:val="FootnoteText"/>
    <w:uiPriority w:val="99"/>
    <w:unhideWhenUsed/>
    <w:rsid w:val="00012BCC"/>
    <w:pPr>
      <w:spacing w:after="0" w:line="240" w:lineRule="auto"/>
    </w:pPr>
    <w:rPr>
      <w:rFonts w:eastAsia="MS Mincho"/>
      <w:sz w:val="20"/>
      <w:szCs w:val="20"/>
    </w:rPr>
  </w:style>
  <w:style w:type="paragraph" w:customStyle="1" w:styleId="ContNum">
    <w:name w:val="ContNum"/>
    <w:basedOn w:val="Normal"/>
    <w:uiPriority w:val="20"/>
    <w:qFormat/>
    <w:rsid w:val="00632E9E"/>
    <w:pPr>
      <w:spacing w:after="240" w:line="240" w:lineRule="auto"/>
      <w:jc w:val="both"/>
    </w:pPr>
    <w:rPr>
      <w:rFonts w:eastAsia="Times New Roman" w:cs="Times New Roman"/>
      <w:szCs w:val="20"/>
      <w:lang w:eastAsia="en-GB"/>
    </w:rPr>
  </w:style>
  <w:style w:type="paragraph" w:customStyle="1" w:styleId="ContNumLevel2">
    <w:name w:val="ContNum (Level 2)"/>
    <w:basedOn w:val="Normal"/>
    <w:uiPriority w:val="20"/>
    <w:rsid w:val="00632E9E"/>
    <w:pPr>
      <w:numPr>
        <w:ilvl w:val="1"/>
        <w:numId w:val="5"/>
      </w:numPr>
      <w:spacing w:after="240" w:line="240" w:lineRule="auto"/>
      <w:jc w:val="both"/>
    </w:pPr>
    <w:rPr>
      <w:rFonts w:eastAsia="Times New Roman" w:cs="Times New Roman"/>
      <w:szCs w:val="20"/>
      <w:lang w:eastAsia="en-GB"/>
    </w:rPr>
  </w:style>
  <w:style w:type="paragraph" w:customStyle="1" w:styleId="ContNumLevel3">
    <w:name w:val="ContNum (Level 3)"/>
    <w:basedOn w:val="Normal"/>
    <w:uiPriority w:val="20"/>
    <w:rsid w:val="00632E9E"/>
    <w:pPr>
      <w:numPr>
        <w:ilvl w:val="2"/>
        <w:numId w:val="5"/>
      </w:numPr>
      <w:spacing w:after="240" w:line="240" w:lineRule="auto"/>
      <w:jc w:val="both"/>
    </w:pPr>
    <w:rPr>
      <w:rFonts w:eastAsia="Times New Roman" w:cs="Times New Roman"/>
      <w:szCs w:val="20"/>
      <w:lang w:eastAsia="en-GB"/>
    </w:rPr>
  </w:style>
  <w:style w:type="paragraph" w:customStyle="1" w:styleId="Text1">
    <w:name w:val="Text 1"/>
    <w:basedOn w:val="Normal"/>
    <w:qFormat/>
    <w:rsid w:val="009B4892"/>
    <w:pPr>
      <w:spacing w:after="240" w:line="240" w:lineRule="auto"/>
      <w:ind w:left="482"/>
      <w:jc w:val="both"/>
    </w:pPr>
    <w:rPr>
      <w:rFonts w:eastAsia="Times New Roman" w:cs="Times New Roman"/>
      <w:szCs w:val="20"/>
      <w:lang w:eastAsia="en-GB"/>
    </w:rPr>
  </w:style>
  <w:style w:type="character" w:customStyle="1" w:styleId="UnresolvedMention3">
    <w:name w:val="Unresolved Mention3"/>
    <w:basedOn w:val="DefaultParagraphFont"/>
    <w:uiPriority w:val="99"/>
    <w:semiHidden/>
    <w:unhideWhenUsed/>
    <w:rsid w:val="00C3299E"/>
    <w:rPr>
      <w:color w:val="605E5C"/>
      <w:shd w:val="clear" w:color="auto" w:fill="E1DFDD"/>
    </w:rPr>
  </w:style>
  <w:style w:type="character" w:customStyle="1" w:styleId="Heading3Char">
    <w:name w:val="Heading 3 Char"/>
    <w:basedOn w:val="DefaultParagraphFont"/>
    <w:link w:val="Heading3"/>
    <w:uiPriority w:val="9"/>
    <w:rsid w:val="005E4574"/>
    <w:rPr>
      <w:rFonts w:ascii="Times New Roman" w:eastAsia="Times New Roman" w:hAnsi="Times New Roman" w:cs="Times New Roman"/>
      <w:b/>
      <w:bCs/>
      <w:sz w:val="24"/>
      <w:szCs w:val="20"/>
      <w:u w:val="single"/>
      <w:lang w:val="fr-FR" w:eastAsia="en-GB"/>
    </w:rPr>
  </w:style>
  <w:style w:type="character" w:customStyle="1" w:styleId="Heading1Char">
    <w:name w:val="Heading 1 Char"/>
    <w:basedOn w:val="DefaultParagraphFont"/>
    <w:link w:val="Heading1"/>
    <w:uiPriority w:val="9"/>
    <w:rsid w:val="005E4574"/>
    <w:rPr>
      <w:rFonts w:ascii="Times New Roman" w:eastAsia="Times New Roman" w:hAnsi="Times New Roman" w:cs="Times New Roman"/>
      <w:b/>
      <w:smallCaps/>
      <w:sz w:val="24"/>
      <w:szCs w:val="24"/>
      <w:lang w:val="fr-FR" w:eastAsia="en-GB"/>
    </w:rPr>
  </w:style>
  <w:style w:type="character" w:customStyle="1" w:styleId="Heading2Char">
    <w:name w:val="Heading 2 Char"/>
    <w:basedOn w:val="DefaultParagraphFont"/>
    <w:link w:val="Heading2"/>
    <w:uiPriority w:val="9"/>
    <w:rsid w:val="00205B71"/>
    <w:rPr>
      <w:rFonts w:ascii="Times New Roman" w:eastAsia="Times New Roman" w:hAnsi="Times New Roman" w:cs="Times New Roman"/>
      <w:b/>
      <w:bCs/>
      <w:caps/>
      <w:sz w:val="24"/>
      <w:szCs w:val="24"/>
      <w:lang w:val="fr-FR"/>
    </w:rPr>
  </w:style>
  <w:style w:type="paragraph" w:styleId="TOCHeading">
    <w:name w:val="TOC Heading"/>
    <w:basedOn w:val="Heading1"/>
    <w:next w:val="Normal"/>
    <w:uiPriority w:val="39"/>
    <w:unhideWhenUsed/>
    <w:qFormat/>
    <w:rsid w:val="005E4574"/>
    <w:pPr>
      <w:keepNext/>
      <w:keepLines/>
      <w:spacing w:before="240" w:after="0" w:line="259" w:lineRule="auto"/>
      <w:ind w:left="0" w:firstLine="0"/>
      <w:contextualSpacing w:val="0"/>
      <w:jc w:val="left"/>
      <w:outlineLvl w:val="9"/>
    </w:pPr>
    <w:rPr>
      <w:rFonts w:asciiTheme="majorHAnsi" w:eastAsiaTheme="majorEastAsia" w:hAnsiTheme="majorHAnsi" w:cstheme="majorBidi"/>
      <w:b w:val="0"/>
      <w:smallCaps w:val="0"/>
      <w:color w:val="2F5496" w:themeColor="accent1" w:themeShade="BF"/>
      <w:sz w:val="32"/>
      <w:szCs w:val="32"/>
      <w:lang w:eastAsia="en-US"/>
    </w:rPr>
  </w:style>
  <w:style w:type="paragraph" w:styleId="TOC1">
    <w:name w:val="toc 1"/>
    <w:basedOn w:val="Normal"/>
    <w:next w:val="Normal"/>
    <w:autoRedefine/>
    <w:uiPriority w:val="39"/>
    <w:unhideWhenUsed/>
    <w:rsid w:val="005E4574"/>
    <w:pPr>
      <w:spacing w:after="100"/>
    </w:pPr>
  </w:style>
  <w:style w:type="paragraph" w:styleId="TOC2">
    <w:name w:val="toc 2"/>
    <w:basedOn w:val="Normal"/>
    <w:next w:val="Normal"/>
    <w:autoRedefine/>
    <w:uiPriority w:val="39"/>
    <w:unhideWhenUsed/>
    <w:rsid w:val="005E4574"/>
    <w:pPr>
      <w:spacing w:after="100"/>
      <w:ind w:left="240"/>
    </w:pPr>
  </w:style>
  <w:style w:type="paragraph" w:styleId="TOC3">
    <w:name w:val="toc 3"/>
    <w:basedOn w:val="Normal"/>
    <w:next w:val="Normal"/>
    <w:autoRedefine/>
    <w:uiPriority w:val="39"/>
    <w:unhideWhenUsed/>
    <w:rsid w:val="005E4574"/>
    <w:pPr>
      <w:spacing w:after="100"/>
      <w:ind w:left="480"/>
    </w:pPr>
  </w:style>
  <w:style w:type="character" w:customStyle="1" w:styleId="Heading4Char">
    <w:name w:val="Heading 4 Char"/>
    <w:basedOn w:val="DefaultParagraphFont"/>
    <w:link w:val="Heading4"/>
    <w:uiPriority w:val="9"/>
    <w:rsid w:val="004C04AA"/>
    <w:rPr>
      <w:rFonts w:ascii="Times New Roman" w:eastAsia="Times New Roman" w:hAnsi="Times New Roman" w:cs="Times New Roman"/>
      <w:b/>
      <w:bCs/>
      <w:i/>
      <w:iCs/>
      <w:sz w:val="24"/>
      <w:szCs w:val="20"/>
      <w:lang w:val="fr-FR" w:eastAsia="en-GB"/>
    </w:rPr>
  </w:style>
  <w:style w:type="table" w:styleId="TableGrid">
    <w:name w:val="Table Grid"/>
    <w:basedOn w:val="TableNormal"/>
    <w:uiPriority w:val="39"/>
    <w:rsid w:val="00D61D38"/>
    <w:pPr>
      <w:spacing w:after="0" w:line="240" w:lineRule="auto"/>
    </w:pPr>
    <w:tblPr/>
  </w:style>
  <w:style w:type="paragraph" w:styleId="TOC4">
    <w:name w:val="toc 4"/>
    <w:basedOn w:val="Normal"/>
    <w:next w:val="Normal"/>
    <w:autoRedefine/>
    <w:uiPriority w:val="39"/>
    <w:unhideWhenUsed/>
    <w:rsid w:val="001B7C8B"/>
    <w:pPr>
      <w:spacing w:after="100"/>
      <w:ind w:left="720"/>
    </w:pPr>
  </w:style>
  <w:style w:type="character" w:customStyle="1" w:styleId="Mention3">
    <w:name w:val="Mention3"/>
    <w:basedOn w:val="DefaultParagraphFont"/>
    <w:uiPriority w:val="99"/>
    <w:unhideWhenUsed/>
    <w:rsid w:val="00DF4B7C"/>
    <w:rPr>
      <w:color w:val="2B579A"/>
      <w:shd w:val="clear" w:color="auto" w:fill="E1DFDD"/>
    </w:rPr>
  </w:style>
  <w:style w:type="paragraph" w:customStyle="1" w:styleId="Languesfaisantfoi">
    <w:name w:val="Langues faisant foi"/>
    <w:basedOn w:val="Normal"/>
    <w:next w:val="Normal"/>
    <w:rsid w:val="00494DC7"/>
    <w:pPr>
      <w:spacing w:before="360" w:after="240" w:line="240" w:lineRule="auto"/>
      <w:jc w:val="center"/>
    </w:pPr>
    <w:rPr>
      <w:rFonts w:cs="Times New Roman"/>
    </w:rPr>
  </w:style>
  <w:style w:type="paragraph" w:customStyle="1" w:styleId="LanguesfaisantfoiPagedecouverture">
    <w:name w:val="Langues faisant foi (Page de couverture)"/>
    <w:basedOn w:val="Normal"/>
    <w:next w:val="Normal"/>
    <w:rsid w:val="00494DC7"/>
    <w:pPr>
      <w:spacing w:before="360" w:after="240" w:line="240" w:lineRule="auto"/>
      <w:jc w:val="center"/>
    </w:pPr>
    <w:rPr>
      <w:rFonts w:cs="Times New Roman"/>
    </w:rPr>
  </w:style>
  <w:style w:type="paragraph" w:customStyle="1" w:styleId="IntrtEEE">
    <w:name w:val="Intérêt EEE"/>
    <w:basedOn w:val="Languesfaisantfoi"/>
    <w:next w:val="Normal"/>
    <w:rsid w:val="00494DC7"/>
    <w:pPr>
      <w:spacing w:after="0"/>
    </w:pPr>
  </w:style>
  <w:style w:type="paragraph" w:customStyle="1" w:styleId="IntrtEEEPagedecouverture">
    <w:name w:val="Intérêt EEE (Page de couverture)"/>
    <w:basedOn w:val="IntrtEEE"/>
    <w:next w:val="Normal"/>
    <w:rsid w:val="00494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2536">
      <w:bodyDiv w:val="1"/>
      <w:marLeft w:val="0"/>
      <w:marRight w:val="0"/>
      <w:marTop w:val="0"/>
      <w:marBottom w:val="0"/>
      <w:divBdr>
        <w:top w:val="none" w:sz="0" w:space="0" w:color="auto"/>
        <w:left w:val="none" w:sz="0" w:space="0" w:color="auto"/>
        <w:bottom w:val="none" w:sz="0" w:space="0" w:color="auto"/>
        <w:right w:val="none" w:sz="0" w:space="0" w:color="auto"/>
      </w:divBdr>
      <w:divsChild>
        <w:div w:id="280963178">
          <w:marLeft w:val="0"/>
          <w:marRight w:val="0"/>
          <w:marTop w:val="0"/>
          <w:marBottom w:val="0"/>
          <w:divBdr>
            <w:top w:val="none" w:sz="0" w:space="0" w:color="auto"/>
            <w:left w:val="none" w:sz="0" w:space="0" w:color="auto"/>
            <w:bottom w:val="none" w:sz="0" w:space="0" w:color="auto"/>
            <w:right w:val="none" w:sz="0" w:space="0" w:color="auto"/>
          </w:divBdr>
          <w:divsChild>
            <w:div w:id="596602164">
              <w:marLeft w:val="0"/>
              <w:marRight w:val="0"/>
              <w:marTop w:val="0"/>
              <w:marBottom w:val="0"/>
              <w:divBdr>
                <w:top w:val="none" w:sz="0" w:space="0" w:color="auto"/>
                <w:left w:val="none" w:sz="0" w:space="0" w:color="auto"/>
                <w:bottom w:val="none" w:sz="0" w:space="0" w:color="auto"/>
                <w:right w:val="none" w:sz="0" w:space="0" w:color="auto"/>
              </w:divBdr>
              <w:divsChild>
                <w:div w:id="194126057">
                  <w:marLeft w:val="0"/>
                  <w:marRight w:val="0"/>
                  <w:marTop w:val="0"/>
                  <w:marBottom w:val="0"/>
                  <w:divBdr>
                    <w:top w:val="none" w:sz="0" w:space="0" w:color="auto"/>
                    <w:left w:val="none" w:sz="0" w:space="0" w:color="auto"/>
                    <w:bottom w:val="none" w:sz="0" w:space="0" w:color="auto"/>
                    <w:right w:val="none" w:sz="0" w:space="0" w:color="auto"/>
                  </w:divBdr>
                  <w:divsChild>
                    <w:div w:id="1110245436">
                      <w:marLeft w:val="0"/>
                      <w:marRight w:val="0"/>
                      <w:marTop w:val="0"/>
                      <w:marBottom w:val="0"/>
                      <w:divBdr>
                        <w:top w:val="none" w:sz="0" w:space="0" w:color="auto"/>
                        <w:left w:val="none" w:sz="0" w:space="0" w:color="auto"/>
                        <w:bottom w:val="none" w:sz="0" w:space="0" w:color="auto"/>
                        <w:right w:val="none" w:sz="0" w:space="0" w:color="auto"/>
                      </w:divBdr>
                      <w:divsChild>
                        <w:div w:id="1038897399">
                          <w:marLeft w:val="0"/>
                          <w:marRight w:val="0"/>
                          <w:marTop w:val="0"/>
                          <w:marBottom w:val="0"/>
                          <w:divBdr>
                            <w:top w:val="none" w:sz="0" w:space="0" w:color="auto"/>
                            <w:left w:val="none" w:sz="0" w:space="0" w:color="auto"/>
                            <w:bottom w:val="none" w:sz="0" w:space="0" w:color="auto"/>
                            <w:right w:val="none" w:sz="0" w:space="0" w:color="auto"/>
                          </w:divBdr>
                          <w:divsChild>
                            <w:div w:id="418411640">
                              <w:marLeft w:val="0"/>
                              <w:marRight w:val="0"/>
                              <w:marTop w:val="0"/>
                              <w:marBottom w:val="0"/>
                              <w:divBdr>
                                <w:top w:val="none" w:sz="0" w:space="0" w:color="auto"/>
                                <w:left w:val="none" w:sz="0" w:space="0" w:color="auto"/>
                                <w:bottom w:val="none" w:sz="0" w:space="0" w:color="auto"/>
                                <w:right w:val="none" w:sz="0" w:space="0" w:color="auto"/>
                              </w:divBdr>
                              <w:divsChild>
                                <w:div w:id="783579842">
                                  <w:marLeft w:val="0"/>
                                  <w:marRight w:val="0"/>
                                  <w:marTop w:val="0"/>
                                  <w:marBottom w:val="0"/>
                                  <w:divBdr>
                                    <w:top w:val="none" w:sz="0" w:space="0" w:color="auto"/>
                                    <w:left w:val="none" w:sz="0" w:space="0" w:color="auto"/>
                                    <w:bottom w:val="none" w:sz="0" w:space="0" w:color="auto"/>
                                    <w:right w:val="none" w:sz="0" w:space="0" w:color="auto"/>
                                  </w:divBdr>
                                  <w:divsChild>
                                    <w:div w:id="1033265013">
                                      <w:marLeft w:val="0"/>
                                      <w:marRight w:val="0"/>
                                      <w:marTop w:val="0"/>
                                      <w:marBottom w:val="0"/>
                                      <w:divBdr>
                                        <w:top w:val="none" w:sz="0" w:space="0" w:color="auto"/>
                                        <w:left w:val="none" w:sz="0" w:space="0" w:color="auto"/>
                                        <w:bottom w:val="none" w:sz="0" w:space="0" w:color="auto"/>
                                        <w:right w:val="none" w:sz="0" w:space="0" w:color="auto"/>
                                      </w:divBdr>
                                      <w:divsChild>
                                        <w:div w:id="144705401">
                                          <w:marLeft w:val="0"/>
                                          <w:marRight w:val="0"/>
                                          <w:marTop w:val="0"/>
                                          <w:marBottom w:val="0"/>
                                          <w:divBdr>
                                            <w:top w:val="none" w:sz="0" w:space="0" w:color="auto"/>
                                            <w:left w:val="none" w:sz="0" w:space="0" w:color="auto"/>
                                            <w:bottom w:val="none" w:sz="0" w:space="0" w:color="auto"/>
                                            <w:right w:val="none" w:sz="0" w:space="0" w:color="auto"/>
                                          </w:divBdr>
                                          <w:divsChild>
                                            <w:div w:id="89844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490167">
                                  <w:marLeft w:val="0"/>
                                  <w:marRight w:val="0"/>
                                  <w:marTop w:val="0"/>
                                  <w:marBottom w:val="0"/>
                                  <w:divBdr>
                                    <w:top w:val="none" w:sz="0" w:space="0" w:color="auto"/>
                                    <w:left w:val="none" w:sz="0" w:space="0" w:color="auto"/>
                                    <w:bottom w:val="none" w:sz="0" w:space="0" w:color="auto"/>
                                    <w:right w:val="none" w:sz="0" w:space="0" w:color="auto"/>
                                  </w:divBdr>
                                  <w:divsChild>
                                    <w:div w:id="56337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241654">
          <w:marLeft w:val="0"/>
          <w:marRight w:val="0"/>
          <w:marTop w:val="0"/>
          <w:marBottom w:val="0"/>
          <w:divBdr>
            <w:top w:val="none" w:sz="0" w:space="0" w:color="auto"/>
            <w:left w:val="none" w:sz="0" w:space="0" w:color="auto"/>
            <w:bottom w:val="none" w:sz="0" w:space="0" w:color="auto"/>
            <w:right w:val="none" w:sz="0" w:space="0" w:color="auto"/>
          </w:divBdr>
          <w:divsChild>
            <w:div w:id="520820222">
              <w:marLeft w:val="0"/>
              <w:marRight w:val="0"/>
              <w:marTop w:val="0"/>
              <w:marBottom w:val="0"/>
              <w:divBdr>
                <w:top w:val="none" w:sz="0" w:space="0" w:color="auto"/>
                <w:left w:val="none" w:sz="0" w:space="0" w:color="auto"/>
                <w:bottom w:val="none" w:sz="0" w:space="0" w:color="auto"/>
                <w:right w:val="none" w:sz="0" w:space="0" w:color="auto"/>
              </w:divBdr>
              <w:divsChild>
                <w:div w:id="1704746682">
                  <w:marLeft w:val="0"/>
                  <w:marRight w:val="0"/>
                  <w:marTop w:val="0"/>
                  <w:marBottom w:val="0"/>
                  <w:divBdr>
                    <w:top w:val="none" w:sz="0" w:space="0" w:color="auto"/>
                    <w:left w:val="none" w:sz="0" w:space="0" w:color="auto"/>
                    <w:bottom w:val="none" w:sz="0" w:space="0" w:color="auto"/>
                    <w:right w:val="none" w:sz="0" w:space="0" w:color="auto"/>
                  </w:divBdr>
                  <w:divsChild>
                    <w:div w:id="586111442">
                      <w:marLeft w:val="0"/>
                      <w:marRight w:val="0"/>
                      <w:marTop w:val="0"/>
                      <w:marBottom w:val="0"/>
                      <w:divBdr>
                        <w:top w:val="none" w:sz="0" w:space="0" w:color="auto"/>
                        <w:left w:val="none" w:sz="0" w:space="0" w:color="auto"/>
                        <w:bottom w:val="none" w:sz="0" w:space="0" w:color="auto"/>
                        <w:right w:val="none" w:sz="0" w:space="0" w:color="auto"/>
                      </w:divBdr>
                      <w:divsChild>
                        <w:div w:id="1528134612">
                          <w:marLeft w:val="0"/>
                          <w:marRight w:val="0"/>
                          <w:marTop w:val="0"/>
                          <w:marBottom w:val="0"/>
                          <w:divBdr>
                            <w:top w:val="none" w:sz="0" w:space="0" w:color="auto"/>
                            <w:left w:val="none" w:sz="0" w:space="0" w:color="auto"/>
                            <w:bottom w:val="none" w:sz="0" w:space="0" w:color="auto"/>
                            <w:right w:val="none" w:sz="0" w:space="0" w:color="auto"/>
                          </w:divBdr>
                          <w:divsChild>
                            <w:div w:id="1058281596">
                              <w:marLeft w:val="0"/>
                              <w:marRight w:val="0"/>
                              <w:marTop w:val="0"/>
                              <w:marBottom w:val="0"/>
                              <w:divBdr>
                                <w:top w:val="none" w:sz="0" w:space="0" w:color="auto"/>
                                <w:left w:val="none" w:sz="0" w:space="0" w:color="auto"/>
                                <w:bottom w:val="none" w:sz="0" w:space="0" w:color="auto"/>
                                <w:right w:val="none" w:sz="0" w:space="0" w:color="auto"/>
                              </w:divBdr>
                              <w:divsChild>
                                <w:div w:id="1296645433">
                                  <w:marLeft w:val="0"/>
                                  <w:marRight w:val="0"/>
                                  <w:marTop w:val="0"/>
                                  <w:marBottom w:val="0"/>
                                  <w:divBdr>
                                    <w:top w:val="none" w:sz="0" w:space="0" w:color="auto"/>
                                    <w:left w:val="none" w:sz="0" w:space="0" w:color="auto"/>
                                    <w:bottom w:val="none" w:sz="0" w:space="0" w:color="auto"/>
                                    <w:right w:val="none" w:sz="0" w:space="0" w:color="auto"/>
                                  </w:divBdr>
                                  <w:divsChild>
                                    <w:div w:id="632440589">
                                      <w:marLeft w:val="0"/>
                                      <w:marRight w:val="0"/>
                                      <w:marTop w:val="0"/>
                                      <w:marBottom w:val="0"/>
                                      <w:divBdr>
                                        <w:top w:val="none" w:sz="0" w:space="0" w:color="auto"/>
                                        <w:left w:val="none" w:sz="0" w:space="0" w:color="auto"/>
                                        <w:bottom w:val="none" w:sz="0" w:space="0" w:color="auto"/>
                                        <w:right w:val="none" w:sz="0" w:space="0" w:color="auto"/>
                                      </w:divBdr>
                                      <w:divsChild>
                                        <w:div w:id="707724863">
                                          <w:marLeft w:val="0"/>
                                          <w:marRight w:val="0"/>
                                          <w:marTop w:val="0"/>
                                          <w:marBottom w:val="0"/>
                                          <w:divBdr>
                                            <w:top w:val="none" w:sz="0" w:space="0" w:color="auto"/>
                                            <w:left w:val="none" w:sz="0" w:space="0" w:color="auto"/>
                                            <w:bottom w:val="none" w:sz="0" w:space="0" w:color="auto"/>
                                            <w:right w:val="none" w:sz="0" w:space="0" w:color="auto"/>
                                          </w:divBdr>
                                          <w:divsChild>
                                            <w:div w:id="691227898">
                                              <w:marLeft w:val="0"/>
                                              <w:marRight w:val="0"/>
                                              <w:marTop w:val="0"/>
                                              <w:marBottom w:val="0"/>
                                              <w:divBdr>
                                                <w:top w:val="none" w:sz="0" w:space="0" w:color="auto"/>
                                                <w:left w:val="none" w:sz="0" w:space="0" w:color="auto"/>
                                                <w:bottom w:val="none" w:sz="0" w:space="0" w:color="auto"/>
                                                <w:right w:val="none" w:sz="0" w:space="0" w:color="auto"/>
                                              </w:divBdr>
                                              <w:divsChild>
                                                <w:div w:id="24800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57636">
      <w:bodyDiv w:val="1"/>
      <w:marLeft w:val="0"/>
      <w:marRight w:val="0"/>
      <w:marTop w:val="0"/>
      <w:marBottom w:val="0"/>
      <w:divBdr>
        <w:top w:val="none" w:sz="0" w:space="0" w:color="auto"/>
        <w:left w:val="none" w:sz="0" w:space="0" w:color="auto"/>
        <w:bottom w:val="none" w:sz="0" w:space="0" w:color="auto"/>
        <w:right w:val="none" w:sz="0" w:space="0" w:color="auto"/>
      </w:divBdr>
    </w:div>
    <w:div w:id="16738874">
      <w:bodyDiv w:val="1"/>
      <w:marLeft w:val="0"/>
      <w:marRight w:val="0"/>
      <w:marTop w:val="0"/>
      <w:marBottom w:val="0"/>
      <w:divBdr>
        <w:top w:val="none" w:sz="0" w:space="0" w:color="auto"/>
        <w:left w:val="none" w:sz="0" w:space="0" w:color="auto"/>
        <w:bottom w:val="none" w:sz="0" w:space="0" w:color="auto"/>
        <w:right w:val="none" w:sz="0" w:space="0" w:color="auto"/>
      </w:divBdr>
    </w:div>
    <w:div w:id="23292104">
      <w:bodyDiv w:val="1"/>
      <w:marLeft w:val="0"/>
      <w:marRight w:val="0"/>
      <w:marTop w:val="0"/>
      <w:marBottom w:val="0"/>
      <w:divBdr>
        <w:top w:val="none" w:sz="0" w:space="0" w:color="auto"/>
        <w:left w:val="none" w:sz="0" w:space="0" w:color="auto"/>
        <w:bottom w:val="none" w:sz="0" w:space="0" w:color="auto"/>
        <w:right w:val="none" w:sz="0" w:space="0" w:color="auto"/>
      </w:divBdr>
    </w:div>
    <w:div w:id="29495440">
      <w:bodyDiv w:val="1"/>
      <w:marLeft w:val="0"/>
      <w:marRight w:val="0"/>
      <w:marTop w:val="0"/>
      <w:marBottom w:val="0"/>
      <w:divBdr>
        <w:top w:val="none" w:sz="0" w:space="0" w:color="auto"/>
        <w:left w:val="none" w:sz="0" w:space="0" w:color="auto"/>
        <w:bottom w:val="none" w:sz="0" w:space="0" w:color="auto"/>
        <w:right w:val="none" w:sz="0" w:space="0" w:color="auto"/>
      </w:divBdr>
    </w:div>
    <w:div w:id="35276483">
      <w:bodyDiv w:val="1"/>
      <w:marLeft w:val="0"/>
      <w:marRight w:val="0"/>
      <w:marTop w:val="0"/>
      <w:marBottom w:val="0"/>
      <w:divBdr>
        <w:top w:val="none" w:sz="0" w:space="0" w:color="auto"/>
        <w:left w:val="none" w:sz="0" w:space="0" w:color="auto"/>
        <w:bottom w:val="none" w:sz="0" w:space="0" w:color="auto"/>
        <w:right w:val="none" w:sz="0" w:space="0" w:color="auto"/>
      </w:divBdr>
    </w:div>
    <w:div w:id="35474225">
      <w:bodyDiv w:val="1"/>
      <w:marLeft w:val="0"/>
      <w:marRight w:val="0"/>
      <w:marTop w:val="0"/>
      <w:marBottom w:val="0"/>
      <w:divBdr>
        <w:top w:val="none" w:sz="0" w:space="0" w:color="auto"/>
        <w:left w:val="none" w:sz="0" w:space="0" w:color="auto"/>
        <w:bottom w:val="none" w:sz="0" w:space="0" w:color="auto"/>
        <w:right w:val="none" w:sz="0" w:space="0" w:color="auto"/>
      </w:divBdr>
    </w:div>
    <w:div w:id="35854998">
      <w:bodyDiv w:val="1"/>
      <w:marLeft w:val="0"/>
      <w:marRight w:val="0"/>
      <w:marTop w:val="0"/>
      <w:marBottom w:val="0"/>
      <w:divBdr>
        <w:top w:val="none" w:sz="0" w:space="0" w:color="auto"/>
        <w:left w:val="none" w:sz="0" w:space="0" w:color="auto"/>
        <w:bottom w:val="none" w:sz="0" w:space="0" w:color="auto"/>
        <w:right w:val="none" w:sz="0" w:space="0" w:color="auto"/>
      </w:divBdr>
    </w:div>
    <w:div w:id="39743472">
      <w:bodyDiv w:val="1"/>
      <w:marLeft w:val="0"/>
      <w:marRight w:val="0"/>
      <w:marTop w:val="0"/>
      <w:marBottom w:val="0"/>
      <w:divBdr>
        <w:top w:val="none" w:sz="0" w:space="0" w:color="auto"/>
        <w:left w:val="none" w:sz="0" w:space="0" w:color="auto"/>
        <w:bottom w:val="none" w:sz="0" w:space="0" w:color="auto"/>
        <w:right w:val="none" w:sz="0" w:space="0" w:color="auto"/>
      </w:divBdr>
    </w:div>
    <w:div w:id="50273838">
      <w:bodyDiv w:val="1"/>
      <w:marLeft w:val="0"/>
      <w:marRight w:val="0"/>
      <w:marTop w:val="0"/>
      <w:marBottom w:val="0"/>
      <w:divBdr>
        <w:top w:val="none" w:sz="0" w:space="0" w:color="auto"/>
        <w:left w:val="none" w:sz="0" w:space="0" w:color="auto"/>
        <w:bottom w:val="none" w:sz="0" w:space="0" w:color="auto"/>
        <w:right w:val="none" w:sz="0" w:space="0" w:color="auto"/>
      </w:divBdr>
    </w:div>
    <w:div w:id="56175118">
      <w:bodyDiv w:val="1"/>
      <w:marLeft w:val="0"/>
      <w:marRight w:val="0"/>
      <w:marTop w:val="0"/>
      <w:marBottom w:val="0"/>
      <w:divBdr>
        <w:top w:val="none" w:sz="0" w:space="0" w:color="auto"/>
        <w:left w:val="none" w:sz="0" w:space="0" w:color="auto"/>
        <w:bottom w:val="none" w:sz="0" w:space="0" w:color="auto"/>
        <w:right w:val="none" w:sz="0" w:space="0" w:color="auto"/>
      </w:divBdr>
    </w:div>
    <w:div w:id="56822845">
      <w:bodyDiv w:val="1"/>
      <w:marLeft w:val="0"/>
      <w:marRight w:val="0"/>
      <w:marTop w:val="0"/>
      <w:marBottom w:val="0"/>
      <w:divBdr>
        <w:top w:val="none" w:sz="0" w:space="0" w:color="auto"/>
        <w:left w:val="none" w:sz="0" w:space="0" w:color="auto"/>
        <w:bottom w:val="none" w:sz="0" w:space="0" w:color="auto"/>
        <w:right w:val="none" w:sz="0" w:space="0" w:color="auto"/>
      </w:divBdr>
    </w:div>
    <w:div w:id="63259803">
      <w:bodyDiv w:val="1"/>
      <w:marLeft w:val="0"/>
      <w:marRight w:val="0"/>
      <w:marTop w:val="0"/>
      <w:marBottom w:val="0"/>
      <w:divBdr>
        <w:top w:val="none" w:sz="0" w:space="0" w:color="auto"/>
        <w:left w:val="none" w:sz="0" w:space="0" w:color="auto"/>
        <w:bottom w:val="none" w:sz="0" w:space="0" w:color="auto"/>
        <w:right w:val="none" w:sz="0" w:space="0" w:color="auto"/>
      </w:divBdr>
    </w:div>
    <w:div w:id="71199651">
      <w:bodyDiv w:val="1"/>
      <w:marLeft w:val="0"/>
      <w:marRight w:val="0"/>
      <w:marTop w:val="0"/>
      <w:marBottom w:val="0"/>
      <w:divBdr>
        <w:top w:val="none" w:sz="0" w:space="0" w:color="auto"/>
        <w:left w:val="none" w:sz="0" w:space="0" w:color="auto"/>
        <w:bottom w:val="none" w:sz="0" w:space="0" w:color="auto"/>
        <w:right w:val="none" w:sz="0" w:space="0" w:color="auto"/>
      </w:divBdr>
    </w:div>
    <w:div w:id="71975084">
      <w:bodyDiv w:val="1"/>
      <w:marLeft w:val="0"/>
      <w:marRight w:val="0"/>
      <w:marTop w:val="0"/>
      <w:marBottom w:val="0"/>
      <w:divBdr>
        <w:top w:val="none" w:sz="0" w:space="0" w:color="auto"/>
        <w:left w:val="none" w:sz="0" w:space="0" w:color="auto"/>
        <w:bottom w:val="none" w:sz="0" w:space="0" w:color="auto"/>
        <w:right w:val="none" w:sz="0" w:space="0" w:color="auto"/>
      </w:divBdr>
      <w:divsChild>
        <w:div w:id="458573572">
          <w:marLeft w:val="0"/>
          <w:marRight w:val="0"/>
          <w:marTop w:val="0"/>
          <w:marBottom w:val="0"/>
          <w:divBdr>
            <w:top w:val="none" w:sz="0" w:space="0" w:color="auto"/>
            <w:left w:val="none" w:sz="0" w:space="0" w:color="auto"/>
            <w:bottom w:val="none" w:sz="0" w:space="0" w:color="auto"/>
            <w:right w:val="none" w:sz="0" w:space="0" w:color="auto"/>
          </w:divBdr>
          <w:divsChild>
            <w:div w:id="671638796">
              <w:marLeft w:val="0"/>
              <w:marRight w:val="0"/>
              <w:marTop w:val="0"/>
              <w:marBottom w:val="0"/>
              <w:divBdr>
                <w:top w:val="none" w:sz="0" w:space="0" w:color="auto"/>
                <w:left w:val="none" w:sz="0" w:space="0" w:color="auto"/>
                <w:bottom w:val="none" w:sz="0" w:space="0" w:color="auto"/>
                <w:right w:val="none" w:sz="0" w:space="0" w:color="auto"/>
              </w:divBdr>
              <w:divsChild>
                <w:div w:id="1876238239">
                  <w:marLeft w:val="0"/>
                  <w:marRight w:val="0"/>
                  <w:marTop w:val="0"/>
                  <w:marBottom w:val="0"/>
                  <w:divBdr>
                    <w:top w:val="none" w:sz="0" w:space="0" w:color="auto"/>
                    <w:left w:val="none" w:sz="0" w:space="0" w:color="auto"/>
                    <w:bottom w:val="none" w:sz="0" w:space="0" w:color="auto"/>
                    <w:right w:val="none" w:sz="0" w:space="0" w:color="auto"/>
                  </w:divBdr>
                  <w:divsChild>
                    <w:div w:id="301498176">
                      <w:marLeft w:val="0"/>
                      <w:marRight w:val="0"/>
                      <w:marTop w:val="0"/>
                      <w:marBottom w:val="0"/>
                      <w:divBdr>
                        <w:top w:val="none" w:sz="0" w:space="0" w:color="auto"/>
                        <w:left w:val="none" w:sz="0" w:space="0" w:color="auto"/>
                        <w:bottom w:val="none" w:sz="0" w:space="0" w:color="auto"/>
                        <w:right w:val="none" w:sz="0" w:space="0" w:color="auto"/>
                      </w:divBdr>
                      <w:divsChild>
                        <w:div w:id="214461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163930">
      <w:bodyDiv w:val="1"/>
      <w:marLeft w:val="0"/>
      <w:marRight w:val="0"/>
      <w:marTop w:val="0"/>
      <w:marBottom w:val="0"/>
      <w:divBdr>
        <w:top w:val="none" w:sz="0" w:space="0" w:color="auto"/>
        <w:left w:val="none" w:sz="0" w:space="0" w:color="auto"/>
        <w:bottom w:val="none" w:sz="0" w:space="0" w:color="auto"/>
        <w:right w:val="none" w:sz="0" w:space="0" w:color="auto"/>
      </w:divBdr>
    </w:div>
    <w:div w:id="75369004">
      <w:bodyDiv w:val="1"/>
      <w:marLeft w:val="0"/>
      <w:marRight w:val="0"/>
      <w:marTop w:val="0"/>
      <w:marBottom w:val="0"/>
      <w:divBdr>
        <w:top w:val="none" w:sz="0" w:space="0" w:color="auto"/>
        <w:left w:val="none" w:sz="0" w:space="0" w:color="auto"/>
        <w:bottom w:val="none" w:sz="0" w:space="0" w:color="auto"/>
        <w:right w:val="none" w:sz="0" w:space="0" w:color="auto"/>
      </w:divBdr>
    </w:div>
    <w:div w:id="92019128">
      <w:bodyDiv w:val="1"/>
      <w:marLeft w:val="0"/>
      <w:marRight w:val="0"/>
      <w:marTop w:val="0"/>
      <w:marBottom w:val="0"/>
      <w:divBdr>
        <w:top w:val="none" w:sz="0" w:space="0" w:color="auto"/>
        <w:left w:val="none" w:sz="0" w:space="0" w:color="auto"/>
        <w:bottom w:val="none" w:sz="0" w:space="0" w:color="auto"/>
        <w:right w:val="none" w:sz="0" w:space="0" w:color="auto"/>
      </w:divBdr>
    </w:div>
    <w:div w:id="106507963">
      <w:bodyDiv w:val="1"/>
      <w:marLeft w:val="0"/>
      <w:marRight w:val="0"/>
      <w:marTop w:val="0"/>
      <w:marBottom w:val="0"/>
      <w:divBdr>
        <w:top w:val="none" w:sz="0" w:space="0" w:color="auto"/>
        <w:left w:val="none" w:sz="0" w:space="0" w:color="auto"/>
        <w:bottom w:val="none" w:sz="0" w:space="0" w:color="auto"/>
        <w:right w:val="none" w:sz="0" w:space="0" w:color="auto"/>
      </w:divBdr>
    </w:div>
    <w:div w:id="109126966">
      <w:bodyDiv w:val="1"/>
      <w:marLeft w:val="0"/>
      <w:marRight w:val="0"/>
      <w:marTop w:val="0"/>
      <w:marBottom w:val="0"/>
      <w:divBdr>
        <w:top w:val="none" w:sz="0" w:space="0" w:color="auto"/>
        <w:left w:val="none" w:sz="0" w:space="0" w:color="auto"/>
        <w:bottom w:val="none" w:sz="0" w:space="0" w:color="auto"/>
        <w:right w:val="none" w:sz="0" w:space="0" w:color="auto"/>
      </w:divBdr>
    </w:div>
    <w:div w:id="111629392">
      <w:bodyDiv w:val="1"/>
      <w:marLeft w:val="0"/>
      <w:marRight w:val="0"/>
      <w:marTop w:val="0"/>
      <w:marBottom w:val="0"/>
      <w:divBdr>
        <w:top w:val="none" w:sz="0" w:space="0" w:color="auto"/>
        <w:left w:val="none" w:sz="0" w:space="0" w:color="auto"/>
        <w:bottom w:val="none" w:sz="0" w:space="0" w:color="auto"/>
        <w:right w:val="none" w:sz="0" w:space="0" w:color="auto"/>
      </w:divBdr>
    </w:div>
    <w:div w:id="115410431">
      <w:bodyDiv w:val="1"/>
      <w:marLeft w:val="0"/>
      <w:marRight w:val="0"/>
      <w:marTop w:val="0"/>
      <w:marBottom w:val="0"/>
      <w:divBdr>
        <w:top w:val="none" w:sz="0" w:space="0" w:color="auto"/>
        <w:left w:val="none" w:sz="0" w:space="0" w:color="auto"/>
        <w:bottom w:val="none" w:sz="0" w:space="0" w:color="auto"/>
        <w:right w:val="none" w:sz="0" w:space="0" w:color="auto"/>
      </w:divBdr>
      <w:divsChild>
        <w:div w:id="230775129">
          <w:marLeft w:val="0"/>
          <w:marRight w:val="0"/>
          <w:marTop w:val="0"/>
          <w:marBottom w:val="0"/>
          <w:divBdr>
            <w:top w:val="none" w:sz="0" w:space="0" w:color="auto"/>
            <w:left w:val="none" w:sz="0" w:space="0" w:color="auto"/>
            <w:bottom w:val="none" w:sz="0" w:space="0" w:color="auto"/>
            <w:right w:val="none" w:sz="0" w:space="0" w:color="auto"/>
          </w:divBdr>
          <w:divsChild>
            <w:div w:id="2027705951">
              <w:marLeft w:val="0"/>
              <w:marRight w:val="0"/>
              <w:marTop w:val="0"/>
              <w:marBottom w:val="0"/>
              <w:divBdr>
                <w:top w:val="none" w:sz="0" w:space="0" w:color="auto"/>
                <w:left w:val="none" w:sz="0" w:space="0" w:color="auto"/>
                <w:bottom w:val="none" w:sz="0" w:space="0" w:color="auto"/>
                <w:right w:val="none" w:sz="0" w:space="0" w:color="auto"/>
              </w:divBdr>
              <w:divsChild>
                <w:div w:id="756826887">
                  <w:marLeft w:val="0"/>
                  <w:marRight w:val="0"/>
                  <w:marTop w:val="0"/>
                  <w:marBottom w:val="0"/>
                  <w:divBdr>
                    <w:top w:val="none" w:sz="0" w:space="0" w:color="auto"/>
                    <w:left w:val="none" w:sz="0" w:space="0" w:color="auto"/>
                    <w:bottom w:val="none" w:sz="0" w:space="0" w:color="auto"/>
                    <w:right w:val="none" w:sz="0" w:space="0" w:color="auto"/>
                  </w:divBdr>
                  <w:divsChild>
                    <w:div w:id="1722558615">
                      <w:marLeft w:val="0"/>
                      <w:marRight w:val="0"/>
                      <w:marTop w:val="0"/>
                      <w:marBottom w:val="0"/>
                      <w:divBdr>
                        <w:top w:val="none" w:sz="0" w:space="0" w:color="auto"/>
                        <w:left w:val="none" w:sz="0" w:space="0" w:color="auto"/>
                        <w:bottom w:val="none" w:sz="0" w:space="0" w:color="auto"/>
                        <w:right w:val="none" w:sz="0" w:space="0" w:color="auto"/>
                      </w:divBdr>
                      <w:divsChild>
                        <w:div w:id="6165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958981">
          <w:marLeft w:val="0"/>
          <w:marRight w:val="0"/>
          <w:marTop w:val="0"/>
          <w:marBottom w:val="0"/>
          <w:divBdr>
            <w:top w:val="none" w:sz="0" w:space="0" w:color="auto"/>
            <w:left w:val="none" w:sz="0" w:space="0" w:color="auto"/>
            <w:bottom w:val="none" w:sz="0" w:space="0" w:color="auto"/>
            <w:right w:val="none" w:sz="0" w:space="0" w:color="auto"/>
          </w:divBdr>
          <w:divsChild>
            <w:div w:id="659624778">
              <w:marLeft w:val="0"/>
              <w:marRight w:val="0"/>
              <w:marTop w:val="0"/>
              <w:marBottom w:val="0"/>
              <w:divBdr>
                <w:top w:val="none" w:sz="0" w:space="0" w:color="auto"/>
                <w:left w:val="none" w:sz="0" w:space="0" w:color="auto"/>
                <w:bottom w:val="none" w:sz="0" w:space="0" w:color="auto"/>
                <w:right w:val="none" w:sz="0" w:space="0" w:color="auto"/>
              </w:divBdr>
              <w:divsChild>
                <w:div w:id="10163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88963">
      <w:bodyDiv w:val="1"/>
      <w:marLeft w:val="0"/>
      <w:marRight w:val="0"/>
      <w:marTop w:val="0"/>
      <w:marBottom w:val="0"/>
      <w:divBdr>
        <w:top w:val="none" w:sz="0" w:space="0" w:color="auto"/>
        <w:left w:val="none" w:sz="0" w:space="0" w:color="auto"/>
        <w:bottom w:val="none" w:sz="0" w:space="0" w:color="auto"/>
        <w:right w:val="none" w:sz="0" w:space="0" w:color="auto"/>
      </w:divBdr>
    </w:div>
    <w:div w:id="115611618">
      <w:bodyDiv w:val="1"/>
      <w:marLeft w:val="0"/>
      <w:marRight w:val="0"/>
      <w:marTop w:val="0"/>
      <w:marBottom w:val="0"/>
      <w:divBdr>
        <w:top w:val="none" w:sz="0" w:space="0" w:color="auto"/>
        <w:left w:val="none" w:sz="0" w:space="0" w:color="auto"/>
        <w:bottom w:val="none" w:sz="0" w:space="0" w:color="auto"/>
        <w:right w:val="none" w:sz="0" w:space="0" w:color="auto"/>
      </w:divBdr>
    </w:div>
    <w:div w:id="118500370">
      <w:bodyDiv w:val="1"/>
      <w:marLeft w:val="0"/>
      <w:marRight w:val="0"/>
      <w:marTop w:val="0"/>
      <w:marBottom w:val="0"/>
      <w:divBdr>
        <w:top w:val="none" w:sz="0" w:space="0" w:color="auto"/>
        <w:left w:val="none" w:sz="0" w:space="0" w:color="auto"/>
        <w:bottom w:val="none" w:sz="0" w:space="0" w:color="auto"/>
        <w:right w:val="none" w:sz="0" w:space="0" w:color="auto"/>
      </w:divBdr>
    </w:div>
    <w:div w:id="119690579">
      <w:bodyDiv w:val="1"/>
      <w:marLeft w:val="0"/>
      <w:marRight w:val="0"/>
      <w:marTop w:val="0"/>
      <w:marBottom w:val="0"/>
      <w:divBdr>
        <w:top w:val="none" w:sz="0" w:space="0" w:color="auto"/>
        <w:left w:val="none" w:sz="0" w:space="0" w:color="auto"/>
        <w:bottom w:val="none" w:sz="0" w:space="0" w:color="auto"/>
        <w:right w:val="none" w:sz="0" w:space="0" w:color="auto"/>
      </w:divBdr>
    </w:div>
    <w:div w:id="127165792">
      <w:bodyDiv w:val="1"/>
      <w:marLeft w:val="0"/>
      <w:marRight w:val="0"/>
      <w:marTop w:val="0"/>
      <w:marBottom w:val="0"/>
      <w:divBdr>
        <w:top w:val="none" w:sz="0" w:space="0" w:color="auto"/>
        <w:left w:val="none" w:sz="0" w:space="0" w:color="auto"/>
        <w:bottom w:val="none" w:sz="0" w:space="0" w:color="auto"/>
        <w:right w:val="none" w:sz="0" w:space="0" w:color="auto"/>
      </w:divBdr>
    </w:div>
    <w:div w:id="131677338">
      <w:bodyDiv w:val="1"/>
      <w:marLeft w:val="0"/>
      <w:marRight w:val="0"/>
      <w:marTop w:val="0"/>
      <w:marBottom w:val="0"/>
      <w:divBdr>
        <w:top w:val="none" w:sz="0" w:space="0" w:color="auto"/>
        <w:left w:val="none" w:sz="0" w:space="0" w:color="auto"/>
        <w:bottom w:val="none" w:sz="0" w:space="0" w:color="auto"/>
        <w:right w:val="none" w:sz="0" w:space="0" w:color="auto"/>
      </w:divBdr>
    </w:div>
    <w:div w:id="133371611">
      <w:bodyDiv w:val="1"/>
      <w:marLeft w:val="0"/>
      <w:marRight w:val="0"/>
      <w:marTop w:val="0"/>
      <w:marBottom w:val="0"/>
      <w:divBdr>
        <w:top w:val="none" w:sz="0" w:space="0" w:color="auto"/>
        <w:left w:val="none" w:sz="0" w:space="0" w:color="auto"/>
        <w:bottom w:val="none" w:sz="0" w:space="0" w:color="auto"/>
        <w:right w:val="none" w:sz="0" w:space="0" w:color="auto"/>
      </w:divBdr>
    </w:div>
    <w:div w:id="151483516">
      <w:bodyDiv w:val="1"/>
      <w:marLeft w:val="0"/>
      <w:marRight w:val="0"/>
      <w:marTop w:val="0"/>
      <w:marBottom w:val="0"/>
      <w:divBdr>
        <w:top w:val="none" w:sz="0" w:space="0" w:color="auto"/>
        <w:left w:val="none" w:sz="0" w:space="0" w:color="auto"/>
        <w:bottom w:val="none" w:sz="0" w:space="0" w:color="auto"/>
        <w:right w:val="none" w:sz="0" w:space="0" w:color="auto"/>
      </w:divBdr>
    </w:div>
    <w:div w:id="151989266">
      <w:bodyDiv w:val="1"/>
      <w:marLeft w:val="0"/>
      <w:marRight w:val="0"/>
      <w:marTop w:val="0"/>
      <w:marBottom w:val="0"/>
      <w:divBdr>
        <w:top w:val="none" w:sz="0" w:space="0" w:color="auto"/>
        <w:left w:val="none" w:sz="0" w:space="0" w:color="auto"/>
        <w:bottom w:val="none" w:sz="0" w:space="0" w:color="auto"/>
        <w:right w:val="none" w:sz="0" w:space="0" w:color="auto"/>
      </w:divBdr>
    </w:div>
    <w:div w:id="153225120">
      <w:bodyDiv w:val="1"/>
      <w:marLeft w:val="0"/>
      <w:marRight w:val="0"/>
      <w:marTop w:val="0"/>
      <w:marBottom w:val="0"/>
      <w:divBdr>
        <w:top w:val="none" w:sz="0" w:space="0" w:color="auto"/>
        <w:left w:val="none" w:sz="0" w:space="0" w:color="auto"/>
        <w:bottom w:val="none" w:sz="0" w:space="0" w:color="auto"/>
        <w:right w:val="none" w:sz="0" w:space="0" w:color="auto"/>
      </w:divBdr>
    </w:div>
    <w:div w:id="153227571">
      <w:bodyDiv w:val="1"/>
      <w:marLeft w:val="0"/>
      <w:marRight w:val="0"/>
      <w:marTop w:val="0"/>
      <w:marBottom w:val="0"/>
      <w:divBdr>
        <w:top w:val="none" w:sz="0" w:space="0" w:color="auto"/>
        <w:left w:val="none" w:sz="0" w:space="0" w:color="auto"/>
        <w:bottom w:val="none" w:sz="0" w:space="0" w:color="auto"/>
        <w:right w:val="none" w:sz="0" w:space="0" w:color="auto"/>
      </w:divBdr>
      <w:divsChild>
        <w:div w:id="774905975">
          <w:marLeft w:val="0"/>
          <w:marRight w:val="0"/>
          <w:marTop w:val="0"/>
          <w:marBottom w:val="0"/>
          <w:divBdr>
            <w:top w:val="none" w:sz="0" w:space="0" w:color="auto"/>
            <w:left w:val="none" w:sz="0" w:space="0" w:color="auto"/>
            <w:bottom w:val="none" w:sz="0" w:space="0" w:color="auto"/>
            <w:right w:val="none" w:sz="0" w:space="0" w:color="auto"/>
          </w:divBdr>
        </w:div>
      </w:divsChild>
    </w:div>
    <w:div w:id="154299409">
      <w:bodyDiv w:val="1"/>
      <w:marLeft w:val="0"/>
      <w:marRight w:val="0"/>
      <w:marTop w:val="0"/>
      <w:marBottom w:val="0"/>
      <w:divBdr>
        <w:top w:val="none" w:sz="0" w:space="0" w:color="auto"/>
        <w:left w:val="none" w:sz="0" w:space="0" w:color="auto"/>
        <w:bottom w:val="none" w:sz="0" w:space="0" w:color="auto"/>
        <w:right w:val="none" w:sz="0" w:space="0" w:color="auto"/>
      </w:divBdr>
    </w:div>
    <w:div w:id="154345357">
      <w:bodyDiv w:val="1"/>
      <w:marLeft w:val="0"/>
      <w:marRight w:val="0"/>
      <w:marTop w:val="0"/>
      <w:marBottom w:val="0"/>
      <w:divBdr>
        <w:top w:val="none" w:sz="0" w:space="0" w:color="auto"/>
        <w:left w:val="none" w:sz="0" w:space="0" w:color="auto"/>
        <w:bottom w:val="none" w:sz="0" w:space="0" w:color="auto"/>
        <w:right w:val="none" w:sz="0" w:space="0" w:color="auto"/>
      </w:divBdr>
    </w:div>
    <w:div w:id="159077311">
      <w:bodyDiv w:val="1"/>
      <w:marLeft w:val="0"/>
      <w:marRight w:val="0"/>
      <w:marTop w:val="0"/>
      <w:marBottom w:val="0"/>
      <w:divBdr>
        <w:top w:val="none" w:sz="0" w:space="0" w:color="auto"/>
        <w:left w:val="none" w:sz="0" w:space="0" w:color="auto"/>
        <w:bottom w:val="none" w:sz="0" w:space="0" w:color="auto"/>
        <w:right w:val="none" w:sz="0" w:space="0" w:color="auto"/>
      </w:divBdr>
    </w:div>
    <w:div w:id="159199017">
      <w:bodyDiv w:val="1"/>
      <w:marLeft w:val="0"/>
      <w:marRight w:val="0"/>
      <w:marTop w:val="0"/>
      <w:marBottom w:val="0"/>
      <w:divBdr>
        <w:top w:val="none" w:sz="0" w:space="0" w:color="auto"/>
        <w:left w:val="none" w:sz="0" w:space="0" w:color="auto"/>
        <w:bottom w:val="none" w:sz="0" w:space="0" w:color="auto"/>
        <w:right w:val="none" w:sz="0" w:space="0" w:color="auto"/>
      </w:divBdr>
    </w:div>
    <w:div w:id="160127764">
      <w:bodyDiv w:val="1"/>
      <w:marLeft w:val="0"/>
      <w:marRight w:val="0"/>
      <w:marTop w:val="0"/>
      <w:marBottom w:val="0"/>
      <w:divBdr>
        <w:top w:val="none" w:sz="0" w:space="0" w:color="auto"/>
        <w:left w:val="none" w:sz="0" w:space="0" w:color="auto"/>
        <w:bottom w:val="none" w:sz="0" w:space="0" w:color="auto"/>
        <w:right w:val="none" w:sz="0" w:space="0" w:color="auto"/>
      </w:divBdr>
    </w:div>
    <w:div w:id="161743633">
      <w:bodyDiv w:val="1"/>
      <w:marLeft w:val="0"/>
      <w:marRight w:val="0"/>
      <w:marTop w:val="0"/>
      <w:marBottom w:val="0"/>
      <w:divBdr>
        <w:top w:val="none" w:sz="0" w:space="0" w:color="auto"/>
        <w:left w:val="none" w:sz="0" w:space="0" w:color="auto"/>
        <w:bottom w:val="none" w:sz="0" w:space="0" w:color="auto"/>
        <w:right w:val="none" w:sz="0" w:space="0" w:color="auto"/>
      </w:divBdr>
    </w:div>
    <w:div w:id="171917572">
      <w:bodyDiv w:val="1"/>
      <w:marLeft w:val="0"/>
      <w:marRight w:val="0"/>
      <w:marTop w:val="0"/>
      <w:marBottom w:val="0"/>
      <w:divBdr>
        <w:top w:val="none" w:sz="0" w:space="0" w:color="auto"/>
        <w:left w:val="none" w:sz="0" w:space="0" w:color="auto"/>
        <w:bottom w:val="none" w:sz="0" w:space="0" w:color="auto"/>
        <w:right w:val="none" w:sz="0" w:space="0" w:color="auto"/>
      </w:divBdr>
    </w:div>
    <w:div w:id="178081558">
      <w:bodyDiv w:val="1"/>
      <w:marLeft w:val="0"/>
      <w:marRight w:val="0"/>
      <w:marTop w:val="0"/>
      <w:marBottom w:val="0"/>
      <w:divBdr>
        <w:top w:val="none" w:sz="0" w:space="0" w:color="auto"/>
        <w:left w:val="none" w:sz="0" w:space="0" w:color="auto"/>
        <w:bottom w:val="none" w:sz="0" w:space="0" w:color="auto"/>
        <w:right w:val="none" w:sz="0" w:space="0" w:color="auto"/>
      </w:divBdr>
    </w:div>
    <w:div w:id="196890621">
      <w:bodyDiv w:val="1"/>
      <w:marLeft w:val="0"/>
      <w:marRight w:val="0"/>
      <w:marTop w:val="0"/>
      <w:marBottom w:val="0"/>
      <w:divBdr>
        <w:top w:val="none" w:sz="0" w:space="0" w:color="auto"/>
        <w:left w:val="none" w:sz="0" w:space="0" w:color="auto"/>
        <w:bottom w:val="none" w:sz="0" w:space="0" w:color="auto"/>
        <w:right w:val="none" w:sz="0" w:space="0" w:color="auto"/>
      </w:divBdr>
    </w:div>
    <w:div w:id="204681534">
      <w:bodyDiv w:val="1"/>
      <w:marLeft w:val="0"/>
      <w:marRight w:val="0"/>
      <w:marTop w:val="0"/>
      <w:marBottom w:val="0"/>
      <w:divBdr>
        <w:top w:val="none" w:sz="0" w:space="0" w:color="auto"/>
        <w:left w:val="none" w:sz="0" w:space="0" w:color="auto"/>
        <w:bottom w:val="none" w:sz="0" w:space="0" w:color="auto"/>
        <w:right w:val="none" w:sz="0" w:space="0" w:color="auto"/>
      </w:divBdr>
    </w:div>
    <w:div w:id="225337097">
      <w:bodyDiv w:val="1"/>
      <w:marLeft w:val="0"/>
      <w:marRight w:val="0"/>
      <w:marTop w:val="0"/>
      <w:marBottom w:val="0"/>
      <w:divBdr>
        <w:top w:val="none" w:sz="0" w:space="0" w:color="auto"/>
        <w:left w:val="none" w:sz="0" w:space="0" w:color="auto"/>
        <w:bottom w:val="none" w:sz="0" w:space="0" w:color="auto"/>
        <w:right w:val="none" w:sz="0" w:space="0" w:color="auto"/>
      </w:divBdr>
    </w:div>
    <w:div w:id="238559743">
      <w:bodyDiv w:val="1"/>
      <w:marLeft w:val="0"/>
      <w:marRight w:val="0"/>
      <w:marTop w:val="0"/>
      <w:marBottom w:val="0"/>
      <w:divBdr>
        <w:top w:val="none" w:sz="0" w:space="0" w:color="auto"/>
        <w:left w:val="none" w:sz="0" w:space="0" w:color="auto"/>
        <w:bottom w:val="none" w:sz="0" w:space="0" w:color="auto"/>
        <w:right w:val="none" w:sz="0" w:space="0" w:color="auto"/>
      </w:divBdr>
    </w:div>
    <w:div w:id="239944431">
      <w:bodyDiv w:val="1"/>
      <w:marLeft w:val="0"/>
      <w:marRight w:val="0"/>
      <w:marTop w:val="0"/>
      <w:marBottom w:val="0"/>
      <w:divBdr>
        <w:top w:val="none" w:sz="0" w:space="0" w:color="auto"/>
        <w:left w:val="none" w:sz="0" w:space="0" w:color="auto"/>
        <w:bottom w:val="none" w:sz="0" w:space="0" w:color="auto"/>
        <w:right w:val="none" w:sz="0" w:space="0" w:color="auto"/>
      </w:divBdr>
      <w:divsChild>
        <w:div w:id="1770612743">
          <w:marLeft w:val="0"/>
          <w:marRight w:val="0"/>
          <w:marTop w:val="0"/>
          <w:marBottom w:val="0"/>
          <w:divBdr>
            <w:top w:val="none" w:sz="0" w:space="0" w:color="auto"/>
            <w:left w:val="none" w:sz="0" w:space="0" w:color="auto"/>
            <w:bottom w:val="none" w:sz="0" w:space="0" w:color="auto"/>
            <w:right w:val="none" w:sz="0" w:space="0" w:color="auto"/>
          </w:divBdr>
          <w:divsChild>
            <w:div w:id="1544749125">
              <w:marLeft w:val="0"/>
              <w:marRight w:val="0"/>
              <w:marTop w:val="0"/>
              <w:marBottom w:val="0"/>
              <w:divBdr>
                <w:top w:val="none" w:sz="0" w:space="0" w:color="auto"/>
                <w:left w:val="none" w:sz="0" w:space="0" w:color="auto"/>
                <w:bottom w:val="none" w:sz="0" w:space="0" w:color="auto"/>
                <w:right w:val="none" w:sz="0" w:space="0" w:color="auto"/>
              </w:divBdr>
              <w:divsChild>
                <w:div w:id="1217400355">
                  <w:marLeft w:val="0"/>
                  <w:marRight w:val="0"/>
                  <w:marTop w:val="0"/>
                  <w:marBottom w:val="0"/>
                  <w:divBdr>
                    <w:top w:val="none" w:sz="0" w:space="0" w:color="auto"/>
                    <w:left w:val="none" w:sz="0" w:space="0" w:color="auto"/>
                    <w:bottom w:val="none" w:sz="0" w:space="0" w:color="auto"/>
                    <w:right w:val="none" w:sz="0" w:space="0" w:color="auto"/>
                  </w:divBdr>
                  <w:divsChild>
                    <w:div w:id="542326904">
                      <w:marLeft w:val="0"/>
                      <w:marRight w:val="0"/>
                      <w:marTop w:val="0"/>
                      <w:marBottom w:val="0"/>
                      <w:divBdr>
                        <w:top w:val="none" w:sz="0" w:space="0" w:color="auto"/>
                        <w:left w:val="none" w:sz="0" w:space="0" w:color="auto"/>
                        <w:bottom w:val="none" w:sz="0" w:space="0" w:color="auto"/>
                        <w:right w:val="none" w:sz="0" w:space="0" w:color="auto"/>
                      </w:divBdr>
                      <w:divsChild>
                        <w:div w:id="144876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774984">
      <w:bodyDiv w:val="1"/>
      <w:marLeft w:val="0"/>
      <w:marRight w:val="0"/>
      <w:marTop w:val="0"/>
      <w:marBottom w:val="0"/>
      <w:divBdr>
        <w:top w:val="none" w:sz="0" w:space="0" w:color="auto"/>
        <w:left w:val="none" w:sz="0" w:space="0" w:color="auto"/>
        <w:bottom w:val="none" w:sz="0" w:space="0" w:color="auto"/>
        <w:right w:val="none" w:sz="0" w:space="0" w:color="auto"/>
      </w:divBdr>
    </w:div>
    <w:div w:id="246809814">
      <w:bodyDiv w:val="1"/>
      <w:marLeft w:val="0"/>
      <w:marRight w:val="0"/>
      <w:marTop w:val="0"/>
      <w:marBottom w:val="0"/>
      <w:divBdr>
        <w:top w:val="none" w:sz="0" w:space="0" w:color="auto"/>
        <w:left w:val="none" w:sz="0" w:space="0" w:color="auto"/>
        <w:bottom w:val="none" w:sz="0" w:space="0" w:color="auto"/>
        <w:right w:val="none" w:sz="0" w:space="0" w:color="auto"/>
      </w:divBdr>
    </w:div>
    <w:div w:id="249124868">
      <w:bodyDiv w:val="1"/>
      <w:marLeft w:val="0"/>
      <w:marRight w:val="0"/>
      <w:marTop w:val="0"/>
      <w:marBottom w:val="0"/>
      <w:divBdr>
        <w:top w:val="none" w:sz="0" w:space="0" w:color="auto"/>
        <w:left w:val="none" w:sz="0" w:space="0" w:color="auto"/>
        <w:bottom w:val="none" w:sz="0" w:space="0" w:color="auto"/>
        <w:right w:val="none" w:sz="0" w:space="0" w:color="auto"/>
      </w:divBdr>
    </w:div>
    <w:div w:id="254174243">
      <w:bodyDiv w:val="1"/>
      <w:marLeft w:val="0"/>
      <w:marRight w:val="0"/>
      <w:marTop w:val="0"/>
      <w:marBottom w:val="0"/>
      <w:divBdr>
        <w:top w:val="none" w:sz="0" w:space="0" w:color="auto"/>
        <w:left w:val="none" w:sz="0" w:space="0" w:color="auto"/>
        <w:bottom w:val="none" w:sz="0" w:space="0" w:color="auto"/>
        <w:right w:val="none" w:sz="0" w:space="0" w:color="auto"/>
      </w:divBdr>
    </w:div>
    <w:div w:id="258174175">
      <w:bodyDiv w:val="1"/>
      <w:marLeft w:val="0"/>
      <w:marRight w:val="0"/>
      <w:marTop w:val="0"/>
      <w:marBottom w:val="0"/>
      <w:divBdr>
        <w:top w:val="none" w:sz="0" w:space="0" w:color="auto"/>
        <w:left w:val="none" w:sz="0" w:space="0" w:color="auto"/>
        <w:bottom w:val="none" w:sz="0" w:space="0" w:color="auto"/>
        <w:right w:val="none" w:sz="0" w:space="0" w:color="auto"/>
      </w:divBdr>
    </w:div>
    <w:div w:id="261572652">
      <w:bodyDiv w:val="1"/>
      <w:marLeft w:val="0"/>
      <w:marRight w:val="0"/>
      <w:marTop w:val="0"/>
      <w:marBottom w:val="0"/>
      <w:divBdr>
        <w:top w:val="none" w:sz="0" w:space="0" w:color="auto"/>
        <w:left w:val="none" w:sz="0" w:space="0" w:color="auto"/>
        <w:bottom w:val="none" w:sz="0" w:space="0" w:color="auto"/>
        <w:right w:val="none" w:sz="0" w:space="0" w:color="auto"/>
      </w:divBdr>
    </w:div>
    <w:div w:id="263654518">
      <w:bodyDiv w:val="1"/>
      <w:marLeft w:val="0"/>
      <w:marRight w:val="0"/>
      <w:marTop w:val="0"/>
      <w:marBottom w:val="0"/>
      <w:divBdr>
        <w:top w:val="none" w:sz="0" w:space="0" w:color="auto"/>
        <w:left w:val="none" w:sz="0" w:space="0" w:color="auto"/>
        <w:bottom w:val="none" w:sz="0" w:space="0" w:color="auto"/>
        <w:right w:val="none" w:sz="0" w:space="0" w:color="auto"/>
      </w:divBdr>
      <w:divsChild>
        <w:div w:id="509177464">
          <w:marLeft w:val="0"/>
          <w:marRight w:val="0"/>
          <w:marTop w:val="0"/>
          <w:marBottom w:val="0"/>
          <w:divBdr>
            <w:top w:val="none" w:sz="0" w:space="0" w:color="auto"/>
            <w:left w:val="none" w:sz="0" w:space="0" w:color="auto"/>
            <w:bottom w:val="none" w:sz="0" w:space="0" w:color="auto"/>
            <w:right w:val="none" w:sz="0" w:space="0" w:color="auto"/>
          </w:divBdr>
          <w:divsChild>
            <w:div w:id="1256939934">
              <w:marLeft w:val="0"/>
              <w:marRight w:val="0"/>
              <w:marTop w:val="0"/>
              <w:marBottom w:val="0"/>
              <w:divBdr>
                <w:top w:val="none" w:sz="0" w:space="0" w:color="auto"/>
                <w:left w:val="none" w:sz="0" w:space="0" w:color="auto"/>
                <w:bottom w:val="none" w:sz="0" w:space="0" w:color="auto"/>
                <w:right w:val="none" w:sz="0" w:space="0" w:color="auto"/>
              </w:divBdr>
              <w:divsChild>
                <w:div w:id="344672216">
                  <w:marLeft w:val="0"/>
                  <w:marRight w:val="0"/>
                  <w:marTop w:val="0"/>
                  <w:marBottom w:val="0"/>
                  <w:divBdr>
                    <w:top w:val="none" w:sz="0" w:space="0" w:color="auto"/>
                    <w:left w:val="none" w:sz="0" w:space="0" w:color="auto"/>
                    <w:bottom w:val="none" w:sz="0" w:space="0" w:color="auto"/>
                    <w:right w:val="none" w:sz="0" w:space="0" w:color="auto"/>
                  </w:divBdr>
                  <w:divsChild>
                    <w:div w:id="741298225">
                      <w:marLeft w:val="0"/>
                      <w:marRight w:val="0"/>
                      <w:marTop w:val="0"/>
                      <w:marBottom w:val="0"/>
                      <w:divBdr>
                        <w:top w:val="none" w:sz="0" w:space="0" w:color="auto"/>
                        <w:left w:val="none" w:sz="0" w:space="0" w:color="auto"/>
                        <w:bottom w:val="none" w:sz="0" w:space="0" w:color="auto"/>
                        <w:right w:val="none" w:sz="0" w:space="0" w:color="auto"/>
                      </w:divBdr>
                      <w:divsChild>
                        <w:div w:id="1114129697">
                          <w:marLeft w:val="0"/>
                          <w:marRight w:val="0"/>
                          <w:marTop w:val="0"/>
                          <w:marBottom w:val="0"/>
                          <w:divBdr>
                            <w:top w:val="none" w:sz="0" w:space="0" w:color="auto"/>
                            <w:left w:val="none" w:sz="0" w:space="0" w:color="auto"/>
                            <w:bottom w:val="none" w:sz="0" w:space="0" w:color="auto"/>
                            <w:right w:val="none" w:sz="0" w:space="0" w:color="auto"/>
                          </w:divBdr>
                          <w:divsChild>
                            <w:div w:id="374231945">
                              <w:marLeft w:val="0"/>
                              <w:marRight w:val="0"/>
                              <w:marTop w:val="0"/>
                              <w:marBottom w:val="0"/>
                              <w:divBdr>
                                <w:top w:val="none" w:sz="0" w:space="0" w:color="auto"/>
                                <w:left w:val="none" w:sz="0" w:space="0" w:color="auto"/>
                                <w:bottom w:val="none" w:sz="0" w:space="0" w:color="auto"/>
                                <w:right w:val="none" w:sz="0" w:space="0" w:color="auto"/>
                              </w:divBdr>
                              <w:divsChild>
                                <w:div w:id="1018123103">
                                  <w:marLeft w:val="0"/>
                                  <w:marRight w:val="0"/>
                                  <w:marTop w:val="0"/>
                                  <w:marBottom w:val="0"/>
                                  <w:divBdr>
                                    <w:top w:val="none" w:sz="0" w:space="0" w:color="auto"/>
                                    <w:left w:val="none" w:sz="0" w:space="0" w:color="auto"/>
                                    <w:bottom w:val="none" w:sz="0" w:space="0" w:color="auto"/>
                                    <w:right w:val="none" w:sz="0" w:space="0" w:color="auto"/>
                                  </w:divBdr>
                                  <w:divsChild>
                                    <w:div w:id="1829980937">
                                      <w:marLeft w:val="0"/>
                                      <w:marRight w:val="0"/>
                                      <w:marTop w:val="0"/>
                                      <w:marBottom w:val="0"/>
                                      <w:divBdr>
                                        <w:top w:val="none" w:sz="0" w:space="0" w:color="auto"/>
                                        <w:left w:val="none" w:sz="0" w:space="0" w:color="auto"/>
                                        <w:bottom w:val="none" w:sz="0" w:space="0" w:color="auto"/>
                                        <w:right w:val="none" w:sz="0" w:space="0" w:color="auto"/>
                                      </w:divBdr>
                                      <w:divsChild>
                                        <w:div w:id="918831882">
                                          <w:marLeft w:val="0"/>
                                          <w:marRight w:val="0"/>
                                          <w:marTop w:val="0"/>
                                          <w:marBottom w:val="0"/>
                                          <w:divBdr>
                                            <w:top w:val="none" w:sz="0" w:space="0" w:color="auto"/>
                                            <w:left w:val="none" w:sz="0" w:space="0" w:color="auto"/>
                                            <w:bottom w:val="none" w:sz="0" w:space="0" w:color="auto"/>
                                            <w:right w:val="none" w:sz="0" w:space="0" w:color="auto"/>
                                          </w:divBdr>
                                          <w:divsChild>
                                            <w:div w:id="1867670773">
                                              <w:marLeft w:val="0"/>
                                              <w:marRight w:val="0"/>
                                              <w:marTop w:val="0"/>
                                              <w:marBottom w:val="0"/>
                                              <w:divBdr>
                                                <w:top w:val="none" w:sz="0" w:space="0" w:color="auto"/>
                                                <w:left w:val="none" w:sz="0" w:space="0" w:color="auto"/>
                                                <w:bottom w:val="none" w:sz="0" w:space="0" w:color="auto"/>
                                                <w:right w:val="none" w:sz="0" w:space="0" w:color="auto"/>
                                              </w:divBdr>
                                              <w:divsChild>
                                                <w:div w:id="155978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8495839">
          <w:marLeft w:val="0"/>
          <w:marRight w:val="0"/>
          <w:marTop w:val="0"/>
          <w:marBottom w:val="0"/>
          <w:divBdr>
            <w:top w:val="none" w:sz="0" w:space="0" w:color="auto"/>
            <w:left w:val="none" w:sz="0" w:space="0" w:color="auto"/>
            <w:bottom w:val="none" w:sz="0" w:space="0" w:color="auto"/>
            <w:right w:val="none" w:sz="0" w:space="0" w:color="auto"/>
          </w:divBdr>
          <w:divsChild>
            <w:div w:id="240680436">
              <w:marLeft w:val="0"/>
              <w:marRight w:val="0"/>
              <w:marTop w:val="0"/>
              <w:marBottom w:val="0"/>
              <w:divBdr>
                <w:top w:val="none" w:sz="0" w:space="0" w:color="auto"/>
                <w:left w:val="none" w:sz="0" w:space="0" w:color="auto"/>
                <w:bottom w:val="none" w:sz="0" w:space="0" w:color="auto"/>
                <w:right w:val="none" w:sz="0" w:space="0" w:color="auto"/>
              </w:divBdr>
              <w:divsChild>
                <w:div w:id="723676038">
                  <w:marLeft w:val="0"/>
                  <w:marRight w:val="0"/>
                  <w:marTop w:val="0"/>
                  <w:marBottom w:val="0"/>
                  <w:divBdr>
                    <w:top w:val="none" w:sz="0" w:space="0" w:color="auto"/>
                    <w:left w:val="none" w:sz="0" w:space="0" w:color="auto"/>
                    <w:bottom w:val="none" w:sz="0" w:space="0" w:color="auto"/>
                    <w:right w:val="none" w:sz="0" w:space="0" w:color="auto"/>
                  </w:divBdr>
                  <w:divsChild>
                    <w:div w:id="1590039958">
                      <w:marLeft w:val="0"/>
                      <w:marRight w:val="0"/>
                      <w:marTop w:val="0"/>
                      <w:marBottom w:val="0"/>
                      <w:divBdr>
                        <w:top w:val="none" w:sz="0" w:space="0" w:color="auto"/>
                        <w:left w:val="none" w:sz="0" w:space="0" w:color="auto"/>
                        <w:bottom w:val="none" w:sz="0" w:space="0" w:color="auto"/>
                        <w:right w:val="none" w:sz="0" w:space="0" w:color="auto"/>
                      </w:divBdr>
                      <w:divsChild>
                        <w:div w:id="731732427">
                          <w:marLeft w:val="0"/>
                          <w:marRight w:val="0"/>
                          <w:marTop w:val="0"/>
                          <w:marBottom w:val="0"/>
                          <w:divBdr>
                            <w:top w:val="none" w:sz="0" w:space="0" w:color="auto"/>
                            <w:left w:val="none" w:sz="0" w:space="0" w:color="auto"/>
                            <w:bottom w:val="none" w:sz="0" w:space="0" w:color="auto"/>
                            <w:right w:val="none" w:sz="0" w:space="0" w:color="auto"/>
                          </w:divBdr>
                          <w:divsChild>
                            <w:div w:id="1432581803">
                              <w:marLeft w:val="0"/>
                              <w:marRight w:val="0"/>
                              <w:marTop w:val="0"/>
                              <w:marBottom w:val="0"/>
                              <w:divBdr>
                                <w:top w:val="none" w:sz="0" w:space="0" w:color="auto"/>
                                <w:left w:val="none" w:sz="0" w:space="0" w:color="auto"/>
                                <w:bottom w:val="none" w:sz="0" w:space="0" w:color="auto"/>
                                <w:right w:val="none" w:sz="0" w:space="0" w:color="auto"/>
                              </w:divBdr>
                              <w:divsChild>
                                <w:div w:id="62726162">
                                  <w:marLeft w:val="0"/>
                                  <w:marRight w:val="0"/>
                                  <w:marTop w:val="0"/>
                                  <w:marBottom w:val="0"/>
                                  <w:divBdr>
                                    <w:top w:val="none" w:sz="0" w:space="0" w:color="auto"/>
                                    <w:left w:val="none" w:sz="0" w:space="0" w:color="auto"/>
                                    <w:bottom w:val="none" w:sz="0" w:space="0" w:color="auto"/>
                                    <w:right w:val="none" w:sz="0" w:space="0" w:color="auto"/>
                                  </w:divBdr>
                                  <w:divsChild>
                                    <w:div w:id="1895115646">
                                      <w:marLeft w:val="0"/>
                                      <w:marRight w:val="0"/>
                                      <w:marTop w:val="0"/>
                                      <w:marBottom w:val="0"/>
                                      <w:divBdr>
                                        <w:top w:val="none" w:sz="0" w:space="0" w:color="auto"/>
                                        <w:left w:val="none" w:sz="0" w:space="0" w:color="auto"/>
                                        <w:bottom w:val="none" w:sz="0" w:space="0" w:color="auto"/>
                                        <w:right w:val="none" w:sz="0" w:space="0" w:color="auto"/>
                                      </w:divBdr>
                                    </w:div>
                                  </w:divsChild>
                                </w:div>
                                <w:div w:id="1086923441">
                                  <w:marLeft w:val="0"/>
                                  <w:marRight w:val="0"/>
                                  <w:marTop w:val="0"/>
                                  <w:marBottom w:val="0"/>
                                  <w:divBdr>
                                    <w:top w:val="none" w:sz="0" w:space="0" w:color="auto"/>
                                    <w:left w:val="none" w:sz="0" w:space="0" w:color="auto"/>
                                    <w:bottom w:val="none" w:sz="0" w:space="0" w:color="auto"/>
                                    <w:right w:val="none" w:sz="0" w:space="0" w:color="auto"/>
                                  </w:divBdr>
                                  <w:divsChild>
                                    <w:div w:id="1624269442">
                                      <w:marLeft w:val="0"/>
                                      <w:marRight w:val="0"/>
                                      <w:marTop w:val="0"/>
                                      <w:marBottom w:val="0"/>
                                      <w:divBdr>
                                        <w:top w:val="none" w:sz="0" w:space="0" w:color="auto"/>
                                        <w:left w:val="none" w:sz="0" w:space="0" w:color="auto"/>
                                        <w:bottom w:val="none" w:sz="0" w:space="0" w:color="auto"/>
                                        <w:right w:val="none" w:sz="0" w:space="0" w:color="auto"/>
                                      </w:divBdr>
                                      <w:divsChild>
                                        <w:div w:id="1494296538">
                                          <w:marLeft w:val="0"/>
                                          <w:marRight w:val="0"/>
                                          <w:marTop w:val="0"/>
                                          <w:marBottom w:val="0"/>
                                          <w:divBdr>
                                            <w:top w:val="none" w:sz="0" w:space="0" w:color="auto"/>
                                            <w:left w:val="none" w:sz="0" w:space="0" w:color="auto"/>
                                            <w:bottom w:val="none" w:sz="0" w:space="0" w:color="auto"/>
                                            <w:right w:val="none" w:sz="0" w:space="0" w:color="auto"/>
                                          </w:divBdr>
                                          <w:divsChild>
                                            <w:div w:id="61394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4963185">
      <w:bodyDiv w:val="1"/>
      <w:marLeft w:val="0"/>
      <w:marRight w:val="0"/>
      <w:marTop w:val="0"/>
      <w:marBottom w:val="0"/>
      <w:divBdr>
        <w:top w:val="none" w:sz="0" w:space="0" w:color="auto"/>
        <w:left w:val="none" w:sz="0" w:space="0" w:color="auto"/>
        <w:bottom w:val="none" w:sz="0" w:space="0" w:color="auto"/>
        <w:right w:val="none" w:sz="0" w:space="0" w:color="auto"/>
      </w:divBdr>
    </w:div>
    <w:div w:id="276183737">
      <w:bodyDiv w:val="1"/>
      <w:marLeft w:val="0"/>
      <w:marRight w:val="0"/>
      <w:marTop w:val="0"/>
      <w:marBottom w:val="0"/>
      <w:divBdr>
        <w:top w:val="none" w:sz="0" w:space="0" w:color="auto"/>
        <w:left w:val="none" w:sz="0" w:space="0" w:color="auto"/>
        <w:bottom w:val="none" w:sz="0" w:space="0" w:color="auto"/>
        <w:right w:val="none" w:sz="0" w:space="0" w:color="auto"/>
      </w:divBdr>
    </w:div>
    <w:div w:id="277494873">
      <w:bodyDiv w:val="1"/>
      <w:marLeft w:val="0"/>
      <w:marRight w:val="0"/>
      <w:marTop w:val="0"/>
      <w:marBottom w:val="0"/>
      <w:divBdr>
        <w:top w:val="none" w:sz="0" w:space="0" w:color="auto"/>
        <w:left w:val="none" w:sz="0" w:space="0" w:color="auto"/>
        <w:bottom w:val="none" w:sz="0" w:space="0" w:color="auto"/>
        <w:right w:val="none" w:sz="0" w:space="0" w:color="auto"/>
      </w:divBdr>
    </w:div>
    <w:div w:id="289480186">
      <w:bodyDiv w:val="1"/>
      <w:marLeft w:val="0"/>
      <w:marRight w:val="0"/>
      <w:marTop w:val="0"/>
      <w:marBottom w:val="0"/>
      <w:divBdr>
        <w:top w:val="none" w:sz="0" w:space="0" w:color="auto"/>
        <w:left w:val="none" w:sz="0" w:space="0" w:color="auto"/>
        <w:bottom w:val="none" w:sz="0" w:space="0" w:color="auto"/>
        <w:right w:val="none" w:sz="0" w:space="0" w:color="auto"/>
      </w:divBdr>
    </w:div>
    <w:div w:id="296647131">
      <w:bodyDiv w:val="1"/>
      <w:marLeft w:val="0"/>
      <w:marRight w:val="0"/>
      <w:marTop w:val="0"/>
      <w:marBottom w:val="0"/>
      <w:divBdr>
        <w:top w:val="none" w:sz="0" w:space="0" w:color="auto"/>
        <w:left w:val="none" w:sz="0" w:space="0" w:color="auto"/>
        <w:bottom w:val="none" w:sz="0" w:space="0" w:color="auto"/>
        <w:right w:val="none" w:sz="0" w:space="0" w:color="auto"/>
      </w:divBdr>
    </w:div>
    <w:div w:id="296836152">
      <w:bodyDiv w:val="1"/>
      <w:marLeft w:val="0"/>
      <w:marRight w:val="0"/>
      <w:marTop w:val="0"/>
      <w:marBottom w:val="0"/>
      <w:divBdr>
        <w:top w:val="none" w:sz="0" w:space="0" w:color="auto"/>
        <w:left w:val="none" w:sz="0" w:space="0" w:color="auto"/>
        <w:bottom w:val="none" w:sz="0" w:space="0" w:color="auto"/>
        <w:right w:val="none" w:sz="0" w:space="0" w:color="auto"/>
      </w:divBdr>
    </w:div>
    <w:div w:id="296838021">
      <w:bodyDiv w:val="1"/>
      <w:marLeft w:val="0"/>
      <w:marRight w:val="0"/>
      <w:marTop w:val="0"/>
      <w:marBottom w:val="0"/>
      <w:divBdr>
        <w:top w:val="none" w:sz="0" w:space="0" w:color="auto"/>
        <w:left w:val="none" w:sz="0" w:space="0" w:color="auto"/>
        <w:bottom w:val="none" w:sz="0" w:space="0" w:color="auto"/>
        <w:right w:val="none" w:sz="0" w:space="0" w:color="auto"/>
      </w:divBdr>
    </w:div>
    <w:div w:id="323238975">
      <w:bodyDiv w:val="1"/>
      <w:marLeft w:val="0"/>
      <w:marRight w:val="0"/>
      <w:marTop w:val="0"/>
      <w:marBottom w:val="0"/>
      <w:divBdr>
        <w:top w:val="none" w:sz="0" w:space="0" w:color="auto"/>
        <w:left w:val="none" w:sz="0" w:space="0" w:color="auto"/>
        <w:bottom w:val="none" w:sz="0" w:space="0" w:color="auto"/>
        <w:right w:val="none" w:sz="0" w:space="0" w:color="auto"/>
      </w:divBdr>
    </w:div>
    <w:div w:id="332536345">
      <w:bodyDiv w:val="1"/>
      <w:marLeft w:val="0"/>
      <w:marRight w:val="0"/>
      <w:marTop w:val="0"/>
      <w:marBottom w:val="0"/>
      <w:divBdr>
        <w:top w:val="none" w:sz="0" w:space="0" w:color="auto"/>
        <w:left w:val="none" w:sz="0" w:space="0" w:color="auto"/>
        <w:bottom w:val="none" w:sz="0" w:space="0" w:color="auto"/>
        <w:right w:val="none" w:sz="0" w:space="0" w:color="auto"/>
      </w:divBdr>
    </w:div>
    <w:div w:id="335693265">
      <w:bodyDiv w:val="1"/>
      <w:marLeft w:val="0"/>
      <w:marRight w:val="0"/>
      <w:marTop w:val="0"/>
      <w:marBottom w:val="0"/>
      <w:divBdr>
        <w:top w:val="none" w:sz="0" w:space="0" w:color="auto"/>
        <w:left w:val="none" w:sz="0" w:space="0" w:color="auto"/>
        <w:bottom w:val="none" w:sz="0" w:space="0" w:color="auto"/>
        <w:right w:val="none" w:sz="0" w:space="0" w:color="auto"/>
      </w:divBdr>
    </w:div>
    <w:div w:id="337581717">
      <w:bodyDiv w:val="1"/>
      <w:marLeft w:val="0"/>
      <w:marRight w:val="0"/>
      <w:marTop w:val="0"/>
      <w:marBottom w:val="0"/>
      <w:divBdr>
        <w:top w:val="none" w:sz="0" w:space="0" w:color="auto"/>
        <w:left w:val="none" w:sz="0" w:space="0" w:color="auto"/>
        <w:bottom w:val="none" w:sz="0" w:space="0" w:color="auto"/>
        <w:right w:val="none" w:sz="0" w:space="0" w:color="auto"/>
      </w:divBdr>
    </w:div>
    <w:div w:id="338393753">
      <w:bodyDiv w:val="1"/>
      <w:marLeft w:val="0"/>
      <w:marRight w:val="0"/>
      <w:marTop w:val="0"/>
      <w:marBottom w:val="0"/>
      <w:divBdr>
        <w:top w:val="none" w:sz="0" w:space="0" w:color="auto"/>
        <w:left w:val="none" w:sz="0" w:space="0" w:color="auto"/>
        <w:bottom w:val="none" w:sz="0" w:space="0" w:color="auto"/>
        <w:right w:val="none" w:sz="0" w:space="0" w:color="auto"/>
      </w:divBdr>
      <w:divsChild>
        <w:div w:id="1224947840">
          <w:marLeft w:val="0"/>
          <w:marRight w:val="0"/>
          <w:marTop w:val="0"/>
          <w:marBottom w:val="0"/>
          <w:divBdr>
            <w:top w:val="none" w:sz="0" w:space="0" w:color="auto"/>
            <w:left w:val="none" w:sz="0" w:space="0" w:color="auto"/>
            <w:bottom w:val="none" w:sz="0" w:space="0" w:color="auto"/>
            <w:right w:val="none" w:sz="0" w:space="0" w:color="auto"/>
          </w:divBdr>
          <w:divsChild>
            <w:div w:id="1780679599">
              <w:marLeft w:val="0"/>
              <w:marRight w:val="0"/>
              <w:marTop w:val="0"/>
              <w:marBottom w:val="0"/>
              <w:divBdr>
                <w:top w:val="none" w:sz="0" w:space="0" w:color="auto"/>
                <w:left w:val="none" w:sz="0" w:space="0" w:color="auto"/>
                <w:bottom w:val="none" w:sz="0" w:space="0" w:color="auto"/>
                <w:right w:val="none" w:sz="0" w:space="0" w:color="auto"/>
              </w:divBdr>
              <w:divsChild>
                <w:div w:id="313485355">
                  <w:marLeft w:val="0"/>
                  <w:marRight w:val="0"/>
                  <w:marTop w:val="0"/>
                  <w:marBottom w:val="0"/>
                  <w:divBdr>
                    <w:top w:val="none" w:sz="0" w:space="0" w:color="auto"/>
                    <w:left w:val="none" w:sz="0" w:space="0" w:color="auto"/>
                    <w:bottom w:val="none" w:sz="0" w:space="0" w:color="auto"/>
                    <w:right w:val="none" w:sz="0" w:space="0" w:color="auto"/>
                  </w:divBdr>
                  <w:divsChild>
                    <w:div w:id="265382466">
                      <w:marLeft w:val="0"/>
                      <w:marRight w:val="0"/>
                      <w:marTop w:val="0"/>
                      <w:marBottom w:val="0"/>
                      <w:divBdr>
                        <w:top w:val="none" w:sz="0" w:space="0" w:color="auto"/>
                        <w:left w:val="none" w:sz="0" w:space="0" w:color="auto"/>
                        <w:bottom w:val="none" w:sz="0" w:space="0" w:color="auto"/>
                        <w:right w:val="none" w:sz="0" w:space="0" w:color="auto"/>
                      </w:divBdr>
                      <w:divsChild>
                        <w:div w:id="176360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3993">
          <w:marLeft w:val="0"/>
          <w:marRight w:val="0"/>
          <w:marTop w:val="0"/>
          <w:marBottom w:val="0"/>
          <w:divBdr>
            <w:top w:val="none" w:sz="0" w:space="0" w:color="auto"/>
            <w:left w:val="none" w:sz="0" w:space="0" w:color="auto"/>
            <w:bottom w:val="none" w:sz="0" w:space="0" w:color="auto"/>
            <w:right w:val="none" w:sz="0" w:space="0" w:color="auto"/>
          </w:divBdr>
          <w:divsChild>
            <w:div w:id="2070566426">
              <w:marLeft w:val="0"/>
              <w:marRight w:val="0"/>
              <w:marTop w:val="0"/>
              <w:marBottom w:val="0"/>
              <w:divBdr>
                <w:top w:val="none" w:sz="0" w:space="0" w:color="auto"/>
                <w:left w:val="none" w:sz="0" w:space="0" w:color="auto"/>
                <w:bottom w:val="none" w:sz="0" w:space="0" w:color="auto"/>
                <w:right w:val="none" w:sz="0" w:space="0" w:color="auto"/>
              </w:divBdr>
              <w:divsChild>
                <w:div w:id="78905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303449">
      <w:bodyDiv w:val="1"/>
      <w:marLeft w:val="0"/>
      <w:marRight w:val="0"/>
      <w:marTop w:val="0"/>
      <w:marBottom w:val="0"/>
      <w:divBdr>
        <w:top w:val="none" w:sz="0" w:space="0" w:color="auto"/>
        <w:left w:val="none" w:sz="0" w:space="0" w:color="auto"/>
        <w:bottom w:val="none" w:sz="0" w:space="0" w:color="auto"/>
        <w:right w:val="none" w:sz="0" w:space="0" w:color="auto"/>
      </w:divBdr>
    </w:div>
    <w:div w:id="351955956">
      <w:bodyDiv w:val="1"/>
      <w:marLeft w:val="0"/>
      <w:marRight w:val="0"/>
      <w:marTop w:val="0"/>
      <w:marBottom w:val="0"/>
      <w:divBdr>
        <w:top w:val="none" w:sz="0" w:space="0" w:color="auto"/>
        <w:left w:val="none" w:sz="0" w:space="0" w:color="auto"/>
        <w:bottom w:val="none" w:sz="0" w:space="0" w:color="auto"/>
        <w:right w:val="none" w:sz="0" w:space="0" w:color="auto"/>
      </w:divBdr>
    </w:div>
    <w:div w:id="355467479">
      <w:bodyDiv w:val="1"/>
      <w:marLeft w:val="0"/>
      <w:marRight w:val="0"/>
      <w:marTop w:val="0"/>
      <w:marBottom w:val="0"/>
      <w:divBdr>
        <w:top w:val="none" w:sz="0" w:space="0" w:color="auto"/>
        <w:left w:val="none" w:sz="0" w:space="0" w:color="auto"/>
        <w:bottom w:val="none" w:sz="0" w:space="0" w:color="auto"/>
        <w:right w:val="none" w:sz="0" w:space="0" w:color="auto"/>
      </w:divBdr>
    </w:div>
    <w:div w:id="356079179">
      <w:bodyDiv w:val="1"/>
      <w:marLeft w:val="0"/>
      <w:marRight w:val="0"/>
      <w:marTop w:val="0"/>
      <w:marBottom w:val="0"/>
      <w:divBdr>
        <w:top w:val="none" w:sz="0" w:space="0" w:color="auto"/>
        <w:left w:val="none" w:sz="0" w:space="0" w:color="auto"/>
        <w:bottom w:val="none" w:sz="0" w:space="0" w:color="auto"/>
        <w:right w:val="none" w:sz="0" w:space="0" w:color="auto"/>
      </w:divBdr>
      <w:divsChild>
        <w:div w:id="1514414309">
          <w:marLeft w:val="0"/>
          <w:marRight w:val="0"/>
          <w:marTop w:val="0"/>
          <w:marBottom w:val="0"/>
          <w:divBdr>
            <w:top w:val="none" w:sz="0" w:space="0" w:color="auto"/>
            <w:left w:val="none" w:sz="0" w:space="0" w:color="auto"/>
            <w:bottom w:val="none" w:sz="0" w:space="0" w:color="auto"/>
            <w:right w:val="none" w:sz="0" w:space="0" w:color="auto"/>
          </w:divBdr>
          <w:divsChild>
            <w:div w:id="1734426083">
              <w:marLeft w:val="0"/>
              <w:marRight w:val="0"/>
              <w:marTop w:val="0"/>
              <w:marBottom w:val="0"/>
              <w:divBdr>
                <w:top w:val="none" w:sz="0" w:space="0" w:color="auto"/>
                <w:left w:val="none" w:sz="0" w:space="0" w:color="auto"/>
                <w:bottom w:val="none" w:sz="0" w:space="0" w:color="auto"/>
                <w:right w:val="none" w:sz="0" w:space="0" w:color="auto"/>
              </w:divBdr>
              <w:divsChild>
                <w:div w:id="1441602031">
                  <w:marLeft w:val="0"/>
                  <w:marRight w:val="0"/>
                  <w:marTop w:val="0"/>
                  <w:marBottom w:val="0"/>
                  <w:divBdr>
                    <w:top w:val="none" w:sz="0" w:space="0" w:color="auto"/>
                    <w:left w:val="none" w:sz="0" w:space="0" w:color="auto"/>
                    <w:bottom w:val="none" w:sz="0" w:space="0" w:color="auto"/>
                    <w:right w:val="none" w:sz="0" w:space="0" w:color="auto"/>
                  </w:divBdr>
                  <w:divsChild>
                    <w:div w:id="330178077">
                      <w:marLeft w:val="0"/>
                      <w:marRight w:val="0"/>
                      <w:marTop w:val="0"/>
                      <w:marBottom w:val="0"/>
                      <w:divBdr>
                        <w:top w:val="none" w:sz="0" w:space="0" w:color="auto"/>
                        <w:left w:val="none" w:sz="0" w:space="0" w:color="auto"/>
                        <w:bottom w:val="none" w:sz="0" w:space="0" w:color="auto"/>
                        <w:right w:val="none" w:sz="0" w:space="0" w:color="auto"/>
                      </w:divBdr>
                      <w:divsChild>
                        <w:div w:id="209331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659078">
      <w:bodyDiv w:val="1"/>
      <w:marLeft w:val="0"/>
      <w:marRight w:val="0"/>
      <w:marTop w:val="0"/>
      <w:marBottom w:val="0"/>
      <w:divBdr>
        <w:top w:val="none" w:sz="0" w:space="0" w:color="auto"/>
        <w:left w:val="none" w:sz="0" w:space="0" w:color="auto"/>
        <w:bottom w:val="none" w:sz="0" w:space="0" w:color="auto"/>
        <w:right w:val="none" w:sz="0" w:space="0" w:color="auto"/>
      </w:divBdr>
    </w:div>
    <w:div w:id="358167794">
      <w:bodyDiv w:val="1"/>
      <w:marLeft w:val="0"/>
      <w:marRight w:val="0"/>
      <w:marTop w:val="0"/>
      <w:marBottom w:val="0"/>
      <w:divBdr>
        <w:top w:val="none" w:sz="0" w:space="0" w:color="auto"/>
        <w:left w:val="none" w:sz="0" w:space="0" w:color="auto"/>
        <w:bottom w:val="none" w:sz="0" w:space="0" w:color="auto"/>
        <w:right w:val="none" w:sz="0" w:space="0" w:color="auto"/>
      </w:divBdr>
    </w:div>
    <w:div w:id="366295164">
      <w:bodyDiv w:val="1"/>
      <w:marLeft w:val="0"/>
      <w:marRight w:val="0"/>
      <w:marTop w:val="0"/>
      <w:marBottom w:val="0"/>
      <w:divBdr>
        <w:top w:val="none" w:sz="0" w:space="0" w:color="auto"/>
        <w:left w:val="none" w:sz="0" w:space="0" w:color="auto"/>
        <w:bottom w:val="none" w:sz="0" w:space="0" w:color="auto"/>
        <w:right w:val="none" w:sz="0" w:space="0" w:color="auto"/>
      </w:divBdr>
    </w:div>
    <w:div w:id="366492952">
      <w:bodyDiv w:val="1"/>
      <w:marLeft w:val="0"/>
      <w:marRight w:val="0"/>
      <w:marTop w:val="0"/>
      <w:marBottom w:val="0"/>
      <w:divBdr>
        <w:top w:val="none" w:sz="0" w:space="0" w:color="auto"/>
        <w:left w:val="none" w:sz="0" w:space="0" w:color="auto"/>
        <w:bottom w:val="none" w:sz="0" w:space="0" w:color="auto"/>
        <w:right w:val="none" w:sz="0" w:space="0" w:color="auto"/>
      </w:divBdr>
    </w:div>
    <w:div w:id="375475914">
      <w:bodyDiv w:val="1"/>
      <w:marLeft w:val="0"/>
      <w:marRight w:val="0"/>
      <w:marTop w:val="0"/>
      <w:marBottom w:val="0"/>
      <w:divBdr>
        <w:top w:val="none" w:sz="0" w:space="0" w:color="auto"/>
        <w:left w:val="none" w:sz="0" w:space="0" w:color="auto"/>
        <w:bottom w:val="none" w:sz="0" w:space="0" w:color="auto"/>
        <w:right w:val="none" w:sz="0" w:space="0" w:color="auto"/>
      </w:divBdr>
    </w:div>
    <w:div w:id="380519972">
      <w:bodyDiv w:val="1"/>
      <w:marLeft w:val="0"/>
      <w:marRight w:val="0"/>
      <w:marTop w:val="0"/>
      <w:marBottom w:val="0"/>
      <w:divBdr>
        <w:top w:val="none" w:sz="0" w:space="0" w:color="auto"/>
        <w:left w:val="none" w:sz="0" w:space="0" w:color="auto"/>
        <w:bottom w:val="none" w:sz="0" w:space="0" w:color="auto"/>
        <w:right w:val="none" w:sz="0" w:space="0" w:color="auto"/>
      </w:divBdr>
    </w:div>
    <w:div w:id="391584998">
      <w:bodyDiv w:val="1"/>
      <w:marLeft w:val="0"/>
      <w:marRight w:val="0"/>
      <w:marTop w:val="0"/>
      <w:marBottom w:val="0"/>
      <w:divBdr>
        <w:top w:val="none" w:sz="0" w:space="0" w:color="auto"/>
        <w:left w:val="none" w:sz="0" w:space="0" w:color="auto"/>
        <w:bottom w:val="none" w:sz="0" w:space="0" w:color="auto"/>
        <w:right w:val="none" w:sz="0" w:space="0" w:color="auto"/>
      </w:divBdr>
    </w:div>
    <w:div w:id="401680354">
      <w:bodyDiv w:val="1"/>
      <w:marLeft w:val="0"/>
      <w:marRight w:val="0"/>
      <w:marTop w:val="0"/>
      <w:marBottom w:val="0"/>
      <w:divBdr>
        <w:top w:val="none" w:sz="0" w:space="0" w:color="auto"/>
        <w:left w:val="none" w:sz="0" w:space="0" w:color="auto"/>
        <w:bottom w:val="none" w:sz="0" w:space="0" w:color="auto"/>
        <w:right w:val="none" w:sz="0" w:space="0" w:color="auto"/>
      </w:divBdr>
    </w:div>
    <w:div w:id="405998356">
      <w:bodyDiv w:val="1"/>
      <w:marLeft w:val="0"/>
      <w:marRight w:val="0"/>
      <w:marTop w:val="0"/>
      <w:marBottom w:val="0"/>
      <w:divBdr>
        <w:top w:val="none" w:sz="0" w:space="0" w:color="auto"/>
        <w:left w:val="none" w:sz="0" w:space="0" w:color="auto"/>
        <w:bottom w:val="none" w:sz="0" w:space="0" w:color="auto"/>
        <w:right w:val="none" w:sz="0" w:space="0" w:color="auto"/>
      </w:divBdr>
    </w:div>
    <w:div w:id="406150350">
      <w:bodyDiv w:val="1"/>
      <w:marLeft w:val="0"/>
      <w:marRight w:val="0"/>
      <w:marTop w:val="0"/>
      <w:marBottom w:val="0"/>
      <w:divBdr>
        <w:top w:val="none" w:sz="0" w:space="0" w:color="auto"/>
        <w:left w:val="none" w:sz="0" w:space="0" w:color="auto"/>
        <w:bottom w:val="none" w:sz="0" w:space="0" w:color="auto"/>
        <w:right w:val="none" w:sz="0" w:space="0" w:color="auto"/>
      </w:divBdr>
    </w:div>
    <w:div w:id="418723520">
      <w:bodyDiv w:val="1"/>
      <w:marLeft w:val="0"/>
      <w:marRight w:val="0"/>
      <w:marTop w:val="0"/>
      <w:marBottom w:val="0"/>
      <w:divBdr>
        <w:top w:val="none" w:sz="0" w:space="0" w:color="auto"/>
        <w:left w:val="none" w:sz="0" w:space="0" w:color="auto"/>
        <w:bottom w:val="none" w:sz="0" w:space="0" w:color="auto"/>
        <w:right w:val="none" w:sz="0" w:space="0" w:color="auto"/>
      </w:divBdr>
      <w:divsChild>
        <w:div w:id="116872412">
          <w:marLeft w:val="0"/>
          <w:marRight w:val="0"/>
          <w:marTop w:val="0"/>
          <w:marBottom w:val="0"/>
          <w:divBdr>
            <w:top w:val="none" w:sz="0" w:space="0" w:color="auto"/>
            <w:left w:val="none" w:sz="0" w:space="0" w:color="auto"/>
            <w:bottom w:val="none" w:sz="0" w:space="0" w:color="auto"/>
            <w:right w:val="none" w:sz="0" w:space="0" w:color="auto"/>
          </w:divBdr>
          <w:divsChild>
            <w:div w:id="610475133">
              <w:marLeft w:val="0"/>
              <w:marRight w:val="0"/>
              <w:marTop w:val="0"/>
              <w:marBottom w:val="0"/>
              <w:divBdr>
                <w:top w:val="none" w:sz="0" w:space="0" w:color="auto"/>
                <w:left w:val="none" w:sz="0" w:space="0" w:color="auto"/>
                <w:bottom w:val="none" w:sz="0" w:space="0" w:color="auto"/>
                <w:right w:val="none" w:sz="0" w:space="0" w:color="auto"/>
              </w:divBdr>
              <w:divsChild>
                <w:div w:id="644939877">
                  <w:marLeft w:val="0"/>
                  <w:marRight w:val="0"/>
                  <w:marTop w:val="0"/>
                  <w:marBottom w:val="0"/>
                  <w:divBdr>
                    <w:top w:val="none" w:sz="0" w:space="0" w:color="auto"/>
                    <w:left w:val="none" w:sz="0" w:space="0" w:color="auto"/>
                    <w:bottom w:val="none" w:sz="0" w:space="0" w:color="auto"/>
                    <w:right w:val="none" w:sz="0" w:space="0" w:color="auto"/>
                  </w:divBdr>
                  <w:divsChild>
                    <w:div w:id="694581741">
                      <w:marLeft w:val="0"/>
                      <w:marRight w:val="0"/>
                      <w:marTop w:val="0"/>
                      <w:marBottom w:val="0"/>
                      <w:divBdr>
                        <w:top w:val="none" w:sz="0" w:space="0" w:color="auto"/>
                        <w:left w:val="none" w:sz="0" w:space="0" w:color="auto"/>
                        <w:bottom w:val="none" w:sz="0" w:space="0" w:color="auto"/>
                        <w:right w:val="none" w:sz="0" w:space="0" w:color="auto"/>
                      </w:divBdr>
                      <w:divsChild>
                        <w:div w:id="6088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654455">
              <w:marLeft w:val="0"/>
              <w:marRight w:val="0"/>
              <w:marTop w:val="0"/>
              <w:marBottom w:val="0"/>
              <w:divBdr>
                <w:top w:val="none" w:sz="0" w:space="0" w:color="auto"/>
                <w:left w:val="none" w:sz="0" w:space="0" w:color="auto"/>
                <w:bottom w:val="none" w:sz="0" w:space="0" w:color="auto"/>
                <w:right w:val="none" w:sz="0" w:space="0" w:color="auto"/>
              </w:divBdr>
              <w:divsChild>
                <w:div w:id="1347949388">
                  <w:marLeft w:val="0"/>
                  <w:marRight w:val="0"/>
                  <w:marTop w:val="0"/>
                  <w:marBottom w:val="0"/>
                  <w:divBdr>
                    <w:top w:val="none" w:sz="0" w:space="0" w:color="auto"/>
                    <w:left w:val="none" w:sz="0" w:space="0" w:color="auto"/>
                    <w:bottom w:val="none" w:sz="0" w:space="0" w:color="auto"/>
                    <w:right w:val="none" w:sz="0" w:space="0" w:color="auto"/>
                  </w:divBdr>
                  <w:divsChild>
                    <w:div w:id="1853570525">
                      <w:marLeft w:val="0"/>
                      <w:marRight w:val="0"/>
                      <w:marTop w:val="0"/>
                      <w:marBottom w:val="0"/>
                      <w:divBdr>
                        <w:top w:val="none" w:sz="0" w:space="0" w:color="auto"/>
                        <w:left w:val="none" w:sz="0" w:space="0" w:color="auto"/>
                        <w:bottom w:val="none" w:sz="0" w:space="0" w:color="auto"/>
                        <w:right w:val="none" w:sz="0" w:space="0" w:color="auto"/>
                      </w:divBdr>
                      <w:divsChild>
                        <w:div w:id="4899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817185">
          <w:marLeft w:val="0"/>
          <w:marRight w:val="0"/>
          <w:marTop w:val="0"/>
          <w:marBottom w:val="0"/>
          <w:divBdr>
            <w:top w:val="none" w:sz="0" w:space="0" w:color="auto"/>
            <w:left w:val="none" w:sz="0" w:space="0" w:color="auto"/>
            <w:bottom w:val="none" w:sz="0" w:space="0" w:color="auto"/>
            <w:right w:val="none" w:sz="0" w:space="0" w:color="auto"/>
          </w:divBdr>
          <w:divsChild>
            <w:div w:id="1386370885">
              <w:marLeft w:val="0"/>
              <w:marRight w:val="0"/>
              <w:marTop w:val="0"/>
              <w:marBottom w:val="0"/>
              <w:divBdr>
                <w:top w:val="none" w:sz="0" w:space="0" w:color="auto"/>
                <w:left w:val="none" w:sz="0" w:space="0" w:color="auto"/>
                <w:bottom w:val="none" w:sz="0" w:space="0" w:color="auto"/>
                <w:right w:val="none" w:sz="0" w:space="0" w:color="auto"/>
              </w:divBdr>
              <w:divsChild>
                <w:div w:id="874004039">
                  <w:marLeft w:val="0"/>
                  <w:marRight w:val="0"/>
                  <w:marTop w:val="0"/>
                  <w:marBottom w:val="0"/>
                  <w:divBdr>
                    <w:top w:val="none" w:sz="0" w:space="0" w:color="auto"/>
                    <w:left w:val="none" w:sz="0" w:space="0" w:color="auto"/>
                    <w:bottom w:val="none" w:sz="0" w:space="0" w:color="auto"/>
                    <w:right w:val="none" w:sz="0" w:space="0" w:color="auto"/>
                  </w:divBdr>
                  <w:divsChild>
                    <w:div w:id="1768427249">
                      <w:marLeft w:val="0"/>
                      <w:marRight w:val="0"/>
                      <w:marTop w:val="0"/>
                      <w:marBottom w:val="0"/>
                      <w:divBdr>
                        <w:top w:val="none" w:sz="0" w:space="0" w:color="auto"/>
                        <w:left w:val="none" w:sz="0" w:space="0" w:color="auto"/>
                        <w:bottom w:val="none" w:sz="0" w:space="0" w:color="auto"/>
                        <w:right w:val="none" w:sz="0" w:space="0" w:color="auto"/>
                      </w:divBdr>
                      <w:divsChild>
                        <w:div w:id="9403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501941">
      <w:bodyDiv w:val="1"/>
      <w:marLeft w:val="0"/>
      <w:marRight w:val="0"/>
      <w:marTop w:val="0"/>
      <w:marBottom w:val="0"/>
      <w:divBdr>
        <w:top w:val="none" w:sz="0" w:space="0" w:color="auto"/>
        <w:left w:val="none" w:sz="0" w:space="0" w:color="auto"/>
        <w:bottom w:val="none" w:sz="0" w:space="0" w:color="auto"/>
        <w:right w:val="none" w:sz="0" w:space="0" w:color="auto"/>
      </w:divBdr>
    </w:div>
    <w:div w:id="425273816">
      <w:bodyDiv w:val="1"/>
      <w:marLeft w:val="0"/>
      <w:marRight w:val="0"/>
      <w:marTop w:val="0"/>
      <w:marBottom w:val="0"/>
      <w:divBdr>
        <w:top w:val="none" w:sz="0" w:space="0" w:color="auto"/>
        <w:left w:val="none" w:sz="0" w:space="0" w:color="auto"/>
        <w:bottom w:val="none" w:sz="0" w:space="0" w:color="auto"/>
        <w:right w:val="none" w:sz="0" w:space="0" w:color="auto"/>
      </w:divBdr>
    </w:div>
    <w:div w:id="450127769">
      <w:bodyDiv w:val="1"/>
      <w:marLeft w:val="0"/>
      <w:marRight w:val="0"/>
      <w:marTop w:val="0"/>
      <w:marBottom w:val="0"/>
      <w:divBdr>
        <w:top w:val="none" w:sz="0" w:space="0" w:color="auto"/>
        <w:left w:val="none" w:sz="0" w:space="0" w:color="auto"/>
        <w:bottom w:val="none" w:sz="0" w:space="0" w:color="auto"/>
        <w:right w:val="none" w:sz="0" w:space="0" w:color="auto"/>
      </w:divBdr>
    </w:div>
    <w:div w:id="452594950">
      <w:bodyDiv w:val="1"/>
      <w:marLeft w:val="0"/>
      <w:marRight w:val="0"/>
      <w:marTop w:val="0"/>
      <w:marBottom w:val="0"/>
      <w:divBdr>
        <w:top w:val="none" w:sz="0" w:space="0" w:color="auto"/>
        <w:left w:val="none" w:sz="0" w:space="0" w:color="auto"/>
        <w:bottom w:val="none" w:sz="0" w:space="0" w:color="auto"/>
        <w:right w:val="none" w:sz="0" w:space="0" w:color="auto"/>
      </w:divBdr>
    </w:div>
    <w:div w:id="463085412">
      <w:bodyDiv w:val="1"/>
      <w:marLeft w:val="0"/>
      <w:marRight w:val="0"/>
      <w:marTop w:val="0"/>
      <w:marBottom w:val="0"/>
      <w:divBdr>
        <w:top w:val="none" w:sz="0" w:space="0" w:color="auto"/>
        <w:left w:val="none" w:sz="0" w:space="0" w:color="auto"/>
        <w:bottom w:val="none" w:sz="0" w:space="0" w:color="auto"/>
        <w:right w:val="none" w:sz="0" w:space="0" w:color="auto"/>
      </w:divBdr>
    </w:div>
    <w:div w:id="464737156">
      <w:bodyDiv w:val="1"/>
      <w:marLeft w:val="0"/>
      <w:marRight w:val="0"/>
      <w:marTop w:val="0"/>
      <w:marBottom w:val="0"/>
      <w:divBdr>
        <w:top w:val="none" w:sz="0" w:space="0" w:color="auto"/>
        <w:left w:val="none" w:sz="0" w:space="0" w:color="auto"/>
        <w:bottom w:val="none" w:sz="0" w:space="0" w:color="auto"/>
        <w:right w:val="none" w:sz="0" w:space="0" w:color="auto"/>
      </w:divBdr>
    </w:div>
    <w:div w:id="468286689">
      <w:bodyDiv w:val="1"/>
      <w:marLeft w:val="0"/>
      <w:marRight w:val="0"/>
      <w:marTop w:val="0"/>
      <w:marBottom w:val="0"/>
      <w:divBdr>
        <w:top w:val="none" w:sz="0" w:space="0" w:color="auto"/>
        <w:left w:val="none" w:sz="0" w:space="0" w:color="auto"/>
        <w:bottom w:val="none" w:sz="0" w:space="0" w:color="auto"/>
        <w:right w:val="none" w:sz="0" w:space="0" w:color="auto"/>
      </w:divBdr>
    </w:div>
    <w:div w:id="474374282">
      <w:bodyDiv w:val="1"/>
      <w:marLeft w:val="0"/>
      <w:marRight w:val="0"/>
      <w:marTop w:val="0"/>
      <w:marBottom w:val="0"/>
      <w:divBdr>
        <w:top w:val="none" w:sz="0" w:space="0" w:color="auto"/>
        <w:left w:val="none" w:sz="0" w:space="0" w:color="auto"/>
        <w:bottom w:val="none" w:sz="0" w:space="0" w:color="auto"/>
        <w:right w:val="none" w:sz="0" w:space="0" w:color="auto"/>
      </w:divBdr>
    </w:div>
    <w:div w:id="478108267">
      <w:bodyDiv w:val="1"/>
      <w:marLeft w:val="0"/>
      <w:marRight w:val="0"/>
      <w:marTop w:val="0"/>
      <w:marBottom w:val="0"/>
      <w:divBdr>
        <w:top w:val="none" w:sz="0" w:space="0" w:color="auto"/>
        <w:left w:val="none" w:sz="0" w:space="0" w:color="auto"/>
        <w:bottom w:val="none" w:sz="0" w:space="0" w:color="auto"/>
        <w:right w:val="none" w:sz="0" w:space="0" w:color="auto"/>
      </w:divBdr>
    </w:div>
    <w:div w:id="480999544">
      <w:bodyDiv w:val="1"/>
      <w:marLeft w:val="0"/>
      <w:marRight w:val="0"/>
      <w:marTop w:val="0"/>
      <w:marBottom w:val="0"/>
      <w:divBdr>
        <w:top w:val="none" w:sz="0" w:space="0" w:color="auto"/>
        <w:left w:val="none" w:sz="0" w:space="0" w:color="auto"/>
        <w:bottom w:val="none" w:sz="0" w:space="0" w:color="auto"/>
        <w:right w:val="none" w:sz="0" w:space="0" w:color="auto"/>
      </w:divBdr>
    </w:div>
    <w:div w:id="484473860">
      <w:bodyDiv w:val="1"/>
      <w:marLeft w:val="0"/>
      <w:marRight w:val="0"/>
      <w:marTop w:val="0"/>
      <w:marBottom w:val="0"/>
      <w:divBdr>
        <w:top w:val="none" w:sz="0" w:space="0" w:color="auto"/>
        <w:left w:val="none" w:sz="0" w:space="0" w:color="auto"/>
        <w:bottom w:val="none" w:sz="0" w:space="0" w:color="auto"/>
        <w:right w:val="none" w:sz="0" w:space="0" w:color="auto"/>
      </w:divBdr>
      <w:divsChild>
        <w:div w:id="271860578">
          <w:marLeft w:val="0"/>
          <w:marRight w:val="0"/>
          <w:marTop w:val="0"/>
          <w:marBottom w:val="0"/>
          <w:divBdr>
            <w:top w:val="none" w:sz="0" w:space="0" w:color="auto"/>
            <w:left w:val="none" w:sz="0" w:space="0" w:color="auto"/>
            <w:bottom w:val="none" w:sz="0" w:space="0" w:color="auto"/>
            <w:right w:val="none" w:sz="0" w:space="0" w:color="auto"/>
          </w:divBdr>
          <w:divsChild>
            <w:div w:id="124547714">
              <w:marLeft w:val="0"/>
              <w:marRight w:val="0"/>
              <w:marTop w:val="0"/>
              <w:marBottom w:val="0"/>
              <w:divBdr>
                <w:top w:val="none" w:sz="0" w:space="0" w:color="auto"/>
                <w:left w:val="none" w:sz="0" w:space="0" w:color="auto"/>
                <w:bottom w:val="none" w:sz="0" w:space="0" w:color="auto"/>
                <w:right w:val="none" w:sz="0" w:space="0" w:color="auto"/>
              </w:divBdr>
              <w:divsChild>
                <w:div w:id="819342196">
                  <w:marLeft w:val="0"/>
                  <w:marRight w:val="0"/>
                  <w:marTop w:val="0"/>
                  <w:marBottom w:val="0"/>
                  <w:divBdr>
                    <w:top w:val="none" w:sz="0" w:space="0" w:color="auto"/>
                    <w:left w:val="none" w:sz="0" w:space="0" w:color="auto"/>
                    <w:bottom w:val="none" w:sz="0" w:space="0" w:color="auto"/>
                    <w:right w:val="none" w:sz="0" w:space="0" w:color="auto"/>
                  </w:divBdr>
                  <w:divsChild>
                    <w:div w:id="161748104">
                      <w:marLeft w:val="0"/>
                      <w:marRight w:val="0"/>
                      <w:marTop w:val="0"/>
                      <w:marBottom w:val="0"/>
                      <w:divBdr>
                        <w:top w:val="none" w:sz="0" w:space="0" w:color="auto"/>
                        <w:left w:val="none" w:sz="0" w:space="0" w:color="auto"/>
                        <w:bottom w:val="none" w:sz="0" w:space="0" w:color="auto"/>
                        <w:right w:val="none" w:sz="0" w:space="0" w:color="auto"/>
                      </w:divBdr>
                      <w:divsChild>
                        <w:div w:id="83880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172175">
      <w:bodyDiv w:val="1"/>
      <w:marLeft w:val="0"/>
      <w:marRight w:val="0"/>
      <w:marTop w:val="0"/>
      <w:marBottom w:val="0"/>
      <w:divBdr>
        <w:top w:val="none" w:sz="0" w:space="0" w:color="auto"/>
        <w:left w:val="none" w:sz="0" w:space="0" w:color="auto"/>
        <w:bottom w:val="none" w:sz="0" w:space="0" w:color="auto"/>
        <w:right w:val="none" w:sz="0" w:space="0" w:color="auto"/>
      </w:divBdr>
    </w:div>
    <w:div w:id="495848409">
      <w:bodyDiv w:val="1"/>
      <w:marLeft w:val="0"/>
      <w:marRight w:val="0"/>
      <w:marTop w:val="0"/>
      <w:marBottom w:val="0"/>
      <w:divBdr>
        <w:top w:val="none" w:sz="0" w:space="0" w:color="auto"/>
        <w:left w:val="none" w:sz="0" w:space="0" w:color="auto"/>
        <w:bottom w:val="none" w:sz="0" w:space="0" w:color="auto"/>
        <w:right w:val="none" w:sz="0" w:space="0" w:color="auto"/>
      </w:divBdr>
    </w:div>
    <w:div w:id="497381113">
      <w:bodyDiv w:val="1"/>
      <w:marLeft w:val="0"/>
      <w:marRight w:val="0"/>
      <w:marTop w:val="0"/>
      <w:marBottom w:val="0"/>
      <w:divBdr>
        <w:top w:val="none" w:sz="0" w:space="0" w:color="auto"/>
        <w:left w:val="none" w:sz="0" w:space="0" w:color="auto"/>
        <w:bottom w:val="none" w:sz="0" w:space="0" w:color="auto"/>
        <w:right w:val="none" w:sz="0" w:space="0" w:color="auto"/>
      </w:divBdr>
    </w:div>
    <w:div w:id="499661843">
      <w:bodyDiv w:val="1"/>
      <w:marLeft w:val="0"/>
      <w:marRight w:val="0"/>
      <w:marTop w:val="0"/>
      <w:marBottom w:val="0"/>
      <w:divBdr>
        <w:top w:val="none" w:sz="0" w:space="0" w:color="auto"/>
        <w:left w:val="none" w:sz="0" w:space="0" w:color="auto"/>
        <w:bottom w:val="none" w:sz="0" w:space="0" w:color="auto"/>
        <w:right w:val="none" w:sz="0" w:space="0" w:color="auto"/>
      </w:divBdr>
    </w:div>
    <w:div w:id="502476783">
      <w:bodyDiv w:val="1"/>
      <w:marLeft w:val="0"/>
      <w:marRight w:val="0"/>
      <w:marTop w:val="0"/>
      <w:marBottom w:val="0"/>
      <w:divBdr>
        <w:top w:val="none" w:sz="0" w:space="0" w:color="auto"/>
        <w:left w:val="none" w:sz="0" w:space="0" w:color="auto"/>
        <w:bottom w:val="none" w:sz="0" w:space="0" w:color="auto"/>
        <w:right w:val="none" w:sz="0" w:space="0" w:color="auto"/>
      </w:divBdr>
      <w:divsChild>
        <w:div w:id="187108417">
          <w:marLeft w:val="0"/>
          <w:marRight w:val="0"/>
          <w:marTop w:val="0"/>
          <w:marBottom w:val="0"/>
          <w:divBdr>
            <w:top w:val="none" w:sz="0" w:space="0" w:color="auto"/>
            <w:left w:val="none" w:sz="0" w:space="0" w:color="auto"/>
            <w:bottom w:val="none" w:sz="0" w:space="0" w:color="auto"/>
            <w:right w:val="none" w:sz="0" w:space="0" w:color="auto"/>
          </w:divBdr>
          <w:divsChild>
            <w:div w:id="221795127">
              <w:marLeft w:val="0"/>
              <w:marRight w:val="0"/>
              <w:marTop w:val="0"/>
              <w:marBottom w:val="0"/>
              <w:divBdr>
                <w:top w:val="none" w:sz="0" w:space="0" w:color="auto"/>
                <w:left w:val="none" w:sz="0" w:space="0" w:color="auto"/>
                <w:bottom w:val="none" w:sz="0" w:space="0" w:color="auto"/>
                <w:right w:val="none" w:sz="0" w:space="0" w:color="auto"/>
              </w:divBdr>
              <w:divsChild>
                <w:div w:id="123545606">
                  <w:marLeft w:val="0"/>
                  <w:marRight w:val="0"/>
                  <w:marTop w:val="0"/>
                  <w:marBottom w:val="0"/>
                  <w:divBdr>
                    <w:top w:val="none" w:sz="0" w:space="0" w:color="auto"/>
                    <w:left w:val="none" w:sz="0" w:space="0" w:color="auto"/>
                    <w:bottom w:val="none" w:sz="0" w:space="0" w:color="auto"/>
                    <w:right w:val="none" w:sz="0" w:space="0" w:color="auto"/>
                  </w:divBdr>
                  <w:divsChild>
                    <w:div w:id="356388785">
                      <w:marLeft w:val="0"/>
                      <w:marRight w:val="0"/>
                      <w:marTop w:val="0"/>
                      <w:marBottom w:val="0"/>
                      <w:divBdr>
                        <w:top w:val="none" w:sz="0" w:space="0" w:color="auto"/>
                        <w:left w:val="none" w:sz="0" w:space="0" w:color="auto"/>
                        <w:bottom w:val="none" w:sz="0" w:space="0" w:color="auto"/>
                        <w:right w:val="none" w:sz="0" w:space="0" w:color="auto"/>
                      </w:divBdr>
                      <w:divsChild>
                        <w:div w:id="71369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266925">
      <w:bodyDiv w:val="1"/>
      <w:marLeft w:val="0"/>
      <w:marRight w:val="0"/>
      <w:marTop w:val="0"/>
      <w:marBottom w:val="0"/>
      <w:divBdr>
        <w:top w:val="none" w:sz="0" w:space="0" w:color="auto"/>
        <w:left w:val="none" w:sz="0" w:space="0" w:color="auto"/>
        <w:bottom w:val="none" w:sz="0" w:space="0" w:color="auto"/>
        <w:right w:val="none" w:sz="0" w:space="0" w:color="auto"/>
      </w:divBdr>
    </w:div>
    <w:div w:id="517086547">
      <w:bodyDiv w:val="1"/>
      <w:marLeft w:val="0"/>
      <w:marRight w:val="0"/>
      <w:marTop w:val="0"/>
      <w:marBottom w:val="0"/>
      <w:divBdr>
        <w:top w:val="none" w:sz="0" w:space="0" w:color="auto"/>
        <w:left w:val="none" w:sz="0" w:space="0" w:color="auto"/>
        <w:bottom w:val="none" w:sz="0" w:space="0" w:color="auto"/>
        <w:right w:val="none" w:sz="0" w:space="0" w:color="auto"/>
      </w:divBdr>
    </w:div>
    <w:div w:id="520431908">
      <w:bodyDiv w:val="1"/>
      <w:marLeft w:val="0"/>
      <w:marRight w:val="0"/>
      <w:marTop w:val="0"/>
      <w:marBottom w:val="0"/>
      <w:divBdr>
        <w:top w:val="none" w:sz="0" w:space="0" w:color="auto"/>
        <w:left w:val="none" w:sz="0" w:space="0" w:color="auto"/>
        <w:bottom w:val="none" w:sz="0" w:space="0" w:color="auto"/>
        <w:right w:val="none" w:sz="0" w:space="0" w:color="auto"/>
      </w:divBdr>
    </w:div>
    <w:div w:id="526874981">
      <w:bodyDiv w:val="1"/>
      <w:marLeft w:val="0"/>
      <w:marRight w:val="0"/>
      <w:marTop w:val="0"/>
      <w:marBottom w:val="0"/>
      <w:divBdr>
        <w:top w:val="none" w:sz="0" w:space="0" w:color="auto"/>
        <w:left w:val="none" w:sz="0" w:space="0" w:color="auto"/>
        <w:bottom w:val="none" w:sz="0" w:space="0" w:color="auto"/>
        <w:right w:val="none" w:sz="0" w:space="0" w:color="auto"/>
      </w:divBdr>
    </w:div>
    <w:div w:id="535430467">
      <w:bodyDiv w:val="1"/>
      <w:marLeft w:val="0"/>
      <w:marRight w:val="0"/>
      <w:marTop w:val="0"/>
      <w:marBottom w:val="0"/>
      <w:divBdr>
        <w:top w:val="none" w:sz="0" w:space="0" w:color="auto"/>
        <w:left w:val="none" w:sz="0" w:space="0" w:color="auto"/>
        <w:bottom w:val="none" w:sz="0" w:space="0" w:color="auto"/>
        <w:right w:val="none" w:sz="0" w:space="0" w:color="auto"/>
      </w:divBdr>
    </w:div>
    <w:div w:id="537930802">
      <w:bodyDiv w:val="1"/>
      <w:marLeft w:val="0"/>
      <w:marRight w:val="0"/>
      <w:marTop w:val="0"/>
      <w:marBottom w:val="0"/>
      <w:divBdr>
        <w:top w:val="none" w:sz="0" w:space="0" w:color="auto"/>
        <w:left w:val="none" w:sz="0" w:space="0" w:color="auto"/>
        <w:bottom w:val="none" w:sz="0" w:space="0" w:color="auto"/>
        <w:right w:val="none" w:sz="0" w:space="0" w:color="auto"/>
      </w:divBdr>
    </w:div>
    <w:div w:id="559901158">
      <w:bodyDiv w:val="1"/>
      <w:marLeft w:val="0"/>
      <w:marRight w:val="0"/>
      <w:marTop w:val="0"/>
      <w:marBottom w:val="0"/>
      <w:divBdr>
        <w:top w:val="none" w:sz="0" w:space="0" w:color="auto"/>
        <w:left w:val="none" w:sz="0" w:space="0" w:color="auto"/>
        <w:bottom w:val="none" w:sz="0" w:space="0" w:color="auto"/>
        <w:right w:val="none" w:sz="0" w:space="0" w:color="auto"/>
      </w:divBdr>
    </w:div>
    <w:div w:id="562184068">
      <w:bodyDiv w:val="1"/>
      <w:marLeft w:val="0"/>
      <w:marRight w:val="0"/>
      <w:marTop w:val="0"/>
      <w:marBottom w:val="0"/>
      <w:divBdr>
        <w:top w:val="none" w:sz="0" w:space="0" w:color="auto"/>
        <w:left w:val="none" w:sz="0" w:space="0" w:color="auto"/>
        <w:bottom w:val="none" w:sz="0" w:space="0" w:color="auto"/>
        <w:right w:val="none" w:sz="0" w:space="0" w:color="auto"/>
      </w:divBdr>
    </w:div>
    <w:div w:id="570190171">
      <w:bodyDiv w:val="1"/>
      <w:marLeft w:val="0"/>
      <w:marRight w:val="0"/>
      <w:marTop w:val="0"/>
      <w:marBottom w:val="0"/>
      <w:divBdr>
        <w:top w:val="none" w:sz="0" w:space="0" w:color="auto"/>
        <w:left w:val="none" w:sz="0" w:space="0" w:color="auto"/>
        <w:bottom w:val="none" w:sz="0" w:space="0" w:color="auto"/>
        <w:right w:val="none" w:sz="0" w:space="0" w:color="auto"/>
      </w:divBdr>
    </w:div>
    <w:div w:id="571814996">
      <w:bodyDiv w:val="1"/>
      <w:marLeft w:val="0"/>
      <w:marRight w:val="0"/>
      <w:marTop w:val="0"/>
      <w:marBottom w:val="0"/>
      <w:divBdr>
        <w:top w:val="none" w:sz="0" w:space="0" w:color="auto"/>
        <w:left w:val="none" w:sz="0" w:space="0" w:color="auto"/>
        <w:bottom w:val="none" w:sz="0" w:space="0" w:color="auto"/>
        <w:right w:val="none" w:sz="0" w:space="0" w:color="auto"/>
      </w:divBdr>
    </w:div>
    <w:div w:id="573667037">
      <w:bodyDiv w:val="1"/>
      <w:marLeft w:val="0"/>
      <w:marRight w:val="0"/>
      <w:marTop w:val="0"/>
      <w:marBottom w:val="0"/>
      <w:divBdr>
        <w:top w:val="none" w:sz="0" w:space="0" w:color="auto"/>
        <w:left w:val="none" w:sz="0" w:space="0" w:color="auto"/>
        <w:bottom w:val="none" w:sz="0" w:space="0" w:color="auto"/>
        <w:right w:val="none" w:sz="0" w:space="0" w:color="auto"/>
      </w:divBdr>
    </w:div>
    <w:div w:id="590159095">
      <w:bodyDiv w:val="1"/>
      <w:marLeft w:val="0"/>
      <w:marRight w:val="0"/>
      <w:marTop w:val="0"/>
      <w:marBottom w:val="0"/>
      <w:divBdr>
        <w:top w:val="none" w:sz="0" w:space="0" w:color="auto"/>
        <w:left w:val="none" w:sz="0" w:space="0" w:color="auto"/>
        <w:bottom w:val="none" w:sz="0" w:space="0" w:color="auto"/>
        <w:right w:val="none" w:sz="0" w:space="0" w:color="auto"/>
      </w:divBdr>
    </w:div>
    <w:div w:id="596594860">
      <w:bodyDiv w:val="1"/>
      <w:marLeft w:val="0"/>
      <w:marRight w:val="0"/>
      <w:marTop w:val="0"/>
      <w:marBottom w:val="0"/>
      <w:divBdr>
        <w:top w:val="none" w:sz="0" w:space="0" w:color="auto"/>
        <w:left w:val="none" w:sz="0" w:space="0" w:color="auto"/>
        <w:bottom w:val="none" w:sz="0" w:space="0" w:color="auto"/>
        <w:right w:val="none" w:sz="0" w:space="0" w:color="auto"/>
      </w:divBdr>
      <w:divsChild>
        <w:div w:id="58671389">
          <w:marLeft w:val="0"/>
          <w:marRight w:val="0"/>
          <w:marTop w:val="0"/>
          <w:marBottom w:val="0"/>
          <w:divBdr>
            <w:top w:val="none" w:sz="0" w:space="0" w:color="auto"/>
            <w:left w:val="none" w:sz="0" w:space="0" w:color="auto"/>
            <w:bottom w:val="none" w:sz="0" w:space="0" w:color="auto"/>
            <w:right w:val="none" w:sz="0" w:space="0" w:color="auto"/>
          </w:divBdr>
          <w:divsChild>
            <w:div w:id="909462693">
              <w:marLeft w:val="0"/>
              <w:marRight w:val="0"/>
              <w:marTop w:val="0"/>
              <w:marBottom w:val="0"/>
              <w:divBdr>
                <w:top w:val="none" w:sz="0" w:space="0" w:color="auto"/>
                <w:left w:val="none" w:sz="0" w:space="0" w:color="auto"/>
                <w:bottom w:val="none" w:sz="0" w:space="0" w:color="auto"/>
                <w:right w:val="none" w:sz="0" w:space="0" w:color="auto"/>
              </w:divBdr>
              <w:divsChild>
                <w:div w:id="1947422110">
                  <w:marLeft w:val="0"/>
                  <w:marRight w:val="0"/>
                  <w:marTop w:val="0"/>
                  <w:marBottom w:val="0"/>
                  <w:divBdr>
                    <w:top w:val="none" w:sz="0" w:space="0" w:color="auto"/>
                    <w:left w:val="none" w:sz="0" w:space="0" w:color="auto"/>
                    <w:bottom w:val="none" w:sz="0" w:space="0" w:color="auto"/>
                    <w:right w:val="none" w:sz="0" w:space="0" w:color="auto"/>
                  </w:divBdr>
                  <w:divsChild>
                    <w:div w:id="882520057">
                      <w:marLeft w:val="0"/>
                      <w:marRight w:val="0"/>
                      <w:marTop w:val="0"/>
                      <w:marBottom w:val="0"/>
                      <w:divBdr>
                        <w:top w:val="none" w:sz="0" w:space="0" w:color="auto"/>
                        <w:left w:val="none" w:sz="0" w:space="0" w:color="auto"/>
                        <w:bottom w:val="none" w:sz="0" w:space="0" w:color="auto"/>
                        <w:right w:val="none" w:sz="0" w:space="0" w:color="auto"/>
                      </w:divBdr>
                      <w:divsChild>
                        <w:div w:id="312103589">
                          <w:marLeft w:val="0"/>
                          <w:marRight w:val="0"/>
                          <w:marTop w:val="0"/>
                          <w:marBottom w:val="0"/>
                          <w:divBdr>
                            <w:top w:val="none" w:sz="0" w:space="0" w:color="auto"/>
                            <w:left w:val="none" w:sz="0" w:space="0" w:color="auto"/>
                            <w:bottom w:val="none" w:sz="0" w:space="0" w:color="auto"/>
                            <w:right w:val="none" w:sz="0" w:space="0" w:color="auto"/>
                          </w:divBdr>
                          <w:divsChild>
                            <w:div w:id="108282545">
                              <w:marLeft w:val="0"/>
                              <w:marRight w:val="0"/>
                              <w:marTop w:val="0"/>
                              <w:marBottom w:val="0"/>
                              <w:divBdr>
                                <w:top w:val="none" w:sz="0" w:space="0" w:color="auto"/>
                                <w:left w:val="none" w:sz="0" w:space="0" w:color="auto"/>
                                <w:bottom w:val="none" w:sz="0" w:space="0" w:color="auto"/>
                                <w:right w:val="none" w:sz="0" w:space="0" w:color="auto"/>
                              </w:divBdr>
                              <w:divsChild>
                                <w:div w:id="487327175">
                                  <w:marLeft w:val="0"/>
                                  <w:marRight w:val="0"/>
                                  <w:marTop w:val="0"/>
                                  <w:marBottom w:val="0"/>
                                  <w:divBdr>
                                    <w:top w:val="none" w:sz="0" w:space="0" w:color="auto"/>
                                    <w:left w:val="none" w:sz="0" w:space="0" w:color="auto"/>
                                    <w:bottom w:val="none" w:sz="0" w:space="0" w:color="auto"/>
                                    <w:right w:val="none" w:sz="0" w:space="0" w:color="auto"/>
                                  </w:divBdr>
                                  <w:divsChild>
                                    <w:div w:id="739062481">
                                      <w:marLeft w:val="0"/>
                                      <w:marRight w:val="0"/>
                                      <w:marTop w:val="0"/>
                                      <w:marBottom w:val="0"/>
                                      <w:divBdr>
                                        <w:top w:val="none" w:sz="0" w:space="0" w:color="auto"/>
                                        <w:left w:val="none" w:sz="0" w:space="0" w:color="auto"/>
                                        <w:bottom w:val="none" w:sz="0" w:space="0" w:color="auto"/>
                                        <w:right w:val="none" w:sz="0" w:space="0" w:color="auto"/>
                                      </w:divBdr>
                                      <w:divsChild>
                                        <w:div w:id="185337050">
                                          <w:marLeft w:val="0"/>
                                          <w:marRight w:val="0"/>
                                          <w:marTop w:val="0"/>
                                          <w:marBottom w:val="0"/>
                                          <w:divBdr>
                                            <w:top w:val="none" w:sz="0" w:space="0" w:color="auto"/>
                                            <w:left w:val="none" w:sz="0" w:space="0" w:color="auto"/>
                                            <w:bottom w:val="none" w:sz="0" w:space="0" w:color="auto"/>
                                            <w:right w:val="none" w:sz="0" w:space="0" w:color="auto"/>
                                          </w:divBdr>
                                          <w:divsChild>
                                            <w:div w:id="8642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839760">
                                  <w:marLeft w:val="0"/>
                                  <w:marRight w:val="0"/>
                                  <w:marTop w:val="0"/>
                                  <w:marBottom w:val="0"/>
                                  <w:divBdr>
                                    <w:top w:val="none" w:sz="0" w:space="0" w:color="auto"/>
                                    <w:left w:val="none" w:sz="0" w:space="0" w:color="auto"/>
                                    <w:bottom w:val="none" w:sz="0" w:space="0" w:color="auto"/>
                                    <w:right w:val="none" w:sz="0" w:space="0" w:color="auto"/>
                                  </w:divBdr>
                                  <w:divsChild>
                                    <w:div w:id="61467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376016">
          <w:marLeft w:val="0"/>
          <w:marRight w:val="0"/>
          <w:marTop w:val="0"/>
          <w:marBottom w:val="0"/>
          <w:divBdr>
            <w:top w:val="none" w:sz="0" w:space="0" w:color="auto"/>
            <w:left w:val="none" w:sz="0" w:space="0" w:color="auto"/>
            <w:bottom w:val="none" w:sz="0" w:space="0" w:color="auto"/>
            <w:right w:val="none" w:sz="0" w:space="0" w:color="auto"/>
          </w:divBdr>
          <w:divsChild>
            <w:div w:id="1960212483">
              <w:marLeft w:val="0"/>
              <w:marRight w:val="0"/>
              <w:marTop w:val="0"/>
              <w:marBottom w:val="0"/>
              <w:divBdr>
                <w:top w:val="none" w:sz="0" w:space="0" w:color="auto"/>
                <w:left w:val="none" w:sz="0" w:space="0" w:color="auto"/>
                <w:bottom w:val="none" w:sz="0" w:space="0" w:color="auto"/>
                <w:right w:val="none" w:sz="0" w:space="0" w:color="auto"/>
              </w:divBdr>
              <w:divsChild>
                <w:div w:id="1191798557">
                  <w:marLeft w:val="0"/>
                  <w:marRight w:val="0"/>
                  <w:marTop w:val="0"/>
                  <w:marBottom w:val="0"/>
                  <w:divBdr>
                    <w:top w:val="none" w:sz="0" w:space="0" w:color="auto"/>
                    <w:left w:val="none" w:sz="0" w:space="0" w:color="auto"/>
                    <w:bottom w:val="none" w:sz="0" w:space="0" w:color="auto"/>
                    <w:right w:val="none" w:sz="0" w:space="0" w:color="auto"/>
                  </w:divBdr>
                  <w:divsChild>
                    <w:div w:id="1965581044">
                      <w:marLeft w:val="0"/>
                      <w:marRight w:val="0"/>
                      <w:marTop w:val="0"/>
                      <w:marBottom w:val="0"/>
                      <w:divBdr>
                        <w:top w:val="none" w:sz="0" w:space="0" w:color="auto"/>
                        <w:left w:val="none" w:sz="0" w:space="0" w:color="auto"/>
                        <w:bottom w:val="none" w:sz="0" w:space="0" w:color="auto"/>
                        <w:right w:val="none" w:sz="0" w:space="0" w:color="auto"/>
                      </w:divBdr>
                      <w:divsChild>
                        <w:div w:id="136336129">
                          <w:marLeft w:val="0"/>
                          <w:marRight w:val="0"/>
                          <w:marTop w:val="0"/>
                          <w:marBottom w:val="0"/>
                          <w:divBdr>
                            <w:top w:val="none" w:sz="0" w:space="0" w:color="auto"/>
                            <w:left w:val="none" w:sz="0" w:space="0" w:color="auto"/>
                            <w:bottom w:val="none" w:sz="0" w:space="0" w:color="auto"/>
                            <w:right w:val="none" w:sz="0" w:space="0" w:color="auto"/>
                          </w:divBdr>
                          <w:divsChild>
                            <w:div w:id="1009214521">
                              <w:marLeft w:val="0"/>
                              <w:marRight w:val="0"/>
                              <w:marTop w:val="0"/>
                              <w:marBottom w:val="0"/>
                              <w:divBdr>
                                <w:top w:val="none" w:sz="0" w:space="0" w:color="auto"/>
                                <w:left w:val="none" w:sz="0" w:space="0" w:color="auto"/>
                                <w:bottom w:val="none" w:sz="0" w:space="0" w:color="auto"/>
                                <w:right w:val="none" w:sz="0" w:space="0" w:color="auto"/>
                              </w:divBdr>
                              <w:divsChild>
                                <w:div w:id="1520848056">
                                  <w:marLeft w:val="0"/>
                                  <w:marRight w:val="0"/>
                                  <w:marTop w:val="0"/>
                                  <w:marBottom w:val="0"/>
                                  <w:divBdr>
                                    <w:top w:val="none" w:sz="0" w:space="0" w:color="auto"/>
                                    <w:left w:val="none" w:sz="0" w:space="0" w:color="auto"/>
                                    <w:bottom w:val="none" w:sz="0" w:space="0" w:color="auto"/>
                                    <w:right w:val="none" w:sz="0" w:space="0" w:color="auto"/>
                                  </w:divBdr>
                                  <w:divsChild>
                                    <w:div w:id="37364764">
                                      <w:marLeft w:val="0"/>
                                      <w:marRight w:val="0"/>
                                      <w:marTop w:val="0"/>
                                      <w:marBottom w:val="0"/>
                                      <w:divBdr>
                                        <w:top w:val="none" w:sz="0" w:space="0" w:color="auto"/>
                                        <w:left w:val="none" w:sz="0" w:space="0" w:color="auto"/>
                                        <w:bottom w:val="none" w:sz="0" w:space="0" w:color="auto"/>
                                        <w:right w:val="none" w:sz="0" w:space="0" w:color="auto"/>
                                      </w:divBdr>
                                      <w:divsChild>
                                        <w:div w:id="102700400">
                                          <w:marLeft w:val="0"/>
                                          <w:marRight w:val="0"/>
                                          <w:marTop w:val="0"/>
                                          <w:marBottom w:val="0"/>
                                          <w:divBdr>
                                            <w:top w:val="none" w:sz="0" w:space="0" w:color="auto"/>
                                            <w:left w:val="none" w:sz="0" w:space="0" w:color="auto"/>
                                            <w:bottom w:val="none" w:sz="0" w:space="0" w:color="auto"/>
                                            <w:right w:val="none" w:sz="0" w:space="0" w:color="auto"/>
                                          </w:divBdr>
                                          <w:divsChild>
                                            <w:div w:id="989335133">
                                              <w:marLeft w:val="0"/>
                                              <w:marRight w:val="0"/>
                                              <w:marTop w:val="0"/>
                                              <w:marBottom w:val="0"/>
                                              <w:divBdr>
                                                <w:top w:val="none" w:sz="0" w:space="0" w:color="auto"/>
                                                <w:left w:val="none" w:sz="0" w:space="0" w:color="auto"/>
                                                <w:bottom w:val="none" w:sz="0" w:space="0" w:color="auto"/>
                                                <w:right w:val="none" w:sz="0" w:space="0" w:color="auto"/>
                                              </w:divBdr>
                                              <w:divsChild>
                                                <w:div w:id="2856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2151351">
      <w:bodyDiv w:val="1"/>
      <w:marLeft w:val="0"/>
      <w:marRight w:val="0"/>
      <w:marTop w:val="0"/>
      <w:marBottom w:val="0"/>
      <w:divBdr>
        <w:top w:val="none" w:sz="0" w:space="0" w:color="auto"/>
        <w:left w:val="none" w:sz="0" w:space="0" w:color="auto"/>
        <w:bottom w:val="none" w:sz="0" w:space="0" w:color="auto"/>
        <w:right w:val="none" w:sz="0" w:space="0" w:color="auto"/>
      </w:divBdr>
    </w:div>
    <w:div w:id="613437248">
      <w:bodyDiv w:val="1"/>
      <w:marLeft w:val="0"/>
      <w:marRight w:val="0"/>
      <w:marTop w:val="0"/>
      <w:marBottom w:val="0"/>
      <w:divBdr>
        <w:top w:val="none" w:sz="0" w:space="0" w:color="auto"/>
        <w:left w:val="none" w:sz="0" w:space="0" w:color="auto"/>
        <w:bottom w:val="none" w:sz="0" w:space="0" w:color="auto"/>
        <w:right w:val="none" w:sz="0" w:space="0" w:color="auto"/>
      </w:divBdr>
      <w:divsChild>
        <w:div w:id="1289967213">
          <w:marLeft w:val="0"/>
          <w:marRight w:val="0"/>
          <w:marTop w:val="0"/>
          <w:marBottom w:val="0"/>
          <w:divBdr>
            <w:top w:val="none" w:sz="0" w:space="0" w:color="auto"/>
            <w:left w:val="none" w:sz="0" w:space="0" w:color="auto"/>
            <w:bottom w:val="none" w:sz="0" w:space="0" w:color="auto"/>
            <w:right w:val="none" w:sz="0" w:space="0" w:color="auto"/>
          </w:divBdr>
          <w:divsChild>
            <w:div w:id="995764606">
              <w:marLeft w:val="0"/>
              <w:marRight w:val="0"/>
              <w:marTop w:val="0"/>
              <w:marBottom w:val="0"/>
              <w:divBdr>
                <w:top w:val="none" w:sz="0" w:space="0" w:color="auto"/>
                <w:left w:val="none" w:sz="0" w:space="0" w:color="auto"/>
                <w:bottom w:val="none" w:sz="0" w:space="0" w:color="auto"/>
                <w:right w:val="none" w:sz="0" w:space="0" w:color="auto"/>
              </w:divBdr>
              <w:divsChild>
                <w:div w:id="506749857">
                  <w:marLeft w:val="0"/>
                  <w:marRight w:val="0"/>
                  <w:marTop w:val="0"/>
                  <w:marBottom w:val="0"/>
                  <w:divBdr>
                    <w:top w:val="none" w:sz="0" w:space="0" w:color="auto"/>
                    <w:left w:val="none" w:sz="0" w:space="0" w:color="auto"/>
                    <w:bottom w:val="none" w:sz="0" w:space="0" w:color="auto"/>
                    <w:right w:val="none" w:sz="0" w:space="0" w:color="auto"/>
                  </w:divBdr>
                  <w:divsChild>
                    <w:div w:id="1185365657">
                      <w:marLeft w:val="0"/>
                      <w:marRight w:val="0"/>
                      <w:marTop w:val="0"/>
                      <w:marBottom w:val="0"/>
                      <w:divBdr>
                        <w:top w:val="none" w:sz="0" w:space="0" w:color="auto"/>
                        <w:left w:val="none" w:sz="0" w:space="0" w:color="auto"/>
                        <w:bottom w:val="none" w:sz="0" w:space="0" w:color="auto"/>
                        <w:right w:val="none" w:sz="0" w:space="0" w:color="auto"/>
                      </w:divBdr>
                      <w:divsChild>
                        <w:div w:id="54421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855073">
      <w:bodyDiv w:val="1"/>
      <w:marLeft w:val="0"/>
      <w:marRight w:val="0"/>
      <w:marTop w:val="0"/>
      <w:marBottom w:val="0"/>
      <w:divBdr>
        <w:top w:val="none" w:sz="0" w:space="0" w:color="auto"/>
        <w:left w:val="none" w:sz="0" w:space="0" w:color="auto"/>
        <w:bottom w:val="none" w:sz="0" w:space="0" w:color="auto"/>
        <w:right w:val="none" w:sz="0" w:space="0" w:color="auto"/>
      </w:divBdr>
    </w:div>
    <w:div w:id="648753614">
      <w:bodyDiv w:val="1"/>
      <w:marLeft w:val="0"/>
      <w:marRight w:val="0"/>
      <w:marTop w:val="0"/>
      <w:marBottom w:val="0"/>
      <w:divBdr>
        <w:top w:val="none" w:sz="0" w:space="0" w:color="auto"/>
        <w:left w:val="none" w:sz="0" w:space="0" w:color="auto"/>
        <w:bottom w:val="none" w:sz="0" w:space="0" w:color="auto"/>
        <w:right w:val="none" w:sz="0" w:space="0" w:color="auto"/>
      </w:divBdr>
    </w:div>
    <w:div w:id="656153379">
      <w:bodyDiv w:val="1"/>
      <w:marLeft w:val="0"/>
      <w:marRight w:val="0"/>
      <w:marTop w:val="0"/>
      <w:marBottom w:val="0"/>
      <w:divBdr>
        <w:top w:val="none" w:sz="0" w:space="0" w:color="auto"/>
        <w:left w:val="none" w:sz="0" w:space="0" w:color="auto"/>
        <w:bottom w:val="none" w:sz="0" w:space="0" w:color="auto"/>
        <w:right w:val="none" w:sz="0" w:space="0" w:color="auto"/>
      </w:divBdr>
    </w:div>
    <w:div w:id="661392967">
      <w:bodyDiv w:val="1"/>
      <w:marLeft w:val="0"/>
      <w:marRight w:val="0"/>
      <w:marTop w:val="0"/>
      <w:marBottom w:val="0"/>
      <w:divBdr>
        <w:top w:val="none" w:sz="0" w:space="0" w:color="auto"/>
        <w:left w:val="none" w:sz="0" w:space="0" w:color="auto"/>
        <w:bottom w:val="none" w:sz="0" w:space="0" w:color="auto"/>
        <w:right w:val="none" w:sz="0" w:space="0" w:color="auto"/>
      </w:divBdr>
    </w:div>
    <w:div w:id="662514877">
      <w:bodyDiv w:val="1"/>
      <w:marLeft w:val="0"/>
      <w:marRight w:val="0"/>
      <w:marTop w:val="0"/>
      <w:marBottom w:val="0"/>
      <w:divBdr>
        <w:top w:val="none" w:sz="0" w:space="0" w:color="auto"/>
        <w:left w:val="none" w:sz="0" w:space="0" w:color="auto"/>
        <w:bottom w:val="none" w:sz="0" w:space="0" w:color="auto"/>
        <w:right w:val="none" w:sz="0" w:space="0" w:color="auto"/>
      </w:divBdr>
    </w:div>
    <w:div w:id="665864475">
      <w:bodyDiv w:val="1"/>
      <w:marLeft w:val="0"/>
      <w:marRight w:val="0"/>
      <w:marTop w:val="0"/>
      <w:marBottom w:val="0"/>
      <w:divBdr>
        <w:top w:val="none" w:sz="0" w:space="0" w:color="auto"/>
        <w:left w:val="none" w:sz="0" w:space="0" w:color="auto"/>
        <w:bottom w:val="none" w:sz="0" w:space="0" w:color="auto"/>
        <w:right w:val="none" w:sz="0" w:space="0" w:color="auto"/>
      </w:divBdr>
    </w:div>
    <w:div w:id="668408742">
      <w:bodyDiv w:val="1"/>
      <w:marLeft w:val="0"/>
      <w:marRight w:val="0"/>
      <w:marTop w:val="0"/>
      <w:marBottom w:val="0"/>
      <w:divBdr>
        <w:top w:val="none" w:sz="0" w:space="0" w:color="auto"/>
        <w:left w:val="none" w:sz="0" w:space="0" w:color="auto"/>
        <w:bottom w:val="none" w:sz="0" w:space="0" w:color="auto"/>
        <w:right w:val="none" w:sz="0" w:space="0" w:color="auto"/>
      </w:divBdr>
    </w:div>
    <w:div w:id="674965825">
      <w:bodyDiv w:val="1"/>
      <w:marLeft w:val="0"/>
      <w:marRight w:val="0"/>
      <w:marTop w:val="0"/>
      <w:marBottom w:val="0"/>
      <w:divBdr>
        <w:top w:val="none" w:sz="0" w:space="0" w:color="auto"/>
        <w:left w:val="none" w:sz="0" w:space="0" w:color="auto"/>
        <w:bottom w:val="none" w:sz="0" w:space="0" w:color="auto"/>
        <w:right w:val="none" w:sz="0" w:space="0" w:color="auto"/>
      </w:divBdr>
    </w:div>
    <w:div w:id="683551249">
      <w:bodyDiv w:val="1"/>
      <w:marLeft w:val="0"/>
      <w:marRight w:val="0"/>
      <w:marTop w:val="0"/>
      <w:marBottom w:val="0"/>
      <w:divBdr>
        <w:top w:val="none" w:sz="0" w:space="0" w:color="auto"/>
        <w:left w:val="none" w:sz="0" w:space="0" w:color="auto"/>
        <w:bottom w:val="none" w:sz="0" w:space="0" w:color="auto"/>
        <w:right w:val="none" w:sz="0" w:space="0" w:color="auto"/>
      </w:divBdr>
    </w:div>
    <w:div w:id="684281664">
      <w:bodyDiv w:val="1"/>
      <w:marLeft w:val="0"/>
      <w:marRight w:val="0"/>
      <w:marTop w:val="0"/>
      <w:marBottom w:val="0"/>
      <w:divBdr>
        <w:top w:val="none" w:sz="0" w:space="0" w:color="auto"/>
        <w:left w:val="none" w:sz="0" w:space="0" w:color="auto"/>
        <w:bottom w:val="none" w:sz="0" w:space="0" w:color="auto"/>
        <w:right w:val="none" w:sz="0" w:space="0" w:color="auto"/>
      </w:divBdr>
    </w:div>
    <w:div w:id="688264850">
      <w:bodyDiv w:val="1"/>
      <w:marLeft w:val="0"/>
      <w:marRight w:val="0"/>
      <w:marTop w:val="0"/>
      <w:marBottom w:val="0"/>
      <w:divBdr>
        <w:top w:val="none" w:sz="0" w:space="0" w:color="auto"/>
        <w:left w:val="none" w:sz="0" w:space="0" w:color="auto"/>
        <w:bottom w:val="none" w:sz="0" w:space="0" w:color="auto"/>
        <w:right w:val="none" w:sz="0" w:space="0" w:color="auto"/>
      </w:divBdr>
    </w:div>
    <w:div w:id="694579481">
      <w:bodyDiv w:val="1"/>
      <w:marLeft w:val="0"/>
      <w:marRight w:val="0"/>
      <w:marTop w:val="0"/>
      <w:marBottom w:val="0"/>
      <w:divBdr>
        <w:top w:val="none" w:sz="0" w:space="0" w:color="auto"/>
        <w:left w:val="none" w:sz="0" w:space="0" w:color="auto"/>
        <w:bottom w:val="none" w:sz="0" w:space="0" w:color="auto"/>
        <w:right w:val="none" w:sz="0" w:space="0" w:color="auto"/>
      </w:divBdr>
    </w:div>
    <w:div w:id="700715141">
      <w:bodyDiv w:val="1"/>
      <w:marLeft w:val="0"/>
      <w:marRight w:val="0"/>
      <w:marTop w:val="0"/>
      <w:marBottom w:val="0"/>
      <w:divBdr>
        <w:top w:val="none" w:sz="0" w:space="0" w:color="auto"/>
        <w:left w:val="none" w:sz="0" w:space="0" w:color="auto"/>
        <w:bottom w:val="none" w:sz="0" w:space="0" w:color="auto"/>
        <w:right w:val="none" w:sz="0" w:space="0" w:color="auto"/>
      </w:divBdr>
      <w:divsChild>
        <w:div w:id="620845824">
          <w:marLeft w:val="0"/>
          <w:marRight w:val="0"/>
          <w:marTop w:val="0"/>
          <w:marBottom w:val="0"/>
          <w:divBdr>
            <w:top w:val="none" w:sz="0" w:space="0" w:color="auto"/>
            <w:left w:val="none" w:sz="0" w:space="0" w:color="auto"/>
            <w:bottom w:val="none" w:sz="0" w:space="0" w:color="auto"/>
            <w:right w:val="none" w:sz="0" w:space="0" w:color="auto"/>
          </w:divBdr>
          <w:divsChild>
            <w:div w:id="800071389">
              <w:marLeft w:val="0"/>
              <w:marRight w:val="0"/>
              <w:marTop w:val="0"/>
              <w:marBottom w:val="0"/>
              <w:divBdr>
                <w:top w:val="none" w:sz="0" w:space="0" w:color="auto"/>
                <w:left w:val="none" w:sz="0" w:space="0" w:color="auto"/>
                <w:bottom w:val="none" w:sz="0" w:space="0" w:color="auto"/>
                <w:right w:val="none" w:sz="0" w:space="0" w:color="auto"/>
              </w:divBdr>
              <w:divsChild>
                <w:div w:id="33295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317776">
          <w:marLeft w:val="0"/>
          <w:marRight w:val="0"/>
          <w:marTop w:val="0"/>
          <w:marBottom w:val="0"/>
          <w:divBdr>
            <w:top w:val="none" w:sz="0" w:space="0" w:color="auto"/>
            <w:left w:val="none" w:sz="0" w:space="0" w:color="auto"/>
            <w:bottom w:val="none" w:sz="0" w:space="0" w:color="auto"/>
            <w:right w:val="none" w:sz="0" w:space="0" w:color="auto"/>
          </w:divBdr>
          <w:divsChild>
            <w:div w:id="1644626900">
              <w:marLeft w:val="0"/>
              <w:marRight w:val="0"/>
              <w:marTop w:val="0"/>
              <w:marBottom w:val="0"/>
              <w:divBdr>
                <w:top w:val="none" w:sz="0" w:space="0" w:color="auto"/>
                <w:left w:val="none" w:sz="0" w:space="0" w:color="auto"/>
                <w:bottom w:val="none" w:sz="0" w:space="0" w:color="auto"/>
                <w:right w:val="none" w:sz="0" w:space="0" w:color="auto"/>
              </w:divBdr>
              <w:divsChild>
                <w:div w:id="996614856">
                  <w:marLeft w:val="0"/>
                  <w:marRight w:val="0"/>
                  <w:marTop w:val="0"/>
                  <w:marBottom w:val="0"/>
                  <w:divBdr>
                    <w:top w:val="none" w:sz="0" w:space="0" w:color="auto"/>
                    <w:left w:val="none" w:sz="0" w:space="0" w:color="auto"/>
                    <w:bottom w:val="none" w:sz="0" w:space="0" w:color="auto"/>
                    <w:right w:val="none" w:sz="0" w:space="0" w:color="auto"/>
                  </w:divBdr>
                  <w:divsChild>
                    <w:div w:id="1913193177">
                      <w:marLeft w:val="0"/>
                      <w:marRight w:val="0"/>
                      <w:marTop w:val="0"/>
                      <w:marBottom w:val="0"/>
                      <w:divBdr>
                        <w:top w:val="none" w:sz="0" w:space="0" w:color="auto"/>
                        <w:left w:val="none" w:sz="0" w:space="0" w:color="auto"/>
                        <w:bottom w:val="none" w:sz="0" w:space="0" w:color="auto"/>
                        <w:right w:val="none" w:sz="0" w:space="0" w:color="auto"/>
                      </w:divBdr>
                      <w:divsChild>
                        <w:div w:id="59593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212659">
      <w:bodyDiv w:val="1"/>
      <w:marLeft w:val="0"/>
      <w:marRight w:val="0"/>
      <w:marTop w:val="0"/>
      <w:marBottom w:val="0"/>
      <w:divBdr>
        <w:top w:val="none" w:sz="0" w:space="0" w:color="auto"/>
        <w:left w:val="none" w:sz="0" w:space="0" w:color="auto"/>
        <w:bottom w:val="none" w:sz="0" w:space="0" w:color="auto"/>
        <w:right w:val="none" w:sz="0" w:space="0" w:color="auto"/>
      </w:divBdr>
    </w:div>
    <w:div w:id="705524648">
      <w:bodyDiv w:val="1"/>
      <w:marLeft w:val="0"/>
      <w:marRight w:val="0"/>
      <w:marTop w:val="0"/>
      <w:marBottom w:val="0"/>
      <w:divBdr>
        <w:top w:val="none" w:sz="0" w:space="0" w:color="auto"/>
        <w:left w:val="none" w:sz="0" w:space="0" w:color="auto"/>
        <w:bottom w:val="none" w:sz="0" w:space="0" w:color="auto"/>
        <w:right w:val="none" w:sz="0" w:space="0" w:color="auto"/>
      </w:divBdr>
    </w:div>
    <w:div w:id="707218623">
      <w:bodyDiv w:val="1"/>
      <w:marLeft w:val="0"/>
      <w:marRight w:val="0"/>
      <w:marTop w:val="0"/>
      <w:marBottom w:val="0"/>
      <w:divBdr>
        <w:top w:val="none" w:sz="0" w:space="0" w:color="auto"/>
        <w:left w:val="none" w:sz="0" w:space="0" w:color="auto"/>
        <w:bottom w:val="none" w:sz="0" w:space="0" w:color="auto"/>
        <w:right w:val="none" w:sz="0" w:space="0" w:color="auto"/>
      </w:divBdr>
    </w:div>
    <w:div w:id="707875811">
      <w:bodyDiv w:val="1"/>
      <w:marLeft w:val="0"/>
      <w:marRight w:val="0"/>
      <w:marTop w:val="0"/>
      <w:marBottom w:val="0"/>
      <w:divBdr>
        <w:top w:val="none" w:sz="0" w:space="0" w:color="auto"/>
        <w:left w:val="none" w:sz="0" w:space="0" w:color="auto"/>
        <w:bottom w:val="none" w:sz="0" w:space="0" w:color="auto"/>
        <w:right w:val="none" w:sz="0" w:space="0" w:color="auto"/>
      </w:divBdr>
    </w:div>
    <w:div w:id="714546173">
      <w:bodyDiv w:val="1"/>
      <w:marLeft w:val="0"/>
      <w:marRight w:val="0"/>
      <w:marTop w:val="0"/>
      <w:marBottom w:val="0"/>
      <w:divBdr>
        <w:top w:val="none" w:sz="0" w:space="0" w:color="auto"/>
        <w:left w:val="none" w:sz="0" w:space="0" w:color="auto"/>
        <w:bottom w:val="none" w:sz="0" w:space="0" w:color="auto"/>
        <w:right w:val="none" w:sz="0" w:space="0" w:color="auto"/>
      </w:divBdr>
    </w:div>
    <w:div w:id="715203054">
      <w:bodyDiv w:val="1"/>
      <w:marLeft w:val="0"/>
      <w:marRight w:val="0"/>
      <w:marTop w:val="0"/>
      <w:marBottom w:val="0"/>
      <w:divBdr>
        <w:top w:val="none" w:sz="0" w:space="0" w:color="auto"/>
        <w:left w:val="none" w:sz="0" w:space="0" w:color="auto"/>
        <w:bottom w:val="none" w:sz="0" w:space="0" w:color="auto"/>
        <w:right w:val="none" w:sz="0" w:space="0" w:color="auto"/>
      </w:divBdr>
    </w:div>
    <w:div w:id="722220341">
      <w:bodyDiv w:val="1"/>
      <w:marLeft w:val="0"/>
      <w:marRight w:val="0"/>
      <w:marTop w:val="0"/>
      <w:marBottom w:val="0"/>
      <w:divBdr>
        <w:top w:val="none" w:sz="0" w:space="0" w:color="auto"/>
        <w:left w:val="none" w:sz="0" w:space="0" w:color="auto"/>
        <w:bottom w:val="none" w:sz="0" w:space="0" w:color="auto"/>
        <w:right w:val="none" w:sz="0" w:space="0" w:color="auto"/>
      </w:divBdr>
    </w:div>
    <w:div w:id="731150383">
      <w:bodyDiv w:val="1"/>
      <w:marLeft w:val="0"/>
      <w:marRight w:val="0"/>
      <w:marTop w:val="0"/>
      <w:marBottom w:val="0"/>
      <w:divBdr>
        <w:top w:val="none" w:sz="0" w:space="0" w:color="auto"/>
        <w:left w:val="none" w:sz="0" w:space="0" w:color="auto"/>
        <w:bottom w:val="none" w:sz="0" w:space="0" w:color="auto"/>
        <w:right w:val="none" w:sz="0" w:space="0" w:color="auto"/>
      </w:divBdr>
    </w:div>
    <w:div w:id="742292464">
      <w:bodyDiv w:val="1"/>
      <w:marLeft w:val="0"/>
      <w:marRight w:val="0"/>
      <w:marTop w:val="0"/>
      <w:marBottom w:val="0"/>
      <w:divBdr>
        <w:top w:val="none" w:sz="0" w:space="0" w:color="auto"/>
        <w:left w:val="none" w:sz="0" w:space="0" w:color="auto"/>
        <w:bottom w:val="none" w:sz="0" w:space="0" w:color="auto"/>
        <w:right w:val="none" w:sz="0" w:space="0" w:color="auto"/>
      </w:divBdr>
    </w:div>
    <w:div w:id="744259170">
      <w:bodyDiv w:val="1"/>
      <w:marLeft w:val="0"/>
      <w:marRight w:val="0"/>
      <w:marTop w:val="0"/>
      <w:marBottom w:val="0"/>
      <w:divBdr>
        <w:top w:val="none" w:sz="0" w:space="0" w:color="auto"/>
        <w:left w:val="none" w:sz="0" w:space="0" w:color="auto"/>
        <w:bottom w:val="none" w:sz="0" w:space="0" w:color="auto"/>
        <w:right w:val="none" w:sz="0" w:space="0" w:color="auto"/>
      </w:divBdr>
    </w:div>
    <w:div w:id="750737420">
      <w:bodyDiv w:val="1"/>
      <w:marLeft w:val="0"/>
      <w:marRight w:val="0"/>
      <w:marTop w:val="0"/>
      <w:marBottom w:val="0"/>
      <w:divBdr>
        <w:top w:val="none" w:sz="0" w:space="0" w:color="auto"/>
        <w:left w:val="none" w:sz="0" w:space="0" w:color="auto"/>
        <w:bottom w:val="none" w:sz="0" w:space="0" w:color="auto"/>
        <w:right w:val="none" w:sz="0" w:space="0" w:color="auto"/>
      </w:divBdr>
      <w:divsChild>
        <w:div w:id="1286042938">
          <w:marLeft w:val="0"/>
          <w:marRight w:val="0"/>
          <w:marTop w:val="0"/>
          <w:marBottom w:val="0"/>
          <w:divBdr>
            <w:top w:val="none" w:sz="0" w:space="0" w:color="auto"/>
            <w:left w:val="none" w:sz="0" w:space="0" w:color="auto"/>
            <w:bottom w:val="none" w:sz="0" w:space="0" w:color="auto"/>
            <w:right w:val="none" w:sz="0" w:space="0" w:color="auto"/>
          </w:divBdr>
          <w:divsChild>
            <w:div w:id="509295712">
              <w:marLeft w:val="0"/>
              <w:marRight w:val="0"/>
              <w:marTop w:val="0"/>
              <w:marBottom w:val="0"/>
              <w:divBdr>
                <w:top w:val="none" w:sz="0" w:space="0" w:color="auto"/>
                <w:left w:val="none" w:sz="0" w:space="0" w:color="auto"/>
                <w:bottom w:val="none" w:sz="0" w:space="0" w:color="auto"/>
                <w:right w:val="none" w:sz="0" w:space="0" w:color="auto"/>
              </w:divBdr>
              <w:divsChild>
                <w:div w:id="550961723">
                  <w:marLeft w:val="0"/>
                  <w:marRight w:val="0"/>
                  <w:marTop w:val="0"/>
                  <w:marBottom w:val="0"/>
                  <w:divBdr>
                    <w:top w:val="none" w:sz="0" w:space="0" w:color="auto"/>
                    <w:left w:val="none" w:sz="0" w:space="0" w:color="auto"/>
                    <w:bottom w:val="none" w:sz="0" w:space="0" w:color="auto"/>
                    <w:right w:val="none" w:sz="0" w:space="0" w:color="auto"/>
                  </w:divBdr>
                  <w:divsChild>
                    <w:div w:id="1472013806">
                      <w:marLeft w:val="0"/>
                      <w:marRight w:val="0"/>
                      <w:marTop w:val="0"/>
                      <w:marBottom w:val="0"/>
                      <w:divBdr>
                        <w:top w:val="none" w:sz="0" w:space="0" w:color="auto"/>
                        <w:left w:val="none" w:sz="0" w:space="0" w:color="auto"/>
                        <w:bottom w:val="none" w:sz="0" w:space="0" w:color="auto"/>
                        <w:right w:val="none" w:sz="0" w:space="0" w:color="auto"/>
                      </w:divBdr>
                      <w:divsChild>
                        <w:div w:id="799348517">
                          <w:marLeft w:val="0"/>
                          <w:marRight w:val="0"/>
                          <w:marTop w:val="0"/>
                          <w:marBottom w:val="0"/>
                          <w:divBdr>
                            <w:top w:val="none" w:sz="0" w:space="0" w:color="auto"/>
                            <w:left w:val="none" w:sz="0" w:space="0" w:color="auto"/>
                            <w:bottom w:val="none" w:sz="0" w:space="0" w:color="auto"/>
                            <w:right w:val="none" w:sz="0" w:space="0" w:color="auto"/>
                          </w:divBdr>
                          <w:divsChild>
                            <w:div w:id="1024745250">
                              <w:marLeft w:val="0"/>
                              <w:marRight w:val="0"/>
                              <w:marTop w:val="0"/>
                              <w:marBottom w:val="0"/>
                              <w:divBdr>
                                <w:top w:val="none" w:sz="0" w:space="0" w:color="auto"/>
                                <w:left w:val="none" w:sz="0" w:space="0" w:color="auto"/>
                                <w:bottom w:val="none" w:sz="0" w:space="0" w:color="auto"/>
                                <w:right w:val="none" w:sz="0" w:space="0" w:color="auto"/>
                              </w:divBdr>
                              <w:divsChild>
                                <w:div w:id="1442457631">
                                  <w:marLeft w:val="0"/>
                                  <w:marRight w:val="0"/>
                                  <w:marTop w:val="0"/>
                                  <w:marBottom w:val="0"/>
                                  <w:divBdr>
                                    <w:top w:val="none" w:sz="0" w:space="0" w:color="auto"/>
                                    <w:left w:val="none" w:sz="0" w:space="0" w:color="auto"/>
                                    <w:bottom w:val="none" w:sz="0" w:space="0" w:color="auto"/>
                                    <w:right w:val="none" w:sz="0" w:space="0" w:color="auto"/>
                                  </w:divBdr>
                                  <w:divsChild>
                                    <w:div w:id="1667242648">
                                      <w:marLeft w:val="0"/>
                                      <w:marRight w:val="0"/>
                                      <w:marTop w:val="0"/>
                                      <w:marBottom w:val="0"/>
                                      <w:divBdr>
                                        <w:top w:val="none" w:sz="0" w:space="0" w:color="auto"/>
                                        <w:left w:val="none" w:sz="0" w:space="0" w:color="auto"/>
                                        <w:bottom w:val="none" w:sz="0" w:space="0" w:color="auto"/>
                                        <w:right w:val="none" w:sz="0" w:space="0" w:color="auto"/>
                                      </w:divBdr>
                                      <w:divsChild>
                                        <w:div w:id="1859007798">
                                          <w:marLeft w:val="0"/>
                                          <w:marRight w:val="0"/>
                                          <w:marTop w:val="0"/>
                                          <w:marBottom w:val="0"/>
                                          <w:divBdr>
                                            <w:top w:val="none" w:sz="0" w:space="0" w:color="auto"/>
                                            <w:left w:val="none" w:sz="0" w:space="0" w:color="auto"/>
                                            <w:bottom w:val="none" w:sz="0" w:space="0" w:color="auto"/>
                                            <w:right w:val="none" w:sz="0" w:space="0" w:color="auto"/>
                                          </w:divBdr>
                                          <w:divsChild>
                                            <w:div w:id="1391028511">
                                              <w:marLeft w:val="0"/>
                                              <w:marRight w:val="0"/>
                                              <w:marTop w:val="0"/>
                                              <w:marBottom w:val="0"/>
                                              <w:divBdr>
                                                <w:top w:val="none" w:sz="0" w:space="0" w:color="auto"/>
                                                <w:left w:val="none" w:sz="0" w:space="0" w:color="auto"/>
                                                <w:bottom w:val="none" w:sz="0" w:space="0" w:color="auto"/>
                                                <w:right w:val="none" w:sz="0" w:space="0" w:color="auto"/>
                                              </w:divBdr>
                                              <w:divsChild>
                                                <w:div w:id="80361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396005">
                          <w:marLeft w:val="0"/>
                          <w:marRight w:val="0"/>
                          <w:marTop w:val="0"/>
                          <w:marBottom w:val="0"/>
                          <w:divBdr>
                            <w:top w:val="none" w:sz="0" w:space="0" w:color="auto"/>
                            <w:left w:val="none" w:sz="0" w:space="0" w:color="auto"/>
                            <w:bottom w:val="none" w:sz="0" w:space="0" w:color="auto"/>
                            <w:right w:val="none" w:sz="0" w:space="0" w:color="auto"/>
                          </w:divBdr>
                          <w:divsChild>
                            <w:div w:id="950934442">
                              <w:marLeft w:val="0"/>
                              <w:marRight w:val="0"/>
                              <w:marTop w:val="0"/>
                              <w:marBottom w:val="0"/>
                              <w:divBdr>
                                <w:top w:val="none" w:sz="0" w:space="0" w:color="auto"/>
                                <w:left w:val="none" w:sz="0" w:space="0" w:color="auto"/>
                                <w:bottom w:val="none" w:sz="0" w:space="0" w:color="auto"/>
                                <w:right w:val="none" w:sz="0" w:space="0" w:color="auto"/>
                              </w:divBdr>
                              <w:divsChild>
                                <w:div w:id="19278649">
                                  <w:marLeft w:val="0"/>
                                  <w:marRight w:val="0"/>
                                  <w:marTop w:val="0"/>
                                  <w:marBottom w:val="0"/>
                                  <w:divBdr>
                                    <w:top w:val="none" w:sz="0" w:space="0" w:color="auto"/>
                                    <w:left w:val="none" w:sz="0" w:space="0" w:color="auto"/>
                                    <w:bottom w:val="none" w:sz="0" w:space="0" w:color="auto"/>
                                    <w:right w:val="none" w:sz="0" w:space="0" w:color="auto"/>
                                  </w:divBdr>
                                  <w:divsChild>
                                    <w:div w:id="677734871">
                                      <w:marLeft w:val="0"/>
                                      <w:marRight w:val="0"/>
                                      <w:marTop w:val="0"/>
                                      <w:marBottom w:val="0"/>
                                      <w:divBdr>
                                        <w:top w:val="none" w:sz="0" w:space="0" w:color="auto"/>
                                        <w:left w:val="none" w:sz="0" w:space="0" w:color="auto"/>
                                        <w:bottom w:val="none" w:sz="0" w:space="0" w:color="auto"/>
                                        <w:right w:val="none" w:sz="0" w:space="0" w:color="auto"/>
                                      </w:divBdr>
                                      <w:divsChild>
                                        <w:div w:id="1431467094">
                                          <w:marLeft w:val="0"/>
                                          <w:marRight w:val="0"/>
                                          <w:marTop w:val="0"/>
                                          <w:marBottom w:val="0"/>
                                          <w:divBdr>
                                            <w:top w:val="none" w:sz="0" w:space="0" w:color="auto"/>
                                            <w:left w:val="none" w:sz="0" w:space="0" w:color="auto"/>
                                            <w:bottom w:val="none" w:sz="0" w:space="0" w:color="auto"/>
                                            <w:right w:val="none" w:sz="0" w:space="0" w:color="auto"/>
                                          </w:divBdr>
                                          <w:divsChild>
                                            <w:div w:id="198797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6602626">
                          <w:marLeft w:val="0"/>
                          <w:marRight w:val="0"/>
                          <w:marTop w:val="0"/>
                          <w:marBottom w:val="0"/>
                          <w:divBdr>
                            <w:top w:val="none" w:sz="0" w:space="0" w:color="auto"/>
                            <w:left w:val="none" w:sz="0" w:space="0" w:color="auto"/>
                            <w:bottom w:val="none" w:sz="0" w:space="0" w:color="auto"/>
                            <w:right w:val="none" w:sz="0" w:space="0" w:color="auto"/>
                          </w:divBdr>
                          <w:divsChild>
                            <w:div w:id="1788430357">
                              <w:marLeft w:val="0"/>
                              <w:marRight w:val="0"/>
                              <w:marTop w:val="0"/>
                              <w:marBottom w:val="0"/>
                              <w:divBdr>
                                <w:top w:val="none" w:sz="0" w:space="0" w:color="auto"/>
                                <w:left w:val="none" w:sz="0" w:space="0" w:color="auto"/>
                                <w:bottom w:val="none" w:sz="0" w:space="0" w:color="auto"/>
                                <w:right w:val="none" w:sz="0" w:space="0" w:color="auto"/>
                              </w:divBdr>
                              <w:divsChild>
                                <w:div w:id="916985794">
                                  <w:marLeft w:val="0"/>
                                  <w:marRight w:val="0"/>
                                  <w:marTop w:val="0"/>
                                  <w:marBottom w:val="0"/>
                                  <w:divBdr>
                                    <w:top w:val="none" w:sz="0" w:space="0" w:color="auto"/>
                                    <w:left w:val="none" w:sz="0" w:space="0" w:color="auto"/>
                                    <w:bottom w:val="none" w:sz="0" w:space="0" w:color="auto"/>
                                    <w:right w:val="none" w:sz="0" w:space="0" w:color="auto"/>
                                  </w:divBdr>
                                  <w:divsChild>
                                    <w:div w:id="1312641191">
                                      <w:marLeft w:val="0"/>
                                      <w:marRight w:val="0"/>
                                      <w:marTop w:val="0"/>
                                      <w:marBottom w:val="0"/>
                                      <w:divBdr>
                                        <w:top w:val="none" w:sz="0" w:space="0" w:color="auto"/>
                                        <w:left w:val="none" w:sz="0" w:space="0" w:color="auto"/>
                                        <w:bottom w:val="none" w:sz="0" w:space="0" w:color="auto"/>
                                        <w:right w:val="none" w:sz="0" w:space="0" w:color="auto"/>
                                      </w:divBdr>
                                    </w:div>
                                  </w:divsChild>
                                </w:div>
                                <w:div w:id="1390225997">
                                  <w:marLeft w:val="0"/>
                                  <w:marRight w:val="0"/>
                                  <w:marTop w:val="0"/>
                                  <w:marBottom w:val="0"/>
                                  <w:divBdr>
                                    <w:top w:val="none" w:sz="0" w:space="0" w:color="auto"/>
                                    <w:left w:val="none" w:sz="0" w:space="0" w:color="auto"/>
                                    <w:bottom w:val="none" w:sz="0" w:space="0" w:color="auto"/>
                                    <w:right w:val="none" w:sz="0" w:space="0" w:color="auto"/>
                                  </w:divBdr>
                                  <w:divsChild>
                                    <w:div w:id="1531988859">
                                      <w:marLeft w:val="0"/>
                                      <w:marRight w:val="0"/>
                                      <w:marTop w:val="0"/>
                                      <w:marBottom w:val="0"/>
                                      <w:divBdr>
                                        <w:top w:val="none" w:sz="0" w:space="0" w:color="auto"/>
                                        <w:left w:val="none" w:sz="0" w:space="0" w:color="auto"/>
                                        <w:bottom w:val="none" w:sz="0" w:space="0" w:color="auto"/>
                                        <w:right w:val="none" w:sz="0" w:space="0" w:color="auto"/>
                                      </w:divBdr>
                                      <w:divsChild>
                                        <w:div w:id="240408021">
                                          <w:marLeft w:val="0"/>
                                          <w:marRight w:val="0"/>
                                          <w:marTop w:val="0"/>
                                          <w:marBottom w:val="0"/>
                                          <w:divBdr>
                                            <w:top w:val="none" w:sz="0" w:space="0" w:color="auto"/>
                                            <w:left w:val="none" w:sz="0" w:space="0" w:color="auto"/>
                                            <w:bottom w:val="none" w:sz="0" w:space="0" w:color="auto"/>
                                            <w:right w:val="none" w:sz="0" w:space="0" w:color="auto"/>
                                          </w:divBdr>
                                          <w:divsChild>
                                            <w:div w:id="76194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708405">
          <w:marLeft w:val="0"/>
          <w:marRight w:val="0"/>
          <w:marTop w:val="0"/>
          <w:marBottom w:val="0"/>
          <w:divBdr>
            <w:top w:val="none" w:sz="0" w:space="0" w:color="auto"/>
            <w:left w:val="none" w:sz="0" w:space="0" w:color="auto"/>
            <w:bottom w:val="none" w:sz="0" w:space="0" w:color="auto"/>
            <w:right w:val="none" w:sz="0" w:space="0" w:color="auto"/>
          </w:divBdr>
          <w:divsChild>
            <w:div w:id="1781951372">
              <w:marLeft w:val="0"/>
              <w:marRight w:val="0"/>
              <w:marTop w:val="0"/>
              <w:marBottom w:val="0"/>
              <w:divBdr>
                <w:top w:val="none" w:sz="0" w:space="0" w:color="auto"/>
                <w:left w:val="none" w:sz="0" w:space="0" w:color="auto"/>
                <w:bottom w:val="none" w:sz="0" w:space="0" w:color="auto"/>
                <w:right w:val="none" w:sz="0" w:space="0" w:color="auto"/>
              </w:divBdr>
              <w:divsChild>
                <w:div w:id="1611821060">
                  <w:marLeft w:val="0"/>
                  <w:marRight w:val="0"/>
                  <w:marTop w:val="0"/>
                  <w:marBottom w:val="0"/>
                  <w:divBdr>
                    <w:top w:val="none" w:sz="0" w:space="0" w:color="auto"/>
                    <w:left w:val="none" w:sz="0" w:space="0" w:color="auto"/>
                    <w:bottom w:val="none" w:sz="0" w:space="0" w:color="auto"/>
                    <w:right w:val="none" w:sz="0" w:space="0" w:color="auto"/>
                  </w:divBdr>
                  <w:divsChild>
                    <w:div w:id="2087725909">
                      <w:marLeft w:val="0"/>
                      <w:marRight w:val="0"/>
                      <w:marTop w:val="0"/>
                      <w:marBottom w:val="0"/>
                      <w:divBdr>
                        <w:top w:val="none" w:sz="0" w:space="0" w:color="auto"/>
                        <w:left w:val="none" w:sz="0" w:space="0" w:color="auto"/>
                        <w:bottom w:val="none" w:sz="0" w:space="0" w:color="auto"/>
                        <w:right w:val="none" w:sz="0" w:space="0" w:color="auto"/>
                      </w:divBdr>
                      <w:divsChild>
                        <w:div w:id="859509971">
                          <w:marLeft w:val="0"/>
                          <w:marRight w:val="0"/>
                          <w:marTop w:val="0"/>
                          <w:marBottom w:val="0"/>
                          <w:divBdr>
                            <w:top w:val="none" w:sz="0" w:space="0" w:color="auto"/>
                            <w:left w:val="none" w:sz="0" w:space="0" w:color="auto"/>
                            <w:bottom w:val="none" w:sz="0" w:space="0" w:color="auto"/>
                            <w:right w:val="none" w:sz="0" w:space="0" w:color="auto"/>
                          </w:divBdr>
                          <w:divsChild>
                            <w:div w:id="852231433">
                              <w:marLeft w:val="0"/>
                              <w:marRight w:val="0"/>
                              <w:marTop w:val="0"/>
                              <w:marBottom w:val="0"/>
                              <w:divBdr>
                                <w:top w:val="none" w:sz="0" w:space="0" w:color="auto"/>
                                <w:left w:val="none" w:sz="0" w:space="0" w:color="auto"/>
                                <w:bottom w:val="none" w:sz="0" w:space="0" w:color="auto"/>
                                <w:right w:val="none" w:sz="0" w:space="0" w:color="auto"/>
                              </w:divBdr>
                              <w:divsChild>
                                <w:div w:id="942029963">
                                  <w:marLeft w:val="0"/>
                                  <w:marRight w:val="0"/>
                                  <w:marTop w:val="0"/>
                                  <w:marBottom w:val="0"/>
                                  <w:divBdr>
                                    <w:top w:val="none" w:sz="0" w:space="0" w:color="auto"/>
                                    <w:left w:val="none" w:sz="0" w:space="0" w:color="auto"/>
                                    <w:bottom w:val="none" w:sz="0" w:space="0" w:color="auto"/>
                                    <w:right w:val="none" w:sz="0" w:space="0" w:color="auto"/>
                                  </w:divBdr>
                                  <w:divsChild>
                                    <w:div w:id="2125146360">
                                      <w:marLeft w:val="0"/>
                                      <w:marRight w:val="0"/>
                                      <w:marTop w:val="0"/>
                                      <w:marBottom w:val="0"/>
                                      <w:divBdr>
                                        <w:top w:val="none" w:sz="0" w:space="0" w:color="auto"/>
                                        <w:left w:val="none" w:sz="0" w:space="0" w:color="auto"/>
                                        <w:bottom w:val="none" w:sz="0" w:space="0" w:color="auto"/>
                                        <w:right w:val="none" w:sz="0" w:space="0" w:color="auto"/>
                                      </w:divBdr>
                                      <w:divsChild>
                                        <w:div w:id="1253784250">
                                          <w:marLeft w:val="0"/>
                                          <w:marRight w:val="0"/>
                                          <w:marTop w:val="0"/>
                                          <w:marBottom w:val="0"/>
                                          <w:divBdr>
                                            <w:top w:val="none" w:sz="0" w:space="0" w:color="auto"/>
                                            <w:left w:val="none" w:sz="0" w:space="0" w:color="auto"/>
                                            <w:bottom w:val="none" w:sz="0" w:space="0" w:color="auto"/>
                                            <w:right w:val="none" w:sz="0" w:space="0" w:color="auto"/>
                                          </w:divBdr>
                                          <w:divsChild>
                                            <w:div w:id="263390333">
                                              <w:marLeft w:val="0"/>
                                              <w:marRight w:val="0"/>
                                              <w:marTop w:val="0"/>
                                              <w:marBottom w:val="0"/>
                                              <w:divBdr>
                                                <w:top w:val="none" w:sz="0" w:space="0" w:color="auto"/>
                                                <w:left w:val="none" w:sz="0" w:space="0" w:color="auto"/>
                                                <w:bottom w:val="none" w:sz="0" w:space="0" w:color="auto"/>
                                                <w:right w:val="none" w:sz="0" w:space="0" w:color="auto"/>
                                              </w:divBdr>
                                              <w:divsChild>
                                                <w:div w:id="15324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1974834">
      <w:bodyDiv w:val="1"/>
      <w:marLeft w:val="0"/>
      <w:marRight w:val="0"/>
      <w:marTop w:val="0"/>
      <w:marBottom w:val="0"/>
      <w:divBdr>
        <w:top w:val="none" w:sz="0" w:space="0" w:color="auto"/>
        <w:left w:val="none" w:sz="0" w:space="0" w:color="auto"/>
        <w:bottom w:val="none" w:sz="0" w:space="0" w:color="auto"/>
        <w:right w:val="none" w:sz="0" w:space="0" w:color="auto"/>
      </w:divBdr>
    </w:div>
    <w:div w:id="753284260">
      <w:bodyDiv w:val="1"/>
      <w:marLeft w:val="0"/>
      <w:marRight w:val="0"/>
      <w:marTop w:val="0"/>
      <w:marBottom w:val="0"/>
      <w:divBdr>
        <w:top w:val="none" w:sz="0" w:space="0" w:color="auto"/>
        <w:left w:val="none" w:sz="0" w:space="0" w:color="auto"/>
        <w:bottom w:val="none" w:sz="0" w:space="0" w:color="auto"/>
        <w:right w:val="none" w:sz="0" w:space="0" w:color="auto"/>
      </w:divBdr>
    </w:div>
    <w:div w:id="757484717">
      <w:bodyDiv w:val="1"/>
      <w:marLeft w:val="0"/>
      <w:marRight w:val="0"/>
      <w:marTop w:val="0"/>
      <w:marBottom w:val="0"/>
      <w:divBdr>
        <w:top w:val="none" w:sz="0" w:space="0" w:color="auto"/>
        <w:left w:val="none" w:sz="0" w:space="0" w:color="auto"/>
        <w:bottom w:val="none" w:sz="0" w:space="0" w:color="auto"/>
        <w:right w:val="none" w:sz="0" w:space="0" w:color="auto"/>
      </w:divBdr>
    </w:div>
    <w:div w:id="759260536">
      <w:bodyDiv w:val="1"/>
      <w:marLeft w:val="0"/>
      <w:marRight w:val="0"/>
      <w:marTop w:val="0"/>
      <w:marBottom w:val="0"/>
      <w:divBdr>
        <w:top w:val="none" w:sz="0" w:space="0" w:color="auto"/>
        <w:left w:val="none" w:sz="0" w:space="0" w:color="auto"/>
        <w:bottom w:val="none" w:sz="0" w:space="0" w:color="auto"/>
        <w:right w:val="none" w:sz="0" w:space="0" w:color="auto"/>
      </w:divBdr>
    </w:div>
    <w:div w:id="783580808">
      <w:bodyDiv w:val="1"/>
      <w:marLeft w:val="0"/>
      <w:marRight w:val="0"/>
      <w:marTop w:val="0"/>
      <w:marBottom w:val="0"/>
      <w:divBdr>
        <w:top w:val="none" w:sz="0" w:space="0" w:color="auto"/>
        <w:left w:val="none" w:sz="0" w:space="0" w:color="auto"/>
        <w:bottom w:val="none" w:sz="0" w:space="0" w:color="auto"/>
        <w:right w:val="none" w:sz="0" w:space="0" w:color="auto"/>
      </w:divBdr>
    </w:div>
    <w:div w:id="811946795">
      <w:bodyDiv w:val="1"/>
      <w:marLeft w:val="0"/>
      <w:marRight w:val="0"/>
      <w:marTop w:val="0"/>
      <w:marBottom w:val="0"/>
      <w:divBdr>
        <w:top w:val="none" w:sz="0" w:space="0" w:color="auto"/>
        <w:left w:val="none" w:sz="0" w:space="0" w:color="auto"/>
        <w:bottom w:val="none" w:sz="0" w:space="0" w:color="auto"/>
        <w:right w:val="none" w:sz="0" w:space="0" w:color="auto"/>
      </w:divBdr>
    </w:div>
    <w:div w:id="820076999">
      <w:bodyDiv w:val="1"/>
      <w:marLeft w:val="0"/>
      <w:marRight w:val="0"/>
      <w:marTop w:val="0"/>
      <w:marBottom w:val="0"/>
      <w:divBdr>
        <w:top w:val="none" w:sz="0" w:space="0" w:color="auto"/>
        <w:left w:val="none" w:sz="0" w:space="0" w:color="auto"/>
        <w:bottom w:val="none" w:sz="0" w:space="0" w:color="auto"/>
        <w:right w:val="none" w:sz="0" w:space="0" w:color="auto"/>
      </w:divBdr>
    </w:div>
    <w:div w:id="828668755">
      <w:bodyDiv w:val="1"/>
      <w:marLeft w:val="0"/>
      <w:marRight w:val="0"/>
      <w:marTop w:val="0"/>
      <w:marBottom w:val="0"/>
      <w:divBdr>
        <w:top w:val="none" w:sz="0" w:space="0" w:color="auto"/>
        <w:left w:val="none" w:sz="0" w:space="0" w:color="auto"/>
        <w:bottom w:val="none" w:sz="0" w:space="0" w:color="auto"/>
        <w:right w:val="none" w:sz="0" w:space="0" w:color="auto"/>
      </w:divBdr>
      <w:divsChild>
        <w:div w:id="306126861">
          <w:marLeft w:val="0"/>
          <w:marRight w:val="0"/>
          <w:marTop w:val="0"/>
          <w:marBottom w:val="0"/>
          <w:divBdr>
            <w:top w:val="none" w:sz="0" w:space="0" w:color="auto"/>
            <w:left w:val="none" w:sz="0" w:space="0" w:color="auto"/>
            <w:bottom w:val="none" w:sz="0" w:space="0" w:color="auto"/>
            <w:right w:val="none" w:sz="0" w:space="0" w:color="auto"/>
          </w:divBdr>
          <w:divsChild>
            <w:div w:id="501431351">
              <w:marLeft w:val="0"/>
              <w:marRight w:val="0"/>
              <w:marTop w:val="0"/>
              <w:marBottom w:val="0"/>
              <w:divBdr>
                <w:top w:val="none" w:sz="0" w:space="0" w:color="auto"/>
                <w:left w:val="none" w:sz="0" w:space="0" w:color="auto"/>
                <w:bottom w:val="none" w:sz="0" w:space="0" w:color="auto"/>
                <w:right w:val="none" w:sz="0" w:space="0" w:color="auto"/>
              </w:divBdr>
              <w:divsChild>
                <w:div w:id="349256469">
                  <w:marLeft w:val="0"/>
                  <w:marRight w:val="0"/>
                  <w:marTop w:val="0"/>
                  <w:marBottom w:val="0"/>
                  <w:divBdr>
                    <w:top w:val="none" w:sz="0" w:space="0" w:color="auto"/>
                    <w:left w:val="none" w:sz="0" w:space="0" w:color="auto"/>
                    <w:bottom w:val="none" w:sz="0" w:space="0" w:color="auto"/>
                    <w:right w:val="none" w:sz="0" w:space="0" w:color="auto"/>
                  </w:divBdr>
                  <w:divsChild>
                    <w:div w:id="1176188939">
                      <w:marLeft w:val="0"/>
                      <w:marRight w:val="0"/>
                      <w:marTop w:val="0"/>
                      <w:marBottom w:val="0"/>
                      <w:divBdr>
                        <w:top w:val="none" w:sz="0" w:space="0" w:color="auto"/>
                        <w:left w:val="none" w:sz="0" w:space="0" w:color="auto"/>
                        <w:bottom w:val="none" w:sz="0" w:space="0" w:color="auto"/>
                        <w:right w:val="none" w:sz="0" w:space="0" w:color="auto"/>
                      </w:divBdr>
                      <w:divsChild>
                        <w:div w:id="108537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798256">
      <w:bodyDiv w:val="1"/>
      <w:marLeft w:val="0"/>
      <w:marRight w:val="0"/>
      <w:marTop w:val="0"/>
      <w:marBottom w:val="0"/>
      <w:divBdr>
        <w:top w:val="none" w:sz="0" w:space="0" w:color="auto"/>
        <w:left w:val="none" w:sz="0" w:space="0" w:color="auto"/>
        <w:bottom w:val="none" w:sz="0" w:space="0" w:color="auto"/>
        <w:right w:val="none" w:sz="0" w:space="0" w:color="auto"/>
      </w:divBdr>
    </w:div>
    <w:div w:id="832574176">
      <w:bodyDiv w:val="1"/>
      <w:marLeft w:val="0"/>
      <w:marRight w:val="0"/>
      <w:marTop w:val="0"/>
      <w:marBottom w:val="0"/>
      <w:divBdr>
        <w:top w:val="none" w:sz="0" w:space="0" w:color="auto"/>
        <w:left w:val="none" w:sz="0" w:space="0" w:color="auto"/>
        <w:bottom w:val="none" w:sz="0" w:space="0" w:color="auto"/>
        <w:right w:val="none" w:sz="0" w:space="0" w:color="auto"/>
      </w:divBdr>
    </w:div>
    <w:div w:id="836924068">
      <w:bodyDiv w:val="1"/>
      <w:marLeft w:val="0"/>
      <w:marRight w:val="0"/>
      <w:marTop w:val="0"/>
      <w:marBottom w:val="0"/>
      <w:divBdr>
        <w:top w:val="none" w:sz="0" w:space="0" w:color="auto"/>
        <w:left w:val="none" w:sz="0" w:space="0" w:color="auto"/>
        <w:bottom w:val="none" w:sz="0" w:space="0" w:color="auto"/>
        <w:right w:val="none" w:sz="0" w:space="0" w:color="auto"/>
      </w:divBdr>
    </w:div>
    <w:div w:id="843203632">
      <w:bodyDiv w:val="1"/>
      <w:marLeft w:val="0"/>
      <w:marRight w:val="0"/>
      <w:marTop w:val="0"/>
      <w:marBottom w:val="0"/>
      <w:divBdr>
        <w:top w:val="none" w:sz="0" w:space="0" w:color="auto"/>
        <w:left w:val="none" w:sz="0" w:space="0" w:color="auto"/>
        <w:bottom w:val="none" w:sz="0" w:space="0" w:color="auto"/>
        <w:right w:val="none" w:sz="0" w:space="0" w:color="auto"/>
      </w:divBdr>
      <w:divsChild>
        <w:div w:id="353729496">
          <w:marLeft w:val="0"/>
          <w:marRight w:val="0"/>
          <w:marTop w:val="0"/>
          <w:marBottom w:val="0"/>
          <w:divBdr>
            <w:top w:val="none" w:sz="0" w:space="0" w:color="auto"/>
            <w:left w:val="none" w:sz="0" w:space="0" w:color="auto"/>
            <w:bottom w:val="none" w:sz="0" w:space="0" w:color="auto"/>
            <w:right w:val="none" w:sz="0" w:space="0" w:color="auto"/>
          </w:divBdr>
        </w:div>
      </w:divsChild>
    </w:div>
    <w:div w:id="844518087">
      <w:bodyDiv w:val="1"/>
      <w:marLeft w:val="0"/>
      <w:marRight w:val="0"/>
      <w:marTop w:val="0"/>
      <w:marBottom w:val="0"/>
      <w:divBdr>
        <w:top w:val="none" w:sz="0" w:space="0" w:color="auto"/>
        <w:left w:val="none" w:sz="0" w:space="0" w:color="auto"/>
        <w:bottom w:val="none" w:sz="0" w:space="0" w:color="auto"/>
        <w:right w:val="none" w:sz="0" w:space="0" w:color="auto"/>
      </w:divBdr>
    </w:div>
    <w:div w:id="852720755">
      <w:bodyDiv w:val="1"/>
      <w:marLeft w:val="0"/>
      <w:marRight w:val="0"/>
      <w:marTop w:val="0"/>
      <w:marBottom w:val="0"/>
      <w:divBdr>
        <w:top w:val="none" w:sz="0" w:space="0" w:color="auto"/>
        <w:left w:val="none" w:sz="0" w:space="0" w:color="auto"/>
        <w:bottom w:val="none" w:sz="0" w:space="0" w:color="auto"/>
        <w:right w:val="none" w:sz="0" w:space="0" w:color="auto"/>
      </w:divBdr>
    </w:div>
    <w:div w:id="861406721">
      <w:bodyDiv w:val="1"/>
      <w:marLeft w:val="0"/>
      <w:marRight w:val="0"/>
      <w:marTop w:val="0"/>
      <w:marBottom w:val="0"/>
      <w:divBdr>
        <w:top w:val="none" w:sz="0" w:space="0" w:color="auto"/>
        <w:left w:val="none" w:sz="0" w:space="0" w:color="auto"/>
        <w:bottom w:val="none" w:sz="0" w:space="0" w:color="auto"/>
        <w:right w:val="none" w:sz="0" w:space="0" w:color="auto"/>
      </w:divBdr>
    </w:div>
    <w:div w:id="866720202">
      <w:bodyDiv w:val="1"/>
      <w:marLeft w:val="0"/>
      <w:marRight w:val="0"/>
      <w:marTop w:val="0"/>
      <w:marBottom w:val="0"/>
      <w:divBdr>
        <w:top w:val="none" w:sz="0" w:space="0" w:color="auto"/>
        <w:left w:val="none" w:sz="0" w:space="0" w:color="auto"/>
        <w:bottom w:val="none" w:sz="0" w:space="0" w:color="auto"/>
        <w:right w:val="none" w:sz="0" w:space="0" w:color="auto"/>
      </w:divBdr>
    </w:div>
    <w:div w:id="867333641">
      <w:bodyDiv w:val="1"/>
      <w:marLeft w:val="0"/>
      <w:marRight w:val="0"/>
      <w:marTop w:val="0"/>
      <w:marBottom w:val="0"/>
      <w:divBdr>
        <w:top w:val="none" w:sz="0" w:space="0" w:color="auto"/>
        <w:left w:val="none" w:sz="0" w:space="0" w:color="auto"/>
        <w:bottom w:val="none" w:sz="0" w:space="0" w:color="auto"/>
        <w:right w:val="none" w:sz="0" w:space="0" w:color="auto"/>
      </w:divBdr>
    </w:div>
    <w:div w:id="888567451">
      <w:bodyDiv w:val="1"/>
      <w:marLeft w:val="0"/>
      <w:marRight w:val="0"/>
      <w:marTop w:val="0"/>
      <w:marBottom w:val="0"/>
      <w:divBdr>
        <w:top w:val="none" w:sz="0" w:space="0" w:color="auto"/>
        <w:left w:val="none" w:sz="0" w:space="0" w:color="auto"/>
        <w:bottom w:val="none" w:sz="0" w:space="0" w:color="auto"/>
        <w:right w:val="none" w:sz="0" w:space="0" w:color="auto"/>
      </w:divBdr>
    </w:div>
    <w:div w:id="890460630">
      <w:bodyDiv w:val="1"/>
      <w:marLeft w:val="0"/>
      <w:marRight w:val="0"/>
      <w:marTop w:val="0"/>
      <w:marBottom w:val="0"/>
      <w:divBdr>
        <w:top w:val="none" w:sz="0" w:space="0" w:color="auto"/>
        <w:left w:val="none" w:sz="0" w:space="0" w:color="auto"/>
        <w:bottom w:val="none" w:sz="0" w:space="0" w:color="auto"/>
        <w:right w:val="none" w:sz="0" w:space="0" w:color="auto"/>
      </w:divBdr>
    </w:div>
    <w:div w:id="896358979">
      <w:bodyDiv w:val="1"/>
      <w:marLeft w:val="0"/>
      <w:marRight w:val="0"/>
      <w:marTop w:val="0"/>
      <w:marBottom w:val="0"/>
      <w:divBdr>
        <w:top w:val="none" w:sz="0" w:space="0" w:color="auto"/>
        <w:left w:val="none" w:sz="0" w:space="0" w:color="auto"/>
        <w:bottom w:val="none" w:sz="0" w:space="0" w:color="auto"/>
        <w:right w:val="none" w:sz="0" w:space="0" w:color="auto"/>
      </w:divBdr>
    </w:div>
    <w:div w:id="899053928">
      <w:bodyDiv w:val="1"/>
      <w:marLeft w:val="0"/>
      <w:marRight w:val="0"/>
      <w:marTop w:val="0"/>
      <w:marBottom w:val="0"/>
      <w:divBdr>
        <w:top w:val="none" w:sz="0" w:space="0" w:color="auto"/>
        <w:left w:val="none" w:sz="0" w:space="0" w:color="auto"/>
        <w:bottom w:val="none" w:sz="0" w:space="0" w:color="auto"/>
        <w:right w:val="none" w:sz="0" w:space="0" w:color="auto"/>
      </w:divBdr>
    </w:div>
    <w:div w:id="910038040">
      <w:bodyDiv w:val="1"/>
      <w:marLeft w:val="0"/>
      <w:marRight w:val="0"/>
      <w:marTop w:val="0"/>
      <w:marBottom w:val="0"/>
      <w:divBdr>
        <w:top w:val="none" w:sz="0" w:space="0" w:color="auto"/>
        <w:left w:val="none" w:sz="0" w:space="0" w:color="auto"/>
        <w:bottom w:val="none" w:sz="0" w:space="0" w:color="auto"/>
        <w:right w:val="none" w:sz="0" w:space="0" w:color="auto"/>
      </w:divBdr>
    </w:div>
    <w:div w:id="917179570">
      <w:bodyDiv w:val="1"/>
      <w:marLeft w:val="0"/>
      <w:marRight w:val="0"/>
      <w:marTop w:val="0"/>
      <w:marBottom w:val="0"/>
      <w:divBdr>
        <w:top w:val="none" w:sz="0" w:space="0" w:color="auto"/>
        <w:left w:val="none" w:sz="0" w:space="0" w:color="auto"/>
        <w:bottom w:val="none" w:sz="0" w:space="0" w:color="auto"/>
        <w:right w:val="none" w:sz="0" w:space="0" w:color="auto"/>
      </w:divBdr>
    </w:div>
    <w:div w:id="918639946">
      <w:bodyDiv w:val="1"/>
      <w:marLeft w:val="0"/>
      <w:marRight w:val="0"/>
      <w:marTop w:val="0"/>
      <w:marBottom w:val="0"/>
      <w:divBdr>
        <w:top w:val="none" w:sz="0" w:space="0" w:color="auto"/>
        <w:left w:val="none" w:sz="0" w:space="0" w:color="auto"/>
        <w:bottom w:val="none" w:sz="0" w:space="0" w:color="auto"/>
        <w:right w:val="none" w:sz="0" w:space="0" w:color="auto"/>
      </w:divBdr>
    </w:div>
    <w:div w:id="922107105">
      <w:bodyDiv w:val="1"/>
      <w:marLeft w:val="0"/>
      <w:marRight w:val="0"/>
      <w:marTop w:val="0"/>
      <w:marBottom w:val="0"/>
      <w:divBdr>
        <w:top w:val="none" w:sz="0" w:space="0" w:color="auto"/>
        <w:left w:val="none" w:sz="0" w:space="0" w:color="auto"/>
        <w:bottom w:val="none" w:sz="0" w:space="0" w:color="auto"/>
        <w:right w:val="none" w:sz="0" w:space="0" w:color="auto"/>
      </w:divBdr>
    </w:div>
    <w:div w:id="927151886">
      <w:bodyDiv w:val="1"/>
      <w:marLeft w:val="0"/>
      <w:marRight w:val="0"/>
      <w:marTop w:val="0"/>
      <w:marBottom w:val="0"/>
      <w:divBdr>
        <w:top w:val="none" w:sz="0" w:space="0" w:color="auto"/>
        <w:left w:val="none" w:sz="0" w:space="0" w:color="auto"/>
        <w:bottom w:val="none" w:sz="0" w:space="0" w:color="auto"/>
        <w:right w:val="none" w:sz="0" w:space="0" w:color="auto"/>
      </w:divBdr>
    </w:div>
    <w:div w:id="931087437">
      <w:bodyDiv w:val="1"/>
      <w:marLeft w:val="0"/>
      <w:marRight w:val="0"/>
      <w:marTop w:val="0"/>
      <w:marBottom w:val="0"/>
      <w:divBdr>
        <w:top w:val="none" w:sz="0" w:space="0" w:color="auto"/>
        <w:left w:val="none" w:sz="0" w:space="0" w:color="auto"/>
        <w:bottom w:val="none" w:sz="0" w:space="0" w:color="auto"/>
        <w:right w:val="none" w:sz="0" w:space="0" w:color="auto"/>
      </w:divBdr>
    </w:div>
    <w:div w:id="938831130">
      <w:bodyDiv w:val="1"/>
      <w:marLeft w:val="0"/>
      <w:marRight w:val="0"/>
      <w:marTop w:val="0"/>
      <w:marBottom w:val="0"/>
      <w:divBdr>
        <w:top w:val="none" w:sz="0" w:space="0" w:color="auto"/>
        <w:left w:val="none" w:sz="0" w:space="0" w:color="auto"/>
        <w:bottom w:val="none" w:sz="0" w:space="0" w:color="auto"/>
        <w:right w:val="none" w:sz="0" w:space="0" w:color="auto"/>
      </w:divBdr>
    </w:div>
    <w:div w:id="950169617">
      <w:bodyDiv w:val="1"/>
      <w:marLeft w:val="0"/>
      <w:marRight w:val="0"/>
      <w:marTop w:val="0"/>
      <w:marBottom w:val="0"/>
      <w:divBdr>
        <w:top w:val="none" w:sz="0" w:space="0" w:color="auto"/>
        <w:left w:val="none" w:sz="0" w:space="0" w:color="auto"/>
        <w:bottom w:val="none" w:sz="0" w:space="0" w:color="auto"/>
        <w:right w:val="none" w:sz="0" w:space="0" w:color="auto"/>
      </w:divBdr>
    </w:div>
    <w:div w:id="950404819">
      <w:bodyDiv w:val="1"/>
      <w:marLeft w:val="0"/>
      <w:marRight w:val="0"/>
      <w:marTop w:val="0"/>
      <w:marBottom w:val="0"/>
      <w:divBdr>
        <w:top w:val="none" w:sz="0" w:space="0" w:color="auto"/>
        <w:left w:val="none" w:sz="0" w:space="0" w:color="auto"/>
        <w:bottom w:val="none" w:sz="0" w:space="0" w:color="auto"/>
        <w:right w:val="none" w:sz="0" w:space="0" w:color="auto"/>
      </w:divBdr>
    </w:div>
    <w:div w:id="957878244">
      <w:bodyDiv w:val="1"/>
      <w:marLeft w:val="0"/>
      <w:marRight w:val="0"/>
      <w:marTop w:val="0"/>
      <w:marBottom w:val="0"/>
      <w:divBdr>
        <w:top w:val="none" w:sz="0" w:space="0" w:color="auto"/>
        <w:left w:val="none" w:sz="0" w:space="0" w:color="auto"/>
        <w:bottom w:val="none" w:sz="0" w:space="0" w:color="auto"/>
        <w:right w:val="none" w:sz="0" w:space="0" w:color="auto"/>
      </w:divBdr>
    </w:div>
    <w:div w:id="959385350">
      <w:bodyDiv w:val="1"/>
      <w:marLeft w:val="0"/>
      <w:marRight w:val="0"/>
      <w:marTop w:val="0"/>
      <w:marBottom w:val="0"/>
      <w:divBdr>
        <w:top w:val="none" w:sz="0" w:space="0" w:color="auto"/>
        <w:left w:val="none" w:sz="0" w:space="0" w:color="auto"/>
        <w:bottom w:val="none" w:sz="0" w:space="0" w:color="auto"/>
        <w:right w:val="none" w:sz="0" w:space="0" w:color="auto"/>
      </w:divBdr>
    </w:div>
    <w:div w:id="959606171">
      <w:bodyDiv w:val="1"/>
      <w:marLeft w:val="0"/>
      <w:marRight w:val="0"/>
      <w:marTop w:val="0"/>
      <w:marBottom w:val="0"/>
      <w:divBdr>
        <w:top w:val="none" w:sz="0" w:space="0" w:color="auto"/>
        <w:left w:val="none" w:sz="0" w:space="0" w:color="auto"/>
        <w:bottom w:val="none" w:sz="0" w:space="0" w:color="auto"/>
        <w:right w:val="none" w:sz="0" w:space="0" w:color="auto"/>
      </w:divBdr>
    </w:div>
    <w:div w:id="963005785">
      <w:bodyDiv w:val="1"/>
      <w:marLeft w:val="0"/>
      <w:marRight w:val="0"/>
      <w:marTop w:val="0"/>
      <w:marBottom w:val="0"/>
      <w:divBdr>
        <w:top w:val="none" w:sz="0" w:space="0" w:color="auto"/>
        <w:left w:val="none" w:sz="0" w:space="0" w:color="auto"/>
        <w:bottom w:val="none" w:sz="0" w:space="0" w:color="auto"/>
        <w:right w:val="none" w:sz="0" w:space="0" w:color="auto"/>
      </w:divBdr>
    </w:div>
    <w:div w:id="970938259">
      <w:bodyDiv w:val="1"/>
      <w:marLeft w:val="0"/>
      <w:marRight w:val="0"/>
      <w:marTop w:val="0"/>
      <w:marBottom w:val="0"/>
      <w:divBdr>
        <w:top w:val="none" w:sz="0" w:space="0" w:color="auto"/>
        <w:left w:val="none" w:sz="0" w:space="0" w:color="auto"/>
        <w:bottom w:val="none" w:sz="0" w:space="0" w:color="auto"/>
        <w:right w:val="none" w:sz="0" w:space="0" w:color="auto"/>
      </w:divBdr>
    </w:div>
    <w:div w:id="984506426">
      <w:bodyDiv w:val="1"/>
      <w:marLeft w:val="0"/>
      <w:marRight w:val="0"/>
      <w:marTop w:val="0"/>
      <w:marBottom w:val="0"/>
      <w:divBdr>
        <w:top w:val="none" w:sz="0" w:space="0" w:color="auto"/>
        <w:left w:val="none" w:sz="0" w:space="0" w:color="auto"/>
        <w:bottom w:val="none" w:sz="0" w:space="0" w:color="auto"/>
        <w:right w:val="none" w:sz="0" w:space="0" w:color="auto"/>
      </w:divBdr>
    </w:div>
    <w:div w:id="995574773">
      <w:bodyDiv w:val="1"/>
      <w:marLeft w:val="0"/>
      <w:marRight w:val="0"/>
      <w:marTop w:val="0"/>
      <w:marBottom w:val="0"/>
      <w:divBdr>
        <w:top w:val="none" w:sz="0" w:space="0" w:color="auto"/>
        <w:left w:val="none" w:sz="0" w:space="0" w:color="auto"/>
        <w:bottom w:val="none" w:sz="0" w:space="0" w:color="auto"/>
        <w:right w:val="none" w:sz="0" w:space="0" w:color="auto"/>
      </w:divBdr>
    </w:div>
    <w:div w:id="1001157671">
      <w:bodyDiv w:val="1"/>
      <w:marLeft w:val="0"/>
      <w:marRight w:val="0"/>
      <w:marTop w:val="0"/>
      <w:marBottom w:val="0"/>
      <w:divBdr>
        <w:top w:val="none" w:sz="0" w:space="0" w:color="auto"/>
        <w:left w:val="none" w:sz="0" w:space="0" w:color="auto"/>
        <w:bottom w:val="none" w:sz="0" w:space="0" w:color="auto"/>
        <w:right w:val="none" w:sz="0" w:space="0" w:color="auto"/>
      </w:divBdr>
    </w:div>
    <w:div w:id="1001810235">
      <w:bodyDiv w:val="1"/>
      <w:marLeft w:val="0"/>
      <w:marRight w:val="0"/>
      <w:marTop w:val="0"/>
      <w:marBottom w:val="0"/>
      <w:divBdr>
        <w:top w:val="none" w:sz="0" w:space="0" w:color="auto"/>
        <w:left w:val="none" w:sz="0" w:space="0" w:color="auto"/>
        <w:bottom w:val="none" w:sz="0" w:space="0" w:color="auto"/>
        <w:right w:val="none" w:sz="0" w:space="0" w:color="auto"/>
      </w:divBdr>
    </w:div>
    <w:div w:id="1011877041">
      <w:bodyDiv w:val="1"/>
      <w:marLeft w:val="0"/>
      <w:marRight w:val="0"/>
      <w:marTop w:val="0"/>
      <w:marBottom w:val="0"/>
      <w:divBdr>
        <w:top w:val="none" w:sz="0" w:space="0" w:color="auto"/>
        <w:left w:val="none" w:sz="0" w:space="0" w:color="auto"/>
        <w:bottom w:val="none" w:sz="0" w:space="0" w:color="auto"/>
        <w:right w:val="none" w:sz="0" w:space="0" w:color="auto"/>
      </w:divBdr>
    </w:div>
    <w:div w:id="1021853984">
      <w:bodyDiv w:val="1"/>
      <w:marLeft w:val="0"/>
      <w:marRight w:val="0"/>
      <w:marTop w:val="0"/>
      <w:marBottom w:val="0"/>
      <w:divBdr>
        <w:top w:val="none" w:sz="0" w:space="0" w:color="auto"/>
        <w:left w:val="none" w:sz="0" w:space="0" w:color="auto"/>
        <w:bottom w:val="none" w:sz="0" w:space="0" w:color="auto"/>
        <w:right w:val="none" w:sz="0" w:space="0" w:color="auto"/>
      </w:divBdr>
    </w:div>
    <w:div w:id="1027870005">
      <w:bodyDiv w:val="1"/>
      <w:marLeft w:val="0"/>
      <w:marRight w:val="0"/>
      <w:marTop w:val="0"/>
      <w:marBottom w:val="0"/>
      <w:divBdr>
        <w:top w:val="none" w:sz="0" w:space="0" w:color="auto"/>
        <w:left w:val="none" w:sz="0" w:space="0" w:color="auto"/>
        <w:bottom w:val="none" w:sz="0" w:space="0" w:color="auto"/>
        <w:right w:val="none" w:sz="0" w:space="0" w:color="auto"/>
      </w:divBdr>
    </w:div>
    <w:div w:id="1044595558">
      <w:bodyDiv w:val="1"/>
      <w:marLeft w:val="0"/>
      <w:marRight w:val="0"/>
      <w:marTop w:val="0"/>
      <w:marBottom w:val="0"/>
      <w:divBdr>
        <w:top w:val="none" w:sz="0" w:space="0" w:color="auto"/>
        <w:left w:val="none" w:sz="0" w:space="0" w:color="auto"/>
        <w:bottom w:val="none" w:sz="0" w:space="0" w:color="auto"/>
        <w:right w:val="none" w:sz="0" w:space="0" w:color="auto"/>
      </w:divBdr>
    </w:div>
    <w:div w:id="1076246020">
      <w:bodyDiv w:val="1"/>
      <w:marLeft w:val="0"/>
      <w:marRight w:val="0"/>
      <w:marTop w:val="0"/>
      <w:marBottom w:val="0"/>
      <w:divBdr>
        <w:top w:val="none" w:sz="0" w:space="0" w:color="auto"/>
        <w:left w:val="none" w:sz="0" w:space="0" w:color="auto"/>
        <w:bottom w:val="none" w:sz="0" w:space="0" w:color="auto"/>
        <w:right w:val="none" w:sz="0" w:space="0" w:color="auto"/>
      </w:divBdr>
    </w:div>
    <w:div w:id="1079135704">
      <w:bodyDiv w:val="1"/>
      <w:marLeft w:val="0"/>
      <w:marRight w:val="0"/>
      <w:marTop w:val="0"/>
      <w:marBottom w:val="0"/>
      <w:divBdr>
        <w:top w:val="none" w:sz="0" w:space="0" w:color="auto"/>
        <w:left w:val="none" w:sz="0" w:space="0" w:color="auto"/>
        <w:bottom w:val="none" w:sz="0" w:space="0" w:color="auto"/>
        <w:right w:val="none" w:sz="0" w:space="0" w:color="auto"/>
      </w:divBdr>
    </w:div>
    <w:div w:id="1079713365">
      <w:bodyDiv w:val="1"/>
      <w:marLeft w:val="0"/>
      <w:marRight w:val="0"/>
      <w:marTop w:val="0"/>
      <w:marBottom w:val="0"/>
      <w:divBdr>
        <w:top w:val="none" w:sz="0" w:space="0" w:color="auto"/>
        <w:left w:val="none" w:sz="0" w:space="0" w:color="auto"/>
        <w:bottom w:val="none" w:sz="0" w:space="0" w:color="auto"/>
        <w:right w:val="none" w:sz="0" w:space="0" w:color="auto"/>
      </w:divBdr>
    </w:div>
    <w:div w:id="1079905030">
      <w:bodyDiv w:val="1"/>
      <w:marLeft w:val="0"/>
      <w:marRight w:val="0"/>
      <w:marTop w:val="0"/>
      <w:marBottom w:val="0"/>
      <w:divBdr>
        <w:top w:val="none" w:sz="0" w:space="0" w:color="auto"/>
        <w:left w:val="none" w:sz="0" w:space="0" w:color="auto"/>
        <w:bottom w:val="none" w:sz="0" w:space="0" w:color="auto"/>
        <w:right w:val="none" w:sz="0" w:space="0" w:color="auto"/>
      </w:divBdr>
    </w:div>
    <w:div w:id="1087266970">
      <w:bodyDiv w:val="1"/>
      <w:marLeft w:val="0"/>
      <w:marRight w:val="0"/>
      <w:marTop w:val="0"/>
      <w:marBottom w:val="0"/>
      <w:divBdr>
        <w:top w:val="none" w:sz="0" w:space="0" w:color="auto"/>
        <w:left w:val="none" w:sz="0" w:space="0" w:color="auto"/>
        <w:bottom w:val="none" w:sz="0" w:space="0" w:color="auto"/>
        <w:right w:val="none" w:sz="0" w:space="0" w:color="auto"/>
      </w:divBdr>
    </w:div>
    <w:div w:id="1090345163">
      <w:bodyDiv w:val="1"/>
      <w:marLeft w:val="0"/>
      <w:marRight w:val="0"/>
      <w:marTop w:val="0"/>
      <w:marBottom w:val="0"/>
      <w:divBdr>
        <w:top w:val="none" w:sz="0" w:space="0" w:color="auto"/>
        <w:left w:val="none" w:sz="0" w:space="0" w:color="auto"/>
        <w:bottom w:val="none" w:sz="0" w:space="0" w:color="auto"/>
        <w:right w:val="none" w:sz="0" w:space="0" w:color="auto"/>
      </w:divBdr>
    </w:div>
    <w:div w:id="1102189264">
      <w:bodyDiv w:val="1"/>
      <w:marLeft w:val="0"/>
      <w:marRight w:val="0"/>
      <w:marTop w:val="0"/>
      <w:marBottom w:val="0"/>
      <w:divBdr>
        <w:top w:val="none" w:sz="0" w:space="0" w:color="auto"/>
        <w:left w:val="none" w:sz="0" w:space="0" w:color="auto"/>
        <w:bottom w:val="none" w:sz="0" w:space="0" w:color="auto"/>
        <w:right w:val="none" w:sz="0" w:space="0" w:color="auto"/>
      </w:divBdr>
    </w:div>
    <w:div w:id="1102382442">
      <w:bodyDiv w:val="1"/>
      <w:marLeft w:val="0"/>
      <w:marRight w:val="0"/>
      <w:marTop w:val="0"/>
      <w:marBottom w:val="0"/>
      <w:divBdr>
        <w:top w:val="none" w:sz="0" w:space="0" w:color="auto"/>
        <w:left w:val="none" w:sz="0" w:space="0" w:color="auto"/>
        <w:bottom w:val="none" w:sz="0" w:space="0" w:color="auto"/>
        <w:right w:val="none" w:sz="0" w:space="0" w:color="auto"/>
      </w:divBdr>
    </w:div>
    <w:div w:id="1105924254">
      <w:bodyDiv w:val="1"/>
      <w:marLeft w:val="0"/>
      <w:marRight w:val="0"/>
      <w:marTop w:val="0"/>
      <w:marBottom w:val="0"/>
      <w:divBdr>
        <w:top w:val="none" w:sz="0" w:space="0" w:color="auto"/>
        <w:left w:val="none" w:sz="0" w:space="0" w:color="auto"/>
        <w:bottom w:val="none" w:sz="0" w:space="0" w:color="auto"/>
        <w:right w:val="none" w:sz="0" w:space="0" w:color="auto"/>
      </w:divBdr>
    </w:div>
    <w:div w:id="1113747607">
      <w:bodyDiv w:val="1"/>
      <w:marLeft w:val="0"/>
      <w:marRight w:val="0"/>
      <w:marTop w:val="0"/>
      <w:marBottom w:val="0"/>
      <w:divBdr>
        <w:top w:val="none" w:sz="0" w:space="0" w:color="auto"/>
        <w:left w:val="none" w:sz="0" w:space="0" w:color="auto"/>
        <w:bottom w:val="none" w:sz="0" w:space="0" w:color="auto"/>
        <w:right w:val="none" w:sz="0" w:space="0" w:color="auto"/>
      </w:divBdr>
    </w:div>
    <w:div w:id="1115057593">
      <w:bodyDiv w:val="1"/>
      <w:marLeft w:val="0"/>
      <w:marRight w:val="0"/>
      <w:marTop w:val="0"/>
      <w:marBottom w:val="0"/>
      <w:divBdr>
        <w:top w:val="none" w:sz="0" w:space="0" w:color="auto"/>
        <w:left w:val="none" w:sz="0" w:space="0" w:color="auto"/>
        <w:bottom w:val="none" w:sz="0" w:space="0" w:color="auto"/>
        <w:right w:val="none" w:sz="0" w:space="0" w:color="auto"/>
      </w:divBdr>
    </w:div>
    <w:div w:id="1116487513">
      <w:bodyDiv w:val="1"/>
      <w:marLeft w:val="0"/>
      <w:marRight w:val="0"/>
      <w:marTop w:val="0"/>
      <w:marBottom w:val="0"/>
      <w:divBdr>
        <w:top w:val="none" w:sz="0" w:space="0" w:color="auto"/>
        <w:left w:val="none" w:sz="0" w:space="0" w:color="auto"/>
        <w:bottom w:val="none" w:sz="0" w:space="0" w:color="auto"/>
        <w:right w:val="none" w:sz="0" w:space="0" w:color="auto"/>
      </w:divBdr>
    </w:div>
    <w:div w:id="1116674397">
      <w:bodyDiv w:val="1"/>
      <w:marLeft w:val="0"/>
      <w:marRight w:val="0"/>
      <w:marTop w:val="0"/>
      <w:marBottom w:val="0"/>
      <w:divBdr>
        <w:top w:val="none" w:sz="0" w:space="0" w:color="auto"/>
        <w:left w:val="none" w:sz="0" w:space="0" w:color="auto"/>
        <w:bottom w:val="none" w:sz="0" w:space="0" w:color="auto"/>
        <w:right w:val="none" w:sz="0" w:space="0" w:color="auto"/>
      </w:divBdr>
    </w:div>
    <w:div w:id="1118647803">
      <w:bodyDiv w:val="1"/>
      <w:marLeft w:val="0"/>
      <w:marRight w:val="0"/>
      <w:marTop w:val="0"/>
      <w:marBottom w:val="0"/>
      <w:divBdr>
        <w:top w:val="none" w:sz="0" w:space="0" w:color="auto"/>
        <w:left w:val="none" w:sz="0" w:space="0" w:color="auto"/>
        <w:bottom w:val="none" w:sz="0" w:space="0" w:color="auto"/>
        <w:right w:val="none" w:sz="0" w:space="0" w:color="auto"/>
      </w:divBdr>
    </w:div>
    <w:div w:id="1126121600">
      <w:bodyDiv w:val="1"/>
      <w:marLeft w:val="0"/>
      <w:marRight w:val="0"/>
      <w:marTop w:val="0"/>
      <w:marBottom w:val="0"/>
      <w:divBdr>
        <w:top w:val="none" w:sz="0" w:space="0" w:color="auto"/>
        <w:left w:val="none" w:sz="0" w:space="0" w:color="auto"/>
        <w:bottom w:val="none" w:sz="0" w:space="0" w:color="auto"/>
        <w:right w:val="none" w:sz="0" w:space="0" w:color="auto"/>
      </w:divBdr>
    </w:div>
    <w:div w:id="1126507197">
      <w:bodyDiv w:val="1"/>
      <w:marLeft w:val="0"/>
      <w:marRight w:val="0"/>
      <w:marTop w:val="0"/>
      <w:marBottom w:val="0"/>
      <w:divBdr>
        <w:top w:val="none" w:sz="0" w:space="0" w:color="auto"/>
        <w:left w:val="none" w:sz="0" w:space="0" w:color="auto"/>
        <w:bottom w:val="none" w:sz="0" w:space="0" w:color="auto"/>
        <w:right w:val="none" w:sz="0" w:space="0" w:color="auto"/>
      </w:divBdr>
      <w:divsChild>
        <w:div w:id="100536770">
          <w:marLeft w:val="0"/>
          <w:marRight w:val="0"/>
          <w:marTop w:val="0"/>
          <w:marBottom w:val="0"/>
          <w:divBdr>
            <w:top w:val="none" w:sz="0" w:space="0" w:color="auto"/>
            <w:left w:val="none" w:sz="0" w:space="0" w:color="auto"/>
            <w:bottom w:val="none" w:sz="0" w:space="0" w:color="auto"/>
            <w:right w:val="none" w:sz="0" w:space="0" w:color="auto"/>
          </w:divBdr>
          <w:divsChild>
            <w:div w:id="733085983">
              <w:marLeft w:val="0"/>
              <w:marRight w:val="0"/>
              <w:marTop w:val="0"/>
              <w:marBottom w:val="0"/>
              <w:divBdr>
                <w:top w:val="none" w:sz="0" w:space="0" w:color="auto"/>
                <w:left w:val="none" w:sz="0" w:space="0" w:color="auto"/>
                <w:bottom w:val="none" w:sz="0" w:space="0" w:color="auto"/>
                <w:right w:val="none" w:sz="0" w:space="0" w:color="auto"/>
              </w:divBdr>
              <w:divsChild>
                <w:div w:id="311101361">
                  <w:marLeft w:val="0"/>
                  <w:marRight w:val="0"/>
                  <w:marTop w:val="0"/>
                  <w:marBottom w:val="0"/>
                  <w:divBdr>
                    <w:top w:val="none" w:sz="0" w:space="0" w:color="auto"/>
                    <w:left w:val="none" w:sz="0" w:space="0" w:color="auto"/>
                    <w:bottom w:val="none" w:sz="0" w:space="0" w:color="auto"/>
                    <w:right w:val="none" w:sz="0" w:space="0" w:color="auto"/>
                  </w:divBdr>
                  <w:divsChild>
                    <w:div w:id="948194853">
                      <w:marLeft w:val="0"/>
                      <w:marRight w:val="0"/>
                      <w:marTop w:val="0"/>
                      <w:marBottom w:val="0"/>
                      <w:divBdr>
                        <w:top w:val="none" w:sz="0" w:space="0" w:color="auto"/>
                        <w:left w:val="none" w:sz="0" w:space="0" w:color="auto"/>
                        <w:bottom w:val="none" w:sz="0" w:space="0" w:color="auto"/>
                        <w:right w:val="none" w:sz="0" w:space="0" w:color="auto"/>
                      </w:divBdr>
                      <w:divsChild>
                        <w:div w:id="434987180">
                          <w:marLeft w:val="0"/>
                          <w:marRight w:val="0"/>
                          <w:marTop w:val="0"/>
                          <w:marBottom w:val="0"/>
                          <w:divBdr>
                            <w:top w:val="none" w:sz="0" w:space="0" w:color="auto"/>
                            <w:left w:val="none" w:sz="0" w:space="0" w:color="auto"/>
                            <w:bottom w:val="none" w:sz="0" w:space="0" w:color="auto"/>
                            <w:right w:val="none" w:sz="0" w:space="0" w:color="auto"/>
                          </w:divBdr>
                          <w:divsChild>
                            <w:div w:id="537009862">
                              <w:marLeft w:val="0"/>
                              <w:marRight w:val="0"/>
                              <w:marTop w:val="0"/>
                              <w:marBottom w:val="0"/>
                              <w:divBdr>
                                <w:top w:val="none" w:sz="0" w:space="0" w:color="auto"/>
                                <w:left w:val="none" w:sz="0" w:space="0" w:color="auto"/>
                                <w:bottom w:val="none" w:sz="0" w:space="0" w:color="auto"/>
                                <w:right w:val="none" w:sz="0" w:space="0" w:color="auto"/>
                              </w:divBdr>
                              <w:divsChild>
                                <w:div w:id="1123309648">
                                  <w:marLeft w:val="0"/>
                                  <w:marRight w:val="0"/>
                                  <w:marTop w:val="0"/>
                                  <w:marBottom w:val="0"/>
                                  <w:divBdr>
                                    <w:top w:val="none" w:sz="0" w:space="0" w:color="auto"/>
                                    <w:left w:val="none" w:sz="0" w:space="0" w:color="auto"/>
                                    <w:bottom w:val="none" w:sz="0" w:space="0" w:color="auto"/>
                                    <w:right w:val="none" w:sz="0" w:space="0" w:color="auto"/>
                                  </w:divBdr>
                                  <w:divsChild>
                                    <w:div w:id="193349522">
                                      <w:marLeft w:val="0"/>
                                      <w:marRight w:val="0"/>
                                      <w:marTop w:val="0"/>
                                      <w:marBottom w:val="0"/>
                                      <w:divBdr>
                                        <w:top w:val="none" w:sz="0" w:space="0" w:color="auto"/>
                                        <w:left w:val="none" w:sz="0" w:space="0" w:color="auto"/>
                                        <w:bottom w:val="none" w:sz="0" w:space="0" w:color="auto"/>
                                        <w:right w:val="none" w:sz="0" w:space="0" w:color="auto"/>
                                      </w:divBdr>
                                    </w:div>
                                  </w:divsChild>
                                </w:div>
                                <w:div w:id="1931426193">
                                  <w:marLeft w:val="0"/>
                                  <w:marRight w:val="0"/>
                                  <w:marTop w:val="0"/>
                                  <w:marBottom w:val="0"/>
                                  <w:divBdr>
                                    <w:top w:val="none" w:sz="0" w:space="0" w:color="auto"/>
                                    <w:left w:val="none" w:sz="0" w:space="0" w:color="auto"/>
                                    <w:bottom w:val="none" w:sz="0" w:space="0" w:color="auto"/>
                                    <w:right w:val="none" w:sz="0" w:space="0" w:color="auto"/>
                                  </w:divBdr>
                                  <w:divsChild>
                                    <w:div w:id="2037152953">
                                      <w:marLeft w:val="0"/>
                                      <w:marRight w:val="0"/>
                                      <w:marTop w:val="0"/>
                                      <w:marBottom w:val="0"/>
                                      <w:divBdr>
                                        <w:top w:val="none" w:sz="0" w:space="0" w:color="auto"/>
                                        <w:left w:val="none" w:sz="0" w:space="0" w:color="auto"/>
                                        <w:bottom w:val="none" w:sz="0" w:space="0" w:color="auto"/>
                                        <w:right w:val="none" w:sz="0" w:space="0" w:color="auto"/>
                                      </w:divBdr>
                                      <w:divsChild>
                                        <w:div w:id="1351099901">
                                          <w:marLeft w:val="0"/>
                                          <w:marRight w:val="0"/>
                                          <w:marTop w:val="0"/>
                                          <w:marBottom w:val="0"/>
                                          <w:divBdr>
                                            <w:top w:val="none" w:sz="0" w:space="0" w:color="auto"/>
                                            <w:left w:val="none" w:sz="0" w:space="0" w:color="auto"/>
                                            <w:bottom w:val="none" w:sz="0" w:space="0" w:color="auto"/>
                                            <w:right w:val="none" w:sz="0" w:space="0" w:color="auto"/>
                                          </w:divBdr>
                                          <w:divsChild>
                                            <w:div w:id="15497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7159487">
          <w:marLeft w:val="0"/>
          <w:marRight w:val="0"/>
          <w:marTop w:val="0"/>
          <w:marBottom w:val="0"/>
          <w:divBdr>
            <w:top w:val="none" w:sz="0" w:space="0" w:color="auto"/>
            <w:left w:val="none" w:sz="0" w:space="0" w:color="auto"/>
            <w:bottom w:val="none" w:sz="0" w:space="0" w:color="auto"/>
            <w:right w:val="none" w:sz="0" w:space="0" w:color="auto"/>
          </w:divBdr>
          <w:divsChild>
            <w:div w:id="1680086423">
              <w:marLeft w:val="0"/>
              <w:marRight w:val="0"/>
              <w:marTop w:val="0"/>
              <w:marBottom w:val="0"/>
              <w:divBdr>
                <w:top w:val="none" w:sz="0" w:space="0" w:color="auto"/>
                <w:left w:val="none" w:sz="0" w:space="0" w:color="auto"/>
                <w:bottom w:val="none" w:sz="0" w:space="0" w:color="auto"/>
                <w:right w:val="none" w:sz="0" w:space="0" w:color="auto"/>
              </w:divBdr>
              <w:divsChild>
                <w:div w:id="435711323">
                  <w:marLeft w:val="0"/>
                  <w:marRight w:val="0"/>
                  <w:marTop w:val="0"/>
                  <w:marBottom w:val="0"/>
                  <w:divBdr>
                    <w:top w:val="none" w:sz="0" w:space="0" w:color="auto"/>
                    <w:left w:val="none" w:sz="0" w:space="0" w:color="auto"/>
                    <w:bottom w:val="none" w:sz="0" w:space="0" w:color="auto"/>
                    <w:right w:val="none" w:sz="0" w:space="0" w:color="auto"/>
                  </w:divBdr>
                  <w:divsChild>
                    <w:div w:id="218982571">
                      <w:marLeft w:val="0"/>
                      <w:marRight w:val="0"/>
                      <w:marTop w:val="0"/>
                      <w:marBottom w:val="0"/>
                      <w:divBdr>
                        <w:top w:val="none" w:sz="0" w:space="0" w:color="auto"/>
                        <w:left w:val="none" w:sz="0" w:space="0" w:color="auto"/>
                        <w:bottom w:val="none" w:sz="0" w:space="0" w:color="auto"/>
                        <w:right w:val="none" w:sz="0" w:space="0" w:color="auto"/>
                      </w:divBdr>
                      <w:divsChild>
                        <w:div w:id="2082487150">
                          <w:marLeft w:val="0"/>
                          <w:marRight w:val="0"/>
                          <w:marTop w:val="0"/>
                          <w:marBottom w:val="0"/>
                          <w:divBdr>
                            <w:top w:val="none" w:sz="0" w:space="0" w:color="auto"/>
                            <w:left w:val="none" w:sz="0" w:space="0" w:color="auto"/>
                            <w:bottom w:val="none" w:sz="0" w:space="0" w:color="auto"/>
                            <w:right w:val="none" w:sz="0" w:space="0" w:color="auto"/>
                          </w:divBdr>
                          <w:divsChild>
                            <w:div w:id="1729962750">
                              <w:marLeft w:val="0"/>
                              <w:marRight w:val="0"/>
                              <w:marTop w:val="0"/>
                              <w:marBottom w:val="0"/>
                              <w:divBdr>
                                <w:top w:val="none" w:sz="0" w:space="0" w:color="auto"/>
                                <w:left w:val="none" w:sz="0" w:space="0" w:color="auto"/>
                                <w:bottom w:val="none" w:sz="0" w:space="0" w:color="auto"/>
                                <w:right w:val="none" w:sz="0" w:space="0" w:color="auto"/>
                              </w:divBdr>
                              <w:divsChild>
                                <w:div w:id="470751977">
                                  <w:marLeft w:val="0"/>
                                  <w:marRight w:val="0"/>
                                  <w:marTop w:val="0"/>
                                  <w:marBottom w:val="0"/>
                                  <w:divBdr>
                                    <w:top w:val="none" w:sz="0" w:space="0" w:color="auto"/>
                                    <w:left w:val="none" w:sz="0" w:space="0" w:color="auto"/>
                                    <w:bottom w:val="none" w:sz="0" w:space="0" w:color="auto"/>
                                    <w:right w:val="none" w:sz="0" w:space="0" w:color="auto"/>
                                  </w:divBdr>
                                  <w:divsChild>
                                    <w:div w:id="1481117701">
                                      <w:marLeft w:val="0"/>
                                      <w:marRight w:val="0"/>
                                      <w:marTop w:val="0"/>
                                      <w:marBottom w:val="0"/>
                                      <w:divBdr>
                                        <w:top w:val="none" w:sz="0" w:space="0" w:color="auto"/>
                                        <w:left w:val="none" w:sz="0" w:space="0" w:color="auto"/>
                                        <w:bottom w:val="none" w:sz="0" w:space="0" w:color="auto"/>
                                        <w:right w:val="none" w:sz="0" w:space="0" w:color="auto"/>
                                      </w:divBdr>
                                      <w:divsChild>
                                        <w:div w:id="1613123008">
                                          <w:marLeft w:val="0"/>
                                          <w:marRight w:val="0"/>
                                          <w:marTop w:val="0"/>
                                          <w:marBottom w:val="0"/>
                                          <w:divBdr>
                                            <w:top w:val="none" w:sz="0" w:space="0" w:color="auto"/>
                                            <w:left w:val="none" w:sz="0" w:space="0" w:color="auto"/>
                                            <w:bottom w:val="none" w:sz="0" w:space="0" w:color="auto"/>
                                            <w:right w:val="none" w:sz="0" w:space="0" w:color="auto"/>
                                          </w:divBdr>
                                          <w:divsChild>
                                            <w:div w:id="481044345">
                                              <w:marLeft w:val="0"/>
                                              <w:marRight w:val="0"/>
                                              <w:marTop w:val="0"/>
                                              <w:marBottom w:val="0"/>
                                              <w:divBdr>
                                                <w:top w:val="none" w:sz="0" w:space="0" w:color="auto"/>
                                                <w:left w:val="none" w:sz="0" w:space="0" w:color="auto"/>
                                                <w:bottom w:val="none" w:sz="0" w:space="0" w:color="auto"/>
                                                <w:right w:val="none" w:sz="0" w:space="0" w:color="auto"/>
                                              </w:divBdr>
                                              <w:divsChild>
                                                <w:div w:id="125528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6773193">
      <w:bodyDiv w:val="1"/>
      <w:marLeft w:val="0"/>
      <w:marRight w:val="0"/>
      <w:marTop w:val="0"/>
      <w:marBottom w:val="0"/>
      <w:divBdr>
        <w:top w:val="none" w:sz="0" w:space="0" w:color="auto"/>
        <w:left w:val="none" w:sz="0" w:space="0" w:color="auto"/>
        <w:bottom w:val="none" w:sz="0" w:space="0" w:color="auto"/>
        <w:right w:val="none" w:sz="0" w:space="0" w:color="auto"/>
      </w:divBdr>
    </w:div>
    <w:div w:id="1137067923">
      <w:bodyDiv w:val="1"/>
      <w:marLeft w:val="0"/>
      <w:marRight w:val="0"/>
      <w:marTop w:val="0"/>
      <w:marBottom w:val="0"/>
      <w:divBdr>
        <w:top w:val="none" w:sz="0" w:space="0" w:color="auto"/>
        <w:left w:val="none" w:sz="0" w:space="0" w:color="auto"/>
        <w:bottom w:val="none" w:sz="0" w:space="0" w:color="auto"/>
        <w:right w:val="none" w:sz="0" w:space="0" w:color="auto"/>
      </w:divBdr>
    </w:div>
    <w:div w:id="1140466315">
      <w:bodyDiv w:val="1"/>
      <w:marLeft w:val="0"/>
      <w:marRight w:val="0"/>
      <w:marTop w:val="0"/>
      <w:marBottom w:val="0"/>
      <w:divBdr>
        <w:top w:val="none" w:sz="0" w:space="0" w:color="auto"/>
        <w:left w:val="none" w:sz="0" w:space="0" w:color="auto"/>
        <w:bottom w:val="none" w:sz="0" w:space="0" w:color="auto"/>
        <w:right w:val="none" w:sz="0" w:space="0" w:color="auto"/>
      </w:divBdr>
    </w:div>
    <w:div w:id="1147354223">
      <w:bodyDiv w:val="1"/>
      <w:marLeft w:val="0"/>
      <w:marRight w:val="0"/>
      <w:marTop w:val="0"/>
      <w:marBottom w:val="0"/>
      <w:divBdr>
        <w:top w:val="none" w:sz="0" w:space="0" w:color="auto"/>
        <w:left w:val="none" w:sz="0" w:space="0" w:color="auto"/>
        <w:bottom w:val="none" w:sz="0" w:space="0" w:color="auto"/>
        <w:right w:val="none" w:sz="0" w:space="0" w:color="auto"/>
      </w:divBdr>
    </w:div>
    <w:div w:id="1150295477">
      <w:bodyDiv w:val="1"/>
      <w:marLeft w:val="0"/>
      <w:marRight w:val="0"/>
      <w:marTop w:val="0"/>
      <w:marBottom w:val="0"/>
      <w:divBdr>
        <w:top w:val="none" w:sz="0" w:space="0" w:color="auto"/>
        <w:left w:val="none" w:sz="0" w:space="0" w:color="auto"/>
        <w:bottom w:val="none" w:sz="0" w:space="0" w:color="auto"/>
        <w:right w:val="none" w:sz="0" w:space="0" w:color="auto"/>
      </w:divBdr>
    </w:div>
    <w:div w:id="1154838492">
      <w:bodyDiv w:val="1"/>
      <w:marLeft w:val="0"/>
      <w:marRight w:val="0"/>
      <w:marTop w:val="0"/>
      <w:marBottom w:val="0"/>
      <w:divBdr>
        <w:top w:val="none" w:sz="0" w:space="0" w:color="auto"/>
        <w:left w:val="none" w:sz="0" w:space="0" w:color="auto"/>
        <w:bottom w:val="none" w:sz="0" w:space="0" w:color="auto"/>
        <w:right w:val="none" w:sz="0" w:space="0" w:color="auto"/>
      </w:divBdr>
    </w:div>
    <w:div w:id="1158885905">
      <w:bodyDiv w:val="1"/>
      <w:marLeft w:val="0"/>
      <w:marRight w:val="0"/>
      <w:marTop w:val="0"/>
      <w:marBottom w:val="0"/>
      <w:divBdr>
        <w:top w:val="none" w:sz="0" w:space="0" w:color="auto"/>
        <w:left w:val="none" w:sz="0" w:space="0" w:color="auto"/>
        <w:bottom w:val="none" w:sz="0" w:space="0" w:color="auto"/>
        <w:right w:val="none" w:sz="0" w:space="0" w:color="auto"/>
      </w:divBdr>
      <w:divsChild>
        <w:div w:id="682048391">
          <w:marLeft w:val="0"/>
          <w:marRight w:val="0"/>
          <w:marTop w:val="0"/>
          <w:marBottom w:val="0"/>
          <w:divBdr>
            <w:top w:val="none" w:sz="0" w:space="0" w:color="auto"/>
            <w:left w:val="none" w:sz="0" w:space="0" w:color="auto"/>
            <w:bottom w:val="none" w:sz="0" w:space="0" w:color="auto"/>
            <w:right w:val="none" w:sz="0" w:space="0" w:color="auto"/>
          </w:divBdr>
          <w:divsChild>
            <w:div w:id="1754281538">
              <w:marLeft w:val="0"/>
              <w:marRight w:val="0"/>
              <w:marTop w:val="0"/>
              <w:marBottom w:val="0"/>
              <w:divBdr>
                <w:top w:val="none" w:sz="0" w:space="0" w:color="auto"/>
                <w:left w:val="none" w:sz="0" w:space="0" w:color="auto"/>
                <w:bottom w:val="none" w:sz="0" w:space="0" w:color="auto"/>
                <w:right w:val="none" w:sz="0" w:space="0" w:color="auto"/>
              </w:divBdr>
              <w:divsChild>
                <w:div w:id="869489082">
                  <w:marLeft w:val="0"/>
                  <w:marRight w:val="0"/>
                  <w:marTop w:val="0"/>
                  <w:marBottom w:val="0"/>
                  <w:divBdr>
                    <w:top w:val="none" w:sz="0" w:space="0" w:color="auto"/>
                    <w:left w:val="none" w:sz="0" w:space="0" w:color="auto"/>
                    <w:bottom w:val="none" w:sz="0" w:space="0" w:color="auto"/>
                    <w:right w:val="none" w:sz="0" w:space="0" w:color="auto"/>
                  </w:divBdr>
                  <w:divsChild>
                    <w:div w:id="734664403">
                      <w:marLeft w:val="0"/>
                      <w:marRight w:val="0"/>
                      <w:marTop w:val="0"/>
                      <w:marBottom w:val="0"/>
                      <w:divBdr>
                        <w:top w:val="none" w:sz="0" w:space="0" w:color="auto"/>
                        <w:left w:val="none" w:sz="0" w:space="0" w:color="auto"/>
                        <w:bottom w:val="none" w:sz="0" w:space="0" w:color="auto"/>
                        <w:right w:val="none" w:sz="0" w:space="0" w:color="auto"/>
                      </w:divBdr>
                      <w:divsChild>
                        <w:div w:id="309866220">
                          <w:marLeft w:val="0"/>
                          <w:marRight w:val="0"/>
                          <w:marTop w:val="0"/>
                          <w:marBottom w:val="0"/>
                          <w:divBdr>
                            <w:top w:val="none" w:sz="0" w:space="0" w:color="auto"/>
                            <w:left w:val="none" w:sz="0" w:space="0" w:color="auto"/>
                            <w:bottom w:val="none" w:sz="0" w:space="0" w:color="auto"/>
                            <w:right w:val="none" w:sz="0" w:space="0" w:color="auto"/>
                          </w:divBdr>
                          <w:divsChild>
                            <w:div w:id="808478294">
                              <w:marLeft w:val="0"/>
                              <w:marRight w:val="0"/>
                              <w:marTop w:val="0"/>
                              <w:marBottom w:val="0"/>
                              <w:divBdr>
                                <w:top w:val="none" w:sz="0" w:space="0" w:color="auto"/>
                                <w:left w:val="none" w:sz="0" w:space="0" w:color="auto"/>
                                <w:bottom w:val="none" w:sz="0" w:space="0" w:color="auto"/>
                                <w:right w:val="none" w:sz="0" w:space="0" w:color="auto"/>
                              </w:divBdr>
                              <w:divsChild>
                                <w:div w:id="1655914108">
                                  <w:marLeft w:val="0"/>
                                  <w:marRight w:val="0"/>
                                  <w:marTop w:val="0"/>
                                  <w:marBottom w:val="0"/>
                                  <w:divBdr>
                                    <w:top w:val="none" w:sz="0" w:space="0" w:color="auto"/>
                                    <w:left w:val="none" w:sz="0" w:space="0" w:color="auto"/>
                                    <w:bottom w:val="none" w:sz="0" w:space="0" w:color="auto"/>
                                    <w:right w:val="none" w:sz="0" w:space="0" w:color="auto"/>
                                  </w:divBdr>
                                  <w:divsChild>
                                    <w:div w:id="137454722">
                                      <w:marLeft w:val="0"/>
                                      <w:marRight w:val="0"/>
                                      <w:marTop w:val="0"/>
                                      <w:marBottom w:val="0"/>
                                      <w:divBdr>
                                        <w:top w:val="none" w:sz="0" w:space="0" w:color="auto"/>
                                        <w:left w:val="none" w:sz="0" w:space="0" w:color="auto"/>
                                        <w:bottom w:val="none" w:sz="0" w:space="0" w:color="auto"/>
                                        <w:right w:val="none" w:sz="0" w:space="0" w:color="auto"/>
                                      </w:divBdr>
                                      <w:divsChild>
                                        <w:div w:id="1861814196">
                                          <w:marLeft w:val="0"/>
                                          <w:marRight w:val="0"/>
                                          <w:marTop w:val="0"/>
                                          <w:marBottom w:val="0"/>
                                          <w:divBdr>
                                            <w:top w:val="none" w:sz="0" w:space="0" w:color="auto"/>
                                            <w:left w:val="none" w:sz="0" w:space="0" w:color="auto"/>
                                            <w:bottom w:val="none" w:sz="0" w:space="0" w:color="auto"/>
                                            <w:right w:val="none" w:sz="0" w:space="0" w:color="auto"/>
                                          </w:divBdr>
                                          <w:divsChild>
                                            <w:div w:id="734856128">
                                              <w:marLeft w:val="0"/>
                                              <w:marRight w:val="0"/>
                                              <w:marTop w:val="0"/>
                                              <w:marBottom w:val="0"/>
                                              <w:divBdr>
                                                <w:top w:val="none" w:sz="0" w:space="0" w:color="auto"/>
                                                <w:left w:val="none" w:sz="0" w:space="0" w:color="auto"/>
                                                <w:bottom w:val="none" w:sz="0" w:space="0" w:color="auto"/>
                                                <w:right w:val="none" w:sz="0" w:space="0" w:color="auto"/>
                                              </w:divBdr>
                                              <w:divsChild>
                                                <w:div w:id="102898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387575">
          <w:marLeft w:val="0"/>
          <w:marRight w:val="0"/>
          <w:marTop w:val="0"/>
          <w:marBottom w:val="0"/>
          <w:divBdr>
            <w:top w:val="none" w:sz="0" w:space="0" w:color="auto"/>
            <w:left w:val="none" w:sz="0" w:space="0" w:color="auto"/>
            <w:bottom w:val="none" w:sz="0" w:space="0" w:color="auto"/>
            <w:right w:val="none" w:sz="0" w:space="0" w:color="auto"/>
          </w:divBdr>
          <w:divsChild>
            <w:div w:id="1739673557">
              <w:marLeft w:val="0"/>
              <w:marRight w:val="0"/>
              <w:marTop w:val="0"/>
              <w:marBottom w:val="0"/>
              <w:divBdr>
                <w:top w:val="none" w:sz="0" w:space="0" w:color="auto"/>
                <w:left w:val="none" w:sz="0" w:space="0" w:color="auto"/>
                <w:bottom w:val="none" w:sz="0" w:space="0" w:color="auto"/>
                <w:right w:val="none" w:sz="0" w:space="0" w:color="auto"/>
              </w:divBdr>
              <w:divsChild>
                <w:div w:id="43991901">
                  <w:marLeft w:val="0"/>
                  <w:marRight w:val="0"/>
                  <w:marTop w:val="0"/>
                  <w:marBottom w:val="0"/>
                  <w:divBdr>
                    <w:top w:val="none" w:sz="0" w:space="0" w:color="auto"/>
                    <w:left w:val="none" w:sz="0" w:space="0" w:color="auto"/>
                    <w:bottom w:val="none" w:sz="0" w:space="0" w:color="auto"/>
                    <w:right w:val="none" w:sz="0" w:space="0" w:color="auto"/>
                  </w:divBdr>
                  <w:divsChild>
                    <w:div w:id="382296331">
                      <w:marLeft w:val="0"/>
                      <w:marRight w:val="0"/>
                      <w:marTop w:val="0"/>
                      <w:marBottom w:val="0"/>
                      <w:divBdr>
                        <w:top w:val="none" w:sz="0" w:space="0" w:color="auto"/>
                        <w:left w:val="none" w:sz="0" w:space="0" w:color="auto"/>
                        <w:bottom w:val="none" w:sz="0" w:space="0" w:color="auto"/>
                        <w:right w:val="none" w:sz="0" w:space="0" w:color="auto"/>
                      </w:divBdr>
                      <w:divsChild>
                        <w:div w:id="782189937">
                          <w:marLeft w:val="0"/>
                          <w:marRight w:val="0"/>
                          <w:marTop w:val="0"/>
                          <w:marBottom w:val="0"/>
                          <w:divBdr>
                            <w:top w:val="none" w:sz="0" w:space="0" w:color="auto"/>
                            <w:left w:val="none" w:sz="0" w:space="0" w:color="auto"/>
                            <w:bottom w:val="none" w:sz="0" w:space="0" w:color="auto"/>
                            <w:right w:val="none" w:sz="0" w:space="0" w:color="auto"/>
                          </w:divBdr>
                          <w:divsChild>
                            <w:div w:id="724333887">
                              <w:marLeft w:val="0"/>
                              <w:marRight w:val="0"/>
                              <w:marTop w:val="0"/>
                              <w:marBottom w:val="0"/>
                              <w:divBdr>
                                <w:top w:val="none" w:sz="0" w:space="0" w:color="auto"/>
                                <w:left w:val="none" w:sz="0" w:space="0" w:color="auto"/>
                                <w:bottom w:val="none" w:sz="0" w:space="0" w:color="auto"/>
                                <w:right w:val="none" w:sz="0" w:space="0" w:color="auto"/>
                              </w:divBdr>
                              <w:divsChild>
                                <w:div w:id="1301226546">
                                  <w:marLeft w:val="0"/>
                                  <w:marRight w:val="0"/>
                                  <w:marTop w:val="0"/>
                                  <w:marBottom w:val="0"/>
                                  <w:divBdr>
                                    <w:top w:val="none" w:sz="0" w:space="0" w:color="auto"/>
                                    <w:left w:val="none" w:sz="0" w:space="0" w:color="auto"/>
                                    <w:bottom w:val="none" w:sz="0" w:space="0" w:color="auto"/>
                                    <w:right w:val="none" w:sz="0" w:space="0" w:color="auto"/>
                                  </w:divBdr>
                                  <w:divsChild>
                                    <w:div w:id="1631008730">
                                      <w:marLeft w:val="0"/>
                                      <w:marRight w:val="0"/>
                                      <w:marTop w:val="0"/>
                                      <w:marBottom w:val="0"/>
                                      <w:divBdr>
                                        <w:top w:val="none" w:sz="0" w:space="0" w:color="auto"/>
                                        <w:left w:val="none" w:sz="0" w:space="0" w:color="auto"/>
                                        <w:bottom w:val="none" w:sz="0" w:space="0" w:color="auto"/>
                                        <w:right w:val="none" w:sz="0" w:space="0" w:color="auto"/>
                                      </w:divBdr>
                                      <w:divsChild>
                                        <w:div w:id="663975743">
                                          <w:marLeft w:val="0"/>
                                          <w:marRight w:val="0"/>
                                          <w:marTop w:val="0"/>
                                          <w:marBottom w:val="0"/>
                                          <w:divBdr>
                                            <w:top w:val="none" w:sz="0" w:space="0" w:color="auto"/>
                                            <w:left w:val="none" w:sz="0" w:space="0" w:color="auto"/>
                                            <w:bottom w:val="none" w:sz="0" w:space="0" w:color="auto"/>
                                            <w:right w:val="none" w:sz="0" w:space="0" w:color="auto"/>
                                          </w:divBdr>
                                          <w:divsChild>
                                            <w:div w:id="8691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31045">
                                  <w:marLeft w:val="0"/>
                                  <w:marRight w:val="0"/>
                                  <w:marTop w:val="0"/>
                                  <w:marBottom w:val="0"/>
                                  <w:divBdr>
                                    <w:top w:val="none" w:sz="0" w:space="0" w:color="auto"/>
                                    <w:left w:val="none" w:sz="0" w:space="0" w:color="auto"/>
                                    <w:bottom w:val="none" w:sz="0" w:space="0" w:color="auto"/>
                                    <w:right w:val="none" w:sz="0" w:space="0" w:color="auto"/>
                                  </w:divBdr>
                                  <w:divsChild>
                                    <w:div w:id="66986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431637">
      <w:bodyDiv w:val="1"/>
      <w:marLeft w:val="0"/>
      <w:marRight w:val="0"/>
      <w:marTop w:val="0"/>
      <w:marBottom w:val="0"/>
      <w:divBdr>
        <w:top w:val="none" w:sz="0" w:space="0" w:color="auto"/>
        <w:left w:val="none" w:sz="0" w:space="0" w:color="auto"/>
        <w:bottom w:val="none" w:sz="0" w:space="0" w:color="auto"/>
        <w:right w:val="none" w:sz="0" w:space="0" w:color="auto"/>
      </w:divBdr>
    </w:div>
    <w:div w:id="1167860638">
      <w:bodyDiv w:val="1"/>
      <w:marLeft w:val="0"/>
      <w:marRight w:val="0"/>
      <w:marTop w:val="0"/>
      <w:marBottom w:val="0"/>
      <w:divBdr>
        <w:top w:val="none" w:sz="0" w:space="0" w:color="auto"/>
        <w:left w:val="none" w:sz="0" w:space="0" w:color="auto"/>
        <w:bottom w:val="none" w:sz="0" w:space="0" w:color="auto"/>
        <w:right w:val="none" w:sz="0" w:space="0" w:color="auto"/>
      </w:divBdr>
    </w:div>
    <w:div w:id="1180240491">
      <w:bodyDiv w:val="1"/>
      <w:marLeft w:val="0"/>
      <w:marRight w:val="0"/>
      <w:marTop w:val="0"/>
      <w:marBottom w:val="0"/>
      <w:divBdr>
        <w:top w:val="none" w:sz="0" w:space="0" w:color="auto"/>
        <w:left w:val="none" w:sz="0" w:space="0" w:color="auto"/>
        <w:bottom w:val="none" w:sz="0" w:space="0" w:color="auto"/>
        <w:right w:val="none" w:sz="0" w:space="0" w:color="auto"/>
      </w:divBdr>
    </w:div>
    <w:div w:id="1196500802">
      <w:bodyDiv w:val="1"/>
      <w:marLeft w:val="0"/>
      <w:marRight w:val="0"/>
      <w:marTop w:val="0"/>
      <w:marBottom w:val="0"/>
      <w:divBdr>
        <w:top w:val="none" w:sz="0" w:space="0" w:color="auto"/>
        <w:left w:val="none" w:sz="0" w:space="0" w:color="auto"/>
        <w:bottom w:val="none" w:sz="0" w:space="0" w:color="auto"/>
        <w:right w:val="none" w:sz="0" w:space="0" w:color="auto"/>
      </w:divBdr>
    </w:div>
    <w:div w:id="1207373155">
      <w:bodyDiv w:val="1"/>
      <w:marLeft w:val="0"/>
      <w:marRight w:val="0"/>
      <w:marTop w:val="0"/>
      <w:marBottom w:val="0"/>
      <w:divBdr>
        <w:top w:val="none" w:sz="0" w:space="0" w:color="auto"/>
        <w:left w:val="none" w:sz="0" w:space="0" w:color="auto"/>
        <w:bottom w:val="none" w:sz="0" w:space="0" w:color="auto"/>
        <w:right w:val="none" w:sz="0" w:space="0" w:color="auto"/>
      </w:divBdr>
    </w:div>
    <w:div w:id="1207446938">
      <w:bodyDiv w:val="1"/>
      <w:marLeft w:val="0"/>
      <w:marRight w:val="0"/>
      <w:marTop w:val="0"/>
      <w:marBottom w:val="0"/>
      <w:divBdr>
        <w:top w:val="none" w:sz="0" w:space="0" w:color="auto"/>
        <w:left w:val="none" w:sz="0" w:space="0" w:color="auto"/>
        <w:bottom w:val="none" w:sz="0" w:space="0" w:color="auto"/>
        <w:right w:val="none" w:sz="0" w:space="0" w:color="auto"/>
      </w:divBdr>
    </w:div>
    <w:div w:id="1211113403">
      <w:bodyDiv w:val="1"/>
      <w:marLeft w:val="0"/>
      <w:marRight w:val="0"/>
      <w:marTop w:val="0"/>
      <w:marBottom w:val="0"/>
      <w:divBdr>
        <w:top w:val="none" w:sz="0" w:space="0" w:color="auto"/>
        <w:left w:val="none" w:sz="0" w:space="0" w:color="auto"/>
        <w:bottom w:val="none" w:sz="0" w:space="0" w:color="auto"/>
        <w:right w:val="none" w:sz="0" w:space="0" w:color="auto"/>
      </w:divBdr>
    </w:div>
    <w:div w:id="1216967186">
      <w:bodyDiv w:val="1"/>
      <w:marLeft w:val="0"/>
      <w:marRight w:val="0"/>
      <w:marTop w:val="0"/>
      <w:marBottom w:val="0"/>
      <w:divBdr>
        <w:top w:val="none" w:sz="0" w:space="0" w:color="auto"/>
        <w:left w:val="none" w:sz="0" w:space="0" w:color="auto"/>
        <w:bottom w:val="none" w:sz="0" w:space="0" w:color="auto"/>
        <w:right w:val="none" w:sz="0" w:space="0" w:color="auto"/>
      </w:divBdr>
    </w:div>
    <w:div w:id="1227765933">
      <w:bodyDiv w:val="1"/>
      <w:marLeft w:val="0"/>
      <w:marRight w:val="0"/>
      <w:marTop w:val="0"/>
      <w:marBottom w:val="0"/>
      <w:divBdr>
        <w:top w:val="none" w:sz="0" w:space="0" w:color="auto"/>
        <w:left w:val="none" w:sz="0" w:space="0" w:color="auto"/>
        <w:bottom w:val="none" w:sz="0" w:space="0" w:color="auto"/>
        <w:right w:val="none" w:sz="0" w:space="0" w:color="auto"/>
      </w:divBdr>
    </w:div>
    <w:div w:id="1234050961">
      <w:bodyDiv w:val="1"/>
      <w:marLeft w:val="0"/>
      <w:marRight w:val="0"/>
      <w:marTop w:val="0"/>
      <w:marBottom w:val="0"/>
      <w:divBdr>
        <w:top w:val="none" w:sz="0" w:space="0" w:color="auto"/>
        <w:left w:val="none" w:sz="0" w:space="0" w:color="auto"/>
        <w:bottom w:val="none" w:sz="0" w:space="0" w:color="auto"/>
        <w:right w:val="none" w:sz="0" w:space="0" w:color="auto"/>
      </w:divBdr>
    </w:div>
    <w:div w:id="1239055472">
      <w:bodyDiv w:val="1"/>
      <w:marLeft w:val="0"/>
      <w:marRight w:val="0"/>
      <w:marTop w:val="0"/>
      <w:marBottom w:val="0"/>
      <w:divBdr>
        <w:top w:val="none" w:sz="0" w:space="0" w:color="auto"/>
        <w:left w:val="none" w:sz="0" w:space="0" w:color="auto"/>
        <w:bottom w:val="none" w:sz="0" w:space="0" w:color="auto"/>
        <w:right w:val="none" w:sz="0" w:space="0" w:color="auto"/>
      </w:divBdr>
    </w:div>
    <w:div w:id="1243830544">
      <w:bodyDiv w:val="1"/>
      <w:marLeft w:val="0"/>
      <w:marRight w:val="0"/>
      <w:marTop w:val="0"/>
      <w:marBottom w:val="0"/>
      <w:divBdr>
        <w:top w:val="none" w:sz="0" w:space="0" w:color="auto"/>
        <w:left w:val="none" w:sz="0" w:space="0" w:color="auto"/>
        <w:bottom w:val="none" w:sz="0" w:space="0" w:color="auto"/>
        <w:right w:val="none" w:sz="0" w:space="0" w:color="auto"/>
      </w:divBdr>
    </w:div>
    <w:div w:id="1249996427">
      <w:bodyDiv w:val="1"/>
      <w:marLeft w:val="0"/>
      <w:marRight w:val="0"/>
      <w:marTop w:val="0"/>
      <w:marBottom w:val="0"/>
      <w:divBdr>
        <w:top w:val="none" w:sz="0" w:space="0" w:color="auto"/>
        <w:left w:val="none" w:sz="0" w:space="0" w:color="auto"/>
        <w:bottom w:val="none" w:sz="0" w:space="0" w:color="auto"/>
        <w:right w:val="none" w:sz="0" w:space="0" w:color="auto"/>
      </w:divBdr>
    </w:div>
    <w:div w:id="1252350262">
      <w:bodyDiv w:val="1"/>
      <w:marLeft w:val="0"/>
      <w:marRight w:val="0"/>
      <w:marTop w:val="0"/>
      <w:marBottom w:val="0"/>
      <w:divBdr>
        <w:top w:val="none" w:sz="0" w:space="0" w:color="auto"/>
        <w:left w:val="none" w:sz="0" w:space="0" w:color="auto"/>
        <w:bottom w:val="none" w:sz="0" w:space="0" w:color="auto"/>
        <w:right w:val="none" w:sz="0" w:space="0" w:color="auto"/>
      </w:divBdr>
    </w:div>
    <w:div w:id="1262254748">
      <w:bodyDiv w:val="1"/>
      <w:marLeft w:val="0"/>
      <w:marRight w:val="0"/>
      <w:marTop w:val="0"/>
      <w:marBottom w:val="0"/>
      <w:divBdr>
        <w:top w:val="none" w:sz="0" w:space="0" w:color="auto"/>
        <w:left w:val="none" w:sz="0" w:space="0" w:color="auto"/>
        <w:bottom w:val="none" w:sz="0" w:space="0" w:color="auto"/>
        <w:right w:val="none" w:sz="0" w:space="0" w:color="auto"/>
      </w:divBdr>
    </w:div>
    <w:div w:id="1263999450">
      <w:bodyDiv w:val="1"/>
      <w:marLeft w:val="0"/>
      <w:marRight w:val="0"/>
      <w:marTop w:val="0"/>
      <w:marBottom w:val="0"/>
      <w:divBdr>
        <w:top w:val="none" w:sz="0" w:space="0" w:color="auto"/>
        <w:left w:val="none" w:sz="0" w:space="0" w:color="auto"/>
        <w:bottom w:val="none" w:sz="0" w:space="0" w:color="auto"/>
        <w:right w:val="none" w:sz="0" w:space="0" w:color="auto"/>
      </w:divBdr>
    </w:div>
    <w:div w:id="1266764276">
      <w:bodyDiv w:val="1"/>
      <w:marLeft w:val="0"/>
      <w:marRight w:val="0"/>
      <w:marTop w:val="0"/>
      <w:marBottom w:val="0"/>
      <w:divBdr>
        <w:top w:val="none" w:sz="0" w:space="0" w:color="auto"/>
        <w:left w:val="none" w:sz="0" w:space="0" w:color="auto"/>
        <w:bottom w:val="none" w:sz="0" w:space="0" w:color="auto"/>
        <w:right w:val="none" w:sz="0" w:space="0" w:color="auto"/>
      </w:divBdr>
    </w:div>
    <w:div w:id="1276215158">
      <w:bodyDiv w:val="1"/>
      <w:marLeft w:val="0"/>
      <w:marRight w:val="0"/>
      <w:marTop w:val="0"/>
      <w:marBottom w:val="0"/>
      <w:divBdr>
        <w:top w:val="none" w:sz="0" w:space="0" w:color="auto"/>
        <w:left w:val="none" w:sz="0" w:space="0" w:color="auto"/>
        <w:bottom w:val="none" w:sz="0" w:space="0" w:color="auto"/>
        <w:right w:val="none" w:sz="0" w:space="0" w:color="auto"/>
      </w:divBdr>
    </w:div>
    <w:div w:id="1278293809">
      <w:bodyDiv w:val="1"/>
      <w:marLeft w:val="0"/>
      <w:marRight w:val="0"/>
      <w:marTop w:val="0"/>
      <w:marBottom w:val="0"/>
      <w:divBdr>
        <w:top w:val="none" w:sz="0" w:space="0" w:color="auto"/>
        <w:left w:val="none" w:sz="0" w:space="0" w:color="auto"/>
        <w:bottom w:val="none" w:sz="0" w:space="0" w:color="auto"/>
        <w:right w:val="none" w:sz="0" w:space="0" w:color="auto"/>
      </w:divBdr>
    </w:div>
    <w:div w:id="1278826759">
      <w:bodyDiv w:val="1"/>
      <w:marLeft w:val="0"/>
      <w:marRight w:val="0"/>
      <w:marTop w:val="0"/>
      <w:marBottom w:val="0"/>
      <w:divBdr>
        <w:top w:val="none" w:sz="0" w:space="0" w:color="auto"/>
        <w:left w:val="none" w:sz="0" w:space="0" w:color="auto"/>
        <w:bottom w:val="none" w:sz="0" w:space="0" w:color="auto"/>
        <w:right w:val="none" w:sz="0" w:space="0" w:color="auto"/>
      </w:divBdr>
    </w:div>
    <w:div w:id="1281835369">
      <w:bodyDiv w:val="1"/>
      <w:marLeft w:val="0"/>
      <w:marRight w:val="0"/>
      <w:marTop w:val="0"/>
      <w:marBottom w:val="0"/>
      <w:divBdr>
        <w:top w:val="none" w:sz="0" w:space="0" w:color="auto"/>
        <w:left w:val="none" w:sz="0" w:space="0" w:color="auto"/>
        <w:bottom w:val="none" w:sz="0" w:space="0" w:color="auto"/>
        <w:right w:val="none" w:sz="0" w:space="0" w:color="auto"/>
      </w:divBdr>
    </w:div>
    <w:div w:id="1286349743">
      <w:bodyDiv w:val="1"/>
      <w:marLeft w:val="0"/>
      <w:marRight w:val="0"/>
      <w:marTop w:val="0"/>
      <w:marBottom w:val="0"/>
      <w:divBdr>
        <w:top w:val="none" w:sz="0" w:space="0" w:color="auto"/>
        <w:left w:val="none" w:sz="0" w:space="0" w:color="auto"/>
        <w:bottom w:val="none" w:sz="0" w:space="0" w:color="auto"/>
        <w:right w:val="none" w:sz="0" w:space="0" w:color="auto"/>
      </w:divBdr>
      <w:divsChild>
        <w:div w:id="1409765123">
          <w:marLeft w:val="0"/>
          <w:marRight w:val="0"/>
          <w:marTop w:val="0"/>
          <w:marBottom w:val="0"/>
          <w:divBdr>
            <w:top w:val="none" w:sz="0" w:space="0" w:color="auto"/>
            <w:left w:val="none" w:sz="0" w:space="0" w:color="auto"/>
            <w:bottom w:val="none" w:sz="0" w:space="0" w:color="auto"/>
            <w:right w:val="none" w:sz="0" w:space="0" w:color="auto"/>
          </w:divBdr>
          <w:divsChild>
            <w:div w:id="508174861">
              <w:marLeft w:val="0"/>
              <w:marRight w:val="0"/>
              <w:marTop w:val="0"/>
              <w:marBottom w:val="0"/>
              <w:divBdr>
                <w:top w:val="none" w:sz="0" w:space="0" w:color="auto"/>
                <w:left w:val="none" w:sz="0" w:space="0" w:color="auto"/>
                <w:bottom w:val="none" w:sz="0" w:space="0" w:color="auto"/>
                <w:right w:val="none" w:sz="0" w:space="0" w:color="auto"/>
              </w:divBdr>
              <w:divsChild>
                <w:div w:id="983581855">
                  <w:marLeft w:val="0"/>
                  <w:marRight w:val="0"/>
                  <w:marTop w:val="0"/>
                  <w:marBottom w:val="0"/>
                  <w:divBdr>
                    <w:top w:val="none" w:sz="0" w:space="0" w:color="auto"/>
                    <w:left w:val="none" w:sz="0" w:space="0" w:color="auto"/>
                    <w:bottom w:val="none" w:sz="0" w:space="0" w:color="auto"/>
                    <w:right w:val="none" w:sz="0" w:space="0" w:color="auto"/>
                  </w:divBdr>
                  <w:divsChild>
                    <w:div w:id="479231647">
                      <w:marLeft w:val="0"/>
                      <w:marRight w:val="0"/>
                      <w:marTop w:val="0"/>
                      <w:marBottom w:val="0"/>
                      <w:divBdr>
                        <w:top w:val="none" w:sz="0" w:space="0" w:color="auto"/>
                        <w:left w:val="none" w:sz="0" w:space="0" w:color="auto"/>
                        <w:bottom w:val="none" w:sz="0" w:space="0" w:color="auto"/>
                        <w:right w:val="none" w:sz="0" w:space="0" w:color="auto"/>
                      </w:divBdr>
                      <w:divsChild>
                        <w:div w:id="138884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324441">
      <w:bodyDiv w:val="1"/>
      <w:marLeft w:val="0"/>
      <w:marRight w:val="0"/>
      <w:marTop w:val="0"/>
      <w:marBottom w:val="0"/>
      <w:divBdr>
        <w:top w:val="none" w:sz="0" w:space="0" w:color="auto"/>
        <w:left w:val="none" w:sz="0" w:space="0" w:color="auto"/>
        <w:bottom w:val="none" w:sz="0" w:space="0" w:color="auto"/>
        <w:right w:val="none" w:sz="0" w:space="0" w:color="auto"/>
      </w:divBdr>
    </w:div>
    <w:div w:id="1296526464">
      <w:bodyDiv w:val="1"/>
      <w:marLeft w:val="0"/>
      <w:marRight w:val="0"/>
      <w:marTop w:val="0"/>
      <w:marBottom w:val="0"/>
      <w:divBdr>
        <w:top w:val="none" w:sz="0" w:space="0" w:color="auto"/>
        <w:left w:val="none" w:sz="0" w:space="0" w:color="auto"/>
        <w:bottom w:val="none" w:sz="0" w:space="0" w:color="auto"/>
        <w:right w:val="none" w:sz="0" w:space="0" w:color="auto"/>
      </w:divBdr>
    </w:div>
    <w:div w:id="1297569749">
      <w:bodyDiv w:val="1"/>
      <w:marLeft w:val="0"/>
      <w:marRight w:val="0"/>
      <w:marTop w:val="0"/>
      <w:marBottom w:val="0"/>
      <w:divBdr>
        <w:top w:val="none" w:sz="0" w:space="0" w:color="auto"/>
        <w:left w:val="none" w:sz="0" w:space="0" w:color="auto"/>
        <w:bottom w:val="none" w:sz="0" w:space="0" w:color="auto"/>
        <w:right w:val="none" w:sz="0" w:space="0" w:color="auto"/>
      </w:divBdr>
    </w:div>
    <w:div w:id="1300068681">
      <w:bodyDiv w:val="1"/>
      <w:marLeft w:val="0"/>
      <w:marRight w:val="0"/>
      <w:marTop w:val="0"/>
      <w:marBottom w:val="0"/>
      <w:divBdr>
        <w:top w:val="none" w:sz="0" w:space="0" w:color="auto"/>
        <w:left w:val="none" w:sz="0" w:space="0" w:color="auto"/>
        <w:bottom w:val="none" w:sz="0" w:space="0" w:color="auto"/>
        <w:right w:val="none" w:sz="0" w:space="0" w:color="auto"/>
      </w:divBdr>
    </w:div>
    <w:div w:id="1306357233">
      <w:bodyDiv w:val="1"/>
      <w:marLeft w:val="0"/>
      <w:marRight w:val="0"/>
      <w:marTop w:val="0"/>
      <w:marBottom w:val="0"/>
      <w:divBdr>
        <w:top w:val="none" w:sz="0" w:space="0" w:color="auto"/>
        <w:left w:val="none" w:sz="0" w:space="0" w:color="auto"/>
        <w:bottom w:val="none" w:sz="0" w:space="0" w:color="auto"/>
        <w:right w:val="none" w:sz="0" w:space="0" w:color="auto"/>
      </w:divBdr>
    </w:div>
    <w:div w:id="1325357198">
      <w:bodyDiv w:val="1"/>
      <w:marLeft w:val="0"/>
      <w:marRight w:val="0"/>
      <w:marTop w:val="0"/>
      <w:marBottom w:val="0"/>
      <w:divBdr>
        <w:top w:val="none" w:sz="0" w:space="0" w:color="auto"/>
        <w:left w:val="none" w:sz="0" w:space="0" w:color="auto"/>
        <w:bottom w:val="none" w:sz="0" w:space="0" w:color="auto"/>
        <w:right w:val="none" w:sz="0" w:space="0" w:color="auto"/>
      </w:divBdr>
    </w:div>
    <w:div w:id="1325628811">
      <w:bodyDiv w:val="1"/>
      <w:marLeft w:val="0"/>
      <w:marRight w:val="0"/>
      <w:marTop w:val="0"/>
      <w:marBottom w:val="0"/>
      <w:divBdr>
        <w:top w:val="none" w:sz="0" w:space="0" w:color="auto"/>
        <w:left w:val="none" w:sz="0" w:space="0" w:color="auto"/>
        <w:bottom w:val="none" w:sz="0" w:space="0" w:color="auto"/>
        <w:right w:val="none" w:sz="0" w:space="0" w:color="auto"/>
      </w:divBdr>
    </w:div>
    <w:div w:id="1330671545">
      <w:bodyDiv w:val="1"/>
      <w:marLeft w:val="0"/>
      <w:marRight w:val="0"/>
      <w:marTop w:val="0"/>
      <w:marBottom w:val="0"/>
      <w:divBdr>
        <w:top w:val="none" w:sz="0" w:space="0" w:color="auto"/>
        <w:left w:val="none" w:sz="0" w:space="0" w:color="auto"/>
        <w:bottom w:val="none" w:sz="0" w:space="0" w:color="auto"/>
        <w:right w:val="none" w:sz="0" w:space="0" w:color="auto"/>
      </w:divBdr>
    </w:div>
    <w:div w:id="1338457212">
      <w:bodyDiv w:val="1"/>
      <w:marLeft w:val="0"/>
      <w:marRight w:val="0"/>
      <w:marTop w:val="0"/>
      <w:marBottom w:val="0"/>
      <w:divBdr>
        <w:top w:val="none" w:sz="0" w:space="0" w:color="auto"/>
        <w:left w:val="none" w:sz="0" w:space="0" w:color="auto"/>
        <w:bottom w:val="none" w:sz="0" w:space="0" w:color="auto"/>
        <w:right w:val="none" w:sz="0" w:space="0" w:color="auto"/>
      </w:divBdr>
    </w:div>
    <w:div w:id="1340083002">
      <w:bodyDiv w:val="1"/>
      <w:marLeft w:val="0"/>
      <w:marRight w:val="0"/>
      <w:marTop w:val="0"/>
      <w:marBottom w:val="0"/>
      <w:divBdr>
        <w:top w:val="none" w:sz="0" w:space="0" w:color="auto"/>
        <w:left w:val="none" w:sz="0" w:space="0" w:color="auto"/>
        <w:bottom w:val="none" w:sz="0" w:space="0" w:color="auto"/>
        <w:right w:val="none" w:sz="0" w:space="0" w:color="auto"/>
      </w:divBdr>
    </w:div>
    <w:div w:id="1340158403">
      <w:bodyDiv w:val="1"/>
      <w:marLeft w:val="0"/>
      <w:marRight w:val="0"/>
      <w:marTop w:val="0"/>
      <w:marBottom w:val="0"/>
      <w:divBdr>
        <w:top w:val="none" w:sz="0" w:space="0" w:color="auto"/>
        <w:left w:val="none" w:sz="0" w:space="0" w:color="auto"/>
        <w:bottom w:val="none" w:sz="0" w:space="0" w:color="auto"/>
        <w:right w:val="none" w:sz="0" w:space="0" w:color="auto"/>
      </w:divBdr>
    </w:div>
    <w:div w:id="1357195072">
      <w:bodyDiv w:val="1"/>
      <w:marLeft w:val="0"/>
      <w:marRight w:val="0"/>
      <w:marTop w:val="0"/>
      <w:marBottom w:val="0"/>
      <w:divBdr>
        <w:top w:val="none" w:sz="0" w:space="0" w:color="auto"/>
        <w:left w:val="none" w:sz="0" w:space="0" w:color="auto"/>
        <w:bottom w:val="none" w:sz="0" w:space="0" w:color="auto"/>
        <w:right w:val="none" w:sz="0" w:space="0" w:color="auto"/>
      </w:divBdr>
    </w:div>
    <w:div w:id="1365907837">
      <w:bodyDiv w:val="1"/>
      <w:marLeft w:val="0"/>
      <w:marRight w:val="0"/>
      <w:marTop w:val="0"/>
      <w:marBottom w:val="0"/>
      <w:divBdr>
        <w:top w:val="none" w:sz="0" w:space="0" w:color="auto"/>
        <w:left w:val="none" w:sz="0" w:space="0" w:color="auto"/>
        <w:bottom w:val="none" w:sz="0" w:space="0" w:color="auto"/>
        <w:right w:val="none" w:sz="0" w:space="0" w:color="auto"/>
      </w:divBdr>
    </w:div>
    <w:div w:id="1370296840">
      <w:bodyDiv w:val="1"/>
      <w:marLeft w:val="0"/>
      <w:marRight w:val="0"/>
      <w:marTop w:val="0"/>
      <w:marBottom w:val="0"/>
      <w:divBdr>
        <w:top w:val="none" w:sz="0" w:space="0" w:color="auto"/>
        <w:left w:val="none" w:sz="0" w:space="0" w:color="auto"/>
        <w:bottom w:val="none" w:sz="0" w:space="0" w:color="auto"/>
        <w:right w:val="none" w:sz="0" w:space="0" w:color="auto"/>
      </w:divBdr>
    </w:div>
    <w:div w:id="1388916300">
      <w:bodyDiv w:val="1"/>
      <w:marLeft w:val="0"/>
      <w:marRight w:val="0"/>
      <w:marTop w:val="0"/>
      <w:marBottom w:val="0"/>
      <w:divBdr>
        <w:top w:val="none" w:sz="0" w:space="0" w:color="auto"/>
        <w:left w:val="none" w:sz="0" w:space="0" w:color="auto"/>
        <w:bottom w:val="none" w:sz="0" w:space="0" w:color="auto"/>
        <w:right w:val="none" w:sz="0" w:space="0" w:color="auto"/>
      </w:divBdr>
    </w:div>
    <w:div w:id="1391726482">
      <w:bodyDiv w:val="1"/>
      <w:marLeft w:val="0"/>
      <w:marRight w:val="0"/>
      <w:marTop w:val="0"/>
      <w:marBottom w:val="0"/>
      <w:divBdr>
        <w:top w:val="none" w:sz="0" w:space="0" w:color="auto"/>
        <w:left w:val="none" w:sz="0" w:space="0" w:color="auto"/>
        <w:bottom w:val="none" w:sz="0" w:space="0" w:color="auto"/>
        <w:right w:val="none" w:sz="0" w:space="0" w:color="auto"/>
      </w:divBdr>
    </w:div>
    <w:div w:id="1393500844">
      <w:bodyDiv w:val="1"/>
      <w:marLeft w:val="0"/>
      <w:marRight w:val="0"/>
      <w:marTop w:val="0"/>
      <w:marBottom w:val="0"/>
      <w:divBdr>
        <w:top w:val="none" w:sz="0" w:space="0" w:color="auto"/>
        <w:left w:val="none" w:sz="0" w:space="0" w:color="auto"/>
        <w:bottom w:val="none" w:sz="0" w:space="0" w:color="auto"/>
        <w:right w:val="none" w:sz="0" w:space="0" w:color="auto"/>
      </w:divBdr>
    </w:div>
    <w:div w:id="1421835617">
      <w:bodyDiv w:val="1"/>
      <w:marLeft w:val="0"/>
      <w:marRight w:val="0"/>
      <w:marTop w:val="0"/>
      <w:marBottom w:val="0"/>
      <w:divBdr>
        <w:top w:val="none" w:sz="0" w:space="0" w:color="auto"/>
        <w:left w:val="none" w:sz="0" w:space="0" w:color="auto"/>
        <w:bottom w:val="none" w:sz="0" w:space="0" w:color="auto"/>
        <w:right w:val="none" w:sz="0" w:space="0" w:color="auto"/>
      </w:divBdr>
    </w:div>
    <w:div w:id="1428770994">
      <w:bodyDiv w:val="1"/>
      <w:marLeft w:val="0"/>
      <w:marRight w:val="0"/>
      <w:marTop w:val="0"/>
      <w:marBottom w:val="0"/>
      <w:divBdr>
        <w:top w:val="none" w:sz="0" w:space="0" w:color="auto"/>
        <w:left w:val="none" w:sz="0" w:space="0" w:color="auto"/>
        <w:bottom w:val="none" w:sz="0" w:space="0" w:color="auto"/>
        <w:right w:val="none" w:sz="0" w:space="0" w:color="auto"/>
      </w:divBdr>
    </w:div>
    <w:div w:id="1434474663">
      <w:bodyDiv w:val="1"/>
      <w:marLeft w:val="0"/>
      <w:marRight w:val="0"/>
      <w:marTop w:val="0"/>
      <w:marBottom w:val="0"/>
      <w:divBdr>
        <w:top w:val="none" w:sz="0" w:space="0" w:color="auto"/>
        <w:left w:val="none" w:sz="0" w:space="0" w:color="auto"/>
        <w:bottom w:val="none" w:sz="0" w:space="0" w:color="auto"/>
        <w:right w:val="none" w:sz="0" w:space="0" w:color="auto"/>
      </w:divBdr>
    </w:div>
    <w:div w:id="1437366352">
      <w:bodyDiv w:val="1"/>
      <w:marLeft w:val="0"/>
      <w:marRight w:val="0"/>
      <w:marTop w:val="0"/>
      <w:marBottom w:val="0"/>
      <w:divBdr>
        <w:top w:val="none" w:sz="0" w:space="0" w:color="auto"/>
        <w:left w:val="none" w:sz="0" w:space="0" w:color="auto"/>
        <w:bottom w:val="none" w:sz="0" w:space="0" w:color="auto"/>
        <w:right w:val="none" w:sz="0" w:space="0" w:color="auto"/>
      </w:divBdr>
    </w:div>
    <w:div w:id="1444153073">
      <w:bodyDiv w:val="1"/>
      <w:marLeft w:val="0"/>
      <w:marRight w:val="0"/>
      <w:marTop w:val="0"/>
      <w:marBottom w:val="0"/>
      <w:divBdr>
        <w:top w:val="none" w:sz="0" w:space="0" w:color="auto"/>
        <w:left w:val="none" w:sz="0" w:space="0" w:color="auto"/>
        <w:bottom w:val="none" w:sz="0" w:space="0" w:color="auto"/>
        <w:right w:val="none" w:sz="0" w:space="0" w:color="auto"/>
      </w:divBdr>
      <w:divsChild>
        <w:div w:id="710619779">
          <w:marLeft w:val="0"/>
          <w:marRight w:val="0"/>
          <w:marTop w:val="0"/>
          <w:marBottom w:val="0"/>
          <w:divBdr>
            <w:top w:val="none" w:sz="0" w:space="0" w:color="auto"/>
            <w:left w:val="none" w:sz="0" w:space="0" w:color="auto"/>
            <w:bottom w:val="none" w:sz="0" w:space="0" w:color="auto"/>
            <w:right w:val="none" w:sz="0" w:space="0" w:color="auto"/>
          </w:divBdr>
          <w:divsChild>
            <w:div w:id="930502803">
              <w:marLeft w:val="0"/>
              <w:marRight w:val="0"/>
              <w:marTop w:val="0"/>
              <w:marBottom w:val="0"/>
              <w:divBdr>
                <w:top w:val="none" w:sz="0" w:space="0" w:color="auto"/>
                <w:left w:val="none" w:sz="0" w:space="0" w:color="auto"/>
                <w:bottom w:val="none" w:sz="0" w:space="0" w:color="auto"/>
                <w:right w:val="none" w:sz="0" w:space="0" w:color="auto"/>
              </w:divBdr>
              <w:divsChild>
                <w:div w:id="1855336880">
                  <w:marLeft w:val="0"/>
                  <w:marRight w:val="0"/>
                  <w:marTop w:val="0"/>
                  <w:marBottom w:val="0"/>
                  <w:divBdr>
                    <w:top w:val="none" w:sz="0" w:space="0" w:color="auto"/>
                    <w:left w:val="none" w:sz="0" w:space="0" w:color="auto"/>
                    <w:bottom w:val="none" w:sz="0" w:space="0" w:color="auto"/>
                    <w:right w:val="none" w:sz="0" w:space="0" w:color="auto"/>
                  </w:divBdr>
                  <w:divsChild>
                    <w:div w:id="1368524890">
                      <w:marLeft w:val="0"/>
                      <w:marRight w:val="0"/>
                      <w:marTop w:val="0"/>
                      <w:marBottom w:val="0"/>
                      <w:divBdr>
                        <w:top w:val="none" w:sz="0" w:space="0" w:color="auto"/>
                        <w:left w:val="none" w:sz="0" w:space="0" w:color="auto"/>
                        <w:bottom w:val="none" w:sz="0" w:space="0" w:color="auto"/>
                        <w:right w:val="none" w:sz="0" w:space="0" w:color="auto"/>
                      </w:divBdr>
                      <w:divsChild>
                        <w:div w:id="54009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355381">
      <w:bodyDiv w:val="1"/>
      <w:marLeft w:val="0"/>
      <w:marRight w:val="0"/>
      <w:marTop w:val="0"/>
      <w:marBottom w:val="0"/>
      <w:divBdr>
        <w:top w:val="none" w:sz="0" w:space="0" w:color="auto"/>
        <w:left w:val="none" w:sz="0" w:space="0" w:color="auto"/>
        <w:bottom w:val="none" w:sz="0" w:space="0" w:color="auto"/>
        <w:right w:val="none" w:sz="0" w:space="0" w:color="auto"/>
      </w:divBdr>
    </w:div>
    <w:div w:id="1452287350">
      <w:bodyDiv w:val="1"/>
      <w:marLeft w:val="0"/>
      <w:marRight w:val="0"/>
      <w:marTop w:val="0"/>
      <w:marBottom w:val="0"/>
      <w:divBdr>
        <w:top w:val="none" w:sz="0" w:space="0" w:color="auto"/>
        <w:left w:val="none" w:sz="0" w:space="0" w:color="auto"/>
        <w:bottom w:val="none" w:sz="0" w:space="0" w:color="auto"/>
        <w:right w:val="none" w:sz="0" w:space="0" w:color="auto"/>
      </w:divBdr>
    </w:div>
    <w:div w:id="1452507027">
      <w:bodyDiv w:val="1"/>
      <w:marLeft w:val="0"/>
      <w:marRight w:val="0"/>
      <w:marTop w:val="0"/>
      <w:marBottom w:val="0"/>
      <w:divBdr>
        <w:top w:val="none" w:sz="0" w:space="0" w:color="auto"/>
        <w:left w:val="none" w:sz="0" w:space="0" w:color="auto"/>
        <w:bottom w:val="none" w:sz="0" w:space="0" w:color="auto"/>
        <w:right w:val="none" w:sz="0" w:space="0" w:color="auto"/>
      </w:divBdr>
    </w:div>
    <w:div w:id="1461457102">
      <w:bodyDiv w:val="1"/>
      <w:marLeft w:val="0"/>
      <w:marRight w:val="0"/>
      <w:marTop w:val="0"/>
      <w:marBottom w:val="0"/>
      <w:divBdr>
        <w:top w:val="none" w:sz="0" w:space="0" w:color="auto"/>
        <w:left w:val="none" w:sz="0" w:space="0" w:color="auto"/>
        <w:bottom w:val="none" w:sz="0" w:space="0" w:color="auto"/>
        <w:right w:val="none" w:sz="0" w:space="0" w:color="auto"/>
      </w:divBdr>
    </w:div>
    <w:div w:id="1466696153">
      <w:bodyDiv w:val="1"/>
      <w:marLeft w:val="0"/>
      <w:marRight w:val="0"/>
      <w:marTop w:val="0"/>
      <w:marBottom w:val="0"/>
      <w:divBdr>
        <w:top w:val="none" w:sz="0" w:space="0" w:color="auto"/>
        <w:left w:val="none" w:sz="0" w:space="0" w:color="auto"/>
        <w:bottom w:val="none" w:sz="0" w:space="0" w:color="auto"/>
        <w:right w:val="none" w:sz="0" w:space="0" w:color="auto"/>
      </w:divBdr>
    </w:div>
    <w:div w:id="1469978474">
      <w:bodyDiv w:val="1"/>
      <w:marLeft w:val="0"/>
      <w:marRight w:val="0"/>
      <w:marTop w:val="0"/>
      <w:marBottom w:val="0"/>
      <w:divBdr>
        <w:top w:val="none" w:sz="0" w:space="0" w:color="auto"/>
        <w:left w:val="none" w:sz="0" w:space="0" w:color="auto"/>
        <w:bottom w:val="none" w:sz="0" w:space="0" w:color="auto"/>
        <w:right w:val="none" w:sz="0" w:space="0" w:color="auto"/>
      </w:divBdr>
    </w:div>
    <w:div w:id="1473596040">
      <w:bodyDiv w:val="1"/>
      <w:marLeft w:val="0"/>
      <w:marRight w:val="0"/>
      <w:marTop w:val="0"/>
      <w:marBottom w:val="0"/>
      <w:divBdr>
        <w:top w:val="none" w:sz="0" w:space="0" w:color="auto"/>
        <w:left w:val="none" w:sz="0" w:space="0" w:color="auto"/>
        <w:bottom w:val="none" w:sz="0" w:space="0" w:color="auto"/>
        <w:right w:val="none" w:sz="0" w:space="0" w:color="auto"/>
      </w:divBdr>
    </w:div>
    <w:div w:id="1485199034">
      <w:bodyDiv w:val="1"/>
      <w:marLeft w:val="0"/>
      <w:marRight w:val="0"/>
      <w:marTop w:val="0"/>
      <w:marBottom w:val="0"/>
      <w:divBdr>
        <w:top w:val="none" w:sz="0" w:space="0" w:color="auto"/>
        <w:left w:val="none" w:sz="0" w:space="0" w:color="auto"/>
        <w:bottom w:val="none" w:sz="0" w:space="0" w:color="auto"/>
        <w:right w:val="none" w:sz="0" w:space="0" w:color="auto"/>
      </w:divBdr>
    </w:div>
    <w:div w:id="1487819593">
      <w:bodyDiv w:val="1"/>
      <w:marLeft w:val="0"/>
      <w:marRight w:val="0"/>
      <w:marTop w:val="0"/>
      <w:marBottom w:val="0"/>
      <w:divBdr>
        <w:top w:val="none" w:sz="0" w:space="0" w:color="auto"/>
        <w:left w:val="none" w:sz="0" w:space="0" w:color="auto"/>
        <w:bottom w:val="none" w:sz="0" w:space="0" w:color="auto"/>
        <w:right w:val="none" w:sz="0" w:space="0" w:color="auto"/>
      </w:divBdr>
    </w:div>
    <w:div w:id="1489636167">
      <w:bodyDiv w:val="1"/>
      <w:marLeft w:val="0"/>
      <w:marRight w:val="0"/>
      <w:marTop w:val="0"/>
      <w:marBottom w:val="0"/>
      <w:divBdr>
        <w:top w:val="none" w:sz="0" w:space="0" w:color="auto"/>
        <w:left w:val="none" w:sz="0" w:space="0" w:color="auto"/>
        <w:bottom w:val="none" w:sz="0" w:space="0" w:color="auto"/>
        <w:right w:val="none" w:sz="0" w:space="0" w:color="auto"/>
      </w:divBdr>
      <w:divsChild>
        <w:div w:id="485903931">
          <w:marLeft w:val="0"/>
          <w:marRight w:val="0"/>
          <w:marTop w:val="0"/>
          <w:marBottom w:val="0"/>
          <w:divBdr>
            <w:top w:val="none" w:sz="0" w:space="0" w:color="auto"/>
            <w:left w:val="none" w:sz="0" w:space="0" w:color="auto"/>
            <w:bottom w:val="none" w:sz="0" w:space="0" w:color="auto"/>
            <w:right w:val="none" w:sz="0" w:space="0" w:color="auto"/>
          </w:divBdr>
          <w:divsChild>
            <w:div w:id="1433863953">
              <w:marLeft w:val="0"/>
              <w:marRight w:val="0"/>
              <w:marTop w:val="0"/>
              <w:marBottom w:val="0"/>
              <w:divBdr>
                <w:top w:val="none" w:sz="0" w:space="0" w:color="auto"/>
                <w:left w:val="none" w:sz="0" w:space="0" w:color="auto"/>
                <w:bottom w:val="none" w:sz="0" w:space="0" w:color="auto"/>
                <w:right w:val="none" w:sz="0" w:space="0" w:color="auto"/>
              </w:divBdr>
              <w:divsChild>
                <w:div w:id="1166633140">
                  <w:marLeft w:val="0"/>
                  <w:marRight w:val="0"/>
                  <w:marTop w:val="0"/>
                  <w:marBottom w:val="0"/>
                  <w:divBdr>
                    <w:top w:val="none" w:sz="0" w:space="0" w:color="auto"/>
                    <w:left w:val="none" w:sz="0" w:space="0" w:color="auto"/>
                    <w:bottom w:val="none" w:sz="0" w:space="0" w:color="auto"/>
                    <w:right w:val="none" w:sz="0" w:space="0" w:color="auto"/>
                  </w:divBdr>
                  <w:divsChild>
                    <w:div w:id="1086224828">
                      <w:marLeft w:val="0"/>
                      <w:marRight w:val="0"/>
                      <w:marTop w:val="0"/>
                      <w:marBottom w:val="0"/>
                      <w:divBdr>
                        <w:top w:val="none" w:sz="0" w:space="0" w:color="auto"/>
                        <w:left w:val="none" w:sz="0" w:space="0" w:color="auto"/>
                        <w:bottom w:val="none" w:sz="0" w:space="0" w:color="auto"/>
                        <w:right w:val="none" w:sz="0" w:space="0" w:color="auto"/>
                      </w:divBdr>
                      <w:divsChild>
                        <w:div w:id="198773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209189">
      <w:bodyDiv w:val="1"/>
      <w:marLeft w:val="0"/>
      <w:marRight w:val="0"/>
      <w:marTop w:val="0"/>
      <w:marBottom w:val="0"/>
      <w:divBdr>
        <w:top w:val="none" w:sz="0" w:space="0" w:color="auto"/>
        <w:left w:val="none" w:sz="0" w:space="0" w:color="auto"/>
        <w:bottom w:val="none" w:sz="0" w:space="0" w:color="auto"/>
        <w:right w:val="none" w:sz="0" w:space="0" w:color="auto"/>
      </w:divBdr>
    </w:div>
    <w:div w:id="1496720743">
      <w:bodyDiv w:val="1"/>
      <w:marLeft w:val="0"/>
      <w:marRight w:val="0"/>
      <w:marTop w:val="0"/>
      <w:marBottom w:val="0"/>
      <w:divBdr>
        <w:top w:val="none" w:sz="0" w:space="0" w:color="auto"/>
        <w:left w:val="none" w:sz="0" w:space="0" w:color="auto"/>
        <w:bottom w:val="none" w:sz="0" w:space="0" w:color="auto"/>
        <w:right w:val="none" w:sz="0" w:space="0" w:color="auto"/>
      </w:divBdr>
    </w:div>
    <w:div w:id="1498956879">
      <w:bodyDiv w:val="1"/>
      <w:marLeft w:val="0"/>
      <w:marRight w:val="0"/>
      <w:marTop w:val="0"/>
      <w:marBottom w:val="0"/>
      <w:divBdr>
        <w:top w:val="none" w:sz="0" w:space="0" w:color="auto"/>
        <w:left w:val="none" w:sz="0" w:space="0" w:color="auto"/>
        <w:bottom w:val="none" w:sz="0" w:space="0" w:color="auto"/>
        <w:right w:val="none" w:sz="0" w:space="0" w:color="auto"/>
      </w:divBdr>
    </w:div>
    <w:div w:id="1504517396">
      <w:bodyDiv w:val="1"/>
      <w:marLeft w:val="0"/>
      <w:marRight w:val="0"/>
      <w:marTop w:val="0"/>
      <w:marBottom w:val="0"/>
      <w:divBdr>
        <w:top w:val="none" w:sz="0" w:space="0" w:color="auto"/>
        <w:left w:val="none" w:sz="0" w:space="0" w:color="auto"/>
        <w:bottom w:val="none" w:sz="0" w:space="0" w:color="auto"/>
        <w:right w:val="none" w:sz="0" w:space="0" w:color="auto"/>
      </w:divBdr>
    </w:div>
    <w:div w:id="1522279412">
      <w:bodyDiv w:val="1"/>
      <w:marLeft w:val="0"/>
      <w:marRight w:val="0"/>
      <w:marTop w:val="0"/>
      <w:marBottom w:val="0"/>
      <w:divBdr>
        <w:top w:val="none" w:sz="0" w:space="0" w:color="auto"/>
        <w:left w:val="none" w:sz="0" w:space="0" w:color="auto"/>
        <w:bottom w:val="none" w:sz="0" w:space="0" w:color="auto"/>
        <w:right w:val="none" w:sz="0" w:space="0" w:color="auto"/>
      </w:divBdr>
    </w:div>
    <w:div w:id="1530219648">
      <w:bodyDiv w:val="1"/>
      <w:marLeft w:val="0"/>
      <w:marRight w:val="0"/>
      <w:marTop w:val="0"/>
      <w:marBottom w:val="0"/>
      <w:divBdr>
        <w:top w:val="none" w:sz="0" w:space="0" w:color="auto"/>
        <w:left w:val="none" w:sz="0" w:space="0" w:color="auto"/>
        <w:bottom w:val="none" w:sz="0" w:space="0" w:color="auto"/>
        <w:right w:val="none" w:sz="0" w:space="0" w:color="auto"/>
      </w:divBdr>
    </w:div>
    <w:div w:id="1534883007">
      <w:bodyDiv w:val="1"/>
      <w:marLeft w:val="0"/>
      <w:marRight w:val="0"/>
      <w:marTop w:val="0"/>
      <w:marBottom w:val="0"/>
      <w:divBdr>
        <w:top w:val="none" w:sz="0" w:space="0" w:color="auto"/>
        <w:left w:val="none" w:sz="0" w:space="0" w:color="auto"/>
        <w:bottom w:val="none" w:sz="0" w:space="0" w:color="auto"/>
        <w:right w:val="none" w:sz="0" w:space="0" w:color="auto"/>
      </w:divBdr>
    </w:div>
    <w:div w:id="1552109604">
      <w:bodyDiv w:val="1"/>
      <w:marLeft w:val="0"/>
      <w:marRight w:val="0"/>
      <w:marTop w:val="0"/>
      <w:marBottom w:val="0"/>
      <w:divBdr>
        <w:top w:val="none" w:sz="0" w:space="0" w:color="auto"/>
        <w:left w:val="none" w:sz="0" w:space="0" w:color="auto"/>
        <w:bottom w:val="none" w:sz="0" w:space="0" w:color="auto"/>
        <w:right w:val="none" w:sz="0" w:space="0" w:color="auto"/>
      </w:divBdr>
    </w:div>
    <w:div w:id="1553692988">
      <w:bodyDiv w:val="1"/>
      <w:marLeft w:val="0"/>
      <w:marRight w:val="0"/>
      <w:marTop w:val="0"/>
      <w:marBottom w:val="0"/>
      <w:divBdr>
        <w:top w:val="none" w:sz="0" w:space="0" w:color="auto"/>
        <w:left w:val="none" w:sz="0" w:space="0" w:color="auto"/>
        <w:bottom w:val="none" w:sz="0" w:space="0" w:color="auto"/>
        <w:right w:val="none" w:sz="0" w:space="0" w:color="auto"/>
      </w:divBdr>
    </w:div>
    <w:div w:id="1555431449">
      <w:bodyDiv w:val="1"/>
      <w:marLeft w:val="0"/>
      <w:marRight w:val="0"/>
      <w:marTop w:val="0"/>
      <w:marBottom w:val="0"/>
      <w:divBdr>
        <w:top w:val="none" w:sz="0" w:space="0" w:color="auto"/>
        <w:left w:val="none" w:sz="0" w:space="0" w:color="auto"/>
        <w:bottom w:val="none" w:sz="0" w:space="0" w:color="auto"/>
        <w:right w:val="none" w:sz="0" w:space="0" w:color="auto"/>
      </w:divBdr>
    </w:div>
    <w:div w:id="1559972611">
      <w:bodyDiv w:val="1"/>
      <w:marLeft w:val="0"/>
      <w:marRight w:val="0"/>
      <w:marTop w:val="0"/>
      <w:marBottom w:val="0"/>
      <w:divBdr>
        <w:top w:val="none" w:sz="0" w:space="0" w:color="auto"/>
        <w:left w:val="none" w:sz="0" w:space="0" w:color="auto"/>
        <w:bottom w:val="none" w:sz="0" w:space="0" w:color="auto"/>
        <w:right w:val="none" w:sz="0" w:space="0" w:color="auto"/>
      </w:divBdr>
    </w:div>
    <w:div w:id="1563055364">
      <w:bodyDiv w:val="1"/>
      <w:marLeft w:val="0"/>
      <w:marRight w:val="0"/>
      <w:marTop w:val="0"/>
      <w:marBottom w:val="0"/>
      <w:divBdr>
        <w:top w:val="none" w:sz="0" w:space="0" w:color="auto"/>
        <w:left w:val="none" w:sz="0" w:space="0" w:color="auto"/>
        <w:bottom w:val="none" w:sz="0" w:space="0" w:color="auto"/>
        <w:right w:val="none" w:sz="0" w:space="0" w:color="auto"/>
      </w:divBdr>
      <w:divsChild>
        <w:div w:id="1515264595">
          <w:marLeft w:val="0"/>
          <w:marRight w:val="0"/>
          <w:marTop w:val="0"/>
          <w:marBottom w:val="0"/>
          <w:divBdr>
            <w:top w:val="none" w:sz="0" w:space="0" w:color="auto"/>
            <w:left w:val="none" w:sz="0" w:space="0" w:color="auto"/>
            <w:bottom w:val="none" w:sz="0" w:space="0" w:color="auto"/>
            <w:right w:val="none" w:sz="0" w:space="0" w:color="auto"/>
          </w:divBdr>
          <w:divsChild>
            <w:div w:id="10354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3479">
      <w:bodyDiv w:val="1"/>
      <w:marLeft w:val="0"/>
      <w:marRight w:val="0"/>
      <w:marTop w:val="0"/>
      <w:marBottom w:val="0"/>
      <w:divBdr>
        <w:top w:val="none" w:sz="0" w:space="0" w:color="auto"/>
        <w:left w:val="none" w:sz="0" w:space="0" w:color="auto"/>
        <w:bottom w:val="none" w:sz="0" w:space="0" w:color="auto"/>
        <w:right w:val="none" w:sz="0" w:space="0" w:color="auto"/>
      </w:divBdr>
    </w:div>
    <w:div w:id="1574272427">
      <w:bodyDiv w:val="1"/>
      <w:marLeft w:val="0"/>
      <w:marRight w:val="0"/>
      <w:marTop w:val="0"/>
      <w:marBottom w:val="0"/>
      <w:divBdr>
        <w:top w:val="none" w:sz="0" w:space="0" w:color="auto"/>
        <w:left w:val="none" w:sz="0" w:space="0" w:color="auto"/>
        <w:bottom w:val="none" w:sz="0" w:space="0" w:color="auto"/>
        <w:right w:val="none" w:sz="0" w:space="0" w:color="auto"/>
      </w:divBdr>
    </w:div>
    <w:div w:id="1583098216">
      <w:bodyDiv w:val="1"/>
      <w:marLeft w:val="0"/>
      <w:marRight w:val="0"/>
      <w:marTop w:val="0"/>
      <w:marBottom w:val="0"/>
      <w:divBdr>
        <w:top w:val="none" w:sz="0" w:space="0" w:color="auto"/>
        <w:left w:val="none" w:sz="0" w:space="0" w:color="auto"/>
        <w:bottom w:val="none" w:sz="0" w:space="0" w:color="auto"/>
        <w:right w:val="none" w:sz="0" w:space="0" w:color="auto"/>
      </w:divBdr>
      <w:divsChild>
        <w:div w:id="882598521">
          <w:marLeft w:val="0"/>
          <w:marRight w:val="0"/>
          <w:marTop w:val="0"/>
          <w:marBottom w:val="0"/>
          <w:divBdr>
            <w:top w:val="none" w:sz="0" w:space="0" w:color="auto"/>
            <w:left w:val="none" w:sz="0" w:space="0" w:color="auto"/>
            <w:bottom w:val="none" w:sz="0" w:space="0" w:color="auto"/>
            <w:right w:val="none" w:sz="0" w:space="0" w:color="auto"/>
          </w:divBdr>
          <w:divsChild>
            <w:div w:id="1309630455">
              <w:marLeft w:val="0"/>
              <w:marRight w:val="0"/>
              <w:marTop w:val="0"/>
              <w:marBottom w:val="0"/>
              <w:divBdr>
                <w:top w:val="none" w:sz="0" w:space="0" w:color="auto"/>
                <w:left w:val="none" w:sz="0" w:space="0" w:color="auto"/>
                <w:bottom w:val="none" w:sz="0" w:space="0" w:color="auto"/>
                <w:right w:val="none" w:sz="0" w:space="0" w:color="auto"/>
              </w:divBdr>
              <w:divsChild>
                <w:div w:id="2867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027740">
          <w:marLeft w:val="0"/>
          <w:marRight w:val="0"/>
          <w:marTop w:val="0"/>
          <w:marBottom w:val="0"/>
          <w:divBdr>
            <w:top w:val="none" w:sz="0" w:space="0" w:color="auto"/>
            <w:left w:val="none" w:sz="0" w:space="0" w:color="auto"/>
            <w:bottom w:val="none" w:sz="0" w:space="0" w:color="auto"/>
            <w:right w:val="none" w:sz="0" w:space="0" w:color="auto"/>
          </w:divBdr>
          <w:divsChild>
            <w:div w:id="874122914">
              <w:marLeft w:val="0"/>
              <w:marRight w:val="0"/>
              <w:marTop w:val="0"/>
              <w:marBottom w:val="0"/>
              <w:divBdr>
                <w:top w:val="none" w:sz="0" w:space="0" w:color="auto"/>
                <w:left w:val="none" w:sz="0" w:space="0" w:color="auto"/>
                <w:bottom w:val="none" w:sz="0" w:space="0" w:color="auto"/>
                <w:right w:val="none" w:sz="0" w:space="0" w:color="auto"/>
              </w:divBdr>
              <w:divsChild>
                <w:div w:id="534777254">
                  <w:marLeft w:val="0"/>
                  <w:marRight w:val="0"/>
                  <w:marTop w:val="0"/>
                  <w:marBottom w:val="0"/>
                  <w:divBdr>
                    <w:top w:val="none" w:sz="0" w:space="0" w:color="auto"/>
                    <w:left w:val="none" w:sz="0" w:space="0" w:color="auto"/>
                    <w:bottom w:val="none" w:sz="0" w:space="0" w:color="auto"/>
                    <w:right w:val="none" w:sz="0" w:space="0" w:color="auto"/>
                  </w:divBdr>
                  <w:divsChild>
                    <w:div w:id="1651208808">
                      <w:marLeft w:val="0"/>
                      <w:marRight w:val="0"/>
                      <w:marTop w:val="0"/>
                      <w:marBottom w:val="0"/>
                      <w:divBdr>
                        <w:top w:val="none" w:sz="0" w:space="0" w:color="auto"/>
                        <w:left w:val="none" w:sz="0" w:space="0" w:color="auto"/>
                        <w:bottom w:val="none" w:sz="0" w:space="0" w:color="auto"/>
                        <w:right w:val="none" w:sz="0" w:space="0" w:color="auto"/>
                      </w:divBdr>
                      <w:divsChild>
                        <w:div w:id="119835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684127">
      <w:bodyDiv w:val="1"/>
      <w:marLeft w:val="0"/>
      <w:marRight w:val="0"/>
      <w:marTop w:val="0"/>
      <w:marBottom w:val="0"/>
      <w:divBdr>
        <w:top w:val="none" w:sz="0" w:space="0" w:color="auto"/>
        <w:left w:val="none" w:sz="0" w:space="0" w:color="auto"/>
        <w:bottom w:val="none" w:sz="0" w:space="0" w:color="auto"/>
        <w:right w:val="none" w:sz="0" w:space="0" w:color="auto"/>
      </w:divBdr>
    </w:div>
    <w:div w:id="1586305449">
      <w:bodyDiv w:val="1"/>
      <w:marLeft w:val="0"/>
      <w:marRight w:val="0"/>
      <w:marTop w:val="0"/>
      <w:marBottom w:val="0"/>
      <w:divBdr>
        <w:top w:val="none" w:sz="0" w:space="0" w:color="auto"/>
        <w:left w:val="none" w:sz="0" w:space="0" w:color="auto"/>
        <w:bottom w:val="none" w:sz="0" w:space="0" w:color="auto"/>
        <w:right w:val="none" w:sz="0" w:space="0" w:color="auto"/>
      </w:divBdr>
    </w:div>
    <w:div w:id="1590701686">
      <w:bodyDiv w:val="1"/>
      <w:marLeft w:val="0"/>
      <w:marRight w:val="0"/>
      <w:marTop w:val="0"/>
      <w:marBottom w:val="0"/>
      <w:divBdr>
        <w:top w:val="none" w:sz="0" w:space="0" w:color="auto"/>
        <w:left w:val="none" w:sz="0" w:space="0" w:color="auto"/>
        <w:bottom w:val="none" w:sz="0" w:space="0" w:color="auto"/>
        <w:right w:val="none" w:sz="0" w:space="0" w:color="auto"/>
      </w:divBdr>
    </w:div>
    <w:div w:id="1591624491">
      <w:bodyDiv w:val="1"/>
      <w:marLeft w:val="0"/>
      <w:marRight w:val="0"/>
      <w:marTop w:val="0"/>
      <w:marBottom w:val="0"/>
      <w:divBdr>
        <w:top w:val="none" w:sz="0" w:space="0" w:color="auto"/>
        <w:left w:val="none" w:sz="0" w:space="0" w:color="auto"/>
        <w:bottom w:val="none" w:sz="0" w:space="0" w:color="auto"/>
        <w:right w:val="none" w:sz="0" w:space="0" w:color="auto"/>
      </w:divBdr>
    </w:div>
    <w:div w:id="1595899706">
      <w:bodyDiv w:val="1"/>
      <w:marLeft w:val="0"/>
      <w:marRight w:val="0"/>
      <w:marTop w:val="0"/>
      <w:marBottom w:val="0"/>
      <w:divBdr>
        <w:top w:val="none" w:sz="0" w:space="0" w:color="auto"/>
        <w:left w:val="none" w:sz="0" w:space="0" w:color="auto"/>
        <w:bottom w:val="none" w:sz="0" w:space="0" w:color="auto"/>
        <w:right w:val="none" w:sz="0" w:space="0" w:color="auto"/>
      </w:divBdr>
    </w:div>
    <w:div w:id="1599218135">
      <w:bodyDiv w:val="1"/>
      <w:marLeft w:val="0"/>
      <w:marRight w:val="0"/>
      <w:marTop w:val="0"/>
      <w:marBottom w:val="0"/>
      <w:divBdr>
        <w:top w:val="none" w:sz="0" w:space="0" w:color="auto"/>
        <w:left w:val="none" w:sz="0" w:space="0" w:color="auto"/>
        <w:bottom w:val="none" w:sz="0" w:space="0" w:color="auto"/>
        <w:right w:val="none" w:sz="0" w:space="0" w:color="auto"/>
      </w:divBdr>
    </w:div>
    <w:div w:id="1611012650">
      <w:bodyDiv w:val="1"/>
      <w:marLeft w:val="0"/>
      <w:marRight w:val="0"/>
      <w:marTop w:val="0"/>
      <w:marBottom w:val="0"/>
      <w:divBdr>
        <w:top w:val="none" w:sz="0" w:space="0" w:color="auto"/>
        <w:left w:val="none" w:sz="0" w:space="0" w:color="auto"/>
        <w:bottom w:val="none" w:sz="0" w:space="0" w:color="auto"/>
        <w:right w:val="none" w:sz="0" w:space="0" w:color="auto"/>
      </w:divBdr>
    </w:div>
    <w:div w:id="1620914819">
      <w:bodyDiv w:val="1"/>
      <w:marLeft w:val="0"/>
      <w:marRight w:val="0"/>
      <w:marTop w:val="0"/>
      <w:marBottom w:val="0"/>
      <w:divBdr>
        <w:top w:val="none" w:sz="0" w:space="0" w:color="auto"/>
        <w:left w:val="none" w:sz="0" w:space="0" w:color="auto"/>
        <w:bottom w:val="none" w:sz="0" w:space="0" w:color="auto"/>
        <w:right w:val="none" w:sz="0" w:space="0" w:color="auto"/>
      </w:divBdr>
    </w:div>
    <w:div w:id="1620985997">
      <w:bodyDiv w:val="1"/>
      <w:marLeft w:val="0"/>
      <w:marRight w:val="0"/>
      <w:marTop w:val="0"/>
      <w:marBottom w:val="0"/>
      <w:divBdr>
        <w:top w:val="none" w:sz="0" w:space="0" w:color="auto"/>
        <w:left w:val="none" w:sz="0" w:space="0" w:color="auto"/>
        <w:bottom w:val="none" w:sz="0" w:space="0" w:color="auto"/>
        <w:right w:val="none" w:sz="0" w:space="0" w:color="auto"/>
      </w:divBdr>
    </w:div>
    <w:div w:id="1622229482">
      <w:bodyDiv w:val="1"/>
      <w:marLeft w:val="0"/>
      <w:marRight w:val="0"/>
      <w:marTop w:val="0"/>
      <w:marBottom w:val="0"/>
      <w:divBdr>
        <w:top w:val="none" w:sz="0" w:space="0" w:color="auto"/>
        <w:left w:val="none" w:sz="0" w:space="0" w:color="auto"/>
        <w:bottom w:val="none" w:sz="0" w:space="0" w:color="auto"/>
        <w:right w:val="none" w:sz="0" w:space="0" w:color="auto"/>
      </w:divBdr>
      <w:divsChild>
        <w:div w:id="1692414778">
          <w:marLeft w:val="0"/>
          <w:marRight w:val="0"/>
          <w:marTop w:val="0"/>
          <w:marBottom w:val="0"/>
          <w:divBdr>
            <w:top w:val="none" w:sz="0" w:space="0" w:color="auto"/>
            <w:left w:val="none" w:sz="0" w:space="0" w:color="auto"/>
            <w:bottom w:val="none" w:sz="0" w:space="0" w:color="auto"/>
            <w:right w:val="none" w:sz="0" w:space="0" w:color="auto"/>
          </w:divBdr>
          <w:divsChild>
            <w:div w:id="1226138650">
              <w:marLeft w:val="0"/>
              <w:marRight w:val="0"/>
              <w:marTop w:val="0"/>
              <w:marBottom w:val="0"/>
              <w:divBdr>
                <w:top w:val="none" w:sz="0" w:space="0" w:color="auto"/>
                <w:left w:val="none" w:sz="0" w:space="0" w:color="auto"/>
                <w:bottom w:val="none" w:sz="0" w:space="0" w:color="auto"/>
                <w:right w:val="none" w:sz="0" w:space="0" w:color="auto"/>
              </w:divBdr>
              <w:divsChild>
                <w:div w:id="1098714181">
                  <w:marLeft w:val="0"/>
                  <w:marRight w:val="0"/>
                  <w:marTop w:val="0"/>
                  <w:marBottom w:val="0"/>
                  <w:divBdr>
                    <w:top w:val="none" w:sz="0" w:space="0" w:color="auto"/>
                    <w:left w:val="none" w:sz="0" w:space="0" w:color="auto"/>
                    <w:bottom w:val="none" w:sz="0" w:space="0" w:color="auto"/>
                    <w:right w:val="none" w:sz="0" w:space="0" w:color="auto"/>
                  </w:divBdr>
                  <w:divsChild>
                    <w:div w:id="800927695">
                      <w:marLeft w:val="0"/>
                      <w:marRight w:val="0"/>
                      <w:marTop w:val="0"/>
                      <w:marBottom w:val="0"/>
                      <w:divBdr>
                        <w:top w:val="none" w:sz="0" w:space="0" w:color="auto"/>
                        <w:left w:val="none" w:sz="0" w:space="0" w:color="auto"/>
                        <w:bottom w:val="none" w:sz="0" w:space="0" w:color="auto"/>
                        <w:right w:val="none" w:sz="0" w:space="0" w:color="auto"/>
                      </w:divBdr>
                      <w:divsChild>
                        <w:div w:id="292761291">
                          <w:marLeft w:val="0"/>
                          <w:marRight w:val="0"/>
                          <w:marTop w:val="0"/>
                          <w:marBottom w:val="0"/>
                          <w:divBdr>
                            <w:top w:val="none" w:sz="0" w:space="0" w:color="auto"/>
                            <w:left w:val="none" w:sz="0" w:space="0" w:color="auto"/>
                            <w:bottom w:val="none" w:sz="0" w:space="0" w:color="auto"/>
                            <w:right w:val="none" w:sz="0" w:space="0" w:color="auto"/>
                          </w:divBdr>
                          <w:divsChild>
                            <w:div w:id="1675766697">
                              <w:marLeft w:val="0"/>
                              <w:marRight w:val="0"/>
                              <w:marTop w:val="0"/>
                              <w:marBottom w:val="0"/>
                              <w:divBdr>
                                <w:top w:val="none" w:sz="0" w:space="0" w:color="auto"/>
                                <w:left w:val="none" w:sz="0" w:space="0" w:color="auto"/>
                                <w:bottom w:val="none" w:sz="0" w:space="0" w:color="auto"/>
                                <w:right w:val="none" w:sz="0" w:space="0" w:color="auto"/>
                              </w:divBdr>
                              <w:divsChild>
                                <w:div w:id="744062293">
                                  <w:marLeft w:val="0"/>
                                  <w:marRight w:val="0"/>
                                  <w:marTop w:val="0"/>
                                  <w:marBottom w:val="0"/>
                                  <w:divBdr>
                                    <w:top w:val="none" w:sz="0" w:space="0" w:color="auto"/>
                                    <w:left w:val="none" w:sz="0" w:space="0" w:color="auto"/>
                                    <w:bottom w:val="none" w:sz="0" w:space="0" w:color="auto"/>
                                    <w:right w:val="none" w:sz="0" w:space="0" w:color="auto"/>
                                  </w:divBdr>
                                  <w:divsChild>
                                    <w:div w:id="1421411753">
                                      <w:marLeft w:val="0"/>
                                      <w:marRight w:val="0"/>
                                      <w:marTop w:val="0"/>
                                      <w:marBottom w:val="0"/>
                                      <w:divBdr>
                                        <w:top w:val="none" w:sz="0" w:space="0" w:color="auto"/>
                                        <w:left w:val="none" w:sz="0" w:space="0" w:color="auto"/>
                                        <w:bottom w:val="none" w:sz="0" w:space="0" w:color="auto"/>
                                        <w:right w:val="none" w:sz="0" w:space="0" w:color="auto"/>
                                      </w:divBdr>
                                      <w:divsChild>
                                        <w:div w:id="21829549">
                                          <w:marLeft w:val="0"/>
                                          <w:marRight w:val="0"/>
                                          <w:marTop w:val="0"/>
                                          <w:marBottom w:val="0"/>
                                          <w:divBdr>
                                            <w:top w:val="none" w:sz="0" w:space="0" w:color="auto"/>
                                            <w:left w:val="none" w:sz="0" w:space="0" w:color="auto"/>
                                            <w:bottom w:val="none" w:sz="0" w:space="0" w:color="auto"/>
                                            <w:right w:val="none" w:sz="0" w:space="0" w:color="auto"/>
                                          </w:divBdr>
                                          <w:divsChild>
                                            <w:div w:id="1839611161">
                                              <w:marLeft w:val="0"/>
                                              <w:marRight w:val="0"/>
                                              <w:marTop w:val="0"/>
                                              <w:marBottom w:val="0"/>
                                              <w:divBdr>
                                                <w:top w:val="none" w:sz="0" w:space="0" w:color="auto"/>
                                                <w:left w:val="none" w:sz="0" w:space="0" w:color="auto"/>
                                                <w:bottom w:val="none" w:sz="0" w:space="0" w:color="auto"/>
                                                <w:right w:val="none" w:sz="0" w:space="0" w:color="auto"/>
                                              </w:divBdr>
                                              <w:divsChild>
                                                <w:div w:id="199344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6530027">
          <w:marLeft w:val="0"/>
          <w:marRight w:val="0"/>
          <w:marTop w:val="0"/>
          <w:marBottom w:val="0"/>
          <w:divBdr>
            <w:top w:val="none" w:sz="0" w:space="0" w:color="auto"/>
            <w:left w:val="none" w:sz="0" w:space="0" w:color="auto"/>
            <w:bottom w:val="none" w:sz="0" w:space="0" w:color="auto"/>
            <w:right w:val="none" w:sz="0" w:space="0" w:color="auto"/>
          </w:divBdr>
          <w:divsChild>
            <w:div w:id="488903267">
              <w:marLeft w:val="0"/>
              <w:marRight w:val="0"/>
              <w:marTop w:val="0"/>
              <w:marBottom w:val="0"/>
              <w:divBdr>
                <w:top w:val="none" w:sz="0" w:space="0" w:color="auto"/>
                <w:left w:val="none" w:sz="0" w:space="0" w:color="auto"/>
                <w:bottom w:val="none" w:sz="0" w:space="0" w:color="auto"/>
                <w:right w:val="none" w:sz="0" w:space="0" w:color="auto"/>
              </w:divBdr>
              <w:divsChild>
                <w:div w:id="389156956">
                  <w:marLeft w:val="0"/>
                  <w:marRight w:val="0"/>
                  <w:marTop w:val="0"/>
                  <w:marBottom w:val="0"/>
                  <w:divBdr>
                    <w:top w:val="none" w:sz="0" w:space="0" w:color="auto"/>
                    <w:left w:val="none" w:sz="0" w:space="0" w:color="auto"/>
                    <w:bottom w:val="none" w:sz="0" w:space="0" w:color="auto"/>
                    <w:right w:val="none" w:sz="0" w:space="0" w:color="auto"/>
                  </w:divBdr>
                  <w:divsChild>
                    <w:div w:id="2054500349">
                      <w:marLeft w:val="0"/>
                      <w:marRight w:val="0"/>
                      <w:marTop w:val="0"/>
                      <w:marBottom w:val="0"/>
                      <w:divBdr>
                        <w:top w:val="none" w:sz="0" w:space="0" w:color="auto"/>
                        <w:left w:val="none" w:sz="0" w:space="0" w:color="auto"/>
                        <w:bottom w:val="none" w:sz="0" w:space="0" w:color="auto"/>
                        <w:right w:val="none" w:sz="0" w:space="0" w:color="auto"/>
                      </w:divBdr>
                      <w:divsChild>
                        <w:div w:id="1729113091">
                          <w:marLeft w:val="0"/>
                          <w:marRight w:val="0"/>
                          <w:marTop w:val="0"/>
                          <w:marBottom w:val="0"/>
                          <w:divBdr>
                            <w:top w:val="none" w:sz="0" w:space="0" w:color="auto"/>
                            <w:left w:val="none" w:sz="0" w:space="0" w:color="auto"/>
                            <w:bottom w:val="none" w:sz="0" w:space="0" w:color="auto"/>
                            <w:right w:val="none" w:sz="0" w:space="0" w:color="auto"/>
                          </w:divBdr>
                          <w:divsChild>
                            <w:div w:id="563226306">
                              <w:marLeft w:val="0"/>
                              <w:marRight w:val="0"/>
                              <w:marTop w:val="0"/>
                              <w:marBottom w:val="0"/>
                              <w:divBdr>
                                <w:top w:val="none" w:sz="0" w:space="0" w:color="auto"/>
                                <w:left w:val="none" w:sz="0" w:space="0" w:color="auto"/>
                                <w:bottom w:val="none" w:sz="0" w:space="0" w:color="auto"/>
                                <w:right w:val="none" w:sz="0" w:space="0" w:color="auto"/>
                              </w:divBdr>
                              <w:divsChild>
                                <w:div w:id="801654696">
                                  <w:marLeft w:val="0"/>
                                  <w:marRight w:val="0"/>
                                  <w:marTop w:val="0"/>
                                  <w:marBottom w:val="0"/>
                                  <w:divBdr>
                                    <w:top w:val="none" w:sz="0" w:space="0" w:color="auto"/>
                                    <w:left w:val="none" w:sz="0" w:space="0" w:color="auto"/>
                                    <w:bottom w:val="none" w:sz="0" w:space="0" w:color="auto"/>
                                    <w:right w:val="none" w:sz="0" w:space="0" w:color="auto"/>
                                  </w:divBdr>
                                  <w:divsChild>
                                    <w:div w:id="1536113556">
                                      <w:marLeft w:val="0"/>
                                      <w:marRight w:val="0"/>
                                      <w:marTop w:val="0"/>
                                      <w:marBottom w:val="0"/>
                                      <w:divBdr>
                                        <w:top w:val="none" w:sz="0" w:space="0" w:color="auto"/>
                                        <w:left w:val="none" w:sz="0" w:space="0" w:color="auto"/>
                                        <w:bottom w:val="none" w:sz="0" w:space="0" w:color="auto"/>
                                        <w:right w:val="none" w:sz="0" w:space="0" w:color="auto"/>
                                      </w:divBdr>
                                    </w:div>
                                  </w:divsChild>
                                </w:div>
                                <w:div w:id="1645423995">
                                  <w:marLeft w:val="0"/>
                                  <w:marRight w:val="0"/>
                                  <w:marTop w:val="0"/>
                                  <w:marBottom w:val="0"/>
                                  <w:divBdr>
                                    <w:top w:val="none" w:sz="0" w:space="0" w:color="auto"/>
                                    <w:left w:val="none" w:sz="0" w:space="0" w:color="auto"/>
                                    <w:bottom w:val="none" w:sz="0" w:space="0" w:color="auto"/>
                                    <w:right w:val="none" w:sz="0" w:space="0" w:color="auto"/>
                                  </w:divBdr>
                                  <w:divsChild>
                                    <w:div w:id="1314483981">
                                      <w:marLeft w:val="0"/>
                                      <w:marRight w:val="0"/>
                                      <w:marTop w:val="0"/>
                                      <w:marBottom w:val="0"/>
                                      <w:divBdr>
                                        <w:top w:val="none" w:sz="0" w:space="0" w:color="auto"/>
                                        <w:left w:val="none" w:sz="0" w:space="0" w:color="auto"/>
                                        <w:bottom w:val="none" w:sz="0" w:space="0" w:color="auto"/>
                                        <w:right w:val="none" w:sz="0" w:space="0" w:color="auto"/>
                                      </w:divBdr>
                                      <w:divsChild>
                                        <w:div w:id="314797736">
                                          <w:marLeft w:val="0"/>
                                          <w:marRight w:val="0"/>
                                          <w:marTop w:val="0"/>
                                          <w:marBottom w:val="0"/>
                                          <w:divBdr>
                                            <w:top w:val="none" w:sz="0" w:space="0" w:color="auto"/>
                                            <w:left w:val="none" w:sz="0" w:space="0" w:color="auto"/>
                                            <w:bottom w:val="none" w:sz="0" w:space="0" w:color="auto"/>
                                            <w:right w:val="none" w:sz="0" w:space="0" w:color="auto"/>
                                          </w:divBdr>
                                          <w:divsChild>
                                            <w:div w:id="1571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5018484">
      <w:bodyDiv w:val="1"/>
      <w:marLeft w:val="0"/>
      <w:marRight w:val="0"/>
      <w:marTop w:val="0"/>
      <w:marBottom w:val="0"/>
      <w:divBdr>
        <w:top w:val="none" w:sz="0" w:space="0" w:color="auto"/>
        <w:left w:val="none" w:sz="0" w:space="0" w:color="auto"/>
        <w:bottom w:val="none" w:sz="0" w:space="0" w:color="auto"/>
        <w:right w:val="none" w:sz="0" w:space="0" w:color="auto"/>
      </w:divBdr>
    </w:div>
    <w:div w:id="1664579998">
      <w:bodyDiv w:val="1"/>
      <w:marLeft w:val="0"/>
      <w:marRight w:val="0"/>
      <w:marTop w:val="0"/>
      <w:marBottom w:val="0"/>
      <w:divBdr>
        <w:top w:val="none" w:sz="0" w:space="0" w:color="auto"/>
        <w:left w:val="none" w:sz="0" w:space="0" w:color="auto"/>
        <w:bottom w:val="none" w:sz="0" w:space="0" w:color="auto"/>
        <w:right w:val="none" w:sz="0" w:space="0" w:color="auto"/>
      </w:divBdr>
    </w:div>
    <w:div w:id="1665475419">
      <w:bodyDiv w:val="1"/>
      <w:marLeft w:val="0"/>
      <w:marRight w:val="0"/>
      <w:marTop w:val="0"/>
      <w:marBottom w:val="0"/>
      <w:divBdr>
        <w:top w:val="none" w:sz="0" w:space="0" w:color="auto"/>
        <w:left w:val="none" w:sz="0" w:space="0" w:color="auto"/>
        <w:bottom w:val="none" w:sz="0" w:space="0" w:color="auto"/>
        <w:right w:val="none" w:sz="0" w:space="0" w:color="auto"/>
      </w:divBdr>
    </w:div>
    <w:div w:id="1667053713">
      <w:bodyDiv w:val="1"/>
      <w:marLeft w:val="0"/>
      <w:marRight w:val="0"/>
      <w:marTop w:val="0"/>
      <w:marBottom w:val="0"/>
      <w:divBdr>
        <w:top w:val="none" w:sz="0" w:space="0" w:color="auto"/>
        <w:left w:val="none" w:sz="0" w:space="0" w:color="auto"/>
        <w:bottom w:val="none" w:sz="0" w:space="0" w:color="auto"/>
        <w:right w:val="none" w:sz="0" w:space="0" w:color="auto"/>
      </w:divBdr>
    </w:div>
    <w:div w:id="1673724417">
      <w:bodyDiv w:val="1"/>
      <w:marLeft w:val="0"/>
      <w:marRight w:val="0"/>
      <w:marTop w:val="0"/>
      <w:marBottom w:val="0"/>
      <w:divBdr>
        <w:top w:val="none" w:sz="0" w:space="0" w:color="auto"/>
        <w:left w:val="none" w:sz="0" w:space="0" w:color="auto"/>
        <w:bottom w:val="none" w:sz="0" w:space="0" w:color="auto"/>
        <w:right w:val="none" w:sz="0" w:space="0" w:color="auto"/>
      </w:divBdr>
    </w:div>
    <w:div w:id="1682512084">
      <w:bodyDiv w:val="1"/>
      <w:marLeft w:val="0"/>
      <w:marRight w:val="0"/>
      <w:marTop w:val="0"/>
      <w:marBottom w:val="0"/>
      <w:divBdr>
        <w:top w:val="none" w:sz="0" w:space="0" w:color="auto"/>
        <w:left w:val="none" w:sz="0" w:space="0" w:color="auto"/>
        <w:bottom w:val="none" w:sz="0" w:space="0" w:color="auto"/>
        <w:right w:val="none" w:sz="0" w:space="0" w:color="auto"/>
      </w:divBdr>
    </w:div>
    <w:div w:id="1683360316">
      <w:bodyDiv w:val="1"/>
      <w:marLeft w:val="0"/>
      <w:marRight w:val="0"/>
      <w:marTop w:val="0"/>
      <w:marBottom w:val="0"/>
      <w:divBdr>
        <w:top w:val="none" w:sz="0" w:space="0" w:color="auto"/>
        <w:left w:val="none" w:sz="0" w:space="0" w:color="auto"/>
        <w:bottom w:val="none" w:sz="0" w:space="0" w:color="auto"/>
        <w:right w:val="none" w:sz="0" w:space="0" w:color="auto"/>
      </w:divBdr>
      <w:divsChild>
        <w:div w:id="673998437">
          <w:marLeft w:val="0"/>
          <w:marRight w:val="0"/>
          <w:marTop w:val="0"/>
          <w:marBottom w:val="0"/>
          <w:divBdr>
            <w:top w:val="none" w:sz="0" w:space="0" w:color="auto"/>
            <w:left w:val="none" w:sz="0" w:space="0" w:color="auto"/>
            <w:bottom w:val="none" w:sz="0" w:space="0" w:color="auto"/>
            <w:right w:val="none" w:sz="0" w:space="0" w:color="auto"/>
          </w:divBdr>
          <w:divsChild>
            <w:div w:id="1171719656">
              <w:marLeft w:val="0"/>
              <w:marRight w:val="0"/>
              <w:marTop w:val="0"/>
              <w:marBottom w:val="0"/>
              <w:divBdr>
                <w:top w:val="none" w:sz="0" w:space="0" w:color="auto"/>
                <w:left w:val="none" w:sz="0" w:space="0" w:color="auto"/>
                <w:bottom w:val="none" w:sz="0" w:space="0" w:color="auto"/>
                <w:right w:val="none" w:sz="0" w:space="0" w:color="auto"/>
              </w:divBdr>
              <w:divsChild>
                <w:div w:id="790246228">
                  <w:marLeft w:val="0"/>
                  <w:marRight w:val="0"/>
                  <w:marTop w:val="0"/>
                  <w:marBottom w:val="0"/>
                  <w:divBdr>
                    <w:top w:val="none" w:sz="0" w:space="0" w:color="auto"/>
                    <w:left w:val="none" w:sz="0" w:space="0" w:color="auto"/>
                    <w:bottom w:val="none" w:sz="0" w:space="0" w:color="auto"/>
                    <w:right w:val="none" w:sz="0" w:space="0" w:color="auto"/>
                  </w:divBdr>
                  <w:divsChild>
                    <w:div w:id="1621572777">
                      <w:marLeft w:val="0"/>
                      <w:marRight w:val="0"/>
                      <w:marTop w:val="0"/>
                      <w:marBottom w:val="0"/>
                      <w:divBdr>
                        <w:top w:val="none" w:sz="0" w:space="0" w:color="auto"/>
                        <w:left w:val="none" w:sz="0" w:space="0" w:color="auto"/>
                        <w:bottom w:val="none" w:sz="0" w:space="0" w:color="auto"/>
                        <w:right w:val="none" w:sz="0" w:space="0" w:color="auto"/>
                      </w:divBdr>
                      <w:divsChild>
                        <w:div w:id="29086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625364">
      <w:bodyDiv w:val="1"/>
      <w:marLeft w:val="0"/>
      <w:marRight w:val="0"/>
      <w:marTop w:val="0"/>
      <w:marBottom w:val="0"/>
      <w:divBdr>
        <w:top w:val="none" w:sz="0" w:space="0" w:color="auto"/>
        <w:left w:val="none" w:sz="0" w:space="0" w:color="auto"/>
        <w:bottom w:val="none" w:sz="0" w:space="0" w:color="auto"/>
        <w:right w:val="none" w:sz="0" w:space="0" w:color="auto"/>
      </w:divBdr>
    </w:div>
    <w:div w:id="1685479135">
      <w:bodyDiv w:val="1"/>
      <w:marLeft w:val="0"/>
      <w:marRight w:val="0"/>
      <w:marTop w:val="0"/>
      <w:marBottom w:val="0"/>
      <w:divBdr>
        <w:top w:val="none" w:sz="0" w:space="0" w:color="auto"/>
        <w:left w:val="none" w:sz="0" w:space="0" w:color="auto"/>
        <w:bottom w:val="none" w:sz="0" w:space="0" w:color="auto"/>
        <w:right w:val="none" w:sz="0" w:space="0" w:color="auto"/>
      </w:divBdr>
    </w:div>
    <w:div w:id="1688018495">
      <w:bodyDiv w:val="1"/>
      <w:marLeft w:val="0"/>
      <w:marRight w:val="0"/>
      <w:marTop w:val="0"/>
      <w:marBottom w:val="0"/>
      <w:divBdr>
        <w:top w:val="none" w:sz="0" w:space="0" w:color="auto"/>
        <w:left w:val="none" w:sz="0" w:space="0" w:color="auto"/>
        <w:bottom w:val="none" w:sz="0" w:space="0" w:color="auto"/>
        <w:right w:val="none" w:sz="0" w:space="0" w:color="auto"/>
      </w:divBdr>
    </w:div>
    <w:div w:id="1693145699">
      <w:bodyDiv w:val="1"/>
      <w:marLeft w:val="0"/>
      <w:marRight w:val="0"/>
      <w:marTop w:val="0"/>
      <w:marBottom w:val="0"/>
      <w:divBdr>
        <w:top w:val="none" w:sz="0" w:space="0" w:color="auto"/>
        <w:left w:val="none" w:sz="0" w:space="0" w:color="auto"/>
        <w:bottom w:val="none" w:sz="0" w:space="0" w:color="auto"/>
        <w:right w:val="none" w:sz="0" w:space="0" w:color="auto"/>
      </w:divBdr>
    </w:div>
    <w:div w:id="1696688520">
      <w:bodyDiv w:val="1"/>
      <w:marLeft w:val="0"/>
      <w:marRight w:val="0"/>
      <w:marTop w:val="0"/>
      <w:marBottom w:val="0"/>
      <w:divBdr>
        <w:top w:val="none" w:sz="0" w:space="0" w:color="auto"/>
        <w:left w:val="none" w:sz="0" w:space="0" w:color="auto"/>
        <w:bottom w:val="none" w:sz="0" w:space="0" w:color="auto"/>
        <w:right w:val="none" w:sz="0" w:space="0" w:color="auto"/>
      </w:divBdr>
    </w:div>
    <w:div w:id="1707410334">
      <w:bodyDiv w:val="1"/>
      <w:marLeft w:val="0"/>
      <w:marRight w:val="0"/>
      <w:marTop w:val="0"/>
      <w:marBottom w:val="0"/>
      <w:divBdr>
        <w:top w:val="none" w:sz="0" w:space="0" w:color="auto"/>
        <w:left w:val="none" w:sz="0" w:space="0" w:color="auto"/>
        <w:bottom w:val="none" w:sz="0" w:space="0" w:color="auto"/>
        <w:right w:val="none" w:sz="0" w:space="0" w:color="auto"/>
      </w:divBdr>
    </w:div>
    <w:div w:id="1710691136">
      <w:bodyDiv w:val="1"/>
      <w:marLeft w:val="0"/>
      <w:marRight w:val="0"/>
      <w:marTop w:val="0"/>
      <w:marBottom w:val="0"/>
      <w:divBdr>
        <w:top w:val="none" w:sz="0" w:space="0" w:color="auto"/>
        <w:left w:val="none" w:sz="0" w:space="0" w:color="auto"/>
        <w:bottom w:val="none" w:sz="0" w:space="0" w:color="auto"/>
        <w:right w:val="none" w:sz="0" w:space="0" w:color="auto"/>
      </w:divBdr>
      <w:divsChild>
        <w:div w:id="203442414">
          <w:marLeft w:val="0"/>
          <w:marRight w:val="0"/>
          <w:marTop w:val="0"/>
          <w:marBottom w:val="0"/>
          <w:divBdr>
            <w:top w:val="none" w:sz="0" w:space="0" w:color="auto"/>
            <w:left w:val="none" w:sz="0" w:space="0" w:color="auto"/>
            <w:bottom w:val="none" w:sz="0" w:space="0" w:color="auto"/>
            <w:right w:val="none" w:sz="0" w:space="0" w:color="auto"/>
          </w:divBdr>
          <w:divsChild>
            <w:div w:id="606230578">
              <w:marLeft w:val="0"/>
              <w:marRight w:val="0"/>
              <w:marTop w:val="0"/>
              <w:marBottom w:val="0"/>
              <w:divBdr>
                <w:top w:val="none" w:sz="0" w:space="0" w:color="auto"/>
                <w:left w:val="none" w:sz="0" w:space="0" w:color="auto"/>
                <w:bottom w:val="none" w:sz="0" w:space="0" w:color="auto"/>
                <w:right w:val="none" w:sz="0" w:space="0" w:color="auto"/>
              </w:divBdr>
              <w:divsChild>
                <w:div w:id="1893271757">
                  <w:marLeft w:val="0"/>
                  <w:marRight w:val="0"/>
                  <w:marTop w:val="0"/>
                  <w:marBottom w:val="0"/>
                  <w:divBdr>
                    <w:top w:val="none" w:sz="0" w:space="0" w:color="auto"/>
                    <w:left w:val="none" w:sz="0" w:space="0" w:color="auto"/>
                    <w:bottom w:val="none" w:sz="0" w:space="0" w:color="auto"/>
                    <w:right w:val="none" w:sz="0" w:space="0" w:color="auto"/>
                  </w:divBdr>
                  <w:divsChild>
                    <w:div w:id="85077088">
                      <w:marLeft w:val="0"/>
                      <w:marRight w:val="0"/>
                      <w:marTop w:val="0"/>
                      <w:marBottom w:val="0"/>
                      <w:divBdr>
                        <w:top w:val="none" w:sz="0" w:space="0" w:color="auto"/>
                        <w:left w:val="none" w:sz="0" w:space="0" w:color="auto"/>
                        <w:bottom w:val="none" w:sz="0" w:space="0" w:color="auto"/>
                        <w:right w:val="none" w:sz="0" w:space="0" w:color="auto"/>
                      </w:divBdr>
                      <w:divsChild>
                        <w:div w:id="940138870">
                          <w:marLeft w:val="0"/>
                          <w:marRight w:val="0"/>
                          <w:marTop w:val="0"/>
                          <w:marBottom w:val="0"/>
                          <w:divBdr>
                            <w:top w:val="none" w:sz="0" w:space="0" w:color="auto"/>
                            <w:left w:val="none" w:sz="0" w:space="0" w:color="auto"/>
                            <w:bottom w:val="none" w:sz="0" w:space="0" w:color="auto"/>
                            <w:right w:val="none" w:sz="0" w:space="0" w:color="auto"/>
                          </w:divBdr>
                          <w:divsChild>
                            <w:div w:id="1323853959">
                              <w:marLeft w:val="0"/>
                              <w:marRight w:val="0"/>
                              <w:marTop w:val="0"/>
                              <w:marBottom w:val="0"/>
                              <w:divBdr>
                                <w:top w:val="none" w:sz="0" w:space="0" w:color="auto"/>
                                <w:left w:val="none" w:sz="0" w:space="0" w:color="auto"/>
                                <w:bottom w:val="none" w:sz="0" w:space="0" w:color="auto"/>
                                <w:right w:val="none" w:sz="0" w:space="0" w:color="auto"/>
                              </w:divBdr>
                              <w:divsChild>
                                <w:div w:id="1403016960">
                                  <w:marLeft w:val="0"/>
                                  <w:marRight w:val="0"/>
                                  <w:marTop w:val="0"/>
                                  <w:marBottom w:val="0"/>
                                  <w:divBdr>
                                    <w:top w:val="none" w:sz="0" w:space="0" w:color="auto"/>
                                    <w:left w:val="none" w:sz="0" w:space="0" w:color="auto"/>
                                    <w:bottom w:val="none" w:sz="0" w:space="0" w:color="auto"/>
                                    <w:right w:val="none" w:sz="0" w:space="0" w:color="auto"/>
                                  </w:divBdr>
                                  <w:divsChild>
                                    <w:div w:id="988359101">
                                      <w:marLeft w:val="0"/>
                                      <w:marRight w:val="0"/>
                                      <w:marTop w:val="0"/>
                                      <w:marBottom w:val="0"/>
                                      <w:divBdr>
                                        <w:top w:val="none" w:sz="0" w:space="0" w:color="auto"/>
                                        <w:left w:val="none" w:sz="0" w:space="0" w:color="auto"/>
                                        <w:bottom w:val="none" w:sz="0" w:space="0" w:color="auto"/>
                                        <w:right w:val="none" w:sz="0" w:space="0" w:color="auto"/>
                                      </w:divBdr>
                                      <w:divsChild>
                                        <w:div w:id="273943821">
                                          <w:marLeft w:val="0"/>
                                          <w:marRight w:val="0"/>
                                          <w:marTop w:val="0"/>
                                          <w:marBottom w:val="0"/>
                                          <w:divBdr>
                                            <w:top w:val="none" w:sz="0" w:space="0" w:color="auto"/>
                                            <w:left w:val="none" w:sz="0" w:space="0" w:color="auto"/>
                                            <w:bottom w:val="none" w:sz="0" w:space="0" w:color="auto"/>
                                            <w:right w:val="none" w:sz="0" w:space="0" w:color="auto"/>
                                          </w:divBdr>
                                          <w:divsChild>
                                            <w:div w:id="1773168094">
                                              <w:marLeft w:val="0"/>
                                              <w:marRight w:val="0"/>
                                              <w:marTop w:val="0"/>
                                              <w:marBottom w:val="0"/>
                                              <w:divBdr>
                                                <w:top w:val="none" w:sz="0" w:space="0" w:color="auto"/>
                                                <w:left w:val="none" w:sz="0" w:space="0" w:color="auto"/>
                                                <w:bottom w:val="none" w:sz="0" w:space="0" w:color="auto"/>
                                                <w:right w:val="none" w:sz="0" w:space="0" w:color="auto"/>
                                              </w:divBdr>
                                              <w:divsChild>
                                                <w:div w:id="12364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007194">
          <w:marLeft w:val="0"/>
          <w:marRight w:val="0"/>
          <w:marTop w:val="0"/>
          <w:marBottom w:val="0"/>
          <w:divBdr>
            <w:top w:val="none" w:sz="0" w:space="0" w:color="auto"/>
            <w:left w:val="none" w:sz="0" w:space="0" w:color="auto"/>
            <w:bottom w:val="none" w:sz="0" w:space="0" w:color="auto"/>
            <w:right w:val="none" w:sz="0" w:space="0" w:color="auto"/>
          </w:divBdr>
          <w:divsChild>
            <w:div w:id="1683779216">
              <w:marLeft w:val="0"/>
              <w:marRight w:val="0"/>
              <w:marTop w:val="0"/>
              <w:marBottom w:val="0"/>
              <w:divBdr>
                <w:top w:val="none" w:sz="0" w:space="0" w:color="auto"/>
                <w:left w:val="none" w:sz="0" w:space="0" w:color="auto"/>
                <w:bottom w:val="none" w:sz="0" w:space="0" w:color="auto"/>
                <w:right w:val="none" w:sz="0" w:space="0" w:color="auto"/>
              </w:divBdr>
              <w:divsChild>
                <w:div w:id="473447658">
                  <w:marLeft w:val="0"/>
                  <w:marRight w:val="0"/>
                  <w:marTop w:val="0"/>
                  <w:marBottom w:val="0"/>
                  <w:divBdr>
                    <w:top w:val="none" w:sz="0" w:space="0" w:color="auto"/>
                    <w:left w:val="none" w:sz="0" w:space="0" w:color="auto"/>
                    <w:bottom w:val="none" w:sz="0" w:space="0" w:color="auto"/>
                    <w:right w:val="none" w:sz="0" w:space="0" w:color="auto"/>
                  </w:divBdr>
                  <w:divsChild>
                    <w:div w:id="1067806258">
                      <w:marLeft w:val="0"/>
                      <w:marRight w:val="0"/>
                      <w:marTop w:val="0"/>
                      <w:marBottom w:val="0"/>
                      <w:divBdr>
                        <w:top w:val="none" w:sz="0" w:space="0" w:color="auto"/>
                        <w:left w:val="none" w:sz="0" w:space="0" w:color="auto"/>
                        <w:bottom w:val="none" w:sz="0" w:space="0" w:color="auto"/>
                        <w:right w:val="none" w:sz="0" w:space="0" w:color="auto"/>
                      </w:divBdr>
                      <w:divsChild>
                        <w:div w:id="878051843">
                          <w:marLeft w:val="0"/>
                          <w:marRight w:val="0"/>
                          <w:marTop w:val="0"/>
                          <w:marBottom w:val="0"/>
                          <w:divBdr>
                            <w:top w:val="none" w:sz="0" w:space="0" w:color="auto"/>
                            <w:left w:val="none" w:sz="0" w:space="0" w:color="auto"/>
                            <w:bottom w:val="none" w:sz="0" w:space="0" w:color="auto"/>
                            <w:right w:val="none" w:sz="0" w:space="0" w:color="auto"/>
                          </w:divBdr>
                          <w:divsChild>
                            <w:div w:id="362942646">
                              <w:marLeft w:val="0"/>
                              <w:marRight w:val="0"/>
                              <w:marTop w:val="0"/>
                              <w:marBottom w:val="0"/>
                              <w:divBdr>
                                <w:top w:val="none" w:sz="0" w:space="0" w:color="auto"/>
                                <w:left w:val="none" w:sz="0" w:space="0" w:color="auto"/>
                                <w:bottom w:val="none" w:sz="0" w:space="0" w:color="auto"/>
                                <w:right w:val="none" w:sz="0" w:space="0" w:color="auto"/>
                              </w:divBdr>
                              <w:divsChild>
                                <w:div w:id="670375532">
                                  <w:marLeft w:val="0"/>
                                  <w:marRight w:val="0"/>
                                  <w:marTop w:val="0"/>
                                  <w:marBottom w:val="0"/>
                                  <w:divBdr>
                                    <w:top w:val="none" w:sz="0" w:space="0" w:color="auto"/>
                                    <w:left w:val="none" w:sz="0" w:space="0" w:color="auto"/>
                                    <w:bottom w:val="none" w:sz="0" w:space="0" w:color="auto"/>
                                    <w:right w:val="none" w:sz="0" w:space="0" w:color="auto"/>
                                  </w:divBdr>
                                  <w:divsChild>
                                    <w:div w:id="674192545">
                                      <w:marLeft w:val="0"/>
                                      <w:marRight w:val="0"/>
                                      <w:marTop w:val="0"/>
                                      <w:marBottom w:val="0"/>
                                      <w:divBdr>
                                        <w:top w:val="none" w:sz="0" w:space="0" w:color="auto"/>
                                        <w:left w:val="none" w:sz="0" w:space="0" w:color="auto"/>
                                        <w:bottom w:val="none" w:sz="0" w:space="0" w:color="auto"/>
                                        <w:right w:val="none" w:sz="0" w:space="0" w:color="auto"/>
                                      </w:divBdr>
                                      <w:divsChild>
                                        <w:div w:id="1739865133">
                                          <w:marLeft w:val="0"/>
                                          <w:marRight w:val="0"/>
                                          <w:marTop w:val="0"/>
                                          <w:marBottom w:val="0"/>
                                          <w:divBdr>
                                            <w:top w:val="none" w:sz="0" w:space="0" w:color="auto"/>
                                            <w:left w:val="none" w:sz="0" w:space="0" w:color="auto"/>
                                            <w:bottom w:val="none" w:sz="0" w:space="0" w:color="auto"/>
                                            <w:right w:val="none" w:sz="0" w:space="0" w:color="auto"/>
                                          </w:divBdr>
                                          <w:divsChild>
                                            <w:div w:id="28227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273405">
                          <w:marLeft w:val="0"/>
                          <w:marRight w:val="0"/>
                          <w:marTop w:val="0"/>
                          <w:marBottom w:val="0"/>
                          <w:divBdr>
                            <w:top w:val="none" w:sz="0" w:space="0" w:color="auto"/>
                            <w:left w:val="none" w:sz="0" w:space="0" w:color="auto"/>
                            <w:bottom w:val="none" w:sz="0" w:space="0" w:color="auto"/>
                            <w:right w:val="none" w:sz="0" w:space="0" w:color="auto"/>
                          </w:divBdr>
                          <w:divsChild>
                            <w:div w:id="445857681">
                              <w:marLeft w:val="0"/>
                              <w:marRight w:val="0"/>
                              <w:marTop w:val="0"/>
                              <w:marBottom w:val="0"/>
                              <w:divBdr>
                                <w:top w:val="none" w:sz="0" w:space="0" w:color="auto"/>
                                <w:left w:val="none" w:sz="0" w:space="0" w:color="auto"/>
                                <w:bottom w:val="none" w:sz="0" w:space="0" w:color="auto"/>
                                <w:right w:val="none" w:sz="0" w:space="0" w:color="auto"/>
                              </w:divBdr>
                              <w:divsChild>
                                <w:div w:id="14355657">
                                  <w:marLeft w:val="0"/>
                                  <w:marRight w:val="0"/>
                                  <w:marTop w:val="0"/>
                                  <w:marBottom w:val="0"/>
                                  <w:divBdr>
                                    <w:top w:val="none" w:sz="0" w:space="0" w:color="auto"/>
                                    <w:left w:val="none" w:sz="0" w:space="0" w:color="auto"/>
                                    <w:bottom w:val="none" w:sz="0" w:space="0" w:color="auto"/>
                                    <w:right w:val="none" w:sz="0" w:space="0" w:color="auto"/>
                                  </w:divBdr>
                                  <w:divsChild>
                                    <w:div w:id="517543577">
                                      <w:marLeft w:val="0"/>
                                      <w:marRight w:val="0"/>
                                      <w:marTop w:val="0"/>
                                      <w:marBottom w:val="0"/>
                                      <w:divBdr>
                                        <w:top w:val="none" w:sz="0" w:space="0" w:color="auto"/>
                                        <w:left w:val="none" w:sz="0" w:space="0" w:color="auto"/>
                                        <w:bottom w:val="none" w:sz="0" w:space="0" w:color="auto"/>
                                        <w:right w:val="none" w:sz="0" w:space="0" w:color="auto"/>
                                      </w:divBdr>
                                      <w:divsChild>
                                        <w:div w:id="201790703">
                                          <w:marLeft w:val="0"/>
                                          <w:marRight w:val="0"/>
                                          <w:marTop w:val="0"/>
                                          <w:marBottom w:val="0"/>
                                          <w:divBdr>
                                            <w:top w:val="none" w:sz="0" w:space="0" w:color="auto"/>
                                            <w:left w:val="none" w:sz="0" w:space="0" w:color="auto"/>
                                            <w:bottom w:val="none" w:sz="0" w:space="0" w:color="auto"/>
                                            <w:right w:val="none" w:sz="0" w:space="0" w:color="auto"/>
                                          </w:divBdr>
                                          <w:divsChild>
                                            <w:div w:id="172513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21697">
                                  <w:marLeft w:val="0"/>
                                  <w:marRight w:val="0"/>
                                  <w:marTop w:val="0"/>
                                  <w:marBottom w:val="0"/>
                                  <w:divBdr>
                                    <w:top w:val="none" w:sz="0" w:space="0" w:color="auto"/>
                                    <w:left w:val="none" w:sz="0" w:space="0" w:color="auto"/>
                                    <w:bottom w:val="none" w:sz="0" w:space="0" w:color="auto"/>
                                    <w:right w:val="none" w:sz="0" w:space="0" w:color="auto"/>
                                  </w:divBdr>
                                  <w:divsChild>
                                    <w:div w:id="39428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195220">
                          <w:marLeft w:val="0"/>
                          <w:marRight w:val="0"/>
                          <w:marTop w:val="0"/>
                          <w:marBottom w:val="0"/>
                          <w:divBdr>
                            <w:top w:val="none" w:sz="0" w:space="0" w:color="auto"/>
                            <w:left w:val="none" w:sz="0" w:space="0" w:color="auto"/>
                            <w:bottom w:val="none" w:sz="0" w:space="0" w:color="auto"/>
                            <w:right w:val="none" w:sz="0" w:space="0" w:color="auto"/>
                          </w:divBdr>
                          <w:divsChild>
                            <w:div w:id="1327518248">
                              <w:marLeft w:val="0"/>
                              <w:marRight w:val="0"/>
                              <w:marTop w:val="0"/>
                              <w:marBottom w:val="0"/>
                              <w:divBdr>
                                <w:top w:val="none" w:sz="0" w:space="0" w:color="auto"/>
                                <w:left w:val="none" w:sz="0" w:space="0" w:color="auto"/>
                                <w:bottom w:val="none" w:sz="0" w:space="0" w:color="auto"/>
                                <w:right w:val="none" w:sz="0" w:space="0" w:color="auto"/>
                              </w:divBdr>
                              <w:divsChild>
                                <w:div w:id="1284309674">
                                  <w:marLeft w:val="0"/>
                                  <w:marRight w:val="0"/>
                                  <w:marTop w:val="0"/>
                                  <w:marBottom w:val="0"/>
                                  <w:divBdr>
                                    <w:top w:val="none" w:sz="0" w:space="0" w:color="auto"/>
                                    <w:left w:val="none" w:sz="0" w:space="0" w:color="auto"/>
                                    <w:bottom w:val="none" w:sz="0" w:space="0" w:color="auto"/>
                                    <w:right w:val="none" w:sz="0" w:space="0" w:color="auto"/>
                                  </w:divBdr>
                                  <w:divsChild>
                                    <w:div w:id="1419328098">
                                      <w:marLeft w:val="0"/>
                                      <w:marRight w:val="0"/>
                                      <w:marTop w:val="0"/>
                                      <w:marBottom w:val="0"/>
                                      <w:divBdr>
                                        <w:top w:val="none" w:sz="0" w:space="0" w:color="auto"/>
                                        <w:left w:val="none" w:sz="0" w:space="0" w:color="auto"/>
                                        <w:bottom w:val="none" w:sz="0" w:space="0" w:color="auto"/>
                                        <w:right w:val="none" w:sz="0" w:space="0" w:color="auto"/>
                                      </w:divBdr>
                                      <w:divsChild>
                                        <w:div w:id="780684736">
                                          <w:marLeft w:val="0"/>
                                          <w:marRight w:val="0"/>
                                          <w:marTop w:val="0"/>
                                          <w:marBottom w:val="0"/>
                                          <w:divBdr>
                                            <w:top w:val="none" w:sz="0" w:space="0" w:color="auto"/>
                                            <w:left w:val="none" w:sz="0" w:space="0" w:color="auto"/>
                                            <w:bottom w:val="none" w:sz="0" w:space="0" w:color="auto"/>
                                            <w:right w:val="none" w:sz="0" w:space="0" w:color="auto"/>
                                          </w:divBdr>
                                          <w:divsChild>
                                            <w:div w:id="371078719">
                                              <w:marLeft w:val="0"/>
                                              <w:marRight w:val="0"/>
                                              <w:marTop w:val="0"/>
                                              <w:marBottom w:val="0"/>
                                              <w:divBdr>
                                                <w:top w:val="none" w:sz="0" w:space="0" w:color="auto"/>
                                                <w:left w:val="none" w:sz="0" w:space="0" w:color="auto"/>
                                                <w:bottom w:val="none" w:sz="0" w:space="0" w:color="auto"/>
                                                <w:right w:val="none" w:sz="0" w:space="0" w:color="auto"/>
                                              </w:divBdr>
                                              <w:divsChild>
                                                <w:div w:id="186078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1343827">
      <w:bodyDiv w:val="1"/>
      <w:marLeft w:val="0"/>
      <w:marRight w:val="0"/>
      <w:marTop w:val="0"/>
      <w:marBottom w:val="0"/>
      <w:divBdr>
        <w:top w:val="none" w:sz="0" w:space="0" w:color="auto"/>
        <w:left w:val="none" w:sz="0" w:space="0" w:color="auto"/>
        <w:bottom w:val="none" w:sz="0" w:space="0" w:color="auto"/>
        <w:right w:val="none" w:sz="0" w:space="0" w:color="auto"/>
      </w:divBdr>
    </w:div>
    <w:div w:id="1724209099">
      <w:bodyDiv w:val="1"/>
      <w:marLeft w:val="0"/>
      <w:marRight w:val="0"/>
      <w:marTop w:val="0"/>
      <w:marBottom w:val="0"/>
      <w:divBdr>
        <w:top w:val="none" w:sz="0" w:space="0" w:color="auto"/>
        <w:left w:val="none" w:sz="0" w:space="0" w:color="auto"/>
        <w:bottom w:val="none" w:sz="0" w:space="0" w:color="auto"/>
        <w:right w:val="none" w:sz="0" w:space="0" w:color="auto"/>
      </w:divBdr>
    </w:div>
    <w:div w:id="1732385406">
      <w:bodyDiv w:val="1"/>
      <w:marLeft w:val="0"/>
      <w:marRight w:val="0"/>
      <w:marTop w:val="0"/>
      <w:marBottom w:val="0"/>
      <w:divBdr>
        <w:top w:val="none" w:sz="0" w:space="0" w:color="auto"/>
        <w:left w:val="none" w:sz="0" w:space="0" w:color="auto"/>
        <w:bottom w:val="none" w:sz="0" w:space="0" w:color="auto"/>
        <w:right w:val="none" w:sz="0" w:space="0" w:color="auto"/>
      </w:divBdr>
    </w:div>
    <w:div w:id="1733187137">
      <w:bodyDiv w:val="1"/>
      <w:marLeft w:val="0"/>
      <w:marRight w:val="0"/>
      <w:marTop w:val="0"/>
      <w:marBottom w:val="0"/>
      <w:divBdr>
        <w:top w:val="none" w:sz="0" w:space="0" w:color="auto"/>
        <w:left w:val="none" w:sz="0" w:space="0" w:color="auto"/>
        <w:bottom w:val="none" w:sz="0" w:space="0" w:color="auto"/>
        <w:right w:val="none" w:sz="0" w:space="0" w:color="auto"/>
      </w:divBdr>
    </w:div>
    <w:div w:id="1749232158">
      <w:bodyDiv w:val="1"/>
      <w:marLeft w:val="0"/>
      <w:marRight w:val="0"/>
      <w:marTop w:val="0"/>
      <w:marBottom w:val="0"/>
      <w:divBdr>
        <w:top w:val="none" w:sz="0" w:space="0" w:color="auto"/>
        <w:left w:val="none" w:sz="0" w:space="0" w:color="auto"/>
        <w:bottom w:val="none" w:sz="0" w:space="0" w:color="auto"/>
        <w:right w:val="none" w:sz="0" w:space="0" w:color="auto"/>
      </w:divBdr>
    </w:div>
    <w:div w:id="1751073379">
      <w:bodyDiv w:val="1"/>
      <w:marLeft w:val="0"/>
      <w:marRight w:val="0"/>
      <w:marTop w:val="0"/>
      <w:marBottom w:val="0"/>
      <w:divBdr>
        <w:top w:val="none" w:sz="0" w:space="0" w:color="auto"/>
        <w:left w:val="none" w:sz="0" w:space="0" w:color="auto"/>
        <w:bottom w:val="none" w:sz="0" w:space="0" w:color="auto"/>
        <w:right w:val="none" w:sz="0" w:space="0" w:color="auto"/>
      </w:divBdr>
    </w:div>
    <w:div w:id="1760246432">
      <w:bodyDiv w:val="1"/>
      <w:marLeft w:val="0"/>
      <w:marRight w:val="0"/>
      <w:marTop w:val="0"/>
      <w:marBottom w:val="0"/>
      <w:divBdr>
        <w:top w:val="none" w:sz="0" w:space="0" w:color="auto"/>
        <w:left w:val="none" w:sz="0" w:space="0" w:color="auto"/>
        <w:bottom w:val="none" w:sz="0" w:space="0" w:color="auto"/>
        <w:right w:val="none" w:sz="0" w:space="0" w:color="auto"/>
      </w:divBdr>
    </w:div>
    <w:div w:id="1781413431">
      <w:bodyDiv w:val="1"/>
      <w:marLeft w:val="0"/>
      <w:marRight w:val="0"/>
      <w:marTop w:val="0"/>
      <w:marBottom w:val="0"/>
      <w:divBdr>
        <w:top w:val="none" w:sz="0" w:space="0" w:color="auto"/>
        <w:left w:val="none" w:sz="0" w:space="0" w:color="auto"/>
        <w:bottom w:val="none" w:sz="0" w:space="0" w:color="auto"/>
        <w:right w:val="none" w:sz="0" w:space="0" w:color="auto"/>
      </w:divBdr>
    </w:div>
    <w:div w:id="1787389723">
      <w:bodyDiv w:val="1"/>
      <w:marLeft w:val="0"/>
      <w:marRight w:val="0"/>
      <w:marTop w:val="0"/>
      <w:marBottom w:val="0"/>
      <w:divBdr>
        <w:top w:val="none" w:sz="0" w:space="0" w:color="auto"/>
        <w:left w:val="none" w:sz="0" w:space="0" w:color="auto"/>
        <w:bottom w:val="none" w:sz="0" w:space="0" w:color="auto"/>
        <w:right w:val="none" w:sz="0" w:space="0" w:color="auto"/>
      </w:divBdr>
    </w:div>
    <w:div w:id="1790665618">
      <w:bodyDiv w:val="1"/>
      <w:marLeft w:val="0"/>
      <w:marRight w:val="0"/>
      <w:marTop w:val="0"/>
      <w:marBottom w:val="0"/>
      <w:divBdr>
        <w:top w:val="none" w:sz="0" w:space="0" w:color="auto"/>
        <w:left w:val="none" w:sz="0" w:space="0" w:color="auto"/>
        <w:bottom w:val="none" w:sz="0" w:space="0" w:color="auto"/>
        <w:right w:val="none" w:sz="0" w:space="0" w:color="auto"/>
      </w:divBdr>
    </w:div>
    <w:div w:id="1794202732">
      <w:bodyDiv w:val="1"/>
      <w:marLeft w:val="0"/>
      <w:marRight w:val="0"/>
      <w:marTop w:val="0"/>
      <w:marBottom w:val="0"/>
      <w:divBdr>
        <w:top w:val="none" w:sz="0" w:space="0" w:color="auto"/>
        <w:left w:val="none" w:sz="0" w:space="0" w:color="auto"/>
        <w:bottom w:val="none" w:sz="0" w:space="0" w:color="auto"/>
        <w:right w:val="none" w:sz="0" w:space="0" w:color="auto"/>
      </w:divBdr>
    </w:div>
    <w:div w:id="1798060424">
      <w:bodyDiv w:val="1"/>
      <w:marLeft w:val="0"/>
      <w:marRight w:val="0"/>
      <w:marTop w:val="0"/>
      <w:marBottom w:val="0"/>
      <w:divBdr>
        <w:top w:val="none" w:sz="0" w:space="0" w:color="auto"/>
        <w:left w:val="none" w:sz="0" w:space="0" w:color="auto"/>
        <w:bottom w:val="none" w:sz="0" w:space="0" w:color="auto"/>
        <w:right w:val="none" w:sz="0" w:space="0" w:color="auto"/>
      </w:divBdr>
    </w:div>
    <w:div w:id="1805346547">
      <w:bodyDiv w:val="1"/>
      <w:marLeft w:val="0"/>
      <w:marRight w:val="0"/>
      <w:marTop w:val="0"/>
      <w:marBottom w:val="0"/>
      <w:divBdr>
        <w:top w:val="none" w:sz="0" w:space="0" w:color="auto"/>
        <w:left w:val="none" w:sz="0" w:space="0" w:color="auto"/>
        <w:bottom w:val="none" w:sz="0" w:space="0" w:color="auto"/>
        <w:right w:val="none" w:sz="0" w:space="0" w:color="auto"/>
      </w:divBdr>
    </w:div>
    <w:div w:id="1812672307">
      <w:bodyDiv w:val="1"/>
      <w:marLeft w:val="0"/>
      <w:marRight w:val="0"/>
      <w:marTop w:val="0"/>
      <w:marBottom w:val="0"/>
      <w:divBdr>
        <w:top w:val="none" w:sz="0" w:space="0" w:color="auto"/>
        <w:left w:val="none" w:sz="0" w:space="0" w:color="auto"/>
        <w:bottom w:val="none" w:sz="0" w:space="0" w:color="auto"/>
        <w:right w:val="none" w:sz="0" w:space="0" w:color="auto"/>
      </w:divBdr>
    </w:div>
    <w:div w:id="1816604207">
      <w:bodyDiv w:val="1"/>
      <w:marLeft w:val="0"/>
      <w:marRight w:val="0"/>
      <w:marTop w:val="0"/>
      <w:marBottom w:val="0"/>
      <w:divBdr>
        <w:top w:val="none" w:sz="0" w:space="0" w:color="auto"/>
        <w:left w:val="none" w:sz="0" w:space="0" w:color="auto"/>
        <w:bottom w:val="none" w:sz="0" w:space="0" w:color="auto"/>
        <w:right w:val="none" w:sz="0" w:space="0" w:color="auto"/>
      </w:divBdr>
    </w:div>
    <w:div w:id="1822647582">
      <w:bodyDiv w:val="1"/>
      <w:marLeft w:val="0"/>
      <w:marRight w:val="0"/>
      <w:marTop w:val="0"/>
      <w:marBottom w:val="0"/>
      <w:divBdr>
        <w:top w:val="none" w:sz="0" w:space="0" w:color="auto"/>
        <w:left w:val="none" w:sz="0" w:space="0" w:color="auto"/>
        <w:bottom w:val="none" w:sz="0" w:space="0" w:color="auto"/>
        <w:right w:val="none" w:sz="0" w:space="0" w:color="auto"/>
      </w:divBdr>
    </w:div>
    <w:div w:id="1823110317">
      <w:bodyDiv w:val="1"/>
      <w:marLeft w:val="0"/>
      <w:marRight w:val="0"/>
      <w:marTop w:val="0"/>
      <w:marBottom w:val="0"/>
      <w:divBdr>
        <w:top w:val="none" w:sz="0" w:space="0" w:color="auto"/>
        <w:left w:val="none" w:sz="0" w:space="0" w:color="auto"/>
        <w:bottom w:val="none" w:sz="0" w:space="0" w:color="auto"/>
        <w:right w:val="none" w:sz="0" w:space="0" w:color="auto"/>
      </w:divBdr>
    </w:div>
    <w:div w:id="1825930249">
      <w:bodyDiv w:val="1"/>
      <w:marLeft w:val="0"/>
      <w:marRight w:val="0"/>
      <w:marTop w:val="0"/>
      <w:marBottom w:val="0"/>
      <w:divBdr>
        <w:top w:val="none" w:sz="0" w:space="0" w:color="auto"/>
        <w:left w:val="none" w:sz="0" w:space="0" w:color="auto"/>
        <w:bottom w:val="none" w:sz="0" w:space="0" w:color="auto"/>
        <w:right w:val="none" w:sz="0" w:space="0" w:color="auto"/>
      </w:divBdr>
      <w:divsChild>
        <w:div w:id="1590501829">
          <w:marLeft w:val="0"/>
          <w:marRight w:val="0"/>
          <w:marTop w:val="0"/>
          <w:marBottom w:val="0"/>
          <w:divBdr>
            <w:top w:val="none" w:sz="0" w:space="0" w:color="auto"/>
            <w:left w:val="none" w:sz="0" w:space="0" w:color="auto"/>
            <w:bottom w:val="none" w:sz="0" w:space="0" w:color="auto"/>
            <w:right w:val="none" w:sz="0" w:space="0" w:color="auto"/>
          </w:divBdr>
          <w:divsChild>
            <w:div w:id="754088087">
              <w:marLeft w:val="0"/>
              <w:marRight w:val="0"/>
              <w:marTop w:val="0"/>
              <w:marBottom w:val="0"/>
              <w:divBdr>
                <w:top w:val="none" w:sz="0" w:space="0" w:color="auto"/>
                <w:left w:val="none" w:sz="0" w:space="0" w:color="auto"/>
                <w:bottom w:val="none" w:sz="0" w:space="0" w:color="auto"/>
                <w:right w:val="none" w:sz="0" w:space="0" w:color="auto"/>
              </w:divBdr>
              <w:divsChild>
                <w:div w:id="1757553057">
                  <w:marLeft w:val="0"/>
                  <w:marRight w:val="0"/>
                  <w:marTop w:val="0"/>
                  <w:marBottom w:val="0"/>
                  <w:divBdr>
                    <w:top w:val="none" w:sz="0" w:space="0" w:color="auto"/>
                    <w:left w:val="none" w:sz="0" w:space="0" w:color="auto"/>
                    <w:bottom w:val="none" w:sz="0" w:space="0" w:color="auto"/>
                    <w:right w:val="none" w:sz="0" w:space="0" w:color="auto"/>
                  </w:divBdr>
                  <w:divsChild>
                    <w:div w:id="1352799493">
                      <w:marLeft w:val="0"/>
                      <w:marRight w:val="0"/>
                      <w:marTop w:val="0"/>
                      <w:marBottom w:val="0"/>
                      <w:divBdr>
                        <w:top w:val="none" w:sz="0" w:space="0" w:color="auto"/>
                        <w:left w:val="none" w:sz="0" w:space="0" w:color="auto"/>
                        <w:bottom w:val="none" w:sz="0" w:space="0" w:color="auto"/>
                        <w:right w:val="none" w:sz="0" w:space="0" w:color="auto"/>
                      </w:divBdr>
                      <w:divsChild>
                        <w:div w:id="960383113">
                          <w:marLeft w:val="0"/>
                          <w:marRight w:val="0"/>
                          <w:marTop w:val="0"/>
                          <w:marBottom w:val="0"/>
                          <w:divBdr>
                            <w:top w:val="none" w:sz="0" w:space="0" w:color="auto"/>
                            <w:left w:val="none" w:sz="0" w:space="0" w:color="auto"/>
                            <w:bottom w:val="none" w:sz="0" w:space="0" w:color="auto"/>
                            <w:right w:val="none" w:sz="0" w:space="0" w:color="auto"/>
                          </w:divBdr>
                          <w:divsChild>
                            <w:div w:id="367612652">
                              <w:marLeft w:val="0"/>
                              <w:marRight w:val="0"/>
                              <w:marTop w:val="0"/>
                              <w:marBottom w:val="0"/>
                              <w:divBdr>
                                <w:top w:val="none" w:sz="0" w:space="0" w:color="auto"/>
                                <w:left w:val="none" w:sz="0" w:space="0" w:color="auto"/>
                                <w:bottom w:val="none" w:sz="0" w:space="0" w:color="auto"/>
                                <w:right w:val="none" w:sz="0" w:space="0" w:color="auto"/>
                              </w:divBdr>
                              <w:divsChild>
                                <w:div w:id="447088825">
                                  <w:marLeft w:val="0"/>
                                  <w:marRight w:val="0"/>
                                  <w:marTop w:val="0"/>
                                  <w:marBottom w:val="0"/>
                                  <w:divBdr>
                                    <w:top w:val="none" w:sz="0" w:space="0" w:color="auto"/>
                                    <w:left w:val="none" w:sz="0" w:space="0" w:color="auto"/>
                                    <w:bottom w:val="none" w:sz="0" w:space="0" w:color="auto"/>
                                    <w:right w:val="none" w:sz="0" w:space="0" w:color="auto"/>
                                  </w:divBdr>
                                  <w:divsChild>
                                    <w:div w:id="758719791">
                                      <w:marLeft w:val="0"/>
                                      <w:marRight w:val="0"/>
                                      <w:marTop w:val="0"/>
                                      <w:marBottom w:val="0"/>
                                      <w:divBdr>
                                        <w:top w:val="none" w:sz="0" w:space="0" w:color="auto"/>
                                        <w:left w:val="none" w:sz="0" w:space="0" w:color="auto"/>
                                        <w:bottom w:val="none" w:sz="0" w:space="0" w:color="auto"/>
                                        <w:right w:val="none" w:sz="0" w:space="0" w:color="auto"/>
                                      </w:divBdr>
                                      <w:divsChild>
                                        <w:div w:id="218370804">
                                          <w:marLeft w:val="0"/>
                                          <w:marRight w:val="0"/>
                                          <w:marTop w:val="0"/>
                                          <w:marBottom w:val="0"/>
                                          <w:divBdr>
                                            <w:top w:val="none" w:sz="0" w:space="0" w:color="auto"/>
                                            <w:left w:val="none" w:sz="0" w:space="0" w:color="auto"/>
                                            <w:bottom w:val="none" w:sz="0" w:space="0" w:color="auto"/>
                                            <w:right w:val="none" w:sz="0" w:space="0" w:color="auto"/>
                                          </w:divBdr>
                                          <w:divsChild>
                                            <w:div w:id="195227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32334">
                                  <w:marLeft w:val="0"/>
                                  <w:marRight w:val="0"/>
                                  <w:marTop w:val="0"/>
                                  <w:marBottom w:val="0"/>
                                  <w:divBdr>
                                    <w:top w:val="none" w:sz="0" w:space="0" w:color="auto"/>
                                    <w:left w:val="none" w:sz="0" w:space="0" w:color="auto"/>
                                    <w:bottom w:val="none" w:sz="0" w:space="0" w:color="auto"/>
                                    <w:right w:val="none" w:sz="0" w:space="0" w:color="auto"/>
                                  </w:divBdr>
                                  <w:divsChild>
                                    <w:div w:id="7109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344322">
          <w:marLeft w:val="0"/>
          <w:marRight w:val="0"/>
          <w:marTop w:val="0"/>
          <w:marBottom w:val="0"/>
          <w:divBdr>
            <w:top w:val="none" w:sz="0" w:space="0" w:color="auto"/>
            <w:left w:val="none" w:sz="0" w:space="0" w:color="auto"/>
            <w:bottom w:val="none" w:sz="0" w:space="0" w:color="auto"/>
            <w:right w:val="none" w:sz="0" w:space="0" w:color="auto"/>
          </w:divBdr>
          <w:divsChild>
            <w:div w:id="1368678372">
              <w:marLeft w:val="0"/>
              <w:marRight w:val="0"/>
              <w:marTop w:val="0"/>
              <w:marBottom w:val="0"/>
              <w:divBdr>
                <w:top w:val="none" w:sz="0" w:space="0" w:color="auto"/>
                <w:left w:val="none" w:sz="0" w:space="0" w:color="auto"/>
                <w:bottom w:val="none" w:sz="0" w:space="0" w:color="auto"/>
                <w:right w:val="none" w:sz="0" w:space="0" w:color="auto"/>
              </w:divBdr>
              <w:divsChild>
                <w:div w:id="2145391106">
                  <w:marLeft w:val="0"/>
                  <w:marRight w:val="0"/>
                  <w:marTop w:val="0"/>
                  <w:marBottom w:val="0"/>
                  <w:divBdr>
                    <w:top w:val="none" w:sz="0" w:space="0" w:color="auto"/>
                    <w:left w:val="none" w:sz="0" w:space="0" w:color="auto"/>
                    <w:bottom w:val="none" w:sz="0" w:space="0" w:color="auto"/>
                    <w:right w:val="none" w:sz="0" w:space="0" w:color="auto"/>
                  </w:divBdr>
                  <w:divsChild>
                    <w:div w:id="628897382">
                      <w:marLeft w:val="0"/>
                      <w:marRight w:val="0"/>
                      <w:marTop w:val="0"/>
                      <w:marBottom w:val="0"/>
                      <w:divBdr>
                        <w:top w:val="none" w:sz="0" w:space="0" w:color="auto"/>
                        <w:left w:val="none" w:sz="0" w:space="0" w:color="auto"/>
                        <w:bottom w:val="none" w:sz="0" w:space="0" w:color="auto"/>
                        <w:right w:val="none" w:sz="0" w:space="0" w:color="auto"/>
                      </w:divBdr>
                      <w:divsChild>
                        <w:div w:id="861674459">
                          <w:marLeft w:val="0"/>
                          <w:marRight w:val="0"/>
                          <w:marTop w:val="0"/>
                          <w:marBottom w:val="0"/>
                          <w:divBdr>
                            <w:top w:val="none" w:sz="0" w:space="0" w:color="auto"/>
                            <w:left w:val="none" w:sz="0" w:space="0" w:color="auto"/>
                            <w:bottom w:val="none" w:sz="0" w:space="0" w:color="auto"/>
                            <w:right w:val="none" w:sz="0" w:space="0" w:color="auto"/>
                          </w:divBdr>
                          <w:divsChild>
                            <w:div w:id="439761231">
                              <w:marLeft w:val="0"/>
                              <w:marRight w:val="0"/>
                              <w:marTop w:val="0"/>
                              <w:marBottom w:val="0"/>
                              <w:divBdr>
                                <w:top w:val="none" w:sz="0" w:space="0" w:color="auto"/>
                                <w:left w:val="none" w:sz="0" w:space="0" w:color="auto"/>
                                <w:bottom w:val="none" w:sz="0" w:space="0" w:color="auto"/>
                                <w:right w:val="none" w:sz="0" w:space="0" w:color="auto"/>
                              </w:divBdr>
                              <w:divsChild>
                                <w:div w:id="1565145733">
                                  <w:marLeft w:val="0"/>
                                  <w:marRight w:val="0"/>
                                  <w:marTop w:val="0"/>
                                  <w:marBottom w:val="0"/>
                                  <w:divBdr>
                                    <w:top w:val="none" w:sz="0" w:space="0" w:color="auto"/>
                                    <w:left w:val="none" w:sz="0" w:space="0" w:color="auto"/>
                                    <w:bottom w:val="none" w:sz="0" w:space="0" w:color="auto"/>
                                    <w:right w:val="none" w:sz="0" w:space="0" w:color="auto"/>
                                  </w:divBdr>
                                  <w:divsChild>
                                    <w:div w:id="2008898328">
                                      <w:marLeft w:val="0"/>
                                      <w:marRight w:val="0"/>
                                      <w:marTop w:val="0"/>
                                      <w:marBottom w:val="0"/>
                                      <w:divBdr>
                                        <w:top w:val="none" w:sz="0" w:space="0" w:color="auto"/>
                                        <w:left w:val="none" w:sz="0" w:space="0" w:color="auto"/>
                                        <w:bottom w:val="none" w:sz="0" w:space="0" w:color="auto"/>
                                        <w:right w:val="none" w:sz="0" w:space="0" w:color="auto"/>
                                      </w:divBdr>
                                      <w:divsChild>
                                        <w:div w:id="867568957">
                                          <w:marLeft w:val="0"/>
                                          <w:marRight w:val="0"/>
                                          <w:marTop w:val="0"/>
                                          <w:marBottom w:val="0"/>
                                          <w:divBdr>
                                            <w:top w:val="none" w:sz="0" w:space="0" w:color="auto"/>
                                            <w:left w:val="none" w:sz="0" w:space="0" w:color="auto"/>
                                            <w:bottom w:val="none" w:sz="0" w:space="0" w:color="auto"/>
                                            <w:right w:val="none" w:sz="0" w:space="0" w:color="auto"/>
                                          </w:divBdr>
                                          <w:divsChild>
                                            <w:div w:id="48963220">
                                              <w:marLeft w:val="0"/>
                                              <w:marRight w:val="0"/>
                                              <w:marTop w:val="0"/>
                                              <w:marBottom w:val="0"/>
                                              <w:divBdr>
                                                <w:top w:val="none" w:sz="0" w:space="0" w:color="auto"/>
                                                <w:left w:val="none" w:sz="0" w:space="0" w:color="auto"/>
                                                <w:bottom w:val="none" w:sz="0" w:space="0" w:color="auto"/>
                                                <w:right w:val="none" w:sz="0" w:space="0" w:color="auto"/>
                                              </w:divBdr>
                                              <w:divsChild>
                                                <w:div w:id="49781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7304836">
      <w:bodyDiv w:val="1"/>
      <w:marLeft w:val="0"/>
      <w:marRight w:val="0"/>
      <w:marTop w:val="0"/>
      <w:marBottom w:val="0"/>
      <w:divBdr>
        <w:top w:val="none" w:sz="0" w:space="0" w:color="auto"/>
        <w:left w:val="none" w:sz="0" w:space="0" w:color="auto"/>
        <w:bottom w:val="none" w:sz="0" w:space="0" w:color="auto"/>
        <w:right w:val="none" w:sz="0" w:space="0" w:color="auto"/>
      </w:divBdr>
    </w:div>
    <w:div w:id="1891306518">
      <w:bodyDiv w:val="1"/>
      <w:marLeft w:val="0"/>
      <w:marRight w:val="0"/>
      <w:marTop w:val="0"/>
      <w:marBottom w:val="0"/>
      <w:divBdr>
        <w:top w:val="none" w:sz="0" w:space="0" w:color="auto"/>
        <w:left w:val="none" w:sz="0" w:space="0" w:color="auto"/>
        <w:bottom w:val="none" w:sz="0" w:space="0" w:color="auto"/>
        <w:right w:val="none" w:sz="0" w:space="0" w:color="auto"/>
      </w:divBdr>
    </w:div>
    <w:div w:id="1895192623">
      <w:bodyDiv w:val="1"/>
      <w:marLeft w:val="0"/>
      <w:marRight w:val="0"/>
      <w:marTop w:val="0"/>
      <w:marBottom w:val="0"/>
      <w:divBdr>
        <w:top w:val="none" w:sz="0" w:space="0" w:color="auto"/>
        <w:left w:val="none" w:sz="0" w:space="0" w:color="auto"/>
        <w:bottom w:val="none" w:sz="0" w:space="0" w:color="auto"/>
        <w:right w:val="none" w:sz="0" w:space="0" w:color="auto"/>
      </w:divBdr>
    </w:div>
    <w:div w:id="1895315346">
      <w:bodyDiv w:val="1"/>
      <w:marLeft w:val="0"/>
      <w:marRight w:val="0"/>
      <w:marTop w:val="0"/>
      <w:marBottom w:val="0"/>
      <w:divBdr>
        <w:top w:val="none" w:sz="0" w:space="0" w:color="auto"/>
        <w:left w:val="none" w:sz="0" w:space="0" w:color="auto"/>
        <w:bottom w:val="none" w:sz="0" w:space="0" w:color="auto"/>
        <w:right w:val="none" w:sz="0" w:space="0" w:color="auto"/>
      </w:divBdr>
    </w:div>
    <w:div w:id="1895769615">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899782271">
      <w:bodyDiv w:val="1"/>
      <w:marLeft w:val="0"/>
      <w:marRight w:val="0"/>
      <w:marTop w:val="0"/>
      <w:marBottom w:val="0"/>
      <w:divBdr>
        <w:top w:val="none" w:sz="0" w:space="0" w:color="auto"/>
        <w:left w:val="none" w:sz="0" w:space="0" w:color="auto"/>
        <w:bottom w:val="none" w:sz="0" w:space="0" w:color="auto"/>
        <w:right w:val="none" w:sz="0" w:space="0" w:color="auto"/>
      </w:divBdr>
    </w:div>
    <w:div w:id="1901135329">
      <w:bodyDiv w:val="1"/>
      <w:marLeft w:val="0"/>
      <w:marRight w:val="0"/>
      <w:marTop w:val="0"/>
      <w:marBottom w:val="0"/>
      <w:divBdr>
        <w:top w:val="none" w:sz="0" w:space="0" w:color="auto"/>
        <w:left w:val="none" w:sz="0" w:space="0" w:color="auto"/>
        <w:bottom w:val="none" w:sz="0" w:space="0" w:color="auto"/>
        <w:right w:val="none" w:sz="0" w:space="0" w:color="auto"/>
      </w:divBdr>
      <w:divsChild>
        <w:div w:id="990670328">
          <w:marLeft w:val="0"/>
          <w:marRight w:val="0"/>
          <w:marTop w:val="0"/>
          <w:marBottom w:val="0"/>
          <w:divBdr>
            <w:top w:val="none" w:sz="0" w:space="0" w:color="auto"/>
            <w:left w:val="none" w:sz="0" w:space="0" w:color="auto"/>
            <w:bottom w:val="none" w:sz="0" w:space="0" w:color="auto"/>
            <w:right w:val="none" w:sz="0" w:space="0" w:color="auto"/>
          </w:divBdr>
          <w:divsChild>
            <w:div w:id="311176637">
              <w:marLeft w:val="0"/>
              <w:marRight w:val="0"/>
              <w:marTop w:val="0"/>
              <w:marBottom w:val="0"/>
              <w:divBdr>
                <w:top w:val="none" w:sz="0" w:space="0" w:color="auto"/>
                <w:left w:val="none" w:sz="0" w:space="0" w:color="auto"/>
                <w:bottom w:val="none" w:sz="0" w:space="0" w:color="auto"/>
                <w:right w:val="none" w:sz="0" w:space="0" w:color="auto"/>
              </w:divBdr>
              <w:divsChild>
                <w:div w:id="202062002">
                  <w:marLeft w:val="0"/>
                  <w:marRight w:val="0"/>
                  <w:marTop w:val="0"/>
                  <w:marBottom w:val="0"/>
                  <w:divBdr>
                    <w:top w:val="none" w:sz="0" w:space="0" w:color="auto"/>
                    <w:left w:val="none" w:sz="0" w:space="0" w:color="auto"/>
                    <w:bottom w:val="none" w:sz="0" w:space="0" w:color="auto"/>
                    <w:right w:val="none" w:sz="0" w:space="0" w:color="auto"/>
                  </w:divBdr>
                  <w:divsChild>
                    <w:div w:id="455678888">
                      <w:marLeft w:val="0"/>
                      <w:marRight w:val="0"/>
                      <w:marTop w:val="0"/>
                      <w:marBottom w:val="0"/>
                      <w:divBdr>
                        <w:top w:val="none" w:sz="0" w:space="0" w:color="auto"/>
                        <w:left w:val="none" w:sz="0" w:space="0" w:color="auto"/>
                        <w:bottom w:val="none" w:sz="0" w:space="0" w:color="auto"/>
                        <w:right w:val="none" w:sz="0" w:space="0" w:color="auto"/>
                      </w:divBdr>
                      <w:divsChild>
                        <w:div w:id="96242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520983">
      <w:bodyDiv w:val="1"/>
      <w:marLeft w:val="0"/>
      <w:marRight w:val="0"/>
      <w:marTop w:val="0"/>
      <w:marBottom w:val="0"/>
      <w:divBdr>
        <w:top w:val="none" w:sz="0" w:space="0" w:color="auto"/>
        <w:left w:val="none" w:sz="0" w:space="0" w:color="auto"/>
        <w:bottom w:val="none" w:sz="0" w:space="0" w:color="auto"/>
        <w:right w:val="none" w:sz="0" w:space="0" w:color="auto"/>
      </w:divBdr>
    </w:div>
    <w:div w:id="1907642281">
      <w:bodyDiv w:val="1"/>
      <w:marLeft w:val="0"/>
      <w:marRight w:val="0"/>
      <w:marTop w:val="0"/>
      <w:marBottom w:val="0"/>
      <w:divBdr>
        <w:top w:val="none" w:sz="0" w:space="0" w:color="auto"/>
        <w:left w:val="none" w:sz="0" w:space="0" w:color="auto"/>
        <w:bottom w:val="none" w:sz="0" w:space="0" w:color="auto"/>
        <w:right w:val="none" w:sz="0" w:space="0" w:color="auto"/>
      </w:divBdr>
    </w:div>
    <w:div w:id="1920362320">
      <w:bodyDiv w:val="1"/>
      <w:marLeft w:val="0"/>
      <w:marRight w:val="0"/>
      <w:marTop w:val="0"/>
      <w:marBottom w:val="0"/>
      <w:divBdr>
        <w:top w:val="none" w:sz="0" w:space="0" w:color="auto"/>
        <w:left w:val="none" w:sz="0" w:space="0" w:color="auto"/>
        <w:bottom w:val="none" w:sz="0" w:space="0" w:color="auto"/>
        <w:right w:val="none" w:sz="0" w:space="0" w:color="auto"/>
      </w:divBdr>
    </w:div>
    <w:div w:id="1929150361">
      <w:bodyDiv w:val="1"/>
      <w:marLeft w:val="0"/>
      <w:marRight w:val="0"/>
      <w:marTop w:val="0"/>
      <w:marBottom w:val="0"/>
      <w:divBdr>
        <w:top w:val="none" w:sz="0" w:space="0" w:color="auto"/>
        <w:left w:val="none" w:sz="0" w:space="0" w:color="auto"/>
        <w:bottom w:val="none" w:sz="0" w:space="0" w:color="auto"/>
        <w:right w:val="none" w:sz="0" w:space="0" w:color="auto"/>
      </w:divBdr>
    </w:div>
    <w:div w:id="1931549251">
      <w:bodyDiv w:val="1"/>
      <w:marLeft w:val="0"/>
      <w:marRight w:val="0"/>
      <w:marTop w:val="0"/>
      <w:marBottom w:val="0"/>
      <w:divBdr>
        <w:top w:val="none" w:sz="0" w:space="0" w:color="auto"/>
        <w:left w:val="none" w:sz="0" w:space="0" w:color="auto"/>
        <w:bottom w:val="none" w:sz="0" w:space="0" w:color="auto"/>
        <w:right w:val="none" w:sz="0" w:space="0" w:color="auto"/>
      </w:divBdr>
    </w:div>
    <w:div w:id="1932279521">
      <w:bodyDiv w:val="1"/>
      <w:marLeft w:val="0"/>
      <w:marRight w:val="0"/>
      <w:marTop w:val="0"/>
      <w:marBottom w:val="0"/>
      <w:divBdr>
        <w:top w:val="none" w:sz="0" w:space="0" w:color="auto"/>
        <w:left w:val="none" w:sz="0" w:space="0" w:color="auto"/>
        <w:bottom w:val="none" w:sz="0" w:space="0" w:color="auto"/>
        <w:right w:val="none" w:sz="0" w:space="0" w:color="auto"/>
      </w:divBdr>
    </w:div>
    <w:div w:id="1933052617">
      <w:bodyDiv w:val="1"/>
      <w:marLeft w:val="0"/>
      <w:marRight w:val="0"/>
      <w:marTop w:val="0"/>
      <w:marBottom w:val="0"/>
      <w:divBdr>
        <w:top w:val="none" w:sz="0" w:space="0" w:color="auto"/>
        <w:left w:val="none" w:sz="0" w:space="0" w:color="auto"/>
        <w:bottom w:val="none" w:sz="0" w:space="0" w:color="auto"/>
        <w:right w:val="none" w:sz="0" w:space="0" w:color="auto"/>
      </w:divBdr>
    </w:div>
    <w:div w:id="1941209005">
      <w:bodyDiv w:val="1"/>
      <w:marLeft w:val="0"/>
      <w:marRight w:val="0"/>
      <w:marTop w:val="0"/>
      <w:marBottom w:val="0"/>
      <w:divBdr>
        <w:top w:val="none" w:sz="0" w:space="0" w:color="auto"/>
        <w:left w:val="none" w:sz="0" w:space="0" w:color="auto"/>
        <w:bottom w:val="none" w:sz="0" w:space="0" w:color="auto"/>
        <w:right w:val="none" w:sz="0" w:space="0" w:color="auto"/>
      </w:divBdr>
    </w:div>
    <w:div w:id="1943879994">
      <w:bodyDiv w:val="1"/>
      <w:marLeft w:val="0"/>
      <w:marRight w:val="0"/>
      <w:marTop w:val="0"/>
      <w:marBottom w:val="0"/>
      <w:divBdr>
        <w:top w:val="none" w:sz="0" w:space="0" w:color="auto"/>
        <w:left w:val="none" w:sz="0" w:space="0" w:color="auto"/>
        <w:bottom w:val="none" w:sz="0" w:space="0" w:color="auto"/>
        <w:right w:val="none" w:sz="0" w:space="0" w:color="auto"/>
      </w:divBdr>
    </w:div>
    <w:div w:id="1949044305">
      <w:bodyDiv w:val="1"/>
      <w:marLeft w:val="0"/>
      <w:marRight w:val="0"/>
      <w:marTop w:val="0"/>
      <w:marBottom w:val="0"/>
      <w:divBdr>
        <w:top w:val="none" w:sz="0" w:space="0" w:color="auto"/>
        <w:left w:val="none" w:sz="0" w:space="0" w:color="auto"/>
        <w:bottom w:val="none" w:sz="0" w:space="0" w:color="auto"/>
        <w:right w:val="none" w:sz="0" w:space="0" w:color="auto"/>
      </w:divBdr>
    </w:div>
    <w:div w:id="1950314980">
      <w:bodyDiv w:val="1"/>
      <w:marLeft w:val="0"/>
      <w:marRight w:val="0"/>
      <w:marTop w:val="0"/>
      <w:marBottom w:val="0"/>
      <w:divBdr>
        <w:top w:val="none" w:sz="0" w:space="0" w:color="auto"/>
        <w:left w:val="none" w:sz="0" w:space="0" w:color="auto"/>
        <w:bottom w:val="none" w:sz="0" w:space="0" w:color="auto"/>
        <w:right w:val="none" w:sz="0" w:space="0" w:color="auto"/>
      </w:divBdr>
    </w:div>
    <w:div w:id="1952469570">
      <w:bodyDiv w:val="1"/>
      <w:marLeft w:val="0"/>
      <w:marRight w:val="0"/>
      <w:marTop w:val="0"/>
      <w:marBottom w:val="0"/>
      <w:divBdr>
        <w:top w:val="none" w:sz="0" w:space="0" w:color="auto"/>
        <w:left w:val="none" w:sz="0" w:space="0" w:color="auto"/>
        <w:bottom w:val="none" w:sz="0" w:space="0" w:color="auto"/>
        <w:right w:val="none" w:sz="0" w:space="0" w:color="auto"/>
      </w:divBdr>
    </w:div>
    <w:div w:id="1954554253">
      <w:bodyDiv w:val="1"/>
      <w:marLeft w:val="0"/>
      <w:marRight w:val="0"/>
      <w:marTop w:val="0"/>
      <w:marBottom w:val="0"/>
      <w:divBdr>
        <w:top w:val="none" w:sz="0" w:space="0" w:color="auto"/>
        <w:left w:val="none" w:sz="0" w:space="0" w:color="auto"/>
        <w:bottom w:val="none" w:sz="0" w:space="0" w:color="auto"/>
        <w:right w:val="none" w:sz="0" w:space="0" w:color="auto"/>
      </w:divBdr>
    </w:div>
    <w:div w:id="1965041811">
      <w:bodyDiv w:val="1"/>
      <w:marLeft w:val="0"/>
      <w:marRight w:val="0"/>
      <w:marTop w:val="0"/>
      <w:marBottom w:val="0"/>
      <w:divBdr>
        <w:top w:val="none" w:sz="0" w:space="0" w:color="auto"/>
        <w:left w:val="none" w:sz="0" w:space="0" w:color="auto"/>
        <w:bottom w:val="none" w:sz="0" w:space="0" w:color="auto"/>
        <w:right w:val="none" w:sz="0" w:space="0" w:color="auto"/>
      </w:divBdr>
    </w:div>
    <w:div w:id="1981185791">
      <w:bodyDiv w:val="1"/>
      <w:marLeft w:val="0"/>
      <w:marRight w:val="0"/>
      <w:marTop w:val="0"/>
      <w:marBottom w:val="0"/>
      <w:divBdr>
        <w:top w:val="none" w:sz="0" w:space="0" w:color="auto"/>
        <w:left w:val="none" w:sz="0" w:space="0" w:color="auto"/>
        <w:bottom w:val="none" w:sz="0" w:space="0" w:color="auto"/>
        <w:right w:val="none" w:sz="0" w:space="0" w:color="auto"/>
      </w:divBdr>
    </w:div>
    <w:div w:id="1983728614">
      <w:bodyDiv w:val="1"/>
      <w:marLeft w:val="0"/>
      <w:marRight w:val="0"/>
      <w:marTop w:val="0"/>
      <w:marBottom w:val="0"/>
      <w:divBdr>
        <w:top w:val="none" w:sz="0" w:space="0" w:color="auto"/>
        <w:left w:val="none" w:sz="0" w:space="0" w:color="auto"/>
        <w:bottom w:val="none" w:sz="0" w:space="0" w:color="auto"/>
        <w:right w:val="none" w:sz="0" w:space="0" w:color="auto"/>
      </w:divBdr>
    </w:div>
    <w:div w:id="1984768192">
      <w:bodyDiv w:val="1"/>
      <w:marLeft w:val="0"/>
      <w:marRight w:val="0"/>
      <w:marTop w:val="0"/>
      <w:marBottom w:val="0"/>
      <w:divBdr>
        <w:top w:val="none" w:sz="0" w:space="0" w:color="auto"/>
        <w:left w:val="none" w:sz="0" w:space="0" w:color="auto"/>
        <w:bottom w:val="none" w:sz="0" w:space="0" w:color="auto"/>
        <w:right w:val="none" w:sz="0" w:space="0" w:color="auto"/>
      </w:divBdr>
    </w:div>
    <w:div w:id="1994023982">
      <w:bodyDiv w:val="1"/>
      <w:marLeft w:val="0"/>
      <w:marRight w:val="0"/>
      <w:marTop w:val="0"/>
      <w:marBottom w:val="0"/>
      <w:divBdr>
        <w:top w:val="none" w:sz="0" w:space="0" w:color="auto"/>
        <w:left w:val="none" w:sz="0" w:space="0" w:color="auto"/>
        <w:bottom w:val="none" w:sz="0" w:space="0" w:color="auto"/>
        <w:right w:val="none" w:sz="0" w:space="0" w:color="auto"/>
      </w:divBdr>
    </w:div>
    <w:div w:id="2008634256">
      <w:bodyDiv w:val="1"/>
      <w:marLeft w:val="0"/>
      <w:marRight w:val="0"/>
      <w:marTop w:val="0"/>
      <w:marBottom w:val="0"/>
      <w:divBdr>
        <w:top w:val="none" w:sz="0" w:space="0" w:color="auto"/>
        <w:left w:val="none" w:sz="0" w:space="0" w:color="auto"/>
        <w:bottom w:val="none" w:sz="0" w:space="0" w:color="auto"/>
        <w:right w:val="none" w:sz="0" w:space="0" w:color="auto"/>
      </w:divBdr>
    </w:div>
    <w:div w:id="2021156720">
      <w:bodyDiv w:val="1"/>
      <w:marLeft w:val="0"/>
      <w:marRight w:val="0"/>
      <w:marTop w:val="0"/>
      <w:marBottom w:val="0"/>
      <w:divBdr>
        <w:top w:val="none" w:sz="0" w:space="0" w:color="auto"/>
        <w:left w:val="none" w:sz="0" w:space="0" w:color="auto"/>
        <w:bottom w:val="none" w:sz="0" w:space="0" w:color="auto"/>
        <w:right w:val="none" w:sz="0" w:space="0" w:color="auto"/>
      </w:divBdr>
    </w:div>
    <w:div w:id="2025597012">
      <w:bodyDiv w:val="1"/>
      <w:marLeft w:val="0"/>
      <w:marRight w:val="0"/>
      <w:marTop w:val="0"/>
      <w:marBottom w:val="0"/>
      <w:divBdr>
        <w:top w:val="none" w:sz="0" w:space="0" w:color="auto"/>
        <w:left w:val="none" w:sz="0" w:space="0" w:color="auto"/>
        <w:bottom w:val="none" w:sz="0" w:space="0" w:color="auto"/>
        <w:right w:val="none" w:sz="0" w:space="0" w:color="auto"/>
      </w:divBdr>
    </w:div>
    <w:div w:id="2031643281">
      <w:bodyDiv w:val="1"/>
      <w:marLeft w:val="0"/>
      <w:marRight w:val="0"/>
      <w:marTop w:val="0"/>
      <w:marBottom w:val="0"/>
      <w:divBdr>
        <w:top w:val="none" w:sz="0" w:space="0" w:color="auto"/>
        <w:left w:val="none" w:sz="0" w:space="0" w:color="auto"/>
        <w:bottom w:val="none" w:sz="0" w:space="0" w:color="auto"/>
        <w:right w:val="none" w:sz="0" w:space="0" w:color="auto"/>
      </w:divBdr>
    </w:div>
    <w:div w:id="2032954580">
      <w:bodyDiv w:val="1"/>
      <w:marLeft w:val="0"/>
      <w:marRight w:val="0"/>
      <w:marTop w:val="0"/>
      <w:marBottom w:val="0"/>
      <w:divBdr>
        <w:top w:val="none" w:sz="0" w:space="0" w:color="auto"/>
        <w:left w:val="none" w:sz="0" w:space="0" w:color="auto"/>
        <w:bottom w:val="none" w:sz="0" w:space="0" w:color="auto"/>
        <w:right w:val="none" w:sz="0" w:space="0" w:color="auto"/>
      </w:divBdr>
    </w:div>
    <w:div w:id="2033917580">
      <w:bodyDiv w:val="1"/>
      <w:marLeft w:val="0"/>
      <w:marRight w:val="0"/>
      <w:marTop w:val="0"/>
      <w:marBottom w:val="0"/>
      <w:divBdr>
        <w:top w:val="none" w:sz="0" w:space="0" w:color="auto"/>
        <w:left w:val="none" w:sz="0" w:space="0" w:color="auto"/>
        <w:bottom w:val="none" w:sz="0" w:space="0" w:color="auto"/>
        <w:right w:val="none" w:sz="0" w:space="0" w:color="auto"/>
      </w:divBdr>
    </w:div>
    <w:div w:id="2035299010">
      <w:bodyDiv w:val="1"/>
      <w:marLeft w:val="0"/>
      <w:marRight w:val="0"/>
      <w:marTop w:val="0"/>
      <w:marBottom w:val="0"/>
      <w:divBdr>
        <w:top w:val="none" w:sz="0" w:space="0" w:color="auto"/>
        <w:left w:val="none" w:sz="0" w:space="0" w:color="auto"/>
        <w:bottom w:val="none" w:sz="0" w:space="0" w:color="auto"/>
        <w:right w:val="none" w:sz="0" w:space="0" w:color="auto"/>
      </w:divBdr>
    </w:div>
    <w:div w:id="2038853167">
      <w:bodyDiv w:val="1"/>
      <w:marLeft w:val="0"/>
      <w:marRight w:val="0"/>
      <w:marTop w:val="0"/>
      <w:marBottom w:val="0"/>
      <w:divBdr>
        <w:top w:val="none" w:sz="0" w:space="0" w:color="auto"/>
        <w:left w:val="none" w:sz="0" w:space="0" w:color="auto"/>
        <w:bottom w:val="none" w:sz="0" w:space="0" w:color="auto"/>
        <w:right w:val="none" w:sz="0" w:space="0" w:color="auto"/>
      </w:divBdr>
    </w:div>
    <w:div w:id="2041860558">
      <w:bodyDiv w:val="1"/>
      <w:marLeft w:val="0"/>
      <w:marRight w:val="0"/>
      <w:marTop w:val="0"/>
      <w:marBottom w:val="0"/>
      <w:divBdr>
        <w:top w:val="none" w:sz="0" w:space="0" w:color="auto"/>
        <w:left w:val="none" w:sz="0" w:space="0" w:color="auto"/>
        <w:bottom w:val="none" w:sz="0" w:space="0" w:color="auto"/>
        <w:right w:val="none" w:sz="0" w:space="0" w:color="auto"/>
      </w:divBdr>
    </w:div>
    <w:div w:id="2057313270">
      <w:bodyDiv w:val="1"/>
      <w:marLeft w:val="0"/>
      <w:marRight w:val="0"/>
      <w:marTop w:val="0"/>
      <w:marBottom w:val="0"/>
      <w:divBdr>
        <w:top w:val="none" w:sz="0" w:space="0" w:color="auto"/>
        <w:left w:val="none" w:sz="0" w:space="0" w:color="auto"/>
        <w:bottom w:val="none" w:sz="0" w:space="0" w:color="auto"/>
        <w:right w:val="none" w:sz="0" w:space="0" w:color="auto"/>
      </w:divBdr>
      <w:divsChild>
        <w:div w:id="363017347">
          <w:marLeft w:val="0"/>
          <w:marRight w:val="0"/>
          <w:marTop w:val="0"/>
          <w:marBottom w:val="0"/>
          <w:divBdr>
            <w:top w:val="none" w:sz="0" w:space="0" w:color="auto"/>
            <w:left w:val="none" w:sz="0" w:space="0" w:color="auto"/>
            <w:bottom w:val="none" w:sz="0" w:space="0" w:color="auto"/>
            <w:right w:val="none" w:sz="0" w:space="0" w:color="auto"/>
          </w:divBdr>
          <w:divsChild>
            <w:div w:id="907574788">
              <w:marLeft w:val="0"/>
              <w:marRight w:val="0"/>
              <w:marTop w:val="0"/>
              <w:marBottom w:val="0"/>
              <w:divBdr>
                <w:top w:val="none" w:sz="0" w:space="0" w:color="auto"/>
                <w:left w:val="none" w:sz="0" w:space="0" w:color="auto"/>
                <w:bottom w:val="none" w:sz="0" w:space="0" w:color="auto"/>
                <w:right w:val="none" w:sz="0" w:space="0" w:color="auto"/>
              </w:divBdr>
              <w:divsChild>
                <w:div w:id="319694622">
                  <w:marLeft w:val="0"/>
                  <w:marRight w:val="0"/>
                  <w:marTop w:val="0"/>
                  <w:marBottom w:val="0"/>
                  <w:divBdr>
                    <w:top w:val="none" w:sz="0" w:space="0" w:color="auto"/>
                    <w:left w:val="none" w:sz="0" w:space="0" w:color="auto"/>
                    <w:bottom w:val="none" w:sz="0" w:space="0" w:color="auto"/>
                    <w:right w:val="none" w:sz="0" w:space="0" w:color="auto"/>
                  </w:divBdr>
                  <w:divsChild>
                    <w:div w:id="1986622312">
                      <w:marLeft w:val="0"/>
                      <w:marRight w:val="0"/>
                      <w:marTop w:val="0"/>
                      <w:marBottom w:val="0"/>
                      <w:divBdr>
                        <w:top w:val="none" w:sz="0" w:space="0" w:color="auto"/>
                        <w:left w:val="none" w:sz="0" w:space="0" w:color="auto"/>
                        <w:bottom w:val="none" w:sz="0" w:space="0" w:color="auto"/>
                        <w:right w:val="none" w:sz="0" w:space="0" w:color="auto"/>
                      </w:divBdr>
                      <w:divsChild>
                        <w:div w:id="1205748387">
                          <w:marLeft w:val="0"/>
                          <w:marRight w:val="0"/>
                          <w:marTop w:val="0"/>
                          <w:marBottom w:val="0"/>
                          <w:divBdr>
                            <w:top w:val="none" w:sz="0" w:space="0" w:color="auto"/>
                            <w:left w:val="none" w:sz="0" w:space="0" w:color="auto"/>
                            <w:bottom w:val="none" w:sz="0" w:space="0" w:color="auto"/>
                            <w:right w:val="none" w:sz="0" w:space="0" w:color="auto"/>
                          </w:divBdr>
                          <w:divsChild>
                            <w:div w:id="489178319">
                              <w:marLeft w:val="0"/>
                              <w:marRight w:val="0"/>
                              <w:marTop w:val="0"/>
                              <w:marBottom w:val="0"/>
                              <w:divBdr>
                                <w:top w:val="none" w:sz="0" w:space="0" w:color="auto"/>
                                <w:left w:val="none" w:sz="0" w:space="0" w:color="auto"/>
                                <w:bottom w:val="none" w:sz="0" w:space="0" w:color="auto"/>
                                <w:right w:val="none" w:sz="0" w:space="0" w:color="auto"/>
                              </w:divBdr>
                              <w:divsChild>
                                <w:div w:id="1364551338">
                                  <w:marLeft w:val="0"/>
                                  <w:marRight w:val="0"/>
                                  <w:marTop w:val="0"/>
                                  <w:marBottom w:val="0"/>
                                  <w:divBdr>
                                    <w:top w:val="none" w:sz="0" w:space="0" w:color="auto"/>
                                    <w:left w:val="none" w:sz="0" w:space="0" w:color="auto"/>
                                    <w:bottom w:val="none" w:sz="0" w:space="0" w:color="auto"/>
                                    <w:right w:val="none" w:sz="0" w:space="0" w:color="auto"/>
                                  </w:divBdr>
                                  <w:divsChild>
                                    <w:div w:id="2128890347">
                                      <w:marLeft w:val="0"/>
                                      <w:marRight w:val="0"/>
                                      <w:marTop w:val="0"/>
                                      <w:marBottom w:val="0"/>
                                      <w:divBdr>
                                        <w:top w:val="none" w:sz="0" w:space="0" w:color="auto"/>
                                        <w:left w:val="none" w:sz="0" w:space="0" w:color="auto"/>
                                        <w:bottom w:val="none" w:sz="0" w:space="0" w:color="auto"/>
                                        <w:right w:val="none" w:sz="0" w:space="0" w:color="auto"/>
                                      </w:divBdr>
                                      <w:divsChild>
                                        <w:div w:id="944267597">
                                          <w:marLeft w:val="0"/>
                                          <w:marRight w:val="0"/>
                                          <w:marTop w:val="0"/>
                                          <w:marBottom w:val="0"/>
                                          <w:divBdr>
                                            <w:top w:val="none" w:sz="0" w:space="0" w:color="auto"/>
                                            <w:left w:val="none" w:sz="0" w:space="0" w:color="auto"/>
                                            <w:bottom w:val="none" w:sz="0" w:space="0" w:color="auto"/>
                                            <w:right w:val="none" w:sz="0" w:space="0" w:color="auto"/>
                                          </w:divBdr>
                                          <w:divsChild>
                                            <w:div w:id="167622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309190">
                                  <w:marLeft w:val="0"/>
                                  <w:marRight w:val="0"/>
                                  <w:marTop w:val="0"/>
                                  <w:marBottom w:val="0"/>
                                  <w:divBdr>
                                    <w:top w:val="none" w:sz="0" w:space="0" w:color="auto"/>
                                    <w:left w:val="none" w:sz="0" w:space="0" w:color="auto"/>
                                    <w:bottom w:val="none" w:sz="0" w:space="0" w:color="auto"/>
                                    <w:right w:val="none" w:sz="0" w:space="0" w:color="auto"/>
                                  </w:divBdr>
                                  <w:divsChild>
                                    <w:div w:id="10162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357984">
          <w:marLeft w:val="0"/>
          <w:marRight w:val="0"/>
          <w:marTop w:val="0"/>
          <w:marBottom w:val="0"/>
          <w:divBdr>
            <w:top w:val="none" w:sz="0" w:space="0" w:color="auto"/>
            <w:left w:val="none" w:sz="0" w:space="0" w:color="auto"/>
            <w:bottom w:val="none" w:sz="0" w:space="0" w:color="auto"/>
            <w:right w:val="none" w:sz="0" w:space="0" w:color="auto"/>
          </w:divBdr>
          <w:divsChild>
            <w:div w:id="103231995">
              <w:marLeft w:val="0"/>
              <w:marRight w:val="0"/>
              <w:marTop w:val="0"/>
              <w:marBottom w:val="0"/>
              <w:divBdr>
                <w:top w:val="none" w:sz="0" w:space="0" w:color="auto"/>
                <w:left w:val="none" w:sz="0" w:space="0" w:color="auto"/>
                <w:bottom w:val="none" w:sz="0" w:space="0" w:color="auto"/>
                <w:right w:val="none" w:sz="0" w:space="0" w:color="auto"/>
              </w:divBdr>
              <w:divsChild>
                <w:div w:id="1707170886">
                  <w:marLeft w:val="0"/>
                  <w:marRight w:val="0"/>
                  <w:marTop w:val="0"/>
                  <w:marBottom w:val="0"/>
                  <w:divBdr>
                    <w:top w:val="none" w:sz="0" w:space="0" w:color="auto"/>
                    <w:left w:val="none" w:sz="0" w:space="0" w:color="auto"/>
                    <w:bottom w:val="none" w:sz="0" w:space="0" w:color="auto"/>
                    <w:right w:val="none" w:sz="0" w:space="0" w:color="auto"/>
                  </w:divBdr>
                  <w:divsChild>
                    <w:div w:id="171997145">
                      <w:marLeft w:val="0"/>
                      <w:marRight w:val="0"/>
                      <w:marTop w:val="0"/>
                      <w:marBottom w:val="0"/>
                      <w:divBdr>
                        <w:top w:val="none" w:sz="0" w:space="0" w:color="auto"/>
                        <w:left w:val="none" w:sz="0" w:space="0" w:color="auto"/>
                        <w:bottom w:val="none" w:sz="0" w:space="0" w:color="auto"/>
                        <w:right w:val="none" w:sz="0" w:space="0" w:color="auto"/>
                      </w:divBdr>
                      <w:divsChild>
                        <w:div w:id="1849756860">
                          <w:marLeft w:val="0"/>
                          <w:marRight w:val="0"/>
                          <w:marTop w:val="0"/>
                          <w:marBottom w:val="0"/>
                          <w:divBdr>
                            <w:top w:val="none" w:sz="0" w:space="0" w:color="auto"/>
                            <w:left w:val="none" w:sz="0" w:space="0" w:color="auto"/>
                            <w:bottom w:val="none" w:sz="0" w:space="0" w:color="auto"/>
                            <w:right w:val="none" w:sz="0" w:space="0" w:color="auto"/>
                          </w:divBdr>
                          <w:divsChild>
                            <w:div w:id="1242373882">
                              <w:marLeft w:val="0"/>
                              <w:marRight w:val="0"/>
                              <w:marTop w:val="0"/>
                              <w:marBottom w:val="0"/>
                              <w:divBdr>
                                <w:top w:val="none" w:sz="0" w:space="0" w:color="auto"/>
                                <w:left w:val="none" w:sz="0" w:space="0" w:color="auto"/>
                                <w:bottom w:val="none" w:sz="0" w:space="0" w:color="auto"/>
                                <w:right w:val="none" w:sz="0" w:space="0" w:color="auto"/>
                              </w:divBdr>
                              <w:divsChild>
                                <w:div w:id="1215315611">
                                  <w:marLeft w:val="0"/>
                                  <w:marRight w:val="0"/>
                                  <w:marTop w:val="0"/>
                                  <w:marBottom w:val="0"/>
                                  <w:divBdr>
                                    <w:top w:val="none" w:sz="0" w:space="0" w:color="auto"/>
                                    <w:left w:val="none" w:sz="0" w:space="0" w:color="auto"/>
                                    <w:bottom w:val="none" w:sz="0" w:space="0" w:color="auto"/>
                                    <w:right w:val="none" w:sz="0" w:space="0" w:color="auto"/>
                                  </w:divBdr>
                                  <w:divsChild>
                                    <w:div w:id="92361242">
                                      <w:marLeft w:val="0"/>
                                      <w:marRight w:val="0"/>
                                      <w:marTop w:val="0"/>
                                      <w:marBottom w:val="0"/>
                                      <w:divBdr>
                                        <w:top w:val="none" w:sz="0" w:space="0" w:color="auto"/>
                                        <w:left w:val="none" w:sz="0" w:space="0" w:color="auto"/>
                                        <w:bottom w:val="none" w:sz="0" w:space="0" w:color="auto"/>
                                        <w:right w:val="none" w:sz="0" w:space="0" w:color="auto"/>
                                      </w:divBdr>
                                      <w:divsChild>
                                        <w:div w:id="260450257">
                                          <w:marLeft w:val="0"/>
                                          <w:marRight w:val="0"/>
                                          <w:marTop w:val="0"/>
                                          <w:marBottom w:val="0"/>
                                          <w:divBdr>
                                            <w:top w:val="none" w:sz="0" w:space="0" w:color="auto"/>
                                            <w:left w:val="none" w:sz="0" w:space="0" w:color="auto"/>
                                            <w:bottom w:val="none" w:sz="0" w:space="0" w:color="auto"/>
                                            <w:right w:val="none" w:sz="0" w:space="0" w:color="auto"/>
                                          </w:divBdr>
                                          <w:divsChild>
                                            <w:div w:id="636372714">
                                              <w:marLeft w:val="0"/>
                                              <w:marRight w:val="0"/>
                                              <w:marTop w:val="0"/>
                                              <w:marBottom w:val="0"/>
                                              <w:divBdr>
                                                <w:top w:val="none" w:sz="0" w:space="0" w:color="auto"/>
                                                <w:left w:val="none" w:sz="0" w:space="0" w:color="auto"/>
                                                <w:bottom w:val="none" w:sz="0" w:space="0" w:color="auto"/>
                                                <w:right w:val="none" w:sz="0" w:space="0" w:color="auto"/>
                                              </w:divBdr>
                                              <w:divsChild>
                                                <w:div w:id="68814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0663000">
      <w:bodyDiv w:val="1"/>
      <w:marLeft w:val="0"/>
      <w:marRight w:val="0"/>
      <w:marTop w:val="0"/>
      <w:marBottom w:val="0"/>
      <w:divBdr>
        <w:top w:val="none" w:sz="0" w:space="0" w:color="auto"/>
        <w:left w:val="none" w:sz="0" w:space="0" w:color="auto"/>
        <w:bottom w:val="none" w:sz="0" w:space="0" w:color="auto"/>
        <w:right w:val="none" w:sz="0" w:space="0" w:color="auto"/>
      </w:divBdr>
    </w:div>
    <w:div w:id="2072532208">
      <w:bodyDiv w:val="1"/>
      <w:marLeft w:val="0"/>
      <w:marRight w:val="0"/>
      <w:marTop w:val="0"/>
      <w:marBottom w:val="0"/>
      <w:divBdr>
        <w:top w:val="none" w:sz="0" w:space="0" w:color="auto"/>
        <w:left w:val="none" w:sz="0" w:space="0" w:color="auto"/>
        <w:bottom w:val="none" w:sz="0" w:space="0" w:color="auto"/>
        <w:right w:val="none" w:sz="0" w:space="0" w:color="auto"/>
      </w:divBdr>
    </w:div>
    <w:div w:id="2082676938">
      <w:bodyDiv w:val="1"/>
      <w:marLeft w:val="0"/>
      <w:marRight w:val="0"/>
      <w:marTop w:val="0"/>
      <w:marBottom w:val="0"/>
      <w:divBdr>
        <w:top w:val="none" w:sz="0" w:space="0" w:color="auto"/>
        <w:left w:val="none" w:sz="0" w:space="0" w:color="auto"/>
        <w:bottom w:val="none" w:sz="0" w:space="0" w:color="auto"/>
        <w:right w:val="none" w:sz="0" w:space="0" w:color="auto"/>
      </w:divBdr>
    </w:div>
    <w:div w:id="2084988286">
      <w:bodyDiv w:val="1"/>
      <w:marLeft w:val="0"/>
      <w:marRight w:val="0"/>
      <w:marTop w:val="0"/>
      <w:marBottom w:val="0"/>
      <w:divBdr>
        <w:top w:val="none" w:sz="0" w:space="0" w:color="auto"/>
        <w:left w:val="none" w:sz="0" w:space="0" w:color="auto"/>
        <w:bottom w:val="none" w:sz="0" w:space="0" w:color="auto"/>
        <w:right w:val="none" w:sz="0" w:space="0" w:color="auto"/>
      </w:divBdr>
      <w:divsChild>
        <w:div w:id="1087114382">
          <w:marLeft w:val="0"/>
          <w:marRight w:val="0"/>
          <w:marTop w:val="0"/>
          <w:marBottom w:val="0"/>
          <w:divBdr>
            <w:top w:val="none" w:sz="0" w:space="0" w:color="auto"/>
            <w:left w:val="none" w:sz="0" w:space="0" w:color="auto"/>
            <w:bottom w:val="none" w:sz="0" w:space="0" w:color="auto"/>
            <w:right w:val="none" w:sz="0" w:space="0" w:color="auto"/>
          </w:divBdr>
          <w:divsChild>
            <w:div w:id="204107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463311">
      <w:bodyDiv w:val="1"/>
      <w:marLeft w:val="0"/>
      <w:marRight w:val="0"/>
      <w:marTop w:val="0"/>
      <w:marBottom w:val="0"/>
      <w:divBdr>
        <w:top w:val="none" w:sz="0" w:space="0" w:color="auto"/>
        <w:left w:val="none" w:sz="0" w:space="0" w:color="auto"/>
        <w:bottom w:val="none" w:sz="0" w:space="0" w:color="auto"/>
        <w:right w:val="none" w:sz="0" w:space="0" w:color="auto"/>
      </w:divBdr>
    </w:div>
    <w:div w:id="2102679462">
      <w:bodyDiv w:val="1"/>
      <w:marLeft w:val="0"/>
      <w:marRight w:val="0"/>
      <w:marTop w:val="0"/>
      <w:marBottom w:val="0"/>
      <w:divBdr>
        <w:top w:val="none" w:sz="0" w:space="0" w:color="auto"/>
        <w:left w:val="none" w:sz="0" w:space="0" w:color="auto"/>
        <w:bottom w:val="none" w:sz="0" w:space="0" w:color="auto"/>
        <w:right w:val="none" w:sz="0" w:space="0" w:color="auto"/>
      </w:divBdr>
    </w:div>
    <w:div w:id="2111776765">
      <w:bodyDiv w:val="1"/>
      <w:marLeft w:val="0"/>
      <w:marRight w:val="0"/>
      <w:marTop w:val="0"/>
      <w:marBottom w:val="0"/>
      <w:divBdr>
        <w:top w:val="none" w:sz="0" w:space="0" w:color="auto"/>
        <w:left w:val="none" w:sz="0" w:space="0" w:color="auto"/>
        <w:bottom w:val="none" w:sz="0" w:space="0" w:color="auto"/>
        <w:right w:val="none" w:sz="0" w:space="0" w:color="auto"/>
      </w:divBdr>
    </w:div>
    <w:div w:id="2119525151">
      <w:bodyDiv w:val="1"/>
      <w:marLeft w:val="0"/>
      <w:marRight w:val="0"/>
      <w:marTop w:val="0"/>
      <w:marBottom w:val="0"/>
      <w:divBdr>
        <w:top w:val="none" w:sz="0" w:space="0" w:color="auto"/>
        <w:left w:val="none" w:sz="0" w:space="0" w:color="auto"/>
        <w:bottom w:val="none" w:sz="0" w:space="0" w:color="auto"/>
        <w:right w:val="none" w:sz="0" w:space="0" w:color="auto"/>
      </w:divBdr>
    </w:div>
    <w:div w:id="2125423521">
      <w:bodyDiv w:val="1"/>
      <w:marLeft w:val="0"/>
      <w:marRight w:val="0"/>
      <w:marTop w:val="0"/>
      <w:marBottom w:val="0"/>
      <w:divBdr>
        <w:top w:val="none" w:sz="0" w:space="0" w:color="auto"/>
        <w:left w:val="none" w:sz="0" w:space="0" w:color="auto"/>
        <w:bottom w:val="none" w:sz="0" w:space="0" w:color="auto"/>
        <w:right w:val="none" w:sz="0" w:space="0" w:color="auto"/>
      </w:divBdr>
    </w:div>
    <w:div w:id="2129009725">
      <w:bodyDiv w:val="1"/>
      <w:marLeft w:val="0"/>
      <w:marRight w:val="0"/>
      <w:marTop w:val="0"/>
      <w:marBottom w:val="0"/>
      <w:divBdr>
        <w:top w:val="none" w:sz="0" w:space="0" w:color="auto"/>
        <w:left w:val="none" w:sz="0" w:space="0" w:color="auto"/>
        <w:bottom w:val="none" w:sz="0" w:space="0" w:color="auto"/>
        <w:right w:val="none" w:sz="0" w:space="0" w:color="auto"/>
      </w:divBdr>
    </w:div>
    <w:div w:id="2129623710">
      <w:bodyDiv w:val="1"/>
      <w:marLeft w:val="0"/>
      <w:marRight w:val="0"/>
      <w:marTop w:val="0"/>
      <w:marBottom w:val="0"/>
      <w:divBdr>
        <w:top w:val="none" w:sz="0" w:space="0" w:color="auto"/>
        <w:left w:val="none" w:sz="0" w:space="0" w:color="auto"/>
        <w:bottom w:val="none" w:sz="0" w:space="0" w:color="auto"/>
        <w:right w:val="none" w:sz="0" w:space="0" w:color="auto"/>
      </w:divBdr>
    </w:div>
    <w:div w:id="2131778302">
      <w:bodyDiv w:val="1"/>
      <w:marLeft w:val="0"/>
      <w:marRight w:val="0"/>
      <w:marTop w:val="0"/>
      <w:marBottom w:val="0"/>
      <w:divBdr>
        <w:top w:val="none" w:sz="0" w:space="0" w:color="auto"/>
        <w:left w:val="none" w:sz="0" w:space="0" w:color="auto"/>
        <w:bottom w:val="none" w:sz="0" w:space="0" w:color="auto"/>
        <w:right w:val="none" w:sz="0" w:space="0" w:color="auto"/>
      </w:divBdr>
    </w:div>
    <w:div w:id="2136175403">
      <w:bodyDiv w:val="1"/>
      <w:marLeft w:val="0"/>
      <w:marRight w:val="0"/>
      <w:marTop w:val="0"/>
      <w:marBottom w:val="0"/>
      <w:divBdr>
        <w:top w:val="none" w:sz="0" w:space="0" w:color="auto"/>
        <w:left w:val="none" w:sz="0" w:space="0" w:color="auto"/>
        <w:bottom w:val="none" w:sz="0" w:space="0" w:color="auto"/>
        <w:right w:val="none" w:sz="0" w:space="0" w:color="auto"/>
      </w:divBdr>
    </w:div>
    <w:div w:id="2144691178">
      <w:bodyDiv w:val="1"/>
      <w:marLeft w:val="0"/>
      <w:marRight w:val="0"/>
      <w:marTop w:val="0"/>
      <w:marBottom w:val="0"/>
      <w:divBdr>
        <w:top w:val="none" w:sz="0" w:space="0" w:color="auto"/>
        <w:left w:val="none" w:sz="0" w:space="0" w:color="auto"/>
        <w:bottom w:val="none" w:sz="0" w:space="0" w:color="auto"/>
        <w:right w:val="none" w:sz="0" w:space="0" w:color="auto"/>
      </w:divBdr>
    </w:div>
    <w:div w:id="2144691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sv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europe/activities/partnering-with-the-european-union-(eu)-to-tackle-mental-health-challenges" TargetMode="External"/><Relationship Id="rId2" Type="http://schemas.openxmlformats.org/officeDocument/2006/relationships/hyperlink" Target="https://health.ec.europa.eu/non-communicable-diseases/mental-health_fr" TargetMode="External"/><Relationship Id="rId1" Type="http://schemas.openxmlformats.org/officeDocument/2006/relationships/hyperlink" Target="Https://health.ec.europa.eu/non-communicable-diseases/healthier-together-eu-non-communicable-diseases-initiative_fr" TargetMode="External"/><Relationship Id="rId5" Type="http://schemas.openxmlformats.org/officeDocument/2006/relationships/hyperlink" Target="https://data.europa.eu/doi/10.2832/284545" TargetMode="External"/><Relationship Id="rId4" Type="http://schemas.openxmlformats.org/officeDocument/2006/relationships/hyperlink" Target="https://eu-promens.eu/eu-promens-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B7F8-2920-4B53-AFAB-D6FE66896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13628</Words>
  <Characters>77680</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2025-12-02T21:29:00Z</dcterms:created>
  <dcterms:modified xsi:type="dcterms:W3CDTF">2026-01-21T08:34:00Z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2025-11-29T09:33:46Z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28da924b-24ea-49db-8dd7-1e479fb24aec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