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55867F" w14:textId="1D45DE34" w:rsidR="002F2AEF" w:rsidRPr="0075035A" w:rsidRDefault="009B3343" w:rsidP="009B3343">
      <w:pPr>
        <w:pStyle w:val="Pagedecouverture"/>
        <w:rPr>
          <w:noProof/>
        </w:rPr>
      </w:pPr>
      <w:bookmarkStart w:id="0" w:name="LW_BM_COVERPAGE"/>
      <w:r>
        <w:rPr>
          <w:noProof/>
        </w:rPr>
        <w:pict w14:anchorId="4A78E3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9BB1D73-D0F6-4F9D-AB6D-BFC08BCB3421" style="width:455.25pt;height:271.5pt">
            <v:imagedata r:id="rId8" o:title=""/>
          </v:shape>
        </w:pict>
      </w:r>
    </w:p>
    <w:bookmarkEnd w:id="0"/>
    <w:p w14:paraId="612591B1" w14:textId="3465463A" w:rsidR="00B40C65" w:rsidRPr="0075035A" w:rsidRDefault="00B40C65" w:rsidP="00B40C65">
      <w:pPr>
        <w:pStyle w:val="Pagedecouverture"/>
        <w:rPr>
          <w:noProof/>
        </w:rPr>
        <w:sectPr w:rsidR="00B40C65" w:rsidRPr="0075035A" w:rsidSect="009B334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9532E1B" w14:textId="7EC2C0DB" w:rsidR="005A63C8" w:rsidRPr="0075035A" w:rsidRDefault="5C985920" w:rsidP="00541FED">
      <w:pPr>
        <w:pStyle w:val="Heading1"/>
        <w:rPr>
          <w:rFonts w:eastAsiaTheme="minorEastAsia"/>
          <w:smallCaps w:val="0"/>
          <w:noProof/>
        </w:rPr>
      </w:pPr>
      <w:bookmarkStart w:id="1" w:name="_Toc209853373"/>
      <w:bookmarkStart w:id="2" w:name="_Toc212204018"/>
      <w:bookmarkStart w:id="3" w:name="_Toc801231580"/>
      <w:bookmarkStart w:id="4" w:name="_Toc984067264"/>
      <w:bookmarkStart w:id="5" w:name="_GoBack"/>
      <w:bookmarkEnd w:id="5"/>
      <w:r>
        <w:rPr>
          <w:smallCaps w:val="0"/>
          <w:noProof/>
        </w:rPr>
        <w:lastRenderedPageBreak/>
        <w:t>INTRODUCERE</w:t>
      </w:r>
      <w:bookmarkEnd w:id="1"/>
      <w:bookmarkEnd w:id="2"/>
      <w:bookmarkEnd w:id="3"/>
      <w:bookmarkEnd w:id="4"/>
    </w:p>
    <w:p w14:paraId="7E6E407D" w14:textId="7D0FFD00" w:rsidR="005619CC" w:rsidRPr="0075035A" w:rsidRDefault="244072C6" w:rsidP="000E6590">
      <w:pPr>
        <w:spacing w:after="120" w:line="240" w:lineRule="auto"/>
        <w:jc w:val="both"/>
        <w:rPr>
          <w:rFonts w:eastAsia="Times New Roman" w:cs="Times New Roman"/>
          <w:noProof/>
        </w:rPr>
      </w:pPr>
      <w:r>
        <w:rPr>
          <w:noProof/>
        </w:rPr>
        <w:t>Europa se confruntă cu provocări semnificative în materie de securitate și sănătate, precum și la nivel social legate de traficul și consumul de droguri ilicite. Acest lucru are un impact profund asupra siguranței și a securității orașelor și a comunităților noastre locale. Piețele în creștere, sofisticate și violente ale drogurilor contribuie la creșterea criminalității, a dependenței, a supradozelor, a răspândirii bolilor infecțioase</w:t>
      </w:r>
      <w:r>
        <w:rPr>
          <w:rStyle w:val="FootnoteReference0"/>
          <w:rFonts w:eastAsia="Times New Roman" w:cs="Times New Roman"/>
          <w:noProof/>
          <w:lang w:eastAsia="en-GB"/>
        </w:rPr>
        <w:footnoteReference w:id="2"/>
      </w:r>
      <w:r>
        <w:rPr>
          <w:noProof/>
        </w:rPr>
        <w:t xml:space="preserve"> și a degradării mediului, destabilizând comunitățile</w:t>
      </w:r>
      <w:r>
        <w:rPr>
          <w:rStyle w:val="FootnoteReference0"/>
          <w:rFonts w:eastAsia="Times New Roman" w:cs="Times New Roman"/>
          <w:noProof/>
          <w:lang w:eastAsia="en-GB"/>
        </w:rPr>
        <w:footnoteReference w:id="3"/>
      </w:r>
      <w:r>
        <w:rPr>
          <w:noProof/>
        </w:rPr>
        <w:t xml:space="preserve"> și punând presiune pe resursele publice. </w:t>
      </w:r>
    </w:p>
    <w:p w14:paraId="20B9C7BE" w14:textId="0CD86CE7" w:rsidR="00541FED" w:rsidRPr="0075035A" w:rsidRDefault="77219797" w:rsidP="00541FED">
      <w:pPr>
        <w:spacing w:after="120" w:line="240" w:lineRule="auto"/>
        <w:jc w:val="both"/>
        <w:rPr>
          <w:rFonts w:eastAsia="Times New Roman" w:cs="Times New Roman"/>
          <w:noProof/>
        </w:rPr>
      </w:pPr>
      <w:r>
        <w:rPr>
          <w:noProof/>
        </w:rPr>
        <w:t xml:space="preserve">Producția, traficul și distribuția de droguri ilicite reprezintă </w:t>
      </w:r>
      <w:r>
        <w:rPr>
          <w:b/>
          <w:noProof/>
        </w:rPr>
        <w:t>o activitate infracțională în creștere și în continuă evoluție la nivel mondial</w:t>
      </w:r>
      <w:r>
        <w:rPr>
          <w:noProof/>
        </w:rPr>
        <w:t>. În UE, jumătate dintre cele mai periculoase rețele infracționale sunt implicate în traficul de droguri și peste două treimi recurg la violență</w:t>
      </w:r>
      <w:r>
        <w:rPr>
          <w:rStyle w:val="FootnoteReference0"/>
          <w:rFonts w:eastAsia="Times New Roman" w:cs="Times New Roman"/>
          <w:noProof/>
          <w:lang w:eastAsia="en-GB"/>
        </w:rPr>
        <w:footnoteReference w:id="4"/>
      </w:r>
      <w:r>
        <w:rPr>
          <w:noProof/>
        </w:rPr>
        <w:t xml:space="preserve">. </w:t>
      </w:r>
      <w:r>
        <w:rPr>
          <w:b/>
          <w:noProof/>
        </w:rPr>
        <w:t>Fluxurile de cocaină către porturile europene</w:t>
      </w:r>
      <w:r>
        <w:rPr>
          <w:noProof/>
        </w:rPr>
        <w:t>, fie direct din America Latină, fie prin Africa de Vest, au crescut dramatic în ultimii ani</w:t>
      </w:r>
      <w:r>
        <w:rPr>
          <w:rStyle w:val="FootnoteReference0"/>
          <w:rFonts w:eastAsia="Times New Roman" w:cs="Times New Roman"/>
          <w:noProof/>
          <w:lang w:eastAsia="en-GB"/>
        </w:rPr>
        <w:footnoteReference w:id="5"/>
      </w:r>
      <w:r>
        <w:rPr>
          <w:noProof/>
        </w:rPr>
        <w:t xml:space="preserve">. </w:t>
      </w:r>
      <w:r>
        <w:rPr>
          <w:b/>
          <w:noProof/>
        </w:rPr>
        <w:t>Rețelele infracționale utilizează tehnologiile informației și își adaptează modurile de operare</w:t>
      </w:r>
      <w:r>
        <w:rPr>
          <w:noProof/>
        </w:rPr>
        <w:t xml:space="preserve"> pentru a evita detectarea și pentru a se adapta la controale. Acestea își diversifică operațiunile de trafic către rute mai puțin controlate și își extind prezența online, utilizând platformele de comerț electronic și platformele de comunicare socială, instrumentele de anonimizare și de criptare în avantajul lor. Rețelele respective deviază și transportă precursori de droguri, inclusiv pre-precursori, pentru a produce droguri sintetice. Acești</w:t>
      </w:r>
      <w:r>
        <w:rPr>
          <w:b/>
          <w:noProof/>
        </w:rPr>
        <w:t xml:space="preserve"> </w:t>
      </w:r>
      <w:r>
        <w:rPr>
          <w:noProof/>
        </w:rPr>
        <w:t xml:space="preserve">infractori se infiltrează în societatea noastră </w:t>
      </w:r>
      <w:r>
        <w:rPr>
          <w:b/>
          <w:noProof/>
        </w:rPr>
        <w:t>recurgând la violență, inclusiv din partea minorilor</w:t>
      </w:r>
      <w:r>
        <w:rPr>
          <w:noProof/>
        </w:rPr>
        <w:t>,</w:t>
      </w:r>
      <w:r>
        <w:rPr>
          <w:b/>
          <w:noProof/>
        </w:rPr>
        <w:t xml:space="preserve"> </w:t>
      </w:r>
      <w:r>
        <w:rPr>
          <w:noProof/>
        </w:rPr>
        <w:t xml:space="preserve">exacerbând insecuritatea publică și destabilizând comunitățile, familiile și economiile. </w:t>
      </w:r>
    </w:p>
    <w:p w14:paraId="2A6AFAA1" w14:textId="0361031C" w:rsidR="00114C2F" w:rsidRPr="0075035A" w:rsidRDefault="0518EF51" w:rsidP="00541FED">
      <w:pPr>
        <w:spacing w:after="120" w:line="240" w:lineRule="auto"/>
        <w:jc w:val="both"/>
        <w:rPr>
          <w:rFonts w:eastAsia="Times New Roman" w:cs="Times New Roman"/>
          <w:noProof/>
        </w:rPr>
      </w:pPr>
      <w:r>
        <w:rPr>
          <w:noProof/>
        </w:rPr>
        <w:t xml:space="preserve">Consumul de droguri continuă să reprezinte </w:t>
      </w:r>
      <w:r>
        <w:rPr>
          <w:b/>
          <w:noProof/>
        </w:rPr>
        <w:t>provocări grave în materie de sănătate în UE</w:t>
      </w:r>
      <w:r>
        <w:rPr>
          <w:noProof/>
        </w:rPr>
        <w:t>, tinerii fiind afectați în mod deosebit.</w:t>
      </w:r>
      <w:r>
        <w:rPr>
          <w:b/>
          <w:noProof/>
        </w:rPr>
        <w:t xml:space="preserve"> </w:t>
      </w:r>
      <w:r>
        <w:rPr>
          <w:noProof/>
        </w:rPr>
        <w:t>Odată cu creșterea consumului de cocaină și apariția de noi substanțe psihoactive</w:t>
      </w:r>
      <w:r>
        <w:rPr>
          <w:noProof/>
          <w:color w:val="000000" w:themeColor="text1"/>
        </w:rPr>
        <w:t xml:space="preserve">, </w:t>
      </w:r>
      <w:r>
        <w:rPr>
          <w:b/>
          <w:noProof/>
        </w:rPr>
        <w:t xml:space="preserve">riscurile de otrăvire </w:t>
      </w:r>
      <w:r>
        <w:rPr>
          <w:noProof/>
        </w:rPr>
        <w:t>și de decese cauzate de droguri cresc, ridicându-se la aproape 7 500 în 2023</w:t>
      </w:r>
      <w:r>
        <w:rPr>
          <w:rStyle w:val="FootnoteReference0"/>
          <w:rFonts w:eastAsia="Times New Roman" w:cs="Times New Roman"/>
          <w:noProof/>
          <w:lang w:eastAsia="en-GB"/>
        </w:rPr>
        <w:footnoteReference w:id="6"/>
      </w:r>
      <w:r>
        <w:rPr>
          <w:noProof/>
        </w:rPr>
        <w:t xml:space="preserve">. Aceste evoluții pun presiune pe sistemele de monitorizare și </w:t>
      </w:r>
      <w:r>
        <w:rPr>
          <w:b/>
          <w:noProof/>
        </w:rPr>
        <w:t>împiedică tratarea eficace și eforturile de reducere a efectelor negative</w:t>
      </w:r>
      <w:r>
        <w:rPr>
          <w:noProof/>
        </w:rPr>
        <w:t xml:space="preserve">. Chiar și grupurile integrate din punct de vedere social utilizează din ce în ce mai mult stimulente precum cocaina, ceea ce riscă să aibă efecte grave asupra sănătății și efecte negative pe termen lung. Consumul de droguri amenință </w:t>
      </w:r>
      <w:r>
        <w:rPr>
          <w:noProof/>
          <w:color w:val="000000" w:themeColor="text1"/>
        </w:rPr>
        <w:t>sănătatea și stabilitatea socială a diferitelor grupuri, în special a celor aflate deja în situații vulnerabile</w:t>
      </w:r>
      <w:r>
        <w:rPr>
          <w:noProof/>
        </w:rPr>
        <w:t>.</w:t>
      </w:r>
    </w:p>
    <w:p w14:paraId="49BB5C98" w14:textId="63681142" w:rsidR="00C03717" w:rsidRPr="0075035A" w:rsidRDefault="749CDDC5" w:rsidP="000E6590">
      <w:pPr>
        <w:spacing w:after="120" w:line="240" w:lineRule="auto"/>
        <w:jc w:val="both"/>
        <w:rPr>
          <w:rFonts w:cs="Times New Roman"/>
          <w:noProof/>
          <w:color w:val="000000" w:themeColor="text1"/>
        </w:rPr>
      </w:pPr>
      <w:r>
        <w:rPr>
          <w:noProof/>
        </w:rPr>
        <w:t xml:space="preserve">În sfârșit, </w:t>
      </w:r>
      <w:r>
        <w:rPr>
          <w:b/>
          <w:noProof/>
        </w:rPr>
        <w:t xml:space="preserve">producția și traficul de droguri dăunează mediului </w:t>
      </w:r>
      <w:r>
        <w:rPr>
          <w:noProof/>
        </w:rPr>
        <w:t>prin</w:t>
      </w:r>
      <w:r>
        <w:rPr>
          <w:noProof/>
          <w:color w:val="000000" w:themeColor="text1"/>
        </w:rPr>
        <w:t xml:space="preserve"> aruncarea deșeurilor chimice toxice și distrugerea habitatelor, ceea ce afectează spațiul de viață al comunităților locale și complică desființarea în condiții de siguranță a laboratoarelor de droguri și a depozitelor de deșeuri de către autoritățile de aplicare a legii</w:t>
      </w:r>
      <w:r>
        <w:rPr>
          <w:noProof/>
        </w:rPr>
        <w:t>.</w:t>
      </w:r>
    </w:p>
    <w:p w14:paraId="06F3548C" w14:textId="77777777" w:rsidR="00114C2F" w:rsidRPr="0075035A" w:rsidRDefault="00660EFA" w:rsidP="00114C2F">
      <w:pPr>
        <w:spacing w:after="120" w:line="240" w:lineRule="auto"/>
        <w:jc w:val="both"/>
        <w:rPr>
          <w:rFonts w:eastAsia="Times New Roman" w:cs="Times New Roman"/>
          <w:noProof/>
        </w:rPr>
      </w:pPr>
      <w:r>
        <w:rPr>
          <w:noProof/>
        </w:rPr>
        <w:t>Aceste amenințări sunt resimțite de către cetățeni în viața lor de zi cu zi în toate statele membre. Într-un sondaj Eurobarometru recent, patru din 10 respondenți au raportat că traficul și consumul de droguri reprezintă probleme serioase în zonele în care locuiesc, iar peste o treime consideră că aceste probleme au crescut în ultimii ani</w:t>
      </w:r>
      <w:r>
        <w:rPr>
          <w:rStyle w:val="FootnoteReference0"/>
          <w:rFonts w:eastAsia="Times New Roman" w:cs="Times New Roman"/>
          <w:noProof/>
          <w:color w:val="000000" w:themeColor="text1"/>
        </w:rPr>
        <w:footnoteReference w:id="7"/>
      </w:r>
      <w:r>
        <w:rPr>
          <w:noProof/>
        </w:rPr>
        <w:t xml:space="preserve">. </w:t>
      </w:r>
    </w:p>
    <w:p w14:paraId="0AD56FDB" w14:textId="13E7EEF9" w:rsidR="009E3F7D" w:rsidRPr="0075035A" w:rsidRDefault="0B2C8F35" w:rsidP="00541FED">
      <w:pPr>
        <w:spacing w:after="120" w:line="240" w:lineRule="auto"/>
        <w:jc w:val="both"/>
        <w:rPr>
          <w:rFonts w:cs="Times New Roman"/>
          <w:noProof/>
        </w:rPr>
      </w:pPr>
      <w:r>
        <w:rPr>
          <w:noProof/>
        </w:rPr>
        <w:t xml:space="preserve">Pentru a aborda provocările tot mai mari legate de consumul și traficul de droguri, Uniunea Europeană are nevoie de o abordare ambițioasă în ceea ce privește politica în materie de droguri. Prin prezenta strategie, Comisia stabilește o cale de urmat menită </w:t>
      </w:r>
      <w:r>
        <w:rPr>
          <w:b/>
          <w:noProof/>
        </w:rPr>
        <w:t>să protejeze bunăstarea cetățenilor, să îmbunătățească sănătatea publică și să asigure securitatea</w:t>
      </w:r>
      <w:r>
        <w:rPr>
          <w:noProof/>
        </w:rPr>
        <w:t xml:space="preserve">, promovând în același timp </w:t>
      </w:r>
      <w:r>
        <w:rPr>
          <w:b/>
          <w:noProof/>
        </w:rPr>
        <w:t>abordări multidisciplinare pentru a preveni efectele negative și a promova comunități reziliente și prospere și pentru a proteja mediul</w:t>
      </w:r>
      <w:r>
        <w:rPr>
          <w:noProof/>
        </w:rPr>
        <w:t>. Aceasta este o strategie care</w:t>
      </w:r>
      <w:r>
        <w:rPr>
          <w:b/>
          <w:noProof/>
        </w:rPr>
        <w:t xml:space="preserve"> </w:t>
      </w:r>
      <w:r>
        <w:rPr>
          <w:noProof/>
        </w:rPr>
        <w:t>va consolida</w:t>
      </w:r>
      <w:r>
        <w:rPr>
          <w:b/>
          <w:noProof/>
        </w:rPr>
        <w:t xml:space="preserve"> pregătirea și răspunsul UE la provocările actuale și viitoare legate de droguri</w:t>
      </w:r>
      <w:r>
        <w:rPr>
          <w:noProof/>
        </w:rPr>
        <w:t xml:space="preserve">. </w:t>
      </w:r>
      <w:r>
        <w:rPr>
          <w:noProof/>
        </w:rPr>
        <w:br w:type="page"/>
      </w:r>
    </w:p>
    <w:p w14:paraId="02E328C4" w14:textId="70000AAA" w:rsidR="009E3F7D" w:rsidRPr="0075035A" w:rsidRDefault="0020600E" w:rsidP="009678FC">
      <w:pPr>
        <w:pStyle w:val="Style1"/>
        <w:ind w:left="0" w:firstLine="0"/>
        <w:jc w:val="left"/>
        <w:rPr>
          <w:noProof/>
        </w:rPr>
      </w:pPr>
      <w:r>
        <w:rPr>
          <w:noProof/>
        </w:rPr>
        <w:t>Cadrul strategiei în materie de droguri: obiective și principii directoare</w:t>
      </w:r>
    </w:p>
    <w:p w14:paraId="0456ED39" w14:textId="1798C63E" w:rsidR="4FCAD782" w:rsidRPr="0075035A" w:rsidRDefault="3C420FE2" w:rsidP="009678FC">
      <w:pPr>
        <w:pStyle w:val="Text1"/>
        <w:spacing w:after="120"/>
        <w:ind w:left="0"/>
        <w:rPr>
          <w:b/>
          <w:bCs/>
          <w:noProof/>
        </w:rPr>
      </w:pPr>
      <w:r>
        <w:rPr>
          <w:noProof/>
        </w:rPr>
        <w:t xml:space="preserve">Reafirmând angajamentul UE față de o </w:t>
      </w:r>
      <w:r>
        <w:rPr>
          <w:b/>
          <w:noProof/>
        </w:rPr>
        <w:t>abordare echilibrată și multidisciplinară</w:t>
      </w:r>
      <w:r>
        <w:rPr>
          <w:noProof/>
        </w:rPr>
        <w:t xml:space="preserve">, strategia urmărește reducerea consumului de droguri și combaterea criminalității organizate prin consolidarea măsurilor de sănătate, sociale și de securitate bazate pe </w:t>
      </w:r>
      <w:r>
        <w:rPr>
          <w:b/>
          <w:noProof/>
        </w:rPr>
        <w:t>dovezi științifice</w:t>
      </w:r>
      <w:r>
        <w:rPr>
          <w:noProof/>
        </w:rPr>
        <w:t xml:space="preserve">. Grupurile infracționale organizate exploatează lacunele juridice și variațiile de politică, peisajul </w:t>
      </w:r>
      <w:r>
        <w:rPr>
          <w:b/>
          <w:noProof/>
        </w:rPr>
        <w:t>drogurilor</w:t>
      </w:r>
      <w:r>
        <w:rPr>
          <w:noProof/>
        </w:rPr>
        <w:t xml:space="preserve"> schimbându-se rapid. Prin urmare, strategia promovează o </w:t>
      </w:r>
      <w:r>
        <w:rPr>
          <w:b/>
          <w:noProof/>
        </w:rPr>
        <w:t>abordare integrată</w:t>
      </w:r>
      <w:r>
        <w:rPr>
          <w:noProof/>
        </w:rPr>
        <w:t xml:space="preserve"> a politicii în materie de droguri, pledând pentru coordonare la nivelul UE, precum și la nivel național, regional și local. Aceasta interconectează răspunsurile în materie de securitate și sănătate și la nivel social pentru a proteja împotriva potențialelor crize legate de droguri, asigurând protecția cetățenilor și a comunităților și reducerea efectelor negative. </w:t>
      </w:r>
    </w:p>
    <w:p w14:paraId="2BBA11A6" w14:textId="16FFFF70" w:rsidR="4FCAD782" w:rsidRPr="0075035A" w:rsidRDefault="56017A7A" w:rsidP="009678FC">
      <w:pPr>
        <w:pStyle w:val="Text1"/>
        <w:spacing w:after="120"/>
        <w:ind w:left="0"/>
        <w:rPr>
          <w:noProof/>
        </w:rPr>
      </w:pPr>
      <w:r>
        <w:rPr>
          <w:noProof/>
        </w:rPr>
        <w:t xml:space="preserve">Strategia promovează o colaborare cuprinzătoare cu părțile interesate printr-o </w:t>
      </w:r>
      <w:r>
        <w:rPr>
          <w:b/>
          <w:noProof/>
        </w:rPr>
        <w:t>abordare la nivelul întregii societăți</w:t>
      </w:r>
      <w:r>
        <w:rPr>
          <w:noProof/>
        </w:rPr>
        <w:t xml:space="preserve">, consolidând cooperarea sectorială și între parteneri și implicând în mod activ societatea civilă. </w:t>
      </w:r>
    </w:p>
    <w:p w14:paraId="59B61029" w14:textId="2F1EB4CA" w:rsidR="001D1C3A" w:rsidRPr="0075035A" w:rsidRDefault="00C571A6" w:rsidP="009678FC">
      <w:pPr>
        <w:pStyle w:val="Text1"/>
        <w:spacing w:after="120"/>
        <w:ind w:left="0"/>
        <w:rPr>
          <w:noProof/>
          <w:szCs w:val="24"/>
        </w:rPr>
      </w:pPr>
      <w:r>
        <w:rPr>
          <w:noProof/>
        </w:rPr>
        <w:t xml:space="preserve">Recunoscând caracterul interconectat al producției, traficului și consumului de droguri, precum și faptul că provocările asociate situației drogurilor depășesc frontierele naționale, strategia promovează </w:t>
      </w:r>
      <w:r>
        <w:rPr>
          <w:b/>
          <w:noProof/>
        </w:rPr>
        <w:t>răspunsuri internaționale coordonate</w:t>
      </w:r>
      <w:r>
        <w:rPr>
          <w:noProof/>
        </w:rPr>
        <w:t xml:space="preserve"> în colaborare cu partenerii mondiali. Obiectivul strategiei este de a modela politica în materie de droguri la nivelul UE și la nivel </w:t>
      </w:r>
      <w:r>
        <w:rPr>
          <w:b/>
          <w:noProof/>
        </w:rPr>
        <w:t>național</w:t>
      </w:r>
      <w:r>
        <w:rPr>
          <w:noProof/>
        </w:rPr>
        <w:t xml:space="preserve"> și de a sta la baza implicării UE la nivel </w:t>
      </w:r>
      <w:r>
        <w:rPr>
          <w:b/>
          <w:noProof/>
        </w:rPr>
        <w:t>internațional</w:t>
      </w:r>
      <w:r>
        <w:rPr>
          <w:noProof/>
        </w:rPr>
        <w:t>.</w:t>
      </w:r>
    </w:p>
    <w:p w14:paraId="590CC535" w14:textId="1ED350D3" w:rsidR="001D1C3A" w:rsidRPr="0075035A" w:rsidRDefault="00BE60AB" w:rsidP="009678FC">
      <w:pPr>
        <w:pStyle w:val="Text1"/>
        <w:spacing w:after="120"/>
        <w:ind w:left="0"/>
        <w:rPr>
          <w:noProof/>
        </w:rPr>
      </w:pPr>
      <w:r>
        <w:rPr>
          <w:noProof/>
        </w:rPr>
        <w:t xml:space="preserve">Acesta se bazează pe </w:t>
      </w:r>
      <w:r>
        <w:rPr>
          <w:b/>
          <w:noProof/>
        </w:rPr>
        <w:t>cinci piloni</w:t>
      </w:r>
      <w:r>
        <w:rPr>
          <w:noProof/>
        </w:rPr>
        <w:t xml:space="preserve"> care urmăresc: </w:t>
      </w:r>
    </w:p>
    <w:p w14:paraId="4621C596" w14:textId="5AF9F357" w:rsidR="001D1C3A" w:rsidRPr="0075035A" w:rsidRDefault="006F71CF" w:rsidP="00541FED">
      <w:pPr>
        <w:pStyle w:val="Text1"/>
        <w:spacing w:after="0"/>
        <w:ind w:left="0"/>
        <w:rPr>
          <w:noProof/>
        </w:rPr>
      </w:pPr>
      <w:r w:rsidRPr="00B61374">
        <w:rPr>
          <w:noProof/>
          <w:lang w:val="en-GB"/>
        </w:rPr>
        <w:drawing>
          <wp:anchor distT="0" distB="0" distL="114300" distR="114300" simplePos="0" relativeHeight="251658240" behindDoc="0" locked="0" layoutInCell="1" allowOverlap="1" wp14:anchorId="30C83409" wp14:editId="18CC32C3">
            <wp:simplePos x="0" y="0"/>
            <wp:positionH relativeFrom="margin">
              <wp:posOffset>3063240</wp:posOffset>
            </wp:positionH>
            <wp:positionV relativeFrom="paragraph">
              <wp:posOffset>30480</wp:posOffset>
            </wp:positionV>
            <wp:extent cx="2933700" cy="2819400"/>
            <wp:effectExtent l="0" t="0" r="0" b="0"/>
            <wp:wrapSquare wrapText="bothSides"/>
            <wp:docPr id="38757835" name="Picture 1" descr="A white house with text and ic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7835" name="Picture 1" descr="A white house with text and icon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33700" cy="2819400"/>
                    </a:xfrm>
                    <a:prstGeom prst="rect">
                      <a:avLst/>
                    </a:prstGeom>
                  </pic:spPr>
                </pic:pic>
              </a:graphicData>
            </a:graphic>
            <wp14:sizeRelH relativeFrom="margin">
              <wp14:pctWidth>0</wp14:pctWidth>
            </wp14:sizeRelH>
            <wp14:sizeRelV relativeFrom="margin">
              <wp14:pctHeight>0</wp14:pctHeight>
            </wp14:sizeRelV>
          </wp:anchor>
        </w:drawing>
      </w:r>
      <w:r w:rsidR="008C1B68">
        <w:rPr>
          <w:noProof/>
        </w:rPr>
        <w:t xml:space="preserve">(1) </w:t>
      </w:r>
      <w:r w:rsidR="008C1B68">
        <w:rPr>
          <w:b/>
          <w:noProof/>
        </w:rPr>
        <w:t>îmbunătățirea pregătirii la nivelul UE și la nivel național pentru a anticipa</w:t>
      </w:r>
      <w:r w:rsidR="008C1B68">
        <w:rPr>
          <w:noProof/>
        </w:rPr>
        <w:t xml:space="preserve"> amenințările pentru sănătate și securitate legate de droguri și </w:t>
      </w:r>
      <w:r w:rsidR="008C1B68">
        <w:rPr>
          <w:b/>
          <w:noProof/>
        </w:rPr>
        <w:t>pentru a răspunde</w:t>
      </w:r>
      <w:r w:rsidR="008C1B68">
        <w:rPr>
          <w:noProof/>
        </w:rPr>
        <w:t xml:space="preserve"> la acestea; </w:t>
      </w:r>
    </w:p>
    <w:p w14:paraId="3B5C2894" w14:textId="205C4FB2" w:rsidR="001D1C3A" w:rsidRPr="0075035A" w:rsidRDefault="008C1B68" w:rsidP="00541FED">
      <w:pPr>
        <w:pStyle w:val="Text1"/>
        <w:spacing w:after="0"/>
        <w:ind w:left="0"/>
        <w:rPr>
          <w:noProof/>
        </w:rPr>
      </w:pPr>
      <w:r>
        <w:rPr>
          <w:noProof/>
        </w:rPr>
        <w:t xml:space="preserve">(2) </w:t>
      </w:r>
      <w:r>
        <w:rPr>
          <w:b/>
          <w:noProof/>
        </w:rPr>
        <w:t xml:space="preserve">protejarea sănătății publice </w:t>
      </w:r>
      <w:r>
        <w:rPr>
          <w:noProof/>
        </w:rPr>
        <w:t xml:space="preserve">prin abordări preventive și tratamente bazate pe dovezi; </w:t>
      </w:r>
    </w:p>
    <w:p w14:paraId="6DBCA6A2" w14:textId="46733C88" w:rsidR="001D1C3A" w:rsidRPr="0075035A" w:rsidRDefault="008C1B68" w:rsidP="00541FED">
      <w:pPr>
        <w:pStyle w:val="Text1"/>
        <w:spacing w:after="0"/>
        <w:ind w:left="0"/>
        <w:rPr>
          <w:noProof/>
        </w:rPr>
      </w:pPr>
      <w:r>
        <w:rPr>
          <w:noProof/>
        </w:rPr>
        <w:t xml:space="preserve">(3) </w:t>
      </w:r>
      <w:r>
        <w:rPr>
          <w:b/>
          <w:noProof/>
        </w:rPr>
        <w:t>îmbunătățirea securității și protejarea societății</w:t>
      </w:r>
      <w:r>
        <w:rPr>
          <w:noProof/>
        </w:rPr>
        <w:t xml:space="preserve"> prin combaterea producției și a traficului de droguri, precum și a infiltrării criminalității; </w:t>
      </w:r>
    </w:p>
    <w:p w14:paraId="1BCBF9B3" w14:textId="428AA328" w:rsidR="001D1C3A" w:rsidRPr="0075035A" w:rsidRDefault="008C1B68" w:rsidP="00541FED">
      <w:pPr>
        <w:pStyle w:val="Text1"/>
        <w:spacing w:after="0"/>
        <w:ind w:left="0"/>
        <w:rPr>
          <w:noProof/>
        </w:rPr>
      </w:pPr>
      <w:r>
        <w:rPr>
          <w:noProof/>
        </w:rPr>
        <w:t xml:space="preserve">(4) </w:t>
      </w:r>
      <w:r>
        <w:rPr>
          <w:b/>
          <w:noProof/>
        </w:rPr>
        <w:t xml:space="preserve">abordarea efectelor negative ale drogurilor </w:t>
      </w:r>
      <w:r>
        <w:rPr>
          <w:noProof/>
        </w:rPr>
        <w:t xml:space="preserve">pentru a proteja persoanele și societatea prin măsuri care să abordeze sănătatea individuală, precum și daunele sociale și de mediu și </w:t>
      </w:r>
    </w:p>
    <w:p w14:paraId="4ACAAB7D" w14:textId="339F482F" w:rsidR="008C1B68" w:rsidRPr="0075035A" w:rsidRDefault="008C1B68" w:rsidP="00E12101">
      <w:pPr>
        <w:pStyle w:val="Text1"/>
        <w:spacing w:after="120"/>
        <w:ind w:left="0"/>
        <w:rPr>
          <w:noProof/>
        </w:rPr>
      </w:pPr>
      <w:r>
        <w:rPr>
          <w:noProof/>
        </w:rPr>
        <w:t xml:space="preserve">(5) </w:t>
      </w:r>
      <w:r>
        <w:rPr>
          <w:b/>
          <w:noProof/>
        </w:rPr>
        <w:t xml:space="preserve">construirea unor parteneriate solide </w:t>
      </w:r>
      <w:r>
        <w:rPr>
          <w:noProof/>
        </w:rPr>
        <w:t>pentru a aborda situația drogurilor, în special cu țările și regiunile terțe.</w:t>
      </w:r>
    </w:p>
    <w:p w14:paraId="4965F92A" w14:textId="0BCA7002" w:rsidR="006E7558" w:rsidRPr="0075035A" w:rsidRDefault="5BD334ED" w:rsidP="00E12101">
      <w:pPr>
        <w:pStyle w:val="Text1"/>
        <w:spacing w:after="120"/>
        <w:ind w:left="0"/>
        <w:rPr>
          <w:b/>
          <w:bCs/>
          <w:noProof/>
        </w:rPr>
      </w:pPr>
      <w:r>
        <w:rPr>
          <w:noProof/>
        </w:rPr>
        <w:t xml:space="preserve">Strategia este </w:t>
      </w:r>
      <w:r>
        <w:rPr>
          <w:b/>
          <w:noProof/>
        </w:rPr>
        <w:t>ancorată în valorile UE</w:t>
      </w:r>
      <w:r>
        <w:rPr>
          <w:rStyle w:val="FootnoteReference0"/>
          <w:b/>
          <w:noProof/>
        </w:rPr>
        <w:footnoteReference w:id="8"/>
      </w:r>
      <w:r>
        <w:rPr>
          <w:b/>
          <w:noProof/>
        </w:rPr>
        <w:t xml:space="preserve"> și în drepturile fundamentale consacrate în Carta drepturilor fundamentale a UE</w:t>
      </w:r>
      <w:r>
        <w:rPr>
          <w:rStyle w:val="FootnoteReference0"/>
          <w:b/>
          <w:noProof/>
        </w:rPr>
        <w:footnoteReference w:id="9"/>
      </w:r>
      <w:r>
        <w:rPr>
          <w:noProof/>
        </w:rPr>
        <w:t>. Ea se bazează pe dreptul internațional, în special pe convențiile internaționale privind controlul drogurilor, pe Carta Organizației Națiunilor Unite și este pusă în aplicare în conformitate cu dreptul internațional al drepturilor omului. Aceasta se aliniază la angajamentele globale, cum ar fi documentul final al sesiunii extraordinare a Adunării Generale a Organizației Națiunilor Unite din 2016</w:t>
      </w:r>
      <w:r>
        <w:rPr>
          <w:rStyle w:val="FootnoteReference0"/>
          <w:noProof/>
        </w:rPr>
        <w:footnoteReference w:id="10"/>
      </w:r>
      <w:r>
        <w:rPr>
          <w:noProof/>
        </w:rPr>
        <w:t>, Declarația ministerială din 2019</w:t>
      </w:r>
      <w:r>
        <w:rPr>
          <w:rStyle w:val="FootnoteReference0"/>
          <w:noProof/>
        </w:rPr>
        <w:footnoteReference w:id="11"/>
      </w:r>
      <w:r>
        <w:rPr>
          <w:noProof/>
        </w:rPr>
        <w:t>, Declarația la nivel înalt privind evaluarea la jumătatea perioadei din 2024</w:t>
      </w:r>
      <w:r>
        <w:rPr>
          <w:rStyle w:val="FootnoteReference0"/>
          <w:noProof/>
        </w:rPr>
        <w:footnoteReference w:id="12"/>
      </w:r>
      <w:r>
        <w:rPr>
          <w:noProof/>
        </w:rPr>
        <w:t xml:space="preserve"> și Agenda 2030 a ONU pentru dezvoltare durabilă</w:t>
      </w:r>
      <w:r>
        <w:rPr>
          <w:rStyle w:val="FootnoteReference0"/>
          <w:noProof/>
        </w:rPr>
        <w:footnoteReference w:id="13"/>
      </w:r>
      <w:r>
        <w:rPr>
          <w:noProof/>
        </w:rPr>
        <w:t xml:space="preserve">. </w:t>
      </w:r>
    </w:p>
    <w:p w14:paraId="36886E4B" w14:textId="301FDDE0" w:rsidR="007279BD" w:rsidRPr="0075035A" w:rsidRDefault="00C76243" w:rsidP="007279BD">
      <w:pPr>
        <w:pStyle w:val="Text1"/>
        <w:spacing w:after="120"/>
        <w:ind w:left="0"/>
        <w:rPr>
          <w:noProof/>
        </w:rPr>
      </w:pPr>
      <w:r>
        <w:rPr>
          <w:noProof/>
        </w:rPr>
        <w:t>Strategia are la bază evaluarea Strategiei și a Planului de acțiune ale UE în materie de droguri 2021-2025</w:t>
      </w:r>
      <w:r>
        <w:rPr>
          <w:rStyle w:val="FootnoteReference0"/>
          <w:noProof/>
        </w:rPr>
        <w:footnoteReference w:id="14"/>
      </w:r>
      <w:r>
        <w:rPr>
          <w:noProof/>
        </w:rPr>
        <w:t>, care a evidențiat valoarea acesteia, subliniind în același timp necesitatea unei abordări orientate spre rezultate. Aceasta se bazează pe monitorizarea situației drogurilor de către agențiile relevante ale UE, în special de către Agenția Uniunii Europene privind Drogurile (EUDA), care este recunoscută la scară largă ca fiind un centru de excelență științifică în materie de droguri și căreia i s-a încredințat un nou rol esențial în îmbunătățirea pregătirii Uniunii prin intermediul mandatului său consolidat</w:t>
      </w:r>
      <w:r>
        <w:rPr>
          <w:rStyle w:val="FootnoteReference0"/>
          <w:noProof/>
        </w:rPr>
        <w:footnoteReference w:id="15"/>
      </w:r>
      <w:r>
        <w:rPr>
          <w:noProof/>
        </w:rPr>
        <w:t>, precum și de către Europol, care furnizează analize solide bazate pe informații pentru a sprijini eforturile de asigurare a respectării legii. Ea include contribuții substanțiale obținute în urma dialogului continuu cu statele membre și a atelierelor dedicate în cadrul grupului de pregătire al Consiliului responsabil cu politica în materie de droguri, precum și contribuții valoroase din partea grupurilor societății civile, cum ar fi Forumul societății civile în materie de droguri. Strategia este un rezultat esențial al strategiei europene de securitate internă (ProtectEU)</w:t>
      </w:r>
      <w:r>
        <w:rPr>
          <w:rStyle w:val="FootnoteReference0"/>
          <w:noProof/>
        </w:rPr>
        <w:footnoteReference w:id="16"/>
      </w:r>
      <w:r>
        <w:rPr>
          <w:noProof/>
        </w:rPr>
        <w:t xml:space="preserve"> și se aliniază la Strategia europeană privind o Uniune a pregătirii</w:t>
      </w:r>
      <w:r>
        <w:rPr>
          <w:rStyle w:val="FootnoteReference0"/>
          <w:noProof/>
        </w:rPr>
        <w:footnoteReference w:id="17"/>
      </w:r>
      <w:r>
        <w:rPr>
          <w:noProof/>
        </w:rPr>
        <w:t>, la uniunea europeană a sănătății</w:t>
      </w:r>
      <w:r>
        <w:rPr>
          <w:rStyle w:val="FootnoteReference0"/>
          <w:noProof/>
        </w:rPr>
        <w:footnoteReference w:id="18"/>
      </w:r>
      <w:r>
        <w:rPr>
          <w:noProof/>
        </w:rPr>
        <w:t>, inclusiv la cadrul consolidat al UE de securitate sanitară</w:t>
      </w:r>
      <w:r>
        <w:rPr>
          <w:rStyle w:val="FootnoteReference0"/>
          <w:noProof/>
        </w:rPr>
        <w:footnoteReference w:id="19"/>
      </w:r>
      <w:r>
        <w:rPr>
          <w:noProof/>
        </w:rPr>
        <w:t>, precum și la propunerea Comisiei privind noi norme referitoare la precursorii de droguri</w:t>
      </w:r>
      <w:r>
        <w:rPr>
          <w:rStyle w:val="FootnoteReference0"/>
          <w:noProof/>
        </w:rPr>
        <w:footnoteReference w:id="20"/>
      </w:r>
      <w:r>
        <w:rPr>
          <w:noProof/>
        </w:rPr>
        <w:t>.</w:t>
      </w:r>
    </w:p>
    <w:p w14:paraId="0A9D3BD2" w14:textId="2C1A23F5" w:rsidR="009678FC" w:rsidRPr="0075035A" w:rsidRDefault="00893B18" w:rsidP="009678FC">
      <w:pPr>
        <w:pStyle w:val="Text1"/>
        <w:spacing w:after="120"/>
        <w:ind w:left="0"/>
        <w:rPr>
          <w:noProof/>
        </w:rPr>
      </w:pPr>
      <w:r>
        <w:rPr>
          <w:noProof/>
        </w:rPr>
        <w:t xml:space="preserve">Luând act de rezultatele evaluării, care au evidențiat necesitatea de a propune un </w:t>
      </w:r>
      <w:r>
        <w:rPr>
          <w:b/>
          <w:noProof/>
        </w:rPr>
        <w:t>răspuns operațional</w:t>
      </w:r>
      <w:r>
        <w:rPr>
          <w:noProof/>
        </w:rPr>
        <w:t xml:space="preserve"> la situația drogurilor, Comisia completează strategia cu un </w:t>
      </w:r>
      <w:r>
        <w:rPr>
          <w:b/>
          <w:noProof/>
        </w:rPr>
        <w:t>plan de acțiune specific al UE de combatere a traficului de droguri</w:t>
      </w:r>
      <w:r>
        <w:rPr>
          <w:noProof/>
        </w:rPr>
        <w:t xml:space="preserve"> pentru a neutraliza rețelele de criminalitate organizată din spatele traficului de droguri, vizând rutele și metodele infracționale ale acestora. Pe baza priorităților identificate în strategie, planul de acțiune prezintă acțiuni concrete urgente care trebuie întreprinse la nivelul UE în perioada 2026-2030. Acest plan de acțiune include 19 acțiuni operaționale care vor îndeplini în primul rând angajamentul strategic de a consolida securitatea UE, dar și de a îmbunătăți pregătirea, de a aborda efectele negative cauzate de recrutarea tinerilor și de a construi parteneriate solide pentru combaterea traficului de droguri. </w:t>
      </w:r>
    </w:p>
    <w:p w14:paraId="27634564" w14:textId="6528FF19" w:rsidR="00404769" w:rsidRPr="00404769" w:rsidRDefault="00D70A91" w:rsidP="00404769">
      <w:pPr>
        <w:pStyle w:val="Heading2"/>
        <w:rPr>
          <w:noProof/>
        </w:rPr>
      </w:pPr>
      <w:bookmarkStart w:id="6" w:name="_Toc212204019"/>
      <w:bookmarkStart w:id="7" w:name="_Toc1935203069"/>
      <w:bookmarkStart w:id="8" w:name="_Toc933045277"/>
      <w:r>
        <w:rPr>
          <w:noProof/>
        </w:rPr>
        <w:t>ÎMBUNĂTĂȚIREA PREGĂTIRII</w:t>
      </w:r>
      <w:bookmarkEnd w:id="6"/>
      <w:bookmarkEnd w:id="7"/>
      <w:bookmarkEnd w:id="8"/>
      <w:r>
        <w:rPr>
          <w:noProof/>
        </w:rPr>
        <w:t xml:space="preserve"> ȘI A RĂSPUNSULUI</w:t>
      </w:r>
    </w:p>
    <w:p w14:paraId="5B8DA3A2" w14:textId="77777777" w:rsidR="00404769" w:rsidRDefault="00404769" w:rsidP="009678FC">
      <w:pPr>
        <w:spacing w:after="240" w:line="240" w:lineRule="auto"/>
        <w:jc w:val="both"/>
        <w:rPr>
          <w:rFonts w:cs="Times New Roman"/>
          <w:noProof/>
        </w:rPr>
      </w:pPr>
    </w:p>
    <w:p w14:paraId="7225EC4B" w14:textId="70CF4B6E" w:rsidR="00B40C65" w:rsidRPr="0075035A" w:rsidRDefault="16A12E81" w:rsidP="009678FC">
      <w:pPr>
        <w:spacing w:after="240" w:line="240" w:lineRule="auto"/>
        <w:jc w:val="both"/>
        <w:rPr>
          <w:rFonts w:cs="Times New Roman"/>
          <w:noProof/>
        </w:rPr>
      </w:pPr>
      <w:r>
        <w:rPr>
          <w:noProof/>
        </w:rPr>
        <w:t>Dinamica cererii și ofertei de droguri ilicite evoluează rapid, fiind determinată de rețelele infracționale mondiale influente și stimulată de evoluțiile geopolitice și tehnologice</w:t>
      </w:r>
      <w:r>
        <w:rPr>
          <w:rStyle w:val="FootnoteReference0"/>
          <w:rFonts w:cs="Times New Roman"/>
          <w:noProof/>
        </w:rPr>
        <w:footnoteReference w:id="21"/>
      </w:r>
      <w:r>
        <w:rPr>
          <w:noProof/>
        </w:rPr>
        <w:t>. Apar rapid substanțe psihoactive noi, cu un potențial mai mare de toxicitate și de dependență, ceea ce sporește riscurile de otrăvire și de decese cauzate de droguri. Îmbunătățirea pregătirii Europei în ceea ce privește aspectele de sănătate, sociale și de securitate legate de droguri este esențială.</w:t>
      </w:r>
    </w:p>
    <w:p w14:paraId="638C46AA" w14:textId="243F9172" w:rsidR="00632E9E" w:rsidRPr="0075035A" w:rsidRDefault="00632E9E" w:rsidP="00541FED">
      <w:pPr>
        <w:pStyle w:val="Heading3"/>
        <w:ind w:left="0"/>
        <w:rPr>
          <w:noProof/>
        </w:rPr>
      </w:pPr>
      <w:bookmarkStart w:id="9" w:name="_Toc209853376"/>
      <w:bookmarkStart w:id="10" w:name="_Toc212204020"/>
      <w:bookmarkStart w:id="11" w:name="_Toc139286731"/>
      <w:bookmarkStart w:id="12" w:name="_Toc497655296"/>
      <w:r>
        <w:rPr>
          <w:noProof/>
        </w:rPr>
        <w:t>Prioritatea strategică 1 – Consolidarea pregătirii UE pentru abordarea amenințărilor legate de droguri</w:t>
      </w:r>
      <w:bookmarkEnd w:id="9"/>
      <w:bookmarkEnd w:id="10"/>
      <w:bookmarkEnd w:id="11"/>
      <w:bookmarkEnd w:id="12"/>
    </w:p>
    <w:p w14:paraId="71F44446" w14:textId="747427D9" w:rsidR="00ED655E" w:rsidRPr="0075035A" w:rsidRDefault="4AFE0953" w:rsidP="674E0B1F">
      <w:pPr>
        <w:pBdr>
          <w:top w:val="single" w:sz="4" w:space="1" w:color="auto"/>
          <w:left w:val="single" w:sz="4" w:space="4" w:color="auto"/>
          <w:bottom w:val="single" w:sz="4" w:space="1" w:color="auto"/>
          <w:right w:val="single" w:sz="4" w:space="4" w:color="auto"/>
        </w:pBdr>
        <w:jc w:val="both"/>
        <w:rPr>
          <w:rFonts w:cs="Times New Roman"/>
          <w:i/>
          <w:iCs/>
          <w:noProof/>
          <w:szCs w:val="24"/>
        </w:rPr>
      </w:pPr>
      <w:r>
        <w:rPr>
          <w:i/>
          <w:noProof/>
        </w:rPr>
        <w:t xml:space="preserve">UE trebuie să intensifice monitorizarea situației drogurilor în UE, actualizându-și sistemele și rețelele de colectare, analiză și diseminare a datelor pentru </w:t>
      </w:r>
      <w:bookmarkStart w:id="13" w:name="_Hlk207112332"/>
      <w:r>
        <w:rPr>
          <w:i/>
          <w:noProof/>
        </w:rPr>
        <w:t>a anticipa și a răspunde mai bine noilor provocări în materie de droguri, inclusiv prin măsuri de pregătire și alte răspunsuri bazate pe dovezi</w:t>
      </w:r>
      <w:bookmarkEnd w:id="13"/>
      <w:r>
        <w:rPr>
          <w:noProof/>
        </w:rPr>
        <w:t>.</w:t>
      </w:r>
    </w:p>
    <w:p w14:paraId="4E5D05B0" w14:textId="00B06041" w:rsidR="00964E45" w:rsidRPr="0075035A" w:rsidRDefault="23FA5B88" w:rsidP="00A2296C">
      <w:pPr>
        <w:pStyle w:val="Heading4"/>
        <w:rPr>
          <w:noProof/>
        </w:rPr>
      </w:pPr>
      <w:r>
        <w:rPr>
          <w:noProof/>
        </w:rPr>
        <w:t xml:space="preserve"> </w:t>
      </w:r>
      <w:bookmarkStart w:id="14" w:name="_Toc212204021"/>
      <w:r>
        <w:rPr>
          <w:noProof/>
        </w:rPr>
        <w:t>Creșterea gradului de conștientizare a riscurilor și consolidarea abordării orientate spre viitor a UE</w:t>
      </w:r>
      <w:bookmarkEnd w:id="14"/>
    </w:p>
    <w:p w14:paraId="329E2D0E" w14:textId="6A9D0116" w:rsidR="00B73D5B" w:rsidRPr="0075035A" w:rsidRDefault="74A613F5" w:rsidP="00A2296C">
      <w:pPr>
        <w:pStyle w:val="ContNum"/>
        <w:spacing w:after="120"/>
        <w:rPr>
          <w:noProof/>
        </w:rPr>
      </w:pPr>
      <w:r>
        <w:rPr>
          <w:noProof/>
        </w:rPr>
        <w:t>Consolidarea conștientizării situației de către UE înseamnă îmbunătățirea capacității acesteia de a analiza rapid și de a face schimb de date cu privire la tendințele emergente. EUDA oferă instrumente esențiale, cum ar fi rețeaua europeană de laboratoare criminalistice și toxicologice, care trebuie să fie implementate în mod eficace pentru a spori pregătirea UE.</w:t>
      </w:r>
    </w:p>
    <w:p w14:paraId="23B5A12A" w14:textId="55363D36" w:rsidR="00B73D5B" w:rsidRPr="0075035A" w:rsidRDefault="13BB5D07" w:rsidP="00727AD5">
      <w:pPr>
        <w:pStyle w:val="ContNum"/>
        <w:spacing w:after="120"/>
        <w:rPr>
          <w:noProof/>
        </w:rPr>
      </w:pPr>
      <w:r>
        <w:rPr>
          <w:noProof/>
        </w:rPr>
        <w:t xml:space="preserve">Agențiile UE, în special EUDA și Europol, ar trebui să </w:t>
      </w:r>
      <w:r>
        <w:rPr>
          <w:b/>
          <w:noProof/>
        </w:rPr>
        <w:t>îmbunătățească promptitudinea monitorizării la nivelul UE a situației drogurilor</w:t>
      </w:r>
      <w:r>
        <w:rPr>
          <w:noProof/>
        </w:rPr>
        <w:t>, în strânsă cooperare cu statele membre. EUDA va oferi asistență statelor membre în ceea ce privește îmbunătățirea colectării unificate a datelor, utilizând surse precum instrumentele de informații geospațiale ale Oficiului European de Statistică (Eurostat) și datele Centrului European de Prevenire și Control al Bolilor (ECDC). Aceasta va utiliza abordări inovatoare pentru a identifica semnalele timpurii care indică modificări ale situației drogurilor, pe baza analizelor existente ale datelor provenite din urgențele spitalicești, din reziduurile de seringi sau din apele uzate municipale.</w:t>
      </w:r>
    </w:p>
    <w:p w14:paraId="5DD86F05" w14:textId="71C03147" w:rsidR="005C7B01" w:rsidRPr="0075035A" w:rsidRDefault="21B7CA37" w:rsidP="2326B0DA">
      <w:pPr>
        <w:pStyle w:val="ContNum"/>
        <w:spacing w:after="120"/>
        <w:rPr>
          <w:noProof/>
          <w:color w:val="0078D4"/>
          <w:u w:val="single"/>
        </w:rPr>
      </w:pPr>
      <w:r>
        <w:rPr>
          <w:noProof/>
        </w:rPr>
        <w:t xml:space="preserve">Având în vedere apariția rapidă și continuă de substanțe noi, </w:t>
      </w:r>
      <w:r>
        <w:rPr>
          <w:b/>
          <w:noProof/>
        </w:rPr>
        <w:t xml:space="preserve">schimbul rapid de informații în întreaga UE </w:t>
      </w:r>
      <w:r>
        <w:rPr>
          <w:noProof/>
        </w:rPr>
        <w:t>este esențial. În acest scop, EUDA va moderniza Sistemul european de avertizare timpurie pentru a identifica rapid noile substanțe psihoactive, pentru a monitoriza compoziția și potența acestora, pentru a evalua efectele negative ale acestora și pentru a furniza aceste informații statelor membre în mod sistematic. Rețeaua europeană de laboratoare criminalistice și toxicologice va sprijini acest schimb de informații și va oferi cunoștințe de specialitate la nivelul UE. În plus, în anumite cazuri de amenințare transfrontalieră gravă pentru sănătate, autoritățile statelor membre sau Comisia trebuie să notifice o alertă în sistemul de alertă precoce și răspuns</w:t>
      </w:r>
      <w:r>
        <w:rPr>
          <w:noProof/>
          <w:vertAlign w:val="superscript"/>
        </w:rPr>
        <w:footnoteReference w:id="22"/>
      </w:r>
      <w:r>
        <w:rPr>
          <w:noProof/>
        </w:rPr>
        <w:t xml:space="preserve"> pentru a garanta un răspuns mai eficace.</w:t>
      </w:r>
    </w:p>
    <w:p w14:paraId="77250E6C" w14:textId="2B6D2283" w:rsidR="005C7B01" w:rsidRPr="0075035A" w:rsidRDefault="004618A4" w:rsidP="009678FC">
      <w:pPr>
        <w:pStyle w:val="ContNum"/>
        <w:rPr>
          <w:noProof/>
          <w:szCs w:val="24"/>
        </w:rPr>
      </w:pPr>
      <w:r>
        <w:rPr>
          <w:noProof/>
        </w:rPr>
        <w:t>În sfârșit, UE și statele membre ar trebui să își consolideze</w:t>
      </w:r>
      <w:r>
        <w:rPr>
          <w:b/>
          <w:noProof/>
        </w:rPr>
        <w:t xml:space="preserve"> capacitățile de analiză prospectivă</w:t>
      </w:r>
      <w:r>
        <w:rPr>
          <w:noProof/>
        </w:rPr>
        <w:t xml:space="preserve"> prin mobilizarea sistemelor de date noi și existente. Acest lucru va contribui la anticiparea evoluțiilor pe termen mediu și lung ale </w:t>
      </w:r>
      <w:bookmarkStart w:id="15" w:name="_Hlk211002515"/>
      <w:r>
        <w:rPr>
          <w:noProof/>
        </w:rPr>
        <w:t>tendințelor în materie de droguri, cum ar fi impactul digitalizării</w:t>
      </w:r>
      <w:bookmarkEnd w:id="15"/>
      <w:r>
        <w:rPr>
          <w:noProof/>
        </w:rPr>
        <w:t xml:space="preserve">, riscurile pentru tineri și creșterea consumului de droguri sintetice. </w:t>
      </w:r>
      <w:r>
        <w:rPr>
          <w:noProof/>
          <w:color w:val="000000" w:themeColor="text1"/>
        </w:rPr>
        <w:t xml:space="preserve">EUDA își va intensifica activitățile de previzionare și de analiză prospectivă pentru a identifica deficiențele de pe piețele drogurilor, inclusiv efectul digitalizării, </w:t>
      </w:r>
      <w:r>
        <w:rPr>
          <w:noProof/>
        </w:rPr>
        <w:t>impactul potențial al noilor droguri sintetice și provocările generate de schimbările de politică.</w:t>
      </w:r>
    </w:p>
    <w:p w14:paraId="5AA658A1" w14:textId="14D1B3B7" w:rsidR="00E60F23" w:rsidRPr="0075035A" w:rsidRDefault="005A0681" w:rsidP="008E288C">
      <w:pPr>
        <w:pStyle w:val="Heading4"/>
        <w:rPr>
          <w:noProof/>
          <w:szCs w:val="24"/>
        </w:rPr>
      </w:pPr>
      <w:bookmarkStart w:id="16" w:name="_Toc212204023"/>
      <w:bookmarkStart w:id="17" w:name="_Hlk213684918"/>
      <w:r>
        <w:rPr>
          <w:noProof/>
        </w:rPr>
        <w:t xml:space="preserve"> Consolidarea capacității de răspuns a UE</w:t>
      </w:r>
      <w:bookmarkEnd w:id="16"/>
    </w:p>
    <w:p w14:paraId="3A93F95A" w14:textId="3D781D2D" w:rsidR="008636A1" w:rsidRPr="0075035A" w:rsidRDefault="55AA9804" w:rsidP="00A2296C">
      <w:pPr>
        <w:pStyle w:val="ContNum"/>
        <w:spacing w:after="120"/>
        <w:rPr>
          <w:noProof/>
        </w:rPr>
      </w:pPr>
      <w:r>
        <w:rPr>
          <w:noProof/>
        </w:rPr>
        <w:t xml:space="preserve">UE trebuie să fie mai bine pregătită să răspundă amenințărilor emergente legate de droguri. În acest scop, EUDA, în colaborare cu experți naționali, </w:t>
      </w:r>
      <w:r>
        <w:rPr>
          <w:b/>
          <w:noProof/>
        </w:rPr>
        <w:t>va elabora evaluări ale amenințărilor pentru sănătate și securitate legate de droguri</w:t>
      </w:r>
      <w:r>
        <w:rPr>
          <w:noProof/>
        </w:rPr>
        <w:t>. Evaluările vor include opțiuni clare de răspuns pentru a contribui la atenuarea amenințărilor, atât la nivel național, cât și la nivelul UE</w:t>
      </w:r>
      <w:r>
        <w:rPr>
          <w:rStyle w:val="FootnoteReference0"/>
          <w:noProof/>
          <w:szCs w:val="24"/>
        </w:rPr>
        <w:footnoteReference w:id="23"/>
      </w:r>
      <w:r>
        <w:rPr>
          <w:noProof/>
        </w:rPr>
        <w:t xml:space="preserve">. </w:t>
      </w:r>
      <w:bookmarkEnd w:id="17"/>
      <w:r>
        <w:rPr>
          <w:noProof/>
        </w:rPr>
        <w:t>Pregătirea UE trebuie să acopere creșterea numărului de noi droguri sintetice potente. Prin urmare, EUDA va iniția o evaluare a amenințărilor dedicată opioidelor sintetice extrem de potente din Europa.</w:t>
      </w:r>
    </w:p>
    <w:p w14:paraId="44D285AA" w14:textId="01B95A66" w:rsidR="006A4DB6" w:rsidRPr="0075035A" w:rsidRDefault="00CB3310" w:rsidP="00A2296C">
      <w:pPr>
        <w:pStyle w:val="ContNum"/>
        <w:spacing w:after="120"/>
        <w:rPr>
          <w:noProof/>
        </w:rPr>
      </w:pPr>
      <w:r>
        <w:rPr>
          <w:noProof/>
        </w:rPr>
        <w:t>În plus, în completarea eforturilor UE din cadrul planului Uniunii de prevenire, pregătire și răspuns la crizele sanitare</w:t>
      </w:r>
      <w:r>
        <w:rPr>
          <w:rStyle w:val="FootnoteReference0"/>
          <w:noProof/>
        </w:rPr>
        <w:footnoteReference w:id="24"/>
      </w:r>
      <w:r>
        <w:rPr>
          <w:noProof/>
        </w:rPr>
        <w:t xml:space="preserve">, statele membre ar trebui să elaboreze </w:t>
      </w:r>
      <w:r>
        <w:rPr>
          <w:b/>
          <w:noProof/>
        </w:rPr>
        <w:t>măsuri naționale de pregătire și răspuns</w:t>
      </w:r>
      <w:r>
        <w:rPr>
          <w:noProof/>
        </w:rPr>
        <w:t>. Statele membre ar trebui să se asigure că sistemele lor pot anticipa, preveni și atenua amenințările</w:t>
      </w:r>
      <w:bookmarkStart w:id="18" w:name="_Hlk209168760"/>
      <w:r>
        <w:rPr>
          <w:noProof/>
        </w:rPr>
        <w:t>, inclusiv prin implementarea rapidă a contramăsurilor medicale și a materialelor de reducere a efectelor negative</w:t>
      </w:r>
      <w:bookmarkEnd w:id="18"/>
      <w:r>
        <w:rPr>
          <w:noProof/>
        </w:rPr>
        <w:t>.</w:t>
      </w:r>
    </w:p>
    <w:p w14:paraId="254C3F4B" w14:textId="43C7C204" w:rsidR="00495867" w:rsidRPr="0075035A" w:rsidRDefault="08317746" w:rsidP="2326B0DA">
      <w:pPr>
        <w:spacing w:line="240" w:lineRule="auto"/>
        <w:jc w:val="both"/>
        <w:rPr>
          <w:rFonts w:cs="Times New Roman"/>
          <w:noProof/>
        </w:rPr>
      </w:pPr>
      <w:r>
        <w:rPr>
          <w:noProof/>
        </w:rPr>
        <w:t xml:space="preserve">EUDA va emite, de asemenea, alerte rapide specifice în materie de sănătate și securitate cu privire la riscurile grave legate de droguri, cum ar fi drogurile sintetice extrem de potente, prin intermediul </w:t>
      </w:r>
      <w:r>
        <w:rPr>
          <w:b/>
          <w:noProof/>
        </w:rPr>
        <w:t>sistemului european de alertă în materie de droguri</w:t>
      </w:r>
      <w:r>
        <w:rPr>
          <w:rStyle w:val="FootnoteReference0"/>
          <w:rFonts w:cs="Times New Roman"/>
          <w:noProof/>
        </w:rPr>
        <w:footnoteReference w:id="25"/>
      </w:r>
      <w:r>
        <w:rPr>
          <w:noProof/>
        </w:rPr>
        <w:t>. Acest sistem de alertă va contribui la o comunicare eficientă și în timp util a riscurilor, conectându-se la sistemele naționale de alertă și ajungând direct la practicienii din domeniul sănătății și la agenții de aplicare a legii.</w:t>
      </w:r>
    </w:p>
    <w:p w14:paraId="7647D2D0" w14:textId="06F09DF1" w:rsidR="005709E6" w:rsidRPr="0075035A" w:rsidRDefault="004618A4" w:rsidP="008E288C">
      <w:pPr>
        <w:pStyle w:val="Heading4"/>
        <w:rPr>
          <w:noProof/>
        </w:rPr>
      </w:pPr>
      <w:bookmarkStart w:id="19" w:name="_Toc209853377"/>
      <w:bookmarkStart w:id="20" w:name="_Hlk213683688"/>
      <w:r>
        <w:rPr>
          <w:noProof/>
        </w:rPr>
        <w:t xml:space="preserve"> </w:t>
      </w:r>
      <w:bookmarkStart w:id="21" w:name="_Toc212204024"/>
      <w:bookmarkEnd w:id="19"/>
      <w:r>
        <w:rPr>
          <w:noProof/>
        </w:rPr>
        <w:t>Reunirea eforturilor de cercetare</w:t>
      </w:r>
      <w:bookmarkEnd w:id="21"/>
    </w:p>
    <w:p w14:paraId="62C35262" w14:textId="01E2496C" w:rsidR="00781C53" w:rsidRPr="0075035A" w:rsidRDefault="003D353A" w:rsidP="000E6590">
      <w:pPr>
        <w:pStyle w:val="ContNum"/>
        <w:spacing w:after="120"/>
        <w:rPr>
          <w:noProof/>
        </w:rPr>
      </w:pPr>
      <w:bookmarkStart w:id="22" w:name="_Hlk213684297"/>
      <w:bookmarkEnd w:id="20"/>
      <w:r>
        <w:rPr>
          <w:noProof/>
        </w:rPr>
        <w:t>Eforturile la nivelul UE și la nivel național ar trebui să se concentreze pe o mai bună înțelegere a lacunelor în materie de cercetare privind comportamentul legat de consumul de droguri, opțiunile de tratament, policonsumul de substanțe, tulburările psihice și impactul traficului de droguri asupra societății. Prin intermediul dialogurilor în domeniul cercetării</w:t>
      </w:r>
      <w:r>
        <w:rPr>
          <w:rStyle w:val="FootnoteReference0"/>
          <w:noProof/>
        </w:rPr>
        <w:footnoteReference w:id="26"/>
      </w:r>
      <w:r>
        <w:rPr>
          <w:noProof/>
        </w:rPr>
        <w:t>, UE urmărește să faciliteze</w:t>
      </w:r>
      <w:r>
        <w:rPr>
          <w:b/>
          <w:noProof/>
        </w:rPr>
        <w:t xml:space="preserve"> schimbul de cunoștințe și să stabilească priorități de cercetare</w:t>
      </w:r>
      <w:r>
        <w:rPr>
          <w:noProof/>
        </w:rPr>
        <w:t>. EUDA va crea o bază de date de cercetare în materie de droguri și o comunitate de cunoștințe, care să reunească factori de decizie, oameni de știință, societatea civilă și experți din teren pentru a elimina lacunele critice în materie de cunoștințe. Pentru a promova inovarea în sectorul securității care să aducă beneficii directe autorităților de aplicare a legii, Comisia Europeană va cartografia nevoile tehnologice și operaționale urgente ale autorităților de aplicare a legii în vederea combaterii criminalității organizate, inclusiv a traficului de droguri.</w:t>
      </w:r>
    </w:p>
    <w:p w14:paraId="29D9F439" w14:textId="77777777" w:rsidR="00FD497C" w:rsidRPr="0075035A" w:rsidRDefault="00781C53" w:rsidP="009678FC">
      <w:pPr>
        <w:pStyle w:val="ContNum"/>
        <w:spacing w:after="120"/>
        <w:rPr>
          <w:noProof/>
        </w:rPr>
      </w:pPr>
      <w:bookmarkStart w:id="23" w:name="_Hlk213683436"/>
      <w:bookmarkEnd w:id="22"/>
      <w:r>
        <w:rPr>
          <w:noProof/>
        </w:rPr>
        <w:t>Inovarea rămâne esențială pentru abordarea amenințărilor emergente pentru sănătate și securitate reprezentate de droguri, cum ar fi noile substanțe psihoactive și noile forme de consum, inclusiv vapatul.</w:t>
      </w:r>
      <w:r>
        <w:rPr>
          <w:b/>
          <w:noProof/>
        </w:rPr>
        <w:t xml:space="preserve"> </w:t>
      </w:r>
      <w:r>
        <w:rPr>
          <w:noProof/>
        </w:rPr>
        <w:t>Valorificând noile tehnologii</w:t>
      </w:r>
      <w:r>
        <w:rPr>
          <w:b/>
          <w:noProof/>
        </w:rPr>
        <w:t xml:space="preserve"> </w:t>
      </w:r>
      <w:r>
        <w:rPr>
          <w:noProof/>
        </w:rPr>
        <w:t>și inteligența artificială, UE și statele membre ar trebui să asigure o finanțare adecvată pentru inovare, îmbunătățind tehnologiile de detectare care integrează IA pentru a identifica rapid precursorii la frontierele UE și pentru a sprijini autoritățile de aplicare a legii în destructurarea producției de droguri. Comisia, sprijinită de Europol și EUDA, va coordona diseminarea practicilor inovatoare către actorii din sectorul drogurilor. Instrumentele inovatoare de</w:t>
      </w:r>
      <w:r>
        <w:rPr>
          <w:b/>
          <w:noProof/>
        </w:rPr>
        <w:t xml:space="preserve"> cartografiere a zonelor rurale de producție, a coridoarelor de trafic și a zonelor cu risc ecologic trebuie extinse</w:t>
      </w:r>
      <w:r>
        <w:rPr>
          <w:noProof/>
        </w:rPr>
        <w:t xml:space="preserve"> pentru a îmbunătăți imaginea de ansamblu a informațiilor. Ar trebui oferite cursuri de formare pentru a îmbunătăți competențele tehnice ale autorităților de aplicare a legii, completate de cercetări în curs pentru a perfecționa tabloul informațiilor, asigurând o înțelegere cuprinzătoare și un răspuns eficace la provocările legate de droguri.</w:t>
      </w:r>
    </w:p>
    <w:bookmarkEnd w:id="23"/>
    <w:p w14:paraId="0BF20BA4" w14:textId="0CF629A5" w:rsidR="00BB431E" w:rsidRPr="0075035A" w:rsidRDefault="00781C53" w:rsidP="009678FC">
      <w:pPr>
        <w:pStyle w:val="ContNum"/>
        <w:spacing w:after="120"/>
        <w:rPr>
          <w:noProof/>
        </w:rPr>
      </w:pPr>
      <w:r>
        <w:rPr>
          <w:noProof/>
        </w:rPr>
        <w:t>Prin intermediul programelor UE de finanțare a cercetării și a inovării, Comisia va stimula cercetarea pentru a înțelege tulburările și modelele comportamentale legate de consumul de droguri, promovând în același timp terapii inovatoare pentru consumul de substanțe stimulante și valorificând opioidele și substanțele psihoactive în condiții de siguranță în scopuri medicale. Promovarea instrumentelor digitale și a aplicațiilor de asistență medicală este esențială pentru optimizarea sistemelor de sănătate și sociale.</w:t>
      </w:r>
    </w:p>
    <w:p w14:paraId="70053386" w14:textId="77777777" w:rsidR="00775C24" w:rsidRPr="0075035A" w:rsidRDefault="00775C24" w:rsidP="000E6590">
      <w:pPr>
        <w:pStyle w:val="ContNum"/>
        <w:spacing w:after="120"/>
        <w:rPr>
          <w:noProof/>
        </w:rPr>
      </w:pPr>
      <w:bookmarkStart w:id="24" w:name="_Hlk214030248"/>
      <w:r>
        <w:rPr>
          <w:noProof/>
        </w:rPr>
        <w:t xml:space="preserve">În acest context, </w:t>
      </w:r>
      <w:bookmarkStart w:id="25" w:name="_Hlk214026172"/>
      <w:r>
        <w:rPr>
          <w:noProof/>
        </w:rPr>
        <w:t>spațiul european al datelor privind sănătatea (EHDS) va facilita accesul securizat la datele electronice privind sănătatea în toate statele membre, sprijinind cercetarea, inovarea și elaborarea de politici publice privind tendințele în materie de sănătate legate de droguri, rezultatele tratamentelor și impactul noilor substanțe psihoactive</w:t>
      </w:r>
      <w:r>
        <w:rPr>
          <w:rStyle w:val="FootnoteReference0"/>
          <w:noProof/>
        </w:rPr>
        <w:footnoteReference w:id="27"/>
      </w:r>
      <w:bookmarkEnd w:id="25"/>
      <w:r>
        <w:rPr>
          <w:noProof/>
        </w:rPr>
        <w:t>.</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D61D38" w:rsidRPr="0075035A" w14:paraId="721FE364" w14:textId="77777777" w:rsidTr="3C2CD52E">
        <w:trPr>
          <w:trHeight w:val="841"/>
        </w:trPr>
        <w:tc>
          <w:tcPr>
            <w:tcW w:w="9576" w:type="dxa"/>
          </w:tcPr>
          <w:bookmarkEnd w:id="24"/>
          <w:p w14:paraId="53C895D5" w14:textId="24A20FEA" w:rsidR="003D717F" w:rsidRDefault="00AB05AD" w:rsidP="006F71CF">
            <w:pPr>
              <w:pStyle w:val="ContNum"/>
              <w:pageBreakBefore/>
              <w:spacing w:after="0"/>
              <w:rPr>
                <w:b/>
                <w:noProof/>
                <w:szCs w:val="24"/>
              </w:rPr>
            </w:pPr>
            <w:r>
              <w:rPr>
                <w:b/>
                <w:noProof/>
              </w:rPr>
              <w:t xml:space="preserve">Priorități esențiale </w:t>
            </w:r>
          </w:p>
          <w:p w14:paraId="27895815" w14:textId="77777777" w:rsidR="00404769" w:rsidRDefault="00404769" w:rsidP="00404769">
            <w:pPr>
              <w:pStyle w:val="ContNum"/>
              <w:spacing w:after="0"/>
              <w:rPr>
                <w:b/>
                <w:noProof/>
                <w:szCs w:val="24"/>
              </w:rPr>
            </w:pPr>
          </w:p>
          <w:p w14:paraId="09997131" w14:textId="77777777" w:rsidR="007B510E" w:rsidRPr="0075035A" w:rsidRDefault="007B510E" w:rsidP="00404769">
            <w:pPr>
              <w:pStyle w:val="ContNum"/>
              <w:spacing w:after="0"/>
              <w:rPr>
                <w:b/>
                <w:bCs/>
                <w:noProof/>
                <w:szCs w:val="24"/>
              </w:rPr>
            </w:pPr>
            <w:r>
              <w:rPr>
                <w:b/>
                <w:noProof/>
              </w:rPr>
              <w:t>Comisia și statele membre, cu sprijinul agențiilor relevante ale UE, ar trebui:</w:t>
            </w:r>
          </w:p>
          <w:p w14:paraId="6A74AEED" w14:textId="77777777" w:rsidR="008A635F" w:rsidRDefault="007B510E" w:rsidP="00541FED">
            <w:pPr>
              <w:pStyle w:val="ContNum"/>
              <w:numPr>
                <w:ilvl w:val="0"/>
                <w:numId w:val="101"/>
              </w:numPr>
              <w:spacing w:after="120"/>
              <w:rPr>
                <w:b/>
                <w:noProof/>
              </w:rPr>
            </w:pPr>
            <w:r>
              <w:rPr>
                <w:b/>
                <w:noProof/>
              </w:rPr>
              <w:t xml:space="preserve">să faciliteze schimbul de cunoștințe și identificarea priorităților de cercetare prin dialoguri în domeniul cercetării; </w:t>
            </w:r>
          </w:p>
          <w:p w14:paraId="4737F351" w14:textId="47964227" w:rsidR="007B510E" w:rsidRPr="0075035A" w:rsidRDefault="007B510E" w:rsidP="00541FED">
            <w:pPr>
              <w:pStyle w:val="ContNum"/>
              <w:numPr>
                <w:ilvl w:val="0"/>
                <w:numId w:val="101"/>
              </w:numPr>
              <w:spacing w:after="120"/>
              <w:rPr>
                <w:b/>
                <w:noProof/>
              </w:rPr>
            </w:pPr>
            <w:r>
              <w:rPr>
                <w:b/>
                <w:noProof/>
              </w:rPr>
              <w:t>să coordoneze sprijinul operațional și diseminarea practicilor și a soluțiilor inovatoare către actorii relevanți din sectorul drogurilor.</w:t>
            </w:r>
          </w:p>
          <w:p w14:paraId="5E0E2E0F" w14:textId="7C08C7E2" w:rsidR="00D61D38" w:rsidRPr="0075035A" w:rsidRDefault="00407786" w:rsidP="009E4A40">
            <w:pPr>
              <w:pStyle w:val="ContNum"/>
              <w:spacing w:after="120"/>
              <w:rPr>
                <w:b/>
                <w:bCs/>
                <w:noProof/>
                <w:szCs w:val="24"/>
              </w:rPr>
            </w:pPr>
            <w:r>
              <w:rPr>
                <w:b/>
                <w:noProof/>
              </w:rPr>
              <w:t>În conformitate cu mandatul său extins, EUDA:</w:t>
            </w:r>
          </w:p>
          <w:p w14:paraId="48E13178" w14:textId="4F75B9F8" w:rsidR="00407786" w:rsidRPr="0075035A" w:rsidRDefault="00BB35B0" w:rsidP="00541FED">
            <w:pPr>
              <w:pStyle w:val="ListParagraph"/>
              <w:numPr>
                <w:ilvl w:val="0"/>
                <w:numId w:val="101"/>
              </w:numPr>
              <w:spacing w:after="120" w:line="240" w:lineRule="auto"/>
              <w:contextualSpacing w:val="0"/>
              <w:rPr>
                <w:rFonts w:cs="Times New Roman"/>
                <w:b/>
                <w:bCs/>
                <w:noProof/>
              </w:rPr>
            </w:pPr>
            <w:r>
              <w:rPr>
                <w:b/>
                <w:noProof/>
              </w:rPr>
              <w:t xml:space="preserve">va moderniza Sistemul european de avertizare timpurie pentru a identifica rapid și sistematic noile substanțe psihoactive și va disemina aceste informații în rândul statelor membre; </w:t>
            </w:r>
          </w:p>
          <w:p w14:paraId="4B666736" w14:textId="6B2E57A6" w:rsidR="007F191F" w:rsidRPr="0075035A" w:rsidRDefault="000F6B72" w:rsidP="00541FED">
            <w:pPr>
              <w:pStyle w:val="ListParagraph"/>
              <w:numPr>
                <w:ilvl w:val="0"/>
                <w:numId w:val="101"/>
              </w:numPr>
              <w:spacing w:after="120" w:line="240" w:lineRule="auto"/>
              <w:contextualSpacing w:val="0"/>
              <w:rPr>
                <w:rFonts w:cs="Times New Roman"/>
                <w:b/>
                <w:bCs/>
                <w:noProof/>
              </w:rPr>
            </w:pPr>
            <w:r>
              <w:rPr>
                <w:b/>
                <w:noProof/>
              </w:rPr>
              <w:t>va implementa un sistem european de alertă în materie de droguri pentru a emite alerte rapide specifice în materie de sănătate și securitate cu privire la riscurile grave legate de droguri;</w:t>
            </w:r>
          </w:p>
          <w:p w14:paraId="06453ECE" w14:textId="77777777" w:rsidR="0075035A" w:rsidRPr="0075035A" w:rsidRDefault="00C953E3" w:rsidP="3C2CD52E">
            <w:pPr>
              <w:pStyle w:val="ContNum"/>
              <w:numPr>
                <w:ilvl w:val="0"/>
                <w:numId w:val="101"/>
              </w:numPr>
              <w:spacing w:after="120"/>
              <w:ind w:left="714" w:hanging="357"/>
              <w:rPr>
                <w:b/>
                <w:bCs/>
                <w:noProof/>
                <w:szCs w:val="24"/>
              </w:rPr>
            </w:pPr>
            <w:r>
              <w:rPr>
                <w:b/>
                <w:noProof/>
              </w:rPr>
              <w:t>va elabora evaluări ale amenințărilor privind noile amenințări pentru sănătate și securitate legate de droguri și</w:t>
            </w:r>
            <w:r>
              <w:rPr>
                <w:noProof/>
              </w:rPr>
              <w:t xml:space="preserve"> </w:t>
            </w:r>
            <w:r>
              <w:rPr>
                <w:b/>
                <w:noProof/>
              </w:rPr>
              <w:t>va efectua o evaluare specifică a amenințărilor privind opioidele sintetice extrem de potente din Europa</w:t>
            </w:r>
            <w:r>
              <w:rPr>
                <w:noProof/>
              </w:rPr>
              <w:t>;</w:t>
            </w:r>
          </w:p>
          <w:p w14:paraId="245CC63C" w14:textId="77777777" w:rsidR="0075035A" w:rsidRPr="0075035A" w:rsidRDefault="00541FED" w:rsidP="3C2CD52E">
            <w:pPr>
              <w:pStyle w:val="ContNum"/>
              <w:numPr>
                <w:ilvl w:val="0"/>
                <w:numId w:val="101"/>
              </w:numPr>
              <w:spacing w:after="120"/>
              <w:ind w:left="714" w:hanging="357"/>
              <w:rPr>
                <w:b/>
                <w:bCs/>
                <w:noProof/>
                <w:szCs w:val="24"/>
              </w:rPr>
            </w:pPr>
            <w:r>
              <w:rPr>
                <w:b/>
                <w:noProof/>
              </w:rPr>
              <w:t>va îmbunătăți monitorizarea în timp util a situației drogurilor prin intensificarea colectării de date la nivelul UE, în special pe baza raportării rapide din partea punctelor focale naționale Reitox</w:t>
            </w:r>
            <w:r>
              <w:rPr>
                <w:rStyle w:val="FootnoteReference0"/>
                <w:b/>
                <w:noProof/>
                <w:szCs w:val="24"/>
              </w:rPr>
              <w:footnoteReference w:id="28"/>
            </w:r>
            <w:r>
              <w:rPr>
                <w:b/>
                <w:noProof/>
              </w:rPr>
              <w:t>.</w:t>
            </w:r>
          </w:p>
          <w:p w14:paraId="3AACA48A" w14:textId="2D9ABD4C" w:rsidR="00256F6D" w:rsidRPr="0075035A" w:rsidRDefault="791640A7" w:rsidP="0075035A">
            <w:pPr>
              <w:pStyle w:val="ContNum"/>
              <w:spacing w:after="120"/>
              <w:rPr>
                <w:b/>
                <w:bCs/>
                <w:noProof/>
                <w:szCs w:val="24"/>
              </w:rPr>
            </w:pPr>
            <w:r>
              <w:rPr>
                <w:b/>
                <w:noProof/>
              </w:rPr>
              <w:t>Statele membre sunt încurajate:</w:t>
            </w:r>
          </w:p>
          <w:p w14:paraId="318FBBAF" w14:textId="35F25623" w:rsidR="00EA0765" w:rsidRPr="00AA30B3" w:rsidRDefault="00256F6D" w:rsidP="00541FED">
            <w:pPr>
              <w:pStyle w:val="ContNum"/>
              <w:numPr>
                <w:ilvl w:val="0"/>
                <w:numId w:val="101"/>
              </w:numPr>
              <w:spacing w:after="120"/>
              <w:rPr>
                <w:b/>
                <w:noProof/>
                <w:szCs w:val="24"/>
              </w:rPr>
            </w:pPr>
            <w:r>
              <w:rPr>
                <w:b/>
                <w:noProof/>
              </w:rPr>
              <w:t>să elaboreze măsuri naționale de pregătire și răspuns cu acțiuni de anticipare și atenuare a amenințărilor noi și emergente legate de droguri.</w:t>
            </w:r>
          </w:p>
        </w:tc>
      </w:tr>
    </w:tbl>
    <w:p w14:paraId="3DC18855" w14:textId="77777777" w:rsidR="00027790" w:rsidRPr="0075035A" w:rsidRDefault="00027790" w:rsidP="00A2296C">
      <w:pPr>
        <w:pStyle w:val="ContNum"/>
        <w:spacing w:after="120"/>
        <w:rPr>
          <w:noProof/>
          <w:szCs w:val="24"/>
        </w:rPr>
      </w:pPr>
    </w:p>
    <w:p w14:paraId="27F888BD" w14:textId="5E833E4B" w:rsidR="00731DD4" w:rsidRPr="0075035A" w:rsidRDefault="00205B71" w:rsidP="00B40C65">
      <w:pPr>
        <w:pStyle w:val="Heading2"/>
        <w:spacing w:line="240" w:lineRule="auto"/>
        <w:rPr>
          <w:noProof/>
        </w:rPr>
      </w:pPr>
      <w:r>
        <w:rPr>
          <w:noProof/>
        </w:rPr>
        <w:t>PROTEJAREA SĂNĂTĂȚII PUBLICE</w:t>
      </w:r>
    </w:p>
    <w:p w14:paraId="427B4829" w14:textId="77777777" w:rsidR="0092106A" w:rsidRPr="0075035A" w:rsidRDefault="0092106A" w:rsidP="00404769">
      <w:pPr>
        <w:pStyle w:val="Heading2"/>
        <w:numPr>
          <w:ilvl w:val="0"/>
          <w:numId w:val="0"/>
        </w:numPr>
        <w:rPr>
          <w:noProof/>
        </w:rPr>
      </w:pPr>
    </w:p>
    <w:p w14:paraId="3F20A7F9" w14:textId="5B9FDCC0" w:rsidR="004E4630" w:rsidRPr="0075035A" w:rsidRDefault="62CC6CE1" w:rsidP="0096338D">
      <w:pPr>
        <w:pStyle w:val="ContNum"/>
        <w:rPr>
          <w:noProof/>
          <w:szCs w:val="24"/>
        </w:rPr>
      </w:pPr>
      <w:r>
        <w:rPr>
          <w:noProof/>
          <w:color w:val="000000" w:themeColor="text1"/>
        </w:rPr>
        <w:t xml:space="preserve">Sănătatea publică este puternic afectată de disponibilitatea și utilizarea tot mai mare a unor droguri ilicite variate și potente. </w:t>
      </w:r>
      <w:r>
        <w:rPr>
          <w:b/>
          <w:noProof/>
          <w:color w:val="000000" w:themeColor="text1"/>
        </w:rPr>
        <w:t>Prin urmare, reducerea cererii se menține în prima linie a răspunsului UE la consumul de droguri ilicite</w:t>
      </w:r>
      <w:r>
        <w:rPr>
          <w:noProof/>
          <w:color w:val="000000" w:themeColor="text1"/>
        </w:rPr>
        <w:t>. Împreună cu eforturile de reducere a efectelor negative, o gamă largă de măsuri ar trebui să conlucreze pentru a atinge trei obiective principale: reducerea consumului de droguri, asigurarea unui tratament accesibil pentru toți și sprijinirea recuperării și a reintegrării sociale a persoanelor cu tulburări legate de consumul de droguri.</w:t>
      </w:r>
    </w:p>
    <w:p w14:paraId="4A6526CA" w14:textId="1EE49435" w:rsidR="00632E9E" w:rsidRPr="0075035A" w:rsidRDefault="00632E9E" w:rsidP="00541FED">
      <w:pPr>
        <w:pStyle w:val="Heading3"/>
        <w:ind w:left="0"/>
        <w:rPr>
          <w:noProof/>
        </w:rPr>
      </w:pPr>
      <w:bookmarkStart w:id="26" w:name="_Toc209853379"/>
      <w:bookmarkStart w:id="27" w:name="_Toc212204026"/>
      <w:bookmarkStart w:id="28" w:name="_Toc416610028"/>
      <w:bookmarkStart w:id="29" w:name="_Toc434218353"/>
      <w:r>
        <w:rPr>
          <w:noProof/>
        </w:rPr>
        <w:t>Prioritatea strategică 2: punerea în aplicare a prevenirii și a conștientizării riscurilor bazate pe dovezi</w:t>
      </w:r>
      <w:bookmarkEnd w:id="26"/>
      <w:bookmarkEnd w:id="27"/>
      <w:bookmarkEnd w:id="28"/>
      <w:bookmarkEnd w:id="29"/>
    </w:p>
    <w:p w14:paraId="16218189" w14:textId="7645B99A" w:rsidR="00D02599" w:rsidRPr="0075035A" w:rsidRDefault="001B21DC" w:rsidP="006F71CF">
      <w:pPr>
        <w:pageBreakBefore/>
        <w:pBdr>
          <w:top w:val="single" w:sz="4" w:space="1" w:color="auto"/>
          <w:left w:val="single" w:sz="4" w:space="4" w:color="auto"/>
          <w:bottom w:val="single" w:sz="4" w:space="1" w:color="auto"/>
          <w:right w:val="single" w:sz="4" w:space="4" w:color="auto"/>
        </w:pBdr>
        <w:jc w:val="both"/>
        <w:rPr>
          <w:rFonts w:cs="Times New Roman"/>
          <w:i/>
          <w:iCs/>
          <w:noProof/>
          <w:szCs w:val="24"/>
        </w:rPr>
      </w:pPr>
      <w:r>
        <w:rPr>
          <w:i/>
          <w:noProof/>
        </w:rPr>
        <w:t>UE ar trebui să se implice activ în prevenirea și reducerea consumului de droguri prin punerea în aplicare și extinderea unor activități solide de prevenire și de conștientizare în toate statele membre, intensificând în același timp intervențiile eficace și bazate pe dovezi în domeniul sănătății.</w:t>
      </w:r>
    </w:p>
    <w:p w14:paraId="020D9B32" w14:textId="3423B99A" w:rsidR="002B4C07" w:rsidRPr="0075035A" w:rsidRDefault="008A635F" w:rsidP="674E0B1F">
      <w:pPr>
        <w:pStyle w:val="ContNum"/>
        <w:numPr>
          <w:ilvl w:val="1"/>
          <w:numId w:val="89"/>
        </w:numPr>
        <w:spacing w:after="120"/>
        <w:rPr>
          <w:b/>
          <w:bCs/>
          <w:i/>
          <w:iCs/>
          <w:noProof/>
          <w:szCs w:val="24"/>
        </w:rPr>
      </w:pPr>
      <w:bookmarkStart w:id="30" w:name="_Hlk212204160"/>
      <w:r>
        <w:rPr>
          <w:b/>
          <w:i/>
          <w:noProof/>
          <w:color w:val="000000" w:themeColor="text1"/>
        </w:rPr>
        <w:t xml:space="preserve"> Consolidarea activităților eficace de prevenire</w:t>
      </w:r>
      <w:r>
        <w:rPr>
          <w:b/>
          <w:i/>
          <w:noProof/>
        </w:rPr>
        <w:t xml:space="preserve"> </w:t>
      </w:r>
    </w:p>
    <w:bookmarkEnd w:id="30"/>
    <w:p w14:paraId="571C67C6" w14:textId="3A73981A" w:rsidR="00B54B27" w:rsidRPr="0075035A" w:rsidRDefault="3F397F53" w:rsidP="00B54B27">
      <w:pPr>
        <w:pStyle w:val="ContNum"/>
        <w:rPr>
          <w:noProof/>
          <w:color w:val="000000" w:themeColor="text1"/>
          <w:szCs w:val="24"/>
        </w:rPr>
      </w:pPr>
      <w:r>
        <w:rPr>
          <w:noProof/>
          <w:color w:val="000000" w:themeColor="text1"/>
        </w:rPr>
        <w:t>Prevenirea bazată pe dovezi ar trebui să se afle în centrul abordării UE în materie de sănătate publică pentru a reduce riscurile dependenței de droguri și efectele negative legate de droguri. Prin urmare, statele membre ar trebui</w:t>
      </w:r>
      <w:r>
        <w:rPr>
          <w:b/>
          <w:noProof/>
          <w:color w:val="000000" w:themeColor="text1"/>
        </w:rPr>
        <w:t xml:space="preserve"> să intensifice activitățile de prevenire universale</w:t>
      </w:r>
      <w:r>
        <w:rPr>
          <w:noProof/>
          <w:color w:val="000000" w:themeColor="text1"/>
        </w:rPr>
        <w:t xml:space="preserve">. Programele de prevenire timpurie ar trebui să consolideze reziliența, să îmbunătățească educația pentru sănătate și să promoveze deprinderi de viață și stiluri de viață sănătoase. Ar trebui puse în aplicare activități de </w:t>
      </w:r>
      <w:r>
        <w:rPr>
          <w:b/>
          <w:noProof/>
          <w:color w:val="000000" w:themeColor="text1"/>
        </w:rPr>
        <w:t>prevenire în domeniul mediului</w:t>
      </w:r>
      <w:r>
        <w:rPr>
          <w:noProof/>
          <w:color w:val="000000" w:themeColor="text1"/>
        </w:rPr>
        <w:t xml:space="preserve"> pentru a reduce expunerea persoanelor la consumul de substanțe și dependența de acestea</w:t>
      </w:r>
      <w:r>
        <w:rPr>
          <w:rStyle w:val="FootnoteReference0"/>
          <w:noProof/>
          <w:color w:val="000000" w:themeColor="text1"/>
          <w:szCs w:val="24"/>
        </w:rPr>
        <w:footnoteReference w:id="29"/>
      </w:r>
      <w:r>
        <w:rPr>
          <w:noProof/>
          <w:color w:val="000000" w:themeColor="text1"/>
        </w:rPr>
        <w:t>. Pentru a consolida în mod semnificativ reziliența cetățenilor, activitățile de prevenire a consumului de droguri trebuie să fie integrate în intervenții care abordează alți factori esențiali pentru sănătate, cum ar fi consumul de tutun și consumul nociv de alcool, împreună cu inițiative cuprinzătoare de promovare a sănătății.</w:t>
      </w:r>
    </w:p>
    <w:p w14:paraId="6A18A47F" w14:textId="3A24BEE2" w:rsidR="17930385" w:rsidRPr="0075035A" w:rsidRDefault="35DF38B6" w:rsidP="00B40C65">
      <w:pPr>
        <w:pStyle w:val="ContNum"/>
        <w:rPr>
          <w:noProof/>
        </w:rPr>
      </w:pPr>
      <w:r>
        <w:rPr>
          <w:noProof/>
        </w:rPr>
        <w:t>Comisia își va intensifica activitatea privind sănătatea preventivă prin inițiative privind bolile cardiovasculare și sănătatea mintală în temeiul cadrului UE privind bolile netransmisibile „Mai sănătoși împreună”</w:t>
      </w:r>
      <w:r>
        <w:rPr>
          <w:rStyle w:val="FootnoteReference0"/>
          <w:noProof/>
          <w:color w:val="000000" w:themeColor="text1"/>
        </w:rPr>
        <w:footnoteReference w:id="30"/>
      </w:r>
      <w:r>
        <w:rPr>
          <w:noProof/>
        </w:rPr>
        <w:t>. Această abordare contribuie la reducerea consumului de droguri și la consolidarea rezilienței sănătății mintale împotriva tulburărilor legate de consumul de substanțe. Comisia sprijină statele membre cu o abordare cuprinzătoare a sănătății mintale printr-o comunicare specifică</w:t>
      </w:r>
      <w:r>
        <w:rPr>
          <w:rStyle w:val="FootnoteReference0"/>
          <w:noProof/>
          <w:color w:val="000000" w:themeColor="text1"/>
        </w:rPr>
        <w:footnoteReference w:id="31"/>
      </w:r>
      <w:r>
        <w:rPr>
          <w:noProof/>
        </w:rPr>
        <w:t>, axată pe grupurile vulnerabile și pe inegalitățile în materie de sănătate. Printre inițiativele-cheie se numără consolidarea capacităților statelor membre în colaborare cu Organizația Mondială a Sănătății (OMS)</w:t>
      </w:r>
      <w:r>
        <w:rPr>
          <w:rStyle w:val="FootnoteReference0"/>
          <w:noProof/>
          <w:color w:val="000000" w:themeColor="text1"/>
        </w:rPr>
        <w:footnoteReference w:id="32"/>
      </w:r>
      <w:r>
        <w:rPr>
          <w:noProof/>
        </w:rPr>
        <w:t xml:space="preserve"> și instituirea EU-PROMENS</w:t>
      </w:r>
      <w:r>
        <w:rPr>
          <w:rStyle w:val="FootnoteReference0"/>
          <w:noProof/>
          <w:color w:val="000000" w:themeColor="text1"/>
        </w:rPr>
        <w:footnoteReference w:id="33"/>
      </w:r>
      <w:r>
        <w:rPr>
          <w:noProof/>
        </w:rPr>
        <w:t>, un program de formare și de schimb privind sănătatea mintală</w:t>
      </w:r>
      <w:bookmarkStart w:id="31" w:name="_Hlk214030799"/>
      <w:r>
        <w:rPr>
          <w:noProof/>
        </w:rPr>
        <w:t>, cu accent pe sprijinirea grupurilor vulnerabile</w:t>
      </w:r>
      <w:bookmarkEnd w:id="31"/>
      <w:r>
        <w:rPr>
          <w:noProof/>
        </w:rPr>
        <w:t>.</w:t>
      </w:r>
    </w:p>
    <w:p w14:paraId="764024F2" w14:textId="67DA1494" w:rsidR="00277C42" w:rsidRPr="0075035A" w:rsidRDefault="26661940" w:rsidP="674E0B1F">
      <w:pPr>
        <w:spacing w:after="120" w:line="240" w:lineRule="auto"/>
        <w:jc w:val="both"/>
        <w:rPr>
          <w:rFonts w:cs="Times New Roman"/>
          <w:noProof/>
          <w:color w:val="000000" w:themeColor="text1"/>
          <w:szCs w:val="24"/>
        </w:rPr>
      </w:pPr>
      <w:r>
        <w:rPr>
          <w:noProof/>
        </w:rPr>
        <w:t xml:space="preserve">În același timp, trebuie </w:t>
      </w:r>
      <w:r>
        <w:rPr>
          <w:noProof/>
          <w:color w:val="000000" w:themeColor="text1"/>
        </w:rPr>
        <w:t>să îmbunătățim percepția cetățenilor cu privire la riscurile pentru sănătate și securitate legate de consumul de droguri și de producția și traficul de droguri</w:t>
      </w:r>
      <w:r>
        <w:rPr>
          <w:noProof/>
        </w:rPr>
        <w:t>.</w:t>
      </w:r>
      <w:r>
        <w:rPr>
          <w:noProof/>
          <w:color w:val="000000" w:themeColor="text1"/>
        </w:rPr>
        <w:t xml:space="preserve"> </w:t>
      </w:r>
      <w:r>
        <w:rPr>
          <w:noProof/>
        </w:rPr>
        <w:t>Un motiv serios de îngrijorare este utilizarea tot mai frecventă a substanțelor stimulante precum cocaina, care nu numai că prezintă provocări semnificative pentru sănătatea publică, inclusiv riscuri pe termen lung pentru sănătate</w:t>
      </w:r>
      <w:r>
        <w:rPr>
          <w:rStyle w:val="FootnoteReference0"/>
          <w:rFonts w:eastAsia="Times New Roman" w:cs="Times New Roman"/>
          <w:noProof/>
          <w:szCs w:val="24"/>
          <w:lang w:eastAsia="en-GB"/>
        </w:rPr>
        <w:footnoteReference w:id="34"/>
      </w:r>
      <w:r>
        <w:rPr>
          <w:noProof/>
        </w:rPr>
        <w:t>, ci generează și preocupări în materie de securitate legate de violența și criminalitatea asociate pieței cocainei</w:t>
      </w:r>
      <w:r>
        <w:rPr>
          <w:rStyle w:val="FootnoteReference0"/>
          <w:rFonts w:eastAsia="Times New Roman" w:cs="Times New Roman"/>
          <w:noProof/>
          <w:szCs w:val="24"/>
          <w:lang w:eastAsia="en-GB"/>
        </w:rPr>
        <w:footnoteReference w:id="35"/>
      </w:r>
      <w:r>
        <w:rPr>
          <w:noProof/>
        </w:rPr>
        <w:t>. Prin urmare, UE ar trebui să promoveze comunicările privind conștientizarea bazată pe dovezi.</w:t>
      </w:r>
      <w:r>
        <w:rPr>
          <w:noProof/>
          <w:color w:val="000000" w:themeColor="text1"/>
        </w:rPr>
        <w:t xml:space="preserve"> Pentru a aborda aceste aspecte într-un mod mai eficace, EUDA va ajuta statele membre </w:t>
      </w:r>
      <w:r>
        <w:rPr>
          <w:b/>
          <w:noProof/>
          <w:color w:val="000000" w:themeColor="text1"/>
        </w:rPr>
        <w:t>să dezvolte activități eficace de conștientizare</w:t>
      </w:r>
      <w:r>
        <w:rPr>
          <w:noProof/>
          <w:color w:val="000000" w:themeColor="text1"/>
        </w:rPr>
        <w:t xml:space="preserve"> care să vizeze domenii prioritare, inclusiv </w:t>
      </w:r>
      <w:r>
        <w:rPr>
          <w:noProof/>
        </w:rPr>
        <w:t>consumul de cocaină și noile droguri sintetice potente.</w:t>
      </w:r>
      <w:r>
        <w:rPr>
          <w:noProof/>
          <w:color w:val="000000" w:themeColor="text1"/>
        </w:rPr>
        <w:t xml:space="preserve"> </w:t>
      </w:r>
    </w:p>
    <w:p w14:paraId="1E648C2F" w14:textId="579A6D74" w:rsidR="00277C42" w:rsidRPr="0075035A" w:rsidRDefault="006C4929" w:rsidP="00B40C65">
      <w:pPr>
        <w:spacing w:after="120" w:line="240" w:lineRule="auto"/>
        <w:jc w:val="both"/>
        <w:rPr>
          <w:rFonts w:cs="Times New Roman"/>
          <w:noProof/>
          <w:color w:val="000000" w:themeColor="text1"/>
        </w:rPr>
      </w:pPr>
      <w:r>
        <w:rPr>
          <w:noProof/>
          <w:color w:val="000000" w:themeColor="text1"/>
        </w:rPr>
        <w:t xml:space="preserve">În plus, statele membre ar trebui să se concentreze pe crearea și promovarea unor </w:t>
      </w:r>
      <w:r>
        <w:rPr>
          <w:b/>
          <w:noProof/>
          <w:color w:val="000000" w:themeColor="text1"/>
        </w:rPr>
        <w:t>măsuri de prevenire specifice</w:t>
      </w:r>
      <w:r>
        <w:rPr>
          <w:noProof/>
          <w:color w:val="000000" w:themeColor="text1"/>
        </w:rPr>
        <w:t xml:space="preserve">, concepute special pentru grupurile deosebit de vulnerabile la expunerea la droguri ilicite. Printre acestea </w:t>
      </w:r>
      <w:r>
        <w:rPr>
          <w:noProof/>
        </w:rPr>
        <w:t xml:space="preserve">se numără tinerii expuși riscului de a experimenta consumul de droguri sau care au experimentat deja consumul de droguri și persoanele cu tulburări psihice acute și cronice. </w:t>
      </w:r>
      <w:r>
        <w:rPr>
          <w:noProof/>
          <w:color w:val="000000" w:themeColor="text1"/>
        </w:rPr>
        <w:t>Activitățile de prevenire specifice ar trebui să se bazeze pe știință și să fie adaptate la contexte socioeconomice și culturale specifice și</w:t>
      </w:r>
      <w:r>
        <w:rPr>
          <w:noProof/>
        </w:rPr>
        <w:t xml:space="preserve"> să fie puse în aplicare într-o varietate de </w:t>
      </w:r>
      <w:r>
        <w:rPr>
          <w:noProof/>
          <w:color w:val="000000" w:themeColor="text1"/>
        </w:rPr>
        <w:t>contexte, cum ar fi școlile, sportul, viața de noapte, internetul și platformele de comunicare socială, precum și închisorile</w:t>
      </w:r>
      <w:r>
        <w:rPr>
          <w:noProof/>
        </w:rPr>
        <w:t>.</w:t>
      </w:r>
    </w:p>
    <w:p w14:paraId="6D916E3A" w14:textId="4E2B9286" w:rsidR="00B5011D" w:rsidRPr="0075035A" w:rsidRDefault="00B5011D" w:rsidP="008E288C">
      <w:pPr>
        <w:pStyle w:val="Heading4"/>
        <w:numPr>
          <w:ilvl w:val="1"/>
          <w:numId w:val="89"/>
        </w:numPr>
        <w:rPr>
          <w:noProof/>
          <w:color w:val="000000" w:themeColor="text1"/>
          <w:szCs w:val="24"/>
        </w:rPr>
      </w:pPr>
      <w:r>
        <w:rPr>
          <w:noProof/>
        </w:rPr>
        <w:t xml:space="preserve"> </w:t>
      </w:r>
      <w:bookmarkStart w:id="32" w:name="_Toc212204027"/>
      <w:r>
        <w:rPr>
          <w:noProof/>
        </w:rPr>
        <w:t>Diseminarea dovezilor pentru activități de prevenire eficace</w:t>
      </w:r>
      <w:bookmarkEnd w:id="32"/>
    </w:p>
    <w:p w14:paraId="064AD4B2" w14:textId="5B4828A9" w:rsidR="00186B46" w:rsidRPr="0075035A" w:rsidRDefault="2BAC41BF" w:rsidP="00A479C9">
      <w:pPr>
        <w:pStyle w:val="ContNum"/>
        <w:spacing w:after="120"/>
        <w:rPr>
          <w:noProof/>
          <w:szCs w:val="24"/>
        </w:rPr>
      </w:pPr>
      <w:r>
        <w:rPr>
          <w:noProof/>
          <w:color w:val="000000" w:themeColor="text1"/>
        </w:rPr>
        <w:t xml:space="preserve">UE ar trebui să promoveze punerea în aplicare a unor </w:t>
      </w:r>
      <w:r>
        <w:rPr>
          <w:b/>
          <w:noProof/>
          <w:color w:val="000000" w:themeColor="text1"/>
        </w:rPr>
        <w:t>programe de conștientizare și prevenire bazate pe dovezi</w:t>
      </w:r>
      <w:r>
        <w:rPr>
          <w:noProof/>
          <w:color w:val="000000" w:themeColor="text1"/>
        </w:rPr>
        <w:t xml:space="preserve">, </w:t>
      </w:r>
      <w:r>
        <w:rPr>
          <w:noProof/>
        </w:rPr>
        <w:t>monitorizarea noilor intervenții, revizuirea eficacității acestora și diseminarea celor mai bune practici.</w:t>
      </w:r>
    </w:p>
    <w:p w14:paraId="5E74A135" w14:textId="6D289A8C" w:rsidR="009C0A53" w:rsidRPr="0075035A" w:rsidRDefault="000368D5" w:rsidP="00A2296C">
      <w:pPr>
        <w:spacing w:after="120" w:line="240" w:lineRule="auto"/>
        <w:jc w:val="both"/>
        <w:rPr>
          <w:rFonts w:cs="Times New Roman"/>
          <w:noProof/>
          <w:color w:val="000000" w:themeColor="text1"/>
          <w:szCs w:val="24"/>
        </w:rPr>
      </w:pPr>
      <w:r>
        <w:rPr>
          <w:noProof/>
          <w:color w:val="000000" w:themeColor="text1"/>
        </w:rPr>
        <w:t xml:space="preserve">Punerea în aplicare a </w:t>
      </w:r>
      <w:r>
        <w:rPr>
          <w:b/>
          <w:noProof/>
          <w:color w:val="000000" w:themeColor="text1"/>
        </w:rPr>
        <w:t>standardelor de calitate</w:t>
      </w:r>
      <w:r>
        <w:rPr>
          <w:noProof/>
          <w:color w:val="000000" w:themeColor="text1"/>
        </w:rPr>
        <w:t xml:space="preserve"> existente în materie de prevenire ar trebui consolidată în toate statele membre.</w:t>
      </w:r>
      <w:r>
        <w:rPr>
          <w:b/>
          <w:noProof/>
          <w:color w:val="000000" w:themeColor="text1"/>
        </w:rPr>
        <w:t xml:space="preserve"> </w:t>
      </w:r>
      <w:r>
        <w:rPr>
          <w:noProof/>
          <w:color w:val="000000" w:themeColor="text1"/>
        </w:rPr>
        <w:t xml:space="preserve">Standardele minime de calitate referitoare la reducerea cererii, standardele europene de calitate în materie de prevenire a consumului de droguri, Biroul Națiunilor Unite pentru Droguri și Criminalitate (UNODC)/standardele internaționale ale OMS privind prevenirea consumului de droguri și programa europeană de prevenire oferă orientări practice pentru o prevenire eficace. </w:t>
      </w:r>
      <w:bookmarkStart w:id="33" w:name="_Hlk211003335"/>
      <w:r>
        <w:rPr>
          <w:noProof/>
          <w:color w:val="000000" w:themeColor="text1"/>
        </w:rPr>
        <w:t>Ar trebui consolidate eforturile naționale de îmbunătățire a calității activităților de prevenire, tratament și îngrijire prin dezvoltarea unor module de formare pentru practicieni, profesioniștii din domeniul sănătății, asistenții sociali, autoritățile de aplicare a legii și factorii de decizie.</w:t>
      </w:r>
      <w:bookmarkEnd w:id="33"/>
    </w:p>
    <w:p w14:paraId="6AF197CC" w14:textId="4FCE965F" w:rsidR="00632E9E" w:rsidRPr="0075035A" w:rsidRDefault="2274C942" w:rsidP="00541FED">
      <w:pPr>
        <w:pStyle w:val="Heading3"/>
        <w:ind w:left="0"/>
        <w:rPr>
          <w:noProof/>
        </w:rPr>
      </w:pPr>
      <w:bookmarkStart w:id="34" w:name="_Toc212204028"/>
      <w:bookmarkStart w:id="35" w:name="_Toc1947191917"/>
      <w:bookmarkStart w:id="36" w:name="_Toc1237853495"/>
      <w:bookmarkStart w:id="37" w:name="_Toc209853380"/>
      <w:r>
        <w:rPr>
          <w:noProof/>
        </w:rPr>
        <w:t>Prioritatea strategică 3: îmbunătățirea tratamentului, a recuperării și a reintegrării</w:t>
      </w:r>
      <w:bookmarkEnd w:id="34"/>
      <w:bookmarkEnd w:id="35"/>
      <w:bookmarkEnd w:id="36"/>
      <w:bookmarkEnd w:id="37"/>
    </w:p>
    <w:p w14:paraId="0EA2491D" w14:textId="3E62B14B" w:rsidR="00E95E3F" w:rsidRPr="0075035A" w:rsidRDefault="002A25C9" w:rsidP="2326B0DA">
      <w:pPr>
        <w:pBdr>
          <w:top w:val="single" w:sz="4" w:space="4" w:color="auto"/>
          <w:left w:val="single" w:sz="4" w:space="4" w:color="auto"/>
          <w:bottom w:val="single" w:sz="4" w:space="4" w:color="auto"/>
          <w:right w:val="single" w:sz="4" w:space="4" w:color="auto"/>
        </w:pBdr>
        <w:jc w:val="both"/>
        <w:rPr>
          <w:rFonts w:cs="Times New Roman"/>
          <w:i/>
          <w:iCs/>
          <w:noProof/>
        </w:rPr>
      </w:pPr>
      <w:r>
        <w:rPr>
          <w:i/>
          <w:noProof/>
        </w:rPr>
        <w:t>Statele membre ar trebui să se asigure că consumatorii de droguri au acces la asistență medicală și socială prin furnizarea unui tratament la prețuri accesibile, aliniat la activitățile de reintegrare și incluziune socială.</w:t>
      </w:r>
    </w:p>
    <w:p w14:paraId="7D29EEB5" w14:textId="7C26DE63" w:rsidR="00D6376E" w:rsidRPr="0075035A" w:rsidRDefault="00D6376E" w:rsidP="008E288C">
      <w:pPr>
        <w:pStyle w:val="Heading4"/>
        <w:numPr>
          <w:ilvl w:val="1"/>
          <w:numId w:val="92"/>
        </w:numPr>
        <w:rPr>
          <w:noProof/>
          <w:szCs w:val="24"/>
        </w:rPr>
      </w:pPr>
      <w:r>
        <w:rPr>
          <w:noProof/>
        </w:rPr>
        <w:t xml:space="preserve"> </w:t>
      </w:r>
      <w:bookmarkStart w:id="38" w:name="_Toc212204029"/>
      <w:r>
        <w:rPr>
          <w:noProof/>
        </w:rPr>
        <w:t>Facilitarea accesului la opțiuni de tratament voluntare, integrate și adaptate</w:t>
      </w:r>
      <w:bookmarkEnd w:id="38"/>
    </w:p>
    <w:p w14:paraId="307B23AE" w14:textId="3688B638" w:rsidR="0013770D" w:rsidRPr="0075035A" w:rsidRDefault="28FCEC72" w:rsidP="0013770D">
      <w:pPr>
        <w:pStyle w:val="ContNum"/>
        <w:spacing w:after="120"/>
        <w:rPr>
          <w:noProof/>
          <w:color w:val="000000" w:themeColor="text1"/>
          <w:szCs w:val="24"/>
        </w:rPr>
      </w:pPr>
      <w:r>
        <w:rPr>
          <w:noProof/>
          <w:color w:val="000000" w:themeColor="text1"/>
        </w:rPr>
        <w:t xml:space="preserve">Consumatorii de droguri ar trebui să aibă </w:t>
      </w:r>
      <w:r>
        <w:rPr>
          <w:b/>
          <w:noProof/>
          <w:color w:val="000000" w:themeColor="text1"/>
        </w:rPr>
        <w:t>acces ușor și în timp util la un tratament la prețuri accesibile, de calitate și adaptat</w:t>
      </w:r>
      <w:r>
        <w:rPr>
          <w:noProof/>
          <w:color w:val="000000" w:themeColor="text1"/>
        </w:rPr>
        <w:t>,</w:t>
      </w:r>
      <w:r>
        <w:rPr>
          <w:b/>
          <w:noProof/>
          <w:color w:val="000000" w:themeColor="text1"/>
        </w:rPr>
        <w:t xml:space="preserve"> </w:t>
      </w:r>
      <w:r>
        <w:rPr>
          <w:noProof/>
          <w:color w:val="000000" w:themeColor="text1"/>
        </w:rPr>
        <w:t>în conformitate cu dreptul la îngrijire prevăzut în Pilonul european al drepturilor sociale</w:t>
      </w:r>
      <w:r>
        <w:rPr>
          <w:rStyle w:val="FootnoteReference0"/>
          <w:noProof/>
          <w:color w:val="000000" w:themeColor="text1"/>
        </w:rPr>
        <w:footnoteReference w:id="36"/>
      </w:r>
      <w:r>
        <w:rPr>
          <w:noProof/>
          <w:color w:val="000000" w:themeColor="text1"/>
        </w:rPr>
        <w:t>. Având în vedere varietatea de droguri ilicite aflate în circulație, disponibilitatea și utilizarea insuficiente ale tratamentului au un impact negativ asupra sănătății.</w:t>
      </w:r>
    </w:p>
    <w:p w14:paraId="5E749280" w14:textId="14406EAD" w:rsidR="00F51DA1" w:rsidRPr="0075035A" w:rsidRDefault="00DA67B6" w:rsidP="00E9188E">
      <w:pPr>
        <w:pStyle w:val="ContNum"/>
        <w:spacing w:after="120"/>
        <w:rPr>
          <w:noProof/>
          <w:color w:val="000000" w:themeColor="text1"/>
        </w:rPr>
      </w:pPr>
      <w:r>
        <w:rPr>
          <w:noProof/>
          <w:color w:val="000000" w:themeColor="text1"/>
        </w:rPr>
        <w:t>Prin urmare, sistemele naționale și regionale de sănătate ar trebui să depună eforturi pentru a-și îmbunătăți capacitatea de a oferi servicii eficace de tratament și de recuperare centrate pe oameni pentru tulburările legate de consumul de droguri în întreaga Europă, inclusiv în regiunile mai puțin dezvoltate, în zonele rurale și îndepărtate și în regiunile ultraperiferice ale UE.</w:t>
      </w:r>
      <w:r>
        <w:rPr>
          <w:noProof/>
        </w:rPr>
        <w:t xml:space="preserve"> </w:t>
      </w:r>
      <w:r>
        <w:rPr>
          <w:noProof/>
        </w:rPr>
        <w:br/>
      </w:r>
      <w:r>
        <w:rPr>
          <w:noProof/>
          <w:color w:val="000000" w:themeColor="text1"/>
        </w:rPr>
        <w:t>Recunoscând că nevoile persoanelor variază, statele membre sunt încurajate să</w:t>
      </w:r>
      <w:r>
        <w:rPr>
          <w:b/>
          <w:noProof/>
          <w:color w:val="000000" w:themeColor="text1"/>
        </w:rPr>
        <w:t xml:space="preserve"> </w:t>
      </w:r>
      <w:r>
        <w:rPr>
          <w:noProof/>
          <w:color w:val="000000" w:themeColor="text1"/>
        </w:rPr>
        <w:t xml:space="preserve">ofere o </w:t>
      </w:r>
      <w:r>
        <w:rPr>
          <w:b/>
          <w:noProof/>
          <w:color w:val="000000" w:themeColor="text1"/>
        </w:rPr>
        <w:t>gamă largă de opțiuni de tratament bazate pe dovezi</w:t>
      </w:r>
      <w:r>
        <w:rPr>
          <w:noProof/>
          <w:color w:val="000000" w:themeColor="text1"/>
        </w:rPr>
        <w:t>, în cadrul unui sistem continuu de îngrijire. Aceasta include servicii integrate pentru persoanele care se confruntă cu policonsumul de substanțe și cele cu probleme concomitente de sănătate mintală și legate de droguri</w:t>
      </w:r>
      <w:r>
        <w:rPr>
          <w:rStyle w:val="FootnoteReference0"/>
          <w:noProof/>
          <w:color w:val="000000" w:themeColor="text1"/>
        </w:rPr>
        <w:footnoteReference w:id="37"/>
      </w:r>
      <w:r>
        <w:rPr>
          <w:noProof/>
          <w:color w:val="000000" w:themeColor="text1"/>
        </w:rPr>
        <w:t>. Sunt necesare opțiuni suplimentare de tratament pentru a aborda utilizarea substanțelor stimulante, cum ar fi cocaina. Serviciile integrate de tratament pentru consumul de droguri ar trebui să combine serviciile de sănătate, serviciile sociale și, după caz, serviciile de aplicare a legii, pentru a reflecta interconectarea dintre sănătate, bunăstarea socială și siguranță.</w:t>
      </w:r>
    </w:p>
    <w:p w14:paraId="1ED4967A" w14:textId="5654B670" w:rsidR="000D068C" w:rsidRPr="0075035A" w:rsidRDefault="3C296F4E" w:rsidP="2326B0DA">
      <w:pPr>
        <w:pStyle w:val="ContNum"/>
        <w:spacing w:after="120"/>
        <w:rPr>
          <w:noProof/>
          <w:color w:val="000000" w:themeColor="text1"/>
        </w:rPr>
      </w:pPr>
      <w:r>
        <w:rPr>
          <w:noProof/>
          <w:color w:val="000000" w:themeColor="text1"/>
        </w:rPr>
        <w:t>În plus, statele membre ar trebui să intensifice prevenirea, tratamentul și îngrijirea legate de droguri în închisori pentru a aborda prevalența mai mare a consumului de droguri în mediul penitenciar în comparație cu populația generală. Tratamentul, reabilitarea și recuperarea trebuie să continue, atât în timpul încarcerării, cât și la eliberare.</w:t>
      </w:r>
    </w:p>
    <w:p w14:paraId="06D4D86D" w14:textId="5BD168C9" w:rsidR="00205B71" w:rsidRPr="0075035A" w:rsidRDefault="3C9DED74" w:rsidP="009678FC">
      <w:pPr>
        <w:pStyle w:val="ContNum"/>
        <w:rPr>
          <w:noProof/>
          <w:color w:val="000000" w:themeColor="text1"/>
        </w:rPr>
      </w:pPr>
      <w:r>
        <w:rPr>
          <w:noProof/>
          <w:color w:val="000000" w:themeColor="text1"/>
        </w:rPr>
        <w:t xml:space="preserve">Accesul la tratament în Europa ar trebui să fie </w:t>
      </w:r>
      <w:r>
        <w:rPr>
          <w:b/>
          <w:noProof/>
          <w:color w:val="000000" w:themeColor="text1"/>
        </w:rPr>
        <w:t>voluntar</w:t>
      </w:r>
      <w:r>
        <w:rPr>
          <w:noProof/>
          <w:color w:val="000000" w:themeColor="text1"/>
        </w:rPr>
        <w:t xml:space="preserve"> și de înaltă calitate. Statele membre ar trebui </w:t>
      </w:r>
      <w:r>
        <w:rPr>
          <w:b/>
          <w:noProof/>
          <w:color w:val="000000" w:themeColor="text1"/>
        </w:rPr>
        <w:t>să îmbunătățească tratamentul furnizat în ceea ce privește calitatea acestuia</w:t>
      </w:r>
      <w:r>
        <w:rPr>
          <w:noProof/>
          <w:color w:val="000000" w:themeColor="text1"/>
        </w:rPr>
        <w:t xml:space="preserve"> pentru a corespunde celor mai recente dovezi științifice și nevoilor în continuă evoluție ale societății. Prin urmare, statele membre sunt încurajate să actualizeze și</w:t>
      </w:r>
      <w:r>
        <w:rPr>
          <w:b/>
          <w:noProof/>
          <w:color w:val="000000" w:themeColor="text1"/>
        </w:rPr>
        <w:t xml:space="preserve"> </w:t>
      </w:r>
      <w:r>
        <w:rPr>
          <w:noProof/>
          <w:color w:val="000000" w:themeColor="text1"/>
        </w:rPr>
        <w:t>să pună în aplicare standardele minime de calitate referitoare la reducerea cererii de droguri adoptate de Consiliu în 2015</w:t>
      </w:r>
      <w:r>
        <w:rPr>
          <w:rStyle w:val="FootnoteReference0"/>
          <w:noProof/>
          <w:color w:val="000000" w:themeColor="text1"/>
        </w:rPr>
        <w:footnoteReference w:id="38"/>
      </w:r>
      <w:r>
        <w:rPr>
          <w:noProof/>
          <w:color w:val="000000" w:themeColor="text1"/>
        </w:rPr>
        <w:t xml:space="preserve"> și să colaboreze cu organizațiile societății civile și cu grupurile colegiale. EUDA va sprijini aceste eforturi, evaluând calitatea intervențiilor la nivel național, regional și local (calitatea UE) și elaborând </w:t>
      </w:r>
      <w:r>
        <w:rPr>
          <w:b/>
          <w:noProof/>
          <w:color w:val="000000" w:themeColor="text1"/>
        </w:rPr>
        <w:t>orientări cuprinzătoare la nivelul UE privind standardele de calitate</w:t>
      </w:r>
      <w:r>
        <w:rPr>
          <w:noProof/>
          <w:color w:val="000000" w:themeColor="text1"/>
        </w:rPr>
        <w:t>.</w:t>
      </w:r>
    </w:p>
    <w:p w14:paraId="57E40EA9" w14:textId="722E1A66" w:rsidR="00D6376E" w:rsidRPr="0075035A" w:rsidRDefault="00DB367B" w:rsidP="008E288C">
      <w:pPr>
        <w:pStyle w:val="Heading4"/>
        <w:numPr>
          <w:ilvl w:val="1"/>
          <w:numId w:val="92"/>
        </w:numPr>
        <w:rPr>
          <w:noProof/>
          <w:szCs w:val="24"/>
        </w:rPr>
      </w:pPr>
      <w:r>
        <w:rPr>
          <w:noProof/>
        </w:rPr>
        <w:t xml:space="preserve"> </w:t>
      </w:r>
      <w:bookmarkStart w:id="39" w:name="_Toc212204030"/>
      <w:r>
        <w:rPr>
          <w:noProof/>
        </w:rPr>
        <w:t>Promovarea reintegrării și a incluziunii sociale</w:t>
      </w:r>
      <w:bookmarkEnd w:id="39"/>
    </w:p>
    <w:p w14:paraId="7BBFF522" w14:textId="5B81256C" w:rsidR="00910C08" w:rsidRPr="0075035A" w:rsidRDefault="1A485D53" w:rsidP="00910C08">
      <w:pPr>
        <w:spacing w:after="120" w:line="240" w:lineRule="auto"/>
        <w:jc w:val="both"/>
        <w:rPr>
          <w:rFonts w:cs="Times New Roman"/>
          <w:noProof/>
          <w:color w:val="000000" w:themeColor="text1"/>
          <w:szCs w:val="24"/>
        </w:rPr>
      </w:pPr>
      <w:r>
        <w:rPr>
          <w:noProof/>
          <w:color w:val="000000" w:themeColor="text1"/>
        </w:rPr>
        <w:t>Serviciile de tratament pentru consumul de droguri ar trebui să fie completate de activități care să stimuleze recuperarea și reintegrarea socială, promovând o abordare la nivelul întregii societăți. Pentru a preveni situațiile în care se pierd din vedere persoane, este esențial să se încurajeze colaborarea activă dintre serviciile de sănătate, serviciile sociale, serviciile de ocupare a forței de muncă, serviciile pentru tineret și serviciile de reducere a efectelor negative.</w:t>
      </w:r>
    </w:p>
    <w:p w14:paraId="2EFCAE39" w14:textId="4180D404" w:rsidR="004C23B9" w:rsidRPr="0075035A" w:rsidRDefault="004D138D" w:rsidP="00A2296C">
      <w:pPr>
        <w:spacing w:after="120" w:line="240" w:lineRule="auto"/>
        <w:jc w:val="both"/>
        <w:rPr>
          <w:rFonts w:cs="Times New Roman"/>
          <w:noProof/>
          <w:color w:val="000000" w:themeColor="text1"/>
        </w:rPr>
      </w:pPr>
      <w:r>
        <w:rPr>
          <w:noProof/>
          <w:color w:val="000000" w:themeColor="text1"/>
        </w:rPr>
        <w:t xml:space="preserve">Consumul de droguri poate fi atât o consecință, cât și o cauză a excluziunii sociale. Statele membre trebuie să îmbunătățească </w:t>
      </w:r>
      <w:r>
        <w:rPr>
          <w:b/>
          <w:noProof/>
          <w:color w:val="000000" w:themeColor="text1"/>
        </w:rPr>
        <w:t>reintegrarea persoanelor</w:t>
      </w:r>
      <w:r>
        <w:rPr>
          <w:noProof/>
          <w:color w:val="000000" w:themeColor="text1"/>
        </w:rPr>
        <w:t xml:space="preserve"> cu tulburări legate de consumul de droguri în comunitate și pe piața forței de muncă. Acest lucru contribuie la reducerea consumului de droguri și a riscului de recidivă după tratament. Pentru a contribui la aceste eforturi, </w:t>
      </w:r>
      <w:r>
        <w:rPr>
          <w:noProof/>
        </w:rPr>
        <w:t>Comisia va promova integrarea socioeconomică a persoanelor aflate în situații vulnerabile, inclusiv a consumatorilor de droguri, prin intermediul instrumentelor de cheltuieli actuale și viitoare ale UE, cum ar fi Fondul social european Plus (FSE +) și Fondul european de dezvoltare regională (FEDR) sau planurile de parteneriat naționale și regionale propuse pentru perioada de după 2028.</w:t>
      </w:r>
    </w:p>
    <w:p w14:paraId="0E4B6409" w14:textId="11897FF4" w:rsidR="00E67730" w:rsidRPr="0075035A" w:rsidRDefault="00BD4B05" w:rsidP="00A2296C">
      <w:pPr>
        <w:spacing w:after="120" w:line="240" w:lineRule="auto"/>
        <w:jc w:val="both"/>
        <w:rPr>
          <w:rFonts w:cs="Times New Roman"/>
          <w:noProof/>
          <w:color w:val="000000" w:themeColor="text1"/>
          <w:szCs w:val="24"/>
        </w:rPr>
      </w:pPr>
      <w:r>
        <w:rPr>
          <w:noProof/>
          <w:color w:val="000000" w:themeColor="text1"/>
        </w:rPr>
        <w:t xml:space="preserve">Măsurile sociale pot aduce, de asemenea, o schimbare reală </w:t>
      </w:r>
      <w:r>
        <w:rPr>
          <w:noProof/>
        </w:rPr>
        <w:t xml:space="preserve">pentru </w:t>
      </w:r>
      <w:r>
        <w:rPr>
          <w:noProof/>
          <w:color w:val="000000" w:themeColor="text1"/>
        </w:rPr>
        <w:t>consumatorii de droguri, în special pentru persoanele expuse, de asemenea, riscului de sărăcie, de excluziune socială sau de lipsă de adăpost</w:t>
      </w:r>
      <w:r>
        <w:rPr>
          <w:noProof/>
        </w:rPr>
        <w:t xml:space="preserve">. </w:t>
      </w:r>
      <w:r>
        <w:rPr>
          <w:noProof/>
          <w:color w:val="000000" w:themeColor="text1"/>
        </w:rPr>
        <w:t xml:space="preserve">Statele membre sunt încurajate să </w:t>
      </w:r>
      <w:r>
        <w:rPr>
          <w:b/>
          <w:noProof/>
          <w:color w:val="000000" w:themeColor="text1"/>
        </w:rPr>
        <w:t>pună în aplicare măsuri de sprijin social destinate consumatorilor de droguri</w:t>
      </w:r>
      <w:r>
        <w:rPr>
          <w:noProof/>
          <w:color w:val="000000" w:themeColor="text1"/>
        </w:rPr>
        <w:t xml:space="preserve">, inclusiv prin proiecte comunitare și </w:t>
      </w:r>
      <w:r>
        <w:rPr>
          <w:i/>
          <w:iCs/>
          <w:noProof/>
          <w:color w:val="000000" w:themeColor="text1"/>
        </w:rPr>
        <w:t>inter pares</w:t>
      </w:r>
      <w:r>
        <w:rPr>
          <w:noProof/>
          <w:color w:val="000000" w:themeColor="text1"/>
        </w:rPr>
        <w:t xml:space="preserve"> legate de recuperare, locuințe, asistență pentru sănătatea mintală și oportunități de angajare</w:t>
      </w:r>
      <w:bookmarkStart w:id="40" w:name="_Hlk213685773"/>
      <w:bookmarkStart w:id="41" w:name="_Hlk213686081"/>
      <w:r>
        <w:rPr>
          <w:noProof/>
        </w:rPr>
        <w:t>.</w:t>
      </w:r>
      <w:r>
        <w:rPr>
          <w:noProof/>
          <w:color w:val="000000" w:themeColor="text1"/>
        </w:rPr>
        <w:t xml:space="preserve"> Comisia</w:t>
      </w:r>
      <w:r>
        <w:rPr>
          <w:noProof/>
        </w:rPr>
        <w:t xml:space="preserve"> va consolida măsurile pentru abordarea dimensiunilor multiple și a cauzelor structurale ale excluziunii și va consolida accesul la serviciile sociale și de sprijin, inclusiv </w:t>
      </w:r>
      <w:r>
        <w:rPr>
          <w:noProof/>
          <w:color w:val="000000" w:themeColor="text1"/>
        </w:rPr>
        <w:t>în contextul viitoarei strategii a UE pentru combaterea sărăciei</w:t>
      </w:r>
      <w:r>
        <w:rPr>
          <w:noProof/>
        </w:rPr>
        <w:t xml:space="preserve">. </w:t>
      </w:r>
      <w:bookmarkEnd w:id="40"/>
      <w:r>
        <w:rPr>
          <w:noProof/>
        </w:rPr>
        <w:t xml:space="preserve">În plus, ca parte a </w:t>
      </w:r>
      <w:r>
        <w:rPr>
          <w:b/>
          <w:noProof/>
        </w:rPr>
        <w:t>Platformei europene pentru combaterea fenomenului lipsei de adăpost</w:t>
      </w:r>
      <w:r>
        <w:rPr>
          <w:noProof/>
        </w:rPr>
        <w:t>, Comisia va stabili nevoile grupurilor vulnerabile, inclusiv ale consumatorilor de droguri, și va combate lipsa de adăpost în cadrul tuturor politicilor.</w:t>
      </w:r>
      <w:bookmarkEnd w:id="41"/>
    </w:p>
    <w:p w14:paraId="7C5DE084" w14:textId="0F1150CB" w:rsidR="004C23B9" w:rsidRPr="0075035A" w:rsidRDefault="51925948" w:rsidP="00A2296C">
      <w:pPr>
        <w:spacing w:after="120" w:line="240" w:lineRule="auto"/>
        <w:jc w:val="both"/>
        <w:rPr>
          <w:rFonts w:cs="Times New Roman"/>
          <w:noProof/>
          <w:color w:val="000000" w:themeColor="text1"/>
          <w:szCs w:val="24"/>
        </w:rPr>
      </w:pPr>
      <w:r>
        <w:rPr>
          <w:noProof/>
          <w:color w:val="000000" w:themeColor="text1"/>
        </w:rPr>
        <w:t>Integrarea politicilor sociale și de securitate este esențială. Alternativele la arestarea preventivă</w:t>
      </w:r>
      <w:r>
        <w:rPr>
          <w:rStyle w:val="FootnoteReference0"/>
          <w:rFonts w:cs="Times New Roman"/>
          <w:noProof/>
          <w:color w:val="000000" w:themeColor="text1"/>
        </w:rPr>
        <w:footnoteReference w:id="39"/>
      </w:r>
      <w:r>
        <w:rPr>
          <w:noProof/>
          <w:color w:val="000000" w:themeColor="text1"/>
        </w:rPr>
        <w:t xml:space="preserve"> și la sancțiunile coercitive</w:t>
      </w:r>
      <w:r>
        <w:rPr>
          <w:rStyle w:val="FootnoteReference0"/>
          <w:rFonts w:cs="Times New Roman"/>
          <w:noProof/>
          <w:color w:val="000000" w:themeColor="text1"/>
        </w:rPr>
        <w:footnoteReference w:id="40"/>
      </w:r>
      <w:r>
        <w:rPr>
          <w:noProof/>
          <w:color w:val="000000" w:themeColor="text1"/>
        </w:rPr>
        <w:t xml:space="preserve"> pot contribui la reintegrarea socioeconomică a persoanelor care comit infracțiuni legate de droguri, la reducerea recidivei, la reducerea stigmatizării și, eventual, la reducerea costurilor judiciare, îmbunătățind în același timp rezultatele în materie de securitate. Statele membre ar trebui să </w:t>
      </w:r>
      <w:r>
        <w:rPr>
          <w:b/>
          <w:noProof/>
          <w:color w:val="000000" w:themeColor="text1"/>
        </w:rPr>
        <w:t xml:space="preserve">consolideze și să extindă disponibilitatea unor astfel de alternative </w:t>
      </w:r>
      <w:r>
        <w:rPr>
          <w:noProof/>
          <w:color w:val="000000" w:themeColor="text1"/>
        </w:rPr>
        <w:t>pentru</w:t>
      </w:r>
      <w:r>
        <w:rPr>
          <w:b/>
          <w:noProof/>
          <w:color w:val="000000" w:themeColor="text1"/>
        </w:rPr>
        <w:t xml:space="preserve"> </w:t>
      </w:r>
      <w:r>
        <w:rPr>
          <w:noProof/>
          <w:color w:val="000000" w:themeColor="text1"/>
        </w:rPr>
        <w:t>a conecta mai bine sistemul penal, sistemul social și sistemul de sănătate, în special pentru tineri.</w:t>
      </w:r>
    </w:p>
    <w:p w14:paraId="3C4DA15A" w14:textId="26FECFAB" w:rsidR="00205B71" w:rsidRPr="0075035A" w:rsidRDefault="001F63AA" w:rsidP="0096338D">
      <w:pPr>
        <w:spacing w:after="120" w:line="240" w:lineRule="auto"/>
        <w:jc w:val="both"/>
        <w:rPr>
          <w:rFonts w:cs="Times New Roman"/>
          <w:noProof/>
          <w:color w:val="000000" w:themeColor="text1"/>
          <w:szCs w:val="24"/>
        </w:rPr>
      </w:pPr>
      <w:r>
        <w:rPr>
          <w:noProof/>
        </w:rPr>
        <w:t xml:space="preserve">Pentru a disemina dovezile științifice și cele mai bune practici către o gamă mai largă de profesioniști, </w:t>
      </w:r>
      <w:r>
        <w:rPr>
          <w:noProof/>
          <w:color w:val="000000" w:themeColor="text1"/>
        </w:rPr>
        <w:t xml:space="preserve">EUDA va </w:t>
      </w:r>
      <w:r>
        <w:rPr>
          <w:noProof/>
        </w:rPr>
        <w:t xml:space="preserve">lansa o nouă platformă de învățare – PLATO 2.0 – în cadrul căreia vor fi puse la dispoziție </w:t>
      </w:r>
      <w:r>
        <w:rPr>
          <w:noProof/>
          <w:color w:val="000000" w:themeColor="text1"/>
        </w:rPr>
        <w:t>posibilități de învățare online extinse și adaptate privind reintegrarea socială</w:t>
      </w:r>
      <w:r>
        <w:rPr>
          <w:noProof/>
        </w:rPr>
        <w:t>.</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D27202" w:rsidRPr="0075035A" w14:paraId="73573012" w14:textId="77777777" w:rsidTr="3C2CD52E">
        <w:trPr>
          <w:trHeight w:val="2117"/>
        </w:trPr>
        <w:tc>
          <w:tcPr>
            <w:tcW w:w="9576" w:type="dxa"/>
          </w:tcPr>
          <w:p w14:paraId="60C481E4" w14:textId="63899A6E" w:rsidR="00D27202" w:rsidRDefault="00D27202" w:rsidP="00404769">
            <w:pPr>
              <w:jc w:val="both"/>
              <w:rPr>
                <w:rFonts w:cs="Times New Roman"/>
                <w:b/>
                <w:noProof/>
                <w:color w:val="000000" w:themeColor="text1"/>
                <w:szCs w:val="24"/>
              </w:rPr>
            </w:pPr>
            <w:r>
              <w:rPr>
                <w:b/>
                <w:noProof/>
                <w:color w:val="000000" w:themeColor="text1"/>
              </w:rPr>
              <w:t>Priorități esențiale</w:t>
            </w:r>
          </w:p>
          <w:p w14:paraId="4EC8277A" w14:textId="77777777" w:rsidR="00404769" w:rsidRPr="0075035A" w:rsidRDefault="00404769" w:rsidP="00404769">
            <w:pPr>
              <w:jc w:val="both"/>
              <w:rPr>
                <w:rFonts w:cs="Times New Roman"/>
                <w:b/>
                <w:bCs/>
                <w:noProof/>
                <w:color w:val="000000" w:themeColor="text1"/>
                <w:szCs w:val="24"/>
              </w:rPr>
            </w:pPr>
          </w:p>
          <w:p w14:paraId="61551C3D" w14:textId="77777777" w:rsidR="00670DEF" w:rsidRPr="0075035A" w:rsidRDefault="00670DEF" w:rsidP="00404769">
            <w:pPr>
              <w:jc w:val="both"/>
              <w:rPr>
                <w:rFonts w:cs="Times New Roman"/>
                <w:b/>
                <w:noProof/>
                <w:color w:val="000000" w:themeColor="text1"/>
                <w:szCs w:val="24"/>
              </w:rPr>
            </w:pPr>
            <w:r>
              <w:rPr>
                <w:b/>
                <w:noProof/>
                <w:color w:val="000000" w:themeColor="text1"/>
              </w:rPr>
              <w:t>Comisia:</w:t>
            </w:r>
          </w:p>
          <w:p w14:paraId="58EABA0A" w14:textId="77777777" w:rsidR="00670DEF" w:rsidRPr="0075035A" w:rsidRDefault="00670DEF" w:rsidP="00A729ED">
            <w:pPr>
              <w:pStyle w:val="ContNum"/>
              <w:numPr>
                <w:ilvl w:val="0"/>
                <w:numId w:val="102"/>
              </w:numPr>
              <w:spacing w:after="120"/>
              <w:rPr>
                <w:b/>
                <w:noProof/>
                <w:color w:val="000000" w:themeColor="text1"/>
                <w:szCs w:val="24"/>
              </w:rPr>
            </w:pPr>
            <w:r>
              <w:rPr>
                <w:b/>
                <w:noProof/>
                <w:color w:val="000000" w:themeColor="text1"/>
              </w:rPr>
              <w:t>va intensifica eforturile în materie de sănătate preventivă, prin punerea în aplicare a inițiativei UE privind bolile netransmisibile „Mai sănătoși împreună”;</w:t>
            </w:r>
          </w:p>
          <w:p w14:paraId="75BE2D2D" w14:textId="6A97B43F" w:rsidR="00670DEF" w:rsidRPr="0075035A" w:rsidRDefault="00670DEF" w:rsidP="00541FED">
            <w:pPr>
              <w:pStyle w:val="ContNum"/>
              <w:numPr>
                <w:ilvl w:val="0"/>
                <w:numId w:val="102"/>
              </w:numPr>
              <w:spacing w:after="120"/>
              <w:rPr>
                <w:b/>
                <w:noProof/>
                <w:color w:val="000000" w:themeColor="text1"/>
                <w:szCs w:val="24"/>
              </w:rPr>
            </w:pPr>
            <w:r>
              <w:rPr>
                <w:b/>
                <w:noProof/>
                <w:color w:val="000000" w:themeColor="text1"/>
              </w:rPr>
              <w:t>va continua proiectele sale emblematice menționate în</w:t>
            </w:r>
            <w:r>
              <w:rPr>
                <w:noProof/>
              </w:rPr>
              <w:t xml:space="preserve"> </w:t>
            </w:r>
            <w:r>
              <w:rPr>
                <w:b/>
                <w:noProof/>
                <w:color w:val="000000" w:themeColor="text1"/>
              </w:rPr>
              <w:t>Comunicarea privind o abordare cuprinzătoare cu privire la sănătatea mintală</w:t>
            </w:r>
            <w:r>
              <w:rPr>
                <w:noProof/>
              </w:rPr>
              <w:t>.</w:t>
            </w:r>
          </w:p>
          <w:p w14:paraId="6DC6A29A" w14:textId="0F12E386" w:rsidR="00BB431E" w:rsidRPr="0075035A" w:rsidRDefault="00BB431E" w:rsidP="003A5A8B">
            <w:pPr>
              <w:spacing w:after="120"/>
              <w:jc w:val="both"/>
              <w:rPr>
                <w:rFonts w:cs="Times New Roman"/>
                <w:b/>
                <w:bCs/>
                <w:noProof/>
                <w:color w:val="000000" w:themeColor="text1"/>
                <w:szCs w:val="24"/>
              </w:rPr>
            </w:pPr>
            <w:r>
              <w:rPr>
                <w:b/>
                <w:noProof/>
                <w:color w:val="000000" w:themeColor="text1"/>
              </w:rPr>
              <w:t>EUDA:</w:t>
            </w:r>
          </w:p>
          <w:p w14:paraId="6FEBBB2A" w14:textId="0CC4B947" w:rsidR="00427531" w:rsidRPr="0075035A" w:rsidRDefault="00BB431E" w:rsidP="003A5A8B">
            <w:pPr>
              <w:pStyle w:val="ContNum"/>
              <w:numPr>
                <w:ilvl w:val="0"/>
                <w:numId w:val="102"/>
              </w:numPr>
              <w:spacing w:after="120"/>
              <w:rPr>
                <w:b/>
                <w:noProof/>
                <w:color w:val="000000" w:themeColor="text1"/>
                <w:szCs w:val="24"/>
              </w:rPr>
            </w:pPr>
            <w:r>
              <w:rPr>
                <w:b/>
                <w:noProof/>
                <w:color w:val="000000" w:themeColor="text1"/>
              </w:rPr>
              <w:t>va sprijini statele membre în conceperea unor activități eficace de conștientizare cu privire la impactul consumului de droguri și al traficului de droguri;</w:t>
            </w:r>
          </w:p>
          <w:p w14:paraId="7F25BC52" w14:textId="664E2BBB" w:rsidR="00BB431E" w:rsidRPr="0075035A" w:rsidRDefault="5DDB9DDD" w:rsidP="4F60382D">
            <w:pPr>
              <w:pStyle w:val="ContNum"/>
              <w:numPr>
                <w:ilvl w:val="0"/>
                <w:numId w:val="102"/>
              </w:numPr>
              <w:spacing w:after="120"/>
              <w:rPr>
                <w:b/>
                <w:bCs/>
                <w:noProof/>
                <w:color w:val="000000" w:themeColor="text1"/>
              </w:rPr>
            </w:pPr>
            <w:r>
              <w:rPr>
                <w:b/>
                <w:noProof/>
                <w:color w:val="000000" w:themeColor="text1"/>
              </w:rPr>
              <w:t>va elabora și va promova orientări cuprinzătoare la nivelul UE privind standardele minime de calitate și va consilia statele membre cu privire la punerea în aplicare a prevenirii și tratamentului eficace.</w:t>
            </w:r>
          </w:p>
          <w:p w14:paraId="7587289F" w14:textId="5345985E" w:rsidR="00670DEF" w:rsidRPr="0075035A" w:rsidRDefault="00670DEF" w:rsidP="00670DEF">
            <w:pPr>
              <w:spacing w:after="120"/>
              <w:jc w:val="both"/>
              <w:rPr>
                <w:rFonts w:cs="Times New Roman"/>
                <w:b/>
                <w:bCs/>
                <w:noProof/>
                <w:color w:val="000000" w:themeColor="text1"/>
                <w:szCs w:val="24"/>
              </w:rPr>
            </w:pPr>
            <w:r>
              <w:rPr>
                <w:b/>
                <w:noProof/>
                <w:color w:val="000000" w:themeColor="text1"/>
              </w:rPr>
              <w:t>Statele membre sunt încurajate:</w:t>
            </w:r>
          </w:p>
          <w:p w14:paraId="5D2E531F" w14:textId="67696AFD" w:rsidR="00670DEF" w:rsidRPr="0075035A" w:rsidRDefault="00670DEF" w:rsidP="00670DEF">
            <w:pPr>
              <w:pStyle w:val="ContNum"/>
              <w:numPr>
                <w:ilvl w:val="0"/>
                <w:numId w:val="102"/>
              </w:numPr>
              <w:spacing w:after="120"/>
              <w:rPr>
                <w:b/>
                <w:noProof/>
                <w:color w:val="000000" w:themeColor="text1"/>
                <w:szCs w:val="24"/>
              </w:rPr>
            </w:pPr>
            <w:r>
              <w:rPr>
                <w:b/>
                <w:noProof/>
                <w:color w:val="000000" w:themeColor="text1"/>
              </w:rPr>
              <w:t xml:space="preserve">să intensifice prevenirea sanitară universală și de mediu și să dezvolte și să pună în aplicare activități de prevenire bazate pe dovezi, concepute special pentru grupurile aflate în situații vulnerabile și pentru tineri; </w:t>
            </w:r>
          </w:p>
          <w:p w14:paraId="5537B3BD" w14:textId="0CCED5D9" w:rsidR="00670DEF" w:rsidRPr="0075035A" w:rsidRDefault="00670DEF" w:rsidP="00670DEF">
            <w:pPr>
              <w:pStyle w:val="ContNum"/>
              <w:numPr>
                <w:ilvl w:val="0"/>
                <w:numId w:val="102"/>
              </w:numPr>
              <w:spacing w:after="120"/>
              <w:rPr>
                <w:b/>
                <w:noProof/>
                <w:color w:val="000000" w:themeColor="text1"/>
                <w:szCs w:val="24"/>
              </w:rPr>
            </w:pPr>
            <w:r>
              <w:rPr>
                <w:b/>
                <w:noProof/>
                <w:color w:val="000000" w:themeColor="text1"/>
              </w:rPr>
              <w:t>să consolideze disponibilitatea opțiunilor de tratament bazate pe dovezi integrate într-un sistem continuu de îngrijire și să abordeze utilizarea sporită a substanțelor stimulante;</w:t>
            </w:r>
          </w:p>
          <w:p w14:paraId="72BA623A" w14:textId="26552C87" w:rsidR="00B40C65" w:rsidRPr="0075035A" w:rsidRDefault="5FAB4E35" w:rsidP="003E4736">
            <w:pPr>
              <w:pStyle w:val="ContNum"/>
              <w:numPr>
                <w:ilvl w:val="0"/>
                <w:numId w:val="102"/>
              </w:numPr>
              <w:spacing w:after="120"/>
              <w:rPr>
                <w:b/>
                <w:noProof/>
                <w:color w:val="000000" w:themeColor="text1"/>
                <w:szCs w:val="24"/>
              </w:rPr>
            </w:pPr>
            <w:r>
              <w:rPr>
                <w:b/>
                <w:noProof/>
                <w:color w:val="000000" w:themeColor="text1"/>
              </w:rPr>
              <w:t>să promoveze integrarea consumatorilor de droguri prin măsuri de sprijin social, precum și să consolideze și să extindă disponibilitatea alternativelor la arestarea preventivă și la sancțiunile coercitive pentru infracțiunile legate de droguri.</w:t>
            </w:r>
          </w:p>
        </w:tc>
      </w:tr>
    </w:tbl>
    <w:p w14:paraId="7AD9E51E" w14:textId="2E660796" w:rsidR="007008FE" w:rsidRPr="0075035A" w:rsidRDefault="007008FE" w:rsidP="00B40C65">
      <w:pPr>
        <w:pStyle w:val="Heading2"/>
        <w:numPr>
          <w:ilvl w:val="0"/>
          <w:numId w:val="0"/>
        </w:numPr>
        <w:spacing w:line="240" w:lineRule="auto"/>
        <w:rPr>
          <w:b w:val="0"/>
          <w:bCs w:val="0"/>
          <w:noProof/>
        </w:rPr>
      </w:pPr>
    </w:p>
    <w:p w14:paraId="1DF23D23" w14:textId="2EF43F7E" w:rsidR="0096338D" w:rsidRPr="0075035A" w:rsidRDefault="00646B70" w:rsidP="00B40C65">
      <w:pPr>
        <w:pStyle w:val="Heading2"/>
        <w:spacing w:line="240" w:lineRule="auto"/>
        <w:rPr>
          <w:noProof/>
        </w:rPr>
      </w:pPr>
      <w:bookmarkStart w:id="42" w:name="_Toc212204031"/>
      <w:bookmarkStart w:id="43" w:name="_Toc994651224"/>
      <w:bookmarkStart w:id="44" w:name="_Toc1612774910"/>
      <w:r>
        <w:rPr>
          <w:noProof/>
        </w:rPr>
        <w:t>Îmbunătățirea securității</w:t>
      </w:r>
      <w:bookmarkEnd w:id="42"/>
      <w:bookmarkEnd w:id="43"/>
      <w:bookmarkEnd w:id="44"/>
      <w:r>
        <w:rPr>
          <w:noProof/>
        </w:rPr>
        <w:t xml:space="preserve"> și protejarea societății</w:t>
      </w:r>
    </w:p>
    <w:p w14:paraId="57851BBC" w14:textId="77777777" w:rsidR="0096338D" w:rsidRPr="0075035A" w:rsidRDefault="0096338D" w:rsidP="0075035A">
      <w:pPr>
        <w:pStyle w:val="Heading2"/>
        <w:numPr>
          <w:ilvl w:val="0"/>
          <w:numId w:val="0"/>
        </w:numPr>
        <w:spacing w:line="240" w:lineRule="auto"/>
        <w:rPr>
          <w:noProof/>
        </w:rPr>
      </w:pPr>
    </w:p>
    <w:p w14:paraId="022EB6F0" w14:textId="658B1A17" w:rsidR="001D746A" w:rsidRPr="0075035A" w:rsidRDefault="00714F10">
      <w:pPr>
        <w:pStyle w:val="ContNum"/>
        <w:rPr>
          <w:b/>
          <w:bCs/>
          <w:noProof/>
          <w:szCs w:val="24"/>
        </w:rPr>
      </w:pPr>
      <w:r>
        <w:rPr>
          <w:noProof/>
        </w:rPr>
        <w:t>Rețelele de trafic de droguri operează la nivel mondial și aduc cu ele violență, corupție, infiltrare în economia legală și prejudicii societății.</w:t>
      </w:r>
      <w:r>
        <w:rPr>
          <w:b/>
          <w:noProof/>
        </w:rPr>
        <w:t xml:space="preserve"> </w:t>
      </w:r>
      <w:r>
        <w:rPr>
          <w:noProof/>
        </w:rPr>
        <w:t>Rețelele de trafic introduc în UE cantități fără precedent de cocaină, precum și alte droguri ilicite. Prevenirea și neutralizarea criminalității legate de droguri sunt esențiale pentru destructurarea</w:t>
      </w:r>
      <w:r>
        <w:rPr>
          <w:b/>
          <w:noProof/>
        </w:rPr>
        <w:t xml:space="preserve"> </w:t>
      </w:r>
      <w:r>
        <w:rPr>
          <w:noProof/>
        </w:rPr>
        <w:t>rețelelor infracționale, perturbarea rutelor de trafic și desființarea instalațiilor de producție a drogurilor.</w:t>
      </w:r>
      <w:r>
        <w:rPr>
          <w:b/>
          <w:noProof/>
        </w:rPr>
        <w:t xml:space="preserve"> </w:t>
      </w:r>
    </w:p>
    <w:p w14:paraId="32FAAB1B" w14:textId="735D9834" w:rsidR="00BB6107" w:rsidRPr="0075035A" w:rsidRDefault="00BB6107" w:rsidP="00BB6107">
      <w:pPr>
        <w:pStyle w:val="ContNum"/>
        <w:rPr>
          <w:noProof/>
          <w:color w:val="000000" w:themeColor="text1"/>
        </w:rPr>
      </w:pPr>
      <w:r>
        <w:rPr>
          <w:noProof/>
          <w:color w:val="000000" w:themeColor="text1"/>
        </w:rPr>
        <w:t xml:space="preserve">Strategia oferă un cadru cuprinzător pentru abordarea situației drogurilor, concentrându-se asupra aspectelor-cheie legate de traficul de droguri. Aceasta este completată de un plan de acțiune specific care definește acțiunile prioritare specifice care necesită dezvoltare suplimentară sau eforturi sporite. Planul de acțiune urmărește să consolideze securitatea ca răspuns la situația actuală a drogurilor și poate fi completat cu măsuri suplimentare, </w:t>
      </w:r>
      <w:bookmarkStart w:id="45" w:name="_Toc209853382"/>
      <w:r>
        <w:rPr>
          <w:noProof/>
          <w:color w:val="000000" w:themeColor="text1"/>
        </w:rPr>
        <w:t>în funcție de evoluția situației drogurilor</w:t>
      </w:r>
      <w:r>
        <w:rPr>
          <w:noProof/>
        </w:rPr>
        <w:t>.</w:t>
      </w:r>
      <w:r>
        <w:rPr>
          <w:noProof/>
          <w:color w:val="000000" w:themeColor="text1"/>
        </w:rPr>
        <w:t xml:space="preserve"> </w:t>
      </w:r>
    </w:p>
    <w:p w14:paraId="6BAF58A8" w14:textId="6390FE38" w:rsidR="000212BF" w:rsidRPr="0075035A" w:rsidRDefault="488A0F80" w:rsidP="00541FED">
      <w:pPr>
        <w:pStyle w:val="Heading3"/>
        <w:ind w:left="0"/>
        <w:rPr>
          <w:noProof/>
        </w:rPr>
      </w:pPr>
      <w:bookmarkStart w:id="46" w:name="_Toc212204032"/>
      <w:bookmarkStart w:id="47" w:name="_Toc1008503275"/>
      <w:bookmarkStart w:id="48" w:name="_Toc1732487370"/>
      <w:r>
        <w:rPr>
          <w:noProof/>
        </w:rPr>
        <w:t>Prioritatea strategică 4: consolidarea cooperării în materie de asigurare a respectării legii și a cooperării judiciare</w:t>
      </w:r>
      <w:bookmarkEnd w:id="46"/>
      <w:bookmarkEnd w:id="47"/>
      <w:bookmarkEnd w:id="48"/>
      <w:r>
        <w:rPr>
          <w:noProof/>
        </w:rPr>
        <w:t xml:space="preserve"> </w:t>
      </w:r>
      <w:bookmarkEnd w:id="45"/>
    </w:p>
    <w:p w14:paraId="502F470D" w14:textId="31B033D6" w:rsidR="000212BF" w:rsidRPr="0075035A" w:rsidRDefault="00B36FB0" w:rsidP="00B712CC">
      <w:pPr>
        <w:pBdr>
          <w:top w:val="single" w:sz="4" w:space="1" w:color="auto"/>
          <w:left w:val="single" w:sz="4" w:space="4" w:color="auto"/>
          <w:bottom w:val="single" w:sz="4" w:space="1" w:color="auto"/>
          <w:right w:val="single" w:sz="4" w:space="4" w:color="auto"/>
        </w:pBdr>
        <w:jc w:val="both"/>
        <w:rPr>
          <w:rFonts w:cs="Times New Roman"/>
          <w:i/>
          <w:iCs/>
          <w:noProof/>
          <w:szCs w:val="24"/>
        </w:rPr>
      </w:pPr>
      <w:r>
        <w:rPr>
          <w:i/>
          <w:noProof/>
        </w:rPr>
        <w:t>UE își va intensifica eforturile de destructurare a rețelelor infracționale cu grad ridicat de risc care contribuie la proliferarea drogurilor ilicite pe teritoriul său. Acest lucru implică propunerea unor norme mai stricte de combatere a criminalității organizate, consolidarea capacităților autorităților de aplicare a legii și ale autorităților judiciare în ceea ce privește cercetarea și urmărirea penală, recuperarea veniturilor obținute din activități infracționale și neutralizarea operațiunilor infracționale în cadrul sistemelor penitenciare.</w:t>
      </w:r>
    </w:p>
    <w:p w14:paraId="26117D4C" w14:textId="3F07D437" w:rsidR="00CC6D26" w:rsidRPr="0075035A" w:rsidRDefault="0003626B" w:rsidP="008E288C">
      <w:pPr>
        <w:pStyle w:val="ContNum"/>
        <w:numPr>
          <w:ilvl w:val="1"/>
          <w:numId w:val="94"/>
        </w:numPr>
        <w:spacing w:after="120"/>
        <w:rPr>
          <w:b/>
          <w:bCs/>
          <w:i/>
          <w:iCs/>
          <w:noProof/>
          <w:szCs w:val="24"/>
        </w:rPr>
      </w:pPr>
      <w:r>
        <w:rPr>
          <w:b/>
          <w:i/>
          <w:noProof/>
        </w:rPr>
        <w:t xml:space="preserve"> Un cadru juridic eficace de combatere a traficului de droguri </w:t>
      </w:r>
    </w:p>
    <w:p w14:paraId="10034275" w14:textId="79572B91" w:rsidR="00BB7470" w:rsidRPr="0075035A" w:rsidRDefault="0087561E" w:rsidP="2326B0DA">
      <w:pPr>
        <w:pStyle w:val="ContNum"/>
        <w:spacing w:after="120"/>
        <w:rPr>
          <w:noProof/>
        </w:rPr>
      </w:pPr>
      <w:r>
        <w:rPr>
          <w:noProof/>
        </w:rPr>
        <w:t xml:space="preserve">În 2026, Comisia va propune </w:t>
      </w:r>
      <w:r>
        <w:rPr>
          <w:b/>
          <w:noProof/>
        </w:rPr>
        <w:t>norme revizuite de combatere a criminalității organizate</w:t>
      </w:r>
      <w:r>
        <w:rPr>
          <w:noProof/>
        </w:rPr>
        <w:t>, care vor consolida opțiunile de dezmembrare a rețelelor de criminalitate organizată din spatele traficului de droguri. În plus,</w:t>
      </w:r>
      <w:r>
        <w:rPr>
          <w:b/>
          <w:noProof/>
        </w:rPr>
        <w:t xml:space="preserve"> </w:t>
      </w:r>
      <w:r>
        <w:rPr>
          <w:noProof/>
        </w:rPr>
        <w:t>aceasta va evalua Decizia-cadru privind traficul de droguri</w:t>
      </w:r>
      <w:r>
        <w:rPr>
          <w:rStyle w:val="FootnoteReference0"/>
          <w:noProof/>
        </w:rPr>
        <w:footnoteReference w:id="41"/>
      </w:r>
      <w:r>
        <w:rPr>
          <w:noProof/>
        </w:rPr>
        <w:t xml:space="preserve"> pentru a evalua dacă aceasta rămâne adecvată scopului, evaluând în special contribuția sa la o cooperare transfrontalieră eficace. Comisia va evalua, de asemenea, necesitatea de a consolida ordinul european de anchetă</w:t>
      </w:r>
      <w:r>
        <w:rPr>
          <w:b/>
          <w:noProof/>
        </w:rPr>
        <w:t xml:space="preserve"> </w:t>
      </w:r>
      <w:r>
        <w:rPr>
          <w:noProof/>
        </w:rPr>
        <w:t>pentru a îmbunătăți colectarea transfrontalieră de probe în materie penală.</w:t>
      </w:r>
    </w:p>
    <w:p w14:paraId="7B5591EB" w14:textId="65EDFE22" w:rsidR="00BB7470" w:rsidRPr="0075035A" w:rsidRDefault="007E619C" w:rsidP="008E288C">
      <w:pPr>
        <w:pStyle w:val="ContNum"/>
        <w:numPr>
          <w:ilvl w:val="1"/>
          <w:numId w:val="94"/>
        </w:numPr>
        <w:spacing w:after="120"/>
        <w:rPr>
          <w:b/>
          <w:bCs/>
          <w:i/>
          <w:iCs/>
          <w:noProof/>
          <w:color w:val="000000" w:themeColor="text1"/>
          <w:szCs w:val="24"/>
        </w:rPr>
      </w:pPr>
      <w:r>
        <w:rPr>
          <w:b/>
          <w:i/>
          <w:noProof/>
          <w:color w:val="000000" w:themeColor="text1"/>
        </w:rPr>
        <w:t xml:space="preserve"> Consolidarea </w:t>
      </w:r>
      <w:r>
        <w:rPr>
          <w:b/>
          <w:i/>
          <w:noProof/>
        </w:rPr>
        <w:t>capacităților</w:t>
      </w:r>
      <w:r>
        <w:rPr>
          <w:b/>
          <w:i/>
          <w:noProof/>
          <w:color w:val="000000" w:themeColor="text1"/>
        </w:rPr>
        <w:t xml:space="preserve"> autorităților de aplicare a legii și ale autorităților judiciare</w:t>
      </w:r>
    </w:p>
    <w:p w14:paraId="481D5568" w14:textId="5B0E1124" w:rsidR="00B206C5" w:rsidRPr="0075035A" w:rsidRDefault="0053615A" w:rsidP="00A2296C">
      <w:pPr>
        <w:pStyle w:val="ContNum"/>
        <w:spacing w:after="120"/>
        <w:rPr>
          <w:noProof/>
          <w:color w:val="000000" w:themeColor="text1"/>
          <w:szCs w:val="24"/>
        </w:rPr>
      </w:pPr>
      <w:r>
        <w:rPr>
          <w:noProof/>
          <w:color w:val="000000" w:themeColor="text1"/>
        </w:rPr>
        <w:t xml:space="preserve">Cercetarea criminalității organizate și a operațiunilor de trafic de droguri în peisajul infracțional actual reprezintă o provocare. Dezmembrarea eficace a acestor rețele necesită eforturi coordonate din partea autorităților de aplicare a legii și a autorităților judiciare, sprijinite de o cooperare și de un schimb de informații transfrontaliere solide. Pe măsură ce rețelele infracționale devin din ce în ce mai sofisticate, răspunsurile autorităților de aplicare a legii și ale autorităților judiciare trebuie să se adapteze, utilizând noile tehnologii și IA. Statele membre ar trebui să acorde prioritate consolidării capacităților acestor autorități de a detecta, cerceta și urmări penal în mod eficace traficul de droguri, utilizând instrumente juridice și operaționale îmbunătățite. </w:t>
      </w:r>
    </w:p>
    <w:p w14:paraId="11FF1B8B" w14:textId="50608772" w:rsidR="00B206C5" w:rsidRPr="0075035A" w:rsidRDefault="683FF69C" w:rsidP="00A2296C">
      <w:pPr>
        <w:pStyle w:val="ContNum"/>
        <w:spacing w:after="120"/>
        <w:rPr>
          <w:noProof/>
          <w:szCs w:val="24"/>
        </w:rPr>
      </w:pPr>
      <w:r>
        <w:rPr>
          <w:b/>
          <w:noProof/>
        </w:rPr>
        <w:t>Consolidarea</w:t>
      </w:r>
      <w:r>
        <w:rPr>
          <w:noProof/>
        </w:rPr>
        <w:t xml:space="preserve"> </w:t>
      </w:r>
      <w:r>
        <w:rPr>
          <w:b/>
          <w:noProof/>
        </w:rPr>
        <w:t xml:space="preserve">Platformei multidisciplinare europene împotriva amenințărilor infracționale (EMPACT) </w:t>
      </w:r>
      <w:r>
        <w:rPr>
          <w:noProof/>
        </w:rPr>
        <w:t>va stimula colaborarea operațională transfrontalieră. Noul ciclu EMPACT a identificat priorități esențiale pentru combaterea traficului de droguri și pentru identificarea și neutralizarea celor mai amenințătoare rețele infracționale</w:t>
      </w:r>
      <w:r>
        <w:rPr>
          <w:rStyle w:val="FootnoteReference0"/>
          <w:noProof/>
        </w:rPr>
        <w:footnoteReference w:id="42"/>
      </w:r>
      <w:r>
        <w:rPr>
          <w:noProof/>
        </w:rPr>
        <w:t>.</w:t>
      </w:r>
    </w:p>
    <w:p w14:paraId="5208E422" w14:textId="740CD8AC" w:rsidR="001A08AD" w:rsidRPr="0075035A" w:rsidRDefault="0DED3B3E" w:rsidP="009678FC">
      <w:pPr>
        <w:pStyle w:val="ContNum"/>
        <w:rPr>
          <w:noProof/>
          <w:color w:val="000000" w:themeColor="text1"/>
        </w:rPr>
      </w:pPr>
      <w:r>
        <w:rPr>
          <w:b/>
          <w:noProof/>
        </w:rPr>
        <w:t xml:space="preserve">Agențiile și organismele UE </w:t>
      </w:r>
      <w:r>
        <w:rPr>
          <w:noProof/>
        </w:rPr>
        <w:t xml:space="preserve">vor sprijini autoritățile naționale în combaterea traficului de droguri. Activitățile Europol privind traficul de droguri oferă un cadru pentru cooperarea operațională. Mandatul său va fi consolidat, astfel cum s-a anunțat în strategia de securitate internă ProtectEU, oferind sprijin consolidat statelor membre în combaterea traficului de droguri. Eurojust sprijină autoritățile judiciare naționale în urmărirea penală eficientă a </w:t>
      </w:r>
      <w:r>
        <w:rPr>
          <w:noProof/>
          <w:color w:val="000000" w:themeColor="text1"/>
        </w:rPr>
        <w:t>rețelelor de trafic de droguri</w:t>
      </w:r>
      <w:r>
        <w:rPr>
          <w:noProof/>
        </w:rPr>
        <w:t>.</w:t>
      </w:r>
      <w:r>
        <w:rPr>
          <w:noProof/>
          <w:color w:val="000000" w:themeColor="text1"/>
        </w:rPr>
        <w:t xml:space="preserve"> Mandatul său consolidat va contribui</w:t>
      </w:r>
      <w:r>
        <w:rPr>
          <w:noProof/>
        </w:rPr>
        <w:t>, de asemenea, la combaterea traficului de droguri prin creșterea capacității Eurojust de a sprijini cercetarea și urmărirea penală a infracțiunilor legate de droguri.</w:t>
      </w:r>
      <w:r>
        <w:rPr>
          <w:noProof/>
          <w:color w:val="000000" w:themeColor="text1"/>
        </w:rPr>
        <w:t xml:space="preserve"> </w:t>
      </w:r>
      <w:r>
        <w:rPr>
          <w:noProof/>
        </w:rPr>
        <w:t>Noua Autoritate vamală a Uniunii Europene și Platforma de date vamale a UE vor oferi autorităților vamale instrumente mai eficace pentru a efectua analize de risc la nivelul UE și pentru a îmbunătăți în continuare cooperarea dintre autoritățile vamale și alte organisme de aplicare a legii.</w:t>
      </w:r>
    </w:p>
    <w:p w14:paraId="78D87205" w14:textId="3A306D39" w:rsidR="00D656A2" w:rsidRPr="0075035A" w:rsidRDefault="7B92399B" w:rsidP="009678FC">
      <w:pPr>
        <w:pStyle w:val="ContNum"/>
        <w:rPr>
          <w:noProof/>
          <w:szCs w:val="24"/>
        </w:rPr>
      </w:pPr>
      <w:r>
        <w:rPr>
          <w:noProof/>
          <w:color w:val="000000" w:themeColor="text1"/>
        </w:rPr>
        <w:t>Mandatul actualizat al EUDA îi sporește capacitatea de a monitoriza dezvoltarea pieței drogurilor și de a oferi răspunsuri bazate pe dovezi pentru a le contracara. CEPOL, Agenția Uniunii Europene pentru Formare în Materie de Aplicare a Legii, își va intensifica sprijinul acordat statelor membre prin consolidarea capacităților și formare.</w:t>
      </w:r>
      <w:r>
        <w:rPr>
          <w:noProof/>
        </w:rPr>
        <w:t xml:space="preserve"> Consolidarea planificată a Frontex, Agenția Europeană pentru Poliția de Frontieră și Garda de Coastă, îi va pune la dispoziție tehnologii avansate de supraveghere și instrumente de conștientizare a situației. Acest lucru va consolida capacitatea Frontex de a detecta, preveni și combate criminalitatea transfrontalieră la frontierele externe, inclusiv traficul de droguri. Ar trebui dezvoltate sinergii suplimentare cu programul privind conectivitatea securizată și cu programele spațiale ale UE pentru a consolida capacitățile Frontex în domeniul comunicării securizate, al poziționării, navigației și sincronizării reziliente și al observării Pământului.</w:t>
      </w:r>
    </w:p>
    <w:p w14:paraId="5BD52413" w14:textId="363F67A2" w:rsidR="00BB7470" w:rsidRPr="0075035A" w:rsidRDefault="0057147F" w:rsidP="009678FC">
      <w:pPr>
        <w:pStyle w:val="ContNum"/>
        <w:numPr>
          <w:ilvl w:val="1"/>
          <w:numId w:val="94"/>
        </w:numPr>
        <w:spacing w:after="120"/>
        <w:rPr>
          <w:b/>
          <w:bCs/>
          <w:i/>
          <w:iCs/>
          <w:noProof/>
          <w:color w:val="000000" w:themeColor="text1"/>
          <w:szCs w:val="24"/>
        </w:rPr>
      </w:pPr>
      <w:r>
        <w:rPr>
          <w:b/>
          <w:i/>
          <w:noProof/>
          <w:color w:val="000000" w:themeColor="text1"/>
        </w:rPr>
        <w:t xml:space="preserve"> Urmărirea banilor în lupta împotriva organizațiilor criminale</w:t>
      </w:r>
    </w:p>
    <w:p w14:paraId="60BD90CB" w14:textId="54C8F190" w:rsidR="00BB7470" w:rsidRPr="0075035A" w:rsidRDefault="488A0F80" w:rsidP="00A2296C">
      <w:pPr>
        <w:pStyle w:val="ContNum"/>
        <w:spacing w:after="120"/>
        <w:rPr>
          <w:noProof/>
          <w:color w:val="000000" w:themeColor="text1"/>
          <w:szCs w:val="24"/>
        </w:rPr>
      </w:pPr>
      <w:r>
        <w:rPr>
          <w:noProof/>
          <w:color w:val="000000" w:themeColor="text1"/>
        </w:rPr>
        <w:t>Urmărirea banilor este esențială pentru combaterea criminalității organizate și a rețelelor de trafic de droguri. În 2024, UE a consolidat cadrul juridic privind combaterea spălării banilor</w:t>
      </w:r>
      <w:r>
        <w:rPr>
          <w:rStyle w:val="FootnoteReference0"/>
          <w:noProof/>
          <w:color w:val="000000" w:themeColor="text1"/>
        </w:rPr>
        <w:footnoteReference w:id="43"/>
      </w:r>
      <w:r>
        <w:rPr>
          <w:noProof/>
          <w:color w:val="000000" w:themeColor="text1"/>
        </w:rPr>
        <w:t xml:space="preserve">, precum și privind recuperarea și confiscarea activelor, subliniind importanța investigațiilor financiare pentru neutralizarea organizațiilor criminale. Statele membre ar trebui să încorporeze fără întârziere în legislația națională normele consolidate </w:t>
      </w:r>
      <w:r>
        <w:rPr>
          <w:b/>
          <w:noProof/>
          <w:color w:val="000000" w:themeColor="text1"/>
        </w:rPr>
        <w:t>privind recuperarea și confiscarea activelor</w:t>
      </w:r>
      <w:r>
        <w:rPr>
          <w:rStyle w:val="FootnoteReference0"/>
          <w:b/>
          <w:bCs/>
          <w:noProof/>
          <w:color w:val="000000" w:themeColor="text1"/>
        </w:rPr>
        <w:footnoteReference w:id="44"/>
      </w:r>
      <w:r>
        <w:rPr>
          <w:b/>
          <w:noProof/>
          <w:color w:val="000000" w:themeColor="text1"/>
        </w:rPr>
        <w:t xml:space="preserve"> </w:t>
      </w:r>
      <w:r>
        <w:rPr>
          <w:noProof/>
          <w:color w:val="000000" w:themeColor="text1"/>
        </w:rPr>
        <w:t xml:space="preserve">și să le utilizeze la întregul lor potențial. </w:t>
      </w:r>
    </w:p>
    <w:p w14:paraId="76AD1BF7" w14:textId="6AB806AB" w:rsidR="00BB7470" w:rsidRDefault="00244ABF" w:rsidP="00A2296C">
      <w:pPr>
        <w:pStyle w:val="ContNum"/>
        <w:spacing w:after="120"/>
        <w:rPr>
          <w:noProof/>
          <w:color w:val="333333"/>
        </w:rPr>
      </w:pPr>
      <w:r>
        <w:rPr>
          <w:noProof/>
          <w:color w:val="000000" w:themeColor="text1"/>
        </w:rPr>
        <w:t xml:space="preserve">Pentru a proteja comunitățile locale și întreprinderile legitime, UE și statele membre ar trebui să își intensifice eforturile de detectare și prevenire a </w:t>
      </w:r>
      <w:r>
        <w:rPr>
          <w:b/>
          <w:noProof/>
          <w:color w:val="000000" w:themeColor="text1"/>
        </w:rPr>
        <w:t>infiltrării criminalității în întreprinderile legale,</w:t>
      </w:r>
      <w:r>
        <w:rPr>
          <w:noProof/>
          <w:color w:val="000000" w:themeColor="text1"/>
        </w:rPr>
        <w:t xml:space="preserve"> urmând abordarea administrativă</w:t>
      </w:r>
      <w:r>
        <w:rPr>
          <w:rStyle w:val="FootnoteReference0"/>
          <w:noProof/>
          <w:color w:val="000000" w:themeColor="text1"/>
        </w:rPr>
        <w:footnoteReference w:id="45"/>
      </w:r>
      <w:r>
        <w:rPr>
          <w:noProof/>
          <w:color w:val="000000" w:themeColor="text1"/>
        </w:rPr>
        <w:t xml:space="preserve">. Pentru a urmări și a confisca activele provenite din săvârșirea de infracțiuni, UE trebuie să exploreze practici inovatoare de detectare a spălării banilor și de urmărire a profiturilor provenite din criminalitatea organizată. Astfel cum s-a subliniat în strategia de securitate internă ProtectEU, Comisia analizează fezabilitatea unui nou sistem la nivelul UE </w:t>
      </w:r>
      <w:r>
        <w:rPr>
          <w:noProof/>
          <w:color w:val="333333"/>
        </w:rPr>
        <w:t>de urmărire a finanțării terorismului</w:t>
      </w:r>
      <w:r>
        <w:rPr>
          <w:noProof/>
        </w:rPr>
        <w:t>.</w:t>
      </w:r>
      <w:r>
        <w:rPr>
          <w:noProof/>
          <w:color w:val="333333"/>
        </w:rPr>
        <w:t xml:space="preserve"> Pentru a răspunde amenințării pe care o reprezintă criminalitatea organizată, Comisia va extinde evaluarea pentru a acoperi și profiturile provenite din criminalitatea organizată.</w:t>
      </w:r>
    </w:p>
    <w:p w14:paraId="72C85044" w14:textId="2C99F409" w:rsidR="008E45D2" w:rsidRPr="005A35A5" w:rsidRDefault="008E45D2" w:rsidP="005A35A5">
      <w:pPr>
        <w:spacing w:after="240"/>
        <w:jc w:val="both"/>
        <w:rPr>
          <w:noProof/>
          <w:sz w:val="22"/>
        </w:rPr>
      </w:pPr>
      <w:r>
        <w:rPr>
          <w:noProof/>
        </w:rPr>
        <w:t>În plus, eforturile vor fi direcționate către îmbunătățirea utilizării tehnologiilor, cum ar fi analiza avansată și IA, pentru a urmări tranzacțiile cu criptoactive, punând accentul pe operațiunile financiare ale organizațiilor criminale, în special în scenariile de combatere a infracțiunilor ca prestații de servicii.</w:t>
      </w:r>
    </w:p>
    <w:p w14:paraId="3C78A99E" w14:textId="2933D191" w:rsidR="00BB7470" w:rsidRPr="0075035A" w:rsidRDefault="488A0F80" w:rsidP="00A2296C">
      <w:pPr>
        <w:pStyle w:val="ContNum"/>
        <w:spacing w:after="120"/>
        <w:rPr>
          <w:noProof/>
          <w:color w:val="000000" w:themeColor="text1"/>
          <w:szCs w:val="24"/>
        </w:rPr>
      </w:pPr>
      <w:r>
        <w:rPr>
          <w:noProof/>
          <w:color w:val="000000" w:themeColor="text1"/>
        </w:rPr>
        <w:t>Corupția alimentează fiecare etapă a traficului de droguri, subminând economia licită și mergând adesea mână în mână cu intimidarea. Combaterea corupției rămâne o prioritate esențială pentru destructurarea criminalității organizate și a traficului de droguri. Prin intermediul viitoarei strategii anticorupție a UE, Comisia va consolida măsurile de abordare a amenințării și a utilizării corupției de către criminalitatea organizată. În plus, Comisia va colabora cu colegiuitorii pentru a permite adoptarea rapidă a Directivei privind combaterea corupției</w:t>
      </w:r>
      <w:r>
        <w:rPr>
          <w:rStyle w:val="FootnoteReference0"/>
          <w:noProof/>
          <w:color w:val="000000" w:themeColor="text1"/>
          <w:szCs w:val="24"/>
        </w:rPr>
        <w:footnoteReference w:id="46"/>
      </w:r>
      <w:r>
        <w:rPr>
          <w:noProof/>
          <w:color w:val="000000" w:themeColor="text1"/>
        </w:rPr>
        <w:t>.</w:t>
      </w:r>
    </w:p>
    <w:p w14:paraId="271DE8CB" w14:textId="284ABE77" w:rsidR="005448D3" w:rsidRPr="0075035A" w:rsidRDefault="00087BFE" w:rsidP="008E288C">
      <w:pPr>
        <w:pStyle w:val="ContNum"/>
        <w:numPr>
          <w:ilvl w:val="1"/>
          <w:numId w:val="94"/>
        </w:numPr>
        <w:spacing w:after="120"/>
        <w:rPr>
          <w:b/>
          <w:bCs/>
          <w:i/>
          <w:iCs/>
          <w:noProof/>
          <w:color w:val="000000" w:themeColor="text1"/>
          <w:szCs w:val="24"/>
        </w:rPr>
      </w:pPr>
      <w:r>
        <w:rPr>
          <w:b/>
          <w:i/>
          <w:noProof/>
          <w:color w:val="000000" w:themeColor="text1"/>
        </w:rPr>
        <w:t xml:space="preserve"> Combaterea traficului de droguri în medii privative de libertate</w:t>
      </w:r>
    </w:p>
    <w:p w14:paraId="5E5FC994" w14:textId="7F723AF2" w:rsidR="004954F4" w:rsidRPr="0075035A" w:rsidRDefault="216847ED" w:rsidP="0075035A">
      <w:pPr>
        <w:pStyle w:val="ContNum"/>
        <w:spacing w:after="120"/>
        <w:rPr>
          <w:noProof/>
          <w:color w:val="000000" w:themeColor="text1"/>
          <w:szCs w:val="24"/>
        </w:rPr>
      </w:pPr>
      <w:r>
        <w:rPr>
          <w:noProof/>
        </w:rPr>
        <w:t>Traficul de droguri nu se oprește odată cu încarcerarea. Rețelele infracționale exploatează canalele de comunicare și utilizează vizitatorii pentru a introduce ilegal droguri în închisori și pentru a coordona operațiuni legate de droguri în afara acestora. Personalul penitenciarelor se poate confrunta cu intimidări, tentative de dare de mită sau amenințări directe. UE trebuie să protejeze siguranța publică și integritatea sistemelor de justiție împotriva acestei amenințări. Alături de statele membre, UE ar trebui să promoveze soluții bazate pe dovezi și să facă schimb de bune practici pentru</w:t>
      </w:r>
      <w:r>
        <w:rPr>
          <w:b/>
          <w:noProof/>
        </w:rPr>
        <w:t xml:space="preserve"> neutralizarea activității infracționale în cadrul sistemelor penitenciare</w:t>
      </w:r>
      <w:r>
        <w:rPr>
          <w:noProof/>
        </w:rPr>
        <w:t>.</w:t>
      </w:r>
      <w:bookmarkStart w:id="49" w:name="_Toc209853383"/>
      <w:bookmarkStart w:id="50" w:name="_Toc212204033"/>
      <w:bookmarkStart w:id="51" w:name="_Toc1875362462"/>
      <w:bookmarkStart w:id="52" w:name="_Toc804750180"/>
    </w:p>
    <w:p w14:paraId="218E8D07" w14:textId="5A7F3D4E" w:rsidR="00632E9E" w:rsidRPr="0075035A" w:rsidRDefault="58263DF9" w:rsidP="004954F4">
      <w:pPr>
        <w:pStyle w:val="Heading3"/>
        <w:ind w:left="0"/>
        <w:rPr>
          <w:noProof/>
        </w:rPr>
      </w:pPr>
      <w:r>
        <w:rPr>
          <w:noProof/>
        </w:rPr>
        <w:t>Prioritatea strategică 5: perturbarea rutelor de trafic de droguri</w:t>
      </w:r>
      <w:bookmarkEnd w:id="49"/>
      <w:bookmarkEnd w:id="50"/>
      <w:bookmarkEnd w:id="51"/>
      <w:bookmarkEnd w:id="52"/>
    </w:p>
    <w:p w14:paraId="555C88AB" w14:textId="08AF200F" w:rsidR="001A6BC2" w:rsidRPr="0075035A" w:rsidRDefault="006B7513" w:rsidP="00B712CC">
      <w:pPr>
        <w:pStyle w:val="ContNum"/>
        <w:pBdr>
          <w:top w:val="single" w:sz="4" w:space="1" w:color="auto"/>
          <w:left w:val="single" w:sz="4" w:space="4" w:color="auto"/>
          <w:bottom w:val="single" w:sz="4" w:space="1" w:color="auto"/>
          <w:right w:val="single" w:sz="4" w:space="4" w:color="auto"/>
        </w:pBdr>
        <w:rPr>
          <w:i/>
          <w:iCs/>
          <w:noProof/>
        </w:rPr>
      </w:pPr>
      <w:r>
        <w:rPr>
          <w:i/>
          <w:noProof/>
        </w:rPr>
        <w:t>UE s-a angajat să neutralizeze rețelele de trafic de droguri acționând asupra rutelor de trafic pe mare, pe uscat și pe calea aerului. Se va depune un efort concentrat de combatere a traficului de droguri în spațiile online pentru a destructura aceste operațiuni ilicite și pentru a împiedica în mod semnificativ activitățile rețelelor infracționale implicate.</w:t>
      </w:r>
    </w:p>
    <w:p w14:paraId="7046F850" w14:textId="7B07BC39" w:rsidR="00F162BA" w:rsidRPr="0075035A" w:rsidRDefault="00027790" w:rsidP="008E288C">
      <w:pPr>
        <w:pStyle w:val="ContNum"/>
        <w:numPr>
          <w:ilvl w:val="1"/>
          <w:numId w:val="95"/>
        </w:numPr>
        <w:spacing w:after="120"/>
        <w:ind w:left="709"/>
        <w:rPr>
          <w:b/>
          <w:bCs/>
          <w:i/>
          <w:iCs/>
          <w:noProof/>
          <w:color w:val="000000" w:themeColor="text1"/>
          <w:szCs w:val="24"/>
        </w:rPr>
      </w:pPr>
      <w:r>
        <w:rPr>
          <w:b/>
          <w:i/>
          <w:noProof/>
          <w:color w:val="000000" w:themeColor="text1"/>
        </w:rPr>
        <w:t xml:space="preserve"> Identificarea și destructurarea traficului de droguri care utilizează rute maritime</w:t>
      </w:r>
    </w:p>
    <w:p w14:paraId="202A34C9" w14:textId="5C4C4B8D" w:rsidR="00F503D3" w:rsidRPr="0075035A" w:rsidRDefault="442DA672" w:rsidP="3C2CD52E">
      <w:pPr>
        <w:pStyle w:val="ContNum"/>
        <w:spacing w:after="120"/>
        <w:rPr>
          <w:noProof/>
          <w:color w:val="000000" w:themeColor="text1"/>
        </w:rPr>
      </w:pPr>
      <w:r>
        <w:rPr>
          <w:noProof/>
          <w:color w:val="000000" w:themeColor="text1"/>
        </w:rPr>
        <w:t>Rețelele infracționale introduc ilegal droguri la scară largă în porturile maritime europene. Rutele maritime utilizate pentru traficul de droguri sunt foarte diversificate, acesta realizându-se inclusiv prin regiunile ultraperiferice ale UE, iar rapoartele arată o schimbare a modului de operare, transporturile de droguri ajungând într-un număr mai mare de porturi europene de dimensiuni mai mici. Pentru a ascunde aceste transporturi, infractorii utilizează metode noi, adesea nedetectabile de autoritățile de aplicare a legii și de autoritățile maritime. Europol va</w:t>
      </w:r>
      <w:r>
        <w:rPr>
          <w:b/>
          <w:noProof/>
          <w:color w:val="000000" w:themeColor="text1"/>
        </w:rPr>
        <w:t xml:space="preserve"> consolida analiza strategică a traficului maritim </w:t>
      </w:r>
      <w:r>
        <w:rPr>
          <w:noProof/>
          <w:color w:val="000000" w:themeColor="text1"/>
        </w:rPr>
        <w:t>pentru a identifica nevoile operaționale de neutralizare a noilor metode de transport și de disimulare a drogurilor.</w:t>
      </w:r>
    </w:p>
    <w:p w14:paraId="2349E154" w14:textId="75FB40F4" w:rsidR="00F503D3" w:rsidRPr="0075035A" w:rsidRDefault="00D230B5" w:rsidP="00A2296C">
      <w:pPr>
        <w:pStyle w:val="ContNum"/>
        <w:spacing w:after="120"/>
        <w:rPr>
          <w:noProof/>
          <w:color w:val="000000" w:themeColor="text1"/>
          <w:szCs w:val="24"/>
        </w:rPr>
      </w:pPr>
      <w:r>
        <w:rPr>
          <w:b/>
          <w:noProof/>
          <w:color w:val="000000" w:themeColor="text1"/>
        </w:rPr>
        <w:t>Centrul de Analiză și Operațiuni Maritime (MAOC-N) ar trebui să își intensifice</w:t>
      </w:r>
      <w:r>
        <w:rPr>
          <w:noProof/>
          <w:color w:val="000000" w:themeColor="text1"/>
        </w:rPr>
        <w:t xml:space="preserve"> în continuare activitățile, în special monitorizarea navelor care transportă droguri ilicite pe marea liberă.</w:t>
      </w:r>
    </w:p>
    <w:p w14:paraId="5DB5E968" w14:textId="0916C2D5" w:rsidR="00F162BA" w:rsidRPr="0075035A" w:rsidRDefault="006D5170" w:rsidP="00A2296C">
      <w:pPr>
        <w:pStyle w:val="ContNum"/>
        <w:spacing w:after="120"/>
        <w:rPr>
          <w:noProof/>
          <w:color w:val="000000" w:themeColor="text1"/>
        </w:rPr>
      </w:pPr>
      <w:r>
        <w:rPr>
          <w:noProof/>
          <w:color w:val="000000" w:themeColor="text1"/>
        </w:rPr>
        <w:t xml:space="preserve">Fiind principalul cadru al UE pentru cooperarea dintre sectorul public și cel privat în combaterea traficului de droguri, Comisia va face schimb de bune practici prin intermediul </w:t>
      </w:r>
      <w:r>
        <w:rPr>
          <w:b/>
          <w:noProof/>
          <w:color w:val="000000" w:themeColor="text1"/>
        </w:rPr>
        <w:t>Alianței portuare europene</w:t>
      </w:r>
      <w:r>
        <w:rPr>
          <w:noProof/>
          <w:color w:val="000000" w:themeColor="text1"/>
        </w:rPr>
        <w:t xml:space="preserve"> extinse, îmbunătățind reziliența porturilor din întreaga UE. Viitoarea strategie portuară a UE va pune accentul pe securitate, bazându-se pe dialogul strategic cu funcționarii guvernamentali, cu autoritățile portuare, cu sectorul privat și cu alte părți interesate importante. Scopul este de a spori securitatea și pregătirea porturilor UE. </w:t>
      </w:r>
    </w:p>
    <w:p w14:paraId="1251F150" w14:textId="433476AF" w:rsidR="00F162BA" w:rsidRPr="0075035A" w:rsidRDefault="007E619C" w:rsidP="008E288C">
      <w:pPr>
        <w:pStyle w:val="ContNum"/>
        <w:numPr>
          <w:ilvl w:val="1"/>
          <w:numId w:val="95"/>
        </w:numPr>
        <w:spacing w:after="120"/>
        <w:ind w:left="709"/>
        <w:rPr>
          <w:b/>
          <w:bCs/>
          <w:i/>
          <w:iCs/>
          <w:noProof/>
          <w:color w:val="000000" w:themeColor="text1"/>
          <w:szCs w:val="24"/>
        </w:rPr>
      </w:pPr>
      <w:r>
        <w:rPr>
          <w:b/>
          <w:i/>
          <w:noProof/>
          <w:color w:val="000000" w:themeColor="text1"/>
        </w:rPr>
        <w:t xml:space="preserve"> Combaterea traficului de droguri pe uscat, prin intermediul serviciilor poștale și de coletărie, precum și prin intermediul aviației</w:t>
      </w:r>
    </w:p>
    <w:p w14:paraId="69C83003" w14:textId="2644BFCA" w:rsidR="00F162BA" w:rsidRPr="0075035A" w:rsidRDefault="7C3AB391" w:rsidP="00A2296C">
      <w:pPr>
        <w:pStyle w:val="ContNum"/>
        <w:spacing w:after="120"/>
        <w:rPr>
          <w:b/>
          <w:bCs/>
          <w:noProof/>
          <w:szCs w:val="24"/>
        </w:rPr>
      </w:pPr>
      <w:r>
        <w:rPr>
          <w:noProof/>
          <w:color w:val="000000" w:themeColor="text1"/>
        </w:rPr>
        <w:t>Creșterea producției de droguri sintetice</w:t>
      </w:r>
      <w:r>
        <w:rPr>
          <w:noProof/>
        </w:rPr>
        <w:t xml:space="preserve">, combinată cu extinderea rapidă a comerțului electronic, oferă posibilități ample de trafic de droguri ilicite prin intermediul serviciilor poștale și de coletărie. Traficul prin intermediul serviciilor poștale și de coletărie al unor cantități mai mici, care sunt mai greu de detectat, alimentează în mod cumulativ operațiunile de trafic la scară largă. </w:t>
      </w:r>
      <w:r>
        <w:rPr>
          <w:noProof/>
          <w:color w:val="000000" w:themeColor="text1"/>
        </w:rPr>
        <w:t>Pentru a îmbunătăți detectarea fluxurilor de droguri ilicite, UE va</w:t>
      </w:r>
      <w:r>
        <w:rPr>
          <w:b/>
          <w:noProof/>
          <w:color w:val="000000" w:themeColor="text1"/>
        </w:rPr>
        <w:t xml:space="preserve"> </w:t>
      </w:r>
      <w:r>
        <w:rPr>
          <w:noProof/>
          <w:color w:val="000000" w:themeColor="text1"/>
        </w:rPr>
        <w:t>promova cooperarea dintre sectorul public și cel privat al</w:t>
      </w:r>
      <w:r w:rsidR="006F71CF">
        <w:rPr>
          <w:noProof/>
          <w:color w:val="000000" w:themeColor="text1"/>
        </w:rPr>
        <w:t xml:space="preserve"> </w:t>
      </w:r>
      <w:r>
        <w:rPr>
          <w:b/>
          <w:noProof/>
        </w:rPr>
        <w:t>serviciilor poștale și de coletărie, autoritățile vamale și autoritățile de aplicare a legii</w:t>
      </w:r>
      <w:r>
        <w:rPr>
          <w:noProof/>
        </w:rPr>
        <w:t>. Planul de acțiune de combatere a traficului de droguri include măsuri concrete pentru continuarea acestei cooperări.</w:t>
      </w:r>
    </w:p>
    <w:p w14:paraId="3AB3ECB4" w14:textId="066FFE29" w:rsidR="00632E9E" w:rsidRPr="0075035A" w:rsidRDefault="3BFD7607" w:rsidP="00A2296C">
      <w:pPr>
        <w:pStyle w:val="ContNum"/>
        <w:spacing w:after="120"/>
        <w:rPr>
          <w:noProof/>
          <w:color w:val="000000" w:themeColor="text1"/>
        </w:rPr>
      </w:pPr>
      <w:r>
        <w:rPr>
          <w:noProof/>
        </w:rPr>
        <w:t>Pachete cu valoare ridicată și cu volum redus care conțin pre-precursori</w:t>
      </w:r>
      <w:r>
        <w:rPr>
          <w:rStyle w:val="FootnoteReference0"/>
          <w:noProof/>
        </w:rPr>
        <w:footnoteReference w:id="47"/>
      </w:r>
      <w:r>
        <w:rPr>
          <w:noProof/>
        </w:rPr>
        <w:t xml:space="preserve"> sau precursori de droguri </w:t>
      </w:r>
      <w:r>
        <w:rPr>
          <w:noProof/>
          <w:color w:val="000000" w:themeColor="text1"/>
        </w:rPr>
        <w:t>sunt din ce în ce mai mult transportate ilegal pe rutele aeriene</w:t>
      </w:r>
      <w:r>
        <w:rPr>
          <w:noProof/>
        </w:rPr>
        <w:t>.</w:t>
      </w:r>
      <w:r>
        <w:rPr>
          <w:noProof/>
          <w:color w:val="000000" w:themeColor="text1"/>
        </w:rPr>
        <w:t xml:space="preserve"> Pe lângă utilizarea aviației comerciale prin exploatarea curierilor umani, rețelele infracționale utilizează din ce în ce mai mult avioane private, aeronave mici și zboruri neregulate pentru a introduce ilegal droguri fără ca acestea să fie detectate. UE va depune eforturi pentru a</w:t>
      </w:r>
      <w:r>
        <w:rPr>
          <w:b/>
          <w:noProof/>
          <w:color w:val="000000" w:themeColor="text1"/>
        </w:rPr>
        <w:t xml:space="preserve"> intensifica monitorizarea și controalele de securitate ale aviației generale</w:t>
      </w:r>
      <w:r>
        <w:rPr>
          <w:noProof/>
          <w:color w:val="000000" w:themeColor="text1"/>
        </w:rPr>
        <w:t xml:space="preserve">, inclusiv intensificarea schimbului de informații între autoritățile relevante din domeniul aviației civile și autoritățile de aplicare a legii, inclusiv autoritățile vamale. </w:t>
      </w:r>
    </w:p>
    <w:p w14:paraId="0EB9D2A4" w14:textId="2A651993" w:rsidR="009233DE" w:rsidRPr="0075035A" w:rsidRDefault="0003626B" w:rsidP="008E288C">
      <w:pPr>
        <w:pStyle w:val="ContNum"/>
        <w:numPr>
          <w:ilvl w:val="1"/>
          <w:numId w:val="95"/>
        </w:numPr>
        <w:spacing w:after="120"/>
        <w:ind w:left="709"/>
        <w:rPr>
          <w:b/>
          <w:bCs/>
          <w:i/>
          <w:iCs/>
          <w:noProof/>
          <w:color w:val="000000" w:themeColor="text1"/>
          <w:szCs w:val="24"/>
        </w:rPr>
      </w:pPr>
      <w:bookmarkStart w:id="53" w:name="_Hlk213682706"/>
      <w:r>
        <w:rPr>
          <w:b/>
          <w:i/>
          <w:noProof/>
          <w:color w:val="000000" w:themeColor="text1"/>
        </w:rPr>
        <w:t xml:space="preserve"> Îmbunătățirea monitorizării și a interceptării drogurilor distribuite online</w:t>
      </w:r>
    </w:p>
    <w:p w14:paraId="7892311A" w14:textId="2E6215DD" w:rsidR="004954F4" w:rsidRPr="0075035A" w:rsidRDefault="7EC416E2" w:rsidP="0075035A">
      <w:pPr>
        <w:pStyle w:val="ContNum"/>
        <w:spacing w:after="120"/>
        <w:rPr>
          <w:noProof/>
          <w:color w:val="000000" w:themeColor="text1"/>
          <w:szCs w:val="24"/>
        </w:rPr>
      </w:pPr>
      <w:r>
        <w:rPr>
          <w:noProof/>
          <w:color w:val="000000" w:themeColor="text1"/>
        </w:rPr>
        <w:t xml:space="preserve">Infractorii utilizează atât internetul deschis, cât și internetul negru pentru a promova, a vinde și a distribui droguri ilicite. Agențiile de aplicare a legii au nevoie de capacități sporite și de sprijin operațional pentru a detecta și a investiga în mod eficace aceste activități online, inclusiv cele de pe internetul negru și de pe platformele de comunicare socială. Pentru a îmbunătăți siguranța, a proteja minorii și a combate diseminarea conținutului ilegal online, furnizorii de servicii online și autoritățile trebuie să respecte pe deplin </w:t>
      </w:r>
      <w:r>
        <w:rPr>
          <w:b/>
          <w:noProof/>
          <w:color w:val="000000" w:themeColor="text1"/>
        </w:rPr>
        <w:t>Regulamentul privind serviciile digitale</w:t>
      </w:r>
      <w:r>
        <w:rPr>
          <w:noProof/>
          <w:color w:val="000000" w:themeColor="text1"/>
        </w:rPr>
        <w:t>. Comisia va continua să monitorizeze și să asigure respectarea obligației de diligență de către platformele online și motoarele de căutare foarte mari în temeiul Regulamentului privind serviciile digitale. În plus,</w:t>
      </w:r>
      <w:r>
        <w:rPr>
          <w:b/>
          <w:noProof/>
          <w:color w:val="000000" w:themeColor="text1"/>
        </w:rPr>
        <w:t xml:space="preserve"> Forumul UE pentru internet </w:t>
      </w:r>
      <w:r>
        <w:rPr>
          <w:noProof/>
          <w:color w:val="000000" w:themeColor="text1"/>
        </w:rPr>
        <w:t>va mobiliza cooperarea voluntară cu platformele online pentru a aborda provocările și a face schimb de bune practici pentru stoparea vânzărilor online de droguri și prevenirea recrutării minorilor de către rețelele infracționale, pe baza măsurilor incluse în Orientările Comisiei privind măsurile de asigurare a unui nivel ridicat de confidențialitate, siguranță și securitate pentru minori în mediul online, în temeiul articolului 28 alineatul (4) din Regulamentul (UE) 2022/2065</w:t>
      </w:r>
      <w:r>
        <w:rPr>
          <w:rStyle w:val="FootnoteReference0"/>
          <w:noProof/>
          <w:color w:val="000000" w:themeColor="text1"/>
          <w:szCs w:val="24"/>
        </w:rPr>
        <w:footnoteReference w:id="48"/>
      </w:r>
      <w:r>
        <w:rPr>
          <w:noProof/>
          <w:color w:val="000000" w:themeColor="text1"/>
        </w:rPr>
        <w:t>.</w:t>
      </w:r>
      <w:r w:rsidR="006F71CF">
        <w:rPr>
          <w:noProof/>
          <w:color w:val="000000" w:themeColor="text1"/>
        </w:rPr>
        <w:t xml:space="preserve"> </w:t>
      </w:r>
      <w:r>
        <w:rPr>
          <w:noProof/>
          <w:color w:val="000000" w:themeColor="text1"/>
        </w:rPr>
        <w:t>În cadrul Forumului UE pentru internet, această activitate va consolida rolul platformelor de comunicare socială în prevenirea consumului de droguri, cu un accent deosebit pe comunicarea cu tinerii, în cooperare cu EUDA</w:t>
      </w:r>
      <w:r>
        <w:rPr>
          <w:rStyle w:val="FootnoteReference0"/>
          <w:noProof/>
          <w:color w:val="000000" w:themeColor="text1"/>
          <w:szCs w:val="24"/>
        </w:rPr>
        <w:footnoteReference w:id="49"/>
      </w:r>
      <w:r>
        <w:rPr>
          <w:noProof/>
          <w:color w:val="000000" w:themeColor="text1"/>
        </w:rPr>
        <w:t>.</w:t>
      </w:r>
      <w:bookmarkStart w:id="54" w:name="_Toc209853384"/>
      <w:bookmarkStart w:id="55" w:name="_Toc212204034"/>
      <w:bookmarkStart w:id="56" w:name="_Toc1111277800"/>
      <w:bookmarkStart w:id="57" w:name="_Toc1304292967"/>
      <w:bookmarkEnd w:id="53"/>
    </w:p>
    <w:p w14:paraId="0887D4DB" w14:textId="7801CFEA" w:rsidR="00632E9E" w:rsidRPr="0075035A" w:rsidRDefault="4148D5C2" w:rsidP="00541FED">
      <w:pPr>
        <w:pStyle w:val="Heading3"/>
        <w:ind w:left="0"/>
        <w:rPr>
          <w:noProof/>
        </w:rPr>
      </w:pPr>
      <w:r>
        <w:rPr>
          <w:noProof/>
        </w:rPr>
        <w:t>Prioritatea strategică 6: combaterea producției de droguri sintetice și de precursori</w:t>
      </w:r>
      <w:bookmarkEnd w:id="54"/>
      <w:bookmarkEnd w:id="55"/>
      <w:bookmarkEnd w:id="56"/>
      <w:bookmarkEnd w:id="57"/>
    </w:p>
    <w:p w14:paraId="73B798A7" w14:textId="35229F19" w:rsidR="002F1768" w:rsidRPr="0075035A" w:rsidRDefault="008F10DE" w:rsidP="009B3E0E">
      <w:pPr>
        <w:pBdr>
          <w:top w:val="single" w:sz="4" w:space="1" w:color="auto"/>
          <w:left w:val="single" w:sz="4" w:space="4" w:color="auto"/>
          <w:bottom w:val="single" w:sz="4" w:space="1" w:color="auto"/>
          <w:right w:val="single" w:sz="4" w:space="4" w:color="auto"/>
        </w:pBdr>
        <w:jc w:val="both"/>
        <w:rPr>
          <w:rFonts w:cs="Times New Roman"/>
          <w:noProof/>
          <w:szCs w:val="24"/>
        </w:rPr>
      </w:pPr>
      <w:r>
        <w:rPr>
          <w:i/>
          <w:noProof/>
        </w:rPr>
        <w:t>Pentru a aborda provocarea reprezentată de creșterea producției, a importului și a traficului de droguri sintetice, UE va intensifica eforturile operaționale de detectare și de desființare în condiții de siguranță a laboratoarelor clandestine și de oprire a afluxului de precursori de droguri.</w:t>
      </w:r>
    </w:p>
    <w:p w14:paraId="3D4F0DB3" w14:textId="17452E60" w:rsidR="00632E9E" w:rsidRPr="0075035A" w:rsidRDefault="005448D3" w:rsidP="008E288C">
      <w:pPr>
        <w:pStyle w:val="ContNum"/>
        <w:numPr>
          <w:ilvl w:val="1"/>
          <w:numId w:val="96"/>
        </w:numPr>
        <w:spacing w:after="120"/>
        <w:ind w:left="851"/>
        <w:rPr>
          <w:b/>
          <w:bCs/>
          <w:i/>
          <w:iCs/>
          <w:noProof/>
          <w:color w:val="000000" w:themeColor="text1"/>
          <w:szCs w:val="24"/>
        </w:rPr>
      </w:pPr>
      <w:r>
        <w:rPr>
          <w:b/>
          <w:i/>
          <w:noProof/>
          <w:color w:val="000000" w:themeColor="text1"/>
        </w:rPr>
        <w:t xml:space="preserve"> Consolidarea capacităților operaționale de detectare și de desființare a laboratoarelor clandestine</w:t>
      </w:r>
    </w:p>
    <w:p w14:paraId="709BD349" w14:textId="1EDFA47B" w:rsidR="00B73D5B" w:rsidRPr="0075035A" w:rsidRDefault="004D5949" w:rsidP="00A2296C">
      <w:pPr>
        <w:pStyle w:val="ContNum"/>
        <w:spacing w:after="120"/>
        <w:rPr>
          <w:noProof/>
          <w:szCs w:val="24"/>
        </w:rPr>
      </w:pPr>
      <w:r>
        <w:rPr>
          <w:noProof/>
          <w:color w:val="000000" w:themeColor="text1"/>
        </w:rPr>
        <w:t xml:space="preserve">Detectarea și desființarea laboratoarelor clandestine care produc și exportă droguri sintetice și substanțe psihoactive noi rămân provocări semnificative. Aceste substanțe reprezintă o prioritate importantă a EMPACT, în cadrul căreia poliția și autoritățile vamale colaborează pentru a obține rezultate. Cu sprijinul EMPACT, </w:t>
      </w:r>
      <w:r>
        <w:rPr>
          <w:noProof/>
        </w:rPr>
        <w:t>EUDA va contribui la o mai bună înțelegere a producției infracționale de droguri pe teritoriul UE prin dezvoltarea unei</w:t>
      </w:r>
      <w:r>
        <w:rPr>
          <w:b/>
          <w:noProof/>
        </w:rPr>
        <w:t xml:space="preserve"> baze de date europene privind incidentele legate de producția de droguri, </w:t>
      </w:r>
      <w:r>
        <w:rPr>
          <w:noProof/>
        </w:rPr>
        <w:t>în colaborare cu statele membre afectate.</w:t>
      </w:r>
    </w:p>
    <w:p w14:paraId="6A7F5066" w14:textId="0E48E323" w:rsidR="004E738E" w:rsidRPr="0075035A" w:rsidRDefault="000A1379" w:rsidP="00A2296C">
      <w:pPr>
        <w:pStyle w:val="ContNum"/>
        <w:spacing w:after="120"/>
        <w:rPr>
          <w:noProof/>
        </w:rPr>
      </w:pPr>
      <w:r>
        <w:rPr>
          <w:noProof/>
        </w:rPr>
        <w:t>Desființarea laboratoarelor de producție a drogurilor este complexă și prezintă riscuri grave pentru sănătatea publică și pentru autoritățile de aplicare a legii, precum și riscuri pentru mediu.</w:t>
      </w:r>
      <w:r>
        <w:rPr>
          <w:noProof/>
          <w:color w:val="000000" w:themeColor="text1"/>
        </w:rPr>
        <w:t xml:space="preserve"> Pentru a aborda acest aspect, Comisia și statele membre vor</w:t>
      </w:r>
      <w:r>
        <w:rPr>
          <w:b/>
          <w:noProof/>
          <w:color w:val="000000" w:themeColor="text1"/>
        </w:rPr>
        <w:t xml:space="preserve"> </w:t>
      </w:r>
      <w:r>
        <w:rPr>
          <w:noProof/>
          <w:color w:val="000000" w:themeColor="text1"/>
        </w:rPr>
        <w:t>furniza orientări și protocoale pentru a</w:t>
      </w:r>
      <w:r>
        <w:rPr>
          <w:b/>
          <w:noProof/>
          <w:color w:val="000000" w:themeColor="text1"/>
        </w:rPr>
        <w:t xml:space="preserve"> </w:t>
      </w:r>
      <w:r>
        <w:rPr>
          <w:noProof/>
          <w:color w:val="000000" w:themeColor="text1"/>
        </w:rPr>
        <w:t xml:space="preserve">ajuta autoritățile de aplicare a legii să detecteze și să desființeze </w:t>
      </w:r>
      <w:r>
        <w:rPr>
          <w:b/>
          <w:noProof/>
          <w:color w:val="000000" w:themeColor="text1"/>
        </w:rPr>
        <w:t xml:space="preserve">laboratoarele de droguri sintetice clandestine </w:t>
      </w:r>
      <w:r>
        <w:rPr>
          <w:noProof/>
          <w:color w:val="000000" w:themeColor="text1"/>
        </w:rPr>
        <w:t xml:space="preserve">utilizând tehnologii avansate de detectare și programe de formare specializate. Această abordare urmărește să reducă riscurile pentru autoritățile de aplicare a legii și daunele de mediu. În plus, Europol și CEPOL vor crea instrucțiuni pentru transportul și eliminarea în condiții de siguranță a substanțelor chimice și a echipamentelor confiscate, vor </w:t>
      </w:r>
      <w:r>
        <w:rPr>
          <w:noProof/>
        </w:rPr>
        <w:t>prezenta cele mai bune practici pentru desființarea în condiții de siguranță a laboratoarelor și vor consolida formarea și capacitățile în acest domeniu.</w:t>
      </w:r>
    </w:p>
    <w:p w14:paraId="436C3138" w14:textId="70CC1256" w:rsidR="00632E9E" w:rsidRPr="0075035A" w:rsidRDefault="00BA263B" w:rsidP="008E288C">
      <w:pPr>
        <w:pStyle w:val="ContNum"/>
        <w:numPr>
          <w:ilvl w:val="1"/>
          <w:numId w:val="96"/>
        </w:numPr>
        <w:spacing w:after="120"/>
        <w:ind w:left="851"/>
        <w:rPr>
          <w:b/>
          <w:bCs/>
          <w:i/>
          <w:iCs/>
          <w:noProof/>
          <w:color w:val="000000" w:themeColor="text1"/>
          <w:szCs w:val="24"/>
        </w:rPr>
      </w:pPr>
      <w:r>
        <w:rPr>
          <w:b/>
          <w:i/>
          <w:noProof/>
          <w:color w:val="000000" w:themeColor="text1"/>
        </w:rPr>
        <w:t xml:space="preserve"> Combaterea deturnării și a traficului de precursori de droguri și de pre-precursori </w:t>
      </w:r>
    </w:p>
    <w:p w14:paraId="2FED622F" w14:textId="1C221FB1" w:rsidR="4259B1EB" w:rsidRPr="0075035A" w:rsidRDefault="00126500" w:rsidP="00A2296C">
      <w:pPr>
        <w:pStyle w:val="ContNum"/>
        <w:spacing w:after="120"/>
        <w:rPr>
          <w:rFonts w:eastAsiaTheme="minorEastAsia"/>
          <w:noProof/>
          <w:color w:val="000000" w:themeColor="text1"/>
        </w:rPr>
      </w:pPr>
      <w:r>
        <w:rPr>
          <w:noProof/>
          <w:color w:val="000000" w:themeColor="text1"/>
        </w:rPr>
        <w:t>Precursorii de droguri sunt adesea utilizați în mod abuziv pentru a produce droguri sintetice și noi substanțe psihoactive, ceea ce reprezintă o amenințare semnificativă la adresa siguranței publice.</w:t>
      </w:r>
      <w:r>
        <w:rPr>
          <w:noProof/>
          <w:sz w:val="18"/>
        </w:rPr>
        <w:t xml:space="preserve"> </w:t>
      </w:r>
      <w:r>
        <w:rPr>
          <w:noProof/>
          <w:color w:val="000000" w:themeColor="text1"/>
        </w:rPr>
        <w:t>Revizuirea de către Comisie a legislației privind precursorii este esențială pentru îmbunătățirea monitorizării și a controlului precursorilor de droguri și al pre-precursorilor</w:t>
      </w:r>
      <w:r>
        <w:rPr>
          <w:rStyle w:val="FootnoteReference0"/>
          <w:rFonts w:eastAsiaTheme="minorEastAsia"/>
          <w:noProof/>
          <w:color w:val="000000" w:themeColor="text1"/>
          <w:szCs w:val="24"/>
        </w:rPr>
        <w:footnoteReference w:id="50"/>
      </w:r>
      <w:r>
        <w:rPr>
          <w:noProof/>
          <w:color w:val="000000" w:themeColor="text1"/>
        </w:rPr>
        <w:t>. Prezenta propunere urmărește să capaciteze autoritățile de aplicare a legii și operatorii economici să identifice mai eficient tranzacțiile suspecte, consolidând astfel cooperarea și vigilența în ceea ce privește prevenirea producției ilegale de droguri. Pentru a sprijini punerea în aplicare, EUDA va monitoriza evoluțiile legate de deturnarea și traficul de precursori de droguri. Aceasta va contribui, de asemenea, la punerea în aplicare a legislației UE privind precursorii de droguri prin dezvoltarea unui registru de informații privind precursorii de droguri, care va conține informații privind precursorii, facilitând schimbul de informații pentru identificarea acestora. În plus, UE ar trebui să își intensifice colaborarea cu partenerii internaționali pentru a monitoriza și, ulterior, a neutraliza producția ilicită, deturnarea și traficul de precursori de droguri, inclusiv de pre-precursori. Pentru a facilita anchetele criminalistice la nivel național, UE își va intensifica sprijinul pentru detectarea precursorilor utilizați în instalațiile de producție a drogurilor.</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B005C1" w:rsidRPr="0075035A" w14:paraId="4F5A8A78" w14:textId="77777777" w:rsidTr="57B22410">
        <w:trPr>
          <w:trHeight w:val="4382"/>
        </w:trPr>
        <w:tc>
          <w:tcPr>
            <w:tcW w:w="9576" w:type="dxa"/>
          </w:tcPr>
          <w:p w14:paraId="7E515E3C" w14:textId="3D1864CA" w:rsidR="00B005C1" w:rsidRDefault="00B005C1" w:rsidP="00404769">
            <w:pPr>
              <w:pStyle w:val="ContNum"/>
              <w:spacing w:after="0"/>
              <w:rPr>
                <w:b/>
                <w:noProof/>
                <w:color w:val="000000" w:themeColor="text1"/>
                <w:szCs w:val="24"/>
              </w:rPr>
            </w:pPr>
            <w:r>
              <w:rPr>
                <w:b/>
                <w:noProof/>
                <w:color w:val="000000" w:themeColor="text1"/>
              </w:rPr>
              <w:t>Priorități esențiale</w:t>
            </w:r>
          </w:p>
          <w:p w14:paraId="0F6EF685" w14:textId="77777777" w:rsidR="00404769" w:rsidRPr="0075035A" w:rsidRDefault="00404769" w:rsidP="00404769">
            <w:pPr>
              <w:pStyle w:val="ContNum"/>
              <w:spacing w:after="0"/>
              <w:rPr>
                <w:b/>
                <w:noProof/>
                <w:color w:val="000000" w:themeColor="text1"/>
                <w:szCs w:val="24"/>
              </w:rPr>
            </w:pPr>
          </w:p>
          <w:p w14:paraId="12991EE8" w14:textId="26DBBF53" w:rsidR="00B005C1" w:rsidRPr="0075035A" w:rsidRDefault="00B005C1" w:rsidP="00404769">
            <w:pPr>
              <w:pStyle w:val="ContNum"/>
              <w:spacing w:after="0"/>
              <w:rPr>
                <w:b/>
                <w:noProof/>
                <w:color w:val="000000" w:themeColor="text1"/>
                <w:szCs w:val="24"/>
              </w:rPr>
            </w:pPr>
            <w:r>
              <w:rPr>
                <w:b/>
                <w:noProof/>
                <w:color w:val="000000" w:themeColor="text1"/>
              </w:rPr>
              <w:t>Comisia:</w:t>
            </w:r>
          </w:p>
          <w:p w14:paraId="17436E8B" w14:textId="7123DE31" w:rsidR="00B005C1" w:rsidRPr="0075035A" w:rsidRDefault="00B005C1">
            <w:pPr>
              <w:pStyle w:val="ContNum"/>
              <w:numPr>
                <w:ilvl w:val="0"/>
                <w:numId w:val="102"/>
              </w:numPr>
              <w:spacing w:after="120"/>
              <w:rPr>
                <w:b/>
                <w:noProof/>
                <w:color w:val="000000" w:themeColor="text1"/>
                <w:szCs w:val="24"/>
              </w:rPr>
            </w:pPr>
            <w:r>
              <w:rPr>
                <w:b/>
                <w:noProof/>
                <w:color w:val="000000" w:themeColor="text1"/>
              </w:rPr>
              <w:t>va pune în aplicare, în strânsă colaborare cu statele membre și cu agențiile relevante ale UE, planul de acțiune specific al UE de combatere a traficului de droguri;</w:t>
            </w:r>
          </w:p>
          <w:p w14:paraId="5638C866" w14:textId="0C8D13D8" w:rsidR="00DB6211" w:rsidRPr="0075035A" w:rsidRDefault="00DB6211">
            <w:pPr>
              <w:pStyle w:val="ContNum"/>
              <w:numPr>
                <w:ilvl w:val="0"/>
                <w:numId w:val="102"/>
              </w:numPr>
              <w:spacing w:after="120"/>
              <w:rPr>
                <w:b/>
                <w:noProof/>
                <w:color w:val="000000" w:themeColor="text1"/>
                <w:szCs w:val="24"/>
              </w:rPr>
            </w:pPr>
            <w:r>
              <w:rPr>
                <w:b/>
                <w:noProof/>
                <w:color w:val="000000" w:themeColor="text1"/>
              </w:rPr>
              <w:t>va evalua în 2026 Decizia-cadru existentă privind traficul de droguri;</w:t>
            </w:r>
          </w:p>
          <w:p w14:paraId="3F03F014" w14:textId="33AEA8CF" w:rsidR="00142D6B" w:rsidRPr="0075035A" w:rsidRDefault="005C286F" w:rsidP="57B22410">
            <w:pPr>
              <w:pStyle w:val="ContNum"/>
              <w:numPr>
                <w:ilvl w:val="0"/>
                <w:numId w:val="102"/>
              </w:numPr>
              <w:spacing w:after="120"/>
              <w:rPr>
                <w:b/>
                <w:bCs/>
                <w:noProof/>
                <w:color w:val="000000" w:themeColor="text1"/>
              </w:rPr>
            </w:pPr>
            <w:r>
              <w:rPr>
                <w:b/>
                <w:noProof/>
                <w:color w:val="000000" w:themeColor="text1"/>
              </w:rPr>
              <w:t>va prezenta o strategie portuară a UE, cu un accent puternic pe securitatea portuară;</w:t>
            </w:r>
          </w:p>
          <w:p w14:paraId="0F23236C" w14:textId="77777777" w:rsidR="00407696" w:rsidRPr="00407696" w:rsidRDefault="00331806" w:rsidP="4F60382D">
            <w:pPr>
              <w:pStyle w:val="ContNum"/>
              <w:numPr>
                <w:ilvl w:val="0"/>
                <w:numId w:val="102"/>
              </w:numPr>
              <w:spacing w:after="120"/>
              <w:rPr>
                <w:b/>
                <w:bCs/>
                <w:noProof/>
                <w:color w:val="333333"/>
              </w:rPr>
            </w:pPr>
            <w:r>
              <w:rPr>
                <w:b/>
                <w:noProof/>
                <w:color w:val="000000" w:themeColor="text1"/>
              </w:rPr>
              <w:t xml:space="preserve">va colabora cu colegiuitorii pentru a promova adoptarea rapidă a noilor norme privind precursorii; </w:t>
            </w:r>
          </w:p>
          <w:p w14:paraId="4673B0F9" w14:textId="0A37862D" w:rsidR="003A3A99" w:rsidRPr="0075035A" w:rsidRDefault="64AC04FC" w:rsidP="4F60382D">
            <w:pPr>
              <w:pStyle w:val="ContNum"/>
              <w:numPr>
                <w:ilvl w:val="0"/>
                <w:numId w:val="102"/>
              </w:numPr>
              <w:spacing w:after="120"/>
              <w:rPr>
                <w:b/>
                <w:bCs/>
                <w:noProof/>
                <w:color w:val="333333"/>
              </w:rPr>
            </w:pPr>
            <w:r>
              <w:rPr>
                <w:b/>
                <w:noProof/>
                <w:color w:val="000000" w:themeColor="text1"/>
              </w:rPr>
              <w:t xml:space="preserve">va evalua fezabilitatea instituirii </w:t>
            </w:r>
            <w:r>
              <w:rPr>
                <w:b/>
                <w:noProof/>
                <w:color w:val="333333"/>
              </w:rPr>
              <w:t>unui nou sistem la nivelul UE pentru urmărirea finanțării legate atât de criminalitatea organizată, cât și de terorism</w:t>
            </w:r>
            <w:r>
              <w:rPr>
                <w:b/>
                <w:noProof/>
              </w:rPr>
              <w:t>.</w:t>
            </w:r>
          </w:p>
          <w:p w14:paraId="10F4902F" w14:textId="0C0A02B2" w:rsidR="00B005C1" w:rsidRPr="0075035A" w:rsidRDefault="00FE4771">
            <w:pPr>
              <w:pStyle w:val="ContNum"/>
              <w:spacing w:after="120"/>
              <w:rPr>
                <w:b/>
                <w:noProof/>
                <w:color w:val="000000" w:themeColor="text1"/>
                <w:szCs w:val="24"/>
              </w:rPr>
            </w:pPr>
            <w:r>
              <w:rPr>
                <w:b/>
                <w:noProof/>
                <w:color w:val="000000" w:themeColor="text1"/>
              </w:rPr>
              <w:t>Cu sprijinul EMPACT, EUDA:</w:t>
            </w:r>
          </w:p>
          <w:p w14:paraId="406F5D2F" w14:textId="7D73AA05" w:rsidR="00064412" w:rsidRPr="0075035A" w:rsidRDefault="00B005C1">
            <w:pPr>
              <w:pStyle w:val="ContNum"/>
              <w:numPr>
                <w:ilvl w:val="0"/>
                <w:numId w:val="102"/>
              </w:numPr>
              <w:spacing w:after="120"/>
              <w:rPr>
                <w:b/>
                <w:noProof/>
                <w:color w:val="000000" w:themeColor="text1"/>
              </w:rPr>
            </w:pPr>
            <w:r>
              <w:rPr>
                <w:b/>
                <w:noProof/>
                <w:color w:val="000000" w:themeColor="text1"/>
              </w:rPr>
              <w:t>va dezvolta o bază de date europeană privind incidentele legate de producția de droguri.</w:t>
            </w:r>
          </w:p>
          <w:p w14:paraId="2D69CDCF" w14:textId="3A1E7D50" w:rsidR="00B005C1" w:rsidRPr="0075035A" w:rsidRDefault="00B005C1">
            <w:pPr>
              <w:pStyle w:val="ContNum"/>
              <w:spacing w:after="120"/>
              <w:rPr>
                <w:b/>
                <w:noProof/>
                <w:color w:val="000000" w:themeColor="text1"/>
                <w:szCs w:val="24"/>
              </w:rPr>
            </w:pPr>
            <w:r>
              <w:rPr>
                <w:b/>
                <w:noProof/>
                <w:color w:val="000000" w:themeColor="text1"/>
              </w:rPr>
              <w:t>Statele membre sunt încurajate:</w:t>
            </w:r>
          </w:p>
          <w:p w14:paraId="2CFA5C9C" w14:textId="69E4C470" w:rsidR="00DB6211" w:rsidRPr="0075035A" w:rsidRDefault="00DB6211">
            <w:pPr>
              <w:pStyle w:val="ContNum"/>
              <w:numPr>
                <w:ilvl w:val="0"/>
                <w:numId w:val="102"/>
              </w:numPr>
              <w:spacing w:after="120"/>
              <w:rPr>
                <w:b/>
                <w:bCs/>
                <w:noProof/>
                <w:color w:val="000000" w:themeColor="text1"/>
                <w:szCs w:val="24"/>
              </w:rPr>
            </w:pPr>
            <w:r>
              <w:rPr>
                <w:b/>
                <w:noProof/>
                <w:color w:val="000000" w:themeColor="text1"/>
              </w:rPr>
              <w:t xml:space="preserve">să consolideze capacitățile autorităților naționale de a detecta, investiga și urmări penal traficul de droguri; </w:t>
            </w:r>
          </w:p>
          <w:p w14:paraId="4F095ABC" w14:textId="16B4258E" w:rsidR="00B005C1" w:rsidRPr="0075035A" w:rsidRDefault="006B7578">
            <w:pPr>
              <w:pStyle w:val="ContNum"/>
              <w:numPr>
                <w:ilvl w:val="0"/>
                <w:numId w:val="102"/>
              </w:numPr>
              <w:spacing w:after="120"/>
              <w:rPr>
                <w:b/>
                <w:noProof/>
                <w:color w:val="000000" w:themeColor="text1"/>
                <w:szCs w:val="24"/>
              </w:rPr>
            </w:pPr>
            <w:r>
              <w:rPr>
                <w:b/>
                <w:noProof/>
                <w:color w:val="000000" w:themeColor="text1"/>
              </w:rPr>
              <w:t>să încorporeze în legislația națională și să pună în aplicare normele consolidate privind recuperarea și confiscarea activelor;</w:t>
            </w:r>
          </w:p>
          <w:p w14:paraId="3EB56117" w14:textId="16FAFA16" w:rsidR="00B005C1" w:rsidRPr="0075035A" w:rsidRDefault="00B005C1">
            <w:pPr>
              <w:pStyle w:val="ContNum"/>
              <w:numPr>
                <w:ilvl w:val="0"/>
                <w:numId w:val="102"/>
              </w:numPr>
              <w:spacing w:after="120"/>
              <w:rPr>
                <w:b/>
                <w:bCs/>
                <w:noProof/>
                <w:color w:val="000000" w:themeColor="text1"/>
                <w:szCs w:val="24"/>
              </w:rPr>
            </w:pPr>
            <w:r>
              <w:rPr>
                <w:b/>
                <w:noProof/>
                <w:color w:val="000000" w:themeColor="text1"/>
              </w:rPr>
              <w:t>să detecteze și să prevină infiltrarea criminalității în întreprinderile legale prin intermediul abordării administrative.</w:t>
            </w:r>
          </w:p>
        </w:tc>
      </w:tr>
    </w:tbl>
    <w:p w14:paraId="35D99AA9" w14:textId="77777777" w:rsidR="00032AAA" w:rsidRPr="0075035A" w:rsidRDefault="00032AAA" w:rsidP="00404769">
      <w:pPr>
        <w:pStyle w:val="ContNum"/>
        <w:spacing w:after="120"/>
        <w:rPr>
          <w:b/>
          <w:bCs/>
          <w:noProof/>
          <w:color w:val="000000" w:themeColor="text1"/>
          <w:szCs w:val="24"/>
        </w:rPr>
      </w:pPr>
    </w:p>
    <w:p w14:paraId="2AC65F99" w14:textId="2EF402A4" w:rsidR="00632E9E" w:rsidRPr="0075035A" w:rsidRDefault="005E2E9B" w:rsidP="00B40C65">
      <w:pPr>
        <w:pStyle w:val="Heading2"/>
        <w:spacing w:line="240" w:lineRule="auto"/>
        <w:rPr>
          <w:noProof/>
        </w:rPr>
      </w:pPr>
      <w:bookmarkStart w:id="58" w:name="_Toc209853385"/>
      <w:bookmarkStart w:id="59" w:name="_Toc212204035"/>
      <w:bookmarkStart w:id="60" w:name="_Toc961271079"/>
      <w:bookmarkStart w:id="61" w:name="_Toc1619700311"/>
      <w:r>
        <w:rPr>
          <w:noProof/>
        </w:rPr>
        <w:t>Abordarea riscurilor și a efectelor negative</w:t>
      </w:r>
      <w:bookmarkEnd w:id="58"/>
      <w:bookmarkEnd w:id="59"/>
      <w:bookmarkEnd w:id="60"/>
      <w:bookmarkEnd w:id="61"/>
    </w:p>
    <w:p w14:paraId="37209E3C" w14:textId="77777777" w:rsidR="00632E9E" w:rsidRPr="0075035A" w:rsidRDefault="00632E9E" w:rsidP="00A2296C">
      <w:pPr>
        <w:pStyle w:val="Style2"/>
        <w:numPr>
          <w:ilvl w:val="0"/>
          <w:numId w:val="0"/>
        </w:numPr>
        <w:spacing w:line="240" w:lineRule="auto"/>
        <w:rPr>
          <w:noProof/>
        </w:rPr>
      </w:pPr>
    </w:p>
    <w:p w14:paraId="77DEFF19" w14:textId="78452F87" w:rsidR="00B02FAF" w:rsidRPr="0075035A" w:rsidRDefault="002B743A" w:rsidP="009678FC">
      <w:pPr>
        <w:spacing w:after="240" w:line="240" w:lineRule="auto"/>
        <w:jc w:val="both"/>
        <w:rPr>
          <w:rFonts w:cs="Times New Roman"/>
          <w:noProof/>
        </w:rPr>
      </w:pPr>
      <w:r>
        <w:rPr>
          <w:noProof/>
          <w:color w:val="000000" w:themeColor="text1"/>
        </w:rPr>
        <w:t>Impactul potențial al substanțelor ilicite asupra consumatorilor de droguri, asupra spațiilor publice și asupra societății reprezintă o preocupare din ce în ce mai mare. Creșterea numărului de noi substanțe psihoactive potente crește riscul de decese cauzate de supradoze, în timp ce traficul de droguri introduce violență și provoacă daune de mediu la nivelul comunităților locale. Pentru a aborda aceste aspecte, UE trebuie să se concentreze pe reducerea semnificativă a riscurilor și a efectelor negative legate de droguri, precum și pe îmbunătățirea pregătirii.</w:t>
      </w:r>
    </w:p>
    <w:p w14:paraId="079DD515" w14:textId="0CA802A6" w:rsidR="008813CC" w:rsidRPr="0075035A" w:rsidRDefault="380AA716" w:rsidP="00541FED">
      <w:pPr>
        <w:pStyle w:val="Heading3"/>
        <w:ind w:left="0"/>
        <w:rPr>
          <w:noProof/>
        </w:rPr>
      </w:pPr>
      <w:bookmarkStart w:id="62" w:name="_Toc209853386"/>
      <w:bookmarkStart w:id="63" w:name="_Toc212204036"/>
      <w:bookmarkStart w:id="64" w:name="_Toc1552077532"/>
      <w:bookmarkStart w:id="65" w:name="_Toc1859895619"/>
      <w:r>
        <w:rPr>
          <w:noProof/>
        </w:rPr>
        <w:t>Prioritatea strategică 7: reducerea efectelor negative individuale legate de consumul de droguri</w:t>
      </w:r>
      <w:bookmarkEnd w:id="62"/>
      <w:bookmarkEnd w:id="63"/>
      <w:bookmarkEnd w:id="64"/>
      <w:bookmarkEnd w:id="65"/>
    </w:p>
    <w:p w14:paraId="300760C5" w14:textId="24823677" w:rsidR="00E456AD" w:rsidRPr="0075035A" w:rsidRDefault="002B743A" w:rsidP="00B712CC">
      <w:pPr>
        <w:pStyle w:val="ContNum"/>
        <w:pBdr>
          <w:top w:val="single" w:sz="4" w:space="1" w:color="auto"/>
          <w:left w:val="single" w:sz="4" w:space="4" w:color="auto"/>
          <w:bottom w:val="single" w:sz="4" w:space="1" w:color="auto"/>
          <w:right w:val="single" w:sz="4" w:space="4" w:color="auto"/>
        </w:pBdr>
        <w:spacing w:after="120"/>
        <w:rPr>
          <w:i/>
          <w:iCs/>
          <w:noProof/>
          <w:color w:val="000000" w:themeColor="text1"/>
          <w:szCs w:val="24"/>
        </w:rPr>
      </w:pPr>
      <w:r>
        <w:rPr>
          <w:i/>
          <w:noProof/>
          <w:color w:val="000000" w:themeColor="text1"/>
        </w:rPr>
        <w:t>Într-un sistem continuu de îngrijire care include prevenirea și tratamentul, UE și statele membre vor spori disponibilitatea unor intervenții eficace de reducere a efectelor negative și a riscurilor pentru a proteja consumatorii de droguri împotriva efectelor negative.</w:t>
      </w:r>
    </w:p>
    <w:p w14:paraId="1E4CACA3" w14:textId="09184236" w:rsidR="00F6660B" w:rsidRPr="0075035A" w:rsidRDefault="00F6660B" w:rsidP="005C5373">
      <w:pPr>
        <w:pStyle w:val="ContNum"/>
        <w:numPr>
          <w:ilvl w:val="1"/>
          <w:numId w:val="97"/>
        </w:numPr>
        <w:rPr>
          <w:b/>
          <w:bCs/>
          <w:i/>
          <w:iCs/>
          <w:noProof/>
          <w:color w:val="000000" w:themeColor="text1"/>
          <w:szCs w:val="24"/>
        </w:rPr>
      </w:pPr>
      <w:r>
        <w:rPr>
          <w:b/>
          <w:i/>
          <w:noProof/>
          <w:color w:val="000000" w:themeColor="text1"/>
        </w:rPr>
        <w:t xml:space="preserve"> Creșterea disponibilității și a acoperirii intervențiilor bazate pe dovezi menite să reducă efectele negative și riscurile</w:t>
      </w:r>
    </w:p>
    <w:p w14:paraId="05172C73" w14:textId="7C3E2504" w:rsidR="005A05E6" w:rsidRPr="0075035A" w:rsidRDefault="60E0E452" w:rsidP="00A2296C">
      <w:pPr>
        <w:spacing w:line="240" w:lineRule="auto"/>
        <w:jc w:val="both"/>
        <w:rPr>
          <w:rFonts w:cs="Times New Roman"/>
          <w:noProof/>
          <w:color w:val="000000" w:themeColor="text1"/>
          <w:szCs w:val="24"/>
        </w:rPr>
      </w:pPr>
      <w:r>
        <w:rPr>
          <w:noProof/>
          <w:color w:val="000000" w:themeColor="text1"/>
        </w:rPr>
        <w:t>Întrucât drogurile noi generează riscuri noi, statele membre</w:t>
      </w:r>
      <w:r>
        <w:rPr>
          <w:b/>
          <w:noProof/>
          <w:color w:val="000000" w:themeColor="text1"/>
        </w:rPr>
        <w:t xml:space="preserve"> </w:t>
      </w:r>
      <w:r>
        <w:rPr>
          <w:noProof/>
          <w:color w:val="000000" w:themeColor="text1"/>
        </w:rPr>
        <w:t xml:space="preserve">trebuie să extindă și să adapteze intervențiile de reducere a efectelor negative. Colaborarea strânsă </w:t>
      </w:r>
      <w:r>
        <w:rPr>
          <w:noProof/>
        </w:rPr>
        <w:t xml:space="preserve">dintre </w:t>
      </w:r>
      <w:r>
        <w:rPr>
          <w:noProof/>
          <w:color w:val="000000" w:themeColor="text1"/>
        </w:rPr>
        <w:t xml:space="preserve">profesioniștii din domeniul sănătății și din domeniul social, </w:t>
      </w:r>
      <w:r>
        <w:rPr>
          <w:noProof/>
        </w:rPr>
        <w:t>societatea civilă și grupurile colegiale este esențială. Intervențiile ar trebui să fie integrate cu alte activități de promovare a sănătății pentru a ajunge la populațiile cu risc ridicat, de exemplu prin intermediul sălilor pentru consumul sigur și supravegheat de droguri, al unităților de verificare a drogurilor sau al unităților mobile care oferă sprijin social și în materie de sănătate.</w:t>
      </w:r>
      <w:r>
        <w:rPr>
          <w:noProof/>
          <w:color w:val="000000" w:themeColor="text1"/>
        </w:rPr>
        <w:t xml:space="preserve"> Măsurile de reducere a riscurilor și a efectelor negative</w:t>
      </w:r>
      <w:r>
        <w:rPr>
          <w:noProof/>
        </w:rPr>
        <w:t xml:space="preserve">, inclusiv acțiunile sprijinite prin fondurile </w:t>
      </w:r>
      <w:r>
        <w:rPr>
          <w:noProof/>
          <w:u w:val="single"/>
        </w:rPr>
        <w:t>politicii</w:t>
      </w:r>
      <w:r>
        <w:rPr>
          <w:noProof/>
        </w:rPr>
        <w:t xml:space="preserve"> de coeziune, </w:t>
      </w:r>
      <w:r>
        <w:rPr>
          <w:noProof/>
          <w:color w:val="000000" w:themeColor="text1"/>
        </w:rPr>
        <w:t>trebuie să fie integrate în politicile și realitățile regionale și locale, actorii colaborând pentru a promova sănătatea, siguranța și securitatea la nivelul comunității</w:t>
      </w:r>
      <w:r>
        <w:rPr>
          <w:noProof/>
        </w:rPr>
        <w:t>.</w:t>
      </w:r>
      <w:r>
        <w:rPr>
          <w:noProof/>
          <w:color w:val="000000" w:themeColor="text1"/>
        </w:rPr>
        <w:t xml:space="preserve"> </w:t>
      </w:r>
    </w:p>
    <w:p w14:paraId="4CAB4B28" w14:textId="177D31FD" w:rsidR="00B00072" w:rsidRPr="0075035A" w:rsidRDefault="3F673C4A" w:rsidP="2107E1B0">
      <w:pPr>
        <w:pStyle w:val="ContNum"/>
        <w:rPr>
          <w:noProof/>
          <w:color w:val="000000" w:themeColor="text1"/>
        </w:rPr>
      </w:pPr>
      <w:r>
        <w:rPr>
          <w:noProof/>
          <w:color w:val="000000" w:themeColor="text1"/>
        </w:rPr>
        <w:t xml:space="preserve">Intervențiile de reducere a efectelor negative care urmăresc să prevină sau să reducă riscurile de supradoză, de boli infecțioase și de infecții care pun viața în pericol necesită o atenție specială. Statele membre sunt îndemnate să ia măsuri pentru a preveni sau a reduce riscul de </w:t>
      </w:r>
      <w:r>
        <w:rPr>
          <w:b/>
          <w:noProof/>
          <w:color w:val="000000" w:themeColor="text1"/>
        </w:rPr>
        <w:t>supradoză de droguri și de deces</w:t>
      </w:r>
      <w:r>
        <w:rPr>
          <w:noProof/>
          <w:color w:val="000000" w:themeColor="text1"/>
        </w:rPr>
        <w:t>, în special în ceea ce privește opioidele, prin creșterea accesului la intervenții bazate pe dovezi, cum ar fi tratamentele cu agonist opioid și naloxonă, inclusiv programele de administrare de naloxonă la domiciliu. Strategiile inovatoare sunt, de asemenea, esențiale pentru abordarea riscurilor asociate drogurilor noi, cum ar fi canabinoidele sintetice, și noilor metode de utilizare, cum ar fi vapatul.</w:t>
      </w:r>
    </w:p>
    <w:p w14:paraId="0B563887" w14:textId="02F290A6" w:rsidR="00C41B9F" w:rsidRPr="0075035A" w:rsidRDefault="002140F2" w:rsidP="0035108F">
      <w:pPr>
        <w:pStyle w:val="ContNum"/>
        <w:rPr>
          <w:noProof/>
          <w:szCs w:val="24"/>
        </w:rPr>
      </w:pPr>
      <w:r>
        <w:rPr>
          <w:noProof/>
        </w:rPr>
        <w:t>Eforturile suplimentare ar trebui să se concentreze pe</w:t>
      </w:r>
      <w:r>
        <w:rPr>
          <w:b/>
          <w:noProof/>
        </w:rPr>
        <w:t xml:space="preserve"> </w:t>
      </w:r>
      <w:r>
        <w:rPr>
          <w:noProof/>
        </w:rPr>
        <w:t xml:space="preserve">prevenirea, tratarea și reducerea </w:t>
      </w:r>
      <w:r>
        <w:rPr>
          <w:b/>
          <w:noProof/>
        </w:rPr>
        <w:t>infecțiilor cu transmitere hematogenă</w:t>
      </w:r>
      <w:r>
        <w:rPr>
          <w:noProof/>
        </w:rPr>
        <w:t xml:space="preserve"> asociate consumului de droguri, în special HIV și hepatita C (HCV), precum și a bolilor care pot fi prevenite prin vaccinare, cum ar fi hepatita A și B. Persoanele care își injectează droguri ar trebui să aibă acces la intervenții salvatoare de vieți bazate pe orientările EUDA și ECDC privind prevenirea și controlul bolilor infecțioase</w:t>
      </w:r>
      <w:r>
        <w:rPr>
          <w:rStyle w:val="FootnoteReference0"/>
          <w:noProof/>
        </w:rPr>
        <w:footnoteReference w:id="51"/>
      </w:r>
      <w:r>
        <w:rPr>
          <w:noProof/>
        </w:rPr>
        <w:t xml:space="preserve">. Programele de punere la dispoziție a acelor și a seringilor la scară largă, alături de testarea și tratamentul voluntar pentru HIV și VHC, sunt esențiale. Comisia va colabora cu Forumul societății civile în materie de droguri pentru a </w:t>
      </w:r>
      <w:r>
        <w:rPr>
          <w:b/>
          <w:noProof/>
        </w:rPr>
        <w:t>identifica barierele sistemice care afectează populațiile vulnerabile</w:t>
      </w:r>
      <w:r>
        <w:rPr>
          <w:noProof/>
        </w:rPr>
        <w:t>, inclusiv persoanele care consumă droguri.</w:t>
      </w:r>
    </w:p>
    <w:p w14:paraId="2876A3BF" w14:textId="6CFDD041" w:rsidR="00506ED7" w:rsidRPr="0075035A" w:rsidRDefault="000B2892" w:rsidP="0035108F">
      <w:pPr>
        <w:spacing w:line="240" w:lineRule="auto"/>
        <w:jc w:val="both"/>
        <w:rPr>
          <w:rFonts w:cs="Times New Roman"/>
          <w:noProof/>
          <w:color w:val="000000" w:themeColor="text1"/>
          <w:szCs w:val="24"/>
        </w:rPr>
      </w:pPr>
      <w:r>
        <w:rPr>
          <w:noProof/>
          <w:color w:val="000000" w:themeColor="text1"/>
        </w:rPr>
        <w:t>În plus, statele membre ar trebui să ia în considerare</w:t>
      </w:r>
      <w:r>
        <w:rPr>
          <w:b/>
          <w:noProof/>
          <w:color w:val="000000" w:themeColor="text1"/>
        </w:rPr>
        <w:t xml:space="preserve"> </w:t>
      </w:r>
      <w:r>
        <w:rPr>
          <w:noProof/>
          <w:color w:val="000000" w:themeColor="text1"/>
        </w:rPr>
        <w:t>elaborarea și punerea în aplicare a unor</w:t>
      </w:r>
      <w:r>
        <w:rPr>
          <w:b/>
          <w:noProof/>
          <w:color w:val="000000" w:themeColor="text1"/>
        </w:rPr>
        <w:t xml:space="preserve"> intervenții specifice de reducere a efectelor negative </w:t>
      </w:r>
      <w:r>
        <w:rPr>
          <w:noProof/>
          <w:color w:val="000000" w:themeColor="text1"/>
        </w:rPr>
        <w:t>pentru grupuri specifice expuse riscurilor. Printre acestea se numără persoanele cu tulburări psihice, persoanele aflate în centre de detenție, persoanele LGBTIQ+, migranții, precum și tinerii aflați în medii recreative, cum ar fi cluburile de noapte sau festivalurile.</w:t>
      </w:r>
    </w:p>
    <w:p w14:paraId="7C763164" w14:textId="0392DCD8" w:rsidR="00F6660B" w:rsidRPr="0075035A" w:rsidRDefault="0003626B" w:rsidP="008E288C">
      <w:pPr>
        <w:pStyle w:val="ContNum"/>
        <w:numPr>
          <w:ilvl w:val="1"/>
          <w:numId w:val="97"/>
        </w:numPr>
        <w:rPr>
          <w:b/>
          <w:bCs/>
          <w:i/>
          <w:iCs/>
          <w:noProof/>
          <w:color w:val="000000" w:themeColor="text1"/>
          <w:szCs w:val="24"/>
        </w:rPr>
      </w:pPr>
      <w:r>
        <w:rPr>
          <w:b/>
          <w:i/>
          <w:noProof/>
          <w:color w:val="000000" w:themeColor="text1"/>
        </w:rPr>
        <w:t xml:space="preserve"> Diseminarea dovezilor privind intervențiile eficace de reducere a efectelor negative </w:t>
      </w:r>
    </w:p>
    <w:p w14:paraId="6036CADB" w14:textId="2EA3D253" w:rsidR="00F6660B" w:rsidRPr="0075035A" w:rsidRDefault="005A05E6" w:rsidP="00A2296C">
      <w:pPr>
        <w:pStyle w:val="ContNum"/>
        <w:rPr>
          <w:b/>
          <w:bCs/>
          <w:noProof/>
          <w:color w:val="657C9C" w:themeColor="text2" w:themeTint="BF"/>
          <w:szCs w:val="24"/>
        </w:rPr>
      </w:pPr>
      <w:r>
        <w:rPr>
          <w:noProof/>
          <w:color w:val="000000" w:themeColor="text1"/>
        </w:rPr>
        <w:t>Deși există diverse măsuri de reducere a riscurilor și a efectelor negative pentru a ajunge la populațiile cu risc ridicat, ar trebui puse la dispoziție măsuri inovatoare suplimentare pe măsură ce drogurile și consumul de droguri evoluează. EUDA va revizui eficacitatea noilor intervenții și va face schimb de bune practici prin intermediul unei baze de date privind reducerea efectelor negative. Aceste eforturi vor asigura disponibilitatea pe scară largă a informațiilor pentru</w:t>
      </w:r>
      <w:r>
        <w:rPr>
          <w:noProof/>
        </w:rPr>
        <w:t xml:space="preserve"> </w:t>
      </w:r>
      <w:r>
        <w:rPr>
          <w:b/>
          <w:noProof/>
        </w:rPr>
        <w:t xml:space="preserve">a sprijini elaborarea unor standarde de calitate </w:t>
      </w:r>
      <w:r>
        <w:rPr>
          <w:noProof/>
        </w:rPr>
        <w:t>privind reducerea efectelor negative.</w:t>
      </w:r>
    </w:p>
    <w:p w14:paraId="3CA35F67" w14:textId="29E21378" w:rsidR="00632E9E" w:rsidRPr="0075035A" w:rsidRDefault="764A53F3" w:rsidP="4F60382D">
      <w:pPr>
        <w:pStyle w:val="ContNum"/>
        <w:rPr>
          <w:noProof/>
          <w:color w:val="000000" w:themeColor="text1"/>
        </w:rPr>
      </w:pPr>
      <w:r>
        <w:rPr>
          <w:noProof/>
          <w:color w:val="000000" w:themeColor="text1"/>
        </w:rPr>
        <w:t xml:space="preserve">Pe baza succesului programei europene de prevenire, EUDA va elabora un program de formare specific pentru a îmbunătăți punerea în aplicare a măsurilor de reducere a efectelor negative bazate pe dovezi. </w:t>
      </w:r>
      <w:r>
        <w:rPr>
          <w:b/>
          <w:noProof/>
          <w:color w:val="000000" w:themeColor="text1"/>
        </w:rPr>
        <w:t xml:space="preserve">Programa europeană de reducere a efectelor negative </w:t>
      </w:r>
      <w:r>
        <w:rPr>
          <w:noProof/>
          <w:color w:val="000000" w:themeColor="text1"/>
        </w:rPr>
        <w:t>va ajuta statele membre să își consolideze capacitățile de reducere a efectelor negative în întreaga Europă.</w:t>
      </w:r>
    </w:p>
    <w:p w14:paraId="628FD193" w14:textId="0F6CCF0D" w:rsidR="00632E9E" w:rsidRPr="0075035A" w:rsidRDefault="00632E9E" w:rsidP="00541FED">
      <w:pPr>
        <w:pStyle w:val="Heading3"/>
        <w:ind w:left="0"/>
        <w:rPr>
          <w:noProof/>
        </w:rPr>
      </w:pPr>
      <w:bookmarkStart w:id="66" w:name="_Toc209853387"/>
      <w:bookmarkStart w:id="67" w:name="_Toc212204037"/>
      <w:bookmarkStart w:id="68" w:name="_Toc652626365"/>
      <w:bookmarkStart w:id="69" w:name="_Toc334216602"/>
      <w:r>
        <w:rPr>
          <w:noProof/>
        </w:rPr>
        <w:t>Prioritatea strategică 8: atenuarea impactului social și de mediu</w:t>
      </w:r>
      <w:bookmarkEnd w:id="66"/>
      <w:bookmarkEnd w:id="67"/>
      <w:bookmarkEnd w:id="68"/>
      <w:bookmarkEnd w:id="69"/>
    </w:p>
    <w:p w14:paraId="798D77F6" w14:textId="631FB82C" w:rsidR="002C7B76" w:rsidRPr="0075035A" w:rsidRDefault="00AD55ED" w:rsidP="00B712CC">
      <w:pPr>
        <w:pBdr>
          <w:top w:val="single" w:sz="4" w:space="1" w:color="auto"/>
          <w:left w:val="single" w:sz="4" w:space="4" w:color="auto"/>
          <w:bottom w:val="single" w:sz="4" w:space="1" w:color="auto"/>
          <w:right w:val="single" w:sz="4" w:space="4" w:color="auto"/>
        </w:pBdr>
        <w:jc w:val="both"/>
        <w:rPr>
          <w:rFonts w:cs="Times New Roman"/>
          <w:i/>
          <w:iCs/>
          <w:noProof/>
          <w:szCs w:val="24"/>
        </w:rPr>
      </w:pPr>
      <w:r>
        <w:rPr>
          <w:i/>
          <w:noProof/>
        </w:rPr>
        <w:t>UE își va intensifica eforturile de prevenire a criminalității pentru a combate violența tot mai mare asociată traficului de droguri ilicite, acordând o atenție deosebită protejării tinerilor împotriva recrutării în scopuri infracționale și reducerii efectelor negative cauzate de drogurile ilicite societății, comunităților locale și mediului.</w:t>
      </w:r>
    </w:p>
    <w:p w14:paraId="339342E2" w14:textId="57E41CCA" w:rsidR="00C41B9F" w:rsidRPr="0075035A" w:rsidRDefault="0E458083" w:rsidP="008E288C">
      <w:pPr>
        <w:pStyle w:val="ContNum"/>
        <w:numPr>
          <w:ilvl w:val="1"/>
          <w:numId w:val="98"/>
        </w:numPr>
        <w:ind w:left="851"/>
        <w:rPr>
          <w:b/>
          <w:bCs/>
          <w:i/>
          <w:iCs/>
          <w:noProof/>
          <w:color w:val="000000" w:themeColor="text1"/>
          <w:szCs w:val="24"/>
        </w:rPr>
      </w:pPr>
      <w:r>
        <w:rPr>
          <w:b/>
          <w:i/>
          <w:noProof/>
          <w:color w:val="000000" w:themeColor="text1"/>
        </w:rPr>
        <w:t xml:space="preserve"> Combaterea violenței legate de droguri și intensificarea prevenirii criminalității</w:t>
      </w:r>
    </w:p>
    <w:p w14:paraId="0FCC1235" w14:textId="0053D6AB" w:rsidR="00425F4D" w:rsidRPr="0075035A" w:rsidRDefault="25C449A9" w:rsidP="3FF7C06E">
      <w:pPr>
        <w:pStyle w:val="ContNum"/>
        <w:rPr>
          <w:noProof/>
          <w:color w:val="000000" w:themeColor="text1"/>
        </w:rPr>
      </w:pPr>
      <w:r>
        <w:rPr>
          <w:noProof/>
          <w:color w:val="000000" w:themeColor="text1"/>
        </w:rPr>
        <w:t xml:space="preserve">Violența legată de droguri devine din ce în ce mai complexă, fiind adesea legată de criminalitatea organizată, creând cicluri de efecte negative, </w:t>
      </w:r>
      <w:r>
        <w:rPr>
          <w:noProof/>
        </w:rPr>
        <w:t>care au un impact asupra siguranței și securității orașelor și comunităților noastre locale.</w:t>
      </w:r>
      <w:r>
        <w:rPr>
          <w:noProof/>
          <w:color w:val="000000" w:themeColor="text1"/>
        </w:rPr>
        <w:t xml:space="preserve"> Copiii și tinerii sunt deosebit de vulnerabili, deoarece pot fi victime, autori și recruți pentru aceste grupuri. Pentru a combate violența legată de droguri, UE urmărește să neutralizeze rețelele infracționale și să promoveze activități polițienești bazate pe comunitate, care să integreze siguranța comunității cu inițiativele de sănătate publică. În cadrul </w:t>
      </w:r>
      <w:r>
        <w:rPr>
          <w:b/>
          <w:noProof/>
          <w:color w:val="000000" w:themeColor="text1"/>
        </w:rPr>
        <w:t xml:space="preserve">agendei UE pentru orașe, </w:t>
      </w:r>
      <w:r>
        <w:rPr>
          <w:noProof/>
          <w:color w:val="000000" w:themeColor="text1"/>
        </w:rPr>
        <w:t>Comisia va sprijini autoritățile locale prin promovarea unor proiecte locale inovatoare și prin facilitarea schimburilor de bune practici. Acest sprijin urmărește să sporească reziliența și coeziunea comunităților pentru a aborda provocările în materie de securitate și integrare socială, inclusiv cele asociate cu problemele legate de droguri. În plus, EUDA va</w:t>
      </w:r>
      <w:r>
        <w:rPr>
          <w:b/>
          <w:noProof/>
          <w:color w:val="000000" w:themeColor="text1"/>
        </w:rPr>
        <w:t xml:space="preserve"> </w:t>
      </w:r>
      <w:r>
        <w:rPr>
          <w:noProof/>
          <w:color w:val="000000" w:themeColor="text1"/>
        </w:rPr>
        <w:t xml:space="preserve">desfășura activități de cercetare și monitorizare pentru a înțelege mai bine </w:t>
      </w:r>
      <w:r>
        <w:rPr>
          <w:b/>
          <w:noProof/>
          <w:color w:val="000000" w:themeColor="text1"/>
        </w:rPr>
        <w:t xml:space="preserve">violența legată de droguri </w:t>
      </w:r>
      <w:r>
        <w:rPr>
          <w:noProof/>
          <w:color w:val="000000" w:themeColor="text1"/>
        </w:rPr>
        <w:t>la diferite niveluri.</w:t>
      </w:r>
    </w:p>
    <w:p w14:paraId="0A9369D5" w14:textId="01CE6616" w:rsidR="00401EBC" w:rsidRPr="0075035A" w:rsidRDefault="00052173" w:rsidP="00A2296C">
      <w:pPr>
        <w:pStyle w:val="ContNum"/>
        <w:rPr>
          <w:noProof/>
          <w:szCs w:val="24"/>
        </w:rPr>
      </w:pPr>
      <w:r>
        <w:rPr>
          <w:noProof/>
        </w:rPr>
        <w:t xml:space="preserve">De asemenea, UE își va intensifica eforturile de prevenire a recrutării tinerilor în criminalitatea organizată, inclusiv prin măsuri online și </w:t>
      </w:r>
      <w:r>
        <w:rPr>
          <w:b/>
          <w:noProof/>
        </w:rPr>
        <w:t>măsuri de prevenire bazate pe dovezi</w:t>
      </w:r>
      <w:r>
        <w:rPr>
          <w:noProof/>
        </w:rPr>
        <w:t>.</w:t>
      </w:r>
      <w:r>
        <w:rPr>
          <w:b/>
          <w:noProof/>
        </w:rPr>
        <w:t xml:space="preserve"> </w:t>
      </w:r>
      <w:r>
        <w:rPr>
          <w:noProof/>
        </w:rPr>
        <w:t>Statele membre sunt încurajate să consolideze mediile de protecție pentru tineri, utilizând cele mai bune practici disponibile prin intermediul Centrului de cunoștințe al rețelei UE de prevenire a criminalității. Aceste eforturi necesită colaborarea dintre autoritățile de aplicare a legii, asistenții sociali, profesioniștii din domeniul sănătății și societatea civilă. Rețeaua europeană de prevenire a criminalității va elabora un</w:t>
      </w:r>
      <w:r>
        <w:rPr>
          <w:b/>
          <w:noProof/>
        </w:rPr>
        <w:t xml:space="preserve"> set specific de instrumente pentru combaterea recrutării minorilor de către rețelele infracționale</w:t>
      </w:r>
      <w:r>
        <w:rPr>
          <w:noProof/>
        </w:rPr>
        <w:t xml:space="preserve"> în vederea sprijinirii acestor eforturi.</w:t>
      </w:r>
    </w:p>
    <w:p w14:paraId="6EE20F2A" w14:textId="22BA3686" w:rsidR="00425F4D" w:rsidRPr="0075035A" w:rsidRDefault="00E05DC2" w:rsidP="00A2296C">
      <w:pPr>
        <w:pStyle w:val="ContNum"/>
        <w:rPr>
          <w:noProof/>
          <w:color w:val="000000" w:themeColor="text1"/>
          <w:szCs w:val="24"/>
        </w:rPr>
      </w:pPr>
      <w:r>
        <w:rPr>
          <w:noProof/>
          <w:color w:val="000000" w:themeColor="text1"/>
        </w:rPr>
        <w:t xml:space="preserve">În plus, pentru a proteja copiii împotriva tuturor formelor de criminalitate, inclusiv a celor legate de droguri online și offline, UE va propune un </w:t>
      </w:r>
      <w:r>
        <w:rPr>
          <w:b/>
          <w:noProof/>
          <w:color w:val="000000" w:themeColor="text1"/>
        </w:rPr>
        <w:t>plan de acțiune privind protecția copiilor împotriva criminalității</w:t>
      </w:r>
      <w:r>
        <w:rPr>
          <w:noProof/>
          <w:color w:val="000000" w:themeColor="text1"/>
        </w:rPr>
        <w:t>, astfel cum s-a anunțat în strategia de securitate internă ProtectEU.</w:t>
      </w:r>
    </w:p>
    <w:p w14:paraId="07EA815B" w14:textId="342F060A" w:rsidR="00CC7FA1" w:rsidRPr="0075035A" w:rsidRDefault="0003626B" w:rsidP="008E288C">
      <w:pPr>
        <w:pStyle w:val="ContNum"/>
        <w:numPr>
          <w:ilvl w:val="1"/>
          <w:numId w:val="98"/>
        </w:numPr>
        <w:ind w:left="851"/>
        <w:rPr>
          <w:b/>
          <w:bCs/>
          <w:i/>
          <w:iCs/>
          <w:noProof/>
          <w:color w:val="000000" w:themeColor="text1"/>
          <w:szCs w:val="24"/>
        </w:rPr>
      </w:pPr>
      <w:r>
        <w:rPr>
          <w:b/>
          <w:i/>
          <w:noProof/>
          <w:color w:val="000000" w:themeColor="text1"/>
        </w:rPr>
        <w:t xml:space="preserve"> Combaterea stigmatizării și a discriminării legate de droguri</w:t>
      </w:r>
    </w:p>
    <w:p w14:paraId="2475A2E9" w14:textId="777A75A7" w:rsidR="00CC7FA1" w:rsidRPr="0075035A" w:rsidRDefault="018D8F85" w:rsidP="009678FC">
      <w:pPr>
        <w:pStyle w:val="ContNum"/>
        <w:rPr>
          <w:noProof/>
        </w:rPr>
      </w:pPr>
      <w:r>
        <w:rPr>
          <w:noProof/>
          <w:color w:val="000000" w:themeColor="text1"/>
        </w:rPr>
        <w:t xml:space="preserve">Europa trebuie să combată </w:t>
      </w:r>
      <w:r>
        <w:rPr>
          <w:b/>
          <w:noProof/>
          <w:color w:val="000000" w:themeColor="text1"/>
        </w:rPr>
        <w:t xml:space="preserve">stigmatizarea </w:t>
      </w:r>
      <w:r>
        <w:rPr>
          <w:noProof/>
          <w:color w:val="000000" w:themeColor="text1"/>
        </w:rPr>
        <w:t>asociată consumului de droguri și tulburărilor asociate</w:t>
      </w:r>
      <w:r>
        <w:rPr>
          <w:noProof/>
          <w:color w:val="000000" w:themeColor="text1"/>
          <w:vertAlign w:val="superscript"/>
        </w:rPr>
        <w:footnoteReference w:id="52"/>
      </w:r>
      <w:r>
        <w:rPr>
          <w:noProof/>
          <w:color w:val="000000" w:themeColor="text1"/>
        </w:rPr>
        <w:t xml:space="preserve">, deoarece are un impact negativ asupra sănătății mintale și fizice a persoanelor. Aceasta le poate afecta capacitatea de a solicita sprijin și de a se integra în societate, ceea ce ar putea duce la abandonul școlar în rândul tinerilor. Politicile ar trebui să integreze experiențele persoanelor afectate de stigmatizarea legată de droguri, în special prin implicarea continuă a societății civile, inclusiv a consumatorilor de droguri și a clienților serviciilor legate de droguri. </w:t>
      </w:r>
      <w:r>
        <w:rPr>
          <w:noProof/>
        </w:rPr>
        <w:t>UE va spori gradul de conștientizare, va promova schimbul de informații și va încuraja învățarea reciprocă prin intermediul Platformei UE privind politica în domeniul sănătății, al Portalului UE privind bunele practici în domeniul sănătății publice și al proiectelor de cercetare finanțate prin programul Orizont Europa. În plus, investițiile din FSE+ și FEDR ar trebui să creeze sinergii cu alte fonduri și programe ale UE pentru a sprijini incluziunea socială în mod cuprinzător.</w:t>
      </w:r>
    </w:p>
    <w:p w14:paraId="49966EFC" w14:textId="0B07709F" w:rsidR="00BA263B" w:rsidRPr="0075035A" w:rsidRDefault="0003626B" w:rsidP="008E288C">
      <w:pPr>
        <w:pStyle w:val="ContNum"/>
        <w:numPr>
          <w:ilvl w:val="1"/>
          <w:numId w:val="98"/>
        </w:numPr>
        <w:ind w:left="851"/>
        <w:rPr>
          <w:b/>
          <w:bCs/>
          <w:i/>
          <w:iCs/>
          <w:noProof/>
          <w:color w:val="000000" w:themeColor="text1"/>
          <w:szCs w:val="24"/>
        </w:rPr>
      </w:pPr>
      <w:r>
        <w:rPr>
          <w:b/>
          <w:i/>
          <w:noProof/>
          <w:color w:val="000000" w:themeColor="text1"/>
        </w:rPr>
        <w:t xml:space="preserve"> Adoptarea unei abordări a fenomenului drogurilor care să țină seama de dimensiunea de gen</w:t>
      </w:r>
    </w:p>
    <w:p w14:paraId="1EAE579E" w14:textId="5CCA6AA6" w:rsidR="00632E9E" w:rsidRPr="0075035A" w:rsidRDefault="4A6E87F4" w:rsidP="00A2296C">
      <w:pPr>
        <w:pStyle w:val="ContNum"/>
        <w:rPr>
          <w:noProof/>
          <w:szCs w:val="24"/>
        </w:rPr>
      </w:pPr>
      <w:r>
        <w:rPr>
          <w:noProof/>
        </w:rPr>
        <w:t>Situația drogurilor afectează în mod diferit bărbații și femeile, femeile reprezentând aproximativ un sfert dintre persoanele cu probleme grave legate de droguri, dar numai o cincime dintre persoanele care urmează un tratament. Decesele cauzate de supradoze în rândul femeilor din UE au crescut cu 76 % între 2013 și 2023, ceea ce indică obstacole suplimentare cu care se confruntă femeile în ceea ce privește accesul la serviciile sociale și de sănătate.</w:t>
      </w:r>
    </w:p>
    <w:p w14:paraId="274E04EF" w14:textId="370905D9" w:rsidR="00632E9E" w:rsidRPr="0075035A" w:rsidRDefault="03DF0D86" w:rsidP="00A2296C">
      <w:pPr>
        <w:pStyle w:val="ContNum"/>
        <w:rPr>
          <w:noProof/>
          <w:szCs w:val="24"/>
        </w:rPr>
      </w:pPr>
      <w:r>
        <w:rPr>
          <w:noProof/>
        </w:rPr>
        <w:t>Statele membre ar trebui să pună în aplicare măsuri</w:t>
      </w:r>
      <w:r>
        <w:rPr>
          <w:b/>
          <w:noProof/>
        </w:rPr>
        <w:t xml:space="preserve"> care iau în considerare dimensiunea de gen</w:t>
      </w:r>
      <w:r>
        <w:rPr>
          <w:noProof/>
        </w:rPr>
        <w:t xml:space="preserve"> în cadrul tuturor pilonilor strategiei pentru a asigura accesul nediscriminatoriu și fără bariere la servicii, în special pentru tratament și reducerea efectelor negative. Serviciile adaptate ar trebui să includă opțiuni destinate exclusiv femeilor, servicii de îngrijire a copiilor și sprijin specializat care să țină seama de traume.</w:t>
      </w:r>
    </w:p>
    <w:p w14:paraId="623C4804" w14:textId="55B9394F" w:rsidR="008D1B70" w:rsidRPr="0075035A" w:rsidRDefault="002957D4" w:rsidP="00A2296C">
      <w:pPr>
        <w:pStyle w:val="ContNum"/>
        <w:rPr>
          <w:noProof/>
          <w:szCs w:val="24"/>
        </w:rPr>
      </w:pPr>
      <w:r>
        <w:rPr>
          <w:noProof/>
        </w:rPr>
        <w:t>În plus, orientarea sexuală și identitatea de gen pot afecta accesul la serviciile de sănătate. Persoanele LGBTIQ+ se confruntă adesea cu riscuri mai mari de provocări în materie de sănătate mintală și de violență, astfel cum se menționează în Strategia Comisiei privind egalitatea pentru persoanele LGBTIQ+ 2026-2030</w:t>
      </w:r>
      <w:r>
        <w:rPr>
          <w:rStyle w:val="FootnoteReference0"/>
          <w:noProof/>
          <w:szCs w:val="24"/>
        </w:rPr>
        <w:footnoteReference w:id="53"/>
      </w:r>
      <w:r>
        <w:rPr>
          <w:noProof/>
        </w:rPr>
        <w:t>. Abordarea discriminării și a barierelor pentru persoanele LGBTIQ+ este esențială pentru a reduce impactul negativ asupra sănătății și pentru a asigura accesul echitabil la servicii.</w:t>
      </w:r>
    </w:p>
    <w:p w14:paraId="330F4ECF" w14:textId="37784613" w:rsidR="00B630C2" w:rsidRPr="0075035A" w:rsidRDefault="0003626B" w:rsidP="008E288C">
      <w:pPr>
        <w:pStyle w:val="ContNum"/>
        <w:numPr>
          <w:ilvl w:val="1"/>
          <w:numId w:val="98"/>
        </w:numPr>
        <w:ind w:left="851"/>
        <w:rPr>
          <w:b/>
          <w:bCs/>
          <w:i/>
          <w:iCs/>
          <w:noProof/>
          <w:color w:val="000000" w:themeColor="text1"/>
          <w:szCs w:val="24"/>
        </w:rPr>
      </w:pPr>
      <w:bookmarkStart w:id="70" w:name="_Hlk210140207"/>
      <w:r>
        <w:rPr>
          <w:b/>
          <w:i/>
          <w:noProof/>
          <w:color w:val="000000" w:themeColor="text1"/>
        </w:rPr>
        <w:t xml:space="preserve"> Abordarea riscurilor generate de conducerea sub influența drogurilor</w:t>
      </w:r>
    </w:p>
    <w:p w14:paraId="6AD5737A" w14:textId="5C6A5671" w:rsidR="00153185" w:rsidRPr="0075035A" w:rsidRDefault="78878F16" w:rsidP="00153185">
      <w:pPr>
        <w:spacing w:line="240" w:lineRule="auto"/>
        <w:jc w:val="both"/>
        <w:rPr>
          <w:rFonts w:eastAsia="Times New Roman" w:cs="Times New Roman"/>
          <w:noProof/>
          <w:szCs w:val="24"/>
        </w:rPr>
      </w:pPr>
      <w:r>
        <w:rPr>
          <w:noProof/>
        </w:rPr>
        <w:t xml:space="preserve">Se estimează că până la un </w:t>
      </w:r>
      <w:bookmarkStart w:id="71" w:name="_Hlk210319444"/>
      <w:r>
        <w:rPr>
          <w:noProof/>
        </w:rPr>
        <w:t xml:space="preserve">sfert din decesele cauzate de accidente rutiere </w:t>
      </w:r>
      <w:bookmarkEnd w:id="71"/>
      <w:r>
        <w:rPr>
          <w:noProof/>
        </w:rPr>
        <w:t>în UE, totalizând peste 19 940 în 2024, sunt legate de alcool și/sau de droguri</w:t>
      </w:r>
      <w:r>
        <w:rPr>
          <w:rStyle w:val="FootnoteReference0"/>
          <w:rFonts w:eastAsia="Times New Roman" w:cs="Times New Roman"/>
          <w:noProof/>
          <w:lang w:eastAsia="en-GB"/>
        </w:rPr>
        <w:footnoteReference w:id="54"/>
      </w:r>
      <w:r>
        <w:rPr>
          <w:noProof/>
        </w:rPr>
        <w:t>. Pentru a sprijini „Viziunea zero”</w:t>
      </w:r>
      <w:r>
        <w:rPr>
          <w:rFonts w:eastAsia="Times New Roman" w:cs="Times New Roman"/>
          <w:noProof/>
          <w:vertAlign w:val="superscript"/>
          <w:lang w:eastAsia="en-GB"/>
        </w:rPr>
        <w:footnoteReference w:id="55"/>
      </w:r>
      <w:r>
        <w:rPr>
          <w:noProof/>
        </w:rPr>
        <w:t xml:space="preserve"> și obiectivul de zero decese cauzate de accidente rutiere până în 2050, UE ar trebui să pună în aplicare măsuri de prevenire a conducerii sub influența drogurilor și a accidentelor cauzate de conducătorii auto aflați sub influența drogurilor.</w:t>
      </w:r>
    </w:p>
    <w:p w14:paraId="37163B93" w14:textId="76831BB8" w:rsidR="00B12D7F" w:rsidRPr="0075035A" w:rsidRDefault="7C311F31" w:rsidP="0035108F">
      <w:pPr>
        <w:spacing w:line="240" w:lineRule="auto"/>
        <w:jc w:val="both"/>
        <w:rPr>
          <w:rFonts w:eastAsia="Times New Roman" w:cs="Times New Roman"/>
          <w:noProof/>
          <w:szCs w:val="24"/>
        </w:rPr>
      </w:pPr>
      <w:r>
        <w:rPr>
          <w:noProof/>
        </w:rPr>
        <w:t>Prin noua Directivă privind permisele de conducere</w:t>
      </w:r>
      <w:r>
        <w:rPr>
          <w:rFonts w:eastAsia="Times New Roman" w:cs="Times New Roman"/>
          <w:noProof/>
          <w:vertAlign w:val="superscript"/>
          <w:lang w:eastAsia="en-GB"/>
        </w:rPr>
        <w:footnoteReference w:id="56"/>
      </w:r>
      <w:r>
        <w:rPr>
          <w:noProof/>
        </w:rPr>
        <w:t xml:space="preserve">, statele membre s-au angajat să aplice </w:t>
      </w:r>
      <w:r>
        <w:rPr>
          <w:b/>
          <w:noProof/>
        </w:rPr>
        <w:t xml:space="preserve">politici de toleranță zero </w:t>
      </w:r>
      <w:r>
        <w:rPr>
          <w:noProof/>
        </w:rPr>
        <w:t xml:space="preserve">în ceea ce privește </w:t>
      </w:r>
      <w:r>
        <w:rPr>
          <w:b/>
          <w:noProof/>
        </w:rPr>
        <w:t>conducerea sub influența drogurilor</w:t>
      </w:r>
      <w:r>
        <w:rPr>
          <w:noProof/>
        </w:rPr>
        <w:t>.</w:t>
      </w:r>
      <w:r>
        <w:rPr>
          <w:b/>
          <w:noProof/>
        </w:rPr>
        <w:t xml:space="preserve"> </w:t>
      </w:r>
      <w:r>
        <w:rPr>
          <w:noProof/>
        </w:rPr>
        <w:t>Statele membre sunt încurajate să introducă în legislația lor națională sisteme de toleranță zero aplicate în general.</w:t>
      </w:r>
    </w:p>
    <w:p w14:paraId="712AA782" w14:textId="20D37777" w:rsidR="00DB0951" w:rsidRPr="0075035A" w:rsidRDefault="00DB0951" w:rsidP="009B3E0E">
      <w:pPr>
        <w:spacing w:line="240" w:lineRule="auto"/>
        <w:jc w:val="both"/>
        <w:rPr>
          <w:rFonts w:eastAsia="Times New Roman" w:cs="Times New Roman"/>
          <w:noProof/>
          <w:szCs w:val="24"/>
        </w:rPr>
      </w:pPr>
      <w:r>
        <w:rPr>
          <w:noProof/>
        </w:rPr>
        <w:t xml:space="preserve">Având în vedere incidența ridicată a conducătorilor auto începători, în principal tineri, în ceea ce privește accidentele rutiere legate de conducerea sub influența alcoolului și de consumul de droguri, statele membre sunt, de asemenea, încurajate să aplice norme mai stricte pentru conducătorii auto începători, în conformitate cu directiva. Acest lucru ar trebui sprijinit prin </w:t>
      </w:r>
      <w:r>
        <w:rPr>
          <w:b/>
          <w:noProof/>
        </w:rPr>
        <w:t>eforturi specifice de conștientizare la nivel național, care să evidențieze pericolele conducerii sub influența drogurilor</w:t>
      </w:r>
      <w:r>
        <w:rPr>
          <w:noProof/>
        </w:rPr>
        <w:t>, destinate în mod specific tinerilor adulți</w:t>
      </w:r>
      <w:bookmarkEnd w:id="70"/>
      <w:r>
        <w:rPr>
          <w:noProof/>
        </w:rPr>
        <w:t>. În plus, noua directivă privind decăderea din dreptul de a conduce autovehicule și directivele revizuite privind schimbul transfrontalier de informații vor permite schimbul de informații între statele membre cu privire la încălcările normelor de circulație legate de droguri, împiedicând neabordarea comportamentelor periculoase legate de conducerea sub influența drogurilor.</w:t>
      </w:r>
    </w:p>
    <w:p w14:paraId="18A01D95" w14:textId="1C25173A" w:rsidR="00C41B9F" w:rsidRPr="0075035A" w:rsidRDefault="0003626B" w:rsidP="008E288C">
      <w:pPr>
        <w:pStyle w:val="ContNum"/>
        <w:numPr>
          <w:ilvl w:val="1"/>
          <w:numId w:val="98"/>
        </w:numPr>
        <w:ind w:left="851"/>
        <w:rPr>
          <w:b/>
          <w:bCs/>
          <w:i/>
          <w:iCs/>
          <w:noProof/>
          <w:color w:val="000000" w:themeColor="text1"/>
          <w:szCs w:val="24"/>
        </w:rPr>
      </w:pPr>
      <w:r>
        <w:rPr>
          <w:b/>
          <w:i/>
          <w:noProof/>
          <w:color w:val="000000" w:themeColor="text1"/>
        </w:rPr>
        <w:t xml:space="preserve"> Combaterea efectelor negative ale drogurilor asupra mediului</w:t>
      </w:r>
    </w:p>
    <w:p w14:paraId="369C9DB0" w14:textId="6E684D26" w:rsidR="004D15E4" w:rsidRPr="0075035A" w:rsidRDefault="04263B13" w:rsidP="00A2296C">
      <w:pPr>
        <w:spacing w:line="240" w:lineRule="auto"/>
        <w:jc w:val="both"/>
        <w:rPr>
          <w:rFonts w:cs="Times New Roman"/>
          <w:noProof/>
          <w:color w:val="000000" w:themeColor="text1"/>
          <w:szCs w:val="24"/>
        </w:rPr>
      </w:pPr>
      <w:r>
        <w:rPr>
          <w:noProof/>
          <w:color w:val="000000" w:themeColor="text1"/>
        </w:rPr>
        <w:t>Cultivarea și producția de droguri provoacă daune semnificative de mediu atât în Europa, cât și la nivel mondial. Criminalitatea organizată aruncă deșeuri chimice toxice provenite din producția de droguri sintetice, ceea ce implică riscuri grave pentru mediu și comunitățile locale. De exemplu, producerea unui kg de MDMA generează aproximativ 58 kg de deșeuri toxice. Producția de canabis consumă apă și energie, însă are, de asemenea, un impact asupra poluării apei și a aerului</w:t>
      </w:r>
      <w:r>
        <w:rPr>
          <w:rStyle w:val="FootnoteReference0"/>
          <w:rFonts w:cs="Times New Roman"/>
          <w:noProof/>
          <w:color w:val="000000" w:themeColor="text1"/>
          <w:szCs w:val="24"/>
        </w:rPr>
        <w:footnoteReference w:id="57"/>
      </w:r>
      <w:r>
        <w:rPr>
          <w:noProof/>
          <w:color w:val="000000" w:themeColor="text1"/>
        </w:rPr>
        <w:t>.</w:t>
      </w:r>
    </w:p>
    <w:p w14:paraId="0369C580" w14:textId="5303C801" w:rsidR="004D15E4" w:rsidRPr="0075035A" w:rsidRDefault="009C697E" w:rsidP="00A2296C">
      <w:pPr>
        <w:spacing w:line="240" w:lineRule="auto"/>
        <w:jc w:val="both"/>
        <w:rPr>
          <w:rFonts w:cs="Times New Roman"/>
          <w:noProof/>
          <w:color w:val="000000" w:themeColor="text1"/>
        </w:rPr>
      </w:pPr>
      <w:r>
        <w:rPr>
          <w:noProof/>
          <w:color w:val="000000" w:themeColor="text1"/>
        </w:rPr>
        <w:t xml:space="preserve">Laboratoarele de droguri ilicite trebuie desființate într-un mod care </w:t>
      </w:r>
      <w:r>
        <w:rPr>
          <w:noProof/>
        </w:rPr>
        <w:t>să asigure siguranța agenților de aplicare a legii și să ia în considerare impactul asupra mediului.</w:t>
      </w:r>
      <w:r>
        <w:rPr>
          <w:noProof/>
          <w:color w:val="000000" w:themeColor="text1"/>
        </w:rPr>
        <w:t xml:space="preserve"> UE va elabora și va aplica metode care respectă mediul pentru </w:t>
      </w:r>
      <w:r>
        <w:rPr>
          <w:b/>
          <w:noProof/>
          <w:color w:val="000000" w:themeColor="text1"/>
        </w:rPr>
        <w:t>manipularea, transportul, eliminarea și distrugerea în condiții de siguranță a drogurilor ilicite</w:t>
      </w:r>
      <w:r>
        <w:rPr>
          <w:noProof/>
          <w:color w:val="000000" w:themeColor="text1"/>
        </w:rPr>
        <w:t>, a precursorilor, a substanțelor chimice, a deșeurilor și a echipamentelor confiscate.</w:t>
      </w:r>
      <w:r>
        <w:rPr>
          <w:b/>
          <w:noProof/>
        </w:rPr>
        <w:t xml:space="preserve"> </w:t>
      </w:r>
      <w:r>
        <w:rPr>
          <w:noProof/>
          <w:color w:val="000000" w:themeColor="text1"/>
        </w:rPr>
        <w:t xml:space="preserve">În conformitate cu Pactul UE de </w:t>
      </w:r>
      <w:r>
        <w:rPr>
          <w:noProof/>
        </w:rPr>
        <w:t>combatere a noilor amenințări reprezentate de drogurile sintetice</w:t>
      </w:r>
      <w:r>
        <w:rPr>
          <w:rFonts w:cs="Times New Roman"/>
          <w:noProof/>
          <w:color w:val="000000" w:themeColor="text1"/>
          <w:vertAlign w:val="superscript"/>
        </w:rPr>
        <w:footnoteReference w:id="58"/>
      </w:r>
      <w:r>
        <w:rPr>
          <w:noProof/>
          <w:color w:val="000000" w:themeColor="text1"/>
        </w:rPr>
        <w:t>,</w:t>
      </w:r>
      <w:r>
        <w:rPr>
          <w:b/>
          <w:noProof/>
          <w:color w:val="000000" w:themeColor="text1"/>
        </w:rPr>
        <w:t xml:space="preserve"> </w:t>
      </w:r>
      <w:r>
        <w:rPr>
          <w:noProof/>
          <w:color w:val="000000" w:themeColor="text1"/>
        </w:rPr>
        <w:t xml:space="preserve">CEPOL și EUDA vor îmbunătăți </w:t>
      </w:r>
      <w:r>
        <w:rPr>
          <w:noProof/>
        </w:rPr>
        <w:t xml:space="preserve">formarea autorităților de aplicare a legii cu privire la riscurile în materie de securitate și sănătate pe care le implică desființarea acestor instalații. </w:t>
      </w:r>
      <w:r>
        <w:rPr>
          <w:noProof/>
          <w:color w:val="000000" w:themeColor="text1"/>
        </w:rPr>
        <w:t>EMPACT va consolida cooperarea operațională pentru a stimula capacitatea de desființare a laboratoarelor de droguri sintetice</w:t>
      </w:r>
      <w:r>
        <w:rPr>
          <w:noProof/>
        </w:rPr>
        <w:t>.</w:t>
      </w:r>
    </w:p>
    <w:p w14:paraId="567A486B" w14:textId="374FCFB7" w:rsidR="008C66DA" w:rsidRPr="0075035A" w:rsidRDefault="623BD1EA" w:rsidP="008C66DA">
      <w:pPr>
        <w:spacing w:line="240" w:lineRule="auto"/>
        <w:jc w:val="both"/>
        <w:rPr>
          <w:rFonts w:cs="Times New Roman"/>
          <w:noProof/>
        </w:rPr>
      </w:pPr>
      <w:r>
        <w:rPr>
          <w:noProof/>
        </w:rPr>
        <w:t>Comisia sprijină statele membre în punerea în aplicare a</w:t>
      </w:r>
      <w:r>
        <w:rPr>
          <w:b/>
          <w:noProof/>
        </w:rPr>
        <w:t xml:space="preserve"> noii Directive privind infracțiunile împotriva mediului</w:t>
      </w:r>
      <w:r>
        <w:rPr>
          <w:rStyle w:val="FootnoteReference0"/>
          <w:rFonts w:cs="Times New Roman"/>
          <w:noProof/>
        </w:rPr>
        <w:footnoteReference w:id="59"/>
      </w:r>
      <w:r>
        <w:rPr>
          <w:noProof/>
        </w:rPr>
        <w:t xml:space="preserve">, care abordează infracțiuni precum poluarea, gestionarea ilegală a deșeurilor, distrugerea habitatelor și captarea ilegală a apei. </w:t>
      </w:r>
    </w:p>
    <w:p w14:paraId="265894E8" w14:textId="0D167C64" w:rsidR="00106C5A" w:rsidRPr="0075035A" w:rsidRDefault="008C66DA" w:rsidP="00106C5A">
      <w:pPr>
        <w:spacing w:line="240" w:lineRule="auto"/>
        <w:jc w:val="both"/>
        <w:rPr>
          <w:rFonts w:cs="Times New Roman"/>
          <w:noProof/>
          <w:szCs w:val="24"/>
        </w:rPr>
      </w:pPr>
      <w:r>
        <w:rPr>
          <w:noProof/>
        </w:rPr>
        <w:t>Comisia încurajează statele membre să coreleze în mod explicit infracțiunile împotriva mediului cu alte activități infracționale, cum ar fi producția și traficul de droguri, în strategiile naționale pe care trebuie să le elaboreze până la 21 mai 2027. Această integrare urmărește să sporească eficacitatea strategiilor prin abordarea caracterului interconectat al acestor infracțiuni.</w:t>
      </w:r>
    </w:p>
    <w:p w14:paraId="5208AD42" w14:textId="37358E73" w:rsidR="004B2B1B" w:rsidRPr="0075035A" w:rsidRDefault="470F91F4" w:rsidP="00B40C65">
      <w:pPr>
        <w:spacing w:line="240" w:lineRule="auto"/>
        <w:jc w:val="both"/>
        <w:rPr>
          <w:rFonts w:cs="Times New Roman"/>
          <w:noProof/>
          <w:color w:val="000000" w:themeColor="text1"/>
          <w:szCs w:val="24"/>
        </w:rPr>
      </w:pPr>
      <w:r>
        <w:rPr>
          <w:noProof/>
          <w:color w:val="000000" w:themeColor="text1"/>
        </w:rPr>
        <w:t xml:space="preserve">Pentru a produce droguri ilicite, criminalitatea organizată utilizează adesea practici distructive pentru mediu, cum ar fi defrișările sau consumul intensiv de apă. Îmbunătățirea detectării acestor practici este esențială datorită rolului pe care îl joacă în exacerbarea secetei, a distrugerii habitatelor și a pierderii biodiversității. </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7C215F" w:rsidRPr="0075035A" w14:paraId="373214C2" w14:textId="77777777" w:rsidTr="009678FC">
        <w:trPr>
          <w:trHeight w:val="1266"/>
        </w:trPr>
        <w:tc>
          <w:tcPr>
            <w:tcW w:w="9576" w:type="dxa"/>
          </w:tcPr>
          <w:p w14:paraId="5190A89F" w14:textId="1ECB468D" w:rsidR="00E814AB" w:rsidRDefault="007C215F" w:rsidP="003A5A8B">
            <w:pPr>
              <w:pStyle w:val="ContNum"/>
              <w:spacing w:after="0"/>
              <w:rPr>
                <w:b/>
                <w:noProof/>
                <w:color w:val="000000" w:themeColor="text1"/>
                <w:szCs w:val="24"/>
              </w:rPr>
            </w:pPr>
            <w:r>
              <w:rPr>
                <w:b/>
                <w:noProof/>
                <w:color w:val="000000" w:themeColor="text1"/>
              </w:rPr>
              <w:t>Priorități esențiale</w:t>
            </w:r>
          </w:p>
          <w:p w14:paraId="0529FA1C" w14:textId="77777777" w:rsidR="00404769" w:rsidRPr="0075035A" w:rsidRDefault="00404769" w:rsidP="003A5A8B">
            <w:pPr>
              <w:pStyle w:val="ContNum"/>
              <w:spacing w:after="0"/>
              <w:rPr>
                <w:b/>
                <w:bCs/>
                <w:noProof/>
                <w:color w:val="000000" w:themeColor="text1"/>
                <w:szCs w:val="24"/>
              </w:rPr>
            </w:pPr>
          </w:p>
          <w:p w14:paraId="619443AF" w14:textId="77777777" w:rsidR="009E254E" w:rsidRPr="0075035A" w:rsidRDefault="009E254E" w:rsidP="009E254E">
            <w:pPr>
              <w:pStyle w:val="ContNum"/>
              <w:spacing w:after="0"/>
              <w:rPr>
                <w:b/>
                <w:bCs/>
                <w:noProof/>
                <w:color w:val="000000" w:themeColor="text1"/>
                <w:szCs w:val="24"/>
              </w:rPr>
            </w:pPr>
            <w:r>
              <w:rPr>
                <w:b/>
                <w:noProof/>
                <w:color w:val="000000" w:themeColor="text1"/>
              </w:rPr>
              <w:t>Comisia:</w:t>
            </w:r>
          </w:p>
          <w:p w14:paraId="0FF57D00" w14:textId="77777777" w:rsidR="007D6B06" w:rsidRPr="0075035A" w:rsidRDefault="009E254E" w:rsidP="007D6B06">
            <w:pPr>
              <w:pStyle w:val="ContNum"/>
              <w:numPr>
                <w:ilvl w:val="0"/>
                <w:numId w:val="102"/>
              </w:numPr>
              <w:spacing w:after="120"/>
              <w:rPr>
                <w:rStyle w:val="CommentReference"/>
                <w:b/>
                <w:noProof/>
                <w:color w:val="000000" w:themeColor="text1"/>
                <w:sz w:val="24"/>
                <w:szCs w:val="24"/>
              </w:rPr>
            </w:pPr>
            <w:r>
              <w:rPr>
                <w:b/>
                <w:noProof/>
                <w:color w:val="000000" w:themeColor="text1"/>
              </w:rPr>
              <w:t>va dezvolta și va disemina, prin intermediul rețelei UE de prevenire a criminalității, un set specific de instrumente al UE pentru combaterea recrutării minorilor de către rețelele infracționale;</w:t>
            </w:r>
          </w:p>
          <w:p w14:paraId="50092F2A" w14:textId="0CAF1564" w:rsidR="009E254E" w:rsidRPr="00404769" w:rsidRDefault="007D6B06" w:rsidP="00404769">
            <w:pPr>
              <w:pStyle w:val="ContNum"/>
              <w:numPr>
                <w:ilvl w:val="0"/>
                <w:numId w:val="102"/>
              </w:numPr>
              <w:spacing w:after="120"/>
              <w:rPr>
                <w:b/>
                <w:noProof/>
                <w:color w:val="000000" w:themeColor="text1"/>
                <w:szCs w:val="24"/>
              </w:rPr>
            </w:pPr>
            <w:r>
              <w:rPr>
                <w:b/>
                <w:noProof/>
                <w:color w:val="000000" w:themeColor="text1"/>
              </w:rPr>
              <w:t>va mobiliza cadrul EMPACT consolidat pentru cooperarea operațională în materie de asigurare a respectării legii în vederea anihilării instalațiilor de producție a drogurilor ilicite, în cadrul punerii în aplicare a planului de acțiune de combatere a traficului de droguri.</w:t>
            </w:r>
          </w:p>
          <w:p w14:paraId="70608EA1" w14:textId="49E54D30" w:rsidR="007C215F" w:rsidRPr="0075035A" w:rsidRDefault="007C215F" w:rsidP="003A5A8B">
            <w:pPr>
              <w:pStyle w:val="ContNum"/>
              <w:spacing w:after="0"/>
              <w:rPr>
                <w:b/>
                <w:bCs/>
                <w:noProof/>
                <w:color w:val="000000" w:themeColor="text1"/>
                <w:szCs w:val="24"/>
              </w:rPr>
            </w:pPr>
            <w:r>
              <w:rPr>
                <w:b/>
                <w:noProof/>
                <w:color w:val="000000" w:themeColor="text1"/>
              </w:rPr>
              <w:t>EUDA:</w:t>
            </w:r>
          </w:p>
          <w:p w14:paraId="434CB56B" w14:textId="5B223B09" w:rsidR="007C215F" w:rsidRPr="0075035A" w:rsidRDefault="000C6034" w:rsidP="003A5A8B">
            <w:pPr>
              <w:pStyle w:val="ContNum"/>
              <w:numPr>
                <w:ilvl w:val="0"/>
                <w:numId w:val="102"/>
              </w:numPr>
              <w:spacing w:after="120"/>
              <w:rPr>
                <w:b/>
                <w:noProof/>
                <w:color w:val="000000" w:themeColor="text1"/>
                <w:szCs w:val="24"/>
              </w:rPr>
            </w:pPr>
            <w:r>
              <w:rPr>
                <w:b/>
                <w:noProof/>
                <w:color w:val="000000" w:themeColor="text1"/>
              </w:rPr>
              <w:t>va elabora programa europeană de reducere a efectelor negative pentru a sprijini consolidarea capacităților în ceea ce privește intervențiile de reducere a efectelor negative în întreaga UE;</w:t>
            </w:r>
          </w:p>
          <w:p w14:paraId="30DE8F9E" w14:textId="4B3FBCB5" w:rsidR="001D3144" w:rsidRPr="0075035A" w:rsidRDefault="00C35683" w:rsidP="003A5A8B">
            <w:pPr>
              <w:pStyle w:val="ContNum"/>
              <w:numPr>
                <w:ilvl w:val="0"/>
                <w:numId w:val="102"/>
              </w:numPr>
              <w:spacing w:after="120"/>
              <w:rPr>
                <w:b/>
                <w:noProof/>
                <w:color w:val="000000" w:themeColor="text1"/>
                <w:szCs w:val="24"/>
              </w:rPr>
            </w:pPr>
            <w:r>
              <w:rPr>
                <w:b/>
                <w:noProof/>
                <w:color w:val="000000" w:themeColor="text1"/>
              </w:rPr>
              <w:t>va colabora îndeaproape cu statele membre pentru a elabora și a pune în aplicare măsurile acestora de prevenire a criminalității în sprijinul comunităților locale și al tinerilor.</w:t>
            </w:r>
          </w:p>
          <w:p w14:paraId="7FECD7F1" w14:textId="77777777" w:rsidR="007D6B06" w:rsidRPr="0075035A" w:rsidRDefault="007D6B06" w:rsidP="007D6B06">
            <w:pPr>
              <w:pStyle w:val="ContNum"/>
              <w:spacing w:after="0"/>
              <w:rPr>
                <w:b/>
                <w:bCs/>
                <w:noProof/>
                <w:color w:val="000000" w:themeColor="text1"/>
                <w:szCs w:val="24"/>
              </w:rPr>
            </w:pPr>
            <w:r>
              <w:rPr>
                <w:b/>
                <w:noProof/>
                <w:color w:val="000000" w:themeColor="text1"/>
              </w:rPr>
              <w:t>Statele membre sunt încurajate:</w:t>
            </w:r>
          </w:p>
          <w:p w14:paraId="3C25275F" w14:textId="228AB13C" w:rsidR="007D6B06" w:rsidRPr="0075035A" w:rsidRDefault="004F22F0" w:rsidP="007D6B06">
            <w:pPr>
              <w:pStyle w:val="ContNum"/>
              <w:numPr>
                <w:ilvl w:val="0"/>
                <w:numId w:val="102"/>
              </w:numPr>
              <w:spacing w:after="120"/>
              <w:rPr>
                <w:b/>
                <w:noProof/>
                <w:color w:val="000000" w:themeColor="text1"/>
                <w:szCs w:val="24"/>
              </w:rPr>
            </w:pPr>
            <w:r>
              <w:rPr>
                <w:b/>
                <w:noProof/>
                <w:color w:val="000000" w:themeColor="text1"/>
              </w:rPr>
              <w:t>să sporească disponibilitatea și acoperirea intervențiilor de reducere a efectelor negative și a riscurilor pentru a reduce supradozele de droguri, decesele și infecțiile cu transmitere hematogenă în întreaga UE;</w:t>
            </w:r>
          </w:p>
          <w:p w14:paraId="786433DC" w14:textId="1F671E05" w:rsidR="007D6B06" w:rsidRPr="0075035A" w:rsidRDefault="007D6B06" w:rsidP="007D6B06">
            <w:pPr>
              <w:pStyle w:val="ContNum"/>
              <w:numPr>
                <w:ilvl w:val="0"/>
                <w:numId w:val="102"/>
              </w:numPr>
              <w:spacing w:after="120"/>
              <w:rPr>
                <w:b/>
                <w:noProof/>
                <w:color w:val="000000" w:themeColor="text1"/>
                <w:szCs w:val="24"/>
              </w:rPr>
            </w:pPr>
            <w:r>
              <w:rPr>
                <w:b/>
                <w:noProof/>
                <w:color w:val="000000" w:themeColor="text1"/>
              </w:rPr>
              <w:t xml:space="preserve">să adopte politici de toleranță zero pentru conducerea sub influența drogurilor, în conformitate cu Directiva privind permisele de conducere, și să utilizeze pe deplin instrumentele transfrontaliere disponibile pentru a asigura respectarea acestor norme; </w:t>
            </w:r>
          </w:p>
          <w:p w14:paraId="062AE8D0" w14:textId="4733C9AB" w:rsidR="00580151" w:rsidRPr="00404769" w:rsidRDefault="007D6B06" w:rsidP="00541FED">
            <w:pPr>
              <w:pStyle w:val="ContNum"/>
              <w:numPr>
                <w:ilvl w:val="0"/>
                <w:numId w:val="102"/>
              </w:numPr>
              <w:spacing w:after="120"/>
              <w:rPr>
                <w:b/>
                <w:noProof/>
                <w:color w:val="000000" w:themeColor="text1"/>
                <w:szCs w:val="24"/>
              </w:rPr>
            </w:pPr>
            <w:r>
              <w:rPr>
                <w:b/>
                <w:noProof/>
                <w:color w:val="000000" w:themeColor="text1"/>
              </w:rPr>
              <w:t>să utilizeze pe deplin noua Directivă privind infracțiunile împotriva mediului pentru a răspunde provocărilor de mediu generate de producția și traficul de droguri.</w:t>
            </w:r>
          </w:p>
        </w:tc>
      </w:tr>
    </w:tbl>
    <w:p w14:paraId="4ED8D5D0" w14:textId="77777777" w:rsidR="00D656A2" w:rsidRPr="0075035A" w:rsidRDefault="00D656A2" w:rsidP="003014ED">
      <w:pPr>
        <w:rPr>
          <w:rFonts w:cs="Times New Roman"/>
          <w:noProof/>
        </w:rPr>
      </w:pPr>
    </w:p>
    <w:p w14:paraId="2A46490A" w14:textId="337FFD58" w:rsidR="001B0D2D" w:rsidRPr="0075035A" w:rsidRDefault="005E2E9B" w:rsidP="00B40C65">
      <w:pPr>
        <w:pStyle w:val="Heading2"/>
        <w:spacing w:line="240" w:lineRule="auto"/>
        <w:rPr>
          <w:noProof/>
        </w:rPr>
      </w:pPr>
      <w:bookmarkStart w:id="72" w:name="_Toc209853388"/>
      <w:bookmarkStart w:id="73" w:name="_Toc212204038"/>
      <w:bookmarkStart w:id="74" w:name="_Toc2086575229"/>
      <w:bookmarkStart w:id="75" w:name="_Toc2094499707"/>
      <w:r>
        <w:rPr>
          <w:noProof/>
        </w:rPr>
        <w:t>Construirea unor parteneriate puternice</w:t>
      </w:r>
      <w:bookmarkEnd w:id="72"/>
      <w:bookmarkEnd w:id="73"/>
      <w:bookmarkEnd w:id="74"/>
      <w:bookmarkEnd w:id="75"/>
    </w:p>
    <w:p w14:paraId="0675C5BF" w14:textId="77777777" w:rsidR="00ED1AB9" w:rsidRPr="0075035A" w:rsidRDefault="00ED1AB9" w:rsidP="00AD660C">
      <w:pPr>
        <w:pStyle w:val="Style2"/>
        <w:numPr>
          <w:ilvl w:val="0"/>
          <w:numId w:val="0"/>
        </w:numPr>
        <w:spacing w:line="240" w:lineRule="auto"/>
        <w:rPr>
          <w:noProof/>
        </w:rPr>
      </w:pPr>
    </w:p>
    <w:p w14:paraId="0946409F" w14:textId="28CC7539" w:rsidR="00AD660C" w:rsidRPr="0075035A" w:rsidRDefault="70099F37" w:rsidP="674E0B1F">
      <w:pPr>
        <w:spacing w:line="240" w:lineRule="auto"/>
        <w:jc w:val="both"/>
        <w:rPr>
          <w:rFonts w:eastAsia="Times New Roman" w:cs="Times New Roman"/>
          <w:noProof/>
          <w:szCs w:val="24"/>
        </w:rPr>
      </w:pPr>
      <w:r>
        <w:rPr>
          <w:noProof/>
        </w:rPr>
        <w:t>Politicile legate de droguri din țările terțe afectează în mod semnificativ situația drogurilor ilicite din Europa, întrucât rețelele infracționale din UE cooperează cu omologii internaționali pentru a extinde operațiunile de trafic. Prin urmare, parteneriatele internaționale sunt esențiale pentru o politică eficace a UE în materie de droguri. În cadrul UE, este necesară consolidarea coordonării și a parteneriatelor cu societatea civilă și cu actorii privați. Aceasta promovează învățarea reciprocă și facilitează acțiunile operaționale comune, sprijinind o abordare cuprinzătoare la nivelul întregii societăți.</w:t>
      </w:r>
    </w:p>
    <w:p w14:paraId="6E43AA81" w14:textId="46B9D151" w:rsidR="009D29AE" w:rsidRPr="0075035A" w:rsidRDefault="00632E9E" w:rsidP="00541FED">
      <w:pPr>
        <w:pStyle w:val="Heading3"/>
        <w:ind w:left="0"/>
        <w:rPr>
          <w:noProof/>
        </w:rPr>
      </w:pPr>
      <w:bookmarkStart w:id="76" w:name="_Toc212204039"/>
      <w:bookmarkStart w:id="77" w:name="_Toc970207828"/>
      <w:bookmarkStart w:id="78" w:name="_Toc1651481308"/>
      <w:bookmarkStart w:id="79" w:name="_Toc209853389"/>
      <w:r>
        <w:rPr>
          <w:noProof/>
        </w:rPr>
        <w:t>Prioritatea strategică 9: consolidarea cooperării internaționale</w:t>
      </w:r>
      <w:bookmarkEnd w:id="76"/>
      <w:bookmarkEnd w:id="77"/>
      <w:bookmarkEnd w:id="78"/>
      <w:bookmarkEnd w:id="79"/>
    </w:p>
    <w:p w14:paraId="167A817E" w14:textId="40F57B5C" w:rsidR="00B520B6" w:rsidRPr="0075035A" w:rsidRDefault="00825850" w:rsidP="00B712CC">
      <w:pPr>
        <w:pBdr>
          <w:top w:val="single" w:sz="4" w:space="1" w:color="auto"/>
          <w:left w:val="single" w:sz="4" w:space="4" w:color="auto"/>
          <w:bottom w:val="single" w:sz="4" w:space="1" w:color="auto"/>
          <w:right w:val="single" w:sz="4" w:space="4" w:color="auto"/>
        </w:pBdr>
        <w:rPr>
          <w:rFonts w:cs="Times New Roman"/>
          <w:i/>
          <w:iCs/>
          <w:noProof/>
          <w:color w:val="000000" w:themeColor="text1"/>
          <w:szCs w:val="24"/>
        </w:rPr>
      </w:pPr>
      <w:r>
        <w:rPr>
          <w:i/>
          <w:noProof/>
          <w:color w:val="000000" w:themeColor="text1"/>
        </w:rPr>
        <w:t>Recunoscând caracterul global al fenomenului, UE își va consolida cooperarea cu principalii parteneri internaționali prin dialoguri cu impact, consolidarea capacităților și o cooperare operațională consolidată.</w:t>
      </w:r>
    </w:p>
    <w:p w14:paraId="2269A4FD" w14:textId="619FE073" w:rsidR="00201AD3" w:rsidRPr="0075035A" w:rsidRDefault="00027790" w:rsidP="008E288C">
      <w:pPr>
        <w:pStyle w:val="ListParagraph"/>
        <w:numPr>
          <w:ilvl w:val="1"/>
          <w:numId w:val="99"/>
        </w:numPr>
        <w:spacing w:before="240" w:line="240" w:lineRule="auto"/>
        <w:ind w:left="993"/>
        <w:jc w:val="both"/>
        <w:rPr>
          <w:rFonts w:cs="Times New Roman"/>
          <w:b/>
          <w:bCs/>
          <w:i/>
          <w:iCs/>
          <w:noProof/>
          <w:color w:val="000000" w:themeColor="text1"/>
          <w:szCs w:val="24"/>
        </w:rPr>
      </w:pPr>
      <w:r>
        <w:rPr>
          <w:b/>
          <w:i/>
          <w:noProof/>
          <w:color w:val="000000" w:themeColor="text1"/>
        </w:rPr>
        <w:t xml:space="preserve"> Obiectivele de cooperare internațională ale UE</w:t>
      </w:r>
    </w:p>
    <w:p w14:paraId="30AC327B" w14:textId="4D727551" w:rsidR="00FF5AD3" w:rsidRDefault="0057147F" w:rsidP="00FF5AD3">
      <w:pPr>
        <w:pStyle w:val="ContNum"/>
        <w:rPr>
          <w:noProof/>
          <w:szCs w:val="24"/>
        </w:rPr>
      </w:pPr>
      <w:r>
        <w:rPr>
          <w:noProof/>
          <w:color w:val="000000" w:themeColor="text1"/>
        </w:rPr>
        <w:t xml:space="preserve">Strategia de securitate internă ProtectEU face apel la o UE care să își apere în mod activ interesele în materie de securitate prin abordarea amenințărilor externe, perturbarea rutelor de trafic și protejarea coridoarelor strategice. </w:t>
      </w:r>
      <w:r>
        <w:rPr>
          <w:noProof/>
        </w:rPr>
        <w:t>UE își menține angajamentul de a fi un aliat puternic al țărilor partenere, colaborând pentru a îmbunătăți securitatea mondială și a consolida reziliența reciprocă, în special împotriva amenințărilor legate de traficul de droguri.</w:t>
      </w:r>
    </w:p>
    <w:p w14:paraId="7C448E50" w14:textId="23041F6F" w:rsidR="00BA469A" w:rsidRPr="0075035A" w:rsidRDefault="2C58AF6D" w:rsidP="674E0B1F">
      <w:pPr>
        <w:pStyle w:val="ContNum"/>
        <w:rPr>
          <w:noProof/>
          <w:color w:val="000000" w:themeColor="text1"/>
        </w:rPr>
      </w:pPr>
      <w:r>
        <w:rPr>
          <w:noProof/>
          <w:color w:val="000000" w:themeColor="text1"/>
        </w:rPr>
        <w:t>Relațiile externe ale UE în domeniul drogurilor subliniază responsabilitatea comună, multilateralismul și o abordare orientată spre dezvoltare, cu respectarea drepturilor omului, a demnității și a statului de drept. UE își menține angajamentul față de aceste principii, pledând pentru o abordare a politicii în materie de droguri bazată pe dovezi, integrată, echilibrată și multidisciplinară. Aceasta sprijină eforturile țărilor terțe, aliniindu-se la convențiile internaționale privind controlul drogurilor și la obligațiile în materie de drepturi ale omului, astfel cum se subliniază în Concluziile Consiliului privind abordarea bazată pe drepturile omului în politicile în materie de droguri</w:t>
      </w:r>
      <w:r>
        <w:rPr>
          <w:noProof/>
          <w:color w:val="000000" w:themeColor="text1"/>
          <w:vertAlign w:val="superscript"/>
        </w:rPr>
        <w:footnoteReference w:id="60"/>
      </w:r>
      <w:r>
        <w:rPr>
          <w:noProof/>
          <w:color w:val="000000" w:themeColor="text1"/>
        </w:rPr>
        <w:t>, în Planul de acțiune al UE privind drepturile omului și democrația 2020-2027</w:t>
      </w:r>
      <w:r>
        <w:rPr>
          <w:rStyle w:val="FootnoteReference0"/>
          <w:noProof/>
          <w:color w:val="000000" w:themeColor="text1"/>
        </w:rPr>
        <w:footnoteReference w:id="61"/>
      </w:r>
      <w:r>
        <w:rPr>
          <w:noProof/>
          <w:color w:val="000000" w:themeColor="text1"/>
        </w:rPr>
        <w:t xml:space="preserve"> și în instrumentele relevante ale ONU privind politica în materie de droguri. În plus, UE menține o poziție fermă împotriva pedepsei cu moartea în toate situațiile, afirmându-și angajamentul față de drepturile omului.</w:t>
      </w:r>
    </w:p>
    <w:p w14:paraId="7D683DA2" w14:textId="43FB686A" w:rsidR="00156BE6" w:rsidRPr="0075035A" w:rsidRDefault="00156BE6" w:rsidP="008B399B">
      <w:pPr>
        <w:pStyle w:val="ContNum"/>
        <w:rPr>
          <w:noProof/>
          <w:szCs w:val="24"/>
        </w:rPr>
      </w:pPr>
      <w:r>
        <w:rPr>
          <w:noProof/>
          <w:color w:val="000000" w:themeColor="text1"/>
        </w:rPr>
        <w:t xml:space="preserve">UE va colabora cu </w:t>
      </w:r>
      <w:r>
        <w:rPr>
          <w:b/>
          <w:noProof/>
          <w:color w:val="000000" w:themeColor="text1"/>
        </w:rPr>
        <w:t xml:space="preserve">partenerii implicați în procesul de extindere </w:t>
      </w:r>
      <w:r>
        <w:rPr>
          <w:noProof/>
          <w:color w:val="000000" w:themeColor="text1"/>
        </w:rPr>
        <w:t>pentru a alinia strategiile de combatere a rețelelor de criminalitate organizată, pentru a îmbunătăți sistemele de informații privind drogurile și pentru a consolida cooperarea operațională. Aceasta include sprijinirea dezvoltării observatoarelor naționale pentru droguri și a sistemelor de avertizare timpurie pentru noile substanțe psihoactive, în conformitate cu legislația</w:t>
      </w:r>
      <w:r>
        <w:rPr>
          <w:i/>
          <w:noProof/>
          <w:color w:val="000000" w:themeColor="text1"/>
        </w:rPr>
        <w:t xml:space="preserve"> </w:t>
      </w:r>
      <w:r>
        <w:rPr>
          <w:noProof/>
          <w:color w:val="000000" w:themeColor="text1"/>
        </w:rPr>
        <w:t xml:space="preserve">UE și promovarea unor politici în materie de droguri bazate pe dovezi, integrate și echilibrate, cu sprijinul EUDA. Pentru a asigura o integrare accelerată a țărilor candidate în arhitectura de securitate a UE, UE ar trebui să implice și să sprijine în mod sistematic partenerii implicați în procesul de extindere, asigurându-le accesul la instrumente, orientări și oportunități de consolidare a capacităților. </w:t>
      </w:r>
      <w:r>
        <w:rPr>
          <w:noProof/>
        </w:rPr>
        <w:t>În mod similar, Comisia va explora cooperarea cu țările candidate în ceea ce privește securitatea portuară, cum ar fi includerea acestora în calitate de observatori la reuniunile Alianței portuare europene.</w:t>
      </w:r>
    </w:p>
    <w:p w14:paraId="363DC074" w14:textId="0870295D" w:rsidR="00167C96" w:rsidRPr="0075035A" w:rsidRDefault="005904B7" w:rsidP="008B399B">
      <w:pPr>
        <w:pStyle w:val="ContNum"/>
        <w:rPr>
          <w:noProof/>
          <w:szCs w:val="24"/>
        </w:rPr>
      </w:pPr>
      <w:r>
        <w:rPr>
          <w:noProof/>
        </w:rPr>
        <w:t xml:space="preserve">În cooperare cu </w:t>
      </w:r>
      <w:r>
        <w:rPr>
          <w:b/>
          <w:noProof/>
        </w:rPr>
        <w:t>partenerii sud-mediteraneeni</w:t>
      </w:r>
      <w:r>
        <w:rPr>
          <w:noProof/>
        </w:rPr>
        <w:t>, UE va promova monitorizarea și evaluarea în continuare a tendințelor în materie de droguri, cooperarea judiciară și în materie de asigurare a respectării legii, precum și gestionarea integrată a frontierelor pentru a răspunde mai eficient traficului transfrontalier de droguri, în conformitate cu „Securitatea, pregătirea și gestionarea migrației” din Pactul pentru Mediterana. Este esențială o cooperare operațională mai strânsă a EUDA, EUROPOL, CEPOL, Eurojust și MAOC-N cu partenerii regionali. Cooperarea operațională cu Africa de Nord, Orientul Mijlociu și zona Golfului va fi consolidată, în special în ceea ce privește producția și traficul de droguri, cu accent pe captagon.</w:t>
      </w:r>
    </w:p>
    <w:p w14:paraId="54A472AB" w14:textId="3C356AB2" w:rsidR="003D03BB" w:rsidRPr="0075035A" w:rsidRDefault="492BD276" w:rsidP="003D03BB">
      <w:pPr>
        <w:pStyle w:val="ContNum"/>
        <w:rPr>
          <w:noProof/>
          <w:color w:val="000000" w:themeColor="text1"/>
          <w:szCs w:val="24"/>
        </w:rPr>
      </w:pPr>
      <w:r>
        <w:rPr>
          <w:noProof/>
          <w:color w:val="000000" w:themeColor="text1"/>
        </w:rPr>
        <w:t xml:space="preserve">UE urmărește să consolideze </w:t>
      </w:r>
      <w:r>
        <w:rPr>
          <w:b/>
          <w:noProof/>
          <w:color w:val="000000" w:themeColor="text1"/>
        </w:rPr>
        <w:t>alianțele internaționale împotriva amenințărilor reprezentate de drogurile sintetice</w:t>
      </w:r>
      <w:r>
        <w:rPr>
          <w:noProof/>
          <w:color w:val="000000" w:themeColor="text1"/>
        </w:rPr>
        <w:t xml:space="preserve"> prin</w:t>
      </w:r>
      <w:r>
        <w:rPr>
          <w:b/>
          <w:noProof/>
          <w:color w:val="000000" w:themeColor="text1"/>
        </w:rPr>
        <w:t xml:space="preserve"> </w:t>
      </w:r>
      <w:r>
        <w:rPr>
          <w:noProof/>
          <w:color w:val="000000" w:themeColor="text1"/>
        </w:rPr>
        <w:t>colaborarea</w:t>
      </w:r>
      <w:r>
        <w:rPr>
          <w:b/>
          <w:noProof/>
          <w:color w:val="000000" w:themeColor="text1"/>
        </w:rPr>
        <w:t xml:space="preserve"> </w:t>
      </w:r>
      <w:r>
        <w:rPr>
          <w:noProof/>
          <w:color w:val="000000" w:themeColor="text1"/>
        </w:rPr>
        <w:t xml:space="preserve">cu principalele țări terțe, cum ar fi Statele Unite, Mexic, China și India, pentru a destructura producția de droguri ilicite, pentru a opri fluxul de precursori de droguri și pentru a spori gradul de pregătire împotriva provocărilor legate de drogurile sintetice. Cooperarea se va axa pe perturbarea rutelor de trafic de droguri, pe consolidarea </w:t>
      </w:r>
      <w:r>
        <w:rPr>
          <w:b/>
          <w:noProof/>
          <w:color w:val="000000" w:themeColor="text1"/>
        </w:rPr>
        <w:t>rezilienței centrelor logistice</w:t>
      </w:r>
      <w:r>
        <w:rPr>
          <w:noProof/>
          <w:color w:val="000000" w:themeColor="text1"/>
        </w:rPr>
        <w:t xml:space="preserve"> la nivel mondial și pe combaterea exploatării principalelor porturi maritime de către criminalitatea organizată, în special în America Latină, Africa de Vest și Balcanii de Vest.</w:t>
      </w:r>
    </w:p>
    <w:p w14:paraId="60E8AB54" w14:textId="0E5E6EFC" w:rsidR="006A6350" w:rsidRPr="0075035A" w:rsidRDefault="006A6350" w:rsidP="006A6350">
      <w:pPr>
        <w:pStyle w:val="ContNum"/>
        <w:rPr>
          <w:noProof/>
          <w:color w:val="000000" w:themeColor="text1"/>
          <w:szCs w:val="24"/>
        </w:rPr>
      </w:pPr>
      <w:r>
        <w:rPr>
          <w:noProof/>
          <w:color w:val="000000" w:themeColor="text1"/>
        </w:rPr>
        <w:t xml:space="preserve">Măsurile restrictive reprezintă un instrument important în setul de instrumente externe al UE și pot completa un mix de politici bine echilibrat pentru a neutraliza și a reduce în mod eficace criminalitatea organizată transnațională. În prezent, Comisia analizează opțiunile pentru un </w:t>
      </w:r>
      <w:r>
        <w:rPr>
          <w:b/>
          <w:noProof/>
          <w:color w:val="000000" w:themeColor="text1"/>
        </w:rPr>
        <w:t>regim de sancțiuni orizontale</w:t>
      </w:r>
      <w:r>
        <w:rPr>
          <w:noProof/>
          <w:color w:val="000000" w:themeColor="text1"/>
        </w:rPr>
        <w:t xml:space="preserve"> care să vizeze persoanele și grupurile infracționale organizate implicate în introducerea ilegală de migranți și în traficul de persoane. Având în vedere că traficul de droguri alimentează adesea grupurile infracționale organizate transnaționale și că traficul de droguri se bazează pe aceleași entități care desfășoară activități de spălare de bani, aceiași comercianți de criptomonede și alți furnizori de servicii pentru toate operațiunile lor, se poate lua în considerare extinderea domeniului de aplicare al unui astfel de regim, sub rezerva discuțiilor cu statele membre. Delegațiile UE din toate țările și subregiunile relevante vor identifica puncte focale în rândul personalului lor pentru combaterea criminalității organizate, cu posibilitatea ca statele membre să trimită ofițeri de legătură în acest scop.</w:t>
      </w:r>
    </w:p>
    <w:p w14:paraId="05507A02" w14:textId="7B21EC04" w:rsidR="00201AD3" w:rsidRPr="0075035A" w:rsidRDefault="003D03BB" w:rsidP="004B2B1B">
      <w:pPr>
        <w:pStyle w:val="ContNum"/>
        <w:rPr>
          <w:noProof/>
          <w:color w:val="000000" w:themeColor="text1"/>
          <w:szCs w:val="24"/>
        </w:rPr>
      </w:pPr>
      <w:r>
        <w:rPr>
          <w:noProof/>
          <w:color w:val="000000" w:themeColor="text1"/>
        </w:rPr>
        <w:t xml:space="preserve">Răspunsurile operaționale specifice </w:t>
      </w:r>
      <w:r>
        <w:rPr>
          <w:noProof/>
        </w:rPr>
        <w:t>vor implica autoritățile vamale, autoritățile de aplicare a legii și autoritățile relevante din principalele țări terțe, inclusiv inițiative precum unitățile de anchetă și centrele de fuziune a informațiilor.</w:t>
      </w:r>
      <w:r>
        <w:rPr>
          <w:noProof/>
          <w:color w:val="000000" w:themeColor="text1"/>
        </w:rPr>
        <w:t xml:space="preserve"> De asemenea, UE va construi </w:t>
      </w:r>
      <w:r>
        <w:rPr>
          <w:b/>
          <w:noProof/>
          <w:color w:val="000000" w:themeColor="text1"/>
        </w:rPr>
        <w:t>parteneriate mai puternice</w:t>
      </w:r>
      <w:r>
        <w:rPr>
          <w:noProof/>
          <w:color w:val="000000" w:themeColor="text1"/>
        </w:rPr>
        <w:t xml:space="preserve"> în materie de justiție și securitate cu principalele țări și regiuni terțe, consolidând cooperarea în materie de asistență judiciară reciprocă, extrădare, recuperare și confiscare a activelor, în special cu țările din America Latină, zona Caraibilor și regiunea mediteraneeană.</w:t>
      </w:r>
    </w:p>
    <w:p w14:paraId="0C0E65DE" w14:textId="3C82F884" w:rsidR="0078332E" w:rsidRPr="0075035A" w:rsidRDefault="009F1E8A" w:rsidP="0078332E">
      <w:pPr>
        <w:pStyle w:val="ContNum"/>
        <w:rPr>
          <w:noProof/>
          <w:color w:val="000000" w:themeColor="text1"/>
          <w:szCs w:val="24"/>
        </w:rPr>
      </w:pPr>
      <w:r>
        <w:rPr>
          <w:noProof/>
          <w:color w:val="000000" w:themeColor="text1"/>
        </w:rPr>
        <w:t xml:space="preserve">În plus, </w:t>
      </w:r>
      <w:r>
        <w:rPr>
          <w:noProof/>
        </w:rPr>
        <w:t xml:space="preserve">Comisia </w:t>
      </w:r>
      <w:r>
        <w:rPr>
          <w:noProof/>
          <w:color w:val="000000" w:themeColor="text1"/>
        </w:rPr>
        <w:t xml:space="preserve">va colabora cu statele membre și cu țările partenere pentru a consolida eforturile de combatere a traficului de droguri, promovând </w:t>
      </w:r>
      <w:r>
        <w:rPr>
          <w:b/>
          <w:noProof/>
          <w:color w:val="000000" w:themeColor="text1"/>
        </w:rPr>
        <w:t>Coaliția europeană împotriva drogurilor</w:t>
      </w:r>
      <w:r>
        <w:rPr>
          <w:noProof/>
          <w:color w:val="000000" w:themeColor="text1"/>
        </w:rPr>
        <w:t xml:space="preserve"> recent lansată, sporind astfel eficacitatea obiectivelor și strategiilor comune</w:t>
      </w:r>
      <w:r>
        <w:rPr>
          <w:noProof/>
        </w:rPr>
        <w:t>.</w:t>
      </w:r>
    </w:p>
    <w:p w14:paraId="142BFB67" w14:textId="55F8DB1E" w:rsidR="001A092F" w:rsidRPr="0075035A" w:rsidRDefault="0003626B" w:rsidP="008E288C">
      <w:pPr>
        <w:pStyle w:val="ListParagraph"/>
        <w:numPr>
          <w:ilvl w:val="1"/>
          <w:numId w:val="99"/>
        </w:numPr>
        <w:spacing w:before="240" w:line="240" w:lineRule="auto"/>
        <w:ind w:left="993"/>
        <w:jc w:val="both"/>
        <w:rPr>
          <w:rFonts w:cs="Times New Roman"/>
          <w:b/>
          <w:bCs/>
          <w:i/>
          <w:iCs/>
          <w:noProof/>
          <w:color w:val="000000" w:themeColor="text1"/>
          <w:szCs w:val="24"/>
        </w:rPr>
      </w:pPr>
      <w:r>
        <w:rPr>
          <w:b/>
          <w:i/>
          <w:noProof/>
          <w:color w:val="000000" w:themeColor="text1"/>
        </w:rPr>
        <w:t xml:space="preserve"> Consolidarea dialogurilor cu țările și regiunile terțe</w:t>
      </w:r>
    </w:p>
    <w:p w14:paraId="0A6D2437" w14:textId="320ABADE" w:rsidR="0044326C" w:rsidRPr="0075035A" w:rsidRDefault="00057087">
      <w:pPr>
        <w:pStyle w:val="ContNum"/>
        <w:rPr>
          <w:noProof/>
        </w:rPr>
      </w:pPr>
      <w:r>
        <w:rPr>
          <w:noProof/>
          <w:color w:val="000000" w:themeColor="text1"/>
        </w:rPr>
        <w:t>Inițierea de dialoguri cu țările terțe este esențială pentru promovarea unei abordări integrate și echilibrate a politicii în materie de droguri. UE va continua dialogurile specifice privind drogurile cu partenerii din Balcanii de Vest, Parteneriatul estic, America Latină și zona Caraibilor, Asia Centrală și la nivel bilateral cu SUA, China și Columbia. Aceste dialoguri urmăresc să consolideze cooperarea strategică și operațională, promovând răspunsuri cu impact.</w:t>
      </w:r>
      <w:r>
        <w:rPr>
          <w:noProof/>
        </w:rPr>
        <w:t xml:space="preserve"> </w:t>
      </w:r>
      <w:r>
        <w:rPr>
          <w:noProof/>
          <w:color w:val="000000" w:themeColor="text1"/>
        </w:rPr>
        <w:t>Ar trebui inițiate noi dialoguri cu alte țări sau regiuni prioritare puternic afectate de probleme legate de droguri. Dialogurile privind securitatea pot aborda aspecte legate de politica în materie de droguri, în special traficul, iar schimburile tematice și reuniunile experților vor facilita schimbul de informații și coordonarea activităților, de exemplu cu India</w:t>
      </w:r>
      <w:r>
        <w:rPr>
          <w:noProof/>
        </w:rPr>
        <w:t>, pentru a preveni deturnarea și traficul de precursori de droguri.</w:t>
      </w:r>
    </w:p>
    <w:p w14:paraId="56F0E103" w14:textId="74184C0E" w:rsidR="0C23CFC2" w:rsidRPr="0075035A" w:rsidRDefault="3AB86EC3" w:rsidP="009678FC">
      <w:pPr>
        <w:pStyle w:val="ContNum"/>
        <w:rPr>
          <w:noProof/>
          <w:color w:val="000000" w:themeColor="text1"/>
        </w:rPr>
      </w:pPr>
      <w:r>
        <w:rPr>
          <w:noProof/>
          <w:color w:val="000000" w:themeColor="text1"/>
        </w:rPr>
        <w:t>UE va mobiliza instrumente diplomatice, politice și financiare în cadrul său de politică externă pentru a consolida aceste eforturi. Întreaga gamă de instrumente ale UE, inclusiv IVCDCI și misiunile politicii de securitate și apărare comune, poate fi utilizată pentru a consolida capacitățile de asigurare a respectării legii în țările terțe și pentru a sprijini o abordare la nivelul întregii administrații a politicii în materie de droguri.</w:t>
      </w:r>
    </w:p>
    <w:p w14:paraId="50488ED4" w14:textId="26398590" w:rsidR="001A092F" w:rsidRPr="0075035A" w:rsidRDefault="0003626B" w:rsidP="008E288C">
      <w:pPr>
        <w:pStyle w:val="ListParagraph"/>
        <w:numPr>
          <w:ilvl w:val="1"/>
          <w:numId w:val="99"/>
        </w:numPr>
        <w:spacing w:before="240" w:line="240" w:lineRule="auto"/>
        <w:ind w:left="993"/>
        <w:jc w:val="both"/>
        <w:rPr>
          <w:rFonts w:cs="Times New Roman"/>
          <w:b/>
          <w:bCs/>
          <w:i/>
          <w:iCs/>
          <w:noProof/>
          <w:color w:val="000000" w:themeColor="text1"/>
          <w:szCs w:val="24"/>
        </w:rPr>
      </w:pPr>
      <w:r>
        <w:rPr>
          <w:b/>
          <w:i/>
          <w:noProof/>
          <w:color w:val="000000" w:themeColor="text1"/>
        </w:rPr>
        <w:t xml:space="preserve"> Cooperare operațională</w:t>
      </w:r>
    </w:p>
    <w:p w14:paraId="6746CD28" w14:textId="36A12CAE" w:rsidR="00DD182C" w:rsidRPr="0075035A" w:rsidRDefault="3F113B3D" w:rsidP="00976282">
      <w:pPr>
        <w:pStyle w:val="ContNum"/>
        <w:rPr>
          <w:noProof/>
          <w:color w:val="000000" w:themeColor="text1"/>
          <w:szCs w:val="24"/>
        </w:rPr>
      </w:pPr>
      <w:r>
        <w:rPr>
          <w:noProof/>
          <w:color w:val="000000" w:themeColor="text1"/>
        </w:rPr>
        <w:t xml:space="preserve">Pe măsură ce rețelele de trafic de droguri din întreaga lume devin interconectate, UE își va </w:t>
      </w:r>
      <w:r>
        <w:rPr>
          <w:b/>
          <w:noProof/>
          <w:color w:val="000000" w:themeColor="text1"/>
        </w:rPr>
        <w:t>consolida răspunsul operațional</w:t>
      </w:r>
      <w:r>
        <w:rPr>
          <w:noProof/>
          <w:color w:val="000000" w:themeColor="text1"/>
        </w:rPr>
        <w:t xml:space="preserve"> prin parteneriate cu țările și regiunile candidate și cu principalele țări și regiuni terțe. Agențiile JAI joacă un rol esențial în acest efort. Rolul Europol în consolidarea capacităților strategice și operaționale în principalele țări terțe este esențial pentru neutralizarea rețelelor infracționale transnaționale. Prin urmare, Europol extinde parteneriatele externe pentru a facilita schimbul de informații strategice și operaționale, asigurându-se că anchetele sunt coordonate între jurisdicții. Rolul Eurojust</w:t>
      </w:r>
      <w:r>
        <w:rPr>
          <w:noProof/>
        </w:rPr>
        <w:t xml:space="preserve"> în crearea unor dosare solide împotriva organizațiilor criminale și în facilitarea urmăririlor penale este vital pentru </w:t>
      </w:r>
      <w:r>
        <w:rPr>
          <w:noProof/>
          <w:color w:val="000000" w:themeColor="text1"/>
        </w:rPr>
        <w:t>o acțiune juridică eficace împotriva criminalității transnaționale</w:t>
      </w:r>
      <w:r>
        <w:rPr>
          <w:noProof/>
        </w:rPr>
        <w:t>.</w:t>
      </w:r>
    </w:p>
    <w:p w14:paraId="0EF1425F" w14:textId="1155B6E1" w:rsidR="00A71FA1" w:rsidRPr="0075035A" w:rsidRDefault="00793207" w:rsidP="674E0B1F">
      <w:pPr>
        <w:pStyle w:val="ContNum"/>
        <w:rPr>
          <w:noProof/>
          <w:color w:val="000000" w:themeColor="text1"/>
          <w:szCs w:val="24"/>
        </w:rPr>
      </w:pPr>
      <w:r>
        <w:rPr>
          <w:noProof/>
          <w:color w:val="000000" w:themeColor="text1"/>
        </w:rPr>
        <w:t>În urma noului său mandat, EUDA se angajează să consolideze cooperarea internațională și să monitorizeze situația drogurilor din țările terțe, sprijinind elaborarea unor politici în materie de droguri bazate pe dovezi, integrate și echilibrate. Ca parte a strategiei de securitate internă ProtectEU, Comisia va urmări încheierea unor acorduri suplimentare între UE și țările terțe pentru cooperarea cu Europol și Eurojust, în special prin extinderea eforturilor la mai multe țări din America Latină și prin susținerea includerii mai multor țări terțe în cadrul EMPACT.</w:t>
      </w:r>
    </w:p>
    <w:p w14:paraId="2CD1A491" w14:textId="31709BC4" w:rsidR="00553616" w:rsidRPr="0075035A" w:rsidRDefault="00793207" w:rsidP="00553616">
      <w:pPr>
        <w:pStyle w:val="ContNum"/>
        <w:rPr>
          <w:noProof/>
          <w:color w:val="000000" w:themeColor="text1"/>
        </w:rPr>
      </w:pPr>
      <w:r>
        <w:rPr>
          <w:noProof/>
          <w:color w:val="000000" w:themeColor="text1"/>
        </w:rPr>
        <w:t>UE va menține</w:t>
      </w:r>
      <w:r>
        <w:rPr>
          <w:b/>
          <w:noProof/>
          <w:color w:val="000000" w:themeColor="text1"/>
        </w:rPr>
        <w:t xml:space="preserve"> inițiativele de asistență tehnică și de consolidare a capacităților</w:t>
      </w:r>
      <w:r>
        <w:rPr>
          <w:noProof/>
          <w:color w:val="000000" w:themeColor="text1"/>
        </w:rPr>
        <w:t xml:space="preserve"> și programele de cooperare pentru a ajuta țările terțe să abordeze aspectele legate de droguri într-un mod compatibil cu obligațiile în materie de drepturi ale omului, răspunzând provocărilor din sectorul sănătății publice, al dezvoltării, al siguranței și al securității. UE și statele sale membre pun accentul pe </w:t>
      </w:r>
      <w:r>
        <w:rPr>
          <w:b/>
          <w:noProof/>
          <w:color w:val="000000" w:themeColor="text1"/>
        </w:rPr>
        <w:t>politici în materie de droguri orientate spre dezvoltare și pe măsuri de dezvoltare alternativă și durabilă</w:t>
      </w:r>
      <w:r>
        <w:rPr>
          <w:rStyle w:val="FootnoteReference0"/>
          <w:noProof/>
          <w:szCs w:val="24"/>
        </w:rPr>
        <w:footnoteReference w:id="62"/>
      </w:r>
      <w:r>
        <w:rPr>
          <w:noProof/>
          <w:color w:val="000000" w:themeColor="text1"/>
        </w:rPr>
        <w:t>, care oferă o cale de reducere a ofertei de droguri, de protecție a mediului și de stimulare a dezvoltării socioeconomice a regiunilor afectate.</w:t>
      </w:r>
    </w:p>
    <w:p w14:paraId="346251FB" w14:textId="07C5A3F5" w:rsidR="001A092F" w:rsidRPr="0075035A" w:rsidRDefault="0003626B" w:rsidP="008E288C">
      <w:pPr>
        <w:pStyle w:val="ListParagraph"/>
        <w:numPr>
          <w:ilvl w:val="1"/>
          <w:numId w:val="99"/>
        </w:numPr>
        <w:spacing w:before="240" w:line="240" w:lineRule="auto"/>
        <w:ind w:left="993"/>
        <w:jc w:val="both"/>
        <w:rPr>
          <w:rFonts w:cs="Times New Roman"/>
          <w:b/>
          <w:bCs/>
          <w:i/>
          <w:iCs/>
          <w:noProof/>
          <w:color w:val="000000" w:themeColor="text1"/>
          <w:szCs w:val="24"/>
        </w:rPr>
      </w:pPr>
      <w:r>
        <w:rPr>
          <w:b/>
          <w:i/>
          <w:noProof/>
          <w:color w:val="000000" w:themeColor="text1"/>
        </w:rPr>
        <w:t xml:space="preserve"> Reafirmarea rolului de lider al UE în conturarea agendei politicii internaționale în materie de droguri</w:t>
      </w:r>
    </w:p>
    <w:p w14:paraId="364783DC" w14:textId="394B09D6" w:rsidR="005826B5" w:rsidRPr="0075035A" w:rsidRDefault="002E06EF" w:rsidP="00A2296C">
      <w:pPr>
        <w:pStyle w:val="ContNum"/>
        <w:rPr>
          <w:noProof/>
          <w:color w:val="000000" w:themeColor="text1"/>
        </w:rPr>
      </w:pPr>
      <w:r>
        <w:rPr>
          <w:noProof/>
          <w:color w:val="000000" w:themeColor="text1"/>
        </w:rPr>
        <w:t>UE își menține angajamentul față de</w:t>
      </w:r>
      <w:r>
        <w:rPr>
          <w:noProof/>
        </w:rPr>
        <w:t xml:space="preserve"> </w:t>
      </w:r>
      <w:r>
        <w:rPr>
          <w:noProof/>
          <w:color w:val="000000" w:themeColor="text1"/>
        </w:rPr>
        <w:t>un sistem multilateral bazat pe dreptul internațional și pe principiile Cartei ONU</w:t>
      </w:r>
      <w:r>
        <w:rPr>
          <w:rStyle w:val="FootnoteReference0"/>
          <w:noProof/>
          <w:color w:val="000000" w:themeColor="text1"/>
        </w:rPr>
        <w:footnoteReference w:id="63"/>
      </w:r>
      <w:r>
        <w:rPr>
          <w:noProof/>
        </w:rPr>
        <w:t>.</w:t>
      </w:r>
      <w:r>
        <w:rPr>
          <w:noProof/>
          <w:color w:val="000000" w:themeColor="text1"/>
        </w:rPr>
        <w:t xml:space="preserve"> </w:t>
      </w:r>
      <w:r>
        <w:rPr>
          <w:b/>
          <w:noProof/>
          <w:color w:val="000000" w:themeColor="text1"/>
        </w:rPr>
        <w:t>UE își va menține</w:t>
      </w:r>
      <w:r>
        <w:rPr>
          <w:noProof/>
          <w:color w:val="000000" w:themeColor="text1"/>
        </w:rPr>
        <w:t xml:space="preserve"> </w:t>
      </w:r>
      <w:r>
        <w:rPr>
          <w:b/>
          <w:noProof/>
          <w:color w:val="000000" w:themeColor="text1"/>
        </w:rPr>
        <w:t>rolul de lider în procesele de dezvoltare a politicii ONU în materie de droguri</w:t>
      </w:r>
      <w:r>
        <w:rPr>
          <w:noProof/>
          <w:color w:val="000000" w:themeColor="text1"/>
        </w:rPr>
        <w:t xml:space="preserve">, participând activ în cadrul Comisiei pentru stupefiante a Organizației Națiunilor Unite și al altor organisme ale ONU axate pe sănătate, drepturile omului și dezvoltare. Această abordare se extinde la implicarea în foruri multilaterale, cum ar fi Consiliul Europei. </w:t>
      </w:r>
    </w:p>
    <w:p w14:paraId="3849A8D8" w14:textId="596B761D" w:rsidR="005826B5" w:rsidRPr="0075035A" w:rsidRDefault="55B40AB1" w:rsidP="00A2296C">
      <w:pPr>
        <w:pStyle w:val="ContNum"/>
        <w:rPr>
          <w:noProof/>
          <w:szCs w:val="24"/>
        </w:rPr>
      </w:pPr>
      <w:r>
        <w:rPr>
          <w:noProof/>
          <w:color w:val="000000" w:themeColor="text1"/>
        </w:rPr>
        <w:t xml:space="preserve">UE va continua să consolideze cooperarea la nivel strategic cu organizațiile internaționale, în special cu UNODC, care este organismul principal din cadrul sistemului ONU pentru abordarea aspectelor legate de droguri la nivel mondial, cu Organul Internațional de Control al Stupefiantelor, precum și cu </w:t>
      </w:r>
      <w:r>
        <w:rPr>
          <w:noProof/>
        </w:rPr>
        <w:t>OMS și cu Organizația Mondială a Vămilor. UE va sprijini, de asemenea, coordonarea între organismele relevante ale ONU pentru a aborda în mod cuprinzător și consecvent situația drogurilor.</w:t>
      </w:r>
    </w:p>
    <w:p w14:paraId="2386FA51" w14:textId="20558937" w:rsidR="00F60899" w:rsidRPr="0075035A" w:rsidRDefault="00F60899" w:rsidP="00541FED">
      <w:pPr>
        <w:pStyle w:val="Heading3"/>
        <w:ind w:left="0"/>
        <w:rPr>
          <w:noProof/>
        </w:rPr>
      </w:pPr>
      <w:bookmarkStart w:id="80" w:name="_Toc212204040"/>
      <w:bookmarkStart w:id="81" w:name="_Toc1397227716"/>
      <w:bookmarkStart w:id="82" w:name="_Toc1962792768"/>
      <w:bookmarkStart w:id="83" w:name="_Toc209853390"/>
      <w:r>
        <w:rPr>
          <w:noProof/>
        </w:rPr>
        <w:t>Prioritatea strategică 10: consolidarea coordonării și a parteneriatelor strategice ale UE</w:t>
      </w:r>
      <w:bookmarkEnd w:id="80"/>
      <w:bookmarkEnd w:id="81"/>
      <w:bookmarkEnd w:id="82"/>
      <w:bookmarkEnd w:id="83"/>
    </w:p>
    <w:p w14:paraId="524D6E75" w14:textId="5A4A7BB3" w:rsidR="0088107F" w:rsidRPr="0075035A" w:rsidRDefault="00FE5FDE" w:rsidP="003A5A8B">
      <w:pPr>
        <w:pBdr>
          <w:top w:val="single" w:sz="4" w:space="1" w:color="auto"/>
          <w:left w:val="single" w:sz="4" w:space="4" w:color="auto"/>
          <w:bottom w:val="single" w:sz="4" w:space="1" w:color="auto"/>
          <w:right w:val="single" w:sz="4" w:space="4" w:color="auto"/>
        </w:pBdr>
        <w:spacing w:before="240" w:line="240" w:lineRule="auto"/>
        <w:jc w:val="both"/>
        <w:rPr>
          <w:rFonts w:cs="Times New Roman"/>
          <w:i/>
          <w:iCs/>
          <w:noProof/>
          <w:szCs w:val="24"/>
        </w:rPr>
      </w:pPr>
      <w:r>
        <w:rPr>
          <w:i/>
          <w:noProof/>
        </w:rPr>
        <w:t>Recunoscând caracterul transversal al politicii în materie de droguri, UE se angajează să pună în aplicare astfel de politici, inclusiv prezenta strategie, printr-o abordare unificată la nivelul întregii societăți. Acest lucru necesită o coordonare strânsă între instituțiile, organele și agențiile UE și statele membre, implicând în același timp în mod activ societatea civilă și actorii din sectorul privat. Acest efort de colaborare urmărește să consolideze acțiunile colective, să maximizeze impactul și să asigure o abordare favorabilă incluziunii a provocărilor legate de droguri.</w:t>
      </w:r>
    </w:p>
    <w:p w14:paraId="2F962180" w14:textId="46FAFFF0" w:rsidR="008E54E4" w:rsidRPr="0075035A" w:rsidRDefault="0003626B" w:rsidP="008E288C">
      <w:pPr>
        <w:pStyle w:val="ListParagraph"/>
        <w:numPr>
          <w:ilvl w:val="1"/>
          <w:numId w:val="100"/>
        </w:numPr>
        <w:spacing w:before="240" w:line="240" w:lineRule="auto"/>
        <w:jc w:val="both"/>
        <w:rPr>
          <w:rFonts w:cs="Times New Roman"/>
          <w:b/>
          <w:bCs/>
          <w:i/>
          <w:iCs/>
          <w:noProof/>
          <w:color w:val="000000" w:themeColor="text1"/>
          <w:szCs w:val="24"/>
        </w:rPr>
      </w:pPr>
      <w:r>
        <w:rPr>
          <w:b/>
          <w:i/>
          <w:noProof/>
          <w:color w:val="000000" w:themeColor="text1"/>
        </w:rPr>
        <w:t xml:space="preserve"> Consolidarea coordonării dintre instituțiile, organele și agențiile UE și statele membre</w:t>
      </w:r>
    </w:p>
    <w:p w14:paraId="39A5787D" w14:textId="7915B6A4" w:rsidR="005C3DCA" w:rsidRPr="0075035A" w:rsidRDefault="697BEBD9" w:rsidP="00650257">
      <w:pPr>
        <w:spacing w:after="240" w:line="240" w:lineRule="auto"/>
        <w:jc w:val="both"/>
        <w:rPr>
          <w:rFonts w:eastAsia="Times New Roman" w:cs="Times New Roman"/>
          <w:noProof/>
          <w:szCs w:val="24"/>
        </w:rPr>
      </w:pPr>
      <w:r>
        <w:rPr>
          <w:noProof/>
        </w:rPr>
        <w:t>Instituțiile, organele și agențiile relevante ale UE trebuie să își</w:t>
      </w:r>
      <w:r>
        <w:rPr>
          <w:b/>
          <w:noProof/>
        </w:rPr>
        <w:t xml:space="preserve"> coordoneze activitățile </w:t>
      </w:r>
      <w:r>
        <w:rPr>
          <w:noProof/>
        </w:rPr>
        <w:t xml:space="preserve">legate de drogurile ilicite, asigurând complementaritatea în cadrul mandatelor lor respective. Statele membre sunt încurajate să își alinieze acțiunile la această strategie, alocând resurse specifice în consecință. Recunoscând diferențele locale și regionale în ceea ce privește situația drogurilor, </w:t>
      </w:r>
      <w:bookmarkStart w:id="84" w:name="_Hlk210140193"/>
      <w:r>
        <w:rPr>
          <w:noProof/>
        </w:rPr>
        <w:t xml:space="preserve">statele membre ar trebui să implice </w:t>
      </w:r>
      <w:r>
        <w:rPr>
          <w:b/>
          <w:noProof/>
        </w:rPr>
        <w:t xml:space="preserve">autoritățile regionale și locale </w:t>
      </w:r>
      <w:r>
        <w:rPr>
          <w:noProof/>
        </w:rPr>
        <w:t>în punerea în aplicare a strategiei. Aceste autorități joacă un rol vital prin adaptarea intervențiilor la nevoile comunității, prin încurajarea colaborării între părțile interesate, cum ar fi serviciile de sănătate, autoritățile de aplicare a legii și organizațiile comunitare, pentru a consolida eforturile de prevenire, tratament și reducere a efectelor negative. La nivelul UE, Comitetul Regiunilor și Comitetul Economic și Social joacă un rol important în ceea ce privește evoluțiile legate de droguri.</w:t>
      </w:r>
    </w:p>
    <w:p w14:paraId="6ACF07FD" w14:textId="1B353834" w:rsidR="00EC00E7" w:rsidRPr="0075035A" w:rsidRDefault="00EC00E7" w:rsidP="00EC00E7">
      <w:pPr>
        <w:spacing w:after="240" w:line="240" w:lineRule="auto"/>
        <w:jc w:val="both"/>
        <w:rPr>
          <w:rFonts w:eastAsia="Times New Roman" w:cs="Times New Roman"/>
          <w:bCs/>
          <w:noProof/>
          <w:szCs w:val="24"/>
        </w:rPr>
      </w:pPr>
      <w:r>
        <w:rPr>
          <w:noProof/>
        </w:rPr>
        <w:t>Coordonarea dintre sectoare, în special dintre sectorul sănătății, cel al securității și cel al justiției, este esențială atât la nivelul UE, cât și la nivel național. Abordările integrate la nivel local, care implică autoritățile de aplicare a legii, sistemul judiciar, serviciile sociale și de asistență medicală, agențiile pentru medicamente și autoritățile din sectoare precum aviația civilă și sectorul maritim, pot îmbunătăți rezultatele în materie de sănătate și securitate. Această cooperare între diverse sectoare este esențială pentru dezvoltarea unor soluții cuprinzătoare la provocările legate de droguri.</w:t>
      </w:r>
    </w:p>
    <w:p w14:paraId="024905D3" w14:textId="25DA5064" w:rsidR="00EF623C" w:rsidRPr="0075035A" w:rsidRDefault="00C9562F" w:rsidP="00647406">
      <w:pPr>
        <w:spacing w:after="240" w:line="240" w:lineRule="auto"/>
        <w:jc w:val="both"/>
        <w:rPr>
          <w:rFonts w:eastAsia="Times New Roman" w:cs="Times New Roman"/>
          <w:noProof/>
        </w:rPr>
      </w:pPr>
      <w:r>
        <w:rPr>
          <w:noProof/>
        </w:rPr>
        <w:t xml:space="preserve">Punerea în aplicare cu succes a acestei strategii depinde de o guvernanță și o coordonare eficace. Prin urmare, întrucât strategia este revizuită și sunt prezentate direcțiile viitoare, Consiliul Uniunii Europene, cu sprijinul Comisiei, este invitat să elaboreze un </w:t>
      </w:r>
      <w:r>
        <w:rPr>
          <w:b/>
          <w:noProof/>
        </w:rPr>
        <w:t>cadru de punere în aplicare</w:t>
      </w:r>
      <w:r>
        <w:rPr>
          <w:noProof/>
        </w:rPr>
        <w:t>. Acest cadru ar trebui să identifice în mod clar părțile interesate implicate în punerea în aplicare a diferitelor priorități și să promoveze sinergiile și coerența între politicile în materie de droguri la nivelul UE, la nivel național și la nivel local. În plus, cadrul ar trebui să exploreze modalități prin care să se asigure că fiecare stat membru menține o imagine de ansamblu la nivel național a problemelor legate de droguri printr-o abordare la nivelul întregii administrații. Acest lucru va îmbunătăți coordonarea și va maximiza impactul politicilor la nivelul UE, la nivel național și local.</w:t>
      </w:r>
    </w:p>
    <w:p w14:paraId="196B8307" w14:textId="1F2BD5F5" w:rsidR="00660564" w:rsidRPr="0075035A" w:rsidRDefault="00C80301" w:rsidP="009678FC">
      <w:pPr>
        <w:spacing w:after="240" w:line="240" w:lineRule="auto"/>
        <w:jc w:val="both"/>
        <w:rPr>
          <w:rFonts w:cs="Times New Roman"/>
          <w:b/>
          <w:i/>
          <w:noProof/>
          <w:color w:val="000000" w:themeColor="text1"/>
        </w:rPr>
      </w:pPr>
      <w:r>
        <w:rPr>
          <w:noProof/>
        </w:rPr>
        <w:t>Comisia și Consiliul Uniunii Europene ar trebui să revizuiască periodic punerea în aplicare a strategiei, menținând dialogul cu statele membre. Agențiile UE, cum ar fi EUDA și Europol, vor contribui la monitorizarea punerii în aplicare a strategiei. Monitorizarea eficace a măsurilor în materie de droguri necesită colectarea de date și indicatori de impact, iar EUDA își va extinde setul de instrumente de evaluare a politicilor pentru a urmări cu precizie progresele și rezultatele, facilitând ajustările strategice în timp util pentru o eficacitate maximă.</w:t>
      </w:r>
      <w:bookmarkEnd w:id="84"/>
    </w:p>
    <w:p w14:paraId="0FC3AD73" w14:textId="442F9BC9" w:rsidR="00290788" w:rsidRPr="0075035A" w:rsidRDefault="0003626B" w:rsidP="008E288C">
      <w:pPr>
        <w:pStyle w:val="ListParagraph"/>
        <w:numPr>
          <w:ilvl w:val="1"/>
          <w:numId w:val="100"/>
        </w:numPr>
        <w:spacing w:before="240" w:line="240" w:lineRule="auto"/>
        <w:jc w:val="both"/>
        <w:rPr>
          <w:rFonts w:cs="Times New Roman"/>
          <w:b/>
          <w:bCs/>
          <w:i/>
          <w:iCs/>
          <w:noProof/>
          <w:color w:val="000000" w:themeColor="text1"/>
          <w:szCs w:val="24"/>
        </w:rPr>
      </w:pPr>
      <w:r>
        <w:rPr>
          <w:b/>
          <w:i/>
          <w:noProof/>
          <w:color w:val="000000" w:themeColor="text1"/>
        </w:rPr>
        <w:t xml:space="preserve"> Consolidarea implicării semnificative a societății civile</w:t>
      </w:r>
    </w:p>
    <w:p w14:paraId="58419F10" w14:textId="5EADBBCC" w:rsidR="00635408" w:rsidRPr="0075035A" w:rsidRDefault="00555589" w:rsidP="00D04A9A">
      <w:pPr>
        <w:spacing w:before="240" w:line="240" w:lineRule="auto"/>
        <w:jc w:val="both"/>
        <w:rPr>
          <w:rFonts w:cs="Times New Roman"/>
          <w:noProof/>
          <w:color w:val="000000" w:themeColor="text1"/>
          <w:szCs w:val="24"/>
        </w:rPr>
      </w:pPr>
      <w:r>
        <w:rPr>
          <w:noProof/>
          <w:color w:val="000000" w:themeColor="text1"/>
        </w:rPr>
        <w:t xml:space="preserve">Răspunsurile eficace în materie de politici impun necesitatea includerii persoanelor direct afectate de problemele legate de droguri, experiențele acestora fiind utilizate pentru a sta la baza unor soluții fundamentate și practice. Societatea civilă este esențială pentru elaborarea politicilor în materie de droguri la nivel național, la nivelul UE și la nivel internațional. La nivelul UE, Forumul societății civile în materie de droguri va rămâne o parte integrantă a punerii în aplicare a strategiei. În plus, EUDA își va consolida colaborarea regulată cu societatea civilă în cadrul noului său mandat. </w:t>
      </w:r>
    </w:p>
    <w:p w14:paraId="0809E999" w14:textId="5253E40E" w:rsidR="008E54E4" w:rsidRPr="0075035A" w:rsidRDefault="00635408" w:rsidP="009678FC">
      <w:pPr>
        <w:spacing w:before="240" w:after="240" w:line="240" w:lineRule="auto"/>
        <w:jc w:val="both"/>
        <w:rPr>
          <w:rFonts w:cs="Times New Roman"/>
          <w:noProof/>
          <w:color w:val="000000" w:themeColor="text1"/>
          <w:szCs w:val="24"/>
        </w:rPr>
      </w:pPr>
      <w:r>
        <w:rPr>
          <w:noProof/>
          <w:color w:val="000000" w:themeColor="text1"/>
        </w:rPr>
        <w:t>La nivel național, ar trebui valorificate cunoștințele de bază ale societății civile cu privire la tendințele emergente și la răspunsurile eficace pentru a elabora și a pune în aplicare politici și măsuri. Asigurarea alocării adecvate a resurselor pentru toate serviciile legate de droguri și promovarea implicării societății civile sunt esențiale la toate nivelurile pentru a sprijini elaborarea de politici cuprinzătoare și favorabile incluziunii.</w:t>
      </w:r>
    </w:p>
    <w:p w14:paraId="1C450B8A" w14:textId="7178472E" w:rsidR="00290788" w:rsidRPr="0075035A" w:rsidRDefault="0003626B" w:rsidP="00290788">
      <w:pPr>
        <w:pStyle w:val="ListParagraph"/>
        <w:numPr>
          <w:ilvl w:val="1"/>
          <w:numId w:val="100"/>
        </w:numPr>
        <w:spacing w:before="240" w:line="240" w:lineRule="auto"/>
        <w:jc w:val="both"/>
        <w:rPr>
          <w:rFonts w:cs="Times New Roman"/>
          <w:b/>
          <w:bCs/>
          <w:i/>
          <w:iCs/>
          <w:noProof/>
          <w:color w:val="000000" w:themeColor="text1"/>
          <w:szCs w:val="24"/>
        </w:rPr>
      </w:pPr>
      <w:r>
        <w:rPr>
          <w:b/>
          <w:i/>
          <w:noProof/>
          <w:color w:val="000000" w:themeColor="text1"/>
        </w:rPr>
        <w:t xml:space="preserve"> Extinderea parteneriatelor public-privat privind politica în materie de droguri</w:t>
      </w:r>
    </w:p>
    <w:p w14:paraId="11AF8A02" w14:textId="7760E1AC" w:rsidR="007F05BF" w:rsidRPr="0075035A" w:rsidRDefault="00555589" w:rsidP="00A2296C">
      <w:pPr>
        <w:spacing w:line="240" w:lineRule="auto"/>
        <w:jc w:val="both"/>
        <w:rPr>
          <w:rFonts w:eastAsia="Times New Roman" w:cs="Times New Roman"/>
          <w:noProof/>
          <w:szCs w:val="24"/>
        </w:rPr>
      </w:pPr>
      <w:r>
        <w:rPr>
          <w:noProof/>
        </w:rPr>
        <w:t>Drogurile ilicite afectează toate aspectele societății, inclusiv locul de muncă, iar criminalitatea organizată se infiltrează adesea în economia legală pentru a susține traficul de droguri. Statele membre sunt încurajate să coopereze cu sectorul privat pentru a reduce cererea și oferta de droguri și pentru a aborda efectele negative ale drogurilor.</w:t>
      </w:r>
      <w:r>
        <w:rPr>
          <w:b/>
          <w:noProof/>
        </w:rPr>
        <w:t xml:space="preserve"> </w:t>
      </w:r>
      <w:r>
        <w:rPr>
          <w:noProof/>
        </w:rPr>
        <w:t xml:space="preserve">Comisia se va baza pe succesul </w:t>
      </w:r>
      <w:r>
        <w:rPr>
          <w:i/>
          <w:noProof/>
        </w:rPr>
        <w:t>Alianței portuare europene</w:t>
      </w:r>
      <w:r>
        <w:rPr>
          <w:noProof/>
        </w:rPr>
        <w:t xml:space="preserve">, stabilind </w:t>
      </w:r>
      <w:r>
        <w:rPr>
          <w:b/>
          <w:noProof/>
        </w:rPr>
        <w:t>legături mai strânse cu operatorii privați</w:t>
      </w:r>
      <w:r>
        <w:rPr>
          <w:noProof/>
        </w:rPr>
        <w:t>.</w:t>
      </w:r>
    </w:p>
    <w:p w14:paraId="1AA49955" w14:textId="464E03DF" w:rsidR="00034A29" w:rsidRPr="0075035A" w:rsidRDefault="007F05BF" w:rsidP="00A2296C">
      <w:pPr>
        <w:spacing w:line="240" w:lineRule="auto"/>
        <w:jc w:val="both"/>
        <w:rPr>
          <w:rFonts w:cs="Times New Roman"/>
          <w:b/>
          <w:bCs/>
          <w:noProof/>
          <w:color w:val="000000" w:themeColor="text1"/>
          <w:szCs w:val="24"/>
        </w:rPr>
      </w:pPr>
      <w:r>
        <w:rPr>
          <w:noProof/>
          <w:color w:val="000000" w:themeColor="text1"/>
        </w:rPr>
        <w:t>Dezvoltarea parteneriatelor public-privat este esențială pentru combaterea traficului de droguri, a infiltrării criminalității și a deturnării precursorilor, în special în sectoare precum serviciile poștale. Aceste parteneriate ar trebui, de asemenea, să fie consolidate în domeniul sănătății și al reintegrării sociale, promovând colaborarea cu actorii privați care pot inova în ceea ce privește soluțiile în materie de sănătate. Această abordare cuprinzătoare urmărește să integreze eforturile din toate sectoarele pentru a aborda în mod eficace provocările legate de droguri.</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E814AB" w:rsidRPr="0075035A" w14:paraId="691A86B7" w14:textId="77777777" w:rsidTr="009678FC">
        <w:trPr>
          <w:trHeight w:val="3885"/>
        </w:trPr>
        <w:tc>
          <w:tcPr>
            <w:tcW w:w="9576" w:type="dxa"/>
          </w:tcPr>
          <w:p w14:paraId="7359B7FD" w14:textId="5ABE7599" w:rsidR="00E814AB" w:rsidRDefault="00E814AB" w:rsidP="00E814AB">
            <w:pPr>
              <w:jc w:val="both"/>
              <w:rPr>
                <w:rFonts w:cs="Times New Roman"/>
                <w:b/>
                <w:noProof/>
                <w:color w:val="000000" w:themeColor="text1"/>
                <w:szCs w:val="24"/>
              </w:rPr>
            </w:pPr>
            <w:r>
              <w:rPr>
                <w:b/>
                <w:noProof/>
                <w:color w:val="000000" w:themeColor="text1"/>
              </w:rPr>
              <w:t>Priorități esențiale</w:t>
            </w:r>
          </w:p>
          <w:p w14:paraId="713FFE7C" w14:textId="77777777" w:rsidR="00404769" w:rsidRPr="0075035A" w:rsidRDefault="00404769" w:rsidP="00E814AB">
            <w:pPr>
              <w:jc w:val="both"/>
              <w:rPr>
                <w:rFonts w:cs="Times New Roman"/>
                <w:b/>
                <w:bCs/>
                <w:noProof/>
                <w:color w:val="000000" w:themeColor="text1"/>
                <w:szCs w:val="24"/>
              </w:rPr>
            </w:pPr>
          </w:p>
          <w:p w14:paraId="42C3DEF3" w14:textId="778B1449" w:rsidR="00E814AB" w:rsidRPr="0075035A" w:rsidRDefault="00E814AB" w:rsidP="00E814AB">
            <w:pPr>
              <w:jc w:val="both"/>
              <w:rPr>
                <w:rFonts w:cs="Times New Roman"/>
                <w:b/>
                <w:bCs/>
                <w:noProof/>
                <w:color w:val="000000" w:themeColor="text1"/>
                <w:szCs w:val="24"/>
              </w:rPr>
            </w:pPr>
            <w:r>
              <w:rPr>
                <w:b/>
                <w:noProof/>
                <w:color w:val="000000" w:themeColor="text1"/>
              </w:rPr>
              <w:t>În cooperare cu Consiliul Uniunii Europene și cu statele membre, Comisia:</w:t>
            </w:r>
          </w:p>
          <w:p w14:paraId="6F4CF474" w14:textId="3F12D1CF" w:rsidR="00E814AB" w:rsidRPr="0075035A" w:rsidRDefault="00F83F8C" w:rsidP="003A5A8B">
            <w:pPr>
              <w:pStyle w:val="ContNum"/>
              <w:numPr>
                <w:ilvl w:val="0"/>
                <w:numId w:val="102"/>
              </w:numPr>
              <w:spacing w:after="120"/>
              <w:rPr>
                <w:b/>
                <w:noProof/>
                <w:color w:val="000000" w:themeColor="text1"/>
                <w:szCs w:val="24"/>
              </w:rPr>
            </w:pPr>
            <w:r>
              <w:rPr>
                <w:b/>
                <w:noProof/>
                <w:color w:val="000000" w:themeColor="text1"/>
              </w:rPr>
              <w:t>va consolida dialogurile internaționale privind drogurile cu țările și regiunile terțe, inclusiv eforturile de solidificare și extindere a alianțelor internaționale împotriva drogurilor sintetice;</w:t>
            </w:r>
          </w:p>
          <w:p w14:paraId="764B0C2F" w14:textId="4A48EBDE" w:rsidR="00E814AB" w:rsidRPr="0075035A" w:rsidRDefault="00E814AB" w:rsidP="003A5A8B">
            <w:pPr>
              <w:pStyle w:val="ContNum"/>
              <w:numPr>
                <w:ilvl w:val="0"/>
                <w:numId w:val="102"/>
              </w:numPr>
              <w:spacing w:after="120"/>
              <w:rPr>
                <w:b/>
                <w:noProof/>
                <w:color w:val="000000" w:themeColor="text1"/>
                <w:szCs w:val="24"/>
              </w:rPr>
            </w:pPr>
            <w:r>
              <w:rPr>
                <w:b/>
                <w:noProof/>
                <w:color w:val="000000" w:themeColor="text1"/>
              </w:rPr>
              <w:t>va continua să conducă participarea UE la procesele ONU legate de politica în materie de droguri și va promova drepturile omului, precum și o abordare echilibrată la nivelul politicii în materie de droguri.</w:t>
            </w:r>
          </w:p>
          <w:p w14:paraId="381F65A1" w14:textId="4F26A810" w:rsidR="00E814AB" w:rsidRPr="0075035A" w:rsidRDefault="00E814AB" w:rsidP="00E814AB">
            <w:pPr>
              <w:jc w:val="both"/>
              <w:rPr>
                <w:rFonts w:cs="Times New Roman"/>
                <w:b/>
                <w:bCs/>
                <w:noProof/>
                <w:color w:val="000000" w:themeColor="text1"/>
                <w:szCs w:val="24"/>
              </w:rPr>
            </w:pPr>
            <w:r>
              <w:rPr>
                <w:b/>
                <w:noProof/>
                <w:color w:val="000000" w:themeColor="text1"/>
              </w:rPr>
              <w:t>Cu sprijinul agențiilor UE, Comisia:</w:t>
            </w:r>
          </w:p>
          <w:p w14:paraId="278AA363" w14:textId="002DAF60" w:rsidR="00E814AB" w:rsidRPr="0075035A" w:rsidRDefault="00E814AB" w:rsidP="003A5A8B">
            <w:pPr>
              <w:pStyle w:val="ContNum"/>
              <w:numPr>
                <w:ilvl w:val="0"/>
                <w:numId w:val="102"/>
              </w:numPr>
              <w:spacing w:after="120"/>
              <w:rPr>
                <w:b/>
                <w:noProof/>
                <w:color w:val="000000" w:themeColor="text1"/>
                <w:szCs w:val="24"/>
              </w:rPr>
            </w:pPr>
            <w:r>
              <w:rPr>
                <w:b/>
                <w:noProof/>
                <w:color w:val="000000" w:themeColor="text1"/>
              </w:rPr>
              <w:t>va consolida cooperarea operațională cu țările candidate și cu principalele țări și regiuni terțe în vederea combaterii traficului de droguri;</w:t>
            </w:r>
          </w:p>
          <w:p w14:paraId="35B74D9F" w14:textId="6FBA72CA" w:rsidR="003C690B" w:rsidRPr="0075035A" w:rsidRDefault="003C690B" w:rsidP="003A5A8B">
            <w:pPr>
              <w:pStyle w:val="ContNum"/>
              <w:numPr>
                <w:ilvl w:val="0"/>
                <w:numId w:val="102"/>
              </w:numPr>
              <w:spacing w:after="120"/>
              <w:rPr>
                <w:b/>
                <w:noProof/>
                <w:color w:val="000000" w:themeColor="text1"/>
                <w:szCs w:val="24"/>
              </w:rPr>
            </w:pPr>
            <w:r>
              <w:rPr>
                <w:b/>
                <w:noProof/>
                <w:color w:val="000000" w:themeColor="text1"/>
              </w:rPr>
              <w:t>își va uni eforturile cu statele membre pentru a impulsiona Coaliția europeană împotriva drogurilor.</w:t>
            </w:r>
          </w:p>
          <w:p w14:paraId="0CAAD4E6" w14:textId="5ED2AC83" w:rsidR="00E814AB" w:rsidRPr="0075035A" w:rsidRDefault="00E814AB" w:rsidP="00E814AB">
            <w:pPr>
              <w:jc w:val="both"/>
              <w:rPr>
                <w:rFonts w:cs="Times New Roman"/>
                <w:b/>
                <w:bCs/>
                <w:noProof/>
                <w:color w:val="000000" w:themeColor="text1"/>
                <w:szCs w:val="24"/>
              </w:rPr>
            </w:pPr>
            <w:r>
              <w:rPr>
                <w:b/>
                <w:noProof/>
                <w:color w:val="000000" w:themeColor="text1"/>
              </w:rPr>
              <w:t>Comisia Europeană și statele membre ar trebui:</w:t>
            </w:r>
          </w:p>
          <w:p w14:paraId="10B63D6B" w14:textId="7B3599FF" w:rsidR="00E814AB" w:rsidRPr="0075035A" w:rsidRDefault="00E814AB" w:rsidP="003A5A8B">
            <w:pPr>
              <w:pStyle w:val="ContNum"/>
              <w:numPr>
                <w:ilvl w:val="0"/>
                <w:numId w:val="102"/>
              </w:numPr>
              <w:spacing w:after="120"/>
              <w:rPr>
                <w:b/>
                <w:noProof/>
                <w:color w:val="000000" w:themeColor="text1"/>
                <w:szCs w:val="24"/>
              </w:rPr>
            </w:pPr>
            <w:r>
              <w:rPr>
                <w:b/>
                <w:noProof/>
                <w:color w:val="000000" w:themeColor="text1"/>
              </w:rPr>
              <w:t>să își intensifice colaborarea cu Forumul societății civile în materie de droguri;</w:t>
            </w:r>
          </w:p>
          <w:p w14:paraId="2714EED1" w14:textId="13F49B55" w:rsidR="00E814AB" w:rsidRPr="0075035A" w:rsidRDefault="00E814AB" w:rsidP="003A5A8B">
            <w:pPr>
              <w:pStyle w:val="ContNum"/>
              <w:numPr>
                <w:ilvl w:val="0"/>
                <w:numId w:val="102"/>
              </w:numPr>
              <w:spacing w:after="120"/>
              <w:rPr>
                <w:b/>
                <w:bCs/>
                <w:noProof/>
                <w:color w:val="000000" w:themeColor="text1"/>
                <w:szCs w:val="24"/>
              </w:rPr>
            </w:pPr>
            <w:r>
              <w:rPr>
                <w:b/>
                <w:noProof/>
                <w:color w:val="000000" w:themeColor="text1"/>
              </w:rPr>
              <w:t xml:space="preserve">să promoveze parteneriatele public-privat privind politica în materie de droguri. </w:t>
            </w:r>
          </w:p>
        </w:tc>
      </w:tr>
    </w:tbl>
    <w:p w14:paraId="05EAEE5B" w14:textId="6E2D00DC" w:rsidR="003B07B2" w:rsidRPr="0075035A" w:rsidRDefault="003B07B2" w:rsidP="009678FC">
      <w:pPr>
        <w:pStyle w:val="Heading1"/>
        <w:ind w:left="0" w:firstLine="0"/>
        <w:jc w:val="both"/>
        <w:rPr>
          <w:rFonts w:eastAsiaTheme="minorEastAsia"/>
          <w:smallCaps w:val="0"/>
          <w:noProof/>
        </w:rPr>
      </w:pPr>
      <w:bookmarkStart w:id="85" w:name="_Toc212204041"/>
      <w:bookmarkStart w:id="86" w:name="_Toc42355788"/>
      <w:bookmarkStart w:id="87" w:name="_Toc778282377"/>
      <w:r>
        <w:rPr>
          <w:smallCaps w:val="0"/>
          <w:noProof/>
        </w:rPr>
        <w:t>Concluzii</w:t>
      </w:r>
      <w:bookmarkEnd w:id="85"/>
      <w:bookmarkEnd w:id="86"/>
      <w:bookmarkEnd w:id="87"/>
    </w:p>
    <w:p w14:paraId="4CDCD128" w14:textId="31A161F0" w:rsidR="00560154" w:rsidRPr="0075035A" w:rsidRDefault="00285F8C" w:rsidP="009678FC">
      <w:pPr>
        <w:spacing w:line="240" w:lineRule="auto"/>
        <w:jc w:val="both"/>
        <w:rPr>
          <w:rFonts w:cs="Times New Roman"/>
          <w:noProof/>
          <w:color w:val="000000" w:themeColor="text1"/>
          <w:szCs w:val="24"/>
        </w:rPr>
      </w:pPr>
      <w:r>
        <w:rPr>
          <w:noProof/>
          <w:color w:val="000000" w:themeColor="text1"/>
        </w:rPr>
        <w:t>În peisajul actual imprevizibil al drogurilor, UE trebuie să anticipeze în mod proactiv amenințările, să prevină efectele negative și să acționeze decisiv pentru a proteja sănătatea și securitatea.</w:t>
      </w:r>
    </w:p>
    <w:p w14:paraId="7BE20C6F" w14:textId="7CFE9D17" w:rsidR="00D33D8D" w:rsidRPr="0075035A" w:rsidRDefault="009D3BF8" w:rsidP="009678FC">
      <w:pPr>
        <w:spacing w:line="240" w:lineRule="auto"/>
        <w:jc w:val="both"/>
        <w:rPr>
          <w:rFonts w:cs="Times New Roman"/>
          <w:noProof/>
          <w:color w:val="000000" w:themeColor="text1"/>
        </w:rPr>
      </w:pPr>
      <w:r>
        <w:rPr>
          <w:noProof/>
          <w:color w:val="000000" w:themeColor="text1"/>
        </w:rPr>
        <w:t>Criminalitatea organizată și traficul de droguri subminează securitatea mondială, alimentând violența, corupția și instabilitatea în cadrul comunităților, în timp ce noile droguri sintetice potente prezintă provocări majore în materie de sănătate. Un răspuns solid și integrat, care să pună accentul pe pregătire și prevenire, este esențial.</w:t>
      </w:r>
    </w:p>
    <w:p w14:paraId="097267D8" w14:textId="6300D687" w:rsidR="00D33D8D" w:rsidRPr="0075035A" w:rsidRDefault="0084289F" w:rsidP="009678FC">
      <w:pPr>
        <w:jc w:val="both"/>
        <w:rPr>
          <w:rFonts w:cs="Times New Roman"/>
          <w:noProof/>
          <w:color w:val="000000" w:themeColor="text1"/>
          <w:szCs w:val="24"/>
        </w:rPr>
      </w:pPr>
      <w:r>
        <w:rPr>
          <w:noProof/>
          <w:color w:val="000000" w:themeColor="text1"/>
        </w:rPr>
        <w:t>Consolidarea structurilor de sănătate publică axate pe prevenire, tratament, reintegrare socială și reducerea efectelor negative în cadrul unui sistem continuu de îngrijire este esențială. La fel de important este să se consolideze asigurarea respectării legii, promovându-se în același timp parteneriatele care acordă prioritate bunăstării umane. Furnizarea de soluții durabile este esențială pentru a ne proteja structura socială și pentru a contribui la stabilirea unor standarde la nivel mondial pentru partenerii noștri.</w:t>
      </w:r>
    </w:p>
    <w:p w14:paraId="1BABF9F8" w14:textId="1DF67207" w:rsidR="003B07B2" w:rsidRPr="0075035A" w:rsidRDefault="00F255F9" w:rsidP="009678FC">
      <w:pPr>
        <w:jc w:val="both"/>
        <w:rPr>
          <w:rFonts w:cs="Times New Roman"/>
          <w:noProof/>
          <w:color w:val="000000" w:themeColor="text1"/>
          <w:szCs w:val="24"/>
        </w:rPr>
      </w:pPr>
      <w:r>
        <w:rPr>
          <w:noProof/>
          <w:color w:val="000000" w:themeColor="text1"/>
        </w:rPr>
        <w:t xml:space="preserve">Strategia Comisiei oferă un cadru cuprinzător pentru abordarea coerentă a provocărilor legate de drogurile ilicite, îndrumând părțile interesate </w:t>
      </w:r>
      <w:r>
        <w:rPr>
          <w:noProof/>
        </w:rPr>
        <w:t xml:space="preserve">să protejeze cetățenii și comunitățile împotriva criminalității organizate legate de droguri și a efectelor negative ale acesteia. </w:t>
      </w:r>
      <w:r>
        <w:rPr>
          <w:noProof/>
          <w:color w:val="000000" w:themeColor="text1"/>
        </w:rPr>
        <w:t>Abordarea integrată și la nivelul întregii societăți prevăzută de prezenta strategie conectează politicile în materie de sănătate și securitate, consolidând beneficiile pentru sănătate și măsurile de securitate. Comisia așteaptă cu interes discutarea acestor aspecte critice cu Parlamentul European și Consiliul.</w:t>
      </w:r>
    </w:p>
    <w:p w14:paraId="3BB15B57" w14:textId="559BB3C5" w:rsidR="009D3BF8" w:rsidRPr="0075035A" w:rsidRDefault="00F255F9" w:rsidP="009678FC">
      <w:pPr>
        <w:jc w:val="both"/>
        <w:rPr>
          <w:rFonts w:cs="Times New Roman"/>
          <w:noProof/>
          <w:color w:val="000000" w:themeColor="text1"/>
        </w:rPr>
      </w:pPr>
      <w:r>
        <w:rPr>
          <w:noProof/>
          <w:color w:val="000000" w:themeColor="text1"/>
        </w:rPr>
        <w:t>Alinierea eforturilor în materie de securitate și sănătate este vitală pentru un răspuns cuprinzător, care să garanteze un viitor mai sigur și mai sănătos pentru toți.</w:t>
      </w:r>
    </w:p>
    <w:sectPr w:rsidR="009D3BF8" w:rsidRPr="0075035A" w:rsidSect="002F2AEF">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D2A514" w14:textId="77777777" w:rsidR="00AA1404" w:rsidRPr="008D776A" w:rsidRDefault="00AA1404" w:rsidP="002F2AEF">
      <w:pPr>
        <w:spacing w:after="0" w:line="240" w:lineRule="auto"/>
      </w:pPr>
      <w:r>
        <w:separator/>
      </w:r>
    </w:p>
  </w:endnote>
  <w:endnote w:type="continuationSeparator" w:id="0">
    <w:p w14:paraId="5E2080C6" w14:textId="77777777" w:rsidR="00AA1404" w:rsidRPr="008D776A" w:rsidRDefault="00AA1404" w:rsidP="002F2AEF">
      <w:pPr>
        <w:spacing w:after="0" w:line="240" w:lineRule="auto"/>
      </w:pPr>
      <w:r>
        <w:continuationSeparator/>
      </w:r>
    </w:p>
  </w:endnote>
  <w:endnote w:type="continuationNotice" w:id="1">
    <w:p w14:paraId="2FBB241A" w14:textId="77777777" w:rsidR="00AA1404" w:rsidRPr="008D776A" w:rsidRDefault="00AA14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76D55" w14:textId="44258462" w:rsidR="009B3343" w:rsidRPr="009B3343" w:rsidRDefault="009B3343" w:rsidP="009B3343">
    <w:pPr>
      <w:pStyle w:val="FooterCoverPage"/>
      <w:rPr>
        <w:rFonts w:ascii="Arial" w:hAnsi="Arial" w:cs="Arial"/>
        <w:b/>
        <w:sz w:val="48"/>
      </w:rPr>
    </w:pPr>
    <w:r w:rsidRPr="009B3343">
      <w:rPr>
        <w:rFonts w:ascii="Arial" w:hAnsi="Arial" w:cs="Arial"/>
        <w:b/>
        <w:sz w:val="48"/>
      </w:rPr>
      <w:t>RO</w:t>
    </w:r>
    <w:r w:rsidRPr="009B3343">
      <w:rPr>
        <w:rFonts w:ascii="Arial" w:hAnsi="Arial" w:cs="Arial"/>
        <w:b/>
        <w:sz w:val="48"/>
      </w:rPr>
      <w:tab/>
    </w:r>
    <w:r w:rsidRPr="009B3343">
      <w:rPr>
        <w:rFonts w:ascii="Arial" w:hAnsi="Arial" w:cs="Arial"/>
        <w:b/>
        <w:sz w:val="48"/>
      </w:rPr>
      <w:tab/>
    </w:r>
    <w:r w:rsidRPr="009B3343">
      <w:tab/>
    </w:r>
    <w:r w:rsidRPr="009B334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B6D2C" w14:textId="2C8C6F4A" w:rsidR="009B3343" w:rsidRPr="009B3343" w:rsidRDefault="009B3343" w:rsidP="009B3343">
    <w:pPr>
      <w:pStyle w:val="FooterCoverPage"/>
      <w:rPr>
        <w:rFonts w:ascii="Arial" w:hAnsi="Arial" w:cs="Arial"/>
        <w:b/>
        <w:sz w:val="48"/>
      </w:rPr>
    </w:pPr>
    <w:r w:rsidRPr="009B3343">
      <w:rPr>
        <w:rFonts w:ascii="Arial" w:hAnsi="Arial" w:cs="Arial"/>
        <w:b/>
        <w:sz w:val="48"/>
      </w:rPr>
      <w:t>RO</w:t>
    </w:r>
    <w:r w:rsidRPr="009B3343">
      <w:rPr>
        <w:rFonts w:ascii="Arial" w:hAnsi="Arial" w:cs="Arial"/>
        <w:b/>
        <w:sz w:val="48"/>
      </w:rPr>
      <w:tab/>
    </w:r>
    <w:r w:rsidRPr="009B3343">
      <w:rPr>
        <w:rFonts w:ascii="Arial" w:hAnsi="Arial" w:cs="Arial"/>
        <w:b/>
        <w:sz w:val="48"/>
      </w:rPr>
      <w:tab/>
    </w:r>
    <w:r w:rsidRPr="009B3343">
      <w:tab/>
    </w:r>
    <w:r w:rsidRPr="009B334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A2AEF" w14:textId="77777777" w:rsidR="009B3343" w:rsidRPr="009B3343" w:rsidRDefault="009B3343" w:rsidP="009B334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EA54E" w14:textId="77777777" w:rsidR="00D24BB1" w:rsidRPr="008D776A" w:rsidRDefault="00D24B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2019146"/>
      <w:docPartObj>
        <w:docPartGallery w:val="Page Numbers (Bottom of Page)"/>
        <w:docPartUnique/>
      </w:docPartObj>
    </w:sdtPr>
    <w:sdtEndPr/>
    <w:sdtContent>
      <w:p w14:paraId="0D2E59F0" w14:textId="57B5F1E7" w:rsidR="001F25BC" w:rsidRPr="008D776A" w:rsidRDefault="001F25BC">
        <w:pPr>
          <w:pStyle w:val="Footer"/>
          <w:jc w:val="center"/>
        </w:pPr>
        <w:r>
          <w:fldChar w:fldCharType="begin"/>
        </w:r>
        <w:r>
          <w:instrText xml:space="preserve"> PAGE   \* MERGEFORMAT </w:instrText>
        </w:r>
        <w:r>
          <w:fldChar w:fldCharType="separate"/>
        </w:r>
        <w:r w:rsidR="009B3343">
          <w:rPr>
            <w:noProof/>
          </w:rPr>
          <w:t>2</w:t>
        </w:r>
        <w:r>
          <w:fldChar w:fldCharType="end"/>
        </w:r>
      </w:p>
    </w:sdtContent>
  </w:sdt>
  <w:p w14:paraId="1D5E94CB" w14:textId="77777777" w:rsidR="00D24BB1" w:rsidRPr="008D776A" w:rsidRDefault="00D24BB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F8193" w14:textId="77777777" w:rsidR="00D24BB1" w:rsidRPr="008D776A" w:rsidRDefault="00D24B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5BFC23" w14:textId="77777777" w:rsidR="00AA1404" w:rsidRPr="008D776A" w:rsidRDefault="00AA1404" w:rsidP="002F2AEF">
      <w:pPr>
        <w:spacing w:after="0" w:line="240" w:lineRule="auto"/>
      </w:pPr>
      <w:r>
        <w:separator/>
      </w:r>
    </w:p>
  </w:footnote>
  <w:footnote w:type="continuationSeparator" w:id="0">
    <w:p w14:paraId="517EDBD1" w14:textId="77777777" w:rsidR="00AA1404" w:rsidRPr="008D776A" w:rsidRDefault="00AA1404" w:rsidP="002F2AEF">
      <w:pPr>
        <w:spacing w:after="0" w:line="240" w:lineRule="auto"/>
      </w:pPr>
      <w:r>
        <w:continuationSeparator/>
      </w:r>
    </w:p>
  </w:footnote>
  <w:footnote w:type="continuationNotice" w:id="1">
    <w:p w14:paraId="1214808D" w14:textId="77777777" w:rsidR="00AA1404" w:rsidRPr="008D776A" w:rsidRDefault="00AA1404">
      <w:pPr>
        <w:spacing w:after="0" w:line="240" w:lineRule="auto"/>
      </w:pPr>
    </w:p>
  </w:footnote>
  <w:footnote w:id="2">
    <w:p w14:paraId="53921D6D" w14:textId="77777777" w:rsidR="004C69F1" w:rsidRPr="008D776A" w:rsidRDefault="004C69F1" w:rsidP="00471E68">
      <w:pPr>
        <w:pStyle w:val="FootnoteText"/>
        <w:jc w:val="both"/>
      </w:pPr>
      <w:r>
        <w:rPr>
          <w:rStyle w:val="FootnoteReference0"/>
          <w:lang w:val="en-GB"/>
        </w:rPr>
        <w:footnoteRef/>
      </w:r>
      <w:r>
        <w:t xml:space="preserve"> Agenția Uniunii Europene privind Drogurile (EUDA) (2025), </w:t>
      </w:r>
      <w:r>
        <w:rPr>
          <w:i/>
        </w:rPr>
        <w:t>Raportul european privind drogurile 2025. Tendințe și evoluții</w:t>
      </w:r>
      <w:r>
        <w:t>.</w:t>
      </w:r>
    </w:p>
  </w:footnote>
  <w:footnote w:id="3">
    <w:p w14:paraId="50869EB9" w14:textId="18FC81EB" w:rsidR="004C69F1" w:rsidRPr="00B712CC" w:rsidRDefault="004C69F1" w:rsidP="00471E68">
      <w:pPr>
        <w:pStyle w:val="FootnoteText"/>
        <w:jc w:val="both"/>
      </w:pPr>
      <w:r>
        <w:rPr>
          <w:rStyle w:val="FootnoteReference0"/>
          <w:lang w:val="en-GB"/>
        </w:rPr>
        <w:footnoteRef/>
      </w:r>
      <w:r>
        <w:t xml:space="preserve"> Comisia Europeană (2024), </w:t>
      </w:r>
      <w:r>
        <w:rPr>
          <w:i/>
        </w:rPr>
        <w:t>Sondaj Eurobarometru privind impactul drogurilor asupra comunităților locale</w:t>
      </w:r>
      <w:r>
        <w:t>.</w:t>
      </w:r>
    </w:p>
  </w:footnote>
  <w:footnote w:id="4">
    <w:p w14:paraId="74EE623A" w14:textId="3AD1BEF9" w:rsidR="001A2497" w:rsidRPr="008D776A" w:rsidRDefault="001A2497" w:rsidP="00471E68">
      <w:pPr>
        <w:pStyle w:val="FootnoteText"/>
        <w:jc w:val="both"/>
      </w:pPr>
      <w:r>
        <w:rPr>
          <w:rStyle w:val="FootnoteReference0"/>
          <w:lang w:val="en-GB"/>
        </w:rPr>
        <w:footnoteRef/>
      </w:r>
      <w:r>
        <w:t xml:space="preserve"> Europol (2024), </w:t>
      </w:r>
      <w:r>
        <w:rPr>
          <w:i/>
        </w:rPr>
        <w:t>Decoding the EU’s most threatening criminal networks</w:t>
      </w:r>
      <w:r>
        <w:t xml:space="preserve"> (Decodarea celor mai amenințătoare rețele infracționale din UE).</w:t>
      </w:r>
    </w:p>
  </w:footnote>
  <w:footnote w:id="5">
    <w:p w14:paraId="38A64DBE" w14:textId="08FBDCA5" w:rsidR="003E05DA" w:rsidRPr="008D776A" w:rsidRDefault="003E05DA" w:rsidP="00471E68">
      <w:pPr>
        <w:pStyle w:val="FootnoteText"/>
        <w:jc w:val="both"/>
      </w:pPr>
      <w:r>
        <w:rPr>
          <w:rStyle w:val="FootnoteReference0"/>
          <w:lang w:val="en-GB"/>
        </w:rPr>
        <w:footnoteRef/>
      </w:r>
      <w:r>
        <w:t xml:space="preserve"> UNODC, </w:t>
      </w:r>
      <w:r>
        <w:rPr>
          <w:i/>
        </w:rPr>
        <w:t>World Drug Report</w:t>
      </w:r>
      <w:r>
        <w:t xml:space="preserve"> (Raport privind situația drogurilor la nivel mondial) (2025).</w:t>
      </w:r>
    </w:p>
  </w:footnote>
  <w:footnote w:id="6">
    <w:p w14:paraId="009DBA5A" w14:textId="77777777" w:rsidR="0003626B" w:rsidRDefault="0003626B" w:rsidP="0003626B">
      <w:pPr>
        <w:pStyle w:val="FootnoteText"/>
        <w:jc w:val="both"/>
      </w:pPr>
      <w:r>
        <w:rPr>
          <w:rStyle w:val="FootnoteReference0"/>
          <w:lang w:val="en-GB"/>
        </w:rPr>
        <w:footnoteRef/>
      </w:r>
      <w:r>
        <w:t xml:space="preserve"> EUDA (2025), </w:t>
      </w:r>
      <w:r>
        <w:rPr>
          <w:i/>
        </w:rPr>
        <w:t>Raportul european privind drogurile 2025. Tendințe și evoluții.</w:t>
      </w:r>
      <w:r>
        <w:t xml:space="preserve"> </w:t>
      </w:r>
    </w:p>
  </w:footnote>
  <w:footnote w:id="7">
    <w:p w14:paraId="0D27878D" w14:textId="119DE0C7" w:rsidR="00DF6732" w:rsidRPr="00DF6732" w:rsidRDefault="00DF6732" w:rsidP="00541FED">
      <w:pPr>
        <w:pStyle w:val="FootnoteText"/>
        <w:jc w:val="both"/>
      </w:pPr>
      <w:r>
        <w:rPr>
          <w:rStyle w:val="FootnoteReference0"/>
        </w:rPr>
        <w:footnoteRef/>
      </w:r>
      <w:r>
        <w:t xml:space="preserve"> Comisia Europeană (2024), </w:t>
      </w:r>
      <w:r>
        <w:rPr>
          <w:i/>
        </w:rPr>
        <w:t>Sondaj Eurobarometru privind impactul drogurilor asupra comunităților locale</w:t>
      </w:r>
      <w:r>
        <w:t>.</w:t>
      </w:r>
    </w:p>
  </w:footnote>
  <w:footnote w:id="8">
    <w:p w14:paraId="4AC6B570" w14:textId="4B0B0A8C" w:rsidR="00F566C9" w:rsidRDefault="00F566C9" w:rsidP="00471E68">
      <w:pPr>
        <w:pStyle w:val="FootnoteText"/>
        <w:jc w:val="both"/>
      </w:pPr>
      <w:r>
        <w:rPr>
          <w:rStyle w:val="FootnoteReference0"/>
        </w:rPr>
        <w:footnoteRef/>
      </w:r>
      <w:r>
        <w:t xml:space="preserve"> În special cele prevăzute la articolul 2 din Tratatul privind Uniunea Europeană.</w:t>
      </w:r>
    </w:p>
  </w:footnote>
  <w:footnote w:id="9">
    <w:p w14:paraId="3C5C0EA6" w14:textId="7A8A1C21" w:rsidR="004E57DC" w:rsidRPr="009678FC" w:rsidRDefault="004E57DC" w:rsidP="00471E68">
      <w:pPr>
        <w:pStyle w:val="FootnoteText"/>
        <w:jc w:val="both"/>
      </w:pPr>
      <w:r>
        <w:rPr>
          <w:rStyle w:val="FootnoteReference0"/>
        </w:rPr>
        <w:footnoteRef/>
      </w:r>
      <w:r>
        <w:t xml:space="preserve"> Carta drepturilor fundamentale a Uniunii Europene (JO C 326, 26.10.2012, p. 391).</w:t>
      </w:r>
    </w:p>
  </w:footnote>
  <w:footnote w:id="10">
    <w:p w14:paraId="71D14C08" w14:textId="4C57CE6B" w:rsidR="003D5B29" w:rsidRPr="009678FC" w:rsidRDefault="003D5B29" w:rsidP="0003626B">
      <w:pPr>
        <w:spacing w:after="0" w:line="240" w:lineRule="auto"/>
        <w:jc w:val="both"/>
        <w:rPr>
          <w:rFonts w:eastAsia="Times New Roman" w:cs="Times New Roman"/>
        </w:rPr>
      </w:pPr>
      <w:r>
        <w:rPr>
          <w:rStyle w:val="FootnoteReference0"/>
          <w:sz w:val="20"/>
          <w:szCs w:val="20"/>
        </w:rPr>
        <w:footnoteRef/>
      </w:r>
      <w:r>
        <w:rPr>
          <w:sz w:val="20"/>
        </w:rPr>
        <w:t xml:space="preserve"> Documentul final al sesiunii extraordinare a Adunării Generale a Organizației Națiunilor Unite (UNGASS) din 2016 privind problema drogurilor la nivel mondial intitulat „Angajamentul nostru comun de a aborda și a combate în mod eficient problema drogurilor la nivel mondial”</w:t>
      </w:r>
      <w:r>
        <w:t>.</w:t>
      </w:r>
    </w:p>
  </w:footnote>
  <w:footnote w:id="11">
    <w:p w14:paraId="533372EF" w14:textId="3F1A9669" w:rsidR="00976A85" w:rsidRPr="009678FC" w:rsidRDefault="00976A85" w:rsidP="0003626B">
      <w:pPr>
        <w:spacing w:after="0" w:line="240" w:lineRule="auto"/>
        <w:jc w:val="both"/>
        <w:rPr>
          <w:rFonts w:eastAsia="Times New Roman" w:cs="Times New Roman"/>
        </w:rPr>
      </w:pPr>
      <w:r>
        <w:rPr>
          <w:rStyle w:val="FootnoteReference0"/>
        </w:rPr>
        <w:footnoteRef/>
      </w:r>
      <w:r>
        <w:t xml:space="preserve"> </w:t>
      </w:r>
      <w:r>
        <w:rPr>
          <w:sz w:val="20"/>
        </w:rPr>
        <w:t>Declarația ministerială din 2019 privind consolidarea acțiunilor noastre la nivel național, regional și internațional pentru a accelera punerea în aplicare a angajamentelor noastre comune asumate în vederea abordării și combaterii problemei drogurilor la nivel mondial</w:t>
      </w:r>
      <w:r>
        <w:t>.</w:t>
      </w:r>
    </w:p>
  </w:footnote>
  <w:footnote w:id="12">
    <w:p w14:paraId="5524CE7A" w14:textId="66497937" w:rsidR="008C1B3A" w:rsidRDefault="008C1B3A" w:rsidP="00541FED">
      <w:pPr>
        <w:pStyle w:val="FootnoteText"/>
        <w:jc w:val="both"/>
      </w:pPr>
      <w:r>
        <w:rPr>
          <w:rStyle w:val="FootnoteReference0"/>
        </w:rPr>
        <w:footnoteRef/>
      </w:r>
      <w:r>
        <w:t xml:space="preserve"> Declarația la nivel înalt a Comisiei pentru stupefiante a Organizației Națiunilor cu privire la evaluarea la jumătatea perioadei din 2024, în urma Declarației ministeriale din 2019.</w:t>
      </w:r>
    </w:p>
  </w:footnote>
  <w:footnote w:id="13">
    <w:p w14:paraId="45B878F4" w14:textId="59D8533D" w:rsidR="002235C2" w:rsidRDefault="002235C2" w:rsidP="00541FED">
      <w:pPr>
        <w:pStyle w:val="FootnoteText"/>
        <w:jc w:val="both"/>
      </w:pPr>
      <w:r>
        <w:rPr>
          <w:rStyle w:val="FootnoteReference0"/>
        </w:rPr>
        <w:footnoteRef/>
      </w:r>
      <w:r>
        <w:t xml:space="preserve"> Adunarea Generală a Organizației Națiunilor Unite, Adunarea Generală a ONU – Transformarea lumii în care trăim: Agenda 2030 pentru dezvoltare durabilă, A/RES/70/1, 21 octombrie 2015.</w:t>
      </w:r>
    </w:p>
  </w:footnote>
  <w:footnote w:id="14">
    <w:p w14:paraId="2A369131" w14:textId="414C4962" w:rsidR="00A2280E" w:rsidRDefault="00A2280E" w:rsidP="00541FED">
      <w:pPr>
        <w:pStyle w:val="FootnoteText"/>
        <w:jc w:val="both"/>
      </w:pPr>
      <w:r>
        <w:rPr>
          <w:rStyle w:val="FootnoteReference0"/>
        </w:rPr>
        <w:footnoteRef/>
      </w:r>
      <w:r>
        <w:t xml:space="preserve"> Document de lucru al serviciilor Comisiei – Rezumatul evaluării Strategiei UE în materie de droguri 2021-2025 și a Planului de acțiune al UE în materie de droguri 2021-2025 [SWD (2025) 188 final]; Document de lucru al serviciilor Comisiei – Evaluarea Strategiei UE în materie de droguri 2021-2025 și a Planului de acțiune al UE în materie de droguri 2021-2025 [SWD(2025) 187 final].</w:t>
      </w:r>
    </w:p>
  </w:footnote>
  <w:footnote w:id="15">
    <w:p w14:paraId="54B9B5A5" w14:textId="2D1498A9" w:rsidR="00EE1564" w:rsidRPr="00541FED" w:rsidRDefault="00EE1564" w:rsidP="00541FED">
      <w:pPr>
        <w:pStyle w:val="FootnoteText"/>
        <w:jc w:val="both"/>
      </w:pPr>
      <w:r>
        <w:rPr>
          <w:rStyle w:val="FootnoteReference0"/>
        </w:rPr>
        <w:footnoteRef/>
      </w:r>
      <w:r>
        <w:t xml:space="preserve"> https://ec.europa.eu/commission/presscorner/detail/en/ip_23_1936.</w:t>
      </w:r>
    </w:p>
  </w:footnote>
  <w:footnote w:id="16">
    <w:p w14:paraId="0A1CA745" w14:textId="592D17C0" w:rsidR="00AA3859" w:rsidRPr="00B712CC" w:rsidRDefault="00AA3859" w:rsidP="00471E68">
      <w:pPr>
        <w:pStyle w:val="FootnoteText"/>
        <w:jc w:val="both"/>
      </w:pPr>
      <w:r>
        <w:rPr>
          <w:rStyle w:val="FootnoteReference0"/>
          <w:lang w:val="en-GB"/>
        </w:rPr>
        <w:footnoteRef/>
      </w:r>
      <w:r>
        <w:t xml:space="preserve"> Comunicarea Comisiei către Parlamentul European, Consiliu, Comitetul Economic și Social European și Comitetul Regiunilor privind </w:t>
      </w:r>
      <w:r>
        <w:rPr>
          <w:i/>
        </w:rPr>
        <w:t>ProtectEU: o strategie europeană de securitate internă</w:t>
      </w:r>
      <w:r>
        <w:t xml:space="preserve"> [COM(2025) 148 final].</w:t>
      </w:r>
    </w:p>
  </w:footnote>
  <w:footnote w:id="17">
    <w:p w14:paraId="75CF4857" w14:textId="6F649397" w:rsidR="00AA3859" w:rsidRPr="008D776A" w:rsidRDefault="00AA3859" w:rsidP="00471E68">
      <w:pPr>
        <w:spacing w:after="0"/>
        <w:jc w:val="both"/>
        <w:rPr>
          <w:sz w:val="20"/>
          <w:szCs w:val="20"/>
        </w:rPr>
      </w:pPr>
      <w:r>
        <w:rPr>
          <w:rStyle w:val="FootnoteReference0"/>
          <w:sz w:val="20"/>
          <w:szCs w:val="20"/>
        </w:rPr>
        <w:footnoteRef/>
      </w:r>
      <w:r>
        <w:rPr>
          <w:sz w:val="20"/>
        </w:rPr>
        <w:t xml:space="preserve"> Comunicarea comună către Parlamentul European, Consiliul European, Consiliu, Comitetul Economic și Social European și Comitetul Regiunilor referitoare la </w:t>
      </w:r>
      <w:r>
        <w:rPr>
          <w:i/>
          <w:sz w:val="20"/>
        </w:rPr>
        <w:t>Strategia europeană privind o Uniune a pregătirii</w:t>
      </w:r>
      <w:r>
        <w:rPr>
          <w:sz w:val="20"/>
        </w:rPr>
        <w:t xml:space="preserve"> [JOIN(2025) 130 final</w:t>
      </w:r>
      <w:r>
        <w:t>].</w:t>
      </w:r>
    </w:p>
  </w:footnote>
  <w:footnote w:id="18">
    <w:p w14:paraId="1684F9A4" w14:textId="5298C75A" w:rsidR="00775C24" w:rsidRDefault="00775C24" w:rsidP="00471E68">
      <w:pPr>
        <w:pStyle w:val="FootnoteText"/>
        <w:jc w:val="both"/>
      </w:pPr>
      <w:r>
        <w:rPr>
          <w:rStyle w:val="FootnoteReference0"/>
        </w:rPr>
        <w:footnoteRef/>
      </w:r>
      <w:r>
        <w:t xml:space="preserve">Comunicarea Comisiei către Parlamentul European, Consiliu, Comitetul Economic și Social European și Comitetul Regiunilor, </w:t>
      </w:r>
      <w:r>
        <w:rPr>
          <w:i/>
        </w:rPr>
        <w:t>Uniunea europeană a sănătății: acționăm împreună pentru sănătatea oamenilor</w:t>
      </w:r>
      <w:r>
        <w:t xml:space="preserve"> [COM(2024) 206 final].</w:t>
      </w:r>
    </w:p>
  </w:footnote>
  <w:footnote w:id="19">
    <w:p w14:paraId="14D8DA68" w14:textId="4119015C" w:rsidR="00775C24" w:rsidRDefault="00775C24" w:rsidP="00471E68">
      <w:pPr>
        <w:pStyle w:val="FootnoteText"/>
        <w:jc w:val="both"/>
      </w:pPr>
      <w:r>
        <w:rPr>
          <w:rStyle w:val="FootnoteReference0"/>
        </w:rPr>
        <w:footnoteRef/>
      </w:r>
      <w:r>
        <w:t xml:space="preserve">Regulamentul (UE) 2022/2371 al Parlamentului European și al Consiliului din 23 noiembrie 2022 privind amenințările transfrontaliere grave pentru sănătate și de abrogare a Deciziei nr. 1082/2013/UE (Text cu relevanță pentru SEE) (JO L 314, 6.12.2022, p. 26). </w:t>
      </w:r>
    </w:p>
  </w:footnote>
  <w:footnote w:id="20">
    <w:p w14:paraId="66FA359E" w14:textId="60565A66" w:rsidR="007279BD" w:rsidRDefault="007279BD" w:rsidP="00EC1267">
      <w:pPr>
        <w:pStyle w:val="FootnoteText"/>
        <w:jc w:val="both"/>
      </w:pPr>
      <w:r>
        <w:rPr>
          <w:rStyle w:val="FootnoteReference0"/>
        </w:rPr>
        <w:footnoteRef/>
      </w:r>
      <w:r>
        <w:t xml:space="preserve"> Propunere de regulament al Parlamentului European și al Consiliului privind monitorizarea și controlul precursorilor de droguri și de abrogare a Regulamentelor (CE) nr. 273/2004 și (CE) nr. 111/2005 [COM(2025) 747 final].</w:t>
      </w:r>
    </w:p>
  </w:footnote>
  <w:footnote w:id="21">
    <w:p w14:paraId="406BD179" w14:textId="404C4AF0" w:rsidR="00ED655E" w:rsidRPr="00471E68" w:rsidRDefault="00ED655E" w:rsidP="00471E68">
      <w:pPr>
        <w:pStyle w:val="FootnoteText"/>
        <w:jc w:val="both"/>
        <w:rPr>
          <w:rFonts w:eastAsia="Times New Roman" w:cs="Times New Roman"/>
        </w:rPr>
      </w:pPr>
      <w:r>
        <w:rPr>
          <w:rStyle w:val="FootnoteReference0"/>
          <w:rFonts w:eastAsia="Times New Roman" w:cs="Times New Roman"/>
          <w:lang w:val="en-GB"/>
        </w:rPr>
        <w:footnoteRef/>
      </w:r>
      <w:r>
        <w:t xml:space="preserve"> Europol (2025), </w:t>
      </w:r>
      <w:r>
        <w:rPr>
          <w:i/>
        </w:rPr>
        <w:t>Evaluarea amenințării pe care o reprezintă formele grave de criminalitate și criminalitatea organizată în Uniunea Europeană – Criminalitatea gravă și organizată își schimbă caracterul</w:t>
      </w:r>
      <w:r>
        <w:t>.</w:t>
      </w:r>
    </w:p>
  </w:footnote>
  <w:footnote w:id="22">
    <w:p w14:paraId="00692122" w14:textId="3690F588" w:rsidR="2326B0DA" w:rsidRDefault="2326B0DA" w:rsidP="00541FED">
      <w:pPr>
        <w:shd w:val="clear" w:color="auto" w:fill="FFFFFF" w:themeFill="background1"/>
        <w:spacing w:after="75"/>
        <w:jc w:val="both"/>
      </w:pPr>
      <w:r>
        <w:rPr>
          <w:rFonts w:eastAsia="Times New Roman" w:cs="Times New Roman"/>
          <w:sz w:val="20"/>
          <w:szCs w:val="20"/>
          <w:vertAlign w:val="superscript"/>
        </w:rPr>
        <w:footnoteRef/>
      </w:r>
      <w:r>
        <w:rPr>
          <w:sz w:val="20"/>
        </w:rPr>
        <w:t xml:space="preserve"> Regulamentul (UE) 2022/2371 al Parlamentului European și al Consiliului din 23 noiembrie 2022 privind amenințările transfrontaliere grave pentru sănătate și de abrogare a Deciziei nr. 1082/2013/UE (JO L 314, 6.12.2022, p. 26)</w:t>
      </w:r>
      <w:r>
        <w:t>.</w:t>
      </w:r>
    </w:p>
  </w:footnote>
  <w:footnote w:id="23">
    <w:p w14:paraId="035DB20C" w14:textId="2C00E782" w:rsidR="00775C24" w:rsidRDefault="00775C24" w:rsidP="00541FED">
      <w:pPr>
        <w:pStyle w:val="FootnoteText"/>
        <w:jc w:val="both"/>
      </w:pPr>
      <w:r>
        <w:rPr>
          <w:rStyle w:val="FootnoteReference0"/>
        </w:rPr>
        <w:footnoteRef/>
      </w:r>
      <w:r>
        <w:t xml:space="preserve"> În sinergie cu evaluarea privind planificarea prevenirii, pregătirii și răspunsului în temeiul articolului 8 din Regulamentul (UE) 2022/2371 privind amenințările transfrontaliere grave pentru sănătate.</w:t>
      </w:r>
    </w:p>
  </w:footnote>
  <w:footnote w:id="24">
    <w:p w14:paraId="3ECDB02E" w14:textId="77777777" w:rsidR="004903BC" w:rsidRDefault="004903BC" w:rsidP="00B2562C">
      <w:pPr>
        <w:pStyle w:val="FootnoteText"/>
        <w:jc w:val="both"/>
      </w:pPr>
      <w:r>
        <w:rPr>
          <w:rStyle w:val="FootnoteReference0"/>
        </w:rPr>
        <w:footnoteRef/>
      </w:r>
      <w:r>
        <w:t xml:space="preserve"> Documentul de lucru al serviciilor Comisiei de introducere a planului Uniunii de prevenire, pregătire și răspuns la crizele sanitare [SWD(2025) 393 final].</w:t>
      </w:r>
    </w:p>
  </w:footnote>
  <w:footnote w:id="25">
    <w:p w14:paraId="18BD707A" w14:textId="64F1AF71" w:rsidR="00077F33" w:rsidRPr="00CF5702" w:rsidRDefault="00077F33" w:rsidP="00541FED">
      <w:pPr>
        <w:pStyle w:val="FootnoteText"/>
        <w:jc w:val="both"/>
      </w:pPr>
      <w:r>
        <w:rPr>
          <w:rStyle w:val="FootnoteReference0"/>
          <w:lang w:val="en-GB"/>
        </w:rPr>
        <w:footnoteRef/>
      </w:r>
      <w:r>
        <w:t xml:space="preserve"> Articolul 13 din Regulamentul (UE) 2023/1322 al Parlamentului European și al Consiliului din 27 iunie 2023 cu privire la Agenția Uniunii Europene privind Drogurile (EUDA) și de abrogare a Regulamentului (CE) nr. 1920/2006 (JO L 166, 30.6.2023, p. 6).</w:t>
      </w:r>
    </w:p>
  </w:footnote>
  <w:footnote w:id="26">
    <w:p w14:paraId="5D9F587F" w14:textId="5297BE50" w:rsidR="00E923C9" w:rsidRDefault="00E923C9" w:rsidP="00541FED">
      <w:pPr>
        <w:pStyle w:val="FootnoteText"/>
        <w:jc w:val="both"/>
      </w:pPr>
      <w:r>
        <w:rPr>
          <w:rStyle w:val="FootnoteReference0"/>
        </w:rPr>
        <w:footnoteRef/>
      </w:r>
      <w:r>
        <w:t xml:space="preserve"> Schimb anual privind cercetarea în materie de droguri în cadrul Grupului de lucru orizontal pentru substanțe stupefiante în vederea consolidării legăturilor și a colaborării în materie de cercetare legată de politici la nivelul UE, instituit în urma Concluziilor Consiliului din decembrie 2009 privind consolidarea capacității de cercetare a UE în domeniul drogurilor ilicite (17177/09).</w:t>
      </w:r>
    </w:p>
    <w:p w14:paraId="2503380F" w14:textId="77C095CB" w:rsidR="00E923C9" w:rsidRPr="00E923C9" w:rsidRDefault="00E923C9">
      <w:pPr>
        <w:pStyle w:val="FootnoteText"/>
      </w:pPr>
    </w:p>
  </w:footnote>
  <w:footnote w:id="27">
    <w:p w14:paraId="34887A10" w14:textId="5F6DD4FF" w:rsidR="00775C24" w:rsidRPr="003A26E2" w:rsidRDefault="00775C24" w:rsidP="00541FED">
      <w:pPr>
        <w:pStyle w:val="FootnoteText"/>
        <w:jc w:val="both"/>
      </w:pPr>
      <w:r>
        <w:rPr>
          <w:rStyle w:val="FootnoteReference0"/>
        </w:rPr>
        <w:footnoteRef/>
      </w:r>
      <w:r>
        <w:t xml:space="preserve"> Regulamentul (UE) 2025/327 al Parlamentului European și al Consiliului din 11 februarie 2025 referitor la spațiul european al datelor privind sănătatea și de modificare a Directivei 2011/24/UE și a Regulamentului (UE) 2024/2847 (JO L, 2025/327, 5.3.2025).</w:t>
      </w:r>
    </w:p>
  </w:footnote>
  <w:footnote w:id="28">
    <w:p w14:paraId="539DCFCF" w14:textId="70FC40E5" w:rsidR="003F4666" w:rsidRPr="003F4666" w:rsidRDefault="003F4666">
      <w:pPr>
        <w:pStyle w:val="FootnoteText"/>
      </w:pPr>
      <w:r>
        <w:rPr>
          <w:rStyle w:val="FootnoteReference0"/>
        </w:rPr>
        <w:footnoteRef/>
      </w:r>
      <w:r>
        <w:t xml:space="preserve"> Rețeaua europeană de informare privind drogurile și toxicomania („rețeaua Reitox”).</w:t>
      </w:r>
    </w:p>
  </w:footnote>
  <w:footnote w:id="29">
    <w:p w14:paraId="1BD95EC9" w14:textId="75E4955D" w:rsidR="00794C30" w:rsidRDefault="00794C30" w:rsidP="005A35A5">
      <w:pPr>
        <w:pStyle w:val="FootnoteText"/>
        <w:jc w:val="both"/>
      </w:pPr>
      <w:r>
        <w:rPr>
          <w:rStyle w:val="FootnoteReference0"/>
        </w:rPr>
        <w:footnoteRef/>
      </w:r>
      <w:r>
        <w:t xml:space="preserve"> Intervențiile de mediu sunt măsuri de reglementare, economice și fizice menite să schimbe contextul cultural, social, fizic și economic în care oamenii iau decizii (cu privire la consumul de droguri) și să sprijine alegeri mai sănătoase.</w:t>
      </w:r>
    </w:p>
  </w:footnote>
  <w:footnote w:id="30">
    <w:p w14:paraId="4EBBFDF7" w14:textId="16687904" w:rsidR="00F76762" w:rsidRPr="00F76762" w:rsidRDefault="00F76762" w:rsidP="00541FED">
      <w:pPr>
        <w:pStyle w:val="FootnoteText"/>
        <w:jc w:val="both"/>
      </w:pPr>
      <w:r>
        <w:rPr>
          <w:rStyle w:val="FootnoteReference0"/>
        </w:rPr>
        <w:footnoteRef/>
      </w:r>
      <w:r>
        <w:t xml:space="preserve"> </w:t>
      </w:r>
      <w:hyperlink r:id="rId1" w:history="1">
        <w:r>
          <w:rPr>
            <w:rStyle w:val="Hyperlink"/>
          </w:rPr>
          <w:t>Mai sănătoși împreună – Inițiativa UE privind bolile netransmisibile – Sănătate publică</w:t>
        </w:r>
      </w:hyperlink>
      <w:r>
        <w:t>.</w:t>
      </w:r>
    </w:p>
  </w:footnote>
  <w:footnote w:id="31">
    <w:p w14:paraId="7CA85EA4" w14:textId="0547DE48" w:rsidR="00F76762" w:rsidRPr="00F76762" w:rsidRDefault="00F76762" w:rsidP="00541FED">
      <w:pPr>
        <w:pStyle w:val="FootnoteText"/>
        <w:jc w:val="both"/>
      </w:pPr>
      <w:r>
        <w:rPr>
          <w:rStyle w:val="FootnoteReference0"/>
        </w:rPr>
        <w:footnoteRef/>
      </w:r>
      <w:r>
        <w:t xml:space="preserve"> </w:t>
      </w:r>
      <w:hyperlink r:id="rId2" w:history="1">
        <w:r>
          <w:rPr>
            <w:rStyle w:val="Hyperlink"/>
          </w:rPr>
          <w:t>Sănătate mintală – Sănătate publică – Comisia Europeană</w:t>
        </w:r>
      </w:hyperlink>
      <w:r>
        <w:t>.</w:t>
      </w:r>
    </w:p>
  </w:footnote>
  <w:footnote w:id="32">
    <w:p w14:paraId="28657B4D" w14:textId="19EA09B1" w:rsidR="00F76762" w:rsidRPr="00F76762" w:rsidRDefault="00F76762" w:rsidP="00541FED">
      <w:pPr>
        <w:pStyle w:val="FootnoteText"/>
        <w:jc w:val="both"/>
      </w:pPr>
      <w:r>
        <w:rPr>
          <w:rStyle w:val="FootnoteReference0"/>
        </w:rPr>
        <w:footnoteRef/>
      </w:r>
      <w:r>
        <w:t xml:space="preserve"> </w:t>
      </w:r>
      <w:hyperlink r:id="rId3" w:history="1">
        <w:r>
          <w:rPr>
            <w:rStyle w:val="Hyperlink"/>
          </w:rPr>
          <w:t>who.int/europe/activities/partnering-with-the-european-union-(eu)-to-tackle-mental-health-challenges</w:t>
        </w:r>
      </w:hyperlink>
      <w:r>
        <w:t>.</w:t>
      </w:r>
    </w:p>
  </w:footnote>
  <w:footnote w:id="33">
    <w:p w14:paraId="6E188799" w14:textId="77777777" w:rsidR="004D28DD" w:rsidRPr="00C44ACD" w:rsidRDefault="004D28DD" w:rsidP="00541FED">
      <w:pPr>
        <w:pStyle w:val="FootnoteText"/>
        <w:jc w:val="both"/>
      </w:pPr>
      <w:r>
        <w:rPr>
          <w:rStyle w:val="FootnoteReference0"/>
        </w:rPr>
        <w:footnoteRef/>
      </w:r>
      <w:r>
        <w:t xml:space="preserve"> </w:t>
      </w:r>
      <w:hyperlink r:id="rId4" w:history="1">
        <w:r>
          <w:rPr>
            <w:rStyle w:val="Hyperlink"/>
          </w:rPr>
          <w:t>Pagina proiectului EU-PROMENS – EU-PROMENS</w:t>
        </w:r>
      </w:hyperlink>
      <w:r>
        <w:t>.</w:t>
      </w:r>
    </w:p>
  </w:footnote>
  <w:footnote w:id="34">
    <w:p w14:paraId="4FA54E7F" w14:textId="422FA272" w:rsidR="001F39AF" w:rsidRDefault="001F39AF" w:rsidP="00541FED">
      <w:pPr>
        <w:pStyle w:val="FootnoteText"/>
        <w:jc w:val="both"/>
      </w:pPr>
      <w:r>
        <w:rPr>
          <w:rStyle w:val="FootnoteReference0"/>
        </w:rPr>
        <w:footnoteRef/>
      </w:r>
      <w:r>
        <w:t xml:space="preserve"> EUDA (2025), </w:t>
      </w:r>
      <w:r>
        <w:rPr>
          <w:i/>
        </w:rPr>
        <w:t>Raportul european privind drogurile 2025. Tendințe și evoluții.</w:t>
      </w:r>
    </w:p>
  </w:footnote>
  <w:footnote w:id="35">
    <w:p w14:paraId="61D504B6" w14:textId="7483BE9E" w:rsidR="0006781C" w:rsidRDefault="0006781C" w:rsidP="00541FED">
      <w:pPr>
        <w:pStyle w:val="FootnoteText"/>
        <w:jc w:val="both"/>
      </w:pPr>
      <w:r>
        <w:rPr>
          <w:rStyle w:val="FootnoteReference0"/>
        </w:rPr>
        <w:footnoteRef/>
      </w:r>
      <w:r>
        <w:t xml:space="preserve"> EUDA și Europol (2024), </w:t>
      </w:r>
      <w:r>
        <w:rPr>
          <w:i/>
        </w:rPr>
        <w:t>Ecosistemul piețelor de droguri din UE:</w:t>
      </w:r>
      <w:r>
        <w:t xml:space="preserve"> </w:t>
      </w:r>
      <w:r>
        <w:rPr>
          <w:i/>
        </w:rPr>
        <w:t>informații esențiale pentru politici și practici.</w:t>
      </w:r>
    </w:p>
  </w:footnote>
  <w:footnote w:id="36">
    <w:p w14:paraId="0514D94D" w14:textId="72283CC4" w:rsidR="00A479C9" w:rsidRPr="00B712CC" w:rsidRDefault="00A479C9" w:rsidP="00471E68">
      <w:pPr>
        <w:pStyle w:val="FootnoteText"/>
        <w:shd w:val="clear" w:color="auto" w:fill="FFFFFF" w:themeFill="background1"/>
        <w:jc w:val="both"/>
      </w:pPr>
      <w:r>
        <w:rPr>
          <w:rStyle w:val="FootnoteReference0"/>
          <w:rFonts w:eastAsia="Times New Roman" w:cs="Times New Roman"/>
          <w:lang w:val="en-GB"/>
        </w:rPr>
        <w:footnoteRef/>
      </w:r>
      <w:r>
        <w:t xml:space="preserve"> Comunicarea Comisiei către Parlamentul European, Consiliu, Comitetul Economic și Social European și Comitetul Regiunilor privind instituirea unui Pilon european al drepturilor sociale [COM(2017) 250 final].</w:t>
      </w:r>
    </w:p>
  </w:footnote>
  <w:footnote w:id="37">
    <w:p w14:paraId="36FEA447" w14:textId="0E8FF7F2" w:rsidR="00283B8F" w:rsidRPr="00B712CC" w:rsidRDefault="00283B8F" w:rsidP="00471E68">
      <w:pPr>
        <w:pStyle w:val="FootnoteText"/>
        <w:jc w:val="both"/>
      </w:pPr>
      <w:r>
        <w:rPr>
          <w:rStyle w:val="FootnoteReference0"/>
          <w:lang w:val="en-GB"/>
        </w:rPr>
        <w:footnoteRef/>
      </w:r>
      <w:r>
        <w:t xml:space="preserve"> Concluziile Consiliului din decembrie 2023 privind persoanele cu tulburări legate de consumul de droguri care se manifestă concomitent cu alte tulburări psihice (16112/23).</w:t>
      </w:r>
    </w:p>
  </w:footnote>
  <w:footnote w:id="38">
    <w:p w14:paraId="25C3752B" w14:textId="353824B2" w:rsidR="00FE4E6A" w:rsidRPr="00B712CC" w:rsidRDefault="00FE4E6A" w:rsidP="00471E68">
      <w:pPr>
        <w:pStyle w:val="FootnoteText"/>
        <w:jc w:val="both"/>
      </w:pPr>
      <w:r>
        <w:rPr>
          <w:rStyle w:val="FootnoteReference0"/>
          <w:lang w:val="en-GB"/>
        </w:rPr>
        <w:footnoteRef/>
      </w:r>
      <w:r>
        <w:t xml:space="preserve"> Concluziile Consiliului din septembrie 2018 privind punerea în aplicare a Planului de acțiune al UE în materie de droguri (2013-2016) în ceea ce privește standardele minime de calitate referitoare la reducerea cererii de droguri în Uniunea Europeană (11985/15).</w:t>
      </w:r>
    </w:p>
  </w:footnote>
  <w:footnote w:id="39">
    <w:p w14:paraId="51BE3D17" w14:textId="3877CD60" w:rsidR="0005715C" w:rsidRDefault="0005715C" w:rsidP="00541FED">
      <w:pPr>
        <w:pStyle w:val="FootnoteText"/>
        <w:jc w:val="both"/>
      </w:pPr>
      <w:r>
        <w:rPr>
          <w:rStyle w:val="FootnoteReference0"/>
        </w:rPr>
        <w:footnoteRef/>
      </w:r>
      <w:r>
        <w:t xml:space="preserve"> Recomandarea (UE) 2023/681 a Comisiei din 8 decembrie 2022 privind drepturile procedurale ale persoanelor suspectate și acuzate care fac obiectul arestării preventive și privind condițiile materiale de detenție (JO L 86, 24.3.2023, p. 44).</w:t>
      </w:r>
    </w:p>
  </w:footnote>
  <w:footnote w:id="40">
    <w:p w14:paraId="393DFC54" w14:textId="54A0EFCC" w:rsidR="001D6932" w:rsidRPr="00B712CC" w:rsidRDefault="001D6932" w:rsidP="00471E68">
      <w:pPr>
        <w:pStyle w:val="FootnoteText"/>
        <w:jc w:val="both"/>
      </w:pPr>
      <w:r>
        <w:rPr>
          <w:rStyle w:val="FootnoteReference0"/>
          <w:lang w:val="en-GB"/>
        </w:rPr>
        <w:footnoteRef/>
      </w:r>
      <w:r>
        <w:t xml:space="preserve"> Alternativele la măsurile coercitive sunt definite ca măsuri care au un anumit element de reabilitare sau care constituie o măsură non-intervenționistă (de exemplu, decizia de a nu pune sub acuzare sau de neîncepere a urmăririi penale) și cele utilizate în locul detenției sau al altor pedepse (de exemplu, o pedeapsă cu suspendare însoțită de tratament pentru consumul de droguri). </w:t>
      </w:r>
    </w:p>
  </w:footnote>
  <w:footnote w:id="41">
    <w:p w14:paraId="4F4D2349" w14:textId="3623AEA2" w:rsidR="007A5BDF" w:rsidRPr="00407696" w:rsidRDefault="007A5BDF" w:rsidP="00471E68">
      <w:pPr>
        <w:pStyle w:val="FootnoteText"/>
        <w:shd w:val="clear" w:color="auto" w:fill="FFFFFF" w:themeFill="background1"/>
        <w:jc w:val="both"/>
        <w:rPr>
          <w:highlight w:val="yellow"/>
        </w:rPr>
      </w:pPr>
      <w:r>
        <w:rPr>
          <w:rStyle w:val="FootnoteReference0"/>
          <w:rFonts w:eastAsia="Times New Roman" w:cs="Times New Roman"/>
          <w:lang w:val="en-GB"/>
        </w:rPr>
        <w:footnoteRef/>
      </w:r>
      <w:r>
        <w:t xml:space="preserve"> Decizia-cadru 2004/757/JAI a Consiliului din 25 octombrie 2004 de stabilire a dispozițiilor minime privind elementele constitutive ale infracțiunilor și sancțiunile aplicabile în domeniul traficului ilicit de droguri (JO L 335, 11.11.2004, p. 8).</w:t>
      </w:r>
    </w:p>
  </w:footnote>
  <w:footnote w:id="42">
    <w:p w14:paraId="722E3420" w14:textId="77777777" w:rsidR="00B206C5" w:rsidRPr="00B712CC" w:rsidRDefault="00B206C5" w:rsidP="00541FED">
      <w:pPr>
        <w:pStyle w:val="FootnoteText"/>
        <w:jc w:val="both"/>
      </w:pPr>
      <w:r>
        <w:rPr>
          <w:rStyle w:val="FootnoteReference0"/>
          <w:lang w:val="en-GB"/>
        </w:rPr>
        <w:footnoteRef/>
      </w:r>
      <w:r>
        <w:t xml:space="preserve"> Concluziile Consiliului din iunie 2025 privind consolidarea EMPACT și prioritățile UE în materie de criminalitate pentru următorul ciclu EMPACT 2026-2029 (9397/25).</w:t>
      </w:r>
    </w:p>
  </w:footnote>
  <w:footnote w:id="43">
    <w:p w14:paraId="452F667A" w14:textId="0AE832D2" w:rsidR="006C2C08" w:rsidRDefault="006C2C08" w:rsidP="00541FED">
      <w:pPr>
        <w:pStyle w:val="FootnoteText"/>
        <w:jc w:val="both"/>
      </w:pPr>
      <w:r>
        <w:rPr>
          <w:rStyle w:val="FootnoteReference0"/>
        </w:rPr>
        <w:footnoteRef/>
      </w:r>
      <w:r>
        <w:t xml:space="preserve"> Regulamentul (UE) 2024/1624 al Parlamentului European și a Consiliului din 31 mai 2024 privind prevenirea utilizării sistemului financiar în scopul spălării banilor sau finanțării terorismului (JO L, 2024/1624, 19.6.2024).</w:t>
      </w:r>
    </w:p>
  </w:footnote>
  <w:footnote w:id="44">
    <w:p w14:paraId="14FA395D" w14:textId="77777777" w:rsidR="007C1240" w:rsidRDefault="007C1240" w:rsidP="00541FED">
      <w:pPr>
        <w:pStyle w:val="FootnoteText"/>
        <w:jc w:val="both"/>
      </w:pPr>
      <w:r>
        <w:rPr>
          <w:rStyle w:val="FootnoteReference0"/>
        </w:rPr>
        <w:footnoteRef/>
      </w:r>
      <w:r>
        <w:t xml:space="preserve"> Directiva (UE) 2024/1260 a Parlamentului European și a Consiliului din 24 aprilie 2024 privind recuperarea și </w:t>
      </w:r>
    </w:p>
    <w:p w14:paraId="0A7C862E" w14:textId="5E775F9A" w:rsidR="007C1240" w:rsidRPr="007C1240" w:rsidRDefault="007C1240" w:rsidP="00541FED">
      <w:pPr>
        <w:pStyle w:val="FootnoteText"/>
        <w:jc w:val="both"/>
      </w:pPr>
      <w:r>
        <w:t>confiscarea activelor (JO L, 2024/1260, 2.5.2024).</w:t>
      </w:r>
    </w:p>
  </w:footnote>
  <w:footnote w:id="45">
    <w:p w14:paraId="65F32768" w14:textId="39164DE5" w:rsidR="00D7742B" w:rsidRDefault="00D7742B" w:rsidP="00541FED">
      <w:pPr>
        <w:pStyle w:val="FootnoteText"/>
        <w:jc w:val="both"/>
      </w:pPr>
      <w:r>
        <w:rPr>
          <w:rStyle w:val="FootnoteReference0"/>
        </w:rPr>
        <w:footnoteRef/>
      </w:r>
      <w:r>
        <w:t xml:space="preserve"> Concluziile Consiliului din iunie 2016 privind abordarea administrativă pentru prevenirea și combaterea criminalității grave și organizate (9935/2016).</w:t>
      </w:r>
    </w:p>
  </w:footnote>
  <w:footnote w:id="46">
    <w:p w14:paraId="2D312F4A" w14:textId="78C137F5" w:rsidR="00331806" w:rsidRPr="007B510E" w:rsidRDefault="00331806" w:rsidP="00541FED">
      <w:pPr>
        <w:pStyle w:val="FootnoteText"/>
        <w:jc w:val="both"/>
      </w:pPr>
      <w:r>
        <w:rPr>
          <w:rStyle w:val="FootnoteReference0"/>
        </w:rPr>
        <w:footnoteRef/>
      </w:r>
      <w:r>
        <w:t xml:space="preserve"> Propunere de directivă a Parlamentului European și a Consiliului privind combaterea corupției, de înlocuire a Deciziei-cadru 2003/568/JAI a Consiliului și a Convenției privind lupta împotriva corupției care implică funcționari ai Comunităților Europene sau funcționari ai statelor membre ale Uniunii Europene și de modificare a Directivei (UE) 2017/1371 a Parlamentului European și a Consiliului [COM(2023) 234 final].</w:t>
      </w:r>
    </w:p>
  </w:footnote>
  <w:footnote w:id="47">
    <w:p w14:paraId="043BBF78" w14:textId="27B72D06" w:rsidR="000E25B9" w:rsidRDefault="000E25B9" w:rsidP="00541FED">
      <w:pPr>
        <w:pStyle w:val="FootnoteText"/>
        <w:jc w:val="both"/>
      </w:pPr>
      <w:r>
        <w:rPr>
          <w:rStyle w:val="FootnoteReference0"/>
        </w:rPr>
        <w:footnoteRef/>
      </w:r>
      <w:r>
        <w:t xml:space="preserve"> O substanță chimică strâns înrudită cu un precursor de droguri, care nu are nicio utilizare legitimă cunoscută, cu excepția cercetării și a inovării.</w:t>
      </w:r>
    </w:p>
  </w:footnote>
  <w:footnote w:id="48">
    <w:p w14:paraId="6942E0F1" w14:textId="3D4311AE" w:rsidR="00407696" w:rsidRDefault="00407696" w:rsidP="00407696">
      <w:pPr>
        <w:pStyle w:val="FootnoteText"/>
        <w:jc w:val="both"/>
      </w:pPr>
      <w:r>
        <w:rPr>
          <w:rStyle w:val="FootnoteReference0"/>
        </w:rPr>
        <w:footnoteRef/>
      </w:r>
      <w:r>
        <w:t xml:space="preserve"> Regulamentul (UE) 2022/2065 al Parlamentului European și al Consiliului din 19 octombrie 2022 privind o piață unică pentru serviciile digitale și de modificare a Directivei 2000/31/CE (Regulamentul privind serviciile digitale) (JO L 277, 27.10.2022, p. 1).</w:t>
      </w:r>
    </w:p>
  </w:footnote>
  <w:footnote w:id="49">
    <w:p w14:paraId="1EFBA52C" w14:textId="609780BF" w:rsidR="0031139A" w:rsidRDefault="0031139A" w:rsidP="00541FED">
      <w:pPr>
        <w:pStyle w:val="FootnoteText"/>
        <w:jc w:val="both"/>
      </w:pPr>
      <w:r>
        <w:rPr>
          <w:rStyle w:val="FootnoteReference0"/>
        </w:rPr>
        <w:footnoteRef/>
      </w:r>
      <w:r>
        <w:t xml:space="preserve"> </w:t>
      </w:r>
      <w:r>
        <w:rPr>
          <w:color w:val="000000" w:themeColor="text1"/>
        </w:rPr>
        <w:t>Pe baza măsurilor incluse în Orientările Comisiei privind măsurile de asigurare a unui nivel ridicat de confidențialitate, siguranță și securitate pentru minori în mediul online, în temeiul articolului 28 alineatul (4) din Regulamentul (UE) 2022/2065</w:t>
      </w:r>
      <w:r>
        <w:t>.</w:t>
      </w:r>
    </w:p>
  </w:footnote>
  <w:footnote w:id="50">
    <w:p w14:paraId="2F071DC0" w14:textId="40743A59" w:rsidR="00A27D92" w:rsidRDefault="00A27D92" w:rsidP="00EC1267">
      <w:pPr>
        <w:pStyle w:val="FootnoteText"/>
        <w:jc w:val="both"/>
      </w:pPr>
      <w:r>
        <w:rPr>
          <w:rStyle w:val="FootnoteReference0"/>
        </w:rPr>
        <w:footnoteRef/>
      </w:r>
      <w:r>
        <w:t xml:space="preserve"> COM(2025) 747 final.</w:t>
      </w:r>
    </w:p>
  </w:footnote>
  <w:footnote w:id="51">
    <w:p w14:paraId="7BA18992" w14:textId="3947090F" w:rsidR="00DA13D6" w:rsidRPr="00B712CC" w:rsidRDefault="00DA13D6" w:rsidP="00471E68">
      <w:pPr>
        <w:pStyle w:val="FootnoteText"/>
        <w:jc w:val="both"/>
      </w:pPr>
      <w:r>
        <w:rPr>
          <w:rStyle w:val="FootnoteReference0"/>
          <w:lang w:val="en-GB"/>
        </w:rPr>
        <w:footnoteRef/>
      </w:r>
      <w:r>
        <w:t xml:space="preserve"> Centrul European de Prevenire și Control al Bolilor (ECDC) și Observatorul European pentru Droguri și Toxicomanie (OEDT) (2023), </w:t>
      </w:r>
      <w:r>
        <w:rPr>
          <w:i/>
        </w:rPr>
        <w:t>Prevention and control of infectious diseases among people who inject drugs</w:t>
      </w:r>
      <w:r>
        <w:t xml:space="preserve"> (Prevenirea și controlul bolilor infecțioase în rândul persoanelor care își injectează droguri).</w:t>
      </w:r>
    </w:p>
  </w:footnote>
  <w:footnote w:id="52">
    <w:p w14:paraId="63F04D1F" w14:textId="11FE86C8" w:rsidR="00CC7FA1" w:rsidRPr="00B712CC" w:rsidRDefault="00CC7FA1" w:rsidP="00471E68">
      <w:pPr>
        <w:pStyle w:val="FootnoteText"/>
        <w:jc w:val="both"/>
      </w:pPr>
      <w:r>
        <w:rPr>
          <w:rStyle w:val="FootnoteReference0"/>
          <w:lang w:val="en-GB"/>
        </w:rPr>
        <w:footnoteRef/>
      </w:r>
      <w:r>
        <w:rPr>
          <w:rStyle w:val="FootnoteReference0"/>
        </w:rPr>
        <w:t xml:space="preserve"> </w:t>
      </w:r>
      <w:r>
        <w:t>Concluziile Consiliului din decembrie 2022 privind abordarea bazată pe drepturile omului în politicile în materie de droguri (15818/22).</w:t>
      </w:r>
    </w:p>
  </w:footnote>
  <w:footnote w:id="53">
    <w:p w14:paraId="0476EF1F" w14:textId="000D1EE6" w:rsidR="001353F3" w:rsidRPr="00541FED" w:rsidRDefault="001353F3" w:rsidP="00541FED">
      <w:pPr>
        <w:pStyle w:val="FootnoteText"/>
        <w:jc w:val="both"/>
        <w:rPr>
          <w:b/>
          <w:bCs/>
        </w:rPr>
      </w:pPr>
      <w:r>
        <w:rPr>
          <w:rStyle w:val="FootnoteReference0"/>
        </w:rPr>
        <w:footnoteRef/>
      </w:r>
      <w:r>
        <w:rPr>
          <w:b/>
        </w:rPr>
        <w:t xml:space="preserve"> </w:t>
      </w:r>
      <w:r>
        <w:t>Comunicarea Comisiei către Parlamentul European, Consiliu, Comitetul Economic și Social European și Comitetul Regiunilor – Uniunea egalității: Strategia privind egalitatea pentru persoanele LGBTIQ+ 2026-2030 [COM(2025) 725 final].</w:t>
      </w:r>
    </w:p>
  </w:footnote>
  <w:footnote w:id="54">
    <w:p w14:paraId="3AF41754" w14:textId="77777777" w:rsidR="00564462" w:rsidRDefault="00564462" w:rsidP="00541FED">
      <w:pPr>
        <w:pStyle w:val="FootnoteText"/>
        <w:jc w:val="both"/>
      </w:pPr>
      <w:r>
        <w:rPr>
          <w:rStyle w:val="FootnoteReference0"/>
        </w:rPr>
        <w:footnoteRef/>
      </w:r>
      <w:r>
        <w:t xml:space="preserve"> Comisia Europeană, Direcția Generală Mobilitate și Transporturi, Modijefsky, M., Janse, R., Spit, W., et al., </w:t>
      </w:r>
      <w:r>
        <w:rPr>
          <w:i/>
        </w:rPr>
        <w:t>Prevention of driving under the influence of alcohol and drugs:</w:t>
      </w:r>
      <w:r>
        <w:t xml:space="preserve"> </w:t>
      </w:r>
      <w:r>
        <w:rPr>
          <w:i/>
        </w:rPr>
        <w:t>final report</w:t>
      </w:r>
      <w:r>
        <w:t xml:space="preserve"> (Prevenirea conducerii sub influența alcoolului și a drogurilor: raport final), Oficiul pentru Publicații al Uniunii Europene, 2022, </w:t>
      </w:r>
      <w:hyperlink r:id="rId5" w:history="1">
        <w:r>
          <w:rPr>
            <w:rStyle w:val="Hyperlink"/>
          </w:rPr>
          <w:t>https://data.europa.eu/doi/10.2832/284545</w:t>
        </w:r>
      </w:hyperlink>
      <w:r>
        <w:t xml:space="preserve">. </w:t>
      </w:r>
    </w:p>
  </w:footnote>
  <w:footnote w:id="55">
    <w:p w14:paraId="61C07377" w14:textId="5CBA0432" w:rsidR="00B12D7F" w:rsidRPr="00195314" w:rsidRDefault="00B12D7F" w:rsidP="00541FED">
      <w:pPr>
        <w:pStyle w:val="FootnoteText"/>
        <w:jc w:val="both"/>
      </w:pPr>
      <w:r>
        <w:rPr>
          <w:rStyle w:val="FootnoteReference0"/>
          <w:lang w:val="en-GB"/>
        </w:rPr>
        <w:footnoteRef/>
      </w:r>
      <w:r>
        <w:t xml:space="preserve"> Documentul de lucru al serviciilor Comisiei – Cadrul de politică al UE privind siguranța rutieră 2021-2030 – Următorii pași către „Viziunea zero” [SWD(2019) 283 final].</w:t>
      </w:r>
    </w:p>
  </w:footnote>
  <w:footnote w:id="56">
    <w:p w14:paraId="7053DD30" w14:textId="64B3D8C8" w:rsidR="00B630C2" w:rsidRPr="00195314" w:rsidRDefault="00B630C2" w:rsidP="00541FED">
      <w:pPr>
        <w:pStyle w:val="FootnoteText"/>
        <w:jc w:val="both"/>
      </w:pPr>
      <w:r>
        <w:rPr>
          <w:rStyle w:val="FootnoteReference0"/>
          <w:lang w:val="en-GB"/>
        </w:rPr>
        <w:footnoteRef/>
      </w:r>
      <w:r>
        <w:t xml:space="preserve"> Directiva (UE) 2025/2205 a Parlamentului European și a Consiliului din 22 octombrie 2025 privind permisele de conducere, de modificare a Regulamentului (UE) 2018/1724 al Parlamentului European și al Consiliului și a Directivei (UE) 2022/2561 a Parlamentului European și a Consiliului și de abrogare a Directivei 2006/126/CE a Parlamentului European și a Consiliului și a Regulamentului (UE) nr. 383/2012 al Comisiei (</w:t>
      </w:r>
      <w:r>
        <w:rPr>
          <w:i/>
        </w:rPr>
        <w:t>JO L, 2025/2205, 5.11.2025</w:t>
      </w:r>
      <w:r>
        <w:t>).</w:t>
      </w:r>
    </w:p>
  </w:footnote>
  <w:footnote w:id="57">
    <w:p w14:paraId="2D037138" w14:textId="4F44C816" w:rsidR="00495028" w:rsidRPr="00495028" w:rsidRDefault="00495028" w:rsidP="00541FED">
      <w:pPr>
        <w:pStyle w:val="FootnoteText"/>
        <w:jc w:val="both"/>
      </w:pPr>
      <w:r>
        <w:rPr>
          <w:rStyle w:val="FootnoteReference0"/>
        </w:rPr>
        <w:footnoteRef/>
      </w:r>
      <w:r>
        <w:t xml:space="preserve"> Observatorul European pentru Droguri și Toxicomanie și Europol (2022), </w:t>
      </w:r>
      <w:r>
        <w:rPr>
          <w:i/>
        </w:rPr>
        <w:t>EU Drug Market: Cannabis — In-depth analysis</w:t>
      </w:r>
      <w:r>
        <w:t xml:space="preserve"> (Piața drogurilor din UE: canabisul — Analiză aprofundată).</w:t>
      </w:r>
    </w:p>
  </w:footnote>
  <w:footnote w:id="58">
    <w:p w14:paraId="0BCA62CB" w14:textId="77777777" w:rsidR="004D15E4" w:rsidRPr="008D776A" w:rsidRDefault="004D15E4" w:rsidP="00471E68">
      <w:pPr>
        <w:spacing w:after="0"/>
        <w:jc w:val="both"/>
        <w:rPr>
          <w:sz w:val="20"/>
          <w:szCs w:val="20"/>
        </w:rPr>
      </w:pPr>
      <w:r>
        <w:rPr>
          <w:sz w:val="20"/>
          <w:szCs w:val="20"/>
          <w:vertAlign w:val="superscript"/>
        </w:rPr>
        <w:footnoteRef/>
      </w:r>
      <w:r>
        <w:rPr>
          <w:sz w:val="20"/>
        </w:rPr>
        <w:t xml:space="preserve"> Concluziile Consiliului din iunie 2025 privind Pactul de combatere a amenințărilor reprezentate de noile droguri sintetice și de noile substanțe psihoactive în Uniunea Europeană (10265/25)</w:t>
      </w:r>
      <w:r>
        <w:t>.</w:t>
      </w:r>
    </w:p>
  </w:footnote>
  <w:footnote w:id="59">
    <w:p w14:paraId="75030392" w14:textId="77777777" w:rsidR="004D15E4" w:rsidRPr="00B712CC" w:rsidRDefault="004D15E4" w:rsidP="00471E68">
      <w:pPr>
        <w:pStyle w:val="FootnoteText"/>
        <w:jc w:val="both"/>
      </w:pPr>
      <w:r>
        <w:rPr>
          <w:rStyle w:val="FootnoteReference0"/>
          <w:lang w:val="en-GB"/>
        </w:rPr>
        <w:footnoteRef/>
      </w:r>
      <w:r>
        <w:t xml:space="preserve"> Directiva (UE) 2024/1203 a Parlamentului European și a Consiliului din 11 aprilie 2024 privind protecția mediului prin intermediul dreptului penal și de înlocuire a Directivelor 2008/99/CE și 2009/123/CE (JO L, 2024/1203, 30.4.2024).</w:t>
      </w:r>
    </w:p>
  </w:footnote>
  <w:footnote w:id="60">
    <w:p w14:paraId="28D21F1F" w14:textId="01B6AB2A" w:rsidR="00F02F2A" w:rsidRPr="008D776A" w:rsidRDefault="00F02F2A" w:rsidP="00471E68">
      <w:pPr>
        <w:pStyle w:val="FootnoteText"/>
        <w:jc w:val="both"/>
      </w:pPr>
      <w:r>
        <w:rPr>
          <w:rStyle w:val="FootnoteReference0"/>
          <w:lang w:val="en-GB"/>
        </w:rPr>
        <w:footnoteRef/>
      </w:r>
      <w:r>
        <w:t xml:space="preserve"> Concluziile Consiliului din decembrie 2022 privind abordarea bazată pe drepturile omului în politicile în materie de droguri (15818/22).</w:t>
      </w:r>
    </w:p>
  </w:footnote>
  <w:footnote w:id="61">
    <w:p w14:paraId="2304B8FD" w14:textId="3B0B8097" w:rsidR="00AC3EA8" w:rsidRDefault="00AC3EA8" w:rsidP="00541FED">
      <w:pPr>
        <w:pStyle w:val="FootnoteText"/>
        <w:jc w:val="both"/>
      </w:pPr>
      <w:r>
        <w:rPr>
          <w:rStyle w:val="FootnoteReference0"/>
        </w:rPr>
        <w:footnoteRef/>
      </w:r>
      <w:r>
        <w:t xml:space="preserve"> Concluziile Consiliului din 27 mai 2024 privind alinierea Planului de acțiune al UE privind drepturile omului și democrația 2020-2024 la cadrul financiar multianual 2021-2027 (9508/24).</w:t>
      </w:r>
    </w:p>
  </w:footnote>
  <w:footnote w:id="62">
    <w:p w14:paraId="5A6F7B6B" w14:textId="77777777" w:rsidR="00CD305E" w:rsidRPr="00B712CC" w:rsidRDefault="00CD305E" w:rsidP="00471E68">
      <w:pPr>
        <w:pStyle w:val="FootnoteText"/>
        <w:jc w:val="both"/>
      </w:pPr>
      <w:r>
        <w:rPr>
          <w:rStyle w:val="FootnoteReference0"/>
          <w:lang w:val="en-GB"/>
        </w:rPr>
        <w:footnoteRef/>
      </w:r>
      <w:r>
        <w:t xml:space="preserve"> Concluziile Consiliului din noiembrie 2018 privind dezvoltarea alternativă: „Către o nouă înțelegere a dezvoltării alternative și a intervențiilor aferente axate pe dezvoltare și legate de politicile în materie de droguri – o contribuție la punerea în aplicare a documentului final al sesiunii extraordinare a Adunării Generale a Organizației Națiunilor Unite din 2016 și a obiectivelor de dezvoltare durabilă ale ONU” (14338/18).</w:t>
      </w:r>
    </w:p>
  </w:footnote>
  <w:footnote w:id="63">
    <w:p w14:paraId="6EF8E2D2" w14:textId="77777777" w:rsidR="00BC63CE" w:rsidRPr="00310C92" w:rsidRDefault="00BC63CE" w:rsidP="00471E68">
      <w:pPr>
        <w:pStyle w:val="FootnoteText"/>
        <w:jc w:val="both"/>
      </w:pPr>
      <w:r>
        <w:rPr>
          <w:rStyle w:val="FootnoteReference0"/>
          <w:lang w:val="en-GB"/>
        </w:rPr>
        <w:footnoteRef/>
      </w:r>
      <w:r>
        <w:t xml:space="preserve"> Concluziile Consiliului din iunie 2025 privind prioritățile UE în cadrul Organizației Națiunilor Unite cu ocazia celei de a 80-a sesiuni a Adunării Generale a Organizației Națiunilor Unite, septembrie 2025-septembrie 2026 (documentul 10491/25).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2C912" w14:textId="77777777" w:rsidR="009B3343" w:rsidRPr="009B3343" w:rsidRDefault="009B3343" w:rsidP="009B334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CCED7" w14:textId="77777777" w:rsidR="009B3343" w:rsidRPr="009B3343" w:rsidRDefault="009B3343" w:rsidP="009B334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8FA6A" w14:textId="77777777" w:rsidR="009B3343" w:rsidRPr="009B3343" w:rsidRDefault="009B3343" w:rsidP="009B334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93AA5" w14:textId="77777777" w:rsidR="00D24BB1" w:rsidRPr="008D776A" w:rsidRDefault="00D24B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A144E" w14:textId="532107A1" w:rsidR="00D24BB1" w:rsidRPr="008D776A" w:rsidRDefault="00D24B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FA1B8" w14:textId="77777777" w:rsidR="00D24BB1" w:rsidRPr="008D776A" w:rsidRDefault="00D24B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60253"/>
    <w:multiLevelType w:val="multilevel"/>
    <w:tmpl w:val="A5680622"/>
    <w:lvl w:ilvl="0">
      <w:start w:val="5"/>
      <w:numFmt w:val="decimal"/>
      <w:lvlText w:val="%1."/>
      <w:lvlJc w:val="left"/>
      <w:pPr>
        <w:ind w:left="36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 w15:restartNumberingAfterBreak="0">
    <w:nsid w:val="02174826"/>
    <w:multiLevelType w:val="hybridMultilevel"/>
    <w:tmpl w:val="286C0184"/>
    <w:lvl w:ilvl="0" w:tplc="B1F0D1D0">
      <w:start w:val="1"/>
      <w:numFmt w:val="decimal"/>
      <w:lvlText w:val="5.%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4416749"/>
    <w:multiLevelType w:val="hybridMultilevel"/>
    <w:tmpl w:val="FFFFFFFF"/>
    <w:lvl w:ilvl="0" w:tplc="FB268818">
      <w:start w:val="1"/>
      <w:numFmt w:val="upperRoman"/>
      <w:lvlText w:val="%1."/>
      <w:lvlJc w:val="right"/>
      <w:pPr>
        <w:ind w:left="720" w:hanging="360"/>
      </w:pPr>
    </w:lvl>
    <w:lvl w:ilvl="1" w:tplc="8F506B62">
      <w:start w:val="1"/>
      <w:numFmt w:val="lowerLetter"/>
      <w:lvlText w:val="%2."/>
      <w:lvlJc w:val="left"/>
      <w:pPr>
        <w:ind w:left="1440" w:hanging="360"/>
      </w:pPr>
    </w:lvl>
    <w:lvl w:ilvl="2" w:tplc="FAEA9B82">
      <w:start w:val="1"/>
      <w:numFmt w:val="lowerRoman"/>
      <w:lvlText w:val="%3."/>
      <w:lvlJc w:val="right"/>
      <w:pPr>
        <w:ind w:left="2160" w:hanging="180"/>
      </w:pPr>
    </w:lvl>
    <w:lvl w:ilvl="3" w:tplc="39B43998">
      <w:start w:val="1"/>
      <w:numFmt w:val="decimal"/>
      <w:lvlText w:val="%4."/>
      <w:lvlJc w:val="left"/>
      <w:pPr>
        <w:ind w:left="2880" w:hanging="360"/>
      </w:pPr>
    </w:lvl>
    <w:lvl w:ilvl="4" w:tplc="D7D0F982">
      <w:start w:val="1"/>
      <w:numFmt w:val="lowerLetter"/>
      <w:lvlText w:val="%5."/>
      <w:lvlJc w:val="left"/>
      <w:pPr>
        <w:ind w:left="3600" w:hanging="360"/>
      </w:pPr>
    </w:lvl>
    <w:lvl w:ilvl="5" w:tplc="734248CE">
      <w:start w:val="1"/>
      <w:numFmt w:val="lowerRoman"/>
      <w:lvlText w:val="%6."/>
      <w:lvlJc w:val="right"/>
      <w:pPr>
        <w:ind w:left="4320" w:hanging="180"/>
      </w:pPr>
    </w:lvl>
    <w:lvl w:ilvl="6" w:tplc="5BECBFAE">
      <w:start w:val="1"/>
      <w:numFmt w:val="decimal"/>
      <w:lvlText w:val="%7."/>
      <w:lvlJc w:val="left"/>
      <w:pPr>
        <w:ind w:left="5040" w:hanging="360"/>
      </w:pPr>
    </w:lvl>
    <w:lvl w:ilvl="7" w:tplc="E9086418">
      <w:start w:val="1"/>
      <w:numFmt w:val="lowerLetter"/>
      <w:lvlText w:val="%8."/>
      <w:lvlJc w:val="left"/>
      <w:pPr>
        <w:ind w:left="5760" w:hanging="360"/>
      </w:pPr>
    </w:lvl>
    <w:lvl w:ilvl="8" w:tplc="7868AC68">
      <w:start w:val="1"/>
      <w:numFmt w:val="lowerRoman"/>
      <w:lvlText w:val="%9."/>
      <w:lvlJc w:val="right"/>
      <w:pPr>
        <w:ind w:left="6480" w:hanging="180"/>
      </w:pPr>
    </w:lvl>
  </w:abstractNum>
  <w:abstractNum w:abstractNumId="3" w15:restartNumberingAfterBreak="0">
    <w:nsid w:val="059838BE"/>
    <w:multiLevelType w:val="hybridMultilevel"/>
    <w:tmpl w:val="D24403D6"/>
    <w:lvl w:ilvl="0" w:tplc="A46EBC86">
      <w:start w:val="1"/>
      <w:numFmt w:val="decimal"/>
      <w:lvlText w:val="11.%1."/>
      <w:lvlJc w:val="righ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5ED134E"/>
    <w:multiLevelType w:val="multilevel"/>
    <w:tmpl w:val="8B3E75B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8E3129B"/>
    <w:multiLevelType w:val="hybridMultilevel"/>
    <w:tmpl w:val="CDAA9CD2"/>
    <w:lvl w:ilvl="0" w:tplc="FFFFFFFF">
      <w:start w:val="1"/>
      <w:numFmt w:val="decimal"/>
      <w:lvlText w:val="4.%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F80B66"/>
    <w:multiLevelType w:val="hybridMultilevel"/>
    <w:tmpl w:val="0FB4DBCC"/>
    <w:lvl w:ilvl="0" w:tplc="B7EE95FA">
      <w:start w:val="1"/>
      <w:numFmt w:val="bullet"/>
      <w:lvlText w:val=""/>
      <w:lvlJc w:val="left"/>
      <w:pPr>
        <w:ind w:left="720" w:hanging="360"/>
      </w:pPr>
      <w:rPr>
        <w:rFonts w:ascii="Symbol" w:hAnsi="Symbol"/>
      </w:rPr>
    </w:lvl>
    <w:lvl w:ilvl="1" w:tplc="FC20F1F2">
      <w:start w:val="1"/>
      <w:numFmt w:val="bullet"/>
      <w:lvlText w:val=""/>
      <w:lvlJc w:val="left"/>
      <w:pPr>
        <w:ind w:left="720" w:hanging="360"/>
      </w:pPr>
      <w:rPr>
        <w:rFonts w:ascii="Symbol" w:hAnsi="Symbol"/>
      </w:rPr>
    </w:lvl>
    <w:lvl w:ilvl="2" w:tplc="76063780">
      <w:start w:val="1"/>
      <w:numFmt w:val="bullet"/>
      <w:lvlText w:val=""/>
      <w:lvlJc w:val="left"/>
      <w:pPr>
        <w:ind w:left="720" w:hanging="360"/>
      </w:pPr>
      <w:rPr>
        <w:rFonts w:ascii="Symbol" w:hAnsi="Symbol"/>
      </w:rPr>
    </w:lvl>
    <w:lvl w:ilvl="3" w:tplc="9E64E90E">
      <w:start w:val="1"/>
      <w:numFmt w:val="bullet"/>
      <w:lvlText w:val=""/>
      <w:lvlJc w:val="left"/>
      <w:pPr>
        <w:ind w:left="720" w:hanging="360"/>
      </w:pPr>
      <w:rPr>
        <w:rFonts w:ascii="Symbol" w:hAnsi="Symbol"/>
      </w:rPr>
    </w:lvl>
    <w:lvl w:ilvl="4" w:tplc="5BBC98A8">
      <w:start w:val="1"/>
      <w:numFmt w:val="bullet"/>
      <w:lvlText w:val=""/>
      <w:lvlJc w:val="left"/>
      <w:pPr>
        <w:ind w:left="720" w:hanging="360"/>
      </w:pPr>
      <w:rPr>
        <w:rFonts w:ascii="Symbol" w:hAnsi="Symbol"/>
      </w:rPr>
    </w:lvl>
    <w:lvl w:ilvl="5" w:tplc="0F3A9D46">
      <w:start w:val="1"/>
      <w:numFmt w:val="bullet"/>
      <w:lvlText w:val=""/>
      <w:lvlJc w:val="left"/>
      <w:pPr>
        <w:ind w:left="720" w:hanging="360"/>
      </w:pPr>
      <w:rPr>
        <w:rFonts w:ascii="Symbol" w:hAnsi="Symbol"/>
      </w:rPr>
    </w:lvl>
    <w:lvl w:ilvl="6" w:tplc="2AD8EE28">
      <w:start w:val="1"/>
      <w:numFmt w:val="bullet"/>
      <w:lvlText w:val=""/>
      <w:lvlJc w:val="left"/>
      <w:pPr>
        <w:ind w:left="720" w:hanging="360"/>
      </w:pPr>
      <w:rPr>
        <w:rFonts w:ascii="Symbol" w:hAnsi="Symbol"/>
      </w:rPr>
    </w:lvl>
    <w:lvl w:ilvl="7" w:tplc="164A90E2">
      <w:start w:val="1"/>
      <w:numFmt w:val="bullet"/>
      <w:lvlText w:val=""/>
      <w:lvlJc w:val="left"/>
      <w:pPr>
        <w:ind w:left="720" w:hanging="360"/>
      </w:pPr>
      <w:rPr>
        <w:rFonts w:ascii="Symbol" w:hAnsi="Symbol"/>
      </w:rPr>
    </w:lvl>
    <w:lvl w:ilvl="8" w:tplc="AD1E007E">
      <w:start w:val="1"/>
      <w:numFmt w:val="bullet"/>
      <w:lvlText w:val=""/>
      <w:lvlJc w:val="left"/>
      <w:pPr>
        <w:ind w:left="720" w:hanging="360"/>
      </w:pPr>
      <w:rPr>
        <w:rFonts w:ascii="Symbol" w:hAnsi="Symbol"/>
      </w:rPr>
    </w:lvl>
  </w:abstractNum>
  <w:abstractNum w:abstractNumId="7" w15:restartNumberingAfterBreak="0">
    <w:nsid w:val="0F8E6B26"/>
    <w:multiLevelType w:val="hybridMultilevel"/>
    <w:tmpl w:val="B29824EA"/>
    <w:lvl w:ilvl="0" w:tplc="1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FC8F2BA"/>
    <w:multiLevelType w:val="hybridMultilevel"/>
    <w:tmpl w:val="FFFFFFFF"/>
    <w:lvl w:ilvl="0" w:tplc="FE22FFB8">
      <w:start w:val="1"/>
      <w:numFmt w:val="upperRoman"/>
      <w:pStyle w:val="Heading2"/>
      <w:lvlText w:val="%1."/>
      <w:lvlJc w:val="right"/>
      <w:pPr>
        <w:ind w:left="720" w:hanging="360"/>
      </w:pPr>
    </w:lvl>
    <w:lvl w:ilvl="1" w:tplc="D8B29DFE">
      <w:start w:val="1"/>
      <w:numFmt w:val="lowerLetter"/>
      <w:lvlText w:val="%2."/>
      <w:lvlJc w:val="left"/>
      <w:pPr>
        <w:ind w:left="1440" w:hanging="360"/>
      </w:pPr>
    </w:lvl>
    <w:lvl w:ilvl="2" w:tplc="889A0934">
      <w:start w:val="1"/>
      <w:numFmt w:val="lowerRoman"/>
      <w:lvlText w:val="%3."/>
      <w:lvlJc w:val="right"/>
      <w:pPr>
        <w:ind w:left="2160" w:hanging="180"/>
      </w:pPr>
    </w:lvl>
    <w:lvl w:ilvl="3" w:tplc="58229CD4">
      <w:start w:val="1"/>
      <w:numFmt w:val="decimal"/>
      <w:lvlText w:val="%4."/>
      <w:lvlJc w:val="left"/>
      <w:pPr>
        <w:ind w:left="2880" w:hanging="360"/>
      </w:pPr>
    </w:lvl>
    <w:lvl w:ilvl="4" w:tplc="000079EC">
      <w:start w:val="1"/>
      <w:numFmt w:val="lowerLetter"/>
      <w:lvlText w:val="%5."/>
      <w:lvlJc w:val="left"/>
      <w:pPr>
        <w:ind w:left="3600" w:hanging="360"/>
      </w:pPr>
    </w:lvl>
    <w:lvl w:ilvl="5" w:tplc="F72E4076">
      <w:start w:val="1"/>
      <w:numFmt w:val="lowerRoman"/>
      <w:lvlText w:val="%6."/>
      <w:lvlJc w:val="right"/>
      <w:pPr>
        <w:ind w:left="4320" w:hanging="180"/>
      </w:pPr>
    </w:lvl>
    <w:lvl w:ilvl="6" w:tplc="76447298">
      <w:start w:val="1"/>
      <w:numFmt w:val="decimal"/>
      <w:lvlText w:val="%7."/>
      <w:lvlJc w:val="left"/>
      <w:pPr>
        <w:ind w:left="5040" w:hanging="360"/>
      </w:pPr>
    </w:lvl>
    <w:lvl w:ilvl="7" w:tplc="D0D63C02">
      <w:start w:val="1"/>
      <w:numFmt w:val="lowerLetter"/>
      <w:lvlText w:val="%8."/>
      <w:lvlJc w:val="left"/>
      <w:pPr>
        <w:ind w:left="5760" w:hanging="360"/>
      </w:pPr>
    </w:lvl>
    <w:lvl w:ilvl="8" w:tplc="672202BA">
      <w:start w:val="1"/>
      <w:numFmt w:val="lowerRoman"/>
      <w:lvlText w:val="%9."/>
      <w:lvlJc w:val="right"/>
      <w:pPr>
        <w:ind w:left="6480" w:hanging="180"/>
      </w:pPr>
    </w:lvl>
  </w:abstractNum>
  <w:abstractNum w:abstractNumId="9" w15:restartNumberingAfterBreak="0">
    <w:nsid w:val="108208E8"/>
    <w:multiLevelType w:val="multilevel"/>
    <w:tmpl w:val="9556A4E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1AC1D04"/>
    <w:multiLevelType w:val="hybridMultilevel"/>
    <w:tmpl w:val="97809C36"/>
    <w:lvl w:ilvl="0" w:tplc="42922646">
      <w:start w:val="1"/>
      <w:numFmt w:val="decimal"/>
      <w:lvlText w:val="%1)"/>
      <w:lvlJc w:val="left"/>
      <w:pPr>
        <w:ind w:left="720" w:hanging="360"/>
      </w:pPr>
    </w:lvl>
    <w:lvl w:ilvl="1" w:tplc="D662E7B8">
      <w:start w:val="1"/>
      <w:numFmt w:val="decimal"/>
      <w:lvlText w:val="%2)"/>
      <w:lvlJc w:val="left"/>
      <w:pPr>
        <w:ind w:left="720" w:hanging="360"/>
      </w:pPr>
    </w:lvl>
    <w:lvl w:ilvl="2" w:tplc="344247D6">
      <w:start w:val="1"/>
      <w:numFmt w:val="decimal"/>
      <w:lvlText w:val="%3)"/>
      <w:lvlJc w:val="left"/>
      <w:pPr>
        <w:ind w:left="720" w:hanging="360"/>
      </w:pPr>
    </w:lvl>
    <w:lvl w:ilvl="3" w:tplc="35E4C4A6">
      <w:start w:val="1"/>
      <w:numFmt w:val="decimal"/>
      <w:lvlText w:val="%4)"/>
      <w:lvlJc w:val="left"/>
      <w:pPr>
        <w:ind w:left="720" w:hanging="360"/>
      </w:pPr>
    </w:lvl>
    <w:lvl w:ilvl="4" w:tplc="B52CF98C">
      <w:start w:val="1"/>
      <w:numFmt w:val="decimal"/>
      <w:lvlText w:val="%5)"/>
      <w:lvlJc w:val="left"/>
      <w:pPr>
        <w:ind w:left="720" w:hanging="360"/>
      </w:pPr>
    </w:lvl>
    <w:lvl w:ilvl="5" w:tplc="37063AAE">
      <w:start w:val="1"/>
      <w:numFmt w:val="decimal"/>
      <w:lvlText w:val="%6)"/>
      <w:lvlJc w:val="left"/>
      <w:pPr>
        <w:ind w:left="720" w:hanging="360"/>
      </w:pPr>
    </w:lvl>
    <w:lvl w:ilvl="6" w:tplc="7ACC8720">
      <w:start w:val="1"/>
      <w:numFmt w:val="decimal"/>
      <w:lvlText w:val="%7)"/>
      <w:lvlJc w:val="left"/>
      <w:pPr>
        <w:ind w:left="720" w:hanging="360"/>
      </w:pPr>
    </w:lvl>
    <w:lvl w:ilvl="7" w:tplc="5B7CFFC4">
      <w:start w:val="1"/>
      <w:numFmt w:val="decimal"/>
      <w:lvlText w:val="%8)"/>
      <w:lvlJc w:val="left"/>
      <w:pPr>
        <w:ind w:left="720" w:hanging="360"/>
      </w:pPr>
    </w:lvl>
    <w:lvl w:ilvl="8" w:tplc="A26210F4">
      <w:start w:val="1"/>
      <w:numFmt w:val="decimal"/>
      <w:lvlText w:val="%9)"/>
      <w:lvlJc w:val="left"/>
      <w:pPr>
        <w:ind w:left="720" w:hanging="360"/>
      </w:pPr>
    </w:lvl>
  </w:abstractNum>
  <w:abstractNum w:abstractNumId="11" w15:restartNumberingAfterBreak="0">
    <w:nsid w:val="12057FB8"/>
    <w:multiLevelType w:val="multilevel"/>
    <w:tmpl w:val="9C666C4C"/>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2A7529B"/>
    <w:multiLevelType w:val="hybridMultilevel"/>
    <w:tmpl w:val="835276DE"/>
    <w:lvl w:ilvl="0" w:tplc="87D8E884">
      <w:start w:val="1"/>
      <w:numFmt w:val="bullet"/>
      <w:lvlText w:val=""/>
      <w:lvlJc w:val="left"/>
      <w:pPr>
        <w:ind w:left="720" w:hanging="360"/>
      </w:pPr>
      <w:rPr>
        <w:rFonts w:ascii="Symbol" w:hAnsi="Symbol"/>
      </w:rPr>
    </w:lvl>
    <w:lvl w:ilvl="1" w:tplc="BCBC1408">
      <w:start w:val="1"/>
      <w:numFmt w:val="bullet"/>
      <w:lvlText w:val=""/>
      <w:lvlJc w:val="left"/>
      <w:pPr>
        <w:ind w:left="720" w:hanging="360"/>
      </w:pPr>
      <w:rPr>
        <w:rFonts w:ascii="Symbol" w:hAnsi="Symbol"/>
      </w:rPr>
    </w:lvl>
    <w:lvl w:ilvl="2" w:tplc="C86A0F1C">
      <w:start w:val="1"/>
      <w:numFmt w:val="bullet"/>
      <w:lvlText w:val=""/>
      <w:lvlJc w:val="left"/>
      <w:pPr>
        <w:ind w:left="720" w:hanging="360"/>
      </w:pPr>
      <w:rPr>
        <w:rFonts w:ascii="Symbol" w:hAnsi="Symbol"/>
      </w:rPr>
    </w:lvl>
    <w:lvl w:ilvl="3" w:tplc="E91A46DC">
      <w:start w:val="1"/>
      <w:numFmt w:val="bullet"/>
      <w:lvlText w:val=""/>
      <w:lvlJc w:val="left"/>
      <w:pPr>
        <w:ind w:left="720" w:hanging="360"/>
      </w:pPr>
      <w:rPr>
        <w:rFonts w:ascii="Symbol" w:hAnsi="Symbol"/>
      </w:rPr>
    </w:lvl>
    <w:lvl w:ilvl="4" w:tplc="BEE6280A">
      <w:start w:val="1"/>
      <w:numFmt w:val="bullet"/>
      <w:lvlText w:val=""/>
      <w:lvlJc w:val="left"/>
      <w:pPr>
        <w:ind w:left="720" w:hanging="360"/>
      </w:pPr>
      <w:rPr>
        <w:rFonts w:ascii="Symbol" w:hAnsi="Symbol"/>
      </w:rPr>
    </w:lvl>
    <w:lvl w:ilvl="5" w:tplc="6FBA8C08">
      <w:start w:val="1"/>
      <w:numFmt w:val="bullet"/>
      <w:lvlText w:val=""/>
      <w:lvlJc w:val="left"/>
      <w:pPr>
        <w:ind w:left="720" w:hanging="360"/>
      </w:pPr>
      <w:rPr>
        <w:rFonts w:ascii="Symbol" w:hAnsi="Symbol"/>
      </w:rPr>
    </w:lvl>
    <w:lvl w:ilvl="6" w:tplc="B232B88A">
      <w:start w:val="1"/>
      <w:numFmt w:val="bullet"/>
      <w:lvlText w:val=""/>
      <w:lvlJc w:val="left"/>
      <w:pPr>
        <w:ind w:left="720" w:hanging="360"/>
      </w:pPr>
      <w:rPr>
        <w:rFonts w:ascii="Symbol" w:hAnsi="Symbol"/>
      </w:rPr>
    </w:lvl>
    <w:lvl w:ilvl="7" w:tplc="0E703C20">
      <w:start w:val="1"/>
      <w:numFmt w:val="bullet"/>
      <w:lvlText w:val=""/>
      <w:lvlJc w:val="left"/>
      <w:pPr>
        <w:ind w:left="720" w:hanging="360"/>
      </w:pPr>
      <w:rPr>
        <w:rFonts w:ascii="Symbol" w:hAnsi="Symbol"/>
      </w:rPr>
    </w:lvl>
    <w:lvl w:ilvl="8" w:tplc="F850C93C">
      <w:start w:val="1"/>
      <w:numFmt w:val="bullet"/>
      <w:lvlText w:val=""/>
      <w:lvlJc w:val="left"/>
      <w:pPr>
        <w:ind w:left="720" w:hanging="360"/>
      </w:pPr>
      <w:rPr>
        <w:rFonts w:ascii="Symbol" w:hAnsi="Symbol"/>
      </w:rPr>
    </w:lvl>
  </w:abstractNum>
  <w:abstractNum w:abstractNumId="13" w15:restartNumberingAfterBreak="0">
    <w:nsid w:val="12AA384D"/>
    <w:multiLevelType w:val="multilevel"/>
    <w:tmpl w:val="29261FFA"/>
    <w:lvl w:ilvl="0">
      <w:start w:val="3"/>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560" w:hanging="1800"/>
      </w:pPr>
      <w:rPr>
        <w:rFonts w:hint="default"/>
        <w:color w:val="auto"/>
      </w:rPr>
    </w:lvl>
  </w:abstractNum>
  <w:abstractNum w:abstractNumId="14" w15:restartNumberingAfterBreak="0">
    <w:nsid w:val="14900376"/>
    <w:multiLevelType w:val="hybridMultilevel"/>
    <w:tmpl w:val="748466D6"/>
    <w:lvl w:ilvl="0" w:tplc="1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14B639CF"/>
    <w:multiLevelType w:val="hybridMultilevel"/>
    <w:tmpl w:val="006EB3A2"/>
    <w:lvl w:ilvl="0" w:tplc="F57C364E">
      <w:start w:val="1"/>
      <w:numFmt w:val="decimal"/>
      <w:lvlText w:val="%1."/>
      <w:lvlJc w:val="left"/>
      <w:pPr>
        <w:ind w:left="1020" w:hanging="360"/>
      </w:pPr>
    </w:lvl>
    <w:lvl w:ilvl="1" w:tplc="D08AC6D6">
      <w:start w:val="1"/>
      <w:numFmt w:val="decimal"/>
      <w:lvlText w:val="%2."/>
      <w:lvlJc w:val="left"/>
      <w:pPr>
        <w:ind w:left="1020" w:hanging="360"/>
      </w:pPr>
    </w:lvl>
    <w:lvl w:ilvl="2" w:tplc="9C32D254">
      <w:start w:val="1"/>
      <w:numFmt w:val="decimal"/>
      <w:lvlText w:val="%3."/>
      <w:lvlJc w:val="left"/>
      <w:pPr>
        <w:ind w:left="1020" w:hanging="360"/>
      </w:pPr>
    </w:lvl>
    <w:lvl w:ilvl="3" w:tplc="65CE2010">
      <w:start w:val="1"/>
      <w:numFmt w:val="decimal"/>
      <w:lvlText w:val="%4."/>
      <w:lvlJc w:val="left"/>
      <w:pPr>
        <w:ind w:left="1020" w:hanging="360"/>
      </w:pPr>
    </w:lvl>
    <w:lvl w:ilvl="4" w:tplc="80B87798">
      <w:start w:val="1"/>
      <w:numFmt w:val="decimal"/>
      <w:lvlText w:val="%5."/>
      <w:lvlJc w:val="left"/>
      <w:pPr>
        <w:ind w:left="1020" w:hanging="360"/>
      </w:pPr>
    </w:lvl>
    <w:lvl w:ilvl="5" w:tplc="5C943014">
      <w:start w:val="1"/>
      <w:numFmt w:val="decimal"/>
      <w:lvlText w:val="%6."/>
      <w:lvlJc w:val="left"/>
      <w:pPr>
        <w:ind w:left="1020" w:hanging="360"/>
      </w:pPr>
    </w:lvl>
    <w:lvl w:ilvl="6" w:tplc="D3B8C178">
      <w:start w:val="1"/>
      <w:numFmt w:val="decimal"/>
      <w:lvlText w:val="%7."/>
      <w:lvlJc w:val="left"/>
      <w:pPr>
        <w:ind w:left="1020" w:hanging="360"/>
      </w:pPr>
    </w:lvl>
    <w:lvl w:ilvl="7" w:tplc="D100ACD4">
      <w:start w:val="1"/>
      <w:numFmt w:val="decimal"/>
      <w:lvlText w:val="%8."/>
      <w:lvlJc w:val="left"/>
      <w:pPr>
        <w:ind w:left="1020" w:hanging="360"/>
      </w:pPr>
    </w:lvl>
    <w:lvl w:ilvl="8" w:tplc="F4D2DF70">
      <w:start w:val="1"/>
      <w:numFmt w:val="decimal"/>
      <w:lvlText w:val="%9."/>
      <w:lvlJc w:val="left"/>
      <w:pPr>
        <w:ind w:left="1020" w:hanging="360"/>
      </w:pPr>
    </w:lvl>
  </w:abstractNum>
  <w:abstractNum w:abstractNumId="16" w15:restartNumberingAfterBreak="0">
    <w:nsid w:val="14FE7920"/>
    <w:multiLevelType w:val="hybridMultilevel"/>
    <w:tmpl w:val="8C38C488"/>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523141F"/>
    <w:multiLevelType w:val="hybridMultilevel"/>
    <w:tmpl w:val="4D7E3776"/>
    <w:lvl w:ilvl="0" w:tplc="340E6576">
      <w:start w:val="1"/>
      <w:numFmt w:val="bullet"/>
      <w:lvlText w:val=""/>
      <w:lvlJc w:val="left"/>
      <w:pPr>
        <w:ind w:left="1020" w:hanging="360"/>
      </w:pPr>
      <w:rPr>
        <w:rFonts w:ascii="Symbol" w:hAnsi="Symbol"/>
      </w:rPr>
    </w:lvl>
    <w:lvl w:ilvl="1" w:tplc="FD16FBF2">
      <w:start w:val="1"/>
      <w:numFmt w:val="bullet"/>
      <w:lvlText w:val=""/>
      <w:lvlJc w:val="left"/>
      <w:pPr>
        <w:ind w:left="1020" w:hanging="360"/>
      </w:pPr>
      <w:rPr>
        <w:rFonts w:ascii="Symbol" w:hAnsi="Symbol"/>
      </w:rPr>
    </w:lvl>
    <w:lvl w:ilvl="2" w:tplc="17A69D2C">
      <w:start w:val="1"/>
      <w:numFmt w:val="bullet"/>
      <w:lvlText w:val=""/>
      <w:lvlJc w:val="left"/>
      <w:pPr>
        <w:ind w:left="1020" w:hanging="360"/>
      </w:pPr>
      <w:rPr>
        <w:rFonts w:ascii="Symbol" w:hAnsi="Symbol"/>
      </w:rPr>
    </w:lvl>
    <w:lvl w:ilvl="3" w:tplc="15247132">
      <w:start w:val="1"/>
      <w:numFmt w:val="bullet"/>
      <w:lvlText w:val=""/>
      <w:lvlJc w:val="left"/>
      <w:pPr>
        <w:ind w:left="1020" w:hanging="360"/>
      </w:pPr>
      <w:rPr>
        <w:rFonts w:ascii="Symbol" w:hAnsi="Symbol"/>
      </w:rPr>
    </w:lvl>
    <w:lvl w:ilvl="4" w:tplc="0B40F9F0">
      <w:start w:val="1"/>
      <w:numFmt w:val="bullet"/>
      <w:lvlText w:val=""/>
      <w:lvlJc w:val="left"/>
      <w:pPr>
        <w:ind w:left="1020" w:hanging="360"/>
      </w:pPr>
      <w:rPr>
        <w:rFonts w:ascii="Symbol" w:hAnsi="Symbol"/>
      </w:rPr>
    </w:lvl>
    <w:lvl w:ilvl="5" w:tplc="0500172E">
      <w:start w:val="1"/>
      <w:numFmt w:val="bullet"/>
      <w:lvlText w:val=""/>
      <w:lvlJc w:val="left"/>
      <w:pPr>
        <w:ind w:left="1020" w:hanging="360"/>
      </w:pPr>
      <w:rPr>
        <w:rFonts w:ascii="Symbol" w:hAnsi="Symbol"/>
      </w:rPr>
    </w:lvl>
    <w:lvl w:ilvl="6" w:tplc="BCD60088">
      <w:start w:val="1"/>
      <w:numFmt w:val="bullet"/>
      <w:lvlText w:val=""/>
      <w:lvlJc w:val="left"/>
      <w:pPr>
        <w:ind w:left="1020" w:hanging="360"/>
      </w:pPr>
      <w:rPr>
        <w:rFonts w:ascii="Symbol" w:hAnsi="Symbol"/>
      </w:rPr>
    </w:lvl>
    <w:lvl w:ilvl="7" w:tplc="B310130A">
      <w:start w:val="1"/>
      <w:numFmt w:val="bullet"/>
      <w:lvlText w:val=""/>
      <w:lvlJc w:val="left"/>
      <w:pPr>
        <w:ind w:left="1020" w:hanging="360"/>
      </w:pPr>
      <w:rPr>
        <w:rFonts w:ascii="Symbol" w:hAnsi="Symbol"/>
      </w:rPr>
    </w:lvl>
    <w:lvl w:ilvl="8" w:tplc="E9D418F0">
      <w:start w:val="1"/>
      <w:numFmt w:val="bullet"/>
      <w:lvlText w:val=""/>
      <w:lvlJc w:val="left"/>
      <w:pPr>
        <w:ind w:left="1020" w:hanging="360"/>
      </w:pPr>
      <w:rPr>
        <w:rFonts w:ascii="Symbol" w:hAnsi="Symbol"/>
      </w:rPr>
    </w:lvl>
  </w:abstractNum>
  <w:abstractNum w:abstractNumId="18" w15:restartNumberingAfterBreak="0">
    <w:nsid w:val="158537A0"/>
    <w:multiLevelType w:val="multilevel"/>
    <w:tmpl w:val="49FCA6C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6AE475E"/>
    <w:multiLevelType w:val="hybridMultilevel"/>
    <w:tmpl w:val="4EB627BA"/>
    <w:lvl w:ilvl="0" w:tplc="985A5D9C">
      <w:start w:val="1"/>
      <w:numFmt w:val="bullet"/>
      <w:lvlText w:val=""/>
      <w:lvlJc w:val="left"/>
      <w:pPr>
        <w:ind w:left="720" w:hanging="360"/>
      </w:pPr>
      <w:rPr>
        <w:rFonts w:ascii="Symbol" w:hAnsi="Symbol"/>
      </w:rPr>
    </w:lvl>
    <w:lvl w:ilvl="1" w:tplc="BAA6F288">
      <w:start w:val="1"/>
      <w:numFmt w:val="bullet"/>
      <w:lvlText w:val=""/>
      <w:lvlJc w:val="left"/>
      <w:pPr>
        <w:ind w:left="720" w:hanging="360"/>
      </w:pPr>
      <w:rPr>
        <w:rFonts w:ascii="Symbol" w:hAnsi="Symbol"/>
      </w:rPr>
    </w:lvl>
    <w:lvl w:ilvl="2" w:tplc="14A2E24A">
      <w:start w:val="1"/>
      <w:numFmt w:val="bullet"/>
      <w:lvlText w:val=""/>
      <w:lvlJc w:val="left"/>
      <w:pPr>
        <w:ind w:left="720" w:hanging="360"/>
      </w:pPr>
      <w:rPr>
        <w:rFonts w:ascii="Symbol" w:hAnsi="Symbol"/>
      </w:rPr>
    </w:lvl>
    <w:lvl w:ilvl="3" w:tplc="D3DE88A8">
      <w:start w:val="1"/>
      <w:numFmt w:val="bullet"/>
      <w:lvlText w:val=""/>
      <w:lvlJc w:val="left"/>
      <w:pPr>
        <w:ind w:left="720" w:hanging="360"/>
      </w:pPr>
      <w:rPr>
        <w:rFonts w:ascii="Symbol" w:hAnsi="Symbol"/>
      </w:rPr>
    </w:lvl>
    <w:lvl w:ilvl="4" w:tplc="02E41EA2">
      <w:start w:val="1"/>
      <w:numFmt w:val="bullet"/>
      <w:lvlText w:val=""/>
      <w:lvlJc w:val="left"/>
      <w:pPr>
        <w:ind w:left="720" w:hanging="360"/>
      </w:pPr>
      <w:rPr>
        <w:rFonts w:ascii="Symbol" w:hAnsi="Symbol"/>
      </w:rPr>
    </w:lvl>
    <w:lvl w:ilvl="5" w:tplc="74488BEA">
      <w:start w:val="1"/>
      <w:numFmt w:val="bullet"/>
      <w:lvlText w:val=""/>
      <w:lvlJc w:val="left"/>
      <w:pPr>
        <w:ind w:left="720" w:hanging="360"/>
      </w:pPr>
      <w:rPr>
        <w:rFonts w:ascii="Symbol" w:hAnsi="Symbol"/>
      </w:rPr>
    </w:lvl>
    <w:lvl w:ilvl="6" w:tplc="0E7AD126">
      <w:start w:val="1"/>
      <w:numFmt w:val="bullet"/>
      <w:lvlText w:val=""/>
      <w:lvlJc w:val="left"/>
      <w:pPr>
        <w:ind w:left="720" w:hanging="360"/>
      </w:pPr>
      <w:rPr>
        <w:rFonts w:ascii="Symbol" w:hAnsi="Symbol"/>
      </w:rPr>
    </w:lvl>
    <w:lvl w:ilvl="7" w:tplc="463860D6">
      <w:start w:val="1"/>
      <w:numFmt w:val="bullet"/>
      <w:lvlText w:val=""/>
      <w:lvlJc w:val="left"/>
      <w:pPr>
        <w:ind w:left="720" w:hanging="360"/>
      </w:pPr>
      <w:rPr>
        <w:rFonts w:ascii="Symbol" w:hAnsi="Symbol"/>
      </w:rPr>
    </w:lvl>
    <w:lvl w:ilvl="8" w:tplc="5ABC3F20">
      <w:start w:val="1"/>
      <w:numFmt w:val="bullet"/>
      <w:lvlText w:val=""/>
      <w:lvlJc w:val="left"/>
      <w:pPr>
        <w:ind w:left="720" w:hanging="360"/>
      </w:pPr>
      <w:rPr>
        <w:rFonts w:ascii="Symbol" w:hAnsi="Symbol"/>
      </w:rPr>
    </w:lvl>
  </w:abstractNum>
  <w:abstractNum w:abstractNumId="20" w15:restartNumberingAfterBreak="0">
    <w:nsid w:val="185E2163"/>
    <w:multiLevelType w:val="hybridMultilevel"/>
    <w:tmpl w:val="B240D508"/>
    <w:lvl w:ilvl="0" w:tplc="22244936">
      <w:start w:val="1"/>
      <w:numFmt w:val="bullet"/>
      <w:lvlText w:val=""/>
      <w:lvlJc w:val="left"/>
      <w:pPr>
        <w:ind w:left="720" w:hanging="360"/>
      </w:pPr>
      <w:rPr>
        <w:rFonts w:ascii="Symbol" w:hAnsi="Symbol" w:hint="default"/>
      </w:rPr>
    </w:lvl>
    <w:lvl w:ilvl="1" w:tplc="0DBE7022">
      <w:start w:val="1"/>
      <w:numFmt w:val="bullet"/>
      <w:lvlText w:val="o"/>
      <w:lvlJc w:val="left"/>
      <w:pPr>
        <w:ind w:left="1440" w:hanging="360"/>
      </w:pPr>
      <w:rPr>
        <w:rFonts w:ascii="Courier New" w:hAnsi="Courier New" w:hint="default"/>
      </w:rPr>
    </w:lvl>
    <w:lvl w:ilvl="2" w:tplc="6144D358">
      <w:start w:val="1"/>
      <w:numFmt w:val="bullet"/>
      <w:lvlText w:val=""/>
      <w:lvlJc w:val="left"/>
      <w:pPr>
        <w:ind w:left="2160" w:hanging="360"/>
      </w:pPr>
      <w:rPr>
        <w:rFonts w:ascii="Wingdings" w:hAnsi="Wingdings" w:hint="default"/>
      </w:rPr>
    </w:lvl>
    <w:lvl w:ilvl="3" w:tplc="8C006E3C">
      <w:start w:val="1"/>
      <w:numFmt w:val="bullet"/>
      <w:lvlText w:val=""/>
      <w:lvlJc w:val="left"/>
      <w:pPr>
        <w:ind w:left="2880" w:hanging="360"/>
      </w:pPr>
      <w:rPr>
        <w:rFonts w:ascii="Symbol" w:hAnsi="Symbol" w:hint="default"/>
      </w:rPr>
    </w:lvl>
    <w:lvl w:ilvl="4" w:tplc="53A8CE12">
      <w:start w:val="1"/>
      <w:numFmt w:val="bullet"/>
      <w:lvlText w:val="o"/>
      <w:lvlJc w:val="left"/>
      <w:pPr>
        <w:ind w:left="3600" w:hanging="360"/>
      </w:pPr>
      <w:rPr>
        <w:rFonts w:ascii="Courier New" w:hAnsi="Courier New" w:hint="default"/>
      </w:rPr>
    </w:lvl>
    <w:lvl w:ilvl="5" w:tplc="3C6A3D14">
      <w:start w:val="1"/>
      <w:numFmt w:val="bullet"/>
      <w:lvlText w:val=""/>
      <w:lvlJc w:val="left"/>
      <w:pPr>
        <w:ind w:left="4320" w:hanging="360"/>
      </w:pPr>
      <w:rPr>
        <w:rFonts w:ascii="Wingdings" w:hAnsi="Wingdings" w:hint="default"/>
      </w:rPr>
    </w:lvl>
    <w:lvl w:ilvl="6" w:tplc="8A682D44">
      <w:start w:val="1"/>
      <w:numFmt w:val="bullet"/>
      <w:lvlText w:val=""/>
      <w:lvlJc w:val="left"/>
      <w:pPr>
        <w:ind w:left="5040" w:hanging="360"/>
      </w:pPr>
      <w:rPr>
        <w:rFonts w:ascii="Symbol" w:hAnsi="Symbol" w:hint="default"/>
      </w:rPr>
    </w:lvl>
    <w:lvl w:ilvl="7" w:tplc="D3168D22">
      <w:start w:val="1"/>
      <w:numFmt w:val="bullet"/>
      <w:lvlText w:val="o"/>
      <w:lvlJc w:val="left"/>
      <w:pPr>
        <w:ind w:left="5760" w:hanging="360"/>
      </w:pPr>
      <w:rPr>
        <w:rFonts w:ascii="Courier New" w:hAnsi="Courier New" w:hint="default"/>
      </w:rPr>
    </w:lvl>
    <w:lvl w:ilvl="8" w:tplc="C91CEB24">
      <w:start w:val="1"/>
      <w:numFmt w:val="bullet"/>
      <w:lvlText w:val=""/>
      <w:lvlJc w:val="left"/>
      <w:pPr>
        <w:ind w:left="6480" w:hanging="360"/>
      </w:pPr>
      <w:rPr>
        <w:rFonts w:ascii="Wingdings" w:hAnsi="Wingdings" w:hint="default"/>
      </w:rPr>
    </w:lvl>
  </w:abstractNum>
  <w:abstractNum w:abstractNumId="21" w15:restartNumberingAfterBreak="0">
    <w:nsid w:val="19533ACB"/>
    <w:multiLevelType w:val="hybridMultilevel"/>
    <w:tmpl w:val="A4525C14"/>
    <w:lvl w:ilvl="0" w:tplc="41085288">
      <w:start w:val="3"/>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19D560A6"/>
    <w:multiLevelType w:val="hybridMultilevel"/>
    <w:tmpl w:val="FFFFFFFF"/>
    <w:lvl w:ilvl="0" w:tplc="BE5C4F0C">
      <w:start w:val="1"/>
      <w:numFmt w:val="upperRoman"/>
      <w:lvlText w:val="%1."/>
      <w:lvlJc w:val="right"/>
      <w:pPr>
        <w:ind w:left="720" w:hanging="360"/>
      </w:pPr>
    </w:lvl>
    <w:lvl w:ilvl="1" w:tplc="FF3892BA">
      <w:start w:val="1"/>
      <w:numFmt w:val="lowerLetter"/>
      <w:lvlText w:val="%2."/>
      <w:lvlJc w:val="left"/>
      <w:pPr>
        <w:ind w:left="1440" w:hanging="360"/>
      </w:pPr>
    </w:lvl>
    <w:lvl w:ilvl="2" w:tplc="55307DCE">
      <w:start w:val="1"/>
      <w:numFmt w:val="lowerRoman"/>
      <w:lvlText w:val="%3."/>
      <w:lvlJc w:val="right"/>
      <w:pPr>
        <w:ind w:left="2160" w:hanging="180"/>
      </w:pPr>
    </w:lvl>
    <w:lvl w:ilvl="3" w:tplc="D2104686">
      <w:start w:val="1"/>
      <w:numFmt w:val="decimal"/>
      <w:lvlText w:val="%4."/>
      <w:lvlJc w:val="left"/>
      <w:pPr>
        <w:ind w:left="2880" w:hanging="360"/>
      </w:pPr>
    </w:lvl>
    <w:lvl w:ilvl="4" w:tplc="D9262498">
      <w:start w:val="1"/>
      <w:numFmt w:val="lowerLetter"/>
      <w:lvlText w:val="%5."/>
      <w:lvlJc w:val="left"/>
      <w:pPr>
        <w:ind w:left="3600" w:hanging="360"/>
      </w:pPr>
    </w:lvl>
    <w:lvl w:ilvl="5" w:tplc="49745BC8">
      <w:start w:val="1"/>
      <w:numFmt w:val="lowerRoman"/>
      <w:lvlText w:val="%6."/>
      <w:lvlJc w:val="right"/>
      <w:pPr>
        <w:ind w:left="4320" w:hanging="180"/>
      </w:pPr>
    </w:lvl>
    <w:lvl w:ilvl="6" w:tplc="85128982">
      <w:start w:val="1"/>
      <w:numFmt w:val="decimal"/>
      <w:lvlText w:val="%7."/>
      <w:lvlJc w:val="left"/>
      <w:pPr>
        <w:ind w:left="5040" w:hanging="360"/>
      </w:pPr>
    </w:lvl>
    <w:lvl w:ilvl="7" w:tplc="AA90D642">
      <w:start w:val="1"/>
      <w:numFmt w:val="lowerLetter"/>
      <w:lvlText w:val="%8."/>
      <w:lvlJc w:val="left"/>
      <w:pPr>
        <w:ind w:left="5760" w:hanging="360"/>
      </w:pPr>
    </w:lvl>
    <w:lvl w:ilvl="8" w:tplc="4714574A">
      <w:start w:val="1"/>
      <w:numFmt w:val="lowerRoman"/>
      <w:lvlText w:val="%9."/>
      <w:lvlJc w:val="right"/>
      <w:pPr>
        <w:ind w:left="6480" w:hanging="180"/>
      </w:pPr>
    </w:lvl>
  </w:abstractNum>
  <w:abstractNum w:abstractNumId="23" w15:restartNumberingAfterBreak="0">
    <w:nsid w:val="1A7C407C"/>
    <w:multiLevelType w:val="hybridMultilevel"/>
    <w:tmpl w:val="06122192"/>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B2C198B"/>
    <w:multiLevelType w:val="hybridMultilevel"/>
    <w:tmpl w:val="343EB930"/>
    <w:lvl w:ilvl="0" w:tplc="1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B3C0856"/>
    <w:multiLevelType w:val="hybridMultilevel"/>
    <w:tmpl w:val="09BE37F2"/>
    <w:lvl w:ilvl="0" w:tplc="9176E6EE">
      <w:start w:val="1"/>
      <w:numFmt w:val="bullet"/>
      <w:lvlText w:val=""/>
      <w:lvlJc w:val="left"/>
      <w:pPr>
        <w:ind w:left="720" w:hanging="360"/>
      </w:pPr>
      <w:rPr>
        <w:rFonts w:ascii="Symbol" w:hAnsi="Symbol"/>
      </w:rPr>
    </w:lvl>
    <w:lvl w:ilvl="1" w:tplc="DFEA9F8E">
      <w:start w:val="1"/>
      <w:numFmt w:val="bullet"/>
      <w:lvlText w:val=""/>
      <w:lvlJc w:val="left"/>
      <w:pPr>
        <w:ind w:left="720" w:hanging="360"/>
      </w:pPr>
      <w:rPr>
        <w:rFonts w:ascii="Symbol" w:hAnsi="Symbol"/>
      </w:rPr>
    </w:lvl>
    <w:lvl w:ilvl="2" w:tplc="950A4A2C">
      <w:start w:val="1"/>
      <w:numFmt w:val="bullet"/>
      <w:lvlText w:val=""/>
      <w:lvlJc w:val="left"/>
      <w:pPr>
        <w:ind w:left="720" w:hanging="360"/>
      </w:pPr>
      <w:rPr>
        <w:rFonts w:ascii="Symbol" w:hAnsi="Symbol"/>
      </w:rPr>
    </w:lvl>
    <w:lvl w:ilvl="3" w:tplc="F88A8668">
      <w:start w:val="1"/>
      <w:numFmt w:val="bullet"/>
      <w:lvlText w:val=""/>
      <w:lvlJc w:val="left"/>
      <w:pPr>
        <w:ind w:left="720" w:hanging="360"/>
      </w:pPr>
      <w:rPr>
        <w:rFonts w:ascii="Symbol" w:hAnsi="Symbol"/>
      </w:rPr>
    </w:lvl>
    <w:lvl w:ilvl="4" w:tplc="BCEE7B4C">
      <w:start w:val="1"/>
      <w:numFmt w:val="bullet"/>
      <w:lvlText w:val=""/>
      <w:lvlJc w:val="left"/>
      <w:pPr>
        <w:ind w:left="720" w:hanging="360"/>
      </w:pPr>
      <w:rPr>
        <w:rFonts w:ascii="Symbol" w:hAnsi="Symbol"/>
      </w:rPr>
    </w:lvl>
    <w:lvl w:ilvl="5" w:tplc="B0426FEE">
      <w:start w:val="1"/>
      <w:numFmt w:val="bullet"/>
      <w:lvlText w:val=""/>
      <w:lvlJc w:val="left"/>
      <w:pPr>
        <w:ind w:left="720" w:hanging="360"/>
      </w:pPr>
      <w:rPr>
        <w:rFonts w:ascii="Symbol" w:hAnsi="Symbol"/>
      </w:rPr>
    </w:lvl>
    <w:lvl w:ilvl="6" w:tplc="6B8A0A66">
      <w:start w:val="1"/>
      <w:numFmt w:val="bullet"/>
      <w:lvlText w:val=""/>
      <w:lvlJc w:val="left"/>
      <w:pPr>
        <w:ind w:left="720" w:hanging="360"/>
      </w:pPr>
      <w:rPr>
        <w:rFonts w:ascii="Symbol" w:hAnsi="Symbol"/>
      </w:rPr>
    </w:lvl>
    <w:lvl w:ilvl="7" w:tplc="5B1CDE48">
      <w:start w:val="1"/>
      <w:numFmt w:val="bullet"/>
      <w:lvlText w:val=""/>
      <w:lvlJc w:val="left"/>
      <w:pPr>
        <w:ind w:left="720" w:hanging="360"/>
      </w:pPr>
      <w:rPr>
        <w:rFonts w:ascii="Symbol" w:hAnsi="Symbol"/>
      </w:rPr>
    </w:lvl>
    <w:lvl w:ilvl="8" w:tplc="FB9644DC">
      <w:start w:val="1"/>
      <w:numFmt w:val="bullet"/>
      <w:lvlText w:val=""/>
      <w:lvlJc w:val="left"/>
      <w:pPr>
        <w:ind w:left="720" w:hanging="360"/>
      </w:pPr>
      <w:rPr>
        <w:rFonts w:ascii="Symbol" w:hAnsi="Symbol"/>
      </w:rPr>
    </w:lvl>
  </w:abstractNum>
  <w:abstractNum w:abstractNumId="26" w15:restartNumberingAfterBreak="0">
    <w:nsid w:val="1CA63467"/>
    <w:multiLevelType w:val="multilevel"/>
    <w:tmpl w:val="3134093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1DD36AE9"/>
    <w:multiLevelType w:val="hybridMultilevel"/>
    <w:tmpl w:val="97E23BBC"/>
    <w:lvl w:ilvl="0" w:tplc="E6ACD9EA">
      <w:start w:val="1"/>
      <w:numFmt w:val="decimal"/>
      <w:lvlText w:val="%1)"/>
      <w:lvlJc w:val="left"/>
      <w:pPr>
        <w:ind w:left="720" w:hanging="360"/>
      </w:pPr>
    </w:lvl>
    <w:lvl w:ilvl="1" w:tplc="8138CA76">
      <w:start w:val="1"/>
      <w:numFmt w:val="decimal"/>
      <w:lvlText w:val="%2)"/>
      <w:lvlJc w:val="left"/>
      <w:pPr>
        <w:ind w:left="720" w:hanging="360"/>
      </w:pPr>
    </w:lvl>
    <w:lvl w:ilvl="2" w:tplc="8D1AA99C">
      <w:start w:val="1"/>
      <w:numFmt w:val="decimal"/>
      <w:lvlText w:val="%3)"/>
      <w:lvlJc w:val="left"/>
      <w:pPr>
        <w:ind w:left="720" w:hanging="360"/>
      </w:pPr>
    </w:lvl>
    <w:lvl w:ilvl="3" w:tplc="73C81E20">
      <w:start w:val="1"/>
      <w:numFmt w:val="decimal"/>
      <w:lvlText w:val="%4)"/>
      <w:lvlJc w:val="left"/>
      <w:pPr>
        <w:ind w:left="720" w:hanging="360"/>
      </w:pPr>
    </w:lvl>
    <w:lvl w:ilvl="4" w:tplc="132008DA">
      <w:start w:val="1"/>
      <w:numFmt w:val="decimal"/>
      <w:lvlText w:val="%5)"/>
      <w:lvlJc w:val="left"/>
      <w:pPr>
        <w:ind w:left="720" w:hanging="360"/>
      </w:pPr>
    </w:lvl>
    <w:lvl w:ilvl="5" w:tplc="F82E80B6">
      <w:start w:val="1"/>
      <w:numFmt w:val="decimal"/>
      <w:lvlText w:val="%6)"/>
      <w:lvlJc w:val="left"/>
      <w:pPr>
        <w:ind w:left="720" w:hanging="360"/>
      </w:pPr>
    </w:lvl>
    <w:lvl w:ilvl="6" w:tplc="25766BEA">
      <w:start w:val="1"/>
      <w:numFmt w:val="decimal"/>
      <w:lvlText w:val="%7)"/>
      <w:lvlJc w:val="left"/>
      <w:pPr>
        <w:ind w:left="720" w:hanging="360"/>
      </w:pPr>
    </w:lvl>
    <w:lvl w:ilvl="7" w:tplc="535C6B7E">
      <w:start w:val="1"/>
      <w:numFmt w:val="decimal"/>
      <w:lvlText w:val="%8)"/>
      <w:lvlJc w:val="left"/>
      <w:pPr>
        <w:ind w:left="720" w:hanging="360"/>
      </w:pPr>
    </w:lvl>
    <w:lvl w:ilvl="8" w:tplc="37D07E72">
      <w:start w:val="1"/>
      <w:numFmt w:val="decimal"/>
      <w:lvlText w:val="%9)"/>
      <w:lvlJc w:val="left"/>
      <w:pPr>
        <w:ind w:left="720" w:hanging="360"/>
      </w:pPr>
    </w:lvl>
  </w:abstractNum>
  <w:abstractNum w:abstractNumId="28" w15:restartNumberingAfterBreak="0">
    <w:nsid w:val="1EF606DF"/>
    <w:multiLevelType w:val="multilevel"/>
    <w:tmpl w:val="24BCC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F0425BE"/>
    <w:multiLevelType w:val="hybridMultilevel"/>
    <w:tmpl w:val="5106CF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1F5E1B28"/>
    <w:multiLevelType w:val="hybridMultilevel"/>
    <w:tmpl w:val="058AD864"/>
    <w:lvl w:ilvl="0" w:tplc="0A4683C6">
      <w:start w:val="1"/>
      <w:numFmt w:val="bullet"/>
      <w:lvlText w:val=""/>
      <w:lvlJc w:val="left"/>
      <w:pPr>
        <w:ind w:left="720" w:hanging="360"/>
      </w:pPr>
      <w:rPr>
        <w:rFonts w:ascii="Symbol" w:hAnsi="Symbol"/>
      </w:rPr>
    </w:lvl>
    <w:lvl w:ilvl="1" w:tplc="E4926050">
      <w:start w:val="1"/>
      <w:numFmt w:val="bullet"/>
      <w:lvlText w:val=""/>
      <w:lvlJc w:val="left"/>
      <w:pPr>
        <w:ind w:left="720" w:hanging="360"/>
      </w:pPr>
      <w:rPr>
        <w:rFonts w:ascii="Symbol" w:hAnsi="Symbol"/>
      </w:rPr>
    </w:lvl>
    <w:lvl w:ilvl="2" w:tplc="4EBABBDE">
      <w:start w:val="1"/>
      <w:numFmt w:val="bullet"/>
      <w:lvlText w:val=""/>
      <w:lvlJc w:val="left"/>
      <w:pPr>
        <w:ind w:left="720" w:hanging="360"/>
      </w:pPr>
      <w:rPr>
        <w:rFonts w:ascii="Symbol" w:hAnsi="Symbol"/>
      </w:rPr>
    </w:lvl>
    <w:lvl w:ilvl="3" w:tplc="E23A48F4">
      <w:start w:val="1"/>
      <w:numFmt w:val="bullet"/>
      <w:lvlText w:val=""/>
      <w:lvlJc w:val="left"/>
      <w:pPr>
        <w:ind w:left="720" w:hanging="360"/>
      </w:pPr>
      <w:rPr>
        <w:rFonts w:ascii="Symbol" w:hAnsi="Symbol"/>
      </w:rPr>
    </w:lvl>
    <w:lvl w:ilvl="4" w:tplc="35A68CFA">
      <w:start w:val="1"/>
      <w:numFmt w:val="bullet"/>
      <w:lvlText w:val=""/>
      <w:lvlJc w:val="left"/>
      <w:pPr>
        <w:ind w:left="720" w:hanging="360"/>
      </w:pPr>
      <w:rPr>
        <w:rFonts w:ascii="Symbol" w:hAnsi="Symbol"/>
      </w:rPr>
    </w:lvl>
    <w:lvl w:ilvl="5" w:tplc="EAAA42C8">
      <w:start w:val="1"/>
      <w:numFmt w:val="bullet"/>
      <w:lvlText w:val=""/>
      <w:lvlJc w:val="left"/>
      <w:pPr>
        <w:ind w:left="720" w:hanging="360"/>
      </w:pPr>
      <w:rPr>
        <w:rFonts w:ascii="Symbol" w:hAnsi="Symbol"/>
      </w:rPr>
    </w:lvl>
    <w:lvl w:ilvl="6" w:tplc="82EC071A">
      <w:start w:val="1"/>
      <w:numFmt w:val="bullet"/>
      <w:lvlText w:val=""/>
      <w:lvlJc w:val="left"/>
      <w:pPr>
        <w:ind w:left="720" w:hanging="360"/>
      </w:pPr>
      <w:rPr>
        <w:rFonts w:ascii="Symbol" w:hAnsi="Symbol"/>
      </w:rPr>
    </w:lvl>
    <w:lvl w:ilvl="7" w:tplc="AF304714">
      <w:start w:val="1"/>
      <w:numFmt w:val="bullet"/>
      <w:lvlText w:val=""/>
      <w:lvlJc w:val="left"/>
      <w:pPr>
        <w:ind w:left="720" w:hanging="360"/>
      </w:pPr>
      <w:rPr>
        <w:rFonts w:ascii="Symbol" w:hAnsi="Symbol"/>
      </w:rPr>
    </w:lvl>
    <w:lvl w:ilvl="8" w:tplc="5BAC4D64">
      <w:start w:val="1"/>
      <w:numFmt w:val="bullet"/>
      <w:lvlText w:val=""/>
      <w:lvlJc w:val="left"/>
      <w:pPr>
        <w:ind w:left="720" w:hanging="360"/>
      </w:pPr>
      <w:rPr>
        <w:rFonts w:ascii="Symbol" w:hAnsi="Symbol"/>
      </w:rPr>
    </w:lvl>
  </w:abstractNum>
  <w:abstractNum w:abstractNumId="31" w15:restartNumberingAfterBreak="0">
    <w:nsid w:val="1FAC4703"/>
    <w:multiLevelType w:val="hybridMultilevel"/>
    <w:tmpl w:val="7AC20876"/>
    <w:lvl w:ilvl="0" w:tplc="FFFFFFFF">
      <w:start w:val="1"/>
      <w:numFmt w:val="decimal"/>
      <w:lvlText w:val="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1305B38"/>
    <w:multiLevelType w:val="hybridMultilevel"/>
    <w:tmpl w:val="6CE64AE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21A150DD"/>
    <w:multiLevelType w:val="multilevel"/>
    <w:tmpl w:val="E5AC78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72"/>
      <w:numFmt w:val="bullet"/>
      <w:lvlText w:val="-"/>
      <w:lvlJc w:val="left"/>
      <w:pPr>
        <w:ind w:left="1353" w:hanging="360"/>
      </w:pPr>
      <w:rPr>
        <w:rFonts w:ascii="Times New Roman" w:eastAsiaTheme="minorHAnsi" w:hAnsi="Times New Roman" w:cs="Times New Roman" w:hint="default"/>
        <w:color w:val="000000" w:themeColor="text1"/>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24840D08"/>
    <w:multiLevelType w:val="multilevel"/>
    <w:tmpl w:val="51B0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638599D"/>
    <w:multiLevelType w:val="multilevel"/>
    <w:tmpl w:val="49B87F0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6A4104C"/>
    <w:multiLevelType w:val="hybridMultilevel"/>
    <w:tmpl w:val="2FF63E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26EF4F96"/>
    <w:multiLevelType w:val="hybridMultilevel"/>
    <w:tmpl w:val="C532B714"/>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7286CAE"/>
    <w:multiLevelType w:val="hybridMultilevel"/>
    <w:tmpl w:val="45E8390C"/>
    <w:lvl w:ilvl="0" w:tplc="A0960D74">
      <w:start w:val="3"/>
      <w:numFmt w:val="decimal"/>
      <w:lvlText w:val="4.%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291E1521"/>
    <w:multiLevelType w:val="hybridMultilevel"/>
    <w:tmpl w:val="FE8012CA"/>
    <w:lvl w:ilvl="0" w:tplc="1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0" w15:restartNumberingAfterBreak="0">
    <w:nsid w:val="2AECD101"/>
    <w:multiLevelType w:val="hybridMultilevel"/>
    <w:tmpl w:val="FFFFFFFF"/>
    <w:lvl w:ilvl="0" w:tplc="AE240DF4">
      <w:start w:val="1"/>
      <w:numFmt w:val="upperRoman"/>
      <w:lvlText w:val="%1."/>
      <w:lvlJc w:val="left"/>
      <w:pPr>
        <w:ind w:left="720" w:hanging="360"/>
      </w:pPr>
    </w:lvl>
    <w:lvl w:ilvl="1" w:tplc="ABB24D10">
      <w:start w:val="1"/>
      <w:numFmt w:val="lowerLetter"/>
      <w:lvlText w:val="%2."/>
      <w:lvlJc w:val="left"/>
      <w:pPr>
        <w:ind w:left="1440" w:hanging="360"/>
      </w:pPr>
    </w:lvl>
    <w:lvl w:ilvl="2" w:tplc="B8EA81B2">
      <w:start w:val="1"/>
      <w:numFmt w:val="lowerRoman"/>
      <w:lvlText w:val="%3."/>
      <w:lvlJc w:val="right"/>
      <w:pPr>
        <w:ind w:left="2160" w:hanging="180"/>
      </w:pPr>
    </w:lvl>
    <w:lvl w:ilvl="3" w:tplc="F9F6EF8C">
      <w:start w:val="1"/>
      <w:numFmt w:val="decimal"/>
      <w:lvlText w:val="%4."/>
      <w:lvlJc w:val="left"/>
      <w:pPr>
        <w:ind w:left="2880" w:hanging="360"/>
      </w:pPr>
    </w:lvl>
    <w:lvl w:ilvl="4" w:tplc="92425E02">
      <w:start w:val="1"/>
      <w:numFmt w:val="lowerLetter"/>
      <w:lvlText w:val="%5."/>
      <w:lvlJc w:val="left"/>
      <w:pPr>
        <w:ind w:left="3600" w:hanging="360"/>
      </w:pPr>
    </w:lvl>
    <w:lvl w:ilvl="5" w:tplc="F7F03AFC">
      <w:start w:val="1"/>
      <w:numFmt w:val="lowerRoman"/>
      <w:lvlText w:val="%6."/>
      <w:lvlJc w:val="right"/>
      <w:pPr>
        <w:ind w:left="4320" w:hanging="180"/>
      </w:pPr>
    </w:lvl>
    <w:lvl w:ilvl="6" w:tplc="2E18A5A4">
      <w:start w:val="1"/>
      <w:numFmt w:val="decimal"/>
      <w:lvlText w:val="%7."/>
      <w:lvlJc w:val="left"/>
      <w:pPr>
        <w:ind w:left="5040" w:hanging="360"/>
      </w:pPr>
    </w:lvl>
    <w:lvl w:ilvl="7" w:tplc="F13A0270">
      <w:start w:val="1"/>
      <w:numFmt w:val="lowerLetter"/>
      <w:lvlText w:val="%8."/>
      <w:lvlJc w:val="left"/>
      <w:pPr>
        <w:ind w:left="5760" w:hanging="360"/>
      </w:pPr>
    </w:lvl>
    <w:lvl w:ilvl="8" w:tplc="B9CC6416">
      <w:start w:val="1"/>
      <w:numFmt w:val="lowerRoman"/>
      <w:lvlText w:val="%9."/>
      <w:lvlJc w:val="right"/>
      <w:pPr>
        <w:ind w:left="6480" w:hanging="180"/>
      </w:pPr>
    </w:lvl>
  </w:abstractNum>
  <w:abstractNum w:abstractNumId="41" w15:restartNumberingAfterBreak="0">
    <w:nsid w:val="2C0736F9"/>
    <w:multiLevelType w:val="hybridMultilevel"/>
    <w:tmpl w:val="63F4EE04"/>
    <w:lvl w:ilvl="0" w:tplc="AC60919E">
      <w:start w:val="1"/>
      <w:numFmt w:val="bullet"/>
      <w:lvlText w:val=""/>
      <w:lvlJc w:val="left"/>
      <w:pPr>
        <w:ind w:left="720" w:hanging="360"/>
      </w:pPr>
      <w:rPr>
        <w:rFonts w:ascii="Symbol" w:hAnsi="Symbol"/>
      </w:rPr>
    </w:lvl>
    <w:lvl w:ilvl="1" w:tplc="D270C38C">
      <w:start w:val="1"/>
      <w:numFmt w:val="bullet"/>
      <w:lvlText w:val=""/>
      <w:lvlJc w:val="left"/>
      <w:pPr>
        <w:ind w:left="720" w:hanging="360"/>
      </w:pPr>
      <w:rPr>
        <w:rFonts w:ascii="Symbol" w:hAnsi="Symbol"/>
      </w:rPr>
    </w:lvl>
    <w:lvl w:ilvl="2" w:tplc="5A7E1220">
      <w:start w:val="1"/>
      <w:numFmt w:val="bullet"/>
      <w:lvlText w:val=""/>
      <w:lvlJc w:val="left"/>
      <w:pPr>
        <w:ind w:left="720" w:hanging="360"/>
      </w:pPr>
      <w:rPr>
        <w:rFonts w:ascii="Symbol" w:hAnsi="Symbol"/>
      </w:rPr>
    </w:lvl>
    <w:lvl w:ilvl="3" w:tplc="D472C074">
      <w:start w:val="1"/>
      <w:numFmt w:val="bullet"/>
      <w:lvlText w:val=""/>
      <w:lvlJc w:val="left"/>
      <w:pPr>
        <w:ind w:left="720" w:hanging="360"/>
      </w:pPr>
      <w:rPr>
        <w:rFonts w:ascii="Symbol" w:hAnsi="Symbol"/>
      </w:rPr>
    </w:lvl>
    <w:lvl w:ilvl="4" w:tplc="D58016AC">
      <w:start w:val="1"/>
      <w:numFmt w:val="bullet"/>
      <w:lvlText w:val=""/>
      <w:lvlJc w:val="left"/>
      <w:pPr>
        <w:ind w:left="720" w:hanging="360"/>
      </w:pPr>
      <w:rPr>
        <w:rFonts w:ascii="Symbol" w:hAnsi="Symbol"/>
      </w:rPr>
    </w:lvl>
    <w:lvl w:ilvl="5" w:tplc="3684CAF2">
      <w:start w:val="1"/>
      <w:numFmt w:val="bullet"/>
      <w:lvlText w:val=""/>
      <w:lvlJc w:val="left"/>
      <w:pPr>
        <w:ind w:left="720" w:hanging="360"/>
      </w:pPr>
      <w:rPr>
        <w:rFonts w:ascii="Symbol" w:hAnsi="Symbol"/>
      </w:rPr>
    </w:lvl>
    <w:lvl w:ilvl="6" w:tplc="2E528950">
      <w:start w:val="1"/>
      <w:numFmt w:val="bullet"/>
      <w:lvlText w:val=""/>
      <w:lvlJc w:val="left"/>
      <w:pPr>
        <w:ind w:left="720" w:hanging="360"/>
      </w:pPr>
      <w:rPr>
        <w:rFonts w:ascii="Symbol" w:hAnsi="Symbol"/>
      </w:rPr>
    </w:lvl>
    <w:lvl w:ilvl="7" w:tplc="31BEAD30">
      <w:start w:val="1"/>
      <w:numFmt w:val="bullet"/>
      <w:lvlText w:val=""/>
      <w:lvlJc w:val="left"/>
      <w:pPr>
        <w:ind w:left="720" w:hanging="360"/>
      </w:pPr>
      <w:rPr>
        <w:rFonts w:ascii="Symbol" w:hAnsi="Symbol"/>
      </w:rPr>
    </w:lvl>
    <w:lvl w:ilvl="8" w:tplc="90FC8738">
      <w:start w:val="1"/>
      <w:numFmt w:val="bullet"/>
      <w:lvlText w:val=""/>
      <w:lvlJc w:val="left"/>
      <w:pPr>
        <w:ind w:left="720" w:hanging="360"/>
      </w:pPr>
      <w:rPr>
        <w:rFonts w:ascii="Symbol" w:hAnsi="Symbol"/>
      </w:rPr>
    </w:lvl>
  </w:abstractNum>
  <w:abstractNum w:abstractNumId="42" w15:restartNumberingAfterBreak="0">
    <w:nsid w:val="2D293CF4"/>
    <w:multiLevelType w:val="multilevel"/>
    <w:tmpl w:val="7C1A9356"/>
    <w:lvl w:ilvl="0">
      <w:start w:val="1"/>
      <w:numFmt w:val="upperRoman"/>
      <w:lvlText w:val="%1."/>
      <w:lvlJc w:val="righ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3" w15:restartNumberingAfterBreak="0">
    <w:nsid w:val="2D858926"/>
    <w:multiLevelType w:val="hybridMultilevel"/>
    <w:tmpl w:val="A67C806A"/>
    <w:lvl w:ilvl="0" w:tplc="CC48688A">
      <w:start w:val="1"/>
      <w:numFmt w:val="decimal"/>
      <w:lvlText w:val="3.%1."/>
      <w:lvlJc w:val="left"/>
      <w:pPr>
        <w:ind w:left="1080" w:hanging="360"/>
      </w:pPr>
    </w:lvl>
    <w:lvl w:ilvl="1" w:tplc="D590A374">
      <w:start w:val="1"/>
      <w:numFmt w:val="lowerLetter"/>
      <w:lvlText w:val="%2."/>
      <w:lvlJc w:val="left"/>
      <w:pPr>
        <w:ind w:left="1800" w:hanging="360"/>
      </w:pPr>
    </w:lvl>
    <w:lvl w:ilvl="2" w:tplc="4406E8AC">
      <w:start w:val="1"/>
      <w:numFmt w:val="lowerRoman"/>
      <w:lvlText w:val="%3."/>
      <w:lvlJc w:val="right"/>
      <w:pPr>
        <w:ind w:left="2520" w:hanging="180"/>
      </w:pPr>
    </w:lvl>
    <w:lvl w:ilvl="3" w:tplc="C218C41A">
      <w:start w:val="1"/>
      <w:numFmt w:val="decimal"/>
      <w:lvlText w:val="%4."/>
      <w:lvlJc w:val="left"/>
      <w:pPr>
        <w:ind w:left="3240" w:hanging="360"/>
      </w:pPr>
    </w:lvl>
    <w:lvl w:ilvl="4" w:tplc="AD8686F2">
      <w:start w:val="1"/>
      <w:numFmt w:val="lowerLetter"/>
      <w:lvlText w:val="%5."/>
      <w:lvlJc w:val="left"/>
      <w:pPr>
        <w:ind w:left="3960" w:hanging="360"/>
      </w:pPr>
    </w:lvl>
    <w:lvl w:ilvl="5" w:tplc="75744460">
      <w:start w:val="1"/>
      <w:numFmt w:val="lowerRoman"/>
      <w:lvlText w:val="%6."/>
      <w:lvlJc w:val="right"/>
      <w:pPr>
        <w:ind w:left="4680" w:hanging="180"/>
      </w:pPr>
    </w:lvl>
    <w:lvl w:ilvl="6" w:tplc="960013FE">
      <w:start w:val="1"/>
      <w:numFmt w:val="decimal"/>
      <w:lvlText w:val="%7."/>
      <w:lvlJc w:val="left"/>
      <w:pPr>
        <w:ind w:left="5400" w:hanging="360"/>
      </w:pPr>
    </w:lvl>
    <w:lvl w:ilvl="7" w:tplc="634499F2">
      <w:start w:val="1"/>
      <w:numFmt w:val="lowerLetter"/>
      <w:lvlText w:val="%8."/>
      <w:lvlJc w:val="left"/>
      <w:pPr>
        <w:ind w:left="6120" w:hanging="360"/>
      </w:pPr>
    </w:lvl>
    <w:lvl w:ilvl="8" w:tplc="6C8CAA16">
      <w:start w:val="1"/>
      <w:numFmt w:val="lowerRoman"/>
      <w:lvlText w:val="%9."/>
      <w:lvlJc w:val="right"/>
      <w:pPr>
        <w:ind w:left="6840" w:hanging="180"/>
      </w:pPr>
    </w:lvl>
  </w:abstractNum>
  <w:abstractNum w:abstractNumId="44" w15:restartNumberingAfterBreak="0">
    <w:nsid w:val="2DBA6476"/>
    <w:multiLevelType w:val="hybridMultilevel"/>
    <w:tmpl w:val="A09AD9AE"/>
    <w:lvl w:ilvl="0" w:tplc="EBF6C8BE">
      <w:start w:val="1"/>
      <w:numFmt w:val="decimal"/>
      <w:lvlText w:val="Strategic Priority %1 - "/>
      <w:lvlJc w:val="left"/>
      <w:pPr>
        <w:ind w:left="144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2E62250B"/>
    <w:multiLevelType w:val="hybridMultilevel"/>
    <w:tmpl w:val="B1BC3046"/>
    <w:lvl w:ilvl="0" w:tplc="FFFFFFFF">
      <w:start w:val="1"/>
      <w:numFmt w:val="decimal"/>
      <w:lvlText w:val="Strategic Priority %1 - "/>
      <w:lvlJc w:val="left"/>
      <w:pPr>
        <w:ind w:left="1440" w:hanging="360"/>
      </w:pPr>
      <w:rPr>
        <w:rFonts w:hint="default"/>
      </w:rPr>
    </w:lvl>
    <w:lvl w:ilvl="1" w:tplc="CB32C792">
      <w:start w:val="1"/>
      <w:numFmt w:val="decimal"/>
      <w:lvlText w:val="Strategic Priority %2 - "/>
      <w:lvlJc w:val="left"/>
      <w:pPr>
        <w:ind w:left="1440" w:hanging="360"/>
      </w:pPr>
      <w:rPr>
        <w:rFonts w:hint="default"/>
        <w:u w:val="singl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2E970BCF"/>
    <w:multiLevelType w:val="hybridMultilevel"/>
    <w:tmpl w:val="579A07FC"/>
    <w:lvl w:ilvl="0" w:tplc="FA0081D2">
      <w:start w:val="1"/>
      <w:numFmt w:val="decimal"/>
      <w:pStyle w:val="Heading4"/>
      <w:lvlText w:val="1.%1."/>
      <w:lvlJc w:val="left"/>
      <w:pPr>
        <w:ind w:left="927"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2FC6696A"/>
    <w:multiLevelType w:val="hybridMultilevel"/>
    <w:tmpl w:val="938013E0"/>
    <w:lvl w:ilvl="0" w:tplc="BDE47038">
      <w:start w:val="1"/>
      <w:numFmt w:val="decimal"/>
      <w:lvlText w:val="%1."/>
      <w:lvlJc w:val="left"/>
      <w:pPr>
        <w:ind w:left="1020" w:hanging="360"/>
      </w:pPr>
    </w:lvl>
    <w:lvl w:ilvl="1" w:tplc="87AAF69E">
      <w:start w:val="1"/>
      <w:numFmt w:val="decimal"/>
      <w:lvlText w:val="%2."/>
      <w:lvlJc w:val="left"/>
      <w:pPr>
        <w:ind w:left="1020" w:hanging="360"/>
      </w:pPr>
    </w:lvl>
    <w:lvl w:ilvl="2" w:tplc="8DC44210">
      <w:start w:val="1"/>
      <w:numFmt w:val="decimal"/>
      <w:lvlText w:val="%3."/>
      <w:lvlJc w:val="left"/>
      <w:pPr>
        <w:ind w:left="1020" w:hanging="360"/>
      </w:pPr>
    </w:lvl>
    <w:lvl w:ilvl="3" w:tplc="F34EC236">
      <w:start w:val="1"/>
      <w:numFmt w:val="decimal"/>
      <w:lvlText w:val="%4."/>
      <w:lvlJc w:val="left"/>
      <w:pPr>
        <w:ind w:left="1020" w:hanging="360"/>
      </w:pPr>
    </w:lvl>
    <w:lvl w:ilvl="4" w:tplc="08667C94">
      <w:start w:val="1"/>
      <w:numFmt w:val="decimal"/>
      <w:lvlText w:val="%5."/>
      <w:lvlJc w:val="left"/>
      <w:pPr>
        <w:ind w:left="1020" w:hanging="360"/>
      </w:pPr>
    </w:lvl>
    <w:lvl w:ilvl="5" w:tplc="D8A23DFA">
      <w:start w:val="1"/>
      <w:numFmt w:val="decimal"/>
      <w:lvlText w:val="%6."/>
      <w:lvlJc w:val="left"/>
      <w:pPr>
        <w:ind w:left="1020" w:hanging="360"/>
      </w:pPr>
    </w:lvl>
    <w:lvl w:ilvl="6" w:tplc="18E43410">
      <w:start w:val="1"/>
      <w:numFmt w:val="decimal"/>
      <w:lvlText w:val="%7."/>
      <w:lvlJc w:val="left"/>
      <w:pPr>
        <w:ind w:left="1020" w:hanging="360"/>
      </w:pPr>
    </w:lvl>
    <w:lvl w:ilvl="7" w:tplc="BB068060">
      <w:start w:val="1"/>
      <w:numFmt w:val="decimal"/>
      <w:lvlText w:val="%8."/>
      <w:lvlJc w:val="left"/>
      <w:pPr>
        <w:ind w:left="1020" w:hanging="360"/>
      </w:pPr>
    </w:lvl>
    <w:lvl w:ilvl="8" w:tplc="5A0ACBF2">
      <w:start w:val="1"/>
      <w:numFmt w:val="decimal"/>
      <w:lvlText w:val="%9."/>
      <w:lvlJc w:val="left"/>
      <w:pPr>
        <w:ind w:left="1020" w:hanging="360"/>
      </w:pPr>
    </w:lvl>
  </w:abstractNum>
  <w:abstractNum w:abstractNumId="48" w15:restartNumberingAfterBreak="0">
    <w:nsid w:val="30A73B7A"/>
    <w:multiLevelType w:val="hybridMultilevel"/>
    <w:tmpl w:val="A184E374"/>
    <w:lvl w:ilvl="0" w:tplc="5A2E0C3A">
      <w:start w:val="1"/>
      <w:numFmt w:val="decimal"/>
      <w:lvlText w:val="8.%1."/>
      <w:lvlJc w:val="left"/>
      <w:pPr>
        <w:ind w:left="720" w:hanging="360"/>
      </w:pPr>
      <w:rPr>
        <w:rFonts w:hint="default"/>
        <w:b/>
        <w:bCs/>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30AC605B"/>
    <w:multiLevelType w:val="hybridMultilevel"/>
    <w:tmpl w:val="8D9E5E20"/>
    <w:lvl w:ilvl="0" w:tplc="7D5EE168">
      <w:start w:val="1"/>
      <w:numFmt w:val="decimal"/>
      <w:lvlText w:val="%1)"/>
      <w:lvlJc w:val="left"/>
      <w:pPr>
        <w:ind w:left="720" w:hanging="360"/>
      </w:pPr>
    </w:lvl>
    <w:lvl w:ilvl="1" w:tplc="DFDC971A">
      <w:start w:val="1"/>
      <w:numFmt w:val="decimal"/>
      <w:lvlText w:val="%2)"/>
      <w:lvlJc w:val="left"/>
      <w:pPr>
        <w:ind w:left="720" w:hanging="360"/>
      </w:pPr>
    </w:lvl>
    <w:lvl w:ilvl="2" w:tplc="64BAA57C">
      <w:start w:val="1"/>
      <w:numFmt w:val="decimal"/>
      <w:lvlText w:val="%3)"/>
      <w:lvlJc w:val="left"/>
      <w:pPr>
        <w:ind w:left="720" w:hanging="360"/>
      </w:pPr>
    </w:lvl>
    <w:lvl w:ilvl="3" w:tplc="3378D246">
      <w:start w:val="1"/>
      <w:numFmt w:val="decimal"/>
      <w:lvlText w:val="%4)"/>
      <w:lvlJc w:val="left"/>
      <w:pPr>
        <w:ind w:left="720" w:hanging="360"/>
      </w:pPr>
    </w:lvl>
    <w:lvl w:ilvl="4" w:tplc="7CF2E30E">
      <w:start w:val="1"/>
      <w:numFmt w:val="decimal"/>
      <w:lvlText w:val="%5)"/>
      <w:lvlJc w:val="left"/>
      <w:pPr>
        <w:ind w:left="720" w:hanging="360"/>
      </w:pPr>
    </w:lvl>
    <w:lvl w:ilvl="5" w:tplc="4D60D0C4">
      <w:start w:val="1"/>
      <w:numFmt w:val="decimal"/>
      <w:lvlText w:val="%6)"/>
      <w:lvlJc w:val="left"/>
      <w:pPr>
        <w:ind w:left="720" w:hanging="360"/>
      </w:pPr>
    </w:lvl>
    <w:lvl w:ilvl="6" w:tplc="64CC7160">
      <w:start w:val="1"/>
      <w:numFmt w:val="decimal"/>
      <w:lvlText w:val="%7)"/>
      <w:lvlJc w:val="left"/>
      <w:pPr>
        <w:ind w:left="720" w:hanging="360"/>
      </w:pPr>
    </w:lvl>
    <w:lvl w:ilvl="7" w:tplc="EBA24CCA">
      <w:start w:val="1"/>
      <w:numFmt w:val="decimal"/>
      <w:lvlText w:val="%8)"/>
      <w:lvlJc w:val="left"/>
      <w:pPr>
        <w:ind w:left="720" w:hanging="360"/>
      </w:pPr>
    </w:lvl>
    <w:lvl w:ilvl="8" w:tplc="757A5B5A">
      <w:start w:val="1"/>
      <w:numFmt w:val="decimal"/>
      <w:lvlText w:val="%9)"/>
      <w:lvlJc w:val="left"/>
      <w:pPr>
        <w:ind w:left="720" w:hanging="360"/>
      </w:pPr>
    </w:lvl>
  </w:abstractNum>
  <w:abstractNum w:abstractNumId="50" w15:restartNumberingAfterBreak="0">
    <w:nsid w:val="32C55E38"/>
    <w:multiLevelType w:val="hybridMultilevel"/>
    <w:tmpl w:val="05D8A230"/>
    <w:lvl w:ilvl="0" w:tplc="FFFFFFFF">
      <w:start w:val="1"/>
      <w:numFmt w:val="decimal"/>
      <w:lvlText w:val="1.%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342D4FF8"/>
    <w:multiLevelType w:val="multilevel"/>
    <w:tmpl w:val="3732D676"/>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15:restartNumberingAfterBreak="0">
    <w:nsid w:val="3655093E"/>
    <w:multiLevelType w:val="hybridMultilevel"/>
    <w:tmpl w:val="8C82E734"/>
    <w:lvl w:ilvl="0" w:tplc="18C8016E">
      <w:start w:val="1"/>
      <w:numFmt w:val="decimal"/>
      <w:lvlText w:val="6.%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36841661"/>
    <w:multiLevelType w:val="hybridMultilevel"/>
    <w:tmpl w:val="6986C6E0"/>
    <w:lvl w:ilvl="0" w:tplc="05C80C14">
      <w:start w:val="1"/>
      <w:numFmt w:val="bullet"/>
      <w:lvlText w:val=""/>
      <w:lvlJc w:val="left"/>
      <w:pPr>
        <w:ind w:left="720" w:hanging="360"/>
      </w:pPr>
      <w:rPr>
        <w:rFonts w:ascii="Symbol" w:hAnsi="Symbol"/>
      </w:rPr>
    </w:lvl>
    <w:lvl w:ilvl="1" w:tplc="A114F4B4">
      <w:start w:val="1"/>
      <w:numFmt w:val="bullet"/>
      <w:lvlText w:val=""/>
      <w:lvlJc w:val="left"/>
      <w:pPr>
        <w:ind w:left="720" w:hanging="360"/>
      </w:pPr>
      <w:rPr>
        <w:rFonts w:ascii="Symbol" w:hAnsi="Symbol"/>
      </w:rPr>
    </w:lvl>
    <w:lvl w:ilvl="2" w:tplc="3BBCECCA">
      <w:start w:val="1"/>
      <w:numFmt w:val="bullet"/>
      <w:lvlText w:val=""/>
      <w:lvlJc w:val="left"/>
      <w:pPr>
        <w:ind w:left="720" w:hanging="360"/>
      </w:pPr>
      <w:rPr>
        <w:rFonts w:ascii="Symbol" w:hAnsi="Symbol"/>
      </w:rPr>
    </w:lvl>
    <w:lvl w:ilvl="3" w:tplc="ADBA6A70">
      <w:start w:val="1"/>
      <w:numFmt w:val="bullet"/>
      <w:lvlText w:val=""/>
      <w:lvlJc w:val="left"/>
      <w:pPr>
        <w:ind w:left="720" w:hanging="360"/>
      </w:pPr>
      <w:rPr>
        <w:rFonts w:ascii="Symbol" w:hAnsi="Symbol"/>
      </w:rPr>
    </w:lvl>
    <w:lvl w:ilvl="4" w:tplc="A84E3B9E">
      <w:start w:val="1"/>
      <w:numFmt w:val="bullet"/>
      <w:lvlText w:val=""/>
      <w:lvlJc w:val="left"/>
      <w:pPr>
        <w:ind w:left="720" w:hanging="360"/>
      </w:pPr>
      <w:rPr>
        <w:rFonts w:ascii="Symbol" w:hAnsi="Symbol"/>
      </w:rPr>
    </w:lvl>
    <w:lvl w:ilvl="5" w:tplc="98DE0CAC">
      <w:start w:val="1"/>
      <w:numFmt w:val="bullet"/>
      <w:lvlText w:val=""/>
      <w:lvlJc w:val="left"/>
      <w:pPr>
        <w:ind w:left="720" w:hanging="360"/>
      </w:pPr>
      <w:rPr>
        <w:rFonts w:ascii="Symbol" w:hAnsi="Symbol"/>
      </w:rPr>
    </w:lvl>
    <w:lvl w:ilvl="6" w:tplc="7934299E">
      <w:start w:val="1"/>
      <w:numFmt w:val="bullet"/>
      <w:lvlText w:val=""/>
      <w:lvlJc w:val="left"/>
      <w:pPr>
        <w:ind w:left="720" w:hanging="360"/>
      </w:pPr>
      <w:rPr>
        <w:rFonts w:ascii="Symbol" w:hAnsi="Symbol"/>
      </w:rPr>
    </w:lvl>
    <w:lvl w:ilvl="7" w:tplc="18C0C1B2">
      <w:start w:val="1"/>
      <w:numFmt w:val="bullet"/>
      <w:lvlText w:val=""/>
      <w:lvlJc w:val="left"/>
      <w:pPr>
        <w:ind w:left="720" w:hanging="360"/>
      </w:pPr>
      <w:rPr>
        <w:rFonts w:ascii="Symbol" w:hAnsi="Symbol"/>
      </w:rPr>
    </w:lvl>
    <w:lvl w:ilvl="8" w:tplc="5FDA89B4">
      <w:start w:val="1"/>
      <w:numFmt w:val="bullet"/>
      <w:lvlText w:val=""/>
      <w:lvlJc w:val="left"/>
      <w:pPr>
        <w:ind w:left="720" w:hanging="360"/>
      </w:pPr>
      <w:rPr>
        <w:rFonts w:ascii="Symbol" w:hAnsi="Symbol"/>
      </w:rPr>
    </w:lvl>
  </w:abstractNum>
  <w:abstractNum w:abstractNumId="54" w15:restartNumberingAfterBreak="0">
    <w:nsid w:val="3B461CFD"/>
    <w:multiLevelType w:val="hybridMultilevel"/>
    <w:tmpl w:val="B974286C"/>
    <w:lvl w:ilvl="0" w:tplc="147AD6D2">
      <w:start w:val="1"/>
      <w:numFmt w:val="bullet"/>
      <w:lvlText w:val=""/>
      <w:lvlJc w:val="left"/>
      <w:pPr>
        <w:ind w:left="1440" w:hanging="360"/>
      </w:pPr>
      <w:rPr>
        <w:rFonts w:ascii="Symbol" w:hAnsi="Symbol"/>
      </w:rPr>
    </w:lvl>
    <w:lvl w:ilvl="1" w:tplc="EC4CCB98">
      <w:start w:val="1"/>
      <w:numFmt w:val="bullet"/>
      <w:lvlText w:val=""/>
      <w:lvlJc w:val="left"/>
      <w:pPr>
        <w:ind w:left="1440" w:hanging="360"/>
      </w:pPr>
      <w:rPr>
        <w:rFonts w:ascii="Symbol" w:hAnsi="Symbol"/>
      </w:rPr>
    </w:lvl>
    <w:lvl w:ilvl="2" w:tplc="2CC8542E">
      <w:start w:val="1"/>
      <w:numFmt w:val="bullet"/>
      <w:lvlText w:val=""/>
      <w:lvlJc w:val="left"/>
      <w:pPr>
        <w:ind w:left="1440" w:hanging="360"/>
      </w:pPr>
      <w:rPr>
        <w:rFonts w:ascii="Symbol" w:hAnsi="Symbol"/>
      </w:rPr>
    </w:lvl>
    <w:lvl w:ilvl="3" w:tplc="C382099A">
      <w:start w:val="1"/>
      <w:numFmt w:val="bullet"/>
      <w:lvlText w:val=""/>
      <w:lvlJc w:val="left"/>
      <w:pPr>
        <w:ind w:left="1440" w:hanging="360"/>
      </w:pPr>
      <w:rPr>
        <w:rFonts w:ascii="Symbol" w:hAnsi="Symbol"/>
      </w:rPr>
    </w:lvl>
    <w:lvl w:ilvl="4" w:tplc="D8480208">
      <w:start w:val="1"/>
      <w:numFmt w:val="bullet"/>
      <w:lvlText w:val=""/>
      <w:lvlJc w:val="left"/>
      <w:pPr>
        <w:ind w:left="1440" w:hanging="360"/>
      </w:pPr>
      <w:rPr>
        <w:rFonts w:ascii="Symbol" w:hAnsi="Symbol"/>
      </w:rPr>
    </w:lvl>
    <w:lvl w:ilvl="5" w:tplc="2594E848">
      <w:start w:val="1"/>
      <w:numFmt w:val="bullet"/>
      <w:lvlText w:val=""/>
      <w:lvlJc w:val="left"/>
      <w:pPr>
        <w:ind w:left="1440" w:hanging="360"/>
      </w:pPr>
      <w:rPr>
        <w:rFonts w:ascii="Symbol" w:hAnsi="Symbol"/>
      </w:rPr>
    </w:lvl>
    <w:lvl w:ilvl="6" w:tplc="D42661DA">
      <w:start w:val="1"/>
      <w:numFmt w:val="bullet"/>
      <w:lvlText w:val=""/>
      <w:lvlJc w:val="left"/>
      <w:pPr>
        <w:ind w:left="1440" w:hanging="360"/>
      </w:pPr>
      <w:rPr>
        <w:rFonts w:ascii="Symbol" w:hAnsi="Symbol"/>
      </w:rPr>
    </w:lvl>
    <w:lvl w:ilvl="7" w:tplc="5F886A9A">
      <w:start w:val="1"/>
      <w:numFmt w:val="bullet"/>
      <w:lvlText w:val=""/>
      <w:lvlJc w:val="left"/>
      <w:pPr>
        <w:ind w:left="1440" w:hanging="360"/>
      </w:pPr>
      <w:rPr>
        <w:rFonts w:ascii="Symbol" w:hAnsi="Symbol"/>
      </w:rPr>
    </w:lvl>
    <w:lvl w:ilvl="8" w:tplc="FC003F28">
      <w:start w:val="1"/>
      <w:numFmt w:val="bullet"/>
      <w:lvlText w:val=""/>
      <w:lvlJc w:val="left"/>
      <w:pPr>
        <w:ind w:left="1440" w:hanging="360"/>
      </w:pPr>
      <w:rPr>
        <w:rFonts w:ascii="Symbol" w:hAnsi="Symbol"/>
      </w:rPr>
    </w:lvl>
  </w:abstractNum>
  <w:abstractNum w:abstractNumId="55" w15:restartNumberingAfterBreak="0">
    <w:nsid w:val="3C27673F"/>
    <w:multiLevelType w:val="hybridMultilevel"/>
    <w:tmpl w:val="76F4F6A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3C4859C9"/>
    <w:multiLevelType w:val="hybridMultilevel"/>
    <w:tmpl w:val="5596D2E4"/>
    <w:lvl w:ilvl="0" w:tplc="F8081194">
      <w:start w:val="1"/>
      <w:numFmt w:val="bullet"/>
      <w:lvlText w:val=""/>
      <w:lvlJc w:val="left"/>
      <w:pPr>
        <w:ind w:left="720" w:hanging="360"/>
      </w:pPr>
      <w:rPr>
        <w:rFonts w:ascii="Symbol" w:hAnsi="Symbol"/>
      </w:rPr>
    </w:lvl>
    <w:lvl w:ilvl="1" w:tplc="B83663DC">
      <w:start w:val="1"/>
      <w:numFmt w:val="bullet"/>
      <w:lvlText w:val=""/>
      <w:lvlJc w:val="left"/>
      <w:pPr>
        <w:ind w:left="720" w:hanging="360"/>
      </w:pPr>
      <w:rPr>
        <w:rFonts w:ascii="Symbol" w:hAnsi="Symbol"/>
      </w:rPr>
    </w:lvl>
    <w:lvl w:ilvl="2" w:tplc="533EFE68">
      <w:start w:val="1"/>
      <w:numFmt w:val="bullet"/>
      <w:lvlText w:val=""/>
      <w:lvlJc w:val="left"/>
      <w:pPr>
        <w:ind w:left="720" w:hanging="360"/>
      </w:pPr>
      <w:rPr>
        <w:rFonts w:ascii="Symbol" w:hAnsi="Symbol"/>
      </w:rPr>
    </w:lvl>
    <w:lvl w:ilvl="3" w:tplc="A55AE246">
      <w:start w:val="1"/>
      <w:numFmt w:val="bullet"/>
      <w:lvlText w:val=""/>
      <w:lvlJc w:val="left"/>
      <w:pPr>
        <w:ind w:left="720" w:hanging="360"/>
      </w:pPr>
      <w:rPr>
        <w:rFonts w:ascii="Symbol" w:hAnsi="Symbol"/>
      </w:rPr>
    </w:lvl>
    <w:lvl w:ilvl="4" w:tplc="32CC42C8">
      <w:start w:val="1"/>
      <w:numFmt w:val="bullet"/>
      <w:lvlText w:val=""/>
      <w:lvlJc w:val="left"/>
      <w:pPr>
        <w:ind w:left="720" w:hanging="360"/>
      </w:pPr>
      <w:rPr>
        <w:rFonts w:ascii="Symbol" w:hAnsi="Symbol"/>
      </w:rPr>
    </w:lvl>
    <w:lvl w:ilvl="5" w:tplc="54D839AA">
      <w:start w:val="1"/>
      <w:numFmt w:val="bullet"/>
      <w:lvlText w:val=""/>
      <w:lvlJc w:val="left"/>
      <w:pPr>
        <w:ind w:left="720" w:hanging="360"/>
      </w:pPr>
      <w:rPr>
        <w:rFonts w:ascii="Symbol" w:hAnsi="Symbol"/>
      </w:rPr>
    </w:lvl>
    <w:lvl w:ilvl="6" w:tplc="9AB214DE">
      <w:start w:val="1"/>
      <w:numFmt w:val="bullet"/>
      <w:lvlText w:val=""/>
      <w:lvlJc w:val="left"/>
      <w:pPr>
        <w:ind w:left="720" w:hanging="360"/>
      </w:pPr>
      <w:rPr>
        <w:rFonts w:ascii="Symbol" w:hAnsi="Symbol"/>
      </w:rPr>
    </w:lvl>
    <w:lvl w:ilvl="7" w:tplc="F560EDC6">
      <w:start w:val="1"/>
      <w:numFmt w:val="bullet"/>
      <w:lvlText w:val=""/>
      <w:lvlJc w:val="left"/>
      <w:pPr>
        <w:ind w:left="720" w:hanging="360"/>
      </w:pPr>
      <w:rPr>
        <w:rFonts w:ascii="Symbol" w:hAnsi="Symbol"/>
      </w:rPr>
    </w:lvl>
    <w:lvl w:ilvl="8" w:tplc="7CF2CC32">
      <w:start w:val="1"/>
      <w:numFmt w:val="bullet"/>
      <w:lvlText w:val=""/>
      <w:lvlJc w:val="left"/>
      <w:pPr>
        <w:ind w:left="720" w:hanging="360"/>
      </w:pPr>
      <w:rPr>
        <w:rFonts w:ascii="Symbol" w:hAnsi="Symbol"/>
      </w:rPr>
    </w:lvl>
  </w:abstractNum>
  <w:abstractNum w:abstractNumId="57" w15:restartNumberingAfterBreak="0">
    <w:nsid w:val="3D4D6EDE"/>
    <w:multiLevelType w:val="multilevel"/>
    <w:tmpl w:val="F35CBF6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3D4F3DF1"/>
    <w:multiLevelType w:val="hybridMultilevel"/>
    <w:tmpl w:val="FD5670AE"/>
    <w:lvl w:ilvl="0" w:tplc="9190CCD2">
      <w:start w:val="1"/>
      <w:numFmt w:val="decimal"/>
      <w:lvlText w:val="3.%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9" w15:restartNumberingAfterBreak="0">
    <w:nsid w:val="3E911045"/>
    <w:multiLevelType w:val="hybridMultilevel"/>
    <w:tmpl w:val="94A06B34"/>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60" w15:restartNumberingAfterBreak="0">
    <w:nsid w:val="40037A22"/>
    <w:multiLevelType w:val="hybridMultilevel"/>
    <w:tmpl w:val="697882BC"/>
    <w:lvl w:ilvl="0" w:tplc="CB562E5E">
      <w:start w:val="1"/>
      <w:numFmt w:val="bullet"/>
      <w:lvlText w:val=""/>
      <w:lvlJc w:val="left"/>
      <w:pPr>
        <w:ind w:left="720" w:hanging="360"/>
      </w:pPr>
      <w:rPr>
        <w:rFonts w:ascii="Symbol" w:hAnsi="Symbol"/>
      </w:rPr>
    </w:lvl>
    <w:lvl w:ilvl="1" w:tplc="2A5C69E2">
      <w:start w:val="1"/>
      <w:numFmt w:val="bullet"/>
      <w:lvlText w:val=""/>
      <w:lvlJc w:val="left"/>
      <w:pPr>
        <w:ind w:left="720" w:hanging="360"/>
      </w:pPr>
      <w:rPr>
        <w:rFonts w:ascii="Symbol" w:hAnsi="Symbol"/>
      </w:rPr>
    </w:lvl>
    <w:lvl w:ilvl="2" w:tplc="781A1012">
      <w:start w:val="1"/>
      <w:numFmt w:val="bullet"/>
      <w:lvlText w:val=""/>
      <w:lvlJc w:val="left"/>
      <w:pPr>
        <w:ind w:left="720" w:hanging="360"/>
      </w:pPr>
      <w:rPr>
        <w:rFonts w:ascii="Symbol" w:hAnsi="Symbol"/>
      </w:rPr>
    </w:lvl>
    <w:lvl w:ilvl="3" w:tplc="EBE445FA">
      <w:start w:val="1"/>
      <w:numFmt w:val="bullet"/>
      <w:lvlText w:val=""/>
      <w:lvlJc w:val="left"/>
      <w:pPr>
        <w:ind w:left="720" w:hanging="360"/>
      </w:pPr>
      <w:rPr>
        <w:rFonts w:ascii="Symbol" w:hAnsi="Symbol"/>
      </w:rPr>
    </w:lvl>
    <w:lvl w:ilvl="4" w:tplc="0646FCFC">
      <w:start w:val="1"/>
      <w:numFmt w:val="bullet"/>
      <w:lvlText w:val=""/>
      <w:lvlJc w:val="left"/>
      <w:pPr>
        <w:ind w:left="720" w:hanging="360"/>
      </w:pPr>
      <w:rPr>
        <w:rFonts w:ascii="Symbol" w:hAnsi="Symbol"/>
      </w:rPr>
    </w:lvl>
    <w:lvl w:ilvl="5" w:tplc="D6647884">
      <w:start w:val="1"/>
      <w:numFmt w:val="bullet"/>
      <w:lvlText w:val=""/>
      <w:lvlJc w:val="left"/>
      <w:pPr>
        <w:ind w:left="720" w:hanging="360"/>
      </w:pPr>
      <w:rPr>
        <w:rFonts w:ascii="Symbol" w:hAnsi="Symbol"/>
      </w:rPr>
    </w:lvl>
    <w:lvl w:ilvl="6" w:tplc="CE08C49A">
      <w:start w:val="1"/>
      <w:numFmt w:val="bullet"/>
      <w:lvlText w:val=""/>
      <w:lvlJc w:val="left"/>
      <w:pPr>
        <w:ind w:left="720" w:hanging="360"/>
      </w:pPr>
      <w:rPr>
        <w:rFonts w:ascii="Symbol" w:hAnsi="Symbol"/>
      </w:rPr>
    </w:lvl>
    <w:lvl w:ilvl="7" w:tplc="BF56DC2C">
      <w:start w:val="1"/>
      <w:numFmt w:val="bullet"/>
      <w:lvlText w:val=""/>
      <w:lvlJc w:val="left"/>
      <w:pPr>
        <w:ind w:left="720" w:hanging="360"/>
      </w:pPr>
      <w:rPr>
        <w:rFonts w:ascii="Symbol" w:hAnsi="Symbol"/>
      </w:rPr>
    </w:lvl>
    <w:lvl w:ilvl="8" w:tplc="0BBC6880">
      <w:start w:val="1"/>
      <w:numFmt w:val="bullet"/>
      <w:lvlText w:val=""/>
      <w:lvlJc w:val="left"/>
      <w:pPr>
        <w:ind w:left="720" w:hanging="360"/>
      </w:pPr>
      <w:rPr>
        <w:rFonts w:ascii="Symbol" w:hAnsi="Symbol"/>
      </w:rPr>
    </w:lvl>
  </w:abstractNum>
  <w:abstractNum w:abstractNumId="61" w15:restartNumberingAfterBreak="0">
    <w:nsid w:val="412029C2"/>
    <w:multiLevelType w:val="multilevel"/>
    <w:tmpl w:val="8040B150"/>
    <w:lvl w:ilvl="0">
      <w:start w:val="1"/>
      <w:numFmt w:val="upperRoman"/>
      <w:lvlText w:val="%1."/>
      <w:lvlJc w:val="right"/>
      <w:pPr>
        <w:ind w:left="1080" w:hanging="360"/>
      </w:pPr>
      <w:rPr>
        <w:rFonts w:hint="default"/>
      </w:rPr>
    </w:lvl>
    <w:lvl w:ilvl="1">
      <w:start w:val="1"/>
      <w:numFmt w:val="upperRoman"/>
      <w:pStyle w:val="Style2"/>
      <w:lvlText w:val="%2."/>
      <w:lvlJc w:val="right"/>
      <w:pPr>
        <w:ind w:left="1494" w:hanging="360"/>
      </w:p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2" w15:restartNumberingAfterBreak="0">
    <w:nsid w:val="41D53C10"/>
    <w:multiLevelType w:val="hybridMultilevel"/>
    <w:tmpl w:val="89DC5F80"/>
    <w:lvl w:ilvl="0" w:tplc="FFFFFFFF">
      <w:start w:val="1"/>
      <w:numFmt w:val="decimal"/>
      <w:lvlText w:val="10.%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46457FF7"/>
    <w:multiLevelType w:val="hybridMultilevel"/>
    <w:tmpl w:val="C24EA21C"/>
    <w:lvl w:ilvl="0" w:tplc="18090003">
      <w:start w:val="1"/>
      <w:numFmt w:val="bullet"/>
      <w:lvlText w:val="o"/>
      <w:lvlJc w:val="left"/>
      <w:pPr>
        <w:ind w:left="1494" w:hanging="360"/>
      </w:pPr>
      <w:rPr>
        <w:rFonts w:ascii="Courier New" w:hAnsi="Courier New" w:cs="Courier New" w:hint="default"/>
      </w:rPr>
    </w:lvl>
    <w:lvl w:ilvl="1" w:tplc="FFFFFFFF" w:tentative="1">
      <w:start w:val="1"/>
      <w:numFmt w:val="bullet"/>
      <w:lvlText w:val="o"/>
      <w:lvlJc w:val="left"/>
      <w:pPr>
        <w:ind w:left="2214" w:hanging="360"/>
      </w:pPr>
      <w:rPr>
        <w:rFonts w:ascii="Courier New" w:hAnsi="Courier New" w:cs="Courier New" w:hint="default"/>
      </w:rPr>
    </w:lvl>
    <w:lvl w:ilvl="2" w:tplc="FFFFFFFF" w:tentative="1">
      <w:start w:val="1"/>
      <w:numFmt w:val="bullet"/>
      <w:lvlText w:val=""/>
      <w:lvlJc w:val="left"/>
      <w:pPr>
        <w:ind w:left="2934" w:hanging="360"/>
      </w:pPr>
      <w:rPr>
        <w:rFonts w:ascii="Wingdings" w:hAnsi="Wingdings" w:hint="default"/>
      </w:rPr>
    </w:lvl>
    <w:lvl w:ilvl="3" w:tplc="FFFFFFFF" w:tentative="1">
      <w:start w:val="1"/>
      <w:numFmt w:val="bullet"/>
      <w:lvlText w:val=""/>
      <w:lvlJc w:val="left"/>
      <w:pPr>
        <w:ind w:left="3654" w:hanging="360"/>
      </w:pPr>
      <w:rPr>
        <w:rFonts w:ascii="Symbol" w:hAnsi="Symbol" w:hint="default"/>
      </w:rPr>
    </w:lvl>
    <w:lvl w:ilvl="4" w:tplc="FFFFFFFF" w:tentative="1">
      <w:start w:val="1"/>
      <w:numFmt w:val="bullet"/>
      <w:lvlText w:val="o"/>
      <w:lvlJc w:val="left"/>
      <w:pPr>
        <w:ind w:left="4374" w:hanging="360"/>
      </w:pPr>
      <w:rPr>
        <w:rFonts w:ascii="Courier New" w:hAnsi="Courier New" w:cs="Courier New" w:hint="default"/>
      </w:rPr>
    </w:lvl>
    <w:lvl w:ilvl="5" w:tplc="FFFFFFFF" w:tentative="1">
      <w:start w:val="1"/>
      <w:numFmt w:val="bullet"/>
      <w:lvlText w:val=""/>
      <w:lvlJc w:val="left"/>
      <w:pPr>
        <w:ind w:left="5094" w:hanging="360"/>
      </w:pPr>
      <w:rPr>
        <w:rFonts w:ascii="Wingdings" w:hAnsi="Wingdings" w:hint="default"/>
      </w:rPr>
    </w:lvl>
    <w:lvl w:ilvl="6" w:tplc="FFFFFFFF" w:tentative="1">
      <w:start w:val="1"/>
      <w:numFmt w:val="bullet"/>
      <w:lvlText w:val=""/>
      <w:lvlJc w:val="left"/>
      <w:pPr>
        <w:ind w:left="5814" w:hanging="360"/>
      </w:pPr>
      <w:rPr>
        <w:rFonts w:ascii="Symbol" w:hAnsi="Symbol" w:hint="default"/>
      </w:rPr>
    </w:lvl>
    <w:lvl w:ilvl="7" w:tplc="FFFFFFFF" w:tentative="1">
      <w:start w:val="1"/>
      <w:numFmt w:val="bullet"/>
      <w:lvlText w:val="o"/>
      <w:lvlJc w:val="left"/>
      <w:pPr>
        <w:ind w:left="6534" w:hanging="360"/>
      </w:pPr>
      <w:rPr>
        <w:rFonts w:ascii="Courier New" w:hAnsi="Courier New" w:cs="Courier New" w:hint="default"/>
      </w:rPr>
    </w:lvl>
    <w:lvl w:ilvl="8" w:tplc="FFFFFFFF" w:tentative="1">
      <w:start w:val="1"/>
      <w:numFmt w:val="bullet"/>
      <w:lvlText w:val=""/>
      <w:lvlJc w:val="left"/>
      <w:pPr>
        <w:ind w:left="7254" w:hanging="360"/>
      </w:pPr>
      <w:rPr>
        <w:rFonts w:ascii="Wingdings" w:hAnsi="Wingdings" w:hint="default"/>
      </w:rPr>
    </w:lvl>
  </w:abstractNum>
  <w:abstractNum w:abstractNumId="64" w15:restartNumberingAfterBreak="0">
    <w:nsid w:val="46FE4D4A"/>
    <w:multiLevelType w:val="hybridMultilevel"/>
    <w:tmpl w:val="CAB41370"/>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8CE3BF5"/>
    <w:multiLevelType w:val="multilevel"/>
    <w:tmpl w:val="E424F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A707ABA"/>
    <w:multiLevelType w:val="multilevel"/>
    <w:tmpl w:val="1E7E535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7" w15:restartNumberingAfterBreak="0">
    <w:nsid w:val="4A9753DF"/>
    <w:multiLevelType w:val="hybridMultilevel"/>
    <w:tmpl w:val="B7A6D530"/>
    <w:lvl w:ilvl="0" w:tplc="54662814">
      <w:start w:val="1"/>
      <w:numFmt w:val="bullet"/>
      <w:lvlText w:val=""/>
      <w:lvlJc w:val="left"/>
      <w:pPr>
        <w:ind w:left="1440" w:hanging="360"/>
      </w:pPr>
      <w:rPr>
        <w:rFonts w:ascii="Symbol" w:hAnsi="Symbol"/>
      </w:rPr>
    </w:lvl>
    <w:lvl w:ilvl="1" w:tplc="DB36472A">
      <w:start w:val="1"/>
      <w:numFmt w:val="bullet"/>
      <w:lvlText w:val=""/>
      <w:lvlJc w:val="left"/>
      <w:pPr>
        <w:ind w:left="1440" w:hanging="360"/>
      </w:pPr>
      <w:rPr>
        <w:rFonts w:ascii="Symbol" w:hAnsi="Symbol"/>
      </w:rPr>
    </w:lvl>
    <w:lvl w:ilvl="2" w:tplc="9C3AFD0E">
      <w:start w:val="1"/>
      <w:numFmt w:val="bullet"/>
      <w:lvlText w:val=""/>
      <w:lvlJc w:val="left"/>
      <w:pPr>
        <w:ind w:left="1440" w:hanging="360"/>
      </w:pPr>
      <w:rPr>
        <w:rFonts w:ascii="Symbol" w:hAnsi="Symbol"/>
      </w:rPr>
    </w:lvl>
    <w:lvl w:ilvl="3" w:tplc="8EF0F2FC">
      <w:start w:val="1"/>
      <w:numFmt w:val="bullet"/>
      <w:lvlText w:val=""/>
      <w:lvlJc w:val="left"/>
      <w:pPr>
        <w:ind w:left="1440" w:hanging="360"/>
      </w:pPr>
      <w:rPr>
        <w:rFonts w:ascii="Symbol" w:hAnsi="Symbol"/>
      </w:rPr>
    </w:lvl>
    <w:lvl w:ilvl="4" w:tplc="5D7CC798">
      <w:start w:val="1"/>
      <w:numFmt w:val="bullet"/>
      <w:lvlText w:val=""/>
      <w:lvlJc w:val="left"/>
      <w:pPr>
        <w:ind w:left="1440" w:hanging="360"/>
      </w:pPr>
      <w:rPr>
        <w:rFonts w:ascii="Symbol" w:hAnsi="Symbol"/>
      </w:rPr>
    </w:lvl>
    <w:lvl w:ilvl="5" w:tplc="A328D648">
      <w:start w:val="1"/>
      <w:numFmt w:val="bullet"/>
      <w:lvlText w:val=""/>
      <w:lvlJc w:val="left"/>
      <w:pPr>
        <w:ind w:left="1440" w:hanging="360"/>
      </w:pPr>
      <w:rPr>
        <w:rFonts w:ascii="Symbol" w:hAnsi="Symbol"/>
      </w:rPr>
    </w:lvl>
    <w:lvl w:ilvl="6" w:tplc="19A4F17A">
      <w:start w:val="1"/>
      <w:numFmt w:val="bullet"/>
      <w:lvlText w:val=""/>
      <w:lvlJc w:val="left"/>
      <w:pPr>
        <w:ind w:left="1440" w:hanging="360"/>
      </w:pPr>
      <w:rPr>
        <w:rFonts w:ascii="Symbol" w:hAnsi="Symbol"/>
      </w:rPr>
    </w:lvl>
    <w:lvl w:ilvl="7" w:tplc="5FA24AA6">
      <w:start w:val="1"/>
      <w:numFmt w:val="bullet"/>
      <w:lvlText w:val=""/>
      <w:lvlJc w:val="left"/>
      <w:pPr>
        <w:ind w:left="1440" w:hanging="360"/>
      </w:pPr>
      <w:rPr>
        <w:rFonts w:ascii="Symbol" w:hAnsi="Symbol"/>
      </w:rPr>
    </w:lvl>
    <w:lvl w:ilvl="8" w:tplc="494EBC1E">
      <w:start w:val="1"/>
      <w:numFmt w:val="bullet"/>
      <w:lvlText w:val=""/>
      <w:lvlJc w:val="left"/>
      <w:pPr>
        <w:ind w:left="1440" w:hanging="360"/>
      </w:pPr>
      <w:rPr>
        <w:rFonts w:ascii="Symbol" w:hAnsi="Symbol"/>
      </w:rPr>
    </w:lvl>
  </w:abstractNum>
  <w:abstractNum w:abstractNumId="68" w15:restartNumberingAfterBreak="0">
    <w:nsid w:val="4AEB58BE"/>
    <w:multiLevelType w:val="hybridMultilevel"/>
    <w:tmpl w:val="4B3251FE"/>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4B7040AE"/>
    <w:multiLevelType w:val="hybridMultilevel"/>
    <w:tmpl w:val="C9C89300"/>
    <w:lvl w:ilvl="0" w:tplc="9190CCD2">
      <w:start w:val="1"/>
      <w:numFmt w:val="decimal"/>
      <w:lvlText w:val="3.%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0" w15:restartNumberingAfterBreak="0">
    <w:nsid w:val="4D0630BA"/>
    <w:multiLevelType w:val="hybridMultilevel"/>
    <w:tmpl w:val="0C16E918"/>
    <w:lvl w:ilvl="0" w:tplc="18C8016E">
      <w:start w:val="1"/>
      <w:numFmt w:val="decimal"/>
      <w:lvlText w:val="6.%1."/>
      <w:lvlJc w:val="left"/>
      <w:pPr>
        <w:ind w:left="1140" w:hanging="360"/>
      </w:pPr>
      <w:rPr>
        <w:rFonts w:hint="default"/>
      </w:rPr>
    </w:lvl>
    <w:lvl w:ilvl="1" w:tplc="18090019" w:tentative="1">
      <w:start w:val="1"/>
      <w:numFmt w:val="lowerLetter"/>
      <w:lvlText w:val="%2."/>
      <w:lvlJc w:val="left"/>
      <w:pPr>
        <w:ind w:left="1860" w:hanging="360"/>
      </w:p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71" w15:restartNumberingAfterBreak="0">
    <w:nsid w:val="4FAA7254"/>
    <w:multiLevelType w:val="hybridMultilevel"/>
    <w:tmpl w:val="99E806D0"/>
    <w:lvl w:ilvl="0" w:tplc="D610A5C4">
      <w:start w:val="1"/>
      <w:numFmt w:val="bullet"/>
      <w:lvlText w:val=""/>
      <w:lvlJc w:val="left"/>
      <w:pPr>
        <w:ind w:left="720" w:hanging="360"/>
      </w:pPr>
      <w:rPr>
        <w:rFonts w:ascii="Symbol" w:hAnsi="Symbol"/>
      </w:rPr>
    </w:lvl>
    <w:lvl w:ilvl="1" w:tplc="C69029E2">
      <w:start w:val="1"/>
      <w:numFmt w:val="bullet"/>
      <w:lvlText w:val=""/>
      <w:lvlJc w:val="left"/>
      <w:pPr>
        <w:ind w:left="720" w:hanging="360"/>
      </w:pPr>
      <w:rPr>
        <w:rFonts w:ascii="Symbol" w:hAnsi="Symbol"/>
      </w:rPr>
    </w:lvl>
    <w:lvl w:ilvl="2" w:tplc="0C4AF20C">
      <w:start w:val="1"/>
      <w:numFmt w:val="bullet"/>
      <w:lvlText w:val=""/>
      <w:lvlJc w:val="left"/>
      <w:pPr>
        <w:ind w:left="720" w:hanging="360"/>
      </w:pPr>
      <w:rPr>
        <w:rFonts w:ascii="Symbol" w:hAnsi="Symbol"/>
      </w:rPr>
    </w:lvl>
    <w:lvl w:ilvl="3" w:tplc="682CF1E2">
      <w:start w:val="1"/>
      <w:numFmt w:val="bullet"/>
      <w:lvlText w:val=""/>
      <w:lvlJc w:val="left"/>
      <w:pPr>
        <w:ind w:left="720" w:hanging="360"/>
      </w:pPr>
      <w:rPr>
        <w:rFonts w:ascii="Symbol" w:hAnsi="Symbol"/>
      </w:rPr>
    </w:lvl>
    <w:lvl w:ilvl="4" w:tplc="0D8CFBA6">
      <w:start w:val="1"/>
      <w:numFmt w:val="bullet"/>
      <w:lvlText w:val=""/>
      <w:lvlJc w:val="left"/>
      <w:pPr>
        <w:ind w:left="720" w:hanging="360"/>
      </w:pPr>
      <w:rPr>
        <w:rFonts w:ascii="Symbol" w:hAnsi="Symbol"/>
      </w:rPr>
    </w:lvl>
    <w:lvl w:ilvl="5" w:tplc="A456EC8C">
      <w:start w:val="1"/>
      <w:numFmt w:val="bullet"/>
      <w:lvlText w:val=""/>
      <w:lvlJc w:val="left"/>
      <w:pPr>
        <w:ind w:left="720" w:hanging="360"/>
      </w:pPr>
      <w:rPr>
        <w:rFonts w:ascii="Symbol" w:hAnsi="Symbol"/>
      </w:rPr>
    </w:lvl>
    <w:lvl w:ilvl="6" w:tplc="4CAA7E52">
      <w:start w:val="1"/>
      <w:numFmt w:val="bullet"/>
      <w:lvlText w:val=""/>
      <w:lvlJc w:val="left"/>
      <w:pPr>
        <w:ind w:left="720" w:hanging="360"/>
      </w:pPr>
      <w:rPr>
        <w:rFonts w:ascii="Symbol" w:hAnsi="Symbol"/>
      </w:rPr>
    </w:lvl>
    <w:lvl w:ilvl="7" w:tplc="9EEC65B6">
      <w:start w:val="1"/>
      <w:numFmt w:val="bullet"/>
      <w:lvlText w:val=""/>
      <w:lvlJc w:val="left"/>
      <w:pPr>
        <w:ind w:left="720" w:hanging="360"/>
      </w:pPr>
      <w:rPr>
        <w:rFonts w:ascii="Symbol" w:hAnsi="Symbol"/>
      </w:rPr>
    </w:lvl>
    <w:lvl w:ilvl="8" w:tplc="9632A21C">
      <w:start w:val="1"/>
      <w:numFmt w:val="bullet"/>
      <w:lvlText w:val=""/>
      <w:lvlJc w:val="left"/>
      <w:pPr>
        <w:ind w:left="720" w:hanging="360"/>
      </w:pPr>
      <w:rPr>
        <w:rFonts w:ascii="Symbol" w:hAnsi="Symbol"/>
      </w:rPr>
    </w:lvl>
  </w:abstractNum>
  <w:abstractNum w:abstractNumId="72" w15:restartNumberingAfterBreak="0">
    <w:nsid w:val="50120FD7"/>
    <w:multiLevelType w:val="hybridMultilevel"/>
    <w:tmpl w:val="ACCC88BA"/>
    <w:lvl w:ilvl="0" w:tplc="DE2CE452">
      <w:start w:val="1"/>
      <w:numFmt w:val="bullet"/>
      <w:lvlText w:val=""/>
      <w:lvlJc w:val="left"/>
      <w:pPr>
        <w:ind w:left="720" w:hanging="360"/>
      </w:pPr>
      <w:rPr>
        <w:rFonts w:ascii="Symbol" w:hAnsi="Symbol"/>
      </w:rPr>
    </w:lvl>
    <w:lvl w:ilvl="1" w:tplc="B164FB04">
      <w:start w:val="1"/>
      <w:numFmt w:val="bullet"/>
      <w:lvlText w:val=""/>
      <w:lvlJc w:val="left"/>
      <w:pPr>
        <w:ind w:left="720" w:hanging="360"/>
      </w:pPr>
      <w:rPr>
        <w:rFonts w:ascii="Symbol" w:hAnsi="Symbol"/>
      </w:rPr>
    </w:lvl>
    <w:lvl w:ilvl="2" w:tplc="67BCF1FA">
      <w:start w:val="1"/>
      <w:numFmt w:val="bullet"/>
      <w:lvlText w:val=""/>
      <w:lvlJc w:val="left"/>
      <w:pPr>
        <w:ind w:left="720" w:hanging="360"/>
      </w:pPr>
      <w:rPr>
        <w:rFonts w:ascii="Symbol" w:hAnsi="Symbol"/>
      </w:rPr>
    </w:lvl>
    <w:lvl w:ilvl="3" w:tplc="8D8A734A">
      <w:start w:val="1"/>
      <w:numFmt w:val="bullet"/>
      <w:lvlText w:val=""/>
      <w:lvlJc w:val="left"/>
      <w:pPr>
        <w:ind w:left="720" w:hanging="360"/>
      </w:pPr>
      <w:rPr>
        <w:rFonts w:ascii="Symbol" w:hAnsi="Symbol"/>
      </w:rPr>
    </w:lvl>
    <w:lvl w:ilvl="4" w:tplc="38662070">
      <w:start w:val="1"/>
      <w:numFmt w:val="bullet"/>
      <w:lvlText w:val=""/>
      <w:lvlJc w:val="left"/>
      <w:pPr>
        <w:ind w:left="720" w:hanging="360"/>
      </w:pPr>
      <w:rPr>
        <w:rFonts w:ascii="Symbol" w:hAnsi="Symbol"/>
      </w:rPr>
    </w:lvl>
    <w:lvl w:ilvl="5" w:tplc="D66A3874">
      <w:start w:val="1"/>
      <w:numFmt w:val="bullet"/>
      <w:lvlText w:val=""/>
      <w:lvlJc w:val="left"/>
      <w:pPr>
        <w:ind w:left="720" w:hanging="360"/>
      </w:pPr>
      <w:rPr>
        <w:rFonts w:ascii="Symbol" w:hAnsi="Symbol"/>
      </w:rPr>
    </w:lvl>
    <w:lvl w:ilvl="6" w:tplc="25F46122">
      <w:start w:val="1"/>
      <w:numFmt w:val="bullet"/>
      <w:lvlText w:val=""/>
      <w:lvlJc w:val="left"/>
      <w:pPr>
        <w:ind w:left="720" w:hanging="360"/>
      </w:pPr>
      <w:rPr>
        <w:rFonts w:ascii="Symbol" w:hAnsi="Symbol"/>
      </w:rPr>
    </w:lvl>
    <w:lvl w:ilvl="7" w:tplc="AF0A9E32">
      <w:start w:val="1"/>
      <w:numFmt w:val="bullet"/>
      <w:lvlText w:val=""/>
      <w:lvlJc w:val="left"/>
      <w:pPr>
        <w:ind w:left="720" w:hanging="360"/>
      </w:pPr>
      <w:rPr>
        <w:rFonts w:ascii="Symbol" w:hAnsi="Symbol"/>
      </w:rPr>
    </w:lvl>
    <w:lvl w:ilvl="8" w:tplc="8FC4BC9C">
      <w:start w:val="1"/>
      <w:numFmt w:val="bullet"/>
      <w:lvlText w:val=""/>
      <w:lvlJc w:val="left"/>
      <w:pPr>
        <w:ind w:left="720" w:hanging="360"/>
      </w:pPr>
      <w:rPr>
        <w:rFonts w:ascii="Symbol" w:hAnsi="Symbol"/>
      </w:rPr>
    </w:lvl>
  </w:abstractNum>
  <w:abstractNum w:abstractNumId="73" w15:restartNumberingAfterBreak="0">
    <w:nsid w:val="51143589"/>
    <w:multiLevelType w:val="hybridMultilevel"/>
    <w:tmpl w:val="237E0432"/>
    <w:lvl w:ilvl="0" w:tplc="32BCA60A">
      <w:start w:val="1"/>
      <w:numFmt w:val="bullet"/>
      <w:lvlText w:val=""/>
      <w:lvlJc w:val="left"/>
      <w:pPr>
        <w:ind w:left="720" w:hanging="360"/>
      </w:pPr>
      <w:rPr>
        <w:rFonts w:ascii="Symbol" w:hAnsi="Symbol"/>
      </w:rPr>
    </w:lvl>
    <w:lvl w:ilvl="1" w:tplc="5FF80C54">
      <w:start w:val="1"/>
      <w:numFmt w:val="bullet"/>
      <w:lvlText w:val=""/>
      <w:lvlJc w:val="left"/>
      <w:pPr>
        <w:ind w:left="720" w:hanging="360"/>
      </w:pPr>
      <w:rPr>
        <w:rFonts w:ascii="Symbol" w:hAnsi="Symbol"/>
      </w:rPr>
    </w:lvl>
    <w:lvl w:ilvl="2" w:tplc="72663C9A">
      <w:start w:val="1"/>
      <w:numFmt w:val="bullet"/>
      <w:lvlText w:val=""/>
      <w:lvlJc w:val="left"/>
      <w:pPr>
        <w:ind w:left="720" w:hanging="360"/>
      </w:pPr>
      <w:rPr>
        <w:rFonts w:ascii="Symbol" w:hAnsi="Symbol"/>
      </w:rPr>
    </w:lvl>
    <w:lvl w:ilvl="3" w:tplc="4114FBB2">
      <w:start w:val="1"/>
      <w:numFmt w:val="bullet"/>
      <w:lvlText w:val=""/>
      <w:lvlJc w:val="left"/>
      <w:pPr>
        <w:ind w:left="720" w:hanging="360"/>
      </w:pPr>
      <w:rPr>
        <w:rFonts w:ascii="Symbol" w:hAnsi="Symbol"/>
      </w:rPr>
    </w:lvl>
    <w:lvl w:ilvl="4" w:tplc="9A007758">
      <w:start w:val="1"/>
      <w:numFmt w:val="bullet"/>
      <w:lvlText w:val=""/>
      <w:lvlJc w:val="left"/>
      <w:pPr>
        <w:ind w:left="720" w:hanging="360"/>
      </w:pPr>
      <w:rPr>
        <w:rFonts w:ascii="Symbol" w:hAnsi="Symbol"/>
      </w:rPr>
    </w:lvl>
    <w:lvl w:ilvl="5" w:tplc="CB38C464">
      <w:start w:val="1"/>
      <w:numFmt w:val="bullet"/>
      <w:lvlText w:val=""/>
      <w:lvlJc w:val="left"/>
      <w:pPr>
        <w:ind w:left="720" w:hanging="360"/>
      </w:pPr>
      <w:rPr>
        <w:rFonts w:ascii="Symbol" w:hAnsi="Symbol"/>
      </w:rPr>
    </w:lvl>
    <w:lvl w:ilvl="6" w:tplc="E0325EF8">
      <w:start w:val="1"/>
      <w:numFmt w:val="bullet"/>
      <w:lvlText w:val=""/>
      <w:lvlJc w:val="left"/>
      <w:pPr>
        <w:ind w:left="720" w:hanging="360"/>
      </w:pPr>
      <w:rPr>
        <w:rFonts w:ascii="Symbol" w:hAnsi="Symbol"/>
      </w:rPr>
    </w:lvl>
    <w:lvl w:ilvl="7" w:tplc="A8484BB2">
      <w:start w:val="1"/>
      <w:numFmt w:val="bullet"/>
      <w:lvlText w:val=""/>
      <w:lvlJc w:val="left"/>
      <w:pPr>
        <w:ind w:left="720" w:hanging="360"/>
      </w:pPr>
      <w:rPr>
        <w:rFonts w:ascii="Symbol" w:hAnsi="Symbol"/>
      </w:rPr>
    </w:lvl>
    <w:lvl w:ilvl="8" w:tplc="747AF5B2">
      <w:start w:val="1"/>
      <w:numFmt w:val="bullet"/>
      <w:lvlText w:val=""/>
      <w:lvlJc w:val="left"/>
      <w:pPr>
        <w:ind w:left="720" w:hanging="360"/>
      </w:pPr>
      <w:rPr>
        <w:rFonts w:ascii="Symbol" w:hAnsi="Symbol"/>
      </w:rPr>
    </w:lvl>
  </w:abstractNum>
  <w:abstractNum w:abstractNumId="74" w15:restartNumberingAfterBreak="0">
    <w:nsid w:val="538B498F"/>
    <w:multiLevelType w:val="hybridMultilevel"/>
    <w:tmpl w:val="5C36DDD2"/>
    <w:lvl w:ilvl="0" w:tplc="FFFFFFFF">
      <w:start w:val="1"/>
      <w:numFmt w:val="decimal"/>
      <w:lvlText w:val="9.%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550204A6"/>
    <w:multiLevelType w:val="hybridMultilevel"/>
    <w:tmpl w:val="50342F5C"/>
    <w:lvl w:ilvl="0" w:tplc="1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53943B1"/>
    <w:multiLevelType w:val="hybridMultilevel"/>
    <w:tmpl w:val="48D44C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7" w15:restartNumberingAfterBreak="0">
    <w:nsid w:val="553D4298"/>
    <w:multiLevelType w:val="multilevel"/>
    <w:tmpl w:val="7C6CA58E"/>
    <w:lvl w:ilvl="0">
      <w:start w:val="2"/>
      <w:numFmt w:val="decimal"/>
      <w:lvlText w:val="%1."/>
      <w:lvlJc w:val="left"/>
      <w:pPr>
        <w:ind w:left="360" w:hanging="360"/>
      </w:pPr>
      <w:rPr>
        <w:rFonts w:hint="default"/>
        <w:color w:val="000000" w:themeColor="text1"/>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78" w15:restartNumberingAfterBreak="0">
    <w:nsid w:val="572A3A23"/>
    <w:multiLevelType w:val="hybridMultilevel"/>
    <w:tmpl w:val="3A16C356"/>
    <w:lvl w:ilvl="0" w:tplc="7624D9C8">
      <w:start w:val="1"/>
      <w:numFmt w:val="decimal"/>
      <w:lvlText w:val="%1."/>
      <w:lvlJc w:val="left"/>
      <w:pPr>
        <w:ind w:left="1020" w:hanging="360"/>
      </w:pPr>
    </w:lvl>
    <w:lvl w:ilvl="1" w:tplc="709C7EEE">
      <w:start w:val="1"/>
      <w:numFmt w:val="decimal"/>
      <w:lvlText w:val="%2."/>
      <w:lvlJc w:val="left"/>
      <w:pPr>
        <w:ind w:left="1020" w:hanging="360"/>
      </w:pPr>
    </w:lvl>
    <w:lvl w:ilvl="2" w:tplc="01461994">
      <w:start w:val="1"/>
      <w:numFmt w:val="decimal"/>
      <w:lvlText w:val="%3."/>
      <w:lvlJc w:val="left"/>
      <w:pPr>
        <w:ind w:left="1020" w:hanging="360"/>
      </w:pPr>
    </w:lvl>
    <w:lvl w:ilvl="3" w:tplc="9F6EB1E0">
      <w:start w:val="1"/>
      <w:numFmt w:val="decimal"/>
      <w:lvlText w:val="%4."/>
      <w:lvlJc w:val="left"/>
      <w:pPr>
        <w:ind w:left="1020" w:hanging="360"/>
      </w:pPr>
    </w:lvl>
    <w:lvl w:ilvl="4" w:tplc="6CD6E6D2">
      <w:start w:val="1"/>
      <w:numFmt w:val="decimal"/>
      <w:lvlText w:val="%5."/>
      <w:lvlJc w:val="left"/>
      <w:pPr>
        <w:ind w:left="1020" w:hanging="360"/>
      </w:pPr>
    </w:lvl>
    <w:lvl w:ilvl="5" w:tplc="896EC366">
      <w:start w:val="1"/>
      <w:numFmt w:val="decimal"/>
      <w:lvlText w:val="%6."/>
      <w:lvlJc w:val="left"/>
      <w:pPr>
        <w:ind w:left="1020" w:hanging="360"/>
      </w:pPr>
    </w:lvl>
    <w:lvl w:ilvl="6" w:tplc="B492DDFE">
      <w:start w:val="1"/>
      <w:numFmt w:val="decimal"/>
      <w:lvlText w:val="%7."/>
      <w:lvlJc w:val="left"/>
      <w:pPr>
        <w:ind w:left="1020" w:hanging="360"/>
      </w:pPr>
    </w:lvl>
    <w:lvl w:ilvl="7" w:tplc="1E1ECB8E">
      <w:start w:val="1"/>
      <w:numFmt w:val="decimal"/>
      <w:lvlText w:val="%8."/>
      <w:lvlJc w:val="left"/>
      <w:pPr>
        <w:ind w:left="1020" w:hanging="360"/>
      </w:pPr>
    </w:lvl>
    <w:lvl w:ilvl="8" w:tplc="C1CA0FFC">
      <w:start w:val="1"/>
      <w:numFmt w:val="decimal"/>
      <w:lvlText w:val="%9."/>
      <w:lvlJc w:val="left"/>
      <w:pPr>
        <w:ind w:left="1020" w:hanging="360"/>
      </w:pPr>
    </w:lvl>
  </w:abstractNum>
  <w:abstractNum w:abstractNumId="79" w15:restartNumberingAfterBreak="0">
    <w:nsid w:val="58D23686"/>
    <w:multiLevelType w:val="hybridMultilevel"/>
    <w:tmpl w:val="08B45CB2"/>
    <w:lvl w:ilvl="0" w:tplc="ABDC9BD0">
      <w:start w:val="1"/>
      <w:numFmt w:val="bullet"/>
      <w:lvlText w:val=""/>
      <w:lvlJc w:val="left"/>
      <w:pPr>
        <w:ind w:left="720" w:hanging="360"/>
      </w:pPr>
      <w:rPr>
        <w:rFonts w:ascii="Symbol" w:hAnsi="Symbol"/>
      </w:rPr>
    </w:lvl>
    <w:lvl w:ilvl="1" w:tplc="1A8CD822">
      <w:start w:val="1"/>
      <w:numFmt w:val="bullet"/>
      <w:lvlText w:val=""/>
      <w:lvlJc w:val="left"/>
      <w:pPr>
        <w:ind w:left="720" w:hanging="360"/>
      </w:pPr>
      <w:rPr>
        <w:rFonts w:ascii="Symbol" w:hAnsi="Symbol"/>
      </w:rPr>
    </w:lvl>
    <w:lvl w:ilvl="2" w:tplc="2684DB9A">
      <w:start w:val="1"/>
      <w:numFmt w:val="bullet"/>
      <w:lvlText w:val=""/>
      <w:lvlJc w:val="left"/>
      <w:pPr>
        <w:ind w:left="720" w:hanging="360"/>
      </w:pPr>
      <w:rPr>
        <w:rFonts w:ascii="Symbol" w:hAnsi="Symbol"/>
      </w:rPr>
    </w:lvl>
    <w:lvl w:ilvl="3" w:tplc="465CB456">
      <w:start w:val="1"/>
      <w:numFmt w:val="bullet"/>
      <w:lvlText w:val=""/>
      <w:lvlJc w:val="left"/>
      <w:pPr>
        <w:ind w:left="720" w:hanging="360"/>
      </w:pPr>
      <w:rPr>
        <w:rFonts w:ascii="Symbol" w:hAnsi="Symbol"/>
      </w:rPr>
    </w:lvl>
    <w:lvl w:ilvl="4" w:tplc="CB82DE40">
      <w:start w:val="1"/>
      <w:numFmt w:val="bullet"/>
      <w:lvlText w:val=""/>
      <w:lvlJc w:val="left"/>
      <w:pPr>
        <w:ind w:left="720" w:hanging="360"/>
      </w:pPr>
      <w:rPr>
        <w:rFonts w:ascii="Symbol" w:hAnsi="Symbol"/>
      </w:rPr>
    </w:lvl>
    <w:lvl w:ilvl="5" w:tplc="CE041DEE">
      <w:start w:val="1"/>
      <w:numFmt w:val="bullet"/>
      <w:lvlText w:val=""/>
      <w:lvlJc w:val="left"/>
      <w:pPr>
        <w:ind w:left="720" w:hanging="360"/>
      </w:pPr>
      <w:rPr>
        <w:rFonts w:ascii="Symbol" w:hAnsi="Symbol"/>
      </w:rPr>
    </w:lvl>
    <w:lvl w:ilvl="6" w:tplc="BE460BB8">
      <w:start w:val="1"/>
      <w:numFmt w:val="bullet"/>
      <w:lvlText w:val=""/>
      <w:lvlJc w:val="left"/>
      <w:pPr>
        <w:ind w:left="720" w:hanging="360"/>
      </w:pPr>
      <w:rPr>
        <w:rFonts w:ascii="Symbol" w:hAnsi="Symbol"/>
      </w:rPr>
    </w:lvl>
    <w:lvl w:ilvl="7" w:tplc="0EA8B69C">
      <w:start w:val="1"/>
      <w:numFmt w:val="bullet"/>
      <w:lvlText w:val=""/>
      <w:lvlJc w:val="left"/>
      <w:pPr>
        <w:ind w:left="720" w:hanging="360"/>
      </w:pPr>
      <w:rPr>
        <w:rFonts w:ascii="Symbol" w:hAnsi="Symbol"/>
      </w:rPr>
    </w:lvl>
    <w:lvl w:ilvl="8" w:tplc="0ACA5C72">
      <w:start w:val="1"/>
      <w:numFmt w:val="bullet"/>
      <w:lvlText w:val=""/>
      <w:lvlJc w:val="left"/>
      <w:pPr>
        <w:ind w:left="720" w:hanging="360"/>
      </w:pPr>
      <w:rPr>
        <w:rFonts w:ascii="Symbol" w:hAnsi="Symbol"/>
      </w:rPr>
    </w:lvl>
  </w:abstractNum>
  <w:abstractNum w:abstractNumId="80" w15:restartNumberingAfterBreak="0">
    <w:nsid w:val="58F03BE2"/>
    <w:multiLevelType w:val="hybridMultilevel"/>
    <w:tmpl w:val="22A68A2E"/>
    <w:lvl w:ilvl="0" w:tplc="8330490A">
      <w:start w:val="1"/>
      <w:numFmt w:val="bullet"/>
      <w:lvlText w:val=""/>
      <w:lvlJc w:val="left"/>
      <w:pPr>
        <w:ind w:left="720" w:hanging="360"/>
      </w:pPr>
      <w:rPr>
        <w:rFonts w:ascii="Symbol" w:hAnsi="Symbol"/>
      </w:rPr>
    </w:lvl>
    <w:lvl w:ilvl="1" w:tplc="77CE94CC">
      <w:start w:val="1"/>
      <w:numFmt w:val="bullet"/>
      <w:lvlText w:val=""/>
      <w:lvlJc w:val="left"/>
      <w:pPr>
        <w:ind w:left="720" w:hanging="360"/>
      </w:pPr>
      <w:rPr>
        <w:rFonts w:ascii="Symbol" w:hAnsi="Symbol"/>
      </w:rPr>
    </w:lvl>
    <w:lvl w:ilvl="2" w:tplc="F27E92CE">
      <w:start w:val="1"/>
      <w:numFmt w:val="bullet"/>
      <w:lvlText w:val=""/>
      <w:lvlJc w:val="left"/>
      <w:pPr>
        <w:ind w:left="720" w:hanging="360"/>
      </w:pPr>
      <w:rPr>
        <w:rFonts w:ascii="Symbol" w:hAnsi="Symbol"/>
      </w:rPr>
    </w:lvl>
    <w:lvl w:ilvl="3" w:tplc="583C5C9E">
      <w:start w:val="1"/>
      <w:numFmt w:val="bullet"/>
      <w:lvlText w:val=""/>
      <w:lvlJc w:val="left"/>
      <w:pPr>
        <w:ind w:left="720" w:hanging="360"/>
      </w:pPr>
      <w:rPr>
        <w:rFonts w:ascii="Symbol" w:hAnsi="Symbol"/>
      </w:rPr>
    </w:lvl>
    <w:lvl w:ilvl="4" w:tplc="8E305F08">
      <w:start w:val="1"/>
      <w:numFmt w:val="bullet"/>
      <w:lvlText w:val=""/>
      <w:lvlJc w:val="left"/>
      <w:pPr>
        <w:ind w:left="720" w:hanging="360"/>
      </w:pPr>
      <w:rPr>
        <w:rFonts w:ascii="Symbol" w:hAnsi="Symbol"/>
      </w:rPr>
    </w:lvl>
    <w:lvl w:ilvl="5" w:tplc="14ECE12E">
      <w:start w:val="1"/>
      <w:numFmt w:val="bullet"/>
      <w:lvlText w:val=""/>
      <w:lvlJc w:val="left"/>
      <w:pPr>
        <w:ind w:left="720" w:hanging="360"/>
      </w:pPr>
      <w:rPr>
        <w:rFonts w:ascii="Symbol" w:hAnsi="Symbol"/>
      </w:rPr>
    </w:lvl>
    <w:lvl w:ilvl="6" w:tplc="53B80F68">
      <w:start w:val="1"/>
      <w:numFmt w:val="bullet"/>
      <w:lvlText w:val=""/>
      <w:lvlJc w:val="left"/>
      <w:pPr>
        <w:ind w:left="720" w:hanging="360"/>
      </w:pPr>
      <w:rPr>
        <w:rFonts w:ascii="Symbol" w:hAnsi="Symbol"/>
      </w:rPr>
    </w:lvl>
    <w:lvl w:ilvl="7" w:tplc="6E6C7EA4">
      <w:start w:val="1"/>
      <w:numFmt w:val="bullet"/>
      <w:lvlText w:val=""/>
      <w:lvlJc w:val="left"/>
      <w:pPr>
        <w:ind w:left="720" w:hanging="360"/>
      </w:pPr>
      <w:rPr>
        <w:rFonts w:ascii="Symbol" w:hAnsi="Symbol"/>
      </w:rPr>
    </w:lvl>
    <w:lvl w:ilvl="8" w:tplc="F07EDA8E">
      <w:start w:val="1"/>
      <w:numFmt w:val="bullet"/>
      <w:lvlText w:val=""/>
      <w:lvlJc w:val="left"/>
      <w:pPr>
        <w:ind w:left="720" w:hanging="360"/>
      </w:pPr>
      <w:rPr>
        <w:rFonts w:ascii="Symbol" w:hAnsi="Symbol"/>
      </w:rPr>
    </w:lvl>
  </w:abstractNum>
  <w:abstractNum w:abstractNumId="81" w15:restartNumberingAfterBreak="0">
    <w:nsid w:val="5ABE7F48"/>
    <w:multiLevelType w:val="hybridMultilevel"/>
    <w:tmpl w:val="A800B146"/>
    <w:lvl w:ilvl="0" w:tplc="AB16DE52">
      <w:start w:val="1"/>
      <w:numFmt w:val="decimal"/>
      <w:lvlText w:val="7.%1."/>
      <w:lvlJc w:val="left"/>
      <w:pPr>
        <w:ind w:left="11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5AFA746C"/>
    <w:multiLevelType w:val="hybridMultilevel"/>
    <w:tmpl w:val="4816F486"/>
    <w:lvl w:ilvl="0" w:tplc="461E3D24">
      <w:start w:val="1"/>
      <w:numFmt w:val="decimal"/>
      <w:lvlText w:val="9.%1."/>
      <w:lvlJc w:val="left"/>
      <w:pPr>
        <w:ind w:left="720" w:hanging="360"/>
      </w:pPr>
      <w:rPr>
        <w:rFonts w:hint="default"/>
        <w:b/>
        <w:bCs/>
        <w:i/>
        <w:iCs/>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3" w15:restartNumberingAfterBreak="0">
    <w:nsid w:val="5EDE293B"/>
    <w:multiLevelType w:val="hybridMultilevel"/>
    <w:tmpl w:val="D2127E4A"/>
    <w:lvl w:ilvl="0" w:tplc="1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A06F0F6">
      <w:start w:val="72"/>
      <w:numFmt w:val="bullet"/>
      <w:lvlText w:val="-"/>
      <w:lvlJc w:val="left"/>
      <w:pPr>
        <w:ind w:left="360" w:hanging="360"/>
      </w:pPr>
      <w:rPr>
        <w:rFonts w:ascii="Times New Roman" w:eastAsiaTheme="minorHAnsi" w:hAnsi="Times New Roman" w:cs="Times New Roman" w:hint="default"/>
        <w:color w:val="000000" w:themeColor="text1"/>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0556866"/>
    <w:multiLevelType w:val="hybridMultilevel"/>
    <w:tmpl w:val="3D60F620"/>
    <w:lvl w:ilvl="0" w:tplc="9190CCD2">
      <w:start w:val="1"/>
      <w:numFmt w:val="decimal"/>
      <w:lvlText w:val="3.%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635D2033"/>
    <w:multiLevelType w:val="multilevel"/>
    <w:tmpl w:val="EDD0F95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6" w15:restartNumberingAfterBreak="0">
    <w:nsid w:val="64013EC1"/>
    <w:multiLevelType w:val="hybridMultilevel"/>
    <w:tmpl w:val="79D2D370"/>
    <w:lvl w:ilvl="0" w:tplc="156E817E">
      <w:start w:val="1"/>
      <w:numFmt w:val="decimal"/>
      <w:lvlText w:val="10.%1."/>
      <w:lvlJc w:val="right"/>
      <w:pPr>
        <w:ind w:left="720" w:hanging="360"/>
      </w:pPr>
      <w:rPr>
        <w:rFonts w:hint="default"/>
        <w:lang w:val="en-G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7" w15:restartNumberingAfterBreak="0">
    <w:nsid w:val="656B7793"/>
    <w:multiLevelType w:val="multilevel"/>
    <w:tmpl w:val="3134093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8" w15:restartNumberingAfterBreak="0">
    <w:nsid w:val="659B411D"/>
    <w:multiLevelType w:val="hybridMultilevel"/>
    <w:tmpl w:val="5C36DDD2"/>
    <w:lvl w:ilvl="0" w:tplc="FFFFFFFF">
      <w:start w:val="1"/>
      <w:numFmt w:val="decimal"/>
      <w:lvlText w:val="9.%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65DD2588"/>
    <w:multiLevelType w:val="hybridMultilevel"/>
    <w:tmpl w:val="12C200E2"/>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66744477"/>
    <w:multiLevelType w:val="multilevel"/>
    <w:tmpl w:val="24BCC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744561D"/>
    <w:multiLevelType w:val="hybridMultilevel"/>
    <w:tmpl w:val="22741E9A"/>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6AA57A10"/>
    <w:multiLevelType w:val="hybridMultilevel"/>
    <w:tmpl w:val="31FAB9B2"/>
    <w:lvl w:ilvl="0" w:tplc="18090001">
      <w:start w:val="1"/>
      <w:numFmt w:val="bullet"/>
      <w:lvlText w:val=""/>
      <w:lvlJc w:val="left"/>
      <w:pPr>
        <w:ind w:left="785"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686EAB0">
      <w:numFmt w:val="bullet"/>
      <w:lvlText w:val="-"/>
      <w:lvlJc w:val="left"/>
      <w:pPr>
        <w:ind w:left="2160" w:hanging="360"/>
      </w:pPr>
      <w:rPr>
        <w:rFonts w:ascii="Times New Roman" w:eastAsia="Times New Roman"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6BA0267B"/>
    <w:multiLevelType w:val="hybridMultilevel"/>
    <w:tmpl w:val="13248C0A"/>
    <w:lvl w:ilvl="0" w:tplc="E9667572">
      <w:start w:val="1"/>
      <w:numFmt w:val="decimal"/>
      <w:lvlText w:val="%1."/>
      <w:lvlJc w:val="left"/>
      <w:pPr>
        <w:ind w:left="1020" w:hanging="360"/>
      </w:pPr>
    </w:lvl>
    <w:lvl w:ilvl="1" w:tplc="24067FE8">
      <w:start w:val="1"/>
      <w:numFmt w:val="decimal"/>
      <w:lvlText w:val="%2."/>
      <w:lvlJc w:val="left"/>
      <w:pPr>
        <w:ind w:left="1020" w:hanging="360"/>
      </w:pPr>
    </w:lvl>
    <w:lvl w:ilvl="2" w:tplc="8C785254">
      <w:start w:val="1"/>
      <w:numFmt w:val="decimal"/>
      <w:lvlText w:val="%3."/>
      <w:lvlJc w:val="left"/>
      <w:pPr>
        <w:ind w:left="1020" w:hanging="360"/>
      </w:pPr>
    </w:lvl>
    <w:lvl w:ilvl="3" w:tplc="B4A6C2C6">
      <w:start w:val="1"/>
      <w:numFmt w:val="decimal"/>
      <w:lvlText w:val="%4."/>
      <w:lvlJc w:val="left"/>
      <w:pPr>
        <w:ind w:left="1020" w:hanging="360"/>
      </w:pPr>
    </w:lvl>
    <w:lvl w:ilvl="4" w:tplc="BC9AEFDC">
      <w:start w:val="1"/>
      <w:numFmt w:val="decimal"/>
      <w:lvlText w:val="%5."/>
      <w:lvlJc w:val="left"/>
      <w:pPr>
        <w:ind w:left="1020" w:hanging="360"/>
      </w:pPr>
    </w:lvl>
    <w:lvl w:ilvl="5" w:tplc="65DAC644">
      <w:start w:val="1"/>
      <w:numFmt w:val="decimal"/>
      <w:lvlText w:val="%6."/>
      <w:lvlJc w:val="left"/>
      <w:pPr>
        <w:ind w:left="1020" w:hanging="360"/>
      </w:pPr>
    </w:lvl>
    <w:lvl w:ilvl="6" w:tplc="B4941F22">
      <w:start w:val="1"/>
      <w:numFmt w:val="decimal"/>
      <w:lvlText w:val="%7."/>
      <w:lvlJc w:val="left"/>
      <w:pPr>
        <w:ind w:left="1020" w:hanging="360"/>
      </w:pPr>
    </w:lvl>
    <w:lvl w:ilvl="7" w:tplc="A852F97A">
      <w:start w:val="1"/>
      <w:numFmt w:val="decimal"/>
      <w:lvlText w:val="%8."/>
      <w:lvlJc w:val="left"/>
      <w:pPr>
        <w:ind w:left="1020" w:hanging="360"/>
      </w:pPr>
    </w:lvl>
    <w:lvl w:ilvl="8" w:tplc="62389DE2">
      <w:start w:val="1"/>
      <w:numFmt w:val="decimal"/>
      <w:lvlText w:val="%9."/>
      <w:lvlJc w:val="left"/>
      <w:pPr>
        <w:ind w:left="1020" w:hanging="360"/>
      </w:pPr>
    </w:lvl>
  </w:abstractNum>
  <w:abstractNum w:abstractNumId="94" w15:restartNumberingAfterBreak="0">
    <w:nsid w:val="6BCA76F0"/>
    <w:multiLevelType w:val="multilevel"/>
    <w:tmpl w:val="730874F6"/>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5" w15:restartNumberingAfterBreak="0">
    <w:nsid w:val="6E493B65"/>
    <w:multiLevelType w:val="hybridMultilevel"/>
    <w:tmpl w:val="9EA83DFA"/>
    <w:lvl w:ilvl="0" w:tplc="FDF2F10C">
      <w:start w:val="1"/>
      <w:numFmt w:val="decimal"/>
      <w:lvlText w:val="%1."/>
      <w:lvlJc w:val="left"/>
      <w:pPr>
        <w:ind w:left="1020" w:hanging="360"/>
      </w:pPr>
    </w:lvl>
    <w:lvl w:ilvl="1" w:tplc="FA60DD1C">
      <w:start w:val="1"/>
      <w:numFmt w:val="decimal"/>
      <w:lvlText w:val="%2."/>
      <w:lvlJc w:val="left"/>
      <w:pPr>
        <w:ind w:left="1020" w:hanging="360"/>
      </w:pPr>
    </w:lvl>
    <w:lvl w:ilvl="2" w:tplc="3B56D096">
      <w:start w:val="1"/>
      <w:numFmt w:val="decimal"/>
      <w:lvlText w:val="%3."/>
      <w:lvlJc w:val="left"/>
      <w:pPr>
        <w:ind w:left="1020" w:hanging="360"/>
      </w:pPr>
    </w:lvl>
    <w:lvl w:ilvl="3" w:tplc="9C8E6468">
      <w:start w:val="1"/>
      <w:numFmt w:val="decimal"/>
      <w:lvlText w:val="%4."/>
      <w:lvlJc w:val="left"/>
      <w:pPr>
        <w:ind w:left="1020" w:hanging="360"/>
      </w:pPr>
    </w:lvl>
    <w:lvl w:ilvl="4" w:tplc="57944DD0">
      <w:start w:val="1"/>
      <w:numFmt w:val="decimal"/>
      <w:lvlText w:val="%5."/>
      <w:lvlJc w:val="left"/>
      <w:pPr>
        <w:ind w:left="1020" w:hanging="360"/>
      </w:pPr>
    </w:lvl>
    <w:lvl w:ilvl="5" w:tplc="AE6045A8">
      <w:start w:val="1"/>
      <w:numFmt w:val="decimal"/>
      <w:lvlText w:val="%6."/>
      <w:lvlJc w:val="left"/>
      <w:pPr>
        <w:ind w:left="1020" w:hanging="360"/>
      </w:pPr>
    </w:lvl>
    <w:lvl w:ilvl="6" w:tplc="9CA850D4">
      <w:start w:val="1"/>
      <w:numFmt w:val="decimal"/>
      <w:lvlText w:val="%7."/>
      <w:lvlJc w:val="left"/>
      <w:pPr>
        <w:ind w:left="1020" w:hanging="360"/>
      </w:pPr>
    </w:lvl>
    <w:lvl w:ilvl="7" w:tplc="465CB174">
      <w:start w:val="1"/>
      <w:numFmt w:val="decimal"/>
      <w:lvlText w:val="%8."/>
      <w:lvlJc w:val="left"/>
      <w:pPr>
        <w:ind w:left="1020" w:hanging="360"/>
      </w:pPr>
    </w:lvl>
    <w:lvl w:ilvl="8" w:tplc="30FA4D3E">
      <w:start w:val="1"/>
      <w:numFmt w:val="decimal"/>
      <w:lvlText w:val="%9."/>
      <w:lvlJc w:val="left"/>
      <w:pPr>
        <w:ind w:left="1020" w:hanging="360"/>
      </w:pPr>
    </w:lvl>
  </w:abstractNum>
  <w:abstractNum w:abstractNumId="96" w15:restartNumberingAfterBreak="0">
    <w:nsid w:val="6FAF60FE"/>
    <w:multiLevelType w:val="hybridMultilevel"/>
    <w:tmpl w:val="E8049512"/>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724E58AE"/>
    <w:multiLevelType w:val="hybridMultilevel"/>
    <w:tmpl w:val="B054F62C"/>
    <w:lvl w:ilvl="0" w:tplc="18090003">
      <w:start w:val="1"/>
      <w:numFmt w:val="bullet"/>
      <w:lvlText w:val="o"/>
      <w:lvlJc w:val="left"/>
      <w:pPr>
        <w:ind w:left="1494" w:hanging="360"/>
      </w:pPr>
      <w:rPr>
        <w:rFonts w:ascii="Courier New" w:hAnsi="Courier New" w:cs="Courier New"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98" w15:restartNumberingAfterBreak="0">
    <w:nsid w:val="78052CA2"/>
    <w:multiLevelType w:val="hybridMultilevel"/>
    <w:tmpl w:val="67B2B548"/>
    <w:lvl w:ilvl="0" w:tplc="FD065AE4">
      <w:start w:val="1"/>
      <w:numFmt w:val="decimal"/>
      <w:lvlText w:val="4.%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78B46E91"/>
    <w:multiLevelType w:val="hybridMultilevel"/>
    <w:tmpl w:val="14B0286E"/>
    <w:lvl w:ilvl="0" w:tplc="9190CCD2">
      <w:start w:val="1"/>
      <w:numFmt w:val="decimal"/>
      <w:lvlText w:val="3.%1."/>
      <w:lvlJc w:val="left"/>
      <w:pPr>
        <w:ind w:left="1440" w:hanging="360"/>
      </w:pPr>
      <w:rPr>
        <w:rFonts w:hint="default"/>
        <w:b/>
        <w:bCs/>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0" w15:restartNumberingAfterBreak="0">
    <w:nsid w:val="79C8479A"/>
    <w:multiLevelType w:val="hybridMultilevel"/>
    <w:tmpl w:val="3EF0DD94"/>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7ADF1E78"/>
    <w:multiLevelType w:val="hybridMultilevel"/>
    <w:tmpl w:val="43EE7858"/>
    <w:lvl w:ilvl="0" w:tplc="A0960D74">
      <w:start w:val="3"/>
      <w:numFmt w:val="decimal"/>
      <w:lvlText w:val="4.%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2" w15:restartNumberingAfterBreak="0">
    <w:nsid w:val="7D5B5766"/>
    <w:multiLevelType w:val="hybridMultilevel"/>
    <w:tmpl w:val="3454FE94"/>
    <w:lvl w:ilvl="0" w:tplc="9190CCD2">
      <w:start w:val="1"/>
      <w:numFmt w:val="decimal"/>
      <w:lvlText w:val="3.%1."/>
      <w:lvlJc w:val="left"/>
      <w:pPr>
        <w:ind w:left="1440" w:hanging="360"/>
      </w:pPr>
      <w:rPr>
        <w:rFonts w:hint="default"/>
        <w:b/>
        <w:bCs/>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03" w15:restartNumberingAfterBreak="0">
    <w:nsid w:val="7F9F3E0C"/>
    <w:multiLevelType w:val="hybridMultilevel"/>
    <w:tmpl w:val="034A9FF4"/>
    <w:lvl w:ilvl="0" w:tplc="F1EA6634">
      <w:start w:val="1"/>
      <w:numFmt w:val="bullet"/>
      <w:lvlText w:val=""/>
      <w:lvlJc w:val="left"/>
      <w:pPr>
        <w:ind w:left="720" w:hanging="360"/>
      </w:pPr>
      <w:rPr>
        <w:rFonts w:ascii="Symbol" w:hAnsi="Symbol"/>
      </w:rPr>
    </w:lvl>
    <w:lvl w:ilvl="1" w:tplc="317CCFBE">
      <w:start w:val="1"/>
      <w:numFmt w:val="bullet"/>
      <w:lvlText w:val=""/>
      <w:lvlJc w:val="left"/>
      <w:pPr>
        <w:ind w:left="720" w:hanging="360"/>
      </w:pPr>
      <w:rPr>
        <w:rFonts w:ascii="Symbol" w:hAnsi="Symbol"/>
      </w:rPr>
    </w:lvl>
    <w:lvl w:ilvl="2" w:tplc="5C5229C0">
      <w:start w:val="1"/>
      <w:numFmt w:val="bullet"/>
      <w:lvlText w:val=""/>
      <w:lvlJc w:val="left"/>
      <w:pPr>
        <w:ind w:left="720" w:hanging="360"/>
      </w:pPr>
      <w:rPr>
        <w:rFonts w:ascii="Symbol" w:hAnsi="Symbol"/>
      </w:rPr>
    </w:lvl>
    <w:lvl w:ilvl="3" w:tplc="EE8AE066">
      <w:start w:val="1"/>
      <w:numFmt w:val="bullet"/>
      <w:lvlText w:val=""/>
      <w:lvlJc w:val="left"/>
      <w:pPr>
        <w:ind w:left="720" w:hanging="360"/>
      </w:pPr>
      <w:rPr>
        <w:rFonts w:ascii="Symbol" w:hAnsi="Symbol"/>
      </w:rPr>
    </w:lvl>
    <w:lvl w:ilvl="4" w:tplc="5DCE20D2">
      <w:start w:val="1"/>
      <w:numFmt w:val="bullet"/>
      <w:lvlText w:val=""/>
      <w:lvlJc w:val="left"/>
      <w:pPr>
        <w:ind w:left="720" w:hanging="360"/>
      </w:pPr>
      <w:rPr>
        <w:rFonts w:ascii="Symbol" w:hAnsi="Symbol"/>
      </w:rPr>
    </w:lvl>
    <w:lvl w:ilvl="5" w:tplc="74A2C7D0">
      <w:start w:val="1"/>
      <w:numFmt w:val="bullet"/>
      <w:lvlText w:val=""/>
      <w:lvlJc w:val="left"/>
      <w:pPr>
        <w:ind w:left="720" w:hanging="360"/>
      </w:pPr>
      <w:rPr>
        <w:rFonts w:ascii="Symbol" w:hAnsi="Symbol"/>
      </w:rPr>
    </w:lvl>
    <w:lvl w:ilvl="6" w:tplc="28AEF58A">
      <w:start w:val="1"/>
      <w:numFmt w:val="bullet"/>
      <w:lvlText w:val=""/>
      <w:lvlJc w:val="left"/>
      <w:pPr>
        <w:ind w:left="720" w:hanging="360"/>
      </w:pPr>
      <w:rPr>
        <w:rFonts w:ascii="Symbol" w:hAnsi="Symbol"/>
      </w:rPr>
    </w:lvl>
    <w:lvl w:ilvl="7" w:tplc="696E0CAA">
      <w:start w:val="1"/>
      <w:numFmt w:val="bullet"/>
      <w:lvlText w:val=""/>
      <w:lvlJc w:val="left"/>
      <w:pPr>
        <w:ind w:left="720" w:hanging="360"/>
      </w:pPr>
      <w:rPr>
        <w:rFonts w:ascii="Symbol" w:hAnsi="Symbol"/>
      </w:rPr>
    </w:lvl>
    <w:lvl w:ilvl="8" w:tplc="55F4EC2E">
      <w:start w:val="1"/>
      <w:numFmt w:val="bullet"/>
      <w:lvlText w:val=""/>
      <w:lvlJc w:val="left"/>
      <w:pPr>
        <w:ind w:left="720" w:hanging="360"/>
      </w:pPr>
      <w:rPr>
        <w:rFonts w:ascii="Symbol" w:hAnsi="Symbol"/>
      </w:rPr>
    </w:lvl>
  </w:abstractNum>
  <w:num w:numId="1">
    <w:abstractNumId w:val="43"/>
  </w:num>
  <w:num w:numId="2">
    <w:abstractNumId w:val="20"/>
  </w:num>
  <w:num w:numId="3">
    <w:abstractNumId w:val="61"/>
  </w:num>
  <w:num w:numId="4">
    <w:abstractNumId w:val="92"/>
  </w:num>
  <w:num w:numId="5">
    <w:abstractNumId w:val="42"/>
  </w:num>
  <w:num w:numId="6">
    <w:abstractNumId w:val="83"/>
  </w:num>
  <w:num w:numId="7">
    <w:abstractNumId w:val="97"/>
  </w:num>
  <w:num w:numId="8">
    <w:abstractNumId w:val="14"/>
  </w:num>
  <w:num w:numId="9">
    <w:abstractNumId w:val="39"/>
  </w:num>
  <w:num w:numId="10">
    <w:abstractNumId w:val="63"/>
  </w:num>
  <w:num w:numId="11">
    <w:abstractNumId w:val="24"/>
  </w:num>
  <w:num w:numId="12">
    <w:abstractNumId w:val="75"/>
  </w:num>
  <w:num w:numId="13">
    <w:abstractNumId w:val="89"/>
  </w:num>
  <w:num w:numId="14">
    <w:abstractNumId w:val="68"/>
  </w:num>
  <w:num w:numId="15">
    <w:abstractNumId w:val="76"/>
  </w:num>
  <w:num w:numId="16">
    <w:abstractNumId w:val="28"/>
  </w:num>
  <w:num w:numId="17">
    <w:abstractNumId w:val="90"/>
  </w:num>
  <w:num w:numId="18">
    <w:abstractNumId w:val="34"/>
  </w:num>
  <w:num w:numId="19">
    <w:abstractNumId w:val="7"/>
  </w:num>
  <w:num w:numId="20">
    <w:abstractNumId w:val="36"/>
  </w:num>
  <w:num w:numId="21">
    <w:abstractNumId w:val="65"/>
  </w:num>
  <w:num w:numId="22">
    <w:abstractNumId w:val="33"/>
  </w:num>
  <w:num w:numId="23">
    <w:abstractNumId w:val="93"/>
  </w:num>
  <w:num w:numId="24">
    <w:abstractNumId w:val="55"/>
  </w:num>
  <w:num w:numId="25">
    <w:abstractNumId w:val="11"/>
  </w:num>
  <w:num w:numId="26">
    <w:abstractNumId w:val="101"/>
  </w:num>
  <w:num w:numId="27">
    <w:abstractNumId w:val="32"/>
  </w:num>
  <w:num w:numId="28">
    <w:abstractNumId w:val="38"/>
  </w:num>
  <w:num w:numId="29">
    <w:abstractNumId w:val="21"/>
  </w:num>
  <w:num w:numId="30">
    <w:abstractNumId w:val="46"/>
  </w:num>
  <w:num w:numId="31">
    <w:abstractNumId w:val="31"/>
  </w:num>
  <w:num w:numId="32">
    <w:abstractNumId w:val="44"/>
  </w:num>
  <w:num w:numId="33">
    <w:abstractNumId w:val="45"/>
  </w:num>
  <w:num w:numId="34">
    <w:abstractNumId w:val="42"/>
  </w:num>
  <w:num w:numId="35">
    <w:abstractNumId w:val="42"/>
  </w:num>
  <w:num w:numId="36">
    <w:abstractNumId w:val="42"/>
  </w:num>
  <w:num w:numId="37">
    <w:abstractNumId w:val="42"/>
  </w:num>
  <w:num w:numId="38">
    <w:abstractNumId w:val="42"/>
  </w:num>
  <w:num w:numId="39">
    <w:abstractNumId w:val="42"/>
  </w:num>
  <w:num w:numId="40">
    <w:abstractNumId w:val="42"/>
  </w:num>
  <w:num w:numId="41">
    <w:abstractNumId w:val="42"/>
  </w:num>
  <w:num w:numId="42">
    <w:abstractNumId w:val="42"/>
  </w:num>
  <w:num w:numId="43">
    <w:abstractNumId w:val="42"/>
  </w:num>
  <w:num w:numId="44">
    <w:abstractNumId w:val="84"/>
  </w:num>
  <w:num w:numId="45">
    <w:abstractNumId w:val="98"/>
  </w:num>
  <w:num w:numId="46">
    <w:abstractNumId w:val="99"/>
  </w:num>
  <w:num w:numId="47">
    <w:abstractNumId w:val="102"/>
  </w:num>
  <w:num w:numId="48">
    <w:abstractNumId w:val="58"/>
  </w:num>
  <w:num w:numId="49">
    <w:abstractNumId w:val="69"/>
  </w:num>
  <w:num w:numId="50">
    <w:abstractNumId w:val="5"/>
  </w:num>
  <w:num w:numId="51">
    <w:abstractNumId w:val="48"/>
  </w:num>
  <w:num w:numId="52">
    <w:abstractNumId w:val="82"/>
  </w:num>
  <w:num w:numId="53">
    <w:abstractNumId w:val="88"/>
  </w:num>
  <w:num w:numId="54">
    <w:abstractNumId w:val="74"/>
  </w:num>
  <w:num w:numId="55">
    <w:abstractNumId w:val="42"/>
  </w:num>
  <w:num w:numId="56">
    <w:abstractNumId w:val="61"/>
  </w:num>
  <w:num w:numId="57">
    <w:abstractNumId w:val="3"/>
  </w:num>
  <w:num w:numId="58">
    <w:abstractNumId w:val="86"/>
  </w:num>
  <w:num w:numId="59">
    <w:abstractNumId w:val="62"/>
  </w:num>
  <w:num w:numId="60">
    <w:abstractNumId w:val="103"/>
  </w:num>
  <w:num w:numId="61">
    <w:abstractNumId w:val="72"/>
  </w:num>
  <w:num w:numId="62">
    <w:abstractNumId w:val="80"/>
  </w:num>
  <w:num w:numId="63">
    <w:abstractNumId w:val="41"/>
  </w:num>
  <w:num w:numId="64">
    <w:abstractNumId w:val="73"/>
  </w:num>
  <w:num w:numId="65">
    <w:abstractNumId w:val="50"/>
  </w:num>
  <w:num w:numId="66">
    <w:abstractNumId w:val="87"/>
  </w:num>
  <w:num w:numId="67">
    <w:abstractNumId w:val="26"/>
  </w:num>
  <w:num w:numId="68">
    <w:abstractNumId w:val="60"/>
  </w:num>
  <w:num w:numId="69">
    <w:abstractNumId w:val="71"/>
  </w:num>
  <w:num w:numId="70">
    <w:abstractNumId w:val="19"/>
  </w:num>
  <w:num w:numId="71">
    <w:abstractNumId w:val="90"/>
  </w:num>
  <w:num w:numId="72">
    <w:abstractNumId w:val="59"/>
  </w:num>
  <w:num w:numId="73">
    <w:abstractNumId w:val="59"/>
  </w:num>
  <w:num w:numId="74">
    <w:abstractNumId w:val="1"/>
  </w:num>
  <w:num w:numId="75">
    <w:abstractNumId w:val="52"/>
  </w:num>
  <w:num w:numId="76">
    <w:abstractNumId w:val="70"/>
  </w:num>
  <w:num w:numId="77">
    <w:abstractNumId w:val="81"/>
  </w:num>
  <w:num w:numId="78">
    <w:abstractNumId w:val="12"/>
  </w:num>
  <w:num w:numId="79">
    <w:abstractNumId w:val="79"/>
  </w:num>
  <w:num w:numId="80">
    <w:abstractNumId w:val="56"/>
  </w:num>
  <w:num w:numId="81">
    <w:abstractNumId w:val="6"/>
  </w:num>
  <w:num w:numId="82">
    <w:abstractNumId w:val="25"/>
  </w:num>
  <w:num w:numId="83">
    <w:abstractNumId w:val="47"/>
  </w:num>
  <w:num w:numId="84">
    <w:abstractNumId w:val="15"/>
  </w:num>
  <w:num w:numId="85">
    <w:abstractNumId w:val="78"/>
  </w:num>
  <w:num w:numId="86">
    <w:abstractNumId w:val="9"/>
  </w:num>
  <w:num w:numId="87">
    <w:abstractNumId w:val="35"/>
  </w:num>
  <w:num w:numId="88">
    <w:abstractNumId w:val="46"/>
  </w:num>
  <w:num w:numId="89">
    <w:abstractNumId w:val="77"/>
  </w:num>
  <w:num w:numId="90">
    <w:abstractNumId w:val="13"/>
  </w:num>
  <w:num w:numId="91">
    <w:abstractNumId w:val="46"/>
  </w:num>
  <w:num w:numId="92">
    <w:abstractNumId w:val="85"/>
  </w:num>
  <w:num w:numId="93">
    <w:abstractNumId w:val="46"/>
  </w:num>
  <w:num w:numId="94">
    <w:abstractNumId w:val="66"/>
  </w:num>
  <w:num w:numId="95">
    <w:abstractNumId w:val="0"/>
  </w:num>
  <w:num w:numId="96">
    <w:abstractNumId w:val="57"/>
  </w:num>
  <w:num w:numId="97">
    <w:abstractNumId w:val="4"/>
  </w:num>
  <w:num w:numId="98">
    <w:abstractNumId w:val="18"/>
  </w:num>
  <w:num w:numId="99">
    <w:abstractNumId w:val="51"/>
  </w:num>
  <w:num w:numId="100">
    <w:abstractNumId w:val="94"/>
  </w:num>
  <w:num w:numId="101">
    <w:abstractNumId w:val="91"/>
  </w:num>
  <w:num w:numId="102">
    <w:abstractNumId w:val="23"/>
  </w:num>
  <w:num w:numId="103">
    <w:abstractNumId w:val="16"/>
  </w:num>
  <w:num w:numId="104">
    <w:abstractNumId w:val="64"/>
  </w:num>
  <w:num w:numId="105">
    <w:abstractNumId w:val="100"/>
  </w:num>
  <w:num w:numId="106">
    <w:abstractNumId w:val="37"/>
  </w:num>
  <w:num w:numId="107">
    <w:abstractNumId w:val="96"/>
  </w:num>
  <w:num w:numId="108">
    <w:abstractNumId w:val="29"/>
  </w:num>
  <w:num w:numId="109">
    <w:abstractNumId w:val="61"/>
  </w:num>
  <w:num w:numId="110">
    <w:abstractNumId w:val="61"/>
  </w:num>
  <w:num w:numId="111">
    <w:abstractNumId w:val="2"/>
  </w:num>
  <w:num w:numId="112">
    <w:abstractNumId w:val="8"/>
  </w:num>
  <w:num w:numId="113">
    <w:abstractNumId w:val="40"/>
  </w:num>
  <w:num w:numId="114">
    <w:abstractNumId w:val="22"/>
  </w:num>
  <w:num w:numId="115">
    <w:abstractNumId w:val="30"/>
  </w:num>
  <w:num w:numId="116">
    <w:abstractNumId w:val="53"/>
  </w:num>
  <w:num w:numId="117">
    <w:abstractNumId w:val="17"/>
  </w:num>
  <w:num w:numId="118">
    <w:abstractNumId w:val="10"/>
  </w:num>
  <w:num w:numId="119">
    <w:abstractNumId w:val="95"/>
  </w:num>
  <w:num w:numId="120">
    <w:abstractNumId w:val="54"/>
  </w:num>
  <w:num w:numId="121">
    <w:abstractNumId w:val="67"/>
  </w:num>
  <w:num w:numId="122">
    <w:abstractNumId w:val="49"/>
  </w:num>
  <w:num w:numId="123">
    <w:abstractNumId w:val="27"/>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revisionView w:markup="0"/>
  <w:defaultTabStop w:val="720"/>
  <w:hyphenationZone w:val="425"/>
  <w:characterSpacingControl w:val="doNotCompress"/>
  <w:hdrShapeDefaults>
    <o:shapedefaults v:ext="edit" spidmax="2051"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9BB1D73-D0F6-4F9D-AB6D-BFC08BCB3421"/>
    <w:docVar w:name="LW_COVERPAGE_TYPE" w:val="1"/>
    <w:docVar w:name="LW_CROSSREFERENCE" w:val="&lt;UNUSED&gt;"/>
    <w:docVar w:name="LW_DocType" w:val="NORMAL"/>
    <w:docVar w:name="LW_EMISSION" w:val="4.12.2025"/>
    <w:docVar w:name="LW_EMISSION_ISODATE" w:val="2025-12-04"/>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7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Strategia UE în materie de droguri"/>
    <w:docVar w:name="LW_TYPE.DOC.CP" w:val="COMUNICARE A COMISIEI C\u258?TRE PARLAMENTUL EUROPEAN \u536?I CONSILIU"/>
    <w:docVar w:name="LW_TYPE.DOC.CP.USERTEXT" w:val="&lt;EMPTY&gt;"/>
    <w:docVar w:name="LwApiVersions" w:val="LW4CoDe 1.24.5.0; LW 9.2, Build 20251112"/>
  </w:docVars>
  <w:rsids>
    <w:rsidRoot w:val="002F2AEF"/>
    <w:rsid w:val="000005D1"/>
    <w:rsid w:val="0000084A"/>
    <w:rsid w:val="0000120E"/>
    <w:rsid w:val="000014CA"/>
    <w:rsid w:val="000017D0"/>
    <w:rsid w:val="00001C4F"/>
    <w:rsid w:val="00001D6A"/>
    <w:rsid w:val="000021B9"/>
    <w:rsid w:val="0000233B"/>
    <w:rsid w:val="000023F5"/>
    <w:rsid w:val="000024B9"/>
    <w:rsid w:val="000026C3"/>
    <w:rsid w:val="0000274A"/>
    <w:rsid w:val="00002983"/>
    <w:rsid w:val="00002BCA"/>
    <w:rsid w:val="00002C8E"/>
    <w:rsid w:val="00002EA3"/>
    <w:rsid w:val="00002F26"/>
    <w:rsid w:val="00002FA0"/>
    <w:rsid w:val="00002FC4"/>
    <w:rsid w:val="000031E3"/>
    <w:rsid w:val="0000329D"/>
    <w:rsid w:val="000035CA"/>
    <w:rsid w:val="000036DA"/>
    <w:rsid w:val="00003A70"/>
    <w:rsid w:val="00003B93"/>
    <w:rsid w:val="00003BD8"/>
    <w:rsid w:val="00003BFD"/>
    <w:rsid w:val="00004371"/>
    <w:rsid w:val="000043FF"/>
    <w:rsid w:val="000044AB"/>
    <w:rsid w:val="0000488B"/>
    <w:rsid w:val="00004C6C"/>
    <w:rsid w:val="00004C7E"/>
    <w:rsid w:val="00004D49"/>
    <w:rsid w:val="00004D4D"/>
    <w:rsid w:val="00004FBD"/>
    <w:rsid w:val="00005255"/>
    <w:rsid w:val="00005371"/>
    <w:rsid w:val="0000558E"/>
    <w:rsid w:val="0000560B"/>
    <w:rsid w:val="00005686"/>
    <w:rsid w:val="000056B9"/>
    <w:rsid w:val="00005A5E"/>
    <w:rsid w:val="00005FA6"/>
    <w:rsid w:val="00006226"/>
    <w:rsid w:val="000062A3"/>
    <w:rsid w:val="000063B1"/>
    <w:rsid w:val="000066DD"/>
    <w:rsid w:val="000068A2"/>
    <w:rsid w:val="0000692B"/>
    <w:rsid w:val="00006D71"/>
    <w:rsid w:val="00006D96"/>
    <w:rsid w:val="00007171"/>
    <w:rsid w:val="00007389"/>
    <w:rsid w:val="000073BA"/>
    <w:rsid w:val="000073C2"/>
    <w:rsid w:val="000074BF"/>
    <w:rsid w:val="000076B0"/>
    <w:rsid w:val="0000777B"/>
    <w:rsid w:val="000077B7"/>
    <w:rsid w:val="000078F9"/>
    <w:rsid w:val="00007969"/>
    <w:rsid w:val="00007A50"/>
    <w:rsid w:val="00007D87"/>
    <w:rsid w:val="00007F6B"/>
    <w:rsid w:val="00010028"/>
    <w:rsid w:val="00010235"/>
    <w:rsid w:val="00010754"/>
    <w:rsid w:val="00011065"/>
    <w:rsid w:val="0001107B"/>
    <w:rsid w:val="00011119"/>
    <w:rsid w:val="000111FD"/>
    <w:rsid w:val="00011406"/>
    <w:rsid w:val="000117B4"/>
    <w:rsid w:val="0001180B"/>
    <w:rsid w:val="00011914"/>
    <w:rsid w:val="000119FF"/>
    <w:rsid w:val="00011C85"/>
    <w:rsid w:val="00011ECB"/>
    <w:rsid w:val="00011FE2"/>
    <w:rsid w:val="00012121"/>
    <w:rsid w:val="00012155"/>
    <w:rsid w:val="00012182"/>
    <w:rsid w:val="00012258"/>
    <w:rsid w:val="000123DA"/>
    <w:rsid w:val="0001296A"/>
    <w:rsid w:val="00012B83"/>
    <w:rsid w:val="00012BCC"/>
    <w:rsid w:val="00012F48"/>
    <w:rsid w:val="0001325E"/>
    <w:rsid w:val="0001332C"/>
    <w:rsid w:val="0001337E"/>
    <w:rsid w:val="000139AC"/>
    <w:rsid w:val="00013A1E"/>
    <w:rsid w:val="00013B19"/>
    <w:rsid w:val="00013C79"/>
    <w:rsid w:val="00014B09"/>
    <w:rsid w:val="00014D6E"/>
    <w:rsid w:val="00014F41"/>
    <w:rsid w:val="00014F5F"/>
    <w:rsid w:val="000156B4"/>
    <w:rsid w:val="000157CE"/>
    <w:rsid w:val="0001599E"/>
    <w:rsid w:val="00015D41"/>
    <w:rsid w:val="00015EA2"/>
    <w:rsid w:val="000160D3"/>
    <w:rsid w:val="00016389"/>
    <w:rsid w:val="0001659C"/>
    <w:rsid w:val="00016625"/>
    <w:rsid w:val="00016708"/>
    <w:rsid w:val="00016948"/>
    <w:rsid w:val="00016A1E"/>
    <w:rsid w:val="00016BAC"/>
    <w:rsid w:val="00016E4A"/>
    <w:rsid w:val="000172A1"/>
    <w:rsid w:val="000172AC"/>
    <w:rsid w:val="000177BB"/>
    <w:rsid w:val="00017AE6"/>
    <w:rsid w:val="0002018D"/>
    <w:rsid w:val="000201B5"/>
    <w:rsid w:val="000202CD"/>
    <w:rsid w:val="00020345"/>
    <w:rsid w:val="0002080D"/>
    <w:rsid w:val="00020890"/>
    <w:rsid w:val="00020A76"/>
    <w:rsid w:val="00020FDD"/>
    <w:rsid w:val="00021088"/>
    <w:rsid w:val="0002113C"/>
    <w:rsid w:val="00021276"/>
    <w:rsid w:val="000212BF"/>
    <w:rsid w:val="0002182C"/>
    <w:rsid w:val="00021A2B"/>
    <w:rsid w:val="00021FA3"/>
    <w:rsid w:val="00022136"/>
    <w:rsid w:val="000221DD"/>
    <w:rsid w:val="000223BA"/>
    <w:rsid w:val="00022745"/>
    <w:rsid w:val="00022924"/>
    <w:rsid w:val="00022D49"/>
    <w:rsid w:val="00022FFF"/>
    <w:rsid w:val="00023000"/>
    <w:rsid w:val="00023120"/>
    <w:rsid w:val="00023380"/>
    <w:rsid w:val="0002343A"/>
    <w:rsid w:val="00023508"/>
    <w:rsid w:val="00023513"/>
    <w:rsid w:val="0002364B"/>
    <w:rsid w:val="00023B94"/>
    <w:rsid w:val="00023BB2"/>
    <w:rsid w:val="00023BEF"/>
    <w:rsid w:val="00023BF2"/>
    <w:rsid w:val="00023ECB"/>
    <w:rsid w:val="000240C8"/>
    <w:rsid w:val="0002427A"/>
    <w:rsid w:val="000244A2"/>
    <w:rsid w:val="00024B69"/>
    <w:rsid w:val="00024B88"/>
    <w:rsid w:val="00024BCF"/>
    <w:rsid w:val="00024F8C"/>
    <w:rsid w:val="00025152"/>
    <w:rsid w:val="00025189"/>
    <w:rsid w:val="0002518F"/>
    <w:rsid w:val="00025393"/>
    <w:rsid w:val="00025616"/>
    <w:rsid w:val="0002587C"/>
    <w:rsid w:val="00026250"/>
    <w:rsid w:val="00026551"/>
    <w:rsid w:val="000267E8"/>
    <w:rsid w:val="000268F4"/>
    <w:rsid w:val="00026981"/>
    <w:rsid w:val="00026A23"/>
    <w:rsid w:val="00026CF8"/>
    <w:rsid w:val="0002716B"/>
    <w:rsid w:val="0002740E"/>
    <w:rsid w:val="00027790"/>
    <w:rsid w:val="00027B8A"/>
    <w:rsid w:val="00030173"/>
    <w:rsid w:val="00030245"/>
    <w:rsid w:val="000305D8"/>
    <w:rsid w:val="00030625"/>
    <w:rsid w:val="0003069C"/>
    <w:rsid w:val="000306C0"/>
    <w:rsid w:val="000308D5"/>
    <w:rsid w:val="00030AC8"/>
    <w:rsid w:val="00030D1B"/>
    <w:rsid w:val="00030F1D"/>
    <w:rsid w:val="00030F22"/>
    <w:rsid w:val="0003109C"/>
    <w:rsid w:val="000310EC"/>
    <w:rsid w:val="000311AB"/>
    <w:rsid w:val="00031599"/>
    <w:rsid w:val="00031633"/>
    <w:rsid w:val="00031AD9"/>
    <w:rsid w:val="00031F2F"/>
    <w:rsid w:val="00032118"/>
    <w:rsid w:val="00032657"/>
    <w:rsid w:val="00032877"/>
    <w:rsid w:val="00032919"/>
    <w:rsid w:val="00032928"/>
    <w:rsid w:val="00032951"/>
    <w:rsid w:val="00032AAA"/>
    <w:rsid w:val="00032BA2"/>
    <w:rsid w:val="00032D81"/>
    <w:rsid w:val="00032F33"/>
    <w:rsid w:val="00033335"/>
    <w:rsid w:val="00033AC6"/>
    <w:rsid w:val="00033B78"/>
    <w:rsid w:val="00033BF2"/>
    <w:rsid w:val="000342B8"/>
    <w:rsid w:val="000342D0"/>
    <w:rsid w:val="00034337"/>
    <w:rsid w:val="0003435B"/>
    <w:rsid w:val="000343C3"/>
    <w:rsid w:val="000343E6"/>
    <w:rsid w:val="000346B3"/>
    <w:rsid w:val="0003475B"/>
    <w:rsid w:val="000348F2"/>
    <w:rsid w:val="000349F8"/>
    <w:rsid w:val="00034A29"/>
    <w:rsid w:val="00034BE1"/>
    <w:rsid w:val="00034C5D"/>
    <w:rsid w:val="00035200"/>
    <w:rsid w:val="000353F5"/>
    <w:rsid w:val="00035481"/>
    <w:rsid w:val="0003549A"/>
    <w:rsid w:val="0003562F"/>
    <w:rsid w:val="00035DA0"/>
    <w:rsid w:val="00035F44"/>
    <w:rsid w:val="00035F8E"/>
    <w:rsid w:val="00036015"/>
    <w:rsid w:val="0003626B"/>
    <w:rsid w:val="000363C7"/>
    <w:rsid w:val="000364E8"/>
    <w:rsid w:val="0003667F"/>
    <w:rsid w:val="000368D5"/>
    <w:rsid w:val="00036900"/>
    <w:rsid w:val="00036911"/>
    <w:rsid w:val="00036ACD"/>
    <w:rsid w:val="00036F43"/>
    <w:rsid w:val="00037064"/>
    <w:rsid w:val="00037070"/>
    <w:rsid w:val="000371A9"/>
    <w:rsid w:val="000372EA"/>
    <w:rsid w:val="00037652"/>
    <w:rsid w:val="00037696"/>
    <w:rsid w:val="00037845"/>
    <w:rsid w:val="000379CC"/>
    <w:rsid w:val="00037B51"/>
    <w:rsid w:val="00037CB1"/>
    <w:rsid w:val="000400C1"/>
    <w:rsid w:val="000401B5"/>
    <w:rsid w:val="00040835"/>
    <w:rsid w:val="00040E6B"/>
    <w:rsid w:val="00040E85"/>
    <w:rsid w:val="0004103A"/>
    <w:rsid w:val="000412AD"/>
    <w:rsid w:val="000412B9"/>
    <w:rsid w:val="0004136A"/>
    <w:rsid w:val="0004165C"/>
    <w:rsid w:val="0004196F"/>
    <w:rsid w:val="000419F5"/>
    <w:rsid w:val="00041A81"/>
    <w:rsid w:val="00041B0B"/>
    <w:rsid w:val="00041B48"/>
    <w:rsid w:val="00042142"/>
    <w:rsid w:val="000421BF"/>
    <w:rsid w:val="0004225E"/>
    <w:rsid w:val="00042327"/>
    <w:rsid w:val="000423ED"/>
    <w:rsid w:val="0004240F"/>
    <w:rsid w:val="00042472"/>
    <w:rsid w:val="00042641"/>
    <w:rsid w:val="00042738"/>
    <w:rsid w:val="0004279A"/>
    <w:rsid w:val="0004293D"/>
    <w:rsid w:val="000429F6"/>
    <w:rsid w:val="00042A62"/>
    <w:rsid w:val="00042AE6"/>
    <w:rsid w:val="000433ED"/>
    <w:rsid w:val="0004353C"/>
    <w:rsid w:val="000437BB"/>
    <w:rsid w:val="0004387E"/>
    <w:rsid w:val="00043A7D"/>
    <w:rsid w:val="00043C64"/>
    <w:rsid w:val="00043D27"/>
    <w:rsid w:val="00043DAC"/>
    <w:rsid w:val="0004411D"/>
    <w:rsid w:val="000443F5"/>
    <w:rsid w:val="00044747"/>
    <w:rsid w:val="0004478B"/>
    <w:rsid w:val="00044C9C"/>
    <w:rsid w:val="00044CCE"/>
    <w:rsid w:val="00044F51"/>
    <w:rsid w:val="00045722"/>
    <w:rsid w:val="0004585C"/>
    <w:rsid w:val="00045CA3"/>
    <w:rsid w:val="000460C8"/>
    <w:rsid w:val="0004610E"/>
    <w:rsid w:val="0004623D"/>
    <w:rsid w:val="000462B0"/>
    <w:rsid w:val="00046AD6"/>
    <w:rsid w:val="00046FD6"/>
    <w:rsid w:val="000471AA"/>
    <w:rsid w:val="00047656"/>
    <w:rsid w:val="00047834"/>
    <w:rsid w:val="000478B1"/>
    <w:rsid w:val="0004794D"/>
    <w:rsid w:val="00047B1C"/>
    <w:rsid w:val="00047B83"/>
    <w:rsid w:val="00047BEF"/>
    <w:rsid w:val="00047C16"/>
    <w:rsid w:val="00047C62"/>
    <w:rsid w:val="00047EC8"/>
    <w:rsid w:val="0005010B"/>
    <w:rsid w:val="00050149"/>
    <w:rsid w:val="000502A8"/>
    <w:rsid w:val="000504C0"/>
    <w:rsid w:val="000506B5"/>
    <w:rsid w:val="00050718"/>
    <w:rsid w:val="00050B5E"/>
    <w:rsid w:val="00050D1B"/>
    <w:rsid w:val="00050E08"/>
    <w:rsid w:val="000513BB"/>
    <w:rsid w:val="00051832"/>
    <w:rsid w:val="00051B7F"/>
    <w:rsid w:val="0005216F"/>
    <w:rsid w:val="00052173"/>
    <w:rsid w:val="000522E5"/>
    <w:rsid w:val="0005256B"/>
    <w:rsid w:val="00052579"/>
    <w:rsid w:val="000525CD"/>
    <w:rsid w:val="000526D0"/>
    <w:rsid w:val="0005275A"/>
    <w:rsid w:val="00052939"/>
    <w:rsid w:val="00052A57"/>
    <w:rsid w:val="00052D2D"/>
    <w:rsid w:val="00052DC1"/>
    <w:rsid w:val="00052E0D"/>
    <w:rsid w:val="00052FF7"/>
    <w:rsid w:val="00053218"/>
    <w:rsid w:val="00053477"/>
    <w:rsid w:val="00053A34"/>
    <w:rsid w:val="00053BA4"/>
    <w:rsid w:val="00054181"/>
    <w:rsid w:val="000543FB"/>
    <w:rsid w:val="00054829"/>
    <w:rsid w:val="000548BF"/>
    <w:rsid w:val="000548F7"/>
    <w:rsid w:val="0005494C"/>
    <w:rsid w:val="00054BCA"/>
    <w:rsid w:val="00054D2F"/>
    <w:rsid w:val="000551F9"/>
    <w:rsid w:val="00055357"/>
    <w:rsid w:val="00055477"/>
    <w:rsid w:val="00055BD8"/>
    <w:rsid w:val="00055F81"/>
    <w:rsid w:val="0005659A"/>
    <w:rsid w:val="000568E3"/>
    <w:rsid w:val="000569E4"/>
    <w:rsid w:val="00056B20"/>
    <w:rsid w:val="00056BFF"/>
    <w:rsid w:val="00056F33"/>
    <w:rsid w:val="00056F96"/>
    <w:rsid w:val="00057087"/>
    <w:rsid w:val="0005715C"/>
    <w:rsid w:val="0005743A"/>
    <w:rsid w:val="00057533"/>
    <w:rsid w:val="000575B1"/>
    <w:rsid w:val="00057682"/>
    <w:rsid w:val="0006007C"/>
    <w:rsid w:val="00060243"/>
    <w:rsid w:val="0006025D"/>
    <w:rsid w:val="000603EB"/>
    <w:rsid w:val="000603F4"/>
    <w:rsid w:val="00060616"/>
    <w:rsid w:val="0006062C"/>
    <w:rsid w:val="000608F5"/>
    <w:rsid w:val="00060A75"/>
    <w:rsid w:val="00060B77"/>
    <w:rsid w:val="00060DA8"/>
    <w:rsid w:val="00060DFC"/>
    <w:rsid w:val="00061184"/>
    <w:rsid w:val="0006148E"/>
    <w:rsid w:val="000615CF"/>
    <w:rsid w:val="000616DF"/>
    <w:rsid w:val="00061E4F"/>
    <w:rsid w:val="00061F53"/>
    <w:rsid w:val="000622D5"/>
    <w:rsid w:val="000623F7"/>
    <w:rsid w:val="000624AE"/>
    <w:rsid w:val="00062A52"/>
    <w:rsid w:val="00062DCE"/>
    <w:rsid w:val="00062DFF"/>
    <w:rsid w:val="00063124"/>
    <w:rsid w:val="0006315E"/>
    <w:rsid w:val="000634B4"/>
    <w:rsid w:val="000635FC"/>
    <w:rsid w:val="00063B29"/>
    <w:rsid w:val="00063CC6"/>
    <w:rsid w:val="000641A9"/>
    <w:rsid w:val="00064407"/>
    <w:rsid w:val="00064412"/>
    <w:rsid w:val="00064437"/>
    <w:rsid w:val="0006480D"/>
    <w:rsid w:val="000651EF"/>
    <w:rsid w:val="00065301"/>
    <w:rsid w:val="00065325"/>
    <w:rsid w:val="00065468"/>
    <w:rsid w:val="00065666"/>
    <w:rsid w:val="000659F6"/>
    <w:rsid w:val="00065B86"/>
    <w:rsid w:val="00065DBD"/>
    <w:rsid w:val="00065E8F"/>
    <w:rsid w:val="00066034"/>
    <w:rsid w:val="00066094"/>
    <w:rsid w:val="0006612E"/>
    <w:rsid w:val="00066277"/>
    <w:rsid w:val="000662E2"/>
    <w:rsid w:val="000666AA"/>
    <w:rsid w:val="000666CC"/>
    <w:rsid w:val="0006675D"/>
    <w:rsid w:val="00066766"/>
    <w:rsid w:val="000668D6"/>
    <w:rsid w:val="000668F1"/>
    <w:rsid w:val="0006699C"/>
    <w:rsid w:val="00066A8A"/>
    <w:rsid w:val="00066CBB"/>
    <w:rsid w:val="000670F4"/>
    <w:rsid w:val="00067443"/>
    <w:rsid w:val="000676C4"/>
    <w:rsid w:val="0006781C"/>
    <w:rsid w:val="00067835"/>
    <w:rsid w:val="00067982"/>
    <w:rsid w:val="00067B56"/>
    <w:rsid w:val="00067C1F"/>
    <w:rsid w:val="00067F3A"/>
    <w:rsid w:val="00067F83"/>
    <w:rsid w:val="00070074"/>
    <w:rsid w:val="0007011F"/>
    <w:rsid w:val="00070362"/>
    <w:rsid w:val="00070E75"/>
    <w:rsid w:val="00070FE8"/>
    <w:rsid w:val="00071102"/>
    <w:rsid w:val="000712CB"/>
    <w:rsid w:val="00071360"/>
    <w:rsid w:val="00071442"/>
    <w:rsid w:val="0007178D"/>
    <w:rsid w:val="00071C93"/>
    <w:rsid w:val="00071DF9"/>
    <w:rsid w:val="0007200D"/>
    <w:rsid w:val="00072079"/>
    <w:rsid w:val="0007245B"/>
    <w:rsid w:val="0007272F"/>
    <w:rsid w:val="00072773"/>
    <w:rsid w:val="000727BB"/>
    <w:rsid w:val="000729BB"/>
    <w:rsid w:val="00072C32"/>
    <w:rsid w:val="00072C36"/>
    <w:rsid w:val="00072DC4"/>
    <w:rsid w:val="00072F34"/>
    <w:rsid w:val="000731CD"/>
    <w:rsid w:val="0007371B"/>
    <w:rsid w:val="00073741"/>
    <w:rsid w:val="00073A64"/>
    <w:rsid w:val="00073AEB"/>
    <w:rsid w:val="00073B0F"/>
    <w:rsid w:val="00073B83"/>
    <w:rsid w:val="00073E90"/>
    <w:rsid w:val="00074033"/>
    <w:rsid w:val="00074065"/>
    <w:rsid w:val="00074326"/>
    <w:rsid w:val="0007459E"/>
    <w:rsid w:val="0007482E"/>
    <w:rsid w:val="00074B54"/>
    <w:rsid w:val="00074C20"/>
    <w:rsid w:val="00074CD5"/>
    <w:rsid w:val="00074D49"/>
    <w:rsid w:val="00074EAC"/>
    <w:rsid w:val="00074FCB"/>
    <w:rsid w:val="0007504B"/>
    <w:rsid w:val="00075070"/>
    <w:rsid w:val="00075123"/>
    <w:rsid w:val="00075315"/>
    <w:rsid w:val="00075971"/>
    <w:rsid w:val="00075CE6"/>
    <w:rsid w:val="00075D92"/>
    <w:rsid w:val="00075EE0"/>
    <w:rsid w:val="00075F79"/>
    <w:rsid w:val="00076046"/>
    <w:rsid w:val="00076166"/>
    <w:rsid w:val="000762A8"/>
    <w:rsid w:val="000763A5"/>
    <w:rsid w:val="000763F3"/>
    <w:rsid w:val="0007670B"/>
    <w:rsid w:val="000768F2"/>
    <w:rsid w:val="00077482"/>
    <w:rsid w:val="000774E7"/>
    <w:rsid w:val="0007784D"/>
    <w:rsid w:val="00077B93"/>
    <w:rsid w:val="00077C9E"/>
    <w:rsid w:val="00077D6F"/>
    <w:rsid w:val="00077E56"/>
    <w:rsid w:val="00077F33"/>
    <w:rsid w:val="00080944"/>
    <w:rsid w:val="000809D4"/>
    <w:rsid w:val="00080F1A"/>
    <w:rsid w:val="00081166"/>
    <w:rsid w:val="0008145D"/>
    <w:rsid w:val="0008152A"/>
    <w:rsid w:val="000815B1"/>
    <w:rsid w:val="00081843"/>
    <w:rsid w:val="00081B3F"/>
    <w:rsid w:val="00081BC7"/>
    <w:rsid w:val="00081C51"/>
    <w:rsid w:val="00081D27"/>
    <w:rsid w:val="00081D59"/>
    <w:rsid w:val="00081E75"/>
    <w:rsid w:val="00081E8B"/>
    <w:rsid w:val="00082375"/>
    <w:rsid w:val="000827CA"/>
    <w:rsid w:val="00082BD1"/>
    <w:rsid w:val="00082E92"/>
    <w:rsid w:val="00082E94"/>
    <w:rsid w:val="00082EB9"/>
    <w:rsid w:val="00082EFB"/>
    <w:rsid w:val="00082FFA"/>
    <w:rsid w:val="0008317E"/>
    <w:rsid w:val="000833D8"/>
    <w:rsid w:val="00083616"/>
    <w:rsid w:val="000838C5"/>
    <w:rsid w:val="000839D8"/>
    <w:rsid w:val="00083A9F"/>
    <w:rsid w:val="00083BA4"/>
    <w:rsid w:val="00083C55"/>
    <w:rsid w:val="00083DCC"/>
    <w:rsid w:val="00083EB7"/>
    <w:rsid w:val="00083F4E"/>
    <w:rsid w:val="000840BE"/>
    <w:rsid w:val="0008457A"/>
    <w:rsid w:val="00084875"/>
    <w:rsid w:val="00084B52"/>
    <w:rsid w:val="00085050"/>
    <w:rsid w:val="000850E8"/>
    <w:rsid w:val="00085251"/>
    <w:rsid w:val="000853B1"/>
    <w:rsid w:val="000859D9"/>
    <w:rsid w:val="00085EA3"/>
    <w:rsid w:val="00085F2E"/>
    <w:rsid w:val="00085FC9"/>
    <w:rsid w:val="000861FE"/>
    <w:rsid w:val="000869D1"/>
    <w:rsid w:val="00086AB3"/>
    <w:rsid w:val="00086AE7"/>
    <w:rsid w:val="00086E3B"/>
    <w:rsid w:val="00087287"/>
    <w:rsid w:val="000872C4"/>
    <w:rsid w:val="000873EB"/>
    <w:rsid w:val="00087718"/>
    <w:rsid w:val="0008779B"/>
    <w:rsid w:val="00087BCE"/>
    <w:rsid w:val="00087BFE"/>
    <w:rsid w:val="00087D3D"/>
    <w:rsid w:val="000901BB"/>
    <w:rsid w:val="00090558"/>
    <w:rsid w:val="000907E9"/>
    <w:rsid w:val="00090845"/>
    <w:rsid w:val="00090A03"/>
    <w:rsid w:val="00090E9E"/>
    <w:rsid w:val="0009143F"/>
    <w:rsid w:val="000914B0"/>
    <w:rsid w:val="000914F5"/>
    <w:rsid w:val="0009165E"/>
    <w:rsid w:val="00091682"/>
    <w:rsid w:val="00091982"/>
    <w:rsid w:val="00091C02"/>
    <w:rsid w:val="00091D3D"/>
    <w:rsid w:val="00092271"/>
    <w:rsid w:val="00092394"/>
    <w:rsid w:val="00092803"/>
    <w:rsid w:val="000928D7"/>
    <w:rsid w:val="00092903"/>
    <w:rsid w:val="00092BA2"/>
    <w:rsid w:val="00092BF5"/>
    <w:rsid w:val="00092C82"/>
    <w:rsid w:val="00092C95"/>
    <w:rsid w:val="00092FCD"/>
    <w:rsid w:val="000930B0"/>
    <w:rsid w:val="00093384"/>
    <w:rsid w:val="0009363B"/>
    <w:rsid w:val="000939F9"/>
    <w:rsid w:val="00093C57"/>
    <w:rsid w:val="000942E1"/>
    <w:rsid w:val="000944D1"/>
    <w:rsid w:val="00094577"/>
    <w:rsid w:val="0009472C"/>
    <w:rsid w:val="000947AE"/>
    <w:rsid w:val="00094B5D"/>
    <w:rsid w:val="00094BF0"/>
    <w:rsid w:val="00094D63"/>
    <w:rsid w:val="00094DCC"/>
    <w:rsid w:val="00094DCF"/>
    <w:rsid w:val="00095051"/>
    <w:rsid w:val="000951A2"/>
    <w:rsid w:val="000953EE"/>
    <w:rsid w:val="00095557"/>
    <w:rsid w:val="0009567A"/>
    <w:rsid w:val="000956F4"/>
    <w:rsid w:val="00095AAC"/>
    <w:rsid w:val="00095C1C"/>
    <w:rsid w:val="00095CD7"/>
    <w:rsid w:val="00095F4E"/>
    <w:rsid w:val="000962DB"/>
    <w:rsid w:val="000965DF"/>
    <w:rsid w:val="000969AA"/>
    <w:rsid w:val="000971A8"/>
    <w:rsid w:val="0009724E"/>
    <w:rsid w:val="0009732F"/>
    <w:rsid w:val="000975C7"/>
    <w:rsid w:val="00097D45"/>
    <w:rsid w:val="000A01F8"/>
    <w:rsid w:val="000A0269"/>
    <w:rsid w:val="000A06E5"/>
    <w:rsid w:val="000A09A9"/>
    <w:rsid w:val="000A0C7A"/>
    <w:rsid w:val="000A0D96"/>
    <w:rsid w:val="000A0FAF"/>
    <w:rsid w:val="000A129C"/>
    <w:rsid w:val="000A1379"/>
    <w:rsid w:val="000A1761"/>
    <w:rsid w:val="000A1B28"/>
    <w:rsid w:val="000A1C02"/>
    <w:rsid w:val="000A1F8E"/>
    <w:rsid w:val="000A204F"/>
    <w:rsid w:val="000A2112"/>
    <w:rsid w:val="000A227C"/>
    <w:rsid w:val="000A22E4"/>
    <w:rsid w:val="000A2589"/>
    <w:rsid w:val="000A26A4"/>
    <w:rsid w:val="000A2829"/>
    <w:rsid w:val="000A29C8"/>
    <w:rsid w:val="000A2AFB"/>
    <w:rsid w:val="000A2FF9"/>
    <w:rsid w:val="000A354F"/>
    <w:rsid w:val="000A3828"/>
    <w:rsid w:val="000A3957"/>
    <w:rsid w:val="000A39B8"/>
    <w:rsid w:val="000A3A15"/>
    <w:rsid w:val="000A3A97"/>
    <w:rsid w:val="000A3ED4"/>
    <w:rsid w:val="000A4277"/>
    <w:rsid w:val="000A4367"/>
    <w:rsid w:val="000A497B"/>
    <w:rsid w:val="000A49FD"/>
    <w:rsid w:val="000A4A11"/>
    <w:rsid w:val="000A4D0E"/>
    <w:rsid w:val="000A4DEA"/>
    <w:rsid w:val="000A53D9"/>
    <w:rsid w:val="000A5540"/>
    <w:rsid w:val="000A55BA"/>
    <w:rsid w:val="000A5618"/>
    <w:rsid w:val="000A5A23"/>
    <w:rsid w:val="000A5A2F"/>
    <w:rsid w:val="000A5AD6"/>
    <w:rsid w:val="000A5B64"/>
    <w:rsid w:val="000A5C8E"/>
    <w:rsid w:val="000A5D0C"/>
    <w:rsid w:val="000A5EBB"/>
    <w:rsid w:val="000A5F26"/>
    <w:rsid w:val="000A63C3"/>
    <w:rsid w:val="000A6407"/>
    <w:rsid w:val="000A6507"/>
    <w:rsid w:val="000A6595"/>
    <w:rsid w:val="000A6B0F"/>
    <w:rsid w:val="000A6C5A"/>
    <w:rsid w:val="000A6CF5"/>
    <w:rsid w:val="000A6DF8"/>
    <w:rsid w:val="000A6FBD"/>
    <w:rsid w:val="000A7189"/>
    <w:rsid w:val="000A72A5"/>
    <w:rsid w:val="000A7385"/>
    <w:rsid w:val="000A784C"/>
    <w:rsid w:val="000A7964"/>
    <w:rsid w:val="000A7B13"/>
    <w:rsid w:val="000A7B48"/>
    <w:rsid w:val="000A7C8E"/>
    <w:rsid w:val="000A7CA1"/>
    <w:rsid w:val="000A7D8B"/>
    <w:rsid w:val="000B03D5"/>
    <w:rsid w:val="000B04CC"/>
    <w:rsid w:val="000B061A"/>
    <w:rsid w:val="000B0B7B"/>
    <w:rsid w:val="000B107E"/>
    <w:rsid w:val="000B12E0"/>
    <w:rsid w:val="000B12E3"/>
    <w:rsid w:val="000B1820"/>
    <w:rsid w:val="000B1A46"/>
    <w:rsid w:val="000B1A8E"/>
    <w:rsid w:val="000B1EB3"/>
    <w:rsid w:val="000B2420"/>
    <w:rsid w:val="000B2892"/>
    <w:rsid w:val="000B2B8D"/>
    <w:rsid w:val="000B2C98"/>
    <w:rsid w:val="000B2FAB"/>
    <w:rsid w:val="000B30B2"/>
    <w:rsid w:val="000B311D"/>
    <w:rsid w:val="000B33F8"/>
    <w:rsid w:val="000B34C4"/>
    <w:rsid w:val="000B35BC"/>
    <w:rsid w:val="000B36A8"/>
    <w:rsid w:val="000B3E03"/>
    <w:rsid w:val="000B4255"/>
    <w:rsid w:val="000B452C"/>
    <w:rsid w:val="000B46BF"/>
    <w:rsid w:val="000B4C29"/>
    <w:rsid w:val="000B4C43"/>
    <w:rsid w:val="000B4DA1"/>
    <w:rsid w:val="000B4E25"/>
    <w:rsid w:val="000B4F7A"/>
    <w:rsid w:val="000B55A0"/>
    <w:rsid w:val="000B56DF"/>
    <w:rsid w:val="000B5C2E"/>
    <w:rsid w:val="000B69FB"/>
    <w:rsid w:val="000B6B83"/>
    <w:rsid w:val="000B6F0E"/>
    <w:rsid w:val="000B71F2"/>
    <w:rsid w:val="000B72D3"/>
    <w:rsid w:val="000B73BF"/>
    <w:rsid w:val="000B7446"/>
    <w:rsid w:val="000B762F"/>
    <w:rsid w:val="000B7A64"/>
    <w:rsid w:val="000B7AEC"/>
    <w:rsid w:val="000B7E09"/>
    <w:rsid w:val="000C00AB"/>
    <w:rsid w:val="000C00C3"/>
    <w:rsid w:val="000C0369"/>
    <w:rsid w:val="000C03AB"/>
    <w:rsid w:val="000C07E6"/>
    <w:rsid w:val="000C0A77"/>
    <w:rsid w:val="000C0BB3"/>
    <w:rsid w:val="000C10D5"/>
    <w:rsid w:val="000C12F0"/>
    <w:rsid w:val="000C1385"/>
    <w:rsid w:val="000C17F0"/>
    <w:rsid w:val="000C1E3B"/>
    <w:rsid w:val="000C20CA"/>
    <w:rsid w:val="000C22AB"/>
    <w:rsid w:val="000C2435"/>
    <w:rsid w:val="000C27FD"/>
    <w:rsid w:val="000C286D"/>
    <w:rsid w:val="000C2873"/>
    <w:rsid w:val="000C2928"/>
    <w:rsid w:val="000C29B7"/>
    <w:rsid w:val="000C29DD"/>
    <w:rsid w:val="000C2B17"/>
    <w:rsid w:val="000C2F25"/>
    <w:rsid w:val="000C31A0"/>
    <w:rsid w:val="000C384D"/>
    <w:rsid w:val="000C3865"/>
    <w:rsid w:val="000C3EDA"/>
    <w:rsid w:val="000C3F88"/>
    <w:rsid w:val="000C4378"/>
    <w:rsid w:val="000C449F"/>
    <w:rsid w:val="000C44CF"/>
    <w:rsid w:val="000C45FB"/>
    <w:rsid w:val="000C4696"/>
    <w:rsid w:val="000C49D5"/>
    <w:rsid w:val="000C4A5A"/>
    <w:rsid w:val="000C4AAE"/>
    <w:rsid w:val="000C4F9A"/>
    <w:rsid w:val="000C4F9C"/>
    <w:rsid w:val="000C5128"/>
    <w:rsid w:val="000C5528"/>
    <w:rsid w:val="000C5694"/>
    <w:rsid w:val="000C56CE"/>
    <w:rsid w:val="000C5816"/>
    <w:rsid w:val="000C5AED"/>
    <w:rsid w:val="000C5B31"/>
    <w:rsid w:val="000C5B83"/>
    <w:rsid w:val="000C5E5F"/>
    <w:rsid w:val="000C5F3D"/>
    <w:rsid w:val="000C6034"/>
    <w:rsid w:val="000C6438"/>
    <w:rsid w:val="000C647E"/>
    <w:rsid w:val="000C6A36"/>
    <w:rsid w:val="000C6D21"/>
    <w:rsid w:val="000C6D6A"/>
    <w:rsid w:val="000C6ED8"/>
    <w:rsid w:val="000C6F04"/>
    <w:rsid w:val="000C6F72"/>
    <w:rsid w:val="000C7325"/>
    <w:rsid w:val="000C7577"/>
    <w:rsid w:val="000C779B"/>
    <w:rsid w:val="000C7AF1"/>
    <w:rsid w:val="000C7D21"/>
    <w:rsid w:val="000C7F68"/>
    <w:rsid w:val="000C7FD2"/>
    <w:rsid w:val="000D0161"/>
    <w:rsid w:val="000D0322"/>
    <w:rsid w:val="000D03EA"/>
    <w:rsid w:val="000D068C"/>
    <w:rsid w:val="000D076A"/>
    <w:rsid w:val="000D07C9"/>
    <w:rsid w:val="000D082C"/>
    <w:rsid w:val="000D0F28"/>
    <w:rsid w:val="000D104B"/>
    <w:rsid w:val="000D1130"/>
    <w:rsid w:val="000D11E8"/>
    <w:rsid w:val="000D197D"/>
    <w:rsid w:val="000D1C2E"/>
    <w:rsid w:val="000D1E3C"/>
    <w:rsid w:val="000D23D7"/>
    <w:rsid w:val="000D26EC"/>
    <w:rsid w:val="000D275F"/>
    <w:rsid w:val="000D29AA"/>
    <w:rsid w:val="000D2C68"/>
    <w:rsid w:val="000D2DBE"/>
    <w:rsid w:val="000D2F8D"/>
    <w:rsid w:val="000D350E"/>
    <w:rsid w:val="000D3561"/>
    <w:rsid w:val="000D37E0"/>
    <w:rsid w:val="000D38F6"/>
    <w:rsid w:val="000D39FD"/>
    <w:rsid w:val="000D3D72"/>
    <w:rsid w:val="000D3FBC"/>
    <w:rsid w:val="000D4280"/>
    <w:rsid w:val="000D46D2"/>
    <w:rsid w:val="000D4A74"/>
    <w:rsid w:val="000D4C70"/>
    <w:rsid w:val="000D4DA5"/>
    <w:rsid w:val="000D4EC1"/>
    <w:rsid w:val="000D4FC2"/>
    <w:rsid w:val="000D5113"/>
    <w:rsid w:val="000D5234"/>
    <w:rsid w:val="000D528C"/>
    <w:rsid w:val="000D55CD"/>
    <w:rsid w:val="000D613E"/>
    <w:rsid w:val="000D6185"/>
    <w:rsid w:val="000D63A3"/>
    <w:rsid w:val="000D66DA"/>
    <w:rsid w:val="000D6744"/>
    <w:rsid w:val="000D688E"/>
    <w:rsid w:val="000D6BA3"/>
    <w:rsid w:val="000D6EC1"/>
    <w:rsid w:val="000D6F84"/>
    <w:rsid w:val="000D6FE4"/>
    <w:rsid w:val="000D70D6"/>
    <w:rsid w:val="000D70E7"/>
    <w:rsid w:val="000D731F"/>
    <w:rsid w:val="000D7359"/>
    <w:rsid w:val="000D76D5"/>
    <w:rsid w:val="000D77B0"/>
    <w:rsid w:val="000D7A3E"/>
    <w:rsid w:val="000D7CD2"/>
    <w:rsid w:val="000D7F78"/>
    <w:rsid w:val="000E0279"/>
    <w:rsid w:val="000E051B"/>
    <w:rsid w:val="000E05F7"/>
    <w:rsid w:val="000E0BB6"/>
    <w:rsid w:val="000E1495"/>
    <w:rsid w:val="000E1750"/>
    <w:rsid w:val="000E17DD"/>
    <w:rsid w:val="000E19F1"/>
    <w:rsid w:val="000E1A30"/>
    <w:rsid w:val="000E1B0A"/>
    <w:rsid w:val="000E1B93"/>
    <w:rsid w:val="000E1CEB"/>
    <w:rsid w:val="000E1EBC"/>
    <w:rsid w:val="000E20C5"/>
    <w:rsid w:val="000E2166"/>
    <w:rsid w:val="000E226B"/>
    <w:rsid w:val="000E232F"/>
    <w:rsid w:val="000E237B"/>
    <w:rsid w:val="000E245A"/>
    <w:rsid w:val="000E25B9"/>
    <w:rsid w:val="000E282D"/>
    <w:rsid w:val="000E2CFC"/>
    <w:rsid w:val="000E2F07"/>
    <w:rsid w:val="000E2F0D"/>
    <w:rsid w:val="000E3126"/>
    <w:rsid w:val="000E3530"/>
    <w:rsid w:val="000E38B3"/>
    <w:rsid w:val="000E3A3F"/>
    <w:rsid w:val="000E3D01"/>
    <w:rsid w:val="000E3E5C"/>
    <w:rsid w:val="000E420D"/>
    <w:rsid w:val="000E4266"/>
    <w:rsid w:val="000E47C6"/>
    <w:rsid w:val="000E4A82"/>
    <w:rsid w:val="000E4BE5"/>
    <w:rsid w:val="000E4D50"/>
    <w:rsid w:val="000E4E45"/>
    <w:rsid w:val="000E5171"/>
    <w:rsid w:val="000E5280"/>
    <w:rsid w:val="000E5338"/>
    <w:rsid w:val="000E578E"/>
    <w:rsid w:val="000E57CC"/>
    <w:rsid w:val="000E6009"/>
    <w:rsid w:val="000E6590"/>
    <w:rsid w:val="000E669C"/>
    <w:rsid w:val="000E6886"/>
    <w:rsid w:val="000E6A2B"/>
    <w:rsid w:val="000E6C1A"/>
    <w:rsid w:val="000E6F22"/>
    <w:rsid w:val="000E71C1"/>
    <w:rsid w:val="000E75DE"/>
    <w:rsid w:val="000E7FAE"/>
    <w:rsid w:val="000F08D0"/>
    <w:rsid w:val="000F0917"/>
    <w:rsid w:val="000F0C4B"/>
    <w:rsid w:val="000F0CC6"/>
    <w:rsid w:val="000F103C"/>
    <w:rsid w:val="000F11D9"/>
    <w:rsid w:val="000F1277"/>
    <w:rsid w:val="000F147C"/>
    <w:rsid w:val="000F18F7"/>
    <w:rsid w:val="000F1914"/>
    <w:rsid w:val="000F1CE0"/>
    <w:rsid w:val="000F1E75"/>
    <w:rsid w:val="000F1FC4"/>
    <w:rsid w:val="000F215B"/>
    <w:rsid w:val="000F21E6"/>
    <w:rsid w:val="000F223D"/>
    <w:rsid w:val="000F2461"/>
    <w:rsid w:val="000F265D"/>
    <w:rsid w:val="000F27FD"/>
    <w:rsid w:val="000F2C1B"/>
    <w:rsid w:val="000F2E99"/>
    <w:rsid w:val="000F3523"/>
    <w:rsid w:val="000F3645"/>
    <w:rsid w:val="000F366C"/>
    <w:rsid w:val="000F367A"/>
    <w:rsid w:val="000F38B7"/>
    <w:rsid w:val="000F3AE1"/>
    <w:rsid w:val="000F3E80"/>
    <w:rsid w:val="000F4242"/>
    <w:rsid w:val="000F4353"/>
    <w:rsid w:val="000F4459"/>
    <w:rsid w:val="000F4587"/>
    <w:rsid w:val="000F46D1"/>
    <w:rsid w:val="000F5074"/>
    <w:rsid w:val="000F5B10"/>
    <w:rsid w:val="000F5C34"/>
    <w:rsid w:val="000F5C77"/>
    <w:rsid w:val="000F5E09"/>
    <w:rsid w:val="000F5FC6"/>
    <w:rsid w:val="000F6036"/>
    <w:rsid w:val="000F6587"/>
    <w:rsid w:val="000F65C8"/>
    <w:rsid w:val="000F6A6A"/>
    <w:rsid w:val="000F6B72"/>
    <w:rsid w:val="000F6CE1"/>
    <w:rsid w:val="000F6E3E"/>
    <w:rsid w:val="000F6F83"/>
    <w:rsid w:val="000F7040"/>
    <w:rsid w:val="000F70B7"/>
    <w:rsid w:val="000F783A"/>
    <w:rsid w:val="000F792A"/>
    <w:rsid w:val="000F79B7"/>
    <w:rsid w:val="000F7A12"/>
    <w:rsid w:val="000F7A54"/>
    <w:rsid w:val="000F7B19"/>
    <w:rsid w:val="000F7C1D"/>
    <w:rsid w:val="000F7C59"/>
    <w:rsid w:val="000F7D13"/>
    <w:rsid w:val="0010039E"/>
    <w:rsid w:val="001003A8"/>
    <w:rsid w:val="00100533"/>
    <w:rsid w:val="001005CF"/>
    <w:rsid w:val="00100653"/>
    <w:rsid w:val="0010086F"/>
    <w:rsid w:val="0010087E"/>
    <w:rsid w:val="001008CA"/>
    <w:rsid w:val="00100902"/>
    <w:rsid w:val="001009E0"/>
    <w:rsid w:val="00100BB7"/>
    <w:rsid w:val="00100C13"/>
    <w:rsid w:val="0010113F"/>
    <w:rsid w:val="00101415"/>
    <w:rsid w:val="0010144F"/>
    <w:rsid w:val="001014E0"/>
    <w:rsid w:val="00101520"/>
    <w:rsid w:val="001016E1"/>
    <w:rsid w:val="00102548"/>
    <w:rsid w:val="00102609"/>
    <w:rsid w:val="00102620"/>
    <w:rsid w:val="00102788"/>
    <w:rsid w:val="00102890"/>
    <w:rsid w:val="00102AB3"/>
    <w:rsid w:val="00102FD3"/>
    <w:rsid w:val="0010306C"/>
    <w:rsid w:val="001030A9"/>
    <w:rsid w:val="001032F2"/>
    <w:rsid w:val="00103454"/>
    <w:rsid w:val="0010352A"/>
    <w:rsid w:val="00103567"/>
    <w:rsid w:val="00103A14"/>
    <w:rsid w:val="00103BDB"/>
    <w:rsid w:val="00103C02"/>
    <w:rsid w:val="0010407F"/>
    <w:rsid w:val="001043DC"/>
    <w:rsid w:val="00104535"/>
    <w:rsid w:val="001046E3"/>
    <w:rsid w:val="0010476B"/>
    <w:rsid w:val="0010494E"/>
    <w:rsid w:val="00104CD6"/>
    <w:rsid w:val="00104F13"/>
    <w:rsid w:val="001054EB"/>
    <w:rsid w:val="00105586"/>
    <w:rsid w:val="00105E97"/>
    <w:rsid w:val="00105F68"/>
    <w:rsid w:val="001062E3"/>
    <w:rsid w:val="00106311"/>
    <w:rsid w:val="0010636C"/>
    <w:rsid w:val="00106716"/>
    <w:rsid w:val="0010680B"/>
    <w:rsid w:val="00106C5A"/>
    <w:rsid w:val="00106F1E"/>
    <w:rsid w:val="00106F8E"/>
    <w:rsid w:val="0010747B"/>
    <w:rsid w:val="001074A4"/>
    <w:rsid w:val="0010758A"/>
    <w:rsid w:val="001076F2"/>
    <w:rsid w:val="00107821"/>
    <w:rsid w:val="00107A03"/>
    <w:rsid w:val="00107A36"/>
    <w:rsid w:val="00107DC8"/>
    <w:rsid w:val="00107DDE"/>
    <w:rsid w:val="00110025"/>
    <w:rsid w:val="001102B7"/>
    <w:rsid w:val="001105B9"/>
    <w:rsid w:val="001108C5"/>
    <w:rsid w:val="001108FA"/>
    <w:rsid w:val="00110A50"/>
    <w:rsid w:val="00110DD8"/>
    <w:rsid w:val="00110F8F"/>
    <w:rsid w:val="00111043"/>
    <w:rsid w:val="0011108B"/>
    <w:rsid w:val="0011185C"/>
    <w:rsid w:val="00111C11"/>
    <w:rsid w:val="00111F82"/>
    <w:rsid w:val="00112085"/>
    <w:rsid w:val="001120C6"/>
    <w:rsid w:val="0011225F"/>
    <w:rsid w:val="0011231A"/>
    <w:rsid w:val="00112340"/>
    <w:rsid w:val="00112416"/>
    <w:rsid w:val="001124AD"/>
    <w:rsid w:val="001124F2"/>
    <w:rsid w:val="001128EB"/>
    <w:rsid w:val="00112928"/>
    <w:rsid w:val="00112A94"/>
    <w:rsid w:val="00112AB1"/>
    <w:rsid w:val="00112E1E"/>
    <w:rsid w:val="00112F0A"/>
    <w:rsid w:val="00112FBC"/>
    <w:rsid w:val="001132DF"/>
    <w:rsid w:val="0011343A"/>
    <w:rsid w:val="001135F3"/>
    <w:rsid w:val="001139AE"/>
    <w:rsid w:val="00113E41"/>
    <w:rsid w:val="00113E87"/>
    <w:rsid w:val="00113FA9"/>
    <w:rsid w:val="001140A9"/>
    <w:rsid w:val="00114101"/>
    <w:rsid w:val="00114696"/>
    <w:rsid w:val="001146CE"/>
    <w:rsid w:val="001147D5"/>
    <w:rsid w:val="00114C2F"/>
    <w:rsid w:val="00115227"/>
    <w:rsid w:val="0011547C"/>
    <w:rsid w:val="00115538"/>
    <w:rsid w:val="001155D9"/>
    <w:rsid w:val="001155DC"/>
    <w:rsid w:val="00115727"/>
    <w:rsid w:val="00115937"/>
    <w:rsid w:val="00115CC3"/>
    <w:rsid w:val="00115E3D"/>
    <w:rsid w:val="0011609F"/>
    <w:rsid w:val="00116181"/>
    <w:rsid w:val="001162D3"/>
    <w:rsid w:val="00116726"/>
    <w:rsid w:val="0011699B"/>
    <w:rsid w:val="00116BA6"/>
    <w:rsid w:val="00116C67"/>
    <w:rsid w:val="00116CED"/>
    <w:rsid w:val="00116E0C"/>
    <w:rsid w:val="00116F4B"/>
    <w:rsid w:val="00117050"/>
    <w:rsid w:val="00117605"/>
    <w:rsid w:val="0011789B"/>
    <w:rsid w:val="001179DF"/>
    <w:rsid w:val="00117CB6"/>
    <w:rsid w:val="00117D0B"/>
    <w:rsid w:val="00117D6F"/>
    <w:rsid w:val="00117DB5"/>
    <w:rsid w:val="00117FCE"/>
    <w:rsid w:val="00120278"/>
    <w:rsid w:val="0012041E"/>
    <w:rsid w:val="00120438"/>
    <w:rsid w:val="001205CF"/>
    <w:rsid w:val="00120620"/>
    <w:rsid w:val="00120BC2"/>
    <w:rsid w:val="00120C99"/>
    <w:rsid w:val="00120DED"/>
    <w:rsid w:val="00120F15"/>
    <w:rsid w:val="001214DB"/>
    <w:rsid w:val="00121713"/>
    <w:rsid w:val="0012179D"/>
    <w:rsid w:val="00121FDA"/>
    <w:rsid w:val="0012203C"/>
    <w:rsid w:val="00122164"/>
    <w:rsid w:val="001222D4"/>
    <w:rsid w:val="001222F2"/>
    <w:rsid w:val="001225E1"/>
    <w:rsid w:val="0012294C"/>
    <w:rsid w:val="00122B79"/>
    <w:rsid w:val="00122EF5"/>
    <w:rsid w:val="00122F2C"/>
    <w:rsid w:val="00123157"/>
    <w:rsid w:val="0012332A"/>
    <w:rsid w:val="0012357F"/>
    <w:rsid w:val="001235F8"/>
    <w:rsid w:val="0012379F"/>
    <w:rsid w:val="00123B14"/>
    <w:rsid w:val="00123C38"/>
    <w:rsid w:val="00123EBC"/>
    <w:rsid w:val="00124068"/>
    <w:rsid w:val="0012413A"/>
    <w:rsid w:val="001243A9"/>
    <w:rsid w:val="001243D1"/>
    <w:rsid w:val="001244FC"/>
    <w:rsid w:val="0012484F"/>
    <w:rsid w:val="001248E8"/>
    <w:rsid w:val="00124E09"/>
    <w:rsid w:val="001252E1"/>
    <w:rsid w:val="00125C4B"/>
    <w:rsid w:val="00125E4F"/>
    <w:rsid w:val="0012620E"/>
    <w:rsid w:val="00126235"/>
    <w:rsid w:val="00126435"/>
    <w:rsid w:val="00126500"/>
    <w:rsid w:val="00126912"/>
    <w:rsid w:val="00126963"/>
    <w:rsid w:val="001269B8"/>
    <w:rsid w:val="00126AFF"/>
    <w:rsid w:val="00126E40"/>
    <w:rsid w:val="00127292"/>
    <w:rsid w:val="001274F9"/>
    <w:rsid w:val="00127772"/>
    <w:rsid w:val="001277A9"/>
    <w:rsid w:val="00127913"/>
    <w:rsid w:val="00127921"/>
    <w:rsid w:val="00127B16"/>
    <w:rsid w:val="00127BEC"/>
    <w:rsid w:val="00127F11"/>
    <w:rsid w:val="00130346"/>
    <w:rsid w:val="001308DA"/>
    <w:rsid w:val="00130B00"/>
    <w:rsid w:val="00130D44"/>
    <w:rsid w:val="00130E34"/>
    <w:rsid w:val="00131286"/>
    <w:rsid w:val="001313B8"/>
    <w:rsid w:val="0013146B"/>
    <w:rsid w:val="0013162E"/>
    <w:rsid w:val="001318F7"/>
    <w:rsid w:val="00131926"/>
    <w:rsid w:val="00131AC4"/>
    <w:rsid w:val="00131EDC"/>
    <w:rsid w:val="00131F6D"/>
    <w:rsid w:val="001321A0"/>
    <w:rsid w:val="00132351"/>
    <w:rsid w:val="0013238F"/>
    <w:rsid w:val="001323BE"/>
    <w:rsid w:val="0013254A"/>
    <w:rsid w:val="001325F3"/>
    <w:rsid w:val="0013282F"/>
    <w:rsid w:val="00132ADB"/>
    <w:rsid w:val="00132D10"/>
    <w:rsid w:val="001334F1"/>
    <w:rsid w:val="00133740"/>
    <w:rsid w:val="00133778"/>
    <w:rsid w:val="00133788"/>
    <w:rsid w:val="00133869"/>
    <w:rsid w:val="00133891"/>
    <w:rsid w:val="001338D4"/>
    <w:rsid w:val="00133C6E"/>
    <w:rsid w:val="00133DAE"/>
    <w:rsid w:val="00133DC3"/>
    <w:rsid w:val="00134034"/>
    <w:rsid w:val="00134175"/>
    <w:rsid w:val="0013423D"/>
    <w:rsid w:val="00134415"/>
    <w:rsid w:val="00134488"/>
    <w:rsid w:val="00134596"/>
    <w:rsid w:val="00134623"/>
    <w:rsid w:val="001346F6"/>
    <w:rsid w:val="001347E1"/>
    <w:rsid w:val="00134A3C"/>
    <w:rsid w:val="00134AA5"/>
    <w:rsid w:val="001353F3"/>
    <w:rsid w:val="0013558A"/>
    <w:rsid w:val="001358F2"/>
    <w:rsid w:val="00135B3E"/>
    <w:rsid w:val="00135E66"/>
    <w:rsid w:val="00135EAA"/>
    <w:rsid w:val="001361DD"/>
    <w:rsid w:val="0013630C"/>
    <w:rsid w:val="001364CE"/>
    <w:rsid w:val="001365CD"/>
    <w:rsid w:val="0013678B"/>
    <w:rsid w:val="001367EC"/>
    <w:rsid w:val="00137019"/>
    <w:rsid w:val="00137339"/>
    <w:rsid w:val="001373EC"/>
    <w:rsid w:val="0013744E"/>
    <w:rsid w:val="001376CB"/>
    <w:rsid w:val="0013770D"/>
    <w:rsid w:val="00137979"/>
    <w:rsid w:val="00137AAF"/>
    <w:rsid w:val="00137C88"/>
    <w:rsid w:val="00137E93"/>
    <w:rsid w:val="0014099F"/>
    <w:rsid w:val="00140A5E"/>
    <w:rsid w:val="00140C0E"/>
    <w:rsid w:val="00140CCC"/>
    <w:rsid w:val="0014134D"/>
    <w:rsid w:val="00141503"/>
    <w:rsid w:val="00141814"/>
    <w:rsid w:val="00141AC5"/>
    <w:rsid w:val="00141D5F"/>
    <w:rsid w:val="00141E78"/>
    <w:rsid w:val="00141F06"/>
    <w:rsid w:val="00142136"/>
    <w:rsid w:val="00142C3B"/>
    <w:rsid w:val="00142C73"/>
    <w:rsid w:val="00142D6B"/>
    <w:rsid w:val="00142D70"/>
    <w:rsid w:val="001432CB"/>
    <w:rsid w:val="00143380"/>
    <w:rsid w:val="00143A2C"/>
    <w:rsid w:val="00143A34"/>
    <w:rsid w:val="00143F02"/>
    <w:rsid w:val="00143F30"/>
    <w:rsid w:val="00144098"/>
    <w:rsid w:val="00144230"/>
    <w:rsid w:val="00144454"/>
    <w:rsid w:val="001444C7"/>
    <w:rsid w:val="00144770"/>
    <w:rsid w:val="001448D3"/>
    <w:rsid w:val="001449BB"/>
    <w:rsid w:val="00144A40"/>
    <w:rsid w:val="00144C73"/>
    <w:rsid w:val="00144D8B"/>
    <w:rsid w:val="00144E0D"/>
    <w:rsid w:val="001452AA"/>
    <w:rsid w:val="0014563E"/>
    <w:rsid w:val="001457FD"/>
    <w:rsid w:val="001458AD"/>
    <w:rsid w:val="00145BBF"/>
    <w:rsid w:val="00145DD9"/>
    <w:rsid w:val="00145F2F"/>
    <w:rsid w:val="00145F7B"/>
    <w:rsid w:val="00145F8C"/>
    <w:rsid w:val="00145FDB"/>
    <w:rsid w:val="00146226"/>
    <w:rsid w:val="001464AF"/>
    <w:rsid w:val="0014672F"/>
    <w:rsid w:val="0014687D"/>
    <w:rsid w:val="00146A01"/>
    <w:rsid w:val="00146CBC"/>
    <w:rsid w:val="00146EA1"/>
    <w:rsid w:val="00146EE3"/>
    <w:rsid w:val="00147231"/>
    <w:rsid w:val="001472A7"/>
    <w:rsid w:val="0014731C"/>
    <w:rsid w:val="001473CA"/>
    <w:rsid w:val="00147428"/>
    <w:rsid w:val="001479B0"/>
    <w:rsid w:val="00147A77"/>
    <w:rsid w:val="00147B69"/>
    <w:rsid w:val="00150305"/>
    <w:rsid w:val="001505BC"/>
    <w:rsid w:val="00150649"/>
    <w:rsid w:val="00150763"/>
    <w:rsid w:val="00150A0B"/>
    <w:rsid w:val="00150D84"/>
    <w:rsid w:val="00150E00"/>
    <w:rsid w:val="00151029"/>
    <w:rsid w:val="0015140B"/>
    <w:rsid w:val="001517D4"/>
    <w:rsid w:val="00151ADD"/>
    <w:rsid w:val="00151CF2"/>
    <w:rsid w:val="00151CFF"/>
    <w:rsid w:val="00151D1C"/>
    <w:rsid w:val="0015215F"/>
    <w:rsid w:val="001521B8"/>
    <w:rsid w:val="001522E3"/>
    <w:rsid w:val="00152441"/>
    <w:rsid w:val="00152B23"/>
    <w:rsid w:val="00152D51"/>
    <w:rsid w:val="00153052"/>
    <w:rsid w:val="00153185"/>
    <w:rsid w:val="00153306"/>
    <w:rsid w:val="001533B2"/>
    <w:rsid w:val="0015348C"/>
    <w:rsid w:val="00153987"/>
    <w:rsid w:val="00153B19"/>
    <w:rsid w:val="001542FC"/>
    <w:rsid w:val="0015435C"/>
    <w:rsid w:val="001543B7"/>
    <w:rsid w:val="00154622"/>
    <w:rsid w:val="00154DAF"/>
    <w:rsid w:val="00154F6F"/>
    <w:rsid w:val="00155058"/>
    <w:rsid w:val="00155188"/>
    <w:rsid w:val="00155308"/>
    <w:rsid w:val="00155318"/>
    <w:rsid w:val="0015531F"/>
    <w:rsid w:val="00155382"/>
    <w:rsid w:val="00155727"/>
    <w:rsid w:val="00155861"/>
    <w:rsid w:val="001558B3"/>
    <w:rsid w:val="00155905"/>
    <w:rsid w:val="00155A48"/>
    <w:rsid w:val="00155AEF"/>
    <w:rsid w:val="00155DA0"/>
    <w:rsid w:val="00155DF1"/>
    <w:rsid w:val="001560C9"/>
    <w:rsid w:val="00156221"/>
    <w:rsid w:val="00156577"/>
    <w:rsid w:val="001567AA"/>
    <w:rsid w:val="00156958"/>
    <w:rsid w:val="00156B71"/>
    <w:rsid w:val="00156BE6"/>
    <w:rsid w:val="00156BE7"/>
    <w:rsid w:val="00156C11"/>
    <w:rsid w:val="00156D14"/>
    <w:rsid w:val="00156E48"/>
    <w:rsid w:val="00156EA2"/>
    <w:rsid w:val="00156FB3"/>
    <w:rsid w:val="00157305"/>
    <w:rsid w:val="00157472"/>
    <w:rsid w:val="001576E9"/>
    <w:rsid w:val="00157A91"/>
    <w:rsid w:val="0016008E"/>
    <w:rsid w:val="00160283"/>
    <w:rsid w:val="001602BC"/>
    <w:rsid w:val="001603C5"/>
    <w:rsid w:val="00160425"/>
    <w:rsid w:val="00160574"/>
    <w:rsid w:val="00160644"/>
    <w:rsid w:val="00160A6D"/>
    <w:rsid w:val="00160A93"/>
    <w:rsid w:val="00160A9A"/>
    <w:rsid w:val="00160C27"/>
    <w:rsid w:val="00160C96"/>
    <w:rsid w:val="001619A9"/>
    <w:rsid w:val="00161BE9"/>
    <w:rsid w:val="00161E86"/>
    <w:rsid w:val="00161F37"/>
    <w:rsid w:val="001620BC"/>
    <w:rsid w:val="001623A9"/>
    <w:rsid w:val="0016243A"/>
    <w:rsid w:val="0016267F"/>
    <w:rsid w:val="00162F80"/>
    <w:rsid w:val="00162FB7"/>
    <w:rsid w:val="00162FEB"/>
    <w:rsid w:val="0016309A"/>
    <w:rsid w:val="00163240"/>
    <w:rsid w:val="00163293"/>
    <w:rsid w:val="0016346F"/>
    <w:rsid w:val="00163510"/>
    <w:rsid w:val="0016399A"/>
    <w:rsid w:val="001640D1"/>
    <w:rsid w:val="0016412A"/>
    <w:rsid w:val="00164282"/>
    <w:rsid w:val="001642B8"/>
    <w:rsid w:val="00164402"/>
    <w:rsid w:val="0016455A"/>
    <w:rsid w:val="0016480D"/>
    <w:rsid w:val="001649F2"/>
    <w:rsid w:val="00164DAC"/>
    <w:rsid w:val="00164EF7"/>
    <w:rsid w:val="00164EFE"/>
    <w:rsid w:val="00164F9C"/>
    <w:rsid w:val="0016511E"/>
    <w:rsid w:val="00165363"/>
    <w:rsid w:val="00165782"/>
    <w:rsid w:val="00165873"/>
    <w:rsid w:val="00165A9C"/>
    <w:rsid w:val="00165AE6"/>
    <w:rsid w:val="00165C31"/>
    <w:rsid w:val="00165E2C"/>
    <w:rsid w:val="00165F83"/>
    <w:rsid w:val="00165FD4"/>
    <w:rsid w:val="001663E8"/>
    <w:rsid w:val="00166791"/>
    <w:rsid w:val="00166B3A"/>
    <w:rsid w:val="00166C20"/>
    <w:rsid w:val="00166E18"/>
    <w:rsid w:val="00166EE5"/>
    <w:rsid w:val="00167135"/>
    <w:rsid w:val="00167471"/>
    <w:rsid w:val="001675D6"/>
    <w:rsid w:val="001675FA"/>
    <w:rsid w:val="001676FD"/>
    <w:rsid w:val="0016782A"/>
    <w:rsid w:val="001678A9"/>
    <w:rsid w:val="00167BF0"/>
    <w:rsid w:val="00167C40"/>
    <w:rsid w:val="00167C96"/>
    <w:rsid w:val="00167FBA"/>
    <w:rsid w:val="0017014A"/>
    <w:rsid w:val="001701BE"/>
    <w:rsid w:val="001702AC"/>
    <w:rsid w:val="001704CD"/>
    <w:rsid w:val="0017064C"/>
    <w:rsid w:val="00170A6B"/>
    <w:rsid w:val="00170B5D"/>
    <w:rsid w:val="00170DC3"/>
    <w:rsid w:val="00170EE0"/>
    <w:rsid w:val="00170F0C"/>
    <w:rsid w:val="00170FDC"/>
    <w:rsid w:val="00171205"/>
    <w:rsid w:val="00171466"/>
    <w:rsid w:val="00171640"/>
    <w:rsid w:val="00171737"/>
    <w:rsid w:val="00171CDA"/>
    <w:rsid w:val="00171F99"/>
    <w:rsid w:val="00171FCC"/>
    <w:rsid w:val="0017221D"/>
    <w:rsid w:val="0017264B"/>
    <w:rsid w:val="00172651"/>
    <w:rsid w:val="001726E1"/>
    <w:rsid w:val="00172884"/>
    <w:rsid w:val="0017289B"/>
    <w:rsid w:val="0017302D"/>
    <w:rsid w:val="0017304F"/>
    <w:rsid w:val="001734DC"/>
    <w:rsid w:val="00173520"/>
    <w:rsid w:val="001735E5"/>
    <w:rsid w:val="0017368B"/>
    <w:rsid w:val="001736FC"/>
    <w:rsid w:val="0017371E"/>
    <w:rsid w:val="00173967"/>
    <w:rsid w:val="001743D3"/>
    <w:rsid w:val="00174449"/>
    <w:rsid w:val="00174A98"/>
    <w:rsid w:val="00174BBC"/>
    <w:rsid w:val="00174DF7"/>
    <w:rsid w:val="001750B0"/>
    <w:rsid w:val="0017544E"/>
    <w:rsid w:val="00175489"/>
    <w:rsid w:val="00175570"/>
    <w:rsid w:val="001756A3"/>
    <w:rsid w:val="00175772"/>
    <w:rsid w:val="00175801"/>
    <w:rsid w:val="00175A83"/>
    <w:rsid w:val="00175C48"/>
    <w:rsid w:val="00175E39"/>
    <w:rsid w:val="00175EB7"/>
    <w:rsid w:val="00175F53"/>
    <w:rsid w:val="00175FCF"/>
    <w:rsid w:val="0017628D"/>
    <w:rsid w:val="00176333"/>
    <w:rsid w:val="00176939"/>
    <w:rsid w:val="001769A0"/>
    <w:rsid w:val="001769FA"/>
    <w:rsid w:val="00176A0C"/>
    <w:rsid w:val="00176C7C"/>
    <w:rsid w:val="00176D76"/>
    <w:rsid w:val="00176DBD"/>
    <w:rsid w:val="00176F7B"/>
    <w:rsid w:val="00177134"/>
    <w:rsid w:val="00177644"/>
    <w:rsid w:val="00177C4C"/>
    <w:rsid w:val="00177D37"/>
    <w:rsid w:val="00177D84"/>
    <w:rsid w:val="001803B7"/>
    <w:rsid w:val="0018058F"/>
    <w:rsid w:val="00180617"/>
    <w:rsid w:val="00180811"/>
    <w:rsid w:val="00180B92"/>
    <w:rsid w:val="00180E93"/>
    <w:rsid w:val="00181350"/>
    <w:rsid w:val="00181A8F"/>
    <w:rsid w:val="00181DF1"/>
    <w:rsid w:val="00181ED2"/>
    <w:rsid w:val="00182229"/>
    <w:rsid w:val="00182234"/>
    <w:rsid w:val="00182365"/>
    <w:rsid w:val="001824EF"/>
    <w:rsid w:val="001827F2"/>
    <w:rsid w:val="00182992"/>
    <w:rsid w:val="00182CE7"/>
    <w:rsid w:val="00182EC0"/>
    <w:rsid w:val="0018305E"/>
    <w:rsid w:val="00183B84"/>
    <w:rsid w:val="00183BA3"/>
    <w:rsid w:val="00183C5C"/>
    <w:rsid w:val="00183CFB"/>
    <w:rsid w:val="00183D70"/>
    <w:rsid w:val="001841CF"/>
    <w:rsid w:val="00184359"/>
    <w:rsid w:val="0018453A"/>
    <w:rsid w:val="001845AA"/>
    <w:rsid w:val="00184621"/>
    <w:rsid w:val="001849FB"/>
    <w:rsid w:val="00184C75"/>
    <w:rsid w:val="00184E4F"/>
    <w:rsid w:val="00184F07"/>
    <w:rsid w:val="001852F5"/>
    <w:rsid w:val="00185337"/>
    <w:rsid w:val="00185567"/>
    <w:rsid w:val="00185789"/>
    <w:rsid w:val="00185D91"/>
    <w:rsid w:val="00185F8A"/>
    <w:rsid w:val="0018652C"/>
    <w:rsid w:val="00186574"/>
    <w:rsid w:val="001867E0"/>
    <w:rsid w:val="001867E3"/>
    <w:rsid w:val="00186B46"/>
    <w:rsid w:val="00186D7D"/>
    <w:rsid w:val="00186FE1"/>
    <w:rsid w:val="001872EF"/>
    <w:rsid w:val="0018738E"/>
    <w:rsid w:val="0018782F"/>
    <w:rsid w:val="00187B41"/>
    <w:rsid w:val="00187C15"/>
    <w:rsid w:val="00187E44"/>
    <w:rsid w:val="00187E92"/>
    <w:rsid w:val="00187E9B"/>
    <w:rsid w:val="00187FDE"/>
    <w:rsid w:val="0019026F"/>
    <w:rsid w:val="001902B5"/>
    <w:rsid w:val="001903F3"/>
    <w:rsid w:val="0019063E"/>
    <w:rsid w:val="00190662"/>
    <w:rsid w:val="001906C1"/>
    <w:rsid w:val="0019070B"/>
    <w:rsid w:val="0019077A"/>
    <w:rsid w:val="00190D1B"/>
    <w:rsid w:val="00190F53"/>
    <w:rsid w:val="00191156"/>
    <w:rsid w:val="00191219"/>
    <w:rsid w:val="00191349"/>
    <w:rsid w:val="00191674"/>
    <w:rsid w:val="0019189A"/>
    <w:rsid w:val="001918B5"/>
    <w:rsid w:val="0019198A"/>
    <w:rsid w:val="00191B9A"/>
    <w:rsid w:val="00191DD1"/>
    <w:rsid w:val="00191FB9"/>
    <w:rsid w:val="0019227B"/>
    <w:rsid w:val="001922EB"/>
    <w:rsid w:val="001923F6"/>
    <w:rsid w:val="00192634"/>
    <w:rsid w:val="00192901"/>
    <w:rsid w:val="00192B82"/>
    <w:rsid w:val="00192ED1"/>
    <w:rsid w:val="00192FEC"/>
    <w:rsid w:val="00193091"/>
    <w:rsid w:val="001930F8"/>
    <w:rsid w:val="001938C1"/>
    <w:rsid w:val="001939FF"/>
    <w:rsid w:val="00193BD2"/>
    <w:rsid w:val="00193D16"/>
    <w:rsid w:val="001940D0"/>
    <w:rsid w:val="001941B2"/>
    <w:rsid w:val="0019431E"/>
    <w:rsid w:val="00194422"/>
    <w:rsid w:val="001948ED"/>
    <w:rsid w:val="00194A84"/>
    <w:rsid w:val="00194C95"/>
    <w:rsid w:val="00194D9C"/>
    <w:rsid w:val="00195081"/>
    <w:rsid w:val="00195314"/>
    <w:rsid w:val="00195679"/>
    <w:rsid w:val="0019572E"/>
    <w:rsid w:val="00195C31"/>
    <w:rsid w:val="00195CC1"/>
    <w:rsid w:val="00195D4C"/>
    <w:rsid w:val="00195DFA"/>
    <w:rsid w:val="00195DFB"/>
    <w:rsid w:val="0019619C"/>
    <w:rsid w:val="001962CA"/>
    <w:rsid w:val="001963B1"/>
    <w:rsid w:val="001964A5"/>
    <w:rsid w:val="00196521"/>
    <w:rsid w:val="0019675B"/>
    <w:rsid w:val="00196A77"/>
    <w:rsid w:val="00197262"/>
    <w:rsid w:val="001975A4"/>
    <w:rsid w:val="001975E0"/>
    <w:rsid w:val="001A05C5"/>
    <w:rsid w:val="001A06AD"/>
    <w:rsid w:val="001A08AD"/>
    <w:rsid w:val="001A092F"/>
    <w:rsid w:val="001A0983"/>
    <w:rsid w:val="001A0A2E"/>
    <w:rsid w:val="001A107E"/>
    <w:rsid w:val="001A11E7"/>
    <w:rsid w:val="001A127C"/>
    <w:rsid w:val="001A148F"/>
    <w:rsid w:val="001A150D"/>
    <w:rsid w:val="001A171F"/>
    <w:rsid w:val="001A1883"/>
    <w:rsid w:val="001A18F0"/>
    <w:rsid w:val="001A19B3"/>
    <w:rsid w:val="001A1C4A"/>
    <w:rsid w:val="001A1C57"/>
    <w:rsid w:val="001A1CB7"/>
    <w:rsid w:val="001A1EEC"/>
    <w:rsid w:val="001A23C8"/>
    <w:rsid w:val="001A2412"/>
    <w:rsid w:val="001A2497"/>
    <w:rsid w:val="001A24E2"/>
    <w:rsid w:val="001A253D"/>
    <w:rsid w:val="001A26C3"/>
    <w:rsid w:val="001A28A3"/>
    <w:rsid w:val="001A2B4D"/>
    <w:rsid w:val="001A2D96"/>
    <w:rsid w:val="001A2E0D"/>
    <w:rsid w:val="001A2F1D"/>
    <w:rsid w:val="001A2FB5"/>
    <w:rsid w:val="001A2FF3"/>
    <w:rsid w:val="001A3163"/>
    <w:rsid w:val="001A31AC"/>
    <w:rsid w:val="001A33F2"/>
    <w:rsid w:val="001A367D"/>
    <w:rsid w:val="001A3897"/>
    <w:rsid w:val="001A3ACB"/>
    <w:rsid w:val="001A3ACE"/>
    <w:rsid w:val="001A3B02"/>
    <w:rsid w:val="001A3BE0"/>
    <w:rsid w:val="001A3D71"/>
    <w:rsid w:val="001A3D77"/>
    <w:rsid w:val="001A3F13"/>
    <w:rsid w:val="001A40D1"/>
    <w:rsid w:val="001A40EB"/>
    <w:rsid w:val="001A43E5"/>
    <w:rsid w:val="001A456E"/>
    <w:rsid w:val="001A4A35"/>
    <w:rsid w:val="001A4C19"/>
    <w:rsid w:val="001A4C63"/>
    <w:rsid w:val="001A4DF7"/>
    <w:rsid w:val="001A4E05"/>
    <w:rsid w:val="001A4EE2"/>
    <w:rsid w:val="001A5214"/>
    <w:rsid w:val="001A52AF"/>
    <w:rsid w:val="001A542F"/>
    <w:rsid w:val="001A5655"/>
    <w:rsid w:val="001A5C37"/>
    <w:rsid w:val="001A5CA7"/>
    <w:rsid w:val="001A600F"/>
    <w:rsid w:val="001A60A2"/>
    <w:rsid w:val="001A63A2"/>
    <w:rsid w:val="001A651C"/>
    <w:rsid w:val="001A6BC2"/>
    <w:rsid w:val="001A6C62"/>
    <w:rsid w:val="001A6DF4"/>
    <w:rsid w:val="001A75EF"/>
    <w:rsid w:val="001A7649"/>
    <w:rsid w:val="001A7DCD"/>
    <w:rsid w:val="001A7DDF"/>
    <w:rsid w:val="001A7EBD"/>
    <w:rsid w:val="001A7F73"/>
    <w:rsid w:val="001A7FE3"/>
    <w:rsid w:val="001B01A3"/>
    <w:rsid w:val="001B02EB"/>
    <w:rsid w:val="001B0606"/>
    <w:rsid w:val="001B0ACE"/>
    <w:rsid w:val="001B0B77"/>
    <w:rsid w:val="001B0B82"/>
    <w:rsid w:val="001B0D2D"/>
    <w:rsid w:val="001B11B1"/>
    <w:rsid w:val="001B1204"/>
    <w:rsid w:val="001B129F"/>
    <w:rsid w:val="001B1363"/>
    <w:rsid w:val="001B1388"/>
    <w:rsid w:val="001B1440"/>
    <w:rsid w:val="001B1582"/>
    <w:rsid w:val="001B15D5"/>
    <w:rsid w:val="001B16F6"/>
    <w:rsid w:val="001B1BA8"/>
    <w:rsid w:val="001B1E37"/>
    <w:rsid w:val="001B21DC"/>
    <w:rsid w:val="001B2927"/>
    <w:rsid w:val="001B2934"/>
    <w:rsid w:val="001B2ABA"/>
    <w:rsid w:val="001B2BF7"/>
    <w:rsid w:val="001B339A"/>
    <w:rsid w:val="001B3D42"/>
    <w:rsid w:val="001B4051"/>
    <w:rsid w:val="001B413A"/>
    <w:rsid w:val="001B427B"/>
    <w:rsid w:val="001B445C"/>
    <w:rsid w:val="001B48FE"/>
    <w:rsid w:val="001B4A64"/>
    <w:rsid w:val="001B4F91"/>
    <w:rsid w:val="001B4FA0"/>
    <w:rsid w:val="001B51BF"/>
    <w:rsid w:val="001B54C4"/>
    <w:rsid w:val="001B5726"/>
    <w:rsid w:val="001B5B12"/>
    <w:rsid w:val="001B5B7C"/>
    <w:rsid w:val="001B5BDB"/>
    <w:rsid w:val="001B5D79"/>
    <w:rsid w:val="001B61FF"/>
    <w:rsid w:val="001B62F5"/>
    <w:rsid w:val="001B69C2"/>
    <w:rsid w:val="001B6D31"/>
    <w:rsid w:val="001B70D4"/>
    <w:rsid w:val="001B724A"/>
    <w:rsid w:val="001B7558"/>
    <w:rsid w:val="001B76BA"/>
    <w:rsid w:val="001B76F8"/>
    <w:rsid w:val="001B7B28"/>
    <w:rsid w:val="001B7C07"/>
    <w:rsid w:val="001B7C8B"/>
    <w:rsid w:val="001B7F0A"/>
    <w:rsid w:val="001C0334"/>
    <w:rsid w:val="001C07F1"/>
    <w:rsid w:val="001C0F0C"/>
    <w:rsid w:val="001C0FF9"/>
    <w:rsid w:val="001C11A1"/>
    <w:rsid w:val="001C1216"/>
    <w:rsid w:val="001C1444"/>
    <w:rsid w:val="001C1873"/>
    <w:rsid w:val="001C1A42"/>
    <w:rsid w:val="001C1B9C"/>
    <w:rsid w:val="001C1D93"/>
    <w:rsid w:val="001C1DEB"/>
    <w:rsid w:val="001C1E93"/>
    <w:rsid w:val="001C1EFF"/>
    <w:rsid w:val="001C1F10"/>
    <w:rsid w:val="001C1F82"/>
    <w:rsid w:val="001C2257"/>
    <w:rsid w:val="001C233C"/>
    <w:rsid w:val="001C24A9"/>
    <w:rsid w:val="001C2981"/>
    <w:rsid w:val="001C2ADF"/>
    <w:rsid w:val="001C2D2D"/>
    <w:rsid w:val="001C2E62"/>
    <w:rsid w:val="001C2FF9"/>
    <w:rsid w:val="001C316E"/>
    <w:rsid w:val="001C3228"/>
    <w:rsid w:val="001C32AF"/>
    <w:rsid w:val="001C35DD"/>
    <w:rsid w:val="001C3805"/>
    <w:rsid w:val="001C3811"/>
    <w:rsid w:val="001C3877"/>
    <w:rsid w:val="001C3AF4"/>
    <w:rsid w:val="001C3C21"/>
    <w:rsid w:val="001C3F52"/>
    <w:rsid w:val="001C4223"/>
    <w:rsid w:val="001C42B8"/>
    <w:rsid w:val="001C4318"/>
    <w:rsid w:val="001C443C"/>
    <w:rsid w:val="001C45FD"/>
    <w:rsid w:val="001C46F4"/>
    <w:rsid w:val="001C479B"/>
    <w:rsid w:val="001C4DAD"/>
    <w:rsid w:val="001C532C"/>
    <w:rsid w:val="001C5393"/>
    <w:rsid w:val="001C5472"/>
    <w:rsid w:val="001C55E7"/>
    <w:rsid w:val="001C576D"/>
    <w:rsid w:val="001C5BE4"/>
    <w:rsid w:val="001C65A0"/>
    <w:rsid w:val="001C6677"/>
    <w:rsid w:val="001C6BAE"/>
    <w:rsid w:val="001C6EC4"/>
    <w:rsid w:val="001C71B0"/>
    <w:rsid w:val="001C73DA"/>
    <w:rsid w:val="001C7962"/>
    <w:rsid w:val="001D009D"/>
    <w:rsid w:val="001D033E"/>
    <w:rsid w:val="001D0525"/>
    <w:rsid w:val="001D0B3F"/>
    <w:rsid w:val="001D0F8E"/>
    <w:rsid w:val="001D10EA"/>
    <w:rsid w:val="001D115F"/>
    <w:rsid w:val="001D11BD"/>
    <w:rsid w:val="001D1229"/>
    <w:rsid w:val="001D14E1"/>
    <w:rsid w:val="001D1646"/>
    <w:rsid w:val="001D1ABD"/>
    <w:rsid w:val="001D1C3A"/>
    <w:rsid w:val="001D1C6F"/>
    <w:rsid w:val="001D1D81"/>
    <w:rsid w:val="001D1F3D"/>
    <w:rsid w:val="001D1F44"/>
    <w:rsid w:val="001D20B2"/>
    <w:rsid w:val="001D226D"/>
    <w:rsid w:val="001D2978"/>
    <w:rsid w:val="001D2D62"/>
    <w:rsid w:val="001D2E8C"/>
    <w:rsid w:val="001D2F53"/>
    <w:rsid w:val="001D303B"/>
    <w:rsid w:val="001D3144"/>
    <w:rsid w:val="001D33CE"/>
    <w:rsid w:val="001D3509"/>
    <w:rsid w:val="001D35E8"/>
    <w:rsid w:val="001D3A8D"/>
    <w:rsid w:val="001D3B26"/>
    <w:rsid w:val="001D3BF4"/>
    <w:rsid w:val="001D3E02"/>
    <w:rsid w:val="001D4304"/>
    <w:rsid w:val="001D44C0"/>
    <w:rsid w:val="001D4523"/>
    <w:rsid w:val="001D462B"/>
    <w:rsid w:val="001D49BA"/>
    <w:rsid w:val="001D4B6C"/>
    <w:rsid w:val="001D4EA8"/>
    <w:rsid w:val="001D4F43"/>
    <w:rsid w:val="001D526B"/>
    <w:rsid w:val="001D5C00"/>
    <w:rsid w:val="001D5D85"/>
    <w:rsid w:val="001D5F83"/>
    <w:rsid w:val="001D60C9"/>
    <w:rsid w:val="001D649C"/>
    <w:rsid w:val="001D6655"/>
    <w:rsid w:val="001D68EC"/>
    <w:rsid w:val="001D6932"/>
    <w:rsid w:val="001D6954"/>
    <w:rsid w:val="001D696A"/>
    <w:rsid w:val="001D6A9C"/>
    <w:rsid w:val="001D6C98"/>
    <w:rsid w:val="001D70D6"/>
    <w:rsid w:val="001D7241"/>
    <w:rsid w:val="001D724E"/>
    <w:rsid w:val="001D72E6"/>
    <w:rsid w:val="001D72EA"/>
    <w:rsid w:val="001D7337"/>
    <w:rsid w:val="001D73E9"/>
    <w:rsid w:val="001D73F6"/>
    <w:rsid w:val="001D746A"/>
    <w:rsid w:val="001D7566"/>
    <w:rsid w:val="001D7A7A"/>
    <w:rsid w:val="001D7B5D"/>
    <w:rsid w:val="001D7B6D"/>
    <w:rsid w:val="001D7C7C"/>
    <w:rsid w:val="001D7EC8"/>
    <w:rsid w:val="001E0291"/>
    <w:rsid w:val="001E0528"/>
    <w:rsid w:val="001E083B"/>
    <w:rsid w:val="001E0A71"/>
    <w:rsid w:val="001E0F76"/>
    <w:rsid w:val="001E0F81"/>
    <w:rsid w:val="001E1241"/>
    <w:rsid w:val="001E126B"/>
    <w:rsid w:val="001E158A"/>
    <w:rsid w:val="001E1637"/>
    <w:rsid w:val="001E1A2E"/>
    <w:rsid w:val="001E1E76"/>
    <w:rsid w:val="001E2019"/>
    <w:rsid w:val="001E21DC"/>
    <w:rsid w:val="001E28D4"/>
    <w:rsid w:val="001E2902"/>
    <w:rsid w:val="001E2C23"/>
    <w:rsid w:val="001E2C2D"/>
    <w:rsid w:val="001E2C56"/>
    <w:rsid w:val="001E321C"/>
    <w:rsid w:val="001E32B8"/>
    <w:rsid w:val="001E344E"/>
    <w:rsid w:val="001E34A0"/>
    <w:rsid w:val="001E3719"/>
    <w:rsid w:val="001E3FC9"/>
    <w:rsid w:val="001E400F"/>
    <w:rsid w:val="001E4126"/>
    <w:rsid w:val="001E429A"/>
    <w:rsid w:val="001E4309"/>
    <w:rsid w:val="001E4490"/>
    <w:rsid w:val="001E44B5"/>
    <w:rsid w:val="001E453E"/>
    <w:rsid w:val="001E4C29"/>
    <w:rsid w:val="001E4DD5"/>
    <w:rsid w:val="001E4E5C"/>
    <w:rsid w:val="001E4F18"/>
    <w:rsid w:val="001E50CF"/>
    <w:rsid w:val="001E5102"/>
    <w:rsid w:val="001E5391"/>
    <w:rsid w:val="001E54C7"/>
    <w:rsid w:val="001E54F7"/>
    <w:rsid w:val="001E57DF"/>
    <w:rsid w:val="001E5E7E"/>
    <w:rsid w:val="001E6192"/>
    <w:rsid w:val="001E62F2"/>
    <w:rsid w:val="001E63CE"/>
    <w:rsid w:val="001E6D28"/>
    <w:rsid w:val="001E6D36"/>
    <w:rsid w:val="001E6E8C"/>
    <w:rsid w:val="001E6FAB"/>
    <w:rsid w:val="001E7168"/>
    <w:rsid w:val="001E7463"/>
    <w:rsid w:val="001E764C"/>
    <w:rsid w:val="001E76B0"/>
    <w:rsid w:val="001E76B8"/>
    <w:rsid w:val="001E77B4"/>
    <w:rsid w:val="001E7A3C"/>
    <w:rsid w:val="001E7C07"/>
    <w:rsid w:val="001F0005"/>
    <w:rsid w:val="001F004E"/>
    <w:rsid w:val="001F0127"/>
    <w:rsid w:val="001F02AF"/>
    <w:rsid w:val="001F0F4F"/>
    <w:rsid w:val="001F0FBF"/>
    <w:rsid w:val="001F0FEC"/>
    <w:rsid w:val="001F100A"/>
    <w:rsid w:val="001F123B"/>
    <w:rsid w:val="001F157F"/>
    <w:rsid w:val="001F15DA"/>
    <w:rsid w:val="001F1787"/>
    <w:rsid w:val="001F17A0"/>
    <w:rsid w:val="001F1944"/>
    <w:rsid w:val="001F1AF0"/>
    <w:rsid w:val="001F1C95"/>
    <w:rsid w:val="001F1E56"/>
    <w:rsid w:val="001F1F9F"/>
    <w:rsid w:val="001F236A"/>
    <w:rsid w:val="001F254A"/>
    <w:rsid w:val="001F25BC"/>
    <w:rsid w:val="001F27A4"/>
    <w:rsid w:val="001F28BC"/>
    <w:rsid w:val="001F2B67"/>
    <w:rsid w:val="001F2B86"/>
    <w:rsid w:val="001F2FB4"/>
    <w:rsid w:val="001F316A"/>
    <w:rsid w:val="001F3196"/>
    <w:rsid w:val="001F3495"/>
    <w:rsid w:val="001F3687"/>
    <w:rsid w:val="001F3910"/>
    <w:rsid w:val="001F39AF"/>
    <w:rsid w:val="001F3B6B"/>
    <w:rsid w:val="001F40D6"/>
    <w:rsid w:val="001F46BA"/>
    <w:rsid w:val="001F48D2"/>
    <w:rsid w:val="001F49BD"/>
    <w:rsid w:val="001F5649"/>
    <w:rsid w:val="001F5C57"/>
    <w:rsid w:val="001F63AA"/>
    <w:rsid w:val="001F64B0"/>
    <w:rsid w:val="001F66D5"/>
    <w:rsid w:val="001F6877"/>
    <w:rsid w:val="001F6AC6"/>
    <w:rsid w:val="001F6CA5"/>
    <w:rsid w:val="001F6D32"/>
    <w:rsid w:val="001F6DFA"/>
    <w:rsid w:val="001F6E00"/>
    <w:rsid w:val="001F6E7B"/>
    <w:rsid w:val="001F708C"/>
    <w:rsid w:val="001F74B0"/>
    <w:rsid w:val="001F79A4"/>
    <w:rsid w:val="001F7AD9"/>
    <w:rsid w:val="001F7C15"/>
    <w:rsid w:val="001F7D03"/>
    <w:rsid w:val="002001E5"/>
    <w:rsid w:val="002002E9"/>
    <w:rsid w:val="0020048F"/>
    <w:rsid w:val="00200A05"/>
    <w:rsid w:val="00200C1E"/>
    <w:rsid w:val="00200C71"/>
    <w:rsid w:val="00200C74"/>
    <w:rsid w:val="00200DC4"/>
    <w:rsid w:val="00201008"/>
    <w:rsid w:val="0020128A"/>
    <w:rsid w:val="00201632"/>
    <w:rsid w:val="00201837"/>
    <w:rsid w:val="0020193B"/>
    <w:rsid w:val="002019F5"/>
    <w:rsid w:val="00201AD3"/>
    <w:rsid w:val="00201ED6"/>
    <w:rsid w:val="00202117"/>
    <w:rsid w:val="00202270"/>
    <w:rsid w:val="00202345"/>
    <w:rsid w:val="00202630"/>
    <w:rsid w:val="00202BDD"/>
    <w:rsid w:val="00202D80"/>
    <w:rsid w:val="00202DB1"/>
    <w:rsid w:val="00202EA4"/>
    <w:rsid w:val="00202FA0"/>
    <w:rsid w:val="0020308D"/>
    <w:rsid w:val="00203197"/>
    <w:rsid w:val="00203312"/>
    <w:rsid w:val="00203493"/>
    <w:rsid w:val="00203716"/>
    <w:rsid w:val="00203752"/>
    <w:rsid w:val="0020376C"/>
    <w:rsid w:val="002037CD"/>
    <w:rsid w:val="00203928"/>
    <w:rsid w:val="0020432F"/>
    <w:rsid w:val="00204662"/>
    <w:rsid w:val="002046A5"/>
    <w:rsid w:val="00204BC4"/>
    <w:rsid w:val="00204C50"/>
    <w:rsid w:val="00204D00"/>
    <w:rsid w:val="00204FF9"/>
    <w:rsid w:val="002050B6"/>
    <w:rsid w:val="00205669"/>
    <w:rsid w:val="0020596C"/>
    <w:rsid w:val="00205A42"/>
    <w:rsid w:val="00205B71"/>
    <w:rsid w:val="00205E6D"/>
    <w:rsid w:val="0020600E"/>
    <w:rsid w:val="0020631E"/>
    <w:rsid w:val="00206385"/>
    <w:rsid w:val="00206477"/>
    <w:rsid w:val="0020697C"/>
    <w:rsid w:val="00206ADF"/>
    <w:rsid w:val="00206D47"/>
    <w:rsid w:val="00206E18"/>
    <w:rsid w:val="00206EB8"/>
    <w:rsid w:val="00206FAF"/>
    <w:rsid w:val="0020738C"/>
    <w:rsid w:val="002075DA"/>
    <w:rsid w:val="00207601"/>
    <w:rsid w:val="002100CC"/>
    <w:rsid w:val="00210797"/>
    <w:rsid w:val="002108EB"/>
    <w:rsid w:val="00210E1E"/>
    <w:rsid w:val="0021110D"/>
    <w:rsid w:val="002111FC"/>
    <w:rsid w:val="0021152F"/>
    <w:rsid w:val="00211700"/>
    <w:rsid w:val="002118A7"/>
    <w:rsid w:val="002118D5"/>
    <w:rsid w:val="00211BF9"/>
    <w:rsid w:val="0021208F"/>
    <w:rsid w:val="002124D5"/>
    <w:rsid w:val="00212535"/>
    <w:rsid w:val="0021260F"/>
    <w:rsid w:val="0021276F"/>
    <w:rsid w:val="002127BF"/>
    <w:rsid w:val="00212991"/>
    <w:rsid w:val="0021299A"/>
    <w:rsid w:val="00212B70"/>
    <w:rsid w:val="00212CAA"/>
    <w:rsid w:val="00212D09"/>
    <w:rsid w:val="00212D3B"/>
    <w:rsid w:val="00212FC2"/>
    <w:rsid w:val="002131FE"/>
    <w:rsid w:val="00213342"/>
    <w:rsid w:val="002138CA"/>
    <w:rsid w:val="00213D66"/>
    <w:rsid w:val="00214001"/>
    <w:rsid w:val="002140F2"/>
    <w:rsid w:val="0021446E"/>
    <w:rsid w:val="002146D6"/>
    <w:rsid w:val="00214731"/>
    <w:rsid w:val="00214985"/>
    <w:rsid w:val="002149D2"/>
    <w:rsid w:val="00214A7A"/>
    <w:rsid w:val="00214BC9"/>
    <w:rsid w:val="00214BED"/>
    <w:rsid w:val="00214E38"/>
    <w:rsid w:val="00214FAB"/>
    <w:rsid w:val="00215225"/>
    <w:rsid w:val="00215416"/>
    <w:rsid w:val="002158F9"/>
    <w:rsid w:val="00215A35"/>
    <w:rsid w:val="00215E8A"/>
    <w:rsid w:val="00216008"/>
    <w:rsid w:val="002160D1"/>
    <w:rsid w:val="002167EF"/>
    <w:rsid w:val="0021680F"/>
    <w:rsid w:val="00216945"/>
    <w:rsid w:val="0021698D"/>
    <w:rsid w:val="00216A8B"/>
    <w:rsid w:val="00216A8E"/>
    <w:rsid w:val="00216F33"/>
    <w:rsid w:val="00216FFE"/>
    <w:rsid w:val="0021780A"/>
    <w:rsid w:val="00217825"/>
    <w:rsid w:val="00217A1E"/>
    <w:rsid w:val="00217D86"/>
    <w:rsid w:val="00217EC9"/>
    <w:rsid w:val="002201B6"/>
    <w:rsid w:val="0022025D"/>
    <w:rsid w:val="0022029E"/>
    <w:rsid w:val="0022052E"/>
    <w:rsid w:val="00220687"/>
    <w:rsid w:val="00220AB7"/>
    <w:rsid w:val="00220AD1"/>
    <w:rsid w:val="002210C4"/>
    <w:rsid w:val="002212D2"/>
    <w:rsid w:val="00221479"/>
    <w:rsid w:val="002217DF"/>
    <w:rsid w:val="00221E3F"/>
    <w:rsid w:val="00221F74"/>
    <w:rsid w:val="00222522"/>
    <w:rsid w:val="00222643"/>
    <w:rsid w:val="00222871"/>
    <w:rsid w:val="00222A78"/>
    <w:rsid w:val="00223189"/>
    <w:rsid w:val="002234D0"/>
    <w:rsid w:val="0022358C"/>
    <w:rsid w:val="002235C2"/>
    <w:rsid w:val="002236DB"/>
    <w:rsid w:val="00223762"/>
    <w:rsid w:val="002238DB"/>
    <w:rsid w:val="00223AC0"/>
    <w:rsid w:val="00223AC7"/>
    <w:rsid w:val="00223FB0"/>
    <w:rsid w:val="00224276"/>
    <w:rsid w:val="00224327"/>
    <w:rsid w:val="00224599"/>
    <w:rsid w:val="00224AAD"/>
    <w:rsid w:val="00224DB1"/>
    <w:rsid w:val="00224FD8"/>
    <w:rsid w:val="002250A2"/>
    <w:rsid w:val="00225165"/>
    <w:rsid w:val="00225220"/>
    <w:rsid w:val="00225650"/>
    <w:rsid w:val="002257B7"/>
    <w:rsid w:val="002257ED"/>
    <w:rsid w:val="00225973"/>
    <w:rsid w:val="002259F3"/>
    <w:rsid w:val="002260EE"/>
    <w:rsid w:val="0022645F"/>
    <w:rsid w:val="002264CF"/>
    <w:rsid w:val="00226B4D"/>
    <w:rsid w:val="00226B68"/>
    <w:rsid w:val="00226E64"/>
    <w:rsid w:val="0022706F"/>
    <w:rsid w:val="0022717E"/>
    <w:rsid w:val="00227407"/>
    <w:rsid w:val="00227458"/>
    <w:rsid w:val="0022751D"/>
    <w:rsid w:val="0022787C"/>
    <w:rsid w:val="002279A0"/>
    <w:rsid w:val="00227B71"/>
    <w:rsid w:val="00227E6A"/>
    <w:rsid w:val="0023037A"/>
    <w:rsid w:val="0023055A"/>
    <w:rsid w:val="00230586"/>
    <w:rsid w:val="00230633"/>
    <w:rsid w:val="002306C1"/>
    <w:rsid w:val="00230D36"/>
    <w:rsid w:val="00231160"/>
    <w:rsid w:val="00231261"/>
    <w:rsid w:val="00231320"/>
    <w:rsid w:val="0023134B"/>
    <w:rsid w:val="0023196A"/>
    <w:rsid w:val="002323C4"/>
    <w:rsid w:val="0023254C"/>
    <w:rsid w:val="00232623"/>
    <w:rsid w:val="00232711"/>
    <w:rsid w:val="00232773"/>
    <w:rsid w:val="002327F3"/>
    <w:rsid w:val="00232876"/>
    <w:rsid w:val="00232AE2"/>
    <w:rsid w:val="00232DD0"/>
    <w:rsid w:val="00232ED5"/>
    <w:rsid w:val="00233117"/>
    <w:rsid w:val="00233259"/>
    <w:rsid w:val="0023385F"/>
    <w:rsid w:val="0023387C"/>
    <w:rsid w:val="00233CA2"/>
    <w:rsid w:val="00233DF9"/>
    <w:rsid w:val="0023413F"/>
    <w:rsid w:val="0023426D"/>
    <w:rsid w:val="00234422"/>
    <w:rsid w:val="002344D1"/>
    <w:rsid w:val="002346F1"/>
    <w:rsid w:val="0023479F"/>
    <w:rsid w:val="002347F2"/>
    <w:rsid w:val="00234E4A"/>
    <w:rsid w:val="00234F52"/>
    <w:rsid w:val="00234FB4"/>
    <w:rsid w:val="0023500C"/>
    <w:rsid w:val="002350DA"/>
    <w:rsid w:val="002351C9"/>
    <w:rsid w:val="002352FF"/>
    <w:rsid w:val="00235364"/>
    <w:rsid w:val="0023544D"/>
    <w:rsid w:val="00235B65"/>
    <w:rsid w:val="00235C96"/>
    <w:rsid w:val="00235D71"/>
    <w:rsid w:val="00236097"/>
    <w:rsid w:val="002360BD"/>
    <w:rsid w:val="002361AB"/>
    <w:rsid w:val="00236815"/>
    <w:rsid w:val="00236866"/>
    <w:rsid w:val="00236BD9"/>
    <w:rsid w:val="00236D4E"/>
    <w:rsid w:val="0023703F"/>
    <w:rsid w:val="00237097"/>
    <w:rsid w:val="0023715F"/>
    <w:rsid w:val="00237702"/>
    <w:rsid w:val="00237804"/>
    <w:rsid w:val="00237CC8"/>
    <w:rsid w:val="00237E5F"/>
    <w:rsid w:val="00237F78"/>
    <w:rsid w:val="002400A0"/>
    <w:rsid w:val="002401CD"/>
    <w:rsid w:val="0024033B"/>
    <w:rsid w:val="00240616"/>
    <w:rsid w:val="0024087C"/>
    <w:rsid w:val="002409AB"/>
    <w:rsid w:val="00240F2A"/>
    <w:rsid w:val="0024107D"/>
    <w:rsid w:val="002412C1"/>
    <w:rsid w:val="002414CD"/>
    <w:rsid w:val="00241565"/>
    <w:rsid w:val="00241795"/>
    <w:rsid w:val="00241803"/>
    <w:rsid w:val="002419C6"/>
    <w:rsid w:val="00241C87"/>
    <w:rsid w:val="00241DE7"/>
    <w:rsid w:val="0024263C"/>
    <w:rsid w:val="002426ED"/>
    <w:rsid w:val="00242763"/>
    <w:rsid w:val="00242994"/>
    <w:rsid w:val="00242DBB"/>
    <w:rsid w:val="00242DF6"/>
    <w:rsid w:val="002437E2"/>
    <w:rsid w:val="0024380E"/>
    <w:rsid w:val="002438F0"/>
    <w:rsid w:val="00243DAD"/>
    <w:rsid w:val="00243E8C"/>
    <w:rsid w:val="00243FC3"/>
    <w:rsid w:val="0024416E"/>
    <w:rsid w:val="002442B1"/>
    <w:rsid w:val="00244519"/>
    <w:rsid w:val="0024476A"/>
    <w:rsid w:val="002447F0"/>
    <w:rsid w:val="002447F9"/>
    <w:rsid w:val="0024489D"/>
    <w:rsid w:val="002448AB"/>
    <w:rsid w:val="00244ABF"/>
    <w:rsid w:val="00244ADE"/>
    <w:rsid w:val="00244D29"/>
    <w:rsid w:val="00245107"/>
    <w:rsid w:val="002454A2"/>
    <w:rsid w:val="002454A7"/>
    <w:rsid w:val="002455CC"/>
    <w:rsid w:val="00245714"/>
    <w:rsid w:val="002458FC"/>
    <w:rsid w:val="002459ED"/>
    <w:rsid w:val="00245AEA"/>
    <w:rsid w:val="00245B66"/>
    <w:rsid w:val="00245D65"/>
    <w:rsid w:val="00245E15"/>
    <w:rsid w:val="00245F91"/>
    <w:rsid w:val="00246550"/>
    <w:rsid w:val="00246710"/>
    <w:rsid w:val="002468E0"/>
    <w:rsid w:val="00246A24"/>
    <w:rsid w:val="00246B76"/>
    <w:rsid w:val="00246C58"/>
    <w:rsid w:val="00246DE1"/>
    <w:rsid w:val="00246F9F"/>
    <w:rsid w:val="00247090"/>
    <w:rsid w:val="00247517"/>
    <w:rsid w:val="0024768E"/>
    <w:rsid w:val="0024773B"/>
    <w:rsid w:val="0024787C"/>
    <w:rsid w:val="00250023"/>
    <w:rsid w:val="00250626"/>
    <w:rsid w:val="002506C8"/>
    <w:rsid w:val="002506F0"/>
    <w:rsid w:val="00250966"/>
    <w:rsid w:val="00250C00"/>
    <w:rsid w:val="00250E1B"/>
    <w:rsid w:val="00251455"/>
    <w:rsid w:val="002519B5"/>
    <w:rsid w:val="00251B7A"/>
    <w:rsid w:val="00251F5C"/>
    <w:rsid w:val="00252050"/>
    <w:rsid w:val="00252145"/>
    <w:rsid w:val="002521B6"/>
    <w:rsid w:val="002523AA"/>
    <w:rsid w:val="00252602"/>
    <w:rsid w:val="002528A2"/>
    <w:rsid w:val="00252B17"/>
    <w:rsid w:val="00252CAD"/>
    <w:rsid w:val="00252F06"/>
    <w:rsid w:val="00252FCE"/>
    <w:rsid w:val="00253219"/>
    <w:rsid w:val="002532C3"/>
    <w:rsid w:val="0025343E"/>
    <w:rsid w:val="00253540"/>
    <w:rsid w:val="00253901"/>
    <w:rsid w:val="0025397D"/>
    <w:rsid w:val="00253BA8"/>
    <w:rsid w:val="00253CCF"/>
    <w:rsid w:val="00253D22"/>
    <w:rsid w:val="00253F98"/>
    <w:rsid w:val="00254313"/>
    <w:rsid w:val="00254601"/>
    <w:rsid w:val="00254751"/>
    <w:rsid w:val="00254A4E"/>
    <w:rsid w:val="002553C0"/>
    <w:rsid w:val="00255693"/>
    <w:rsid w:val="00255972"/>
    <w:rsid w:val="00255B58"/>
    <w:rsid w:val="00255C1A"/>
    <w:rsid w:val="00255E05"/>
    <w:rsid w:val="0025613C"/>
    <w:rsid w:val="00256306"/>
    <w:rsid w:val="0025635C"/>
    <w:rsid w:val="00256501"/>
    <w:rsid w:val="00256568"/>
    <w:rsid w:val="0025672E"/>
    <w:rsid w:val="0025677C"/>
    <w:rsid w:val="00256932"/>
    <w:rsid w:val="00256F57"/>
    <w:rsid w:val="00256F6D"/>
    <w:rsid w:val="00257216"/>
    <w:rsid w:val="002572EC"/>
    <w:rsid w:val="00257566"/>
    <w:rsid w:val="002577FB"/>
    <w:rsid w:val="00257B0A"/>
    <w:rsid w:val="00260075"/>
    <w:rsid w:val="00260976"/>
    <w:rsid w:val="00260BAA"/>
    <w:rsid w:val="00260F4B"/>
    <w:rsid w:val="002611F4"/>
    <w:rsid w:val="002615A9"/>
    <w:rsid w:val="00261687"/>
    <w:rsid w:val="00261992"/>
    <w:rsid w:val="0026199B"/>
    <w:rsid w:val="00261C65"/>
    <w:rsid w:val="00261E96"/>
    <w:rsid w:val="002620EF"/>
    <w:rsid w:val="00262116"/>
    <w:rsid w:val="002621D0"/>
    <w:rsid w:val="0026221B"/>
    <w:rsid w:val="00262258"/>
    <w:rsid w:val="00262436"/>
    <w:rsid w:val="00262538"/>
    <w:rsid w:val="00262C22"/>
    <w:rsid w:val="00262DCA"/>
    <w:rsid w:val="00262E8A"/>
    <w:rsid w:val="00262F9E"/>
    <w:rsid w:val="002637AA"/>
    <w:rsid w:val="002638FC"/>
    <w:rsid w:val="00263A31"/>
    <w:rsid w:val="00263B99"/>
    <w:rsid w:val="00263FA4"/>
    <w:rsid w:val="00263FB4"/>
    <w:rsid w:val="002640CD"/>
    <w:rsid w:val="002641A1"/>
    <w:rsid w:val="002647CB"/>
    <w:rsid w:val="0026483B"/>
    <w:rsid w:val="00264924"/>
    <w:rsid w:val="00264B1B"/>
    <w:rsid w:val="0026538E"/>
    <w:rsid w:val="002657ED"/>
    <w:rsid w:val="00265864"/>
    <w:rsid w:val="002658CC"/>
    <w:rsid w:val="00265992"/>
    <w:rsid w:val="00265B3A"/>
    <w:rsid w:val="00265BE3"/>
    <w:rsid w:val="00265CC5"/>
    <w:rsid w:val="00265D02"/>
    <w:rsid w:val="00265D6B"/>
    <w:rsid w:val="00265E14"/>
    <w:rsid w:val="00265FC6"/>
    <w:rsid w:val="0026607F"/>
    <w:rsid w:val="00266135"/>
    <w:rsid w:val="002662A1"/>
    <w:rsid w:val="00266433"/>
    <w:rsid w:val="002665B1"/>
    <w:rsid w:val="00266EF1"/>
    <w:rsid w:val="00266F15"/>
    <w:rsid w:val="00266F2C"/>
    <w:rsid w:val="00267187"/>
    <w:rsid w:val="0026728E"/>
    <w:rsid w:val="002672CA"/>
    <w:rsid w:val="00267564"/>
    <w:rsid w:val="0026764E"/>
    <w:rsid w:val="00267720"/>
    <w:rsid w:val="00267914"/>
    <w:rsid w:val="00267AB8"/>
    <w:rsid w:val="00267D77"/>
    <w:rsid w:val="0027000C"/>
    <w:rsid w:val="002700F2"/>
    <w:rsid w:val="002704D4"/>
    <w:rsid w:val="0027058D"/>
    <w:rsid w:val="00270818"/>
    <w:rsid w:val="00270A12"/>
    <w:rsid w:val="00270A3F"/>
    <w:rsid w:val="00270CA8"/>
    <w:rsid w:val="00270D2A"/>
    <w:rsid w:val="00270F51"/>
    <w:rsid w:val="0027112E"/>
    <w:rsid w:val="00271231"/>
    <w:rsid w:val="00271870"/>
    <w:rsid w:val="0027197A"/>
    <w:rsid w:val="002721C1"/>
    <w:rsid w:val="002721FE"/>
    <w:rsid w:val="002722D3"/>
    <w:rsid w:val="002729F0"/>
    <w:rsid w:val="00272A58"/>
    <w:rsid w:val="00272F1E"/>
    <w:rsid w:val="00272F43"/>
    <w:rsid w:val="00273001"/>
    <w:rsid w:val="002730DE"/>
    <w:rsid w:val="0027310C"/>
    <w:rsid w:val="002735D5"/>
    <w:rsid w:val="002736ED"/>
    <w:rsid w:val="002738FD"/>
    <w:rsid w:val="00273C4D"/>
    <w:rsid w:val="00273EBE"/>
    <w:rsid w:val="00273F3F"/>
    <w:rsid w:val="0027404E"/>
    <w:rsid w:val="002749AC"/>
    <w:rsid w:val="00274DF6"/>
    <w:rsid w:val="00274F26"/>
    <w:rsid w:val="00274FBA"/>
    <w:rsid w:val="00275132"/>
    <w:rsid w:val="00275213"/>
    <w:rsid w:val="002754D7"/>
    <w:rsid w:val="00275521"/>
    <w:rsid w:val="00275598"/>
    <w:rsid w:val="002757C0"/>
    <w:rsid w:val="0027589C"/>
    <w:rsid w:val="00275B13"/>
    <w:rsid w:val="00276245"/>
    <w:rsid w:val="0027624A"/>
    <w:rsid w:val="00276B84"/>
    <w:rsid w:val="00276BB8"/>
    <w:rsid w:val="00276E0A"/>
    <w:rsid w:val="00276E9D"/>
    <w:rsid w:val="0027703D"/>
    <w:rsid w:val="00277435"/>
    <w:rsid w:val="00277558"/>
    <w:rsid w:val="0027755D"/>
    <w:rsid w:val="00277ACE"/>
    <w:rsid w:val="00277BA9"/>
    <w:rsid w:val="00277BD6"/>
    <w:rsid w:val="00277C42"/>
    <w:rsid w:val="00277FC3"/>
    <w:rsid w:val="00277FC7"/>
    <w:rsid w:val="002803CF"/>
    <w:rsid w:val="0028042D"/>
    <w:rsid w:val="0028048F"/>
    <w:rsid w:val="0028064A"/>
    <w:rsid w:val="00280B1A"/>
    <w:rsid w:val="00280E97"/>
    <w:rsid w:val="002811D8"/>
    <w:rsid w:val="002811E0"/>
    <w:rsid w:val="002813EF"/>
    <w:rsid w:val="00281536"/>
    <w:rsid w:val="00281540"/>
    <w:rsid w:val="0028161E"/>
    <w:rsid w:val="002819A4"/>
    <w:rsid w:val="00282467"/>
    <w:rsid w:val="002824AC"/>
    <w:rsid w:val="00282597"/>
    <w:rsid w:val="00282651"/>
    <w:rsid w:val="002826CC"/>
    <w:rsid w:val="002836C6"/>
    <w:rsid w:val="0028380A"/>
    <w:rsid w:val="002838CE"/>
    <w:rsid w:val="0028390E"/>
    <w:rsid w:val="00283B8F"/>
    <w:rsid w:val="00283BA5"/>
    <w:rsid w:val="00283BD8"/>
    <w:rsid w:val="00283C85"/>
    <w:rsid w:val="00283F7E"/>
    <w:rsid w:val="00283FA8"/>
    <w:rsid w:val="00284083"/>
    <w:rsid w:val="00284088"/>
    <w:rsid w:val="002844E5"/>
    <w:rsid w:val="00284583"/>
    <w:rsid w:val="0028478F"/>
    <w:rsid w:val="00284875"/>
    <w:rsid w:val="00284A1D"/>
    <w:rsid w:val="00284CCA"/>
    <w:rsid w:val="00284F75"/>
    <w:rsid w:val="00284F9B"/>
    <w:rsid w:val="00284FC4"/>
    <w:rsid w:val="002851E8"/>
    <w:rsid w:val="002854CD"/>
    <w:rsid w:val="00285518"/>
    <w:rsid w:val="002856B1"/>
    <w:rsid w:val="0028598D"/>
    <w:rsid w:val="00285EB3"/>
    <w:rsid w:val="00285F8C"/>
    <w:rsid w:val="002861A0"/>
    <w:rsid w:val="0028632A"/>
    <w:rsid w:val="0028647A"/>
    <w:rsid w:val="002866B5"/>
    <w:rsid w:val="00286889"/>
    <w:rsid w:val="002869AC"/>
    <w:rsid w:val="00287257"/>
    <w:rsid w:val="00287429"/>
    <w:rsid w:val="00287569"/>
    <w:rsid w:val="002875B5"/>
    <w:rsid w:val="002876B1"/>
    <w:rsid w:val="002879F2"/>
    <w:rsid w:val="00287A5A"/>
    <w:rsid w:val="00287A86"/>
    <w:rsid w:val="00287B71"/>
    <w:rsid w:val="00287B76"/>
    <w:rsid w:val="00287E9F"/>
    <w:rsid w:val="0028870C"/>
    <w:rsid w:val="0029006F"/>
    <w:rsid w:val="0029023B"/>
    <w:rsid w:val="00290788"/>
    <w:rsid w:val="0029095C"/>
    <w:rsid w:val="00290B9B"/>
    <w:rsid w:val="00290BFE"/>
    <w:rsid w:val="00290E4C"/>
    <w:rsid w:val="0029109C"/>
    <w:rsid w:val="0029113B"/>
    <w:rsid w:val="0029126F"/>
    <w:rsid w:val="00291405"/>
    <w:rsid w:val="002914C0"/>
    <w:rsid w:val="00291555"/>
    <w:rsid w:val="00291561"/>
    <w:rsid w:val="00291893"/>
    <w:rsid w:val="00291B9E"/>
    <w:rsid w:val="00291F76"/>
    <w:rsid w:val="00292443"/>
    <w:rsid w:val="00292462"/>
    <w:rsid w:val="002925BC"/>
    <w:rsid w:val="002925E0"/>
    <w:rsid w:val="002926CE"/>
    <w:rsid w:val="00292722"/>
    <w:rsid w:val="00292A51"/>
    <w:rsid w:val="00292C8B"/>
    <w:rsid w:val="00293098"/>
    <w:rsid w:val="0029327D"/>
    <w:rsid w:val="002932F0"/>
    <w:rsid w:val="0029392D"/>
    <w:rsid w:val="00293C8C"/>
    <w:rsid w:val="00293CCA"/>
    <w:rsid w:val="002944E8"/>
    <w:rsid w:val="0029458A"/>
    <w:rsid w:val="002946BF"/>
    <w:rsid w:val="00294A38"/>
    <w:rsid w:val="00294F12"/>
    <w:rsid w:val="00294F8B"/>
    <w:rsid w:val="002957D4"/>
    <w:rsid w:val="00295AEF"/>
    <w:rsid w:val="00295B3E"/>
    <w:rsid w:val="00295B64"/>
    <w:rsid w:val="00295C59"/>
    <w:rsid w:val="00295D9F"/>
    <w:rsid w:val="00295E9F"/>
    <w:rsid w:val="00295F1A"/>
    <w:rsid w:val="00296151"/>
    <w:rsid w:val="0029624F"/>
    <w:rsid w:val="002964FC"/>
    <w:rsid w:val="00296589"/>
    <w:rsid w:val="002966F0"/>
    <w:rsid w:val="002968F9"/>
    <w:rsid w:val="00296A5C"/>
    <w:rsid w:val="00296AE7"/>
    <w:rsid w:val="00296D66"/>
    <w:rsid w:val="00297402"/>
    <w:rsid w:val="00297690"/>
    <w:rsid w:val="0029795A"/>
    <w:rsid w:val="002979F0"/>
    <w:rsid w:val="00297F49"/>
    <w:rsid w:val="00297FB3"/>
    <w:rsid w:val="002A05D7"/>
    <w:rsid w:val="002A0CB6"/>
    <w:rsid w:val="002A0F1A"/>
    <w:rsid w:val="002A14BB"/>
    <w:rsid w:val="002A14CD"/>
    <w:rsid w:val="002A16D3"/>
    <w:rsid w:val="002A1762"/>
    <w:rsid w:val="002A18ED"/>
    <w:rsid w:val="002A1B37"/>
    <w:rsid w:val="002A2010"/>
    <w:rsid w:val="002A2132"/>
    <w:rsid w:val="002A2274"/>
    <w:rsid w:val="002A24EA"/>
    <w:rsid w:val="002A2508"/>
    <w:rsid w:val="002A25C9"/>
    <w:rsid w:val="002A2943"/>
    <w:rsid w:val="002A3316"/>
    <w:rsid w:val="002A33A8"/>
    <w:rsid w:val="002A3563"/>
    <w:rsid w:val="002A3583"/>
    <w:rsid w:val="002A3631"/>
    <w:rsid w:val="002A3788"/>
    <w:rsid w:val="002A3C9D"/>
    <w:rsid w:val="002A3D62"/>
    <w:rsid w:val="002A3E8F"/>
    <w:rsid w:val="002A3E90"/>
    <w:rsid w:val="002A3F0A"/>
    <w:rsid w:val="002A4025"/>
    <w:rsid w:val="002A432F"/>
    <w:rsid w:val="002A4534"/>
    <w:rsid w:val="002A45C2"/>
    <w:rsid w:val="002A46DE"/>
    <w:rsid w:val="002A46F0"/>
    <w:rsid w:val="002A48F2"/>
    <w:rsid w:val="002A494A"/>
    <w:rsid w:val="002A49D6"/>
    <w:rsid w:val="002A4AE2"/>
    <w:rsid w:val="002A4D35"/>
    <w:rsid w:val="002A51B3"/>
    <w:rsid w:val="002A51EE"/>
    <w:rsid w:val="002A52C4"/>
    <w:rsid w:val="002A53B1"/>
    <w:rsid w:val="002A588A"/>
    <w:rsid w:val="002A5A83"/>
    <w:rsid w:val="002A5AB0"/>
    <w:rsid w:val="002A5B72"/>
    <w:rsid w:val="002A5D31"/>
    <w:rsid w:val="002A5D69"/>
    <w:rsid w:val="002A6452"/>
    <w:rsid w:val="002A69D6"/>
    <w:rsid w:val="002A6D96"/>
    <w:rsid w:val="002A6E6A"/>
    <w:rsid w:val="002A7098"/>
    <w:rsid w:val="002A7950"/>
    <w:rsid w:val="002A7A6F"/>
    <w:rsid w:val="002A7A7B"/>
    <w:rsid w:val="002ABA34"/>
    <w:rsid w:val="002B0143"/>
    <w:rsid w:val="002B0695"/>
    <w:rsid w:val="002B083A"/>
    <w:rsid w:val="002B0BA5"/>
    <w:rsid w:val="002B0BFF"/>
    <w:rsid w:val="002B1461"/>
    <w:rsid w:val="002B1593"/>
    <w:rsid w:val="002B1619"/>
    <w:rsid w:val="002B1989"/>
    <w:rsid w:val="002B1BFB"/>
    <w:rsid w:val="002B1C68"/>
    <w:rsid w:val="002B1CC8"/>
    <w:rsid w:val="002B1FCF"/>
    <w:rsid w:val="002B239C"/>
    <w:rsid w:val="002B24B9"/>
    <w:rsid w:val="002B25CE"/>
    <w:rsid w:val="002B2F75"/>
    <w:rsid w:val="002B2F79"/>
    <w:rsid w:val="002B2FD0"/>
    <w:rsid w:val="002B30E1"/>
    <w:rsid w:val="002B3248"/>
    <w:rsid w:val="002B341D"/>
    <w:rsid w:val="002B35D3"/>
    <w:rsid w:val="002B35EF"/>
    <w:rsid w:val="002B3661"/>
    <w:rsid w:val="002B39BA"/>
    <w:rsid w:val="002B3A1A"/>
    <w:rsid w:val="002B4149"/>
    <w:rsid w:val="002B4444"/>
    <w:rsid w:val="002B4535"/>
    <w:rsid w:val="002B4621"/>
    <w:rsid w:val="002B47B5"/>
    <w:rsid w:val="002B4B51"/>
    <w:rsid w:val="002B4C07"/>
    <w:rsid w:val="002B4C2A"/>
    <w:rsid w:val="002B4C3F"/>
    <w:rsid w:val="002B50A2"/>
    <w:rsid w:val="002B5312"/>
    <w:rsid w:val="002B5A26"/>
    <w:rsid w:val="002B5AD4"/>
    <w:rsid w:val="002B5C2A"/>
    <w:rsid w:val="002B5EC0"/>
    <w:rsid w:val="002B5F6F"/>
    <w:rsid w:val="002B5FE2"/>
    <w:rsid w:val="002B6188"/>
    <w:rsid w:val="002B6494"/>
    <w:rsid w:val="002B6595"/>
    <w:rsid w:val="002B6A2B"/>
    <w:rsid w:val="002B6C6C"/>
    <w:rsid w:val="002B703A"/>
    <w:rsid w:val="002B7292"/>
    <w:rsid w:val="002B7375"/>
    <w:rsid w:val="002B743A"/>
    <w:rsid w:val="002B74D3"/>
    <w:rsid w:val="002B7B67"/>
    <w:rsid w:val="002C0181"/>
    <w:rsid w:val="002C07E5"/>
    <w:rsid w:val="002C0A35"/>
    <w:rsid w:val="002C0B57"/>
    <w:rsid w:val="002C0BB3"/>
    <w:rsid w:val="002C0CEE"/>
    <w:rsid w:val="002C14CC"/>
    <w:rsid w:val="002C1E3F"/>
    <w:rsid w:val="002C20A9"/>
    <w:rsid w:val="002C2A3E"/>
    <w:rsid w:val="002C2AC6"/>
    <w:rsid w:val="002C2B91"/>
    <w:rsid w:val="002C2D0F"/>
    <w:rsid w:val="002C2E49"/>
    <w:rsid w:val="002C33AB"/>
    <w:rsid w:val="002C3514"/>
    <w:rsid w:val="002C362D"/>
    <w:rsid w:val="002C38AB"/>
    <w:rsid w:val="002C39B5"/>
    <w:rsid w:val="002C3CE1"/>
    <w:rsid w:val="002C3F4D"/>
    <w:rsid w:val="002C422B"/>
    <w:rsid w:val="002C428F"/>
    <w:rsid w:val="002C481A"/>
    <w:rsid w:val="002C4AB0"/>
    <w:rsid w:val="002C4B3D"/>
    <w:rsid w:val="002C500F"/>
    <w:rsid w:val="002C5071"/>
    <w:rsid w:val="002C54D4"/>
    <w:rsid w:val="002C5614"/>
    <w:rsid w:val="002C5A14"/>
    <w:rsid w:val="002C617E"/>
    <w:rsid w:val="002C61A8"/>
    <w:rsid w:val="002C61C5"/>
    <w:rsid w:val="002C61D7"/>
    <w:rsid w:val="002C61EF"/>
    <w:rsid w:val="002C6204"/>
    <w:rsid w:val="002C6215"/>
    <w:rsid w:val="002C62C3"/>
    <w:rsid w:val="002C62FA"/>
    <w:rsid w:val="002C6423"/>
    <w:rsid w:val="002C6496"/>
    <w:rsid w:val="002C66EA"/>
    <w:rsid w:val="002C6897"/>
    <w:rsid w:val="002C6A4B"/>
    <w:rsid w:val="002C6B8D"/>
    <w:rsid w:val="002C6C04"/>
    <w:rsid w:val="002C6CF3"/>
    <w:rsid w:val="002C6D70"/>
    <w:rsid w:val="002C6E04"/>
    <w:rsid w:val="002C7050"/>
    <w:rsid w:val="002C736F"/>
    <w:rsid w:val="002C74D7"/>
    <w:rsid w:val="002C7B17"/>
    <w:rsid w:val="002C7B76"/>
    <w:rsid w:val="002C7D1C"/>
    <w:rsid w:val="002C7D83"/>
    <w:rsid w:val="002C7ED5"/>
    <w:rsid w:val="002C7F0A"/>
    <w:rsid w:val="002D0043"/>
    <w:rsid w:val="002D0223"/>
    <w:rsid w:val="002D0258"/>
    <w:rsid w:val="002D0264"/>
    <w:rsid w:val="002D02C9"/>
    <w:rsid w:val="002D035E"/>
    <w:rsid w:val="002D0684"/>
    <w:rsid w:val="002D1000"/>
    <w:rsid w:val="002D1297"/>
    <w:rsid w:val="002D15BD"/>
    <w:rsid w:val="002D16E1"/>
    <w:rsid w:val="002D175B"/>
    <w:rsid w:val="002D1895"/>
    <w:rsid w:val="002D18C4"/>
    <w:rsid w:val="002D1A9B"/>
    <w:rsid w:val="002D22F3"/>
    <w:rsid w:val="002D2435"/>
    <w:rsid w:val="002D283F"/>
    <w:rsid w:val="002D2AF0"/>
    <w:rsid w:val="002D2B4C"/>
    <w:rsid w:val="002D2C76"/>
    <w:rsid w:val="002D2D5B"/>
    <w:rsid w:val="002D2EF1"/>
    <w:rsid w:val="002D2F3B"/>
    <w:rsid w:val="002D3066"/>
    <w:rsid w:val="002D3188"/>
    <w:rsid w:val="002D32FC"/>
    <w:rsid w:val="002D3454"/>
    <w:rsid w:val="002D359E"/>
    <w:rsid w:val="002D3903"/>
    <w:rsid w:val="002D3B3D"/>
    <w:rsid w:val="002D3C99"/>
    <w:rsid w:val="002D3D5F"/>
    <w:rsid w:val="002D3DD7"/>
    <w:rsid w:val="002D4967"/>
    <w:rsid w:val="002D4B4E"/>
    <w:rsid w:val="002D4C56"/>
    <w:rsid w:val="002D4CBB"/>
    <w:rsid w:val="002D4DAB"/>
    <w:rsid w:val="002D4E30"/>
    <w:rsid w:val="002D52D7"/>
    <w:rsid w:val="002D547F"/>
    <w:rsid w:val="002D5529"/>
    <w:rsid w:val="002D5636"/>
    <w:rsid w:val="002D582A"/>
    <w:rsid w:val="002D58B5"/>
    <w:rsid w:val="002D5A87"/>
    <w:rsid w:val="002D5B03"/>
    <w:rsid w:val="002D5C1C"/>
    <w:rsid w:val="002D5CFA"/>
    <w:rsid w:val="002D5E53"/>
    <w:rsid w:val="002D5E8D"/>
    <w:rsid w:val="002D5F82"/>
    <w:rsid w:val="002D6863"/>
    <w:rsid w:val="002D6DC9"/>
    <w:rsid w:val="002D6F5B"/>
    <w:rsid w:val="002D72C0"/>
    <w:rsid w:val="002D75F8"/>
    <w:rsid w:val="002D76CA"/>
    <w:rsid w:val="002D7755"/>
    <w:rsid w:val="002D7819"/>
    <w:rsid w:val="002D799B"/>
    <w:rsid w:val="002D7AA5"/>
    <w:rsid w:val="002D7B1B"/>
    <w:rsid w:val="002E00CA"/>
    <w:rsid w:val="002E035A"/>
    <w:rsid w:val="002E06EF"/>
    <w:rsid w:val="002E076A"/>
    <w:rsid w:val="002E090E"/>
    <w:rsid w:val="002E0AED"/>
    <w:rsid w:val="002E0EC6"/>
    <w:rsid w:val="002E1328"/>
    <w:rsid w:val="002E1551"/>
    <w:rsid w:val="002E1604"/>
    <w:rsid w:val="002E16A9"/>
    <w:rsid w:val="002E179F"/>
    <w:rsid w:val="002E1B42"/>
    <w:rsid w:val="002E20FA"/>
    <w:rsid w:val="002E22B1"/>
    <w:rsid w:val="002E2312"/>
    <w:rsid w:val="002E278A"/>
    <w:rsid w:val="002E28D2"/>
    <w:rsid w:val="002E2914"/>
    <w:rsid w:val="002E2994"/>
    <w:rsid w:val="002E3026"/>
    <w:rsid w:val="002E318F"/>
    <w:rsid w:val="002E3214"/>
    <w:rsid w:val="002E3835"/>
    <w:rsid w:val="002E3EBF"/>
    <w:rsid w:val="002E40F1"/>
    <w:rsid w:val="002E4207"/>
    <w:rsid w:val="002E4397"/>
    <w:rsid w:val="002E442D"/>
    <w:rsid w:val="002E44BA"/>
    <w:rsid w:val="002E45B5"/>
    <w:rsid w:val="002E45D7"/>
    <w:rsid w:val="002E4A83"/>
    <w:rsid w:val="002E4A87"/>
    <w:rsid w:val="002E531F"/>
    <w:rsid w:val="002E5361"/>
    <w:rsid w:val="002E55C2"/>
    <w:rsid w:val="002E5662"/>
    <w:rsid w:val="002E57D3"/>
    <w:rsid w:val="002E608A"/>
    <w:rsid w:val="002E60BC"/>
    <w:rsid w:val="002E60E4"/>
    <w:rsid w:val="002E6112"/>
    <w:rsid w:val="002E618D"/>
    <w:rsid w:val="002E62D9"/>
    <w:rsid w:val="002E6354"/>
    <w:rsid w:val="002E63C9"/>
    <w:rsid w:val="002E64C4"/>
    <w:rsid w:val="002E6571"/>
    <w:rsid w:val="002E65D8"/>
    <w:rsid w:val="002E6BC0"/>
    <w:rsid w:val="002E6EAB"/>
    <w:rsid w:val="002E7208"/>
    <w:rsid w:val="002E7529"/>
    <w:rsid w:val="002E78F2"/>
    <w:rsid w:val="002E7CAA"/>
    <w:rsid w:val="002E7FE8"/>
    <w:rsid w:val="002F024E"/>
    <w:rsid w:val="002F02B6"/>
    <w:rsid w:val="002F05BF"/>
    <w:rsid w:val="002F0821"/>
    <w:rsid w:val="002F0AAB"/>
    <w:rsid w:val="002F0D15"/>
    <w:rsid w:val="002F0E19"/>
    <w:rsid w:val="002F0ED5"/>
    <w:rsid w:val="002F1768"/>
    <w:rsid w:val="002F1C89"/>
    <w:rsid w:val="002F2067"/>
    <w:rsid w:val="002F2279"/>
    <w:rsid w:val="002F2604"/>
    <w:rsid w:val="002F262A"/>
    <w:rsid w:val="002F265B"/>
    <w:rsid w:val="002F26DB"/>
    <w:rsid w:val="002F27FA"/>
    <w:rsid w:val="002F2AEF"/>
    <w:rsid w:val="002F2EAE"/>
    <w:rsid w:val="002F338D"/>
    <w:rsid w:val="002F345E"/>
    <w:rsid w:val="002F34C0"/>
    <w:rsid w:val="002F34E0"/>
    <w:rsid w:val="002F3505"/>
    <w:rsid w:val="002F37AE"/>
    <w:rsid w:val="002F38AE"/>
    <w:rsid w:val="002F3C1D"/>
    <w:rsid w:val="002F3C6A"/>
    <w:rsid w:val="002F3D51"/>
    <w:rsid w:val="002F3DCB"/>
    <w:rsid w:val="002F4066"/>
    <w:rsid w:val="002F451C"/>
    <w:rsid w:val="002F46FD"/>
    <w:rsid w:val="002F476F"/>
    <w:rsid w:val="002F4B05"/>
    <w:rsid w:val="002F4D9A"/>
    <w:rsid w:val="002F4DF1"/>
    <w:rsid w:val="002F531A"/>
    <w:rsid w:val="002F538B"/>
    <w:rsid w:val="002F5495"/>
    <w:rsid w:val="002F54D9"/>
    <w:rsid w:val="002F57C9"/>
    <w:rsid w:val="002F587C"/>
    <w:rsid w:val="002F58A5"/>
    <w:rsid w:val="002F592F"/>
    <w:rsid w:val="002F599A"/>
    <w:rsid w:val="002F5E06"/>
    <w:rsid w:val="002F5E38"/>
    <w:rsid w:val="002F5E7A"/>
    <w:rsid w:val="002F6090"/>
    <w:rsid w:val="002F63DE"/>
    <w:rsid w:val="002F663D"/>
    <w:rsid w:val="002F67FE"/>
    <w:rsid w:val="002F6870"/>
    <w:rsid w:val="002F6961"/>
    <w:rsid w:val="002F6BCF"/>
    <w:rsid w:val="002F6E5F"/>
    <w:rsid w:val="002F7082"/>
    <w:rsid w:val="002F70FA"/>
    <w:rsid w:val="002F730B"/>
    <w:rsid w:val="002F738F"/>
    <w:rsid w:val="002F76B8"/>
    <w:rsid w:val="002F78EC"/>
    <w:rsid w:val="002F7969"/>
    <w:rsid w:val="002F7988"/>
    <w:rsid w:val="002F7B30"/>
    <w:rsid w:val="002F7BA7"/>
    <w:rsid w:val="00300144"/>
    <w:rsid w:val="00300631"/>
    <w:rsid w:val="00300A5A"/>
    <w:rsid w:val="00300B33"/>
    <w:rsid w:val="00300C8D"/>
    <w:rsid w:val="00300D60"/>
    <w:rsid w:val="00300E13"/>
    <w:rsid w:val="003012E6"/>
    <w:rsid w:val="00301437"/>
    <w:rsid w:val="003014ED"/>
    <w:rsid w:val="00301655"/>
    <w:rsid w:val="003017DD"/>
    <w:rsid w:val="00301AD1"/>
    <w:rsid w:val="00301AD8"/>
    <w:rsid w:val="003024B2"/>
    <w:rsid w:val="00302828"/>
    <w:rsid w:val="00303230"/>
    <w:rsid w:val="00303327"/>
    <w:rsid w:val="003033FE"/>
    <w:rsid w:val="0030355B"/>
    <w:rsid w:val="003037AE"/>
    <w:rsid w:val="003039D8"/>
    <w:rsid w:val="003039E7"/>
    <w:rsid w:val="00303BC3"/>
    <w:rsid w:val="00303E62"/>
    <w:rsid w:val="00304015"/>
    <w:rsid w:val="0030410D"/>
    <w:rsid w:val="0030424B"/>
    <w:rsid w:val="0030451C"/>
    <w:rsid w:val="0030478A"/>
    <w:rsid w:val="003048E4"/>
    <w:rsid w:val="00304C70"/>
    <w:rsid w:val="003052A0"/>
    <w:rsid w:val="003052F4"/>
    <w:rsid w:val="003053D2"/>
    <w:rsid w:val="0030563D"/>
    <w:rsid w:val="003058B5"/>
    <w:rsid w:val="003058FE"/>
    <w:rsid w:val="00305A7C"/>
    <w:rsid w:val="00305A82"/>
    <w:rsid w:val="00305A98"/>
    <w:rsid w:val="00305F0C"/>
    <w:rsid w:val="0030617E"/>
    <w:rsid w:val="003061FA"/>
    <w:rsid w:val="00306223"/>
    <w:rsid w:val="00306225"/>
    <w:rsid w:val="00306356"/>
    <w:rsid w:val="0030668C"/>
    <w:rsid w:val="00306907"/>
    <w:rsid w:val="00306B03"/>
    <w:rsid w:val="00306CA3"/>
    <w:rsid w:val="00306FD0"/>
    <w:rsid w:val="003070BE"/>
    <w:rsid w:val="00307215"/>
    <w:rsid w:val="00307830"/>
    <w:rsid w:val="00307932"/>
    <w:rsid w:val="00307A4F"/>
    <w:rsid w:val="00307B21"/>
    <w:rsid w:val="00307DC0"/>
    <w:rsid w:val="00307DE4"/>
    <w:rsid w:val="00310103"/>
    <w:rsid w:val="0031017A"/>
    <w:rsid w:val="003104B3"/>
    <w:rsid w:val="003106F0"/>
    <w:rsid w:val="003107E9"/>
    <w:rsid w:val="00310955"/>
    <w:rsid w:val="00310A1D"/>
    <w:rsid w:val="00310BCA"/>
    <w:rsid w:val="00310C92"/>
    <w:rsid w:val="00310EF7"/>
    <w:rsid w:val="00310F03"/>
    <w:rsid w:val="0031139A"/>
    <w:rsid w:val="003114F7"/>
    <w:rsid w:val="0031166E"/>
    <w:rsid w:val="003118BA"/>
    <w:rsid w:val="00311CE4"/>
    <w:rsid w:val="00311DD4"/>
    <w:rsid w:val="00311E44"/>
    <w:rsid w:val="00311F90"/>
    <w:rsid w:val="00312196"/>
    <w:rsid w:val="00312261"/>
    <w:rsid w:val="00312514"/>
    <w:rsid w:val="00312A98"/>
    <w:rsid w:val="00312C69"/>
    <w:rsid w:val="003134C6"/>
    <w:rsid w:val="0031378B"/>
    <w:rsid w:val="0031382A"/>
    <w:rsid w:val="00313AFE"/>
    <w:rsid w:val="00313B4A"/>
    <w:rsid w:val="00313CED"/>
    <w:rsid w:val="00314160"/>
    <w:rsid w:val="0031419D"/>
    <w:rsid w:val="0031432B"/>
    <w:rsid w:val="003143C2"/>
    <w:rsid w:val="0031460F"/>
    <w:rsid w:val="00314673"/>
    <w:rsid w:val="00314A3B"/>
    <w:rsid w:val="00314B1B"/>
    <w:rsid w:val="003155BA"/>
    <w:rsid w:val="003156A2"/>
    <w:rsid w:val="0031582B"/>
    <w:rsid w:val="00315A3D"/>
    <w:rsid w:val="00316388"/>
    <w:rsid w:val="003164C3"/>
    <w:rsid w:val="0031657F"/>
    <w:rsid w:val="00316739"/>
    <w:rsid w:val="0031689D"/>
    <w:rsid w:val="00316A85"/>
    <w:rsid w:val="00316AA0"/>
    <w:rsid w:val="00317174"/>
    <w:rsid w:val="003175F5"/>
    <w:rsid w:val="0031760A"/>
    <w:rsid w:val="003176EA"/>
    <w:rsid w:val="0031778C"/>
    <w:rsid w:val="00317B99"/>
    <w:rsid w:val="00320485"/>
    <w:rsid w:val="003206DC"/>
    <w:rsid w:val="0032071C"/>
    <w:rsid w:val="0032089E"/>
    <w:rsid w:val="00321903"/>
    <w:rsid w:val="00321978"/>
    <w:rsid w:val="00321A22"/>
    <w:rsid w:val="00321E46"/>
    <w:rsid w:val="00322720"/>
    <w:rsid w:val="00322957"/>
    <w:rsid w:val="0032299B"/>
    <w:rsid w:val="00322C5D"/>
    <w:rsid w:val="00322CB5"/>
    <w:rsid w:val="00323459"/>
    <w:rsid w:val="003234AD"/>
    <w:rsid w:val="0032378E"/>
    <w:rsid w:val="00323943"/>
    <w:rsid w:val="00323B52"/>
    <w:rsid w:val="00323F0D"/>
    <w:rsid w:val="00323F0F"/>
    <w:rsid w:val="003240FA"/>
    <w:rsid w:val="00324676"/>
    <w:rsid w:val="003246F2"/>
    <w:rsid w:val="003247AF"/>
    <w:rsid w:val="00324832"/>
    <w:rsid w:val="003248DF"/>
    <w:rsid w:val="0032496E"/>
    <w:rsid w:val="00324B34"/>
    <w:rsid w:val="00324F6A"/>
    <w:rsid w:val="003252E8"/>
    <w:rsid w:val="003256BD"/>
    <w:rsid w:val="003258E2"/>
    <w:rsid w:val="0032596C"/>
    <w:rsid w:val="00325B16"/>
    <w:rsid w:val="00325F6D"/>
    <w:rsid w:val="00325FF3"/>
    <w:rsid w:val="00326217"/>
    <w:rsid w:val="003265A1"/>
    <w:rsid w:val="00326619"/>
    <w:rsid w:val="00326925"/>
    <w:rsid w:val="00327006"/>
    <w:rsid w:val="00327279"/>
    <w:rsid w:val="003272EF"/>
    <w:rsid w:val="0032761C"/>
    <w:rsid w:val="00327704"/>
    <w:rsid w:val="003278BF"/>
    <w:rsid w:val="00327B3C"/>
    <w:rsid w:val="00327CD2"/>
    <w:rsid w:val="00327E67"/>
    <w:rsid w:val="00327EAD"/>
    <w:rsid w:val="00327EBA"/>
    <w:rsid w:val="00327F0B"/>
    <w:rsid w:val="00330625"/>
    <w:rsid w:val="00330638"/>
    <w:rsid w:val="00330B3E"/>
    <w:rsid w:val="00330D9E"/>
    <w:rsid w:val="00330F56"/>
    <w:rsid w:val="003312D2"/>
    <w:rsid w:val="0033156B"/>
    <w:rsid w:val="00331777"/>
    <w:rsid w:val="00331806"/>
    <w:rsid w:val="00331813"/>
    <w:rsid w:val="0033193C"/>
    <w:rsid w:val="0033196D"/>
    <w:rsid w:val="00331CD1"/>
    <w:rsid w:val="00331DF9"/>
    <w:rsid w:val="00332272"/>
    <w:rsid w:val="0033237A"/>
    <w:rsid w:val="00332681"/>
    <w:rsid w:val="0033273F"/>
    <w:rsid w:val="003328BE"/>
    <w:rsid w:val="00332AC0"/>
    <w:rsid w:val="00332B7B"/>
    <w:rsid w:val="00332CE4"/>
    <w:rsid w:val="00332CF0"/>
    <w:rsid w:val="00332F3C"/>
    <w:rsid w:val="003330E7"/>
    <w:rsid w:val="0033343D"/>
    <w:rsid w:val="00333605"/>
    <w:rsid w:val="00333ADB"/>
    <w:rsid w:val="00333B04"/>
    <w:rsid w:val="00334019"/>
    <w:rsid w:val="003342F0"/>
    <w:rsid w:val="00334EBA"/>
    <w:rsid w:val="00334F8B"/>
    <w:rsid w:val="00335259"/>
    <w:rsid w:val="00335482"/>
    <w:rsid w:val="0033558A"/>
    <w:rsid w:val="00335ADE"/>
    <w:rsid w:val="00335BBA"/>
    <w:rsid w:val="00335E88"/>
    <w:rsid w:val="00335F72"/>
    <w:rsid w:val="00336094"/>
    <w:rsid w:val="003366BD"/>
    <w:rsid w:val="00336742"/>
    <w:rsid w:val="0033682A"/>
    <w:rsid w:val="00336B36"/>
    <w:rsid w:val="00336B8E"/>
    <w:rsid w:val="00336BB5"/>
    <w:rsid w:val="00336C03"/>
    <w:rsid w:val="00336F09"/>
    <w:rsid w:val="00336F18"/>
    <w:rsid w:val="00336FD0"/>
    <w:rsid w:val="00337017"/>
    <w:rsid w:val="003373FF"/>
    <w:rsid w:val="003376B3"/>
    <w:rsid w:val="00337BAD"/>
    <w:rsid w:val="00337C0D"/>
    <w:rsid w:val="003400CD"/>
    <w:rsid w:val="00340132"/>
    <w:rsid w:val="003403F0"/>
    <w:rsid w:val="0034044C"/>
    <w:rsid w:val="0034080D"/>
    <w:rsid w:val="0034135C"/>
    <w:rsid w:val="00341747"/>
    <w:rsid w:val="00341767"/>
    <w:rsid w:val="003417B0"/>
    <w:rsid w:val="00341B2D"/>
    <w:rsid w:val="00341D82"/>
    <w:rsid w:val="00342101"/>
    <w:rsid w:val="003421B0"/>
    <w:rsid w:val="00342638"/>
    <w:rsid w:val="003428A7"/>
    <w:rsid w:val="003428BA"/>
    <w:rsid w:val="00342A5B"/>
    <w:rsid w:val="00342A60"/>
    <w:rsid w:val="00342D88"/>
    <w:rsid w:val="00342DBE"/>
    <w:rsid w:val="00343044"/>
    <w:rsid w:val="003435BC"/>
    <w:rsid w:val="00343B9E"/>
    <w:rsid w:val="00343C96"/>
    <w:rsid w:val="00343D61"/>
    <w:rsid w:val="00343E6B"/>
    <w:rsid w:val="00343F75"/>
    <w:rsid w:val="0034434F"/>
    <w:rsid w:val="0034467C"/>
    <w:rsid w:val="00344752"/>
    <w:rsid w:val="003447B6"/>
    <w:rsid w:val="003448C4"/>
    <w:rsid w:val="003448F4"/>
    <w:rsid w:val="003449EA"/>
    <w:rsid w:val="00344AD2"/>
    <w:rsid w:val="00344E2D"/>
    <w:rsid w:val="00344FD1"/>
    <w:rsid w:val="00345066"/>
    <w:rsid w:val="003451CB"/>
    <w:rsid w:val="00345669"/>
    <w:rsid w:val="003458E5"/>
    <w:rsid w:val="00345BB0"/>
    <w:rsid w:val="00345E1B"/>
    <w:rsid w:val="00345F0D"/>
    <w:rsid w:val="0034610E"/>
    <w:rsid w:val="00346208"/>
    <w:rsid w:val="00346280"/>
    <w:rsid w:val="0034644C"/>
    <w:rsid w:val="00346708"/>
    <w:rsid w:val="00346AA3"/>
    <w:rsid w:val="00346B10"/>
    <w:rsid w:val="00346BBF"/>
    <w:rsid w:val="00346F99"/>
    <w:rsid w:val="00346FE6"/>
    <w:rsid w:val="003473ED"/>
    <w:rsid w:val="00347672"/>
    <w:rsid w:val="003478AC"/>
    <w:rsid w:val="00347B28"/>
    <w:rsid w:val="00347D00"/>
    <w:rsid w:val="00347E86"/>
    <w:rsid w:val="0035003D"/>
    <w:rsid w:val="00350045"/>
    <w:rsid w:val="003502E0"/>
    <w:rsid w:val="003507F4"/>
    <w:rsid w:val="00350BC7"/>
    <w:rsid w:val="00350C62"/>
    <w:rsid w:val="00351044"/>
    <w:rsid w:val="0035108F"/>
    <w:rsid w:val="00351178"/>
    <w:rsid w:val="00351327"/>
    <w:rsid w:val="0035148D"/>
    <w:rsid w:val="0035150D"/>
    <w:rsid w:val="0035182F"/>
    <w:rsid w:val="00351BB5"/>
    <w:rsid w:val="00351C73"/>
    <w:rsid w:val="00352220"/>
    <w:rsid w:val="00352465"/>
    <w:rsid w:val="00352611"/>
    <w:rsid w:val="00352615"/>
    <w:rsid w:val="00352790"/>
    <w:rsid w:val="00352963"/>
    <w:rsid w:val="00352AE1"/>
    <w:rsid w:val="00352EC4"/>
    <w:rsid w:val="003531AB"/>
    <w:rsid w:val="00353388"/>
    <w:rsid w:val="00353693"/>
    <w:rsid w:val="00353B74"/>
    <w:rsid w:val="00353B82"/>
    <w:rsid w:val="00353BF9"/>
    <w:rsid w:val="00353DB9"/>
    <w:rsid w:val="00353DFC"/>
    <w:rsid w:val="0035409A"/>
    <w:rsid w:val="0035426E"/>
    <w:rsid w:val="003543F5"/>
    <w:rsid w:val="003544A9"/>
    <w:rsid w:val="003549FF"/>
    <w:rsid w:val="00354E08"/>
    <w:rsid w:val="00354E40"/>
    <w:rsid w:val="0035534F"/>
    <w:rsid w:val="003553D3"/>
    <w:rsid w:val="003556B9"/>
    <w:rsid w:val="00355A06"/>
    <w:rsid w:val="00355F16"/>
    <w:rsid w:val="00356350"/>
    <w:rsid w:val="003564B0"/>
    <w:rsid w:val="003564CA"/>
    <w:rsid w:val="00356703"/>
    <w:rsid w:val="003567B8"/>
    <w:rsid w:val="003569BA"/>
    <w:rsid w:val="00356B65"/>
    <w:rsid w:val="00356D0D"/>
    <w:rsid w:val="00356FC3"/>
    <w:rsid w:val="00357017"/>
    <w:rsid w:val="0035713E"/>
    <w:rsid w:val="00357199"/>
    <w:rsid w:val="003573D1"/>
    <w:rsid w:val="003573F2"/>
    <w:rsid w:val="00357868"/>
    <w:rsid w:val="00357898"/>
    <w:rsid w:val="00357B02"/>
    <w:rsid w:val="00357BD0"/>
    <w:rsid w:val="00357D88"/>
    <w:rsid w:val="00357E14"/>
    <w:rsid w:val="0036006B"/>
    <w:rsid w:val="003600A8"/>
    <w:rsid w:val="00360A77"/>
    <w:rsid w:val="00360E8F"/>
    <w:rsid w:val="00360F5D"/>
    <w:rsid w:val="00360FD1"/>
    <w:rsid w:val="0036155D"/>
    <w:rsid w:val="00361ABE"/>
    <w:rsid w:val="00361ACA"/>
    <w:rsid w:val="00361BED"/>
    <w:rsid w:val="00361D0D"/>
    <w:rsid w:val="00361D12"/>
    <w:rsid w:val="00361D2E"/>
    <w:rsid w:val="00361FED"/>
    <w:rsid w:val="00361FEE"/>
    <w:rsid w:val="00362433"/>
    <w:rsid w:val="003624A0"/>
    <w:rsid w:val="00362725"/>
    <w:rsid w:val="00362781"/>
    <w:rsid w:val="00362A9A"/>
    <w:rsid w:val="00362BB8"/>
    <w:rsid w:val="00362BDC"/>
    <w:rsid w:val="00362D45"/>
    <w:rsid w:val="00362E0A"/>
    <w:rsid w:val="00362E2A"/>
    <w:rsid w:val="00362F4C"/>
    <w:rsid w:val="0036320B"/>
    <w:rsid w:val="0036347F"/>
    <w:rsid w:val="0036354F"/>
    <w:rsid w:val="00363A50"/>
    <w:rsid w:val="00363ACB"/>
    <w:rsid w:val="00363BA4"/>
    <w:rsid w:val="00363D0D"/>
    <w:rsid w:val="00363D40"/>
    <w:rsid w:val="00363DC5"/>
    <w:rsid w:val="00364025"/>
    <w:rsid w:val="00364512"/>
    <w:rsid w:val="00364774"/>
    <w:rsid w:val="003647AF"/>
    <w:rsid w:val="003647E0"/>
    <w:rsid w:val="003648D2"/>
    <w:rsid w:val="00364B00"/>
    <w:rsid w:val="00364BC0"/>
    <w:rsid w:val="00364C30"/>
    <w:rsid w:val="00365101"/>
    <w:rsid w:val="00365244"/>
    <w:rsid w:val="0036580B"/>
    <w:rsid w:val="0036585C"/>
    <w:rsid w:val="00365CD1"/>
    <w:rsid w:val="00365E6D"/>
    <w:rsid w:val="00365F82"/>
    <w:rsid w:val="00366258"/>
    <w:rsid w:val="003662CE"/>
    <w:rsid w:val="00366719"/>
    <w:rsid w:val="00366984"/>
    <w:rsid w:val="00366DC6"/>
    <w:rsid w:val="003672C1"/>
    <w:rsid w:val="0036743A"/>
    <w:rsid w:val="00367B7E"/>
    <w:rsid w:val="003701DA"/>
    <w:rsid w:val="003706D6"/>
    <w:rsid w:val="003709B9"/>
    <w:rsid w:val="00370CF4"/>
    <w:rsid w:val="00370DB9"/>
    <w:rsid w:val="00370E00"/>
    <w:rsid w:val="00371105"/>
    <w:rsid w:val="0037110D"/>
    <w:rsid w:val="00371163"/>
    <w:rsid w:val="0037125C"/>
    <w:rsid w:val="00371669"/>
    <w:rsid w:val="0037179A"/>
    <w:rsid w:val="0037195B"/>
    <w:rsid w:val="003719D2"/>
    <w:rsid w:val="00371AC0"/>
    <w:rsid w:val="00371CAE"/>
    <w:rsid w:val="00371F12"/>
    <w:rsid w:val="0037201B"/>
    <w:rsid w:val="00372151"/>
    <w:rsid w:val="003727F1"/>
    <w:rsid w:val="00372841"/>
    <w:rsid w:val="0037284D"/>
    <w:rsid w:val="00372A9A"/>
    <w:rsid w:val="00372BA8"/>
    <w:rsid w:val="00372FB3"/>
    <w:rsid w:val="0037310C"/>
    <w:rsid w:val="003731AC"/>
    <w:rsid w:val="003731D3"/>
    <w:rsid w:val="0037328F"/>
    <w:rsid w:val="0037341F"/>
    <w:rsid w:val="003738FE"/>
    <w:rsid w:val="003739EA"/>
    <w:rsid w:val="00373A7C"/>
    <w:rsid w:val="00373F51"/>
    <w:rsid w:val="00374287"/>
    <w:rsid w:val="0037431E"/>
    <w:rsid w:val="003744F5"/>
    <w:rsid w:val="003746A9"/>
    <w:rsid w:val="003746F0"/>
    <w:rsid w:val="003747D9"/>
    <w:rsid w:val="003748D8"/>
    <w:rsid w:val="00374A34"/>
    <w:rsid w:val="00374A8D"/>
    <w:rsid w:val="00374D4A"/>
    <w:rsid w:val="00374E0F"/>
    <w:rsid w:val="00374EE0"/>
    <w:rsid w:val="0037502E"/>
    <w:rsid w:val="003750A1"/>
    <w:rsid w:val="003752AD"/>
    <w:rsid w:val="003758E4"/>
    <w:rsid w:val="00375BB7"/>
    <w:rsid w:val="00375F78"/>
    <w:rsid w:val="00376484"/>
    <w:rsid w:val="003765DB"/>
    <w:rsid w:val="00376670"/>
    <w:rsid w:val="00376815"/>
    <w:rsid w:val="0037689C"/>
    <w:rsid w:val="0037694A"/>
    <w:rsid w:val="00376F15"/>
    <w:rsid w:val="00376F2F"/>
    <w:rsid w:val="003771C1"/>
    <w:rsid w:val="003772C2"/>
    <w:rsid w:val="003773DD"/>
    <w:rsid w:val="0037744D"/>
    <w:rsid w:val="00377D6A"/>
    <w:rsid w:val="00377E27"/>
    <w:rsid w:val="00377F5C"/>
    <w:rsid w:val="00380045"/>
    <w:rsid w:val="0038022F"/>
    <w:rsid w:val="00380313"/>
    <w:rsid w:val="00380549"/>
    <w:rsid w:val="00380555"/>
    <w:rsid w:val="003805F7"/>
    <w:rsid w:val="003806CC"/>
    <w:rsid w:val="00380A3A"/>
    <w:rsid w:val="00380ACA"/>
    <w:rsid w:val="00380BF9"/>
    <w:rsid w:val="00380CC2"/>
    <w:rsid w:val="00380E5F"/>
    <w:rsid w:val="00380F88"/>
    <w:rsid w:val="00381219"/>
    <w:rsid w:val="00381385"/>
    <w:rsid w:val="0038148E"/>
    <w:rsid w:val="00381494"/>
    <w:rsid w:val="00381814"/>
    <w:rsid w:val="0038194D"/>
    <w:rsid w:val="00381990"/>
    <w:rsid w:val="00381A22"/>
    <w:rsid w:val="00381CC7"/>
    <w:rsid w:val="0038219F"/>
    <w:rsid w:val="0038236A"/>
    <w:rsid w:val="0038261A"/>
    <w:rsid w:val="00382B21"/>
    <w:rsid w:val="00382CFC"/>
    <w:rsid w:val="003831F6"/>
    <w:rsid w:val="00383262"/>
    <w:rsid w:val="00383266"/>
    <w:rsid w:val="00383284"/>
    <w:rsid w:val="00383BD7"/>
    <w:rsid w:val="00383CA7"/>
    <w:rsid w:val="00384156"/>
    <w:rsid w:val="00384181"/>
    <w:rsid w:val="00384293"/>
    <w:rsid w:val="003842F3"/>
    <w:rsid w:val="003848BC"/>
    <w:rsid w:val="003848D4"/>
    <w:rsid w:val="003848ED"/>
    <w:rsid w:val="00384942"/>
    <w:rsid w:val="00384F4E"/>
    <w:rsid w:val="00385032"/>
    <w:rsid w:val="0038533C"/>
    <w:rsid w:val="003855FA"/>
    <w:rsid w:val="00385A0E"/>
    <w:rsid w:val="00385BC9"/>
    <w:rsid w:val="00385DF6"/>
    <w:rsid w:val="003866BB"/>
    <w:rsid w:val="00386872"/>
    <w:rsid w:val="003868DC"/>
    <w:rsid w:val="00386940"/>
    <w:rsid w:val="00386AC2"/>
    <w:rsid w:val="00386ACC"/>
    <w:rsid w:val="003873D4"/>
    <w:rsid w:val="00387486"/>
    <w:rsid w:val="00387B68"/>
    <w:rsid w:val="00387C2A"/>
    <w:rsid w:val="00387CE6"/>
    <w:rsid w:val="003900D0"/>
    <w:rsid w:val="0039019E"/>
    <w:rsid w:val="00390366"/>
    <w:rsid w:val="003903A2"/>
    <w:rsid w:val="0039053F"/>
    <w:rsid w:val="003906C9"/>
    <w:rsid w:val="00390939"/>
    <w:rsid w:val="00390946"/>
    <w:rsid w:val="00390985"/>
    <w:rsid w:val="003909D9"/>
    <w:rsid w:val="00390F23"/>
    <w:rsid w:val="003913A2"/>
    <w:rsid w:val="00391500"/>
    <w:rsid w:val="0039190B"/>
    <w:rsid w:val="00391F0A"/>
    <w:rsid w:val="00392005"/>
    <w:rsid w:val="00392390"/>
    <w:rsid w:val="00392434"/>
    <w:rsid w:val="0039247E"/>
    <w:rsid w:val="00392701"/>
    <w:rsid w:val="00392BB7"/>
    <w:rsid w:val="00392BEC"/>
    <w:rsid w:val="00392C8E"/>
    <w:rsid w:val="00392F9E"/>
    <w:rsid w:val="0039337F"/>
    <w:rsid w:val="0039339D"/>
    <w:rsid w:val="003933E7"/>
    <w:rsid w:val="00393488"/>
    <w:rsid w:val="003937C9"/>
    <w:rsid w:val="00393B23"/>
    <w:rsid w:val="00393BAD"/>
    <w:rsid w:val="00393BAF"/>
    <w:rsid w:val="00393F1B"/>
    <w:rsid w:val="00394086"/>
    <w:rsid w:val="003940C2"/>
    <w:rsid w:val="0039456B"/>
    <w:rsid w:val="00394715"/>
    <w:rsid w:val="00394DC5"/>
    <w:rsid w:val="003950C1"/>
    <w:rsid w:val="00395259"/>
    <w:rsid w:val="003952C2"/>
    <w:rsid w:val="003954E4"/>
    <w:rsid w:val="003955A8"/>
    <w:rsid w:val="00395945"/>
    <w:rsid w:val="003959E4"/>
    <w:rsid w:val="00395BBE"/>
    <w:rsid w:val="00395C99"/>
    <w:rsid w:val="00395CF8"/>
    <w:rsid w:val="00395D1B"/>
    <w:rsid w:val="00395D72"/>
    <w:rsid w:val="00395FC9"/>
    <w:rsid w:val="00396142"/>
    <w:rsid w:val="00396185"/>
    <w:rsid w:val="00396388"/>
    <w:rsid w:val="003965AB"/>
    <w:rsid w:val="0039672B"/>
    <w:rsid w:val="00396B00"/>
    <w:rsid w:val="00396C74"/>
    <w:rsid w:val="003971DB"/>
    <w:rsid w:val="003971F3"/>
    <w:rsid w:val="0039722F"/>
    <w:rsid w:val="0039728D"/>
    <w:rsid w:val="003972AF"/>
    <w:rsid w:val="00397485"/>
    <w:rsid w:val="00397627"/>
    <w:rsid w:val="003977B7"/>
    <w:rsid w:val="0039798E"/>
    <w:rsid w:val="00397AA0"/>
    <w:rsid w:val="00397BA2"/>
    <w:rsid w:val="00397C57"/>
    <w:rsid w:val="00397D15"/>
    <w:rsid w:val="00397E35"/>
    <w:rsid w:val="00397F3A"/>
    <w:rsid w:val="003A0200"/>
    <w:rsid w:val="003A0296"/>
    <w:rsid w:val="003A0417"/>
    <w:rsid w:val="003A0541"/>
    <w:rsid w:val="003A07A7"/>
    <w:rsid w:val="003A08C1"/>
    <w:rsid w:val="003A0A5C"/>
    <w:rsid w:val="003A0C6B"/>
    <w:rsid w:val="003A0D24"/>
    <w:rsid w:val="003A0EB1"/>
    <w:rsid w:val="003A0FB4"/>
    <w:rsid w:val="003A126E"/>
    <w:rsid w:val="003A12C4"/>
    <w:rsid w:val="003A137B"/>
    <w:rsid w:val="003A1635"/>
    <w:rsid w:val="003A1823"/>
    <w:rsid w:val="003A18E6"/>
    <w:rsid w:val="003A1976"/>
    <w:rsid w:val="003A1F7C"/>
    <w:rsid w:val="003A20AE"/>
    <w:rsid w:val="003A20DE"/>
    <w:rsid w:val="003A2322"/>
    <w:rsid w:val="003A24D9"/>
    <w:rsid w:val="003A278D"/>
    <w:rsid w:val="003A2B3D"/>
    <w:rsid w:val="003A2BEC"/>
    <w:rsid w:val="003A2DD3"/>
    <w:rsid w:val="003A2FFC"/>
    <w:rsid w:val="003A3082"/>
    <w:rsid w:val="003A3753"/>
    <w:rsid w:val="003A37AE"/>
    <w:rsid w:val="003A3805"/>
    <w:rsid w:val="003A3806"/>
    <w:rsid w:val="003A3A99"/>
    <w:rsid w:val="003A3B1B"/>
    <w:rsid w:val="003A3E2F"/>
    <w:rsid w:val="003A4174"/>
    <w:rsid w:val="003A42F3"/>
    <w:rsid w:val="003A4409"/>
    <w:rsid w:val="003A473B"/>
    <w:rsid w:val="003A49B7"/>
    <w:rsid w:val="003A4C27"/>
    <w:rsid w:val="003A4EFE"/>
    <w:rsid w:val="003A51FF"/>
    <w:rsid w:val="003A5453"/>
    <w:rsid w:val="003A5A8B"/>
    <w:rsid w:val="003A6003"/>
    <w:rsid w:val="003A615C"/>
    <w:rsid w:val="003A62E8"/>
    <w:rsid w:val="003A66CC"/>
    <w:rsid w:val="003A6883"/>
    <w:rsid w:val="003A6C19"/>
    <w:rsid w:val="003A6C60"/>
    <w:rsid w:val="003A6DA1"/>
    <w:rsid w:val="003A6EC9"/>
    <w:rsid w:val="003A6F8C"/>
    <w:rsid w:val="003A703B"/>
    <w:rsid w:val="003A7073"/>
    <w:rsid w:val="003A7176"/>
    <w:rsid w:val="003A7300"/>
    <w:rsid w:val="003A75F8"/>
    <w:rsid w:val="003A77BD"/>
    <w:rsid w:val="003A7AD8"/>
    <w:rsid w:val="003A7ADD"/>
    <w:rsid w:val="003A7CDB"/>
    <w:rsid w:val="003A7D6E"/>
    <w:rsid w:val="003B01D9"/>
    <w:rsid w:val="003B02C6"/>
    <w:rsid w:val="003B0307"/>
    <w:rsid w:val="003B03A1"/>
    <w:rsid w:val="003B052A"/>
    <w:rsid w:val="003B0747"/>
    <w:rsid w:val="003B07B2"/>
    <w:rsid w:val="003B0923"/>
    <w:rsid w:val="003B0967"/>
    <w:rsid w:val="003B0AED"/>
    <w:rsid w:val="003B0BC1"/>
    <w:rsid w:val="003B0E10"/>
    <w:rsid w:val="003B0E22"/>
    <w:rsid w:val="003B0F42"/>
    <w:rsid w:val="003B0F97"/>
    <w:rsid w:val="003B18FA"/>
    <w:rsid w:val="003B199C"/>
    <w:rsid w:val="003B1AE4"/>
    <w:rsid w:val="003B1CB6"/>
    <w:rsid w:val="003B1D77"/>
    <w:rsid w:val="003B1DE4"/>
    <w:rsid w:val="003B1DE7"/>
    <w:rsid w:val="003B2026"/>
    <w:rsid w:val="003B20AF"/>
    <w:rsid w:val="003B2258"/>
    <w:rsid w:val="003B22F4"/>
    <w:rsid w:val="003B236F"/>
    <w:rsid w:val="003B23E9"/>
    <w:rsid w:val="003B24AA"/>
    <w:rsid w:val="003B2A94"/>
    <w:rsid w:val="003B2C8E"/>
    <w:rsid w:val="003B2E85"/>
    <w:rsid w:val="003B350A"/>
    <w:rsid w:val="003B3629"/>
    <w:rsid w:val="003B3B2D"/>
    <w:rsid w:val="003B3EC6"/>
    <w:rsid w:val="003B3F10"/>
    <w:rsid w:val="003B41D0"/>
    <w:rsid w:val="003B435F"/>
    <w:rsid w:val="003B43BA"/>
    <w:rsid w:val="003B479D"/>
    <w:rsid w:val="003B4E8B"/>
    <w:rsid w:val="003B4F14"/>
    <w:rsid w:val="003B5107"/>
    <w:rsid w:val="003B523B"/>
    <w:rsid w:val="003B590E"/>
    <w:rsid w:val="003B5A94"/>
    <w:rsid w:val="003B5DFF"/>
    <w:rsid w:val="003B5ED6"/>
    <w:rsid w:val="003B606F"/>
    <w:rsid w:val="003B63F5"/>
    <w:rsid w:val="003B648B"/>
    <w:rsid w:val="003B67E1"/>
    <w:rsid w:val="003B67FE"/>
    <w:rsid w:val="003B6994"/>
    <w:rsid w:val="003B6A49"/>
    <w:rsid w:val="003B6C5B"/>
    <w:rsid w:val="003B6CAB"/>
    <w:rsid w:val="003B6DA3"/>
    <w:rsid w:val="003B6E24"/>
    <w:rsid w:val="003B745A"/>
    <w:rsid w:val="003B7AE1"/>
    <w:rsid w:val="003B7E77"/>
    <w:rsid w:val="003B7EDD"/>
    <w:rsid w:val="003C001D"/>
    <w:rsid w:val="003C0156"/>
    <w:rsid w:val="003C01D3"/>
    <w:rsid w:val="003C0404"/>
    <w:rsid w:val="003C0479"/>
    <w:rsid w:val="003C05BB"/>
    <w:rsid w:val="003C0C87"/>
    <w:rsid w:val="003C1438"/>
    <w:rsid w:val="003C157A"/>
    <w:rsid w:val="003C1680"/>
    <w:rsid w:val="003C1866"/>
    <w:rsid w:val="003C1997"/>
    <w:rsid w:val="003C1FA5"/>
    <w:rsid w:val="003C21E6"/>
    <w:rsid w:val="003C22B6"/>
    <w:rsid w:val="003C2317"/>
    <w:rsid w:val="003C2548"/>
    <w:rsid w:val="003C298F"/>
    <w:rsid w:val="003C29D6"/>
    <w:rsid w:val="003C2B02"/>
    <w:rsid w:val="003C2B15"/>
    <w:rsid w:val="003C2CC4"/>
    <w:rsid w:val="003C3053"/>
    <w:rsid w:val="003C3295"/>
    <w:rsid w:val="003C3468"/>
    <w:rsid w:val="003C36CF"/>
    <w:rsid w:val="003C37A4"/>
    <w:rsid w:val="003C422A"/>
    <w:rsid w:val="003C42B0"/>
    <w:rsid w:val="003C44E6"/>
    <w:rsid w:val="003C459F"/>
    <w:rsid w:val="003C470F"/>
    <w:rsid w:val="003C484C"/>
    <w:rsid w:val="003C49CD"/>
    <w:rsid w:val="003C4DB2"/>
    <w:rsid w:val="003C4E10"/>
    <w:rsid w:val="003C4E66"/>
    <w:rsid w:val="003C503D"/>
    <w:rsid w:val="003C5203"/>
    <w:rsid w:val="003C5272"/>
    <w:rsid w:val="003C52FD"/>
    <w:rsid w:val="003C55C5"/>
    <w:rsid w:val="003C59E5"/>
    <w:rsid w:val="003C5B02"/>
    <w:rsid w:val="003C5D03"/>
    <w:rsid w:val="003C5E7F"/>
    <w:rsid w:val="003C6136"/>
    <w:rsid w:val="003C62A4"/>
    <w:rsid w:val="003C6491"/>
    <w:rsid w:val="003C6689"/>
    <w:rsid w:val="003C66A8"/>
    <w:rsid w:val="003C67E6"/>
    <w:rsid w:val="003C680D"/>
    <w:rsid w:val="003C690B"/>
    <w:rsid w:val="003C6BED"/>
    <w:rsid w:val="003C7198"/>
    <w:rsid w:val="003C7276"/>
    <w:rsid w:val="003C736C"/>
    <w:rsid w:val="003C779A"/>
    <w:rsid w:val="003C7C62"/>
    <w:rsid w:val="003C7E72"/>
    <w:rsid w:val="003C7F80"/>
    <w:rsid w:val="003D0217"/>
    <w:rsid w:val="003D0284"/>
    <w:rsid w:val="003D03BB"/>
    <w:rsid w:val="003D040A"/>
    <w:rsid w:val="003D0886"/>
    <w:rsid w:val="003D0CC5"/>
    <w:rsid w:val="003D1067"/>
    <w:rsid w:val="003D110C"/>
    <w:rsid w:val="003D1161"/>
    <w:rsid w:val="003D1588"/>
    <w:rsid w:val="003D178C"/>
    <w:rsid w:val="003D1942"/>
    <w:rsid w:val="003D19BC"/>
    <w:rsid w:val="003D1B2F"/>
    <w:rsid w:val="003D1D0A"/>
    <w:rsid w:val="003D1E48"/>
    <w:rsid w:val="003D2058"/>
    <w:rsid w:val="003D21DF"/>
    <w:rsid w:val="003D2437"/>
    <w:rsid w:val="003D257C"/>
    <w:rsid w:val="003D2685"/>
    <w:rsid w:val="003D28D6"/>
    <w:rsid w:val="003D29B4"/>
    <w:rsid w:val="003D29E1"/>
    <w:rsid w:val="003D2F34"/>
    <w:rsid w:val="003D2F97"/>
    <w:rsid w:val="003D30EB"/>
    <w:rsid w:val="003D3343"/>
    <w:rsid w:val="003D3393"/>
    <w:rsid w:val="003D343A"/>
    <w:rsid w:val="003D353A"/>
    <w:rsid w:val="003D3712"/>
    <w:rsid w:val="003D375A"/>
    <w:rsid w:val="003D38C1"/>
    <w:rsid w:val="003D3A6A"/>
    <w:rsid w:val="003D3B88"/>
    <w:rsid w:val="003D41E2"/>
    <w:rsid w:val="003D44D6"/>
    <w:rsid w:val="003D4972"/>
    <w:rsid w:val="003D4A2F"/>
    <w:rsid w:val="003D4AB7"/>
    <w:rsid w:val="003D4C94"/>
    <w:rsid w:val="003D4DF3"/>
    <w:rsid w:val="003D51CE"/>
    <w:rsid w:val="003D5713"/>
    <w:rsid w:val="003D59A0"/>
    <w:rsid w:val="003D5B29"/>
    <w:rsid w:val="003D5C6B"/>
    <w:rsid w:val="003D5D75"/>
    <w:rsid w:val="003D5E22"/>
    <w:rsid w:val="003D5F40"/>
    <w:rsid w:val="003D5FEE"/>
    <w:rsid w:val="003D632D"/>
    <w:rsid w:val="003D6A00"/>
    <w:rsid w:val="003D6CE8"/>
    <w:rsid w:val="003D6D60"/>
    <w:rsid w:val="003D6F2F"/>
    <w:rsid w:val="003D717F"/>
    <w:rsid w:val="003D7209"/>
    <w:rsid w:val="003D7243"/>
    <w:rsid w:val="003D7328"/>
    <w:rsid w:val="003D7334"/>
    <w:rsid w:val="003D7554"/>
    <w:rsid w:val="003D7C7D"/>
    <w:rsid w:val="003D7C8F"/>
    <w:rsid w:val="003D7D3F"/>
    <w:rsid w:val="003D7F7B"/>
    <w:rsid w:val="003D7FD1"/>
    <w:rsid w:val="003E05DA"/>
    <w:rsid w:val="003E0748"/>
    <w:rsid w:val="003E094A"/>
    <w:rsid w:val="003E0A57"/>
    <w:rsid w:val="003E0CCA"/>
    <w:rsid w:val="003E0FD3"/>
    <w:rsid w:val="003E1020"/>
    <w:rsid w:val="003E11BB"/>
    <w:rsid w:val="003E14A9"/>
    <w:rsid w:val="003E14D3"/>
    <w:rsid w:val="003E171A"/>
    <w:rsid w:val="003E1986"/>
    <w:rsid w:val="003E1A6A"/>
    <w:rsid w:val="003E1A86"/>
    <w:rsid w:val="003E1B1A"/>
    <w:rsid w:val="003E1C78"/>
    <w:rsid w:val="003E1D20"/>
    <w:rsid w:val="003E1D9E"/>
    <w:rsid w:val="003E1FDB"/>
    <w:rsid w:val="003E2264"/>
    <w:rsid w:val="003E24B1"/>
    <w:rsid w:val="003E24F6"/>
    <w:rsid w:val="003E25DD"/>
    <w:rsid w:val="003E263D"/>
    <w:rsid w:val="003E275F"/>
    <w:rsid w:val="003E2A0B"/>
    <w:rsid w:val="003E2DB0"/>
    <w:rsid w:val="003E32B1"/>
    <w:rsid w:val="003E32FB"/>
    <w:rsid w:val="003E32FD"/>
    <w:rsid w:val="003E36E3"/>
    <w:rsid w:val="003E3BE5"/>
    <w:rsid w:val="003E407C"/>
    <w:rsid w:val="003E4734"/>
    <w:rsid w:val="003E4736"/>
    <w:rsid w:val="003E4889"/>
    <w:rsid w:val="003E4B52"/>
    <w:rsid w:val="003E4B7C"/>
    <w:rsid w:val="003E4B8B"/>
    <w:rsid w:val="003E4B9E"/>
    <w:rsid w:val="003E4DDF"/>
    <w:rsid w:val="003E50E2"/>
    <w:rsid w:val="003E52EF"/>
    <w:rsid w:val="003E576D"/>
    <w:rsid w:val="003E5A27"/>
    <w:rsid w:val="003E5F67"/>
    <w:rsid w:val="003E5FE9"/>
    <w:rsid w:val="003E62E7"/>
    <w:rsid w:val="003E6441"/>
    <w:rsid w:val="003E674C"/>
    <w:rsid w:val="003E69A0"/>
    <w:rsid w:val="003E6AF0"/>
    <w:rsid w:val="003E73EF"/>
    <w:rsid w:val="003E773E"/>
    <w:rsid w:val="003E7763"/>
    <w:rsid w:val="003E7B03"/>
    <w:rsid w:val="003E7B16"/>
    <w:rsid w:val="003E7DD1"/>
    <w:rsid w:val="003E7F78"/>
    <w:rsid w:val="003F000D"/>
    <w:rsid w:val="003F00FA"/>
    <w:rsid w:val="003F0209"/>
    <w:rsid w:val="003F0382"/>
    <w:rsid w:val="003F04E6"/>
    <w:rsid w:val="003F04F0"/>
    <w:rsid w:val="003F0507"/>
    <w:rsid w:val="003F0580"/>
    <w:rsid w:val="003F06AE"/>
    <w:rsid w:val="003F06DB"/>
    <w:rsid w:val="003F072E"/>
    <w:rsid w:val="003F0ABC"/>
    <w:rsid w:val="003F0CD1"/>
    <w:rsid w:val="003F0D0E"/>
    <w:rsid w:val="003F0E24"/>
    <w:rsid w:val="003F0E35"/>
    <w:rsid w:val="003F0E47"/>
    <w:rsid w:val="003F0ECE"/>
    <w:rsid w:val="003F1174"/>
    <w:rsid w:val="003F16AD"/>
    <w:rsid w:val="003F1AD9"/>
    <w:rsid w:val="003F1CFB"/>
    <w:rsid w:val="003F2003"/>
    <w:rsid w:val="003F2119"/>
    <w:rsid w:val="003F2130"/>
    <w:rsid w:val="003F226A"/>
    <w:rsid w:val="003F22DD"/>
    <w:rsid w:val="003F2409"/>
    <w:rsid w:val="003F2702"/>
    <w:rsid w:val="003F290C"/>
    <w:rsid w:val="003F2B6D"/>
    <w:rsid w:val="003F2D62"/>
    <w:rsid w:val="003F2FE0"/>
    <w:rsid w:val="003F316C"/>
    <w:rsid w:val="003F3488"/>
    <w:rsid w:val="003F3690"/>
    <w:rsid w:val="003F36E4"/>
    <w:rsid w:val="003F385B"/>
    <w:rsid w:val="003F3989"/>
    <w:rsid w:val="003F3A76"/>
    <w:rsid w:val="003F3BB9"/>
    <w:rsid w:val="003F3DF5"/>
    <w:rsid w:val="003F3EB6"/>
    <w:rsid w:val="003F4050"/>
    <w:rsid w:val="003F42B2"/>
    <w:rsid w:val="003F44C3"/>
    <w:rsid w:val="003F463C"/>
    <w:rsid w:val="003F4666"/>
    <w:rsid w:val="003F47B1"/>
    <w:rsid w:val="003F4841"/>
    <w:rsid w:val="003F499E"/>
    <w:rsid w:val="003F49A1"/>
    <w:rsid w:val="003F49D4"/>
    <w:rsid w:val="003F4DF3"/>
    <w:rsid w:val="003F4E30"/>
    <w:rsid w:val="003F4FB9"/>
    <w:rsid w:val="003F50C7"/>
    <w:rsid w:val="003F50CF"/>
    <w:rsid w:val="003F514A"/>
    <w:rsid w:val="003F52D2"/>
    <w:rsid w:val="003F542C"/>
    <w:rsid w:val="003F57D8"/>
    <w:rsid w:val="003F57DA"/>
    <w:rsid w:val="003F58DC"/>
    <w:rsid w:val="003F5C7C"/>
    <w:rsid w:val="003F62AE"/>
    <w:rsid w:val="003F6558"/>
    <w:rsid w:val="003F6574"/>
    <w:rsid w:val="003F65CF"/>
    <w:rsid w:val="003F69E5"/>
    <w:rsid w:val="003F6C2B"/>
    <w:rsid w:val="003F6C50"/>
    <w:rsid w:val="003F6F68"/>
    <w:rsid w:val="003F7076"/>
    <w:rsid w:val="003F731C"/>
    <w:rsid w:val="003F740E"/>
    <w:rsid w:val="003F75F4"/>
    <w:rsid w:val="003F7EF0"/>
    <w:rsid w:val="0040032F"/>
    <w:rsid w:val="0040043A"/>
    <w:rsid w:val="0040098A"/>
    <w:rsid w:val="00400A6B"/>
    <w:rsid w:val="00400D8F"/>
    <w:rsid w:val="00400E10"/>
    <w:rsid w:val="004010F9"/>
    <w:rsid w:val="0040118E"/>
    <w:rsid w:val="004013C1"/>
    <w:rsid w:val="0040140F"/>
    <w:rsid w:val="0040185F"/>
    <w:rsid w:val="004019C5"/>
    <w:rsid w:val="00401BAF"/>
    <w:rsid w:val="00401D0C"/>
    <w:rsid w:val="00401EBC"/>
    <w:rsid w:val="00401FC6"/>
    <w:rsid w:val="0040229D"/>
    <w:rsid w:val="00402318"/>
    <w:rsid w:val="0040234B"/>
    <w:rsid w:val="004023F3"/>
    <w:rsid w:val="0040255C"/>
    <w:rsid w:val="00402678"/>
    <w:rsid w:val="00402C00"/>
    <w:rsid w:val="00402ED3"/>
    <w:rsid w:val="0040313E"/>
    <w:rsid w:val="00403436"/>
    <w:rsid w:val="00403473"/>
    <w:rsid w:val="00403714"/>
    <w:rsid w:val="00403C81"/>
    <w:rsid w:val="00403D9E"/>
    <w:rsid w:val="00404016"/>
    <w:rsid w:val="00404074"/>
    <w:rsid w:val="004042C3"/>
    <w:rsid w:val="0040435C"/>
    <w:rsid w:val="0040470B"/>
    <w:rsid w:val="00404769"/>
    <w:rsid w:val="00404896"/>
    <w:rsid w:val="00404D49"/>
    <w:rsid w:val="00404ED0"/>
    <w:rsid w:val="0040501D"/>
    <w:rsid w:val="00405596"/>
    <w:rsid w:val="00405699"/>
    <w:rsid w:val="00405BC2"/>
    <w:rsid w:val="00405C19"/>
    <w:rsid w:val="004061EF"/>
    <w:rsid w:val="0040625F"/>
    <w:rsid w:val="004062F7"/>
    <w:rsid w:val="00406A07"/>
    <w:rsid w:val="00406A12"/>
    <w:rsid w:val="00406EDC"/>
    <w:rsid w:val="00406FBF"/>
    <w:rsid w:val="00406FC4"/>
    <w:rsid w:val="004073B5"/>
    <w:rsid w:val="00407696"/>
    <w:rsid w:val="00407786"/>
    <w:rsid w:val="00407ADE"/>
    <w:rsid w:val="00407C2C"/>
    <w:rsid w:val="00407C2F"/>
    <w:rsid w:val="00407C33"/>
    <w:rsid w:val="0041020E"/>
    <w:rsid w:val="0041052F"/>
    <w:rsid w:val="004107FB"/>
    <w:rsid w:val="00410E09"/>
    <w:rsid w:val="00410F8F"/>
    <w:rsid w:val="00411734"/>
    <w:rsid w:val="0041199E"/>
    <w:rsid w:val="00411D5B"/>
    <w:rsid w:val="00411E45"/>
    <w:rsid w:val="00411FA8"/>
    <w:rsid w:val="0041227A"/>
    <w:rsid w:val="0041232D"/>
    <w:rsid w:val="00412348"/>
    <w:rsid w:val="00412480"/>
    <w:rsid w:val="004124BA"/>
    <w:rsid w:val="00412BAF"/>
    <w:rsid w:val="00412D8F"/>
    <w:rsid w:val="00413102"/>
    <w:rsid w:val="0041354E"/>
    <w:rsid w:val="004136BB"/>
    <w:rsid w:val="00413B8A"/>
    <w:rsid w:val="00413ED6"/>
    <w:rsid w:val="0041406C"/>
    <w:rsid w:val="0041428D"/>
    <w:rsid w:val="00414489"/>
    <w:rsid w:val="0041460A"/>
    <w:rsid w:val="00414753"/>
    <w:rsid w:val="00414829"/>
    <w:rsid w:val="0041485E"/>
    <w:rsid w:val="00414A61"/>
    <w:rsid w:val="00414B3E"/>
    <w:rsid w:val="004152B3"/>
    <w:rsid w:val="004152C7"/>
    <w:rsid w:val="00415344"/>
    <w:rsid w:val="004155A0"/>
    <w:rsid w:val="0041585B"/>
    <w:rsid w:val="00415C38"/>
    <w:rsid w:val="00415EF5"/>
    <w:rsid w:val="004161A8"/>
    <w:rsid w:val="004161BA"/>
    <w:rsid w:val="00416222"/>
    <w:rsid w:val="0041648D"/>
    <w:rsid w:val="0041650E"/>
    <w:rsid w:val="0041657A"/>
    <w:rsid w:val="00416681"/>
    <w:rsid w:val="004167FA"/>
    <w:rsid w:val="00416C1F"/>
    <w:rsid w:val="00416EEC"/>
    <w:rsid w:val="00416F31"/>
    <w:rsid w:val="00417237"/>
    <w:rsid w:val="00417337"/>
    <w:rsid w:val="004174A3"/>
    <w:rsid w:val="00417592"/>
    <w:rsid w:val="00417603"/>
    <w:rsid w:val="0041765F"/>
    <w:rsid w:val="00417670"/>
    <w:rsid w:val="00417892"/>
    <w:rsid w:val="00417A11"/>
    <w:rsid w:val="00417E6B"/>
    <w:rsid w:val="00417EAA"/>
    <w:rsid w:val="00417EE4"/>
    <w:rsid w:val="0042038F"/>
    <w:rsid w:val="004206CF"/>
    <w:rsid w:val="004207D1"/>
    <w:rsid w:val="00421012"/>
    <w:rsid w:val="0042146E"/>
    <w:rsid w:val="00421CD8"/>
    <w:rsid w:val="00421E36"/>
    <w:rsid w:val="00421E4A"/>
    <w:rsid w:val="00421FFE"/>
    <w:rsid w:val="004220B2"/>
    <w:rsid w:val="00422156"/>
    <w:rsid w:val="004222F3"/>
    <w:rsid w:val="0042279B"/>
    <w:rsid w:val="00422A44"/>
    <w:rsid w:val="00422C3B"/>
    <w:rsid w:val="00422CC1"/>
    <w:rsid w:val="00422E1F"/>
    <w:rsid w:val="00422EDE"/>
    <w:rsid w:val="00422EFA"/>
    <w:rsid w:val="00422F3F"/>
    <w:rsid w:val="00422F98"/>
    <w:rsid w:val="004230FC"/>
    <w:rsid w:val="0042327B"/>
    <w:rsid w:val="004232F2"/>
    <w:rsid w:val="004232F8"/>
    <w:rsid w:val="00423732"/>
    <w:rsid w:val="00423814"/>
    <w:rsid w:val="00423B0A"/>
    <w:rsid w:val="00423B74"/>
    <w:rsid w:val="00423F4C"/>
    <w:rsid w:val="004241DE"/>
    <w:rsid w:val="00424264"/>
    <w:rsid w:val="00424286"/>
    <w:rsid w:val="00424364"/>
    <w:rsid w:val="0042437F"/>
    <w:rsid w:val="0042452E"/>
    <w:rsid w:val="004246CB"/>
    <w:rsid w:val="0042476C"/>
    <w:rsid w:val="0042477E"/>
    <w:rsid w:val="004249CD"/>
    <w:rsid w:val="00424A36"/>
    <w:rsid w:val="00424A5E"/>
    <w:rsid w:val="00424B87"/>
    <w:rsid w:val="004251B2"/>
    <w:rsid w:val="004253A7"/>
    <w:rsid w:val="00425486"/>
    <w:rsid w:val="004255F8"/>
    <w:rsid w:val="00425856"/>
    <w:rsid w:val="004258C5"/>
    <w:rsid w:val="004259DE"/>
    <w:rsid w:val="00425F4D"/>
    <w:rsid w:val="00425FDB"/>
    <w:rsid w:val="00426175"/>
    <w:rsid w:val="00426255"/>
    <w:rsid w:val="00426287"/>
    <w:rsid w:val="004264AF"/>
    <w:rsid w:val="004264CA"/>
    <w:rsid w:val="0042657C"/>
    <w:rsid w:val="00426718"/>
    <w:rsid w:val="00426841"/>
    <w:rsid w:val="00427531"/>
    <w:rsid w:val="0042783E"/>
    <w:rsid w:val="00427B3A"/>
    <w:rsid w:val="00427BAE"/>
    <w:rsid w:val="00427C49"/>
    <w:rsid w:val="004300E2"/>
    <w:rsid w:val="00430A1E"/>
    <w:rsid w:val="00430B4A"/>
    <w:rsid w:val="00430FD3"/>
    <w:rsid w:val="004310CB"/>
    <w:rsid w:val="0043128F"/>
    <w:rsid w:val="004315DB"/>
    <w:rsid w:val="00431680"/>
    <w:rsid w:val="00431686"/>
    <w:rsid w:val="004317BA"/>
    <w:rsid w:val="00431842"/>
    <w:rsid w:val="00431CAC"/>
    <w:rsid w:val="00431DDA"/>
    <w:rsid w:val="00431E32"/>
    <w:rsid w:val="00431ED1"/>
    <w:rsid w:val="004322A4"/>
    <w:rsid w:val="00432359"/>
    <w:rsid w:val="004323C3"/>
    <w:rsid w:val="00432678"/>
    <w:rsid w:val="0043282F"/>
    <w:rsid w:val="0043295C"/>
    <w:rsid w:val="00432CAA"/>
    <w:rsid w:val="00432F98"/>
    <w:rsid w:val="0043303E"/>
    <w:rsid w:val="00433473"/>
    <w:rsid w:val="004334AF"/>
    <w:rsid w:val="004339E4"/>
    <w:rsid w:val="00433B68"/>
    <w:rsid w:val="00433BC1"/>
    <w:rsid w:val="00433D23"/>
    <w:rsid w:val="00434476"/>
    <w:rsid w:val="00434748"/>
    <w:rsid w:val="004347D1"/>
    <w:rsid w:val="00434BAB"/>
    <w:rsid w:val="00435021"/>
    <w:rsid w:val="00435035"/>
    <w:rsid w:val="00435063"/>
    <w:rsid w:val="004350A0"/>
    <w:rsid w:val="00435125"/>
    <w:rsid w:val="00435218"/>
    <w:rsid w:val="0043523E"/>
    <w:rsid w:val="004352CF"/>
    <w:rsid w:val="00435390"/>
    <w:rsid w:val="004354A5"/>
    <w:rsid w:val="00435791"/>
    <w:rsid w:val="0043579C"/>
    <w:rsid w:val="004357B0"/>
    <w:rsid w:val="0043587F"/>
    <w:rsid w:val="004358A5"/>
    <w:rsid w:val="00435C2E"/>
    <w:rsid w:val="00435E0B"/>
    <w:rsid w:val="0043626E"/>
    <w:rsid w:val="00436680"/>
    <w:rsid w:val="00436699"/>
    <w:rsid w:val="00436C87"/>
    <w:rsid w:val="00436CBE"/>
    <w:rsid w:val="00436DBB"/>
    <w:rsid w:val="00436F06"/>
    <w:rsid w:val="00436F0D"/>
    <w:rsid w:val="0043717B"/>
    <w:rsid w:val="004372C4"/>
    <w:rsid w:val="00437463"/>
    <w:rsid w:val="0043763D"/>
    <w:rsid w:val="004376AB"/>
    <w:rsid w:val="004378DA"/>
    <w:rsid w:val="0043794B"/>
    <w:rsid w:val="00437CF2"/>
    <w:rsid w:val="00437DA7"/>
    <w:rsid w:val="00437EDC"/>
    <w:rsid w:val="00437F41"/>
    <w:rsid w:val="00437FA8"/>
    <w:rsid w:val="0044040B"/>
    <w:rsid w:val="00440565"/>
    <w:rsid w:val="004406E0"/>
    <w:rsid w:val="0044077F"/>
    <w:rsid w:val="004407B3"/>
    <w:rsid w:val="00440D1E"/>
    <w:rsid w:val="0044168C"/>
    <w:rsid w:val="00441935"/>
    <w:rsid w:val="00441A2B"/>
    <w:rsid w:val="00441A40"/>
    <w:rsid w:val="00441B8C"/>
    <w:rsid w:val="00441D40"/>
    <w:rsid w:val="00441DDB"/>
    <w:rsid w:val="00441E86"/>
    <w:rsid w:val="00442019"/>
    <w:rsid w:val="0044236A"/>
    <w:rsid w:val="00442490"/>
    <w:rsid w:val="004425E8"/>
    <w:rsid w:val="004427E8"/>
    <w:rsid w:val="00442880"/>
    <w:rsid w:val="00442C22"/>
    <w:rsid w:val="004431C2"/>
    <w:rsid w:val="0044326C"/>
    <w:rsid w:val="0044332C"/>
    <w:rsid w:val="0044336F"/>
    <w:rsid w:val="0044347A"/>
    <w:rsid w:val="00443570"/>
    <w:rsid w:val="0044373B"/>
    <w:rsid w:val="00443864"/>
    <w:rsid w:val="00443C40"/>
    <w:rsid w:val="00443DD1"/>
    <w:rsid w:val="00443E8E"/>
    <w:rsid w:val="004441B9"/>
    <w:rsid w:val="00444410"/>
    <w:rsid w:val="004447E0"/>
    <w:rsid w:val="00444806"/>
    <w:rsid w:val="00444811"/>
    <w:rsid w:val="00444B51"/>
    <w:rsid w:val="00444D1C"/>
    <w:rsid w:val="00445788"/>
    <w:rsid w:val="004459AA"/>
    <w:rsid w:val="00445A05"/>
    <w:rsid w:val="00445B63"/>
    <w:rsid w:val="00445D67"/>
    <w:rsid w:val="00445FBB"/>
    <w:rsid w:val="004463F8"/>
    <w:rsid w:val="00447048"/>
    <w:rsid w:val="004470E0"/>
    <w:rsid w:val="004472C1"/>
    <w:rsid w:val="004473A5"/>
    <w:rsid w:val="004477D4"/>
    <w:rsid w:val="0044786A"/>
    <w:rsid w:val="00447940"/>
    <w:rsid w:val="0044796A"/>
    <w:rsid w:val="00447C2D"/>
    <w:rsid w:val="00450095"/>
    <w:rsid w:val="004501C2"/>
    <w:rsid w:val="004505D9"/>
    <w:rsid w:val="00450635"/>
    <w:rsid w:val="00450C84"/>
    <w:rsid w:val="00450D95"/>
    <w:rsid w:val="00450F54"/>
    <w:rsid w:val="0045123A"/>
    <w:rsid w:val="00451334"/>
    <w:rsid w:val="0045168B"/>
    <w:rsid w:val="0045181E"/>
    <w:rsid w:val="00451E3E"/>
    <w:rsid w:val="00452030"/>
    <w:rsid w:val="00452062"/>
    <w:rsid w:val="004521C9"/>
    <w:rsid w:val="0045239D"/>
    <w:rsid w:val="0045283C"/>
    <w:rsid w:val="00452893"/>
    <w:rsid w:val="00453886"/>
    <w:rsid w:val="004539DD"/>
    <w:rsid w:val="00453B71"/>
    <w:rsid w:val="00453C28"/>
    <w:rsid w:val="00453EB0"/>
    <w:rsid w:val="00453EBC"/>
    <w:rsid w:val="00453ED3"/>
    <w:rsid w:val="00454338"/>
    <w:rsid w:val="0045467A"/>
    <w:rsid w:val="0045479C"/>
    <w:rsid w:val="00454874"/>
    <w:rsid w:val="00454976"/>
    <w:rsid w:val="00454EC4"/>
    <w:rsid w:val="00454F7C"/>
    <w:rsid w:val="004550F8"/>
    <w:rsid w:val="00455111"/>
    <w:rsid w:val="004551A0"/>
    <w:rsid w:val="004554BD"/>
    <w:rsid w:val="00455A02"/>
    <w:rsid w:val="00455A47"/>
    <w:rsid w:val="00455A5D"/>
    <w:rsid w:val="00455AB8"/>
    <w:rsid w:val="00455AF6"/>
    <w:rsid w:val="00455D5A"/>
    <w:rsid w:val="00455F8A"/>
    <w:rsid w:val="0045600E"/>
    <w:rsid w:val="00456106"/>
    <w:rsid w:val="004564D1"/>
    <w:rsid w:val="00456554"/>
    <w:rsid w:val="004565DA"/>
    <w:rsid w:val="004565E7"/>
    <w:rsid w:val="0045665A"/>
    <w:rsid w:val="004567AB"/>
    <w:rsid w:val="00456B0C"/>
    <w:rsid w:val="00456F40"/>
    <w:rsid w:val="00457095"/>
    <w:rsid w:val="00457270"/>
    <w:rsid w:val="00457341"/>
    <w:rsid w:val="004577B7"/>
    <w:rsid w:val="00457897"/>
    <w:rsid w:val="004578F8"/>
    <w:rsid w:val="00457A0D"/>
    <w:rsid w:val="00457C0A"/>
    <w:rsid w:val="00457E16"/>
    <w:rsid w:val="00457F70"/>
    <w:rsid w:val="004601E4"/>
    <w:rsid w:val="0046055B"/>
    <w:rsid w:val="004605B6"/>
    <w:rsid w:val="004606C8"/>
    <w:rsid w:val="00460995"/>
    <w:rsid w:val="00460A75"/>
    <w:rsid w:val="00461026"/>
    <w:rsid w:val="004611FA"/>
    <w:rsid w:val="004612BA"/>
    <w:rsid w:val="00461303"/>
    <w:rsid w:val="004614FC"/>
    <w:rsid w:val="0046154D"/>
    <w:rsid w:val="0046186F"/>
    <w:rsid w:val="004618A4"/>
    <w:rsid w:val="00461C6D"/>
    <w:rsid w:val="004628E7"/>
    <w:rsid w:val="00462A19"/>
    <w:rsid w:val="00462C1D"/>
    <w:rsid w:val="00462EF4"/>
    <w:rsid w:val="00462F9C"/>
    <w:rsid w:val="0046330A"/>
    <w:rsid w:val="004634DD"/>
    <w:rsid w:val="004636F7"/>
    <w:rsid w:val="004637E2"/>
    <w:rsid w:val="00463934"/>
    <w:rsid w:val="00463AEC"/>
    <w:rsid w:val="00463BA7"/>
    <w:rsid w:val="00463D17"/>
    <w:rsid w:val="00463FD7"/>
    <w:rsid w:val="004642C7"/>
    <w:rsid w:val="00464350"/>
    <w:rsid w:val="004643DC"/>
    <w:rsid w:val="004644D3"/>
    <w:rsid w:val="00464509"/>
    <w:rsid w:val="004645B0"/>
    <w:rsid w:val="00464DE9"/>
    <w:rsid w:val="00464E93"/>
    <w:rsid w:val="0046504D"/>
    <w:rsid w:val="00465231"/>
    <w:rsid w:val="00465491"/>
    <w:rsid w:val="004655A4"/>
    <w:rsid w:val="00465AAF"/>
    <w:rsid w:val="00465ECF"/>
    <w:rsid w:val="00465F50"/>
    <w:rsid w:val="00466172"/>
    <w:rsid w:val="00466291"/>
    <w:rsid w:val="004662F3"/>
    <w:rsid w:val="0046665F"/>
    <w:rsid w:val="0046669E"/>
    <w:rsid w:val="004668F1"/>
    <w:rsid w:val="00466B8F"/>
    <w:rsid w:val="00466E39"/>
    <w:rsid w:val="00466FAA"/>
    <w:rsid w:val="00467121"/>
    <w:rsid w:val="00467288"/>
    <w:rsid w:val="00467359"/>
    <w:rsid w:val="0046760B"/>
    <w:rsid w:val="0046762C"/>
    <w:rsid w:val="004676CF"/>
    <w:rsid w:val="00467968"/>
    <w:rsid w:val="004679A5"/>
    <w:rsid w:val="00467A1E"/>
    <w:rsid w:val="00467E4E"/>
    <w:rsid w:val="00467E80"/>
    <w:rsid w:val="00470796"/>
    <w:rsid w:val="00470817"/>
    <w:rsid w:val="004708A6"/>
    <w:rsid w:val="00470AB0"/>
    <w:rsid w:val="00471141"/>
    <w:rsid w:val="00471171"/>
    <w:rsid w:val="00471305"/>
    <w:rsid w:val="00471986"/>
    <w:rsid w:val="00471A0D"/>
    <w:rsid w:val="00471B67"/>
    <w:rsid w:val="00471E68"/>
    <w:rsid w:val="004720BA"/>
    <w:rsid w:val="004721B6"/>
    <w:rsid w:val="004722FC"/>
    <w:rsid w:val="00472452"/>
    <w:rsid w:val="004724C2"/>
    <w:rsid w:val="004727BF"/>
    <w:rsid w:val="004728BD"/>
    <w:rsid w:val="004728E1"/>
    <w:rsid w:val="00472993"/>
    <w:rsid w:val="00472B2A"/>
    <w:rsid w:val="00472CA4"/>
    <w:rsid w:val="00472CF9"/>
    <w:rsid w:val="00472DE9"/>
    <w:rsid w:val="00472EB5"/>
    <w:rsid w:val="00472FE4"/>
    <w:rsid w:val="004731C5"/>
    <w:rsid w:val="00473323"/>
    <w:rsid w:val="00473B97"/>
    <w:rsid w:val="004742A0"/>
    <w:rsid w:val="0047469B"/>
    <w:rsid w:val="004749DA"/>
    <w:rsid w:val="00474A23"/>
    <w:rsid w:val="00474AD2"/>
    <w:rsid w:val="00474BD9"/>
    <w:rsid w:val="00474BE2"/>
    <w:rsid w:val="00474CB2"/>
    <w:rsid w:val="00474F12"/>
    <w:rsid w:val="00474FF2"/>
    <w:rsid w:val="00475186"/>
    <w:rsid w:val="00475342"/>
    <w:rsid w:val="004756CD"/>
    <w:rsid w:val="00475C24"/>
    <w:rsid w:val="00475DE1"/>
    <w:rsid w:val="00476071"/>
    <w:rsid w:val="0047634C"/>
    <w:rsid w:val="004765ED"/>
    <w:rsid w:val="00476E3A"/>
    <w:rsid w:val="00477229"/>
    <w:rsid w:val="0047733A"/>
    <w:rsid w:val="0047798C"/>
    <w:rsid w:val="00477996"/>
    <w:rsid w:val="00477C0B"/>
    <w:rsid w:val="00477EFF"/>
    <w:rsid w:val="00480148"/>
    <w:rsid w:val="00480481"/>
    <w:rsid w:val="0048069D"/>
    <w:rsid w:val="00480C60"/>
    <w:rsid w:val="0048108B"/>
    <w:rsid w:val="00481546"/>
    <w:rsid w:val="00481746"/>
    <w:rsid w:val="00481934"/>
    <w:rsid w:val="00481B4A"/>
    <w:rsid w:val="00481BA1"/>
    <w:rsid w:val="00481D42"/>
    <w:rsid w:val="00481D6D"/>
    <w:rsid w:val="0048217A"/>
    <w:rsid w:val="004825C9"/>
    <w:rsid w:val="0048266C"/>
    <w:rsid w:val="00482802"/>
    <w:rsid w:val="00482856"/>
    <w:rsid w:val="00482BFF"/>
    <w:rsid w:val="00482C17"/>
    <w:rsid w:val="00482F22"/>
    <w:rsid w:val="0048307A"/>
    <w:rsid w:val="00483A39"/>
    <w:rsid w:val="00483D70"/>
    <w:rsid w:val="00483EB1"/>
    <w:rsid w:val="00484004"/>
    <w:rsid w:val="0048418C"/>
    <w:rsid w:val="004842B4"/>
    <w:rsid w:val="004843FE"/>
    <w:rsid w:val="00484601"/>
    <w:rsid w:val="00484850"/>
    <w:rsid w:val="004848EE"/>
    <w:rsid w:val="00484956"/>
    <w:rsid w:val="00484BD9"/>
    <w:rsid w:val="00484DED"/>
    <w:rsid w:val="00484E4C"/>
    <w:rsid w:val="0048527C"/>
    <w:rsid w:val="0048531A"/>
    <w:rsid w:val="0048547B"/>
    <w:rsid w:val="004856DD"/>
    <w:rsid w:val="00485960"/>
    <w:rsid w:val="00485A73"/>
    <w:rsid w:val="00485D19"/>
    <w:rsid w:val="00485F6D"/>
    <w:rsid w:val="004863D6"/>
    <w:rsid w:val="004865F9"/>
    <w:rsid w:val="0048667D"/>
    <w:rsid w:val="00486A6A"/>
    <w:rsid w:val="00486AA8"/>
    <w:rsid w:val="00486BBF"/>
    <w:rsid w:val="0048710C"/>
    <w:rsid w:val="004873F5"/>
    <w:rsid w:val="00487788"/>
    <w:rsid w:val="00487945"/>
    <w:rsid w:val="00487A34"/>
    <w:rsid w:val="00487BD8"/>
    <w:rsid w:val="00487EBB"/>
    <w:rsid w:val="0049002D"/>
    <w:rsid w:val="00490099"/>
    <w:rsid w:val="00490184"/>
    <w:rsid w:val="004903BC"/>
    <w:rsid w:val="004904F4"/>
    <w:rsid w:val="00490554"/>
    <w:rsid w:val="00490624"/>
    <w:rsid w:val="004907DC"/>
    <w:rsid w:val="00490886"/>
    <w:rsid w:val="00491813"/>
    <w:rsid w:val="004919CD"/>
    <w:rsid w:val="004920D1"/>
    <w:rsid w:val="004922CE"/>
    <w:rsid w:val="00492344"/>
    <w:rsid w:val="00492362"/>
    <w:rsid w:val="004925FE"/>
    <w:rsid w:val="0049262F"/>
    <w:rsid w:val="00492705"/>
    <w:rsid w:val="00492857"/>
    <w:rsid w:val="00492D99"/>
    <w:rsid w:val="00493129"/>
    <w:rsid w:val="00493185"/>
    <w:rsid w:val="00493274"/>
    <w:rsid w:val="00493327"/>
    <w:rsid w:val="00493435"/>
    <w:rsid w:val="004935A1"/>
    <w:rsid w:val="00493D75"/>
    <w:rsid w:val="00493D7F"/>
    <w:rsid w:val="00494078"/>
    <w:rsid w:val="004947E2"/>
    <w:rsid w:val="0049490A"/>
    <w:rsid w:val="004949AD"/>
    <w:rsid w:val="00494AF6"/>
    <w:rsid w:val="00494BF2"/>
    <w:rsid w:val="00494C3F"/>
    <w:rsid w:val="00494DAD"/>
    <w:rsid w:val="00494DC7"/>
    <w:rsid w:val="00494E1A"/>
    <w:rsid w:val="00495028"/>
    <w:rsid w:val="00495188"/>
    <w:rsid w:val="004951AF"/>
    <w:rsid w:val="004954F4"/>
    <w:rsid w:val="004955F7"/>
    <w:rsid w:val="00495648"/>
    <w:rsid w:val="00495669"/>
    <w:rsid w:val="0049585B"/>
    <w:rsid w:val="00495867"/>
    <w:rsid w:val="00495C27"/>
    <w:rsid w:val="00495DDC"/>
    <w:rsid w:val="00496055"/>
    <w:rsid w:val="00496306"/>
    <w:rsid w:val="004964C0"/>
    <w:rsid w:val="00496617"/>
    <w:rsid w:val="00496B37"/>
    <w:rsid w:val="00496C60"/>
    <w:rsid w:val="00496DD9"/>
    <w:rsid w:val="00496E25"/>
    <w:rsid w:val="00496F95"/>
    <w:rsid w:val="0049720F"/>
    <w:rsid w:val="004972BC"/>
    <w:rsid w:val="00497374"/>
    <w:rsid w:val="00497C5F"/>
    <w:rsid w:val="00497C79"/>
    <w:rsid w:val="00497FD2"/>
    <w:rsid w:val="004A0105"/>
    <w:rsid w:val="004A0118"/>
    <w:rsid w:val="004A03D3"/>
    <w:rsid w:val="004A048F"/>
    <w:rsid w:val="004A0790"/>
    <w:rsid w:val="004A08B8"/>
    <w:rsid w:val="004A09FC"/>
    <w:rsid w:val="004A0BDC"/>
    <w:rsid w:val="004A0C59"/>
    <w:rsid w:val="004A0E9B"/>
    <w:rsid w:val="004A0FB0"/>
    <w:rsid w:val="004A11C6"/>
    <w:rsid w:val="004A14B4"/>
    <w:rsid w:val="004A16C2"/>
    <w:rsid w:val="004A175A"/>
    <w:rsid w:val="004A189A"/>
    <w:rsid w:val="004A1974"/>
    <w:rsid w:val="004A1E38"/>
    <w:rsid w:val="004A1E85"/>
    <w:rsid w:val="004A211B"/>
    <w:rsid w:val="004A228F"/>
    <w:rsid w:val="004A288C"/>
    <w:rsid w:val="004A2D71"/>
    <w:rsid w:val="004A2ED4"/>
    <w:rsid w:val="004A2F6A"/>
    <w:rsid w:val="004A30B3"/>
    <w:rsid w:val="004A332F"/>
    <w:rsid w:val="004A3508"/>
    <w:rsid w:val="004A3900"/>
    <w:rsid w:val="004A3BD0"/>
    <w:rsid w:val="004A3C9C"/>
    <w:rsid w:val="004A3ED0"/>
    <w:rsid w:val="004A3F3E"/>
    <w:rsid w:val="004A4788"/>
    <w:rsid w:val="004A4913"/>
    <w:rsid w:val="004A4DBB"/>
    <w:rsid w:val="004A51CE"/>
    <w:rsid w:val="004A5616"/>
    <w:rsid w:val="004A56F1"/>
    <w:rsid w:val="004A58F7"/>
    <w:rsid w:val="004A5A52"/>
    <w:rsid w:val="004A5AE8"/>
    <w:rsid w:val="004A5CDD"/>
    <w:rsid w:val="004A5D7F"/>
    <w:rsid w:val="004A5E6A"/>
    <w:rsid w:val="004A6133"/>
    <w:rsid w:val="004A61B7"/>
    <w:rsid w:val="004A6292"/>
    <w:rsid w:val="004A63B9"/>
    <w:rsid w:val="004A6434"/>
    <w:rsid w:val="004A6668"/>
    <w:rsid w:val="004A6EE1"/>
    <w:rsid w:val="004A7015"/>
    <w:rsid w:val="004A71FD"/>
    <w:rsid w:val="004A729C"/>
    <w:rsid w:val="004A74A0"/>
    <w:rsid w:val="004A74A3"/>
    <w:rsid w:val="004A74CC"/>
    <w:rsid w:val="004A7567"/>
    <w:rsid w:val="004A7618"/>
    <w:rsid w:val="004A7670"/>
    <w:rsid w:val="004A770E"/>
    <w:rsid w:val="004A7761"/>
    <w:rsid w:val="004A7CFA"/>
    <w:rsid w:val="004A7E4D"/>
    <w:rsid w:val="004A7FE6"/>
    <w:rsid w:val="004B0224"/>
    <w:rsid w:val="004B04D7"/>
    <w:rsid w:val="004B0500"/>
    <w:rsid w:val="004B0727"/>
    <w:rsid w:val="004B0E09"/>
    <w:rsid w:val="004B0F91"/>
    <w:rsid w:val="004B0FDA"/>
    <w:rsid w:val="004B1157"/>
    <w:rsid w:val="004B1242"/>
    <w:rsid w:val="004B1267"/>
    <w:rsid w:val="004B13DA"/>
    <w:rsid w:val="004B1842"/>
    <w:rsid w:val="004B1EF6"/>
    <w:rsid w:val="004B2A76"/>
    <w:rsid w:val="004B2B1B"/>
    <w:rsid w:val="004B2C5D"/>
    <w:rsid w:val="004B2E21"/>
    <w:rsid w:val="004B2EAD"/>
    <w:rsid w:val="004B3CC0"/>
    <w:rsid w:val="004B3DDA"/>
    <w:rsid w:val="004B3F3A"/>
    <w:rsid w:val="004B407B"/>
    <w:rsid w:val="004B42D7"/>
    <w:rsid w:val="004B4435"/>
    <w:rsid w:val="004B45F4"/>
    <w:rsid w:val="004B46AA"/>
    <w:rsid w:val="004B498E"/>
    <w:rsid w:val="004B49A3"/>
    <w:rsid w:val="004B4D1B"/>
    <w:rsid w:val="004B4DF4"/>
    <w:rsid w:val="004B4E79"/>
    <w:rsid w:val="004B4EAF"/>
    <w:rsid w:val="004B5082"/>
    <w:rsid w:val="004B533A"/>
    <w:rsid w:val="004B5425"/>
    <w:rsid w:val="004B56C0"/>
    <w:rsid w:val="004B587D"/>
    <w:rsid w:val="004B58C2"/>
    <w:rsid w:val="004B5D01"/>
    <w:rsid w:val="004B5EA1"/>
    <w:rsid w:val="004B6034"/>
    <w:rsid w:val="004B6722"/>
    <w:rsid w:val="004B6917"/>
    <w:rsid w:val="004B694A"/>
    <w:rsid w:val="004B6A59"/>
    <w:rsid w:val="004B6BF8"/>
    <w:rsid w:val="004B6CA9"/>
    <w:rsid w:val="004B6F29"/>
    <w:rsid w:val="004B706C"/>
    <w:rsid w:val="004B708D"/>
    <w:rsid w:val="004B7581"/>
    <w:rsid w:val="004B7A58"/>
    <w:rsid w:val="004B7CAF"/>
    <w:rsid w:val="004B7D32"/>
    <w:rsid w:val="004B7E5B"/>
    <w:rsid w:val="004B7E5C"/>
    <w:rsid w:val="004B7EDA"/>
    <w:rsid w:val="004C0086"/>
    <w:rsid w:val="004C04AA"/>
    <w:rsid w:val="004C077A"/>
    <w:rsid w:val="004C0782"/>
    <w:rsid w:val="004C0934"/>
    <w:rsid w:val="004C09B0"/>
    <w:rsid w:val="004C09FD"/>
    <w:rsid w:val="004C0EDD"/>
    <w:rsid w:val="004C1182"/>
    <w:rsid w:val="004C12A5"/>
    <w:rsid w:val="004C153E"/>
    <w:rsid w:val="004C1A9C"/>
    <w:rsid w:val="004C1B25"/>
    <w:rsid w:val="004C2192"/>
    <w:rsid w:val="004C23B9"/>
    <w:rsid w:val="004C2C24"/>
    <w:rsid w:val="004C2D5F"/>
    <w:rsid w:val="004C2F7A"/>
    <w:rsid w:val="004C339E"/>
    <w:rsid w:val="004C34BD"/>
    <w:rsid w:val="004C35B6"/>
    <w:rsid w:val="004C379C"/>
    <w:rsid w:val="004C3A0D"/>
    <w:rsid w:val="004C3B70"/>
    <w:rsid w:val="004C3D41"/>
    <w:rsid w:val="004C42A5"/>
    <w:rsid w:val="004C4321"/>
    <w:rsid w:val="004C4428"/>
    <w:rsid w:val="004C4627"/>
    <w:rsid w:val="004C48EA"/>
    <w:rsid w:val="004C4B33"/>
    <w:rsid w:val="004C4B73"/>
    <w:rsid w:val="004C4E81"/>
    <w:rsid w:val="004C4F0F"/>
    <w:rsid w:val="004C502D"/>
    <w:rsid w:val="004C5055"/>
    <w:rsid w:val="004C52EA"/>
    <w:rsid w:val="004C52FB"/>
    <w:rsid w:val="004C571C"/>
    <w:rsid w:val="004C605A"/>
    <w:rsid w:val="004C65B3"/>
    <w:rsid w:val="004C66A9"/>
    <w:rsid w:val="004C68C3"/>
    <w:rsid w:val="004C69F1"/>
    <w:rsid w:val="004C6A8D"/>
    <w:rsid w:val="004C6A92"/>
    <w:rsid w:val="004C6B5D"/>
    <w:rsid w:val="004C6CAB"/>
    <w:rsid w:val="004C6EBD"/>
    <w:rsid w:val="004C7003"/>
    <w:rsid w:val="004C73F4"/>
    <w:rsid w:val="004C7546"/>
    <w:rsid w:val="004C763C"/>
    <w:rsid w:val="004C77D7"/>
    <w:rsid w:val="004C7825"/>
    <w:rsid w:val="004C78C5"/>
    <w:rsid w:val="004C79C9"/>
    <w:rsid w:val="004C7CCF"/>
    <w:rsid w:val="004C7D34"/>
    <w:rsid w:val="004C7ED6"/>
    <w:rsid w:val="004C7F06"/>
    <w:rsid w:val="004C7F53"/>
    <w:rsid w:val="004D0225"/>
    <w:rsid w:val="004D0423"/>
    <w:rsid w:val="004D05B3"/>
    <w:rsid w:val="004D09AE"/>
    <w:rsid w:val="004D09EA"/>
    <w:rsid w:val="004D0E47"/>
    <w:rsid w:val="004D0EB4"/>
    <w:rsid w:val="004D0F22"/>
    <w:rsid w:val="004D0FA4"/>
    <w:rsid w:val="004D11D8"/>
    <w:rsid w:val="004D138D"/>
    <w:rsid w:val="004D15E4"/>
    <w:rsid w:val="004D162E"/>
    <w:rsid w:val="004D1642"/>
    <w:rsid w:val="004D19C3"/>
    <w:rsid w:val="004D19C9"/>
    <w:rsid w:val="004D1A5C"/>
    <w:rsid w:val="004D1FD9"/>
    <w:rsid w:val="004D204F"/>
    <w:rsid w:val="004D2052"/>
    <w:rsid w:val="004D2102"/>
    <w:rsid w:val="004D212D"/>
    <w:rsid w:val="004D24CE"/>
    <w:rsid w:val="004D258E"/>
    <w:rsid w:val="004D2823"/>
    <w:rsid w:val="004D28DD"/>
    <w:rsid w:val="004D2B6A"/>
    <w:rsid w:val="004D2E4B"/>
    <w:rsid w:val="004D2F4F"/>
    <w:rsid w:val="004D307A"/>
    <w:rsid w:val="004D326E"/>
    <w:rsid w:val="004D3357"/>
    <w:rsid w:val="004D3424"/>
    <w:rsid w:val="004D3437"/>
    <w:rsid w:val="004D380B"/>
    <w:rsid w:val="004D38BF"/>
    <w:rsid w:val="004D3AF9"/>
    <w:rsid w:val="004D3E0A"/>
    <w:rsid w:val="004D40EA"/>
    <w:rsid w:val="004D4155"/>
    <w:rsid w:val="004D41B5"/>
    <w:rsid w:val="004D41C4"/>
    <w:rsid w:val="004D46A7"/>
    <w:rsid w:val="004D476D"/>
    <w:rsid w:val="004D47B1"/>
    <w:rsid w:val="004D4B47"/>
    <w:rsid w:val="004D4BBB"/>
    <w:rsid w:val="004D4C74"/>
    <w:rsid w:val="004D4CED"/>
    <w:rsid w:val="004D4F40"/>
    <w:rsid w:val="004D5098"/>
    <w:rsid w:val="004D5327"/>
    <w:rsid w:val="004D57B6"/>
    <w:rsid w:val="004D58C8"/>
    <w:rsid w:val="004D5949"/>
    <w:rsid w:val="004D6020"/>
    <w:rsid w:val="004D6225"/>
    <w:rsid w:val="004D63D6"/>
    <w:rsid w:val="004D68F3"/>
    <w:rsid w:val="004D6AAC"/>
    <w:rsid w:val="004D6B1E"/>
    <w:rsid w:val="004D6B46"/>
    <w:rsid w:val="004D6CF6"/>
    <w:rsid w:val="004D6D29"/>
    <w:rsid w:val="004D6DCE"/>
    <w:rsid w:val="004D719D"/>
    <w:rsid w:val="004D728E"/>
    <w:rsid w:val="004D72EC"/>
    <w:rsid w:val="004D75BE"/>
    <w:rsid w:val="004D766A"/>
    <w:rsid w:val="004D76D9"/>
    <w:rsid w:val="004D7787"/>
    <w:rsid w:val="004D7865"/>
    <w:rsid w:val="004D7A4F"/>
    <w:rsid w:val="004D7BE2"/>
    <w:rsid w:val="004D7C5C"/>
    <w:rsid w:val="004E0111"/>
    <w:rsid w:val="004E0741"/>
    <w:rsid w:val="004E0753"/>
    <w:rsid w:val="004E0E7E"/>
    <w:rsid w:val="004E0ED7"/>
    <w:rsid w:val="004E18F4"/>
    <w:rsid w:val="004E1A9D"/>
    <w:rsid w:val="004E1CFB"/>
    <w:rsid w:val="004E1DD5"/>
    <w:rsid w:val="004E1EB8"/>
    <w:rsid w:val="004E212D"/>
    <w:rsid w:val="004E234C"/>
    <w:rsid w:val="004E2547"/>
    <w:rsid w:val="004E2606"/>
    <w:rsid w:val="004E2773"/>
    <w:rsid w:val="004E2DE1"/>
    <w:rsid w:val="004E322D"/>
    <w:rsid w:val="004E352D"/>
    <w:rsid w:val="004E35AE"/>
    <w:rsid w:val="004E388E"/>
    <w:rsid w:val="004E3C0E"/>
    <w:rsid w:val="004E3D12"/>
    <w:rsid w:val="004E41E6"/>
    <w:rsid w:val="004E4536"/>
    <w:rsid w:val="004E4630"/>
    <w:rsid w:val="004E46B6"/>
    <w:rsid w:val="004E4D50"/>
    <w:rsid w:val="004E5077"/>
    <w:rsid w:val="004E5136"/>
    <w:rsid w:val="004E5492"/>
    <w:rsid w:val="004E57DC"/>
    <w:rsid w:val="004E5968"/>
    <w:rsid w:val="004E5CDC"/>
    <w:rsid w:val="004E5D4E"/>
    <w:rsid w:val="004E5D5A"/>
    <w:rsid w:val="004E5D79"/>
    <w:rsid w:val="004E5F13"/>
    <w:rsid w:val="004E650B"/>
    <w:rsid w:val="004E66D1"/>
    <w:rsid w:val="004E679F"/>
    <w:rsid w:val="004E6CAD"/>
    <w:rsid w:val="004E7126"/>
    <w:rsid w:val="004E7228"/>
    <w:rsid w:val="004E738E"/>
    <w:rsid w:val="004E77BA"/>
    <w:rsid w:val="004E7AA0"/>
    <w:rsid w:val="004E7ADC"/>
    <w:rsid w:val="004E7C6B"/>
    <w:rsid w:val="004E7D36"/>
    <w:rsid w:val="004E7DC9"/>
    <w:rsid w:val="004F030A"/>
    <w:rsid w:val="004F037D"/>
    <w:rsid w:val="004F0496"/>
    <w:rsid w:val="004F04D6"/>
    <w:rsid w:val="004F0802"/>
    <w:rsid w:val="004F0B22"/>
    <w:rsid w:val="004F0CF7"/>
    <w:rsid w:val="004F0F92"/>
    <w:rsid w:val="004F1166"/>
    <w:rsid w:val="004F1352"/>
    <w:rsid w:val="004F1514"/>
    <w:rsid w:val="004F199A"/>
    <w:rsid w:val="004F1A14"/>
    <w:rsid w:val="004F2042"/>
    <w:rsid w:val="004F22F0"/>
    <w:rsid w:val="004F2414"/>
    <w:rsid w:val="004F297C"/>
    <w:rsid w:val="004F2C0A"/>
    <w:rsid w:val="004F2E50"/>
    <w:rsid w:val="004F2F9D"/>
    <w:rsid w:val="004F3001"/>
    <w:rsid w:val="004F309F"/>
    <w:rsid w:val="004F33A5"/>
    <w:rsid w:val="004F33B6"/>
    <w:rsid w:val="004F3577"/>
    <w:rsid w:val="004F3639"/>
    <w:rsid w:val="004F37CD"/>
    <w:rsid w:val="004F3A33"/>
    <w:rsid w:val="004F3C3E"/>
    <w:rsid w:val="004F3CC9"/>
    <w:rsid w:val="004F3CF2"/>
    <w:rsid w:val="004F3D63"/>
    <w:rsid w:val="004F3DFB"/>
    <w:rsid w:val="004F3FBB"/>
    <w:rsid w:val="004F406A"/>
    <w:rsid w:val="004F40DF"/>
    <w:rsid w:val="004F40F5"/>
    <w:rsid w:val="004F414C"/>
    <w:rsid w:val="004F449F"/>
    <w:rsid w:val="004F47CB"/>
    <w:rsid w:val="004F49DC"/>
    <w:rsid w:val="004F50C2"/>
    <w:rsid w:val="004F51B8"/>
    <w:rsid w:val="004F51E6"/>
    <w:rsid w:val="004F541C"/>
    <w:rsid w:val="004F58ED"/>
    <w:rsid w:val="004F5A95"/>
    <w:rsid w:val="004F5C68"/>
    <w:rsid w:val="004F5F3F"/>
    <w:rsid w:val="004F6280"/>
    <w:rsid w:val="004F66F4"/>
    <w:rsid w:val="004F67A5"/>
    <w:rsid w:val="004F69D2"/>
    <w:rsid w:val="004F6A56"/>
    <w:rsid w:val="004F6AD0"/>
    <w:rsid w:val="004F6D80"/>
    <w:rsid w:val="004F733F"/>
    <w:rsid w:val="004F74E2"/>
    <w:rsid w:val="004F7620"/>
    <w:rsid w:val="004F76BB"/>
    <w:rsid w:val="004F79AF"/>
    <w:rsid w:val="004F7B07"/>
    <w:rsid w:val="004F7B39"/>
    <w:rsid w:val="004F7E7C"/>
    <w:rsid w:val="004F7F79"/>
    <w:rsid w:val="00500088"/>
    <w:rsid w:val="00500187"/>
    <w:rsid w:val="00500276"/>
    <w:rsid w:val="005004C8"/>
    <w:rsid w:val="005004F9"/>
    <w:rsid w:val="00501085"/>
    <w:rsid w:val="005011AE"/>
    <w:rsid w:val="00501586"/>
    <w:rsid w:val="005015C8"/>
    <w:rsid w:val="005017AF"/>
    <w:rsid w:val="005017B1"/>
    <w:rsid w:val="00501DC6"/>
    <w:rsid w:val="00501E55"/>
    <w:rsid w:val="0050217D"/>
    <w:rsid w:val="005021B4"/>
    <w:rsid w:val="005023D7"/>
    <w:rsid w:val="005024EC"/>
    <w:rsid w:val="0050257A"/>
    <w:rsid w:val="00502595"/>
    <w:rsid w:val="005028DD"/>
    <w:rsid w:val="005029F5"/>
    <w:rsid w:val="00502A48"/>
    <w:rsid w:val="00502EE0"/>
    <w:rsid w:val="00503583"/>
    <w:rsid w:val="0050369B"/>
    <w:rsid w:val="005038E5"/>
    <w:rsid w:val="00503A02"/>
    <w:rsid w:val="00503A0C"/>
    <w:rsid w:val="00503BCF"/>
    <w:rsid w:val="00503C31"/>
    <w:rsid w:val="005041B2"/>
    <w:rsid w:val="00504383"/>
    <w:rsid w:val="0050487A"/>
    <w:rsid w:val="00504C42"/>
    <w:rsid w:val="00504DAC"/>
    <w:rsid w:val="0050562E"/>
    <w:rsid w:val="00505635"/>
    <w:rsid w:val="005058C3"/>
    <w:rsid w:val="00505966"/>
    <w:rsid w:val="00505DBB"/>
    <w:rsid w:val="00506055"/>
    <w:rsid w:val="00506133"/>
    <w:rsid w:val="00506397"/>
    <w:rsid w:val="005063A9"/>
    <w:rsid w:val="005063AA"/>
    <w:rsid w:val="005063D2"/>
    <w:rsid w:val="00506440"/>
    <w:rsid w:val="00506647"/>
    <w:rsid w:val="005066A1"/>
    <w:rsid w:val="005067C7"/>
    <w:rsid w:val="00506828"/>
    <w:rsid w:val="00506ED7"/>
    <w:rsid w:val="005073AD"/>
    <w:rsid w:val="00507459"/>
    <w:rsid w:val="0050746E"/>
    <w:rsid w:val="00507492"/>
    <w:rsid w:val="005075DF"/>
    <w:rsid w:val="005076B5"/>
    <w:rsid w:val="00507941"/>
    <w:rsid w:val="00507C4B"/>
    <w:rsid w:val="00507CD8"/>
    <w:rsid w:val="00507F35"/>
    <w:rsid w:val="0051007A"/>
    <w:rsid w:val="00510338"/>
    <w:rsid w:val="0051044E"/>
    <w:rsid w:val="005107FE"/>
    <w:rsid w:val="0051096E"/>
    <w:rsid w:val="00510B36"/>
    <w:rsid w:val="00510C2A"/>
    <w:rsid w:val="005111BE"/>
    <w:rsid w:val="00511268"/>
    <w:rsid w:val="00511592"/>
    <w:rsid w:val="005117E5"/>
    <w:rsid w:val="005118B5"/>
    <w:rsid w:val="00511B08"/>
    <w:rsid w:val="0051231F"/>
    <w:rsid w:val="0051286C"/>
    <w:rsid w:val="00512B2A"/>
    <w:rsid w:val="00512BE1"/>
    <w:rsid w:val="00512CD7"/>
    <w:rsid w:val="00512F0C"/>
    <w:rsid w:val="00513284"/>
    <w:rsid w:val="005135A3"/>
    <w:rsid w:val="005135B7"/>
    <w:rsid w:val="005136C8"/>
    <w:rsid w:val="00513749"/>
    <w:rsid w:val="00513970"/>
    <w:rsid w:val="00513C38"/>
    <w:rsid w:val="00513D44"/>
    <w:rsid w:val="00513F02"/>
    <w:rsid w:val="005140B6"/>
    <w:rsid w:val="00514195"/>
    <w:rsid w:val="00514518"/>
    <w:rsid w:val="00514628"/>
    <w:rsid w:val="00514682"/>
    <w:rsid w:val="00514686"/>
    <w:rsid w:val="005147EB"/>
    <w:rsid w:val="00514A94"/>
    <w:rsid w:val="005150FE"/>
    <w:rsid w:val="0051538A"/>
    <w:rsid w:val="00515560"/>
    <w:rsid w:val="00515731"/>
    <w:rsid w:val="005157C1"/>
    <w:rsid w:val="00515A30"/>
    <w:rsid w:val="00515AE6"/>
    <w:rsid w:val="00515B81"/>
    <w:rsid w:val="00515BC4"/>
    <w:rsid w:val="00515DEF"/>
    <w:rsid w:val="00516082"/>
    <w:rsid w:val="00516255"/>
    <w:rsid w:val="00516A63"/>
    <w:rsid w:val="00516CB8"/>
    <w:rsid w:val="00516F55"/>
    <w:rsid w:val="00517220"/>
    <w:rsid w:val="005172C1"/>
    <w:rsid w:val="005176B1"/>
    <w:rsid w:val="005179A3"/>
    <w:rsid w:val="005179C5"/>
    <w:rsid w:val="00517A07"/>
    <w:rsid w:val="00517F30"/>
    <w:rsid w:val="00517FCC"/>
    <w:rsid w:val="005200CF"/>
    <w:rsid w:val="005201F3"/>
    <w:rsid w:val="005203A6"/>
    <w:rsid w:val="0052055A"/>
    <w:rsid w:val="0052057E"/>
    <w:rsid w:val="005208AE"/>
    <w:rsid w:val="00520926"/>
    <w:rsid w:val="00520B4F"/>
    <w:rsid w:val="00520C0C"/>
    <w:rsid w:val="00520D2C"/>
    <w:rsid w:val="0052105F"/>
    <w:rsid w:val="00521066"/>
    <w:rsid w:val="0052155A"/>
    <w:rsid w:val="0052166F"/>
    <w:rsid w:val="00521673"/>
    <w:rsid w:val="005216CD"/>
    <w:rsid w:val="0052175C"/>
    <w:rsid w:val="00521785"/>
    <w:rsid w:val="0052178A"/>
    <w:rsid w:val="00521B2E"/>
    <w:rsid w:val="00521B89"/>
    <w:rsid w:val="00521FDF"/>
    <w:rsid w:val="005226A8"/>
    <w:rsid w:val="0052277B"/>
    <w:rsid w:val="005229D0"/>
    <w:rsid w:val="00522A1F"/>
    <w:rsid w:val="00522A4E"/>
    <w:rsid w:val="00522AAC"/>
    <w:rsid w:val="00522E52"/>
    <w:rsid w:val="005231DE"/>
    <w:rsid w:val="00523E3E"/>
    <w:rsid w:val="005240B2"/>
    <w:rsid w:val="00524E8B"/>
    <w:rsid w:val="00524ED3"/>
    <w:rsid w:val="00524FFD"/>
    <w:rsid w:val="00525083"/>
    <w:rsid w:val="005256D2"/>
    <w:rsid w:val="0052576A"/>
    <w:rsid w:val="00525802"/>
    <w:rsid w:val="00525A25"/>
    <w:rsid w:val="00525A63"/>
    <w:rsid w:val="00525AF8"/>
    <w:rsid w:val="00525D2F"/>
    <w:rsid w:val="00526415"/>
    <w:rsid w:val="005264B5"/>
    <w:rsid w:val="00526654"/>
    <w:rsid w:val="00526A50"/>
    <w:rsid w:val="00526B30"/>
    <w:rsid w:val="00526C78"/>
    <w:rsid w:val="00526DCF"/>
    <w:rsid w:val="00526DE2"/>
    <w:rsid w:val="00527294"/>
    <w:rsid w:val="0052736B"/>
    <w:rsid w:val="00527ADC"/>
    <w:rsid w:val="00527B81"/>
    <w:rsid w:val="005300C5"/>
    <w:rsid w:val="00530318"/>
    <w:rsid w:val="005303CE"/>
    <w:rsid w:val="00530473"/>
    <w:rsid w:val="00530925"/>
    <w:rsid w:val="00530DB4"/>
    <w:rsid w:val="00530F65"/>
    <w:rsid w:val="005310B4"/>
    <w:rsid w:val="00531152"/>
    <w:rsid w:val="005311D1"/>
    <w:rsid w:val="00531259"/>
    <w:rsid w:val="00531441"/>
    <w:rsid w:val="0053146D"/>
    <w:rsid w:val="00531609"/>
    <w:rsid w:val="00531651"/>
    <w:rsid w:val="005316EB"/>
    <w:rsid w:val="00531857"/>
    <w:rsid w:val="005318FA"/>
    <w:rsid w:val="005319B7"/>
    <w:rsid w:val="00531A96"/>
    <w:rsid w:val="00531D2C"/>
    <w:rsid w:val="00531FB4"/>
    <w:rsid w:val="0053200F"/>
    <w:rsid w:val="005321FF"/>
    <w:rsid w:val="005325EC"/>
    <w:rsid w:val="00532BC6"/>
    <w:rsid w:val="00532D14"/>
    <w:rsid w:val="005331EB"/>
    <w:rsid w:val="005332EF"/>
    <w:rsid w:val="005333AC"/>
    <w:rsid w:val="00533776"/>
    <w:rsid w:val="00533952"/>
    <w:rsid w:val="0053398E"/>
    <w:rsid w:val="00533A3D"/>
    <w:rsid w:val="00533A93"/>
    <w:rsid w:val="00533B66"/>
    <w:rsid w:val="00533B7A"/>
    <w:rsid w:val="00533CB9"/>
    <w:rsid w:val="00533DEE"/>
    <w:rsid w:val="00533E3C"/>
    <w:rsid w:val="00533ED1"/>
    <w:rsid w:val="00533F94"/>
    <w:rsid w:val="005340DB"/>
    <w:rsid w:val="005340E0"/>
    <w:rsid w:val="005349DF"/>
    <w:rsid w:val="00534A21"/>
    <w:rsid w:val="00534FDA"/>
    <w:rsid w:val="00535034"/>
    <w:rsid w:val="005350B9"/>
    <w:rsid w:val="0053510B"/>
    <w:rsid w:val="00535222"/>
    <w:rsid w:val="00535381"/>
    <w:rsid w:val="00535A91"/>
    <w:rsid w:val="00535C1C"/>
    <w:rsid w:val="0053615A"/>
    <w:rsid w:val="00536317"/>
    <w:rsid w:val="00536452"/>
    <w:rsid w:val="00536891"/>
    <w:rsid w:val="00536A94"/>
    <w:rsid w:val="00536C3E"/>
    <w:rsid w:val="00536F4F"/>
    <w:rsid w:val="00536F81"/>
    <w:rsid w:val="00536FF3"/>
    <w:rsid w:val="0053710E"/>
    <w:rsid w:val="00537A0E"/>
    <w:rsid w:val="00537A98"/>
    <w:rsid w:val="00537C13"/>
    <w:rsid w:val="00537C8F"/>
    <w:rsid w:val="00537CA6"/>
    <w:rsid w:val="00540259"/>
    <w:rsid w:val="0054045B"/>
    <w:rsid w:val="005407D7"/>
    <w:rsid w:val="00540B09"/>
    <w:rsid w:val="00540C94"/>
    <w:rsid w:val="00540D8F"/>
    <w:rsid w:val="0054114A"/>
    <w:rsid w:val="00541196"/>
    <w:rsid w:val="00541218"/>
    <w:rsid w:val="005412BF"/>
    <w:rsid w:val="00541477"/>
    <w:rsid w:val="00541522"/>
    <w:rsid w:val="00541797"/>
    <w:rsid w:val="00541C57"/>
    <w:rsid w:val="00541D7B"/>
    <w:rsid w:val="00541E95"/>
    <w:rsid w:val="00541FED"/>
    <w:rsid w:val="00542584"/>
    <w:rsid w:val="00542C6A"/>
    <w:rsid w:val="00542C7B"/>
    <w:rsid w:val="00542C84"/>
    <w:rsid w:val="00542D0E"/>
    <w:rsid w:val="00542DA3"/>
    <w:rsid w:val="005430BE"/>
    <w:rsid w:val="00543489"/>
    <w:rsid w:val="005435EF"/>
    <w:rsid w:val="0054377E"/>
    <w:rsid w:val="005439F1"/>
    <w:rsid w:val="00543BFE"/>
    <w:rsid w:val="00544027"/>
    <w:rsid w:val="0054404D"/>
    <w:rsid w:val="0054442B"/>
    <w:rsid w:val="005446C6"/>
    <w:rsid w:val="005448D3"/>
    <w:rsid w:val="005449B4"/>
    <w:rsid w:val="00544B93"/>
    <w:rsid w:val="00544CB4"/>
    <w:rsid w:val="00544EB2"/>
    <w:rsid w:val="00544F03"/>
    <w:rsid w:val="00544F8B"/>
    <w:rsid w:val="00545182"/>
    <w:rsid w:val="005451A4"/>
    <w:rsid w:val="0054526B"/>
    <w:rsid w:val="00545935"/>
    <w:rsid w:val="00545B8B"/>
    <w:rsid w:val="00545C87"/>
    <w:rsid w:val="0054604A"/>
    <w:rsid w:val="005461C3"/>
    <w:rsid w:val="0054635C"/>
    <w:rsid w:val="0054640F"/>
    <w:rsid w:val="0054643D"/>
    <w:rsid w:val="0054644E"/>
    <w:rsid w:val="00546857"/>
    <w:rsid w:val="00546878"/>
    <w:rsid w:val="005468FE"/>
    <w:rsid w:val="005469DD"/>
    <w:rsid w:val="005469EC"/>
    <w:rsid w:val="0054706A"/>
    <w:rsid w:val="0054709F"/>
    <w:rsid w:val="0054717F"/>
    <w:rsid w:val="00547E48"/>
    <w:rsid w:val="00550309"/>
    <w:rsid w:val="0055079B"/>
    <w:rsid w:val="005507B7"/>
    <w:rsid w:val="00550896"/>
    <w:rsid w:val="005509B3"/>
    <w:rsid w:val="00550A23"/>
    <w:rsid w:val="00550DD0"/>
    <w:rsid w:val="00550E73"/>
    <w:rsid w:val="005510D1"/>
    <w:rsid w:val="00551249"/>
    <w:rsid w:val="005512AC"/>
    <w:rsid w:val="005514F9"/>
    <w:rsid w:val="0055158B"/>
    <w:rsid w:val="005515D1"/>
    <w:rsid w:val="00551646"/>
    <w:rsid w:val="00551754"/>
    <w:rsid w:val="0055189D"/>
    <w:rsid w:val="00551D16"/>
    <w:rsid w:val="00552100"/>
    <w:rsid w:val="00552472"/>
    <w:rsid w:val="005524D9"/>
    <w:rsid w:val="00552820"/>
    <w:rsid w:val="00552C1A"/>
    <w:rsid w:val="00552C3D"/>
    <w:rsid w:val="00552C4B"/>
    <w:rsid w:val="00552E09"/>
    <w:rsid w:val="00552E89"/>
    <w:rsid w:val="00553324"/>
    <w:rsid w:val="00553503"/>
    <w:rsid w:val="00553616"/>
    <w:rsid w:val="005539D1"/>
    <w:rsid w:val="00553C10"/>
    <w:rsid w:val="00553C96"/>
    <w:rsid w:val="00553CA0"/>
    <w:rsid w:val="00553DC5"/>
    <w:rsid w:val="00553F4A"/>
    <w:rsid w:val="00554197"/>
    <w:rsid w:val="00554250"/>
    <w:rsid w:val="0055425D"/>
    <w:rsid w:val="005548E8"/>
    <w:rsid w:val="00554A6F"/>
    <w:rsid w:val="00554B92"/>
    <w:rsid w:val="00554E06"/>
    <w:rsid w:val="00555013"/>
    <w:rsid w:val="00555200"/>
    <w:rsid w:val="0055535C"/>
    <w:rsid w:val="00555589"/>
    <w:rsid w:val="005555EF"/>
    <w:rsid w:val="00555607"/>
    <w:rsid w:val="00555706"/>
    <w:rsid w:val="005557F7"/>
    <w:rsid w:val="00555911"/>
    <w:rsid w:val="00555D0E"/>
    <w:rsid w:val="00555D19"/>
    <w:rsid w:val="00555EE5"/>
    <w:rsid w:val="005561DC"/>
    <w:rsid w:val="00556342"/>
    <w:rsid w:val="005567FE"/>
    <w:rsid w:val="00556C79"/>
    <w:rsid w:val="00556EC8"/>
    <w:rsid w:val="00557495"/>
    <w:rsid w:val="005575C0"/>
    <w:rsid w:val="005576EE"/>
    <w:rsid w:val="0055793E"/>
    <w:rsid w:val="00557CF4"/>
    <w:rsid w:val="00557E3D"/>
    <w:rsid w:val="00557F53"/>
    <w:rsid w:val="005600D5"/>
    <w:rsid w:val="00560154"/>
    <w:rsid w:val="005601D4"/>
    <w:rsid w:val="00560247"/>
    <w:rsid w:val="00560283"/>
    <w:rsid w:val="00560A3E"/>
    <w:rsid w:val="00560C1B"/>
    <w:rsid w:val="005612BA"/>
    <w:rsid w:val="0056169E"/>
    <w:rsid w:val="005617E1"/>
    <w:rsid w:val="005618DC"/>
    <w:rsid w:val="005619CC"/>
    <w:rsid w:val="00561AB8"/>
    <w:rsid w:val="00561C46"/>
    <w:rsid w:val="00561D45"/>
    <w:rsid w:val="00561DDE"/>
    <w:rsid w:val="00562096"/>
    <w:rsid w:val="005624A1"/>
    <w:rsid w:val="00562564"/>
    <w:rsid w:val="00562868"/>
    <w:rsid w:val="005630D8"/>
    <w:rsid w:val="005630EE"/>
    <w:rsid w:val="005631B8"/>
    <w:rsid w:val="0056349E"/>
    <w:rsid w:val="00563722"/>
    <w:rsid w:val="00563A95"/>
    <w:rsid w:val="00563AD5"/>
    <w:rsid w:val="00563F55"/>
    <w:rsid w:val="00563F8C"/>
    <w:rsid w:val="00564462"/>
    <w:rsid w:val="005646CF"/>
    <w:rsid w:val="0056474C"/>
    <w:rsid w:val="00564807"/>
    <w:rsid w:val="00564B51"/>
    <w:rsid w:val="00564C01"/>
    <w:rsid w:val="00564CEC"/>
    <w:rsid w:val="00564DE6"/>
    <w:rsid w:val="00564E74"/>
    <w:rsid w:val="005653A3"/>
    <w:rsid w:val="005653EF"/>
    <w:rsid w:val="00565500"/>
    <w:rsid w:val="005655D1"/>
    <w:rsid w:val="00565698"/>
    <w:rsid w:val="005657D6"/>
    <w:rsid w:val="005657DE"/>
    <w:rsid w:val="005659DE"/>
    <w:rsid w:val="00565B6B"/>
    <w:rsid w:val="00565B83"/>
    <w:rsid w:val="00565BBE"/>
    <w:rsid w:val="00565DB8"/>
    <w:rsid w:val="005666AB"/>
    <w:rsid w:val="005668FD"/>
    <w:rsid w:val="005669AF"/>
    <w:rsid w:val="00566A3A"/>
    <w:rsid w:val="00566B25"/>
    <w:rsid w:val="00566B60"/>
    <w:rsid w:val="00566EB2"/>
    <w:rsid w:val="00566F0E"/>
    <w:rsid w:val="00567374"/>
    <w:rsid w:val="0056750B"/>
    <w:rsid w:val="00567781"/>
    <w:rsid w:val="0056792B"/>
    <w:rsid w:val="00567A83"/>
    <w:rsid w:val="00570706"/>
    <w:rsid w:val="005709E6"/>
    <w:rsid w:val="00570A2B"/>
    <w:rsid w:val="00570B5C"/>
    <w:rsid w:val="00570C99"/>
    <w:rsid w:val="00570CCA"/>
    <w:rsid w:val="005710A4"/>
    <w:rsid w:val="00571102"/>
    <w:rsid w:val="00571118"/>
    <w:rsid w:val="005713E7"/>
    <w:rsid w:val="0057147F"/>
    <w:rsid w:val="005715E5"/>
    <w:rsid w:val="005717D2"/>
    <w:rsid w:val="005718DF"/>
    <w:rsid w:val="00571F5B"/>
    <w:rsid w:val="00571FA0"/>
    <w:rsid w:val="0057203D"/>
    <w:rsid w:val="00572078"/>
    <w:rsid w:val="005724A7"/>
    <w:rsid w:val="00572692"/>
    <w:rsid w:val="005728EC"/>
    <w:rsid w:val="00572AEC"/>
    <w:rsid w:val="00572C0E"/>
    <w:rsid w:val="00572C7F"/>
    <w:rsid w:val="00572CE7"/>
    <w:rsid w:val="00572F79"/>
    <w:rsid w:val="00573157"/>
    <w:rsid w:val="0057368C"/>
    <w:rsid w:val="005738CB"/>
    <w:rsid w:val="005740BA"/>
    <w:rsid w:val="00574398"/>
    <w:rsid w:val="0057496F"/>
    <w:rsid w:val="005749BB"/>
    <w:rsid w:val="005749C7"/>
    <w:rsid w:val="00574C24"/>
    <w:rsid w:val="00574CD2"/>
    <w:rsid w:val="00575250"/>
    <w:rsid w:val="005754C9"/>
    <w:rsid w:val="00575625"/>
    <w:rsid w:val="00575830"/>
    <w:rsid w:val="00575917"/>
    <w:rsid w:val="00575D68"/>
    <w:rsid w:val="00575D8A"/>
    <w:rsid w:val="00575DC7"/>
    <w:rsid w:val="00575EAD"/>
    <w:rsid w:val="0057636E"/>
    <w:rsid w:val="005763C4"/>
    <w:rsid w:val="0057691F"/>
    <w:rsid w:val="00576A2B"/>
    <w:rsid w:val="00576B0E"/>
    <w:rsid w:val="00576CA2"/>
    <w:rsid w:val="00576CD8"/>
    <w:rsid w:val="00576E88"/>
    <w:rsid w:val="00576EF8"/>
    <w:rsid w:val="005771BF"/>
    <w:rsid w:val="00577216"/>
    <w:rsid w:val="00577272"/>
    <w:rsid w:val="00577647"/>
    <w:rsid w:val="00577719"/>
    <w:rsid w:val="0057771D"/>
    <w:rsid w:val="0057788F"/>
    <w:rsid w:val="00577A42"/>
    <w:rsid w:val="00577C02"/>
    <w:rsid w:val="00577CC7"/>
    <w:rsid w:val="00577FBE"/>
    <w:rsid w:val="00580151"/>
    <w:rsid w:val="0058078C"/>
    <w:rsid w:val="00580B64"/>
    <w:rsid w:val="00580CDE"/>
    <w:rsid w:val="00580DD5"/>
    <w:rsid w:val="00580F40"/>
    <w:rsid w:val="00581129"/>
    <w:rsid w:val="0058117F"/>
    <w:rsid w:val="00581356"/>
    <w:rsid w:val="005816CD"/>
    <w:rsid w:val="0058196E"/>
    <w:rsid w:val="00581C0C"/>
    <w:rsid w:val="005820CD"/>
    <w:rsid w:val="005823A4"/>
    <w:rsid w:val="0058247C"/>
    <w:rsid w:val="005826B5"/>
    <w:rsid w:val="0058275C"/>
    <w:rsid w:val="005829DA"/>
    <w:rsid w:val="00582C32"/>
    <w:rsid w:val="00582C69"/>
    <w:rsid w:val="00582D21"/>
    <w:rsid w:val="005830B9"/>
    <w:rsid w:val="0058324B"/>
    <w:rsid w:val="005833DE"/>
    <w:rsid w:val="00583827"/>
    <w:rsid w:val="0058386E"/>
    <w:rsid w:val="00583AFF"/>
    <w:rsid w:val="00584189"/>
    <w:rsid w:val="005843E0"/>
    <w:rsid w:val="00584426"/>
    <w:rsid w:val="00584437"/>
    <w:rsid w:val="005844CA"/>
    <w:rsid w:val="00584913"/>
    <w:rsid w:val="00584972"/>
    <w:rsid w:val="00584AB9"/>
    <w:rsid w:val="00584D93"/>
    <w:rsid w:val="0058501F"/>
    <w:rsid w:val="005851FD"/>
    <w:rsid w:val="00585272"/>
    <w:rsid w:val="005854E7"/>
    <w:rsid w:val="00585A5E"/>
    <w:rsid w:val="00585D90"/>
    <w:rsid w:val="00585D9E"/>
    <w:rsid w:val="00585FA9"/>
    <w:rsid w:val="00586271"/>
    <w:rsid w:val="005862BD"/>
    <w:rsid w:val="005864B1"/>
    <w:rsid w:val="00586728"/>
    <w:rsid w:val="005869DC"/>
    <w:rsid w:val="00586F56"/>
    <w:rsid w:val="00586F8E"/>
    <w:rsid w:val="005872CA"/>
    <w:rsid w:val="00587520"/>
    <w:rsid w:val="005875AE"/>
    <w:rsid w:val="005878A6"/>
    <w:rsid w:val="005879D8"/>
    <w:rsid w:val="00587B41"/>
    <w:rsid w:val="00587C14"/>
    <w:rsid w:val="0059019B"/>
    <w:rsid w:val="00590227"/>
    <w:rsid w:val="00590360"/>
    <w:rsid w:val="00590404"/>
    <w:rsid w:val="0059044D"/>
    <w:rsid w:val="005904B7"/>
    <w:rsid w:val="00590704"/>
    <w:rsid w:val="00590719"/>
    <w:rsid w:val="00590A32"/>
    <w:rsid w:val="00590D29"/>
    <w:rsid w:val="00590FDD"/>
    <w:rsid w:val="0059130E"/>
    <w:rsid w:val="005913C1"/>
    <w:rsid w:val="00591A75"/>
    <w:rsid w:val="00591BBC"/>
    <w:rsid w:val="00592102"/>
    <w:rsid w:val="005924E4"/>
    <w:rsid w:val="0059283F"/>
    <w:rsid w:val="005928C2"/>
    <w:rsid w:val="00592D61"/>
    <w:rsid w:val="00592D67"/>
    <w:rsid w:val="00592F7B"/>
    <w:rsid w:val="00593010"/>
    <w:rsid w:val="005930BE"/>
    <w:rsid w:val="005933F1"/>
    <w:rsid w:val="00593479"/>
    <w:rsid w:val="005934D8"/>
    <w:rsid w:val="00593700"/>
    <w:rsid w:val="005937F4"/>
    <w:rsid w:val="00593D16"/>
    <w:rsid w:val="0059408F"/>
    <w:rsid w:val="00594090"/>
    <w:rsid w:val="005940A5"/>
    <w:rsid w:val="0059428A"/>
    <w:rsid w:val="0059441E"/>
    <w:rsid w:val="0059459E"/>
    <w:rsid w:val="005946F7"/>
    <w:rsid w:val="0059481D"/>
    <w:rsid w:val="00594BA3"/>
    <w:rsid w:val="00594C27"/>
    <w:rsid w:val="00594F10"/>
    <w:rsid w:val="00594F8D"/>
    <w:rsid w:val="00595043"/>
    <w:rsid w:val="0059515B"/>
    <w:rsid w:val="00595299"/>
    <w:rsid w:val="005952D6"/>
    <w:rsid w:val="00595337"/>
    <w:rsid w:val="005954C7"/>
    <w:rsid w:val="005956D1"/>
    <w:rsid w:val="00595745"/>
    <w:rsid w:val="00595A79"/>
    <w:rsid w:val="00595CEC"/>
    <w:rsid w:val="00595DCA"/>
    <w:rsid w:val="00595DFD"/>
    <w:rsid w:val="00595F4E"/>
    <w:rsid w:val="00596035"/>
    <w:rsid w:val="005960F4"/>
    <w:rsid w:val="00596160"/>
    <w:rsid w:val="00596881"/>
    <w:rsid w:val="00596C06"/>
    <w:rsid w:val="00596C4B"/>
    <w:rsid w:val="00596E02"/>
    <w:rsid w:val="0059745D"/>
    <w:rsid w:val="005974E8"/>
    <w:rsid w:val="0059767B"/>
    <w:rsid w:val="005979C0"/>
    <w:rsid w:val="00597B83"/>
    <w:rsid w:val="00597BAB"/>
    <w:rsid w:val="00597E17"/>
    <w:rsid w:val="005A0164"/>
    <w:rsid w:val="005A047F"/>
    <w:rsid w:val="005A05B3"/>
    <w:rsid w:val="005A05E6"/>
    <w:rsid w:val="005A0681"/>
    <w:rsid w:val="005A07C3"/>
    <w:rsid w:val="005A08A5"/>
    <w:rsid w:val="005A0A97"/>
    <w:rsid w:val="005A0E72"/>
    <w:rsid w:val="005A0FBA"/>
    <w:rsid w:val="005A0FE7"/>
    <w:rsid w:val="005A1042"/>
    <w:rsid w:val="005A106E"/>
    <w:rsid w:val="005A10D3"/>
    <w:rsid w:val="005A1AD1"/>
    <w:rsid w:val="005A1AFD"/>
    <w:rsid w:val="005A1C03"/>
    <w:rsid w:val="005A1E8E"/>
    <w:rsid w:val="005A1FCF"/>
    <w:rsid w:val="005A22D0"/>
    <w:rsid w:val="005A2461"/>
    <w:rsid w:val="005A29A1"/>
    <w:rsid w:val="005A2CF2"/>
    <w:rsid w:val="005A2E20"/>
    <w:rsid w:val="005A2ECE"/>
    <w:rsid w:val="005A2F46"/>
    <w:rsid w:val="005A30D5"/>
    <w:rsid w:val="005A323D"/>
    <w:rsid w:val="005A335F"/>
    <w:rsid w:val="005A35A5"/>
    <w:rsid w:val="005A363D"/>
    <w:rsid w:val="005A3DC9"/>
    <w:rsid w:val="005A4174"/>
    <w:rsid w:val="005A43A6"/>
    <w:rsid w:val="005A4440"/>
    <w:rsid w:val="005A45F8"/>
    <w:rsid w:val="005A4649"/>
    <w:rsid w:val="005A49A3"/>
    <w:rsid w:val="005A4ABB"/>
    <w:rsid w:val="005A4C81"/>
    <w:rsid w:val="005A4D2B"/>
    <w:rsid w:val="005A51BE"/>
    <w:rsid w:val="005A55C9"/>
    <w:rsid w:val="005A59F8"/>
    <w:rsid w:val="005A60F6"/>
    <w:rsid w:val="005A611B"/>
    <w:rsid w:val="005A6133"/>
    <w:rsid w:val="005A61C3"/>
    <w:rsid w:val="005A61FC"/>
    <w:rsid w:val="005A625A"/>
    <w:rsid w:val="005A63C8"/>
    <w:rsid w:val="005A63D4"/>
    <w:rsid w:val="005A65A8"/>
    <w:rsid w:val="005A69C9"/>
    <w:rsid w:val="005A71AD"/>
    <w:rsid w:val="005A757A"/>
    <w:rsid w:val="005A75DD"/>
    <w:rsid w:val="005A77C5"/>
    <w:rsid w:val="005A79DE"/>
    <w:rsid w:val="005A7CAE"/>
    <w:rsid w:val="005A7CF0"/>
    <w:rsid w:val="005B04EA"/>
    <w:rsid w:val="005B0C86"/>
    <w:rsid w:val="005B0D2D"/>
    <w:rsid w:val="005B0F3E"/>
    <w:rsid w:val="005B12A4"/>
    <w:rsid w:val="005B1444"/>
    <w:rsid w:val="005B1458"/>
    <w:rsid w:val="005B1881"/>
    <w:rsid w:val="005B1B46"/>
    <w:rsid w:val="005B1C93"/>
    <w:rsid w:val="005B1D02"/>
    <w:rsid w:val="005B1F8E"/>
    <w:rsid w:val="005B2554"/>
    <w:rsid w:val="005B25E4"/>
    <w:rsid w:val="005B2635"/>
    <w:rsid w:val="005B266C"/>
    <w:rsid w:val="005B2862"/>
    <w:rsid w:val="005B28ED"/>
    <w:rsid w:val="005B2A4F"/>
    <w:rsid w:val="005B2AF8"/>
    <w:rsid w:val="005B2E21"/>
    <w:rsid w:val="005B2FD3"/>
    <w:rsid w:val="005B2FEF"/>
    <w:rsid w:val="005B3425"/>
    <w:rsid w:val="005B3E1E"/>
    <w:rsid w:val="005B3F97"/>
    <w:rsid w:val="005B3FF4"/>
    <w:rsid w:val="005B41A8"/>
    <w:rsid w:val="005B44A7"/>
    <w:rsid w:val="005B4713"/>
    <w:rsid w:val="005B47E1"/>
    <w:rsid w:val="005B47E7"/>
    <w:rsid w:val="005B4932"/>
    <w:rsid w:val="005B4A00"/>
    <w:rsid w:val="005B4A60"/>
    <w:rsid w:val="005B4CBF"/>
    <w:rsid w:val="005B4F7C"/>
    <w:rsid w:val="005B523D"/>
    <w:rsid w:val="005B5248"/>
    <w:rsid w:val="005B5417"/>
    <w:rsid w:val="005B54D8"/>
    <w:rsid w:val="005B568C"/>
    <w:rsid w:val="005B5880"/>
    <w:rsid w:val="005B59FC"/>
    <w:rsid w:val="005B5DD9"/>
    <w:rsid w:val="005B5E81"/>
    <w:rsid w:val="005B6008"/>
    <w:rsid w:val="005B609F"/>
    <w:rsid w:val="005B66B6"/>
    <w:rsid w:val="005B6845"/>
    <w:rsid w:val="005B6A9C"/>
    <w:rsid w:val="005B6C09"/>
    <w:rsid w:val="005B6C83"/>
    <w:rsid w:val="005B6D29"/>
    <w:rsid w:val="005B7075"/>
    <w:rsid w:val="005B73AD"/>
    <w:rsid w:val="005B7458"/>
    <w:rsid w:val="005B7467"/>
    <w:rsid w:val="005B759B"/>
    <w:rsid w:val="005B764D"/>
    <w:rsid w:val="005B78F1"/>
    <w:rsid w:val="005B7E6A"/>
    <w:rsid w:val="005B7EDB"/>
    <w:rsid w:val="005BD48E"/>
    <w:rsid w:val="005C003D"/>
    <w:rsid w:val="005C00D5"/>
    <w:rsid w:val="005C024F"/>
    <w:rsid w:val="005C0263"/>
    <w:rsid w:val="005C0407"/>
    <w:rsid w:val="005C0625"/>
    <w:rsid w:val="005C08B6"/>
    <w:rsid w:val="005C0ADE"/>
    <w:rsid w:val="005C0EF1"/>
    <w:rsid w:val="005C0F31"/>
    <w:rsid w:val="005C1550"/>
    <w:rsid w:val="005C1666"/>
    <w:rsid w:val="005C16D9"/>
    <w:rsid w:val="005C19DD"/>
    <w:rsid w:val="005C1C46"/>
    <w:rsid w:val="005C2130"/>
    <w:rsid w:val="005C2176"/>
    <w:rsid w:val="005C21BA"/>
    <w:rsid w:val="005C2532"/>
    <w:rsid w:val="005C2536"/>
    <w:rsid w:val="005C286F"/>
    <w:rsid w:val="005C2896"/>
    <w:rsid w:val="005C2DA5"/>
    <w:rsid w:val="005C2EC3"/>
    <w:rsid w:val="005C2F8D"/>
    <w:rsid w:val="005C32A8"/>
    <w:rsid w:val="005C33DB"/>
    <w:rsid w:val="005C3BA9"/>
    <w:rsid w:val="005C3DCA"/>
    <w:rsid w:val="005C42AC"/>
    <w:rsid w:val="005C4375"/>
    <w:rsid w:val="005C4A7C"/>
    <w:rsid w:val="005C4CB5"/>
    <w:rsid w:val="005C50F6"/>
    <w:rsid w:val="005C5373"/>
    <w:rsid w:val="005C5394"/>
    <w:rsid w:val="005C57D2"/>
    <w:rsid w:val="005C5983"/>
    <w:rsid w:val="005C5997"/>
    <w:rsid w:val="005C5EBF"/>
    <w:rsid w:val="005C63C4"/>
    <w:rsid w:val="005C68F2"/>
    <w:rsid w:val="005C715A"/>
    <w:rsid w:val="005C751F"/>
    <w:rsid w:val="005C7840"/>
    <w:rsid w:val="005C7A48"/>
    <w:rsid w:val="005C7B01"/>
    <w:rsid w:val="005C7D07"/>
    <w:rsid w:val="005C7E47"/>
    <w:rsid w:val="005D0070"/>
    <w:rsid w:val="005D00E3"/>
    <w:rsid w:val="005D01F8"/>
    <w:rsid w:val="005D044E"/>
    <w:rsid w:val="005D058C"/>
    <w:rsid w:val="005D0764"/>
    <w:rsid w:val="005D07A5"/>
    <w:rsid w:val="005D0842"/>
    <w:rsid w:val="005D0990"/>
    <w:rsid w:val="005D0B27"/>
    <w:rsid w:val="005D0EA8"/>
    <w:rsid w:val="005D0F0E"/>
    <w:rsid w:val="005D1148"/>
    <w:rsid w:val="005D1243"/>
    <w:rsid w:val="005D1475"/>
    <w:rsid w:val="005D15F0"/>
    <w:rsid w:val="005D1620"/>
    <w:rsid w:val="005D1AA3"/>
    <w:rsid w:val="005D1DD8"/>
    <w:rsid w:val="005D1F41"/>
    <w:rsid w:val="005D1F5F"/>
    <w:rsid w:val="005D2262"/>
    <w:rsid w:val="005D2458"/>
    <w:rsid w:val="005D270F"/>
    <w:rsid w:val="005D2B18"/>
    <w:rsid w:val="005D302E"/>
    <w:rsid w:val="005D327A"/>
    <w:rsid w:val="005D3460"/>
    <w:rsid w:val="005D3A49"/>
    <w:rsid w:val="005D3C31"/>
    <w:rsid w:val="005D3D7B"/>
    <w:rsid w:val="005D3DC5"/>
    <w:rsid w:val="005D404A"/>
    <w:rsid w:val="005D42C7"/>
    <w:rsid w:val="005D4362"/>
    <w:rsid w:val="005D4558"/>
    <w:rsid w:val="005D477B"/>
    <w:rsid w:val="005D48B7"/>
    <w:rsid w:val="005D493B"/>
    <w:rsid w:val="005D4A88"/>
    <w:rsid w:val="005D4DB6"/>
    <w:rsid w:val="005D522B"/>
    <w:rsid w:val="005D5378"/>
    <w:rsid w:val="005D543A"/>
    <w:rsid w:val="005D5473"/>
    <w:rsid w:val="005D579F"/>
    <w:rsid w:val="005D5967"/>
    <w:rsid w:val="005D5A18"/>
    <w:rsid w:val="005D5B46"/>
    <w:rsid w:val="005D5C46"/>
    <w:rsid w:val="005D5D11"/>
    <w:rsid w:val="005D5D75"/>
    <w:rsid w:val="005D5DA6"/>
    <w:rsid w:val="005D5DB1"/>
    <w:rsid w:val="005D60AF"/>
    <w:rsid w:val="005D6339"/>
    <w:rsid w:val="005D6371"/>
    <w:rsid w:val="005D6400"/>
    <w:rsid w:val="005D6420"/>
    <w:rsid w:val="005D6892"/>
    <w:rsid w:val="005D6A18"/>
    <w:rsid w:val="005D6CC2"/>
    <w:rsid w:val="005D706C"/>
    <w:rsid w:val="005D7653"/>
    <w:rsid w:val="005D77AD"/>
    <w:rsid w:val="005D7AB8"/>
    <w:rsid w:val="005E031C"/>
    <w:rsid w:val="005E03FD"/>
    <w:rsid w:val="005E04C1"/>
    <w:rsid w:val="005E0675"/>
    <w:rsid w:val="005E069B"/>
    <w:rsid w:val="005E083E"/>
    <w:rsid w:val="005E0925"/>
    <w:rsid w:val="005E0A25"/>
    <w:rsid w:val="005E0A8C"/>
    <w:rsid w:val="005E0C02"/>
    <w:rsid w:val="005E0C6B"/>
    <w:rsid w:val="005E0F52"/>
    <w:rsid w:val="005E151F"/>
    <w:rsid w:val="005E158E"/>
    <w:rsid w:val="005E15DF"/>
    <w:rsid w:val="005E15FB"/>
    <w:rsid w:val="005E1646"/>
    <w:rsid w:val="005E1955"/>
    <w:rsid w:val="005E1C6C"/>
    <w:rsid w:val="005E1CEB"/>
    <w:rsid w:val="005E1F28"/>
    <w:rsid w:val="005E1F88"/>
    <w:rsid w:val="005E1FC8"/>
    <w:rsid w:val="005E211C"/>
    <w:rsid w:val="005E22CC"/>
    <w:rsid w:val="005E2310"/>
    <w:rsid w:val="005E2757"/>
    <w:rsid w:val="005E293F"/>
    <w:rsid w:val="005E2975"/>
    <w:rsid w:val="005E29E8"/>
    <w:rsid w:val="005E2C75"/>
    <w:rsid w:val="005E2E9B"/>
    <w:rsid w:val="005E3142"/>
    <w:rsid w:val="005E34DC"/>
    <w:rsid w:val="005E35B4"/>
    <w:rsid w:val="005E3CA5"/>
    <w:rsid w:val="005E3EF3"/>
    <w:rsid w:val="005E4036"/>
    <w:rsid w:val="005E4233"/>
    <w:rsid w:val="005E4257"/>
    <w:rsid w:val="005E4574"/>
    <w:rsid w:val="005E46CB"/>
    <w:rsid w:val="005E49A4"/>
    <w:rsid w:val="005E4B47"/>
    <w:rsid w:val="005E4CB4"/>
    <w:rsid w:val="005E4DF5"/>
    <w:rsid w:val="005E526B"/>
    <w:rsid w:val="005E5CE2"/>
    <w:rsid w:val="005E5EE4"/>
    <w:rsid w:val="005E6039"/>
    <w:rsid w:val="005E67F6"/>
    <w:rsid w:val="005E6A2A"/>
    <w:rsid w:val="005E6AD7"/>
    <w:rsid w:val="005E75EC"/>
    <w:rsid w:val="005E795F"/>
    <w:rsid w:val="005E798E"/>
    <w:rsid w:val="005E7B45"/>
    <w:rsid w:val="005ECDF0"/>
    <w:rsid w:val="005F0155"/>
    <w:rsid w:val="005F05A5"/>
    <w:rsid w:val="005F0B00"/>
    <w:rsid w:val="005F0D31"/>
    <w:rsid w:val="005F0D35"/>
    <w:rsid w:val="005F0D86"/>
    <w:rsid w:val="005F0DB5"/>
    <w:rsid w:val="005F0F21"/>
    <w:rsid w:val="005F11BE"/>
    <w:rsid w:val="005F124A"/>
    <w:rsid w:val="005F13DD"/>
    <w:rsid w:val="005F16FE"/>
    <w:rsid w:val="005F18EA"/>
    <w:rsid w:val="005F1BE0"/>
    <w:rsid w:val="005F2356"/>
    <w:rsid w:val="005F2541"/>
    <w:rsid w:val="005F2898"/>
    <w:rsid w:val="005F2B52"/>
    <w:rsid w:val="005F2BCC"/>
    <w:rsid w:val="005F2C19"/>
    <w:rsid w:val="005F2D37"/>
    <w:rsid w:val="005F2FCA"/>
    <w:rsid w:val="005F3083"/>
    <w:rsid w:val="005F319A"/>
    <w:rsid w:val="005F330C"/>
    <w:rsid w:val="005F3566"/>
    <w:rsid w:val="005F3902"/>
    <w:rsid w:val="005F3C15"/>
    <w:rsid w:val="005F3D0F"/>
    <w:rsid w:val="005F3D10"/>
    <w:rsid w:val="005F3F65"/>
    <w:rsid w:val="005F4007"/>
    <w:rsid w:val="005F492E"/>
    <w:rsid w:val="005F49B6"/>
    <w:rsid w:val="005F501A"/>
    <w:rsid w:val="005F50E0"/>
    <w:rsid w:val="005F565D"/>
    <w:rsid w:val="005F568D"/>
    <w:rsid w:val="005F56C3"/>
    <w:rsid w:val="005F58A7"/>
    <w:rsid w:val="005F5964"/>
    <w:rsid w:val="005F5BB0"/>
    <w:rsid w:val="005F6450"/>
    <w:rsid w:val="005F6480"/>
    <w:rsid w:val="005F6532"/>
    <w:rsid w:val="005F6748"/>
    <w:rsid w:val="005F6858"/>
    <w:rsid w:val="005F6B35"/>
    <w:rsid w:val="005F6D4C"/>
    <w:rsid w:val="005F6F55"/>
    <w:rsid w:val="005F6FB4"/>
    <w:rsid w:val="005F7035"/>
    <w:rsid w:val="005F7381"/>
    <w:rsid w:val="005F77FD"/>
    <w:rsid w:val="005F785D"/>
    <w:rsid w:val="005F78C6"/>
    <w:rsid w:val="005F7D33"/>
    <w:rsid w:val="005F7DC9"/>
    <w:rsid w:val="005F7E9B"/>
    <w:rsid w:val="005F7FF5"/>
    <w:rsid w:val="0060029D"/>
    <w:rsid w:val="006002A3"/>
    <w:rsid w:val="0060045D"/>
    <w:rsid w:val="006006CF"/>
    <w:rsid w:val="00600847"/>
    <w:rsid w:val="00600996"/>
    <w:rsid w:val="00600C9F"/>
    <w:rsid w:val="00600CE6"/>
    <w:rsid w:val="006011D7"/>
    <w:rsid w:val="00601812"/>
    <w:rsid w:val="00601858"/>
    <w:rsid w:val="00601DB8"/>
    <w:rsid w:val="00601F0D"/>
    <w:rsid w:val="0060211D"/>
    <w:rsid w:val="0060260F"/>
    <w:rsid w:val="00602BCC"/>
    <w:rsid w:val="00602C29"/>
    <w:rsid w:val="00602E09"/>
    <w:rsid w:val="00602FF4"/>
    <w:rsid w:val="00603262"/>
    <w:rsid w:val="006036FB"/>
    <w:rsid w:val="0060379F"/>
    <w:rsid w:val="00603BB5"/>
    <w:rsid w:val="00603C3C"/>
    <w:rsid w:val="00604243"/>
    <w:rsid w:val="0060441B"/>
    <w:rsid w:val="0060459D"/>
    <w:rsid w:val="00604BA9"/>
    <w:rsid w:val="00604D87"/>
    <w:rsid w:val="006051DF"/>
    <w:rsid w:val="00605572"/>
    <w:rsid w:val="00605633"/>
    <w:rsid w:val="00605754"/>
    <w:rsid w:val="0060591C"/>
    <w:rsid w:val="00605A84"/>
    <w:rsid w:val="00605D6B"/>
    <w:rsid w:val="00605DBE"/>
    <w:rsid w:val="0060601A"/>
    <w:rsid w:val="00606156"/>
    <w:rsid w:val="006061AF"/>
    <w:rsid w:val="006061D5"/>
    <w:rsid w:val="006063B5"/>
    <w:rsid w:val="006064E0"/>
    <w:rsid w:val="006066D4"/>
    <w:rsid w:val="00606814"/>
    <w:rsid w:val="0060694D"/>
    <w:rsid w:val="00606AC6"/>
    <w:rsid w:val="00606B0C"/>
    <w:rsid w:val="00606BA4"/>
    <w:rsid w:val="00606C59"/>
    <w:rsid w:val="00606C7F"/>
    <w:rsid w:val="00606CC5"/>
    <w:rsid w:val="00606DF9"/>
    <w:rsid w:val="00606FE9"/>
    <w:rsid w:val="0060742A"/>
    <w:rsid w:val="006074B0"/>
    <w:rsid w:val="0060794C"/>
    <w:rsid w:val="00607C7B"/>
    <w:rsid w:val="006102E9"/>
    <w:rsid w:val="00610625"/>
    <w:rsid w:val="006106E1"/>
    <w:rsid w:val="00610B16"/>
    <w:rsid w:val="00610B88"/>
    <w:rsid w:val="00610C75"/>
    <w:rsid w:val="00610E25"/>
    <w:rsid w:val="006110E2"/>
    <w:rsid w:val="006113F7"/>
    <w:rsid w:val="006114CE"/>
    <w:rsid w:val="006116BA"/>
    <w:rsid w:val="006117C9"/>
    <w:rsid w:val="006118FA"/>
    <w:rsid w:val="006119CF"/>
    <w:rsid w:val="00611CD1"/>
    <w:rsid w:val="00611DBC"/>
    <w:rsid w:val="00611F65"/>
    <w:rsid w:val="00612263"/>
    <w:rsid w:val="006122CB"/>
    <w:rsid w:val="006124C5"/>
    <w:rsid w:val="00612CFF"/>
    <w:rsid w:val="00612DE6"/>
    <w:rsid w:val="00613293"/>
    <w:rsid w:val="006135B3"/>
    <w:rsid w:val="006136E3"/>
    <w:rsid w:val="00613879"/>
    <w:rsid w:val="00613B27"/>
    <w:rsid w:val="00613B34"/>
    <w:rsid w:val="00613BAC"/>
    <w:rsid w:val="00613C69"/>
    <w:rsid w:val="00613E89"/>
    <w:rsid w:val="00613F8B"/>
    <w:rsid w:val="00614036"/>
    <w:rsid w:val="00614398"/>
    <w:rsid w:val="0061449C"/>
    <w:rsid w:val="00614527"/>
    <w:rsid w:val="0061452F"/>
    <w:rsid w:val="0061467C"/>
    <w:rsid w:val="006146BA"/>
    <w:rsid w:val="0061474D"/>
    <w:rsid w:val="00614B33"/>
    <w:rsid w:val="00614DA0"/>
    <w:rsid w:val="0061504B"/>
    <w:rsid w:val="006151F6"/>
    <w:rsid w:val="0061576E"/>
    <w:rsid w:val="00615944"/>
    <w:rsid w:val="00615CD3"/>
    <w:rsid w:val="00615D28"/>
    <w:rsid w:val="00615EF0"/>
    <w:rsid w:val="00615FFC"/>
    <w:rsid w:val="00616188"/>
    <w:rsid w:val="006162F8"/>
    <w:rsid w:val="00616797"/>
    <w:rsid w:val="00616A0C"/>
    <w:rsid w:val="00616BB9"/>
    <w:rsid w:val="00617100"/>
    <w:rsid w:val="00617707"/>
    <w:rsid w:val="00617A51"/>
    <w:rsid w:val="00617AAD"/>
    <w:rsid w:val="0062027D"/>
    <w:rsid w:val="00620286"/>
    <w:rsid w:val="00620604"/>
    <w:rsid w:val="00620A8A"/>
    <w:rsid w:val="00620B08"/>
    <w:rsid w:val="00620B36"/>
    <w:rsid w:val="006211DE"/>
    <w:rsid w:val="006211EA"/>
    <w:rsid w:val="006215D4"/>
    <w:rsid w:val="00621AE6"/>
    <w:rsid w:val="00621DED"/>
    <w:rsid w:val="0062201C"/>
    <w:rsid w:val="006225AE"/>
    <w:rsid w:val="006227ED"/>
    <w:rsid w:val="00622C99"/>
    <w:rsid w:val="006230F7"/>
    <w:rsid w:val="00623324"/>
    <w:rsid w:val="0062338C"/>
    <w:rsid w:val="006234C6"/>
    <w:rsid w:val="006235C0"/>
    <w:rsid w:val="006237A3"/>
    <w:rsid w:val="00623940"/>
    <w:rsid w:val="00623A26"/>
    <w:rsid w:val="00623B3B"/>
    <w:rsid w:val="00624043"/>
    <w:rsid w:val="006242E7"/>
    <w:rsid w:val="00624317"/>
    <w:rsid w:val="0062456A"/>
    <w:rsid w:val="00624A39"/>
    <w:rsid w:val="00624AED"/>
    <w:rsid w:val="00624BE4"/>
    <w:rsid w:val="00624CAC"/>
    <w:rsid w:val="00625077"/>
    <w:rsid w:val="00625099"/>
    <w:rsid w:val="00625146"/>
    <w:rsid w:val="0062516B"/>
    <w:rsid w:val="006252AB"/>
    <w:rsid w:val="006252C7"/>
    <w:rsid w:val="006253C7"/>
    <w:rsid w:val="00625654"/>
    <w:rsid w:val="006257E3"/>
    <w:rsid w:val="00625A8F"/>
    <w:rsid w:val="00625B05"/>
    <w:rsid w:val="00625C46"/>
    <w:rsid w:val="00625C60"/>
    <w:rsid w:val="00625DCE"/>
    <w:rsid w:val="00625FD8"/>
    <w:rsid w:val="00626314"/>
    <w:rsid w:val="00626469"/>
    <w:rsid w:val="006264D0"/>
    <w:rsid w:val="0062656C"/>
    <w:rsid w:val="00626692"/>
    <w:rsid w:val="0062676B"/>
    <w:rsid w:val="00626BBD"/>
    <w:rsid w:val="00626F59"/>
    <w:rsid w:val="0062717F"/>
    <w:rsid w:val="0062721A"/>
    <w:rsid w:val="00627324"/>
    <w:rsid w:val="0062760E"/>
    <w:rsid w:val="00627765"/>
    <w:rsid w:val="00627864"/>
    <w:rsid w:val="00627ACE"/>
    <w:rsid w:val="00627E84"/>
    <w:rsid w:val="00627EE0"/>
    <w:rsid w:val="00627F92"/>
    <w:rsid w:val="00630013"/>
    <w:rsid w:val="006300D4"/>
    <w:rsid w:val="0063027F"/>
    <w:rsid w:val="00630426"/>
    <w:rsid w:val="0063044F"/>
    <w:rsid w:val="0063073E"/>
    <w:rsid w:val="00630A68"/>
    <w:rsid w:val="00630A90"/>
    <w:rsid w:val="00630F45"/>
    <w:rsid w:val="006310F0"/>
    <w:rsid w:val="006310FF"/>
    <w:rsid w:val="00631166"/>
    <w:rsid w:val="00631219"/>
    <w:rsid w:val="0063129A"/>
    <w:rsid w:val="00631837"/>
    <w:rsid w:val="00631965"/>
    <w:rsid w:val="0063198C"/>
    <w:rsid w:val="00631A6F"/>
    <w:rsid w:val="00631A95"/>
    <w:rsid w:val="00631E4E"/>
    <w:rsid w:val="00631E8A"/>
    <w:rsid w:val="00631FF7"/>
    <w:rsid w:val="0063233C"/>
    <w:rsid w:val="006324C5"/>
    <w:rsid w:val="00632683"/>
    <w:rsid w:val="00632832"/>
    <w:rsid w:val="00632E9E"/>
    <w:rsid w:val="00632F35"/>
    <w:rsid w:val="00633028"/>
    <w:rsid w:val="00633094"/>
    <w:rsid w:val="00633465"/>
    <w:rsid w:val="0063355B"/>
    <w:rsid w:val="006336B2"/>
    <w:rsid w:val="00633787"/>
    <w:rsid w:val="00633994"/>
    <w:rsid w:val="006339BE"/>
    <w:rsid w:val="00633A5C"/>
    <w:rsid w:val="00634094"/>
    <w:rsid w:val="00634220"/>
    <w:rsid w:val="0063422D"/>
    <w:rsid w:val="006342F8"/>
    <w:rsid w:val="006343B4"/>
    <w:rsid w:val="0063465A"/>
    <w:rsid w:val="00634706"/>
    <w:rsid w:val="00634F1B"/>
    <w:rsid w:val="0063501B"/>
    <w:rsid w:val="0063509C"/>
    <w:rsid w:val="0063519E"/>
    <w:rsid w:val="006353C4"/>
    <w:rsid w:val="006353DD"/>
    <w:rsid w:val="00635408"/>
    <w:rsid w:val="0063551D"/>
    <w:rsid w:val="00635662"/>
    <w:rsid w:val="006356FA"/>
    <w:rsid w:val="0063574D"/>
    <w:rsid w:val="00635818"/>
    <w:rsid w:val="0063581A"/>
    <w:rsid w:val="00635837"/>
    <w:rsid w:val="00635A5E"/>
    <w:rsid w:val="00635D8D"/>
    <w:rsid w:val="00636056"/>
    <w:rsid w:val="00636111"/>
    <w:rsid w:val="0063628D"/>
    <w:rsid w:val="00636656"/>
    <w:rsid w:val="00636991"/>
    <w:rsid w:val="00636B35"/>
    <w:rsid w:val="00636B3E"/>
    <w:rsid w:val="00636CB0"/>
    <w:rsid w:val="00636E3B"/>
    <w:rsid w:val="006370CD"/>
    <w:rsid w:val="006370FA"/>
    <w:rsid w:val="006373F7"/>
    <w:rsid w:val="0063742B"/>
    <w:rsid w:val="006376EF"/>
    <w:rsid w:val="0063773E"/>
    <w:rsid w:val="00637981"/>
    <w:rsid w:val="006379FF"/>
    <w:rsid w:val="00637E03"/>
    <w:rsid w:val="00637ED0"/>
    <w:rsid w:val="00637F34"/>
    <w:rsid w:val="00637FF2"/>
    <w:rsid w:val="00639E58"/>
    <w:rsid w:val="00640867"/>
    <w:rsid w:val="00640BE1"/>
    <w:rsid w:val="00640E09"/>
    <w:rsid w:val="00640F55"/>
    <w:rsid w:val="00641038"/>
    <w:rsid w:val="00641153"/>
    <w:rsid w:val="006412FC"/>
    <w:rsid w:val="00641412"/>
    <w:rsid w:val="006415D5"/>
    <w:rsid w:val="00641750"/>
    <w:rsid w:val="006417F0"/>
    <w:rsid w:val="006417FD"/>
    <w:rsid w:val="00641EAE"/>
    <w:rsid w:val="006420BC"/>
    <w:rsid w:val="006420FE"/>
    <w:rsid w:val="006421D3"/>
    <w:rsid w:val="006422D6"/>
    <w:rsid w:val="00642426"/>
    <w:rsid w:val="00642593"/>
    <w:rsid w:val="00642749"/>
    <w:rsid w:val="00642844"/>
    <w:rsid w:val="006429B7"/>
    <w:rsid w:val="00642FA1"/>
    <w:rsid w:val="00643042"/>
    <w:rsid w:val="00643105"/>
    <w:rsid w:val="0064324A"/>
    <w:rsid w:val="006434AD"/>
    <w:rsid w:val="00643549"/>
    <w:rsid w:val="006437E9"/>
    <w:rsid w:val="00643F07"/>
    <w:rsid w:val="00643F31"/>
    <w:rsid w:val="00644484"/>
    <w:rsid w:val="006447A3"/>
    <w:rsid w:val="006448BB"/>
    <w:rsid w:val="00644BC5"/>
    <w:rsid w:val="00644E52"/>
    <w:rsid w:val="00645230"/>
    <w:rsid w:val="0064533A"/>
    <w:rsid w:val="00645391"/>
    <w:rsid w:val="006454C0"/>
    <w:rsid w:val="00645839"/>
    <w:rsid w:val="00645864"/>
    <w:rsid w:val="00645A27"/>
    <w:rsid w:val="00645B44"/>
    <w:rsid w:val="00645CB6"/>
    <w:rsid w:val="00645E02"/>
    <w:rsid w:val="00645E57"/>
    <w:rsid w:val="00645F56"/>
    <w:rsid w:val="006461D3"/>
    <w:rsid w:val="006463C2"/>
    <w:rsid w:val="006463FD"/>
    <w:rsid w:val="006464D5"/>
    <w:rsid w:val="006466D1"/>
    <w:rsid w:val="00646738"/>
    <w:rsid w:val="00646828"/>
    <w:rsid w:val="00646878"/>
    <w:rsid w:val="00646A41"/>
    <w:rsid w:val="00646AA5"/>
    <w:rsid w:val="00646B70"/>
    <w:rsid w:val="00646D0F"/>
    <w:rsid w:val="00646D8F"/>
    <w:rsid w:val="00646FD1"/>
    <w:rsid w:val="00647236"/>
    <w:rsid w:val="0064739E"/>
    <w:rsid w:val="00647406"/>
    <w:rsid w:val="006475CB"/>
    <w:rsid w:val="006475ED"/>
    <w:rsid w:val="00647655"/>
    <w:rsid w:val="006478E6"/>
    <w:rsid w:val="00647C2F"/>
    <w:rsid w:val="0065014C"/>
    <w:rsid w:val="00650257"/>
    <w:rsid w:val="006505F2"/>
    <w:rsid w:val="006506FB"/>
    <w:rsid w:val="00650719"/>
    <w:rsid w:val="0065093F"/>
    <w:rsid w:val="00650BE5"/>
    <w:rsid w:val="00650D7D"/>
    <w:rsid w:val="00650E04"/>
    <w:rsid w:val="00651450"/>
    <w:rsid w:val="006516EE"/>
    <w:rsid w:val="00651819"/>
    <w:rsid w:val="00651A6D"/>
    <w:rsid w:val="00651EE9"/>
    <w:rsid w:val="0065222E"/>
    <w:rsid w:val="006522BA"/>
    <w:rsid w:val="006523C5"/>
    <w:rsid w:val="0065299B"/>
    <w:rsid w:val="00652BCC"/>
    <w:rsid w:val="00653283"/>
    <w:rsid w:val="00653427"/>
    <w:rsid w:val="00653AB1"/>
    <w:rsid w:val="00653B56"/>
    <w:rsid w:val="00653F5A"/>
    <w:rsid w:val="00654161"/>
    <w:rsid w:val="006545BB"/>
    <w:rsid w:val="00654B2C"/>
    <w:rsid w:val="00654C6C"/>
    <w:rsid w:val="00654DBD"/>
    <w:rsid w:val="006556AE"/>
    <w:rsid w:val="00655AAA"/>
    <w:rsid w:val="00655BFA"/>
    <w:rsid w:val="00655CCA"/>
    <w:rsid w:val="00655F9A"/>
    <w:rsid w:val="006560D9"/>
    <w:rsid w:val="006562B1"/>
    <w:rsid w:val="0065635E"/>
    <w:rsid w:val="0065638B"/>
    <w:rsid w:val="006563A4"/>
    <w:rsid w:val="0065670E"/>
    <w:rsid w:val="00656921"/>
    <w:rsid w:val="00656BB3"/>
    <w:rsid w:val="0065706A"/>
    <w:rsid w:val="006574E8"/>
    <w:rsid w:val="00657640"/>
    <w:rsid w:val="006579E2"/>
    <w:rsid w:val="00657A85"/>
    <w:rsid w:val="00657F50"/>
    <w:rsid w:val="00657FEC"/>
    <w:rsid w:val="0066028B"/>
    <w:rsid w:val="00660564"/>
    <w:rsid w:val="006605DF"/>
    <w:rsid w:val="00660682"/>
    <w:rsid w:val="006609E7"/>
    <w:rsid w:val="00660A90"/>
    <w:rsid w:val="00660EB5"/>
    <w:rsid w:val="00660EFA"/>
    <w:rsid w:val="0066119F"/>
    <w:rsid w:val="00661462"/>
    <w:rsid w:val="00661973"/>
    <w:rsid w:val="00661BCE"/>
    <w:rsid w:val="00661BDF"/>
    <w:rsid w:val="00661DA6"/>
    <w:rsid w:val="0066214C"/>
    <w:rsid w:val="00662297"/>
    <w:rsid w:val="006623D7"/>
    <w:rsid w:val="0066246D"/>
    <w:rsid w:val="00662C4B"/>
    <w:rsid w:val="00662C72"/>
    <w:rsid w:val="00662F33"/>
    <w:rsid w:val="006630DE"/>
    <w:rsid w:val="006634AE"/>
    <w:rsid w:val="00663921"/>
    <w:rsid w:val="00663BCC"/>
    <w:rsid w:val="00663BF2"/>
    <w:rsid w:val="00663E2E"/>
    <w:rsid w:val="00663F9F"/>
    <w:rsid w:val="006645A3"/>
    <w:rsid w:val="0066496E"/>
    <w:rsid w:val="00664B51"/>
    <w:rsid w:val="00664D91"/>
    <w:rsid w:val="006654A4"/>
    <w:rsid w:val="006654AF"/>
    <w:rsid w:val="006654F7"/>
    <w:rsid w:val="0066555D"/>
    <w:rsid w:val="00665604"/>
    <w:rsid w:val="00665B44"/>
    <w:rsid w:val="00665BDA"/>
    <w:rsid w:val="00665FBD"/>
    <w:rsid w:val="00666143"/>
    <w:rsid w:val="006661BA"/>
    <w:rsid w:val="006663DB"/>
    <w:rsid w:val="0066660F"/>
    <w:rsid w:val="00666831"/>
    <w:rsid w:val="00666A92"/>
    <w:rsid w:val="00666F87"/>
    <w:rsid w:val="00667218"/>
    <w:rsid w:val="0066746E"/>
    <w:rsid w:val="00667586"/>
    <w:rsid w:val="0066772E"/>
    <w:rsid w:val="00667C81"/>
    <w:rsid w:val="00667E32"/>
    <w:rsid w:val="00667EB3"/>
    <w:rsid w:val="00670097"/>
    <w:rsid w:val="006703F4"/>
    <w:rsid w:val="006707FB"/>
    <w:rsid w:val="006709DE"/>
    <w:rsid w:val="00670BF7"/>
    <w:rsid w:val="00670CF5"/>
    <w:rsid w:val="00670DBE"/>
    <w:rsid w:val="00670DEF"/>
    <w:rsid w:val="00670FAD"/>
    <w:rsid w:val="0067122B"/>
    <w:rsid w:val="00671566"/>
    <w:rsid w:val="0067166D"/>
    <w:rsid w:val="006716F9"/>
    <w:rsid w:val="00671AE2"/>
    <w:rsid w:val="00671DED"/>
    <w:rsid w:val="00671ED4"/>
    <w:rsid w:val="00672010"/>
    <w:rsid w:val="0067206B"/>
    <w:rsid w:val="00672645"/>
    <w:rsid w:val="00672828"/>
    <w:rsid w:val="0067289E"/>
    <w:rsid w:val="00672968"/>
    <w:rsid w:val="00672A53"/>
    <w:rsid w:val="00672C71"/>
    <w:rsid w:val="00672D43"/>
    <w:rsid w:val="00673058"/>
    <w:rsid w:val="00673078"/>
    <w:rsid w:val="006732E4"/>
    <w:rsid w:val="00673E9B"/>
    <w:rsid w:val="006744C4"/>
    <w:rsid w:val="0067451F"/>
    <w:rsid w:val="006746F9"/>
    <w:rsid w:val="00674769"/>
    <w:rsid w:val="00674824"/>
    <w:rsid w:val="00674B27"/>
    <w:rsid w:val="00674B2B"/>
    <w:rsid w:val="00674C04"/>
    <w:rsid w:val="00674C68"/>
    <w:rsid w:val="00674CEF"/>
    <w:rsid w:val="00675451"/>
    <w:rsid w:val="0067558C"/>
    <w:rsid w:val="0067588B"/>
    <w:rsid w:val="0067598D"/>
    <w:rsid w:val="00675A11"/>
    <w:rsid w:val="00675A52"/>
    <w:rsid w:val="00675C01"/>
    <w:rsid w:val="00675EC1"/>
    <w:rsid w:val="00675EF6"/>
    <w:rsid w:val="00676004"/>
    <w:rsid w:val="0067690F"/>
    <w:rsid w:val="006769D7"/>
    <w:rsid w:val="00676AA3"/>
    <w:rsid w:val="00676ACC"/>
    <w:rsid w:val="00676BEB"/>
    <w:rsid w:val="00676EC3"/>
    <w:rsid w:val="00677029"/>
    <w:rsid w:val="00677490"/>
    <w:rsid w:val="006775BC"/>
    <w:rsid w:val="00677604"/>
    <w:rsid w:val="0067763E"/>
    <w:rsid w:val="00677674"/>
    <w:rsid w:val="006776BE"/>
    <w:rsid w:val="006777C6"/>
    <w:rsid w:val="00677963"/>
    <w:rsid w:val="0067796C"/>
    <w:rsid w:val="00677D19"/>
    <w:rsid w:val="00677E9A"/>
    <w:rsid w:val="00677F9A"/>
    <w:rsid w:val="0067F08D"/>
    <w:rsid w:val="00680768"/>
    <w:rsid w:val="00680937"/>
    <w:rsid w:val="00680B77"/>
    <w:rsid w:val="00681046"/>
    <w:rsid w:val="00681376"/>
    <w:rsid w:val="006813B2"/>
    <w:rsid w:val="006816C8"/>
    <w:rsid w:val="00681868"/>
    <w:rsid w:val="0068193C"/>
    <w:rsid w:val="0068197C"/>
    <w:rsid w:val="00681AF2"/>
    <w:rsid w:val="00681BEC"/>
    <w:rsid w:val="00681F19"/>
    <w:rsid w:val="00681F2A"/>
    <w:rsid w:val="006820DE"/>
    <w:rsid w:val="006822CE"/>
    <w:rsid w:val="0068238E"/>
    <w:rsid w:val="00682716"/>
    <w:rsid w:val="00682833"/>
    <w:rsid w:val="006828BB"/>
    <w:rsid w:val="0068297A"/>
    <w:rsid w:val="0068308F"/>
    <w:rsid w:val="00683129"/>
    <w:rsid w:val="006832A0"/>
    <w:rsid w:val="0068350C"/>
    <w:rsid w:val="006838EC"/>
    <w:rsid w:val="00683991"/>
    <w:rsid w:val="00683AEB"/>
    <w:rsid w:val="00683B44"/>
    <w:rsid w:val="00683E4F"/>
    <w:rsid w:val="006844D9"/>
    <w:rsid w:val="00684F2D"/>
    <w:rsid w:val="00684F60"/>
    <w:rsid w:val="006853AB"/>
    <w:rsid w:val="00685418"/>
    <w:rsid w:val="0068566D"/>
    <w:rsid w:val="00685673"/>
    <w:rsid w:val="00685F37"/>
    <w:rsid w:val="006867BB"/>
    <w:rsid w:val="006869C6"/>
    <w:rsid w:val="00686D11"/>
    <w:rsid w:val="00686FE5"/>
    <w:rsid w:val="006870C5"/>
    <w:rsid w:val="00687444"/>
    <w:rsid w:val="006875E1"/>
    <w:rsid w:val="0068787B"/>
    <w:rsid w:val="00687C47"/>
    <w:rsid w:val="00687DEF"/>
    <w:rsid w:val="0068B953"/>
    <w:rsid w:val="00690837"/>
    <w:rsid w:val="00690AC8"/>
    <w:rsid w:val="00690B72"/>
    <w:rsid w:val="00690B77"/>
    <w:rsid w:val="00690C8B"/>
    <w:rsid w:val="00690DB1"/>
    <w:rsid w:val="00690DDD"/>
    <w:rsid w:val="00690E15"/>
    <w:rsid w:val="00691145"/>
    <w:rsid w:val="0069117B"/>
    <w:rsid w:val="006911F3"/>
    <w:rsid w:val="00691211"/>
    <w:rsid w:val="006912B9"/>
    <w:rsid w:val="00691476"/>
    <w:rsid w:val="00691894"/>
    <w:rsid w:val="00691C8B"/>
    <w:rsid w:val="00691FEB"/>
    <w:rsid w:val="006922D1"/>
    <w:rsid w:val="0069236E"/>
    <w:rsid w:val="006923AA"/>
    <w:rsid w:val="00692478"/>
    <w:rsid w:val="00692792"/>
    <w:rsid w:val="006928C7"/>
    <w:rsid w:val="006928FE"/>
    <w:rsid w:val="00692E56"/>
    <w:rsid w:val="00692E85"/>
    <w:rsid w:val="00693223"/>
    <w:rsid w:val="00693539"/>
    <w:rsid w:val="006935F0"/>
    <w:rsid w:val="00693CFF"/>
    <w:rsid w:val="006941B8"/>
    <w:rsid w:val="0069450C"/>
    <w:rsid w:val="006947B7"/>
    <w:rsid w:val="006949D0"/>
    <w:rsid w:val="00694A27"/>
    <w:rsid w:val="00694B90"/>
    <w:rsid w:val="00694D12"/>
    <w:rsid w:val="00694EA2"/>
    <w:rsid w:val="006950DF"/>
    <w:rsid w:val="006951B5"/>
    <w:rsid w:val="006958D1"/>
    <w:rsid w:val="00695A98"/>
    <w:rsid w:val="00695F35"/>
    <w:rsid w:val="00695F57"/>
    <w:rsid w:val="0069612B"/>
    <w:rsid w:val="0069675E"/>
    <w:rsid w:val="00696928"/>
    <w:rsid w:val="006969A7"/>
    <w:rsid w:val="00696ED5"/>
    <w:rsid w:val="00696FCC"/>
    <w:rsid w:val="006970DB"/>
    <w:rsid w:val="0069714E"/>
    <w:rsid w:val="00697268"/>
    <w:rsid w:val="00697439"/>
    <w:rsid w:val="0069756E"/>
    <w:rsid w:val="00697858"/>
    <w:rsid w:val="006979D2"/>
    <w:rsid w:val="00697AE1"/>
    <w:rsid w:val="006A0081"/>
    <w:rsid w:val="006A03F3"/>
    <w:rsid w:val="006A043E"/>
    <w:rsid w:val="006A0665"/>
    <w:rsid w:val="006A076F"/>
    <w:rsid w:val="006A0AAA"/>
    <w:rsid w:val="006A0E56"/>
    <w:rsid w:val="006A0E9D"/>
    <w:rsid w:val="006A1513"/>
    <w:rsid w:val="006A1595"/>
    <w:rsid w:val="006A1711"/>
    <w:rsid w:val="006A1735"/>
    <w:rsid w:val="006A1855"/>
    <w:rsid w:val="006A1A6A"/>
    <w:rsid w:val="006A1DC3"/>
    <w:rsid w:val="006A210B"/>
    <w:rsid w:val="006A2346"/>
    <w:rsid w:val="006A2884"/>
    <w:rsid w:val="006A2989"/>
    <w:rsid w:val="006A2B55"/>
    <w:rsid w:val="006A2CC9"/>
    <w:rsid w:val="006A2D93"/>
    <w:rsid w:val="006A30A9"/>
    <w:rsid w:val="006A31D1"/>
    <w:rsid w:val="006A350A"/>
    <w:rsid w:val="006A37D0"/>
    <w:rsid w:val="006A3827"/>
    <w:rsid w:val="006A3975"/>
    <w:rsid w:val="006A3C6D"/>
    <w:rsid w:val="006A3D29"/>
    <w:rsid w:val="006A3D31"/>
    <w:rsid w:val="006A3E24"/>
    <w:rsid w:val="006A4112"/>
    <w:rsid w:val="006A4128"/>
    <w:rsid w:val="006A4415"/>
    <w:rsid w:val="006A48E1"/>
    <w:rsid w:val="006A4C52"/>
    <w:rsid w:val="006A4D5C"/>
    <w:rsid w:val="006A4D73"/>
    <w:rsid w:val="006A4DB6"/>
    <w:rsid w:val="006A4E69"/>
    <w:rsid w:val="006A4F12"/>
    <w:rsid w:val="006A5129"/>
    <w:rsid w:val="006A51BA"/>
    <w:rsid w:val="006A524E"/>
    <w:rsid w:val="006A5557"/>
    <w:rsid w:val="006A55DE"/>
    <w:rsid w:val="006A55EC"/>
    <w:rsid w:val="006A5765"/>
    <w:rsid w:val="006A5799"/>
    <w:rsid w:val="006A57D6"/>
    <w:rsid w:val="006A589E"/>
    <w:rsid w:val="006A5F5A"/>
    <w:rsid w:val="006A606B"/>
    <w:rsid w:val="006A6350"/>
    <w:rsid w:val="006A6411"/>
    <w:rsid w:val="006A6458"/>
    <w:rsid w:val="006A6885"/>
    <w:rsid w:val="006A6BE9"/>
    <w:rsid w:val="006A6C7B"/>
    <w:rsid w:val="006A6C88"/>
    <w:rsid w:val="006A6E6D"/>
    <w:rsid w:val="006A6F3E"/>
    <w:rsid w:val="006A6F5B"/>
    <w:rsid w:val="006A7731"/>
    <w:rsid w:val="006A77AD"/>
    <w:rsid w:val="006A794A"/>
    <w:rsid w:val="006A7AA2"/>
    <w:rsid w:val="006A7B57"/>
    <w:rsid w:val="006A7D27"/>
    <w:rsid w:val="006A7E1D"/>
    <w:rsid w:val="006B001F"/>
    <w:rsid w:val="006B002D"/>
    <w:rsid w:val="006B0045"/>
    <w:rsid w:val="006B0168"/>
    <w:rsid w:val="006B06E3"/>
    <w:rsid w:val="006B0706"/>
    <w:rsid w:val="006B0864"/>
    <w:rsid w:val="006B09AC"/>
    <w:rsid w:val="006B09E6"/>
    <w:rsid w:val="006B10B4"/>
    <w:rsid w:val="006B1979"/>
    <w:rsid w:val="006B1AC9"/>
    <w:rsid w:val="006B1AF0"/>
    <w:rsid w:val="006B1AFD"/>
    <w:rsid w:val="006B1C1A"/>
    <w:rsid w:val="006B1FAF"/>
    <w:rsid w:val="006B2086"/>
    <w:rsid w:val="006B2175"/>
    <w:rsid w:val="006B22BE"/>
    <w:rsid w:val="006B238E"/>
    <w:rsid w:val="006B23B7"/>
    <w:rsid w:val="006B2411"/>
    <w:rsid w:val="006B2602"/>
    <w:rsid w:val="006B271F"/>
    <w:rsid w:val="006B298C"/>
    <w:rsid w:val="006B2BAC"/>
    <w:rsid w:val="006B3192"/>
    <w:rsid w:val="006B33DD"/>
    <w:rsid w:val="006B35DD"/>
    <w:rsid w:val="006B3981"/>
    <w:rsid w:val="006B39B2"/>
    <w:rsid w:val="006B3C74"/>
    <w:rsid w:val="006B3E0A"/>
    <w:rsid w:val="006B3E5F"/>
    <w:rsid w:val="006B4080"/>
    <w:rsid w:val="006B40BA"/>
    <w:rsid w:val="006B420E"/>
    <w:rsid w:val="006B4217"/>
    <w:rsid w:val="006B4336"/>
    <w:rsid w:val="006B4378"/>
    <w:rsid w:val="006B4389"/>
    <w:rsid w:val="006B4596"/>
    <w:rsid w:val="006B46F1"/>
    <w:rsid w:val="006B471F"/>
    <w:rsid w:val="006B47D3"/>
    <w:rsid w:val="006B49B2"/>
    <w:rsid w:val="006B4B2D"/>
    <w:rsid w:val="006B4B65"/>
    <w:rsid w:val="006B4DFA"/>
    <w:rsid w:val="006B5132"/>
    <w:rsid w:val="006B51A7"/>
    <w:rsid w:val="006B5249"/>
    <w:rsid w:val="006B526D"/>
    <w:rsid w:val="006B55D9"/>
    <w:rsid w:val="006B573F"/>
    <w:rsid w:val="006B585A"/>
    <w:rsid w:val="006B5AD1"/>
    <w:rsid w:val="006B5B4C"/>
    <w:rsid w:val="006B62ED"/>
    <w:rsid w:val="006B6598"/>
    <w:rsid w:val="006B6670"/>
    <w:rsid w:val="006B695C"/>
    <w:rsid w:val="006B6A9C"/>
    <w:rsid w:val="006B6BB6"/>
    <w:rsid w:val="006B6F37"/>
    <w:rsid w:val="006B7054"/>
    <w:rsid w:val="006B7070"/>
    <w:rsid w:val="006B7095"/>
    <w:rsid w:val="006B73D3"/>
    <w:rsid w:val="006B7407"/>
    <w:rsid w:val="006B74B8"/>
    <w:rsid w:val="006B7513"/>
    <w:rsid w:val="006B7578"/>
    <w:rsid w:val="006B76A9"/>
    <w:rsid w:val="006B77C3"/>
    <w:rsid w:val="006B78EA"/>
    <w:rsid w:val="006B7E38"/>
    <w:rsid w:val="006C0102"/>
    <w:rsid w:val="006C011E"/>
    <w:rsid w:val="006C026C"/>
    <w:rsid w:val="006C0281"/>
    <w:rsid w:val="006C086E"/>
    <w:rsid w:val="006C0A18"/>
    <w:rsid w:val="006C0BCA"/>
    <w:rsid w:val="006C10A3"/>
    <w:rsid w:val="006C10F3"/>
    <w:rsid w:val="006C1281"/>
    <w:rsid w:val="006C1294"/>
    <w:rsid w:val="006C129C"/>
    <w:rsid w:val="006C14C4"/>
    <w:rsid w:val="006C19B9"/>
    <w:rsid w:val="006C19C7"/>
    <w:rsid w:val="006C1DF7"/>
    <w:rsid w:val="006C1E3E"/>
    <w:rsid w:val="006C1E4A"/>
    <w:rsid w:val="006C2219"/>
    <w:rsid w:val="006C27E0"/>
    <w:rsid w:val="006C2C08"/>
    <w:rsid w:val="006C2C9A"/>
    <w:rsid w:val="006C2E20"/>
    <w:rsid w:val="006C2EC9"/>
    <w:rsid w:val="006C2F6B"/>
    <w:rsid w:val="006C3053"/>
    <w:rsid w:val="006C3174"/>
    <w:rsid w:val="006C324D"/>
    <w:rsid w:val="006C33D3"/>
    <w:rsid w:val="006C3549"/>
    <w:rsid w:val="006C396F"/>
    <w:rsid w:val="006C3D8C"/>
    <w:rsid w:val="006C3E1B"/>
    <w:rsid w:val="006C3F6E"/>
    <w:rsid w:val="006C439F"/>
    <w:rsid w:val="006C4485"/>
    <w:rsid w:val="006C4564"/>
    <w:rsid w:val="006C48CA"/>
    <w:rsid w:val="006C4908"/>
    <w:rsid w:val="006C4929"/>
    <w:rsid w:val="006C4952"/>
    <w:rsid w:val="006C4AFC"/>
    <w:rsid w:val="006C4CCA"/>
    <w:rsid w:val="006C4DA2"/>
    <w:rsid w:val="006C5000"/>
    <w:rsid w:val="006C510B"/>
    <w:rsid w:val="006C515D"/>
    <w:rsid w:val="006C546B"/>
    <w:rsid w:val="006C55D0"/>
    <w:rsid w:val="006C56D4"/>
    <w:rsid w:val="006C581B"/>
    <w:rsid w:val="006C5823"/>
    <w:rsid w:val="006C5FF3"/>
    <w:rsid w:val="006C60BF"/>
    <w:rsid w:val="006C623B"/>
    <w:rsid w:val="006C63D7"/>
    <w:rsid w:val="006C6455"/>
    <w:rsid w:val="006C6528"/>
    <w:rsid w:val="006C654B"/>
    <w:rsid w:val="006C6E6B"/>
    <w:rsid w:val="006C6EA6"/>
    <w:rsid w:val="006C7018"/>
    <w:rsid w:val="006C7138"/>
    <w:rsid w:val="006C724F"/>
    <w:rsid w:val="006C7265"/>
    <w:rsid w:val="006C7596"/>
    <w:rsid w:val="006C7634"/>
    <w:rsid w:val="006C76E1"/>
    <w:rsid w:val="006C7829"/>
    <w:rsid w:val="006C78D3"/>
    <w:rsid w:val="006C7A38"/>
    <w:rsid w:val="006C7FF0"/>
    <w:rsid w:val="006D016F"/>
    <w:rsid w:val="006D06D5"/>
    <w:rsid w:val="006D08EC"/>
    <w:rsid w:val="006D0B77"/>
    <w:rsid w:val="006D102A"/>
    <w:rsid w:val="006D1250"/>
    <w:rsid w:val="006D126C"/>
    <w:rsid w:val="006D15F1"/>
    <w:rsid w:val="006D183A"/>
    <w:rsid w:val="006D1B02"/>
    <w:rsid w:val="006D1BA9"/>
    <w:rsid w:val="006D1DBD"/>
    <w:rsid w:val="006D1DE2"/>
    <w:rsid w:val="006D2070"/>
    <w:rsid w:val="006D2214"/>
    <w:rsid w:val="006D2391"/>
    <w:rsid w:val="006D27DD"/>
    <w:rsid w:val="006D27F7"/>
    <w:rsid w:val="006D29C4"/>
    <w:rsid w:val="006D2A3C"/>
    <w:rsid w:val="006D2C11"/>
    <w:rsid w:val="006D2F11"/>
    <w:rsid w:val="006D30D3"/>
    <w:rsid w:val="006D30ED"/>
    <w:rsid w:val="006D335F"/>
    <w:rsid w:val="006D34A9"/>
    <w:rsid w:val="006D36EC"/>
    <w:rsid w:val="006D378F"/>
    <w:rsid w:val="006D3B41"/>
    <w:rsid w:val="006D4119"/>
    <w:rsid w:val="006D44CA"/>
    <w:rsid w:val="006D497C"/>
    <w:rsid w:val="006D4A89"/>
    <w:rsid w:val="006D4AE4"/>
    <w:rsid w:val="006D4BFD"/>
    <w:rsid w:val="006D4C0D"/>
    <w:rsid w:val="006D4D7E"/>
    <w:rsid w:val="006D4DB3"/>
    <w:rsid w:val="006D5170"/>
    <w:rsid w:val="006D57C1"/>
    <w:rsid w:val="006D5869"/>
    <w:rsid w:val="006D5A04"/>
    <w:rsid w:val="006D5C3B"/>
    <w:rsid w:val="006D5C79"/>
    <w:rsid w:val="006D5DC9"/>
    <w:rsid w:val="006D5DD0"/>
    <w:rsid w:val="006D602B"/>
    <w:rsid w:val="006D608B"/>
    <w:rsid w:val="006D6120"/>
    <w:rsid w:val="006D668D"/>
    <w:rsid w:val="006D66BA"/>
    <w:rsid w:val="006D6BAD"/>
    <w:rsid w:val="006D6BDC"/>
    <w:rsid w:val="006D6D57"/>
    <w:rsid w:val="006D6EA1"/>
    <w:rsid w:val="006D6FDC"/>
    <w:rsid w:val="006D7198"/>
    <w:rsid w:val="006D76B5"/>
    <w:rsid w:val="006D7982"/>
    <w:rsid w:val="006D7B10"/>
    <w:rsid w:val="006D7B81"/>
    <w:rsid w:val="006D7DFB"/>
    <w:rsid w:val="006D7EC4"/>
    <w:rsid w:val="006E005F"/>
    <w:rsid w:val="006E00D3"/>
    <w:rsid w:val="006E0629"/>
    <w:rsid w:val="006E06F8"/>
    <w:rsid w:val="006E0835"/>
    <w:rsid w:val="006E0B5B"/>
    <w:rsid w:val="006E0C2A"/>
    <w:rsid w:val="006E0F8A"/>
    <w:rsid w:val="006E15AA"/>
    <w:rsid w:val="006E189D"/>
    <w:rsid w:val="006E196C"/>
    <w:rsid w:val="006E1A15"/>
    <w:rsid w:val="006E1A4F"/>
    <w:rsid w:val="006E1D48"/>
    <w:rsid w:val="006E1E87"/>
    <w:rsid w:val="006E1EA3"/>
    <w:rsid w:val="006E1EF6"/>
    <w:rsid w:val="006E21D5"/>
    <w:rsid w:val="006E21FA"/>
    <w:rsid w:val="006E233E"/>
    <w:rsid w:val="006E2427"/>
    <w:rsid w:val="006E2F43"/>
    <w:rsid w:val="006E2FE5"/>
    <w:rsid w:val="006E3226"/>
    <w:rsid w:val="006E3290"/>
    <w:rsid w:val="006E36D8"/>
    <w:rsid w:val="006E36EE"/>
    <w:rsid w:val="006E3A52"/>
    <w:rsid w:val="006E40B4"/>
    <w:rsid w:val="006E43F5"/>
    <w:rsid w:val="006E4823"/>
    <w:rsid w:val="006E496E"/>
    <w:rsid w:val="006E4995"/>
    <w:rsid w:val="006E4B65"/>
    <w:rsid w:val="006E4CA6"/>
    <w:rsid w:val="006E4EA1"/>
    <w:rsid w:val="006E5098"/>
    <w:rsid w:val="006E522D"/>
    <w:rsid w:val="006E55D0"/>
    <w:rsid w:val="006E5683"/>
    <w:rsid w:val="006E5693"/>
    <w:rsid w:val="006E58AE"/>
    <w:rsid w:val="006E5B4A"/>
    <w:rsid w:val="006E5FA9"/>
    <w:rsid w:val="006E6367"/>
    <w:rsid w:val="006E67DF"/>
    <w:rsid w:val="006E6887"/>
    <w:rsid w:val="006E69A7"/>
    <w:rsid w:val="006E6A32"/>
    <w:rsid w:val="006E6BCB"/>
    <w:rsid w:val="006E6C35"/>
    <w:rsid w:val="006E6C40"/>
    <w:rsid w:val="006E6DA5"/>
    <w:rsid w:val="006E722B"/>
    <w:rsid w:val="006E72C4"/>
    <w:rsid w:val="006E738A"/>
    <w:rsid w:val="006E73AE"/>
    <w:rsid w:val="006E749F"/>
    <w:rsid w:val="006E7558"/>
    <w:rsid w:val="006E75FC"/>
    <w:rsid w:val="006E7A02"/>
    <w:rsid w:val="006F0071"/>
    <w:rsid w:val="006F014A"/>
    <w:rsid w:val="006F0328"/>
    <w:rsid w:val="006F0381"/>
    <w:rsid w:val="006F03F1"/>
    <w:rsid w:val="006F03F9"/>
    <w:rsid w:val="006F040B"/>
    <w:rsid w:val="006F0612"/>
    <w:rsid w:val="006F08E5"/>
    <w:rsid w:val="006F0C1A"/>
    <w:rsid w:val="006F1136"/>
    <w:rsid w:val="006F11A1"/>
    <w:rsid w:val="006F1748"/>
    <w:rsid w:val="006F186C"/>
    <w:rsid w:val="006F1945"/>
    <w:rsid w:val="006F1A05"/>
    <w:rsid w:val="006F1A6A"/>
    <w:rsid w:val="006F1FD4"/>
    <w:rsid w:val="006F226F"/>
    <w:rsid w:val="006F2470"/>
    <w:rsid w:val="006F264A"/>
    <w:rsid w:val="006F2755"/>
    <w:rsid w:val="006F28A5"/>
    <w:rsid w:val="006F2CEA"/>
    <w:rsid w:val="006F3283"/>
    <w:rsid w:val="006F338A"/>
    <w:rsid w:val="006F33EE"/>
    <w:rsid w:val="006F357C"/>
    <w:rsid w:val="006F36A0"/>
    <w:rsid w:val="006F3AD9"/>
    <w:rsid w:val="006F3F59"/>
    <w:rsid w:val="006F3FC9"/>
    <w:rsid w:val="006F43D9"/>
    <w:rsid w:val="006F4787"/>
    <w:rsid w:val="006F495C"/>
    <w:rsid w:val="006F4A79"/>
    <w:rsid w:val="006F4D5D"/>
    <w:rsid w:val="006F5170"/>
    <w:rsid w:val="006F51E8"/>
    <w:rsid w:val="006F5215"/>
    <w:rsid w:val="006F54E1"/>
    <w:rsid w:val="006F5550"/>
    <w:rsid w:val="006F5598"/>
    <w:rsid w:val="006F57FB"/>
    <w:rsid w:val="006F5A79"/>
    <w:rsid w:val="006F5A9A"/>
    <w:rsid w:val="006F5ADD"/>
    <w:rsid w:val="006F5CCE"/>
    <w:rsid w:val="006F5FF0"/>
    <w:rsid w:val="006F60FB"/>
    <w:rsid w:val="006F6147"/>
    <w:rsid w:val="006F62D0"/>
    <w:rsid w:val="006F6442"/>
    <w:rsid w:val="006F662E"/>
    <w:rsid w:val="006F66CA"/>
    <w:rsid w:val="006F6704"/>
    <w:rsid w:val="006F6C98"/>
    <w:rsid w:val="006F6E81"/>
    <w:rsid w:val="006F6F8A"/>
    <w:rsid w:val="006F6FE4"/>
    <w:rsid w:val="006F71CF"/>
    <w:rsid w:val="006F71F5"/>
    <w:rsid w:val="006F7357"/>
    <w:rsid w:val="006F7779"/>
    <w:rsid w:val="006F782C"/>
    <w:rsid w:val="006F79EF"/>
    <w:rsid w:val="006F7C0A"/>
    <w:rsid w:val="006F7E09"/>
    <w:rsid w:val="00700391"/>
    <w:rsid w:val="007008FE"/>
    <w:rsid w:val="007009EA"/>
    <w:rsid w:val="00700A3F"/>
    <w:rsid w:val="00700D9F"/>
    <w:rsid w:val="00701309"/>
    <w:rsid w:val="007016BD"/>
    <w:rsid w:val="0070191A"/>
    <w:rsid w:val="00701F14"/>
    <w:rsid w:val="0070209D"/>
    <w:rsid w:val="007021E5"/>
    <w:rsid w:val="00702346"/>
    <w:rsid w:val="007025B0"/>
    <w:rsid w:val="007025B9"/>
    <w:rsid w:val="00702664"/>
    <w:rsid w:val="007027C0"/>
    <w:rsid w:val="00702888"/>
    <w:rsid w:val="007029EE"/>
    <w:rsid w:val="00702AAA"/>
    <w:rsid w:val="00702B4D"/>
    <w:rsid w:val="00702C61"/>
    <w:rsid w:val="00702C71"/>
    <w:rsid w:val="00702C75"/>
    <w:rsid w:val="00702E03"/>
    <w:rsid w:val="0070347C"/>
    <w:rsid w:val="007034B9"/>
    <w:rsid w:val="00703547"/>
    <w:rsid w:val="007035F8"/>
    <w:rsid w:val="007036DA"/>
    <w:rsid w:val="00703B1B"/>
    <w:rsid w:val="00703E3B"/>
    <w:rsid w:val="00703EB8"/>
    <w:rsid w:val="00703F5C"/>
    <w:rsid w:val="0070434D"/>
    <w:rsid w:val="0070447E"/>
    <w:rsid w:val="007048AB"/>
    <w:rsid w:val="00704C2E"/>
    <w:rsid w:val="007050A3"/>
    <w:rsid w:val="0070511B"/>
    <w:rsid w:val="0070526D"/>
    <w:rsid w:val="007052A2"/>
    <w:rsid w:val="00705378"/>
    <w:rsid w:val="007053E8"/>
    <w:rsid w:val="007054C6"/>
    <w:rsid w:val="0070581C"/>
    <w:rsid w:val="00705C06"/>
    <w:rsid w:val="00705CB8"/>
    <w:rsid w:val="0070681F"/>
    <w:rsid w:val="00706AE2"/>
    <w:rsid w:val="00706C6A"/>
    <w:rsid w:val="00706DC4"/>
    <w:rsid w:val="007071A0"/>
    <w:rsid w:val="007072A8"/>
    <w:rsid w:val="007077CC"/>
    <w:rsid w:val="00707811"/>
    <w:rsid w:val="00707A2B"/>
    <w:rsid w:val="00707F7E"/>
    <w:rsid w:val="0070E076"/>
    <w:rsid w:val="007101AA"/>
    <w:rsid w:val="00710254"/>
    <w:rsid w:val="00710325"/>
    <w:rsid w:val="0071037C"/>
    <w:rsid w:val="00710719"/>
    <w:rsid w:val="00710C07"/>
    <w:rsid w:val="00710DBC"/>
    <w:rsid w:val="00710E26"/>
    <w:rsid w:val="00711151"/>
    <w:rsid w:val="007112FB"/>
    <w:rsid w:val="0071151F"/>
    <w:rsid w:val="00711A14"/>
    <w:rsid w:val="00711B75"/>
    <w:rsid w:val="00711C93"/>
    <w:rsid w:val="00711EAC"/>
    <w:rsid w:val="00712040"/>
    <w:rsid w:val="007122EF"/>
    <w:rsid w:val="0071236A"/>
    <w:rsid w:val="00712372"/>
    <w:rsid w:val="00712BEB"/>
    <w:rsid w:val="00712C05"/>
    <w:rsid w:val="00712D35"/>
    <w:rsid w:val="00712EED"/>
    <w:rsid w:val="00712F8F"/>
    <w:rsid w:val="007132DC"/>
    <w:rsid w:val="00713472"/>
    <w:rsid w:val="00713654"/>
    <w:rsid w:val="007139F2"/>
    <w:rsid w:val="00713C07"/>
    <w:rsid w:val="00713C75"/>
    <w:rsid w:val="00713CC2"/>
    <w:rsid w:val="00713D73"/>
    <w:rsid w:val="00714520"/>
    <w:rsid w:val="00714C86"/>
    <w:rsid w:val="00714E3D"/>
    <w:rsid w:val="00714F10"/>
    <w:rsid w:val="007152C0"/>
    <w:rsid w:val="0071543E"/>
    <w:rsid w:val="00715475"/>
    <w:rsid w:val="00715508"/>
    <w:rsid w:val="007156DA"/>
    <w:rsid w:val="0071573E"/>
    <w:rsid w:val="00715804"/>
    <w:rsid w:val="00715841"/>
    <w:rsid w:val="0071585D"/>
    <w:rsid w:val="00715AF3"/>
    <w:rsid w:val="00715C88"/>
    <w:rsid w:val="00715D13"/>
    <w:rsid w:val="00715D57"/>
    <w:rsid w:val="00715DC4"/>
    <w:rsid w:val="00715DF1"/>
    <w:rsid w:val="00715EFE"/>
    <w:rsid w:val="007166C8"/>
    <w:rsid w:val="007167C8"/>
    <w:rsid w:val="00716958"/>
    <w:rsid w:val="00716AD9"/>
    <w:rsid w:val="00716B02"/>
    <w:rsid w:val="00716E0D"/>
    <w:rsid w:val="00717231"/>
    <w:rsid w:val="00717605"/>
    <w:rsid w:val="00717787"/>
    <w:rsid w:val="007177B5"/>
    <w:rsid w:val="00717990"/>
    <w:rsid w:val="007179D9"/>
    <w:rsid w:val="00717A08"/>
    <w:rsid w:val="00717AB3"/>
    <w:rsid w:val="00717B9B"/>
    <w:rsid w:val="00717C81"/>
    <w:rsid w:val="00717C84"/>
    <w:rsid w:val="00717F16"/>
    <w:rsid w:val="00717F3A"/>
    <w:rsid w:val="00717F3D"/>
    <w:rsid w:val="00720346"/>
    <w:rsid w:val="0072043D"/>
    <w:rsid w:val="0072043F"/>
    <w:rsid w:val="0072075B"/>
    <w:rsid w:val="00720952"/>
    <w:rsid w:val="00720BFB"/>
    <w:rsid w:val="00720C2D"/>
    <w:rsid w:val="00720F1B"/>
    <w:rsid w:val="00721242"/>
    <w:rsid w:val="007214CB"/>
    <w:rsid w:val="0072198D"/>
    <w:rsid w:val="007219F8"/>
    <w:rsid w:val="00721E4E"/>
    <w:rsid w:val="00722053"/>
    <w:rsid w:val="007223EB"/>
    <w:rsid w:val="007226C7"/>
    <w:rsid w:val="0072272E"/>
    <w:rsid w:val="00722928"/>
    <w:rsid w:val="00722AB3"/>
    <w:rsid w:val="00722C0F"/>
    <w:rsid w:val="00722CB5"/>
    <w:rsid w:val="00722D48"/>
    <w:rsid w:val="00722F07"/>
    <w:rsid w:val="00722F17"/>
    <w:rsid w:val="00722F6D"/>
    <w:rsid w:val="00723132"/>
    <w:rsid w:val="00723441"/>
    <w:rsid w:val="007236DC"/>
    <w:rsid w:val="00723BE0"/>
    <w:rsid w:val="00723DE3"/>
    <w:rsid w:val="00723F29"/>
    <w:rsid w:val="00723F50"/>
    <w:rsid w:val="0072475C"/>
    <w:rsid w:val="00724836"/>
    <w:rsid w:val="00724924"/>
    <w:rsid w:val="0072499A"/>
    <w:rsid w:val="00724BD1"/>
    <w:rsid w:val="00724EA4"/>
    <w:rsid w:val="007251B4"/>
    <w:rsid w:val="0072544F"/>
    <w:rsid w:val="00725729"/>
    <w:rsid w:val="00725E33"/>
    <w:rsid w:val="00725EDE"/>
    <w:rsid w:val="00725F40"/>
    <w:rsid w:val="0072656B"/>
    <w:rsid w:val="00726647"/>
    <w:rsid w:val="007266FE"/>
    <w:rsid w:val="00726E43"/>
    <w:rsid w:val="00726EB5"/>
    <w:rsid w:val="00726FF2"/>
    <w:rsid w:val="00727026"/>
    <w:rsid w:val="007276AC"/>
    <w:rsid w:val="00727713"/>
    <w:rsid w:val="007279BD"/>
    <w:rsid w:val="00727AD5"/>
    <w:rsid w:val="00727C1F"/>
    <w:rsid w:val="00727DFE"/>
    <w:rsid w:val="007300F7"/>
    <w:rsid w:val="00730128"/>
    <w:rsid w:val="0073053F"/>
    <w:rsid w:val="00730613"/>
    <w:rsid w:val="007307D4"/>
    <w:rsid w:val="00730DEE"/>
    <w:rsid w:val="00730E55"/>
    <w:rsid w:val="00730EF7"/>
    <w:rsid w:val="00731052"/>
    <w:rsid w:val="00731082"/>
    <w:rsid w:val="0073150C"/>
    <w:rsid w:val="007315B3"/>
    <w:rsid w:val="00731648"/>
    <w:rsid w:val="0073172B"/>
    <w:rsid w:val="00731DD4"/>
    <w:rsid w:val="00731E59"/>
    <w:rsid w:val="007320A4"/>
    <w:rsid w:val="0073259D"/>
    <w:rsid w:val="007326E4"/>
    <w:rsid w:val="007327DD"/>
    <w:rsid w:val="00732974"/>
    <w:rsid w:val="00732F0E"/>
    <w:rsid w:val="00733198"/>
    <w:rsid w:val="00733402"/>
    <w:rsid w:val="007334AF"/>
    <w:rsid w:val="007337F8"/>
    <w:rsid w:val="00733F63"/>
    <w:rsid w:val="00734237"/>
    <w:rsid w:val="0073429F"/>
    <w:rsid w:val="0073468C"/>
    <w:rsid w:val="007347C7"/>
    <w:rsid w:val="007348CA"/>
    <w:rsid w:val="0073490B"/>
    <w:rsid w:val="00734A81"/>
    <w:rsid w:val="00734AC9"/>
    <w:rsid w:val="00734BFF"/>
    <w:rsid w:val="00734D59"/>
    <w:rsid w:val="00734F6F"/>
    <w:rsid w:val="00735422"/>
    <w:rsid w:val="00735D71"/>
    <w:rsid w:val="00736046"/>
    <w:rsid w:val="007365DD"/>
    <w:rsid w:val="007369D9"/>
    <w:rsid w:val="00736B16"/>
    <w:rsid w:val="00736CF6"/>
    <w:rsid w:val="00736F42"/>
    <w:rsid w:val="00737362"/>
    <w:rsid w:val="0073767A"/>
    <w:rsid w:val="0073787A"/>
    <w:rsid w:val="00737E22"/>
    <w:rsid w:val="00737E8E"/>
    <w:rsid w:val="00740275"/>
    <w:rsid w:val="00740368"/>
    <w:rsid w:val="00740DCA"/>
    <w:rsid w:val="00740E1E"/>
    <w:rsid w:val="0074144E"/>
    <w:rsid w:val="00741756"/>
    <w:rsid w:val="007418D4"/>
    <w:rsid w:val="007423D3"/>
    <w:rsid w:val="007427F0"/>
    <w:rsid w:val="0074292A"/>
    <w:rsid w:val="00742AC5"/>
    <w:rsid w:val="007431A7"/>
    <w:rsid w:val="0074322E"/>
    <w:rsid w:val="00743288"/>
    <w:rsid w:val="00743337"/>
    <w:rsid w:val="007433D8"/>
    <w:rsid w:val="00743574"/>
    <w:rsid w:val="00743C00"/>
    <w:rsid w:val="00743CD5"/>
    <w:rsid w:val="00743CEE"/>
    <w:rsid w:val="00743D45"/>
    <w:rsid w:val="00743F14"/>
    <w:rsid w:val="007440A0"/>
    <w:rsid w:val="007440CE"/>
    <w:rsid w:val="00744162"/>
    <w:rsid w:val="00744307"/>
    <w:rsid w:val="00744A3C"/>
    <w:rsid w:val="00744B75"/>
    <w:rsid w:val="00744E65"/>
    <w:rsid w:val="007450A7"/>
    <w:rsid w:val="007450AA"/>
    <w:rsid w:val="00745154"/>
    <w:rsid w:val="00745194"/>
    <w:rsid w:val="0074554E"/>
    <w:rsid w:val="00745CF4"/>
    <w:rsid w:val="00745DC0"/>
    <w:rsid w:val="00746212"/>
    <w:rsid w:val="0074676E"/>
    <w:rsid w:val="0074691D"/>
    <w:rsid w:val="00746971"/>
    <w:rsid w:val="00746EFE"/>
    <w:rsid w:val="00746FD9"/>
    <w:rsid w:val="007472DB"/>
    <w:rsid w:val="007477BF"/>
    <w:rsid w:val="00747913"/>
    <w:rsid w:val="00747CA4"/>
    <w:rsid w:val="00747D58"/>
    <w:rsid w:val="0075035A"/>
    <w:rsid w:val="007505AC"/>
    <w:rsid w:val="00750612"/>
    <w:rsid w:val="007509F1"/>
    <w:rsid w:val="00750AA7"/>
    <w:rsid w:val="00750B6C"/>
    <w:rsid w:val="00750BED"/>
    <w:rsid w:val="00750CCD"/>
    <w:rsid w:val="00750FF0"/>
    <w:rsid w:val="00751107"/>
    <w:rsid w:val="007514F6"/>
    <w:rsid w:val="00751663"/>
    <w:rsid w:val="00751976"/>
    <w:rsid w:val="00751FE5"/>
    <w:rsid w:val="0075200A"/>
    <w:rsid w:val="00752229"/>
    <w:rsid w:val="00752321"/>
    <w:rsid w:val="00752495"/>
    <w:rsid w:val="0075250A"/>
    <w:rsid w:val="0075257B"/>
    <w:rsid w:val="0075257E"/>
    <w:rsid w:val="00752616"/>
    <w:rsid w:val="007526B5"/>
    <w:rsid w:val="00753201"/>
    <w:rsid w:val="00753584"/>
    <w:rsid w:val="007536A6"/>
    <w:rsid w:val="00753755"/>
    <w:rsid w:val="007538C7"/>
    <w:rsid w:val="0075390E"/>
    <w:rsid w:val="00753B98"/>
    <w:rsid w:val="00753C7E"/>
    <w:rsid w:val="00753D2C"/>
    <w:rsid w:val="00754971"/>
    <w:rsid w:val="00754B15"/>
    <w:rsid w:val="00754C5D"/>
    <w:rsid w:val="00754D65"/>
    <w:rsid w:val="00754E64"/>
    <w:rsid w:val="0075514D"/>
    <w:rsid w:val="00755217"/>
    <w:rsid w:val="0075530A"/>
    <w:rsid w:val="00755668"/>
    <w:rsid w:val="00755AA5"/>
    <w:rsid w:val="00756302"/>
    <w:rsid w:val="007565F8"/>
    <w:rsid w:val="00756808"/>
    <w:rsid w:val="00756A5E"/>
    <w:rsid w:val="00756F45"/>
    <w:rsid w:val="00757034"/>
    <w:rsid w:val="007577B7"/>
    <w:rsid w:val="00757AA0"/>
    <w:rsid w:val="00757C43"/>
    <w:rsid w:val="00760127"/>
    <w:rsid w:val="007601CD"/>
    <w:rsid w:val="007601F0"/>
    <w:rsid w:val="0076032A"/>
    <w:rsid w:val="007608B8"/>
    <w:rsid w:val="00760EE2"/>
    <w:rsid w:val="007612C9"/>
    <w:rsid w:val="0076186F"/>
    <w:rsid w:val="007619EB"/>
    <w:rsid w:val="00761E7C"/>
    <w:rsid w:val="00761EB1"/>
    <w:rsid w:val="00762145"/>
    <w:rsid w:val="007621DB"/>
    <w:rsid w:val="007623AA"/>
    <w:rsid w:val="007624F6"/>
    <w:rsid w:val="0076261D"/>
    <w:rsid w:val="00762A25"/>
    <w:rsid w:val="00762AAA"/>
    <w:rsid w:val="00762C4D"/>
    <w:rsid w:val="00762DC2"/>
    <w:rsid w:val="00762E7C"/>
    <w:rsid w:val="00763182"/>
    <w:rsid w:val="007631D2"/>
    <w:rsid w:val="007638BC"/>
    <w:rsid w:val="0076394C"/>
    <w:rsid w:val="00763D8C"/>
    <w:rsid w:val="00763E89"/>
    <w:rsid w:val="00763F28"/>
    <w:rsid w:val="00763FDD"/>
    <w:rsid w:val="0076411E"/>
    <w:rsid w:val="007642E9"/>
    <w:rsid w:val="007642F8"/>
    <w:rsid w:val="007644D8"/>
    <w:rsid w:val="007645FD"/>
    <w:rsid w:val="00764772"/>
    <w:rsid w:val="00764826"/>
    <w:rsid w:val="00764829"/>
    <w:rsid w:val="00764920"/>
    <w:rsid w:val="00764980"/>
    <w:rsid w:val="00764992"/>
    <w:rsid w:val="00764D2B"/>
    <w:rsid w:val="0076527C"/>
    <w:rsid w:val="00765295"/>
    <w:rsid w:val="007652B5"/>
    <w:rsid w:val="00765336"/>
    <w:rsid w:val="0076562A"/>
    <w:rsid w:val="00765724"/>
    <w:rsid w:val="00765D97"/>
    <w:rsid w:val="00765F02"/>
    <w:rsid w:val="00765FDC"/>
    <w:rsid w:val="0076678C"/>
    <w:rsid w:val="00766933"/>
    <w:rsid w:val="00766D16"/>
    <w:rsid w:val="00767173"/>
    <w:rsid w:val="00767299"/>
    <w:rsid w:val="0076738E"/>
    <w:rsid w:val="007673ED"/>
    <w:rsid w:val="0076758C"/>
    <w:rsid w:val="007675C0"/>
    <w:rsid w:val="00767613"/>
    <w:rsid w:val="007679EA"/>
    <w:rsid w:val="00767EB9"/>
    <w:rsid w:val="0077004D"/>
    <w:rsid w:val="0077025A"/>
    <w:rsid w:val="007703AF"/>
    <w:rsid w:val="00770456"/>
    <w:rsid w:val="0077045D"/>
    <w:rsid w:val="007705EC"/>
    <w:rsid w:val="00770636"/>
    <w:rsid w:val="00770D28"/>
    <w:rsid w:val="00770E01"/>
    <w:rsid w:val="00770F5A"/>
    <w:rsid w:val="00770FB8"/>
    <w:rsid w:val="007712DE"/>
    <w:rsid w:val="00771469"/>
    <w:rsid w:val="007714A2"/>
    <w:rsid w:val="00771507"/>
    <w:rsid w:val="0077168C"/>
    <w:rsid w:val="00771822"/>
    <w:rsid w:val="00771945"/>
    <w:rsid w:val="007719D0"/>
    <w:rsid w:val="00771A3C"/>
    <w:rsid w:val="00771A56"/>
    <w:rsid w:val="00771DA6"/>
    <w:rsid w:val="00771DAF"/>
    <w:rsid w:val="00771E5F"/>
    <w:rsid w:val="00771E89"/>
    <w:rsid w:val="00771EE8"/>
    <w:rsid w:val="00772280"/>
    <w:rsid w:val="0077237A"/>
    <w:rsid w:val="007723E5"/>
    <w:rsid w:val="00772DA9"/>
    <w:rsid w:val="00772E88"/>
    <w:rsid w:val="00772EEA"/>
    <w:rsid w:val="00772F34"/>
    <w:rsid w:val="00773126"/>
    <w:rsid w:val="00773156"/>
    <w:rsid w:val="00773298"/>
    <w:rsid w:val="0077346B"/>
    <w:rsid w:val="00773703"/>
    <w:rsid w:val="00773812"/>
    <w:rsid w:val="007738BF"/>
    <w:rsid w:val="00773BF2"/>
    <w:rsid w:val="00773E7B"/>
    <w:rsid w:val="00774481"/>
    <w:rsid w:val="007746BB"/>
    <w:rsid w:val="0077484B"/>
    <w:rsid w:val="00774BBF"/>
    <w:rsid w:val="00774DFB"/>
    <w:rsid w:val="00774E7D"/>
    <w:rsid w:val="00775131"/>
    <w:rsid w:val="00775262"/>
    <w:rsid w:val="00775442"/>
    <w:rsid w:val="0077547C"/>
    <w:rsid w:val="0077573E"/>
    <w:rsid w:val="00775749"/>
    <w:rsid w:val="00775804"/>
    <w:rsid w:val="007758ED"/>
    <w:rsid w:val="007758F9"/>
    <w:rsid w:val="00775C24"/>
    <w:rsid w:val="00775D39"/>
    <w:rsid w:val="00775DCB"/>
    <w:rsid w:val="00775EFB"/>
    <w:rsid w:val="0077617B"/>
    <w:rsid w:val="00776404"/>
    <w:rsid w:val="0077657A"/>
    <w:rsid w:val="00776911"/>
    <w:rsid w:val="00776964"/>
    <w:rsid w:val="00776BD6"/>
    <w:rsid w:val="00776D2E"/>
    <w:rsid w:val="00777212"/>
    <w:rsid w:val="0077727F"/>
    <w:rsid w:val="00777364"/>
    <w:rsid w:val="00777EF7"/>
    <w:rsid w:val="007804A7"/>
    <w:rsid w:val="007805E2"/>
    <w:rsid w:val="00780C7A"/>
    <w:rsid w:val="007810AB"/>
    <w:rsid w:val="00781175"/>
    <w:rsid w:val="00781190"/>
    <w:rsid w:val="00781535"/>
    <w:rsid w:val="0078181D"/>
    <w:rsid w:val="00781A53"/>
    <w:rsid w:val="00781C53"/>
    <w:rsid w:val="00781CAD"/>
    <w:rsid w:val="00781F7E"/>
    <w:rsid w:val="007821E7"/>
    <w:rsid w:val="00782204"/>
    <w:rsid w:val="007822E7"/>
    <w:rsid w:val="007823CD"/>
    <w:rsid w:val="0078269F"/>
    <w:rsid w:val="007827F3"/>
    <w:rsid w:val="00782AE9"/>
    <w:rsid w:val="00782CE2"/>
    <w:rsid w:val="007830BD"/>
    <w:rsid w:val="00783140"/>
    <w:rsid w:val="0078332E"/>
    <w:rsid w:val="0078360B"/>
    <w:rsid w:val="00783636"/>
    <w:rsid w:val="0078371E"/>
    <w:rsid w:val="00783BC1"/>
    <w:rsid w:val="00783C7B"/>
    <w:rsid w:val="00783E2C"/>
    <w:rsid w:val="00783EC8"/>
    <w:rsid w:val="007849BC"/>
    <w:rsid w:val="00784A7C"/>
    <w:rsid w:val="00784C25"/>
    <w:rsid w:val="00784E40"/>
    <w:rsid w:val="00784EB8"/>
    <w:rsid w:val="00784EE7"/>
    <w:rsid w:val="00784F7F"/>
    <w:rsid w:val="007851F0"/>
    <w:rsid w:val="0078537B"/>
    <w:rsid w:val="0078564C"/>
    <w:rsid w:val="00785886"/>
    <w:rsid w:val="0078592B"/>
    <w:rsid w:val="00785A70"/>
    <w:rsid w:val="00785AA9"/>
    <w:rsid w:val="00785F87"/>
    <w:rsid w:val="007860E6"/>
    <w:rsid w:val="007862D1"/>
    <w:rsid w:val="007862EE"/>
    <w:rsid w:val="007866B7"/>
    <w:rsid w:val="007869B8"/>
    <w:rsid w:val="00786A54"/>
    <w:rsid w:val="00786B7C"/>
    <w:rsid w:val="00786BC7"/>
    <w:rsid w:val="00786E5C"/>
    <w:rsid w:val="007875B9"/>
    <w:rsid w:val="00787870"/>
    <w:rsid w:val="00787CA2"/>
    <w:rsid w:val="00787F3A"/>
    <w:rsid w:val="00790436"/>
    <w:rsid w:val="007905AD"/>
    <w:rsid w:val="00790717"/>
    <w:rsid w:val="00790916"/>
    <w:rsid w:val="00790D84"/>
    <w:rsid w:val="00790E34"/>
    <w:rsid w:val="0079126B"/>
    <w:rsid w:val="0079132A"/>
    <w:rsid w:val="00791435"/>
    <w:rsid w:val="00791528"/>
    <w:rsid w:val="00791A7B"/>
    <w:rsid w:val="00791B19"/>
    <w:rsid w:val="00791D6C"/>
    <w:rsid w:val="00791DB9"/>
    <w:rsid w:val="00791DC3"/>
    <w:rsid w:val="00791EA8"/>
    <w:rsid w:val="00791EF1"/>
    <w:rsid w:val="007921A7"/>
    <w:rsid w:val="007922EB"/>
    <w:rsid w:val="007927DF"/>
    <w:rsid w:val="00792C5D"/>
    <w:rsid w:val="00792E64"/>
    <w:rsid w:val="00793032"/>
    <w:rsid w:val="00793048"/>
    <w:rsid w:val="0079307F"/>
    <w:rsid w:val="007931BD"/>
    <w:rsid w:val="00793207"/>
    <w:rsid w:val="00793294"/>
    <w:rsid w:val="007932ED"/>
    <w:rsid w:val="007934C3"/>
    <w:rsid w:val="007934F9"/>
    <w:rsid w:val="0079351F"/>
    <w:rsid w:val="0079378C"/>
    <w:rsid w:val="00793843"/>
    <w:rsid w:val="00793853"/>
    <w:rsid w:val="0079388F"/>
    <w:rsid w:val="00793EFE"/>
    <w:rsid w:val="0079404C"/>
    <w:rsid w:val="00794080"/>
    <w:rsid w:val="007940A1"/>
    <w:rsid w:val="00794538"/>
    <w:rsid w:val="007946EF"/>
    <w:rsid w:val="007946FB"/>
    <w:rsid w:val="00794C30"/>
    <w:rsid w:val="00794EA5"/>
    <w:rsid w:val="00795895"/>
    <w:rsid w:val="00795B5C"/>
    <w:rsid w:val="0079619D"/>
    <w:rsid w:val="00796397"/>
    <w:rsid w:val="00796480"/>
    <w:rsid w:val="007964D4"/>
    <w:rsid w:val="00796669"/>
    <w:rsid w:val="0079684C"/>
    <w:rsid w:val="007968C9"/>
    <w:rsid w:val="007969C4"/>
    <w:rsid w:val="00796AAE"/>
    <w:rsid w:val="00796D0C"/>
    <w:rsid w:val="00796D11"/>
    <w:rsid w:val="00796ECD"/>
    <w:rsid w:val="00797487"/>
    <w:rsid w:val="0079752D"/>
    <w:rsid w:val="007977D6"/>
    <w:rsid w:val="0079783D"/>
    <w:rsid w:val="00797BFB"/>
    <w:rsid w:val="00797C92"/>
    <w:rsid w:val="007A0473"/>
    <w:rsid w:val="007A08D3"/>
    <w:rsid w:val="007A0975"/>
    <w:rsid w:val="007A0F1A"/>
    <w:rsid w:val="007A102E"/>
    <w:rsid w:val="007A141A"/>
    <w:rsid w:val="007A1789"/>
    <w:rsid w:val="007A18E7"/>
    <w:rsid w:val="007A1CAB"/>
    <w:rsid w:val="007A1DE3"/>
    <w:rsid w:val="007A1EE9"/>
    <w:rsid w:val="007A20F2"/>
    <w:rsid w:val="007A2117"/>
    <w:rsid w:val="007A2179"/>
    <w:rsid w:val="007A2187"/>
    <w:rsid w:val="007A2664"/>
    <w:rsid w:val="007A2718"/>
    <w:rsid w:val="007A282B"/>
    <w:rsid w:val="007A283A"/>
    <w:rsid w:val="007A2849"/>
    <w:rsid w:val="007A28EF"/>
    <w:rsid w:val="007A29A9"/>
    <w:rsid w:val="007A31DD"/>
    <w:rsid w:val="007A329C"/>
    <w:rsid w:val="007A350D"/>
    <w:rsid w:val="007A3709"/>
    <w:rsid w:val="007A3B55"/>
    <w:rsid w:val="007A3C7C"/>
    <w:rsid w:val="007A3D28"/>
    <w:rsid w:val="007A3D4E"/>
    <w:rsid w:val="007A42A0"/>
    <w:rsid w:val="007A42F1"/>
    <w:rsid w:val="007A4319"/>
    <w:rsid w:val="007A437A"/>
    <w:rsid w:val="007A45EF"/>
    <w:rsid w:val="007A460E"/>
    <w:rsid w:val="007A47D6"/>
    <w:rsid w:val="007A4841"/>
    <w:rsid w:val="007A4B01"/>
    <w:rsid w:val="007A4E7D"/>
    <w:rsid w:val="007A54FC"/>
    <w:rsid w:val="007A553F"/>
    <w:rsid w:val="007A5788"/>
    <w:rsid w:val="007A59CA"/>
    <w:rsid w:val="007A5A3A"/>
    <w:rsid w:val="007A5BDF"/>
    <w:rsid w:val="007A5D86"/>
    <w:rsid w:val="007A5DC8"/>
    <w:rsid w:val="007A5FAC"/>
    <w:rsid w:val="007A605F"/>
    <w:rsid w:val="007A623C"/>
    <w:rsid w:val="007A6274"/>
    <w:rsid w:val="007A62D9"/>
    <w:rsid w:val="007A659F"/>
    <w:rsid w:val="007A6A37"/>
    <w:rsid w:val="007A6B31"/>
    <w:rsid w:val="007A6FCD"/>
    <w:rsid w:val="007A7249"/>
    <w:rsid w:val="007A7715"/>
    <w:rsid w:val="007A7A06"/>
    <w:rsid w:val="007AF306"/>
    <w:rsid w:val="007B0236"/>
    <w:rsid w:val="007B02AD"/>
    <w:rsid w:val="007B0361"/>
    <w:rsid w:val="007B0511"/>
    <w:rsid w:val="007B06A9"/>
    <w:rsid w:val="007B077A"/>
    <w:rsid w:val="007B082D"/>
    <w:rsid w:val="007B091C"/>
    <w:rsid w:val="007B0B6B"/>
    <w:rsid w:val="007B0C1E"/>
    <w:rsid w:val="007B0E4E"/>
    <w:rsid w:val="007B111C"/>
    <w:rsid w:val="007B159D"/>
    <w:rsid w:val="007B16CD"/>
    <w:rsid w:val="007B1930"/>
    <w:rsid w:val="007B199F"/>
    <w:rsid w:val="007B1A2B"/>
    <w:rsid w:val="007B1B20"/>
    <w:rsid w:val="007B1F68"/>
    <w:rsid w:val="007B1FB9"/>
    <w:rsid w:val="007B24C2"/>
    <w:rsid w:val="007B26C7"/>
    <w:rsid w:val="007B26F2"/>
    <w:rsid w:val="007B27D0"/>
    <w:rsid w:val="007B2CC9"/>
    <w:rsid w:val="007B2EEF"/>
    <w:rsid w:val="007B2FC0"/>
    <w:rsid w:val="007B3033"/>
    <w:rsid w:val="007B32C1"/>
    <w:rsid w:val="007B3842"/>
    <w:rsid w:val="007B3948"/>
    <w:rsid w:val="007B3B41"/>
    <w:rsid w:val="007B3D6E"/>
    <w:rsid w:val="007B3E3A"/>
    <w:rsid w:val="007B3E89"/>
    <w:rsid w:val="007B3EB0"/>
    <w:rsid w:val="007B42A7"/>
    <w:rsid w:val="007B43C2"/>
    <w:rsid w:val="007B44C1"/>
    <w:rsid w:val="007B44E8"/>
    <w:rsid w:val="007B46F0"/>
    <w:rsid w:val="007B4ABE"/>
    <w:rsid w:val="007B4EBC"/>
    <w:rsid w:val="007B5025"/>
    <w:rsid w:val="007B50C3"/>
    <w:rsid w:val="007B510E"/>
    <w:rsid w:val="007B5155"/>
    <w:rsid w:val="007B516C"/>
    <w:rsid w:val="007B517A"/>
    <w:rsid w:val="007B552E"/>
    <w:rsid w:val="007B5BBA"/>
    <w:rsid w:val="007B5C19"/>
    <w:rsid w:val="007B5E66"/>
    <w:rsid w:val="007B5EB0"/>
    <w:rsid w:val="007B62FB"/>
    <w:rsid w:val="007B634D"/>
    <w:rsid w:val="007B639C"/>
    <w:rsid w:val="007B63B0"/>
    <w:rsid w:val="007B63C0"/>
    <w:rsid w:val="007B6455"/>
    <w:rsid w:val="007B6476"/>
    <w:rsid w:val="007B64E8"/>
    <w:rsid w:val="007B6793"/>
    <w:rsid w:val="007B68B9"/>
    <w:rsid w:val="007B6F89"/>
    <w:rsid w:val="007B70BF"/>
    <w:rsid w:val="007B7177"/>
    <w:rsid w:val="007B724B"/>
    <w:rsid w:val="007B7427"/>
    <w:rsid w:val="007B746A"/>
    <w:rsid w:val="007B76D4"/>
    <w:rsid w:val="007B76E5"/>
    <w:rsid w:val="007B7891"/>
    <w:rsid w:val="007B7B1F"/>
    <w:rsid w:val="007B7CE9"/>
    <w:rsid w:val="007B7D56"/>
    <w:rsid w:val="007B7FE8"/>
    <w:rsid w:val="007C047C"/>
    <w:rsid w:val="007C06C5"/>
    <w:rsid w:val="007C0C52"/>
    <w:rsid w:val="007C0DDB"/>
    <w:rsid w:val="007C0EA9"/>
    <w:rsid w:val="007C1055"/>
    <w:rsid w:val="007C1240"/>
    <w:rsid w:val="007C1841"/>
    <w:rsid w:val="007C1850"/>
    <w:rsid w:val="007C1C26"/>
    <w:rsid w:val="007C1E72"/>
    <w:rsid w:val="007C1FB0"/>
    <w:rsid w:val="007C20E9"/>
    <w:rsid w:val="007C215E"/>
    <w:rsid w:val="007C215F"/>
    <w:rsid w:val="007C21C3"/>
    <w:rsid w:val="007C2451"/>
    <w:rsid w:val="007C277D"/>
    <w:rsid w:val="007C290B"/>
    <w:rsid w:val="007C2928"/>
    <w:rsid w:val="007C2A35"/>
    <w:rsid w:val="007C2AAE"/>
    <w:rsid w:val="007C2CB8"/>
    <w:rsid w:val="007C2DC7"/>
    <w:rsid w:val="007C2E69"/>
    <w:rsid w:val="007C2FBD"/>
    <w:rsid w:val="007C30FA"/>
    <w:rsid w:val="007C3717"/>
    <w:rsid w:val="007C3736"/>
    <w:rsid w:val="007C3904"/>
    <w:rsid w:val="007C3A47"/>
    <w:rsid w:val="007C3B06"/>
    <w:rsid w:val="007C3C11"/>
    <w:rsid w:val="007C3C25"/>
    <w:rsid w:val="007C3C79"/>
    <w:rsid w:val="007C3D0E"/>
    <w:rsid w:val="007C3D3A"/>
    <w:rsid w:val="007C407B"/>
    <w:rsid w:val="007C4335"/>
    <w:rsid w:val="007C439A"/>
    <w:rsid w:val="007C4407"/>
    <w:rsid w:val="007C45DC"/>
    <w:rsid w:val="007C4727"/>
    <w:rsid w:val="007C489D"/>
    <w:rsid w:val="007C4AC1"/>
    <w:rsid w:val="007C4B1F"/>
    <w:rsid w:val="007C4B2F"/>
    <w:rsid w:val="007C4C92"/>
    <w:rsid w:val="007C52BA"/>
    <w:rsid w:val="007C537B"/>
    <w:rsid w:val="007C57EB"/>
    <w:rsid w:val="007C5ACB"/>
    <w:rsid w:val="007C5B73"/>
    <w:rsid w:val="007C5D12"/>
    <w:rsid w:val="007C60FE"/>
    <w:rsid w:val="007C61DE"/>
    <w:rsid w:val="007C6267"/>
    <w:rsid w:val="007C6475"/>
    <w:rsid w:val="007C6498"/>
    <w:rsid w:val="007C6A72"/>
    <w:rsid w:val="007C6CA4"/>
    <w:rsid w:val="007C6DE2"/>
    <w:rsid w:val="007C6FED"/>
    <w:rsid w:val="007C7002"/>
    <w:rsid w:val="007C7269"/>
    <w:rsid w:val="007C7462"/>
    <w:rsid w:val="007C746A"/>
    <w:rsid w:val="007C7691"/>
    <w:rsid w:val="007C779E"/>
    <w:rsid w:val="007C7818"/>
    <w:rsid w:val="007C7868"/>
    <w:rsid w:val="007C78A8"/>
    <w:rsid w:val="007C7AB5"/>
    <w:rsid w:val="007C7DB7"/>
    <w:rsid w:val="007D0178"/>
    <w:rsid w:val="007D01D9"/>
    <w:rsid w:val="007D01FF"/>
    <w:rsid w:val="007D0521"/>
    <w:rsid w:val="007D08F8"/>
    <w:rsid w:val="007D09F8"/>
    <w:rsid w:val="007D0AA6"/>
    <w:rsid w:val="007D0CF8"/>
    <w:rsid w:val="007D1AE9"/>
    <w:rsid w:val="007D1B6F"/>
    <w:rsid w:val="007D213C"/>
    <w:rsid w:val="007D21D9"/>
    <w:rsid w:val="007D24AC"/>
    <w:rsid w:val="007D292C"/>
    <w:rsid w:val="007D2979"/>
    <w:rsid w:val="007D2AD2"/>
    <w:rsid w:val="007D2C95"/>
    <w:rsid w:val="007D2E85"/>
    <w:rsid w:val="007D32D6"/>
    <w:rsid w:val="007D343C"/>
    <w:rsid w:val="007D37B3"/>
    <w:rsid w:val="007D3E41"/>
    <w:rsid w:val="007D3F6C"/>
    <w:rsid w:val="007D40CC"/>
    <w:rsid w:val="007D4132"/>
    <w:rsid w:val="007D423D"/>
    <w:rsid w:val="007D42E0"/>
    <w:rsid w:val="007D435A"/>
    <w:rsid w:val="007D4479"/>
    <w:rsid w:val="007D44C9"/>
    <w:rsid w:val="007D4643"/>
    <w:rsid w:val="007D47D6"/>
    <w:rsid w:val="007D4A5F"/>
    <w:rsid w:val="007D500F"/>
    <w:rsid w:val="007D5358"/>
    <w:rsid w:val="007D542E"/>
    <w:rsid w:val="007D595D"/>
    <w:rsid w:val="007D59B3"/>
    <w:rsid w:val="007D5AF7"/>
    <w:rsid w:val="007D5C20"/>
    <w:rsid w:val="007D5CBB"/>
    <w:rsid w:val="007D5CE0"/>
    <w:rsid w:val="007D614C"/>
    <w:rsid w:val="007D6161"/>
    <w:rsid w:val="007D635A"/>
    <w:rsid w:val="007D6905"/>
    <w:rsid w:val="007D69D4"/>
    <w:rsid w:val="007D6B06"/>
    <w:rsid w:val="007D6C1C"/>
    <w:rsid w:val="007D6C5A"/>
    <w:rsid w:val="007D7041"/>
    <w:rsid w:val="007D71EB"/>
    <w:rsid w:val="007D7201"/>
    <w:rsid w:val="007D7265"/>
    <w:rsid w:val="007D7392"/>
    <w:rsid w:val="007D74A1"/>
    <w:rsid w:val="007D785B"/>
    <w:rsid w:val="007D78C2"/>
    <w:rsid w:val="007D7957"/>
    <w:rsid w:val="007D79E5"/>
    <w:rsid w:val="007D7B3A"/>
    <w:rsid w:val="007D7BB1"/>
    <w:rsid w:val="007D7C9A"/>
    <w:rsid w:val="007D7FA9"/>
    <w:rsid w:val="007E0106"/>
    <w:rsid w:val="007E0200"/>
    <w:rsid w:val="007E0389"/>
    <w:rsid w:val="007E0788"/>
    <w:rsid w:val="007E0892"/>
    <w:rsid w:val="007E0925"/>
    <w:rsid w:val="007E0A67"/>
    <w:rsid w:val="007E0B79"/>
    <w:rsid w:val="007E0CFC"/>
    <w:rsid w:val="007E0ED4"/>
    <w:rsid w:val="007E129F"/>
    <w:rsid w:val="007E1356"/>
    <w:rsid w:val="007E147C"/>
    <w:rsid w:val="007E150E"/>
    <w:rsid w:val="007E19B3"/>
    <w:rsid w:val="007E1EB0"/>
    <w:rsid w:val="007E205B"/>
    <w:rsid w:val="007E21FA"/>
    <w:rsid w:val="007E223A"/>
    <w:rsid w:val="007E22E0"/>
    <w:rsid w:val="007E2667"/>
    <w:rsid w:val="007E28FD"/>
    <w:rsid w:val="007E292F"/>
    <w:rsid w:val="007E3183"/>
    <w:rsid w:val="007E319A"/>
    <w:rsid w:val="007E3271"/>
    <w:rsid w:val="007E3753"/>
    <w:rsid w:val="007E3823"/>
    <w:rsid w:val="007E39E1"/>
    <w:rsid w:val="007E3AE2"/>
    <w:rsid w:val="007E3EEC"/>
    <w:rsid w:val="007E3FEE"/>
    <w:rsid w:val="007E4058"/>
    <w:rsid w:val="007E445A"/>
    <w:rsid w:val="007E4535"/>
    <w:rsid w:val="007E4617"/>
    <w:rsid w:val="007E4756"/>
    <w:rsid w:val="007E480D"/>
    <w:rsid w:val="007E48D3"/>
    <w:rsid w:val="007E49FD"/>
    <w:rsid w:val="007E4AEA"/>
    <w:rsid w:val="007E4B9C"/>
    <w:rsid w:val="007E5228"/>
    <w:rsid w:val="007E58BD"/>
    <w:rsid w:val="007E5A14"/>
    <w:rsid w:val="007E5C0B"/>
    <w:rsid w:val="007E5D82"/>
    <w:rsid w:val="007E5E09"/>
    <w:rsid w:val="007E6106"/>
    <w:rsid w:val="007E619C"/>
    <w:rsid w:val="007E62B2"/>
    <w:rsid w:val="007E63A5"/>
    <w:rsid w:val="007E6409"/>
    <w:rsid w:val="007E641A"/>
    <w:rsid w:val="007E6A91"/>
    <w:rsid w:val="007E6B7E"/>
    <w:rsid w:val="007E6DFD"/>
    <w:rsid w:val="007E6F82"/>
    <w:rsid w:val="007E711E"/>
    <w:rsid w:val="007E7393"/>
    <w:rsid w:val="007E742E"/>
    <w:rsid w:val="007E7677"/>
    <w:rsid w:val="007E769D"/>
    <w:rsid w:val="007E78FA"/>
    <w:rsid w:val="007E7BFF"/>
    <w:rsid w:val="007E7FE8"/>
    <w:rsid w:val="007F017E"/>
    <w:rsid w:val="007F03C5"/>
    <w:rsid w:val="007F05BF"/>
    <w:rsid w:val="007F05FD"/>
    <w:rsid w:val="007F0665"/>
    <w:rsid w:val="007F0734"/>
    <w:rsid w:val="007F0C44"/>
    <w:rsid w:val="007F0C4D"/>
    <w:rsid w:val="007F0EDC"/>
    <w:rsid w:val="007F1314"/>
    <w:rsid w:val="007F1520"/>
    <w:rsid w:val="007F16EE"/>
    <w:rsid w:val="007F1721"/>
    <w:rsid w:val="007F191F"/>
    <w:rsid w:val="007F1968"/>
    <w:rsid w:val="007F19A4"/>
    <w:rsid w:val="007F1EBE"/>
    <w:rsid w:val="007F1F41"/>
    <w:rsid w:val="007F21C6"/>
    <w:rsid w:val="007F2492"/>
    <w:rsid w:val="007F2893"/>
    <w:rsid w:val="007F2919"/>
    <w:rsid w:val="007F292A"/>
    <w:rsid w:val="007F2A81"/>
    <w:rsid w:val="007F2C02"/>
    <w:rsid w:val="007F2E00"/>
    <w:rsid w:val="007F31F2"/>
    <w:rsid w:val="007F3317"/>
    <w:rsid w:val="007F3624"/>
    <w:rsid w:val="007F3B6B"/>
    <w:rsid w:val="007F3BAA"/>
    <w:rsid w:val="007F3C98"/>
    <w:rsid w:val="007F3CA6"/>
    <w:rsid w:val="007F3F36"/>
    <w:rsid w:val="007F3FFA"/>
    <w:rsid w:val="007F401E"/>
    <w:rsid w:val="007F459E"/>
    <w:rsid w:val="007F4A5F"/>
    <w:rsid w:val="007F4AF0"/>
    <w:rsid w:val="007F4DE3"/>
    <w:rsid w:val="007F52B0"/>
    <w:rsid w:val="007F53DB"/>
    <w:rsid w:val="007F54E0"/>
    <w:rsid w:val="007F575E"/>
    <w:rsid w:val="007F5B74"/>
    <w:rsid w:val="007F5D43"/>
    <w:rsid w:val="007F622A"/>
    <w:rsid w:val="007F625B"/>
    <w:rsid w:val="007F637E"/>
    <w:rsid w:val="007F63F1"/>
    <w:rsid w:val="007F6420"/>
    <w:rsid w:val="007F652B"/>
    <w:rsid w:val="007F663B"/>
    <w:rsid w:val="007F6A96"/>
    <w:rsid w:val="007F6E84"/>
    <w:rsid w:val="007F6F92"/>
    <w:rsid w:val="007F7253"/>
    <w:rsid w:val="007F7287"/>
    <w:rsid w:val="007F72A6"/>
    <w:rsid w:val="007F74DE"/>
    <w:rsid w:val="007F755E"/>
    <w:rsid w:val="007F76A0"/>
    <w:rsid w:val="007F78ED"/>
    <w:rsid w:val="007F794B"/>
    <w:rsid w:val="007F7B42"/>
    <w:rsid w:val="007F7BF2"/>
    <w:rsid w:val="007F7D54"/>
    <w:rsid w:val="007F7D61"/>
    <w:rsid w:val="007F7E14"/>
    <w:rsid w:val="0080050E"/>
    <w:rsid w:val="008005AC"/>
    <w:rsid w:val="00800754"/>
    <w:rsid w:val="00800BC8"/>
    <w:rsid w:val="0080136D"/>
    <w:rsid w:val="008014B5"/>
    <w:rsid w:val="00801590"/>
    <w:rsid w:val="0080164F"/>
    <w:rsid w:val="008016DC"/>
    <w:rsid w:val="008019F6"/>
    <w:rsid w:val="00801B97"/>
    <w:rsid w:val="00801C47"/>
    <w:rsid w:val="00801C8A"/>
    <w:rsid w:val="00801D62"/>
    <w:rsid w:val="00802098"/>
    <w:rsid w:val="008021C0"/>
    <w:rsid w:val="00802713"/>
    <w:rsid w:val="00802A3E"/>
    <w:rsid w:val="00802EAD"/>
    <w:rsid w:val="008030A6"/>
    <w:rsid w:val="008031A4"/>
    <w:rsid w:val="008037BE"/>
    <w:rsid w:val="00803A27"/>
    <w:rsid w:val="00803A3A"/>
    <w:rsid w:val="00803F82"/>
    <w:rsid w:val="00804142"/>
    <w:rsid w:val="00804172"/>
    <w:rsid w:val="0080418C"/>
    <w:rsid w:val="00804251"/>
    <w:rsid w:val="00804350"/>
    <w:rsid w:val="008045CF"/>
    <w:rsid w:val="008046C3"/>
    <w:rsid w:val="00804BAF"/>
    <w:rsid w:val="00804DF5"/>
    <w:rsid w:val="00805350"/>
    <w:rsid w:val="008055F4"/>
    <w:rsid w:val="008057FE"/>
    <w:rsid w:val="008058FA"/>
    <w:rsid w:val="00805A54"/>
    <w:rsid w:val="00805BC8"/>
    <w:rsid w:val="00805BF2"/>
    <w:rsid w:val="00805C4F"/>
    <w:rsid w:val="00805FD1"/>
    <w:rsid w:val="00806273"/>
    <w:rsid w:val="008064BC"/>
    <w:rsid w:val="0080658D"/>
    <w:rsid w:val="00806622"/>
    <w:rsid w:val="00806643"/>
    <w:rsid w:val="00806ACA"/>
    <w:rsid w:val="00806DD7"/>
    <w:rsid w:val="0080724E"/>
    <w:rsid w:val="0080748E"/>
    <w:rsid w:val="00807D05"/>
    <w:rsid w:val="0081022A"/>
    <w:rsid w:val="008102A1"/>
    <w:rsid w:val="008103A5"/>
    <w:rsid w:val="008104E6"/>
    <w:rsid w:val="00810886"/>
    <w:rsid w:val="00810A81"/>
    <w:rsid w:val="00810D10"/>
    <w:rsid w:val="00810DA5"/>
    <w:rsid w:val="00810DD2"/>
    <w:rsid w:val="008112E6"/>
    <w:rsid w:val="00811600"/>
    <w:rsid w:val="00811B95"/>
    <w:rsid w:val="00811BFD"/>
    <w:rsid w:val="00811C4B"/>
    <w:rsid w:val="00811CE9"/>
    <w:rsid w:val="00811D25"/>
    <w:rsid w:val="00811D2D"/>
    <w:rsid w:val="00811D2E"/>
    <w:rsid w:val="00812196"/>
    <w:rsid w:val="0081229A"/>
    <w:rsid w:val="008123C2"/>
    <w:rsid w:val="0081261F"/>
    <w:rsid w:val="0081299E"/>
    <w:rsid w:val="00812CC0"/>
    <w:rsid w:val="00812E8A"/>
    <w:rsid w:val="00812FE9"/>
    <w:rsid w:val="008131C3"/>
    <w:rsid w:val="008132CC"/>
    <w:rsid w:val="008138A7"/>
    <w:rsid w:val="008138CA"/>
    <w:rsid w:val="00813957"/>
    <w:rsid w:val="00813FDB"/>
    <w:rsid w:val="00814379"/>
    <w:rsid w:val="00814385"/>
    <w:rsid w:val="008145D4"/>
    <w:rsid w:val="008146CA"/>
    <w:rsid w:val="0081494B"/>
    <w:rsid w:val="00814FA6"/>
    <w:rsid w:val="00814FAD"/>
    <w:rsid w:val="00814FF4"/>
    <w:rsid w:val="0081500E"/>
    <w:rsid w:val="0081527E"/>
    <w:rsid w:val="008152B6"/>
    <w:rsid w:val="0081532A"/>
    <w:rsid w:val="0081537E"/>
    <w:rsid w:val="008153BF"/>
    <w:rsid w:val="00815528"/>
    <w:rsid w:val="00815643"/>
    <w:rsid w:val="0081576C"/>
    <w:rsid w:val="00815931"/>
    <w:rsid w:val="00815945"/>
    <w:rsid w:val="00815A0D"/>
    <w:rsid w:val="00815E77"/>
    <w:rsid w:val="008167EB"/>
    <w:rsid w:val="00817317"/>
    <w:rsid w:val="008173D2"/>
    <w:rsid w:val="008175D0"/>
    <w:rsid w:val="00817C72"/>
    <w:rsid w:val="00817CD5"/>
    <w:rsid w:val="00817CE8"/>
    <w:rsid w:val="00817EDB"/>
    <w:rsid w:val="00817FC7"/>
    <w:rsid w:val="00820802"/>
    <w:rsid w:val="0082087B"/>
    <w:rsid w:val="00820BB6"/>
    <w:rsid w:val="00820F73"/>
    <w:rsid w:val="00820F76"/>
    <w:rsid w:val="008213BB"/>
    <w:rsid w:val="0082196A"/>
    <w:rsid w:val="00821CB3"/>
    <w:rsid w:val="008220CB"/>
    <w:rsid w:val="0082221B"/>
    <w:rsid w:val="008228E3"/>
    <w:rsid w:val="008229DD"/>
    <w:rsid w:val="00822AD8"/>
    <w:rsid w:val="00822C37"/>
    <w:rsid w:val="00822D0E"/>
    <w:rsid w:val="00822DE7"/>
    <w:rsid w:val="00822E63"/>
    <w:rsid w:val="00823065"/>
    <w:rsid w:val="0082319E"/>
    <w:rsid w:val="0082326A"/>
    <w:rsid w:val="0082338C"/>
    <w:rsid w:val="0082341D"/>
    <w:rsid w:val="00823588"/>
    <w:rsid w:val="00823752"/>
    <w:rsid w:val="00823D2D"/>
    <w:rsid w:val="00823E39"/>
    <w:rsid w:val="00823F53"/>
    <w:rsid w:val="00824126"/>
    <w:rsid w:val="0082431C"/>
    <w:rsid w:val="00824376"/>
    <w:rsid w:val="008245E9"/>
    <w:rsid w:val="00824905"/>
    <w:rsid w:val="00824B11"/>
    <w:rsid w:val="00824C88"/>
    <w:rsid w:val="00824E8A"/>
    <w:rsid w:val="00825120"/>
    <w:rsid w:val="00825509"/>
    <w:rsid w:val="008255A3"/>
    <w:rsid w:val="008255DA"/>
    <w:rsid w:val="00825850"/>
    <w:rsid w:val="00825AAD"/>
    <w:rsid w:val="00825BDB"/>
    <w:rsid w:val="00825DC1"/>
    <w:rsid w:val="00825EB7"/>
    <w:rsid w:val="008261E4"/>
    <w:rsid w:val="00826591"/>
    <w:rsid w:val="00826599"/>
    <w:rsid w:val="00826644"/>
    <w:rsid w:val="008269BC"/>
    <w:rsid w:val="00827700"/>
    <w:rsid w:val="00827ACD"/>
    <w:rsid w:val="00827BB7"/>
    <w:rsid w:val="00827C6D"/>
    <w:rsid w:val="00827E7C"/>
    <w:rsid w:val="00827F0F"/>
    <w:rsid w:val="008302BF"/>
    <w:rsid w:val="00830793"/>
    <w:rsid w:val="00830F2B"/>
    <w:rsid w:val="00830F3C"/>
    <w:rsid w:val="00830F6D"/>
    <w:rsid w:val="008310F1"/>
    <w:rsid w:val="00831539"/>
    <w:rsid w:val="0083183D"/>
    <w:rsid w:val="00831A7E"/>
    <w:rsid w:val="008320FC"/>
    <w:rsid w:val="00832124"/>
    <w:rsid w:val="00832310"/>
    <w:rsid w:val="0083233A"/>
    <w:rsid w:val="0083248D"/>
    <w:rsid w:val="008324AB"/>
    <w:rsid w:val="008327C9"/>
    <w:rsid w:val="0083288C"/>
    <w:rsid w:val="00832938"/>
    <w:rsid w:val="00832B49"/>
    <w:rsid w:val="00832D25"/>
    <w:rsid w:val="00832D84"/>
    <w:rsid w:val="00832F8B"/>
    <w:rsid w:val="00832F8E"/>
    <w:rsid w:val="00833204"/>
    <w:rsid w:val="00833312"/>
    <w:rsid w:val="00833336"/>
    <w:rsid w:val="00833628"/>
    <w:rsid w:val="00833893"/>
    <w:rsid w:val="00833B2B"/>
    <w:rsid w:val="00833B58"/>
    <w:rsid w:val="00833B6D"/>
    <w:rsid w:val="00833C10"/>
    <w:rsid w:val="00833CED"/>
    <w:rsid w:val="00833D69"/>
    <w:rsid w:val="00833E47"/>
    <w:rsid w:val="00833F3A"/>
    <w:rsid w:val="00834136"/>
    <w:rsid w:val="00834197"/>
    <w:rsid w:val="008346ED"/>
    <w:rsid w:val="0083470B"/>
    <w:rsid w:val="00834812"/>
    <w:rsid w:val="008348A9"/>
    <w:rsid w:val="00834BFE"/>
    <w:rsid w:val="00834C5B"/>
    <w:rsid w:val="00834D06"/>
    <w:rsid w:val="00834F33"/>
    <w:rsid w:val="00834F68"/>
    <w:rsid w:val="00835319"/>
    <w:rsid w:val="00835538"/>
    <w:rsid w:val="00835A35"/>
    <w:rsid w:val="00835E00"/>
    <w:rsid w:val="00836418"/>
    <w:rsid w:val="0083681C"/>
    <w:rsid w:val="0083695C"/>
    <w:rsid w:val="00836D07"/>
    <w:rsid w:val="00836D09"/>
    <w:rsid w:val="00836F05"/>
    <w:rsid w:val="0083707A"/>
    <w:rsid w:val="00837082"/>
    <w:rsid w:val="00837150"/>
    <w:rsid w:val="00837493"/>
    <w:rsid w:val="00837863"/>
    <w:rsid w:val="00837B84"/>
    <w:rsid w:val="00837C68"/>
    <w:rsid w:val="00837D7E"/>
    <w:rsid w:val="00840096"/>
    <w:rsid w:val="00840270"/>
    <w:rsid w:val="00840562"/>
    <w:rsid w:val="0084059A"/>
    <w:rsid w:val="00840700"/>
    <w:rsid w:val="008407DA"/>
    <w:rsid w:val="00840836"/>
    <w:rsid w:val="00840A13"/>
    <w:rsid w:val="00840B28"/>
    <w:rsid w:val="00840B2E"/>
    <w:rsid w:val="00840B45"/>
    <w:rsid w:val="00840EEB"/>
    <w:rsid w:val="00840F3A"/>
    <w:rsid w:val="0084124A"/>
    <w:rsid w:val="008412F9"/>
    <w:rsid w:val="0084147A"/>
    <w:rsid w:val="008414B0"/>
    <w:rsid w:val="008416B6"/>
    <w:rsid w:val="0084186B"/>
    <w:rsid w:val="008418B2"/>
    <w:rsid w:val="008419EA"/>
    <w:rsid w:val="008420D3"/>
    <w:rsid w:val="00842128"/>
    <w:rsid w:val="0084247A"/>
    <w:rsid w:val="008424DB"/>
    <w:rsid w:val="00842652"/>
    <w:rsid w:val="0084289F"/>
    <w:rsid w:val="00842D5E"/>
    <w:rsid w:val="00842EDD"/>
    <w:rsid w:val="0084309F"/>
    <w:rsid w:val="008430EB"/>
    <w:rsid w:val="008435B5"/>
    <w:rsid w:val="008435D5"/>
    <w:rsid w:val="008435E8"/>
    <w:rsid w:val="0084366E"/>
    <w:rsid w:val="00843935"/>
    <w:rsid w:val="00843942"/>
    <w:rsid w:val="00843979"/>
    <w:rsid w:val="00843A76"/>
    <w:rsid w:val="00843AB5"/>
    <w:rsid w:val="00843C1D"/>
    <w:rsid w:val="00843CF2"/>
    <w:rsid w:val="00843F64"/>
    <w:rsid w:val="0084402E"/>
    <w:rsid w:val="008440A2"/>
    <w:rsid w:val="0084456D"/>
    <w:rsid w:val="008449EC"/>
    <w:rsid w:val="00844ACC"/>
    <w:rsid w:val="00845303"/>
    <w:rsid w:val="00845859"/>
    <w:rsid w:val="0084594B"/>
    <w:rsid w:val="00845C84"/>
    <w:rsid w:val="00845CF3"/>
    <w:rsid w:val="00845D38"/>
    <w:rsid w:val="00846380"/>
    <w:rsid w:val="008464A7"/>
    <w:rsid w:val="00846725"/>
    <w:rsid w:val="00846858"/>
    <w:rsid w:val="00846B40"/>
    <w:rsid w:val="00846C20"/>
    <w:rsid w:val="00847111"/>
    <w:rsid w:val="008471CD"/>
    <w:rsid w:val="0084724C"/>
    <w:rsid w:val="00847363"/>
    <w:rsid w:val="00847397"/>
    <w:rsid w:val="008473E1"/>
    <w:rsid w:val="00847551"/>
    <w:rsid w:val="008475B5"/>
    <w:rsid w:val="00847628"/>
    <w:rsid w:val="00847653"/>
    <w:rsid w:val="00847664"/>
    <w:rsid w:val="0084776F"/>
    <w:rsid w:val="008477A6"/>
    <w:rsid w:val="00847833"/>
    <w:rsid w:val="00847AAD"/>
    <w:rsid w:val="0085004E"/>
    <w:rsid w:val="00850133"/>
    <w:rsid w:val="008502B8"/>
    <w:rsid w:val="008504E9"/>
    <w:rsid w:val="008505CA"/>
    <w:rsid w:val="008505EA"/>
    <w:rsid w:val="008507C6"/>
    <w:rsid w:val="00850928"/>
    <w:rsid w:val="00850D91"/>
    <w:rsid w:val="00851943"/>
    <w:rsid w:val="008519BA"/>
    <w:rsid w:val="00851E92"/>
    <w:rsid w:val="00851FC4"/>
    <w:rsid w:val="0085221A"/>
    <w:rsid w:val="00852549"/>
    <w:rsid w:val="00852701"/>
    <w:rsid w:val="0085273F"/>
    <w:rsid w:val="00852C74"/>
    <w:rsid w:val="00852D21"/>
    <w:rsid w:val="0085376F"/>
    <w:rsid w:val="008538B3"/>
    <w:rsid w:val="008538C6"/>
    <w:rsid w:val="00853C58"/>
    <w:rsid w:val="008542DF"/>
    <w:rsid w:val="008549D8"/>
    <w:rsid w:val="00854B98"/>
    <w:rsid w:val="00854DAD"/>
    <w:rsid w:val="0085566F"/>
    <w:rsid w:val="008559C4"/>
    <w:rsid w:val="00855CAC"/>
    <w:rsid w:val="008562BD"/>
    <w:rsid w:val="00856524"/>
    <w:rsid w:val="00856589"/>
    <w:rsid w:val="00856CAA"/>
    <w:rsid w:val="00856E0E"/>
    <w:rsid w:val="00856E45"/>
    <w:rsid w:val="00857139"/>
    <w:rsid w:val="008572D2"/>
    <w:rsid w:val="008577F4"/>
    <w:rsid w:val="0085798C"/>
    <w:rsid w:val="008579F1"/>
    <w:rsid w:val="00857CCD"/>
    <w:rsid w:val="00857FF5"/>
    <w:rsid w:val="008604BA"/>
    <w:rsid w:val="0086050D"/>
    <w:rsid w:val="00860DB8"/>
    <w:rsid w:val="00860FA5"/>
    <w:rsid w:val="0086115D"/>
    <w:rsid w:val="008612E8"/>
    <w:rsid w:val="00861353"/>
    <w:rsid w:val="00861832"/>
    <w:rsid w:val="008618A0"/>
    <w:rsid w:val="00861915"/>
    <w:rsid w:val="00861A1D"/>
    <w:rsid w:val="00861AFE"/>
    <w:rsid w:val="00862743"/>
    <w:rsid w:val="00862A54"/>
    <w:rsid w:val="00862AD1"/>
    <w:rsid w:val="00862EB3"/>
    <w:rsid w:val="0086368D"/>
    <w:rsid w:val="008636A1"/>
    <w:rsid w:val="008636E1"/>
    <w:rsid w:val="00863A7D"/>
    <w:rsid w:val="00863B3B"/>
    <w:rsid w:val="00863B4B"/>
    <w:rsid w:val="00863BA7"/>
    <w:rsid w:val="00864174"/>
    <w:rsid w:val="008643E6"/>
    <w:rsid w:val="008644B9"/>
    <w:rsid w:val="008644F6"/>
    <w:rsid w:val="008645F1"/>
    <w:rsid w:val="008649D3"/>
    <w:rsid w:val="00864A73"/>
    <w:rsid w:val="00864B7F"/>
    <w:rsid w:val="00864D10"/>
    <w:rsid w:val="00864E42"/>
    <w:rsid w:val="00865341"/>
    <w:rsid w:val="00865B3C"/>
    <w:rsid w:val="00866267"/>
    <w:rsid w:val="00866A8F"/>
    <w:rsid w:val="00866EB6"/>
    <w:rsid w:val="00866FF8"/>
    <w:rsid w:val="00867119"/>
    <w:rsid w:val="008675AC"/>
    <w:rsid w:val="00870165"/>
    <w:rsid w:val="0087028B"/>
    <w:rsid w:val="0087047A"/>
    <w:rsid w:val="00870A48"/>
    <w:rsid w:val="00870B12"/>
    <w:rsid w:val="00870E17"/>
    <w:rsid w:val="00870E89"/>
    <w:rsid w:val="0087121F"/>
    <w:rsid w:val="008712D8"/>
    <w:rsid w:val="0087160B"/>
    <w:rsid w:val="0087161F"/>
    <w:rsid w:val="0087177B"/>
    <w:rsid w:val="00871804"/>
    <w:rsid w:val="008719EA"/>
    <w:rsid w:val="00871B2D"/>
    <w:rsid w:val="00871C93"/>
    <w:rsid w:val="00871E37"/>
    <w:rsid w:val="00871E63"/>
    <w:rsid w:val="00871FAF"/>
    <w:rsid w:val="008720C3"/>
    <w:rsid w:val="0087257D"/>
    <w:rsid w:val="008728DB"/>
    <w:rsid w:val="008729C3"/>
    <w:rsid w:val="00872A20"/>
    <w:rsid w:val="00872A78"/>
    <w:rsid w:val="00872ADD"/>
    <w:rsid w:val="00872CBB"/>
    <w:rsid w:val="00872DA2"/>
    <w:rsid w:val="00872DCD"/>
    <w:rsid w:val="008730BE"/>
    <w:rsid w:val="00873219"/>
    <w:rsid w:val="0087355D"/>
    <w:rsid w:val="00873781"/>
    <w:rsid w:val="008738DA"/>
    <w:rsid w:val="00873A95"/>
    <w:rsid w:val="00873AD2"/>
    <w:rsid w:val="00873C8C"/>
    <w:rsid w:val="00873EE3"/>
    <w:rsid w:val="008740AD"/>
    <w:rsid w:val="0087450C"/>
    <w:rsid w:val="008747F1"/>
    <w:rsid w:val="0087487B"/>
    <w:rsid w:val="008749FB"/>
    <w:rsid w:val="00874C8C"/>
    <w:rsid w:val="00874F98"/>
    <w:rsid w:val="008751AD"/>
    <w:rsid w:val="00875214"/>
    <w:rsid w:val="008753FF"/>
    <w:rsid w:val="0087561E"/>
    <w:rsid w:val="00875952"/>
    <w:rsid w:val="00875B3A"/>
    <w:rsid w:val="00875B6F"/>
    <w:rsid w:val="00875D7E"/>
    <w:rsid w:val="00875F0B"/>
    <w:rsid w:val="008761D0"/>
    <w:rsid w:val="008764F3"/>
    <w:rsid w:val="00876592"/>
    <w:rsid w:val="00876688"/>
    <w:rsid w:val="00876AB1"/>
    <w:rsid w:val="00876BFA"/>
    <w:rsid w:val="00876D53"/>
    <w:rsid w:val="00876E0B"/>
    <w:rsid w:val="00876E27"/>
    <w:rsid w:val="008770BC"/>
    <w:rsid w:val="0087718E"/>
    <w:rsid w:val="008772B6"/>
    <w:rsid w:val="0087752F"/>
    <w:rsid w:val="00877839"/>
    <w:rsid w:val="0087788E"/>
    <w:rsid w:val="00877C50"/>
    <w:rsid w:val="00880183"/>
    <w:rsid w:val="0088024C"/>
    <w:rsid w:val="0088066F"/>
    <w:rsid w:val="00880CC7"/>
    <w:rsid w:val="00880E1C"/>
    <w:rsid w:val="00880EC5"/>
    <w:rsid w:val="0088107F"/>
    <w:rsid w:val="008813CC"/>
    <w:rsid w:val="008814AB"/>
    <w:rsid w:val="008814DA"/>
    <w:rsid w:val="00881785"/>
    <w:rsid w:val="0088193A"/>
    <w:rsid w:val="00881B60"/>
    <w:rsid w:val="00881B95"/>
    <w:rsid w:val="00881BE9"/>
    <w:rsid w:val="00881CA0"/>
    <w:rsid w:val="00881E8C"/>
    <w:rsid w:val="00881FDB"/>
    <w:rsid w:val="0088258C"/>
    <w:rsid w:val="00882AB8"/>
    <w:rsid w:val="00882C88"/>
    <w:rsid w:val="00882D7A"/>
    <w:rsid w:val="00882F91"/>
    <w:rsid w:val="00883901"/>
    <w:rsid w:val="00883A63"/>
    <w:rsid w:val="00883C1D"/>
    <w:rsid w:val="00883C92"/>
    <w:rsid w:val="00883ED4"/>
    <w:rsid w:val="00884056"/>
    <w:rsid w:val="008843D3"/>
    <w:rsid w:val="008843FC"/>
    <w:rsid w:val="008847BF"/>
    <w:rsid w:val="00884996"/>
    <w:rsid w:val="00884B57"/>
    <w:rsid w:val="00884E21"/>
    <w:rsid w:val="0088515B"/>
    <w:rsid w:val="0088516B"/>
    <w:rsid w:val="00885381"/>
    <w:rsid w:val="0088541E"/>
    <w:rsid w:val="0088557F"/>
    <w:rsid w:val="008856A3"/>
    <w:rsid w:val="008857EA"/>
    <w:rsid w:val="0088583E"/>
    <w:rsid w:val="00885945"/>
    <w:rsid w:val="00885B55"/>
    <w:rsid w:val="00885C91"/>
    <w:rsid w:val="00885E4C"/>
    <w:rsid w:val="008862C4"/>
    <w:rsid w:val="0088646F"/>
    <w:rsid w:val="008865E7"/>
    <w:rsid w:val="00886822"/>
    <w:rsid w:val="008868B1"/>
    <w:rsid w:val="0088695F"/>
    <w:rsid w:val="00886E75"/>
    <w:rsid w:val="00886EE9"/>
    <w:rsid w:val="008870FA"/>
    <w:rsid w:val="00887162"/>
    <w:rsid w:val="008872A9"/>
    <w:rsid w:val="00887974"/>
    <w:rsid w:val="00887BA2"/>
    <w:rsid w:val="00887C12"/>
    <w:rsid w:val="00887ED8"/>
    <w:rsid w:val="00887F92"/>
    <w:rsid w:val="00890021"/>
    <w:rsid w:val="00890703"/>
    <w:rsid w:val="008907E7"/>
    <w:rsid w:val="00890858"/>
    <w:rsid w:val="0089099B"/>
    <w:rsid w:val="00890BE2"/>
    <w:rsid w:val="00890D1E"/>
    <w:rsid w:val="00890FD8"/>
    <w:rsid w:val="008912E9"/>
    <w:rsid w:val="008913F2"/>
    <w:rsid w:val="0089176D"/>
    <w:rsid w:val="00891FA5"/>
    <w:rsid w:val="00892118"/>
    <w:rsid w:val="00892434"/>
    <w:rsid w:val="008924BF"/>
    <w:rsid w:val="0089281A"/>
    <w:rsid w:val="0089296E"/>
    <w:rsid w:val="00892D81"/>
    <w:rsid w:val="00892D90"/>
    <w:rsid w:val="00892F47"/>
    <w:rsid w:val="00893195"/>
    <w:rsid w:val="00893642"/>
    <w:rsid w:val="00893A3E"/>
    <w:rsid w:val="00893AC2"/>
    <w:rsid w:val="00893B18"/>
    <w:rsid w:val="00893B68"/>
    <w:rsid w:val="00893C07"/>
    <w:rsid w:val="00893CCD"/>
    <w:rsid w:val="00893E91"/>
    <w:rsid w:val="00894196"/>
    <w:rsid w:val="00894246"/>
    <w:rsid w:val="008942DA"/>
    <w:rsid w:val="0089456B"/>
    <w:rsid w:val="008949B1"/>
    <w:rsid w:val="00894CF8"/>
    <w:rsid w:val="00894E07"/>
    <w:rsid w:val="0089580D"/>
    <w:rsid w:val="0089591C"/>
    <w:rsid w:val="00895C1E"/>
    <w:rsid w:val="00895E42"/>
    <w:rsid w:val="00896016"/>
    <w:rsid w:val="008960E4"/>
    <w:rsid w:val="008962DD"/>
    <w:rsid w:val="008965C4"/>
    <w:rsid w:val="008966D3"/>
    <w:rsid w:val="0089678D"/>
    <w:rsid w:val="0089697E"/>
    <w:rsid w:val="00896B04"/>
    <w:rsid w:val="00896C5D"/>
    <w:rsid w:val="00896E4B"/>
    <w:rsid w:val="0089770A"/>
    <w:rsid w:val="00897DDA"/>
    <w:rsid w:val="00897F29"/>
    <w:rsid w:val="00897F73"/>
    <w:rsid w:val="008A002F"/>
    <w:rsid w:val="008A021F"/>
    <w:rsid w:val="008A0676"/>
    <w:rsid w:val="008A07A7"/>
    <w:rsid w:val="008A080E"/>
    <w:rsid w:val="008A0A2D"/>
    <w:rsid w:val="008A0B49"/>
    <w:rsid w:val="008A0B4A"/>
    <w:rsid w:val="008A0FD6"/>
    <w:rsid w:val="008A14E5"/>
    <w:rsid w:val="008A1C4A"/>
    <w:rsid w:val="008A1ED1"/>
    <w:rsid w:val="008A2222"/>
    <w:rsid w:val="008A22B9"/>
    <w:rsid w:val="008A2615"/>
    <w:rsid w:val="008A29B3"/>
    <w:rsid w:val="008A29B9"/>
    <w:rsid w:val="008A2C6B"/>
    <w:rsid w:val="008A2C9B"/>
    <w:rsid w:val="008A2D95"/>
    <w:rsid w:val="008A3554"/>
    <w:rsid w:val="008A37D9"/>
    <w:rsid w:val="008A3997"/>
    <w:rsid w:val="008A3C2A"/>
    <w:rsid w:val="008A3D24"/>
    <w:rsid w:val="008A3E73"/>
    <w:rsid w:val="008A3F2F"/>
    <w:rsid w:val="008A411F"/>
    <w:rsid w:val="008A478C"/>
    <w:rsid w:val="008A4859"/>
    <w:rsid w:val="008A4935"/>
    <w:rsid w:val="008A4B33"/>
    <w:rsid w:val="008A4CC6"/>
    <w:rsid w:val="008A4DB8"/>
    <w:rsid w:val="008A514D"/>
    <w:rsid w:val="008A53AD"/>
    <w:rsid w:val="008A53CE"/>
    <w:rsid w:val="008A57D4"/>
    <w:rsid w:val="008A5A6E"/>
    <w:rsid w:val="008A5BD5"/>
    <w:rsid w:val="008A5CBE"/>
    <w:rsid w:val="008A5CD8"/>
    <w:rsid w:val="008A5F1A"/>
    <w:rsid w:val="008A5F5D"/>
    <w:rsid w:val="008A61B3"/>
    <w:rsid w:val="008A635F"/>
    <w:rsid w:val="008A650F"/>
    <w:rsid w:val="008A6802"/>
    <w:rsid w:val="008A68BB"/>
    <w:rsid w:val="008A6AC2"/>
    <w:rsid w:val="008A6ADB"/>
    <w:rsid w:val="008A6C86"/>
    <w:rsid w:val="008A713B"/>
    <w:rsid w:val="008A731A"/>
    <w:rsid w:val="008A73E2"/>
    <w:rsid w:val="008A7445"/>
    <w:rsid w:val="008A7866"/>
    <w:rsid w:val="008A78F6"/>
    <w:rsid w:val="008A7B9B"/>
    <w:rsid w:val="008A7C3C"/>
    <w:rsid w:val="008B01D4"/>
    <w:rsid w:val="008B0314"/>
    <w:rsid w:val="008B0332"/>
    <w:rsid w:val="008B06F2"/>
    <w:rsid w:val="008B0942"/>
    <w:rsid w:val="008B0996"/>
    <w:rsid w:val="008B0A33"/>
    <w:rsid w:val="008B0CFB"/>
    <w:rsid w:val="008B0EC0"/>
    <w:rsid w:val="008B1220"/>
    <w:rsid w:val="008B12F8"/>
    <w:rsid w:val="008B1365"/>
    <w:rsid w:val="008B1666"/>
    <w:rsid w:val="008B16CF"/>
    <w:rsid w:val="008B1B53"/>
    <w:rsid w:val="008B1B80"/>
    <w:rsid w:val="008B1D1A"/>
    <w:rsid w:val="008B213C"/>
    <w:rsid w:val="008B23C9"/>
    <w:rsid w:val="008B23CD"/>
    <w:rsid w:val="008B2638"/>
    <w:rsid w:val="008B2B96"/>
    <w:rsid w:val="008B2BE7"/>
    <w:rsid w:val="008B2D8C"/>
    <w:rsid w:val="008B2F77"/>
    <w:rsid w:val="008B2F88"/>
    <w:rsid w:val="008B306C"/>
    <w:rsid w:val="008B3215"/>
    <w:rsid w:val="008B32F1"/>
    <w:rsid w:val="008B3532"/>
    <w:rsid w:val="008B35D2"/>
    <w:rsid w:val="008B37DB"/>
    <w:rsid w:val="008B399B"/>
    <w:rsid w:val="008B3BC4"/>
    <w:rsid w:val="008B45A4"/>
    <w:rsid w:val="008B472B"/>
    <w:rsid w:val="008B4B1E"/>
    <w:rsid w:val="008B4D35"/>
    <w:rsid w:val="008B518B"/>
    <w:rsid w:val="008B51B5"/>
    <w:rsid w:val="008B5334"/>
    <w:rsid w:val="008B557A"/>
    <w:rsid w:val="008B594E"/>
    <w:rsid w:val="008B5B1E"/>
    <w:rsid w:val="008B5BB7"/>
    <w:rsid w:val="008B5E1F"/>
    <w:rsid w:val="008B62D1"/>
    <w:rsid w:val="008B6373"/>
    <w:rsid w:val="008B648B"/>
    <w:rsid w:val="008B6A1F"/>
    <w:rsid w:val="008B6C1A"/>
    <w:rsid w:val="008B6F23"/>
    <w:rsid w:val="008B71ED"/>
    <w:rsid w:val="008B7636"/>
    <w:rsid w:val="008B763D"/>
    <w:rsid w:val="008B7725"/>
    <w:rsid w:val="008B77F0"/>
    <w:rsid w:val="008B77F8"/>
    <w:rsid w:val="008B7AB0"/>
    <w:rsid w:val="008B7CAA"/>
    <w:rsid w:val="008B7DE3"/>
    <w:rsid w:val="008B7E12"/>
    <w:rsid w:val="008C0061"/>
    <w:rsid w:val="008C0646"/>
    <w:rsid w:val="008C0758"/>
    <w:rsid w:val="008C08AB"/>
    <w:rsid w:val="008C09A9"/>
    <w:rsid w:val="008C0A0F"/>
    <w:rsid w:val="008C0C41"/>
    <w:rsid w:val="008C0F47"/>
    <w:rsid w:val="008C0F96"/>
    <w:rsid w:val="008C109F"/>
    <w:rsid w:val="008C10E6"/>
    <w:rsid w:val="008C10F3"/>
    <w:rsid w:val="008C15C8"/>
    <w:rsid w:val="008C1828"/>
    <w:rsid w:val="008C1B0F"/>
    <w:rsid w:val="008C1B3A"/>
    <w:rsid w:val="008C1B68"/>
    <w:rsid w:val="008C2269"/>
    <w:rsid w:val="008C2471"/>
    <w:rsid w:val="008C2850"/>
    <w:rsid w:val="008C2BD6"/>
    <w:rsid w:val="008C2C4B"/>
    <w:rsid w:val="008C2F65"/>
    <w:rsid w:val="008C3037"/>
    <w:rsid w:val="008C3133"/>
    <w:rsid w:val="008C3146"/>
    <w:rsid w:val="008C31BF"/>
    <w:rsid w:val="008C3665"/>
    <w:rsid w:val="008C393A"/>
    <w:rsid w:val="008C3AD9"/>
    <w:rsid w:val="008C3D3F"/>
    <w:rsid w:val="008C3ED3"/>
    <w:rsid w:val="008C3F19"/>
    <w:rsid w:val="008C3FDE"/>
    <w:rsid w:val="008C41A0"/>
    <w:rsid w:val="008C41B5"/>
    <w:rsid w:val="008C46B2"/>
    <w:rsid w:val="008C46B5"/>
    <w:rsid w:val="008C4A0D"/>
    <w:rsid w:val="008C4DB0"/>
    <w:rsid w:val="008C4F24"/>
    <w:rsid w:val="008C4FB7"/>
    <w:rsid w:val="008C5302"/>
    <w:rsid w:val="008C5F03"/>
    <w:rsid w:val="008C61A6"/>
    <w:rsid w:val="008C61FE"/>
    <w:rsid w:val="008C6445"/>
    <w:rsid w:val="008C6616"/>
    <w:rsid w:val="008C66DA"/>
    <w:rsid w:val="008C6721"/>
    <w:rsid w:val="008C6C04"/>
    <w:rsid w:val="008C6DC3"/>
    <w:rsid w:val="008C6E2B"/>
    <w:rsid w:val="008C7048"/>
    <w:rsid w:val="008C70EC"/>
    <w:rsid w:val="008C7170"/>
    <w:rsid w:val="008C745E"/>
    <w:rsid w:val="008C797F"/>
    <w:rsid w:val="008C7998"/>
    <w:rsid w:val="008C7E32"/>
    <w:rsid w:val="008C7F01"/>
    <w:rsid w:val="008C7F3C"/>
    <w:rsid w:val="008D04A1"/>
    <w:rsid w:val="008D05EE"/>
    <w:rsid w:val="008D08D9"/>
    <w:rsid w:val="008D09AD"/>
    <w:rsid w:val="008D0DDD"/>
    <w:rsid w:val="008D153F"/>
    <w:rsid w:val="008D185B"/>
    <w:rsid w:val="008D188A"/>
    <w:rsid w:val="008D1B70"/>
    <w:rsid w:val="008D1CF8"/>
    <w:rsid w:val="008D1F4B"/>
    <w:rsid w:val="008D2497"/>
    <w:rsid w:val="008D2909"/>
    <w:rsid w:val="008D29B7"/>
    <w:rsid w:val="008D2AAD"/>
    <w:rsid w:val="008D2BEE"/>
    <w:rsid w:val="008D2C69"/>
    <w:rsid w:val="008D3360"/>
    <w:rsid w:val="008D337F"/>
    <w:rsid w:val="008D33AC"/>
    <w:rsid w:val="008D375B"/>
    <w:rsid w:val="008D3AC9"/>
    <w:rsid w:val="008D3C45"/>
    <w:rsid w:val="008D3D74"/>
    <w:rsid w:val="008D4022"/>
    <w:rsid w:val="008D46C1"/>
    <w:rsid w:val="008D4731"/>
    <w:rsid w:val="008D4802"/>
    <w:rsid w:val="008D4C29"/>
    <w:rsid w:val="008D4F8E"/>
    <w:rsid w:val="008D50CB"/>
    <w:rsid w:val="008D542F"/>
    <w:rsid w:val="008D5544"/>
    <w:rsid w:val="008D5640"/>
    <w:rsid w:val="008D591F"/>
    <w:rsid w:val="008D5989"/>
    <w:rsid w:val="008D5AA8"/>
    <w:rsid w:val="008D5F18"/>
    <w:rsid w:val="008D6042"/>
    <w:rsid w:val="008D6564"/>
    <w:rsid w:val="008D672E"/>
    <w:rsid w:val="008D6777"/>
    <w:rsid w:val="008D678D"/>
    <w:rsid w:val="008D67C1"/>
    <w:rsid w:val="008D6A0E"/>
    <w:rsid w:val="008D6C51"/>
    <w:rsid w:val="008D6CF6"/>
    <w:rsid w:val="008D6ED4"/>
    <w:rsid w:val="008D72F9"/>
    <w:rsid w:val="008D73C9"/>
    <w:rsid w:val="008D740B"/>
    <w:rsid w:val="008D776A"/>
    <w:rsid w:val="008D788E"/>
    <w:rsid w:val="008D7A44"/>
    <w:rsid w:val="008D7AF1"/>
    <w:rsid w:val="008D7D68"/>
    <w:rsid w:val="008E02E7"/>
    <w:rsid w:val="008E032F"/>
    <w:rsid w:val="008E06FE"/>
    <w:rsid w:val="008E080E"/>
    <w:rsid w:val="008E09CB"/>
    <w:rsid w:val="008E0F16"/>
    <w:rsid w:val="008E12E1"/>
    <w:rsid w:val="008E130F"/>
    <w:rsid w:val="008E1552"/>
    <w:rsid w:val="008E1A18"/>
    <w:rsid w:val="008E1B1E"/>
    <w:rsid w:val="008E1B75"/>
    <w:rsid w:val="008E21E2"/>
    <w:rsid w:val="008E22A9"/>
    <w:rsid w:val="008E288C"/>
    <w:rsid w:val="008E29B3"/>
    <w:rsid w:val="008E2C1F"/>
    <w:rsid w:val="008E2D2A"/>
    <w:rsid w:val="008E2D92"/>
    <w:rsid w:val="008E2F69"/>
    <w:rsid w:val="008E334F"/>
    <w:rsid w:val="008E378E"/>
    <w:rsid w:val="008E3D4E"/>
    <w:rsid w:val="008E42C9"/>
    <w:rsid w:val="008E432B"/>
    <w:rsid w:val="008E4485"/>
    <w:rsid w:val="008E45D2"/>
    <w:rsid w:val="008E4746"/>
    <w:rsid w:val="008E47C1"/>
    <w:rsid w:val="008E48DE"/>
    <w:rsid w:val="008E4BC5"/>
    <w:rsid w:val="008E5167"/>
    <w:rsid w:val="008E5445"/>
    <w:rsid w:val="008E54E4"/>
    <w:rsid w:val="008E55EE"/>
    <w:rsid w:val="008E5752"/>
    <w:rsid w:val="008E57CE"/>
    <w:rsid w:val="008E5867"/>
    <w:rsid w:val="008E5B36"/>
    <w:rsid w:val="008E5C52"/>
    <w:rsid w:val="008E5D78"/>
    <w:rsid w:val="008E5F02"/>
    <w:rsid w:val="008E6178"/>
    <w:rsid w:val="008E6236"/>
    <w:rsid w:val="008E6485"/>
    <w:rsid w:val="008E6832"/>
    <w:rsid w:val="008E69D6"/>
    <w:rsid w:val="008E6D16"/>
    <w:rsid w:val="008E6FD7"/>
    <w:rsid w:val="008E71C5"/>
    <w:rsid w:val="008E72FD"/>
    <w:rsid w:val="008E7396"/>
    <w:rsid w:val="008E7A20"/>
    <w:rsid w:val="008E7D40"/>
    <w:rsid w:val="008E7F16"/>
    <w:rsid w:val="008F007E"/>
    <w:rsid w:val="008F052A"/>
    <w:rsid w:val="008F05F2"/>
    <w:rsid w:val="008F061C"/>
    <w:rsid w:val="008F07DF"/>
    <w:rsid w:val="008F084E"/>
    <w:rsid w:val="008F0973"/>
    <w:rsid w:val="008F0A3B"/>
    <w:rsid w:val="008F0A42"/>
    <w:rsid w:val="008F0BA8"/>
    <w:rsid w:val="008F0C6B"/>
    <w:rsid w:val="008F1007"/>
    <w:rsid w:val="008F10DE"/>
    <w:rsid w:val="008F1152"/>
    <w:rsid w:val="008F120F"/>
    <w:rsid w:val="008F12DF"/>
    <w:rsid w:val="008F13C0"/>
    <w:rsid w:val="008F1449"/>
    <w:rsid w:val="008F1965"/>
    <w:rsid w:val="008F1A19"/>
    <w:rsid w:val="008F1CBF"/>
    <w:rsid w:val="008F1FBA"/>
    <w:rsid w:val="008F2173"/>
    <w:rsid w:val="008F231E"/>
    <w:rsid w:val="008F28E7"/>
    <w:rsid w:val="008F2AAC"/>
    <w:rsid w:val="008F2B60"/>
    <w:rsid w:val="008F2C7A"/>
    <w:rsid w:val="008F2F31"/>
    <w:rsid w:val="008F308A"/>
    <w:rsid w:val="008F3171"/>
    <w:rsid w:val="008F3314"/>
    <w:rsid w:val="008F332A"/>
    <w:rsid w:val="008F394C"/>
    <w:rsid w:val="008F3D18"/>
    <w:rsid w:val="008F4147"/>
    <w:rsid w:val="008F44CE"/>
    <w:rsid w:val="008F44FD"/>
    <w:rsid w:val="008F4561"/>
    <w:rsid w:val="008F47EC"/>
    <w:rsid w:val="008F4DB4"/>
    <w:rsid w:val="008F50F9"/>
    <w:rsid w:val="008F51BC"/>
    <w:rsid w:val="008F591D"/>
    <w:rsid w:val="008F5CFB"/>
    <w:rsid w:val="008F62A2"/>
    <w:rsid w:val="008F62BA"/>
    <w:rsid w:val="008F630C"/>
    <w:rsid w:val="008F6391"/>
    <w:rsid w:val="008F65B8"/>
    <w:rsid w:val="008F672B"/>
    <w:rsid w:val="008F6D62"/>
    <w:rsid w:val="008F6E62"/>
    <w:rsid w:val="008F70A9"/>
    <w:rsid w:val="008F7334"/>
    <w:rsid w:val="008F7403"/>
    <w:rsid w:val="008F793C"/>
    <w:rsid w:val="008F7984"/>
    <w:rsid w:val="008F7A98"/>
    <w:rsid w:val="008F7DF4"/>
    <w:rsid w:val="008F7F8C"/>
    <w:rsid w:val="009004DD"/>
    <w:rsid w:val="00900557"/>
    <w:rsid w:val="00900771"/>
    <w:rsid w:val="00900923"/>
    <w:rsid w:val="00900AC6"/>
    <w:rsid w:val="00900C2F"/>
    <w:rsid w:val="0090123D"/>
    <w:rsid w:val="00901377"/>
    <w:rsid w:val="0090137B"/>
    <w:rsid w:val="009014B8"/>
    <w:rsid w:val="009018F1"/>
    <w:rsid w:val="0090190F"/>
    <w:rsid w:val="00901D1A"/>
    <w:rsid w:val="00901D35"/>
    <w:rsid w:val="009024A6"/>
    <w:rsid w:val="009028C7"/>
    <w:rsid w:val="00902963"/>
    <w:rsid w:val="00902BA2"/>
    <w:rsid w:val="00902D4F"/>
    <w:rsid w:val="00902DE8"/>
    <w:rsid w:val="009030CE"/>
    <w:rsid w:val="009031D6"/>
    <w:rsid w:val="009035A2"/>
    <w:rsid w:val="00903668"/>
    <w:rsid w:val="00903AE5"/>
    <w:rsid w:val="00903C13"/>
    <w:rsid w:val="00903C82"/>
    <w:rsid w:val="009040D6"/>
    <w:rsid w:val="009040F9"/>
    <w:rsid w:val="0090452C"/>
    <w:rsid w:val="00904569"/>
    <w:rsid w:val="00904984"/>
    <w:rsid w:val="00904BA2"/>
    <w:rsid w:val="00904C7D"/>
    <w:rsid w:val="00904F75"/>
    <w:rsid w:val="009051AC"/>
    <w:rsid w:val="00905393"/>
    <w:rsid w:val="009055AE"/>
    <w:rsid w:val="009055E9"/>
    <w:rsid w:val="009057AF"/>
    <w:rsid w:val="009057E3"/>
    <w:rsid w:val="00905B19"/>
    <w:rsid w:val="00905B48"/>
    <w:rsid w:val="00905B61"/>
    <w:rsid w:val="009060C5"/>
    <w:rsid w:val="0090620F"/>
    <w:rsid w:val="00906661"/>
    <w:rsid w:val="00906778"/>
    <w:rsid w:val="009069D7"/>
    <w:rsid w:val="00906CB2"/>
    <w:rsid w:val="00906E78"/>
    <w:rsid w:val="00906FCB"/>
    <w:rsid w:val="00907287"/>
    <w:rsid w:val="0090729C"/>
    <w:rsid w:val="00907320"/>
    <w:rsid w:val="009074EA"/>
    <w:rsid w:val="00907875"/>
    <w:rsid w:val="00907E18"/>
    <w:rsid w:val="00907ED1"/>
    <w:rsid w:val="00910032"/>
    <w:rsid w:val="009101B0"/>
    <w:rsid w:val="0091025F"/>
    <w:rsid w:val="009109D3"/>
    <w:rsid w:val="00910A83"/>
    <w:rsid w:val="00910C08"/>
    <w:rsid w:val="00910CEF"/>
    <w:rsid w:val="00910D18"/>
    <w:rsid w:val="0091103B"/>
    <w:rsid w:val="00911185"/>
    <w:rsid w:val="00911366"/>
    <w:rsid w:val="00911530"/>
    <w:rsid w:val="009117BE"/>
    <w:rsid w:val="00911A7F"/>
    <w:rsid w:val="00911F3D"/>
    <w:rsid w:val="00912251"/>
    <w:rsid w:val="0091226C"/>
    <w:rsid w:val="00912545"/>
    <w:rsid w:val="00912666"/>
    <w:rsid w:val="00912957"/>
    <w:rsid w:val="00912A1D"/>
    <w:rsid w:val="00912AAF"/>
    <w:rsid w:val="00912AC6"/>
    <w:rsid w:val="00912C02"/>
    <w:rsid w:val="00912C13"/>
    <w:rsid w:val="00912D86"/>
    <w:rsid w:val="00912DDD"/>
    <w:rsid w:val="00912E35"/>
    <w:rsid w:val="00913286"/>
    <w:rsid w:val="0091334D"/>
    <w:rsid w:val="009133B9"/>
    <w:rsid w:val="00913427"/>
    <w:rsid w:val="00913455"/>
    <w:rsid w:val="009135F0"/>
    <w:rsid w:val="009136C0"/>
    <w:rsid w:val="00913DA8"/>
    <w:rsid w:val="00913E91"/>
    <w:rsid w:val="00913EA1"/>
    <w:rsid w:val="00913EA8"/>
    <w:rsid w:val="00914009"/>
    <w:rsid w:val="0091404A"/>
    <w:rsid w:val="009141C9"/>
    <w:rsid w:val="00914214"/>
    <w:rsid w:val="0091440C"/>
    <w:rsid w:val="00914ACB"/>
    <w:rsid w:val="009150A7"/>
    <w:rsid w:val="009150C0"/>
    <w:rsid w:val="00915254"/>
    <w:rsid w:val="00915699"/>
    <w:rsid w:val="00915757"/>
    <w:rsid w:val="00915A0F"/>
    <w:rsid w:val="00915ED3"/>
    <w:rsid w:val="00916361"/>
    <w:rsid w:val="0091678A"/>
    <w:rsid w:val="00916BFA"/>
    <w:rsid w:val="00916C2A"/>
    <w:rsid w:val="00916D65"/>
    <w:rsid w:val="00916EDE"/>
    <w:rsid w:val="00917051"/>
    <w:rsid w:val="00917074"/>
    <w:rsid w:val="009170EB"/>
    <w:rsid w:val="0091740C"/>
    <w:rsid w:val="00917650"/>
    <w:rsid w:val="0091766C"/>
    <w:rsid w:val="009178D9"/>
    <w:rsid w:val="00917E79"/>
    <w:rsid w:val="00917EE7"/>
    <w:rsid w:val="009204BA"/>
    <w:rsid w:val="0092061A"/>
    <w:rsid w:val="0092066C"/>
    <w:rsid w:val="009207E5"/>
    <w:rsid w:val="00920864"/>
    <w:rsid w:val="00920942"/>
    <w:rsid w:val="00920AE0"/>
    <w:rsid w:val="00920C72"/>
    <w:rsid w:val="00920F5E"/>
    <w:rsid w:val="0092105E"/>
    <w:rsid w:val="0092106A"/>
    <w:rsid w:val="0092108A"/>
    <w:rsid w:val="0092122B"/>
    <w:rsid w:val="00921417"/>
    <w:rsid w:val="00921485"/>
    <w:rsid w:val="00921744"/>
    <w:rsid w:val="009218D1"/>
    <w:rsid w:val="0092192A"/>
    <w:rsid w:val="00921A46"/>
    <w:rsid w:val="00921B56"/>
    <w:rsid w:val="00921D54"/>
    <w:rsid w:val="00921E18"/>
    <w:rsid w:val="00921E5F"/>
    <w:rsid w:val="00921E6F"/>
    <w:rsid w:val="009220D8"/>
    <w:rsid w:val="00922337"/>
    <w:rsid w:val="00922593"/>
    <w:rsid w:val="0092262D"/>
    <w:rsid w:val="00922B5E"/>
    <w:rsid w:val="00922D03"/>
    <w:rsid w:val="00922D49"/>
    <w:rsid w:val="009231E8"/>
    <w:rsid w:val="009233BD"/>
    <w:rsid w:val="009233DE"/>
    <w:rsid w:val="0092362E"/>
    <w:rsid w:val="0092374B"/>
    <w:rsid w:val="00923832"/>
    <w:rsid w:val="009239A1"/>
    <w:rsid w:val="00923A40"/>
    <w:rsid w:val="00923DCD"/>
    <w:rsid w:val="00924640"/>
    <w:rsid w:val="00924C0A"/>
    <w:rsid w:val="009250E8"/>
    <w:rsid w:val="009252C7"/>
    <w:rsid w:val="00925507"/>
    <w:rsid w:val="009255D9"/>
    <w:rsid w:val="009257C9"/>
    <w:rsid w:val="009257CF"/>
    <w:rsid w:val="0092580D"/>
    <w:rsid w:val="009258D6"/>
    <w:rsid w:val="009259E1"/>
    <w:rsid w:val="00925B47"/>
    <w:rsid w:val="00925D98"/>
    <w:rsid w:val="00925EDD"/>
    <w:rsid w:val="0092606B"/>
    <w:rsid w:val="00926091"/>
    <w:rsid w:val="009262EC"/>
    <w:rsid w:val="0092641F"/>
    <w:rsid w:val="0092686D"/>
    <w:rsid w:val="00926982"/>
    <w:rsid w:val="00926C5D"/>
    <w:rsid w:val="00926D1A"/>
    <w:rsid w:val="00926D91"/>
    <w:rsid w:val="009275B8"/>
    <w:rsid w:val="00927746"/>
    <w:rsid w:val="00927DEB"/>
    <w:rsid w:val="00927E71"/>
    <w:rsid w:val="0093037B"/>
    <w:rsid w:val="009304F4"/>
    <w:rsid w:val="009305AC"/>
    <w:rsid w:val="009308DA"/>
    <w:rsid w:val="00930955"/>
    <w:rsid w:val="00930B94"/>
    <w:rsid w:val="00930C88"/>
    <w:rsid w:val="00930CDC"/>
    <w:rsid w:val="00930E28"/>
    <w:rsid w:val="00930F38"/>
    <w:rsid w:val="00931241"/>
    <w:rsid w:val="00931289"/>
    <w:rsid w:val="00931427"/>
    <w:rsid w:val="00931ED6"/>
    <w:rsid w:val="009323B7"/>
    <w:rsid w:val="00932427"/>
    <w:rsid w:val="00932699"/>
    <w:rsid w:val="009329FD"/>
    <w:rsid w:val="00932D2F"/>
    <w:rsid w:val="00932DCC"/>
    <w:rsid w:val="00932EF3"/>
    <w:rsid w:val="00933181"/>
    <w:rsid w:val="00933266"/>
    <w:rsid w:val="00933356"/>
    <w:rsid w:val="00933630"/>
    <w:rsid w:val="00933DC3"/>
    <w:rsid w:val="00933F57"/>
    <w:rsid w:val="0093400D"/>
    <w:rsid w:val="009340E9"/>
    <w:rsid w:val="0093411D"/>
    <w:rsid w:val="0093419F"/>
    <w:rsid w:val="00934371"/>
    <w:rsid w:val="009345C0"/>
    <w:rsid w:val="0093478F"/>
    <w:rsid w:val="00934869"/>
    <w:rsid w:val="009349D1"/>
    <w:rsid w:val="00934BDC"/>
    <w:rsid w:val="00934D3F"/>
    <w:rsid w:val="00934E2F"/>
    <w:rsid w:val="00934FCD"/>
    <w:rsid w:val="0093506E"/>
    <w:rsid w:val="009350CF"/>
    <w:rsid w:val="009354DF"/>
    <w:rsid w:val="00935A98"/>
    <w:rsid w:val="00935AAD"/>
    <w:rsid w:val="00935BB4"/>
    <w:rsid w:val="00935D4F"/>
    <w:rsid w:val="00935E21"/>
    <w:rsid w:val="00935E4E"/>
    <w:rsid w:val="00935F2A"/>
    <w:rsid w:val="00935FCB"/>
    <w:rsid w:val="00935FFB"/>
    <w:rsid w:val="0093651D"/>
    <w:rsid w:val="0093659B"/>
    <w:rsid w:val="00936744"/>
    <w:rsid w:val="00936DF7"/>
    <w:rsid w:val="00936F56"/>
    <w:rsid w:val="00937132"/>
    <w:rsid w:val="009376A7"/>
    <w:rsid w:val="00937D78"/>
    <w:rsid w:val="00937F0E"/>
    <w:rsid w:val="00940B57"/>
    <w:rsid w:val="00940CA1"/>
    <w:rsid w:val="00940E7F"/>
    <w:rsid w:val="0094104E"/>
    <w:rsid w:val="009411C7"/>
    <w:rsid w:val="00941229"/>
    <w:rsid w:val="009412CE"/>
    <w:rsid w:val="00941594"/>
    <w:rsid w:val="00941651"/>
    <w:rsid w:val="00941861"/>
    <w:rsid w:val="00941911"/>
    <w:rsid w:val="0094192A"/>
    <w:rsid w:val="009419FF"/>
    <w:rsid w:val="00941E5D"/>
    <w:rsid w:val="00941FB5"/>
    <w:rsid w:val="00942220"/>
    <w:rsid w:val="00942425"/>
    <w:rsid w:val="00942554"/>
    <w:rsid w:val="009425CE"/>
    <w:rsid w:val="0094291C"/>
    <w:rsid w:val="00942ABB"/>
    <w:rsid w:val="00942AF2"/>
    <w:rsid w:val="00942C41"/>
    <w:rsid w:val="00942CA9"/>
    <w:rsid w:val="00943110"/>
    <w:rsid w:val="0094313B"/>
    <w:rsid w:val="009437A2"/>
    <w:rsid w:val="00943986"/>
    <w:rsid w:val="00943B38"/>
    <w:rsid w:val="00943F83"/>
    <w:rsid w:val="009443FC"/>
    <w:rsid w:val="00944427"/>
    <w:rsid w:val="009449AD"/>
    <w:rsid w:val="00944E40"/>
    <w:rsid w:val="00944F9F"/>
    <w:rsid w:val="00945228"/>
    <w:rsid w:val="009454F3"/>
    <w:rsid w:val="009455E7"/>
    <w:rsid w:val="00945714"/>
    <w:rsid w:val="009457D5"/>
    <w:rsid w:val="00945BEA"/>
    <w:rsid w:val="00945E46"/>
    <w:rsid w:val="00945F7A"/>
    <w:rsid w:val="00946100"/>
    <w:rsid w:val="0094614F"/>
    <w:rsid w:val="00946308"/>
    <w:rsid w:val="009469D9"/>
    <w:rsid w:val="00946AB4"/>
    <w:rsid w:val="00946B62"/>
    <w:rsid w:val="00946CB9"/>
    <w:rsid w:val="009470A0"/>
    <w:rsid w:val="00947197"/>
    <w:rsid w:val="00947499"/>
    <w:rsid w:val="009479A8"/>
    <w:rsid w:val="00947BD5"/>
    <w:rsid w:val="00947C3D"/>
    <w:rsid w:val="00947D8E"/>
    <w:rsid w:val="00947E07"/>
    <w:rsid w:val="00947ECE"/>
    <w:rsid w:val="0095042D"/>
    <w:rsid w:val="00950443"/>
    <w:rsid w:val="009504FF"/>
    <w:rsid w:val="009506F9"/>
    <w:rsid w:val="009508C5"/>
    <w:rsid w:val="00950B4B"/>
    <w:rsid w:val="00950E87"/>
    <w:rsid w:val="00951412"/>
    <w:rsid w:val="0095191C"/>
    <w:rsid w:val="00951A33"/>
    <w:rsid w:val="00951B15"/>
    <w:rsid w:val="00951DAE"/>
    <w:rsid w:val="009521B0"/>
    <w:rsid w:val="0095233B"/>
    <w:rsid w:val="00952343"/>
    <w:rsid w:val="00952345"/>
    <w:rsid w:val="0095267D"/>
    <w:rsid w:val="00952975"/>
    <w:rsid w:val="00952DA9"/>
    <w:rsid w:val="00952DB5"/>
    <w:rsid w:val="00952FD9"/>
    <w:rsid w:val="009530B8"/>
    <w:rsid w:val="00953227"/>
    <w:rsid w:val="009533D6"/>
    <w:rsid w:val="0095359C"/>
    <w:rsid w:val="0095369C"/>
    <w:rsid w:val="0095410D"/>
    <w:rsid w:val="009542D0"/>
    <w:rsid w:val="009542D8"/>
    <w:rsid w:val="009543F8"/>
    <w:rsid w:val="0095487F"/>
    <w:rsid w:val="00954A10"/>
    <w:rsid w:val="00954A17"/>
    <w:rsid w:val="00954B7D"/>
    <w:rsid w:val="00954E12"/>
    <w:rsid w:val="00954EF8"/>
    <w:rsid w:val="0095504A"/>
    <w:rsid w:val="00955569"/>
    <w:rsid w:val="009555DB"/>
    <w:rsid w:val="00955744"/>
    <w:rsid w:val="00955833"/>
    <w:rsid w:val="00955A59"/>
    <w:rsid w:val="00955C33"/>
    <w:rsid w:val="00955D3E"/>
    <w:rsid w:val="0095614F"/>
    <w:rsid w:val="009561D6"/>
    <w:rsid w:val="009564F9"/>
    <w:rsid w:val="00956539"/>
    <w:rsid w:val="0095664F"/>
    <w:rsid w:val="009566C1"/>
    <w:rsid w:val="0095698A"/>
    <w:rsid w:val="00956B69"/>
    <w:rsid w:val="00956C9E"/>
    <w:rsid w:val="00956D22"/>
    <w:rsid w:val="00956EA0"/>
    <w:rsid w:val="0095740D"/>
    <w:rsid w:val="00957468"/>
    <w:rsid w:val="009577A8"/>
    <w:rsid w:val="00957A58"/>
    <w:rsid w:val="00957C0F"/>
    <w:rsid w:val="00960197"/>
    <w:rsid w:val="00960676"/>
    <w:rsid w:val="00960A51"/>
    <w:rsid w:val="00960ABE"/>
    <w:rsid w:val="00961034"/>
    <w:rsid w:val="00961221"/>
    <w:rsid w:val="009612E8"/>
    <w:rsid w:val="0096130D"/>
    <w:rsid w:val="0096149F"/>
    <w:rsid w:val="0096154E"/>
    <w:rsid w:val="0096158E"/>
    <w:rsid w:val="0096192A"/>
    <w:rsid w:val="009619A0"/>
    <w:rsid w:val="00961A5D"/>
    <w:rsid w:val="00961C73"/>
    <w:rsid w:val="009620E2"/>
    <w:rsid w:val="009620F0"/>
    <w:rsid w:val="00962209"/>
    <w:rsid w:val="0096269C"/>
    <w:rsid w:val="009632E8"/>
    <w:rsid w:val="0096338D"/>
    <w:rsid w:val="00963664"/>
    <w:rsid w:val="0096371B"/>
    <w:rsid w:val="00963735"/>
    <w:rsid w:val="00963797"/>
    <w:rsid w:val="0096384A"/>
    <w:rsid w:val="009638FA"/>
    <w:rsid w:val="009639EA"/>
    <w:rsid w:val="00963AE1"/>
    <w:rsid w:val="00963C36"/>
    <w:rsid w:val="00963C51"/>
    <w:rsid w:val="00963EDA"/>
    <w:rsid w:val="00963FAC"/>
    <w:rsid w:val="0096421E"/>
    <w:rsid w:val="009645B6"/>
    <w:rsid w:val="0096462C"/>
    <w:rsid w:val="00964A82"/>
    <w:rsid w:val="00964D83"/>
    <w:rsid w:val="00964E1D"/>
    <w:rsid w:val="00964E45"/>
    <w:rsid w:val="00964FB8"/>
    <w:rsid w:val="009650AB"/>
    <w:rsid w:val="009650EA"/>
    <w:rsid w:val="009650FD"/>
    <w:rsid w:val="00965257"/>
    <w:rsid w:val="00965737"/>
    <w:rsid w:val="00965760"/>
    <w:rsid w:val="00965CB6"/>
    <w:rsid w:val="00965CD3"/>
    <w:rsid w:val="00965E5E"/>
    <w:rsid w:val="00965FC6"/>
    <w:rsid w:val="009663A2"/>
    <w:rsid w:val="00966453"/>
    <w:rsid w:val="0096653A"/>
    <w:rsid w:val="009665AD"/>
    <w:rsid w:val="009665B5"/>
    <w:rsid w:val="009668A2"/>
    <w:rsid w:val="009669D5"/>
    <w:rsid w:val="00966ADF"/>
    <w:rsid w:val="00966BD6"/>
    <w:rsid w:val="00966C3C"/>
    <w:rsid w:val="00966D6A"/>
    <w:rsid w:val="00966E38"/>
    <w:rsid w:val="00966E70"/>
    <w:rsid w:val="00967345"/>
    <w:rsid w:val="009678FC"/>
    <w:rsid w:val="0096792F"/>
    <w:rsid w:val="00967DEB"/>
    <w:rsid w:val="00970095"/>
    <w:rsid w:val="00970269"/>
    <w:rsid w:val="00970295"/>
    <w:rsid w:val="00970415"/>
    <w:rsid w:val="00970581"/>
    <w:rsid w:val="009709A4"/>
    <w:rsid w:val="00970AD0"/>
    <w:rsid w:val="00970E79"/>
    <w:rsid w:val="00970F23"/>
    <w:rsid w:val="00971159"/>
    <w:rsid w:val="00971238"/>
    <w:rsid w:val="00971339"/>
    <w:rsid w:val="0097148E"/>
    <w:rsid w:val="009714C8"/>
    <w:rsid w:val="00971511"/>
    <w:rsid w:val="0097187E"/>
    <w:rsid w:val="00971DA1"/>
    <w:rsid w:val="00971EBA"/>
    <w:rsid w:val="009721C7"/>
    <w:rsid w:val="009722CF"/>
    <w:rsid w:val="009723F8"/>
    <w:rsid w:val="009726DC"/>
    <w:rsid w:val="009727A7"/>
    <w:rsid w:val="00972988"/>
    <w:rsid w:val="00972DD1"/>
    <w:rsid w:val="00972F44"/>
    <w:rsid w:val="0097306A"/>
    <w:rsid w:val="009733FF"/>
    <w:rsid w:val="00973432"/>
    <w:rsid w:val="00973470"/>
    <w:rsid w:val="009736B9"/>
    <w:rsid w:val="009738DC"/>
    <w:rsid w:val="00973DB8"/>
    <w:rsid w:val="00973E66"/>
    <w:rsid w:val="00973FBB"/>
    <w:rsid w:val="00974474"/>
    <w:rsid w:val="009745F9"/>
    <w:rsid w:val="009747F7"/>
    <w:rsid w:val="0097487E"/>
    <w:rsid w:val="00974884"/>
    <w:rsid w:val="00974AD3"/>
    <w:rsid w:val="00974D46"/>
    <w:rsid w:val="00974D72"/>
    <w:rsid w:val="00974E3E"/>
    <w:rsid w:val="0097519E"/>
    <w:rsid w:val="009751A5"/>
    <w:rsid w:val="009751D4"/>
    <w:rsid w:val="009753E7"/>
    <w:rsid w:val="0097542F"/>
    <w:rsid w:val="0097546D"/>
    <w:rsid w:val="0097585A"/>
    <w:rsid w:val="00975A3E"/>
    <w:rsid w:val="00975C26"/>
    <w:rsid w:val="00976004"/>
    <w:rsid w:val="0097602F"/>
    <w:rsid w:val="00976080"/>
    <w:rsid w:val="00976282"/>
    <w:rsid w:val="00976476"/>
    <w:rsid w:val="0097655A"/>
    <w:rsid w:val="009766B3"/>
    <w:rsid w:val="00976A85"/>
    <w:rsid w:val="00976C66"/>
    <w:rsid w:val="00976E90"/>
    <w:rsid w:val="009770D7"/>
    <w:rsid w:val="00977456"/>
    <w:rsid w:val="009776D5"/>
    <w:rsid w:val="0097789C"/>
    <w:rsid w:val="00977A83"/>
    <w:rsid w:val="00977C6F"/>
    <w:rsid w:val="00977D83"/>
    <w:rsid w:val="00977F67"/>
    <w:rsid w:val="00980137"/>
    <w:rsid w:val="00980993"/>
    <w:rsid w:val="00980AD6"/>
    <w:rsid w:val="00980D73"/>
    <w:rsid w:val="00980E27"/>
    <w:rsid w:val="00980E72"/>
    <w:rsid w:val="00980F56"/>
    <w:rsid w:val="009812CF"/>
    <w:rsid w:val="00981431"/>
    <w:rsid w:val="0098159C"/>
    <w:rsid w:val="009815D0"/>
    <w:rsid w:val="00981709"/>
    <w:rsid w:val="0098189B"/>
    <w:rsid w:val="00981B65"/>
    <w:rsid w:val="00981EAC"/>
    <w:rsid w:val="00981F62"/>
    <w:rsid w:val="00981F6B"/>
    <w:rsid w:val="0098200A"/>
    <w:rsid w:val="0098226E"/>
    <w:rsid w:val="00982345"/>
    <w:rsid w:val="00982B3A"/>
    <w:rsid w:val="00982FFE"/>
    <w:rsid w:val="009830E0"/>
    <w:rsid w:val="00983220"/>
    <w:rsid w:val="00983639"/>
    <w:rsid w:val="00983668"/>
    <w:rsid w:val="00983682"/>
    <w:rsid w:val="0098368E"/>
    <w:rsid w:val="00983929"/>
    <w:rsid w:val="00983B37"/>
    <w:rsid w:val="00983CAB"/>
    <w:rsid w:val="00983FFA"/>
    <w:rsid w:val="009841BB"/>
    <w:rsid w:val="00984323"/>
    <w:rsid w:val="00984334"/>
    <w:rsid w:val="00984663"/>
    <w:rsid w:val="00984788"/>
    <w:rsid w:val="00984A48"/>
    <w:rsid w:val="00984CCC"/>
    <w:rsid w:val="00984ED2"/>
    <w:rsid w:val="0098502E"/>
    <w:rsid w:val="00985169"/>
    <w:rsid w:val="0098543C"/>
    <w:rsid w:val="0098551F"/>
    <w:rsid w:val="009857A0"/>
    <w:rsid w:val="0098590E"/>
    <w:rsid w:val="00985921"/>
    <w:rsid w:val="009861CF"/>
    <w:rsid w:val="00986353"/>
    <w:rsid w:val="009863B2"/>
    <w:rsid w:val="00986658"/>
    <w:rsid w:val="00986710"/>
    <w:rsid w:val="0098694C"/>
    <w:rsid w:val="00986D0C"/>
    <w:rsid w:val="009873F0"/>
    <w:rsid w:val="00987548"/>
    <w:rsid w:val="009877FE"/>
    <w:rsid w:val="00987924"/>
    <w:rsid w:val="00987ADB"/>
    <w:rsid w:val="00987B64"/>
    <w:rsid w:val="00987F0A"/>
    <w:rsid w:val="0099011B"/>
    <w:rsid w:val="009902C5"/>
    <w:rsid w:val="0099040F"/>
    <w:rsid w:val="00990496"/>
    <w:rsid w:val="00990689"/>
    <w:rsid w:val="00990998"/>
    <w:rsid w:val="00990CAC"/>
    <w:rsid w:val="00990D02"/>
    <w:rsid w:val="00990F99"/>
    <w:rsid w:val="00990FFC"/>
    <w:rsid w:val="00991252"/>
    <w:rsid w:val="00991511"/>
    <w:rsid w:val="00991545"/>
    <w:rsid w:val="009916B1"/>
    <w:rsid w:val="00991D8A"/>
    <w:rsid w:val="00991E81"/>
    <w:rsid w:val="009921E3"/>
    <w:rsid w:val="009924CF"/>
    <w:rsid w:val="0099254D"/>
    <w:rsid w:val="009929B7"/>
    <w:rsid w:val="00992AB3"/>
    <w:rsid w:val="00992B33"/>
    <w:rsid w:val="00992BCE"/>
    <w:rsid w:val="00992C18"/>
    <w:rsid w:val="00992D4F"/>
    <w:rsid w:val="00993086"/>
    <w:rsid w:val="009930AE"/>
    <w:rsid w:val="0099328D"/>
    <w:rsid w:val="0099383D"/>
    <w:rsid w:val="0099385D"/>
    <w:rsid w:val="00993B8B"/>
    <w:rsid w:val="00994A6B"/>
    <w:rsid w:val="00994B38"/>
    <w:rsid w:val="00994D34"/>
    <w:rsid w:val="00994F88"/>
    <w:rsid w:val="009951AB"/>
    <w:rsid w:val="00995211"/>
    <w:rsid w:val="009952A8"/>
    <w:rsid w:val="009952C8"/>
    <w:rsid w:val="0099558A"/>
    <w:rsid w:val="00995615"/>
    <w:rsid w:val="0099564B"/>
    <w:rsid w:val="00995735"/>
    <w:rsid w:val="00995B7C"/>
    <w:rsid w:val="00995D40"/>
    <w:rsid w:val="00996041"/>
    <w:rsid w:val="00996091"/>
    <w:rsid w:val="00996428"/>
    <w:rsid w:val="00996505"/>
    <w:rsid w:val="00996B6F"/>
    <w:rsid w:val="00996C6C"/>
    <w:rsid w:val="00996CAC"/>
    <w:rsid w:val="00996E8A"/>
    <w:rsid w:val="00996EF5"/>
    <w:rsid w:val="00996EFE"/>
    <w:rsid w:val="00996F64"/>
    <w:rsid w:val="009970E0"/>
    <w:rsid w:val="0099733F"/>
    <w:rsid w:val="0099737B"/>
    <w:rsid w:val="00997875"/>
    <w:rsid w:val="00997AF4"/>
    <w:rsid w:val="00997CAC"/>
    <w:rsid w:val="00997D27"/>
    <w:rsid w:val="009A00B2"/>
    <w:rsid w:val="009A00E2"/>
    <w:rsid w:val="009A0228"/>
    <w:rsid w:val="009A027A"/>
    <w:rsid w:val="009A029E"/>
    <w:rsid w:val="009A04E4"/>
    <w:rsid w:val="009A09C3"/>
    <w:rsid w:val="009A0A7B"/>
    <w:rsid w:val="009A0CCC"/>
    <w:rsid w:val="009A0D00"/>
    <w:rsid w:val="009A0D89"/>
    <w:rsid w:val="009A0E78"/>
    <w:rsid w:val="009A101C"/>
    <w:rsid w:val="009A12C2"/>
    <w:rsid w:val="009A16DD"/>
    <w:rsid w:val="009A1C83"/>
    <w:rsid w:val="009A200B"/>
    <w:rsid w:val="009A2143"/>
    <w:rsid w:val="009A22DA"/>
    <w:rsid w:val="009A2347"/>
    <w:rsid w:val="009A238F"/>
    <w:rsid w:val="009A24D3"/>
    <w:rsid w:val="009A2565"/>
    <w:rsid w:val="009A2651"/>
    <w:rsid w:val="009A2655"/>
    <w:rsid w:val="009A28A3"/>
    <w:rsid w:val="009A29A3"/>
    <w:rsid w:val="009A2B6D"/>
    <w:rsid w:val="009A2C88"/>
    <w:rsid w:val="009A2E1A"/>
    <w:rsid w:val="009A2E65"/>
    <w:rsid w:val="009A2E7D"/>
    <w:rsid w:val="009A3050"/>
    <w:rsid w:val="009A345C"/>
    <w:rsid w:val="009A36AF"/>
    <w:rsid w:val="009A380D"/>
    <w:rsid w:val="009A3875"/>
    <w:rsid w:val="009A392B"/>
    <w:rsid w:val="009A39D8"/>
    <w:rsid w:val="009A4067"/>
    <w:rsid w:val="009A464A"/>
    <w:rsid w:val="009A473A"/>
    <w:rsid w:val="009A4A93"/>
    <w:rsid w:val="009A4BBD"/>
    <w:rsid w:val="009A4BDB"/>
    <w:rsid w:val="009A4F43"/>
    <w:rsid w:val="009A537F"/>
    <w:rsid w:val="009A559A"/>
    <w:rsid w:val="009A57F5"/>
    <w:rsid w:val="009A5D65"/>
    <w:rsid w:val="009A5FE9"/>
    <w:rsid w:val="009A62CE"/>
    <w:rsid w:val="009A6361"/>
    <w:rsid w:val="009A6442"/>
    <w:rsid w:val="009A64AC"/>
    <w:rsid w:val="009A657F"/>
    <w:rsid w:val="009A6798"/>
    <w:rsid w:val="009A6D30"/>
    <w:rsid w:val="009A6F89"/>
    <w:rsid w:val="009A711C"/>
    <w:rsid w:val="009A71E3"/>
    <w:rsid w:val="009A7434"/>
    <w:rsid w:val="009A7551"/>
    <w:rsid w:val="009A7648"/>
    <w:rsid w:val="009A7850"/>
    <w:rsid w:val="009A78F8"/>
    <w:rsid w:val="009A7DA7"/>
    <w:rsid w:val="009AAA16"/>
    <w:rsid w:val="009B01CD"/>
    <w:rsid w:val="009B0384"/>
    <w:rsid w:val="009B09B1"/>
    <w:rsid w:val="009B0A26"/>
    <w:rsid w:val="009B15A7"/>
    <w:rsid w:val="009B1672"/>
    <w:rsid w:val="009B172F"/>
    <w:rsid w:val="009B179D"/>
    <w:rsid w:val="009B1A4F"/>
    <w:rsid w:val="009B1A80"/>
    <w:rsid w:val="009B1BAE"/>
    <w:rsid w:val="009B1E31"/>
    <w:rsid w:val="009B20B7"/>
    <w:rsid w:val="009B243D"/>
    <w:rsid w:val="009B27D9"/>
    <w:rsid w:val="009B2AA2"/>
    <w:rsid w:val="009B2BC6"/>
    <w:rsid w:val="009B2CFD"/>
    <w:rsid w:val="009B311F"/>
    <w:rsid w:val="009B3343"/>
    <w:rsid w:val="009B36FC"/>
    <w:rsid w:val="009B391D"/>
    <w:rsid w:val="009B3E0E"/>
    <w:rsid w:val="009B407F"/>
    <w:rsid w:val="009B4260"/>
    <w:rsid w:val="009B4892"/>
    <w:rsid w:val="009B4CA1"/>
    <w:rsid w:val="009B4CA9"/>
    <w:rsid w:val="009B4F40"/>
    <w:rsid w:val="009B560F"/>
    <w:rsid w:val="009B586E"/>
    <w:rsid w:val="009B5993"/>
    <w:rsid w:val="009B5CE1"/>
    <w:rsid w:val="009B5E73"/>
    <w:rsid w:val="009B5EFD"/>
    <w:rsid w:val="009B628B"/>
    <w:rsid w:val="009B6366"/>
    <w:rsid w:val="009B6587"/>
    <w:rsid w:val="009B668B"/>
    <w:rsid w:val="009B670F"/>
    <w:rsid w:val="009B67A9"/>
    <w:rsid w:val="009B6A50"/>
    <w:rsid w:val="009B6D7F"/>
    <w:rsid w:val="009B70B9"/>
    <w:rsid w:val="009B72CC"/>
    <w:rsid w:val="009B73AB"/>
    <w:rsid w:val="009B7A71"/>
    <w:rsid w:val="009B7AFF"/>
    <w:rsid w:val="009B7D2A"/>
    <w:rsid w:val="009B7EA3"/>
    <w:rsid w:val="009B7EBD"/>
    <w:rsid w:val="009C018A"/>
    <w:rsid w:val="009C0404"/>
    <w:rsid w:val="009C0674"/>
    <w:rsid w:val="009C0809"/>
    <w:rsid w:val="009C083D"/>
    <w:rsid w:val="009C0A53"/>
    <w:rsid w:val="009C10AA"/>
    <w:rsid w:val="009C10C7"/>
    <w:rsid w:val="009C117C"/>
    <w:rsid w:val="009C1262"/>
    <w:rsid w:val="009C12A4"/>
    <w:rsid w:val="009C19D9"/>
    <w:rsid w:val="009C1A82"/>
    <w:rsid w:val="009C1CC6"/>
    <w:rsid w:val="009C1D4D"/>
    <w:rsid w:val="009C2034"/>
    <w:rsid w:val="009C27A8"/>
    <w:rsid w:val="009C2831"/>
    <w:rsid w:val="009C2846"/>
    <w:rsid w:val="009C2908"/>
    <w:rsid w:val="009C2E4B"/>
    <w:rsid w:val="009C2EBC"/>
    <w:rsid w:val="009C2F82"/>
    <w:rsid w:val="009C34C7"/>
    <w:rsid w:val="009C4326"/>
    <w:rsid w:val="009C4508"/>
    <w:rsid w:val="009C461B"/>
    <w:rsid w:val="009C46B9"/>
    <w:rsid w:val="009C48E8"/>
    <w:rsid w:val="009C493B"/>
    <w:rsid w:val="009C4BA1"/>
    <w:rsid w:val="009C4E7F"/>
    <w:rsid w:val="009C523F"/>
    <w:rsid w:val="009C5478"/>
    <w:rsid w:val="009C54D6"/>
    <w:rsid w:val="009C5E36"/>
    <w:rsid w:val="009C5EE4"/>
    <w:rsid w:val="009C61AC"/>
    <w:rsid w:val="009C63CD"/>
    <w:rsid w:val="009C66F4"/>
    <w:rsid w:val="009C6744"/>
    <w:rsid w:val="009C68BB"/>
    <w:rsid w:val="009C68EC"/>
    <w:rsid w:val="009C697E"/>
    <w:rsid w:val="009C6C3D"/>
    <w:rsid w:val="009C6F7E"/>
    <w:rsid w:val="009C7128"/>
    <w:rsid w:val="009C7483"/>
    <w:rsid w:val="009C7824"/>
    <w:rsid w:val="009C786A"/>
    <w:rsid w:val="009C78BF"/>
    <w:rsid w:val="009C7A41"/>
    <w:rsid w:val="009C7C9A"/>
    <w:rsid w:val="009D0360"/>
    <w:rsid w:val="009D0408"/>
    <w:rsid w:val="009D04A0"/>
    <w:rsid w:val="009D04F7"/>
    <w:rsid w:val="009D074A"/>
    <w:rsid w:val="009D09C9"/>
    <w:rsid w:val="009D0AF3"/>
    <w:rsid w:val="009D0D8A"/>
    <w:rsid w:val="009D115D"/>
    <w:rsid w:val="009D133D"/>
    <w:rsid w:val="009D18CC"/>
    <w:rsid w:val="009D18E5"/>
    <w:rsid w:val="009D219F"/>
    <w:rsid w:val="009D21CB"/>
    <w:rsid w:val="009D29AE"/>
    <w:rsid w:val="009D29B0"/>
    <w:rsid w:val="009D2A10"/>
    <w:rsid w:val="009D2B16"/>
    <w:rsid w:val="009D2ECF"/>
    <w:rsid w:val="009D331D"/>
    <w:rsid w:val="009D3326"/>
    <w:rsid w:val="009D38C7"/>
    <w:rsid w:val="009D3BD5"/>
    <w:rsid w:val="009D3BF8"/>
    <w:rsid w:val="009D3DB3"/>
    <w:rsid w:val="009D3E55"/>
    <w:rsid w:val="009D4354"/>
    <w:rsid w:val="009D43DA"/>
    <w:rsid w:val="009D4537"/>
    <w:rsid w:val="009D456D"/>
    <w:rsid w:val="009D4670"/>
    <w:rsid w:val="009D46B1"/>
    <w:rsid w:val="009D48EE"/>
    <w:rsid w:val="009D49A7"/>
    <w:rsid w:val="009D4AFA"/>
    <w:rsid w:val="009D4E19"/>
    <w:rsid w:val="009D51D9"/>
    <w:rsid w:val="009D53F0"/>
    <w:rsid w:val="009D56E7"/>
    <w:rsid w:val="009D5725"/>
    <w:rsid w:val="009D57D2"/>
    <w:rsid w:val="009D5B04"/>
    <w:rsid w:val="009D5C60"/>
    <w:rsid w:val="009D5DC6"/>
    <w:rsid w:val="009D6067"/>
    <w:rsid w:val="009D6259"/>
    <w:rsid w:val="009D6324"/>
    <w:rsid w:val="009D687D"/>
    <w:rsid w:val="009D69E1"/>
    <w:rsid w:val="009D6D15"/>
    <w:rsid w:val="009D6EEE"/>
    <w:rsid w:val="009D701B"/>
    <w:rsid w:val="009D7146"/>
    <w:rsid w:val="009D75DE"/>
    <w:rsid w:val="009D7606"/>
    <w:rsid w:val="009D7790"/>
    <w:rsid w:val="009D7991"/>
    <w:rsid w:val="009D7C0D"/>
    <w:rsid w:val="009D7C6C"/>
    <w:rsid w:val="009D7C6E"/>
    <w:rsid w:val="009D7E60"/>
    <w:rsid w:val="009E0076"/>
    <w:rsid w:val="009E0258"/>
    <w:rsid w:val="009E0694"/>
    <w:rsid w:val="009E0FC8"/>
    <w:rsid w:val="009E107B"/>
    <w:rsid w:val="009E1187"/>
    <w:rsid w:val="009E1C42"/>
    <w:rsid w:val="009E1E2C"/>
    <w:rsid w:val="009E1FC3"/>
    <w:rsid w:val="009E1FE5"/>
    <w:rsid w:val="009E1FFC"/>
    <w:rsid w:val="009E254E"/>
    <w:rsid w:val="009E256B"/>
    <w:rsid w:val="009E257B"/>
    <w:rsid w:val="009E25F3"/>
    <w:rsid w:val="009E29B5"/>
    <w:rsid w:val="009E2ECB"/>
    <w:rsid w:val="009E3471"/>
    <w:rsid w:val="009E34B6"/>
    <w:rsid w:val="009E36CD"/>
    <w:rsid w:val="009E3728"/>
    <w:rsid w:val="009E37D0"/>
    <w:rsid w:val="009E391E"/>
    <w:rsid w:val="009E3E87"/>
    <w:rsid w:val="009E3F7D"/>
    <w:rsid w:val="009E400D"/>
    <w:rsid w:val="009E41D0"/>
    <w:rsid w:val="009E4541"/>
    <w:rsid w:val="009E4785"/>
    <w:rsid w:val="009E4792"/>
    <w:rsid w:val="009E4988"/>
    <w:rsid w:val="009E4A40"/>
    <w:rsid w:val="009E4BFD"/>
    <w:rsid w:val="009E4DDE"/>
    <w:rsid w:val="009E4FBA"/>
    <w:rsid w:val="009E5125"/>
    <w:rsid w:val="009E51AB"/>
    <w:rsid w:val="009E51F5"/>
    <w:rsid w:val="009E5427"/>
    <w:rsid w:val="009E559B"/>
    <w:rsid w:val="009E5930"/>
    <w:rsid w:val="009E5AF9"/>
    <w:rsid w:val="009E5BA8"/>
    <w:rsid w:val="009E5F8D"/>
    <w:rsid w:val="009E604A"/>
    <w:rsid w:val="009E6065"/>
    <w:rsid w:val="009E6260"/>
    <w:rsid w:val="009E6384"/>
    <w:rsid w:val="009E6601"/>
    <w:rsid w:val="009E669A"/>
    <w:rsid w:val="009E677F"/>
    <w:rsid w:val="009E678C"/>
    <w:rsid w:val="009E6A15"/>
    <w:rsid w:val="009E6A7C"/>
    <w:rsid w:val="009E6A9F"/>
    <w:rsid w:val="009E70AA"/>
    <w:rsid w:val="009E70B3"/>
    <w:rsid w:val="009E772D"/>
    <w:rsid w:val="009E7A91"/>
    <w:rsid w:val="009E7B58"/>
    <w:rsid w:val="009E7BEB"/>
    <w:rsid w:val="009E7EA7"/>
    <w:rsid w:val="009F061F"/>
    <w:rsid w:val="009F067F"/>
    <w:rsid w:val="009F0723"/>
    <w:rsid w:val="009F07E2"/>
    <w:rsid w:val="009F0802"/>
    <w:rsid w:val="009F08C2"/>
    <w:rsid w:val="009F0D11"/>
    <w:rsid w:val="009F0FE9"/>
    <w:rsid w:val="009F12FC"/>
    <w:rsid w:val="009F131B"/>
    <w:rsid w:val="009F13D5"/>
    <w:rsid w:val="009F15F6"/>
    <w:rsid w:val="009F1602"/>
    <w:rsid w:val="009F167D"/>
    <w:rsid w:val="009F181A"/>
    <w:rsid w:val="009F18C8"/>
    <w:rsid w:val="009F1DDB"/>
    <w:rsid w:val="009F1E8A"/>
    <w:rsid w:val="009F1E8C"/>
    <w:rsid w:val="009F21E3"/>
    <w:rsid w:val="009F2381"/>
    <w:rsid w:val="009F2444"/>
    <w:rsid w:val="009F24A3"/>
    <w:rsid w:val="009F257F"/>
    <w:rsid w:val="009F288E"/>
    <w:rsid w:val="009F2A97"/>
    <w:rsid w:val="009F2A9E"/>
    <w:rsid w:val="009F2B2B"/>
    <w:rsid w:val="009F2CD1"/>
    <w:rsid w:val="009F2F38"/>
    <w:rsid w:val="009F34C4"/>
    <w:rsid w:val="009F36ED"/>
    <w:rsid w:val="009F384B"/>
    <w:rsid w:val="009F3862"/>
    <w:rsid w:val="009F38FC"/>
    <w:rsid w:val="009F3A3A"/>
    <w:rsid w:val="009F3A71"/>
    <w:rsid w:val="009F3D0F"/>
    <w:rsid w:val="009F3D47"/>
    <w:rsid w:val="009F3D56"/>
    <w:rsid w:val="009F40F6"/>
    <w:rsid w:val="009F458E"/>
    <w:rsid w:val="009F46C0"/>
    <w:rsid w:val="009F4887"/>
    <w:rsid w:val="009F498B"/>
    <w:rsid w:val="009F49AD"/>
    <w:rsid w:val="009F4E72"/>
    <w:rsid w:val="009F4ED9"/>
    <w:rsid w:val="009F53C5"/>
    <w:rsid w:val="009F544A"/>
    <w:rsid w:val="009F56B5"/>
    <w:rsid w:val="009F56C1"/>
    <w:rsid w:val="009F56D6"/>
    <w:rsid w:val="009F5D40"/>
    <w:rsid w:val="009F5F4A"/>
    <w:rsid w:val="009F6072"/>
    <w:rsid w:val="009F62B8"/>
    <w:rsid w:val="009F64FB"/>
    <w:rsid w:val="009F6B6E"/>
    <w:rsid w:val="009F6CAA"/>
    <w:rsid w:val="009F735A"/>
    <w:rsid w:val="009F76F9"/>
    <w:rsid w:val="009F7C23"/>
    <w:rsid w:val="009F7D0E"/>
    <w:rsid w:val="009F7DDE"/>
    <w:rsid w:val="00A001AD"/>
    <w:rsid w:val="00A00267"/>
    <w:rsid w:val="00A00538"/>
    <w:rsid w:val="00A008D7"/>
    <w:rsid w:val="00A00D2E"/>
    <w:rsid w:val="00A01537"/>
    <w:rsid w:val="00A0174F"/>
    <w:rsid w:val="00A01B09"/>
    <w:rsid w:val="00A01B7E"/>
    <w:rsid w:val="00A01BC7"/>
    <w:rsid w:val="00A01C7D"/>
    <w:rsid w:val="00A02062"/>
    <w:rsid w:val="00A025BF"/>
    <w:rsid w:val="00A02642"/>
    <w:rsid w:val="00A0298B"/>
    <w:rsid w:val="00A02A08"/>
    <w:rsid w:val="00A02A76"/>
    <w:rsid w:val="00A02B6E"/>
    <w:rsid w:val="00A02B7A"/>
    <w:rsid w:val="00A02C5C"/>
    <w:rsid w:val="00A02DA0"/>
    <w:rsid w:val="00A02E72"/>
    <w:rsid w:val="00A030A4"/>
    <w:rsid w:val="00A03111"/>
    <w:rsid w:val="00A031B8"/>
    <w:rsid w:val="00A0331A"/>
    <w:rsid w:val="00A036B5"/>
    <w:rsid w:val="00A03ABE"/>
    <w:rsid w:val="00A03AD9"/>
    <w:rsid w:val="00A03E4C"/>
    <w:rsid w:val="00A03F49"/>
    <w:rsid w:val="00A040C3"/>
    <w:rsid w:val="00A045CD"/>
    <w:rsid w:val="00A046A6"/>
    <w:rsid w:val="00A047AF"/>
    <w:rsid w:val="00A04A42"/>
    <w:rsid w:val="00A04C21"/>
    <w:rsid w:val="00A04F0F"/>
    <w:rsid w:val="00A054CB"/>
    <w:rsid w:val="00A05921"/>
    <w:rsid w:val="00A05B67"/>
    <w:rsid w:val="00A0625B"/>
    <w:rsid w:val="00A0659B"/>
    <w:rsid w:val="00A066D1"/>
    <w:rsid w:val="00A06C51"/>
    <w:rsid w:val="00A06D35"/>
    <w:rsid w:val="00A07413"/>
    <w:rsid w:val="00A0785B"/>
    <w:rsid w:val="00A07D32"/>
    <w:rsid w:val="00A07F8D"/>
    <w:rsid w:val="00A106FE"/>
    <w:rsid w:val="00A1079A"/>
    <w:rsid w:val="00A10849"/>
    <w:rsid w:val="00A10A80"/>
    <w:rsid w:val="00A10C28"/>
    <w:rsid w:val="00A10DEB"/>
    <w:rsid w:val="00A10ED0"/>
    <w:rsid w:val="00A11293"/>
    <w:rsid w:val="00A113C5"/>
    <w:rsid w:val="00A113EF"/>
    <w:rsid w:val="00A11915"/>
    <w:rsid w:val="00A11C87"/>
    <w:rsid w:val="00A122A6"/>
    <w:rsid w:val="00A124A4"/>
    <w:rsid w:val="00A1269E"/>
    <w:rsid w:val="00A12913"/>
    <w:rsid w:val="00A1297C"/>
    <w:rsid w:val="00A12AC1"/>
    <w:rsid w:val="00A12B91"/>
    <w:rsid w:val="00A12DAB"/>
    <w:rsid w:val="00A12E22"/>
    <w:rsid w:val="00A130B3"/>
    <w:rsid w:val="00A1322E"/>
    <w:rsid w:val="00A1382B"/>
    <w:rsid w:val="00A139E0"/>
    <w:rsid w:val="00A13DA3"/>
    <w:rsid w:val="00A13DD9"/>
    <w:rsid w:val="00A14160"/>
    <w:rsid w:val="00A14350"/>
    <w:rsid w:val="00A144F4"/>
    <w:rsid w:val="00A145EF"/>
    <w:rsid w:val="00A14622"/>
    <w:rsid w:val="00A1486B"/>
    <w:rsid w:val="00A14B52"/>
    <w:rsid w:val="00A14F3F"/>
    <w:rsid w:val="00A1533B"/>
    <w:rsid w:val="00A153CA"/>
    <w:rsid w:val="00A15750"/>
    <w:rsid w:val="00A1619C"/>
    <w:rsid w:val="00A164CA"/>
    <w:rsid w:val="00A16881"/>
    <w:rsid w:val="00A16A2F"/>
    <w:rsid w:val="00A16BBD"/>
    <w:rsid w:val="00A16C6B"/>
    <w:rsid w:val="00A16D32"/>
    <w:rsid w:val="00A16D3E"/>
    <w:rsid w:val="00A16FCF"/>
    <w:rsid w:val="00A170E6"/>
    <w:rsid w:val="00A1726E"/>
    <w:rsid w:val="00A17599"/>
    <w:rsid w:val="00A176A4"/>
    <w:rsid w:val="00A17860"/>
    <w:rsid w:val="00A178CF"/>
    <w:rsid w:val="00A17935"/>
    <w:rsid w:val="00A17C06"/>
    <w:rsid w:val="00A17D8B"/>
    <w:rsid w:val="00A17EE7"/>
    <w:rsid w:val="00A201FE"/>
    <w:rsid w:val="00A20558"/>
    <w:rsid w:val="00A20CB5"/>
    <w:rsid w:val="00A20D93"/>
    <w:rsid w:val="00A20E1C"/>
    <w:rsid w:val="00A20E97"/>
    <w:rsid w:val="00A21062"/>
    <w:rsid w:val="00A211B3"/>
    <w:rsid w:val="00A2122A"/>
    <w:rsid w:val="00A213FE"/>
    <w:rsid w:val="00A21421"/>
    <w:rsid w:val="00A217DF"/>
    <w:rsid w:val="00A2198C"/>
    <w:rsid w:val="00A21BC0"/>
    <w:rsid w:val="00A21BEF"/>
    <w:rsid w:val="00A21C59"/>
    <w:rsid w:val="00A21D6B"/>
    <w:rsid w:val="00A2209B"/>
    <w:rsid w:val="00A220DE"/>
    <w:rsid w:val="00A2223A"/>
    <w:rsid w:val="00A2229A"/>
    <w:rsid w:val="00A22440"/>
    <w:rsid w:val="00A226F0"/>
    <w:rsid w:val="00A2274D"/>
    <w:rsid w:val="00A227BD"/>
    <w:rsid w:val="00A2280E"/>
    <w:rsid w:val="00A22926"/>
    <w:rsid w:val="00A2296C"/>
    <w:rsid w:val="00A22A13"/>
    <w:rsid w:val="00A22A67"/>
    <w:rsid w:val="00A22D8D"/>
    <w:rsid w:val="00A230CA"/>
    <w:rsid w:val="00A230D9"/>
    <w:rsid w:val="00A23127"/>
    <w:rsid w:val="00A2315D"/>
    <w:rsid w:val="00A232B4"/>
    <w:rsid w:val="00A23488"/>
    <w:rsid w:val="00A2354B"/>
    <w:rsid w:val="00A2354F"/>
    <w:rsid w:val="00A2364E"/>
    <w:rsid w:val="00A23650"/>
    <w:rsid w:val="00A23E3F"/>
    <w:rsid w:val="00A2420D"/>
    <w:rsid w:val="00A2447E"/>
    <w:rsid w:val="00A2473E"/>
    <w:rsid w:val="00A248B0"/>
    <w:rsid w:val="00A24A65"/>
    <w:rsid w:val="00A25333"/>
    <w:rsid w:val="00A253D3"/>
    <w:rsid w:val="00A25798"/>
    <w:rsid w:val="00A2598A"/>
    <w:rsid w:val="00A25AEB"/>
    <w:rsid w:val="00A25B4A"/>
    <w:rsid w:val="00A26119"/>
    <w:rsid w:val="00A26412"/>
    <w:rsid w:val="00A26413"/>
    <w:rsid w:val="00A265F7"/>
    <w:rsid w:val="00A2663B"/>
    <w:rsid w:val="00A269D4"/>
    <w:rsid w:val="00A26A55"/>
    <w:rsid w:val="00A26AF6"/>
    <w:rsid w:val="00A26D3C"/>
    <w:rsid w:val="00A26E98"/>
    <w:rsid w:val="00A273E4"/>
    <w:rsid w:val="00A27443"/>
    <w:rsid w:val="00A2751F"/>
    <w:rsid w:val="00A27541"/>
    <w:rsid w:val="00A27A3C"/>
    <w:rsid w:val="00A27B74"/>
    <w:rsid w:val="00A27C2D"/>
    <w:rsid w:val="00A27D6C"/>
    <w:rsid w:val="00A27D92"/>
    <w:rsid w:val="00A27F39"/>
    <w:rsid w:val="00A3046D"/>
    <w:rsid w:val="00A304DE"/>
    <w:rsid w:val="00A305DA"/>
    <w:rsid w:val="00A307DE"/>
    <w:rsid w:val="00A30868"/>
    <w:rsid w:val="00A30CD8"/>
    <w:rsid w:val="00A30D72"/>
    <w:rsid w:val="00A310F0"/>
    <w:rsid w:val="00A31366"/>
    <w:rsid w:val="00A313FF"/>
    <w:rsid w:val="00A31410"/>
    <w:rsid w:val="00A31531"/>
    <w:rsid w:val="00A316C1"/>
    <w:rsid w:val="00A31758"/>
    <w:rsid w:val="00A3179C"/>
    <w:rsid w:val="00A3189C"/>
    <w:rsid w:val="00A318A8"/>
    <w:rsid w:val="00A31973"/>
    <w:rsid w:val="00A31976"/>
    <w:rsid w:val="00A31986"/>
    <w:rsid w:val="00A31A38"/>
    <w:rsid w:val="00A31DA4"/>
    <w:rsid w:val="00A31FA8"/>
    <w:rsid w:val="00A3211D"/>
    <w:rsid w:val="00A322BE"/>
    <w:rsid w:val="00A3262C"/>
    <w:rsid w:val="00A32935"/>
    <w:rsid w:val="00A3296C"/>
    <w:rsid w:val="00A32D3B"/>
    <w:rsid w:val="00A32DEE"/>
    <w:rsid w:val="00A32E87"/>
    <w:rsid w:val="00A32F34"/>
    <w:rsid w:val="00A32FDC"/>
    <w:rsid w:val="00A330D4"/>
    <w:rsid w:val="00A3332B"/>
    <w:rsid w:val="00A33390"/>
    <w:rsid w:val="00A3367C"/>
    <w:rsid w:val="00A33704"/>
    <w:rsid w:val="00A33786"/>
    <w:rsid w:val="00A33834"/>
    <w:rsid w:val="00A339E8"/>
    <w:rsid w:val="00A33C61"/>
    <w:rsid w:val="00A33FFC"/>
    <w:rsid w:val="00A3405B"/>
    <w:rsid w:val="00A340CC"/>
    <w:rsid w:val="00A34488"/>
    <w:rsid w:val="00A344E4"/>
    <w:rsid w:val="00A34563"/>
    <w:rsid w:val="00A3478C"/>
    <w:rsid w:val="00A34869"/>
    <w:rsid w:val="00A34988"/>
    <w:rsid w:val="00A34C8D"/>
    <w:rsid w:val="00A34CDA"/>
    <w:rsid w:val="00A34D3F"/>
    <w:rsid w:val="00A34E76"/>
    <w:rsid w:val="00A350F4"/>
    <w:rsid w:val="00A35160"/>
    <w:rsid w:val="00A352E8"/>
    <w:rsid w:val="00A35BAD"/>
    <w:rsid w:val="00A35DA6"/>
    <w:rsid w:val="00A36618"/>
    <w:rsid w:val="00A36831"/>
    <w:rsid w:val="00A368A5"/>
    <w:rsid w:val="00A36A57"/>
    <w:rsid w:val="00A36DB4"/>
    <w:rsid w:val="00A37089"/>
    <w:rsid w:val="00A378E6"/>
    <w:rsid w:val="00A37D42"/>
    <w:rsid w:val="00A400B5"/>
    <w:rsid w:val="00A40237"/>
    <w:rsid w:val="00A4024D"/>
    <w:rsid w:val="00A4053F"/>
    <w:rsid w:val="00A405F5"/>
    <w:rsid w:val="00A40702"/>
    <w:rsid w:val="00A408C3"/>
    <w:rsid w:val="00A40916"/>
    <w:rsid w:val="00A40950"/>
    <w:rsid w:val="00A40976"/>
    <w:rsid w:val="00A40D00"/>
    <w:rsid w:val="00A40E96"/>
    <w:rsid w:val="00A40F55"/>
    <w:rsid w:val="00A410F0"/>
    <w:rsid w:val="00A41596"/>
    <w:rsid w:val="00A4169D"/>
    <w:rsid w:val="00A4185D"/>
    <w:rsid w:val="00A41A83"/>
    <w:rsid w:val="00A41BD8"/>
    <w:rsid w:val="00A41C1F"/>
    <w:rsid w:val="00A41C41"/>
    <w:rsid w:val="00A41CA5"/>
    <w:rsid w:val="00A41F1D"/>
    <w:rsid w:val="00A42188"/>
    <w:rsid w:val="00A4221A"/>
    <w:rsid w:val="00A4240B"/>
    <w:rsid w:val="00A42644"/>
    <w:rsid w:val="00A42AA4"/>
    <w:rsid w:val="00A42B30"/>
    <w:rsid w:val="00A42B68"/>
    <w:rsid w:val="00A42D44"/>
    <w:rsid w:val="00A42E2E"/>
    <w:rsid w:val="00A42EB1"/>
    <w:rsid w:val="00A42EC5"/>
    <w:rsid w:val="00A42EF2"/>
    <w:rsid w:val="00A42F33"/>
    <w:rsid w:val="00A4321F"/>
    <w:rsid w:val="00A43851"/>
    <w:rsid w:val="00A4388C"/>
    <w:rsid w:val="00A43923"/>
    <w:rsid w:val="00A43D2A"/>
    <w:rsid w:val="00A43D78"/>
    <w:rsid w:val="00A43E61"/>
    <w:rsid w:val="00A43F55"/>
    <w:rsid w:val="00A43F81"/>
    <w:rsid w:val="00A44248"/>
    <w:rsid w:val="00A443AD"/>
    <w:rsid w:val="00A44B55"/>
    <w:rsid w:val="00A44B88"/>
    <w:rsid w:val="00A44C04"/>
    <w:rsid w:val="00A44C36"/>
    <w:rsid w:val="00A44FDE"/>
    <w:rsid w:val="00A45080"/>
    <w:rsid w:val="00A45676"/>
    <w:rsid w:val="00A45768"/>
    <w:rsid w:val="00A457B7"/>
    <w:rsid w:val="00A45824"/>
    <w:rsid w:val="00A45867"/>
    <w:rsid w:val="00A458EF"/>
    <w:rsid w:val="00A45E28"/>
    <w:rsid w:val="00A45F06"/>
    <w:rsid w:val="00A45FB0"/>
    <w:rsid w:val="00A45FEF"/>
    <w:rsid w:val="00A46108"/>
    <w:rsid w:val="00A463AD"/>
    <w:rsid w:val="00A46504"/>
    <w:rsid w:val="00A465C0"/>
    <w:rsid w:val="00A46B17"/>
    <w:rsid w:val="00A46F1B"/>
    <w:rsid w:val="00A47057"/>
    <w:rsid w:val="00A475EA"/>
    <w:rsid w:val="00A477CB"/>
    <w:rsid w:val="00A47956"/>
    <w:rsid w:val="00A479C9"/>
    <w:rsid w:val="00A47B92"/>
    <w:rsid w:val="00A47C7B"/>
    <w:rsid w:val="00A47CEB"/>
    <w:rsid w:val="00A47E5B"/>
    <w:rsid w:val="00A50056"/>
    <w:rsid w:val="00A50097"/>
    <w:rsid w:val="00A50136"/>
    <w:rsid w:val="00A50365"/>
    <w:rsid w:val="00A508CA"/>
    <w:rsid w:val="00A50DDE"/>
    <w:rsid w:val="00A50E9C"/>
    <w:rsid w:val="00A513EC"/>
    <w:rsid w:val="00A51481"/>
    <w:rsid w:val="00A51B63"/>
    <w:rsid w:val="00A51D03"/>
    <w:rsid w:val="00A521C9"/>
    <w:rsid w:val="00A52234"/>
    <w:rsid w:val="00A522A1"/>
    <w:rsid w:val="00A522E3"/>
    <w:rsid w:val="00A52464"/>
    <w:rsid w:val="00A52470"/>
    <w:rsid w:val="00A526FE"/>
    <w:rsid w:val="00A52815"/>
    <w:rsid w:val="00A52B88"/>
    <w:rsid w:val="00A52D04"/>
    <w:rsid w:val="00A536BA"/>
    <w:rsid w:val="00A536D7"/>
    <w:rsid w:val="00A53B2B"/>
    <w:rsid w:val="00A53CB4"/>
    <w:rsid w:val="00A53CB7"/>
    <w:rsid w:val="00A53CEC"/>
    <w:rsid w:val="00A53E1B"/>
    <w:rsid w:val="00A54104"/>
    <w:rsid w:val="00A54143"/>
    <w:rsid w:val="00A5426C"/>
    <w:rsid w:val="00A54762"/>
    <w:rsid w:val="00A54789"/>
    <w:rsid w:val="00A548A2"/>
    <w:rsid w:val="00A548D8"/>
    <w:rsid w:val="00A54B12"/>
    <w:rsid w:val="00A550F3"/>
    <w:rsid w:val="00A55215"/>
    <w:rsid w:val="00A55960"/>
    <w:rsid w:val="00A560A6"/>
    <w:rsid w:val="00A564B9"/>
    <w:rsid w:val="00A56565"/>
    <w:rsid w:val="00A56F1C"/>
    <w:rsid w:val="00A5727D"/>
    <w:rsid w:val="00A57918"/>
    <w:rsid w:val="00A57A2B"/>
    <w:rsid w:val="00A57A3B"/>
    <w:rsid w:val="00A57C21"/>
    <w:rsid w:val="00A57E0E"/>
    <w:rsid w:val="00A57F94"/>
    <w:rsid w:val="00A60294"/>
    <w:rsid w:val="00A606F9"/>
    <w:rsid w:val="00A60791"/>
    <w:rsid w:val="00A609F1"/>
    <w:rsid w:val="00A60C63"/>
    <w:rsid w:val="00A60DAC"/>
    <w:rsid w:val="00A6140E"/>
    <w:rsid w:val="00A614CA"/>
    <w:rsid w:val="00A61700"/>
    <w:rsid w:val="00A6170E"/>
    <w:rsid w:val="00A6183C"/>
    <w:rsid w:val="00A61BEB"/>
    <w:rsid w:val="00A61CA2"/>
    <w:rsid w:val="00A61CC5"/>
    <w:rsid w:val="00A61FE9"/>
    <w:rsid w:val="00A62021"/>
    <w:rsid w:val="00A6225B"/>
    <w:rsid w:val="00A622A4"/>
    <w:rsid w:val="00A623A5"/>
    <w:rsid w:val="00A6245E"/>
    <w:rsid w:val="00A6261C"/>
    <w:rsid w:val="00A62628"/>
    <w:rsid w:val="00A62A34"/>
    <w:rsid w:val="00A62B08"/>
    <w:rsid w:val="00A62B25"/>
    <w:rsid w:val="00A62BB7"/>
    <w:rsid w:val="00A62CF6"/>
    <w:rsid w:val="00A62D1B"/>
    <w:rsid w:val="00A62E4A"/>
    <w:rsid w:val="00A6328D"/>
    <w:rsid w:val="00A636FA"/>
    <w:rsid w:val="00A637DE"/>
    <w:rsid w:val="00A63AF6"/>
    <w:rsid w:val="00A63EB4"/>
    <w:rsid w:val="00A63ED0"/>
    <w:rsid w:val="00A63F06"/>
    <w:rsid w:val="00A63F93"/>
    <w:rsid w:val="00A64073"/>
    <w:rsid w:val="00A64522"/>
    <w:rsid w:val="00A64577"/>
    <w:rsid w:val="00A64A6B"/>
    <w:rsid w:val="00A64B70"/>
    <w:rsid w:val="00A64C47"/>
    <w:rsid w:val="00A65069"/>
    <w:rsid w:val="00A65322"/>
    <w:rsid w:val="00A656BC"/>
    <w:rsid w:val="00A65A9B"/>
    <w:rsid w:val="00A65CEC"/>
    <w:rsid w:val="00A65D20"/>
    <w:rsid w:val="00A65E21"/>
    <w:rsid w:val="00A6615C"/>
    <w:rsid w:val="00A661C1"/>
    <w:rsid w:val="00A66231"/>
    <w:rsid w:val="00A662F5"/>
    <w:rsid w:val="00A663AB"/>
    <w:rsid w:val="00A663C3"/>
    <w:rsid w:val="00A66481"/>
    <w:rsid w:val="00A66874"/>
    <w:rsid w:val="00A669C8"/>
    <w:rsid w:val="00A669CA"/>
    <w:rsid w:val="00A66CCC"/>
    <w:rsid w:val="00A67030"/>
    <w:rsid w:val="00A6764C"/>
    <w:rsid w:val="00A67826"/>
    <w:rsid w:val="00A67C2E"/>
    <w:rsid w:val="00A67C53"/>
    <w:rsid w:val="00A67D9A"/>
    <w:rsid w:val="00A67E18"/>
    <w:rsid w:val="00A67E4A"/>
    <w:rsid w:val="00A7010A"/>
    <w:rsid w:val="00A70759"/>
    <w:rsid w:val="00A70D05"/>
    <w:rsid w:val="00A70DAF"/>
    <w:rsid w:val="00A70ECF"/>
    <w:rsid w:val="00A70F18"/>
    <w:rsid w:val="00A7150E"/>
    <w:rsid w:val="00A71A26"/>
    <w:rsid w:val="00A71CC1"/>
    <w:rsid w:val="00A71EC1"/>
    <w:rsid w:val="00A71EC6"/>
    <w:rsid w:val="00A71EF6"/>
    <w:rsid w:val="00A71FA1"/>
    <w:rsid w:val="00A71FFD"/>
    <w:rsid w:val="00A7210F"/>
    <w:rsid w:val="00A72231"/>
    <w:rsid w:val="00A729ED"/>
    <w:rsid w:val="00A72C80"/>
    <w:rsid w:val="00A73480"/>
    <w:rsid w:val="00A737FF"/>
    <w:rsid w:val="00A73B5D"/>
    <w:rsid w:val="00A73B90"/>
    <w:rsid w:val="00A73BBE"/>
    <w:rsid w:val="00A73F32"/>
    <w:rsid w:val="00A73FD0"/>
    <w:rsid w:val="00A74336"/>
    <w:rsid w:val="00A74525"/>
    <w:rsid w:val="00A745AC"/>
    <w:rsid w:val="00A74995"/>
    <w:rsid w:val="00A74AC8"/>
    <w:rsid w:val="00A74D2D"/>
    <w:rsid w:val="00A74FAE"/>
    <w:rsid w:val="00A75151"/>
    <w:rsid w:val="00A7529C"/>
    <w:rsid w:val="00A7588B"/>
    <w:rsid w:val="00A75E51"/>
    <w:rsid w:val="00A75E54"/>
    <w:rsid w:val="00A75F7A"/>
    <w:rsid w:val="00A75FD4"/>
    <w:rsid w:val="00A76025"/>
    <w:rsid w:val="00A76334"/>
    <w:rsid w:val="00A76397"/>
    <w:rsid w:val="00A767B9"/>
    <w:rsid w:val="00A768A1"/>
    <w:rsid w:val="00A7696A"/>
    <w:rsid w:val="00A76D02"/>
    <w:rsid w:val="00A76D95"/>
    <w:rsid w:val="00A76F7D"/>
    <w:rsid w:val="00A773E0"/>
    <w:rsid w:val="00A775D2"/>
    <w:rsid w:val="00A77704"/>
    <w:rsid w:val="00A778E1"/>
    <w:rsid w:val="00A77945"/>
    <w:rsid w:val="00A77C1C"/>
    <w:rsid w:val="00A77C6A"/>
    <w:rsid w:val="00A80227"/>
    <w:rsid w:val="00A8067D"/>
    <w:rsid w:val="00A8099F"/>
    <w:rsid w:val="00A80C0C"/>
    <w:rsid w:val="00A80C4F"/>
    <w:rsid w:val="00A80D72"/>
    <w:rsid w:val="00A82134"/>
    <w:rsid w:val="00A8227E"/>
    <w:rsid w:val="00A824BB"/>
    <w:rsid w:val="00A82501"/>
    <w:rsid w:val="00A8290C"/>
    <w:rsid w:val="00A82A5D"/>
    <w:rsid w:val="00A82B86"/>
    <w:rsid w:val="00A82F5B"/>
    <w:rsid w:val="00A830A4"/>
    <w:rsid w:val="00A83352"/>
    <w:rsid w:val="00A83523"/>
    <w:rsid w:val="00A837A4"/>
    <w:rsid w:val="00A837CA"/>
    <w:rsid w:val="00A8383E"/>
    <w:rsid w:val="00A8387D"/>
    <w:rsid w:val="00A83A10"/>
    <w:rsid w:val="00A83ACF"/>
    <w:rsid w:val="00A83CF6"/>
    <w:rsid w:val="00A83D4D"/>
    <w:rsid w:val="00A83E81"/>
    <w:rsid w:val="00A83E8E"/>
    <w:rsid w:val="00A84120"/>
    <w:rsid w:val="00A8474C"/>
    <w:rsid w:val="00A84A4F"/>
    <w:rsid w:val="00A84F01"/>
    <w:rsid w:val="00A84F10"/>
    <w:rsid w:val="00A85049"/>
    <w:rsid w:val="00A85191"/>
    <w:rsid w:val="00A85281"/>
    <w:rsid w:val="00A85302"/>
    <w:rsid w:val="00A8534A"/>
    <w:rsid w:val="00A85380"/>
    <w:rsid w:val="00A856EB"/>
    <w:rsid w:val="00A85708"/>
    <w:rsid w:val="00A8595B"/>
    <w:rsid w:val="00A85B3F"/>
    <w:rsid w:val="00A85F43"/>
    <w:rsid w:val="00A860F5"/>
    <w:rsid w:val="00A86131"/>
    <w:rsid w:val="00A86710"/>
    <w:rsid w:val="00A86784"/>
    <w:rsid w:val="00A8681A"/>
    <w:rsid w:val="00A868CE"/>
    <w:rsid w:val="00A86E7D"/>
    <w:rsid w:val="00A87028"/>
    <w:rsid w:val="00A87237"/>
    <w:rsid w:val="00A87979"/>
    <w:rsid w:val="00A879F0"/>
    <w:rsid w:val="00A87ACF"/>
    <w:rsid w:val="00A87AE4"/>
    <w:rsid w:val="00A87D9B"/>
    <w:rsid w:val="00A90077"/>
    <w:rsid w:val="00A90115"/>
    <w:rsid w:val="00A90224"/>
    <w:rsid w:val="00A902DF"/>
    <w:rsid w:val="00A9033B"/>
    <w:rsid w:val="00A90384"/>
    <w:rsid w:val="00A9051A"/>
    <w:rsid w:val="00A90657"/>
    <w:rsid w:val="00A9068D"/>
    <w:rsid w:val="00A907B2"/>
    <w:rsid w:val="00A908AD"/>
    <w:rsid w:val="00A90A44"/>
    <w:rsid w:val="00A90B64"/>
    <w:rsid w:val="00A90D4E"/>
    <w:rsid w:val="00A90EB6"/>
    <w:rsid w:val="00A90EDE"/>
    <w:rsid w:val="00A91151"/>
    <w:rsid w:val="00A9134E"/>
    <w:rsid w:val="00A914F3"/>
    <w:rsid w:val="00A91593"/>
    <w:rsid w:val="00A91721"/>
    <w:rsid w:val="00A91988"/>
    <w:rsid w:val="00A91F48"/>
    <w:rsid w:val="00A922A9"/>
    <w:rsid w:val="00A9242B"/>
    <w:rsid w:val="00A9271F"/>
    <w:rsid w:val="00A92761"/>
    <w:rsid w:val="00A92842"/>
    <w:rsid w:val="00A92CCC"/>
    <w:rsid w:val="00A92FE4"/>
    <w:rsid w:val="00A9311B"/>
    <w:rsid w:val="00A9323E"/>
    <w:rsid w:val="00A93310"/>
    <w:rsid w:val="00A9377D"/>
    <w:rsid w:val="00A9383C"/>
    <w:rsid w:val="00A939B4"/>
    <w:rsid w:val="00A93ABD"/>
    <w:rsid w:val="00A93C84"/>
    <w:rsid w:val="00A93CA3"/>
    <w:rsid w:val="00A93EE2"/>
    <w:rsid w:val="00A93F72"/>
    <w:rsid w:val="00A94ABB"/>
    <w:rsid w:val="00A94F34"/>
    <w:rsid w:val="00A94F90"/>
    <w:rsid w:val="00A953C0"/>
    <w:rsid w:val="00A95612"/>
    <w:rsid w:val="00A95973"/>
    <w:rsid w:val="00A95ABA"/>
    <w:rsid w:val="00A95C29"/>
    <w:rsid w:val="00A95CED"/>
    <w:rsid w:val="00A967E1"/>
    <w:rsid w:val="00A967F3"/>
    <w:rsid w:val="00A969FB"/>
    <w:rsid w:val="00A96B4D"/>
    <w:rsid w:val="00A9714D"/>
    <w:rsid w:val="00A971DC"/>
    <w:rsid w:val="00A97276"/>
    <w:rsid w:val="00A97427"/>
    <w:rsid w:val="00A97462"/>
    <w:rsid w:val="00A974A2"/>
    <w:rsid w:val="00A97961"/>
    <w:rsid w:val="00A97C39"/>
    <w:rsid w:val="00A97DC6"/>
    <w:rsid w:val="00AA036C"/>
    <w:rsid w:val="00AA038A"/>
    <w:rsid w:val="00AA0627"/>
    <w:rsid w:val="00AA0693"/>
    <w:rsid w:val="00AA07CC"/>
    <w:rsid w:val="00AA0940"/>
    <w:rsid w:val="00AA099D"/>
    <w:rsid w:val="00AA0C8F"/>
    <w:rsid w:val="00AA10AF"/>
    <w:rsid w:val="00AA1206"/>
    <w:rsid w:val="00AA1210"/>
    <w:rsid w:val="00AA1404"/>
    <w:rsid w:val="00AA1408"/>
    <w:rsid w:val="00AA16AD"/>
    <w:rsid w:val="00AA17CB"/>
    <w:rsid w:val="00AA230F"/>
    <w:rsid w:val="00AA2383"/>
    <w:rsid w:val="00AA25E1"/>
    <w:rsid w:val="00AA2BAA"/>
    <w:rsid w:val="00AA2CD1"/>
    <w:rsid w:val="00AA2E64"/>
    <w:rsid w:val="00AA30B3"/>
    <w:rsid w:val="00AA30C5"/>
    <w:rsid w:val="00AA3138"/>
    <w:rsid w:val="00AA315C"/>
    <w:rsid w:val="00AA31CA"/>
    <w:rsid w:val="00AA36B2"/>
    <w:rsid w:val="00AA383C"/>
    <w:rsid w:val="00AA3859"/>
    <w:rsid w:val="00AA3AFF"/>
    <w:rsid w:val="00AA3C5F"/>
    <w:rsid w:val="00AA3D46"/>
    <w:rsid w:val="00AA3F27"/>
    <w:rsid w:val="00AA4464"/>
    <w:rsid w:val="00AA4607"/>
    <w:rsid w:val="00AA4632"/>
    <w:rsid w:val="00AA4697"/>
    <w:rsid w:val="00AA46AD"/>
    <w:rsid w:val="00AA4A09"/>
    <w:rsid w:val="00AA4CE4"/>
    <w:rsid w:val="00AA5118"/>
    <w:rsid w:val="00AA51D4"/>
    <w:rsid w:val="00AA543E"/>
    <w:rsid w:val="00AA5575"/>
    <w:rsid w:val="00AA57AA"/>
    <w:rsid w:val="00AA5A08"/>
    <w:rsid w:val="00AA5A64"/>
    <w:rsid w:val="00AA5A92"/>
    <w:rsid w:val="00AA5B7E"/>
    <w:rsid w:val="00AA5FB8"/>
    <w:rsid w:val="00AA6018"/>
    <w:rsid w:val="00AA603C"/>
    <w:rsid w:val="00AA6042"/>
    <w:rsid w:val="00AA61A1"/>
    <w:rsid w:val="00AA64A8"/>
    <w:rsid w:val="00AA6B20"/>
    <w:rsid w:val="00AA6E0B"/>
    <w:rsid w:val="00AA6EBA"/>
    <w:rsid w:val="00AA6EC2"/>
    <w:rsid w:val="00AA6F97"/>
    <w:rsid w:val="00AA7387"/>
    <w:rsid w:val="00AA7401"/>
    <w:rsid w:val="00AA77A0"/>
    <w:rsid w:val="00AA785C"/>
    <w:rsid w:val="00AA7A9A"/>
    <w:rsid w:val="00AA7C06"/>
    <w:rsid w:val="00AA7C5F"/>
    <w:rsid w:val="00AA7C9A"/>
    <w:rsid w:val="00AA7CC3"/>
    <w:rsid w:val="00AA98AF"/>
    <w:rsid w:val="00AB01C4"/>
    <w:rsid w:val="00AB0359"/>
    <w:rsid w:val="00AB05AD"/>
    <w:rsid w:val="00AB07FE"/>
    <w:rsid w:val="00AB0ABA"/>
    <w:rsid w:val="00AB0DB2"/>
    <w:rsid w:val="00AB1036"/>
    <w:rsid w:val="00AB1109"/>
    <w:rsid w:val="00AB1223"/>
    <w:rsid w:val="00AB125D"/>
    <w:rsid w:val="00AB1492"/>
    <w:rsid w:val="00AB15C1"/>
    <w:rsid w:val="00AB16D8"/>
    <w:rsid w:val="00AB181F"/>
    <w:rsid w:val="00AB198C"/>
    <w:rsid w:val="00AB1C68"/>
    <w:rsid w:val="00AB1E98"/>
    <w:rsid w:val="00AB2046"/>
    <w:rsid w:val="00AB235D"/>
    <w:rsid w:val="00AB23C3"/>
    <w:rsid w:val="00AB23E7"/>
    <w:rsid w:val="00AB2A06"/>
    <w:rsid w:val="00AB2CD4"/>
    <w:rsid w:val="00AB3273"/>
    <w:rsid w:val="00AB3298"/>
    <w:rsid w:val="00AB3506"/>
    <w:rsid w:val="00AB35CD"/>
    <w:rsid w:val="00AB3A4D"/>
    <w:rsid w:val="00AB3BDB"/>
    <w:rsid w:val="00AB3E71"/>
    <w:rsid w:val="00AB4738"/>
    <w:rsid w:val="00AB48A6"/>
    <w:rsid w:val="00AB4A91"/>
    <w:rsid w:val="00AB4E35"/>
    <w:rsid w:val="00AB4F75"/>
    <w:rsid w:val="00AB50B6"/>
    <w:rsid w:val="00AB51DA"/>
    <w:rsid w:val="00AB5677"/>
    <w:rsid w:val="00AB5723"/>
    <w:rsid w:val="00AB58B1"/>
    <w:rsid w:val="00AB5B64"/>
    <w:rsid w:val="00AB5BD8"/>
    <w:rsid w:val="00AB5E33"/>
    <w:rsid w:val="00AB5E94"/>
    <w:rsid w:val="00AB5F22"/>
    <w:rsid w:val="00AB6280"/>
    <w:rsid w:val="00AB66EA"/>
    <w:rsid w:val="00AB6735"/>
    <w:rsid w:val="00AB6B38"/>
    <w:rsid w:val="00AB70C4"/>
    <w:rsid w:val="00AB72E6"/>
    <w:rsid w:val="00AB7439"/>
    <w:rsid w:val="00AB7493"/>
    <w:rsid w:val="00AB769D"/>
    <w:rsid w:val="00AB77BB"/>
    <w:rsid w:val="00AB78ED"/>
    <w:rsid w:val="00AB7F7D"/>
    <w:rsid w:val="00AC006C"/>
    <w:rsid w:val="00AC0079"/>
    <w:rsid w:val="00AC0260"/>
    <w:rsid w:val="00AC02AC"/>
    <w:rsid w:val="00AC035A"/>
    <w:rsid w:val="00AC043B"/>
    <w:rsid w:val="00AC04BD"/>
    <w:rsid w:val="00AC0656"/>
    <w:rsid w:val="00AC0674"/>
    <w:rsid w:val="00AC0728"/>
    <w:rsid w:val="00AC0746"/>
    <w:rsid w:val="00AC077B"/>
    <w:rsid w:val="00AC07DA"/>
    <w:rsid w:val="00AC096F"/>
    <w:rsid w:val="00AC0AB3"/>
    <w:rsid w:val="00AC101A"/>
    <w:rsid w:val="00AC1066"/>
    <w:rsid w:val="00AC118A"/>
    <w:rsid w:val="00AC123F"/>
    <w:rsid w:val="00AC13A2"/>
    <w:rsid w:val="00AC2377"/>
    <w:rsid w:val="00AC24AC"/>
    <w:rsid w:val="00AC26BC"/>
    <w:rsid w:val="00AC26C2"/>
    <w:rsid w:val="00AC295C"/>
    <w:rsid w:val="00AC299D"/>
    <w:rsid w:val="00AC2EA2"/>
    <w:rsid w:val="00AC302E"/>
    <w:rsid w:val="00AC3102"/>
    <w:rsid w:val="00AC32A8"/>
    <w:rsid w:val="00AC33FE"/>
    <w:rsid w:val="00AC3447"/>
    <w:rsid w:val="00AC35F6"/>
    <w:rsid w:val="00AC3700"/>
    <w:rsid w:val="00AC375C"/>
    <w:rsid w:val="00AC3791"/>
    <w:rsid w:val="00AC3947"/>
    <w:rsid w:val="00AC3991"/>
    <w:rsid w:val="00AC3B05"/>
    <w:rsid w:val="00AC3BCA"/>
    <w:rsid w:val="00AC3C43"/>
    <w:rsid w:val="00AC3E5A"/>
    <w:rsid w:val="00AC3EA8"/>
    <w:rsid w:val="00AC3F5C"/>
    <w:rsid w:val="00AC412B"/>
    <w:rsid w:val="00AC43FC"/>
    <w:rsid w:val="00AC44BA"/>
    <w:rsid w:val="00AC4691"/>
    <w:rsid w:val="00AC47AB"/>
    <w:rsid w:val="00AC49E0"/>
    <w:rsid w:val="00AC4A1D"/>
    <w:rsid w:val="00AC4A54"/>
    <w:rsid w:val="00AC4C09"/>
    <w:rsid w:val="00AC4E12"/>
    <w:rsid w:val="00AC52AB"/>
    <w:rsid w:val="00AC5379"/>
    <w:rsid w:val="00AC5380"/>
    <w:rsid w:val="00AC53AD"/>
    <w:rsid w:val="00AC573A"/>
    <w:rsid w:val="00AC59EF"/>
    <w:rsid w:val="00AC5B3E"/>
    <w:rsid w:val="00AC5D53"/>
    <w:rsid w:val="00AC5DAC"/>
    <w:rsid w:val="00AC5F5B"/>
    <w:rsid w:val="00AC608A"/>
    <w:rsid w:val="00AC65DD"/>
    <w:rsid w:val="00AC6805"/>
    <w:rsid w:val="00AC6809"/>
    <w:rsid w:val="00AC681E"/>
    <w:rsid w:val="00AC7116"/>
    <w:rsid w:val="00AC72EF"/>
    <w:rsid w:val="00AC7B2E"/>
    <w:rsid w:val="00AC7EA4"/>
    <w:rsid w:val="00AC7F41"/>
    <w:rsid w:val="00AD053F"/>
    <w:rsid w:val="00AD0702"/>
    <w:rsid w:val="00AD07B8"/>
    <w:rsid w:val="00AD0C57"/>
    <w:rsid w:val="00AD0FDD"/>
    <w:rsid w:val="00AD0FFD"/>
    <w:rsid w:val="00AD10CF"/>
    <w:rsid w:val="00AD16F6"/>
    <w:rsid w:val="00AD187D"/>
    <w:rsid w:val="00AD19BC"/>
    <w:rsid w:val="00AD19C1"/>
    <w:rsid w:val="00AD1BA7"/>
    <w:rsid w:val="00AD1F44"/>
    <w:rsid w:val="00AD202F"/>
    <w:rsid w:val="00AD219F"/>
    <w:rsid w:val="00AD21A1"/>
    <w:rsid w:val="00AD21B7"/>
    <w:rsid w:val="00AD22D9"/>
    <w:rsid w:val="00AD250D"/>
    <w:rsid w:val="00AD280A"/>
    <w:rsid w:val="00AD2831"/>
    <w:rsid w:val="00AD28A2"/>
    <w:rsid w:val="00AD28B0"/>
    <w:rsid w:val="00AD28D1"/>
    <w:rsid w:val="00AD2A65"/>
    <w:rsid w:val="00AD2ACF"/>
    <w:rsid w:val="00AD2C7B"/>
    <w:rsid w:val="00AD2EB3"/>
    <w:rsid w:val="00AD2F6E"/>
    <w:rsid w:val="00AD315F"/>
    <w:rsid w:val="00AD33A2"/>
    <w:rsid w:val="00AD3459"/>
    <w:rsid w:val="00AD3755"/>
    <w:rsid w:val="00AD3A8B"/>
    <w:rsid w:val="00AD3BED"/>
    <w:rsid w:val="00AD3D9A"/>
    <w:rsid w:val="00AD3DA0"/>
    <w:rsid w:val="00AD4032"/>
    <w:rsid w:val="00AD41CF"/>
    <w:rsid w:val="00AD42C3"/>
    <w:rsid w:val="00AD44CF"/>
    <w:rsid w:val="00AD44E4"/>
    <w:rsid w:val="00AD495E"/>
    <w:rsid w:val="00AD4BCC"/>
    <w:rsid w:val="00AD4D06"/>
    <w:rsid w:val="00AD4DE3"/>
    <w:rsid w:val="00AD5042"/>
    <w:rsid w:val="00AD5093"/>
    <w:rsid w:val="00AD54D9"/>
    <w:rsid w:val="00AD54E5"/>
    <w:rsid w:val="00AD55ED"/>
    <w:rsid w:val="00AD577C"/>
    <w:rsid w:val="00AD5785"/>
    <w:rsid w:val="00AD597D"/>
    <w:rsid w:val="00AD59BB"/>
    <w:rsid w:val="00AD5DCC"/>
    <w:rsid w:val="00AD5EFC"/>
    <w:rsid w:val="00AD6118"/>
    <w:rsid w:val="00AD61EF"/>
    <w:rsid w:val="00AD6304"/>
    <w:rsid w:val="00AD632F"/>
    <w:rsid w:val="00AD649D"/>
    <w:rsid w:val="00AD65DB"/>
    <w:rsid w:val="00AD660C"/>
    <w:rsid w:val="00AD663A"/>
    <w:rsid w:val="00AD66D3"/>
    <w:rsid w:val="00AD6801"/>
    <w:rsid w:val="00AD6859"/>
    <w:rsid w:val="00AD6AD7"/>
    <w:rsid w:val="00AD6F83"/>
    <w:rsid w:val="00AD7025"/>
    <w:rsid w:val="00AD7400"/>
    <w:rsid w:val="00AD75C3"/>
    <w:rsid w:val="00AD762D"/>
    <w:rsid w:val="00AD7680"/>
    <w:rsid w:val="00AD7694"/>
    <w:rsid w:val="00AD770F"/>
    <w:rsid w:val="00AD7C07"/>
    <w:rsid w:val="00AD7CE6"/>
    <w:rsid w:val="00AD7D31"/>
    <w:rsid w:val="00AD7E45"/>
    <w:rsid w:val="00AD7EBE"/>
    <w:rsid w:val="00AE029A"/>
    <w:rsid w:val="00AE029D"/>
    <w:rsid w:val="00AE058E"/>
    <w:rsid w:val="00AE0702"/>
    <w:rsid w:val="00AE0854"/>
    <w:rsid w:val="00AE0C05"/>
    <w:rsid w:val="00AE0EDE"/>
    <w:rsid w:val="00AE0FD1"/>
    <w:rsid w:val="00AE10C3"/>
    <w:rsid w:val="00AE10D3"/>
    <w:rsid w:val="00AE16E3"/>
    <w:rsid w:val="00AE1835"/>
    <w:rsid w:val="00AE18F3"/>
    <w:rsid w:val="00AE1971"/>
    <w:rsid w:val="00AE1A1F"/>
    <w:rsid w:val="00AE1A6C"/>
    <w:rsid w:val="00AE1FD4"/>
    <w:rsid w:val="00AE21A2"/>
    <w:rsid w:val="00AE24EC"/>
    <w:rsid w:val="00AE2502"/>
    <w:rsid w:val="00AE2625"/>
    <w:rsid w:val="00AE2874"/>
    <w:rsid w:val="00AE29F6"/>
    <w:rsid w:val="00AE2A1B"/>
    <w:rsid w:val="00AE2DA4"/>
    <w:rsid w:val="00AE3221"/>
    <w:rsid w:val="00AE3413"/>
    <w:rsid w:val="00AE3750"/>
    <w:rsid w:val="00AE3A33"/>
    <w:rsid w:val="00AE3B64"/>
    <w:rsid w:val="00AE3BC4"/>
    <w:rsid w:val="00AE3C15"/>
    <w:rsid w:val="00AE4245"/>
    <w:rsid w:val="00AE439B"/>
    <w:rsid w:val="00AE43AE"/>
    <w:rsid w:val="00AE444C"/>
    <w:rsid w:val="00AE46E6"/>
    <w:rsid w:val="00AE479D"/>
    <w:rsid w:val="00AE48E8"/>
    <w:rsid w:val="00AE4D12"/>
    <w:rsid w:val="00AE51DB"/>
    <w:rsid w:val="00AE52A5"/>
    <w:rsid w:val="00AE52FE"/>
    <w:rsid w:val="00AE541B"/>
    <w:rsid w:val="00AE57FC"/>
    <w:rsid w:val="00AE58F7"/>
    <w:rsid w:val="00AE5F04"/>
    <w:rsid w:val="00AE6888"/>
    <w:rsid w:val="00AE6963"/>
    <w:rsid w:val="00AE6B5D"/>
    <w:rsid w:val="00AE6BC2"/>
    <w:rsid w:val="00AE6BFD"/>
    <w:rsid w:val="00AE6C24"/>
    <w:rsid w:val="00AE6D1A"/>
    <w:rsid w:val="00AE6DBD"/>
    <w:rsid w:val="00AE71E5"/>
    <w:rsid w:val="00AE7237"/>
    <w:rsid w:val="00AE726F"/>
    <w:rsid w:val="00AE72E4"/>
    <w:rsid w:val="00AE7389"/>
    <w:rsid w:val="00AE73F4"/>
    <w:rsid w:val="00AE74C9"/>
    <w:rsid w:val="00AE7534"/>
    <w:rsid w:val="00AE75C6"/>
    <w:rsid w:val="00AE7696"/>
    <w:rsid w:val="00AE77A0"/>
    <w:rsid w:val="00AE7AA2"/>
    <w:rsid w:val="00AE7D2F"/>
    <w:rsid w:val="00AE7DA2"/>
    <w:rsid w:val="00AF003A"/>
    <w:rsid w:val="00AF012E"/>
    <w:rsid w:val="00AF014F"/>
    <w:rsid w:val="00AF0464"/>
    <w:rsid w:val="00AF06B0"/>
    <w:rsid w:val="00AF0763"/>
    <w:rsid w:val="00AF0827"/>
    <w:rsid w:val="00AF09CD"/>
    <w:rsid w:val="00AF0E25"/>
    <w:rsid w:val="00AF0E3C"/>
    <w:rsid w:val="00AF1088"/>
    <w:rsid w:val="00AF1287"/>
    <w:rsid w:val="00AF1758"/>
    <w:rsid w:val="00AF1E34"/>
    <w:rsid w:val="00AF1EBA"/>
    <w:rsid w:val="00AF2624"/>
    <w:rsid w:val="00AF26CF"/>
    <w:rsid w:val="00AF28C2"/>
    <w:rsid w:val="00AF2BCB"/>
    <w:rsid w:val="00AF2D67"/>
    <w:rsid w:val="00AF2DEE"/>
    <w:rsid w:val="00AF31A3"/>
    <w:rsid w:val="00AF31D7"/>
    <w:rsid w:val="00AF33A2"/>
    <w:rsid w:val="00AF33D9"/>
    <w:rsid w:val="00AF33DE"/>
    <w:rsid w:val="00AF3529"/>
    <w:rsid w:val="00AF3639"/>
    <w:rsid w:val="00AF3953"/>
    <w:rsid w:val="00AF3DB4"/>
    <w:rsid w:val="00AF3E06"/>
    <w:rsid w:val="00AF3F36"/>
    <w:rsid w:val="00AF3F9F"/>
    <w:rsid w:val="00AF40C2"/>
    <w:rsid w:val="00AF4DC2"/>
    <w:rsid w:val="00AF4E8E"/>
    <w:rsid w:val="00AF4EC6"/>
    <w:rsid w:val="00AF522D"/>
    <w:rsid w:val="00AF5418"/>
    <w:rsid w:val="00AF55BB"/>
    <w:rsid w:val="00AF5BB2"/>
    <w:rsid w:val="00AF5CCE"/>
    <w:rsid w:val="00AF5E7C"/>
    <w:rsid w:val="00AF6134"/>
    <w:rsid w:val="00AF6342"/>
    <w:rsid w:val="00AF6791"/>
    <w:rsid w:val="00AF6931"/>
    <w:rsid w:val="00AF6A4C"/>
    <w:rsid w:val="00AF6C53"/>
    <w:rsid w:val="00AF6DB0"/>
    <w:rsid w:val="00AF72E9"/>
    <w:rsid w:val="00AF73AD"/>
    <w:rsid w:val="00AF746F"/>
    <w:rsid w:val="00AF7485"/>
    <w:rsid w:val="00AF7552"/>
    <w:rsid w:val="00AF75A6"/>
    <w:rsid w:val="00AF75AD"/>
    <w:rsid w:val="00AF7790"/>
    <w:rsid w:val="00AF77B1"/>
    <w:rsid w:val="00AF77C6"/>
    <w:rsid w:val="00AF7CC4"/>
    <w:rsid w:val="00B00072"/>
    <w:rsid w:val="00B0033F"/>
    <w:rsid w:val="00B00438"/>
    <w:rsid w:val="00B004B2"/>
    <w:rsid w:val="00B005C1"/>
    <w:rsid w:val="00B00B1B"/>
    <w:rsid w:val="00B00D64"/>
    <w:rsid w:val="00B00E91"/>
    <w:rsid w:val="00B01091"/>
    <w:rsid w:val="00B013CD"/>
    <w:rsid w:val="00B01596"/>
    <w:rsid w:val="00B015F7"/>
    <w:rsid w:val="00B0178F"/>
    <w:rsid w:val="00B01966"/>
    <w:rsid w:val="00B01BC3"/>
    <w:rsid w:val="00B01CE9"/>
    <w:rsid w:val="00B021AD"/>
    <w:rsid w:val="00B025D0"/>
    <w:rsid w:val="00B02658"/>
    <w:rsid w:val="00B02698"/>
    <w:rsid w:val="00B0270F"/>
    <w:rsid w:val="00B0288A"/>
    <w:rsid w:val="00B02B02"/>
    <w:rsid w:val="00B02B2C"/>
    <w:rsid w:val="00B02D74"/>
    <w:rsid w:val="00B02FAF"/>
    <w:rsid w:val="00B02FE4"/>
    <w:rsid w:val="00B03793"/>
    <w:rsid w:val="00B03813"/>
    <w:rsid w:val="00B03989"/>
    <w:rsid w:val="00B03BF6"/>
    <w:rsid w:val="00B03DC2"/>
    <w:rsid w:val="00B04125"/>
    <w:rsid w:val="00B043D0"/>
    <w:rsid w:val="00B046C1"/>
    <w:rsid w:val="00B0471F"/>
    <w:rsid w:val="00B0476A"/>
    <w:rsid w:val="00B048A7"/>
    <w:rsid w:val="00B04B93"/>
    <w:rsid w:val="00B04DA5"/>
    <w:rsid w:val="00B04E0D"/>
    <w:rsid w:val="00B052B3"/>
    <w:rsid w:val="00B053CC"/>
    <w:rsid w:val="00B05414"/>
    <w:rsid w:val="00B0569B"/>
    <w:rsid w:val="00B056C1"/>
    <w:rsid w:val="00B057D2"/>
    <w:rsid w:val="00B05C7C"/>
    <w:rsid w:val="00B05C81"/>
    <w:rsid w:val="00B061DB"/>
    <w:rsid w:val="00B0632F"/>
    <w:rsid w:val="00B06B24"/>
    <w:rsid w:val="00B06B69"/>
    <w:rsid w:val="00B06C50"/>
    <w:rsid w:val="00B06F48"/>
    <w:rsid w:val="00B074DF"/>
    <w:rsid w:val="00B0762A"/>
    <w:rsid w:val="00B0791A"/>
    <w:rsid w:val="00B07AB1"/>
    <w:rsid w:val="00B07BE1"/>
    <w:rsid w:val="00B07E74"/>
    <w:rsid w:val="00B102FE"/>
    <w:rsid w:val="00B10317"/>
    <w:rsid w:val="00B1045F"/>
    <w:rsid w:val="00B1097F"/>
    <w:rsid w:val="00B10B66"/>
    <w:rsid w:val="00B118F3"/>
    <w:rsid w:val="00B11A5F"/>
    <w:rsid w:val="00B11BA3"/>
    <w:rsid w:val="00B11EF4"/>
    <w:rsid w:val="00B1207A"/>
    <w:rsid w:val="00B120B2"/>
    <w:rsid w:val="00B122DC"/>
    <w:rsid w:val="00B1231A"/>
    <w:rsid w:val="00B123BD"/>
    <w:rsid w:val="00B1272D"/>
    <w:rsid w:val="00B12788"/>
    <w:rsid w:val="00B12816"/>
    <w:rsid w:val="00B12839"/>
    <w:rsid w:val="00B12ABD"/>
    <w:rsid w:val="00B12CA3"/>
    <w:rsid w:val="00B12D7F"/>
    <w:rsid w:val="00B12DD8"/>
    <w:rsid w:val="00B12DF1"/>
    <w:rsid w:val="00B12FC7"/>
    <w:rsid w:val="00B130C4"/>
    <w:rsid w:val="00B1326A"/>
    <w:rsid w:val="00B13598"/>
    <w:rsid w:val="00B1363A"/>
    <w:rsid w:val="00B1366B"/>
    <w:rsid w:val="00B13AE2"/>
    <w:rsid w:val="00B13B9D"/>
    <w:rsid w:val="00B13CC6"/>
    <w:rsid w:val="00B13D15"/>
    <w:rsid w:val="00B13E46"/>
    <w:rsid w:val="00B13EB2"/>
    <w:rsid w:val="00B13F52"/>
    <w:rsid w:val="00B141A4"/>
    <w:rsid w:val="00B1432F"/>
    <w:rsid w:val="00B1439C"/>
    <w:rsid w:val="00B14444"/>
    <w:rsid w:val="00B14599"/>
    <w:rsid w:val="00B14903"/>
    <w:rsid w:val="00B14D12"/>
    <w:rsid w:val="00B14D98"/>
    <w:rsid w:val="00B150C2"/>
    <w:rsid w:val="00B151FD"/>
    <w:rsid w:val="00B1532F"/>
    <w:rsid w:val="00B15370"/>
    <w:rsid w:val="00B153AC"/>
    <w:rsid w:val="00B154A8"/>
    <w:rsid w:val="00B1560B"/>
    <w:rsid w:val="00B15674"/>
    <w:rsid w:val="00B15736"/>
    <w:rsid w:val="00B15759"/>
    <w:rsid w:val="00B159B5"/>
    <w:rsid w:val="00B15AAC"/>
    <w:rsid w:val="00B15D36"/>
    <w:rsid w:val="00B15F09"/>
    <w:rsid w:val="00B16016"/>
    <w:rsid w:val="00B160D9"/>
    <w:rsid w:val="00B160E4"/>
    <w:rsid w:val="00B161F2"/>
    <w:rsid w:val="00B1625C"/>
    <w:rsid w:val="00B16320"/>
    <w:rsid w:val="00B163B0"/>
    <w:rsid w:val="00B164C3"/>
    <w:rsid w:val="00B16994"/>
    <w:rsid w:val="00B16BFE"/>
    <w:rsid w:val="00B16D23"/>
    <w:rsid w:val="00B16D6F"/>
    <w:rsid w:val="00B16EDD"/>
    <w:rsid w:val="00B175CE"/>
    <w:rsid w:val="00B175D7"/>
    <w:rsid w:val="00B177C6"/>
    <w:rsid w:val="00B17842"/>
    <w:rsid w:val="00B17D74"/>
    <w:rsid w:val="00B200CC"/>
    <w:rsid w:val="00B20261"/>
    <w:rsid w:val="00B2030C"/>
    <w:rsid w:val="00B20332"/>
    <w:rsid w:val="00B206C5"/>
    <w:rsid w:val="00B20AD8"/>
    <w:rsid w:val="00B20B6B"/>
    <w:rsid w:val="00B20C69"/>
    <w:rsid w:val="00B2120F"/>
    <w:rsid w:val="00B21258"/>
    <w:rsid w:val="00B2160F"/>
    <w:rsid w:val="00B216E3"/>
    <w:rsid w:val="00B21717"/>
    <w:rsid w:val="00B2176F"/>
    <w:rsid w:val="00B2186D"/>
    <w:rsid w:val="00B21EA7"/>
    <w:rsid w:val="00B21F70"/>
    <w:rsid w:val="00B21F76"/>
    <w:rsid w:val="00B22037"/>
    <w:rsid w:val="00B2236A"/>
    <w:rsid w:val="00B223F1"/>
    <w:rsid w:val="00B2248C"/>
    <w:rsid w:val="00B22618"/>
    <w:rsid w:val="00B22D15"/>
    <w:rsid w:val="00B22D9B"/>
    <w:rsid w:val="00B22E1F"/>
    <w:rsid w:val="00B23127"/>
    <w:rsid w:val="00B231B9"/>
    <w:rsid w:val="00B232BC"/>
    <w:rsid w:val="00B232F4"/>
    <w:rsid w:val="00B23331"/>
    <w:rsid w:val="00B2366F"/>
    <w:rsid w:val="00B23C7F"/>
    <w:rsid w:val="00B23DF6"/>
    <w:rsid w:val="00B23E6E"/>
    <w:rsid w:val="00B243CA"/>
    <w:rsid w:val="00B244BD"/>
    <w:rsid w:val="00B244E6"/>
    <w:rsid w:val="00B245F9"/>
    <w:rsid w:val="00B247AA"/>
    <w:rsid w:val="00B24956"/>
    <w:rsid w:val="00B25321"/>
    <w:rsid w:val="00B25491"/>
    <w:rsid w:val="00B2549D"/>
    <w:rsid w:val="00B2562C"/>
    <w:rsid w:val="00B258F3"/>
    <w:rsid w:val="00B259F0"/>
    <w:rsid w:val="00B26037"/>
    <w:rsid w:val="00B26181"/>
    <w:rsid w:val="00B261C7"/>
    <w:rsid w:val="00B263B9"/>
    <w:rsid w:val="00B2671C"/>
    <w:rsid w:val="00B26A30"/>
    <w:rsid w:val="00B26B24"/>
    <w:rsid w:val="00B26E14"/>
    <w:rsid w:val="00B26F0C"/>
    <w:rsid w:val="00B27076"/>
    <w:rsid w:val="00B271B3"/>
    <w:rsid w:val="00B2736F"/>
    <w:rsid w:val="00B2749A"/>
    <w:rsid w:val="00B2768B"/>
    <w:rsid w:val="00B2774F"/>
    <w:rsid w:val="00B278E1"/>
    <w:rsid w:val="00B279E0"/>
    <w:rsid w:val="00B27E1D"/>
    <w:rsid w:val="00B30086"/>
    <w:rsid w:val="00B301E9"/>
    <w:rsid w:val="00B304A6"/>
    <w:rsid w:val="00B3093E"/>
    <w:rsid w:val="00B30A67"/>
    <w:rsid w:val="00B30EC6"/>
    <w:rsid w:val="00B31095"/>
    <w:rsid w:val="00B3115F"/>
    <w:rsid w:val="00B31478"/>
    <w:rsid w:val="00B3180B"/>
    <w:rsid w:val="00B31B6F"/>
    <w:rsid w:val="00B31B8C"/>
    <w:rsid w:val="00B31C0A"/>
    <w:rsid w:val="00B31D4E"/>
    <w:rsid w:val="00B321A4"/>
    <w:rsid w:val="00B32397"/>
    <w:rsid w:val="00B32622"/>
    <w:rsid w:val="00B327D9"/>
    <w:rsid w:val="00B32930"/>
    <w:rsid w:val="00B32AE6"/>
    <w:rsid w:val="00B32B3A"/>
    <w:rsid w:val="00B32BDC"/>
    <w:rsid w:val="00B339CC"/>
    <w:rsid w:val="00B33A38"/>
    <w:rsid w:val="00B33C08"/>
    <w:rsid w:val="00B33D9D"/>
    <w:rsid w:val="00B33EC3"/>
    <w:rsid w:val="00B34526"/>
    <w:rsid w:val="00B345B3"/>
    <w:rsid w:val="00B346C6"/>
    <w:rsid w:val="00B34ABD"/>
    <w:rsid w:val="00B34AFC"/>
    <w:rsid w:val="00B34B01"/>
    <w:rsid w:val="00B34DEE"/>
    <w:rsid w:val="00B34E23"/>
    <w:rsid w:val="00B34F3E"/>
    <w:rsid w:val="00B35317"/>
    <w:rsid w:val="00B354B8"/>
    <w:rsid w:val="00B35968"/>
    <w:rsid w:val="00B35A2B"/>
    <w:rsid w:val="00B35ADB"/>
    <w:rsid w:val="00B35BDD"/>
    <w:rsid w:val="00B35E8E"/>
    <w:rsid w:val="00B35F52"/>
    <w:rsid w:val="00B362E7"/>
    <w:rsid w:val="00B3655D"/>
    <w:rsid w:val="00B365C1"/>
    <w:rsid w:val="00B365EC"/>
    <w:rsid w:val="00B367B6"/>
    <w:rsid w:val="00B3697B"/>
    <w:rsid w:val="00B36C56"/>
    <w:rsid w:val="00B36CF4"/>
    <w:rsid w:val="00B36F18"/>
    <w:rsid w:val="00B36FB0"/>
    <w:rsid w:val="00B37307"/>
    <w:rsid w:val="00B37317"/>
    <w:rsid w:val="00B37330"/>
    <w:rsid w:val="00B3758D"/>
    <w:rsid w:val="00B375BB"/>
    <w:rsid w:val="00B37722"/>
    <w:rsid w:val="00B37B14"/>
    <w:rsid w:val="00B37F7E"/>
    <w:rsid w:val="00B3AED1"/>
    <w:rsid w:val="00B4007C"/>
    <w:rsid w:val="00B40387"/>
    <w:rsid w:val="00B403AB"/>
    <w:rsid w:val="00B40423"/>
    <w:rsid w:val="00B4057C"/>
    <w:rsid w:val="00B407CE"/>
    <w:rsid w:val="00B40A3A"/>
    <w:rsid w:val="00B40A7D"/>
    <w:rsid w:val="00B40B99"/>
    <w:rsid w:val="00B40C65"/>
    <w:rsid w:val="00B40C6A"/>
    <w:rsid w:val="00B4148D"/>
    <w:rsid w:val="00B41629"/>
    <w:rsid w:val="00B4175E"/>
    <w:rsid w:val="00B4191F"/>
    <w:rsid w:val="00B41A9A"/>
    <w:rsid w:val="00B41E36"/>
    <w:rsid w:val="00B421E8"/>
    <w:rsid w:val="00B42217"/>
    <w:rsid w:val="00B42F09"/>
    <w:rsid w:val="00B435F9"/>
    <w:rsid w:val="00B43878"/>
    <w:rsid w:val="00B43952"/>
    <w:rsid w:val="00B43E5D"/>
    <w:rsid w:val="00B43EAB"/>
    <w:rsid w:val="00B4455C"/>
    <w:rsid w:val="00B446B8"/>
    <w:rsid w:val="00B44B2B"/>
    <w:rsid w:val="00B44EA1"/>
    <w:rsid w:val="00B44F5B"/>
    <w:rsid w:val="00B451D6"/>
    <w:rsid w:val="00B451EE"/>
    <w:rsid w:val="00B45430"/>
    <w:rsid w:val="00B45685"/>
    <w:rsid w:val="00B4580A"/>
    <w:rsid w:val="00B45998"/>
    <w:rsid w:val="00B466AC"/>
    <w:rsid w:val="00B468DF"/>
    <w:rsid w:val="00B47149"/>
    <w:rsid w:val="00B47408"/>
    <w:rsid w:val="00B474DF"/>
    <w:rsid w:val="00B47915"/>
    <w:rsid w:val="00B47948"/>
    <w:rsid w:val="00B47AA0"/>
    <w:rsid w:val="00B47B2D"/>
    <w:rsid w:val="00B47D05"/>
    <w:rsid w:val="00B47D16"/>
    <w:rsid w:val="00B47D74"/>
    <w:rsid w:val="00B47E2D"/>
    <w:rsid w:val="00B47EA3"/>
    <w:rsid w:val="00B5011D"/>
    <w:rsid w:val="00B5057D"/>
    <w:rsid w:val="00B50660"/>
    <w:rsid w:val="00B50ADA"/>
    <w:rsid w:val="00B50D7F"/>
    <w:rsid w:val="00B5104E"/>
    <w:rsid w:val="00B510AB"/>
    <w:rsid w:val="00B5115D"/>
    <w:rsid w:val="00B51375"/>
    <w:rsid w:val="00B51782"/>
    <w:rsid w:val="00B51961"/>
    <w:rsid w:val="00B51ABA"/>
    <w:rsid w:val="00B51C1B"/>
    <w:rsid w:val="00B52068"/>
    <w:rsid w:val="00B520B6"/>
    <w:rsid w:val="00B52587"/>
    <w:rsid w:val="00B52880"/>
    <w:rsid w:val="00B5294E"/>
    <w:rsid w:val="00B529CB"/>
    <w:rsid w:val="00B53117"/>
    <w:rsid w:val="00B53324"/>
    <w:rsid w:val="00B5341B"/>
    <w:rsid w:val="00B534AA"/>
    <w:rsid w:val="00B536AB"/>
    <w:rsid w:val="00B536FD"/>
    <w:rsid w:val="00B53854"/>
    <w:rsid w:val="00B53AF7"/>
    <w:rsid w:val="00B53C05"/>
    <w:rsid w:val="00B53ECB"/>
    <w:rsid w:val="00B53F56"/>
    <w:rsid w:val="00B5406E"/>
    <w:rsid w:val="00B540A8"/>
    <w:rsid w:val="00B541AE"/>
    <w:rsid w:val="00B54219"/>
    <w:rsid w:val="00B544C6"/>
    <w:rsid w:val="00B544C9"/>
    <w:rsid w:val="00B549CB"/>
    <w:rsid w:val="00B54A09"/>
    <w:rsid w:val="00B54A2E"/>
    <w:rsid w:val="00B54B27"/>
    <w:rsid w:val="00B551B6"/>
    <w:rsid w:val="00B554C3"/>
    <w:rsid w:val="00B55663"/>
    <w:rsid w:val="00B557EB"/>
    <w:rsid w:val="00B55C15"/>
    <w:rsid w:val="00B55C8C"/>
    <w:rsid w:val="00B55E78"/>
    <w:rsid w:val="00B55F74"/>
    <w:rsid w:val="00B56048"/>
    <w:rsid w:val="00B56A15"/>
    <w:rsid w:val="00B56E52"/>
    <w:rsid w:val="00B57034"/>
    <w:rsid w:val="00B5742A"/>
    <w:rsid w:val="00B57433"/>
    <w:rsid w:val="00B57789"/>
    <w:rsid w:val="00B578C9"/>
    <w:rsid w:val="00B57A37"/>
    <w:rsid w:val="00B57B93"/>
    <w:rsid w:val="00B57D4C"/>
    <w:rsid w:val="00B57FB1"/>
    <w:rsid w:val="00B6005C"/>
    <w:rsid w:val="00B600EE"/>
    <w:rsid w:val="00B6017C"/>
    <w:rsid w:val="00B602A0"/>
    <w:rsid w:val="00B602EF"/>
    <w:rsid w:val="00B6032E"/>
    <w:rsid w:val="00B603BD"/>
    <w:rsid w:val="00B60528"/>
    <w:rsid w:val="00B60A39"/>
    <w:rsid w:val="00B60EC1"/>
    <w:rsid w:val="00B60F15"/>
    <w:rsid w:val="00B61374"/>
    <w:rsid w:val="00B617B9"/>
    <w:rsid w:val="00B619B6"/>
    <w:rsid w:val="00B61A70"/>
    <w:rsid w:val="00B61FCF"/>
    <w:rsid w:val="00B62275"/>
    <w:rsid w:val="00B622B2"/>
    <w:rsid w:val="00B6232E"/>
    <w:rsid w:val="00B630AE"/>
    <w:rsid w:val="00B630C2"/>
    <w:rsid w:val="00B631AD"/>
    <w:rsid w:val="00B63940"/>
    <w:rsid w:val="00B639FA"/>
    <w:rsid w:val="00B63F21"/>
    <w:rsid w:val="00B64063"/>
    <w:rsid w:val="00B642A5"/>
    <w:rsid w:val="00B64386"/>
    <w:rsid w:val="00B645A3"/>
    <w:rsid w:val="00B64B9E"/>
    <w:rsid w:val="00B64C80"/>
    <w:rsid w:val="00B64D06"/>
    <w:rsid w:val="00B64E31"/>
    <w:rsid w:val="00B64ED8"/>
    <w:rsid w:val="00B64F19"/>
    <w:rsid w:val="00B6574E"/>
    <w:rsid w:val="00B6574F"/>
    <w:rsid w:val="00B65B1E"/>
    <w:rsid w:val="00B65BA2"/>
    <w:rsid w:val="00B65D24"/>
    <w:rsid w:val="00B65F86"/>
    <w:rsid w:val="00B6604E"/>
    <w:rsid w:val="00B66065"/>
    <w:rsid w:val="00B6620F"/>
    <w:rsid w:val="00B66BE1"/>
    <w:rsid w:val="00B66E48"/>
    <w:rsid w:val="00B66E79"/>
    <w:rsid w:val="00B66EC7"/>
    <w:rsid w:val="00B67402"/>
    <w:rsid w:val="00B67555"/>
    <w:rsid w:val="00B67B5D"/>
    <w:rsid w:val="00B67FA0"/>
    <w:rsid w:val="00B700A7"/>
    <w:rsid w:val="00B7040F"/>
    <w:rsid w:val="00B707AC"/>
    <w:rsid w:val="00B707AD"/>
    <w:rsid w:val="00B7086E"/>
    <w:rsid w:val="00B7090C"/>
    <w:rsid w:val="00B7095F"/>
    <w:rsid w:val="00B709E0"/>
    <w:rsid w:val="00B70A75"/>
    <w:rsid w:val="00B70AD5"/>
    <w:rsid w:val="00B70B72"/>
    <w:rsid w:val="00B711F4"/>
    <w:rsid w:val="00B712CC"/>
    <w:rsid w:val="00B7162F"/>
    <w:rsid w:val="00B716D6"/>
    <w:rsid w:val="00B7191B"/>
    <w:rsid w:val="00B7196E"/>
    <w:rsid w:val="00B71B00"/>
    <w:rsid w:val="00B720C4"/>
    <w:rsid w:val="00B7217C"/>
    <w:rsid w:val="00B725E4"/>
    <w:rsid w:val="00B7275D"/>
    <w:rsid w:val="00B7281E"/>
    <w:rsid w:val="00B72F46"/>
    <w:rsid w:val="00B72FA1"/>
    <w:rsid w:val="00B73364"/>
    <w:rsid w:val="00B733A6"/>
    <w:rsid w:val="00B733C4"/>
    <w:rsid w:val="00B735A8"/>
    <w:rsid w:val="00B73877"/>
    <w:rsid w:val="00B73878"/>
    <w:rsid w:val="00B73D5B"/>
    <w:rsid w:val="00B73DBB"/>
    <w:rsid w:val="00B7434D"/>
    <w:rsid w:val="00B7450A"/>
    <w:rsid w:val="00B74720"/>
    <w:rsid w:val="00B7485C"/>
    <w:rsid w:val="00B74C39"/>
    <w:rsid w:val="00B74D20"/>
    <w:rsid w:val="00B74EC3"/>
    <w:rsid w:val="00B752ED"/>
    <w:rsid w:val="00B75358"/>
    <w:rsid w:val="00B7536A"/>
    <w:rsid w:val="00B7545F"/>
    <w:rsid w:val="00B75479"/>
    <w:rsid w:val="00B755AC"/>
    <w:rsid w:val="00B755EC"/>
    <w:rsid w:val="00B759AD"/>
    <w:rsid w:val="00B75B7F"/>
    <w:rsid w:val="00B75EE7"/>
    <w:rsid w:val="00B7614B"/>
    <w:rsid w:val="00B7673F"/>
    <w:rsid w:val="00B767A8"/>
    <w:rsid w:val="00B768A0"/>
    <w:rsid w:val="00B76ED1"/>
    <w:rsid w:val="00B772BA"/>
    <w:rsid w:val="00B775ED"/>
    <w:rsid w:val="00B7772D"/>
    <w:rsid w:val="00B77900"/>
    <w:rsid w:val="00B77A0A"/>
    <w:rsid w:val="00B77B67"/>
    <w:rsid w:val="00B77C5E"/>
    <w:rsid w:val="00B77D21"/>
    <w:rsid w:val="00B77D30"/>
    <w:rsid w:val="00B77DDE"/>
    <w:rsid w:val="00B77E14"/>
    <w:rsid w:val="00B77FD8"/>
    <w:rsid w:val="00B80055"/>
    <w:rsid w:val="00B80744"/>
    <w:rsid w:val="00B8088B"/>
    <w:rsid w:val="00B809E0"/>
    <w:rsid w:val="00B80A5A"/>
    <w:rsid w:val="00B80AD5"/>
    <w:rsid w:val="00B80B02"/>
    <w:rsid w:val="00B80C34"/>
    <w:rsid w:val="00B80E00"/>
    <w:rsid w:val="00B80E46"/>
    <w:rsid w:val="00B810B6"/>
    <w:rsid w:val="00B810E6"/>
    <w:rsid w:val="00B8156C"/>
    <w:rsid w:val="00B816C5"/>
    <w:rsid w:val="00B817FC"/>
    <w:rsid w:val="00B818AA"/>
    <w:rsid w:val="00B818BA"/>
    <w:rsid w:val="00B81A7B"/>
    <w:rsid w:val="00B820E9"/>
    <w:rsid w:val="00B821EF"/>
    <w:rsid w:val="00B8248D"/>
    <w:rsid w:val="00B825CD"/>
    <w:rsid w:val="00B825D7"/>
    <w:rsid w:val="00B82A37"/>
    <w:rsid w:val="00B82B48"/>
    <w:rsid w:val="00B82BF5"/>
    <w:rsid w:val="00B82CAA"/>
    <w:rsid w:val="00B82F34"/>
    <w:rsid w:val="00B82F96"/>
    <w:rsid w:val="00B83004"/>
    <w:rsid w:val="00B8328B"/>
    <w:rsid w:val="00B83DF8"/>
    <w:rsid w:val="00B83E70"/>
    <w:rsid w:val="00B83ED8"/>
    <w:rsid w:val="00B83FFC"/>
    <w:rsid w:val="00B84312"/>
    <w:rsid w:val="00B84525"/>
    <w:rsid w:val="00B8453B"/>
    <w:rsid w:val="00B845B7"/>
    <w:rsid w:val="00B8460C"/>
    <w:rsid w:val="00B84ABA"/>
    <w:rsid w:val="00B84B29"/>
    <w:rsid w:val="00B84F3B"/>
    <w:rsid w:val="00B84FBD"/>
    <w:rsid w:val="00B85262"/>
    <w:rsid w:val="00B8527F"/>
    <w:rsid w:val="00B85330"/>
    <w:rsid w:val="00B8546F"/>
    <w:rsid w:val="00B854BA"/>
    <w:rsid w:val="00B85558"/>
    <w:rsid w:val="00B85637"/>
    <w:rsid w:val="00B8567C"/>
    <w:rsid w:val="00B85757"/>
    <w:rsid w:val="00B85845"/>
    <w:rsid w:val="00B85B8F"/>
    <w:rsid w:val="00B85EC6"/>
    <w:rsid w:val="00B860AA"/>
    <w:rsid w:val="00B86517"/>
    <w:rsid w:val="00B86595"/>
    <w:rsid w:val="00B8669D"/>
    <w:rsid w:val="00B866DA"/>
    <w:rsid w:val="00B8673B"/>
    <w:rsid w:val="00B86812"/>
    <w:rsid w:val="00B86910"/>
    <w:rsid w:val="00B86A34"/>
    <w:rsid w:val="00B86A53"/>
    <w:rsid w:val="00B86E97"/>
    <w:rsid w:val="00B86F32"/>
    <w:rsid w:val="00B87308"/>
    <w:rsid w:val="00B875F3"/>
    <w:rsid w:val="00B8760A"/>
    <w:rsid w:val="00B87BB5"/>
    <w:rsid w:val="00B87BE3"/>
    <w:rsid w:val="00B87DBB"/>
    <w:rsid w:val="00B87DCF"/>
    <w:rsid w:val="00B90019"/>
    <w:rsid w:val="00B9007C"/>
    <w:rsid w:val="00B901D5"/>
    <w:rsid w:val="00B90424"/>
    <w:rsid w:val="00B904A2"/>
    <w:rsid w:val="00B9061B"/>
    <w:rsid w:val="00B90975"/>
    <w:rsid w:val="00B90D51"/>
    <w:rsid w:val="00B90F4A"/>
    <w:rsid w:val="00B90F85"/>
    <w:rsid w:val="00B91055"/>
    <w:rsid w:val="00B91147"/>
    <w:rsid w:val="00B91E6C"/>
    <w:rsid w:val="00B91FDB"/>
    <w:rsid w:val="00B92838"/>
    <w:rsid w:val="00B929C8"/>
    <w:rsid w:val="00B92AD1"/>
    <w:rsid w:val="00B92BDB"/>
    <w:rsid w:val="00B92C40"/>
    <w:rsid w:val="00B92CF6"/>
    <w:rsid w:val="00B92EA0"/>
    <w:rsid w:val="00B9303E"/>
    <w:rsid w:val="00B930F2"/>
    <w:rsid w:val="00B930F9"/>
    <w:rsid w:val="00B93802"/>
    <w:rsid w:val="00B93E9E"/>
    <w:rsid w:val="00B942DE"/>
    <w:rsid w:val="00B94793"/>
    <w:rsid w:val="00B94AA5"/>
    <w:rsid w:val="00B94AF3"/>
    <w:rsid w:val="00B94B08"/>
    <w:rsid w:val="00B94CD9"/>
    <w:rsid w:val="00B951E2"/>
    <w:rsid w:val="00B95259"/>
    <w:rsid w:val="00B95314"/>
    <w:rsid w:val="00B9567C"/>
    <w:rsid w:val="00B95C2B"/>
    <w:rsid w:val="00B95DB2"/>
    <w:rsid w:val="00B95ECC"/>
    <w:rsid w:val="00B95FF0"/>
    <w:rsid w:val="00B96020"/>
    <w:rsid w:val="00B9622C"/>
    <w:rsid w:val="00B9632E"/>
    <w:rsid w:val="00B963C2"/>
    <w:rsid w:val="00B9651F"/>
    <w:rsid w:val="00B96537"/>
    <w:rsid w:val="00B966B5"/>
    <w:rsid w:val="00B96774"/>
    <w:rsid w:val="00B96B9A"/>
    <w:rsid w:val="00B96CA8"/>
    <w:rsid w:val="00B96DA8"/>
    <w:rsid w:val="00B971C8"/>
    <w:rsid w:val="00B9721C"/>
    <w:rsid w:val="00B9730D"/>
    <w:rsid w:val="00B9741F"/>
    <w:rsid w:val="00B974CA"/>
    <w:rsid w:val="00B9782B"/>
    <w:rsid w:val="00B9788B"/>
    <w:rsid w:val="00B97974"/>
    <w:rsid w:val="00B97CD6"/>
    <w:rsid w:val="00B97EF9"/>
    <w:rsid w:val="00BA00C9"/>
    <w:rsid w:val="00BA00CF"/>
    <w:rsid w:val="00BA0437"/>
    <w:rsid w:val="00BA0AA4"/>
    <w:rsid w:val="00BA0D9B"/>
    <w:rsid w:val="00BA0DD9"/>
    <w:rsid w:val="00BA0EA0"/>
    <w:rsid w:val="00BA0F48"/>
    <w:rsid w:val="00BA1004"/>
    <w:rsid w:val="00BA1306"/>
    <w:rsid w:val="00BA141C"/>
    <w:rsid w:val="00BA15EF"/>
    <w:rsid w:val="00BA1C2D"/>
    <w:rsid w:val="00BA25F7"/>
    <w:rsid w:val="00BA263B"/>
    <w:rsid w:val="00BA2744"/>
    <w:rsid w:val="00BA27FF"/>
    <w:rsid w:val="00BA290D"/>
    <w:rsid w:val="00BA2975"/>
    <w:rsid w:val="00BA29D6"/>
    <w:rsid w:val="00BA2A90"/>
    <w:rsid w:val="00BA2B7B"/>
    <w:rsid w:val="00BA2C1D"/>
    <w:rsid w:val="00BA2D5A"/>
    <w:rsid w:val="00BA2FE9"/>
    <w:rsid w:val="00BA3192"/>
    <w:rsid w:val="00BA31D5"/>
    <w:rsid w:val="00BA321E"/>
    <w:rsid w:val="00BA324D"/>
    <w:rsid w:val="00BA3255"/>
    <w:rsid w:val="00BA33DA"/>
    <w:rsid w:val="00BA3475"/>
    <w:rsid w:val="00BA350E"/>
    <w:rsid w:val="00BA3567"/>
    <w:rsid w:val="00BA359E"/>
    <w:rsid w:val="00BA370D"/>
    <w:rsid w:val="00BA3860"/>
    <w:rsid w:val="00BA389B"/>
    <w:rsid w:val="00BA38B4"/>
    <w:rsid w:val="00BA38FF"/>
    <w:rsid w:val="00BA3B41"/>
    <w:rsid w:val="00BA3E37"/>
    <w:rsid w:val="00BA4511"/>
    <w:rsid w:val="00BA45DA"/>
    <w:rsid w:val="00BA469A"/>
    <w:rsid w:val="00BA48FC"/>
    <w:rsid w:val="00BA4A9E"/>
    <w:rsid w:val="00BA4CC7"/>
    <w:rsid w:val="00BA4FF5"/>
    <w:rsid w:val="00BA5013"/>
    <w:rsid w:val="00BA52F5"/>
    <w:rsid w:val="00BA5516"/>
    <w:rsid w:val="00BA5627"/>
    <w:rsid w:val="00BA58A6"/>
    <w:rsid w:val="00BA590A"/>
    <w:rsid w:val="00BA5931"/>
    <w:rsid w:val="00BA5964"/>
    <w:rsid w:val="00BA59B0"/>
    <w:rsid w:val="00BA5B9A"/>
    <w:rsid w:val="00BA6534"/>
    <w:rsid w:val="00BA65E2"/>
    <w:rsid w:val="00BA69B5"/>
    <w:rsid w:val="00BA6D3C"/>
    <w:rsid w:val="00BA6F99"/>
    <w:rsid w:val="00BA6F9D"/>
    <w:rsid w:val="00BA7073"/>
    <w:rsid w:val="00BA70B1"/>
    <w:rsid w:val="00BA7101"/>
    <w:rsid w:val="00BA7954"/>
    <w:rsid w:val="00BA79C5"/>
    <w:rsid w:val="00BA7D3E"/>
    <w:rsid w:val="00BA7E1A"/>
    <w:rsid w:val="00BB000E"/>
    <w:rsid w:val="00BB00A0"/>
    <w:rsid w:val="00BB023A"/>
    <w:rsid w:val="00BB0468"/>
    <w:rsid w:val="00BB04F2"/>
    <w:rsid w:val="00BB06DA"/>
    <w:rsid w:val="00BB0898"/>
    <w:rsid w:val="00BB0C94"/>
    <w:rsid w:val="00BB0CB7"/>
    <w:rsid w:val="00BB0DEA"/>
    <w:rsid w:val="00BB0DF4"/>
    <w:rsid w:val="00BB0F12"/>
    <w:rsid w:val="00BB0F78"/>
    <w:rsid w:val="00BB10CB"/>
    <w:rsid w:val="00BB13B6"/>
    <w:rsid w:val="00BB1534"/>
    <w:rsid w:val="00BB16AE"/>
    <w:rsid w:val="00BB18F1"/>
    <w:rsid w:val="00BB1A55"/>
    <w:rsid w:val="00BB1BCE"/>
    <w:rsid w:val="00BB240B"/>
    <w:rsid w:val="00BB272C"/>
    <w:rsid w:val="00BB28D4"/>
    <w:rsid w:val="00BB2906"/>
    <w:rsid w:val="00BB2A98"/>
    <w:rsid w:val="00BB2BEA"/>
    <w:rsid w:val="00BB2D8D"/>
    <w:rsid w:val="00BB2DC2"/>
    <w:rsid w:val="00BB33D0"/>
    <w:rsid w:val="00BB34F1"/>
    <w:rsid w:val="00BB35B0"/>
    <w:rsid w:val="00BB3630"/>
    <w:rsid w:val="00BB377A"/>
    <w:rsid w:val="00BB37B4"/>
    <w:rsid w:val="00BB37CF"/>
    <w:rsid w:val="00BB38C6"/>
    <w:rsid w:val="00BB3CD6"/>
    <w:rsid w:val="00BB3DF9"/>
    <w:rsid w:val="00BB40E8"/>
    <w:rsid w:val="00BB431E"/>
    <w:rsid w:val="00BB43F7"/>
    <w:rsid w:val="00BB45F5"/>
    <w:rsid w:val="00BB4678"/>
    <w:rsid w:val="00BB468E"/>
    <w:rsid w:val="00BB4C8D"/>
    <w:rsid w:val="00BB4D26"/>
    <w:rsid w:val="00BB4D80"/>
    <w:rsid w:val="00BB4D9C"/>
    <w:rsid w:val="00BB52D5"/>
    <w:rsid w:val="00BB56F7"/>
    <w:rsid w:val="00BB59C9"/>
    <w:rsid w:val="00BB5B69"/>
    <w:rsid w:val="00BB6107"/>
    <w:rsid w:val="00BB65B3"/>
    <w:rsid w:val="00BB66D7"/>
    <w:rsid w:val="00BB66D9"/>
    <w:rsid w:val="00BB68F0"/>
    <w:rsid w:val="00BB6AA7"/>
    <w:rsid w:val="00BB6B65"/>
    <w:rsid w:val="00BB6D74"/>
    <w:rsid w:val="00BB6DA2"/>
    <w:rsid w:val="00BB6E3C"/>
    <w:rsid w:val="00BB6E86"/>
    <w:rsid w:val="00BB701C"/>
    <w:rsid w:val="00BB70BE"/>
    <w:rsid w:val="00BB70EB"/>
    <w:rsid w:val="00BB70F0"/>
    <w:rsid w:val="00BB7117"/>
    <w:rsid w:val="00BB71EE"/>
    <w:rsid w:val="00BB7470"/>
    <w:rsid w:val="00BB77CA"/>
    <w:rsid w:val="00BB7A7D"/>
    <w:rsid w:val="00BB7E72"/>
    <w:rsid w:val="00BC0327"/>
    <w:rsid w:val="00BC04B4"/>
    <w:rsid w:val="00BC04C3"/>
    <w:rsid w:val="00BC059F"/>
    <w:rsid w:val="00BC0C48"/>
    <w:rsid w:val="00BC0EE7"/>
    <w:rsid w:val="00BC0F1A"/>
    <w:rsid w:val="00BC1164"/>
    <w:rsid w:val="00BC1AD6"/>
    <w:rsid w:val="00BC1CDE"/>
    <w:rsid w:val="00BC1F4A"/>
    <w:rsid w:val="00BC233F"/>
    <w:rsid w:val="00BC253A"/>
    <w:rsid w:val="00BC2623"/>
    <w:rsid w:val="00BC27AB"/>
    <w:rsid w:val="00BC299F"/>
    <w:rsid w:val="00BC29E9"/>
    <w:rsid w:val="00BC2A71"/>
    <w:rsid w:val="00BC2F75"/>
    <w:rsid w:val="00BC2FA1"/>
    <w:rsid w:val="00BC33E1"/>
    <w:rsid w:val="00BC3437"/>
    <w:rsid w:val="00BC34CA"/>
    <w:rsid w:val="00BC34F6"/>
    <w:rsid w:val="00BC360F"/>
    <w:rsid w:val="00BC3825"/>
    <w:rsid w:val="00BC39FC"/>
    <w:rsid w:val="00BC3A22"/>
    <w:rsid w:val="00BC3BF8"/>
    <w:rsid w:val="00BC4156"/>
    <w:rsid w:val="00BC42DC"/>
    <w:rsid w:val="00BC4418"/>
    <w:rsid w:val="00BC44F8"/>
    <w:rsid w:val="00BC4555"/>
    <w:rsid w:val="00BC45A5"/>
    <w:rsid w:val="00BC4A5A"/>
    <w:rsid w:val="00BC4C92"/>
    <w:rsid w:val="00BC4CB3"/>
    <w:rsid w:val="00BC4E89"/>
    <w:rsid w:val="00BC4E91"/>
    <w:rsid w:val="00BC5082"/>
    <w:rsid w:val="00BC5809"/>
    <w:rsid w:val="00BC593B"/>
    <w:rsid w:val="00BC5B49"/>
    <w:rsid w:val="00BC5B88"/>
    <w:rsid w:val="00BC5E36"/>
    <w:rsid w:val="00BC60DD"/>
    <w:rsid w:val="00BC63CE"/>
    <w:rsid w:val="00BC6565"/>
    <w:rsid w:val="00BC6802"/>
    <w:rsid w:val="00BC68D5"/>
    <w:rsid w:val="00BC6B42"/>
    <w:rsid w:val="00BC71EA"/>
    <w:rsid w:val="00BC7431"/>
    <w:rsid w:val="00BC751F"/>
    <w:rsid w:val="00BC75D7"/>
    <w:rsid w:val="00BC760E"/>
    <w:rsid w:val="00BC793E"/>
    <w:rsid w:val="00BC79FE"/>
    <w:rsid w:val="00BC7AFB"/>
    <w:rsid w:val="00BD00DB"/>
    <w:rsid w:val="00BD0124"/>
    <w:rsid w:val="00BD0283"/>
    <w:rsid w:val="00BD02D6"/>
    <w:rsid w:val="00BD0311"/>
    <w:rsid w:val="00BD05E5"/>
    <w:rsid w:val="00BD07EA"/>
    <w:rsid w:val="00BD07F4"/>
    <w:rsid w:val="00BD0C76"/>
    <w:rsid w:val="00BD1793"/>
    <w:rsid w:val="00BD18D1"/>
    <w:rsid w:val="00BD1A7E"/>
    <w:rsid w:val="00BD1C9A"/>
    <w:rsid w:val="00BD1D92"/>
    <w:rsid w:val="00BD20A2"/>
    <w:rsid w:val="00BD2360"/>
    <w:rsid w:val="00BD26DE"/>
    <w:rsid w:val="00BD275B"/>
    <w:rsid w:val="00BD284E"/>
    <w:rsid w:val="00BD2869"/>
    <w:rsid w:val="00BD29A6"/>
    <w:rsid w:val="00BD2BEE"/>
    <w:rsid w:val="00BD2C4A"/>
    <w:rsid w:val="00BD2D98"/>
    <w:rsid w:val="00BD2DB7"/>
    <w:rsid w:val="00BD2FE6"/>
    <w:rsid w:val="00BD3266"/>
    <w:rsid w:val="00BD334F"/>
    <w:rsid w:val="00BD3908"/>
    <w:rsid w:val="00BD3CDD"/>
    <w:rsid w:val="00BD3ED0"/>
    <w:rsid w:val="00BD41B7"/>
    <w:rsid w:val="00BD474E"/>
    <w:rsid w:val="00BD4783"/>
    <w:rsid w:val="00BD4AF3"/>
    <w:rsid w:val="00BD4B05"/>
    <w:rsid w:val="00BD4CA9"/>
    <w:rsid w:val="00BD4F6F"/>
    <w:rsid w:val="00BD4FE6"/>
    <w:rsid w:val="00BD5137"/>
    <w:rsid w:val="00BD53F5"/>
    <w:rsid w:val="00BD5400"/>
    <w:rsid w:val="00BD54A4"/>
    <w:rsid w:val="00BD5651"/>
    <w:rsid w:val="00BD56BD"/>
    <w:rsid w:val="00BD5786"/>
    <w:rsid w:val="00BD5A69"/>
    <w:rsid w:val="00BD5CB6"/>
    <w:rsid w:val="00BD5CD8"/>
    <w:rsid w:val="00BD5DBA"/>
    <w:rsid w:val="00BD6092"/>
    <w:rsid w:val="00BD6956"/>
    <w:rsid w:val="00BD6C47"/>
    <w:rsid w:val="00BD6E40"/>
    <w:rsid w:val="00BD6E54"/>
    <w:rsid w:val="00BD70CF"/>
    <w:rsid w:val="00BD7586"/>
    <w:rsid w:val="00BD794E"/>
    <w:rsid w:val="00BD796E"/>
    <w:rsid w:val="00BD7A73"/>
    <w:rsid w:val="00BD7E61"/>
    <w:rsid w:val="00BE0051"/>
    <w:rsid w:val="00BE00B9"/>
    <w:rsid w:val="00BE0357"/>
    <w:rsid w:val="00BE0B82"/>
    <w:rsid w:val="00BE0D83"/>
    <w:rsid w:val="00BE0DB7"/>
    <w:rsid w:val="00BE0EB7"/>
    <w:rsid w:val="00BE11E6"/>
    <w:rsid w:val="00BE12BF"/>
    <w:rsid w:val="00BE1694"/>
    <w:rsid w:val="00BE1772"/>
    <w:rsid w:val="00BE1D4C"/>
    <w:rsid w:val="00BE20A3"/>
    <w:rsid w:val="00BE2173"/>
    <w:rsid w:val="00BE23F4"/>
    <w:rsid w:val="00BE2439"/>
    <w:rsid w:val="00BE2493"/>
    <w:rsid w:val="00BE2586"/>
    <w:rsid w:val="00BE2677"/>
    <w:rsid w:val="00BE2698"/>
    <w:rsid w:val="00BE2BFF"/>
    <w:rsid w:val="00BE2CEB"/>
    <w:rsid w:val="00BE2D04"/>
    <w:rsid w:val="00BE3058"/>
    <w:rsid w:val="00BE314C"/>
    <w:rsid w:val="00BE3440"/>
    <w:rsid w:val="00BE34EC"/>
    <w:rsid w:val="00BE3705"/>
    <w:rsid w:val="00BE37D0"/>
    <w:rsid w:val="00BE3A6A"/>
    <w:rsid w:val="00BE3AEE"/>
    <w:rsid w:val="00BE3AF2"/>
    <w:rsid w:val="00BE3BF1"/>
    <w:rsid w:val="00BE40C5"/>
    <w:rsid w:val="00BE40CE"/>
    <w:rsid w:val="00BE4147"/>
    <w:rsid w:val="00BE427F"/>
    <w:rsid w:val="00BE4328"/>
    <w:rsid w:val="00BE461B"/>
    <w:rsid w:val="00BE4680"/>
    <w:rsid w:val="00BE4901"/>
    <w:rsid w:val="00BE4A2B"/>
    <w:rsid w:val="00BE4E61"/>
    <w:rsid w:val="00BE4EB5"/>
    <w:rsid w:val="00BE55ED"/>
    <w:rsid w:val="00BE5908"/>
    <w:rsid w:val="00BE5A79"/>
    <w:rsid w:val="00BE5B54"/>
    <w:rsid w:val="00BE5BD0"/>
    <w:rsid w:val="00BE60AB"/>
    <w:rsid w:val="00BE6171"/>
    <w:rsid w:val="00BE6473"/>
    <w:rsid w:val="00BE65A7"/>
    <w:rsid w:val="00BE69C3"/>
    <w:rsid w:val="00BE69F9"/>
    <w:rsid w:val="00BE6D87"/>
    <w:rsid w:val="00BE6DCB"/>
    <w:rsid w:val="00BE6EA7"/>
    <w:rsid w:val="00BE6FFC"/>
    <w:rsid w:val="00BE70FA"/>
    <w:rsid w:val="00BE72D3"/>
    <w:rsid w:val="00BE7307"/>
    <w:rsid w:val="00BE738E"/>
    <w:rsid w:val="00BE7A93"/>
    <w:rsid w:val="00BE7D8B"/>
    <w:rsid w:val="00BE7DCD"/>
    <w:rsid w:val="00BE7FD2"/>
    <w:rsid w:val="00BE9306"/>
    <w:rsid w:val="00BF0106"/>
    <w:rsid w:val="00BF0267"/>
    <w:rsid w:val="00BF03EB"/>
    <w:rsid w:val="00BF0410"/>
    <w:rsid w:val="00BF04E5"/>
    <w:rsid w:val="00BF050A"/>
    <w:rsid w:val="00BF054A"/>
    <w:rsid w:val="00BF0FF7"/>
    <w:rsid w:val="00BF145E"/>
    <w:rsid w:val="00BF17CD"/>
    <w:rsid w:val="00BF1976"/>
    <w:rsid w:val="00BF1A7D"/>
    <w:rsid w:val="00BF1C7E"/>
    <w:rsid w:val="00BF1CA9"/>
    <w:rsid w:val="00BF1E42"/>
    <w:rsid w:val="00BF1EDD"/>
    <w:rsid w:val="00BF208A"/>
    <w:rsid w:val="00BF227E"/>
    <w:rsid w:val="00BF2400"/>
    <w:rsid w:val="00BF25B1"/>
    <w:rsid w:val="00BF26C1"/>
    <w:rsid w:val="00BF27F9"/>
    <w:rsid w:val="00BF28F4"/>
    <w:rsid w:val="00BF2B43"/>
    <w:rsid w:val="00BF2D61"/>
    <w:rsid w:val="00BF2D77"/>
    <w:rsid w:val="00BF33D5"/>
    <w:rsid w:val="00BF34CA"/>
    <w:rsid w:val="00BF35C1"/>
    <w:rsid w:val="00BF35F6"/>
    <w:rsid w:val="00BF393F"/>
    <w:rsid w:val="00BF3A67"/>
    <w:rsid w:val="00BF3BA7"/>
    <w:rsid w:val="00BF3DC5"/>
    <w:rsid w:val="00BF3E97"/>
    <w:rsid w:val="00BF4009"/>
    <w:rsid w:val="00BF4096"/>
    <w:rsid w:val="00BF40F0"/>
    <w:rsid w:val="00BF4124"/>
    <w:rsid w:val="00BF47F1"/>
    <w:rsid w:val="00BF4849"/>
    <w:rsid w:val="00BF48D1"/>
    <w:rsid w:val="00BF493F"/>
    <w:rsid w:val="00BF4A57"/>
    <w:rsid w:val="00BF4E12"/>
    <w:rsid w:val="00BF50E7"/>
    <w:rsid w:val="00BF53D4"/>
    <w:rsid w:val="00BF5437"/>
    <w:rsid w:val="00BF5ACF"/>
    <w:rsid w:val="00BF5C50"/>
    <w:rsid w:val="00BF5DED"/>
    <w:rsid w:val="00BF61C5"/>
    <w:rsid w:val="00BF6238"/>
    <w:rsid w:val="00BF6351"/>
    <w:rsid w:val="00BF63CE"/>
    <w:rsid w:val="00BF6463"/>
    <w:rsid w:val="00BF64B4"/>
    <w:rsid w:val="00BF6560"/>
    <w:rsid w:val="00BF6561"/>
    <w:rsid w:val="00BF6626"/>
    <w:rsid w:val="00BF663C"/>
    <w:rsid w:val="00BF6A85"/>
    <w:rsid w:val="00BF6C31"/>
    <w:rsid w:val="00BF6FD8"/>
    <w:rsid w:val="00BF7014"/>
    <w:rsid w:val="00BF7CA9"/>
    <w:rsid w:val="00BF7D25"/>
    <w:rsid w:val="00C00138"/>
    <w:rsid w:val="00C001F6"/>
    <w:rsid w:val="00C00290"/>
    <w:rsid w:val="00C0036B"/>
    <w:rsid w:val="00C0043A"/>
    <w:rsid w:val="00C00483"/>
    <w:rsid w:val="00C005DE"/>
    <w:rsid w:val="00C00667"/>
    <w:rsid w:val="00C00B0F"/>
    <w:rsid w:val="00C00B83"/>
    <w:rsid w:val="00C00D90"/>
    <w:rsid w:val="00C00F50"/>
    <w:rsid w:val="00C00FAB"/>
    <w:rsid w:val="00C0139B"/>
    <w:rsid w:val="00C01418"/>
    <w:rsid w:val="00C0148F"/>
    <w:rsid w:val="00C014B9"/>
    <w:rsid w:val="00C015B0"/>
    <w:rsid w:val="00C01602"/>
    <w:rsid w:val="00C0161F"/>
    <w:rsid w:val="00C01818"/>
    <w:rsid w:val="00C019B8"/>
    <w:rsid w:val="00C01C68"/>
    <w:rsid w:val="00C01E1F"/>
    <w:rsid w:val="00C021D8"/>
    <w:rsid w:val="00C02739"/>
    <w:rsid w:val="00C02887"/>
    <w:rsid w:val="00C028A2"/>
    <w:rsid w:val="00C028C6"/>
    <w:rsid w:val="00C02A16"/>
    <w:rsid w:val="00C02D8B"/>
    <w:rsid w:val="00C02EEE"/>
    <w:rsid w:val="00C0314B"/>
    <w:rsid w:val="00C031F9"/>
    <w:rsid w:val="00C032E1"/>
    <w:rsid w:val="00C034C2"/>
    <w:rsid w:val="00C034C5"/>
    <w:rsid w:val="00C036A5"/>
    <w:rsid w:val="00C03717"/>
    <w:rsid w:val="00C0377D"/>
    <w:rsid w:val="00C0381F"/>
    <w:rsid w:val="00C038C1"/>
    <w:rsid w:val="00C039C6"/>
    <w:rsid w:val="00C03ADA"/>
    <w:rsid w:val="00C03AF8"/>
    <w:rsid w:val="00C03C1E"/>
    <w:rsid w:val="00C03CF8"/>
    <w:rsid w:val="00C041F9"/>
    <w:rsid w:val="00C04560"/>
    <w:rsid w:val="00C047DF"/>
    <w:rsid w:val="00C04F27"/>
    <w:rsid w:val="00C05333"/>
    <w:rsid w:val="00C05900"/>
    <w:rsid w:val="00C05991"/>
    <w:rsid w:val="00C059F1"/>
    <w:rsid w:val="00C05A6E"/>
    <w:rsid w:val="00C05C44"/>
    <w:rsid w:val="00C05D1A"/>
    <w:rsid w:val="00C05D6D"/>
    <w:rsid w:val="00C05DE1"/>
    <w:rsid w:val="00C05F7E"/>
    <w:rsid w:val="00C060CB"/>
    <w:rsid w:val="00C061B4"/>
    <w:rsid w:val="00C0629A"/>
    <w:rsid w:val="00C062DD"/>
    <w:rsid w:val="00C062E3"/>
    <w:rsid w:val="00C063E4"/>
    <w:rsid w:val="00C063FC"/>
    <w:rsid w:val="00C06452"/>
    <w:rsid w:val="00C06760"/>
    <w:rsid w:val="00C06E4A"/>
    <w:rsid w:val="00C07205"/>
    <w:rsid w:val="00C074AB"/>
    <w:rsid w:val="00C07653"/>
    <w:rsid w:val="00C07983"/>
    <w:rsid w:val="00C07A23"/>
    <w:rsid w:val="00C07A24"/>
    <w:rsid w:val="00C07AFB"/>
    <w:rsid w:val="00C07C92"/>
    <w:rsid w:val="00C07D18"/>
    <w:rsid w:val="00C102EB"/>
    <w:rsid w:val="00C102FF"/>
    <w:rsid w:val="00C10340"/>
    <w:rsid w:val="00C1069E"/>
    <w:rsid w:val="00C106B0"/>
    <w:rsid w:val="00C106FE"/>
    <w:rsid w:val="00C10830"/>
    <w:rsid w:val="00C10C3D"/>
    <w:rsid w:val="00C10D0F"/>
    <w:rsid w:val="00C11070"/>
    <w:rsid w:val="00C11A27"/>
    <w:rsid w:val="00C11E22"/>
    <w:rsid w:val="00C11F98"/>
    <w:rsid w:val="00C123F1"/>
    <w:rsid w:val="00C12778"/>
    <w:rsid w:val="00C128B6"/>
    <w:rsid w:val="00C12EED"/>
    <w:rsid w:val="00C12FA0"/>
    <w:rsid w:val="00C1300D"/>
    <w:rsid w:val="00C1319C"/>
    <w:rsid w:val="00C1399B"/>
    <w:rsid w:val="00C13A3C"/>
    <w:rsid w:val="00C13B92"/>
    <w:rsid w:val="00C13BE7"/>
    <w:rsid w:val="00C13CA8"/>
    <w:rsid w:val="00C13E89"/>
    <w:rsid w:val="00C1416F"/>
    <w:rsid w:val="00C14598"/>
    <w:rsid w:val="00C14748"/>
    <w:rsid w:val="00C147B1"/>
    <w:rsid w:val="00C1487C"/>
    <w:rsid w:val="00C148F6"/>
    <w:rsid w:val="00C14C95"/>
    <w:rsid w:val="00C14E25"/>
    <w:rsid w:val="00C151E9"/>
    <w:rsid w:val="00C152D0"/>
    <w:rsid w:val="00C15464"/>
    <w:rsid w:val="00C154F4"/>
    <w:rsid w:val="00C156D0"/>
    <w:rsid w:val="00C1576C"/>
    <w:rsid w:val="00C157E3"/>
    <w:rsid w:val="00C15837"/>
    <w:rsid w:val="00C15898"/>
    <w:rsid w:val="00C15922"/>
    <w:rsid w:val="00C15BA7"/>
    <w:rsid w:val="00C160CC"/>
    <w:rsid w:val="00C1615D"/>
    <w:rsid w:val="00C1619D"/>
    <w:rsid w:val="00C1644B"/>
    <w:rsid w:val="00C164BC"/>
    <w:rsid w:val="00C167AD"/>
    <w:rsid w:val="00C16E5B"/>
    <w:rsid w:val="00C17200"/>
    <w:rsid w:val="00C17211"/>
    <w:rsid w:val="00C1730C"/>
    <w:rsid w:val="00C17311"/>
    <w:rsid w:val="00C17410"/>
    <w:rsid w:val="00C17471"/>
    <w:rsid w:val="00C17515"/>
    <w:rsid w:val="00C17529"/>
    <w:rsid w:val="00C17665"/>
    <w:rsid w:val="00C1782E"/>
    <w:rsid w:val="00C1796A"/>
    <w:rsid w:val="00C179E2"/>
    <w:rsid w:val="00C17A1A"/>
    <w:rsid w:val="00C17BDA"/>
    <w:rsid w:val="00C20007"/>
    <w:rsid w:val="00C200FF"/>
    <w:rsid w:val="00C20272"/>
    <w:rsid w:val="00C202CA"/>
    <w:rsid w:val="00C208B1"/>
    <w:rsid w:val="00C20941"/>
    <w:rsid w:val="00C20B68"/>
    <w:rsid w:val="00C20B7E"/>
    <w:rsid w:val="00C2136C"/>
    <w:rsid w:val="00C2139A"/>
    <w:rsid w:val="00C21563"/>
    <w:rsid w:val="00C21628"/>
    <w:rsid w:val="00C21954"/>
    <w:rsid w:val="00C219F1"/>
    <w:rsid w:val="00C21AD7"/>
    <w:rsid w:val="00C21B52"/>
    <w:rsid w:val="00C21FA3"/>
    <w:rsid w:val="00C22189"/>
    <w:rsid w:val="00C222B0"/>
    <w:rsid w:val="00C223D5"/>
    <w:rsid w:val="00C22538"/>
    <w:rsid w:val="00C225CA"/>
    <w:rsid w:val="00C22761"/>
    <w:rsid w:val="00C2299F"/>
    <w:rsid w:val="00C229E5"/>
    <w:rsid w:val="00C22AB7"/>
    <w:rsid w:val="00C22C15"/>
    <w:rsid w:val="00C2301E"/>
    <w:rsid w:val="00C2313C"/>
    <w:rsid w:val="00C23331"/>
    <w:rsid w:val="00C2347B"/>
    <w:rsid w:val="00C23FF6"/>
    <w:rsid w:val="00C2406E"/>
    <w:rsid w:val="00C24504"/>
    <w:rsid w:val="00C246E0"/>
    <w:rsid w:val="00C24A39"/>
    <w:rsid w:val="00C24BF3"/>
    <w:rsid w:val="00C24C49"/>
    <w:rsid w:val="00C24C5F"/>
    <w:rsid w:val="00C24DFA"/>
    <w:rsid w:val="00C24F6F"/>
    <w:rsid w:val="00C257B4"/>
    <w:rsid w:val="00C257CB"/>
    <w:rsid w:val="00C25B7E"/>
    <w:rsid w:val="00C25DB3"/>
    <w:rsid w:val="00C25F7E"/>
    <w:rsid w:val="00C25FCB"/>
    <w:rsid w:val="00C2636D"/>
    <w:rsid w:val="00C263D5"/>
    <w:rsid w:val="00C26460"/>
    <w:rsid w:val="00C266A6"/>
    <w:rsid w:val="00C26772"/>
    <w:rsid w:val="00C268C0"/>
    <w:rsid w:val="00C26960"/>
    <w:rsid w:val="00C269BD"/>
    <w:rsid w:val="00C269E7"/>
    <w:rsid w:val="00C269EC"/>
    <w:rsid w:val="00C26A15"/>
    <w:rsid w:val="00C26A9C"/>
    <w:rsid w:val="00C26ADE"/>
    <w:rsid w:val="00C26BCF"/>
    <w:rsid w:val="00C26E41"/>
    <w:rsid w:val="00C272E3"/>
    <w:rsid w:val="00C2755F"/>
    <w:rsid w:val="00C27616"/>
    <w:rsid w:val="00C27A7D"/>
    <w:rsid w:val="00C27BD5"/>
    <w:rsid w:val="00C27C5F"/>
    <w:rsid w:val="00C27D9F"/>
    <w:rsid w:val="00C27FB4"/>
    <w:rsid w:val="00C300DA"/>
    <w:rsid w:val="00C3013D"/>
    <w:rsid w:val="00C30216"/>
    <w:rsid w:val="00C30245"/>
    <w:rsid w:val="00C30488"/>
    <w:rsid w:val="00C305A1"/>
    <w:rsid w:val="00C305CE"/>
    <w:rsid w:val="00C30655"/>
    <w:rsid w:val="00C3085B"/>
    <w:rsid w:val="00C3088C"/>
    <w:rsid w:val="00C30935"/>
    <w:rsid w:val="00C30BB1"/>
    <w:rsid w:val="00C30CA2"/>
    <w:rsid w:val="00C30D0E"/>
    <w:rsid w:val="00C30DEE"/>
    <w:rsid w:val="00C31059"/>
    <w:rsid w:val="00C31127"/>
    <w:rsid w:val="00C31144"/>
    <w:rsid w:val="00C31158"/>
    <w:rsid w:val="00C31200"/>
    <w:rsid w:val="00C31267"/>
    <w:rsid w:val="00C31567"/>
    <w:rsid w:val="00C317FD"/>
    <w:rsid w:val="00C3197E"/>
    <w:rsid w:val="00C31A90"/>
    <w:rsid w:val="00C31ABD"/>
    <w:rsid w:val="00C31C70"/>
    <w:rsid w:val="00C31CD1"/>
    <w:rsid w:val="00C32101"/>
    <w:rsid w:val="00C321DD"/>
    <w:rsid w:val="00C32373"/>
    <w:rsid w:val="00C3254F"/>
    <w:rsid w:val="00C32935"/>
    <w:rsid w:val="00C3299E"/>
    <w:rsid w:val="00C329DB"/>
    <w:rsid w:val="00C32B17"/>
    <w:rsid w:val="00C332C7"/>
    <w:rsid w:val="00C332E0"/>
    <w:rsid w:val="00C333EE"/>
    <w:rsid w:val="00C33472"/>
    <w:rsid w:val="00C33520"/>
    <w:rsid w:val="00C336DE"/>
    <w:rsid w:val="00C336EC"/>
    <w:rsid w:val="00C33834"/>
    <w:rsid w:val="00C33AA2"/>
    <w:rsid w:val="00C33B45"/>
    <w:rsid w:val="00C33C90"/>
    <w:rsid w:val="00C33D41"/>
    <w:rsid w:val="00C33FC3"/>
    <w:rsid w:val="00C340CE"/>
    <w:rsid w:val="00C342C7"/>
    <w:rsid w:val="00C345D4"/>
    <w:rsid w:val="00C3494F"/>
    <w:rsid w:val="00C34C8B"/>
    <w:rsid w:val="00C352BC"/>
    <w:rsid w:val="00C35350"/>
    <w:rsid w:val="00C35401"/>
    <w:rsid w:val="00C354A4"/>
    <w:rsid w:val="00C35566"/>
    <w:rsid w:val="00C35683"/>
    <w:rsid w:val="00C358A6"/>
    <w:rsid w:val="00C359C4"/>
    <w:rsid w:val="00C35CD1"/>
    <w:rsid w:val="00C35EDC"/>
    <w:rsid w:val="00C35F5D"/>
    <w:rsid w:val="00C365BF"/>
    <w:rsid w:val="00C366B5"/>
    <w:rsid w:val="00C366F1"/>
    <w:rsid w:val="00C36A77"/>
    <w:rsid w:val="00C36B84"/>
    <w:rsid w:val="00C36CDE"/>
    <w:rsid w:val="00C36FC5"/>
    <w:rsid w:val="00C37452"/>
    <w:rsid w:val="00C374C4"/>
    <w:rsid w:val="00C37601"/>
    <w:rsid w:val="00C37A99"/>
    <w:rsid w:val="00C37C8A"/>
    <w:rsid w:val="00C37D47"/>
    <w:rsid w:val="00C37D96"/>
    <w:rsid w:val="00C37E5A"/>
    <w:rsid w:val="00C37EA3"/>
    <w:rsid w:val="00C40099"/>
    <w:rsid w:val="00C400D4"/>
    <w:rsid w:val="00C40117"/>
    <w:rsid w:val="00C4044E"/>
    <w:rsid w:val="00C40524"/>
    <w:rsid w:val="00C40945"/>
    <w:rsid w:val="00C40B1B"/>
    <w:rsid w:val="00C40B24"/>
    <w:rsid w:val="00C40C25"/>
    <w:rsid w:val="00C40CC4"/>
    <w:rsid w:val="00C40F71"/>
    <w:rsid w:val="00C41130"/>
    <w:rsid w:val="00C415D2"/>
    <w:rsid w:val="00C41843"/>
    <w:rsid w:val="00C41B9F"/>
    <w:rsid w:val="00C41BF5"/>
    <w:rsid w:val="00C41D1A"/>
    <w:rsid w:val="00C41D40"/>
    <w:rsid w:val="00C41D45"/>
    <w:rsid w:val="00C42383"/>
    <w:rsid w:val="00C42548"/>
    <w:rsid w:val="00C42820"/>
    <w:rsid w:val="00C42831"/>
    <w:rsid w:val="00C428CB"/>
    <w:rsid w:val="00C428E1"/>
    <w:rsid w:val="00C42A72"/>
    <w:rsid w:val="00C42C40"/>
    <w:rsid w:val="00C42E2A"/>
    <w:rsid w:val="00C42F41"/>
    <w:rsid w:val="00C43024"/>
    <w:rsid w:val="00C4307F"/>
    <w:rsid w:val="00C431C0"/>
    <w:rsid w:val="00C433E1"/>
    <w:rsid w:val="00C4364A"/>
    <w:rsid w:val="00C43BBC"/>
    <w:rsid w:val="00C44321"/>
    <w:rsid w:val="00C44937"/>
    <w:rsid w:val="00C44ACD"/>
    <w:rsid w:val="00C44BC3"/>
    <w:rsid w:val="00C45572"/>
    <w:rsid w:val="00C45A07"/>
    <w:rsid w:val="00C45AE5"/>
    <w:rsid w:val="00C45D0E"/>
    <w:rsid w:val="00C46037"/>
    <w:rsid w:val="00C4635E"/>
    <w:rsid w:val="00C463A8"/>
    <w:rsid w:val="00C46400"/>
    <w:rsid w:val="00C46A6A"/>
    <w:rsid w:val="00C46D76"/>
    <w:rsid w:val="00C46EBC"/>
    <w:rsid w:val="00C46FA2"/>
    <w:rsid w:val="00C46FD3"/>
    <w:rsid w:val="00C470FD"/>
    <w:rsid w:val="00C47147"/>
    <w:rsid w:val="00C472DE"/>
    <w:rsid w:val="00C47309"/>
    <w:rsid w:val="00C473B8"/>
    <w:rsid w:val="00C474C8"/>
    <w:rsid w:val="00C4794E"/>
    <w:rsid w:val="00C479A6"/>
    <w:rsid w:val="00C47B54"/>
    <w:rsid w:val="00C47B7F"/>
    <w:rsid w:val="00C47C4D"/>
    <w:rsid w:val="00C47FA9"/>
    <w:rsid w:val="00C50345"/>
    <w:rsid w:val="00C50437"/>
    <w:rsid w:val="00C504A2"/>
    <w:rsid w:val="00C504DA"/>
    <w:rsid w:val="00C5087B"/>
    <w:rsid w:val="00C5093C"/>
    <w:rsid w:val="00C50C9F"/>
    <w:rsid w:val="00C50F02"/>
    <w:rsid w:val="00C50F7A"/>
    <w:rsid w:val="00C5101F"/>
    <w:rsid w:val="00C51171"/>
    <w:rsid w:val="00C512A7"/>
    <w:rsid w:val="00C512E8"/>
    <w:rsid w:val="00C51324"/>
    <w:rsid w:val="00C5134F"/>
    <w:rsid w:val="00C51516"/>
    <w:rsid w:val="00C51519"/>
    <w:rsid w:val="00C51628"/>
    <w:rsid w:val="00C51681"/>
    <w:rsid w:val="00C51867"/>
    <w:rsid w:val="00C518D3"/>
    <w:rsid w:val="00C519D5"/>
    <w:rsid w:val="00C51E2A"/>
    <w:rsid w:val="00C52013"/>
    <w:rsid w:val="00C525D8"/>
    <w:rsid w:val="00C5295E"/>
    <w:rsid w:val="00C52F32"/>
    <w:rsid w:val="00C53172"/>
    <w:rsid w:val="00C538D5"/>
    <w:rsid w:val="00C538E4"/>
    <w:rsid w:val="00C53BD9"/>
    <w:rsid w:val="00C53FD3"/>
    <w:rsid w:val="00C5422C"/>
    <w:rsid w:val="00C54C72"/>
    <w:rsid w:val="00C54D2A"/>
    <w:rsid w:val="00C54D2D"/>
    <w:rsid w:val="00C54E59"/>
    <w:rsid w:val="00C55150"/>
    <w:rsid w:val="00C55315"/>
    <w:rsid w:val="00C55505"/>
    <w:rsid w:val="00C556EA"/>
    <w:rsid w:val="00C55825"/>
    <w:rsid w:val="00C55C0C"/>
    <w:rsid w:val="00C55F96"/>
    <w:rsid w:val="00C560F8"/>
    <w:rsid w:val="00C56105"/>
    <w:rsid w:val="00C562FD"/>
    <w:rsid w:val="00C56448"/>
    <w:rsid w:val="00C56A20"/>
    <w:rsid w:val="00C56E24"/>
    <w:rsid w:val="00C57111"/>
    <w:rsid w:val="00C571A6"/>
    <w:rsid w:val="00C57251"/>
    <w:rsid w:val="00C5753A"/>
    <w:rsid w:val="00C57571"/>
    <w:rsid w:val="00C5786D"/>
    <w:rsid w:val="00C57DBA"/>
    <w:rsid w:val="00C60421"/>
    <w:rsid w:val="00C60787"/>
    <w:rsid w:val="00C609D8"/>
    <w:rsid w:val="00C60B34"/>
    <w:rsid w:val="00C612AF"/>
    <w:rsid w:val="00C616A3"/>
    <w:rsid w:val="00C61B7E"/>
    <w:rsid w:val="00C6205E"/>
    <w:rsid w:val="00C621DD"/>
    <w:rsid w:val="00C6253A"/>
    <w:rsid w:val="00C62886"/>
    <w:rsid w:val="00C62CE3"/>
    <w:rsid w:val="00C63049"/>
    <w:rsid w:val="00C630D5"/>
    <w:rsid w:val="00C63178"/>
    <w:rsid w:val="00C6383E"/>
    <w:rsid w:val="00C638C1"/>
    <w:rsid w:val="00C63D03"/>
    <w:rsid w:val="00C64007"/>
    <w:rsid w:val="00C6412A"/>
    <w:rsid w:val="00C64166"/>
    <w:rsid w:val="00C646F0"/>
    <w:rsid w:val="00C64706"/>
    <w:rsid w:val="00C6476F"/>
    <w:rsid w:val="00C649DD"/>
    <w:rsid w:val="00C64A72"/>
    <w:rsid w:val="00C64B66"/>
    <w:rsid w:val="00C64C0D"/>
    <w:rsid w:val="00C6509B"/>
    <w:rsid w:val="00C6538F"/>
    <w:rsid w:val="00C656BD"/>
    <w:rsid w:val="00C665CA"/>
    <w:rsid w:val="00C6662B"/>
    <w:rsid w:val="00C66927"/>
    <w:rsid w:val="00C66F85"/>
    <w:rsid w:val="00C67411"/>
    <w:rsid w:val="00C6772E"/>
    <w:rsid w:val="00C67B2E"/>
    <w:rsid w:val="00C67E2A"/>
    <w:rsid w:val="00C67F90"/>
    <w:rsid w:val="00C689C3"/>
    <w:rsid w:val="00C700F5"/>
    <w:rsid w:val="00C70538"/>
    <w:rsid w:val="00C70594"/>
    <w:rsid w:val="00C70E41"/>
    <w:rsid w:val="00C70F0C"/>
    <w:rsid w:val="00C71046"/>
    <w:rsid w:val="00C71181"/>
    <w:rsid w:val="00C716E8"/>
    <w:rsid w:val="00C71807"/>
    <w:rsid w:val="00C718E6"/>
    <w:rsid w:val="00C71A19"/>
    <w:rsid w:val="00C71C9E"/>
    <w:rsid w:val="00C71D0D"/>
    <w:rsid w:val="00C71D88"/>
    <w:rsid w:val="00C71ED1"/>
    <w:rsid w:val="00C71F56"/>
    <w:rsid w:val="00C723E2"/>
    <w:rsid w:val="00C726F8"/>
    <w:rsid w:val="00C72B08"/>
    <w:rsid w:val="00C7316A"/>
    <w:rsid w:val="00C73453"/>
    <w:rsid w:val="00C73597"/>
    <w:rsid w:val="00C735F1"/>
    <w:rsid w:val="00C7373C"/>
    <w:rsid w:val="00C7378B"/>
    <w:rsid w:val="00C739E1"/>
    <w:rsid w:val="00C73A8F"/>
    <w:rsid w:val="00C73EF1"/>
    <w:rsid w:val="00C74036"/>
    <w:rsid w:val="00C741FC"/>
    <w:rsid w:val="00C744B2"/>
    <w:rsid w:val="00C7473A"/>
    <w:rsid w:val="00C7488D"/>
    <w:rsid w:val="00C748BD"/>
    <w:rsid w:val="00C7492E"/>
    <w:rsid w:val="00C74A5A"/>
    <w:rsid w:val="00C74B2E"/>
    <w:rsid w:val="00C74D2F"/>
    <w:rsid w:val="00C74E27"/>
    <w:rsid w:val="00C74F2D"/>
    <w:rsid w:val="00C74F97"/>
    <w:rsid w:val="00C75088"/>
    <w:rsid w:val="00C75124"/>
    <w:rsid w:val="00C75262"/>
    <w:rsid w:val="00C75916"/>
    <w:rsid w:val="00C759EE"/>
    <w:rsid w:val="00C75B89"/>
    <w:rsid w:val="00C75D82"/>
    <w:rsid w:val="00C75F06"/>
    <w:rsid w:val="00C76002"/>
    <w:rsid w:val="00C76243"/>
    <w:rsid w:val="00C76398"/>
    <w:rsid w:val="00C766EE"/>
    <w:rsid w:val="00C76B7E"/>
    <w:rsid w:val="00C76C35"/>
    <w:rsid w:val="00C76CF4"/>
    <w:rsid w:val="00C76D2A"/>
    <w:rsid w:val="00C76D5D"/>
    <w:rsid w:val="00C77462"/>
    <w:rsid w:val="00C77487"/>
    <w:rsid w:val="00C774F9"/>
    <w:rsid w:val="00C774FC"/>
    <w:rsid w:val="00C777A4"/>
    <w:rsid w:val="00C777F8"/>
    <w:rsid w:val="00C77963"/>
    <w:rsid w:val="00C779C6"/>
    <w:rsid w:val="00C77BB2"/>
    <w:rsid w:val="00C77DE3"/>
    <w:rsid w:val="00C77F9A"/>
    <w:rsid w:val="00C80091"/>
    <w:rsid w:val="00C80222"/>
    <w:rsid w:val="00C80301"/>
    <w:rsid w:val="00C8034D"/>
    <w:rsid w:val="00C803EC"/>
    <w:rsid w:val="00C80540"/>
    <w:rsid w:val="00C80646"/>
    <w:rsid w:val="00C809C4"/>
    <w:rsid w:val="00C80B55"/>
    <w:rsid w:val="00C80BDB"/>
    <w:rsid w:val="00C80BF4"/>
    <w:rsid w:val="00C81067"/>
    <w:rsid w:val="00C814CE"/>
    <w:rsid w:val="00C8159E"/>
    <w:rsid w:val="00C818C4"/>
    <w:rsid w:val="00C819C9"/>
    <w:rsid w:val="00C81CE2"/>
    <w:rsid w:val="00C820F4"/>
    <w:rsid w:val="00C8210D"/>
    <w:rsid w:val="00C824FF"/>
    <w:rsid w:val="00C8275E"/>
    <w:rsid w:val="00C82762"/>
    <w:rsid w:val="00C829D5"/>
    <w:rsid w:val="00C82B61"/>
    <w:rsid w:val="00C82C49"/>
    <w:rsid w:val="00C82D90"/>
    <w:rsid w:val="00C82E44"/>
    <w:rsid w:val="00C8321D"/>
    <w:rsid w:val="00C83418"/>
    <w:rsid w:val="00C83568"/>
    <w:rsid w:val="00C83B56"/>
    <w:rsid w:val="00C83FDB"/>
    <w:rsid w:val="00C84043"/>
    <w:rsid w:val="00C840E9"/>
    <w:rsid w:val="00C840FF"/>
    <w:rsid w:val="00C8418B"/>
    <w:rsid w:val="00C84207"/>
    <w:rsid w:val="00C84382"/>
    <w:rsid w:val="00C8441F"/>
    <w:rsid w:val="00C848CA"/>
    <w:rsid w:val="00C849DC"/>
    <w:rsid w:val="00C84AFB"/>
    <w:rsid w:val="00C84B29"/>
    <w:rsid w:val="00C84D4D"/>
    <w:rsid w:val="00C84DE9"/>
    <w:rsid w:val="00C84FB6"/>
    <w:rsid w:val="00C85078"/>
    <w:rsid w:val="00C85517"/>
    <w:rsid w:val="00C8562B"/>
    <w:rsid w:val="00C85BB4"/>
    <w:rsid w:val="00C85CA5"/>
    <w:rsid w:val="00C85E05"/>
    <w:rsid w:val="00C861A7"/>
    <w:rsid w:val="00C86309"/>
    <w:rsid w:val="00C864EE"/>
    <w:rsid w:val="00C86669"/>
    <w:rsid w:val="00C866C6"/>
    <w:rsid w:val="00C866C8"/>
    <w:rsid w:val="00C866D2"/>
    <w:rsid w:val="00C86918"/>
    <w:rsid w:val="00C86B07"/>
    <w:rsid w:val="00C86C1A"/>
    <w:rsid w:val="00C86C5A"/>
    <w:rsid w:val="00C86D9B"/>
    <w:rsid w:val="00C86DE5"/>
    <w:rsid w:val="00C86ED2"/>
    <w:rsid w:val="00C86EE5"/>
    <w:rsid w:val="00C86F91"/>
    <w:rsid w:val="00C8700B"/>
    <w:rsid w:val="00C8707F"/>
    <w:rsid w:val="00C87170"/>
    <w:rsid w:val="00C87257"/>
    <w:rsid w:val="00C87421"/>
    <w:rsid w:val="00C87509"/>
    <w:rsid w:val="00C87881"/>
    <w:rsid w:val="00C87980"/>
    <w:rsid w:val="00C87B15"/>
    <w:rsid w:val="00C87BA0"/>
    <w:rsid w:val="00C87BDE"/>
    <w:rsid w:val="00C87DF4"/>
    <w:rsid w:val="00C87EDE"/>
    <w:rsid w:val="00C9029C"/>
    <w:rsid w:val="00C90349"/>
    <w:rsid w:val="00C904BA"/>
    <w:rsid w:val="00C90979"/>
    <w:rsid w:val="00C90999"/>
    <w:rsid w:val="00C9105A"/>
    <w:rsid w:val="00C91158"/>
    <w:rsid w:val="00C9171A"/>
    <w:rsid w:val="00C92176"/>
    <w:rsid w:val="00C9221E"/>
    <w:rsid w:val="00C92410"/>
    <w:rsid w:val="00C925CB"/>
    <w:rsid w:val="00C92728"/>
    <w:rsid w:val="00C92BA3"/>
    <w:rsid w:val="00C92C00"/>
    <w:rsid w:val="00C92EA3"/>
    <w:rsid w:val="00C93038"/>
    <w:rsid w:val="00C9341A"/>
    <w:rsid w:val="00C9347B"/>
    <w:rsid w:val="00C938A1"/>
    <w:rsid w:val="00C93A9C"/>
    <w:rsid w:val="00C93AF3"/>
    <w:rsid w:val="00C93E23"/>
    <w:rsid w:val="00C93F58"/>
    <w:rsid w:val="00C9456E"/>
    <w:rsid w:val="00C945DA"/>
    <w:rsid w:val="00C945EA"/>
    <w:rsid w:val="00C9460E"/>
    <w:rsid w:val="00C946E5"/>
    <w:rsid w:val="00C94793"/>
    <w:rsid w:val="00C947EA"/>
    <w:rsid w:val="00C94C06"/>
    <w:rsid w:val="00C953E3"/>
    <w:rsid w:val="00C95497"/>
    <w:rsid w:val="00C9562F"/>
    <w:rsid w:val="00C95996"/>
    <w:rsid w:val="00C95CB0"/>
    <w:rsid w:val="00C960F0"/>
    <w:rsid w:val="00C961A1"/>
    <w:rsid w:val="00C9638D"/>
    <w:rsid w:val="00C96432"/>
    <w:rsid w:val="00C964A6"/>
    <w:rsid w:val="00C9667D"/>
    <w:rsid w:val="00C9692B"/>
    <w:rsid w:val="00C969DE"/>
    <w:rsid w:val="00C96D24"/>
    <w:rsid w:val="00C96D39"/>
    <w:rsid w:val="00C96FB5"/>
    <w:rsid w:val="00C971D4"/>
    <w:rsid w:val="00C973AC"/>
    <w:rsid w:val="00C97625"/>
    <w:rsid w:val="00C9768E"/>
    <w:rsid w:val="00C979E6"/>
    <w:rsid w:val="00C97C8B"/>
    <w:rsid w:val="00C97E37"/>
    <w:rsid w:val="00C97EBE"/>
    <w:rsid w:val="00CA004A"/>
    <w:rsid w:val="00CA01DA"/>
    <w:rsid w:val="00CA042F"/>
    <w:rsid w:val="00CA0626"/>
    <w:rsid w:val="00CA0915"/>
    <w:rsid w:val="00CA0B69"/>
    <w:rsid w:val="00CA1359"/>
    <w:rsid w:val="00CA136C"/>
    <w:rsid w:val="00CA1416"/>
    <w:rsid w:val="00CA1B47"/>
    <w:rsid w:val="00CA1CB5"/>
    <w:rsid w:val="00CA1CC2"/>
    <w:rsid w:val="00CA1DBF"/>
    <w:rsid w:val="00CA2055"/>
    <w:rsid w:val="00CA214C"/>
    <w:rsid w:val="00CA2539"/>
    <w:rsid w:val="00CA2713"/>
    <w:rsid w:val="00CA2973"/>
    <w:rsid w:val="00CA2A0C"/>
    <w:rsid w:val="00CA2AB6"/>
    <w:rsid w:val="00CA2BA7"/>
    <w:rsid w:val="00CA2D0D"/>
    <w:rsid w:val="00CA33F2"/>
    <w:rsid w:val="00CA3652"/>
    <w:rsid w:val="00CA37D4"/>
    <w:rsid w:val="00CA3A5A"/>
    <w:rsid w:val="00CA3FDD"/>
    <w:rsid w:val="00CA4020"/>
    <w:rsid w:val="00CA43E1"/>
    <w:rsid w:val="00CA4543"/>
    <w:rsid w:val="00CA4785"/>
    <w:rsid w:val="00CA4E5B"/>
    <w:rsid w:val="00CA524A"/>
    <w:rsid w:val="00CA52AD"/>
    <w:rsid w:val="00CA52B0"/>
    <w:rsid w:val="00CA5447"/>
    <w:rsid w:val="00CA5548"/>
    <w:rsid w:val="00CA5898"/>
    <w:rsid w:val="00CA58F1"/>
    <w:rsid w:val="00CA5975"/>
    <w:rsid w:val="00CA5A48"/>
    <w:rsid w:val="00CA5F0F"/>
    <w:rsid w:val="00CA61A1"/>
    <w:rsid w:val="00CA6236"/>
    <w:rsid w:val="00CA629A"/>
    <w:rsid w:val="00CA64BE"/>
    <w:rsid w:val="00CA67A6"/>
    <w:rsid w:val="00CA68E3"/>
    <w:rsid w:val="00CA6CB7"/>
    <w:rsid w:val="00CA6D47"/>
    <w:rsid w:val="00CA6D5D"/>
    <w:rsid w:val="00CA6E6E"/>
    <w:rsid w:val="00CA71EC"/>
    <w:rsid w:val="00CA7490"/>
    <w:rsid w:val="00CA76EA"/>
    <w:rsid w:val="00CA7767"/>
    <w:rsid w:val="00CA7A29"/>
    <w:rsid w:val="00CA7E6E"/>
    <w:rsid w:val="00CB0510"/>
    <w:rsid w:val="00CB080F"/>
    <w:rsid w:val="00CB0D6A"/>
    <w:rsid w:val="00CB0EC9"/>
    <w:rsid w:val="00CB1355"/>
    <w:rsid w:val="00CB14FA"/>
    <w:rsid w:val="00CB150F"/>
    <w:rsid w:val="00CB175C"/>
    <w:rsid w:val="00CB18ED"/>
    <w:rsid w:val="00CB1E16"/>
    <w:rsid w:val="00CB1EED"/>
    <w:rsid w:val="00CB20C0"/>
    <w:rsid w:val="00CB2112"/>
    <w:rsid w:val="00CB2551"/>
    <w:rsid w:val="00CB2D4E"/>
    <w:rsid w:val="00CB2E57"/>
    <w:rsid w:val="00CB32A9"/>
    <w:rsid w:val="00CB3310"/>
    <w:rsid w:val="00CB3369"/>
    <w:rsid w:val="00CB3549"/>
    <w:rsid w:val="00CB35D2"/>
    <w:rsid w:val="00CB3810"/>
    <w:rsid w:val="00CB3966"/>
    <w:rsid w:val="00CB3A91"/>
    <w:rsid w:val="00CB3CCF"/>
    <w:rsid w:val="00CB405E"/>
    <w:rsid w:val="00CB4332"/>
    <w:rsid w:val="00CB4514"/>
    <w:rsid w:val="00CB4829"/>
    <w:rsid w:val="00CB4B46"/>
    <w:rsid w:val="00CB4BCD"/>
    <w:rsid w:val="00CB4BD5"/>
    <w:rsid w:val="00CB4FF5"/>
    <w:rsid w:val="00CB5112"/>
    <w:rsid w:val="00CB5124"/>
    <w:rsid w:val="00CB5133"/>
    <w:rsid w:val="00CB5568"/>
    <w:rsid w:val="00CB557D"/>
    <w:rsid w:val="00CB55B4"/>
    <w:rsid w:val="00CB5732"/>
    <w:rsid w:val="00CB5892"/>
    <w:rsid w:val="00CB5ACD"/>
    <w:rsid w:val="00CB5CA8"/>
    <w:rsid w:val="00CB5D65"/>
    <w:rsid w:val="00CB6224"/>
    <w:rsid w:val="00CB66E5"/>
    <w:rsid w:val="00CB6A2E"/>
    <w:rsid w:val="00CB6B5A"/>
    <w:rsid w:val="00CB6D91"/>
    <w:rsid w:val="00CB7095"/>
    <w:rsid w:val="00CB70E0"/>
    <w:rsid w:val="00CB735E"/>
    <w:rsid w:val="00CB742E"/>
    <w:rsid w:val="00CB75E4"/>
    <w:rsid w:val="00CB7629"/>
    <w:rsid w:val="00CB7703"/>
    <w:rsid w:val="00CB775B"/>
    <w:rsid w:val="00CB794B"/>
    <w:rsid w:val="00CB7A48"/>
    <w:rsid w:val="00CB7BF5"/>
    <w:rsid w:val="00CB7FE6"/>
    <w:rsid w:val="00CC00CF"/>
    <w:rsid w:val="00CC02F2"/>
    <w:rsid w:val="00CC05C4"/>
    <w:rsid w:val="00CC0C97"/>
    <w:rsid w:val="00CC107F"/>
    <w:rsid w:val="00CC1084"/>
    <w:rsid w:val="00CC108D"/>
    <w:rsid w:val="00CC13D1"/>
    <w:rsid w:val="00CC1AAD"/>
    <w:rsid w:val="00CC1AB7"/>
    <w:rsid w:val="00CC1B49"/>
    <w:rsid w:val="00CC1B79"/>
    <w:rsid w:val="00CC1ECA"/>
    <w:rsid w:val="00CC23E4"/>
    <w:rsid w:val="00CC2755"/>
    <w:rsid w:val="00CC2B35"/>
    <w:rsid w:val="00CC2C6F"/>
    <w:rsid w:val="00CC2C9D"/>
    <w:rsid w:val="00CC2D43"/>
    <w:rsid w:val="00CC2E85"/>
    <w:rsid w:val="00CC2F51"/>
    <w:rsid w:val="00CC312F"/>
    <w:rsid w:val="00CC318C"/>
    <w:rsid w:val="00CC326B"/>
    <w:rsid w:val="00CC3403"/>
    <w:rsid w:val="00CC3CF4"/>
    <w:rsid w:val="00CC3D86"/>
    <w:rsid w:val="00CC4196"/>
    <w:rsid w:val="00CC425A"/>
    <w:rsid w:val="00CC42AE"/>
    <w:rsid w:val="00CC469E"/>
    <w:rsid w:val="00CC4799"/>
    <w:rsid w:val="00CC4B91"/>
    <w:rsid w:val="00CC4BAF"/>
    <w:rsid w:val="00CC505D"/>
    <w:rsid w:val="00CC509F"/>
    <w:rsid w:val="00CC58A2"/>
    <w:rsid w:val="00CC5996"/>
    <w:rsid w:val="00CC59E8"/>
    <w:rsid w:val="00CC5ADE"/>
    <w:rsid w:val="00CC5D86"/>
    <w:rsid w:val="00CC5D87"/>
    <w:rsid w:val="00CC5F2F"/>
    <w:rsid w:val="00CC61F8"/>
    <w:rsid w:val="00CC631D"/>
    <w:rsid w:val="00CC64A2"/>
    <w:rsid w:val="00CC64E5"/>
    <w:rsid w:val="00CC6A2A"/>
    <w:rsid w:val="00CC6A30"/>
    <w:rsid w:val="00CC6A32"/>
    <w:rsid w:val="00CC6B5E"/>
    <w:rsid w:val="00CC6D24"/>
    <w:rsid w:val="00CC6D26"/>
    <w:rsid w:val="00CC72E5"/>
    <w:rsid w:val="00CC738E"/>
    <w:rsid w:val="00CC7399"/>
    <w:rsid w:val="00CC74ED"/>
    <w:rsid w:val="00CC766B"/>
    <w:rsid w:val="00CC7985"/>
    <w:rsid w:val="00CC7A21"/>
    <w:rsid w:val="00CC7A5F"/>
    <w:rsid w:val="00CC7FA1"/>
    <w:rsid w:val="00CD03F5"/>
    <w:rsid w:val="00CD0664"/>
    <w:rsid w:val="00CD06AA"/>
    <w:rsid w:val="00CD0A2E"/>
    <w:rsid w:val="00CD0C97"/>
    <w:rsid w:val="00CD0E45"/>
    <w:rsid w:val="00CD1042"/>
    <w:rsid w:val="00CD14E3"/>
    <w:rsid w:val="00CD15E4"/>
    <w:rsid w:val="00CD15EA"/>
    <w:rsid w:val="00CD169C"/>
    <w:rsid w:val="00CD1794"/>
    <w:rsid w:val="00CD18A5"/>
    <w:rsid w:val="00CD1A25"/>
    <w:rsid w:val="00CD1B4F"/>
    <w:rsid w:val="00CD1C60"/>
    <w:rsid w:val="00CD1C7F"/>
    <w:rsid w:val="00CD1EAD"/>
    <w:rsid w:val="00CD1F1E"/>
    <w:rsid w:val="00CD20BE"/>
    <w:rsid w:val="00CD21D0"/>
    <w:rsid w:val="00CD25EE"/>
    <w:rsid w:val="00CD2739"/>
    <w:rsid w:val="00CD27D9"/>
    <w:rsid w:val="00CD2919"/>
    <w:rsid w:val="00CD2F5F"/>
    <w:rsid w:val="00CD2FF5"/>
    <w:rsid w:val="00CD305E"/>
    <w:rsid w:val="00CD337F"/>
    <w:rsid w:val="00CD3389"/>
    <w:rsid w:val="00CD3978"/>
    <w:rsid w:val="00CD3BFD"/>
    <w:rsid w:val="00CD3C19"/>
    <w:rsid w:val="00CD3C5E"/>
    <w:rsid w:val="00CD3D19"/>
    <w:rsid w:val="00CD3D4C"/>
    <w:rsid w:val="00CD43D2"/>
    <w:rsid w:val="00CD46C2"/>
    <w:rsid w:val="00CD4728"/>
    <w:rsid w:val="00CD4A29"/>
    <w:rsid w:val="00CD4A6A"/>
    <w:rsid w:val="00CD4B37"/>
    <w:rsid w:val="00CD4C54"/>
    <w:rsid w:val="00CD5447"/>
    <w:rsid w:val="00CD5BAC"/>
    <w:rsid w:val="00CD5C16"/>
    <w:rsid w:val="00CD5D81"/>
    <w:rsid w:val="00CD5F31"/>
    <w:rsid w:val="00CD5F40"/>
    <w:rsid w:val="00CD5FE9"/>
    <w:rsid w:val="00CD60AE"/>
    <w:rsid w:val="00CD60E6"/>
    <w:rsid w:val="00CD63E2"/>
    <w:rsid w:val="00CD6567"/>
    <w:rsid w:val="00CD6670"/>
    <w:rsid w:val="00CD6B8B"/>
    <w:rsid w:val="00CD6DE8"/>
    <w:rsid w:val="00CD6E98"/>
    <w:rsid w:val="00CD6EC8"/>
    <w:rsid w:val="00CD7012"/>
    <w:rsid w:val="00CD70CC"/>
    <w:rsid w:val="00CD74EC"/>
    <w:rsid w:val="00CD7972"/>
    <w:rsid w:val="00CD79B5"/>
    <w:rsid w:val="00CD7A0B"/>
    <w:rsid w:val="00CD7A15"/>
    <w:rsid w:val="00CD7B11"/>
    <w:rsid w:val="00CD7EBA"/>
    <w:rsid w:val="00CE061A"/>
    <w:rsid w:val="00CE08E3"/>
    <w:rsid w:val="00CE0935"/>
    <w:rsid w:val="00CE09F9"/>
    <w:rsid w:val="00CE0BA9"/>
    <w:rsid w:val="00CE0D8F"/>
    <w:rsid w:val="00CE0E44"/>
    <w:rsid w:val="00CE119A"/>
    <w:rsid w:val="00CE11FE"/>
    <w:rsid w:val="00CE13D9"/>
    <w:rsid w:val="00CE1614"/>
    <w:rsid w:val="00CE166A"/>
    <w:rsid w:val="00CE1684"/>
    <w:rsid w:val="00CE17D3"/>
    <w:rsid w:val="00CE1BDB"/>
    <w:rsid w:val="00CE1ECB"/>
    <w:rsid w:val="00CE1F1D"/>
    <w:rsid w:val="00CE214B"/>
    <w:rsid w:val="00CE242B"/>
    <w:rsid w:val="00CE2437"/>
    <w:rsid w:val="00CE2854"/>
    <w:rsid w:val="00CE2D05"/>
    <w:rsid w:val="00CE2D41"/>
    <w:rsid w:val="00CE3256"/>
    <w:rsid w:val="00CE336B"/>
    <w:rsid w:val="00CE3A58"/>
    <w:rsid w:val="00CE3B14"/>
    <w:rsid w:val="00CE3B26"/>
    <w:rsid w:val="00CE3E2A"/>
    <w:rsid w:val="00CE4667"/>
    <w:rsid w:val="00CE48C5"/>
    <w:rsid w:val="00CE5104"/>
    <w:rsid w:val="00CE512C"/>
    <w:rsid w:val="00CE518D"/>
    <w:rsid w:val="00CE5218"/>
    <w:rsid w:val="00CE52A9"/>
    <w:rsid w:val="00CE52FC"/>
    <w:rsid w:val="00CE53AA"/>
    <w:rsid w:val="00CE5499"/>
    <w:rsid w:val="00CE54DB"/>
    <w:rsid w:val="00CE5637"/>
    <w:rsid w:val="00CE56CF"/>
    <w:rsid w:val="00CE5A52"/>
    <w:rsid w:val="00CE5B6E"/>
    <w:rsid w:val="00CE5D8F"/>
    <w:rsid w:val="00CE5E04"/>
    <w:rsid w:val="00CE5E61"/>
    <w:rsid w:val="00CE621A"/>
    <w:rsid w:val="00CE64B5"/>
    <w:rsid w:val="00CE6DB8"/>
    <w:rsid w:val="00CE6DBA"/>
    <w:rsid w:val="00CE6DD2"/>
    <w:rsid w:val="00CE7099"/>
    <w:rsid w:val="00CE7133"/>
    <w:rsid w:val="00CE73E1"/>
    <w:rsid w:val="00CE743F"/>
    <w:rsid w:val="00CE7778"/>
    <w:rsid w:val="00CE7852"/>
    <w:rsid w:val="00CE792F"/>
    <w:rsid w:val="00CE7B89"/>
    <w:rsid w:val="00CE7FA2"/>
    <w:rsid w:val="00CF0088"/>
    <w:rsid w:val="00CF0511"/>
    <w:rsid w:val="00CF05B8"/>
    <w:rsid w:val="00CF06C5"/>
    <w:rsid w:val="00CF0B7D"/>
    <w:rsid w:val="00CF0B9E"/>
    <w:rsid w:val="00CF0C8D"/>
    <w:rsid w:val="00CF0EED"/>
    <w:rsid w:val="00CF1290"/>
    <w:rsid w:val="00CF1354"/>
    <w:rsid w:val="00CF1388"/>
    <w:rsid w:val="00CF1619"/>
    <w:rsid w:val="00CF1679"/>
    <w:rsid w:val="00CF1744"/>
    <w:rsid w:val="00CF17C7"/>
    <w:rsid w:val="00CF19CC"/>
    <w:rsid w:val="00CF1C04"/>
    <w:rsid w:val="00CF1E7D"/>
    <w:rsid w:val="00CF2287"/>
    <w:rsid w:val="00CF230E"/>
    <w:rsid w:val="00CF2B9E"/>
    <w:rsid w:val="00CF2F2C"/>
    <w:rsid w:val="00CF304E"/>
    <w:rsid w:val="00CF31C1"/>
    <w:rsid w:val="00CF32CD"/>
    <w:rsid w:val="00CF3403"/>
    <w:rsid w:val="00CF34EA"/>
    <w:rsid w:val="00CF36DD"/>
    <w:rsid w:val="00CF38F6"/>
    <w:rsid w:val="00CF3A39"/>
    <w:rsid w:val="00CF3AC4"/>
    <w:rsid w:val="00CF3B1C"/>
    <w:rsid w:val="00CF3E12"/>
    <w:rsid w:val="00CF3F68"/>
    <w:rsid w:val="00CF40FE"/>
    <w:rsid w:val="00CF43B0"/>
    <w:rsid w:val="00CF4516"/>
    <w:rsid w:val="00CF45C5"/>
    <w:rsid w:val="00CF4646"/>
    <w:rsid w:val="00CF4A42"/>
    <w:rsid w:val="00CF50EC"/>
    <w:rsid w:val="00CF5205"/>
    <w:rsid w:val="00CF5261"/>
    <w:rsid w:val="00CF52D1"/>
    <w:rsid w:val="00CF5702"/>
    <w:rsid w:val="00CF596C"/>
    <w:rsid w:val="00CF5BE8"/>
    <w:rsid w:val="00CF5DCB"/>
    <w:rsid w:val="00CF5F4E"/>
    <w:rsid w:val="00CF60B6"/>
    <w:rsid w:val="00CF638D"/>
    <w:rsid w:val="00CF6502"/>
    <w:rsid w:val="00CF661F"/>
    <w:rsid w:val="00CF6A06"/>
    <w:rsid w:val="00CF6AD5"/>
    <w:rsid w:val="00CF6B0F"/>
    <w:rsid w:val="00CF71BA"/>
    <w:rsid w:val="00CF7407"/>
    <w:rsid w:val="00CF7425"/>
    <w:rsid w:val="00CF7436"/>
    <w:rsid w:val="00CF74AA"/>
    <w:rsid w:val="00CF74B8"/>
    <w:rsid w:val="00CF74BE"/>
    <w:rsid w:val="00CF769D"/>
    <w:rsid w:val="00CF79C1"/>
    <w:rsid w:val="00CF7DEE"/>
    <w:rsid w:val="00CF7E6A"/>
    <w:rsid w:val="00CF7EDC"/>
    <w:rsid w:val="00D00003"/>
    <w:rsid w:val="00D0019E"/>
    <w:rsid w:val="00D002CF"/>
    <w:rsid w:val="00D00616"/>
    <w:rsid w:val="00D00728"/>
    <w:rsid w:val="00D007B8"/>
    <w:rsid w:val="00D0086E"/>
    <w:rsid w:val="00D00A71"/>
    <w:rsid w:val="00D00D7B"/>
    <w:rsid w:val="00D011C9"/>
    <w:rsid w:val="00D011CA"/>
    <w:rsid w:val="00D01227"/>
    <w:rsid w:val="00D0129C"/>
    <w:rsid w:val="00D012E0"/>
    <w:rsid w:val="00D01313"/>
    <w:rsid w:val="00D013F7"/>
    <w:rsid w:val="00D014E8"/>
    <w:rsid w:val="00D01633"/>
    <w:rsid w:val="00D017ED"/>
    <w:rsid w:val="00D018DB"/>
    <w:rsid w:val="00D01931"/>
    <w:rsid w:val="00D019F8"/>
    <w:rsid w:val="00D01DFC"/>
    <w:rsid w:val="00D0236B"/>
    <w:rsid w:val="00D0244D"/>
    <w:rsid w:val="00D02599"/>
    <w:rsid w:val="00D026A9"/>
    <w:rsid w:val="00D02825"/>
    <w:rsid w:val="00D02AB5"/>
    <w:rsid w:val="00D02B73"/>
    <w:rsid w:val="00D02B91"/>
    <w:rsid w:val="00D02CCF"/>
    <w:rsid w:val="00D02E67"/>
    <w:rsid w:val="00D02F3E"/>
    <w:rsid w:val="00D02F8C"/>
    <w:rsid w:val="00D030A2"/>
    <w:rsid w:val="00D034C3"/>
    <w:rsid w:val="00D0374D"/>
    <w:rsid w:val="00D037A9"/>
    <w:rsid w:val="00D03B29"/>
    <w:rsid w:val="00D03CFD"/>
    <w:rsid w:val="00D041FD"/>
    <w:rsid w:val="00D043AC"/>
    <w:rsid w:val="00D04623"/>
    <w:rsid w:val="00D0467D"/>
    <w:rsid w:val="00D04A83"/>
    <w:rsid w:val="00D04A9A"/>
    <w:rsid w:val="00D04B6C"/>
    <w:rsid w:val="00D04BEF"/>
    <w:rsid w:val="00D04E58"/>
    <w:rsid w:val="00D04E8E"/>
    <w:rsid w:val="00D04EF1"/>
    <w:rsid w:val="00D04F11"/>
    <w:rsid w:val="00D04F3C"/>
    <w:rsid w:val="00D04F95"/>
    <w:rsid w:val="00D0532A"/>
    <w:rsid w:val="00D0563C"/>
    <w:rsid w:val="00D05780"/>
    <w:rsid w:val="00D0596B"/>
    <w:rsid w:val="00D05F4F"/>
    <w:rsid w:val="00D0607D"/>
    <w:rsid w:val="00D06107"/>
    <w:rsid w:val="00D0630A"/>
    <w:rsid w:val="00D06339"/>
    <w:rsid w:val="00D06522"/>
    <w:rsid w:val="00D06573"/>
    <w:rsid w:val="00D06617"/>
    <w:rsid w:val="00D06A14"/>
    <w:rsid w:val="00D06B94"/>
    <w:rsid w:val="00D06BFE"/>
    <w:rsid w:val="00D06C09"/>
    <w:rsid w:val="00D06F61"/>
    <w:rsid w:val="00D06FE0"/>
    <w:rsid w:val="00D07081"/>
    <w:rsid w:val="00D0713A"/>
    <w:rsid w:val="00D07344"/>
    <w:rsid w:val="00D07617"/>
    <w:rsid w:val="00D07681"/>
    <w:rsid w:val="00D0781C"/>
    <w:rsid w:val="00D07A22"/>
    <w:rsid w:val="00D07AC5"/>
    <w:rsid w:val="00D07B05"/>
    <w:rsid w:val="00D07D0A"/>
    <w:rsid w:val="00D07D40"/>
    <w:rsid w:val="00D07ED2"/>
    <w:rsid w:val="00D1004A"/>
    <w:rsid w:val="00D102EB"/>
    <w:rsid w:val="00D1035E"/>
    <w:rsid w:val="00D103D4"/>
    <w:rsid w:val="00D103EB"/>
    <w:rsid w:val="00D10772"/>
    <w:rsid w:val="00D108F2"/>
    <w:rsid w:val="00D109D1"/>
    <w:rsid w:val="00D10C6F"/>
    <w:rsid w:val="00D10DA2"/>
    <w:rsid w:val="00D10F0F"/>
    <w:rsid w:val="00D110A5"/>
    <w:rsid w:val="00D11247"/>
    <w:rsid w:val="00D114DB"/>
    <w:rsid w:val="00D118DF"/>
    <w:rsid w:val="00D1197A"/>
    <w:rsid w:val="00D11B72"/>
    <w:rsid w:val="00D11CD1"/>
    <w:rsid w:val="00D12151"/>
    <w:rsid w:val="00D1215B"/>
    <w:rsid w:val="00D1227E"/>
    <w:rsid w:val="00D125A1"/>
    <w:rsid w:val="00D126D7"/>
    <w:rsid w:val="00D1276F"/>
    <w:rsid w:val="00D127B5"/>
    <w:rsid w:val="00D12877"/>
    <w:rsid w:val="00D12A7D"/>
    <w:rsid w:val="00D12B55"/>
    <w:rsid w:val="00D12B92"/>
    <w:rsid w:val="00D12BF4"/>
    <w:rsid w:val="00D12C85"/>
    <w:rsid w:val="00D12E78"/>
    <w:rsid w:val="00D12F97"/>
    <w:rsid w:val="00D13299"/>
    <w:rsid w:val="00D132CF"/>
    <w:rsid w:val="00D13582"/>
    <w:rsid w:val="00D136A8"/>
    <w:rsid w:val="00D13826"/>
    <w:rsid w:val="00D13F65"/>
    <w:rsid w:val="00D13FB7"/>
    <w:rsid w:val="00D1446C"/>
    <w:rsid w:val="00D14587"/>
    <w:rsid w:val="00D148C7"/>
    <w:rsid w:val="00D14944"/>
    <w:rsid w:val="00D149A4"/>
    <w:rsid w:val="00D14AB9"/>
    <w:rsid w:val="00D15DEC"/>
    <w:rsid w:val="00D16254"/>
    <w:rsid w:val="00D16309"/>
    <w:rsid w:val="00D163B9"/>
    <w:rsid w:val="00D16502"/>
    <w:rsid w:val="00D167D0"/>
    <w:rsid w:val="00D16820"/>
    <w:rsid w:val="00D16A1F"/>
    <w:rsid w:val="00D16D27"/>
    <w:rsid w:val="00D17033"/>
    <w:rsid w:val="00D176F9"/>
    <w:rsid w:val="00D17800"/>
    <w:rsid w:val="00D1798C"/>
    <w:rsid w:val="00D1798E"/>
    <w:rsid w:val="00D17AA0"/>
    <w:rsid w:val="00D17B59"/>
    <w:rsid w:val="00D17C96"/>
    <w:rsid w:val="00D17F3E"/>
    <w:rsid w:val="00D205CB"/>
    <w:rsid w:val="00D207B3"/>
    <w:rsid w:val="00D20B3D"/>
    <w:rsid w:val="00D211B3"/>
    <w:rsid w:val="00D21AD9"/>
    <w:rsid w:val="00D21AFF"/>
    <w:rsid w:val="00D21BA1"/>
    <w:rsid w:val="00D21C89"/>
    <w:rsid w:val="00D22060"/>
    <w:rsid w:val="00D221A8"/>
    <w:rsid w:val="00D22210"/>
    <w:rsid w:val="00D222C4"/>
    <w:rsid w:val="00D223EB"/>
    <w:rsid w:val="00D2247A"/>
    <w:rsid w:val="00D22613"/>
    <w:rsid w:val="00D2278B"/>
    <w:rsid w:val="00D22A43"/>
    <w:rsid w:val="00D22DF7"/>
    <w:rsid w:val="00D230B5"/>
    <w:rsid w:val="00D232F3"/>
    <w:rsid w:val="00D2340B"/>
    <w:rsid w:val="00D23505"/>
    <w:rsid w:val="00D23576"/>
    <w:rsid w:val="00D2380D"/>
    <w:rsid w:val="00D23981"/>
    <w:rsid w:val="00D239DD"/>
    <w:rsid w:val="00D23AB5"/>
    <w:rsid w:val="00D23B87"/>
    <w:rsid w:val="00D23C95"/>
    <w:rsid w:val="00D23F2A"/>
    <w:rsid w:val="00D24204"/>
    <w:rsid w:val="00D2466F"/>
    <w:rsid w:val="00D24748"/>
    <w:rsid w:val="00D24B39"/>
    <w:rsid w:val="00D24BB1"/>
    <w:rsid w:val="00D24CDA"/>
    <w:rsid w:val="00D24FA3"/>
    <w:rsid w:val="00D2518E"/>
    <w:rsid w:val="00D25310"/>
    <w:rsid w:val="00D253FF"/>
    <w:rsid w:val="00D255F6"/>
    <w:rsid w:val="00D25654"/>
    <w:rsid w:val="00D259CA"/>
    <w:rsid w:val="00D25C51"/>
    <w:rsid w:val="00D25F9B"/>
    <w:rsid w:val="00D26185"/>
    <w:rsid w:val="00D261B2"/>
    <w:rsid w:val="00D26392"/>
    <w:rsid w:val="00D265C0"/>
    <w:rsid w:val="00D26687"/>
    <w:rsid w:val="00D2669A"/>
    <w:rsid w:val="00D267C5"/>
    <w:rsid w:val="00D267D3"/>
    <w:rsid w:val="00D26875"/>
    <w:rsid w:val="00D26906"/>
    <w:rsid w:val="00D26EFD"/>
    <w:rsid w:val="00D27202"/>
    <w:rsid w:val="00D272EC"/>
    <w:rsid w:val="00D27608"/>
    <w:rsid w:val="00D27672"/>
    <w:rsid w:val="00D277F2"/>
    <w:rsid w:val="00D2784E"/>
    <w:rsid w:val="00D27B80"/>
    <w:rsid w:val="00D27DFA"/>
    <w:rsid w:val="00D30070"/>
    <w:rsid w:val="00D30472"/>
    <w:rsid w:val="00D30492"/>
    <w:rsid w:val="00D304F7"/>
    <w:rsid w:val="00D307F4"/>
    <w:rsid w:val="00D309EB"/>
    <w:rsid w:val="00D30C01"/>
    <w:rsid w:val="00D30C60"/>
    <w:rsid w:val="00D314FA"/>
    <w:rsid w:val="00D3165E"/>
    <w:rsid w:val="00D31764"/>
    <w:rsid w:val="00D31928"/>
    <w:rsid w:val="00D31ABA"/>
    <w:rsid w:val="00D31D69"/>
    <w:rsid w:val="00D31E2A"/>
    <w:rsid w:val="00D31E6D"/>
    <w:rsid w:val="00D322E0"/>
    <w:rsid w:val="00D3232F"/>
    <w:rsid w:val="00D32476"/>
    <w:rsid w:val="00D32818"/>
    <w:rsid w:val="00D329A1"/>
    <w:rsid w:val="00D334E6"/>
    <w:rsid w:val="00D33507"/>
    <w:rsid w:val="00D336F6"/>
    <w:rsid w:val="00D339A9"/>
    <w:rsid w:val="00D33D45"/>
    <w:rsid w:val="00D33D8D"/>
    <w:rsid w:val="00D3426D"/>
    <w:rsid w:val="00D34768"/>
    <w:rsid w:val="00D349DA"/>
    <w:rsid w:val="00D34A44"/>
    <w:rsid w:val="00D34AB9"/>
    <w:rsid w:val="00D34BB2"/>
    <w:rsid w:val="00D34C7E"/>
    <w:rsid w:val="00D34E0E"/>
    <w:rsid w:val="00D35195"/>
    <w:rsid w:val="00D351E6"/>
    <w:rsid w:val="00D35239"/>
    <w:rsid w:val="00D35324"/>
    <w:rsid w:val="00D35425"/>
    <w:rsid w:val="00D35461"/>
    <w:rsid w:val="00D35556"/>
    <w:rsid w:val="00D35A04"/>
    <w:rsid w:val="00D35DBA"/>
    <w:rsid w:val="00D36AA0"/>
    <w:rsid w:val="00D36D60"/>
    <w:rsid w:val="00D36E3F"/>
    <w:rsid w:val="00D36F90"/>
    <w:rsid w:val="00D36FDB"/>
    <w:rsid w:val="00D370AB"/>
    <w:rsid w:val="00D37782"/>
    <w:rsid w:val="00D378D9"/>
    <w:rsid w:val="00D37960"/>
    <w:rsid w:val="00D37B55"/>
    <w:rsid w:val="00D37C7A"/>
    <w:rsid w:val="00D37DE3"/>
    <w:rsid w:val="00D40171"/>
    <w:rsid w:val="00D407F6"/>
    <w:rsid w:val="00D40C58"/>
    <w:rsid w:val="00D40D6F"/>
    <w:rsid w:val="00D40EB7"/>
    <w:rsid w:val="00D4105E"/>
    <w:rsid w:val="00D41493"/>
    <w:rsid w:val="00D41580"/>
    <w:rsid w:val="00D41814"/>
    <w:rsid w:val="00D41A74"/>
    <w:rsid w:val="00D41EE2"/>
    <w:rsid w:val="00D41F42"/>
    <w:rsid w:val="00D4219F"/>
    <w:rsid w:val="00D4239A"/>
    <w:rsid w:val="00D424A4"/>
    <w:rsid w:val="00D424E4"/>
    <w:rsid w:val="00D4255F"/>
    <w:rsid w:val="00D42891"/>
    <w:rsid w:val="00D42B36"/>
    <w:rsid w:val="00D42BEB"/>
    <w:rsid w:val="00D42C57"/>
    <w:rsid w:val="00D42D66"/>
    <w:rsid w:val="00D42F84"/>
    <w:rsid w:val="00D42F8D"/>
    <w:rsid w:val="00D43181"/>
    <w:rsid w:val="00D43243"/>
    <w:rsid w:val="00D4325A"/>
    <w:rsid w:val="00D43703"/>
    <w:rsid w:val="00D43794"/>
    <w:rsid w:val="00D4388D"/>
    <w:rsid w:val="00D438DF"/>
    <w:rsid w:val="00D4399B"/>
    <w:rsid w:val="00D43A79"/>
    <w:rsid w:val="00D43B15"/>
    <w:rsid w:val="00D43BC6"/>
    <w:rsid w:val="00D43C1A"/>
    <w:rsid w:val="00D43C48"/>
    <w:rsid w:val="00D44025"/>
    <w:rsid w:val="00D440DA"/>
    <w:rsid w:val="00D44202"/>
    <w:rsid w:val="00D44312"/>
    <w:rsid w:val="00D444A2"/>
    <w:rsid w:val="00D446C2"/>
    <w:rsid w:val="00D448AC"/>
    <w:rsid w:val="00D44C83"/>
    <w:rsid w:val="00D44C8B"/>
    <w:rsid w:val="00D44E9E"/>
    <w:rsid w:val="00D44EBB"/>
    <w:rsid w:val="00D44F6D"/>
    <w:rsid w:val="00D45055"/>
    <w:rsid w:val="00D45358"/>
    <w:rsid w:val="00D45395"/>
    <w:rsid w:val="00D45478"/>
    <w:rsid w:val="00D45619"/>
    <w:rsid w:val="00D45649"/>
    <w:rsid w:val="00D45731"/>
    <w:rsid w:val="00D4589C"/>
    <w:rsid w:val="00D45A15"/>
    <w:rsid w:val="00D45A9A"/>
    <w:rsid w:val="00D45E9D"/>
    <w:rsid w:val="00D4609B"/>
    <w:rsid w:val="00D4614C"/>
    <w:rsid w:val="00D46285"/>
    <w:rsid w:val="00D46432"/>
    <w:rsid w:val="00D46D90"/>
    <w:rsid w:val="00D46DEE"/>
    <w:rsid w:val="00D46E0D"/>
    <w:rsid w:val="00D46EC1"/>
    <w:rsid w:val="00D472D2"/>
    <w:rsid w:val="00D475A8"/>
    <w:rsid w:val="00D47866"/>
    <w:rsid w:val="00D47968"/>
    <w:rsid w:val="00D47AC6"/>
    <w:rsid w:val="00D47AE2"/>
    <w:rsid w:val="00D47BCC"/>
    <w:rsid w:val="00D5001D"/>
    <w:rsid w:val="00D50203"/>
    <w:rsid w:val="00D50642"/>
    <w:rsid w:val="00D5071B"/>
    <w:rsid w:val="00D507FE"/>
    <w:rsid w:val="00D50900"/>
    <w:rsid w:val="00D50D63"/>
    <w:rsid w:val="00D511C2"/>
    <w:rsid w:val="00D513E1"/>
    <w:rsid w:val="00D515A7"/>
    <w:rsid w:val="00D517F2"/>
    <w:rsid w:val="00D52189"/>
    <w:rsid w:val="00D522EB"/>
    <w:rsid w:val="00D5255E"/>
    <w:rsid w:val="00D5287A"/>
    <w:rsid w:val="00D528A3"/>
    <w:rsid w:val="00D52D18"/>
    <w:rsid w:val="00D53048"/>
    <w:rsid w:val="00D53503"/>
    <w:rsid w:val="00D5363B"/>
    <w:rsid w:val="00D53691"/>
    <w:rsid w:val="00D54217"/>
    <w:rsid w:val="00D542A6"/>
    <w:rsid w:val="00D5452A"/>
    <w:rsid w:val="00D547EB"/>
    <w:rsid w:val="00D549A2"/>
    <w:rsid w:val="00D549D3"/>
    <w:rsid w:val="00D54A9B"/>
    <w:rsid w:val="00D54BF2"/>
    <w:rsid w:val="00D54E81"/>
    <w:rsid w:val="00D54F22"/>
    <w:rsid w:val="00D54F26"/>
    <w:rsid w:val="00D54F65"/>
    <w:rsid w:val="00D55165"/>
    <w:rsid w:val="00D551DF"/>
    <w:rsid w:val="00D552D6"/>
    <w:rsid w:val="00D554A1"/>
    <w:rsid w:val="00D554A7"/>
    <w:rsid w:val="00D55632"/>
    <w:rsid w:val="00D55719"/>
    <w:rsid w:val="00D5575E"/>
    <w:rsid w:val="00D55871"/>
    <w:rsid w:val="00D55C9E"/>
    <w:rsid w:val="00D55DA1"/>
    <w:rsid w:val="00D55E7C"/>
    <w:rsid w:val="00D55EC1"/>
    <w:rsid w:val="00D55FC0"/>
    <w:rsid w:val="00D55FF4"/>
    <w:rsid w:val="00D56089"/>
    <w:rsid w:val="00D5631E"/>
    <w:rsid w:val="00D5651D"/>
    <w:rsid w:val="00D569A1"/>
    <w:rsid w:val="00D56A7C"/>
    <w:rsid w:val="00D56BEB"/>
    <w:rsid w:val="00D56F96"/>
    <w:rsid w:val="00D570E3"/>
    <w:rsid w:val="00D5735B"/>
    <w:rsid w:val="00D573E2"/>
    <w:rsid w:val="00D573EC"/>
    <w:rsid w:val="00D5742D"/>
    <w:rsid w:val="00D579AF"/>
    <w:rsid w:val="00D57BC8"/>
    <w:rsid w:val="00D57D47"/>
    <w:rsid w:val="00D57F5C"/>
    <w:rsid w:val="00D60332"/>
    <w:rsid w:val="00D60653"/>
    <w:rsid w:val="00D60749"/>
    <w:rsid w:val="00D60809"/>
    <w:rsid w:val="00D60B39"/>
    <w:rsid w:val="00D60E4D"/>
    <w:rsid w:val="00D613DF"/>
    <w:rsid w:val="00D614EE"/>
    <w:rsid w:val="00D6155D"/>
    <w:rsid w:val="00D61A06"/>
    <w:rsid w:val="00D61ACD"/>
    <w:rsid w:val="00D61ADB"/>
    <w:rsid w:val="00D61B24"/>
    <w:rsid w:val="00D61D38"/>
    <w:rsid w:val="00D61DD3"/>
    <w:rsid w:val="00D61E0E"/>
    <w:rsid w:val="00D61F2F"/>
    <w:rsid w:val="00D62161"/>
    <w:rsid w:val="00D626FF"/>
    <w:rsid w:val="00D6285B"/>
    <w:rsid w:val="00D628BF"/>
    <w:rsid w:val="00D62A5F"/>
    <w:rsid w:val="00D62BA2"/>
    <w:rsid w:val="00D62BD8"/>
    <w:rsid w:val="00D62E5E"/>
    <w:rsid w:val="00D6376E"/>
    <w:rsid w:val="00D638FF"/>
    <w:rsid w:val="00D63B11"/>
    <w:rsid w:val="00D63E1D"/>
    <w:rsid w:val="00D63FF4"/>
    <w:rsid w:val="00D64014"/>
    <w:rsid w:val="00D6405B"/>
    <w:rsid w:val="00D64CA0"/>
    <w:rsid w:val="00D64CA9"/>
    <w:rsid w:val="00D64CCD"/>
    <w:rsid w:val="00D64D3B"/>
    <w:rsid w:val="00D64E37"/>
    <w:rsid w:val="00D65153"/>
    <w:rsid w:val="00D6568A"/>
    <w:rsid w:val="00D656A2"/>
    <w:rsid w:val="00D65BF2"/>
    <w:rsid w:val="00D65F66"/>
    <w:rsid w:val="00D6618F"/>
    <w:rsid w:val="00D6631D"/>
    <w:rsid w:val="00D664F9"/>
    <w:rsid w:val="00D6653F"/>
    <w:rsid w:val="00D66699"/>
    <w:rsid w:val="00D66723"/>
    <w:rsid w:val="00D66939"/>
    <w:rsid w:val="00D66962"/>
    <w:rsid w:val="00D66ABF"/>
    <w:rsid w:val="00D66D1F"/>
    <w:rsid w:val="00D66DD1"/>
    <w:rsid w:val="00D67073"/>
    <w:rsid w:val="00D6731E"/>
    <w:rsid w:val="00D674B5"/>
    <w:rsid w:val="00D674F8"/>
    <w:rsid w:val="00D674FF"/>
    <w:rsid w:val="00D67529"/>
    <w:rsid w:val="00D6761F"/>
    <w:rsid w:val="00D679C1"/>
    <w:rsid w:val="00D679F0"/>
    <w:rsid w:val="00D67AE4"/>
    <w:rsid w:val="00D67DF4"/>
    <w:rsid w:val="00D70041"/>
    <w:rsid w:val="00D7011A"/>
    <w:rsid w:val="00D701F1"/>
    <w:rsid w:val="00D704D2"/>
    <w:rsid w:val="00D70847"/>
    <w:rsid w:val="00D70A91"/>
    <w:rsid w:val="00D70C25"/>
    <w:rsid w:val="00D70E48"/>
    <w:rsid w:val="00D70EC6"/>
    <w:rsid w:val="00D71023"/>
    <w:rsid w:val="00D71073"/>
    <w:rsid w:val="00D71273"/>
    <w:rsid w:val="00D71424"/>
    <w:rsid w:val="00D714A4"/>
    <w:rsid w:val="00D71A34"/>
    <w:rsid w:val="00D71A50"/>
    <w:rsid w:val="00D71B29"/>
    <w:rsid w:val="00D71BDD"/>
    <w:rsid w:val="00D71D4E"/>
    <w:rsid w:val="00D71D89"/>
    <w:rsid w:val="00D71E80"/>
    <w:rsid w:val="00D71F1A"/>
    <w:rsid w:val="00D71F39"/>
    <w:rsid w:val="00D72027"/>
    <w:rsid w:val="00D7216E"/>
    <w:rsid w:val="00D72445"/>
    <w:rsid w:val="00D724B6"/>
    <w:rsid w:val="00D72756"/>
    <w:rsid w:val="00D72898"/>
    <w:rsid w:val="00D7290D"/>
    <w:rsid w:val="00D72910"/>
    <w:rsid w:val="00D72CDC"/>
    <w:rsid w:val="00D7309B"/>
    <w:rsid w:val="00D73251"/>
    <w:rsid w:val="00D73305"/>
    <w:rsid w:val="00D73357"/>
    <w:rsid w:val="00D733B1"/>
    <w:rsid w:val="00D73436"/>
    <w:rsid w:val="00D7362E"/>
    <w:rsid w:val="00D737C3"/>
    <w:rsid w:val="00D73D04"/>
    <w:rsid w:val="00D74246"/>
    <w:rsid w:val="00D74320"/>
    <w:rsid w:val="00D74395"/>
    <w:rsid w:val="00D7490B"/>
    <w:rsid w:val="00D74AB0"/>
    <w:rsid w:val="00D74ABA"/>
    <w:rsid w:val="00D74F7F"/>
    <w:rsid w:val="00D750F4"/>
    <w:rsid w:val="00D75158"/>
    <w:rsid w:val="00D75402"/>
    <w:rsid w:val="00D75501"/>
    <w:rsid w:val="00D75752"/>
    <w:rsid w:val="00D75B28"/>
    <w:rsid w:val="00D75BC0"/>
    <w:rsid w:val="00D75D54"/>
    <w:rsid w:val="00D75FDC"/>
    <w:rsid w:val="00D76307"/>
    <w:rsid w:val="00D7638E"/>
    <w:rsid w:val="00D76490"/>
    <w:rsid w:val="00D765AF"/>
    <w:rsid w:val="00D765B7"/>
    <w:rsid w:val="00D769ED"/>
    <w:rsid w:val="00D76AEE"/>
    <w:rsid w:val="00D76B40"/>
    <w:rsid w:val="00D76FDC"/>
    <w:rsid w:val="00D772F1"/>
    <w:rsid w:val="00D7739E"/>
    <w:rsid w:val="00D773A7"/>
    <w:rsid w:val="00D77404"/>
    <w:rsid w:val="00D7742B"/>
    <w:rsid w:val="00D7758E"/>
    <w:rsid w:val="00D77ACA"/>
    <w:rsid w:val="00D77B01"/>
    <w:rsid w:val="00D77B90"/>
    <w:rsid w:val="00D77BF0"/>
    <w:rsid w:val="00D77CA1"/>
    <w:rsid w:val="00D8035A"/>
    <w:rsid w:val="00D805CA"/>
    <w:rsid w:val="00D80884"/>
    <w:rsid w:val="00D8090F"/>
    <w:rsid w:val="00D809D3"/>
    <w:rsid w:val="00D80A59"/>
    <w:rsid w:val="00D80C00"/>
    <w:rsid w:val="00D80D8D"/>
    <w:rsid w:val="00D8117A"/>
    <w:rsid w:val="00D812DB"/>
    <w:rsid w:val="00D8138E"/>
    <w:rsid w:val="00D813D0"/>
    <w:rsid w:val="00D81448"/>
    <w:rsid w:val="00D81558"/>
    <w:rsid w:val="00D816D2"/>
    <w:rsid w:val="00D81E8E"/>
    <w:rsid w:val="00D8205A"/>
    <w:rsid w:val="00D826DE"/>
    <w:rsid w:val="00D8276E"/>
    <w:rsid w:val="00D82AE3"/>
    <w:rsid w:val="00D82B56"/>
    <w:rsid w:val="00D82FC9"/>
    <w:rsid w:val="00D83060"/>
    <w:rsid w:val="00D836C0"/>
    <w:rsid w:val="00D83715"/>
    <w:rsid w:val="00D83738"/>
    <w:rsid w:val="00D837A0"/>
    <w:rsid w:val="00D83862"/>
    <w:rsid w:val="00D839FD"/>
    <w:rsid w:val="00D83A7F"/>
    <w:rsid w:val="00D83F09"/>
    <w:rsid w:val="00D83F1A"/>
    <w:rsid w:val="00D83F25"/>
    <w:rsid w:val="00D83F4C"/>
    <w:rsid w:val="00D84104"/>
    <w:rsid w:val="00D843FC"/>
    <w:rsid w:val="00D84480"/>
    <w:rsid w:val="00D846C6"/>
    <w:rsid w:val="00D84A98"/>
    <w:rsid w:val="00D84D15"/>
    <w:rsid w:val="00D84DA1"/>
    <w:rsid w:val="00D85262"/>
    <w:rsid w:val="00D854D8"/>
    <w:rsid w:val="00D859A8"/>
    <w:rsid w:val="00D85B79"/>
    <w:rsid w:val="00D8621E"/>
    <w:rsid w:val="00D86321"/>
    <w:rsid w:val="00D864DA"/>
    <w:rsid w:val="00D86562"/>
    <w:rsid w:val="00D868C9"/>
    <w:rsid w:val="00D86909"/>
    <w:rsid w:val="00D869D3"/>
    <w:rsid w:val="00D86B9E"/>
    <w:rsid w:val="00D86BBA"/>
    <w:rsid w:val="00D86C7D"/>
    <w:rsid w:val="00D86CEF"/>
    <w:rsid w:val="00D86EBD"/>
    <w:rsid w:val="00D86F72"/>
    <w:rsid w:val="00D870C1"/>
    <w:rsid w:val="00D87160"/>
    <w:rsid w:val="00D871EF"/>
    <w:rsid w:val="00D87394"/>
    <w:rsid w:val="00D8750C"/>
    <w:rsid w:val="00D87629"/>
    <w:rsid w:val="00D876D2"/>
    <w:rsid w:val="00D8797D"/>
    <w:rsid w:val="00D87FE9"/>
    <w:rsid w:val="00D8BE40"/>
    <w:rsid w:val="00D90089"/>
    <w:rsid w:val="00D900C5"/>
    <w:rsid w:val="00D90366"/>
    <w:rsid w:val="00D90373"/>
    <w:rsid w:val="00D90572"/>
    <w:rsid w:val="00D906E8"/>
    <w:rsid w:val="00D90796"/>
    <w:rsid w:val="00D907D8"/>
    <w:rsid w:val="00D907DB"/>
    <w:rsid w:val="00D907F5"/>
    <w:rsid w:val="00D908AA"/>
    <w:rsid w:val="00D90BCD"/>
    <w:rsid w:val="00D90FEC"/>
    <w:rsid w:val="00D91042"/>
    <w:rsid w:val="00D914CF"/>
    <w:rsid w:val="00D917D8"/>
    <w:rsid w:val="00D91B8D"/>
    <w:rsid w:val="00D91C9D"/>
    <w:rsid w:val="00D91CC7"/>
    <w:rsid w:val="00D9201E"/>
    <w:rsid w:val="00D920B2"/>
    <w:rsid w:val="00D9215A"/>
    <w:rsid w:val="00D9246B"/>
    <w:rsid w:val="00D924D3"/>
    <w:rsid w:val="00D924F2"/>
    <w:rsid w:val="00D9255B"/>
    <w:rsid w:val="00D9286B"/>
    <w:rsid w:val="00D9288A"/>
    <w:rsid w:val="00D92959"/>
    <w:rsid w:val="00D92B09"/>
    <w:rsid w:val="00D92C7B"/>
    <w:rsid w:val="00D92F51"/>
    <w:rsid w:val="00D93149"/>
    <w:rsid w:val="00D932FF"/>
    <w:rsid w:val="00D934DD"/>
    <w:rsid w:val="00D938A5"/>
    <w:rsid w:val="00D93A29"/>
    <w:rsid w:val="00D93A79"/>
    <w:rsid w:val="00D93BBF"/>
    <w:rsid w:val="00D93DF6"/>
    <w:rsid w:val="00D93E4B"/>
    <w:rsid w:val="00D942EF"/>
    <w:rsid w:val="00D946B7"/>
    <w:rsid w:val="00D94A7A"/>
    <w:rsid w:val="00D94BB3"/>
    <w:rsid w:val="00D94D21"/>
    <w:rsid w:val="00D94E6E"/>
    <w:rsid w:val="00D94FA6"/>
    <w:rsid w:val="00D9509E"/>
    <w:rsid w:val="00D9542A"/>
    <w:rsid w:val="00D9586A"/>
    <w:rsid w:val="00D95A48"/>
    <w:rsid w:val="00D95A54"/>
    <w:rsid w:val="00D95CB4"/>
    <w:rsid w:val="00D95D04"/>
    <w:rsid w:val="00D962C1"/>
    <w:rsid w:val="00D96385"/>
    <w:rsid w:val="00D964D6"/>
    <w:rsid w:val="00D964DC"/>
    <w:rsid w:val="00D966A5"/>
    <w:rsid w:val="00D969AB"/>
    <w:rsid w:val="00D96A12"/>
    <w:rsid w:val="00D96A2D"/>
    <w:rsid w:val="00D96A33"/>
    <w:rsid w:val="00D96B00"/>
    <w:rsid w:val="00D96C31"/>
    <w:rsid w:val="00D96D75"/>
    <w:rsid w:val="00D96FD3"/>
    <w:rsid w:val="00D97072"/>
    <w:rsid w:val="00D970AA"/>
    <w:rsid w:val="00D9726E"/>
    <w:rsid w:val="00D97510"/>
    <w:rsid w:val="00D97540"/>
    <w:rsid w:val="00D9796F"/>
    <w:rsid w:val="00D97A7F"/>
    <w:rsid w:val="00D97B58"/>
    <w:rsid w:val="00D97DE5"/>
    <w:rsid w:val="00D97E65"/>
    <w:rsid w:val="00DA00DA"/>
    <w:rsid w:val="00DA03C0"/>
    <w:rsid w:val="00DA03FC"/>
    <w:rsid w:val="00DA0507"/>
    <w:rsid w:val="00DA05CF"/>
    <w:rsid w:val="00DA06FD"/>
    <w:rsid w:val="00DA0897"/>
    <w:rsid w:val="00DA09BE"/>
    <w:rsid w:val="00DA0D6E"/>
    <w:rsid w:val="00DA0D84"/>
    <w:rsid w:val="00DA0DA1"/>
    <w:rsid w:val="00DA0EA6"/>
    <w:rsid w:val="00DA1008"/>
    <w:rsid w:val="00DA138E"/>
    <w:rsid w:val="00DA1394"/>
    <w:rsid w:val="00DA13D6"/>
    <w:rsid w:val="00DA16BE"/>
    <w:rsid w:val="00DA1825"/>
    <w:rsid w:val="00DA1826"/>
    <w:rsid w:val="00DA1DAD"/>
    <w:rsid w:val="00DA1FD5"/>
    <w:rsid w:val="00DA24C2"/>
    <w:rsid w:val="00DA276F"/>
    <w:rsid w:val="00DA2801"/>
    <w:rsid w:val="00DA2972"/>
    <w:rsid w:val="00DA299C"/>
    <w:rsid w:val="00DA29B8"/>
    <w:rsid w:val="00DA2B75"/>
    <w:rsid w:val="00DA2E1E"/>
    <w:rsid w:val="00DA2FF9"/>
    <w:rsid w:val="00DA308F"/>
    <w:rsid w:val="00DA31FB"/>
    <w:rsid w:val="00DA3452"/>
    <w:rsid w:val="00DA38CD"/>
    <w:rsid w:val="00DA3A60"/>
    <w:rsid w:val="00DA3B24"/>
    <w:rsid w:val="00DA3B55"/>
    <w:rsid w:val="00DA3C18"/>
    <w:rsid w:val="00DA4355"/>
    <w:rsid w:val="00DA438D"/>
    <w:rsid w:val="00DA4703"/>
    <w:rsid w:val="00DA4D40"/>
    <w:rsid w:val="00DA4DE1"/>
    <w:rsid w:val="00DA50AC"/>
    <w:rsid w:val="00DA524D"/>
    <w:rsid w:val="00DA528F"/>
    <w:rsid w:val="00DA537E"/>
    <w:rsid w:val="00DA5456"/>
    <w:rsid w:val="00DA56B0"/>
    <w:rsid w:val="00DA575A"/>
    <w:rsid w:val="00DA5CE2"/>
    <w:rsid w:val="00DA5EC3"/>
    <w:rsid w:val="00DA5F5A"/>
    <w:rsid w:val="00DA653F"/>
    <w:rsid w:val="00DA67B6"/>
    <w:rsid w:val="00DA6913"/>
    <w:rsid w:val="00DA6F09"/>
    <w:rsid w:val="00DA6F22"/>
    <w:rsid w:val="00DA7524"/>
    <w:rsid w:val="00DA7584"/>
    <w:rsid w:val="00DA7772"/>
    <w:rsid w:val="00DA78BE"/>
    <w:rsid w:val="00DA7A26"/>
    <w:rsid w:val="00DA7AE2"/>
    <w:rsid w:val="00DA7B53"/>
    <w:rsid w:val="00DA7BF0"/>
    <w:rsid w:val="00DA7E68"/>
    <w:rsid w:val="00DA7F15"/>
    <w:rsid w:val="00DB0490"/>
    <w:rsid w:val="00DB0758"/>
    <w:rsid w:val="00DB0951"/>
    <w:rsid w:val="00DB0C4D"/>
    <w:rsid w:val="00DB0C83"/>
    <w:rsid w:val="00DB0E04"/>
    <w:rsid w:val="00DB1074"/>
    <w:rsid w:val="00DB122D"/>
    <w:rsid w:val="00DB142E"/>
    <w:rsid w:val="00DB1497"/>
    <w:rsid w:val="00DB17EC"/>
    <w:rsid w:val="00DB1FB4"/>
    <w:rsid w:val="00DB214C"/>
    <w:rsid w:val="00DB224A"/>
    <w:rsid w:val="00DB23FF"/>
    <w:rsid w:val="00DB258D"/>
    <w:rsid w:val="00DB270B"/>
    <w:rsid w:val="00DB27D3"/>
    <w:rsid w:val="00DB2AC4"/>
    <w:rsid w:val="00DB2B5C"/>
    <w:rsid w:val="00DB2DC6"/>
    <w:rsid w:val="00DB2E28"/>
    <w:rsid w:val="00DB31F0"/>
    <w:rsid w:val="00DB3331"/>
    <w:rsid w:val="00DB33B6"/>
    <w:rsid w:val="00DB367B"/>
    <w:rsid w:val="00DB38DE"/>
    <w:rsid w:val="00DB3ABC"/>
    <w:rsid w:val="00DB3BE1"/>
    <w:rsid w:val="00DB3C68"/>
    <w:rsid w:val="00DB3D76"/>
    <w:rsid w:val="00DB451F"/>
    <w:rsid w:val="00DB45EB"/>
    <w:rsid w:val="00DB47C6"/>
    <w:rsid w:val="00DB483C"/>
    <w:rsid w:val="00DB4869"/>
    <w:rsid w:val="00DB4891"/>
    <w:rsid w:val="00DB513A"/>
    <w:rsid w:val="00DB55E6"/>
    <w:rsid w:val="00DB5640"/>
    <w:rsid w:val="00DB5685"/>
    <w:rsid w:val="00DB5701"/>
    <w:rsid w:val="00DB58AA"/>
    <w:rsid w:val="00DB5901"/>
    <w:rsid w:val="00DB5A51"/>
    <w:rsid w:val="00DB6211"/>
    <w:rsid w:val="00DB6607"/>
    <w:rsid w:val="00DB675A"/>
    <w:rsid w:val="00DB6AB0"/>
    <w:rsid w:val="00DB6BE2"/>
    <w:rsid w:val="00DB6E0C"/>
    <w:rsid w:val="00DB6F46"/>
    <w:rsid w:val="00DB6FA7"/>
    <w:rsid w:val="00DB6FBE"/>
    <w:rsid w:val="00DB73DC"/>
    <w:rsid w:val="00DB75B3"/>
    <w:rsid w:val="00DB76B5"/>
    <w:rsid w:val="00DB76BF"/>
    <w:rsid w:val="00DB77A5"/>
    <w:rsid w:val="00DB799B"/>
    <w:rsid w:val="00DB7A47"/>
    <w:rsid w:val="00DB7AE6"/>
    <w:rsid w:val="00DB7B10"/>
    <w:rsid w:val="00DB7D7D"/>
    <w:rsid w:val="00DB7FFE"/>
    <w:rsid w:val="00DC01CA"/>
    <w:rsid w:val="00DC0351"/>
    <w:rsid w:val="00DC037B"/>
    <w:rsid w:val="00DC03D2"/>
    <w:rsid w:val="00DC06BF"/>
    <w:rsid w:val="00DC0873"/>
    <w:rsid w:val="00DC0C5E"/>
    <w:rsid w:val="00DC0E5F"/>
    <w:rsid w:val="00DC157C"/>
    <w:rsid w:val="00DC1799"/>
    <w:rsid w:val="00DC1F04"/>
    <w:rsid w:val="00DC200D"/>
    <w:rsid w:val="00DC202B"/>
    <w:rsid w:val="00DC213F"/>
    <w:rsid w:val="00DC2170"/>
    <w:rsid w:val="00DC230D"/>
    <w:rsid w:val="00DC251A"/>
    <w:rsid w:val="00DC26A2"/>
    <w:rsid w:val="00DC2773"/>
    <w:rsid w:val="00DC2846"/>
    <w:rsid w:val="00DC28C1"/>
    <w:rsid w:val="00DC2F49"/>
    <w:rsid w:val="00DC36B3"/>
    <w:rsid w:val="00DC3784"/>
    <w:rsid w:val="00DC37CB"/>
    <w:rsid w:val="00DC37CC"/>
    <w:rsid w:val="00DC3A6D"/>
    <w:rsid w:val="00DC3B9A"/>
    <w:rsid w:val="00DC3E8A"/>
    <w:rsid w:val="00DC3E99"/>
    <w:rsid w:val="00DC3F74"/>
    <w:rsid w:val="00DC4311"/>
    <w:rsid w:val="00DC437F"/>
    <w:rsid w:val="00DC43A1"/>
    <w:rsid w:val="00DC43D9"/>
    <w:rsid w:val="00DC4488"/>
    <w:rsid w:val="00DC453F"/>
    <w:rsid w:val="00DC52FB"/>
    <w:rsid w:val="00DC53B1"/>
    <w:rsid w:val="00DC5435"/>
    <w:rsid w:val="00DC5B93"/>
    <w:rsid w:val="00DC5C0B"/>
    <w:rsid w:val="00DC5F85"/>
    <w:rsid w:val="00DC5FAD"/>
    <w:rsid w:val="00DC6276"/>
    <w:rsid w:val="00DC6419"/>
    <w:rsid w:val="00DC6647"/>
    <w:rsid w:val="00DC66FC"/>
    <w:rsid w:val="00DC68E4"/>
    <w:rsid w:val="00DC697C"/>
    <w:rsid w:val="00DC69DC"/>
    <w:rsid w:val="00DC6B5A"/>
    <w:rsid w:val="00DC6C7C"/>
    <w:rsid w:val="00DC6D9B"/>
    <w:rsid w:val="00DC6F48"/>
    <w:rsid w:val="00DC727F"/>
    <w:rsid w:val="00DC739E"/>
    <w:rsid w:val="00DC744E"/>
    <w:rsid w:val="00DC785F"/>
    <w:rsid w:val="00DC7BB8"/>
    <w:rsid w:val="00DC7C65"/>
    <w:rsid w:val="00DC7EFD"/>
    <w:rsid w:val="00DD0021"/>
    <w:rsid w:val="00DD0288"/>
    <w:rsid w:val="00DD0295"/>
    <w:rsid w:val="00DD0361"/>
    <w:rsid w:val="00DD047F"/>
    <w:rsid w:val="00DD0536"/>
    <w:rsid w:val="00DD0570"/>
    <w:rsid w:val="00DD0836"/>
    <w:rsid w:val="00DD0984"/>
    <w:rsid w:val="00DD09F0"/>
    <w:rsid w:val="00DD1192"/>
    <w:rsid w:val="00DD1470"/>
    <w:rsid w:val="00DD1501"/>
    <w:rsid w:val="00DD15A7"/>
    <w:rsid w:val="00DD182C"/>
    <w:rsid w:val="00DD2191"/>
    <w:rsid w:val="00DD241B"/>
    <w:rsid w:val="00DD26C7"/>
    <w:rsid w:val="00DD26E5"/>
    <w:rsid w:val="00DD2A24"/>
    <w:rsid w:val="00DD2B28"/>
    <w:rsid w:val="00DD2C47"/>
    <w:rsid w:val="00DD2C8F"/>
    <w:rsid w:val="00DD2E73"/>
    <w:rsid w:val="00DD2EA8"/>
    <w:rsid w:val="00DD2F0F"/>
    <w:rsid w:val="00DD2FE8"/>
    <w:rsid w:val="00DD3126"/>
    <w:rsid w:val="00DD322A"/>
    <w:rsid w:val="00DD32A6"/>
    <w:rsid w:val="00DD32F2"/>
    <w:rsid w:val="00DD33D9"/>
    <w:rsid w:val="00DD3461"/>
    <w:rsid w:val="00DD371E"/>
    <w:rsid w:val="00DD3804"/>
    <w:rsid w:val="00DD38C7"/>
    <w:rsid w:val="00DD398F"/>
    <w:rsid w:val="00DD3A3F"/>
    <w:rsid w:val="00DD3AFB"/>
    <w:rsid w:val="00DD3B40"/>
    <w:rsid w:val="00DD3C91"/>
    <w:rsid w:val="00DD3D27"/>
    <w:rsid w:val="00DD435A"/>
    <w:rsid w:val="00DD45CA"/>
    <w:rsid w:val="00DD463F"/>
    <w:rsid w:val="00DD465E"/>
    <w:rsid w:val="00DD4958"/>
    <w:rsid w:val="00DD4F04"/>
    <w:rsid w:val="00DD4F17"/>
    <w:rsid w:val="00DD5544"/>
    <w:rsid w:val="00DD557F"/>
    <w:rsid w:val="00DD58C9"/>
    <w:rsid w:val="00DD5C9C"/>
    <w:rsid w:val="00DD5FB7"/>
    <w:rsid w:val="00DD6003"/>
    <w:rsid w:val="00DD6100"/>
    <w:rsid w:val="00DD6797"/>
    <w:rsid w:val="00DD67D1"/>
    <w:rsid w:val="00DD6BE7"/>
    <w:rsid w:val="00DD6E48"/>
    <w:rsid w:val="00DD6EF6"/>
    <w:rsid w:val="00DD6F31"/>
    <w:rsid w:val="00DD6FAB"/>
    <w:rsid w:val="00DD7249"/>
    <w:rsid w:val="00DD77A6"/>
    <w:rsid w:val="00DD783E"/>
    <w:rsid w:val="00DD78C2"/>
    <w:rsid w:val="00DD7B9F"/>
    <w:rsid w:val="00DD7CD1"/>
    <w:rsid w:val="00DD7DBE"/>
    <w:rsid w:val="00DE0027"/>
    <w:rsid w:val="00DE01C3"/>
    <w:rsid w:val="00DE028B"/>
    <w:rsid w:val="00DE068C"/>
    <w:rsid w:val="00DE076F"/>
    <w:rsid w:val="00DE0938"/>
    <w:rsid w:val="00DE0E6E"/>
    <w:rsid w:val="00DE0E7B"/>
    <w:rsid w:val="00DE1279"/>
    <w:rsid w:val="00DE1602"/>
    <w:rsid w:val="00DE1714"/>
    <w:rsid w:val="00DE1AB2"/>
    <w:rsid w:val="00DE1D10"/>
    <w:rsid w:val="00DE1F69"/>
    <w:rsid w:val="00DE2057"/>
    <w:rsid w:val="00DE20C9"/>
    <w:rsid w:val="00DE223F"/>
    <w:rsid w:val="00DE227F"/>
    <w:rsid w:val="00DE22A5"/>
    <w:rsid w:val="00DE24A9"/>
    <w:rsid w:val="00DE269A"/>
    <w:rsid w:val="00DE2825"/>
    <w:rsid w:val="00DE2AE3"/>
    <w:rsid w:val="00DE3067"/>
    <w:rsid w:val="00DE31BB"/>
    <w:rsid w:val="00DE3272"/>
    <w:rsid w:val="00DE33BB"/>
    <w:rsid w:val="00DE3B63"/>
    <w:rsid w:val="00DE3C01"/>
    <w:rsid w:val="00DE3C27"/>
    <w:rsid w:val="00DE3C93"/>
    <w:rsid w:val="00DE432E"/>
    <w:rsid w:val="00DE4347"/>
    <w:rsid w:val="00DE448D"/>
    <w:rsid w:val="00DE453F"/>
    <w:rsid w:val="00DE48C0"/>
    <w:rsid w:val="00DE49AA"/>
    <w:rsid w:val="00DE4FDC"/>
    <w:rsid w:val="00DE4FE3"/>
    <w:rsid w:val="00DE5025"/>
    <w:rsid w:val="00DE5288"/>
    <w:rsid w:val="00DE542A"/>
    <w:rsid w:val="00DE5EBD"/>
    <w:rsid w:val="00DE5ECC"/>
    <w:rsid w:val="00DE6038"/>
    <w:rsid w:val="00DE60D6"/>
    <w:rsid w:val="00DE6330"/>
    <w:rsid w:val="00DE6467"/>
    <w:rsid w:val="00DE673F"/>
    <w:rsid w:val="00DE68FC"/>
    <w:rsid w:val="00DE698F"/>
    <w:rsid w:val="00DE6D9F"/>
    <w:rsid w:val="00DE6E4E"/>
    <w:rsid w:val="00DE7034"/>
    <w:rsid w:val="00DE7343"/>
    <w:rsid w:val="00DE735E"/>
    <w:rsid w:val="00DE7386"/>
    <w:rsid w:val="00DE7814"/>
    <w:rsid w:val="00DE781F"/>
    <w:rsid w:val="00DE7A47"/>
    <w:rsid w:val="00DE7DC3"/>
    <w:rsid w:val="00DE7FCF"/>
    <w:rsid w:val="00DF00DA"/>
    <w:rsid w:val="00DF00E7"/>
    <w:rsid w:val="00DF0401"/>
    <w:rsid w:val="00DF0491"/>
    <w:rsid w:val="00DF058B"/>
    <w:rsid w:val="00DF06A6"/>
    <w:rsid w:val="00DF0803"/>
    <w:rsid w:val="00DF088C"/>
    <w:rsid w:val="00DF09B0"/>
    <w:rsid w:val="00DF0A4D"/>
    <w:rsid w:val="00DF0AA3"/>
    <w:rsid w:val="00DF1037"/>
    <w:rsid w:val="00DF10EE"/>
    <w:rsid w:val="00DF110A"/>
    <w:rsid w:val="00DF115C"/>
    <w:rsid w:val="00DF116A"/>
    <w:rsid w:val="00DF1255"/>
    <w:rsid w:val="00DF1B5F"/>
    <w:rsid w:val="00DF1BCF"/>
    <w:rsid w:val="00DF1C71"/>
    <w:rsid w:val="00DF1FF7"/>
    <w:rsid w:val="00DF21CE"/>
    <w:rsid w:val="00DF22F4"/>
    <w:rsid w:val="00DF2417"/>
    <w:rsid w:val="00DF2648"/>
    <w:rsid w:val="00DF26BF"/>
    <w:rsid w:val="00DF2853"/>
    <w:rsid w:val="00DF288A"/>
    <w:rsid w:val="00DF2B85"/>
    <w:rsid w:val="00DF2F4A"/>
    <w:rsid w:val="00DF30B0"/>
    <w:rsid w:val="00DF3147"/>
    <w:rsid w:val="00DF3192"/>
    <w:rsid w:val="00DF3244"/>
    <w:rsid w:val="00DF32FF"/>
    <w:rsid w:val="00DF36FC"/>
    <w:rsid w:val="00DF375D"/>
    <w:rsid w:val="00DF378F"/>
    <w:rsid w:val="00DF3A24"/>
    <w:rsid w:val="00DF3B5C"/>
    <w:rsid w:val="00DF3C9A"/>
    <w:rsid w:val="00DF3F42"/>
    <w:rsid w:val="00DF403A"/>
    <w:rsid w:val="00DF4106"/>
    <w:rsid w:val="00DF42CB"/>
    <w:rsid w:val="00DF43C9"/>
    <w:rsid w:val="00DF450E"/>
    <w:rsid w:val="00DF4927"/>
    <w:rsid w:val="00DF4B7C"/>
    <w:rsid w:val="00DF4BF0"/>
    <w:rsid w:val="00DF4CAB"/>
    <w:rsid w:val="00DF4CC4"/>
    <w:rsid w:val="00DF531C"/>
    <w:rsid w:val="00DF5437"/>
    <w:rsid w:val="00DF5505"/>
    <w:rsid w:val="00DF5593"/>
    <w:rsid w:val="00DF586C"/>
    <w:rsid w:val="00DF598E"/>
    <w:rsid w:val="00DF5D22"/>
    <w:rsid w:val="00DF632A"/>
    <w:rsid w:val="00DF63CB"/>
    <w:rsid w:val="00DF6732"/>
    <w:rsid w:val="00DF6A05"/>
    <w:rsid w:val="00DF6C59"/>
    <w:rsid w:val="00DF6EA9"/>
    <w:rsid w:val="00DF71DD"/>
    <w:rsid w:val="00DF73A3"/>
    <w:rsid w:val="00DF7473"/>
    <w:rsid w:val="00DF76BD"/>
    <w:rsid w:val="00DF778F"/>
    <w:rsid w:val="00DF7999"/>
    <w:rsid w:val="00DF7C53"/>
    <w:rsid w:val="00DF7CB9"/>
    <w:rsid w:val="00E001BD"/>
    <w:rsid w:val="00E0026D"/>
    <w:rsid w:val="00E00318"/>
    <w:rsid w:val="00E00450"/>
    <w:rsid w:val="00E0052D"/>
    <w:rsid w:val="00E009D4"/>
    <w:rsid w:val="00E009E2"/>
    <w:rsid w:val="00E00A90"/>
    <w:rsid w:val="00E0108E"/>
    <w:rsid w:val="00E012AC"/>
    <w:rsid w:val="00E019AB"/>
    <w:rsid w:val="00E01B8E"/>
    <w:rsid w:val="00E01CB9"/>
    <w:rsid w:val="00E01CFA"/>
    <w:rsid w:val="00E020B3"/>
    <w:rsid w:val="00E02188"/>
    <w:rsid w:val="00E026CD"/>
    <w:rsid w:val="00E027E9"/>
    <w:rsid w:val="00E0284B"/>
    <w:rsid w:val="00E02F46"/>
    <w:rsid w:val="00E02FC7"/>
    <w:rsid w:val="00E036C2"/>
    <w:rsid w:val="00E036E0"/>
    <w:rsid w:val="00E038A5"/>
    <w:rsid w:val="00E03AF2"/>
    <w:rsid w:val="00E03BE6"/>
    <w:rsid w:val="00E03D64"/>
    <w:rsid w:val="00E047D9"/>
    <w:rsid w:val="00E04F1D"/>
    <w:rsid w:val="00E050DF"/>
    <w:rsid w:val="00E051CA"/>
    <w:rsid w:val="00E053D4"/>
    <w:rsid w:val="00E056BA"/>
    <w:rsid w:val="00E0580A"/>
    <w:rsid w:val="00E05980"/>
    <w:rsid w:val="00E05BF6"/>
    <w:rsid w:val="00E05C23"/>
    <w:rsid w:val="00E05DC2"/>
    <w:rsid w:val="00E05EAC"/>
    <w:rsid w:val="00E05EE8"/>
    <w:rsid w:val="00E05FA1"/>
    <w:rsid w:val="00E0604F"/>
    <w:rsid w:val="00E06552"/>
    <w:rsid w:val="00E068B1"/>
    <w:rsid w:val="00E068D0"/>
    <w:rsid w:val="00E06BE1"/>
    <w:rsid w:val="00E06E19"/>
    <w:rsid w:val="00E07149"/>
    <w:rsid w:val="00E0718B"/>
    <w:rsid w:val="00E07530"/>
    <w:rsid w:val="00E0770B"/>
    <w:rsid w:val="00E077F8"/>
    <w:rsid w:val="00E07857"/>
    <w:rsid w:val="00E0787C"/>
    <w:rsid w:val="00E079CC"/>
    <w:rsid w:val="00E07A69"/>
    <w:rsid w:val="00E07E20"/>
    <w:rsid w:val="00E1003B"/>
    <w:rsid w:val="00E1037B"/>
    <w:rsid w:val="00E103C1"/>
    <w:rsid w:val="00E10444"/>
    <w:rsid w:val="00E106DC"/>
    <w:rsid w:val="00E10835"/>
    <w:rsid w:val="00E10992"/>
    <w:rsid w:val="00E10A73"/>
    <w:rsid w:val="00E10AF2"/>
    <w:rsid w:val="00E10CBC"/>
    <w:rsid w:val="00E11066"/>
    <w:rsid w:val="00E110AA"/>
    <w:rsid w:val="00E113D9"/>
    <w:rsid w:val="00E114C5"/>
    <w:rsid w:val="00E115BD"/>
    <w:rsid w:val="00E11654"/>
    <w:rsid w:val="00E1193D"/>
    <w:rsid w:val="00E11C0F"/>
    <w:rsid w:val="00E12098"/>
    <w:rsid w:val="00E12101"/>
    <w:rsid w:val="00E1212E"/>
    <w:rsid w:val="00E12169"/>
    <w:rsid w:val="00E125E8"/>
    <w:rsid w:val="00E126EC"/>
    <w:rsid w:val="00E1286E"/>
    <w:rsid w:val="00E1288A"/>
    <w:rsid w:val="00E128C8"/>
    <w:rsid w:val="00E12A81"/>
    <w:rsid w:val="00E12BDC"/>
    <w:rsid w:val="00E12D86"/>
    <w:rsid w:val="00E12D9E"/>
    <w:rsid w:val="00E1306E"/>
    <w:rsid w:val="00E1307F"/>
    <w:rsid w:val="00E131C8"/>
    <w:rsid w:val="00E13215"/>
    <w:rsid w:val="00E13433"/>
    <w:rsid w:val="00E13476"/>
    <w:rsid w:val="00E135E0"/>
    <w:rsid w:val="00E1390C"/>
    <w:rsid w:val="00E13A4B"/>
    <w:rsid w:val="00E13B58"/>
    <w:rsid w:val="00E13C4E"/>
    <w:rsid w:val="00E13D5A"/>
    <w:rsid w:val="00E13DCF"/>
    <w:rsid w:val="00E13E81"/>
    <w:rsid w:val="00E141F2"/>
    <w:rsid w:val="00E1436B"/>
    <w:rsid w:val="00E145BA"/>
    <w:rsid w:val="00E145C7"/>
    <w:rsid w:val="00E145FF"/>
    <w:rsid w:val="00E14697"/>
    <w:rsid w:val="00E1477E"/>
    <w:rsid w:val="00E14DA0"/>
    <w:rsid w:val="00E14E81"/>
    <w:rsid w:val="00E14FEE"/>
    <w:rsid w:val="00E1502C"/>
    <w:rsid w:val="00E15493"/>
    <w:rsid w:val="00E154E8"/>
    <w:rsid w:val="00E156BE"/>
    <w:rsid w:val="00E1589B"/>
    <w:rsid w:val="00E15C31"/>
    <w:rsid w:val="00E15C90"/>
    <w:rsid w:val="00E161BE"/>
    <w:rsid w:val="00E1679D"/>
    <w:rsid w:val="00E168ED"/>
    <w:rsid w:val="00E16B36"/>
    <w:rsid w:val="00E16E4A"/>
    <w:rsid w:val="00E173F2"/>
    <w:rsid w:val="00E17515"/>
    <w:rsid w:val="00E176E4"/>
    <w:rsid w:val="00E177C7"/>
    <w:rsid w:val="00E17C84"/>
    <w:rsid w:val="00E17CE7"/>
    <w:rsid w:val="00E17E7A"/>
    <w:rsid w:val="00E17E8A"/>
    <w:rsid w:val="00E1BD72"/>
    <w:rsid w:val="00E2011F"/>
    <w:rsid w:val="00E201DB"/>
    <w:rsid w:val="00E2097F"/>
    <w:rsid w:val="00E20CD4"/>
    <w:rsid w:val="00E20D1D"/>
    <w:rsid w:val="00E20E70"/>
    <w:rsid w:val="00E20F64"/>
    <w:rsid w:val="00E20FA2"/>
    <w:rsid w:val="00E2174C"/>
    <w:rsid w:val="00E219F6"/>
    <w:rsid w:val="00E21D2A"/>
    <w:rsid w:val="00E2223C"/>
    <w:rsid w:val="00E223CF"/>
    <w:rsid w:val="00E225D2"/>
    <w:rsid w:val="00E22A4F"/>
    <w:rsid w:val="00E22C63"/>
    <w:rsid w:val="00E22C90"/>
    <w:rsid w:val="00E22DFD"/>
    <w:rsid w:val="00E22F5F"/>
    <w:rsid w:val="00E22FB9"/>
    <w:rsid w:val="00E2383A"/>
    <w:rsid w:val="00E238FB"/>
    <w:rsid w:val="00E23948"/>
    <w:rsid w:val="00E2394E"/>
    <w:rsid w:val="00E239F4"/>
    <w:rsid w:val="00E23A56"/>
    <w:rsid w:val="00E23F36"/>
    <w:rsid w:val="00E242AC"/>
    <w:rsid w:val="00E24446"/>
    <w:rsid w:val="00E2444F"/>
    <w:rsid w:val="00E248E6"/>
    <w:rsid w:val="00E24C75"/>
    <w:rsid w:val="00E2503E"/>
    <w:rsid w:val="00E25D2F"/>
    <w:rsid w:val="00E25F06"/>
    <w:rsid w:val="00E25F5F"/>
    <w:rsid w:val="00E2672F"/>
    <w:rsid w:val="00E270D5"/>
    <w:rsid w:val="00E2729A"/>
    <w:rsid w:val="00E2730D"/>
    <w:rsid w:val="00E2763B"/>
    <w:rsid w:val="00E27730"/>
    <w:rsid w:val="00E277F1"/>
    <w:rsid w:val="00E278F6"/>
    <w:rsid w:val="00E27B70"/>
    <w:rsid w:val="00E27C37"/>
    <w:rsid w:val="00E27C98"/>
    <w:rsid w:val="00E27F8E"/>
    <w:rsid w:val="00E2F783"/>
    <w:rsid w:val="00E303C0"/>
    <w:rsid w:val="00E304D8"/>
    <w:rsid w:val="00E30657"/>
    <w:rsid w:val="00E30DA2"/>
    <w:rsid w:val="00E3111D"/>
    <w:rsid w:val="00E313A1"/>
    <w:rsid w:val="00E314CC"/>
    <w:rsid w:val="00E31875"/>
    <w:rsid w:val="00E318E3"/>
    <w:rsid w:val="00E31E20"/>
    <w:rsid w:val="00E31E44"/>
    <w:rsid w:val="00E32094"/>
    <w:rsid w:val="00E320E4"/>
    <w:rsid w:val="00E32598"/>
    <w:rsid w:val="00E328BE"/>
    <w:rsid w:val="00E32BA2"/>
    <w:rsid w:val="00E32BB2"/>
    <w:rsid w:val="00E32C34"/>
    <w:rsid w:val="00E32DC2"/>
    <w:rsid w:val="00E32FDB"/>
    <w:rsid w:val="00E332C2"/>
    <w:rsid w:val="00E333F1"/>
    <w:rsid w:val="00E3363F"/>
    <w:rsid w:val="00E33711"/>
    <w:rsid w:val="00E33AF0"/>
    <w:rsid w:val="00E33D15"/>
    <w:rsid w:val="00E33E85"/>
    <w:rsid w:val="00E340DF"/>
    <w:rsid w:val="00E34266"/>
    <w:rsid w:val="00E3439C"/>
    <w:rsid w:val="00E3488E"/>
    <w:rsid w:val="00E34BBF"/>
    <w:rsid w:val="00E34D23"/>
    <w:rsid w:val="00E3511E"/>
    <w:rsid w:val="00E35184"/>
    <w:rsid w:val="00E351E9"/>
    <w:rsid w:val="00E3544B"/>
    <w:rsid w:val="00E358EC"/>
    <w:rsid w:val="00E35973"/>
    <w:rsid w:val="00E35995"/>
    <w:rsid w:val="00E35D2B"/>
    <w:rsid w:val="00E35E05"/>
    <w:rsid w:val="00E35E5F"/>
    <w:rsid w:val="00E360A7"/>
    <w:rsid w:val="00E362E9"/>
    <w:rsid w:val="00E364AF"/>
    <w:rsid w:val="00E367F0"/>
    <w:rsid w:val="00E368A0"/>
    <w:rsid w:val="00E368B2"/>
    <w:rsid w:val="00E370A3"/>
    <w:rsid w:val="00E373E4"/>
    <w:rsid w:val="00E37588"/>
    <w:rsid w:val="00E377F3"/>
    <w:rsid w:val="00E37BA0"/>
    <w:rsid w:val="00E37CE9"/>
    <w:rsid w:val="00E4016E"/>
    <w:rsid w:val="00E4017D"/>
    <w:rsid w:val="00E406F6"/>
    <w:rsid w:val="00E40739"/>
    <w:rsid w:val="00E40762"/>
    <w:rsid w:val="00E40E07"/>
    <w:rsid w:val="00E411B8"/>
    <w:rsid w:val="00E4143E"/>
    <w:rsid w:val="00E414BB"/>
    <w:rsid w:val="00E41D79"/>
    <w:rsid w:val="00E41DA5"/>
    <w:rsid w:val="00E41F42"/>
    <w:rsid w:val="00E42120"/>
    <w:rsid w:val="00E4245A"/>
    <w:rsid w:val="00E42493"/>
    <w:rsid w:val="00E424EF"/>
    <w:rsid w:val="00E42512"/>
    <w:rsid w:val="00E42669"/>
    <w:rsid w:val="00E428BF"/>
    <w:rsid w:val="00E4295B"/>
    <w:rsid w:val="00E42C20"/>
    <w:rsid w:val="00E42D63"/>
    <w:rsid w:val="00E42D8C"/>
    <w:rsid w:val="00E42FAF"/>
    <w:rsid w:val="00E4337D"/>
    <w:rsid w:val="00E43578"/>
    <w:rsid w:val="00E438AA"/>
    <w:rsid w:val="00E43900"/>
    <w:rsid w:val="00E43C1F"/>
    <w:rsid w:val="00E43CA9"/>
    <w:rsid w:val="00E43DC1"/>
    <w:rsid w:val="00E43EA9"/>
    <w:rsid w:val="00E4451F"/>
    <w:rsid w:val="00E44876"/>
    <w:rsid w:val="00E44AD1"/>
    <w:rsid w:val="00E44BB6"/>
    <w:rsid w:val="00E44F1E"/>
    <w:rsid w:val="00E45005"/>
    <w:rsid w:val="00E456AD"/>
    <w:rsid w:val="00E45774"/>
    <w:rsid w:val="00E45B22"/>
    <w:rsid w:val="00E45B2D"/>
    <w:rsid w:val="00E468B0"/>
    <w:rsid w:val="00E46930"/>
    <w:rsid w:val="00E46A7F"/>
    <w:rsid w:val="00E46B33"/>
    <w:rsid w:val="00E46C83"/>
    <w:rsid w:val="00E46E40"/>
    <w:rsid w:val="00E47072"/>
    <w:rsid w:val="00E470EB"/>
    <w:rsid w:val="00E473F3"/>
    <w:rsid w:val="00E47442"/>
    <w:rsid w:val="00E476FE"/>
    <w:rsid w:val="00E47817"/>
    <w:rsid w:val="00E47A8E"/>
    <w:rsid w:val="00E47F08"/>
    <w:rsid w:val="00E47F12"/>
    <w:rsid w:val="00E4A5A4"/>
    <w:rsid w:val="00E5049F"/>
    <w:rsid w:val="00E5061B"/>
    <w:rsid w:val="00E50BAC"/>
    <w:rsid w:val="00E50E01"/>
    <w:rsid w:val="00E50F50"/>
    <w:rsid w:val="00E5102B"/>
    <w:rsid w:val="00E517A2"/>
    <w:rsid w:val="00E518E3"/>
    <w:rsid w:val="00E5194D"/>
    <w:rsid w:val="00E51BB7"/>
    <w:rsid w:val="00E521B8"/>
    <w:rsid w:val="00E52283"/>
    <w:rsid w:val="00E52314"/>
    <w:rsid w:val="00E52446"/>
    <w:rsid w:val="00E525C2"/>
    <w:rsid w:val="00E52636"/>
    <w:rsid w:val="00E52781"/>
    <w:rsid w:val="00E52834"/>
    <w:rsid w:val="00E52B7F"/>
    <w:rsid w:val="00E52D6A"/>
    <w:rsid w:val="00E52DAC"/>
    <w:rsid w:val="00E52DCF"/>
    <w:rsid w:val="00E531AF"/>
    <w:rsid w:val="00E533C0"/>
    <w:rsid w:val="00E53456"/>
    <w:rsid w:val="00E53AA1"/>
    <w:rsid w:val="00E53D98"/>
    <w:rsid w:val="00E53E5B"/>
    <w:rsid w:val="00E540B1"/>
    <w:rsid w:val="00E540CE"/>
    <w:rsid w:val="00E5422B"/>
    <w:rsid w:val="00E542F5"/>
    <w:rsid w:val="00E54314"/>
    <w:rsid w:val="00E5439D"/>
    <w:rsid w:val="00E544C0"/>
    <w:rsid w:val="00E544E8"/>
    <w:rsid w:val="00E54654"/>
    <w:rsid w:val="00E54754"/>
    <w:rsid w:val="00E54E16"/>
    <w:rsid w:val="00E54E7D"/>
    <w:rsid w:val="00E55072"/>
    <w:rsid w:val="00E55095"/>
    <w:rsid w:val="00E552A6"/>
    <w:rsid w:val="00E552DD"/>
    <w:rsid w:val="00E5542D"/>
    <w:rsid w:val="00E554A0"/>
    <w:rsid w:val="00E55FA8"/>
    <w:rsid w:val="00E560A6"/>
    <w:rsid w:val="00E560B5"/>
    <w:rsid w:val="00E565BA"/>
    <w:rsid w:val="00E56729"/>
    <w:rsid w:val="00E56742"/>
    <w:rsid w:val="00E569C3"/>
    <w:rsid w:val="00E56A4D"/>
    <w:rsid w:val="00E56D4E"/>
    <w:rsid w:val="00E56D8A"/>
    <w:rsid w:val="00E56E03"/>
    <w:rsid w:val="00E56EB2"/>
    <w:rsid w:val="00E56FB3"/>
    <w:rsid w:val="00E570D0"/>
    <w:rsid w:val="00E57481"/>
    <w:rsid w:val="00E574BC"/>
    <w:rsid w:val="00E578C8"/>
    <w:rsid w:val="00E57C39"/>
    <w:rsid w:val="00E60278"/>
    <w:rsid w:val="00E6029F"/>
    <w:rsid w:val="00E602FF"/>
    <w:rsid w:val="00E60361"/>
    <w:rsid w:val="00E6059A"/>
    <w:rsid w:val="00E60780"/>
    <w:rsid w:val="00E607E2"/>
    <w:rsid w:val="00E6082B"/>
    <w:rsid w:val="00E608DB"/>
    <w:rsid w:val="00E60DA9"/>
    <w:rsid w:val="00E60F23"/>
    <w:rsid w:val="00E60F2B"/>
    <w:rsid w:val="00E60F41"/>
    <w:rsid w:val="00E610AD"/>
    <w:rsid w:val="00E61198"/>
    <w:rsid w:val="00E61508"/>
    <w:rsid w:val="00E61521"/>
    <w:rsid w:val="00E6160B"/>
    <w:rsid w:val="00E61612"/>
    <w:rsid w:val="00E61732"/>
    <w:rsid w:val="00E618F7"/>
    <w:rsid w:val="00E61A9F"/>
    <w:rsid w:val="00E61AA8"/>
    <w:rsid w:val="00E61B52"/>
    <w:rsid w:val="00E61EC7"/>
    <w:rsid w:val="00E62051"/>
    <w:rsid w:val="00E62275"/>
    <w:rsid w:val="00E623FF"/>
    <w:rsid w:val="00E62463"/>
    <w:rsid w:val="00E6274E"/>
    <w:rsid w:val="00E62BC8"/>
    <w:rsid w:val="00E62D64"/>
    <w:rsid w:val="00E63062"/>
    <w:rsid w:val="00E631C5"/>
    <w:rsid w:val="00E63294"/>
    <w:rsid w:val="00E636D7"/>
    <w:rsid w:val="00E63CCB"/>
    <w:rsid w:val="00E63D68"/>
    <w:rsid w:val="00E640AE"/>
    <w:rsid w:val="00E6415F"/>
    <w:rsid w:val="00E643EF"/>
    <w:rsid w:val="00E64AD7"/>
    <w:rsid w:val="00E650EF"/>
    <w:rsid w:val="00E65674"/>
    <w:rsid w:val="00E6575E"/>
    <w:rsid w:val="00E658C0"/>
    <w:rsid w:val="00E65B1C"/>
    <w:rsid w:val="00E65C0E"/>
    <w:rsid w:val="00E66284"/>
    <w:rsid w:val="00E667CD"/>
    <w:rsid w:val="00E66AE7"/>
    <w:rsid w:val="00E66D11"/>
    <w:rsid w:val="00E66D15"/>
    <w:rsid w:val="00E66DD1"/>
    <w:rsid w:val="00E67104"/>
    <w:rsid w:val="00E675C5"/>
    <w:rsid w:val="00E67730"/>
    <w:rsid w:val="00E67845"/>
    <w:rsid w:val="00E67979"/>
    <w:rsid w:val="00E67A1B"/>
    <w:rsid w:val="00E67A3B"/>
    <w:rsid w:val="00E67ABB"/>
    <w:rsid w:val="00E67AF6"/>
    <w:rsid w:val="00E67C68"/>
    <w:rsid w:val="00E67CF6"/>
    <w:rsid w:val="00E67D08"/>
    <w:rsid w:val="00E67D1F"/>
    <w:rsid w:val="00E701CE"/>
    <w:rsid w:val="00E702E7"/>
    <w:rsid w:val="00E70460"/>
    <w:rsid w:val="00E7061E"/>
    <w:rsid w:val="00E708AE"/>
    <w:rsid w:val="00E708C0"/>
    <w:rsid w:val="00E708DF"/>
    <w:rsid w:val="00E70920"/>
    <w:rsid w:val="00E70A07"/>
    <w:rsid w:val="00E70FAF"/>
    <w:rsid w:val="00E71127"/>
    <w:rsid w:val="00E711A2"/>
    <w:rsid w:val="00E715AC"/>
    <w:rsid w:val="00E7197A"/>
    <w:rsid w:val="00E71AAF"/>
    <w:rsid w:val="00E71ABA"/>
    <w:rsid w:val="00E71B1C"/>
    <w:rsid w:val="00E71EAD"/>
    <w:rsid w:val="00E71EBC"/>
    <w:rsid w:val="00E720AA"/>
    <w:rsid w:val="00E7213B"/>
    <w:rsid w:val="00E725CD"/>
    <w:rsid w:val="00E72613"/>
    <w:rsid w:val="00E727C2"/>
    <w:rsid w:val="00E72920"/>
    <w:rsid w:val="00E72D55"/>
    <w:rsid w:val="00E72F3B"/>
    <w:rsid w:val="00E72F94"/>
    <w:rsid w:val="00E7322B"/>
    <w:rsid w:val="00E7358A"/>
    <w:rsid w:val="00E735C8"/>
    <w:rsid w:val="00E735CB"/>
    <w:rsid w:val="00E73748"/>
    <w:rsid w:val="00E73834"/>
    <w:rsid w:val="00E73A0F"/>
    <w:rsid w:val="00E73A82"/>
    <w:rsid w:val="00E73C0C"/>
    <w:rsid w:val="00E73C9E"/>
    <w:rsid w:val="00E73E8E"/>
    <w:rsid w:val="00E73EAD"/>
    <w:rsid w:val="00E73F8E"/>
    <w:rsid w:val="00E74062"/>
    <w:rsid w:val="00E7434A"/>
    <w:rsid w:val="00E745E1"/>
    <w:rsid w:val="00E74731"/>
    <w:rsid w:val="00E74772"/>
    <w:rsid w:val="00E748E3"/>
    <w:rsid w:val="00E74B36"/>
    <w:rsid w:val="00E74DFB"/>
    <w:rsid w:val="00E74FE5"/>
    <w:rsid w:val="00E75276"/>
    <w:rsid w:val="00E75406"/>
    <w:rsid w:val="00E7567A"/>
    <w:rsid w:val="00E7579A"/>
    <w:rsid w:val="00E7581E"/>
    <w:rsid w:val="00E759C7"/>
    <w:rsid w:val="00E75A03"/>
    <w:rsid w:val="00E75A40"/>
    <w:rsid w:val="00E75A91"/>
    <w:rsid w:val="00E75AC3"/>
    <w:rsid w:val="00E75CA1"/>
    <w:rsid w:val="00E75EC8"/>
    <w:rsid w:val="00E76177"/>
    <w:rsid w:val="00E7656D"/>
    <w:rsid w:val="00E7659E"/>
    <w:rsid w:val="00E765B4"/>
    <w:rsid w:val="00E766AA"/>
    <w:rsid w:val="00E7683A"/>
    <w:rsid w:val="00E7689F"/>
    <w:rsid w:val="00E76D27"/>
    <w:rsid w:val="00E76DBB"/>
    <w:rsid w:val="00E76EA4"/>
    <w:rsid w:val="00E76FA6"/>
    <w:rsid w:val="00E76FC9"/>
    <w:rsid w:val="00E772BB"/>
    <w:rsid w:val="00E77304"/>
    <w:rsid w:val="00E7787B"/>
    <w:rsid w:val="00E77936"/>
    <w:rsid w:val="00E802EB"/>
    <w:rsid w:val="00E80452"/>
    <w:rsid w:val="00E8077B"/>
    <w:rsid w:val="00E807F4"/>
    <w:rsid w:val="00E808B7"/>
    <w:rsid w:val="00E809A5"/>
    <w:rsid w:val="00E80BA5"/>
    <w:rsid w:val="00E80D26"/>
    <w:rsid w:val="00E8115E"/>
    <w:rsid w:val="00E81251"/>
    <w:rsid w:val="00E814AB"/>
    <w:rsid w:val="00E814DC"/>
    <w:rsid w:val="00E819E9"/>
    <w:rsid w:val="00E81BD6"/>
    <w:rsid w:val="00E81CE6"/>
    <w:rsid w:val="00E82367"/>
    <w:rsid w:val="00E82480"/>
    <w:rsid w:val="00E82495"/>
    <w:rsid w:val="00E824FF"/>
    <w:rsid w:val="00E8258F"/>
    <w:rsid w:val="00E82742"/>
    <w:rsid w:val="00E82FDE"/>
    <w:rsid w:val="00E83015"/>
    <w:rsid w:val="00E83647"/>
    <w:rsid w:val="00E836EC"/>
    <w:rsid w:val="00E8394E"/>
    <w:rsid w:val="00E8410D"/>
    <w:rsid w:val="00E84455"/>
    <w:rsid w:val="00E844ED"/>
    <w:rsid w:val="00E84599"/>
    <w:rsid w:val="00E845E5"/>
    <w:rsid w:val="00E847C2"/>
    <w:rsid w:val="00E8492C"/>
    <w:rsid w:val="00E84E11"/>
    <w:rsid w:val="00E852C9"/>
    <w:rsid w:val="00E8531A"/>
    <w:rsid w:val="00E855FC"/>
    <w:rsid w:val="00E85614"/>
    <w:rsid w:val="00E85733"/>
    <w:rsid w:val="00E85736"/>
    <w:rsid w:val="00E85976"/>
    <w:rsid w:val="00E85AAD"/>
    <w:rsid w:val="00E85C3F"/>
    <w:rsid w:val="00E85CE6"/>
    <w:rsid w:val="00E86010"/>
    <w:rsid w:val="00E8633C"/>
    <w:rsid w:val="00E86511"/>
    <w:rsid w:val="00E86971"/>
    <w:rsid w:val="00E86999"/>
    <w:rsid w:val="00E86A67"/>
    <w:rsid w:val="00E86A6C"/>
    <w:rsid w:val="00E86B87"/>
    <w:rsid w:val="00E86CB2"/>
    <w:rsid w:val="00E86DB9"/>
    <w:rsid w:val="00E86E88"/>
    <w:rsid w:val="00E872C4"/>
    <w:rsid w:val="00E87436"/>
    <w:rsid w:val="00E875A1"/>
    <w:rsid w:val="00E8760D"/>
    <w:rsid w:val="00E87675"/>
    <w:rsid w:val="00E876F2"/>
    <w:rsid w:val="00E87790"/>
    <w:rsid w:val="00E87CF4"/>
    <w:rsid w:val="00E87DD9"/>
    <w:rsid w:val="00E87F51"/>
    <w:rsid w:val="00E87F61"/>
    <w:rsid w:val="00E90254"/>
    <w:rsid w:val="00E902BA"/>
    <w:rsid w:val="00E9072E"/>
    <w:rsid w:val="00E90762"/>
    <w:rsid w:val="00E907A8"/>
    <w:rsid w:val="00E90A72"/>
    <w:rsid w:val="00E90B4B"/>
    <w:rsid w:val="00E90E08"/>
    <w:rsid w:val="00E91055"/>
    <w:rsid w:val="00E9133B"/>
    <w:rsid w:val="00E91517"/>
    <w:rsid w:val="00E9163C"/>
    <w:rsid w:val="00E916F4"/>
    <w:rsid w:val="00E9188E"/>
    <w:rsid w:val="00E91B03"/>
    <w:rsid w:val="00E91CDA"/>
    <w:rsid w:val="00E91E7B"/>
    <w:rsid w:val="00E91E90"/>
    <w:rsid w:val="00E91F0F"/>
    <w:rsid w:val="00E9213D"/>
    <w:rsid w:val="00E9230B"/>
    <w:rsid w:val="00E923C9"/>
    <w:rsid w:val="00E923D3"/>
    <w:rsid w:val="00E9284B"/>
    <w:rsid w:val="00E929CD"/>
    <w:rsid w:val="00E92A74"/>
    <w:rsid w:val="00E92ACD"/>
    <w:rsid w:val="00E92B95"/>
    <w:rsid w:val="00E92D30"/>
    <w:rsid w:val="00E92DAA"/>
    <w:rsid w:val="00E92DC1"/>
    <w:rsid w:val="00E93020"/>
    <w:rsid w:val="00E93445"/>
    <w:rsid w:val="00E934AC"/>
    <w:rsid w:val="00E9363D"/>
    <w:rsid w:val="00E936E1"/>
    <w:rsid w:val="00E93748"/>
    <w:rsid w:val="00E93968"/>
    <w:rsid w:val="00E93A69"/>
    <w:rsid w:val="00E93B50"/>
    <w:rsid w:val="00E93B58"/>
    <w:rsid w:val="00E93BE2"/>
    <w:rsid w:val="00E93E59"/>
    <w:rsid w:val="00E93E70"/>
    <w:rsid w:val="00E93FB3"/>
    <w:rsid w:val="00E94067"/>
    <w:rsid w:val="00E94481"/>
    <w:rsid w:val="00E944B2"/>
    <w:rsid w:val="00E946D9"/>
    <w:rsid w:val="00E94703"/>
    <w:rsid w:val="00E949B4"/>
    <w:rsid w:val="00E949CE"/>
    <w:rsid w:val="00E94ABD"/>
    <w:rsid w:val="00E94B02"/>
    <w:rsid w:val="00E94C15"/>
    <w:rsid w:val="00E94D0B"/>
    <w:rsid w:val="00E94E42"/>
    <w:rsid w:val="00E954F3"/>
    <w:rsid w:val="00E95614"/>
    <w:rsid w:val="00E9577A"/>
    <w:rsid w:val="00E958B0"/>
    <w:rsid w:val="00E95B58"/>
    <w:rsid w:val="00E95C99"/>
    <w:rsid w:val="00E95CFB"/>
    <w:rsid w:val="00E95E07"/>
    <w:rsid w:val="00E95E3F"/>
    <w:rsid w:val="00E95E4E"/>
    <w:rsid w:val="00E95F42"/>
    <w:rsid w:val="00E95FC1"/>
    <w:rsid w:val="00E961CD"/>
    <w:rsid w:val="00E96279"/>
    <w:rsid w:val="00E9665E"/>
    <w:rsid w:val="00E9666C"/>
    <w:rsid w:val="00E9668E"/>
    <w:rsid w:val="00E966A7"/>
    <w:rsid w:val="00E966C2"/>
    <w:rsid w:val="00E96704"/>
    <w:rsid w:val="00E96898"/>
    <w:rsid w:val="00E96D01"/>
    <w:rsid w:val="00E96F84"/>
    <w:rsid w:val="00E9765A"/>
    <w:rsid w:val="00E97756"/>
    <w:rsid w:val="00E97775"/>
    <w:rsid w:val="00E9781E"/>
    <w:rsid w:val="00E97858"/>
    <w:rsid w:val="00E9786A"/>
    <w:rsid w:val="00E97A4E"/>
    <w:rsid w:val="00E97A90"/>
    <w:rsid w:val="00E97B38"/>
    <w:rsid w:val="00E97C35"/>
    <w:rsid w:val="00E97C45"/>
    <w:rsid w:val="00EA001D"/>
    <w:rsid w:val="00EA04D8"/>
    <w:rsid w:val="00EA057B"/>
    <w:rsid w:val="00EA065F"/>
    <w:rsid w:val="00EA072E"/>
    <w:rsid w:val="00EA0765"/>
    <w:rsid w:val="00EA0C9E"/>
    <w:rsid w:val="00EA0D1C"/>
    <w:rsid w:val="00EA0F7C"/>
    <w:rsid w:val="00EA1097"/>
    <w:rsid w:val="00EA15A2"/>
    <w:rsid w:val="00EA1803"/>
    <w:rsid w:val="00EA18FC"/>
    <w:rsid w:val="00EA1BF9"/>
    <w:rsid w:val="00EA2160"/>
    <w:rsid w:val="00EA2752"/>
    <w:rsid w:val="00EA28B8"/>
    <w:rsid w:val="00EA2B97"/>
    <w:rsid w:val="00EA2BBD"/>
    <w:rsid w:val="00EA2CE5"/>
    <w:rsid w:val="00EA2DDD"/>
    <w:rsid w:val="00EA2E21"/>
    <w:rsid w:val="00EA2E8A"/>
    <w:rsid w:val="00EA2EC1"/>
    <w:rsid w:val="00EA2F01"/>
    <w:rsid w:val="00EA2FFB"/>
    <w:rsid w:val="00EA3012"/>
    <w:rsid w:val="00EA3321"/>
    <w:rsid w:val="00EA350E"/>
    <w:rsid w:val="00EA3A2F"/>
    <w:rsid w:val="00EA3D02"/>
    <w:rsid w:val="00EA3D2F"/>
    <w:rsid w:val="00EA3D84"/>
    <w:rsid w:val="00EA4149"/>
    <w:rsid w:val="00EA440F"/>
    <w:rsid w:val="00EA44A0"/>
    <w:rsid w:val="00EA45BB"/>
    <w:rsid w:val="00EA47F9"/>
    <w:rsid w:val="00EA491D"/>
    <w:rsid w:val="00EA4979"/>
    <w:rsid w:val="00EA4997"/>
    <w:rsid w:val="00EA5169"/>
    <w:rsid w:val="00EA5325"/>
    <w:rsid w:val="00EA54D1"/>
    <w:rsid w:val="00EA5A5D"/>
    <w:rsid w:val="00EA5AEF"/>
    <w:rsid w:val="00EA5BCF"/>
    <w:rsid w:val="00EA5C31"/>
    <w:rsid w:val="00EA5D0C"/>
    <w:rsid w:val="00EA60D3"/>
    <w:rsid w:val="00EA63C6"/>
    <w:rsid w:val="00EA6610"/>
    <w:rsid w:val="00EA66E8"/>
    <w:rsid w:val="00EA6762"/>
    <w:rsid w:val="00EA7205"/>
    <w:rsid w:val="00EA725B"/>
    <w:rsid w:val="00EA7856"/>
    <w:rsid w:val="00EA78D5"/>
    <w:rsid w:val="00EA7B27"/>
    <w:rsid w:val="00EB01B0"/>
    <w:rsid w:val="00EB0324"/>
    <w:rsid w:val="00EB0504"/>
    <w:rsid w:val="00EB0737"/>
    <w:rsid w:val="00EB07B1"/>
    <w:rsid w:val="00EB0DC0"/>
    <w:rsid w:val="00EB0ED2"/>
    <w:rsid w:val="00EB1177"/>
    <w:rsid w:val="00EB1225"/>
    <w:rsid w:val="00EB1336"/>
    <w:rsid w:val="00EB14D6"/>
    <w:rsid w:val="00EB151A"/>
    <w:rsid w:val="00EB1B4C"/>
    <w:rsid w:val="00EB1CC7"/>
    <w:rsid w:val="00EB1FD2"/>
    <w:rsid w:val="00EB21DB"/>
    <w:rsid w:val="00EB28A7"/>
    <w:rsid w:val="00EB2930"/>
    <w:rsid w:val="00EB2968"/>
    <w:rsid w:val="00EB2AB2"/>
    <w:rsid w:val="00EB3094"/>
    <w:rsid w:val="00EB33CC"/>
    <w:rsid w:val="00EB37BF"/>
    <w:rsid w:val="00EB39BA"/>
    <w:rsid w:val="00EB39EF"/>
    <w:rsid w:val="00EB3A06"/>
    <w:rsid w:val="00EB3A82"/>
    <w:rsid w:val="00EB3ADD"/>
    <w:rsid w:val="00EB3DA9"/>
    <w:rsid w:val="00EB3E83"/>
    <w:rsid w:val="00EB42E0"/>
    <w:rsid w:val="00EB4361"/>
    <w:rsid w:val="00EB4F01"/>
    <w:rsid w:val="00EB4F51"/>
    <w:rsid w:val="00EB5439"/>
    <w:rsid w:val="00EB5563"/>
    <w:rsid w:val="00EB57FC"/>
    <w:rsid w:val="00EB5B82"/>
    <w:rsid w:val="00EB5C30"/>
    <w:rsid w:val="00EB5D30"/>
    <w:rsid w:val="00EB5FFC"/>
    <w:rsid w:val="00EB6007"/>
    <w:rsid w:val="00EB61CE"/>
    <w:rsid w:val="00EB6482"/>
    <w:rsid w:val="00EB64E4"/>
    <w:rsid w:val="00EB6B03"/>
    <w:rsid w:val="00EB6BBE"/>
    <w:rsid w:val="00EB6C94"/>
    <w:rsid w:val="00EB6DD9"/>
    <w:rsid w:val="00EB6E8E"/>
    <w:rsid w:val="00EB6FC0"/>
    <w:rsid w:val="00EB715C"/>
    <w:rsid w:val="00EB7198"/>
    <w:rsid w:val="00EB736C"/>
    <w:rsid w:val="00EB7534"/>
    <w:rsid w:val="00EB77A4"/>
    <w:rsid w:val="00EB78CD"/>
    <w:rsid w:val="00EB7A6E"/>
    <w:rsid w:val="00EB7CC1"/>
    <w:rsid w:val="00EB7DAF"/>
    <w:rsid w:val="00EB7E00"/>
    <w:rsid w:val="00EB7E64"/>
    <w:rsid w:val="00EB7FE4"/>
    <w:rsid w:val="00EC00B7"/>
    <w:rsid w:val="00EC00E7"/>
    <w:rsid w:val="00EC01B9"/>
    <w:rsid w:val="00EC01FB"/>
    <w:rsid w:val="00EC0CB4"/>
    <w:rsid w:val="00EC0D39"/>
    <w:rsid w:val="00EC0F7E"/>
    <w:rsid w:val="00EC1045"/>
    <w:rsid w:val="00EC10EC"/>
    <w:rsid w:val="00EC116E"/>
    <w:rsid w:val="00EC1267"/>
    <w:rsid w:val="00EC1486"/>
    <w:rsid w:val="00EC16D3"/>
    <w:rsid w:val="00EC1728"/>
    <w:rsid w:val="00EC17F6"/>
    <w:rsid w:val="00EC180B"/>
    <w:rsid w:val="00EC18EB"/>
    <w:rsid w:val="00EC1B08"/>
    <w:rsid w:val="00EC1C30"/>
    <w:rsid w:val="00EC20F1"/>
    <w:rsid w:val="00EC2112"/>
    <w:rsid w:val="00EC2619"/>
    <w:rsid w:val="00EC282C"/>
    <w:rsid w:val="00EC2997"/>
    <w:rsid w:val="00EC2BB8"/>
    <w:rsid w:val="00EC2C7E"/>
    <w:rsid w:val="00EC2CF1"/>
    <w:rsid w:val="00EC2E38"/>
    <w:rsid w:val="00EC2EE3"/>
    <w:rsid w:val="00EC3138"/>
    <w:rsid w:val="00EC31F3"/>
    <w:rsid w:val="00EC3200"/>
    <w:rsid w:val="00EC3462"/>
    <w:rsid w:val="00EC34DE"/>
    <w:rsid w:val="00EC36A7"/>
    <w:rsid w:val="00EC3726"/>
    <w:rsid w:val="00EC379A"/>
    <w:rsid w:val="00EC38A1"/>
    <w:rsid w:val="00EC3D10"/>
    <w:rsid w:val="00EC44AC"/>
    <w:rsid w:val="00EC467C"/>
    <w:rsid w:val="00EC46A3"/>
    <w:rsid w:val="00EC4801"/>
    <w:rsid w:val="00EC484A"/>
    <w:rsid w:val="00EC4961"/>
    <w:rsid w:val="00EC4A11"/>
    <w:rsid w:val="00EC4BDA"/>
    <w:rsid w:val="00EC4C15"/>
    <w:rsid w:val="00EC4D57"/>
    <w:rsid w:val="00EC504A"/>
    <w:rsid w:val="00EC5433"/>
    <w:rsid w:val="00EC5630"/>
    <w:rsid w:val="00EC56A7"/>
    <w:rsid w:val="00EC58DA"/>
    <w:rsid w:val="00EC58FD"/>
    <w:rsid w:val="00EC5929"/>
    <w:rsid w:val="00EC5E9E"/>
    <w:rsid w:val="00EC606C"/>
    <w:rsid w:val="00EC6162"/>
    <w:rsid w:val="00EC6527"/>
    <w:rsid w:val="00EC65A0"/>
    <w:rsid w:val="00EC6792"/>
    <w:rsid w:val="00EC67DC"/>
    <w:rsid w:val="00EC68B2"/>
    <w:rsid w:val="00EC69BD"/>
    <w:rsid w:val="00EC6BBC"/>
    <w:rsid w:val="00EC6DB4"/>
    <w:rsid w:val="00EC6E21"/>
    <w:rsid w:val="00EC726D"/>
    <w:rsid w:val="00EC7385"/>
    <w:rsid w:val="00EC7644"/>
    <w:rsid w:val="00EC7682"/>
    <w:rsid w:val="00EC76DD"/>
    <w:rsid w:val="00EC76FC"/>
    <w:rsid w:val="00EC7883"/>
    <w:rsid w:val="00EC7B14"/>
    <w:rsid w:val="00EC7BF9"/>
    <w:rsid w:val="00EC7D08"/>
    <w:rsid w:val="00EC7F3E"/>
    <w:rsid w:val="00EC7FC9"/>
    <w:rsid w:val="00ED0727"/>
    <w:rsid w:val="00ED0934"/>
    <w:rsid w:val="00ED09CC"/>
    <w:rsid w:val="00ED0ACB"/>
    <w:rsid w:val="00ED0D54"/>
    <w:rsid w:val="00ED0DC8"/>
    <w:rsid w:val="00ED0EA3"/>
    <w:rsid w:val="00ED0FC9"/>
    <w:rsid w:val="00ED155C"/>
    <w:rsid w:val="00ED1606"/>
    <w:rsid w:val="00ED173D"/>
    <w:rsid w:val="00ED1AB9"/>
    <w:rsid w:val="00ED1C82"/>
    <w:rsid w:val="00ED1F36"/>
    <w:rsid w:val="00ED2075"/>
    <w:rsid w:val="00ED217C"/>
    <w:rsid w:val="00ED219B"/>
    <w:rsid w:val="00ED21DD"/>
    <w:rsid w:val="00ED2451"/>
    <w:rsid w:val="00ED26C0"/>
    <w:rsid w:val="00ED2838"/>
    <w:rsid w:val="00ED29ED"/>
    <w:rsid w:val="00ED2B34"/>
    <w:rsid w:val="00ED2C3D"/>
    <w:rsid w:val="00ED2CB4"/>
    <w:rsid w:val="00ED2DA0"/>
    <w:rsid w:val="00ED2F0A"/>
    <w:rsid w:val="00ED300E"/>
    <w:rsid w:val="00ED313B"/>
    <w:rsid w:val="00ED313C"/>
    <w:rsid w:val="00ED3148"/>
    <w:rsid w:val="00ED3159"/>
    <w:rsid w:val="00ED377F"/>
    <w:rsid w:val="00ED39AE"/>
    <w:rsid w:val="00ED3A55"/>
    <w:rsid w:val="00ED3C03"/>
    <w:rsid w:val="00ED3C60"/>
    <w:rsid w:val="00ED3F0D"/>
    <w:rsid w:val="00ED4499"/>
    <w:rsid w:val="00ED4826"/>
    <w:rsid w:val="00ED49C5"/>
    <w:rsid w:val="00ED4B0F"/>
    <w:rsid w:val="00ED4C9C"/>
    <w:rsid w:val="00ED50BF"/>
    <w:rsid w:val="00ED5128"/>
    <w:rsid w:val="00ED514C"/>
    <w:rsid w:val="00ED5393"/>
    <w:rsid w:val="00ED579F"/>
    <w:rsid w:val="00ED5B0F"/>
    <w:rsid w:val="00ED5CBE"/>
    <w:rsid w:val="00ED6066"/>
    <w:rsid w:val="00ED655E"/>
    <w:rsid w:val="00ED689E"/>
    <w:rsid w:val="00ED68B1"/>
    <w:rsid w:val="00ED6941"/>
    <w:rsid w:val="00ED69C4"/>
    <w:rsid w:val="00ED71FD"/>
    <w:rsid w:val="00ED7451"/>
    <w:rsid w:val="00ED74E7"/>
    <w:rsid w:val="00ED7561"/>
    <w:rsid w:val="00ED76F9"/>
    <w:rsid w:val="00ED7B07"/>
    <w:rsid w:val="00ED7E34"/>
    <w:rsid w:val="00ED7E60"/>
    <w:rsid w:val="00ED7E77"/>
    <w:rsid w:val="00EE0032"/>
    <w:rsid w:val="00EE0053"/>
    <w:rsid w:val="00EE03EF"/>
    <w:rsid w:val="00EE0637"/>
    <w:rsid w:val="00EE0733"/>
    <w:rsid w:val="00EE0849"/>
    <w:rsid w:val="00EE0EBE"/>
    <w:rsid w:val="00EE1564"/>
    <w:rsid w:val="00EE177F"/>
    <w:rsid w:val="00EE17A6"/>
    <w:rsid w:val="00EE1924"/>
    <w:rsid w:val="00EE19F5"/>
    <w:rsid w:val="00EE1FDA"/>
    <w:rsid w:val="00EE204D"/>
    <w:rsid w:val="00EE2154"/>
    <w:rsid w:val="00EE2250"/>
    <w:rsid w:val="00EE228C"/>
    <w:rsid w:val="00EE260C"/>
    <w:rsid w:val="00EE26C9"/>
    <w:rsid w:val="00EE2903"/>
    <w:rsid w:val="00EE2B82"/>
    <w:rsid w:val="00EE2CC7"/>
    <w:rsid w:val="00EE36E8"/>
    <w:rsid w:val="00EE38EE"/>
    <w:rsid w:val="00EE3A63"/>
    <w:rsid w:val="00EE3A7C"/>
    <w:rsid w:val="00EE3BD8"/>
    <w:rsid w:val="00EE42A5"/>
    <w:rsid w:val="00EE43A9"/>
    <w:rsid w:val="00EE43D4"/>
    <w:rsid w:val="00EE44A7"/>
    <w:rsid w:val="00EE4550"/>
    <w:rsid w:val="00EE47AA"/>
    <w:rsid w:val="00EE4991"/>
    <w:rsid w:val="00EE4FA1"/>
    <w:rsid w:val="00EE4FE0"/>
    <w:rsid w:val="00EE55D6"/>
    <w:rsid w:val="00EE569B"/>
    <w:rsid w:val="00EE5E27"/>
    <w:rsid w:val="00EE62C7"/>
    <w:rsid w:val="00EE6381"/>
    <w:rsid w:val="00EE6515"/>
    <w:rsid w:val="00EE7209"/>
    <w:rsid w:val="00EE7417"/>
    <w:rsid w:val="00EE7721"/>
    <w:rsid w:val="00EE7AF1"/>
    <w:rsid w:val="00EE7D0F"/>
    <w:rsid w:val="00EF04B4"/>
    <w:rsid w:val="00EF06A8"/>
    <w:rsid w:val="00EF0975"/>
    <w:rsid w:val="00EF0BC8"/>
    <w:rsid w:val="00EF0D28"/>
    <w:rsid w:val="00EF0D8B"/>
    <w:rsid w:val="00EF0DB5"/>
    <w:rsid w:val="00EF13AB"/>
    <w:rsid w:val="00EF13C8"/>
    <w:rsid w:val="00EF147C"/>
    <w:rsid w:val="00EF14ED"/>
    <w:rsid w:val="00EF176C"/>
    <w:rsid w:val="00EF1A9D"/>
    <w:rsid w:val="00EF1AA0"/>
    <w:rsid w:val="00EF1AAC"/>
    <w:rsid w:val="00EF1EA1"/>
    <w:rsid w:val="00EF2100"/>
    <w:rsid w:val="00EF21CF"/>
    <w:rsid w:val="00EF2699"/>
    <w:rsid w:val="00EF27B4"/>
    <w:rsid w:val="00EF28F8"/>
    <w:rsid w:val="00EF2A05"/>
    <w:rsid w:val="00EF33C4"/>
    <w:rsid w:val="00EF3422"/>
    <w:rsid w:val="00EF384B"/>
    <w:rsid w:val="00EF3899"/>
    <w:rsid w:val="00EF3AA3"/>
    <w:rsid w:val="00EF3CEE"/>
    <w:rsid w:val="00EF3D15"/>
    <w:rsid w:val="00EF3DF5"/>
    <w:rsid w:val="00EF41A4"/>
    <w:rsid w:val="00EF443D"/>
    <w:rsid w:val="00EF45DF"/>
    <w:rsid w:val="00EF471E"/>
    <w:rsid w:val="00EF47DA"/>
    <w:rsid w:val="00EF49A9"/>
    <w:rsid w:val="00EF49D7"/>
    <w:rsid w:val="00EF4A8E"/>
    <w:rsid w:val="00EF4B01"/>
    <w:rsid w:val="00EF4C8F"/>
    <w:rsid w:val="00EF4DD6"/>
    <w:rsid w:val="00EF512A"/>
    <w:rsid w:val="00EF526F"/>
    <w:rsid w:val="00EF5352"/>
    <w:rsid w:val="00EF538D"/>
    <w:rsid w:val="00EF53A9"/>
    <w:rsid w:val="00EF547C"/>
    <w:rsid w:val="00EF5ABC"/>
    <w:rsid w:val="00EF604A"/>
    <w:rsid w:val="00EF615D"/>
    <w:rsid w:val="00EF623C"/>
    <w:rsid w:val="00EF638D"/>
    <w:rsid w:val="00EF6865"/>
    <w:rsid w:val="00EF6D34"/>
    <w:rsid w:val="00EF6E52"/>
    <w:rsid w:val="00EF7048"/>
    <w:rsid w:val="00F0052D"/>
    <w:rsid w:val="00F006AC"/>
    <w:rsid w:val="00F00B2C"/>
    <w:rsid w:val="00F0122B"/>
    <w:rsid w:val="00F016D0"/>
    <w:rsid w:val="00F017FF"/>
    <w:rsid w:val="00F0180C"/>
    <w:rsid w:val="00F01A6B"/>
    <w:rsid w:val="00F02200"/>
    <w:rsid w:val="00F023E6"/>
    <w:rsid w:val="00F024E4"/>
    <w:rsid w:val="00F027F2"/>
    <w:rsid w:val="00F02A76"/>
    <w:rsid w:val="00F02E83"/>
    <w:rsid w:val="00F02F2A"/>
    <w:rsid w:val="00F03010"/>
    <w:rsid w:val="00F031E5"/>
    <w:rsid w:val="00F03284"/>
    <w:rsid w:val="00F033C9"/>
    <w:rsid w:val="00F03536"/>
    <w:rsid w:val="00F03E78"/>
    <w:rsid w:val="00F03F50"/>
    <w:rsid w:val="00F041A0"/>
    <w:rsid w:val="00F0447C"/>
    <w:rsid w:val="00F04667"/>
    <w:rsid w:val="00F0474B"/>
    <w:rsid w:val="00F04761"/>
    <w:rsid w:val="00F047A0"/>
    <w:rsid w:val="00F048A0"/>
    <w:rsid w:val="00F04B70"/>
    <w:rsid w:val="00F04B9F"/>
    <w:rsid w:val="00F04C6F"/>
    <w:rsid w:val="00F04E72"/>
    <w:rsid w:val="00F04EFD"/>
    <w:rsid w:val="00F04F83"/>
    <w:rsid w:val="00F0503C"/>
    <w:rsid w:val="00F05167"/>
    <w:rsid w:val="00F05614"/>
    <w:rsid w:val="00F05634"/>
    <w:rsid w:val="00F058A4"/>
    <w:rsid w:val="00F058B6"/>
    <w:rsid w:val="00F06065"/>
    <w:rsid w:val="00F06122"/>
    <w:rsid w:val="00F062F2"/>
    <w:rsid w:val="00F06AC9"/>
    <w:rsid w:val="00F06D11"/>
    <w:rsid w:val="00F07047"/>
    <w:rsid w:val="00F0747C"/>
    <w:rsid w:val="00F07622"/>
    <w:rsid w:val="00F07772"/>
    <w:rsid w:val="00F078F4"/>
    <w:rsid w:val="00F07A24"/>
    <w:rsid w:val="00F07A2B"/>
    <w:rsid w:val="00F07A50"/>
    <w:rsid w:val="00F07D66"/>
    <w:rsid w:val="00F07ED8"/>
    <w:rsid w:val="00F07EEF"/>
    <w:rsid w:val="00F07F13"/>
    <w:rsid w:val="00F10011"/>
    <w:rsid w:val="00F1003C"/>
    <w:rsid w:val="00F1035F"/>
    <w:rsid w:val="00F103E9"/>
    <w:rsid w:val="00F10DDC"/>
    <w:rsid w:val="00F10F78"/>
    <w:rsid w:val="00F10FF8"/>
    <w:rsid w:val="00F11894"/>
    <w:rsid w:val="00F118AA"/>
    <w:rsid w:val="00F118E7"/>
    <w:rsid w:val="00F119C1"/>
    <w:rsid w:val="00F11D76"/>
    <w:rsid w:val="00F11F14"/>
    <w:rsid w:val="00F11F63"/>
    <w:rsid w:val="00F120A5"/>
    <w:rsid w:val="00F1210C"/>
    <w:rsid w:val="00F121FF"/>
    <w:rsid w:val="00F122A5"/>
    <w:rsid w:val="00F124A8"/>
    <w:rsid w:val="00F12592"/>
    <w:rsid w:val="00F125A5"/>
    <w:rsid w:val="00F127C0"/>
    <w:rsid w:val="00F12857"/>
    <w:rsid w:val="00F12CCB"/>
    <w:rsid w:val="00F1309E"/>
    <w:rsid w:val="00F13156"/>
    <w:rsid w:val="00F133BA"/>
    <w:rsid w:val="00F13434"/>
    <w:rsid w:val="00F1343C"/>
    <w:rsid w:val="00F137A3"/>
    <w:rsid w:val="00F13CDE"/>
    <w:rsid w:val="00F13D08"/>
    <w:rsid w:val="00F13D9A"/>
    <w:rsid w:val="00F13DB3"/>
    <w:rsid w:val="00F142A5"/>
    <w:rsid w:val="00F1450F"/>
    <w:rsid w:val="00F1465C"/>
    <w:rsid w:val="00F146F5"/>
    <w:rsid w:val="00F14936"/>
    <w:rsid w:val="00F14974"/>
    <w:rsid w:val="00F14C00"/>
    <w:rsid w:val="00F14EF8"/>
    <w:rsid w:val="00F1505D"/>
    <w:rsid w:val="00F15423"/>
    <w:rsid w:val="00F1554C"/>
    <w:rsid w:val="00F155BC"/>
    <w:rsid w:val="00F156E1"/>
    <w:rsid w:val="00F157E0"/>
    <w:rsid w:val="00F15901"/>
    <w:rsid w:val="00F15F21"/>
    <w:rsid w:val="00F15F76"/>
    <w:rsid w:val="00F16172"/>
    <w:rsid w:val="00F162BA"/>
    <w:rsid w:val="00F167F2"/>
    <w:rsid w:val="00F16C31"/>
    <w:rsid w:val="00F16C49"/>
    <w:rsid w:val="00F16D61"/>
    <w:rsid w:val="00F16DC2"/>
    <w:rsid w:val="00F16E86"/>
    <w:rsid w:val="00F173C4"/>
    <w:rsid w:val="00F1783E"/>
    <w:rsid w:val="00F17A1B"/>
    <w:rsid w:val="00F17C08"/>
    <w:rsid w:val="00F17D3F"/>
    <w:rsid w:val="00F17DE6"/>
    <w:rsid w:val="00F20076"/>
    <w:rsid w:val="00F200A8"/>
    <w:rsid w:val="00F20118"/>
    <w:rsid w:val="00F20128"/>
    <w:rsid w:val="00F2050F"/>
    <w:rsid w:val="00F2057D"/>
    <w:rsid w:val="00F2132B"/>
    <w:rsid w:val="00F21369"/>
    <w:rsid w:val="00F21623"/>
    <w:rsid w:val="00F2169F"/>
    <w:rsid w:val="00F2190B"/>
    <w:rsid w:val="00F21A7D"/>
    <w:rsid w:val="00F21B22"/>
    <w:rsid w:val="00F21BFB"/>
    <w:rsid w:val="00F21D31"/>
    <w:rsid w:val="00F21DB7"/>
    <w:rsid w:val="00F21EBF"/>
    <w:rsid w:val="00F21FD5"/>
    <w:rsid w:val="00F22093"/>
    <w:rsid w:val="00F22101"/>
    <w:rsid w:val="00F223C4"/>
    <w:rsid w:val="00F2256B"/>
    <w:rsid w:val="00F22866"/>
    <w:rsid w:val="00F2287F"/>
    <w:rsid w:val="00F22ABB"/>
    <w:rsid w:val="00F22CAF"/>
    <w:rsid w:val="00F23182"/>
    <w:rsid w:val="00F23195"/>
    <w:rsid w:val="00F23400"/>
    <w:rsid w:val="00F234FD"/>
    <w:rsid w:val="00F23AD9"/>
    <w:rsid w:val="00F23EB6"/>
    <w:rsid w:val="00F2409B"/>
    <w:rsid w:val="00F240C5"/>
    <w:rsid w:val="00F24156"/>
    <w:rsid w:val="00F241DF"/>
    <w:rsid w:val="00F2437A"/>
    <w:rsid w:val="00F245B4"/>
    <w:rsid w:val="00F2491F"/>
    <w:rsid w:val="00F249BC"/>
    <w:rsid w:val="00F24D0F"/>
    <w:rsid w:val="00F24DE2"/>
    <w:rsid w:val="00F2502F"/>
    <w:rsid w:val="00F2516F"/>
    <w:rsid w:val="00F253F9"/>
    <w:rsid w:val="00F25413"/>
    <w:rsid w:val="00F255F9"/>
    <w:rsid w:val="00F259AF"/>
    <w:rsid w:val="00F25D5F"/>
    <w:rsid w:val="00F25E2A"/>
    <w:rsid w:val="00F25E62"/>
    <w:rsid w:val="00F261B5"/>
    <w:rsid w:val="00F26249"/>
    <w:rsid w:val="00F263B6"/>
    <w:rsid w:val="00F2648B"/>
    <w:rsid w:val="00F26531"/>
    <w:rsid w:val="00F26615"/>
    <w:rsid w:val="00F2681C"/>
    <w:rsid w:val="00F2689A"/>
    <w:rsid w:val="00F26A98"/>
    <w:rsid w:val="00F26C25"/>
    <w:rsid w:val="00F26D2E"/>
    <w:rsid w:val="00F27EA6"/>
    <w:rsid w:val="00F27F55"/>
    <w:rsid w:val="00F300DA"/>
    <w:rsid w:val="00F30220"/>
    <w:rsid w:val="00F30873"/>
    <w:rsid w:val="00F30C42"/>
    <w:rsid w:val="00F30FAE"/>
    <w:rsid w:val="00F31820"/>
    <w:rsid w:val="00F31848"/>
    <w:rsid w:val="00F31D45"/>
    <w:rsid w:val="00F31EDE"/>
    <w:rsid w:val="00F31F24"/>
    <w:rsid w:val="00F323C9"/>
    <w:rsid w:val="00F3242A"/>
    <w:rsid w:val="00F32AF5"/>
    <w:rsid w:val="00F32BAD"/>
    <w:rsid w:val="00F33172"/>
    <w:rsid w:val="00F3324D"/>
    <w:rsid w:val="00F3349E"/>
    <w:rsid w:val="00F33720"/>
    <w:rsid w:val="00F33890"/>
    <w:rsid w:val="00F33A9B"/>
    <w:rsid w:val="00F33B6D"/>
    <w:rsid w:val="00F33CC2"/>
    <w:rsid w:val="00F33DDB"/>
    <w:rsid w:val="00F33E14"/>
    <w:rsid w:val="00F33F7D"/>
    <w:rsid w:val="00F33FAC"/>
    <w:rsid w:val="00F33FF1"/>
    <w:rsid w:val="00F340E5"/>
    <w:rsid w:val="00F34146"/>
    <w:rsid w:val="00F348A9"/>
    <w:rsid w:val="00F348AD"/>
    <w:rsid w:val="00F3515E"/>
    <w:rsid w:val="00F3522F"/>
    <w:rsid w:val="00F3541A"/>
    <w:rsid w:val="00F355A9"/>
    <w:rsid w:val="00F3578A"/>
    <w:rsid w:val="00F358BE"/>
    <w:rsid w:val="00F35AA8"/>
    <w:rsid w:val="00F35F6F"/>
    <w:rsid w:val="00F35F85"/>
    <w:rsid w:val="00F36676"/>
    <w:rsid w:val="00F36860"/>
    <w:rsid w:val="00F36D62"/>
    <w:rsid w:val="00F37024"/>
    <w:rsid w:val="00F376F0"/>
    <w:rsid w:val="00F3782B"/>
    <w:rsid w:val="00F40192"/>
    <w:rsid w:val="00F405F2"/>
    <w:rsid w:val="00F408D4"/>
    <w:rsid w:val="00F40B77"/>
    <w:rsid w:val="00F40C09"/>
    <w:rsid w:val="00F40D7E"/>
    <w:rsid w:val="00F40DC5"/>
    <w:rsid w:val="00F41025"/>
    <w:rsid w:val="00F411D6"/>
    <w:rsid w:val="00F4129F"/>
    <w:rsid w:val="00F415E5"/>
    <w:rsid w:val="00F418F0"/>
    <w:rsid w:val="00F41D11"/>
    <w:rsid w:val="00F421BB"/>
    <w:rsid w:val="00F42481"/>
    <w:rsid w:val="00F4248B"/>
    <w:rsid w:val="00F4278F"/>
    <w:rsid w:val="00F42892"/>
    <w:rsid w:val="00F428AA"/>
    <w:rsid w:val="00F42B6C"/>
    <w:rsid w:val="00F42CC8"/>
    <w:rsid w:val="00F42FFB"/>
    <w:rsid w:val="00F433B3"/>
    <w:rsid w:val="00F43929"/>
    <w:rsid w:val="00F4394B"/>
    <w:rsid w:val="00F43A7A"/>
    <w:rsid w:val="00F43CE3"/>
    <w:rsid w:val="00F4401E"/>
    <w:rsid w:val="00F44746"/>
    <w:rsid w:val="00F448BB"/>
    <w:rsid w:val="00F44999"/>
    <w:rsid w:val="00F44C12"/>
    <w:rsid w:val="00F44DB7"/>
    <w:rsid w:val="00F44E70"/>
    <w:rsid w:val="00F44EEE"/>
    <w:rsid w:val="00F45031"/>
    <w:rsid w:val="00F4510D"/>
    <w:rsid w:val="00F4514C"/>
    <w:rsid w:val="00F45160"/>
    <w:rsid w:val="00F451EA"/>
    <w:rsid w:val="00F455F0"/>
    <w:rsid w:val="00F45682"/>
    <w:rsid w:val="00F456B0"/>
    <w:rsid w:val="00F45AC3"/>
    <w:rsid w:val="00F45AD2"/>
    <w:rsid w:val="00F4622B"/>
    <w:rsid w:val="00F464E5"/>
    <w:rsid w:val="00F46B27"/>
    <w:rsid w:val="00F46BB6"/>
    <w:rsid w:val="00F46BCA"/>
    <w:rsid w:val="00F4723A"/>
    <w:rsid w:val="00F47355"/>
    <w:rsid w:val="00F473C8"/>
    <w:rsid w:val="00F476F4"/>
    <w:rsid w:val="00F47A36"/>
    <w:rsid w:val="00F4F019"/>
    <w:rsid w:val="00F503D3"/>
    <w:rsid w:val="00F5041C"/>
    <w:rsid w:val="00F5047D"/>
    <w:rsid w:val="00F505C0"/>
    <w:rsid w:val="00F506CC"/>
    <w:rsid w:val="00F5076A"/>
    <w:rsid w:val="00F50A9A"/>
    <w:rsid w:val="00F50BF5"/>
    <w:rsid w:val="00F50E89"/>
    <w:rsid w:val="00F50FAE"/>
    <w:rsid w:val="00F5100E"/>
    <w:rsid w:val="00F5121E"/>
    <w:rsid w:val="00F51306"/>
    <w:rsid w:val="00F5176F"/>
    <w:rsid w:val="00F5186B"/>
    <w:rsid w:val="00F51873"/>
    <w:rsid w:val="00F51DA1"/>
    <w:rsid w:val="00F51E47"/>
    <w:rsid w:val="00F51FA1"/>
    <w:rsid w:val="00F51FE9"/>
    <w:rsid w:val="00F52618"/>
    <w:rsid w:val="00F529F7"/>
    <w:rsid w:val="00F52DC4"/>
    <w:rsid w:val="00F52E74"/>
    <w:rsid w:val="00F52EE7"/>
    <w:rsid w:val="00F53025"/>
    <w:rsid w:val="00F530C5"/>
    <w:rsid w:val="00F53331"/>
    <w:rsid w:val="00F535FC"/>
    <w:rsid w:val="00F53736"/>
    <w:rsid w:val="00F53C56"/>
    <w:rsid w:val="00F541B8"/>
    <w:rsid w:val="00F543D3"/>
    <w:rsid w:val="00F54435"/>
    <w:rsid w:val="00F5475F"/>
    <w:rsid w:val="00F547C9"/>
    <w:rsid w:val="00F54838"/>
    <w:rsid w:val="00F548F1"/>
    <w:rsid w:val="00F54B6E"/>
    <w:rsid w:val="00F54C51"/>
    <w:rsid w:val="00F54C54"/>
    <w:rsid w:val="00F5535D"/>
    <w:rsid w:val="00F553D2"/>
    <w:rsid w:val="00F554E0"/>
    <w:rsid w:val="00F5586B"/>
    <w:rsid w:val="00F558BD"/>
    <w:rsid w:val="00F55C7E"/>
    <w:rsid w:val="00F562F7"/>
    <w:rsid w:val="00F566C9"/>
    <w:rsid w:val="00F569A3"/>
    <w:rsid w:val="00F56D7F"/>
    <w:rsid w:val="00F571E6"/>
    <w:rsid w:val="00F573B0"/>
    <w:rsid w:val="00F57460"/>
    <w:rsid w:val="00F57522"/>
    <w:rsid w:val="00F575C4"/>
    <w:rsid w:val="00F577E8"/>
    <w:rsid w:val="00F579A5"/>
    <w:rsid w:val="00F57AD7"/>
    <w:rsid w:val="00F57D9B"/>
    <w:rsid w:val="00F57DD1"/>
    <w:rsid w:val="00F57E3C"/>
    <w:rsid w:val="00F57E51"/>
    <w:rsid w:val="00F6028B"/>
    <w:rsid w:val="00F602B2"/>
    <w:rsid w:val="00F60347"/>
    <w:rsid w:val="00F60371"/>
    <w:rsid w:val="00F60377"/>
    <w:rsid w:val="00F60889"/>
    <w:rsid w:val="00F60899"/>
    <w:rsid w:val="00F60A3D"/>
    <w:rsid w:val="00F60BAD"/>
    <w:rsid w:val="00F60D1D"/>
    <w:rsid w:val="00F61126"/>
    <w:rsid w:val="00F61413"/>
    <w:rsid w:val="00F615D7"/>
    <w:rsid w:val="00F618C1"/>
    <w:rsid w:val="00F61A71"/>
    <w:rsid w:val="00F61D37"/>
    <w:rsid w:val="00F6248E"/>
    <w:rsid w:val="00F624D1"/>
    <w:rsid w:val="00F6251A"/>
    <w:rsid w:val="00F62893"/>
    <w:rsid w:val="00F62F30"/>
    <w:rsid w:val="00F6324C"/>
    <w:rsid w:val="00F635D9"/>
    <w:rsid w:val="00F63689"/>
    <w:rsid w:val="00F63ADE"/>
    <w:rsid w:val="00F63B8D"/>
    <w:rsid w:val="00F63E49"/>
    <w:rsid w:val="00F63F41"/>
    <w:rsid w:val="00F63F98"/>
    <w:rsid w:val="00F64173"/>
    <w:rsid w:val="00F64249"/>
    <w:rsid w:val="00F642D0"/>
    <w:rsid w:val="00F643E1"/>
    <w:rsid w:val="00F6447E"/>
    <w:rsid w:val="00F645F2"/>
    <w:rsid w:val="00F64692"/>
    <w:rsid w:val="00F64829"/>
    <w:rsid w:val="00F64898"/>
    <w:rsid w:val="00F6492C"/>
    <w:rsid w:val="00F64AC4"/>
    <w:rsid w:val="00F64E59"/>
    <w:rsid w:val="00F64FDC"/>
    <w:rsid w:val="00F65044"/>
    <w:rsid w:val="00F65D9F"/>
    <w:rsid w:val="00F65F74"/>
    <w:rsid w:val="00F66272"/>
    <w:rsid w:val="00F66319"/>
    <w:rsid w:val="00F66324"/>
    <w:rsid w:val="00F6660B"/>
    <w:rsid w:val="00F666B7"/>
    <w:rsid w:val="00F66777"/>
    <w:rsid w:val="00F66AE6"/>
    <w:rsid w:val="00F66B77"/>
    <w:rsid w:val="00F66D84"/>
    <w:rsid w:val="00F66FDD"/>
    <w:rsid w:val="00F673E7"/>
    <w:rsid w:val="00F67614"/>
    <w:rsid w:val="00F67775"/>
    <w:rsid w:val="00F678DB"/>
    <w:rsid w:val="00F6797B"/>
    <w:rsid w:val="00F679DD"/>
    <w:rsid w:val="00F67A8C"/>
    <w:rsid w:val="00F67AB4"/>
    <w:rsid w:val="00F67B75"/>
    <w:rsid w:val="00F67B79"/>
    <w:rsid w:val="00F67CC1"/>
    <w:rsid w:val="00F67D06"/>
    <w:rsid w:val="00F67D6C"/>
    <w:rsid w:val="00F67DD8"/>
    <w:rsid w:val="00F67DF6"/>
    <w:rsid w:val="00F67ED5"/>
    <w:rsid w:val="00F70055"/>
    <w:rsid w:val="00F70162"/>
    <w:rsid w:val="00F703C9"/>
    <w:rsid w:val="00F70656"/>
    <w:rsid w:val="00F70805"/>
    <w:rsid w:val="00F709D5"/>
    <w:rsid w:val="00F70E53"/>
    <w:rsid w:val="00F70F82"/>
    <w:rsid w:val="00F7116E"/>
    <w:rsid w:val="00F71749"/>
    <w:rsid w:val="00F718D2"/>
    <w:rsid w:val="00F71CDA"/>
    <w:rsid w:val="00F71D35"/>
    <w:rsid w:val="00F72122"/>
    <w:rsid w:val="00F72557"/>
    <w:rsid w:val="00F72790"/>
    <w:rsid w:val="00F7286E"/>
    <w:rsid w:val="00F72A8A"/>
    <w:rsid w:val="00F72E62"/>
    <w:rsid w:val="00F7308D"/>
    <w:rsid w:val="00F732F9"/>
    <w:rsid w:val="00F7336E"/>
    <w:rsid w:val="00F734AA"/>
    <w:rsid w:val="00F738DA"/>
    <w:rsid w:val="00F73AC6"/>
    <w:rsid w:val="00F73EC1"/>
    <w:rsid w:val="00F74154"/>
    <w:rsid w:val="00F7420D"/>
    <w:rsid w:val="00F7426D"/>
    <w:rsid w:val="00F744EC"/>
    <w:rsid w:val="00F7473D"/>
    <w:rsid w:val="00F748B0"/>
    <w:rsid w:val="00F74BBF"/>
    <w:rsid w:val="00F752C5"/>
    <w:rsid w:val="00F75457"/>
    <w:rsid w:val="00F754C5"/>
    <w:rsid w:val="00F7560C"/>
    <w:rsid w:val="00F75C74"/>
    <w:rsid w:val="00F76027"/>
    <w:rsid w:val="00F76302"/>
    <w:rsid w:val="00F7643D"/>
    <w:rsid w:val="00F7651C"/>
    <w:rsid w:val="00F766B8"/>
    <w:rsid w:val="00F76762"/>
    <w:rsid w:val="00F7676F"/>
    <w:rsid w:val="00F76AC8"/>
    <w:rsid w:val="00F76B7F"/>
    <w:rsid w:val="00F76C77"/>
    <w:rsid w:val="00F76EB2"/>
    <w:rsid w:val="00F76FE8"/>
    <w:rsid w:val="00F77229"/>
    <w:rsid w:val="00F77267"/>
    <w:rsid w:val="00F776BD"/>
    <w:rsid w:val="00F777D9"/>
    <w:rsid w:val="00F77983"/>
    <w:rsid w:val="00F77A49"/>
    <w:rsid w:val="00F77B02"/>
    <w:rsid w:val="00F77C77"/>
    <w:rsid w:val="00F77D96"/>
    <w:rsid w:val="00F77EB5"/>
    <w:rsid w:val="00F805B4"/>
    <w:rsid w:val="00F80607"/>
    <w:rsid w:val="00F8066A"/>
    <w:rsid w:val="00F806D7"/>
    <w:rsid w:val="00F809BA"/>
    <w:rsid w:val="00F811CE"/>
    <w:rsid w:val="00F81432"/>
    <w:rsid w:val="00F815BE"/>
    <w:rsid w:val="00F81639"/>
    <w:rsid w:val="00F8165B"/>
    <w:rsid w:val="00F816ED"/>
    <w:rsid w:val="00F81B0A"/>
    <w:rsid w:val="00F81CA5"/>
    <w:rsid w:val="00F81CCB"/>
    <w:rsid w:val="00F81D63"/>
    <w:rsid w:val="00F81D7D"/>
    <w:rsid w:val="00F81D93"/>
    <w:rsid w:val="00F81F2A"/>
    <w:rsid w:val="00F82050"/>
    <w:rsid w:val="00F8216B"/>
    <w:rsid w:val="00F823DB"/>
    <w:rsid w:val="00F8261E"/>
    <w:rsid w:val="00F82641"/>
    <w:rsid w:val="00F82803"/>
    <w:rsid w:val="00F82D67"/>
    <w:rsid w:val="00F82E92"/>
    <w:rsid w:val="00F830DC"/>
    <w:rsid w:val="00F830E3"/>
    <w:rsid w:val="00F8342D"/>
    <w:rsid w:val="00F834A7"/>
    <w:rsid w:val="00F838CF"/>
    <w:rsid w:val="00F839AA"/>
    <w:rsid w:val="00F83D3C"/>
    <w:rsid w:val="00F83F8C"/>
    <w:rsid w:val="00F846F9"/>
    <w:rsid w:val="00F84B8E"/>
    <w:rsid w:val="00F84CF8"/>
    <w:rsid w:val="00F853D4"/>
    <w:rsid w:val="00F8543A"/>
    <w:rsid w:val="00F8554E"/>
    <w:rsid w:val="00F85784"/>
    <w:rsid w:val="00F85AD1"/>
    <w:rsid w:val="00F85D29"/>
    <w:rsid w:val="00F85E66"/>
    <w:rsid w:val="00F85EAC"/>
    <w:rsid w:val="00F86021"/>
    <w:rsid w:val="00F867F7"/>
    <w:rsid w:val="00F8687F"/>
    <w:rsid w:val="00F86B6B"/>
    <w:rsid w:val="00F86C2E"/>
    <w:rsid w:val="00F86C79"/>
    <w:rsid w:val="00F87137"/>
    <w:rsid w:val="00F87400"/>
    <w:rsid w:val="00F8755A"/>
    <w:rsid w:val="00F87854"/>
    <w:rsid w:val="00F87A4A"/>
    <w:rsid w:val="00F87A9C"/>
    <w:rsid w:val="00F87C9A"/>
    <w:rsid w:val="00F87FDE"/>
    <w:rsid w:val="00F90095"/>
    <w:rsid w:val="00F90135"/>
    <w:rsid w:val="00F90672"/>
    <w:rsid w:val="00F908CE"/>
    <w:rsid w:val="00F9095F"/>
    <w:rsid w:val="00F909BA"/>
    <w:rsid w:val="00F90A3C"/>
    <w:rsid w:val="00F90A73"/>
    <w:rsid w:val="00F910EA"/>
    <w:rsid w:val="00F9134B"/>
    <w:rsid w:val="00F9141B"/>
    <w:rsid w:val="00F91716"/>
    <w:rsid w:val="00F9176E"/>
    <w:rsid w:val="00F917D3"/>
    <w:rsid w:val="00F918A2"/>
    <w:rsid w:val="00F91A68"/>
    <w:rsid w:val="00F91AE9"/>
    <w:rsid w:val="00F91D81"/>
    <w:rsid w:val="00F91F7A"/>
    <w:rsid w:val="00F92031"/>
    <w:rsid w:val="00F9205B"/>
    <w:rsid w:val="00F9222C"/>
    <w:rsid w:val="00F9227A"/>
    <w:rsid w:val="00F9227E"/>
    <w:rsid w:val="00F92588"/>
    <w:rsid w:val="00F9280C"/>
    <w:rsid w:val="00F928EE"/>
    <w:rsid w:val="00F92933"/>
    <w:rsid w:val="00F92943"/>
    <w:rsid w:val="00F92954"/>
    <w:rsid w:val="00F92FE0"/>
    <w:rsid w:val="00F933F3"/>
    <w:rsid w:val="00F93A28"/>
    <w:rsid w:val="00F93E63"/>
    <w:rsid w:val="00F941EC"/>
    <w:rsid w:val="00F94211"/>
    <w:rsid w:val="00F9461B"/>
    <w:rsid w:val="00F9468F"/>
    <w:rsid w:val="00F9476E"/>
    <w:rsid w:val="00F9491B"/>
    <w:rsid w:val="00F949AA"/>
    <w:rsid w:val="00F94C92"/>
    <w:rsid w:val="00F94E6A"/>
    <w:rsid w:val="00F94EE9"/>
    <w:rsid w:val="00F94FBC"/>
    <w:rsid w:val="00F95195"/>
    <w:rsid w:val="00F95243"/>
    <w:rsid w:val="00F95A31"/>
    <w:rsid w:val="00F95B2B"/>
    <w:rsid w:val="00F96257"/>
    <w:rsid w:val="00F96386"/>
    <w:rsid w:val="00F9645E"/>
    <w:rsid w:val="00F96751"/>
    <w:rsid w:val="00F9677E"/>
    <w:rsid w:val="00F969F2"/>
    <w:rsid w:val="00F96C31"/>
    <w:rsid w:val="00F96D9F"/>
    <w:rsid w:val="00F96F2C"/>
    <w:rsid w:val="00F97017"/>
    <w:rsid w:val="00F9713C"/>
    <w:rsid w:val="00F97318"/>
    <w:rsid w:val="00F97766"/>
    <w:rsid w:val="00F977EA"/>
    <w:rsid w:val="00F97916"/>
    <w:rsid w:val="00F97B77"/>
    <w:rsid w:val="00F97C63"/>
    <w:rsid w:val="00F97C97"/>
    <w:rsid w:val="00F97CE8"/>
    <w:rsid w:val="00F97DEC"/>
    <w:rsid w:val="00F97F34"/>
    <w:rsid w:val="00FA00E7"/>
    <w:rsid w:val="00FA0147"/>
    <w:rsid w:val="00FA039C"/>
    <w:rsid w:val="00FA042E"/>
    <w:rsid w:val="00FA0676"/>
    <w:rsid w:val="00FA079C"/>
    <w:rsid w:val="00FA0AF2"/>
    <w:rsid w:val="00FA0B40"/>
    <w:rsid w:val="00FA0B4C"/>
    <w:rsid w:val="00FA0C87"/>
    <w:rsid w:val="00FA0FCA"/>
    <w:rsid w:val="00FA105A"/>
    <w:rsid w:val="00FA1529"/>
    <w:rsid w:val="00FA161F"/>
    <w:rsid w:val="00FA1B06"/>
    <w:rsid w:val="00FA1CB1"/>
    <w:rsid w:val="00FA1CC0"/>
    <w:rsid w:val="00FA1E2E"/>
    <w:rsid w:val="00FA1F5C"/>
    <w:rsid w:val="00FA1F7A"/>
    <w:rsid w:val="00FA205D"/>
    <w:rsid w:val="00FA22FB"/>
    <w:rsid w:val="00FA2425"/>
    <w:rsid w:val="00FA2487"/>
    <w:rsid w:val="00FA2B7B"/>
    <w:rsid w:val="00FA2DE7"/>
    <w:rsid w:val="00FA2F83"/>
    <w:rsid w:val="00FA2FC3"/>
    <w:rsid w:val="00FA3116"/>
    <w:rsid w:val="00FA32F4"/>
    <w:rsid w:val="00FA338E"/>
    <w:rsid w:val="00FA37DB"/>
    <w:rsid w:val="00FA397C"/>
    <w:rsid w:val="00FA3C7E"/>
    <w:rsid w:val="00FA3CAF"/>
    <w:rsid w:val="00FA3D34"/>
    <w:rsid w:val="00FA3D84"/>
    <w:rsid w:val="00FA423D"/>
    <w:rsid w:val="00FA4778"/>
    <w:rsid w:val="00FA4A17"/>
    <w:rsid w:val="00FA4B77"/>
    <w:rsid w:val="00FA4D1F"/>
    <w:rsid w:val="00FA503D"/>
    <w:rsid w:val="00FA5363"/>
    <w:rsid w:val="00FA5372"/>
    <w:rsid w:val="00FA5771"/>
    <w:rsid w:val="00FA5B39"/>
    <w:rsid w:val="00FA5D9F"/>
    <w:rsid w:val="00FA5DAF"/>
    <w:rsid w:val="00FA6045"/>
    <w:rsid w:val="00FA60D4"/>
    <w:rsid w:val="00FA6307"/>
    <w:rsid w:val="00FA692B"/>
    <w:rsid w:val="00FA6946"/>
    <w:rsid w:val="00FA6D07"/>
    <w:rsid w:val="00FA6E80"/>
    <w:rsid w:val="00FA6F19"/>
    <w:rsid w:val="00FA6F87"/>
    <w:rsid w:val="00FA701C"/>
    <w:rsid w:val="00FA7074"/>
    <w:rsid w:val="00FA72DF"/>
    <w:rsid w:val="00FA746D"/>
    <w:rsid w:val="00FA7793"/>
    <w:rsid w:val="00FA7840"/>
    <w:rsid w:val="00FA7A71"/>
    <w:rsid w:val="00FA7A7A"/>
    <w:rsid w:val="00FA7ABE"/>
    <w:rsid w:val="00FA7AD2"/>
    <w:rsid w:val="00FA7BE4"/>
    <w:rsid w:val="00FB0337"/>
    <w:rsid w:val="00FB04B6"/>
    <w:rsid w:val="00FB04EB"/>
    <w:rsid w:val="00FB05E1"/>
    <w:rsid w:val="00FB0792"/>
    <w:rsid w:val="00FB09ED"/>
    <w:rsid w:val="00FB0F50"/>
    <w:rsid w:val="00FB0FD4"/>
    <w:rsid w:val="00FB1189"/>
    <w:rsid w:val="00FB11BA"/>
    <w:rsid w:val="00FB15DA"/>
    <w:rsid w:val="00FB1630"/>
    <w:rsid w:val="00FB1642"/>
    <w:rsid w:val="00FB17EF"/>
    <w:rsid w:val="00FB1869"/>
    <w:rsid w:val="00FB18E2"/>
    <w:rsid w:val="00FB19E1"/>
    <w:rsid w:val="00FB1C3B"/>
    <w:rsid w:val="00FB1C87"/>
    <w:rsid w:val="00FB1CA2"/>
    <w:rsid w:val="00FB1E7A"/>
    <w:rsid w:val="00FB20B7"/>
    <w:rsid w:val="00FB249F"/>
    <w:rsid w:val="00FB299F"/>
    <w:rsid w:val="00FB2A33"/>
    <w:rsid w:val="00FB2A47"/>
    <w:rsid w:val="00FB2AF6"/>
    <w:rsid w:val="00FB2C5F"/>
    <w:rsid w:val="00FB2C6D"/>
    <w:rsid w:val="00FB2DA9"/>
    <w:rsid w:val="00FB2E1C"/>
    <w:rsid w:val="00FB31D2"/>
    <w:rsid w:val="00FB3256"/>
    <w:rsid w:val="00FB3269"/>
    <w:rsid w:val="00FB3314"/>
    <w:rsid w:val="00FB334E"/>
    <w:rsid w:val="00FB3366"/>
    <w:rsid w:val="00FB36E2"/>
    <w:rsid w:val="00FB384A"/>
    <w:rsid w:val="00FB3AF3"/>
    <w:rsid w:val="00FB3EFD"/>
    <w:rsid w:val="00FB43A1"/>
    <w:rsid w:val="00FB441D"/>
    <w:rsid w:val="00FB4782"/>
    <w:rsid w:val="00FB4875"/>
    <w:rsid w:val="00FB4A55"/>
    <w:rsid w:val="00FB4BF3"/>
    <w:rsid w:val="00FB5181"/>
    <w:rsid w:val="00FB54A1"/>
    <w:rsid w:val="00FB59D1"/>
    <w:rsid w:val="00FB5A06"/>
    <w:rsid w:val="00FB5CB5"/>
    <w:rsid w:val="00FB5E84"/>
    <w:rsid w:val="00FB60A2"/>
    <w:rsid w:val="00FB65ED"/>
    <w:rsid w:val="00FB6BE1"/>
    <w:rsid w:val="00FB72B9"/>
    <w:rsid w:val="00FB7488"/>
    <w:rsid w:val="00FB7D15"/>
    <w:rsid w:val="00FB7E50"/>
    <w:rsid w:val="00FC01A5"/>
    <w:rsid w:val="00FC0424"/>
    <w:rsid w:val="00FC04ED"/>
    <w:rsid w:val="00FC0694"/>
    <w:rsid w:val="00FC09B2"/>
    <w:rsid w:val="00FC0B95"/>
    <w:rsid w:val="00FC0BD3"/>
    <w:rsid w:val="00FC0D5E"/>
    <w:rsid w:val="00FC0E22"/>
    <w:rsid w:val="00FC1101"/>
    <w:rsid w:val="00FC1762"/>
    <w:rsid w:val="00FC17B6"/>
    <w:rsid w:val="00FC1BAA"/>
    <w:rsid w:val="00FC1C50"/>
    <w:rsid w:val="00FC20AA"/>
    <w:rsid w:val="00FC20DD"/>
    <w:rsid w:val="00FC222C"/>
    <w:rsid w:val="00FC29C2"/>
    <w:rsid w:val="00FC2B61"/>
    <w:rsid w:val="00FC2E4C"/>
    <w:rsid w:val="00FC2F92"/>
    <w:rsid w:val="00FC30E5"/>
    <w:rsid w:val="00FC325D"/>
    <w:rsid w:val="00FC3312"/>
    <w:rsid w:val="00FC3566"/>
    <w:rsid w:val="00FC362B"/>
    <w:rsid w:val="00FC3733"/>
    <w:rsid w:val="00FC3751"/>
    <w:rsid w:val="00FC3AF2"/>
    <w:rsid w:val="00FC3D2B"/>
    <w:rsid w:val="00FC3E7C"/>
    <w:rsid w:val="00FC3EBE"/>
    <w:rsid w:val="00FC4383"/>
    <w:rsid w:val="00FC45EE"/>
    <w:rsid w:val="00FC4734"/>
    <w:rsid w:val="00FC4AEB"/>
    <w:rsid w:val="00FC4BC0"/>
    <w:rsid w:val="00FC4BCD"/>
    <w:rsid w:val="00FC4D64"/>
    <w:rsid w:val="00FC4D7E"/>
    <w:rsid w:val="00FC4E0E"/>
    <w:rsid w:val="00FC4E47"/>
    <w:rsid w:val="00FC5269"/>
    <w:rsid w:val="00FC541A"/>
    <w:rsid w:val="00FC559B"/>
    <w:rsid w:val="00FC5783"/>
    <w:rsid w:val="00FC5A7F"/>
    <w:rsid w:val="00FC5B85"/>
    <w:rsid w:val="00FC613B"/>
    <w:rsid w:val="00FC6149"/>
    <w:rsid w:val="00FC6455"/>
    <w:rsid w:val="00FC6785"/>
    <w:rsid w:val="00FC6AC8"/>
    <w:rsid w:val="00FC6B38"/>
    <w:rsid w:val="00FC6B48"/>
    <w:rsid w:val="00FC72D5"/>
    <w:rsid w:val="00FC7434"/>
    <w:rsid w:val="00FC751D"/>
    <w:rsid w:val="00FC76DC"/>
    <w:rsid w:val="00FC787D"/>
    <w:rsid w:val="00FC79E0"/>
    <w:rsid w:val="00FC7EE0"/>
    <w:rsid w:val="00FC7EE3"/>
    <w:rsid w:val="00FD0054"/>
    <w:rsid w:val="00FD0056"/>
    <w:rsid w:val="00FD00C3"/>
    <w:rsid w:val="00FD017F"/>
    <w:rsid w:val="00FD03DE"/>
    <w:rsid w:val="00FD0513"/>
    <w:rsid w:val="00FD070A"/>
    <w:rsid w:val="00FD0745"/>
    <w:rsid w:val="00FD07A6"/>
    <w:rsid w:val="00FD07D6"/>
    <w:rsid w:val="00FD07DD"/>
    <w:rsid w:val="00FD0AFD"/>
    <w:rsid w:val="00FD0E78"/>
    <w:rsid w:val="00FD0EB6"/>
    <w:rsid w:val="00FD0F5C"/>
    <w:rsid w:val="00FD1324"/>
    <w:rsid w:val="00FD1711"/>
    <w:rsid w:val="00FD17D6"/>
    <w:rsid w:val="00FD191A"/>
    <w:rsid w:val="00FD19E8"/>
    <w:rsid w:val="00FD1B97"/>
    <w:rsid w:val="00FD1D7B"/>
    <w:rsid w:val="00FD1FD8"/>
    <w:rsid w:val="00FD2052"/>
    <w:rsid w:val="00FD27DA"/>
    <w:rsid w:val="00FD2862"/>
    <w:rsid w:val="00FD2B6E"/>
    <w:rsid w:val="00FD2B7C"/>
    <w:rsid w:val="00FD2B87"/>
    <w:rsid w:val="00FD2BF9"/>
    <w:rsid w:val="00FD2DF3"/>
    <w:rsid w:val="00FD319E"/>
    <w:rsid w:val="00FD32E1"/>
    <w:rsid w:val="00FD359A"/>
    <w:rsid w:val="00FD3A93"/>
    <w:rsid w:val="00FD3CAF"/>
    <w:rsid w:val="00FD3EF7"/>
    <w:rsid w:val="00FD3F5D"/>
    <w:rsid w:val="00FD4207"/>
    <w:rsid w:val="00FD4382"/>
    <w:rsid w:val="00FD43F5"/>
    <w:rsid w:val="00FD4601"/>
    <w:rsid w:val="00FD4657"/>
    <w:rsid w:val="00FD469C"/>
    <w:rsid w:val="00FD4948"/>
    <w:rsid w:val="00FD497C"/>
    <w:rsid w:val="00FD49CF"/>
    <w:rsid w:val="00FD4A6D"/>
    <w:rsid w:val="00FD4B81"/>
    <w:rsid w:val="00FD4BAA"/>
    <w:rsid w:val="00FD516C"/>
    <w:rsid w:val="00FD5722"/>
    <w:rsid w:val="00FD5A0E"/>
    <w:rsid w:val="00FD5B36"/>
    <w:rsid w:val="00FD5E05"/>
    <w:rsid w:val="00FD6073"/>
    <w:rsid w:val="00FD688F"/>
    <w:rsid w:val="00FD6DDC"/>
    <w:rsid w:val="00FD7163"/>
    <w:rsid w:val="00FD753A"/>
    <w:rsid w:val="00FD755E"/>
    <w:rsid w:val="00FD7602"/>
    <w:rsid w:val="00FD7886"/>
    <w:rsid w:val="00FD7897"/>
    <w:rsid w:val="00FD7E9D"/>
    <w:rsid w:val="00FD7F2E"/>
    <w:rsid w:val="00FD7F9B"/>
    <w:rsid w:val="00FE008D"/>
    <w:rsid w:val="00FE03FE"/>
    <w:rsid w:val="00FE04A5"/>
    <w:rsid w:val="00FE04ED"/>
    <w:rsid w:val="00FE069F"/>
    <w:rsid w:val="00FE0755"/>
    <w:rsid w:val="00FE07E1"/>
    <w:rsid w:val="00FE0843"/>
    <w:rsid w:val="00FE090B"/>
    <w:rsid w:val="00FE0AC8"/>
    <w:rsid w:val="00FE0D36"/>
    <w:rsid w:val="00FE0D7F"/>
    <w:rsid w:val="00FE0EB3"/>
    <w:rsid w:val="00FE1023"/>
    <w:rsid w:val="00FE1692"/>
    <w:rsid w:val="00FE1B5C"/>
    <w:rsid w:val="00FE22A0"/>
    <w:rsid w:val="00FE24F2"/>
    <w:rsid w:val="00FE257C"/>
    <w:rsid w:val="00FE2DBF"/>
    <w:rsid w:val="00FE2E55"/>
    <w:rsid w:val="00FE3254"/>
    <w:rsid w:val="00FE3401"/>
    <w:rsid w:val="00FE3407"/>
    <w:rsid w:val="00FE34E8"/>
    <w:rsid w:val="00FE376F"/>
    <w:rsid w:val="00FE3799"/>
    <w:rsid w:val="00FE3821"/>
    <w:rsid w:val="00FE3E04"/>
    <w:rsid w:val="00FE4044"/>
    <w:rsid w:val="00FE4106"/>
    <w:rsid w:val="00FE4258"/>
    <w:rsid w:val="00FE44CC"/>
    <w:rsid w:val="00FE4771"/>
    <w:rsid w:val="00FE488E"/>
    <w:rsid w:val="00FE4E6A"/>
    <w:rsid w:val="00FE51ED"/>
    <w:rsid w:val="00FE5321"/>
    <w:rsid w:val="00FE5460"/>
    <w:rsid w:val="00FE548E"/>
    <w:rsid w:val="00FE5601"/>
    <w:rsid w:val="00FE5628"/>
    <w:rsid w:val="00FE59E0"/>
    <w:rsid w:val="00FE5A97"/>
    <w:rsid w:val="00FE5B93"/>
    <w:rsid w:val="00FE5BBB"/>
    <w:rsid w:val="00FE5C90"/>
    <w:rsid w:val="00FE5DB1"/>
    <w:rsid w:val="00FE5F42"/>
    <w:rsid w:val="00FE5FDE"/>
    <w:rsid w:val="00FE617A"/>
    <w:rsid w:val="00FE6268"/>
    <w:rsid w:val="00FE67C6"/>
    <w:rsid w:val="00FE6832"/>
    <w:rsid w:val="00FE6A69"/>
    <w:rsid w:val="00FE6D50"/>
    <w:rsid w:val="00FE6F2F"/>
    <w:rsid w:val="00FE7011"/>
    <w:rsid w:val="00FE70E8"/>
    <w:rsid w:val="00FE7126"/>
    <w:rsid w:val="00FE7204"/>
    <w:rsid w:val="00FE7365"/>
    <w:rsid w:val="00FE7A49"/>
    <w:rsid w:val="00FE7C80"/>
    <w:rsid w:val="00FE7E0B"/>
    <w:rsid w:val="00FE7E87"/>
    <w:rsid w:val="00FE7EB3"/>
    <w:rsid w:val="00FE7F3A"/>
    <w:rsid w:val="00FF0117"/>
    <w:rsid w:val="00FF0186"/>
    <w:rsid w:val="00FF018C"/>
    <w:rsid w:val="00FF021D"/>
    <w:rsid w:val="00FF034C"/>
    <w:rsid w:val="00FF0531"/>
    <w:rsid w:val="00FF098A"/>
    <w:rsid w:val="00FF0D33"/>
    <w:rsid w:val="00FF0EF3"/>
    <w:rsid w:val="00FF104E"/>
    <w:rsid w:val="00FF1338"/>
    <w:rsid w:val="00FF14AF"/>
    <w:rsid w:val="00FF176A"/>
    <w:rsid w:val="00FF18BE"/>
    <w:rsid w:val="00FF1BF7"/>
    <w:rsid w:val="00FF1EE9"/>
    <w:rsid w:val="00FF1F2E"/>
    <w:rsid w:val="00FF20DF"/>
    <w:rsid w:val="00FF2606"/>
    <w:rsid w:val="00FF26FF"/>
    <w:rsid w:val="00FF27ED"/>
    <w:rsid w:val="00FF288F"/>
    <w:rsid w:val="00FF2A23"/>
    <w:rsid w:val="00FF2DD2"/>
    <w:rsid w:val="00FF2DE2"/>
    <w:rsid w:val="00FF2EF5"/>
    <w:rsid w:val="00FF32B8"/>
    <w:rsid w:val="00FF33C4"/>
    <w:rsid w:val="00FF3667"/>
    <w:rsid w:val="00FF36D5"/>
    <w:rsid w:val="00FF397E"/>
    <w:rsid w:val="00FF3C54"/>
    <w:rsid w:val="00FF3D12"/>
    <w:rsid w:val="00FF3F77"/>
    <w:rsid w:val="00FF41CD"/>
    <w:rsid w:val="00FF4252"/>
    <w:rsid w:val="00FF4492"/>
    <w:rsid w:val="00FF45E0"/>
    <w:rsid w:val="00FF45E7"/>
    <w:rsid w:val="00FF4677"/>
    <w:rsid w:val="00FF46DD"/>
    <w:rsid w:val="00FF4805"/>
    <w:rsid w:val="00FF4C0A"/>
    <w:rsid w:val="00FF4DE8"/>
    <w:rsid w:val="00FF4ECE"/>
    <w:rsid w:val="00FF4FE6"/>
    <w:rsid w:val="00FF5166"/>
    <w:rsid w:val="00FF5232"/>
    <w:rsid w:val="00FF5312"/>
    <w:rsid w:val="00FF53BC"/>
    <w:rsid w:val="00FF5456"/>
    <w:rsid w:val="00FF5652"/>
    <w:rsid w:val="00FF5A4F"/>
    <w:rsid w:val="00FF5AD3"/>
    <w:rsid w:val="00FF5CCA"/>
    <w:rsid w:val="00FF5D9C"/>
    <w:rsid w:val="00FF5F28"/>
    <w:rsid w:val="00FF5F92"/>
    <w:rsid w:val="00FF6020"/>
    <w:rsid w:val="00FF6037"/>
    <w:rsid w:val="00FF60F0"/>
    <w:rsid w:val="00FF617A"/>
    <w:rsid w:val="00FF618D"/>
    <w:rsid w:val="00FF6212"/>
    <w:rsid w:val="00FF6259"/>
    <w:rsid w:val="00FF63EB"/>
    <w:rsid w:val="00FF646F"/>
    <w:rsid w:val="00FF65AD"/>
    <w:rsid w:val="00FF6649"/>
    <w:rsid w:val="00FF6727"/>
    <w:rsid w:val="00FF698D"/>
    <w:rsid w:val="00FF70D9"/>
    <w:rsid w:val="00FF7276"/>
    <w:rsid w:val="00FF72CB"/>
    <w:rsid w:val="00FF7365"/>
    <w:rsid w:val="00FF73FB"/>
    <w:rsid w:val="00FF7485"/>
    <w:rsid w:val="00FF7524"/>
    <w:rsid w:val="00FF76CE"/>
    <w:rsid w:val="00FF79FA"/>
    <w:rsid w:val="00FF7A8A"/>
    <w:rsid w:val="00FF7D98"/>
    <w:rsid w:val="00FF7E67"/>
    <w:rsid w:val="01041260"/>
    <w:rsid w:val="0114A11F"/>
    <w:rsid w:val="01238D3A"/>
    <w:rsid w:val="012CB3B9"/>
    <w:rsid w:val="012E331E"/>
    <w:rsid w:val="012E5F02"/>
    <w:rsid w:val="012E9900"/>
    <w:rsid w:val="01316F7A"/>
    <w:rsid w:val="0134E85F"/>
    <w:rsid w:val="0136961C"/>
    <w:rsid w:val="014A30D0"/>
    <w:rsid w:val="015A906F"/>
    <w:rsid w:val="015E8D03"/>
    <w:rsid w:val="018705E4"/>
    <w:rsid w:val="018D8F85"/>
    <w:rsid w:val="018EBB5E"/>
    <w:rsid w:val="0193BE1B"/>
    <w:rsid w:val="01998101"/>
    <w:rsid w:val="0199DB8F"/>
    <w:rsid w:val="01A0A9F4"/>
    <w:rsid w:val="01A1EB0D"/>
    <w:rsid w:val="01A51322"/>
    <w:rsid w:val="01B6619C"/>
    <w:rsid w:val="01C107B8"/>
    <w:rsid w:val="01C2660A"/>
    <w:rsid w:val="01D6D0D6"/>
    <w:rsid w:val="01DD3B55"/>
    <w:rsid w:val="01EAD788"/>
    <w:rsid w:val="01EE3A70"/>
    <w:rsid w:val="01F22F73"/>
    <w:rsid w:val="01F7865D"/>
    <w:rsid w:val="01F9B1F4"/>
    <w:rsid w:val="01FA6A9A"/>
    <w:rsid w:val="01FB667B"/>
    <w:rsid w:val="020102A5"/>
    <w:rsid w:val="020B35BB"/>
    <w:rsid w:val="020B7F0B"/>
    <w:rsid w:val="02159356"/>
    <w:rsid w:val="021737E0"/>
    <w:rsid w:val="021CF38D"/>
    <w:rsid w:val="0223A23B"/>
    <w:rsid w:val="0223A3AC"/>
    <w:rsid w:val="0225B34E"/>
    <w:rsid w:val="02260319"/>
    <w:rsid w:val="02267095"/>
    <w:rsid w:val="022765E0"/>
    <w:rsid w:val="022A725B"/>
    <w:rsid w:val="022AE254"/>
    <w:rsid w:val="022B8FEF"/>
    <w:rsid w:val="02309D44"/>
    <w:rsid w:val="0230D405"/>
    <w:rsid w:val="023C86E5"/>
    <w:rsid w:val="024AA6B7"/>
    <w:rsid w:val="024D1ECB"/>
    <w:rsid w:val="0252FE6C"/>
    <w:rsid w:val="025B4D71"/>
    <w:rsid w:val="025BD303"/>
    <w:rsid w:val="02750A50"/>
    <w:rsid w:val="02797C38"/>
    <w:rsid w:val="027EA4B0"/>
    <w:rsid w:val="027F7633"/>
    <w:rsid w:val="0280F8E8"/>
    <w:rsid w:val="028632EA"/>
    <w:rsid w:val="0291139E"/>
    <w:rsid w:val="029AC450"/>
    <w:rsid w:val="02ABAD89"/>
    <w:rsid w:val="02AED379"/>
    <w:rsid w:val="02C2CD2B"/>
    <w:rsid w:val="02D82597"/>
    <w:rsid w:val="02DCC2F4"/>
    <w:rsid w:val="02DE80F7"/>
    <w:rsid w:val="02E4FAC9"/>
    <w:rsid w:val="02F7DEF4"/>
    <w:rsid w:val="0308821A"/>
    <w:rsid w:val="030EB57E"/>
    <w:rsid w:val="0314BDC9"/>
    <w:rsid w:val="0316E971"/>
    <w:rsid w:val="0326C659"/>
    <w:rsid w:val="0329F3F8"/>
    <w:rsid w:val="0338AC0E"/>
    <w:rsid w:val="033B5B51"/>
    <w:rsid w:val="03406739"/>
    <w:rsid w:val="0356B521"/>
    <w:rsid w:val="03577CF4"/>
    <w:rsid w:val="0368BE6C"/>
    <w:rsid w:val="036DC784"/>
    <w:rsid w:val="03773C28"/>
    <w:rsid w:val="037F0E26"/>
    <w:rsid w:val="0385208A"/>
    <w:rsid w:val="03948702"/>
    <w:rsid w:val="039900DA"/>
    <w:rsid w:val="039A0780"/>
    <w:rsid w:val="039D2CE5"/>
    <w:rsid w:val="03A8CDF4"/>
    <w:rsid w:val="03AF9A73"/>
    <w:rsid w:val="03B49D7E"/>
    <w:rsid w:val="03B960A9"/>
    <w:rsid w:val="03C18237"/>
    <w:rsid w:val="03C2C24A"/>
    <w:rsid w:val="03C6629E"/>
    <w:rsid w:val="03DABB4B"/>
    <w:rsid w:val="03DBCB3C"/>
    <w:rsid w:val="03DF0D86"/>
    <w:rsid w:val="03E10B4D"/>
    <w:rsid w:val="03E740B8"/>
    <w:rsid w:val="03E8452E"/>
    <w:rsid w:val="03EFEE8D"/>
    <w:rsid w:val="03F2535A"/>
    <w:rsid w:val="03F2908B"/>
    <w:rsid w:val="03F77589"/>
    <w:rsid w:val="040F4F3B"/>
    <w:rsid w:val="04246AAD"/>
    <w:rsid w:val="04263B13"/>
    <w:rsid w:val="04271CEF"/>
    <w:rsid w:val="042793A5"/>
    <w:rsid w:val="042CFCAA"/>
    <w:rsid w:val="04513D66"/>
    <w:rsid w:val="046F31CD"/>
    <w:rsid w:val="047A6DCA"/>
    <w:rsid w:val="047BDEAC"/>
    <w:rsid w:val="04801CA9"/>
    <w:rsid w:val="04822280"/>
    <w:rsid w:val="048427AB"/>
    <w:rsid w:val="048E02AF"/>
    <w:rsid w:val="04926A9C"/>
    <w:rsid w:val="0499B8DF"/>
    <w:rsid w:val="04A2CA97"/>
    <w:rsid w:val="04A6B3A1"/>
    <w:rsid w:val="04B14891"/>
    <w:rsid w:val="04B991E5"/>
    <w:rsid w:val="04BC54B5"/>
    <w:rsid w:val="04BDD09E"/>
    <w:rsid w:val="04C3ECE3"/>
    <w:rsid w:val="04C5ADD8"/>
    <w:rsid w:val="04CE8AA5"/>
    <w:rsid w:val="04E2A093"/>
    <w:rsid w:val="04F05718"/>
    <w:rsid w:val="05095854"/>
    <w:rsid w:val="0513371B"/>
    <w:rsid w:val="0518EF51"/>
    <w:rsid w:val="0520D5E8"/>
    <w:rsid w:val="05246F70"/>
    <w:rsid w:val="052673F4"/>
    <w:rsid w:val="05434928"/>
    <w:rsid w:val="0543D970"/>
    <w:rsid w:val="055059CB"/>
    <w:rsid w:val="0554FA21"/>
    <w:rsid w:val="05574ED5"/>
    <w:rsid w:val="056217C7"/>
    <w:rsid w:val="05778E06"/>
    <w:rsid w:val="0578E792"/>
    <w:rsid w:val="05865C72"/>
    <w:rsid w:val="0588D418"/>
    <w:rsid w:val="059886E3"/>
    <w:rsid w:val="059A86DD"/>
    <w:rsid w:val="059D6671"/>
    <w:rsid w:val="05A336E7"/>
    <w:rsid w:val="05A71C21"/>
    <w:rsid w:val="05AE3994"/>
    <w:rsid w:val="05BB8895"/>
    <w:rsid w:val="05BED04C"/>
    <w:rsid w:val="05CC2B3E"/>
    <w:rsid w:val="05D94010"/>
    <w:rsid w:val="05DD9737"/>
    <w:rsid w:val="05DE6E00"/>
    <w:rsid w:val="05EEE2DF"/>
    <w:rsid w:val="05F2114D"/>
    <w:rsid w:val="05F8FF6F"/>
    <w:rsid w:val="05F906E8"/>
    <w:rsid w:val="05FB4439"/>
    <w:rsid w:val="0609B507"/>
    <w:rsid w:val="060A626F"/>
    <w:rsid w:val="060C83CC"/>
    <w:rsid w:val="061608F4"/>
    <w:rsid w:val="06192024"/>
    <w:rsid w:val="064D7DA0"/>
    <w:rsid w:val="06571A61"/>
    <w:rsid w:val="0659EEDA"/>
    <w:rsid w:val="06627A3E"/>
    <w:rsid w:val="066B9C4E"/>
    <w:rsid w:val="06713396"/>
    <w:rsid w:val="0675DFE4"/>
    <w:rsid w:val="067675DA"/>
    <w:rsid w:val="0676EB6C"/>
    <w:rsid w:val="068DB282"/>
    <w:rsid w:val="068F034F"/>
    <w:rsid w:val="0693D472"/>
    <w:rsid w:val="06A95628"/>
    <w:rsid w:val="06ADD7B2"/>
    <w:rsid w:val="06AE6471"/>
    <w:rsid w:val="06B22E1A"/>
    <w:rsid w:val="06B292D8"/>
    <w:rsid w:val="06B77353"/>
    <w:rsid w:val="06BB7FFD"/>
    <w:rsid w:val="06C720A4"/>
    <w:rsid w:val="06C7AFAA"/>
    <w:rsid w:val="06CD26B9"/>
    <w:rsid w:val="06CE5B3B"/>
    <w:rsid w:val="06DB7A7B"/>
    <w:rsid w:val="06DCABB8"/>
    <w:rsid w:val="06E06655"/>
    <w:rsid w:val="06E7B947"/>
    <w:rsid w:val="06F1ABFD"/>
    <w:rsid w:val="06F4DFFF"/>
    <w:rsid w:val="06FAEBD1"/>
    <w:rsid w:val="06FB7FE3"/>
    <w:rsid w:val="070AB883"/>
    <w:rsid w:val="070C20EE"/>
    <w:rsid w:val="070C6D77"/>
    <w:rsid w:val="071B3176"/>
    <w:rsid w:val="07222CF0"/>
    <w:rsid w:val="07335F98"/>
    <w:rsid w:val="0734A2CF"/>
    <w:rsid w:val="07376DD1"/>
    <w:rsid w:val="073B8DBC"/>
    <w:rsid w:val="0748A3F8"/>
    <w:rsid w:val="074A1222"/>
    <w:rsid w:val="07537B37"/>
    <w:rsid w:val="0758F43C"/>
    <w:rsid w:val="0763BC28"/>
    <w:rsid w:val="07658E52"/>
    <w:rsid w:val="076803D4"/>
    <w:rsid w:val="076FD249"/>
    <w:rsid w:val="07723C57"/>
    <w:rsid w:val="077277C7"/>
    <w:rsid w:val="07740B56"/>
    <w:rsid w:val="077C371A"/>
    <w:rsid w:val="07835EE7"/>
    <w:rsid w:val="078A0392"/>
    <w:rsid w:val="078FE758"/>
    <w:rsid w:val="07A56128"/>
    <w:rsid w:val="07B4BED2"/>
    <w:rsid w:val="07B60120"/>
    <w:rsid w:val="07B8A0A4"/>
    <w:rsid w:val="07BB06A1"/>
    <w:rsid w:val="07BF35BB"/>
    <w:rsid w:val="07C35E75"/>
    <w:rsid w:val="07C8F2CF"/>
    <w:rsid w:val="07CF50F4"/>
    <w:rsid w:val="07CFF60D"/>
    <w:rsid w:val="07F51A77"/>
    <w:rsid w:val="07F6D136"/>
    <w:rsid w:val="08017F4C"/>
    <w:rsid w:val="08041B63"/>
    <w:rsid w:val="0820D45A"/>
    <w:rsid w:val="0823046A"/>
    <w:rsid w:val="082335B4"/>
    <w:rsid w:val="08238B46"/>
    <w:rsid w:val="082BC62A"/>
    <w:rsid w:val="082C6473"/>
    <w:rsid w:val="08317746"/>
    <w:rsid w:val="083867CC"/>
    <w:rsid w:val="083C6EBE"/>
    <w:rsid w:val="0843E092"/>
    <w:rsid w:val="084A945F"/>
    <w:rsid w:val="08591CB2"/>
    <w:rsid w:val="085B37DB"/>
    <w:rsid w:val="085D6587"/>
    <w:rsid w:val="085F1624"/>
    <w:rsid w:val="0861B953"/>
    <w:rsid w:val="0875F6E6"/>
    <w:rsid w:val="087FA83F"/>
    <w:rsid w:val="08801907"/>
    <w:rsid w:val="089E0631"/>
    <w:rsid w:val="08A425A9"/>
    <w:rsid w:val="08A4CB20"/>
    <w:rsid w:val="08B8AF7D"/>
    <w:rsid w:val="08CE92A7"/>
    <w:rsid w:val="08D09385"/>
    <w:rsid w:val="08DEE741"/>
    <w:rsid w:val="08E682F9"/>
    <w:rsid w:val="08EFCDC1"/>
    <w:rsid w:val="09050121"/>
    <w:rsid w:val="090CBE08"/>
    <w:rsid w:val="09277901"/>
    <w:rsid w:val="092C81B4"/>
    <w:rsid w:val="09356351"/>
    <w:rsid w:val="093BF578"/>
    <w:rsid w:val="093EE940"/>
    <w:rsid w:val="09516F1B"/>
    <w:rsid w:val="095208A9"/>
    <w:rsid w:val="0976B610"/>
    <w:rsid w:val="098E517D"/>
    <w:rsid w:val="09983372"/>
    <w:rsid w:val="099890FB"/>
    <w:rsid w:val="09BDD3A6"/>
    <w:rsid w:val="09CCA6E3"/>
    <w:rsid w:val="09CDD449"/>
    <w:rsid w:val="09D6FE23"/>
    <w:rsid w:val="09DE1748"/>
    <w:rsid w:val="09E930F2"/>
    <w:rsid w:val="0A0D7857"/>
    <w:rsid w:val="0A246B5A"/>
    <w:rsid w:val="0A35DE8A"/>
    <w:rsid w:val="0A4A7CD4"/>
    <w:rsid w:val="0A54F751"/>
    <w:rsid w:val="0A5C628C"/>
    <w:rsid w:val="0A67635F"/>
    <w:rsid w:val="0A78EA2A"/>
    <w:rsid w:val="0A8A8C23"/>
    <w:rsid w:val="0AA18B2A"/>
    <w:rsid w:val="0AB2D573"/>
    <w:rsid w:val="0AB3422D"/>
    <w:rsid w:val="0AB60DBB"/>
    <w:rsid w:val="0AD008B7"/>
    <w:rsid w:val="0AE85A99"/>
    <w:rsid w:val="0AEA3B86"/>
    <w:rsid w:val="0AEEDC61"/>
    <w:rsid w:val="0AF9BB30"/>
    <w:rsid w:val="0AFD5237"/>
    <w:rsid w:val="0B0E010F"/>
    <w:rsid w:val="0B0E7E84"/>
    <w:rsid w:val="0B214C3A"/>
    <w:rsid w:val="0B21DBC6"/>
    <w:rsid w:val="0B238675"/>
    <w:rsid w:val="0B2C8F35"/>
    <w:rsid w:val="0B33ACF9"/>
    <w:rsid w:val="0B518765"/>
    <w:rsid w:val="0B557353"/>
    <w:rsid w:val="0B5BC20B"/>
    <w:rsid w:val="0B6D8F84"/>
    <w:rsid w:val="0B6F423D"/>
    <w:rsid w:val="0B7B7334"/>
    <w:rsid w:val="0B86B762"/>
    <w:rsid w:val="0B8C29D5"/>
    <w:rsid w:val="0B9C55D5"/>
    <w:rsid w:val="0BAB39D5"/>
    <w:rsid w:val="0BAEA5F2"/>
    <w:rsid w:val="0BBD937A"/>
    <w:rsid w:val="0BCB8A13"/>
    <w:rsid w:val="0BCF8DE4"/>
    <w:rsid w:val="0BDEF2B5"/>
    <w:rsid w:val="0BDFB5B8"/>
    <w:rsid w:val="0BE26C9A"/>
    <w:rsid w:val="0BECF481"/>
    <w:rsid w:val="0BED763F"/>
    <w:rsid w:val="0BF48272"/>
    <w:rsid w:val="0BF6B357"/>
    <w:rsid w:val="0C04FEE8"/>
    <w:rsid w:val="0C06D811"/>
    <w:rsid w:val="0C094406"/>
    <w:rsid w:val="0C0CCE93"/>
    <w:rsid w:val="0C1859F8"/>
    <w:rsid w:val="0C19C604"/>
    <w:rsid w:val="0C1E9587"/>
    <w:rsid w:val="0C23CFC2"/>
    <w:rsid w:val="0C317E2A"/>
    <w:rsid w:val="0C3C4321"/>
    <w:rsid w:val="0C3F7C29"/>
    <w:rsid w:val="0C45FB7B"/>
    <w:rsid w:val="0C510516"/>
    <w:rsid w:val="0C566F50"/>
    <w:rsid w:val="0C5B0919"/>
    <w:rsid w:val="0C6409C8"/>
    <w:rsid w:val="0C97BA2E"/>
    <w:rsid w:val="0C9C88A7"/>
    <w:rsid w:val="0CA62602"/>
    <w:rsid w:val="0CA88D8C"/>
    <w:rsid w:val="0CA88FD5"/>
    <w:rsid w:val="0CADC102"/>
    <w:rsid w:val="0CB19BA2"/>
    <w:rsid w:val="0CB25270"/>
    <w:rsid w:val="0CB73510"/>
    <w:rsid w:val="0CB97245"/>
    <w:rsid w:val="0CBCFED5"/>
    <w:rsid w:val="0CBDA40F"/>
    <w:rsid w:val="0CC13F44"/>
    <w:rsid w:val="0CC3618B"/>
    <w:rsid w:val="0CC80772"/>
    <w:rsid w:val="0CCB2E3C"/>
    <w:rsid w:val="0CD2F137"/>
    <w:rsid w:val="0CD5E476"/>
    <w:rsid w:val="0CDA167A"/>
    <w:rsid w:val="0CDDA01D"/>
    <w:rsid w:val="0CE5E2EF"/>
    <w:rsid w:val="0CEF460B"/>
    <w:rsid w:val="0D1504E1"/>
    <w:rsid w:val="0D171B3A"/>
    <w:rsid w:val="0D1B3655"/>
    <w:rsid w:val="0D24FCEB"/>
    <w:rsid w:val="0D3FE932"/>
    <w:rsid w:val="0D41FFF9"/>
    <w:rsid w:val="0D4201E3"/>
    <w:rsid w:val="0D49CCCF"/>
    <w:rsid w:val="0D4EB299"/>
    <w:rsid w:val="0D6746FD"/>
    <w:rsid w:val="0D72070C"/>
    <w:rsid w:val="0D763283"/>
    <w:rsid w:val="0D763892"/>
    <w:rsid w:val="0D86718A"/>
    <w:rsid w:val="0D8A8EA8"/>
    <w:rsid w:val="0D957C17"/>
    <w:rsid w:val="0D9A31DF"/>
    <w:rsid w:val="0D9EF5C1"/>
    <w:rsid w:val="0DB262D9"/>
    <w:rsid w:val="0DBA9D3E"/>
    <w:rsid w:val="0DC1272B"/>
    <w:rsid w:val="0DC428A9"/>
    <w:rsid w:val="0DCE98FD"/>
    <w:rsid w:val="0DD75CD2"/>
    <w:rsid w:val="0DE1A092"/>
    <w:rsid w:val="0DE42307"/>
    <w:rsid w:val="0DED3B3E"/>
    <w:rsid w:val="0DF630DF"/>
    <w:rsid w:val="0DF959DF"/>
    <w:rsid w:val="0E074777"/>
    <w:rsid w:val="0E1F1A9F"/>
    <w:rsid w:val="0E219051"/>
    <w:rsid w:val="0E23B0FB"/>
    <w:rsid w:val="0E2B0F96"/>
    <w:rsid w:val="0E2E98CF"/>
    <w:rsid w:val="0E340D13"/>
    <w:rsid w:val="0E3F9A8E"/>
    <w:rsid w:val="0E40CAAB"/>
    <w:rsid w:val="0E458083"/>
    <w:rsid w:val="0E5771B7"/>
    <w:rsid w:val="0E587F0B"/>
    <w:rsid w:val="0E64A453"/>
    <w:rsid w:val="0E8B2425"/>
    <w:rsid w:val="0E90F9A4"/>
    <w:rsid w:val="0E99A251"/>
    <w:rsid w:val="0EB4D942"/>
    <w:rsid w:val="0EB7035D"/>
    <w:rsid w:val="0EB82652"/>
    <w:rsid w:val="0EC6ACA1"/>
    <w:rsid w:val="0ED2B837"/>
    <w:rsid w:val="0EEA0F2F"/>
    <w:rsid w:val="0EEA63D7"/>
    <w:rsid w:val="0EEFA1A4"/>
    <w:rsid w:val="0EF0E8BC"/>
    <w:rsid w:val="0EF23066"/>
    <w:rsid w:val="0EF6E887"/>
    <w:rsid w:val="0EF7DF22"/>
    <w:rsid w:val="0EFCFACD"/>
    <w:rsid w:val="0F06758A"/>
    <w:rsid w:val="0F0A9DB7"/>
    <w:rsid w:val="0F2B01B2"/>
    <w:rsid w:val="0F32FBF0"/>
    <w:rsid w:val="0F3F39E1"/>
    <w:rsid w:val="0F41C251"/>
    <w:rsid w:val="0F4553B1"/>
    <w:rsid w:val="0F45734B"/>
    <w:rsid w:val="0F4907E9"/>
    <w:rsid w:val="0F571B30"/>
    <w:rsid w:val="0F5DC200"/>
    <w:rsid w:val="0F669F68"/>
    <w:rsid w:val="0F6916F3"/>
    <w:rsid w:val="0F6D7FEF"/>
    <w:rsid w:val="0F6EF77B"/>
    <w:rsid w:val="0F72A334"/>
    <w:rsid w:val="0F80B27B"/>
    <w:rsid w:val="0F896507"/>
    <w:rsid w:val="0F8CC588"/>
    <w:rsid w:val="0F8CF1C9"/>
    <w:rsid w:val="0F965494"/>
    <w:rsid w:val="0F96D199"/>
    <w:rsid w:val="0F9BE73B"/>
    <w:rsid w:val="0F9D8C88"/>
    <w:rsid w:val="0FA7EC17"/>
    <w:rsid w:val="0FB3CF1F"/>
    <w:rsid w:val="0FB6E161"/>
    <w:rsid w:val="0FC9E5DE"/>
    <w:rsid w:val="0FCDD715"/>
    <w:rsid w:val="0FD565EB"/>
    <w:rsid w:val="0FD5EA3E"/>
    <w:rsid w:val="0FE8F16F"/>
    <w:rsid w:val="0FF3FE9B"/>
    <w:rsid w:val="0FFD0BC7"/>
    <w:rsid w:val="1001EC86"/>
    <w:rsid w:val="100C49B5"/>
    <w:rsid w:val="102EDD87"/>
    <w:rsid w:val="1036E4FC"/>
    <w:rsid w:val="103DB487"/>
    <w:rsid w:val="1041BF03"/>
    <w:rsid w:val="10444E1C"/>
    <w:rsid w:val="104AB30C"/>
    <w:rsid w:val="106B2DF3"/>
    <w:rsid w:val="1074E253"/>
    <w:rsid w:val="10869DBF"/>
    <w:rsid w:val="10881C88"/>
    <w:rsid w:val="109933C3"/>
    <w:rsid w:val="109C030A"/>
    <w:rsid w:val="10A52A56"/>
    <w:rsid w:val="10AEE5F8"/>
    <w:rsid w:val="10B05723"/>
    <w:rsid w:val="10C6DD5B"/>
    <w:rsid w:val="10CF1A48"/>
    <w:rsid w:val="10D1BAB3"/>
    <w:rsid w:val="10DC8F32"/>
    <w:rsid w:val="10F3B45D"/>
    <w:rsid w:val="10F62C15"/>
    <w:rsid w:val="10F95B47"/>
    <w:rsid w:val="10FC1E25"/>
    <w:rsid w:val="10FED4D6"/>
    <w:rsid w:val="110BA90D"/>
    <w:rsid w:val="110CB882"/>
    <w:rsid w:val="110F742D"/>
    <w:rsid w:val="111D8C49"/>
    <w:rsid w:val="112AE266"/>
    <w:rsid w:val="1131CD6F"/>
    <w:rsid w:val="1136DE2F"/>
    <w:rsid w:val="113CCE7A"/>
    <w:rsid w:val="1144D099"/>
    <w:rsid w:val="1146D649"/>
    <w:rsid w:val="114F71CC"/>
    <w:rsid w:val="114FB3EC"/>
    <w:rsid w:val="1168DE78"/>
    <w:rsid w:val="1169387B"/>
    <w:rsid w:val="11742C07"/>
    <w:rsid w:val="1177C20B"/>
    <w:rsid w:val="1183CFBA"/>
    <w:rsid w:val="1186E1D8"/>
    <w:rsid w:val="118D889B"/>
    <w:rsid w:val="118E5631"/>
    <w:rsid w:val="119447C5"/>
    <w:rsid w:val="11992929"/>
    <w:rsid w:val="11A7A41D"/>
    <w:rsid w:val="11AAAD57"/>
    <w:rsid w:val="11AEE9E9"/>
    <w:rsid w:val="11B93ABE"/>
    <w:rsid w:val="11CE76CB"/>
    <w:rsid w:val="11D7EC1B"/>
    <w:rsid w:val="11EBE985"/>
    <w:rsid w:val="11F0B108"/>
    <w:rsid w:val="11FFAE6F"/>
    <w:rsid w:val="1203012C"/>
    <w:rsid w:val="12112D87"/>
    <w:rsid w:val="121C73CC"/>
    <w:rsid w:val="123CE654"/>
    <w:rsid w:val="123D6FC0"/>
    <w:rsid w:val="1240FDB3"/>
    <w:rsid w:val="124A2D39"/>
    <w:rsid w:val="1256ECB9"/>
    <w:rsid w:val="12574E2C"/>
    <w:rsid w:val="1277E08F"/>
    <w:rsid w:val="127CB382"/>
    <w:rsid w:val="127CC264"/>
    <w:rsid w:val="127D6EF4"/>
    <w:rsid w:val="12A05C01"/>
    <w:rsid w:val="12A1CFF6"/>
    <w:rsid w:val="12A2DF8F"/>
    <w:rsid w:val="12BE5F3E"/>
    <w:rsid w:val="12C459C3"/>
    <w:rsid w:val="12C48B03"/>
    <w:rsid w:val="12DEEC87"/>
    <w:rsid w:val="12F040F1"/>
    <w:rsid w:val="12F08326"/>
    <w:rsid w:val="12F289AE"/>
    <w:rsid w:val="12F30649"/>
    <w:rsid w:val="12FA9A15"/>
    <w:rsid w:val="12FE107B"/>
    <w:rsid w:val="130088F7"/>
    <w:rsid w:val="130A9DC1"/>
    <w:rsid w:val="13156CA8"/>
    <w:rsid w:val="1318BF41"/>
    <w:rsid w:val="13197950"/>
    <w:rsid w:val="1321D99C"/>
    <w:rsid w:val="132558D0"/>
    <w:rsid w:val="132F2AAF"/>
    <w:rsid w:val="132FC2DB"/>
    <w:rsid w:val="1333873F"/>
    <w:rsid w:val="133A4DE2"/>
    <w:rsid w:val="133F3A8B"/>
    <w:rsid w:val="1340B228"/>
    <w:rsid w:val="1344CEFD"/>
    <w:rsid w:val="13458051"/>
    <w:rsid w:val="1347FB0E"/>
    <w:rsid w:val="134A6F49"/>
    <w:rsid w:val="1352D27C"/>
    <w:rsid w:val="13663FC7"/>
    <w:rsid w:val="136884F7"/>
    <w:rsid w:val="136FB9C0"/>
    <w:rsid w:val="1374A2E1"/>
    <w:rsid w:val="137C90D8"/>
    <w:rsid w:val="137E0B7E"/>
    <w:rsid w:val="138F99DF"/>
    <w:rsid w:val="13954365"/>
    <w:rsid w:val="13961932"/>
    <w:rsid w:val="139AE570"/>
    <w:rsid w:val="139CD3F2"/>
    <w:rsid w:val="13A10C39"/>
    <w:rsid w:val="13AB3510"/>
    <w:rsid w:val="13AEBCBF"/>
    <w:rsid w:val="13B361EF"/>
    <w:rsid w:val="13BA3CF6"/>
    <w:rsid w:val="13BB5D07"/>
    <w:rsid w:val="13C49D18"/>
    <w:rsid w:val="13C7172A"/>
    <w:rsid w:val="13D30DD6"/>
    <w:rsid w:val="13EB01F2"/>
    <w:rsid w:val="13F4D6A4"/>
    <w:rsid w:val="13FAAF8C"/>
    <w:rsid w:val="140744A5"/>
    <w:rsid w:val="14100923"/>
    <w:rsid w:val="1424DD84"/>
    <w:rsid w:val="142C6D1B"/>
    <w:rsid w:val="14305477"/>
    <w:rsid w:val="1436A144"/>
    <w:rsid w:val="1442D6FB"/>
    <w:rsid w:val="14497C71"/>
    <w:rsid w:val="1455C679"/>
    <w:rsid w:val="145710AD"/>
    <w:rsid w:val="14667D06"/>
    <w:rsid w:val="146CC5C8"/>
    <w:rsid w:val="146CDF8D"/>
    <w:rsid w:val="147219B1"/>
    <w:rsid w:val="147EFC1E"/>
    <w:rsid w:val="1487B542"/>
    <w:rsid w:val="148B409D"/>
    <w:rsid w:val="1498EB79"/>
    <w:rsid w:val="149A83F7"/>
    <w:rsid w:val="14A660A5"/>
    <w:rsid w:val="14A8D224"/>
    <w:rsid w:val="14B81761"/>
    <w:rsid w:val="14C26280"/>
    <w:rsid w:val="14CA0155"/>
    <w:rsid w:val="14DA6AFF"/>
    <w:rsid w:val="14E10412"/>
    <w:rsid w:val="14FE4DFC"/>
    <w:rsid w:val="1501D653"/>
    <w:rsid w:val="150207C9"/>
    <w:rsid w:val="1502C989"/>
    <w:rsid w:val="150FB28B"/>
    <w:rsid w:val="1512DBA3"/>
    <w:rsid w:val="1518BBB0"/>
    <w:rsid w:val="151BB222"/>
    <w:rsid w:val="151C1248"/>
    <w:rsid w:val="15205698"/>
    <w:rsid w:val="15278035"/>
    <w:rsid w:val="1527852E"/>
    <w:rsid w:val="152ABCF5"/>
    <w:rsid w:val="15304405"/>
    <w:rsid w:val="1530F0AC"/>
    <w:rsid w:val="153CB4D4"/>
    <w:rsid w:val="153FE350"/>
    <w:rsid w:val="1555D3F5"/>
    <w:rsid w:val="1556EC8F"/>
    <w:rsid w:val="155AF7E4"/>
    <w:rsid w:val="1561DDD0"/>
    <w:rsid w:val="1562C5CD"/>
    <w:rsid w:val="1565DF49"/>
    <w:rsid w:val="156F9B9F"/>
    <w:rsid w:val="1576FCE4"/>
    <w:rsid w:val="1598DA4B"/>
    <w:rsid w:val="15A61B34"/>
    <w:rsid w:val="15B3EADB"/>
    <w:rsid w:val="15B7CD6C"/>
    <w:rsid w:val="15B940D2"/>
    <w:rsid w:val="15B9B08C"/>
    <w:rsid w:val="15C5F043"/>
    <w:rsid w:val="15C72446"/>
    <w:rsid w:val="15C977E2"/>
    <w:rsid w:val="15D1ACAB"/>
    <w:rsid w:val="15D377E2"/>
    <w:rsid w:val="15D5AE4B"/>
    <w:rsid w:val="15E43B77"/>
    <w:rsid w:val="15EB6B6A"/>
    <w:rsid w:val="15F7380D"/>
    <w:rsid w:val="15FF6630"/>
    <w:rsid w:val="1605D5A6"/>
    <w:rsid w:val="1614EDFB"/>
    <w:rsid w:val="16271DA4"/>
    <w:rsid w:val="1631D04E"/>
    <w:rsid w:val="1637393F"/>
    <w:rsid w:val="16379A1B"/>
    <w:rsid w:val="163817E1"/>
    <w:rsid w:val="163A666A"/>
    <w:rsid w:val="163B2DFE"/>
    <w:rsid w:val="16404BB9"/>
    <w:rsid w:val="16595B97"/>
    <w:rsid w:val="16606270"/>
    <w:rsid w:val="1662D3C7"/>
    <w:rsid w:val="16695B0D"/>
    <w:rsid w:val="166DFC98"/>
    <w:rsid w:val="167BA637"/>
    <w:rsid w:val="167C0DB8"/>
    <w:rsid w:val="1682F4D8"/>
    <w:rsid w:val="16857557"/>
    <w:rsid w:val="1696C1BC"/>
    <w:rsid w:val="1698F9B2"/>
    <w:rsid w:val="1699D830"/>
    <w:rsid w:val="169D02A5"/>
    <w:rsid w:val="169F2CA7"/>
    <w:rsid w:val="16A12E81"/>
    <w:rsid w:val="16A5595D"/>
    <w:rsid w:val="16BCCD1C"/>
    <w:rsid w:val="16BE840E"/>
    <w:rsid w:val="16D1418A"/>
    <w:rsid w:val="16D1FB41"/>
    <w:rsid w:val="16D9A738"/>
    <w:rsid w:val="16E87A5D"/>
    <w:rsid w:val="16E96A57"/>
    <w:rsid w:val="16EEF8F6"/>
    <w:rsid w:val="16F8F56E"/>
    <w:rsid w:val="16F964EB"/>
    <w:rsid w:val="16FD6E79"/>
    <w:rsid w:val="170546E9"/>
    <w:rsid w:val="17064BFB"/>
    <w:rsid w:val="171342A0"/>
    <w:rsid w:val="17281173"/>
    <w:rsid w:val="17302DAF"/>
    <w:rsid w:val="175F26F5"/>
    <w:rsid w:val="17616ACD"/>
    <w:rsid w:val="17716577"/>
    <w:rsid w:val="177CCC4C"/>
    <w:rsid w:val="17852BB9"/>
    <w:rsid w:val="17930385"/>
    <w:rsid w:val="1796C36C"/>
    <w:rsid w:val="179ACF77"/>
    <w:rsid w:val="17A543E1"/>
    <w:rsid w:val="17AA0108"/>
    <w:rsid w:val="17AD352D"/>
    <w:rsid w:val="17B8319E"/>
    <w:rsid w:val="17B8CB7E"/>
    <w:rsid w:val="17C6F58F"/>
    <w:rsid w:val="17CFCF58"/>
    <w:rsid w:val="17D34F6E"/>
    <w:rsid w:val="17D98D7C"/>
    <w:rsid w:val="180DBF22"/>
    <w:rsid w:val="180ED5E1"/>
    <w:rsid w:val="18125FD6"/>
    <w:rsid w:val="182076DB"/>
    <w:rsid w:val="1823057B"/>
    <w:rsid w:val="1829DE70"/>
    <w:rsid w:val="182CE9DE"/>
    <w:rsid w:val="182D5A53"/>
    <w:rsid w:val="18306191"/>
    <w:rsid w:val="18357F64"/>
    <w:rsid w:val="183BBBCB"/>
    <w:rsid w:val="1845480B"/>
    <w:rsid w:val="18466175"/>
    <w:rsid w:val="184AE855"/>
    <w:rsid w:val="18557840"/>
    <w:rsid w:val="185E5B07"/>
    <w:rsid w:val="1868C5B1"/>
    <w:rsid w:val="186F527B"/>
    <w:rsid w:val="186F935A"/>
    <w:rsid w:val="18779922"/>
    <w:rsid w:val="1881401A"/>
    <w:rsid w:val="188991F3"/>
    <w:rsid w:val="18928FB0"/>
    <w:rsid w:val="18935600"/>
    <w:rsid w:val="1894446F"/>
    <w:rsid w:val="1894E2CF"/>
    <w:rsid w:val="18B3FD2E"/>
    <w:rsid w:val="18BB7CC8"/>
    <w:rsid w:val="18D00C14"/>
    <w:rsid w:val="18D12319"/>
    <w:rsid w:val="18D3F376"/>
    <w:rsid w:val="18D760A2"/>
    <w:rsid w:val="18E007B4"/>
    <w:rsid w:val="18E84A07"/>
    <w:rsid w:val="18EB0C33"/>
    <w:rsid w:val="18F75439"/>
    <w:rsid w:val="18FB66B0"/>
    <w:rsid w:val="191A8DA9"/>
    <w:rsid w:val="191C055D"/>
    <w:rsid w:val="191FFB77"/>
    <w:rsid w:val="19216507"/>
    <w:rsid w:val="192BFE2E"/>
    <w:rsid w:val="19335E9E"/>
    <w:rsid w:val="1940F4DE"/>
    <w:rsid w:val="194E0C44"/>
    <w:rsid w:val="1951D8B8"/>
    <w:rsid w:val="1955B3C1"/>
    <w:rsid w:val="197733D6"/>
    <w:rsid w:val="1981ADE2"/>
    <w:rsid w:val="19903C7B"/>
    <w:rsid w:val="19971899"/>
    <w:rsid w:val="19BB147D"/>
    <w:rsid w:val="19BE46D7"/>
    <w:rsid w:val="19C11840"/>
    <w:rsid w:val="19C259E0"/>
    <w:rsid w:val="19C437FE"/>
    <w:rsid w:val="19C95DEB"/>
    <w:rsid w:val="19CEACD2"/>
    <w:rsid w:val="19E3B220"/>
    <w:rsid w:val="19E6D464"/>
    <w:rsid w:val="19EA8407"/>
    <w:rsid w:val="19F384DE"/>
    <w:rsid w:val="19F71AB4"/>
    <w:rsid w:val="1A0DFB6F"/>
    <w:rsid w:val="1A10D236"/>
    <w:rsid w:val="1A11A7C2"/>
    <w:rsid w:val="1A1B9639"/>
    <w:rsid w:val="1A1E4A15"/>
    <w:rsid w:val="1A2301B1"/>
    <w:rsid w:val="1A23DA56"/>
    <w:rsid w:val="1A3D9B4D"/>
    <w:rsid w:val="1A485D53"/>
    <w:rsid w:val="1A4B73FA"/>
    <w:rsid w:val="1A4FA36A"/>
    <w:rsid w:val="1A531BE5"/>
    <w:rsid w:val="1A61A3AD"/>
    <w:rsid w:val="1A64F7AE"/>
    <w:rsid w:val="1A676415"/>
    <w:rsid w:val="1A6A1483"/>
    <w:rsid w:val="1A71BAA0"/>
    <w:rsid w:val="1A71FF44"/>
    <w:rsid w:val="1A737946"/>
    <w:rsid w:val="1A74FA43"/>
    <w:rsid w:val="1A77D027"/>
    <w:rsid w:val="1A799B3A"/>
    <w:rsid w:val="1A7CCF1A"/>
    <w:rsid w:val="1A8DD4FB"/>
    <w:rsid w:val="1A9CD036"/>
    <w:rsid w:val="1A9D609A"/>
    <w:rsid w:val="1AAED397"/>
    <w:rsid w:val="1AB9DF65"/>
    <w:rsid w:val="1ABA0057"/>
    <w:rsid w:val="1ABF4B30"/>
    <w:rsid w:val="1AC11DB2"/>
    <w:rsid w:val="1AC6BD3A"/>
    <w:rsid w:val="1ACF09B0"/>
    <w:rsid w:val="1AD0B1AD"/>
    <w:rsid w:val="1AD0D4A9"/>
    <w:rsid w:val="1ADCD41A"/>
    <w:rsid w:val="1AE0633E"/>
    <w:rsid w:val="1AE3C561"/>
    <w:rsid w:val="1AE99D68"/>
    <w:rsid w:val="1AEA5BA9"/>
    <w:rsid w:val="1AFAF5DB"/>
    <w:rsid w:val="1AFF50E1"/>
    <w:rsid w:val="1AFF760C"/>
    <w:rsid w:val="1B03C9AF"/>
    <w:rsid w:val="1B116DE8"/>
    <w:rsid w:val="1B11B9DA"/>
    <w:rsid w:val="1B1BCEE9"/>
    <w:rsid w:val="1B20F6F5"/>
    <w:rsid w:val="1B286B14"/>
    <w:rsid w:val="1B354BDB"/>
    <w:rsid w:val="1B3CDAEA"/>
    <w:rsid w:val="1B3E8BCC"/>
    <w:rsid w:val="1B436DD1"/>
    <w:rsid w:val="1B4A9B95"/>
    <w:rsid w:val="1B4B42EC"/>
    <w:rsid w:val="1B537E74"/>
    <w:rsid w:val="1B6AED6A"/>
    <w:rsid w:val="1B73F96A"/>
    <w:rsid w:val="1B77B883"/>
    <w:rsid w:val="1B79037D"/>
    <w:rsid w:val="1B7CD4A3"/>
    <w:rsid w:val="1B804E2C"/>
    <w:rsid w:val="1B86D93F"/>
    <w:rsid w:val="1B86E8E3"/>
    <w:rsid w:val="1B872E08"/>
    <w:rsid w:val="1B87E6D5"/>
    <w:rsid w:val="1B89A449"/>
    <w:rsid w:val="1B931A09"/>
    <w:rsid w:val="1B96D84A"/>
    <w:rsid w:val="1B9CF3AB"/>
    <w:rsid w:val="1BA7AD7C"/>
    <w:rsid w:val="1BA8C3E7"/>
    <w:rsid w:val="1BBC1B02"/>
    <w:rsid w:val="1BC98F6E"/>
    <w:rsid w:val="1BD0C673"/>
    <w:rsid w:val="1BD357FA"/>
    <w:rsid w:val="1BE2E1B6"/>
    <w:rsid w:val="1BE30B56"/>
    <w:rsid w:val="1BE5ED40"/>
    <w:rsid w:val="1BE8BB04"/>
    <w:rsid w:val="1BEFC43D"/>
    <w:rsid w:val="1BF2C025"/>
    <w:rsid w:val="1C17243C"/>
    <w:rsid w:val="1C18D987"/>
    <w:rsid w:val="1C1FDD66"/>
    <w:rsid w:val="1C29F5D0"/>
    <w:rsid w:val="1C2AD3DB"/>
    <w:rsid w:val="1C33AFE9"/>
    <w:rsid w:val="1C33B6AB"/>
    <w:rsid w:val="1C349851"/>
    <w:rsid w:val="1C38202D"/>
    <w:rsid w:val="1C3C66A8"/>
    <w:rsid w:val="1C3C7C19"/>
    <w:rsid w:val="1C45EA37"/>
    <w:rsid w:val="1C4D334D"/>
    <w:rsid w:val="1C562734"/>
    <w:rsid w:val="1C584350"/>
    <w:rsid w:val="1C842F9A"/>
    <w:rsid w:val="1C925B42"/>
    <w:rsid w:val="1C976E96"/>
    <w:rsid w:val="1C993924"/>
    <w:rsid w:val="1CA46E71"/>
    <w:rsid w:val="1CA701D1"/>
    <w:rsid w:val="1CAB1AE4"/>
    <w:rsid w:val="1CC8AFAE"/>
    <w:rsid w:val="1CCD6DDD"/>
    <w:rsid w:val="1CD4298D"/>
    <w:rsid w:val="1CE284B2"/>
    <w:rsid w:val="1CE606B5"/>
    <w:rsid w:val="1CE93D5D"/>
    <w:rsid w:val="1CE9C055"/>
    <w:rsid w:val="1CEB2E82"/>
    <w:rsid w:val="1CEC2596"/>
    <w:rsid w:val="1D016DB6"/>
    <w:rsid w:val="1D1CF868"/>
    <w:rsid w:val="1D2D5091"/>
    <w:rsid w:val="1D2E3903"/>
    <w:rsid w:val="1D2E9E25"/>
    <w:rsid w:val="1D3811A7"/>
    <w:rsid w:val="1D3B8252"/>
    <w:rsid w:val="1D63525D"/>
    <w:rsid w:val="1D6B1567"/>
    <w:rsid w:val="1D6C4683"/>
    <w:rsid w:val="1D772B7C"/>
    <w:rsid w:val="1D7CB97D"/>
    <w:rsid w:val="1D82131A"/>
    <w:rsid w:val="1D8354C8"/>
    <w:rsid w:val="1D8871AF"/>
    <w:rsid w:val="1D8AD476"/>
    <w:rsid w:val="1D901B40"/>
    <w:rsid w:val="1D9A7A2E"/>
    <w:rsid w:val="1D9B4A43"/>
    <w:rsid w:val="1D9EBE1B"/>
    <w:rsid w:val="1DA129AB"/>
    <w:rsid w:val="1DB3F667"/>
    <w:rsid w:val="1DB636D7"/>
    <w:rsid w:val="1DBA1602"/>
    <w:rsid w:val="1DBBE2F0"/>
    <w:rsid w:val="1DC21CD7"/>
    <w:rsid w:val="1DC6EAEE"/>
    <w:rsid w:val="1DD2E36B"/>
    <w:rsid w:val="1DDFC7A7"/>
    <w:rsid w:val="1DE2CDAB"/>
    <w:rsid w:val="1DE7BC68"/>
    <w:rsid w:val="1DE82EB7"/>
    <w:rsid w:val="1DEE8DDE"/>
    <w:rsid w:val="1DEFB923"/>
    <w:rsid w:val="1DF211F9"/>
    <w:rsid w:val="1DFC00C9"/>
    <w:rsid w:val="1E03A110"/>
    <w:rsid w:val="1E1773F8"/>
    <w:rsid w:val="1E228D81"/>
    <w:rsid w:val="1E26ADAE"/>
    <w:rsid w:val="1E2A4B12"/>
    <w:rsid w:val="1E2C0C5D"/>
    <w:rsid w:val="1E2C1FBA"/>
    <w:rsid w:val="1E39D0B3"/>
    <w:rsid w:val="1E3C0D53"/>
    <w:rsid w:val="1E3FA8A2"/>
    <w:rsid w:val="1E473850"/>
    <w:rsid w:val="1E4A82FE"/>
    <w:rsid w:val="1E4EB1A8"/>
    <w:rsid w:val="1E4F36A2"/>
    <w:rsid w:val="1E672120"/>
    <w:rsid w:val="1E79632E"/>
    <w:rsid w:val="1E8220E3"/>
    <w:rsid w:val="1E86C7F6"/>
    <w:rsid w:val="1E8FB820"/>
    <w:rsid w:val="1E92BA97"/>
    <w:rsid w:val="1EA48D96"/>
    <w:rsid w:val="1EC285E1"/>
    <w:rsid w:val="1EC4C2C7"/>
    <w:rsid w:val="1ECBE912"/>
    <w:rsid w:val="1ECE984A"/>
    <w:rsid w:val="1EE23E50"/>
    <w:rsid w:val="1EE40FD9"/>
    <w:rsid w:val="1EE65140"/>
    <w:rsid w:val="1EEEE5B8"/>
    <w:rsid w:val="1EEF7F8D"/>
    <w:rsid w:val="1EF0F576"/>
    <w:rsid w:val="1EFBB753"/>
    <w:rsid w:val="1F008639"/>
    <w:rsid w:val="1F01095C"/>
    <w:rsid w:val="1F03C4C6"/>
    <w:rsid w:val="1F081CD9"/>
    <w:rsid w:val="1F09672A"/>
    <w:rsid w:val="1F14B26D"/>
    <w:rsid w:val="1F158739"/>
    <w:rsid w:val="1F1896C6"/>
    <w:rsid w:val="1F34EF93"/>
    <w:rsid w:val="1F4E079D"/>
    <w:rsid w:val="1F520ABE"/>
    <w:rsid w:val="1F58150E"/>
    <w:rsid w:val="1F593B3A"/>
    <w:rsid w:val="1F5E8B37"/>
    <w:rsid w:val="1F76B674"/>
    <w:rsid w:val="1F86440E"/>
    <w:rsid w:val="1F8E51A6"/>
    <w:rsid w:val="1F9C705D"/>
    <w:rsid w:val="1F9FE9C8"/>
    <w:rsid w:val="1FA2A83F"/>
    <w:rsid w:val="1FA50D5F"/>
    <w:rsid w:val="1FAC4D90"/>
    <w:rsid w:val="1FC582E8"/>
    <w:rsid w:val="1FCF8DB7"/>
    <w:rsid w:val="1FD2F5F0"/>
    <w:rsid w:val="1FD632E9"/>
    <w:rsid w:val="1FDFB7C4"/>
    <w:rsid w:val="1FE460D7"/>
    <w:rsid w:val="1FE56F16"/>
    <w:rsid w:val="1FEAC0E9"/>
    <w:rsid w:val="1FEC517C"/>
    <w:rsid w:val="1FEFC10E"/>
    <w:rsid w:val="1FFC9C84"/>
    <w:rsid w:val="200F8CFB"/>
    <w:rsid w:val="2014702A"/>
    <w:rsid w:val="201BF556"/>
    <w:rsid w:val="201D1989"/>
    <w:rsid w:val="202EC0C0"/>
    <w:rsid w:val="20354C39"/>
    <w:rsid w:val="20458772"/>
    <w:rsid w:val="20575940"/>
    <w:rsid w:val="205DA3D0"/>
    <w:rsid w:val="206E63E6"/>
    <w:rsid w:val="2072573F"/>
    <w:rsid w:val="20754932"/>
    <w:rsid w:val="20792D51"/>
    <w:rsid w:val="207CE3B7"/>
    <w:rsid w:val="207D9997"/>
    <w:rsid w:val="207ED22C"/>
    <w:rsid w:val="20A2EF12"/>
    <w:rsid w:val="20A91814"/>
    <w:rsid w:val="20AA1A6B"/>
    <w:rsid w:val="20AAC4A0"/>
    <w:rsid w:val="20B383ED"/>
    <w:rsid w:val="20C0C376"/>
    <w:rsid w:val="20CD9318"/>
    <w:rsid w:val="20CE5A2B"/>
    <w:rsid w:val="20CE5D71"/>
    <w:rsid w:val="20D285D0"/>
    <w:rsid w:val="20D5C9A8"/>
    <w:rsid w:val="20E236DD"/>
    <w:rsid w:val="20EB8F8E"/>
    <w:rsid w:val="21044702"/>
    <w:rsid w:val="2107E1B0"/>
    <w:rsid w:val="21149BC4"/>
    <w:rsid w:val="211A9D17"/>
    <w:rsid w:val="211DF4D1"/>
    <w:rsid w:val="2122928D"/>
    <w:rsid w:val="21241CDF"/>
    <w:rsid w:val="21255EBC"/>
    <w:rsid w:val="212D8625"/>
    <w:rsid w:val="212F11BC"/>
    <w:rsid w:val="2133F2D3"/>
    <w:rsid w:val="213619DA"/>
    <w:rsid w:val="21382ACD"/>
    <w:rsid w:val="213D7E46"/>
    <w:rsid w:val="2156A236"/>
    <w:rsid w:val="2156C1D9"/>
    <w:rsid w:val="2157247E"/>
    <w:rsid w:val="21666C70"/>
    <w:rsid w:val="216847ED"/>
    <w:rsid w:val="216A4EDE"/>
    <w:rsid w:val="21756825"/>
    <w:rsid w:val="2177CC69"/>
    <w:rsid w:val="217A28E4"/>
    <w:rsid w:val="2198A5C0"/>
    <w:rsid w:val="219D9D9E"/>
    <w:rsid w:val="21A7BCAF"/>
    <w:rsid w:val="21A9BC2E"/>
    <w:rsid w:val="21B12FF4"/>
    <w:rsid w:val="21B68CD0"/>
    <w:rsid w:val="21B7CA37"/>
    <w:rsid w:val="21B84FF0"/>
    <w:rsid w:val="21BB3A96"/>
    <w:rsid w:val="21BE83F1"/>
    <w:rsid w:val="21BF1DA6"/>
    <w:rsid w:val="21C60924"/>
    <w:rsid w:val="21F1CB28"/>
    <w:rsid w:val="21F75D07"/>
    <w:rsid w:val="2205C936"/>
    <w:rsid w:val="220F76CE"/>
    <w:rsid w:val="2214D577"/>
    <w:rsid w:val="221A13EC"/>
    <w:rsid w:val="221A9E22"/>
    <w:rsid w:val="2233FBC8"/>
    <w:rsid w:val="2237CA70"/>
    <w:rsid w:val="223DED08"/>
    <w:rsid w:val="223F2742"/>
    <w:rsid w:val="224A4B14"/>
    <w:rsid w:val="224F94C7"/>
    <w:rsid w:val="2257D0D4"/>
    <w:rsid w:val="2258FD65"/>
    <w:rsid w:val="225EF4CC"/>
    <w:rsid w:val="226139A2"/>
    <w:rsid w:val="226813C4"/>
    <w:rsid w:val="22708ACC"/>
    <w:rsid w:val="2274C942"/>
    <w:rsid w:val="2283190E"/>
    <w:rsid w:val="228C0A80"/>
    <w:rsid w:val="228DD85D"/>
    <w:rsid w:val="2290D8D2"/>
    <w:rsid w:val="229101DB"/>
    <w:rsid w:val="229703A8"/>
    <w:rsid w:val="229CFB72"/>
    <w:rsid w:val="22A0DF10"/>
    <w:rsid w:val="22A1B91A"/>
    <w:rsid w:val="22A62D89"/>
    <w:rsid w:val="22AACE9D"/>
    <w:rsid w:val="22B95817"/>
    <w:rsid w:val="22B96808"/>
    <w:rsid w:val="22C2BCD7"/>
    <w:rsid w:val="22C98712"/>
    <w:rsid w:val="22CA492E"/>
    <w:rsid w:val="22CF71FF"/>
    <w:rsid w:val="22D3E2D1"/>
    <w:rsid w:val="22DA1DF1"/>
    <w:rsid w:val="22DA2621"/>
    <w:rsid w:val="22DB6051"/>
    <w:rsid w:val="22E4D8F5"/>
    <w:rsid w:val="22EC2BE9"/>
    <w:rsid w:val="22FA35D6"/>
    <w:rsid w:val="2307E538"/>
    <w:rsid w:val="23111573"/>
    <w:rsid w:val="231159C5"/>
    <w:rsid w:val="2326B0DA"/>
    <w:rsid w:val="2351ADB2"/>
    <w:rsid w:val="235A1D6B"/>
    <w:rsid w:val="2372DCFF"/>
    <w:rsid w:val="23764601"/>
    <w:rsid w:val="237B8ADB"/>
    <w:rsid w:val="237FF10C"/>
    <w:rsid w:val="23878E37"/>
    <w:rsid w:val="238E553F"/>
    <w:rsid w:val="2394CD56"/>
    <w:rsid w:val="239D4956"/>
    <w:rsid w:val="23A218EA"/>
    <w:rsid w:val="23A55C40"/>
    <w:rsid w:val="23AE795D"/>
    <w:rsid w:val="23B8BC27"/>
    <w:rsid w:val="23BA324F"/>
    <w:rsid w:val="23C90017"/>
    <w:rsid w:val="23C9C91B"/>
    <w:rsid w:val="23D734EF"/>
    <w:rsid w:val="23D874CD"/>
    <w:rsid w:val="23FA5B88"/>
    <w:rsid w:val="23FEF766"/>
    <w:rsid w:val="240436FB"/>
    <w:rsid w:val="240A44F7"/>
    <w:rsid w:val="240EC634"/>
    <w:rsid w:val="2410AF58"/>
    <w:rsid w:val="2413A115"/>
    <w:rsid w:val="2416E64A"/>
    <w:rsid w:val="24188743"/>
    <w:rsid w:val="241F0806"/>
    <w:rsid w:val="242309EB"/>
    <w:rsid w:val="2431D0B0"/>
    <w:rsid w:val="243B7C8A"/>
    <w:rsid w:val="244072C6"/>
    <w:rsid w:val="244507AE"/>
    <w:rsid w:val="24477D47"/>
    <w:rsid w:val="2456E1A7"/>
    <w:rsid w:val="245E10CF"/>
    <w:rsid w:val="247749F8"/>
    <w:rsid w:val="247B55AE"/>
    <w:rsid w:val="247C42F9"/>
    <w:rsid w:val="247D64DA"/>
    <w:rsid w:val="247E1BAC"/>
    <w:rsid w:val="249C8D85"/>
    <w:rsid w:val="249EE87B"/>
    <w:rsid w:val="24A5ABE1"/>
    <w:rsid w:val="24A638B9"/>
    <w:rsid w:val="24AD1D19"/>
    <w:rsid w:val="24B133CE"/>
    <w:rsid w:val="24C1FBBE"/>
    <w:rsid w:val="24C838FA"/>
    <w:rsid w:val="24C85BE2"/>
    <w:rsid w:val="24CC3261"/>
    <w:rsid w:val="24D74BB9"/>
    <w:rsid w:val="24E132D4"/>
    <w:rsid w:val="24E6A7B1"/>
    <w:rsid w:val="24E77798"/>
    <w:rsid w:val="24EDF0E6"/>
    <w:rsid w:val="24F109FA"/>
    <w:rsid w:val="24F2803E"/>
    <w:rsid w:val="24F56B9A"/>
    <w:rsid w:val="24FB1EBE"/>
    <w:rsid w:val="25014890"/>
    <w:rsid w:val="250437FA"/>
    <w:rsid w:val="251019E5"/>
    <w:rsid w:val="25124E63"/>
    <w:rsid w:val="25130890"/>
    <w:rsid w:val="251B6566"/>
    <w:rsid w:val="252C6020"/>
    <w:rsid w:val="2539AE04"/>
    <w:rsid w:val="254404B7"/>
    <w:rsid w:val="25477779"/>
    <w:rsid w:val="2549B952"/>
    <w:rsid w:val="255CFD84"/>
    <w:rsid w:val="255D888C"/>
    <w:rsid w:val="2567DA04"/>
    <w:rsid w:val="25694349"/>
    <w:rsid w:val="256AD067"/>
    <w:rsid w:val="256C1C6D"/>
    <w:rsid w:val="256DDBF1"/>
    <w:rsid w:val="25708E16"/>
    <w:rsid w:val="2575D7C1"/>
    <w:rsid w:val="2578DEAA"/>
    <w:rsid w:val="25858CF7"/>
    <w:rsid w:val="2588974D"/>
    <w:rsid w:val="2588E3E3"/>
    <w:rsid w:val="2598A282"/>
    <w:rsid w:val="25A00CF2"/>
    <w:rsid w:val="25A460E1"/>
    <w:rsid w:val="25B9C37C"/>
    <w:rsid w:val="25BFDCCB"/>
    <w:rsid w:val="25C39475"/>
    <w:rsid w:val="25C449A9"/>
    <w:rsid w:val="25CF4BE8"/>
    <w:rsid w:val="25CF9039"/>
    <w:rsid w:val="25E3E69E"/>
    <w:rsid w:val="25E6D241"/>
    <w:rsid w:val="25EC0C74"/>
    <w:rsid w:val="25F27328"/>
    <w:rsid w:val="25F30909"/>
    <w:rsid w:val="25F363B5"/>
    <w:rsid w:val="25F5D000"/>
    <w:rsid w:val="25FF0038"/>
    <w:rsid w:val="261010F8"/>
    <w:rsid w:val="26170423"/>
    <w:rsid w:val="2618702E"/>
    <w:rsid w:val="261A5511"/>
    <w:rsid w:val="262272F4"/>
    <w:rsid w:val="262B7BC6"/>
    <w:rsid w:val="262E3299"/>
    <w:rsid w:val="2631DDD4"/>
    <w:rsid w:val="2638CA4E"/>
    <w:rsid w:val="263BB122"/>
    <w:rsid w:val="2646CEA7"/>
    <w:rsid w:val="26494348"/>
    <w:rsid w:val="265A3C1F"/>
    <w:rsid w:val="26661940"/>
    <w:rsid w:val="266BF7B3"/>
    <w:rsid w:val="266EF018"/>
    <w:rsid w:val="26881652"/>
    <w:rsid w:val="268D2DF0"/>
    <w:rsid w:val="26944A1D"/>
    <w:rsid w:val="26AC89C4"/>
    <w:rsid w:val="26AF8957"/>
    <w:rsid w:val="26B93F4E"/>
    <w:rsid w:val="26BA7EAA"/>
    <w:rsid w:val="26C0A047"/>
    <w:rsid w:val="26C9DFBF"/>
    <w:rsid w:val="26CDB477"/>
    <w:rsid w:val="26DBC451"/>
    <w:rsid w:val="26DFCAA5"/>
    <w:rsid w:val="26E3DF35"/>
    <w:rsid w:val="26E9C374"/>
    <w:rsid w:val="26EAFBEB"/>
    <w:rsid w:val="26EBA956"/>
    <w:rsid w:val="26EC6B2D"/>
    <w:rsid w:val="26EF56A1"/>
    <w:rsid w:val="26F851C6"/>
    <w:rsid w:val="27002336"/>
    <w:rsid w:val="2711663C"/>
    <w:rsid w:val="271707D4"/>
    <w:rsid w:val="2717626D"/>
    <w:rsid w:val="2729CF07"/>
    <w:rsid w:val="2734141E"/>
    <w:rsid w:val="27357D46"/>
    <w:rsid w:val="2739F716"/>
    <w:rsid w:val="273AD9D9"/>
    <w:rsid w:val="274109A5"/>
    <w:rsid w:val="2743EB03"/>
    <w:rsid w:val="27506F3A"/>
    <w:rsid w:val="27521207"/>
    <w:rsid w:val="27534723"/>
    <w:rsid w:val="2762D18E"/>
    <w:rsid w:val="27630D9E"/>
    <w:rsid w:val="276F75C4"/>
    <w:rsid w:val="27714936"/>
    <w:rsid w:val="2774EEB9"/>
    <w:rsid w:val="2785A2CA"/>
    <w:rsid w:val="27924876"/>
    <w:rsid w:val="27938E1D"/>
    <w:rsid w:val="27974F21"/>
    <w:rsid w:val="2799A737"/>
    <w:rsid w:val="27A01109"/>
    <w:rsid w:val="27A8973A"/>
    <w:rsid w:val="27B2CA0B"/>
    <w:rsid w:val="27B2E2D1"/>
    <w:rsid w:val="27BB4C64"/>
    <w:rsid w:val="27CCCAB4"/>
    <w:rsid w:val="27D5E085"/>
    <w:rsid w:val="27D8277C"/>
    <w:rsid w:val="27DCB2BE"/>
    <w:rsid w:val="27E0DDE3"/>
    <w:rsid w:val="27E3CC99"/>
    <w:rsid w:val="27E5AFA0"/>
    <w:rsid w:val="27F2F6B5"/>
    <w:rsid w:val="27F9F9D2"/>
    <w:rsid w:val="28164BB1"/>
    <w:rsid w:val="2817FD6C"/>
    <w:rsid w:val="28221C8E"/>
    <w:rsid w:val="282B41DD"/>
    <w:rsid w:val="2836CABA"/>
    <w:rsid w:val="283CEB2A"/>
    <w:rsid w:val="283FFEBB"/>
    <w:rsid w:val="284426E4"/>
    <w:rsid w:val="28527E5D"/>
    <w:rsid w:val="285F04A1"/>
    <w:rsid w:val="28668252"/>
    <w:rsid w:val="2868D8E1"/>
    <w:rsid w:val="287C41BB"/>
    <w:rsid w:val="28869422"/>
    <w:rsid w:val="28879A04"/>
    <w:rsid w:val="2887B04D"/>
    <w:rsid w:val="28932EDD"/>
    <w:rsid w:val="2893A3A0"/>
    <w:rsid w:val="289D9704"/>
    <w:rsid w:val="28A29781"/>
    <w:rsid w:val="28A92E82"/>
    <w:rsid w:val="28AA3E68"/>
    <w:rsid w:val="28B5800B"/>
    <w:rsid w:val="28B7A40C"/>
    <w:rsid w:val="28C9C1C1"/>
    <w:rsid w:val="28CC24F0"/>
    <w:rsid w:val="28CF8C4C"/>
    <w:rsid w:val="28DD54C7"/>
    <w:rsid w:val="28DF6FBC"/>
    <w:rsid w:val="28F03D46"/>
    <w:rsid w:val="28F54A3D"/>
    <w:rsid w:val="28F85289"/>
    <w:rsid w:val="28FCEC72"/>
    <w:rsid w:val="2911AB55"/>
    <w:rsid w:val="2913D692"/>
    <w:rsid w:val="291D72F4"/>
    <w:rsid w:val="291EEEF7"/>
    <w:rsid w:val="2922CE01"/>
    <w:rsid w:val="2923DD06"/>
    <w:rsid w:val="292ADBEF"/>
    <w:rsid w:val="29303A02"/>
    <w:rsid w:val="29336692"/>
    <w:rsid w:val="29370D86"/>
    <w:rsid w:val="29419312"/>
    <w:rsid w:val="2953B7F8"/>
    <w:rsid w:val="29595213"/>
    <w:rsid w:val="29674D0D"/>
    <w:rsid w:val="297BF0F7"/>
    <w:rsid w:val="298007C6"/>
    <w:rsid w:val="2988857D"/>
    <w:rsid w:val="298AF090"/>
    <w:rsid w:val="2990FFE8"/>
    <w:rsid w:val="29A1E097"/>
    <w:rsid w:val="29A85EA6"/>
    <w:rsid w:val="29AAABC8"/>
    <w:rsid w:val="29D496B7"/>
    <w:rsid w:val="29DB57B6"/>
    <w:rsid w:val="29FCC34D"/>
    <w:rsid w:val="2A08F1AB"/>
    <w:rsid w:val="2A0F5FBC"/>
    <w:rsid w:val="2A0FD20D"/>
    <w:rsid w:val="2A347669"/>
    <w:rsid w:val="2A3A2454"/>
    <w:rsid w:val="2A3B1BA6"/>
    <w:rsid w:val="2A3CC779"/>
    <w:rsid w:val="2A3D774F"/>
    <w:rsid w:val="2A4DBA00"/>
    <w:rsid w:val="2A5E2A84"/>
    <w:rsid w:val="2A6B7963"/>
    <w:rsid w:val="2A7249E7"/>
    <w:rsid w:val="2A73A2CD"/>
    <w:rsid w:val="2A7449FF"/>
    <w:rsid w:val="2A7B8694"/>
    <w:rsid w:val="2A7F05F9"/>
    <w:rsid w:val="2A9140A3"/>
    <w:rsid w:val="2A958A67"/>
    <w:rsid w:val="2AA16B29"/>
    <w:rsid w:val="2AAFF273"/>
    <w:rsid w:val="2AC3E107"/>
    <w:rsid w:val="2AD22EC6"/>
    <w:rsid w:val="2AD24616"/>
    <w:rsid w:val="2AD6FAB2"/>
    <w:rsid w:val="2AE2C849"/>
    <w:rsid w:val="2AE3016F"/>
    <w:rsid w:val="2AE8FCFA"/>
    <w:rsid w:val="2AF61E23"/>
    <w:rsid w:val="2B03415E"/>
    <w:rsid w:val="2B0827A0"/>
    <w:rsid w:val="2B0E9E59"/>
    <w:rsid w:val="2B1643AB"/>
    <w:rsid w:val="2B20D257"/>
    <w:rsid w:val="2B2ECDF9"/>
    <w:rsid w:val="2B34BB4F"/>
    <w:rsid w:val="2B369CCB"/>
    <w:rsid w:val="2B39D682"/>
    <w:rsid w:val="2B3DD83E"/>
    <w:rsid w:val="2B43D22D"/>
    <w:rsid w:val="2B4A90B1"/>
    <w:rsid w:val="2B576E52"/>
    <w:rsid w:val="2B5A9D18"/>
    <w:rsid w:val="2B61A740"/>
    <w:rsid w:val="2B66EF0C"/>
    <w:rsid w:val="2B67863F"/>
    <w:rsid w:val="2B6B1D2D"/>
    <w:rsid w:val="2B6F63A8"/>
    <w:rsid w:val="2B722574"/>
    <w:rsid w:val="2B74AD55"/>
    <w:rsid w:val="2B816755"/>
    <w:rsid w:val="2B8315AD"/>
    <w:rsid w:val="2B87BDAF"/>
    <w:rsid w:val="2B87F391"/>
    <w:rsid w:val="2B936E9A"/>
    <w:rsid w:val="2B94C6C4"/>
    <w:rsid w:val="2B9F6453"/>
    <w:rsid w:val="2BA3CC9C"/>
    <w:rsid w:val="2BAC41BF"/>
    <w:rsid w:val="2BBAB628"/>
    <w:rsid w:val="2BC19DAB"/>
    <w:rsid w:val="2BD16DDB"/>
    <w:rsid w:val="2BD7110D"/>
    <w:rsid w:val="2BE01EE7"/>
    <w:rsid w:val="2BE0E60E"/>
    <w:rsid w:val="2BF2BC8F"/>
    <w:rsid w:val="2C091F82"/>
    <w:rsid w:val="2C0A892C"/>
    <w:rsid w:val="2C0EEE78"/>
    <w:rsid w:val="2C29DC98"/>
    <w:rsid w:val="2C2EE1D1"/>
    <w:rsid w:val="2C318C6A"/>
    <w:rsid w:val="2C3CB870"/>
    <w:rsid w:val="2C4A2A2F"/>
    <w:rsid w:val="2C4ADFA6"/>
    <w:rsid w:val="2C4C6810"/>
    <w:rsid w:val="2C58AE6F"/>
    <w:rsid w:val="2C58AF6D"/>
    <w:rsid w:val="2C5F3E87"/>
    <w:rsid w:val="2C641E5C"/>
    <w:rsid w:val="2C666612"/>
    <w:rsid w:val="2C6AE770"/>
    <w:rsid w:val="2C6C2C19"/>
    <w:rsid w:val="2C6D495E"/>
    <w:rsid w:val="2C79B028"/>
    <w:rsid w:val="2C7FDAED"/>
    <w:rsid w:val="2C812F5B"/>
    <w:rsid w:val="2C8FF553"/>
    <w:rsid w:val="2C9401AB"/>
    <w:rsid w:val="2C9A956D"/>
    <w:rsid w:val="2C9D1B7C"/>
    <w:rsid w:val="2C9D8BA5"/>
    <w:rsid w:val="2CA177D0"/>
    <w:rsid w:val="2CA39E72"/>
    <w:rsid w:val="2CBF51D0"/>
    <w:rsid w:val="2CBF6492"/>
    <w:rsid w:val="2CC2961E"/>
    <w:rsid w:val="2CC8E5C1"/>
    <w:rsid w:val="2CDEC8EE"/>
    <w:rsid w:val="2CE2885B"/>
    <w:rsid w:val="2CE464C6"/>
    <w:rsid w:val="2CF99E7E"/>
    <w:rsid w:val="2CFF9158"/>
    <w:rsid w:val="2D0099FC"/>
    <w:rsid w:val="2D02AED6"/>
    <w:rsid w:val="2D0992D7"/>
    <w:rsid w:val="2D133790"/>
    <w:rsid w:val="2D164068"/>
    <w:rsid w:val="2D20F02D"/>
    <w:rsid w:val="2D2658BD"/>
    <w:rsid w:val="2D31C673"/>
    <w:rsid w:val="2D326803"/>
    <w:rsid w:val="2D398D3E"/>
    <w:rsid w:val="2D3B08A2"/>
    <w:rsid w:val="2D597425"/>
    <w:rsid w:val="2D5B6EE8"/>
    <w:rsid w:val="2D61D4A4"/>
    <w:rsid w:val="2D637641"/>
    <w:rsid w:val="2D646640"/>
    <w:rsid w:val="2D65EE9A"/>
    <w:rsid w:val="2D67FFDE"/>
    <w:rsid w:val="2D75211B"/>
    <w:rsid w:val="2D793734"/>
    <w:rsid w:val="2D7D02C3"/>
    <w:rsid w:val="2D80B0A2"/>
    <w:rsid w:val="2D80CC5A"/>
    <w:rsid w:val="2D894D85"/>
    <w:rsid w:val="2D906884"/>
    <w:rsid w:val="2DA94384"/>
    <w:rsid w:val="2DA964EB"/>
    <w:rsid w:val="2DAE5294"/>
    <w:rsid w:val="2DB04A2F"/>
    <w:rsid w:val="2DB6179E"/>
    <w:rsid w:val="2DB82587"/>
    <w:rsid w:val="2DCB059B"/>
    <w:rsid w:val="2DD1C49A"/>
    <w:rsid w:val="2DDBA5DA"/>
    <w:rsid w:val="2DE3A2A0"/>
    <w:rsid w:val="2E1434B9"/>
    <w:rsid w:val="2E230726"/>
    <w:rsid w:val="2E24F5E0"/>
    <w:rsid w:val="2E39D07A"/>
    <w:rsid w:val="2E51D84D"/>
    <w:rsid w:val="2E5252B9"/>
    <w:rsid w:val="2E5468E5"/>
    <w:rsid w:val="2E5D2CD3"/>
    <w:rsid w:val="2E607FF1"/>
    <w:rsid w:val="2E815E98"/>
    <w:rsid w:val="2E86EA03"/>
    <w:rsid w:val="2E8A2EE5"/>
    <w:rsid w:val="2E8E4AA3"/>
    <w:rsid w:val="2E92EC26"/>
    <w:rsid w:val="2E94F81F"/>
    <w:rsid w:val="2E9E34C9"/>
    <w:rsid w:val="2EA1984C"/>
    <w:rsid w:val="2EA44E9D"/>
    <w:rsid w:val="2EAC47C5"/>
    <w:rsid w:val="2EBA9209"/>
    <w:rsid w:val="2EBDBD5B"/>
    <w:rsid w:val="2EC03AFD"/>
    <w:rsid w:val="2EC8F514"/>
    <w:rsid w:val="2EE65203"/>
    <w:rsid w:val="2EE8D0F7"/>
    <w:rsid w:val="2EEA70AB"/>
    <w:rsid w:val="2EF35758"/>
    <w:rsid w:val="2F0416FC"/>
    <w:rsid w:val="2F0A01A4"/>
    <w:rsid w:val="2F0A09B0"/>
    <w:rsid w:val="2F0B6D34"/>
    <w:rsid w:val="2F145375"/>
    <w:rsid w:val="2F1BFE26"/>
    <w:rsid w:val="2F42E009"/>
    <w:rsid w:val="2F5DBE89"/>
    <w:rsid w:val="2F65FBC8"/>
    <w:rsid w:val="2F6BB8DA"/>
    <w:rsid w:val="2F6F251E"/>
    <w:rsid w:val="2F70CE13"/>
    <w:rsid w:val="2F732A0B"/>
    <w:rsid w:val="2F7352B6"/>
    <w:rsid w:val="2F7C25DA"/>
    <w:rsid w:val="2F8ECB8F"/>
    <w:rsid w:val="2F93466E"/>
    <w:rsid w:val="2F937876"/>
    <w:rsid w:val="2F944284"/>
    <w:rsid w:val="2F95119E"/>
    <w:rsid w:val="2FA7ABC0"/>
    <w:rsid w:val="2FA8C350"/>
    <w:rsid w:val="2FC1BB0E"/>
    <w:rsid w:val="2FCD2F79"/>
    <w:rsid w:val="2FD69A66"/>
    <w:rsid w:val="2FF20383"/>
    <w:rsid w:val="2FFB5666"/>
    <w:rsid w:val="2FFF51F4"/>
    <w:rsid w:val="300B4A89"/>
    <w:rsid w:val="300DAE5F"/>
    <w:rsid w:val="300DE4A0"/>
    <w:rsid w:val="3010EA1A"/>
    <w:rsid w:val="30157377"/>
    <w:rsid w:val="301D9548"/>
    <w:rsid w:val="30219F6F"/>
    <w:rsid w:val="30230EC9"/>
    <w:rsid w:val="3024686C"/>
    <w:rsid w:val="302933D0"/>
    <w:rsid w:val="30334CB1"/>
    <w:rsid w:val="303E22FC"/>
    <w:rsid w:val="30463BB9"/>
    <w:rsid w:val="3048043C"/>
    <w:rsid w:val="304AC43C"/>
    <w:rsid w:val="304C8207"/>
    <w:rsid w:val="3059F1D6"/>
    <w:rsid w:val="3061A5AA"/>
    <w:rsid w:val="306E91A7"/>
    <w:rsid w:val="307E023A"/>
    <w:rsid w:val="307E6948"/>
    <w:rsid w:val="30893C36"/>
    <w:rsid w:val="308A9F2E"/>
    <w:rsid w:val="3094A0B7"/>
    <w:rsid w:val="30A5CA31"/>
    <w:rsid w:val="30BBD2D2"/>
    <w:rsid w:val="30C61EAF"/>
    <w:rsid w:val="30C7345C"/>
    <w:rsid w:val="30C75253"/>
    <w:rsid w:val="30DA5F77"/>
    <w:rsid w:val="30E37921"/>
    <w:rsid w:val="30FA8901"/>
    <w:rsid w:val="30FBBC5F"/>
    <w:rsid w:val="30FD3352"/>
    <w:rsid w:val="30FD3CFD"/>
    <w:rsid w:val="310757B8"/>
    <w:rsid w:val="31090A25"/>
    <w:rsid w:val="310A5BBE"/>
    <w:rsid w:val="31104969"/>
    <w:rsid w:val="31161726"/>
    <w:rsid w:val="312DDD4F"/>
    <w:rsid w:val="3142CE00"/>
    <w:rsid w:val="31436621"/>
    <w:rsid w:val="3147FC3E"/>
    <w:rsid w:val="3153E842"/>
    <w:rsid w:val="316EA84E"/>
    <w:rsid w:val="31702560"/>
    <w:rsid w:val="317A7300"/>
    <w:rsid w:val="319259D0"/>
    <w:rsid w:val="31AC3230"/>
    <w:rsid w:val="31AD060F"/>
    <w:rsid w:val="31B79C2E"/>
    <w:rsid w:val="31B9EB6F"/>
    <w:rsid w:val="31BA2798"/>
    <w:rsid w:val="31BA9A14"/>
    <w:rsid w:val="31BBA0F1"/>
    <w:rsid w:val="31BC4F7F"/>
    <w:rsid w:val="31C22CEF"/>
    <w:rsid w:val="31C26FC1"/>
    <w:rsid w:val="31C8EADB"/>
    <w:rsid w:val="31D07EC5"/>
    <w:rsid w:val="31D0D9C1"/>
    <w:rsid w:val="31D59132"/>
    <w:rsid w:val="31D5C339"/>
    <w:rsid w:val="31D6365A"/>
    <w:rsid w:val="31D91B31"/>
    <w:rsid w:val="31DC90EB"/>
    <w:rsid w:val="31F26981"/>
    <w:rsid w:val="31F3B597"/>
    <w:rsid w:val="31F572EF"/>
    <w:rsid w:val="31F6541C"/>
    <w:rsid w:val="31FD40C3"/>
    <w:rsid w:val="31FED9EA"/>
    <w:rsid w:val="321C9BC3"/>
    <w:rsid w:val="32269249"/>
    <w:rsid w:val="32293FDC"/>
    <w:rsid w:val="323E717D"/>
    <w:rsid w:val="3246070E"/>
    <w:rsid w:val="32521141"/>
    <w:rsid w:val="325C693B"/>
    <w:rsid w:val="325F2852"/>
    <w:rsid w:val="325F9A67"/>
    <w:rsid w:val="32640C6C"/>
    <w:rsid w:val="326E2DDB"/>
    <w:rsid w:val="32757652"/>
    <w:rsid w:val="327729B7"/>
    <w:rsid w:val="3277FAB2"/>
    <w:rsid w:val="327A8EC8"/>
    <w:rsid w:val="328B75D2"/>
    <w:rsid w:val="3290C64E"/>
    <w:rsid w:val="3292B17C"/>
    <w:rsid w:val="329C7108"/>
    <w:rsid w:val="32AAEEAB"/>
    <w:rsid w:val="32AB99EC"/>
    <w:rsid w:val="32B93026"/>
    <w:rsid w:val="32BC54E3"/>
    <w:rsid w:val="32C0B2A7"/>
    <w:rsid w:val="32DC845D"/>
    <w:rsid w:val="32DCE4C6"/>
    <w:rsid w:val="32E69659"/>
    <w:rsid w:val="32E71534"/>
    <w:rsid w:val="32E7C749"/>
    <w:rsid w:val="32F9919F"/>
    <w:rsid w:val="32FDA1DD"/>
    <w:rsid w:val="3312C910"/>
    <w:rsid w:val="3313AA1C"/>
    <w:rsid w:val="33193629"/>
    <w:rsid w:val="331DBCC4"/>
    <w:rsid w:val="331E2140"/>
    <w:rsid w:val="33277F18"/>
    <w:rsid w:val="3327A0A5"/>
    <w:rsid w:val="3327A2DA"/>
    <w:rsid w:val="332AD391"/>
    <w:rsid w:val="332F61E9"/>
    <w:rsid w:val="332FB9B3"/>
    <w:rsid w:val="3333434D"/>
    <w:rsid w:val="3339283F"/>
    <w:rsid w:val="334DC9F3"/>
    <w:rsid w:val="33523ABA"/>
    <w:rsid w:val="33528DA8"/>
    <w:rsid w:val="3365243A"/>
    <w:rsid w:val="33723BF5"/>
    <w:rsid w:val="337BE680"/>
    <w:rsid w:val="33848B41"/>
    <w:rsid w:val="338ECC86"/>
    <w:rsid w:val="339EA838"/>
    <w:rsid w:val="33A8AC74"/>
    <w:rsid w:val="33B0D8D8"/>
    <w:rsid w:val="33B728A9"/>
    <w:rsid w:val="33B785BA"/>
    <w:rsid w:val="33C19C90"/>
    <w:rsid w:val="33C46FBB"/>
    <w:rsid w:val="33C84198"/>
    <w:rsid w:val="33CB3E87"/>
    <w:rsid w:val="33CFC52A"/>
    <w:rsid w:val="33D9C093"/>
    <w:rsid w:val="33E90487"/>
    <w:rsid w:val="33EBF803"/>
    <w:rsid w:val="33ED0C89"/>
    <w:rsid w:val="33F75FC8"/>
    <w:rsid w:val="33F8C10F"/>
    <w:rsid w:val="3402497A"/>
    <w:rsid w:val="34062277"/>
    <w:rsid w:val="340A4CD9"/>
    <w:rsid w:val="34276AB2"/>
    <w:rsid w:val="342D222F"/>
    <w:rsid w:val="342E2D75"/>
    <w:rsid w:val="342F4A97"/>
    <w:rsid w:val="3431F2BE"/>
    <w:rsid w:val="34321B6A"/>
    <w:rsid w:val="3446095F"/>
    <w:rsid w:val="344B0789"/>
    <w:rsid w:val="344CB1BC"/>
    <w:rsid w:val="34522F47"/>
    <w:rsid w:val="34530283"/>
    <w:rsid w:val="3460B22C"/>
    <w:rsid w:val="3464FB8C"/>
    <w:rsid w:val="346B8335"/>
    <w:rsid w:val="346F260A"/>
    <w:rsid w:val="349D713D"/>
    <w:rsid w:val="34ABEDE5"/>
    <w:rsid w:val="34AE657F"/>
    <w:rsid w:val="34B498E1"/>
    <w:rsid w:val="34B66B9E"/>
    <w:rsid w:val="34B7CC51"/>
    <w:rsid w:val="34BDB856"/>
    <w:rsid w:val="34DBA68A"/>
    <w:rsid w:val="34E0353B"/>
    <w:rsid w:val="34ED08DD"/>
    <w:rsid w:val="34EE05F6"/>
    <w:rsid w:val="34F21E61"/>
    <w:rsid w:val="34F653F6"/>
    <w:rsid w:val="35069B66"/>
    <w:rsid w:val="350FFAE1"/>
    <w:rsid w:val="351E1901"/>
    <w:rsid w:val="35208975"/>
    <w:rsid w:val="352A40F5"/>
    <w:rsid w:val="352EA958"/>
    <w:rsid w:val="353240DF"/>
    <w:rsid w:val="3537AE97"/>
    <w:rsid w:val="35562F5D"/>
    <w:rsid w:val="3568A0D5"/>
    <w:rsid w:val="3570CAB8"/>
    <w:rsid w:val="3576FC15"/>
    <w:rsid w:val="3577EEED"/>
    <w:rsid w:val="359EE8A7"/>
    <w:rsid w:val="35A371A8"/>
    <w:rsid w:val="35AC52D3"/>
    <w:rsid w:val="35BCC1FB"/>
    <w:rsid w:val="35C129CC"/>
    <w:rsid w:val="35C1BB2B"/>
    <w:rsid w:val="35D2907C"/>
    <w:rsid w:val="35D57950"/>
    <w:rsid w:val="35DF38B6"/>
    <w:rsid w:val="35E03A50"/>
    <w:rsid w:val="35EC8D9D"/>
    <w:rsid w:val="36047777"/>
    <w:rsid w:val="360EB364"/>
    <w:rsid w:val="3612A33C"/>
    <w:rsid w:val="36180529"/>
    <w:rsid w:val="361D8D30"/>
    <w:rsid w:val="3631681E"/>
    <w:rsid w:val="36319DEE"/>
    <w:rsid w:val="3636DBB6"/>
    <w:rsid w:val="36575E13"/>
    <w:rsid w:val="365E48F2"/>
    <w:rsid w:val="36619DA9"/>
    <w:rsid w:val="366C202F"/>
    <w:rsid w:val="366D1E15"/>
    <w:rsid w:val="3674D702"/>
    <w:rsid w:val="36880B48"/>
    <w:rsid w:val="368B2E74"/>
    <w:rsid w:val="3694C605"/>
    <w:rsid w:val="369855AB"/>
    <w:rsid w:val="369DA74F"/>
    <w:rsid w:val="36ADFB8A"/>
    <w:rsid w:val="36B4C78D"/>
    <w:rsid w:val="36B7E21D"/>
    <w:rsid w:val="36BCB5AF"/>
    <w:rsid w:val="36CF90F7"/>
    <w:rsid w:val="36D015A6"/>
    <w:rsid w:val="36D07FB5"/>
    <w:rsid w:val="36DCBF91"/>
    <w:rsid w:val="36E5BC8C"/>
    <w:rsid w:val="36EAA21A"/>
    <w:rsid w:val="37047756"/>
    <w:rsid w:val="370C4F00"/>
    <w:rsid w:val="371A5790"/>
    <w:rsid w:val="371B9850"/>
    <w:rsid w:val="371F900C"/>
    <w:rsid w:val="371FDA87"/>
    <w:rsid w:val="372404B7"/>
    <w:rsid w:val="3725D36B"/>
    <w:rsid w:val="37294940"/>
    <w:rsid w:val="373171B5"/>
    <w:rsid w:val="3732352E"/>
    <w:rsid w:val="3737EB61"/>
    <w:rsid w:val="373E98DA"/>
    <w:rsid w:val="37402585"/>
    <w:rsid w:val="3745D617"/>
    <w:rsid w:val="374F9436"/>
    <w:rsid w:val="3756B381"/>
    <w:rsid w:val="3763DC6B"/>
    <w:rsid w:val="37740BD9"/>
    <w:rsid w:val="37942A0E"/>
    <w:rsid w:val="37962CF0"/>
    <w:rsid w:val="3797312B"/>
    <w:rsid w:val="379E8AAE"/>
    <w:rsid w:val="37A04CD5"/>
    <w:rsid w:val="37A1A1A2"/>
    <w:rsid w:val="37A877D1"/>
    <w:rsid w:val="37ADF597"/>
    <w:rsid w:val="37AF30D7"/>
    <w:rsid w:val="37B360BA"/>
    <w:rsid w:val="37BA9316"/>
    <w:rsid w:val="37BD3872"/>
    <w:rsid w:val="37BE13BF"/>
    <w:rsid w:val="37CC21EF"/>
    <w:rsid w:val="37CD0917"/>
    <w:rsid w:val="37D3FA79"/>
    <w:rsid w:val="37DF31DA"/>
    <w:rsid w:val="37F327DE"/>
    <w:rsid w:val="38035324"/>
    <w:rsid w:val="38039C71"/>
    <w:rsid w:val="380AA716"/>
    <w:rsid w:val="3821DEC4"/>
    <w:rsid w:val="382DF257"/>
    <w:rsid w:val="38319C49"/>
    <w:rsid w:val="38394A2F"/>
    <w:rsid w:val="384295A9"/>
    <w:rsid w:val="384515D3"/>
    <w:rsid w:val="38453121"/>
    <w:rsid w:val="38521AC8"/>
    <w:rsid w:val="38562CB6"/>
    <w:rsid w:val="38571735"/>
    <w:rsid w:val="386CD520"/>
    <w:rsid w:val="38778759"/>
    <w:rsid w:val="3878701C"/>
    <w:rsid w:val="38814A18"/>
    <w:rsid w:val="38A4AF29"/>
    <w:rsid w:val="38A86D6A"/>
    <w:rsid w:val="38ACFE67"/>
    <w:rsid w:val="38B3BD61"/>
    <w:rsid w:val="38B6943D"/>
    <w:rsid w:val="38C3936A"/>
    <w:rsid w:val="38C7D224"/>
    <w:rsid w:val="38CA9AFF"/>
    <w:rsid w:val="38D14EBC"/>
    <w:rsid w:val="38D2959F"/>
    <w:rsid w:val="38DDF7F1"/>
    <w:rsid w:val="38E6F5D2"/>
    <w:rsid w:val="38F073FA"/>
    <w:rsid w:val="390116BD"/>
    <w:rsid w:val="390BB155"/>
    <w:rsid w:val="391000F5"/>
    <w:rsid w:val="39257108"/>
    <w:rsid w:val="39283C93"/>
    <w:rsid w:val="3929CC83"/>
    <w:rsid w:val="392F8885"/>
    <w:rsid w:val="39318746"/>
    <w:rsid w:val="393A7105"/>
    <w:rsid w:val="393B65F1"/>
    <w:rsid w:val="394C929C"/>
    <w:rsid w:val="3957ABF8"/>
    <w:rsid w:val="3962CEBD"/>
    <w:rsid w:val="396362F2"/>
    <w:rsid w:val="3971DB92"/>
    <w:rsid w:val="397A20B8"/>
    <w:rsid w:val="397C550C"/>
    <w:rsid w:val="397C7659"/>
    <w:rsid w:val="39829692"/>
    <w:rsid w:val="3983DD7E"/>
    <w:rsid w:val="39849975"/>
    <w:rsid w:val="39903643"/>
    <w:rsid w:val="3998424F"/>
    <w:rsid w:val="39A04F95"/>
    <w:rsid w:val="39AE557F"/>
    <w:rsid w:val="39AFFB3D"/>
    <w:rsid w:val="39BCADE2"/>
    <w:rsid w:val="39C0DFA8"/>
    <w:rsid w:val="39C4D4CD"/>
    <w:rsid w:val="39D926B7"/>
    <w:rsid w:val="39E4169A"/>
    <w:rsid w:val="39E70CD5"/>
    <w:rsid w:val="39EA259D"/>
    <w:rsid w:val="39EB0FD4"/>
    <w:rsid w:val="39ED637F"/>
    <w:rsid w:val="39EF4D0D"/>
    <w:rsid w:val="39FCE0BA"/>
    <w:rsid w:val="3A05DFE2"/>
    <w:rsid w:val="3A19468E"/>
    <w:rsid w:val="3A20B04C"/>
    <w:rsid w:val="3A21A714"/>
    <w:rsid w:val="3A3271EB"/>
    <w:rsid w:val="3A39CE1A"/>
    <w:rsid w:val="3A40AC03"/>
    <w:rsid w:val="3A4256D7"/>
    <w:rsid w:val="3A43C0B9"/>
    <w:rsid w:val="3A46D8BB"/>
    <w:rsid w:val="3A547299"/>
    <w:rsid w:val="3A594172"/>
    <w:rsid w:val="3A5B112F"/>
    <w:rsid w:val="3A6DE1E0"/>
    <w:rsid w:val="3A7F3243"/>
    <w:rsid w:val="3A8D58CF"/>
    <w:rsid w:val="3A93ECB8"/>
    <w:rsid w:val="3A959C1E"/>
    <w:rsid w:val="3A9AFDED"/>
    <w:rsid w:val="3AA2770E"/>
    <w:rsid w:val="3AA30314"/>
    <w:rsid w:val="3AA6A025"/>
    <w:rsid w:val="3AB099AE"/>
    <w:rsid w:val="3AB1B275"/>
    <w:rsid w:val="3AB86EC3"/>
    <w:rsid w:val="3ABA60CA"/>
    <w:rsid w:val="3AC2C79A"/>
    <w:rsid w:val="3ACCD577"/>
    <w:rsid w:val="3AD2F709"/>
    <w:rsid w:val="3AD6990E"/>
    <w:rsid w:val="3AF44A5D"/>
    <w:rsid w:val="3AFCCA1E"/>
    <w:rsid w:val="3B021869"/>
    <w:rsid w:val="3B0537E5"/>
    <w:rsid w:val="3B1AA644"/>
    <w:rsid w:val="3B2606D1"/>
    <w:rsid w:val="3B2E048D"/>
    <w:rsid w:val="3B2FBFF6"/>
    <w:rsid w:val="3B30B630"/>
    <w:rsid w:val="3B316D61"/>
    <w:rsid w:val="3B35C991"/>
    <w:rsid w:val="3B48F9C5"/>
    <w:rsid w:val="3B4C592E"/>
    <w:rsid w:val="3B580864"/>
    <w:rsid w:val="3B65AB6E"/>
    <w:rsid w:val="3B68DA7C"/>
    <w:rsid w:val="3B859CF2"/>
    <w:rsid w:val="3B88361B"/>
    <w:rsid w:val="3B8B842E"/>
    <w:rsid w:val="3B8FF69B"/>
    <w:rsid w:val="3B95BA02"/>
    <w:rsid w:val="3BB7BA99"/>
    <w:rsid w:val="3BC202C0"/>
    <w:rsid w:val="3BC301F9"/>
    <w:rsid w:val="3BCFAB7F"/>
    <w:rsid w:val="3BD02553"/>
    <w:rsid w:val="3BD51989"/>
    <w:rsid w:val="3BD6BC37"/>
    <w:rsid w:val="3BD95331"/>
    <w:rsid w:val="3BDE6BB2"/>
    <w:rsid w:val="3BE54593"/>
    <w:rsid w:val="3BFCA431"/>
    <w:rsid w:val="3BFD7607"/>
    <w:rsid w:val="3BFEA458"/>
    <w:rsid w:val="3C1A74ED"/>
    <w:rsid w:val="3C296F4E"/>
    <w:rsid w:val="3C2CD52E"/>
    <w:rsid w:val="3C33C3CA"/>
    <w:rsid w:val="3C3B0989"/>
    <w:rsid w:val="3C3B5425"/>
    <w:rsid w:val="3C3CB72B"/>
    <w:rsid w:val="3C40DB89"/>
    <w:rsid w:val="3C420FE2"/>
    <w:rsid w:val="3C43FB15"/>
    <w:rsid w:val="3C46D8AE"/>
    <w:rsid w:val="3C5675CC"/>
    <w:rsid w:val="3C593AFA"/>
    <w:rsid w:val="3C59E8EB"/>
    <w:rsid w:val="3C619A5E"/>
    <w:rsid w:val="3C64B643"/>
    <w:rsid w:val="3C66FA76"/>
    <w:rsid w:val="3C80DDD5"/>
    <w:rsid w:val="3C883D52"/>
    <w:rsid w:val="3C8E9414"/>
    <w:rsid w:val="3C97525F"/>
    <w:rsid w:val="3C9C32E0"/>
    <w:rsid w:val="3C9DC347"/>
    <w:rsid w:val="3C9DED74"/>
    <w:rsid w:val="3CA0ED45"/>
    <w:rsid w:val="3CA3FF4B"/>
    <w:rsid w:val="3CA81FB1"/>
    <w:rsid w:val="3CB43834"/>
    <w:rsid w:val="3CBC3DC6"/>
    <w:rsid w:val="3CC9ACE7"/>
    <w:rsid w:val="3CD6A1B2"/>
    <w:rsid w:val="3CD90B2D"/>
    <w:rsid w:val="3CDCDBCD"/>
    <w:rsid w:val="3CE165C9"/>
    <w:rsid w:val="3CE1A68E"/>
    <w:rsid w:val="3CE5013C"/>
    <w:rsid w:val="3CE53C95"/>
    <w:rsid w:val="3CE6CB3A"/>
    <w:rsid w:val="3CEBB111"/>
    <w:rsid w:val="3CEEB660"/>
    <w:rsid w:val="3CFA51CF"/>
    <w:rsid w:val="3D0C6612"/>
    <w:rsid w:val="3D10CCA1"/>
    <w:rsid w:val="3D1700B6"/>
    <w:rsid w:val="3D314957"/>
    <w:rsid w:val="3D33CF8B"/>
    <w:rsid w:val="3D33F1BE"/>
    <w:rsid w:val="3D3956C0"/>
    <w:rsid w:val="3D403D3B"/>
    <w:rsid w:val="3D49A5E9"/>
    <w:rsid w:val="3D5DA4D8"/>
    <w:rsid w:val="3D7691F1"/>
    <w:rsid w:val="3D7AAC28"/>
    <w:rsid w:val="3D93474D"/>
    <w:rsid w:val="3D992408"/>
    <w:rsid w:val="3D99FF55"/>
    <w:rsid w:val="3D9C93A6"/>
    <w:rsid w:val="3DB2219F"/>
    <w:rsid w:val="3DB802D2"/>
    <w:rsid w:val="3DBB3484"/>
    <w:rsid w:val="3DD2DA26"/>
    <w:rsid w:val="3DD5D8C5"/>
    <w:rsid w:val="3DD737AA"/>
    <w:rsid w:val="3DDF3686"/>
    <w:rsid w:val="3DE156D2"/>
    <w:rsid w:val="3DE8ACB4"/>
    <w:rsid w:val="3DF43299"/>
    <w:rsid w:val="3E06C692"/>
    <w:rsid w:val="3E0C3F3F"/>
    <w:rsid w:val="3E1CC1A5"/>
    <w:rsid w:val="3E239577"/>
    <w:rsid w:val="3E25B91B"/>
    <w:rsid w:val="3E2CF688"/>
    <w:rsid w:val="3E2EDAB9"/>
    <w:rsid w:val="3E3B7B55"/>
    <w:rsid w:val="3E402E41"/>
    <w:rsid w:val="3E48BC3E"/>
    <w:rsid w:val="3E53E255"/>
    <w:rsid w:val="3E6D21D1"/>
    <w:rsid w:val="3E6FD5D5"/>
    <w:rsid w:val="3E792146"/>
    <w:rsid w:val="3E798415"/>
    <w:rsid w:val="3E890C98"/>
    <w:rsid w:val="3E8DABDF"/>
    <w:rsid w:val="3E9B5BEB"/>
    <w:rsid w:val="3E9D4967"/>
    <w:rsid w:val="3EAA2780"/>
    <w:rsid w:val="3EAC91BB"/>
    <w:rsid w:val="3EC8CEE2"/>
    <w:rsid w:val="3ECDA0E1"/>
    <w:rsid w:val="3ED71B56"/>
    <w:rsid w:val="3EE50AD6"/>
    <w:rsid w:val="3EE8A74B"/>
    <w:rsid w:val="3EFA8A21"/>
    <w:rsid w:val="3EFE1A3B"/>
    <w:rsid w:val="3F0B61EB"/>
    <w:rsid w:val="3F1077B1"/>
    <w:rsid w:val="3F113B3D"/>
    <w:rsid w:val="3F2E1E2A"/>
    <w:rsid w:val="3F33AA35"/>
    <w:rsid w:val="3F38DDE2"/>
    <w:rsid w:val="3F397F53"/>
    <w:rsid w:val="3F3CF59D"/>
    <w:rsid w:val="3F3E0588"/>
    <w:rsid w:val="3F446F56"/>
    <w:rsid w:val="3F467A84"/>
    <w:rsid w:val="3F4767EC"/>
    <w:rsid w:val="3F4FAE03"/>
    <w:rsid w:val="3F61498C"/>
    <w:rsid w:val="3F6228DB"/>
    <w:rsid w:val="3F673C4A"/>
    <w:rsid w:val="3F769CBA"/>
    <w:rsid w:val="3F7E6344"/>
    <w:rsid w:val="3F9BF489"/>
    <w:rsid w:val="3F9C7F7E"/>
    <w:rsid w:val="3FA36CBD"/>
    <w:rsid w:val="3FA9A170"/>
    <w:rsid w:val="3FAA5D9F"/>
    <w:rsid w:val="3FAAC005"/>
    <w:rsid w:val="3FAC01D5"/>
    <w:rsid w:val="3FC0C3D3"/>
    <w:rsid w:val="3FCC44AF"/>
    <w:rsid w:val="3FDB5F90"/>
    <w:rsid w:val="3FDE627E"/>
    <w:rsid w:val="3FDF080C"/>
    <w:rsid w:val="3FE3A55E"/>
    <w:rsid w:val="3FE56A93"/>
    <w:rsid w:val="3FF105BF"/>
    <w:rsid w:val="3FF7C06E"/>
    <w:rsid w:val="3FF80F1D"/>
    <w:rsid w:val="3FFBACEE"/>
    <w:rsid w:val="40022716"/>
    <w:rsid w:val="4005E6C8"/>
    <w:rsid w:val="400B2E18"/>
    <w:rsid w:val="40120E26"/>
    <w:rsid w:val="40148D14"/>
    <w:rsid w:val="401AB4F8"/>
    <w:rsid w:val="40239247"/>
    <w:rsid w:val="402F265E"/>
    <w:rsid w:val="403102DB"/>
    <w:rsid w:val="403702E0"/>
    <w:rsid w:val="4041BE73"/>
    <w:rsid w:val="404D27F5"/>
    <w:rsid w:val="404FA4F4"/>
    <w:rsid w:val="4059B196"/>
    <w:rsid w:val="405F7558"/>
    <w:rsid w:val="40709C70"/>
    <w:rsid w:val="40856D41"/>
    <w:rsid w:val="40878064"/>
    <w:rsid w:val="408AA5EB"/>
    <w:rsid w:val="408B2CD9"/>
    <w:rsid w:val="4093F6D5"/>
    <w:rsid w:val="40AE743C"/>
    <w:rsid w:val="40AF18BA"/>
    <w:rsid w:val="40B063B6"/>
    <w:rsid w:val="40B82D19"/>
    <w:rsid w:val="40BAF8AC"/>
    <w:rsid w:val="40CAE367"/>
    <w:rsid w:val="40E1AE3C"/>
    <w:rsid w:val="40E1EFEC"/>
    <w:rsid w:val="40E4E6D6"/>
    <w:rsid w:val="40EBFDA2"/>
    <w:rsid w:val="40FA8F6E"/>
    <w:rsid w:val="410A1C0C"/>
    <w:rsid w:val="41117CC7"/>
    <w:rsid w:val="4125433C"/>
    <w:rsid w:val="4130B623"/>
    <w:rsid w:val="413D5A0B"/>
    <w:rsid w:val="4148D5C2"/>
    <w:rsid w:val="414BE1B0"/>
    <w:rsid w:val="41527239"/>
    <w:rsid w:val="41594CC7"/>
    <w:rsid w:val="415E909D"/>
    <w:rsid w:val="4179468F"/>
    <w:rsid w:val="417B7AA3"/>
    <w:rsid w:val="417C29A4"/>
    <w:rsid w:val="417E04F3"/>
    <w:rsid w:val="41809080"/>
    <w:rsid w:val="418EEFE3"/>
    <w:rsid w:val="419B3C86"/>
    <w:rsid w:val="41A05799"/>
    <w:rsid w:val="41A4B3CB"/>
    <w:rsid w:val="41B0025B"/>
    <w:rsid w:val="41B193B5"/>
    <w:rsid w:val="41C29023"/>
    <w:rsid w:val="41CF7B52"/>
    <w:rsid w:val="41D4EC8B"/>
    <w:rsid w:val="41D58A09"/>
    <w:rsid w:val="41EB6875"/>
    <w:rsid w:val="42064508"/>
    <w:rsid w:val="4222544B"/>
    <w:rsid w:val="4223AFE8"/>
    <w:rsid w:val="4234B7C5"/>
    <w:rsid w:val="423566B1"/>
    <w:rsid w:val="42403EDE"/>
    <w:rsid w:val="4256CA4A"/>
    <w:rsid w:val="4259B1EB"/>
    <w:rsid w:val="426FE8FC"/>
    <w:rsid w:val="4278D818"/>
    <w:rsid w:val="42794CA8"/>
    <w:rsid w:val="428042B1"/>
    <w:rsid w:val="428297E0"/>
    <w:rsid w:val="42843B5C"/>
    <w:rsid w:val="428539F7"/>
    <w:rsid w:val="428F960B"/>
    <w:rsid w:val="42A296DE"/>
    <w:rsid w:val="42AD6442"/>
    <w:rsid w:val="42AFBEC4"/>
    <w:rsid w:val="42BB2D45"/>
    <w:rsid w:val="42CB8596"/>
    <w:rsid w:val="42DABCF8"/>
    <w:rsid w:val="42E31F19"/>
    <w:rsid w:val="42F853CF"/>
    <w:rsid w:val="42FF66E8"/>
    <w:rsid w:val="43092570"/>
    <w:rsid w:val="430993D2"/>
    <w:rsid w:val="430A7676"/>
    <w:rsid w:val="4316396C"/>
    <w:rsid w:val="431F2557"/>
    <w:rsid w:val="4330474B"/>
    <w:rsid w:val="4331EEEF"/>
    <w:rsid w:val="433D09A8"/>
    <w:rsid w:val="4346F555"/>
    <w:rsid w:val="4347EF57"/>
    <w:rsid w:val="434A18E6"/>
    <w:rsid w:val="434A575F"/>
    <w:rsid w:val="434E7409"/>
    <w:rsid w:val="435E2747"/>
    <w:rsid w:val="4369C853"/>
    <w:rsid w:val="436D07C1"/>
    <w:rsid w:val="437646EE"/>
    <w:rsid w:val="43775D67"/>
    <w:rsid w:val="437BDA30"/>
    <w:rsid w:val="43940FDF"/>
    <w:rsid w:val="43A0CE6D"/>
    <w:rsid w:val="43A2C713"/>
    <w:rsid w:val="43AEB95F"/>
    <w:rsid w:val="43AEC76C"/>
    <w:rsid w:val="43B0A3D1"/>
    <w:rsid w:val="43BF4E5D"/>
    <w:rsid w:val="43C01EFD"/>
    <w:rsid w:val="43CC434C"/>
    <w:rsid w:val="43CCE691"/>
    <w:rsid w:val="43D60F80"/>
    <w:rsid w:val="43DB42CD"/>
    <w:rsid w:val="43DB4764"/>
    <w:rsid w:val="43DBA596"/>
    <w:rsid w:val="43DE063D"/>
    <w:rsid w:val="43E46269"/>
    <w:rsid w:val="43E49CCD"/>
    <w:rsid w:val="43E929FF"/>
    <w:rsid w:val="43EF314C"/>
    <w:rsid w:val="43EF9973"/>
    <w:rsid w:val="43F23204"/>
    <w:rsid w:val="43F36A9D"/>
    <w:rsid w:val="44117AFB"/>
    <w:rsid w:val="4415D974"/>
    <w:rsid w:val="4416EBB9"/>
    <w:rsid w:val="441832E5"/>
    <w:rsid w:val="4418C806"/>
    <w:rsid w:val="441E6846"/>
    <w:rsid w:val="4421E5C9"/>
    <w:rsid w:val="44228336"/>
    <w:rsid w:val="442ABE7C"/>
    <w:rsid w:val="442DA672"/>
    <w:rsid w:val="442EFAEA"/>
    <w:rsid w:val="4431AF6A"/>
    <w:rsid w:val="4433D79A"/>
    <w:rsid w:val="4434EC55"/>
    <w:rsid w:val="44571D5C"/>
    <w:rsid w:val="445AAB29"/>
    <w:rsid w:val="445F5BAF"/>
    <w:rsid w:val="446E36DD"/>
    <w:rsid w:val="446E4438"/>
    <w:rsid w:val="44756EA1"/>
    <w:rsid w:val="447EDC95"/>
    <w:rsid w:val="4482DBFB"/>
    <w:rsid w:val="4487C02A"/>
    <w:rsid w:val="448CB545"/>
    <w:rsid w:val="448D9FBC"/>
    <w:rsid w:val="44953621"/>
    <w:rsid w:val="4495F098"/>
    <w:rsid w:val="44A076DA"/>
    <w:rsid w:val="44A077E3"/>
    <w:rsid w:val="44AB3EFB"/>
    <w:rsid w:val="44AD2ED3"/>
    <w:rsid w:val="44AEF124"/>
    <w:rsid w:val="44B012A5"/>
    <w:rsid w:val="44B16CC4"/>
    <w:rsid w:val="44B16EC3"/>
    <w:rsid w:val="44B36953"/>
    <w:rsid w:val="44B9D73E"/>
    <w:rsid w:val="44C79BA8"/>
    <w:rsid w:val="44CBAC96"/>
    <w:rsid w:val="44D568FA"/>
    <w:rsid w:val="44E0E003"/>
    <w:rsid w:val="44E5E7F0"/>
    <w:rsid w:val="44E9AC02"/>
    <w:rsid w:val="44F13915"/>
    <w:rsid w:val="45010297"/>
    <w:rsid w:val="45048EE8"/>
    <w:rsid w:val="450ABEEC"/>
    <w:rsid w:val="450CA77A"/>
    <w:rsid w:val="450D90C0"/>
    <w:rsid w:val="450DF6BA"/>
    <w:rsid w:val="4514375D"/>
    <w:rsid w:val="45155FE0"/>
    <w:rsid w:val="45199059"/>
    <w:rsid w:val="4520AABA"/>
    <w:rsid w:val="4527BEDB"/>
    <w:rsid w:val="452A7E6B"/>
    <w:rsid w:val="4530028C"/>
    <w:rsid w:val="45367C49"/>
    <w:rsid w:val="45390321"/>
    <w:rsid w:val="4541284E"/>
    <w:rsid w:val="4548CC6E"/>
    <w:rsid w:val="4549FB3C"/>
    <w:rsid w:val="456CA205"/>
    <w:rsid w:val="45809DB6"/>
    <w:rsid w:val="45820A48"/>
    <w:rsid w:val="4588FF90"/>
    <w:rsid w:val="458CBF3A"/>
    <w:rsid w:val="4590EC88"/>
    <w:rsid w:val="4592156B"/>
    <w:rsid w:val="459B39A3"/>
    <w:rsid w:val="459B87F0"/>
    <w:rsid w:val="459C69E0"/>
    <w:rsid w:val="45A87F5B"/>
    <w:rsid w:val="45B02104"/>
    <w:rsid w:val="45BAB1E3"/>
    <w:rsid w:val="45BB66D7"/>
    <w:rsid w:val="45CB5861"/>
    <w:rsid w:val="45D3C32F"/>
    <w:rsid w:val="45DB8457"/>
    <w:rsid w:val="45DDA3FF"/>
    <w:rsid w:val="45DEAE01"/>
    <w:rsid w:val="45E670B3"/>
    <w:rsid w:val="45F2A1DB"/>
    <w:rsid w:val="45F79AC3"/>
    <w:rsid w:val="46068B49"/>
    <w:rsid w:val="460FD8FE"/>
    <w:rsid w:val="4615E0A6"/>
    <w:rsid w:val="461F2AAE"/>
    <w:rsid w:val="4633E99B"/>
    <w:rsid w:val="4635B86F"/>
    <w:rsid w:val="463CF35B"/>
    <w:rsid w:val="463FA6DD"/>
    <w:rsid w:val="4641F520"/>
    <w:rsid w:val="4646124A"/>
    <w:rsid w:val="4653B3A1"/>
    <w:rsid w:val="46654699"/>
    <w:rsid w:val="466E2CCE"/>
    <w:rsid w:val="46787C73"/>
    <w:rsid w:val="4684766B"/>
    <w:rsid w:val="468B54CD"/>
    <w:rsid w:val="4692C870"/>
    <w:rsid w:val="469DB21F"/>
    <w:rsid w:val="46AFE09C"/>
    <w:rsid w:val="46BE10FA"/>
    <w:rsid w:val="46C07D3E"/>
    <w:rsid w:val="46C80B05"/>
    <w:rsid w:val="46CCC82F"/>
    <w:rsid w:val="46DBF342"/>
    <w:rsid w:val="46DC2AA1"/>
    <w:rsid w:val="46E66278"/>
    <w:rsid w:val="46E88730"/>
    <w:rsid w:val="47048B20"/>
    <w:rsid w:val="470F91F4"/>
    <w:rsid w:val="4724E828"/>
    <w:rsid w:val="4738E88D"/>
    <w:rsid w:val="473F1ADB"/>
    <w:rsid w:val="4740FA96"/>
    <w:rsid w:val="4745D74C"/>
    <w:rsid w:val="4758646C"/>
    <w:rsid w:val="47601B03"/>
    <w:rsid w:val="47639F97"/>
    <w:rsid w:val="476A1574"/>
    <w:rsid w:val="4771CEAC"/>
    <w:rsid w:val="47744FE9"/>
    <w:rsid w:val="4778CC8D"/>
    <w:rsid w:val="477F63F8"/>
    <w:rsid w:val="478AF24D"/>
    <w:rsid w:val="479A48BB"/>
    <w:rsid w:val="479A878E"/>
    <w:rsid w:val="47AE5A69"/>
    <w:rsid w:val="47B33073"/>
    <w:rsid w:val="47B8699D"/>
    <w:rsid w:val="47BBE2FA"/>
    <w:rsid w:val="47C4090C"/>
    <w:rsid w:val="47CECF02"/>
    <w:rsid w:val="47CF57BC"/>
    <w:rsid w:val="47D49B76"/>
    <w:rsid w:val="47F7CA48"/>
    <w:rsid w:val="47F82AB6"/>
    <w:rsid w:val="47FC98AE"/>
    <w:rsid w:val="4801B215"/>
    <w:rsid w:val="48022D53"/>
    <w:rsid w:val="48040935"/>
    <w:rsid w:val="48064D43"/>
    <w:rsid w:val="48092871"/>
    <w:rsid w:val="4809631D"/>
    <w:rsid w:val="480BC7DF"/>
    <w:rsid w:val="48105567"/>
    <w:rsid w:val="4810FCD3"/>
    <w:rsid w:val="481B0096"/>
    <w:rsid w:val="481FA584"/>
    <w:rsid w:val="48228F75"/>
    <w:rsid w:val="48259DF9"/>
    <w:rsid w:val="482621EF"/>
    <w:rsid w:val="4837AC96"/>
    <w:rsid w:val="483C6FCC"/>
    <w:rsid w:val="483D27B6"/>
    <w:rsid w:val="4843423F"/>
    <w:rsid w:val="485071A1"/>
    <w:rsid w:val="4853EA1C"/>
    <w:rsid w:val="4856A0D0"/>
    <w:rsid w:val="4869C4C5"/>
    <w:rsid w:val="486A322C"/>
    <w:rsid w:val="48766F95"/>
    <w:rsid w:val="4877F81C"/>
    <w:rsid w:val="488A0F80"/>
    <w:rsid w:val="488BAC82"/>
    <w:rsid w:val="488E8C58"/>
    <w:rsid w:val="48958F0F"/>
    <w:rsid w:val="48A4A66D"/>
    <w:rsid w:val="48AED2B7"/>
    <w:rsid w:val="48AF2D8D"/>
    <w:rsid w:val="48B00809"/>
    <w:rsid w:val="48B19B6B"/>
    <w:rsid w:val="48C47D5F"/>
    <w:rsid w:val="48C653D3"/>
    <w:rsid w:val="48CE9772"/>
    <w:rsid w:val="48D50E5C"/>
    <w:rsid w:val="48D90269"/>
    <w:rsid w:val="48E14FA8"/>
    <w:rsid w:val="48E1CF0E"/>
    <w:rsid w:val="48E23A3B"/>
    <w:rsid w:val="48F36918"/>
    <w:rsid w:val="48F420FF"/>
    <w:rsid w:val="4904DFF0"/>
    <w:rsid w:val="490B021F"/>
    <w:rsid w:val="490BBDE1"/>
    <w:rsid w:val="4915157E"/>
    <w:rsid w:val="4928B08E"/>
    <w:rsid w:val="492BD276"/>
    <w:rsid w:val="492CDBF2"/>
    <w:rsid w:val="493081CD"/>
    <w:rsid w:val="49331EF6"/>
    <w:rsid w:val="4933549F"/>
    <w:rsid w:val="49339CF1"/>
    <w:rsid w:val="493ADC18"/>
    <w:rsid w:val="493DF37D"/>
    <w:rsid w:val="493F10B4"/>
    <w:rsid w:val="49406D48"/>
    <w:rsid w:val="49423EAA"/>
    <w:rsid w:val="49473A8F"/>
    <w:rsid w:val="495128A1"/>
    <w:rsid w:val="4956E64B"/>
    <w:rsid w:val="49581F8F"/>
    <w:rsid w:val="4962AB11"/>
    <w:rsid w:val="497A8AC5"/>
    <w:rsid w:val="498EE378"/>
    <w:rsid w:val="4995DC48"/>
    <w:rsid w:val="49A6D05A"/>
    <w:rsid w:val="49B644F2"/>
    <w:rsid w:val="49C008FF"/>
    <w:rsid w:val="49C39DDC"/>
    <w:rsid w:val="49C9C67C"/>
    <w:rsid w:val="49CACB3C"/>
    <w:rsid w:val="49CE40A3"/>
    <w:rsid w:val="49D429A8"/>
    <w:rsid w:val="49E59722"/>
    <w:rsid w:val="49EA81FB"/>
    <w:rsid w:val="49FE19B7"/>
    <w:rsid w:val="4A114681"/>
    <w:rsid w:val="4A1270DB"/>
    <w:rsid w:val="4A13A5CE"/>
    <w:rsid w:val="4A19BAF0"/>
    <w:rsid w:val="4A1E4D25"/>
    <w:rsid w:val="4A223E67"/>
    <w:rsid w:val="4A245699"/>
    <w:rsid w:val="4A3326C4"/>
    <w:rsid w:val="4A353826"/>
    <w:rsid w:val="4A385055"/>
    <w:rsid w:val="4A3C2555"/>
    <w:rsid w:val="4A3FA005"/>
    <w:rsid w:val="4A406498"/>
    <w:rsid w:val="4A42CF35"/>
    <w:rsid w:val="4A512A53"/>
    <w:rsid w:val="4A517783"/>
    <w:rsid w:val="4A519450"/>
    <w:rsid w:val="4A5621CD"/>
    <w:rsid w:val="4A58C1CC"/>
    <w:rsid w:val="4A58E73C"/>
    <w:rsid w:val="4A650BBF"/>
    <w:rsid w:val="4A677C73"/>
    <w:rsid w:val="4A6B97BF"/>
    <w:rsid w:val="4A6E87F4"/>
    <w:rsid w:val="4A74102E"/>
    <w:rsid w:val="4A7DC7F4"/>
    <w:rsid w:val="4A87AF0E"/>
    <w:rsid w:val="4A8DD697"/>
    <w:rsid w:val="4A8EB501"/>
    <w:rsid w:val="4A942605"/>
    <w:rsid w:val="4A9977B8"/>
    <w:rsid w:val="4A9AAA42"/>
    <w:rsid w:val="4A9E0B77"/>
    <w:rsid w:val="4AAA0315"/>
    <w:rsid w:val="4ACA4166"/>
    <w:rsid w:val="4AD5B334"/>
    <w:rsid w:val="4AE39D61"/>
    <w:rsid w:val="4AE4EA5F"/>
    <w:rsid w:val="4AE63228"/>
    <w:rsid w:val="4AE75935"/>
    <w:rsid w:val="4AE97E70"/>
    <w:rsid w:val="4AEF81DF"/>
    <w:rsid w:val="4AF1EFC4"/>
    <w:rsid w:val="4AFE0953"/>
    <w:rsid w:val="4B058931"/>
    <w:rsid w:val="4B06802D"/>
    <w:rsid w:val="4B0C5C7E"/>
    <w:rsid w:val="4B0D6660"/>
    <w:rsid w:val="4B0F8C31"/>
    <w:rsid w:val="4B1BF477"/>
    <w:rsid w:val="4B38B017"/>
    <w:rsid w:val="4B44FD73"/>
    <w:rsid w:val="4B49DC91"/>
    <w:rsid w:val="4B57F476"/>
    <w:rsid w:val="4B5FCBA4"/>
    <w:rsid w:val="4B633BF8"/>
    <w:rsid w:val="4B6AAE8B"/>
    <w:rsid w:val="4B81DFC1"/>
    <w:rsid w:val="4B8AB01A"/>
    <w:rsid w:val="4B9D5EBD"/>
    <w:rsid w:val="4BC933D4"/>
    <w:rsid w:val="4BCB2B6B"/>
    <w:rsid w:val="4BD42DAD"/>
    <w:rsid w:val="4BD85703"/>
    <w:rsid w:val="4BDC5FFA"/>
    <w:rsid w:val="4BE22F1F"/>
    <w:rsid w:val="4C020682"/>
    <w:rsid w:val="4C169221"/>
    <w:rsid w:val="4C16CE33"/>
    <w:rsid w:val="4C234652"/>
    <w:rsid w:val="4C258C6A"/>
    <w:rsid w:val="4C2D7C79"/>
    <w:rsid w:val="4C30D5D6"/>
    <w:rsid w:val="4C310702"/>
    <w:rsid w:val="4C3E34B2"/>
    <w:rsid w:val="4C522D14"/>
    <w:rsid w:val="4C553AEB"/>
    <w:rsid w:val="4C57E47C"/>
    <w:rsid w:val="4C58D973"/>
    <w:rsid w:val="4C592FFB"/>
    <w:rsid w:val="4C5E7A4A"/>
    <w:rsid w:val="4C5F082A"/>
    <w:rsid w:val="4C6DEFAF"/>
    <w:rsid w:val="4C8DB618"/>
    <w:rsid w:val="4C8DE1B1"/>
    <w:rsid w:val="4C8DF823"/>
    <w:rsid w:val="4C90089C"/>
    <w:rsid w:val="4CA71C21"/>
    <w:rsid w:val="4CA97256"/>
    <w:rsid w:val="4CAE58FB"/>
    <w:rsid w:val="4CBA9846"/>
    <w:rsid w:val="4CBA9F38"/>
    <w:rsid w:val="4CC04197"/>
    <w:rsid w:val="4CC786A4"/>
    <w:rsid w:val="4CD3D23D"/>
    <w:rsid w:val="4CD48576"/>
    <w:rsid w:val="4CD5611B"/>
    <w:rsid w:val="4CD83ACC"/>
    <w:rsid w:val="4CE031F0"/>
    <w:rsid w:val="4CE03ABD"/>
    <w:rsid w:val="4CEF2770"/>
    <w:rsid w:val="4CF1FD16"/>
    <w:rsid w:val="4CF5C4E1"/>
    <w:rsid w:val="4CFA05AF"/>
    <w:rsid w:val="4CFB7E7C"/>
    <w:rsid w:val="4CFE5E72"/>
    <w:rsid w:val="4D081417"/>
    <w:rsid w:val="4D0AEB57"/>
    <w:rsid w:val="4D0F7F1C"/>
    <w:rsid w:val="4D1260A3"/>
    <w:rsid w:val="4D170FEF"/>
    <w:rsid w:val="4D35F617"/>
    <w:rsid w:val="4D47B5C8"/>
    <w:rsid w:val="4D4E6D1D"/>
    <w:rsid w:val="4D518443"/>
    <w:rsid w:val="4D652BC3"/>
    <w:rsid w:val="4D6F829B"/>
    <w:rsid w:val="4D720C82"/>
    <w:rsid w:val="4D73DFEA"/>
    <w:rsid w:val="4D89DC6F"/>
    <w:rsid w:val="4D92A0AD"/>
    <w:rsid w:val="4D92F47F"/>
    <w:rsid w:val="4D991314"/>
    <w:rsid w:val="4D99DE64"/>
    <w:rsid w:val="4DA60B9F"/>
    <w:rsid w:val="4DC78E7E"/>
    <w:rsid w:val="4DCB69C2"/>
    <w:rsid w:val="4DDDF74E"/>
    <w:rsid w:val="4DE17983"/>
    <w:rsid w:val="4DE24482"/>
    <w:rsid w:val="4DE4AE3F"/>
    <w:rsid w:val="4DE779A2"/>
    <w:rsid w:val="4DFD467E"/>
    <w:rsid w:val="4DFFEC60"/>
    <w:rsid w:val="4E0A5C78"/>
    <w:rsid w:val="4E168033"/>
    <w:rsid w:val="4E1E0D16"/>
    <w:rsid w:val="4E223CAE"/>
    <w:rsid w:val="4E2458F2"/>
    <w:rsid w:val="4E2957EA"/>
    <w:rsid w:val="4E4647BB"/>
    <w:rsid w:val="4E478842"/>
    <w:rsid w:val="4E555E8B"/>
    <w:rsid w:val="4E581696"/>
    <w:rsid w:val="4E5A3071"/>
    <w:rsid w:val="4E5DD919"/>
    <w:rsid w:val="4E6165AA"/>
    <w:rsid w:val="4E616976"/>
    <w:rsid w:val="4E7580C1"/>
    <w:rsid w:val="4E77E247"/>
    <w:rsid w:val="4E77FB4B"/>
    <w:rsid w:val="4E79B236"/>
    <w:rsid w:val="4E7CE17C"/>
    <w:rsid w:val="4E8B12E3"/>
    <w:rsid w:val="4E8DE69A"/>
    <w:rsid w:val="4E95C7E0"/>
    <w:rsid w:val="4E9E93C6"/>
    <w:rsid w:val="4E9F14AE"/>
    <w:rsid w:val="4EA2DB65"/>
    <w:rsid w:val="4EA3F68E"/>
    <w:rsid w:val="4EA4344C"/>
    <w:rsid w:val="4EB40E5B"/>
    <w:rsid w:val="4EBC3082"/>
    <w:rsid w:val="4ECE069F"/>
    <w:rsid w:val="4ED8AF4F"/>
    <w:rsid w:val="4EFD576E"/>
    <w:rsid w:val="4F071A67"/>
    <w:rsid w:val="4F138BDB"/>
    <w:rsid w:val="4F139425"/>
    <w:rsid w:val="4F13E8B4"/>
    <w:rsid w:val="4F14517F"/>
    <w:rsid w:val="4F1C3474"/>
    <w:rsid w:val="4F1C3603"/>
    <w:rsid w:val="4F1DC99A"/>
    <w:rsid w:val="4F3317E2"/>
    <w:rsid w:val="4F3826AC"/>
    <w:rsid w:val="4F388FAE"/>
    <w:rsid w:val="4F397A39"/>
    <w:rsid w:val="4F3F42FC"/>
    <w:rsid w:val="4F406797"/>
    <w:rsid w:val="4F411659"/>
    <w:rsid w:val="4F41CD07"/>
    <w:rsid w:val="4F489E2C"/>
    <w:rsid w:val="4F4B5456"/>
    <w:rsid w:val="4F4F126A"/>
    <w:rsid w:val="4F526046"/>
    <w:rsid w:val="4F5C83ED"/>
    <w:rsid w:val="4F5E2FB4"/>
    <w:rsid w:val="4F60382D"/>
    <w:rsid w:val="4F63F9CD"/>
    <w:rsid w:val="4F6DAD80"/>
    <w:rsid w:val="4F92F079"/>
    <w:rsid w:val="4F9D49E5"/>
    <w:rsid w:val="4F9E414F"/>
    <w:rsid w:val="4F9E6AE6"/>
    <w:rsid w:val="4FA14CD4"/>
    <w:rsid w:val="4FA348BF"/>
    <w:rsid w:val="4FA9BE50"/>
    <w:rsid w:val="4FB8A445"/>
    <w:rsid w:val="4FBEFEE9"/>
    <w:rsid w:val="4FCAD782"/>
    <w:rsid w:val="4FCE6C29"/>
    <w:rsid w:val="4FDE8C95"/>
    <w:rsid w:val="4FDEB906"/>
    <w:rsid w:val="4FF1FE21"/>
    <w:rsid w:val="4FF6A708"/>
    <w:rsid w:val="4FF8C609"/>
    <w:rsid w:val="500EC438"/>
    <w:rsid w:val="50122760"/>
    <w:rsid w:val="502974E2"/>
    <w:rsid w:val="5039E521"/>
    <w:rsid w:val="506ABF19"/>
    <w:rsid w:val="50848A30"/>
    <w:rsid w:val="50919489"/>
    <w:rsid w:val="509770E1"/>
    <w:rsid w:val="509B96B8"/>
    <w:rsid w:val="50B2DA07"/>
    <w:rsid w:val="50B2E070"/>
    <w:rsid w:val="50B88793"/>
    <w:rsid w:val="50E1CCF7"/>
    <w:rsid w:val="50EE1944"/>
    <w:rsid w:val="510798D9"/>
    <w:rsid w:val="510DD1D2"/>
    <w:rsid w:val="510E00A1"/>
    <w:rsid w:val="51139319"/>
    <w:rsid w:val="5118C82C"/>
    <w:rsid w:val="511C3E15"/>
    <w:rsid w:val="5120E080"/>
    <w:rsid w:val="5135C0FC"/>
    <w:rsid w:val="513B0B78"/>
    <w:rsid w:val="51481B7A"/>
    <w:rsid w:val="515984ED"/>
    <w:rsid w:val="515E1EAE"/>
    <w:rsid w:val="515FE588"/>
    <w:rsid w:val="516C3F0B"/>
    <w:rsid w:val="517A24D5"/>
    <w:rsid w:val="51925948"/>
    <w:rsid w:val="519E5683"/>
    <w:rsid w:val="51B24AF3"/>
    <w:rsid w:val="51B749A5"/>
    <w:rsid w:val="51C3C947"/>
    <w:rsid w:val="51D4470E"/>
    <w:rsid w:val="51D8B856"/>
    <w:rsid w:val="51E1094D"/>
    <w:rsid w:val="51E13DA7"/>
    <w:rsid w:val="51E5D052"/>
    <w:rsid w:val="51EE115D"/>
    <w:rsid w:val="51F26240"/>
    <w:rsid w:val="51F41F44"/>
    <w:rsid w:val="51F973F0"/>
    <w:rsid w:val="5200980C"/>
    <w:rsid w:val="5206C43B"/>
    <w:rsid w:val="52078332"/>
    <w:rsid w:val="5214B735"/>
    <w:rsid w:val="5216D66C"/>
    <w:rsid w:val="521B95D7"/>
    <w:rsid w:val="52219940"/>
    <w:rsid w:val="522DED08"/>
    <w:rsid w:val="52343FC0"/>
    <w:rsid w:val="523D3884"/>
    <w:rsid w:val="5240EBAA"/>
    <w:rsid w:val="525481A3"/>
    <w:rsid w:val="525B0378"/>
    <w:rsid w:val="525C4A1C"/>
    <w:rsid w:val="5264BF72"/>
    <w:rsid w:val="526BF9BF"/>
    <w:rsid w:val="526E6E77"/>
    <w:rsid w:val="526FA7D0"/>
    <w:rsid w:val="52704C27"/>
    <w:rsid w:val="52766B84"/>
    <w:rsid w:val="5280AF06"/>
    <w:rsid w:val="5280EEF4"/>
    <w:rsid w:val="52829F46"/>
    <w:rsid w:val="528C6579"/>
    <w:rsid w:val="528E911C"/>
    <w:rsid w:val="528F6CCF"/>
    <w:rsid w:val="529C1C78"/>
    <w:rsid w:val="529F4761"/>
    <w:rsid w:val="52A1398E"/>
    <w:rsid w:val="52A896A8"/>
    <w:rsid w:val="52A95F83"/>
    <w:rsid w:val="52B30174"/>
    <w:rsid w:val="52BD86EF"/>
    <w:rsid w:val="52DC94BE"/>
    <w:rsid w:val="52E34336"/>
    <w:rsid w:val="52E3D6CA"/>
    <w:rsid w:val="52E92EDF"/>
    <w:rsid w:val="52FC7074"/>
    <w:rsid w:val="531A2AD7"/>
    <w:rsid w:val="531AE13D"/>
    <w:rsid w:val="531DD48E"/>
    <w:rsid w:val="532802EA"/>
    <w:rsid w:val="53282767"/>
    <w:rsid w:val="5331DC69"/>
    <w:rsid w:val="5331EC9E"/>
    <w:rsid w:val="53364DA9"/>
    <w:rsid w:val="533D1D30"/>
    <w:rsid w:val="5341F519"/>
    <w:rsid w:val="5343362D"/>
    <w:rsid w:val="5345BD18"/>
    <w:rsid w:val="534BB80A"/>
    <w:rsid w:val="535D36DD"/>
    <w:rsid w:val="5365BD86"/>
    <w:rsid w:val="5368284D"/>
    <w:rsid w:val="536AF3E7"/>
    <w:rsid w:val="536B2F3A"/>
    <w:rsid w:val="536B4027"/>
    <w:rsid w:val="5388C50B"/>
    <w:rsid w:val="539CB8B5"/>
    <w:rsid w:val="539CEB0D"/>
    <w:rsid w:val="53AA7DDB"/>
    <w:rsid w:val="53ADB581"/>
    <w:rsid w:val="53B06B53"/>
    <w:rsid w:val="53B25598"/>
    <w:rsid w:val="53B32223"/>
    <w:rsid w:val="53B82035"/>
    <w:rsid w:val="53C1F3BE"/>
    <w:rsid w:val="53D1F88D"/>
    <w:rsid w:val="53DA66F5"/>
    <w:rsid w:val="53E09C2D"/>
    <w:rsid w:val="53E42A10"/>
    <w:rsid w:val="53EA6BBB"/>
    <w:rsid w:val="53F0E2ED"/>
    <w:rsid w:val="53F75FA1"/>
    <w:rsid w:val="53FA55DC"/>
    <w:rsid w:val="53FB03EA"/>
    <w:rsid w:val="54006CC4"/>
    <w:rsid w:val="54079008"/>
    <w:rsid w:val="540A589A"/>
    <w:rsid w:val="540CA7A4"/>
    <w:rsid w:val="540E97FE"/>
    <w:rsid w:val="54107DF3"/>
    <w:rsid w:val="541BC0EE"/>
    <w:rsid w:val="541BFCE2"/>
    <w:rsid w:val="5426F8D3"/>
    <w:rsid w:val="54370E8A"/>
    <w:rsid w:val="5442E1FC"/>
    <w:rsid w:val="5444DAB4"/>
    <w:rsid w:val="5458B961"/>
    <w:rsid w:val="54617E36"/>
    <w:rsid w:val="54622098"/>
    <w:rsid w:val="54632359"/>
    <w:rsid w:val="546475AB"/>
    <w:rsid w:val="54658D84"/>
    <w:rsid w:val="54665AF0"/>
    <w:rsid w:val="546B8BE2"/>
    <w:rsid w:val="5489A9FD"/>
    <w:rsid w:val="548BFA40"/>
    <w:rsid w:val="549693A8"/>
    <w:rsid w:val="549943F4"/>
    <w:rsid w:val="549E13F7"/>
    <w:rsid w:val="549EAAF3"/>
    <w:rsid w:val="54AA1FCB"/>
    <w:rsid w:val="54B065F4"/>
    <w:rsid w:val="54B983B0"/>
    <w:rsid w:val="54D156A6"/>
    <w:rsid w:val="54D4A8E5"/>
    <w:rsid w:val="54D94D10"/>
    <w:rsid w:val="54F076C1"/>
    <w:rsid w:val="54FA51F3"/>
    <w:rsid w:val="550528E8"/>
    <w:rsid w:val="550EABE1"/>
    <w:rsid w:val="5519D700"/>
    <w:rsid w:val="552B4930"/>
    <w:rsid w:val="552E91A0"/>
    <w:rsid w:val="552F615E"/>
    <w:rsid w:val="553F95F1"/>
    <w:rsid w:val="5547931F"/>
    <w:rsid w:val="554EEBD0"/>
    <w:rsid w:val="5552537C"/>
    <w:rsid w:val="55618803"/>
    <w:rsid w:val="5564571A"/>
    <w:rsid w:val="556BE2A6"/>
    <w:rsid w:val="556E8D46"/>
    <w:rsid w:val="5572CF02"/>
    <w:rsid w:val="5574E29D"/>
    <w:rsid w:val="557FC5FC"/>
    <w:rsid w:val="55849AA0"/>
    <w:rsid w:val="55A67BB3"/>
    <w:rsid w:val="55A77344"/>
    <w:rsid w:val="55AA9804"/>
    <w:rsid w:val="55B40AB1"/>
    <w:rsid w:val="55CA9BF4"/>
    <w:rsid w:val="55CDF1D4"/>
    <w:rsid w:val="55D78026"/>
    <w:rsid w:val="55DE94FC"/>
    <w:rsid w:val="55E96A15"/>
    <w:rsid w:val="55FC9C79"/>
    <w:rsid w:val="55FCFE92"/>
    <w:rsid w:val="56017A7A"/>
    <w:rsid w:val="5605EC1E"/>
    <w:rsid w:val="562491B5"/>
    <w:rsid w:val="562B4AF2"/>
    <w:rsid w:val="562FC707"/>
    <w:rsid w:val="5638AAE1"/>
    <w:rsid w:val="56400966"/>
    <w:rsid w:val="564C82BB"/>
    <w:rsid w:val="56576DF0"/>
    <w:rsid w:val="56588BA2"/>
    <w:rsid w:val="565F4C46"/>
    <w:rsid w:val="5661D1A3"/>
    <w:rsid w:val="566ECD35"/>
    <w:rsid w:val="5679DE93"/>
    <w:rsid w:val="568062FD"/>
    <w:rsid w:val="568FC7C6"/>
    <w:rsid w:val="569363D8"/>
    <w:rsid w:val="56953438"/>
    <w:rsid w:val="569640BA"/>
    <w:rsid w:val="56B59354"/>
    <w:rsid w:val="56C71CDA"/>
    <w:rsid w:val="56CC13A8"/>
    <w:rsid w:val="56D0AFBD"/>
    <w:rsid w:val="56D98C13"/>
    <w:rsid w:val="56F0D37E"/>
    <w:rsid w:val="56F10D5C"/>
    <w:rsid w:val="56FAB0D8"/>
    <w:rsid w:val="57036D7D"/>
    <w:rsid w:val="5703A154"/>
    <w:rsid w:val="570D4B79"/>
    <w:rsid w:val="5729ECE0"/>
    <w:rsid w:val="57363F4D"/>
    <w:rsid w:val="573DAC30"/>
    <w:rsid w:val="574741C7"/>
    <w:rsid w:val="57489345"/>
    <w:rsid w:val="574C6083"/>
    <w:rsid w:val="574DF158"/>
    <w:rsid w:val="574F3E96"/>
    <w:rsid w:val="57516638"/>
    <w:rsid w:val="575B2377"/>
    <w:rsid w:val="575DEF28"/>
    <w:rsid w:val="576A9CD9"/>
    <w:rsid w:val="576BE62F"/>
    <w:rsid w:val="576E3CCF"/>
    <w:rsid w:val="5772D4CA"/>
    <w:rsid w:val="577621A9"/>
    <w:rsid w:val="578818DE"/>
    <w:rsid w:val="57894746"/>
    <w:rsid w:val="57B22410"/>
    <w:rsid w:val="57C8D54E"/>
    <w:rsid w:val="57C9BE3B"/>
    <w:rsid w:val="57D6B711"/>
    <w:rsid w:val="57E73463"/>
    <w:rsid w:val="57F27C31"/>
    <w:rsid w:val="57F364E8"/>
    <w:rsid w:val="5800B0C7"/>
    <w:rsid w:val="5804EB2F"/>
    <w:rsid w:val="5806AC4D"/>
    <w:rsid w:val="581CC146"/>
    <w:rsid w:val="5821DE39"/>
    <w:rsid w:val="58253EA9"/>
    <w:rsid w:val="58263DF9"/>
    <w:rsid w:val="5833C0B5"/>
    <w:rsid w:val="5837C762"/>
    <w:rsid w:val="583E77E0"/>
    <w:rsid w:val="5843E712"/>
    <w:rsid w:val="5843F637"/>
    <w:rsid w:val="5846C380"/>
    <w:rsid w:val="58530BED"/>
    <w:rsid w:val="585A869D"/>
    <w:rsid w:val="585E2EB6"/>
    <w:rsid w:val="585EBE58"/>
    <w:rsid w:val="58678EDD"/>
    <w:rsid w:val="5880BCD8"/>
    <w:rsid w:val="58824D4C"/>
    <w:rsid w:val="5886471D"/>
    <w:rsid w:val="588B2952"/>
    <w:rsid w:val="58B1AB05"/>
    <w:rsid w:val="58B392AD"/>
    <w:rsid w:val="58D19B6F"/>
    <w:rsid w:val="58D7C695"/>
    <w:rsid w:val="58DD309C"/>
    <w:rsid w:val="58E24EE9"/>
    <w:rsid w:val="58E4514B"/>
    <w:rsid w:val="58E8E362"/>
    <w:rsid w:val="58F06E00"/>
    <w:rsid w:val="58FFE4F3"/>
    <w:rsid w:val="59131FA1"/>
    <w:rsid w:val="59137FDF"/>
    <w:rsid w:val="59142F33"/>
    <w:rsid w:val="591458E8"/>
    <w:rsid w:val="591982FB"/>
    <w:rsid w:val="59206F84"/>
    <w:rsid w:val="5926C958"/>
    <w:rsid w:val="5926E1B9"/>
    <w:rsid w:val="59364D32"/>
    <w:rsid w:val="593AE5E7"/>
    <w:rsid w:val="593BB920"/>
    <w:rsid w:val="5947C8A2"/>
    <w:rsid w:val="5963F7BD"/>
    <w:rsid w:val="597E528A"/>
    <w:rsid w:val="597EEA24"/>
    <w:rsid w:val="5983768F"/>
    <w:rsid w:val="598F0371"/>
    <w:rsid w:val="5991890A"/>
    <w:rsid w:val="59969848"/>
    <w:rsid w:val="5997F467"/>
    <w:rsid w:val="59993D27"/>
    <w:rsid w:val="599A9734"/>
    <w:rsid w:val="599F95D0"/>
    <w:rsid w:val="599FB487"/>
    <w:rsid w:val="59A6D65D"/>
    <w:rsid w:val="59B0B5AC"/>
    <w:rsid w:val="59C4FE9F"/>
    <w:rsid w:val="59C6FF73"/>
    <w:rsid w:val="59CF643B"/>
    <w:rsid w:val="59D73335"/>
    <w:rsid w:val="59DD7621"/>
    <w:rsid w:val="59E7E979"/>
    <w:rsid w:val="5A0C8272"/>
    <w:rsid w:val="5A0D6B2B"/>
    <w:rsid w:val="5A1E9752"/>
    <w:rsid w:val="5A24CF4D"/>
    <w:rsid w:val="5A2DAC3A"/>
    <w:rsid w:val="5A3CD272"/>
    <w:rsid w:val="5A3D655E"/>
    <w:rsid w:val="5A410391"/>
    <w:rsid w:val="5A42EF22"/>
    <w:rsid w:val="5A4C1FA6"/>
    <w:rsid w:val="5A5E5AC8"/>
    <w:rsid w:val="5A664684"/>
    <w:rsid w:val="5A6DFADE"/>
    <w:rsid w:val="5A72894A"/>
    <w:rsid w:val="5A75B37C"/>
    <w:rsid w:val="5A7C8C3B"/>
    <w:rsid w:val="5A91E4E0"/>
    <w:rsid w:val="5A9F4B8A"/>
    <w:rsid w:val="5AA363DB"/>
    <w:rsid w:val="5AB7E027"/>
    <w:rsid w:val="5AB87B49"/>
    <w:rsid w:val="5ABFE23D"/>
    <w:rsid w:val="5AD2D86C"/>
    <w:rsid w:val="5AD4D725"/>
    <w:rsid w:val="5AD5FFBD"/>
    <w:rsid w:val="5AD6136F"/>
    <w:rsid w:val="5AE275BC"/>
    <w:rsid w:val="5AEA4335"/>
    <w:rsid w:val="5AEE8232"/>
    <w:rsid w:val="5AF1D52D"/>
    <w:rsid w:val="5AF8D7E4"/>
    <w:rsid w:val="5B0AA744"/>
    <w:rsid w:val="5B0B23B2"/>
    <w:rsid w:val="5B1A4AF8"/>
    <w:rsid w:val="5B313030"/>
    <w:rsid w:val="5B3B0E5B"/>
    <w:rsid w:val="5B3E9C05"/>
    <w:rsid w:val="5B493A89"/>
    <w:rsid w:val="5B4A4E8C"/>
    <w:rsid w:val="5B4E58D1"/>
    <w:rsid w:val="5B58D826"/>
    <w:rsid w:val="5B6B8639"/>
    <w:rsid w:val="5B7885FB"/>
    <w:rsid w:val="5B7BE07D"/>
    <w:rsid w:val="5B8A30E1"/>
    <w:rsid w:val="5B9DE770"/>
    <w:rsid w:val="5BADAEDB"/>
    <w:rsid w:val="5BB152EF"/>
    <w:rsid w:val="5BBDEF99"/>
    <w:rsid w:val="5BCDBF99"/>
    <w:rsid w:val="5BD334ED"/>
    <w:rsid w:val="5BD3A663"/>
    <w:rsid w:val="5BE2AE5E"/>
    <w:rsid w:val="5BE3E140"/>
    <w:rsid w:val="5BE80375"/>
    <w:rsid w:val="5BFD72E0"/>
    <w:rsid w:val="5C151FF6"/>
    <w:rsid w:val="5C169FDA"/>
    <w:rsid w:val="5C19DDAB"/>
    <w:rsid w:val="5C1B1393"/>
    <w:rsid w:val="5C1FBC3D"/>
    <w:rsid w:val="5C204DD6"/>
    <w:rsid w:val="5C2258F3"/>
    <w:rsid w:val="5C45A179"/>
    <w:rsid w:val="5C4F62C8"/>
    <w:rsid w:val="5C612A9B"/>
    <w:rsid w:val="5C6C5B24"/>
    <w:rsid w:val="5C74F4A5"/>
    <w:rsid w:val="5C82ACEA"/>
    <w:rsid w:val="5C9809E9"/>
    <w:rsid w:val="5C9851C3"/>
    <w:rsid w:val="5C985920"/>
    <w:rsid w:val="5CA2D9BE"/>
    <w:rsid w:val="5CAD9359"/>
    <w:rsid w:val="5CB1324F"/>
    <w:rsid w:val="5CB1B93B"/>
    <w:rsid w:val="5CB6C1CE"/>
    <w:rsid w:val="5CB9F9C5"/>
    <w:rsid w:val="5CC115BF"/>
    <w:rsid w:val="5CC39A67"/>
    <w:rsid w:val="5CC504CE"/>
    <w:rsid w:val="5CD46DFC"/>
    <w:rsid w:val="5CDE5C0C"/>
    <w:rsid w:val="5CE3FF1B"/>
    <w:rsid w:val="5CE4F62F"/>
    <w:rsid w:val="5CE91CF8"/>
    <w:rsid w:val="5CF23C64"/>
    <w:rsid w:val="5CF46631"/>
    <w:rsid w:val="5CFCAF7E"/>
    <w:rsid w:val="5D02D88B"/>
    <w:rsid w:val="5D055EA5"/>
    <w:rsid w:val="5D05AC69"/>
    <w:rsid w:val="5D18E4D9"/>
    <w:rsid w:val="5D235DE4"/>
    <w:rsid w:val="5D2D4E3F"/>
    <w:rsid w:val="5D403DE9"/>
    <w:rsid w:val="5D43040B"/>
    <w:rsid w:val="5D4B4B47"/>
    <w:rsid w:val="5D4FB7CF"/>
    <w:rsid w:val="5D56FFCA"/>
    <w:rsid w:val="5D6CDD13"/>
    <w:rsid w:val="5D751EFF"/>
    <w:rsid w:val="5D887E14"/>
    <w:rsid w:val="5D9A8D1F"/>
    <w:rsid w:val="5DA06DC5"/>
    <w:rsid w:val="5DA2C601"/>
    <w:rsid w:val="5DA5DCCE"/>
    <w:rsid w:val="5DB3F54F"/>
    <w:rsid w:val="5DC5FEEC"/>
    <w:rsid w:val="5DD0BA16"/>
    <w:rsid w:val="5DD950E2"/>
    <w:rsid w:val="5DDB9DDD"/>
    <w:rsid w:val="5DE0B49B"/>
    <w:rsid w:val="5DE0C348"/>
    <w:rsid w:val="5DE239C1"/>
    <w:rsid w:val="5DF90378"/>
    <w:rsid w:val="5DF9CF05"/>
    <w:rsid w:val="5DFD84CA"/>
    <w:rsid w:val="5E06F01E"/>
    <w:rsid w:val="5E077D3A"/>
    <w:rsid w:val="5E0C52C1"/>
    <w:rsid w:val="5E0D519A"/>
    <w:rsid w:val="5E1F0691"/>
    <w:rsid w:val="5E20A5AB"/>
    <w:rsid w:val="5E22AE20"/>
    <w:rsid w:val="5E35C470"/>
    <w:rsid w:val="5E37EAE1"/>
    <w:rsid w:val="5E3BE6F9"/>
    <w:rsid w:val="5E45492D"/>
    <w:rsid w:val="5E507D7E"/>
    <w:rsid w:val="5E61F19F"/>
    <w:rsid w:val="5E6A211D"/>
    <w:rsid w:val="5E6C68CF"/>
    <w:rsid w:val="5E6EF8FB"/>
    <w:rsid w:val="5E789AFB"/>
    <w:rsid w:val="5E79C1A8"/>
    <w:rsid w:val="5E8B220E"/>
    <w:rsid w:val="5E976BBD"/>
    <w:rsid w:val="5EA54BAA"/>
    <w:rsid w:val="5EB79535"/>
    <w:rsid w:val="5EBA836E"/>
    <w:rsid w:val="5EBCE2FE"/>
    <w:rsid w:val="5EC7DA8A"/>
    <w:rsid w:val="5EC9584C"/>
    <w:rsid w:val="5ECCA544"/>
    <w:rsid w:val="5ED4E868"/>
    <w:rsid w:val="5ED7400C"/>
    <w:rsid w:val="5ED9E47D"/>
    <w:rsid w:val="5EF8E4DA"/>
    <w:rsid w:val="5EFB08F2"/>
    <w:rsid w:val="5EFDC073"/>
    <w:rsid w:val="5EFE43B2"/>
    <w:rsid w:val="5EFFB69C"/>
    <w:rsid w:val="5F03B417"/>
    <w:rsid w:val="5F0869C1"/>
    <w:rsid w:val="5F12CAC7"/>
    <w:rsid w:val="5F1784A7"/>
    <w:rsid w:val="5F1FE276"/>
    <w:rsid w:val="5F32EA93"/>
    <w:rsid w:val="5F63457B"/>
    <w:rsid w:val="5F63ED1A"/>
    <w:rsid w:val="5F649226"/>
    <w:rsid w:val="5F6C38AE"/>
    <w:rsid w:val="5F725141"/>
    <w:rsid w:val="5F7DF1B6"/>
    <w:rsid w:val="5F7FC3F8"/>
    <w:rsid w:val="5F828BC6"/>
    <w:rsid w:val="5F82EDC8"/>
    <w:rsid w:val="5F882D05"/>
    <w:rsid w:val="5F8B436C"/>
    <w:rsid w:val="5F960659"/>
    <w:rsid w:val="5F9A77A4"/>
    <w:rsid w:val="5FA89F71"/>
    <w:rsid w:val="5FA94BA0"/>
    <w:rsid w:val="5FAB4E35"/>
    <w:rsid w:val="5FABC1EB"/>
    <w:rsid w:val="5FBBFC88"/>
    <w:rsid w:val="5FC3AE2F"/>
    <w:rsid w:val="5FDB4D6B"/>
    <w:rsid w:val="5FEE7FBF"/>
    <w:rsid w:val="5FF29E5A"/>
    <w:rsid w:val="5FF8C3AA"/>
    <w:rsid w:val="5FFD721B"/>
    <w:rsid w:val="5FFE3914"/>
    <w:rsid w:val="600ADBD5"/>
    <w:rsid w:val="601060EB"/>
    <w:rsid w:val="601A7827"/>
    <w:rsid w:val="602E2E47"/>
    <w:rsid w:val="604452DC"/>
    <w:rsid w:val="604C0CD4"/>
    <w:rsid w:val="605196C4"/>
    <w:rsid w:val="60524BBA"/>
    <w:rsid w:val="605EC2E8"/>
    <w:rsid w:val="606EBFA5"/>
    <w:rsid w:val="60847397"/>
    <w:rsid w:val="60A4721D"/>
    <w:rsid w:val="60A92497"/>
    <w:rsid w:val="60ADD861"/>
    <w:rsid w:val="60C18ED3"/>
    <w:rsid w:val="60C519B0"/>
    <w:rsid w:val="60CCD0E0"/>
    <w:rsid w:val="60CFADAE"/>
    <w:rsid w:val="60D59504"/>
    <w:rsid w:val="60DD81E9"/>
    <w:rsid w:val="60E0E452"/>
    <w:rsid w:val="60E1FA53"/>
    <w:rsid w:val="60E410D3"/>
    <w:rsid w:val="60F0138C"/>
    <w:rsid w:val="60F47E82"/>
    <w:rsid w:val="60FBD043"/>
    <w:rsid w:val="60FCE68C"/>
    <w:rsid w:val="60FE7574"/>
    <w:rsid w:val="611F6D02"/>
    <w:rsid w:val="6124B997"/>
    <w:rsid w:val="6124E8DF"/>
    <w:rsid w:val="612C1D8F"/>
    <w:rsid w:val="61357116"/>
    <w:rsid w:val="61383847"/>
    <w:rsid w:val="613C91F6"/>
    <w:rsid w:val="613EA0C9"/>
    <w:rsid w:val="6141F16D"/>
    <w:rsid w:val="6143EAE6"/>
    <w:rsid w:val="61544B42"/>
    <w:rsid w:val="615719D2"/>
    <w:rsid w:val="61577A88"/>
    <w:rsid w:val="61647622"/>
    <w:rsid w:val="616632B5"/>
    <w:rsid w:val="616C804C"/>
    <w:rsid w:val="6177E192"/>
    <w:rsid w:val="617CD2AF"/>
    <w:rsid w:val="617F4965"/>
    <w:rsid w:val="6182070E"/>
    <w:rsid w:val="61918DBD"/>
    <w:rsid w:val="61A15AB6"/>
    <w:rsid w:val="61A1C79F"/>
    <w:rsid w:val="61ADF3BB"/>
    <w:rsid w:val="61C9B7D4"/>
    <w:rsid w:val="61CAA2DE"/>
    <w:rsid w:val="61D0B11E"/>
    <w:rsid w:val="61D22AB8"/>
    <w:rsid w:val="61D24667"/>
    <w:rsid w:val="61D2E215"/>
    <w:rsid w:val="61DB3D09"/>
    <w:rsid w:val="61F49538"/>
    <w:rsid w:val="61FCA9A4"/>
    <w:rsid w:val="61FF4B03"/>
    <w:rsid w:val="621B4DCE"/>
    <w:rsid w:val="6231461D"/>
    <w:rsid w:val="623BD1EA"/>
    <w:rsid w:val="623FB37B"/>
    <w:rsid w:val="624E3BA3"/>
    <w:rsid w:val="624FB12E"/>
    <w:rsid w:val="625AC5D3"/>
    <w:rsid w:val="625BB82D"/>
    <w:rsid w:val="6260BB07"/>
    <w:rsid w:val="6261D87A"/>
    <w:rsid w:val="62643A8B"/>
    <w:rsid w:val="62662B5D"/>
    <w:rsid w:val="6274DC0B"/>
    <w:rsid w:val="627A02E2"/>
    <w:rsid w:val="62900F67"/>
    <w:rsid w:val="6297587D"/>
    <w:rsid w:val="62976915"/>
    <w:rsid w:val="62A01214"/>
    <w:rsid w:val="62A41FC0"/>
    <w:rsid w:val="62A440B4"/>
    <w:rsid w:val="62AA1051"/>
    <w:rsid w:val="62B22DD1"/>
    <w:rsid w:val="62B963CE"/>
    <w:rsid w:val="62BAC782"/>
    <w:rsid w:val="62BBE637"/>
    <w:rsid w:val="62BDD06E"/>
    <w:rsid w:val="62CABE99"/>
    <w:rsid w:val="62CC6CE1"/>
    <w:rsid w:val="62D8F6A4"/>
    <w:rsid w:val="62E049B5"/>
    <w:rsid w:val="62E9AE51"/>
    <w:rsid w:val="62ECC19D"/>
    <w:rsid w:val="62ED2602"/>
    <w:rsid w:val="62F003F3"/>
    <w:rsid w:val="62F4F14F"/>
    <w:rsid w:val="62F6DA05"/>
    <w:rsid w:val="62F867E8"/>
    <w:rsid w:val="62FE17A2"/>
    <w:rsid w:val="62FF6FC9"/>
    <w:rsid w:val="6303FBF9"/>
    <w:rsid w:val="63121166"/>
    <w:rsid w:val="63141115"/>
    <w:rsid w:val="631E6F13"/>
    <w:rsid w:val="631FBB4D"/>
    <w:rsid w:val="63227562"/>
    <w:rsid w:val="63235A82"/>
    <w:rsid w:val="6325A370"/>
    <w:rsid w:val="632CF386"/>
    <w:rsid w:val="6332F2AA"/>
    <w:rsid w:val="6333FA5C"/>
    <w:rsid w:val="6341298F"/>
    <w:rsid w:val="6355A6DF"/>
    <w:rsid w:val="635A5ABE"/>
    <w:rsid w:val="635C0CFD"/>
    <w:rsid w:val="6360D080"/>
    <w:rsid w:val="63617630"/>
    <w:rsid w:val="6369502A"/>
    <w:rsid w:val="637D6288"/>
    <w:rsid w:val="6389539A"/>
    <w:rsid w:val="638E96DB"/>
    <w:rsid w:val="638EA66E"/>
    <w:rsid w:val="63B00E69"/>
    <w:rsid w:val="63C37DE4"/>
    <w:rsid w:val="63CC436B"/>
    <w:rsid w:val="63CC6A4A"/>
    <w:rsid w:val="63CE41B7"/>
    <w:rsid w:val="63DEF34A"/>
    <w:rsid w:val="63ED541D"/>
    <w:rsid w:val="63F3F68B"/>
    <w:rsid w:val="63F4D25E"/>
    <w:rsid w:val="63F978F3"/>
    <w:rsid w:val="64004D4F"/>
    <w:rsid w:val="6400A6D1"/>
    <w:rsid w:val="640C0F51"/>
    <w:rsid w:val="6410788F"/>
    <w:rsid w:val="6416358D"/>
    <w:rsid w:val="641C0103"/>
    <w:rsid w:val="64215527"/>
    <w:rsid w:val="643935C8"/>
    <w:rsid w:val="643ECB86"/>
    <w:rsid w:val="6441AE77"/>
    <w:rsid w:val="6443B2B1"/>
    <w:rsid w:val="6444E162"/>
    <w:rsid w:val="644BEF10"/>
    <w:rsid w:val="645377EA"/>
    <w:rsid w:val="645C5460"/>
    <w:rsid w:val="645E0BC6"/>
    <w:rsid w:val="6462FDA9"/>
    <w:rsid w:val="64640186"/>
    <w:rsid w:val="6476A023"/>
    <w:rsid w:val="6479E394"/>
    <w:rsid w:val="647FA883"/>
    <w:rsid w:val="6490C1D5"/>
    <w:rsid w:val="6499A9E1"/>
    <w:rsid w:val="64AC04FC"/>
    <w:rsid w:val="64B2F461"/>
    <w:rsid w:val="64C02D95"/>
    <w:rsid w:val="64C3469E"/>
    <w:rsid w:val="64C97012"/>
    <w:rsid w:val="64CC1FA6"/>
    <w:rsid w:val="64CF0C02"/>
    <w:rsid w:val="64E4EAA8"/>
    <w:rsid w:val="64EB51E6"/>
    <w:rsid w:val="64F8F290"/>
    <w:rsid w:val="64FAA80E"/>
    <w:rsid w:val="6501ADB2"/>
    <w:rsid w:val="650C8792"/>
    <w:rsid w:val="6518CAD5"/>
    <w:rsid w:val="6518D3F5"/>
    <w:rsid w:val="651D45B5"/>
    <w:rsid w:val="652ECA0A"/>
    <w:rsid w:val="653166C8"/>
    <w:rsid w:val="6536709B"/>
    <w:rsid w:val="654CD694"/>
    <w:rsid w:val="654D2AA2"/>
    <w:rsid w:val="654D8125"/>
    <w:rsid w:val="6556C98A"/>
    <w:rsid w:val="655741A8"/>
    <w:rsid w:val="655A53E0"/>
    <w:rsid w:val="655C7D3B"/>
    <w:rsid w:val="65606EB2"/>
    <w:rsid w:val="6567145A"/>
    <w:rsid w:val="65675230"/>
    <w:rsid w:val="656BBCE9"/>
    <w:rsid w:val="656F51B7"/>
    <w:rsid w:val="657BE0FB"/>
    <w:rsid w:val="658C4C74"/>
    <w:rsid w:val="658C934D"/>
    <w:rsid w:val="658E8067"/>
    <w:rsid w:val="6595EDFD"/>
    <w:rsid w:val="65A2ED09"/>
    <w:rsid w:val="65B1497A"/>
    <w:rsid w:val="65BA7B9C"/>
    <w:rsid w:val="65E056B0"/>
    <w:rsid w:val="65EB5AE1"/>
    <w:rsid w:val="65EE53BE"/>
    <w:rsid w:val="65EE5451"/>
    <w:rsid w:val="65FE5BFB"/>
    <w:rsid w:val="660694AD"/>
    <w:rsid w:val="661ECB7A"/>
    <w:rsid w:val="662EBE4C"/>
    <w:rsid w:val="6632BC3F"/>
    <w:rsid w:val="663324A1"/>
    <w:rsid w:val="6633D641"/>
    <w:rsid w:val="663513F2"/>
    <w:rsid w:val="6636C5C7"/>
    <w:rsid w:val="663A40B2"/>
    <w:rsid w:val="6640EDF4"/>
    <w:rsid w:val="6641FE7A"/>
    <w:rsid w:val="664434AE"/>
    <w:rsid w:val="66549EA0"/>
    <w:rsid w:val="66592228"/>
    <w:rsid w:val="665C4A47"/>
    <w:rsid w:val="66644D9A"/>
    <w:rsid w:val="6666178E"/>
    <w:rsid w:val="66760702"/>
    <w:rsid w:val="668E834F"/>
    <w:rsid w:val="66B69545"/>
    <w:rsid w:val="66BDA4A5"/>
    <w:rsid w:val="66CAD3EA"/>
    <w:rsid w:val="66D90017"/>
    <w:rsid w:val="66DC4706"/>
    <w:rsid w:val="6702732E"/>
    <w:rsid w:val="6713A05F"/>
    <w:rsid w:val="671E3E76"/>
    <w:rsid w:val="67358A0F"/>
    <w:rsid w:val="673BC6D0"/>
    <w:rsid w:val="673DD86D"/>
    <w:rsid w:val="674E0B1F"/>
    <w:rsid w:val="674F4924"/>
    <w:rsid w:val="675835BB"/>
    <w:rsid w:val="675A40E1"/>
    <w:rsid w:val="67664E1C"/>
    <w:rsid w:val="67690979"/>
    <w:rsid w:val="67764B1D"/>
    <w:rsid w:val="67A083E6"/>
    <w:rsid w:val="67A192B2"/>
    <w:rsid w:val="67A562A8"/>
    <w:rsid w:val="67B20B1C"/>
    <w:rsid w:val="67B5142A"/>
    <w:rsid w:val="67C5BC04"/>
    <w:rsid w:val="67CB9FD8"/>
    <w:rsid w:val="67CFC1D2"/>
    <w:rsid w:val="67D92421"/>
    <w:rsid w:val="67DAEB0A"/>
    <w:rsid w:val="67DD9B96"/>
    <w:rsid w:val="67DEADBB"/>
    <w:rsid w:val="67E31BE7"/>
    <w:rsid w:val="67E56688"/>
    <w:rsid w:val="67FA8F27"/>
    <w:rsid w:val="6802288B"/>
    <w:rsid w:val="68161F5E"/>
    <w:rsid w:val="681B7220"/>
    <w:rsid w:val="682945ED"/>
    <w:rsid w:val="682F23B9"/>
    <w:rsid w:val="68336B53"/>
    <w:rsid w:val="683FF69C"/>
    <w:rsid w:val="684EC4DC"/>
    <w:rsid w:val="6853C10E"/>
    <w:rsid w:val="6858A24F"/>
    <w:rsid w:val="685D2D50"/>
    <w:rsid w:val="685ED3E5"/>
    <w:rsid w:val="6863F8E2"/>
    <w:rsid w:val="68674BD1"/>
    <w:rsid w:val="6867B5E5"/>
    <w:rsid w:val="6868C0D5"/>
    <w:rsid w:val="687C5D4C"/>
    <w:rsid w:val="687F66B2"/>
    <w:rsid w:val="68832887"/>
    <w:rsid w:val="688796DE"/>
    <w:rsid w:val="688A0AB0"/>
    <w:rsid w:val="6899B159"/>
    <w:rsid w:val="689EC715"/>
    <w:rsid w:val="68A4A150"/>
    <w:rsid w:val="68AE641B"/>
    <w:rsid w:val="68AF965E"/>
    <w:rsid w:val="68B0CFC8"/>
    <w:rsid w:val="68B4F57B"/>
    <w:rsid w:val="68B904D7"/>
    <w:rsid w:val="68BB31E1"/>
    <w:rsid w:val="68C724D1"/>
    <w:rsid w:val="68D82381"/>
    <w:rsid w:val="68E63710"/>
    <w:rsid w:val="68E72EDB"/>
    <w:rsid w:val="68EF7FAE"/>
    <w:rsid w:val="68F55A12"/>
    <w:rsid w:val="6900A7B5"/>
    <w:rsid w:val="69074BB1"/>
    <w:rsid w:val="690B7BD9"/>
    <w:rsid w:val="6912FF6A"/>
    <w:rsid w:val="69136110"/>
    <w:rsid w:val="69268F22"/>
    <w:rsid w:val="692EA439"/>
    <w:rsid w:val="694D95A7"/>
    <w:rsid w:val="694FC060"/>
    <w:rsid w:val="695426AC"/>
    <w:rsid w:val="695DC08E"/>
    <w:rsid w:val="695FC06F"/>
    <w:rsid w:val="69605018"/>
    <w:rsid w:val="696097D6"/>
    <w:rsid w:val="69651C13"/>
    <w:rsid w:val="697BEBD9"/>
    <w:rsid w:val="698221C6"/>
    <w:rsid w:val="69853B46"/>
    <w:rsid w:val="69931C69"/>
    <w:rsid w:val="69966C5C"/>
    <w:rsid w:val="6997FB94"/>
    <w:rsid w:val="699E849A"/>
    <w:rsid w:val="699FF042"/>
    <w:rsid w:val="69A8DD0C"/>
    <w:rsid w:val="69BBB4B4"/>
    <w:rsid w:val="69BDC23F"/>
    <w:rsid w:val="69C04836"/>
    <w:rsid w:val="69C51E3D"/>
    <w:rsid w:val="69C74A66"/>
    <w:rsid w:val="69CFCA73"/>
    <w:rsid w:val="69D08B0E"/>
    <w:rsid w:val="69D13323"/>
    <w:rsid w:val="69D70A6C"/>
    <w:rsid w:val="69D8EF2D"/>
    <w:rsid w:val="69DC8815"/>
    <w:rsid w:val="69FA57AD"/>
    <w:rsid w:val="6A04E283"/>
    <w:rsid w:val="6A0DF078"/>
    <w:rsid w:val="6A0F3194"/>
    <w:rsid w:val="6A13ADF4"/>
    <w:rsid w:val="6A1C011C"/>
    <w:rsid w:val="6A1C1D62"/>
    <w:rsid w:val="6A1F5452"/>
    <w:rsid w:val="6A2657A3"/>
    <w:rsid w:val="6A268454"/>
    <w:rsid w:val="6A2C4EDB"/>
    <w:rsid w:val="6A2D9CD0"/>
    <w:rsid w:val="6A3162ED"/>
    <w:rsid w:val="6A37D353"/>
    <w:rsid w:val="6A3D104F"/>
    <w:rsid w:val="6A41A403"/>
    <w:rsid w:val="6A4AAA67"/>
    <w:rsid w:val="6A562976"/>
    <w:rsid w:val="6A67F1D5"/>
    <w:rsid w:val="6A6B1645"/>
    <w:rsid w:val="6A7032AF"/>
    <w:rsid w:val="6A7D9E8E"/>
    <w:rsid w:val="6A8239E1"/>
    <w:rsid w:val="6A826C93"/>
    <w:rsid w:val="6A86FDE2"/>
    <w:rsid w:val="6A8D1CF8"/>
    <w:rsid w:val="6A91E36F"/>
    <w:rsid w:val="6A920935"/>
    <w:rsid w:val="6A93A885"/>
    <w:rsid w:val="6A987F3A"/>
    <w:rsid w:val="6A9FA444"/>
    <w:rsid w:val="6AA2FC54"/>
    <w:rsid w:val="6AA4735C"/>
    <w:rsid w:val="6AB45DC3"/>
    <w:rsid w:val="6AB99B15"/>
    <w:rsid w:val="6ABDD9F1"/>
    <w:rsid w:val="6AC69007"/>
    <w:rsid w:val="6AC886C1"/>
    <w:rsid w:val="6ACBA730"/>
    <w:rsid w:val="6AE8D63C"/>
    <w:rsid w:val="6AF1417A"/>
    <w:rsid w:val="6AF448CB"/>
    <w:rsid w:val="6AFB50B2"/>
    <w:rsid w:val="6AFCB215"/>
    <w:rsid w:val="6AFF24B6"/>
    <w:rsid w:val="6B05A566"/>
    <w:rsid w:val="6B0A0D9B"/>
    <w:rsid w:val="6B0AE124"/>
    <w:rsid w:val="6B16F0C5"/>
    <w:rsid w:val="6B2DAA00"/>
    <w:rsid w:val="6B2FF07A"/>
    <w:rsid w:val="6B31D0E8"/>
    <w:rsid w:val="6B326C22"/>
    <w:rsid w:val="6B3A2401"/>
    <w:rsid w:val="6B3B9000"/>
    <w:rsid w:val="6B426D98"/>
    <w:rsid w:val="6B435128"/>
    <w:rsid w:val="6B44F8FB"/>
    <w:rsid w:val="6B48F788"/>
    <w:rsid w:val="6B4C5DF4"/>
    <w:rsid w:val="6B61B793"/>
    <w:rsid w:val="6B833449"/>
    <w:rsid w:val="6B86810A"/>
    <w:rsid w:val="6B87F8C3"/>
    <w:rsid w:val="6B8C2FC4"/>
    <w:rsid w:val="6B8DDA60"/>
    <w:rsid w:val="6BB0C4F9"/>
    <w:rsid w:val="6BBE3F85"/>
    <w:rsid w:val="6BBF126A"/>
    <w:rsid w:val="6BCD1971"/>
    <w:rsid w:val="6BCDF94D"/>
    <w:rsid w:val="6BD0F323"/>
    <w:rsid w:val="6BE09C4B"/>
    <w:rsid w:val="6BE989F5"/>
    <w:rsid w:val="6BFD3A80"/>
    <w:rsid w:val="6BFDD1D2"/>
    <w:rsid w:val="6BFFF6AF"/>
    <w:rsid w:val="6C045CC3"/>
    <w:rsid w:val="6C0FD0D6"/>
    <w:rsid w:val="6C139750"/>
    <w:rsid w:val="6C1852D2"/>
    <w:rsid w:val="6C198E53"/>
    <w:rsid w:val="6C332CBE"/>
    <w:rsid w:val="6C41D072"/>
    <w:rsid w:val="6C477EAD"/>
    <w:rsid w:val="6C4B66C7"/>
    <w:rsid w:val="6C4E4756"/>
    <w:rsid w:val="6C57CE39"/>
    <w:rsid w:val="6C5F0DC1"/>
    <w:rsid w:val="6C619AE2"/>
    <w:rsid w:val="6C6331D2"/>
    <w:rsid w:val="6C68C762"/>
    <w:rsid w:val="6C7E0A7F"/>
    <w:rsid w:val="6C825DDF"/>
    <w:rsid w:val="6C858C69"/>
    <w:rsid w:val="6C87D50C"/>
    <w:rsid w:val="6C8F8276"/>
    <w:rsid w:val="6CA10431"/>
    <w:rsid w:val="6CA40EAD"/>
    <w:rsid w:val="6CA57963"/>
    <w:rsid w:val="6CBAAA9C"/>
    <w:rsid w:val="6CC26EF8"/>
    <w:rsid w:val="6CC40FAA"/>
    <w:rsid w:val="6CCCC6AB"/>
    <w:rsid w:val="6CD35B37"/>
    <w:rsid w:val="6CD9A7CB"/>
    <w:rsid w:val="6CE08B69"/>
    <w:rsid w:val="6CE812D7"/>
    <w:rsid w:val="6CECCFB7"/>
    <w:rsid w:val="6CEF39D5"/>
    <w:rsid w:val="6CFD6A01"/>
    <w:rsid w:val="6D2B8D0C"/>
    <w:rsid w:val="6D2D8FE6"/>
    <w:rsid w:val="6D2EB8A2"/>
    <w:rsid w:val="6D3B0798"/>
    <w:rsid w:val="6D4ABB48"/>
    <w:rsid w:val="6D6265AC"/>
    <w:rsid w:val="6D63114F"/>
    <w:rsid w:val="6D6A2DDF"/>
    <w:rsid w:val="6D7261C5"/>
    <w:rsid w:val="6D802B93"/>
    <w:rsid w:val="6D8927EF"/>
    <w:rsid w:val="6D976CE3"/>
    <w:rsid w:val="6DA23EED"/>
    <w:rsid w:val="6DA46114"/>
    <w:rsid w:val="6DA7DB1F"/>
    <w:rsid w:val="6DABE9E3"/>
    <w:rsid w:val="6DAD4ADA"/>
    <w:rsid w:val="6DB66CC1"/>
    <w:rsid w:val="6DBC8339"/>
    <w:rsid w:val="6DBF0189"/>
    <w:rsid w:val="6DC8CFF5"/>
    <w:rsid w:val="6DCB9D7B"/>
    <w:rsid w:val="6DCE874E"/>
    <w:rsid w:val="6DD9D438"/>
    <w:rsid w:val="6DDBBB65"/>
    <w:rsid w:val="6DF851A7"/>
    <w:rsid w:val="6E0B666E"/>
    <w:rsid w:val="6E0EBCD5"/>
    <w:rsid w:val="6E1751E7"/>
    <w:rsid w:val="6E176E6A"/>
    <w:rsid w:val="6E2F0E10"/>
    <w:rsid w:val="6E39A2D6"/>
    <w:rsid w:val="6E3DF91B"/>
    <w:rsid w:val="6E4A8DD6"/>
    <w:rsid w:val="6E4BD0C5"/>
    <w:rsid w:val="6E523029"/>
    <w:rsid w:val="6E590C9E"/>
    <w:rsid w:val="6E5DA479"/>
    <w:rsid w:val="6E5DD8F6"/>
    <w:rsid w:val="6E6760B8"/>
    <w:rsid w:val="6E686C30"/>
    <w:rsid w:val="6E69DE01"/>
    <w:rsid w:val="6E74179A"/>
    <w:rsid w:val="6E77CB41"/>
    <w:rsid w:val="6E77D51A"/>
    <w:rsid w:val="6E847FAD"/>
    <w:rsid w:val="6E8D1E9A"/>
    <w:rsid w:val="6E9490D9"/>
    <w:rsid w:val="6E960F38"/>
    <w:rsid w:val="6EA46ED9"/>
    <w:rsid w:val="6EA904DD"/>
    <w:rsid w:val="6EACB21A"/>
    <w:rsid w:val="6EAEDED2"/>
    <w:rsid w:val="6EB04669"/>
    <w:rsid w:val="6EB07573"/>
    <w:rsid w:val="6EB9E61C"/>
    <w:rsid w:val="6EC6E85F"/>
    <w:rsid w:val="6ECE180F"/>
    <w:rsid w:val="6ED4B8AA"/>
    <w:rsid w:val="6F02C3F5"/>
    <w:rsid w:val="6F03E810"/>
    <w:rsid w:val="6F08403D"/>
    <w:rsid w:val="6F118830"/>
    <w:rsid w:val="6F3A969D"/>
    <w:rsid w:val="6F5F60E4"/>
    <w:rsid w:val="6F64B0B3"/>
    <w:rsid w:val="6F69F3BD"/>
    <w:rsid w:val="6F815929"/>
    <w:rsid w:val="6F83B0D0"/>
    <w:rsid w:val="6F990E9F"/>
    <w:rsid w:val="6F9BEF1E"/>
    <w:rsid w:val="6FA38C6F"/>
    <w:rsid w:val="6FA5A04D"/>
    <w:rsid w:val="6FACF1AB"/>
    <w:rsid w:val="6FAD1608"/>
    <w:rsid w:val="6FB08355"/>
    <w:rsid w:val="6FBF032A"/>
    <w:rsid w:val="6FC1912C"/>
    <w:rsid w:val="6FDE8DDE"/>
    <w:rsid w:val="6FE1A584"/>
    <w:rsid w:val="6FF209E7"/>
    <w:rsid w:val="6FF50CFF"/>
    <w:rsid w:val="6FFD5AB9"/>
    <w:rsid w:val="70099F37"/>
    <w:rsid w:val="701312E3"/>
    <w:rsid w:val="7014FD72"/>
    <w:rsid w:val="701D82ED"/>
    <w:rsid w:val="7025E844"/>
    <w:rsid w:val="702DB3D1"/>
    <w:rsid w:val="7032642E"/>
    <w:rsid w:val="7032D3A6"/>
    <w:rsid w:val="703387D7"/>
    <w:rsid w:val="70361AF0"/>
    <w:rsid w:val="7036A827"/>
    <w:rsid w:val="7044ECD4"/>
    <w:rsid w:val="704B88FF"/>
    <w:rsid w:val="7054705E"/>
    <w:rsid w:val="7057788D"/>
    <w:rsid w:val="705B851A"/>
    <w:rsid w:val="706576C0"/>
    <w:rsid w:val="70693DEB"/>
    <w:rsid w:val="706BA297"/>
    <w:rsid w:val="7077E887"/>
    <w:rsid w:val="708646C7"/>
    <w:rsid w:val="708B2343"/>
    <w:rsid w:val="708C9DDE"/>
    <w:rsid w:val="708E607F"/>
    <w:rsid w:val="709243B3"/>
    <w:rsid w:val="709CAF73"/>
    <w:rsid w:val="70A4111C"/>
    <w:rsid w:val="70A49F0C"/>
    <w:rsid w:val="70A5D54A"/>
    <w:rsid w:val="70B6C4E6"/>
    <w:rsid w:val="70B814C8"/>
    <w:rsid w:val="70C3FF82"/>
    <w:rsid w:val="70CE7E6C"/>
    <w:rsid w:val="70D6B966"/>
    <w:rsid w:val="70E0177E"/>
    <w:rsid w:val="70E0E928"/>
    <w:rsid w:val="70E1CEC0"/>
    <w:rsid w:val="70E51A92"/>
    <w:rsid w:val="70E5ACDE"/>
    <w:rsid w:val="70E6A95A"/>
    <w:rsid w:val="70E962E5"/>
    <w:rsid w:val="70F7180F"/>
    <w:rsid w:val="70F8D075"/>
    <w:rsid w:val="70FD32DA"/>
    <w:rsid w:val="70FEA914"/>
    <w:rsid w:val="710FB008"/>
    <w:rsid w:val="71144E5C"/>
    <w:rsid w:val="71189CF4"/>
    <w:rsid w:val="7120D6F7"/>
    <w:rsid w:val="7123FA22"/>
    <w:rsid w:val="7128E1F3"/>
    <w:rsid w:val="71302970"/>
    <w:rsid w:val="7134191E"/>
    <w:rsid w:val="713632A6"/>
    <w:rsid w:val="713CE4CA"/>
    <w:rsid w:val="71488502"/>
    <w:rsid w:val="714E51FD"/>
    <w:rsid w:val="7155A2CF"/>
    <w:rsid w:val="715925E5"/>
    <w:rsid w:val="7160FA4C"/>
    <w:rsid w:val="71649FE3"/>
    <w:rsid w:val="716DFEB3"/>
    <w:rsid w:val="716E20B3"/>
    <w:rsid w:val="716FCFD4"/>
    <w:rsid w:val="717626EF"/>
    <w:rsid w:val="7176FEED"/>
    <w:rsid w:val="7177072C"/>
    <w:rsid w:val="7177245B"/>
    <w:rsid w:val="717891D8"/>
    <w:rsid w:val="717DD819"/>
    <w:rsid w:val="7188FDF2"/>
    <w:rsid w:val="7193BCDD"/>
    <w:rsid w:val="71A6CDE0"/>
    <w:rsid w:val="71ABE3D4"/>
    <w:rsid w:val="71B68205"/>
    <w:rsid w:val="71C1AE9F"/>
    <w:rsid w:val="71D3C663"/>
    <w:rsid w:val="71E15895"/>
    <w:rsid w:val="71EA9B3A"/>
    <w:rsid w:val="71FB2482"/>
    <w:rsid w:val="71FBD6DC"/>
    <w:rsid w:val="72074743"/>
    <w:rsid w:val="7207E515"/>
    <w:rsid w:val="72114120"/>
    <w:rsid w:val="72259989"/>
    <w:rsid w:val="7227DDCE"/>
    <w:rsid w:val="7229AAE6"/>
    <w:rsid w:val="722D16DC"/>
    <w:rsid w:val="722D59FC"/>
    <w:rsid w:val="7236E524"/>
    <w:rsid w:val="72454287"/>
    <w:rsid w:val="72486264"/>
    <w:rsid w:val="724F677F"/>
    <w:rsid w:val="72503E9E"/>
    <w:rsid w:val="7251BCEC"/>
    <w:rsid w:val="72536A26"/>
    <w:rsid w:val="7258B606"/>
    <w:rsid w:val="7260A265"/>
    <w:rsid w:val="7263CF0A"/>
    <w:rsid w:val="726A0520"/>
    <w:rsid w:val="726C238C"/>
    <w:rsid w:val="727A8876"/>
    <w:rsid w:val="729524A9"/>
    <w:rsid w:val="729D7E64"/>
    <w:rsid w:val="72A4CD1C"/>
    <w:rsid w:val="72A4FF6D"/>
    <w:rsid w:val="72AA8F78"/>
    <w:rsid w:val="72B030B3"/>
    <w:rsid w:val="72B346E1"/>
    <w:rsid w:val="72D8EE91"/>
    <w:rsid w:val="72E09A7E"/>
    <w:rsid w:val="72E6D16C"/>
    <w:rsid w:val="72E7B864"/>
    <w:rsid w:val="72EED38A"/>
    <w:rsid w:val="72FD8930"/>
    <w:rsid w:val="73015284"/>
    <w:rsid w:val="73034B83"/>
    <w:rsid w:val="7303A1C6"/>
    <w:rsid w:val="73158D5F"/>
    <w:rsid w:val="7316A93C"/>
    <w:rsid w:val="73240F51"/>
    <w:rsid w:val="73361E79"/>
    <w:rsid w:val="7339BB67"/>
    <w:rsid w:val="73442D26"/>
    <w:rsid w:val="734CAE86"/>
    <w:rsid w:val="735BC88D"/>
    <w:rsid w:val="736D3647"/>
    <w:rsid w:val="7370018E"/>
    <w:rsid w:val="738055C5"/>
    <w:rsid w:val="738A56A9"/>
    <w:rsid w:val="738BEFE0"/>
    <w:rsid w:val="73922FAD"/>
    <w:rsid w:val="739F7FBF"/>
    <w:rsid w:val="73A06B00"/>
    <w:rsid w:val="73A1DD48"/>
    <w:rsid w:val="73A80CE4"/>
    <w:rsid w:val="73AC9FCF"/>
    <w:rsid w:val="73B24807"/>
    <w:rsid w:val="73BC7159"/>
    <w:rsid w:val="73BDA585"/>
    <w:rsid w:val="73BF5D97"/>
    <w:rsid w:val="73CF2ADB"/>
    <w:rsid w:val="73FDE073"/>
    <w:rsid w:val="740AC48B"/>
    <w:rsid w:val="740C252E"/>
    <w:rsid w:val="74128738"/>
    <w:rsid w:val="742335F6"/>
    <w:rsid w:val="74238F47"/>
    <w:rsid w:val="7426F902"/>
    <w:rsid w:val="74288DF1"/>
    <w:rsid w:val="7434E831"/>
    <w:rsid w:val="743B76E8"/>
    <w:rsid w:val="74412078"/>
    <w:rsid w:val="74413F86"/>
    <w:rsid w:val="74439DA3"/>
    <w:rsid w:val="74441016"/>
    <w:rsid w:val="74501490"/>
    <w:rsid w:val="74507DF8"/>
    <w:rsid w:val="74592069"/>
    <w:rsid w:val="745E489A"/>
    <w:rsid w:val="746373DA"/>
    <w:rsid w:val="746A5505"/>
    <w:rsid w:val="74735723"/>
    <w:rsid w:val="74942A54"/>
    <w:rsid w:val="7499607B"/>
    <w:rsid w:val="749CDDC5"/>
    <w:rsid w:val="74A613F5"/>
    <w:rsid w:val="74BC5A25"/>
    <w:rsid w:val="74CD6291"/>
    <w:rsid w:val="74CE48E4"/>
    <w:rsid w:val="74D2CC40"/>
    <w:rsid w:val="74D69343"/>
    <w:rsid w:val="74D704AF"/>
    <w:rsid w:val="74D738EF"/>
    <w:rsid w:val="74E0D505"/>
    <w:rsid w:val="74FB0B8A"/>
    <w:rsid w:val="751AD4DA"/>
    <w:rsid w:val="75238B9A"/>
    <w:rsid w:val="7527D262"/>
    <w:rsid w:val="753F52C1"/>
    <w:rsid w:val="753FA0DD"/>
    <w:rsid w:val="75412919"/>
    <w:rsid w:val="754D4E59"/>
    <w:rsid w:val="7565E6EC"/>
    <w:rsid w:val="75679CDA"/>
    <w:rsid w:val="756E9539"/>
    <w:rsid w:val="757974EC"/>
    <w:rsid w:val="757B0784"/>
    <w:rsid w:val="757C4476"/>
    <w:rsid w:val="758A4FBF"/>
    <w:rsid w:val="75961FFD"/>
    <w:rsid w:val="759C498C"/>
    <w:rsid w:val="75A3198B"/>
    <w:rsid w:val="75B17A34"/>
    <w:rsid w:val="75B75376"/>
    <w:rsid w:val="75CC0677"/>
    <w:rsid w:val="75DFBF63"/>
    <w:rsid w:val="75E28378"/>
    <w:rsid w:val="75F0AC55"/>
    <w:rsid w:val="75F8C8C8"/>
    <w:rsid w:val="75FB2245"/>
    <w:rsid w:val="75FB5A4B"/>
    <w:rsid w:val="760375FA"/>
    <w:rsid w:val="76160E91"/>
    <w:rsid w:val="7629B2C0"/>
    <w:rsid w:val="762AAFE5"/>
    <w:rsid w:val="762C2444"/>
    <w:rsid w:val="7637A008"/>
    <w:rsid w:val="76382DD5"/>
    <w:rsid w:val="763A72EF"/>
    <w:rsid w:val="763AB77F"/>
    <w:rsid w:val="763CC005"/>
    <w:rsid w:val="764A53F3"/>
    <w:rsid w:val="7654D0E3"/>
    <w:rsid w:val="7654F1CF"/>
    <w:rsid w:val="765D49EC"/>
    <w:rsid w:val="76612832"/>
    <w:rsid w:val="76647C00"/>
    <w:rsid w:val="766816B6"/>
    <w:rsid w:val="766F616C"/>
    <w:rsid w:val="767A1F4E"/>
    <w:rsid w:val="767DE23E"/>
    <w:rsid w:val="76880FD5"/>
    <w:rsid w:val="768885A3"/>
    <w:rsid w:val="76ACCB12"/>
    <w:rsid w:val="76C1B279"/>
    <w:rsid w:val="76C21AAE"/>
    <w:rsid w:val="76C5E1C3"/>
    <w:rsid w:val="76C71C4D"/>
    <w:rsid w:val="76CD92FD"/>
    <w:rsid w:val="76D173F3"/>
    <w:rsid w:val="76D6DDD4"/>
    <w:rsid w:val="76FACE68"/>
    <w:rsid w:val="770873D7"/>
    <w:rsid w:val="7715F814"/>
    <w:rsid w:val="771A3C0D"/>
    <w:rsid w:val="77219797"/>
    <w:rsid w:val="774C59B8"/>
    <w:rsid w:val="77500637"/>
    <w:rsid w:val="7758475E"/>
    <w:rsid w:val="7758BB70"/>
    <w:rsid w:val="775E6BBB"/>
    <w:rsid w:val="77645803"/>
    <w:rsid w:val="77785E71"/>
    <w:rsid w:val="777B3F7F"/>
    <w:rsid w:val="779C33F6"/>
    <w:rsid w:val="77A6BA9A"/>
    <w:rsid w:val="77B167C8"/>
    <w:rsid w:val="77B9CF31"/>
    <w:rsid w:val="77BB5AC6"/>
    <w:rsid w:val="77C8C200"/>
    <w:rsid w:val="77C8C9DB"/>
    <w:rsid w:val="77CC63C2"/>
    <w:rsid w:val="77D27147"/>
    <w:rsid w:val="77E466F6"/>
    <w:rsid w:val="77EAD273"/>
    <w:rsid w:val="77ECFAD5"/>
    <w:rsid w:val="7805F05D"/>
    <w:rsid w:val="78101AAA"/>
    <w:rsid w:val="78178979"/>
    <w:rsid w:val="7821740D"/>
    <w:rsid w:val="7824422F"/>
    <w:rsid w:val="7827E99C"/>
    <w:rsid w:val="782D3ADC"/>
    <w:rsid w:val="78316FA9"/>
    <w:rsid w:val="78338502"/>
    <w:rsid w:val="783543EA"/>
    <w:rsid w:val="78378E41"/>
    <w:rsid w:val="7844F051"/>
    <w:rsid w:val="78546F6C"/>
    <w:rsid w:val="78567282"/>
    <w:rsid w:val="785C2EFC"/>
    <w:rsid w:val="7862EC47"/>
    <w:rsid w:val="786927CC"/>
    <w:rsid w:val="78878F16"/>
    <w:rsid w:val="788EF9B8"/>
    <w:rsid w:val="78927C02"/>
    <w:rsid w:val="78A1983D"/>
    <w:rsid w:val="78A42526"/>
    <w:rsid w:val="78A474A8"/>
    <w:rsid w:val="78B2DD45"/>
    <w:rsid w:val="78B91C19"/>
    <w:rsid w:val="78B9840B"/>
    <w:rsid w:val="78BABE07"/>
    <w:rsid w:val="78C3BFC3"/>
    <w:rsid w:val="78C91793"/>
    <w:rsid w:val="78CA7523"/>
    <w:rsid w:val="78EE1C96"/>
    <w:rsid w:val="78F51D99"/>
    <w:rsid w:val="78FDD7DD"/>
    <w:rsid w:val="79056873"/>
    <w:rsid w:val="790E05CD"/>
    <w:rsid w:val="79113DF9"/>
    <w:rsid w:val="791640A7"/>
    <w:rsid w:val="79170CE8"/>
    <w:rsid w:val="791940C7"/>
    <w:rsid w:val="793785F6"/>
    <w:rsid w:val="793F6CB8"/>
    <w:rsid w:val="7940AC74"/>
    <w:rsid w:val="7947F64A"/>
    <w:rsid w:val="795F8F54"/>
    <w:rsid w:val="795FEC17"/>
    <w:rsid w:val="795FFFA6"/>
    <w:rsid w:val="79668BE2"/>
    <w:rsid w:val="79784ACD"/>
    <w:rsid w:val="798BEF36"/>
    <w:rsid w:val="79A01521"/>
    <w:rsid w:val="79AD401D"/>
    <w:rsid w:val="79B82A27"/>
    <w:rsid w:val="79C10E14"/>
    <w:rsid w:val="79C871F8"/>
    <w:rsid w:val="79D5191F"/>
    <w:rsid w:val="79D56251"/>
    <w:rsid w:val="79E3BEB4"/>
    <w:rsid w:val="79E57CBD"/>
    <w:rsid w:val="79E6816E"/>
    <w:rsid w:val="79EC82C3"/>
    <w:rsid w:val="79EDC050"/>
    <w:rsid w:val="79F2258F"/>
    <w:rsid w:val="7A0DC62A"/>
    <w:rsid w:val="7A10F2BE"/>
    <w:rsid w:val="7A1296C6"/>
    <w:rsid w:val="7A213D68"/>
    <w:rsid w:val="7A31F08F"/>
    <w:rsid w:val="7A35D2F9"/>
    <w:rsid w:val="7A37A1A9"/>
    <w:rsid w:val="7A3A6965"/>
    <w:rsid w:val="7A44915E"/>
    <w:rsid w:val="7A4A3966"/>
    <w:rsid w:val="7A5C0049"/>
    <w:rsid w:val="7A5CDC31"/>
    <w:rsid w:val="7A654CB5"/>
    <w:rsid w:val="7A721092"/>
    <w:rsid w:val="7A769C39"/>
    <w:rsid w:val="7A7D308E"/>
    <w:rsid w:val="7AA37DD0"/>
    <w:rsid w:val="7AB2AAA3"/>
    <w:rsid w:val="7AB687D9"/>
    <w:rsid w:val="7ABAEC15"/>
    <w:rsid w:val="7AD05AD8"/>
    <w:rsid w:val="7AD1CBFE"/>
    <w:rsid w:val="7AD3B878"/>
    <w:rsid w:val="7AD89A02"/>
    <w:rsid w:val="7AE44339"/>
    <w:rsid w:val="7AED9277"/>
    <w:rsid w:val="7AF20A57"/>
    <w:rsid w:val="7AF43F5A"/>
    <w:rsid w:val="7AF46F78"/>
    <w:rsid w:val="7AF5C2B1"/>
    <w:rsid w:val="7AFF668E"/>
    <w:rsid w:val="7B0B942E"/>
    <w:rsid w:val="7B0F5BC8"/>
    <w:rsid w:val="7B1549A7"/>
    <w:rsid w:val="7B19E127"/>
    <w:rsid w:val="7B1B36D0"/>
    <w:rsid w:val="7B1E5A68"/>
    <w:rsid w:val="7B230D0A"/>
    <w:rsid w:val="7B319FA3"/>
    <w:rsid w:val="7B341B0D"/>
    <w:rsid w:val="7B384F87"/>
    <w:rsid w:val="7B4DB10F"/>
    <w:rsid w:val="7B4FE41F"/>
    <w:rsid w:val="7B55E62F"/>
    <w:rsid w:val="7B5E5FDC"/>
    <w:rsid w:val="7B5EC91B"/>
    <w:rsid w:val="7B663A04"/>
    <w:rsid w:val="7B6E5CF3"/>
    <w:rsid w:val="7B711307"/>
    <w:rsid w:val="7B770EC4"/>
    <w:rsid w:val="7B7CB127"/>
    <w:rsid w:val="7B8259C0"/>
    <w:rsid w:val="7B89ACAC"/>
    <w:rsid w:val="7B91D5EC"/>
    <w:rsid w:val="7B92399B"/>
    <w:rsid w:val="7B97E1BA"/>
    <w:rsid w:val="7B9892E7"/>
    <w:rsid w:val="7B9978C2"/>
    <w:rsid w:val="7BA1BB76"/>
    <w:rsid w:val="7BAF22EF"/>
    <w:rsid w:val="7BCAB194"/>
    <w:rsid w:val="7BCED67B"/>
    <w:rsid w:val="7BD1EAD7"/>
    <w:rsid w:val="7BD336FA"/>
    <w:rsid w:val="7BDCDE8F"/>
    <w:rsid w:val="7BDD445A"/>
    <w:rsid w:val="7BE184FB"/>
    <w:rsid w:val="7BE6BA89"/>
    <w:rsid w:val="7BE9D00B"/>
    <w:rsid w:val="7BFA8CFD"/>
    <w:rsid w:val="7BFCC8B3"/>
    <w:rsid w:val="7C02D716"/>
    <w:rsid w:val="7C0A2B8E"/>
    <w:rsid w:val="7C1AF229"/>
    <w:rsid w:val="7C302B1D"/>
    <w:rsid w:val="7C311F31"/>
    <w:rsid w:val="7C36D4A5"/>
    <w:rsid w:val="7C3AB391"/>
    <w:rsid w:val="7C3D88D0"/>
    <w:rsid w:val="7C6CE13C"/>
    <w:rsid w:val="7C6EB590"/>
    <w:rsid w:val="7C792A18"/>
    <w:rsid w:val="7C79B161"/>
    <w:rsid w:val="7C8EA8C4"/>
    <w:rsid w:val="7C935C75"/>
    <w:rsid w:val="7C967E11"/>
    <w:rsid w:val="7CA1713D"/>
    <w:rsid w:val="7CB70544"/>
    <w:rsid w:val="7CBDC92F"/>
    <w:rsid w:val="7CC2A2F7"/>
    <w:rsid w:val="7CC54522"/>
    <w:rsid w:val="7CC56795"/>
    <w:rsid w:val="7CD31D90"/>
    <w:rsid w:val="7CDD3E3A"/>
    <w:rsid w:val="7CEA7164"/>
    <w:rsid w:val="7CEC39CC"/>
    <w:rsid w:val="7CF7FC4C"/>
    <w:rsid w:val="7D053D42"/>
    <w:rsid w:val="7D0B17E5"/>
    <w:rsid w:val="7D0B3ED7"/>
    <w:rsid w:val="7D0B6054"/>
    <w:rsid w:val="7D268468"/>
    <w:rsid w:val="7D2ED1E9"/>
    <w:rsid w:val="7D31211A"/>
    <w:rsid w:val="7D335BA2"/>
    <w:rsid w:val="7D39C8B7"/>
    <w:rsid w:val="7D3BF675"/>
    <w:rsid w:val="7D3D9B47"/>
    <w:rsid w:val="7D4B6E00"/>
    <w:rsid w:val="7D578571"/>
    <w:rsid w:val="7D59F5D0"/>
    <w:rsid w:val="7D60D4BC"/>
    <w:rsid w:val="7D68FE45"/>
    <w:rsid w:val="7D81DEAF"/>
    <w:rsid w:val="7D8472BF"/>
    <w:rsid w:val="7D8AD635"/>
    <w:rsid w:val="7D9393CA"/>
    <w:rsid w:val="7D976BEB"/>
    <w:rsid w:val="7D986395"/>
    <w:rsid w:val="7D98EAF1"/>
    <w:rsid w:val="7D991787"/>
    <w:rsid w:val="7D9AD53A"/>
    <w:rsid w:val="7D9B9A4F"/>
    <w:rsid w:val="7D9E6761"/>
    <w:rsid w:val="7DA12F39"/>
    <w:rsid w:val="7DAA1076"/>
    <w:rsid w:val="7DAABF2E"/>
    <w:rsid w:val="7DC49011"/>
    <w:rsid w:val="7DD00587"/>
    <w:rsid w:val="7DDE6192"/>
    <w:rsid w:val="7DE038D8"/>
    <w:rsid w:val="7DE0916A"/>
    <w:rsid w:val="7DEAE215"/>
    <w:rsid w:val="7DEF1BD1"/>
    <w:rsid w:val="7DF92DE5"/>
    <w:rsid w:val="7DFA4347"/>
    <w:rsid w:val="7E10A125"/>
    <w:rsid w:val="7E1F1B3B"/>
    <w:rsid w:val="7E2DA98B"/>
    <w:rsid w:val="7E36E431"/>
    <w:rsid w:val="7E43F281"/>
    <w:rsid w:val="7E536DFB"/>
    <w:rsid w:val="7E57CDE6"/>
    <w:rsid w:val="7E649663"/>
    <w:rsid w:val="7E75C496"/>
    <w:rsid w:val="7E9015A7"/>
    <w:rsid w:val="7EA19F3C"/>
    <w:rsid w:val="7EA2B851"/>
    <w:rsid w:val="7EA56A54"/>
    <w:rsid w:val="7EC416E2"/>
    <w:rsid w:val="7EC8DD29"/>
    <w:rsid w:val="7ED4A473"/>
    <w:rsid w:val="7EEB42EC"/>
    <w:rsid w:val="7EF158A7"/>
    <w:rsid w:val="7EF2449E"/>
    <w:rsid w:val="7EF88F17"/>
    <w:rsid w:val="7F026651"/>
    <w:rsid w:val="7F0270FA"/>
    <w:rsid w:val="7F09BBC6"/>
    <w:rsid w:val="7F0AE951"/>
    <w:rsid w:val="7F1576FF"/>
    <w:rsid w:val="7F1B244C"/>
    <w:rsid w:val="7F1D6302"/>
    <w:rsid w:val="7F200E30"/>
    <w:rsid w:val="7F2B5A3D"/>
    <w:rsid w:val="7F3027B5"/>
    <w:rsid w:val="7F3173EA"/>
    <w:rsid w:val="7F31F3CC"/>
    <w:rsid w:val="7F3B1F08"/>
    <w:rsid w:val="7F4192D0"/>
    <w:rsid w:val="7F43452B"/>
    <w:rsid w:val="7F469FE5"/>
    <w:rsid w:val="7F4D31EF"/>
    <w:rsid w:val="7F55EB71"/>
    <w:rsid w:val="7F565582"/>
    <w:rsid w:val="7F588F2C"/>
    <w:rsid w:val="7F679CF6"/>
    <w:rsid w:val="7F6A471F"/>
    <w:rsid w:val="7F788082"/>
    <w:rsid w:val="7F7C0E9A"/>
    <w:rsid w:val="7F8DB2BB"/>
    <w:rsid w:val="7F9B195B"/>
    <w:rsid w:val="7F9E4D91"/>
    <w:rsid w:val="7FAE73DC"/>
    <w:rsid w:val="7FB54233"/>
    <w:rsid w:val="7FC38F4D"/>
    <w:rsid w:val="7FCA4345"/>
    <w:rsid w:val="7FD03A6E"/>
    <w:rsid w:val="7FD15C9C"/>
    <w:rsid w:val="7FDEA42C"/>
    <w:rsid w:val="7FE94EFA"/>
    <w:rsid w:val="7FEA7C3D"/>
    <w:rsid w:val="7FF6B181"/>
    <w:rsid w:val="7FFFD6F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fillcolor="white">
      <v:fill color="white"/>
    </o:shapedefaults>
    <o:shapelayout v:ext="edit">
      <o:idmap v:ext="edit" data="2"/>
    </o:shapelayout>
  </w:shapeDefaults>
  <w:decimalSymbol w:val=","/>
  <w:listSeparator w:val=";"/>
  <w14:docId w14:val="6037C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5E7E"/>
    <w:rPr>
      <w:rFonts w:ascii="Times New Roman" w:hAnsi="Times New Roman"/>
      <w:sz w:val="24"/>
    </w:rPr>
  </w:style>
  <w:style w:type="paragraph" w:styleId="Heading1">
    <w:name w:val="heading 1"/>
    <w:basedOn w:val="Style1"/>
    <w:next w:val="Normal"/>
    <w:link w:val="Heading1Char"/>
    <w:uiPriority w:val="9"/>
    <w:qFormat/>
    <w:rsid w:val="005E4574"/>
    <w:pPr>
      <w:outlineLvl w:val="0"/>
    </w:pPr>
  </w:style>
  <w:style w:type="paragraph" w:styleId="Heading2">
    <w:name w:val="heading 2"/>
    <w:basedOn w:val="Style2"/>
    <w:next w:val="Normal"/>
    <w:link w:val="Heading2Char"/>
    <w:uiPriority w:val="9"/>
    <w:unhideWhenUsed/>
    <w:qFormat/>
    <w:rsid w:val="00205B71"/>
    <w:pPr>
      <w:numPr>
        <w:ilvl w:val="0"/>
        <w:numId w:val="112"/>
      </w:numPr>
      <w:outlineLvl w:val="1"/>
    </w:pPr>
    <w:rPr>
      <w:rFonts w:eastAsia="Times New Roman"/>
      <w:caps/>
    </w:rPr>
  </w:style>
  <w:style w:type="paragraph" w:styleId="Heading3">
    <w:name w:val="heading 3"/>
    <w:basedOn w:val="ContNumLevel2"/>
    <w:next w:val="Normal"/>
    <w:link w:val="Heading3Char"/>
    <w:uiPriority w:val="9"/>
    <w:unhideWhenUsed/>
    <w:qFormat/>
    <w:rsid w:val="005E4574"/>
    <w:pPr>
      <w:numPr>
        <w:ilvl w:val="0"/>
        <w:numId w:val="0"/>
      </w:numPr>
      <w:ind w:left="1080"/>
      <w:outlineLvl w:val="2"/>
    </w:pPr>
    <w:rPr>
      <w:b/>
      <w:bCs/>
      <w:u w:val="single"/>
    </w:rPr>
  </w:style>
  <w:style w:type="paragraph" w:styleId="Heading4">
    <w:name w:val="heading 4"/>
    <w:basedOn w:val="ContNum"/>
    <w:next w:val="Normal"/>
    <w:link w:val="Heading4Char"/>
    <w:uiPriority w:val="9"/>
    <w:unhideWhenUsed/>
    <w:qFormat/>
    <w:rsid w:val="004C04AA"/>
    <w:pPr>
      <w:numPr>
        <w:numId w:val="30"/>
      </w:numPr>
      <w:spacing w:after="120"/>
      <w:ind w:left="720"/>
      <w:outlineLvl w:val="3"/>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F2AEF"/>
    <w:rPr>
      <w:color w:val="0000FF"/>
      <w:shd w:val="clear" w:color="auto" w:fill="auto"/>
    </w:rPr>
  </w:style>
  <w:style w:type="paragraph" w:styleId="Header">
    <w:name w:val="header"/>
    <w:basedOn w:val="Normal"/>
    <w:link w:val="HeaderChar"/>
    <w:uiPriority w:val="99"/>
    <w:unhideWhenUsed/>
    <w:rsid w:val="002F2A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2AEF"/>
  </w:style>
  <w:style w:type="paragraph" w:styleId="Footer">
    <w:name w:val="footer"/>
    <w:basedOn w:val="Normal"/>
    <w:link w:val="FooterChar"/>
    <w:uiPriority w:val="99"/>
    <w:unhideWhenUsed/>
    <w:rsid w:val="002F2A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2AEF"/>
  </w:style>
  <w:style w:type="paragraph" w:customStyle="1" w:styleId="Pagedecouverture">
    <w:name w:val="Page de couverture"/>
    <w:basedOn w:val="Normal"/>
    <w:next w:val="Normal"/>
    <w:rsid w:val="002F2AEF"/>
    <w:pPr>
      <w:spacing w:after="0" w:line="240" w:lineRule="auto"/>
      <w:jc w:val="both"/>
    </w:pPr>
    <w:rPr>
      <w:rFonts w:cs="Times New Roman"/>
    </w:rPr>
  </w:style>
  <w:style w:type="paragraph" w:customStyle="1" w:styleId="FooterCoverPage">
    <w:name w:val="Footer Cover Page"/>
    <w:basedOn w:val="Normal"/>
    <w:link w:val="FooterCoverPageChar"/>
    <w:rsid w:val="002F2AEF"/>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rsid w:val="002F2AEF"/>
    <w:rPr>
      <w:rFonts w:ascii="Times New Roman" w:hAnsi="Times New Roman"/>
      <w:sz w:val="24"/>
    </w:rPr>
  </w:style>
  <w:style w:type="paragraph" w:customStyle="1" w:styleId="FooterSensitivity">
    <w:name w:val="Footer Sensitivity"/>
    <w:basedOn w:val="Normal"/>
    <w:link w:val="FooterSensitivityChar"/>
    <w:rsid w:val="002F2AE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2F2AEF"/>
    <w:rPr>
      <w:rFonts w:ascii="Times New Roman" w:hAnsi="Times New Roman"/>
      <w:b/>
      <w:sz w:val="32"/>
    </w:rPr>
  </w:style>
  <w:style w:type="paragraph" w:customStyle="1" w:styleId="HeaderCoverPage">
    <w:name w:val="Header Cover Page"/>
    <w:basedOn w:val="Normal"/>
    <w:link w:val="HeaderCoverPageChar"/>
    <w:rsid w:val="002F2AEF"/>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2F2AEF"/>
    <w:rPr>
      <w:rFonts w:ascii="Times New Roman" w:hAnsi="Times New Roman"/>
      <w:sz w:val="24"/>
    </w:rPr>
  </w:style>
  <w:style w:type="paragraph" w:customStyle="1" w:styleId="HeaderSensitivity">
    <w:name w:val="Header Sensitivity"/>
    <w:basedOn w:val="Normal"/>
    <w:link w:val="HeaderSensitivityChar"/>
    <w:rsid w:val="002F2AEF"/>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2F2AEF"/>
    <w:rPr>
      <w:rFonts w:ascii="Times New Roman" w:hAnsi="Times New Roman"/>
      <w:b/>
      <w:sz w:val="32"/>
    </w:rPr>
  </w:style>
  <w:style w:type="paragraph" w:customStyle="1" w:styleId="HeaderSensitivityRight">
    <w:name w:val="Header Sensitivity Right"/>
    <w:basedOn w:val="Normal"/>
    <w:link w:val="HeaderSensitivityRightChar"/>
    <w:rsid w:val="002F2AEF"/>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2F2AEF"/>
    <w:rPr>
      <w:rFonts w:ascii="Times New Roman" w:hAnsi="Times New Roman"/>
      <w:sz w:val="28"/>
    </w:rPr>
  </w:style>
  <w:style w:type="paragraph" w:customStyle="1" w:styleId="li">
    <w:name w:val="li"/>
    <w:basedOn w:val="Normal"/>
    <w:rsid w:val="005A63C8"/>
    <w:pPr>
      <w:spacing w:before="100" w:beforeAutospacing="1" w:after="100" w:afterAutospacing="1" w:line="240" w:lineRule="auto"/>
    </w:pPr>
    <w:rPr>
      <w:rFonts w:eastAsia="Times New Roman" w:cs="Times New Roman"/>
      <w:szCs w:val="24"/>
      <w:lang w:eastAsia="en-IE"/>
    </w:rPr>
  </w:style>
  <w:style w:type="paragraph" w:customStyle="1" w:styleId="Normal1">
    <w:name w:val="Normal1"/>
    <w:basedOn w:val="Normal"/>
    <w:rsid w:val="005A63C8"/>
    <w:pPr>
      <w:spacing w:before="100" w:beforeAutospacing="1" w:after="100" w:afterAutospacing="1" w:line="240" w:lineRule="auto"/>
    </w:pPr>
    <w:rPr>
      <w:rFonts w:eastAsia="Times New Roman" w:cs="Times New Roman"/>
      <w:szCs w:val="24"/>
      <w:lang w:eastAsia="en-IE"/>
    </w:rPr>
  </w:style>
  <w:style w:type="character" w:customStyle="1" w:styleId="footnotereference">
    <w:name w:val="footnotereference"/>
    <w:basedOn w:val="DefaultParagraphFont"/>
    <w:rsid w:val="005A63C8"/>
  </w:style>
  <w:style w:type="character" w:styleId="Hyperlink">
    <w:name w:val="Hyperlink"/>
    <w:basedOn w:val="DefaultParagraphFont"/>
    <w:uiPriority w:val="99"/>
    <w:unhideWhenUsed/>
    <w:rsid w:val="005A63C8"/>
    <w:rPr>
      <w:color w:val="0000FF"/>
      <w:u w:val="single"/>
    </w:rPr>
  </w:style>
  <w:style w:type="character" w:customStyle="1" w:styleId="normaltextrun">
    <w:name w:val="normaltextrun"/>
    <w:basedOn w:val="DefaultParagraphFont"/>
    <w:rsid w:val="005A63C8"/>
  </w:style>
  <w:style w:type="character" w:customStyle="1" w:styleId="num">
    <w:name w:val="num"/>
    <w:basedOn w:val="DefaultParagraphFont"/>
    <w:rsid w:val="005A63C8"/>
  </w:style>
  <w:style w:type="paragraph" w:customStyle="1" w:styleId="Subject">
    <w:name w:val="Subject"/>
    <w:basedOn w:val="Normal"/>
    <w:link w:val="SubjectChar"/>
    <w:uiPriority w:val="2"/>
    <w:rsid w:val="005A63C8"/>
    <w:pPr>
      <w:spacing w:after="480" w:line="240" w:lineRule="auto"/>
      <w:ind w:left="1191" w:hanging="1191"/>
      <w:contextualSpacing/>
    </w:pPr>
    <w:rPr>
      <w:rFonts w:eastAsia="Times New Roman" w:cs="Times New Roman"/>
      <w:b/>
      <w:szCs w:val="20"/>
      <w:lang w:eastAsia="en-GB"/>
    </w:rPr>
  </w:style>
  <w:style w:type="paragraph" w:styleId="FootnoteText">
    <w:name w:val="footnote text"/>
    <w:aliases w:val="Footnote Text Char1 Char,Footnote Text Char Char Char,Fußnotentext Char Char1 Char Char,Fußnotentext Char1 Char1 Char Char Char,Fußnotentext Char Char Char Char Char Char Char1,Footnote Text Char1,Footnote Text Char Char,footnote text,Char"/>
    <w:basedOn w:val="Normal"/>
    <w:link w:val="FootnoteTextChar"/>
    <w:uiPriority w:val="99"/>
    <w:unhideWhenUsed/>
    <w:qFormat/>
    <w:rsid w:val="00B279E0"/>
    <w:pPr>
      <w:spacing w:after="0" w:line="240" w:lineRule="auto"/>
    </w:pPr>
    <w:rPr>
      <w:sz w:val="20"/>
      <w:szCs w:val="20"/>
    </w:rPr>
  </w:style>
  <w:style w:type="character" w:customStyle="1" w:styleId="FootnoteTextChar">
    <w:name w:val="Footnote Text Char"/>
    <w:aliases w:val="Footnote Text Char1 Char Char,Footnote Text Char Char Char Char,Fußnotentext Char Char1 Char Char Char,Fußnotentext Char1 Char1 Char Char Char Char,Fußnotentext Char Char Char Char Char Char Char1 Char,Footnote Text Char1 Char1"/>
    <w:basedOn w:val="DefaultParagraphFont"/>
    <w:link w:val="FootnoteText"/>
    <w:uiPriority w:val="99"/>
    <w:qFormat/>
    <w:rsid w:val="00B279E0"/>
    <w:rPr>
      <w:sz w:val="20"/>
      <w:szCs w:val="20"/>
      <w:lang w:val="ro-RO"/>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GSA List"/>
    <w:basedOn w:val="Normal"/>
    <w:link w:val="ListParagraphChar"/>
    <w:uiPriority w:val="34"/>
    <w:qFormat/>
    <w:rsid w:val="00B279E0"/>
    <w:pPr>
      <w:spacing w:line="256" w:lineRule="auto"/>
      <w:ind w:left="720"/>
      <w:contextualSpacing/>
    </w:pPr>
  </w:style>
  <w:style w:type="character" w:styleId="FootnoteReference0">
    <w:name w:val="footnote reference"/>
    <w:aliases w:val="BVI fnr, BVI fnr,Footnote Reference Superscript,Footnote symbol,Odwołanie przypisu,Footnote Reference_LVL6,Footnote Reference_LVL61,Footnote Reference_LVL62,Footnote Reference_LVL63,Footnote Reference_LVL64,Footnote Reference_LVL,Nota"/>
    <w:basedOn w:val="DefaultParagraphFont"/>
    <w:link w:val="FootnotesymbolCarZchn"/>
    <w:unhideWhenUsed/>
    <w:qFormat/>
    <w:rsid w:val="00B279E0"/>
    <w:rPr>
      <w:vertAlign w:val="superscript"/>
    </w:rPr>
  </w:style>
  <w:style w:type="character" w:styleId="CommentReference">
    <w:name w:val="annotation reference"/>
    <w:basedOn w:val="DefaultParagraphFont"/>
    <w:uiPriority w:val="99"/>
    <w:semiHidden/>
    <w:unhideWhenUsed/>
    <w:rsid w:val="00DD09F0"/>
    <w:rPr>
      <w:sz w:val="16"/>
      <w:szCs w:val="16"/>
    </w:rPr>
  </w:style>
  <w:style w:type="paragraph" w:styleId="CommentText">
    <w:name w:val="annotation text"/>
    <w:basedOn w:val="Normal"/>
    <w:link w:val="CommentTextChar"/>
    <w:uiPriority w:val="99"/>
    <w:unhideWhenUsed/>
    <w:rsid w:val="00DD09F0"/>
    <w:pPr>
      <w:spacing w:line="240" w:lineRule="auto"/>
    </w:pPr>
    <w:rPr>
      <w:sz w:val="20"/>
      <w:szCs w:val="20"/>
    </w:rPr>
  </w:style>
  <w:style w:type="character" w:customStyle="1" w:styleId="CommentTextChar">
    <w:name w:val="Comment Text Char"/>
    <w:basedOn w:val="DefaultParagraphFont"/>
    <w:link w:val="CommentText"/>
    <w:uiPriority w:val="99"/>
    <w:rsid w:val="00DD09F0"/>
    <w:rPr>
      <w:sz w:val="20"/>
      <w:szCs w:val="20"/>
    </w:rPr>
  </w:style>
  <w:style w:type="paragraph" w:styleId="CommentSubject">
    <w:name w:val="annotation subject"/>
    <w:basedOn w:val="CommentText"/>
    <w:next w:val="CommentText"/>
    <w:link w:val="CommentSubjectChar"/>
    <w:uiPriority w:val="99"/>
    <w:semiHidden/>
    <w:unhideWhenUsed/>
    <w:rsid w:val="00DD09F0"/>
    <w:rPr>
      <w:b/>
      <w:bCs/>
    </w:rPr>
  </w:style>
  <w:style w:type="character" w:customStyle="1" w:styleId="CommentSubjectChar">
    <w:name w:val="Comment Subject Char"/>
    <w:basedOn w:val="CommentTextChar"/>
    <w:link w:val="CommentSubject"/>
    <w:uiPriority w:val="99"/>
    <w:semiHidden/>
    <w:rsid w:val="00DD09F0"/>
    <w:rPr>
      <w:b/>
      <w:bCs/>
      <w:sz w:val="20"/>
      <w:szCs w:val="20"/>
    </w:rPr>
  </w:style>
  <w:style w:type="paragraph" w:styleId="NormalWeb">
    <w:name w:val="Normal (Web)"/>
    <w:basedOn w:val="Normal"/>
    <w:uiPriority w:val="99"/>
    <w:semiHidden/>
    <w:unhideWhenUsed/>
    <w:rsid w:val="001E34A0"/>
    <w:pPr>
      <w:spacing w:before="100" w:beforeAutospacing="1" w:after="100" w:afterAutospacing="1" w:line="240" w:lineRule="auto"/>
    </w:pPr>
    <w:rPr>
      <w:rFonts w:eastAsia="Times New Roman" w:cs="Times New Roman"/>
      <w:szCs w:val="24"/>
      <w:lang w:eastAsia="en-IE"/>
    </w:rPr>
  </w:style>
  <w:style w:type="paragraph" w:styleId="Revision">
    <w:name w:val="Revision"/>
    <w:hidden/>
    <w:uiPriority w:val="99"/>
    <w:semiHidden/>
    <w:rsid w:val="00CA0626"/>
    <w:pPr>
      <w:spacing w:after="0" w:line="240" w:lineRule="auto"/>
    </w:pPr>
  </w:style>
  <w:style w:type="character" w:customStyle="1" w:styleId="UnresolvedMention1">
    <w:name w:val="Unresolved Mention1"/>
    <w:basedOn w:val="DefaultParagraphFont"/>
    <w:uiPriority w:val="99"/>
    <w:unhideWhenUsed/>
    <w:rsid w:val="00CA0626"/>
    <w:rPr>
      <w:color w:val="605E5C"/>
      <w:shd w:val="clear" w:color="auto" w:fill="E1DFDD"/>
    </w:rPr>
  </w:style>
  <w:style w:type="character" w:customStyle="1" w:styleId="Mention1">
    <w:name w:val="Mention1"/>
    <w:basedOn w:val="DefaultParagraphFont"/>
    <w:uiPriority w:val="99"/>
    <w:unhideWhenUsed/>
    <w:rsid w:val="00CA0626"/>
    <w:rPr>
      <w:color w:val="2B579A"/>
      <w:shd w:val="clear" w:color="auto" w:fill="E1DFDD"/>
    </w:rPr>
  </w:style>
  <w:style w:type="paragraph" w:styleId="BalloonText">
    <w:name w:val="Balloon Text"/>
    <w:basedOn w:val="Normal"/>
    <w:link w:val="BalloonTextChar"/>
    <w:uiPriority w:val="99"/>
    <w:semiHidden/>
    <w:unhideWhenUsed/>
    <w:rsid w:val="00CA06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626"/>
    <w:rPr>
      <w:rFonts w:ascii="Segoe UI" w:hAnsi="Segoe UI" w:cs="Segoe UI"/>
      <w:sz w:val="18"/>
      <w:szCs w:val="18"/>
    </w:rPr>
  </w:style>
  <w:style w:type="paragraph" w:customStyle="1" w:styleId="paragraph">
    <w:name w:val="paragraph"/>
    <w:basedOn w:val="Normal"/>
    <w:rsid w:val="00624A39"/>
    <w:pPr>
      <w:spacing w:before="100" w:beforeAutospacing="1" w:after="100" w:afterAutospacing="1" w:line="240" w:lineRule="auto"/>
    </w:pPr>
    <w:rPr>
      <w:rFonts w:eastAsia="Times New Roman" w:cs="Times New Roman"/>
      <w:szCs w:val="24"/>
      <w:lang w:eastAsia="en-IE"/>
    </w:rPr>
  </w:style>
  <w:style w:type="character" w:customStyle="1" w:styleId="eop">
    <w:name w:val="eop"/>
    <w:basedOn w:val="DefaultParagraphFont"/>
    <w:rsid w:val="00624A39"/>
  </w:style>
  <w:style w:type="paragraph" w:customStyle="1" w:styleId="Typedudocument">
    <w:name w:val="Type du document"/>
    <w:basedOn w:val="Normal"/>
    <w:next w:val="Normal"/>
    <w:rsid w:val="0054526B"/>
    <w:pPr>
      <w:spacing w:before="360" w:after="0" w:line="240" w:lineRule="auto"/>
      <w:jc w:val="center"/>
    </w:pPr>
    <w:rPr>
      <w:rFonts w:cs="Times New Roman"/>
      <w:b/>
    </w:rPr>
  </w:style>
  <w:style w:type="paragraph" w:customStyle="1" w:styleId="Titreobjet">
    <w:name w:val="Titre objet"/>
    <w:basedOn w:val="Normal"/>
    <w:next w:val="Normal"/>
    <w:rsid w:val="0054526B"/>
    <w:pPr>
      <w:spacing w:before="360" w:after="360" w:line="240" w:lineRule="auto"/>
      <w:jc w:val="center"/>
    </w:pPr>
    <w:rPr>
      <w:rFonts w:cs="Times New Roman"/>
      <w:b/>
    </w:rPr>
  </w:style>
  <w:style w:type="character" w:customStyle="1" w:styleId="UnresolvedMention2">
    <w:name w:val="Unresolved Mention2"/>
    <w:basedOn w:val="DefaultParagraphFont"/>
    <w:uiPriority w:val="99"/>
    <w:semiHidden/>
    <w:unhideWhenUsed/>
    <w:rsid w:val="00F22101"/>
    <w:rPr>
      <w:color w:val="605E5C"/>
      <w:shd w:val="clear" w:color="auto" w:fill="E1DFDD"/>
    </w:rPr>
  </w:style>
  <w:style w:type="character" w:styleId="FollowedHyperlink">
    <w:name w:val="FollowedHyperlink"/>
    <w:basedOn w:val="DefaultParagraphFont"/>
    <w:uiPriority w:val="99"/>
    <w:semiHidden/>
    <w:unhideWhenUsed/>
    <w:rsid w:val="006434AD"/>
    <w:rPr>
      <w:color w:val="954F72" w:themeColor="followedHyperlink"/>
      <w:u w:val="single"/>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ListParagraph"/>
    <w:uiPriority w:val="34"/>
    <w:qFormat/>
    <w:locked/>
    <w:rsid w:val="00BB240B"/>
    <w:rPr>
      <w:lang w:val="ro-RO"/>
    </w:rPr>
  </w:style>
  <w:style w:type="paragraph" w:customStyle="1" w:styleId="Style1">
    <w:name w:val="Style1"/>
    <w:basedOn w:val="Subject"/>
    <w:link w:val="Style1Char"/>
    <w:qFormat/>
    <w:rsid w:val="006E4B65"/>
    <w:pPr>
      <w:ind w:left="1080" w:hanging="360"/>
      <w:jc w:val="center"/>
    </w:pPr>
    <w:rPr>
      <w:smallCaps/>
      <w:szCs w:val="24"/>
    </w:rPr>
  </w:style>
  <w:style w:type="paragraph" w:customStyle="1" w:styleId="Style2">
    <w:name w:val="Style2"/>
    <w:basedOn w:val="ListParagraph"/>
    <w:link w:val="Style2Char"/>
    <w:qFormat/>
    <w:rsid w:val="00775262"/>
    <w:pPr>
      <w:numPr>
        <w:ilvl w:val="1"/>
        <w:numId w:val="3"/>
      </w:numPr>
      <w:autoSpaceDE w:val="0"/>
      <w:autoSpaceDN w:val="0"/>
      <w:spacing w:after="0" w:line="252" w:lineRule="auto"/>
      <w:jc w:val="both"/>
    </w:pPr>
    <w:rPr>
      <w:rFonts w:cs="Times New Roman"/>
      <w:b/>
      <w:bCs/>
      <w:szCs w:val="24"/>
    </w:rPr>
  </w:style>
  <w:style w:type="character" w:customStyle="1" w:styleId="SubjectChar">
    <w:name w:val="Subject Char"/>
    <w:basedOn w:val="DefaultParagraphFont"/>
    <w:link w:val="Subject"/>
    <w:uiPriority w:val="2"/>
    <w:rsid w:val="00E12D9E"/>
    <w:rPr>
      <w:rFonts w:ascii="Times New Roman" w:eastAsia="Times New Roman" w:hAnsi="Times New Roman" w:cs="Times New Roman"/>
      <w:b/>
      <w:sz w:val="24"/>
      <w:szCs w:val="20"/>
      <w:lang w:val="ro-RO" w:eastAsia="en-GB"/>
    </w:rPr>
  </w:style>
  <w:style w:type="character" w:customStyle="1" w:styleId="Style1Char">
    <w:name w:val="Style1 Char"/>
    <w:basedOn w:val="SubjectChar"/>
    <w:link w:val="Style1"/>
    <w:rsid w:val="006E4B65"/>
    <w:rPr>
      <w:rFonts w:ascii="Times New Roman" w:eastAsia="Times New Roman" w:hAnsi="Times New Roman" w:cs="Times New Roman"/>
      <w:b/>
      <w:smallCaps/>
      <w:sz w:val="24"/>
      <w:szCs w:val="24"/>
      <w:lang w:val="ro-RO" w:eastAsia="en-GB"/>
    </w:rPr>
  </w:style>
  <w:style w:type="character" w:customStyle="1" w:styleId="Style2Char">
    <w:name w:val="Style2 Char"/>
    <w:basedOn w:val="ListParagraphChar"/>
    <w:link w:val="Style2"/>
    <w:rsid w:val="00E12D9E"/>
    <w:rPr>
      <w:rFonts w:ascii="Times New Roman" w:hAnsi="Times New Roman" w:cs="Times New Roman"/>
      <w:b/>
      <w:bCs/>
      <w:sz w:val="24"/>
      <w:szCs w:val="24"/>
      <w:lang w:val="ro-RO"/>
    </w:rPr>
  </w:style>
  <w:style w:type="character" w:customStyle="1" w:styleId="Mention2">
    <w:name w:val="Mention2"/>
    <w:basedOn w:val="DefaultParagraphFont"/>
    <w:uiPriority w:val="99"/>
    <w:unhideWhenUsed/>
    <w:rsid w:val="000D03EA"/>
    <w:rPr>
      <w:color w:val="2B579A"/>
      <w:shd w:val="clear" w:color="auto" w:fill="E1DFDD"/>
    </w:rPr>
  </w:style>
  <w:style w:type="character" w:styleId="PlaceholderText">
    <w:name w:val="Placeholder Text"/>
    <w:basedOn w:val="DefaultParagraphFont"/>
    <w:uiPriority w:val="99"/>
    <w:semiHidden/>
    <w:rsid w:val="00DD5544"/>
    <w:rPr>
      <w:color w:val="808080"/>
    </w:rPr>
  </w:style>
  <w:style w:type="character" w:customStyle="1" w:styleId="markedcontent">
    <w:name w:val="markedcontent"/>
    <w:basedOn w:val="DefaultParagraphFont"/>
    <w:rsid w:val="00174BBC"/>
  </w:style>
  <w:style w:type="character" w:customStyle="1" w:styleId="cf01">
    <w:name w:val="cf01"/>
    <w:basedOn w:val="DefaultParagraphFont"/>
    <w:rsid w:val="00174BBC"/>
    <w:rPr>
      <w:rFonts w:ascii="Segoe UI" w:hAnsi="Segoe UI" w:cs="Segoe UI" w:hint="default"/>
      <w:sz w:val="18"/>
      <w:szCs w:val="18"/>
    </w:rPr>
  </w:style>
  <w:style w:type="character" w:customStyle="1" w:styleId="cf11">
    <w:name w:val="cf11"/>
    <w:basedOn w:val="DefaultParagraphFont"/>
    <w:rsid w:val="00174BBC"/>
    <w:rPr>
      <w:rFonts w:ascii="Segoe UI" w:hAnsi="Segoe UI" w:cs="Segoe UI" w:hint="default"/>
      <w:b/>
      <w:bCs/>
      <w:sz w:val="18"/>
      <w:szCs w:val="18"/>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0"/>
    <w:rsid w:val="005203A6"/>
    <w:pPr>
      <w:widowControl w:val="0"/>
      <w:adjustRightInd w:val="0"/>
      <w:spacing w:line="240" w:lineRule="exact"/>
      <w:jc w:val="both"/>
      <w:textAlignment w:val="baseline"/>
    </w:pPr>
    <w:rPr>
      <w:vertAlign w:val="superscript"/>
    </w:rPr>
  </w:style>
  <w:style w:type="character" w:customStyle="1" w:styleId="Hyperlink1">
    <w:name w:val="Hyperlink1"/>
    <w:basedOn w:val="DefaultParagraphFont"/>
    <w:uiPriority w:val="99"/>
    <w:unhideWhenUsed/>
    <w:rsid w:val="00012BCC"/>
    <w:rPr>
      <w:color w:val="0000FF"/>
      <w:u w:val="single"/>
    </w:rPr>
  </w:style>
  <w:style w:type="paragraph" w:customStyle="1" w:styleId="FootnoteText1">
    <w:name w:val="Footnote Text1"/>
    <w:basedOn w:val="Normal"/>
    <w:next w:val="FootnoteText"/>
    <w:uiPriority w:val="99"/>
    <w:unhideWhenUsed/>
    <w:rsid w:val="00012BCC"/>
    <w:pPr>
      <w:spacing w:after="0" w:line="240" w:lineRule="auto"/>
    </w:pPr>
    <w:rPr>
      <w:rFonts w:eastAsia="MS Mincho"/>
      <w:sz w:val="20"/>
      <w:szCs w:val="20"/>
    </w:rPr>
  </w:style>
  <w:style w:type="paragraph" w:customStyle="1" w:styleId="ContNum">
    <w:name w:val="ContNum"/>
    <w:basedOn w:val="Normal"/>
    <w:uiPriority w:val="20"/>
    <w:qFormat/>
    <w:rsid w:val="00632E9E"/>
    <w:pPr>
      <w:spacing w:after="240" w:line="240" w:lineRule="auto"/>
      <w:jc w:val="both"/>
    </w:pPr>
    <w:rPr>
      <w:rFonts w:eastAsia="Times New Roman" w:cs="Times New Roman"/>
      <w:szCs w:val="20"/>
      <w:lang w:eastAsia="en-GB"/>
    </w:rPr>
  </w:style>
  <w:style w:type="paragraph" w:customStyle="1" w:styleId="ContNumLevel2">
    <w:name w:val="ContNum (Level 2)"/>
    <w:basedOn w:val="Normal"/>
    <w:uiPriority w:val="20"/>
    <w:rsid w:val="00632E9E"/>
    <w:pPr>
      <w:numPr>
        <w:ilvl w:val="1"/>
        <w:numId w:val="5"/>
      </w:numPr>
      <w:spacing w:after="240" w:line="240" w:lineRule="auto"/>
      <w:jc w:val="both"/>
    </w:pPr>
    <w:rPr>
      <w:rFonts w:eastAsia="Times New Roman" w:cs="Times New Roman"/>
      <w:szCs w:val="20"/>
      <w:lang w:eastAsia="en-GB"/>
    </w:rPr>
  </w:style>
  <w:style w:type="paragraph" w:customStyle="1" w:styleId="ContNumLevel3">
    <w:name w:val="ContNum (Level 3)"/>
    <w:basedOn w:val="Normal"/>
    <w:uiPriority w:val="20"/>
    <w:rsid w:val="00632E9E"/>
    <w:pPr>
      <w:numPr>
        <w:ilvl w:val="2"/>
        <w:numId w:val="5"/>
      </w:numPr>
      <w:spacing w:after="240" w:line="240" w:lineRule="auto"/>
      <w:jc w:val="both"/>
    </w:pPr>
    <w:rPr>
      <w:rFonts w:eastAsia="Times New Roman" w:cs="Times New Roman"/>
      <w:szCs w:val="20"/>
      <w:lang w:eastAsia="en-GB"/>
    </w:rPr>
  </w:style>
  <w:style w:type="paragraph" w:customStyle="1" w:styleId="Text1">
    <w:name w:val="Text 1"/>
    <w:basedOn w:val="Normal"/>
    <w:qFormat/>
    <w:rsid w:val="009B4892"/>
    <w:pPr>
      <w:spacing w:after="240" w:line="240" w:lineRule="auto"/>
      <w:ind w:left="482"/>
      <w:jc w:val="both"/>
    </w:pPr>
    <w:rPr>
      <w:rFonts w:eastAsia="Times New Roman" w:cs="Times New Roman"/>
      <w:szCs w:val="20"/>
      <w:lang w:eastAsia="en-GB"/>
    </w:rPr>
  </w:style>
  <w:style w:type="character" w:customStyle="1" w:styleId="UnresolvedMention3">
    <w:name w:val="Unresolved Mention3"/>
    <w:basedOn w:val="DefaultParagraphFont"/>
    <w:uiPriority w:val="99"/>
    <w:semiHidden/>
    <w:unhideWhenUsed/>
    <w:rsid w:val="00C3299E"/>
    <w:rPr>
      <w:color w:val="605E5C"/>
      <w:shd w:val="clear" w:color="auto" w:fill="E1DFDD"/>
    </w:rPr>
  </w:style>
  <w:style w:type="character" w:customStyle="1" w:styleId="Heading3Char">
    <w:name w:val="Heading 3 Char"/>
    <w:basedOn w:val="DefaultParagraphFont"/>
    <w:link w:val="Heading3"/>
    <w:uiPriority w:val="9"/>
    <w:rsid w:val="005E4574"/>
    <w:rPr>
      <w:rFonts w:ascii="Times New Roman" w:eastAsia="Times New Roman" w:hAnsi="Times New Roman" w:cs="Times New Roman"/>
      <w:b/>
      <w:bCs/>
      <w:sz w:val="24"/>
      <w:szCs w:val="20"/>
      <w:u w:val="single"/>
      <w:lang w:val="ro-RO" w:eastAsia="en-GB"/>
    </w:rPr>
  </w:style>
  <w:style w:type="character" w:customStyle="1" w:styleId="Heading1Char">
    <w:name w:val="Heading 1 Char"/>
    <w:basedOn w:val="DefaultParagraphFont"/>
    <w:link w:val="Heading1"/>
    <w:uiPriority w:val="9"/>
    <w:rsid w:val="005E4574"/>
    <w:rPr>
      <w:rFonts w:ascii="Times New Roman" w:eastAsia="Times New Roman" w:hAnsi="Times New Roman" w:cs="Times New Roman"/>
      <w:b/>
      <w:smallCaps/>
      <w:sz w:val="24"/>
      <w:szCs w:val="24"/>
      <w:lang w:val="ro-RO" w:eastAsia="en-GB"/>
    </w:rPr>
  </w:style>
  <w:style w:type="character" w:customStyle="1" w:styleId="Heading2Char">
    <w:name w:val="Heading 2 Char"/>
    <w:basedOn w:val="DefaultParagraphFont"/>
    <w:link w:val="Heading2"/>
    <w:uiPriority w:val="9"/>
    <w:rsid w:val="00205B71"/>
    <w:rPr>
      <w:rFonts w:ascii="Times New Roman" w:eastAsia="Times New Roman" w:hAnsi="Times New Roman" w:cs="Times New Roman"/>
      <w:b/>
      <w:bCs/>
      <w:caps/>
      <w:sz w:val="24"/>
      <w:szCs w:val="24"/>
      <w:lang w:val="ro-RO"/>
    </w:rPr>
  </w:style>
  <w:style w:type="paragraph" w:styleId="TOCHeading">
    <w:name w:val="TOC Heading"/>
    <w:basedOn w:val="Heading1"/>
    <w:next w:val="Normal"/>
    <w:uiPriority w:val="39"/>
    <w:unhideWhenUsed/>
    <w:qFormat/>
    <w:rsid w:val="005E4574"/>
    <w:pPr>
      <w:keepNext/>
      <w:keepLines/>
      <w:spacing w:before="240" w:after="0" w:line="259" w:lineRule="auto"/>
      <w:ind w:left="0" w:firstLine="0"/>
      <w:contextualSpacing w:val="0"/>
      <w:jc w:val="left"/>
      <w:outlineLvl w:val="9"/>
    </w:pPr>
    <w:rPr>
      <w:rFonts w:asciiTheme="majorHAnsi" w:eastAsiaTheme="majorEastAsia" w:hAnsiTheme="majorHAnsi" w:cstheme="majorBidi"/>
      <w:b w:val="0"/>
      <w:smallCaps w:val="0"/>
      <w:color w:val="2F5496" w:themeColor="accent1" w:themeShade="BF"/>
      <w:sz w:val="32"/>
      <w:szCs w:val="32"/>
      <w:lang w:eastAsia="en-US"/>
    </w:rPr>
  </w:style>
  <w:style w:type="paragraph" w:styleId="TOC1">
    <w:name w:val="toc 1"/>
    <w:basedOn w:val="Normal"/>
    <w:next w:val="Normal"/>
    <w:autoRedefine/>
    <w:uiPriority w:val="39"/>
    <w:unhideWhenUsed/>
    <w:rsid w:val="005E4574"/>
    <w:pPr>
      <w:spacing w:after="100"/>
    </w:pPr>
  </w:style>
  <w:style w:type="paragraph" w:styleId="TOC2">
    <w:name w:val="toc 2"/>
    <w:basedOn w:val="Normal"/>
    <w:next w:val="Normal"/>
    <w:autoRedefine/>
    <w:uiPriority w:val="39"/>
    <w:unhideWhenUsed/>
    <w:rsid w:val="005E4574"/>
    <w:pPr>
      <w:spacing w:after="100"/>
      <w:ind w:left="240"/>
    </w:pPr>
  </w:style>
  <w:style w:type="paragraph" w:styleId="TOC3">
    <w:name w:val="toc 3"/>
    <w:basedOn w:val="Normal"/>
    <w:next w:val="Normal"/>
    <w:autoRedefine/>
    <w:uiPriority w:val="39"/>
    <w:unhideWhenUsed/>
    <w:rsid w:val="005E4574"/>
    <w:pPr>
      <w:spacing w:after="100"/>
      <w:ind w:left="480"/>
    </w:pPr>
  </w:style>
  <w:style w:type="character" w:customStyle="1" w:styleId="Heading4Char">
    <w:name w:val="Heading 4 Char"/>
    <w:basedOn w:val="DefaultParagraphFont"/>
    <w:link w:val="Heading4"/>
    <w:uiPriority w:val="9"/>
    <w:rsid w:val="004C04AA"/>
    <w:rPr>
      <w:rFonts w:ascii="Times New Roman" w:eastAsia="Times New Roman" w:hAnsi="Times New Roman" w:cs="Times New Roman"/>
      <w:b/>
      <w:bCs/>
      <w:i/>
      <w:iCs/>
      <w:sz w:val="24"/>
      <w:szCs w:val="20"/>
      <w:lang w:val="ro-RO" w:eastAsia="en-GB"/>
    </w:rPr>
  </w:style>
  <w:style w:type="table" w:styleId="TableGrid">
    <w:name w:val="Table Grid"/>
    <w:basedOn w:val="TableNormal"/>
    <w:uiPriority w:val="39"/>
    <w:rsid w:val="00D61D38"/>
    <w:pPr>
      <w:spacing w:after="0" w:line="240" w:lineRule="auto"/>
    </w:pPr>
    <w:tblPr/>
  </w:style>
  <w:style w:type="paragraph" w:styleId="TOC4">
    <w:name w:val="toc 4"/>
    <w:basedOn w:val="Normal"/>
    <w:next w:val="Normal"/>
    <w:autoRedefine/>
    <w:uiPriority w:val="39"/>
    <w:unhideWhenUsed/>
    <w:rsid w:val="001B7C8B"/>
    <w:pPr>
      <w:spacing w:after="100"/>
      <w:ind w:left="720"/>
    </w:pPr>
  </w:style>
  <w:style w:type="character" w:customStyle="1" w:styleId="Mention3">
    <w:name w:val="Mention3"/>
    <w:basedOn w:val="DefaultParagraphFont"/>
    <w:uiPriority w:val="99"/>
    <w:unhideWhenUsed/>
    <w:rsid w:val="00DF4B7C"/>
    <w:rPr>
      <w:color w:val="2B579A"/>
      <w:shd w:val="clear" w:color="auto" w:fill="E1DFDD"/>
    </w:rPr>
  </w:style>
  <w:style w:type="paragraph" w:customStyle="1" w:styleId="Languesfaisantfoi">
    <w:name w:val="Langues faisant foi"/>
    <w:basedOn w:val="Normal"/>
    <w:next w:val="Normal"/>
    <w:rsid w:val="00494DC7"/>
    <w:pPr>
      <w:spacing w:before="360" w:after="240" w:line="240" w:lineRule="auto"/>
      <w:jc w:val="center"/>
    </w:pPr>
    <w:rPr>
      <w:rFonts w:cs="Times New Roman"/>
    </w:rPr>
  </w:style>
  <w:style w:type="paragraph" w:customStyle="1" w:styleId="LanguesfaisantfoiPagedecouverture">
    <w:name w:val="Langues faisant foi (Page de couverture)"/>
    <w:basedOn w:val="Normal"/>
    <w:next w:val="Normal"/>
    <w:rsid w:val="00494DC7"/>
    <w:pPr>
      <w:spacing w:before="360" w:after="240" w:line="240" w:lineRule="auto"/>
      <w:jc w:val="center"/>
    </w:pPr>
    <w:rPr>
      <w:rFonts w:cs="Times New Roman"/>
    </w:rPr>
  </w:style>
  <w:style w:type="paragraph" w:customStyle="1" w:styleId="IntrtEEE">
    <w:name w:val="Intérêt EEE"/>
    <w:basedOn w:val="Languesfaisantfoi"/>
    <w:next w:val="Normal"/>
    <w:rsid w:val="00494DC7"/>
    <w:pPr>
      <w:spacing w:after="0"/>
    </w:pPr>
  </w:style>
  <w:style w:type="paragraph" w:customStyle="1" w:styleId="IntrtEEEPagedecouverture">
    <w:name w:val="Intérêt EEE (Page de couverture)"/>
    <w:basedOn w:val="IntrtEEE"/>
    <w:next w:val="Normal"/>
    <w:rsid w:val="00494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2536">
      <w:bodyDiv w:val="1"/>
      <w:marLeft w:val="0"/>
      <w:marRight w:val="0"/>
      <w:marTop w:val="0"/>
      <w:marBottom w:val="0"/>
      <w:divBdr>
        <w:top w:val="none" w:sz="0" w:space="0" w:color="auto"/>
        <w:left w:val="none" w:sz="0" w:space="0" w:color="auto"/>
        <w:bottom w:val="none" w:sz="0" w:space="0" w:color="auto"/>
        <w:right w:val="none" w:sz="0" w:space="0" w:color="auto"/>
      </w:divBdr>
      <w:divsChild>
        <w:div w:id="280963178">
          <w:marLeft w:val="0"/>
          <w:marRight w:val="0"/>
          <w:marTop w:val="0"/>
          <w:marBottom w:val="0"/>
          <w:divBdr>
            <w:top w:val="none" w:sz="0" w:space="0" w:color="auto"/>
            <w:left w:val="none" w:sz="0" w:space="0" w:color="auto"/>
            <w:bottom w:val="none" w:sz="0" w:space="0" w:color="auto"/>
            <w:right w:val="none" w:sz="0" w:space="0" w:color="auto"/>
          </w:divBdr>
          <w:divsChild>
            <w:div w:id="596602164">
              <w:marLeft w:val="0"/>
              <w:marRight w:val="0"/>
              <w:marTop w:val="0"/>
              <w:marBottom w:val="0"/>
              <w:divBdr>
                <w:top w:val="none" w:sz="0" w:space="0" w:color="auto"/>
                <w:left w:val="none" w:sz="0" w:space="0" w:color="auto"/>
                <w:bottom w:val="none" w:sz="0" w:space="0" w:color="auto"/>
                <w:right w:val="none" w:sz="0" w:space="0" w:color="auto"/>
              </w:divBdr>
              <w:divsChild>
                <w:div w:id="194126057">
                  <w:marLeft w:val="0"/>
                  <w:marRight w:val="0"/>
                  <w:marTop w:val="0"/>
                  <w:marBottom w:val="0"/>
                  <w:divBdr>
                    <w:top w:val="none" w:sz="0" w:space="0" w:color="auto"/>
                    <w:left w:val="none" w:sz="0" w:space="0" w:color="auto"/>
                    <w:bottom w:val="none" w:sz="0" w:space="0" w:color="auto"/>
                    <w:right w:val="none" w:sz="0" w:space="0" w:color="auto"/>
                  </w:divBdr>
                  <w:divsChild>
                    <w:div w:id="1110245436">
                      <w:marLeft w:val="0"/>
                      <w:marRight w:val="0"/>
                      <w:marTop w:val="0"/>
                      <w:marBottom w:val="0"/>
                      <w:divBdr>
                        <w:top w:val="none" w:sz="0" w:space="0" w:color="auto"/>
                        <w:left w:val="none" w:sz="0" w:space="0" w:color="auto"/>
                        <w:bottom w:val="none" w:sz="0" w:space="0" w:color="auto"/>
                        <w:right w:val="none" w:sz="0" w:space="0" w:color="auto"/>
                      </w:divBdr>
                      <w:divsChild>
                        <w:div w:id="1038897399">
                          <w:marLeft w:val="0"/>
                          <w:marRight w:val="0"/>
                          <w:marTop w:val="0"/>
                          <w:marBottom w:val="0"/>
                          <w:divBdr>
                            <w:top w:val="none" w:sz="0" w:space="0" w:color="auto"/>
                            <w:left w:val="none" w:sz="0" w:space="0" w:color="auto"/>
                            <w:bottom w:val="none" w:sz="0" w:space="0" w:color="auto"/>
                            <w:right w:val="none" w:sz="0" w:space="0" w:color="auto"/>
                          </w:divBdr>
                          <w:divsChild>
                            <w:div w:id="418411640">
                              <w:marLeft w:val="0"/>
                              <w:marRight w:val="0"/>
                              <w:marTop w:val="0"/>
                              <w:marBottom w:val="0"/>
                              <w:divBdr>
                                <w:top w:val="none" w:sz="0" w:space="0" w:color="auto"/>
                                <w:left w:val="none" w:sz="0" w:space="0" w:color="auto"/>
                                <w:bottom w:val="none" w:sz="0" w:space="0" w:color="auto"/>
                                <w:right w:val="none" w:sz="0" w:space="0" w:color="auto"/>
                              </w:divBdr>
                              <w:divsChild>
                                <w:div w:id="783579842">
                                  <w:marLeft w:val="0"/>
                                  <w:marRight w:val="0"/>
                                  <w:marTop w:val="0"/>
                                  <w:marBottom w:val="0"/>
                                  <w:divBdr>
                                    <w:top w:val="none" w:sz="0" w:space="0" w:color="auto"/>
                                    <w:left w:val="none" w:sz="0" w:space="0" w:color="auto"/>
                                    <w:bottom w:val="none" w:sz="0" w:space="0" w:color="auto"/>
                                    <w:right w:val="none" w:sz="0" w:space="0" w:color="auto"/>
                                  </w:divBdr>
                                  <w:divsChild>
                                    <w:div w:id="1033265013">
                                      <w:marLeft w:val="0"/>
                                      <w:marRight w:val="0"/>
                                      <w:marTop w:val="0"/>
                                      <w:marBottom w:val="0"/>
                                      <w:divBdr>
                                        <w:top w:val="none" w:sz="0" w:space="0" w:color="auto"/>
                                        <w:left w:val="none" w:sz="0" w:space="0" w:color="auto"/>
                                        <w:bottom w:val="none" w:sz="0" w:space="0" w:color="auto"/>
                                        <w:right w:val="none" w:sz="0" w:space="0" w:color="auto"/>
                                      </w:divBdr>
                                      <w:divsChild>
                                        <w:div w:id="144705401">
                                          <w:marLeft w:val="0"/>
                                          <w:marRight w:val="0"/>
                                          <w:marTop w:val="0"/>
                                          <w:marBottom w:val="0"/>
                                          <w:divBdr>
                                            <w:top w:val="none" w:sz="0" w:space="0" w:color="auto"/>
                                            <w:left w:val="none" w:sz="0" w:space="0" w:color="auto"/>
                                            <w:bottom w:val="none" w:sz="0" w:space="0" w:color="auto"/>
                                            <w:right w:val="none" w:sz="0" w:space="0" w:color="auto"/>
                                          </w:divBdr>
                                          <w:divsChild>
                                            <w:div w:id="89844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490167">
                                  <w:marLeft w:val="0"/>
                                  <w:marRight w:val="0"/>
                                  <w:marTop w:val="0"/>
                                  <w:marBottom w:val="0"/>
                                  <w:divBdr>
                                    <w:top w:val="none" w:sz="0" w:space="0" w:color="auto"/>
                                    <w:left w:val="none" w:sz="0" w:space="0" w:color="auto"/>
                                    <w:bottom w:val="none" w:sz="0" w:space="0" w:color="auto"/>
                                    <w:right w:val="none" w:sz="0" w:space="0" w:color="auto"/>
                                  </w:divBdr>
                                  <w:divsChild>
                                    <w:div w:id="56337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9241654">
          <w:marLeft w:val="0"/>
          <w:marRight w:val="0"/>
          <w:marTop w:val="0"/>
          <w:marBottom w:val="0"/>
          <w:divBdr>
            <w:top w:val="none" w:sz="0" w:space="0" w:color="auto"/>
            <w:left w:val="none" w:sz="0" w:space="0" w:color="auto"/>
            <w:bottom w:val="none" w:sz="0" w:space="0" w:color="auto"/>
            <w:right w:val="none" w:sz="0" w:space="0" w:color="auto"/>
          </w:divBdr>
          <w:divsChild>
            <w:div w:id="520820222">
              <w:marLeft w:val="0"/>
              <w:marRight w:val="0"/>
              <w:marTop w:val="0"/>
              <w:marBottom w:val="0"/>
              <w:divBdr>
                <w:top w:val="none" w:sz="0" w:space="0" w:color="auto"/>
                <w:left w:val="none" w:sz="0" w:space="0" w:color="auto"/>
                <w:bottom w:val="none" w:sz="0" w:space="0" w:color="auto"/>
                <w:right w:val="none" w:sz="0" w:space="0" w:color="auto"/>
              </w:divBdr>
              <w:divsChild>
                <w:div w:id="1704746682">
                  <w:marLeft w:val="0"/>
                  <w:marRight w:val="0"/>
                  <w:marTop w:val="0"/>
                  <w:marBottom w:val="0"/>
                  <w:divBdr>
                    <w:top w:val="none" w:sz="0" w:space="0" w:color="auto"/>
                    <w:left w:val="none" w:sz="0" w:space="0" w:color="auto"/>
                    <w:bottom w:val="none" w:sz="0" w:space="0" w:color="auto"/>
                    <w:right w:val="none" w:sz="0" w:space="0" w:color="auto"/>
                  </w:divBdr>
                  <w:divsChild>
                    <w:div w:id="586111442">
                      <w:marLeft w:val="0"/>
                      <w:marRight w:val="0"/>
                      <w:marTop w:val="0"/>
                      <w:marBottom w:val="0"/>
                      <w:divBdr>
                        <w:top w:val="none" w:sz="0" w:space="0" w:color="auto"/>
                        <w:left w:val="none" w:sz="0" w:space="0" w:color="auto"/>
                        <w:bottom w:val="none" w:sz="0" w:space="0" w:color="auto"/>
                        <w:right w:val="none" w:sz="0" w:space="0" w:color="auto"/>
                      </w:divBdr>
                      <w:divsChild>
                        <w:div w:id="1528134612">
                          <w:marLeft w:val="0"/>
                          <w:marRight w:val="0"/>
                          <w:marTop w:val="0"/>
                          <w:marBottom w:val="0"/>
                          <w:divBdr>
                            <w:top w:val="none" w:sz="0" w:space="0" w:color="auto"/>
                            <w:left w:val="none" w:sz="0" w:space="0" w:color="auto"/>
                            <w:bottom w:val="none" w:sz="0" w:space="0" w:color="auto"/>
                            <w:right w:val="none" w:sz="0" w:space="0" w:color="auto"/>
                          </w:divBdr>
                          <w:divsChild>
                            <w:div w:id="1058281596">
                              <w:marLeft w:val="0"/>
                              <w:marRight w:val="0"/>
                              <w:marTop w:val="0"/>
                              <w:marBottom w:val="0"/>
                              <w:divBdr>
                                <w:top w:val="none" w:sz="0" w:space="0" w:color="auto"/>
                                <w:left w:val="none" w:sz="0" w:space="0" w:color="auto"/>
                                <w:bottom w:val="none" w:sz="0" w:space="0" w:color="auto"/>
                                <w:right w:val="none" w:sz="0" w:space="0" w:color="auto"/>
                              </w:divBdr>
                              <w:divsChild>
                                <w:div w:id="1296645433">
                                  <w:marLeft w:val="0"/>
                                  <w:marRight w:val="0"/>
                                  <w:marTop w:val="0"/>
                                  <w:marBottom w:val="0"/>
                                  <w:divBdr>
                                    <w:top w:val="none" w:sz="0" w:space="0" w:color="auto"/>
                                    <w:left w:val="none" w:sz="0" w:space="0" w:color="auto"/>
                                    <w:bottom w:val="none" w:sz="0" w:space="0" w:color="auto"/>
                                    <w:right w:val="none" w:sz="0" w:space="0" w:color="auto"/>
                                  </w:divBdr>
                                  <w:divsChild>
                                    <w:div w:id="632440589">
                                      <w:marLeft w:val="0"/>
                                      <w:marRight w:val="0"/>
                                      <w:marTop w:val="0"/>
                                      <w:marBottom w:val="0"/>
                                      <w:divBdr>
                                        <w:top w:val="none" w:sz="0" w:space="0" w:color="auto"/>
                                        <w:left w:val="none" w:sz="0" w:space="0" w:color="auto"/>
                                        <w:bottom w:val="none" w:sz="0" w:space="0" w:color="auto"/>
                                        <w:right w:val="none" w:sz="0" w:space="0" w:color="auto"/>
                                      </w:divBdr>
                                      <w:divsChild>
                                        <w:div w:id="707724863">
                                          <w:marLeft w:val="0"/>
                                          <w:marRight w:val="0"/>
                                          <w:marTop w:val="0"/>
                                          <w:marBottom w:val="0"/>
                                          <w:divBdr>
                                            <w:top w:val="none" w:sz="0" w:space="0" w:color="auto"/>
                                            <w:left w:val="none" w:sz="0" w:space="0" w:color="auto"/>
                                            <w:bottom w:val="none" w:sz="0" w:space="0" w:color="auto"/>
                                            <w:right w:val="none" w:sz="0" w:space="0" w:color="auto"/>
                                          </w:divBdr>
                                          <w:divsChild>
                                            <w:div w:id="691227898">
                                              <w:marLeft w:val="0"/>
                                              <w:marRight w:val="0"/>
                                              <w:marTop w:val="0"/>
                                              <w:marBottom w:val="0"/>
                                              <w:divBdr>
                                                <w:top w:val="none" w:sz="0" w:space="0" w:color="auto"/>
                                                <w:left w:val="none" w:sz="0" w:space="0" w:color="auto"/>
                                                <w:bottom w:val="none" w:sz="0" w:space="0" w:color="auto"/>
                                                <w:right w:val="none" w:sz="0" w:space="0" w:color="auto"/>
                                              </w:divBdr>
                                              <w:divsChild>
                                                <w:div w:id="24800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57636">
      <w:bodyDiv w:val="1"/>
      <w:marLeft w:val="0"/>
      <w:marRight w:val="0"/>
      <w:marTop w:val="0"/>
      <w:marBottom w:val="0"/>
      <w:divBdr>
        <w:top w:val="none" w:sz="0" w:space="0" w:color="auto"/>
        <w:left w:val="none" w:sz="0" w:space="0" w:color="auto"/>
        <w:bottom w:val="none" w:sz="0" w:space="0" w:color="auto"/>
        <w:right w:val="none" w:sz="0" w:space="0" w:color="auto"/>
      </w:divBdr>
    </w:div>
    <w:div w:id="16738874">
      <w:bodyDiv w:val="1"/>
      <w:marLeft w:val="0"/>
      <w:marRight w:val="0"/>
      <w:marTop w:val="0"/>
      <w:marBottom w:val="0"/>
      <w:divBdr>
        <w:top w:val="none" w:sz="0" w:space="0" w:color="auto"/>
        <w:left w:val="none" w:sz="0" w:space="0" w:color="auto"/>
        <w:bottom w:val="none" w:sz="0" w:space="0" w:color="auto"/>
        <w:right w:val="none" w:sz="0" w:space="0" w:color="auto"/>
      </w:divBdr>
    </w:div>
    <w:div w:id="23292104">
      <w:bodyDiv w:val="1"/>
      <w:marLeft w:val="0"/>
      <w:marRight w:val="0"/>
      <w:marTop w:val="0"/>
      <w:marBottom w:val="0"/>
      <w:divBdr>
        <w:top w:val="none" w:sz="0" w:space="0" w:color="auto"/>
        <w:left w:val="none" w:sz="0" w:space="0" w:color="auto"/>
        <w:bottom w:val="none" w:sz="0" w:space="0" w:color="auto"/>
        <w:right w:val="none" w:sz="0" w:space="0" w:color="auto"/>
      </w:divBdr>
    </w:div>
    <w:div w:id="29495440">
      <w:bodyDiv w:val="1"/>
      <w:marLeft w:val="0"/>
      <w:marRight w:val="0"/>
      <w:marTop w:val="0"/>
      <w:marBottom w:val="0"/>
      <w:divBdr>
        <w:top w:val="none" w:sz="0" w:space="0" w:color="auto"/>
        <w:left w:val="none" w:sz="0" w:space="0" w:color="auto"/>
        <w:bottom w:val="none" w:sz="0" w:space="0" w:color="auto"/>
        <w:right w:val="none" w:sz="0" w:space="0" w:color="auto"/>
      </w:divBdr>
    </w:div>
    <w:div w:id="35276483">
      <w:bodyDiv w:val="1"/>
      <w:marLeft w:val="0"/>
      <w:marRight w:val="0"/>
      <w:marTop w:val="0"/>
      <w:marBottom w:val="0"/>
      <w:divBdr>
        <w:top w:val="none" w:sz="0" w:space="0" w:color="auto"/>
        <w:left w:val="none" w:sz="0" w:space="0" w:color="auto"/>
        <w:bottom w:val="none" w:sz="0" w:space="0" w:color="auto"/>
        <w:right w:val="none" w:sz="0" w:space="0" w:color="auto"/>
      </w:divBdr>
    </w:div>
    <w:div w:id="35474225">
      <w:bodyDiv w:val="1"/>
      <w:marLeft w:val="0"/>
      <w:marRight w:val="0"/>
      <w:marTop w:val="0"/>
      <w:marBottom w:val="0"/>
      <w:divBdr>
        <w:top w:val="none" w:sz="0" w:space="0" w:color="auto"/>
        <w:left w:val="none" w:sz="0" w:space="0" w:color="auto"/>
        <w:bottom w:val="none" w:sz="0" w:space="0" w:color="auto"/>
        <w:right w:val="none" w:sz="0" w:space="0" w:color="auto"/>
      </w:divBdr>
    </w:div>
    <w:div w:id="35854998">
      <w:bodyDiv w:val="1"/>
      <w:marLeft w:val="0"/>
      <w:marRight w:val="0"/>
      <w:marTop w:val="0"/>
      <w:marBottom w:val="0"/>
      <w:divBdr>
        <w:top w:val="none" w:sz="0" w:space="0" w:color="auto"/>
        <w:left w:val="none" w:sz="0" w:space="0" w:color="auto"/>
        <w:bottom w:val="none" w:sz="0" w:space="0" w:color="auto"/>
        <w:right w:val="none" w:sz="0" w:space="0" w:color="auto"/>
      </w:divBdr>
    </w:div>
    <w:div w:id="39743472">
      <w:bodyDiv w:val="1"/>
      <w:marLeft w:val="0"/>
      <w:marRight w:val="0"/>
      <w:marTop w:val="0"/>
      <w:marBottom w:val="0"/>
      <w:divBdr>
        <w:top w:val="none" w:sz="0" w:space="0" w:color="auto"/>
        <w:left w:val="none" w:sz="0" w:space="0" w:color="auto"/>
        <w:bottom w:val="none" w:sz="0" w:space="0" w:color="auto"/>
        <w:right w:val="none" w:sz="0" w:space="0" w:color="auto"/>
      </w:divBdr>
    </w:div>
    <w:div w:id="50273838">
      <w:bodyDiv w:val="1"/>
      <w:marLeft w:val="0"/>
      <w:marRight w:val="0"/>
      <w:marTop w:val="0"/>
      <w:marBottom w:val="0"/>
      <w:divBdr>
        <w:top w:val="none" w:sz="0" w:space="0" w:color="auto"/>
        <w:left w:val="none" w:sz="0" w:space="0" w:color="auto"/>
        <w:bottom w:val="none" w:sz="0" w:space="0" w:color="auto"/>
        <w:right w:val="none" w:sz="0" w:space="0" w:color="auto"/>
      </w:divBdr>
    </w:div>
    <w:div w:id="56175118">
      <w:bodyDiv w:val="1"/>
      <w:marLeft w:val="0"/>
      <w:marRight w:val="0"/>
      <w:marTop w:val="0"/>
      <w:marBottom w:val="0"/>
      <w:divBdr>
        <w:top w:val="none" w:sz="0" w:space="0" w:color="auto"/>
        <w:left w:val="none" w:sz="0" w:space="0" w:color="auto"/>
        <w:bottom w:val="none" w:sz="0" w:space="0" w:color="auto"/>
        <w:right w:val="none" w:sz="0" w:space="0" w:color="auto"/>
      </w:divBdr>
    </w:div>
    <w:div w:id="56822845">
      <w:bodyDiv w:val="1"/>
      <w:marLeft w:val="0"/>
      <w:marRight w:val="0"/>
      <w:marTop w:val="0"/>
      <w:marBottom w:val="0"/>
      <w:divBdr>
        <w:top w:val="none" w:sz="0" w:space="0" w:color="auto"/>
        <w:left w:val="none" w:sz="0" w:space="0" w:color="auto"/>
        <w:bottom w:val="none" w:sz="0" w:space="0" w:color="auto"/>
        <w:right w:val="none" w:sz="0" w:space="0" w:color="auto"/>
      </w:divBdr>
    </w:div>
    <w:div w:id="63259803">
      <w:bodyDiv w:val="1"/>
      <w:marLeft w:val="0"/>
      <w:marRight w:val="0"/>
      <w:marTop w:val="0"/>
      <w:marBottom w:val="0"/>
      <w:divBdr>
        <w:top w:val="none" w:sz="0" w:space="0" w:color="auto"/>
        <w:left w:val="none" w:sz="0" w:space="0" w:color="auto"/>
        <w:bottom w:val="none" w:sz="0" w:space="0" w:color="auto"/>
        <w:right w:val="none" w:sz="0" w:space="0" w:color="auto"/>
      </w:divBdr>
    </w:div>
    <w:div w:id="71199651">
      <w:bodyDiv w:val="1"/>
      <w:marLeft w:val="0"/>
      <w:marRight w:val="0"/>
      <w:marTop w:val="0"/>
      <w:marBottom w:val="0"/>
      <w:divBdr>
        <w:top w:val="none" w:sz="0" w:space="0" w:color="auto"/>
        <w:left w:val="none" w:sz="0" w:space="0" w:color="auto"/>
        <w:bottom w:val="none" w:sz="0" w:space="0" w:color="auto"/>
        <w:right w:val="none" w:sz="0" w:space="0" w:color="auto"/>
      </w:divBdr>
    </w:div>
    <w:div w:id="71975084">
      <w:bodyDiv w:val="1"/>
      <w:marLeft w:val="0"/>
      <w:marRight w:val="0"/>
      <w:marTop w:val="0"/>
      <w:marBottom w:val="0"/>
      <w:divBdr>
        <w:top w:val="none" w:sz="0" w:space="0" w:color="auto"/>
        <w:left w:val="none" w:sz="0" w:space="0" w:color="auto"/>
        <w:bottom w:val="none" w:sz="0" w:space="0" w:color="auto"/>
        <w:right w:val="none" w:sz="0" w:space="0" w:color="auto"/>
      </w:divBdr>
      <w:divsChild>
        <w:div w:id="458573572">
          <w:marLeft w:val="0"/>
          <w:marRight w:val="0"/>
          <w:marTop w:val="0"/>
          <w:marBottom w:val="0"/>
          <w:divBdr>
            <w:top w:val="none" w:sz="0" w:space="0" w:color="auto"/>
            <w:left w:val="none" w:sz="0" w:space="0" w:color="auto"/>
            <w:bottom w:val="none" w:sz="0" w:space="0" w:color="auto"/>
            <w:right w:val="none" w:sz="0" w:space="0" w:color="auto"/>
          </w:divBdr>
          <w:divsChild>
            <w:div w:id="671638796">
              <w:marLeft w:val="0"/>
              <w:marRight w:val="0"/>
              <w:marTop w:val="0"/>
              <w:marBottom w:val="0"/>
              <w:divBdr>
                <w:top w:val="none" w:sz="0" w:space="0" w:color="auto"/>
                <w:left w:val="none" w:sz="0" w:space="0" w:color="auto"/>
                <w:bottom w:val="none" w:sz="0" w:space="0" w:color="auto"/>
                <w:right w:val="none" w:sz="0" w:space="0" w:color="auto"/>
              </w:divBdr>
              <w:divsChild>
                <w:div w:id="1876238239">
                  <w:marLeft w:val="0"/>
                  <w:marRight w:val="0"/>
                  <w:marTop w:val="0"/>
                  <w:marBottom w:val="0"/>
                  <w:divBdr>
                    <w:top w:val="none" w:sz="0" w:space="0" w:color="auto"/>
                    <w:left w:val="none" w:sz="0" w:space="0" w:color="auto"/>
                    <w:bottom w:val="none" w:sz="0" w:space="0" w:color="auto"/>
                    <w:right w:val="none" w:sz="0" w:space="0" w:color="auto"/>
                  </w:divBdr>
                  <w:divsChild>
                    <w:div w:id="301498176">
                      <w:marLeft w:val="0"/>
                      <w:marRight w:val="0"/>
                      <w:marTop w:val="0"/>
                      <w:marBottom w:val="0"/>
                      <w:divBdr>
                        <w:top w:val="none" w:sz="0" w:space="0" w:color="auto"/>
                        <w:left w:val="none" w:sz="0" w:space="0" w:color="auto"/>
                        <w:bottom w:val="none" w:sz="0" w:space="0" w:color="auto"/>
                        <w:right w:val="none" w:sz="0" w:space="0" w:color="auto"/>
                      </w:divBdr>
                      <w:divsChild>
                        <w:div w:id="214461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163930">
      <w:bodyDiv w:val="1"/>
      <w:marLeft w:val="0"/>
      <w:marRight w:val="0"/>
      <w:marTop w:val="0"/>
      <w:marBottom w:val="0"/>
      <w:divBdr>
        <w:top w:val="none" w:sz="0" w:space="0" w:color="auto"/>
        <w:left w:val="none" w:sz="0" w:space="0" w:color="auto"/>
        <w:bottom w:val="none" w:sz="0" w:space="0" w:color="auto"/>
        <w:right w:val="none" w:sz="0" w:space="0" w:color="auto"/>
      </w:divBdr>
    </w:div>
    <w:div w:id="75369004">
      <w:bodyDiv w:val="1"/>
      <w:marLeft w:val="0"/>
      <w:marRight w:val="0"/>
      <w:marTop w:val="0"/>
      <w:marBottom w:val="0"/>
      <w:divBdr>
        <w:top w:val="none" w:sz="0" w:space="0" w:color="auto"/>
        <w:left w:val="none" w:sz="0" w:space="0" w:color="auto"/>
        <w:bottom w:val="none" w:sz="0" w:space="0" w:color="auto"/>
        <w:right w:val="none" w:sz="0" w:space="0" w:color="auto"/>
      </w:divBdr>
    </w:div>
    <w:div w:id="92019128">
      <w:bodyDiv w:val="1"/>
      <w:marLeft w:val="0"/>
      <w:marRight w:val="0"/>
      <w:marTop w:val="0"/>
      <w:marBottom w:val="0"/>
      <w:divBdr>
        <w:top w:val="none" w:sz="0" w:space="0" w:color="auto"/>
        <w:left w:val="none" w:sz="0" w:space="0" w:color="auto"/>
        <w:bottom w:val="none" w:sz="0" w:space="0" w:color="auto"/>
        <w:right w:val="none" w:sz="0" w:space="0" w:color="auto"/>
      </w:divBdr>
    </w:div>
    <w:div w:id="106507963">
      <w:bodyDiv w:val="1"/>
      <w:marLeft w:val="0"/>
      <w:marRight w:val="0"/>
      <w:marTop w:val="0"/>
      <w:marBottom w:val="0"/>
      <w:divBdr>
        <w:top w:val="none" w:sz="0" w:space="0" w:color="auto"/>
        <w:left w:val="none" w:sz="0" w:space="0" w:color="auto"/>
        <w:bottom w:val="none" w:sz="0" w:space="0" w:color="auto"/>
        <w:right w:val="none" w:sz="0" w:space="0" w:color="auto"/>
      </w:divBdr>
    </w:div>
    <w:div w:id="109126966">
      <w:bodyDiv w:val="1"/>
      <w:marLeft w:val="0"/>
      <w:marRight w:val="0"/>
      <w:marTop w:val="0"/>
      <w:marBottom w:val="0"/>
      <w:divBdr>
        <w:top w:val="none" w:sz="0" w:space="0" w:color="auto"/>
        <w:left w:val="none" w:sz="0" w:space="0" w:color="auto"/>
        <w:bottom w:val="none" w:sz="0" w:space="0" w:color="auto"/>
        <w:right w:val="none" w:sz="0" w:space="0" w:color="auto"/>
      </w:divBdr>
    </w:div>
    <w:div w:id="111629392">
      <w:bodyDiv w:val="1"/>
      <w:marLeft w:val="0"/>
      <w:marRight w:val="0"/>
      <w:marTop w:val="0"/>
      <w:marBottom w:val="0"/>
      <w:divBdr>
        <w:top w:val="none" w:sz="0" w:space="0" w:color="auto"/>
        <w:left w:val="none" w:sz="0" w:space="0" w:color="auto"/>
        <w:bottom w:val="none" w:sz="0" w:space="0" w:color="auto"/>
        <w:right w:val="none" w:sz="0" w:space="0" w:color="auto"/>
      </w:divBdr>
    </w:div>
    <w:div w:id="115410431">
      <w:bodyDiv w:val="1"/>
      <w:marLeft w:val="0"/>
      <w:marRight w:val="0"/>
      <w:marTop w:val="0"/>
      <w:marBottom w:val="0"/>
      <w:divBdr>
        <w:top w:val="none" w:sz="0" w:space="0" w:color="auto"/>
        <w:left w:val="none" w:sz="0" w:space="0" w:color="auto"/>
        <w:bottom w:val="none" w:sz="0" w:space="0" w:color="auto"/>
        <w:right w:val="none" w:sz="0" w:space="0" w:color="auto"/>
      </w:divBdr>
      <w:divsChild>
        <w:div w:id="230775129">
          <w:marLeft w:val="0"/>
          <w:marRight w:val="0"/>
          <w:marTop w:val="0"/>
          <w:marBottom w:val="0"/>
          <w:divBdr>
            <w:top w:val="none" w:sz="0" w:space="0" w:color="auto"/>
            <w:left w:val="none" w:sz="0" w:space="0" w:color="auto"/>
            <w:bottom w:val="none" w:sz="0" w:space="0" w:color="auto"/>
            <w:right w:val="none" w:sz="0" w:space="0" w:color="auto"/>
          </w:divBdr>
          <w:divsChild>
            <w:div w:id="2027705951">
              <w:marLeft w:val="0"/>
              <w:marRight w:val="0"/>
              <w:marTop w:val="0"/>
              <w:marBottom w:val="0"/>
              <w:divBdr>
                <w:top w:val="none" w:sz="0" w:space="0" w:color="auto"/>
                <w:left w:val="none" w:sz="0" w:space="0" w:color="auto"/>
                <w:bottom w:val="none" w:sz="0" w:space="0" w:color="auto"/>
                <w:right w:val="none" w:sz="0" w:space="0" w:color="auto"/>
              </w:divBdr>
              <w:divsChild>
                <w:div w:id="756826887">
                  <w:marLeft w:val="0"/>
                  <w:marRight w:val="0"/>
                  <w:marTop w:val="0"/>
                  <w:marBottom w:val="0"/>
                  <w:divBdr>
                    <w:top w:val="none" w:sz="0" w:space="0" w:color="auto"/>
                    <w:left w:val="none" w:sz="0" w:space="0" w:color="auto"/>
                    <w:bottom w:val="none" w:sz="0" w:space="0" w:color="auto"/>
                    <w:right w:val="none" w:sz="0" w:space="0" w:color="auto"/>
                  </w:divBdr>
                  <w:divsChild>
                    <w:div w:id="1722558615">
                      <w:marLeft w:val="0"/>
                      <w:marRight w:val="0"/>
                      <w:marTop w:val="0"/>
                      <w:marBottom w:val="0"/>
                      <w:divBdr>
                        <w:top w:val="none" w:sz="0" w:space="0" w:color="auto"/>
                        <w:left w:val="none" w:sz="0" w:space="0" w:color="auto"/>
                        <w:bottom w:val="none" w:sz="0" w:space="0" w:color="auto"/>
                        <w:right w:val="none" w:sz="0" w:space="0" w:color="auto"/>
                      </w:divBdr>
                      <w:divsChild>
                        <w:div w:id="61652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958981">
          <w:marLeft w:val="0"/>
          <w:marRight w:val="0"/>
          <w:marTop w:val="0"/>
          <w:marBottom w:val="0"/>
          <w:divBdr>
            <w:top w:val="none" w:sz="0" w:space="0" w:color="auto"/>
            <w:left w:val="none" w:sz="0" w:space="0" w:color="auto"/>
            <w:bottom w:val="none" w:sz="0" w:space="0" w:color="auto"/>
            <w:right w:val="none" w:sz="0" w:space="0" w:color="auto"/>
          </w:divBdr>
          <w:divsChild>
            <w:div w:id="659624778">
              <w:marLeft w:val="0"/>
              <w:marRight w:val="0"/>
              <w:marTop w:val="0"/>
              <w:marBottom w:val="0"/>
              <w:divBdr>
                <w:top w:val="none" w:sz="0" w:space="0" w:color="auto"/>
                <w:left w:val="none" w:sz="0" w:space="0" w:color="auto"/>
                <w:bottom w:val="none" w:sz="0" w:space="0" w:color="auto"/>
                <w:right w:val="none" w:sz="0" w:space="0" w:color="auto"/>
              </w:divBdr>
              <w:divsChild>
                <w:div w:id="10163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88963">
      <w:bodyDiv w:val="1"/>
      <w:marLeft w:val="0"/>
      <w:marRight w:val="0"/>
      <w:marTop w:val="0"/>
      <w:marBottom w:val="0"/>
      <w:divBdr>
        <w:top w:val="none" w:sz="0" w:space="0" w:color="auto"/>
        <w:left w:val="none" w:sz="0" w:space="0" w:color="auto"/>
        <w:bottom w:val="none" w:sz="0" w:space="0" w:color="auto"/>
        <w:right w:val="none" w:sz="0" w:space="0" w:color="auto"/>
      </w:divBdr>
    </w:div>
    <w:div w:id="115611618">
      <w:bodyDiv w:val="1"/>
      <w:marLeft w:val="0"/>
      <w:marRight w:val="0"/>
      <w:marTop w:val="0"/>
      <w:marBottom w:val="0"/>
      <w:divBdr>
        <w:top w:val="none" w:sz="0" w:space="0" w:color="auto"/>
        <w:left w:val="none" w:sz="0" w:space="0" w:color="auto"/>
        <w:bottom w:val="none" w:sz="0" w:space="0" w:color="auto"/>
        <w:right w:val="none" w:sz="0" w:space="0" w:color="auto"/>
      </w:divBdr>
    </w:div>
    <w:div w:id="118500370">
      <w:bodyDiv w:val="1"/>
      <w:marLeft w:val="0"/>
      <w:marRight w:val="0"/>
      <w:marTop w:val="0"/>
      <w:marBottom w:val="0"/>
      <w:divBdr>
        <w:top w:val="none" w:sz="0" w:space="0" w:color="auto"/>
        <w:left w:val="none" w:sz="0" w:space="0" w:color="auto"/>
        <w:bottom w:val="none" w:sz="0" w:space="0" w:color="auto"/>
        <w:right w:val="none" w:sz="0" w:space="0" w:color="auto"/>
      </w:divBdr>
    </w:div>
    <w:div w:id="119690579">
      <w:bodyDiv w:val="1"/>
      <w:marLeft w:val="0"/>
      <w:marRight w:val="0"/>
      <w:marTop w:val="0"/>
      <w:marBottom w:val="0"/>
      <w:divBdr>
        <w:top w:val="none" w:sz="0" w:space="0" w:color="auto"/>
        <w:left w:val="none" w:sz="0" w:space="0" w:color="auto"/>
        <w:bottom w:val="none" w:sz="0" w:space="0" w:color="auto"/>
        <w:right w:val="none" w:sz="0" w:space="0" w:color="auto"/>
      </w:divBdr>
    </w:div>
    <w:div w:id="127165792">
      <w:bodyDiv w:val="1"/>
      <w:marLeft w:val="0"/>
      <w:marRight w:val="0"/>
      <w:marTop w:val="0"/>
      <w:marBottom w:val="0"/>
      <w:divBdr>
        <w:top w:val="none" w:sz="0" w:space="0" w:color="auto"/>
        <w:left w:val="none" w:sz="0" w:space="0" w:color="auto"/>
        <w:bottom w:val="none" w:sz="0" w:space="0" w:color="auto"/>
        <w:right w:val="none" w:sz="0" w:space="0" w:color="auto"/>
      </w:divBdr>
    </w:div>
    <w:div w:id="131677338">
      <w:bodyDiv w:val="1"/>
      <w:marLeft w:val="0"/>
      <w:marRight w:val="0"/>
      <w:marTop w:val="0"/>
      <w:marBottom w:val="0"/>
      <w:divBdr>
        <w:top w:val="none" w:sz="0" w:space="0" w:color="auto"/>
        <w:left w:val="none" w:sz="0" w:space="0" w:color="auto"/>
        <w:bottom w:val="none" w:sz="0" w:space="0" w:color="auto"/>
        <w:right w:val="none" w:sz="0" w:space="0" w:color="auto"/>
      </w:divBdr>
    </w:div>
    <w:div w:id="133371611">
      <w:bodyDiv w:val="1"/>
      <w:marLeft w:val="0"/>
      <w:marRight w:val="0"/>
      <w:marTop w:val="0"/>
      <w:marBottom w:val="0"/>
      <w:divBdr>
        <w:top w:val="none" w:sz="0" w:space="0" w:color="auto"/>
        <w:left w:val="none" w:sz="0" w:space="0" w:color="auto"/>
        <w:bottom w:val="none" w:sz="0" w:space="0" w:color="auto"/>
        <w:right w:val="none" w:sz="0" w:space="0" w:color="auto"/>
      </w:divBdr>
    </w:div>
    <w:div w:id="151483516">
      <w:bodyDiv w:val="1"/>
      <w:marLeft w:val="0"/>
      <w:marRight w:val="0"/>
      <w:marTop w:val="0"/>
      <w:marBottom w:val="0"/>
      <w:divBdr>
        <w:top w:val="none" w:sz="0" w:space="0" w:color="auto"/>
        <w:left w:val="none" w:sz="0" w:space="0" w:color="auto"/>
        <w:bottom w:val="none" w:sz="0" w:space="0" w:color="auto"/>
        <w:right w:val="none" w:sz="0" w:space="0" w:color="auto"/>
      </w:divBdr>
    </w:div>
    <w:div w:id="151989266">
      <w:bodyDiv w:val="1"/>
      <w:marLeft w:val="0"/>
      <w:marRight w:val="0"/>
      <w:marTop w:val="0"/>
      <w:marBottom w:val="0"/>
      <w:divBdr>
        <w:top w:val="none" w:sz="0" w:space="0" w:color="auto"/>
        <w:left w:val="none" w:sz="0" w:space="0" w:color="auto"/>
        <w:bottom w:val="none" w:sz="0" w:space="0" w:color="auto"/>
        <w:right w:val="none" w:sz="0" w:space="0" w:color="auto"/>
      </w:divBdr>
    </w:div>
    <w:div w:id="153225120">
      <w:bodyDiv w:val="1"/>
      <w:marLeft w:val="0"/>
      <w:marRight w:val="0"/>
      <w:marTop w:val="0"/>
      <w:marBottom w:val="0"/>
      <w:divBdr>
        <w:top w:val="none" w:sz="0" w:space="0" w:color="auto"/>
        <w:left w:val="none" w:sz="0" w:space="0" w:color="auto"/>
        <w:bottom w:val="none" w:sz="0" w:space="0" w:color="auto"/>
        <w:right w:val="none" w:sz="0" w:space="0" w:color="auto"/>
      </w:divBdr>
    </w:div>
    <w:div w:id="153227571">
      <w:bodyDiv w:val="1"/>
      <w:marLeft w:val="0"/>
      <w:marRight w:val="0"/>
      <w:marTop w:val="0"/>
      <w:marBottom w:val="0"/>
      <w:divBdr>
        <w:top w:val="none" w:sz="0" w:space="0" w:color="auto"/>
        <w:left w:val="none" w:sz="0" w:space="0" w:color="auto"/>
        <w:bottom w:val="none" w:sz="0" w:space="0" w:color="auto"/>
        <w:right w:val="none" w:sz="0" w:space="0" w:color="auto"/>
      </w:divBdr>
      <w:divsChild>
        <w:div w:id="774905975">
          <w:marLeft w:val="0"/>
          <w:marRight w:val="0"/>
          <w:marTop w:val="0"/>
          <w:marBottom w:val="0"/>
          <w:divBdr>
            <w:top w:val="none" w:sz="0" w:space="0" w:color="auto"/>
            <w:left w:val="none" w:sz="0" w:space="0" w:color="auto"/>
            <w:bottom w:val="none" w:sz="0" w:space="0" w:color="auto"/>
            <w:right w:val="none" w:sz="0" w:space="0" w:color="auto"/>
          </w:divBdr>
        </w:div>
      </w:divsChild>
    </w:div>
    <w:div w:id="154299409">
      <w:bodyDiv w:val="1"/>
      <w:marLeft w:val="0"/>
      <w:marRight w:val="0"/>
      <w:marTop w:val="0"/>
      <w:marBottom w:val="0"/>
      <w:divBdr>
        <w:top w:val="none" w:sz="0" w:space="0" w:color="auto"/>
        <w:left w:val="none" w:sz="0" w:space="0" w:color="auto"/>
        <w:bottom w:val="none" w:sz="0" w:space="0" w:color="auto"/>
        <w:right w:val="none" w:sz="0" w:space="0" w:color="auto"/>
      </w:divBdr>
    </w:div>
    <w:div w:id="154345357">
      <w:bodyDiv w:val="1"/>
      <w:marLeft w:val="0"/>
      <w:marRight w:val="0"/>
      <w:marTop w:val="0"/>
      <w:marBottom w:val="0"/>
      <w:divBdr>
        <w:top w:val="none" w:sz="0" w:space="0" w:color="auto"/>
        <w:left w:val="none" w:sz="0" w:space="0" w:color="auto"/>
        <w:bottom w:val="none" w:sz="0" w:space="0" w:color="auto"/>
        <w:right w:val="none" w:sz="0" w:space="0" w:color="auto"/>
      </w:divBdr>
    </w:div>
    <w:div w:id="159077311">
      <w:bodyDiv w:val="1"/>
      <w:marLeft w:val="0"/>
      <w:marRight w:val="0"/>
      <w:marTop w:val="0"/>
      <w:marBottom w:val="0"/>
      <w:divBdr>
        <w:top w:val="none" w:sz="0" w:space="0" w:color="auto"/>
        <w:left w:val="none" w:sz="0" w:space="0" w:color="auto"/>
        <w:bottom w:val="none" w:sz="0" w:space="0" w:color="auto"/>
        <w:right w:val="none" w:sz="0" w:space="0" w:color="auto"/>
      </w:divBdr>
    </w:div>
    <w:div w:id="159199017">
      <w:bodyDiv w:val="1"/>
      <w:marLeft w:val="0"/>
      <w:marRight w:val="0"/>
      <w:marTop w:val="0"/>
      <w:marBottom w:val="0"/>
      <w:divBdr>
        <w:top w:val="none" w:sz="0" w:space="0" w:color="auto"/>
        <w:left w:val="none" w:sz="0" w:space="0" w:color="auto"/>
        <w:bottom w:val="none" w:sz="0" w:space="0" w:color="auto"/>
        <w:right w:val="none" w:sz="0" w:space="0" w:color="auto"/>
      </w:divBdr>
    </w:div>
    <w:div w:id="160127764">
      <w:bodyDiv w:val="1"/>
      <w:marLeft w:val="0"/>
      <w:marRight w:val="0"/>
      <w:marTop w:val="0"/>
      <w:marBottom w:val="0"/>
      <w:divBdr>
        <w:top w:val="none" w:sz="0" w:space="0" w:color="auto"/>
        <w:left w:val="none" w:sz="0" w:space="0" w:color="auto"/>
        <w:bottom w:val="none" w:sz="0" w:space="0" w:color="auto"/>
        <w:right w:val="none" w:sz="0" w:space="0" w:color="auto"/>
      </w:divBdr>
    </w:div>
    <w:div w:id="161743633">
      <w:bodyDiv w:val="1"/>
      <w:marLeft w:val="0"/>
      <w:marRight w:val="0"/>
      <w:marTop w:val="0"/>
      <w:marBottom w:val="0"/>
      <w:divBdr>
        <w:top w:val="none" w:sz="0" w:space="0" w:color="auto"/>
        <w:left w:val="none" w:sz="0" w:space="0" w:color="auto"/>
        <w:bottom w:val="none" w:sz="0" w:space="0" w:color="auto"/>
        <w:right w:val="none" w:sz="0" w:space="0" w:color="auto"/>
      </w:divBdr>
    </w:div>
    <w:div w:id="171917572">
      <w:bodyDiv w:val="1"/>
      <w:marLeft w:val="0"/>
      <w:marRight w:val="0"/>
      <w:marTop w:val="0"/>
      <w:marBottom w:val="0"/>
      <w:divBdr>
        <w:top w:val="none" w:sz="0" w:space="0" w:color="auto"/>
        <w:left w:val="none" w:sz="0" w:space="0" w:color="auto"/>
        <w:bottom w:val="none" w:sz="0" w:space="0" w:color="auto"/>
        <w:right w:val="none" w:sz="0" w:space="0" w:color="auto"/>
      </w:divBdr>
    </w:div>
    <w:div w:id="178081558">
      <w:bodyDiv w:val="1"/>
      <w:marLeft w:val="0"/>
      <w:marRight w:val="0"/>
      <w:marTop w:val="0"/>
      <w:marBottom w:val="0"/>
      <w:divBdr>
        <w:top w:val="none" w:sz="0" w:space="0" w:color="auto"/>
        <w:left w:val="none" w:sz="0" w:space="0" w:color="auto"/>
        <w:bottom w:val="none" w:sz="0" w:space="0" w:color="auto"/>
        <w:right w:val="none" w:sz="0" w:space="0" w:color="auto"/>
      </w:divBdr>
    </w:div>
    <w:div w:id="196890621">
      <w:bodyDiv w:val="1"/>
      <w:marLeft w:val="0"/>
      <w:marRight w:val="0"/>
      <w:marTop w:val="0"/>
      <w:marBottom w:val="0"/>
      <w:divBdr>
        <w:top w:val="none" w:sz="0" w:space="0" w:color="auto"/>
        <w:left w:val="none" w:sz="0" w:space="0" w:color="auto"/>
        <w:bottom w:val="none" w:sz="0" w:space="0" w:color="auto"/>
        <w:right w:val="none" w:sz="0" w:space="0" w:color="auto"/>
      </w:divBdr>
    </w:div>
    <w:div w:id="204681534">
      <w:bodyDiv w:val="1"/>
      <w:marLeft w:val="0"/>
      <w:marRight w:val="0"/>
      <w:marTop w:val="0"/>
      <w:marBottom w:val="0"/>
      <w:divBdr>
        <w:top w:val="none" w:sz="0" w:space="0" w:color="auto"/>
        <w:left w:val="none" w:sz="0" w:space="0" w:color="auto"/>
        <w:bottom w:val="none" w:sz="0" w:space="0" w:color="auto"/>
        <w:right w:val="none" w:sz="0" w:space="0" w:color="auto"/>
      </w:divBdr>
    </w:div>
    <w:div w:id="225337097">
      <w:bodyDiv w:val="1"/>
      <w:marLeft w:val="0"/>
      <w:marRight w:val="0"/>
      <w:marTop w:val="0"/>
      <w:marBottom w:val="0"/>
      <w:divBdr>
        <w:top w:val="none" w:sz="0" w:space="0" w:color="auto"/>
        <w:left w:val="none" w:sz="0" w:space="0" w:color="auto"/>
        <w:bottom w:val="none" w:sz="0" w:space="0" w:color="auto"/>
        <w:right w:val="none" w:sz="0" w:space="0" w:color="auto"/>
      </w:divBdr>
    </w:div>
    <w:div w:id="238559743">
      <w:bodyDiv w:val="1"/>
      <w:marLeft w:val="0"/>
      <w:marRight w:val="0"/>
      <w:marTop w:val="0"/>
      <w:marBottom w:val="0"/>
      <w:divBdr>
        <w:top w:val="none" w:sz="0" w:space="0" w:color="auto"/>
        <w:left w:val="none" w:sz="0" w:space="0" w:color="auto"/>
        <w:bottom w:val="none" w:sz="0" w:space="0" w:color="auto"/>
        <w:right w:val="none" w:sz="0" w:space="0" w:color="auto"/>
      </w:divBdr>
    </w:div>
    <w:div w:id="239944431">
      <w:bodyDiv w:val="1"/>
      <w:marLeft w:val="0"/>
      <w:marRight w:val="0"/>
      <w:marTop w:val="0"/>
      <w:marBottom w:val="0"/>
      <w:divBdr>
        <w:top w:val="none" w:sz="0" w:space="0" w:color="auto"/>
        <w:left w:val="none" w:sz="0" w:space="0" w:color="auto"/>
        <w:bottom w:val="none" w:sz="0" w:space="0" w:color="auto"/>
        <w:right w:val="none" w:sz="0" w:space="0" w:color="auto"/>
      </w:divBdr>
      <w:divsChild>
        <w:div w:id="1770612743">
          <w:marLeft w:val="0"/>
          <w:marRight w:val="0"/>
          <w:marTop w:val="0"/>
          <w:marBottom w:val="0"/>
          <w:divBdr>
            <w:top w:val="none" w:sz="0" w:space="0" w:color="auto"/>
            <w:left w:val="none" w:sz="0" w:space="0" w:color="auto"/>
            <w:bottom w:val="none" w:sz="0" w:space="0" w:color="auto"/>
            <w:right w:val="none" w:sz="0" w:space="0" w:color="auto"/>
          </w:divBdr>
          <w:divsChild>
            <w:div w:id="1544749125">
              <w:marLeft w:val="0"/>
              <w:marRight w:val="0"/>
              <w:marTop w:val="0"/>
              <w:marBottom w:val="0"/>
              <w:divBdr>
                <w:top w:val="none" w:sz="0" w:space="0" w:color="auto"/>
                <w:left w:val="none" w:sz="0" w:space="0" w:color="auto"/>
                <w:bottom w:val="none" w:sz="0" w:space="0" w:color="auto"/>
                <w:right w:val="none" w:sz="0" w:space="0" w:color="auto"/>
              </w:divBdr>
              <w:divsChild>
                <w:div w:id="1217400355">
                  <w:marLeft w:val="0"/>
                  <w:marRight w:val="0"/>
                  <w:marTop w:val="0"/>
                  <w:marBottom w:val="0"/>
                  <w:divBdr>
                    <w:top w:val="none" w:sz="0" w:space="0" w:color="auto"/>
                    <w:left w:val="none" w:sz="0" w:space="0" w:color="auto"/>
                    <w:bottom w:val="none" w:sz="0" w:space="0" w:color="auto"/>
                    <w:right w:val="none" w:sz="0" w:space="0" w:color="auto"/>
                  </w:divBdr>
                  <w:divsChild>
                    <w:div w:id="542326904">
                      <w:marLeft w:val="0"/>
                      <w:marRight w:val="0"/>
                      <w:marTop w:val="0"/>
                      <w:marBottom w:val="0"/>
                      <w:divBdr>
                        <w:top w:val="none" w:sz="0" w:space="0" w:color="auto"/>
                        <w:left w:val="none" w:sz="0" w:space="0" w:color="auto"/>
                        <w:bottom w:val="none" w:sz="0" w:space="0" w:color="auto"/>
                        <w:right w:val="none" w:sz="0" w:space="0" w:color="auto"/>
                      </w:divBdr>
                      <w:divsChild>
                        <w:div w:id="144876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5774984">
      <w:bodyDiv w:val="1"/>
      <w:marLeft w:val="0"/>
      <w:marRight w:val="0"/>
      <w:marTop w:val="0"/>
      <w:marBottom w:val="0"/>
      <w:divBdr>
        <w:top w:val="none" w:sz="0" w:space="0" w:color="auto"/>
        <w:left w:val="none" w:sz="0" w:space="0" w:color="auto"/>
        <w:bottom w:val="none" w:sz="0" w:space="0" w:color="auto"/>
        <w:right w:val="none" w:sz="0" w:space="0" w:color="auto"/>
      </w:divBdr>
    </w:div>
    <w:div w:id="246809814">
      <w:bodyDiv w:val="1"/>
      <w:marLeft w:val="0"/>
      <w:marRight w:val="0"/>
      <w:marTop w:val="0"/>
      <w:marBottom w:val="0"/>
      <w:divBdr>
        <w:top w:val="none" w:sz="0" w:space="0" w:color="auto"/>
        <w:left w:val="none" w:sz="0" w:space="0" w:color="auto"/>
        <w:bottom w:val="none" w:sz="0" w:space="0" w:color="auto"/>
        <w:right w:val="none" w:sz="0" w:space="0" w:color="auto"/>
      </w:divBdr>
    </w:div>
    <w:div w:id="249124868">
      <w:bodyDiv w:val="1"/>
      <w:marLeft w:val="0"/>
      <w:marRight w:val="0"/>
      <w:marTop w:val="0"/>
      <w:marBottom w:val="0"/>
      <w:divBdr>
        <w:top w:val="none" w:sz="0" w:space="0" w:color="auto"/>
        <w:left w:val="none" w:sz="0" w:space="0" w:color="auto"/>
        <w:bottom w:val="none" w:sz="0" w:space="0" w:color="auto"/>
        <w:right w:val="none" w:sz="0" w:space="0" w:color="auto"/>
      </w:divBdr>
    </w:div>
    <w:div w:id="254174243">
      <w:bodyDiv w:val="1"/>
      <w:marLeft w:val="0"/>
      <w:marRight w:val="0"/>
      <w:marTop w:val="0"/>
      <w:marBottom w:val="0"/>
      <w:divBdr>
        <w:top w:val="none" w:sz="0" w:space="0" w:color="auto"/>
        <w:left w:val="none" w:sz="0" w:space="0" w:color="auto"/>
        <w:bottom w:val="none" w:sz="0" w:space="0" w:color="auto"/>
        <w:right w:val="none" w:sz="0" w:space="0" w:color="auto"/>
      </w:divBdr>
    </w:div>
    <w:div w:id="258174175">
      <w:bodyDiv w:val="1"/>
      <w:marLeft w:val="0"/>
      <w:marRight w:val="0"/>
      <w:marTop w:val="0"/>
      <w:marBottom w:val="0"/>
      <w:divBdr>
        <w:top w:val="none" w:sz="0" w:space="0" w:color="auto"/>
        <w:left w:val="none" w:sz="0" w:space="0" w:color="auto"/>
        <w:bottom w:val="none" w:sz="0" w:space="0" w:color="auto"/>
        <w:right w:val="none" w:sz="0" w:space="0" w:color="auto"/>
      </w:divBdr>
    </w:div>
    <w:div w:id="261572652">
      <w:bodyDiv w:val="1"/>
      <w:marLeft w:val="0"/>
      <w:marRight w:val="0"/>
      <w:marTop w:val="0"/>
      <w:marBottom w:val="0"/>
      <w:divBdr>
        <w:top w:val="none" w:sz="0" w:space="0" w:color="auto"/>
        <w:left w:val="none" w:sz="0" w:space="0" w:color="auto"/>
        <w:bottom w:val="none" w:sz="0" w:space="0" w:color="auto"/>
        <w:right w:val="none" w:sz="0" w:space="0" w:color="auto"/>
      </w:divBdr>
    </w:div>
    <w:div w:id="263654518">
      <w:bodyDiv w:val="1"/>
      <w:marLeft w:val="0"/>
      <w:marRight w:val="0"/>
      <w:marTop w:val="0"/>
      <w:marBottom w:val="0"/>
      <w:divBdr>
        <w:top w:val="none" w:sz="0" w:space="0" w:color="auto"/>
        <w:left w:val="none" w:sz="0" w:space="0" w:color="auto"/>
        <w:bottom w:val="none" w:sz="0" w:space="0" w:color="auto"/>
        <w:right w:val="none" w:sz="0" w:space="0" w:color="auto"/>
      </w:divBdr>
      <w:divsChild>
        <w:div w:id="509177464">
          <w:marLeft w:val="0"/>
          <w:marRight w:val="0"/>
          <w:marTop w:val="0"/>
          <w:marBottom w:val="0"/>
          <w:divBdr>
            <w:top w:val="none" w:sz="0" w:space="0" w:color="auto"/>
            <w:left w:val="none" w:sz="0" w:space="0" w:color="auto"/>
            <w:bottom w:val="none" w:sz="0" w:space="0" w:color="auto"/>
            <w:right w:val="none" w:sz="0" w:space="0" w:color="auto"/>
          </w:divBdr>
          <w:divsChild>
            <w:div w:id="1256939934">
              <w:marLeft w:val="0"/>
              <w:marRight w:val="0"/>
              <w:marTop w:val="0"/>
              <w:marBottom w:val="0"/>
              <w:divBdr>
                <w:top w:val="none" w:sz="0" w:space="0" w:color="auto"/>
                <w:left w:val="none" w:sz="0" w:space="0" w:color="auto"/>
                <w:bottom w:val="none" w:sz="0" w:space="0" w:color="auto"/>
                <w:right w:val="none" w:sz="0" w:space="0" w:color="auto"/>
              </w:divBdr>
              <w:divsChild>
                <w:div w:id="344672216">
                  <w:marLeft w:val="0"/>
                  <w:marRight w:val="0"/>
                  <w:marTop w:val="0"/>
                  <w:marBottom w:val="0"/>
                  <w:divBdr>
                    <w:top w:val="none" w:sz="0" w:space="0" w:color="auto"/>
                    <w:left w:val="none" w:sz="0" w:space="0" w:color="auto"/>
                    <w:bottom w:val="none" w:sz="0" w:space="0" w:color="auto"/>
                    <w:right w:val="none" w:sz="0" w:space="0" w:color="auto"/>
                  </w:divBdr>
                  <w:divsChild>
                    <w:div w:id="741298225">
                      <w:marLeft w:val="0"/>
                      <w:marRight w:val="0"/>
                      <w:marTop w:val="0"/>
                      <w:marBottom w:val="0"/>
                      <w:divBdr>
                        <w:top w:val="none" w:sz="0" w:space="0" w:color="auto"/>
                        <w:left w:val="none" w:sz="0" w:space="0" w:color="auto"/>
                        <w:bottom w:val="none" w:sz="0" w:space="0" w:color="auto"/>
                        <w:right w:val="none" w:sz="0" w:space="0" w:color="auto"/>
                      </w:divBdr>
                      <w:divsChild>
                        <w:div w:id="1114129697">
                          <w:marLeft w:val="0"/>
                          <w:marRight w:val="0"/>
                          <w:marTop w:val="0"/>
                          <w:marBottom w:val="0"/>
                          <w:divBdr>
                            <w:top w:val="none" w:sz="0" w:space="0" w:color="auto"/>
                            <w:left w:val="none" w:sz="0" w:space="0" w:color="auto"/>
                            <w:bottom w:val="none" w:sz="0" w:space="0" w:color="auto"/>
                            <w:right w:val="none" w:sz="0" w:space="0" w:color="auto"/>
                          </w:divBdr>
                          <w:divsChild>
                            <w:div w:id="374231945">
                              <w:marLeft w:val="0"/>
                              <w:marRight w:val="0"/>
                              <w:marTop w:val="0"/>
                              <w:marBottom w:val="0"/>
                              <w:divBdr>
                                <w:top w:val="none" w:sz="0" w:space="0" w:color="auto"/>
                                <w:left w:val="none" w:sz="0" w:space="0" w:color="auto"/>
                                <w:bottom w:val="none" w:sz="0" w:space="0" w:color="auto"/>
                                <w:right w:val="none" w:sz="0" w:space="0" w:color="auto"/>
                              </w:divBdr>
                              <w:divsChild>
                                <w:div w:id="1018123103">
                                  <w:marLeft w:val="0"/>
                                  <w:marRight w:val="0"/>
                                  <w:marTop w:val="0"/>
                                  <w:marBottom w:val="0"/>
                                  <w:divBdr>
                                    <w:top w:val="none" w:sz="0" w:space="0" w:color="auto"/>
                                    <w:left w:val="none" w:sz="0" w:space="0" w:color="auto"/>
                                    <w:bottom w:val="none" w:sz="0" w:space="0" w:color="auto"/>
                                    <w:right w:val="none" w:sz="0" w:space="0" w:color="auto"/>
                                  </w:divBdr>
                                  <w:divsChild>
                                    <w:div w:id="1829980937">
                                      <w:marLeft w:val="0"/>
                                      <w:marRight w:val="0"/>
                                      <w:marTop w:val="0"/>
                                      <w:marBottom w:val="0"/>
                                      <w:divBdr>
                                        <w:top w:val="none" w:sz="0" w:space="0" w:color="auto"/>
                                        <w:left w:val="none" w:sz="0" w:space="0" w:color="auto"/>
                                        <w:bottom w:val="none" w:sz="0" w:space="0" w:color="auto"/>
                                        <w:right w:val="none" w:sz="0" w:space="0" w:color="auto"/>
                                      </w:divBdr>
                                      <w:divsChild>
                                        <w:div w:id="918831882">
                                          <w:marLeft w:val="0"/>
                                          <w:marRight w:val="0"/>
                                          <w:marTop w:val="0"/>
                                          <w:marBottom w:val="0"/>
                                          <w:divBdr>
                                            <w:top w:val="none" w:sz="0" w:space="0" w:color="auto"/>
                                            <w:left w:val="none" w:sz="0" w:space="0" w:color="auto"/>
                                            <w:bottom w:val="none" w:sz="0" w:space="0" w:color="auto"/>
                                            <w:right w:val="none" w:sz="0" w:space="0" w:color="auto"/>
                                          </w:divBdr>
                                          <w:divsChild>
                                            <w:div w:id="1867670773">
                                              <w:marLeft w:val="0"/>
                                              <w:marRight w:val="0"/>
                                              <w:marTop w:val="0"/>
                                              <w:marBottom w:val="0"/>
                                              <w:divBdr>
                                                <w:top w:val="none" w:sz="0" w:space="0" w:color="auto"/>
                                                <w:left w:val="none" w:sz="0" w:space="0" w:color="auto"/>
                                                <w:bottom w:val="none" w:sz="0" w:space="0" w:color="auto"/>
                                                <w:right w:val="none" w:sz="0" w:space="0" w:color="auto"/>
                                              </w:divBdr>
                                              <w:divsChild>
                                                <w:div w:id="155978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8495839">
          <w:marLeft w:val="0"/>
          <w:marRight w:val="0"/>
          <w:marTop w:val="0"/>
          <w:marBottom w:val="0"/>
          <w:divBdr>
            <w:top w:val="none" w:sz="0" w:space="0" w:color="auto"/>
            <w:left w:val="none" w:sz="0" w:space="0" w:color="auto"/>
            <w:bottom w:val="none" w:sz="0" w:space="0" w:color="auto"/>
            <w:right w:val="none" w:sz="0" w:space="0" w:color="auto"/>
          </w:divBdr>
          <w:divsChild>
            <w:div w:id="240680436">
              <w:marLeft w:val="0"/>
              <w:marRight w:val="0"/>
              <w:marTop w:val="0"/>
              <w:marBottom w:val="0"/>
              <w:divBdr>
                <w:top w:val="none" w:sz="0" w:space="0" w:color="auto"/>
                <w:left w:val="none" w:sz="0" w:space="0" w:color="auto"/>
                <w:bottom w:val="none" w:sz="0" w:space="0" w:color="auto"/>
                <w:right w:val="none" w:sz="0" w:space="0" w:color="auto"/>
              </w:divBdr>
              <w:divsChild>
                <w:div w:id="723676038">
                  <w:marLeft w:val="0"/>
                  <w:marRight w:val="0"/>
                  <w:marTop w:val="0"/>
                  <w:marBottom w:val="0"/>
                  <w:divBdr>
                    <w:top w:val="none" w:sz="0" w:space="0" w:color="auto"/>
                    <w:left w:val="none" w:sz="0" w:space="0" w:color="auto"/>
                    <w:bottom w:val="none" w:sz="0" w:space="0" w:color="auto"/>
                    <w:right w:val="none" w:sz="0" w:space="0" w:color="auto"/>
                  </w:divBdr>
                  <w:divsChild>
                    <w:div w:id="1590039958">
                      <w:marLeft w:val="0"/>
                      <w:marRight w:val="0"/>
                      <w:marTop w:val="0"/>
                      <w:marBottom w:val="0"/>
                      <w:divBdr>
                        <w:top w:val="none" w:sz="0" w:space="0" w:color="auto"/>
                        <w:left w:val="none" w:sz="0" w:space="0" w:color="auto"/>
                        <w:bottom w:val="none" w:sz="0" w:space="0" w:color="auto"/>
                        <w:right w:val="none" w:sz="0" w:space="0" w:color="auto"/>
                      </w:divBdr>
                      <w:divsChild>
                        <w:div w:id="731732427">
                          <w:marLeft w:val="0"/>
                          <w:marRight w:val="0"/>
                          <w:marTop w:val="0"/>
                          <w:marBottom w:val="0"/>
                          <w:divBdr>
                            <w:top w:val="none" w:sz="0" w:space="0" w:color="auto"/>
                            <w:left w:val="none" w:sz="0" w:space="0" w:color="auto"/>
                            <w:bottom w:val="none" w:sz="0" w:space="0" w:color="auto"/>
                            <w:right w:val="none" w:sz="0" w:space="0" w:color="auto"/>
                          </w:divBdr>
                          <w:divsChild>
                            <w:div w:id="1432581803">
                              <w:marLeft w:val="0"/>
                              <w:marRight w:val="0"/>
                              <w:marTop w:val="0"/>
                              <w:marBottom w:val="0"/>
                              <w:divBdr>
                                <w:top w:val="none" w:sz="0" w:space="0" w:color="auto"/>
                                <w:left w:val="none" w:sz="0" w:space="0" w:color="auto"/>
                                <w:bottom w:val="none" w:sz="0" w:space="0" w:color="auto"/>
                                <w:right w:val="none" w:sz="0" w:space="0" w:color="auto"/>
                              </w:divBdr>
                              <w:divsChild>
                                <w:div w:id="62726162">
                                  <w:marLeft w:val="0"/>
                                  <w:marRight w:val="0"/>
                                  <w:marTop w:val="0"/>
                                  <w:marBottom w:val="0"/>
                                  <w:divBdr>
                                    <w:top w:val="none" w:sz="0" w:space="0" w:color="auto"/>
                                    <w:left w:val="none" w:sz="0" w:space="0" w:color="auto"/>
                                    <w:bottom w:val="none" w:sz="0" w:space="0" w:color="auto"/>
                                    <w:right w:val="none" w:sz="0" w:space="0" w:color="auto"/>
                                  </w:divBdr>
                                  <w:divsChild>
                                    <w:div w:id="1895115646">
                                      <w:marLeft w:val="0"/>
                                      <w:marRight w:val="0"/>
                                      <w:marTop w:val="0"/>
                                      <w:marBottom w:val="0"/>
                                      <w:divBdr>
                                        <w:top w:val="none" w:sz="0" w:space="0" w:color="auto"/>
                                        <w:left w:val="none" w:sz="0" w:space="0" w:color="auto"/>
                                        <w:bottom w:val="none" w:sz="0" w:space="0" w:color="auto"/>
                                        <w:right w:val="none" w:sz="0" w:space="0" w:color="auto"/>
                                      </w:divBdr>
                                    </w:div>
                                  </w:divsChild>
                                </w:div>
                                <w:div w:id="1086923441">
                                  <w:marLeft w:val="0"/>
                                  <w:marRight w:val="0"/>
                                  <w:marTop w:val="0"/>
                                  <w:marBottom w:val="0"/>
                                  <w:divBdr>
                                    <w:top w:val="none" w:sz="0" w:space="0" w:color="auto"/>
                                    <w:left w:val="none" w:sz="0" w:space="0" w:color="auto"/>
                                    <w:bottom w:val="none" w:sz="0" w:space="0" w:color="auto"/>
                                    <w:right w:val="none" w:sz="0" w:space="0" w:color="auto"/>
                                  </w:divBdr>
                                  <w:divsChild>
                                    <w:div w:id="1624269442">
                                      <w:marLeft w:val="0"/>
                                      <w:marRight w:val="0"/>
                                      <w:marTop w:val="0"/>
                                      <w:marBottom w:val="0"/>
                                      <w:divBdr>
                                        <w:top w:val="none" w:sz="0" w:space="0" w:color="auto"/>
                                        <w:left w:val="none" w:sz="0" w:space="0" w:color="auto"/>
                                        <w:bottom w:val="none" w:sz="0" w:space="0" w:color="auto"/>
                                        <w:right w:val="none" w:sz="0" w:space="0" w:color="auto"/>
                                      </w:divBdr>
                                      <w:divsChild>
                                        <w:div w:id="1494296538">
                                          <w:marLeft w:val="0"/>
                                          <w:marRight w:val="0"/>
                                          <w:marTop w:val="0"/>
                                          <w:marBottom w:val="0"/>
                                          <w:divBdr>
                                            <w:top w:val="none" w:sz="0" w:space="0" w:color="auto"/>
                                            <w:left w:val="none" w:sz="0" w:space="0" w:color="auto"/>
                                            <w:bottom w:val="none" w:sz="0" w:space="0" w:color="auto"/>
                                            <w:right w:val="none" w:sz="0" w:space="0" w:color="auto"/>
                                          </w:divBdr>
                                          <w:divsChild>
                                            <w:div w:id="61394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4963185">
      <w:bodyDiv w:val="1"/>
      <w:marLeft w:val="0"/>
      <w:marRight w:val="0"/>
      <w:marTop w:val="0"/>
      <w:marBottom w:val="0"/>
      <w:divBdr>
        <w:top w:val="none" w:sz="0" w:space="0" w:color="auto"/>
        <w:left w:val="none" w:sz="0" w:space="0" w:color="auto"/>
        <w:bottom w:val="none" w:sz="0" w:space="0" w:color="auto"/>
        <w:right w:val="none" w:sz="0" w:space="0" w:color="auto"/>
      </w:divBdr>
    </w:div>
    <w:div w:id="276183737">
      <w:bodyDiv w:val="1"/>
      <w:marLeft w:val="0"/>
      <w:marRight w:val="0"/>
      <w:marTop w:val="0"/>
      <w:marBottom w:val="0"/>
      <w:divBdr>
        <w:top w:val="none" w:sz="0" w:space="0" w:color="auto"/>
        <w:left w:val="none" w:sz="0" w:space="0" w:color="auto"/>
        <w:bottom w:val="none" w:sz="0" w:space="0" w:color="auto"/>
        <w:right w:val="none" w:sz="0" w:space="0" w:color="auto"/>
      </w:divBdr>
    </w:div>
    <w:div w:id="277494873">
      <w:bodyDiv w:val="1"/>
      <w:marLeft w:val="0"/>
      <w:marRight w:val="0"/>
      <w:marTop w:val="0"/>
      <w:marBottom w:val="0"/>
      <w:divBdr>
        <w:top w:val="none" w:sz="0" w:space="0" w:color="auto"/>
        <w:left w:val="none" w:sz="0" w:space="0" w:color="auto"/>
        <w:bottom w:val="none" w:sz="0" w:space="0" w:color="auto"/>
        <w:right w:val="none" w:sz="0" w:space="0" w:color="auto"/>
      </w:divBdr>
    </w:div>
    <w:div w:id="289480186">
      <w:bodyDiv w:val="1"/>
      <w:marLeft w:val="0"/>
      <w:marRight w:val="0"/>
      <w:marTop w:val="0"/>
      <w:marBottom w:val="0"/>
      <w:divBdr>
        <w:top w:val="none" w:sz="0" w:space="0" w:color="auto"/>
        <w:left w:val="none" w:sz="0" w:space="0" w:color="auto"/>
        <w:bottom w:val="none" w:sz="0" w:space="0" w:color="auto"/>
        <w:right w:val="none" w:sz="0" w:space="0" w:color="auto"/>
      </w:divBdr>
    </w:div>
    <w:div w:id="296647131">
      <w:bodyDiv w:val="1"/>
      <w:marLeft w:val="0"/>
      <w:marRight w:val="0"/>
      <w:marTop w:val="0"/>
      <w:marBottom w:val="0"/>
      <w:divBdr>
        <w:top w:val="none" w:sz="0" w:space="0" w:color="auto"/>
        <w:left w:val="none" w:sz="0" w:space="0" w:color="auto"/>
        <w:bottom w:val="none" w:sz="0" w:space="0" w:color="auto"/>
        <w:right w:val="none" w:sz="0" w:space="0" w:color="auto"/>
      </w:divBdr>
    </w:div>
    <w:div w:id="296836152">
      <w:bodyDiv w:val="1"/>
      <w:marLeft w:val="0"/>
      <w:marRight w:val="0"/>
      <w:marTop w:val="0"/>
      <w:marBottom w:val="0"/>
      <w:divBdr>
        <w:top w:val="none" w:sz="0" w:space="0" w:color="auto"/>
        <w:left w:val="none" w:sz="0" w:space="0" w:color="auto"/>
        <w:bottom w:val="none" w:sz="0" w:space="0" w:color="auto"/>
        <w:right w:val="none" w:sz="0" w:space="0" w:color="auto"/>
      </w:divBdr>
    </w:div>
    <w:div w:id="296838021">
      <w:bodyDiv w:val="1"/>
      <w:marLeft w:val="0"/>
      <w:marRight w:val="0"/>
      <w:marTop w:val="0"/>
      <w:marBottom w:val="0"/>
      <w:divBdr>
        <w:top w:val="none" w:sz="0" w:space="0" w:color="auto"/>
        <w:left w:val="none" w:sz="0" w:space="0" w:color="auto"/>
        <w:bottom w:val="none" w:sz="0" w:space="0" w:color="auto"/>
        <w:right w:val="none" w:sz="0" w:space="0" w:color="auto"/>
      </w:divBdr>
    </w:div>
    <w:div w:id="323238975">
      <w:bodyDiv w:val="1"/>
      <w:marLeft w:val="0"/>
      <w:marRight w:val="0"/>
      <w:marTop w:val="0"/>
      <w:marBottom w:val="0"/>
      <w:divBdr>
        <w:top w:val="none" w:sz="0" w:space="0" w:color="auto"/>
        <w:left w:val="none" w:sz="0" w:space="0" w:color="auto"/>
        <w:bottom w:val="none" w:sz="0" w:space="0" w:color="auto"/>
        <w:right w:val="none" w:sz="0" w:space="0" w:color="auto"/>
      </w:divBdr>
    </w:div>
    <w:div w:id="332536345">
      <w:bodyDiv w:val="1"/>
      <w:marLeft w:val="0"/>
      <w:marRight w:val="0"/>
      <w:marTop w:val="0"/>
      <w:marBottom w:val="0"/>
      <w:divBdr>
        <w:top w:val="none" w:sz="0" w:space="0" w:color="auto"/>
        <w:left w:val="none" w:sz="0" w:space="0" w:color="auto"/>
        <w:bottom w:val="none" w:sz="0" w:space="0" w:color="auto"/>
        <w:right w:val="none" w:sz="0" w:space="0" w:color="auto"/>
      </w:divBdr>
    </w:div>
    <w:div w:id="335693265">
      <w:bodyDiv w:val="1"/>
      <w:marLeft w:val="0"/>
      <w:marRight w:val="0"/>
      <w:marTop w:val="0"/>
      <w:marBottom w:val="0"/>
      <w:divBdr>
        <w:top w:val="none" w:sz="0" w:space="0" w:color="auto"/>
        <w:left w:val="none" w:sz="0" w:space="0" w:color="auto"/>
        <w:bottom w:val="none" w:sz="0" w:space="0" w:color="auto"/>
        <w:right w:val="none" w:sz="0" w:space="0" w:color="auto"/>
      </w:divBdr>
    </w:div>
    <w:div w:id="337581717">
      <w:bodyDiv w:val="1"/>
      <w:marLeft w:val="0"/>
      <w:marRight w:val="0"/>
      <w:marTop w:val="0"/>
      <w:marBottom w:val="0"/>
      <w:divBdr>
        <w:top w:val="none" w:sz="0" w:space="0" w:color="auto"/>
        <w:left w:val="none" w:sz="0" w:space="0" w:color="auto"/>
        <w:bottom w:val="none" w:sz="0" w:space="0" w:color="auto"/>
        <w:right w:val="none" w:sz="0" w:space="0" w:color="auto"/>
      </w:divBdr>
    </w:div>
    <w:div w:id="338393753">
      <w:bodyDiv w:val="1"/>
      <w:marLeft w:val="0"/>
      <w:marRight w:val="0"/>
      <w:marTop w:val="0"/>
      <w:marBottom w:val="0"/>
      <w:divBdr>
        <w:top w:val="none" w:sz="0" w:space="0" w:color="auto"/>
        <w:left w:val="none" w:sz="0" w:space="0" w:color="auto"/>
        <w:bottom w:val="none" w:sz="0" w:space="0" w:color="auto"/>
        <w:right w:val="none" w:sz="0" w:space="0" w:color="auto"/>
      </w:divBdr>
      <w:divsChild>
        <w:div w:id="1224947840">
          <w:marLeft w:val="0"/>
          <w:marRight w:val="0"/>
          <w:marTop w:val="0"/>
          <w:marBottom w:val="0"/>
          <w:divBdr>
            <w:top w:val="none" w:sz="0" w:space="0" w:color="auto"/>
            <w:left w:val="none" w:sz="0" w:space="0" w:color="auto"/>
            <w:bottom w:val="none" w:sz="0" w:space="0" w:color="auto"/>
            <w:right w:val="none" w:sz="0" w:space="0" w:color="auto"/>
          </w:divBdr>
          <w:divsChild>
            <w:div w:id="1780679599">
              <w:marLeft w:val="0"/>
              <w:marRight w:val="0"/>
              <w:marTop w:val="0"/>
              <w:marBottom w:val="0"/>
              <w:divBdr>
                <w:top w:val="none" w:sz="0" w:space="0" w:color="auto"/>
                <w:left w:val="none" w:sz="0" w:space="0" w:color="auto"/>
                <w:bottom w:val="none" w:sz="0" w:space="0" w:color="auto"/>
                <w:right w:val="none" w:sz="0" w:space="0" w:color="auto"/>
              </w:divBdr>
              <w:divsChild>
                <w:div w:id="313485355">
                  <w:marLeft w:val="0"/>
                  <w:marRight w:val="0"/>
                  <w:marTop w:val="0"/>
                  <w:marBottom w:val="0"/>
                  <w:divBdr>
                    <w:top w:val="none" w:sz="0" w:space="0" w:color="auto"/>
                    <w:left w:val="none" w:sz="0" w:space="0" w:color="auto"/>
                    <w:bottom w:val="none" w:sz="0" w:space="0" w:color="auto"/>
                    <w:right w:val="none" w:sz="0" w:space="0" w:color="auto"/>
                  </w:divBdr>
                  <w:divsChild>
                    <w:div w:id="265382466">
                      <w:marLeft w:val="0"/>
                      <w:marRight w:val="0"/>
                      <w:marTop w:val="0"/>
                      <w:marBottom w:val="0"/>
                      <w:divBdr>
                        <w:top w:val="none" w:sz="0" w:space="0" w:color="auto"/>
                        <w:left w:val="none" w:sz="0" w:space="0" w:color="auto"/>
                        <w:bottom w:val="none" w:sz="0" w:space="0" w:color="auto"/>
                        <w:right w:val="none" w:sz="0" w:space="0" w:color="auto"/>
                      </w:divBdr>
                      <w:divsChild>
                        <w:div w:id="176360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473993">
          <w:marLeft w:val="0"/>
          <w:marRight w:val="0"/>
          <w:marTop w:val="0"/>
          <w:marBottom w:val="0"/>
          <w:divBdr>
            <w:top w:val="none" w:sz="0" w:space="0" w:color="auto"/>
            <w:left w:val="none" w:sz="0" w:space="0" w:color="auto"/>
            <w:bottom w:val="none" w:sz="0" w:space="0" w:color="auto"/>
            <w:right w:val="none" w:sz="0" w:space="0" w:color="auto"/>
          </w:divBdr>
          <w:divsChild>
            <w:div w:id="2070566426">
              <w:marLeft w:val="0"/>
              <w:marRight w:val="0"/>
              <w:marTop w:val="0"/>
              <w:marBottom w:val="0"/>
              <w:divBdr>
                <w:top w:val="none" w:sz="0" w:space="0" w:color="auto"/>
                <w:left w:val="none" w:sz="0" w:space="0" w:color="auto"/>
                <w:bottom w:val="none" w:sz="0" w:space="0" w:color="auto"/>
                <w:right w:val="none" w:sz="0" w:space="0" w:color="auto"/>
              </w:divBdr>
              <w:divsChild>
                <w:div w:id="78905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303449">
      <w:bodyDiv w:val="1"/>
      <w:marLeft w:val="0"/>
      <w:marRight w:val="0"/>
      <w:marTop w:val="0"/>
      <w:marBottom w:val="0"/>
      <w:divBdr>
        <w:top w:val="none" w:sz="0" w:space="0" w:color="auto"/>
        <w:left w:val="none" w:sz="0" w:space="0" w:color="auto"/>
        <w:bottom w:val="none" w:sz="0" w:space="0" w:color="auto"/>
        <w:right w:val="none" w:sz="0" w:space="0" w:color="auto"/>
      </w:divBdr>
    </w:div>
    <w:div w:id="351955956">
      <w:bodyDiv w:val="1"/>
      <w:marLeft w:val="0"/>
      <w:marRight w:val="0"/>
      <w:marTop w:val="0"/>
      <w:marBottom w:val="0"/>
      <w:divBdr>
        <w:top w:val="none" w:sz="0" w:space="0" w:color="auto"/>
        <w:left w:val="none" w:sz="0" w:space="0" w:color="auto"/>
        <w:bottom w:val="none" w:sz="0" w:space="0" w:color="auto"/>
        <w:right w:val="none" w:sz="0" w:space="0" w:color="auto"/>
      </w:divBdr>
    </w:div>
    <w:div w:id="355467479">
      <w:bodyDiv w:val="1"/>
      <w:marLeft w:val="0"/>
      <w:marRight w:val="0"/>
      <w:marTop w:val="0"/>
      <w:marBottom w:val="0"/>
      <w:divBdr>
        <w:top w:val="none" w:sz="0" w:space="0" w:color="auto"/>
        <w:left w:val="none" w:sz="0" w:space="0" w:color="auto"/>
        <w:bottom w:val="none" w:sz="0" w:space="0" w:color="auto"/>
        <w:right w:val="none" w:sz="0" w:space="0" w:color="auto"/>
      </w:divBdr>
    </w:div>
    <w:div w:id="356079179">
      <w:bodyDiv w:val="1"/>
      <w:marLeft w:val="0"/>
      <w:marRight w:val="0"/>
      <w:marTop w:val="0"/>
      <w:marBottom w:val="0"/>
      <w:divBdr>
        <w:top w:val="none" w:sz="0" w:space="0" w:color="auto"/>
        <w:left w:val="none" w:sz="0" w:space="0" w:color="auto"/>
        <w:bottom w:val="none" w:sz="0" w:space="0" w:color="auto"/>
        <w:right w:val="none" w:sz="0" w:space="0" w:color="auto"/>
      </w:divBdr>
      <w:divsChild>
        <w:div w:id="1514414309">
          <w:marLeft w:val="0"/>
          <w:marRight w:val="0"/>
          <w:marTop w:val="0"/>
          <w:marBottom w:val="0"/>
          <w:divBdr>
            <w:top w:val="none" w:sz="0" w:space="0" w:color="auto"/>
            <w:left w:val="none" w:sz="0" w:space="0" w:color="auto"/>
            <w:bottom w:val="none" w:sz="0" w:space="0" w:color="auto"/>
            <w:right w:val="none" w:sz="0" w:space="0" w:color="auto"/>
          </w:divBdr>
          <w:divsChild>
            <w:div w:id="1734426083">
              <w:marLeft w:val="0"/>
              <w:marRight w:val="0"/>
              <w:marTop w:val="0"/>
              <w:marBottom w:val="0"/>
              <w:divBdr>
                <w:top w:val="none" w:sz="0" w:space="0" w:color="auto"/>
                <w:left w:val="none" w:sz="0" w:space="0" w:color="auto"/>
                <w:bottom w:val="none" w:sz="0" w:space="0" w:color="auto"/>
                <w:right w:val="none" w:sz="0" w:space="0" w:color="auto"/>
              </w:divBdr>
              <w:divsChild>
                <w:div w:id="1441602031">
                  <w:marLeft w:val="0"/>
                  <w:marRight w:val="0"/>
                  <w:marTop w:val="0"/>
                  <w:marBottom w:val="0"/>
                  <w:divBdr>
                    <w:top w:val="none" w:sz="0" w:space="0" w:color="auto"/>
                    <w:left w:val="none" w:sz="0" w:space="0" w:color="auto"/>
                    <w:bottom w:val="none" w:sz="0" w:space="0" w:color="auto"/>
                    <w:right w:val="none" w:sz="0" w:space="0" w:color="auto"/>
                  </w:divBdr>
                  <w:divsChild>
                    <w:div w:id="330178077">
                      <w:marLeft w:val="0"/>
                      <w:marRight w:val="0"/>
                      <w:marTop w:val="0"/>
                      <w:marBottom w:val="0"/>
                      <w:divBdr>
                        <w:top w:val="none" w:sz="0" w:space="0" w:color="auto"/>
                        <w:left w:val="none" w:sz="0" w:space="0" w:color="auto"/>
                        <w:bottom w:val="none" w:sz="0" w:space="0" w:color="auto"/>
                        <w:right w:val="none" w:sz="0" w:space="0" w:color="auto"/>
                      </w:divBdr>
                      <w:divsChild>
                        <w:div w:id="209331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7659078">
      <w:bodyDiv w:val="1"/>
      <w:marLeft w:val="0"/>
      <w:marRight w:val="0"/>
      <w:marTop w:val="0"/>
      <w:marBottom w:val="0"/>
      <w:divBdr>
        <w:top w:val="none" w:sz="0" w:space="0" w:color="auto"/>
        <w:left w:val="none" w:sz="0" w:space="0" w:color="auto"/>
        <w:bottom w:val="none" w:sz="0" w:space="0" w:color="auto"/>
        <w:right w:val="none" w:sz="0" w:space="0" w:color="auto"/>
      </w:divBdr>
    </w:div>
    <w:div w:id="358167794">
      <w:bodyDiv w:val="1"/>
      <w:marLeft w:val="0"/>
      <w:marRight w:val="0"/>
      <w:marTop w:val="0"/>
      <w:marBottom w:val="0"/>
      <w:divBdr>
        <w:top w:val="none" w:sz="0" w:space="0" w:color="auto"/>
        <w:left w:val="none" w:sz="0" w:space="0" w:color="auto"/>
        <w:bottom w:val="none" w:sz="0" w:space="0" w:color="auto"/>
        <w:right w:val="none" w:sz="0" w:space="0" w:color="auto"/>
      </w:divBdr>
    </w:div>
    <w:div w:id="366295164">
      <w:bodyDiv w:val="1"/>
      <w:marLeft w:val="0"/>
      <w:marRight w:val="0"/>
      <w:marTop w:val="0"/>
      <w:marBottom w:val="0"/>
      <w:divBdr>
        <w:top w:val="none" w:sz="0" w:space="0" w:color="auto"/>
        <w:left w:val="none" w:sz="0" w:space="0" w:color="auto"/>
        <w:bottom w:val="none" w:sz="0" w:space="0" w:color="auto"/>
        <w:right w:val="none" w:sz="0" w:space="0" w:color="auto"/>
      </w:divBdr>
    </w:div>
    <w:div w:id="366492952">
      <w:bodyDiv w:val="1"/>
      <w:marLeft w:val="0"/>
      <w:marRight w:val="0"/>
      <w:marTop w:val="0"/>
      <w:marBottom w:val="0"/>
      <w:divBdr>
        <w:top w:val="none" w:sz="0" w:space="0" w:color="auto"/>
        <w:left w:val="none" w:sz="0" w:space="0" w:color="auto"/>
        <w:bottom w:val="none" w:sz="0" w:space="0" w:color="auto"/>
        <w:right w:val="none" w:sz="0" w:space="0" w:color="auto"/>
      </w:divBdr>
    </w:div>
    <w:div w:id="375475914">
      <w:bodyDiv w:val="1"/>
      <w:marLeft w:val="0"/>
      <w:marRight w:val="0"/>
      <w:marTop w:val="0"/>
      <w:marBottom w:val="0"/>
      <w:divBdr>
        <w:top w:val="none" w:sz="0" w:space="0" w:color="auto"/>
        <w:left w:val="none" w:sz="0" w:space="0" w:color="auto"/>
        <w:bottom w:val="none" w:sz="0" w:space="0" w:color="auto"/>
        <w:right w:val="none" w:sz="0" w:space="0" w:color="auto"/>
      </w:divBdr>
    </w:div>
    <w:div w:id="380519972">
      <w:bodyDiv w:val="1"/>
      <w:marLeft w:val="0"/>
      <w:marRight w:val="0"/>
      <w:marTop w:val="0"/>
      <w:marBottom w:val="0"/>
      <w:divBdr>
        <w:top w:val="none" w:sz="0" w:space="0" w:color="auto"/>
        <w:left w:val="none" w:sz="0" w:space="0" w:color="auto"/>
        <w:bottom w:val="none" w:sz="0" w:space="0" w:color="auto"/>
        <w:right w:val="none" w:sz="0" w:space="0" w:color="auto"/>
      </w:divBdr>
    </w:div>
    <w:div w:id="391584998">
      <w:bodyDiv w:val="1"/>
      <w:marLeft w:val="0"/>
      <w:marRight w:val="0"/>
      <w:marTop w:val="0"/>
      <w:marBottom w:val="0"/>
      <w:divBdr>
        <w:top w:val="none" w:sz="0" w:space="0" w:color="auto"/>
        <w:left w:val="none" w:sz="0" w:space="0" w:color="auto"/>
        <w:bottom w:val="none" w:sz="0" w:space="0" w:color="auto"/>
        <w:right w:val="none" w:sz="0" w:space="0" w:color="auto"/>
      </w:divBdr>
    </w:div>
    <w:div w:id="401680354">
      <w:bodyDiv w:val="1"/>
      <w:marLeft w:val="0"/>
      <w:marRight w:val="0"/>
      <w:marTop w:val="0"/>
      <w:marBottom w:val="0"/>
      <w:divBdr>
        <w:top w:val="none" w:sz="0" w:space="0" w:color="auto"/>
        <w:left w:val="none" w:sz="0" w:space="0" w:color="auto"/>
        <w:bottom w:val="none" w:sz="0" w:space="0" w:color="auto"/>
        <w:right w:val="none" w:sz="0" w:space="0" w:color="auto"/>
      </w:divBdr>
    </w:div>
    <w:div w:id="405998356">
      <w:bodyDiv w:val="1"/>
      <w:marLeft w:val="0"/>
      <w:marRight w:val="0"/>
      <w:marTop w:val="0"/>
      <w:marBottom w:val="0"/>
      <w:divBdr>
        <w:top w:val="none" w:sz="0" w:space="0" w:color="auto"/>
        <w:left w:val="none" w:sz="0" w:space="0" w:color="auto"/>
        <w:bottom w:val="none" w:sz="0" w:space="0" w:color="auto"/>
        <w:right w:val="none" w:sz="0" w:space="0" w:color="auto"/>
      </w:divBdr>
    </w:div>
    <w:div w:id="406150350">
      <w:bodyDiv w:val="1"/>
      <w:marLeft w:val="0"/>
      <w:marRight w:val="0"/>
      <w:marTop w:val="0"/>
      <w:marBottom w:val="0"/>
      <w:divBdr>
        <w:top w:val="none" w:sz="0" w:space="0" w:color="auto"/>
        <w:left w:val="none" w:sz="0" w:space="0" w:color="auto"/>
        <w:bottom w:val="none" w:sz="0" w:space="0" w:color="auto"/>
        <w:right w:val="none" w:sz="0" w:space="0" w:color="auto"/>
      </w:divBdr>
    </w:div>
    <w:div w:id="418723520">
      <w:bodyDiv w:val="1"/>
      <w:marLeft w:val="0"/>
      <w:marRight w:val="0"/>
      <w:marTop w:val="0"/>
      <w:marBottom w:val="0"/>
      <w:divBdr>
        <w:top w:val="none" w:sz="0" w:space="0" w:color="auto"/>
        <w:left w:val="none" w:sz="0" w:space="0" w:color="auto"/>
        <w:bottom w:val="none" w:sz="0" w:space="0" w:color="auto"/>
        <w:right w:val="none" w:sz="0" w:space="0" w:color="auto"/>
      </w:divBdr>
      <w:divsChild>
        <w:div w:id="116872412">
          <w:marLeft w:val="0"/>
          <w:marRight w:val="0"/>
          <w:marTop w:val="0"/>
          <w:marBottom w:val="0"/>
          <w:divBdr>
            <w:top w:val="none" w:sz="0" w:space="0" w:color="auto"/>
            <w:left w:val="none" w:sz="0" w:space="0" w:color="auto"/>
            <w:bottom w:val="none" w:sz="0" w:space="0" w:color="auto"/>
            <w:right w:val="none" w:sz="0" w:space="0" w:color="auto"/>
          </w:divBdr>
          <w:divsChild>
            <w:div w:id="610475133">
              <w:marLeft w:val="0"/>
              <w:marRight w:val="0"/>
              <w:marTop w:val="0"/>
              <w:marBottom w:val="0"/>
              <w:divBdr>
                <w:top w:val="none" w:sz="0" w:space="0" w:color="auto"/>
                <w:left w:val="none" w:sz="0" w:space="0" w:color="auto"/>
                <w:bottom w:val="none" w:sz="0" w:space="0" w:color="auto"/>
                <w:right w:val="none" w:sz="0" w:space="0" w:color="auto"/>
              </w:divBdr>
              <w:divsChild>
                <w:div w:id="644939877">
                  <w:marLeft w:val="0"/>
                  <w:marRight w:val="0"/>
                  <w:marTop w:val="0"/>
                  <w:marBottom w:val="0"/>
                  <w:divBdr>
                    <w:top w:val="none" w:sz="0" w:space="0" w:color="auto"/>
                    <w:left w:val="none" w:sz="0" w:space="0" w:color="auto"/>
                    <w:bottom w:val="none" w:sz="0" w:space="0" w:color="auto"/>
                    <w:right w:val="none" w:sz="0" w:space="0" w:color="auto"/>
                  </w:divBdr>
                  <w:divsChild>
                    <w:div w:id="694581741">
                      <w:marLeft w:val="0"/>
                      <w:marRight w:val="0"/>
                      <w:marTop w:val="0"/>
                      <w:marBottom w:val="0"/>
                      <w:divBdr>
                        <w:top w:val="none" w:sz="0" w:space="0" w:color="auto"/>
                        <w:left w:val="none" w:sz="0" w:space="0" w:color="auto"/>
                        <w:bottom w:val="none" w:sz="0" w:space="0" w:color="auto"/>
                        <w:right w:val="none" w:sz="0" w:space="0" w:color="auto"/>
                      </w:divBdr>
                      <w:divsChild>
                        <w:div w:id="6088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654455">
              <w:marLeft w:val="0"/>
              <w:marRight w:val="0"/>
              <w:marTop w:val="0"/>
              <w:marBottom w:val="0"/>
              <w:divBdr>
                <w:top w:val="none" w:sz="0" w:space="0" w:color="auto"/>
                <w:left w:val="none" w:sz="0" w:space="0" w:color="auto"/>
                <w:bottom w:val="none" w:sz="0" w:space="0" w:color="auto"/>
                <w:right w:val="none" w:sz="0" w:space="0" w:color="auto"/>
              </w:divBdr>
              <w:divsChild>
                <w:div w:id="1347949388">
                  <w:marLeft w:val="0"/>
                  <w:marRight w:val="0"/>
                  <w:marTop w:val="0"/>
                  <w:marBottom w:val="0"/>
                  <w:divBdr>
                    <w:top w:val="none" w:sz="0" w:space="0" w:color="auto"/>
                    <w:left w:val="none" w:sz="0" w:space="0" w:color="auto"/>
                    <w:bottom w:val="none" w:sz="0" w:space="0" w:color="auto"/>
                    <w:right w:val="none" w:sz="0" w:space="0" w:color="auto"/>
                  </w:divBdr>
                  <w:divsChild>
                    <w:div w:id="1853570525">
                      <w:marLeft w:val="0"/>
                      <w:marRight w:val="0"/>
                      <w:marTop w:val="0"/>
                      <w:marBottom w:val="0"/>
                      <w:divBdr>
                        <w:top w:val="none" w:sz="0" w:space="0" w:color="auto"/>
                        <w:left w:val="none" w:sz="0" w:space="0" w:color="auto"/>
                        <w:bottom w:val="none" w:sz="0" w:space="0" w:color="auto"/>
                        <w:right w:val="none" w:sz="0" w:space="0" w:color="auto"/>
                      </w:divBdr>
                      <w:divsChild>
                        <w:div w:id="48990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817185">
          <w:marLeft w:val="0"/>
          <w:marRight w:val="0"/>
          <w:marTop w:val="0"/>
          <w:marBottom w:val="0"/>
          <w:divBdr>
            <w:top w:val="none" w:sz="0" w:space="0" w:color="auto"/>
            <w:left w:val="none" w:sz="0" w:space="0" w:color="auto"/>
            <w:bottom w:val="none" w:sz="0" w:space="0" w:color="auto"/>
            <w:right w:val="none" w:sz="0" w:space="0" w:color="auto"/>
          </w:divBdr>
          <w:divsChild>
            <w:div w:id="1386370885">
              <w:marLeft w:val="0"/>
              <w:marRight w:val="0"/>
              <w:marTop w:val="0"/>
              <w:marBottom w:val="0"/>
              <w:divBdr>
                <w:top w:val="none" w:sz="0" w:space="0" w:color="auto"/>
                <w:left w:val="none" w:sz="0" w:space="0" w:color="auto"/>
                <w:bottom w:val="none" w:sz="0" w:space="0" w:color="auto"/>
                <w:right w:val="none" w:sz="0" w:space="0" w:color="auto"/>
              </w:divBdr>
              <w:divsChild>
                <w:div w:id="874004039">
                  <w:marLeft w:val="0"/>
                  <w:marRight w:val="0"/>
                  <w:marTop w:val="0"/>
                  <w:marBottom w:val="0"/>
                  <w:divBdr>
                    <w:top w:val="none" w:sz="0" w:space="0" w:color="auto"/>
                    <w:left w:val="none" w:sz="0" w:space="0" w:color="auto"/>
                    <w:bottom w:val="none" w:sz="0" w:space="0" w:color="auto"/>
                    <w:right w:val="none" w:sz="0" w:space="0" w:color="auto"/>
                  </w:divBdr>
                  <w:divsChild>
                    <w:div w:id="1768427249">
                      <w:marLeft w:val="0"/>
                      <w:marRight w:val="0"/>
                      <w:marTop w:val="0"/>
                      <w:marBottom w:val="0"/>
                      <w:divBdr>
                        <w:top w:val="none" w:sz="0" w:space="0" w:color="auto"/>
                        <w:left w:val="none" w:sz="0" w:space="0" w:color="auto"/>
                        <w:bottom w:val="none" w:sz="0" w:space="0" w:color="auto"/>
                        <w:right w:val="none" w:sz="0" w:space="0" w:color="auto"/>
                      </w:divBdr>
                      <w:divsChild>
                        <w:div w:id="94038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3501941">
      <w:bodyDiv w:val="1"/>
      <w:marLeft w:val="0"/>
      <w:marRight w:val="0"/>
      <w:marTop w:val="0"/>
      <w:marBottom w:val="0"/>
      <w:divBdr>
        <w:top w:val="none" w:sz="0" w:space="0" w:color="auto"/>
        <w:left w:val="none" w:sz="0" w:space="0" w:color="auto"/>
        <w:bottom w:val="none" w:sz="0" w:space="0" w:color="auto"/>
        <w:right w:val="none" w:sz="0" w:space="0" w:color="auto"/>
      </w:divBdr>
    </w:div>
    <w:div w:id="425273816">
      <w:bodyDiv w:val="1"/>
      <w:marLeft w:val="0"/>
      <w:marRight w:val="0"/>
      <w:marTop w:val="0"/>
      <w:marBottom w:val="0"/>
      <w:divBdr>
        <w:top w:val="none" w:sz="0" w:space="0" w:color="auto"/>
        <w:left w:val="none" w:sz="0" w:space="0" w:color="auto"/>
        <w:bottom w:val="none" w:sz="0" w:space="0" w:color="auto"/>
        <w:right w:val="none" w:sz="0" w:space="0" w:color="auto"/>
      </w:divBdr>
    </w:div>
    <w:div w:id="450127769">
      <w:bodyDiv w:val="1"/>
      <w:marLeft w:val="0"/>
      <w:marRight w:val="0"/>
      <w:marTop w:val="0"/>
      <w:marBottom w:val="0"/>
      <w:divBdr>
        <w:top w:val="none" w:sz="0" w:space="0" w:color="auto"/>
        <w:left w:val="none" w:sz="0" w:space="0" w:color="auto"/>
        <w:bottom w:val="none" w:sz="0" w:space="0" w:color="auto"/>
        <w:right w:val="none" w:sz="0" w:space="0" w:color="auto"/>
      </w:divBdr>
    </w:div>
    <w:div w:id="452594950">
      <w:bodyDiv w:val="1"/>
      <w:marLeft w:val="0"/>
      <w:marRight w:val="0"/>
      <w:marTop w:val="0"/>
      <w:marBottom w:val="0"/>
      <w:divBdr>
        <w:top w:val="none" w:sz="0" w:space="0" w:color="auto"/>
        <w:left w:val="none" w:sz="0" w:space="0" w:color="auto"/>
        <w:bottom w:val="none" w:sz="0" w:space="0" w:color="auto"/>
        <w:right w:val="none" w:sz="0" w:space="0" w:color="auto"/>
      </w:divBdr>
    </w:div>
    <w:div w:id="463085412">
      <w:bodyDiv w:val="1"/>
      <w:marLeft w:val="0"/>
      <w:marRight w:val="0"/>
      <w:marTop w:val="0"/>
      <w:marBottom w:val="0"/>
      <w:divBdr>
        <w:top w:val="none" w:sz="0" w:space="0" w:color="auto"/>
        <w:left w:val="none" w:sz="0" w:space="0" w:color="auto"/>
        <w:bottom w:val="none" w:sz="0" w:space="0" w:color="auto"/>
        <w:right w:val="none" w:sz="0" w:space="0" w:color="auto"/>
      </w:divBdr>
    </w:div>
    <w:div w:id="464737156">
      <w:bodyDiv w:val="1"/>
      <w:marLeft w:val="0"/>
      <w:marRight w:val="0"/>
      <w:marTop w:val="0"/>
      <w:marBottom w:val="0"/>
      <w:divBdr>
        <w:top w:val="none" w:sz="0" w:space="0" w:color="auto"/>
        <w:left w:val="none" w:sz="0" w:space="0" w:color="auto"/>
        <w:bottom w:val="none" w:sz="0" w:space="0" w:color="auto"/>
        <w:right w:val="none" w:sz="0" w:space="0" w:color="auto"/>
      </w:divBdr>
    </w:div>
    <w:div w:id="468286689">
      <w:bodyDiv w:val="1"/>
      <w:marLeft w:val="0"/>
      <w:marRight w:val="0"/>
      <w:marTop w:val="0"/>
      <w:marBottom w:val="0"/>
      <w:divBdr>
        <w:top w:val="none" w:sz="0" w:space="0" w:color="auto"/>
        <w:left w:val="none" w:sz="0" w:space="0" w:color="auto"/>
        <w:bottom w:val="none" w:sz="0" w:space="0" w:color="auto"/>
        <w:right w:val="none" w:sz="0" w:space="0" w:color="auto"/>
      </w:divBdr>
    </w:div>
    <w:div w:id="474374282">
      <w:bodyDiv w:val="1"/>
      <w:marLeft w:val="0"/>
      <w:marRight w:val="0"/>
      <w:marTop w:val="0"/>
      <w:marBottom w:val="0"/>
      <w:divBdr>
        <w:top w:val="none" w:sz="0" w:space="0" w:color="auto"/>
        <w:left w:val="none" w:sz="0" w:space="0" w:color="auto"/>
        <w:bottom w:val="none" w:sz="0" w:space="0" w:color="auto"/>
        <w:right w:val="none" w:sz="0" w:space="0" w:color="auto"/>
      </w:divBdr>
    </w:div>
    <w:div w:id="478108267">
      <w:bodyDiv w:val="1"/>
      <w:marLeft w:val="0"/>
      <w:marRight w:val="0"/>
      <w:marTop w:val="0"/>
      <w:marBottom w:val="0"/>
      <w:divBdr>
        <w:top w:val="none" w:sz="0" w:space="0" w:color="auto"/>
        <w:left w:val="none" w:sz="0" w:space="0" w:color="auto"/>
        <w:bottom w:val="none" w:sz="0" w:space="0" w:color="auto"/>
        <w:right w:val="none" w:sz="0" w:space="0" w:color="auto"/>
      </w:divBdr>
    </w:div>
    <w:div w:id="480999544">
      <w:bodyDiv w:val="1"/>
      <w:marLeft w:val="0"/>
      <w:marRight w:val="0"/>
      <w:marTop w:val="0"/>
      <w:marBottom w:val="0"/>
      <w:divBdr>
        <w:top w:val="none" w:sz="0" w:space="0" w:color="auto"/>
        <w:left w:val="none" w:sz="0" w:space="0" w:color="auto"/>
        <w:bottom w:val="none" w:sz="0" w:space="0" w:color="auto"/>
        <w:right w:val="none" w:sz="0" w:space="0" w:color="auto"/>
      </w:divBdr>
    </w:div>
    <w:div w:id="484473860">
      <w:bodyDiv w:val="1"/>
      <w:marLeft w:val="0"/>
      <w:marRight w:val="0"/>
      <w:marTop w:val="0"/>
      <w:marBottom w:val="0"/>
      <w:divBdr>
        <w:top w:val="none" w:sz="0" w:space="0" w:color="auto"/>
        <w:left w:val="none" w:sz="0" w:space="0" w:color="auto"/>
        <w:bottom w:val="none" w:sz="0" w:space="0" w:color="auto"/>
        <w:right w:val="none" w:sz="0" w:space="0" w:color="auto"/>
      </w:divBdr>
      <w:divsChild>
        <w:div w:id="271860578">
          <w:marLeft w:val="0"/>
          <w:marRight w:val="0"/>
          <w:marTop w:val="0"/>
          <w:marBottom w:val="0"/>
          <w:divBdr>
            <w:top w:val="none" w:sz="0" w:space="0" w:color="auto"/>
            <w:left w:val="none" w:sz="0" w:space="0" w:color="auto"/>
            <w:bottom w:val="none" w:sz="0" w:space="0" w:color="auto"/>
            <w:right w:val="none" w:sz="0" w:space="0" w:color="auto"/>
          </w:divBdr>
          <w:divsChild>
            <w:div w:id="124547714">
              <w:marLeft w:val="0"/>
              <w:marRight w:val="0"/>
              <w:marTop w:val="0"/>
              <w:marBottom w:val="0"/>
              <w:divBdr>
                <w:top w:val="none" w:sz="0" w:space="0" w:color="auto"/>
                <w:left w:val="none" w:sz="0" w:space="0" w:color="auto"/>
                <w:bottom w:val="none" w:sz="0" w:space="0" w:color="auto"/>
                <w:right w:val="none" w:sz="0" w:space="0" w:color="auto"/>
              </w:divBdr>
              <w:divsChild>
                <w:div w:id="819342196">
                  <w:marLeft w:val="0"/>
                  <w:marRight w:val="0"/>
                  <w:marTop w:val="0"/>
                  <w:marBottom w:val="0"/>
                  <w:divBdr>
                    <w:top w:val="none" w:sz="0" w:space="0" w:color="auto"/>
                    <w:left w:val="none" w:sz="0" w:space="0" w:color="auto"/>
                    <w:bottom w:val="none" w:sz="0" w:space="0" w:color="auto"/>
                    <w:right w:val="none" w:sz="0" w:space="0" w:color="auto"/>
                  </w:divBdr>
                  <w:divsChild>
                    <w:div w:id="161748104">
                      <w:marLeft w:val="0"/>
                      <w:marRight w:val="0"/>
                      <w:marTop w:val="0"/>
                      <w:marBottom w:val="0"/>
                      <w:divBdr>
                        <w:top w:val="none" w:sz="0" w:space="0" w:color="auto"/>
                        <w:left w:val="none" w:sz="0" w:space="0" w:color="auto"/>
                        <w:bottom w:val="none" w:sz="0" w:space="0" w:color="auto"/>
                        <w:right w:val="none" w:sz="0" w:space="0" w:color="auto"/>
                      </w:divBdr>
                      <w:divsChild>
                        <w:div w:id="83880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6172175">
      <w:bodyDiv w:val="1"/>
      <w:marLeft w:val="0"/>
      <w:marRight w:val="0"/>
      <w:marTop w:val="0"/>
      <w:marBottom w:val="0"/>
      <w:divBdr>
        <w:top w:val="none" w:sz="0" w:space="0" w:color="auto"/>
        <w:left w:val="none" w:sz="0" w:space="0" w:color="auto"/>
        <w:bottom w:val="none" w:sz="0" w:space="0" w:color="auto"/>
        <w:right w:val="none" w:sz="0" w:space="0" w:color="auto"/>
      </w:divBdr>
    </w:div>
    <w:div w:id="495848409">
      <w:bodyDiv w:val="1"/>
      <w:marLeft w:val="0"/>
      <w:marRight w:val="0"/>
      <w:marTop w:val="0"/>
      <w:marBottom w:val="0"/>
      <w:divBdr>
        <w:top w:val="none" w:sz="0" w:space="0" w:color="auto"/>
        <w:left w:val="none" w:sz="0" w:space="0" w:color="auto"/>
        <w:bottom w:val="none" w:sz="0" w:space="0" w:color="auto"/>
        <w:right w:val="none" w:sz="0" w:space="0" w:color="auto"/>
      </w:divBdr>
    </w:div>
    <w:div w:id="497381113">
      <w:bodyDiv w:val="1"/>
      <w:marLeft w:val="0"/>
      <w:marRight w:val="0"/>
      <w:marTop w:val="0"/>
      <w:marBottom w:val="0"/>
      <w:divBdr>
        <w:top w:val="none" w:sz="0" w:space="0" w:color="auto"/>
        <w:left w:val="none" w:sz="0" w:space="0" w:color="auto"/>
        <w:bottom w:val="none" w:sz="0" w:space="0" w:color="auto"/>
        <w:right w:val="none" w:sz="0" w:space="0" w:color="auto"/>
      </w:divBdr>
    </w:div>
    <w:div w:id="499661843">
      <w:bodyDiv w:val="1"/>
      <w:marLeft w:val="0"/>
      <w:marRight w:val="0"/>
      <w:marTop w:val="0"/>
      <w:marBottom w:val="0"/>
      <w:divBdr>
        <w:top w:val="none" w:sz="0" w:space="0" w:color="auto"/>
        <w:left w:val="none" w:sz="0" w:space="0" w:color="auto"/>
        <w:bottom w:val="none" w:sz="0" w:space="0" w:color="auto"/>
        <w:right w:val="none" w:sz="0" w:space="0" w:color="auto"/>
      </w:divBdr>
    </w:div>
    <w:div w:id="502476783">
      <w:bodyDiv w:val="1"/>
      <w:marLeft w:val="0"/>
      <w:marRight w:val="0"/>
      <w:marTop w:val="0"/>
      <w:marBottom w:val="0"/>
      <w:divBdr>
        <w:top w:val="none" w:sz="0" w:space="0" w:color="auto"/>
        <w:left w:val="none" w:sz="0" w:space="0" w:color="auto"/>
        <w:bottom w:val="none" w:sz="0" w:space="0" w:color="auto"/>
        <w:right w:val="none" w:sz="0" w:space="0" w:color="auto"/>
      </w:divBdr>
      <w:divsChild>
        <w:div w:id="187108417">
          <w:marLeft w:val="0"/>
          <w:marRight w:val="0"/>
          <w:marTop w:val="0"/>
          <w:marBottom w:val="0"/>
          <w:divBdr>
            <w:top w:val="none" w:sz="0" w:space="0" w:color="auto"/>
            <w:left w:val="none" w:sz="0" w:space="0" w:color="auto"/>
            <w:bottom w:val="none" w:sz="0" w:space="0" w:color="auto"/>
            <w:right w:val="none" w:sz="0" w:space="0" w:color="auto"/>
          </w:divBdr>
          <w:divsChild>
            <w:div w:id="221795127">
              <w:marLeft w:val="0"/>
              <w:marRight w:val="0"/>
              <w:marTop w:val="0"/>
              <w:marBottom w:val="0"/>
              <w:divBdr>
                <w:top w:val="none" w:sz="0" w:space="0" w:color="auto"/>
                <w:left w:val="none" w:sz="0" w:space="0" w:color="auto"/>
                <w:bottom w:val="none" w:sz="0" w:space="0" w:color="auto"/>
                <w:right w:val="none" w:sz="0" w:space="0" w:color="auto"/>
              </w:divBdr>
              <w:divsChild>
                <w:div w:id="123545606">
                  <w:marLeft w:val="0"/>
                  <w:marRight w:val="0"/>
                  <w:marTop w:val="0"/>
                  <w:marBottom w:val="0"/>
                  <w:divBdr>
                    <w:top w:val="none" w:sz="0" w:space="0" w:color="auto"/>
                    <w:left w:val="none" w:sz="0" w:space="0" w:color="auto"/>
                    <w:bottom w:val="none" w:sz="0" w:space="0" w:color="auto"/>
                    <w:right w:val="none" w:sz="0" w:space="0" w:color="auto"/>
                  </w:divBdr>
                  <w:divsChild>
                    <w:div w:id="356388785">
                      <w:marLeft w:val="0"/>
                      <w:marRight w:val="0"/>
                      <w:marTop w:val="0"/>
                      <w:marBottom w:val="0"/>
                      <w:divBdr>
                        <w:top w:val="none" w:sz="0" w:space="0" w:color="auto"/>
                        <w:left w:val="none" w:sz="0" w:space="0" w:color="auto"/>
                        <w:bottom w:val="none" w:sz="0" w:space="0" w:color="auto"/>
                        <w:right w:val="none" w:sz="0" w:space="0" w:color="auto"/>
                      </w:divBdr>
                      <w:divsChild>
                        <w:div w:id="71369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5266925">
      <w:bodyDiv w:val="1"/>
      <w:marLeft w:val="0"/>
      <w:marRight w:val="0"/>
      <w:marTop w:val="0"/>
      <w:marBottom w:val="0"/>
      <w:divBdr>
        <w:top w:val="none" w:sz="0" w:space="0" w:color="auto"/>
        <w:left w:val="none" w:sz="0" w:space="0" w:color="auto"/>
        <w:bottom w:val="none" w:sz="0" w:space="0" w:color="auto"/>
        <w:right w:val="none" w:sz="0" w:space="0" w:color="auto"/>
      </w:divBdr>
    </w:div>
    <w:div w:id="517086547">
      <w:bodyDiv w:val="1"/>
      <w:marLeft w:val="0"/>
      <w:marRight w:val="0"/>
      <w:marTop w:val="0"/>
      <w:marBottom w:val="0"/>
      <w:divBdr>
        <w:top w:val="none" w:sz="0" w:space="0" w:color="auto"/>
        <w:left w:val="none" w:sz="0" w:space="0" w:color="auto"/>
        <w:bottom w:val="none" w:sz="0" w:space="0" w:color="auto"/>
        <w:right w:val="none" w:sz="0" w:space="0" w:color="auto"/>
      </w:divBdr>
    </w:div>
    <w:div w:id="520431908">
      <w:bodyDiv w:val="1"/>
      <w:marLeft w:val="0"/>
      <w:marRight w:val="0"/>
      <w:marTop w:val="0"/>
      <w:marBottom w:val="0"/>
      <w:divBdr>
        <w:top w:val="none" w:sz="0" w:space="0" w:color="auto"/>
        <w:left w:val="none" w:sz="0" w:space="0" w:color="auto"/>
        <w:bottom w:val="none" w:sz="0" w:space="0" w:color="auto"/>
        <w:right w:val="none" w:sz="0" w:space="0" w:color="auto"/>
      </w:divBdr>
    </w:div>
    <w:div w:id="526874981">
      <w:bodyDiv w:val="1"/>
      <w:marLeft w:val="0"/>
      <w:marRight w:val="0"/>
      <w:marTop w:val="0"/>
      <w:marBottom w:val="0"/>
      <w:divBdr>
        <w:top w:val="none" w:sz="0" w:space="0" w:color="auto"/>
        <w:left w:val="none" w:sz="0" w:space="0" w:color="auto"/>
        <w:bottom w:val="none" w:sz="0" w:space="0" w:color="auto"/>
        <w:right w:val="none" w:sz="0" w:space="0" w:color="auto"/>
      </w:divBdr>
    </w:div>
    <w:div w:id="535430467">
      <w:bodyDiv w:val="1"/>
      <w:marLeft w:val="0"/>
      <w:marRight w:val="0"/>
      <w:marTop w:val="0"/>
      <w:marBottom w:val="0"/>
      <w:divBdr>
        <w:top w:val="none" w:sz="0" w:space="0" w:color="auto"/>
        <w:left w:val="none" w:sz="0" w:space="0" w:color="auto"/>
        <w:bottom w:val="none" w:sz="0" w:space="0" w:color="auto"/>
        <w:right w:val="none" w:sz="0" w:space="0" w:color="auto"/>
      </w:divBdr>
    </w:div>
    <w:div w:id="537930802">
      <w:bodyDiv w:val="1"/>
      <w:marLeft w:val="0"/>
      <w:marRight w:val="0"/>
      <w:marTop w:val="0"/>
      <w:marBottom w:val="0"/>
      <w:divBdr>
        <w:top w:val="none" w:sz="0" w:space="0" w:color="auto"/>
        <w:left w:val="none" w:sz="0" w:space="0" w:color="auto"/>
        <w:bottom w:val="none" w:sz="0" w:space="0" w:color="auto"/>
        <w:right w:val="none" w:sz="0" w:space="0" w:color="auto"/>
      </w:divBdr>
    </w:div>
    <w:div w:id="559901158">
      <w:bodyDiv w:val="1"/>
      <w:marLeft w:val="0"/>
      <w:marRight w:val="0"/>
      <w:marTop w:val="0"/>
      <w:marBottom w:val="0"/>
      <w:divBdr>
        <w:top w:val="none" w:sz="0" w:space="0" w:color="auto"/>
        <w:left w:val="none" w:sz="0" w:space="0" w:color="auto"/>
        <w:bottom w:val="none" w:sz="0" w:space="0" w:color="auto"/>
        <w:right w:val="none" w:sz="0" w:space="0" w:color="auto"/>
      </w:divBdr>
    </w:div>
    <w:div w:id="562184068">
      <w:bodyDiv w:val="1"/>
      <w:marLeft w:val="0"/>
      <w:marRight w:val="0"/>
      <w:marTop w:val="0"/>
      <w:marBottom w:val="0"/>
      <w:divBdr>
        <w:top w:val="none" w:sz="0" w:space="0" w:color="auto"/>
        <w:left w:val="none" w:sz="0" w:space="0" w:color="auto"/>
        <w:bottom w:val="none" w:sz="0" w:space="0" w:color="auto"/>
        <w:right w:val="none" w:sz="0" w:space="0" w:color="auto"/>
      </w:divBdr>
    </w:div>
    <w:div w:id="570190171">
      <w:bodyDiv w:val="1"/>
      <w:marLeft w:val="0"/>
      <w:marRight w:val="0"/>
      <w:marTop w:val="0"/>
      <w:marBottom w:val="0"/>
      <w:divBdr>
        <w:top w:val="none" w:sz="0" w:space="0" w:color="auto"/>
        <w:left w:val="none" w:sz="0" w:space="0" w:color="auto"/>
        <w:bottom w:val="none" w:sz="0" w:space="0" w:color="auto"/>
        <w:right w:val="none" w:sz="0" w:space="0" w:color="auto"/>
      </w:divBdr>
    </w:div>
    <w:div w:id="571814996">
      <w:bodyDiv w:val="1"/>
      <w:marLeft w:val="0"/>
      <w:marRight w:val="0"/>
      <w:marTop w:val="0"/>
      <w:marBottom w:val="0"/>
      <w:divBdr>
        <w:top w:val="none" w:sz="0" w:space="0" w:color="auto"/>
        <w:left w:val="none" w:sz="0" w:space="0" w:color="auto"/>
        <w:bottom w:val="none" w:sz="0" w:space="0" w:color="auto"/>
        <w:right w:val="none" w:sz="0" w:space="0" w:color="auto"/>
      </w:divBdr>
    </w:div>
    <w:div w:id="573667037">
      <w:bodyDiv w:val="1"/>
      <w:marLeft w:val="0"/>
      <w:marRight w:val="0"/>
      <w:marTop w:val="0"/>
      <w:marBottom w:val="0"/>
      <w:divBdr>
        <w:top w:val="none" w:sz="0" w:space="0" w:color="auto"/>
        <w:left w:val="none" w:sz="0" w:space="0" w:color="auto"/>
        <w:bottom w:val="none" w:sz="0" w:space="0" w:color="auto"/>
        <w:right w:val="none" w:sz="0" w:space="0" w:color="auto"/>
      </w:divBdr>
    </w:div>
    <w:div w:id="590159095">
      <w:bodyDiv w:val="1"/>
      <w:marLeft w:val="0"/>
      <w:marRight w:val="0"/>
      <w:marTop w:val="0"/>
      <w:marBottom w:val="0"/>
      <w:divBdr>
        <w:top w:val="none" w:sz="0" w:space="0" w:color="auto"/>
        <w:left w:val="none" w:sz="0" w:space="0" w:color="auto"/>
        <w:bottom w:val="none" w:sz="0" w:space="0" w:color="auto"/>
        <w:right w:val="none" w:sz="0" w:space="0" w:color="auto"/>
      </w:divBdr>
    </w:div>
    <w:div w:id="596594860">
      <w:bodyDiv w:val="1"/>
      <w:marLeft w:val="0"/>
      <w:marRight w:val="0"/>
      <w:marTop w:val="0"/>
      <w:marBottom w:val="0"/>
      <w:divBdr>
        <w:top w:val="none" w:sz="0" w:space="0" w:color="auto"/>
        <w:left w:val="none" w:sz="0" w:space="0" w:color="auto"/>
        <w:bottom w:val="none" w:sz="0" w:space="0" w:color="auto"/>
        <w:right w:val="none" w:sz="0" w:space="0" w:color="auto"/>
      </w:divBdr>
      <w:divsChild>
        <w:div w:id="58671389">
          <w:marLeft w:val="0"/>
          <w:marRight w:val="0"/>
          <w:marTop w:val="0"/>
          <w:marBottom w:val="0"/>
          <w:divBdr>
            <w:top w:val="none" w:sz="0" w:space="0" w:color="auto"/>
            <w:left w:val="none" w:sz="0" w:space="0" w:color="auto"/>
            <w:bottom w:val="none" w:sz="0" w:space="0" w:color="auto"/>
            <w:right w:val="none" w:sz="0" w:space="0" w:color="auto"/>
          </w:divBdr>
          <w:divsChild>
            <w:div w:id="909462693">
              <w:marLeft w:val="0"/>
              <w:marRight w:val="0"/>
              <w:marTop w:val="0"/>
              <w:marBottom w:val="0"/>
              <w:divBdr>
                <w:top w:val="none" w:sz="0" w:space="0" w:color="auto"/>
                <w:left w:val="none" w:sz="0" w:space="0" w:color="auto"/>
                <w:bottom w:val="none" w:sz="0" w:space="0" w:color="auto"/>
                <w:right w:val="none" w:sz="0" w:space="0" w:color="auto"/>
              </w:divBdr>
              <w:divsChild>
                <w:div w:id="1947422110">
                  <w:marLeft w:val="0"/>
                  <w:marRight w:val="0"/>
                  <w:marTop w:val="0"/>
                  <w:marBottom w:val="0"/>
                  <w:divBdr>
                    <w:top w:val="none" w:sz="0" w:space="0" w:color="auto"/>
                    <w:left w:val="none" w:sz="0" w:space="0" w:color="auto"/>
                    <w:bottom w:val="none" w:sz="0" w:space="0" w:color="auto"/>
                    <w:right w:val="none" w:sz="0" w:space="0" w:color="auto"/>
                  </w:divBdr>
                  <w:divsChild>
                    <w:div w:id="882520057">
                      <w:marLeft w:val="0"/>
                      <w:marRight w:val="0"/>
                      <w:marTop w:val="0"/>
                      <w:marBottom w:val="0"/>
                      <w:divBdr>
                        <w:top w:val="none" w:sz="0" w:space="0" w:color="auto"/>
                        <w:left w:val="none" w:sz="0" w:space="0" w:color="auto"/>
                        <w:bottom w:val="none" w:sz="0" w:space="0" w:color="auto"/>
                        <w:right w:val="none" w:sz="0" w:space="0" w:color="auto"/>
                      </w:divBdr>
                      <w:divsChild>
                        <w:div w:id="312103589">
                          <w:marLeft w:val="0"/>
                          <w:marRight w:val="0"/>
                          <w:marTop w:val="0"/>
                          <w:marBottom w:val="0"/>
                          <w:divBdr>
                            <w:top w:val="none" w:sz="0" w:space="0" w:color="auto"/>
                            <w:left w:val="none" w:sz="0" w:space="0" w:color="auto"/>
                            <w:bottom w:val="none" w:sz="0" w:space="0" w:color="auto"/>
                            <w:right w:val="none" w:sz="0" w:space="0" w:color="auto"/>
                          </w:divBdr>
                          <w:divsChild>
                            <w:div w:id="108282545">
                              <w:marLeft w:val="0"/>
                              <w:marRight w:val="0"/>
                              <w:marTop w:val="0"/>
                              <w:marBottom w:val="0"/>
                              <w:divBdr>
                                <w:top w:val="none" w:sz="0" w:space="0" w:color="auto"/>
                                <w:left w:val="none" w:sz="0" w:space="0" w:color="auto"/>
                                <w:bottom w:val="none" w:sz="0" w:space="0" w:color="auto"/>
                                <w:right w:val="none" w:sz="0" w:space="0" w:color="auto"/>
                              </w:divBdr>
                              <w:divsChild>
                                <w:div w:id="487327175">
                                  <w:marLeft w:val="0"/>
                                  <w:marRight w:val="0"/>
                                  <w:marTop w:val="0"/>
                                  <w:marBottom w:val="0"/>
                                  <w:divBdr>
                                    <w:top w:val="none" w:sz="0" w:space="0" w:color="auto"/>
                                    <w:left w:val="none" w:sz="0" w:space="0" w:color="auto"/>
                                    <w:bottom w:val="none" w:sz="0" w:space="0" w:color="auto"/>
                                    <w:right w:val="none" w:sz="0" w:space="0" w:color="auto"/>
                                  </w:divBdr>
                                  <w:divsChild>
                                    <w:div w:id="739062481">
                                      <w:marLeft w:val="0"/>
                                      <w:marRight w:val="0"/>
                                      <w:marTop w:val="0"/>
                                      <w:marBottom w:val="0"/>
                                      <w:divBdr>
                                        <w:top w:val="none" w:sz="0" w:space="0" w:color="auto"/>
                                        <w:left w:val="none" w:sz="0" w:space="0" w:color="auto"/>
                                        <w:bottom w:val="none" w:sz="0" w:space="0" w:color="auto"/>
                                        <w:right w:val="none" w:sz="0" w:space="0" w:color="auto"/>
                                      </w:divBdr>
                                      <w:divsChild>
                                        <w:div w:id="185337050">
                                          <w:marLeft w:val="0"/>
                                          <w:marRight w:val="0"/>
                                          <w:marTop w:val="0"/>
                                          <w:marBottom w:val="0"/>
                                          <w:divBdr>
                                            <w:top w:val="none" w:sz="0" w:space="0" w:color="auto"/>
                                            <w:left w:val="none" w:sz="0" w:space="0" w:color="auto"/>
                                            <w:bottom w:val="none" w:sz="0" w:space="0" w:color="auto"/>
                                            <w:right w:val="none" w:sz="0" w:space="0" w:color="auto"/>
                                          </w:divBdr>
                                          <w:divsChild>
                                            <w:div w:id="86424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839760">
                                  <w:marLeft w:val="0"/>
                                  <w:marRight w:val="0"/>
                                  <w:marTop w:val="0"/>
                                  <w:marBottom w:val="0"/>
                                  <w:divBdr>
                                    <w:top w:val="none" w:sz="0" w:space="0" w:color="auto"/>
                                    <w:left w:val="none" w:sz="0" w:space="0" w:color="auto"/>
                                    <w:bottom w:val="none" w:sz="0" w:space="0" w:color="auto"/>
                                    <w:right w:val="none" w:sz="0" w:space="0" w:color="auto"/>
                                  </w:divBdr>
                                  <w:divsChild>
                                    <w:div w:id="61467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3376016">
          <w:marLeft w:val="0"/>
          <w:marRight w:val="0"/>
          <w:marTop w:val="0"/>
          <w:marBottom w:val="0"/>
          <w:divBdr>
            <w:top w:val="none" w:sz="0" w:space="0" w:color="auto"/>
            <w:left w:val="none" w:sz="0" w:space="0" w:color="auto"/>
            <w:bottom w:val="none" w:sz="0" w:space="0" w:color="auto"/>
            <w:right w:val="none" w:sz="0" w:space="0" w:color="auto"/>
          </w:divBdr>
          <w:divsChild>
            <w:div w:id="1960212483">
              <w:marLeft w:val="0"/>
              <w:marRight w:val="0"/>
              <w:marTop w:val="0"/>
              <w:marBottom w:val="0"/>
              <w:divBdr>
                <w:top w:val="none" w:sz="0" w:space="0" w:color="auto"/>
                <w:left w:val="none" w:sz="0" w:space="0" w:color="auto"/>
                <w:bottom w:val="none" w:sz="0" w:space="0" w:color="auto"/>
                <w:right w:val="none" w:sz="0" w:space="0" w:color="auto"/>
              </w:divBdr>
              <w:divsChild>
                <w:div w:id="1191798557">
                  <w:marLeft w:val="0"/>
                  <w:marRight w:val="0"/>
                  <w:marTop w:val="0"/>
                  <w:marBottom w:val="0"/>
                  <w:divBdr>
                    <w:top w:val="none" w:sz="0" w:space="0" w:color="auto"/>
                    <w:left w:val="none" w:sz="0" w:space="0" w:color="auto"/>
                    <w:bottom w:val="none" w:sz="0" w:space="0" w:color="auto"/>
                    <w:right w:val="none" w:sz="0" w:space="0" w:color="auto"/>
                  </w:divBdr>
                  <w:divsChild>
                    <w:div w:id="1965581044">
                      <w:marLeft w:val="0"/>
                      <w:marRight w:val="0"/>
                      <w:marTop w:val="0"/>
                      <w:marBottom w:val="0"/>
                      <w:divBdr>
                        <w:top w:val="none" w:sz="0" w:space="0" w:color="auto"/>
                        <w:left w:val="none" w:sz="0" w:space="0" w:color="auto"/>
                        <w:bottom w:val="none" w:sz="0" w:space="0" w:color="auto"/>
                        <w:right w:val="none" w:sz="0" w:space="0" w:color="auto"/>
                      </w:divBdr>
                      <w:divsChild>
                        <w:div w:id="136336129">
                          <w:marLeft w:val="0"/>
                          <w:marRight w:val="0"/>
                          <w:marTop w:val="0"/>
                          <w:marBottom w:val="0"/>
                          <w:divBdr>
                            <w:top w:val="none" w:sz="0" w:space="0" w:color="auto"/>
                            <w:left w:val="none" w:sz="0" w:space="0" w:color="auto"/>
                            <w:bottom w:val="none" w:sz="0" w:space="0" w:color="auto"/>
                            <w:right w:val="none" w:sz="0" w:space="0" w:color="auto"/>
                          </w:divBdr>
                          <w:divsChild>
                            <w:div w:id="1009214521">
                              <w:marLeft w:val="0"/>
                              <w:marRight w:val="0"/>
                              <w:marTop w:val="0"/>
                              <w:marBottom w:val="0"/>
                              <w:divBdr>
                                <w:top w:val="none" w:sz="0" w:space="0" w:color="auto"/>
                                <w:left w:val="none" w:sz="0" w:space="0" w:color="auto"/>
                                <w:bottom w:val="none" w:sz="0" w:space="0" w:color="auto"/>
                                <w:right w:val="none" w:sz="0" w:space="0" w:color="auto"/>
                              </w:divBdr>
                              <w:divsChild>
                                <w:div w:id="1520848056">
                                  <w:marLeft w:val="0"/>
                                  <w:marRight w:val="0"/>
                                  <w:marTop w:val="0"/>
                                  <w:marBottom w:val="0"/>
                                  <w:divBdr>
                                    <w:top w:val="none" w:sz="0" w:space="0" w:color="auto"/>
                                    <w:left w:val="none" w:sz="0" w:space="0" w:color="auto"/>
                                    <w:bottom w:val="none" w:sz="0" w:space="0" w:color="auto"/>
                                    <w:right w:val="none" w:sz="0" w:space="0" w:color="auto"/>
                                  </w:divBdr>
                                  <w:divsChild>
                                    <w:div w:id="37364764">
                                      <w:marLeft w:val="0"/>
                                      <w:marRight w:val="0"/>
                                      <w:marTop w:val="0"/>
                                      <w:marBottom w:val="0"/>
                                      <w:divBdr>
                                        <w:top w:val="none" w:sz="0" w:space="0" w:color="auto"/>
                                        <w:left w:val="none" w:sz="0" w:space="0" w:color="auto"/>
                                        <w:bottom w:val="none" w:sz="0" w:space="0" w:color="auto"/>
                                        <w:right w:val="none" w:sz="0" w:space="0" w:color="auto"/>
                                      </w:divBdr>
                                      <w:divsChild>
                                        <w:div w:id="102700400">
                                          <w:marLeft w:val="0"/>
                                          <w:marRight w:val="0"/>
                                          <w:marTop w:val="0"/>
                                          <w:marBottom w:val="0"/>
                                          <w:divBdr>
                                            <w:top w:val="none" w:sz="0" w:space="0" w:color="auto"/>
                                            <w:left w:val="none" w:sz="0" w:space="0" w:color="auto"/>
                                            <w:bottom w:val="none" w:sz="0" w:space="0" w:color="auto"/>
                                            <w:right w:val="none" w:sz="0" w:space="0" w:color="auto"/>
                                          </w:divBdr>
                                          <w:divsChild>
                                            <w:div w:id="989335133">
                                              <w:marLeft w:val="0"/>
                                              <w:marRight w:val="0"/>
                                              <w:marTop w:val="0"/>
                                              <w:marBottom w:val="0"/>
                                              <w:divBdr>
                                                <w:top w:val="none" w:sz="0" w:space="0" w:color="auto"/>
                                                <w:left w:val="none" w:sz="0" w:space="0" w:color="auto"/>
                                                <w:bottom w:val="none" w:sz="0" w:space="0" w:color="auto"/>
                                                <w:right w:val="none" w:sz="0" w:space="0" w:color="auto"/>
                                              </w:divBdr>
                                              <w:divsChild>
                                                <w:div w:id="28562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2151351">
      <w:bodyDiv w:val="1"/>
      <w:marLeft w:val="0"/>
      <w:marRight w:val="0"/>
      <w:marTop w:val="0"/>
      <w:marBottom w:val="0"/>
      <w:divBdr>
        <w:top w:val="none" w:sz="0" w:space="0" w:color="auto"/>
        <w:left w:val="none" w:sz="0" w:space="0" w:color="auto"/>
        <w:bottom w:val="none" w:sz="0" w:space="0" w:color="auto"/>
        <w:right w:val="none" w:sz="0" w:space="0" w:color="auto"/>
      </w:divBdr>
    </w:div>
    <w:div w:id="613437248">
      <w:bodyDiv w:val="1"/>
      <w:marLeft w:val="0"/>
      <w:marRight w:val="0"/>
      <w:marTop w:val="0"/>
      <w:marBottom w:val="0"/>
      <w:divBdr>
        <w:top w:val="none" w:sz="0" w:space="0" w:color="auto"/>
        <w:left w:val="none" w:sz="0" w:space="0" w:color="auto"/>
        <w:bottom w:val="none" w:sz="0" w:space="0" w:color="auto"/>
        <w:right w:val="none" w:sz="0" w:space="0" w:color="auto"/>
      </w:divBdr>
      <w:divsChild>
        <w:div w:id="1289967213">
          <w:marLeft w:val="0"/>
          <w:marRight w:val="0"/>
          <w:marTop w:val="0"/>
          <w:marBottom w:val="0"/>
          <w:divBdr>
            <w:top w:val="none" w:sz="0" w:space="0" w:color="auto"/>
            <w:left w:val="none" w:sz="0" w:space="0" w:color="auto"/>
            <w:bottom w:val="none" w:sz="0" w:space="0" w:color="auto"/>
            <w:right w:val="none" w:sz="0" w:space="0" w:color="auto"/>
          </w:divBdr>
          <w:divsChild>
            <w:div w:id="995764606">
              <w:marLeft w:val="0"/>
              <w:marRight w:val="0"/>
              <w:marTop w:val="0"/>
              <w:marBottom w:val="0"/>
              <w:divBdr>
                <w:top w:val="none" w:sz="0" w:space="0" w:color="auto"/>
                <w:left w:val="none" w:sz="0" w:space="0" w:color="auto"/>
                <w:bottom w:val="none" w:sz="0" w:space="0" w:color="auto"/>
                <w:right w:val="none" w:sz="0" w:space="0" w:color="auto"/>
              </w:divBdr>
              <w:divsChild>
                <w:div w:id="506749857">
                  <w:marLeft w:val="0"/>
                  <w:marRight w:val="0"/>
                  <w:marTop w:val="0"/>
                  <w:marBottom w:val="0"/>
                  <w:divBdr>
                    <w:top w:val="none" w:sz="0" w:space="0" w:color="auto"/>
                    <w:left w:val="none" w:sz="0" w:space="0" w:color="auto"/>
                    <w:bottom w:val="none" w:sz="0" w:space="0" w:color="auto"/>
                    <w:right w:val="none" w:sz="0" w:space="0" w:color="auto"/>
                  </w:divBdr>
                  <w:divsChild>
                    <w:div w:id="1185365657">
                      <w:marLeft w:val="0"/>
                      <w:marRight w:val="0"/>
                      <w:marTop w:val="0"/>
                      <w:marBottom w:val="0"/>
                      <w:divBdr>
                        <w:top w:val="none" w:sz="0" w:space="0" w:color="auto"/>
                        <w:left w:val="none" w:sz="0" w:space="0" w:color="auto"/>
                        <w:bottom w:val="none" w:sz="0" w:space="0" w:color="auto"/>
                        <w:right w:val="none" w:sz="0" w:space="0" w:color="auto"/>
                      </w:divBdr>
                      <w:divsChild>
                        <w:div w:id="54421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855073">
      <w:bodyDiv w:val="1"/>
      <w:marLeft w:val="0"/>
      <w:marRight w:val="0"/>
      <w:marTop w:val="0"/>
      <w:marBottom w:val="0"/>
      <w:divBdr>
        <w:top w:val="none" w:sz="0" w:space="0" w:color="auto"/>
        <w:left w:val="none" w:sz="0" w:space="0" w:color="auto"/>
        <w:bottom w:val="none" w:sz="0" w:space="0" w:color="auto"/>
        <w:right w:val="none" w:sz="0" w:space="0" w:color="auto"/>
      </w:divBdr>
    </w:div>
    <w:div w:id="648753614">
      <w:bodyDiv w:val="1"/>
      <w:marLeft w:val="0"/>
      <w:marRight w:val="0"/>
      <w:marTop w:val="0"/>
      <w:marBottom w:val="0"/>
      <w:divBdr>
        <w:top w:val="none" w:sz="0" w:space="0" w:color="auto"/>
        <w:left w:val="none" w:sz="0" w:space="0" w:color="auto"/>
        <w:bottom w:val="none" w:sz="0" w:space="0" w:color="auto"/>
        <w:right w:val="none" w:sz="0" w:space="0" w:color="auto"/>
      </w:divBdr>
    </w:div>
    <w:div w:id="656153379">
      <w:bodyDiv w:val="1"/>
      <w:marLeft w:val="0"/>
      <w:marRight w:val="0"/>
      <w:marTop w:val="0"/>
      <w:marBottom w:val="0"/>
      <w:divBdr>
        <w:top w:val="none" w:sz="0" w:space="0" w:color="auto"/>
        <w:left w:val="none" w:sz="0" w:space="0" w:color="auto"/>
        <w:bottom w:val="none" w:sz="0" w:space="0" w:color="auto"/>
        <w:right w:val="none" w:sz="0" w:space="0" w:color="auto"/>
      </w:divBdr>
    </w:div>
    <w:div w:id="661392967">
      <w:bodyDiv w:val="1"/>
      <w:marLeft w:val="0"/>
      <w:marRight w:val="0"/>
      <w:marTop w:val="0"/>
      <w:marBottom w:val="0"/>
      <w:divBdr>
        <w:top w:val="none" w:sz="0" w:space="0" w:color="auto"/>
        <w:left w:val="none" w:sz="0" w:space="0" w:color="auto"/>
        <w:bottom w:val="none" w:sz="0" w:space="0" w:color="auto"/>
        <w:right w:val="none" w:sz="0" w:space="0" w:color="auto"/>
      </w:divBdr>
    </w:div>
    <w:div w:id="662514877">
      <w:bodyDiv w:val="1"/>
      <w:marLeft w:val="0"/>
      <w:marRight w:val="0"/>
      <w:marTop w:val="0"/>
      <w:marBottom w:val="0"/>
      <w:divBdr>
        <w:top w:val="none" w:sz="0" w:space="0" w:color="auto"/>
        <w:left w:val="none" w:sz="0" w:space="0" w:color="auto"/>
        <w:bottom w:val="none" w:sz="0" w:space="0" w:color="auto"/>
        <w:right w:val="none" w:sz="0" w:space="0" w:color="auto"/>
      </w:divBdr>
    </w:div>
    <w:div w:id="665864475">
      <w:bodyDiv w:val="1"/>
      <w:marLeft w:val="0"/>
      <w:marRight w:val="0"/>
      <w:marTop w:val="0"/>
      <w:marBottom w:val="0"/>
      <w:divBdr>
        <w:top w:val="none" w:sz="0" w:space="0" w:color="auto"/>
        <w:left w:val="none" w:sz="0" w:space="0" w:color="auto"/>
        <w:bottom w:val="none" w:sz="0" w:space="0" w:color="auto"/>
        <w:right w:val="none" w:sz="0" w:space="0" w:color="auto"/>
      </w:divBdr>
    </w:div>
    <w:div w:id="668408742">
      <w:bodyDiv w:val="1"/>
      <w:marLeft w:val="0"/>
      <w:marRight w:val="0"/>
      <w:marTop w:val="0"/>
      <w:marBottom w:val="0"/>
      <w:divBdr>
        <w:top w:val="none" w:sz="0" w:space="0" w:color="auto"/>
        <w:left w:val="none" w:sz="0" w:space="0" w:color="auto"/>
        <w:bottom w:val="none" w:sz="0" w:space="0" w:color="auto"/>
        <w:right w:val="none" w:sz="0" w:space="0" w:color="auto"/>
      </w:divBdr>
    </w:div>
    <w:div w:id="674965825">
      <w:bodyDiv w:val="1"/>
      <w:marLeft w:val="0"/>
      <w:marRight w:val="0"/>
      <w:marTop w:val="0"/>
      <w:marBottom w:val="0"/>
      <w:divBdr>
        <w:top w:val="none" w:sz="0" w:space="0" w:color="auto"/>
        <w:left w:val="none" w:sz="0" w:space="0" w:color="auto"/>
        <w:bottom w:val="none" w:sz="0" w:space="0" w:color="auto"/>
        <w:right w:val="none" w:sz="0" w:space="0" w:color="auto"/>
      </w:divBdr>
    </w:div>
    <w:div w:id="683551249">
      <w:bodyDiv w:val="1"/>
      <w:marLeft w:val="0"/>
      <w:marRight w:val="0"/>
      <w:marTop w:val="0"/>
      <w:marBottom w:val="0"/>
      <w:divBdr>
        <w:top w:val="none" w:sz="0" w:space="0" w:color="auto"/>
        <w:left w:val="none" w:sz="0" w:space="0" w:color="auto"/>
        <w:bottom w:val="none" w:sz="0" w:space="0" w:color="auto"/>
        <w:right w:val="none" w:sz="0" w:space="0" w:color="auto"/>
      </w:divBdr>
    </w:div>
    <w:div w:id="684281664">
      <w:bodyDiv w:val="1"/>
      <w:marLeft w:val="0"/>
      <w:marRight w:val="0"/>
      <w:marTop w:val="0"/>
      <w:marBottom w:val="0"/>
      <w:divBdr>
        <w:top w:val="none" w:sz="0" w:space="0" w:color="auto"/>
        <w:left w:val="none" w:sz="0" w:space="0" w:color="auto"/>
        <w:bottom w:val="none" w:sz="0" w:space="0" w:color="auto"/>
        <w:right w:val="none" w:sz="0" w:space="0" w:color="auto"/>
      </w:divBdr>
    </w:div>
    <w:div w:id="688264850">
      <w:bodyDiv w:val="1"/>
      <w:marLeft w:val="0"/>
      <w:marRight w:val="0"/>
      <w:marTop w:val="0"/>
      <w:marBottom w:val="0"/>
      <w:divBdr>
        <w:top w:val="none" w:sz="0" w:space="0" w:color="auto"/>
        <w:left w:val="none" w:sz="0" w:space="0" w:color="auto"/>
        <w:bottom w:val="none" w:sz="0" w:space="0" w:color="auto"/>
        <w:right w:val="none" w:sz="0" w:space="0" w:color="auto"/>
      </w:divBdr>
    </w:div>
    <w:div w:id="694579481">
      <w:bodyDiv w:val="1"/>
      <w:marLeft w:val="0"/>
      <w:marRight w:val="0"/>
      <w:marTop w:val="0"/>
      <w:marBottom w:val="0"/>
      <w:divBdr>
        <w:top w:val="none" w:sz="0" w:space="0" w:color="auto"/>
        <w:left w:val="none" w:sz="0" w:space="0" w:color="auto"/>
        <w:bottom w:val="none" w:sz="0" w:space="0" w:color="auto"/>
        <w:right w:val="none" w:sz="0" w:space="0" w:color="auto"/>
      </w:divBdr>
    </w:div>
    <w:div w:id="700715141">
      <w:bodyDiv w:val="1"/>
      <w:marLeft w:val="0"/>
      <w:marRight w:val="0"/>
      <w:marTop w:val="0"/>
      <w:marBottom w:val="0"/>
      <w:divBdr>
        <w:top w:val="none" w:sz="0" w:space="0" w:color="auto"/>
        <w:left w:val="none" w:sz="0" w:space="0" w:color="auto"/>
        <w:bottom w:val="none" w:sz="0" w:space="0" w:color="auto"/>
        <w:right w:val="none" w:sz="0" w:space="0" w:color="auto"/>
      </w:divBdr>
      <w:divsChild>
        <w:div w:id="620845824">
          <w:marLeft w:val="0"/>
          <w:marRight w:val="0"/>
          <w:marTop w:val="0"/>
          <w:marBottom w:val="0"/>
          <w:divBdr>
            <w:top w:val="none" w:sz="0" w:space="0" w:color="auto"/>
            <w:left w:val="none" w:sz="0" w:space="0" w:color="auto"/>
            <w:bottom w:val="none" w:sz="0" w:space="0" w:color="auto"/>
            <w:right w:val="none" w:sz="0" w:space="0" w:color="auto"/>
          </w:divBdr>
          <w:divsChild>
            <w:div w:id="800071389">
              <w:marLeft w:val="0"/>
              <w:marRight w:val="0"/>
              <w:marTop w:val="0"/>
              <w:marBottom w:val="0"/>
              <w:divBdr>
                <w:top w:val="none" w:sz="0" w:space="0" w:color="auto"/>
                <w:left w:val="none" w:sz="0" w:space="0" w:color="auto"/>
                <w:bottom w:val="none" w:sz="0" w:space="0" w:color="auto"/>
                <w:right w:val="none" w:sz="0" w:space="0" w:color="auto"/>
              </w:divBdr>
              <w:divsChild>
                <w:div w:id="33295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317776">
          <w:marLeft w:val="0"/>
          <w:marRight w:val="0"/>
          <w:marTop w:val="0"/>
          <w:marBottom w:val="0"/>
          <w:divBdr>
            <w:top w:val="none" w:sz="0" w:space="0" w:color="auto"/>
            <w:left w:val="none" w:sz="0" w:space="0" w:color="auto"/>
            <w:bottom w:val="none" w:sz="0" w:space="0" w:color="auto"/>
            <w:right w:val="none" w:sz="0" w:space="0" w:color="auto"/>
          </w:divBdr>
          <w:divsChild>
            <w:div w:id="1644626900">
              <w:marLeft w:val="0"/>
              <w:marRight w:val="0"/>
              <w:marTop w:val="0"/>
              <w:marBottom w:val="0"/>
              <w:divBdr>
                <w:top w:val="none" w:sz="0" w:space="0" w:color="auto"/>
                <w:left w:val="none" w:sz="0" w:space="0" w:color="auto"/>
                <w:bottom w:val="none" w:sz="0" w:space="0" w:color="auto"/>
                <w:right w:val="none" w:sz="0" w:space="0" w:color="auto"/>
              </w:divBdr>
              <w:divsChild>
                <w:div w:id="996614856">
                  <w:marLeft w:val="0"/>
                  <w:marRight w:val="0"/>
                  <w:marTop w:val="0"/>
                  <w:marBottom w:val="0"/>
                  <w:divBdr>
                    <w:top w:val="none" w:sz="0" w:space="0" w:color="auto"/>
                    <w:left w:val="none" w:sz="0" w:space="0" w:color="auto"/>
                    <w:bottom w:val="none" w:sz="0" w:space="0" w:color="auto"/>
                    <w:right w:val="none" w:sz="0" w:space="0" w:color="auto"/>
                  </w:divBdr>
                  <w:divsChild>
                    <w:div w:id="1913193177">
                      <w:marLeft w:val="0"/>
                      <w:marRight w:val="0"/>
                      <w:marTop w:val="0"/>
                      <w:marBottom w:val="0"/>
                      <w:divBdr>
                        <w:top w:val="none" w:sz="0" w:space="0" w:color="auto"/>
                        <w:left w:val="none" w:sz="0" w:space="0" w:color="auto"/>
                        <w:bottom w:val="none" w:sz="0" w:space="0" w:color="auto"/>
                        <w:right w:val="none" w:sz="0" w:space="0" w:color="auto"/>
                      </w:divBdr>
                      <w:divsChild>
                        <w:div w:id="59593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212659">
      <w:bodyDiv w:val="1"/>
      <w:marLeft w:val="0"/>
      <w:marRight w:val="0"/>
      <w:marTop w:val="0"/>
      <w:marBottom w:val="0"/>
      <w:divBdr>
        <w:top w:val="none" w:sz="0" w:space="0" w:color="auto"/>
        <w:left w:val="none" w:sz="0" w:space="0" w:color="auto"/>
        <w:bottom w:val="none" w:sz="0" w:space="0" w:color="auto"/>
        <w:right w:val="none" w:sz="0" w:space="0" w:color="auto"/>
      </w:divBdr>
    </w:div>
    <w:div w:id="705524648">
      <w:bodyDiv w:val="1"/>
      <w:marLeft w:val="0"/>
      <w:marRight w:val="0"/>
      <w:marTop w:val="0"/>
      <w:marBottom w:val="0"/>
      <w:divBdr>
        <w:top w:val="none" w:sz="0" w:space="0" w:color="auto"/>
        <w:left w:val="none" w:sz="0" w:space="0" w:color="auto"/>
        <w:bottom w:val="none" w:sz="0" w:space="0" w:color="auto"/>
        <w:right w:val="none" w:sz="0" w:space="0" w:color="auto"/>
      </w:divBdr>
    </w:div>
    <w:div w:id="707218623">
      <w:bodyDiv w:val="1"/>
      <w:marLeft w:val="0"/>
      <w:marRight w:val="0"/>
      <w:marTop w:val="0"/>
      <w:marBottom w:val="0"/>
      <w:divBdr>
        <w:top w:val="none" w:sz="0" w:space="0" w:color="auto"/>
        <w:left w:val="none" w:sz="0" w:space="0" w:color="auto"/>
        <w:bottom w:val="none" w:sz="0" w:space="0" w:color="auto"/>
        <w:right w:val="none" w:sz="0" w:space="0" w:color="auto"/>
      </w:divBdr>
    </w:div>
    <w:div w:id="707875811">
      <w:bodyDiv w:val="1"/>
      <w:marLeft w:val="0"/>
      <w:marRight w:val="0"/>
      <w:marTop w:val="0"/>
      <w:marBottom w:val="0"/>
      <w:divBdr>
        <w:top w:val="none" w:sz="0" w:space="0" w:color="auto"/>
        <w:left w:val="none" w:sz="0" w:space="0" w:color="auto"/>
        <w:bottom w:val="none" w:sz="0" w:space="0" w:color="auto"/>
        <w:right w:val="none" w:sz="0" w:space="0" w:color="auto"/>
      </w:divBdr>
    </w:div>
    <w:div w:id="714546173">
      <w:bodyDiv w:val="1"/>
      <w:marLeft w:val="0"/>
      <w:marRight w:val="0"/>
      <w:marTop w:val="0"/>
      <w:marBottom w:val="0"/>
      <w:divBdr>
        <w:top w:val="none" w:sz="0" w:space="0" w:color="auto"/>
        <w:left w:val="none" w:sz="0" w:space="0" w:color="auto"/>
        <w:bottom w:val="none" w:sz="0" w:space="0" w:color="auto"/>
        <w:right w:val="none" w:sz="0" w:space="0" w:color="auto"/>
      </w:divBdr>
    </w:div>
    <w:div w:id="715203054">
      <w:bodyDiv w:val="1"/>
      <w:marLeft w:val="0"/>
      <w:marRight w:val="0"/>
      <w:marTop w:val="0"/>
      <w:marBottom w:val="0"/>
      <w:divBdr>
        <w:top w:val="none" w:sz="0" w:space="0" w:color="auto"/>
        <w:left w:val="none" w:sz="0" w:space="0" w:color="auto"/>
        <w:bottom w:val="none" w:sz="0" w:space="0" w:color="auto"/>
        <w:right w:val="none" w:sz="0" w:space="0" w:color="auto"/>
      </w:divBdr>
    </w:div>
    <w:div w:id="722220341">
      <w:bodyDiv w:val="1"/>
      <w:marLeft w:val="0"/>
      <w:marRight w:val="0"/>
      <w:marTop w:val="0"/>
      <w:marBottom w:val="0"/>
      <w:divBdr>
        <w:top w:val="none" w:sz="0" w:space="0" w:color="auto"/>
        <w:left w:val="none" w:sz="0" w:space="0" w:color="auto"/>
        <w:bottom w:val="none" w:sz="0" w:space="0" w:color="auto"/>
        <w:right w:val="none" w:sz="0" w:space="0" w:color="auto"/>
      </w:divBdr>
    </w:div>
    <w:div w:id="731150383">
      <w:bodyDiv w:val="1"/>
      <w:marLeft w:val="0"/>
      <w:marRight w:val="0"/>
      <w:marTop w:val="0"/>
      <w:marBottom w:val="0"/>
      <w:divBdr>
        <w:top w:val="none" w:sz="0" w:space="0" w:color="auto"/>
        <w:left w:val="none" w:sz="0" w:space="0" w:color="auto"/>
        <w:bottom w:val="none" w:sz="0" w:space="0" w:color="auto"/>
        <w:right w:val="none" w:sz="0" w:space="0" w:color="auto"/>
      </w:divBdr>
    </w:div>
    <w:div w:id="742292464">
      <w:bodyDiv w:val="1"/>
      <w:marLeft w:val="0"/>
      <w:marRight w:val="0"/>
      <w:marTop w:val="0"/>
      <w:marBottom w:val="0"/>
      <w:divBdr>
        <w:top w:val="none" w:sz="0" w:space="0" w:color="auto"/>
        <w:left w:val="none" w:sz="0" w:space="0" w:color="auto"/>
        <w:bottom w:val="none" w:sz="0" w:space="0" w:color="auto"/>
        <w:right w:val="none" w:sz="0" w:space="0" w:color="auto"/>
      </w:divBdr>
    </w:div>
    <w:div w:id="744259170">
      <w:bodyDiv w:val="1"/>
      <w:marLeft w:val="0"/>
      <w:marRight w:val="0"/>
      <w:marTop w:val="0"/>
      <w:marBottom w:val="0"/>
      <w:divBdr>
        <w:top w:val="none" w:sz="0" w:space="0" w:color="auto"/>
        <w:left w:val="none" w:sz="0" w:space="0" w:color="auto"/>
        <w:bottom w:val="none" w:sz="0" w:space="0" w:color="auto"/>
        <w:right w:val="none" w:sz="0" w:space="0" w:color="auto"/>
      </w:divBdr>
    </w:div>
    <w:div w:id="750737420">
      <w:bodyDiv w:val="1"/>
      <w:marLeft w:val="0"/>
      <w:marRight w:val="0"/>
      <w:marTop w:val="0"/>
      <w:marBottom w:val="0"/>
      <w:divBdr>
        <w:top w:val="none" w:sz="0" w:space="0" w:color="auto"/>
        <w:left w:val="none" w:sz="0" w:space="0" w:color="auto"/>
        <w:bottom w:val="none" w:sz="0" w:space="0" w:color="auto"/>
        <w:right w:val="none" w:sz="0" w:space="0" w:color="auto"/>
      </w:divBdr>
      <w:divsChild>
        <w:div w:id="1286042938">
          <w:marLeft w:val="0"/>
          <w:marRight w:val="0"/>
          <w:marTop w:val="0"/>
          <w:marBottom w:val="0"/>
          <w:divBdr>
            <w:top w:val="none" w:sz="0" w:space="0" w:color="auto"/>
            <w:left w:val="none" w:sz="0" w:space="0" w:color="auto"/>
            <w:bottom w:val="none" w:sz="0" w:space="0" w:color="auto"/>
            <w:right w:val="none" w:sz="0" w:space="0" w:color="auto"/>
          </w:divBdr>
          <w:divsChild>
            <w:div w:id="509295712">
              <w:marLeft w:val="0"/>
              <w:marRight w:val="0"/>
              <w:marTop w:val="0"/>
              <w:marBottom w:val="0"/>
              <w:divBdr>
                <w:top w:val="none" w:sz="0" w:space="0" w:color="auto"/>
                <w:left w:val="none" w:sz="0" w:space="0" w:color="auto"/>
                <w:bottom w:val="none" w:sz="0" w:space="0" w:color="auto"/>
                <w:right w:val="none" w:sz="0" w:space="0" w:color="auto"/>
              </w:divBdr>
              <w:divsChild>
                <w:div w:id="550961723">
                  <w:marLeft w:val="0"/>
                  <w:marRight w:val="0"/>
                  <w:marTop w:val="0"/>
                  <w:marBottom w:val="0"/>
                  <w:divBdr>
                    <w:top w:val="none" w:sz="0" w:space="0" w:color="auto"/>
                    <w:left w:val="none" w:sz="0" w:space="0" w:color="auto"/>
                    <w:bottom w:val="none" w:sz="0" w:space="0" w:color="auto"/>
                    <w:right w:val="none" w:sz="0" w:space="0" w:color="auto"/>
                  </w:divBdr>
                  <w:divsChild>
                    <w:div w:id="1472013806">
                      <w:marLeft w:val="0"/>
                      <w:marRight w:val="0"/>
                      <w:marTop w:val="0"/>
                      <w:marBottom w:val="0"/>
                      <w:divBdr>
                        <w:top w:val="none" w:sz="0" w:space="0" w:color="auto"/>
                        <w:left w:val="none" w:sz="0" w:space="0" w:color="auto"/>
                        <w:bottom w:val="none" w:sz="0" w:space="0" w:color="auto"/>
                        <w:right w:val="none" w:sz="0" w:space="0" w:color="auto"/>
                      </w:divBdr>
                      <w:divsChild>
                        <w:div w:id="799348517">
                          <w:marLeft w:val="0"/>
                          <w:marRight w:val="0"/>
                          <w:marTop w:val="0"/>
                          <w:marBottom w:val="0"/>
                          <w:divBdr>
                            <w:top w:val="none" w:sz="0" w:space="0" w:color="auto"/>
                            <w:left w:val="none" w:sz="0" w:space="0" w:color="auto"/>
                            <w:bottom w:val="none" w:sz="0" w:space="0" w:color="auto"/>
                            <w:right w:val="none" w:sz="0" w:space="0" w:color="auto"/>
                          </w:divBdr>
                          <w:divsChild>
                            <w:div w:id="1024745250">
                              <w:marLeft w:val="0"/>
                              <w:marRight w:val="0"/>
                              <w:marTop w:val="0"/>
                              <w:marBottom w:val="0"/>
                              <w:divBdr>
                                <w:top w:val="none" w:sz="0" w:space="0" w:color="auto"/>
                                <w:left w:val="none" w:sz="0" w:space="0" w:color="auto"/>
                                <w:bottom w:val="none" w:sz="0" w:space="0" w:color="auto"/>
                                <w:right w:val="none" w:sz="0" w:space="0" w:color="auto"/>
                              </w:divBdr>
                              <w:divsChild>
                                <w:div w:id="1442457631">
                                  <w:marLeft w:val="0"/>
                                  <w:marRight w:val="0"/>
                                  <w:marTop w:val="0"/>
                                  <w:marBottom w:val="0"/>
                                  <w:divBdr>
                                    <w:top w:val="none" w:sz="0" w:space="0" w:color="auto"/>
                                    <w:left w:val="none" w:sz="0" w:space="0" w:color="auto"/>
                                    <w:bottom w:val="none" w:sz="0" w:space="0" w:color="auto"/>
                                    <w:right w:val="none" w:sz="0" w:space="0" w:color="auto"/>
                                  </w:divBdr>
                                  <w:divsChild>
                                    <w:div w:id="1667242648">
                                      <w:marLeft w:val="0"/>
                                      <w:marRight w:val="0"/>
                                      <w:marTop w:val="0"/>
                                      <w:marBottom w:val="0"/>
                                      <w:divBdr>
                                        <w:top w:val="none" w:sz="0" w:space="0" w:color="auto"/>
                                        <w:left w:val="none" w:sz="0" w:space="0" w:color="auto"/>
                                        <w:bottom w:val="none" w:sz="0" w:space="0" w:color="auto"/>
                                        <w:right w:val="none" w:sz="0" w:space="0" w:color="auto"/>
                                      </w:divBdr>
                                      <w:divsChild>
                                        <w:div w:id="1859007798">
                                          <w:marLeft w:val="0"/>
                                          <w:marRight w:val="0"/>
                                          <w:marTop w:val="0"/>
                                          <w:marBottom w:val="0"/>
                                          <w:divBdr>
                                            <w:top w:val="none" w:sz="0" w:space="0" w:color="auto"/>
                                            <w:left w:val="none" w:sz="0" w:space="0" w:color="auto"/>
                                            <w:bottom w:val="none" w:sz="0" w:space="0" w:color="auto"/>
                                            <w:right w:val="none" w:sz="0" w:space="0" w:color="auto"/>
                                          </w:divBdr>
                                          <w:divsChild>
                                            <w:div w:id="1391028511">
                                              <w:marLeft w:val="0"/>
                                              <w:marRight w:val="0"/>
                                              <w:marTop w:val="0"/>
                                              <w:marBottom w:val="0"/>
                                              <w:divBdr>
                                                <w:top w:val="none" w:sz="0" w:space="0" w:color="auto"/>
                                                <w:left w:val="none" w:sz="0" w:space="0" w:color="auto"/>
                                                <w:bottom w:val="none" w:sz="0" w:space="0" w:color="auto"/>
                                                <w:right w:val="none" w:sz="0" w:space="0" w:color="auto"/>
                                              </w:divBdr>
                                              <w:divsChild>
                                                <w:div w:id="80361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396005">
                          <w:marLeft w:val="0"/>
                          <w:marRight w:val="0"/>
                          <w:marTop w:val="0"/>
                          <w:marBottom w:val="0"/>
                          <w:divBdr>
                            <w:top w:val="none" w:sz="0" w:space="0" w:color="auto"/>
                            <w:left w:val="none" w:sz="0" w:space="0" w:color="auto"/>
                            <w:bottom w:val="none" w:sz="0" w:space="0" w:color="auto"/>
                            <w:right w:val="none" w:sz="0" w:space="0" w:color="auto"/>
                          </w:divBdr>
                          <w:divsChild>
                            <w:div w:id="950934442">
                              <w:marLeft w:val="0"/>
                              <w:marRight w:val="0"/>
                              <w:marTop w:val="0"/>
                              <w:marBottom w:val="0"/>
                              <w:divBdr>
                                <w:top w:val="none" w:sz="0" w:space="0" w:color="auto"/>
                                <w:left w:val="none" w:sz="0" w:space="0" w:color="auto"/>
                                <w:bottom w:val="none" w:sz="0" w:space="0" w:color="auto"/>
                                <w:right w:val="none" w:sz="0" w:space="0" w:color="auto"/>
                              </w:divBdr>
                              <w:divsChild>
                                <w:div w:id="19278649">
                                  <w:marLeft w:val="0"/>
                                  <w:marRight w:val="0"/>
                                  <w:marTop w:val="0"/>
                                  <w:marBottom w:val="0"/>
                                  <w:divBdr>
                                    <w:top w:val="none" w:sz="0" w:space="0" w:color="auto"/>
                                    <w:left w:val="none" w:sz="0" w:space="0" w:color="auto"/>
                                    <w:bottom w:val="none" w:sz="0" w:space="0" w:color="auto"/>
                                    <w:right w:val="none" w:sz="0" w:space="0" w:color="auto"/>
                                  </w:divBdr>
                                  <w:divsChild>
                                    <w:div w:id="677734871">
                                      <w:marLeft w:val="0"/>
                                      <w:marRight w:val="0"/>
                                      <w:marTop w:val="0"/>
                                      <w:marBottom w:val="0"/>
                                      <w:divBdr>
                                        <w:top w:val="none" w:sz="0" w:space="0" w:color="auto"/>
                                        <w:left w:val="none" w:sz="0" w:space="0" w:color="auto"/>
                                        <w:bottom w:val="none" w:sz="0" w:space="0" w:color="auto"/>
                                        <w:right w:val="none" w:sz="0" w:space="0" w:color="auto"/>
                                      </w:divBdr>
                                      <w:divsChild>
                                        <w:div w:id="1431467094">
                                          <w:marLeft w:val="0"/>
                                          <w:marRight w:val="0"/>
                                          <w:marTop w:val="0"/>
                                          <w:marBottom w:val="0"/>
                                          <w:divBdr>
                                            <w:top w:val="none" w:sz="0" w:space="0" w:color="auto"/>
                                            <w:left w:val="none" w:sz="0" w:space="0" w:color="auto"/>
                                            <w:bottom w:val="none" w:sz="0" w:space="0" w:color="auto"/>
                                            <w:right w:val="none" w:sz="0" w:space="0" w:color="auto"/>
                                          </w:divBdr>
                                          <w:divsChild>
                                            <w:div w:id="198797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6602626">
                          <w:marLeft w:val="0"/>
                          <w:marRight w:val="0"/>
                          <w:marTop w:val="0"/>
                          <w:marBottom w:val="0"/>
                          <w:divBdr>
                            <w:top w:val="none" w:sz="0" w:space="0" w:color="auto"/>
                            <w:left w:val="none" w:sz="0" w:space="0" w:color="auto"/>
                            <w:bottom w:val="none" w:sz="0" w:space="0" w:color="auto"/>
                            <w:right w:val="none" w:sz="0" w:space="0" w:color="auto"/>
                          </w:divBdr>
                          <w:divsChild>
                            <w:div w:id="1788430357">
                              <w:marLeft w:val="0"/>
                              <w:marRight w:val="0"/>
                              <w:marTop w:val="0"/>
                              <w:marBottom w:val="0"/>
                              <w:divBdr>
                                <w:top w:val="none" w:sz="0" w:space="0" w:color="auto"/>
                                <w:left w:val="none" w:sz="0" w:space="0" w:color="auto"/>
                                <w:bottom w:val="none" w:sz="0" w:space="0" w:color="auto"/>
                                <w:right w:val="none" w:sz="0" w:space="0" w:color="auto"/>
                              </w:divBdr>
                              <w:divsChild>
                                <w:div w:id="916985794">
                                  <w:marLeft w:val="0"/>
                                  <w:marRight w:val="0"/>
                                  <w:marTop w:val="0"/>
                                  <w:marBottom w:val="0"/>
                                  <w:divBdr>
                                    <w:top w:val="none" w:sz="0" w:space="0" w:color="auto"/>
                                    <w:left w:val="none" w:sz="0" w:space="0" w:color="auto"/>
                                    <w:bottom w:val="none" w:sz="0" w:space="0" w:color="auto"/>
                                    <w:right w:val="none" w:sz="0" w:space="0" w:color="auto"/>
                                  </w:divBdr>
                                  <w:divsChild>
                                    <w:div w:id="1312641191">
                                      <w:marLeft w:val="0"/>
                                      <w:marRight w:val="0"/>
                                      <w:marTop w:val="0"/>
                                      <w:marBottom w:val="0"/>
                                      <w:divBdr>
                                        <w:top w:val="none" w:sz="0" w:space="0" w:color="auto"/>
                                        <w:left w:val="none" w:sz="0" w:space="0" w:color="auto"/>
                                        <w:bottom w:val="none" w:sz="0" w:space="0" w:color="auto"/>
                                        <w:right w:val="none" w:sz="0" w:space="0" w:color="auto"/>
                                      </w:divBdr>
                                    </w:div>
                                  </w:divsChild>
                                </w:div>
                                <w:div w:id="1390225997">
                                  <w:marLeft w:val="0"/>
                                  <w:marRight w:val="0"/>
                                  <w:marTop w:val="0"/>
                                  <w:marBottom w:val="0"/>
                                  <w:divBdr>
                                    <w:top w:val="none" w:sz="0" w:space="0" w:color="auto"/>
                                    <w:left w:val="none" w:sz="0" w:space="0" w:color="auto"/>
                                    <w:bottom w:val="none" w:sz="0" w:space="0" w:color="auto"/>
                                    <w:right w:val="none" w:sz="0" w:space="0" w:color="auto"/>
                                  </w:divBdr>
                                  <w:divsChild>
                                    <w:div w:id="1531988859">
                                      <w:marLeft w:val="0"/>
                                      <w:marRight w:val="0"/>
                                      <w:marTop w:val="0"/>
                                      <w:marBottom w:val="0"/>
                                      <w:divBdr>
                                        <w:top w:val="none" w:sz="0" w:space="0" w:color="auto"/>
                                        <w:left w:val="none" w:sz="0" w:space="0" w:color="auto"/>
                                        <w:bottom w:val="none" w:sz="0" w:space="0" w:color="auto"/>
                                        <w:right w:val="none" w:sz="0" w:space="0" w:color="auto"/>
                                      </w:divBdr>
                                      <w:divsChild>
                                        <w:div w:id="240408021">
                                          <w:marLeft w:val="0"/>
                                          <w:marRight w:val="0"/>
                                          <w:marTop w:val="0"/>
                                          <w:marBottom w:val="0"/>
                                          <w:divBdr>
                                            <w:top w:val="none" w:sz="0" w:space="0" w:color="auto"/>
                                            <w:left w:val="none" w:sz="0" w:space="0" w:color="auto"/>
                                            <w:bottom w:val="none" w:sz="0" w:space="0" w:color="auto"/>
                                            <w:right w:val="none" w:sz="0" w:space="0" w:color="auto"/>
                                          </w:divBdr>
                                          <w:divsChild>
                                            <w:div w:id="76194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9708405">
          <w:marLeft w:val="0"/>
          <w:marRight w:val="0"/>
          <w:marTop w:val="0"/>
          <w:marBottom w:val="0"/>
          <w:divBdr>
            <w:top w:val="none" w:sz="0" w:space="0" w:color="auto"/>
            <w:left w:val="none" w:sz="0" w:space="0" w:color="auto"/>
            <w:bottom w:val="none" w:sz="0" w:space="0" w:color="auto"/>
            <w:right w:val="none" w:sz="0" w:space="0" w:color="auto"/>
          </w:divBdr>
          <w:divsChild>
            <w:div w:id="1781951372">
              <w:marLeft w:val="0"/>
              <w:marRight w:val="0"/>
              <w:marTop w:val="0"/>
              <w:marBottom w:val="0"/>
              <w:divBdr>
                <w:top w:val="none" w:sz="0" w:space="0" w:color="auto"/>
                <w:left w:val="none" w:sz="0" w:space="0" w:color="auto"/>
                <w:bottom w:val="none" w:sz="0" w:space="0" w:color="auto"/>
                <w:right w:val="none" w:sz="0" w:space="0" w:color="auto"/>
              </w:divBdr>
              <w:divsChild>
                <w:div w:id="1611821060">
                  <w:marLeft w:val="0"/>
                  <w:marRight w:val="0"/>
                  <w:marTop w:val="0"/>
                  <w:marBottom w:val="0"/>
                  <w:divBdr>
                    <w:top w:val="none" w:sz="0" w:space="0" w:color="auto"/>
                    <w:left w:val="none" w:sz="0" w:space="0" w:color="auto"/>
                    <w:bottom w:val="none" w:sz="0" w:space="0" w:color="auto"/>
                    <w:right w:val="none" w:sz="0" w:space="0" w:color="auto"/>
                  </w:divBdr>
                  <w:divsChild>
                    <w:div w:id="2087725909">
                      <w:marLeft w:val="0"/>
                      <w:marRight w:val="0"/>
                      <w:marTop w:val="0"/>
                      <w:marBottom w:val="0"/>
                      <w:divBdr>
                        <w:top w:val="none" w:sz="0" w:space="0" w:color="auto"/>
                        <w:left w:val="none" w:sz="0" w:space="0" w:color="auto"/>
                        <w:bottom w:val="none" w:sz="0" w:space="0" w:color="auto"/>
                        <w:right w:val="none" w:sz="0" w:space="0" w:color="auto"/>
                      </w:divBdr>
                      <w:divsChild>
                        <w:div w:id="859509971">
                          <w:marLeft w:val="0"/>
                          <w:marRight w:val="0"/>
                          <w:marTop w:val="0"/>
                          <w:marBottom w:val="0"/>
                          <w:divBdr>
                            <w:top w:val="none" w:sz="0" w:space="0" w:color="auto"/>
                            <w:left w:val="none" w:sz="0" w:space="0" w:color="auto"/>
                            <w:bottom w:val="none" w:sz="0" w:space="0" w:color="auto"/>
                            <w:right w:val="none" w:sz="0" w:space="0" w:color="auto"/>
                          </w:divBdr>
                          <w:divsChild>
                            <w:div w:id="852231433">
                              <w:marLeft w:val="0"/>
                              <w:marRight w:val="0"/>
                              <w:marTop w:val="0"/>
                              <w:marBottom w:val="0"/>
                              <w:divBdr>
                                <w:top w:val="none" w:sz="0" w:space="0" w:color="auto"/>
                                <w:left w:val="none" w:sz="0" w:space="0" w:color="auto"/>
                                <w:bottom w:val="none" w:sz="0" w:space="0" w:color="auto"/>
                                <w:right w:val="none" w:sz="0" w:space="0" w:color="auto"/>
                              </w:divBdr>
                              <w:divsChild>
                                <w:div w:id="942029963">
                                  <w:marLeft w:val="0"/>
                                  <w:marRight w:val="0"/>
                                  <w:marTop w:val="0"/>
                                  <w:marBottom w:val="0"/>
                                  <w:divBdr>
                                    <w:top w:val="none" w:sz="0" w:space="0" w:color="auto"/>
                                    <w:left w:val="none" w:sz="0" w:space="0" w:color="auto"/>
                                    <w:bottom w:val="none" w:sz="0" w:space="0" w:color="auto"/>
                                    <w:right w:val="none" w:sz="0" w:space="0" w:color="auto"/>
                                  </w:divBdr>
                                  <w:divsChild>
                                    <w:div w:id="2125146360">
                                      <w:marLeft w:val="0"/>
                                      <w:marRight w:val="0"/>
                                      <w:marTop w:val="0"/>
                                      <w:marBottom w:val="0"/>
                                      <w:divBdr>
                                        <w:top w:val="none" w:sz="0" w:space="0" w:color="auto"/>
                                        <w:left w:val="none" w:sz="0" w:space="0" w:color="auto"/>
                                        <w:bottom w:val="none" w:sz="0" w:space="0" w:color="auto"/>
                                        <w:right w:val="none" w:sz="0" w:space="0" w:color="auto"/>
                                      </w:divBdr>
                                      <w:divsChild>
                                        <w:div w:id="1253784250">
                                          <w:marLeft w:val="0"/>
                                          <w:marRight w:val="0"/>
                                          <w:marTop w:val="0"/>
                                          <w:marBottom w:val="0"/>
                                          <w:divBdr>
                                            <w:top w:val="none" w:sz="0" w:space="0" w:color="auto"/>
                                            <w:left w:val="none" w:sz="0" w:space="0" w:color="auto"/>
                                            <w:bottom w:val="none" w:sz="0" w:space="0" w:color="auto"/>
                                            <w:right w:val="none" w:sz="0" w:space="0" w:color="auto"/>
                                          </w:divBdr>
                                          <w:divsChild>
                                            <w:div w:id="263390333">
                                              <w:marLeft w:val="0"/>
                                              <w:marRight w:val="0"/>
                                              <w:marTop w:val="0"/>
                                              <w:marBottom w:val="0"/>
                                              <w:divBdr>
                                                <w:top w:val="none" w:sz="0" w:space="0" w:color="auto"/>
                                                <w:left w:val="none" w:sz="0" w:space="0" w:color="auto"/>
                                                <w:bottom w:val="none" w:sz="0" w:space="0" w:color="auto"/>
                                                <w:right w:val="none" w:sz="0" w:space="0" w:color="auto"/>
                                              </w:divBdr>
                                              <w:divsChild>
                                                <w:div w:id="153245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1974834">
      <w:bodyDiv w:val="1"/>
      <w:marLeft w:val="0"/>
      <w:marRight w:val="0"/>
      <w:marTop w:val="0"/>
      <w:marBottom w:val="0"/>
      <w:divBdr>
        <w:top w:val="none" w:sz="0" w:space="0" w:color="auto"/>
        <w:left w:val="none" w:sz="0" w:space="0" w:color="auto"/>
        <w:bottom w:val="none" w:sz="0" w:space="0" w:color="auto"/>
        <w:right w:val="none" w:sz="0" w:space="0" w:color="auto"/>
      </w:divBdr>
    </w:div>
    <w:div w:id="753284260">
      <w:bodyDiv w:val="1"/>
      <w:marLeft w:val="0"/>
      <w:marRight w:val="0"/>
      <w:marTop w:val="0"/>
      <w:marBottom w:val="0"/>
      <w:divBdr>
        <w:top w:val="none" w:sz="0" w:space="0" w:color="auto"/>
        <w:left w:val="none" w:sz="0" w:space="0" w:color="auto"/>
        <w:bottom w:val="none" w:sz="0" w:space="0" w:color="auto"/>
        <w:right w:val="none" w:sz="0" w:space="0" w:color="auto"/>
      </w:divBdr>
    </w:div>
    <w:div w:id="757484717">
      <w:bodyDiv w:val="1"/>
      <w:marLeft w:val="0"/>
      <w:marRight w:val="0"/>
      <w:marTop w:val="0"/>
      <w:marBottom w:val="0"/>
      <w:divBdr>
        <w:top w:val="none" w:sz="0" w:space="0" w:color="auto"/>
        <w:left w:val="none" w:sz="0" w:space="0" w:color="auto"/>
        <w:bottom w:val="none" w:sz="0" w:space="0" w:color="auto"/>
        <w:right w:val="none" w:sz="0" w:space="0" w:color="auto"/>
      </w:divBdr>
    </w:div>
    <w:div w:id="759260536">
      <w:bodyDiv w:val="1"/>
      <w:marLeft w:val="0"/>
      <w:marRight w:val="0"/>
      <w:marTop w:val="0"/>
      <w:marBottom w:val="0"/>
      <w:divBdr>
        <w:top w:val="none" w:sz="0" w:space="0" w:color="auto"/>
        <w:left w:val="none" w:sz="0" w:space="0" w:color="auto"/>
        <w:bottom w:val="none" w:sz="0" w:space="0" w:color="auto"/>
        <w:right w:val="none" w:sz="0" w:space="0" w:color="auto"/>
      </w:divBdr>
    </w:div>
    <w:div w:id="783580808">
      <w:bodyDiv w:val="1"/>
      <w:marLeft w:val="0"/>
      <w:marRight w:val="0"/>
      <w:marTop w:val="0"/>
      <w:marBottom w:val="0"/>
      <w:divBdr>
        <w:top w:val="none" w:sz="0" w:space="0" w:color="auto"/>
        <w:left w:val="none" w:sz="0" w:space="0" w:color="auto"/>
        <w:bottom w:val="none" w:sz="0" w:space="0" w:color="auto"/>
        <w:right w:val="none" w:sz="0" w:space="0" w:color="auto"/>
      </w:divBdr>
    </w:div>
    <w:div w:id="811946795">
      <w:bodyDiv w:val="1"/>
      <w:marLeft w:val="0"/>
      <w:marRight w:val="0"/>
      <w:marTop w:val="0"/>
      <w:marBottom w:val="0"/>
      <w:divBdr>
        <w:top w:val="none" w:sz="0" w:space="0" w:color="auto"/>
        <w:left w:val="none" w:sz="0" w:space="0" w:color="auto"/>
        <w:bottom w:val="none" w:sz="0" w:space="0" w:color="auto"/>
        <w:right w:val="none" w:sz="0" w:space="0" w:color="auto"/>
      </w:divBdr>
    </w:div>
    <w:div w:id="820076999">
      <w:bodyDiv w:val="1"/>
      <w:marLeft w:val="0"/>
      <w:marRight w:val="0"/>
      <w:marTop w:val="0"/>
      <w:marBottom w:val="0"/>
      <w:divBdr>
        <w:top w:val="none" w:sz="0" w:space="0" w:color="auto"/>
        <w:left w:val="none" w:sz="0" w:space="0" w:color="auto"/>
        <w:bottom w:val="none" w:sz="0" w:space="0" w:color="auto"/>
        <w:right w:val="none" w:sz="0" w:space="0" w:color="auto"/>
      </w:divBdr>
    </w:div>
    <w:div w:id="828668755">
      <w:bodyDiv w:val="1"/>
      <w:marLeft w:val="0"/>
      <w:marRight w:val="0"/>
      <w:marTop w:val="0"/>
      <w:marBottom w:val="0"/>
      <w:divBdr>
        <w:top w:val="none" w:sz="0" w:space="0" w:color="auto"/>
        <w:left w:val="none" w:sz="0" w:space="0" w:color="auto"/>
        <w:bottom w:val="none" w:sz="0" w:space="0" w:color="auto"/>
        <w:right w:val="none" w:sz="0" w:space="0" w:color="auto"/>
      </w:divBdr>
      <w:divsChild>
        <w:div w:id="306126861">
          <w:marLeft w:val="0"/>
          <w:marRight w:val="0"/>
          <w:marTop w:val="0"/>
          <w:marBottom w:val="0"/>
          <w:divBdr>
            <w:top w:val="none" w:sz="0" w:space="0" w:color="auto"/>
            <w:left w:val="none" w:sz="0" w:space="0" w:color="auto"/>
            <w:bottom w:val="none" w:sz="0" w:space="0" w:color="auto"/>
            <w:right w:val="none" w:sz="0" w:space="0" w:color="auto"/>
          </w:divBdr>
          <w:divsChild>
            <w:div w:id="501431351">
              <w:marLeft w:val="0"/>
              <w:marRight w:val="0"/>
              <w:marTop w:val="0"/>
              <w:marBottom w:val="0"/>
              <w:divBdr>
                <w:top w:val="none" w:sz="0" w:space="0" w:color="auto"/>
                <w:left w:val="none" w:sz="0" w:space="0" w:color="auto"/>
                <w:bottom w:val="none" w:sz="0" w:space="0" w:color="auto"/>
                <w:right w:val="none" w:sz="0" w:space="0" w:color="auto"/>
              </w:divBdr>
              <w:divsChild>
                <w:div w:id="349256469">
                  <w:marLeft w:val="0"/>
                  <w:marRight w:val="0"/>
                  <w:marTop w:val="0"/>
                  <w:marBottom w:val="0"/>
                  <w:divBdr>
                    <w:top w:val="none" w:sz="0" w:space="0" w:color="auto"/>
                    <w:left w:val="none" w:sz="0" w:space="0" w:color="auto"/>
                    <w:bottom w:val="none" w:sz="0" w:space="0" w:color="auto"/>
                    <w:right w:val="none" w:sz="0" w:space="0" w:color="auto"/>
                  </w:divBdr>
                  <w:divsChild>
                    <w:div w:id="1176188939">
                      <w:marLeft w:val="0"/>
                      <w:marRight w:val="0"/>
                      <w:marTop w:val="0"/>
                      <w:marBottom w:val="0"/>
                      <w:divBdr>
                        <w:top w:val="none" w:sz="0" w:space="0" w:color="auto"/>
                        <w:left w:val="none" w:sz="0" w:space="0" w:color="auto"/>
                        <w:bottom w:val="none" w:sz="0" w:space="0" w:color="auto"/>
                        <w:right w:val="none" w:sz="0" w:space="0" w:color="auto"/>
                      </w:divBdr>
                      <w:divsChild>
                        <w:div w:id="108537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1798256">
      <w:bodyDiv w:val="1"/>
      <w:marLeft w:val="0"/>
      <w:marRight w:val="0"/>
      <w:marTop w:val="0"/>
      <w:marBottom w:val="0"/>
      <w:divBdr>
        <w:top w:val="none" w:sz="0" w:space="0" w:color="auto"/>
        <w:left w:val="none" w:sz="0" w:space="0" w:color="auto"/>
        <w:bottom w:val="none" w:sz="0" w:space="0" w:color="auto"/>
        <w:right w:val="none" w:sz="0" w:space="0" w:color="auto"/>
      </w:divBdr>
    </w:div>
    <w:div w:id="832574176">
      <w:bodyDiv w:val="1"/>
      <w:marLeft w:val="0"/>
      <w:marRight w:val="0"/>
      <w:marTop w:val="0"/>
      <w:marBottom w:val="0"/>
      <w:divBdr>
        <w:top w:val="none" w:sz="0" w:space="0" w:color="auto"/>
        <w:left w:val="none" w:sz="0" w:space="0" w:color="auto"/>
        <w:bottom w:val="none" w:sz="0" w:space="0" w:color="auto"/>
        <w:right w:val="none" w:sz="0" w:space="0" w:color="auto"/>
      </w:divBdr>
    </w:div>
    <w:div w:id="836924068">
      <w:bodyDiv w:val="1"/>
      <w:marLeft w:val="0"/>
      <w:marRight w:val="0"/>
      <w:marTop w:val="0"/>
      <w:marBottom w:val="0"/>
      <w:divBdr>
        <w:top w:val="none" w:sz="0" w:space="0" w:color="auto"/>
        <w:left w:val="none" w:sz="0" w:space="0" w:color="auto"/>
        <w:bottom w:val="none" w:sz="0" w:space="0" w:color="auto"/>
        <w:right w:val="none" w:sz="0" w:space="0" w:color="auto"/>
      </w:divBdr>
    </w:div>
    <w:div w:id="843203632">
      <w:bodyDiv w:val="1"/>
      <w:marLeft w:val="0"/>
      <w:marRight w:val="0"/>
      <w:marTop w:val="0"/>
      <w:marBottom w:val="0"/>
      <w:divBdr>
        <w:top w:val="none" w:sz="0" w:space="0" w:color="auto"/>
        <w:left w:val="none" w:sz="0" w:space="0" w:color="auto"/>
        <w:bottom w:val="none" w:sz="0" w:space="0" w:color="auto"/>
        <w:right w:val="none" w:sz="0" w:space="0" w:color="auto"/>
      </w:divBdr>
      <w:divsChild>
        <w:div w:id="353729496">
          <w:marLeft w:val="0"/>
          <w:marRight w:val="0"/>
          <w:marTop w:val="0"/>
          <w:marBottom w:val="0"/>
          <w:divBdr>
            <w:top w:val="none" w:sz="0" w:space="0" w:color="auto"/>
            <w:left w:val="none" w:sz="0" w:space="0" w:color="auto"/>
            <w:bottom w:val="none" w:sz="0" w:space="0" w:color="auto"/>
            <w:right w:val="none" w:sz="0" w:space="0" w:color="auto"/>
          </w:divBdr>
        </w:div>
      </w:divsChild>
    </w:div>
    <w:div w:id="844518087">
      <w:bodyDiv w:val="1"/>
      <w:marLeft w:val="0"/>
      <w:marRight w:val="0"/>
      <w:marTop w:val="0"/>
      <w:marBottom w:val="0"/>
      <w:divBdr>
        <w:top w:val="none" w:sz="0" w:space="0" w:color="auto"/>
        <w:left w:val="none" w:sz="0" w:space="0" w:color="auto"/>
        <w:bottom w:val="none" w:sz="0" w:space="0" w:color="auto"/>
        <w:right w:val="none" w:sz="0" w:space="0" w:color="auto"/>
      </w:divBdr>
    </w:div>
    <w:div w:id="852720755">
      <w:bodyDiv w:val="1"/>
      <w:marLeft w:val="0"/>
      <w:marRight w:val="0"/>
      <w:marTop w:val="0"/>
      <w:marBottom w:val="0"/>
      <w:divBdr>
        <w:top w:val="none" w:sz="0" w:space="0" w:color="auto"/>
        <w:left w:val="none" w:sz="0" w:space="0" w:color="auto"/>
        <w:bottom w:val="none" w:sz="0" w:space="0" w:color="auto"/>
        <w:right w:val="none" w:sz="0" w:space="0" w:color="auto"/>
      </w:divBdr>
    </w:div>
    <w:div w:id="861406721">
      <w:bodyDiv w:val="1"/>
      <w:marLeft w:val="0"/>
      <w:marRight w:val="0"/>
      <w:marTop w:val="0"/>
      <w:marBottom w:val="0"/>
      <w:divBdr>
        <w:top w:val="none" w:sz="0" w:space="0" w:color="auto"/>
        <w:left w:val="none" w:sz="0" w:space="0" w:color="auto"/>
        <w:bottom w:val="none" w:sz="0" w:space="0" w:color="auto"/>
        <w:right w:val="none" w:sz="0" w:space="0" w:color="auto"/>
      </w:divBdr>
    </w:div>
    <w:div w:id="866720202">
      <w:bodyDiv w:val="1"/>
      <w:marLeft w:val="0"/>
      <w:marRight w:val="0"/>
      <w:marTop w:val="0"/>
      <w:marBottom w:val="0"/>
      <w:divBdr>
        <w:top w:val="none" w:sz="0" w:space="0" w:color="auto"/>
        <w:left w:val="none" w:sz="0" w:space="0" w:color="auto"/>
        <w:bottom w:val="none" w:sz="0" w:space="0" w:color="auto"/>
        <w:right w:val="none" w:sz="0" w:space="0" w:color="auto"/>
      </w:divBdr>
    </w:div>
    <w:div w:id="867333641">
      <w:bodyDiv w:val="1"/>
      <w:marLeft w:val="0"/>
      <w:marRight w:val="0"/>
      <w:marTop w:val="0"/>
      <w:marBottom w:val="0"/>
      <w:divBdr>
        <w:top w:val="none" w:sz="0" w:space="0" w:color="auto"/>
        <w:left w:val="none" w:sz="0" w:space="0" w:color="auto"/>
        <w:bottom w:val="none" w:sz="0" w:space="0" w:color="auto"/>
        <w:right w:val="none" w:sz="0" w:space="0" w:color="auto"/>
      </w:divBdr>
    </w:div>
    <w:div w:id="888567451">
      <w:bodyDiv w:val="1"/>
      <w:marLeft w:val="0"/>
      <w:marRight w:val="0"/>
      <w:marTop w:val="0"/>
      <w:marBottom w:val="0"/>
      <w:divBdr>
        <w:top w:val="none" w:sz="0" w:space="0" w:color="auto"/>
        <w:left w:val="none" w:sz="0" w:space="0" w:color="auto"/>
        <w:bottom w:val="none" w:sz="0" w:space="0" w:color="auto"/>
        <w:right w:val="none" w:sz="0" w:space="0" w:color="auto"/>
      </w:divBdr>
    </w:div>
    <w:div w:id="890460630">
      <w:bodyDiv w:val="1"/>
      <w:marLeft w:val="0"/>
      <w:marRight w:val="0"/>
      <w:marTop w:val="0"/>
      <w:marBottom w:val="0"/>
      <w:divBdr>
        <w:top w:val="none" w:sz="0" w:space="0" w:color="auto"/>
        <w:left w:val="none" w:sz="0" w:space="0" w:color="auto"/>
        <w:bottom w:val="none" w:sz="0" w:space="0" w:color="auto"/>
        <w:right w:val="none" w:sz="0" w:space="0" w:color="auto"/>
      </w:divBdr>
    </w:div>
    <w:div w:id="896358979">
      <w:bodyDiv w:val="1"/>
      <w:marLeft w:val="0"/>
      <w:marRight w:val="0"/>
      <w:marTop w:val="0"/>
      <w:marBottom w:val="0"/>
      <w:divBdr>
        <w:top w:val="none" w:sz="0" w:space="0" w:color="auto"/>
        <w:left w:val="none" w:sz="0" w:space="0" w:color="auto"/>
        <w:bottom w:val="none" w:sz="0" w:space="0" w:color="auto"/>
        <w:right w:val="none" w:sz="0" w:space="0" w:color="auto"/>
      </w:divBdr>
    </w:div>
    <w:div w:id="899053928">
      <w:bodyDiv w:val="1"/>
      <w:marLeft w:val="0"/>
      <w:marRight w:val="0"/>
      <w:marTop w:val="0"/>
      <w:marBottom w:val="0"/>
      <w:divBdr>
        <w:top w:val="none" w:sz="0" w:space="0" w:color="auto"/>
        <w:left w:val="none" w:sz="0" w:space="0" w:color="auto"/>
        <w:bottom w:val="none" w:sz="0" w:space="0" w:color="auto"/>
        <w:right w:val="none" w:sz="0" w:space="0" w:color="auto"/>
      </w:divBdr>
    </w:div>
    <w:div w:id="910038040">
      <w:bodyDiv w:val="1"/>
      <w:marLeft w:val="0"/>
      <w:marRight w:val="0"/>
      <w:marTop w:val="0"/>
      <w:marBottom w:val="0"/>
      <w:divBdr>
        <w:top w:val="none" w:sz="0" w:space="0" w:color="auto"/>
        <w:left w:val="none" w:sz="0" w:space="0" w:color="auto"/>
        <w:bottom w:val="none" w:sz="0" w:space="0" w:color="auto"/>
        <w:right w:val="none" w:sz="0" w:space="0" w:color="auto"/>
      </w:divBdr>
    </w:div>
    <w:div w:id="917179570">
      <w:bodyDiv w:val="1"/>
      <w:marLeft w:val="0"/>
      <w:marRight w:val="0"/>
      <w:marTop w:val="0"/>
      <w:marBottom w:val="0"/>
      <w:divBdr>
        <w:top w:val="none" w:sz="0" w:space="0" w:color="auto"/>
        <w:left w:val="none" w:sz="0" w:space="0" w:color="auto"/>
        <w:bottom w:val="none" w:sz="0" w:space="0" w:color="auto"/>
        <w:right w:val="none" w:sz="0" w:space="0" w:color="auto"/>
      </w:divBdr>
    </w:div>
    <w:div w:id="918639946">
      <w:bodyDiv w:val="1"/>
      <w:marLeft w:val="0"/>
      <w:marRight w:val="0"/>
      <w:marTop w:val="0"/>
      <w:marBottom w:val="0"/>
      <w:divBdr>
        <w:top w:val="none" w:sz="0" w:space="0" w:color="auto"/>
        <w:left w:val="none" w:sz="0" w:space="0" w:color="auto"/>
        <w:bottom w:val="none" w:sz="0" w:space="0" w:color="auto"/>
        <w:right w:val="none" w:sz="0" w:space="0" w:color="auto"/>
      </w:divBdr>
    </w:div>
    <w:div w:id="922107105">
      <w:bodyDiv w:val="1"/>
      <w:marLeft w:val="0"/>
      <w:marRight w:val="0"/>
      <w:marTop w:val="0"/>
      <w:marBottom w:val="0"/>
      <w:divBdr>
        <w:top w:val="none" w:sz="0" w:space="0" w:color="auto"/>
        <w:left w:val="none" w:sz="0" w:space="0" w:color="auto"/>
        <w:bottom w:val="none" w:sz="0" w:space="0" w:color="auto"/>
        <w:right w:val="none" w:sz="0" w:space="0" w:color="auto"/>
      </w:divBdr>
    </w:div>
    <w:div w:id="927151886">
      <w:bodyDiv w:val="1"/>
      <w:marLeft w:val="0"/>
      <w:marRight w:val="0"/>
      <w:marTop w:val="0"/>
      <w:marBottom w:val="0"/>
      <w:divBdr>
        <w:top w:val="none" w:sz="0" w:space="0" w:color="auto"/>
        <w:left w:val="none" w:sz="0" w:space="0" w:color="auto"/>
        <w:bottom w:val="none" w:sz="0" w:space="0" w:color="auto"/>
        <w:right w:val="none" w:sz="0" w:space="0" w:color="auto"/>
      </w:divBdr>
    </w:div>
    <w:div w:id="931087437">
      <w:bodyDiv w:val="1"/>
      <w:marLeft w:val="0"/>
      <w:marRight w:val="0"/>
      <w:marTop w:val="0"/>
      <w:marBottom w:val="0"/>
      <w:divBdr>
        <w:top w:val="none" w:sz="0" w:space="0" w:color="auto"/>
        <w:left w:val="none" w:sz="0" w:space="0" w:color="auto"/>
        <w:bottom w:val="none" w:sz="0" w:space="0" w:color="auto"/>
        <w:right w:val="none" w:sz="0" w:space="0" w:color="auto"/>
      </w:divBdr>
    </w:div>
    <w:div w:id="938831130">
      <w:bodyDiv w:val="1"/>
      <w:marLeft w:val="0"/>
      <w:marRight w:val="0"/>
      <w:marTop w:val="0"/>
      <w:marBottom w:val="0"/>
      <w:divBdr>
        <w:top w:val="none" w:sz="0" w:space="0" w:color="auto"/>
        <w:left w:val="none" w:sz="0" w:space="0" w:color="auto"/>
        <w:bottom w:val="none" w:sz="0" w:space="0" w:color="auto"/>
        <w:right w:val="none" w:sz="0" w:space="0" w:color="auto"/>
      </w:divBdr>
    </w:div>
    <w:div w:id="950169617">
      <w:bodyDiv w:val="1"/>
      <w:marLeft w:val="0"/>
      <w:marRight w:val="0"/>
      <w:marTop w:val="0"/>
      <w:marBottom w:val="0"/>
      <w:divBdr>
        <w:top w:val="none" w:sz="0" w:space="0" w:color="auto"/>
        <w:left w:val="none" w:sz="0" w:space="0" w:color="auto"/>
        <w:bottom w:val="none" w:sz="0" w:space="0" w:color="auto"/>
        <w:right w:val="none" w:sz="0" w:space="0" w:color="auto"/>
      </w:divBdr>
    </w:div>
    <w:div w:id="950404819">
      <w:bodyDiv w:val="1"/>
      <w:marLeft w:val="0"/>
      <w:marRight w:val="0"/>
      <w:marTop w:val="0"/>
      <w:marBottom w:val="0"/>
      <w:divBdr>
        <w:top w:val="none" w:sz="0" w:space="0" w:color="auto"/>
        <w:left w:val="none" w:sz="0" w:space="0" w:color="auto"/>
        <w:bottom w:val="none" w:sz="0" w:space="0" w:color="auto"/>
        <w:right w:val="none" w:sz="0" w:space="0" w:color="auto"/>
      </w:divBdr>
    </w:div>
    <w:div w:id="957878244">
      <w:bodyDiv w:val="1"/>
      <w:marLeft w:val="0"/>
      <w:marRight w:val="0"/>
      <w:marTop w:val="0"/>
      <w:marBottom w:val="0"/>
      <w:divBdr>
        <w:top w:val="none" w:sz="0" w:space="0" w:color="auto"/>
        <w:left w:val="none" w:sz="0" w:space="0" w:color="auto"/>
        <w:bottom w:val="none" w:sz="0" w:space="0" w:color="auto"/>
        <w:right w:val="none" w:sz="0" w:space="0" w:color="auto"/>
      </w:divBdr>
    </w:div>
    <w:div w:id="959385350">
      <w:bodyDiv w:val="1"/>
      <w:marLeft w:val="0"/>
      <w:marRight w:val="0"/>
      <w:marTop w:val="0"/>
      <w:marBottom w:val="0"/>
      <w:divBdr>
        <w:top w:val="none" w:sz="0" w:space="0" w:color="auto"/>
        <w:left w:val="none" w:sz="0" w:space="0" w:color="auto"/>
        <w:bottom w:val="none" w:sz="0" w:space="0" w:color="auto"/>
        <w:right w:val="none" w:sz="0" w:space="0" w:color="auto"/>
      </w:divBdr>
    </w:div>
    <w:div w:id="959606171">
      <w:bodyDiv w:val="1"/>
      <w:marLeft w:val="0"/>
      <w:marRight w:val="0"/>
      <w:marTop w:val="0"/>
      <w:marBottom w:val="0"/>
      <w:divBdr>
        <w:top w:val="none" w:sz="0" w:space="0" w:color="auto"/>
        <w:left w:val="none" w:sz="0" w:space="0" w:color="auto"/>
        <w:bottom w:val="none" w:sz="0" w:space="0" w:color="auto"/>
        <w:right w:val="none" w:sz="0" w:space="0" w:color="auto"/>
      </w:divBdr>
    </w:div>
    <w:div w:id="963005785">
      <w:bodyDiv w:val="1"/>
      <w:marLeft w:val="0"/>
      <w:marRight w:val="0"/>
      <w:marTop w:val="0"/>
      <w:marBottom w:val="0"/>
      <w:divBdr>
        <w:top w:val="none" w:sz="0" w:space="0" w:color="auto"/>
        <w:left w:val="none" w:sz="0" w:space="0" w:color="auto"/>
        <w:bottom w:val="none" w:sz="0" w:space="0" w:color="auto"/>
        <w:right w:val="none" w:sz="0" w:space="0" w:color="auto"/>
      </w:divBdr>
    </w:div>
    <w:div w:id="970938259">
      <w:bodyDiv w:val="1"/>
      <w:marLeft w:val="0"/>
      <w:marRight w:val="0"/>
      <w:marTop w:val="0"/>
      <w:marBottom w:val="0"/>
      <w:divBdr>
        <w:top w:val="none" w:sz="0" w:space="0" w:color="auto"/>
        <w:left w:val="none" w:sz="0" w:space="0" w:color="auto"/>
        <w:bottom w:val="none" w:sz="0" w:space="0" w:color="auto"/>
        <w:right w:val="none" w:sz="0" w:space="0" w:color="auto"/>
      </w:divBdr>
    </w:div>
    <w:div w:id="984506426">
      <w:bodyDiv w:val="1"/>
      <w:marLeft w:val="0"/>
      <w:marRight w:val="0"/>
      <w:marTop w:val="0"/>
      <w:marBottom w:val="0"/>
      <w:divBdr>
        <w:top w:val="none" w:sz="0" w:space="0" w:color="auto"/>
        <w:left w:val="none" w:sz="0" w:space="0" w:color="auto"/>
        <w:bottom w:val="none" w:sz="0" w:space="0" w:color="auto"/>
        <w:right w:val="none" w:sz="0" w:space="0" w:color="auto"/>
      </w:divBdr>
    </w:div>
    <w:div w:id="995574773">
      <w:bodyDiv w:val="1"/>
      <w:marLeft w:val="0"/>
      <w:marRight w:val="0"/>
      <w:marTop w:val="0"/>
      <w:marBottom w:val="0"/>
      <w:divBdr>
        <w:top w:val="none" w:sz="0" w:space="0" w:color="auto"/>
        <w:left w:val="none" w:sz="0" w:space="0" w:color="auto"/>
        <w:bottom w:val="none" w:sz="0" w:space="0" w:color="auto"/>
        <w:right w:val="none" w:sz="0" w:space="0" w:color="auto"/>
      </w:divBdr>
    </w:div>
    <w:div w:id="1001157671">
      <w:bodyDiv w:val="1"/>
      <w:marLeft w:val="0"/>
      <w:marRight w:val="0"/>
      <w:marTop w:val="0"/>
      <w:marBottom w:val="0"/>
      <w:divBdr>
        <w:top w:val="none" w:sz="0" w:space="0" w:color="auto"/>
        <w:left w:val="none" w:sz="0" w:space="0" w:color="auto"/>
        <w:bottom w:val="none" w:sz="0" w:space="0" w:color="auto"/>
        <w:right w:val="none" w:sz="0" w:space="0" w:color="auto"/>
      </w:divBdr>
    </w:div>
    <w:div w:id="1001810235">
      <w:bodyDiv w:val="1"/>
      <w:marLeft w:val="0"/>
      <w:marRight w:val="0"/>
      <w:marTop w:val="0"/>
      <w:marBottom w:val="0"/>
      <w:divBdr>
        <w:top w:val="none" w:sz="0" w:space="0" w:color="auto"/>
        <w:left w:val="none" w:sz="0" w:space="0" w:color="auto"/>
        <w:bottom w:val="none" w:sz="0" w:space="0" w:color="auto"/>
        <w:right w:val="none" w:sz="0" w:space="0" w:color="auto"/>
      </w:divBdr>
    </w:div>
    <w:div w:id="1011877041">
      <w:bodyDiv w:val="1"/>
      <w:marLeft w:val="0"/>
      <w:marRight w:val="0"/>
      <w:marTop w:val="0"/>
      <w:marBottom w:val="0"/>
      <w:divBdr>
        <w:top w:val="none" w:sz="0" w:space="0" w:color="auto"/>
        <w:left w:val="none" w:sz="0" w:space="0" w:color="auto"/>
        <w:bottom w:val="none" w:sz="0" w:space="0" w:color="auto"/>
        <w:right w:val="none" w:sz="0" w:space="0" w:color="auto"/>
      </w:divBdr>
    </w:div>
    <w:div w:id="1021853984">
      <w:bodyDiv w:val="1"/>
      <w:marLeft w:val="0"/>
      <w:marRight w:val="0"/>
      <w:marTop w:val="0"/>
      <w:marBottom w:val="0"/>
      <w:divBdr>
        <w:top w:val="none" w:sz="0" w:space="0" w:color="auto"/>
        <w:left w:val="none" w:sz="0" w:space="0" w:color="auto"/>
        <w:bottom w:val="none" w:sz="0" w:space="0" w:color="auto"/>
        <w:right w:val="none" w:sz="0" w:space="0" w:color="auto"/>
      </w:divBdr>
    </w:div>
    <w:div w:id="1027870005">
      <w:bodyDiv w:val="1"/>
      <w:marLeft w:val="0"/>
      <w:marRight w:val="0"/>
      <w:marTop w:val="0"/>
      <w:marBottom w:val="0"/>
      <w:divBdr>
        <w:top w:val="none" w:sz="0" w:space="0" w:color="auto"/>
        <w:left w:val="none" w:sz="0" w:space="0" w:color="auto"/>
        <w:bottom w:val="none" w:sz="0" w:space="0" w:color="auto"/>
        <w:right w:val="none" w:sz="0" w:space="0" w:color="auto"/>
      </w:divBdr>
    </w:div>
    <w:div w:id="1044595558">
      <w:bodyDiv w:val="1"/>
      <w:marLeft w:val="0"/>
      <w:marRight w:val="0"/>
      <w:marTop w:val="0"/>
      <w:marBottom w:val="0"/>
      <w:divBdr>
        <w:top w:val="none" w:sz="0" w:space="0" w:color="auto"/>
        <w:left w:val="none" w:sz="0" w:space="0" w:color="auto"/>
        <w:bottom w:val="none" w:sz="0" w:space="0" w:color="auto"/>
        <w:right w:val="none" w:sz="0" w:space="0" w:color="auto"/>
      </w:divBdr>
    </w:div>
    <w:div w:id="1076246020">
      <w:bodyDiv w:val="1"/>
      <w:marLeft w:val="0"/>
      <w:marRight w:val="0"/>
      <w:marTop w:val="0"/>
      <w:marBottom w:val="0"/>
      <w:divBdr>
        <w:top w:val="none" w:sz="0" w:space="0" w:color="auto"/>
        <w:left w:val="none" w:sz="0" w:space="0" w:color="auto"/>
        <w:bottom w:val="none" w:sz="0" w:space="0" w:color="auto"/>
        <w:right w:val="none" w:sz="0" w:space="0" w:color="auto"/>
      </w:divBdr>
    </w:div>
    <w:div w:id="1079135704">
      <w:bodyDiv w:val="1"/>
      <w:marLeft w:val="0"/>
      <w:marRight w:val="0"/>
      <w:marTop w:val="0"/>
      <w:marBottom w:val="0"/>
      <w:divBdr>
        <w:top w:val="none" w:sz="0" w:space="0" w:color="auto"/>
        <w:left w:val="none" w:sz="0" w:space="0" w:color="auto"/>
        <w:bottom w:val="none" w:sz="0" w:space="0" w:color="auto"/>
        <w:right w:val="none" w:sz="0" w:space="0" w:color="auto"/>
      </w:divBdr>
    </w:div>
    <w:div w:id="1079713365">
      <w:bodyDiv w:val="1"/>
      <w:marLeft w:val="0"/>
      <w:marRight w:val="0"/>
      <w:marTop w:val="0"/>
      <w:marBottom w:val="0"/>
      <w:divBdr>
        <w:top w:val="none" w:sz="0" w:space="0" w:color="auto"/>
        <w:left w:val="none" w:sz="0" w:space="0" w:color="auto"/>
        <w:bottom w:val="none" w:sz="0" w:space="0" w:color="auto"/>
        <w:right w:val="none" w:sz="0" w:space="0" w:color="auto"/>
      </w:divBdr>
    </w:div>
    <w:div w:id="1079905030">
      <w:bodyDiv w:val="1"/>
      <w:marLeft w:val="0"/>
      <w:marRight w:val="0"/>
      <w:marTop w:val="0"/>
      <w:marBottom w:val="0"/>
      <w:divBdr>
        <w:top w:val="none" w:sz="0" w:space="0" w:color="auto"/>
        <w:left w:val="none" w:sz="0" w:space="0" w:color="auto"/>
        <w:bottom w:val="none" w:sz="0" w:space="0" w:color="auto"/>
        <w:right w:val="none" w:sz="0" w:space="0" w:color="auto"/>
      </w:divBdr>
    </w:div>
    <w:div w:id="1087266970">
      <w:bodyDiv w:val="1"/>
      <w:marLeft w:val="0"/>
      <w:marRight w:val="0"/>
      <w:marTop w:val="0"/>
      <w:marBottom w:val="0"/>
      <w:divBdr>
        <w:top w:val="none" w:sz="0" w:space="0" w:color="auto"/>
        <w:left w:val="none" w:sz="0" w:space="0" w:color="auto"/>
        <w:bottom w:val="none" w:sz="0" w:space="0" w:color="auto"/>
        <w:right w:val="none" w:sz="0" w:space="0" w:color="auto"/>
      </w:divBdr>
    </w:div>
    <w:div w:id="1090345163">
      <w:bodyDiv w:val="1"/>
      <w:marLeft w:val="0"/>
      <w:marRight w:val="0"/>
      <w:marTop w:val="0"/>
      <w:marBottom w:val="0"/>
      <w:divBdr>
        <w:top w:val="none" w:sz="0" w:space="0" w:color="auto"/>
        <w:left w:val="none" w:sz="0" w:space="0" w:color="auto"/>
        <w:bottom w:val="none" w:sz="0" w:space="0" w:color="auto"/>
        <w:right w:val="none" w:sz="0" w:space="0" w:color="auto"/>
      </w:divBdr>
    </w:div>
    <w:div w:id="1102189264">
      <w:bodyDiv w:val="1"/>
      <w:marLeft w:val="0"/>
      <w:marRight w:val="0"/>
      <w:marTop w:val="0"/>
      <w:marBottom w:val="0"/>
      <w:divBdr>
        <w:top w:val="none" w:sz="0" w:space="0" w:color="auto"/>
        <w:left w:val="none" w:sz="0" w:space="0" w:color="auto"/>
        <w:bottom w:val="none" w:sz="0" w:space="0" w:color="auto"/>
        <w:right w:val="none" w:sz="0" w:space="0" w:color="auto"/>
      </w:divBdr>
    </w:div>
    <w:div w:id="1102382442">
      <w:bodyDiv w:val="1"/>
      <w:marLeft w:val="0"/>
      <w:marRight w:val="0"/>
      <w:marTop w:val="0"/>
      <w:marBottom w:val="0"/>
      <w:divBdr>
        <w:top w:val="none" w:sz="0" w:space="0" w:color="auto"/>
        <w:left w:val="none" w:sz="0" w:space="0" w:color="auto"/>
        <w:bottom w:val="none" w:sz="0" w:space="0" w:color="auto"/>
        <w:right w:val="none" w:sz="0" w:space="0" w:color="auto"/>
      </w:divBdr>
    </w:div>
    <w:div w:id="1105924254">
      <w:bodyDiv w:val="1"/>
      <w:marLeft w:val="0"/>
      <w:marRight w:val="0"/>
      <w:marTop w:val="0"/>
      <w:marBottom w:val="0"/>
      <w:divBdr>
        <w:top w:val="none" w:sz="0" w:space="0" w:color="auto"/>
        <w:left w:val="none" w:sz="0" w:space="0" w:color="auto"/>
        <w:bottom w:val="none" w:sz="0" w:space="0" w:color="auto"/>
        <w:right w:val="none" w:sz="0" w:space="0" w:color="auto"/>
      </w:divBdr>
    </w:div>
    <w:div w:id="1113747607">
      <w:bodyDiv w:val="1"/>
      <w:marLeft w:val="0"/>
      <w:marRight w:val="0"/>
      <w:marTop w:val="0"/>
      <w:marBottom w:val="0"/>
      <w:divBdr>
        <w:top w:val="none" w:sz="0" w:space="0" w:color="auto"/>
        <w:left w:val="none" w:sz="0" w:space="0" w:color="auto"/>
        <w:bottom w:val="none" w:sz="0" w:space="0" w:color="auto"/>
        <w:right w:val="none" w:sz="0" w:space="0" w:color="auto"/>
      </w:divBdr>
    </w:div>
    <w:div w:id="1115057593">
      <w:bodyDiv w:val="1"/>
      <w:marLeft w:val="0"/>
      <w:marRight w:val="0"/>
      <w:marTop w:val="0"/>
      <w:marBottom w:val="0"/>
      <w:divBdr>
        <w:top w:val="none" w:sz="0" w:space="0" w:color="auto"/>
        <w:left w:val="none" w:sz="0" w:space="0" w:color="auto"/>
        <w:bottom w:val="none" w:sz="0" w:space="0" w:color="auto"/>
        <w:right w:val="none" w:sz="0" w:space="0" w:color="auto"/>
      </w:divBdr>
    </w:div>
    <w:div w:id="1116487513">
      <w:bodyDiv w:val="1"/>
      <w:marLeft w:val="0"/>
      <w:marRight w:val="0"/>
      <w:marTop w:val="0"/>
      <w:marBottom w:val="0"/>
      <w:divBdr>
        <w:top w:val="none" w:sz="0" w:space="0" w:color="auto"/>
        <w:left w:val="none" w:sz="0" w:space="0" w:color="auto"/>
        <w:bottom w:val="none" w:sz="0" w:space="0" w:color="auto"/>
        <w:right w:val="none" w:sz="0" w:space="0" w:color="auto"/>
      </w:divBdr>
    </w:div>
    <w:div w:id="1116674397">
      <w:bodyDiv w:val="1"/>
      <w:marLeft w:val="0"/>
      <w:marRight w:val="0"/>
      <w:marTop w:val="0"/>
      <w:marBottom w:val="0"/>
      <w:divBdr>
        <w:top w:val="none" w:sz="0" w:space="0" w:color="auto"/>
        <w:left w:val="none" w:sz="0" w:space="0" w:color="auto"/>
        <w:bottom w:val="none" w:sz="0" w:space="0" w:color="auto"/>
        <w:right w:val="none" w:sz="0" w:space="0" w:color="auto"/>
      </w:divBdr>
    </w:div>
    <w:div w:id="1118647803">
      <w:bodyDiv w:val="1"/>
      <w:marLeft w:val="0"/>
      <w:marRight w:val="0"/>
      <w:marTop w:val="0"/>
      <w:marBottom w:val="0"/>
      <w:divBdr>
        <w:top w:val="none" w:sz="0" w:space="0" w:color="auto"/>
        <w:left w:val="none" w:sz="0" w:space="0" w:color="auto"/>
        <w:bottom w:val="none" w:sz="0" w:space="0" w:color="auto"/>
        <w:right w:val="none" w:sz="0" w:space="0" w:color="auto"/>
      </w:divBdr>
    </w:div>
    <w:div w:id="1126121600">
      <w:bodyDiv w:val="1"/>
      <w:marLeft w:val="0"/>
      <w:marRight w:val="0"/>
      <w:marTop w:val="0"/>
      <w:marBottom w:val="0"/>
      <w:divBdr>
        <w:top w:val="none" w:sz="0" w:space="0" w:color="auto"/>
        <w:left w:val="none" w:sz="0" w:space="0" w:color="auto"/>
        <w:bottom w:val="none" w:sz="0" w:space="0" w:color="auto"/>
        <w:right w:val="none" w:sz="0" w:space="0" w:color="auto"/>
      </w:divBdr>
    </w:div>
    <w:div w:id="1126507197">
      <w:bodyDiv w:val="1"/>
      <w:marLeft w:val="0"/>
      <w:marRight w:val="0"/>
      <w:marTop w:val="0"/>
      <w:marBottom w:val="0"/>
      <w:divBdr>
        <w:top w:val="none" w:sz="0" w:space="0" w:color="auto"/>
        <w:left w:val="none" w:sz="0" w:space="0" w:color="auto"/>
        <w:bottom w:val="none" w:sz="0" w:space="0" w:color="auto"/>
        <w:right w:val="none" w:sz="0" w:space="0" w:color="auto"/>
      </w:divBdr>
      <w:divsChild>
        <w:div w:id="100536770">
          <w:marLeft w:val="0"/>
          <w:marRight w:val="0"/>
          <w:marTop w:val="0"/>
          <w:marBottom w:val="0"/>
          <w:divBdr>
            <w:top w:val="none" w:sz="0" w:space="0" w:color="auto"/>
            <w:left w:val="none" w:sz="0" w:space="0" w:color="auto"/>
            <w:bottom w:val="none" w:sz="0" w:space="0" w:color="auto"/>
            <w:right w:val="none" w:sz="0" w:space="0" w:color="auto"/>
          </w:divBdr>
          <w:divsChild>
            <w:div w:id="733085983">
              <w:marLeft w:val="0"/>
              <w:marRight w:val="0"/>
              <w:marTop w:val="0"/>
              <w:marBottom w:val="0"/>
              <w:divBdr>
                <w:top w:val="none" w:sz="0" w:space="0" w:color="auto"/>
                <w:left w:val="none" w:sz="0" w:space="0" w:color="auto"/>
                <w:bottom w:val="none" w:sz="0" w:space="0" w:color="auto"/>
                <w:right w:val="none" w:sz="0" w:space="0" w:color="auto"/>
              </w:divBdr>
              <w:divsChild>
                <w:div w:id="311101361">
                  <w:marLeft w:val="0"/>
                  <w:marRight w:val="0"/>
                  <w:marTop w:val="0"/>
                  <w:marBottom w:val="0"/>
                  <w:divBdr>
                    <w:top w:val="none" w:sz="0" w:space="0" w:color="auto"/>
                    <w:left w:val="none" w:sz="0" w:space="0" w:color="auto"/>
                    <w:bottom w:val="none" w:sz="0" w:space="0" w:color="auto"/>
                    <w:right w:val="none" w:sz="0" w:space="0" w:color="auto"/>
                  </w:divBdr>
                  <w:divsChild>
                    <w:div w:id="948194853">
                      <w:marLeft w:val="0"/>
                      <w:marRight w:val="0"/>
                      <w:marTop w:val="0"/>
                      <w:marBottom w:val="0"/>
                      <w:divBdr>
                        <w:top w:val="none" w:sz="0" w:space="0" w:color="auto"/>
                        <w:left w:val="none" w:sz="0" w:space="0" w:color="auto"/>
                        <w:bottom w:val="none" w:sz="0" w:space="0" w:color="auto"/>
                        <w:right w:val="none" w:sz="0" w:space="0" w:color="auto"/>
                      </w:divBdr>
                      <w:divsChild>
                        <w:div w:id="434987180">
                          <w:marLeft w:val="0"/>
                          <w:marRight w:val="0"/>
                          <w:marTop w:val="0"/>
                          <w:marBottom w:val="0"/>
                          <w:divBdr>
                            <w:top w:val="none" w:sz="0" w:space="0" w:color="auto"/>
                            <w:left w:val="none" w:sz="0" w:space="0" w:color="auto"/>
                            <w:bottom w:val="none" w:sz="0" w:space="0" w:color="auto"/>
                            <w:right w:val="none" w:sz="0" w:space="0" w:color="auto"/>
                          </w:divBdr>
                          <w:divsChild>
                            <w:div w:id="537009862">
                              <w:marLeft w:val="0"/>
                              <w:marRight w:val="0"/>
                              <w:marTop w:val="0"/>
                              <w:marBottom w:val="0"/>
                              <w:divBdr>
                                <w:top w:val="none" w:sz="0" w:space="0" w:color="auto"/>
                                <w:left w:val="none" w:sz="0" w:space="0" w:color="auto"/>
                                <w:bottom w:val="none" w:sz="0" w:space="0" w:color="auto"/>
                                <w:right w:val="none" w:sz="0" w:space="0" w:color="auto"/>
                              </w:divBdr>
                              <w:divsChild>
                                <w:div w:id="1123309648">
                                  <w:marLeft w:val="0"/>
                                  <w:marRight w:val="0"/>
                                  <w:marTop w:val="0"/>
                                  <w:marBottom w:val="0"/>
                                  <w:divBdr>
                                    <w:top w:val="none" w:sz="0" w:space="0" w:color="auto"/>
                                    <w:left w:val="none" w:sz="0" w:space="0" w:color="auto"/>
                                    <w:bottom w:val="none" w:sz="0" w:space="0" w:color="auto"/>
                                    <w:right w:val="none" w:sz="0" w:space="0" w:color="auto"/>
                                  </w:divBdr>
                                  <w:divsChild>
                                    <w:div w:id="193349522">
                                      <w:marLeft w:val="0"/>
                                      <w:marRight w:val="0"/>
                                      <w:marTop w:val="0"/>
                                      <w:marBottom w:val="0"/>
                                      <w:divBdr>
                                        <w:top w:val="none" w:sz="0" w:space="0" w:color="auto"/>
                                        <w:left w:val="none" w:sz="0" w:space="0" w:color="auto"/>
                                        <w:bottom w:val="none" w:sz="0" w:space="0" w:color="auto"/>
                                        <w:right w:val="none" w:sz="0" w:space="0" w:color="auto"/>
                                      </w:divBdr>
                                    </w:div>
                                  </w:divsChild>
                                </w:div>
                                <w:div w:id="1931426193">
                                  <w:marLeft w:val="0"/>
                                  <w:marRight w:val="0"/>
                                  <w:marTop w:val="0"/>
                                  <w:marBottom w:val="0"/>
                                  <w:divBdr>
                                    <w:top w:val="none" w:sz="0" w:space="0" w:color="auto"/>
                                    <w:left w:val="none" w:sz="0" w:space="0" w:color="auto"/>
                                    <w:bottom w:val="none" w:sz="0" w:space="0" w:color="auto"/>
                                    <w:right w:val="none" w:sz="0" w:space="0" w:color="auto"/>
                                  </w:divBdr>
                                  <w:divsChild>
                                    <w:div w:id="2037152953">
                                      <w:marLeft w:val="0"/>
                                      <w:marRight w:val="0"/>
                                      <w:marTop w:val="0"/>
                                      <w:marBottom w:val="0"/>
                                      <w:divBdr>
                                        <w:top w:val="none" w:sz="0" w:space="0" w:color="auto"/>
                                        <w:left w:val="none" w:sz="0" w:space="0" w:color="auto"/>
                                        <w:bottom w:val="none" w:sz="0" w:space="0" w:color="auto"/>
                                        <w:right w:val="none" w:sz="0" w:space="0" w:color="auto"/>
                                      </w:divBdr>
                                      <w:divsChild>
                                        <w:div w:id="1351099901">
                                          <w:marLeft w:val="0"/>
                                          <w:marRight w:val="0"/>
                                          <w:marTop w:val="0"/>
                                          <w:marBottom w:val="0"/>
                                          <w:divBdr>
                                            <w:top w:val="none" w:sz="0" w:space="0" w:color="auto"/>
                                            <w:left w:val="none" w:sz="0" w:space="0" w:color="auto"/>
                                            <w:bottom w:val="none" w:sz="0" w:space="0" w:color="auto"/>
                                            <w:right w:val="none" w:sz="0" w:space="0" w:color="auto"/>
                                          </w:divBdr>
                                          <w:divsChild>
                                            <w:div w:id="15497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7159487">
          <w:marLeft w:val="0"/>
          <w:marRight w:val="0"/>
          <w:marTop w:val="0"/>
          <w:marBottom w:val="0"/>
          <w:divBdr>
            <w:top w:val="none" w:sz="0" w:space="0" w:color="auto"/>
            <w:left w:val="none" w:sz="0" w:space="0" w:color="auto"/>
            <w:bottom w:val="none" w:sz="0" w:space="0" w:color="auto"/>
            <w:right w:val="none" w:sz="0" w:space="0" w:color="auto"/>
          </w:divBdr>
          <w:divsChild>
            <w:div w:id="1680086423">
              <w:marLeft w:val="0"/>
              <w:marRight w:val="0"/>
              <w:marTop w:val="0"/>
              <w:marBottom w:val="0"/>
              <w:divBdr>
                <w:top w:val="none" w:sz="0" w:space="0" w:color="auto"/>
                <w:left w:val="none" w:sz="0" w:space="0" w:color="auto"/>
                <w:bottom w:val="none" w:sz="0" w:space="0" w:color="auto"/>
                <w:right w:val="none" w:sz="0" w:space="0" w:color="auto"/>
              </w:divBdr>
              <w:divsChild>
                <w:div w:id="435711323">
                  <w:marLeft w:val="0"/>
                  <w:marRight w:val="0"/>
                  <w:marTop w:val="0"/>
                  <w:marBottom w:val="0"/>
                  <w:divBdr>
                    <w:top w:val="none" w:sz="0" w:space="0" w:color="auto"/>
                    <w:left w:val="none" w:sz="0" w:space="0" w:color="auto"/>
                    <w:bottom w:val="none" w:sz="0" w:space="0" w:color="auto"/>
                    <w:right w:val="none" w:sz="0" w:space="0" w:color="auto"/>
                  </w:divBdr>
                  <w:divsChild>
                    <w:div w:id="218982571">
                      <w:marLeft w:val="0"/>
                      <w:marRight w:val="0"/>
                      <w:marTop w:val="0"/>
                      <w:marBottom w:val="0"/>
                      <w:divBdr>
                        <w:top w:val="none" w:sz="0" w:space="0" w:color="auto"/>
                        <w:left w:val="none" w:sz="0" w:space="0" w:color="auto"/>
                        <w:bottom w:val="none" w:sz="0" w:space="0" w:color="auto"/>
                        <w:right w:val="none" w:sz="0" w:space="0" w:color="auto"/>
                      </w:divBdr>
                      <w:divsChild>
                        <w:div w:id="2082487150">
                          <w:marLeft w:val="0"/>
                          <w:marRight w:val="0"/>
                          <w:marTop w:val="0"/>
                          <w:marBottom w:val="0"/>
                          <w:divBdr>
                            <w:top w:val="none" w:sz="0" w:space="0" w:color="auto"/>
                            <w:left w:val="none" w:sz="0" w:space="0" w:color="auto"/>
                            <w:bottom w:val="none" w:sz="0" w:space="0" w:color="auto"/>
                            <w:right w:val="none" w:sz="0" w:space="0" w:color="auto"/>
                          </w:divBdr>
                          <w:divsChild>
                            <w:div w:id="1729962750">
                              <w:marLeft w:val="0"/>
                              <w:marRight w:val="0"/>
                              <w:marTop w:val="0"/>
                              <w:marBottom w:val="0"/>
                              <w:divBdr>
                                <w:top w:val="none" w:sz="0" w:space="0" w:color="auto"/>
                                <w:left w:val="none" w:sz="0" w:space="0" w:color="auto"/>
                                <w:bottom w:val="none" w:sz="0" w:space="0" w:color="auto"/>
                                <w:right w:val="none" w:sz="0" w:space="0" w:color="auto"/>
                              </w:divBdr>
                              <w:divsChild>
                                <w:div w:id="470751977">
                                  <w:marLeft w:val="0"/>
                                  <w:marRight w:val="0"/>
                                  <w:marTop w:val="0"/>
                                  <w:marBottom w:val="0"/>
                                  <w:divBdr>
                                    <w:top w:val="none" w:sz="0" w:space="0" w:color="auto"/>
                                    <w:left w:val="none" w:sz="0" w:space="0" w:color="auto"/>
                                    <w:bottom w:val="none" w:sz="0" w:space="0" w:color="auto"/>
                                    <w:right w:val="none" w:sz="0" w:space="0" w:color="auto"/>
                                  </w:divBdr>
                                  <w:divsChild>
                                    <w:div w:id="1481117701">
                                      <w:marLeft w:val="0"/>
                                      <w:marRight w:val="0"/>
                                      <w:marTop w:val="0"/>
                                      <w:marBottom w:val="0"/>
                                      <w:divBdr>
                                        <w:top w:val="none" w:sz="0" w:space="0" w:color="auto"/>
                                        <w:left w:val="none" w:sz="0" w:space="0" w:color="auto"/>
                                        <w:bottom w:val="none" w:sz="0" w:space="0" w:color="auto"/>
                                        <w:right w:val="none" w:sz="0" w:space="0" w:color="auto"/>
                                      </w:divBdr>
                                      <w:divsChild>
                                        <w:div w:id="1613123008">
                                          <w:marLeft w:val="0"/>
                                          <w:marRight w:val="0"/>
                                          <w:marTop w:val="0"/>
                                          <w:marBottom w:val="0"/>
                                          <w:divBdr>
                                            <w:top w:val="none" w:sz="0" w:space="0" w:color="auto"/>
                                            <w:left w:val="none" w:sz="0" w:space="0" w:color="auto"/>
                                            <w:bottom w:val="none" w:sz="0" w:space="0" w:color="auto"/>
                                            <w:right w:val="none" w:sz="0" w:space="0" w:color="auto"/>
                                          </w:divBdr>
                                          <w:divsChild>
                                            <w:div w:id="481044345">
                                              <w:marLeft w:val="0"/>
                                              <w:marRight w:val="0"/>
                                              <w:marTop w:val="0"/>
                                              <w:marBottom w:val="0"/>
                                              <w:divBdr>
                                                <w:top w:val="none" w:sz="0" w:space="0" w:color="auto"/>
                                                <w:left w:val="none" w:sz="0" w:space="0" w:color="auto"/>
                                                <w:bottom w:val="none" w:sz="0" w:space="0" w:color="auto"/>
                                                <w:right w:val="none" w:sz="0" w:space="0" w:color="auto"/>
                                              </w:divBdr>
                                              <w:divsChild>
                                                <w:div w:id="125528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6773193">
      <w:bodyDiv w:val="1"/>
      <w:marLeft w:val="0"/>
      <w:marRight w:val="0"/>
      <w:marTop w:val="0"/>
      <w:marBottom w:val="0"/>
      <w:divBdr>
        <w:top w:val="none" w:sz="0" w:space="0" w:color="auto"/>
        <w:left w:val="none" w:sz="0" w:space="0" w:color="auto"/>
        <w:bottom w:val="none" w:sz="0" w:space="0" w:color="auto"/>
        <w:right w:val="none" w:sz="0" w:space="0" w:color="auto"/>
      </w:divBdr>
    </w:div>
    <w:div w:id="1137067923">
      <w:bodyDiv w:val="1"/>
      <w:marLeft w:val="0"/>
      <w:marRight w:val="0"/>
      <w:marTop w:val="0"/>
      <w:marBottom w:val="0"/>
      <w:divBdr>
        <w:top w:val="none" w:sz="0" w:space="0" w:color="auto"/>
        <w:left w:val="none" w:sz="0" w:space="0" w:color="auto"/>
        <w:bottom w:val="none" w:sz="0" w:space="0" w:color="auto"/>
        <w:right w:val="none" w:sz="0" w:space="0" w:color="auto"/>
      </w:divBdr>
    </w:div>
    <w:div w:id="1140466315">
      <w:bodyDiv w:val="1"/>
      <w:marLeft w:val="0"/>
      <w:marRight w:val="0"/>
      <w:marTop w:val="0"/>
      <w:marBottom w:val="0"/>
      <w:divBdr>
        <w:top w:val="none" w:sz="0" w:space="0" w:color="auto"/>
        <w:left w:val="none" w:sz="0" w:space="0" w:color="auto"/>
        <w:bottom w:val="none" w:sz="0" w:space="0" w:color="auto"/>
        <w:right w:val="none" w:sz="0" w:space="0" w:color="auto"/>
      </w:divBdr>
    </w:div>
    <w:div w:id="1147354223">
      <w:bodyDiv w:val="1"/>
      <w:marLeft w:val="0"/>
      <w:marRight w:val="0"/>
      <w:marTop w:val="0"/>
      <w:marBottom w:val="0"/>
      <w:divBdr>
        <w:top w:val="none" w:sz="0" w:space="0" w:color="auto"/>
        <w:left w:val="none" w:sz="0" w:space="0" w:color="auto"/>
        <w:bottom w:val="none" w:sz="0" w:space="0" w:color="auto"/>
        <w:right w:val="none" w:sz="0" w:space="0" w:color="auto"/>
      </w:divBdr>
    </w:div>
    <w:div w:id="1150295477">
      <w:bodyDiv w:val="1"/>
      <w:marLeft w:val="0"/>
      <w:marRight w:val="0"/>
      <w:marTop w:val="0"/>
      <w:marBottom w:val="0"/>
      <w:divBdr>
        <w:top w:val="none" w:sz="0" w:space="0" w:color="auto"/>
        <w:left w:val="none" w:sz="0" w:space="0" w:color="auto"/>
        <w:bottom w:val="none" w:sz="0" w:space="0" w:color="auto"/>
        <w:right w:val="none" w:sz="0" w:space="0" w:color="auto"/>
      </w:divBdr>
    </w:div>
    <w:div w:id="1154838492">
      <w:bodyDiv w:val="1"/>
      <w:marLeft w:val="0"/>
      <w:marRight w:val="0"/>
      <w:marTop w:val="0"/>
      <w:marBottom w:val="0"/>
      <w:divBdr>
        <w:top w:val="none" w:sz="0" w:space="0" w:color="auto"/>
        <w:left w:val="none" w:sz="0" w:space="0" w:color="auto"/>
        <w:bottom w:val="none" w:sz="0" w:space="0" w:color="auto"/>
        <w:right w:val="none" w:sz="0" w:space="0" w:color="auto"/>
      </w:divBdr>
    </w:div>
    <w:div w:id="1158885905">
      <w:bodyDiv w:val="1"/>
      <w:marLeft w:val="0"/>
      <w:marRight w:val="0"/>
      <w:marTop w:val="0"/>
      <w:marBottom w:val="0"/>
      <w:divBdr>
        <w:top w:val="none" w:sz="0" w:space="0" w:color="auto"/>
        <w:left w:val="none" w:sz="0" w:space="0" w:color="auto"/>
        <w:bottom w:val="none" w:sz="0" w:space="0" w:color="auto"/>
        <w:right w:val="none" w:sz="0" w:space="0" w:color="auto"/>
      </w:divBdr>
      <w:divsChild>
        <w:div w:id="682048391">
          <w:marLeft w:val="0"/>
          <w:marRight w:val="0"/>
          <w:marTop w:val="0"/>
          <w:marBottom w:val="0"/>
          <w:divBdr>
            <w:top w:val="none" w:sz="0" w:space="0" w:color="auto"/>
            <w:left w:val="none" w:sz="0" w:space="0" w:color="auto"/>
            <w:bottom w:val="none" w:sz="0" w:space="0" w:color="auto"/>
            <w:right w:val="none" w:sz="0" w:space="0" w:color="auto"/>
          </w:divBdr>
          <w:divsChild>
            <w:div w:id="1754281538">
              <w:marLeft w:val="0"/>
              <w:marRight w:val="0"/>
              <w:marTop w:val="0"/>
              <w:marBottom w:val="0"/>
              <w:divBdr>
                <w:top w:val="none" w:sz="0" w:space="0" w:color="auto"/>
                <w:left w:val="none" w:sz="0" w:space="0" w:color="auto"/>
                <w:bottom w:val="none" w:sz="0" w:space="0" w:color="auto"/>
                <w:right w:val="none" w:sz="0" w:space="0" w:color="auto"/>
              </w:divBdr>
              <w:divsChild>
                <w:div w:id="869489082">
                  <w:marLeft w:val="0"/>
                  <w:marRight w:val="0"/>
                  <w:marTop w:val="0"/>
                  <w:marBottom w:val="0"/>
                  <w:divBdr>
                    <w:top w:val="none" w:sz="0" w:space="0" w:color="auto"/>
                    <w:left w:val="none" w:sz="0" w:space="0" w:color="auto"/>
                    <w:bottom w:val="none" w:sz="0" w:space="0" w:color="auto"/>
                    <w:right w:val="none" w:sz="0" w:space="0" w:color="auto"/>
                  </w:divBdr>
                  <w:divsChild>
                    <w:div w:id="734664403">
                      <w:marLeft w:val="0"/>
                      <w:marRight w:val="0"/>
                      <w:marTop w:val="0"/>
                      <w:marBottom w:val="0"/>
                      <w:divBdr>
                        <w:top w:val="none" w:sz="0" w:space="0" w:color="auto"/>
                        <w:left w:val="none" w:sz="0" w:space="0" w:color="auto"/>
                        <w:bottom w:val="none" w:sz="0" w:space="0" w:color="auto"/>
                        <w:right w:val="none" w:sz="0" w:space="0" w:color="auto"/>
                      </w:divBdr>
                      <w:divsChild>
                        <w:div w:id="309866220">
                          <w:marLeft w:val="0"/>
                          <w:marRight w:val="0"/>
                          <w:marTop w:val="0"/>
                          <w:marBottom w:val="0"/>
                          <w:divBdr>
                            <w:top w:val="none" w:sz="0" w:space="0" w:color="auto"/>
                            <w:left w:val="none" w:sz="0" w:space="0" w:color="auto"/>
                            <w:bottom w:val="none" w:sz="0" w:space="0" w:color="auto"/>
                            <w:right w:val="none" w:sz="0" w:space="0" w:color="auto"/>
                          </w:divBdr>
                          <w:divsChild>
                            <w:div w:id="808478294">
                              <w:marLeft w:val="0"/>
                              <w:marRight w:val="0"/>
                              <w:marTop w:val="0"/>
                              <w:marBottom w:val="0"/>
                              <w:divBdr>
                                <w:top w:val="none" w:sz="0" w:space="0" w:color="auto"/>
                                <w:left w:val="none" w:sz="0" w:space="0" w:color="auto"/>
                                <w:bottom w:val="none" w:sz="0" w:space="0" w:color="auto"/>
                                <w:right w:val="none" w:sz="0" w:space="0" w:color="auto"/>
                              </w:divBdr>
                              <w:divsChild>
                                <w:div w:id="1655914108">
                                  <w:marLeft w:val="0"/>
                                  <w:marRight w:val="0"/>
                                  <w:marTop w:val="0"/>
                                  <w:marBottom w:val="0"/>
                                  <w:divBdr>
                                    <w:top w:val="none" w:sz="0" w:space="0" w:color="auto"/>
                                    <w:left w:val="none" w:sz="0" w:space="0" w:color="auto"/>
                                    <w:bottom w:val="none" w:sz="0" w:space="0" w:color="auto"/>
                                    <w:right w:val="none" w:sz="0" w:space="0" w:color="auto"/>
                                  </w:divBdr>
                                  <w:divsChild>
                                    <w:div w:id="137454722">
                                      <w:marLeft w:val="0"/>
                                      <w:marRight w:val="0"/>
                                      <w:marTop w:val="0"/>
                                      <w:marBottom w:val="0"/>
                                      <w:divBdr>
                                        <w:top w:val="none" w:sz="0" w:space="0" w:color="auto"/>
                                        <w:left w:val="none" w:sz="0" w:space="0" w:color="auto"/>
                                        <w:bottom w:val="none" w:sz="0" w:space="0" w:color="auto"/>
                                        <w:right w:val="none" w:sz="0" w:space="0" w:color="auto"/>
                                      </w:divBdr>
                                      <w:divsChild>
                                        <w:div w:id="1861814196">
                                          <w:marLeft w:val="0"/>
                                          <w:marRight w:val="0"/>
                                          <w:marTop w:val="0"/>
                                          <w:marBottom w:val="0"/>
                                          <w:divBdr>
                                            <w:top w:val="none" w:sz="0" w:space="0" w:color="auto"/>
                                            <w:left w:val="none" w:sz="0" w:space="0" w:color="auto"/>
                                            <w:bottom w:val="none" w:sz="0" w:space="0" w:color="auto"/>
                                            <w:right w:val="none" w:sz="0" w:space="0" w:color="auto"/>
                                          </w:divBdr>
                                          <w:divsChild>
                                            <w:div w:id="734856128">
                                              <w:marLeft w:val="0"/>
                                              <w:marRight w:val="0"/>
                                              <w:marTop w:val="0"/>
                                              <w:marBottom w:val="0"/>
                                              <w:divBdr>
                                                <w:top w:val="none" w:sz="0" w:space="0" w:color="auto"/>
                                                <w:left w:val="none" w:sz="0" w:space="0" w:color="auto"/>
                                                <w:bottom w:val="none" w:sz="0" w:space="0" w:color="auto"/>
                                                <w:right w:val="none" w:sz="0" w:space="0" w:color="auto"/>
                                              </w:divBdr>
                                              <w:divsChild>
                                                <w:div w:id="102898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9387575">
          <w:marLeft w:val="0"/>
          <w:marRight w:val="0"/>
          <w:marTop w:val="0"/>
          <w:marBottom w:val="0"/>
          <w:divBdr>
            <w:top w:val="none" w:sz="0" w:space="0" w:color="auto"/>
            <w:left w:val="none" w:sz="0" w:space="0" w:color="auto"/>
            <w:bottom w:val="none" w:sz="0" w:space="0" w:color="auto"/>
            <w:right w:val="none" w:sz="0" w:space="0" w:color="auto"/>
          </w:divBdr>
          <w:divsChild>
            <w:div w:id="1739673557">
              <w:marLeft w:val="0"/>
              <w:marRight w:val="0"/>
              <w:marTop w:val="0"/>
              <w:marBottom w:val="0"/>
              <w:divBdr>
                <w:top w:val="none" w:sz="0" w:space="0" w:color="auto"/>
                <w:left w:val="none" w:sz="0" w:space="0" w:color="auto"/>
                <w:bottom w:val="none" w:sz="0" w:space="0" w:color="auto"/>
                <w:right w:val="none" w:sz="0" w:space="0" w:color="auto"/>
              </w:divBdr>
              <w:divsChild>
                <w:div w:id="43991901">
                  <w:marLeft w:val="0"/>
                  <w:marRight w:val="0"/>
                  <w:marTop w:val="0"/>
                  <w:marBottom w:val="0"/>
                  <w:divBdr>
                    <w:top w:val="none" w:sz="0" w:space="0" w:color="auto"/>
                    <w:left w:val="none" w:sz="0" w:space="0" w:color="auto"/>
                    <w:bottom w:val="none" w:sz="0" w:space="0" w:color="auto"/>
                    <w:right w:val="none" w:sz="0" w:space="0" w:color="auto"/>
                  </w:divBdr>
                  <w:divsChild>
                    <w:div w:id="382296331">
                      <w:marLeft w:val="0"/>
                      <w:marRight w:val="0"/>
                      <w:marTop w:val="0"/>
                      <w:marBottom w:val="0"/>
                      <w:divBdr>
                        <w:top w:val="none" w:sz="0" w:space="0" w:color="auto"/>
                        <w:left w:val="none" w:sz="0" w:space="0" w:color="auto"/>
                        <w:bottom w:val="none" w:sz="0" w:space="0" w:color="auto"/>
                        <w:right w:val="none" w:sz="0" w:space="0" w:color="auto"/>
                      </w:divBdr>
                      <w:divsChild>
                        <w:div w:id="782189937">
                          <w:marLeft w:val="0"/>
                          <w:marRight w:val="0"/>
                          <w:marTop w:val="0"/>
                          <w:marBottom w:val="0"/>
                          <w:divBdr>
                            <w:top w:val="none" w:sz="0" w:space="0" w:color="auto"/>
                            <w:left w:val="none" w:sz="0" w:space="0" w:color="auto"/>
                            <w:bottom w:val="none" w:sz="0" w:space="0" w:color="auto"/>
                            <w:right w:val="none" w:sz="0" w:space="0" w:color="auto"/>
                          </w:divBdr>
                          <w:divsChild>
                            <w:div w:id="724333887">
                              <w:marLeft w:val="0"/>
                              <w:marRight w:val="0"/>
                              <w:marTop w:val="0"/>
                              <w:marBottom w:val="0"/>
                              <w:divBdr>
                                <w:top w:val="none" w:sz="0" w:space="0" w:color="auto"/>
                                <w:left w:val="none" w:sz="0" w:space="0" w:color="auto"/>
                                <w:bottom w:val="none" w:sz="0" w:space="0" w:color="auto"/>
                                <w:right w:val="none" w:sz="0" w:space="0" w:color="auto"/>
                              </w:divBdr>
                              <w:divsChild>
                                <w:div w:id="1301226546">
                                  <w:marLeft w:val="0"/>
                                  <w:marRight w:val="0"/>
                                  <w:marTop w:val="0"/>
                                  <w:marBottom w:val="0"/>
                                  <w:divBdr>
                                    <w:top w:val="none" w:sz="0" w:space="0" w:color="auto"/>
                                    <w:left w:val="none" w:sz="0" w:space="0" w:color="auto"/>
                                    <w:bottom w:val="none" w:sz="0" w:space="0" w:color="auto"/>
                                    <w:right w:val="none" w:sz="0" w:space="0" w:color="auto"/>
                                  </w:divBdr>
                                  <w:divsChild>
                                    <w:div w:id="1631008730">
                                      <w:marLeft w:val="0"/>
                                      <w:marRight w:val="0"/>
                                      <w:marTop w:val="0"/>
                                      <w:marBottom w:val="0"/>
                                      <w:divBdr>
                                        <w:top w:val="none" w:sz="0" w:space="0" w:color="auto"/>
                                        <w:left w:val="none" w:sz="0" w:space="0" w:color="auto"/>
                                        <w:bottom w:val="none" w:sz="0" w:space="0" w:color="auto"/>
                                        <w:right w:val="none" w:sz="0" w:space="0" w:color="auto"/>
                                      </w:divBdr>
                                      <w:divsChild>
                                        <w:div w:id="663975743">
                                          <w:marLeft w:val="0"/>
                                          <w:marRight w:val="0"/>
                                          <w:marTop w:val="0"/>
                                          <w:marBottom w:val="0"/>
                                          <w:divBdr>
                                            <w:top w:val="none" w:sz="0" w:space="0" w:color="auto"/>
                                            <w:left w:val="none" w:sz="0" w:space="0" w:color="auto"/>
                                            <w:bottom w:val="none" w:sz="0" w:space="0" w:color="auto"/>
                                            <w:right w:val="none" w:sz="0" w:space="0" w:color="auto"/>
                                          </w:divBdr>
                                          <w:divsChild>
                                            <w:div w:id="86915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131045">
                                  <w:marLeft w:val="0"/>
                                  <w:marRight w:val="0"/>
                                  <w:marTop w:val="0"/>
                                  <w:marBottom w:val="0"/>
                                  <w:divBdr>
                                    <w:top w:val="none" w:sz="0" w:space="0" w:color="auto"/>
                                    <w:left w:val="none" w:sz="0" w:space="0" w:color="auto"/>
                                    <w:bottom w:val="none" w:sz="0" w:space="0" w:color="auto"/>
                                    <w:right w:val="none" w:sz="0" w:space="0" w:color="auto"/>
                                  </w:divBdr>
                                  <w:divsChild>
                                    <w:div w:id="66986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1431637">
      <w:bodyDiv w:val="1"/>
      <w:marLeft w:val="0"/>
      <w:marRight w:val="0"/>
      <w:marTop w:val="0"/>
      <w:marBottom w:val="0"/>
      <w:divBdr>
        <w:top w:val="none" w:sz="0" w:space="0" w:color="auto"/>
        <w:left w:val="none" w:sz="0" w:space="0" w:color="auto"/>
        <w:bottom w:val="none" w:sz="0" w:space="0" w:color="auto"/>
        <w:right w:val="none" w:sz="0" w:space="0" w:color="auto"/>
      </w:divBdr>
    </w:div>
    <w:div w:id="1167860638">
      <w:bodyDiv w:val="1"/>
      <w:marLeft w:val="0"/>
      <w:marRight w:val="0"/>
      <w:marTop w:val="0"/>
      <w:marBottom w:val="0"/>
      <w:divBdr>
        <w:top w:val="none" w:sz="0" w:space="0" w:color="auto"/>
        <w:left w:val="none" w:sz="0" w:space="0" w:color="auto"/>
        <w:bottom w:val="none" w:sz="0" w:space="0" w:color="auto"/>
        <w:right w:val="none" w:sz="0" w:space="0" w:color="auto"/>
      </w:divBdr>
    </w:div>
    <w:div w:id="1180240491">
      <w:bodyDiv w:val="1"/>
      <w:marLeft w:val="0"/>
      <w:marRight w:val="0"/>
      <w:marTop w:val="0"/>
      <w:marBottom w:val="0"/>
      <w:divBdr>
        <w:top w:val="none" w:sz="0" w:space="0" w:color="auto"/>
        <w:left w:val="none" w:sz="0" w:space="0" w:color="auto"/>
        <w:bottom w:val="none" w:sz="0" w:space="0" w:color="auto"/>
        <w:right w:val="none" w:sz="0" w:space="0" w:color="auto"/>
      </w:divBdr>
    </w:div>
    <w:div w:id="1196500802">
      <w:bodyDiv w:val="1"/>
      <w:marLeft w:val="0"/>
      <w:marRight w:val="0"/>
      <w:marTop w:val="0"/>
      <w:marBottom w:val="0"/>
      <w:divBdr>
        <w:top w:val="none" w:sz="0" w:space="0" w:color="auto"/>
        <w:left w:val="none" w:sz="0" w:space="0" w:color="auto"/>
        <w:bottom w:val="none" w:sz="0" w:space="0" w:color="auto"/>
        <w:right w:val="none" w:sz="0" w:space="0" w:color="auto"/>
      </w:divBdr>
    </w:div>
    <w:div w:id="1207373155">
      <w:bodyDiv w:val="1"/>
      <w:marLeft w:val="0"/>
      <w:marRight w:val="0"/>
      <w:marTop w:val="0"/>
      <w:marBottom w:val="0"/>
      <w:divBdr>
        <w:top w:val="none" w:sz="0" w:space="0" w:color="auto"/>
        <w:left w:val="none" w:sz="0" w:space="0" w:color="auto"/>
        <w:bottom w:val="none" w:sz="0" w:space="0" w:color="auto"/>
        <w:right w:val="none" w:sz="0" w:space="0" w:color="auto"/>
      </w:divBdr>
    </w:div>
    <w:div w:id="1207446938">
      <w:bodyDiv w:val="1"/>
      <w:marLeft w:val="0"/>
      <w:marRight w:val="0"/>
      <w:marTop w:val="0"/>
      <w:marBottom w:val="0"/>
      <w:divBdr>
        <w:top w:val="none" w:sz="0" w:space="0" w:color="auto"/>
        <w:left w:val="none" w:sz="0" w:space="0" w:color="auto"/>
        <w:bottom w:val="none" w:sz="0" w:space="0" w:color="auto"/>
        <w:right w:val="none" w:sz="0" w:space="0" w:color="auto"/>
      </w:divBdr>
    </w:div>
    <w:div w:id="1211113403">
      <w:bodyDiv w:val="1"/>
      <w:marLeft w:val="0"/>
      <w:marRight w:val="0"/>
      <w:marTop w:val="0"/>
      <w:marBottom w:val="0"/>
      <w:divBdr>
        <w:top w:val="none" w:sz="0" w:space="0" w:color="auto"/>
        <w:left w:val="none" w:sz="0" w:space="0" w:color="auto"/>
        <w:bottom w:val="none" w:sz="0" w:space="0" w:color="auto"/>
        <w:right w:val="none" w:sz="0" w:space="0" w:color="auto"/>
      </w:divBdr>
    </w:div>
    <w:div w:id="1216967186">
      <w:bodyDiv w:val="1"/>
      <w:marLeft w:val="0"/>
      <w:marRight w:val="0"/>
      <w:marTop w:val="0"/>
      <w:marBottom w:val="0"/>
      <w:divBdr>
        <w:top w:val="none" w:sz="0" w:space="0" w:color="auto"/>
        <w:left w:val="none" w:sz="0" w:space="0" w:color="auto"/>
        <w:bottom w:val="none" w:sz="0" w:space="0" w:color="auto"/>
        <w:right w:val="none" w:sz="0" w:space="0" w:color="auto"/>
      </w:divBdr>
    </w:div>
    <w:div w:id="1227765933">
      <w:bodyDiv w:val="1"/>
      <w:marLeft w:val="0"/>
      <w:marRight w:val="0"/>
      <w:marTop w:val="0"/>
      <w:marBottom w:val="0"/>
      <w:divBdr>
        <w:top w:val="none" w:sz="0" w:space="0" w:color="auto"/>
        <w:left w:val="none" w:sz="0" w:space="0" w:color="auto"/>
        <w:bottom w:val="none" w:sz="0" w:space="0" w:color="auto"/>
        <w:right w:val="none" w:sz="0" w:space="0" w:color="auto"/>
      </w:divBdr>
    </w:div>
    <w:div w:id="1234050961">
      <w:bodyDiv w:val="1"/>
      <w:marLeft w:val="0"/>
      <w:marRight w:val="0"/>
      <w:marTop w:val="0"/>
      <w:marBottom w:val="0"/>
      <w:divBdr>
        <w:top w:val="none" w:sz="0" w:space="0" w:color="auto"/>
        <w:left w:val="none" w:sz="0" w:space="0" w:color="auto"/>
        <w:bottom w:val="none" w:sz="0" w:space="0" w:color="auto"/>
        <w:right w:val="none" w:sz="0" w:space="0" w:color="auto"/>
      </w:divBdr>
    </w:div>
    <w:div w:id="1239055472">
      <w:bodyDiv w:val="1"/>
      <w:marLeft w:val="0"/>
      <w:marRight w:val="0"/>
      <w:marTop w:val="0"/>
      <w:marBottom w:val="0"/>
      <w:divBdr>
        <w:top w:val="none" w:sz="0" w:space="0" w:color="auto"/>
        <w:left w:val="none" w:sz="0" w:space="0" w:color="auto"/>
        <w:bottom w:val="none" w:sz="0" w:space="0" w:color="auto"/>
        <w:right w:val="none" w:sz="0" w:space="0" w:color="auto"/>
      </w:divBdr>
    </w:div>
    <w:div w:id="1243830544">
      <w:bodyDiv w:val="1"/>
      <w:marLeft w:val="0"/>
      <w:marRight w:val="0"/>
      <w:marTop w:val="0"/>
      <w:marBottom w:val="0"/>
      <w:divBdr>
        <w:top w:val="none" w:sz="0" w:space="0" w:color="auto"/>
        <w:left w:val="none" w:sz="0" w:space="0" w:color="auto"/>
        <w:bottom w:val="none" w:sz="0" w:space="0" w:color="auto"/>
        <w:right w:val="none" w:sz="0" w:space="0" w:color="auto"/>
      </w:divBdr>
    </w:div>
    <w:div w:id="1249996427">
      <w:bodyDiv w:val="1"/>
      <w:marLeft w:val="0"/>
      <w:marRight w:val="0"/>
      <w:marTop w:val="0"/>
      <w:marBottom w:val="0"/>
      <w:divBdr>
        <w:top w:val="none" w:sz="0" w:space="0" w:color="auto"/>
        <w:left w:val="none" w:sz="0" w:space="0" w:color="auto"/>
        <w:bottom w:val="none" w:sz="0" w:space="0" w:color="auto"/>
        <w:right w:val="none" w:sz="0" w:space="0" w:color="auto"/>
      </w:divBdr>
    </w:div>
    <w:div w:id="1252350262">
      <w:bodyDiv w:val="1"/>
      <w:marLeft w:val="0"/>
      <w:marRight w:val="0"/>
      <w:marTop w:val="0"/>
      <w:marBottom w:val="0"/>
      <w:divBdr>
        <w:top w:val="none" w:sz="0" w:space="0" w:color="auto"/>
        <w:left w:val="none" w:sz="0" w:space="0" w:color="auto"/>
        <w:bottom w:val="none" w:sz="0" w:space="0" w:color="auto"/>
        <w:right w:val="none" w:sz="0" w:space="0" w:color="auto"/>
      </w:divBdr>
    </w:div>
    <w:div w:id="1262254748">
      <w:bodyDiv w:val="1"/>
      <w:marLeft w:val="0"/>
      <w:marRight w:val="0"/>
      <w:marTop w:val="0"/>
      <w:marBottom w:val="0"/>
      <w:divBdr>
        <w:top w:val="none" w:sz="0" w:space="0" w:color="auto"/>
        <w:left w:val="none" w:sz="0" w:space="0" w:color="auto"/>
        <w:bottom w:val="none" w:sz="0" w:space="0" w:color="auto"/>
        <w:right w:val="none" w:sz="0" w:space="0" w:color="auto"/>
      </w:divBdr>
    </w:div>
    <w:div w:id="1263999450">
      <w:bodyDiv w:val="1"/>
      <w:marLeft w:val="0"/>
      <w:marRight w:val="0"/>
      <w:marTop w:val="0"/>
      <w:marBottom w:val="0"/>
      <w:divBdr>
        <w:top w:val="none" w:sz="0" w:space="0" w:color="auto"/>
        <w:left w:val="none" w:sz="0" w:space="0" w:color="auto"/>
        <w:bottom w:val="none" w:sz="0" w:space="0" w:color="auto"/>
        <w:right w:val="none" w:sz="0" w:space="0" w:color="auto"/>
      </w:divBdr>
    </w:div>
    <w:div w:id="1266764276">
      <w:bodyDiv w:val="1"/>
      <w:marLeft w:val="0"/>
      <w:marRight w:val="0"/>
      <w:marTop w:val="0"/>
      <w:marBottom w:val="0"/>
      <w:divBdr>
        <w:top w:val="none" w:sz="0" w:space="0" w:color="auto"/>
        <w:left w:val="none" w:sz="0" w:space="0" w:color="auto"/>
        <w:bottom w:val="none" w:sz="0" w:space="0" w:color="auto"/>
        <w:right w:val="none" w:sz="0" w:space="0" w:color="auto"/>
      </w:divBdr>
    </w:div>
    <w:div w:id="1276215158">
      <w:bodyDiv w:val="1"/>
      <w:marLeft w:val="0"/>
      <w:marRight w:val="0"/>
      <w:marTop w:val="0"/>
      <w:marBottom w:val="0"/>
      <w:divBdr>
        <w:top w:val="none" w:sz="0" w:space="0" w:color="auto"/>
        <w:left w:val="none" w:sz="0" w:space="0" w:color="auto"/>
        <w:bottom w:val="none" w:sz="0" w:space="0" w:color="auto"/>
        <w:right w:val="none" w:sz="0" w:space="0" w:color="auto"/>
      </w:divBdr>
    </w:div>
    <w:div w:id="1278293809">
      <w:bodyDiv w:val="1"/>
      <w:marLeft w:val="0"/>
      <w:marRight w:val="0"/>
      <w:marTop w:val="0"/>
      <w:marBottom w:val="0"/>
      <w:divBdr>
        <w:top w:val="none" w:sz="0" w:space="0" w:color="auto"/>
        <w:left w:val="none" w:sz="0" w:space="0" w:color="auto"/>
        <w:bottom w:val="none" w:sz="0" w:space="0" w:color="auto"/>
        <w:right w:val="none" w:sz="0" w:space="0" w:color="auto"/>
      </w:divBdr>
    </w:div>
    <w:div w:id="1278826759">
      <w:bodyDiv w:val="1"/>
      <w:marLeft w:val="0"/>
      <w:marRight w:val="0"/>
      <w:marTop w:val="0"/>
      <w:marBottom w:val="0"/>
      <w:divBdr>
        <w:top w:val="none" w:sz="0" w:space="0" w:color="auto"/>
        <w:left w:val="none" w:sz="0" w:space="0" w:color="auto"/>
        <w:bottom w:val="none" w:sz="0" w:space="0" w:color="auto"/>
        <w:right w:val="none" w:sz="0" w:space="0" w:color="auto"/>
      </w:divBdr>
    </w:div>
    <w:div w:id="1281835369">
      <w:bodyDiv w:val="1"/>
      <w:marLeft w:val="0"/>
      <w:marRight w:val="0"/>
      <w:marTop w:val="0"/>
      <w:marBottom w:val="0"/>
      <w:divBdr>
        <w:top w:val="none" w:sz="0" w:space="0" w:color="auto"/>
        <w:left w:val="none" w:sz="0" w:space="0" w:color="auto"/>
        <w:bottom w:val="none" w:sz="0" w:space="0" w:color="auto"/>
        <w:right w:val="none" w:sz="0" w:space="0" w:color="auto"/>
      </w:divBdr>
    </w:div>
    <w:div w:id="1286349743">
      <w:bodyDiv w:val="1"/>
      <w:marLeft w:val="0"/>
      <w:marRight w:val="0"/>
      <w:marTop w:val="0"/>
      <w:marBottom w:val="0"/>
      <w:divBdr>
        <w:top w:val="none" w:sz="0" w:space="0" w:color="auto"/>
        <w:left w:val="none" w:sz="0" w:space="0" w:color="auto"/>
        <w:bottom w:val="none" w:sz="0" w:space="0" w:color="auto"/>
        <w:right w:val="none" w:sz="0" w:space="0" w:color="auto"/>
      </w:divBdr>
      <w:divsChild>
        <w:div w:id="1409765123">
          <w:marLeft w:val="0"/>
          <w:marRight w:val="0"/>
          <w:marTop w:val="0"/>
          <w:marBottom w:val="0"/>
          <w:divBdr>
            <w:top w:val="none" w:sz="0" w:space="0" w:color="auto"/>
            <w:left w:val="none" w:sz="0" w:space="0" w:color="auto"/>
            <w:bottom w:val="none" w:sz="0" w:space="0" w:color="auto"/>
            <w:right w:val="none" w:sz="0" w:space="0" w:color="auto"/>
          </w:divBdr>
          <w:divsChild>
            <w:div w:id="508174861">
              <w:marLeft w:val="0"/>
              <w:marRight w:val="0"/>
              <w:marTop w:val="0"/>
              <w:marBottom w:val="0"/>
              <w:divBdr>
                <w:top w:val="none" w:sz="0" w:space="0" w:color="auto"/>
                <w:left w:val="none" w:sz="0" w:space="0" w:color="auto"/>
                <w:bottom w:val="none" w:sz="0" w:space="0" w:color="auto"/>
                <w:right w:val="none" w:sz="0" w:space="0" w:color="auto"/>
              </w:divBdr>
              <w:divsChild>
                <w:div w:id="983581855">
                  <w:marLeft w:val="0"/>
                  <w:marRight w:val="0"/>
                  <w:marTop w:val="0"/>
                  <w:marBottom w:val="0"/>
                  <w:divBdr>
                    <w:top w:val="none" w:sz="0" w:space="0" w:color="auto"/>
                    <w:left w:val="none" w:sz="0" w:space="0" w:color="auto"/>
                    <w:bottom w:val="none" w:sz="0" w:space="0" w:color="auto"/>
                    <w:right w:val="none" w:sz="0" w:space="0" w:color="auto"/>
                  </w:divBdr>
                  <w:divsChild>
                    <w:div w:id="479231647">
                      <w:marLeft w:val="0"/>
                      <w:marRight w:val="0"/>
                      <w:marTop w:val="0"/>
                      <w:marBottom w:val="0"/>
                      <w:divBdr>
                        <w:top w:val="none" w:sz="0" w:space="0" w:color="auto"/>
                        <w:left w:val="none" w:sz="0" w:space="0" w:color="auto"/>
                        <w:bottom w:val="none" w:sz="0" w:space="0" w:color="auto"/>
                        <w:right w:val="none" w:sz="0" w:space="0" w:color="auto"/>
                      </w:divBdr>
                      <w:divsChild>
                        <w:div w:id="138884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324441">
      <w:bodyDiv w:val="1"/>
      <w:marLeft w:val="0"/>
      <w:marRight w:val="0"/>
      <w:marTop w:val="0"/>
      <w:marBottom w:val="0"/>
      <w:divBdr>
        <w:top w:val="none" w:sz="0" w:space="0" w:color="auto"/>
        <w:left w:val="none" w:sz="0" w:space="0" w:color="auto"/>
        <w:bottom w:val="none" w:sz="0" w:space="0" w:color="auto"/>
        <w:right w:val="none" w:sz="0" w:space="0" w:color="auto"/>
      </w:divBdr>
    </w:div>
    <w:div w:id="1296526464">
      <w:bodyDiv w:val="1"/>
      <w:marLeft w:val="0"/>
      <w:marRight w:val="0"/>
      <w:marTop w:val="0"/>
      <w:marBottom w:val="0"/>
      <w:divBdr>
        <w:top w:val="none" w:sz="0" w:space="0" w:color="auto"/>
        <w:left w:val="none" w:sz="0" w:space="0" w:color="auto"/>
        <w:bottom w:val="none" w:sz="0" w:space="0" w:color="auto"/>
        <w:right w:val="none" w:sz="0" w:space="0" w:color="auto"/>
      </w:divBdr>
    </w:div>
    <w:div w:id="1297569749">
      <w:bodyDiv w:val="1"/>
      <w:marLeft w:val="0"/>
      <w:marRight w:val="0"/>
      <w:marTop w:val="0"/>
      <w:marBottom w:val="0"/>
      <w:divBdr>
        <w:top w:val="none" w:sz="0" w:space="0" w:color="auto"/>
        <w:left w:val="none" w:sz="0" w:space="0" w:color="auto"/>
        <w:bottom w:val="none" w:sz="0" w:space="0" w:color="auto"/>
        <w:right w:val="none" w:sz="0" w:space="0" w:color="auto"/>
      </w:divBdr>
    </w:div>
    <w:div w:id="1300068681">
      <w:bodyDiv w:val="1"/>
      <w:marLeft w:val="0"/>
      <w:marRight w:val="0"/>
      <w:marTop w:val="0"/>
      <w:marBottom w:val="0"/>
      <w:divBdr>
        <w:top w:val="none" w:sz="0" w:space="0" w:color="auto"/>
        <w:left w:val="none" w:sz="0" w:space="0" w:color="auto"/>
        <w:bottom w:val="none" w:sz="0" w:space="0" w:color="auto"/>
        <w:right w:val="none" w:sz="0" w:space="0" w:color="auto"/>
      </w:divBdr>
    </w:div>
    <w:div w:id="1306357233">
      <w:bodyDiv w:val="1"/>
      <w:marLeft w:val="0"/>
      <w:marRight w:val="0"/>
      <w:marTop w:val="0"/>
      <w:marBottom w:val="0"/>
      <w:divBdr>
        <w:top w:val="none" w:sz="0" w:space="0" w:color="auto"/>
        <w:left w:val="none" w:sz="0" w:space="0" w:color="auto"/>
        <w:bottom w:val="none" w:sz="0" w:space="0" w:color="auto"/>
        <w:right w:val="none" w:sz="0" w:space="0" w:color="auto"/>
      </w:divBdr>
    </w:div>
    <w:div w:id="1325357198">
      <w:bodyDiv w:val="1"/>
      <w:marLeft w:val="0"/>
      <w:marRight w:val="0"/>
      <w:marTop w:val="0"/>
      <w:marBottom w:val="0"/>
      <w:divBdr>
        <w:top w:val="none" w:sz="0" w:space="0" w:color="auto"/>
        <w:left w:val="none" w:sz="0" w:space="0" w:color="auto"/>
        <w:bottom w:val="none" w:sz="0" w:space="0" w:color="auto"/>
        <w:right w:val="none" w:sz="0" w:space="0" w:color="auto"/>
      </w:divBdr>
    </w:div>
    <w:div w:id="1325628811">
      <w:bodyDiv w:val="1"/>
      <w:marLeft w:val="0"/>
      <w:marRight w:val="0"/>
      <w:marTop w:val="0"/>
      <w:marBottom w:val="0"/>
      <w:divBdr>
        <w:top w:val="none" w:sz="0" w:space="0" w:color="auto"/>
        <w:left w:val="none" w:sz="0" w:space="0" w:color="auto"/>
        <w:bottom w:val="none" w:sz="0" w:space="0" w:color="auto"/>
        <w:right w:val="none" w:sz="0" w:space="0" w:color="auto"/>
      </w:divBdr>
    </w:div>
    <w:div w:id="1330671545">
      <w:bodyDiv w:val="1"/>
      <w:marLeft w:val="0"/>
      <w:marRight w:val="0"/>
      <w:marTop w:val="0"/>
      <w:marBottom w:val="0"/>
      <w:divBdr>
        <w:top w:val="none" w:sz="0" w:space="0" w:color="auto"/>
        <w:left w:val="none" w:sz="0" w:space="0" w:color="auto"/>
        <w:bottom w:val="none" w:sz="0" w:space="0" w:color="auto"/>
        <w:right w:val="none" w:sz="0" w:space="0" w:color="auto"/>
      </w:divBdr>
    </w:div>
    <w:div w:id="1338457212">
      <w:bodyDiv w:val="1"/>
      <w:marLeft w:val="0"/>
      <w:marRight w:val="0"/>
      <w:marTop w:val="0"/>
      <w:marBottom w:val="0"/>
      <w:divBdr>
        <w:top w:val="none" w:sz="0" w:space="0" w:color="auto"/>
        <w:left w:val="none" w:sz="0" w:space="0" w:color="auto"/>
        <w:bottom w:val="none" w:sz="0" w:space="0" w:color="auto"/>
        <w:right w:val="none" w:sz="0" w:space="0" w:color="auto"/>
      </w:divBdr>
    </w:div>
    <w:div w:id="1340083002">
      <w:bodyDiv w:val="1"/>
      <w:marLeft w:val="0"/>
      <w:marRight w:val="0"/>
      <w:marTop w:val="0"/>
      <w:marBottom w:val="0"/>
      <w:divBdr>
        <w:top w:val="none" w:sz="0" w:space="0" w:color="auto"/>
        <w:left w:val="none" w:sz="0" w:space="0" w:color="auto"/>
        <w:bottom w:val="none" w:sz="0" w:space="0" w:color="auto"/>
        <w:right w:val="none" w:sz="0" w:space="0" w:color="auto"/>
      </w:divBdr>
    </w:div>
    <w:div w:id="1340158403">
      <w:bodyDiv w:val="1"/>
      <w:marLeft w:val="0"/>
      <w:marRight w:val="0"/>
      <w:marTop w:val="0"/>
      <w:marBottom w:val="0"/>
      <w:divBdr>
        <w:top w:val="none" w:sz="0" w:space="0" w:color="auto"/>
        <w:left w:val="none" w:sz="0" w:space="0" w:color="auto"/>
        <w:bottom w:val="none" w:sz="0" w:space="0" w:color="auto"/>
        <w:right w:val="none" w:sz="0" w:space="0" w:color="auto"/>
      </w:divBdr>
    </w:div>
    <w:div w:id="1357195072">
      <w:bodyDiv w:val="1"/>
      <w:marLeft w:val="0"/>
      <w:marRight w:val="0"/>
      <w:marTop w:val="0"/>
      <w:marBottom w:val="0"/>
      <w:divBdr>
        <w:top w:val="none" w:sz="0" w:space="0" w:color="auto"/>
        <w:left w:val="none" w:sz="0" w:space="0" w:color="auto"/>
        <w:bottom w:val="none" w:sz="0" w:space="0" w:color="auto"/>
        <w:right w:val="none" w:sz="0" w:space="0" w:color="auto"/>
      </w:divBdr>
    </w:div>
    <w:div w:id="1365907837">
      <w:bodyDiv w:val="1"/>
      <w:marLeft w:val="0"/>
      <w:marRight w:val="0"/>
      <w:marTop w:val="0"/>
      <w:marBottom w:val="0"/>
      <w:divBdr>
        <w:top w:val="none" w:sz="0" w:space="0" w:color="auto"/>
        <w:left w:val="none" w:sz="0" w:space="0" w:color="auto"/>
        <w:bottom w:val="none" w:sz="0" w:space="0" w:color="auto"/>
        <w:right w:val="none" w:sz="0" w:space="0" w:color="auto"/>
      </w:divBdr>
    </w:div>
    <w:div w:id="1370296840">
      <w:bodyDiv w:val="1"/>
      <w:marLeft w:val="0"/>
      <w:marRight w:val="0"/>
      <w:marTop w:val="0"/>
      <w:marBottom w:val="0"/>
      <w:divBdr>
        <w:top w:val="none" w:sz="0" w:space="0" w:color="auto"/>
        <w:left w:val="none" w:sz="0" w:space="0" w:color="auto"/>
        <w:bottom w:val="none" w:sz="0" w:space="0" w:color="auto"/>
        <w:right w:val="none" w:sz="0" w:space="0" w:color="auto"/>
      </w:divBdr>
    </w:div>
    <w:div w:id="1388916300">
      <w:bodyDiv w:val="1"/>
      <w:marLeft w:val="0"/>
      <w:marRight w:val="0"/>
      <w:marTop w:val="0"/>
      <w:marBottom w:val="0"/>
      <w:divBdr>
        <w:top w:val="none" w:sz="0" w:space="0" w:color="auto"/>
        <w:left w:val="none" w:sz="0" w:space="0" w:color="auto"/>
        <w:bottom w:val="none" w:sz="0" w:space="0" w:color="auto"/>
        <w:right w:val="none" w:sz="0" w:space="0" w:color="auto"/>
      </w:divBdr>
    </w:div>
    <w:div w:id="1391726482">
      <w:bodyDiv w:val="1"/>
      <w:marLeft w:val="0"/>
      <w:marRight w:val="0"/>
      <w:marTop w:val="0"/>
      <w:marBottom w:val="0"/>
      <w:divBdr>
        <w:top w:val="none" w:sz="0" w:space="0" w:color="auto"/>
        <w:left w:val="none" w:sz="0" w:space="0" w:color="auto"/>
        <w:bottom w:val="none" w:sz="0" w:space="0" w:color="auto"/>
        <w:right w:val="none" w:sz="0" w:space="0" w:color="auto"/>
      </w:divBdr>
    </w:div>
    <w:div w:id="1393500844">
      <w:bodyDiv w:val="1"/>
      <w:marLeft w:val="0"/>
      <w:marRight w:val="0"/>
      <w:marTop w:val="0"/>
      <w:marBottom w:val="0"/>
      <w:divBdr>
        <w:top w:val="none" w:sz="0" w:space="0" w:color="auto"/>
        <w:left w:val="none" w:sz="0" w:space="0" w:color="auto"/>
        <w:bottom w:val="none" w:sz="0" w:space="0" w:color="auto"/>
        <w:right w:val="none" w:sz="0" w:space="0" w:color="auto"/>
      </w:divBdr>
    </w:div>
    <w:div w:id="1421835617">
      <w:bodyDiv w:val="1"/>
      <w:marLeft w:val="0"/>
      <w:marRight w:val="0"/>
      <w:marTop w:val="0"/>
      <w:marBottom w:val="0"/>
      <w:divBdr>
        <w:top w:val="none" w:sz="0" w:space="0" w:color="auto"/>
        <w:left w:val="none" w:sz="0" w:space="0" w:color="auto"/>
        <w:bottom w:val="none" w:sz="0" w:space="0" w:color="auto"/>
        <w:right w:val="none" w:sz="0" w:space="0" w:color="auto"/>
      </w:divBdr>
    </w:div>
    <w:div w:id="1428770994">
      <w:bodyDiv w:val="1"/>
      <w:marLeft w:val="0"/>
      <w:marRight w:val="0"/>
      <w:marTop w:val="0"/>
      <w:marBottom w:val="0"/>
      <w:divBdr>
        <w:top w:val="none" w:sz="0" w:space="0" w:color="auto"/>
        <w:left w:val="none" w:sz="0" w:space="0" w:color="auto"/>
        <w:bottom w:val="none" w:sz="0" w:space="0" w:color="auto"/>
        <w:right w:val="none" w:sz="0" w:space="0" w:color="auto"/>
      </w:divBdr>
    </w:div>
    <w:div w:id="1434474663">
      <w:bodyDiv w:val="1"/>
      <w:marLeft w:val="0"/>
      <w:marRight w:val="0"/>
      <w:marTop w:val="0"/>
      <w:marBottom w:val="0"/>
      <w:divBdr>
        <w:top w:val="none" w:sz="0" w:space="0" w:color="auto"/>
        <w:left w:val="none" w:sz="0" w:space="0" w:color="auto"/>
        <w:bottom w:val="none" w:sz="0" w:space="0" w:color="auto"/>
        <w:right w:val="none" w:sz="0" w:space="0" w:color="auto"/>
      </w:divBdr>
    </w:div>
    <w:div w:id="1437366352">
      <w:bodyDiv w:val="1"/>
      <w:marLeft w:val="0"/>
      <w:marRight w:val="0"/>
      <w:marTop w:val="0"/>
      <w:marBottom w:val="0"/>
      <w:divBdr>
        <w:top w:val="none" w:sz="0" w:space="0" w:color="auto"/>
        <w:left w:val="none" w:sz="0" w:space="0" w:color="auto"/>
        <w:bottom w:val="none" w:sz="0" w:space="0" w:color="auto"/>
        <w:right w:val="none" w:sz="0" w:space="0" w:color="auto"/>
      </w:divBdr>
    </w:div>
    <w:div w:id="1444153073">
      <w:bodyDiv w:val="1"/>
      <w:marLeft w:val="0"/>
      <w:marRight w:val="0"/>
      <w:marTop w:val="0"/>
      <w:marBottom w:val="0"/>
      <w:divBdr>
        <w:top w:val="none" w:sz="0" w:space="0" w:color="auto"/>
        <w:left w:val="none" w:sz="0" w:space="0" w:color="auto"/>
        <w:bottom w:val="none" w:sz="0" w:space="0" w:color="auto"/>
        <w:right w:val="none" w:sz="0" w:space="0" w:color="auto"/>
      </w:divBdr>
      <w:divsChild>
        <w:div w:id="710619779">
          <w:marLeft w:val="0"/>
          <w:marRight w:val="0"/>
          <w:marTop w:val="0"/>
          <w:marBottom w:val="0"/>
          <w:divBdr>
            <w:top w:val="none" w:sz="0" w:space="0" w:color="auto"/>
            <w:left w:val="none" w:sz="0" w:space="0" w:color="auto"/>
            <w:bottom w:val="none" w:sz="0" w:space="0" w:color="auto"/>
            <w:right w:val="none" w:sz="0" w:space="0" w:color="auto"/>
          </w:divBdr>
          <w:divsChild>
            <w:div w:id="930502803">
              <w:marLeft w:val="0"/>
              <w:marRight w:val="0"/>
              <w:marTop w:val="0"/>
              <w:marBottom w:val="0"/>
              <w:divBdr>
                <w:top w:val="none" w:sz="0" w:space="0" w:color="auto"/>
                <w:left w:val="none" w:sz="0" w:space="0" w:color="auto"/>
                <w:bottom w:val="none" w:sz="0" w:space="0" w:color="auto"/>
                <w:right w:val="none" w:sz="0" w:space="0" w:color="auto"/>
              </w:divBdr>
              <w:divsChild>
                <w:div w:id="1855336880">
                  <w:marLeft w:val="0"/>
                  <w:marRight w:val="0"/>
                  <w:marTop w:val="0"/>
                  <w:marBottom w:val="0"/>
                  <w:divBdr>
                    <w:top w:val="none" w:sz="0" w:space="0" w:color="auto"/>
                    <w:left w:val="none" w:sz="0" w:space="0" w:color="auto"/>
                    <w:bottom w:val="none" w:sz="0" w:space="0" w:color="auto"/>
                    <w:right w:val="none" w:sz="0" w:space="0" w:color="auto"/>
                  </w:divBdr>
                  <w:divsChild>
                    <w:div w:id="1368524890">
                      <w:marLeft w:val="0"/>
                      <w:marRight w:val="0"/>
                      <w:marTop w:val="0"/>
                      <w:marBottom w:val="0"/>
                      <w:divBdr>
                        <w:top w:val="none" w:sz="0" w:space="0" w:color="auto"/>
                        <w:left w:val="none" w:sz="0" w:space="0" w:color="auto"/>
                        <w:bottom w:val="none" w:sz="0" w:space="0" w:color="auto"/>
                        <w:right w:val="none" w:sz="0" w:space="0" w:color="auto"/>
                      </w:divBdr>
                      <w:divsChild>
                        <w:div w:id="54009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8355381">
      <w:bodyDiv w:val="1"/>
      <w:marLeft w:val="0"/>
      <w:marRight w:val="0"/>
      <w:marTop w:val="0"/>
      <w:marBottom w:val="0"/>
      <w:divBdr>
        <w:top w:val="none" w:sz="0" w:space="0" w:color="auto"/>
        <w:left w:val="none" w:sz="0" w:space="0" w:color="auto"/>
        <w:bottom w:val="none" w:sz="0" w:space="0" w:color="auto"/>
        <w:right w:val="none" w:sz="0" w:space="0" w:color="auto"/>
      </w:divBdr>
    </w:div>
    <w:div w:id="1452287350">
      <w:bodyDiv w:val="1"/>
      <w:marLeft w:val="0"/>
      <w:marRight w:val="0"/>
      <w:marTop w:val="0"/>
      <w:marBottom w:val="0"/>
      <w:divBdr>
        <w:top w:val="none" w:sz="0" w:space="0" w:color="auto"/>
        <w:left w:val="none" w:sz="0" w:space="0" w:color="auto"/>
        <w:bottom w:val="none" w:sz="0" w:space="0" w:color="auto"/>
        <w:right w:val="none" w:sz="0" w:space="0" w:color="auto"/>
      </w:divBdr>
    </w:div>
    <w:div w:id="1452507027">
      <w:bodyDiv w:val="1"/>
      <w:marLeft w:val="0"/>
      <w:marRight w:val="0"/>
      <w:marTop w:val="0"/>
      <w:marBottom w:val="0"/>
      <w:divBdr>
        <w:top w:val="none" w:sz="0" w:space="0" w:color="auto"/>
        <w:left w:val="none" w:sz="0" w:space="0" w:color="auto"/>
        <w:bottom w:val="none" w:sz="0" w:space="0" w:color="auto"/>
        <w:right w:val="none" w:sz="0" w:space="0" w:color="auto"/>
      </w:divBdr>
    </w:div>
    <w:div w:id="1461457102">
      <w:bodyDiv w:val="1"/>
      <w:marLeft w:val="0"/>
      <w:marRight w:val="0"/>
      <w:marTop w:val="0"/>
      <w:marBottom w:val="0"/>
      <w:divBdr>
        <w:top w:val="none" w:sz="0" w:space="0" w:color="auto"/>
        <w:left w:val="none" w:sz="0" w:space="0" w:color="auto"/>
        <w:bottom w:val="none" w:sz="0" w:space="0" w:color="auto"/>
        <w:right w:val="none" w:sz="0" w:space="0" w:color="auto"/>
      </w:divBdr>
    </w:div>
    <w:div w:id="1466696153">
      <w:bodyDiv w:val="1"/>
      <w:marLeft w:val="0"/>
      <w:marRight w:val="0"/>
      <w:marTop w:val="0"/>
      <w:marBottom w:val="0"/>
      <w:divBdr>
        <w:top w:val="none" w:sz="0" w:space="0" w:color="auto"/>
        <w:left w:val="none" w:sz="0" w:space="0" w:color="auto"/>
        <w:bottom w:val="none" w:sz="0" w:space="0" w:color="auto"/>
        <w:right w:val="none" w:sz="0" w:space="0" w:color="auto"/>
      </w:divBdr>
    </w:div>
    <w:div w:id="1469978474">
      <w:bodyDiv w:val="1"/>
      <w:marLeft w:val="0"/>
      <w:marRight w:val="0"/>
      <w:marTop w:val="0"/>
      <w:marBottom w:val="0"/>
      <w:divBdr>
        <w:top w:val="none" w:sz="0" w:space="0" w:color="auto"/>
        <w:left w:val="none" w:sz="0" w:space="0" w:color="auto"/>
        <w:bottom w:val="none" w:sz="0" w:space="0" w:color="auto"/>
        <w:right w:val="none" w:sz="0" w:space="0" w:color="auto"/>
      </w:divBdr>
    </w:div>
    <w:div w:id="1473596040">
      <w:bodyDiv w:val="1"/>
      <w:marLeft w:val="0"/>
      <w:marRight w:val="0"/>
      <w:marTop w:val="0"/>
      <w:marBottom w:val="0"/>
      <w:divBdr>
        <w:top w:val="none" w:sz="0" w:space="0" w:color="auto"/>
        <w:left w:val="none" w:sz="0" w:space="0" w:color="auto"/>
        <w:bottom w:val="none" w:sz="0" w:space="0" w:color="auto"/>
        <w:right w:val="none" w:sz="0" w:space="0" w:color="auto"/>
      </w:divBdr>
    </w:div>
    <w:div w:id="1485199034">
      <w:bodyDiv w:val="1"/>
      <w:marLeft w:val="0"/>
      <w:marRight w:val="0"/>
      <w:marTop w:val="0"/>
      <w:marBottom w:val="0"/>
      <w:divBdr>
        <w:top w:val="none" w:sz="0" w:space="0" w:color="auto"/>
        <w:left w:val="none" w:sz="0" w:space="0" w:color="auto"/>
        <w:bottom w:val="none" w:sz="0" w:space="0" w:color="auto"/>
        <w:right w:val="none" w:sz="0" w:space="0" w:color="auto"/>
      </w:divBdr>
    </w:div>
    <w:div w:id="1487819593">
      <w:bodyDiv w:val="1"/>
      <w:marLeft w:val="0"/>
      <w:marRight w:val="0"/>
      <w:marTop w:val="0"/>
      <w:marBottom w:val="0"/>
      <w:divBdr>
        <w:top w:val="none" w:sz="0" w:space="0" w:color="auto"/>
        <w:left w:val="none" w:sz="0" w:space="0" w:color="auto"/>
        <w:bottom w:val="none" w:sz="0" w:space="0" w:color="auto"/>
        <w:right w:val="none" w:sz="0" w:space="0" w:color="auto"/>
      </w:divBdr>
    </w:div>
    <w:div w:id="1489636167">
      <w:bodyDiv w:val="1"/>
      <w:marLeft w:val="0"/>
      <w:marRight w:val="0"/>
      <w:marTop w:val="0"/>
      <w:marBottom w:val="0"/>
      <w:divBdr>
        <w:top w:val="none" w:sz="0" w:space="0" w:color="auto"/>
        <w:left w:val="none" w:sz="0" w:space="0" w:color="auto"/>
        <w:bottom w:val="none" w:sz="0" w:space="0" w:color="auto"/>
        <w:right w:val="none" w:sz="0" w:space="0" w:color="auto"/>
      </w:divBdr>
      <w:divsChild>
        <w:div w:id="485903931">
          <w:marLeft w:val="0"/>
          <w:marRight w:val="0"/>
          <w:marTop w:val="0"/>
          <w:marBottom w:val="0"/>
          <w:divBdr>
            <w:top w:val="none" w:sz="0" w:space="0" w:color="auto"/>
            <w:left w:val="none" w:sz="0" w:space="0" w:color="auto"/>
            <w:bottom w:val="none" w:sz="0" w:space="0" w:color="auto"/>
            <w:right w:val="none" w:sz="0" w:space="0" w:color="auto"/>
          </w:divBdr>
          <w:divsChild>
            <w:div w:id="1433863953">
              <w:marLeft w:val="0"/>
              <w:marRight w:val="0"/>
              <w:marTop w:val="0"/>
              <w:marBottom w:val="0"/>
              <w:divBdr>
                <w:top w:val="none" w:sz="0" w:space="0" w:color="auto"/>
                <w:left w:val="none" w:sz="0" w:space="0" w:color="auto"/>
                <w:bottom w:val="none" w:sz="0" w:space="0" w:color="auto"/>
                <w:right w:val="none" w:sz="0" w:space="0" w:color="auto"/>
              </w:divBdr>
              <w:divsChild>
                <w:div w:id="1166633140">
                  <w:marLeft w:val="0"/>
                  <w:marRight w:val="0"/>
                  <w:marTop w:val="0"/>
                  <w:marBottom w:val="0"/>
                  <w:divBdr>
                    <w:top w:val="none" w:sz="0" w:space="0" w:color="auto"/>
                    <w:left w:val="none" w:sz="0" w:space="0" w:color="auto"/>
                    <w:bottom w:val="none" w:sz="0" w:space="0" w:color="auto"/>
                    <w:right w:val="none" w:sz="0" w:space="0" w:color="auto"/>
                  </w:divBdr>
                  <w:divsChild>
                    <w:div w:id="1086224828">
                      <w:marLeft w:val="0"/>
                      <w:marRight w:val="0"/>
                      <w:marTop w:val="0"/>
                      <w:marBottom w:val="0"/>
                      <w:divBdr>
                        <w:top w:val="none" w:sz="0" w:space="0" w:color="auto"/>
                        <w:left w:val="none" w:sz="0" w:space="0" w:color="auto"/>
                        <w:bottom w:val="none" w:sz="0" w:space="0" w:color="auto"/>
                        <w:right w:val="none" w:sz="0" w:space="0" w:color="auto"/>
                      </w:divBdr>
                      <w:divsChild>
                        <w:div w:id="198773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1209189">
      <w:bodyDiv w:val="1"/>
      <w:marLeft w:val="0"/>
      <w:marRight w:val="0"/>
      <w:marTop w:val="0"/>
      <w:marBottom w:val="0"/>
      <w:divBdr>
        <w:top w:val="none" w:sz="0" w:space="0" w:color="auto"/>
        <w:left w:val="none" w:sz="0" w:space="0" w:color="auto"/>
        <w:bottom w:val="none" w:sz="0" w:space="0" w:color="auto"/>
        <w:right w:val="none" w:sz="0" w:space="0" w:color="auto"/>
      </w:divBdr>
    </w:div>
    <w:div w:id="1496720743">
      <w:bodyDiv w:val="1"/>
      <w:marLeft w:val="0"/>
      <w:marRight w:val="0"/>
      <w:marTop w:val="0"/>
      <w:marBottom w:val="0"/>
      <w:divBdr>
        <w:top w:val="none" w:sz="0" w:space="0" w:color="auto"/>
        <w:left w:val="none" w:sz="0" w:space="0" w:color="auto"/>
        <w:bottom w:val="none" w:sz="0" w:space="0" w:color="auto"/>
        <w:right w:val="none" w:sz="0" w:space="0" w:color="auto"/>
      </w:divBdr>
    </w:div>
    <w:div w:id="1498956879">
      <w:bodyDiv w:val="1"/>
      <w:marLeft w:val="0"/>
      <w:marRight w:val="0"/>
      <w:marTop w:val="0"/>
      <w:marBottom w:val="0"/>
      <w:divBdr>
        <w:top w:val="none" w:sz="0" w:space="0" w:color="auto"/>
        <w:left w:val="none" w:sz="0" w:space="0" w:color="auto"/>
        <w:bottom w:val="none" w:sz="0" w:space="0" w:color="auto"/>
        <w:right w:val="none" w:sz="0" w:space="0" w:color="auto"/>
      </w:divBdr>
    </w:div>
    <w:div w:id="1504517396">
      <w:bodyDiv w:val="1"/>
      <w:marLeft w:val="0"/>
      <w:marRight w:val="0"/>
      <w:marTop w:val="0"/>
      <w:marBottom w:val="0"/>
      <w:divBdr>
        <w:top w:val="none" w:sz="0" w:space="0" w:color="auto"/>
        <w:left w:val="none" w:sz="0" w:space="0" w:color="auto"/>
        <w:bottom w:val="none" w:sz="0" w:space="0" w:color="auto"/>
        <w:right w:val="none" w:sz="0" w:space="0" w:color="auto"/>
      </w:divBdr>
    </w:div>
    <w:div w:id="1522279412">
      <w:bodyDiv w:val="1"/>
      <w:marLeft w:val="0"/>
      <w:marRight w:val="0"/>
      <w:marTop w:val="0"/>
      <w:marBottom w:val="0"/>
      <w:divBdr>
        <w:top w:val="none" w:sz="0" w:space="0" w:color="auto"/>
        <w:left w:val="none" w:sz="0" w:space="0" w:color="auto"/>
        <w:bottom w:val="none" w:sz="0" w:space="0" w:color="auto"/>
        <w:right w:val="none" w:sz="0" w:space="0" w:color="auto"/>
      </w:divBdr>
    </w:div>
    <w:div w:id="1530219648">
      <w:bodyDiv w:val="1"/>
      <w:marLeft w:val="0"/>
      <w:marRight w:val="0"/>
      <w:marTop w:val="0"/>
      <w:marBottom w:val="0"/>
      <w:divBdr>
        <w:top w:val="none" w:sz="0" w:space="0" w:color="auto"/>
        <w:left w:val="none" w:sz="0" w:space="0" w:color="auto"/>
        <w:bottom w:val="none" w:sz="0" w:space="0" w:color="auto"/>
        <w:right w:val="none" w:sz="0" w:space="0" w:color="auto"/>
      </w:divBdr>
    </w:div>
    <w:div w:id="1534883007">
      <w:bodyDiv w:val="1"/>
      <w:marLeft w:val="0"/>
      <w:marRight w:val="0"/>
      <w:marTop w:val="0"/>
      <w:marBottom w:val="0"/>
      <w:divBdr>
        <w:top w:val="none" w:sz="0" w:space="0" w:color="auto"/>
        <w:left w:val="none" w:sz="0" w:space="0" w:color="auto"/>
        <w:bottom w:val="none" w:sz="0" w:space="0" w:color="auto"/>
        <w:right w:val="none" w:sz="0" w:space="0" w:color="auto"/>
      </w:divBdr>
    </w:div>
    <w:div w:id="1552109604">
      <w:bodyDiv w:val="1"/>
      <w:marLeft w:val="0"/>
      <w:marRight w:val="0"/>
      <w:marTop w:val="0"/>
      <w:marBottom w:val="0"/>
      <w:divBdr>
        <w:top w:val="none" w:sz="0" w:space="0" w:color="auto"/>
        <w:left w:val="none" w:sz="0" w:space="0" w:color="auto"/>
        <w:bottom w:val="none" w:sz="0" w:space="0" w:color="auto"/>
        <w:right w:val="none" w:sz="0" w:space="0" w:color="auto"/>
      </w:divBdr>
    </w:div>
    <w:div w:id="1553692988">
      <w:bodyDiv w:val="1"/>
      <w:marLeft w:val="0"/>
      <w:marRight w:val="0"/>
      <w:marTop w:val="0"/>
      <w:marBottom w:val="0"/>
      <w:divBdr>
        <w:top w:val="none" w:sz="0" w:space="0" w:color="auto"/>
        <w:left w:val="none" w:sz="0" w:space="0" w:color="auto"/>
        <w:bottom w:val="none" w:sz="0" w:space="0" w:color="auto"/>
        <w:right w:val="none" w:sz="0" w:space="0" w:color="auto"/>
      </w:divBdr>
    </w:div>
    <w:div w:id="1555431449">
      <w:bodyDiv w:val="1"/>
      <w:marLeft w:val="0"/>
      <w:marRight w:val="0"/>
      <w:marTop w:val="0"/>
      <w:marBottom w:val="0"/>
      <w:divBdr>
        <w:top w:val="none" w:sz="0" w:space="0" w:color="auto"/>
        <w:left w:val="none" w:sz="0" w:space="0" w:color="auto"/>
        <w:bottom w:val="none" w:sz="0" w:space="0" w:color="auto"/>
        <w:right w:val="none" w:sz="0" w:space="0" w:color="auto"/>
      </w:divBdr>
    </w:div>
    <w:div w:id="1559972611">
      <w:bodyDiv w:val="1"/>
      <w:marLeft w:val="0"/>
      <w:marRight w:val="0"/>
      <w:marTop w:val="0"/>
      <w:marBottom w:val="0"/>
      <w:divBdr>
        <w:top w:val="none" w:sz="0" w:space="0" w:color="auto"/>
        <w:left w:val="none" w:sz="0" w:space="0" w:color="auto"/>
        <w:bottom w:val="none" w:sz="0" w:space="0" w:color="auto"/>
        <w:right w:val="none" w:sz="0" w:space="0" w:color="auto"/>
      </w:divBdr>
    </w:div>
    <w:div w:id="1563055364">
      <w:bodyDiv w:val="1"/>
      <w:marLeft w:val="0"/>
      <w:marRight w:val="0"/>
      <w:marTop w:val="0"/>
      <w:marBottom w:val="0"/>
      <w:divBdr>
        <w:top w:val="none" w:sz="0" w:space="0" w:color="auto"/>
        <w:left w:val="none" w:sz="0" w:space="0" w:color="auto"/>
        <w:bottom w:val="none" w:sz="0" w:space="0" w:color="auto"/>
        <w:right w:val="none" w:sz="0" w:space="0" w:color="auto"/>
      </w:divBdr>
      <w:divsChild>
        <w:div w:id="1515264595">
          <w:marLeft w:val="0"/>
          <w:marRight w:val="0"/>
          <w:marTop w:val="0"/>
          <w:marBottom w:val="0"/>
          <w:divBdr>
            <w:top w:val="none" w:sz="0" w:space="0" w:color="auto"/>
            <w:left w:val="none" w:sz="0" w:space="0" w:color="auto"/>
            <w:bottom w:val="none" w:sz="0" w:space="0" w:color="auto"/>
            <w:right w:val="none" w:sz="0" w:space="0" w:color="auto"/>
          </w:divBdr>
          <w:divsChild>
            <w:div w:id="103542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3479">
      <w:bodyDiv w:val="1"/>
      <w:marLeft w:val="0"/>
      <w:marRight w:val="0"/>
      <w:marTop w:val="0"/>
      <w:marBottom w:val="0"/>
      <w:divBdr>
        <w:top w:val="none" w:sz="0" w:space="0" w:color="auto"/>
        <w:left w:val="none" w:sz="0" w:space="0" w:color="auto"/>
        <w:bottom w:val="none" w:sz="0" w:space="0" w:color="auto"/>
        <w:right w:val="none" w:sz="0" w:space="0" w:color="auto"/>
      </w:divBdr>
    </w:div>
    <w:div w:id="1574272427">
      <w:bodyDiv w:val="1"/>
      <w:marLeft w:val="0"/>
      <w:marRight w:val="0"/>
      <w:marTop w:val="0"/>
      <w:marBottom w:val="0"/>
      <w:divBdr>
        <w:top w:val="none" w:sz="0" w:space="0" w:color="auto"/>
        <w:left w:val="none" w:sz="0" w:space="0" w:color="auto"/>
        <w:bottom w:val="none" w:sz="0" w:space="0" w:color="auto"/>
        <w:right w:val="none" w:sz="0" w:space="0" w:color="auto"/>
      </w:divBdr>
    </w:div>
    <w:div w:id="1583098216">
      <w:bodyDiv w:val="1"/>
      <w:marLeft w:val="0"/>
      <w:marRight w:val="0"/>
      <w:marTop w:val="0"/>
      <w:marBottom w:val="0"/>
      <w:divBdr>
        <w:top w:val="none" w:sz="0" w:space="0" w:color="auto"/>
        <w:left w:val="none" w:sz="0" w:space="0" w:color="auto"/>
        <w:bottom w:val="none" w:sz="0" w:space="0" w:color="auto"/>
        <w:right w:val="none" w:sz="0" w:space="0" w:color="auto"/>
      </w:divBdr>
      <w:divsChild>
        <w:div w:id="882598521">
          <w:marLeft w:val="0"/>
          <w:marRight w:val="0"/>
          <w:marTop w:val="0"/>
          <w:marBottom w:val="0"/>
          <w:divBdr>
            <w:top w:val="none" w:sz="0" w:space="0" w:color="auto"/>
            <w:left w:val="none" w:sz="0" w:space="0" w:color="auto"/>
            <w:bottom w:val="none" w:sz="0" w:space="0" w:color="auto"/>
            <w:right w:val="none" w:sz="0" w:space="0" w:color="auto"/>
          </w:divBdr>
          <w:divsChild>
            <w:div w:id="1309630455">
              <w:marLeft w:val="0"/>
              <w:marRight w:val="0"/>
              <w:marTop w:val="0"/>
              <w:marBottom w:val="0"/>
              <w:divBdr>
                <w:top w:val="none" w:sz="0" w:space="0" w:color="auto"/>
                <w:left w:val="none" w:sz="0" w:space="0" w:color="auto"/>
                <w:bottom w:val="none" w:sz="0" w:space="0" w:color="auto"/>
                <w:right w:val="none" w:sz="0" w:space="0" w:color="auto"/>
              </w:divBdr>
              <w:divsChild>
                <w:div w:id="28673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027740">
          <w:marLeft w:val="0"/>
          <w:marRight w:val="0"/>
          <w:marTop w:val="0"/>
          <w:marBottom w:val="0"/>
          <w:divBdr>
            <w:top w:val="none" w:sz="0" w:space="0" w:color="auto"/>
            <w:left w:val="none" w:sz="0" w:space="0" w:color="auto"/>
            <w:bottom w:val="none" w:sz="0" w:space="0" w:color="auto"/>
            <w:right w:val="none" w:sz="0" w:space="0" w:color="auto"/>
          </w:divBdr>
          <w:divsChild>
            <w:div w:id="874122914">
              <w:marLeft w:val="0"/>
              <w:marRight w:val="0"/>
              <w:marTop w:val="0"/>
              <w:marBottom w:val="0"/>
              <w:divBdr>
                <w:top w:val="none" w:sz="0" w:space="0" w:color="auto"/>
                <w:left w:val="none" w:sz="0" w:space="0" w:color="auto"/>
                <w:bottom w:val="none" w:sz="0" w:space="0" w:color="auto"/>
                <w:right w:val="none" w:sz="0" w:space="0" w:color="auto"/>
              </w:divBdr>
              <w:divsChild>
                <w:div w:id="534777254">
                  <w:marLeft w:val="0"/>
                  <w:marRight w:val="0"/>
                  <w:marTop w:val="0"/>
                  <w:marBottom w:val="0"/>
                  <w:divBdr>
                    <w:top w:val="none" w:sz="0" w:space="0" w:color="auto"/>
                    <w:left w:val="none" w:sz="0" w:space="0" w:color="auto"/>
                    <w:bottom w:val="none" w:sz="0" w:space="0" w:color="auto"/>
                    <w:right w:val="none" w:sz="0" w:space="0" w:color="auto"/>
                  </w:divBdr>
                  <w:divsChild>
                    <w:div w:id="1651208808">
                      <w:marLeft w:val="0"/>
                      <w:marRight w:val="0"/>
                      <w:marTop w:val="0"/>
                      <w:marBottom w:val="0"/>
                      <w:divBdr>
                        <w:top w:val="none" w:sz="0" w:space="0" w:color="auto"/>
                        <w:left w:val="none" w:sz="0" w:space="0" w:color="auto"/>
                        <w:bottom w:val="none" w:sz="0" w:space="0" w:color="auto"/>
                        <w:right w:val="none" w:sz="0" w:space="0" w:color="auto"/>
                      </w:divBdr>
                      <w:divsChild>
                        <w:div w:id="119835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4684127">
      <w:bodyDiv w:val="1"/>
      <w:marLeft w:val="0"/>
      <w:marRight w:val="0"/>
      <w:marTop w:val="0"/>
      <w:marBottom w:val="0"/>
      <w:divBdr>
        <w:top w:val="none" w:sz="0" w:space="0" w:color="auto"/>
        <w:left w:val="none" w:sz="0" w:space="0" w:color="auto"/>
        <w:bottom w:val="none" w:sz="0" w:space="0" w:color="auto"/>
        <w:right w:val="none" w:sz="0" w:space="0" w:color="auto"/>
      </w:divBdr>
    </w:div>
    <w:div w:id="1586305449">
      <w:bodyDiv w:val="1"/>
      <w:marLeft w:val="0"/>
      <w:marRight w:val="0"/>
      <w:marTop w:val="0"/>
      <w:marBottom w:val="0"/>
      <w:divBdr>
        <w:top w:val="none" w:sz="0" w:space="0" w:color="auto"/>
        <w:left w:val="none" w:sz="0" w:space="0" w:color="auto"/>
        <w:bottom w:val="none" w:sz="0" w:space="0" w:color="auto"/>
        <w:right w:val="none" w:sz="0" w:space="0" w:color="auto"/>
      </w:divBdr>
    </w:div>
    <w:div w:id="1590701686">
      <w:bodyDiv w:val="1"/>
      <w:marLeft w:val="0"/>
      <w:marRight w:val="0"/>
      <w:marTop w:val="0"/>
      <w:marBottom w:val="0"/>
      <w:divBdr>
        <w:top w:val="none" w:sz="0" w:space="0" w:color="auto"/>
        <w:left w:val="none" w:sz="0" w:space="0" w:color="auto"/>
        <w:bottom w:val="none" w:sz="0" w:space="0" w:color="auto"/>
        <w:right w:val="none" w:sz="0" w:space="0" w:color="auto"/>
      </w:divBdr>
    </w:div>
    <w:div w:id="1591624491">
      <w:bodyDiv w:val="1"/>
      <w:marLeft w:val="0"/>
      <w:marRight w:val="0"/>
      <w:marTop w:val="0"/>
      <w:marBottom w:val="0"/>
      <w:divBdr>
        <w:top w:val="none" w:sz="0" w:space="0" w:color="auto"/>
        <w:left w:val="none" w:sz="0" w:space="0" w:color="auto"/>
        <w:bottom w:val="none" w:sz="0" w:space="0" w:color="auto"/>
        <w:right w:val="none" w:sz="0" w:space="0" w:color="auto"/>
      </w:divBdr>
    </w:div>
    <w:div w:id="1595899706">
      <w:bodyDiv w:val="1"/>
      <w:marLeft w:val="0"/>
      <w:marRight w:val="0"/>
      <w:marTop w:val="0"/>
      <w:marBottom w:val="0"/>
      <w:divBdr>
        <w:top w:val="none" w:sz="0" w:space="0" w:color="auto"/>
        <w:left w:val="none" w:sz="0" w:space="0" w:color="auto"/>
        <w:bottom w:val="none" w:sz="0" w:space="0" w:color="auto"/>
        <w:right w:val="none" w:sz="0" w:space="0" w:color="auto"/>
      </w:divBdr>
    </w:div>
    <w:div w:id="1599218135">
      <w:bodyDiv w:val="1"/>
      <w:marLeft w:val="0"/>
      <w:marRight w:val="0"/>
      <w:marTop w:val="0"/>
      <w:marBottom w:val="0"/>
      <w:divBdr>
        <w:top w:val="none" w:sz="0" w:space="0" w:color="auto"/>
        <w:left w:val="none" w:sz="0" w:space="0" w:color="auto"/>
        <w:bottom w:val="none" w:sz="0" w:space="0" w:color="auto"/>
        <w:right w:val="none" w:sz="0" w:space="0" w:color="auto"/>
      </w:divBdr>
    </w:div>
    <w:div w:id="1611012650">
      <w:bodyDiv w:val="1"/>
      <w:marLeft w:val="0"/>
      <w:marRight w:val="0"/>
      <w:marTop w:val="0"/>
      <w:marBottom w:val="0"/>
      <w:divBdr>
        <w:top w:val="none" w:sz="0" w:space="0" w:color="auto"/>
        <w:left w:val="none" w:sz="0" w:space="0" w:color="auto"/>
        <w:bottom w:val="none" w:sz="0" w:space="0" w:color="auto"/>
        <w:right w:val="none" w:sz="0" w:space="0" w:color="auto"/>
      </w:divBdr>
    </w:div>
    <w:div w:id="1620914819">
      <w:bodyDiv w:val="1"/>
      <w:marLeft w:val="0"/>
      <w:marRight w:val="0"/>
      <w:marTop w:val="0"/>
      <w:marBottom w:val="0"/>
      <w:divBdr>
        <w:top w:val="none" w:sz="0" w:space="0" w:color="auto"/>
        <w:left w:val="none" w:sz="0" w:space="0" w:color="auto"/>
        <w:bottom w:val="none" w:sz="0" w:space="0" w:color="auto"/>
        <w:right w:val="none" w:sz="0" w:space="0" w:color="auto"/>
      </w:divBdr>
    </w:div>
    <w:div w:id="1620985997">
      <w:bodyDiv w:val="1"/>
      <w:marLeft w:val="0"/>
      <w:marRight w:val="0"/>
      <w:marTop w:val="0"/>
      <w:marBottom w:val="0"/>
      <w:divBdr>
        <w:top w:val="none" w:sz="0" w:space="0" w:color="auto"/>
        <w:left w:val="none" w:sz="0" w:space="0" w:color="auto"/>
        <w:bottom w:val="none" w:sz="0" w:space="0" w:color="auto"/>
        <w:right w:val="none" w:sz="0" w:space="0" w:color="auto"/>
      </w:divBdr>
    </w:div>
    <w:div w:id="1622229482">
      <w:bodyDiv w:val="1"/>
      <w:marLeft w:val="0"/>
      <w:marRight w:val="0"/>
      <w:marTop w:val="0"/>
      <w:marBottom w:val="0"/>
      <w:divBdr>
        <w:top w:val="none" w:sz="0" w:space="0" w:color="auto"/>
        <w:left w:val="none" w:sz="0" w:space="0" w:color="auto"/>
        <w:bottom w:val="none" w:sz="0" w:space="0" w:color="auto"/>
        <w:right w:val="none" w:sz="0" w:space="0" w:color="auto"/>
      </w:divBdr>
      <w:divsChild>
        <w:div w:id="1692414778">
          <w:marLeft w:val="0"/>
          <w:marRight w:val="0"/>
          <w:marTop w:val="0"/>
          <w:marBottom w:val="0"/>
          <w:divBdr>
            <w:top w:val="none" w:sz="0" w:space="0" w:color="auto"/>
            <w:left w:val="none" w:sz="0" w:space="0" w:color="auto"/>
            <w:bottom w:val="none" w:sz="0" w:space="0" w:color="auto"/>
            <w:right w:val="none" w:sz="0" w:space="0" w:color="auto"/>
          </w:divBdr>
          <w:divsChild>
            <w:div w:id="1226138650">
              <w:marLeft w:val="0"/>
              <w:marRight w:val="0"/>
              <w:marTop w:val="0"/>
              <w:marBottom w:val="0"/>
              <w:divBdr>
                <w:top w:val="none" w:sz="0" w:space="0" w:color="auto"/>
                <w:left w:val="none" w:sz="0" w:space="0" w:color="auto"/>
                <w:bottom w:val="none" w:sz="0" w:space="0" w:color="auto"/>
                <w:right w:val="none" w:sz="0" w:space="0" w:color="auto"/>
              </w:divBdr>
              <w:divsChild>
                <w:div w:id="1098714181">
                  <w:marLeft w:val="0"/>
                  <w:marRight w:val="0"/>
                  <w:marTop w:val="0"/>
                  <w:marBottom w:val="0"/>
                  <w:divBdr>
                    <w:top w:val="none" w:sz="0" w:space="0" w:color="auto"/>
                    <w:left w:val="none" w:sz="0" w:space="0" w:color="auto"/>
                    <w:bottom w:val="none" w:sz="0" w:space="0" w:color="auto"/>
                    <w:right w:val="none" w:sz="0" w:space="0" w:color="auto"/>
                  </w:divBdr>
                  <w:divsChild>
                    <w:div w:id="800927695">
                      <w:marLeft w:val="0"/>
                      <w:marRight w:val="0"/>
                      <w:marTop w:val="0"/>
                      <w:marBottom w:val="0"/>
                      <w:divBdr>
                        <w:top w:val="none" w:sz="0" w:space="0" w:color="auto"/>
                        <w:left w:val="none" w:sz="0" w:space="0" w:color="auto"/>
                        <w:bottom w:val="none" w:sz="0" w:space="0" w:color="auto"/>
                        <w:right w:val="none" w:sz="0" w:space="0" w:color="auto"/>
                      </w:divBdr>
                      <w:divsChild>
                        <w:div w:id="292761291">
                          <w:marLeft w:val="0"/>
                          <w:marRight w:val="0"/>
                          <w:marTop w:val="0"/>
                          <w:marBottom w:val="0"/>
                          <w:divBdr>
                            <w:top w:val="none" w:sz="0" w:space="0" w:color="auto"/>
                            <w:left w:val="none" w:sz="0" w:space="0" w:color="auto"/>
                            <w:bottom w:val="none" w:sz="0" w:space="0" w:color="auto"/>
                            <w:right w:val="none" w:sz="0" w:space="0" w:color="auto"/>
                          </w:divBdr>
                          <w:divsChild>
                            <w:div w:id="1675766697">
                              <w:marLeft w:val="0"/>
                              <w:marRight w:val="0"/>
                              <w:marTop w:val="0"/>
                              <w:marBottom w:val="0"/>
                              <w:divBdr>
                                <w:top w:val="none" w:sz="0" w:space="0" w:color="auto"/>
                                <w:left w:val="none" w:sz="0" w:space="0" w:color="auto"/>
                                <w:bottom w:val="none" w:sz="0" w:space="0" w:color="auto"/>
                                <w:right w:val="none" w:sz="0" w:space="0" w:color="auto"/>
                              </w:divBdr>
                              <w:divsChild>
                                <w:div w:id="744062293">
                                  <w:marLeft w:val="0"/>
                                  <w:marRight w:val="0"/>
                                  <w:marTop w:val="0"/>
                                  <w:marBottom w:val="0"/>
                                  <w:divBdr>
                                    <w:top w:val="none" w:sz="0" w:space="0" w:color="auto"/>
                                    <w:left w:val="none" w:sz="0" w:space="0" w:color="auto"/>
                                    <w:bottom w:val="none" w:sz="0" w:space="0" w:color="auto"/>
                                    <w:right w:val="none" w:sz="0" w:space="0" w:color="auto"/>
                                  </w:divBdr>
                                  <w:divsChild>
                                    <w:div w:id="1421411753">
                                      <w:marLeft w:val="0"/>
                                      <w:marRight w:val="0"/>
                                      <w:marTop w:val="0"/>
                                      <w:marBottom w:val="0"/>
                                      <w:divBdr>
                                        <w:top w:val="none" w:sz="0" w:space="0" w:color="auto"/>
                                        <w:left w:val="none" w:sz="0" w:space="0" w:color="auto"/>
                                        <w:bottom w:val="none" w:sz="0" w:space="0" w:color="auto"/>
                                        <w:right w:val="none" w:sz="0" w:space="0" w:color="auto"/>
                                      </w:divBdr>
                                      <w:divsChild>
                                        <w:div w:id="21829549">
                                          <w:marLeft w:val="0"/>
                                          <w:marRight w:val="0"/>
                                          <w:marTop w:val="0"/>
                                          <w:marBottom w:val="0"/>
                                          <w:divBdr>
                                            <w:top w:val="none" w:sz="0" w:space="0" w:color="auto"/>
                                            <w:left w:val="none" w:sz="0" w:space="0" w:color="auto"/>
                                            <w:bottom w:val="none" w:sz="0" w:space="0" w:color="auto"/>
                                            <w:right w:val="none" w:sz="0" w:space="0" w:color="auto"/>
                                          </w:divBdr>
                                          <w:divsChild>
                                            <w:div w:id="1839611161">
                                              <w:marLeft w:val="0"/>
                                              <w:marRight w:val="0"/>
                                              <w:marTop w:val="0"/>
                                              <w:marBottom w:val="0"/>
                                              <w:divBdr>
                                                <w:top w:val="none" w:sz="0" w:space="0" w:color="auto"/>
                                                <w:left w:val="none" w:sz="0" w:space="0" w:color="auto"/>
                                                <w:bottom w:val="none" w:sz="0" w:space="0" w:color="auto"/>
                                                <w:right w:val="none" w:sz="0" w:space="0" w:color="auto"/>
                                              </w:divBdr>
                                              <w:divsChild>
                                                <w:div w:id="199344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6530027">
          <w:marLeft w:val="0"/>
          <w:marRight w:val="0"/>
          <w:marTop w:val="0"/>
          <w:marBottom w:val="0"/>
          <w:divBdr>
            <w:top w:val="none" w:sz="0" w:space="0" w:color="auto"/>
            <w:left w:val="none" w:sz="0" w:space="0" w:color="auto"/>
            <w:bottom w:val="none" w:sz="0" w:space="0" w:color="auto"/>
            <w:right w:val="none" w:sz="0" w:space="0" w:color="auto"/>
          </w:divBdr>
          <w:divsChild>
            <w:div w:id="488903267">
              <w:marLeft w:val="0"/>
              <w:marRight w:val="0"/>
              <w:marTop w:val="0"/>
              <w:marBottom w:val="0"/>
              <w:divBdr>
                <w:top w:val="none" w:sz="0" w:space="0" w:color="auto"/>
                <w:left w:val="none" w:sz="0" w:space="0" w:color="auto"/>
                <w:bottom w:val="none" w:sz="0" w:space="0" w:color="auto"/>
                <w:right w:val="none" w:sz="0" w:space="0" w:color="auto"/>
              </w:divBdr>
              <w:divsChild>
                <w:div w:id="389156956">
                  <w:marLeft w:val="0"/>
                  <w:marRight w:val="0"/>
                  <w:marTop w:val="0"/>
                  <w:marBottom w:val="0"/>
                  <w:divBdr>
                    <w:top w:val="none" w:sz="0" w:space="0" w:color="auto"/>
                    <w:left w:val="none" w:sz="0" w:space="0" w:color="auto"/>
                    <w:bottom w:val="none" w:sz="0" w:space="0" w:color="auto"/>
                    <w:right w:val="none" w:sz="0" w:space="0" w:color="auto"/>
                  </w:divBdr>
                  <w:divsChild>
                    <w:div w:id="2054500349">
                      <w:marLeft w:val="0"/>
                      <w:marRight w:val="0"/>
                      <w:marTop w:val="0"/>
                      <w:marBottom w:val="0"/>
                      <w:divBdr>
                        <w:top w:val="none" w:sz="0" w:space="0" w:color="auto"/>
                        <w:left w:val="none" w:sz="0" w:space="0" w:color="auto"/>
                        <w:bottom w:val="none" w:sz="0" w:space="0" w:color="auto"/>
                        <w:right w:val="none" w:sz="0" w:space="0" w:color="auto"/>
                      </w:divBdr>
                      <w:divsChild>
                        <w:div w:id="1729113091">
                          <w:marLeft w:val="0"/>
                          <w:marRight w:val="0"/>
                          <w:marTop w:val="0"/>
                          <w:marBottom w:val="0"/>
                          <w:divBdr>
                            <w:top w:val="none" w:sz="0" w:space="0" w:color="auto"/>
                            <w:left w:val="none" w:sz="0" w:space="0" w:color="auto"/>
                            <w:bottom w:val="none" w:sz="0" w:space="0" w:color="auto"/>
                            <w:right w:val="none" w:sz="0" w:space="0" w:color="auto"/>
                          </w:divBdr>
                          <w:divsChild>
                            <w:div w:id="563226306">
                              <w:marLeft w:val="0"/>
                              <w:marRight w:val="0"/>
                              <w:marTop w:val="0"/>
                              <w:marBottom w:val="0"/>
                              <w:divBdr>
                                <w:top w:val="none" w:sz="0" w:space="0" w:color="auto"/>
                                <w:left w:val="none" w:sz="0" w:space="0" w:color="auto"/>
                                <w:bottom w:val="none" w:sz="0" w:space="0" w:color="auto"/>
                                <w:right w:val="none" w:sz="0" w:space="0" w:color="auto"/>
                              </w:divBdr>
                              <w:divsChild>
                                <w:div w:id="801654696">
                                  <w:marLeft w:val="0"/>
                                  <w:marRight w:val="0"/>
                                  <w:marTop w:val="0"/>
                                  <w:marBottom w:val="0"/>
                                  <w:divBdr>
                                    <w:top w:val="none" w:sz="0" w:space="0" w:color="auto"/>
                                    <w:left w:val="none" w:sz="0" w:space="0" w:color="auto"/>
                                    <w:bottom w:val="none" w:sz="0" w:space="0" w:color="auto"/>
                                    <w:right w:val="none" w:sz="0" w:space="0" w:color="auto"/>
                                  </w:divBdr>
                                  <w:divsChild>
                                    <w:div w:id="1536113556">
                                      <w:marLeft w:val="0"/>
                                      <w:marRight w:val="0"/>
                                      <w:marTop w:val="0"/>
                                      <w:marBottom w:val="0"/>
                                      <w:divBdr>
                                        <w:top w:val="none" w:sz="0" w:space="0" w:color="auto"/>
                                        <w:left w:val="none" w:sz="0" w:space="0" w:color="auto"/>
                                        <w:bottom w:val="none" w:sz="0" w:space="0" w:color="auto"/>
                                        <w:right w:val="none" w:sz="0" w:space="0" w:color="auto"/>
                                      </w:divBdr>
                                    </w:div>
                                  </w:divsChild>
                                </w:div>
                                <w:div w:id="1645423995">
                                  <w:marLeft w:val="0"/>
                                  <w:marRight w:val="0"/>
                                  <w:marTop w:val="0"/>
                                  <w:marBottom w:val="0"/>
                                  <w:divBdr>
                                    <w:top w:val="none" w:sz="0" w:space="0" w:color="auto"/>
                                    <w:left w:val="none" w:sz="0" w:space="0" w:color="auto"/>
                                    <w:bottom w:val="none" w:sz="0" w:space="0" w:color="auto"/>
                                    <w:right w:val="none" w:sz="0" w:space="0" w:color="auto"/>
                                  </w:divBdr>
                                  <w:divsChild>
                                    <w:div w:id="1314483981">
                                      <w:marLeft w:val="0"/>
                                      <w:marRight w:val="0"/>
                                      <w:marTop w:val="0"/>
                                      <w:marBottom w:val="0"/>
                                      <w:divBdr>
                                        <w:top w:val="none" w:sz="0" w:space="0" w:color="auto"/>
                                        <w:left w:val="none" w:sz="0" w:space="0" w:color="auto"/>
                                        <w:bottom w:val="none" w:sz="0" w:space="0" w:color="auto"/>
                                        <w:right w:val="none" w:sz="0" w:space="0" w:color="auto"/>
                                      </w:divBdr>
                                      <w:divsChild>
                                        <w:div w:id="314797736">
                                          <w:marLeft w:val="0"/>
                                          <w:marRight w:val="0"/>
                                          <w:marTop w:val="0"/>
                                          <w:marBottom w:val="0"/>
                                          <w:divBdr>
                                            <w:top w:val="none" w:sz="0" w:space="0" w:color="auto"/>
                                            <w:left w:val="none" w:sz="0" w:space="0" w:color="auto"/>
                                            <w:bottom w:val="none" w:sz="0" w:space="0" w:color="auto"/>
                                            <w:right w:val="none" w:sz="0" w:space="0" w:color="auto"/>
                                          </w:divBdr>
                                          <w:divsChild>
                                            <w:div w:id="1571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5018484">
      <w:bodyDiv w:val="1"/>
      <w:marLeft w:val="0"/>
      <w:marRight w:val="0"/>
      <w:marTop w:val="0"/>
      <w:marBottom w:val="0"/>
      <w:divBdr>
        <w:top w:val="none" w:sz="0" w:space="0" w:color="auto"/>
        <w:left w:val="none" w:sz="0" w:space="0" w:color="auto"/>
        <w:bottom w:val="none" w:sz="0" w:space="0" w:color="auto"/>
        <w:right w:val="none" w:sz="0" w:space="0" w:color="auto"/>
      </w:divBdr>
    </w:div>
    <w:div w:id="1664579998">
      <w:bodyDiv w:val="1"/>
      <w:marLeft w:val="0"/>
      <w:marRight w:val="0"/>
      <w:marTop w:val="0"/>
      <w:marBottom w:val="0"/>
      <w:divBdr>
        <w:top w:val="none" w:sz="0" w:space="0" w:color="auto"/>
        <w:left w:val="none" w:sz="0" w:space="0" w:color="auto"/>
        <w:bottom w:val="none" w:sz="0" w:space="0" w:color="auto"/>
        <w:right w:val="none" w:sz="0" w:space="0" w:color="auto"/>
      </w:divBdr>
    </w:div>
    <w:div w:id="1665475419">
      <w:bodyDiv w:val="1"/>
      <w:marLeft w:val="0"/>
      <w:marRight w:val="0"/>
      <w:marTop w:val="0"/>
      <w:marBottom w:val="0"/>
      <w:divBdr>
        <w:top w:val="none" w:sz="0" w:space="0" w:color="auto"/>
        <w:left w:val="none" w:sz="0" w:space="0" w:color="auto"/>
        <w:bottom w:val="none" w:sz="0" w:space="0" w:color="auto"/>
        <w:right w:val="none" w:sz="0" w:space="0" w:color="auto"/>
      </w:divBdr>
    </w:div>
    <w:div w:id="1667053713">
      <w:bodyDiv w:val="1"/>
      <w:marLeft w:val="0"/>
      <w:marRight w:val="0"/>
      <w:marTop w:val="0"/>
      <w:marBottom w:val="0"/>
      <w:divBdr>
        <w:top w:val="none" w:sz="0" w:space="0" w:color="auto"/>
        <w:left w:val="none" w:sz="0" w:space="0" w:color="auto"/>
        <w:bottom w:val="none" w:sz="0" w:space="0" w:color="auto"/>
        <w:right w:val="none" w:sz="0" w:space="0" w:color="auto"/>
      </w:divBdr>
    </w:div>
    <w:div w:id="1673724417">
      <w:bodyDiv w:val="1"/>
      <w:marLeft w:val="0"/>
      <w:marRight w:val="0"/>
      <w:marTop w:val="0"/>
      <w:marBottom w:val="0"/>
      <w:divBdr>
        <w:top w:val="none" w:sz="0" w:space="0" w:color="auto"/>
        <w:left w:val="none" w:sz="0" w:space="0" w:color="auto"/>
        <w:bottom w:val="none" w:sz="0" w:space="0" w:color="auto"/>
        <w:right w:val="none" w:sz="0" w:space="0" w:color="auto"/>
      </w:divBdr>
    </w:div>
    <w:div w:id="1682512084">
      <w:bodyDiv w:val="1"/>
      <w:marLeft w:val="0"/>
      <w:marRight w:val="0"/>
      <w:marTop w:val="0"/>
      <w:marBottom w:val="0"/>
      <w:divBdr>
        <w:top w:val="none" w:sz="0" w:space="0" w:color="auto"/>
        <w:left w:val="none" w:sz="0" w:space="0" w:color="auto"/>
        <w:bottom w:val="none" w:sz="0" w:space="0" w:color="auto"/>
        <w:right w:val="none" w:sz="0" w:space="0" w:color="auto"/>
      </w:divBdr>
    </w:div>
    <w:div w:id="1683360316">
      <w:bodyDiv w:val="1"/>
      <w:marLeft w:val="0"/>
      <w:marRight w:val="0"/>
      <w:marTop w:val="0"/>
      <w:marBottom w:val="0"/>
      <w:divBdr>
        <w:top w:val="none" w:sz="0" w:space="0" w:color="auto"/>
        <w:left w:val="none" w:sz="0" w:space="0" w:color="auto"/>
        <w:bottom w:val="none" w:sz="0" w:space="0" w:color="auto"/>
        <w:right w:val="none" w:sz="0" w:space="0" w:color="auto"/>
      </w:divBdr>
      <w:divsChild>
        <w:div w:id="673998437">
          <w:marLeft w:val="0"/>
          <w:marRight w:val="0"/>
          <w:marTop w:val="0"/>
          <w:marBottom w:val="0"/>
          <w:divBdr>
            <w:top w:val="none" w:sz="0" w:space="0" w:color="auto"/>
            <w:left w:val="none" w:sz="0" w:space="0" w:color="auto"/>
            <w:bottom w:val="none" w:sz="0" w:space="0" w:color="auto"/>
            <w:right w:val="none" w:sz="0" w:space="0" w:color="auto"/>
          </w:divBdr>
          <w:divsChild>
            <w:div w:id="1171719656">
              <w:marLeft w:val="0"/>
              <w:marRight w:val="0"/>
              <w:marTop w:val="0"/>
              <w:marBottom w:val="0"/>
              <w:divBdr>
                <w:top w:val="none" w:sz="0" w:space="0" w:color="auto"/>
                <w:left w:val="none" w:sz="0" w:space="0" w:color="auto"/>
                <w:bottom w:val="none" w:sz="0" w:space="0" w:color="auto"/>
                <w:right w:val="none" w:sz="0" w:space="0" w:color="auto"/>
              </w:divBdr>
              <w:divsChild>
                <w:div w:id="790246228">
                  <w:marLeft w:val="0"/>
                  <w:marRight w:val="0"/>
                  <w:marTop w:val="0"/>
                  <w:marBottom w:val="0"/>
                  <w:divBdr>
                    <w:top w:val="none" w:sz="0" w:space="0" w:color="auto"/>
                    <w:left w:val="none" w:sz="0" w:space="0" w:color="auto"/>
                    <w:bottom w:val="none" w:sz="0" w:space="0" w:color="auto"/>
                    <w:right w:val="none" w:sz="0" w:space="0" w:color="auto"/>
                  </w:divBdr>
                  <w:divsChild>
                    <w:div w:id="1621572777">
                      <w:marLeft w:val="0"/>
                      <w:marRight w:val="0"/>
                      <w:marTop w:val="0"/>
                      <w:marBottom w:val="0"/>
                      <w:divBdr>
                        <w:top w:val="none" w:sz="0" w:space="0" w:color="auto"/>
                        <w:left w:val="none" w:sz="0" w:space="0" w:color="auto"/>
                        <w:bottom w:val="none" w:sz="0" w:space="0" w:color="auto"/>
                        <w:right w:val="none" w:sz="0" w:space="0" w:color="auto"/>
                      </w:divBdr>
                      <w:divsChild>
                        <w:div w:id="29086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3625364">
      <w:bodyDiv w:val="1"/>
      <w:marLeft w:val="0"/>
      <w:marRight w:val="0"/>
      <w:marTop w:val="0"/>
      <w:marBottom w:val="0"/>
      <w:divBdr>
        <w:top w:val="none" w:sz="0" w:space="0" w:color="auto"/>
        <w:left w:val="none" w:sz="0" w:space="0" w:color="auto"/>
        <w:bottom w:val="none" w:sz="0" w:space="0" w:color="auto"/>
        <w:right w:val="none" w:sz="0" w:space="0" w:color="auto"/>
      </w:divBdr>
    </w:div>
    <w:div w:id="1685479135">
      <w:bodyDiv w:val="1"/>
      <w:marLeft w:val="0"/>
      <w:marRight w:val="0"/>
      <w:marTop w:val="0"/>
      <w:marBottom w:val="0"/>
      <w:divBdr>
        <w:top w:val="none" w:sz="0" w:space="0" w:color="auto"/>
        <w:left w:val="none" w:sz="0" w:space="0" w:color="auto"/>
        <w:bottom w:val="none" w:sz="0" w:space="0" w:color="auto"/>
        <w:right w:val="none" w:sz="0" w:space="0" w:color="auto"/>
      </w:divBdr>
    </w:div>
    <w:div w:id="1688018495">
      <w:bodyDiv w:val="1"/>
      <w:marLeft w:val="0"/>
      <w:marRight w:val="0"/>
      <w:marTop w:val="0"/>
      <w:marBottom w:val="0"/>
      <w:divBdr>
        <w:top w:val="none" w:sz="0" w:space="0" w:color="auto"/>
        <w:left w:val="none" w:sz="0" w:space="0" w:color="auto"/>
        <w:bottom w:val="none" w:sz="0" w:space="0" w:color="auto"/>
        <w:right w:val="none" w:sz="0" w:space="0" w:color="auto"/>
      </w:divBdr>
    </w:div>
    <w:div w:id="1693145699">
      <w:bodyDiv w:val="1"/>
      <w:marLeft w:val="0"/>
      <w:marRight w:val="0"/>
      <w:marTop w:val="0"/>
      <w:marBottom w:val="0"/>
      <w:divBdr>
        <w:top w:val="none" w:sz="0" w:space="0" w:color="auto"/>
        <w:left w:val="none" w:sz="0" w:space="0" w:color="auto"/>
        <w:bottom w:val="none" w:sz="0" w:space="0" w:color="auto"/>
        <w:right w:val="none" w:sz="0" w:space="0" w:color="auto"/>
      </w:divBdr>
    </w:div>
    <w:div w:id="1696688520">
      <w:bodyDiv w:val="1"/>
      <w:marLeft w:val="0"/>
      <w:marRight w:val="0"/>
      <w:marTop w:val="0"/>
      <w:marBottom w:val="0"/>
      <w:divBdr>
        <w:top w:val="none" w:sz="0" w:space="0" w:color="auto"/>
        <w:left w:val="none" w:sz="0" w:space="0" w:color="auto"/>
        <w:bottom w:val="none" w:sz="0" w:space="0" w:color="auto"/>
        <w:right w:val="none" w:sz="0" w:space="0" w:color="auto"/>
      </w:divBdr>
    </w:div>
    <w:div w:id="1707410334">
      <w:bodyDiv w:val="1"/>
      <w:marLeft w:val="0"/>
      <w:marRight w:val="0"/>
      <w:marTop w:val="0"/>
      <w:marBottom w:val="0"/>
      <w:divBdr>
        <w:top w:val="none" w:sz="0" w:space="0" w:color="auto"/>
        <w:left w:val="none" w:sz="0" w:space="0" w:color="auto"/>
        <w:bottom w:val="none" w:sz="0" w:space="0" w:color="auto"/>
        <w:right w:val="none" w:sz="0" w:space="0" w:color="auto"/>
      </w:divBdr>
    </w:div>
    <w:div w:id="1710691136">
      <w:bodyDiv w:val="1"/>
      <w:marLeft w:val="0"/>
      <w:marRight w:val="0"/>
      <w:marTop w:val="0"/>
      <w:marBottom w:val="0"/>
      <w:divBdr>
        <w:top w:val="none" w:sz="0" w:space="0" w:color="auto"/>
        <w:left w:val="none" w:sz="0" w:space="0" w:color="auto"/>
        <w:bottom w:val="none" w:sz="0" w:space="0" w:color="auto"/>
        <w:right w:val="none" w:sz="0" w:space="0" w:color="auto"/>
      </w:divBdr>
      <w:divsChild>
        <w:div w:id="203442414">
          <w:marLeft w:val="0"/>
          <w:marRight w:val="0"/>
          <w:marTop w:val="0"/>
          <w:marBottom w:val="0"/>
          <w:divBdr>
            <w:top w:val="none" w:sz="0" w:space="0" w:color="auto"/>
            <w:left w:val="none" w:sz="0" w:space="0" w:color="auto"/>
            <w:bottom w:val="none" w:sz="0" w:space="0" w:color="auto"/>
            <w:right w:val="none" w:sz="0" w:space="0" w:color="auto"/>
          </w:divBdr>
          <w:divsChild>
            <w:div w:id="606230578">
              <w:marLeft w:val="0"/>
              <w:marRight w:val="0"/>
              <w:marTop w:val="0"/>
              <w:marBottom w:val="0"/>
              <w:divBdr>
                <w:top w:val="none" w:sz="0" w:space="0" w:color="auto"/>
                <w:left w:val="none" w:sz="0" w:space="0" w:color="auto"/>
                <w:bottom w:val="none" w:sz="0" w:space="0" w:color="auto"/>
                <w:right w:val="none" w:sz="0" w:space="0" w:color="auto"/>
              </w:divBdr>
              <w:divsChild>
                <w:div w:id="1893271757">
                  <w:marLeft w:val="0"/>
                  <w:marRight w:val="0"/>
                  <w:marTop w:val="0"/>
                  <w:marBottom w:val="0"/>
                  <w:divBdr>
                    <w:top w:val="none" w:sz="0" w:space="0" w:color="auto"/>
                    <w:left w:val="none" w:sz="0" w:space="0" w:color="auto"/>
                    <w:bottom w:val="none" w:sz="0" w:space="0" w:color="auto"/>
                    <w:right w:val="none" w:sz="0" w:space="0" w:color="auto"/>
                  </w:divBdr>
                  <w:divsChild>
                    <w:div w:id="85077088">
                      <w:marLeft w:val="0"/>
                      <w:marRight w:val="0"/>
                      <w:marTop w:val="0"/>
                      <w:marBottom w:val="0"/>
                      <w:divBdr>
                        <w:top w:val="none" w:sz="0" w:space="0" w:color="auto"/>
                        <w:left w:val="none" w:sz="0" w:space="0" w:color="auto"/>
                        <w:bottom w:val="none" w:sz="0" w:space="0" w:color="auto"/>
                        <w:right w:val="none" w:sz="0" w:space="0" w:color="auto"/>
                      </w:divBdr>
                      <w:divsChild>
                        <w:div w:id="940138870">
                          <w:marLeft w:val="0"/>
                          <w:marRight w:val="0"/>
                          <w:marTop w:val="0"/>
                          <w:marBottom w:val="0"/>
                          <w:divBdr>
                            <w:top w:val="none" w:sz="0" w:space="0" w:color="auto"/>
                            <w:left w:val="none" w:sz="0" w:space="0" w:color="auto"/>
                            <w:bottom w:val="none" w:sz="0" w:space="0" w:color="auto"/>
                            <w:right w:val="none" w:sz="0" w:space="0" w:color="auto"/>
                          </w:divBdr>
                          <w:divsChild>
                            <w:div w:id="1323853959">
                              <w:marLeft w:val="0"/>
                              <w:marRight w:val="0"/>
                              <w:marTop w:val="0"/>
                              <w:marBottom w:val="0"/>
                              <w:divBdr>
                                <w:top w:val="none" w:sz="0" w:space="0" w:color="auto"/>
                                <w:left w:val="none" w:sz="0" w:space="0" w:color="auto"/>
                                <w:bottom w:val="none" w:sz="0" w:space="0" w:color="auto"/>
                                <w:right w:val="none" w:sz="0" w:space="0" w:color="auto"/>
                              </w:divBdr>
                              <w:divsChild>
                                <w:div w:id="1403016960">
                                  <w:marLeft w:val="0"/>
                                  <w:marRight w:val="0"/>
                                  <w:marTop w:val="0"/>
                                  <w:marBottom w:val="0"/>
                                  <w:divBdr>
                                    <w:top w:val="none" w:sz="0" w:space="0" w:color="auto"/>
                                    <w:left w:val="none" w:sz="0" w:space="0" w:color="auto"/>
                                    <w:bottom w:val="none" w:sz="0" w:space="0" w:color="auto"/>
                                    <w:right w:val="none" w:sz="0" w:space="0" w:color="auto"/>
                                  </w:divBdr>
                                  <w:divsChild>
                                    <w:div w:id="988359101">
                                      <w:marLeft w:val="0"/>
                                      <w:marRight w:val="0"/>
                                      <w:marTop w:val="0"/>
                                      <w:marBottom w:val="0"/>
                                      <w:divBdr>
                                        <w:top w:val="none" w:sz="0" w:space="0" w:color="auto"/>
                                        <w:left w:val="none" w:sz="0" w:space="0" w:color="auto"/>
                                        <w:bottom w:val="none" w:sz="0" w:space="0" w:color="auto"/>
                                        <w:right w:val="none" w:sz="0" w:space="0" w:color="auto"/>
                                      </w:divBdr>
                                      <w:divsChild>
                                        <w:div w:id="273943821">
                                          <w:marLeft w:val="0"/>
                                          <w:marRight w:val="0"/>
                                          <w:marTop w:val="0"/>
                                          <w:marBottom w:val="0"/>
                                          <w:divBdr>
                                            <w:top w:val="none" w:sz="0" w:space="0" w:color="auto"/>
                                            <w:left w:val="none" w:sz="0" w:space="0" w:color="auto"/>
                                            <w:bottom w:val="none" w:sz="0" w:space="0" w:color="auto"/>
                                            <w:right w:val="none" w:sz="0" w:space="0" w:color="auto"/>
                                          </w:divBdr>
                                          <w:divsChild>
                                            <w:div w:id="1773168094">
                                              <w:marLeft w:val="0"/>
                                              <w:marRight w:val="0"/>
                                              <w:marTop w:val="0"/>
                                              <w:marBottom w:val="0"/>
                                              <w:divBdr>
                                                <w:top w:val="none" w:sz="0" w:space="0" w:color="auto"/>
                                                <w:left w:val="none" w:sz="0" w:space="0" w:color="auto"/>
                                                <w:bottom w:val="none" w:sz="0" w:space="0" w:color="auto"/>
                                                <w:right w:val="none" w:sz="0" w:space="0" w:color="auto"/>
                                              </w:divBdr>
                                              <w:divsChild>
                                                <w:div w:id="12364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6007194">
          <w:marLeft w:val="0"/>
          <w:marRight w:val="0"/>
          <w:marTop w:val="0"/>
          <w:marBottom w:val="0"/>
          <w:divBdr>
            <w:top w:val="none" w:sz="0" w:space="0" w:color="auto"/>
            <w:left w:val="none" w:sz="0" w:space="0" w:color="auto"/>
            <w:bottom w:val="none" w:sz="0" w:space="0" w:color="auto"/>
            <w:right w:val="none" w:sz="0" w:space="0" w:color="auto"/>
          </w:divBdr>
          <w:divsChild>
            <w:div w:id="1683779216">
              <w:marLeft w:val="0"/>
              <w:marRight w:val="0"/>
              <w:marTop w:val="0"/>
              <w:marBottom w:val="0"/>
              <w:divBdr>
                <w:top w:val="none" w:sz="0" w:space="0" w:color="auto"/>
                <w:left w:val="none" w:sz="0" w:space="0" w:color="auto"/>
                <w:bottom w:val="none" w:sz="0" w:space="0" w:color="auto"/>
                <w:right w:val="none" w:sz="0" w:space="0" w:color="auto"/>
              </w:divBdr>
              <w:divsChild>
                <w:div w:id="473447658">
                  <w:marLeft w:val="0"/>
                  <w:marRight w:val="0"/>
                  <w:marTop w:val="0"/>
                  <w:marBottom w:val="0"/>
                  <w:divBdr>
                    <w:top w:val="none" w:sz="0" w:space="0" w:color="auto"/>
                    <w:left w:val="none" w:sz="0" w:space="0" w:color="auto"/>
                    <w:bottom w:val="none" w:sz="0" w:space="0" w:color="auto"/>
                    <w:right w:val="none" w:sz="0" w:space="0" w:color="auto"/>
                  </w:divBdr>
                  <w:divsChild>
                    <w:div w:id="1067806258">
                      <w:marLeft w:val="0"/>
                      <w:marRight w:val="0"/>
                      <w:marTop w:val="0"/>
                      <w:marBottom w:val="0"/>
                      <w:divBdr>
                        <w:top w:val="none" w:sz="0" w:space="0" w:color="auto"/>
                        <w:left w:val="none" w:sz="0" w:space="0" w:color="auto"/>
                        <w:bottom w:val="none" w:sz="0" w:space="0" w:color="auto"/>
                        <w:right w:val="none" w:sz="0" w:space="0" w:color="auto"/>
                      </w:divBdr>
                      <w:divsChild>
                        <w:div w:id="878051843">
                          <w:marLeft w:val="0"/>
                          <w:marRight w:val="0"/>
                          <w:marTop w:val="0"/>
                          <w:marBottom w:val="0"/>
                          <w:divBdr>
                            <w:top w:val="none" w:sz="0" w:space="0" w:color="auto"/>
                            <w:left w:val="none" w:sz="0" w:space="0" w:color="auto"/>
                            <w:bottom w:val="none" w:sz="0" w:space="0" w:color="auto"/>
                            <w:right w:val="none" w:sz="0" w:space="0" w:color="auto"/>
                          </w:divBdr>
                          <w:divsChild>
                            <w:div w:id="362942646">
                              <w:marLeft w:val="0"/>
                              <w:marRight w:val="0"/>
                              <w:marTop w:val="0"/>
                              <w:marBottom w:val="0"/>
                              <w:divBdr>
                                <w:top w:val="none" w:sz="0" w:space="0" w:color="auto"/>
                                <w:left w:val="none" w:sz="0" w:space="0" w:color="auto"/>
                                <w:bottom w:val="none" w:sz="0" w:space="0" w:color="auto"/>
                                <w:right w:val="none" w:sz="0" w:space="0" w:color="auto"/>
                              </w:divBdr>
                              <w:divsChild>
                                <w:div w:id="670375532">
                                  <w:marLeft w:val="0"/>
                                  <w:marRight w:val="0"/>
                                  <w:marTop w:val="0"/>
                                  <w:marBottom w:val="0"/>
                                  <w:divBdr>
                                    <w:top w:val="none" w:sz="0" w:space="0" w:color="auto"/>
                                    <w:left w:val="none" w:sz="0" w:space="0" w:color="auto"/>
                                    <w:bottom w:val="none" w:sz="0" w:space="0" w:color="auto"/>
                                    <w:right w:val="none" w:sz="0" w:space="0" w:color="auto"/>
                                  </w:divBdr>
                                  <w:divsChild>
                                    <w:div w:id="674192545">
                                      <w:marLeft w:val="0"/>
                                      <w:marRight w:val="0"/>
                                      <w:marTop w:val="0"/>
                                      <w:marBottom w:val="0"/>
                                      <w:divBdr>
                                        <w:top w:val="none" w:sz="0" w:space="0" w:color="auto"/>
                                        <w:left w:val="none" w:sz="0" w:space="0" w:color="auto"/>
                                        <w:bottom w:val="none" w:sz="0" w:space="0" w:color="auto"/>
                                        <w:right w:val="none" w:sz="0" w:space="0" w:color="auto"/>
                                      </w:divBdr>
                                      <w:divsChild>
                                        <w:div w:id="1739865133">
                                          <w:marLeft w:val="0"/>
                                          <w:marRight w:val="0"/>
                                          <w:marTop w:val="0"/>
                                          <w:marBottom w:val="0"/>
                                          <w:divBdr>
                                            <w:top w:val="none" w:sz="0" w:space="0" w:color="auto"/>
                                            <w:left w:val="none" w:sz="0" w:space="0" w:color="auto"/>
                                            <w:bottom w:val="none" w:sz="0" w:space="0" w:color="auto"/>
                                            <w:right w:val="none" w:sz="0" w:space="0" w:color="auto"/>
                                          </w:divBdr>
                                          <w:divsChild>
                                            <w:div w:id="28227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273405">
                          <w:marLeft w:val="0"/>
                          <w:marRight w:val="0"/>
                          <w:marTop w:val="0"/>
                          <w:marBottom w:val="0"/>
                          <w:divBdr>
                            <w:top w:val="none" w:sz="0" w:space="0" w:color="auto"/>
                            <w:left w:val="none" w:sz="0" w:space="0" w:color="auto"/>
                            <w:bottom w:val="none" w:sz="0" w:space="0" w:color="auto"/>
                            <w:right w:val="none" w:sz="0" w:space="0" w:color="auto"/>
                          </w:divBdr>
                          <w:divsChild>
                            <w:div w:id="445857681">
                              <w:marLeft w:val="0"/>
                              <w:marRight w:val="0"/>
                              <w:marTop w:val="0"/>
                              <w:marBottom w:val="0"/>
                              <w:divBdr>
                                <w:top w:val="none" w:sz="0" w:space="0" w:color="auto"/>
                                <w:left w:val="none" w:sz="0" w:space="0" w:color="auto"/>
                                <w:bottom w:val="none" w:sz="0" w:space="0" w:color="auto"/>
                                <w:right w:val="none" w:sz="0" w:space="0" w:color="auto"/>
                              </w:divBdr>
                              <w:divsChild>
                                <w:div w:id="14355657">
                                  <w:marLeft w:val="0"/>
                                  <w:marRight w:val="0"/>
                                  <w:marTop w:val="0"/>
                                  <w:marBottom w:val="0"/>
                                  <w:divBdr>
                                    <w:top w:val="none" w:sz="0" w:space="0" w:color="auto"/>
                                    <w:left w:val="none" w:sz="0" w:space="0" w:color="auto"/>
                                    <w:bottom w:val="none" w:sz="0" w:space="0" w:color="auto"/>
                                    <w:right w:val="none" w:sz="0" w:space="0" w:color="auto"/>
                                  </w:divBdr>
                                  <w:divsChild>
                                    <w:div w:id="517543577">
                                      <w:marLeft w:val="0"/>
                                      <w:marRight w:val="0"/>
                                      <w:marTop w:val="0"/>
                                      <w:marBottom w:val="0"/>
                                      <w:divBdr>
                                        <w:top w:val="none" w:sz="0" w:space="0" w:color="auto"/>
                                        <w:left w:val="none" w:sz="0" w:space="0" w:color="auto"/>
                                        <w:bottom w:val="none" w:sz="0" w:space="0" w:color="auto"/>
                                        <w:right w:val="none" w:sz="0" w:space="0" w:color="auto"/>
                                      </w:divBdr>
                                      <w:divsChild>
                                        <w:div w:id="201790703">
                                          <w:marLeft w:val="0"/>
                                          <w:marRight w:val="0"/>
                                          <w:marTop w:val="0"/>
                                          <w:marBottom w:val="0"/>
                                          <w:divBdr>
                                            <w:top w:val="none" w:sz="0" w:space="0" w:color="auto"/>
                                            <w:left w:val="none" w:sz="0" w:space="0" w:color="auto"/>
                                            <w:bottom w:val="none" w:sz="0" w:space="0" w:color="auto"/>
                                            <w:right w:val="none" w:sz="0" w:space="0" w:color="auto"/>
                                          </w:divBdr>
                                          <w:divsChild>
                                            <w:div w:id="172513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721697">
                                  <w:marLeft w:val="0"/>
                                  <w:marRight w:val="0"/>
                                  <w:marTop w:val="0"/>
                                  <w:marBottom w:val="0"/>
                                  <w:divBdr>
                                    <w:top w:val="none" w:sz="0" w:space="0" w:color="auto"/>
                                    <w:left w:val="none" w:sz="0" w:space="0" w:color="auto"/>
                                    <w:bottom w:val="none" w:sz="0" w:space="0" w:color="auto"/>
                                    <w:right w:val="none" w:sz="0" w:space="0" w:color="auto"/>
                                  </w:divBdr>
                                  <w:divsChild>
                                    <w:div w:id="39428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195220">
                          <w:marLeft w:val="0"/>
                          <w:marRight w:val="0"/>
                          <w:marTop w:val="0"/>
                          <w:marBottom w:val="0"/>
                          <w:divBdr>
                            <w:top w:val="none" w:sz="0" w:space="0" w:color="auto"/>
                            <w:left w:val="none" w:sz="0" w:space="0" w:color="auto"/>
                            <w:bottom w:val="none" w:sz="0" w:space="0" w:color="auto"/>
                            <w:right w:val="none" w:sz="0" w:space="0" w:color="auto"/>
                          </w:divBdr>
                          <w:divsChild>
                            <w:div w:id="1327518248">
                              <w:marLeft w:val="0"/>
                              <w:marRight w:val="0"/>
                              <w:marTop w:val="0"/>
                              <w:marBottom w:val="0"/>
                              <w:divBdr>
                                <w:top w:val="none" w:sz="0" w:space="0" w:color="auto"/>
                                <w:left w:val="none" w:sz="0" w:space="0" w:color="auto"/>
                                <w:bottom w:val="none" w:sz="0" w:space="0" w:color="auto"/>
                                <w:right w:val="none" w:sz="0" w:space="0" w:color="auto"/>
                              </w:divBdr>
                              <w:divsChild>
                                <w:div w:id="1284309674">
                                  <w:marLeft w:val="0"/>
                                  <w:marRight w:val="0"/>
                                  <w:marTop w:val="0"/>
                                  <w:marBottom w:val="0"/>
                                  <w:divBdr>
                                    <w:top w:val="none" w:sz="0" w:space="0" w:color="auto"/>
                                    <w:left w:val="none" w:sz="0" w:space="0" w:color="auto"/>
                                    <w:bottom w:val="none" w:sz="0" w:space="0" w:color="auto"/>
                                    <w:right w:val="none" w:sz="0" w:space="0" w:color="auto"/>
                                  </w:divBdr>
                                  <w:divsChild>
                                    <w:div w:id="1419328098">
                                      <w:marLeft w:val="0"/>
                                      <w:marRight w:val="0"/>
                                      <w:marTop w:val="0"/>
                                      <w:marBottom w:val="0"/>
                                      <w:divBdr>
                                        <w:top w:val="none" w:sz="0" w:space="0" w:color="auto"/>
                                        <w:left w:val="none" w:sz="0" w:space="0" w:color="auto"/>
                                        <w:bottom w:val="none" w:sz="0" w:space="0" w:color="auto"/>
                                        <w:right w:val="none" w:sz="0" w:space="0" w:color="auto"/>
                                      </w:divBdr>
                                      <w:divsChild>
                                        <w:div w:id="780684736">
                                          <w:marLeft w:val="0"/>
                                          <w:marRight w:val="0"/>
                                          <w:marTop w:val="0"/>
                                          <w:marBottom w:val="0"/>
                                          <w:divBdr>
                                            <w:top w:val="none" w:sz="0" w:space="0" w:color="auto"/>
                                            <w:left w:val="none" w:sz="0" w:space="0" w:color="auto"/>
                                            <w:bottom w:val="none" w:sz="0" w:space="0" w:color="auto"/>
                                            <w:right w:val="none" w:sz="0" w:space="0" w:color="auto"/>
                                          </w:divBdr>
                                          <w:divsChild>
                                            <w:div w:id="371078719">
                                              <w:marLeft w:val="0"/>
                                              <w:marRight w:val="0"/>
                                              <w:marTop w:val="0"/>
                                              <w:marBottom w:val="0"/>
                                              <w:divBdr>
                                                <w:top w:val="none" w:sz="0" w:space="0" w:color="auto"/>
                                                <w:left w:val="none" w:sz="0" w:space="0" w:color="auto"/>
                                                <w:bottom w:val="none" w:sz="0" w:space="0" w:color="auto"/>
                                                <w:right w:val="none" w:sz="0" w:space="0" w:color="auto"/>
                                              </w:divBdr>
                                              <w:divsChild>
                                                <w:div w:id="186078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1343827">
      <w:bodyDiv w:val="1"/>
      <w:marLeft w:val="0"/>
      <w:marRight w:val="0"/>
      <w:marTop w:val="0"/>
      <w:marBottom w:val="0"/>
      <w:divBdr>
        <w:top w:val="none" w:sz="0" w:space="0" w:color="auto"/>
        <w:left w:val="none" w:sz="0" w:space="0" w:color="auto"/>
        <w:bottom w:val="none" w:sz="0" w:space="0" w:color="auto"/>
        <w:right w:val="none" w:sz="0" w:space="0" w:color="auto"/>
      </w:divBdr>
    </w:div>
    <w:div w:id="1724209099">
      <w:bodyDiv w:val="1"/>
      <w:marLeft w:val="0"/>
      <w:marRight w:val="0"/>
      <w:marTop w:val="0"/>
      <w:marBottom w:val="0"/>
      <w:divBdr>
        <w:top w:val="none" w:sz="0" w:space="0" w:color="auto"/>
        <w:left w:val="none" w:sz="0" w:space="0" w:color="auto"/>
        <w:bottom w:val="none" w:sz="0" w:space="0" w:color="auto"/>
        <w:right w:val="none" w:sz="0" w:space="0" w:color="auto"/>
      </w:divBdr>
    </w:div>
    <w:div w:id="1732385406">
      <w:bodyDiv w:val="1"/>
      <w:marLeft w:val="0"/>
      <w:marRight w:val="0"/>
      <w:marTop w:val="0"/>
      <w:marBottom w:val="0"/>
      <w:divBdr>
        <w:top w:val="none" w:sz="0" w:space="0" w:color="auto"/>
        <w:left w:val="none" w:sz="0" w:space="0" w:color="auto"/>
        <w:bottom w:val="none" w:sz="0" w:space="0" w:color="auto"/>
        <w:right w:val="none" w:sz="0" w:space="0" w:color="auto"/>
      </w:divBdr>
    </w:div>
    <w:div w:id="1733187137">
      <w:bodyDiv w:val="1"/>
      <w:marLeft w:val="0"/>
      <w:marRight w:val="0"/>
      <w:marTop w:val="0"/>
      <w:marBottom w:val="0"/>
      <w:divBdr>
        <w:top w:val="none" w:sz="0" w:space="0" w:color="auto"/>
        <w:left w:val="none" w:sz="0" w:space="0" w:color="auto"/>
        <w:bottom w:val="none" w:sz="0" w:space="0" w:color="auto"/>
        <w:right w:val="none" w:sz="0" w:space="0" w:color="auto"/>
      </w:divBdr>
    </w:div>
    <w:div w:id="1749232158">
      <w:bodyDiv w:val="1"/>
      <w:marLeft w:val="0"/>
      <w:marRight w:val="0"/>
      <w:marTop w:val="0"/>
      <w:marBottom w:val="0"/>
      <w:divBdr>
        <w:top w:val="none" w:sz="0" w:space="0" w:color="auto"/>
        <w:left w:val="none" w:sz="0" w:space="0" w:color="auto"/>
        <w:bottom w:val="none" w:sz="0" w:space="0" w:color="auto"/>
        <w:right w:val="none" w:sz="0" w:space="0" w:color="auto"/>
      </w:divBdr>
    </w:div>
    <w:div w:id="1751073379">
      <w:bodyDiv w:val="1"/>
      <w:marLeft w:val="0"/>
      <w:marRight w:val="0"/>
      <w:marTop w:val="0"/>
      <w:marBottom w:val="0"/>
      <w:divBdr>
        <w:top w:val="none" w:sz="0" w:space="0" w:color="auto"/>
        <w:left w:val="none" w:sz="0" w:space="0" w:color="auto"/>
        <w:bottom w:val="none" w:sz="0" w:space="0" w:color="auto"/>
        <w:right w:val="none" w:sz="0" w:space="0" w:color="auto"/>
      </w:divBdr>
    </w:div>
    <w:div w:id="1760246432">
      <w:bodyDiv w:val="1"/>
      <w:marLeft w:val="0"/>
      <w:marRight w:val="0"/>
      <w:marTop w:val="0"/>
      <w:marBottom w:val="0"/>
      <w:divBdr>
        <w:top w:val="none" w:sz="0" w:space="0" w:color="auto"/>
        <w:left w:val="none" w:sz="0" w:space="0" w:color="auto"/>
        <w:bottom w:val="none" w:sz="0" w:space="0" w:color="auto"/>
        <w:right w:val="none" w:sz="0" w:space="0" w:color="auto"/>
      </w:divBdr>
    </w:div>
    <w:div w:id="1781413431">
      <w:bodyDiv w:val="1"/>
      <w:marLeft w:val="0"/>
      <w:marRight w:val="0"/>
      <w:marTop w:val="0"/>
      <w:marBottom w:val="0"/>
      <w:divBdr>
        <w:top w:val="none" w:sz="0" w:space="0" w:color="auto"/>
        <w:left w:val="none" w:sz="0" w:space="0" w:color="auto"/>
        <w:bottom w:val="none" w:sz="0" w:space="0" w:color="auto"/>
        <w:right w:val="none" w:sz="0" w:space="0" w:color="auto"/>
      </w:divBdr>
    </w:div>
    <w:div w:id="1787389723">
      <w:bodyDiv w:val="1"/>
      <w:marLeft w:val="0"/>
      <w:marRight w:val="0"/>
      <w:marTop w:val="0"/>
      <w:marBottom w:val="0"/>
      <w:divBdr>
        <w:top w:val="none" w:sz="0" w:space="0" w:color="auto"/>
        <w:left w:val="none" w:sz="0" w:space="0" w:color="auto"/>
        <w:bottom w:val="none" w:sz="0" w:space="0" w:color="auto"/>
        <w:right w:val="none" w:sz="0" w:space="0" w:color="auto"/>
      </w:divBdr>
    </w:div>
    <w:div w:id="1790665618">
      <w:bodyDiv w:val="1"/>
      <w:marLeft w:val="0"/>
      <w:marRight w:val="0"/>
      <w:marTop w:val="0"/>
      <w:marBottom w:val="0"/>
      <w:divBdr>
        <w:top w:val="none" w:sz="0" w:space="0" w:color="auto"/>
        <w:left w:val="none" w:sz="0" w:space="0" w:color="auto"/>
        <w:bottom w:val="none" w:sz="0" w:space="0" w:color="auto"/>
        <w:right w:val="none" w:sz="0" w:space="0" w:color="auto"/>
      </w:divBdr>
    </w:div>
    <w:div w:id="1794202732">
      <w:bodyDiv w:val="1"/>
      <w:marLeft w:val="0"/>
      <w:marRight w:val="0"/>
      <w:marTop w:val="0"/>
      <w:marBottom w:val="0"/>
      <w:divBdr>
        <w:top w:val="none" w:sz="0" w:space="0" w:color="auto"/>
        <w:left w:val="none" w:sz="0" w:space="0" w:color="auto"/>
        <w:bottom w:val="none" w:sz="0" w:space="0" w:color="auto"/>
        <w:right w:val="none" w:sz="0" w:space="0" w:color="auto"/>
      </w:divBdr>
    </w:div>
    <w:div w:id="1798060424">
      <w:bodyDiv w:val="1"/>
      <w:marLeft w:val="0"/>
      <w:marRight w:val="0"/>
      <w:marTop w:val="0"/>
      <w:marBottom w:val="0"/>
      <w:divBdr>
        <w:top w:val="none" w:sz="0" w:space="0" w:color="auto"/>
        <w:left w:val="none" w:sz="0" w:space="0" w:color="auto"/>
        <w:bottom w:val="none" w:sz="0" w:space="0" w:color="auto"/>
        <w:right w:val="none" w:sz="0" w:space="0" w:color="auto"/>
      </w:divBdr>
    </w:div>
    <w:div w:id="1805346547">
      <w:bodyDiv w:val="1"/>
      <w:marLeft w:val="0"/>
      <w:marRight w:val="0"/>
      <w:marTop w:val="0"/>
      <w:marBottom w:val="0"/>
      <w:divBdr>
        <w:top w:val="none" w:sz="0" w:space="0" w:color="auto"/>
        <w:left w:val="none" w:sz="0" w:space="0" w:color="auto"/>
        <w:bottom w:val="none" w:sz="0" w:space="0" w:color="auto"/>
        <w:right w:val="none" w:sz="0" w:space="0" w:color="auto"/>
      </w:divBdr>
    </w:div>
    <w:div w:id="1812672307">
      <w:bodyDiv w:val="1"/>
      <w:marLeft w:val="0"/>
      <w:marRight w:val="0"/>
      <w:marTop w:val="0"/>
      <w:marBottom w:val="0"/>
      <w:divBdr>
        <w:top w:val="none" w:sz="0" w:space="0" w:color="auto"/>
        <w:left w:val="none" w:sz="0" w:space="0" w:color="auto"/>
        <w:bottom w:val="none" w:sz="0" w:space="0" w:color="auto"/>
        <w:right w:val="none" w:sz="0" w:space="0" w:color="auto"/>
      </w:divBdr>
    </w:div>
    <w:div w:id="1816604207">
      <w:bodyDiv w:val="1"/>
      <w:marLeft w:val="0"/>
      <w:marRight w:val="0"/>
      <w:marTop w:val="0"/>
      <w:marBottom w:val="0"/>
      <w:divBdr>
        <w:top w:val="none" w:sz="0" w:space="0" w:color="auto"/>
        <w:left w:val="none" w:sz="0" w:space="0" w:color="auto"/>
        <w:bottom w:val="none" w:sz="0" w:space="0" w:color="auto"/>
        <w:right w:val="none" w:sz="0" w:space="0" w:color="auto"/>
      </w:divBdr>
    </w:div>
    <w:div w:id="1822647582">
      <w:bodyDiv w:val="1"/>
      <w:marLeft w:val="0"/>
      <w:marRight w:val="0"/>
      <w:marTop w:val="0"/>
      <w:marBottom w:val="0"/>
      <w:divBdr>
        <w:top w:val="none" w:sz="0" w:space="0" w:color="auto"/>
        <w:left w:val="none" w:sz="0" w:space="0" w:color="auto"/>
        <w:bottom w:val="none" w:sz="0" w:space="0" w:color="auto"/>
        <w:right w:val="none" w:sz="0" w:space="0" w:color="auto"/>
      </w:divBdr>
    </w:div>
    <w:div w:id="1823110317">
      <w:bodyDiv w:val="1"/>
      <w:marLeft w:val="0"/>
      <w:marRight w:val="0"/>
      <w:marTop w:val="0"/>
      <w:marBottom w:val="0"/>
      <w:divBdr>
        <w:top w:val="none" w:sz="0" w:space="0" w:color="auto"/>
        <w:left w:val="none" w:sz="0" w:space="0" w:color="auto"/>
        <w:bottom w:val="none" w:sz="0" w:space="0" w:color="auto"/>
        <w:right w:val="none" w:sz="0" w:space="0" w:color="auto"/>
      </w:divBdr>
    </w:div>
    <w:div w:id="1825930249">
      <w:bodyDiv w:val="1"/>
      <w:marLeft w:val="0"/>
      <w:marRight w:val="0"/>
      <w:marTop w:val="0"/>
      <w:marBottom w:val="0"/>
      <w:divBdr>
        <w:top w:val="none" w:sz="0" w:space="0" w:color="auto"/>
        <w:left w:val="none" w:sz="0" w:space="0" w:color="auto"/>
        <w:bottom w:val="none" w:sz="0" w:space="0" w:color="auto"/>
        <w:right w:val="none" w:sz="0" w:space="0" w:color="auto"/>
      </w:divBdr>
      <w:divsChild>
        <w:div w:id="1590501829">
          <w:marLeft w:val="0"/>
          <w:marRight w:val="0"/>
          <w:marTop w:val="0"/>
          <w:marBottom w:val="0"/>
          <w:divBdr>
            <w:top w:val="none" w:sz="0" w:space="0" w:color="auto"/>
            <w:left w:val="none" w:sz="0" w:space="0" w:color="auto"/>
            <w:bottom w:val="none" w:sz="0" w:space="0" w:color="auto"/>
            <w:right w:val="none" w:sz="0" w:space="0" w:color="auto"/>
          </w:divBdr>
          <w:divsChild>
            <w:div w:id="754088087">
              <w:marLeft w:val="0"/>
              <w:marRight w:val="0"/>
              <w:marTop w:val="0"/>
              <w:marBottom w:val="0"/>
              <w:divBdr>
                <w:top w:val="none" w:sz="0" w:space="0" w:color="auto"/>
                <w:left w:val="none" w:sz="0" w:space="0" w:color="auto"/>
                <w:bottom w:val="none" w:sz="0" w:space="0" w:color="auto"/>
                <w:right w:val="none" w:sz="0" w:space="0" w:color="auto"/>
              </w:divBdr>
              <w:divsChild>
                <w:div w:id="1757553057">
                  <w:marLeft w:val="0"/>
                  <w:marRight w:val="0"/>
                  <w:marTop w:val="0"/>
                  <w:marBottom w:val="0"/>
                  <w:divBdr>
                    <w:top w:val="none" w:sz="0" w:space="0" w:color="auto"/>
                    <w:left w:val="none" w:sz="0" w:space="0" w:color="auto"/>
                    <w:bottom w:val="none" w:sz="0" w:space="0" w:color="auto"/>
                    <w:right w:val="none" w:sz="0" w:space="0" w:color="auto"/>
                  </w:divBdr>
                  <w:divsChild>
                    <w:div w:id="1352799493">
                      <w:marLeft w:val="0"/>
                      <w:marRight w:val="0"/>
                      <w:marTop w:val="0"/>
                      <w:marBottom w:val="0"/>
                      <w:divBdr>
                        <w:top w:val="none" w:sz="0" w:space="0" w:color="auto"/>
                        <w:left w:val="none" w:sz="0" w:space="0" w:color="auto"/>
                        <w:bottom w:val="none" w:sz="0" w:space="0" w:color="auto"/>
                        <w:right w:val="none" w:sz="0" w:space="0" w:color="auto"/>
                      </w:divBdr>
                      <w:divsChild>
                        <w:div w:id="960383113">
                          <w:marLeft w:val="0"/>
                          <w:marRight w:val="0"/>
                          <w:marTop w:val="0"/>
                          <w:marBottom w:val="0"/>
                          <w:divBdr>
                            <w:top w:val="none" w:sz="0" w:space="0" w:color="auto"/>
                            <w:left w:val="none" w:sz="0" w:space="0" w:color="auto"/>
                            <w:bottom w:val="none" w:sz="0" w:space="0" w:color="auto"/>
                            <w:right w:val="none" w:sz="0" w:space="0" w:color="auto"/>
                          </w:divBdr>
                          <w:divsChild>
                            <w:div w:id="367612652">
                              <w:marLeft w:val="0"/>
                              <w:marRight w:val="0"/>
                              <w:marTop w:val="0"/>
                              <w:marBottom w:val="0"/>
                              <w:divBdr>
                                <w:top w:val="none" w:sz="0" w:space="0" w:color="auto"/>
                                <w:left w:val="none" w:sz="0" w:space="0" w:color="auto"/>
                                <w:bottom w:val="none" w:sz="0" w:space="0" w:color="auto"/>
                                <w:right w:val="none" w:sz="0" w:space="0" w:color="auto"/>
                              </w:divBdr>
                              <w:divsChild>
                                <w:div w:id="447088825">
                                  <w:marLeft w:val="0"/>
                                  <w:marRight w:val="0"/>
                                  <w:marTop w:val="0"/>
                                  <w:marBottom w:val="0"/>
                                  <w:divBdr>
                                    <w:top w:val="none" w:sz="0" w:space="0" w:color="auto"/>
                                    <w:left w:val="none" w:sz="0" w:space="0" w:color="auto"/>
                                    <w:bottom w:val="none" w:sz="0" w:space="0" w:color="auto"/>
                                    <w:right w:val="none" w:sz="0" w:space="0" w:color="auto"/>
                                  </w:divBdr>
                                  <w:divsChild>
                                    <w:div w:id="758719791">
                                      <w:marLeft w:val="0"/>
                                      <w:marRight w:val="0"/>
                                      <w:marTop w:val="0"/>
                                      <w:marBottom w:val="0"/>
                                      <w:divBdr>
                                        <w:top w:val="none" w:sz="0" w:space="0" w:color="auto"/>
                                        <w:left w:val="none" w:sz="0" w:space="0" w:color="auto"/>
                                        <w:bottom w:val="none" w:sz="0" w:space="0" w:color="auto"/>
                                        <w:right w:val="none" w:sz="0" w:space="0" w:color="auto"/>
                                      </w:divBdr>
                                      <w:divsChild>
                                        <w:div w:id="218370804">
                                          <w:marLeft w:val="0"/>
                                          <w:marRight w:val="0"/>
                                          <w:marTop w:val="0"/>
                                          <w:marBottom w:val="0"/>
                                          <w:divBdr>
                                            <w:top w:val="none" w:sz="0" w:space="0" w:color="auto"/>
                                            <w:left w:val="none" w:sz="0" w:space="0" w:color="auto"/>
                                            <w:bottom w:val="none" w:sz="0" w:space="0" w:color="auto"/>
                                            <w:right w:val="none" w:sz="0" w:space="0" w:color="auto"/>
                                          </w:divBdr>
                                          <w:divsChild>
                                            <w:div w:id="195227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32334">
                                  <w:marLeft w:val="0"/>
                                  <w:marRight w:val="0"/>
                                  <w:marTop w:val="0"/>
                                  <w:marBottom w:val="0"/>
                                  <w:divBdr>
                                    <w:top w:val="none" w:sz="0" w:space="0" w:color="auto"/>
                                    <w:left w:val="none" w:sz="0" w:space="0" w:color="auto"/>
                                    <w:bottom w:val="none" w:sz="0" w:space="0" w:color="auto"/>
                                    <w:right w:val="none" w:sz="0" w:space="0" w:color="auto"/>
                                  </w:divBdr>
                                  <w:divsChild>
                                    <w:div w:id="71095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8344322">
          <w:marLeft w:val="0"/>
          <w:marRight w:val="0"/>
          <w:marTop w:val="0"/>
          <w:marBottom w:val="0"/>
          <w:divBdr>
            <w:top w:val="none" w:sz="0" w:space="0" w:color="auto"/>
            <w:left w:val="none" w:sz="0" w:space="0" w:color="auto"/>
            <w:bottom w:val="none" w:sz="0" w:space="0" w:color="auto"/>
            <w:right w:val="none" w:sz="0" w:space="0" w:color="auto"/>
          </w:divBdr>
          <w:divsChild>
            <w:div w:id="1368678372">
              <w:marLeft w:val="0"/>
              <w:marRight w:val="0"/>
              <w:marTop w:val="0"/>
              <w:marBottom w:val="0"/>
              <w:divBdr>
                <w:top w:val="none" w:sz="0" w:space="0" w:color="auto"/>
                <w:left w:val="none" w:sz="0" w:space="0" w:color="auto"/>
                <w:bottom w:val="none" w:sz="0" w:space="0" w:color="auto"/>
                <w:right w:val="none" w:sz="0" w:space="0" w:color="auto"/>
              </w:divBdr>
              <w:divsChild>
                <w:div w:id="2145391106">
                  <w:marLeft w:val="0"/>
                  <w:marRight w:val="0"/>
                  <w:marTop w:val="0"/>
                  <w:marBottom w:val="0"/>
                  <w:divBdr>
                    <w:top w:val="none" w:sz="0" w:space="0" w:color="auto"/>
                    <w:left w:val="none" w:sz="0" w:space="0" w:color="auto"/>
                    <w:bottom w:val="none" w:sz="0" w:space="0" w:color="auto"/>
                    <w:right w:val="none" w:sz="0" w:space="0" w:color="auto"/>
                  </w:divBdr>
                  <w:divsChild>
                    <w:div w:id="628897382">
                      <w:marLeft w:val="0"/>
                      <w:marRight w:val="0"/>
                      <w:marTop w:val="0"/>
                      <w:marBottom w:val="0"/>
                      <w:divBdr>
                        <w:top w:val="none" w:sz="0" w:space="0" w:color="auto"/>
                        <w:left w:val="none" w:sz="0" w:space="0" w:color="auto"/>
                        <w:bottom w:val="none" w:sz="0" w:space="0" w:color="auto"/>
                        <w:right w:val="none" w:sz="0" w:space="0" w:color="auto"/>
                      </w:divBdr>
                      <w:divsChild>
                        <w:div w:id="861674459">
                          <w:marLeft w:val="0"/>
                          <w:marRight w:val="0"/>
                          <w:marTop w:val="0"/>
                          <w:marBottom w:val="0"/>
                          <w:divBdr>
                            <w:top w:val="none" w:sz="0" w:space="0" w:color="auto"/>
                            <w:left w:val="none" w:sz="0" w:space="0" w:color="auto"/>
                            <w:bottom w:val="none" w:sz="0" w:space="0" w:color="auto"/>
                            <w:right w:val="none" w:sz="0" w:space="0" w:color="auto"/>
                          </w:divBdr>
                          <w:divsChild>
                            <w:div w:id="439761231">
                              <w:marLeft w:val="0"/>
                              <w:marRight w:val="0"/>
                              <w:marTop w:val="0"/>
                              <w:marBottom w:val="0"/>
                              <w:divBdr>
                                <w:top w:val="none" w:sz="0" w:space="0" w:color="auto"/>
                                <w:left w:val="none" w:sz="0" w:space="0" w:color="auto"/>
                                <w:bottom w:val="none" w:sz="0" w:space="0" w:color="auto"/>
                                <w:right w:val="none" w:sz="0" w:space="0" w:color="auto"/>
                              </w:divBdr>
                              <w:divsChild>
                                <w:div w:id="1565145733">
                                  <w:marLeft w:val="0"/>
                                  <w:marRight w:val="0"/>
                                  <w:marTop w:val="0"/>
                                  <w:marBottom w:val="0"/>
                                  <w:divBdr>
                                    <w:top w:val="none" w:sz="0" w:space="0" w:color="auto"/>
                                    <w:left w:val="none" w:sz="0" w:space="0" w:color="auto"/>
                                    <w:bottom w:val="none" w:sz="0" w:space="0" w:color="auto"/>
                                    <w:right w:val="none" w:sz="0" w:space="0" w:color="auto"/>
                                  </w:divBdr>
                                  <w:divsChild>
                                    <w:div w:id="2008898328">
                                      <w:marLeft w:val="0"/>
                                      <w:marRight w:val="0"/>
                                      <w:marTop w:val="0"/>
                                      <w:marBottom w:val="0"/>
                                      <w:divBdr>
                                        <w:top w:val="none" w:sz="0" w:space="0" w:color="auto"/>
                                        <w:left w:val="none" w:sz="0" w:space="0" w:color="auto"/>
                                        <w:bottom w:val="none" w:sz="0" w:space="0" w:color="auto"/>
                                        <w:right w:val="none" w:sz="0" w:space="0" w:color="auto"/>
                                      </w:divBdr>
                                      <w:divsChild>
                                        <w:div w:id="867568957">
                                          <w:marLeft w:val="0"/>
                                          <w:marRight w:val="0"/>
                                          <w:marTop w:val="0"/>
                                          <w:marBottom w:val="0"/>
                                          <w:divBdr>
                                            <w:top w:val="none" w:sz="0" w:space="0" w:color="auto"/>
                                            <w:left w:val="none" w:sz="0" w:space="0" w:color="auto"/>
                                            <w:bottom w:val="none" w:sz="0" w:space="0" w:color="auto"/>
                                            <w:right w:val="none" w:sz="0" w:space="0" w:color="auto"/>
                                          </w:divBdr>
                                          <w:divsChild>
                                            <w:div w:id="48963220">
                                              <w:marLeft w:val="0"/>
                                              <w:marRight w:val="0"/>
                                              <w:marTop w:val="0"/>
                                              <w:marBottom w:val="0"/>
                                              <w:divBdr>
                                                <w:top w:val="none" w:sz="0" w:space="0" w:color="auto"/>
                                                <w:left w:val="none" w:sz="0" w:space="0" w:color="auto"/>
                                                <w:bottom w:val="none" w:sz="0" w:space="0" w:color="auto"/>
                                                <w:right w:val="none" w:sz="0" w:space="0" w:color="auto"/>
                                              </w:divBdr>
                                              <w:divsChild>
                                                <w:div w:id="49781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7304836">
      <w:bodyDiv w:val="1"/>
      <w:marLeft w:val="0"/>
      <w:marRight w:val="0"/>
      <w:marTop w:val="0"/>
      <w:marBottom w:val="0"/>
      <w:divBdr>
        <w:top w:val="none" w:sz="0" w:space="0" w:color="auto"/>
        <w:left w:val="none" w:sz="0" w:space="0" w:color="auto"/>
        <w:bottom w:val="none" w:sz="0" w:space="0" w:color="auto"/>
        <w:right w:val="none" w:sz="0" w:space="0" w:color="auto"/>
      </w:divBdr>
    </w:div>
    <w:div w:id="1891306518">
      <w:bodyDiv w:val="1"/>
      <w:marLeft w:val="0"/>
      <w:marRight w:val="0"/>
      <w:marTop w:val="0"/>
      <w:marBottom w:val="0"/>
      <w:divBdr>
        <w:top w:val="none" w:sz="0" w:space="0" w:color="auto"/>
        <w:left w:val="none" w:sz="0" w:space="0" w:color="auto"/>
        <w:bottom w:val="none" w:sz="0" w:space="0" w:color="auto"/>
        <w:right w:val="none" w:sz="0" w:space="0" w:color="auto"/>
      </w:divBdr>
    </w:div>
    <w:div w:id="1895192623">
      <w:bodyDiv w:val="1"/>
      <w:marLeft w:val="0"/>
      <w:marRight w:val="0"/>
      <w:marTop w:val="0"/>
      <w:marBottom w:val="0"/>
      <w:divBdr>
        <w:top w:val="none" w:sz="0" w:space="0" w:color="auto"/>
        <w:left w:val="none" w:sz="0" w:space="0" w:color="auto"/>
        <w:bottom w:val="none" w:sz="0" w:space="0" w:color="auto"/>
        <w:right w:val="none" w:sz="0" w:space="0" w:color="auto"/>
      </w:divBdr>
    </w:div>
    <w:div w:id="1895315346">
      <w:bodyDiv w:val="1"/>
      <w:marLeft w:val="0"/>
      <w:marRight w:val="0"/>
      <w:marTop w:val="0"/>
      <w:marBottom w:val="0"/>
      <w:divBdr>
        <w:top w:val="none" w:sz="0" w:space="0" w:color="auto"/>
        <w:left w:val="none" w:sz="0" w:space="0" w:color="auto"/>
        <w:bottom w:val="none" w:sz="0" w:space="0" w:color="auto"/>
        <w:right w:val="none" w:sz="0" w:space="0" w:color="auto"/>
      </w:divBdr>
    </w:div>
    <w:div w:id="1895769615">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899782271">
      <w:bodyDiv w:val="1"/>
      <w:marLeft w:val="0"/>
      <w:marRight w:val="0"/>
      <w:marTop w:val="0"/>
      <w:marBottom w:val="0"/>
      <w:divBdr>
        <w:top w:val="none" w:sz="0" w:space="0" w:color="auto"/>
        <w:left w:val="none" w:sz="0" w:space="0" w:color="auto"/>
        <w:bottom w:val="none" w:sz="0" w:space="0" w:color="auto"/>
        <w:right w:val="none" w:sz="0" w:space="0" w:color="auto"/>
      </w:divBdr>
    </w:div>
    <w:div w:id="1901135329">
      <w:bodyDiv w:val="1"/>
      <w:marLeft w:val="0"/>
      <w:marRight w:val="0"/>
      <w:marTop w:val="0"/>
      <w:marBottom w:val="0"/>
      <w:divBdr>
        <w:top w:val="none" w:sz="0" w:space="0" w:color="auto"/>
        <w:left w:val="none" w:sz="0" w:space="0" w:color="auto"/>
        <w:bottom w:val="none" w:sz="0" w:space="0" w:color="auto"/>
        <w:right w:val="none" w:sz="0" w:space="0" w:color="auto"/>
      </w:divBdr>
      <w:divsChild>
        <w:div w:id="990670328">
          <w:marLeft w:val="0"/>
          <w:marRight w:val="0"/>
          <w:marTop w:val="0"/>
          <w:marBottom w:val="0"/>
          <w:divBdr>
            <w:top w:val="none" w:sz="0" w:space="0" w:color="auto"/>
            <w:left w:val="none" w:sz="0" w:space="0" w:color="auto"/>
            <w:bottom w:val="none" w:sz="0" w:space="0" w:color="auto"/>
            <w:right w:val="none" w:sz="0" w:space="0" w:color="auto"/>
          </w:divBdr>
          <w:divsChild>
            <w:div w:id="311176637">
              <w:marLeft w:val="0"/>
              <w:marRight w:val="0"/>
              <w:marTop w:val="0"/>
              <w:marBottom w:val="0"/>
              <w:divBdr>
                <w:top w:val="none" w:sz="0" w:space="0" w:color="auto"/>
                <w:left w:val="none" w:sz="0" w:space="0" w:color="auto"/>
                <w:bottom w:val="none" w:sz="0" w:space="0" w:color="auto"/>
                <w:right w:val="none" w:sz="0" w:space="0" w:color="auto"/>
              </w:divBdr>
              <w:divsChild>
                <w:div w:id="202062002">
                  <w:marLeft w:val="0"/>
                  <w:marRight w:val="0"/>
                  <w:marTop w:val="0"/>
                  <w:marBottom w:val="0"/>
                  <w:divBdr>
                    <w:top w:val="none" w:sz="0" w:space="0" w:color="auto"/>
                    <w:left w:val="none" w:sz="0" w:space="0" w:color="auto"/>
                    <w:bottom w:val="none" w:sz="0" w:space="0" w:color="auto"/>
                    <w:right w:val="none" w:sz="0" w:space="0" w:color="auto"/>
                  </w:divBdr>
                  <w:divsChild>
                    <w:div w:id="455678888">
                      <w:marLeft w:val="0"/>
                      <w:marRight w:val="0"/>
                      <w:marTop w:val="0"/>
                      <w:marBottom w:val="0"/>
                      <w:divBdr>
                        <w:top w:val="none" w:sz="0" w:space="0" w:color="auto"/>
                        <w:left w:val="none" w:sz="0" w:space="0" w:color="auto"/>
                        <w:bottom w:val="none" w:sz="0" w:space="0" w:color="auto"/>
                        <w:right w:val="none" w:sz="0" w:space="0" w:color="auto"/>
                      </w:divBdr>
                      <w:divsChild>
                        <w:div w:id="96242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520983">
      <w:bodyDiv w:val="1"/>
      <w:marLeft w:val="0"/>
      <w:marRight w:val="0"/>
      <w:marTop w:val="0"/>
      <w:marBottom w:val="0"/>
      <w:divBdr>
        <w:top w:val="none" w:sz="0" w:space="0" w:color="auto"/>
        <w:left w:val="none" w:sz="0" w:space="0" w:color="auto"/>
        <w:bottom w:val="none" w:sz="0" w:space="0" w:color="auto"/>
        <w:right w:val="none" w:sz="0" w:space="0" w:color="auto"/>
      </w:divBdr>
    </w:div>
    <w:div w:id="1907642281">
      <w:bodyDiv w:val="1"/>
      <w:marLeft w:val="0"/>
      <w:marRight w:val="0"/>
      <w:marTop w:val="0"/>
      <w:marBottom w:val="0"/>
      <w:divBdr>
        <w:top w:val="none" w:sz="0" w:space="0" w:color="auto"/>
        <w:left w:val="none" w:sz="0" w:space="0" w:color="auto"/>
        <w:bottom w:val="none" w:sz="0" w:space="0" w:color="auto"/>
        <w:right w:val="none" w:sz="0" w:space="0" w:color="auto"/>
      </w:divBdr>
    </w:div>
    <w:div w:id="1920362320">
      <w:bodyDiv w:val="1"/>
      <w:marLeft w:val="0"/>
      <w:marRight w:val="0"/>
      <w:marTop w:val="0"/>
      <w:marBottom w:val="0"/>
      <w:divBdr>
        <w:top w:val="none" w:sz="0" w:space="0" w:color="auto"/>
        <w:left w:val="none" w:sz="0" w:space="0" w:color="auto"/>
        <w:bottom w:val="none" w:sz="0" w:space="0" w:color="auto"/>
        <w:right w:val="none" w:sz="0" w:space="0" w:color="auto"/>
      </w:divBdr>
    </w:div>
    <w:div w:id="1929150361">
      <w:bodyDiv w:val="1"/>
      <w:marLeft w:val="0"/>
      <w:marRight w:val="0"/>
      <w:marTop w:val="0"/>
      <w:marBottom w:val="0"/>
      <w:divBdr>
        <w:top w:val="none" w:sz="0" w:space="0" w:color="auto"/>
        <w:left w:val="none" w:sz="0" w:space="0" w:color="auto"/>
        <w:bottom w:val="none" w:sz="0" w:space="0" w:color="auto"/>
        <w:right w:val="none" w:sz="0" w:space="0" w:color="auto"/>
      </w:divBdr>
    </w:div>
    <w:div w:id="1931549251">
      <w:bodyDiv w:val="1"/>
      <w:marLeft w:val="0"/>
      <w:marRight w:val="0"/>
      <w:marTop w:val="0"/>
      <w:marBottom w:val="0"/>
      <w:divBdr>
        <w:top w:val="none" w:sz="0" w:space="0" w:color="auto"/>
        <w:left w:val="none" w:sz="0" w:space="0" w:color="auto"/>
        <w:bottom w:val="none" w:sz="0" w:space="0" w:color="auto"/>
        <w:right w:val="none" w:sz="0" w:space="0" w:color="auto"/>
      </w:divBdr>
    </w:div>
    <w:div w:id="1932279521">
      <w:bodyDiv w:val="1"/>
      <w:marLeft w:val="0"/>
      <w:marRight w:val="0"/>
      <w:marTop w:val="0"/>
      <w:marBottom w:val="0"/>
      <w:divBdr>
        <w:top w:val="none" w:sz="0" w:space="0" w:color="auto"/>
        <w:left w:val="none" w:sz="0" w:space="0" w:color="auto"/>
        <w:bottom w:val="none" w:sz="0" w:space="0" w:color="auto"/>
        <w:right w:val="none" w:sz="0" w:space="0" w:color="auto"/>
      </w:divBdr>
    </w:div>
    <w:div w:id="1933052617">
      <w:bodyDiv w:val="1"/>
      <w:marLeft w:val="0"/>
      <w:marRight w:val="0"/>
      <w:marTop w:val="0"/>
      <w:marBottom w:val="0"/>
      <w:divBdr>
        <w:top w:val="none" w:sz="0" w:space="0" w:color="auto"/>
        <w:left w:val="none" w:sz="0" w:space="0" w:color="auto"/>
        <w:bottom w:val="none" w:sz="0" w:space="0" w:color="auto"/>
        <w:right w:val="none" w:sz="0" w:space="0" w:color="auto"/>
      </w:divBdr>
    </w:div>
    <w:div w:id="1941209005">
      <w:bodyDiv w:val="1"/>
      <w:marLeft w:val="0"/>
      <w:marRight w:val="0"/>
      <w:marTop w:val="0"/>
      <w:marBottom w:val="0"/>
      <w:divBdr>
        <w:top w:val="none" w:sz="0" w:space="0" w:color="auto"/>
        <w:left w:val="none" w:sz="0" w:space="0" w:color="auto"/>
        <w:bottom w:val="none" w:sz="0" w:space="0" w:color="auto"/>
        <w:right w:val="none" w:sz="0" w:space="0" w:color="auto"/>
      </w:divBdr>
    </w:div>
    <w:div w:id="1943879994">
      <w:bodyDiv w:val="1"/>
      <w:marLeft w:val="0"/>
      <w:marRight w:val="0"/>
      <w:marTop w:val="0"/>
      <w:marBottom w:val="0"/>
      <w:divBdr>
        <w:top w:val="none" w:sz="0" w:space="0" w:color="auto"/>
        <w:left w:val="none" w:sz="0" w:space="0" w:color="auto"/>
        <w:bottom w:val="none" w:sz="0" w:space="0" w:color="auto"/>
        <w:right w:val="none" w:sz="0" w:space="0" w:color="auto"/>
      </w:divBdr>
    </w:div>
    <w:div w:id="1949044305">
      <w:bodyDiv w:val="1"/>
      <w:marLeft w:val="0"/>
      <w:marRight w:val="0"/>
      <w:marTop w:val="0"/>
      <w:marBottom w:val="0"/>
      <w:divBdr>
        <w:top w:val="none" w:sz="0" w:space="0" w:color="auto"/>
        <w:left w:val="none" w:sz="0" w:space="0" w:color="auto"/>
        <w:bottom w:val="none" w:sz="0" w:space="0" w:color="auto"/>
        <w:right w:val="none" w:sz="0" w:space="0" w:color="auto"/>
      </w:divBdr>
    </w:div>
    <w:div w:id="1950314980">
      <w:bodyDiv w:val="1"/>
      <w:marLeft w:val="0"/>
      <w:marRight w:val="0"/>
      <w:marTop w:val="0"/>
      <w:marBottom w:val="0"/>
      <w:divBdr>
        <w:top w:val="none" w:sz="0" w:space="0" w:color="auto"/>
        <w:left w:val="none" w:sz="0" w:space="0" w:color="auto"/>
        <w:bottom w:val="none" w:sz="0" w:space="0" w:color="auto"/>
        <w:right w:val="none" w:sz="0" w:space="0" w:color="auto"/>
      </w:divBdr>
    </w:div>
    <w:div w:id="1952469570">
      <w:bodyDiv w:val="1"/>
      <w:marLeft w:val="0"/>
      <w:marRight w:val="0"/>
      <w:marTop w:val="0"/>
      <w:marBottom w:val="0"/>
      <w:divBdr>
        <w:top w:val="none" w:sz="0" w:space="0" w:color="auto"/>
        <w:left w:val="none" w:sz="0" w:space="0" w:color="auto"/>
        <w:bottom w:val="none" w:sz="0" w:space="0" w:color="auto"/>
        <w:right w:val="none" w:sz="0" w:space="0" w:color="auto"/>
      </w:divBdr>
    </w:div>
    <w:div w:id="1954554253">
      <w:bodyDiv w:val="1"/>
      <w:marLeft w:val="0"/>
      <w:marRight w:val="0"/>
      <w:marTop w:val="0"/>
      <w:marBottom w:val="0"/>
      <w:divBdr>
        <w:top w:val="none" w:sz="0" w:space="0" w:color="auto"/>
        <w:left w:val="none" w:sz="0" w:space="0" w:color="auto"/>
        <w:bottom w:val="none" w:sz="0" w:space="0" w:color="auto"/>
        <w:right w:val="none" w:sz="0" w:space="0" w:color="auto"/>
      </w:divBdr>
    </w:div>
    <w:div w:id="1965041811">
      <w:bodyDiv w:val="1"/>
      <w:marLeft w:val="0"/>
      <w:marRight w:val="0"/>
      <w:marTop w:val="0"/>
      <w:marBottom w:val="0"/>
      <w:divBdr>
        <w:top w:val="none" w:sz="0" w:space="0" w:color="auto"/>
        <w:left w:val="none" w:sz="0" w:space="0" w:color="auto"/>
        <w:bottom w:val="none" w:sz="0" w:space="0" w:color="auto"/>
        <w:right w:val="none" w:sz="0" w:space="0" w:color="auto"/>
      </w:divBdr>
    </w:div>
    <w:div w:id="1981185791">
      <w:bodyDiv w:val="1"/>
      <w:marLeft w:val="0"/>
      <w:marRight w:val="0"/>
      <w:marTop w:val="0"/>
      <w:marBottom w:val="0"/>
      <w:divBdr>
        <w:top w:val="none" w:sz="0" w:space="0" w:color="auto"/>
        <w:left w:val="none" w:sz="0" w:space="0" w:color="auto"/>
        <w:bottom w:val="none" w:sz="0" w:space="0" w:color="auto"/>
        <w:right w:val="none" w:sz="0" w:space="0" w:color="auto"/>
      </w:divBdr>
    </w:div>
    <w:div w:id="1983728614">
      <w:bodyDiv w:val="1"/>
      <w:marLeft w:val="0"/>
      <w:marRight w:val="0"/>
      <w:marTop w:val="0"/>
      <w:marBottom w:val="0"/>
      <w:divBdr>
        <w:top w:val="none" w:sz="0" w:space="0" w:color="auto"/>
        <w:left w:val="none" w:sz="0" w:space="0" w:color="auto"/>
        <w:bottom w:val="none" w:sz="0" w:space="0" w:color="auto"/>
        <w:right w:val="none" w:sz="0" w:space="0" w:color="auto"/>
      </w:divBdr>
    </w:div>
    <w:div w:id="1984768192">
      <w:bodyDiv w:val="1"/>
      <w:marLeft w:val="0"/>
      <w:marRight w:val="0"/>
      <w:marTop w:val="0"/>
      <w:marBottom w:val="0"/>
      <w:divBdr>
        <w:top w:val="none" w:sz="0" w:space="0" w:color="auto"/>
        <w:left w:val="none" w:sz="0" w:space="0" w:color="auto"/>
        <w:bottom w:val="none" w:sz="0" w:space="0" w:color="auto"/>
        <w:right w:val="none" w:sz="0" w:space="0" w:color="auto"/>
      </w:divBdr>
    </w:div>
    <w:div w:id="1994023982">
      <w:bodyDiv w:val="1"/>
      <w:marLeft w:val="0"/>
      <w:marRight w:val="0"/>
      <w:marTop w:val="0"/>
      <w:marBottom w:val="0"/>
      <w:divBdr>
        <w:top w:val="none" w:sz="0" w:space="0" w:color="auto"/>
        <w:left w:val="none" w:sz="0" w:space="0" w:color="auto"/>
        <w:bottom w:val="none" w:sz="0" w:space="0" w:color="auto"/>
        <w:right w:val="none" w:sz="0" w:space="0" w:color="auto"/>
      </w:divBdr>
    </w:div>
    <w:div w:id="2008634256">
      <w:bodyDiv w:val="1"/>
      <w:marLeft w:val="0"/>
      <w:marRight w:val="0"/>
      <w:marTop w:val="0"/>
      <w:marBottom w:val="0"/>
      <w:divBdr>
        <w:top w:val="none" w:sz="0" w:space="0" w:color="auto"/>
        <w:left w:val="none" w:sz="0" w:space="0" w:color="auto"/>
        <w:bottom w:val="none" w:sz="0" w:space="0" w:color="auto"/>
        <w:right w:val="none" w:sz="0" w:space="0" w:color="auto"/>
      </w:divBdr>
    </w:div>
    <w:div w:id="2021156720">
      <w:bodyDiv w:val="1"/>
      <w:marLeft w:val="0"/>
      <w:marRight w:val="0"/>
      <w:marTop w:val="0"/>
      <w:marBottom w:val="0"/>
      <w:divBdr>
        <w:top w:val="none" w:sz="0" w:space="0" w:color="auto"/>
        <w:left w:val="none" w:sz="0" w:space="0" w:color="auto"/>
        <w:bottom w:val="none" w:sz="0" w:space="0" w:color="auto"/>
        <w:right w:val="none" w:sz="0" w:space="0" w:color="auto"/>
      </w:divBdr>
    </w:div>
    <w:div w:id="2025597012">
      <w:bodyDiv w:val="1"/>
      <w:marLeft w:val="0"/>
      <w:marRight w:val="0"/>
      <w:marTop w:val="0"/>
      <w:marBottom w:val="0"/>
      <w:divBdr>
        <w:top w:val="none" w:sz="0" w:space="0" w:color="auto"/>
        <w:left w:val="none" w:sz="0" w:space="0" w:color="auto"/>
        <w:bottom w:val="none" w:sz="0" w:space="0" w:color="auto"/>
        <w:right w:val="none" w:sz="0" w:space="0" w:color="auto"/>
      </w:divBdr>
    </w:div>
    <w:div w:id="2031643281">
      <w:bodyDiv w:val="1"/>
      <w:marLeft w:val="0"/>
      <w:marRight w:val="0"/>
      <w:marTop w:val="0"/>
      <w:marBottom w:val="0"/>
      <w:divBdr>
        <w:top w:val="none" w:sz="0" w:space="0" w:color="auto"/>
        <w:left w:val="none" w:sz="0" w:space="0" w:color="auto"/>
        <w:bottom w:val="none" w:sz="0" w:space="0" w:color="auto"/>
        <w:right w:val="none" w:sz="0" w:space="0" w:color="auto"/>
      </w:divBdr>
    </w:div>
    <w:div w:id="2032954580">
      <w:bodyDiv w:val="1"/>
      <w:marLeft w:val="0"/>
      <w:marRight w:val="0"/>
      <w:marTop w:val="0"/>
      <w:marBottom w:val="0"/>
      <w:divBdr>
        <w:top w:val="none" w:sz="0" w:space="0" w:color="auto"/>
        <w:left w:val="none" w:sz="0" w:space="0" w:color="auto"/>
        <w:bottom w:val="none" w:sz="0" w:space="0" w:color="auto"/>
        <w:right w:val="none" w:sz="0" w:space="0" w:color="auto"/>
      </w:divBdr>
    </w:div>
    <w:div w:id="2033917580">
      <w:bodyDiv w:val="1"/>
      <w:marLeft w:val="0"/>
      <w:marRight w:val="0"/>
      <w:marTop w:val="0"/>
      <w:marBottom w:val="0"/>
      <w:divBdr>
        <w:top w:val="none" w:sz="0" w:space="0" w:color="auto"/>
        <w:left w:val="none" w:sz="0" w:space="0" w:color="auto"/>
        <w:bottom w:val="none" w:sz="0" w:space="0" w:color="auto"/>
        <w:right w:val="none" w:sz="0" w:space="0" w:color="auto"/>
      </w:divBdr>
    </w:div>
    <w:div w:id="2035299010">
      <w:bodyDiv w:val="1"/>
      <w:marLeft w:val="0"/>
      <w:marRight w:val="0"/>
      <w:marTop w:val="0"/>
      <w:marBottom w:val="0"/>
      <w:divBdr>
        <w:top w:val="none" w:sz="0" w:space="0" w:color="auto"/>
        <w:left w:val="none" w:sz="0" w:space="0" w:color="auto"/>
        <w:bottom w:val="none" w:sz="0" w:space="0" w:color="auto"/>
        <w:right w:val="none" w:sz="0" w:space="0" w:color="auto"/>
      </w:divBdr>
    </w:div>
    <w:div w:id="2038853167">
      <w:bodyDiv w:val="1"/>
      <w:marLeft w:val="0"/>
      <w:marRight w:val="0"/>
      <w:marTop w:val="0"/>
      <w:marBottom w:val="0"/>
      <w:divBdr>
        <w:top w:val="none" w:sz="0" w:space="0" w:color="auto"/>
        <w:left w:val="none" w:sz="0" w:space="0" w:color="auto"/>
        <w:bottom w:val="none" w:sz="0" w:space="0" w:color="auto"/>
        <w:right w:val="none" w:sz="0" w:space="0" w:color="auto"/>
      </w:divBdr>
    </w:div>
    <w:div w:id="2041860558">
      <w:bodyDiv w:val="1"/>
      <w:marLeft w:val="0"/>
      <w:marRight w:val="0"/>
      <w:marTop w:val="0"/>
      <w:marBottom w:val="0"/>
      <w:divBdr>
        <w:top w:val="none" w:sz="0" w:space="0" w:color="auto"/>
        <w:left w:val="none" w:sz="0" w:space="0" w:color="auto"/>
        <w:bottom w:val="none" w:sz="0" w:space="0" w:color="auto"/>
        <w:right w:val="none" w:sz="0" w:space="0" w:color="auto"/>
      </w:divBdr>
    </w:div>
    <w:div w:id="2057313270">
      <w:bodyDiv w:val="1"/>
      <w:marLeft w:val="0"/>
      <w:marRight w:val="0"/>
      <w:marTop w:val="0"/>
      <w:marBottom w:val="0"/>
      <w:divBdr>
        <w:top w:val="none" w:sz="0" w:space="0" w:color="auto"/>
        <w:left w:val="none" w:sz="0" w:space="0" w:color="auto"/>
        <w:bottom w:val="none" w:sz="0" w:space="0" w:color="auto"/>
        <w:right w:val="none" w:sz="0" w:space="0" w:color="auto"/>
      </w:divBdr>
      <w:divsChild>
        <w:div w:id="363017347">
          <w:marLeft w:val="0"/>
          <w:marRight w:val="0"/>
          <w:marTop w:val="0"/>
          <w:marBottom w:val="0"/>
          <w:divBdr>
            <w:top w:val="none" w:sz="0" w:space="0" w:color="auto"/>
            <w:left w:val="none" w:sz="0" w:space="0" w:color="auto"/>
            <w:bottom w:val="none" w:sz="0" w:space="0" w:color="auto"/>
            <w:right w:val="none" w:sz="0" w:space="0" w:color="auto"/>
          </w:divBdr>
          <w:divsChild>
            <w:div w:id="907574788">
              <w:marLeft w:val="0"/>
              <w:marRight w:val="0"/>
              <w:marTop w:val="0"/>
              <w:marBottom w:val="0"/>
              <w:divBdr>
                <w:top w:val="none" w:sz="0" w:space="0" w:color="auto"/>
                <w:left w:val="none" w:sz="0" w:space="0" w:color="auto"/>
                <w:bottom w:val="none" w:sz="0" w:space="0" w:color="auto"/>
                <w:right w:val="none" w:sz="0" w:space="0" w:color="auto"/>
              </w:divBdr>
              <w:divsChild>
                <w:div w:id="319694622">
                  <w:marLeft w:val="0"/>
                  <w:marRight w:val="0"/>
                  <w:marTop w:val="0"/>
                  <w:marBottom w:val="0"/>
                  <w:divBdr>
                    <w:top w:val="none" w:sz="0" w:space="0" w:color="auto"/>
                    <w:left w:val="none" w:sz="0" w:space="0" w:color="auto"/>
                    <w:bottom w:val="none" w:sz="0" w:space="0" w:color="auto"/>
                    <w:right w:val="none" w:sz="0" w:space="0" w:color="auto"/>
                  </w:divBdr>
                  <w:divsChild>
                    <w:div w:id="1986622312">
                      <w:marLeft w:val="0"/>
                      <w:marRight w:val="0"/>
                      <w:marTop w:val="0"/>
                      <w:marBottom w:val="0"/>
                      <w:divBdr>
                        <w:top w:val="none" w:sz="0" w:space="0" w:color="auto"/>
                        <w:left w:val="none" w:sz="0" w:space="0" w:color="auto"/>
                        <w:bottom w:val="none" w:sz="0" w:space="0" w:color="auto"/>
                        <w:right w:val="none" w:sz="0" w:space="0" w:color="auto"/>
                      </w:divBdr>
                      <w:divsChild>
                        <w:div w:id="1205748387">
                          <w:marLeft w:val="0"/>
                          <w:marRight w:val="0"/>
                          <w:marTop w:val="0"/>
                          <w:marBottom w:val="0"/>
                          <w:divBdr>
                            <w:top w:val="none" w:sz="0" w:space="0" w:color="auto"/>
                            <w:left w:val="none" w:sz="0" w:space="0" w:color="auto"/>
                            <w:bottom w:val="none" w:sz="0" w:space="0" w:color="auto"/>
                            <w:right w:val="none" w:sz="0" w:space="0" w:color="auto"/>
                          </w:divBdr>
                          <w:divsChild>
                            <w:div w:id="489178319">
                              <w:marLeft w:val="0"/>
                              <w:marRight w:val="0"/>
                              <w:marTop w:val="0"/>
                              <w:marBottom w:val="0"/>
                              <w:divBdr>
                                <w:top w:val="none" w:sz="0" w:space="0" w:color="auto"/>
                                <w:left w:val="none" w:sz="0" w:space="0" w:color="auto"/>
                                <w:bottom w:val="none" w:sz="0" w:space="0" w:color="auto"/>
                                <w:right w:val="none" w:sz="0" w:space="0" w:color="auto"/>
                              </w:divBdr>
                              <w:divsChild>
                                <w:div w:id="1364551338">
                                  <w:marLeft w:val="0"/>
                                  <w:marRight w:val="0"/>
                                  <w:marTop w:val="0"/>
                                  <w:marBottom w:val="0"/>
                                  <w:divBdr>
                                    <w:top w:val="none" w:sz="0" w:space="0" w:color="auto"/>
                                    <w:left w:val="none" w:sz="0" w:space="0" w:color="auto"/>
                                    <w:bottom w:val="none" w:sz="0" w:space="0" w:color="auto"/>
                                    <w:right w:val="none" w:sz="0" w:space="0" w:color="auto"/>
                                  </w:divBdr>
                                  <w:divsChild>
                                    <w:div w:id="2128890347">
                                      <w:marLeft w:val="0"/>
                                      <w:marRight w:val="0"/>
                                      <w:marTop w:val="0"/>
                                      <w:marBottom w:val="0"/>
                                      <w:divBdr>
                                        <w:top w:val="none" w:sz="0" w:space="0" w:color="auto"/>
                                        <w:left w:val="none" w:sz="0" w:space="0" w:color="auto"/>
                                        <w:bottom w:val="none" w:sz="0" w:space="0" w:color="auto"/>
                                        <w:right w:val="none" w:sz="0" w:space="0" w:color="auto"/>
                                      </w:divBdr>
                                      <w:divsChild>
                                        <w:div w:id="944267597">
                                          <w:marLeft w:val="0"/>
                                          <w:marRight w:val="0"/>
                                          <w:marTop w:val="0"/>
                                          <w:marBottom w:val="0"/>
                                          <w:divBdr>
                                            <w:top w:val="none" w:sz="0" w:space="0" w:color="auto"/>
                                            <w:left w:val="none" w:sz="0" w:space="0" w:color="auto"/>
                                            <w:bottom w:val="none" w:sz="0" w:space="0" w:color="auto"/>
                                            <w:right w:val="none" w:sz="0" w:space="0" w:color="auto"/>
                                          </w:divBdr>
                                          <w:divsChild>
                                            <w:div w:id="167622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309190">
                                  <w:marLeft w:val="0"/>
                                  <w:marRight w:val="0"/>
                                  <w:marTop w:val="0"/>
                                  <w:marBottom w:val="0"/>
                                  <w:divBdr>
                                    <w:top w:val="none" w:sz="0" w:space="0" w:color="auto"/>
                                    <w:left w:val="none" w:sz="0" w:space="0" w:color="auto"/>
                                    <w:bottom w:val="none" w:sz="0" w:space="0" w:color="auto"/>
                                    <w:right w:val="none" w:sz="0" w:space="0" w:color="auto"/>
                                  </w:divBdr>
                                  <w:divsChild>
                                    <w:div w:id="101627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9357984">
          <w:marLeft w:val="0"/>
          <w:marRight w:val="0"/>
          <w:marTop w:val="0"/>
          <w:marBottom w:val="0"/>
          <w:divBdr>
            <w:top w:val="none" w:sz="0" w:space="0" w:color="auto"/>
            <w:left w:val="none" w:sz="0" w:space="0" w:color="auto"/>
            <w:bottom w:val="none" w:sz="0" w:space="0" w:color="auto"/>
            <w:right w:val="none" w:sz="0" w:space="0" w:color="auto"/>
          </w:divBdr>
          <w:divsChild>
            <w:div w:id="103231995">
              <w:marLeft w:val="0"/>
              <w:marRight w:val="0"/>
              <w:marTop w:val="0"/>
              <w:marBottom w:val="0"/>
              <w:divBdr>
                <w:top w:val="none" w:sz="0" w:space="0" w:color="auto"/>
                <w:left w:val="none" w:sz="0" w:space="0" w:color="auto"/>
                <w:bottom w:val="none" w:sz="0" w:space="0" w:color="auto"/>
                <w:right w:val="none" w:sz="0" w:space="0" w:color="auto"/>
              </w:divBdr>
              <w:divsChild>
                <w:div w:id="1707170886">
                  <w:marLeft w:val="0"/>
                  <w:marRight w:val="0"/>
                  <w:marTop w:val="0"/>
                  <w:marBottom w:val="0"/>
                  <w:divBdr>
                    <w:top w:val="none" w:sz="0" w:space="0" w:color="auto"/>
                    <w:left w:val="none" w:sz="0" w:space="0" w:color="auto"/>
                    <w:bottom w:val="none" w:sz="0" w:space="0" w:color="auto"/>
                    <w:right w:val="none" w:sz="0" w:space="0" w:color="auto"/>
                  </w:divBdr>
                  <w:divsChild>
                    <w:div w:id="171997145">
                      <w:marLeft w:val="0"/>
                      <w:marRight w:val="0"/>
                      <w:marTop w:val="0"/>
                      <w:marBottom w:val="0"/>
                      <w:divBdr>
                        <w:top w:val="none" w:sz="0" w:space="0" w:color="auto"/>
                        <w:left w:val="none" w:sz="0" w:space="0" w:color="auto"/>
                        <w:bottom w:val="none" w:sz="0" w:space="0" w:color="auto"/>
                        <w:right w:val="none" w:sz="0" w:space="0" w:color="auto"/>
                      </w:divBdr>
                      <w:divsChild>
                        <w:div w:id="1849756860">
                          <w:marLeft w:val="0"/>
                          <w:marRight w:val="0"/>
                          <w:marTop w:val="0"/>
                          <w:marBottom w:val="0"/>
                          <w:divBdr>
                            <w:top w:val="none" w:sz="0" w:space="0" w:color="auto"/>
                            <w:left w:val="none" w:sz="0" w:space="0" w:color="auto"/>
                            <w:bottom w:val="none" w:sz="0" w:space="0" w:color="auto"/>
                            <w:right w:val="none" w:sz="0" w:space="0" w:color="auto"/>
                          </w:divBdr>
                          <w:divsChild>
                            <w:div w:id="1242373882">
                              <w:marLeft w:val="0"/>
                              <w:marRight w:val="0"/>
                              <w:marTop w:val="0"/>
                              <w:marBottom w:val="0"/>
                              <w:divBdr>
                                <w:top w:val="none" w:sz="0" w:space="0" w:color="auto"/>
                                <w:left w:val="none" w:sz="0" w:space="0" w:color="auto"/>
                                <w:bottom w:val="none" w:sz="0" w:space="0" w:color="auto"/>
                                <w:right w:val="none" w:sz="0" w:space="0" w:color="auto"/>
                              </w:divBdr>
                              <w:divsChild>
                                <w:div w:id="1215315611">
                                  <w:marLeft w:val="0"/>
                                  <w:marRight w:val="0"/>
                                  <w:marTop w:val="0"/>
                                  <w:marBottom w:val="0"/>
                                  <w:divBdr>
                                    <w:top w:val="none" w:sz="0" w:space="0" w:color="auto"/>
                                    <w:left w:val="none" w:sz="0" w:space="0" w:color="auto"/>
                                    <w:bottom w:val="none" w:sz="0" w:space="0" w:color="auto"/>
                                    <w:right w:val="none" w:sz="0" w:space="0" w:color="auto"/>
                                  </w:divBdr>
                                  <w:divsChild>
                                    <w:div w:id="92361242">
                                      <w:marLeft w:val="0"/>
                                      <w:marRight w:val="0"/>
                                      <w:marTop w:val="0"/>
                                      <w:marBottom w:val="0"/>
                                      <w:divBdr>
                                        <w:top w:val="none" w:sz="0" w:space="0" w:color="auto"/>
                                        <w:left w:val="none" w:sz="0" w:space="0" w:color="auto"/>
                                        <w:bottom w:val="none" w:sz="0" w:space="0" w:color="auto"/>
                                        <w:right w:val="none" w:sz="0" w:space="0" w:color="auto"/>
                                      </w:divBdr>
                                      <w:divsChild>
                                        <w:div w:id="260450257">
                                          <w:marLeft w:val="0"/>
                                          <w:marRight w:val="0"/>
                                          <w:marTop w:val="0"/>
                                          <w:marBottom w:val="0"/>
                                          <w:divBdr>
                                            <w:top w:val="none" w:sz="0" w:space="0" w:color="auto"/>
                                            <w:left w:val="none" w:sz="0" w:space="0" w:color="auto"/>
                                            <w:bottom w:val="none" w:sz="0" w:space="0" w:color="auto"/>
                                            <w:right w:val="none" w:sz="0" w:space="0" w:color="auto"/>
                                          </w:divBdr>
                                          <w:divsChild>
                                            <w:div w:id="636372714">
                                              <w:marLeft w:val="0"/>
                                              <w:marRight w:val="0"/>
                                              <w:marTop w:val="0"/>
                                              <w:marBottom w:val="0"/>
                                              <w:divBdr>
                                                <w:top w:val="none" w:sz="0" w:space="0" w:color="auto"/>
                                                <w:left w:val="none" w:sz="0" w:space="0" w:color="auto"/>
                                                <w:bottom w:val="none" w:sz="0" w:space="0" w:color="auto"/>
                                                <w:right w:val="none" w:sz="0" w:space="0" w:color="auto"/>
                                              </w:divBdr>
                                              <w:divsChild>
                                                <w:div w:id="68814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0663000">
      <w:bodyDiv w:val="1"/>
      <w:marLeft w:val="0"/>
      <w:marRight w:val="0"/>
      <w:marTop w:val="0"/>
      <w:marBottom w:val="0"/>
      <w:divBdr>
        <w:top w:val="none" w:sz="0" w:space="0" w:color="auto"/>
        <w:left w:val="none" w:sz="0" w:space="0" w:color="auto"/>
        <w:bottom w:val="none" w:sz="0" w:space="0" w:color="auto"/>
        <w:right w:val="none" w:sz="0" w:space="0" w:color="auto"/>
      </w:divBdr>
    </w:div>
    <w:div w:id="2072532208">
      <w:bodyDiv w:val="1"/>
      <w:marLeft w:val="0"/>
      <w:marRight w:val="0"/>
      <w:marTop w:val="0"/>
      <w:marBottom w:val="0"/>
      <w:divBdr>
        <w:top w:val="none" w:sz="0" w:space="0" w:color="auto"/>
        <w:left w:val="none" w:sz="0" w:space="0" w:color="auto"/>
        <w:bottom w:val="none" w:sz="0" w:space="0" w:color="auto"/>
        <w:right w:val="none" w:sz="0" w:space="0" w:color="auto"/>
      </w:divBdr>
    </w:div>
    <w:div w:id="2082676938">
      <w:bodyDiv w:val="1"/>
      <w:marLeft w:val="0"/>
      <w:marRight w:val="0"/>
      <w:marTop w:val="0"/>
      <w:marBottom w:val="0"/>
      <w:divBdr>
        <w:top w:val="none" w:sz="0" w:space="0" w:color="auto"/>
        <w:left w:val="none" w:sz="0" w:space="0" w:color="auto"/>
        <w:bottom w:val="none" w:sz="0" w:space="0" w:color="auto"/>
        <w:right w:val="none" w:sz="0" w:space="0" w:color="auto"/>
      </w:divBdr>
    </w:div>
    <w:div w:id="2084988286">
      <w:bodyDiv w:val="1"/>
      <w:marLeft w:val="0"/>
      <w:marRight w:val="0"/>
      <w:marTop w:val="0"/>
      <w:marBottom w:val="0"/>
      <w:divBdr>
        <w:top w:val="none" w:sz="0" w:space="0" w:color="auto"/>
        <w:left w:val="none" w:sz="0" w:space="0" w:color="auto"/>
        <w:bottom w:val="none" w:sz="0" w:space="0" w:color="auto"/>
        <w:right w:val="none" w:sz="0" w:space="0" w:color="auto"/>
      </w:divBdr>
      <w:divsChild>
        <w:div w:id="1087114382">
          <w:marLeft w:val="0"/>
          <w:marRight w:val="0"/>
          <w:marTop w:val="0"/>
          <w:marBottom w:val="0"/>
          <w:divBdr>
            <w:top w:val="none" w:sz="0" w:space="0" w:color="auto"/>
            <w:left w:val="none" w:sz="0" w:space="0" w:color="auto"/>
            <w:bottom w:val="none" w:sz="0" w:space="0" w:color="auto"/>
            <w:right w:val="none" w:sz="0" w:space="0" w:color="auto"/>
          </w:divBdr>
          <w:divsChild>
            <w:div w:id="204107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463311">
      <w:bodyDiv w:val="1"/>
      <w:marLeft w:val="0"/>
      <w:marRight w:val="0"/>
      <w:marTop w:val="0"/>
      <w:marBottom w:val="0"/>
      <w:divBdr>
        <w:top w:val="none" w:sz="0" w:space="0" w:color="auto"/>
        <w:left w:val="none" w:sz="0" w:space="0" w:color="auto"/>
        <w:bottom w:val="none" w:sz="0" w:space="0" w:color="auto"/>
        <w:right w:val="none" w:sz="0" w:space="0" w:color="auto"/>
      </w:divBdr>
    </w:div>
    <w:div w:id="2102679462">
      <w:bodyDiv w:val="1"/>
      <w:marLeft w:val="0"/>
      <w:marRight w:val="0"/>
      <w:marTop w:val="0"/>
      <w:marBottom w:val="0"/>
      <w:divBdr>
        <w:top w:val="none" w:sz="0" w:space="0" w:color="auto"/>
        <w:left w:val="none" w:sz="0" w:space="0" w:color="auto"/>
        <w:bottom w:val="none" w:sz="0" w:space="0" w:color="auto"/>
        <w:right w:val="none" w:sz="0" w:space="0" w:color="auto"/>
      </w:divBdr>
    </w:div>
    <w:div w:id="2111776765">
      <w:bodyDiv w:val="1"/>
      <w:marLeft w:val="0"/>
      <w:marRight w:val="0"/>
      <w:marTop w:val="0"/>
      <w:marBottom w:val="0"/>
      <w:divBdr>
        <w:top w:val="none" w:sz="0" w:space="0" w:color="auto"/>
        <w:left w:val="none" w:sz="0" w:space="0" w:color="auto"/>
        <w:bottom w:val="none" w:sz="0" w:space="0" w:color="auto"/>
        <w:right w:val="none" w:sz="0" w:space="0" w:color="auto"/>
      </w:divBdr>
    </w:div>
    <w:div w:id="2119525151">
      <w:bodyDiv w:val="1"/>
      <w:marLeft w:val="0"/>
      <w:marRight w:val="0"/>
      <w:marTop w:val="0"/>
      <w:marBottom w:val="0"/>
      <w:divBdr>
        <w:top w:val="none" w:sz="0" w:space="0" w:color="auto"/>
        <w:left w:val="none" w:sz="0" w:space="0" w:color="auto"/>
        <w:bottom w:val="none" w:sz="0" w:space="0" w:color="auto"/>
        <w:right w:val="none" w:sz="0" w:space="0" w:color="auto"/>
      </w:divBdr>
    </w:div>
    <w:div w:id="2125423521">
      <w:bodyDiv w:val="1"/>
      <w:marLeft w:val="0"/>
      <w:marRight w:val="0"/>
      <w:marTop w:val="0"/>
      <w:marBottom w:val="0"/>
      <w:divBdr>
        <w:top w:val="none" w:sz="0" w:space="0" w:color="auto"/>
        <w:left w:val="none" w:sz="0" w:space="0" w:color="auto"/>
        <w:bottom w:val="none" w:sz="0" w:space="0" w:color="auto"/>
        <w:right w:val="none" w:sz="0" w:space="0" w:color="auto"/>
      </w:divBdr>
    </w:div>
    <w:div w:id="2129009725">
      <w:bodyDiv w:val="1"/>
      <w:marLeft w:val="0"/>
      <w:marRight w:val="0"/>
      <w:marTop w:val="0"/>
      <w:marBottom w:val="0"/>
      <w:divBdr>
        <w:top w:val="none" w:sz="0" w:space="0" w:color="auto"/>
        <w:left w:val="none" w:sz="0" w:space="0" w:color="auto"/>
        <w:bottom w:val="none" w:sz="0" w:space="0" w:color="auto"/>
        <w:right w:val="none" w:sz="0" w:space="0" w:color="auto"/>
      </w:divBdr>
    </w:div>
    <w:div w:id="2129623710">
      <w:bodyDiv w:val="1"/>
      <w:marLeft w:val="0"/>
      <w:marRight w:val="0"/>
      <w:marTop w:val="0"/>
      <w:marBottom w:val="0"/>
      <w:divBdr>
        <w:top w:val="none" w:sz="0" w:space="0" w:color="auto"/>
        <w:left w:val="none" w:sz="0" w:space="0" w:color="auto"/>
        <w:bottom w:val="none" w:sz="0" w:space="0" w:color="auto"/>
        <w:right w:val="none" w:sz="0" w:space="0" w:color="auto"/>
      </w:divBdr>
    </w:div>
    <w:div w:id="2131778302">
      <w:bodyDiv w:val="1"/>
      <w:marLeft w:val="0"/>
      <w:marRight w:val="0"/>
      <w:marTop w:val="0"/>
      <w:marBottom w:val="0"/>
      <w:divBdr>
        <w:top w:val="none" w:sz="0" w:space="0" w:color="auto"/>
        <w:left w:val="none" w:sz="0" w:space="0" w:color="auto"/>
        <w:bottom w:val="none" w:sz="0" w:space="0" w:color="auto"/>
        <w:right w:val="none" w:sz="0" w:space="0" w:color="auto"/>
      </w:divBdr>
    </w:div>
    <w:div w:id="2136175403">
      <w:bodyDiv w:val="1"/>
      <w:marLeft w:val="0"/>
      <w:marRight w:val="0"/>
      <w:marTop w:val="0"/>
      <w:marBottom w:val="0"/>
      <w:divBdr>
        <w:top w:val="none" w:sz="0" w:space="0" w:color="auto"/>
        <w:left w:val="none" w:sz="0" w:space="0" w:color="auto"/>
        <w:bottom w:val="none" w:sz="0" w:space="0" w:color="auto"/>
        <w:right w:val="none" w:sz="0" w:space="0" w:color="auto"/>
      </w:divBdr>
    </w:div>
    <w:div w:id="2144691178">
      <w:bodyDiv w:val="1"/>
      <w:marLeft w:val="0"/>
      <w:marRight w:val="0"/>
      <w:marTop w:val="0"/>
      <w:marBottom w:val="0"/>
      <w:divBdr>
        <w:top w:val="none" w:sz="0" w:space="0" w:color="auto"/>
        <w:left w:val="none" w:sz="0" w:space="0" w:color="auto"/>
        <w:bottom w:val="none" w:sz="0" w:space="0" w:color="auto"/>
        <w:right w:val="none" w:sz="0" w:space="0" w:color="auto"/>
      </w:divBdr>
    </w:div>
    <w:div w:id="21446917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who.int/europe/activities/partnering-with-the-european-union-(eu)-to-tackle-mental-health-challenges" TargetMode="External"/><Relationship Id="rId2" Type="http://schemas.openxmlformats.org/officeDocument/2006/relationships/hyperlink" Target="https://health.ec.europa.eu/non-communicable-diseases/mental-health_ro" TargetMode="External"/><Relationship Id="rId1" Type="http://schemas.openxmlformats.org/officeDocument/2006/relationships/hyperlink" Target="https://health.ec.europa.eu/non-communicable-diseases/healthier-together-eu-non-communicable-diseases-initiative_en" TargetMode="External"/><Relationship Id="rId5" Type="http://schemas.openxmlformats.org/officeDocument/2006/relationships/hyperlink" Target="https://data.europa.eu/doi/10.2832/284545" TargetMode="External"/><Relationship Id="rId4" Type="http://schemas.openxmlformats.org/officeDocument/2006/relationships/hyperlink" Target="https://eu-promens.eu/eu-prome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C6D959-6B5E-4604-AB46-0938F943F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12897</Words>
  <Characters>73517</Characters>
  <Application>Microsoft Office Word</Application>
  <DocSecurity>0</DocSecurity>
  <Lines>612</Lines>
  <Paragraphs>172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2025-12-02T21:29:00Z</dcterms:created>
  <dcterms:modified xsi:type="dcterms:W3CDTF">2026-01-21T08:34:00Z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2025-11-29T09:33:46Z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28da924b-24ea-49db-8dd7-1e479fb24aec</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CP-012</vt:lpwstr>
  </property>
</Properties>
</file>